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20" w:lineRule="exact" w:before="0" w:after="566"/>
        <w:ind w:left="0" w:right="0"/>
      </w:pPr>
    </w:p>
    <w:p>
      <w:pPr>
        <w:autoSpaceDN w:val="0"/>
        <w:autoSpaceDE w:val="0"/>
        <w:widowControl/>
        <w:spacing w:line="240" w:lineRule="auto" w:before="0" w:after="0"/>
        <w:ind w:left="0" w:right="0" w:firstLine="0"/>
        <w:jc w:val="left"/>
      </w:pPr>
      <w:r>
        <w:drawing>
          <wp:inline xmlns:a="http://schemas.openxmlformats.org/drawingml/2006/main" xmlns:pic="http://schemas.openxmlformats.org/drawingml/2006/picture">
            <wp:extent cx="3503929" cy="83438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503929" cy="834389"/>
                    </a:xfrm>
                    <a:prstGeom prst="rect"/>
                  </pic:spPr>
                </pic:pic>
              </a:graphicData>
            </a:graphic>
          </wp:inline>
        </w:drawing>
      </w:r>
    </w:p>
    <w:p>
      <w:pPr>
        <w:autoSpaceDN w:val="0"/>
        <w:autoSpaceDE w:val="0"/>
        <w:widowControl/>
        <w:spacing w:line="720" w:lineRule="exact" w:before="2104" w:after="0"/>
        <w:ind w:left="2448" w:right="1872" w:firstLine="0"/>
        <w:jc w:val="center"/>
      </w:pPr>
      <w:r>
        <w:rPr>
          <w:rFonts w:ascii="宋体" w:hAnsi="宋体" w:eastAsia="宋体"/>
          <w:b w:val="0"/>
          <w:i w:val="0"/>
          <w:color w:val="000000"/>
          <w:sz w:val="48"/>
        </w:rPr>
        <w:t xml:space="preserve">山西证券股份有限公司 </w:t>
      </w:r>
      <w:r>
        <w:rPr>
          <w:rFonts w:ascii="宋体" w:hAnsi="宋体" w:eastAsia="宋体"/>
          <w:b w:val="0"/>
          <w:i w:val="0"/>
          <w:color w:val="000000"/>
          <w:sz w:val="48"/>
        </w:rPr>
        <w:t xml:space="preserve">2024 年年度报告 </w:t>
      </w:r>
      <w:r>
        <w:br/>
      </w:r>
      <w:r>
        <w:rPr>
          <w:rFonts w:ascii="宋体" w:hAnsi="宋体" w:eastAsia="宋体"/>
          <w:b w:val="0"/>
          <w:i w:val="0"/>
          <w:color w:val="000000"/>
          <w:sz w:val="48"/>
        </w:rPr>
        <w:t xml:space="preserve">（002500） </w:t>
      </w:r>
    </w:p>
    <w:p>
      <w:pPr>
        <w:autoSpaceDN w:val="0"/>
        <w:autoSpaceDE w:val="0"/>
        <w:widowControl/>
        <w:spacing w:line="318" w:lineRule="exact" w:before="3520" w:after="0"/>
        <w:ind w:left="0" w:right="3322" w:firstLine="0"/>
        <w:jc w:val="right"/>
      </w:pPr>
      <w:r>
        <w:rPr>
          <w:rFonts w:ascii="宋体" w:hAnsi="宋体" w:eastAsia="宋体"/>
          <w:b w:val="0"/>
          <w:i w:val="0"/>
          <w:color w:val="000000"/>
          <w:sz w:val="32"/>
        </w:rPr>
        <w:t xml:space="preserve">二零二五年四月 </w:t>
      </w:r>
    </w:p>
    <w:p>
      <w:pPr>
        <w:sectPr>
          <w:pgSz w:w="11904" w:h="16841"/>
          <w:pgMar w:top="784" w:right="1440" w:bottom="1440" w:left="95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318" w:lineRule="exact" w:before="698" w:after="0"/>
        <w:ind w:left="0" w:right="0" w:firstLine="0"/>
        <w:jc w:val="center"/>
      </w:pPr>
      <w:r>
        <w:rPr>
          <w:rFonts w:ascii="宋体" w:hAnsi="宋体" w:eastAsia="宋体"/>
          <w:b w:val="0"/>
          <w:i w:val="0"/>
          <w:color w:val="000000"/>
          <w:sz w:val="32"/>
        </w:rPr>
        <w:t xml:space="preserve">第一节 重要提示、目录和释义 </w:t>
      </w:r>
    </w:p>
    <w:p>
      <w:pPr>
        <w:autoSpaceDN w:val="0"/>
        <w:tabs>
          <w:tab w:pos="512" w:val="left"/>
        </w:tabs>
        <w:autoSpaceDE w:val="0"/>
        <w:widowControl/>
        <w:spacing w:line="498" w:lineRule="exact" w:before="378" w:after="0"/>
        <w:ind w:left="30" w:right="144" w:firstLine="0"/>
        <w:jc w:val="left"/>
      </w:pPr>
      <w:r>
        <w:rPr>
          <w:rFonts w:ascii="宋体" w:hAnsi="宋体" w:eastAsia="宋体"/>
          <w:b w:val="0"/>
          <w:i w:val="0"/>
          <w:color w:val="000000"/>
          <w:sz w:val="24"/>
        </w:rPr>
        <w:t>公司董事会、监事会及董事、监事、高级管理人员保证年度报告内容的真实、准确、</w:t>
      </w:r>
      <w:r>
        <w:rPr>
          <w:rFonts w:ascii="宋体" w:hAnsi="宋体" w:eastAsia="宋体"/>
          <w:b w:val="0"/>
          <w:i w:val="0"/>
          <w:color w:val="000000"/>
          <w:sz w:val="24"/>
        </w:rPr>
        <w:t xml:space="preserve">完整，不存在虚假记载、误导性陈述或重大遗漏，并承担个别和连带的法律责任。 </w:t>
      </w:r>
    </w:p>
    <w:p>
      <w:pPr>
        <w:autoSpaceDN w:val="0"/>
        <w:tabs>
          <w:tab w:pos="512" w:val="left"/>
        </w:tabs>
        <w:autoSpaceDE w:val="0"/>
        <w:widowControl/>
        <w:spacing w:line="502" w:lineRule="exact" w:before="38" w:after="0"/>
        <w:ind w:left="30" w:right="144" w:firstLine="0"/>
        <w:jc w:val="left"/>
      </w:pPr>
      <w:r>
        <w:rPr>
          <w:rFonts w:ascii="宋体" w:hAnsi="宋体" w:eastAsia="宋体"/>
          <w:b w:val="0"/>
          <w:i w:val="0"/>
          <w:color w:val="000000"/>
          <w:sz w:val="24"/>
        </w:rPr>
        <w:t>公司董事长侯巍先生、总经理王怡里先生、财务负责人汤建雄先生及会计机构负责人</w:t>
      </w:r>
      <w:r>
        <w:rPr>
          <w:rFonts w:ascii="宋体" w:hAnsi="宋体" w:eastAsia="宋体"/>
          <w:b w:val="0"/>
          <w:i w:val="0"/>
          <w:color w:val="000000"/>
          <w:sz w:val="24"/>
        </w:rPr>
        <w:t>张立德先生声明：保证本年度报告中财务报告的真实、准确、完整。</w:t>
      </w:r>
    </w:p>
    <w:p>
      <w:pPr>
        <w:autoSpaceDN w:val="0"/>
        <w:autoSpaceDE w:val="0"/>
        <w:widowControl/>
        <w:spacing w:line="486" w:lineRule="exact" w:before="38" w:after="0"/>
        <w:ind w:left="30" w:right="234" w:firstLine="482"/>
        <w:jc w:val="both"/>
      </w:pPr>
      <w:r>
        <w:rPr>
          <w:rFonts w:ascii="宋体" w:hAnsi="宋体" w:eastAsia="宋体"/>
          <w:b w:val="0"/>
          <w:i w:val="0"/>
          <w:color w:val="000000"/>
          <w:sz w:val="24"/>
        </w:rPr>
        <w:t>本报告经公司第四届董事会第二十五次会议审议通过。会议应参加董事</w:t>
      </w:r>
      <w:r>
        <w:rPr>
          <w:rFonts w:ascii="Calibri" w:hAnsi="Calibri" w:eastAsia="Calibri"/>
          <w:b/>
          <w:i w:val="0"/>
          <w:color w:val="000000"/>
          <w:sz w:val="24"/>
        </w:rPr>
        <w:t>11</w:t>
      </w:r>
      <w:r>
        <w:rPr>
          <w:rFonts w:ascii="宋体" w:hAnsi="宋体" w:eastAsia="宋体"/>
          <w:b w:val="0"/>
          <w:i w:val="0"/>
          <w:color w:val="000000"/>
          <w:sz w:val="24"/>
        </w:rPr>
        <w:t xml:space="preserve"> 名，实际</w:t>
      </w:r>
      <w:r>
        <w:rPr>
          <w:rFonts w:ascii="宋体" w:hAnsi="宋体" w:eastAsia="宋体"/>
          <w:b w:val="0"/>
          <w:i w:val="0"/>
          <w:color w:val="000000"/>
          <w:sz w:val="24"/>
        </w:rPr>
        <w:t>参加董事</w:t>
      </w:r>
      <w:r>
        <w:rPr>
          <w:rFonts w:ascii="Calibri" w:hAnsi="Calibri" w:eastAsia="Calibri"/>
          <w:b/>
          <w:i w:val="0"/>
          <w:color w:val="000000"/>
          <w:sz w:val="24"/>
        </w:rPr>
        <w:t>11</w:t>
      </w:r>
      <w:r>
        <w:rPr>
          <w:rFonts w:ascii="宋体" w:hAnsi="宋体" w:eastAsia="宋体"/>
          <w:b w:val="0"/>
          <w:i w:val="0"/>
          <w:color w:val="000000"/>
          <w:sz w:val="24"/>
        </w:rPr>
        <w:t xml:space="preserve"> 名。没有董事、监事及高级管理人员声明对本报告内容的真实性、准确性和</w:t>
      </w:r>
      <w:r>
        <w:rPr>
          <w:rFonts w:ascii="宋体" w:hAnsi="宋体" w:eastAsia="宋体"/>
          <w:b w:val="0"/>
          <w:i w:val="0"/>
          <w:color w:val="000000"/>
          <w:sz w:val="24"/>
        </w:rPr>
        <w:t>完整性无法保证或存在异议。</w:t>
      </w:r>
    </w:p>
    <w:p>
      <w:pPr>
        <w:autoSpaceDN w:val="0"/>
        <w:tabs>
          <w:tab w:pos="512" w:val="left"/>
        </w:tabs>
        <w:autoSpaceDE w:val="0"/>
        <w:widowControl/>
        <w:spacing w:line="498" w:lineRule="exact" w:before="2" w:after="0"/>
        <w:ind w:left="30" w:right="144" w:firstLine="0"/>
        <w:jc w:val="left"/>
      </w:pPr>
      <w:r>
        <w:rPr>
          <w:rFonts w:ascii="宋体" w:hAnsi="宋体" w:eastAsia="宋体"/>
          <w:b w:val="0"/>
          <w:i w:val="0"/>
          <w:color w:val="000000"/>
          <w:sz w:val="24"/>
        </w:rPr>
        <w:t>公司年度财务报告经安永华明会计师事务所（特殊普通合伙）审计，并出具了标准无</w:t>
      </w:r>
      <w:r>
        <w:rPr>
          <w:rFonts w:ascii="宋体" w:hAnsi="宋体" w:eastAsia="宋体"/>
          <w:b w:val="0"/>
          <w:i w:val="0"/>
          <w:color w:val="000000"/>
          <w:sz w:val="24"/>
        </w:rPr>
        <w:t>保留意见的审计报告。</w:t>
      </w:r>
    </w:p>
    <w:p>
      <w:pPr>
        <w:autoSpaceDN w:val="0"/>
        <w:autoSpaceDE w:val="0"/>
        <w:widowControl/>
        <w:spacing w:line="500" w:lineRule="exact" w:before="20" w:after="0"/>
        <w:ind w:left="30" w:right="232" w:firstLine="482"/>
        <w:jc w:val="both"/>
      </w:pPr>
      <w:r>
        <w:rPr>
          <w:rFonts w:ascii="宋体" w:hAnsi="宋体" w:eastAsia="宋体"/>
          <w:b w:val="0"/>
          <w:i w:val="0"/>
          <w:color w:val="000000"/>
          <w:sz w:val="24"/>
        </w:rPr>
        <w:t>公司经本次董事会审议通过的</w:t>
      </w:r>
      <w:r>
        <w:rPr>
          <w:rFonts w:ascii="Times New Roman,Bold" w:hAnsi="Times New Roman,Bold" w:eastAsia="Times New Roman,Bold"/>
          <w:b/>
          <w:i w:val="0"/>
          <w:color w:val="000000"/>
          <w:sz w:val="24"/>
        </w:rPr>
        <w:t xml:space="preserve">2024 </w:t>
      </w:r>
      <w:r>
        <w:rPr>
          <w:rFonts w:ascii="宋体" w:hAnsi="宋体" w:eastAsia="宋体"/>
          <w:b w:val="0"/>
          <w:i w:val="0"/>
          <w:color w:val="000000"/>
          <w:sz w:val="24"/>
        </w:rPr>
        <w:t>年度利润分配预案为：以</w:t>
      </w:r>
      <w:r>
        <w:rPr>
          <w:rFonts w:ascii="Times New Roman,Bold" w:hAnsi="Times New Roman,Bold" w:eastAsia="Times New Roman,Bold"/>
          <w:b/>
          <w:i w:val="0"/>
          <w:color w:val="000000"/>
          <w:sz w:val="24"/>
        </w:rPr>
        <w:t>2024</w:t>
      </w:r>
      <w:r>
        <w:rPr>
          <w:rFonts w:ascii="宋体" w:hAnsi="宋体" w:eastAsia="宋体"/>
          <w:b w:val="0"/>
          <w:i w:val="0"/>
          <w:color w:val="000000"/>
          <w:sz w:val="24"/>
        </w:rPr>
        <w:t xml:space="preserve"> 年末总股本</w:t>
      </w:r>
      <w:r>
        <w:rPr>
          <w:rFonts w:ascii="Times New Roman,Bold" w:hAnsi="Times New Roman,Bold" w:eastAsia="Times New Roman,Bold"/>
          <w:b/>
          <w:i w:val="0"/>
          <w:color w:val="000000"/>
          <w:sz w:val="24"/>
        </w:rPr>
        <w:t>3,589,771,547</w:t>
      </w:r>
      <w:r>
        <w:rPr>
          <w:rFonts w:ascii="宋体" w:hAnsi="宋体" w:eastAsia="宋体"/>
          <w:b w:val="0"/>
          <w:i w:val="0"/>
          <w:color w:val="000000"/>
          <w:sz w:val="24"/>
        </w:rPr>
        <w:t xml:space="preserve"> 股为基数，向全体股东每</w:t>
      </w:r>
      <w:r>
        <w:rPr>
          <w:rFonts w:ascii="Times New Roman,Bold" w:hAnsi="Times New Roman,Bold" w:eastAsia="Times New Roman,Bold"/>
          <w:b/>
          <w:i w:val="0"/>
          <w:color w:val="000000"/>
          <w:sz w:val="24"/>
        </w:rPr>
        <w:t>10</w:t>
      </w:r>
      <w:r>
        <w:rPr>
          <w:rFonts w:ascii="宋体" w:hAnsi="宋体" w:eastAsia="宋体"/>
          <w:b w:val="0"/>
          <w:i w:val="0"/>
          <w:color w:val="000000"/>
          <w:sz w:val="24"/>
        </w:rPr>
        <w:t xml:space="preserve"> 股派发现金红利</w:t>
      </w:r>
      <w:r>
        <w:rPr>
          <w:rFonts w:ascii="Times New Roman,Bold" w:hAnsi="Times New Roman,Bold" w:eastAsia="Times New Roman,Bold"/>
          <w:b/>
          <w:i w:val="0"/>
          <w:color w:val="000000"/>
          <w:sz w:val="24"/>
        </w:rPr>
        <w:t>0.50</w:t>
      </w:r>
      <w:r>
        <w:rPr>
          <w:rFonts w:ascii="宋体" w:hAnsi="宋体" w:eastAsia="宋体"/>
          <w:b w:val="0"/>
          <w:i w:val="0"/>
          <w:color w:val="000000"/>
          <w:sz w:val="24"/>
        </w:rPr>
        <w:t xml:space="preserve"> 元（含税），不送红股，不</w:t>
      </w:r>
      <w:r>
        <w:rPr>
          <w:rFonts w:ascii="宋体" w:hAnsi="宋体" w:eastAsia="宋体"/>
          <w:b w:val="0"/>
          <w:i w:val="0"/>
          <w:color w:val="000000"/>
          <w:sz w:val="24"/>
        </w:rPr>
        <w:t>以公积金转增股本。本预案尚需提交公司</w:t>
      </w:r>
      <w:r>
        <w:rPr>
          <w:rFonts w:ascii="Times New Roman,Bold" w:hAnsi="Times New Roman,Bold" w:eastAsia="Times New Roman,Bold"/>
          <w:b/>
          <w:i w:val="0"/>
          <w:color w:val="000000"/>
          <w:sz w:val="24"/>
        </w:rPr>
        <w:t xml:space="preserve">2024 </w:t>
      </w:r>
      <w:r>
        <w:rPr>
          <w:rFonts w:ascii="宋体" w:hAnsi="宋体" w:eastAsia="宋体"/>
          <w:b w:val="0"/>
          <w:i w:val="0"/>
          <w:color w:val="000000"/>
          <w:sz w:val="24"/>
        </w:rPr>
        <w:t>年度股东大会审议。此外，公司已在</w:t>
      </w:r>
      <w:r>
        <w:rPr>
          <w:rFonts w:ascii="Times New Roman,Bold" w:hAnsi="Times New Roman,Bold" w:eastAsia="Times New Roman,Bold"/>
          <w:b/>
          <w:i w:val="0"/>
          <w:color w:val="000000"/>
          <w:sz w:val="24"/>
        </w:rPr>
        <w:t>2024</w:t>
      </w:r>
      <w:r>
        <w:rPr>
          <w:rFonts w:ascii="宋体" w:hAnsi="宋体" w:eastAsia="宋体"/>
          <w:b w:val="0"/>
          <w:i w:val="0"/>
          <w:color w:val="000000"/>
          <w:sz w:val="24"/>
        </w:rPr>
        <w:t>年</w:t>
      </w:r>
      <w:r>
        <w:rPr>
          <w:rFonts w:ascii="Times New Roman,Bold" w:hAnsi="Times New Roman,Bold" w:eastAsia="Times New Roman,Bold"/>
          <w:b/>
          <w:i w:val="0"/>
          <w:color w:val="000000"/>
          <w:sz w:val="24"/>
        </w:rPr>
        <w:t xml:space="preserve">12 </w:t>
      </w:r>
      <w:r>
        <w:rPr>
          <w:rFonts w:ascii="宋体" w:hAnsi="宋体" w:eastAsia="宋体"/>
          <w:b w:val="0"/>
          <w:i w:val="0"/>
          <w:color w:val="000000"/>
          <w:sz w:val="24"/>
        </w:rPr>
        <w:t>月派发</w:t>
      </w:r>
      <w:r>
        <w:rPr>
          <w:rFonts w:ascii="Times New Roman,Bold" w:hAnsi="Times New Roman,Bold" w:eastAsia="Times New Roman,Bold"/>
          <w:b/>
          <w:i w:val="0"/>
          <w:color w:val="000000"/>
          <w:sz w:val="24"/>
        </w:rPr>
        <w:t xml:space="preserve">2024 </w:t>
      </w:r>
      <w:r>
        <w:rPr>
          <w:rFonts w:ascii="宋体" w:hAnsi="宋体" w:eastAsia="宋体"/>
          <w:b w:val="0"/>
          <w:i w:val="0"/>
          <w:color w:val="000000"/>
          <w:sz w:val="24"/>
        </w:rPr>
        <w:t>年前三季度现金红利每</w:t>
      </w:r>
      <w:r>
        <w:rPr>
          <w:rFonts w:ascii="Times New Roman,Bold" w:hAnsi="Times New Roman,Bold" w:eastAsia="Times New Roman,Bold"/>
          <w:b/>
          <w:i w:val="0"/>
          <w:color w:val="000000"/>
          <w:sz w:val="24"/>
        </w:rPr>
        <w:t xml:space="preserve">10 </w:t>
      </w:r>
      <w:r>
        <w:rPr>
          <w:rFonts w:ascii="宋体" w:hAnsi="宋体" w:eastAsia="宋体"/>
          <w:b w:val="0"/>
          <w:i w:val="0"/>
          <w:color w:val="000000"/>
          <w:sz w:val="24"/>
        </w:rPr>
        <w:t>股</w:t>
      </w:r>
      <w:r>
        <w:rPr>
          <w:rFonts w:ascii="Times New Roman,Bold" w:hAnsi="Times New Roman,Bold" w:eastAsia="Times New Roman,Bold"/>
          <w:b/>
          <w:i w:val="0"/>
          <w:color w:val="000000"/>
          <w:sz w:val="24"/>
        </w:rPr>
        <w:t>0.50</w:t>
      </w:r>
      <w:r>
        <w:rPr>
          <w:rFonts w:ascii="宋体" w:hAnsi="宋体" w:eastAsia="宋体"/>
          <w:b w:val="0"/>
          <w:i w:val="0"/>
          <w:color w:val="000000"/>
          <w:sz w:val="24"/>
        </w:rPr>
        <w:t xml:space="preserve"> 元（含税）。本报告期合计拟派发现金</w:t>
      </w:r>
      <w:r>
        <w:rPr>
          <w:rFonts w:ascii="宋体" w:hAnsi="宋体" w:eastAsia="宋体"/>
          <w:b w:val="0"/>
          <w:i w:val="0"/>
          <w:color w:val="000000"/>
          <w:sz w:val="24"/>
        </w:rPr>
        <w:t>红利每</w:t>
      </w:r>
      <w:r>
        <w:rPr>
          <w:rFonts w:ascii="Times New Roman,Bold" w:hAnsi="Times New Roman,Bold" w:eastAsia="Times New Roman,Bold"/>
          <w:b/>
          <w:i w:val="0"/>
          <w:color w:val="000000"/>
          <w:sz w:val="24"/>
        </w:rPr>
        <w:t xml:space="preserve">10 </w:t>
      </w:r>
      <w:r>
        <w:rPr>
          <w:rFonts w:ascii="宋体" w:hAnsi="宋体" w:eastAsia="宋体"/>
          <w:b w:val="0"/>
          <w:i w:val="0"/>
          <w:color w:val="000000"/>
          <w:sz w:val="24"/>
        </w:rPr>
        <w:t>股</w:t>
      </w:r>
      <w:r>
        <w:rPr>
          <w:rFonts w:ascii="Times New Roman,Bold" w:hAnsi="Times New Roman,Bold" w:eastAsia="Times New Roman,Bold"/>
          <w:b/>
          <w:i w:val="0"/>
          <w:color w:val="000000"/>
          <w:sz w:val="24"/>
        </w:rPr>
        <w:t>1.00</w:t>
      </w:r>
      <w:r>
        <w:rPr>
          <w:rFonts w:ascii="宋体" w:hAnsi="宋体" w:eastAsia="宋体"/>
          <w:b w:val="0"/>
          <w:i w:val="0"/>
          <w:color w:val="000000"/>
          <w:sz w:val="24"/>
        </w:rPr>
        <w:t xml:space="preserve"> 元（含税）。</w:t>
      </w:r>
    </w:p>
    <w:p>
      <w:pPr>
        <w:autoSpaceDN w:val="0"/>
        <w:autoSpaceDE w:val="0"/>
        <w:widowControl/>
        <w:spacing w:line="500" w:lineRule="exact" w:before="82" w:after="0"/>
        <w:ind w:left="30" w:right="234" w:firstLine="482"/>
        <w:jc w:val="both"/>
      </w:pPr>
      <w:r>
        <w:rPr>
          <w:rFonts w:ascii="宋体" w:hAnsi="宋体" w:eastAsia="宋体"/>
          <w:b w:val="0"/>
          <w:i w:val="0"/>
          <w:color w:val="000000"/>
          <w:sz w:val="24"/>
        </w:rPr>
        <w:t>本报告中涉及的未来计划、发展战略等前瞻性描述不构成公司对投资者的实质承诺，</w:t>
      </w:r>
      <w:r>
        <w:rPr>
          <w:rFonts w:ascii="宋体" w:hAnsi="宋体" w:eastAsia="宋体"/>
          <w:b w:val="0"/>
          <w:i w:val="0"/>
          <w:color w:val="000000"/>
          <w:sz w:val="24"/>
        </w:rPr>
        <w:t>投资者及相关人士均应当对此保持足够的风险认识，并且应当理解计划、预测与承诺之间</w:t>
      </w:r>
      <w:r>
        <w:rPr>
          <w:rFonts w:ascii="宋体" w:hAnsi="宋体" w:eastAsia="宋体"/>
          <w:b w:val="0"/>
          <w:i w:val="0"/>
          <w:color w:val="000000"/>
          <w:sz w:val="24"/>
        </w:rPr>
        <w:t>的差异；本报告中涉及的对行业发展的前瞻性描述仅为公司的分析与判断，敬请投资者注</w:t>
      </w:r>
      <w:r>
        <w:rPr>
          <w:rFonts w:ascii="宋体" w:hAnsi="宋体" w:eastAsia="宋体"/>
          <w:b w:val="0"/>
          <w:i w:val="0"/>
          <w:color w:val="000000"/>
          <w:sz w:val="24"/>
        </w:rPr>
        <w:t>意投资风险。</w:t>
      </w:r>
    </w:p>
    <w:p>
      <w:pPr>
        <w:autoSpaceDN w:val="0"/>
        <w:autoSpaceDE w:val="0"/>
        <w:widowControl/>
        <w:spacing w:line="502" w:lineRule="exact" w:before="98" w:after="0"/>
        <w:ind w:left="30" w:right="236" w:firstLine="648"/>
        <w:jc w:val="both"/>
      </w:pPr>
      <w:r>
        <w:rPr>
          <w:rFonts w:ascii="宋体" w:hAnsi="宋体" w:eastAsia="宋体"/>
          <w:b w:val="0"/>
          <w:i w:val="0"/>
          <w:color w:val="000000"/>
          <w:sz w:val="24"/>
        </w:rPr>
        <w:t>公司所处金融行业。公司面临的重大风险主要包括政策性风险、流动性风险、市场</w:t>
      </w:r>
      <w:r>
        <w:rPr>
          <w:rFonts w:ascii="宋体" w:hAnsi="宋体" w:eastAsia="宋体"/>
          <w:b w:val="0"/>
          <w:i w:val="0"/>
          <w:color w:val="000000"/>
          <w:sz w:val="24"/>
        </w:rPr>
        <w:t>风险、信用风险、操作风险、声誉风险等。公司通过建立健全内部控制体系和风险管理体</w:t>
      </w:r>
      <w:r>
        <w:rPr>
          <w:rFonts w:ascii="宋体" w:hAnsi="宋体" w:eastAsia="宋体"/>
          <w:b w:val="0"/>
          <w:i w:val="0"/>
          <w:color w:val="000000"/>
          <w:sz w:val="24"/>
        </w:rPr>
        <w:t>系，确保在风险可测、可控、可承受的范围内稳健、持续发展。</w:t>
      </w:r>
    </w:p>
    <w:p>
      <w:pPr>
        <w:autoSpaceDN w:val="0"/>
        <w:tabs>
          <w:tab w:pos="512" w:val="left"/>
        </w:tabs>
        <w:autoSpaceDE w:val="0"/>
        <w:widowControl/>
        <w:spacing w:line="500" w:lineRule="exact" w:before="100" w:after="0"/>
        <w:ind w:left="30" w:right="144" w:firstLine="0"/>
        <w:jc w:val="left"/>
      </w:pPr>
      <w:r>
        <w:rPr>
          <w:rFonts w:ascii="宋体" w:hAnsi="宋体" w:eastAsia="宋体"/>
          <w:b w:val="0"/>
          <w:i w:val="0"/>
          <w:color w:val="000000"/>
          <w:sz w:val="24"/>
        </w:rPr>
        <w:t>公司在本报告“第三节管理层讨论与分析”中具体分析了公司经营活动面临的风险以</w:t>
      </w:r>
      <w:r>
        <w:rPr>
          <w:rFonts w:ascii="宋体" w:hAnsi="宋体" w:eastAsia="宋体"/>
          <w:b w:val="0"/>
          <w:i w:val="0"/>
          <w:color w:val="000000"/>
          <w:sz w:val="24"/>
        </w:rPr>
        <w:t>及应对措施，敬请投资者查阅。</w:t>
      </w:r>
    </w:p>
    <w:p>
      <w:pPr>
        <w:autoSpaceDN w:val="0"/>
        <w:autoSpaceDE w:val="0"/>
        <w:widowControl/>
        <w:spacing w:line="197" w:lineRule="auto" w:before="920" w:after="0"/>
        <w:ind w:left="0" w:right="0" w:firstLine="0"/>
        <w:jc w:val="center"/>
      </w:pPr>
      <w:r>
        <w:rPr>
          <w:rFonts w:ascii="Calibri" w:hAnsi="Calibri" w:eastAsia="Calibri"/>
          <w:b w:val="0"/>
          <w:i w:val="0"/>
          <w:color w:val="000000"/>
          <w:sz w:val="18"/>
        </w:rPr>
        <w:t xml:space="preserve">1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 name="Picture 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104" w:header="720" w:footer="720" w:gutter="0"/>
          <w:cols w:num="2" w:equalWidth="0">
            <w:col w:w="5436"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104" w:header="720" w:footer="720" w:gutter="0"/>
          <w:cols w:num="2" w:equalWidth="0">
            <w:col w:w="5436" w:space="0"/>
            <w:col w:w="4364" w:space="0"/>
          </w:cols>
          <w:docGrid w:linePitch="360"/>
        </w:sectPr>
      </w:pPr>
    </w:p>
    <w:p>
      <w:pPr>
        <w:autoSpaceDN w:val="0"/>
        <w:autoSpaceDE w:val="0"/>
        <w:widowControl/>
        <w:spacing w:line="360" w:lineRule="exact" w:before="1504" w:after="0"/>
        <w:ind w:left="0" w:right="4590" w:firstLine="0"/>
        <w:jc w:val="right"/>
      </w:pPr>
      <w:r>
        <w:rPr>
          <w:rFonts w:ascii="宋体" w:hAnsi="宋体" w:eastAsia="宋体"/>
          <w:b w:val="0"/>
          <w:i w:val="0"/>
          <w:color w:val="000000"/>
          <w:sz w:val="36"/>
        </w:rPr>
        <w:t>目录</w:t>
      </w:r>
    </w:p>
    <w:p>
      <w:pPr>
        <w:autoSpaceDN w:val="0"/>
        <w:autoSpaceDE w:val="0"/>
        <w:widowControl/>
        <w:spacing w:line="560" w:lineRule="exact" w:before="1346" w:after="0"/>
        <w:ind w:left="30" w:right="20" w:firstLine="0"/>
        <w:jc w:val="both"/>
      </w:pPr>
      <w:r>
        <w:rPr>
          <w:rFonts w:ascii="宋体" w:hAnsi="宋体" w:eastAsia="宋体"/>
          <w:b w:val="0"/>
          <w:i w:val="0"/>
          <w:color w:val="000000"/>
          <w:sz w:val="24"/>
        </w:rPr>
        <w:t xml:space="preserve">第一节 重要提示、目录和释义 .................................................. 1 </w:t>
      </w:r>
      <w:r>
        <w:rPr>
          <w:rFonts w:ascii="宋体" w:hAnsi="宋体" w:eastAsia="宋体"/>
          <w:b w:val="0"/>
          <w:i w:val="0"/>
          <w:color w:val="000000"/>
          <w:sz w:val="24"/>
        </w:rPr>
        <w:t xml:space="preserve">第二节 公司简介和主要财务指标 ................................................ 5 </w:t>
      </w:r>
      <w:r>
        <w:rPr>
          <w:rFonts w:ascii="宋体" w:hAnsi="宋体" w:eastAsia="宋体"/>
          <w:b w:val="0"/>
          <w:i w:val="0"/>
          <w:color w:val="000000"/>
          <w:sz w:val="24"/>
        </w:rPr>
        <w:t xml:space="preserve">第三节 管理层讨论与分析 ..................................................... 29 </w:t>
      </w:r>
      <w:r>
        <w:rPr>
          <w:rFonts w:ascii="宋体" w:hAnsi="宋体" w:eastAsia="宋体"/>
          <w:b w:val="0"/>
          <w:i w:val="0"/>
          <w:color w:val="000000"/>
          <w:sz w:val="24"/>
        </w:rPr>
        <w:t xml:space="preserve">第四节 公司治理 ............................................................ 63 </w:t>
      </w:r>
      <w:r>
        <w:rPr>
          <w:rFonts w:ascii="宋体" w:hAnsi="宋体" w:eastAsia="宋体"/>
          <w:b w:val="0"/>
          <w:i w:val="0"/>
          <w:color w:val="000000"/>
          <w:sz w:val="24"/>
        </w:rPr>
        <w:t xml:space="preserve">第五节 环境和社会责任 ...................................................... 106 </w:t>
      </w:r>
      <w:r>
        <w:rPr>
          <w:rFonts w:ascii="宋体" w:hAnsi="宋体" w:eastAsia="宋体"/>
          <w:b w:val="0"/>
          <w:i w:val="0"/>
          <w:color w:val="000000"/>
          <w:sz w:val="24"/>
        </w:rPr>
        <w:t xml:space="preserve">第六节 重要事项 ........................................................... 108 </w:t>
      </w:r>
      <w:r>
        <w:rPr>
          <w:rFonts w:ascii="宋体" w:hAnsi="宋体" w:eastAsia="宋体"/>
          <w:b w:val="0"/>
          <w:i w:val="0"/>
          <w:color w:val="000000"/>
          <w:sz w:val="24"/>
        </w:rPr>
        <w:t xml:space="preserve">第七节 股份变动及股东情况 .................................................. 126 </w:t>
      </w:r>
      <w:r>
        <w:rPr>
          <w:rFonts w:ascii="宋体" w:hAnsi="宋体" w:eastAsia="宋体"/>
          <w:b w:val="0"/>
          <w:i w:val="0"/>
          <w:color w:val="000000"/>
          <w:sz w:val="24"/>
        </w:rPr>
        <w:t xml:space="preserve">第八节 优先股相关情况 ...................................................... 133 </w:t>
      </w:r>
      <w:r>
        <w:rPr>
          <w:rFonts w:ascii="宋体" w:hAnsi="宋体" w:eastAsia="宋体"/>
          <w:b w:val="0"/>
          <w:i w:val="0"/>
          <w:color w:val="000000"/>
          <w:sz w:val="24"/>
        </w:rPr>
        <w:t xml:space="preserve">第九节 债券相关情况 ........................................................ 134 </w:t>
      </w:r>
      <w:r>
        <w:rPr>
          <w:rFonts w:ascii="宋体" w:hAnsi="宋体" w:eastAsia="宋体"/>
          <w:b w:val="0"/>
          <w:i w:val="0"/>
          <w:color w:val="000000"/>
          <w:sz w:val="24"/>
        </w:rPr>
        <w:t>第十节 财务报告 ........................................................... 140</w:t>
      </w:r>
    </w:p>
    <w:p>
      <w:pPr>
        <w:autoSpaceDN w:val="0"/>
        <w:autoSpaceDE w:val="0"/>
        <w:widowControl/>
        <w:spacing w:line="197" w:lineRule="auto" w:before="5342" w:after="0"/>
        <w:ind w:left="0" w:right="0" w:firstLine="0"/>
        <w:jc w:val="center"/>
      </w:pPr>
      <w:r>
        <w:rPr>
          <w:rFonts w:ascii="Calibri" w:hAnsi="Calibri" w:eastAsia="Calibri"/>
          <w:b w:val="0"/>
          <w:i w:val="0"/>
          <w:color w:val="000000"/>
          <w:sz w:val="18"/>
        </w:rPr>
        <w:t xml:space="preserve">2 </w:t>
      </w:r>
    </w:p>
    <w:p>
      <w:pPr>
        <w:sectPr>
          <w:type w:val="continuous"/>
          <w:pgSz w:w="11904" w:h="16841"/>
          <w:pgMar w:top="424" w:right="10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28"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4" name="Picture 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28" w:bottom="446" w:left="1104" w:header="720" w:footer="720" w:gutter="0"/>
          <w:cols w:num="2" w:equalWidth="0">
            <w:col w:w="5436" w:space="0"/>
            <w:col w:w="4335" w:space="0"/>
          </w:cols>
          <w:docGrid w:linePitch="360"/>
        </w:sectPr>
      </w:pPr>
    </w:p>
    <w:p>
      <w:pPr>
        <w:autoSpaceDN w:val="0"/>
        <w:autoSpaceDE w:val="0"/>
        <w:widowControl/>
        <w:spacing w:line="200" w:lineRule="exact" w:before="0" w:after="30"/>
        <w:ind w:left="0" w:right="12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28" w:bottom="446" w:left="1104" w:header="720" w:footer="720" w:gutter="0"/>
          <w:cols w:num="2" w:equalWidth="0">
            <w:col w:w="5436" w:space="0"/>
            <w:col w:w="4335" w:space="0"/>
          </w:cols>
          <w:docGrid w:linePitch="360"/>
        </w:sectPr>
      </w:pPr>
    </w:p>
    <w:p>
      <w:pPr>
        <w:autoSpaceDN w:val="0"/>
        <w:autoSpaceDE w:val="0"/>
        <w:widowControl/>
        <w:spacing w:line="318" w:lineRule="exact" w:before="890" w:after="0"/>
        <w:ind w:left="0" w:right="3894" w:firstLine="0"/>
        <w:jc w:val="right"/>
      </w:pPr>
      <w:r>
        <w:rPr>
          <w:rFonts w:ascii="宋体" w:hAnsi="宋体" w:eastAsia="宋体"/>
          <w:b w:val="0"/>
          <w:i w:val="0"/>
          <w:color w:val="000000"/>
          <w:sz w:val="32"/>
        </w:rPr>
        <w:t xml:space="preserve">备查文件目录 </w:t>
      </w:r>
    </w:p>
    <w:p>
      <w:pPr>
        <w:autoSpaceDN w:val="0"/>
        <w:autoSpaceDE w:val="0"/>
        <w:widowControl/>
        <w:spacing w:line="240" w:lineRule="exact" w:before="1044" w:after="0"/>
        <w:ind w:left="0" w:right="0" w:firstLine="0"/>
        <w:jc w:val="center"/>
      </w:pPr>
      <w:r>
        <w:rPr>
          <w:rFonts w:ascii="宋体" w:hAnsi="宋体" w:eastAsia="宋体"/>
          <w:b w:val="0"/>
          <w:i w:val="0"/>
          <w:color w:val="000000"/>
          <w:sz w:val="24"/>
        </w:rPr>
        <w:t xml:space="preserve">一、载有公司法定代表人、主管会计工作负责人、会计机构负责人签名并盖章的财务报表。 </w:t>
      </w:r>
    </w:p>
    <w:p>
      <w:pPr>
        <w:autoSpaceDN w:val="0"/>
        <w:autoSpaceDE w:val="0"/>
        <w:widowControl/>
        <w:spacing w:line="240" w:lineRule="exact" w:before="374" w:after="0"/>
        <w:ind w:left="30" w:right="0" w:firstLine="0"/>
        <w:jc w:val="left"/>
      </w:pPr>
      <w:r>
        <w:rPr>
          <w:rFonts w:ascii="宋体" w:hAnsi="宋体" w:eastAsia="宋体"/>
          <w:b w:val="0"/>
          <w:i w:val="0"/>
          <w:color w:val="000000"/>
          <w:sz w:val="24"/>
        </w:rPr>
        <w:t xml:space="preserve">二、载有会计师事务所盖章、注册会计师签名并盖章的审计报告原件。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三、报告期内在中国证监会指定网站上公开披露过的所有公司文件的正本及公告的原稿。 </w:t>
      </w:r>
    </w:p>
    <w:p>
      <w:pPr>
        <w:autoSpaceDN w:val="0"/>
        <w:autoSpaceDE w:val="0"/>
        <w:widowControl/>
        <w:spacing w:line="240" w:lineRule="exact" w:before="378" w:after="0"/>
        <w:ind w:left="30" w:right="0" w:firstLine="0"/>
        <w:jc w:val="left"/>
      </w:pPr>
      <w:r>
        <w:rPr>
          <w:rFonts w:ascii="宋体" w:hAnsi="宋体" w:eastAsia="宋体"/>
          <w:b w:val="0"/>
          <w:i w:val="0"/>
          <w:color w:val="000000"/>
          <w:sz w:val="24"/>
        </w:rPr>
        <w:t xml:space="preserve">四、其他相关文件。 </w:t>
      </w:r>
    </w:p>
    <w:p>
      <w:pPr>
        <w:autoSpaceDN w:val="0"/>
        <w:autoSpaceDE w:val="0"/>
        <w:widowControl/>
        <w:spacing w:line="197" w:lineRule="auto" w:before="9814" w:after="0"/>
        <w:ind w:left="0" w:right="0" w:firstLine="0"/>
        <w:jc w:val="center"/>
      </w:pPr>
      <w:r>
        <w:rPr>
          <w:rFonts w:ascii="Calibri" w:hAnsi="Calibri" w:eastAsia="Calibri"/>
          <w:b w:val="0"/>
          <w:i w:val="0"/>
          <w:color w:val="000000"/>
          <w:sz w:val="18"/>
        </w:rPr>
        <w:t xml:space="preserve">3 </w:t>
      </w:r>
    </w:p>
    <w:p>
      <w:pPr>
        <w:sectPr>
          <w:type w:val="continuous"/>
          <w:pgSz w:w="11904" w:h="16841"/>
          <w:pgMar w:top="424" w:right="1028"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 name="Picture 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318" w:lineRule="exact" w:before="890" w:after="726"/>
        <w:ind w:left="0" w:right="0" w:firstLine="0"/>
        <w:jc w:val="center"/>
      </w:pPr>
      <w:r>
        <w:rPr>
          <w:rFonts w:ascii="宋体" w:hAnsi="宋体" w:eastAsia="宋体"/>
          <w:b w:val="0"/>
          <w:i w:val="0"/>
          <w:color w:val="000000"/>
          <w:sz w:val="32"/>
        </w:rPr>
        <w:t xml:space="preserve">释义 </w:t>
      </w:r>
    </w:p>
    <w:tbl>
      <w:tblPr>
        <w:tblW w:type="auto" w:w="0"/>
        <w:tblLayout w:type="fixed"/>
        <w:tblLook w:firstColumn="1" w:firstRow="1" w:lastColumn="0" w:lastRow="0" w:noHBand="0" w:noVBand="1" w:val="04A0"/>
        <w:tblInd w:w="27.99999999999997" w:type="dxa"/>
      </w:tblPr>
      <w:tblGrid>
        <w:gridCol w:w="3239"/>
        <w:gridCol w:w="3239"/>
        <w:gridCol w:w="3239"/>
      </w:tblGrid>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3830"/>
            </w:tblGrid>
            <w:tr>
              <w:trPr>
                <w:trHeight w:hRule="exact" w:val="300"/>
              </w:trPr>
              <w:tc>
                <w:tcPr>
                  <w:tcW w:type="dxa" w:w="3612"/>
                  <w:tcBorders/>
                  <w:shd w:fill="d2d2d2"/>
                  <w:tcMar>
                    <w:start w:w="0" w:type="dxa"/>
                    <w:end w:w="0" w:type="dxa"/>
                  </w:tcMar>
                </w:tcPr>
                <w:p>
                  <w:pPr>
                    <w:autoSpaceDN w:val="0"/>
                    <w:autoSpaceDE w:val="0"/>
                    <w:widowControl/>
                    <w:spacing w:line="180" w:lineRule="exact" w:before="76" w:after="0"/>
                    <w:ind w:left="0" w:right="1446" w:firstLine="0"/>
                    <w:jc w:val="right"/>
                  </w:pPr>
                  <w:r>
                    <w:rPr>
                      <w:rFonts w:ascii="宋体" w:hAnsi="宋体" w:eastAsia="宋体"/>
                      <w:b w:val="0"/>
                      <w:i w:val="0"/>
                      <w:color w:val="000000"/>
                      <w:sz w:val="18"/>
                    </w:rPr>
                    <w:t xml:space="preserve">释义项 </w:t>
                  </w:r>
                </w:p>
              </w:tc>
            </w:tr>
          </w:tbl>
          <w:p>
            <w:pPr>
              <w:autoSpaceDN w:val="0"/>
              <w:autoSpaceDE w:val="0"/>
              <w:widowControl/>
              <w:spacing w:line="14" w:lineRule="exact" w:before="0" w:after="0"/>
              <w:ind w:left="0" w:right="0"/>
            </w:pP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68" w:type="dxa"/>
            </w:tblPr>
            <w:tblGrid>
              <w:gridCol w:w="4962"/>
            </w:tblGrid>
            <w:tr>
              <w:trPr>
                <w:trHeight w:hRule="exact" w:val="300"/>
              </w:trPr>
              <w:tc>
                <w:tcPr>
                  <w:tcW w:type="dxa" w:w="4746"/>
                  <w:tcBorders/>
                  <w:shd w:fill="d2d2d2"/>
                  <w:tcMar>
                    <w:start w:w="0" w:type="dxa"/>
                    <w:end w:w="0" w:type="dxa"/>
                  </w:tcMar>
                </w:tcPr>
                <w:p>
                  <w:pPr>
                    <w:autoSpaceDN w:val="0"/>
                    <w:autoSpaceDE w:val="0"/>
                    <w:widowControl/>
                    <w:spacing w:line="180" w:lineRule="exact" w:before="76" w:after="0"/>
                    <w:ind w:left="0" w:right="1922" w:firstLine="0"/>
                    <w:jc w:val="right"/>
                  </w:pPr>
                  <w:r>
                    <w:rPr>
                      <w:rFonts w:ascii="宋体" w:hAnsi="宋体" w:eastAsia="宋体"/>
                      <w:b w:val="0"/>
                      <w:i w:val="0"/>
                      <w:color w:val="000000"/>
                      <w:sz w:val="18"/>
                    </w:rPr>
                    <w:t xml:space="preserve">释义内容 </w:t>
                  </w:r>
                </w:p>
              </w:tc>
            </w:tr>
          </w:tbl>
          <w:p>
            <w:pPr>
              <w:autoSpaceDN w:val="0"/>
              <w:autoSpaceDE w:val="0"/>
              <w:widowControl/>
              <w:spacing w:line="14" w:lineRule="exact" w:before="0" w:after="0"/>
              <w:ind w:left="0" w:right="0"/>
            </w:pPr>
          </w:p>
        </w:tc>
      </w:tr>
      <w:tr>
        <w:trPr>
          <w:trHeight w:hRule="exact" w:val="398"/>
        </w:trPr>
        <w:tc>
          <w:tcPr>
            <w:tcW w:type="dxa" w:w="3830"/>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中国证监会、证监会 </w:t>
            </w:r>
          </w:p>
        </w:tc>
        <w:tc>
          <w:tcPr>
            <w:tcW w:type="dxa" w:w="850"/>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中国证券监督管理委员会 </w:t>
            </w:r>
          </w:p>
        </w:tc>
      </w:tr>
      <w:tr>
        <w:trPr>
          <w:trHeight w:hRule="exact" w:val="398"/>
        </w:trPr>
        <w:tc>
          <w:tcPr>
            <w:tcW w:type="dxa" w:w="3830"/>
            <w:tcBorders>
              <w:start w:sz="2.3999999999999773" w:val="single" w:color="#000000"/>
              <w:top w:sz="2.400000000000091"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中登公司 </w:t>
            </w:r>
          </w:p>
        </w:tc>
        <w:tc>
          <w:tcPr>
            <w:tcW w:type="dxa" w:w="850"/>
            <w:tcBorders>
              <w:start w:sz="1.599999999999909" w:val="single" w:color="#000000"/>
              <w:top w:sz="2.400000000000091"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298"/>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2.400000000000091" w:val="single" w:color="#000000"/>
              <w:end w:sz="1.5999999999994543" w:val="single" w:color="#000000"/>
              <w:bottom w:sz="1.6000000000001364"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中国证券登记结算有限责任公司 </w:t>
            </w:r>
          </w:p>
        </w:tc>
      </w:tr>
      <w:tr>
        <w:trPr>
          <w:trHeight w:hRule="exact" w:val="396"/>
        </w:trPr>
        <w:tc>
          <w:tcPr>
            <w:tcW w:type="dxa" w:w="3830"/>
            <w:tcBorders>
              <w:start w:sz="2.3999999999999773" w:val="single" w:color="#000000"/>
              <w:top w:sz="1.6000000000001364"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上交所 </w:t>
            </w:r>
          </w:p>
        </w:tc>
        <w:tc>
          <w:tcPr>
            <w:tcW w:type="dxa" w:w="850"/>
            <w:tcBorders>
              <w:start w:sz="1.599999999999909" w:val="single" w:color="#000000"/>
              <w:top w:sz="1.6000000000001364"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34"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6000000000001364"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上海证券交易所 </w:t>
            </w:r>
          </w:p>
        </w:tc>
      </w:tr>
      <w:tr>
        <w:trPr>
          <w:trHeight w:hRule="exact" w:val="398"/>
        </w:trPr>
        <w:tc>
          <w:tcPr>
            <w:tcW w:type="dxa" w:w="3830"/>
            <w:tcBorders>
              <w:start w:sz="2.3999999999999773" w:val="single" w:color="#000000"/>
              <w:top w:sz="1.6000000000003638"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深交所 </w:t>
            </w:r>
          </w:p>
        </w:tc>
        <w:tc>
          <w:tcPr>
            <w:tcW w:type="dxa" w:w="850"/>
            <w:tcBorders>
              <w:start w:sz="1.599999999999909" w:val="single" w:color="#000000"/>
              <w:top w:sz="1.6000000000003638"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6000000000003638"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深圳证券交易所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北交所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北京证券交易所 </w:t>
            </w:r>
          </w:p>
        </w:tc>
      </w:tr>
      <w:tr>
        <w:trPr>
          <w:trHeight w:hRule="exact" w:val="398"/>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山西金控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山西金融投资控股集团有限公司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山西国信、国信集团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山西国信投资集团有限公司 </w:t>
            </w:r>
          </w:p>
        </w:tc>
      </w:tr>
      <w:tr>
        <w:trPr>
          <w:trHeight w:hRule="exact" w:val="398"/>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山西信托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山西信托股份有限公司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太钢集团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太原钢铁（集团）有限公司 </w:t>
            </w:r>
          </w:p>
        </w:tc>
      </w:tr>
      <w:tr>
        <w:trPr>
          <w:trHeight w:hRule="exact" w:val="398"/>
        </w:trPr>
        <w:tc>
          <w:tcPr>
            <w:tcW w:type="dxa" w:w="3830"/>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国际电力 </w:t>
            </w:r>
          </w:p>
        </w:tc>
        <w:tc>
          <w:tcPr>
            <w:tcW w:type="dxa" w:w="850"/>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38"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298"/>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山西国际电力集团有限公司 </w:t>
            </w:r>
          </w:p>
        </w:tc>
      </w:tr>
      <w:tr>
        <w:trPr>
          <w:trHeight w:hRule="exact" w:val="398"/>
        </w:trPr>
        <w:tc>
          <w:tcPr>
            <w:tcW w:type="dxa" w:w="3830"/>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公司、本公司或山西证券 </w:t>
            </w:r>
          </w:p>
        </w:tc>
        <w:tc>
          <w:tcPr>
            <w:tcW w:type="dxa" w:w="850"/>
            <w:tcBorders>
              <w:start w:sz="1.599999999999909"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4"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山西证券股份有限公司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中德证券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山西证券控股子公司中德证券有限责任公司 </w:t>
            </w:r>
          </w:p>
        </w:tc>
      </w:tr>
      <w:tr>
        <w:trPr>
          <w:trHeight w:hRule="exact" w:val="398"/>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山证投资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山西证券全资子公司山证投资有限责任公司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格林大华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山西证券全资子公司格林大华期货有限公司 </w:t>
            </w:r>
          </w:p>
        </w:tc>
      </w:tr>
      <w:tr>
        <w:trPr>
          <w:trHeight w:hRule="exact" w:val="396"/>
        </w:trPr>
        <w:tc>
          <w:tcPr>
            <w:tcW w:type="dxa" w:w="3830"/>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山证国际 </w:t>
            </w:r>
          </w:p>
        </w:tc>
        <w:tc>
          <w:tcPr>
            <w:tcW w:type="dxa" w:w="850"/>
            <w:tcBorders>
              <w:start w:sz="1.599999999999909"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山西证券全资子公司山证国际金融控股有限公司 </w:t>
            </w:r>
          </w:p>
        </w:tc>
      </w:tr>
      <w:tr>
        <w:trPr>
          <w:trHeight w:hRule="exact" w:val="398"/>
        </w:trPr>
        <w:tc>
          <w:tcPr>
            <w:tcW w:type="dxa" w:w="3830"/>
            <w:tcBorders>
              <w:start w:sz="2.3999999999999773"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山证创新 </w:t>
            </w:r>
          </w:p>
        </w:tc>
        <w:tc>
          <w:tcPr>
            <w:tcW w:type="dxa" w:w="850"/>
            <w:tcBorders>
              <w:start w:sz="1.599999999999909" w:val="single" w:color="#000000"/>
              <w:top w:sz="1.599999999999909"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599999999999909"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山西证券全资子公司山证创新投资有限公司 </w:t>
            </w:r>
          </w:p>
        </w:tc>
      </w:tr>
      <w:tr>
        <w:trPr>
          <w:trHeight w:hRule="exact" w:val="396"/>
        </w:trPr>
        <w:tc>
          <w:tcPr>
            <w:tcW w:type="dxa" w:w="3830"/>
            <w:tcBorders>
              <w:start w:sz="2.3999999999999773"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山证科技 </w:t>
            </w:r>
          </w:p>
        </w:tc>
        <w:tc>
          <w:tcPr>
            <w:tcW w:type="dxa" w:w="850"/>
            <w:tcBorders>
              <w:start w:sz="1.599999999999909" w:val="single" w:color="#000000"/>
              <w:top w:sz="1.6000000000003638"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34"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0"/>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6000000000003638"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山西证券全资子公司山证科技（深圳）有限公司 </w:t>
            </w:r>
          </w:p>
        </w:tc>
      </w:tr>
      <w:tr>
        <w:trPr>
          <w:trHeight w:hRule="exact" w:val="400"/>
        </w:trPr>
        <w:tc>
          <w:tcPr>
            <w:tcW w:type="dxa" w:w="3830"/>
            <w:tcBorders>
              <w:start w:sz="2.3999999999999773"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山证资管 </w:t>
            </w:r>
          </w:p>
        </w:tc>
        <w:tc>
          <w:tcPr>
            <w:tcW w:type="dxa" w:w="850"/>
            <w:tcBorders>
              <w:start w:sz="1.599999999999909" w:val="single" w:color="#000000"/>
              <w:top w:sz="1.6000000000003638"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34"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山西证券全资子公司山证（上海）资产管理有限公司 </w:t>
            </w:r>
          </w:p>
        </w:tc>
      </w:tr>
      <w:tr>
        <w:trPr>
          <w:trHeight w:hRule="exact" w:val="394"/>
        </w:trPr>
        <w:tc>
          <w:tcPr>
            <w:tcW w:type="dxa" w:w="3830"/>
            <w:tcBorders>
              <w:start w:sz="2.3999999999999773"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德意志银行 </w:t>
            </w:r>
          </w:p>
        </w:tc>
        <w:tc>
          <w:tcPr>
            <w:tcW w:type="dxa" w:w="850"/>
            <w:tcBorders>
              <w:start w:sz="1.599999999999909" w:val="single" w:color="#000000"/>
              <w:top w:sz="2.399999999999636"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34"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298"/>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2.399999999999636" w:val="single" w:color="#000000"/>
              <w:end w:sz="1.5999999999994543" w:val="single" w:color="#000000"/>
              <w:bottom w:sz="2.399999999999636"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德意志银行股份有限公司 </w:t>
            </w:r>
          </w:p>
        </w:tc>
      </w:tr>
      <w:tr>
        <w:trPr>
          <w:trHeight w:hRule="exact" w:val="400"/>
        </w:trPr>
        <w:tc>
          <w:tcPr>
            <w:tcW w:type="dxa" w:w="3830"/>
            <w:tcBorders>
              <w:start w:sz="2.3999999999999773"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大华期货 </w:t>
            </w:r>
          </w:p>
        </w:tc>
        <w:tc>
          <w:tcPr>
            <w:tcW w:type="dxa" w:w="850"/>
            <w:tcBorders>
              <w:start w:sz="1.599999999999909"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850"/>
            </w:tblGrid>
            <w:tr>
              <w:trPr>
                <w:trHeight w:hRule="exact" w:val="302"/>
              </w:trPr>
              <w:tc>
                <w:tcPr>
                  <w:tcW w:type="dxa" w:w="634"/>
                  <w:tcBorders/>
                  <w:shd w:fill="d2d2d2"/>
                  <w:tcMar>
                    <w:start w:w="0" w:type="dxa"/>
                    <w:end w:w="0" w:type="dxa"/>
                  </w:tcMar>
                </w:tcPr>
                <w:p>
                  <w:pPr>
                    <w:autoSpaceDN w:val="0"/>
                    <w:autoSpaceDE w:val="0"/>
                    <w:widowControl/>
                    <w:spacing w:line="180" w:lineRule="exact" w:before="76" w:after="0"/>
                    <w:ind w:left="0" w:right="138" w:firstLine="0"/>
                    <w:jc w:val="right"/>
                  </w:pPr>
                  <w:r>
                    <w:rPr>
                      <w:rFonts w:ascii="宋体" w:hAnsi="宋体" w:eastAsia="宋体"/>
                      <w:b w:val="0"/>
                      <w:i w:val="0"/>
                      <w:color w:val="000000"/>
                      <w:sz w:val="18"/>
                    </w:rPr>
                    <w:t xml:space="preserve">指 </w:t>
                  </w:r>
                </w:p>
              </w:tc>
            </w:tr>
          </w:tbl>
          <w:p>
            <w:pPr>
              <w:autoSpaceDN w:val="0"/>
              <w:autoSpaceDE w:val="0"/>
              <w:widowControl/>
              <w:spacing w:line="14" w:lineRule="exact" w:before="0" w:after="0"/>
              <w:ind w:left="0" w:right="0"/>
            </w:pPr>
          </w:p>
        </w:tc>
        <w:tc>
          <w:tcPr>
            <w:tcW w:type="dxa" w:w="4962"/>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大华期货有限公司 </w:t>
            </w:r>
          </w:p>
        </w:tc>
      </w:tr>
    </w:tbl>
    <w:p>
      <w:pPr>
        <w:autoSpaceDN w:val="0"/>
        <w:autoSpaceDE w:val="0"/>
        <w:widowControl/>
        <w:spacing w:line="197" w:lineRule="auto" w:before="3876" w:after="0"/>
        <w:ind w:left="0" w:right="0" w:firstLine="0"/>
        <w:jc w:val="center"/>
      </w:pPr>
      <w:r>
        <w:rPr>
          <w:rFonts w:ascii="Calibri" w:hAnsi="Calibri" w:eastAsia="Calibri"/>
          <w:b w:val="0"/>
          <w:i w:val="0"/>
          <w:color w:val="000000"/>
          <w:sz w:val="18"/>
        </w:rPr>
        <w:t xml:space="preserve">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0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 name="Picture 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2" w:bottom="446" w:left="1104" w:header="720" w:footer="720" w:gutter="0"/>
          <w:cols w:num="2" w:equalWidth="0">
            <w:col w:w="5436" w:space="0"/>
            <w:col w:w="4362" w:space="0"/>
          </w:cols>
          <w:docGrid w:linePitch="360"/>
        </w:sectPr>
      </w:pPr>
    </w:p>
    <w:p>
      <w:pPr>
        <w:autoSpaceDN w:val="0"/>
        <w:autoSpaceDE w:val="0"/>
        <w:widowControl/>
        <w:spacing w:line="200" w:lineRule="exact" w:before="0" w:after="30"/>
        <w:ind w:left="0" w:right="14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2" w:bottom="446" w:left="1104" w:header="720" w:footer="720" w:gutter="0"/>
          <w:cols w:num="2" w:equalWidth="0">
            <w:col w:w="5436" w:space="0"/>
            <w:col w:w="4362" w:space="0"/>
          </w:cols>
          <w:docGrid w:linePitch="360"/>
        </w:sectPr>
      </w:pPr>
    </w:p>
    <w:p>
      <w:pPr>
        <w:autoSpaceDN w:val="0"/>
        <w:autoSpaceDE w:val="0"/>
        <w:widowControl/>
        <w:spacing w:line="320" w:lineRule="exact" w:before="356" w:after="0"/>
        <w:ind w:left="2424" w:right="0" w:firstLine="0"/>
        <w:jc w:val="left"/>
      </w:pPr>
      <w:r>
        <w:rPr>
          <w:rFonts w:ascii="宋体" w:hAnsi="宋体" w:eastAsia="宋体"/>
          <w:b w:val="0"/>
          <w:i w:val="0"/>
          <w:color w:val="000000"/>
          <w:sz w:val="32"/>
        </w:rPr>
        <w:t xml:space="preserve">第二节 公司简介和主要财务指标 </w:t>
      </w:r>
    </w:p>
    <w:p>
      <w:pPr>
        <w:autoSpaceDN w:val="0"/>
        <w:autoSpaceDE w:val="0"/>
        <w:widowControl/>
        <w:spacing w:line="240" w:lineRule="exact" w:before="490" w:after="332"/>
        <w:ind w:left="30" w:right="0" w:firstLine="0"/>
        <w:jc w:val="left"/>
      </w:pPr>
      <w:r>
        <w:rPr>
          <w:rFonts w:ascii="宋体" w:hAnsi="宋体" w:eastAsia="宋体"/>
          <w:b w:val="0"/>
          <w:i w:val="0"/>
          <w:color w:val="000000"/>
          <w:sz w:val="24"/>
        </w:rPr>
        <w:t xml:space="preserve">一、公司信息 </w:t>
      </w:r>
    </w:p>
    <w:tbl>
      <w:tblPr>
        <w:tblW w:type="auto" w:w="0"/>
        <w:tblLayout w:type="fixed"/>
        <w:tblLook w:firstColumn="1" w:firstRow="1" w:lastColumn="0" w:lastRow="0" w:noHBand="0" w:noVBand="1" w:val="04A0"/>
        <w:tblInd w:w="27.99999999999997" w:type="dxa"/>
      </w:tblPr>
      <w:tblGrid>
        <w:gridCol w:w="2449"/>
        <w:gridCol w:w="2449"/>
        <w:gridCol w:w="2449"/>
        <w:gridCol w:w="2449"/>
      </w:tblGrid>
      <w:tr>
        <w:trPr>
          <w:trHeight w:hRule="exact" w:val="396"/>
        </w:trPr>
        <w:tc>
          <w:tcPr>
            <w:tcW w:type="dxa" w:w="2696"/>
            <w:tcBorders>
              <w:start w:sz="2.3999999999999773" w:val="single" w:color="#000000"/>
              <w:top w:sz="1.6000000000001364"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股票简称 </w:t>
            </w:r>
          </w:p>
        </w:tc>
        <w:tc>
          <w:tcPr>
            <w:tcW w:type="dxa" w:w="2126"/>
            <w:tcBorders>
              <w:start w:sz="2.3999999999998636"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 xml:space="preserve">山西证券 </w:t>
            </w:r>
          </w:p>
        </w:tc>
        <w:tc>
          <w:tcPr>
            <w:tcW w:type="dxa" w:w="2410"/>
            <w:tcBorders>
              <w:start w:sz="1.599999999999909" w:val="single" w:color="#000000"/>
              <w:top w:sz="1.6000000000001364"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 xml:space="preserve">股票代码 </w:t>
            </w:r>
          </w:p>
        </w:tc>
        <w:tc>
          <w:tcPr>
            <w:tcW w:type="dxa" w:w="2410"/>
            <w:tcBorders>
              <w:start w:sz="1.599999999999909" w:val="single" w:color="#000000"/>
              <w:top w:sz="1.6000000000001364"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002500 </w:t>
            </w:r>
          </w:p>
        </w:tc>
      </w:tr>
      <w:tr>
        <w:trPr>
          <w:trHeight w:hRule="exact" w:val="398"/>
        </w:trPr>
        <w:tc>
          <w:tcPr>
            <w:tcW w:type="dxa" w:w="2696"/>
            <w:tcBorders>
              <w:start w:sz="2.3999999999999773" w:val="single" w:color="#000000"/>
              <w:top w:sz="1.599999999999909"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股票上市证券交易所 </w:t>
            </w:r>
          </w:p>
        </w:tc>
        <w:tc>
          <w:tcPr>
            <w:tcW w:type="dxa" w:w="6946"/>
            <w:gridSpan w:val="3"/>
            <w:tcBorders>
              <w:start w:sz="2.3999999999998636" w:val="single" w:color="#000000"/>
              <w:top w:sz="1.599999999999909"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 xml:space="preserve">深圳证券交易所 </w:t>
            </w:r>
          </w:p>
        </w:tc>
      </w:tr>
      <w:tr>
        <w:trPr>
          <w:trHeight w:hRule="exact" w:val="396"/>
        </w:trPr>
        <w:tc>
          <w:tcPr>
            <w:tcW w:type="dxa" w:w="2696"/>
            <w:tcBorders>
              <w:start w:sz="2.3999999999999773" w:val="single" w:color="#000000"/>
              <w:top w:sz="1.599999999999909" w:val="single" w:color="#000000"/>
              <w:end w:sz="2.3999999999998636" w:val="single" w:color="#000000"/>
              <w:bottom w:sz="1.6000000000001364"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公司的中文名称 </w:t>
            </w:r>
          </w:p>
        </w:tc>
        <w:tc>
          <w:tcPr>
            <w:tcW w:type="dxa" w:w="6946"/>
            <w:gridSpan w:val="3"/>
            <w:tcBorders>
              <w:start w:sz="2.3999999999998636" w:val="single" w:color="#000000"/>
              <w:top w:sz="1.599999999999909" w:val="single" w:color="#000000"/>
              <w:end w:sz="1.5999999999994543" w:val="single" w:color="#000000"/>
              <w:bottom w:sz="1.6000000000001364"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 xml:space="preserve">山西证券股份有限公司 </w:t>
            </w:r>
          </w:p>
        </w:tc>
      </w:tr>
      <w:tr>
        <w:trPr>
          <w:trHeight w:hRule="exact" w:val="396"/>
        </w:trPr>
        <w:tc>
          <w:tcPr>
            <w:tcW w:type="dxa" w:w="2696"/>
            <w:tcBorders>
              <w:start w:sz="2.3999999999999773" w:val="single" w:color="#000000"/>
              <w:top w:sz="1.6000000000001364"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公司的中文简称 </w:t>
            </w:r>
          </w:p>
        </w:tc>
        <w:tc>
          <w:tcPr>
            <w:tcW w:type="dxa" w:w="6946"/>
            <w:gridSpan w:val="3"/>
            <w:tcBorders>
              <w:start w:sz="2.3999999999998636" w:val="single" w:color="#000000"/>
              <w:top w:sz="1.6000000000001364"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山西证券 </w:t>
            </w:r>
          </w:p>
        </w:tc>
      </w:tr>
      <w:tr>
        <w:trPr>
          <w:trHeight w:hRule="exact" w:val="398"/>
        </w:trPr>
        <w:tc>
          <w:tcPr>
            <w:tcW w:type="dxa" w:w="2696"/>
            <w:tcBorders>
              <w:start w:sz="2.3999999999999773" w:val="single" w:color="#000000"/>
              <w:top w:sz="1.599999999999909"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公司的外文名称 </w:t>
            </w:r>
          </w:p>
        </w:tc>
        <w:tc>
          <w:tcPr>
            <w:tcW w:type="dxa" w:w="6946"/>
            <w:gridSpan w:val="3"/>
            <w:tcBorders>
              <w:start w:sz="2.3999999999998636" w:val="single" w:color="#000000"/>
              <w:top w:sz="1.599999999999909" w:val="single" w:color="#000000"/>
              <w:end w:sz="1.5999999999994543"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SHANXI SECURITIES COMPANY LIMITED </w:t>
            </w:r>
          </w:p>
        </w:tc>
      </w:tr>
      <w:tr>
        <w:trPr>
          <w:trHeight w:hRule="exact" w:val="398"/>
        </w:trPr>
        <w:tc>
          <w:tcPr>
            <w:tcW w:type="dxa" w:w="2696"/>
            <w:tcBorders>
              <w:start w:sz="2.3999999999999773" w:val="single" w:color="#000000"/>
              <w:top w:sz="2.400000000000091"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公司的外文名称缩写 </w:t>
            </w:r>
          </w:p>
        </w:tc>
        <w:tc>
          <w:tcPr>
            <w:tcW w:type="dxa" w:w="6946"/>
            <w:gridSpan w:val="3"/>
            <w:tcBorders>
              <w:start w:sz="2.3999999999998636" w:val="single" w:color="#000000"/>
              <w:top w:sz="2.400000000000091" w:val="single" w:color="#000000"/>
              <w:end w:sz="1.5999999999994543"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SHANXI SECURITIES </w:t>
            </w:r>
          </w:p>
        </w:tc>
      </w:tr>
      <w:tr>
        <w:trPr>
          <w:trHeight w:hRule="exact" w:val="398"/>
        </w:trPr>
        <w:tc>
          <w:tcPr>
            <w:tcW w:type="dxa" w:w="2696"/>
            <w:tcBorders>
              <w:start w:sz="2.3999999999999773" w:val="single" w:color="#000000"/>
              <w:top w:sz="2.400000000000091" w:val="single" w:color="#000000"/>
              <w:end w:sz="2.3999999999998636" w:val="single" w:color="#000000"/>
              <w:bottom w:sz="2.399999999999636" w:val="single" w:color="#000000"/>
            </w:tcBorders>
            <w:shd w:fill="d2d2d2"/>
            <w:tcMar>
              <w:start w:w="0" w:type="dxa"/>
              <w:end w:w="0" w:type="dxa"/>
            </w:tcMar>
          </w:tcPr>
          <w:p>
            <w:pPr>
              <w:autoSpaceDN w:val="0"/>
              <w:autoSpaceDE w:val="0"/>
              <w:widowControl/>
              <w:spacing w:line="180" w:lineRule="exact" w:before="112" w:after="0"/>
              <w:ind w:left="0" w:right="0" w:firstLine="0"/>
              <w:jc w:val="center"/>
            </w:pPr>
            <w:r>
              <w:rPr>
                <w:rFonts w:ascii="宋体" w:hAnsi="宋体" w:eastAsia="宋体"/>
                <w:b w:val="0"/>
                <w:i w:val="0"/>
                <w:color w:val="000000"/>
                <w:sz w:val="18"/>
              </w:rPr>
              <w:t xml:space="preserve">公司的法定代表人（总经理） </w:t>
            </w:r>
          </w:p>
        </w:tc>
        <w:tc>
          <w:tcPr>
            <w:tcW w:type="dxa" w:w="6946"/>
            <w:gridSpan w:val="3"/>
            <w:tcBorders>
              <w:start w:sz="2.3999999999998636" w:val="single" w:color="#000000"/>
              <w:top w:sz="2.400000000000091" w:val="single" w:color="#000000"/>
              <w:end w:sz="1.5999999999994543" w:val="single" w:color="#000000"/>
              <w:bottom w:sz="2.399999999999636"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 xml:space="preserve">王怡里 </w:t>
            </w:r>
          </w:p>
        </w:tc>
      </w:tr>
      <w:tr>
        <w:trPr>
          <w:trHeight w:hRule="exact" w:val="394"/>
        </w:trPr>
        <w:tc>
          <w:tcPr>
            <w:tcW w:type="dxa" w:w="2696"/>
            <w:tcBorders>
              <w:start w:sz="2.3999999999999773" w:val="single" w:color="#000000"/>
              <w:top w:sz="2.399999999999636"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注册及办公地址 </w:t>
            </w:r>
          </w:p>
        </w:tc>
        <w:tc>
          <w:tcPr>
            <w:tcW w:type="dxa" w:w="6946"/>
            <w:gridSpan w:val="3"/>
            <w:tcBorders>
              <w:start w:sz="2.3999999999998636" w:val="single" w:color="#000000"/>
              <w:top w:sz="2.399999999999636" w:val="single" w:color="#000000"/>
              <w:end w:sz="1.5999999999994543"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 xml:space="preserve">太原市府西街69 号山西国际贸易中心东塔楼 </w:t>
            </w:r>
          </w:p>
        </w:tc>
      </w:tr>
      <w:tr>
        <w:trPr>
          <w:trHeight w:hRule="exact" w:val="398"/>
        </w:trPr>
        <w:tc>
          <w:tcPr>
            <w:tcW w:type="dxa" w:w="2696"/>
            <w:tcBorders>
              <w:start w:sz="2.3999999999999773" w:val="single" w:color="#000000"/>
              <w:top w:sz="2.400000000000091"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邮政编码 </w:t>
            </w:r>
          </w:p>
        </w:tc>
        <w:tc>
          <w:tcPr>
            <w:tcW w:type="dxa" w:w="6946"/>
            <w:gridSpan w:val="3"/>
            <w:tcBorders>
              <w:start w:sz="2.3999999999998636" w:val="single" w:color="#000000"/>
              <w:top w:sz="2.400000000000091" w:val="single" w:color="#000000"/>
              <w:end w:sz="1.5999999999994543"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10" w:after="0"/>
              <w:ind w:left="106" w:right="0" w:firstLine="0"/>
              <w:jc w:val="left"/>
            </w:pPr>
            <w:r>
              <w:rPr>
                <w:rFonts w:ascii="Times New Roman" w:hAnsi="Times New Roman" w:eastAsia="Times New Roman"/>
                <w:b w:val="0"/>
                <w:i w:val="0"/>
                <w:color w:val="000000"/>
                <w:sz w:val="18"/>
              </w:rPr>
              <w:t xml:space="preserve">030002 </w:t>
            </w:r>
          </w:p>
        </w:tc>
      </w:tr>
      <w:tr>
        <w:trPr>
          <w:trHeight w:hRule="exact" w:val="398"/>
        </w:trPr>
        <w:tc>
          <w:tcPr>
            <w:tcW w:type="dxa" w:w="2696"/>
            <w:tcBorders>
              <w:start w:sz="2.3999999999999773" w:val="single" w:color="#000000"/>
              <w:top w:sz="2.400000000000091"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公司注册地址历史变更情况 </w:t>
            </w:r>
          </w:p>
        </w:tc>
        <w:tc>
          <w:tcPr>
            <w:tcW w:type="dxa" w:w="6946"/>
            <w:gridSpan w:val="3"/>
            <w:tcBorders>
              <w:start w:sz="2.3999999999998636" w:val="single" w:color="#000000"/>
              <w:top w:sz="2.400000000000091"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 xml:space="preserve">自公司上市以来，注册地址未发生变化 </w:t>
            </w:r>
          </w:p>
        </w:tc>
      </w:tr>
      <w:tr>
        <w:trPr>
          <w:trHeight w:hRule="exact" w:val="396"/>
        </w:trPr>
        <w:tc>
          <w:tcPr>
            <w:tcW w:type="dxa" w:w="2696"/>
            <w:tcBorders>
              <w:start w:sz="2.3999999999999773" w:val="single" w:color="#000000"/>
              <w:top w:sz="1.599999999999909"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公司网址 </w:t>
            </w:r>
          </w:p>
        </w:tc>
        <w:tc>
          <w:tcPr>
            <w:tcW w:type="dxa" w:w="6946"/>
            <w:gridSpan w:val="3"/>
            <w:tcBorders>
              <w:start w:sz="2.3999999999998636" w:val="single" w:color="#000000"/>
              <w:top w:sz="1.599999999999909"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 xml:space="preserve">http://www.sxzq.com </w:t>
            </w:r>
          </w:p>
        </w:tc>
      </w:tr>
      <w:tr>
        <w:trPr>
          <w:trHeight w:hRule="exact" w:val="398"/>
        </w:trPr>
        <w:tc>
          <w:tcPr>
            <w:tcW w:type="dxa" w:w="2696"/>
            <w:tcBorders>
              <w:start w:sz="2.3999999999999773" w:val="single" w:color="#000000"/>
              <w:top w:sz="1.599999999999909" w:val="single" w:color="#000000"/>
              <w:end w:sz="2.3999999999998636" w:val="single" w:color="#000000"/>
              <w:bottom w:sz="1.6000000000003638"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电子信箱 </w:t>
            </w:r>
          </w:p>
        </w:tc>
        <w:tc>
          <w:tcPr>
            <w:tcW w:type="dxa" w:w="6946"/>
            <w:gridSpan w:val="3"/>
            <w:tcBorders>
              <w:start w:sz="2.3999999999998636" w:val="single" w:color="#000000"/>
              <w:top w:sz="1.599999999999909" w:val="single" w:color="#000000"/>
              <w:end w:sz="1.5999999999994543" w:val="single" w:color="#000000"/>
              <w:bottom w:sz="1.6000000000003638"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10" w:after="0"/>
              <w:ind w:left="106" w:right="0" w:firstLine="0"/>
              <w:jc w:val="left"/>
            </w:pPr>
            <w:r>
              <w:rPr>
                <w:rFonts w:ascii="Times New Roman" w:hAnsi="Times New Roman" w:eastAsia="Times New Roman"/>
                <w:b w:val="0"/>
                <w:i w:val="0"/>
                <w:color w:val="000000"/>
                <w:sz w:val="18"/>
              </w:rPr>
              <w:t xml:space="preserve">sxzq@i618.com.cn </w:t>
            </w:r>
          </w:p>
        </w:tc>
      </w:tr>
      <w:tr>
        <w:trPr>
          <w:trHeight w:hRule="exact" w:val="396"/>
        </w:trPr>
        <w:tc>
          <w:tcPr>
            <w:tcW w:type="dxa" w:w="2696"/>
            <w:tcBorders>
              <w:start w:sz="2.3999999999999773" w:val="single" w:color="#000000"/>
              <w:top w:sz="1.6000000000003638" w:val="single" w:color="#000000"/>
              <w:end w:sz="2.3999999999998636" w:val="single" w:color="#000000"/>
              <w:bottom w:sz="1.599999999999909" w:val="single" w:color="#000000"/>
            </w:tcBorders>
            <w:shd w:fill="d2d2d2"/>
            <w:tcMar>
              <w:start w:w="0" w:type="dxa"/>
              <w:end w:w="0" w:type="dxa"/>
            </w:tcMar>
          </w:tcPr>
          <w:p>
            <w:pPr>
              <w:autoSpaceDN w:val="0"/>
              <w:autoSpaceDE w:val="0"/>
              <w:widowControl/>
              <w:spacing w:line="180" w:lineRule="exact" w:before="112" w:after="0"/>
              <w:ind w:left="108" w:right="0" w:firstLine="0"/>
              <w:jc w:val="left"/>
            </w:pPr>
            <w:r>
              <w:rPr>
                <w:rFonts w:ascii="宋体" w:hAnsi="宋体" w:eastAsia="宋体"/>
                <w:b w:val="0"/>
                <w:i w:val="0"/>
                <w:color w:val="000000"/>
                <w:sz w:val="18"/>
              </w:rPr>
              <w:t xml:space="preserve">公司注册资本 </w:t>
            </w:r>
          </w:p>
        </w:tc>
        <w:tc>
          <w:tcPr>
            <w:tcW w:type="dxa" w:w="6946"/>
            <w:gridSpan w:val="3"/>
            <w:tcBorders>
              <w:start w:sz="2.3999999999998636" w:val="single" w:color="#000000"/>
              <w:top w:sz="1.6000000000003638"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198" w:lineRule="exact" w:before="108" w:after="0"/>
              <w:ind w:left="106" w:right="0" w:firstLine="0"/>
              <w:jc w:val="left"/>
            </w:pPr>
            <w:r>
              <w:rPr>
                <w:rFonts w:ascii="Times New Roman" w:hAnsi="Times New Roman" w:eastAsia="Times New Roman"/>
                <w:b w:val="0"/>
                <w:i w:val="0"/>
                <w:color w:val="000000"/>
                <w:sz w:val="18"/>
              </w:rPr>
              <w:t>3,589,771,547</w:t>
            </w:r>
            <w:r>
              <w:rPr>
                <w:rFonts w:ascii="宋体" w:hAnsi="宋体" w:eastAsia="宋体"/>
                <w:b w:val="0"/>
                <w:i w:val="0"/>
                <w:color w:val="000000"/>
                <w:sz w:val="18"/>
              </w:rPr>
              <w:t xml:space="preserve"> 元</w:t>
            </w:r>
          </w:p>
        </w:tc>
      </w:tr>
      <w:tr>
        <w:trPr>
          <w:trHeight w:hRule="exact" w:val="400"/>
        </w:trPr>
        <w:tc>
          <w:tcPr>
            <w:tcW w:type="dxa" w:w="2696"/>
            <w:tcBorders>
              <w:start w:sz="2.3999999999999773" w:val="single" w:color="#000000"/>
              <w:top w:sz="1.599999999999909" w:val="single" w:color="#000000"/>
              <w:end w:sz="2.3999999999998636" w:val="single" w:color="#000000"/>
              <w:bottom w:sz="2.399999999999636" w:val="single" w:color="#000000"/>
            </w:tcBorders>
            <w:shd w:fill="d2d2d2"/>
            <w:tcMar>
              <w:start w:w="0" w:type="dxa"/>
              <w:end w:w="0" w:type="dxa"/>
            </w:tcMar>
          </w:tcPr>
          <w:p>
            <w:pPr>
              <w:autoSpaceDN w:val="0"/>
              <w:autoSpaceDE w:val="0"/>
              <w:widowControl/>
              <w:spacing w:line="198" w:lineRule="exact" w:before="108" w:after="0"/>
              <w:ind w:left="0" w:right="0" w:firstLine="0"/>
              <w:jc w:val="center"/>
            </w:pPr>
            <w:r>
              <w:rPr>
                <w:rFonts w:ascii="宋体" w:hAnsi="宋体" w:eastAsia="宋体"/>
                <w:b w:val="0"/>
                <w:i w:val="0"/>
                <w:color w:val="000000"/>
                <w:sz w:val="18"/>
              </w:rPr>
              <w:t>截至</w:t>
            </w:r>
            <w:r>
              <w:rPr>
                <w:rFonts w:ascii="Times New Roman,Bold" w:hAnsi="Times New Roman,Bold" w:eastAsia="Times New Roman,Bold"/>
                <w:b/>
                <w:i w:val="0"/>
                <w:color w:val="000000"/>
                <w:sz w:val="18"/>
              </w:rPr>
              <w:t>2024</w:t>
            </w:r>
            <w:r>
              <w:rPr>
                <w:rFonts w:ascii="宋体" w:hAnsi="宋体" w:eastAsia="宋体"/>
                <w:b w:val="0"/>
                <w:i w:val="0"/>
                <w:color w:val="000000"/>
                <w:sz w:val="18"/>
              </w:rPr>
              <w:t xml:space="preserve"> 年</w:t>
            </w:r>
            <w:r>
              <w:rPr>
                <w:rFonts w:ascii="Times New Roman,Bold" w:hAnsi="Times New Roman,Bold" w:eastAsia="Times New Roman,Bold"/>
                <w:b/>
                <w:i w:val="0"/>
                <w:color w:val="000000"/>
                <w:sz w:val="18"/>
              </w:rPr>
              <w:t>12</w:t>
            </w:r>
            <w:r>
              <w:rPr>
                <w:rFonts w:ascii="宋体" w:hAnsi="宋体" w:eastAsia="宋体"/>
                <w:b w:val="0"/>
                <w:i w:val="0"/>
                <w:color w:val="000000"/>
                <w:sz w:val="18"/>
              </w:rPr>
              <w:t xml:space="preserve"> 月</w:t>
            </w:r>
            <w:r>
              <w:rPr>
                <w:rFonts w:ascii="Times New Roman,Bold" w:hAnsi="Times New Roman,Bold" w:eastAsia="Times New Roman,Bold"/>
                <w:b/>
                <w:i w:val="0"/>
                <w:color w:val="000000"/>
                <w:sz w:val="18"/>
              </w:rPr>
              <w:t>31</w:t>
            </w:r>
            <w:r>
              <w:rPr>
                <w:rFonts w:ascii="宋体" w:hAnsi="宋体" w:eastAsia="宋体"/>
                <w:b w:val="0"/>
                <w:i w:val="0"/>
                <w:color w:val="000000"/>
                <w:sz w:val="18"/>
              </w:rPr>
              <w:t xml:space="preserve"> 日净资本</w:t>
            </w:r>
          </w:p>
        </w:tc>
        <w:tc>
          <w:tcPr>
            <w:tcW w:type="dxa" w:w="6946"/>
            <w:gridSpan w:val="3"/>
            <w:tcBorders>
              <w:start w:sz="2.3999999999998636" w:val="single" w:color="#000000"/>
              <w:top w:sz="1.599999999999909" w:val="single" w:color="#000000"/>
              <w:end w:sz="1.5999999999994543" w:val="single" w:color="#000000"/>
              <w:bottom w:sz="2.399999999999636" w:val="single" w:color="#000000"/>
            </w:tcBorders>
            <w:tcMar>
              <w:start w:w="0" w:type="dxa"/>
              <w:end w:w="0" w:type="dxa"/>
            </w:tcMar>
            <w:tcMar>
              <w:start w:w="0" w:type="dxa"/>
              <w:end w:w="0" w:type="dxa"/>
            </w:tcMar>
            <w:tcMar>
              <w:start w:w="0" w:type="dxa"/>
              <w:end w:w="0" w:type="dxa"/>
            </w:tcMar>
          </w:tcPr>
          <w:p>
            <w:pPr>
              <w:autoSpaceDN w:val="0"/>
              <w:autoSpaceDE w:val="0"/>
              <w:widowControl/>
              <w:spacing w:line="198" w:lineRule="exact" w:before="110" w:after="0"/>
              <w:ind w:left="106" w:right="0" w:firstLine="0"/>
              <w:jc w:val="left"/>
            </w:pPr>
            <w:r>
              <w:rPr>
                <w:rFonts w:ascii="Times New Roman" w:hAnsi="Times New Roman" w:eastAsia="Times New Roman"/>
                <w:b w:val="0"/>
                <w:i w:val="0"/>
                <w:color w:val="000000"/>
                <w:sz w:val="18"/>
              </w:rPr>
              <w:t>11,672,804,649</w:t>
            </w:r>
            <w:r>
              <w:rPr>
                <w:rFonts w:ascii="宋体" w:hAnsi="宋体" w:eastAsia="宋体"/>
                <w:b w:val="0"/>
                <w:i w:val="0"/>
                <w:color w:val="000000"/>
                <w:sz w:val="18"/>
              </w:rPr>
              <w:t xml:space="preserve"> 元</w:t>
            </w:r>
          </w:p>
        </w:tc>
      </w:tr>
    </w:tbl>
    <w:p>
      <w:pPr>
        <w:autoSpaceDN w:val="0"/>
        <w:autoSpaceDE w:val="0"/>
        <w:widowControl/>
        <w:spacing w:line="240" w:lineRule="exact" w:before="350" w:after="330"/>
        <w:ind w:left="30" w:right="0" w:firstLine="0"/>
        <w:jc w:val="left"/>
      </w:pPr>
      <w:r>
        <w:rPr>
          <w:rFonts w:ascii="宋体" w:hAnsi="宋体" w:eastAsia="宋体"/>
          <w:b w:val="0"/>
          <w:i w:val="0"/>
          <w:color w:val="000000"/>
          <w:sz w:val="24"/>
        </w:rPr>
        <w:t xml:space="preserve">二、联系人和联系方式 </w:t>
      </w:r>
    </w:p>
    <w:tbl>
      <w:tblPr>
        <w:tblW w:type="auto" w:w="0"/>
        <w:tblLayout w:type="fixed"/>
        <w:tblLook w:firstColumn="1" w:firstRow="1" w:lastColumn="0" w:lastRow="0" w:noHBand="0" w:noVBand="1" w:val="04A0"/>
        <w:tblInd w:w="27.99999999999997" w:type="dxa"/>
      </w:tblPr>
      <w:tblGrid>
        <w:gridCol w:w="3266"/>
        <w:gridCol w:w="3266"/>
        <w:gridCol w:w="3266"/>
      </w:tblGrid>
      <w:tr>
        <w:trPr>
          <w:trHeight w:hRule="exact" w:val="400"/>
        </w:trPr>
        <w:tc>
          <w:tcPr>
            <w:tcW w:type="dxa" w:w="994"/>
            <w:tcBorders>
              <w:start w:sz="2.3999999999999773" w:val="single" w:color="#000000"/>
              <w:top w:sz="2.400000000000091" w:val="single" w:color="#000000"/>
              <w:end w:sz="2.3999999999999773" w:val="single" w:color="#000000"/>
              <w:bottom w:sz="1.6000000000003638" w:val="single" w:color="#000000"/>
            </w:tcBorders>
            <w:shd w:fill="d2d2d2"/>
            <w:tcMar>
              <w:start w:w="0" w:type="dxa"/>
              <w:end w:w="0" w:type="dxa"/>
            </w:tcMar>
          </w:tcPr>
          <w:p/>
        </w:tc>
        <w:tc>
          <w:tcPr>
            <w:tcW w:type="dxa" w:w="4346"/>
            <w:tcBorders>
              <w:start w:sz="2.3999999999999773" w:val="single" w:color="#000000"/>
              <w:top w:sz="2.400000000000091"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5.99999999999994" w:type="dxa"/>
            </w:tblPr>
            <w:tblGrid>
              <w:gridCol w:w="4346"/>
            </w:tblGrid>
            <w:tr>
              <w:trPr>
                <w:trHeight w:hRule="exact" w:val="298"/>
              </w:trPr>
              <w:tc>
                <w:tcPr>
                  <w:tcW w:type="dxa" w:w="4130"/>
                  <w:tcBorders/>
                  <w:shd w:fill="d2d2d2"/>
                  <w:tcMar>
                    <w:start w:w="0" w:type="dxa"/>
                    <w:end w:w="0" w:type="dxa"/>
                  </w:tcMar>
                </w:tcPr>
                <w:p>
                  <w:pPr>
                    <w:autoSpaceDN w:val="0"/>
                    <w:autoSpaceDE w:val="0"/>
                    <w:widowControl/>
                    <w:spacing w:line="180" w:lineRule="exact" w:before="76" w:after="0"/>
                    <w:ind w:left="0" w:right="1524" w:firstLine="0"/>
                    <w:jc w:val="right"/>
                  </w:pPr>
                  <w:r>
                    <w:rPr>
                      <w:rFonts w:ascii="宋体" w:hAnsi="宋体" w:eastAsia="宋体"/>
                      <w:b w:val="0"/>
                      <w:i w:val="0"/>
                      <w:color w:val="000000"/>
                      <w:sz w:val="18"/>
                    </w:rPr>
                    <w:t xml:space="preserve">董事会秘书 </w:t>
                  </w:r>
                </w:p>
              </w:tc>
            </w:tr>
          </w:tbl>
          <w:p>
            <w:pPr>
              <w:autoSpaceDN w:val="0"/>
              <w:autoSpaceDE w:val="0"/>
              <w:widowControl/>
              <w:spacing w:line="14" w:lineRule="exact" w:before="0" w:after="0"/>
              <w:ind w:left="0" w:right="0"/>
            </w:pPr>
          </w:p>
        </w:tc>
        <w:tc>
          <w:tcPr>
            <w:tcW w:type="dxa" w:w="4408"/>
            <w:tcBorders>
              <w:start w:sz="1.599999999999909" w:val="single" w:color="#000000"/>
              <w:top w:sz="2.400000000000091" w:val="single" w:color="#000000"/>
              <w:end w:sz="2.4000000000005457" w:val="single" w:color="#000000"/>
              <w:bottom w:sz="1.6000000000003638"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6.00000000000023" w:type="dxa"/>
            </w:tblPr>
            <w:tblGrid>
              <w:gridCol w:w="4408"/>
            </w:tblGrid>
            <w:tr>
              <w:trPr>
                <w:trHeight w:hRule="exact" w:val="298"/>
              </w:trPr>
              <w:tc>
                <w:tcPr>
                  <w:tcW w:type="dxa" w:w="4194"/>
                  <w:tcBorders/>
                  <w:shd w:fill="d2d2d2"/>
                  <w:tcMar>
                    <w:start w:w="0" w:type="dxa"/>
                    <w:end w:w="0" w:type="dxa"/>
                  </w:tcMar>
                </w:tcPr>
                <w:p>
                  <w:pPr>
                    <w:autoSpaceDN w:val="0"/>
                    <w:autoSpaceDE w:val="0"/>
                    <w:widowControl/>
                    <w:spacing w:line="180" w:lineRule="exact" w:before="76" w:after="0"/>
                    <w:ind w:left="0" w:right="1466" w:firstLine="0"/>
                    <w:jc w:val="right"/>
                  </w:pPr>
                  <w:r>
                    <w:rPr>
                      <w:rFonts w:ascii="宋体" w:hAnsi="宋体" w:eastAsia="宋体"/>
                      <w:b w:val="0"/>
                      <w:i w:val="0"/>
                      <w:color w:val="000000"/>
                      <w:sz w:val="18"/>
                    </w:rPr>
                    <w:t xml:space="preserve">证券事务代表 </w:t>
                  </w:r>
                </w:p>
              </w:tc>
            </w:tr>
          </w:tbl>
          <w:p>
            <w:pPr>
              <w:autoSpaceDN w:val="0"/>
              <w:autoSpaceDE w:val="0"/>
              <w:widowControl/>
              <w:spacing w:line="14" w:lineRule="exact" w:before="0" w:after="0"/>
              <w:ind w:left="0" w:right="0"/>
            </w:pPr>
          </w:p>
        </w:tc>
      </w:tr>
      <w:tr>
        <w:trPr>
          <w:trHeight w:hRule="exact" w:val="402"/>
        </w:trPr>
        <w:tc>
          <w:tcPr>
            <w:tcW w:type="dxa" w:w="994"/>
            <w:tcBorders>
              <w:start w:sz="2.3999999999999773" w:val="single" w:color="#000000"/>
              <w:top w:sz="1.6000000000003638" w:val="single" w:color="#000000"/>
              <w:end w:sz="2.3999999999999773" w:val="single" w:color="#000000"/>
              <w:bottom w:sz="2.399999999999636" w:val="single" w:color="#000000"/>
            </w:tcBorders>
            <w:shd w:fill="d2d2d2"/>
            <w:tcMar>
              <w:start w:w="0" w:type="dxa"/>
              <w:end w:w="0" w:type="dxa"/>
            </w:tcMar>
          </w:tcPr>
          <w:p>
            <w:pPr>
              <w:autoSpaceDN w:val="0"/>
              <w:autoSpaceDE w:val="0"/>
              <w:widowControl/>
              <w:spacing w:line="40" w:lineRule="exact" w:before="0" w:after="0"/>
              <w:ind w:left="0" w:right="0"/>
            </w:pPr>
          </w:p>
          <w:tbl>
            <w:tblPr>
              <w:tblW w:type="auto" w:w="0"/>
              <w:tblLayout w:type="fixed"/>
              <w:tblLook w:firstColumn="1" w:firstRow="1" w:lastColumn="0" w:lastRow="0" w:noHBand="0" w:noVBand="1" w:val="04A0"/>
              <w:tblInd w:w="108.00000000000011" w:type="dxa"/>
            </w:tblPr>
            <w:tblGrid>
              <w:gridCol w:w="994"/>
            </w:tblGrid>
            <w:tr>
              <w:trPr>
                <w:trHeight w:hRule="exact" w:val="300"/>
              </w:trPr>
              <w:tc>
                <w:tcPr>
                  <w:tcW w:type="dxa" w:w="774"/>
                  <w:tcBorders/>
                  <w:shd w:fill="d2d2d2"/>
                  <w:tcMar>
                    <w:start w:w="0" w:type="dxa"/>
                    <w:end w:w="0" w:type="dxa"/>
                  </w:tcMar>
                </w:tcPr>
                <w:p>
                  <w:pPr>
                    <w:autoSpaceDN w:val="0"/>
                    <w:autoSpaceDE w:val="0"/>
                    <w:widowControl/>
                    <w:spacing w:line="180" w:lineRule="exact" w:before="76" w:after="0"/>
                    <w:ind w:left="0" w:right="116" w:firstLine="0"/>
                    <w:jc w:val="right"/>
                  </w:pPr>
                  <w:r>
                    <w:rPr>
                      <w:rFonts w:ascii="宋体" w:hAnsi="宋体" w:eastAsia="宋体"/>
                      <w:b w:val="0"/>
                      <w:i w:val="0"/>
                      <w:color w:val="000000"/>
                      <w:sz w:val="18"/>
                    </w:rPr>
                    <w:t xml:space="preserve">姓名 </w:t>
                  </w:r>
                </w:p>
              </w:tc>
            </w:tr>
          </w:tbl>
          <w:p>
            <w:pPr>
              <w:autoSpaceDN w:val="0"/>
              <w:autoSpaceDE w:val="0"/>
              <w:widowControl/>
              <w:spacing w:line="14" w:lineRule="exact" w:before="0" w:after="0"/>
              <w:ind w:left="0" w:right="0"/>
            </w:pPr>
          </w:p>
        </w:tc>
        <w:tc>
          <w:tcPr>
            <w:tcW w:type="dxa" w:w="4346"/>
            <w:tcBorders>
              <w:start w:sz="2.3999999999999773"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16" w:after="0"/>
              <w:ind w:left="0" w:right="1812" w:firstLine="0"/>
              <w:jc w:val="right"/>
            </w:pPr>
            <w:r>
              <w:rPr>
                <w:rFonts w:ascii="宋体" w:hAnsi="宋体" w:eastAsia="宋体"/>
                <w:b w:val="0"/>
                <w:i w:val="0"/>
                <w:color w:val="000000"/>
                <w:sz w:val="18"/>
              </w:rPr>
              <w:t xml:space="preserve">王怡里 </w:t>
            </w:r>
          </w:p>
        </w:tc>
        <w:tc>
          <w:tcPr>
            <w:tcW w:type="dxa" w:w="4408"/>
            <w:tcBorders>
              <w:start w:sz="1.599999999999909" w:val="single" w:color="#000000"/>
              <w:top w:sz="1.6000000000003638" w:val="single" w:color="#000000"/>
              <w:end w:sz="2.4000000000005457" w:val="single" w:color="#000000"/>
              <w:bottom w:sz="2.399999999999636" w:val="single" w:color="#000000"/>
            </w:tcBorders>
            <w:tcMar>
              <w:start w:w="0" w:type="dxa"/>
              <w:end w:w="0" w:type="dxa"/>
            </w:tcMar>
          </w:tcPr>
          <w:p>
            <w:pPr>
              <w:autoSpaceDN w:val="0"/>
              <w:autoSpaceDE w:val="0"/>
              <w:widowControl/>
              <w:spacing w:line="180" w:lineRule="exact" w:before="116" w:after="0"/>
              <w:ind w:left="0" w:right="1840" w:firstLine="0"/>
              <w:jc w:val="right"/>
            </w:pPr>
            <w:r>
              <w:rPr>
                <w:rFonts w:ascii="宋体" w:hAnsi="宋体" w:eastAsia="宋体"/>
                <w:b w:val="0"/>
                <w:i w:val="0"/>
                <w:color w:val="000000"/>
                <w:sz w:val="18"/>
              </w:rPr>
              <w:t xml:space="preserve">梁颖新 </w:t>
            </w:r>
          </w:p>
        </w:tc>
      </w:tr>
      <w:tr>
        <w:trPr>
          <w:trHeight w:hRule="exact" w:val="486"/>
        </w:trPr>
        <w:tc>
          <w:tcPr>
            <w:tcW w:type="dxa" w:w="994"/>
            <w:tcBorders>
              <w:start w:sz="2.3999999999999773" w:val="single" w:color="#000000"/>
              <w:top w:sz="2.399999999999636"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180" w:lineRule="exact" w:before="156" w:after="0"/>
              <w:ind w:left="134" w:right="0" w:firstLine="0"/>
              <w:jc w:val="left"/>
            </w:pPr>
            <w:r>
              <w:rPr>
                <w:shd w:val="clear" w:color="auto" w:fill="d2d2d2"/>
                <w:rFonts w:ascii="宋体" w:hAnsi="宋体" w:eastAsia="宋体"/>
                <w:b w:val="0"/>
                <w:i w:val="0"/>
                <w:color w:val="000000"/>
                <w:sz w:val="18"/>
              </w:rPr>
              <w:t>联系地址</w:t>
            </w:r>
            <w:r>
              <w:rPr>
                <w:rFonts w:ascii="宋体" w:hAnsi="宋体" w:eastAsia="宋体"/>
                <w:b w:val="0"/>
                <w:i w:val="0"/>
                <w:color w:val="000000"/>
                <w:sz w:val="18"/>
              </w:rPr>
              <w:t xml:space="preserve"> </w:t>
            </w:r>
          </w:p>
        </w:tc>
        <w:tc>
          <w:tcPr>
            <w:tcW w:type="dxa" w:w="4346"/>
            <w:tcBorders>
              <w:start w:sz="2.3999999999999773"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exact" w:before="0" w:after="0"/>
              <w:ind w:left="106" w:right="144" w:firstLine="0"/>
              <w:jc w:val="left"/>
            </w:pPr>
            <w:r>
              <w:rPr>
                <w:rFonts w:ascii="宋体" w:hAnsi="宋体" w:eastAsia="宋体"/>
                <w:b w:val="0"/>
                <w:i w:val="0"/>
                <w:color w:val="000000"/>
                <w:sz w:val="18"/>
              </w:rPr>
              <w:t>山西省太原市府西街69 号山西国际贸易中心东塔楼</w:t>
            </w:r>
            <w:r>
              <w:rPr>
                <w:rFonts w:ascii="宋体" w:hAnsi="宋体" w:eastAsia="宋体"/>
                <w:b w:val="0"/>
                <w:i w:val="0"/>
                <w:color w:val="000000"/>
                <w:sz w:val="18"/>
              </w:rPr>
              <w:t xml:space="preserve">29 层 </w:t>
            </w:r>
          </w:p>
        </w:tc>
        <w:tc>
          <w:tcPr>
            <w:tcW w:type="dxa" w:w="4408"/>
            <w:tcBorders>
              <w:start w:sz="1.599999999999909" w:val="single" w:color="#000000"/>
              <w:top w:sz="2.399999999999636" w:val="single" w:color="#000000"/>
              <w:end w:sz="2.4000000000005457" w:val="single" w:color="#000000"/>
              <w:bottom w:sz="1.6000000000003638" w:val="single" w:color="#000000"/>
            </w:tcBorders>
            <w:tcMar>
              <w:start w:w="0" w:type="dxa"/>
              <w:end w:w="0" w:type="dxa"/>
            </w:tcMar>
          </w:tcPr>
          <w:p>
            <w:pPr>
              <w:autoSpaceDN w:val="0"/>
              <w:autoSpaceDE w:val="0"/>
              <w:widowControl/>
              <w:spacing w:line="230" w:lineRule="exact" w:before="0" w:after="0"/>
              <w:ind w:left="106" w:right="144" w:firstLine="0"/>
              <w:jc w:val="left"/>
            </w:pPr>
            <w:r>
              <w:rPr>
                <w:rFonts w:ascii="宋体" w:hAnsi="宋体" w:eastAsia="宋体"/>
                <w:b w:val="0"/>
                <w:i w:val="0"/>
                <w:color w:val="000000"/>
                <w:sz w:val="18"/>
              </w:rPr>
              <w:t>山西省太原市府西街69 号山西国际贸易中心东塔楼</w:t>
            </w:r>
            <w:r>
              <w:rPr>
                <w:rFonts w:ascii="宋体" w:hAnsi="宋体" w:eastAsia="宋体"/>
                <w:b w:val="0"/>
                <w:i w:val="0"/>
                <w:color w:val="000000"/>
                <w:sz w:val="18"/>
              </w:rPr>
              <w:t xml:space="preserve">29 层 </w:t>
            </w:r>
          </w:p>
        </w:tc>
      </w:tr>
      <w:tr>
        <w:trPr>
          <w:trHeight w:hRule="exact" w:val="404"/>
        </w:trPr>
        <w:tc>
          <w:tcPr>
            <w:tcW w:type="dxa" w:w="994"/>
            <w:tcBorders>
              <w:start w:sz="2.3999999999999773" w:val="single" w:color="#000000"/>
              <w:top w:sz="1.6000000000003638"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40" w:lineRule="exact" w:before="0" w:after="0"/>
              <w:ind w:left="0" w:right="0"/>
            </w:pPr>
          </w:p>
          <w:tbl>
            <w:tblPr>
              <w:tblW w:type="auto" w:w="0"/>
              <w:tblLayout w:type="fixed"/>
              <w:tblLook w:firstColumn="1" w:firstRow="1" w:lastColumn="0" w:lastRow="0" w:noHBand="0" w:noVBand="1" w:val="04A0"/>
              <w:tblInd w:w="108.00000000000011" w:type="dxa"/>
            </w:tblPr>
            <w:tblGrid>
              <w:gridCol w:w="994"/>
            </w:tblGrid>
            <w:tr>
              <w:trPr>
                <w:trHeight w:hRule="exact" w:val="298"/>
              </w:trPr>
              <w:tc>
                <w:tcPr>
                  <w:tcW w:type="dxa" w:w="774"/>
                  <w:tcBorders/>
                  <w:shd w:fill="d2d2d2"/>
                  <w:tcMar>
                    <w:start w:w="0" w:type="dxa"/>
                    <w:end w:w="0" w:type="dxa"/>
                  </w:tcMar>
                </w:tcPr>
                <w:p>
                  <w:pPr>
                    <w:autoSpaceDN w:val="0"/>
                    <w:autoSpaceDE w:val="0"/>
                    <w:widowControl/>
                    <w:spacing w:line="180" w:lineRule="exact" w:before="74" w:after="0"/>
                    <w:ind w:left="0" w:right="116" w:firstLine="0"/>
                    <w:jc w:val="right"/>
                  </w:pPr>
                  <w:r>
                    <w:rPr>
                      <w:rFonts w:ascii="宋体" w:hAnsi="宋体" w:eastAsia="宋体"/>
                      <w:b w:val="0"/>
                      <w:i w:val="0"/>
                      <w:color w:val="000000"/>
                      <w:sz w:val="18"/>
                    </w:rPr>
                    <w:t xml:space="preserve">电话 </w:t>
                  </w:r>
                </w:p>
              </w:tc>
            </w:tr>
          </w:tbl>
          <w:p>
            <w:pPr>
              <w:autoSpaceDN w:val="0"/>
              <w:autoSpaceDE w:val="0"/>
              <w:widowControl/>
              <w:spacing w:line="14" w:lineRule="exact" w:before="0" w:after="0"/>
              <w:ind w:left="0" w:right="0"/>
            </w:pPr>
          </w:p>
        </w:tc>
        <w:tc>
          <w:tcPr>
            <w:tcW w:type="dxa" w:w="4346"/>
            <w:tcBorders>
              <w:start w:sz="2.3999999999999773"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12" w:after="0"/>
              <w:ind w:left="106" w:right="0" w:firstLine="0"/>
              <w:jc w:val="left"/>
            </w:pPr>
            <w:r>
              <w:rPr>
                <w:rFonts w:ascii="Times New Roman" w:hAnsi="Times New Roman" w:eastAsia="Times New Roman"/>
                <w:b w:val="0"/>
                <w:i w:val="0"/>
                <w:color w:val="000000"/>
                <w:sz w:val="18"/>
              </w:rPr>
              <w:t xml:space="preserve">0351-8686668 </w:t>
            </w:r>
          </w:p>
        </w:tc>
        <w:tc>
          <w:tcPr>
            <w:tcW w:type="dxa" w:w="4408"/>
            <w:tcBorders>
              <w:start w:sz="1.599999999999909" w:val="single" w:color="#000000"/>
              <w:top w:sz="1.6000000000003638" w:val="single" w:color="#000000"/>
              <w:end w:sz="2.4000000000005457" w:val="single" w:color="#000000"/>
              <w:bottom w:sz="1.6000000000003638" w:val="single" w:color="#000000"/>
            </w:tcBorders>
            <w:tcMar>
              <w:start w:w="0" w:type="dxa"/>
              <w:end w:w="0" w:type="dxa"/>
            </w:tcMar>
          </w:tcPr>
          <w:p>
            <w:pPr>
              <w:autoSpaceDN w:val="0"/>
              <w:autoSpaceDE w:val="0"/>
              <w:widowControl/>
              <w:spacing w:line="230" w:lineRule="auto" w:before="112" w:after="0"/>
              <w:ind w:left="106" w:right="0" w:firstLine="0"/>
              <w:jc w:val="left"/>
            </w:pPr>
            <w:r>
              <w:rPr>
                <w:rFonts w:ascii="Times New Roman" w:hAnsi="Times New Roman" w:eastAsia="Times New Roman"/>
                <w:b w:val="0"/>
                <w:i w:val="0"/>
                <w:color w:val="000000"/>
                <w:sz w:val="18"/>
              </w:rPr>
              <w:t xml:space="preserve">0351-8686905 </w:t>
            </w:r>
          </w:p>
        </w:tc>
      </w:tr>
      <w:tr>
        <w:trPr>
          <w:trHeight w:hRule="exact" w:val="400"/>
        </w:trPr>
        <w:tc>
          <w:tcPr>
            <w:tcW w:type="dxa" w:w="994"/>
            <w:tcBorders>
              <w:start w:sz="2.3999999999999773" w:val="single" w:color="#000000"/>
              <w:top w:sz="1.6000000000003638"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36" w:lineRule="exact" w:before="0" w:after="0"/>
              <w:ind w:left="0" w:right="0"/>
            </w:pPr>
          </w:p>
          <w:tbl>
            <w:tblPr>
              <w:tblW w:type="auto" w:w="0"/>
              <w:tblLayout w:type="fixed"/>
              <w:tblLook w:firstColumn="1" w:firstRow="1" w:lastColumn="0" w:lastRow="0" w:noHBand="0" w:noVBand="1" w:val="04A0"/>
              <w:tblInd w:w="108.00000000000011" w:type="dxa"/>
            </w:tblPr>
            <w:tblGrid>
              <w:gridCol w:w="994"/>
            </w:tblGrid>
            <w:tr>
              <w:trPr>
                <w:trHeight w:hRule="exact" w:val="300"/>
              </w:trPr>
              <w:tc>
                <w:tcPr>
                  <w:tcW w:type="dxa" w:w="774"/>
                  <w:tcBorders/>
                  <w:shd w:fill="d2d2d2"/>
                  <w:tcMar>
                    <w:start w:w="0" w:type="dxa"/>
                    <w:end w:w="0" w:type="dxa"/>
                  </w:tcMar>
                </w:tcPr>
                <w:p>
                  <w:pPr>
                    <w:autoSpaceDN w:val="0"/>
                    <w:autoSpaceDE w:val="0"/>
                    <w:widowControl/>
                    <w:spacing w:line="180" w:lineRule="exact" w:before="76" w:after="0"/>
                    <w:ind w:left="0" w:right="116" w:firstLine="0"/>
                    <w:jc w:val="right"/>
                  </w:pPr>
                  <w:r>
                    <w:rPr>
                      <w:rFonts w:ascii="宋体" w:hAnsi="宋体" w:eastAsia="宋体"/>
                      <w:b w:val="0"/>
                      <w:i w:val="0"/>
                      <w:color w:val="000000"/>
                      <w:sz w:val="18"/>
                    </w:rPr>
                    <w:t xml:space="preserve">传真 </w:t>
                  </w:r>
                </w:p>
              </w:tc>
            </w:tr>
          </w:tbl>
          <w:p>
            <w:pPr>
              <w:autoSpaceDN w:val="0"/>
              <w:autoSpaceDE w:val="0"/>
              <w:widowControl/>
              <w:spacing w:line="14" w:lineRule="exact" w:before="0" w:after="0"/>
              <w:ind w:left="0" w:right="0"/>
            </w:pPr>
          </w:p>
        </w:tc>
        <w:tc>
          <w:tcPr>
            <w:tcW w:type="dxa" w:w="4346"/>
            <w:tcBorders>
              <w:start w:sz="2.3999999999999773"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108" w:after="0"/>
              <w:ind w:left="106" w:right="0" w:firstLine="0"/>
              <w:jc w:val="left"/>
            </w:pPr>
            <w:r>
              <w:rPr>
                <w:rFonts w:ascii="Times New Roman" w:hAnsi="Times New Roman" w:eastAsia="Times New Roman"/>
                <w:b w:val="0"/>
                <w:i w:val="0"/>
                <w:color w:val="000000"/>
                <w:sz w:val="18"/>
              </w:rPr>
              <w:t xml:space="preserve">0351-8686667 </w:t>
            </w:r>
          </w:p>
        </w:tc>
        <w:tc>
          <w:tcPr>
            <w:tcW w:type="dxa" w:w="4408"/>
            <w:tcBorders>
              <w:start w:sz="1.599999999999909" w:val="single" w:color="#000000"/>
              <w:top w:sz="1.6000000000003638" w:val="single" w:color="#000000"/>
              <w:end w:sz="2.4000000000005457" w:val="single" w:color="#000000"/>
              <w:bottom w:sz="1.6000000000003638" w:val="single" w:color="#000000"/>
            </w:tcBorders>
            <w:tcMar>
              <w:start w:w="0" w:type="dxa"/>
              <w:end w:w="0" w:type="dxa"/>
            </w:tcMar>
          </w:tcPr>
          <w:p>
            <w:pPr>
              <w:autoSpaceDN w:val="0"/>
              <w:autoSpaceDE w:val="0"/>
              <w:widowControl/>
              <w:spacing w:line="233" w:lineRule="auto" w:before="108" w:after="0"/>
              <w:ind w:left="106" w:right="0" w:firstLine="0"/>
              <w:jc w:val="left"/>
            </w:pPr>
            <w:r>
              <w:rPr>
                <w:rFonts w:ascii="Times New Roman" w:hAnsi="Times New Roman" w:eastAsia="Times New Roman"/>
                <w:b w:val="0"/>
                <w:i w:val="0"/>
                <w:color w:val="000000"/>
                <w:sz w:val="18"/>
              </w:rPr>
              <w:t xml:space="preserve">0351-8686667 </w:t>
            </w:r>
          </w:p>
        </w:tc>
      </w:tr>
      <w:tr>
        <w:trPr>
          <w:trHeight w:hRule="exact" w:val="404"/>
        </w:trPr>
        <w:tc>
          <w:tcPr>
            <w:tcW w:type="dxa" w:w="994"/>
            <w:tcBorders>
              <w:start w:sz="2.3999999999999773" w:val="single" w:color="#000000"/>
              <w:top w:sz="1.6000000000003638" w:val="single" w:color="#000000"/>
              <w:end w:sz="2.3999999999999773" w:val="single" w:color="#000000"/>
              <w:bottom w:sz="1.5999999999994543" w:val="single" w:color="#000000"/>
            </w:tcBorders>
            <w:shd w:fill="d2d2d2"/>
            <w:tcMar>
              <w:start w:w="0" w:type="dxa"/>
              <w:end w:w="0" w:type="dxa"/>
            </w:tcMar>
          </w:tcPr>
          <w:p>
            <w:pPr>
              <w:autoSpaceDN w:val="0"/>
              <w:autoSpaceDE w:val="0"/>
              <w:widowControl/>
              <w:spacing w:line="180" w:lineRule="exact" w:before="114" w:after="0"/>
              <w:ind w:left="134" w:right="0" w:firstLine="0"/>
              <w:jc w:val="left"/>
            </w:pPr>
            <w:r>
              <w:rPr>
                <w:shd w:val="clear" w:color="auto" w:fill="d2d2d2"/>
                <w:rFonts w:ascii="宋体" w:hAnsi="宋体" w:eastAsia="宋体"/>
                <w:b w:val="0"/>
                <w:i w:val="0"/>
                <w:color w:val="000000"/>
                <w:sz w:val="18"/>
              </w:rPr>
              <w:t>电子信箱</w:t>
            </w:r>
            <w:r>
              <w:rPr>
                <w:rFonts w:ascii="宋体" w:hAnsi="宋体" w:eastAsia="宋体"/>
                <w:b w:val="0"/>
                <w:i w:val="0"/>
                <w:color w:val="000000"/>
                <w:sz w:val="18"/>
              </w:rPr>
              <w:t xml:space="preserve"> </w:t>
            </w:r>
          </w:p>
        </w:tc>
        <w:tc>
          <w:tcPr>
            <w:tcW w:type="dxa" w:w="4346"/>
            <w:tcBorders>
              <w:start w:sz="2.3999999999999773"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112" w:after="0"/>
              <w:ind w:left="106" w:right="0" w:firstLine="0"/>
              <w:jc w:val="left"/>
            </w:pPr>
            <w:r>
              <w:rPr>
                <w:rFonts w:ascii="Times New Roman" w:hAnsi="Times New Roman" w:eastAsia="Times New Roman"/>
                <w:b w:val="0"/>
                <w:i w:val="0"/>
                <w:color w:val="000000"/>
                <w:sz w:val="18"/>
              </w:rPr>
              <w:t xml:space="preserve">wangyili@i618.com.cn </w:t>
            </w:r>
          </w:p>
        </w:tc>
        <w:tc>
          <w:tcPr>
            <w:tcW w:type="dxa" w:w="4408"/>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0" w:lineRule="auto" w:before="112" w:after="0"/>
              <w:ind w:left="106" w:right="0" w:firstLine="0"/>
              <w:jc w:val="left"/>
            </w:pPr>
            <w:r>
              <w:rPr>
                <w:rFonts w:ascii="Times New Roman" w:hAnsi="Times New Roman" w:eastAsia="Times New Roman"/>
                <w:b w:val="0"/>
                <w:i w:val="0"/>
                <w:color w:val="000000"/>
                <w:sz w:val="18"/>
              </w:rPr>
              <w:t xml:space="preserve">lyxnew@sina.com </w:t>
            </w:r>
          </w:p>
        </w:tc>
      </w:tr>
    </w:tbl>
    <w:p>
      <w:pPr>
        <w:autoSpaceDN w:val="0"/>
        <w:autoSpaceDE w:val="0"/>
        <w:widowControl/>
        <w:spacing w:line="240" w:lineRule="exact" w:before="350" w:after="330"/>
        <w:ind w:left="30" w:right="0" w:firstLine="0"/>
        <w:jc w:val="left"/>
      </w:pPr>
      <w:r>
        <w:rPr>
          <w:rFonts w:ascii="宋体" w:hAnsi="宋体" w:eastAsia="宋体"/>
          <w:b w:val="0"/>
          <w:i w:val="0"/>
          <w:color w:val="000000"/>
          <w:sz w:val="24"/>
        </w:rPr>
        <w:t xml:space="preserve">三、信息披露及备置地点 </w:t>
      </w:r>
    </w:p>
    <w:tbl>
      <w:tblPr>
        <w:tblW w:type="auto" w:w="0"/>
        <w:tblLayout w:type="fixed"/>
        <w:tblLook w:firstColumn="1" w:firstRow="1" w:lastColumn="0" w:lastRow="0" w:noHBand="0" w:noVBand="1" w:val="04A0"/>
        <w:tblInd w:w="31.999999999999886" w:type="dxa"/>
      </w:tblPr>
      <w:tblGrid>
        <w:gridCol w:w="4899"/>
        <w:gridCol w:w="4899"/>
      </w:tblGrid>
      <w:tr>
        <w:trPr>
          <w:trHeight w:hRule="exact" w:val="400"/>
        </w:trPr>
        <w:tc>
          <w:tcPr>
            <w:tcW w:type="dxa" w:w="4818"/>
            <w:tcBorders>
              <w:top w:sz="1.6000000000003638"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134" w:after="0"/>
              <w:ind w:left="108" w:right="0" w:firstLine="0"/>
              <w:jc w:val="left"/>
            </w:pPr>
            <w:r>
              <w:rPr>
                <w:rFonts w:ascii="宋体" w:hAnsi="宋体" w:eastAsia="宋体"/>
                <w:b w:val="0"/>
                <w:i w:val="0"/>
                <w:color w:val="000000"/>
                <w:sz w:val="18"/>
              </w:rPr>
              <w:t xml:space="preserve">公司披露年度报告的证券交易所网站 </w:t>
            </w:r>
          </w:p>
        </w:tc>
        <w:tc>
          <w:tcPr>
            <w:tcW w:type="dxa" w:w="4820"/>
            <w:tcBorders>
              <w:start w:sz="1.599999999999909" w:val="single" w:color="#000000"/>
              <w:top w:sz="1.6000000000003638"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34" w:after="0"/>
              <w:ind w:left="108" w:right="0" w:firstLine="0"/>
              <w:jc w:val="left"/>
            </w:pPr>
            <w:r>
              <w:rPr>
                <w:rFonts w:ascii="宋体" w:hAnsi="宋体" w:eastAsia="宋体"/>
                <w:b w:val="0"/>
                <w:i w:val="0"/>
                <w:color w:val="000000"/>
                <w:sz w:val="18"/>
              </w:rPr>
              <w:t xml:space="preserve">深圳证券交易所(http://www.szse.cn) </w:t>
            </w:r>
          </w:p>
        </w:tc>
      </w:tr>
      <w:tr>
        <w:trPr>
          <w:trHeight w:hRule="exact" w:val="1508"/>
        </w:trPr>
        <w:tc>
          <w:tcPr>
            <w:tcW w:type="dxa" w:w="4818"/>
            <w:tcBorders>
              <w:top w:sz="1.6000000000003638"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686" w:after="0"/>
              <w:ind w:left="108" w:right="0" w:firstLine="0"/>
              <w:jc w:val="left"/>
            </w:pPr>
            <w:r>
              <w:rPr>
                <w:rFonts w:ascii="宋体" w:hAnsi="宋体" w:eastAsia="宋体"/>
                <w:b w:val="0"/>
                <w:i w:val="0"/>
                <w:color w:val="000000"/>
                <w:sz w:val="18"/>
              </w:rPr>
              <w:t xml:space="preserve">公司披露年度报告的媒体名称及网址 </w:t>
            </w:r>
          </w:p>
        </w:tc>
        <w:tc>
          <w:tcPr>
            <w:tcW w:type="dxa" w:w="4820"/>
            <w:tcBorders>
              <w:start w:sz="1.599999999999909" w:val="single" w:color="#000000"/>
              <w:top w:sz="1.6000000000003638" w:val="single" w:color="#000000"/>
              <w:end w:sz="1.5999999999994543" w:val="single" w:color="#000000"/>
              <w:bottom w:sz="1.6000000000003638" w:val="single" w:color="#000000"/>
            </w:tcBorders>
            <w:tcMar>
              <w:start w:w="0" w:type="dxa"/>
              <w:end w:w="0" w:type="dxa"/>
            </w:tcMar>
          </w:tcPr>
          <w:p>
            <w:pPr>
              <w:autoSpaceDN w:val="0"/>
              <w:autoSpaceDE w:val="0"/>
              <w:widowControl/>
              <w:spacing w:line="294" w:lineRule="exact" w:before="0" w:after="0"/>
              <w:ind w:left="108" w:right="1152" w:firstLine="0"/>
              <w:jc w:val="left"/>
            </w:pPr>
            <w:r>
              <w:rPr>
                <w:rFonts w:ascii="宋体" w:hAnsi="宋体" w:eastAsia="宋体"/>
                <w:b w:val="0"/>
                <w:i w:val="0"/>
                <w:color w:val="000000"/>
                <w:sz w:val="18"/>
              </w:rPr>
              <w:t xml:space="preserve">中国证券报（https://www.cs.com.cn） </w:t>
            </w:r>
            <w:r>
              <w:rPr>
                <w:rFonts w:ascii="宋体" w:hAnsi="宋体" w:eastAsia="宋体"/>
                <w:b w:val="0"/>
                <w:i w:val="0"/>
                <w:color w:val="000000"/>
                <w:sz w:val="18"/>
              </w:rPr>
              <w:t xml:space="preserve">上海证券报（https://www.cnstock.com） </w:t>
            </w:r>
            <w:r>
              <w:rPr>
                <w:rFonts w:ascii="宋体" w:hAnsi="宋体" w:eastAsia="宋体"/>
                <w:b w:val="0"/>
                <w:i w:val="0"/>
                <w:color w:val="000000"/>
                <w:sz w:val="18"/>
              </w:rPr>
              <w:t xml:space="preserve">证券时报（http://www.stcn.com） </w:t>
            </w:r>
            <w:r>
              <w:br/>
            </w:r>
            <w:r>
              <w:rPr>
                <w:rFonts w:ascii="宋体" w:hAnsi="宋体" w:eastAsia="宋体"/>
                <w:b w:val="0"/>
                <w:i w:val="0"/>
                <w:color w:val="000000"/>
                <w:sz w:val="18"/>
              </w:rPr>
              <w:t xml:space="preserve">证券日报（http://www.zqrb.cn） </w:t>
            </w:r>
            <w:r>
              <w:br/>
            </w:r>
            <w:r>
              <w:rPr>
                <w:rFonts w:ascii="宋体" w:hAnsi="宋体" w:eastAsia="宋体"/>
                <w:b w:val="0"/>
                <w:i w:val="0"/>
                <w:color w:val="000000"/>
                <w:sz w:val="18"/>
              </w:rPr>
              <w:t xml:space="preserve">巨潮资讯网（http://www.cninfo.com.cn） </w:t>
            </w:r>
          </w:p>
        </w:tc>
      </w:tr>
    </w:tbl>
    <w:p>
      <w:pPr>
        <w:autoSpaceDN w:val="0"/>
        <w:autoSpaceDE w:val="0"/>
        <w:widowControl/>
        <w:spacing w:line="197" w:lineRule="auto" w:before="600" w:after="0"/>
        <w:ind w:left="0" w:right="0" w:firstLine="0"/>
        <w:jc w:val="center"/>
      </w:pPr>
      <w:r>
        <w:rPr>
          <w:rFonts w:ascii="Calibri" w:hAnsi="Calibri" w:eastAsia="Calibri"/>
          <w:b w:val="0"/>
          <w:i w:val="0"/>
          <w:color w:val="000000"/>
          <w:sz w:val="18"/>
        </w:rPr>
        <w:t xml:space="preserve">5 </w:t>
      </w:r>
    </w:p>
    <w:p>
      <w:pPr>
        <w:sectPr>
          <w:type w:val="continuous"/>
          <w:pgSz w:w="11904" w:h="16841"/>
          <w:pgMar w:top="424" w:right="100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020" w:header="720" w:footer="720" w:gutter="0"/>
          <w:cols/>
          <w:docGrid w:linePitch="360"/>
        </w:sectPr>
      </w:pPr>
    </w:p>
    <w:p>
      <w:pPr>
        <w:autoSpaceDN w:val="0"/>
        <w:autoSpaceDE w:val="0"/>
        <w:widowControl/>
        <w:spacing w:line="240" w:lineRule="auto" w:before="0" w:after="0"/>
        <w:ind w:left="114" w:right="0" w:firstLine="0"/>
        <w:jc w:val="left"/>
      </w:pPr>
      <w:r>
        <w:drawing>
          <wp:inline xmlns:a="http://schemas.openxmlformats.org/drawingml/2006/main" xmlns:pic="http://schemas.openxmlformats.org/drawingml/2006/picture">
            <wp:extent cx="1844039" cy="439419"/>
            <wp:docPr id="7" name="Picture 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020" w:header="720" w:footer="720" w:gutter="0"/>
          <w:cols w:num="2" w:equalWidth="0">
            <w:col w:w="5520" w:space="0"/>
            <w:col w:w="4364" w:space="0"/>
          </w:cols>
          <w:docGrid w:linePitch="360"/>
        </w:sectPr>
      </w:pPr>
    </w:p>
    <w:tbl>
      <w:tblPr>
        <w:tblW w:type="auto" w:w="0"/>
        <w:tblLayout w:type="fixed"/>
        <w:tblLook w:firstColumn="1" w:firstRow="1" w:lastColumn="0" w:lastRow="0" w:noHBand="0" w:noVBand="1" w:val="04A0"/>
        <w:tblInd w:w="112.00000000000003" w:type="dxa"/>
      </w:tblPr>
      <w:tblGrid>
        <w:gridCol w:w="4942"/>
        <w:gridCol w:w="4942"/>
      </w:tblGrid>
      <w:tr>
        <w:trPr>
          <w:trHeight w:hRule="exact" w:val="658"/>
        </w:trPr>
        <w:tc>
          <w:tcPr>
            <w:tcW w:type="dxa" w:w="4822"/>
            <w:tcBorders>
              <w:start w:sz="2.3999999999999773" w:val="single" w:color="#000000"/>
              <w:top w:sz="5.600000000000023" w:val="single" w:color="#000000"/>
              <w:end w:sz="1.599999999999909" w:val="single" w:color="#000000"/>
              <w:bottom w:sz="1.6000000000000227" w:val="single" w:color="#000000"/>
            </w:tcBorders>
            <w:shd w:fill="d2d2d2"/>
            <w:tcMar>
              <w:start w:w="0" w:type="dxa"/>
              <w:end w:w="0" w:type="dxa"/>
            </w:tcMar>
          </w:tcPr>
          <w:p>
            <w:pPr>
              <w:autoSpaceDN w:val="0"/>
              <w:autoSpaceDE w:val="0"/>
              <w:widowControl/>
              <w:spacing w:line="180" w:lineRule="exact" w:before="256" w:after="0"/>
              <w:ind w:left="108" w:right="0" w:firstLine="0"/>
              <w:jc w:val="left"/>
            </w:pPr>
            <w:r>
              <w:rPr>
                <w:rFonts w:ascii="宋体" w:hAnsi="宋体" w:eastAsia="宋体"/>
                <w:b w:val="0"/>
                <w:i w:val="0"/>
                <w:color w:val="000000"/>
                <w:sz w:val="18"/>
              </w:rPr>
              <w:t xml:space="preserve">公司年度报告备置地点 </w:t>
            </w:r>
          </w:p>
        </w:tc>
        <w:tc>
          <w:tcPr>
            <w:tcW w:type="dxa" w:w="4820"/>
            <w:tcBorders>
              <w:start w:sz="1.599999999999909" w:val="single" w:color="#000000"/>
              <w:top w:sz="5.600000000000023" w:val="single" w:color="#000000"/>
              <w:end w:sz="1.5999999999994543" w:val="single" w:color="#000000"/>
              <w:bottom w:sz="1.6000000000000227" w:val="single" w:color="#000000"/>
            </w:tcBorders>
            <w:tcMar>
              <w:start w:w="0" w:type="dxa"/>
              <w:end w:w="0" w:type="dxa"/>
            </w:tcMar>
          </w:tcPr>
          <w:p>
            <w:pPr>
              <w:autoSpaceDN w:val="0"/>
              <w:autoSpaceDE w:val="0"/>
              <w:widowControl/>
              <w:spacing w:line="294" w:lineRule="exact" w:before="0" w:after="0"/>
              <w:ind w:left="108" w:right="144" w:firstLine="0"/>
              <w:jc w:val="left"/>
            </w:pPr>
            <w:r>
              <w:rPr>
                <w:rFonts w:ascii="宋体" w:hAnsi="宋体" w:eastAsia="宋体"/>
                <w:b w:val="0"/>
                <w:i w:val="0"/>
                <w:color w:val="000000"/>
                <w:sz w:val="18"/>
              </w:rPr>
              <w:t>太原市府西街69 号山西国际贸易中心东塔楼29 层董事会</w:t>
            </w:r>
            <w:r>
              <w:rPr>
                <w:rFonts w:ascii="宋体" w:hAnsi="宋体" w:eastAsia="宋体"/>
                <w:b w:val="0"/>
                <w:i w:val="0"/>
                <w:color w:val="000000"/>
                <w:sz w:val="18"/>
              </w:rPr>
              <w:t xml:space="preserve">办公室 </w:t>
            </w:r>
          </w:p>
        </w:tc>
      </w:tr>
    </w:tbl>
    <w:p>
      <w:pPr>
        <w:autoSpaceDN w:val="0"/>
        <w:autoSpaceDE w:val="0"/>
        <w:widowControl/>
        <w:spacing w:line="240" w:lineRule="exact" w:before="344" w:after="330"/>
        <w:ind w:left="114" w:right="0" w:firstLine="0"/>
        <w:jc w:val="left"/>
      </w:pPr>
      <w:r>
        <w:rPr>
          <w:rFonts w:ascii="宋体" w:hAnsi="宋体" w:eastAsia="宋体"/>
          <w:b w:val="0"/>
          <w:i w:val="0"/>
          <w:color w:val="000000"/>
          <w:sz w:val="24"/>
        </w:rPr>
        <w:t xml:space="preserve">四、注册变更情况 </w:t>
      </w:r>
    </w:p>
    <w:tbl>
      <w:tblPr>
        <w:tblW w:type="auto" w:w="0"/>
        <w:tblLayout w:type="fixed"/>
        <w:tblLook w:firstColumn="1" w:firstRow="1" w:lastColumn="0" w:lastRow="0" w:noHBand="0" w:noVBand="1" w:val="04A0"/>
        <w:tblInd w:w="112.00000000000003" w:type="dxa"/>
      </w:tblPr>
      <w:tblGrid>
        <w:gridCol w:w="4942"/>
        <w:gridCol w:w="4942"/>
      </w:tblGrid>
      <w:tr>
        <w:trPr>
          <w:trHeight w:hRule="exact" w:val="404"/>
        </w:trPr>
        <w:tc>
          <w:tcPr>
            <w:tcW w:type="dxa" w:w="2978"/>
            <w:tcBorders>
              <w:start w:sz="2.3999999999999773"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108" w:right="0" w:firstLine="0"/>
              <w:jc w:val="left"/>
            </w:pPr>
            <w:r>
              <w:rPr>
                <w:rFonts w:ascii="宋体" w:hAnsi="宋体" w:eastAsia="宋体"/>
                <w:b w:val="0"/>
                <w:i w:val="0"/>
                <w:color w:val="000000"/>
                <w:sz w:val="18"/>
              </w:rPr>
              <w:t xml:space="preserve">统一社会信用代码 </w:t>
            </w:r>
          </w:p>
        </w:tc>
        <w:tc>
          <w:tcPr>
            <w:tcW w:type="dxa" w:w="6664"/>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42" w:after="0"/>
              <w:ind w:left="108" w:right="0" w:firstLine="0"/>
              <w:jc w:val="left"/>
            </w:pPr>
            <w:r>
              <w:rPr>
                <w:rFonts w:ascii="宋体" w:hAnsi="宋体" w:eastAsia="宋体"/>
                <w:b w:val="0"/>
                <w:i w:val="0"/>
                <w:color w:val="000000"/>
                <w:sz w:val="18"/>
              </w:rPr>
              <w:t xml:space="preserve">91140000110013881E </w:t>
            </w:r>
          </w:p>
        </w:tc>
      </w:tr>
      <w:tr>
        <w:trPr>
          <w:trHeight w:hRule="exact" w:val="7368"/>
        </w:trPr>
        <w:tc>
          <w:tcPr>
            <w:tcW w:type="dxa" w:w="2978"/>
            <w:tcBorders>
              <w:start w:sz="2.3999999999999773" w:val="single" w:color="#000000"/>
              <w:top w:sz="2.400000000000091" w:val="single" w:color="#000000"/>
              <w:end w:sz="1.599999999999909" w:val="single" w:color="#000000"/>
              <w:bottom w:sz="1.5999999999994543" w:val="single" w:color="#000000"/>
            </w:tcBorders>
            <w:shd w:fill="d2d2d2"/>
            <w:tcMar>
              <w:start w:w="0" w:type="dxa"/>
              <w:end w:w="0" w:type="dxa"/>
            </w:tcMar>
          </w:tcPr>
          <w:p>
            <w:pPr>
              <w:autoSpaceDN w:val="0"/>
              <w:autoSpaceDE w:val="0"/>
              <w:widowControl/>
              <w:spacing w:line="180" w:lineRule="exact" w:before="3620" w:after="0"/>
              <w:ind w:left="0" w:right="0" w:firstLine="0"/>
              <w:jc w:val="center"/>
            </w:pPr>
            <w:r>
              <w:rPr>
                <w:rFonts w:ascii="宋体" w:hAnsi="宋体" w:eastAsia="宋体"/>
                <w:b w:val="0"/>
                <w:i w:val="0"/>
                <w:color w:val="000000"/>
                <w:sz w:val="18"/>
              </w:rPr>
              <w:t xml:space="preserve">公司上市以来主营业务的变化情况 </w:t>
            </w:r>
          </w:p>
        </w:tc>
        <w:tc>
          <w:tcPr>
            <w:tcW w:type="dxa" w:w="6664"/>
            <w:tcBorders>
              <w:start w:sz="1.599999999999909" w:val="single" w:color="#000000"/>
              <w:top w:sz="2.400000000000091" w:val="single" w:color="#000000"/>
              <w:end w:sz="1.5999999999994543" w:val="single" w:color="#000000"/>
              <w:bottom w:sz="1.5999999999994543" w:val="single" w:color="#000000"/>
            </w:tcBorders>
            <w:tcMar>
              <w:start w:w="0" w:type="dxa"/>
              <w:end w:w="0" w:type="dxa"/>
            </w:tcMar>
          </w:tcPr>
          <w:p>
            <w:pPr>
              <w:autoSpaceDN w:val="0"/>
              <w:autoSpaceDE w:val="0"/>
              <w:widowControl/>
              <w:spacing w:line="308" w:lineRule="exact" w:before="0" w:after="0"/>
              <w:ind w:left="108" w:right="144" w:firstLine="0"/>
              <w:jc w:val="left"/>
            </w:pPr>
            <w:r>
              <w:rPr>
                <w:rFonts w:ascii="宋体" w:hAnsi="宋体" w:eastAsia="宋体"/>
                <w:b w:val="0"/>
                <w:i w:val="0"/>
                <w:color w:val="000000"/>
                <w:sz w:val="18"/>
              </w:rPr>
              <w:t>2010 年11 月24 日，公司于上市后完成工商登记注册变更，注册登记经营范围</w:t>
            </w:r>
            <w:r>
              <w:rPr>
                <w:rFonts w:ascii="宋体" w:hAnsi="宋体" w:eastAsia="宋体"/>
                <w:b w:val="0"/>
                <w:i w:val="0"/>
                <w:color w:val="000000"/>
                <w:sz w:val="18"/>
              </w:rPr>
              <w:t>为：证券经纪；证券自营；证券资产管理；证券投资咨询；与证券交易、证券投</w:t>
            </w:r>
            <w:r>
              <w:rPr>
                <w:rFonts w:ascii="宋体" w:hAnsi="宋体" w:eastAsia="宋体"/>
                <w:b w:val="0"/>
                <w:i w:val="0"/>
                <w:color w:val="000000"/>
                <w:sz w:val="18"/>
              </w:rPr>
              <w:t xml:space="preserve">资活动有关的财务顾问；证券投资基金代销；为期货公司提供中间介绍业务。 </w:t>
            </w:r>
          </w:p>
          <w:p>
            <w:pPr>
              <w:autoSpaceDN w:val="0"/>
              <w:autoSpaceDE w:val="0"/>
              <w:widowControl/>
              <w:spacing w:line="320" w:lineRule="exact" w:before="0" w:after="0"/>
              <w:ind w:left="108" w:right="0" w:firstLine="0"/>
              <w:jc w:val="left"/>
            </w:pPr>
            <w:r>
              <w:rPr>
                <w:rFonts w:ascii="宋体" w:hAnsi="宋体" w:eastAsia="宋体"/>
                <w:b w:val="0"/>
                <w:i w:val="0"/>
                <w:color w:val="000000"/>
                <w:sz w:val="18"/>
              </w:rPr>
              <w:t xml:space="preserve">2012 年5 月23 日，公司变更工商注册登记，经营范围新增融资融券业务。 </w:t>
            </w:r>
            <w:r>
              <w:rPr>
                <w:rFonts w:ascii="宋体" w:hAnsi="宋体" w:eastAsia="宋体"/>
                <w:b w:val="0"/>
                <w:i w:val="0"/>
                <w:color w:val="000000"/>
                <w:sz w:val="18"/>
              </w:rPr>
              <w:t>2013 年5 月9 日，公司根据中国证监会山西监管局《关于核准山西证券股份有限</w:t>
            </w:r>
            <w:r>
              <w:rPr>
                <w:rFonts w:ascii="宋体" w:hAnsi="宋体" w:eastAsia="宋体"/>
                <w:b w:val="0"/>
                <w:i w:val="0"/>
                <w:color w:val="000000"/>
                <w:sz w:val="18"/>
              </w:rPr>
              <w:t>公司代销金融产品业务资格的批复》（晋证监许可字[2013]5 号），变更工商注册登</w:t>
            </w:r>
            <w:r>
              <w:rPr>
                <w:rFonts w:ascii="宋体" w:hAnsi="宋体" w:eastAsia="宋体"/>
                <w:b w:val="0"/>
                <w:i w:val="0"/>
                <w:color w:val="000000"/>
                <w:sz w:val="18"/>
              </w:rPr>
              <w:t xml:space="preserve">记，经营范围增加代销金融产品业务。 </w:t>
            </w:r>
          </w:p>
          <w:p>
            <w:pPr>
              <w:autoSpaceDN w:val="0"/>
              <w:autoSpaceDE w:val="0"/>
              <w:widowControl/>
              <w:spacing w:line="320" w:lineRule="exact" w:before="0" w:after="0"/>
              <w:ind w:left="108" w:right="0" w:firstLine="0"/>
              <w:jc w:val="left"/>
            </w:pPr>
            <w:r>
              <w:rPr>
                <w:rFonts w:ascii="宋体" w:hAnsi="宋体" w:eastAsia="宋体"/>
                <w:b w:val="0"/>
                <w:i w:val="0"/>
                <w:color w:val="000000"/>
                <w:sz w:val="18"/>
              </w:rPr>
              <w:t>2014 年3 月，公司收到中国证监会《关于核准山西证券股份有限公司公开募集证</w:t>
            </w:r>
            <w:r>
              <w:rPr>
                <w:rFonts w:ascii="宋体" w:hAnsi="宋体" w:eastAsia="宋体"/>
                <w:b w:val="0"/>
                <w:i w:val="0"/>
                <w:color w:val="000000"/>
                <w:sz w:val="18"/>
              </w:rPr>
              <w:t>券投资基金管理业务资格的批复》（证监许可字[2014]319 号），核准公司公开募集</w:t>
            </w:r>
            <w:r>
              <w:rPr>
                <w:rFonts w:ascii="宋体" w:hAnsi="宋体" w:eastAsia="宋体"/>
                <w:b w:val="0"/>
                <w:i w:val="0"/>
                <w:color w:val="000000"/>
                <w:sz w:val="18"/>
              </w:rPr>
              <w:t>证券投资基金管理业务资格，2014 年10 月10 日完成工商变更登记，经营范围新</w:t>
            </w:r>
            <w:r>
              <w:rPr>
                <w:rFonts w:ascii="宋体" w:hAnsi="宋体" w:eastAsia="宋体"/>
                <w:b w:val="0"/>
                <w:i w:val="0"/>
                <w:color w:val="000000"/>
                <w:sz w:val="18"/>
              </w:rPr>
              <w:t xml:space="preserve">增公开募集证券投资基金管理业务。 </w:t>
            </w:r>
          </w:p>
          <w:p>
            <w:pPr>
              <w:autoSpaceDN w:val="0"/>
              <w:autoSpaceDE w:val="0"/>
              <w:widowControl/>
              <w:spacing w:line="320" w:lineRule="exact" w:before="2" w:after="0"/>
              <w:ind w:left="108" w:right="144" w:firstLine="0"/>
              <w:jc w:val="left"/>
            </w:pPr>
            <w:r>
              <w:rPr>
                <w:rFonts w:ascii="宋体" w:hAnsi="宋体" w:eastAsia="宋体"/>
                <w:b w:val="0"/>
                <w:i w:val="0"/>
                <w:color w:val="000000"/>
                <w:sz w:val="18"/>
              </w:rPr>
              <w:t>2021 年5 月，公司收到中国证监会《关于核准山西证券股份有限公司设立资产管</w:t>
            </w:r>
            <w:r>
              <w:rPr>
                <w:rFonts w:ascii="宋体" w:hAnsi="宋体" w:eastAsia="宋体"/>
                <w:b w:val="0"/>
                <w:i w:val="0"/>
                <w:color w:val="000000"/>
                <w:sz w:val="18"/>
              </w:rPr>
              <w:t>理子公司的批复》（证监许可〔2021〕1700 号），核准公司通过设立山证（上海）</w:t>
            </w:r>
            <w:r>
              <w:rPr>
                <w:rFonts w:ascii="宋体" w:hAnsi="宋体" w:eastAsia="宋体"/>
                <w:b w:val="0"/>
                <w:i w:val="0"/>
                <w:color w:val="000000"/>
                <w:sz w:val="18"/>
              </w:rPr>
              <w:t>资产管理有限公司从事证券资产管理、公开募集证券投资基金管理业务，同时核</w:t>
            </w:r>
            <w:r>
              <w:rPr>
                <w:rFonts w:ascii="宋体" w:hAnsi="宋体" w:eastAsia="宋体"/>
                <w:b w:val="0"/>
                <w:i w:val="0"/>
                <w:color w:val="000000"/>
                <w:sz w:val="18"/>
              </w:rPr>
              <w:t>准公司自身减少证券资产管理、公开募集证券投资基金管理业务。根据中国证监</w:t>
            </w:r>
            <w:r>
              <w:rPr>
                <w:rFonts w:ascii="宋体" w:hAnsi="宋体" w:eastAsia="宋体"/>
                <w:b w:val="0"/>
                <w:i w:val="0"/>
                <w:color w:val="000000"/>
                <w:sz w:val="18"/>
              </w:rPr>
              <w:t>会上述批复及公司股东大会决议，公司修订《公司章程》涉及经营范围的相应条</w:t>
            </w:r>
            <w:r>
              <w:rPr>
                <w:rFonts w:ascii="宋体" w:hAnsi="宋体" w:eastAsia="宋体"/>
                <w:b w:val="0"/>
                <w:i w:val="0"/>
                <w:color w:val="000000"/>
                <w:sz w:val="18"/>
              </w:rPr>
              <w:t>款，并于2021 年11 月办理完成经营范围工商变更登记，换领《营业执照》，经营</w:t>
            </w:r>
            <w:r>
              <w:rPr>
                <w:rFonts w:ascii="宋体" w:hAnsi="宋体" w:eastAsia="宋体"/>
                <w:b w:val="0"/>
                <w:i w:val="0"/>
                <w:color w:val="000000"/>
                <w:sz w:val="18"/>
              </w:rPr>
              <w:t xml:space="preserve">范围变更为： </w:t>
            </w:r>
            <w:r>
              <w:br/>
            </w:r>
            <w:r>
              <w:rPr>
                <w:rFonts w:ascii="宋体" w:hAnsi="宋体" w:eastAsia="宋体"/>
                <w:b w:val="0"/>
                <w:i w:val="0"/>
                <w:color w:val="000000"/>
                <w:sz w:val="18"/>
              </w:rPr>
              <w:t>许可项目：证券业务。（依法须经批准的项目，经相关部门批准后方可开展经营活</w:t>
            </w:r>
            <w:r>
              <w:rPr>
                <w:rFonts w:ascii="宋体" w:hAnsi="宋体" w:eastAsia="宋体"/>
                <w:b w:val="0"/>
                <w:i w:val="0"/>
                <w:color w:val="000000"/>
                <w:sz w:val="18"/>
              </w:rPr>
              <w:t xml:space="preserve">动，具体经营项目以相关部门批准文件或许可证件为准） </w:t>
            </w:r>
            <w:r>
              <w:br/>
            </w:r>
            <w:r>
              <w:rPr>
                <w:rFonts w:ascii="宋体" w:hAnsi="宋体" w:eastAsia="宋体"/>
                <w:b w:val="0"/>
                <w:i w:val="0"/>
                <w:color w:val="000000"/>
                <w:sz w:val="18"/>
              </w:rPr>
              <w:t>一般项目：证券公司为期货公司提供中间介绍业务。（除依法须经批准的项目外，</w:t>
            </w:r>
            <w:r>
              <w:rPr>
                <w:rFonts w:ascii="宋体" w:hAnsi="宋体" w:eastAsia="宋体"/>
                <w:b w:val="0"/>
                <w:i w:val="0"/>
                <w:color w:val="000000"/>
                <w:sz w:val="18"/>
              </w:rPr>
              <w:t xml:space="preserve">凭营业执照依法自主开展经营活动） </w:t>
            </w:r>
            <w:r>
              <w:br/>
            </w:r>
            <w:r>
              <w:rPr>
                <w:rFonts w:ascii="宋体" w:hAnsi="宋体" w:eastAsia="宋体"/>
                <w:b w:val="0"/>
                <w:i w:val="0"/>
                <w:color w:val="000000"/>
                <w:sz w:val="18"/>
              </w:rPr>
              <w:t xml:space="preserve">2023 年9 月，公司换领《经营证券期货业务许可证》。 </w:t>
            </w:r>
          </w:p>
        </w:tc>
      </w:tr>
      <w:tr>
        <w:trPr>
          <w:trHeight w:hRule="exact" w:val="966"/>
        </w:trPr>
        <w:tc>
          <w:tcPr>
            <w:tcW w:type="dxa" w:w="2978"/>
            <w:tcBorders>
              <w:start w:sz="2.3999999999999773" w:val="single" w:color="#000000"/>
              <w:top w:sz="1.5999999999994543"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180" w:lineRule="exact" w:before="420" w:after="0"/>
              <w:ind w:left="108" w:right="0" w:firstLine="0"/>
              <w:jc w:val="left"/>
            </w:pPr>
            <w:r>
              <w:rPr>
                <w:rFonts w:ascii="宋体" w:hAnsi="宋体" w:eastAsia="宋体"/>
                <w:b w:val="0"/>
                <w:i w:val="0"/>
                <w:color w:val="000000"/>
                <w:sz w:val="18"/>
              </w:rPr>
              <w:t xml:space="preserve">历次控股股东的变更情况 </w:t>
            </w:r>
          </w:p>
        </w:tc>
        <w:tc>
          <w:tcPr>
            <w:tcW w:type="dxa" w:w="6664"/>
            <w:tcBorders>
              <w:start w:sz="1.599999999999909" w:val="single" w:color="#000000"/>
              <w:top w:sz="1.5999999999994543" w:val="single" w:color="#000000"/>
              <w:end w:sz="1.5999999999994543" w:val="single" w:color="#000000"/>
              <w:bottom w:sz="2.4000000000005457" w:val="single" w:color="#000000"/>
            </w:tcBorders>
            <w:tcMar>
              <w:start w:w="0" w:type="dxa"/>
              <w:end w:w="0" w:type="dxa"/>
            </w:tcMar>
          </w:tcPr>
          <w:p>
            <w:pPr>
              <w:autoSpaceDN w:val="0"/>
              <w:autoSpaceDE w:val="0"/>
              <w:widowControl/>
              <w:spacing w:line="308" w:lineRule="exact" w:before="0" w:after="0"/>
              <w:ind w:left="108" w:right="144" w:firstLine="0"/>
              <w:jc w:val="left"/>
            </w:pPr>
            <w:r>
              <w:rPr>
                <w:rFonts w:ascii="宋体" w:hAnsi="宋体" w:eastAsia="宋体"/>
                <w:b w:val="0"/>
                <w:i w:val="0"/>
                <w:color w:val="000000"/>
                <w:sz w:val="18"/>
              </w:rPr>
              <w:t>2016 年9 月2 日，原控股股东山西国信所持山西证券股份无偿划转给山西金控，</w:t>
            </w:r>
            <w:r>
              <w:rPr>
                <w:rFonts w:ascii="宋体" w:hAnsi="宋体" w:eastAsia="宋体"/>
                <w:b w:val="0"/>
                <w:i w:val="0"/>
                <w:color w:val="000000"/>
                <w:sz w:val="18"/>
              </w:rPr>
              <w:t>山西国信不再持有本公司股份。本公司控股股东由山西国信变更为山西金控。本</w:t>
            </w:r>
            <w:r>
              <w:rPr>
                <w:rFonts w:ascii="宋体" w:hAnsi="宋体" w:eastAsia="宋体"/>
                <w:b w:val="0"/>
                <w:i w:val="0"/>
                <w:color w:val="000000"/>
                <w:sz w:val="18"/>
              </w:rPr>
              <w:t xml:space="preserve">公司实际控制人仍为山西省财政厅。 </w:t>
            </w:r>
          </w:p>
        </w:tc>
      </w:tr>
    </w:tbl>
    <w:p>
      <w:pPr>
        <w:autoSpaceDN w:val="0"/>
        <w:autoSpaceDE w:val="0"/>
        <w:widowControl/>
        <w:spacing w:line="240" w:lineRule="exact" w:before="350" w:after="328"/>
        <w:ind w:left="114" w:right="0" w:firstLine="0"/>
        <w:jc w:val="left"/>
      </w:pPr>
      <w:r>
        <w:rPr>
          <w:rFonts w:ascii="宋体" w:hAnsi="宋体" w:eastAsia="宋体"/>
          <w:b w:val="0"/>
          <w:i w:val="0"/>
          <w:color w:val="000000"/>
          <w:sz w:val="24"/>
        </w:rPr>
        <w:t xml:space="preserve">五、各单项业务资格 </w:t>
      </w:r>
    </w:p>
    <w:tbl>
      <w:tblPr>
        <w:tblW w:type="auto" w:w="0"/>
        <w:tblLayout w:type="fixed"/>
        <w:tblLook w:firstColumn="1" w:firstRow="1" w:lastColumn="0" w:lastRow="0" w:noHBand="0" w:noVBand="1" w:val="04A0"/>
        <w:tblInd w:w="4.000000000000057" w:type="dxa"/>
      </w:tblPr>
      <w:tblGrid>
        <w:gridCol w:w="2471"/>
        <w:gridCol w:w="2471"/>
        <w:gridCol w:w="2471"/>
        <w:gridCol w:w="2471"/>
      </w:tblGrid>
      <w:tr>
        <w:trPr>
          <w:trHeight w:hRule="exact" w:val="594"/>
        </w:trPr>
        <w:tc>
          <w:tcPr>
            <w:tcW w:type="dxa" w:w="430"/>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56" w:lineRule="exact" w:before="0" w:after="0"/>
              <w:ind w:left="0" w:right="0"/>
            </w:pPr>
          </w:p>
          <w:tbl>
            <w:tblPr>
              <w:tblW w:type="auto" w:w="0"/>
              <w:tblLayout w:type="fixed"/>
              <w:tblLook w:firstColumn="1" w:firstRow="1" w:lastColumn="0" w:lastRow="0" w:noHBand="0" w:noVBand="1" w:val="04A0"/>
              <w:tblInd w:w="120.0" w:type="dxa"/>
            </w:tblPr>
            <w:tblGrid>
              <w:gridCol w:w="430"/>
            </w:tblGrid>
            <w:tr>
              <w:trPr>
                <w:trHeight w:hRule="exact" w:val="232"/>
              </w:trPr>
              <w:tc>
                <w:tcPr>
                  <w:tcW w:type="dxa" w:w="180"/>
                  <w:tcBorders/>
                  <w:shd w:fill="e4e5e4"/>
                  <w:tcMar>
                    <w:start w:w="0" w:type="dxa"/>
                    <w:end w:w="0" w:type="dxa"/>
                  </w:tcMar>
                </w:tcPr>
                <w:p>
                  <w:pPr>
                    <w:autoSpaceDN w:val="0"/>
                    <w:autoSpaceDE w:val="0"/>
                    <w:widowControl/>
                    <w:spacing w:line="180" w:lineRule="exact" w:before="26" w:after="0"/>
                    <w:ind w:left="0" w:right="0" w:firstLine="0"/>
                    <w:jc w:val="center"/>
                  </w:pPr>
                  <w:r>
                    <w:rPr>
                      <w:rFonts w:ascii="宋体" w:hAnsi="宋体" w:eastAsia="宋体"/>
                      <w:b w:val="0"/>
                      <w:i w:val="0"/>
                      <w:color w:val="000000"/>
                      <w:sz w:val="18"/>
                    </w:rPr>
                    <w:t>序</w:t>
                  </w:r>
                </w:p>
              </w:tc>
            </w:tr>
          </w:tbl>
          <w:p>
            <w:pPr>
              <w:autoSpaceDN w:val="0"/>
              <w:autoSpaceDE w:val="0"/>
              <w:widowControl/>
              <w:spacing w:line="180" w:lineRule="exact" w:before="28" w:after="0"/>
              <w:ind w:left="0" w:right="30" w:firstLine="0"/>
              <w:jc w:val="right"/>
            </w:pPr>
            <w:r>
              <w:rPr>
                <w:rFonts w:ascii="宋体" w:hAnsi="宋体" w:eastAsia="宋体"/>
                <w:b w:val="0"/>
                <w:i w:val="0"/>
                <w:color w:val="000000"/>
                <w:sz w:val="18"/>
              </w:rPr>
              <w:t xml:space="preserve">号 </w:t>
            </w:r>
          </w:p>
        </w:tc>
        <w:tc>
          <w:tcPr>
            <w:tcW w:type="dxa" w:w="3934"/>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200" w:after="0"/>
              <w:ind w:left="0" w:right="1510" w:firstLine="0"/>
              <w:jc w:val="right"/>
            </w:pPr>
            <w:r>
              <w:rPr>
                <w:shd w:val="clear" w:color="auto" w:fill="e4e5e4"/>
                <w:rFonts w:ascii="宋体" w:hAnsi="宋体" w:eastAsia="宋体"/>
                <w:b w:val="0"/>
                <w:i w:val="0"/>
                <w:color w:val="000000"/>
                <w:sz w:val="18"/>
              </w:rPr>
              <w:t>业务资格</w:t>
            </w:r>
            <w:r>
              <w:rPr>
                <w:rFonts w:ascii="宋体" w:hAnsi="宋体" w:eastAsia="宋体"/>
                <w:b w:val="0"/>
                <w:i w:val="0"/>
                <w:color w:val="000000"/>
                <w:sz w:val="18"/>
              </w:rPr>
              <w:t xml:space="preserve"> </w:t>
            </w:r>
          </w:p>
        </w:tc>
        <w:tc>
          <w:tcPr>
            <w:tcW w:type="dxa" w:w="3544"/>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200" w:after="0"/>
              <w:ind w:left="0" w:right="1314" w:firstLine="0"/>
              <w:jc w:val="right"/>
            </w:pPr>
            <w:r>
              <w:rPr>
                <w:shd w:val="clear" w:color="auto" w:fill="e4e5e4"/>
                <w:rFonts w:ascii="宋体" w:hAnsi="宋体" w:eastAsia="宋体"/>
                <w:b w:val="0"/>
                <w:i w:val="0"/>
                <w:color w:val="000000"/>
                <w:sz w:val="18"/>
              </w:rPr>
              <w:t>批准机构</w:t>
            </w:r>
            <w:r>
              <w:rPr>
                <w:rFonts w:ascii="宋体" w:hAnsi="宋体" w:eastAsia="宋体"/>
                <w:b w:val="0"/>
                <w:i w:val="0"/>
                <w:color w:val="000000"/>
                <w:sz w:val="18"/>
              </w:rPr>
              <w:t xml:space="preserve"> </w:t>
            </w:r>
          </w:p>
        </w:tc>
        <w:tc>
          <w:tcPr>
            <w:tcW w:type="dxa" w:w="194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200" w:after="0"/>
              <w:ind w:left="0" w:right="518" w:firstLine="0"/>
              <w:jc w:val="right"/>
            </w:pPr>
            <w:r>
              <w:rPr>
                <w:shd w:val="clear" w:color="auto" w:fill="e4e5e4"/>
                <w:rFonts w:ascii="宋体" w:hAnsi="宋体" w:eastAsia="宋体"/>
                <w:b w:val="0"/>
                <w:i w:val="0"/>
                <w:color w:val="000000"/>
                <w:sz w:val="18"/>
              </w:rPr>
              <w:t>取得时间</w:t>
            </w:r>
            <w:r>
              <w:rPr>
                <w:rFonts w:ascii="宋体" w:hAnsi="宋体" w:eastAsia="宋体"/>
                <w:b w:val="0"/>
                <w:i w:val="0"/>
                <w:color w:val="000000"/>
                <w:sz w:val="18"/>
              </w:rPr>
              <w:t xml:space="preserve"> </w:t>
            </w:r>
          </w:p>
        </w:tc>
      </w:tr>
      <w:tr>
        <w:trPr>
          <w:trHeight w:hRule="exact" w:val="39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76" w:firstLine="0"/>
              <w:jc w:val="right"/>
            </w:pPr>
            <w:r>
              <w:rPr>
                <w:rFonts w:ascii="宋体" w:hAnsi="宋体" w:eastAsia="宋体"/>
                <w:b w:val="0"/>
                <w:i w:val="0"/>
                <w:color w:val="000000"/>
                <w:sz w:val="18"/>
              </w:rPr>
              <w:t xml:space="preserve">1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330" w:firstLine="0"/>
              <w:jc w:val="right"/>
            </w:pPr>
            <w:r>
              <w:rPr>
                <w:rFonts w:ascii="宋体" w:hAnsi="宋体" w:eastAsia="宋体"/>
                <w:b w:val="0"/>
                <w:i w:val="0"/>
                <w:color w:val="000000"/>
                <w:sz w:val="18"/>
              </w:rPr>
              <w:t xml:space="preserve">证券投资咨询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316" w:right="0" w:firstLine="0"/>
              <w:jc w:val="left"/>
            </w:pPr>
            <w:r>
              <w:rPr>
                <w:rFonts w:ascii="宋体" w:hAnsi="宋体" w:eastAsia="宋体"/>
                <w:b w:val="0"/>
                <w:i w:val="0"/>
                <w:color w:val="000000"/>
                <w:sz w:val="18"/>
              </w:rPr>
              <w:t xml:space="preserve">2000 年6 月1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76" w:firstLine="0"/>
              <w:jc w:val="right"/>
            </w:pPr>
            <w:r>
              <w:rPr>
                <w:rFonts w:ascii="宋体" w:hAnsi="宋体" w:eastAsia="宋体"/>
                <w:b w:val="0"/>
                <w:i w:val="0"/>
                <w:color w:val="000000"/>
                <w:sz w:val="18"/>
              </w:rPr>
              <w:t xml:space="preserve">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970" w:firstLine="0"/>
              <w:jc w:val="right"/>
            </w:pPr>
            <w:r>
              <w:rPr>
                <w:rFonts w:ascii="宋体" w:hAnsi="宋体" w:eastAsia="宋体"/>
                <w:b w:val="0"/>
                <w:i w:val="0"/>
                <w:color w:val="000000"/>
                <w:sz w:val="18"/>
              </w:rPr>
              <w:t xml:space="preserve">网上证券委托业务资格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316" w:right="0" w:firstLine="0"/>
              <w:jc w:val="left"/>
            </w:pPr>
            <w:r>
              <w:rPr>
                <w:rFonts w:ascii="宋体" w:hAnsi="宋体" w:eastAsia="宋体"/>
                <w:b w:val="0"/>
                <w:i w:val="0"/>
                <w:color w:val="000000"/>
                <w:sz w:val="18"/>
              </w:rPr>
              <w:t xml:space="preserve">2001 年2 月5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76" w:firstLine="0"/>
              <w:jc w:val="right"/>
            </w:pPr>
            <w:r>
              <w:rPr>
                <w:rFonts w:ascii="宋体" w:hAnsi="宋体" w:eastAsia="宋体"/>
                <w:b w:val="0"/>
                <w:i w:val="0"/>
                <w:color w:val="000000"/>
                <w:sz w:val="18"/>
              </w:rPr>
              <w:t xml:space="preserve">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50" w:firstLine="0"/>
              <w:jc w:val="right"/>
            </w:pPr>
            <w:r>
              <w:rPr>
                <w:rFonts w:ascii="宋体" w:hAnsi="宋体" w:eastAsia="宋体"/>
                <w:b w:val="0"/>
                <w:i w:val="0"/>
                <w:color w:val="000000"/>
                <w:sz w:val="18"/>
              </w:rPr>
              <w:t xml:space="preserve">经营外汇业务资格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国家外汇管理局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2001 年7 月20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76" w:firstLine="0"/>
              <w:jc w:val="right"/>
            </w:pPr>
            <w:r>
              <w:rPr>
                <w:rFonts w:ascii="宋体" w:hAnsi="宋体" w:eastAsia="宋体"/>
                <w:b w:val="0"/>
                <w:i w:val="0"/>
                <w:color w:val="000000"/>
                <w:sz w:val="18"/>
              </w:rPr>
              <w:t xml:space="preserve">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50" w:right="0" w:firstLine="0"/>
              <w:jc w:val="left"/>
            </w:pPr>
            <w:r>
              <w:rPr>
                <w:rFonts w:ascii="宋体" w:hAnsi="宋体" w:eastAsia="宋体"/>
                <w:b w:val="0"/>
                <w:i w:val="0"/>
                <w:color w:val="000000"/>
                <w:sz w:val="18"/>
              </w:rPr>
              <w:t xml:space="preserve">与证券交易、证券投资活动有关的财务顾问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24" w:right="0" w:firstLine="0"/>
              <w:jc w:val="left"/>
            </w:pPr>
            <w:r>
              <w:rPr>
                <w:rFonts w:ascii="宋体" w:hAnsi="宋体" w:eastAsia="宋体"/>
                <w:b w:val="0"/>
                <w:i w:val="0"/>
                <w:color w:val="000000"/>
                <w:sz w:val="18"/>
              </w:rPr>
              <w:t xml:space="preserve">2001 年12 月27 日 </w:t>
            </w:r>
          </w:p>
        </w:tc>
      </w:tr>
    </w:tbl>
    <w:p>
      <w:pPr>
        <w:autoSpaceDN w:val="0"/>
        <w:autoSpaceDE w:val="0"/>
        <w:widowControl/>
        <w:spacing w:line="197" w:lineRule="auto" w:before="708" w:after="0"/>
        <w:ind w:left="0" w:right="0" w:firstLine="0"/>
        <w:jc w:val="center"/>
      </w:pPr>
      <w:r>
        <w:rPr>
          <w:rFonts w:ascii="Calibri" w:hAnsi="Calibri" w:eastAsia="Calibri"/>
          <w:b w:val="0"/>
          <w:i w:val="0"/>
          <w:color w:val="000000"/>
          <w:sz w:val="18"/>
        </w:rPr>
        <w:t xml:space="preserve">6 </w:t>
      </w:r>
    </w:p>
    <w:p>
      <w:pPr>
        <w:sectPr>
          <w:type w:val="continuous"/>
          <w:pgSz w:w="11904" w:h="16841"/>
          <w:pgMar w:top="424" w:right="1000" w:bottom="446" w:left="1020"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020" w:header="720" w:footer="720" w:gutter="0"/>
          <w:cols/>
          <w:docGrid w:linePitch="360"/>
        </w:sectPr>
      </w:pPr>
    </w:p>
    <w:p>
      <w:pPr>
        <w:autoSpaceDN w:val="0"/>
        <w:autoSpaceDE w:val="0"/>
        <w:widowControl/>
        <w:spacing w:line="240" w:lineRule="auto" w:before="0" w:after="0"/>
        <w:ind w:left="114" w:right="0" w:firstLine="0"/>
        <w:jc w:val="left"/>
      </w:pPr>
      <w:r>
        <w:drawing>
          <wp:inline xmlns:a="http://schemas.openxmlformats.org/drawingml/2006/main" xmlns:pic="http://schemas.openxmlformats.org/drawingml/2006/picture">
            <wp:extent cx="1844039" cy="439419"/>
            <wp:docPr id="8" name="Picture 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020" w:header="720" w:footer="720" w:gutter="0"/>
          <w:cols w:num="2" w:equalWidth="0">
            <w:col w:w="5520" w:space="0"/>
            <w:col w:w="4364" w:space="0"/>
          </w:cols>
          <w:docGrid w:linePitch="360"/>
        </w:sectPr>
      </w:pPr>
    </w:p>
    <w:tbl>
      <w:tblPr>
        <w:tblW w:type="auto" w:w="0"/>
        <w:tblLayout w:type="fixed"/>
        <w:tblLook w:firstColumn="1" w:firstRow="1" w:lastColumn="0" w:lastRow="0" w:noHBand="0" w:noVBand="1" w:val="04A0"/>
        <w:tblInd w:w="4.000000000000057" w:type="dxa"/>
      </w:tblPr>
      <w:tblGrid>
        <w:gridCol w:w="2471"/>
        <w:gridCol w:w="2471"/>
        <w:gridCol w:w="2471"/>
        <w:gridCol w:w="2471"/>
      </w:tblGrid>
      <w:tr>
        <w:trPr>
          <w:trHeight w:hRule="exact" w:val="396"/>
        </w:trPr>
        <w:tc>
          <w:tcPr>
            <w:tcW w:type="dxa" w:w="43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76" w:firstLine="0"/>
              <w:jc w:val="right"/>
            </w:pPr>
            <w:r>
              <w:rPr>
                <w:rFonts w:ascii="宋体" w:hAnsi="宋体" w:eastAsia="宋体"/>
                <w:b w:val="0"/>
                <w:i w:val="0"/>
                <w:color w:val="000000"/>
                <w:sz w:val="18"/>
              </w:rPr>
              <w:t xml:space="preserve">5 </w:t>
            </w:r>
          </w:p>
        </w:tc>
        <w:tc>
          <w:tcPr>
            <w:tcW w:type="dxa" w:w="393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150" w:firstLine="0"/>
              <w:jc w:val="right"/>
            </w:pPr>
            <w:r>
              <w:rPr>
                <w:rFonts w:ascii="宋体" w:hAnsi="宋体" w:eastAsia="宋体"/>
                <w:b w:val="0"/>
                <w:i w:val="0"/>
                <w:color w:val="000000"/>
                <w:sz w:val="18"/>
              </w:rPr>
              <w:t xml:space="preserve">股票主承销商资格 </w:t>
            </w:r>
          </w:p>
        </w:tc>
        <w:tc>
          <w:tcPr>
            <w:tcW w:type="dxa" w:w="354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2002 年2 月11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76" w:firstLine="0"/>
              <w:jc w:val="right"/>
            </w:pPr>
            <w:r>
              <w:rPr>
                <w:rFonts w:ascii="宋体" w:hAnsi="宋体" w:eastAsia="宋体"/>
                <w:b w:val="0"/>
                <w:i w:val="0"/>
                <w:color w:val="000000"/>
                <w:sz w:val="18"/>
              </w:rPr>
              <w:t xml:space="preserve">6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970" w:firstLine="0"/>
              <w:jc w:val="right"/>
            </w:pPr>
            <w:r>
              <w:rPr>
                <w:rFonts w:ascii="宋体" w:hAnsi="宋体" w:eastAsia="宋体"/>
                <w:b w:val="0"/>
                <w:i w:val="0"/>
                <w:color w:val="000000"/>
                <w:sz w:val="18"/>
              </w:rPr>
              <w:t xml:space="preserve">深圳B 股结算会员资格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40" w:right="0" w:firstLine="0"/>
              <w:jc w:val="left"/>
            </w:pPr>
            <w:r>
              <w:rPr>
                <w:rFonts w:ascii="宋体" w:hAnsi="宋体" w:eastAsia="宋体"/>
                <w:b w:val="0"/>
                <w:i w:val="0"/>
                <w:color w:val="000000"/>
                <w:sz w:val="18"/>
              </w:rPr>
              <w:t xml:space="preserve">中国证券登记结算有限公司深圳分公司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2002 年6 月20 日 </w:t>
            </w:r>
          </w:p>
        </w:tc>
      </w:tr>
      <w:tr>
        <w:trPr>
          <w:trHeight w:hRule="exact" w:val="400"/>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76" w:firstLine="0"/>
              <w:jc w:val="right"/>
            </w:pPr>
            <w:r>
              <w:rPr>
                <w:rFonts w:ascii="宋体" w:hAnsi="宋体" w:eastAsia="宋体"/>
                <w:b w:val="0"/>
                <w:i w:val="0"/>
                <w:color w:val="000000"/>
                <w:sz w:val="18"/>
              </w:rPr>
              <w:t xml:space="preserve">7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970" w:firstLine="0"/>
              <w:jc w:val="right"/>
            </w:pPr>
            <w:r>
              <w:rPr>
                <w:rFonts w:ascii="宋体" w:hAnsi="宋体" w:eastAsia="宋体"/>
                <w:b w:val="0"/>
                <w:i w:val="0"/>
                <w:color w:val="000000"/>
                <w:sz w:val="18"/>
              </w:rPr>
              <w:t xml:space="preserve">受托投资管理业务资格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270" w:right="0" w:firstLine="0"/>
              <w:jc w:val="left"/>
            </w:pPr>
            <w:r>
              <w:rPr>
                <w:rFonts w:ascii="宋体" w:hAnsi="宋体" w:eastAsia="宋体"/>
                <w:b w:val="0"/>
                <w:i w:val="0"/>
                <w:color w:val="000000"/>
                <w:sz w:val="18"/>
              </w:rPr>
              <w:t xml:space="preserve">2002 年7 月12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76" w:firstLine="0"/>
              <w:jc w:val="right"/>
            </w:pPr>
            <w:r>
              <w:rPr>
                <w:rFonts w:ascii="宋体" w:hAnsi="宋体" w:eastAsia="宋体"/>
                <w:b w:val="0"/>
                <w:i w:val="0"/>
                <w:color w:val="000000"/>
                <w:sz w:val="18"/>
              </w:rPr>
              <w:t xml:space="preserve">8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790" w:right="0" w:firstLine="0"/>
              <w:jc w:val="left"/>
            </w:pPr>
            <w:r>
              <w:rPr>
                <w:rFonts w:ascii="宋体" w:hAnsi="宋体" w:eastAsia="宋体"/>
                <w:b w:val="0"/>
                <w:i w:val="0"/>
                <w:color w:val="000000"/>
                <w:sz w:val="18"/>
              </w:rPr>
              <w:t xml:space="preserve">全国银行间同业拆借业务资格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136" w:firstLine="0"/>
              <w:jc w:val="right"/>
            </w:pPr>
            <w:r>
              <w:rPr>
                <w:rFonts w:ascii="宋体" w:hAnsi="宋体" w:eastAsia="宋体"/>
                <w:b w:val="0"/>
                <w:i w:val="0"/>
                <w:color w:val="000000"/>
                <w:sz w:val="18"/>
              </w:rPr>
              <w:t xml:space="preserve">中国人民银行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24" w:right="0" w:firstLine="0"/>
              <w:jc w:val="left"/>
            </w:pPr>
            <w:r>
              <w:rPr>
                <w:rFonts w:ascii="宋体" w:hAnsi="宋体" w:eastAsia="宋体"/>
                <w:b w:val="0"/>
                <w:i w:val="0"/>
                <w:color w:val="000000"/>
                <w:sz w:val="18"/>
              </w:rPr>
              <w:t xml:space="preserve">2002 年10 月25 日 </w:t>
            </w:r>
          </w:p>
        </w:tc>
      </w:tr>
      <w:tr>
        <w:trPr>
          <w:trHeight w:hRule="exact" w:val="398"/>
        </w:trPr>
        <w:tc>
          <w:tcPr>
            <w:tcW w:type="dxa" w:w="43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76" w:firstLine="0"/>
              <w:jc w:val="right"/>
            </w:pPr>
            <w:r>
              <w:rPr>
                <w:rFonts w:ascii="宋体" w:hAnsi="宋体" w:eastAsia="宋体"/>
                <w:b w:val="0"/>
                <w:i w:val="0"/>
                <w:color w:val="000000"/>
                <w:sz w:val="18"/>
              </w:rPr>
              <w:t xml:space="preserve">9 </w:t>
            </w:r>
          </w:p>
        </w:tc>
        <w:tc>
          <w:tcPr>
            <w:tcW w:type="dxa" w:w="393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610" w:right="0" w:firstLine="0"/>
              <w:jc w:val="left"/>
            </w:pPr>
            <w:r>
              <w:rPr>
                <w:rFonts w:ascii="宋体" w:hAnsi="宋体" w:eastAsia="宋体"/>
                <w:b w:val="0"/>
                <w:i w:val="0"/>
                <w:color w:val="000000"/>
                <w:sz w:val="18"/>
              </w:rPr>
              <w:t xml:space="preserve">开放式证券投资基金代销业务资格 </w:t>
            </w:r>
          </w:p>
        </w:tc>
        <w:tc>
          <w:tcPr>
            <w:tcW w:type="dxa" w:w="35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2003 年1 月13 日 </w:t>
            </w:r>
          </w:p>
        </w:tc>
      </w:tr>
      <w:tr>
        <w:trPr>
          <w:trHeight w:hRule="exact" w:val="396"/>
        </w:trPr>
        <w:tc>
          <w:tcPr>
            <w:tcW w:type="dxa" w:w="430"/>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10 </w:t>
            </w:r>
          </w:p>
        </w:tc>
        <w:tc>
          <w:tcPr>
            <w:tcW w:type="dxa" w:w="3934"/>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02" w:after="0"/>
              <w:ind w:left="880" w:right="0" w:firstLine="0"/>
              <w:jc w:val="left"/>
            </w:pPr>
            <w:r>
              <w:rPr>
                <w:rFonts w:ascii="宋体" w:hAnsi="宋体" w:eastAsia="宋体"/>
                <w:b w:val="0"/>
                <w:i w:val="0"/>
                <w:color w:val="000000"/>
                <w:sz w:val="18"/>
              </w:rPr>
              <w:t xml:space="preserve">上交所国债买断式回购业务 </w:t>
            </w:r>
          </w:p>
        </w:tc>
        <w:tc>
          <w:tcPr>
            <w:tcW w:type="dxa" w:w="3544"/>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上海证券交易所 </w:t>
            </w:r>
          </w:p>
        </w:tc>
        <w:tc>
          <w:tcPr>
            <w:tcW w:type="dxa" w:w="1948"/>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02" w:after="0"/>
              <w:ind w:left="224" w:right="0" w:firstLine="0"/>
              <w:jc w:val="left"/>
            </w:pPr>
            <w:r>
              <w:rPr>
                <w:rFonts w:ascii="宋体" w:hAnsi="宋体" w:eastAsia="宋体"/>
                <w:b w:val="0"/>
                <w:i w:val="0"/>
                <w:color w:val="000000"/>
                <w:sz w:val="18"/>
              </w:rPr>
              <w:t xml:space="preserve">2004 年12 月21 日 </w:t>
            </w:r>
          </w:p>
        </w:tc>
      </w:tr>
      <w:tr>
        <w:trPr>
          <w:trHeight w:hRule="exact" w:val="398"/>
        </w:trPr>
        <w:tc>
          <w:tcPr>
            <w:tcW w:type="dxa" w:w="430"/>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11 </w:t>
            </w:r>
          </w:p>
        </w:tc>
        <w:tc>
          <w:tcPr>
            <w:tcW w:type="dxa" w:w="393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50" w:firstLine="0"/>
              <w:jc w:val="right"/>
            </w:pPr>
            <w:r>
              <w:rPr>
                <w:rFonts w:ascii="宋体" w:hAnsi="宋体" w:eastAsia="宋体"/>
                <w:b w:val="0"/>
                <w:i w:val="0"/>
                <w:color w:val="000000"/>
                <w:sz w:val="18"/>
              </w:rPr>
              <w:t xml:space="preserve">首批IPO 询价对象 </w:t>
            </w:r>
          </w:p>
        </w:tc>
        <w:tc>
          <w:tcPr>
            <w:tcW w:type="dxa" w:w="354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2005 年1 月17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12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330" w:firstLine="0"/>
              <w:jc w:val="right"/>
            </w:pPr>
            <w:r>
              <w:rPr>
                <w:rFonts w:ascii="宋体" w:hAnsi="宋体" w:eastAsia="宋体"/>
                <w:b w:val="0"/>
                <w:i w:val="0"/>
                <w:color w:val="000000"/>
                <w:sz w:val="18"/>
              </w:rPr>
              <w:t xml:space="preserve">权证交易资格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046" w:firstLine="0"/>
              <w:jc w:val="right"/>
            </w:pPr>
            <w:r>
              <w:rPr>
                <w:rFonts w:ascii="宋体" w:hAnsi="宋体" w:eastAsia="宋体"/>
                <w:b w:val="0"/>
                <w:i w:val="0"/>
                <w:color w:val="000000"/>
                <w:sz w:val="18"/>
              </w:rPr>
              <w:t xml:space="preserve">上海证券交易所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2005 年8 月22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13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50" w:right="0" w:firstLine="0"/>
              <w:jc w:val="left"/>
            </w:pPr>
            <w:r>
              <w:rPr>
                <w:rFonts w:ascii="宋体" w:hAnsi="宋体" w:eastAsia="宋体"/>
                <w:b w:val="0"/>
                <w:i w:val="0"/>
                <w:color w:val="000000"/>
                <w:sz w:val="18"/>
              </w:rPr>
              <w:t xml:space="preserve">中国证券登记结算有限责任公司结算参与人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508" w:right="0" w:firstLine="0"/>
              <w:jc w:val="left"/>
            </w:pPr>
            <w:r>
              <w:rPr>
                <w:rFonts w:ascii="宋体" w:hAnsi="宋体" w:eastAsia="宋体"/>
                <w:b w:val="0"/>
                <w:i w:val="0"/>
                <w:color w:val="000000"/>
                <w:sz w:val="18"/>
              </w:rPr>
              <w:t xml:space="preserve">中国证券登记结算有限责任公司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316" w:right="0" w:firstLine="0"/>
              <w:jc w:val="left"/>
            </w:pPr>
            <w:r>
              <w:rPr>
                <w:rFonts w:ascii="宋体" w:hAnsi="宋体" w:eastAsia="宋体"/>
                <w:b w:val="0"/>
                <w:i w:val="0"/>
                <w:color w:val="000000"/>
                <w:sz w:val="18"/>
              </w:rPr>
              <w:t xml:space="preserve">2006 年3 月2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14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430" w:right="0" w:firstLine="0"/>
              <w:jc w:val="left"/>
            </w:pPr>
            <w:r>
              <w:rPr>
                <w:rFonts w:ascii="宋体" w:hAnsi="宋体" w:eastAsia="宋体"/>
                <w:b w:val="0"/>
                <w:i w:val="0"/>
                <w:color w:val="000000"/>
                <w:sz w:val="18"/>
              </w:rPr>
              <w:t xml:space="preserve">商品期货经纪资格、金融期货经纪资格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2007 年9 月14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15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700" w:right="0" w:firstLine="0"/>
              <w:jc w:val="left"/>
            </w:pPr>
            <w:r>
              <w:rPr>
                <w:rFonts w:ascii="宋体" w:hAnsi="宋体" w:eastAsia="宋体"/>
                <w:b w:val="0"/>
                <w:i w:val="0"/>
                <w:color w:val="000000"/>
                <w:sz w:val="18"/>
              </w:rPr>
              <w:t xml:space="preserve">代办股份转让主办券商业务资格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2008 年5 月22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16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150" w:firstLine="0"/>
              <w:jc w:val="right"/>
            </w:pPr>
            <w:r>
              <w:rPr>
                <w:rFonts w:ascii="宋体" w:hAnsi="宋体" w:eastAsia="宋体"/>
                <w:b w:val="0"/>
                <w:i w:val="0"/>
                <w:color w:val="000000"/>
                <w:sz w:val="18"/>
              </w:rPr>
              <w:t xml:space="preserve">报价转让业务资格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2008 年5 月22 日 </w:t>
            </w:r>
          </w:p>
        </w:tc>
      </w:tr>
      <w:tr>
        <w:trPr>
          <w:trHeight w:hRule="exact" w:val="398"/>
        </w:trPr>
        <w:tc>
          <w:tcPr>
            <w:tcW w:type="dxa" w:w="43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17 </w:t>
            </w:r>
          </w:p>
        </w:tc>
        <w:tc>
          <w:tcPr>
            <w:tcW w:type="dxa" w:w="393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4" w:after="0"/>
              <w:ind w:left="610" w:right="0" w:firstLine="0"/>
              <w:jc w:val="left"/>
            </w:pPr>
            <w:r>
              <w:rPr>
                <w:rFonts w:ascii="宋体" w:hAnsi="宋体" w:eastAsia="宋体"/>
                <w:b w:val="0"/>
                <w:i w:val="0"/>
                <w:color w:val="000000"/>
                <w:sz w:val="18"/>
              </w:rPr>
              <w:t xml:space="preserve">为期货公司提供中间介绍业务资格 </w:t>
            </w:r>
          </w:p>
        </w:tc>
        <w:tc>
          <w:tcPr>
            <w:tcW w:type="dxa" w:w="35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2008 年7 月10 日 </w:t>
            </w:r>
          </w:p>
        </w:tc>
      </w:tr>
      <w:tr>
        <w:trPr>
          <w:trHeight w:hRule="exact" w:val="396"/>
        </w:trPr>
        <w:tc>
          <w:tcPr>
            <w:tcW w:type="dxa" w:w="430"/>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18 </w:t>
            </w:r>
          </w:p>
        </w:tc>
        <w:tc>
          <w:tcPr>
            <w:tcW w:type="dxa" w:w="3934"/>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02" w:after="0"/>
              <w:ind w:left="0" w:right="1330" w:firstLine="0"/>
              <w:jc w:val="right"/>
            </w:pPr>
            <w:r>
              <w:rPr>
                <w:rFonts w:ascii="宋体" w:hAnsi="宋体" w:eastAsia="宋体"/>
                <w:b w:val="0"/>
                <w:i w:val="0"/>
                <w:color w:val="000000"/>
                <w:sz w:val="18"/>
              </w:rPr>
              <w:t xml:space="preserve">保荐机构资格 </w:t>
            </w:r>
          </w:p>
        </w:tc>
        <w:tc>
          <w:tcPr>
            <w:tcW w:type="dxa" w:w="3544"/>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2009 年8 月17 日 </w:t>
            </w:r>
          </w:p>
        </w:tc>
      </w:tr>
      <w:tr>
        <w:trPr>
          <w:trHeight w:hRule="exact" w:val="398"/>
        </w:trPr>
        <w:tc>
          <w:tcPr>
            <w:tcW w:type="dxa" w:w="430"/>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0" w:right="30" w:firstLine="0"/>
              <w:jc w:val="right"/>
            </w:pPr>
            <w:r>
              <w:rPr>
                <w:rFonts w:ascii="宋体" w:hAnsi="宋体" w:eastAsia="宋体"/>
                <w:b w:val="0"/>
                <w:i w:val="0"/>
                <w:color w:val="000000"/>
                <w:sz w:val="18"/>
              </w:rPr>
              <w:t xml:space="preserve">19 </w:t>
            </w:r>
          </w:p>
        </w:tc>
        <w:tc>
          <w:tcPr>
            <w:tcW w:type="dxa" w:w="3934"/>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700" w:right="0" w:firstLine="0"/>
              <w:jc w:val="left"/>
            </w:pPr>
            <w:r>
              <w:rPr>
                <w:rFonts w:ascii="宋体" w:hAnsi="宋体" w:eastAsia="宋体"/>
                <w:b w:val="0"/>
                <w:i w:val="0"/>
                <w:color w:val="000000"/>
                <w:sz w:val="18"/>
              </w:rPr>
              <w:t xml:space="preserve">自营业务参与股指期货交易资格 </w:t>
            </w:r>
          </w:p>
        </w:tc>
        <w:tc>
          <w:tcPr>
            <w:tcW w:type="dxa" w:w="3544"/>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868" w:right="0" w:firstLine="0"/>
              <w:jc w:val="left"/>
            </w:pPr>
            <w:r>
              <w:rPr>
                <w:rFonts w:ascii="宋体" w:hAnsi="宋体" w:eastAsia="宋体"/>
                <w:b w:val="0"/>
                <w:i w:val="0"/>
                <w:color w:val="000000"/>
                <w:sz w:val="18"/>
              </w:rPr>
              <w:t xml:space="preserve">中国证监会山西监管局 </w:t>
            </w:r>
          </w:p>
        </w:tc>
        <w:tc>
          <w:tcPr>
            <w:tcW w:type="dxa" w:w="1948"/>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270" w:right="0" w:firstLine="0"/>
              <w:jc w:val="left"/>
            </w:pPr>
            <w:r>
              <w:rPr>
                <w:rFonts w:ascii="宋体" w:hAnsi="宋体" w:eastAsia="宋体"/>
                <w:b w:val="0"/>
                <w:i w:val="0"/>
                <w:color w:val="000000"/>
                <w:sz w:val="18"/>
              </w:rPr>
              <w:t xml:space="preserve">2010 年11 月3 日 </w:t>
            </w:r>
          </w:p>
        </w:tc>
      </w:tr>
      <w:tr>
        <w:trPr>
          <w:trHeight w:hRule="exact" w:val="398"/>
        </w:trPr>
        <w:tc>
          <w:tcPr>
            <w:tcW w:type="dxa" w:w="43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20 </w:t>
            </w:r>
          </w:p>
        </w:tc>
        <w:tc>
          <w:tcPr>
            <w:tcW w:type="dxa" w:w="393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150" w:firstLine="0"/>
              <w:jc w:val="right"/>
            </w:pPr>
            <w:r>
              <w:rPr>
                <w:rFonts w:ascii="宋体" w:hAnsi="宋体" w:eastAsia="宋体"/>
                <w:b w:val="0"/>
                <w:i w:val="0"/>
                <w:color w:val="000000"/>
                <w:sz w:val="18"/>
              </w:rPr>
              <w:t xml:space="preserve">直接投资业务资格 </w:t>
            </w:r>
          </w:p>
        </w:tc>
        <w:tc>
          <w:tcPr>
            <w:tcW w:type="dxa" w:w="354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316" w:right="0" w:firstLine="0"/>
              <w:jc w:val="left"/>
            </w:pPr>
            <w:r>
              <w:rPr>
                <w:rFonts w:ascii="宋体" w:hAnsi="宋体" w:eastAsia="宋体"/>
                <w:b w:val="0"/>
                <w:i w:val="0"/>
                <w:color w:val="000000"/>
                <w:sz w:val="18"/>
              </w:rPr>
              <w:t xml:space="preserve">2011 年2 月9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21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50" w:firstLine="0"/>
              <w:jc w:val="right"/>
            </w:pPr>
            <w:r>
              <w:rPr>
                <w:rFonts w:ascii="宋体" w:hAnsi="宋体" w:eastAsia="宋体"/>
                <w:b w:val="0"/>
                <w:i w:val="0"/>
                <w:color w:val="000000"/>
                <w:sz w:val="18"/>
              </w:rPr>
              <w:t xml:space="preserve">期货投资咨询资格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2011 年8 月12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22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150" w:firstLine="0"/>
              <w:jc w:val="right"/>
            </w:pPr>
            <w:r>
              <w:rPr>
                <w:rFonts w:ascii="宋体" w:hAnsi="宋体" w:eastAsia="宋体"/>
                <w:b w:val="0"/>
                <w:i w:val="0"/>
                <w:color w:val="000000"/>
                <w:sz w:val="18"/>
              </w:rPr>
              <w:t xml:space="preserve">融资融券业务资格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2012 年4 月26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23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790" w:right="0" w:firstLine="0"/>
              <w:jc w:val="left"/>
            </w:pPr>
            <w:r>
              <w:rPr>
                <w:rFonts w:ascii="宋体" w:hAnsi="宋体" w:eastAsia="宋体"/>
                <w:b w:val="0"/>
                <w:i w:val="0"/>
                <w:color w:val="000000"/>
                <w:sz w:val="18"/>
              </w:rPr>
              <w:t xml:space="preserve">债券质押式报价回购业务资格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2012 年8 月29 日 </w:t>
            </w:r>
          </w:p>
        </w:tc>
      </w:tr>
      <w:tr>
        <w:trPr>
          <w:trHeight w:hRule="exact" w:val="62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8" w:after="0"/>
              <w:ind w:left="0" w:right="30" w:firstLine="0"/>
              <w:jc w:val="right"/>
            </w:pPr>
            <w:r>
              <w:rPr>
                <w:rFonts w:ascii="宋体" w:hAnsi="宋体" w:eastAsia="宋体"/>
                <w:b w:val="0"/>
                <w:i w:val="0"/>
                <w:color w:val="000000"/>
                <w:sz w:val="18"/>
              </w:rPr>
              <w:t xml:space="preserve">24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8" w:after="0"/>
              <w:ind w:left="970" w:right="0" w:firstLine="0"/>
              <w:jc w:val="left"/>
            </w:pPr>
            <w:r>
              <w:rPr>
                <w:rFonts w:ascii="宋体" w:hAnsi="宋体" w:eastAsia="宋体"/>
                <w:b w:val="0"/>
                <w:i w:val="0"/>
                <w:color w:val="000000"/>
                <w:sz w:val="18"/>
              </w:rPr>
              <w:t xml:space="preserve">约定购回式证券交易权限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8" w:after="0"/>
              <w:ind w:left="420" w:right="0" w:firstLine="0"/>
              <w:jc w:val="left"/>
            </w:pPr>
            <w:r>
              <w:rPr>
                <w:rFonts w:ascii="宋体" w:hAnsi="宋体" w:eastAsia="宋体"/>
                <w:b w:val="0"/>
                <w:i w:val="0"/>
                <w:color w:val="000000"/>
                <w:sz w:val="18"/>
              </w:rPr>
              <w:t xml:space="preserve">上海证券交易所、深圳证券交易所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tabs>
                <w:tab w:pos="316" w:val="left"/>
              </w:tabs>
              <w:autoSpaceDE w:val="0"/>
              <w:widowControl/>
              <w:spacing w:line="234" w:lineRule="exact" w:before="46" w:after="0"/>
              <w:ind w:left="136" w:right="0" w:firstLine="0"/>
              <w:jc w:val="left"/>
            </w:pPr>
            <w:r>
              <w:rPr>
                <w:rFonts w:ascii="宋体" w:hAnsi="宋体" w:eastAsia="宋体"/>
                <w:b w:val="0"/>
                <w:i w:val="0"/>
                <w:color w:val="000000"/>
                <w:sz w:val="18"/>
              </w:rPr>
              <w:t>2012 年12 月21 日、</w:t>
            </w:r>
            <w:r>
              <w:tab/>
            </w:r>
            <w:r>
              <w:rPr>
                <w:rFonts w:ascii="宋体" w:hAnsi="宋体" w:eastAsia="宋体"/>
                <w:b w:val="0"/>
                <w:i w:val="0"/>
                <w:color w:val="000000"/>
                <w:sz w:val="18"/>
              </w:rPr>
              <w:t xml:space="preserve">2013 年2 月2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25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42" w:firstLine="0"/>
              <w:jc w:val="right"/>
            </w:pPr>
            <w:r>
              <w:rPr>
                <w:rFonts w:ascii="宋体" w:hAnsi="宋体" w:eastAsia="宋体"/>
                <w:b w:val="0"/>
                <w:i w:val="0"/>
                <w:color w:val="000000"/>
                <w:sz w:val="18"/>
              </w:rPr>
              <w:t xml:space="preserve">转融通业务资格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688" w:right="0" w:firstLine="0"/>
              <w:jc w:val="left"/>
            </w:pPr>
            <w:r>
              <w:rPr>
                <w:rFonts w:ascii="宋体" w:hAnsi="宋体" w:eastAsia="宋体"/>
                <w:b w:val="0"/>
                <w:i w:val="0"/>
                <w:color w:val="000000"/>
                <w:sz w:val="18"/>
              </w:rPr>
              <w:t xml:space="preserve">中国证券金融股份有限公司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2013 年1 月18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26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150" w:firstLine="0"/>
              <w:jc w:val="right"/>
            </w:pPr>
            <w:r>
              <w:rPr>
                <w:rFonts w:ascii="宋体" w:hAnsi="宋体" w:eastAsia="宋体"/>
                <w:b w:val="0"/>
                <w:i w:val="0"/>
                <w:color w:val="000000"/>
                <w:sz w:val="18"/>
              </w:rPr>
              <w:t xml:space="preserve">柜台市场业务资格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316" w:right="0" w:firstLine="0"/>
              <w:jc w:val="left"/>
            </w:pPr>
            <w:r>
              <w:rPr>
                <w:rFonts w:ascii="宋体" w:hAnsi="宋体" w:eastAsia="宋体"/>
                <w:b w:val="0"/>
                <w:i w:val="0"/>
                <w:color w:val="000000"/>
                <w:sz w:val="18"/>
              </w:rPr>
              <w:t xml:space="preserve">2013 年2 月6 日 </w:t>
            </w:r>
          </w:p>
        </w:tc>
      </w:tr>
      <w:tr>
        <w:trPr>
          <w:trHeight w:hRule="exact" w:val="400"/>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30" w:firstLine="0"/>
              <w:jc w:val="right"/>
            </w:pPr>
            <w:r>
              <w:rPr>
                <w:rFonts w:ascii="宋体" w:hAnsi="宋体" w:eastAsia="宋体"/>
                <w:b w:val="0"/>
                <w:i w:val="0"/>
                <w:color w:val="000000"/>
                <w:sz w:val="18"/>
              </w:rPr>
              <w:t xml:space="preserve">27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970" w:firstLine="0"/>
              <w:jc w:val="right"/>
            </w:pPr>
            <w:r>
              <w:rPr>
                <w:rFonts w:ascii="宋体" w:hAnsi="宋体" w:eastAsia="宋体"/>
                <w:b w:val="0"/>
                <w:i w:val="0"/>
                <w:color w:val="000000"/>
                <w:sz w:val="18"/>
              </w:rPr>
              <w:t xml:space="preserve">代销金融产品业务资格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868" w:right="0" w:firstLine="0"/>
              <w:jc w:val="left"/>
            </w:pPr>
            <w:r>
              <w:rPr>
                <w:rFonts w:ascii="宋体" w:hAnsi="宋体" w:eastAsia="宋体"/>
                <w:b w:val="0"/>
                <w:i w:val="0"/>
                <w:color w:val="000000"/>
                <w:sz w:val="18"/>
              </w:rPr>
              <w:t xml:space="preserve">中国证监会山西监管局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316" w:right="0" w:firstLine="0"/>
              <w:jc w:val="left"/>
            </w:pPr>
            <w:r>
              <w:rPr>
                <w:rFonts w:ascii="宋体" w:hAnsi="宋体" w:eastAsia="宋体"/>
                <w:b w:val="0"/>
                <w:i w:val="0"/>
                <w:color w:val="000000"/>
                <w:sz w:val="18"/>
              </w:rPr>
              <w:t xml:space="preserve">2013 年3 月4 日 </w:t>
            </w:r>
          </w:p>
        </w:tc>
      </w:tr>
      <w:tr>
        <w:trPr>
          <w:trHeight w:hRule="exact" w:val="62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4" w:after="0"/>
              <w:ind w:left="0" w:right="30" w:firstLine="0"/>
              <w:jc w:val="right"/>
            </w:pPr>
            <w:r>
              <w:rPr>
                <w:rFonts w:ascii="宋体" w:hAnsi="宋体" w:eastAsia="宋体"/>
                <w:b w:val="0"/>
                <w:i w:val="0"/>
                <w:color w:val="000000"/>
                <w:sz w:val="18"/>
              </w:rPr>
              <w:t xml:space="preserve">28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44" w:after="0"/>
              <w:ind w:left="432" w:right="288" w:firstLine="0"/>
              <w:jc w:val="center"/>
            </w:pPr>
            <w:r>
              <w:rPr>
                <w:rFonts w:ascii="宋体" w:hAnsi="宋体" w:eastAsia="宋体"/>
                <w:b w:val="0"/>
                <w:i w:val="0"/>
                <w:color w:val="000000"/>
                <w:sz w:val="18"/>
              </w:rPr>
              <w:t xml:space="preserve">全国中小企业股份转让系统主办券商 </w:t>
            </w:r>
            <w:r>
              <w:rPr>
                <w:rFonts w:ascii="宋体" w:hAnsi="宋体" w:eastAsia="宋体"/>
                <w:b w:val="0"/>
                <w:i w:val="0"/>
                <w:color w:val="000000"/>
                <w:sz w:val="18"/>
              </w:rPr>
              <w:t xml:space="preserve">（推荐业务和经纪业务）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4" w:after="0"/>
              <w:ind w:left="148" w:right="0" w:firstLine="0"/>
              <w:jc w:val="left"/>
            </w:pPr>
            <w:r>
              <w:rPr>
                <w:rFonts w:ascii="宋体" w:hAnsi="宋体" w:eastAsia="宋体"/>
                <w:b w:val="0"/>
                <w:i w:val="0"/>
                <w:color w:val="000000"/>
                <w:sz w:val="18"/>
              </w:rPr>
              <w:t xml:space="preserve">全国中小企业股份转让系统有限责任公司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4" w:after="0"/>
              <w:ind w:left="270" w:right="0" w:firstLine="0"/>
              <w:jc w:val="left"/>
            </w:pPr>
            <w:r>
              <w:rPr>
                <w:rFonts w:ascii="宋体" w:hAnsi="宋体" w:eastAsia="宋体"/>
                <w:b w:val="0"/>
                <w:i w:val="0"/>
                <w:color w:val="000000"/>
                <w:sz w:val="18"/>
              </w:rPr>
              <w:t xml:space="preserve">2013 年3 月21 日 </w:t>
            </w:r>
          </w:p>
        </w:tc>
      </w:tr>
      <w:tr>
        <w:trPr>
          <w:trHeight w:hRule="exact" w:val="39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29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970" w:right="0" w:firstLine="0"/>
              <w:jc w:val="left"/>
            </w:pPr>
            <w:r>
              <w:rPr>
                <w:rFonts w:ascii="宋体" w:hAnsi="宋体" w:eastAsia="宋体"/>
                <w:b w:val="0"/>
                <w:i w:val="0"/>
                <w:color w:val="000000"/>
                <w:sz w:val="18"/>
              </w:rPr>
              <w:t xml:space="preserve">股票质押式回购业务资格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420" w:right="0" w:firstLine="0"/>
              <w:jc w:val="left"/>
            </w:pPr>
            <w:r>
              <w:rPr>
                <w:rFonts w:ascii="宋体" w:hAnsi="宋体" w:eastAsia="宋体"/>
                <w:b w:val="0"/>
                <w:i w:val="0"/>
                <w:color w:val="000000"/>
                <w:sz w:val="18"/>
              </w:rPr>
              <w:t xml:space="preserve">上海证券交易所、深圳证券交易所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2013 年7 月25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30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520" w:right="0" w:firstLine="0"/>
              <w:jc w:val="left"/>
            </w:pPr>
            <w:r>
              <w:rPr>
                <w:rFonts w:ascii="宋体" w:hAnsi="宋体" w:eastAsia="宋体"/>
                <w:b w:val="0"/>
                <w:i w:val="0"/>
                <w:color w:val="000000"/>
                <w:sz w:val="18"/>
              </w:rPr>
              <w:t xml:space="preserve">公开募集证券投资基金管理业务资格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2014 年3 月19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31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50" w:firstLine="0"/>
              <w:jc w:val="right"/>
            </w:pPr>
            <w:r>
              <w:rPr>
                <w:rFonts w:ascii="宋体" w:hAnsi="宋体" w:eastAsia="宋体"/>
                <w:b w:val="0"/>
                <w:i w:val="0"/>
                <w:color w:val="000000"/>
                <w:sz w:val="18"/>
              </w:rPr>
              <w:t xml:space="preserve">资产管理业务资格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2014 年5 月20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160" w:right="0" w:firstLine="0"/>
              <w:jc w:val="left"/>
            </w:pPr>
            <w:r>
              <w:rPr>
                <w:rFonts w:ascii="宋体" w:hAnsi="宋体" w:eastAsia="宋体"/>
                <w:b w:val="0"/>
                <w:i w:val="0"/>
                <w:color w:val="000000"/>
                <w:sz w:val="18"/>
              </w:rPr>
              <w:t xml:space="preserve">全国中小企业股份转让系统从事做市业务资格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148" w:right="0" w:firstLine="0"/>
              <w:jc w:val="left"/>
            </w:pPr>
            <w:r>
              <w:rPr>
                <w:rFonts w:ascii="宋体" w:hAnsi="宋体" w:eastAsia="宋体"/>
                <w:b w:val="0"/>
                <w:i w:val="0"/>
                <w:color w:val="000000"/>
                <w:sz w:val="18"/>
              </w:rPr>
              <w:t xml:space="preserve">全国中小企业股份转让系统有限责任公司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2014 年7 月11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33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880" w:right="0" w:firstLine="0"/>
              <w:jc w:val="left"/>
            </w:pPr>
            <w:r>
              <w:rPr>
                <w:rFonts w:ascii="宋体" w:hAnsi="宋体" w:eastAsia="宋体"/>
                <w:b w:val="0"/>
                <w:i w:val="0"/>
                <w:color w:val="000000"/>
                <w:sz w:val="18"/>
              </w:rPr>
              <w:t xml:space="preserve">私募基金综合托管业务资格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2014 年8 月27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970" w:right="0" w:firstLine="0"/>
              <w:jc w:val="left"/>
            </w:pPr>
            <w:r>
              <w:rPr>
                <w:rFonts w:ascii="宋体" w:hAnsi="宋体" w:eastAsia="宋体"/>
                <w:b w:val="0"/>
                <w:i w:val="0"/>
                <w:color w:val="000000"/>
                <w:sz w:val="18"/>
              </w:rPr>
              <w:t xml:space="preserve">港股通业务交易权限资格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上海证券交易所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24" w:right="0" w:firstLine="0"/>
              <w:jc w:val="left"/>
            </w:pPr>
            <w:r>
              <w:rPr>
                <w:rFonts w:ascii="宋体" w:hAnsi="宋体" w:eastAsia="宋体"/>
                <w:b w:val="0"/>
                <w:i w:val="0"/>
                <w:color w:val="000000"/>
                <w:sz w:val="18"/>
              </w:rPr>
              <w:t xml:space="preserve">2014 年10 月15 日 </w:t>
            </w:r>
          </w:p>
        </w:tc>
      </w:tr>
      <w:tr>
        <w:trPr>
          <w:trHeight w:hRule="exact" w:val="398"/>
        </w:trPr>
        <w:tc>
          <w:tcPr>
            <w:tcW w:type="dxa" w:w="43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35 </w:t>
            </w:r>
          </w:p>
        </w:tc>
        <w:tc>
          <w:tcPr>
            <w:tcW w:type="dxa" w:w="393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0" w:right="1150" w:firstLine="0"/>
              <w:jc w:val="right"/>
            </w:pPr>
            <w:r>
              <w:rPr>
                <w:rFonts w:ascii="宋体" w:hAnsi="宋体" w:eastAsia="宋体"/>
                <w:b w:val="0"/>
                <w:i w:val="0"/>
                <w:color w:val="000000"/>
                <w:sz w:val="18"/>
              </w:rPr>
              <w:t xml:space="preserve">期权结算业务资格 </w:t>
            </w:r>
          </w:p>
        </w:tc>
        <w:tc>
          <w:tcPr>
            <w:tcW w:type="dxa" w:w="35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508" w:right="0" w:firstLine="0"/>
              <w:jc w:val="left"/>
            </w:pPr>
            <w:r>
              <w:rPr>
                <w:rFonts w:ascii="宋体" w:hAnsi="宋体" w:eastAsia="宋体"/>
                <w:b w:val="0"/>
                <w:i w:val="0"/>
                <w:color w:val="000000"/>
                <w:sz w:val="18"/>
              </w:rPr>
              <w:t xml:space="preserve">中国证券登记结算有限责任公司 </w:t>
            </w:r>
          </w:p>
        </w:tc>
        <w:tc>
          <w:tcPr>
            <w:tcW w:type="dxa" w:w="194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2015 年1 月16 日 </w:t>
            </w:r>
          </w:p>
        </w:tc>
      </w:tr>
      <w:tr>
        <w:trPr>
          <w:trHeight w:hRule="exact" w:val="396"/>
        </w:trPr>
        <w:tc>
          <w:tcPr>
            <w:tcW w:type="dxa" w:w="430"/>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36 </w:t>
            </w:r>
          </w:p>
        </w:tc>
        <w:tc>
          <w:tcPr>
            <w:tcW w:type="dxa" w:w="393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700" w:right="0" w:firstLine="0"/>
              <w:jc w:val="left"/>
            </w:pPr>
            <w:r>
              <w:rPr>
                <w:rFonts w:ascii="宋体" w:hAnsi="宋体" w:eastAsia="宋体"/>
                <w:b w:val="0"/>
                <w:i w:val="0"/>
                <w:color w:val="000000"/>
                <w:sz w:val="18"/>
              </w:rPr>
              <w:t xml:space="preserve">股票期权经纪业务交易权限资格 </w:t>
            </w:r>
          </w:p>
        </w:tc>
        <w:tc>
          <w:tcPr>
            <w:tcW w:type="dxa" w:w="354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上海证券交易所 </w:t>
            </w:r>
          </w:p>
        </w:tc>
        <w:tc>
          <w:tcPr>
            <w:tcW w:type="dxa" w:w="1948"/>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2015 年1 月20 日 </w:t>
            </w:r>
          </w:p>
        </w:tc>
      </w:tr>
      <w:tr>
        <w:trPr>
          <w:trHeight w:hRule="exact" w:val="398"/>
        </w:trPr>
        <w:tc>
          <w:tcPr>
            <w:tcW w:type="dxa" w:w="43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37 </w:t>
            </w:r>
          </w:p>
        </w:tc>
        <w:tc>
          <w:tcPr>
            <w:tcW w:type="dxa" w:w="393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700" w:right="0" w:firstLine="0"/>
              <w:jc w:val="left"/>
            </w:pPr>
            <w:r>
              <w:rPr>
                <w:rFonts w:ascii="宋体" w:hAnsi="宋体" w:eastAsia="宋体"/>
                <w:b w:val="0"/>
                <w:i w:val="0"/>
                <w:color w:val="000000"/>
                <w:sz w:val="18"/>
              </w:rPr>
              <w:t xml:space="preserve">股票期权自营业务交易权限资格 </w:t>
            </w:r>
          </w:p>
        </w:tc>
        <w:tc>
          <w:tcPr>
            <w:tcW w:type="dxa" w:w="354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上海证券交易所 </w:t>
            </w:r>
          </w:p>
        </w:tc>
        <w:tc>
          <w:tcPr>
            <w:tcW w:type="dxa" w:w="194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2015 年1 月28 日 </w:t>
            </w:r>
          </w:p>
        </w:tc>
      </w:tr>
    </w:tbl>
    <w:p>
      <w:pPr>
        <w:autoSpaceDN w:val="0"/>
        <w:autoSpaceDE w:val="0"/>
        <w:widowControl/>
        <w:spacing w:line="197" w:lineRule="auto" w:before="580" w:after="0"/>
        <w:ind w:left="0" w:right="0" w:firstLine="0"/>
        <w:jc w:val="center"/>
      </w:pPr>
      <w:r>
        <w:rPr>
          <w:rFonts w:ascii="Calibri" w:hAnsi="Calibri" w:eastAsia="Calibri"/>
          <w:b w:val="0"/>
          <w:i w:val="0"/>
          <w:color w:val="000000"/>
          <w:sz w:val="18"/>
        </w:rPr>
        <w:t xml:space="preserve">7 </w:t>
      </w:r>
    </w:p>
    <w:p>
      <w:pPr>
        <w:sectPr>
          <w:type w:val="continuous"/>
          <w:pgSz w:w="11904" w:h="16841"/>
          <w:pgMar w:top="424" w:right="1000" w:bottom="446" w:left="1020"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020" w:header="720" w:footer="720" w:gutter="0"/>
          <w:cols/>
          <w:docGrid w:linePitch="360"/>
        </w:sectPr>
      </w:pPr>
    </w:p>
    <w:p>
      <w:pPr>
        <w:autoSpaceDN w:val="0"/>
        <w:autoSpaceDE w:val="0"/>
        <w:widowControl/>
        <w:spacing w:line="240" w:lineRule="auto" w:before="0" w:after="0"/>
        <w:ind w:left="114" w:right="0" w:firstLine="0"/>
        <w:jc w:val="left"/>
      </w:pPr>
      <w:r>
        <w:drawing>
          <wp:inline xmlns:a="http://schemas.openxmlformats.org/drawingml/2006/main" xmlns:pic="http://schemas.openxmlformats.org/drawingml/2006/picture">
            <wp:extent cx="1844039" cy="439419"/>
            <wp:docPr id="9" name="Picture 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020" w:header="720" w:footer="720" w:gutter="0"/>
          <w:cols w:num="2" w:equalWidth="0">
            <w:col w:w="5520" w:space="0"/>
            <w:col w:w="4364" w:space="0"/>
          </w:cols>
          <w:docGrid w:linePitch="360"/>
        </w:sectPr>
      </w:pPr>
    </w:p>
    <w:tbl>
      <w:tblPr>
        <w:tblW w:type="auto" w:w="0"/>
        <w:tblLayout w:type="fixed"/>
        <w:tblLook w:firstColumn="1" w:firstRow="1" w:lastColumn="0" w:lastRow="0" w:noHBand="0" w:noVBand="1" w:val="04A0"/>
        <w:tblInd w:w="4.000000000000057" w:type="dxa"/>
      </w:tblPr>
      <w:tblGrid>
        <w:gridCol w:w="2471"/>
        <w:gridCol w:w="2471"/>
        <w:gridCol w:w="2471"/>
        <w:gridCol w:w="2471"/>
      </w:tblGrid>
      <w:tr>
        <w:trPr>
          <w:trHeight w:hRule="exact" w:val="396"/>
        </w:trPr>
        <w:tc>
          <w:tcPr>
            <w:tcW w:type="dxa" w:w="43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38 </w:t>
            </w:r>
          </w:p>
        </w:tc>
        <w:tc>
          <w:tcPr>
            <w:tcW w:type="dxa" w:w="393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062" w:firstLine="0"/>
              <w:jc w:val="right"/>
            </w:pPr>
            <w:r>
              <w:rPr>
                <w:rFonts w:ascii="宋体" w:hAnsi="宋体" w:eastAsia="宋体"/>
                <w:b w:val="0"/>
                <w:i w:val="0"/>
                <w:color w:val="000000"/>
                <w:sz w:val="18"/>
              </w:rPr>
              <w:t xml:space="preserve">互联网证券业务资格 </w:t>
            </w:r>
          </w:p>
        </w:tc>
        <w:tc>
          <w:tcPr>
            <w:tcW w:type="dxa" w:w="354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316" w:right="0" w:firstLine="0"/>
              <w:jc w:val="left"/>
            </w:pPr>
            <w:r>
              <w:rPr>
                <w:rFonts w:ascii="宋体" w:hAnsi="宋体" w:eastAsia="宋体"/>
                <w:b w:val="0"/>
                <w:i w:val="0"/>
                <w:color w:val="000000"/>
                <w:sz w:val="18"/>
              </w:rPr>
              <w:t xml:space="preserve">2015 年3 月3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39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520" w:right="0" w:firstLine="0"/>
              <w:jc w:val="left"/>
            </w:pPr>
            <w:r>
              <w:rPr>
                <w:rFonts w:ascii="宋体" w:hAnsi="宋体" w:eastAsia="宋体"/>
                <w:b w:val="0"/>
                <w:i w:val="0"/>
                <w:color w:val="000000"/>
                <w:sz w:val="18"/>
              </w:rPr>
              <w:t xml:space="preserve">上市公司股权激励行权融资业务资格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046" w:firstLine="0"/>
              <w:jc w:val="right"/>
            </w:pPr>
            <w:r>
              <w:rPr>
                <w:rFonts w:ascii="宋体" w:hAnsi="宋体" w:eastAsia="宋体"/>
                <w:b w:val="0"/>
                <w:i w:val="0"/>
                <w:color w:val="000000"/>
                <w:sz w:val="18"/>
              </w:rPr>
              <w:t xml:space="preserve">深圳证券交易所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2015 年8 月19 日 </w:t>
            </w:r>
          </w:p>
        </w:tc>
      </w:tr>
      <w:tr>
        <w:trPr>
          <w:trHeight w:hRule="exact" w:val="400"/>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30" w:firstLine="0"/>
              <w:jc w:val="right"/>
            </w:pPr>
            <w:r>
              <w:rPr>
                <w:rFonts w:ascii="宋体" w:hAnsi="宋体" w:eastAsia="宋体"/>
                <w:b w:val="0"/>
                <w:i w:val="0"/>
                <w:color w:val="000000"/>
                <w:sz w:val="18"/>
              </w:rPr>
              <w:t xml:space="preserve">40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1062" w:firstLine="0"/>
              <w:jc w:val="right"/>
            </w:pPr>
            <w:r>
              <w:rPr>
                <w:rFonts w:ascii="宋体" w:hAnsi="宋体" w:eastAsia="宋体"/>
                <w:b w:val="0"/>
                <w:i w:val="0"/>
                <w:color w:val="000000"/>
                <w:sz w:val="18"/>
              </w:rPr>
              <w:t xml:space="preserve">私募基金管理人资格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780" w:right="0" w:firstLine="0"/>
              <w:jc w:val="left"/>
            </w:pPr>
            <w:r>
              <w:rPr>
                <w:rFonts w:ascii="宋体" w:hAnsi="宋体" w:eastAsia="宋体"/>
                <w:b w:val="0"/>
                <w:i w:val="0"/>
                <w:color w:val="000000"/>
                <w:sz w:val="18"/>
              </w:rPr>
              <w:t xml:space="preserve">中国证券投资基金业协会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270" w:right="0" w:firstLine="0"/>
              <w:jc w:val="left"/>
            </w:pPr>
            <w:r>
              <w:rPr>
                <w:rFonts w:ascii="宋体" w:hAnsi="宋体" w:eastAsia="宋体"/>
                <w:b w:val="0"/>
                <w:i w:val="0"/>
                <w:color w:val="000000"/>
                <w:sz w:val="18"/>
              </w:rPr>
              <w:t xml:space="preserve">2015 年11 月3 日 </w:t>
            </w:r>
          </w:p>
        </w:tc>
      </w:tr>
      <w:tr>
        <w:trPr>
          <w:trHeight w:hRule="exact" w:val="90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54" w:after="0"/>
              <w:ind w:left="0" w:right="30" w:firstLine="0"/>
              <w:jc w:val="right"/>
            </w:pPr>
            <w:r>
              <w:rPr>
                <w:rFonts w:ascii="宋体" w:hAnsi="宋体" w:eastAsia="宋体"/>
                <w:b w:val="0"/>
                <w:i w:val="0"/>
                <w:color w:val="000000"/>
                <w:sz w:val="18"/>
              </w:rPr>
              <w:t xml:space="preserve">41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tabs>
                <w:tab w:pos="430" w:val="left"/>
              </w:tabs>
              <w:autoSpaceDE w:val="0"/>
              <w:widowControl/>
              <w:spacing w:line="232" w:lineRule="exact" w:before="188" w:after="0"/>
              <w:ind w:left="160" w:right="144" w:firstLine="0"/>
              <w:jc w:val="left"/>
            </w:pPr>
            <w:r>
              <w:rPr>
                <w:rFonts w:ascii="宋体" w:hAnsi="宋体" w:eastAsia="宋体"/>
                <w:b w:val="0"/>
                <w:i w:val="0"/>
                <w:color w:val="000000"/>
                <w:sz w:val="18"/>
              </w:rPr>
              <w:t>证券交易资格、就证券提供意见资格、就期货</w:t>
            </w:r>
            <w:r>
              <w:tab/>
            </w:r>
            <w:r>
              <w:rPr>
                <w:rFonts w:ascii="宋体" w:hAnsi="宋体" w:eastAsia="宋体"/>
                <w:b w:val="0"/>
                <w:i w:val="0"/>
                <w:color w:val="000000"/>
                <w:sz w:val="18"/>
              </w:rPr>
              <w:t xml:space="preserve">合约提供意见资格、提供资产管理资格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54" w:after="0"/>
              <w:ind w:left="508" w:right="0" w:firstLine="0"/>
              <w:jc w:val="left"/>
            </w:pPr>
            <w:r>
              <w:rPr>
                <w:rFonts w:ascii="宋体" w:hAnsi="宋体" w:eastAsia="宋体"/>
                <w:b w:val="0"/>
                <w:i w:val="0"/>
                <w:color w:val="000000"/>
                <w:sz w:val="18"/>
              </w:rPr>
              <w:t xml:space="preserve">香港证券及期货事务监察委员会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54" w:after="0"/>
              <w:ind w:left="316" w:right="0" w:firstLine="0"/>
              <w:jc w:val="left"/>
            </w:pPr>
            <w:r>
              <w:rPr>
                <w:rFonts w:ascii="宋体" w:hAnsi="宋体" w:eastAsia="宋体"/>
                <w:b w:val="0"/>
                <w:i w:val="0"/>
                <w:color w:val="000000"/>
                <w:sz w:val="18"/>
              </w:rPr>
              <w:t xml:space="preserve">2016 年3 月2 日 </w:t>
            </w:r>
          </w:p>
        </w:tc>
      </w:tr>
      <w:tr>
        <w:trPr>
          <w:trHeight w:hRule="exact" w:val="39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42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50" w:firstLine="0"/>
              <w:jc w:val="right"/>
            </w:pPr>
            <w:r>
              <w:rPr>
                <w:rFonts w:ascii="宋体" w:hAnsi="宋体" w:eastAsia="宋体"/>
                <w:b w:val="0"/>
                <w:i w:val="0"/>
                <w:color w:val="000000"/>
                <w:sz w:val="18"/>
              </w:rPr>
              <w:t xml:space="preserve">期货合约交易资格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508" w:right="0" w:firstLine="0"/>
              <w:jc w:val="left"/>
            </w:pPr>
            <w:r>
              <w:rPr>
                <w:rFonts w:ascii="宋体" w:hAnsi="宋体" w:eastAsia="宋体"/>
                <w:b w:val="0"/>
                <w:i w:val="0"/>
                <w:color w:val="000000"/>
                <w:sz w:val="18"/>
              </w:rPr>
              <w:t xml:space="preserve">香港证券及期货事务监察委员会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2016 年11 月1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43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610" w:right="0" w:firstLine="0"/>
              <w:jc w:val="left"/>
            </w:pPr>
            <w:r>
              <w:rPr>
                <w:rFonts w:ascii="宋体" w:hAnsi="宋体" w:eastAsia="宋体"/>
                <w:b w:val="0"/>
                <w:i w:val="0"/>
                <w:color w:val="000000"/>
                <w:sz w:val="18"/>
              </w:rPr>
              <w:t xml:space="preserve">深港通下港股通业务交易权限资格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深圳证券交易所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2016 年11 月7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44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970" w:right="0" w:firstLine="0"/>
              <w:jc w:val="left"/>
            </w:pPr>
            <w:r>
              <w:rPr>
                <w:rFonts w:ascii="宋体" w:hAnsi="宋体" w:eastAsia="宋体"/>
                <w:b w:val="0"/>
                <w:i w:val="0"/>
                <w:color w:val="000000"/>
                <w:sz w:val="18"/>
              </w:rPr>
              <w:t xml:space="preserve">就机构融资提供意见资格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508" w:right="0" w:firstLine="0"/>
              <w:jc w:val="left"/>
            </w:pPr>
            <w:r>
              <w:rPr>
                <w:rFonts w:ascii="宋体" w:hAnsi="宋体" w:eastAsia="宋体"/>
                <w:b w:val="0"/>
                <w:i w:val="0"/>
                <w:color w:val="000000"/>
                <w:sz w:val="18"/>
              </w:rPr>
              <w:t xml:space="preserve">香港证券及期货事务监察委员会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2017 年1 月25 日 </w:t>
            </w:r>
          </w:p>
        </w:tc>
      </w:tr>
      <w:tr>
        <w:trPr>
          <w:trHeight w:hRule="exact" w:val="62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6" w:after="0"/>
              <w:ind w:left="0" w:right="30" w:firstLine="0"/>
              <w:jc w:val="right"/>
            </w:pPr>
            <w:r>
              <w:rPr>
                <w:rFonts w:ascii="宋体" w:hAnsi="宋体" w:eastAsia="宋体"/>
                <w:b w:val="0"/>
                <w:i w:val="0"/>
                <w:color w:val="000000"/>
                <w:sz w:val="18"/>
              </w:rPr>
              <w:t xml:space="preserve">45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46" w:after="0"/>
              <w:ind w:left="864" w:right="720" w:firstLine="0"/>
              <w:jc w:val="center"/>
            </w:pPr>
            <w:r>
              <w:rPr>
                <w:rFonts w:ascii="宋体" w:hAnsi="宋体" w:eastAsia="宋体"/>
                <w:b w:val="0"/>
                <w:i w:val="0"/>
                <w:color w:val="000000"/>
                <w:sz w:val="18"/>
              </w:rPr>
              <w:t xml:space="preserve">合格境外机构投资者资格、 </w:t>
            </w:r>
            <w:r>
              <w:rPr>
                <w:rFonts w:ascii="宋体" w:hAnsi="宋体" w:eastAsia="宋体"/>
                <w:b w:val="0"/>
                <w:i w:val="0"/>
                <w:color w:val="000000"/>
                <w:sz w:val="18"/>
              </w:rPr>
              <w:t xml:space="preserve">境内证券投资资格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6"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16" w:after="0"/>
              <w:ind w:left="270" w:right="0" w:firstLine="0"/>
              <w:jc w:val="left"/>
            </w:pPr>
            <w:r>
              <w:rPr>
                <w:rFonts w:ascii="宋体" w:hAnsi="宋体" w:eastAsia="宋体"/>
                <w:b w:val="0"/>
                <w:i w:val="0"/>
                <w:color w:val="000000"/>
                <w:sz w:val="18"/>
              </w:rPr>
              <w:t xml:space="preserve">2017 年8 月14 日 </w:t>
            </w:r>
          </w:p>
        </w:tc>
      </w:tr>
      <w:tr>
        <w:trPr>
          <w:trHeight w:hRule="exact" w:val="394"/>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46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062" w:firstLine="0"/>
              <w:jc w:val="right"/>
            </w:pPr>
            <w:r>
              <w:rPr>
                <w:rFonts w:ascii="宋体" w:hAnsi="宋体" w:eastAsia="宋体"/>
                <w:b w:val="0"/>
                <w:i w:val="0"/>
                <w:color w:val="000000"/>
                <w:sz w:val="18"/>
              </w:rPr>
              <w:t xml:space="preserve">债券通境外机构资格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136" w:firstLine="0"/>
              <w:jc w:val="right"/>
            </w:pPr>
            <w:r>
              <w:rPr>
                <w:rFonts w:ascii="宋体" w:hAnsi="宋体" w:eastAsia="宋体"/>
                <w:b w:val="0"/>
                <w:i w:val="0"/>
                <w:color w:val="000000"/>
                <w:sz w:val="18"/>
              </w:rPr>
              <w:t xml:space="preserve">中国人民银行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2017 年9 月20 日 </w:t>
            </w:r>
          </w:p>
        </w:tc>
      </w:tr>
      <w:tr>
        <w:trPr>
          <w:trHeight w:hRule="exact" w:val="400"/>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30" w:firstLine="0"/>
              <w:jc w:val="right"/>
            </w:pPr>
            <w:r>
              <w:rPr>
                <w:rFonts w:ascii="宋体" w:hAnsi="宋体" w:eastAsia="宋体"/>
                <w:b w:val="0"/>
                <w:i w:val="0"/>
                <w:color w:val="000000"/>
                <w:sz w:val="18"/>
              </w:rPr>
              <w:t xml:space="preserve">47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790" w:right="0" w:firstLine="0"/>
              <w:jc w:val="left"/>
            </w:pPr>
            <w:r>
              <w:rPr>
                <w:rFonts w:ascii="宋体" w:hAnsi="宋体" w:eastAsia="宋体"/>
                <w:b w:val="0"/>
                <w:i w:val="0"/>
                <w:color w:val="000000"/>
                <w:sz w:val="18"/>
              </w:rPr>
              <w:t xml:space="preserve">场外期权业务二级交易商资格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1046" w:firstLine="0"/>
              <w:jc w:val="right"/>
            </w:pPr>
            <w:r>
              <w:rPr>
                <w:rFonts w:ascii="宋体" w:hAnsi="宋体" w:eastAsia="宋体"/>
                <w:b w:val="0"/>
                <w:i w:val="0"/>
                <w:color w:val="000000"/>
                <w:sz w:val="18"/>
              </w:rPr>
              <w:t xml:space="preserve">中国证券业协会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270" w:right="0" w:firstLine="0"/>
              <w:jc w:val="left"/>
            </w:pPr>
            <w:r>
              <w:rPr>
                <w:rFonts w:ascii="宋体" w:hAnsi="宋体" w:eastAsia="宋体"/>
                <w:b w:val="0"/>
                <w:i w:val="0"/>
                <w:color w:val="000000"/>
                <w:sz w:val="18"/>
              </w:rPr>
              <w:t xml:space="preserve">2018 年12 月6 日 </w:t>
            </w:r>
          </w:p>
        </w:tc>
      </w:tr>
      <w:tr>
        <w:trPr>
          <w:trHeight w:hRule="exact" w:val="90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56" w:after="0"/>
              <w:ind w:left="0" w:right="30" w:firstLine="0"/>
              <w:jc w:val="right"/>
            </w:pPr>
            <w:r>
              <w:rPr>
                <w:rFonts w:ascii="宋体" w:hAnsi="宋体" w:eastAsia="宋体"/>
                <w:b w:val="0"/>
                <w:i w:val="0"/>
                <w:color w:val="000000"/>
                <w:sz w:val="18"/>
              </w:rPr>
              <w:t xml:space="preserve">48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68" w:after="0"/>
              <w:ind w:left="144" w:right="162" w:firstLine="0"/>
              <w:jc w:val="right"/>
            </w:pPr>
            <w:r>
              <w:rPr>
                <w:rFonts w:ascii="宋体" w:hAnsi="宋体" w:eastAsia="宋体"/>
                <w:b w:val="0"/>
                <w:i w:val="0"/>
                <w:color w:val="000000"/>
                <w:sz w:val="18"/>
              </w:rPr>
              <w:t>政策性银行（中国农业发展银行、国家开发银</w:t>
            </w:r>
            <w:r>
              <w:rPr>
                <w:rFonts w:ascii="宋体" w:hAnsi="宋体" w:eastAsia="宋体"/>
                <w:b w:val="0"/>
                <w:i w:val="0"/>
                <w:color w:val="000000"/>
                <w:sz w:val="18"/>
              </w:rPr>
              <w:t>行、中国进出口银行）金融债券承分销业务资</w:t>
            </w:r>
            <w:r>
              <w:rPr>
                <w:rFonts w:ascii="宋体" w:hAnsi="宋体" w:eastAsia="宋体"/>
                <w:b w:val="0"/>
                <w:i w:val="0"/>
                <w:color w:val="000000"/>
                <w:sz w:val="18"/>
              </w:rPr>
              <w:t xml:space="preserve">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tabs>
                <w:tab w:pos="1320" w:val="left"/>
              </w:tabs>
              <w:autoSpaceDE w:val="0"/>
              <w:widowControl/>
              <w:spacing w:line="234" w:lineRule="exact" w:before="186" w:after="0"/>
              <w:ind w:left="148" w:right="144" w:firstLine="0"/>
              <w:jc w:val="left"/>
            </w:pPr>
            <w:r>
              <w:rPr>
                <w:rFonts w:ascii="宋体" w:hAnsi="宋体" w:eastAsia="宋体"/>
                <w:b w:val="0"/>
                <w:i w:val="0"/>
                <w:color w:val="000000"/>
                <w:sz w:val="18"/>
              </w:rPr>
              <w:t>中国农业发展银行、国家开发银行、中国</w:t>
            </w:r>
            <w:r>
              <w:tab/>
            </w:r>
            <w:r>
              <w:rPr>
                <w:rFonts w:ascii="宋体" w:hAnsi="宋体" w:eastAsia="宋体"/>
                <w:b w:val="0"/>
                <w:i w:val="0"/>
                <w:color w:val="000000"/>
                <w:sz w:val="18"/>
              </w:rPr>
              <w:t xml:space="preserve">进出口银行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tabs>
                <w:tab w:pos="224" w:val="left"/>
                <w:tab w:pos="316" w:val="left"/>
              </w:tabs>
              <w:autoSpaceDE w:val="0"/>
              <w:widowControl/>
              <w:spacing w:line="234" w:lineRule="exact" w:before="68" w:after="0"/>
              <w:ind w:left="182" w:right="144" w:firstLine="0"/>
              <w:jc w:val="left"/>
            </w:pPr>
            <w:r>
              <w:rPr>
                <w:rFonts w:ascii="宋体" w:hAnsi="宋体" w:eastAsia="宋体"/>
                <w:b w:val="0"/>
                <w:i w:val="0"/>
                <w:color w:val="000000"/>
                <w:sz w:val="18"/>
              </w:rPr>
              <w:t>2019 年1 月2 日、</w:t>
            </w:r>
            <w:r>
              <w:rPr>
                <w:rFonts w:ascii="宋体" w:hAnsi="宋体" w:eastAsia="宋体"/>
                <w:b w:val="0"/>
                <w:i w:val="0"/>
                <w:color w:val="000000"/>
                <w:sz w:val="18"/>
              </w:rPr>
              <w:t>2019 年2 月28 日、</w:t>
            </w:r>
            <w:r>
              <w:tab/>
            </w:r>
            <w:r>
              <w:rPr>
                <w:rFonts w:ascii="宋体" w:hAnsi="宋体" w:eastAsia="宋体"/>
                <w:b w:val="0"/>
                <w:i w:val="0"/>
                <w:color w:val="000000"/>
                <w:sz w:val="18"/>
              </w:rPr>
              <w:t xml:space="preserve">2019 年3 月5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49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50" w:right="0" w:firstLine="0"/>
              <w:jc w:val="left"/>
            </w:pPr>
            <w:r>
              <w:rPr>
                <w:rFonts w:ascii="宋体" w:hAnsi="宋体" w:eastAsia="宋体"/>
                <w:b w:val="0"/>
                <w:i w:val="0"/>
                <w:color w:val="000000"/>
                <w:sz w:val="18"/>
              </w:rPr>
              <w:t xml:space="preserve">大连商品交易所第二批商品互换业务交易商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046" w:firstLine="0"/>
              <w:jc w:val="right"/>
            </w:pPr>
            <w:r>
              <w:rPr>
                <w:rFonts w:ascii="宋体" w:hAnsi="宋体" w:eastAsia="宋体"/>
                <w:b w:val="0"/>
                <w:i w:val="0"/>
                <w:color w:val="000000"/>
                <w:sz w:val="18"/>
              </w:rPr>
              <w:t xml:space="preserve">大连商品交易所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2019 年3 月20 日 </w:t>
            </w:r>
          </w:p>
        </w:tc>
      </w:tr>
      <w:tr>
        <w:trPr>
          <w:trHeight w:hRule="exact" w:val="398"/>
        </w:trPr>
        <w:tc>
          <w:tcPr>
            <w:tcW w:type="dxa" w:w="43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50 </w:t>
            </w:r>
          </w:p>
        </w:tc>
        <w:tc>
          <w:tcPr>
            <w:tcW w:type="dxa" w:w="393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430" w:right="0" w:firstLine="0"/>
              <w:jc w:val="left"/>
            </w:pPr>
            <w:r>
              <w:rPr>
                <w:rFonts w:ascii="宋体" w:hAnsi="宋体" w:eastAsia="宋体"/>
                <w:b w:val="0"/>
                <w:i w:val="0"/>
                <w:color w:val="000000"/>
                <w:sz w:val="18"/>
              </w:rPr>
              <w:t xml:space="preserve">银行间债券市场尝试做市业务权限资格 </w:t>
            </w:r>
          </w:p>
        </w:tc>
        <w:tc>
          <w:tcPr>
            <w:tcW w:type="dxa" w:w="35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780" w:right="0" w:firstLine="0"/>
              <w:jc w:val="left"/>
            </w:pPr>
            <w:r>
              <w:rPr>
                <w:rFonts w:ascii="宋体" w:hAnsi="宋体" w:eastAsia="宋体"/>
                <w:b w:val="0"/>
                <w:i w:val="0"/>
                <w:color w:val="000000"/>
                <w:sz w:val="18"/>
              </w:rPr>
              <w:t xml:space="preserve">全国银行间同业拆借中心 </w:t>
            </w:r>
          </w:p>
        </w:tc>
        <w:tc>
          <w:tcPr>
            <w:tcW w:type="dxa" w:w="194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0" w:after="0"/>
              <w:ind w:left="270" w:right="0" w:firstLine="0"/>
              <w:jc w:val="left"/>
            </w:pPr>
            <w:r>
              <w:rPr>
                <w:rFonts w:ascii="宋体" w:hAnsi="宋体" w:eastAsia="宋体"/>
                <w:b w:val="0"/>
                <w:i w:val="0"/>
                <w:color w:val="000000"/>
                <w:sz w:val="18"/>
              </w:rPr>
              <w:t xml:space="preserve">2019 年3 月22 日 </w:t>
            </w:r>
          </w:p>
        </w:tc>
      </w:tr>
      <w:tr>
        <w:trPr>
          <w:trHeight w:hRule="exact" w:val="398"/>
        </w:trPr>
        <w:tc>
          <w:tcPr>
            <w:tcW w:type="dxa" w:w="43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51 </w:t>
            </w:r>
          </w:p>
        </w:tc>
        <w:tc>
          <w:tcPr>
            <w:tcW w:type="dxa" w:w="393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880" w:right="0" w:firstLine="0"/>
              <w:jc w:val="left"/>
            </w:pPr>
            <w:r>
              <w:rPr>
                <w:rFonts w:ascii="宋体" w:hAnsi="宋体" w:eastAsia="宋体"/>
                <w:b w:val="0"/>
                <w:i w:val="0"/>
                <w:color w:val="000000"/>
                <w:sz w:val="18"/>
              </w:rPr>
              <w:t xml:space="preserve">人民币合格境外投资者资格 </w:t>
            </w:r>
          </w:p>
        </w:tc>
        <w:tc>
          <w:tcPr>
            <w:tcW w:type="dxa" w:w="354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2019 年6 月18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52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970" w:firstLine="0"/>
              <w:jc w:val="right"/>
            </w:pPr>
            <w:r>
              <w:rPr>
                <w:rFonts w:ascii="宋体" w:hAnsi="宋体" w:eastAsia="宋体"/>
                <w:b w:val="0"/>
                <w:i w:val="0"/>
                <w:color w:val="000000"/>
                <w:sz w:val="18"/>
              </w:rPr>
              <w:t xml:space="preserve">科创板转融券业务资格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688" w:right="0" w:firstLine="0"/>
              <w:jc w:val="left"/>
            </w:pPr>
            <w:r>
              <w:rPr>
                <w:rFonts w:ascii="宋体" w:hAnsi="宋体" w:eastAsia="宋体"/>
                <w:b w:val="0"/>
                <w:i w:val="0"/>
                <w:color w:val="000000"/>
                <w:sz w:val="18"/>
              </w:rPr>
              <w:t xml:space="preserve">中国证券金融股份有限公司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316" w:right="0" w:firstLine="0"/>
              <w:jc w:val="left"/>
            </w:pPr>
            <w:r>
              <w:rPr>
                <w:rFonts w:ascii="宋体" w:hAnsi="宋体" w:eastAsia="宋体"/>
                <w:b w:val="0"/>
                <w:i w:val="0"/>
                <w:color w:val="000000"/>
                <w:sz w:val="18"/>
              </w:rPr>
              <w:t xml:space="preserve">2020 年2 月6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53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970" w:right="0" w:firstLine="0"/>
              <w:jc w:val="left"/>
            </w:pPr>
            <w:r>
              <w:rPr>
                <w:rFonts w:ascii="宋体" w:hAnsi="宋体" w:eastAsia="宋体"/>
                <w:b w:val="0"/>
                <w:i w:val="0"/>
                <w:color w:val="000000"/>
                <w:sz w:val="18"/>
              </w:rPr>
              <w:t xml:space="preserve">债券通做市业务权限资格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780" w:right="0" w:firstLine="0"/>
              <w:jc w:val="left"/>
            </w:pPr>
            <w:r>
              <w:rPr>
                <w:rFonts w:ascii="宋体" w:hAnsi="宋体" w:eastAsia="宋体"/>
                <w:b w:val="0"/>
                <w:i w:val="0"/>
                <w:color w:val="000000"/>
                <w:sz w:val="18"/>
              </w:rPr>
              <w:t xml:space="preserve">全国银行间同业拆借中心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316" w:right="0" w:firstLine="0"/>
              <w:jc w:val="left"/>
            </w:pPr>
            <w:r>
              <w:rPr>
                <w:rFonts w:ascii="宋体" w:hAnsi="宋体" w:eastAsia="宋体"/>
                <w:b w:val="0"/>
                <w:i w:val="0"/>
                <w:color w:val="000000"/>
                <w:sz w:val="18"/>
              </w:rPr>
              <w:t xml:space="preserve">2020 年4 月8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54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970" w:firstLine="0"/>
              <w:jc w:val="right"/>
            </w:pPr>
            <w:r>
              <w:rPr>
                <w:rFonts w:ascii="宋体" w:hAnsi="宋体" w:eastAsia="宋体"/>
                <w:b w:val="0"/>
                <w:i w:val="0"/>
                <w:color w:val="000000"/>
                <w:sz w:val="18"/>
              </w:rPr>
              <w:t xml:space="preserve">创业板转融券业务资格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688" w:right="0" w:firstLine="0"/>
              <w:jc w:val="left"/>
            </w:pPr>
            <w:r>
              <w:rPr>
                <w:rFonts w:ascii="宋体" w:hAnsi="宋体" w:eastAsia="宋体"/>
                <w:b w:val="0"/>
                <w:i w:val="0"/>
                <w:color w:val="000000"/>
                <w:sz w:val="18"/>
              </w:rPr>
              <w:t xml:space="preserve">中国证券金融股份有限公司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2020 年8 月19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30" w:firstLine="0"/>
              <w:jc w:val="right"/>
            </w:pPr>
            <w:r>
              <w:rPr>
                <w:rFonts w:ascii="宋体" w:hAnsi="宋体" w:eastAsia="宋体"/>
                <w:b w:val="0"/>
                <w:i w:val="0"/>
                <w:color w:val="000000"/>
                <w:sz w:val="18"/>
              </w:rPr>
              <w:t xml:space="preserve">55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160" w:right="0" w:firstLine="0"/>
              <w:jc w:val="left"/>
            </w:pPr>
            <w:r>
              <w:rPr>
                <w:rFonts w:ascii="宋体" w:hAnsi="宋体" w:eastAsia="宋体"/>
                <w:b w:val="0"/>
                <w:i w:val="0"/>
                <w:color w:val="000000"/>
                <w:sz w:val="18"/>
              </w:rPr>
              <w:t xml:space="preserve">大连商品交易所标准仓单交易平台交易商资格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0" w:right="1046" w:firstLine="0"/>
              <w:jc w:val="right"/>
            </w:pPr>
            <w:r>
              <w:rPr>
                <w:rFonts w:ascii="宋体" w:hAnsi="宋体" w:eastAsia="宋体"/>
                <w:b w:val="0"/>
                <w:i w:val="0"/>
                <w:color w:val="000000"/>
                <w:sz w:val="18"/>
              </w:rPr>
              <w:t xml:space="preserve">大连商品交易所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0" w:after="0"/>
              <w:ind w:left="316" w:right="0" w:firstLine="0"/>
              <w:jc w:val="left"/>
            </w:pPr>
            <w:r>
              <w:rPr>
                <w:rFonts w:ascii="宋体" w:hAnsi="宋体" w:eastAsia="宋体"/>
                <w:b w:val="0"/>
                <w:i w:val="0"/>
                <w:color w:val="000000"/>
                <w:sz w:val="18"/>
              </w:rPr>
              <w:t xml:space="preserve">2020 年9 月8 日 </w:t>
            </w:r>
          </w:p>
        </w:tc>
      </w:tr>
      <w:tr>
        <w:trPr>
          <w:trHeight w:hRule="exact" w:val="398"/>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56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970" w:firstLine="0"/>
              <w:jc w:val="right"/>
            </w:pPr>
            <w:r>
              <w:rPr>
                <w:rFonts w:ascii="宋体" w:hAnsi="宋体" w:eastAsia="宋体"/>
                <w:b w:val="0"/>
                <w:i w:val="0"/>
                <w:color w:val="000000"/>
                <w:sz w:val="18"/>
              </w:rPr>
              <w:t xml:space="preserve">基金投资顾问业务资格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226" w:firstLine="0"/>
              <w:jc w:val="right"/>
            </w:pPr>
            <w:r>
              <w:rPr>
                <w:rFonts w:ascii="宋体" w:hAnsi="宋体" w:eastAsia="宋体"/>
                <w:b w:val="0"/>
                <w:i w:val="0"/>
                <w:color w:val="000000"/>
                <w:sz w:val="18"/>
              </w:rPr>
              <w:t xml:space="preserve">中国证监会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316" w:right="0" w:firstLine="0"/>
              <w:jc w:val="left"/>
            </w:pPr>
            <w:r>
              <w:rPr>
                <w:rFonts w:ascii="宋体" w:hAnsi="宋体" w:eastAsia="宋体"/>
                <w:b w:val="0"/>
                <w:i w:val="0"/>
                <w:color w:val="000000"/>
                <w:sz w:val="18"/>
              </w:rPr>
              <w:t xml:space="preserve">2021 年6 月2 日 </w:t>
            </w:r>
          </w:p>
        </w:tc>
      </w:tr>
      <w:tr>
        <w:trPr>
          <w:trHeight w:hRule="exact" w:val="398"/>
        </w:trPr>
        <w:tc>
          <w:tcPr>
            <w:tcW w:type="dxa" w:w="43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57 </w:t>
            </w:r>
          </w:p>
        </w:tc>
        <w:tc>
          <w:tcPr>
            <w:tcW w:type="dxa" w:w="393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250" w:right="0" w:firstLine="0"/>
              <w:jc w:val="left"/>
            </w:pPr>
            <w:r>
              <w:rPr>
                <w:rFonts w:ascii="宋体" w:hAnsi="宋体" w:eastAsia="宋体"/>
                <w:b w:val="0"/>
                <w:i w:val="0"/>
                <w:color w:val="000000"/>
                <w:sz w:val="18"/>
              </w:rPr>
              <w:t xml:space="preserve">参与非金融企业债务融资工具承销业务资格 </w:t>
            </w:r>
          </w:p>
        </w:tc>
        <w:tc>
          <w:tcPr>
            <w:tcW w:type="dxa" w:w="35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688" w:right="0" w:firstLine="0"/>
              <w:jc w:val="left"/>
            </w:pPr>
            <w:r>
              <w:rPr>
                <w:rFonts w:ascii="宋体" w:hAnsi="宋体" w:eastAsia="宋体"/>
                <w:b w:val="0"/>
                <w:i w:val="0"/>
                <w:color w:val="000000"/>
                <w:sz w:val="18"/>
              </w:rPr>
              <w:t xml:space="preserve">中国银行间市场交易商协会 </w:t>
            </w:r>
          </w:p>
        </w:tc>
        <w:tc>
          <w:tcPr>
            <w:tcW w:type="dxa" w:w="194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2021 年9 月24 日 </w:t>
            </w:r>
          </w:p>
        </w:tc>
      </w:tr>
      <w:tr>
        <w:trPr>
          <w:trHeight w:hRule="exact" w:val="396"/>
        </w:trPr>
        <w:tc>
          <w:tcPr>
            <w:tcW w:type="dxa" w:w="430"/>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58 </w:t>
            </w:r>
          </w:p>
        </w:tc>
        <w:tc>
          <w:tcPr>
            <w:tcW w:type="dxa" w:w="393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02" w:after="0"/>
              <w:ind w:left="790" w:right="0" w:firstLine="0"/>
              <w:jc w:val="left"/>
            </w:pPr>
            <w:r>
              <w:rPr>
                <w:rFonts w:ascii="宋体" w:hAnsi="宋体" w:eastAsia="宋体"/>
                <w:b w:val="0"/>
                <w:i w:val="0"/>
                <w:color w:val="000000"/>
                <w:sz w:val="18"/>
              </w:rPr>
              <w:t xml:space="preserve">质押式报价回购交易权限资格 </w:t>
            </w:r>
          </w:p>
        </w:tc>
        <w:tc>
          <w:tcPr>
            <w:tcW w:type="dxa" w:w="354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深圳证券交易所 </w:t>
            </w:r>
          </w:p>
        </w:tc>
        <w:tc>
          <w:tcPr>
            <w:tcW w:type="dxa" w:w="1948"/>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02" w:after="0"/>
              <w:ind w:left="224" w:right="0" w:firstLine="0"/>
              <w:jc w:val="left"/>
            </w:pPr>
            <w:r>
              <w:rPr>
                <w:rFonts w:ascii="宋体" w:hAnsi="宋体" w:eastAsia="宋体"/>
                <w:b w:val="0"/>
                <w:i w:val="0"/>
                <w:color w:val="000000"/>
                <w:sz w:val="18"/>
              </w:rPr>
              <w:t xml:space="preserve">2022 年11 月29 日 </w:t>
            </w:r>
          </w:p>
        </w:tc>
      </w:tr>
      <w:tr>
        <w:trPr>
          <w:trHeight w:hRule="exact" w:val="396"/>
        </w:trPr>
        <w:tc>
          <w:tcPr>
            <w:tcW w:type="dxa" w:w="430"/>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59 </w:t>
            </w:r>
          </w:p>
        </w:tc>
        <w:tc>
          <w:tcPr>
            <w:tcW w:type="dxa" w:w="3934"/>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970" w:right="0" w:firstLine="0"/>
              <w:jc w:val="left"/>
            </w:pPr>
            <w:r>
              <w:rPr>
                <w:rFonts w:ascii="宋体" w:hAnsi="宋体" w:eastAsia="宋体"/>
                <w:b w:val="0"/>
                <w:i w:val="0"/>
                <w:color w:val="000000"/>
                <w:sz w:val="18"/>
              </w:rPr>
              <w:t xml:space="preserve">北交所融资融券业务资格 </w:t>
            </w:r>
          </w:p>
        </w:tc>
        <w:tc>
          <w:tcPr>
            <w:tcW w:type="dxa" w:w="3544"/>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1046" w:firstLine="0"/>
              <w:jc w:val="right"/>
            </w:pPr>
            <w:r>
              <w:rPr>
                <w:rFonts w:ascii="宋体" w:hAnsi="宋体" w:eastAsia="宋体"/>
                <w:b w:val="0"/>
                <w:i w:val="0"/>
                <w:color w:val="000000"/>
                <w:sz w:val="18"/>
              </w:rPr>
              <w:t xml:space="preserve">北京证券交易所 </w:t>
            </w:r>
          </w:p>
        </w:tc>
        <w:tc>
          <w:tcPr>
            <w:tcW w:type="dxa" w:w="1948"/>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270" w:right="0" w:firstLine="0"/>
              <w:jc w:val="left"/>
            </w:pPr>
            <w:r>
              <w:rPr>
                <w:rFonts w:ascii="宋体" w:hAnsi="宋体" w:eastAsia="宋体"/>
                <w:b w:val="0"/>
                <w:i w:val="0"/>
                <w:color w:val="000000"/>
                <w:sz w:val="18"/>
              </w:rPr>
              <w:t xml:space="preserve">2023 年2 月13 日 </w:t>
            </w:r>
          </w:p>
        </w:tc>
      </w:tr>
      <w:tr>
        <w:trPr>
          <w:trHeight w:hRule="exact" w:val="398"/>
        </w:trPr>
        <w:tc>
          <w:tcPr>
            <w:tcW w:type="dxa" w:w="43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30" w:firstLine="0"/>
              <w:jc w:val="right"/>
            </w:pPr>
            <w:r>
              <w:rPr>
                <w:rFonts w:ascii="宋体" w:hAnsi="宋体" w:eastAsia="宋体"/>
                <w:b w:val="0"/>
                <w:i w:val="0"/>
                <w:color w:val="000000"/>
                <w:sz w:val="18"/>
              </w:rPr>
              <w:t xml:space="preserve">60 </w:t>
            </w:r>
          </w:p>
        </w:tc>
        <w:tc>
          <w:tcPr>
            <w:tcW w:type="dxa" w:w="393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880" w:right="0" w:firstLine="0"/>
              <w:jc w:val="left"/>
            </w:pPr>
            <w:r>
              <w:rPr>
                <w:rFonts w:ascii="宋体" w:hAnsi="宋体" w:eastAsia="宋体"/>
                <w:b w:val="0"/>
                <w:i w:val="0"/>
                <w:color w:val="000000"/>
                <w:sz w:val="18"/>
              </w:rPr>
              <w:t xml:space="preserve">证券投资基金销售业务资格 </w:t>
            </w:r>
          </w:p>
        </w:tc>
        <w:tc>
          <w:tcPr>
            <w:tcW w:type="dxa" w:w="354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868" w:right="0" w:firstLine="0"/>
              <w:jc w:val="left"/>
            </w:pPr>
            <w:r>
              <w:rPr>
                <w:rFonts w:ascii="宋体" w:hAnsi="宋体" w:eastAsia="宋体"/>
                <w:b w:val="0"/>
                <w:i w:val="0"/>
                <w:color w:val="000000"/>
                <w:sz w:val="18"/>
              </w:rPr>
              <w:t xml:space="preserve">中国证监会北京监管局 </w:t>
            </w:r>
          </w:p>
        </w:tc>
        <w:tc>
          <w:tcPr>
            <w:tcW w:type="dxa" w:w="194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270" w:right="0" w:firstLine="0"/>
              <w:jc w:val="left"/>
            </w:pPr>
            <w:r>
              <w:rPr>
                <w:rFonts w:ascii="宋体" w:hAnsi="宋体" w:eastAsia="宋体"/>
                <w:b w:val="0"/>
                <w:i w:val="0"/>
                <w:color w:val="000000"/>
                <w:sz w:val="18"/>
              </w:rPr>
              <w:t xml:space="preserve">2023 年2 月22 日 </w:t>
            </w:r>
          </w:p>
        </w:tc>
      </w:tr>
      <w:tr>
        <w:trPr>
          <w:trHeight w:hRule="exact" w:val="396"/>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30" w:firstLine="0"/>
              <w:jc w:val="right"/>
            </w:pPr>
            <w:r>
              <w:rPr>
                <w:rFonts w:ascii="宋体" w:hAnsi="宋体" w:eastAsia="宋体"/>
                <w:b w:val="0"/>
                <w:i w:val="0"/>
                <w:color w:val="000000"/>
                <w:sz w:val="18"/>
              </w:rPr>
              <w:t xml:space="preserve">61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160" w:right="0" w:firstLine="0"/>
              <w:jc w:val="left"/>
            </w:pPr>
            <w:r>
              <w:rPr>
                <w:rFonts w:ascii="宋体" w:hAnsi="宋体" w:eastAsia="宋体"/>
                <w:b w:val="0"/>
                <w:i w:val="0"/>
                <w:color w:val="000000"/>
                <w:sz w:val="18"/>
              </w:rPr>
              <w:t xml:space="preserve">科技创新非金融企业债务融资工具主承销资格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688" w:right="0" w:firstLine="0"/>
              <w:jc w:val="left"/>
            </w:pPr>
            <w:r>
              <w:rPr>
                <w:rFonts w:ascii="宋体" w:hAnsi="宋体" w:eastAsia="宋体"/>
                <w:b w:val="0"/>
                <w:i w:val="0"/>
                <w:color w:val="000000"/>
                <w:sz w:val="18"/>
              </w:rPr>
              <w:t xml:space="preserve">中国银行间市场交易商协会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224" w:right="0" w:firstLine="0"/>
              <w:jc w:val="left"/>
            </w:pPr>
            <w:r>
              <w:rPr>
                <w:rFonts w:ascii="宋体" w:hAnsi="宋体" w:eastAsia="宋体"/>
                <w:b w:val="0"/>
                <w:i w:val="0"/>
                <w:color w:val="000000"/>
                <w:sz w:val="18"/>
              </w:rPr>
              <w:t xml:space="preserve">2024 年12 月30 日 </w:t>
            </w:r>
          </w:p>
        </w:tc>
      </w:tr>
      <w:tr>
        <w:trPr>
          <w:trHeight w:hRule="exact" w:val="400"/>
        </w:trPr>
        <w:tc>
          <w:tcPr>
            <w:tcW w:type="dxa" w:w="43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30" w:firstLine="0"/>
              <w:jc w:val="right"/>
            </w:pPr>
            <w:r>
              <w:rPr>
                <w:rFonts w:ascii="宋体" w:hAnsi="宋体" w:eastAsia="宋体"/>
                <w:b w:val="0"/>
                <w:i w:val="0"/>
                <w:color w:val="000000"/>
                <w:sz w:val="18"/>
              </w:rPr>
              <w:t xml:space="preserve">62 </w:t>
            </w:r>
          </w:p>
        </w:tc>
        <w:tc>
          <w:tcPr>
            <w:tcW w:type="dxa" w:w="39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790" w:right="0" w:firstLine="0"/>
              <w:jc w:val="left"/>
            </w:pPr>
            <w:r>
              <w:rPr>
                <w:rFonts w:ascii="宋体" w:hAnsi="宋体" w:eastAsia="宋体"/>
                <w:b w:val="0"/>
                <w:i w:val="0"/>
                <w:color w:val="000000"/>
                <w:sz w:val="18"/>
              </w:rPr>
              <w:t xml:space="preserve">信用风险缓释工具一般交易商 </w:t>
            </w:r>
          </w:p>
        </w:tc>
        <w:tc>
          <w:tcPr>
            <w:tcW w:type="dxa" w:w="35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688" w:right="0" w:firstLine="0"/>
              <w:jc w:val="left"/>
            </w:pPr>
            <w:r>
              <w:rPr>
                <w:rFonts w:ascii="宋体" w:hAnsi="宋体" w:eastAsia="宋体"/>
                <w:b w:val="0"/>
                <w:i w:val="0"/>
                <w:color w:val="000000"/>
                <w:sz w:val="18"/>
              </w:rPr>
              <w:t xml:space="preserve">中国银行间市场交易商协会 </w:t>
            </w:r>
          </w:p>
        </w:tc>
        <w:tc>
          <w:tcPr>
            <w:tcW w:type="dxa" w:w="19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270" w:right="0" w:firstLine="0"/>
              <w:jc w:val="left"/>
            </w:pPr>
            <w:r>
              <w:rPr>
                <w:rFonts w:ascii="宋体" w:hAnsi="宋体" w:eastAsia="宋体"/>
                <w:b w:val="0"/>
                <w:i w:val="0"/>
                <w:color w:val="000000"/>
                <w:sz w:val="18"/>
              </w:rPr>
              <w:t xml:space="preserve">2025 年1 月12 日 </w:t>
            </w:r>
          </w:p>
        </w:tc>
      </w:tr>
    </w:tbl>
    <w:p>
      <w:pPr>
        <w:autoSpaceDN w:val="0"/>
        <w:autoSpaceDE w:val="0"/>
        <w:widowControl/>
        <w:spacing w:line="240" w:lineRule="exact" w:before="348" w:after="0"/>
        <w:ind w:left="114" w:right="0" w:firstLine="0"/>
        <w:jc w:val="left"/>
      </w:pPr>
      <w:r>
        <w:rPr>
          <w:rFonts w:ascii="宋体" w:hAnsi="宋体" w:eastAsia="宋体"/>
          <w:b w:val="0"/>
          <w:i w:val="0"/>
          <w:color w:val="000000"/>
          <w:sz w:val="24"/>
        </w:rPr>
        <w:t xml:space="preserve">六、公司历史沿革 </w:t>
      </w:r>
    </w:p>
    <w:p>
      <w:pPr>
        <w:autoSpaceDN w:val="0"/>
        <w:autoSpaceDE w:val="0"/>
        <w:widowControl/>
        <w:spacing w:line="212" w:lineRule="exact" w:before="514" w:after="0"/>
        <w:ind w:left="534" w:right="0" w:firstLine="0"/>
        <w:jc w:val="left"/>
      </w:pPr>
      <w:r>
        <w:rPr>
          <w:rFonts w:ascii="宋体" w:hAnsi="宋体" w:eastAsia="宋体"/>
          <w:b w:val="0"/>
          <w:i w:val="0"/>
          <w:color w:val="000000"/>
          <w:sz w:val="21"/>
        </w:rPr>
        <w:t>公司前身山西省证券公司成立于1988 年，注册资本1,000 万元，为中国人民银行山西省分行全资</w:t>
      </w:r>
    </w:p>
    <w:p>
      <w:pPr>
        <w:autoSpaceDN w:val="0"/>
        <w:autoSpaceDE w:val="0"/>
        <w:widowControl/>
        <w:spacing w:line="210" w:lineRule="exact" w:before="250" w:after="0"/>
        <w:ind w:left="114" w:right="0" w:firstLine="0"/>
        <w:jc w:val="left"/>
      </w:pPr>
      <w:r>
        <w:rPr>
          <w:rFonts w:ascii="宋体" w:hAnsi="宋体" w:eastAsia="宋体"/>
          <w:b w:val="0"/>
          <w:i w:val="0"/>
          <w:color w:val="000000"/>
          <w:sz w:val="21"/>
        </w:rPr>
        <w:t xml:space="preserve">子公司，是国内最早成立的证券公司之一。 </w:t>
      </w:r>
    </w:p>
    <w:p>
      <w:pPr>
        <w:autoSpaceDN w:val="0"/>
        <w:autoSpaceDE w:val="0"/>
        <w:widowControl/>
        <w:spacing w:line="212" w:lineRule="exact" w:before="248" w:after="0"/>
        <w:ind w:left="534" w:right="0" w:firstLine="0"/>
        <w:jc w:val="left"/>
      </w:pPr>
      <w:r>
        <w:rPr>
          <w:rFonts w:ascii="宋体" w:hAnsi="宋体" w:eastAsia="宋体"/>
          <w:b w:val="0"/>
          <w:i w:val="0"/>
          <w:color w:val="000000"/>
          <w:sz w:val="21"/>
        </w:rPr>
        <w:t>1998 年12 月，经中国证监会批准，国信集团（原山西省信托投资公司）联合其他5 家股东将山西</w:t>
      </w:r>
    </w:p>
    <w:p>
      <w:pPr>
        <w:autoSpaceDN w:val="0"/>
        <w:autoSpaceDE w:val="0"/>
        <w:widowControl/>
        <w:spacing w:line="197" w:lineRule="auto" w:before="730" w:after="0"/>
        <w:ind w:left="0" w:right="0" w:firstLine="0"/>
        <w:jc w:val="center"/>
      </w:pPr>
      <w:r>
        <w:rPr>
          <w:rFonts w:ascii="Calibri" w:hAnsi="Calibri" w:eastAsia="Calibri"/>
          <w:b w:val="0"/>
          <w:i w:val="0"/>
          <w:color w:val="000000"/>
          <w:sz w:val="18"/>
        </w:rPr>
        <w:t xml:space="preserve">8 </w:t>
      </w:r>
    </w:p>
    <w:p>
      <w:pPr>
        <w:sectPr>
          <w:type w:val="continuous"/>
          <w:pgSz w:w="11904" w:h="16841"/>
          <w:pgMar w:top="424" w:right="1000" w:bottom="446" w:left="1020"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 name="Picture 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省证券公司改制为山西证券有限责任公司，注册资本2 亿元。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2001 年2 月16 日，经中国证监会批准，山西证券有限责任公司与省内五家信托公司的证券类资产</w:t>
      </w:r>
      <w:r>
        <w:rPr>
          <w:rFonts w:ascii="宋体" w:hAnsi="宋体" w:eastAsia="宋体"/>
          <w:b w:val="0"/>
          <w:i w:val="0"/>
          <w:color w:val="000000"/>
          <w:sz w:val="21"/>
        </w:rPr>
        <w:t xml:space="preserve">合并重组，并实施增资扩股，注册资本10.25 亿元。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2006 年7 月，经中国证监会批准，国信集团在受让本公司其他8 家股东22,120 万元股权基础上，</w:t>
      </w:r>
      <w:r>
        <w:rPr>
          <w:rFonts w:ascii="宋体" w:hAnsi="宋体" w:eastAsia="宋体"/>
          <w:b w:val="0"/>
          <w:i w:val="0"/>
          <w:color w:val="000000"/>
          <w:sz w:val="21"/>
        </w:rPr>
        <w:t>增资27,880 万元，公司注册资本变更为13.038 亿元，股东变更为10 家。2006 年8 月18 日，完成工</w:t>
      </w:r>
      <w:r>
        <w:rPr>
          <w:rFonts w:ascii="宋体" w:hAnsi="宋体" w:eastAsia="宋体"/>
          <w:b w:val="0"/>
          <w:i w:val="0"/>
          <w:color w:val="000000"/>
          <w:sz w:val="21"/>
        </w:rPr>
        <w:t xml:space="preserve">商登记变更。 </w:t>
      </w:r>
    </w:p>
    <w:p>
      <w:pPr>
        <w:autoSpaceDN w:val="0"/>
        <w:autoSpaceDE w:val="0"/>
        <w:widowControl/>
        <w:spacing w:line="460" w:lineRule="exact" w:before="2" w:after="0"/>
        <w:ind w:left="30" w:right="232" w:firstLine="420"/>
        <w:jc w:val="both"/>
      </w:pPr>
      <w:r>
        <w:rPr>
          <w:rFonts w:ascii="宋体" w:hAnsi="宋体" w:eastAsia="宋体"/>
          <w:b w:val="0"/>
          <w:i w:val="0"/>
          <w:color w:val="000000"/>
          <w:sz w:val="21"/>
        </w:rPr>
        <w:t>2007 年，国信集团分别将持有的本公司30,000 万股权和4,600 万股权转让给太原钢铁（集团）有</w:t>
      </w:r>
      <w:r>
        <w:rPr>
          <w:rFonts w:ascii="宋体" w:hAnsi="宋体" w:eastAsia="宋体"/>
          <w:b w:val="0"/>
          <w:i w:val="0"/>
          <w:color w:val="000000"/>
          <w:sz w:val="21"/>
        </w:rPr>
        <w:t>限公司和中信国安集团公司；原股东山西省电力公司将持有的公司5,000 万股权转让给山西海鑫实业股</w:t>
      </w:r>
      <w:r>
        <w:rPr>
          <w:rFonts w:ascii="宋体" w:hAnsi="宋体" w:eastAsia="宋体"/>
          <w:b w:val="0"/>
          <w:i w:val="0"/>
          <w:color w:val="000000"/>
          <w:sz w:val="21"/>
        </w:rPr>
        <w:t xml:space="preserve">份有限公司。 </w:t>
      </w:r>
    </w:p>
    <w:p>
      <w:pPr>
        <w:autoSpaceDN w:val="0"/>
        <w:autoSpaceDE w:val="0"/>
        <w:widowControl/>
        <w:spacing w:line="460" w:lineRule="exact" w:before="2" w:after="0"/>
        <w:ind w:left="30" w:right="228" w:firstLine="420"/>
        <w:jc w:val="both"/>
      </w:pPr>
      <w:r>
        <w:rPr>
          <w:rFonts w:ascii="宋体" w:hAnsi="宋体" w:eastAsia="宋体"/>
          <w:b w:val="0"/>
          <w:i w:val="0"/>
          <w:color w:val="000000"/>
          <w:sz w:val="21"/>
        </w:rPr>
        <w:t>2008 年1 月18 日，公司收到中国证监会《关于同意山西证券有限责任公司变更为股份有限公司的</w:t>
      </w:r>
      <w:r>
        <w:rPr>
          <w:rFonts w:ascii="宋体" w:hAnsi="宋体" w:eastAsia="宋体"/>
          <w:b w:val="0"/>
          <w:i w:val="0"/>
          <w:color w:val="000000"/>
          <w:sz w:val="21"/>
        </w:rPr>
        <w:t>批复》（证监许可[2008]100 号），同意本公司整体变更为股份有限公司。2008 年2 月5 日，完成工商变</w:t>
      </w:r>
      <w:r>
        <w:rPr>
          <w:rFonts w:ascii="宋体" w:hAnsi="宋体" w:eastAsia="宋体"/>
          <w:b w:val="0"/>
          <w:i w:val="0"/>
          <w:color w:val="000000"/>
          <w:sz w:val="21"/>
        </w:rPr>
        <w:t xml:space="preserve">更（注册号为140000100003883），更名为“山西证券股份有限公司”，注册资本20 亿元。 </w:t>
      </w:r>
    </w:p>
    <w:p>
      <w:pPr>
        <w:autoSpaceDN w:val="0"/>
        <w:autoSpaceDE w:val="0"/>
        <w:widowControl/>
        <w:spacing w:line="460" w:lineRule="exact" w:before="2" w:after="0"/>
        <w:ind w:left="30" w:right="228" w:firstLine="420"/>
        <w:jc w:val="both"/>
      </w:pPr>
      <w:r>
        <w:rPr>
          <w:rFonts w:ascii="宋体" w:hAnsi="宋体" w:eastAsia="宋体"/>
          <w:b w:val="0"/>
          <w:i w:val="0"/>
          <w:color w:val="000000"/>
          <w:sz w:val="21"/>
        </w:rPr>
        <w:t>2009 年7 月，公司与德意志银行在中国合资设立证券公司——中德证券有限责任公司。根据中国</w:t>
      </w:r>
      <w:r>
        <w:rPr>
          <w:rFonts w:ascii="宋体" w:hAnsi="宋体" w:eastAsia="宋体"/>
          <w:b w:val="0"/>
          <w:i w:val="0"/>
          <w:color w:val="000000"/>
          <w:sz w:val="21"/>
        </w:rPr>
        <w:t>证监会2008 年12 月29 日下发的《关于核准设立中德证券有限责任公司的批复》（证监许可[2008]1465</w:t>
      </w:r>
      <w:r>
        <w:rPr>
          <w:rFonts w:ascii="宋体" w:hAnsi="宋体" w:eastAsia="宋体"/>
          <w:b w:val="0"/>
          <w:i w:val="0"/>
          <w:color w:val="000000"/>
          <w:sz w:val="21"/>
        </w:rPr>
        <w:t>号），中德证券注册资本为人民币10 亿元。其中本公司持股比例为66.7%，德意志银行持股比例为</w:t>
      </w:r>
      <w:r>
        <w:rPr>
          <w:rFonts w:ascii="宋体" w:hAnsi="宋体" w:eastAsia="宋体"/>
          <w:b w:val="0"/>
          <w:i w:val="0"/>
          <w:color w:val="000000"/>
          <w:sz w:val="21"/>
        </w:rPr>
        <w:t xml:space="preserve">33.3%。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2010 年10 月19 日，公司上市首发申请获中国证监会批准。11 月1 日，公司首次公开发行人民币</w:t>
      </w:r>
      <w:r>
        <w:rPr>
          <w:rFonts w:ascii="宋体" w:hAnsi="宋体" w:eastAsia="宋体"/>
          <w:b w:val="0"/>
          <w:i w:val="0"/>
          <w:color w:val="000000"/>
          <w:sz w:val="21"/>
        </w:rPr>
        <w:t>普通股股票39,980 万股。11 月15 日公司股票正式在深交所挂牌上市，股票代码002500。11 月24 日，</w:t>
      </w:r>
      <w:r>
        <w:rPr>
          <w:rFonts w:ascii="宋体" w:hAnsi="宋体" w:eastAsia="宋体"/>
          <w:b w:val="0"/>
          <w:i w:val="0"/>
          <w:color w:val="000000"/>
          <w:sz w:val="21"/>
        </w:rPr>
        <w:t>完成工商登记变更，注册资本变更为23.998 亿元。公司注册地点、法定代表人、营业执照注册号、税</w:t>
      </w:r>
      <w:r>
        <w:rPr>
          <w:rFonts w:ascii="宋体" w:hAnsi="宋体" w:eastAsia="宋体"/>
          <w:b w:val="0"/>
          <w:i w:val="0"/>
          <w:color w:val="000000"/>
          <w:sz w:val="21"/>
        </w:rPr>
        <w:t xml:space="preserve">务登记号码、组织机构代码未发生变更。 </w:t>
      </w:r>
    </w:p>
    <w:p>
      <w:pPr>
        <w:autoSpaceDN w:val="0"/>
        <w:autoSpaceDE w:val="0"/>
        <w:widowControl/>
        <w:spacing w:line="460" w:lineRule="exact" w:before="2" w:after="0"/>
        <w:ind w:left="30" w:right="228" w:firstLine="420"/>
        <w:jc w:val="both"/>
      </w:pPr>
      <w:r>
        <w:rPr>
          <w:rFonts w:ascii="宋体" w:hAnsi="宋体" w:eastAsia="宋体"/>
          <w:b w:val="0"/>
          <w:i w:val="0"/>
          <w:color w:val="000000"/>
          <w:sz w:val="21"/>
        </w:rPr>
        <w:t>2011 年2 月9 日，公司收到中国证监会《关于对山西证券股份有限公司开展直接投资业务试点的</w:t>
      </w:r>
      <w:r>
        <w:rPr>
          <w:rFonts w:ascii="宋体" w:hAnsi="宋体" w:eastAsia="宋体"/>
          <w:b w:val="0"/>
          <w:i w:val="0"/>
          <w:color w:val="000000"/>
          <w:sz w:val="21"/>
        </w:rPr>
        <w:t>无异议函》（机构部部函[2011]52 号），7 月7 日，公司全资子公司龙华启富完成工商登记。2018 年1</w:t>
      </w:r>
      <w:r>
        <w:rPr>
          <w:rFonts w:ascii="宋体" w:hAnsi="宋体" w:eastAsia="宋体"/>
          <w:b w:val="0"/>
          <w:i w:val="0"/>
          <w:color w:val="000000"/>
          <w:sz w:val="21"/>
        </w:rPr>
        <w:t>月，根据中国证监会《证券公司私募投资基金子公司管理规范》的相关要求，龙华启富整改为本公司私</w:t>
      </w:r>
      <w:r>
        <w:rPr>
          <w:rFonts w:ascii="宋体" w:hAnsi="宋体" w:eastAsia="宋体"/>
          <w:b w:val="0"/>
          <w:i w:val="0"/>
          <w:color w:val="000000"/>
          <w:sz w:val="21"/>
        </w:rPr>
        <w:t>募投资基金子公司，更名为山证投资有限责任公司。2022 年6 月，山证投资的注册资本由10 亿元减少</w:t>
      </w:r>
      <w:r>
        <w:rPr>
          <w:rFonts w:ascii="宋体" w:hAnsi="宋体" w:eastAsia="宋体"/>
          <w:b w:val="0"/>
          <w:i w:val="0"/>
          <w:color w:val="000000"/>
          <w:sz w:val="21"/>
        </w:rPr>
        <w:t xml:space="preserve">至8 亿元。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2011 年4 月，公司拍卖竞得大华期货有限公司7.69%股权后，持有大华期货100%股权。2011 年8</w:t>
      </w:r>
      <w:r>
        <w:rPr>
          <w:rFonts w:ascii="宋体" w:hAnsi="宋体" w:eastAsia="宋体"/>
          <w:b w:val="0"/>
          <w:i w:val="0"/>
          <w:color w:val="000000"/>
          <w:sz w:val="21"/>
        </w:rPr>
        <w:t>月24 日，大华期货完成工商变更登记，注册资本变更为3 亿元人民币。2012 年2 月，大华期货收到上</w:t>
      </w:r>
      <w:r>
        <w:rPr>
          <w:rFonts w:ascii="宋体" w:hAnsi="宋体" w:eastAsia="宋体"/>
          <w:b w:val="0"/>
          <w:i w:val="0"/>
          <w:color w:val="000000"/>
          <w:sz w:val="21"/>
        </w:rPr>
        <w:t>海证监局《关于核准大华期货有限公司变更住所的批复》，住所由“重庆市渝中区较场口88 号得意世界</w:t>
      </w:r>
      <w:r>
        <w:rPr>
          <w:rFonts w:ascii="宋体" w:hAnsi="宋体" w:eastAsia="宋体"/>
          <w:b w:val="0"/>
          <w:i w:val="0"/>
          <w:color w:val="000000"/>
          <w:sz w:val="21"/>
        </w:rPr>
        <w:t>18 楼”变更为“上海市浦东新区源深路1088 号7 楼”，其他登记注册信息未发生变化。2013 年7 月23</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9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1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1" name="Picture 1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14" w:bottom="446" w:left="1104" w:header="720" w:footer="720" w:gutter="0"/>
          <w:cols w:num="2" w:equalWidth="0">
            <w:col w:w="5436" w:space="0"/>
            <w:col w:w="4450" w:space="0"/>
          </w:cols>
          <w:docGrid w:linePitch="360"/>
        </w:sectPr>
      </w:pPr>
    </w:p>
    <w:p>
      <w:pPr>
        <w:autoSpaceDN w:val="0"/>
        <w:autoSpaceDE w:val="0"/>
        <w:widowControl/>
        <w:spacing w:line="200" w:lineRule="exact" w:before="0" w:after="30"/>
        <w:ind w:left="0" w:right="2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14" w:bottom="446" w:left="1104" w:header="720" w:footer="720" w:gutter="0"/>
          <w:cols w:num="2" w:equalWidth="0">
            <w:col w:w="5436" w:space="0"/>
            <w:col w:w="4450" w:space="0"/>
          </w:cols>
          <w:docGrid w:linePitch="360"/>
        </w:sectPr>
      </w:pPr>
    </w:p>
    <w:p>
      <w:pPr>
        <w:autoSpaceDN w:val="0"/>
        <w:autoSpaceDE w:val="0"/>
        <w:widowControl/>
        <w:spacing w:line="450" w:lineRule="exact" w:before="0" w:after="0"/>
        <w:ind w:left="30" w:right="398" w:firstLine="0"/>
        <w:jc w:val="both"/>
      </w:pPr>
      <w:r>
        <w:rPr>
          <w:rFonts w:ascii="宋体" w:hAnsi="宋体" w:eastAsia="宋体"/>
          <w:b w:val="0"/>
          <w:i w:val="0"/>
          <w:color w:val="000000"/>
          <w:sz w:val="21"/>
        </w:rPr>
        <w:t>日，公司通过现金和发行股份购买资产的方式购买格林期货全部股权，同时以格林期货作为存续公司，</w:t>
      </w:r>
      <w:r>
        <w:rPr>
          <w:rFonts w:ascii="宋体" w:hAnsi="宋体" w:eastAsia="宋体"/>
          <w:b w:val="0"/>
          <w:i w:val="0"/>
          <w:color w:val="000000"/>
          <w:sz w:val="21"/>
        </w:rPr>
        <w:t>吸收合并大华期货，大华期货依法注销法人资格。2013 年10 月28 日，经北京市工商行政管理局核准</w:t>
      </w:r>
      <w:r>
        <w:rPr>
          <w:rFonts w:ascii="宋体" w:hAnsi="宋体" w:eastAsia="宋体"/>
          <w:b w:val="0"/>
          <w:i w:val="0"/>
          <w:color w:val="000000"/>
          <w:sz w:val="21"/>
        </w:rPr>
        <w:t>正式更名为“格林大华期货有限公司”，注册地北京，注册资本5.8018 亿元，为本公司全资持有。吸收</w:t>
      </w:r>
      <w:r>
        <w:rPr>
          <w:rFonts w:ascii="宋体" w:hAnsi="宋体" w:eastAsia="宋体"/>
          <w:b w:val="0"/>
          <w:i w:val="0"/>
          <w:color w:val="000000"/>
          <w:sz w:val="21"/>
        </w:rPr>
        <w:t>合并后，公司注册资本变更为25.1872 亿元。2017 年7 月，格林大华注册资本增加为8 亿元。2021 年</w:t>
      </w:r>
      <w:r>
        <w:rPr>
          <w:rFonts w:ascii="宋体" w:hAnsi="宋体" w:eastAsia="宋体"/>
          <w:b w:val="0"/>
          <w:i w:val="0"/>
          <w:color w:val="000000"/>
          <w:sz w:val="21"/>
        </w:rPr>
        <w:t xml:space="preserve">12 月，格林大华注册资本增加至10 亿元。2022 年12 月，格林大华注册资本增加至13 亿元。 </w:t>
      </w:r>
    </w:p>
    <w:p>
      <w:pPr>
        <w:autoSpaceDN w:val="0"/>
        <w:autoSpaceDE w:val="0"/>
        <w:widowControl/>
        <w:spacing w:line="460" w:lineRule="exact" w:before="0" w:after="0"/>
        <w:ind w:left="30" w:right="144" w:firstLine="420"/>
        <w:jc w:val="left"/>
      </w:pPr>
      <w:r>
        <w:rPr>
          <w:rFonts w:ascii="宋体" w:hAnsi="宋体" w:eastAsia="宋体"/>
          <w:b w:val="0"/>
          <w:i w:val="0"/>
          <w:color w:val="000000"/>
          <w:sz w:val="21"/>
        </w:rPr>
        <w:t>2015 年12 月21 日，公司收到中国证监会《关于对山西证券股份有限公司向香港子公司增资的无</w:t>
      </w:r>
      <w:r>
        <w:rPr>
          <w:rFonts w:ascii="宋体" w:hAnsi="宋体" w:eastAsia="宋体"/>
          <w:b w:val="0"/>
          <w:i w:val="0"/>
          <w:color w:val="000000"/>
          <w:sz w:val="21"/>
        </w:rPr>
        <w:t>异议函》（机构部函[2015]3263 号）。实施增资后，公司直接持有格林大华期货（香港）有限公司90%股</w:t>
      </w:r>
      <w:r>
        <w:rPr>
          <w:rFonts w:ascii="宋体" w:hAnsi="宋体" w:eastAsia="宋体"/>
          <w:b w:val="0"/>
          <w:i w:val="0"/>
          <w:color w:val="000000"/>
          <w:sz w:val="21"/>
        </w:rPr>
        <w:t>份，通过格林大华间接持有格林大华期货（香港）有限公司10%股份。同时，格林大华期货（香港）有</w:t>
      </w:r>
      <w:r>
        <w:rPr>
          <w:rFonts w:ascii="宋体" w:hAnsi="宋体" w:eastAsia="宋体"/>
          <w:b w:val="0"/>
          <w:i w:val="0"/>
          <w:color w:val="000000"/>
          <w:sz w:val="21"/>
        </w:rPr>
        <w:t xml:space="preserve">限公司整体变更为山证国际金融控股有限公司。英文名称由“GELIN DAHUA FUTURES (HONG KONG) </w:t>
      </w:r>
      <w:r>
        <w:rPr>
          <w:rFonts w:ascii="宋体" w:hAnsi="宋体" w:eastAsia="宋体"/>
          <w:b w:val="0"/>
          <w:i w:val="0"/>
          <w:color w:val="000000"/>
          <w:sz w:val="21"/>
        </w:rPr>
        <w:t>LIMITED”变更为“SHANXI SECURITIES INTERNATIONAL FINANCIAL HOLDINGS LIMITED”。2020 年12 月，</w:t>
      </w:r>
      <w:r>
        <w:rPr>
          <w:rFonts w:ascii="宋体" w:hAnsi="宋体" w:eastAsia="宋体"/>
          <w:b w:val="0"/>
          <w:i w:val="0"/>
          <w:color w:val="000000"/>
          <w:sz w:val="21"/>
        </w:rPr>
        <w:t xml:space="preserve">山证国际完成股权结构调整，山西证券直接持有山证国际100%股份。 </w:t>
      </w:r>
    </w:p>
    <w:p>
      <w:pPr>
        <w:autoSpaceDN w:val="0"/>
        <w:autoSpaceDE w:val="0"/>
        <w:widowControl/>
        <w:spacing w:line="460" w:lineRule="exact" w:before="0" w:after="0"/>
        <w:ind w:left="30" w:right="288" w:firstLine="420"/>
        <w:jc w:val="left"/>
      </w:pPr>
      <w:r>
        <w:rPr>
          <w:rFonts w:ascii="宋体" w:hAnsi="宋体" w:eastAsia="宋体"/>
          <w:b w:val="0"/>
          <w:i w:val="0"/>
          <w:color w:val="000000"/>
          <w:sz w:val="21"/>
        </w:rPr>
        <w:t>2016 年1 月20 日，根据中国证监会《关于核准山西证券股份有限公司非公开发行股票的批复》</w:t>
      </w:r>
      <w:r>
        <w:rPr>
          <w:rFonts w:ascii="宋体" w:hAnsi="宋体" w:eastAsia="宋体"/>
          <w:b w:val="0"/>
          <w:i w:val="0"/>
          <w:color w:val="000000"/>
          <w:sz w:val="21"/>
        </w:rPr>
        <w:t>（证监许可[2015]2873 号），公司非公开发行股票新增股份31,000 万股上市。2016 年2 月24 日，公司</w:t>
      </w:r>
      <w:r>
        <w:rPr>
          <w:rFonts w:ascii="宋体" w:hAnsi="宋体" w:eastAsia="宋体"/>
          <w:b w:val="0"/>
          <w:i w:val="0"/>
          <w:color w:val="000000"/>
          <w:sz w:val="21"/>
        </w:rPr>
        <w:t xml:space="preserve">完成工商执照变更，注册资本由25.1872 亿元变更为28.2872 亿元。 </w:t>
      </w:r>
    </w:p>
    <w:p>
      <w:pPr>
        <w:autoSpaceDN w:val="0"/>
        <w:autoSpaceDE w:val="0"/>
        <w:widowControl/>
        <w:spacing w:line="460" w:lineRule="exact" w:before="2" w:after="0"/>
        <w:ind w:left="30" w:right="398" w:firstLine="420"/>
        <w:jc w:val="both"/>
      </w:pPr>
      <w:r>
        <w:rPr>
          <w:rFonts w:ascii="宋体" w:hAnsi="宋体" w:eastAsia="宋体"/>
          <w:b w:val="0"/>
          <w:i w:val="0"/>
          <w:color w:val="000000"/>
          <w:sz w:val="21"/>
        </w:rPr>
        <w:t>2016 年9 月2 日，公司原控股股东山西国信向山西金控无偿划转所持全部本公司股份。山西金控</w:t>
      </w:r>
      <w:r>
        <w:rPr>
          <w:rFonts w:ascii="宋体" w:hAnsi="宋体" w:eastAsia="宋体"/>
          <w:b w:val="0"/>
          <w:i w:val="0"/>
          <w:color w:val="000000"/>
          <w:sz w:val="21"/>
        </w:rPr>
        <w:t>直接持有本公司860,395,355 股股份，持股占比30.42%，同时通过其子公司山西信托间接持有本公司</w:t>
      </w:r>
      <w:r>
        <w:rPr>
          <w:rFonts w:ascii="宋体" w:hAnsi="宋体" w:eastAsia="宋体"/>
          <w:b w:val="0"/>
          <w:i w:val="0"/>
          <w:color w:val="000000"/>
          <w:sz w:val="21"/>
        </w:rPr>
        <w:t>11,896,500 股股份，持股占比0.42%，合计持有本公司872,291,855 股股份，合计持股占比30.84%。</w:t>
      </w:r>
    </w:p>
    <w:p>
      <w:pPr>
        <w:autoSpaceDN w:val="0"/>
        <w:autoSpaceDE w:val="0"/>
        <w:widowControl/>
        <w:spacing w:line="460" w:lineRule="exact" w:before="2" w:after="0"/>
        <w:ind w:left="30" w:right="402" w:firstLine="0"/>
        <w:jc w:val="both"/>
      </w:pPr>
      <w:r>
        <w:rPr>
          <w:rFonts w:ascii="宋体" w:hAnsi="宋体" w:eastAsia="宋体"/>
          <w:b w:val="0"/>
          <w:i w:val="0"/>
          <w:color w:val="000000"/>
          <w:sz w:val="21"/>
        </w:rPr>
        <w:t>山西国信不再持有本公司股份，本公司控股股东由山西国信变更为山西金控，本公司实际控制人仍为山</w:t>
      </w:r>
      <w:r>
        <w:rPr>
          <w:rFonts w:ascii="宋体" w:hAnsi="宋体" w:eastAsia="宋体"/>
          <w:b w:val="0"/>
          <w:i w:val="0"/>
          <w:color w:val="000000"/>
          <w:sz w:val="21"/>
        </w:rPr>
        <w:t>西省财政厅。2020 年12 月30 日，山西信托通过深交所系统以大宗交易方式，将其持有的本公司</w:t>
      </w:r>
      <w:r>
        <w:rPr>
          <w:rFonts w:ascii="宋体" w:hAnsi="宋体" w:eastAsia="宋体"/>
          <w:b w:val="0"/>
          <w:i w:val="0"/>
          <w:color w:val="000000"/>
          <w:sz w:val="21"/>
        </w:rPr>
        <w:t>15,465,450 股转让给山西金控，山西金控直接持有本公司股份1,140,374,242 股，持股占比31.77%。</w:t>
      </w:r>
      <w:r>
        <w:rPr>
          <w:rFonts w:ascii="宋体" w:hAnsi="宋体" w:eastAsia="宋体"/>
          <w:b w:val="0"/>
          <w:i w:val="0"/>
          <w:color w:val="000000"/>
          <w:sz w:val="21"/>
        </w:rPr>
        <w:t xml:space="preserve">山西信托不再是本公司股东。 </w:t>
      </w:r>
    </w:p>
    <w:p>
      <w:pPr>
        <w:autoSpaceDN w:val="0"/>
        <w:autoSpaceDE w:val="0"/>
        <w:widowControl/>
        <w:spacing w:line="460" w:lineRule="exact" w:before="0" w:after="0"/>
        <w:ind w:left="30" w:right="214" w:firstLine="420"/>
        <w:jc w:val="both"/>
      </w:pPr>
      <w:r>
        <w:rPr>
          <w:rFonts w:ascii="宋体" w:hAnsi="宋体" w:eastAsia="宋体"/>
          <w:b w:val="0"/>
          <w:i w:val="0"/>
          <w:color w:val="000000"/>
          <w:sz w:val="21"/>
        </w:rPr>
        <w:t>2018 年12 月28 日，公司新设另类投资子公司山证创新投资有限公司，注册资本10 亿元，从事投资</w:t>
      </w:r>
      <w:r>
        <w:rPr>
          <w:rFonts w:ascii="宋体" w:hAnsi="宋体" w:eastAsia="宋体"/>
          <w:b w:val="0"/>
          <w:i w:val="0"/>
          <w:color w:val="000000"/>
          <w:sz w:val="21"/>
        </w:rPr>
        <w:t>管理与资产管理业务。2021 年3 月，山证创新注册资本增加至15 亿元。2022 年6 月，山证创新注册资</w:t>
      </w:r>
      <w:r>
        <w:rPr>
          <w:rFonts w:ascii="宋体" w:hAnsi="宋体" w:eastAsia="宋体"/>
          <w:b w:val="0"/>
          <w:i w:val="0"/>
          <w:color w:val="000000"/>
          <w:sz w:val="21"/>
        </w:rPr>
        <w:t xml:space="preserve">本增加至17 亿元。 </w:t>
      </w:r>
    </w:p>
    <w:p>
      <w:pPr>
        <w:autoSpaceDN w:val="0"/>
        <w:tabs>
          <w:tab w:pos="450" w:val="left"/>
        </w:tabs>
        <w:autoSpaceDE w:val="0"/>
        <w:widowControl/>
        <w:spacing w:line="458" w:lineRule="exact" w:before="2" w:after="0"/>
        <w:ind w:left="30" w:right="0" w:firstLine="0"/>
        <w:jc w:val="left"/>
      </w:pPr>
      <w:r>
        <w:tab/>
      </w:r>
      <w:r>
        <w:rPr>
          <w:rFonts w:ascii="宋体" w:hAnsi="宋体" w:eastAsia="宋体"/>
          <w:b w:val="0"/>
          <w:i w:val="0"/>
          <w:color w:val="000000"/>
          <w:sz w:val="21"/>
        </w:rPr>
        <w:t>2020 年3 月13 日，公司新设金融科技子公司山证科技（深圳）有限公司，注册资本2 亿元。山证科</w:t>
      </w:r>
      <w:r>
        <w:rPr>
          <w:rFonts w:ascii="宋体" w:hAnsi="宋体" w:eastAsia="宋体"/>
          <w:b w:val="0"/>
          <w:i w:val="0"/>
          <w:color w:val="000000"/>
          <w:sz w:val="21"/>
        </w:rPr>
        <w:t>技的业务范围限定为向母公司提供信息技术服务，未经证监会备案不为其他金融机构提供信息技术服务。</w:t>
      </w:r>
    </w:p>
    <w:p>
      <w:pPr>
        <w:autoSpaceDN w:val="0"/>
        <w:autoSpaceDE w:val="0"/>
        <w:widowControl/>
        <w:spacing w:line="460" w:lineRule="exact" w:before="2" w:after="0"/>
        <w:ind w:left="30" w:right="398" w:firstLine="420"/>
        <w:jc w:val="both"/>
      </w:pPr>
      <w:r>
        <w:rPr>
          <w:rFonts w:ascii="宋体" w:hAnsi="宋体" w:eastAsia="宋体"/>
          <w:b w:val="0"/>
          <w:i w:val="0"/>
          <w:color w:val="000000"/>
          <w:sz w:val="21"/>
        </w:rPr>
        <w:t>2020 年4 月29 日，公司收到中国证监会《关于核准山西证券股份有限公司配股的批复》（证监许</w:t>
      </w:r>
      <w:r>
        <w:rPr>
          <w:rFonts w:ascii="宋体" w:hAnsi="宋体" w:eastAsia="宋体"/>
          <w:b w:val="0"/>
          <w:i w:val="0"/>
          <w:color w:val="000000"/>
          <w:sz w:val="21"/>
        </w:rPr>
        <w:t>可〔2020〕722 号），核准公司向原股东配售848,617,545 股新股。经深交所同意，公司本次配股共计</w:t>
      </w:r>
      <w:r>
        <w:rPr>
          <w:rFonts w:ascii="宋体" w:hAnsi="宋体" w:eastAsia="宋体"/>
          <w:b w:val="0"/>
          <w:i w:val="0"/>
          <w:color w:val="000000"/>
          <w:sz w:val="21"/>
        </w:rPr>
        <w:t>配售761,046,394 股人民币普通股，并于2020 年7 月10 日上市。2020 年8 月12 日，公司完成工商登</w:t>
      </w:r>
    </w:p>
    <w:p>
      <w:pPr>
        <w:autoSpaceDN w:val="0"/>
        <w:autoSpaceDE w:val="0"/>
        <w:widowControl/>
        <w:spacing w:line="197" w:lineRule="auto" w:before="862" w:after="0"/>
        <w:ind w:left="0" w:right="4908" w:firstLine="0"/>
        <w:jc w:val="right"/>
      </w:pPr>
      <w:r>
        <w:rPr>
          <w:rFonts w:ascii="Calibri" w:hAnsi="Calibri" w:eastAsia="Calibri"/>
          <w:b w:val="0"/>
          <w:i w:val="0"/>
          <w:color w:val="000000"/>
          <w:sz w:val="18"/>
        </w:rPr>
        <w:t xml:space="preserve">10 </w:t>
      </w:r>
    </w:p>
    <w:p>
      <w:pPr>
        <w:sectPr>
          <w:type w:val="continuous"/>
          <w:pgSz w:w="11904" w:h="16841"/>
          <w:pgMar w:top="424" w:right="91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2" name="Picture 1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记变更，注册资本由28.2872 亿元变更为 35.8977 亿元。 </w:t>
      </w:r>
    </w:p>
    <w:p>
      <w:pPr>
        <w:autoSpaceDN w:val="0"/>
        <w:autoSpaceDE w:val="0"/>
        <w:widowControl/>
        <w:spacing w:line="460" w:lineRule="exact" w:before="0" w:after="0"/>
        <w:ind w:left="30" w:right="230" w:firstLine="420"/>
        <w:jc w:val="both"/>
      </w:pPr>
      <w:r>
        <w:rPr>
          <w:rFonts w:ascii="宋体" w:hAnsi="宋体" w:eastAsia="宋体"/>
          <w:b w:val="0"/>
          <w:i w:val="0"/>
          <w:color w:val="000000"/>
          <w:sz w:val="21"/>
        </w:rPr>
        <w:t>2021 年5 月18 日，公司收到中国证监会《关于核准山西证券股份有限公司设立资产管理子公司的</w:t>
      </w:r>
      <w:r>
        <w:rPr>
          <w:rFonts w:ascii="宋体" w:hAnsi="宋体" w:eastAsia="宋体"/>
          <w:b w:val="0"/>
          <w:i w:val="0"/>
          <w:color w:val="000000"/>
          <w:sz w:val="21"/>
        </w:rPr>
        <w:t>批复》（证监许可〔2021〕1700 号），核准公司通过设立山证（上海）资产管理有限公司从事证券资产</w:t>
      </w:r>
      <w:r>
        <w:rPr>
          <w:rFonts w:ascii="宋体" w:hAnsi="宋体" w:eastAsia="宋体"/>
          <w:b w:val="0"/>
          <w:i w:val="0"/>
          <w:color w:val="000000"/>
          <w:sz w:val="21"/>
        </w:rPr>
        <w:t>管理、公开募集证券投资基金管理业务，同时核准公司自身减少证券资产管理、公开募集证券投资基金</w:t>
      </w:r>
      <w:r>
        <w:rPr>
          <w:rFonts w:ascii="宋体" w:hAnsi="宋体" w:eastAsia="宋体"/>
          <w:b w:val="0"/>
          <w:i w:val="0"/>
          <w:color w:val="000000"/>
          <w:sz w:val="21"/>
        </w:rPr>
        <w:t>管理业务。2021 年11 月9 日资产管理子公司取得工商营业执照，注册资本5 亿元人民币。2021 年11</w:t>
      </w:r>
      <w:r>
        <w:rPr>
          <w:rFonts w:ascii="宋体" w:hAnsi="宋体" w:eastAsia="宋体"/>
          <w:b w:val="0"/>
          <w:i w:val="0"/>
          <w:color w:val="000000"/>
          <w:sz w:val="21"/>
        </w:rPr>
        <w:t>月10 日公司完成工商营业执照经营范围变更。2023 年9 月资产管理子公司领取《经营证券期货业务许</w:t>
      </w:r>
      <w:r>
        <w:rPr>
          <w:rFonts w:ascii="宋体" w:hAnsi="宋体" w:eastAsia="宋体"/>
          <w:b w:val="0"/>
          <w:i w:val="0"/>
          <w:color w:val="000000"/>
          <w:sz w:val="21"/>
        </w:rPr>
        <w:t>可证》，其证券期货业务范围为证券资产管理、公开募集证券投资基金管理。同时，公司换领《经营证</w:t>
      </w:r>
      <w:r>
        <w:rPr>
          <w:rFonts w:ascii="宋体" w:hAnsi="宋体" w:eastAsia="宋体"/>
          <w:b w:val="0"/>
          <w:i w:val="0"/>
          <w:color w:val="000000"/>
          <w:sz w:val="21"/>
        </w:rPr>
        <w:t xml:space="preserve">券期货业务许可证》。 </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七、公司组织机构情况 </w:t>
      </w:r>
    </w:p>
    <w:p>
      <w:pPr>
        <w:autoSpaceDN w:val="0"/>
        <w:autoSpaceDE w:val="0"/>
        <w:widowControl/>
        <w:spacing w:line="212" w:lineRule="exact" w:before="370" w:after="0"/>
        <w:ind w:left="30" w:right="0" w:firstLine="0"/>
        <w:jc w:val="left"/>
      </w:pPr>
      <w:r>
        <w:rPr>
          <w:rFonts w:ascii="宋体" w:hAnsi="宋体" w:eastAsia="宋体"/>
          <w:b w:val="0"/>
          <w:i w:val="0"/>
          <w:color w:val="000000"/>
          <w:sz w:val="21"/>
        </w:rPr>
        <w:t xml:space="preserve">1、公司组织机构 </w:t>
      </w:r>
    </w:p>
    <w:p>
      <w:pPr>
        <w:autoSpaceDN w:val="0"/>
        <w:autoSpaceDE w:val="0"/>
        <w:widowControl/>
        <w:spacing w:line="460" w:lineRule="exact" w:before="264" w:after="0"/>
        <w:ind w:left="30" w:right="232" w:firstLine="420"/>
        <w:jc w:val="both"/>
      </w:pPr>
      <w:r>
        <w:rPr>
          <w:rFonts w:ascii="宋体" w:hAnsi="宋体" w:eastAsia="宋体"/>
          <w:b w:val="0"/>
          <w:i w:val="0"/>
          <w:color w:val="000000"/>
          <w:sz w:val="21"/>
        </w:rPr>
        <w:t>按照《公司法》、《证券法》、《证券公司内部控制指引》等相关法律法规、规范性文件以及《公司章</w:t>
      </w:r>
      <w:r>
        <w:rPr>
          <w:rFonts w:ascii="宋体" w:hAnsi="宋体" w:eastAsia="宋体"/>
          <w:b w:val="0"/>
          <w:i w:val="0"/>
          <w:color w:val="000000"/>
          <w:sz w:val="21"/>
        </w:rPr>
        <w:t>程》的规定，公司持续构建科学完善的法人治理结构，建立了符合自身经营管理需要的组织架构和运行</w:t>
      </w:r>
      <w:r>
        <w:rPr>
          <w:rFonts w:ascii="宋体" w:hAnsi="宋体" w:eastAsia="宋体"/>
          <w:b w:val="0"/>
          <w:i w:val="0"/>
          <w:color w:val="000000"/>
          <w:sz w:val="21"/>
        </w:rPr>
        <w:t xml:space="preserve">机制。公司组织架构如下： </w:t>
      </w:r>
    </w:p>
    <w:p>
      <w:pPr>
        <w:autoSpaceDN w:val="0"/>
        <w:autoSpaceDE w:val="0"/>
        <w:widowControl/>
        <w:spacing w:line="197" w:lineRule="auto" w:before="7644" w:after="0"/>
        <w:ind w:left="0" w:right="0" w:firstLine="0"/>
        <w:jc w:val="center"/>
      </w:pPr>
      <w:r>
        <w:rPr>
          <w:rFonts w:ascii="Calibri" w:hAnsi="Calibri" w:eastAsia="Calibri"/>
          <w:b w:val="0"/>
          <w:i w:val="0"/>
          <w:color w:val="000000"/>
          <w:sz w:val="18"/>
        </w:rPr>
        <w:t xml:space="preserve">11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9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3" name="Picture 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94" w:bottom="446" w:left="1104" w:header="720" w:footer="720" w:gutter="0"/>
          <w:cols w:num="2" w:equalWidth="0">
            <w:col w:w="5436" w:space="0"/>
            <w:col w:w="4370" w:space="0"/>
          </w:cols>
          <w:docGrid w:linePitch="360"/>
        </w:sectPr>
      </w:pPr>
    </w:p>
    <w:p>
      <w:pPr>
        <w:autoSpaceDN w:val="0"/>
        <w:autoSpaceDE w:val="0"/>
        <w:widowControl/>
        <w:spacing w:line="200" w:lineRule="exact" w:before="0" w:after="30"/>
        <w:ind w:left="0" w:right="15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94" w:bottom="446" w:left="1104" w:header="720" w:footer="720" w:gutter="0"/>
          <w:cols w:num="2" w:equalWidth="0">
            <w:col w:w="5436" w:space="0"/>
            <w:col w:w="4370" w:space="0"/>
          </w:cols>
          <w:docGrid w:linePitch="360"/>
        </w:sectPr>
      </w:pPr>
    </w:p>
    <w:p>
      <w:pPr>
        <w:autoSpaceDN w:val="0"/>
        <w:autoSpaceDE w:val="0"/>
        <w:widowControl/>
        <w:spacing w:line="240" w:lineRule="auto" w:before="724" w:after="0"/>
        <w:ind w:left="156" w:right="0" w:firstLine="0"/>
        <w:jc w:val="left"/>
      </w:pPr>
      <w:r>
        <w:drawing>
          <wp:inline xmlns:a="http://schemas.openxmlformats.org/drawingml/2006/main" xmlns:pic="http://schemas.openxmlformats.org/drawingml/2006/picture">
            <wp:extent cx="6115050" cy="8153400"/>
            <wp:docPr id="14" name="Picture 1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6115050" cy="8153400"/>
                    </a:xfrm>
                    <a:prstGeom prst="rect"/>
                  </pic:spPr>
                </pic:pic>
              </a:graphicData>
            </a:graphic>
          </wp:inline>
        </w:drawing>
      </w:r>
    </w:p>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12 </w:t>
      </w:r>
    </w:p>
    <w:p>
      <w:pPr>
        <w:sectPr>
          <w:type w:val="continuous"/>
          <w:pgSz w:w="11904" w:h="16841"/>
          <w:pgMar w:top="424" w:right="99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464" w:bottom="446" w:left="484" w:header="720" w:footer="720" w:gutter="0"/>
          <w:cols/>
          <w:docGrid w:linePitch="360"/>
        </w:sectPr>
      </w:pPr>
    </w:p>
    <w:p>
      <w:pPr>
        <w:autoSpaceDN w:val="0"/>
        <w:autoSpaceDE w:val="0"/>
        <w:widowControl/>
        <w:spacing w:line="240" w:lineRule="auto" w:before="0" w:after="0"/>
        <w:ind w:left="650" w:right="0" w:firstLine="0"/>
        <w:jc w:val="left"/>
      </w:pPr>
      <w:r>
        <w:drawing>
          <wp:inline xmlns:a="http://schemas.openxmlformats.org/drawingml/2006/main" xmlns:pic="http://schemas.openxmlformats.org/drawingml/2006/picture">
            <wp:extent cx="1844039" cy="439419"/>
            <wp:docPr id="15" name="Picture 1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64" w:bottom="446" w:left="484" w:header="720" w:footer="720" w:gutter="0"/>
          <w:cols w:num="2" w:equalWidth="0">
            <w:col w:w="6056" w:space="0"/>
            <w:col w:w="4900" w:space="0"/>
          </w:cols>
          <w:docGrid w:linePitch="360"/>
        </w:sectPr>
      </w:pPr>
    </w:p>
    <w:p>
      <w:pPr>
        <w:autoSpaceDN w:val="0"/>
        <w:autoSpaceDE w:val="0"/>
        <w:widowControl/>
        <w:spacing w:line="200" w:lineRule="exact" w:before="0" w:after="30"/>
        <w:ind w:left="0" w:right="68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64" w:bottom="446" w:left="484" w:header="720" w:footer="720" w:gutter="0"/>
          <w:cols w:num="2" w:equalWidth="0">
            <w:col w:w="6056" w:space="0"/>
            <w:col w:w="4900" w:space="0"/>
          </w:cols>
          <w:docGrid w:linePitch="360"/>
        </w:sectPr>
      </w:pPr>
    </w:p>
    <w:p>
      <w:pPr>
        <w:autoSpaceDN w:val="0"/>
        <w:autoSpaceDE w:val="0"/>
        <w:widowControl/>
        <w:spacing w:line="406" w:lineRule="exact" w:before="0" w:after="0"/>
        <w:ind w:left="650" w:right="668" w:firstLine="360"/>
        <w:jc w:val="both"/>
      </w:pPr>
      <w:r>
        <w:rPr>
          <w:rFonts w:ascii="宋体" w:hAnsi="宋体" w:eastAsia="宋体"/>
          <w:b w:val="0"/>
          <w:i w:val="0"/>
          <w:color w:val="000000"/>
          <w:sz w:val="18"/>
        </w:rPr>
        <w:t>注：1.为进一步推动业务发展，加强专业化分工，提升资源配置有效性，公司第四届董事会第二十五次会议审议通过</w:t>
      </w:r>
      <w:r>
        <w:rPr>
          <w:rFonts w:ascii="宋体" w:hAnsi="宋体" w:eastAsia="宋体"/>
          <w:b w:val="0"/>
          <w:i w:val="0"/>
          <w:color w:val="000000"/>
          <w:sz w:val="18"/>
        </w:rPr>
        <w:t>《关于公司部门设置调整的议案》，新设一级部门商品投资部，负责开展商品及衍生品投资交易相关业务；原“新三板创</w:t>
      </w:r>
      <w:r>
        <w:rPr>
          <w:rFonts w:ascii="宋体" w:hAnsi="宋体" w:eastAsia="宋体"/>
          <w:b w:val="0"/>
          <w:i w:val="0"/>
          <w:color w:val="000000"/>
          <w:sz w:val="18"/>
        </w:rPr>
        <w:t xml:space="preserve">新投资部”更名为“创新投资部”，负责新三板和北交所的做市及投资业务。 </w:t>
      </w:r>
    </w:p>
    <w:p>
      <w:pPr>
        <w:autoSpaceDN w:val="0"/>
        <w:tabs>
          <w:tab w:pos="1010" w:val="left"/>
        </w:tabs>
        <w:autoSpaceDE w:val="0"/>
        <w:widowControl/>
        <w:spacing w:line="420" w:lineRule="exact" w:before="0" w:after="0"/>
        <w:ind w:left="650" w:right="576" w:firstLine="0"/>
        <w:jc w:val="left"/>
      </w:pPr>
      <w:r>
        <w:tab/>
      </w:r>
      <w:r>
        <w:rPr>
          <w:rFonts w:ascii="宋体" w:hAnsi="宋体" w:eastAsia="宋体"/>
          <w:b w:val="0"/>
          <w:i w:val="0"/>
          <w:color w:val="000000"/>
          <w:sz w:val="18"/>
        </w:rPr>
        <w:t>2.为规范机构业务经营决策，加强机构业务协同，有效防范和管控业务风险，公司设立机构业务委员会，负责统筹公</w:t>
      </w:r>
      <w:r>
        <w:rPr>
          <w:rFonts w:ascii="宋体" w:hAnsi="宋体" w:eastAsia="宋体"/>
          <w:b w:val="0"/>
          <w:i w:val="0"/>
          <w:color w:val="000000"/>
          <w:sz w:val="18"/>
        </w:rPr>
        <w:t xml:space="preserve">司金融同业、私募基金两类机构所涉及的相关事项。 </w:t>
      </w:r>
    </w:p>
    <w:p>
      <w:pPr>
        <w:autoSpaceDN w:val="0"/>
        <w:tabs>
          <w:tab w:pos="1010" w:val="left"/>
        </w:tabs>
        <w:autoSpaceDE w:val="0"/>
        <w:widowControl/>
        <w:spacing w:line="420" w:lineRule="exact" w:before="0" w:after="0"/>
        <w:ind w:left="650" w:right="576" w:firstLine="0"/>
        <w:jc w:val="left"/>
      </w:pPr>
      <w:r>
        <w:tab/>
      </w:r>
      <w:r>
        <w:rPr>
          <w:rFonts w:ascii="宋体" w:hAnsi="宋体" w:eastAsia="宋体"/>
          <w:b w:val="0"/>
          <w:i w:val="0"/>
          <w:color w:val="000000"/>
          <w:sz w:val="18"/>
        </w:rPr>
        <w:t>3.为有效配置资源，提升经营管理效率，经第四届董事会第六次会议授权，公司撤销科技金融部，相关职能分别由山</w:t>
      </w:r>
      <w:r>
        <w:rPr>
          <w:rFonts w:ascii="宋体" w:hAnsi="宋体" w:eastAsia="宋体"/>
          <w:b w:val="0"/>
          <w:i w:val="0"/>
          <w:color w:val="000000"/>
          <w:sz w:val="18"/>
        </w:rPr>
        <w:t xml:space="preserve">证科技与信息技术部承接。 </w:t>
      </w:r>
    </w:p>
    <w:p>
      <w:pPr>
        <w:autoSpaceDN w:val="0"/>
        <w:autoSpaceDE w:val="0"/>
        <w:widowControl/>
        <w:spacing w:line="212" w:lineRule="exact" w:before="400" w:after="0"/>
        <w:ind w:left="650" w:right="0" w:firstLine="0"/>
        <w:jc w:val="left"/>
      </w:pPr>
      <w:r>
        <w:rPr>
          <w:rFonts w:ascii="宋体" w:hAnsi="宋体" w:eastAsia="宋体"/>
          <w:b w:val="0"/>
          <w:i w:val="0"/>
          <w:color w:val="000000"/>
          <w:sz w:val="21"/>
        </w:rPr>
        <w:t xml:space="preserve">2、境内外重要分公司 </w:t>
      </w:r>
    </w:p>
    <w:p>
      <w:pPr>
        <w:autoSpaceDN w:val="0"/>
        <w:autoSpaceDE w:val="0"/>
        <w:widowControl/>
        <w:spacing w:line="212" w:lineRule="exact" w:before="544" w:after="0"/>
        <w:ind w:left="1070" w:right="0" w:firstLine="0"/>
        <w:jc w:val="left"/>
      </w:pPr>
      <w:r>
        <w:rPr>
          <w:rFonts w:ascii="宋体" w:hAnsi="宋体" w:eastAsia="宋体"/>
          <w:b w:val="0"/>
          <w:i w:val="0"/>
          <w:color w:val="000000"/>
          <w:sz w:val="21"/>
        </w:rPr>
        <w:t>截至本报告披露日，公司共设立经纪业务分公司21 家, 其中山西省内 12 家，上海、北京、深圳、</w:t>
      </w:r>
    </w:p>
    <w:p>
      <w:pPr>
        <w:autoSpaceDN w:val="0"/>
        <w:autoSpaceDE w:val="0"/>
        <w:widowControl/>
        <w:spacing w:line="212" w:lineRule="exact" w:before="290" w:after="380"/>
        <w:ind w:left="650" w:right="0" w:firstLine="0"/>
        <w:jc w:val="left"/>
      </w:pPr>
      <w:r>
        <w:rPr>
          <w:rFonts w:ascii="宋体" w:hAnsi="宋体" w:eastAsia="宋体"/>
          <w:b w:val="0"/>
          <w:i w:val="0"/>
          <w:color w:val="000000"/>
          <w:sz w:val="21"/>
        </w:rPr>
        <w:t xml:space="preserve">河南、山东、江苏、湖南、浙江、陕西各1 家，设海南自营分公司1 家，具体如下表： </w:t>
      </w:r>
    </w:p>
    <w:tbl>
      <w:tblPr>
        <w:tblW w:type="auto" w:w="0"/>
        <w:tblLayout w:type="fixed"/>
        <w:tblLook w:firstColumn="1" w:firstRow="1" w:lastColumn="0" w:lastRow="0" w:noHBand="0" w:noVBand="1" w:val="04A0"/>
        <w:tblInd w:w="3.999999999999986" w:type="dxa"/>
      </w:tblPr>
      <w:tblGrid>
        <w:gridCol w:w="1826"/>
        <w:gridCol w:w="1826"/>
        <w:gridCol w:w="1826"/>
        <w:gridCol w:w="1826"/>
        <w:gridCol w:w="1826"/>
        <w:gridCol w:w="1826"/>
      </w:tblGrid>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22" w:right="0" w:firstLine="0"/>
              <w:jc w:val="left"/>
            </w:pPr>
            <w:r>
              <w:rPr>
                <w:rFonts w:ascii="宋体" w:hAnsi="宋体" w:eastAsia="宋体"/>
                <w:b w:val="0"/>
                <w:i w:val="0"/>
                <w:color w:val="000000"/>
                <w:sz w:val="18"/>
              </w:rPr>
              <w:t>序</w:t>
            </w:r>
            <w:r>
              <w:br/>
            </w:r>
            <w:r>
              <w:rPr>
                <w:rFonts w:ascii="宋体" w:hAnsi="宋体" w:eastAsia="宋体"/>
                <w:b w:val="0"/>
                <w:i w:val="0"/>
                <w:color w:val="000000"/>
                <w:sz w:val="18"/>
              </w:rPr>
              <w:t xml:space="preserve">号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1154" w:firstLine="0"/>
              <w:jc w:val="right"/>
            </w:pPr>
            <w:r>
              <w:rPr>
                <w:rFonts w:ascii="宋体" w:hAnsi="宋体" w:eastAsia="宋体"/>
                <w:b w:val="0"/>
                <w:i w:val="0"/>
                <w:color w:val="000000"/>
                <w:sz w:val="18"/>
              </w:rPr>
              <w:t xml:space="preserve">分公司名称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1546" w:firstLine="0"/>
              <w:jc w:val="right"/>
            </w:pPr>
            <w:r>
              <w:rPr>
                <w:rFonts w:ascii="宋体" w:hAnsi="宋体" w:eastAsia="宋体"/>
                <w:b w:val="0"/>
                <w:i w:val="0"/>
                <w:color w:val="000000"/>
                <w:sz w:val="18"/>
              </w:rPr>
              <w:t xml:space="preserve">地址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8" w:right="0" w:firstLine="0"/>
              <w:jc w:val="left"/>
            </w:pPr>
            <w:r>
              <w:rPr>
                <w:rFonts w:ascii="宋体" w:hAnsi="宋体" w:eastAsia="宋体"/>
                <w:b w:val="0"/>
                <w:i w:val="0"/>
                <w:color w:val="000000"/>
                <w:sz w:val="18"/>
              </w:rPr>
              <w:t xml:space="preserve">设立时间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负责人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280" w:firstLine="0"/>
              <w:jc w:val="right"/>
            </w:pPr>
            <w:r>
              <w:rPr>
                <w:rFonts w:ascii="宋体" w:hAnsi="宋体" w:eastAsia="宋体"/>
                <w:b w:val="0"/>
                <w:i w:val="0"/>
                <w:color w:val="000000"/>
                <w:sz w:val="18"/>
              </w:rPr>
              <w:t xml:space="preserve">联系电话 </w:t>
            </w:r>
          </w:p>
        </w:tc>
      </w:tr>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72" w:firstLine="0"/>
              <w:jc w:val="right"/>
            </w:pPr>
            <w:r>
              <w:rPr>
                <w:rFonts w:ascii="宋体" w:hAnsi="宋体" w:eastAsia="宋体"/>
                <w:b w:val="0"/>
                <w:i w:val="0"/>
                <w:color w:val="000000"/>
                <w:sz w:val="18"/>
              </w:rPr>
              <w:t xml:space="preserve">1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68" w:right="0" w:firstLine="0"/>
              <w:jc w:val="left"/>
            </w:pPr>
            <w:r>
              <w:rPr>
                <w:rFonts w:ascii="宋体" w:hAnsi="宋体" w:eastAsia="宋体"/>
                <w:b w:val="0"/>
                <w:i w:val="0"/>
                <w:color w:val="000000"/>
                <w:sz w:val="18"/>
              </w:rPr>
              <w:t xml:space="preserve">山西证券股份有限公司太原北城分公司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山西省太原市迎泽区新建南路1 号中铁三局</w:t>
            </w:r>
            <w:r>
              <w:rPr>
                <w:rFonts w:ascii="宋体" w:hAnsi="宋体" w:eastAsia="宋体"/>
                <w:b w:val="0"/>
                <w:i w:val="0"/>
                <w:color w:val="000000"/>
                <w:sz w:val="18"/>
              </w:rPr>
              <w:t xml:space="preserve">科技研发中心20 层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2013.07.19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徐文忠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0351-4087564 </w:t>
            </w:r>
          </w:p>
        </w:tc>
      </w:tr>
      <w:tr>
        <w:trPr>
          <w:trHeight w:hRule="exact" w:val="610"/>
        </w:trPr>
        <w:tc>
          <w:tcPr>
            <w:tcW w:type="dxa" w:w="428"/>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36" w:after="0"/>
              <w:ind w:left="0" w:right="72" w:firstLine="0"/>
              <w:jc w:val="right"/>
            </w:pPr>
            <w:r>
              <w:rPr>
                <w:rFonts w:ascii="宋体" w:hAnsi="宋体" w:eastAsia="宋体"/>
                <w:b w:val="0"/>
                <w:i w:val="0"/>
                <w:color w:val="000000"/>
                <w:sz w:val="18"/>
              </w:rPr>
              <w:t xml:space="preserve">2 </w:t>
            </w:r>
          </w:p>
        </w:tc>
        <w:tc>
          <w:tcPr>
            <w:tcW w:type="dxa" w:w="340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36" w:after="0"/>
              <w:ind w:left="168" w:right="0" w:firstLine="0"/>
              <w:jc w:val="left"/>
            </w:pPr>
            <w:r>
              <w:rPr>
                <w:rFonts w:ascii="宋体" w:hAnsi="宋体" w:eastAsia="宋体"/>
                <w:b w:val="0"/>
                <w:i w:val="0"/>
                <w:color w:val="000000"/>
                <w:sz w:val="18"/>
              </w:rPr>
              <w:t xml:space="preserve">山西证券股份有限公司太原并州分公司 </w:t>
            </w:r>
          </w:p>
        </w:tc>
        <w:tc>
          <w:tcPr>
            <w:tcW w:type="dxa" w:w="364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山西省太原市小店区并州南路6 号1 幢（鼎</w:t>
            </w:r>
            <w:r>
              <w:rPr>
                <w:rFonts w:ascii="宋体" w:hAnsi="宋体" w:eastAsia="宋体"/>
                <w:b w:val="0"/>
                <w:i w:val="0"/>
                <w:color w:val="000000"/>
                <w:sz w:val="18"/>
              </w:rPr>
              <w:t xml:space="preserve">太风华）B 座1-3 层 1005 </w:t>
            </w:r>
          </w:p>
        </w:tc>
        <w:tc>
          <w:tcPr>
            <w:tcW w:type="dxa" w:w="113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2013.08.20 </w:t>
            </w:r>
          </w:p>
        </w:tc>
        <w:tc>
          <w:tcPr>
            <w:tcW w:type="dxa" w:w="848"/>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魏亦斌 </w:t>
            </w:r>
          </w:p>
        </w:tc>
        <w:tc>
          <w:tcPr>
            <w:tcW w:type="dxa" w:w="147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0351-7083445 </w:t>
            </w:r>
          </w:p>
        </w:tc>
      </w:tr>
      <w:tr>
        <w:trPr>
          <w:trHeight w:hRule="exact" w:val="610"/>
        </w:trPr>
        <w:tc>
          <w:tcPr>
            <w:tcW w:type="dxa" w:w="42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72" w:firstLine="0"/>
              <w:jc w:val="right"/>
            </w:pPr>
            <w:r>
              <w:rPr>
                <w:rFonts w:ascii="宋体" w:hAnsi="宋体" w:eastAsia="宋体"/>
                <w:b w:val="0"/>
                <w:i w:val="0"/>
                <w:color w:val="000000"/>
                <w:sz w:val="18"/>
              </w:rPr>
              <w:t xml:space="preserve">3 </w:t>
            </w:r>
          </w:p>
        </w:tc>
        <w:tc>
          <w:tcPr>
            <w:tcW w:type="dxa" w:w="340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山西证券股份有限公司大同分公司 </w:t>
            </w:r>
          </w:p>
        </w:tc>
        <w:tc>
          <w:tcPr>
            <w:tcW w:type="dxa" w:w="364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山西省大同市平城区永泰南路西侧桐城中央</w:t>
            </w:r>
            <w:r>
              <w:rPr>
                <w:rFonts w:ascii="宋体" w:hAnsi="宋体" w:eastAsia="宋体"/>
                <w:b w:val="0"/>
                <w:i w:val="0"/>
                <w:color w:val="000000"/>
                <w:sz w:val="18"/>
              </w:rPr>
              <w:t xml:space="preserve">二期综合商务楼1 层102 号、2 层202 号 </w:t>
            </w:r>
          </w:p>
        </w:tc>
        <w:tc>
          <w:tcPr>
            <w:tcW w:type="dxa" w:w="113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2013.08.12 </w:t>
            </w:r>
          </w:p>
        </w:tc>
        <w:tc>
          <w:tcPr>
            <w:tcW w:type="dxa" w:w="84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王亚飞 </w:t>
            </w:r>
          </w:p>
        </w:tc>
        <w:tc>
          <w:tcPr>
            <w:tcW w:type="dxa" w:w="147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0352-2085918 </w:t>
            </w:r>
          </w:p>
        </w:tc>
      </w:tr>
      <w:tr>
        <w:trPr>
          <w:trHeight w:hRule="exact" w:val="404"/>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0" w:right="72" w:firstLine="0"/>
              <w:jc w:val="right"/>
            </w:pPr>
            <w:r>
              <w:rPr>
                <w:rFonts w:ascii="宋体" w:hAnsi="宋体" w:eastAsia="宋体"/>
                <w:b w:val="0"/>
                <w:i w:val="0"/>
                <w:color w:val="000000"/>
                <w:sz w:val="18"/>
              </w:rPr>
              <w:t xml:space="preserve">4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348" w:right="0" w:firstLine="0"/>
              <w:jc w:val="left"/>
            </w:pPr>
            <w:r>
              <w:rPr>
                <w:rFonts w:ascii="宋体" w:hAnsi="宋体" w:eastAsia="宋体"/>
                <w:b w:val="0"/>
                <w:i w:val="0"/>
                <w:color w:val="000000"/>
                <w:sz w:val="18"/>
              </w:rPr>
              <w:t xml:space="preserve">山西证券股份有限公司运城分公司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04" w:right="0" w:firstLine="0"/>
              <w:jc w:val="left"/>
            </w:pPr>
            <w:r>
              <w:rPr>
                <w:rFonts w:ascii="宋体" w:hAnsi="宋体" w:eastAsia="宋体"/>
                <w:b w:val="0"/>
                <w:i w:val="0"/>
                <w:color w:val="000000"/>
                <w:sz w:val="18"/>
              </w:rPr>
              <w:t xml:space="preserve">山西省运城市盐湖区河东街159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10" w:right="0" w:firstLine="0"/>
              <w:jc w:val="left"/>
            </w:pPr>
            <w:r>
              <w:rPr>
                <w:rFonts w:ascii="宋体" w:hAnsi="宋体" w:eastAsia="宋体"/>
                <w:b w:val="0"/>
                <w:i w:val="0"/>
                <w:color w:val="000000"/>
                <w:sz w:val="18"/>
              </w:rPr>
              <w:t xml:space="preserve">2013.09.02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48" w:right="0" w:firstLine="0"/>
              <w:jc w:val="left"/>
            </w:pPr>
            <w:r>
              <w:rPr>
                <w:rFonts w:ascii="宋体" w:hAnsi="宋体" w:eastAsia="宋体"/>
                <w:b w:val="0"/>
                <w:i w:val="0"/>
                <w:color w:val="000000"/>
                <w:sz w:val="18"/>
              </w:rPr>
              <w:t xml:space="preserve">杨  洋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92" w:right="0" w:firstLine="0"/>
              <w:jc w:val="left"/>
            </w:pPr>
            <w:r>
              <w:rPr>
                <w:rFonts w:ascii="宋体" w:hAnsi="宋体" w:eastAsia="宋体"/>
                <w:b w:val="0"/>
                <w:i w:val="0"/>
                <w:color w:val="000000"/>
                <w:sz w:val="18"/>
              </w:rPr>
              <w:t xml:space="preserve">0359-6381053 </w:t>
            </w:r>
          </w:p>
        </w:tc>
      </w:tr>
      <w:tr>
        <w:trPr>
          <w:trHeight w:hRule="exact" w:val="4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0" w:right="72" w:firstLine="0"/>
              <w:jc w:val="right"/>
            </w:pPr>
            <w:r>
              <w:rPr>
                <w:rFonts w:ascii="宋体" w:hAnsi="宋体" w:eastAsia="宋体"/>
                <w:b w:val="0"/>
                <w:i w:val="0"/>
                <w:color w:val="000000"/>
                <w:sz w:val="18"/>
              </w:rPr>
              <w:t xml:space="preserve">5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348" w:right="0" w:firstLine="0"/>
              <w:jc w:val="left"/>
            </w:pPr>
            <w:r>
              <w:rPr>
                <w:rFonts w:ascii="宋体" w:hAnsi="宋体" w:eastAsia="宋体"/>
                <w:b w:val="0"/>
                <w:i w:val="0"/>
                <w:color w:val="000000"/>
                <w:sz w:val="18"/>
              </w:rPr>
              <w:t xml:space="preserve">山西证券股份有限公司吕梁分公司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04" w:right="0" w:firstLine="0"/>
              <w:jc w:val="left"/>
            </w:pPr>
            <w:r>
              <w:rPr>
                <w:rFonts w:ascii="宋体" w:hAnsi="宋体" w:eastAsia="宋体"/>
                <w:b w:val="0"/>
                <w:i w:val="0"/>
                <w:color w:val="000000"/>
                <w:sz w:val="18"/>
              </w:rPr>
              <w:t xml:space="preserve">山西省吕梁市离石区滨河北西路1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10" w:right="0" w:firstLine="0"/>
              <w:jc w:val="left"/>
            </w:pPr>
            <w:r>
              <w:rPr>
                <w:rFonts w:ascii="宋体" w:hAnsi="宋体" w:eastAsia="宋体"/>
                <w:b w:val="0"/>
                <w:i w:val="0"/>
                <w:color w:val="000000"/>
                <w:sz w:val="18"/>
              </w:rPr>
              <w:t xml:space="preserve">2013.07.29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48" w:right="0" w:firstLine="0"/>
              <w:jc w:val="left"/>
            </w:pPr>
            <w:r>
              <w:rPr>
                <w:rFonts w:ascii="宋体" w:hAnsi="宋体" w:eastAsia="宋体"/>
                <w:b w:val="0"/>
                <w:i w:val="0"/>
                <w:color w:val="000000"/>
                <w:sz w:val="18"/>
              </w:rPr>
              <w:hyperlink r:id="rId12" w:history="1">
                <w:r>
                  <w:rPr>
                    <w:rStyle w:val="Hyperlink"/>
                  </w:rPr>
                  <w:t>翟彦明</w:t>
                </w:r>
              </w:hyperlink>
            </w:r>
            <w:r>
              <w:rPr>
                <w:rFonts w:ascii="宋体" w:hAnsi="宋体" w:eastAsia="宋体"/>
                <w:b w:val="0"/>
                <w:i w:val="0"/>
                <w:color w:val="000000"/>
                <w:sz w:val="18"/>
              </w:rPr>
              <w:t xml:space="preserve">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92" w:right="0" w:firstLine="0"/>
              <w:jc w:val="left"/>
            </w:pPr>
            <w:r>
              <w:rPr>
                <w:rFonts w:ascii="宋体" w:hAnsi="宋体" w:eastAsia="宋体"/>
                <w:b w:val="0"/>
                <w:i w:val="0"/>
                <w:color w:val="000000"/>
                <w:sz w:val="18"/>
              </w:rPr>
              <w:t xml:space="preserve">0358-8288922 </w:t>
            </w:r>
          </w:p>
        </w:tc>
      </w:tr>
      <w:tr>
        <w:trPr>
          <w:trHeight w:hRule="exact" w:val="4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0" w:right="72" w:firstLine="0"/>
              <w:jc w:val="right"/>
            </w:pPr>
            <w:r>
              <w:rPr>
                <w:rFonts w:ascii="宋体" w:hAnsi="宋体" w:eastAsia="宋体"/>
                <w:b w:val="0"/>
                <w:i w:val="0"/>
                <w:color w:val="000000"/>
                <w:sz w:val="18"/>
              </w:rPr>
              <w:t xml:space="preserve">6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348" w:right="0" w:firstLine="0"/>
              <w:jc w:val="left"/>
            </w:pPr>
            <w:r>
              <w:rPr>
                <w:rFonts w:ascii="宋体" w:hAnsi="宋体" w:eastAsia="宋体"/>
                <w:b w:val="0"/>
                <w:i w:val="0"/>
                <w:color w:val="000000"/>
                <w:sz w:val="18"/>
              </w:rPr>
              <w:t xml:space="preserve">山西证券股份有限公司晋中分公司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04" w:right="0" w:firstLine="0"/>
              <w:jc w:val="left"/>
            </w:pPr>
            <w:r>
              <w:rPr>
                <w:rFonts w:ascii="宋体" w:hAnsi="宋体" w:eastAsia="宋体"/>
                <w:b w:val="0"/>
                <w:i w:val="0"/>
                <w:color w:val="000000"/>
                <w:sz w:val="18"/>
              </w:rPr>
              <w:t xml:space="preserve">山西省晋中市榆次区新建路233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10" w:right="0" w:firstLine="0"/>
              <w:jc w:val="left"/>
            </w:pPr>
            <w:r>
              <w:rPr>
                <w:rFonts w:ascii="宋体" w:hAnsi="宋体" w:eastAsia="宋体"/>
                <w:b w:val="0"/>
                <w:i w:val="0"/>
                <w:color w:val="000000"/>
                <w:sz w:val="18"/>
              </w:rPr>
              <w:t xml:space="preserve">2013.07.31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48" w:right="0" w:firstLine="0"/>
              <w:jc w:val="left"/>
            </w:pPr>
            <w:r>
              <w:rPr>
                <w:rFonts w:ascii="宋体" w:hAnsi="宋体" w:eastAsia="宋体"/>
                <w:b w:val="0"/>
                <w:i w:val="0"/>
                <w:color w:val="000000"/>
                <w:sz w:val="18"/>
              </w:rPr>
              <w:hyperlink r:id="rId13" w:history="1">
                <w:r>
                  <w:rPr>
                    <w:rStyle w:val="Hyperlink"/>
                  </w:rPr>
                  <w:t>郭  锋</w:t>
                </w:r>
              </w:hyperlink>
            </w:r>
            <w:r>
              <w:rPr>
                <w:rFonts w:ascii="宋体" w:hAnsi="宋体" w:eastAsia="宋体"/>
                <w:b w:val="0"/>
                <w:i w:val="0"/>
                <w:color w:val="000000"/>
                <w:sz w:val="18"/>
              </w:rPr>
              <w:t xml:space="preserve">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92" w:right="0" w:firstLine="0"/>
              <w:jc w:val="left"/>
            </w:pPr>
            <w:r>
              <w:rPr>
                <w:rFonts w:ascii="宋体" w:hAnsi="宋体" w:eastAsia="宋体"/>
                <w:b w:val="0"/>
                <w:i w:val="0"/>
                <w:color w:val="000000"/>
                <w:sz w:val="18"/>
              </w:rPr>
              <w:t xml:space="preserve">0354-3020209 </w:t>
            </w:r>
          </w:p>
        </w:tc>
      </w:tr>
      <w:tr>
        <w:trPr>
          <w:trHeight w:hRule="exact" w:val="406"/>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0" w:right="72" w:firstLine="0"/>
              <w:jc w:val="right"/>
            </w:pPr>
            <w:r>
              <w:rPr>
                <w:rFonts w:ascii="宋体" w:hAnsi="宋体" w:eastAsia="宋体"/>
                <w:b w:val="0"/>
                <w:i w:val="0"/>
                <w:color w:val="000000"/>
                <w:sz w:val="18"/>
              </w:rPr>
              <w:t xml:space="preserve">7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348" w:right="0" w:firstLine="0"/>
              <w:jc w:val="left"/>
            </w:pPr>
            <w:r>
              <w:rPr>
                <w:rFonts w:ascii="宋体" w:hAnsi="宋体" w:eastAsia="宋体"/>
                <w:b w:val="0"/>
                <w:i w:val="0"/>
                <w:color w:val="000000"/>
                <w:sz w:val="18"/>
              </w:rPr>
              <w:t xml:space="preserve">山西证券股份有限公司临汾分公司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04" w:right="0" w:firstLine="0"/>
              <w:jc w:val="left"/>
            </w:pPr>
            <w:r>
              <w:rPr>
                <w:rFonts w:ascii="宋体" w:hAnsi="宋体" w:eastAsia="宋体"/>
                <w:b w:val="0"/>
                <w:i w:val="0"/>
                <w:color w:val="000000"/>
                <w:sz w:val="18"/>
              </w:rPr>
              <w:t xml:space="preserve">山西省临汾市尧都区北洪家楼20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10" w:right="0" w:firstLine="0"/>
              <w:jc w:val="left"/>
            </w:pPr>
            <w:r>
              <w:rPr>
                <w:rFonts w:ascii="宋体" w:hAnsi="宋体" w:eastAsia="宋体"/>
                <w:b w:val="0"/>
                <w:i w:val="0"/>
                <w:color w:val="000000"/>
                <w:sz w:val="18"/>
              </w:rPr>
              <w:t xml:space="preserve">2013.07.30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48" w:right="0" w:firstLine="0"/>
              <w:jc w:val="left"/>
            </w:pPr>
            <w:r>
              <w:rPr>
                <w:rFonts w:ascii="宋体" w:hAnsi="宋体" w:eastAsia="宋体"/>
                <w:b w:val="0"/>
                <w:i w:val="0"/>
                <w:color w:val="000000"/>
                <w:sz w:val="18"/>
              </w:rPr>
              <w:t xml:space="preserve">关向萌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192" w:right="0" w:firstLine="0"/>
              <w:jc w:val="left"/>
            </w:pPr>
            <w:r>
              <w:rPr>
                <w:rFonts w:ascii="宋体" w:hAnsi="宋体" w:eastAsia="宋体"/>
                <w:b w:val="0"/>
                <w:i w:val="0"/>
                <w:color w:val="000000"/>
                <w:sz w:val="18"/>
              </w:rPr>
              <w:t xml:space="preserve">0357-2025898 </w:t>
            </w:r>
          </w:p>
        </w:tc>
      </w:tr>
      <w:tr>
        <w:trPr>
          <w:trHeight w:hRule="exact" w:val="6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72" w:firstLine="0"/>
              <w:jc w:val="right"/>
            </w:pPr>
            <w:r>
              <w:rPr>
                <w:rFonts w:ascii="宋体" w:hAnsi="宋体" w:eastAsia="宋体"/>
                <w:b w:val="0"/>
                <w:i w:val="0"/>
                <w:color w:val="000000"/>
                <w:sz w:val="18"/>
              </w:rPr>
              <w:t xml:space="preserve">8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山西证券股份有限公司晋城分公司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山西省晋城市城区南街街道黄华街855 号四</w:t>
            </w:r>
            <w:r>
              <w:rPr>
                <w:rFonts w:ascii="宋体" w:hAnsi="宋体" w:eastAsia="宋体"/>
                <w:b w:val="0"/>
                <w:i w:val="0"/>
                <w:color w:val="000000"/>
                <w:sz w:val="18"/>
              </w:rPr>
              <w:t xml:space="preserve">楼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2013.08.30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hyperlink r:id="rId14" w:history="1">
                <w:r>
                  <w:rPr>
                    <w:rStyle w:val="Hyperlink"/>
                  </w:rPr>
                  <w:t>王雷雷</w:t>
                </w:r>
              </w:hyperlink>
            </w:r>
            <w:r>
              <w:rPr>
                <w:rFonts w:ascii="宋体" w:hAnsi="宋体" w:eastAsia="宋体"/>
                <w:b w:val="0"/>
                <w:i w:val="0"/>
                <w:color w:val="000000"/>
                <w:sz w:val="18"/>
              </w:rPr>
              <w:t xml:space="preserve">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0356-3053512 </w:t>
            </w:r>
          </w:p>
        </w:tc>
      </w:tr>
      <w:tr>
        <w:trPr>
          <w:trHeight w:hRule="exact" w:val="4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0" w:right="72" w:firstLine="0"/>
              <w:jc w:val="right"/>
            </w:pPr>
            <w:r>
              <w:rPr>
                <w:rFonts w:ascii="宋体" w:hAnsi="宋体" w:eastAsia="宋体"/>
                <w:b w:val="0"/>
                <w:i w:val="0"/>
                <w:color w:val="000000"/>
                <w:sz w:val="18"/>
              </w:rPr>
              <w:t xml:space="preserve">9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348" w:right="0" w:firstLine="0"/>
              <w:jc w:val="left"/>
            </w:pPr>
            <w:r>
              <w:rPr>
                <w:rFonts w:ascii="宋体" w:hAnsi="宋体" w:eastAsia="宋体"/>
                <w:b w:val="0"/>
                <w:i w:val="0"/>
                <w:color w:val="000000"/>
                <w:sz w:val="18"/>
              </w:rPr>
              <w:t xml:space="preserve">山西证券股份有限公司阳泉分公司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04" w:right="0" w:firstLine="0"/>
              <w:jc w:val="left"/>
            </w:pPr>
            <w:r>
              <w:rPr>
                <w:rFonts w:ascii="宋体" w:hAnsi="宋体" w:eastAsia="宋体"/>
                <w:b w:val="0"/>
                <w:i w:val="0"/>
                <w:color w:val="000000"/>
                <w:sz w:val="18"/>
              </w:rPr>
              <w:t xml:space="preserve">山西省阳泉市城区德胜东街23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10" w:right="0" w:firstLine="0"/>
              <w:jc w:val="left"/>
            </w:pPr>
            <w:r>
              <w:rPr>
                <w:rFonts w:ascii="宋体" w:hAnsi="宋体" w:eastAsia="宋体"/>
                <w:b w:val="0"/>
                <w:i w:val="0"/>
                <w:color w:val="000000"/>
                <w:sz w:val="18"/>
              </w:rPr>
              <w:t xml:space="preserve">2013.08.07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48" w:right="0" w:firstLine="0"/>
              <w:jc w:val="left"/>
            </w:pPr>
            <w:r>
              <w:rPr>
                <w:rFonts w:ascii="宋体" w:hAnsi="宋体" w:eastAsia="宋体"/>
                <w:b w:val="0"/>
                <w:i w:val="0"/>
                <w:color w:val="000000"/>
                <w:sz w:val="18"/>
              </w:rPr>
              <w:t xml:space="preserve">赵燕云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92" w:right="0" w:firstLine="0"/>
              <w:jc w:val="left"/>
            </w:pPr>
            <w:r>
              <w:rPr>
                <w:rFonts w:ascii="宋体" w:hAnsi="宋体" w:eastAsia="宋体"/>
                <w:b w:val="0"/>
                <w:i w:val="0"/>
                <w:color w:val="000000"/>
                <w:sz w:val="18"/>
              </w:rPr>
              <w:t xml:space="preserve">0353-2026566 </w:t>
            </w:r>
          </w:p>
        </w:tc>
      </w:tr>
      <w:tr>
        <w:trPr>
          <w:trHeight w:hRule="exact" w:val="4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0" w:right="26" w:firstLine="0"/>
              <w:jc w:val="right"/>
            </w:pPr>
            <w:r>
              <w:rPr>
                <w:rFonts w:ascii="宋体" w:hAnsi="宋体" w:eastAsia="宋体"/>
                <w:b w:val="0"/>
                <w:i w:val="0"/>
                <w:color w:val="000000"/>
                <w:sz w:val="18"/>
              </w:rPr>
              <w:t xml:space="preserve">10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348" w:right="0" w:firstLine="0"/>
              <w:jc w:val="left"/>
            </w:pPr>
            <w:r>
              <w:rPr>
                <w:rFonts w:ascii="宋体" w:hAnsi="宋体" w:eastAsia="宋体"/>
                <w:b w:val="0"/>
                <w:i w:val="0"/>
                <w:color w:val="000000"/>
                <w:sz w:val="18"/>
              </w:rPr>
              <w:t xml:space="preserve">山西证券股份有限公司朔州分公司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0" w:right="0" w:firstLine="0"/>
              <w:jc w:val="center"/>
            </w:pPr>
            <w:r>
              <w:rPr>
                <w:rFonts w:ascii="宋体" w:hAnsi="宋体" w:eastAsia="宋体"/>
                <w:b w:val="0"/>
                <w:i w:val="0"/>
                <w:color w:val="000000"/>
                <w:sz w:val="18"/>
              </w:rPr>
              <w:t xml:space="preserve">山西省朔州市朔城经济开发区招远路19 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10" w:right="0" w:firstLine="0"/>
              <w:jc w:val="left"/>
            </w:pPr>
            <w:r>
              <w:rPr>
                <w:rFonts w:ascii="宋体" w:hAnsi="宋体" w:eastAsia="宋体"/>
                <w:b w:val="0"/>
                <w:i w:val="0"/>
                <w:color w:val="000000"/>
                <w:sz w:val="18"/>
              </w:rPr>
              <w:t xml:space="preserve">2013.08.26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48" w:right="0" w:firstLine="0"/>
              <w:jc w:val="left"/>
            </w:pPr>
            <w:r>
              <w:rPr>
                <w:rFonts w:ascii="宋体" w:hAnsi="宋体" w:eastAsia="宋体"/>
                <w:b w:val="0"/>
                <w:i w:val="0"/>
                <w:color w:val="000000"/>
                <w:sz w:val="18"/>
              </w:rPr>
              <w:hyperlink r:id="rId15" w:history="1">
                <w:r>
                  <w:rPr>
                    <w:rStyle w:val="Hyperlink"/>
                  </w:rPr>
                  <w:t>宁维洁</w:t>
                </w:r>
              </w:hyperlink>
            </w:r>
            <w:r>
              <w:rPr>
                <w:rFonts w:ascii="宋体" w:hAnsi="宋体" w:eastAsia="宋体"/>
                <w:b w:val="0"/>
                <w:i w:val="0"/>
                <w:color w:val="000000"/>
                <w:sz w:val="18"/>
              </w:rPr>
              <w:t xml:space="preserve">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192" w:right="0" w:firstLine="0"/>
              <w:jc w:val="left"/>
            </w:pPr>
            <w:r>
              <w:rPr>
                <w:rFonts w:ascii="宋体" w:hAnsi="宋体" w:eastAsia="宋体"/>
                <w:b w:val="0"/>
                <w:i w:val="0"/>
                <w:color w:val="000000"/>
                <w:sz w:val="18"/>
              </w:rPr>
              <w:t xml:space="preserve">0349-2027333 </w:t>
            </w:r>
          </w:p>
        </w:tc>
      </w:tr>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11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山西证券股份有限公司忻州分公司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4" w:lineRule="exact" w:before="0" w:after="0"/>
              <w:ind w:left="104" w:right="144" w:firstLine="0"/>
              <w:jc w:val="left"/>
            </w:pPr>
            <w:r>
              <w:rPr>
                <w:rFonts w:ascii="宋体" w:hAnsi="宋体" w:eastAsia="宋体"/>
                <w:b w:val="0"/>
                <w:i w:val="0"/>
                <w:color w:val="000000"/>
                <w:sz w:val="18"/>
              </w:rPr>
              <w:t>山西省忻州市忻府区和平西街南华信大厦1</w:t>
            </w:r>
            <w:r>
              <w:rPr>
                <w:rFonts w:ascii="宋体" w:hAnsi="宋体" w:eastAsia="宋体"/>
                <w:b w:val="0"/>
                <w:i w:val="0"/>
                <w:color w:val="000000"/>
                <w:sz w:val="18"/>
              </w:rPr>
              <w:t xml:space="preserve">幢1 层01 单元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2013.08.08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张景泉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0350-3032130 </w:t>
            </w:r>
          </w:p>
        </w:tc>
      </w:tr>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0" w:right="26" w:firstLine="0"/>
              <w:jc w:val="right"/>
            </w:pPr>
            <w:r>
              <w:rPr>
                <w:rFonts w:ascii="宋体" w:hAnsi="宋体" w:eastAsia="宋体"/>
                <w:b w:val="0"/>
                <w:i w:val="0"/>
                <w:color w:val="000000"/>
                <w:sz w:val="18"/>
              </w:rPr>
              <w:t xml:space="preserve">12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348" w:right="0" w:firstLine="0"/>
              <w:jc w:val="left"/>
            </w:pPr>
            <w:r>
              <w:rPr>
                <w:rFonts w:ascii="宋体" w:hAnsi="宋体" w:eastAsia="宋体"/>
                <w:b w:val="0"/>
                <w:i w:val="0"/>
                <w:color w:val="000000"/>
                <w:sz w:val="18"/>
              </w:rPr>
              <w:t xml:space="preserve">山西证券股份有限公司长治分公司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144" w:firstLine="0"/>
              <w:jc w:val="left"/>
            </w:pPr>
            <w:r>
              <w:rPr>
                <w:rFonts w:ascii="宋体" w:hAnsi="宋体" w:eastAsia="宋体"/>
                <w:b w:val="0"/>
                <w:i w:val="0"/>
                <w:color w:val="000000"/>
                <w:sz w:val="18"/>
              </w:rPr>
              <w:t>山西省长治市太行西街66 号潞鼎国际金融</w:t>
            </w:r>
            <w:r>
              <w:rPr>
                <w:rFonts w:ascii="宋体" w:hAnsi="宋体" w:eastAsia="宋体"/>
                <w:b w:val="0"/>
                <w:i w:val="0"/>
                <w:color w:val="000000"/>
                <w:sz w:val="18"/>
              </w:rPr>
              <w:t xml:space="preserve">中心B 座11 层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10" w:right="0" w:firstLine="0"/>
              <w:jc w:val="left"/>
            </w:pPr>
            <w:r>
              <w:rPr>
                <w:rFonts w:ascii="宋体" w:hAnsi="宋体" w:eastAsia="宋体"/>
                <w:b w:val="0"/>
                <w:i w:val="0"/>
                <w:color w:val="000000"/>
                <w:sz w:val="18"/>
              </w:rPr>
              <w:t xml:space="preserve">2013.07.26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48" w:right="0" w:firstLine="0"/>
              <w:jc w:val="left"/>
            </w:pPr>
            <w:r>
              <w:rPr>
                <w:rFonts w:ascii="宋体" w:hAnsi="宋体" w:eastAsia="宋体"/>
                <w:b w:val="0"/>
                <w:i w:val="0"/>
                <w:color w:val="000000"/>
                <w:sz w:val="18"/>
              </w:rPr>
              <w:t xml:space="preserve">张俊德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92" w:right="0" w:firstLine="0"/>
              <w:jc w:val="left"/>
            </w:pPr>
            <w:r>
              <w:rPr>
                <w:rFonts w:ascii="宋体" w:hAnsi="宋体" w:eastAsia="宋体"/>
                <w:b w:val="0"/>
                <w:i w:val="0"/>
                <w:color w:val="000000"/>
                <w:sz w:val="18"/>
              </w:rPr>
              <w:t xml:space="preserve">0355-3014158 </w:t>
            </w:r>
          </w:p>
        </w:tc>
      </w:tr>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13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山西证券股份有限公司北京分公司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北京市海淀区高粱桥斜街13 号院甲33 号楼</w:t>
            </w:r>
            <w:r>
              <w:rPr>
                <w:rFonts w:ascii="宋体" w:hAnsi="宋体" w:eastAsia="宋体"/>
                <w:b w:val="0"/>
                <w:i w:val="0"/>
                <w:color w:val="000000"/>
                <w:sz w:val="18"/>
              </w:rPr>
              <w:t xml:space="preserve">二层201 室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2013.11.01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候  鑫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010-62236859 </w:t>
            </w:r>
          </w:p>
        </w:tc>
      </w:tr>
      <w:tr>
        <w:trPr>
          <w:trHeight w:hRule="exact" w:val="610"/>
        </w:trPr>
        <w:tc>
          <w:tcPr>
            <w:tcW w:type="dxa" w:w="42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14 </w:t>
            </w:r>
          </w:p>
        </w:tc>
        <w:tc>
          <w:tcPr>
            <w:tcW w:type="dxa" w:w="340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山西证券股份有限公司上海分公司 </w:t>
            </w:r>
          </w:p>
        </w:tc>
        <w:tc>
          <w:tcPr>
            <w:tcW w:type="dxa" w:w="364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82" w:lineRule="exact" w:before="0" w:after="0"/>
              <w:ind w:left="104" w:right="288" w:firstLine="0"/>
              <w:jc w:val="left"/>
            </w:pPr>
            <w:r>
              <w:rPr>
                <w:rFonts w:ascii="宋体" w:hAnsi="宋体" w:eastAsia="宋体"/>
                <w:b w:val="0"/>
                <w:i w:val="0"/>
                <w:color w:val="000000"/>
                <w:sz w:val="18"/>
              </w:rPr>
              <w:t>上海市虹口区东大名路1158 号主楼2 层</w:t>
            </w:r>
            <w:r>
              <w:rPr>
                <w:rFonts w:ascii="宋体" w:hAnsi="宋体" w:eastAsia="宋体"/>
                <w:b w:val="0"/>
                <w:i w:val="0"/>
                <w:color w:val="000000"/>
                <w:sz w:val="18"/>
              </w:rPr>
              <w:t xml:space="preserve">01/02 单元 </w:t>
            </w:r>
          </w:p>
        </w:tc>
        <w:tc>
          <w:tcPr>
            <w:tcW w:type="dxa" w:w="113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2013.10.24 </w:t>
            </w:r>
          </w:p>
        </w:tc>
        <w:tc>
          <w:tcPr>
            <w:tcW w:type="dxa" w:w="84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马众钰 </w:t>
            </w:r>
          </w:p>
        </w:tc>
        <w:tc>
          <w:tcPr>
            <w:tcW w:type="dxa" w:w="147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36" w:after="0"/>
              <w:ind w:left="192" w:right="0" w:firstLine="0"/>
              <w:jc w:val="left"/>
            </w:pPr>
            <w:r>
              <w:rPr>
                <w:rFonts w:ascii="宋体" w:hAnsi="宋体" w:eastAsia="宋体"/>
                <w:b w:val="0"/>
                <w:i w:val="0"/>
                <w:color w:val="000000"/>
                <w:sz w:val="18"/>
              </w:rPr>
              <w:t xml:space="preserve">021-66989165 </w:t>
            </w:r>
          </w:p>
        </w:tc>
      </w:tr>
      <w:tr>
        <w:trPr>
          <w:trHeight w:hRule="exact" w:val="610"/>
        </w:trPr>
        <w:tc>
          <w:tcPr>
            <w:tcW w:type="dxa" w:w="42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0" w:right="26" w:firstLine="0"/>
              <w:jc w:val="right"/>
            </w:pPr>
            <w:r>
              <w:rPr>
                <w:rFonts w:ascii="宋体" w:hAnsi="宋体" w:eastAsia="宋体"/>
                <w:b w:val="0"/>
                <w:i w:val="0"/>
                <w:color w:val="000000"/>
                <w:sz w:val="18"/>
              </w:rPr>
              <w:t xml:space="preserve">15 </w:t>
            </w:r>
          </w:p>
        </w:tc>
        <w:tc>
          <w:tcPr>
            <w:tcW w:type="dxa" w:w="340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348" w:right="0" w:firstLine="0"/>
              <w:jc w:val="left"/>
            </w:pPr>
            <w:r>
              <w:rPr>
                <w:rFonts w:ascii="宋体" w:hAnsi="宋体" w:eastAsia="宋体"/>
                <w:b w:val="0"/>
                <w:i w:val="0"/>
                <w:color w:val="000000"/>
                <w:sz w:val="18"/>
              </w:rPr>
              <w:t xml:space="preserve">山西证券股份有限公司深圳分公司 </w:t>
            </w:r>
          </w:p>
        </w:tc>
        <w:tc>
          <w:tcPr>
            <w:tcW w:type="dxa" w:w="364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广东省深圳市福田区华强北街道华航社区华</w:t>
            </w:r>
            <w:r>
              <w:rPr>
                <w:rFonts w:ascii="宋体" w:hAnsi="宋体" w:eastAsia="宋体"/>
                <w:b w:val="0"/>
                <w:i w:val="0"/>
                <w:color w:val="000000"/>
                <w:sz w:val="18"/>
              </w:rPr>
              <w:t xml:space="preserve">富路1006 号航都大厦501 </w:t>
            </w:r>
          </w:p>
        </w:tc>
        <w:tc>
          <w:tcPr>
            <w:tcW w:type="dxa" w:w="113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10" w:right="0" w:firstLine="0"/>
              <w:jc w:val="left"/>
            </w:pPr>
            <w:r>
              <w:rPr>
                <w:rFonts w:ascii="宋体" w:hAnsi="宋体" w:eastAsia="宋体"/>
                <w:b w:val="0"/>
                <w:i w:val="0"/>
                <w:color w:val="000000"/>
                <w:sz w:val="18"/>
              </w:rPr>
              <w:t xml:space="preserve">2019.07.29 </w:t>
            </w:r>
          </w:p>
        </w:tc>
        <w:tc>
          <w:tcPr>
            <w:tcW w:type="dxa" w:w="84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48" w:right="0" w:firstLine="0"/>
              <w:jc w:val="left"/>
            </w:pPr>
            <w:r>
              <w:rPr>
                <w:rFonts w:ascii="宋体" w:hAnsi="宋体" w:eastAsia="宋体"/>
                <w:b w:val="0"/>
                <w:i w:val="0"/>
                <w:color w:val="000000"/>
                <w:sz w:val="18"/>
              </w:rPr>
              <w:t xml:space="preserve">王  军 </w:t>
            </w:r>
          </w:p>
        </w:tc>
        <w:tc>
          <w:tcPr>
            <w:tcW w:type="dxa" w:w="147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46" w:right="0" w:firstLine="0"/>
              <w:jc w:val="left"/>
            </w:pPr>
            <w:r>
              <w:rPr>
                <w:rFonts w:ascii="宋体" w:hAnsi="宋体" w:eastAsia="宋体"/>
                <w:b w:val="0"/>
                <w:i w:val="0"/>
                <w:color w:val="000000"/>
                <w:sz w:val="18"/>
              </w:rPr>
              <w:t xml:space="preserve">0755-83790858 </w:t>
            </w:r>
          </w:p>
        </w:tc>
      </w:tr>
    </w:tbl>
    <w:p>
      <w:pPr>
        <w:autoSpaceDN w:val="0"/>
        <w:autoSpaceDE w:val="0"/>
        <w:widowControl/>
        <w:spacing w:line="197" w:lineRule="auto" w:before="456" w:after="0"/>
        <w:ind w:left="0" w:right="0" w:firstLine="0"/>
        <w:jc w:val="center"/>
      </w:pPr>
      <w:r>
        <w:rPr>
          <w:rFonts w:ascii="Calibri" w:hAnsi="Calibri" w:eastAsia="Calibri"/>
          <w:b w:val="0"/>
          <w:i w:val="0"/>
          <w:color w:val="000000"/>
          <w:sz w:val="18"/>
        </w:rPr>
        <w:t xml:space="preserve">13 </w:t>
      </w:r>
    </w:p>
    <w:p>
      <w:pPr>
        <w:sectPr>
          <w:type w:val="continuous"/>
          <w:pgSz w:w="11904" w:h="16841"/>
          <w:pgMar w:top="424" w:right="464" w:bottom="446" w:left="484" w:header="720" w:footer="720" w:gutter="0"/>
          <w:cols/>
          <w:docGrid w:linePitch="360"/>
        </w:sectPr>
      </w:pPr>
    </w:p>
    <w:p>
      <w:pPr>
        <w:autoSpaceDN w:val="0"/>
        <w:autoSpaceDE w:val="0"/>
        <w:widowControl/>
        <w:spacing w:line="220" w:lineRule="exact" w:before="0" w:after="206"/>
        <w:ind w:left="0" w:right="0"/>
      </w:pPr>
    </w:p>
    <w:p>
      <w:pPr>
        <w:sectPr>
          <w:pgSz w:w="11904" w:h="16841"/>
          <w:pgMar w:top="424" w:right="464" w:bottom="446" w:left="484" w:header="720" w:footer="720" w:gutter="0"/>
          <w:cols/>
          <w:docGrid w:linePitch="360"/>
        </w:sectPr>
      </w:pPr>
    </w:p>
    <w:p>
      <w:pPr>
        <w:autoSpaceDN w:val="0"/>
        <w:autoSpaceDE w:val="0"/>
        <w:widowControl/>
        <w:spacing w:line="240" w:lineRule="auto" w:before="0" w:after="0"/>
        <w:ind w:left="650" w:right="0" w:firstLine="0"/>
        <w:jc w:val="left"/>
      </w:pPr>
      <w:r>
        <w:drawing>
          <wp:inline xmlns:a="http://schemas.openxmlformats.org/drawingml/2006/main" xmlns:pic="http://schemas.openxmlformats.org/drawingml/2006/picture">
            <wp:extent cx="1844039" cy="439419"/>
            <wp:docPr id="16" name="Picture 1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64" w:bottom="446" w:left="484" w:header="720" w:footer="720" w:gutter="0"/>
          <w:cols w:num="2" w:equalWidth="0">
            <w:col w:w="6056" w:space="0"/>
            <w:col w:w="4900" w:space="0"/>
          </w:cols>
          <w:docGrid w:linePitch="360"/>
        </w:sectPr>
      </w:pPr>
    </w:p>
    <w:p>
      <w:pPr>
        <w:autoSpaceDN w:val="0"/>
        <w:autoSpaceDE w:val="0"/>
        <w:widowControl/>
        <w:spacing w:line="200" w:lineRule="exact" w:before="0" w:after="30"/>
        <w:ind w:left="0" w:right="68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64" w:bottom="446" w:left="484" w:header="720" w:footer="720" w:gutter="0"/>
          <w:cols w:num="2" w:equalWidth="0">
            <w:col w:w="6056" w:space="0"/>
            <w:col w:w="490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826"/>
        <w:gridCol w:w="1826"/>
        <w:gridCol w:w="1826"/>
        <w:gridCol w:w="1826"/>
        <w:gridCol w:w="1826"/>
        <w:gridCol w:w="1826"/>
      </w:tblGrid>
      <w:tr>
        <w:trPr>
          <w:trHeight w:hRule="exact" w:val="6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0" w:right="26" w:firstLine="0"/>
              <w:jc w:val="right"/>
            </w:pPr>
            <w:r>
              <w:rPr>
                <w:rFonts w:ascii="宋体" w:hAnsi="宋体" w:eastAsia="宋体"/>
                <w:b w:val="0"/>
                <w:i w:val="0"/>
                <w:color w:val="000000"/>
                <w:sz w:val="18"/>
              </w:rPr>
              <w:t xml:space="preserve">16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348" w:right="0" w:firstLine="0"/>
              <w:jc w:val="left"/>
            </w:pPr>
            <w:r>
              <w:rPr>
                <w:rFonts w:ascii="宋体" w:hAnsi="宋体" w:eastAsia="宋体"/>
                <w:b w:val="0"/>
                <w:i w:val="0"/>
                <w:color w:val="000000"/>
                <w:sz w:val="18"/>
              </w:rPr>
              <w:t xml:space="preserve">山西证券股份有限公司湖南分公司 </w:t>
            </w:r>
          </w:p>
        </w:tc>
        <w:tc>
          <w:tcPr>
            <w:tcW w:type="dxa" w:w="364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80" w:lineRule="exact" w:before="0" w:after="0"/>
              <w:ind w:left="104" w:right="0" w:firstLine="0"/>
              <w:jc w:val="left"/>
            </w:pPr>
            <w:r>
              <w:rPr>
                <w:rFonts w:ascii="宋体" w:hAnsi="宋体" w:eastAsia="宋体"/>
                <w:b w:val="0"/>
                <w:i w:val="0"/>
                <w:color w:val="000000"/>
                <w:sz w:val="18"/>
              </w:rPr>
              <w:t>湖南省长沙市天心区劳动西路386 号（佳程</w:t>
            </w:r>
            <w:r>
              <w:rPr>
                <w:rFonts w:ascii="宋体" w:hAnsi="宋体" w:eastAsia="宋体"/>
                <w:b w:val="0"/>
                <w:i w:val="0"/>
                <w:color w:val="000000"/>
                <w:sz w:val="18"/>
              </w:rPr>
              <w:t xml:space="preserve">酒店）1 楼、17 楼 </w:t>
            </w:r>
          </w:p>
        </w:tc>
        <w:tc>
          <w:tcPr>
            <w:tcW w:type="dxa" w:w="113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10" w:right="0" w:firstLine="0"/>
              <w:jc w:val="left"/>
            </w:pPr>
            <w:r>
              <w:rPr>
                <w:rFonts w:ascii="宋体" w:hAnsi="宋体" w:eastAsia="宋体"/>
                <w:b w:val="0"/>
                <w:i w:val="0"/>
                <w:color w:val="000000"/>
                <w:sz w:val="18"/>
              </w:rPr>
              <w:t xml:space="preserve">2023.11.16 </w:t>
            </w:r>
          </w:p>
        </w:tc>
        <w:tc>
          <w:tcPr>
            <w:tcW w:type="dxa" w:w="84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48" w:right="0" w:firstLine="0"/>
              <w:jc w:val="left"/>
            </w:pPr>
            <w:r>
              <w:rPr>
                <w:rFonts w:ascii="宋体" w:hAnsi="宋体" w:eastAsia="宋体"/>
                <w:b w:val="0"/>
                <w:i w:val="0"/>
                <w:color w:val="000000"/>
                <w:sz w:val="18"/>
              </w:rPr>
              <w:t xml:space="preserve">王胜华 </w:t>
            </w:r>
          </w:p>
        </w:tc>
        <w:tc>
          <w:tcPr>
            <w:tcW w:type="dxa" w:w="147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46" w:right="0" w:firstLine="0"/>
              <w:jc w:val="left"/>
            </w:pPr>
            <w:r>
              <w:rPr>
                <w:rFonts w:ascii="宋体" w:hAnsi="宋体" w:eastAsia="宋体"/>
                <w:b w:val="0"/>
                <w:i w:val="0"/>
                <w:color w:val="000000"/>
                <w:sz w:val="18"/>
              </w:rPr>
              <w:t xml:space="preserve">0731-88845699 </w:t>
            </w:r>
          </w:p>
        </w:tc>
      </w:tr>
      <w:tr>
        <w:trPr>
          <w:trHeight w:hRule="exact" w:val="610"/>
        </w:trPr>
        <w:tc>
          <w:tcPr>
            <w:tcW w:type="dxa" w:w="42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17 </w:t>
            </w:r>
          </w:p>
        </w:tc>
        <w:tc>
          <w:tcPr>
            <w:tcW w:type="dxa" w:w="340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山西证券股份有限公司河南分公司 </w:t>
            </w:r>
          </w:p>
        </w:tc>
        <w:tc>
          <w:tcPr>
            <w:tcW w:type="dxa" w:w="364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河南自贸试验区郑州片区（郑东）商务外环</w:t>
            </w:r>
            <w:r>
              <w:rPr>
                <w:rFonts w:ascii="宋体" w:hAnsi="宋体" w:eastAsia="宋体"/>
                <w:b w:val="0"/>
                <w:i w:val="0"/>
                <w:color w:val="000000"/>
                <w:sz w:val="18"/>
              </w:rPr>
              <w:t xml:space="preserve">路2 号8 层802-805 室 </w:t>
            </w:r>
          </w:p>
        </w:tc>
        <w:tc>
          <w:tcPr>
            <w:tcW w:type="dxa" w:w="113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2023.12.08 </w:t>
            </w:r>
          </w:p>
        </w:tc>
        <w:tc>
          <w:tcPr>
            <w:tcW w:type="dxa" w:w="84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郭楠楠 </w:t>
            </w:r>
          </w:p>
        </w:tc>
        <w:tc>
          <w:tcPr>
            <w:tcW w:type="dxa" w:w="147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46" w:right="0" w:firstLine="0"/>
              <w:jc w:val="left"/>
            </w:pPr>
            <w:r>
              <w:rPr>
                <w:rFonts w:ascii="宋体" w:hAnsi="宋体" w:eastAsia="宋体"/>
                <w:b w:val="0"/>
                <w:i w:val="0"/>
                <w:color w:val="000000"/>
                <w:sz w:val="18"/>
              </w:rPr>
              <w:t xml:space="preserve">0371-55615696 </w:t>
            </w:r>
          </w:p>
        </w:tc>
      </w:tr>
      <w:tr>
        <w:trPr>
          <w:trHeight w:hRule="exact" w:val="610"/>
        </w:trPr>
        <w:tc>
          <w:tcPr>
            <w:tcW w:type="dxa" w:w="42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0" w:right="26" w:firstLine="0"/>
              <w:jc w:val="right"/>
            </w:pPr>
            <w:r>
              <w:rPr>
                <w:rFonts w:ascii="宋体" w:hAnsi="宋体" w:eastAsia="宋体"/>
                <w:b w:val="0"/>
                <w:i w:val="0"/>
                <w:color w:val="000000"/>
                <w:sz w:val="18"/>
              </w:rPr>
              <w:t xml:space="preserve">18 </w:t>
            </w:r>
          </w:p>
        </w:tc>
        <w:tc>
          <w:tcPr>
            <w:tcW w:type="dxa" w:w="340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348" w:right="0" w:firstLine="0"/>
              <w:jc w:val="left"/>
            </w:pPr>
            <w:r>
              <w:rPr>
                <w:rFonts w:ascii="宋体" w:hAnsi="宋体" w:eastAsia="宋体"/>
                <w:b w:val="0"/>
                <w:i w:val="0"/>
                <w:color w:val="000000"/>
                <w:sz w:val="18"/>
              </w:rPr>
              <w:t xml:space="preserve">山西证券股份有限公司江苏分公司 </w:t>
            </w:r>
          </w:p>
        </w:tc>
        <w:tc>
          <w:tcPr>
            <w:tcW w:type="dxa" w:w="364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江苏省南京市鼓楼区汉中路2 号亚太商务楼</w:t>
            </w:r>
            <w:r>
              <w:rPr>
                <w:rFonts w:ascii="宋体" w:hAnsi="宋体" w:eastAsia="宋体"/>
                <w:b w:val="0"/>
                <w:i w:val="0"/>
                <w:color w:val="000000"/>
                <w:sz w:val="18"/>
              </w:rPr>
              <w:t xml:space="preserve">20 层B 区 </w:t>
            </w:r>
          </w:p>
        </w:tc>
        <w:tc>
          <w:tcPr>
            <w:tcW w:type="dxa" w:w="113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10" w:right="0" w:firstLine="0"/>
              <w:jc w:val="left"/>
            </w:pPr>
            <w:r>
              <w:rPr>
                <w:rFonts w:ascii="宋体" w:hAnsi="宋体" w:eastAsia="宋体"/>
                <w:b w:val="0"/>
                <w:i w:val="0"/>
                <w:color w:val="000000"/>
                <w:sz w:val="18"/>
              </w:rPr>
              <w:t xml:space="preserve">2023.11.24 </w:t>
            </w:r>
          </w:p>
        </w:tc>
        <w:tc>
          <w:tcPr>
            <w:tcW w:type="dxa" w:w="84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48" w:right="0" w:firstLine="0"/>
              <w:jc w:val="left"/>
            </w:pPr>
            <w:r>
              <w:rPr>
                <w:rFonts w:ascii="宋体" w:hAnsi="宋体" w:eastAsia="宋体"/>
                <w:b w:val="0"/>
                <w:i w:val="0"/>
                <w:color w:val="000000"/>
                <w:sz w:val="18"/>
              </w:rPr>
              <w:t xml:space="preserve">朱先强 </w:t>
            </w:r>
          </w:p>
        </w:tc>
        <w:tc>
          <w:tcPr>
            <w:tcW w:type="dxa" w:w="147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8" w:after="0"/>
              <w:ind w:left="192" w:right="0" w:firstLine="0"/>
              <w:jc w:val="left"/>
            </w:pPr>
            <w:r>
              <w:rPr>
                <w:rFonts w:ascii="宋体" w:hAnsi="宋体" w:eastAsia="宋体"/>
                <w:b w:val="0"/>
                <w:i w:val="0"/>
                <w:color w:val="000000"/>
                <w:sz w:val="18"/>
              </w:rPr>
              <w:t xml:space="preserve">025-69787998 </w:t>
            </w:r>
          </w:p>
        </w:tc>
      </w:tr>
      <w:tr>
        <w:trPr>
          <w:trHeight w:hRule="exact" w:val="610"/>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19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山西证券股份有限公司山东分公司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0" w:firstLine="0"/>
              <w:jc w:val="left"/>
            </w:pPr>
            <w:r>
              <w:rPr>
                <w:rFonts w:ascii="宋体" w:hAnsi="宋体" w:eastAsia="宋体"/>
                <w:b w:val="0"/>
                <w:i w:val="0"/>
                <w:color w:val="000000"/>
                <w:sz w:val="18"/>
              </w:rPr>
              <w:t>山东省青岛市崂山区香港东路195 号8 号楼</w:t>
            </w:r>
            <w:r>
              <w:rPr>
                <w:rFonts w:ascii="宋体" w:hAnsi="宋体" w:eastAsia="宋体"/>
                <w:b w:val="0"/>
                <w:i w:val="0"/>
                <w:color w:val="000000"/>
                <w:sz w:val="18"/>
              </w:rPr>
              <w:t xml:space="preserve">501 户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2025.02.20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张学忠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6" w:after="0"/>
              <w:ind w:left="146" w:right="0" w:firstLine="0"/>
              <w:jc w:val="left"/>
            </w:pPr>
            <w:r>
              <w:rPr>
                <w:rFonts w:ascii="宋体" w:hAnsi="宋体" w:eastAsia="宋体"/>
                <w:b w:val="0"/>
                <w:i w:val="0"/>
                <w:color w:val="000000"/>
                <w:sz w:val="18"/>
              </w:rPr>
              <w:t xml:space="preserve">0532-80999145 </w:t>
            </w:r>
          </w:p>
        </w:tc>
      </w:tr>
      <w:tr>
        <w:trPr>
          <w:trHeight w:hRule="exact" w:val="612"/>
        </w:trPr>
        <w:tc>
          <w:tcPr>
            <w:tcW w:type="dxa" w:w="42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0" w:right="26" w:firstLine="0"/>
              <w:jc w:val="right"/>
            </w:pPr>
            <w:r>
              <w:rPr>
                <w:rFonts w:ascii="宋体" w:hAnsi="宋体" w:eastAsia="宋体"/>
                <w:b w:val="0"/>
                <w:i w:val="0"/>
                <w:color w:val="000000"/>
                <w:sz w:val="18"/>
              </w:rPr>
              <w:t xml:space="preserve">20 </w:t>
            </w:r>
          </w:p>
        </w:tc>
        <w:tc>
          <w:tcPr>
            <w:tcW w:type="dxa" w:w="340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348" w:right="0" w:firstLine="0"/>
              <w:jc w:val="left"/>
            </w:pPr>
            <w:r>
              <w:rPr>
                <w:rFonts w:ascii="宋体" w:hAnsi="宋体" w:eastAsia="宋体"/>
                <w:b w:val="0"/>
                <w:i w:val="0"/>
                <w:color w:val="000000"/>
                <w:sz w:val="18"/>
              </w:rPr>
              <w:t xml:space="preserve">山西证券股份有限公司浙江分公司 </w:t>
            </w:r>
          </w:p>
        </w:tc>
        <w:tc>
          <w:tcPr>
            <w:tcW w:type="dxa" w:w="364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84" w:lineRule="exact" w:before="0" w:after="0"/>
              <w:ind w:left="104" w:right="144" w:firstLine="0"/>
              <w:jc w:val="left"/>
            </w:pPr>
            <w:r>
              <w:rPr>
                <w:rFonts w:ascii="宋体" w:hAnsi="宋体" w:eastAsia="宋体"/>
                <w:b w:val="0"/>
                <w:i w:val="0"/>
                <w:color w:val="000000"/>
                <w:sz w:val="18"/>
              </w:rPr>
              <w:t>浙江省杭州市上城区四季青街道五星路188</w:t>
            </w:r>
            <w:r>
              <w:rPr>
                <w:rFonts w:ascii="宋体" w:hAnsi="宋体" w:eastAsia="宋体"/>
                <w:b w:val="0"/>
                <w:i w:val="0"/>
                <w:color w:val="000000"/>
                <w:sz w:val="18"/>
              </w:rPr>
              <w:t xml:space="preserve">号荣安大厦2101 室 </w:t>
            </w:r>
          </w:p>
        </w:tc>
        <w:tc>
          <w:tcPr>
            <w:tcW w:type="dxa" w:w="113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10" w:right="0" w:firstLine="0"/>
              <w:jc w:val="left"/>
            </w:pPr>
            <w:r>
              <w:rPr>
                <w:rFonts w:ascii="宋体" w:hAnsi="宋体" w:eastAsia="宋体"/>
                <w:b w:val="0"/>
                <w:i w:val="0"/>
                <w:color w:val="000000"/>
                <w:sz w:val="18"/>
              </w:rPr>
              <w:t xml:space="preserve">2025.03.07 </w:t>
            </w:r>
          </w:p>
        </w:tc>
        <w:tc>
          <w:tcPr>
            <w:tcW w:type="dxa" w:w="84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48" w:right="0" w:firstLine="0"/>
              <w:jc w:val="left"/>
            </w:pPr>
            <w:r>
              <w:rPr>
                <w:rFonts w:ascii="宋体" w:hAnsi="宋体" w:eastAsia="宋体"/>
                <w:b w:val="0"/>
                <w:i w:val="0"/>
                <w:color w:val="000000"/>
                <w:sz w:val="18"/>
              </w:rPr>
              <w:t xml:space="preserve">饶书华 </w:t>
            </w:r>
          </w:p>
        </w:tc>
        <w:tc>
          <w:tcPr>
            <w:tcW w:type="dxa" w:w="147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6" w:after="0"/>
              <w:ind w:left="146" w:right="0" w:firstLine="0"/>
              <w:jc w:val="left"/>
            </w:pPr>
            <w:r>
              <w:rPr>
                <w:rFonts w:ascii="宋体" w:hAnsi="宋体" w:eastAsia="宋体"/>
                <w:b w:val="0"/>
                <w:i w:val="0"/>
                <w:color w:val="000000"/>
                <w:sz w:val="18"/>
              </w:rPr>
              <w:t xml:space="preserve">0571-28253855 </w:t>
            </w:r>
          </w:p>
        </w:tc>
      </w:tr>
      <w:tr>
        <w:trPr>
          <w:trHeight w:hRule="exact" w:val="610"/>
        </w:trPr>
        <w:tc>
          <w:tcPr>
            <w:tcW w:type="dxa" w:w="42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0" w:right="26" w:firstLine="0"/>
              <w:jc w:val="right"/>
            </w:pPr>
            <w:r>
              <w:rPr>
                <w:rFonts w:ascii="宋体" w:hAnsi="宋体" w:eastAsia="宋体"/>
                <w:b w:val="0"/>
                <w:i w:val="0"/>
                <w:color w:val="000000"/>
                <w:sz w:val="18"/>
              </w:rPr>
              <w:t xml:space="preserve">21 </w:t>
            </w:r>
          </w:p>
        </w:tc>
        <w:tc>
          <w:tcPr>
            <w:tcW w:type="dxa" w:w="340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348" w:right="0" w:firstLine="0"/>
              <w:jc w:val="left"/>
            </w:pPr>
            <w:r>
              <w:rPr>
                <w:rFonts w:ascii="宋体" w:hAnsi="宋体" w:eastAsia="宋体"/>
                <w:b w:val="0"/>
                <w:i w:val="0"/>
                <w:color w:val="000000"/>
                <w:sz w:val="18"/>
              </w:rPr>
              <w:t xml:space="preserve">山西证券股份有限公司陕西分公司 </w:t>
            </w:r>
          </w:p>
        </w:tc>
        <w:tc>
          <w:tcPr>
            <w:tcW w:type="dxa" w:w="364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84" w:lineRule="exact" w:before="0" w:after="0"/>
              <w:ind w:left="104" w:right="288" w:firstLine="0"/>
              <w:jc w:val="left"/>
            </w:pPr>
            <w:r>
              <w:rPr>
                <w:rFonts w:ascii="宋体" w:hAnsi="宋体" w:eastAsia="宋体"/>
                <w:b w:val="0"/>
                <w:i w:val="0"/>
                <w:color w:val="000000"/>
                <w:sz w:val="18"/>
              </w:rPr>
              <w:t>陕西省西安市高新区唐延路天一国际大厦</w:t>
            </w:r>
            <w:r>
              <w:rPr>
                <w:rFonts w:ascii="宋体" w:hAnsi="宋体" w:eastAsia="宋体"/>
                <w:b w:val="0"/>
                <w:i w:val="0"/>
                <w:color w:val="000000"/>
                <w:sz w:val="18"/>
              </w:rPr>
              <w:t xml:space="preserve">14 层02、03、04 号 </w:t>
            </w:r>
          </w:p>
        </w:tc>
        <w:tc>
          <w:tcPr>
            <w:tcW w:type="dxa" w:w="113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10" w:right="0" w:firstLine="0"/>
              <w:jc w:val="left"/>
            </w:pPr>
            <w:r>
              <w:rPr>
                <w:rFonts w:ascii="宋体" w:hAnsi="宋体" w:eastAsia="宋体"/>
                <w:b w:val="0"/>
                <w:i w:val="0"/>
                <w:color w:val="000000"/>
                <w:sz w:val="18"/>
              </w:rPr>
              <w:t xml:space="preserve">2025.03.07 </w:t>
            </w:r>
          </w:p>
        </w:tc>
        <w:tc>
          <w:tcPr>
            <w:tcW w:type="dxa" w:w="84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48" w:right="0" w:firstLine="0"/>
              <w:jc w:val="left"/>
            </w:pPr>
            <w:r>
              <w:rPr>
                <w:rFonts w:ascii="宋体" w:hAnsi="宋体" w:eastAsia="宋体"/>
                <w:b w:val="0"/>
                <w:i w:val="0"/>
                <w:color w:val="000000"/>
                <w:sz w:val="18"/>
              </w:rPr>
              <w:t xml:space="preserve">王超电 </w:t>
            </w:r>
          </w:p>
        </w:tc>
        <w:tc>
          <w:tcPr>
            <w:tcW w:type="dxa" w:w="147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4" w:after="0"/>
              <w:ind w:left="192" w:right="0" w:firstLine="0"/>
              <w:jc w:val="left"/>
            </w:pPr>
            <w:r>
              <w:rPr>
                <w:rFonts w:ascii="宋体" w:hAnsi="宋体" w:eastAsia="宋体"/>
                <w:b w:val="0"/>
                <w:i w:val="0"/>
                <w:color w:val="000000"/>
                <w:sz w:val="18"/>
              </w:rPr>
              <w:t xml:space="preserve">029-88497888 </w:t>
            </w:r>
          </w:p>
        </w:tc>
      </w:tr>
      <w:tr>
        <w:trPr>
          <w:trHeight w:hRule="exact" w:val="608"/>
        </w:trPr>
        <w:tc>
          <w:tcPr>
            <w:tcW w:type="dxa" w:w="4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0" w:right="26" w:firstLine="0"/>
              <w:jc w:val="right"/>
            </w:pPr>
            <w:r>
              <w:rPr>
                <w:rFonts w:ascii="宋体" w:hAnsi="宋体" w:eastAsia="宋体"/>
                <w:b w:val="0"/>
                <w:i w:val="0"/>
                <w:color w:val="000000"/>
                <w:sz w:val="18"/>
              </w:rPr>
              <w:t xml:space="preserve">22 </w:t>
            </w:r>
          </w:p>
        </w:tc>
        <w:tc>
          <w:tcPr>
            <w:tcW w:type="dxa" w:w="34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168" w:right="0" w:firstLine="0"/>
              <w:jc w:val="left"/>
            </w:pPr>
            <w:r>
              <w:rPr>
                <w:rFonts w:ascii="宋体" w:hAnsi="宋体" w:eastAsia="宋体"/>
                <w:b w:val="0"/>
                <w:i w:val="0"/>
                <w:color w:val="000000"/>
                <w:sz w:val="18"/>
              </w:rPr>
              <w:t xml:space="preserve">山西证券股份有限公司海南自营分公司 </w:t>
            </w:r>
          </w:p>
        </w:tc>
        <w:tc>
          <w:tcPr>
            <w:tcW w:type="dxa" w:w="36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2" w:lineRule="exact" w:before="0" w:after="0"/>
              <w:ind w:left="104" w:right="144" w:firstLine="0"/>
              <w:jc w:val="left"/>
            </w:pPr>
            <w:r>
              <w:rPr>
                <w:rFonts w:ascii="宋体" w:hAnsi="宋体" w:eastAsia="宋体"/>
                <w:b w:val="0"/>
                <w:i w:val="0"/>
                <w:color w:val="000000"/>
                <w:sz w:val="18"/>
              </w:rPr>
              <w:t>海南省海口市江东新区兴洋大道181 号205</w:t>
            </w:r>
            <w:r>
              <w:rPr>
                <w:rFonts w:ascii="宋体" w:hAnsi="宋体" w:eastAsia="宋体"/>
                <w:b w:val="0"/>
                <w:i w:val="0"/>
                <w:color w:val="000000"/>
                <w:sz w:val="18"/>
              </w:rPr>
              <w:t xml:space="preserve">号-2609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0" w:right="0" w:firstLine="0"/>
              <w:jc w:val="center"/>
            </w:pPr>
            <w:r>
              <w:rPr>
                <w:rFonts w:ascii="宋体" w:hAnsi="宋体" w:eastAsia="宋体"/>
                <w:b w:val="0"/>
                <w:i w:val="0"/>
                <w:color w:val="000000"/>
                <w:sz w:val="18"/>
              </w:rPr>
              <w:t xml:space="preserve">2021.04.28 </w:t>
            </w:r>
          </w:p>
        </w:tc>
        <w:tc>
          <w:tcPr>
            <w:tcW w:type="dxa" w:w="84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148" w:right="0" w:firstLine="0"/>
              <w:jc w:val="left"/>
            </w:pPr>
            <w:r>
              <w:rPr>
                <w:rFonts w:ascii="宋体" w:hAnsi="宋体" w:eastAsia="宋体"/>
                <w:b w:val="0"/>
                <w:i w:val="0"/>
                <w:color w:val="000000"/>
                <w:sz w:val="18"/>
              </w:rPr>
              <w:t xml:space="preserve">赵  雪 </w:t>
            </w:r>
          </w:p>
        </w:tc>
        <w:tc>
          <w:tcPr>
            <w:tcW w:type="dxa" w:w="14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146" w:right="0" w:firstLine="0"/>
              <w:jc w:val="left"/>
            </w:pPr>
            <w:r>
              <w:rPr>
                <w:rFonts w:ascii="宋体" w:hAnsi="宋体" w:eastAsia="宋体"/>
                <w:b w:val="0"/>
                <w:i w:val="0"/>
                <w:color w:val="000000"/>
                <w:sz w:val="18"/>
              </w:rPr>
              <w:t xml:space="preserve">0755-61868696 </w:t>
            </w:r>
          </w:p>
        </w:tc>
      </w:tr>
    </w:tbl>
    <w:p>
      <w:pPr>
        <w:autoSpaceDN w:val="0"/>
        <w:autoSpaceDE w:val="0"/>
        <w:widowControl/>
        <w:spacing w:line="210" w:lineRule="exact" w:before="344" w:after="328"/>
        <w:ind w:left="650" w:right="0" w:firstLine="0"/>
        <w:jc w:val="left"/>
      </w:pPr>
      <w:r>
        <w:rPr>
          <w:rFonts w:ascii="宋体" w:hAnsi="宋体" w:eastAsia="宋体"/>
          <w:b w:val="0"/>
          <w:i w:val="0"/>
          <w:color w:val="000000"/>
          <w:sz w:val="21"/>
        </w:rPr>
        <w:t xml:space="preserve">3、境内外控股子公司、参股公司 </w:t>
      </w:r>
    </w:p>
    <w:tbl>
      <w:tblPr>
        <w:tblW w:type="auto" w:w="0"/>
        <w:tblLayout w:type="fixed"/>
        <w:tblLook w:firstColumn="1" w:firstRow="1" w:lastColumn="0" w:lastRow="0" w:noHBand="0" w:noVBand="1" w:val="04A0"/>
        <w:tblInd w:w="26.000000000000014" w:type="dxa"/>
      </w:tblPr>
      <w:tblGrid>
        <w:gridCol w:w="1565"/>
        <w:gridCol w:w="1565"/>
        <w:gridCol w:w="1565"/>
        <w:gridCol w:w="1565"/>
        <w:gridCol w:w="1565"/>
        <w:gridCol w:w="1565"/>
        <w:gridCol w:w="1565"/>
      </w:tblGrid>
      <w:tr>
        <w:trPr>
          <w:trHeight w:hRule="exact" w:val="408"/>
        </w:trPr>
        <w:tc>
          <w:tcPr>
            <w:tcW w:type="dxa" w:w="2838"/>
            <w:tcBorders>
              <w:start w:sz="2.4000000000000057" w:val="single" w:color="#000000"/>
              <w:top w:sz="2.400000000000091"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0" w:right="870" w:firstLine="0"/>
              <w:jc w:val="right"/>
            </w:pPr>
            <w:r>
              <w:rPr>
                <w:rFonts w:ascii="宋体" w:hAnsi="宋体" w:eastAsia="宋体"/>
                <w:b w:val="0"/>
                <w:i w:val="0"/>
                <w:color w:val="000000"/>
                <w:sz w:val="18"/>
              </w:rPr>
              <w:t xml:space="preserve">子公司名称 </w:t>
            </w:r>
          </w:p>
        </w:tc>
        <w:tc>
          <w:tcPr>
            <w:tcW w:type="dxa" w:w="2412"/>
            <w:tcBorders>
              <w:start w:sz="2.3999999999998636"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0" w:right="754" w:firstLine="0"/>
              <w:jc w:val="right"/>
            </w:pPr>
            <w:r>
              <w:rPr>
                <w:rFonts w:ascii="宋体" w:hAnsi="宋体" w:eastAsia="宋体"/>
                <w:b w:val="0"/>
                <w:i w:val="0"/>
                <w:color w:val="000000"/>
                <w:sz w:val="18"/>
              </w:rPr>
              <w:t xml:space="preserve">注册地址 </w:t>
            </w:r>
          </w:p>
        </w:tc>
        <w:tc>
          <w:tcPr>
            <w:tcW w:type="dxa" w:w="1132"/>
            <w:tcBorders>
              <w:start w:sz="2.400000000000091"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200" w:right="0" w:firstLine="0"/>
              <w:jc w:val="left"/>
            </w:pPr>
            <w:r>
              <w:rPr>
                <w:rFonts w:ascii="宋体" w:hAnsi="宋体" w:eastAsia="宋体"/>
                <w:b w:val="0"/>
                <w:i w:val="0"/>
                <w:color w:val="000000"/>
                <w:sz w:val="18"/>
              </w:rPr>
              <w:t xml:space="preserve">设立时间 </w:t>
            </w:r>
          </w:p>
        </w:tc>
        <w:tc>
          <w:tcPr>
            <w:tcW w:type="dxa" w:w="1384"/>
            <w:tcBorders>
              <w:start w:sz="1.599999999999909" w:val="single" w:color="#000000"/>
              <w:top w:sz="2.400000000000091"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328" w:right="0" w:firstLine="0"/>
              <w:jc w:val="left"/>
            </w:pPr>
            <w:r>
              <w:rPr>
                <w:rFonts w:ascii="宋体" w:hAnsi="宋体" w:eastAsia="宋体"/>
                <w:b w:val="0"/>
                <w:i w:val="0"/>
                <w:color w:val="000000"/>
                <w:sz w:val="18"/>
              </w:rPr>
              <w:t xml:space="preserve">注册资本 </w:t>
            </w:r>
          </w:p>
        </w:tc>
        <w:tc>
          <w:tcPr>
            <w:tcW w:type="dxa" w:w="848"/>
            <w:tcBorders>
              <w:start w:sz="2.399999999999636"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32" w:after="0"/>
              <w:ind w:left="124" w:right="0" w:firstLine="0"/>
              <w:jc w:val="left"/>
            </w:pPr>
            <w:r>
              <w:rPr>
                <w:rFonts w:ascii="宋体" w:hAnsi="宋体" w:eastAsia="宋体"/>
                <w:b w:val="0"/>
                <w:i w:val="0"/>
                <w:color w:val="000000"/>
                <w:sz w:val="18"/>
              </w:rPr>
              <w:t xml:space="preserve">持股比例 </w:t>
            </w:r>
          </w:p>
        </w:tc>
        <w:tc>
          <w:tcPr>
            <w:tcW w:type="dxa" w:w="854"/>
            <w:tcBorders>
              <w:start w:sz="1.599999999999909"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154" w:right="0" w:firstLine="0"/>
              <w:jc w:val="left"/>
            </w:pPr>
            <w:r>
              <w:rPr>
                <w:rFonts w:ascii="宋体" w:hAnsi="宋体" w:eastAsia="宋体"/>
                <w:b w:val="0"/>
                <w:i w:val="0"/>
                <w:color w:val="000000"/>
                <w:sz w:val="18"/>
              </w:rPr>
              <w:t xml:space="preserve">负责人 </w:t>
            </w:r>
          </w:p>
        </w:tc>
        <w:tc>
          <w:tcPr>
            <w:tcW w:type="dxa" w:w="1414"/>
            <w:tcBorders>
              <w:start w:sz="2.400000000000091" w:val="single" w:color="#000000"/>
              <w:top w:sz="2.400000000000091"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180" w:lineRule="exact" w:before="140" w:after="0"/>
              <w:ind w:left="342" w:right="0" w:firstLine="0"/>
              <w:jc w:val="left"/>
            </w:pPr>
            <w:r>
              <w:rPr>
                <w:rFonts w:ascii="宋体" w:hAnsi="宋体" w:eastAsia="宋体"/>
                <w:b w:val="0"/>
                <w:i w:val="0"/>
                <w:color w:val="000000"/>
                <w:sz w:val="18"/>
              </w:rPr>
              <w:t xml:space="preserve">联系电话 </w:t>
            </w:r>
          </w:p>
        </w:tc>
      </w:tr>
      <w:tr>
        <w:trPr>
          <w:trHeight w:hRule="exact" w:val="642"/>
        </w:trPr>
        <w:tc>
          <w:tcPr>
            <w:tcW w:type="dxa" w:w="2838"/>
            <w:tcBorders>
              <w:start w:sz="2.4000000000000057"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60" w:after="0"/>
              <w:ind w:left="586" w:right="0" w:firstLine="0"/>
              <w:jc w:val="left"/>
            </w:pPr>
            <w:r>
              <w:rPr>
                <w:rFonts w:ascii="宋体" w:hAnsi="宋体" w:eastAsia="宋体"/>
                <w:b w:val="0"/>
                <w:i w:val="0"/>
                <w:color w:val="000000"/>
                <w:sz w:val="18"/>
              </w:rPr>
              <w:t xml:space="preserve">中德证券有限责任公司 </w:t>
            </w:r>
          </w:p>
        </w:tc>
        <w:tc>
          <w:tcPr>
            <w:tcW w:type="dxa" w:w="2412"/>
            <w:tcBorders>
              <w:start w:sz="2.3999999999998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300" w:lineRule="exact" w:before="0" w:after="0"/>
              <w:ind w:left="106" w:right="0" w:firstLine="0"/>
              <w:jc w:val="left"/>
            </w:pPr>
            <w:r>
              <w:rPr>
                <w:rFonts w:ascii="宋体" w:hAnsi="宋体" w:eastAsia="宋体"/>
                <w:b w:val="0"/>
                <w:i w:val="0"/>
                <w:color w:val="000000"/>
                <w:sz w:val="18"/>
              </w:rPr>
              <w:t>北京市朝阳区建国路81 号</w:t>
            </w:r>
            <w:r>
              <w:rPr>
                <w:rFonts w:ascii="宋体" w:hAnsi="宋体" w:eastAsia="宋体"/>
                <w:b w:val="0"/>
                <w:i w:val="0"/>
                <w:color w:val="000000"/>
                <w:sz w:val="18"/>
              </w:rPr>
              <w:t xml:space="preserve">华贸中心1 号写字楼22 层 </w:t>
            </w:r>
          </w:p>
        </w:tc>
        <w:tc>
          <w:tcPr>
            <w:tcW w:type="dxa" w:w="113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0" w:after="0"/>
              <w:ind w:left="112" w:right="0" w:firstLine="0"/>
              <w:jc w:val="left"/>
            </w:pPr>
            <w:r>
              <w:rPr>
                <w:rFonts w:ascii="宋体" w:hAnsi="宋体" w:eastAsia="宋体"/>
                <w:b w:val="0"/>
                <w:i w:val="0"/>
                <w:color w:val="000000"/>
                <w:sz w:val="18"/>
              </w:rPr>
              <w:t xml:space="preserve">2009.04.10 </w:t>
            </w:r>
          </w:p>
        </w:tc>
        <w:tc>
          <w:tcPr>
            <w:tcW w:type="dxa" w:w="1384"/>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0" w:after="0"/>
              <w:ind w:left="126" w:right="0" w:firstLine="0"/>
              <w:jc w:val="left"/>
            </w:pPr>
            <w:r>
              <w:rPr>
                <w:rFonts w:ascii="宋体" w:hAnsi="宋体" w:eastAsia="宋体"/>
                <w:b w:val="0"/>
                <w:i w:val="0"/>
                <w:color w:val="000000"/>
                <w:sz w:val="18"/>
              </w:rPr>
              <w:t xml:space="preserve">10 亿元人民币 </w:t>
            </w:r>
          </w:p>
        </w:tc>
        <w:tc>
          <w:tcPr>
            <w:tcW w:type="dxa" w:w="848"/>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0" w:after="0"/>
              <w:ind w:left="150" w:right="0" w:firstLine="0"/>
              <w:jc w:val="left"/>
            </w:pPr>
            <w:r>
              <w:rPr>
                <w:rFonts w:ascii="宋体" w:hAnsi="宋体" w:eastAsia="宋体"/>
                <w:b w:val="0"/>
                <w:i w:val="0"/>
                <w:color w:val="000000"/>
                <w:sz w:val="18"/>
              </w:rPr>
              <w:t xml:space="preserve">66.70% </w:t>
            </w:r>
          </w:p>
        </w:tc>
        <w:tc>
          <w:tcPr>
            <w:tcW w:type="dxa" w:w="854"/>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60" w:after="0"/>
              <w:ind w:left="180" w:right="0" w:firstLine="0"/>
              <w:jc w:val="left"/>
            </w:pPr>
            <w:r>
              <w:rPr>
                <w:rFonts w:ascii="宋体" w:hAnsi="宋体" w:eastAsia="宋体"/>
                <w:b w:val="0"/>
                <w:i w:val="0"/>
                <w:color w:val="000000"/>
                <w:sz w:val="18"/>
              </w:rPr>
              <w:t xml:space="preserve">侯  巍 </w:t>
            </w:r>
          </w:p>
        </w:tc>
        <w:tc>
          <w:tcPr>
            <w:tcW w:type="dxa" w:w="1414"/>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0" w:after="0"/>
              <w:ind w:left="164" w:right="0" w:firstLine="0"/>
              <w:jc w:val="left"/>
            </w:pPr>
            <w:r>
              <w:rPr>
                <w:rFonts w:ascii="宋体" w:hAnsi="宋体" w:eastAsia="宋体"/>
                <w:b w:val="0"/>
                <w:i w:val="0"/>
                <w:color w:val="000000"/>
                <w:sz w:val="18"/>
              </w:rPr>
              <w:t xml:space="preserve">010-59026666 </w:t>
            </w:r>
          </w:p>
        </w:tc>
      </w:tr>
      <w:tr>
        <w:trPr>
          <w:trHeight w:hRule="exact" w:val="646"/>
        </w:trPr>
        <w:tc>
          <w:tcPr>
            <w:tcW w:type="dxa" w:w="2838"/>
            <w:tcBorders>
              <w:start w:sz="2.4000000000000057"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64" w:after="0"/>
              <w:ind w:left="160" w:right="0" w:firstLine="0"/>
              <w:jc w:val="left"/>
            </w:pPr>
            <w:r>
              <w:rPr>
                <w:rFonts w:ascii="宋体" w:hAnsi="宋体" w:eastAsia="宋体"/>
                <w:b w:val="0"/>
                <w:i w:val="0"/>
                <w:color w:val="000000"/>
                <w:sz w:val="18"/>
              </w:rPr>
              <w:t xml:space="preserve">山证（上海）资产管理有限公司 </w:t>
            </w:r>
          </w:p>
        </w:tc>
        <w:tc>
          <w:tcPr>
            <w:tcW w:type="dxa" w:w="2412"/>
            <w:tcBorders>
              <w:start w:sz="2.3999999999998636"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t>上海市静安区泰州路415 号</w:t>
            </w:r>
            <w:r>
              <w:rPr>
                <w:rFonts w:ascii="宋体" w:hAnsi="宋体" w:eastAsia="宋体"/>
                <w:b w:val="0"/>
                <w:i w:val="0"/>
                <w:color w:val="000000"/>
                <w:sz w:val="18"/>
              </w:rPr>
              <w:t xml:space="preserve">301 室 </w:t>
            </w:r>
          </w:p>
        </w:tc>
        <w:tc>
          <w:tcPr>
            <w:tcW w:type="dxa" w:w="1132"/>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4" w:after="0"/>
              <w:ind w:left="112" w:right="0" w:firstLine="0"/>
              <w:jc w:val="left"/>
            </w:pPr>
            <w:r>
              <w:rPr>
                <w:rFonts w:ascii="宋体" w:hAnsi="宋体" w:eastAsia="宋体"/>
                <w:b w:val="0"/>
                <w:i w:val="0"/>
                <w:color w:val="000000"/>
                <w:sz w:val="18"/>
              </w:rPr>
              <w:t xml:space="preserve">2021.11.09 </w:t>
            </w:r>
          </w:p>
        </w:tc>
        <w:tc>
          <w:tcPr>
            <w:tcW w:type="dxa" w:w="1384"/>
            <w:tcBorders>
              <w:start w:sz="1.599999999999909"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4" w:after="0"/>
              <w:ind w:left="174" w:right="0" w:firstLine="0"/>
              <w:jc w:val="left"/>
            </w:pPr>
            <w:r>
              <w:rPr>
                <w:rFonts w:ascii="宋体" w:hAnsi="宋体" w:eastAsia="宋体"/>
                <w:b w:val="0"/>
                <w:i w:val="0"/>
                <w:color w:val="000000"/>
                <w:sz w:val="18"/>
              </w:rPr>
              <w:t xml:space="preserve">5 亿元人民币 </w:t>
            </w:r>
          </w:p>
        </w:tc>
        <w:tc>
          <w:tcPr>
            <w:tcW w:type="dxa" w:w="848"/>
            <w:tcBorders>
              <w:start w:sz="2.399999999999636"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4" w:after="0"/>
              <w:ind w:left="0" w:right="150" w:firstLine="0"/>
              <w:jc w:val="right"/>
            </w:pPr>
            <w:r>
              <w:rPr>
                <w:rFonts w:ascii="宋体" w:hAnsi="宋体" w:eastAsia="宋体"/>
                <w:b w:val="0"/>
                <w:i w:val="0"/>
                <w:color w:val="000000"/>
                <w:sz w:val="18"/>
              </w:rPr>
              <w:t xml:space="preserve">100% </w:t>
            </w:r>
          </w:p>
        </w:tc>
        <w:tc>
          <w:tcPr>
            <w:tcW w:type="dxa" w:w="854"/>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64" w:after="0"/>
              <w:ind w:left="184" w:right="0" w:firstLine="0"/>
              <w:jc w:val="left"/>
            </w:pPr>
            <w:r>
              <w:rPr>
                <w:rFonts w:ascii="宋体" w:hAnsi="宋体" w:eastAsia="宋体"/>
                <w:b w:val="0"/>
                <w:i w:val="0"/>
                <w:color w:val="000000"/>
                <w:sz w:val="18"/>
              </w:rPr>
              <w:t xml:space="preserve">谢  卫 </w:t>
            </w:r>
          </w:p>
        </w:tc>
        <w:tc>
          <w:tcPr>
            <w:tcW w:type="dxa" w:w="1414"/>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4" w:after="0"/>
              <w:ind w:left="164" w:right="0" w:firstLine="0"/>
              <w:jc w:val="left"/>
            </w:pPr>
            <w:r>
              <w:rPr>
                <w:rFonts w:ascii="宋体" w:hAnsi="宋体" w:eastAsia="宋体"/>
                <w:b w:val="0"/>
                <w:i w:val="0"/>
                <w:color w:val="000000"/>
                <w:sz w:val="18"/>
              </w:rPr>
              <w:t xml:space="preserve">021-38126000 </w:t>
            </w:r>
          </w:p>
        </w:tc>
      </w:tr>
      <w:tr>
        <w:trPr>
          <w:trHeight w:hRule="exact" w:val="964"/>
        </w:trPr>
        <w:tc>
          <w:tcPr>
            <w:tcW w:type="dxa" w:w="2838"/>
            <w:tcBorders>
              <w:start w:sz="2.4000000000000057"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422" w:after="0"/>
              <w:ind w:left="520" w:right="0" w:firstLine="0"/>
              <w:jc w:val="left"/>
            </w:pPr>
            <w:r>
              <w:rPr>
                <w:rFonts w:ascii="宋体" w:hAnsi="宋体" w:eastAsia="宋体"/>
                <w:b w:val="0"/>
                <w:i w:val="0"/>
                <w:color w:val="000000"/>
                <w:sz w:val="18"/>
              </w:rPr>
              <w:t xml:space="preserve">格林大华期货有限公司 </w:t>
            </w:r>
          </w:p>
        </w:tc>
        <w:tc>
          <w:tcPr>
            <w:tcW w:type="dxa" w:w="2412"/>
            <w:tcBorders>
              <w:start w:sz="2.3999999999998636"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308" w:lineRule="exact" w:before="0" w:after="0"/>
              <w:ind w:left="106" w:right="0" w:firstLine="0"/>
              <w:jc w:val="left"/>
            </w:pPr>
            <w:r>
              <w:rPr>
                <w:rFonts w:ascii="宋体" w:hAnsi="宋体" w:eastAsia="宋体"/>
                <w:b w:val="0"/>
                <w:i w:val="0"/>
                <w:color w:val="000000"/>
                <w:sz w:val="18"/>
              </w:rPr>
              <w:t>北京市朝阳区建国门外大街</w:t>
            </w:r>
            <w:r>
              <w:rPr>
                <w:rFonts w:ascii="宋体" w:hAnsi="宋体" w:eastAsia="宋体"/>
                <w:b w:val="0"/>
                <w:i w:val="0"/>
                <w:color w:val="000000"/>
                <w:sz w:val="18"/>
              </w:rPr>
              <w:t>8 号楼29 层(实际楼层25</w:t>
            </w:r>
            <w:r>
              <w:rPr>
                <w:rFonts w:ascii="宋体" w:hAnsi="宋体" w:eastAsia="宋体"/>
                <w:b w:val="0"/>
                <w:i w:val="0"/>
                <w:color w:val="000000"/>
                <w:sz w:val="18"/>
              </w:rPr>
              <w:t xml:space="preserve">层)2501 单元 </w:t>
            </w:r>
          </w:p>
        </w:tc>
        <w:tc>
          <w:tcPr>
            <w:tcW w:type="dxa" w:w="1132"/>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422" w:after="0"/>
              <w:ind w:left="112" w:right="0" w:firstLine="0"/>
              <w:jc w:val="left"/>
            </w:pPr>
            <w:r>
              <w:rPr>
                <w:rFonts w:ascii="宋体" w:hAnsi="宋体" w:eastAsia="宋体"/>
                <w:b w:val="0"/>
                <w:i w:val="0"/>
                <w:color w:val="000000"/>
                <w:sz w:val="18"/>
              </w:rPr>
              <w:t xml:space="preserve">1993.02.28 </w:t>
            </w:r>
          </w:p>
        </w:tc>
        <w:tc>
          <w:tcPr>
            <w:tcW w:type="dxa" w:w="1384"/>
            <w:tcBorders>
              <w:start w:sz="1.599999999999909"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422" w:after="0"/>
              <w:ind w:left="128" w:right="0" w:firstLine="0"/>
              <w:jc w:val="left"/>
            </w:pPr>
            <w:r>
              <w:rPr>
                <w:rFonts w:ascii="宋体" w:hAnsi="宋体" w:eastAsia="宋体"/>
                <w:b w:val="0"/>
                <w:i w:val="0"/>
                <w:color w:val="000000"/>
                <w:sz w:val="18"/>
              </w:rPr>
              <w:t xml:space="preserve">13 亿元人民币 </w:t>
            </w:r>
          </w:p>
        </w:tc>
        <w:tc>
          <w:tcPr>
            <w:tcW w:type="dxa" w:w="848"/>
            <w:tcBorders>
              <w:start w:sz="2.399999999999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422" w:after="0"/>
              <w:ind w:left="0" w:right="150" w:firstLine="0"/>
              <w:jc w:val="right"/>
            </w:pPr>
            <w:r>
              <w:rPr>
                <w:rFonts w:ascii="宋体" w:hAnsi="宋体" w:eastAsia="宋体"/>
                <w:b w:val="0"/>
                <w:i w:val="0"/>
                <w:color w:val="000000"/>
                <w:sz w:val="18"/>
              </w:rPr>
              <w:t xml:space="preserve">100% </w:t>
            </w:r>
          </w:p>
        </w:tc>
        <w:tc>
          <w:tcPr>
            <w:tcW w:type="dxa" w:w="854"/>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422" w:after="0"/>
              <w:ind w:left="156" w:right="0" w:firstLine="0"/>
              <w:jc w:val="left"/>
            </w:pPr>
            <w:r>
              <w:rPr>
                <w:rFonts w:ascii="宋体" w:hAnsi="宋体" w:eastAsia="宋体"/>
                <w:b w:val="0"/>
                <w:i w:val="0"/>
                <w:color w:val="000000"/>
                <w:sz w:val="18"/>
              </w:rPr>
              <w:t xml:space="preserve">王永茂 </w:t>
            </w:r>
          </w:p>
        </w:tc>
        <w:tc>
          <w:tcPr>
            <w:tcW w:type="dxa" w:w="1414"/>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422" w:after="0"/>
              <w:ind w:left="164" w:right="0" w:firstLine="0"/>
              <w:jc w:val="left"/>
            </w:pPr>
            <w:r>
              <w:rPr>
                <w:rFonts w:ascii="宋体" w:hAnsi="宋体" w:eastAsia="宋体"/>
                <w:b w:val="0"/>
                <w:i w:val="0"/>
                <w:color w:val="000000"/>
                <w:sz w:val="18"/>
              </w:rPr>
              <w:t xml:space="preserve">010-56711700 </w:t>
            </w:r>
          </w:p>
        </w:tc>
      </w:tr>
      <w:tr>
        <w:trPr>
          <w:trHeight w:hRule="exact" w:val="646"/>
        </w:trPr>
        <w:tc>
          <w:tcPr>
            <w:tcW w:type="dxa" w:w="2838"/>
            <w:tcBorders>
              <w:start w:sz="2.4000000000000057"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62" w:after="0"/>
              <w:ind w:left="586" w:right="0" w:firstLine="0"/>
              <w:jc w:val="left"/>
            </w:pPr>
            <w:r>
              <w:rPr>
                <w:rFonts w:ascii="宋体" w:hAnsi="宋体" w:eastAsia="宋体"/>
                <w:b w:val="0"/>
                <w:i w:val="0"/>
                <w:color w:val="000000"/>
                <w:sz w:val="18"/>
              </w:rPr>
              <w:t xml:space="preserve">山证投资有限责任公司 </w:t>
            </w:r>
          </w:p>
        </w:tc>
        <w:tc>
          <w:tcPr>
            <w:tcW w:type="dxa" w:w="2412"/>
            <w:tcBorders>
              <w:start w:sz="2.3999999999998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300" w:lineRule="exact" w:before="0" w:after="0"/>
              <w:ind w:left="106" w:right="144" w:firstLine="0"/>
              <w:jc w:val="left"/>
            </w:pPr>
            <w:r>
              <w:rPr>
                <w:rFonts w:ascii="宋体" w:hAnsi="宋体" w:eastAsia="宋体"/>
                <w:b w:val="0"/>
                <w:i w:val="0"/>
                <w:color w:val="000000"/>
                <w:sz w:val="18"/>
              </w:rPr>
              <w:t>北京市西城区锦什坊街26</w:t>
            </w:r>
            <w:r>
              <w:rPr>
                <w:rFonts w:ascii="宋体" w:hAnsi="宋体" w:eastAsia="宋体"/>
                <w:b w:val="0"/>
                <w:i w:val="0"/>
                <w:color w:val="000000"/>
                <w:sz w:val="18"/>
              </w:rPr>
              <w:t xml:space="preserve">号楼3 层301-3 </w:t>
            </w:r>
          </w:p>
        </w:tc>
        <w:tc>
          <w:tcPr>
            <w:tcW w:type="dxa" w:w="113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2011.07.07 </w:t>
            </w:r>
          </w:p>
        </w:tc>
        <w:tc>
          <w:tcPr>
            <w:tcW w:type="dxa" w:w="1384"/>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2" w:after="0"/>
              <w:ind w:left="170" w:right="0" w:firstLine="0"/>
              <w:jc w:val="left"/>
            </w:pPr>
            <w:r>
              <w:rPr>
                <w:rFonts w:ascii="宋体" w:hAnsi="宋体" w:eastAsia="宋体"/>
                <w:b w:val="0"/>
                <w:i w:val="0"/>
                <w:color w:val="000000"/>
                <w:sz w:val="18"/>
              </w:rPr>
              <w:t xml:space="preserve">8 亿元人民币 </w:t>
            </w:r>
          </w:p>
        </w:tc>
        <w:tc>
          <w:tcPr>
            <w:tcW w:type="dxa" w:w="848"/>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2" w:after="0"/>
              <w:ind w:left="0" w:right="152" w:firstLine="0"/>
              <w:jc w:val="right"/>
            </w:pPr>
            <w:r>
              <w:rPr>
                <w:rFonts w:ascii="宋体" w:hAnsi="宋体" w:eastAsia="宋体"/>
                <w:b w:val="0"/>
                <w:i w:val="0"/>
                <w:color w:val="000000"/>
                <w:sz w:val="18"/>
              </w:rPr>
              <w:t xml:space="preserve">100% </w:t>
            </w:r>
          </w:p>
        </w:tc>
        <w:tc>
          <w:tcPr>
            <w:tcW w:type="dxa" w:w="854"/>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62" w:after="0"/>
              <w:ind w:left="174" w:right="0" w:firstLine="0"/>
              <w:jc w:val="left"/>
            </w:pPr>
            <w:r>
              <w:rPr>
                <w:rFonts w:ascii="宋体" w:hAnsi="宋体" w:eastAsia="宋体"/>
                <w:b w:val="0"/>
                <w:i w:val="0"/>
                <w:color w:val="000000"/>
                <w:sz w:val="18"/>
              </w:rPr>
              <w:t xml:space="preserve">王怡里 </w:t>
            </w:r>
          </w:p>
        </w:tc>
        <w:tc>
          <w:tcPr>
            <w:tcW w:type="dxa" w:w="1414"/>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62" w:after="0"/>
              <w:ind w:left="164" w:right="0" w:firstLine="0"/>
              <w:jc w:val="left"/>
            </w:pPr>
            <w:r>
              <w:rPr>
                <w:rFonts w:ascii="宋体" w:hAnsi="宋体" w:eastAsia="宋体"/>
                <w:b w:val="0"/>
                <w:i w:val="0"/>
                <w:color w:val="000000"/>
                <w:sz w:val="18"/>
              </w:rPr>
              <w:t xml:space="preserve">010-83777008 </w:t>
            </w:r>
          </w:p>
        </w:tc>
      </w:tr>
      <w:tr>
        <w:trPr>
          <w:trHeight w:hRule="exact" w:val="646"/>
        </w:trPr>
        <w:tc>
          <w:tcPr>
            <w:tcW w:type="dxa" w:w="2838"/>
            <w:tcBorders>
              <w:start w:sz="2.4000000000000057" w:val="single" w:color="#000000"/>
              <w:top w:sz="1.599999999999909" w:val="single" w:color="#000000"/>
              <w:end w:sz="2.3999999999998636" w:val="single" w:color="#000000"/>
              <w:bottom w:sz="1.5999999999994543" w:val="single" w:color="#000000"/>
            </w:tcBorders>
            <w:tcMar>
              <w:start w:w="0" w:type="dxa"/>
              <w:end w:w="0" w:type="dxa"/>
            </w:tcMar>
          </w:tcPr>
          <w:p>
            <w:pPr>
              <w:autoSpaceDN w:val="0"/>
              <w:autoSpaceDE w:val="0"/>
              <w:widowControl/>
              <w:spacing w:line="180" w:lineRule="exact" w:before="264" w:after="0"/>
              <w:ind w:left="586" w:right="0" w:firstLine="0"/>
              <w:jc w:val="left"/>
            </w:pPr>
            <w:r>
              <w:rPr>
                <w:rFonts w:ascii="宋体" w:hAnsi="宋体" w:eastAsia="宋体"/>
                <w:b w:val="0"/>
                <w:i w:val="0"/>
                <w:color w:val="000000"/>
                <w:sz w:val="18"/>
              </w:rPr>
              <w:t xml:space="preserve">山证创新投资有限公司 </w:t>
            </w:r>
          </w:p>
        </w:tc>
        <w:tc>
          <w:tcPr>
            <w:tcW w:type="dxa" w:w="2412"/>
            <w:tcBorders>
              <w:start w:sz="2.3999999999998636" w:val="single" w:color="#000000"/>
              <w:top w:sz="1.599999999999909" w:val="single" w:color="#000000"/>
              <w:end w:sz="2.400000000000091" w:val="single" w:color="#000000"/>
              <w:bottom w:sz="1.5999999999994543"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t>上海市静安区威海路696 号</w:t>
            </w:r>
            <w:r>
              <w:rPr>
                <w:rFonts w:ascii="宋体" w:hAnsi="宋体" w:eastAsia="宋体"/>
                <w:b w:val="0"/>
                <w:i w:val="0"/>
                <w:color w:val="000000"/>
                <w:sz w:val="18"/>
              </w:rPr>
              <w:t xml:space="preserve">9 幢302J 室 </w:t>
            </w:r>
          </w:p>
        </w:tc>
        <w:tc>
          <w:tcPr>
            <w:tcW w:type="dxa" w:w="1132"/>
            <w:tcBorders>
              <w:start w:sz="2.400000000000091" w:val="single" w:color="#000000"/>
              <w:top w:sz="1.599999999999909"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264" w:after="0"/>
              <w:ind w:left="112" w:right="0" w:firstLine="0"/>
              <w:jc w:val="left"/>
            </w:pPr>
            <w:r>
              <w:rPr>
                <w:rFonts w:ascii="宋体" w:hAnsi="宋体" w:eastAsia="宋体"/>
                <w:b w:val="0"/>
                <w:i w:val="0"/>
                <w:color w:val="000000"/>
                <w:sz w:val="18"/>
              </w:rPr>
              <w:t xml:space="preserve">2018.12.28 </w:t>
            </w:r>
          </w:p>
        </w:tc>
        <w:tc>
          <w:tcPr>
            <w:tcW w:type="dxa" w:w="1384"/>
            <w:tcBorders>
              <w:start w:sz="1.599999999999909" w:val="single" w:color="#000000"/>
              <w:top w:sz="1.599999999999909"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264" w:after="0"/>
              <w:ind w:left="126" w:right="0" w:firstLine="0"/>
              <w:jc w:val="left"/>
            </w:pPr>
            <w:r>
              <w:rPr>
                <w:rFonts w:ascii="宋体" w:hAnsi="宋体" w:eastAsia="宋体"/>
                <w:b w:val="0"/>
                <w:i w:val="0"/>
                <w:color w:val="000000"/>
                <w:sz w:val="18"/>
              </w:rPr>
              <w:t xml:space="preserve">17 亿元人民币 </w:t>
            </w:r>
          </w:p>
        </w:tc>
        <w:tc>
          <w:tcPr>
            <w:tcW w:type="dxa" w:w="848"/>
            <w:tcBorders>
              <w:start w:sz="2.399999999999636" w:val="single" w:color="#000000"/>
              <w:top w:sz="1.599999999999909"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264" w:after="0"/>
              <w:ind w:left="0" w:right="152" w:firstLine="0"/>
              <w:jc w:val="right"/>
            </w:pPr>
            <w:r>
              <w:rPr>
                <w:rFonts w:ascii="宋体" w:hAnsi="宋体" w:eastAsia="宋体"/>
                <w:b w:val="0"/>
                <w:i w:val="0"/>
                <w:color w:val="000000"/>
                <w:sz w:val="18"/>
              </w:rPr>
              <w:t xml:space="preserve">100% </w:t>
            </w:r>
          </w:p>
        </w:tc>
        <w:tc>
          <w:tcPr>
            <w:tcW w:type="dxa" w:w="854"/>
            <w:tcBorders>
              <w:start w:sz="1.599999999999909" w:val="single" w:color="#000000"/>
              <w:top w:sz="1.599999999999909" w:val="single" w:color="#000000"/>
              <w:end w:sz="2.400000000000091" w:val="single" w:color="#000000"/>
              <w:bottom w:sz="1.5999999999994543" w:val="single" w:color="#000000"/>
            </w:tcBorders>
            <w:tcMar>
              <w:start w:w="0" w:type="dxa"/>
              <w:end w:w="0" w:type="dxa"/>
            </w:tcMar>
          </w:tcPr>
          <w:p>
            <w:pPr>
              <w:autoSpaceDN w:val="0"/>
              <w:autoSpaceDE w:val="0"/>
              <w:widowControl/>
              <w:spacing w:line="180" w:lineRule="exact" w:before="264" w:after="0"/>
              <w:ind w:left="174" w:right="0" w:firstLine="0"/>
              <w:jc w:val="left"/>
            </w:pPr>
            <w:r>
              <w:rPr>
                <w:rFonts w:ascii="宋体" w:hAnsi="宋体" w:eastAsia="宋体"/>
                <w:b w:val="0"/>
                <w:i w:val="0"/>
                <w:color w:val="000000"/>
                <w:sz w:val="18"/>
              </w:rPr>
              <w:t xml:space="preserve">王怡里 </w:t>
            </w:r>
          </w:p>
        </w:tc>
        <w:tc>
          <w:tcPr>
            <w:tcW w:type="dxa" w:w="1414"/>
            <w:tcBorders>
              <w:start w:sz="2.400000000000091" w:val="single" w:color="#000000"/>
              <w:top w:sz="1.599999999999909"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264" w:after="0"/>
              <w:ind w:left="164" w:right="0" w:firstLine="0"/>
              <w:jc w:val="left"/>
            </w:pPr>
            <w:r>
              <w:rPr>
                <w:rFonts w:ascii="宋体" w:hAnsi="宋体" w:eastAsia="宋体"/>
                <w:b w:val="0"/>
                <w:i w:val="0"/>
                <w:color w:val="000000"/>
                <w:sz w:val="18"/>
              </w:rPr>
              <w:t xml:space="preserve">021-38126325 </w:t>
            </w:r>
          </w:p>
        </w:tc>
      </w:tr>
      <w:tr>
        <w:trPr>
          <w:trHeight w:hRule="exact" w:val="644"/>
        </w:trPr>
        <w:tc>
          <w:tcPr>
            <w:tcW w:type="dxa" w:w="2838"/>
            <w:tcBorders>
              <w:start w:sz="2.4000000000000057" w:val="single" w:color="#000000"/>
              <w:top w:sz="1.5999999999994543"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262" w:after="0"/>
              <w:ind w:left="420" w:right="0" w:firstLine="0"/>
              <w:jc w:val="left"/>
            </w:pPr>
            <w:r>
              <w:rPr>
                <w:rFonts w:ascii="宋体" w:hAnsi="宋体" w:eastAsia="宋体"/>
                <w:b w:val="0"/>
                <w:i w:val="0"/>
                <w:color w:val="000000"/>
                <w:sz w:val="18"/>
              </w:rPr>
              <w:t xml:space="preserve">山证国际金融控股有限公司 </w:t>
            </w:r>
          </w:p>
        </w:tc>
        <w:tc>
          <w:tcPr>
            <w:tcW w:type="dxa" w:w="2412"/>
            <w:tcBorders>
              <w:start w:sz="2.3999999999998636"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302" w:lineRule="exact" w:before="0" w:after="0"/>
              <w:ind w:left="106" w:right="144" w:firstLine="0"/>
              <w:jc w:val="left"/>
            </w:pPr>
            <w:r>
              <w:rPr>
                <w:rFonts w:ascii="宋体" w:hAnsi="宋体" w:eastAsia="宋体"/>
                <w:b w:val="0"/>
                <w:i w:val="0"/>
                <w:color w:val="000000"/>
                <w:sz w:val="18"/>
              </w:rPr>
              <w:t>香港金钟夏悫道18 号海富</w:t>
            </w:r>
            <w:r>
              <w:rPr>
                <w:rFonts w:ascii="宋体" w:hAnsi="宋体" w:eastAsia="宋体"/>
                <w:b w:val="0"/>
                <w:i w:val="0"/>
                <w:color w:val="000000"/>
                <w:sz w:val="18"/>
              </w:rPr>
              <w:t xml:space="preserve">中心1 座29 楼A 室 </w:t>
            </w:r>
          </w:p>
        </w:tc>
        <w:tc>
          <w:tcPr>
            <w:tcW w:type="dxa" w:w="1132"/>
            <w:tcBorders>
              <w:start w:sz="2.400000000000091"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2016.02.04 </w:t>
            </w:r>
          </w:p>
        </w:tc>
        <w:tc>
          <w:tcPr>
            <w:tcW w:type="dxa" w:w="1384"/>
            <w:tcBorders>
              <w:start w:sz="1.599999999999909"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262" w:after="0"/>
              <w:ind w:left="214" w:right="0" w:firstLine="0"/>
              <w:jc w:val="left"/>
            </w:pPr>
            <w:r>
              <w:rPr>
                <w:rFonts w:ascii="宋体" w:hAnsi="宋体" w:eastAsia="宋体"/>
                <w:b w:val="0"/>
                <w:i w:val="0"/>
                <w:color w:val="000000"/>
                <w:sz w:val="18"/>
              </w:rPr>
              <w:t xml:space="preserve">10 亿元港币 </w:t>
            </w:r>
          </w:p>
        </w:tc>
        <w:tc>
          <w:tcPr>
            <w:tcW w:type="dxa" w:w="848"/>
            <w:tcBorders>
              <w:start w:sz="2.399999999999636"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62" w:after="0"/>
              <w:ind w:left="0" w:right="152" w:firstLine="0"/>
              <w:jc w:val="right"/>
            </w:pPr>
            <w:r>
              <w:rPr>
                <w:rFonts w:ascii="宋体" w:hAnsi="宋体" w:eastAsia="宋体"/>
                <w:b w:val="0"/>
                <w:i w:val="0"/>
                <w:color w:val="000000"/>
                <w:sz w:val="18"/>
              </w:rPr>
              <w:t xml:space="preserve">100% </w:t>
            </w:r>
          </w:p>
        </w:tc>
        <w:tc>
          <w:tcPr>
            <w:tcW w:type="dxa" w:w="854"/>
            <w:tcBorders>
              <w:start w:sz="1.599999999999909"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62" w:after="0"/>
              <w:ind w:left="174" w:right="0" w:firstLine="0"/>
              <w:jc w:val="left"/>
            </w:pPr>
            <w:r>
              <w:rPr>
                <w:rFonts w:ascii="宋体" w:hAnsi="宋体" w:eastAsia="宋体"/>
                <w:b w:val="0"/>
                <w:i w:val="0"/>
                <w:color w:val="000000"/>
                <w:sz w:val="18"/>
              </w:rPr>
              <w:t xml:space="preserve">王怡里 </w:t>
            </w:r>
          </w:p>
        </w:tc>
        <w:tc>
          <w:tcPr>
            <w:tcW w:type="dxa" w:w="1414"/>
            <w:tcBorders>
              <w:start w:sz="2.400000000000091"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262" w:after="0"/>
              <w:ind w:left="164" w:right="0" w:firstLine="0"/>
              <w:jc w:val="left"/>
            </w:pPr>
            <w:r>
              <w:rPr>
                <w:rFonts w:ascii="宋体" w:hAnsi="宋体" w:eastAsia="宋体"/>
                <w:b w:val="0"/>
                <w:i w:val="0"/>
                <w:color w:val="000000"/>
                <w:sz w:val="18"/>
              </w:rPr>
              <w:t xml:space="preserve">852-25011039 </w:t>
            </w:r>
          </w:p>
        </w:tc>
      </w:tr>
      <w:tr>
        <w:trPr>
          <w:trHeight w:hRule="exact" w:val="964"/>
        </w:trPr>
        <w:tc>
          <w:tcPr>
            <w:tcW w:type="dxa" w:w="2838"/>
            <w:tcBorders>
              <w:start w:sz="2.4000000000000057" w:val="single" w:color="#000000"/>
              <w:top w:sz="1.6000000000003638"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424" w:after="0"/>
              <w:ind w:left="420" w:right="0" w:firstLine="0"/>
              <w:jc w:val="left"/>
            </w:pPr>
            <w:r>
              <w:rPr>
                <w:rFonts w:ascii="宋体" w:hAnsi="宋体" w:eastAsia="宋体"/>
                <w:b w:val="0"/>
                <w:i w:val="0"/>
                <w:color w:val="000000"/>
                <w:sz w:val="18"/>
              </w:rPr>
              <w:t xml:space="preserve">山证科技（深圳）有限公司 </w:t>
            </w:r>
          </w:p>
        </w:tc>
        <w:tc>
          <w:tcPr>
            <w:tcW w:type="dxa" w:w="2412"/>
            <w:tcBorders>
              <w:start w:sz="2.3999999999998636"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308" w:lineRule="exact" w:before="0" w:after="0"/>
              <w:ind w:left="106" w:right="138" w:firstLine="0"/>
              <w:jc w:val="both"/>
            </w:pPr>
            <w:r>
              <w:rPr>
                <w:rFonts w:ascii="宋体" w:hAnsi="宋体" w:eastAsia="宋体"/>
                <w:b w:val="0"/>
                <w:i w:val="0"/>
                <w:color w:val="000000"/>
                <w:sz w:val="18"/>
              </w:rPr>
              <w:t>深圳市福田区梅林街道梅都</w:t>
            </w:r>
            <w:r>
              <w:rPr>
                <w:rFonts w:ascii="宋体" w:hAnsi="宋体" w:eastAsia="宋体"/>
                <w:b w:val="0"/>
                <w:i w:val="0"/>
                <w:color w:val="000000"/>
                <w:sz w:val="18"/>
              </w:rPr>
              <w:t>社区中康路136 号深圳新一</w:t>
            </w:r>
            <w:r>
              <w:rPr>
                <w:rFonts w:ascii="宋体" w:hAnsi="宋体" w:eastAsia="宋体"/>
                <w:b w:val="0"/>
                <w:i w:val="0"/>
                <w:color w:val="000000"/>
                <w:sz w:val="18"/>
              </w:rPr>
              <w:t xml:space="preserve">代产业园5 栋1701 </w:t>
            </w:r>
          </w:p>
        </w:tc>
        <w:tc>
          <w:tcPr>
            <w:tcW w:type="dxa" w:w="1132"/>
            <w:tcBorders>
              <w:start w:sz="2.400000000000091"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424" w:after="0"/>
              <w:ind w:left="112" w:right="0" w:firstLine="0"/>
              <w:jc w:val="left"/>
            </w:pPr>
            <w:r>
              <w:rPr>
                <w:rFonts w:ascii="宋体" w:hAnsi="宋体" w:eastAsia="宋体"/>
                <w:b w:val="0"/>
                <w:i w:val="0"/>
                <w:color w:val="000000"/>
                <w:sz w:val="18"/>
              </w:rPr>
              <w:t xml:space="preserve">2020.03.13 </w:t>
            </w:r>
          </w:p>
        </w:tc>
        <w:tc>
          <w:tcPr>
            <w:tcW w:type="dxa" w:w="1384"/>
            <w:tcBorders>
              <w:start w:sz="1.599999999999909" w:val="single" w:color="#000000"/>
              <w:top w:sz="1.6000000000003638"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424" w:after="0"/>
              <w:ind w:left="170" w:right="0" w:firstLine="0"/>
              <w:jc w:val="left"/>
            </w:pPr>
            <w:r>
              <w:rPr>
                <w:rFonts w:ascii="宋体" w:hAnsi="宋体" w:eastAsia="宋体"/>
                <w:b w:val="0"/>
                <w:i w:val="0"/>
                <w:color w:val="000000"/>
                <w:sz w:val="18"/>
              </w:rPr>
              <w:t xml:space="preserve">2 亿元人民币 </w:t>
            </w:r>
          </w:p>
        </w:tc>
        <w:tc>
          <w:tcPr>
            <w:tcW w:type="dxa" w:w="848"/>
            <w:tcBorders>
              <w:start w:sz="2.399999999999636"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424" w:after="0"/>
              <w:ind w:left="0" w:right="152" w:firstLine="0"/>
              <w:jc w:val="right"/>
            </w:pPr>
            <w:r>
              <w:rPr>
                <w:rFonts w:ascii="宋体" w:hAnsi="宋体" w:eastAsia="宋体"/>
                <w:b w:val="0"/>
                <w:i w:val="0"/>
                <w:color w:val="000000"/>
                <w:sz w:val="18"/>
              </w:rPr>
              <w:t xml:space="preserve">100% </w:t>
            </w:r>
          </w:p>
        </w:tc>
        <w:tc>
          <w:tcPr>
            <w:tcW w:type="dxa" w:w="854"/>
            <w:tcBorders>
              <w:start w:sz="1.599999999999909"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424" w:after="0"/>
              <w:ind w:left="174" w:right="0" w:firstLine="0"/>
              <w:jc w:val="left"/>
            </w:pPr>
            <w:r>
              <w:rPr>
                <w:rFonts w:ascii="宋体" w:hAnsi="宋体" w:eastAsia="宋体"/>
                <w:b w:val="0"/>
                <w:i w:val="0"/>
                <w:color w:val="000000"/>
                <w:sz w:val="18"/>
              </w:rPr>
              <w:t xml:space="preserve">汤建雄 </w:t>
            </w:r>
          </w:p>
        </w:tc>
        <w:tc>
          <w:tcPr>
            <w:tcW w:type="dxa" w:w="1414"/>
            <w:tcBorders>
              <w:start w:sz="2.400000000000091" w:val="single" w:color="#000000"/>
              <w:top w:sz="1.6000000000003638"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424" w:after="0"/>
              <w:ind w:left="120" w:right="0" w:firstLine="0"/>
              <w:jc w:val="left"/>
            </w:pPr>
            <w:r>
              <w:rPr>
                <w:rFonts w:ascii="宋体" w:hAnsi="宋体" w:eastAsia="宋体"/>
                <w:b w:val="0"/>
                <w:i w:val="0"/>
                <w:color w:val="000000"/>
                <w:sz w:val="18"/>
              </w:rPr>
              <w:t xml:space="preserve">0755-83230605 </w:t>
            </w:r>
          </w:p>
        </w:tc>
      </w:tr>
      <w:tr>
        <w:trPr>
          <w:trHeight w:hRule="exact" w:val="728"/>
        </w:trPr>
        <w:tc>
          <w:tcPr>
            <w:tcW w:type="dxa" w:w="2838"/>
            <w:tcBorders>
              <w:start w:sz="2.4000000000000057" w:val="single" w:color="#000000"/>
              <w:top w:sz="1.6000000000003638"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302" w:after="0"/>
              <w:ind w:left="340" w:right="0" w:firstLine="0"/>
              <w:jc w:val="left"/>
            </w:pPr>
            <w:r>
              <w:rPr>
                <w:rFonts w:ascii="宋体" w:hAnsi="宋体" w:eastAsia="宋体"/>
                <w:b w:val="0"/>
                <w:i w:val="0"/>
                <w:color w:val="000000"/>
                <w:sz w:val="18"/>
              </w:rPr>
              <w:t xml:space="preserve">山西股权交易中心有限公司 </w:t>
            </w:r>
          </w:p>
        </w:tc>
        <w:tc>
          <w:tcPr>
            <w:tcW w:type="dxa" w:w="2412"/>
            <w:tcBorders>
              <w:start w:sz="2.3999999999998636" w:val="single" w:color="#000000"/>
              <w:top w:sz="1.6000000000003638" w:val="single" w:color="#000000"/>
              <w:end w:sz="2.400000000000091" w:val="single" w:color="#000000"/>
              <w:bottom w:sz="1.6000000000003638" w:val="single" w:color="#000000"/>
            </w:tcBorders>
            <w:tcMar>
              <w:start w:w="0" w:type="dxa"/>
              <w:end w:w="0" w:type="dxa"/>
            </w:tcMar>
          </w:tcPr>
          <w:p>
            <w:pPr>
              <w:autoSpaceDN w:val="0"/>
              <w:tabs>
                <w:tab w:pos="166" w:val="left"/>
              </w:tabs>
              <w:autoSpaceDE w:val="0"/>
              <w:widowControl/>
              <w:spacing w:line="320" w:lineRule="exact" w:before="6" w:after="0"/>
              <w:ind w:left="144" w:right="0" w:firstLine="0"/>
              <w:jc w:val="left"/>
            </w:pPr>
            <w:r>
              <w:rPr>
                <w:rFonts w:ascii="宋体" w:hAnsi="宋体" w:eastAsia="宋体"/>
                <w:b w:val="0"/>
                <w:i w:val="0"/>
                <w:color w:val="000000"/>
                <w:sz w:val="18"/>
              </w:rPr>
              <w:t>山西省太原市南中环街529</w:t>
            </w:r>
            <w:r>
              <w:rPr>
                <w:rFonts w:ascii="宋体" w:hAnsi="宋体" w:eastAsia="宋体"/>
                <w:b w:val="0"/>
                <w:i w:val="0"/>
                <w:color w:val="000000"/>
                <w:sz w:val="18"/>
              </w:rPr>
              <w:t xml:space="preserve">号清控创新基地A 座18 层 </w:t>
            </w:r>
          </w:p>
        </w:tc>
        <w:tc>
          <w:tcPr>
            <w:tcW w:type="dxa" w:w="1132"/>
            <w:tcBorders>
              <w:start w:sz="2.400000000000091"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302" w:after="0"/>
              <w:ind w:left="112" w:right="0" w:firstLine="0"/>
              <w:jc w:val="left"/>
            </w:pPr>
            <w:r>
              <w:rPr>
                <w:rFonts w:ascii="宋体" w:hAnsi="宋体" w:eastAsia="宋体"/>
                <w:b w:val="0"/>
                <w:i w:val="0"/>
                <w:color w:val="000000"/>
                <w:sz w:val="18"/>
              </w:rPr>
              <w:t xml:space="preserve">2013.08.28 </w:t>
            </w:r>
          </w:p>
        </w:tc>
        <w:tc>
          <w:tcPr>
            <w:tcW w:type="dxa" w:w="1384"/>
            <w:tcBorders>
              <w:start w:sz="1.599999999999909" w:val="single" w:color="#000000"/>
              <w:top w:sz="1.6000000000003638" w:val="single" w:color="#000000"/>
              <w:end w:sz="2.399999999999636" w:val="single" w:color="#000000"/>
              <w:bottom w:sz="1.6000000000003638" w:val="single" w:color="#000000"/>
            </w:tcBorders>
            <w:tcMar>
              <w:start w:w="0" w:type="dxa"/>
              <w:end w:w="0" w:type="dxa"/>
            </w:tcMar>
          </w:tcPr>
          <w:p>
            <w:pPr>
              <w:autoSpaceDN w:val="0"/>
              <w:tabs>
                <w:tab w:pos="600" w:val="left"/>
              </w:tabs>
              <w:autoSpaceDE w:val="0"/>
              <w:widowControl/>
              <w:spacing w:line="320" w:lineRule="exact" w:before="6" w:after="0"/>
              <w:ind w:left="128" w:right="0" w:firstLine="0"/>
              <w:jc w:val="left"/>
            </w:pPr>
            <w:r>
              <w:rPr>
                <w:rFonts w:ascii="宋体" w:hAnsi="宋体" w:eastAsia="宋体"/>
                <w:b w:val="0"/>
                <w:i w:val="0"/>
                <w:color w:val="000000"/>
                <w:sz w:val="18"/>
              </w:rPr>
              <w:t>1.47 亿元人民</w:t>
            </w:r>
            <w:r>
              <w:rPr>
                <w:rFonts w:ascii="宋体" w:hAnsi="宋体" w:eastAsia="宋体"/>
                <w:b w:val="0"/>
                <w:i w:val="0"/>
                <w:color w:val="000000"/>
                <w:sz w:val="18"/>
              </w:rPr>
              <w:t xml:space="preserve">币 </w:t>
            </w:r>
          </w:p>
        </w:tc>
        <w:tc>
          <w:tcPr>
            <w:tcW w:type="dxa" w:w="848"/>
            <w:tcBorders>
              <w:start w:sz="2.399999999999636"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302" w:after="0"/>
              <w:ind w:left="152" w:right="0" w:firstLine="0"/>
              <w:jc w:val="left"/>
            </w:pPr>
            <w:r>
              <w:rPr>
                <w:rFonts w:ascii="宋体" w:hAnsi="宋体" w:eastAsia="宋体"/>
                <w:b w:val="0"/>
                <w:i w:val="0"/>
                <w:color w:val="000000"/>
                <w:sz w:val="18"/>
              </w:rPr>
              <w:t xml:space="preserve">10.80% </w:t>
            </w:r>
          </w:p>
        </w:tc>
        <w:tc>
          <w:tcPr>
            <w:tcW w:type="dxa" w:w="854"/>
            <w:tcBorders>
              <w:start w:sz="1.599999999999909"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302" w:after="0"/>
              <w:ind w:left="156" w:right="0" w:firstLine="0"/>
              <w:jc w:val="left"/>
            </w:pPr>
            <w:r>
              <w:rPr>
                <w:rFonts w:ascii="宋体" w:hAnsi="宋体" w:eastAsia="宋体"/>
                <w:b w:val="0"/>
                <w:i w:val="0"/>
                <w:color w:val="000000"/>
                <w:sz w:val="18"/>
              </w:rPr>
              <w:t xml:space="preserve">闫  慧 </w:t>
            </w:r>
          </w:p>
        </w:tc>
        <w:tc>
          <w:tcPr>
            <w:tcW w:type="dxa" w:w="1414"/>
            <w:tcBorders>
              <w:start w:sz="2.400000000000091" w:val="single" w:color="#000000"/>
              <w:top w:sz="1.6000000000003638"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302" w:after="0"/>
              <w:ind w:left="164" w:right="0" w:firstLine="0"/>
              <w:jc w:val="left"/>
            </w:pPr>
            <w:r>
              <w:rPr>
                <w:rFonts w:ascii="宋体" w:hAnsi="宋体" w:eastAsia="宋体"/>
                <w:b w:val="0"/>
                <w:i w:val="0"/>
                <w:color w:val="000000"/>
                <w:sz w:val="18"/>
              </w:rPr>
              <w:t xml:space="preserve">0351-7780319 </w:t>
            </w:r>
          </w:p>
        </w:tc>
      </w:tr>
    </w:tbl>
    <w:p>
      <w:pPr>
        <w:autoSpaceDN w:val="0"/>
        <w:autoSpaceDE w:val="0"/>
        <w:widowControl/>
        <w:spacing w:line="180" w:lineRule="exact" w:before="62" w:after="0"/>
        <w:ind w:left="650" w:right="0" w:firstLine="0"/>
        <w:jc w:val="left"/>
      </w:pPr>
      <w:r>
        <w:rPr>
          <w:rFonts w:ascii="宋体" w:hAnsi="宋体" w:eastAsia="宋体"/>
          <w:b w:val="0"/>
          <w:i w:val="0"/>
          <w:color w:val="000000"/>
          <w:sz w:val="18"/>
        </w:rPr>
        <w:t>注：本表只填写山西证券直接持股比例在10%及以上的控股子公司、参股公司信息。</w:t>
      </w:r>
    </w:p>
    <w:p>
      <w:pPr>
        <w:autoSpaceDN w:val="0"/>
        <w:autoSpaceDE w:val="0"/>
        <w:widowControl/>
        <w:spacing w:line="212" w:lineRule="exact" w:before="410" w:after="0"/>
        <w:ind w:left="650" w:right="0" w:firstLine="0"/>
        <w:jc w:val="left"/>
      </w:pPr>
      <w:r>
        <w:rPr>
          <w:rFonts w:ascii="宋体" w:hAnsi="宋体" w:eastAsia="宋体"/>
          <w:b w:val="0"/>
          <w:i w:val="0"/>
          <w:color w:val="000000"/>
          <w:sz w:val="21"/>
        </w:rPr>
        <w:t xml:space="preserve">4、证券营业部数量和分布情况 </w:t>
      </w:r>
    </w:p>
    <w:p>
      <w:pPr>
        <w:autoSpaceDN w:val="0"/>
        <w:autoSpaceDE w:val="0"/>
        <w:widowControl/>
        <w:spacing w:line="212" w:lineRule="exact" w:before="510" w:after="0"/>
        <w:ind w:left="1070" w:right="0" w:firstLine="0"/>
        <w:jc w:val="left"/>
      </w:pPr>
      <w:r>
        <w:rPr>
          <w:rFonts w:ascii="宋体" w:hAnsi="宋体" w:eastAsia="宋体"/>
          <w:b w:val="0"/>
          <w:i w:val="0"/>
          <w:color w:val="000000"/>
          <w:sz w:val="21"/>
        </w:rPr>
        <w:t>截至本报告披露日，公司有97 家证券营业部，其中山西省内54 家，上海3 家，北京3 家，深圳3</w:t>
      </w:r>
    </w:p>
    <w:p>
      <w:pPr>
        <w:autoSpaceDN w:val="0"/>
        <w:autoSpaceDE w:val="0"/>
        <w:widowControl/>
        <w:spacing w:line="210" w:lineRule="exact" w:before="250" w:after="0"/>
        <w:ind w:left="650" w:right="0" w:firstLine="0"/>
        <w:jc w:val="left"/>
      </w:pPr>
      <w:r>
        <w:rPr>
          <w:rFonts w:ascii="宋体" w:hAnsi="宋体" w:eastAsia="宋体"/>
          <w:b w:val="0"/>
          <w:i w:val="0"/>
          <w:color w:val="000000"/>
          <w:sz w:val="21"/>
        </w:rPr>
        <w:t>家，重庆2 家，西安、济南、绍兴、宁波、淄博、天津、石家庄、福州、武汉、大连、无锡、焦作、濮</w:t>
      </w:r>
    </w:p>
    <w:p>
      <w:pPr>
        <w:autoSpaceDN w:val="0"/>
        <w:autoSpaceDE w:val="0"/>
        <w:widowControl/>
        <w:spacing w:line="197" w:lineRule="auto" w:before="640" w:after="0"/>
        <w:ind w:left="0" w:right="0" w:firstLine="0"/>
        <w:jc w:val="center"/>
      </w:pPr>
      <w:r>
        <w:rPr>
          <w:rFonts w:ascii="Calibri" w:hAnsi="Calibri" w:eastAsia="Calibri"/>
          <w:b w:val="0"/>
          <w:i w:val="0"/>
          <w:color w:val="000000"/>
          <w:sz w:val="18"/>
        </w:rPr>
        <w:t xml:space="preserve">14 </w:t>
      </w:r>
    </w:p>
    <w:p>
      <w:pPr>
        <w:sectPr>
          <w:type w:val="continuous"/>
          <w:pgSz w:w="11904" w:h="16841"/>
          <w:pgMar w:top="424" w:right="464" w:bottom="446" w:left="484" w:header="720" w:footer="720" w:gutter="0"/>
          <w:cols/>
          <w:docGrid w:linePitch="360"/>
        </w:sectPr>
      </w:pPr>
    </w:p>
    <w:p>
      <w:pPr>
        <w:autoSpaceDN w:val="0"/>
        <w:autoSpaceDE w:val="0"/>
        <w:widowControl/>
        <w:spacing w:line="220" w:lineRule="exact" w:before="0" w:after="206"/>
        <w:ind w:left="0" w:right="0"/>
      </w:pPr>
    </w:p>
    <w:p>
      <w:pPr>
        <w:sectPr>
          <w:pgSz w:w="11904" w:h="16841"/>
          <w:pgMar w:top="424" w:right="480" w:bottom="446" w:left="504" w:header="720" w:footer="720" w:gutter="0"/>
          <w:cols/>
          <w:docGrid w:linePitch="360"/>
        </w:sectPr>
      </w:pPr>
    </w:p>
    <w:p>
      <w:pPr>
        <w:autoSpaceDN w:val="0"/>
        <w:autoSpaceDE w:val="0"/>
        <w:widowControl/>
        <w:spacing w:line="240" w:lineRule="auto" w:before="0" w:after="0"/>
        <w:ind w:left="630" w:right="0" w:firstLine="0"/>
        <w:jc w:val="left"/>
      </w:pPr>
      <w:r>
        <w:drawing>
          <wp:inline xmlns:a="http://schemas.openxmlformats.org/drawingml/2006/main" xmlns:pic="http://schemas.openxmlformats.org/drawingml/2006/picture">
            <wp:extent cx="1844039" cy="439419"/>
            <wp:docPr id="17" name="Picture 1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200" w:lineRule="exact" w:before="0" w:after="30"/>
        <w:ind w:left="0" w:right="66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444" w:lineRule="exact" w:before="0" w:after="736"/>
        <w:ind w:left="630" w:right="836" w:firstLine="0"/>
        <w:jc w:val="both"/>
      </w:pPr>
      <w:r>
        <w:rPr>
          <w:rFonts w:ascii="宋体" w:hAnsi="宋体" w:eastAsia="宋体"/>
          <w:b w:val="0"/>
          <w:i w:val="0"/>
          <w:color w:val="000000"/>
          <w:sz w:val="21"/>
        </w:rPr>
        <w:t>阳、南宁、广安、沧州、沈阳、银川、哈尔滨、柳州、海口、昆明、成都、苏州、洛阳、新乡、厦门、</w:t>
      </w:r>
      <w:r>
        <w:rPr>
          <w:rFonts w:ascii="宋体" w:hAnsi="宋体" w:eastAsia="宋体"/>
          <w:b w:val="0"/>
          <w:i w:val="0"/>
          <w:color w:val="000000"/>
          <w:sz w:val="21"/>
        </w:rPr>
        <w:t>福清、呼和浩特、南昌、合肥、贵阳各1 家，形成了以国内主要城市为前沿，重点城市为中心，覆盖山</w:t>
      </w:r>
      <w:r>
        <w:rPr>
          <w:rFonts w:ascii="宋体" w:hAnsi="宋体" w:eastAsia="宋体"/>
          <w:b w:val="0"/>
          <w:i w:val="0"/>
          <w:color w:val="000000"/>
          <w:sz w:val="21"/>
        </w:rPr>
        <w:t xml:space="preserve">西、面向全国的业务发展框架，具体如下表： </w:t>
      </w:r>
    </w:p>
    <w:tbl>
      <w:tblPr>
        <w:tblW w:type="auto" w:w="0"/>
        <w:tblLayout w:type="fixed"/>
        <w:tblLook w:firstColumn="1" w:firstRow="1" w:lastColumn="0" w:lastRow="0" w:noHBand="0" w:noVBand="1" w:val="04A0"/>
        <w:tblInd w:w="3.999999999999986" w:type="dxa"/>
      </w:tblPr>
      <w:tblGrid>
        <w:gridCol w:w="1820"/>
        <w:gridCol w:w="1820"/>
        <w:gridCol w:w="1820"/>
        <w:gridCol w:w="1820"/>
        <w:gridCol w:w="1820"/>
        <w:gridCol w:w="1820"/>
      </w:tblGrid>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序</w:t>
            </w:r>
            <w:r>
              <w:br/>
            </w:r>
            <w:r>
              <w:rPr>
                <w:rFonts w:ascii="宋体" w:hAnsi="宋体" w:eastAsia="宋体"/>
                <w:b w:val="0"/>
                <w:i w:val="0"/>
                <w:color w:val="000000"/>
                <w:sz w:val="18"/>
              </w:rPr>
              <w:t xml:space="preserve">号 </w:t>
            </w:r>
          </w:p>
        </w:tc>
        <w:tc>
          <w:tcPr>
            <w:tcW w:type="dxa" w:w="1274"/>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0" w:right="0" w:firstLine="0"/>
              <w:jc w:val="center"/>
            </w:pPr>
            <w:r>
              <w:rPr>
                <w:rFonts w:ascii="宋体" w:hAnsi="宋体" w:eastAsia="宋体"/>
                <w:b w:val="0"/>
                <w:i w:val="0"/>
                <w:color w:val="000000"/>
                <w:sz w:val="18"/>
              </w:rPr>
              <w:t xml:space="preserve">所属分公司/ </w:t>
            </w:r>
            <w:r>
              <w:rPr>
                <w:rFonts w:ascii="宋体" w:hAnsi="宋体" w:eastAsia="宋体"/>
                <w:b w:val="0"/>
                <w:i w:val="0"/>
                <w:color w:val="000000"/>
                <w:sz w:val="18"/>
              </w:rPr>
              <w:t xml:space="preserve">中心营业部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924" w:firstLine="0"/>
              <w:jc w:val="right"/>
            </w:pPr>
            <w:r>
              <w:rPr>
                <w:rFonts w:ascii="宋体" w:hAnsi="宋体" w:eastAsia="宋体"/>
                <w:b w:val="0"/>
                <w:i w:val="0"/>
                <w:color w:val="000000"/>
                <w:sz w:val="18"/>
              </w:rPr>
              <w:t xml:space="preserve">营业部名称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476" w:firstLine="0"/>
              <w:jc w:val="right"/>
            </w:pPr>
            <w:r>
              <w:rPr>
                <w:rFonts w:ascii="宋体" w:hAnsi="宋体" w:eastAsia="宋体"/>
                <w:b w:val="0"/>
                <w:i w:val="0"/>
                <w:color w:val="000000"/>
                <w:sz w:val="18"/>
              </w:rPr>
              <w:t xml:space="preserve">营业地址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218" w:right="0" w:firstLine="0"/>
              <w:jc w:val="left"/>
            </w:pPr>
            <w:r>
              <w:rPr>
                <w:rFonts w:ascii="宋体" w:hAnsi="宋体" w:eastAsia="宋体"/>
                <w:b w:val="0"/>
                <w:i w:val="0"/>
                <w:color w:val="000000"/>
                <w:sz w:val="18"/>
              </w:rPr>
              <w:t xml:space="preserve">营业部 </w:t>
            </w:r>
            <w:r>
              <w:rPr>
                <w:rFonts w:ascii="宋体" w:hAnsi="宋体" w:eastAsia="宋体"/>
                <w:b w:val="0"/>
                <w:i w:val="0"/>
                <w:color w:val="000000"/>
                <w:sz w:val="18"/>
              </w:rPr>
              <w:t xml:space="preserve">负责人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324" w:right="0" w:firstLine="0"/>
              <w:jc w:val="left"/>
            </w:pPr>
            <w:r>
              <w:rPr>
                <w:rFonts w:ascii="宋体" w:hAnsi="宋体" w:eastAsia="宋体"/>
                <w:b w:val="0"/>
                <w:i w:val="0"/>
                <w:color w:val="000000"/>
                <w:sz w:val="18"/>
              </w:rPr>
              <w:t xml:space="preserve">联系电话 </w:t>
            </w:r>
          </w:p>
        </w:tc>
      </w:tr>
      <w:tr>
        <w:trPr>
          <w:trHeight w:hRule="exact" w:val="408"/>
        </w:trPr>
        <w:tc>
          <w:tcPr>
            <w:tcW w:type="dxa" w:w="428"/>
            <w:tcBorders>
              <w:start w:sz="4.0" w:val="single" w:color="#000000"/>
              <w:top w:sz="4.0" w:val="single" w:color="#000000"/>
              <w:end w:sz="3.1999999999999886" w:val="single" w:color="#000000"/>
              <w:bottom w:sz="3.2000000000000455" w:val="single" w:color="#000000"/>
            </w:tcBorders>
            <w:tcMar>
              <w:start w:w="0" w:type="dxa"/>
              <w:end w:w="0" w:type="dxa"/>
            </w:tcMar>
          </w:tcPr>
          <w:p>
            <w:pPr>
              <w:autoSpaceDN w:val="0"/>
              <w:autoSpaceDE w:val="0"/>
              <w:widowControl/>
              <w:spacing w:line="180" w:lineRule="exact" w:before="142" w:after="0"/>
              <w:ind w:left="0" w:right="74" w:firstLine="0"/>
              <w:jc w:val="right"/>
            </w:pPr>
            <w:r>
              <w:rPr>
                <w:rFonts w:ascii="宋体" w:hAnsi="宋体" w:eastAsia="宋体"/>
                <w:b w:val="0"/>
                <w:i w:val="0"/>
                <w:color w:val="000000"/>
                <w:sz w:val="18"/>
              </w:rPr>
              <w:t xml:space="preserve">1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272" w:val="left"/>
              </w:tabs>
              <w:autoSpaceDE w:val="0"/>
              <w:widowControl/>
              <w:spacing w:line="320" w:lineRule="exact" w:before="1588" w:after="0"/>
              <w:ind w:left="136" w:right="0" w:firstLine="0"/>
              <w:jc w:val="left"/>
            </w:pPr>
            <w:r>
              <w:rPr>
                <w:rFonts w:ascii="宋体" w:hAnsi="宋体" w:eastAsia="宋体"/>
                <w:b w:val="0"/>
                <w:i w:val="0"/>
                <w:color w:val="000000"/>
                <w:sz w:val="18"/>
              </w:rPr>
              <w:t>（1）太原北</w:t>
            </w:r>
            <w:r>
              <w:tab/>
            </w:r>
            <w:r>
              <w:rPr>
                <w:rFonts w:ascii="宋体" w:hAnsi="宋体" w:eastAsia="宋体"/>
                <w:b w:val="0"/>
                <w:i w:val="0"/>
                <w:color w:val="000000"/>
                <w:sz w:val="18"/>
              </w:rPr>
              <w:t xml:space="preserve">城分公司 </w:t>
            </w:r>
          </w:p>
        </w:tc>
        <w:tc>
          <w:tcPr>
            <w:tcW w:type="dxa" w:w="294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太原迎泽大街证券营业部 </w:t>
            </w:r>
          </w:p>
        </w:tc>
        <w:tc>
          <w:tcPr>
            <w:tcW w:type="dxa" w:w="386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山西省太原市迎泽区新建南路1 号 </w:t>
            </w:r>
          </w:p>
        </w:tc>
        <w:tc>
          <w:tcPr>
            <w:tcW w:type="dxa" w:w="99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牛  拯 </w:t>
            </w:r>
          </w:p>
        </w:tc>
        <w:tc>
          <w:tcPr>
            <w:tcW w:type="dxa" w:w="1388"/>
            <w:tcBorders>
              <w:start w:sz="4.0" w:val="single" w:color="#000000"/>
              <w:top w:sz="4.0" w:val="single" w:color="#000000"/>
              <w:end w:sz="3.2000000000007276" w:val="single" w:color="#000000"/>
              <w:bottom w:sz="3.2000000000000455"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0351-4087564 </w:t>
            </w:r>
          </w:p>
        </w:tc>
      </w:tr>
      <w:tr>
        <w:trPr>
          <w:trHeight w:hRule="exact" w:val="406"/>
        </w:trPr>
        <w:tc>
          <w:tcPr>
            <w:tcW w:type="dxa" w:w="428"/>
            <w:tcBorders>
              <w:start w:sz="4.0" w:val="single" w:color="#000000"/>
              <w:top w:sz="3.2000000000000455"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4" w:after="0"/>
              <w:ind w:left="0" w:right="74" w:firstLine="0"/>
              <w:jc w:val="right"/>
            </w:pPr>
            <w:r>
              <w:rPr>
                <w:rFonts w:ascii="宋体" w:hAnsi="宋体" w:eastAsia="宋体"/>
                <w:b w:val="0"/>
                <w:i w:val="0"/>
                <w:color w:val="000000"/>
                <w:sz w:val="18"/>
              </w:rPr>
              <w:t xml:space="preserve">2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566" w:right="0" w:firstLine="0"/>
              <w:jc w:val="left"/>
            </w:pPr>
            <w:r>
              <w:rPr>
                <w:rFonts w:ascii="宋体" w:hAnsi="宋体" w:eastAsia="宋体"/>
                <w:b w:val="0"/>
                <w:i w:val="0"/>
                <w:color w:val="000000"/>
                <w:sz w:val="18"/>
              </w:rPr>
              <w:t xml:space="preserve">太原府西街证券营业部 </w:t>
            </w:r>
          </w:p>
        </w:tc>
        <w:tc>
          <w:tcPr>
            <w:tcW w:type="dxa" w:w="3866"/>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山西省太原市杏花岭区府西街69 号 </w:t>
            </w:r>
          </w:p>
        </w:tc>
        <w:tc>
          <w:tcPr>
            <w:tcW w:type="dxa" w:w="99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王  超 </w:t>
            </w:r>
          </w:p>
        </w:tc>
        <w:tc>
          <w:tcPr>
            <w:tcW w:type="dxa" w:w="1388"/>
            <w:tcBorders>
              <w:start w:sz="4.0" w:val="single" w:color="#000000"/>
              <w:top w:sz="3.2000000000000455"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0351-8686558 </w:t>
            </w:r>
          </w:p>
        </w:tc>
      </w:tr>
      <w:tr>
        <w:trPr>
          <w:trHeight w:hRule="exact" w:val="410"/>
        </w:trPr>
        <w:tc>
          <w:tcPr>
            <w:tcW w:type="dxa" w:w="428"/>
            <w:tcBorders>
              <w:start w:sz="4.0" w:val="single" w:color="#000000"/>
              <w:top w:sz="4.0" w:val="single" w:color="#000000"/>
              <w:end w:sz="3.1999999999999886" w:val="single" w:color="#000000"/>
              <w:bottom w:sz="3.200000000000273" w:val="single" w:color="#000000"/>
            </w:tcBorders>
            <w:tcMar>
              <w:start w:w="0" w:type="dxa"/>
              <w:end w:w="0" w:type="dxa"/>
            </w:tcMar>
          </w:tcPr>
          <w:p>
            <w:pPr>
              <w:autoSpaceDN w:val="0"/>
              <w:autoSpaceDE w:val="0"/>
              <w:widowControl/>
              <w:spacing w:line="180" w:lineRule="exact" w:before="142" w:after="0"/>
              <w:ind w:left="0" w:right="74" w:firstLine="0"/>
              <w:jc w:val="right"/>
            </w:pPr>
            <w:r>
              <w:rPr>
                <w:rFonts w:ascii="宋体" w:hAnsi="宋体" w:eastAsia="宋体"/>
                <w:b w:val="0"/>
                <w:i w:val="0"/>
                <w:color w:val="000000"/>
                <w:sz w:val="18"/>
              </w:rPr>
              <w:t xml:space="preserve">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太原五一广场证券营业部 </w:t>
            </w:r>
          </w:p>
        </w:tc>
        <w:tc>
          <w:tcPr>
            <w:tcW w:type="dxa" w:w="386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山西省太原市迎泽区并州北路6 号 </w:t>
            </w:r>
          </w:p>
        </w:tc>
        <w:tc>
          <w:tcPr>
            <w:tcW w:type="dxa" w:w="99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武  炜 </w:t>
            </w:r>
          </w:p>
        </w:tc>
        <w:tc>
          <w:tcPr>
            <w:tcW w:type="dxa" w:w="1388"/>
            <w:tcBorders>
              <w:start w:sz="4.0" w:val="single" w:color="#000000"/>
              <w:top w:sz="4.0" w:val="single" w:color="#000000"/>
              <w:end w:sz="3.2000000000007276" w:val="single" w:color="#000000"/>
              <w:bottom w:sz="3.200000000000273"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0351-3525926 </w:t>
            </w:r>
          </w:p>
        </w:tc>
      </w:tr>
      <w:tr>
        <w:trPr>
          <w:trHeight w:hRule="exact" w:val="646"/>
        </w:trPr>
        <w:tc>
          <w:tcPr>
            <w:tcW w:type="dxa" w:w="428"/>
            <w:tcBorders>
              <w:start w:sz="4.0" w:val="single" w:color="#000000"/>
              <w:top w:sz="3.200000000000273"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74" w:firstLine="0"/>
              <w:jc w:val="right"/>
            </w:pPr>
            <w:r>
              <w:rPr>
                <w:rFonts w:ascii="宋体" w:hAnsi="宋体" w:eastAsia="宋体"/>
                <w:b w:val="0"/>
                <w:i w:val="0"/>
                <w:color w:val="000000"/>
                <w:sz w:val="18"/>
              </w:rPr>
              <w:t xml:space="preserve">4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太原五一路证券营业部 </w:t>
            </w:r>
          </w:p>
        </w:tc>
        <w:tc>
          <w:tcPr>
            <w:tcW w:type="dxa" w:w="386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山西省太原市杏花岭区五一路北延北方广场C</w:t>
            </w:r>
            <w:r>
              <w:rPr>
                <w:rFonts w:ascii="宋体" w:hAnsi="宋体" w:eastAsia="宋体"/>
                <w:b w:val="0"/>
                <w:i w:val="0"/>
                <w:color w:val="000000"/>
                <w:sz w:val="18"/>
              </w:rPr>
              <w:t xml:space="preserve">座C402 </w:t>
            </w:r>
          </w:p>
        </w:tc>
        <w:tc>
          <w:tcPr>
            <w:tcW w:type="dxa" w:w="99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张  斌 </w:t>
            </w:r>
          </w:p>
        </w:tc>
        <w:tc>
          <w:tcPr>
            <w:tcW w:type="dxa" w:w="1388"/>
            <w:tcBorders>
              <w:start w:sz="4.0" w:val="single" w:color="#000000"/>
              <w:top w:sz="3.20000000000027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0351-3132220 </w:t>
            </w: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6" w:after="0"/>
              <w:ind w:left="0" w:right="74" w:firstLine="0"/>
              <w:jc w:val="right"/>
            </w:pPr>
            <w:r>
              <w:rPr>
                <w:rFonts w:ascii="宋体" w:hAnsi="宋体" w:eastAsia="宋体"/>
                <w:b w:val="0"/>
                <w:i w:val="0"/>
                <w:color w:val="000000"/>
                <w:sz w:val="18"/>
              </w:rPr>
              <w:t xml:space="preserve">5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566" w:right="0" w:firstLine="0"/>
              <w:jc w:val="left"/>
            </w:pPr>
            <w:r>
              <w:rPr>
                <w:rFonts w:ascii="宋体" w:hAnsi="宋体" w:eastAsia="宋体"/>
                <w:b w:val="0"/>
                <w:i w:val="0"/>
                <w:color w:val="000000"/>
                <w:sz w:val="18"/>
              </w:rPr>
              <w:t xml:space="preserve">太原文兴路证券营业部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104" w:right="0" w:firstLine="0"/>
              <w:jc w:val="left"/>
            </w:pPr>
            <w:r>
              <w:rPr>
                <w:rFonts w:ascii="宋体" w:hAnsi="宋体" w:eastAsia="宋体"/>
                <w:b w:val="0"/>
                <w:i w:val="0"/>
                <w:color w:val="000000"/>
                <w:sz w:val="18"/>
              </w:rPr>
              <w:t xml:space="preserve">山西省太原市万柏林区文兴路120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220" w:right="0" w:firstLine="0"/>
              <w:jc w:val="left"/>
            </w:pPr>
            <w:r>
              <w:rPr>
                <w:rFonts w:ascii="宋体" w:hAnsi="宋体" w:eastAsia="宋体"/>
                <w:b w:val="0"/>
                <w:i w:val="0"/>
                <w:color w:val="000000"/>
                <w:sz w:val="18"/>
              </w:rPr>
              <w:t xml:space="preserve">王  权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6" w:after="0"/>
              <w:ind w:left="144" w:right="0" w:firstLine="0"/>
              <w:jc w:val="left"/>
            </w:pPr>
            <w:r>
              <w:rPr>
                <w:rFonts w:ascii="宋体" w:hAnsi="宋体" w:eastAsia="宋体"/>
                <w:b w:val="0"/>
                <w:i w:val="0"/>
                <w:color w:val="000000"/>
                <w:sz w:val="18"/>
              </w:rPr>
              <w:t xml:space="preserve">0351-8612322 </w:t>
            </w:r>
          </w:p>
        </w:tc>
      </w:tr>
      <w:tr>
        <w:trPr>
          <w:trHeight w:hRule="exact" w:val="650"/>
        </w:trPr>
        <w:tc>
          <w:tcPr>
            <w:tcW w:type="dxa" w:w="428"/>
            <w:tcBorders>
              <w:start w:sz="4.0" w:val="single" w:color="#000000"/>
              <w:top w:sz="4.0" w:val="single" w:color="#000000"/>
              <w:end w:sz="3.1999999999999886" w:val="single" w:color="#000000"/>
              <w:bottom w:sz="3.200000000000273" w:val="single" w:color="#000000"/>
            </w:tcBorders>
            <w:tcMar>
              <w:start w:w="0" w:type="dxa"/>
              <w:end w:w="0" w:type="dxa"/>
            </w:tcMar>
          </w:tcPr>
          <w:p>
            <w:pPr>
              <w:autoSpaceDN w:val="0"/>
              <w:autoSpaceDE w:val="0"/>
              <w:widowControl/>
              <w:spacing w:line="180" w:lineRule="exact" w:before="264" w:after="0"/>
              <w:ind w:left="0" w:right="74" w:firstLine="0"/>
              <w:jc w:val="right"/>
            </w:pPr>
            <w:r>
              <w:rPr>
                <w:rFonts w:ascii="宋体" w:hAnsi="宋体" w:eastAsia="宋体"/>
                <w:b w:val="0"/>
                <w:i w:val="0"/>
                <w:color w:val="000000"/>
                <w:sz w:val="18"/>
              </w:rPr>
              <w:t xml:space="preserve">6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4" w:after="0"/>
              <w:ind w:left="114" w:right="0" w:firstLine="0"/>
              <w:jc w:val="left"/>
            </w:pPr>
            <w:r>
              <w:rPr>
                <w:rFonts w:ascii="宋体" w:hAnsi="宋体" w:eastAsia="宋体"/>
                <w:b w:val="0"/>
                <w:i w:val="0"/>
                <w:color w:val="000000"/>
                <w:sz w:val="18"/>
              </w:rPr>
              <w:t xml:space="preserve">太原南中环街国信嘉园证券营业部 </w:t>
            </w:r>
          </w:p>
        </w:tc>
        <w:tc>
          <w:tcPr>
            <w:tcW w:type="dxa" w:w="386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山西省太原市小店区南中环街265 号光信国信</w:t>
            </w:r>
            <w:r>
              <w:rPr>
                <w:rFonts w:ascii="宋体" w:hAnsi="宋体" w:eastAsia="宋体"/>
                <w:b w:val="0"/>
                <w:i w:val="0"/>
                <w:color w:val="000000"/>
                <w:sz w:val="18"/>
              </w:rPr>
              <w:t xml:space="preserve">嘉园南门底商二层 </w:t>
            </w:r>
          </w:p>
        </w:tc>
        <w:tc>
          <w:tcPr>
            <w:tcW w:type="dxa" w:w="99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雷  洁 </w:t>
            </w:r>
          </w:p>
        </w:tc>
        <w:tc>
          <w:tcPr>
            <w:tcW w:type="dxa" w:w="1388"/>
            <w:tcBorders>
              <w:start w:sz="4.0" w:val="single" w:color="#000000"/>
              <w:top w:sz="4.0" w:val="single" w:color="#000000"/>
              <w:end w:sz="3.2000000000007276" w:val="single" w:color="#000000"/>
              <w:bottom w:sz="3.200000000000273"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0351-3520248 </w:t>
            </w:r>
          </w:p>
        </w:tc>
      </w:tr>
      <w:tr>
        <w:trPr>
          <w:trHeight w:hRule="exact" w:val="650"/>
        </w:trPr>
        <w:tc>
          <w:tcPr>
            <w:tcW w:type="dxa" w:w="428"/>
            <w:tcBorders>
              <w:start w:sz="4.0" w:val="single" w:color="#000000"/>
              <w:top w:sz="3.200000000000273"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74" w:firstLine="0"/>
              <w:jc w:val="right"/>
            </w:pPr>
            <w:r>
              <w:rPr>
                <w:rFonts w:ascii="宋体" w:hAnsi="宋体" w:eastAsia="宋体"/>
                <w:b w:val="0"/>
                <w:i w:val="0"/>
                <w:color w:val="000000"/>
                <w:sz w:val="18"/>
              </w:rPr>
              <w:t xml:space="preserve">7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太原北大街证券营业部 </w:t>
            </w:r>
          </w:p>
        </w:tc>
        <w:tc>
          <w:tcPr>
            <w:tcW w:type="dxa" w:w="386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0" w:firstLine="0"/>
              <w:jc w:val="left"/>
            </w:pPr>
            <w:r>
              <w:rPr>
                <w:rFonts w:ascii="宋体" w:hAnsi="宋体" w:eastAsia="宋体"/>
                <w:b w:val="0"/>
                <w:i w:val="0"/>
                <w:color w:val="000000"/>
                <w:sz w:val="18"/>
              </w:rPr>
              <w:t>山西省太原市杏花岭区北大街136 号1 幢1004</w:t>
            </w:r>
            <w:r>
              <w:rPr>
                <w:rFonts w:ascii="宋体" w:hAnsi="宋体" w:eastAsia="宋体"/>
                <w:b w:val="0"/>
                <w:i w:val="0"/>
                <w:color w:val="000000"/>
                <w:sz w:val="18"/>
              </w:rPr>
              <w:t xml:space="preserve">号 </w:t>
            </w:r>
          </w:p>
        </w:tc>
        <w:tc>
          <w:tcPr>
            <w:tcW w:type="dxa" w:w="99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徐小胖 </w:t>
            </w:r>
          </w:p>
        </w:tc>
        <w:tc>
          <w:tcPr>
            <w:tcW w:type="dxa" w:w="1388"/>
            <w:tcBorders>
              <w:start w:sz="4.0" w:val="single" w:color="#000000"/>
              <w:top w:sz="3.20000000000027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0351-5262686 </w:t>
            </w:r>
          </w:p>
        </w:tc>
      </w:tr>
      <w:tr>
        <w:trPr>
          <w:trHeight w:hRule="exact" w:val="40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74" w:firstLine="0"/>
              <w:jc w:val="right"/>
            </w:pPr>
            <w:r>
              <w:rPr>
                <w:rFonts w:ascii="宋体" w:hAnsi="宋体" w:eastAsia="宋体"/>
                <w:b w:val="0"/>
                <w:i w:val="0"/>
                <w:color w:val="000000"/>
                <w:sz w:val="18"/>
              </w:rPr>
              <w:t xml:space="preserve">8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272" w:val="left"/>
              </w:tabs>
              <w:autoSpaceDE w:val="0"/>
              <w:widowControl/>
              <w:spacing w:line="318" w:lineRule="exact" w:before="1188" w:after="0"/>
              <w:ind w:left="136" w:right="0" w:firstLine="0"/>
              <w:jc w:val="left"/>
            </w:pPr>
            <w:r>
              <w:rPr>
                <w:rFonts w:ascii="宋体" w:hAnsi="宋体" w:eastAsia="宋体"/>
                <w:b w:val="0"/>
                <w:i w:val="0"/>
                <w:color w:val="000000"/>
                <w:sz w:val="18"/>
              </w:rPr>
              <w:t>（2）太原并</w:t>
            </w:r>
            <w:r>
              <w:tab/>
            </w:r>
            <w:r>
              <w:rPr>
                <w:rFonts w:ascii="宋体" w:hAnsi="宋体" w:eastAsia="宋体"/>
                <w:b w:val="0"/>
                <w:i w:val="0"/>
                <w:color w:val="000000"/>
                <w:sz w:val="18"/>
              </w:rPr>
              <w:t xml:space="preserve">州分公司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太原并州南路证券营业部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山西省太原市并州南路6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226" w:firstLine="0"/>
              <w:jc w:val="right"/>
            </w:pPr>
            <w:r>
              <w:rPr>
                <w:rFonts w:ascii="宋体" w:hAnsi="宋体" w:eastAsia="宋体"/>
                <w:b w:val="0"/>
                <w:i w:val="0"/>
                <w:color w:val="000000"/>
                <w:sz w:val="18"/>
              </w:rPr>
              <w:t xml:space="preserve">蒋杨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0351-7083445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74" w:firstLine="0"/>
              <w:jc w:val="right"/>
            </w:pPr>
            <w:r>
              <w:rPr>
                <w:rFonts w:ascii="宋体" w:hAnsi="宋体" w:eastAsia="宋体"/>
                <w:b w:val="0"/>
                <w:i w:val="0"/>
                <w:color w:val="000000"/>
                <w:sz w:val="18"/>
              </w:rPr>
              <w:t xml:space="preserve">9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太原坞城路证券营业部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山西省太原市坞城路53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张振宇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0351-7630881 </w:t>
            </w:r>
          </w:p>
        </w:tc>
      </w:tr>
      <w:tr>
        <w:trPr>
          <w:trHeight w:hRule="exact" w:val="406"/>
        </w:trPr>
        <w:tc>
          <w:tcPr>
            <w:tcW w:type="dxa" w:w="428"/>
            <w:tcBorders>
              <w:start w:sz="4.0" w:val="single" w:color="#000000"/>
              <w:top w:sz="4.0" w:val="single" w:color="#000000"/>
              <w:end w:sz="3.1999999999999886" w:val="single" w:color="#000000"/>
              <w:bottom w:sz="3.200000000000273"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10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古交腾飞路证券营业部 </w:t>
            </w:r>
          </w:p>
        </w:tc>
        <w:tc>
          <w:tcPr>
            <w:tcW w:type="dxa" w:w="386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山西省古交市腾飞路17 号 </w:t>
            </w:r>
          </w:p>
        </w:tc>
        <w:tc>
          <w:tcPr>
            <w:tcW w:type="dxa" w:w="99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许海涛 </w:t>
            </w:r>
          </w:p>
        </w:tc>
        <w:tc>
          <w:tcPr>
            <w:tcW w:type="dxa" w:w="1388"/>
            <w:tcBorders>
              <w:start w:sz="4.0" w:val="single" w:color="#000000"/>
              <w:top w:sz="4.0" w:val="single" w:color="#000000"/>
              <w:end w:sz="3.2000000000007276" w:val="single" w:color="#000000"/>
              <w:bottom w:sz="3.200000000000273"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0351-5869108 </w:t>
            </w:r>
          </w:p>
        </w:tc>
      </w:tr>
      <w:tr>
        <w:trPr>
          <w:trHeight w:hRule="exact" w:val="410"/>
        </w:trPr>
        <w:tc>
          <w:tcPr>
            <w:tcW w:type="dxa" w:w="428"/>
            <w:tcBorders>
              <w:start w:sz="4.0" w:val="single" w:color="#000000"/>
              <w:top w:sz="3.200000000000273"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11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86" w:right="0" w:firstLine="0"/>
              <w:jc w:val="left"/>
            </w:pPr>
            <w:r>
              <w:rPr>
                <w:rFonts w:ascii="宋体" w:hAnsi="宋体" w:eastAsia="宋体"/>
                <w:b w:val="0"/>
                <w:i w:val="0"/>
                <w:color w:val="000000"/>
                <w:sz w:val="18"/>
              </w:rPr>
              <w:t xml:space="preserve">清徐美锦北大街证券营业部 </w:t>
            </w:r>
          </w:p>
        </w:tc>
        <w:tc>
          <w:tcPr>
            <w:tcW w:type="dxa" w:w="386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山西省太原市清徐县美锦北大街234 号 </w:t>
            </w:r>
          </w:p>
        </w:tc>
        <w:tc>
          <w:tcPr>
            <w:tcW w:type="dxa" w:w="99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姚  锋 </w:t>
            </w:r>
          </w:p>
        </w:tc>
        <w:tc>
          <w:tcPr>
            <w:tcW w:type="dxa" w:w="1388"/>
            <w:tcBorders>
              <w:start w:sz="4.0" w:val="single" w:color="#000000"/>
              <w:top w:sz="3.20000000000027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0351-5731601 </w:t>
            </w:r>
          </w:p>
        </w:tc>
      </w:tr>
      <w:tr>
        <w:trPr>
          <w:trHeight w:hRule="exact" w:val="406"/>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12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太原西矿街证券营业部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山西省太原市万柏林区西矿街63 号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郭晓辉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0351-6184153 </w:t>
            </w:r>
          </w:p>
        </w:tc>
      </w:tr>
      <w:tr>
        <w:trPr>
          <w:trHeight w:hRule="exact" w:val="406"/>
        </w:trPr>
        <w:tc>
          <w:tcPr>
            <w:tcW w:type="dxa" w:w="428"/>
            <w:tcBorders>
              <w:start w:sz="4.0" w:val="single" w:color="#000000"/>
              <w:top w:sz="3.199999999999818" w:val="single" w:color="#000000"/>
              <w:end w:sz="3.1999999999999886" w:val="single" w:color="#000000"/>
              <w:bottom w:sz="3.2000000000007276"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13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太原平阳路证券营业部 </w:t>
            </w:r>
          </w:p>
        </w:tc>
        <w:tc>
          <w:tcPr>
            <w:tcW w:type="dxa" w:w="3866"/>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山西省太原市平阳路103 号 </w:t>
            </w:r>
          </w:p>
        </w:tc>
        <w:tc>
          <w:tcPr>
            <w:tcW w:type="dxa" w:w="99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吴  海 </w:t>
            </w:r>
          </w:p>
        </w:tc>
        <w:tc>
          <w:tcPr>
            <w:tcW w:type="dxa" w:w="1388"/>
            <w:tcBorders>
              <w:start w:sz="4.0" w:val="single" w:color="#000000"/>
              <w:top w:sz="3.199999999999818" w:val="single" w:color="#000000"/>
              <w:end w:sz="3.2000000000007276" w:val="single" w:color="#000000"/>
              <w:bottom w:sz="3.2000000000007276"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0351-7320339 </w:t>
            </w:r>
          </w:p>
        </w:tc>
      </w:tr>
      <w:tr>
        <w:trPr>
          <w:trHeight w:hRule="exact" w:val="650"/>
        </w:trPr>
        <w:tc>
          <w:tcPr>
            <w:tcW w:type="dxa" w:w="428"/>
            <w:tcBorders>
              <w:start w:sz="4.0" w:val="single" w:color="#000000"/>
              <w:top w:sz="3.2000000000007276"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14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太原真武路证券营业部 </w:t>
            </w:r>
          </w:p>
        </w:tc>
        <w:tc>
          <w:tcPr>
            <w:tcW w:type="dxa" w:w="386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山西省太原市小店区新村真武路与康宁街十字</w:t>
            </w:r>
            <w:r>
              <w:rPr>
                <w:rFonts w:ascii="宋体" w:hAnsi="宋体" w:eastAsia="宋体"/>
                <w:b w:val="0"/>
                <w:i w:val="0"/>
                <w:color w:val="000000"/>
                <w:sz w:val="18"/>
              </w:rPr>
              <w:t xml:space="preserve">路口东北角A 区206 号 </w:t>
            </w:r>
          </w:p>
        </w:tc>
        <w:tc>
          <w:tcPr>
            <w:tcW w:type="dxa" w:w="99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张泽军 </w:t>
            </w:r>
          </w:p>
        </w:tc>
        <w:tc>
          <w:tcPr>
            <w:tcW w:type="dxa" w:w="1388"/>
            <w:tcBorders>
              <w:start w:sz="4.0" w:val="single" w:color="#000000"/>
              <w:top w:sz="3.2000000000007276"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0351-5620238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15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452" w:val="left"/>
              </w:tabs>
              <w:autoSpaceDE w:val="0"/>
              <w:widowControl/>
              <w:spacing w:line="320" w:lineRule="exact" w:before="816" w:after="0"/>
              <w:ind w:left="136" w:right="0" w:firstLine="0"/>
              <w:jc w:val="left"/>
            </w:pPr>
            <w:r>
              <w:rPr>
                <w:rFonts w:ascii="宋体" w:hAnsi="宋体" w:eastAsia="宋体"/>
                <w:b w:val="0"/>
                <w:i w:val="0"/>
                <w:color w:val="000000"/>
                <w:sz w:val="18"/>
              </w:rPr>
              <w:t>（3）长治分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长治英雄南路证券营业部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山西省长治市英雄南路117 号金山国际广场</w:t>
            </w:r>
            <w:r>
              <w:rPr>
                <w:rFonts w:ascii="宋体" w:hAnsi="宋体" w:eastAsia="宋体"/>
                <w:b w:val="0"/>
                <w:i w:val="0"/>
                <w:color w:val="000000"/>
                <w:sz w:val="18"/>
              </w:rPr>
              <w:t xml:space="preserve">3#20-21 号商铺、4#1 号商铺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成  锐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0355-3014158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16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长治长兴中路证券营业部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山西省长治市潞州区长兴中路凯旋都汇广场</w:t>
            </w:r>
            <w:r>
              <w:rPr>
                <w:rFonts w:ascii="宋体" w:hAnsi="宋体" w:eastAsia="宋体"/>
                <w:b w:val="0"/>
                <w:i w:val="0"/>
                <w:color w:val="000000"/>
                <w:sz w:val="18"/>
              </w:rPr>
              <w:t xml:space="preserve">1010 号商铺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万学东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0355-2028026 </w:t>
            </w:r>
          </w:p>
        </w:tc>
      </w:tr>
      <w:tr>
        <w:trPr>
          <w:trHeight w:hRule="exact" w:val="652"/>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17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长治太行西街证券营业部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山西省长治市太行西街66 号潞鼎国际金融中</w:t>
            </w:r>
            <w:r>
              <w:rPr>
                <w:rFonts w:ascii="宋体" w:hAnsi="宋体" w:eastAsia="宋体"/>
                <w:b w:val="0"/>
                <w:i w:val="0"/>
                <w:color w:val="000000"/>
                <w:sz w:val="18"/>
              </w:rPr>
              <w:t xml:space="preserve">心B 座11 层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李小勇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0355-3014108 </w:t>
            </w:r>
          </w:p>
        </w:tc>
      </w:tr>
      <w:tr>
        <w:trPr>
          <w:trHeight w:hRule="exact" w:val="406"/>
        </w:trPr>
        <w:tc>
          <w:tcPr>
            <w:tcW w:type="dxa" w:w="428"/>
            <w:tcBorders>
              <w:start w:sz="4.0" w:val="single" w:color="#000000"/>
              <w:top w:sz="3.199999999999818"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18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襄垣开元西街证券营业部 </w:t>
            </w:r>
          </w:p>
        </w:tc>
        <w:tc>
          <w:tcPr>
            <w:tcW w:type="dxa" w:w="386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山西省襄垣县开元西街94 号 </w:t>
            </w:r>
          </w:p>
        </w:tc>
        <w:tc>
          <w:tcPr>
            <w:tcW w:type="dxa" w:w="9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田  超 </w:t>
            </w:r>
          </w:p>
        </w:tc>
        <w:tc>
          <w:tcPr>
            <w:tcW w:type="dxa" w:w="1388"/>
            <w:tcBorders>
              <w:start w:sz="4.0" w:val="single" w:color="#000000"/>
              <w:top w:sz="3.199999999999818"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0355-3530117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19 </w:t>
            </w:r>
          </w:p>
        </w:tc>
        <w:tc>
          <w:tcPr>
            <w:tcW w:type="dxa" w:w="1274"/>
            <w:vMerge w:val="restart"/>
            <w:tcBorders>
              <w:start w:sz="3.1999999999999886" w:val="single" w:color="#000000"/>
              <w:top w:sz="4.0" w:val="single" w:color="#000000"/>
              <w:end w:sz="4.0" w:val="single" w:color="#000000"/>
              <w:bottom w:sz="3.2000000000007276"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452" w:val="left"/>
              </w:tabs>
              <w:autoSpaceDE w:val="0"/>
              <w:widowControl/>
              <w:spacing w:line="320" w:lineRule="exact" w:before="574" w:after="0"/>
              <w:ind w:left="136" w:right="0" w:firstLine="0"/>
              <w:jc w:val="left"/>
            </w:pPr>
            <w:r>
              <w:rPr>
                <w:rFonts w:ascii="宋体" w:hAnsi="宋体" w:eastAsia="宋体"/>
                <w:b w:val="0"/>
                <w:i w:val="0"/>
                <w:color w:val="000000"/>
                <w:sz w:val="18"/>
              </w:rPr>
              <w:t>（4）运城分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运城河东街证券营业部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山西省运城市盐湖区河东街159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吴  鹏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0359-6381053 </w:t>
            </w:r>
          </w:p>
        </w:tc>
      </w:tr>
      <w:tr>
        <w:trPr>
          <w:trHeight w:hRule="exact" w:val="652"/>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20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河津新兴路证券营业部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山西省运城市河津市城区街道新兴路海华新天</w:t>
            </w:r>
            <w:r>
              <w:rPr>
                <w:rFonts w:ascii="宋体" w:hAnsi="宋体" w:eastAsia="宋体"/>
                <w:b w:val="0"/>
                <w:i w:val="0"/>
                <w:color w:val="000000"/>
                <w:sz w:val="18"/>
              </w:rPr>
              <w:t xml:space="preserve">地商业区2-7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王瑞庆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0359-5032021 </w:t>
            </w:r>
          </w:p>
        </w:tc>
      </w:tr>
      <w:tr>
        <w:trPr>
          <w:trHeight w:hRule="exact" w:val="404"/>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21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永济舜都大道证券营业部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山西省永济市舜都大道2 号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皇甫立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0359-6330618 </w:t>
            </w:r>
          </w:p>
        </w:tc>
      </w:tr>
      <w:tr>
        <w:trPr>
          <w:trHeight w:hRule="exact" w:val="408"/>
        </w:trPr>
        <w:tc>
          <w:tcPr>
            <w:tcW w:type="dxa" w:w="428"/>
            <w:tcBorders>
              <w:start w:sz="4.0" w:val="single" w:color="#000000"/>
              <w:top w:sz="3.199999999999818" w:val="single" w:color="#000000"/>
              <w:end w:sz="3.1999999999999886" w:val="single" w:color="#000000"/>
              <w:bottom w:sz="3.2000000000007276"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22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运城人民北路证券营业部 </w:t>
            </w:r>
          </w:p>
        </w:tc>
        <w:tc>
          <w:tcPr>
            <w:tcW w:type="dxa" w:w="3866"/>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0" w:right="0" w:firstLine="0"/>
              <w:jc w:val="center"/>
            </w:pPr>
            <w:r>
              <w:rPr>
                <w:rFonts w:ascii="宋体" w:hAnsi="宋体" w:eastAsia="宋体"/>
                <w:b w:val="0"/>
                <w:i w:val="0"/>
                <w:color w:val="000000"/>
                <w:sz w:val="18"/>
              </w:rPr>
              <w:t>山西省运城市人民北路锦绣花城南区2 号楼门</w:t>
            </w:r>
          </w:p>
        </w:tc>
        <w:tc>
          <w:tcPr>
            <w:tcW w:type="dxa" w:w="99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李  帅 </w:t>
            </w:r>
          </w:p>
        </w:tc>
        <w:tc>
          <w:tcPr>
            <w:tcW w:type="dxa" w:w="1388"/>
            <w:tcBorders>
              <w:start w:sz="4.0" w:val="single" w:color="#000000"/>
              <w:top w:sz="3.199999999999818" w:val="single" w:color="#000000"/>
              <w:end w:sz="3.2000000000007276" w:val="single" w:color="#000000"/>
              <w:bottom w:sz="3.2000000000007276"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0359-2211618 </w:t>
            </w:r>
          </w:p>
        </w:tc>
      </w:tr>
    </w:tbl>
    <w:p>
      <w:pPr>
        <w:autoSpaceDN w:val="0"/>
        <w:autoSpaceDE w:val="0"/>
        <w:widowControl/>
        <w:spacing w:line="197" w:lineRule="auto" w:before="524" w:after="0"/>
        <w:ind w:left="0" w:right="0" w:firstLine="0"/>
        <w:jc w:val="center"/>
      </w:pPr>
      <w:r>
        <w:rPr>
          <w:rFonts w:ascii="Calibri" w:hAnsi="Calibri" w:eastAsia="Calibri"/>
          <w:b w:val="0"/>
          <w:i w:val="0"/>
          <w:color w:val="000000"/>
          <w:sz w:val="18"/>
        </w:rPr>
        <w:t xml:space="preserve">15 </w:t>
      </w:r>
    </w:p>
    <w:p>
      <w:pPr>
        <w:sectPr>
          <w:type w:val="continuous"/>
          <w:pgSz w:w="11904" w:h="16841"/>
          <w:pgMar w:top="424" w:right="480" w:bottom="446" w:left="504" w:header="720" w:footer="720" w:gutter="0"/>
          <w:cols/>
          <w:docGrid w:linePitch="360"/>
        </w:sectPr>
      </w:pPr>
    </w:p>
    <w:p>
      <w:pPr>
        <w:autoSpaceDN w:val="0"/>
        <w:autoSpaceDE w:val="0"/>
        <w:widowControl/>
        <w:spacing w:line="220" w:lineRule="exact" w:before="0" w:after="206"/>
        <w:ind w:left="0" w:right="0"/>
      </w:pPr>
    </w:p>
    <w:p>
      <w:pPr>
        <w:sectPr>
          <w:pgSz w:w="11904" w:h="16841"/>
          <w:pgMar w:top="424" w:right="480" w:bottom="446" w:left="504" w:header="720" w:footer="720" w:gutter="0"/>
          <w:cols/>
          <w:docGrid w:linePitch="360"/>
        </w:sectPr>
      </w:pPr>
    </w:p>
    <w:p>
      <w:pPr>
        <w:autoSpaceDN w:val="0"/>
        <w:autoSpaceDE w:val="0"/>
        <w:widowControl/>
        <w:spacing w:line="240" w:lineRule="auto" w:before="0" w:after="0"/>
        <w:ind w:left="630" w:right="0" w:firstLine="0"/>
        <w:jc w:val="left"/>
      </w:pPr>
      <w:r>
        <w:drawing>
          <wp:inline xmlns:a="http://schemas.openxmlformats.org/drawingml/2006/main" xmlns:pic="http://schemas.openxmlformats.org/drawingml/2006/picture">
            <wp:extent cx="1844039" cy="439419"/>
            <wp:docPr id="18" name="Picture 1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200" w:lineRule="exact" w:before="0" w:after="30"/>
        <w:ind w:left="0" w:right="66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820"/>
        <w:gridCol w:w="1820"/>
        <w:gridCol w:w="1820"/>
        <w:gridCol w:w="1820"/>
        <w:gridCol w:w="1820"/>
        <w:gridCol w:w="1820"/>
      </w:tblGrid>
      <w:tr>
        <w:trPr>
          <w:trHeight w:hRule="exact" w:val="40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Pr>
          <w:p/>
        </w:tc>
        <w:tc>
          <w:tcPr>
            <w:tcW w:type="dxa" w:w="2942"/>
            <w:tcBorders>
              <w:start w:sz="4.0" w:val="single" w:color="#000000"/>
              <w:top w:sz="5.600000000000023" w:val="single" w:color="#000000"/>
              <w:end w:sz="4.0" w:val="single" w:color="#000000"/>
              <w:bottom w:sz="4.0" w:val="single" w:color="#000000"/>
            </w:tcBorders>
            <w:tcMar>
              <w:start w:w="0" w:type="dxa"/>
              <w:end w:w="0" w:type="dxa"/>
            </w:tcMar>
          </w:tcPr>
          <w:p/>
        </w:tc>
        <w:tc>
          <w:tcPr>
            <w:tcW w:type="dxa" w:w="386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98" w:after="0"/>
              <w:ind w:left="104" w:right="0" w:firstLine="0"/>
              <w:jc w:val="left"/>
            </w:pPr>
            <w:r>
              <w:rPr>
                <w:rFonts w:ascii="宋体" w:hAnsi="宋体" w:eastAsia="宋体"/>
                <w:b w:val="0"/>
                <w:i w:val="0"/>
                <w:color w:val="000000"/>
                <w:sz w:val="18"/>
              </w:rPr>
              <w:t xml:space="preserve">面8 号 </w:t>
            </w:r>
          </w:p>
        </w:tc>
        <w:tc>
          <w:tcPr>
            <w:tcW w:type="dxa" w:w="994"/>
            <w:tcBorders>
              <w:start w:sz="4.0" w:val="single" w:color="#000000"/>
              <w:top w:sz="5.600000000000023" w:val="single" w:color="#000000"/>
              <w:end w:sz="4.0" w:val="single" w:color="#000000"/>
              <w:bottom w:sz="4.0" w:val="single" w:color="#000000"/>
            </w:tcBorders>
            <w:tcMar>
              <w:start w:w="0" w:type="dxa"/>
              <w:end w:w="0" w:type="dxa"/>
            </w:tcMar>
          </w:tcPr>
          <w:p/>
        </w:tc>
        <w:tc>
          <w:tcPr>
            <w:tcW w:type="dxa" w:w="1388"/>
            <w:tcBorders>
              <w:start w:sz="4.0" w:val="single" w:color="#000000"/>
              <w:top w:sz="5.600000000000023" w:val="single" w:color="#000000"/>
              <w:end w:sz="3.2000000000007276" w:val="single" w:color="#000000"/>
              <w:bottom w:sz="4.0" w:val="single" w:color="#000000"/>
            </w:tcBorders>
            <w:tcMar>
              <w:start w:w="0" w:type="dxa"/>
              <w:end w:w="0" w:type="dxa"/>
            </w:tcMar>
          </w:tcP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23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474" w:right="0" w:firstLine="0"/>
              <w:jc w:val="left"/>
            </w:pPr>
            <w:r>
              <w:rPr>
                <w:rFonts w:ascii="宋体" w:hAnsi="宋体" w:eastAsia="宋体"/>
                <w:b w:val="0"/>
                <w:i w:val="0"/>
                <w:color w:val="000000"/>
                <w:sz w:val="18"/>
              </w:rPr>
              <w:t xml:space="preserve">芮城永乐北路证券营业部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山西省芮城县永乐北路024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杨智栋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0359-6379819 </w:t>
            </w:r>
          </w:p>
        </w:tc>
      </w:tr>
      <w:tr>
        <w:trPr>
          <w:trHeight w:hRule="exact" w:val="64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24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474" w:right="0" w:firstLine="0"/>
              <w:jc w:val="left"/>
            </w:pPr>
            <w:r>
              <w:rPr>
                <w:rFonts w:ascii="宋体" w:hAnsi="宋体" w:eastAsia="宋体"/>
                <w:b w:val="0"/>
                <w:i w:val="0"/>
                <w:color w:val="000000"/>
                <w:sz w:val="18"/>
              </w:rPr>
              <w:t xml:space="preserve">闻喜龙海大道证券营业部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8" w:lineRule="exact" w:before="0" w:after="0"/>
              <w:ind w:left="104" w:right="144" w:firstLine="0"/>
              <w:jc w:val="left"/>
            </w:pPr>
            <w:r>
              <w:rPr>
                <w:rFonts w:ascii="宋体" w:hAnsi="宋体" w:eastAsia="宋体"/>
                <w:b w:val="0"/>
                <w:i w:val="0"/>
                <w:color w:val="000000"/>
                <w:sz w:val="18"/>
              </w:rPr>
              <w:t>山西省运城市闻喜县苗圃社区西湖南路609 号</w:t>
            </w:r>
            <w:r>
              <w:rPr>
                <w:rFonts w:ascii="宋体" w:hAnsi="宋体" w:eastAsia="宋体"/>
                <w:b w:val="0"/>
                <w:i w:val="0"/>
                <w:color w:val="000000"/>
                <w:sz w:val="18"/>
              </w:rPr>
              <w:t xml:space="preserve">龙海大道2 幢1 层03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贾智勤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144" w:right="0" w:firstLine="0"/>
              <w:jc w:val="left"/>
            </w:pPr>
            <w:r>
              <w:rPr>
                <w:rFonts w:ascii="宋体" w:hAnsi="宋体" w:eastAsia="宋体"/>
                <w:b w:val="0"/>
                <w:i w:val="0"/>
                <w:color w:val="000000"/>
                <w:sz w:val="18"/>
              </w:rPr>
              <w:t xml:space="preserve">0359-7023661 </w:t>
            </w:r>
          </w:p>
        </w:tc>
      </w:tr>
      <w:tr>
        <w:trPr>
          <w:trHeight w:hRule="exact" w:val="40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25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452" w:val="left"/>
              </w:tabs>
              <w:autoSpaceDE w:val="0"/>
              <w:widowControl/>
              <w:spacing w:line="322" w:lineRule="exact" w:before="1302" w:after="0"/>
              <w:ind w:left="136" w:right="0" w:firstLine="0"/>
              <w:jc w:val="left"/>
            </w:pPr>
            <w:r>
              <w:rPr>
                <w:rFonts w:ascii="宋体" w:hAnsi="宋体" w:eastAsia="宋体"/>
                <w:b w:val="0"/>
                <w:i w:val="0"/>
                <w:color w:val="000000"/>
                <w:sz w:val="18"/>
              </w:rPr>
              <w:t>（5）吕梁分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86" w:right="0" w:firstLine="0"/>
              <w:jc w:val="left"/>
            </w:pPr>
            <w:r>
              <w:rPr>
                <w:rFonts w:ascii="宋体" w:hAnsi="宋体" w:eastAsia="宋体"/>
                <w:b w:val="0"/>
                <w:i w:val="0"/>
                <w:color w:val="000000"/>
                <w:sz w:val="18"/>
              </w:rPr>
              <w:t xml:space="preserve">离石滨河北西路证券营业部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山西省离石区滨河北西路1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刘永兵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0358-8288922 </w:t>
            </w: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26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474" w:right="0" w:firstLine="0"/>
              <w:jc w:val="left"/>
            </w:pPr>
            <w:r>
              <w:rPr>
                <w:rFonts w:ascii="宋体" w:hAnsi="宋体" w:eastAsia="宋体"/>
                <w:b w:val="0"/>
                <w:i w:val="0"/>
                <w:color w:val="000000"/>
                <w:sz w:val="18"/>
              </w:rPr>
              <w:t xml:space="preserve">汾阳英雄中路证券营业部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山西省汾阳市英雄中路8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宋文军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0358-7223190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27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汾阳汾酒厂证券营业部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山西省汾阳市杏花村汾酒厂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赵  杰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0358-7220805 </w:t>
            </w:r>
          </w:p>
        </w:tc>
      </w:tr>
      <w:tr>
        <w:trPr>
          <w:trHeight w:hRule="exact" w:val="64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28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474" w:right="0" w:firstLine="0"/>
              <w:jc w:val="left"/>
            </w:pPr>
            <w:r>
              <w:rPr>
                <w:rFonts w:ascii="宋体" w:hAnsi="宋体" w:eastAsia="宋体"/>
                <w:b w:val="0"/>
                <w:i w:val="0"/>
                <w:color w:val="000000"/>
                <w:sz w:val="18"/>
              </w:rPr>
              <w:t xml:space="preserve">柳林贺昌大街证券营业部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山西省柳林县贺昌大街万隆公寓小区A 座A03</w:t>
            </w:r>
            <w:r>
              <w:rPr>
                <w:rFonts w:ascii="宋体" w:hAnsi="宋体" w:eastAsia="宋体"/>
                <w:b w:val="0"/>
                <w:i w:val="0"/>
                <w:color w:val="000000"/>
                <w:sz w:val="18"/>
              </w:rPr>
              <w:t xml:space="preserve">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杨栋栋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144" w:right="0" w:firstLine="0"/>
              <w:jc w:val="left"/>
            </w:pPr>
            <w:r>
              <w:rPr>
                <w:rFonts w:ascii="宋体" w:hAnsi="宋体" w:eastAsia="宋体"/>
                <w:b w:val="0"/>
                <w:i w:val="0"/>
                <w:color w:val="000000"/>
                <w:sz w:val="18"/>
              </w:rPr>
              <w:t xml:space="preserve">0358-4313101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29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交城迎宾路证券营业部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山西省吕梁市交城县迎宾路学府苑2 号商铺</w:t>
            </w:r>
            <w:r>
              <w:rPr>
                <w:rFonts w:ascii="宋体" w:hAnsi="宋体" w:eastAsia="宋体"/>
                <w:b w:val="0"/>
                <w:i w:val="0"/>
                <w:color w:val="000000"/>
                <w:sz w:val="18"/>
              </w:rPr>
              <w:t xml:space="preserve">（2、3 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原堂明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0358-3526305 </w:t>
            </w: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30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临县南关街证券营业部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山西省吕梁市临县临泉镇南关街137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马永才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0358-2306060 </w:t>
            </w:r>
          </w:p>
        </w:tc>
      </w:tr>
      <w:tr>
        <w:trPr>
          <w:trHeight w:hRule="exact" w:val="40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31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孝义迎宾路证券营业部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山西省吕梁市孝义市新义街道迎宾路107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杜忠新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0358-7630316 </w:t>
            </w: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32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452" w:val="left"/>
              </w:tabs>
              <w:autoSpaceDE w:val="0"/>
              <w:widowControl/>
              <w:spacing w:line="320" w:lineRule="exact" w:before="696" w:after="0"/>
              <w:ind w:left="136" w:right="0" w:firstLine="0"/>
              <w:jc w:val="left"/>
            </w:pPr>
            <w:r>
              <w:rPr>
                <w:rFonts w:ascii="宋体" w:hAnsi="宋体" w:eastAsia="宋体"/>
                <w:b w:val="0"/>
                <w:i w:val="0"/>
                <w:color w:val="000000"/>
                <w:sz w:val="18"/>
              </w:rPr>
              <w:t>（6）阳泉分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474" w:right="0" w:firstLine="0"/>
              <w:jc w:val="left"/>
            </w:pPr>
            <w:r>
              <w:rPr>
                <w:rFonts w:ascii="宋体" w:hAnsi="宋体" w:eastAsia="宋体"/>
                <w:b w:val="0"/>
                <w:i w:val="0"/>
                <w:color w:val="000000"/>
                <w:sz w:val="18"/>
              </w:rPr>
              <w:t xml:space="preserve">阳泉德胜东街证券营业部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山西省阳泉市城区德胜东街23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赵燕云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0353-2026566 </w:t>
            </w:r>
          </w:p>
        </w:tc>
      </w:tr>
      <w:tr>
        <w:trPr>
          <w:trHeight w:hRule="exact" w:val="40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38" w:after="0"/>
              <w:ind w:left="0" w:right="30" w:firstLine="0"/>
              <w:jc w:val="right"/>
            </w:pPr>
            <w:r>
              <w:rPr>
                <w:rFonts w:ascii="宋体" w:hAnsi="宋体" w:eastAsia="宋体"/>
                <w:b w:val="0"/>
                <w:i w:val="0"/>
                <w:color w:val="000000"/>
                <w:sz w:val="18"/>
              </w:rPr>
              <w:t xml:space="preserve">33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474" w:right="0" w:firstLine="0"/>
              <w:jc w:val="left"/>
            </w:pPr>
            <w:r>
              <w:rPr>
                <w:rFonts w:ascii="宋体" w:hAnsi="宋体" w:eastAsia="宋体"/>
                <w:b w:val="0"/>
                <w:i w:val="0"/>
                <w:color w:val="000000"/>
                <w:sz w:val="18"/>
              </w:rPr>
              <w:t xml:space="preserve">阳泉桃北中路证券营业部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4" w:right="0" w:firstLine="0"/>
              <w:jc w:val="left"/>
            </w:pPr>
            <w:r>
              <w:rPr>
                <w:rFonts w:ascii="宋体" w:hAnsi="宋体" w:eastAsia="宋体"/>
                <w:b w:val="0"/>
                <w:i w:val="0"/>
                <w:color w:val="000000"/>
                <w:sz w:val="18"/>
              </w:rPr>
              <w:t xml:space="preserve">山西省阳泉市矿区桃北中路182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220" w:right="0" w:firstLine="0"/>
              <w:jc w:val="left"/>
            </w:pPr>
            <w:r>
              <w:rPr>
                <w:rFonts w:ascii="宋体" w:hAnsi="宋体" w:eastAsia="宋体"/>
                <w:b w:val="0"/>
                <w:i w:val="0"/>
                <w:color w:val="000000"/>
                <w:sz w:val="18"/>
              </w:rPr>
              <w:t xml:space="preserve">赵秀志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38" w:after="0"/>
              <w:ind w:left="144" w:right="0" w:firstLine="0"/>
              <w:jc w:val="left"/>
            </w:pPr>
            <w:r>
              <w:rPr>
                <w:rFonts w:ascii="宋体" w:hAnsi="宋体" w:eastAsia="宋体"/>
                <w:b w:val="0"/>
                <w:i w:val="0"/>
                <w:color w:val="000000"/>
                <w:sz w:val="18"/>
              </w:rPr>
              <w:t xml:space="preserve">0353-4065931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34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盂县金龙东街证券营业部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山西省阳泉盂县县城金龙东街（龙泉苑005 号</w:t>
            </w:r>
            <w:r>
              <w:rPr>
                <w:rFonts w:ascii="宋体" w:hAnsi="宋体" w:eastAsia="宋体"/>
                <w:b w:val="0"/>
                <w:i w:val="0"/>
                <w:color w:val="000000"/>
                <w:sz w:val="18"/>
              </w:rPr>
              <w:t xml:space="preserve">东户）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杜  刚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0353-8187801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35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平定府新街证券营业部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山西省阳泉市平定县冠山镇金潭小区底商X-9</w:t>
            </w:r>
            <w:r>
              <w:rPr>
                <w:rFonts w:ascii="宋体" w:hAnsi="宋体" w:eastAsia="宋体"/>
                <w:b w:val="0"/>
                <w:i w:val="0"/>
                <w:color w:val="000000"/>
                <w:sz w:val="18"/>
              </w:rPr>
              <w:t xml:space="preserve">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米江涛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0353-6981770 </w:t>
            </w:r>
          </w:p>
        </w:tc>
      </w:tr>
      <w:tr>
        <w:trPr>
          <w:trHeight w:hRule="exact" w:val="650"/>
        </w:trPr>
        <w:tc>
          <w:tcPr>
            <w:tcW w:type="dxa" w:w="428"/>
            <w:tcBorders>
              <w:start w:sz="4.0" w:val="single" w:color="#000000"/>
              <w:top w:sz="4.0" w:val="single" w:color="#000000"/>
              <w:end w:sz="3.1999999999999886" w:val="single" w:color="#000000"/>
              <w:bottom w:sz="3.200000000000273"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36 </w:t>
            </w:r>
          </w:p>
        </w:tc>
        <w:tc>
          <w:tcPr>
            <w:tcW w:type="dxa" w:w="1274"/>
            <w:vMerge w:val="restart"/>
            <w:tcBorders>
              <w:start w:sz="3.1999999999999886" w:val="single" w:color="#000000"/>
              <w:top w:sz="4.0" w:val="single" w:color="#000000"/>
              <w:end w:sz="4.0" w:val="single" w:color="#000000"/>
              <w:bottom w:sz="3.2000000000007276"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452" w:val="left"/>
              </w:tabs>
              <w:autoSpaceDE w:val="0"/>
              <w:widowControl/>
              <w:spacing w:line="318" w:lineRule="exact" w:before="942" w:after="0"/>
              <w:ind w:left="136" w:right="0" w:firstLine="0"/>
              <w:jc w:val="left"/>
            </w:pPr>
            <w:r>
              <w:rPr>
                <w:rFonts w:ascii="宋体" w:hAnsi="宋体" w:eastAsia="宋体"/>
                <w:b w:val="0"/>
                <w:i w:val="0"/>
                <w:color w:val="000000"/>
                <w:sz w:val="18"/>
              </w:rPr>
              <w:t>（7）大同分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大同永泰南路证券营业部 </w:t>
            </w:r>
          </w:p>
        </w:tc>
        <w:tc>
          <w:tcPr>
            <w:tcW w:type="dxa" w:w="386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山西省大同市平城区永泰南路西侧桐城中央二</w:t>
            </w:r>
            <w:r>
              <w:rPr>
                <w:rFonts w:ascii="宋体" w:hAnsi="宋体" w:eastAsia="宋体"/>
                <w:b w:val="0"/>
                <w:i w:val="0"/>
                <w:color w:val="000000"/>
                <w:sz w:val="18"/>
              </w:rPr>
              <w:t xml:space="preserve">期综合商务楼1 层102 号、2 层202 号 </w:t>
            </w:r>
          </w:p>
        </w:tc>
        <w:tc>
          <w:tcPr>
            <w:tcW w:type="dxa" w:w="99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王亚飞 </w:t>
            </w:r>
          </w:p>
        </w:tc>
        <w:tc>
          <w:tcPr>
            <w:tcW w:type="dxa" w:w="1388"/>
            <w:tcBorders>
              <w:start w:sz="4.0" w:val="single" w:color="#000000"/>
              <w:top w:sz="4.0" w:val="single" w:color="#000000"/>
              <w:end w:sz="3.2000000000007276" w:val="single" w:color="#000000"/>
              <w:bottom w:sz="3.200000000000273"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0352-2085918 </w:t>
            </w:r>
          </w:p>
        </w:tc>
      </w:tr>
      <w:tr>
        <w:trPr>
          <w:trHeight w:hRule="exact" w:val="650"/>
        </w:trPr>
        <w:tc>
          <w:tcPr>
            <w:tcW w:type="dxa" w:w="428"/>
            <w:tcBorders>
              <w:start w:sz="4.0" w:val="single" w:color="#000000"/>
              <w:top w:sz="3.200000000000273"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37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大同武定北路证券营业部 </w:t>
            </w:r>
          </w:p>
        </w:tc>
        <w:tc>
          <w:tcPr>
            <w:tcW w:type="dxa" w:w="386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山西省大同市城区武定北路中段东侧凤凰翰林</w:t>
            </w:r>
            <w:r>
              <w:rPr>
                <w:rFonts w:ascii="宋体" w:hAnsi="宋体" w:eastAsia="宋体"/>
                <w:b w:val="0"/>
                <w:i w:val="0"/>
                <w:color w:val="000000"/>
                <w:sz w:val="18"/>
              </w:rPr>
              <w:t xml:space="preserve">别院17 号楼8 号商铺二层 </w:t>
            </w:r>
          </w:p>
        </w:tc>
        <w:tc>
          <w:tcPr>
            <w:tcW w:type="dxa" w:w="99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韩志颖 </w:t>
            </w:r>
          </w:p>
        </w:tc>
        <w:tc>
          <w:tcPr>
            <w:tcW w:type="dxa" w:w="1388"/>
            <w:tcBorders>
              <w:start w:sz="4.0" w:val="single" w:color="#000000"/>
              <w:top w:sz="3.20000000000027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0352-6010200 </w:t>
            </w:r>
          </w:p>
        </w:tc>
      </w:tr>
      <w:tr>
        <w:trPr>
          <w:trHeight w:hRule="exact" w:val="652"/>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38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14" w:right="0" w:firstLine="0"/>
              <w:jc w:val="left"/>
            </w:pPr>
            <w:r>
              <w:rPr>
                <w:rFonts w:ascii="宋体" w:hAnsi="宋体" w:eastAsia="宋体"/>
                <w:b w:val="0"/>
                <w:i w:val="0"/>
                <w:color w:val="000000"/>
                <w:sz w:val="18"/>
              </w:rPr>
              <w:t xml:space="preserve">呼和浩特鄂尔多斯东街证券营业部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内蒙古自治区呼和浩特市赛罕区腾飞南路65</w:t>
            </w:r>
            <w:r>
              <w:rPr>
                <w:rFonts w:ascii="宋体" w:hAnsi="宋体" w:eastAsia="宋体"/>
                <w:b w:val="0"/>
                <w:i w:val="0"/>
                <w:color w:val="000000"/>
                <w:sz w:val="18"/>
              </w:rPr>
              <w:t xml:space="preserve">号1102 号商铺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28" w:right="0" w:firstLine="0"/>
              <w:jc w:val="left"/>
            </w:pPr>
            <w:r>
              <w:rPr>
                <w:rFonts w:ascii="宋体" w:hAnsi="宋体" w:eastAsia="宋体"/>
                <w:b w:val="0"/>
                <w:i w:val="0"/>
                <w:color w:val="000000"/>
                <w:sz w:val="18"/>
              </w:rPr>
              <w:t xml:space="preserve">萨础日嘎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0471-3348780 </w:t>
            </w:r>
          </w:p>
        </w:tc>
      </w:tr>
      <w:tr>
        <w:trPr>
          <w:trHeight w:hRule="exact" w:val="650"/>
        </w:trPr>
        <w:tc>
          <w:tcPr>
            <w:tcW w:type="dxa" w:w="428"/>
            <w:tcBorders>
              <w:start w:sz="4.0" w:val="single" w:color="#000000"/>
              <w:top w:sz="4.0" w:val="single" w:color="#000000"/>
              <w:end w:sz="3.1999999999999886" w:val="single" w:color="#000000"/>
              <w:bottom w:sz="3.2000000000007276"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39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大同文化街证券营业部 </w:t>
            </w:r>
          </w:p>
        </w:tc>
        <w:tc>
          <w:tcPr>
            <w:tcW w:type="dxa" w:w="386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山西省大同市云冈区平旺文化街名都广场商铺</w:t>
            </w:r>
            <w:r>
              <w:rPr>
                <w:rFonts w:ascii="宋体" w:hAnsi="宋体" w:eastAsia="宋体"/>
                <w:b w:val="0"/>
                <w:i w:val="0"/>
                <w:color w:val="000000"/>
                <w:sz w:val="18"/>
              </w:rPr>
              <w:t xml:space="preserve">正9 号门面房 </w:t>
            </w:r>
          </w:p>
        </w:tc>
        <w:tc>
          <w:tcPr>
            <w:tcW w:type="dxa" w:w="99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张  宇 </w:t>
            </w:r>
          </w:p>
        </w:tc>
        <w:tc>
          <w:tcPr>
            <w:tcW w:type="dxa" w:w="1388"/>
            <w:tcBorders>
              <w:start w:sz="4.0" w:val="single" w:color="#000000"/>
              <w:top w:sz="4.0" w:val="single" w:color="#000000"/>
              <w:end w:sz="3.2000000000007276" w:val="single" w:color="#000000"/>
              <w:bottom w:sz="3.2000000000007276"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0352-7866181 </w:t>
            </w:r>
          </w:p>
        </w:tc>
      </w:tr>
      <w:tr>
        <w:trPr>
          <w:trHeight w:hRule="exact" w:val="648"/>
        </w:trPr>
        <w:tc>
          <w:tcPr>
            <w:tcW w:type="dxa" w:w="428"/>
            <w:tcBorders>
              <w:start w:sz="4.0" w:val="single" w:color="#000000"/>
              <w:top w:sz="3.2000000000007276"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40 </w:t>
            </w:r>
          </w:p>
        </w:tc>
        <w:tc>
          <w:tcPr>
            <w:tcW w:type="dxa" w:w="1274"/>
            <w:vMerge w:val="restart"/>
            <w:tcBorders>
              <w:start w:sz="3.1999999999999886" w:val="single" w:color="#000000"/>
              <w:top w:sz="3.2000000000007276" w:val="single" w:color="#000000"/>
              <w:end w:sz="4.0" w:val="single" w:color="#000000"/>
              <w:bottom w:sz="4.0" w:val="single" w:color="#000000"/>
            </w:tcBorders>
            <w:tcMar>
              <w:start w:w="0" w:type="dxa"/>
              <w:end w:w="0" w:type="dxa"/>
            </w:tcMar>
            <w:tcMar>
              <w:start w:w="0" w:type="dxa"/>
              <w:end w:w="0" w:type="dxa"/>
            </w:tcMar>
          </w:tcPr>
          <w:p>
            <w:pPr>
              <w:autoSpaceDN w:val="0"/>
              <w:tabs>
                <w:tab w:pos="452" w:val="left"/>
              </w:tabs>
              <w:autoSpaceDE w:val="0"/>
              <w:widowControl/>
              <w:spacing w:line="320" w:lineRule="exact" w:before="286" w:after="0"/>
              <w:ind w:left="136" w:right="0" w:firstLine="0"/>
              <w:jc w:val="left"/>
            </w:pPr>
            <w:r>
              <w:rPr>
                <w:rFonts w:ascii="宋体" w:hAnsi="宋体" w:eastAsia="宋体"/>
                <w:b w:val="0"/>
                <w:i w:val="0"/>
                <w:color w:val="000000"/>
                <w:sz w:val="18"/>
              </w:rPr>
              <w:t>（8）忻州分</w:t>
            </w:r>
            <w:r>
              <w:rPr>
                <w:rFonts w:ascii="宋体" w:hAnsi="宋体" w:eastAsia="宋体"/>
                <w:b w:val="0"/>
                <w:i w:val="0"/>
                <w:color w:val="000000"/>
                <w:sz w:val="18"/>
              </w:rPr>
              <w:t xml:space="preserve">公司 </w:t>
            </w:r>
          </w:p>
        </w:tc>
        <w:tc>
          <w:tcPr>
            <w:tcW w:type="dxa" w:w="2942"/>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忻州和平西街证券营业部 </w:t>
            </w:r>
          </w:p>
        </w:tc>
        <w:tc>
          <w:tcPr>
            <w:tcW w:type="dxa" w:w="3866"/>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山西省忻州市忻府区和平西街南华信大厦1 幢</w:t>
            </w:r>
            <w:r>
              <w:rPr>
                <w:rFonts w:ascii="宋体" w:hAnsi="宋体" w:eastAsia="宋体"/>
                <w:b w:val="0"/>
                <w:i w:val="0"/>
                <w:color w:val="000000"/>
                <w:sz w:val="18"/>
              </w:rPr>
              <w:t xml:space="preserve">1 层01 单元 </w:t>
            </w:r>
          </w:p>
        </w:tc>
        <w:tc>
          <w:tcPr>
            <w:tcW w:type="dxa" w:w="994"/>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张景泉 </w:t>
            </w:r>
          </w:p>
        </w:tc>
        <w:tc>
          <w:tcPr>
            <w:tcW w:type="dxa" w:w="1388"/>
            <w:tcBorders>
              <w:start w:sz="4.0" w:val="single" w:color="#000000"/>
              <w:top w:sz="3.2000000000007276"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0350-3032130 </w:t>
            </w:r>
          </w:p>
        </w:tc>
      </w:tr>
      <w:tr>
        <w:trPr>
          <w:trHeight w:hRule="exact" w:val="652"/>
        </w:trPr>
        <w:tc>
          <w:tcPr>
            <w:tcW w:type="dxa" w:w="428"/>
            <w:tcBorders>
              <w:start w:sz="4.0" w:val="single" w:color="#000000"/>
              <w:top w:sz="3.199999999999818"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41 </w:t>
            </w:r>
          </w:p>
        </w:tc>
        <w:tc>
          <w:tcPr>
            <w:tcW w:type="dxa" w:w="1820"/>
            <w:vMerge/>
            <w:tcBorders>
              <w:start w:sz="3.1999999999999886" w:val="single" w:color="#000000"/>
              <w:top w:sz="3.2000000000007276" w:val="single" w:color="#000000"/>
              <w:end w:sz="4.0" w:val="single" w:color="#000000"/>
              <w:bottom w:sz="4.0" w:val="single" w:color="#000000"/>
            </w:tcBorders>
          </w:tcPr>
          <w:p/>
        </w:tc>
        <w:tc>
          <w:tcPr>
            <w:tcW w:type="dxa" w:w="294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原平前进西街证券营业部 </w:t>
            </w:r>
          </w:p>
        </w:tc>
        <w:tc>
          <w:tcPr>
            <w:tcW w:type="dxa" w:w="386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山西省忻州市原平市北城街道前进西街559 号</w:t>
            </w:r>
            <w:r>
              <w:rPr>
                <w:rFonts w:ascii="宋体" w:hAnsi="宋体" w:eastAsia="宋体"/>
                <w:b w:val="0"/>
                <w:i w:val="0"/>
                <w:color w:val="000000"/>
                <w:sz w:val="18"/>
              </w:rPr>
              <w:t xml:space="preserve">中央时代广场 </w:t>
            </w:r>
          </w:p>
        </w:tc>
        <w:tc>
          <w:tcPr>
            <w:tcW w:type="dxa" w:w="9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刘东春 </w:t>
            </w:r>
          </w:p>
        </w:tc>
        <w:tc>
          <w:tcPr>
            <w:tcW w:type="dxa" w:w="1388"/>
            <w:tcBorders>
              <w:start w:sz="4.0" w:val="single" w:color="#000000"/>
              <w:top w:sz="3.199999999999818"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0350-3319500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38" w:after="0"/>
              <w:ind w:left="0" w:right="30" w:firstLine="0"/>
              <w:jc w:val="right"/>
            </w:pPr>
            <w:r>
              <w:rPr>
                <w:rFonts w:ascii="宋体" w:hAnsi="宋体" w:eastAsia="宋体"/>
                <w:b w:val="0"/>
                <w:i w:val="0"/>
                <w:color w:val="000000"/>
                <w:sz w:val="18"/>
              </w:rPr>
              <w:t xml:space="preserve">42 </w:t>
            </w:r>
          </w:p>
        </w:tc>
        <w:tc>
          <w:tcPr>
            <w:tcW w:type="dxa" w:w="1274"/>
            <w:vMerge w:val="restart"/>
            <w:tcBorders>
              <w:start w:sz="3.1999999999999886" w:val="single" w:color="#000000"/>
              <w:top w:sz="4.0" w:val="single" w:color="#000000"/>
              <w:end w:sz="4.0" w:val="single" w:color="#000000"/>
              <w:bottom w:sz="3.2000000000007276" w:val="single" w:color="#000000"/>
            </w:tcBorders>
            <w:tcMar>
              <w:start w:w="0" w:type="dxa"/>
              <w:end w:w="0" w:type="dxa"/>
            </w:tcMar>
            <w:tcMar>
              <w:start w:w="0" w:type="dxa"/>
              <w:end w:w="0" w:type="dxa"/>
            </w:tcMar>
            <w:tcMar>
              <w:start w:w="0" w:type="dxa"/>
              <w:end w:w="0" w:type="dxa"/>
            </w:tcMar>
          </w:tcPr>
          <w:p>
            <w:pPr>
              <w:autoSpaceDN w:val="0"/>
              <w:tabs>
                <w:tab w:pos="452" w:val="left"/>
              </w:tabs>
              <w:autoSpaceDE w:val="0"/>
              <w:widowControl/>
              <w:spacing w:line="322" w:lineRule="exact" w:before="242" w:after="0"/>
              <w:ind w:left="136" w:right="0" w:firstLine="0"/>
              <w:jc w:val="left"/>
            </w:pPr>
            <w:r>
              <w:rPr>
                <w:rFonts w:ascii="宋体" w:hAnsi="宋体" w:eastAsia="宋体"/>
                <w:b w:val="0"/>
                <w:i w:val="0"/>
                <w:color w:val="000000"/>
                <w:sz w:val="18"/>
              </w:rPr>
              <w:t>（9）朔州分</w:t>
            </w:r>
            <w:r>
              <w:rPr>
                <w:rFonts w:ascii="宋体" w:hAnsi="宋体" w:eastAsia="宋体"/>
                <w:b w:val="0"/>
                <w:i w:val="0"/>
                <w:color w:val="000000"/>
                <w:sz w:val="18"/>
              </w:rPr>
              <w:t xml:space="preserve">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566" w:right="0" w:firstLine="0"/>
              <w:jc w:val="left"/>
            </w:pPr>
            <w:r>
              <w:rPr>
                <w:rFonts w:ascii="宋体" w:hAnsi="宋体" w:eastAsia="宋体"/>
                <w:b w:val="0"/>
                <w:i w:val="0"/>
                <w:color w:val="000000"/>
                <w:sz w:val="18"/>
              </w:rPr>
              <w:t xml:space="preserve">朔州招远路证券营业部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4" w:right="0" w:firstLine="0"/>
              <w:jc w:val="left"/>
            </w:pPr>
            <w:r>
              <w:rPr>
                <w:rFonts w:ascii="宋体" w:hAnsi="宋体" w:eastAsia="宋体"/>
                <w:b w:val="0"/>
                <w:i w:val="0"/>
                <w:color w:val="000000"/>
                <w:sz w:val="18"/>
              </w:rPr>
              <w:t xml:space="preserve">山西省朔州市朔城经济开发区招远路19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220" w:right="0" w:firstLine="0"/>
              <w:jc w:val="left"/>
            </w:pPr>
            <w:r>
              <w:rPr>
                <w:rFonts w:ascii="宋体" w:hAnsi="宋体" w:eastAsia="宋体"/>
                <w:b w:val="0"/>
                <w:i w:val="0"/>
                <w:color w:val="000000"/>
                <w:sz w:val="18"/>
              </w:rPr>
              <w:t xml:space="preserve">宁维洁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38" w:after="0"/>
              <w:ind w:left="144" w:right="0" w:firstLine="0"/>
              <w:jc w:val="left"/>
            </w:pPr>
            <w:r>
              <w:rPr>
                <w:rFonts w:ascii="宋体" w:hAnsi="宋体" w:eastAsia="宋体"/>
                <w:b w:val="0"/>
                <w:i w:val="0"/>
                <w:color w:val="000000"/>
                <w:sz w:val="18"/>
              </w:rPr>
              <w:t xml:space="preserve">0349-2027333 </w:t>
            </w:r>
          </w:p>
        </w:tc>
      </w:tr>
      <w:tr>
        <w:trPr>
          <w:trHeight w:hRule="exact" w:val="404"/>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43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386" w:right="0" w:firstLine="0"/>
              <w:jc w:val="left"/>
            </w:pPr>
            <w:r>
              <w:rPr>
                <w:rFonts w:ascii="宋体" w:hAnsi="宋体" w:eastAsia="宋体"/>
                <w:b w:val="0"/>
                <w:i w:val="0"/>
                <w:color w:val="000000"/>
                <w:sz w:val="18"/>
              </w:rPr>
              <w:t xml:space="preserve">朔州老城西大街证券营业部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山西省朔州市朔城区老城西大街10 号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张芒芒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0349-2188175 </w:t>
            </w:r>
          </w:p>
        </w:tc>
      </w:tr>
      <w:tr>
        <w:trPr>
          <w:trHeight w:hRule="exact" w:val="408"/>
        </w:trPr>
        <w:tc>
          <w:tcPr>
            <w:tcW w:type="dxa" w:w="428"/>
            <w:tcBorders>
              <w:start w:sz="4.0" w:val="single" w:color="#000000"/>
              <w:top w:sz="3.199999999999818" w:val="single" w:color="#000000"/>
              <w:end w:sz="3.1999999999999886" w:val="single" w:color="#000000"/>
              <w:bottom w:sz="3.2000000000007276"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44 </w:t>
            </w:r>
          </w:p>
        </w:tc>
        <w:tc>
          <w:tcPr>
            <w:tcW w:type="dxa" w:w="1820"/>
            <w:vMerge/>
            <w:tcBorders>
              <w:start w:sz="3.1999999999999886" w:val="single" w:color="#000000"/>
              <w:top w:sz="4.0" w:val="single" w:color="#000000"/>
              <w:end w:sz="4.0" w:val="single" w:color="#000000"/>
              <w:bottom w:sz="3.2000000000007276" w:val="single" w:color="#000000"/>
            </w:tcBorders>
          </w:tcPr>
          <w:p/>
        </w:tc>
        <w:tc>
          <w:tcPr>
            <w:tcW w:type="dxa" w:w="2942"/>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4" w:after="0"/>
              <w:ind w:left="566" w:right="0" w:firstLine="0"/>
              <w:jc w:val="left"/>
            </w:pPr>
            <w:r>
              <w:rPr>
                <w:rFonts w:ascii="宋体" w:hAnsi="宋体" w:eastAsia="宋体"/>
                <w:b w:val="0"/>
                <w:i w:val="0"/>
                <w:color w:val="000000"/>
                <w:sz w:val="18"/>
              </w:rPr>
              <w:t xml:space="preserve">怀仁怀贤街证券营业部 </w:t>
            </w:r>
          </w:p>
        </w:tc>
        <w:tc>
          <w:tcPr>
            <w:tcW w:type="dxa" w:w="3866"/>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山西省怀仁市怀贤街水榭花都西门 </w:t>
            </w:r>
          </w:p>
        </w:tc>
        <w:tc>
          <w:tcPr>
            <w:tcW w:type="dxa" w:w="99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胡美林 </w:t>
            </w:r>
          </w:p>
        </w:tc>
        <w:tc>
          <w:tcPr>
            <w:tcW w:type="dxa" w:w="1388"/>
            <w:tcBorders>
              <w:start w:sz="4.0" w:val="single" w:color="#000000"/>
              <w:top w:sz="3.199999999999818" w:val="single" w:color="#000000"/>
              <w:end w:sz="3.2000000000007276" w:val="single" w:color="#000000"/>
              <w:bottom w:sz="3.2000000000007276"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0349-6612499 </w:t>
            </w:r>
          </w:p>
        </w:tc>
      </w:tr>
      <w:tr>
        <w:trPr>
          <w:trHeight w:hRule="exact" w:val="410"/>
        </w:trPr>
        <w:tc>
          <w:tcPr>
            <w:tcW w:type="dxa" w:w="428"/>
            <w:tcBorders>
              <w:start w:sz="4.0" w:val="single" w:color="#000000"/>
              <w:top w:sz="3.2000000000007276"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45 </w:t>
            </w:r>
          </w:p>
        </w:tc>
        <w:tc>
          <w:tcPr>
            <w:tcW w:type="dxa" w:w="1274"/>
            <w:vMerge w:val="restart"/>
            <w:tcBorders>
              <w:start w:sz="3.1999999999999886" w:val="single" w:color="#000000"/>
              <w:top w:sz="3.2000000000007276"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Pr>
          <w:p>
            <w:pPr>
              <w:autoSpaceDN w:val="0"/>
              <w:tabs>
                <w:tab w:pos="362" w:val="left"/>
              </w:tabs>
              <w:autoSpaceDE w:val="0"/>
              <w:widowControl/>
              <w:spacing w:line="320" w:lineRule="exact" w:before="248" w:after="0"/>
              <w:ind w:left="182" w:right="144" w:firstLine="0"/>
              <w:jc w:val="left"/>
            </w:pPr>
            <w:r>
              <w:rPr>
                <w:rFonts w:ascii="宋体" w:hAnsi="宋体" w:eastAsia="宋体"/>
                <w:b w:val="0"/>
                <w:i w:val="0"/>
                <w:color w:val="000000"/>
                <w:sz w:val="18"/>
              </w:rPr>
              <w:t>（10）晋城</w:t>
            </w:r>
            <w:r>
              <w:rPr>
                <w:rFonts w:ascii="宋体" w:hAnsi="宋体" w:eastAsia="宋体"/>
                <w:b w:val="0"/>
                <w:i w:val="0"/>
                <w:color w:val="000000"/>
                <w:sz w:val="18"/>
              </w:rPr>
              <w:t xml:space="preserve">分公司 </w:t>
            </w:r>
          </w:p>
        </w:tc>
        <w:tc>
          <w:tcPr>
            <w:tcW w:type="dxa" w:w="294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晋城黄华街证券营业部 </w:t>
            </w:r>
          </w:p>
        </w:tc>
        <w:tc>
          <w:tcPr>
            <w:tcW w:type="dxa" w:w="386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0" w:firstLine="0"/>
              <w:jc w:val="center"/>
            </w:pPr>
            <w:r>
              <w:rPr>
                <w:rFonts w:ascii="宋体" w:hAnsi="宋体" w:eastAsia="宋体"/>
                <w:b w:val="0"/>
                <w:i w:val="0"/>
                <w:color w:val="000000"/>
                <w:sz w:val="18"/>
              </w:rPr>
              <w:t xml:space="preserve">山西省晋城市城区南街街道黄华街855 号四楼 </w:t>
            </w:r>
          </w:p>
        </w:tc>
        <w:tc>
          <w:tcPr>
            <w:tcW w:type="dxa" w:w="99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王雷雷 </w:t>
            </w:r>
          </w:p>
        </w:tc>
        <w:tc>
          <w:tcPr>
            <w:tcW w:type="dxa" w:w="1388"/>
            <w:tcBorders>
              <w:start w:sz="4.0" w:val="single" w:color="#000000"/>
              <w:top w:sz="3.2000000000007276"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0356-3053512 </w:t>
            </w:r>
          </w:p>
        </w:tc>
      </w:tr>
      <w:tr>
        <w:trPr>
          <w:trHeight w:hRule="exact" w:val="404"/>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46 </w:t>
            </w:r>
          </w:p>
        </w:tc>
        <w:tc>
          <w:tcPr>
            <w:tcW w:type="dxa" w:w="1820"/>
            <w:vMerge/>
            <w:tcBorders>
              <w:start w:sz="3.1999999999999886" w:val="single" w:color="#000000"/>
              <w:top w:sz="3.2000000000007276"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阳城新阳东街证券营业部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山西省晋城市阳城县凤城镇新阳东街48 号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李泽鑫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0356-4233288 </w:t>
            </w:r>
          </w:p>
        </w:tc>
      </w:tr>
      <w:tr>
        <w:trPr>
          <w:trHeight w:hRule="exact" w:val="408"/>
        </w:trPr>
        <w:tc>
          <w:tcPr>
            <w:tcW w:type="dxa" w:w="428"/>
            <w:tcBorders>
              <w:start w:sz="4.0" w:val="single" w:color="#000000"/>
              <w:top w:sz="3.199999999999818"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47 </w:t>
            </w:r>
          </w:p>
        </w:tc>
        <w:tc>
          <w:tcPr>
            <w:tcW w:type="dxa" w:w="1820"/>
            <w:vMerge/>
            <w:tcBorders>
              <w:start w:sz="3.1999999999999886" w:val="single" w:color="#000000"/>
              <w:top w:sz="3.2000000000007276" w:val="single" w:color="#000000"/>
              <w:end w:sz="4.0" w:val="single" w:color="#000000"/>
              <w:bottom w:sz="3.199999999999818" w:val="single" w:color="#000000"/>
            </w:tcBorders>
          </w:tcPr>
          <w:p/>
        </w:tc>
        <w:tc>
          <w:tcPr>
            <w:tcW w:type="dxa" w:w="294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高平泫氏街证券营业部 </w:t>
            </w:r>
          </w:p>
        </w:tc>
        <w:tc>
          <w:tcPr>
            <w:tcW w:type="dxa" w:w="3866"/>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山西省晋城市高平市泫氏街63 号 </w:t>
            </w:r>
          </w:p>
        </w:tc>
        <w:tc>
          <w:tcPr>
            <w:tcW w:type="dxa" w:w="99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吕  兵 </w:t>
            </w:r>
          </w:p>
        </w:tc>
        <w:tc>
          <w:tcPr>
            <w:tcW w:type="dxa" w:w="1388"/>
            <w:tcBorders>
              <w:start w:sz="4.0" w:val="single" w:color="#000000"/>
              <w:top w:sz="3.199999999999818"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0356-5242399 </w:t>
            </w:r>
          </w:p>
        </w:tc>
      </w:tr>
      <w:tr>
        <w:trPr>
          <w:trHeight w:hRule="exact" w:val="406"/>
        </w:trPr>
        <w:tc>
          <w:tcPr>
            <w:tcW w:type="dxa" w:w="428"/>
            <w:tcBorders>
              <w:start w:sz="4.0" w:val="single" w:color="#000000"/>
              <w:top w:sz="3.199999999999818"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48 </w:t>
            </w:r>
          </w:p>
        </w:tc>
        <w:tc>
          <w:tcPr>
            <w:tcW w:type="dxa" w:w="1274"/>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0" w:firstLine="0"/>
              <w:jc w:val="center"/>
            </w:pPr>
            <w:r>
              <w:rPr>
                <w:rFonts w:ascii="宋体" w:hAnsi="宋体" w:eastAsia="宋体"/>
                <w:b w:val="0"/>
                <w:i w:val="0"/>
                <w:color w:val="000000"/>
                <w:sz w:val="18"/>
              </w:rPr>
              <w:t>（11）晋中</w:t>
            </w:r>
          </w:p>
        </w:tc>
        <w:tc>
          <w:tcPr>
            <w:tcW w:type="dxa" w:w="294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晋中新建路证券营业部 </w:t>
            </w:r>
          </w:p>
        </w:tc>
        <w:tc>
          <w:tcPr>
            <w:tcW w:type="dxa" w:w="386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4" w:right="0" w:firstLine="0"/>
              <w:jc w:val="left"/>
            </w:pPr>
            <w:r>
              <w:rPr>
                <w:rFonts w:ascii="宋体" w:hAnsi="宋体" w:eastAsia="宋体"/>
                <w:b w:val="0"/>
                <w:i w:val="0"/>
                <w:color w:val="000000"/>
                <w:sz w:val="18"/>
              </w:rPr>
              <w:t xml:space="preserve">山西省晋中市榆次区新建路233 号 </w:t>
            </w:r>
          </w:p>
        </w:tc>
        <w:tc>
          <w:tcPr>
            <w:tcW w:type="dxa" w:w="9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郭  锋 </w:t>
            </w:r>
          </w:p>
        </w:tc>
        <w:tc>
          <w:tcPr>
            <w:tcW w:type="dxa" w:w="1388"/>
            <w:tcBorders>
              <w:start w:sz="4.0" w:val="single" w:color="#000000"/>
              <w:top w:sz="3.199999999999818"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144" w:right="0" w:firstLine="0"/>
              <w:jc w:val="left"/>
            </w:pPr>
            <w:r>
              <w:rPr>
                <w:rFonts w:ascii="宋体" w:hAnsi="宋体" w:eastAsia="宋体"/>
                <w:b w:val="0"/>
                <w:i w:val="0"/>
                <w:color w:val="000000"/>
                <w:sz w:val="18"/>
              </w:rPr>
              <w:t xml:space="preserve">0354-3020209 </w:t>
            </w:r>
          </w:p>
        </w:tc>
      </w:tr>
    </w:tbl>
    <w:p>
      <w:pPr>
        <w:autoSpaceDN w:val="0"/>
        <w:autoSpaceDE w:val="0"/>
        <w:widowControl/>
        <w:spacing w:line="197" w:lineRule="auto" w:before="468" w:after="0"/>
        <w:ind w:left="0" w:right="0" w:firstLine="0"/>
        <w:jc w:val="center"/>
      </w:pPr>
      <w:r>
        <w:rPr>
          <w:rFonts w:ascii="Calibri" w:hAnsi="Calibri" w:eastAsia="Calibri"/>
          <w:b w:val="0"/>
          <w:i w:val="0"/>
          <w:color w:val="000000"/>
          <w:sz w:val="18"/>
        </w:rPr>
        <w:t xml:space="preserve">16 </w:t>
      </w:r>
    </w:p>
    <w:p>
      <w:pPr>
        <w:sectPr>
          <w:type w:val="continuous"/>
          <w:pgSz w:w="11904" w:h="16841"/>
          <w:pgMar w:top="424" w:right="480" w:bottom="446" w:left="504" w:header="720" w:footer="720" w:gutter="0"/>
          <w:cols/>
          <w:docGrid w:linePitch="360"/>
        </w:sectPr>
      </w:pPr>
    </w:p>
    <w:p>
      <w:pPr>
        <w:autoSpaceDN w:val="0"/>
        <w:autoSpaceDE w:val="0"/>
        <w:widowControl/>
        <w:spacing w:line="220" w:lineRule="exact" w:before="0" w:after="206"/>
        <w:ind w:left="0" w:right="0"/>
      </w:pPr>
    </w:p>
    <w:p>
      <w:pPr>
        <w:sectPr>
          <w:pgSz w:w="11904" w:h="16841"/>
          <w:pgMar w:top="424" w:right="480" w:bottom="446" w:left="504" w:header="720" w:footer="720" w:gutter="0"/>
          <w:cols/>
          <w:docGrid w:linePitch="360"/>
        </w:sectPr>
      </w:pPr>
    </w:p>
    <w:p>
      <w:pPr>
        <w:autoSpaceDN w:val="0"/>
        <w:autoSpaceDE w:val="0"/>
        <w:widowControl/>
        <w:spacing w:line="240" w:lineRule="auto" w:before="0" w:after="0"/>
        <w:ind w:left="630" w:right="0" w:firstLine="0"/>
        <w:jc w:val="left"/>
      </w:pPr>
      <w:r>
        <w:drawing>
          <wp:inline xmlns:a="http://schemas.openxmlformats.org/drawingml/2006/main" xmlns:pic="http://schemas.openxmlformats.org/drawingml/2006/picture">
            <wp:extent cx="1844039" cy="439419"/>
            <wp:docPr id="19" name="Picture 1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200" w:lineRule="exact" w:before="0" w:after="30"/>
        <w:ind w:left="0" w:right="66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820"/>
        <w:gridCol w:w="1820"/>
        <w:gridCol w:w="1820"/>
        <w:gridCol w:w="1820"/>
        <w:gridCol w:w="1820"/>
        <w:gridCol w:w="1820"/>
      </w:tblGrid>
      <w:tr>
        <w:trPr>
          <w:trHeight w:hRule="exact" w:val="40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49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0" w:right="272" w:firstLine="0"/>
              <w:jc w:val="right"/>
            </w:pPr>
            <w:r>
              <w:rPr>
                <w:rFonts w:ascii="宋体" w:hAnsi="宋体" w:eastAsia="宋体"/>
                <w:b w:val="0"/>
                <w:i w:val="0"/>
                <w:color w:val="000000"/>
                <w:sz w:val="18"/>
              </w:rPr>
              <w:t xml:space="preserve">分公司 </w:t>
            </w:r>
          </w:p>
        </w:tc>
        <w:tc>
          <w:tcPr>
            <w:tcW w:type="dxa" w:w="294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566" w:right="0" w:firstLine="0"/>
              <w:jc w:val="left"/>
            </w:pPr>
            <w:r>
              <w:rPr>
                <w:rFonts w:ascii="宋体" w:hAnsi="宋体" w:eastAsia="宋体"/>
                <w:b w:val="0"/>
                <w:i w:val="0"/>
                <w:color w:val="000000"/>
                <w:sz w:val="18"/>
              </w:rPr>
              <w:t xml:space="preserve">晋中锦纶路证券营业部 </w:t>
            </w:r>
          </w:p>
        </w:tc>
        <w:tc>
          <w:tcPr>
            <w:tcW w:type="dxa" w:w="386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104" w:right="0" w:firstLine="0"/>
              <w:jc w:val="left"/>
            </w:pPr>
            <w:r>
              <w:rPr>
                <w:rFonts w:ascii="宋体" w:hAnsi="宋体" w:eastAsia="宋体"/>
                <w:b w:val="0"/>
                <w:i w:val="0"/>
                <w:color w:val="000000"/>
                <w:sz w:val="18"/>
              </w:rPr>
              <w:t xml:space="preserve">山西省晋中市榆次区锦纶路178 号 </w:t>
            </w:r>
          </w:p>
        </w:tc>
        <w:tc>
          <w:tcPr>
            <w:tcW w:type="dxa" w:w="9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6" w:after="0"/>
              <w:ind w:left="220" w:right="0" w:firstLine="0"/>
              <w:jc w:val="left"/>
            </w:pPr>
            <w:r>
              <w:rPr>
                <w:rFonts w:ascii="宋体" w:hAnsi="宋体" w:eastAsia="宋体"/>
                <w:b w:val="0"/>
                <w:i w:val="0"/>
                <w:color w:val="000000"/>
                <w:sz w:val="18"/>
              </w:rPr>
              <w:t xml:space="preserve">李  杰 </w:t>
            </w:r>
          </w:p>
        </w:tc>
        <w:tc>
          <w:tcPr>
            <w:tcW w:type="dxa" w:w="1388"/>
            <w:tcBorders>
              <w:start w:sz="4.0" w:val="single" w:color="#000000"/>
              <w:top w:sz="5.60000000000002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36" w:after="0"/>
              <w:ind w:left="144" w:right="0" w:firstLine="0"/>
              <w:jc w:val="left"/>
            </w:pPr>
            <w:r>
              <w:rPr>
                <w:rFonts w:ascii="宋体" w:hAnsi="宋体" w:eastAsia="宋体"/>
                <w:b w:val="0"/>
                <w:i w:val="0"/>
                <w:color w:val="000000"/>
                <w:sz w:val="18"/>
              </w:rPr>
              <w:t xml:space="preserve">0354-3066089 </w:t>
            </w:r>
          </w:p>
        </w:tc>
      </w:tr>
      <w:tr>
        <w:trPr>
          <w:trHeight w:hRule="exact" w:val="652"/>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50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介休北坛中路证券营业部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山西省晋中市介休市北坛中路（技术监督局办</w:t>
            </w:r>
            <w:r>
              <w:rPr>
                <w:rFonts w:ascii="宋体" w:hAnsi="宋体" w:eastAsia="宋体"/>
                <w:b w:val="0"/>
                <w:i w:val="0"/>
                <w:color w:val="000000"/>
                <w:sz w:val="18"/>
              </w:rPr>
              <w:t xml:space="preserve">公楼门面房）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尤艳艳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0354-7223300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51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平遥永安南路证券营业部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山西省晋中市平遥县永安南路文景商务楼南8</w:t>
            </w:r>
            <w:r>
              <w:rPr>
                <w:rFonts w:ascii="宋体" w:hAnsi="宋体" w:eastAsia="宋体"/>
                <w:b w:val="0"/>
                <w:i w:val="0"/>
                <w:color w:val="000000"/>
                <w:sz w:val="18"/>
              </w:rPr>
              <w:t xml:space="preserve">号门面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张秋安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0354-5639988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52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晋中康源南路证券营业部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山西省晋中市太谷区康源南路华星小区20 号</w:t>
            </w:r>
            <w:r>
              <w:rPr>
                <w:rFonts w:ascii="宋体" w:hAnsi="宋体" w:eastAsia="宋体"/>
                <w:b w:val="0"/>
                <w:i w:val="0"/>
                <w:color w:val="000000"/>
                <w:sz w:val="18"/>
              </w:rPr>
              <w:t xml:space="preserve">楼15 号商铺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安林晓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0354-6266088 </w:t>
            </w:r>
          </w:p>
        </w:tc>
      </w:tr>
      <w:tr>
        <w:trPr>
          <w:trHeight w:hRule="exact" w:val="40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53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Pr>
          <w:p>
            <w:pPr>
              <w:autoSpaceDN w:val="0"/>
              <w:tabs>
                <w:tab w:pos="362" w:val="left"/>
              </w:tabs>
              <w:autoSpaceDE w:val="0"/>
              <w:widowControl/>
              <w:spacing w:line="318" w:lineRule="exact" w:before="374" w:after="0"/>
              <w:ind w:left="182" w:right="144" w:firstLine="0"/>
              <w:jc w:val="left"/>
            </w:pPr>
            <w:r>
              <w:rPr>
                <w:rFonts w:ascii="宋体" w:hAnsi="宋体" w:eastAsia="宋体"/>
                <w:b w:val="0"/>
                <w:i w:val="0"/>
                <w:color w:val="000000"/>
                <w:sz w:val="18"/>
              </w:rPr>
              <w:t>（12）临汾</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临汾北洪家楼证券营业部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山西省临汾市北洪家楼20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关向萌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0357-2025898 </w:t>
            </w:r>
          </w:p>
        </w:tc>
      </w:tr>
      <w:tr>
        <w:trPr>
          <w:trHeight w:hRule="exact" w:val="410"/>
        </w:trPr>
        <w:tc>
          <w:tcPr>
            <w:tcW w:type="dxa" w:w="428"/>
            <w:tcBorders>
              <w:start w:sz="4.0" w:val="single" w:color="#000000"/>
              <w:top w:sz="4.0" w:val="single" w:color="#000000"/>
              <w:end w:sz="3.1999999999999886" w:val="single" w:color="#000000"/>
              <w:bottom w:sz="3.2000000000000455"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54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4" w:after="0"/>
              <w:ind w:left="566" w:right="0" w:firstLine="0"/>
              <w:jc w:val="left"/>
            </w:pPr>
            <w:r>
              <w:rPr>
                <w:rFonts w:ascii="宋体" w:hAnsi="宋体" w:eastAsia="宋体"/>
                <w:b w:val="0"/>
                <w:i w:val="0"/>
                <w:color w:val="000000"/>
                <w:sz w:val="18"/>
              </w:rPr>
              <w:t xml:space="preserve">侯马文明路证券营业部 </w:t>
            </w:r>
          </w:p>
        </w:tc>
        <w:tc>
          <w:tcPr>
            <w:tcW w:type="dxa" w:w="386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4" w:after="0"/>
              <w:ind w:left="104" w:right="0" w:firstLine="0"/>
              <w:jc w:val="left"/>
            </w:pPr>
            <w:r>
              <w:rPr>
                <w:rFonts w:ascii="宋体" w:hAnsi="宋体" w:eastAsia="宋体"/>
                <w:b w:val="0"/>
                <w:i w:val="0"/>
                <w:color w:val="000000"/>
                <w:sz w:val="18"/>
              </w:rPr>
              <w:t xml:space="preserve">山西省侯马市文明路477 号 </w:t>
            </w:r>
          </w:p>
        </w:tc>
        <w:tc>
          <w:tcPr>
            <w:tcW w:type="dxa" w:w="99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裴智勇 </w:t>
            </w:r>
          </w:p>
        </w:tc>
        <w:tc>
          <w:tcPr>
            <w:tcW w:type="dxa" w:w="1388"/>
            <w:tcBorders>
              <w:start w:sz="4.0" w:val="single" w:color="#000000"/>
              <w:top w:sz="4.0" w:val="single" w:color="#000000"/>
              <w:end w:sz="3.2000000000007276" w:val="single" w:color="#000000"/>
              <w:bottom w:sz="3.2000000000000455"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0357-4220808 </w:t>
            </w:r>
          </w:p>
        </w:tc>
      </w:tr>
      <w:tr>
        <w:trPr>
          <w:trHeight w:hRule="exact" w:val="652"/>
        </w:trPr>
        <w:tc>
          <w:tcPr>
            <w:tcW w:type="dxa" w:w="428"/>
            <w:tcBorders>
              <w:start w:sz="4.0" w:val="single" w:color="#000000"/>
              <w:top w:sz="3.2000000000000455"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55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襄汾尧风街证券营业部 </w:t>
            </w:r>
          </w:p>
        </w:tc>
        <w:tc>
          <w:tcPr>
            <w:tcW w:type="dxa" w:w="3866"/>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山西省襄汾县新城镇尧风街仁河新城二期0004</w:t>
            </w:r>
            <w:r>
              <w:rPr>
                <w:rFonts w:ascii="宋体" w:hAnsi="宋体" w:eastAsia="宋体"/>
                <w:b w:val="0"/>
                <w:i w:val="0"/>
                <w:color w:val="000000"/>
                <w:sz w:val="18"/>
              </w:rPr>
              <w:t xml:space="preserve">幢1 单元4-116 铺、4-117 铺 </w:t>
            </w:r>
          </w:p>
        </w:tc>
        <w:tc>
          <w:tcPr>
            <w:tcW w:type="dxa" w:w="99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李江霞 </w:t>
            </w:r>
          </w:p>
        </w:tc>
        <w:tc>
          <w:tcPr>
            <w:tcW w:type="dxa" w:w="1388"/>
            <w:tcBorders>
              <w:start w:sz="4.0" w:val="single" w:color="#000000"/>
              <w:top w:sz="3.2000000000000455"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0357-5507018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56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362" w:val="left"/>
              </w:tabs>
              <w:autoSpaceDE w:val="0"/>
              <w:widowControl/>
              <w:spacing w:line="318" w:lineRule="exact" w:before="818" w:after="0"/>
              <w:ind w:left="182" w:right="144" w:firstLine="0"/>
              <w:jc w:val="left"/>
            </w:pPr>
            <w:r>
              <w:rPr>
                <w:rFonts w:ascii="宋体" w:hAnsi="宋体" w:eastAsia="宋体"/>
                <w:b w:val="0"/>
                <w:i w:val="0"/>
                <w:color w:val="000000"/>
                <w:sz w:val="18"/>
              </w:rPr>
              <w:t>（13）上海</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94" w:right="0" w:firstLine="0"/>
              <w:jc w:val="left"/>
            </w:pPr>
            <w:r>
              <w:rPr>
                <w:rFonts w:ascii="宋体" w:hAnsi="宋体" w:eastAsia="宋体"/>
                <w:b w:val="0"/>
                <w:i w:val="0"/>
                <w:color w:val="000000"/>
                <w:sz w:val="18"/>
              </w:rPr>
              <w:t xml:space="preserve">上海长宁区凯旋路证券营业部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288" w:firstLine="0"/>
              <w:jc w:val="left"/>
            </w:pPr>
            <w:r>
              <w:rPr>
                <w:rFonts w:ascii="宋体" w:hAnsi="宋体" w:eastAsia="宋体"/>
                <w:b w:val="0"/>
                <w:i w:val="0"/>
                <w:color w:val="000000"/>
                <w:sz w:val="18"/>
              </w:rPr>
              <w:t>上海市长宁区凯旋路1522 号2605、2606 室</w:t>
            </w:r>
            <w:r>
              <w:rPr>
                <w:rFonts w:ascii="宋体" w:hAnsi="宋体" w:eastAsia="宋体"/>
                <w:b w:val="0"/>
                <w:i w:val="0"/>
                <w:color w:val="000000"/>
                <w:sz w:val="18"/>
              </w:rPr>
              <w:t xml:space="preserve">（实际楼层22 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朱晓华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021-62624408 </w:t>
            </w:r>
          </w:p>
        </w:tc>
      </w:tr>
      <w:tr>
        <w:trPr>
          <w:trHeight w:hRule="exact" w:val="40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57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上海松花江路证券营业部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上海市杨浦区控江街道松花江路1250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王  飞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021-55120099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58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4" w:right="0" w:firstLine="0"/>
              <w:jc w:val="left"/>
            </w:pPr>
            <w:r>
              <w:rPr>
                <w:rFonts w:ascii="宋体" w:hAnsi="宋体" w:eastAsia="宋体"/>
                <w:b w:val="0"/>
                <w:i w:val="0"/>
                <w:color w:val="000000"/>
                <w:sz w:val="18"/>
              </w:rPr>
              <w:t xml:space="preserve">上海浦东新区滨江大道证券营业部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中国（上海）自由贸易试验区滨江大道5159</w:t>
            </w:r>
            <w:r>
              <w:rPr>
                <w:rFonts w:ascii="宋体" w:hAnsi="宋体" w:eastAsia="宋体"/>
                <w:b w:val="0"/>
                <w:i w:val="0"/>
                <w:color w:val="000000"/>
                <w:sz w:val="18"/>
              </w:rPr>
              <w:t xml:space="preserve">号103 单元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刘  阳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021-68861258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59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合肥潜山路证券营业部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安徽省合肥市蜀山区荷叶地街道潜山路888 号</w:t>
            </w:r>
            <w:r>
              <w:rPr>
                <w:rFonts w:ascii="宋体" w:hAnsi="宋体" w:eastAsia="宋体"/>
                <w:b w:val="0"/>
                <w:i w:val="0"/>
                <w:color w:val="000000"/>
                <w:sz w:val="18"/>
              </w:rPr>
              <w:t xml:space="preserve">百利中心北塔1601、1612、1611-1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宣以泉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98" w:right="0" w:firstLine="0"/>
              <w:jc w:val="left"/>
            </w:pPr>
            <w:r>
              <w:rPr>
                <w:rFonts w:ascii="宋体" w:hAnsi="宋体" w:eastAsia="宋体"/>
                <w:b w:val="0"/>
                <w:i w:val="0"/>
                <w:color w:val="000000"/>
                <w:sz w:val="18"/>
              </w:rPr>
              <w:t xml:space="preserve">0551-62879855 </w:t>
            </w:r>
          </w:p>
        </w:tc>
      </w:tr>
      <w:tr>
        <w:trPr>
          <w:trHeight w:hRule="exact" w:val="41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60 </w:t>
            </w:r>
          </w:p>
        </w:tc>
        <w:tc>
          <w:tcPr>
            <w:tcW w:type="dxa" w:w="1274"/>
            <w:vMerge w:val="restart"/>
            <w:tcBorders>
              <w:start w:sz="3.1999999999999886" w:val="single" w:color="#000000"/>
              <w:top w:sz="4.0"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Pr>
          <w:p>
            <w:pPr>
              <w:autoSpaceDN w:val="0"/>
              <w:tabs>
                <w:tab w:pos="362" w:val="left"/>
              </w:tabs>
              <w:autoSpaceDE w:val="0"/>
              <w:widowControl/>
              <w:spacing w:line="322" w:lineRule="exact" w:before="488" w:after="0"/>
              <w:ind w:left="182" w:right="144" w:firstLine="0"/>
              <w:jc w:val="left"/>
            </w:pPr>
            <w:r>
              <w:rPr>
                <w:rFonts w:ascii="宋体" w:hAnsi="宋体" w:eastAsia="宋体"/>
                <w:b w:val="0"/>
                <w:i w:val="0"/>
                <w:color w:val="000000"/>
                <w:sz w:val="18"/>
              </w:rPr>
              <w:t>（14）北京</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北京太平庄证券营业部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北京市海淀区太平庄13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王瀚邦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010-62236800 </w:t>
            </w:r>
          </w:p>
        </w:tc>
      </w:tr>
      <w:tr>
        <w:trPr>
          <w:trHeight w:hRule="exact" w:val="64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58" w:after="0"/>
              <w:ind w:left="0" w:right="30" w:firstLine="0"/>
              <w:jc w:val="right"/>
            </w:pPr>
            <w:r>
              <w:rPr>
                <w:rFonts w:ascii="宋体" w:hAnsi="宋体" w:eastAsia="宋体"/>
                <w:b w:val="0"/>
                <w:i w:val="0"/>
                <w:color w:val="000000"/>
                <w:sz w:val="18"/>
              </w:rPr>
              <w:t xml:space="preserve">61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654" w:right="0" w:firstLine="0"/>
              <w:jc w:val="left"/>
            </w:pPr>
            <w:r>
              <w:rPr>
                <w:rFonts w:ascii="宋体" w:hAnsi="宋体" w:eastAsia="宋体"/>
                <w:b w:val="0"/>
                <w:i w:val="0"/>
                <w:color w:val="000000"/>
                <w:sz w:val="18"/>
              </w:rPr>
              <w:t xml:space="preserve">北京丽泽证券营业部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北京市丰台区金泽西路2 号院1 号楼-4 至42</w:t>
            </w:r>
            <w:r>
              <w:rPr>
                <w:rFonts w:ascii="宋体" w:hAnsi="宋体" w:eastAsia="宋体"/>
                <w:b w:val="0"/>
                <w:i w:val="0"/>
                <w:color w:val="000000"/>
                <w:sz w:val="18"/>
              </w:rPr>
              <w:t xml:space="preserve">层101 内25 层2506 单元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220" w:right="0" w:firstLine="0"/>
              <w:jc w:val="left"/>
            </w:pPr>
            <w:r>
              <w:rPr>
                <w:rFonts w:ascii="宋体" w:hAnsi="宋体" w:eastAsia="宋体"/>
                <w:b w:val="0"/>
                <w:i w:val="0"/>
                <w:color w:val="000000"/>
                <w:sz w:val="18"/>
              </w:rPr>
              <w:t xml:space="preserve">许道宾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58" w:after="0"/>
              <w:ind w:left="144" w:right="0" w:firstLine="0"/>
              <w:jc w:val="left"/>
            </w:pPr>
            <w:r>
              <w:rPr>
                <w:rFonts w:ascii="宋体" w:hAnsi="宋体" w:eastAsia="宋体"/>
                <w:b w:val="0"/>
                <w:i w:val="0"/>
                <w:color w:val="000000"/>
                <w:sz w:val="18"/>
              </w:rPr>
              <w:t xml:space="preserve">010-65020590 </w:t>
            </w:r>
          </w:p>
        </w:tc>
      </w:tr>
      <w:tr>
        <w:trPr>
          <w:trHeight w:hRule="exact" w:val="652"/>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6" w:after="0"/>
              <w:ind w:left="0" w:right="30" w:firstLine="0"/>
              <w:jc w:val="right"/>
            </w:pPr>
            <w:r>
              <w:rPr>
                <w:rFonts w:ascii="宋体" w:hAnsi="宋体" w:eastAsia="宋体"/>
                <w:b w:val="0"/>
                <w:i w:val="0"/>
                <w:color w:val="000000"/>
                <w:sz w:val="18"/>
              </w:rPr>
              <w:t xml:space="preserve">62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654" w:right="0" w:firstLine="0"/>
              <w:jc w:val="left"/>
            </w:pPr>
            <w:r>
              <w:rPr>
                <w:rFonts w:ascii="宋体" w:hAnsi="宋体" w:eastAsia="宋体"/>
                <w:b w:val="0"/>
                <w:i w:val="0"/>
                <w:color w:val="000000"/>
                <w:sz w:val="18"/>
              </w:rPr>
              <w:t xml:space="preserve">北京国贸证券营业部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北京市朝阳区建国门外大街8 号楼29 层（实</w:t>
            </w:r>
            <w:r>
              <w:rPr>
                <w:rFonts w:ascii="宋体" w:hAnsi="宋体" w:eastAsia="宋体"/>
                <w:b w:val="0"/>
                <w:i w:val="0"/>
                <w:color w:val="000000"/>
                <w:sz w:val="18"/>
              </w:rPr>
              <w:t xml:space="preserve">际楼层25 层）2503 单元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220" w:right="0" w:firstLine="0"/>
              <w:jc w:val="left"/>
            </w:pPr>
            <w:r>
              <w:rPr>
                <w:rFonts w:ascii="宋体" w:hAnsi="宋体" w:eastAsia="宋体"/>
                <w:b w:val="0"/>
                <w:i w:val="0"/>
                <w:color w:val="000000"/>
                <w:sz w:val="18"/>
              </w:rPr>
              <w:t xml:space="preserve">应钢锋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6" w:after="0"/>
              <w:ind w:left="144" w:right="0" w:firstLine="0"/>
              <w:jc w:val="left"/>
            </w:pPr>
            <w:r>
              <w:rPr>
                <w:rFonts w:ascii="宋体" w:hAnsi="宋体" w:eastAsia="宋体"/>
                <w:b w:val="0"/>
                <w:i w:val="0"/>
                <w:color w:val="000000"/>
                <w:sz w:val="18"/>
              </w:rPr>
              <w:t xml:space="preserve">010-58352198 </w:t>
            </w:r>
          </w:p>
        </w:tc>
      </w:tr>
      <w:tr>
        <w:trPr>
          <w:trHeight w:hRule="exact" w:val="652"/>
        </w:trPr>
        <w:tc>
          <w:tcPr>
            <w:tcW w:type="dxa" w:w="428"/>
            <w:tcBorders>
              <w:start w:sz="4.0" w:val="single" w:color="#000000"/>
              <w:top w:sz="3.199999999999818"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63 </w:t>
            </w:r>
          </w:p>
        </w:tc>
        <w:tc>
          <w:tcPr>
            <w:tcW w:type="dxa" w:w="1274"/>
            <w:vMerge w:val="restart"/>
            <w:tcBorders>
              <w:start w:sz="3.1999999999999886" w:val="single" w:color="#000000"/>
              <w:top w:sz="3.199999999999818"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362" w:val="left"/>
              </w:tabs>
              <w:autoSpaceDE w:val="0"/>
              <w:widowControl/>
              <w:spacing w:line="320" w:lineRule="exact" w:before="1914" w:after="0"/>
              <w:ind w:left="182" w:right="144" w:firstLine="0"/>
              <w:jc w:val="left"/>
            </w:pPr>
            <w:r>
              <w:rPr>
                <w:rFonts w:ascii="宋体" w:hAnsi="宋体" w:eastAsia="宋体"/>
                <w:b w:val="0"/>
                <w:i w:val="0"/>
                <w:color w:val="000000"/>
                <w:sz w:val="18"/>
              </w:rPr>
              <w:t>（15）深圳</w:t>
            </w:r>
            <w:r>
              <w:rPr>
                <w:rFonts w:ascii="宋体" w:hAnsi="宋体" w:eastAsia="宋体"/>
                <w:b w:val="0"/>
                <w:i w:val="0"/>
                <w:color w:val="000000"/>
                <w:sz w:val="18"/>
              </w:rPr>
              <w:t xml:space="preserve">分公司 </w:t>
            </w:r>
          </w:p>
        </w:tc>
        <w:tc>
          <w:tcPr>
            <w:tcW w:type="dxa" w:w="294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深圳华富路证券营业部 </w:t>
            </w:r>
          </w:p>
        </w:tc>
        <w:tc>
          <w:tcPr>
            <w:tcW w:type="dxa" w:w="386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广东省深圳市福田区华富路1006 号航都大厦5</w:t>
            </w:r>
            <w:r>
              <w:rPr>
                <w:rFonts w:ascii="宋体" w:hAnsi="宋体" w:eastAsia="宋体"/>
                <w:b w:val="0"/>
                <w:i w:val="0"/>
                <w:color w:val="000000"/>
                <w:sz w:val="18"/>
              </w:rPr>
              <w:t xml:space="preserve">楼 </w:t>
            </w:r>
          </w:p>
        </w:tc>
        <w:tc>
          <w:tcPr>
            <w:tcW w:type="dxa" w:w="9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刘少华 </w:t>
            </w:r>
          </w:p>
        </w:tc>
        <w:tc>
          <w:tcPr>
            <w:tcW w:type="dxa" w:w="1388"/>
            <w:tcBorders>
              <w:start w:sz="4.0" w:val="single" w:color="#000000"/>
              <w:top w:sz="3.199999999999818"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98" w:right="0" w:firstLine="0"/>
              <w:jc w:val="left"/>
            </w:pPr>
            <w:r>
              <w:rPr>
                <w:rFonts w:ascii="宋体" w:hAnsi="宋体" w:eastAsia="宋体"/>
                <w:b w:val="0"/>
                <w:i w:val="0"/>
                <w:color w:val="000000"/>
                <w:sz w:val="18"/>
              </w:rPr>
              <w:t xml:space="preserve">0755-83790858 </w:t>
            </w:r>
          </w:p>
        </w:tc>
      </w:tr>
      <w:tr>
        <w:trPr>
          <w:trHeight w:hRule="exact" w:val="64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64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474" w:right="0" w:firstLine="0"/>
              <w:jc w:val="left"/>
            </w:pPr>
            <w:r>
              <w:rPr>
                <w:rFonts w:ascii="宋体" w:hAnsi="宋体" w:eastAsia="宋体"/>
                <w:b w:val="0"/>
                <w:i w:val="0"/>
                <w:color w:val="000000"/>
                <w:sz w:val="18"/>
              </w:rPr>
              <w:t xml:space="preserve">深圳科苑南路证券营业部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广东省深圳市南山区粤海街道海珠社区科苑南</w:t>
            </w:r>
            <w:r>
              <w:rPr>
                <w:rFonts w:ascii="宋体" w:hAnsi="宋体" w:eastAsia="宋体"/>
                <w:b w:val="0"/>
                <w:i w:val="0"/>
                <w:color w:val="000000"/>
                <w:sz w:val="18"/>
              </w:rPr>
              <w:t xml:space="preserve">路2666 号中国华润大厦L1108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王婧焜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98" w:right="0" w:firstLine="0"/>
              <w:jc w:val="left"/>
            </w:pPr>
            <w:r>
              <w:rPr>
                <w:rFonts w:ascii="宋体" w:hAnsi="宋体" w:eastAsia="宋体"/>
                <w:b w:val="0"/>
                <w:i w:val="0"/>
                <w:color w:val="000000"/>
                <w:sz w:val="18"/>
              </w:rPr>
              <w:t xml:space="preserve">0755-83790855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65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南宁长湖路证券营业部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广西壮族自治区南宁市长湖路20 号绿城国际</w:t>
            </w:r>
            <w:r>
              <w:rPr>
                <w:rFonts w:ascii="宋体" w:hAnsi="宋体" w:eastAsia="宋体"/>
                <w:b w:val="0"/>
                <w:i w:val="0"/>
                <w:color w:val="000000"/>
                <w:sz w:val="18"/>
              </w:rPr>
              <w:t xml:space="preserve">三层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彭思欣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0771-5583589 </w:t>
            </w:r>
          </w:p>
        </w:tc>
      </w:tr>
      <w:tr>
        <w:trPr>
          <w:trHeight w:hRule="exact" w:val="652"/>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66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深圳海德一道证券营业部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广东省深圳市南山区粤海街道海珠社区海德一</w:t>
            </w:r>
            <w:r>
              <w:rPr>
                <w:rFonts w:ascii="宋体" w:hAnsi="宋体" w:eastAsia="宋体"/>
                <w:b w:val="0"/>
                <w:i w:val="0"/>
                <w:color w:val="000000"/>
                <w:sz w:val="18"/>
              </w:rPr>
              <w:t xml:space="preserve">道88 号中洲控股金融中心A 栋17A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杨林浩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4" w:after="0"/>
              <w:ind w:left="98" w:right="0" w:firstLine="0"/>
              <w:jc w:val="left"/>
            </w:pPr>
            <w:r>
              <w:rPr>
                <w:rFonts w:ascii="宋体" w:hAnsi="宋体" w:eastAsia="宋体"/>
                <w:b w:val="0"/>
                <w:i w:val="0"/>
                <w:color w:val="000000"/>
                <w:sz w:val="18"/>
              </w:rPr>
              <w:t xml:space="preserve">0755-26895099 </w:t>
            </w:r>
          </w:p>
        </w:tc>
      </w:tr>
      <w:tr>
        <w:trPr>
          <w:trHeight w:hRule="exact" w:val="648"/>
        </w:trPr>
        <w:tc>
          <w:tcPr>
            <w:tcW w:type="dxa" w:w="428"/>
            <w:tcBorders>
              <w:start w:sz="4.0" w:val="single" w:color="#000000"/>
              <w:top w:sz="3.199999999999818" w:val="single" w:color="#000000"/>
              <w:end w:sz="3.1999999999999886" w:val="single" w:color="#000000"/>
              <w:bottom w:sz="3.2000000000007276"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67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柳州广场路证券营业部 </w:t>
            </w:r>
          </w:p>
        </w:tc>
        <w:tc>
          <w:tcPr>
            <w:tcW w:type="dxa" w:w="3866"/>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广西壮族自治区柳州市柳北区广场路10 号柳</w:t>
            </w:r>
            <w:r>
              <w:rPr>
                <w:rFonts w:ascii="宋体" w:hAnsi="宋体" w:eastAsia="宋体"/>
                <w:b w:val="0"/>
                <w:i w:val="0"/>
                <w:color w:val="000000"/>
                <w:sz w:val="18"/>
              </w:rPr>
              <w:t xml:space="preserve">州地王国际财富中心2 栋29-11 </w:t>
            </w:r>
          </w:p>
        </w:tc>
        <w:tc>
          <w:tcPr>
            <w:tcW w:type="dxa" w:w="994"/>
            <w:tcBorders>
              <w:start w:sz="4.0" w:val="single" w:color="#000000"/>
              <w:top w:sz="3.199999999999818"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吴子明 </w:t>
            </w:r>
          </w:p>
        </w:tc>
        <w:tc>
          <w:tcPr>
            <w:tcW w:type="dxa" w:w="1388"/>
            <w:tcBorders>
              <w:start w:sz="4.0" w:val="single" w:color="#000000"/>
              <w:top w:sz="3.199999999999818" w:val="single" w:color="#000000"/>
              <w:end w:sz="3.2000000000007276" w:val="single" w:color="#000000"/>
              <w:bottom w:sz="3.2000000000007276"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0772-2112103 </w:t>
            </w:r>
          </w:p>
        </w:tc>
      </w:tr>
      <w:tr>
        <w:trPr>
          <w:trHeight w:hRule="exact" w:val="650"/>
        </w:trPr>
        <w:tc>
          <w:tcPr>
            <w:tcW w:type="dxa" w:w="428"/>
            <w:tcBorders>
              <w:start w:sz="4.0" w:val="single" w:color="#000000"/>
              <w:top w:sz="3.2000000000007276"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68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厦门鹭江道证券营业部 </w:t>
            </w:r>
          </w:p>
        </w:tc>
        <w:tc>
          <w:tcPr>
            <w:tcW w:type="dxa" w:w="386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福建省厦门市思明区鹭江道2 号16 层03、</w:t>
            </w:r>
            <w:r>
              <w:rPr>
                <w:rFonts w:ascii="宋体" w:hAnsi="宋体" w:eastAsia="宋体"/>
                <w:b w:val="0"/>
                <w:i w:val="0"/>
                <w:color w:val="000000"/>
                <w:sz w:val="18"/>
              </w:rPr>
              <w:t xml:space="preserve">04、05A 室 </w:t>
            </w:r>
          </w:p>
        </w:tc>
        <w:tc>
          <w:tcPr>
            <w:tcW w:type="dxa" w:w="99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程  珂 </w:t>
            </w:r>
          </w:p>
        </w:tc>
        <w:tc>
          <w:tcPr>
            <w:tcW w:type="dxa" w:w="1388"/>
            <w:tcBorders>
              <w:start w:sz="4.0" w:val="single" w:color="#000000"/>
              <w:top w:sz="3.2000000000007276"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0592-3533168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69 </w:t>
            </w:r>
          </w:p>
        </w:tc>
        <w:tc>
          <w:tcPr>
            <w:tcW w:type="dxa" w:w="1820"/>
            <w:vMerge/>
            <w:tcBorders>
              <w:start w:sz="3.1999999999999886" w:val="single" w:color="#000000"/>
              <w:top w:sz="3.199999999999818"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海口国兴大道证券营业部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海南省海口市美兰区国兴大道11 号国瑞大厦B</w:t>
            </w:r>
            <w:r>
              <w:rPr>
                <w:rFonts w:ascii="宋体" w:hAnsi="宋体" w:eastAsia="宋体"/>
                <w:b w:val="0"/>
                <w:i w:val="0"/>
                <w:color w:val="000000"/>
                <w:sz w:val="18"/>
              </w:rPr>
              <w:t xml:space="preserve">座西塔14 层B12B04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苏杨飞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98" w:right="0" w:firstLine="0"/>
              <w:jc w:val="left"/>
            </w:pPr>
            <w:r>
              <w:rPr>
                <w:rFonts w:ascii="宋体" w:hAnsi="宋体" w:eastAsia="宋体"/>
                <w:b w:val="0"/>
                <w:i w:val="0"/>
                <w:color w:val="000000"/>
                <w:sz w:val="18"/>
              </w:rPr>
              <w:t xml:space="preserve">0898-66501585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70 </w:t>
            </w:r>
          </w:p>
        </w:tc>
        <w:tc>
          <w:tcPr>
            <w:tcW w:type="dxa" w:w="1274"/>
            <w:vMerge w:val="restart"/>
            <w:tcBorders>
              <w:start w:sz="3.1999999999999886" w:val="single" w:color="#000000"/>
              <w:top w:sz="4.0" w:val="single" w:color="#000000"/>
              <w:end w:sz="4.0" w:val="single" w:color="#000000"/>
              <w:bottom w:sz="3.199999999999818" w:val="single" w:color="#000000"/>
            </w:tcBorders>
            <w:tcMar>
              <w:start w:w="0" w:type="dxa"/>
              <w:end w:w="0" w:type="dxa"/>
            </w:tcMar>
            <w:tcMar>
              <w:start w:w="0" w:type="dxa"/>
              <w:end w:w="0" w:type="dxa"/>
            </w:tcMar>
          </w:tcPr>
          <w:p>
            <w:pPr>
              <w:autoSpaceDN w:val="0"/>
              <w:tabs>
                <w:tab w:pos="362" w:val="left"/>
              </w:tabs>
              <w:autoSpaceDE w:val="0"/>
              <w:widowControl/>
              <w:spacing w:line="320" w:lineRule="exact" w:before="288" w:after="0"/>
              <w:ind w:left="182" w:right="144" w:firstLine="0"/>
              <w:jc w:val="left"/>
            </w:pPr>
            <w:r>
              <w:rPr>
                <w:rFonts w:ascii="宋体" w:hAnsi="宋体" w:eastAsia="宋体"/>
                <w:b w:val="0"/>
                <w:i w:val="0"/>
                <w:color w:val="000000"/>
                <w:sz w:val="18"/>
              </w:rPr>
              <w:t>（16）山东</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386" w:right="0" w:firstLine="0"/>
              <w:jc w:val="left"/>
            </w:pPr>
            <w:r>
              <w:rPr>
                <w:rFonts w:ascii="宋体" w:hAnsi="宋体" w:eastAsia="宋体"/>
                <w:b w:val="0"/>
                <w:i w:val="0"/>
                <w:color w:val="000000"/>
                <w:sz w:val="18"/>
              </w:rPr>
              <w:t xml:space="preserve">淄博共青团西路证券营业部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山东省淄博市张店区共青团西路146 号甲1 号</w:t>
            </w:r>
            <w:r>
              <w:rPr>
                <w:rFonts w:ascii="宋体" w:hAnsi="宋体" w:eastAsia="宋体"/>
                <w:b w:val="0"/>
                <w:i w:val="0"/>
                <w:color w:val="000000"/>
                <w:sz w:val="18"/>
              </w:rPr>
              <w:t xml:space="preserve">甲2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岳  娜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0533-2293660 </w:t>
            </w:r>
          </w:p>
        </w:tc>
      </w:tr>
      <w:tr>
        <w:trPr>
          <w:trHeight w:hRule="exact" w:val="652"/>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6" w:after="0"/>
              <w:ind w:left="0" w:right="30" w:firstLine="0"/>
              <w:jc w:val="right"/>
            </w:pPr>
            <w:r>
              <w:rPr>
                <w:rFonts w:ascii="宋体" w:hAnsi="宋体" w:eastAsia="宋体"/>
                <w:b w:val="0"/>
                <w:i w:val="0"/>
                <w:color w:val="000000"/>
                <w:sz w:val="18"/>
              </w:rPr>
              <w:t xml:space="preserve">71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566" w:right="0" w:firstLine="0"/>
              <w:jc w:val="left"/>
            </w:pPr>
            <w:r>
              <w:rPr>
                <w:rFonts w:ascii="宋体" w:hAnsi="宋体" w:eastAsia="宋体"/>
                <w:b w:val="0"/>
                <w:i w:val="0"/>
                <w:color w:val="000000"/>
                <w:sz w:val="18"/>
              </w:rPr>
              <w:t xml:space="preserve">济南经十路证券营业部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山东省济南市历下区经十路9999 号黄金时代</w:t>
            </w:r>
            <w:r>
              <w:rPr>
                <w:rFonts w:ascii="宋体" w:hAnsi="宋体" w:eastAsia="宋体"/>
                <w:b w:val="0"/>
                <w:i w:val="0"/>
                <w:color w:val="000000"/>
                <w:sz w:val="18"/>
              </w:rPr>
              <w:t xml:space="preserve">广场8 号楼（主楼）1801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220" w:right="0" w:firstLine="0"/>
              <w:jc w:val="left"/>
            </w:pPr>
            <w:r>
              <w:rPr>
                <w:rFonts w:ascii="宋体" w:hAnsi="宋体" w:eastAsia="宋体"/>
                <w:b w:val="0"/>
                <w:i w:val="0"/>
                <w:color w:val="000000"/>
                <w:sz w:val="18"/>
              </w:rPr>
              <w:t xml:space="preserve">苏晓康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6" w:after="0"/>
              <w:ind w:left="98" w:right="0" w:firstLine="0"/>
              <w:jc w:val="left"/>
            </w:pPr>
            <w:r>
              <w:rPr>
                <w:rFonts w:ascii="宋体" w:hAnsi="宋体" w:eastAsia="宋体"/>
                <w:b w:val="0"/>
                <w:i w:val="0"/>
                <w:color w:val="000000"/>
                <w:sz w:val="18"/>
              </w:rPr>
              <w:t xml:space="preserve">0531-82318999 </w:t>
            </w:r>
          </w:p>
        </w:tc>
      </w:tr>
    </w:tbl>
    <w:p>
      <w:pPr>
        <w:autoSpaceDN w:val="0"/>
        <w:autoSpaceDE w:val="0"/>
        <w:widowControl/>
        <w:spacing w:line="197" w:lineRule="auto" w:before="392" w:after="0"/>
        <w:ind w:left="0" w:right="0" w:firstLine="0"/>
        <w:jc w:val="center"/>
      </w:pPr>
      <w:r>
        <w:rPr>
          <w:rFonts w:ascii="Calibri" w:hAnsi="Calibri" w:eastAsia="Calibri"/>
          <w:b w:val="0"/>
          <w:i w:val="0"/>
          <w:color w:val="000000"/>
          <w:sz w:val="18"/>
        </w:rPr>
        <w:t xml:space="preserve">17 </w:t>
      </w:r>
    </w:p>
    <w:p>
      <w:pPr>
        <w:sectPr>
          <w:type w:val="continuous"/>
          <w:pgSz w:w="11904" w:h="16841"/>
          <w:pgMar w:top="424" w:right="480" w:bottom="446" w:left="504" w:header="720" w:footer="720" w:gutter="0"/>
          <w:cols/>
          <w:docGrid w:linePitch="360"/>
        </w:sectPr>
      </w:pPr>
    </w:p>
    <w:p>
      <w:pPr>
        <w:autoSpaceDN w:val="0"/>
        <w:autoSpaceDE w:val="0"/>
        <w:widowControl/>
        <w:spacing w:line="220" w:lineRule="exact" w:before="0" w:after="206"/>
        <w:ind w:left="0" w:right="0"/>
      </w:pPr>
    </w:p>
    <w:p>
      <w:pPr>
        <w:sectPr>
          <w:pgSz w:w="11904" w:h="16841"/>
          <w:pgMar w:top="424" w:right="480" w:bottom="446" w:left="504" w:header="720" w:footer="720" w:gutter="0"/>
          <w:cols/>
          <w:docGrid w:linePitch="360"/>
        </w:sectPr>
      </w:pPr>
    </w:p>
    <w:p>
      <w:pPr>
        <w:autoSpaceDN w:val="0"/>
        <w:autoSpaceDE w:val="0"/>
        <w:widowControl/>
        <w:spacing w:line="240" w:lineRule="auto" w:before="0" w:after="0"/>
        <w:ind w:left="630" w:right="0" w:firstLine="0"/>
        <w:jc w:val="left"/>
      </w:pPr>
      <w:r>
        <w:drawing>
          <wp:inline xmlns:a="http://schemas.openxmlformats.org/drawingml/2006/main" xmlns:pic="http://schemas.openxmlformats.org/drawingml/2006/picture">
            <wp:extent cx="1844039" cy="439419"/>
            <wp:docPr id="20" name="Picture 2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200" w:lineRule="exact" w:before="0" w:after="30"/>
        <w:ind w:left="0" w:right="66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80" w:bottom="446" w:left="504" w:header="720" w:footer="720" w:gutter="0"/>
          <w:cols w:num="2" w:equalWidth="0">
            <w:col w:w="6036" w:space="0"/>
            <w:col w:w="488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820"/>
        <w:gridCol w:w="1820"/>
        <w:gridCol w:w="1820"/>
        <w:gridCol w:w="1820"/>
        <w:gridCol w:w="1820"/>
        <w:gridCol w:w="1820"/>
      </w:tblGrid>
      <w:tr>
        <w:trPr>
          <w:trHeight w:hRule="exact" w:val="64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72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tabs>
                <w:tab w:pos="362" w:val="left"/>
              </w:tabs>
              <w:autoSpaceDE w:val="0"/>
              <w:widowControl/>
              <w:spacing w:line="320" w:lineRule="exact" w:before="446" w:after="0"/>
              <w:ind w:left="182" w:right="144" w:firstLine="0"/>
              <w:jc w:val="left"/>
            </w:pPr>
            <w:r>
              <w:rPr>
                <w:rFonts w:ascii="宋体" w:hAnsi="宋体" w:eastAsia="宋体"/>
                <w:b w:val="0"/>
                <w:i w:val="0"/>
                <w:color w:val="000000"/>
                <w:sz w:val="18"/>
              </w:rPr>
              <w:t>（17）湖南</w:t>
            </w:r>
            <w:r>
              <w:rPr>
                <w:rFonts w:ascii="宋体" w:hAnsi="宋体" w:eastAsia="宋体"/>
                <w:b w:val="0"/>
                <w:i w:val="0"/>
                <w:color w:val="000000"/>
                <w:sz w:val="18"/>
              </w:rPr>
              <w:t xml:space="preserve">分公司 </w:t>
            </w:r>
          </w:p>
        </w:tc>
        <w:tc>
          <w:tcPr>
            <w:tcW w:type="dxa" w:w="294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474" w:right="0" w:firstLine="0"/>
              <w:jc w:val="left"/>
            </w:pPr>
            <w:r>
              <w:rPr>
                <w:rFonts w:ascii="宋体" w:hAnsi="宋体" w:eastAsia="宋体"/>
                <w:b w:val="0"/>
                <w:i w:val="0"/>
                <w:color w:val="000000"/>
                <w:sz w:val="18"/>
              </w:rPr>
              <w:t xml:space="preserve">武汉建设大道证券营业部 </w:t>
            </w:r>
          </w:p>
        </w:tc>
        <w:tc>
          <w:tcPr>
            <w:tcW w:type="dxa" w:w="386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98" w:lineRule="exact" w:before="0" w:after="0"/>
              <w:ind w:left="104" w:right="144" w:firstLine="0"/>
              <w:jc w:val="left"/>
            </w:pPr>
            <w:r>
              <w:rPr>
                <w:rFonts w:ascii="宋体" w:hAnsi="宋体" w:eastAsia="宋体"/>
                <w:b w:val="0"/>
                <w:i w:val="0"/>
                <w:color w:val="000000"/>
                <w:sz w:val="18"/>
              </w:rPr>
              <w:t>湖北省武汉市江岸区建设大道700 号武汉香格</w:t>
            </w:r>
            <w:r>
              <w:rPr>
                <w:rFonts w:ascii="宋体" w:hAnsi="宋体" w:eastAsia="宋体"/>
                <w:b w:val="0"/>
                <w:i w:val="0"/>
                <w:color w:val="000000"/>
                <w:sz w:val="18"/>
              </w:rPr>
              <w:t xml:space="preserve">里拉中心1202 室 </w:t>
            </w:r>
          </w:p>
        </w:tc>
        <w:tc>
          <w:tcPr>
            <w:tcW w:type="dxa" w:w="9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220" w:right="0" w:firstLine="0"/>
              <w:jc w:val="left"/>
            </w:pPr>
            <w:r>
              <w:rPr>
                <w:rFonts w:ascii="宋体" w:hAnsi="宋体" w:eastAsia="宋体"/>
                <w:b w:val="0"/>
                <w:i w:val="0"/>
                <w:color w:val="000000"/>
                <w:sz w:val="18"/>
              </w:rPr>
              <w:t xml:space="preserve">汪  瀚 </w:t>
            </w:r>
          </w:p>
        </w:tc>
        <w:tc>
          <w:tcPr>
            <w:tcW w:type="dxa" w:w="1388"/>
            <w:tcBorders>
              <w:start w:sz="4.0" w:val="single" w:color="#000000"/>
              <w:top w:sz="5.60000000000002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58" w:after="0"/>
              <w:ind w:left="144" w:right="0" w:firstLine="0"/>
              <w:jc w:val="left"/>
            </w:pPr>
            <w:r>
              <w:rPr>
                <w:rFonts w:ascii="宋体" w:hAnsi="宋体" w:eastAsia="宋体"/>
                <w:b w:val="0"/>
                <w:i w:val="0"/>
                <w:color w:val="000000"/>
                <w:sz w:val="18"/>
              </w:rPr>
              <w:t xml:space="preserve">027-85768028 </w:t>
            </w:r>
          </w:p>
        </w:tc>
      </w:tr>
      <w:tr>
        <w:trPr>
          <w:trHeight w:hRule="exact" w:val="972"/>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422" w:after="0"/>
              <w:ind w:left="0" w:right="30" w:firstLine="0"/>
              <w:jc w:val="right"/>
            </w:pPr>
            <w:r>
              <w:rPr>
                <w:rFonts w:ascii="宋体" w:hAnsi="宋体" w:eastAsia="宋体"/>
                <w:b w:val="0"/>
                <w:i w:val="0"/>
                <w:color w:val="000000"/>
                <w:sz w:val="18"/>
              </w:rPr>
              <w:t xml:space="preserve">73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22" w:after="0"/>
              <w:ind w:left="386" w:right="0" w:firstLine="0"/>
              <w:jc w:val="left"/>
            </w:pPr>
            <w:r>
              <w:rPr>
                <w:rFonts w:ascii="宋体" w:hAnsi="宋体" w:eastAsia="宋体"/>
                <w:b w:val="0"/>
                <w:i w:val="0"/>
                <w:color w:val="000000"/>
                <w:sz w:val="18"/>
              </w:rPr>
              <w:t xml:space="preserve">南昌凤凰中大道证券营业部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6" w:lineRule="exact" w:before="0" w:after="0"/>
              <w:ind w:left="104" w:right="144" w:firstLine="0"/>
              <w:jc w:val="left"/>
            </w:pPr>
            <w:r>
              <w:rPr>
                <w:rFonts w:ascii="宋体" w:hAnsi="宋体" w:eastAsia="宋体"/>
                <w:b w:val="0"/>
                <w:i w:val="0"/>
                <w:color w:val="000000"/>
                <w:sz w:val="18"/>
              </w:rPr>
              <w:t>江西省南昌市红谷滩新区凤凰中大道1000 号</w:t>
            </w:r>
            <w:r>
              <w:rPr>
                <w:rFonts w:ascii="宋体" w:hAnsi="宋体" w:eastAsia="宋体"/>
                <w:b w:val="0"/>
                <w:i w:val="0"/>
                <w:color w:val="000000"/>
                <w:sz w:val="18"/>
              </w:rPr>
              <w:t>南昌万达中心B1 写字楼-1101 室、1116 室</w:t>
            </w:r>
            <w:r>
              <w:rPr>
                <w:rFonts w:ascii="宋体" w:hAnsi="宋体" w:eastAsia="宋体"/>
                <w:b w:val="0"/>
                <w:i w:val="0"/>
                <w:color w:val="000000"/>
                <w:sz w:val="18"/>
              </w:rPr>
              <w:t xml:space="preserve">（第11 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22" w:after="0"/>
              <w:ind w:left="220" w:right="0" w:firstLine="0"/>
              <w:jc w:val="left"/>
            </w:pPr>
            <w:r>
              <w:rPr>
                <w:rFonts w:ascii="宋体" w:hAnsi="宋体" w:eastAsia="宋体"/>
                <w:b w:val="0"/>
                <w:i w:val="0"/>
                <w:color w:val="000000"/>
                <w:sz w:val="18"/>
              </w:rPr>
              <w:t xml:space="preserve">张占峰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422" w:after="0"/>
              <w:ind w:left="98" w:right="0" w:firstLine="0"/>
              <w:jc w:val="left"/>
            </w:pPr>
            <w:r>
              <w:rPr>
                <w:rFonts w:ascii="宋体" w:hAnsi="宋体" w:eastAsia="宋体"/>
                <w:b w:val="0"/>
                <w:i w:val="0"/>
                <w:color w:val="000000"/>
                <w:sz w:val="18"/>
              </w:rPr>
              <w:t xml:space="preserve">0791-83809689 </w:t>
            </w:r>
          </w:p>
        </w:tc>
      </w:tr>
      <w:tr>
        <w:trPr>
          <w:trHeight w:hRule="exact" w:val="64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74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tabs>
                <w:tab w:pos="362" w:val="left"/>
              </w:tabs>
              <w:autoSpaceDE w:val="0"/>
              <w:widowControl/>
              <w:spacing w:line="322" w:lineRule="exact" w:before="282" w:after="0"/>
              <w:ind w:left="182" w:right="144" w:firstLine="0"/>
              <w:jc w:val="left"/>
            </w:pPr>
            <w:r>
              <w:rPr>
                <w:rFonts w:ascii="宋体" w:hAnsi="宋体" w:eastAsia="宋体"/>
                <w:b w:val="0"/>
                <w:i w:val="0"/>
                <w:color w:val="000000"/>
                <w:sz w:val="18"/>
              </w:rPr>
              <w:t>（18）江苏</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566" w:right="0" w:firstLine="0"/>
              <w:jc w:val="left"/>
            </w:pPr>
            <w:r>
              <w:rPr>
                <w:rFonts w:ascii="宋体" w:hAnsi="宋体" w:eastAsia="宋体"/>
                <w:b w:val="0"/>
                <w:i w:val="0"/>
                <w:color w:val="000000"/>
                <w:sz w:val="18"/>
              </w:rPr>
              <w:t xml:space="preserve">苏州华池街证券营业部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中国（江苏）自由贸易试验区苏州片区苏州工</w:t>
            </w:r>
            <w:r>
              <w:rPr>
                <w:rFonts w:ascii="宋体" w:hAnsi="宋体" w:eastAsia="宋体"/>
                <w:b w:val="0"/>
                <w:i w:val="0"/>
                <w:color w:val="000000"/>
                <w:sz w:val="18"/>
              </w:rPr>
              <w:t xml:space="preserve">业园区华池街88 号1 幢2705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邓海鹏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98" w:right="0" w:firstLine="0"/>
              <w:jc w:val="left"/>
            </w:pPr>
            <w:r>
              <w:rPr>
                <w:rFonts w:ascii="宋体" w:hAnsi="宋体" w:eastAsia="宋体"/>
                <w:b w:val="0"/>
                <w:i w:val="0"/>
                <w:color w:val="000000"/>
                <w:sz w:val="18"/>
              </w:rPr>
              <w:t xml:space="preserve">0512-67991039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75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无锡建筑路证券营业部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江苏省无锡市滨湖区建筑路蓝庭公寓11 号一</w:t>
            </w:r>
            <w:r>
              <w:rPr>
                <w:rFonts w:ascii="宋体" w:hAnsi="宋体" w:eastAsia="宋体"/>
                <w:b w:val="0"/>
                <w:i w:val="0"/>
                <w:color w:val="000000"/>
                <w:sz w:val="18"/>
              </w:rPr>
              <w:t xml:space="preserve">层101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唐  恬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98" w:right="0" w:firstLine="0"/>
              <w:jc w:val="left"/>
            </w:pPr>
            <w:r>
              <w:rPr>
                <w:rFonts w:ascii="宋体" w:hAnsi="宋体" w:eastAsia="宋体"/>
                <w:b w:val="0"/>
                <w:i w:val="0"/>
                <w:color w:val="000000"/>
                <w:sz w:val="18"/>
              </w:rPr>
              <w:t xml:space="preserve">0510-81080267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4" w:after="0"/>
              <w:ind w:left="0" w:right="30" w:firstLine="0"/>
              <w:jc w:val="right"/>
            </w:pPr>
            <w:r>
              <w:rPr>
                <w:rFonts w:ascii="宋体" w:hAnsi="宋体" w:eastAsia="宋体"/>
                <w:b w:val="0"/>
                <w:i w:val="0"/>
                <w:color w:val="000000"/>
                <w:sz w:val="18"/>
              </w:rPr>
              <w:t xml:space="preserve">76 </w:t>
            </w:r>
          </w:p>
        </w:tc>
        <w:tc>
          <w:tcPr>
            <w:tcW w:type="dxa" w:w="1274"/>
            <w:vMerge w:val="restart"/>
            <w:tcBorders>
              <w:start w:sz="3.1999999999999886" w:val="single" w:color="#000000"/>
              <w:top w:sz="4.0" w:val="single" w:color="#000000"/>
              <w:end w:sz="4.0" w:val="single" w:color="#000000"/>
              <w:bottom w:sz="3.200000000000273"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362" w:val="left"/>
              </w:tabs>
              <w:autoSpaceDE w:val="0"/>
              <w:widowControl/>
              <w:spacing w:line="318" w:lineRule="exact" w:before="700" w:after="0"/>
              <w:ind w:left="182" w:right="144" w:firstLine="0"/>
              <w:jc w:val="left"/>
            </w:pPr>
            <w:r>
              <w:rPr>
                <w:rFonts w:ascii="宋体" w:hAnsi="宋体" w:eastAsia="宋体"/>
                <w:b w:val="0"/>
                <w:i w:val="0"/>
                <w:color w:val="000000"/>
                <w:sz w:val="18"/>
              </w:rPr>
              <w:t>（19）河南</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566" w:right="0" w:firstLine="0"/>
              <w:jc w:val="left"/>
            </w:pPr>
            <w:r>
              <w:rPr>
                <w:rFonts w:ascii="宋体" w:hAnsi="宋体" w:eastAsia="宋体"/>
                <w:b w:val="0"/>
                <w:i w:val="0"/>
                <w:color w:val="000000"/>
                <w:sz w:val="18"/>
              </w:rPr>
              <w:t xml:space="preserve">焦作工业路证券营业部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0" w:firstLine="0"/>
              <w:jc w:val="center"/>
            </w:pPr>
            <w:r>
              <w:rPr>
                <w:rFonts w:ascii="宋体" w:hAnsi="宋体" w:eastAsia="宋体"/>
                <w:b w:val="0"/>
                <w:i w:val="0"/>
                <w:color w:val="000000"/>
                <w:sz w:val="18"/>
              </w:rPr>
              <w:t xml:space="preserve">河南省焦作市工业路777 号万基商务中心二层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220" w:right="0" w:firstLine="0"/>
              <w:jc w:val="left"/>
            </w:pPr>
            <w:r>
              <w:rPr>
                <w:rFonts w:ascii="宋体" w:hAnsi="宋体" w:eastAsia="宋体"/>
                <w:b w:val="0"/>
                <w:i w:val="0"/>
                <w:color w:val="000000"/>
                <w:sz w:val="18"/>
              </w:rPr>
              <w:t xml:space="preserve">张海啸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4" w:after="0"/>
              <w:ind w:left="144" w:right="0" w:firstLine="0"/>
              <w:jc w:val="left"/>
            </w:pPr>
            <w:r>
              <w:rPr>
                <w:rFonts w:ascii="宋体" w:hAnsi="宋体" w:eastAsia="宋体"/>
                <w:b w:val="0"/>
                <w:i w:val="0"/>
                <w:color w:val="000000"/>
                <w:sz w:val="18"/>
              </w:rPr>
              <w:t xml:space="preserve">0391-8768806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77 </w:t>
            </w:r>
          </w:p>
        </w:tc>
        <w:tc>
          <w:tcPr>
            <w:tcW w:type="dxa" w:w="1820"/>
            <w:vMerge/>
            <w:tcBorders>
              <w:start w:sz="3.1999999999999886" w:val="single" w:color="#000000"/>
              <w:top w:sz="4.0" w:val="single" w:color="#000000"/>
              <w:end w:sz="4.0" w:val="single" w:color="#000000"/>
              <w:bottom w:sz="3.200000000000273"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66" w:right="0" w:firstLine="0"/>
              <w:jc w:val="left"/>
            </w:pPr>
            <w:r>
              <w:rPr>
                <w:rFonts w:ascii="宋体" w:hAnsi="宋体" w:eastAsia="宋体"/>
                <w:b w:val="0"/>
                <w:i w:val="0"/>
                <w:color w:val="000000"/>
                <w:sz w:val="18"/>
              </w:rPr>
              <w:t xml:space="preserve">濮阳长庆路证券营业部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20"/>
              </w:rPr>
              <w:t>河南省</w:t>
            </w:r>
            <w:r>
              <w:rPr>
                <w:rFonts w:ascii="宋体" w:hAnsi="宋体" w:eastAsia="宋体"/>
                <w:b w:val="0"/>
                <w:i w:val="0"/>
                <w:color w:val="000000"/>
                <w:sz w:val="18"/>
              </w:rPr>
              <w:t>濮阳市长庆路与黄河路交叉口东北角</w:t>
            </w:r>
            <w:r>
              <w:rPr>
                <w:rFonts w:ascii="宋体" w:hAnsi="宋体" w:eastAsia="宋体"/>
                <w:b w:val="0"/>
                <w:i w:val="0"/>
                <w:color w:val="000000"/>
                <w:sz w:val="18"/>
              </w:rPr>
              <w:t xml:space="preserve">万利财富广场1108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申佰胜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144" w:right="0" w:firstLine="0"/>
              <w:jc w:val="left"/>
            </w:pPr>
            <w:r>
              <w:rPr>
                <w:rFonts w:ascii="宋体" w:hAnsi="宋体" w:eastAsia="宋体"/>
                <w:b w:val="0"/>
                <w:i w:val="0"/>
                <w:color w:val="000000"/>
                <w:sz w:val="18"/>
              </w:rPr>
              <w:t xml:space="preserve">0393-8998389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78 </w:t>
            </w:r>
          </w:p>
        </w:tc>
        <w:tc>
          <w:tcPr>
            <w:tcW w:type="dxa" w:w="1820"/>
            <w:vMerge/>
            <w:tcBorders>
              <w:start w:sz="3.1999999999999886" w:val="single" w:color="#000000"/>
              <w:top w:sz="4.0" w:val="single" w:color="#000000"/>
              <w:end w:sz="4.0" w:val="single" w:color="#000000"/>
              <w:bottom w:sz="3.200000000000273"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新乡金穗大道证券营业部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河南省新乡市红旗区金穗大道（东）金谷东方</w:t>
            </w:r>
            <w:r>
              <w:rPr>
                <w:rFonts w:ascii="宋体" w:hAnsi="宋体" w:eastAsia="宋体"/>
                <w:b w:val="0"/>
                <w:i w:val="0"/>
                <w:color w:val="000000"/>
                <w:sz w:val="18"/>
              </w:rPr>
              <w:t xml:space="preserve">广场18 号楼01-02 层东数第6 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梁  蕾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0373-5050099 </w:t>
            </w:r>
          </w:p>
        </w:tc>
      </w:tr>
      <w:tr>
        <w:trPr>
          <w:trHeight w:hRule="exact" w:val="406"/>
        </w:trPr>
        <w:tc>
          <w:tcPr>
            <w:tcW w:type="dxa" w:w="428"/>
            <w:tcBorders>
              <w:start w:sz="4.0" w:val="single" w:color="#000000"/>
              <w:top w:sz="4.0" w:val="single" w:color="#000000"/>
              <w:end w:sz="3.1999999999999886" w:val="single" w:color="#000000"/>
              <w:bottom w:sz="3.200000000000273"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79 </w:t>
            </w:r>
          </w:p>
        </w:tc>
        <w:tc>
          <w:tcPr>
            <w:tcW w:type="dxa" w:w="1820"/>
            <w:vMerge/>
            <w:tcBorders>
              <w:start w:sz="3.1999999999999886" w:val="single" w:color="#000000"/>
              <w:top w:sz="4.0" w:val="single" w:color="#000000"/>
              <w:end w:sz="4.0" w:val="single" w:color="#000000"/>
              <w:bottom w:sz="3.200000000000273" w:val="single" w:color="#000000"/>
            </w:tcBorders>
          </w:tcPr>
          <w:p/>
        </w:tc>
        <w:tc>
          <w:tcPr>
            <w:tcW w:type="dxa" w:w="294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洛阳西苑路证券营业部 </w:t>
            </w:r>
          </w:p>
        </w:tc>
        <w:tc>
          <w:tcPr>
            <w:tcW w:type="dxa" w:w="386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98" w:lineRule="exact" w:before="124" w:after="0"/>
              <w:ind w:left="104" w:right="0" w:firstLine="0"/>
              <w:jc w:val="left"/>
            </w:pPr>
            <w:r>
              <w:rPr>
                <w:rFonts w:ascii="宋体" w:hAnsi="宋体" w:eastAsia="宋体"/>
                <w:b w:val="0"/>
                <w:i w:val="0"/>
                <w:color w:val="000000"/>
                <w:sz w:val="20"/>
              </w:rPr>
              <w:t>河南省</w:t>
            </w:r>
            <w:r>
              <w:rPr>
                <w:rFonts w:ascii="宋体" w:hAnsi="宋体" w:eastAsia="宋体"/>
                <w:b w:val="0"/>
                <w:i w:val="0"/>
                <w:color w:val="000000"/>
                <w:sz w:val="18"/>
              </w:rPr>
              <w:t xml:space="preserve">洛阳市涧西区西苑路6 号 </w:t>
            </w:r>
          </w:p>
        </w:tc>
        <w:tc>
          <w:tcPr>
            <w:tcW w:type="dxa" w:w="99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朱  鹏 </w:t>
            </w:r>
          </w:p>
        </w:tc>
        <w:tc>
          <w:tcPr>
            <w:tcW w:type="dxa" w:w="1388"/>
            <w:tcBorders>
              <w:start w:sz="4.0" w:val="single" w:color="#000000"/>
              <w:top w:sz="4.0" w:val="single" w:color="#000000"/>
              <w:end w:sz="3.2000000000007276" w:val="single" w:color="#000000"/>
              <w:bottom w:sz="3.200000000000273" w:val="single" w:color="#000000"/>
            </w:tcBorders>
            <w:tcMar>
              <w:start w:w="0" w:type="dxa"/>
              <w:end w:w="0" w:type="dxa"/>
            </w:tcMar>
          </w:tcPr>
          <w:p>
            <w:pPr>
              <w:autoSpaceDN w:val="0"/>
              <w:autoSpaceDE w:val="0"/>
              <w:widowControl/>
              <w:spacing w:line="180" w:lineRule="exact" w:before="140" w:after="0"/>
              <w:ind w:left="98" w:right="0" w:firstLine="0"/>
              <w:jc w:val="left"/>
            </w:pPr>
            <w:r>
              <w:rPr>
                <w:rFonts w:ascii="宋体" w:hAnsi="宋体" w:eastAsia="宋体"/>
                <w:b w:val="0"/>
                <w:i w:val="0"/>
                <w:color w:val="000000"/>
                <w:sz w:val="18"/>
              </w:rPr>
              <w:t xml:space="preserve">0379-69953559 </w:t>
            </w:r>
          </w:p>
        </w:tc>
      </w:tr>
      <w:tr>
        <w:trPr>
          <w:trHeight w:hRule="exact" w:val="410"/>
        </w:trPr>
        <w:tc>
          <w:tcPr>
            <w:tcW w:type="dxa" w:w="428"/>
            <w:tcBorders>
              <w:start w:sz="4.0" w:val="single" w:color="#000000"/>
              <w:top w:sz="3.200000000000273"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2" w:after="0"/>
              <w:ind w:left="0" w:right="30" w:firstLine="0"/>
              <w:jc w:val="right"/>
            </w:pPr>
            <w:r>
              <w:rPr>
                <w:rFonts w:ascii="宋体" w:hAnsi="宋体" w:eastAsia="宋体"/>
                <w:b w:val="0"/>
                <w:i w:val="0"/>
                <w:color w:val="000000"/>
                <w:sz w:val="18"/>
              </w:rPr>
              <w:t xml:space="preserve">80 </w:t>
            </w:r>
          </w:p>
        </w:tc>
        <w:tc>
          <w:tcPr>
            <w:tcW w:type="dxa" w:w="1274"/>
            <w:vMerge w:val="restart"/>
            <w:tcBorders>
              <w:start w:sz="3.1999999999999886" w:val="single" w:color="#000000"/>
              <w:top w:sz="3.200000000000273" w:val="single" w:color="#000000"/>
              <w:end w:sz="4.0" w:val="single" w:color="#000000"/>
              <w:bottom w:sz="4.0" w:val="single" w:color="#000000"/>
            </w:tcBorders>
            <w:tcMar>
              <w:start w:w="0" w:type="dxa"/>
              <w:end w:w="0" w:type="dxa"/>
            </w:tcMar>
            <w:tcMar>
              <w:start w:w="0" w:type="dxa"/>
              <w:end w:w="0" w:type="dxa"/>
            </w:tcMar>
          </w:tcPr>
          <w:p>
            <w:pPr>
              <w:autoSpaceDN w:val="0"/>
              <w:tabs>
                <w:tab w:pos="362" w:val="left"/>
              </w:tabs>
              <w:autoSpaceDE w:val="0"/>
              <w:widowControl/>
              <w:spacing w:line="320" w:lineRule="exact" w:before="328" w:after="0"/>
              <w:ind w:left="182" w:right="144" w:firstLine="0"/>
              <w:jc w:val="left"/>
            </w:pPr>
            <w:r>
              <w:rPr>
                <w:rFonts w:ascii="宋体" w:hAnsi="宋体" w:eastAsia="宋体"/>
                <w:b w:val="0"/>
                <w:i w:val="0"/>
                <w:color w:val="000000"/>
                <w:sz w:val="18"/>
              </w:rPr>
              <w:t>（20）浙江</w:t>
            </w:r>
            <w:r>
              <w:rPr>
                <w:rFonts w:ascii="宋体" w:hAnsi="宋体" w:eastAsia="宋体"/>
                <w:b w:val="0"/>
                <w:i w:val="0"/>
                <w:color w:val="000000"/>
                <w:sz w:val="18"/>
              </w:rPr>
              <w:t xml:space="preserve">分公司 </w:t>
            </w:r>
          </w:p>
        </w:tc>
        <w:tc>
          <w:tcPr>
            <w:tcW w:type="dxa" w:w="294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566" w:right="0" w:firstLine="0"/>
              <w:jc w:val="left"/>
            </w:pPr>
            <w:r>
              <w:rPr>
                <w:rFonts w:ascii="宋体" w:hAnsi="宋体" w:eastAsia="宋体"/>
                <w:b w:val="0"/>
                <w:i w:val="0"/>
                <w:color w:val="000000"/>
                <w:sz w:val="18"/>
              </w:rPr>
              <w:t xml:space="preserve">宁波惊驾路证券营业部 </w:t>
            </w:r>
          </w:p>
        </w:tc>
        <w:tc>
          <w:tcPr>
            <w:tcW w:type="dxa" w:w="386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98" w:lineRule="exact" w:before="126" w:after="0"/>
              <w:ind w:left="104" w:right="0" w:firstLine="0"/>
              <w:jc w:val="left"/>
            </w:pPr>
            <w:r>
              <w:rPr>
                <w:rFonts w:ascii="宋体" w:hAnsi="宋体" w:eastAsia="宋体"/>
                <w:b w:val="0"/>
                <w:i w:val="0"/>
                <w:color w:val="000000"/>
                <w:sz w:val="20"/>
              </w:rPr>
              <w:t>浙江省</w:t>
            </w:r>
            <w:r>
              <w:rPr>
                <w:rFonts w:ascii="宋体" w:hAnsi="宋体" w:eastAsia="宋体"/>
                <w:b w:val="0"/>
                <w:i w:val="0"/>
                <w:color w:val="000000"/>
                <w:sz w:val="18"/>
              </w:rPr>
              <w:t xml:space="preserve">江东区惊驾路565 号四楼4-7 号 </w:t>
            </w:r>
          </w:p>
        </w:tc>
        <w:tc>
          <w:tcPr>
            <w:tcW w:type="dxa" w:w="99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220" w:right="0" w:firstLine="0"/>
              <w:jc w:val="left"/>
            </w:pPr>
            <w:r>
              <w:rPr>
                <w:rFonts w:ascii="宋体" w:hAnsi="宋体" w:eastAsia="宋体"/>
                <w:b w:val="0"/>
                <w:i w:val="0"/>
                <w:color w:val="000000"/>
                <w:sz w:val="18"/>
              </w:rPr>
              <w:t xml:space="preserve">田鹏飞 </w:t>
            </w:r>
          </w:p>
        </w:tc>
        <w:tc>
          <w:tcPr>
            <w:tcW w:type="dxa" w:w="1388"/>
            <w:tcBorders>
              <w:start w:sz="4.0" w:val="single" w:color="#000000"/>
              <w:top w:sz="3.20000000000027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2" w:after="0"/>
              <w:ind w:left="98" w:right="0" w:firstLine="0"/>
              <w:jc w:val="left"/>
            </w:pPr>
            <w:r>
              <w:rPr>
                <w:rFonts w:ascii="宋体" w:hAnsi="宋体" w:eastAsia="宋体"/>
                <w:b w:val="0"/>
                <w:i w:val="0"/>
                <w:color w:val="000000"/>
                <w:sz w:val="18"/>
              </w:rPr>
              <w:t xml:space="preserve">0574-27717865 </w:t>
            </w:r>
          </w:p>
        </w:tc>
      </w:tr>
      <w:tr>
        <w:trPr>
          <w:trHeight w:hRule="exact" w:val="97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420" w:after="0"/>
              <w:ind w:left="0" w:right="30" w:firstLine="0"/>
              <w:jc w:val="right"/>
            </w:pPr>
            <w:r>
              <w:rPr>
                <w:rFonts w:ascii="宋体" w:hAnsi="宋体" w:eastAsia="宋体"/>
                <w:b w:val="0"/>
                <w:i w:val="0"/>
                <w:color w:val="000000"/>
                <w:sz w:val="18"/>
              </w:rPr>
              <w:t xml:space="preserve">81 </w:t>
            </w:r>
          </w:p>
        </w:tc>
        <w:tc>
          <w:tcPr>
            <w:tcW w:type="dxa" w:w="1820"/>
            <w:vMerge/>
            <w:tcBorders>
              <w:start w:sz="3.1999999999999886" w:val="single" w:color="#000000"/>
              <w:top w:sz="3.200000000000273"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20" w:after="0"/>
              <w:ind w:left="474" w:right="0" w:firstLine="0"/>
              <w:jc w:val="left"/>
            </w:pPr>
            <w:r>
              <w:rPr>
                <w:rFonts w:ascii="宋体" w:hAnsi="宋体" w:eastAsia="宋体"/>
                <w:b w:val="0"/>
                <w:i w:val="0"/>
                <w:color w:val="000000"/>
                <w:sz w:val="18"/>
              </w:rPr>
              <w:t xml:space="preserve">绍兴解放大道证券营业部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8" w:lineRule="exact" w:before="0" w:after="0"/>
              <w:ind w:left="104" w:right="144" w:firstLine="0"/>
              <w:jc w:val="left"/>
            </w:pPr>
            <w:r>
              <w:rPr>
                <w:rFonts w:ascii="宋体" w:hAnsi="宋体" w:eastAsia="宋体"/>
                <w:b w:val="0"/>
                <w:i w:val="0"/>
                <w:color w:val="000000"/>
                <w:sz w:val="18"/>
              </w:rPr>
              <w:t>浙江省绍兴市越城区灵芝街道解放大道158 号</w:t>
            </w:r>
            <w:r>
              <w:rPr>
                <w:rFonts w:ascii="宋体" w:hAnsi="宋体" w:eastAsia="宋体"/>
                <w:b w:val="0"/>
                <w:i w:val="0"/>
                <w:color w:val="000000"/>
                <w:sz w:val="18"/>
              </w:rPr>
              <w:t>天信大厦21 层2111、2112、2113、2114、</w:t>
            </w:r>
            <w:r>
              <w:rPr>
                <w:rFonts w:ascii="宋体" w:hAnsi="宋体" w:eastAsia="宋体"/>
                <w:b w:val="0"/>
                <w:i w:val="0"/>
                <w:color w:val="000000"/>
                <w:sz w:val="18"/>
              </w:rPr>
              <w:t xml:space="preserve">2115、2116、2117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20" w:after="0"/>
              <w:ind w:left="220" w:right="0" w:firstLine="0"/>
              <w:jc w:val="left"/>
            </w:pPr>
            <w:r>
              <w:rPr>
                <w:rFonts w:ascii="宋体" w:hAnsi="宋体" w:eastAsia="宋体"/>
                <w:b w:val="0"/>
                <w:i w:val="0"/>
                <w:color w:val="000000"/>
                <w:sz w:val="18"/>
              </w:rPr>
              <w:t xml:space="preserve">徐  健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420" w:after="0"/>
              <w:ind w:left="98" w:right="0" w:firstLine="0"/>
              <w:jc w:val="left"/>
            </w:pPr>
            <w:r>
              <w:rPr>
                <w:rFonts w:ascii="宋体" w:hAnsi="宋体" w:eastAsia="宋体"/>
                <w:b w:val="0"/>
                <w:i w:val="0"/>
                <w:color w:val="000000"/>
                <w:sz w:val="18"/>
              </w:rPr>
              <w:t xml:space="preserve">0575-85087866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82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tabs>
                <w:tab w:pos="362" w:val="left"/>
              </w:tabs>
              <w:autoSpaceDE w:val="0"/>
              <w:widowControl/>
              <w:spacing w:line="318" w:lineRule="exact" w:before="290" w:after="0"/>
              <w:ind w:left="182" w:right="144" w:firstLine="0"/>
              <w:jc w:val="left"/>
            </w:pPr>
            <w:r>
              <w:rPr>
                <w:rFonts w:ascii="宋体" w:hAnsi="宋体" w:eastAsia="宋体"/>
                <w:b w:val="0"/>
                <w:i w:val="0"/>
                <w:color w:val="000000"/>
                <w:sz w:val="18"/>
              </w:rPr>
              <w:t>（21）陕西</w:t>
            </w:r>
            <w:r>
              <w:rPr>
                <w:rFonts w:ascii="宋体" w:hAnsi="宋体" w:eastAsia="宋体"/>
                <w:b w:val="0"/>
                <w:i w:val="0"/>
                <w:color w:val="000000"/>
                <w:sz w:val="18"/>
              </w:rPr>
              <w:t xml:space="preserve">分公司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西安明光路证券营业部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陕西省西安经济技术开发区明光路与凤城八路</w:t>
            </w:r>
            <w:r>
              <w:rPr>
                <w:rFonts w:ascii="宋体" w:hAnsi="宋体" w:eastAsia="宋体"/>
                <w:b w:val="0"/>
                <w:i w:val="0"/>
                <w:color w:val="000000"/>
                <w:sz w:val="18"/>
              </w:rPr>
              <w:t xml:space="preserve">十字林间集市407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田  昊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029-86196857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83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银川宁安大街证券营业部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宁夏回族自治区银川市金凤区宁安大街与亲宁</w:t>
            </w:r>
            <w:r>
              <w:rPr>
                <w:rFonts w:ascii="宋体" w:hAnsi="宋体" w:eastAsia="宋体"/>
                <w:b w:val="0"/>
                <w:i w:val="0"/>
                <w:color w:val="000000"/>
                <w:sz w:val="18"/>
              </w:rPr>
              <w:t xml:space="preserve">巷交汇处德丰大厦1606 号房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王晓妍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0951-8512896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84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Pr>
          <w:p>
            <w:pPr>
              <w:autoSpaceDN w:val="0"/>
              <w:tabs>
                <w:tab w:pos="272" w:val="left"/>
              </w:tabs>
              <w:autoSpaceDE w:val="0"/>
              <w:widowControl/>
              <w:spacing w:line="320" w:lineRule="exact" w:before="612" w:after="0"/>
              <w:ind w:left="136" w:right="0" w:firstLine="0"/>
              <w:jc w:val="left"/>
            </w:pPr>
            <w:r>
              <w:rPr>
                <w:rFonts w:ascii="宋体" w:hAnsi="宋体" w:eastAsia="宋体"/>
                <w:b w:val="0"/>
                <w:i w:val="0"/>
                <w:color w:val="000000"/>
                <w:sz w:val="18"/>
              </w:rPr>
              <w:t>（1）大连中</w:t>
            </w:r>
            <w:r>
              <w:tab/>
            </w:r>
            <w:r>
              <w:rPr>
                <w:rFonts w:ascii="宋体" w:hAnsi="宋体" w:eastAsia="宋体"/>
                <w:b w:val="0"/>
                <w:i w:val="0"/>
                <w:color w:val="000000"/>
                <w:sz w:val="18"/>
              </w:rPr>
              <w:t xml:space="preserve">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大连五五路证券营业部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432" w:firstLine="0"/>
              <w:jc w:val="left"/>
            </w:pPr>
            <w:r>
              <w:rPr>
                <w:rFonts w:ascii="宋体" w:hAnsi="宋体" w:eastAsia="宋体"/>
                <w:b w:val="0"/>
                <w:i w:val="0"/>
                <w:color w:val="000000"/>
                <w:sz w:val="18"/>
              </w:rPr>
              <w:t>辽宁省大连市中山区五五路47 号8 层801</w:t>
            </w:r>
            <w:r>
              <w:rPr>
                <w:rFonts w:ascii="宋体" w:hAnsi="宋体" w:eastAsia="宋体"/>
                <w:b w:val="0"/>
                <w:i w:val="0"/>
                <w:color w:val="000000"/>
                <w:sz w:val="18"/>
              </w:rPr>
              <w:t xml:space="preserve">室、802 室、803 室、805 室、大会议室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王成友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98" w:right="0" w:firstLine="0"/>
              <w:jc w:val="left"/>
            </w:pPr>
            <w:r>
              <w:rPr>
                <w:rFonts w:ascii="宋体" w:hAnsi="宋体" w:eastAsia="宋体"/>
                <w:b w:val="0"/>
                <w:i w:val="0"/>
                <w:color w:val="000000"/>
                <w:sz w:val="18"/>
              </w:rPr>
              <w:t xml:space="preserve">0411-39662966 </w:t>
            </w:r>
          </w:p>
        </w:tc>
      </w:tr>
      <w:tr>
        <w:trPr>
          <w:trHeight w:hRule="exact" w:val="64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85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474" w:right="0" w:firstLine="0"/>
              <w:jc w:val="left"/>
            </w:pPr>
            <w:r>
              <w:rPr>
                <w:rFonts w:ascii="宋体" w:hAnsi="宋体" w:eastAsia="宋体"/>
                <w:b w:val="0"/>
                <w:i w:val="0"/>
                <w:color w:val="000000"/>
                <w:sz w:val="18"/>
              </w:rPr>
              <w:t xml:space="preserve">沈阳市府大路证券营业部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辽宁省沈阳市沈河区市府大路358 甲（358</w:t>
            </w:r>
            <w:r>
              <w:rPr>
                <w:rFonts w:ascii="宋体" w:hAnsi="宋体" w:eastAsia="宋体"/>
                <w:b w:val="0"/>
                <w:i w:val="0"/>
                <w:color w:val="000000"/>
                <w:sz w:val="18"/>
              </w:rPr>
              <w:t xml:space="preserve">甲）1-3 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于文洋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144" w:right="0" w:firstLine="0"/>
              <w:jc w:val="left"/>
            </w:pPr>
            <w:r>
              <w:rPr>
                <w:rFonts w:ascii="宋体" w:hAnsi="宋体" w:eastAsia="宋体"/>
                <w:b w:val="0"/>
                <w:i w:val="0"/>
                <w:color w:val="000000"/>
                <w:sz w:val="18"/>
              </w:rPr>
              <w:t xml:space="preserve">024-82914515 </w:t>
            </w:r>
          </w:p>
        </w:tc>
      </w:tr>
      <w:tr>
        <w:trPr>
          <w:trHeight w:hRule="exact" w:val="654"/>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86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94" w:right="0" w:firstLine="0"/>
              <w:jc w:val="left"/>
            </w:pPr>
            <w:r>
              <w:rPr>
                <w:rFonts w:ascii="宋体" w:hAnsi="宋体" w:eastAsia="宋体"/>
                <w:b w:val="0"/>
                <w:i w:val="0"/>
                <w:color w:val="000000"/>
                <w:sz w:val="18"/>
              </w:rPr>
              <w:t xml:space="preserve">哈尔滨果戈里大街证券营业部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黑龙江省哈尔滨市南岗区果戈里大街316 号5</w:t>
            </w:r>
            <w:r>
              <w:rPr>
                <w:rFonts w:ascii="宋体" w:hAnsi="宋体" w:eastAsia="宋体"/>
                <w:b w:val="0"/>
                <w:i w:val="0"/>
                <w:color w:val="000000"/>
                <w:sz w:val="18"/>
              </w:rPr>
              <w:t xml:space="preserve">层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任  博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98" w:right="0" w:firstLine="0"/>
              <w:jc w:val="left"/>
            </w:pPr>
            <w:r>
              <w:rPr>
                <w:rFonts w:ascii="宋体" w:hAnsi="宋体" w:eastAsia="宋体"/>
                <w:b w:val="0"/>
                <w:i w:val="0"/>
                <w:color w:val="000000"/>
                <w:sz w:val="18"/>
              </w:rPr>
              <w:t xml:space="preserve">0451-53623366 </w:t>
            </w:r>
          </w:p>
        </w:tc>
      </w:tr>
      <w:tr>
        <w:trPr>
          <w:trHeight w:hRule="exact" w:val="40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87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tabs>
                <w:tab w:pos="272" w:val="left"/>
              </w:tabs>
              <w:autoSpaceDE w:val="0"/>
              <w:widowControl/>
              <w:spacing w:line="318" w:lineRule="exact" w:before="168" w:after="0"/>
              <w:ind w:left="136" w:right="0" w:firstLine="0"/>
              <w:jc w:val="left"/>
            </w:pPr>
            <w:r>
              <w:rPr>
                <w:rFonts w:ascii="宋体" w:hAnsi="宋体" w:eastAsia="宋体"/>
                <w:b w:val="0"/>
                <w:i w:val="0"/>
                <w:color w:val="000000"/>
                <w:sz w:val="18"/>
              </w:rPr>
              <w:t>（2）重庆中</w:t>
            </w:r>
            <w:r>
              <w:tab/>
            </w:r>
            <w:r>
              <w:rPr>
                <w:rFonts w:ascii="宋体" w:hAnsi="宋体" w:eastAsia="宋体"/>
                <w:b w:val="0"/>
                <w:i w:val="0"/>
                <w:color w:val="000000"/>
                <w:sz w:val="18"/>
              </w:rPr>
              <w:t xml:space="preserve">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566" w:right="0" w:firstLine="0"/>
              <w:jc w:val="left"/>
            </w:pPr>
            <w:r>
              <w:rPr>
                <w:rFonts w:ascii="宋体" w:hAnsi="宋体" w:eastAsia="宋体"/>
                <w:b w:val="0"/>
                <w:i w:val="0"/>
                <w:color w:val="000000"/>
                <w:sz w:val="18"/>
              </w:rPr>
              <w:t xml:space="preserve">重庆江北嘴证券营业部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重庆市江北区江北城西大街27 号9-6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熊立汉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023-88767307 </w:t>
            </w:r>
          </w:p>
        </w:tc>
      </w:tr>
      <w:tr>
        <w:trPr>
          <w:trHeight w:hRule="exact" w:val="652"/>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88 </w:t>
            </w:r>
          </w:p>
        </w:tc>
        <w:tc>
          <w:tcPr>
            <w:tcW w:type="dxa" w:w="1820"/>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566" w:right="0" w:firstLine="0"/>
              <w:jc w:val="left"/>
            </w:pPr>
            <w:r>
              <w:rPr>
                <w:rFonts w:ascii="宋体" w:hAnsi="宋体" w:eastAsia="宋体"/>
                <w:b w:val="0"/>
                <w:i w:val="0"/>
                <w:color w:val="000000"/>
                <w:sz w:val="18"/>
              </w:rPr>
              <w:t xml:space="preserve">重庆红黄路证券营业部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0" w:firstLine="0"/>
              <w:jc w:val="left"/>
            </w:pPr>
            <w:r>
              <w:rPr>
                <w:rFonts w:ascii="宋体" w:hAnsi="宋体" w:eastAsia="宋体"/>
                <w:b w:val="0"/>
                <w:i w:val="0"/>
                <w:color w:val="000000"/>
                <w:sz w:val="18"/>
              </w:rPr>
              <w:t>重庆市渝北区龙塔街道紫康路56 号中央香寓1</w:t>
            </w:r>
            <w:r>
              <w:rPr>
                <w:rFonts w:ascii="宋体" w:hAnsi="宋体" w:eastAsia="宋体"/>
                <w:b w:val="0"/>
                <w:i w:val="0"/>
                <w:color w:val="000000"/>
                <w:sz w:val="18"/>
              </w:rPr>
              <w:t xml:space="preserve">幢第1 夹-1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高昌军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144" w:right="0" w:firstLine="0"/>
              <w:jc w:val="left"/>
            </w:pPr>
            <w:r>
              <w:rPr>
                <w:rFonts w:ascii="宋体" w:hAnsi="宋体" w:eastAsia="宋体"/>
                <w:b w:val="0"/>
                <w:i w:val="0"/>
                <w:color w:val="000000"/>
                <w:sz w:val="18"/>
              </w:rPr>
              <w:t xml:space="preserve">023-86812667 </w:t>
            </w:r>
          </w:p>
        </w:tc>
      </w:tr>
      <w:tr>
        <w:trPr>
          <w:trHeight w:hRule="exact" w:val="646"/>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89 </w:t>
            </w:r>
          </w:p>
        </w:tc>
        <w:tc>
          <w:tcPr>
            <w:tcW w:type="dxa" w:w="1274"/>
            <w:vMerge w:val="restart"/>
            <w:tcBorders>
              <w:start w:sz="3.1999999999999886" w:val="single" w:color="#000000"/>
              <w:top w:sz="4.0"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272" w:val="left"/>
              </w:tabs>
              <w:autoSpaceDE w:val="0"/>
              <w:widowControl/>
              <w:spacing w:line="322" w:lineRule="exact" w:before="812" w:after="0"/>
              <w:ind w:left="136" w:right="0" w:firstLine="0"/>
              <w:jc w:val="left"/>
            </w:pPr>
            <w:r>
              <w:rPr>
                <w:rFonts w:ascii="宋体" w:hAnsi="宋体" w:eastAsia="宋体"/>
                <w:b w:val="0"/>
                <w:i w:val="0"/>
                <w:color w:val="000000"/>
                <w:sz w:val="18"/>
              </w:rPr>
              <w:t>（3）成都中</w:t>
            </w:r>
            <w:r>
              <w:tab/>
            </w:r>
            <w:r>
              <w:rPr>
                <w:rFonts w:ascii="宋体" w:hAnsi="宋体" w:eastAsia="宋体"/>
                <w:b w:val="0"/>
                <w:i w:val="0"/>
                <w:color w:val="000000"/>
                <w:sz w:val="18"/>
              </w:rPr>
              <w:t xml:space="preserve">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474" w:right="0" w:firstLine="0"/>
              <w:jc w:val="left"/>
            </w:pPr>
            <w:r>
              <w:rPr>
                <w:rFonts w:ascii="宋体" w:hAnsi="宋体" w:eastAsia="宋体"/>
                <w:b w:val="0"/>
                <w:i w:val="0"/>
                <w:color w:val="000000"/>
                <w:sz w:val="18"/>
              </w:rPr>
              <w:t xml:space="preserve">成都天府广场证券营业部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0" w:firstLine="0"/>
              <w:jc w:val="left"/>
            </w:pPr>
            <w:r>
              <w:rPr>
                <w:rFonts w:ascii="宋体" w:hAnsi="宋体" w:eastAsia="宋体"/>
                <w:b w:val="0"/>
                <w:i w:val="0"/>
                <w:color w:val="000000"/>
                <w:sz w:val="18"/>
              </w:rPr>
              <w:t>四川省成都市青羊区西御街5 号1 栋1 单元20</w:t>
            </w:r>
            <w:r>
              <w:rPr>
                <w:rFonts w:ascii="宋体" w:hAnsi="宋体" w:eastAsia="宋体"/>
                <w:b w:val="0"/>
                <w:i w:val="0"/>
                <w:color w:val="000000"/>
                <w:sz w:val="18"/>
              </w:rPr>
              <w:t xml:space="preserve">层04、05、06 单元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瞿  丹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144" w:right="0" w:firstLine="0"/>
              <w:jc w:val="left"/>
            </w:pPr>
            <w:r>
              <w:rPr>
                <w:rFonts w:ascii="宋体" w:hAnsi="宋体" w:eastAsia="宋体"/>
                <w:b w:val="0"/>
                <w:i w:val="0"/>
                <w:color w:val="000000"/>
                <w:sz w:val="18"/>
              </w:rPr>
              <w:t xml:space="preserve">028-82885568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90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昆明东风东路证券营业部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云南省昆明市盘龙区东风东路23 号恒隆广场</w:t>
            </w:r>
            <w:r>
              <w:rPr>
                <w:rFonts w:ascii="宋体" w:hAnsi="宋体" w:eastAsia="宋体"/>
                <w:b w:val="0"/>
                <w:i w:val="0"/>
                <w:color w:val="000000"/>
                <w:sz w:val="18"/>
              </w:rPr>
              <w:t xml:space="preserve">办公楼37 层3701-3702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何  丽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98" w:right="0" w:firstLine="0"/>
              <w:jc w:val="left"/>
            </w:pPr>
            <w:r>
              <w:rPr>
                <w:rFonts w:ascii="宋体" w:hAnsi="宋体" w:eastAsia="宋体"/>
                <w:b w:val="0"/>
                <w:i w:val="0"/>
                <w:color w:val="000000"/>
                <w:sz w:val="18"/>
              </w:rPr>
              <w:t xml:space="preserve">0871-65556601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91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广安金安大道证券营业部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四川省广安市广安区金安大道一段146 号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冷  嵋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0826-2259001 </w:t>
            </w:r>
          </w:p>
        </w:tc>
      </w:tr>
      <w:tr>
        <w:trPr>
          <w:trHeight w:hRule="exact" w:val="652"/>
        </w:trPr>
        <w:tc>
          <w:tcPr>
            <w:tcW w:type="dxa" w:w="428"/>
            <w:tcBorders>
              <w:start w:sz="4.0" w:val="single" w:color="#000000"/>
              <w:top w:sz="4.0" w:val="single" w:color="#000000"/>
              <w:end w:sz="3.1999999999999886" w:val="single" w:color="#000000"/>
              <w:bottom w:sz="3.199999999999818" w:val="single" w:color="#000000"/>
            </w:tcBorders>
            <w:tcMar>
              <w:start w:w="0" w:type="dxa"/>
              <w:end w:w="0" w:type="dxa"/>
            </w:tcMar>
          </w:tcPr>
          <w:p>
            <w:pPr>
              <w:autoSpaceDN w:val="0"/>
              <w:autoSpaceDE w:val="0"/>
              <w:widowControl/>
              <w:spacing w:line="180" w:lineRule="exact" w:before="266" w:after="0"/>
              <w:ind w:left="0" w:right="30" w:firstLine="0"/>
              <w:jc w:val="right"/>
            </w:pPr>
            <w:r>
              <w:rPr>
                <w:rFonts w:ascii="宋体" w:hAnsi="宋体" w:eastAsia="宋体"/>
                <w:b w:val="0"/>
                <w:i w:val="0"/>
                <w:color w:val="000000"/>
                <w:sz w:val="18"/>
              </w:rPr>
              <w:t xml:space="preserve">92 </w:t>
            </w:r>
          </w:p>
        </w:tc>
        <w:tc>
          <w:tcPr>
            <w:tcW w:type="dxa" w:w="1820"/>
            <w:vMerge/>
            <w:tcBorders>
              <w:start w:sz="3.1999999999999886" w:val="single" w:color="#000000"/>
              <w:top w:sz="4.0" w:val="single" w:color="#000000"/>
              <w:end w:sz="4.0" w:val="single" w:color="#000000"/>
              <w:bottom w:sz="3.199999999999818" w:val="single" w:color="#000000"/>
            </w:tcBorders>
          </w:tcPr>
          <w:p/>
        </w:tc>
        <w:tc>
          <w:tcPr>
            <w:tcW w:type="dxa" w:w="294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474" w:right="0" w:firstLine="0"/>
              <w:jc w:val="left"/>
            </w:pPr>
            <w:r>
              <w:rPr>
                <w:rFonts w:ascii="宋体" w:hAnsi="宋体" w:eastAsia="宋体"/>
                <w:b w:val="0"/>
                <w:i w:val="0"/>
                <w:color w:val="000000"/>
                <w:sz w:val="18"/>
              </w:rPr>
              <w:t xml:space="preserve">贵阳长岭南路证券营业部 </w:t>
            </w:r>
          </w:p>
        </w:tc>
        <w:tc>
          <w:tcPr>
            <w:tcW w:type="dxa" w:w="38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20"/>
              </w:rPr>
              <w:t>贵州省</w:t>
            </w:r>
            <w:r>
              <w:rPr>
                <w:rFonts w:ascii="宋体" w:hAnsi="宋体" w:eastAsia="宋体"/>
                <w:b w:val="0"/>
                <w:i w:val="0"/>
                <w:color w:val="000000"/>
                <w:sz w:val="18"/>
              </w:rPr>
              <w:t>高新区（观山湖区）长岭南路160 号</w:t>
            </w:r>
            <w:r>
              <w:rPr>
                <w:rFonts w:ascii="宋体" w:hAnsi="宋体" w:eastAsia="宋体"/>
                <w:b w:val="0"/>
                <w:i w:val="0"/>
                <w:color w:val="000000"/>
                <w:sz w:val="18"/>
              </w:rPr>
              <w:t xml:space="preserve">黎阳大厦地上部分1 层5 号 </w:t>
            </w:r>
          </w:p>
        </w:tc>
        <w:tc>
          <w:tcPr>
            <w:tcW w:type="dxa" w:w="9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220" w:right="0" w:firstLine="0"/>
              <w:jc w:val="left"/>
            </w:pPr>
            <w:r>
              <w:rPr>
                <w:rFonts w:ascii="宋体" w:hAnsi="宋体" w:eastAsia="宋体"/>
                <w:b w:val="0"/>
                <w:i w:val="0"/>
                <w:color w:val="000000"/>
                <w:sz w:val="18"/>
              </w:rPr>
              <w:t xml:space="preserve">李德懿 </w:t>
            </w:r>
          </w:p>
        </w:tc>
        <w:tc>
          <w:tcPr>
            <w:tcW w:type="dxa" w:w="1388"/>
            <w:tcBorders>
              <w:start w:sz="4.0" w:val="single" w:color="#000000"/>
              <w:top w:sz="4.0" w:val="single" w:color="#000000"/>
              <w:end w:sz="3.2000000000007276" w:val="single" w:color="#000000"/>
              <w:bottom w:sz="3.199999999999818" w:val="single" w:color="#000000"/>
            </w:tcBorders>
            <w:tcMar>
              <w:start w:w="0" w:type="dxa"/>
              <w:end w:w="0" w:type="dxa"/>
            </w:tcMar>
          </w:tcPr>
          <w:p>
            <w:pPr>
              <w:autoSpaceDN w:val="0"/>
              <w:autoSpaceDE w:val="0"/>
              <w:widowControl/>
              <w:spacing w:line="180" w:lineRule="exact" w:before="266" w:after="0"/>
              <w:ind w:left="98" w:right="0" w:firstLine="0"/>
              <w:jc w:val="left"/>
            </w:pPr>
            <w:r>
              <w:rPr>
                <w:rFonts w:ascii="宋体" w:hAnsi="宋体" w:eastAsia="宋体"/>
                <w:b w:val="0"/>
                <w:i w:val="0"/>
                <w:color w:val="000000"/>
                <w:sz w:val="18"/>
              </w:rPr>
              <w:t xml:space="preserve">0851-85595573 </w:t>
            </w:r>
          </w:p>
        </w:tc>
      </w:tr>
      <w:tr>
        <w:trPr>
          <w:trHeight w:hRule="exact" w:val="650"/>
        </w:trPr>
        <w:tc>
          <w:tcPr>
            <w:tcW w:type="dxa" w:w="428"/>
            <w:tcBorders>
              <w:start w:sz="4.0" w:val="single" w:color="#000000"/>
              <w:top w:sz="3.199999999999818"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4" w:after="0"/>
              <w:ind w:left="0" w:right="30" w:firstLine="0"/>
              <w:jc w:val="right"/>
            </w:pPr>
            <w:r>
              <w:rPr>
                <w:rFonts w:ascii="宋体" w:hAnsi="宋体" w:eastAsia="宋体"/>
                <w:b w:val="0"/>
                <w:i w:val="0"/>
                <w:color w:val="000000"/>
                <w:sz w:val="18"/>
              </w:rPr>
              <w:t xml:space="preserve">93 </w:t>
            </w:r>
          </w:p>
        </w:tc>
        <w:tc>
          <w:tcPr>
            <w:tcW w:type="dxa" w:w="1274"/>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tabs>
                <w:tab w:pos="272" w:val="left"/>
              </w:tabs>
              <w:autoSpaceDE w:val="0"/>
              <w:widowControl/>
              <w:spacing w:line="302" w:lineRule="exact" w:before="0" w:after="0"/>
              <w:ind w:left="136" w:right="0" w:firstLine="0"/>
              <w:jc w:val="left"/>
            </w:pPr>
            <w:r>
              <w:rPr>
                <w:rFonts w:ascii="宋体" w:hAnsi="宋体" w:eastAsia="宋体"/>
                <w:b w:val="0"/>
                <w:i w:val="0"/>
                <w:color w:val="000000"/>
                <w:sz w:val="18"/>
              </w:rPr>
              <w:t>（4）福州中</w:t>
            </w:r>
            <w:r>
              <w:tab/>
            </w:r>
            <w:r>
              <w:rPr>
                <w:rFonts w:ascii="宋体" w:hAnsi="宋体" w:eastAsia="宋体"/>
                <w:b w:val="0"/>
                <w:i w:val="0"/>
                <w:color w:val="000000"/>
                <w:sz w:val="18"/>
              </w:rPr>
              <w:t xml:space="preserve">心营业部 </w:t>
            </w:r>
          </w:p>
        </w:tc>
        <w:tc>
          <w:tcPr>
            <w:tcW w:type="dxa" w:w="294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74" w:right="0" w:firstLine="0"/>
              <w:jc w:val="left"/>
            </w:pPr>
            <w:r>
              <w:rPr>
                <w:rFonts w:ascii="宋体" w:hAnsi="宋体" w:eastAsia="宋体"/>
                <w:b w:val="0"/>
                <w:i w:val="0"/>
                <w:color w:val="000000"/>
                <w:sz w:val="18"/>
              </w:rPr>
              <w:t xml:space="preserve">福州杨桥东路证券营业部 </w:t>
            </w:r>
          </w:p>
        </w:tc>
        <w:tc>
          <w:tcPr>
            <w:tcW w:type="dxa" w:w="386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福建省福州市鼓楼区杨桥东路19 号三坊七巷1</w:t>
            </w:r>
            <w:r>
              <w:rPr>
                <w:rFonts w:ascii="宋体" w:hAnsi="宋体" w:eastAsia="宋体"/>
                <w:b w:val="0"/>
                <w:i w:val="0"/>
                <w:color w:val="000000"/>
                <w:sz w:val="18"/>
              </w:rPr>
              <w:t xml:space="preserve">号楼三层 </w:t>
            </w:r>
          </w:p>
        </w:tc>
        <w:tc>
          <w:tcPr>
            <w:tcW w:type="dxa" w:w="9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220" w:right="0" w:firstLine="0"/>
              <w:jc w:val="left"/>
            </w:pPr>
            <w:r>
              <w:rPr>
                <w:rFonts w:ascii="宋体" w:hAnsi="宋体" w:eastAsia="宋体"/>
                <w:b w:val="0"/>
                <w:i w:val="0"/>
                <w:color w:val="000000"/>
                <w:sz w:val="18"/>
              </w:rPr>
              <w:t xml:space="preserve">陈一向 </w:t>
            </w:r>
          </w:p>
        </w:tc>
        <w:tc>
          <w:tcPr>
            <w:tcW w:type="dxa" w:w="1388"/>
            <w:tcBorders>
              <w:start w:sz="4.0" w:val="single" w:color="#000000"/>
              <w:top w:sz="3.199999999999818"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4" w:after="0"/>
              <w:ind w:left="98" w:right="0" w:firstLine="0"/>
              <w:jc w:val="left"/>
            </w:pPr>
            <w:r>
              <w:rPr>
                <w:rFonts w:ascii="宋体" w:hAnsi="宋体" w:eastAsia="宋体"/>
                <w:b w:val="0"/>
                <w:i w:val="0"/>
                <w:color w:val="000000"/>
                <w:sz w:val="18"/>
              </w:rPr>
              <w:t xml:space="preserve">0591-87608958 </w:t>
            </w:r>
          </w:p>
        </w:tc>
      </w:tr>
    </w:tbl>
    <w:p>
      <w:pPr>
        <w:autoSpaceDN w:val="0"/>
        <w:autoSpaceDE w:val="0"/>
        <w:widowControl/>
        <w:spacing w:line="197" w:lineRule="auto" w:before="402" w:after="0"/>
        <w:ind w:left="0" w:right="0" w:firstLine="0"/>
        <w:jc w:val="center"/>
      </w:pPr>
      <w:r>
        <w:rPr>
          <w:rFonts w:ascii="Calibri" w:hAnsi="Calibri" w:eastAsia="Calibri"/>
          <w:b w:val="0"/>
          <w:i w:val="0"/>
          <w:color w:val="000000"/>
          <w:sz w:val="18"/>
        </w:rPr>
        <w:t xml:space="preserve">18 </w:t>
      </w:r>
    </w:p>
    <w:p>
      <w:pPr>
        <w:sectPr>
          <w:type w:val="continuous"/>
          <w:pgSz w:w="11904" w:h="16841"/>
          <w:pgMar w:top="424" w:right="480" w:bottom="446" w:left="504" w:header="720" w:footer="720" w:gutter="0"/>
          <w:cols/>
          <w:docGrid w:linePitch="360"/>
        </w:sectPr>
      </w:pPr>
    </w:p>
    <w:p>
      <w:pPr>
        <w:autoSpaceDN w:val="0"/>
        <w:autoSpaceDE w:val="0"/>
        <w:widowControl/>
        <w:spacing w:line="220" w:lineRule="exact" w:before="0" w:after="206"/>
        <w:ind w:left="0" w:right="0"/>
      </w:pPr>
    </w:p>
    <w:p>
      <w:pPr>
        <w:sectPr>
          <w:pgSz w:w="11904" w:h="16841"/>
          <w:pgMar w:top="424" w:right="440" w:bottom="446" w:left="464" w:header="720" w:footer="720" w:gutter="0"/>
          <w:cols/>
          <w:docGrid w:linePitch="360"/>
        </w:sectPr>
      </w:pPr>
    </w:p>
    <w:p>
      <w:pPr>
        <w:autoSpaceDN w:val="0"/>
        <w:autoSpaceDE w:val="0"/>
        <w:widowControl/>
        <w:spacing w:line="240" w:lineRule="auto" w:before="0" w:after="0"/>
        <w:ind w:left="670" w:right="0" w:firstLine="0"/>
        <w:jc w:val="left"/>
      </w:pPr>
      <w:r>
        <w:drawing>
          <wp:inline xmlns:a="http://schemas.openxmlformats.org/drawingml/2006/main" xmlns:pic="http://schemas.openxmlformats.org/drawingml/2006/picture">
            <wp:extent cx="1844039" cy="439419"/>
            <wp:docPr id="21" name="Picture 2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40" w:bottom="446" w:left="464" w:header="720" w:footer="720" w:gutter="0"/>
          <w:cols w:num="2" w:equalWidth="0">
            <w:col w:w="6076" w:space="0"/>
            <w:col w:w="4924" w:space="0"/>
          </w:cols>
          <w:docGrid w:linePitch="360"/>
        </w:sectPr>
      </w:pPr>
    </w:p>
    <w:p>
      <w:pPr>
        <w:autoSpaceDN w:val="0"/>
        <w:autoSpaceDE w:val="0"/>
        <w:widowControl/>
        <w:spacing w:line="200" w:lineRule="exact" w:before="0" w:after="30"/>
        <w:ind w:left="0" w:right="70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40" w:bottom="446" w:left="464" w:header="720" w:footer="720" w:gutter="0"/>
          <w:cols w:num="2" w:equalWidth="0">
            <w:col w:w="6076" w:space="0"/>
            <w:col w:w="492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43.999999999999986" w:type="dxa"/>
      </w:tblPr>
      <w:tblGrid>
        <w:gridCol w:w="1833"/>
        <w:gridCol w:w="1833"/>
        <w:gridCol w:w="1833"/>
        <w:gridCol w:w="1833"/>
        <w:gridCol w:w="1833"/>
        <w:gridCol w:w="1833"/>
      </w:tblGrid>
      <w:tr>
        <w:trPr>
          <w:trHeight w:hRule="exact" w:val="64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94 </w:t>
            </w:r>
          </w:p>
        </w:tc>
        <w:tc>
          <w:tcPr>
            <w:tcW w:type="dxa" w:w="1274"/>
            <w:tcBorders>
              <w:start w:sz="3.1999999999999886" w:val="single" w:color="#000000"/>
              <w:top w:sz="4.0" w:val="single" w:color="#000000"/>
              <w:end w:sz="4.0" w:val="single" w:color="#000000"/>
              <w:bottom w:sz="4.0" w:val="single" w:color="#000000"/>
            </w:tcBorders>
            <w:tcMar>
              <w:start w:w="0" w:type="dxa"/>
              <w:end w:w="0" w:type="dxa"/>
            </w:tcMar>
          </w:tcPr>
          <w:p/>
        </w:tc>
        <w:tc>
          <w:tcPr>
            <w:tcW w:type="dxa" w:w="294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474" w:right="0" w:firstLine="0"/>
              <w:jc w:val="left"/>
            </w:pPr>
            <w:r>
              <w:rPr>
                <w:rFonts w:ascii="宋体" w:hAnsi="宋体" w:eastAsia="宋体"/>
                <w:b w:val="0"/>
                <w:i w:val="0"/>
                <w:color w:val="000000"/>
                <w:sz w:val="18"/>
              </w:rPr>
              <w:t xml:space="preserve">福清景观大道证券营业部 </w:t>
            </w:r>
          </w:p>
        </w:tc>
        <w:tc>
          <w:tcPr>
            <w:tcW w:type="dxa" w:w="386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98" w:lineRule="exact" w:before="0" w:after="0"/>
              <w:ind w:left="0" w:right="144" w:firstLine="0"/>
              <w:jc w:val="center"/>
            </w:pPr>
            <w:r>
              <w:rPr>
                <w:rFonts w:ascii="宋体" w:hAnsi="宋体" w:eastAsia="宋体"/>
                <w:b w:val="0"/>
                <w:i w:val="0"/>
                <w:color w:val="000000"/>
                <w:sz w:val="18"/>
              </w:rPr>
              <w:t>福建省福清市音西景观大道77 号融创公馆9</w:t>
            </w:r>
            <w:r>
              <w:rPr>
                <w:rFonts w:ascii="宋体" w:hAnsi="宋体" w:eastAsia="宋体"/>
                <w:b w:val="0"/>
                <w:i w:val="0"/>
                <w:color w:val="000000"/>
                <w:sz w:val="18"/>
              </w:rPr>
              <w:t xml:space="preserve">幢113 室、115 室、116 室、117 室、118 室 </w:t>
            </w:r>
          </w:p>
        </w:tc>
        <w:tc>
          <w:tcPr>
            <w:tcW w:type="dxa" w:w="9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220" w:right="0" w:firstLine="0"/>
              <w:jc w:val="left"/>
            </w:pPr>
            <w:r>
              <w:rPr>
                <w:rFonts w:ascii="宋体" w:hAnsi="宋体" w:eastAsia="宋体"/>
                <w:b w:val="0"/>
                <w:i w:val="0"/>
                <w:color w:val="000000"/>
                <w:sz w:val="18"/>
              </w:rPr>
              <w:t xml:space="preserve">张景晖 </w:t>
            </w:r>
          </w:p>
        </w:tc>
        <w:tc>
          <w:tcPr>
            <w:tcW w:type="dxa" w:w="1388"/>
            <w:tcBorders>
              <w:start w:sz="4.0" w:val="single" w:color="#000000"/>
              <w:top w:sz="5.600000000000023"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58" w:after="0"/>
              <w:ind w:left="98" w:right="0" w:firstLine="0"/>
              <w:jc w:val="left"/>
            </w:pPr>
            <w:r>
              <w:rPr>
                <w:rFonts w:ascii="宋体" w:hAnsi="宋体" w:eastAsia="宋体"/>
                <w:b w:val="0"/>
                <w:i w:val="0"/>
                <w:color w:val="000000"/>
                <w:sz w:val="18"/>
              </w:rPr>
              <w:t xml:space="preserve">0591-85155988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95 </w:t>
            </w:r>
          </w:p>
        </w:tc>
        <w:tc>
          <w:tcPr>
            <w:tcW w:type="dxa" w:w="1274"/>
            <w:tcBorders>
              <w:start w:sz="3.1999999999999886" w:val="single" w:color="#000000"/>
              <w:top w:sz="4.0" w:val="single" w:color="#000000"/>
              <w:end w:sz="4.0" w:val="single" w:color="#000000"/>
              <w:bottom w:sz="4.0" w:val="single" w:color="#000000"/>
            </w:tcBorders>
            <w:tcMar>
              <w:start w:w="0" w:type="dxa"/>
              <w:end w:w="0" w:type="dxa"/>
            </w:tcMar>
          </w:tcPr>
          <w:p>
            <w:pPr>
              <w:autoSpaceDN w:val="0"/>
              <w:tabs>
                <w:tab w:pos="272" w:val="left"/>
              </w:tabs>
              <w:autoSpaceDE w:val="0"/>
              <w:widowControl/>
              <w:spacing w:line="300" w:lineRule="exact" w:before="0" w:after="0"/>
              <w:ind w:left="136" w:right="0" w:firstLine="0"/>
              <w:jc w:val="left"/>
            </w:pPr>
            <w:r>
              <w:rPr>
                <w:rFonts w:ascii="宋体" w:hAnsi="宋体" w:eastAsia="宋体"/>
                <w:b w:val="0"/>
                <w:i w:val="0"/>
                <w:color w:val="000000"/>
                <w:sz w:val="18"/>
              </w:rPr>
              <w:t>（5）天津中</w:t>
            </w:r>
            <w:r>
              <w:tab/>
            </w:r>
            <w:r>
              <w:rPr>
                <w:rFonts w:ascii="宋体" w:hAnsi="宋体" w:eastAsia="宋体"/>
                <w:b w:val="0"/>
                <w:i w:val="0"/>
                <w:color w:val="000000"/>
                <w:sz w:val="18"/>
              </w:rPr>
              <w:t xml:space="preserve">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566" w:right="0" w:firstLine="0"/>
              <w:jc w:val="left"/>
            </w:pPr>
            <w:r>
              <w:rPr>
                <w:rFonts w:ascii="宋体" w:hAnsi="宋体" w:eastAsia="宋体"/>
                <w:b w:val="0"/>
                <w:i w:val="0"/>
                <w:color w:val="000000"/>
                <w:sz w:val="18"/>
              </w:rPr>
              <w:t xml:space="preserve">天津长江道证券营业部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天津市南开区长江道与南丰路交口博朗园1 号</w:t>
            </w:r>
            <w:r>
              <w:rPr>
                <w:rFonts w:ascii="宋体" w:hAnsi="宋体" w:eastAsia="宋体"/>
                <w:b w:val="0"/>
                <w:i w:val="0"/>
                <w:color w:val="000000"/>
                <w:sz w:val="18"/>
              </w:rPr>
              <w:t xml:space="preserve">楼26 楼2601-1/2602/2603/2604-1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20" w:right="0" w:firstLine="0"/>
              <w:jc w:val="left"/>
            </w:pPr>
            <w:r>
              <w:rPr>
                <w:rFonts w:ascii="宋体" w:hAnsi="宋体" w:eastAsia="宋体"/>
                <w:b w:val="0"/>
                <w:i w:val="0"/>
                <w:color w:val="000000"/>
                <w:sz w:val="18"/>
              </w:rPr>
              <w:t xml:space="preserve">刘振宇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0" w:after="0"/>
              <w:ind w:left="144" w:right="0" w:firstLine="0"/>
              <w:jc w:val="left"/>
            </w:pPr>
            <w:r>
              <w:rPr>
                <w:rFonts w:ascii="宋体" w:hAnsi="宋体" w:eastAsia="宋体"/>
                <w:b w:val="0"/>
                <w:i w:val="0"/>
                <w:color w:val="000000"/>
                <w:sz w:val="18"/>
              </w:rPr>
              <w:t xml:space="preserve">022-27456108 </w:t>
            </w:r>
          </w:p>
        </w:tc>
      </w:tr>
      <w:tr>
        <w:trPr>
          <w:trHeight w:hRule="exact" w:val="650"/>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262" w:after="0"/>
              <w:ind w:left="0" w:right="30" w:firstLine="0"/>
              <w:jc w:val="right"/>
            </w:pPr>
            <w:r>
              <w:rPr>
                <w:rFonts w:ascii="宋体" w:hAnsi="宋体" w:eastAsia="宋体"/>
                <w:b w:val="0"/>
                <w:i w:val="0"/>
                <w:color w:val="000000"/>
                <w:sz w:val="18"/>
              </w:rPr>
              <w:t xml:space="preserve">96 </w:t>
            </w:r>
          </w:p>
        </w:tc>
        <w:tc>
          <w:tcPr>
            <w:tcW w:type="dxa" w:w="1274"/>
            <w:vMerge w:val="restart"/>
            <w:tcBorders>
              <w:start w:sz="3.1999999999999886"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tabs>
                <w:tab w:pos="182" w:val="left"/>
              </w:tabs>
              <w:autoSpaceDE w:val="0"/>
              <w:widowControl/>
              <w:spacing w:line="322" w:lineRule="exact" w:before="164" w:after="0"/>
              <w:ind w:left="136" w:right="0" w:firstLine="0"/>
              <w:jc w:val="left"/>
            </w:pPr>
            <w:r>
              <w:rPr>
                <w:rFonts w:ascii="宋体" w:hAnsi="宋体" w:eastAsia="宋体"/>
                <w:b w:val="0"/>
                <w:i w:val="0"/>
                <w:color w:val="000000"/>
                <w:sz w:val="18"/>
              </w:rPr>
              <w:t>（6）石家庄</w:t>
            </w:r>
            <w:r>
              <w:rPr>
                <w:rFonts w:ascii="宋体" w:hAnsi="宋体" w:eastAsia="宋体"/>
                <w:b w:val="0"/>
                <w:i w:val="0"/>
                <w:color w:val="000000"/>
                <w:sz w:val="18"/>
              </w:rPr>
              <w:t xml:space="preserve">中心营业部 </w:t>
            </w: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74" w:right="0" w:firstLine="0"/>
              <w:jc w:val="left"/>
            </w:pPr>
            <w:r>
              <w:rPr>
                <w:rFonts w:ascii="宋体" w:hAnsi="宋体" w:eastAsia="宋体"/>
                <w:b w:val="0"/>
                <w:i w:val="0"/>
                <w:color w:val="000000"/>
                <w:sz w:val="18"/>
              </w:rPr>
              <w:t xml:space="preserve">石家庄自强路证券营业部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河北省石家庄市桥西区自强路118 号中交财富</w:t>
            </w:r>
            <w:r>
              <w:rPr>
                <w:rFonts w:ascii="宋体" w:hAnsi="宋体" w:eastAsia="宋体"/>
                <w:b w:val="0"/>
                <w:i w:val="0"/>
                <w:color w:val="000000"/>
                <w:sz w:val="18"/>
              </w:rPr>
              <w:t xml:space="preserve">中心T1、T2 商务办公楼02-1701B、02-17014A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220" w:right="0" w:firstLine="0"/>
              <w:jc w:val="left"/>
            </w:pPr>
            <w:r>
              <w:rPr>
                <w:rFonts w:ascii="宋体" w:hAnsi="宋体" w:eastAsia="宋体"/>
                <w:b w:val="0"/>
                <w:i w:val="0"/>
                <w:color w:val="000000"/>
                <w:sz w:val="18"/>
              </w:rPr>
              <w:t xml:space="preserve">张  鹏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262" w:after="0"/>
              <w:ind w:left="98" w:right="0" w:firstLine="0"/>
              <w:jc w:val="left"/>
            </w:pPr>
            <w:r>
              <w:rPr>
                <w:rFonts w:ascii="宋体" w:hAnsi="宋体" w:eastAsia="宋体"/>
                <w:b w:val="0"/>
                <w:i w:val="0"/>
                <w:color w:val="000000"/>
                <w:sz w:val="18"/>
              </w:rPr>
              <w:t xml:space="preserve">0311-86132100 </w:t>
            </w:r>
          </w:p>
        </w:tc>
      </w:tr>
      <w:tr>
        <w:trPr>
          <w:trHeight w:hRule="exact" w:val="408"/>
        </w:trPr>
        <w:tc>
          <w:tcPr>
            <w:tcW w:type="dxa" w:w="428"/>
            <w:tcBorders>
              <w:start w:sz="4.0" w:val="single" w:color="#000000"/>
              <w:top w:sz="4.0" w:val="single" w:color="#000000"/>
              <w:end w:sz="3.1999999999999886" w:val="single" w:color="#000000"/>
              <w:bottom w:sz="4.0" w:val="single" w:color="#000000"/>
            </w:tcBorders>
            <w:tcMar>
              <w:start w:w="0" w:type="dxa"/>
              <w:end w:w="0" w:type="dxa"/>
            </w:tcMar>
          </w:tcPr>
          <w:p>
            <w:pPr>
              <w:autoSpaceDN w:val="0"/>
              <w:autoSpaceDE w:val="0"/>
              <w:widowControl/>
              <w:spacing w:line="180" w:lineRule="exact" w:before="140" w:after="0"/>
              <w:ind w:left="0" w:right="30" w:firstLine="0"/>
              <w:jc w:val="right"/>
            </w:pPr>
            <w:r>
              <w:rPr>
                <w:rFonts w:ascii="宋体" w:hAnsi="宋体" w:eastAsia="宋体"/>
                <w:b w:val="0"/>
                <w:i w:val="0"/>
                <w:color w:val="000000"/>
                <w:sz w:val="18"/>
              </w:rPr>
              <w:t xml:space="preserve">97 </w:t>
            </w:r>
          </w:p>
        </w:tc>
        <w:tc>
          <w:tcPr>
            <w:tcW w:type="dxa" w:w="1833"/>
            <w:vMerge/>
            <w:tcBorders>
              <w:start w:sz="3.1999999999999886" w:val="single" w:color="#000000"/>
              <w:top w:sz="4.0" w:val="single" w:color="#000000"/>
              <w:end w:sz="4.0" w:val="single" w:color="#000000"/>
              <w:bottom w:sz="4.0" w:val="single" w:color="#000000"/>
            </w:tcBorders>
          </w:tcPr>
          <w:p/>
        </w:tc>
        <w:tc>
          <w:tcPr>
            <w:tcW w:type="dxa" w:w="294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474" w:right="0" w:firstLine="0"/>
              <w:jc w:val="left"/>
            </w:pPr>
            <w:r>
              <w:rPr>
                <w:rFonts w:ascii="宋体" w:hAnsi="宋体" w:eastAsia="宋体"/>
                <w:b w:val="0"/>
                <w:i w:val="0"/>
                <w:color w:val="000000"/>
                <w:sz w:val="18"/>
              </w:rPr>
              <w:t xml:space="preserve">沧州朝阳大街证券营业部 </w:t>
            </w:r>
          </w:p>
        </w:tc>
        <w:tc>
          <w:tcPr>
            <w:tcW w:type="dxa" w:w="38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4" w:right="0" w:firstLine="0"/>
              <w:jc w:val="left"/>
            </w:pPr>
            <w:r>
              <w:rPr>
                <w:rFonts w:ascii="宋体" w:hAnsi="宋体" w:eastAsia="宋体"/>
                <w:b w:val="0"/>
                <w:i w:val="0"/>
                <w:color w:val="000000"/>
                <w:sz w:val="18"/>
              </w:rPr>
              <w:t xml:space="preserve">河北省沧州市朝阳大街32 号2 号楼301 室 </w:t>
            </w:r>
          </w:p>
        </w:tc>
        <w:tc>
          <w:tcPr>
            <w:tcW w:type="dxa" w:w="9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220" w:right="0" w:firstLine="0"/>
              <w:jc w:val="left"/>
            </w:pPr>
            <w:r>
              <w:rPr>
                <w:rFonts w:ascii="宋体" w:hAnsi="宋体" w:eastAsia="宋体"/>
                <w:b w:val="0"/>
                <w:i w:val="0"/>
                <w:color w:val="000000"/>
                <w:sz w:val="18"/>
              </w:rPr>
              <w:t xml:space="preserve">王宇杰 </w:t>
            </w:r>
          </w:p>
        </w:tc>
        <w:tc>
          <w:tcPr>
            <w:tcW w:type="dxa" w:w="1388"/>
            <w:tcBorders>
              <w:start w:sz="4.0" w:val="single" w:color="#000000"/>
              <w:top w:sz="4.0" w:val="single" w:color="#000000"/>
              <w:end w:sz="3.2000000000007276" w:val="single" w:color="#000000"/>
              <w:bottom w:sz="4.0" w:val="single" w:color="#000000"/>
            </w:tcBorders>
            <w:tcMar>
              <w:start w:w="0" w:type="dxa"/>
              <w:end w:w="0" w:type="dxa"/>
            </w:tcMar>
          </w:tcPr>
          <w:p>
            <w:pPr>
              <w:autoSpaceDN w:val="0"/>
              <w:autoSpaceDE w:val="0"/>
              <w:widowControl/>
              <w:spacing w:line="180" w:lineRule="exact" w:before="140" w:after="0"/>
              <w:ind w:left="144" w:right="0" w:firstLine="0"/>
              <w:jc w:val="left"/>
            </w:pPr>
            <w:r>
              <w:rPr>
                <w:rFonts w:ascii="宋体" w:hAnsi="宋体" w:eastAsia="宋体"/>
                <w:b w:val="0"/>
                <w:i w:val="0"/>
                <w:color w:val="000000"/>
                <w:sz w:val="18"/>
              </w:rPr>
              <w:t xml:space="preserve">0317-3205706 </w:t>
            </w:r>
          </w:p>
        </w:tc>
      </w:tr>
    </w:tbl>
    <w:p>
      <w:pPr>
        <w:autoSpaceDN w:val="0"/>
        <w:autoSpaceDE w:val="0"/>
        <w:widowControl/>
        <w:spacing w:line="212" w:lineRule="exact" w:before="342" w:after="0"/>
        <w:ind w:left="670" w:right="0" w:firstLine="0"/>
        <w:jc w:val="left"/>
      </w:pPr>
      <w:r>
        <w:rPr>
          <w:rFonts w:ascii="宋体" w:hAnsi="宋体" w:eastAsia="宋体"/>
          <w:b w:val="0"/>
          <w:i w:val="0"/>
          <w:color w:val="000000"/>
          <w:sz w:val="21"/>
        </w:rPr>
        <w:t xml:space="preserve">5、其他分支机构数量与分布情况 </w:t>
      </w:r>
    </w:p>
    <w:p>
      <w:pPr>
        <w:autoSpaceDN w:val="0"/>
        <w:autoSpaceDE w:val="0"/>
        <w:widowControl/>
        <w:spacing w:line="210" w:lineRule="exact" w:before="380" w:after="362"/>
        <w:ind w:left="1090" w:right="0" w:firstLine="0"/>
        <w:jc w:val="left"/>
      </w:pPr>
      <w:r>
        <w:rPr>
          <w:rFonts w:ascii="宋体" w:hAnsi="宋体" w:eastAsia="宋体"/>
          <w:b w:val="0"/>
          <w:i w:val="0"/>
          <w:color w:val="000000"/>
          <w:sz w:val="21"/>
        </w:rPr>
        <w:t xml:space="preserve">全资子公司格林大华共设立22 家分支机构，具体如下： </w:t>
      </w:r>
    </w:p>
    <w:tbl>
      <w:tblPr>
        <w:tblW w:type="auto" w:w="0"/>
        <w:tblLayout w:type="fixed"/>
        <w:tblLook w:firstColumn="1" w:firstRow="1" w:lastColumn="0" w:lastRow="0" w:noHBand="0" w:noVBand="1" w:val="04A0"/>
        <w:tblInd w:w="3.999999999999986" w:type="dxa"/>
      </w:tblPr>
      <w:tblGrid>
        <w:gridCol w:w="1833"/>
        <w:gridCol w:w="1833"/>
        <w:gridCol w:w="1833"/>
        <w:gridCol w:w="1833"/>
        <w:gridCol w:w="1833"/>
        <w:gridCol w:w="1833"/>
      </w:tblGrid>
      <w:tr>
        <w:trPr>
          <w:trHeight w:hRule="exact" w:val="408"/>
        </w:trPr>
        <w:tc>
          <w:tcPr>
            <w:tcW w:type="dxa" w:w="604"/>
            <w:tcBorders>
              <w:start w:sz="3.200000000000017" w:val="single" w:color="#000000"/>
              <w:top w:sz="4.0" w:val="single" w:color="#000000"/>
              <w:end w:sz="4.0" w:val="single" w:color="#000000"/>
              <w:bottom w:sz="4.0" w:val="single" w:color="#000000"/>
            </w:tcBorders>
            <w:shd w:fill="e5e6e5"/>
            <w:tcMar>
              <w:start w:w="0" w:type="dxa"/>
              <w:end w:w="0" w:type="dxa"/>
            </w:tcMar>
          </w:tcPr>
          <w:p>
            <w:pPr>
              <w:autoSpaceDN w:val="0"/>
              <w:autoSpaceDE w:val="0"/>
              <w:widowControl/>
              <w:spacing w:line="180" w:lineRule="exact" w:before="140" w:after="0"/>
              <w:ind w:left="116" w:right="0" w:firstLine="0"/>
              <w:jc w:val="left"/>
            </w:pPr>
            <w:r>
              <w:rPr>
                <w:rFonts w:ascii="宋体" w:hAnsi="宋体" w:eastAsia="宋体"/>
                <w:b w:val="0"/>
                <w:i w:val="0"/>
                <w:color w:val="000000"/>
                <w:sz w:val="18"/>
              </w:rPr>
              <w:t xml:space="preserve">序号 </w:t>
            </w:r>
          </w:p>
        </w:tc>
        <w:tc>
          <w:tcPr>
            <w:tcW w:type="dxa" w:w="2150"/>
            <w:tcBorders>
              <w:start w:sz="4.0" w:val="single" w:color="#000000"/>
              <w:top w:sz="4.0" w:val="single" w:color="#000000"/>
              <w:end w:sz="4.0" w:val="single" w:color="#000000"/>
              <w:bottom w:sz="4.0" w:val="single" w:color="#000000"/>
            </w:tcBorders>
            <w:shd w:fill="e5e6e5"/>
            <w:tcMar>
              <w:start w:w="0" w:type="dxa"/>
              <w:end w:w="0" w:type="dxa"/>
            </w:tcMar>
          </w:tcPr>
          <w:p>
            <w:pPr>
              <w:autoSpaceDN w:val="0"/>
              <w:autoSpaceDE w:val="0"/>
              <w:widowControl/>
              <w:spacing w:line="180" w:lineRule="exact" w:before="140" w:after="0"/>
              <w:ind w:left="526" w:right="0" w:firstLine="0"/>
              <w:jc w:val="left"/>
            </w:pPr>
            <w:r>
              <w:rPr>
                <w:rFonts w:ascii="宋体" w:hAnsi="宋体" w:eastAsia="宋体"/>
                <w:b w:val="0"/>
                <w:i w:val="0"/>
                <w:color w:val="000000"/>
                <w:sz w:val="18"/>
              </w:rPr>
              <w:t xml:space="preserve">分支机构名称 </w:t>
            </w:r>
          </w:p>
        </w:tc>
        <w:tc>
          <w:tcPr>
            <w:tcW w:type="dxa" w:w="4820"/>
            <w:tcBorders>
              <w:start w:sz="4.0" w:val="single" w:color="#000000"/>
              <w:top w:sz="4.0" w:val="single" w:color="#000000"/>
              <w:end w:sz="3.200000000000273" w:val="single" w:color="#000000"/>
              <w:bottom w:sz="4.0" w:val="single" w:color="#000000"/>
            </w:tcBorders>
            <w:shd w:fill="e5e6e5"/>
            <w:tcMar>
              <w:start w:w="0" w:type="dxa"/>
              <w:end w:w="0" w:type="dxa"/>
            </w:tcMar>
          </w:tcPr>
          <w:p>
            <w:pPr>
              <w:autoSpaceDN w:val="0"/>
              <w:autoSpaceDE w:val="0"/>
              <w:widowControl/>
              <w:spacing w:line="180" w:lineRule="exact" w:before="140" w:after="0"/>
              <w:ind w:left="0" w:right="1956" w:firstLine="0"/>
              <w:jc w:val="right"/>
            </w:pPr>
            <w:r>
              <w:rPr>
                <w:rFonts w:ascii="宋体" w:hAnsi="宋体" w:eastAsia="宋体"/>
                <w:b w:val="0"/>
                <w:i w:val="0"/>
                <w:color w:val="000000"/>
                <w:sz w:val="18"/>
              </w:rPr>
              <w:t xml:space="preserve">营业地址 </w:t>
            </w:r>
          </w:p>
        </w:tc>
        <w:tc>
          <w:tcPr>
            <w:tcW w:type="dxa" w:w="1134"/>
            <w:tcBorders>
              <w:start w:sz="3.200000000000273" w:val="single" w:color="#000000"/>
              <w:top w:sz="4.0" w:val="single" w:color="#000000"/>
              <w:end w:sz="4.0" w:val="single" w:color="#000000"/>
              <w:bottom w:sz="4.0" w:val="single" w:color="#000000"/>
            </w:tcBorders>
            <w:shd w:fill="e5e6e5"/>
            <w:tcMar>
              <w:start w:w="0" w:type="dxa"/>
              <w:end w:w="0" w:type="dxa"/>
            </w:tcMar>
          </w:tcPr>
          <w:p>
            <w:pPr>
              <w:autoSpaceDN w:val="0"/>
              <w:autoSpaceDE w:val="0"/>
              <w:widowControl/>
              <w:spacing w:line="180" w:lineRule="exact" w:before="140" w:after="0"/>
              <w:ind w:left="200" w:right="0" w:firstLine="0"/>
              <w:jc w:val="left"/>
            </w:pPr>
            <w:r>
              <w:rPr>
                <w:rFonts w:ascii="宋体" w:hAnsi="宋体" w:eastAsia="宋体"/>
                <w:b w:val="0"/>
                <w:i w:val="0"/>
                <w:color w:val="000000"/>
                <w:sz w:val="18"/>
              </w:rPr>
              <w:t xml:space="preserve">设立时间 </w:t>
            </w:r>
          </w:p>
        </w:tc>
        <w:tc>
          <w:tcPr>
            <w:tcW w:type="dxa" w:w="852"/>
            <w:tcBorders>
              <w:start w:sz="4.0" w:val="single" w:color="#000000"/>
              <w:top w:sz="4.0" w:val="single" w:color="#000000"/>
              <w:end w:sz="4.0" w:val="single" w:color="#000000"/>
              <w:bottom w:sz="4.0" w:val="single" w:color="#000000"/>
            </w:tcBorders>
            <w:shd w:fill="e5e6e5"/>
            <w:tcMar>
              <w:start w:w="0" w:type="dxa"/>
              <w:end w:w="0" w:type="dxa"/>
            </w:tcMar>
          </w:tcPr>
          <w:p>
            <w:pPr>
              <w:autoSpaceDN w:val="0"/>
              <w:autoSpaceDE w:val="0"/>
              <w:widowControl/>
              <w:spacing w:line="180" w:lineRule="exact" w:before="140" w:after="0"/>
              <w:ind w:left="148" w:right="0" w:firstLine="0"/>
              <w:jc w:val="left"/>
            </w:pPr>
            <w:r>
              <w:rPr>
                <w:rFonts w:ascii="宋体" w:hAnsi="宋体" w:eastAsia="宋体"/>
                <w:b w:val="0"/>
                <w:i w:val="0"/>
                <w:color w:val="000000"/>
                <w:sz w:val="18"/>
              </w:rPr>
              <w:t xml:space="preserve">负责人 </w:t>
            </w:r>
          </w:p>
        </w:tc>
        <w:tc>
          <w:tcPr>
            <w:tcW w:type="dxa" w:w="1412"/>
            <w:tcBorders>
              <w:start w:sz="4.0" w:val="single" w:color="#000000"/>
              <w:top w:sz="4.0" w:val="single" w:color="#000000"/>
              <w:end w:sz="4.0" w:val="single" w:color="#000000"/>
              <w:bottom w:sz="4.0" w:val="single" w:color="#000000"/>
            </w:tcBorders>
            <w:shd w:fill="e5e6e5"/>
            <w:tcMar>
              <w:start w:w="0" w:type="dxa"/>
              <w:end w:w="0" w:type="dxa"/>
            </w:tcMar>
          </w:tcPr>
          <w:p>
            <w:pPr>
              <w:autoSpaceDN w:val="0"/>
              <w:autoSpaceDE w:val="0"/>
              <w:widowControl/>
              <w:spacing w:line="180" w:lineRule="exact" w:before="136" w:after="0"/>
              <w:ind w:left="338" w:right="0" w:firstLine="0"/>
              <w:jc w:val="left"/>
            </w:pPr>
            <w:r>
              <w:rPr>
                <w:rFonts w:ascii="宋体" w:hAnsi="宋体" w:eastAsia="宋体"/>
                <w:b w:val="0"/>
                <w:i w:val="0"/>
                <w:color w:val="000000"/>
                <w:sz w:val="18"/>
              </w:rPr>
              <w:t xml:space="preserve">联系电话 </w:t>
            </w:r>
          </w:p>
        </w:tc>
      </w:tr>
      <w:tr>
        <w:trPr>
          <w:trHeight w:hRule="exact" w:val="648"/>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162" w:firstLine="0"/>
              <w:jc w:val="right"/>
            </w:pPr>
            <w:r>
              <w:rPr>
                <w:rFonts w:ascii="宋体" w:hAnsi="宋体" w:eastAsia="宋体"/>
                <w:b w:val="0"/>
                <w:i w:val="0"/>
                <w:color w:val="000000"/>
                <w:sz w:val="18"/>
              </w:rPr>
              <w:t xml:space="preserve">1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北京分公司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2" w:after="0"/>
              <w:ind w:left="104" w:right="0" w:firstLine="0"/>
              <w:jc w:val="left"/>
            </w:pPr>
            <w:r>
              <w:rPr>
                <w:rFonts w:ascii="宋体" w:hAnsi="宋体" w:eastAsia="宋体"/>
                <w:b w:val="0"/>
                <w:i w:val="0"/>
                <w:color w:val="000000"/>
                <w:sz w:val="18"/>
              </w:rPr>
              <w:t xml:space="preserve">北京市朝阳区光华路7 号楼十二层12B11 单元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2010.05.28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6" w:after="0"/>
              <w:ind w:left="152" w:right="0" w:firstLine="0"/>
              <w:jc w:val="left"/>
            </w:pPr>
            <w:r>
              <w:rPr>
                <w:rFonts w:ascii="宋体" w:hAnsi="宋体" w:eastAsia="宋体"/>
                <w:b w:val="0"/>
                <w:i w:val="0"/>
                <w:color w:val="000000"/>
                <w:sz w:val="18"/>
              </w:rPr>
              <w:t xml:space="preserve">王  鑫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58" w:right="0" w:firstLine="0"/>
              <w:jc w:val="left"/>
            </w:pPr>
            <w:r>
              <w:rPr>
                <w:rFonts w:ascii="宋体" w:hAnsi="宋体" w:eastAsia="宋体"/>
                <w:b w:val="0"/>
                <w:i w:val="0"/>
                <w:color w:val="000000"/>
                <w:sz w:val="18"/>
              </w:rPr>
              <w:t xml:space="preserve">010-56711702 </w:t>
            </w:r>
          </w:p>
        </w:tc>
      </w:tr>
      <w:tr>
        <w:trPr>
          <w:trHeight w:hRule="exact" w:val="652"/>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162" w:firstLine="0"/>
              <w:jc w:val="right"/>
            </w:pPr>
            <w:r>
              <w:rPr>
                <w:rFonts w:ascii="宋体" w:hAnsi="宋体" w:eastAsia="宋体"/>
                <w:b w:val="0"/>
                <w:i w:val="0"/>
                <w:color w:val="000000"/>
                <w:sz w:val="18"/>
              </w:rPr>
              <w:t xml:space="preserve">2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4"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大连分公司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4" w:lineRule="exact" w:before="0" w:after="0"/>
              <w:ind w:left="104" w:right="144" w:firstLine="0"/>
              <w:jc w:val="left"/>
            </w:pPr>
            <w:r>
              <w:rPr>
                <w:rFonts w:ascii="宋体" w:hAnsi="宋体" w:eastAsia="宋体"/>
                <w:b w:val="0"/>
                <w:i w:val="0"/>
                <w:color w:val="000000"/>
                <w:sz w:val="18"/>
              </w:rPr>
              <w:t>辽宁省大连市沙河口区会展路129 号大连国际金融中心A</w:t>
            </w:r>
            <w:r>
              <w:rPr>
                <w:rFonts w:ascii="宋体" w:hAnsi="宋体" w:eastAsia="宋体"/>
                <w:b w:val="0"/>
                <w:i w:val="0"/>
                <w:color w:val="000000"/>
                <w:sz w:val="18"/>
              </w:rPr>
              <w:t xml:space="preserve">座-大连期货大厦2306B 号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6" w:after="0"/>
              <w:ind w:left="112" w:right="0" w:firstLine="0"/>
              <w:jc w:val="left"/>
            </w:pPr>
            <w:r>
              <w:rPr>
                <w:rFonts w:ascii="宋体" w:hAnsi="宋体" w:eastAsia="宋体"/>
                <w:b w:val="0"/>
                <w:i w:val="0"/>
                <w:color w:val="000000"/>
                <w:sz w:val="18"/>
              </w:rPr>
              <w:t xml:space="preserve">2002.11.28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152" w:right="0" w:firstLine="0"/>
              <w:jc w:val="left"/>
            </w:pPr>
            <w:r>
              <w:rPr>
                <w:rFonts w:ascii="宋体" w:hAnsi="宋体" w:eastAsia="宋体"/>
                <w:b w:val="0"/>
                <w:i w:val="0"/>
                <w:color w:val="000000"/>
                <w:sz w:val="18"/>
              </w:rPr>
              <w:t xml:space="preserve">赵宏宇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12" w:right="0" w:firstLine="0"/>
              <w:jc w:val="left"/>
            </w:pPr>
            <w:r>
              <w:rPr>
                <w:rFonts w:ascii="宋体" w:hAnsi="宋体" w:eastAsia="宋体"/>
                <w:b w:val="0"/>
                <w:i w:val="0"/>
                <w:color w:val="000000"/>
                <w:sz w:val="18"/>
              </w:rPr>
              <w:t xml:space="preserve">0411-84807913 </w:t>
            </w:r>
          </w:p>
        </w:tc>
      </w:tr>
      <w:tr>
        <w:trPr>
          <w:trHeight w:hRule="exact" w:val="652"/>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62" w:firstLine="0"/>
              <w:jc w:val="right"/>
            </w:pPr>
            <w:r>
              <w:rPr>
                <w:rFonts w:ascii="宋体" w:hAnsi="宋体" w:eastAsia="宋体"/>
                <w:b w:val="0"/>
                <w:i w:val="0"/>
                <w:color w:val="000000"/>
                <w:sz w:val="18"/>
              </w:rPr>
              <w:t xml:space="preserve">3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福建分公司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144" w:firstLine="0"/>
              <w:jc w:val="left"/>
            </w:pPr>
            <w:r>
              <w:rPr>
                <w:rFonts w:ascii="宋体" w:hAnsi="宋体" w:eastAsia="宋体"/>
                <w:b w:val="0"/>
                <w:i w:val="0"/>
                <w:color w:val="000000"/>
                <w:sz w:val="18"/>
              </w:rPr>
              <w:t>福建省厦门市思明区鹭江道100 号怡山商业中心（厦门财</w:t>
            </w:r>
            <w:r>
              <w:rPr>
                <w:rFonts w:ascii="宋体" w:hAnsi="宋体" w:eastAsia="宋体"/>
                <w:b w:val="0"/>
                <w:i w:val="0"/>
                <w:color w:val="000000"/>
                <w:sz w:val="18"/>
              </w:rPr>
              <w:t xml:space="preserve">富中心）32 层03 单元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2019.07.31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徐  勇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58" w:right="0" w:firstLine="0"/>
              <w:jc w:val="left"/>
            </w:pPr>
            <w:r>
              <w:rPr>
                <w:rFonts w:ascii="宋体" w:hAnsi="宋体" w:eastAsia="宋体"/>
                <w:b w:val="0"/>
                <w:i w:val="0"/>
                <w:color w:val="000000"/>
                <w:sz w:val="18"/>
              </w:rPr>
              <w:t xml:space="preserve">0592-5085517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62" w:firstLine="0"/>
              <w:jc w:val="right"/>
            </w:pPr>
            <w:r>
              <w:rPr>
                <w:rFonts w:ascii="宋体" w:hAnsi="宋体" w:eastAsia="宋体"/>
                <w:b w:val="0"/>
                <w:i w:val="0"/>
                <w:color w:val="000000"/>
                <w:sz w:val="18"/>
              </w:rPr>
              <w:t xml:space="preserve">4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河北分公司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0" w:lineRule="exact" w:before="0" w:after="0"/>
              <w:ind w:left="104" w:right="144" w:firstLine="0"/>
              <w:jc w:val="left"/>
            </w:pPr>
            <w:r>
              <w:rPr>
                <w:rFonts w:ascii="宋体" w:hAnsi="宋体" w:eastAsia="宋体"/>
                <w:b w:val="0"/>
                <w:i w:val="0"/>
                <w:color w:val="000000"/>
                <w:sz w:val="18"/>
              </w:rPr>
              <w:t>河北省石家庄市桥西区自强路118 号中交财富中心T1、T2</w:t>
            </w:r>
            <w:r>
              <w:rPr>
                <w:rFonts w:ascii="宋体" w:hAnsi="宋体" w:eastAsia="宋体"/>
                <w:b w:val="0"/>
                <w:i w:val="0"/>
                <w:color w:val="000000"/>
                <w:sz w:val="18"/>
              </w:rPr>
              <w:t xml:space="preserve">商务办公楼02-1701A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2008.11.28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曹海利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0311-87879717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62" w:firstLine="0"/>
              <w:jc w:val="right"/>
            </w:pPr>
            <w:r>
              <w:rPr>
                <w:rFonts w:ascii="宋体" w:hAnsi="宋体" w:eastAsia="宋体"/>
                <w:b w:val="0"/>
                <w:i w:val="0"/>
                <w:color w:val="000000"/>
                <w:sz w:val="18"/>
              </w:rPr>
              <w:t xml:space="preserve">5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河南分公司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0" w:lineRule="exact" w:before="0" w:after="0"/>
              <w:ind w:left="104" w:right="288" w:firstLine="0"/>
              <w:jc w:val="left"/>
            </w:pPr>
            <w:r>
              <w:rPr>
                <w:rFonts w:ascii="宋体" w:hAnsi="宋体" w:eastAsia="宋体"/>
                <w:b w:val="0"/>
                <w:i w:val="0"/>
                <w:color w:val="000000"/>
                <w:sz w:val="18"/>
              </w:rPr>
              <w:t>河南自贸试验区郑州片区(郑东)商务外环路29 号17 层</w:t>
            </w:r>
            <w:r>
              <w:rPr>
                <w:rFonts w:ascii="宋体" w:hAnsi="宋体" w:eastAsia="宋体"/>
                <w:b w:val="0"/>
                <w:i w:val="0"/>
                <w:color w:val="000000"/>
                <w:sz w:val="18"/>
              </w:rPr>
              <w:t xml:space="preserve">1707-1710 号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2004.09.30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安军峰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0371-65618562 </w:t>
            </w:r>
          </w:p>
        </w:tc>
      </w:tr>
      <w:tr>
        <w:trPr>
          <w:trHeight w:hRule="exact" w:val="648"/>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162" w:firstLine="0"/>
              <w:jc w:val="right"/>
            </w:pPr>
            <w:r>
              <w:rPr>
                <w:rFonts w:ascii="宋体" w:hAnsi="宋体" w:eastAsia="宋体"/>
                <w:b w:val="0"/>
                <w:i w:val="0"/>
                <w:color w:val="000000"/>
                <w:sz w:val="18"/>
              </w:rPr>
              <w:t xml:space="preserve">6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山东分公司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2" w:after="0"/>
              <w:ind w:left="104" w:right="0" w:firstLine="0"/>
              <w:jc w:val="left"/>
            </w:pPr>
            <w:r>
              <w:rPr>
                <w:rFonts w:ascii="宋体" w:hAnsi="宋体" w:eastAsia="宋体"/>
                <w:b w:val="0"/>
                <w:i w:val="0"/>
                <w:color w:val="000000"/>
                <w:sz w:val="18"/>
              </w:rPr>
              <w:t xml:space="preserve">山东省青岛市市南区山东路2 号甲17 层F 区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2007.08.13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侯  栋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12" w:right="0" w:firstLine="0"/>
              <w:jc w:val="left"/>
            </w:pPr>
            <w:r>
              <w:rPr>
                <w:rFonts w:ascii="宋体" w:hAnsi="宋体" w:eastAsia="宋体"/>
                <w:b w:val="0"/>
                <w:i w:val="0"/>
                <w:color w:val="000000"/>
                <w:sz w:val="18"/>
              </w:rPr>
              <w:t xml:space="preserve">0532-83095258 </w:t>
            </w:r>
          </w:p>
        </w:tc>
      </w:tr>
      <w:tr>
        <w:trPr>
          <w:trHeight w:hRule="exact" w:val="648"/>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162" w:firstLine="0"/>
              <w:jc w:val="right"/>
            </w:pPr>
            <w:r>
              <w:rPr>
                <w:rFonts w:ascii="宋体" w:hAnsi="宋体" w:eastAsia="宋体"/>
                <w:b w:val="0"/>
                <w:i w:val="0"/>
                <w:color w:val="000000"/>
                <w:sz w:val="18"/>
              </w:rPr>
              <w:t xml:space="preserve">7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山西分公司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144" w:firstLine="0"/>
              <w:jc w:val="left"/>
            </w:pPr>
            <w:r>
              <w:rPr>
                <w:rFonts w:ascii="宋体" w:hAnsi="宋体" w:eastAsia="宋体"/>
                <w:b w:val="0"/>
                <w:i w:val="0"/>
                <w:color w:val="000000"/>
                <w:sz w:val="18"/>
              </w:rPr>
              <w:t>山西省太原市小店区长风街123 号1 幢君威财富中心五层</w:t>
            </w:r>
            <w:r>
              <w:rPr>
                <w:rFonts w:ascii="宋体" w:hAnsi="宋体" w:eastAsia="宋体"/>
                <w:b w:val="0"/>
                <w:i w:val="0"/>
                <w:color w:val="000000"/>
                <w:sz w:val="18"/>
              </w:rPr>
              <w:t xml:space="preserve">0504、0505、0506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2004.07.20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张  茜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58" w:right="0" w:firstLine="0"/>
              <w:jc w:val="left"/>
            </w:pPr>
            <w:r>
              <w:rPr>
                <w:rFonts w:ascii="宋体" w:hAnsi="宋体" w:eastAsia="宋体"/>
                <w:b w:val="0"/>
                <w:i w:val="0"/>
                <w:color w:val="000000"/>
                <w:sz w:val="18"/>
              </w:rPr>
              <w:t xml:space="preserve">0351-7728011 </w:t>
            </w:r>
          </w:p>
        </w:tc>
      </w:tr>
      <w:tr>
        <w:trPr>
          <w:trHeight w:hRule="exact" w:val="654"/>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162" w:firstLine="0"/>
              <w:jc w:val="right"/>
            </w:pPr>
            <w:r>
              <w:rPr>
                <w:rFonts w:ascii="宋体" w:hAnsi="宋体" w:eastAsia="宋体"/>
                <w:b w:val="0"/>
                <w:i w:val="0"/>
                <w:color w:val="000000"/>
                <w:sz w:val="18"/>
              </w:rPr>
              <w:t xml:space="preserve">8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上海分公司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144" w:firstLine="0"/>
              <w:jc w:val="left"/>
            </w:pPr>
            <w:r>
              <w:rPr>
                <w:rFonts w:ascii="宋体" w:hAnsi="宋体" w:eastAsia="宋体"/>
                <w:b w:val="0"/>
                <w:i w:val="0"/>
                <w:color w:val="000000"/>
                <w:sz w:val="18"/>
              </w:rPr>
              <w:t>中国(上海)自由贸易试验区浦电路380 号，福山路500 号</w:t>
            </w:r>
            <w:r>
              <w:rPr>
                <w:rFonts w:ascii="宋体" w:hAnsi="宋体" w:eastAsia="宋体"/>
                <w:b w:val="0"/>
                <w:i w:val="0"/>
                <w:color w:val="000000"/>
                <w:sz w:val="18"/>
              </w:rPr>
              <w:t xml:space="preserve">7 层（实际楼层为6 层）02 单元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2009.09.01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夏  茜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58" w:right="0" w:firstLine="0"/>
              <w:jc w:val="left"/>
            </w:pPr>
            <w:r>
              <w:rPr>
                <w:rFonts w:ascii="宋体" w:hAnsi="宋体" w:eastAsia="宋体"/>
                <w:b w:val="0"/>
                <w:i w:val="0"/>
                <w:color w:val="000000"/>
                <w:sz w:val="18"/>
              </w:rPr>
              <w:t xml:space="preserve">021-58201079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62" w:firstLine="0"/>
              <w:jc w:val="right"/>
            </w:pPr>
            <w:r>
              <w:rPr>
                <w:rFonts w:ascii="宋体" w:hAnsi="宋体" w:eastAsia="宋体"/>
                <w:b w:val="0"/>
                <w:i w:val="0"/>
                <w:color w:val="000000"/>
                <w:sz w:val="18"/>
              </w:rPr>
              <w:t xml:space="preserve">9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深圳分公司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144" w:firstLine="0"/>
              <w:jc w:val="left"/>
            </w:pPr>
            <w:r>
              <w:rPr>
                <w:rFonts w:ascii="宋体" w:hAnsi="宋体" w:eastAsia="宋体"/>
                <w:b w:val="0"/>
                <w:i w:val="0"/>
                <w:color w:val="000000"/>
                <w:sz w:val="18"/>
              </w:rPr>
              <w:t>广东省深圳市福田区福田街道福安社区民田路178 号华融</w:t>
            </w:r>
            <w:r>
              <w:rPr>
                <w:rFonts w:ascii="宋体" w:hAnsi="宋体" w:eastAsia="宋体"/>
                <w:b w:val="0"/>
                <w:i w:val="0"/>
                <w:color w:val="000000"/>
                <w:sz w:val="18"/>
              </w:rPr>
              <w:t xml:space="preserve">大厦1705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2005.12.01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李玉涛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0755-83358603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10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天津分公司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432" w:firstLine="0"/>
              <w:jc w:val="left"/>
            </w:pPr>
            <w:r>
              <w:rPr>
                <w:rFonts w:ascii="宋体" w:hAnsi="宋体" w:eastAsia="宋体"/>
                <w:b w:val="0"/>
                <w:i w:val="0"/>
                <w:color w:val="000000"/>
                <w:sz w:val="18"/>
              </w:rPr>
              <w:t>天津市南开区长江道与南丰路交口博朗园1 号楼26 楼</w:t>
            </w:r>
            <w:r>
              <w:rPr>
                <w:rFonts w:ascii="宋体" w:hAnsi="宋体" w:eastAsia="宋体"/>
                <w:b w:val="0"/>
                <w:i w:val="0"/>
                <w:color w:val="000000"/>
                <w:sz w:val="18"/>
              </w:rPr>
              <w:t xml:space="preserve">2601-2/2604-2 号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2005.07.06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高君宇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58" w:right="0" w:firstLine="0"/>
              <w:jc w:val="left"/>
            </w:pPr>
            <w:r>
              <w:rPr>
                <w:rFonts w:ascii="宋体" w:hAnsi="宋体" w:eastAsia="宋体"/>
                <w:b w:val="0"/>
                <w:i w:val="0"/>
                <w:color w:val="000000"/>
                <w:sz w:val="18"/>
              </w:rPr>
              <w:t xml:space="preserve">022-23046198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11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浙江分公司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4" w:after="0"/>
              <w:ind w:left="104" w:right="0" w:firstLine="0"/>
              <w:jc w:val="left"/>
            </w:pPr>
            <w:r>
              <w:rPr>
                <w:rFonts w:ascii="宋体" w:hAnsi="宋体" w:eastAsia="宋体"/>
                <w:b w:val="0"/>
                <w:i w:val="0"/>
                <w:color w:val="000000"/>
                <w:sz w:val="18"/>
              </w:rPr>
              <w:t xml:space="preserve">浙江省杭州市西湖区财通双冠大厦东楼2008 室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2009.12.11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郑博元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0571-28055967 </w:t>
            </w:r>
          </w:p>
        </w:tc>
      </w:tr>
      <w:tr>
        <w:trPr>
          <w:trHeight w:hRule="exact" w:val="648"/>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118" w:firstLine="0"/>
              <w:jc w:val="right"/>
            </w:pPr>
            <w:r>
              <w:rPr>
                <w:rFonts w:ascii="宋体" w:hAnsi="宋体" w:eastAsia="宋体"/>
                <w:b w:val="0"/>
                <w:i w:val="0"/>
                <w:color w:val="000000"/>
                <w:sz w:val="18"/>
              </w:rPr>
              <w:t xml:space="preserve">12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重庆分公司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2" w:after="0"/>
              <w:ind w:left="104" w:right="0" w:firstLine="0"/>
              <w:jc w:val="left"/>
            </w:pPr>
            <w:r>
              <w:rPr>
                <w:rFonts w:ascii="宋体" w:hAnsi="宋体" w:eastAsia="宋体"/>
                <w:b w:val="0"/>
                <w:i w:val="0"/>
                <w:color w:val="000000"/>
                <w:sz w:val="18"/>
              </w:rPr>
              <w:t xml:space="preserve">重庆市渝中区五一路99 号一单元23-2、23-3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2012.03.30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李  科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58" w:right="0" w:firstLine="0"/>
              <w:jc w:val="left"/>
            </w:pPr>
            <w:r>
              <w:rPr>
                <w:rFonts w:ascii="宋体" w:hAnsi="宋体" w:eastAsia="宋体"/>
                <w:b w:val="0"/>
                <w:i w:val="0"/>
                <w:color w:val="000000"/>
                <w:sz w:val="18"/>
              </w:rPr>
              <w:t xml:space="preserve">023-63798105 </w:t>
            </w:r>
          </w:p>
        </w:tc>
      </w:tr>
      <w:tr>
        <w:trPr>
          <w:trHeight w:hRule="exact" w:val="652"/>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118" w:firstLine="0"/>
              <w:jc w:val="right"/>
            </w:pPr>
            <w:r>
              <w:rPr>
                <w:rFonts w:ascii="宋体" w:hAnsi="宋体" w:eastAsia="宋体"/>
                <w:b w:val="0"/>
                <w:i w:val="0"/>
                <w:color w:val="000000"/>
                <w:sz w:val="18"/>
              </w:rPr>
              <w:t xml:space="preserve">13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广东分公司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4" w:after="0"/>
              <w:ind w:left="104" w:right="0" w:firstLine="0"/>
              <w:jc w:val="left"/>
            </w:pPr>
            <w:r>
              <w:rPr>
                <w:rFonts w:ascii="宋体" w:hAnsi="宋体" w:eastAsia="宋体"/>
                <w:b w:val="0"/>
                <w:i w:val="0"/>
                <w:color w:val="000000"/>
                <w:sz w:val="18"/>
              </w:rPr>
              <w:t xml:space="preserve">广东省广州市天河区珠江西路5 号909 房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2023.02.09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张  安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58" w:right="0" w:firstLine="0"/>
              <w:jc w:val="left"/>
            </w:pPr>
            <w:r>
              <w:rPr>
                <w:rFonts w:ascii="宋体" w:hAnsi="宋体" w:eastAsia="宋体"/>
                <w:b w:val="0"/>
                <w:i w:val="0"/>
                <w:color w:val="000000"/>
                <w:sz w:val="18"/>
              </w:rPr>
              <w:t xml:space="preserve">020-22130388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14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桂林营业部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0" w:firstLine="0"/>
              <w:jc w:val="left"/>
            </w:pPr>
            <w:r>
              <w:rPr>
                <w:rFonts w:ascii="宋体" w:hAnsi="宋体" w:eastAsia="宋体"/>
                <w:b w:val="0"/>
                <w:i w:val="0"/>
                <w:color w:val="000000"/>
                <w:sz w:val="18"/>
              </w:rPr>
              <w:t>广西壮族自治区桂林市七星区漓江路28 号中软现代城2 区</w:t>
            </w:r>
            <w:r>
              <w:rPr>
                <w:rFonts w:ascii="宋体" w:hAnsi="宋体" w:eastAsia="宋体"/>
                <w:b w:val="0"/>
                <w:i w:val="0"/>
                <w:color w:val="000000"/>
                <w:sz w:val="18"/>
              </w:rPr>
              <w:t xml:space="preserve">酒店6-01 号809 室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2008.11.18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周志军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58" w:right="0" w:firstLine="0"/>
              <w:jc w:val="left"/>
            </w:pPr>
            <w:r>
              <w:rPr>
                <w:rFonts w:ascii="宋体" w:hAnsi="宋体" w:eastAsia="宋体"/>
                <w:b w:val="0"/>
                <w:i w:val="0"/>
                <w:color w:val="000000"/>
                <w:sz w:val="18"/>
              </w:rPr>
              <w:t xml:space="preserve">0773-2833252 </w:t>
            </w:r>
          </w:p>
        </w:tc>
      </w:tr>
    </w:tbl>
    <w:p>
      <w:pPr>
        <w:autoSpaceDN w:val="0"/>
        <w:autoSpaceDE w:val="0"/>
        <w:widowControl/>
        <w:spacing w:line="197" w:lineRule="auto" w:before="748" w:after="0"/>
        <w:ind w:left="0" w:right="0" w:firstLine="0"/>
        <w:jc w:val="center"/>
      </w:pPr>
      <w:r>
        <w:rPr>
          <w:rFonts w:ascii="Calibri" w:hAnsi="Calibri" w:eastAsia="Calibri"/>
          <w:b w:val="0"/>
          <w:i w:val="0"/>
          <w:color w:val="000000"/>
          <w:sz w:val="18"/>
        </w:rPr>
        <w:t xml:space="preserve">19 </w:t>
      </w:r>
    </w:p>
    <w:p>
      <w:pPr>
        <w:sectPr>
          <w:type w:val="continuous"/>
          <w:pgSz w:w="11904" w:h="16841"/>
          <w:pgMar w:top="424" w:right="440" w:bottom="446" w:left="464" w:header="720" w:footer="720" w:gutter="0"/>
          <w:cols/>
          <w:docGrid w:linePitch="360"/>
        </w:sectPr>
      </w:pPr>
    </w:p>
    <w:p>
      <w:pPr>
        <w:autoSpaceDN w:val="0"/>
        <w:autoSpaceDE w:val="0"/>
        <w:widowControl/>
        <w:spacing w:line="220" w:lineRule="exact" w:before="0" w:after="206"/>
        <w:ind w:left="0" w:right="0"/>
      </w:pPr>
    </w:p>
    <w:p>
      <w:pPr>
        <w:sectPr>
          <w:pgSz w:w="11904" w:h="16841"/>
          <w:pgMar w:top="424" w:right="440" w:bottom="446" w:left="464" w:header="720" w:footer="720" w:gutter="0"/>
          <w:cols/>
          <w:docGrid w:linePitch="360"/>
        </w:sectPr>
      </w:pPr>
    </w:p>
    <w:p>
      <w:pPr>
        <w:autoSpaceDN w:val="0"/>
        <w:autoSpaceDE w:val="0"/>
        <w:widowControl/>
        <w:spacing w:line="240" w:lineRule="auto" w:before="0" w:after="0"/>
        <w:ind w:left="670" w:right="0" w:firstLine="0"/>
        <w:jc w:val="left"/>
      </w:pPr>
      <w:r>
        <w:drawing>
          <wp:inline xmlns:a="http://schemas.openxmlformats.org/drawingml/2006/main" xmlns:pic="http://schemas.openxmlformats.org/drawingml/2006/picture">
            <wp:extent cx="1844039" cy="439419"/>
            <wp:docPr id="22" name="Picture 2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40" w:bottom="446" w:left="464" w:header="720" w:footer="720" w:gutter="0"/>
          <w:cols w:num="2" w:equalWidth="0">
            <w:col w:w="6076" w:space="0"/>
            <w:col w:w="4924" w:space="0"/>
          </w:cols>
          <w:docGrid w:linePitch="360"/>
        </w:sectPr>
      </w:pPr>
    </w:p>
    <w:p>
      <w:pPr>
        <w:autoSpaceDN w:val="0"/>
        <w:autoSpaceDE w:val="0"/>
        <w:widowControl/>
        <w:spacing w:line="200" w:lineRule="exact" w:before="0" w:after="30"/>
        <w:ind w:left="0" w:right="70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40" w:bottom="446" w:left="464" w:header="720" w:footer="720" w:gutter="0"/>
          <w:cols w:num="2" w:equalWidth="0">
            <w:col w:w="6076" w:space="0"/>
            <w:col w:w="492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833"/>
        <w:gridCol w:w="1833"/>
        <w:gridCol w:w="1833"/>
        <w:gridCol w:w="1833"/>
        <w:gridCol w:w="1833"/>
        <w:gridCol w:w="1833"/>
      </w:tblGrid>
      <w:tr>
        <w:trPr>
          <w:trHeight w:hRule="exact" w:val="648"/>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15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528"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哈尔滨营业部 </w:t>
            </w:r>
          </w:p>
        </w:tc>
        <w:tc>
          <w:tcPr>
            <w:tcW w:type="dxa" w:w="4820"/>
            <w:tcBorders>
              <w:start w:sz="4.0" w:val="single" w:color="#000000"/>
              <w:top w:sz="5.600000000000023" w:val="single" w:color="#000000"/>
              <w:end w:sz="3.200000000000273" w:val="single" w:color="#000000"/>
              <w:bottom w:sz="4.0" w:val="single" w:color="#000000"/>
            </w:tcBorders>
            <w:tcMar>
              <w:start w:w="0" w:type="dxa"/>
              <w:end w:w="0" w:type="dxa"/>
            </w:tcMar>
          </w:tcPr>
          <w:p>
            <w:pPr>
              <w:autoSpaceDN w:val="0"/>
              <w:autoSpaceDE w:val="0"/>
              <w:widowControl/>
              <w:spacing w:line="288" w:lineRule="exact" w:before="0" w:after="0"/>
              <w:ind w:left="104" w:right="288" w:firstLine="0"/>
              <w:jc w:val="left"/>
            </w:pPr>
            <w:r>
              <w:rPr>
                <w:rFonts w:ascii="宋体" w:hAnsi="宋体" w:eastAsia="宋体"/>
                <w:b w:val="0"/>
                <w:i w:val="0"/>
                <w:color w:val="000000"/>
                <w:sz w:val="18"/>
              </w:rPr>
              <w:t>黑龙江省哈尔滨市南岗区果戈里大街316-2 号5 层501-</w:t>
            </w:r>
            <w:r>
              <w:rPr>
                <w:rFonts w:ascii="宋体" w:hAnsi="宋体" w:eastAsia="宋体"/>
                <w:b w:val="0"/>
                <w:i w:val="0"/>
                <w:color w:val="000000"/>
                <w:sz w:val="18"/>
              </w:rPr>
              <w:t xml:space="preserve">505 </w:t>
            </w:r>
          </w:p>
        </w:tc>
        <w:tc>
          <w:tcPr>
            <w:tcW w:type="dxa" w:w="1134"/>
            <w:tcBorders>
              <w:start w:sz="3.200000000000273"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40" w:after="0"/>
              <w:ind w:left="112" w:right="0" w:firstLine="0"/>
              <w:jc w:val="left"/>
            </w:pPr>
            <w:r>
              <w:rPr>
                <w:rFonts w:ascii="宋体" w:hAnsi="宋体" w:eastAsia="宋体"/>
                <w:b w:val="0"/>
                <w:i w:val="0"/>
                <w:color w:val="000000"/>
                <w:sz w:val="18"/>
              </w:rPr>
              <w:t xml:space="preserve">2017.03.21 </w:t>
            </w:r>
          </w:p>
        </w:tc>
        <w:tc>
          <w:tcPr>
            <w:tcW w:type="dxa" w:w="85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24" w:after="0"/>
              <w:ind w:left="152" w:right="0" w:firstLine="0"/>
              <w:jc w:val="left"/>
            </w:pPr>
            <w:r>
              <w:rPr>
                <w:rFonts w:ascii="宋体" w:hAnsi="宋体" w:eastAsia="宋体"/>
                <w:b w:val="0"/>
                <w:i w:val="0"/>
                <w:color w:val="000000"/>
                <w:sz w:val="18"/>
              </w:rPr>
              <w:t xml:space="preserve">王  爽 </w:t>
            </w:r>
          </w:p>
        </w:tc>
        <w:tc>
          <w:tcPr>
            <w:tcW w:type="dxa" w:w="141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0451-53679285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22" w:after="0"/>
              <w:ind w:left="0" w:right="118" w:firstLine="0"/>
              <w:jc w:val="right"/>
            </w:pPr>
            <w:r>
              <w:rPr>
                <w:rFonts w:ascii="宋体" w:hAnsi="宋体" w:eastAsia="宋体"/>
                <w:b w:val="0"/>
                <w:i w:val="0"/>
                <w:color w:val="000000"/>
                <w:sz w:val="18"/>
              </w:rPr>
              <w:t xml:space="preserve">16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合肥营业部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0" w:lineRule="exact" w:before="0" w:after="0"/>
              <w:ind w:left="104" w:right="288" w:firstLine="0"/>
              <w:jc w:val="left"/>
            </w:pPr>
            <w:r>
              <w:rPr>
                <w:rFonts w:ascii="宋体" w:hAnsi="宋体" w:eastAsia="宋体"/>
                <w:b w:val="0"/>
                <w:i w:val="0"/>
                <w:color w:val="000000"/>
                <w:sz w:val="18"/>
              </w:rPr>
              <w:t>安徽省合肥市政务区潜山路888 号百利中心北塔1609、</w:t>
            </w:r>
            <w:r>
              <w:rPr>
                <w:rFonts w:ascii="宋体" w:hAnsi="宋体" w:eastAsia="宋体"/>
                <w:b w:val="0"/>
                <w:i w:val="0"/>
                <w:color w:val="000000"/>
                <w:sz w:val="18"/>
              </w:rPr>
              <w:t xml:space="preserve">1610-2 室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2011.09.21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26" w:after="0"/>
              <w:ind w:left="152" w:right="0" w:firstLine="0"/>
              <w:jc w:val="left"/>
            </w:pPr>
            <w:r>
              <w:rPr>
                <w:rFonts w:ascii="宋体" w:hAnsi="宋体" w:eastAsia="宋体"/>
                <w:b w:val="0"/>
                <w:i w:val="0"/>
                <w:color w:val="000000"/>
                <w:sz w:val="18"/>
              </w:rPr>
              <w:t xml:space="preserve">周  飞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12" w:right="0" w:firstLine="0"/>
              <w:jc w:val="left"/>
            </w:pPr>
            <w:r>
              <w:rPr>
                <w:rFonts w:ascii="宋体" w:hAnsi="宋体" w:eastAsia="宋体"/>
                <w:b w:val="0"/>
                <w:i w:val="0"/>
                <w:color w:val="000000"/>
                <w:sz w:val="18"/>
              </w:rPr>
              <w:t xml:space="preserve">0551-65530268 </w:t>
            </w:r>
          </w:p>
        </w:tc>
      </w:tr>
      <w:tr>
        <w:trPr>
          <w:trHeight w:hRule="exact" w:val="650"/>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17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44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呼和浩特营业部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144" w:firstLine="0"/>
              <w:jc w:val="left"/>
            </w:pPr>
            <w:r>
              <w:rPr>
                <w:rFonts w:ascii="宋体" w:hAnsi="宋体" w:eastAsia="宋体"/>
                <w:b w:val="0"/>
                <w:i w:val="0"/>
                <w:color w:val="000000"/>
                <w:sz w:val="18"/>
              </w:rPr>
              <w:t>内蒙古自治区呼和浩特市赛罕区腾飞南路65 号1102 号商</w:t>
            </w:r>
            <w:r>
              <w:rPr>
                <w:rFonts w:ascii="宋体" w:hAnsi="宋体" w:eastAsia="宋体"/>
                <w:b w:val="0"/>
                <w:i w:val="0"/>
                <w:color w:val="000000"/>
                <w:sz w:val="18"/>
              </w:rPr>
              <w:t xml:space="preserve">铺三楼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2009.03.26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亢冬艳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58" w:right="0" w:firstLine="0"/>
              <w:jc w:val="left"/>
            </w:pPr>
            <w:r>
              <w:rPr>
                <w:rFonts w:ascii="宋体" w:hAnsi="宋体" w:eastAsia="宋体"/>
                <w:b w:val="0"/>
                <w:i w:val="0"/>
                <w:color w:val="000000"/>
                <w:sz w:val="18"/>
              </w:rPr>
              <w:t xml:space="preserve">0471-3246680 </w:t>
            </w:r>
          </w:p>
        </w:tc>
      </w:tr>
      <w:tr>
        <w:trPr>
          <w:trHeight w:hRule="exact" w:val="650"/>
        </w:trPr>
        <w:tc>
          <w:tcPr>
            <w:tcW w:type="dxa" w:w="604"/>
            <w:tcBorders>
              <w:start w:sz="3.200000000000017"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64" w:after="0"/>
              <w:ind w:left="0" w:right="118" w:firstLine="0"/>
              <w:jc w:val="right"/>
            </w:pPr>
            <w:r>
              <w:rPr>
                <w:rFonts w:ascii="宋体" w:hAnsi="宋体" w:eastAsia="宋体"/>
                <w:b w:val="0"/>
                <w:i w:val="0"/>
                <w:color w:val="000000"/>
                <w:sz w:val="18"/>
              </w:rPr>
              <w:t xml:space="preserve">18 </w:t>
            </w:r>
          </w:p>
        </w:tc>
        <w:tc>
          <w:tcPr>
            <w:tcW w:type="dxa" w:w="2150"/>
            <w:tcBorders>
              <w:start w:sz="4.0" w:val="single" w:color="#000000"/>
              <w:top w:sz="4.0" w:val="single" w:color="#000000"/>
              <w:end w:sz="4.0" w:val="single" w:color="#000000"/>
              <w:bottom w:sz="3.2000000000000455"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洛阳营业部 </w:t>
            </w:r>
          </w:p>
        </w:tc>
        <w:tc>
          <w:tcPr>
            <w:tcW w:type="dxa" w:w="4820"/>
            <w:tcBorders>
              <w:start w:sz="4.0" w:val="single" w:color="#000000"/>
              <w:top w:sz="4.0" w:val="single" w:color="#000000"/>
              <w:end w:sz="3.200000000000273" w:val="single" w:color="#000000"/>
              <w:bottom w:sz="3.2000000000000455" w:val="single" w:color="#000000"/>
            </w:tcBorders>
            <w:tcMar>
              <w:start w:w="0" w:type="dxa"/>
              <w:end w:w="0" w:type="dxa"/>
            </w:tcMar>
          </w:tcPr>
          <w:p>
            <w:pPr>
              <w:autoSpaceDN w:val="0"/>
              <w:autoSpaceDE w:val="0"/>
              <w:widowControl/>
              <w:spacing w:line="180" w:lineRule="exact" w:before="244" w:after="0"/>
              <w:ind w:left="104" w:right="0" w:firstLine="0"/>
              <w:jc w:val="left"/>
            </w:pPr>
            <w:r>
              <w:rPr>
                <w:rFonts w:ascii="宋体" w:hAnsi="宋体" w:eastAsia="宋体"/>
                <w:b w:val="0"/>
                <w:i w:val="0"/>
                <w:color w:val="000000"/>
                <w:sz w:val="18"/>
              </w:rPr>
              <w:t xml:space="preserve">河南省洛阳市西苑路6 号洛阳友谊宾馆5 层 </w:t>
            </w:r>
          </w:p>
        </w:tc>
        <w:tc>
          <w:tcPr>
            <w:tcW w:type="dxa" w:w="1134"/>
            <w:tcBorders>
              <w:start w:sz="3.200000000000273"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44" w:after="0"/>
              <w:ind w:left="112" w:right="0" w:firstLine="0"/>
              <w:jc w:val="left"/>
            </w:pPr>
            <w:r>
              <w:rPr>
                <w:rFonts w:ascii="宋体" w:hAnsi="宋体" w:eastAsia="宋体"/>
                <w:b w:val="0"/>
                <w:i w:val="0"/>
                <w:color w:val="000000"/>
                <w:sz w:val="18"/>
              </w:rPr>
              <w:t xml:space="preserve">2002.10.21 </w:t>
            </w:r>
          </w:p>
        </w:tc>
        <w:tc>
          <w:tcPr>
            <w:tcW w:type="dxa" w:w="85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庆  丹 </w:t>
            </w:r>
          </w:p>
        </w:tc>
        <w:tc>
          <w:tcPr>
            <w:tcW w:type="dxa" w:w="141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64" w:after="0"/>
              <w:ind w:left="112" w:right="0" w:firstLine="0"/>
              <w:jc w:val="left"/>
            </w:pPr>
            <w:r>
              <w:rPr>
                <w:rFonts w:ascii="宋体" w:hAnsi="宋体" w:eastAsia="宋体"/>
                <w:b w:val="0"/>
                <w:i w:val="0"/>
                <w:color w:val="000000"/>
                <w:sz w:val="18"/>
              </w:rPr>
              <w:t xml:space="preserve">0379-64687777 </w:t>
            </w:r>
          </w:p>
        </w:tc>
      </w:tr>
      <w:tr>
        <w:trPr>
          <w:trHeight w:hRule="exact" w:val="650"/>
        </w:trPr>
        <w:tc>
          <w:tcPr>
            <w:tcW w:type="dxa" w:w="604"/>
            <w:tcBorders>
              <w:start w:sz="3.200000000000017"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118" w:firstLine="0"/>
              <w:jc w:val="right"/>
            </w:pPr>
            <w:r>
              <w:rPr>
                <w:rFonts w:ascii="宋体" w:hAnsi="宋体" w:eastAsia="宋体"/>
                <w:b w:val="0"/>
                <w:i w:val="0"/>
                <w:color w:val="000000"/>
                <w:sz w:val="18"/>
              </w:rPr>
              <w:t xml:space="preserve">19 </w:t>
            </w:r>
          </w:p>
        </w:tc>
        <w:tc>
          <w:tcPr>
            <w:tcW w:type="dxa" w:w="2150"/>
            <w:tcBorders>
              <w:start w:sz="4.0" w:val="single" w:color="#000000"/>
              <w:top w:sz="3.2000000000000455"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南京营业部 </w:t>
            </w:r>
          </w:p>
        </w:tc>
        <w:tc>
          <w:tcPr>
            <w:tcW w:type="dxa" w:w="4820"/>
            <w:tcBorders>
              <w:start w:sz="4.0" w:val="single" w:color="#000000"/>
              <w:top w:sz="3.2000000000000455"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6" w:after="0"/>
              <w:ind w:left="104" w:right="0" w:firstLine="0"/>
              <w:jc w:val="left"/>
            </w:pPr>
            <w:r>
              <w:rPr>
                <w:rFonts w:ascii="宋体" w:hAnsi="宋体" w:eastAsia="宋体"/>
                <w:b w:val="0"/>
                <w:i w:val="0"/>
                <w:color w:val="000000"/>
                <w:sz w:val="18"/>
              </w:rPr>
              <w:t xml:space="preserve">江苏省南京市中山东路288 号A-3006 </w:t>
            </w:r>
          </w:p>
        </w:tc>
        <w:tc>
          <w:tcPr>
            <w:tcW w:type="dxa" w:w="1134"/>
            <w:tcBorders>
              <w:start w:sz="3.200000000000273"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46" w:after="0"/>
              <w:ind w:left="112" w:right="0" w:firstLine="0"/>
              <w:jc w:val="left"/>
            </w:pPr>
            <w:r>
              <w:rPr>
                <w:rFonts w:ascii="宋体" w:hAnsi="宋体" w:eastAsia="宋体"/>
                <w:b w:val="0"/>
                <w:i w:val="0"/>
                <w:color w:val="000000"/>
                <w:sz w:val="18"/>
              </w:rPr>
              <w:t xml:space="preserve">2012.10.23 </w:t>
            </w:r>
          </w:p>
        </w:tc>
        <w:tc>
          <w:tcPr>
            <w:tcW w:type="dxa" w:w="85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30" w:after="0"/>
              <w:ind w:left="152" w:right="0" w:firstLine="0"/>
              <w:jc w:val="left"/>
            </w:pPr>
            <w:r>
              <w:rPr>
                <w:rFonts w:ascii="宋体" w:hAnsi="宋体" w:eastAsia="宋体"/>
                <w:b w:val="0"/>
                <w:i w:val="0"/>
                <w:color w:val="000000"/>
                <w:sz w:val="18"/>
              </w:rPr>
              <w:t xml:space="preserve">于  洋 </w:t>
            </w:r>
          </w:p>
        </w:tc>
        <w:tc>
          <w:tcPr>
            <w:tcW w:type="dxa" w:w="141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58" w:right="0" w:firstLine="0"/>
              <w:jc w:val="left"/>
            </w:pPr>
            <w:r>
              <w:rPr>
                <w:rFonts w:ascii="宋体" w:hAnsi="宋体" w:eastAsia="宋体"/>
                <w:b w:val="0"/>
                <w:i w:val="0"/>
                <w:color w:val="000000"/>
                <w:sz w:val="18"/>
              </w:rPr>
              <w:t xml:space="preserve">025-85288268 </w:t>
            </w:r>
          </w:p>
        </w:tc>
      </w:tr>
      <w:tr>
        <w:trPr>
          <w:trHeight w:hRule="exact" w:val="652"/>
        </w:trPr>
        <w:tc>
          <w:tcPr>
            <w:tcW w:type="dxa" w:w="604"/>
            <w:tcBorders>
              <w:start w:sz="3.200000000000017"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118" w:firstLine="0"/>
              <w:jc w:val="right"/>
            </w:pPr>
            <w:r>
              <w:rPr>
                <w:rFonts w:ascii="宋体" w:hAnsi="宋体" w:eastAsia="宋体"/>
                <w:b w:val="0"/>
                <w:i w:val="0"/>
                <w:color w:val="000000"/>
                <w:sz w:val="18"/>
              </w:rPr>
              <w:t xml:space="preserve">20 </w:t>
            </w:r>
          </w:p>
        </w:tc>
        <w:tc>
          <w:tcPr>
            <w:tcW w:type="dxa" w:w="2150"/>
            <w:tcBorders>
              <w:start w:sz="4.0" w:val="single" w:color="#000000"/>
              <w:top w:sz="4.0"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泉州营业部 </w:t>
            </w:r>
          </w:p>
        </w:tc>
        <w:tc>
          <w:tcPr>
            <w:tcW w:type="dxa" w:w="4820"/>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46" w:after="0"/>
              <w:ind w:left="104" w:right="0" w:firstLine="0"/>
              <w:jc w:val="left"/>
            </w:pPr>
            <w:r>
              <w:rPr>
                <w:rFonts w:ascii="宋体" w:hAnsi="宋体" w:eastAsia="宋体"/>
                <w:b w:val="0"/>
                <w:i w:val="0"/>
                <w:color w:val="000000"/>
                <w:sz w:val="18"/>
              </w:rPr>
              <w:t xml:space="preserve">福建省泉州市丰泽区宝洲路浦西万达写字楼A 座2509 室 </w:t>
            </w:r>
          </w:p>
        </w:tc>
        <w:tc>
          <w:tcPr>
            <w:tcW w:type="dxa" w:w="113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46" w:after="0"/>
              <w:ind w:left="112" w:right="0" w:firstLine="0"/>
              <w:jc w:val="left"/>
            </w:pPr>
            <w:r>
              <w:rPr>
                <w:rFonts w:ascii="宋体" w:hAnsi="宋体" w:eastAsia="宋体"/>
                <w:b w:val="0"/>
                <w:i w:val="0"/>
                <w:color w:val="000000"/>
                <w:sz w:val="18"/>
              </w:rPr>
              <w:t xml:space="preserve">2010.07.16 </w:t>
            </w:r>
          </w:p>
        </w:tc>
        <w:tc>
          <w:tcPr>
            <w:tcW w:type="dxa" w:w="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32" w:after="0"/>
              <w:ind w:left="152" w:right="0" w:firstLine="0"/>
              <w:jc w:val="left"/>
            </w:pPr>
            <w:r>
              <w:rPr>
                <w:rFonts w:ascii="宋体" w:hAnsi="宋体" w:eastAsia="宋体"/>
                <w:b w:val="0"/>
                <w:i w:val="0"/>
                <w:color w:val="000000"/>
                <w:sz w:val="18"/>
              </w:rPr>
              <w:t xml:space="preserve">王国萍 </w:t>
            </w:r>
          </w:p>
        </w:tc>
        <w:tc>
          <w:tcPr>
            <w:tcW w:type="dxa" w:w="14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12" w:right="0" w:firstLine="0"/>
              <w:jc w:val="left"/>
            </w:pPr>
            <w:r>
              <w:rPr>
                <w:rFonts w:ascii="宋体" w:hAnsi="宋体" w:eastAsia="宋体"/>
                <w:b w:val="0"/>
                <w:i w:val="0"/>
                <w:color w:val="000000"/>
                <w:sz w:val="18"/>
              </w:rPr>
              <w:t xml:space="preserve">0595-28980077 </w:t>
            </w:r>
          </w:p>
        </w:tc>
      </w:tr>
      <w:tr>
        <w:trPr>
          <w:trHeight w:hRule="exact" w:val="650"/>
        </w:trPr>
        <w:tc>
          <w:tcPr>
            <w:tcW w:type="dxa" w:w="604"/>
            <w:tcBorders>
              <w:start w:sz="3.200000000000017"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21 </w:t>
            </w:r>
          </w:p>
        </w:tc>
        <w:tc>
          <w:tcPr>
            <w:tcW w:type="dxa" w:w="2150"/>
            <w:tcBorders>
              <w:start w:sz="4.0" w:val="single" w:color="#000000"/>
              <w:top w:sz="4.0" w:val="single" w:color="#000000"/>
              <w:end w:sz="4.0" w:val="single" w:color="#000000"/>
              <w:bottom w:sz="3.199999999999818" w:val="single" w:color="#000000"/>
            </w:tcBorders>
            <w:tcMar>
              <w:start w:w="0" w:type="dxa"/>
              <w:end w:w="0" w:type="dxa"/>
            </w:tcMar>
          </w:tcPr>
          <w:p>
            <w:pPr>
              <w:autoSpaceDN w:val="0"/>
              <w:tabs>
                <w:tab w:pos="620" w:val="left"/>
              </w:tabs>
              <w:autoSpaceDE w:val="0"/>
              <w:widowControl/>
              <w:spacing w:line="290"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银川营业部 </w:t>
            </w:r>
          </w:p>
        </w:tc>
        <w:tc>
          <w:tcPr>
            <w:tcW w:type="dxa" w:w="4820"/>
            <w:tcBorders>
              <w:start w:sz="4.0" w:val="single" w:color="#000000"/>
              <w:top w:sz="4.0" w:val="single" w:color="#000000"/>
              <w:end w:sz="3.200000000000273" w:val="single" w:color="#000000"/>
              <w:bottom w:sz="3.199999999999818" w:val="single" w:color="#000000"/>
            </w:tcBorders>
            <w:tcMar>
              <w:start w:w="0" w:type="dxa"/>
              <w:end w:w="0" w:type="dxa"/>
            </w:tcMar>
          </w:tcPr>
          <w:p>
            <w:pPr>
              <w:autoSpaceDN w:val="0"/>
              <w:autoSpaceDE w:val="0"/>
              <w:widowControl/>
              <w:spacing w:line="290" w:lineRule="exact" w:before="0" w:after="0"/>
              <w:ind w:left="104" w:right="144" w:firstLine="0"/>
              <w:jc w:val="left"/>
            </w:pPr>
            <w:r>
              <w:rPr>
                <w:rFonts w:ascii="宋体" w:hAnsi="宋体" w:eastAsia="宋体"/>
                <w:b w:val="0"/>
                <w:i w:val="0"/>
                <w:color w:val="000000"/>
                <w:sz w:val="18"/>
              </w:rPr>
              <w:t>宁夏回族自治区银川市解放西路2 号（老大楼商务写字楼</w:t>
            </w:r>
            <w:r>
              <w:rPr>
                <w:rFonts w:ascii="宋体" w:hAnsi="宋体" w:eastAsia="宋体"/>
                <w:b w:val="0"/>
                <w:i w:val="0"/>
                <w:color w:val="000000"/>
                <w:sz w:val="18"/>
              </w:rPr>
              <w:t xml:space="preserve">13 楼18 号） </w:t>
            </w:r>
          </w:p>
        </w:tc>
        <w:tc>
          <w:tcPr>
            <w:tcW w:type="dxa" w:w="1134"/>
            <w:tcBorders>
              <w:start w:sz="3.200000000000273"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2001.06.14 </w:t>
            </w:r>
          </w:p>
        </w:tc>
        <w:tc>
          <w:tcPr>
            <w:tcW w:type="dxa" w:w="85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汪  文 </w:t>
            </w:r>
          </w:p>
        </w:tc>
        <w:tc>
          <w:tcPr>
            <w:tcW w:type="dxa" w:w="141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158" w:right="0" w:firstLine="0"/>
              <w:jc w:val="left"/>
            </w:pPr>
            <w:r>
              <w:rPr>
                <w:rFonts w:ascii="宋体" w:hAnsi="宋体" w:eastAsia="宋体"/>
                <w:b w:val="0"/>
                <w:i w:val="0"/>
                <w:color w:val="000000"/>
                <w:sz w:val="18"/>
              </w:rPr>
              <w:t xml:space="preserve">0951-6072084 </w:t>
            </w:r>
          </w:p>
        </w:tc>
      </w:tr>
      <w:tr>
        <w:trPr>
          <w:trHeight w:hRule="exact" w:val="652"/>
        </w:trPr>
        <w:tc>
          <w:tcPr>
            <w:tcW w:type="dxa" w:w="604"/>
            <w:tcBorders>
              <w:start w:sz="3.200000000000017"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118" w:firstLine="0"/>
              <w:jc w:val="right"/>
            </w:pPr>
            <w:r>
              <w:rPr>
                <w:rFonts w:ascii="宋体" w:hAnsi="宋体" w:eastAsia="宋体"/>
                <w:b w:val="0"/>
                <w:i w:val="0"/>
                <w:color w:val="000000"/>
                <w:sz w:val="18"/>
              </w:rPr>
              <w:t xml:space="preserve">22 </w:t>
            </w:r>
          </w:p>
        </w:tc>
        <w:tc>
          <w:tcPr>
            <w:tcW w:type="dxa" w:w="2150"/>
            <w:tcBorders>
              <w:start w:sz="4.0" w:val="single" w:color="#000000"/>
              <w:top w:sz="3.199999999999818" w:val="single" w:color="#000000"/>
              <w:end w:sz="4.0" w:val="single" w:color="#000000"/>
              <w:bottom w:sz="4.0" w:val="single" w:color="#000000"/>
            </w:tcBorders>
            <w:tcMar>
              <w:start w:w="0" w:type="dxa"/>
              <w:end w:w="0" w:type="dxa"/>
            </w:tcMar>
          </w:tcPr>
          <w:p>
            <w:pPr>
              <w:autoSpaceDN w:val="0"/>
              <w:tabs>
                <w:tab w:pos="620" w:val="left"/>
              </w:tabs>
              <w:autoSpaceDE w:val="0"/>
              <w:widowControl/>
              <w:spacing w:line="292" w:lineRule="exact" w:before="0" w:after="0"/>
              <w:ind w:left="168" w:right="144" w:firstLine="0"/>
              <w:jc w:val="left"/>
            </w:pPr>
            <w:r>
              <w:rPr>
                <w:rFonts w:ascii="宋体" w:hAnsi="宋体" w:eastAsia="宋体"/>
                <w:b w:val="0"/>
                <w:i w:val="0"/>
                <w:color w:val="000000"/>
                <w:sz w:val="18"/>
              </w:rPr>
              <w:t>格林大华期货有限公司</w:t>
            </w:r>
            <w:r>
              <w:tab/>
            </w:r>
            <w:r>
              <w:rPr>
                <w:rFonts w:ascii="宋体" w:hAnsi="宋体" w:eastAsia="宋体"/>
                <w:b w:val="0"/>
                <w:i w:val="0"/>
                <w:color w:val="000000"/>
                <w:sz w:val="18"/>
              </w:rPr>
              <w:t xml:space="preserve">福州营业部 </w:t>
            </w:r>
          </w:p>
        </w:tc>
        <w:tc>
          <w:tcPr>
            <w:tcW w:type="dxa" w:w="4820"/>
            <w:tcBorders>
              <w:start w:sz="4.0" w:val="single" w:color="#000000"/>
              <w:top w:sz="3.199999999999818" w:val="single" w:color="#000000"/>
              <w:end w:sz="3.200000000000273" w:val="single" w:color="#000000"/>
              <w:bottom w:sz="4.0" w:val="single" w:color="#000000"/>
            </w:tcBorders>
            <w:tcMar>
              <w:start w:w="0" w:type="dxa"/>
              <w:end w:w="0" w:type="dxa"/>
            </w:tcMar>
          </w:tcPr>
          <w:p>
            <w:pPr>
              <w:autoSpaceDN w:val="0"/>
              <w:autoSpaceDE w:val="0"/>
              <w:widowControl/>
              <w:spacing w:line="292" w:lineRule="exact" w:before="0" w:after="0"/>
              <w:ind w:left="104" w:right="0" w:firstLine="0"/>
              <w:jc w:val="left"/>
            </w:pPr>
            <w:r>
              <w:rPr>
                <w:rFonts w:ascii="宋体" w:hAnsi="宋体" w:eastAsia="宋体"/>
                <w:b w:val="0"/>
                <w:i w:val="0"/>
                <w:color w:val="000000"/>
                <w:sz w:val="18"/>
              </w:rPr>
              <w:t>福建省福州市鼓楼区杨桥东路19 号''三坊七巷''一期工程</w:t>
            </w:r>
            <w:r>
              <w:rPr>
                <w:rFonts w:ascii="宋体" w:hAnsi="宋体" w:eastAsia="宋体"/>
                <w:b w:val="0"/>
                <w:i w:val="0"/>
                <w:color w:val="000000"/>
                <w:sz w:val="18"/>
              </w:rPr>
              <w:t xml:space="preserve">一号楼3 层 </w:t>
            </w:r>
          </w:p>
        </w:tc>
        <w:tc>
          <w:tcPr>
            <w:tcW w:type="dxa" w:w="1134"/>
            <w:tcBorders>
              <w:start w:sz="3.200000000000273"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42" w:after="0"/>
              <w:ind w:left="112" w:right="0" w:firstLine="0"/>
              <w:jc w:val="left"/>
            </w:pPr>
            <w:r>
              <w:rPr>
                <w:rFonts w:ascii="宋体" w:hAnsi="宋体" w:eastAsia="宋体"/>
                <w:b w:val="0"/>
                <w:i w:val="0"/>
                <w:color w:val="000000"/>
                <w:sz w:val="18"/>
              </w:rPr>
              <w:t xml:space="preserve">2003.08.01 </w:t>
            </w:r>
          </w:p>
        </w:tc>
        <w:tc>
          <w:tcPr>
            <w:tcW w:type="dxa" w:w="85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28" w:after="0"/>
              <w:ind w:left="152" w:right="0" w:firstLine="0"/>
              <w:jc w:val="left"/>
            </w:pPr>
            <w:r>
              <w:rPr>
                <w:rFonts w:ascii="宋体" w:hAnsi="宋体" w:eastAsia="宋体"/>
                <w:b w:val="0"/>
                <w:i w:val="0"/>
                <w:color w:val="000000"/>
                <w:sz w:val="18"/>
              </w:rPr>
              <w:t xml:space="preserve">陈碧峰 </w:t>
            </w:r>
          </w:p>
        </w:tc>
        <w:tc>
          <w:tcPr>
            <w:tcW w:type="dxa" w:w="141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12" w:right="0" w:firstLine="0"/>
              <w:jc w:val="left"/>
            </w:pPr>
            <w:r>
              <w:rPr>
                <w:rFonts w:ascii="宋体" w:hAnsi="宋体" w:eastAsia="宋体"/>
                <w:b w:val="0"/>
                <w:i w:val="0"/>
                <w:color w:val="000000"/>
                <w:sz w:val="18"/>
              </w:rPr>
              <w:t xml:space="preserve">0591-87272561 </w:t>
            </w:r>
          </w:p>
        </w:tc>
      </w:tr>
    </w:tbl>
    <w:p>
      <w:pPr>
        <w:autoSpaceDN w:val="0"/>
        <w:autoSpaceDE w:val="0"/>
        <w:widowControl/>
        <w:spacing w:line="276" w:lineRule="exact" w:before="0" w:after="0"/>
        <w:ind w:left="670" w:right="864" w:firstLine="0"/>
        <w:jc w:val="left"/>
      </w:pPr>
      <w:r>
        <w:rPr>
          <w:rFonts w:ascii="宋体" w:hAnsi="宋体" w:eastAsia="宋体"/>
          <w:b w:val="0"/>
          <w:i w:val="0"/>
          <w:color w:val="000000"/>
          <w:sz w:val="18"/>
        </w:rPr>
        <w:t>注：分支机构新设和处置情况详见本报告“第六节重要事项之十、公司破产重整，兼并、分立以及子公司、分公司、营</w:t>
      </w:r>
      <w:r>
        <w:rPr>
          <w:rFonts w:ascii="宋体" w:hAnsi="宋体" w:eastAsia="宋体"/>
          <w:b w:val="0"/>
          <w:i w:val="0"/>
          <w:color w:val="000000"/>
          <w:sz w:val="18"/>
        </w:rPr>
        <w:t>业部新设和处置等重大情况”</w:t>
      </w:r>
      <w:r>
        <w:rPr>
          <w:rFonts w:ascii="宋体" w:hAnsi="宋体" w:eastAsia="宋体"/>
          <w:b w:val="0"/>
          <w:i w:val="0"/>
          <w:color w:val="000000"/>
          <w:sz w:val="18"/>
        </w:rPr>
        <w:t>。</w:t>
      </w:r>
    </w:p>
    <w:p>
      <w:pPr>
        <w:autoSpaceDN w:val="0"/>
        <w:autoSpaceDE w:val="0"/>
        <w:widowControl/>
        <w:spacing w:line="240" w:lineRule="exact" w:before="420" w:after="0"/>
        <w:ind w:left="670" w:right="0" w:firstLine="0"/>
        <w:jc w:val="left"/>
      </w:pPr>
      <w:r>
        <w:rPr>
          <w:rFonts w:ascii="宋体" w:hAnsi="宋体" w:eastAsia="宋体"/>
          <w:b w:val="0"/>
          <w:i w:val="0"/>
          <w:color w:val="000000"/>
          <w:sz w:val="24"/>
        </w:rPr>
        <w:t xml:space="preserve">八、其他有关资料 </w:t>
      </w:r>
    </w:p>
    <w:p>
      <w:pPr>
        <w:autoSpaceDN w:val="0"/>
        <w:autoSpaceDE w:val="0"/>
        <w:widowControl/>
        <w:spacing w:line="212" w:lineRule="exact" w:before="514" w:after="160"/>
        <w:ind w:left="670" w:right="0" w:firstLine="0"/>
        <w:jc w:val="left"/>
      </w:pPr>
      <w:r>
        <w:rPr>
          <w:rFonts w:ascii="宋体" w:hAnsi="宋体" w:eastAsia="宋体"/>
          <w:b w:val="0"/>
          <w:i w:val="0"/>
          <w:color w:val="000000"/>
          <w:sz w:val="21"/>
        </w:rPr>
        <w:t xml:space="preserve">1、公司聘请的会计师事务所 </w:t>
      </w:r>
    </w:p>
    <w:tbl>
      <w:tblPr>
        <w:tblW w:type="auto" w:w="0"/>
        <w:tblLayout w:type="fixed"/>
        <w:tblLook w:firstColumn="1" w:firstRow="1" w:lastColumn="0" w:lastRow="0" w:noHBand="0" w:noVBand="1" w:val="04A0"/>
        <w:tblInd w:w="668.0000000000001" w:type="dxa"/>
      </w:tblPr>
      <w:tblGrid>
        <w:gridCol w:w="5500"/>
        <w:gridCol w:w="5500"/>
      </w:tblGrid>
      <w:tr>
        <w:trPr>
          <w:trHeight w:hRule="exact" w:val="466"/>
        </w:trPr>
        <w:tc>
          <w:tcPr>
            <w:tcW w:type="dxa" w:w="2664"/>
            <w:tcBorders>
              <w:start w:sz="4.0" w:val="single" w:color="#000000"/>
              <w:top w:sz="4.0" w:val="single" w:color="#000000"/>
              <w:end w:sz="4.0" w:val="single" w:color="#000000"/>
              <w:bottom w:sz="3.199999999999818" w:val="single" w:color="#000000"/>
            </w:tcBorders>
            <w:shd w:fill="d2d2d2"/>
            <w:tcMar>
              <w:start w:w="0" w:type="dxa"/>
              <w:end w:w="0" w:type="dxa"/>
            </w:tcMar>
          </w:tcPr>
          <w:p>
            <w:pPr>
              <w:autoSpaceDN w:val="0"/>
              <w:autoSpaceDE w:val="0"/>
              <w:widowControl/>
              <w:spacing w:line="180" w:lineRule="exact" w:before="170" w:after="0"/>
              <w:ind w:left="24" w:right="0" w:firstLine="0"/>
              <w:jc w:val="left"/>
            </w:pPr>
            <w:r>
              <w:rPr>
                <w:rFonts w:ascii="宋体" w:hAnsi="宋体" w:eastAsia="宋体"/>
                <w:b w:val="0"/>
                <w:i w:val="0"/>
                <w:color w:val="000000"/>
                <w:sz w:val="18"/>
              </w:rPr>
              <w:t xml:space="preserve">会计师事务所名称 </w:t>
            </w:r>
          </w:p>
        </w:tc>
        <w:tc>
          <w:tcPr>
            <w:tcW w:type="dxa" w:w="6908"/>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170" w:after="0"/>
              <w:ind w:left="22" w:right="0" w:firstLine="0"/>
              <w:jc w:val="left"/>
            </w:pPr>
            <w:r>
              <w:rPr>
                <w:rFonts w:ascii="宋体" w:hAnsi="宋体" w:eastAsia="宋体"/>
                <w:b w:val="0"/>
                <w:i w:val="0"/>
                <w:color w:val="000000"/>
                <w:sz w:val="18"/>
              </w:rPr>
              <w:t xml:space="preserve">安永华明会计师事务所（特殊普通合伙） </w:t>
            </w:r>
          </w:p>
        </w:tc>
      </w:tr>
      <w:tr>
        <w:trPr>
          <w:trHeight w:hRule="exact" w:val="464"/>
        </w:trPr>
        <w:tc>
          <w:tcPr>
            <w:tcW w:type="dxa" w:w="2664"/>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70" w:after="0"/>
              <w:ind w:left="24" w:right="0" w:firstLine="0"/>
              <w:jc w:val="left"/>
            </w:pPr>
            <w:r>
              <w:rPr>
                <w:rFonts w:ascii="宋体" w:hAnsi="宋体" w:eastAsia="宋体"/>
                <w:b w:val="0"/>
                <w:i w:val="0"/>
                <w:color w:val="000000"/>
                <w:sz w:val="18"/>
              </w:rPr>
              <w:t xml:space="preserve">会计师事务所办公地址 </w:t>
            </w:r>
          </w:p>
        </w:tc>
        <w:tc>
          <w:tcPr>
            <w:tcW w:type="dxa" w:w="6908"/>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170" w:after="0"/>
              <w:ind w:left="22" w:right="0" w:firstLine="0"/>
              <w:jc w:val="left"/>
            </w:pPr>
            <w:r>
              <w:rPr>
                <w:rFonts w:ascii="宋体" w:hAnsi="宋体" w:eastAsia="宋体"/>
                <w:b w:val="0"/>
                <w:i w:val="0"/>
                <w:color w:val="000000"/>
                <w:sz w:val="18"/>
              </w:rPr>
              <w:t xml:space="preserve">北京市东城区东长安街1 号东方广场安永大楼17 层01-12 室 </w:t>
            </w:r>
          </w:p>
        </w:tc>
      </w:tr>
      <w:tr>
        <w:trPr>
          <w:trHeight w:hRule="exact" w:val="462"/>
        </w:trPr>
        <w:tc>
          <w:tcPr>
            <w:tcW w:type="dxa" w:w="2664"/>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70" w:after="0"/>
              <w:ind w:left="24" w:right="0" w:firstLine="0"/>
              <w:jc w:val="left"/>
            </w:pPr>
            <w:r>
              <w:rPr>
                <w:rFonts w:ascii="宋体" w:hAnsi="宋体" w:eastAsia="宋体"/>
                <w:b w:val="0"/>
                <w:i w:val="0"/>
                <w:color w:val="000000"/>
                <w:sz w:val="18"/>
              </w:rPr>
              <w:t xml:space="preserve">签字会计师姓名 </w:t>
            </w:r>
          </w:p>
        </w:tc>
        <w:tc>
          <w:tcPr>
            <w:tcW w:type="dxa" w:w="690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170" w:after="0"/>
              <w:ind w:left="22" w:right="0" w:firstLine="0"/>
              <w:jc w:val="left"/>
            </w:pPr>
            <w:r>
              <w:rPr>
                <w:rFonts w:ascii="宋体" w:hAnsi="宋体" w:eastAsia="宋体"/>
                <w:b w:val="0"/>
                <w:i w:val="0"/>
                <w:color w:val="000000"/>
                <w:sz w:val="18"/>
              </w:rPr>
              <w:t xml:space="preserve">顾珺、俞溜 </w:t>
            </w:r>
          </w:p>
        </w:tc>
      </w:tr>
    </w:tbl>
    <w:p>
      <w:pPr>
        <w:autoSpaceDN w:val="0"/>
        <w:autoSpaceDE w:val="0"/>
        <w:widowControl/>
        <w:spacing w:line="382" w:lineRule="exact" w:before="118" w:after="0"/>
        <w:ind w:left="670" w:right="5184" w:firstLine="0"/>
        <w:jc w:val="left"/>
      </w:pPr>
      <w:r>
        <w:rPr>
          <w:rFonts w:ascii="宋体" w:hAnsi="宋体" w:eastAsia="宋体"/>
          <w:b w:val="0"/>
          <w:i w:val="0"/>
          <w:color w:val="000000"/>
          <w:sz w:val="21"/>
        </w:rPr>
        <w:t xml:space="preserve">2、公司聘请的报告期内履行持续督导职责的保荐机构 </w:t>
      </w:r>
      <w:r>
        <w:br/>
      </w:r>
      <w:r>
        <w:rPr>
          <w:rFonts w:ascii="宋体" w:hAnsi="宋体" w:eastAsia="宋体"/>
          <w:b w:val="0"/>
          <w:i w:val="0"/>
          <w:color w:val="000000"/>
          <w:sz w:val="18"/>
        </w:rPr>
        <w:t xml:space="preserve">□适用 </w:t>
      </w:r>
      <w:r>
        <w:rPr>
          <w:rFonts w:ascii="宋体" w:hAnsi="宋体" w:eastAsia="宋体"/>
          <w:b w:val="0"/>
          <w:i w:val="0"/>
          <w:color w:val="000000"/>
          <w:sz w:val="21"/>
        </w:rPr>
        <w:t>√</w:t>
      </w:r>
      <w:r>
        <w:rPr>
          <w:rFonts w:ascii="宋体" w:hAnsi="宋体" w:eastAsia="宋体"/>
          <w:b w:val="0"/>
          <w:i w:val="0"/>
          <w:color w:val="000000"/>
          <w:sz w:val="18"/>
        </w:rPr>
        <w:t xml:space="preserve">不适用 </w:t>
      </w:r>
    </w:p>
    <w:p>
      <w:pPr>
        <w:autoSpaceDN w:val="0"/>
        <w:autoSpaceDE w:val="0"/>
        <w:widowControl/>
        <w:spacing w:line="382" w:lineRule="exact" w:before="136" w:after="0"/>
        <w:ind w:left="670" w:right="5184" w:firstLine="0"/>
        <w:jc w:val="left"/>
      </w:pPr>
      <w:r>
        <w:rPr>
          <w:rFonts w:ascii="宋体" w:hAnsi="宋体" w:eastAsia="宋体"/>
          <w:b w:val="0"/>
          <w:i w:val="0"/>
          <w:color w:val="000000"/>
          <w:sz w:val="21"/>
        </w:rPr>
        <w:t xml:space="preserve">3、公司聘请的报告期内履行持续督导职责的财务顾问 </w:t>
      </w:r>
      <w:r>
        <w:br/>
      </w:r>
      <w:r>
        <w:rPr>
          <w:rFonts w:ascii="宋体" w:hAnsi="宋体" w:eastAsia="宋体"/>
          <w:b w:val="0"/>
          <w:i w:val="0"/>
          <w:color w:val="000000"/>
          <w:sz w:val="18"/>
        </w:rPr>
        <w:t xml:space="preserve">□适用 </w:t>
      </w:r>
      <w:r>
        <w:rPr>
          <w:rFonts w:ascii="宋体" w:hAnsi="宋体" w:eastAsia="宋体"/>
          <w:b w:val="0"/>
          <w:i w:val="0"/>
          <w:color w:val="000000"/>
          <w:sz w:val="21"/>
        </w:rPr>
        <w:t>√</w:t>
      </w:r>
      <w:r>
        <w:rPr>
          <w:rFonts w:ascii="宋体" w:hAnsi="宋体" w:eastAsia="宋体"/>
          <w:b w:val="0"/>
          <w:i w:val="0"/>
          <w:color w:val="000000"/>
          <w:sz w:val="18"/>
        </w:rPr>
        <w:t xml:space="preserve">不适用 </w:t>
      </w:r>
    </w:p>
    <w:p>
      <w:pPr>
        <w:autoSpaceDN w:val="0"/>
        <w:autoSpaceDE w:val="0"/>
        <w:widowControl/>
        <w:spacing w:line="240" w:lineRule="exact" w:before="370" w:after="0"/>
        <w:ind w:left="670" w:right="0" w:firstLine="0"/>
        <w:jc w:val="left"/>
      </w:pPr>
      <w:r>
        <w:rPr>
          <w:rFonts w:ascii="宋体" w:hAnsi="宋体" w:eastAsia="宋体"/>
          <w:b w:val="0"/>
          <w:i w:val="0"/>
          <w:color w:val="000000"/>
          <w:sz w:val="24"/>
        </w:rPr>
        <w:t xml:space="preserve">九、主要会计数据和财务指标 </w:t>
      </w:r>
    </w:p>
    <w:p>
      <w:pPr>
        <w:autoSpaceDN w:val="0"/>
        <w:autoSpaceDE w:val="0"/>
        <w:widowControl/>
        <w:spacing w:line="340" w:lineRule="exact" w:before="206" w:after="126"/>
        <w:ind w:left="670" w:right="6624" w:firstLine="0"/>
        <w:jc w:val="left"/>
      </w:pPr>
      <w:r>
        <w:rPr>
          <w:rFonts w:ascii="宋体" w:hAnsi="宋体" w:eastAsia="宋体"/>
          <w:b w:val="0"/>
          <w:i w:val="0"/>
          <w:color w:val="000000"/>
          <w:sz w:val="18"/>
        </w:rPr>
        <w:t xml:space="preserve">公司是否需追溯调整或重述以前年度会计数据 </w:t>
      </w:r>
      <w:r>
        <w:br/>
      </w:r>
      <w:r>
        <w:rPr>
          <w:rFonts w:ascii="宋体" w:hAnsi="宋体" w:eastAsia="宋体"/>
          <w:b w:val="0"/>
          <w:i w:val="0"/>
          <w:color w:val="000000"/>
          <w:sz w:val="18"/>
        </w:rPr>
        <w:t xml:space="preserve">□是 √否 </w:t>
      </w:r>
      <w:r>
        <w:br/>
      </w:r>
      <w:r>
        <w:rPr>
          <w:rFonts w:ascii="宋体" w:hAnsi="宋体" w:eastAsia="宋体"/>
          <w:b w:val="0"/>
          <w:i w:val="0"/>
          <w:color w:val="000000"/>
          <w:sz w:val="18"/>
        </w:rPr>
        <w:t xml:space="preserve">合并 </w:t>
      </w:r>
    </w:p>
    <w:tbl>
      <w:tblPr>
        <w:tblW w:type="auto" w:w="0"/>
        <w:tblLayout w:type="fixed"/>
        <w:tblLook w:firstColumn="1" w:firstRow="1" w:lastColumn="0" w:lastRow="0" w:noHBand="0" w:noVBand="1" w:val="04A0"/>
        <w:tblInd w:w="560.0000000000001" w:type="dxa"/>
      </w:tblPr>
      <w:tblGrid>
        <w:gridCol w:w="2200"/>
        <w:gridCol w:w="2200"/>
        <w:gridCol w:w="2200"/>
        <w:gridCol w:w="2200"/>
        <w:gridCol w:w="2200"/>
      </w:tblGrid>
      <w:tr>
        <w:trPr>
          <w:trHeight w:hRule="exact" w:val="324"/>
        </w:trPr>
        <w:tc>
          <w:tcPr>
            <w:tcW w:type="dxa" w:w="1932"/>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p/>
        </w:tc>
        <w:tc>
          <w:tcPr>
            <w:tcW w:type="dxa" w:w="1928"/>
            <w:tcBorders>
              <w:start w:sz="2.400000000000091"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74" w:firstLine="0"/>
                    <w:jc w:val="right"/>
                  </w:pPr>
                  <w:r>
                    <w:rPr>
                      <w:rFonts w:ascii="宋体" w:hAnsi="宋体" w:eastAsia="宋体"/>
                      <w:b w:val="0"/>
                      <w:i w:val="0"/>
                      <w:color w:val="000000"/>
                      <w:sz w:val="18"/>
                    </w:rPr>
                    <w:t xml:space="preserve">2024 年 </w:t>
                  </w:r>
                </w:p>
              </w:tc>
            </w:tr>
          </w:tbl>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76" w:firstLine="0"/>
                    <w:jc w:val="right"/>
                  </w:pPr>
                  <w:r>
                    <w:rPr>
                      <w:rFonts w:ascii="宋体" w:hAnsi="宋体" w:eastAsia="宋体"/>
                      <w:b w:val="0"/>
                      <w:i w:val="0"/>
                      <w:color w:val="000000"/>
                      <w:sz w:val="18"/>
                    </w:rPr>
                    <w:t xml:space="preserve">2023 年 </w:t>
                  </w:r>
                </w:p>
              </w:tc>
            </w:tr>
          </w:tbl>
          <w:p>
            <w:pPr>
              <w:autoSpaceDN w:val="0"/>
              <w:autoSpaceDE w:val="0"/>
              <w:widowControl/>
              <w:spacing w:line="14" w:lineRule="exact" w:before="0" w:after="0"/>
              <w:ind w:left="0" w:right="0"/>
            </w:pPr>
          </w:p>
        </w:tc>
        <w:tc>
          <w:tcPr>
            <w:tcW w:type="dxa" w:w="1930"/>
            <w:tcBorders>
              <w:start w:sz="2.400000000000091"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1930"/>
            </w:tblGrid>
            <w:tr>
              <w:trPr>
                <w:trHeight w:hRule="exact" w:val="300"/>
              </w:trPr>
              <w:tc>
                <w:tcPr>
                  <w:tcW w:type="dxa" w:w="1712"/>
                  <w:tcBorders/>
                  <w:shd w:fill="d2d2d2"/>
                  <w:tcMar>
                    <w:start w:w="0" w:type="dxa"/>
                    <w:end w:w="0" w:type="dxa"/>
                  </w:tcMar>
                </w:tcPr>
                <w:p>
                  <w:pPr>
                    <w:autoSpaceDN w:val="0"/>
                    <w:autoSpaceDE w:val="0"/>
                    <w:widowControl/>
                    <w:spacing w:line="180" w:lineRule="exact" w:before="76" w:after="0"/>
                    <w:ind w:left="224" w:right="0" w:firstLine="0"/>
                    <w:jc w:val="left"/>
                  </w:pPr>
                  <w:r>
                    <w:rPr>
                      <w:rFonts w:ascii="宋体" w:hAnsi="宋体" w:eastAsia="宋体"/>
                      <w:b w:val="0"/>
                      <w:i w:val="0"/>
                      <w:color w:val="000000"/>
                      <w:sz w:val="18"/>
                    </w:rPr>
                    <w:t xml:space="preserve">本年比上年增减 </w:t>
                  </w:r>
                </w:p>
              </w:tc>
            </w:tr>
          </w:tbl>
          <w:p>
            <w:pPr>
              <w:autoSpaceDN w:val="0"/>
              <w:autoSpaceDE w:val="0"/>
              <w:widowControl/>
              <w:spacing w:line="14" w:lineRule="exact" w:before="0" w:after="0"/>
              <w:ind w:left="0" w:right="0"/>
            </w:pPr>
          </w:p>
        </w:tc>
        <w:tc>
          <w:tcPr>
            <w:tcW w:type="dxa" w:w="1930"/>
            <w:tcBorders>
              <w:start w:sz="2.400000000000091" w:val="single" w:color="#000000"/>
              <w:top w:sz="1.6000000000003638" w:val="single" w:color="#000000"/>
              <w:end w:sz="2.399999999999636"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470" w:firstLine="0"/>
                    <w:jc w:val="right"/>
                  </w:pPr>
                  <w:r>
                    <w:rPr>
                      <w:rFonts w:ascii="宋体" w:hAnsi="宋体" w:eastAsia="宋体"/>
                      <w:b w:val="0"/>
                      <w:i w:val="0"/>
                      <w:color w:val="000000"/>
                      <w:sz w:val="18"/>
                    </w:rPr>
                    <w:t xml:space="preserve">2022 年 </w:t>
                  </w:r>
                </w:p>
              </w:tc>
            </w:tr>
          </w:tbl>
          <w:p>
            <w:pPr>
              <w:autoSpaceDN w:val="0"/>
              <w:autoSpaceDE w:val="0"/>
              <w:widowControl/>
              <w:spacing w:line="14" w:lineRule="exact" w:before="0" w:after="0"/>
              <w:ind w:left="0" w:right="0"/>
            </w:pPr>
          </w:p>
        </w:tc>
      </w:tr>
      <w:tr>
        <w:trPr>
          <w:trHeight w:hRule="exact" w:val="326"/>
        </w:trPr>
        <w:tc>
          <w:tcPr>
            <w:tcW w:type="dxa" w:w="1932"/>
            <w:tcBorders>
              <w:start w:sz="2.3999999999999773" w:val="single" w:color="#000000"/>
              <w:top w:sz="1.5999999999994543" w:val="single" w:color="#000000"/>
              <w:end w:sz="2.400000000000091"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营业总收入（元）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3,152,075,207 </w:t>
            </w:r>
          </w:p>
        </w:tc>
        <w:tc>
          <w:tcPr>
            <w:tcW w:type="dxa" w:w="1928"/>
            <w:tcBorders>
              <w:start w:sz="2.400000000000091"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3,470,696,161 </w:t>
            </w:r>
          </w:p>
        </w:tc>
        <w:tc>
          <w:tcPr>
            <w:tcW w:type="dxa" w:w="1930"/>
            <w:tcBorders>
              <w:start w:sz="2.400000000000091"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74" w:after="0"/>
              <w:ind w:left="0" w:right="58" w:firstLine="0"/>
              <w:jc w:val="right"/>
            </w:pPr>
            <w:r>
              <w:rPr>
                <w:rFonts w:ascii="Times New Roman" w:hAnsi="Times New Roman" w:eastAsia="Times New Roman"/>
                <w:b w:val="0"/>
                <w:i w:val="0"/>
                <w:color w:val="000000"/>
                <w:sz w:val="18"/>
              </w:rPr>
              <w:t xml:space="preserve">-9.18% </w:t>
            </w:r>
          </w:p>
        </w:tc>
        <w:tc>
          <w:tcPr>
            <w:tcW w:type="dxa" w:w="1930"/>
            <w:tcBorders>
              <w:start w:sz="2.400000000000091" w:val="single" w:color="#000000"/>
              <w:top w:sz="1.5999999999994543" w:val="single" w:color="#000000"/>
              <w:end w:sz="2.399999999999636" w:val="single" w:color="#000000"/>
              <w:bottom w:sz="2.4000000000005457"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4,160,555,009 </w:t>
            </w:r>
          </w:p>
        </w:tc>
      </w:tr>
      <w:tr>
        <w:trPr>
          <w:trHeight w:hRule="exact" w:val="564"/>
        </w:trPr>
        <w:tc>
          <w:tcPr>
            <w:tcW w:type="dxa" w:w="1932"/>
            <w:tcBorders>
              <w:start w:sz="2.3999999999999773" w:val="single" w:color="#000000"/>
              <w:top w:sz="2.4000000000005457" w:val="single" w:color="#000000"/>
              <w:end w:sz="2.400000000000091"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归属于上市公司股东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的净利润（元）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711,831,847 </w:t>
            </w:r>
          </w:p>
        </w:tc>
        <w:tc>
          <w:tcPr>
            <w:tcW w:type="dxa" w:w="1928"/>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619,761,504 </w:t>
            </w:r>
          </w:p>
        </w:tc>
        <w:tc>
          <w:tcPr>
            <w:tcW w:type="dxa" w:w="1930"/>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14.86% </w:t>
            </w:r>
          </w:p>
        </w:tc>
        <w:tc>
          <w:tcPr>
            <w:tcW w:type="dxa" w:w="1930"/>
            <w:tcBorders>
              <w:start w:sz="2.400000000000091" w:val="single" w:color="#000000"/>
              <w:top w:sz="2.4000000000005457"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574,465,725 </w:t>
            </w:r>
          </w:p>
        </w:tc>
      </w:tr>
    </w:tbl>
    <w:p>
      <w:pPr>
        <w:autoSpaceDN w:val="0"/>
        <w:autoSpaceDE w:val="0"/>
        <w:widowControl/>
        <w:spacing w:line="197" w:lineRule="auto" w:before="464" w:after="0"/>
        <w:ind w:left="0" w:right="0" w:firstLine="0"/>
        <w:jc w:val="center"/>
      </w:pPr>
      <w:r>
        <w:rPr>
          <w:rFonts w:ascii="Calibri" w:hAnsi="Calibri" w:eastAsia="Calibri"/>
          <w:b w:val="0"/>
          <w:i w:val="0"/>
          <w:color w:val="000000"/>
          <w:sz w:val="18"/>
        </w:rPr>
        <w:t xml:space="preserve">20 </w:t>
      </w:r>
    </w:p>
    <w:p>
      <w:pPr>
        <w:sectPr>
          <w:type w:val="continuous"/>
          <w:pgSz w:w="11904" w:h="16841"/>
          <w:pgMar w:top="424" w:right="440" w:bottom="446" w:left="46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23" name="Picture 2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00000000000284" w:type="dxa"/>
      </w:tblPr>
      <w:tblGrid>
        <w:gridCol w:w="1633"/>
        <w:gridCol w:w="1633"/>
        <w:gridCol w:w="1633"/>
        <w:gridCol w:w="1633"/>
        <w:gridCol w:w="1633"/>
        <w:gridCol w:w="1633"/>
      </w:tblGrid>
      <w:tr>
        <w:trPr>
          <w:trHeight w:hRule="exact" w:val="804"/>
        </w:trPr>
        <w:tc>
          <w:tcPr>
            <w:tcW w:type="dxa" w:w="1932"/>
            <w:tcBorders>
              <w:start w:sz="2.3999999999999773" w:val="single" w:color="#000000"/>
              <w:top w:sz="1.6000000000000227" w:val="single" w:color="#000000"/>
              <w:end w:sz="2.400000000000091" w:val="single" w:color="#000000"/>
              <w:bottom w:sz="1.6000000000000227"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归属于上市公司股东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的扣除非经常性损益</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的净利润（元）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3" w:lineRule="auto" w:before="294" w:after="0"/>
              <w:ind w:left="0" w:right="58" w:firstLine="0"/>
              <w:jc w:val="right"/>
            </w:pPr>
            <w:r>
              <w:rPr>
                <w:rFonts w:ascii="Times New Roman" w:hAnsi="Times New Roman" w:eastAsia="Times New Roman"/>
                <w:b w:val="0"/>
                <w:i w:val="0"/>
                <w:color w:val="000000"/>
                <w:sz w:val="18"/>
              </w:rPr>
              <w:t xml:space="preserve">701,118,148 </w:t>
            </w:r>
          </w:p>
        </w:tc>
        <w:tc>
          <w:tcPr>
            <w:tcW w:type="dxa" w:w="1928"/>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3" w:lineRule="auto" w:before="294" w:after="0"/>
              <w:ind w:left="0" w:right="58" w:firstLine="0"/>
              <w:jc w:val="right"/>
            </w:pPr>
            <w:r>
              <w:rPr>
                <w:rFonts w:ascii="Times New Roman" w:hAnsi="Times New Roman" w:eastAsia="Times New Roman"/>
                <w:b w:val="0"/>
                <w:i w:val="0"/>
                <w:color w:val="000000"/>
                <w:sz w:val="18"/>
              </w:rPr>
              <w:t xml:space="preserve">602,926,865 </w:t>
            </w:r>
          </w:p>
        </w:tc>
        <w:tc>
          <w:tcPr>
            <w:tcW w:type="dxa" w:w="1930"/>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0" w:lineRule="auto" w:before="310" w:after="0"/>
              <w:ind w:left="0" w:right="58" w:firstLine="0"/>
              <w:jc w:val="right"/>
            </w:pPr>
            <w:r>
              <w:rPr>
                <w:rFonts w:ascii="Times New Roman" w:hAnsi="Times New Roman" w:eastAsia="Times New Roman"/>
                <w:b w:val="0"/>
                <w:i w:val="0"/>
                <w:color w:val="000000"/>
                <w:sz w:val="18"/>
              </w:rPr>
              <w:t xml:space="preserve">16.29% </w:t>
            </w:r>
          </w:p>
        </w:tc>
        <w:tc>
          <w:tcPr>
            <w:tcW w:type="dxa" w:w="1930"/>
            <w:tcBorders>
              <w:start w:sz="2.400000000000091" w:val="single" w:color="#000000"/>
              <w:top w:sz="5.600000000000023" w:val="single" w:color="#000000"/>
              <w:end w:sz="2.399999999999636" w:val="single" w:color="#000000"/>
              <w:bottom w:sz="1.6000000000000227" w:val="single" w:color="#000000"/>
            </w:tcBorders>
            <w:tcMar>
              <w:start w:w="0" w:type="dxa"/>
              <w:end w:w="0" w:type="dxa"/>
            </w:tcMar>
          </w:tcPr>
          <w:p>
            <w:pPr>
              <w:autoSpaceDN w:val="0"/>
              <w:autoSpaceDE w:val="0"/>
              <w:widowControl/>
              <w:spacing w:line="233" w:lineRule="auto" w:before="294" w:after="0"/>
              <w:ind w:left="0" w:right="58" w:firstLine="0"/>
              <w:jc w:val="right"/>
            </w:pPr>
            <w:r>
              <w:rPr>
                <w:rFonts w:ascii="Times New Roman" w:hAnsi="Times New Roman" w:eastAsia="Times New Roman"/>
                <w:b w:val="0"/>
                <w:i w:val="0"/>
                <w:color w:val="000000"/>
                <w:sz w:val="18"/>
              </w:rPr>
              <w:t xml:space="preserve">562,547,630 </w:t>
            </w:r>
          </w:p>
        </w:tc>
        <w:tc>
          <w:tcPr>
            <w:tcW w:type="dxa" w:w="128"/>
            <w:vMerge w:val="restart"/>
            <w:tcBorders>
              <w:start w:sz="2.399999999999636" w:val="single" w:color="#000000"/>
              <w:top w:sz="5.60000000000002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568"/>
        </w:trPr>
        <w:tc>
          <w:tcPr>
            <w:tcW w:type="dxa" w:w="1932"/>
            <w:tcBorders>
              <w:start w:sz="2.3999999999999773" w:val="single" w:color="#000000"/>
              <w:top w:sz="1.6000000000000227"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其他综合收益的税后</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净额（元）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6000000000000227"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14,017,245 </w:t>
            </w:r>
          </w:p>
        </w:tc>
        <w:tc>
          <w:tcPr>
            <w:tcW w:type="dxa" w:w="1928"/>
            <w:tcBorders>
              <w:start w:sz="2.400000000000091" w:val="single" w:color="#000000"/>
              <w:top w:sz="1.6000000000000227"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20,166,564 </w:t>
            </w:r>
          </w:p>
        </w:tc>
        <w:tc>
          <w:tcPr>
            <w:tcW w:type="dxa" w:w="1930"/>
            <w:tcBorders>
              <w:start w:sz="2.400000000000091" w:val="single" w:color="#000000"/>
              <w:top w:sz="1.6000000000000227"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94" w:after="0"/>
              <w:ind w:left="0" w:right="58" w:firstLine="0"/>
              <w:jc w:val="right"/>
            </w:pPr>
            <w:r>
              <w:rPr>
                <w:rFonts w:ascii="Times New Roman" w:hAnsi="Times New Roman" w:eastAsia="Times New Roman"/>
                <w:b w:val="0"/>
                <w:i w:val="0"/>
                <w:color w:val="000000"/>
                <w:sz w:val="18"/>
              </w:rPr>
              <w:t xml:space="preserve">-30.49% </w:t>
            </w:r>
          </w:p>
        </w:tc>
        <w:tc>
          <w:tcPr>
            <w:tcW w:type="dxa" w:w="1930"/>
            <w:tcBorders>
              <w:start w:sz="2.400000000000091" w:val="single" w:color="#000000"/>
              <w:top w:sz="1.6000000000000227"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94" w:after="0"/>
              <w:ind w:left="0" w:right="58" w:firstLine="0"/>
              <w:jc w:val="right"/>
            </w:pPr>
            <w:r>
              <w:rPr>
                <w:rFonts w:ascii="Times New Roman" w:hAnsi="Times New Roman" w:eastAsia="Times New Roman"/>
                <w:b w:val="0"/>
                <w:i w:val="0"/>
                <w:color w:val="000000"/>
                <w:sz w:val="18"/>
              </w:rPr>
              <w:t xml:space="preserve">7,874,078 </w:t>
            </w:r>
          </w:p>
        </w:tc>
        <w:tc>
          <w:tcPr>
            <w:tcW w:type="dxa" w:w="1633"/>
            <w:vMerge/>
            <w:tcBorders>
              <w:start w:sz="2.399999999999636" w:val="single" w:color="#000000"/>
              <w:top w:sz="5.600000000000023" w:val="single" w:color="#000000"/>
            </w:tcBorders>
          </w:tcPr>
          <w:p/>
        </w:tc>
      </w:tr>
      <w:tr>
        <w:trPr>
          <w:trHeight w:hRule="exact" w:val="562"/>
        </w:trPr>
        <w:tc>
          <w:tcPr>
            <w:tcW w:type="dxa" w:w="1932"/>
            <w:tcBorders>
              <w:start w:sz="2.3999999999999773" w:val="single" w:color="#000000"/>
              <w:top w:sz="2.400000000000091"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经营活动产生的现金</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流量净额（元）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102" w:firstLine="0"/>
              <w:jc w:val="right"/>
            </w:pPr>
            <w:r>
              <w:rPr>
                <w:rFonts w:ascii="Times New Roman" w:hAnsi="Times New Roman" w:eastAsia="Times New Roman"/>
                <w:b w:val="0"/>
                <w:i w:val="0"/>
                <w:color w:val="000000"/>
                <w:sz w:val="18"/>
              </w:rPr>
              <w:t>8,066,375,582</w:t>
            </w:r>
          </w:p>
        </w:tc>
        <w:tc>
          <w:tcPr>
            <w:tcW w:type="dxa" w:w="1928"/>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925,557,863 </w:t>
            </w:r>
          </w:p>
        </w:tc>
        <w:tc>
          <w:tcPr>
            <w:tcW w:type="dxa" w:w="1930"/>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771.51% </w:t>
            </w:r>
          </w:p>
        </w:tc>
        <w:tc>
          <w:tcPr>
            <w:tcW w:type="dxa" w:w="1930"/>
            <w:tcBorders>
              <w:start w:sz="2.400000000000091"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1,226,395,171 </w:t>
            </w:r>
          </w:p>
        </w:tc>
        <w:tc>
          <w:tcPr>
            <w:tcW w:type="dxa" w:w="1633"/>
            <w:vMerge/>
            <w:tcBorders>
              <w:start w:sz="2.399999999999636" w:val="single" w:color="#000000"/>
              <w:top w:sz="5.600000000000023" w:val="single" w:color="#000000"/>
            </w:tcBorders>
          </w:tcPr>
          <w:p/>
        </w:tc>
      </w:tr>
      <w:tr>
        <w:trPr>
          <w:trHeight w:hRule="exact" w:val="566"/>
        </w:trPr>
        <w:tc>
          <w:tcPr>
            <w:tcW w:type="dxa" w:w="1932"/>
            <w:tcBorders>
              <w:start w:sz="2.3999999999999773" w:val="single" w:color="#000000"/>
              <w:top w:sz="2.400000000000091" w:val="single" w:color="#000000"/>
              <w:end w:sz="2.400000000000091" w:val="single" w:color="#000000"/>
              <w:bottom w:sz="2.3999999999998636"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基本每股收益（元/</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股）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2.3999999999998636" w:val="single" w:color="#000000"/>
            </w:tcBorders>
            <w:tcMar>
              <w:start w:w="0" w:type="dxa"/>
              <w:end w:w="0" w:type="dxa"/>
            </w:tcMar>
          </w:tcPr>
          <w:p>
            <w:pPr>
              <w:autoSpaceDN w:val="0"/>
              <w:autoSpaceDE w:val="0"/>
              <w:widowControl/>
              <w:spacing w:line="230" w:lineRule="auto" w:before="192" w:after="0"/>
              <w:ind w:left="0" w:right="58" w:firstLine="0"/>
              <w:jc w:val="right"/>
            </w:pPr>
            <w:r>
              <w:rPr>
                <w:rFonts w:ascii="Times New Roman" w:hAnsi="Times New Roman" w:eastAsia="Times New Roman"/>
                <w:b w:val="0"/>
                <w:i w:val="0"/>
                <w:color w:val="000000"/>
                <w:sz w:val="18"/>
              </w:rPr>
              <w:t xml:space="preserve">0.20 </w:t>
            </w:r>
          </w:p>
        </w:tc>
        <w:tc>
          <w:tcPr>
            <w:tcW w:type="dxa" w:w="1928"/>
            <w:tcBorders>
              <w:start w:sz="2.400000000000091" w:val="single" w:color="#000000"/>
              <w:top w:sz="2.400000000000091" w:val="single" w:color="#000000"/>
              <w:end w:sz="2.400000000000091" w:val="single" w:color="#000000"/>
              <w:bottom w:sz="2.3999999999998636"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0.17 </w:t>
            </w:r>
          </w:p>
        </w:tc>
        <w:tc>
          <w:tcPr>
            <w:tcW w:type="dxa" w:w="1930"/>
            <w:tcBorders>
              <w:start w:sz="2.400000000000091" w:val="single" w:color="#000000"/>
              <w:top w:sz="2.400000000000091" w:val="single" w:color="#000000"/>
              <w:end w:sz="2.400000000000091" w:val="single" w:color="#000000"/>
              <w:bottom w:sz="2.3999999999998636" w:val="single" w:color="#000000"/>
            </w:tcBorders>
            <w:tcMar>
              <w:start w:w="0" w:type="dxa"/>
              <w:end w:w="0" w:type="dxa"/>
            </w:tcMar>
          </w:tcPr>
          <w:p>
            <w:pPr>
              <w:autoSpaceDN w:val="0"/>
              <w:autoSpaceDE w:val="0"/>
              <w:widowControl/>
              <w:spacing w:line="230" w:lineRule="auto" w:before="192" w:after="0"/>
              <w:ind w:left="0" w:right="58" w:firstLine="0"/>
              <w:jc w:val="right"/>
            </w:pPr>
            <w:r>
              <w:rPr>
                <w:rFonts w:ascii="Times New Roman" w:hAnsi="Times New Roman" w:eastAsia="Times New Roman"/>
                <w:b w:val="0"/>
                <w:i w:val="0"/>
                <w:color w:val="000000"/>
                <w:sz w:val="18"/>
              </w:rPr>
              <w:t xml:space="preserve">17.65% </w:t>
            </w:r>
          </w:p>
        </w:tc>
        <w:tc>
          <w:tcPr>
            <w:tcW w:type="dxa" w:w="1930"/>
            <w:tcBorders>
              <w:start w:sz="2.400000000000091" w:val="single" w:color="#000000"/>
              <w:top w:sz="2.400000000000091" w:val="single" w:color="#000000"/>
              <w:end w:sz="2.399999999999636" w:val="single" w:color="#000000"/>
              <w:bottom w:sz="2.3999999999998636"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0.16 </w:t>
            </w:r>
          </w:p>
        </w:tc>
        <w:tc>
          <w:tcPr>
            <w:tcW w:type="dxa" w:w="1633"/>
            <w:vMerge/>
            <w:tcBorders>
              <w:start w:sz="2.399999999999636" w:val="single" w:color="#000000"/>
              <w:top w:sz="5.600000000000023" w:val="single" w:color="#000000"/>
            </w:tcBorders>
          </w:tcPr>
          <w:p/>
        </w:tc>
      </w:tr>
      <w:tr>
        <w:trPr>
          <w:trHeight w:hRule="exact" w:val="566"/>
        </w:trPr>
        <w:tc>
          <w:tcPr>
            <w:tcW w:type="dxa" w:w="1932"/>
            <w:tcBorders>
              <w:start w:sz="2.3999999999999773" w:val="single" w:color="#000000"/>
              <w:top w:sz="2.3999999999998636"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稀释每股收益（元/</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2"/>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股）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3999999999998636"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0.20 </w:t>
            </w:r>
          </w:p>
        </w:tc>
        <w:tc>
          <w:tcPr>
            <w:tcW w:type="dxa" w:w="1928"/>
            <w:tcBorders>
              <w:start w:sz="2.400000000000091" w:val="single" w:color="#000000"/>
              <w:top w:sz="2.3999999999998636"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0.17 </w:t>
            </w:r>
          </w:p>
        </w:tc>
        <w:tc>
          <w:tcPr>
            <w:tcW w:type="dxa" w:w="1930"/>
            <w:tcBorders>
              <w:start w:sz="2.400000000000091" w:val="single" w:color="#000000"/>
              <w:top w:sz="2.3999999999998636"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17.65% </w:t>
            </w:r>
          </w:p>
        </w:tc>
        <w:tc>
          <w:tcPr>
            <w:tcW w:type="dxa" w:w="1930"/>
            <w:tcBorders>
              <w:start w:sz="2.400000000000091" w:val="single" w:color="#000000"/>
              <w:top w:sz="2.3999999999998636"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 0.16 </w:t>
            </w:r>
          </w:p>
        </w:tc>
        <w:tc>
          <w:tcPr>
            <w:tcW w:type="dxa" w:w="1633"/>
            <w:vMerge/>
            <w:tcBorders>
              <w:start w:sz="2.399999999999636" w:val="single" w:color="#000000"/>
              <w:top w:sz="5.600000000000023" w:val="single" w:color="#000000"/>
            </w:tcBorders>
          </w:tcPr>
          <w:p/>
        </w:tc>
      </w:tr>
      <w:tr>
        <w:trPr>
          <w:trHeight w:hRule="exact" w:val="564"/>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加权平均净资产收益</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率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3.98%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3.53% </w:t>
            </w:r>
          </w:p>
        </w:tc>
        <w:tc>
          <w:tcPr>
            <w:tcW w:type="dxa" w:w="193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00" w:lineRule="exact" w:before="192" w:after="0"/>
              <w:ind w:left="344" w:right="0" w:firstLine="0"/>
              <w:jc w:val="left"/>
            </w:pPr>
            <w:r>
              <w:rPr>
                <w:rFonts w:ascii="宋体" w:hAnsi="宋体" w:eastAsia="宋体"/>
                <w:b w:val="0"/>
                <w:i w:val="0"/>
                <w:color w:val="000000"/>
                <w:sz w:val="18"/>
              </w:rPr>
              <w:t>增长</w:t>
            </w:r>
            <w:r>
              <w:rPr>
                <w:rFonts w:ascii="Times New Roman" w:hAnsi="Times New Roman" w:eastAsia="Times New Roman"/>
                <w:b w:val="0"/>
                <w:i w:val="0"/>
                <w:color w:val="000000"/>
                <w:sz w:val="18"/>
              </w:rPr>
              <w:t>0.45</w:t>
            </w:r>
            <w:r>
              <w:rPr>
                <w:rFonts w:ascii="宋体" w:hAnsi="宋体" w:eastAsia="宋体"/>
                <w:b w:val="0"/>
                <w:i w:val="0"/>
                <w:color w:val="000000"/>
                <w:sz w:val="18"/>
              </w:rPr>
              <w:t xml:space="preserve"> 个百分点</w:t>
            </w:r>
          </w:p>
        </w:tc>
        <w:tc>
          <w:tcPr>
            <w:tcW w:type="dxa" w:w="193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3.32% </w:t>
            </w:r>
          </w:p>
        </w:tc>
        <w:tc>
          <w:tcPr>
            <w:tcW w:type="dxa" w:w="1633"/>
            <w:vMerge/>
            <w:tcBorders>
              <w:start w:sz="2.399999999999636" w:val="single" w:color="#000000"/>
              <w:top w:sz="5.600000000000023" w:val="single" w:color="#000000"/>
            </w:tcBorders>
          </w:tcPr>
          <w:p/>
        </w:tc>
      </w:tr>
      <w:tr>
        <w:trPr>
          <w:trHeight w:hRule="exact" w:val="326"/>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p/>
        </w:tc>
        <w:tc>
          <w:tcPr>
            <w:tcW w:type="dxa" w:w="1928"/>
            <w:tcBorders>
              <w:start w:sz="2.400000000000091"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2"/>
              </w:trPr>
              <w:tc>
                <w:tcPr>
                  <w:tcW w:type="dxa" w:w="1714"/>
                  <w:tcBorders/>
                  <w:shd w:fill="d2d2d2"/>
                  <w:tcMar>
                    <w:start w:w="0" w:type="dxa"/>
                    <w:end w:w="0" w:type="dxa"/>
                  </w:tcMar>
                </w:tcPr>
                <w:p>
                  <w:pPr>
                    <w:autoSpaceDN w:val="0"/>
                    <w:autoSpaceDE w:val="0"/>
                    <w:widowControl/>
                    <w:spacing w:line="180" w:lineRule="exact" w:before="76" w:after="0"/>
                    <w:ind w:left="0" w:right="382" w:firstLine="0"/>
                    <w:jc w:val="right"/>
                  </w:pPr>
                  <w:r>
                    <w:rPr>
                      <w:rFonts w:ascii="宋体" w:hAnsi="宋体" w:eastAsia="宋体"/>
                      <w:b w:val="0"/>
                      <w:i w:val="0"/>
                      <w:color w:val="000000"/>
                      <w:sz w:val="18"/>
                    </w:rPr>
                    <w:t xml:space="preserve">2024 年末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2"/>
              </w:trPr>
              <w:tc>
                <w:tcPr>
                  <w:tcW w:type="dxa" w:w="1714"/>
                  <w:tcBorders/>
                  <w:shd w:fill="d2d2d2"/>
                  <w:tcMar>
                    <w:start w:w="0" w:type="dxa"/>
                    <w:end w:w="0" w:type="dxa"/>
                  </w:tcMar>
                </w:tcPr>
                <w:p>
                  <w:pPr>
                    <w:autoSpaceDN w:val="0"/>
                    <w:autoSpaceDE w:val="0"/>
                    <w:widowControl/>
                    <w:spacing w:line="180" w:lineRule="exact" w:before="76" w:after="0"/>
                    <w:ind w:left="0" w:right="384" w:firstLine="0"/>
                    <w:jc w:val="right"/>
                  </w:pPr>
                  <w:r>
                    <w:rPr>
                      <w:rFonts w:ascii="宋体" w:hAnsi="宋体" w:eastAsia="宋体"/>
                      <w:b w:val="0"/>
                      <w:i w:val="0"/>
                      <w:color w:val="000000"/>
                      <w:sz w:val="18"/>
                    </w:rPr>
                    <w:t xml:space="preserve">2023 年末 </w:t>
                  </w:r>
                </w:p>
              </w:tc>
            </w:tr>
          </w:tbl>
          <w:p>
            <w:pPr>
              <w:autoSpaceDN w:val="0"/>
              <w:autoSpaceDE w:val="0"/>
              <w:widowControl/>
              <w:spacing w:line="14" w:lineRule="exact" w:before="0" w:after="0"/>
              <w:ind w:left="0" w:right="0"/>
            </w:pPr>
          </w:p>
        </w:tc>
        <w:tc>
          <w:tcPr>
            <w:tcW w:type="dxa" w:w="1930"/>
            <w:tcBorders>
              <w:start w:sz="2.400000000000091"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50" w:right="0" w:firstLine="0"/>
              <w:jc w:val="left"/>
            </w:pPr>
            <w:r>
              <w:rPr>
                <w:shd w:val="clear" w:color="auto" w:fill="d2d2d2"/>
                <w:rFonts w:ascii="宋体" w:hAnsi="宋体" w:eastAsia="宋体"/>
                <w:b w:val="0"/>
                <w:i w:val="0"/>
                <w:color w:val="000000"/>
                <w:sz w:val="18"/>
              </w:rPr>
              <w:t>本年末比上年末增减</w:t>
            </w:r>
            <w:r>
              <w:rPr>
                <w:rFonts w:ascii="宋体" w:hAnsi="宋体" w:eastAsia="宋体"/>
                <w:b w:val="0"/>
                <w:i w:val="0"/>
                <w:color w:val="000000"/>
                <w:sz w:val="18"/>
              </w:rPr>
              <w:t xml:space="preserve"> </w:t>
            </w:r>
          </w:p>
        </w:tc>
        <w:tc>
          <w:tcPr>
            <w:tcW w:type="dxa" w:w="1930"/>
            <w:tcBorders>
              <w:start w:sz="2.400000000000091" w:val="single" w:color="#000000"/>
              <w:top w:sz="1.599999999999909" w:val="single" w:color="#000000"/>
              <w:end w:sz="2.399999999999636"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380" w:firstLine="0"/>
                    <w:jc w:val="right"/>
                  </w:pPr>
                  <w:r>
                    <w:rPr>
                      <w:rFonts w:ascii="宋体" w:hAnsi="宋体" w:eastAsia="宋体"/>
                      <w:b w:val="0"/>
                      <w:i w:val="0"/>
                      <w:color w:val="000000"/>
                      <w:sz w:val="18"/>
                    </w:rPr>
                    <w:t xml:space="preserve">2022 年末 </w:t>
                  </w:r>
                </w:p>
              </w:tc>
            </w:tr>
          </w:tbl>
          <w:p>
            <w:pPr>
              <w:autoSpaceDN w:val="0"/>
              <w:autoSpaceDE w:val="0"/>
              <w:widowControl/>
              <w:spacing w:line="14" w:lineRule="exact" w:before="0" w:after="0"/>
              <w:ind w:left="0" w:right="0"/>
            </w:pPr>
          </w:p>
        </w:tc>
        <w:tc>
          <w:tcPr>
            <w:tcW w:type="dxa" w:w="1633"/>
            <w:vMerge/>
            <w:tcBorders>
              <w:start w:sz="2.399999999999636" w:val="single" w:color="#000000"/>
              <w:top w:sz="5.600000000000023" w:val="single" w:color="#000000"/>
            </w:tcBorders>
          </w:tcPr>
          <w:p/>
        </w:tc>
      </w:tr>
      <w:tr>
        <w:trPr>
          <w:trHeight w:hRule="exact" w:val="324"/>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资产总额（元）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80,661,344,114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77,590,229,317 </w:t>
            </w:r>
          </w:p>
        </w:tc>
        <w:tc>
          <w:tcPr>
            <w:tcW w:type="dxa" w:w="193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70" w:after="0"/>
              <w:ind w:left="0" w:right="58" w:firstLine="0"/>
              <w:jc w:val="right"/>
            </w:pPr>
            <w:r>
              <w:rPr>
                <w:rFonts w:ascii="Times New Roman" w:hAnsi="Times New Roman" w:eastAsia="Times New Roman"/>
                <w:b w:val="0"/>
                <w:i w:val="0"/>
                <w:color w:val="000000"/>
                <w:sz w:val="18"/>
              </w:rPr>
              <w:t xml:space="preserve">3.96% </w:t>
            </w:r>
          </w:p>
        </w:tc>
        <w:tc>
          <w:tcPr>
            <w:tcW w:type="dxa" w:w="193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 82,909,230,170 </w:t>
            </w:r>
          </w:p>
        </w:tc>
        <w:tc>
          <w:tcPr>
            <w:tcW w:type="dxa" w:w="1633"/>
            <w:vMerge/>
            <w:tcBorders>
              <w:start w:sz="2.399999999999636" w:val="single" w:color="#000000"/>
              <w:top w:sz="5.600000000000023" w:val="single" w:color="#000000"/>
            </w:tcBorders>
          </w:tcPr>
          <w:p/>
        </w:tc>
      </w:tr>
      <w:tr>
        <w:trPr>
          <w:trHeight w:hRule="exact" w:val="328"/>
        </w:trPr>
        <w:tc>
          <w:tcPr>
            <w:tcW w:type="dxa" w:w="1932"/>
            <w:tcBorders>
              <w:start w:sz="2.3999999999999773"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负债总额（元）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62,367,874,876 </w:t>
            </w: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59,437,105,438 </w:t>
            </w:r>
          </w:p>
        </w:tc>
        <w:tc>
          <w:tcPr>
            <w:tcW w:type="dxa" w:w="1930"/>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74" w:after="0"/>
              <w:ind w:left="0" w:right="58" w:firstLine="0"/>
              <w:jc w:val="right"/>
            </w:pPr>
            <w:r>
              <w:rPr>
                <w:rFonts w:ascii="Times New Roman" w:hAnsi="Times New Roman" w:eastAsia="Times New Roman"/>
                <w:b w:val="0"/>
                <w:i w:val="0"/>
                <w:color w:val="000000"/>
                <w:sz w:val="18"/>
              </w:rPr>
              <w:t xml:space="preserve">4.93% </w:t>
            </w:r>
          </w:p>
        </w:tc>
        <w:tc>
          <w:tcPr>
            <w:tcW w:type="dxa" w:w="193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 65,066,190,026 </w:t>
            </w:r>
          </w:p>
        </w:tc>
        <w:tc>
          <w:tcPr>
            <w:tcW w:type="dxa" w:w="1633"/>
            <w:vMerge/>
            <w:tcBorders>
              <w:start w:sz="2.399999999999636" w:val="single" w:color="#000000"/>
              <w:top w:sz="5.600000000000023" w:val="single" w:color="#000000"/>
            </w:tcBorders>
          </w:tcPr>
          <w:p/>
        </w:tc>
      </w:tr>
      <w:tr>
        <w:trPr>
          <w:trHeight w:hRule="exact" w:val="562"/>
        </w:trPr>
        <w:tc>
          <w:tcPr>
            <w:tcW w:type="dxa" w:w="1932"/>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归属于上市公司股东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的净资产（元）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17,970,113,581 </w:t>
            </w: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17,746,832,505 </w:t>
            </w:r>
          </w:p>
        </w:tc>
        <w:tc>
          <w:tcPr>
            <w:tcW w:type="dxa" w:w="1930"/>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1.26% </w:t>
            </w:r>
          </w:p>
        </w:tc>
        <w:tc>
          <w:tcPr>
            <w:tcW w:type="dxa" w:w="193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178" w:after="0"/>
              <w:ind w:left="0" w:right="60" w:firstLine="0"/>
              <w:jc w:val="right"/>
            </w:pPr>
            <w:r>
              <w:rPr>
                <w:rFonts w:ascii="Times New Roman" w:hAnsi="Times New Roman" w:eastAsia="Times New Roman"/>
                <w:b w:val="0"/>
                <w:i w:val="0"/>
                <w:color w:val="000000"/>
                <w:sz w:val="18"/>
              </w:rPr>
              <w:t xml:space="preserve"> 17,393,793,494 </w:t>
            </w:r>
          </w:p>
        </w:tc>
        <w:tc>
          <w:tcPr>
            <w:tcW w:type="dxa" w:w="1633"/>
            <w:vMerge/>
            <w:tcBorders>
              <w:start w:sz="2.399999999999636" w:val="single" w:color="#000000"/>
              <w:top w:sz="5.600000000000023" w:val="single" w:color="#000000"/>
            </w:tcBorders>
          </w:tcPr>
          <w:p/>
        </w:tc>
      </w:tr>
    </w:tbl>
    <w:p>
      <w:pPr>
        <w:autoSpaceDN w:val="0"/>
        <w:autoSpaceDE w:val="0"/>
        <w:widowControl/>
        <w:spacing w:line="180" w:lineRule="exact" w:before="476" w:after="124"/>
        <w:ind w:left="112" w:right="0" w:firstLine="0"/>
        <w:jc w:val="left"/>
      </w:pPr>
      <w:r>
        <w:rPr>
          <w:rFonts w:ascii="宋体" w:hAnsi="宋体" w:eastAsia="宋体"/>
          <w:b w:val="0"/>
          <w:i w:val="0"/>
          <w:color w:val="000000"/>
          <w:sz w:val="18"/>
        </w:rPr>
        <w:t xml:space="preserve">母公司 </w:t>
      </w:r>
    </w:p>
    <w:tbl>
      <w:tblPr>
        <w:tblW w:type="auto" w:w="0"/>
        <w:tblLayout w:type="fixed"/>
        <w:tblLook w:firstColumn="1" w:firstRow="1" w:lastColumn="0" w:lastRow="0" w:noHBand="0" w:noVBand="1" w:val="04A0"/>
        <w:tblInd w:w="2.0000000000000284" w:type="dxa"/>
      </w:tblPr>
      <w:tblGrid>
        <w:gridCol w:w="1960"/>
        <w:gridCol w:w="1960"/>
        <w:gridCol w:w="1960"/>
        <w:gridCol w:w="1960"/>
        <w:gridCol w:w="1960"/>
      </w:tblGrid>
      <w:tr>
        <w:trPr>
          <w:trHeight w:hRule="exact" w:val="324"/>
        </w:trPr>
        <w:tc>
          <w:tcPr>
            <w:tcW w:type="dxa" w:w="1932"/>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p/>
        </w:tc>
        <w:tc>
          <w:tcPr>
            <w:tcW w:type="dxa" w:w="1928"/>
            <w:tcBorders>
              <w:start w:sz="2.400000000000091"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74" w:firstLine="0"/>
                    <w:jc w:val="right"/>
                  </w:pPr>
                  <w:r>
                    <w:rPr>
                      <w:rFonts w:ascii="宋体" w:hAnsi="宋体" w:eastAsia="宋体"/>
                      <w:b w:val="0"/>
                      <w:i w:val="0"/>
                      <w:color w:val="000000"/>
                      <w:sz w:val="18"/>
                    </w:rPr>
                    <w:t xml:space="preserve">2024 年 </w:t>
                  </w:r>
                </w:p>
              </w:tc>
            </w:tr>
          </w:tbl>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76" w:firstLine="0"/>
                    <w:jc w:val="right"/>
                  </w:pPr>
                  <w:r>
                    <w:rPr>
                      <w:rFonts w:ascii="宋体" w:hAnsi="宋体" w:eastAsia="宋体"/>
                      <w:b w:val="0"/>
                      <w:i w:val="0"/>
                      <w:color w:val="000000"/>
                      <w:sz w:val="18"/>
                    </w:rPr>
                    <w:t xml:space="preserve">2023 年 </w:t>
                  </w:r>
                </w:p>
              </w:tc>
            </w:tr>
          </w:tbl>
          <w:p>
            <w:pPr>
              <w:autoSpaceDN w:val="0"/>
              <w:autoSpaceDE w:val="0"/>
              <w:widowControl/>
              <w:spacing w:line="14" w:lineRule="exact" w:before="0" w:after="0"/>
              <w:ind w:left="0" w:right="0"/>
            </w:pPr>
          </w:p>
        </w:tc>
        <w:tc>
          <w:tcPr>
            <w:tcW w:type="dxa" w:w="1930"/>
            <w:tcBorders>
              <w:start w:sz="2.400000000000091"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1930"/>
            </w:tblGrid>
            <w:tr>
              <w:trPr>
                <w:trHeight w:hRule="exact" w:val="300"/>
              </w:trPr>
              <w:tc>
                <w:tcPr>
                  <w:tcW w:type="dxa" w:w="1712"/>
                  <w:tcBorders/>
                  <w:shd w:fill="d2d2d2"/>
                  <w:tcMar>
                    <w:start w:w="0" w:type="dxa"/>
                    <w:end w:w="0" w:type="dxa"/>
                  </w:tcMar>
                </w:tcPr>
                <w:p>
                  <w:pPr>
                    <w:autoSpaceDN w:val="0"/>
                    <w:autoSpaceDE w:val="0"/>
                    <w:widowControl/>
                    <w:spacing w:line="180" w:lineRule="exact" w:before="76" w:after="0"/>
                    <w:ind w:left="224" w:right="0" w:firstLine="0"/>
                    <w:jc w:val="left"/>
                  </w:pPr>
                  <w:r>
                    <w:rPr>
                      <w:rFonts w:ascii="宋体" w:hAnsi="宋体" w:eastAsia="宋体"/>
                      <w:b w:val="0"/>
                      <w:i w:val="0"/>
                      <w:color w:val="000000"/>
                      <w:sz w:val="18"/>
                    </w:rPr>
                    <w:t xml:space="preserve">本年比上年增减 </w:t>
                  </w:r>
                </w:p>
              </w:tc>
            </w:tr>
          </w:tbl>
          <w:p>
            <w:pPr>
              <w:autoSpaceDN w:val="0"/>
              <w:autoSpaceDE w:val="0"/>
              <w:widowControl/>
              <w:spacing w:line="14" w:lineRule="exact" w:before="0" w:after="0"/>
              <w:ind w:left="0" w:right="0"/>
            </w:pPr>
          </w:p>
        </w:tc>
        <w:tc>
          <w:tcPr>
            <w:tcW w:type="dxa" w:w="1930"/>
            <w:tcBorders>
              <w:start w:sz="2.400000000000091" w:val="single" w:color="#000000"/>
              <w:top w:sz="2.400000000000091" w:val="single" w:color="#000000"/>
              <w:end w:sz="2.399999999999636"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470" w:firstLine="0"/>
                    <w:jc w:val="right"/>
                  </w:pPr>
                  <w:r>
                    <w:rPr>
                      <w:rFonts w:ascii="宋体" w:hAnsi="宋体" w:eastAsia="宋体"/>
                      <w:b w:val="0"/>
                      <w:i w:val="0"/>
                      <w:color w:val="000000"/>
                      <w:sz w:val="18"/>
                    </w:rPr>
                    <w:t xml:space="preserve">2022 年 </w:t>
                  </w:r>
                </w:p>
              </w:tc>
            </w:tr>
          </w:tbl>
          <w:p>
            <w:pPr>
              <w:autoSpaceDN w:val="0"/>
              <w:autoSpaceDE w:val="0"/>
              <w:widowControl/>
              <w:spacing w:line="14" w:lineRule="exact" w:before="0" w:after="0"/>
              <w:ind w:left="0" w:right="0"/>
            </w:pPr>
          </w:p>
        </w:tc>
      </w:tr>
      <w:tr>
        <w:trPr>
          <w:trHeight w:hRule="exact" w:val="326"/>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营业总收入（元）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2,089,130,570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2,330,512,930 </w:t>
            </w:r>
          </w:p>
        </w:tc>
        <w:tc>
          <w:tcPr>
            <w:tcW w:type="dxa" w:w="193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72" w:after="0"/>
              <w:ind w:left="0" w:right="58" w:firstLine="0"/>
              <w:jc w:val="right"/>
            </w:pPr>
            <w:r>
              <w:rPr>
                <w:rFonts w:ascii="Times New Roman" w:hAnsi="Times New Roman" w:eastAsia="Times New Roman"/>
                <w:b w:val="0"/>
                <w:i w:val="0"/>
                <w:color w:val="000000"/>
                <w:sz w:val="18"/>
              </w:rPr>
              <w:t xml:space="preserve">-10.36% </w:t>
            </w:r>
          </w:p>
        </w:tc>
        <w:tc>
          <w:tcPr>
            <w:tcW w:type="dxa" w:w="193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2,071,937,647 </w:t>
            </w:r>
          </w:p>
        </w:tc>
      </w:tr>
      <w:tr>
        <w:trPr>
          <w:trHeight w:hRule="exact" w:val="324"/>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净利润（元）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620,167,456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517,965,462 </w:t>
            </w:r>
          </w:p>
        </w:tc>
        <w:tc>
          <w:tcPr>
            <w:tcW w:type="dxa" w:w="193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74" w:after="0"/>
              <w:ind w:left="0" w:right="58" w:firstLine="0"/>
              <w:jc w:val="right"/>
            </w:pPr>
            <w:r>
              <w:rPr>
                <w:rFonts w:ascii="Times New Roman" w:hAnsi="Times New Roman" w:eastAsia="Times New Roman"/>
                <w:b w:val="0"/>
                <w:i w:val="0"/>
                <w:color w:val="000000"/>
                <w:sz w:val="18"/>
              </w:rPr>
              <w:t xml:space="preserve">19.73% </w:t>
            </w:r>
          </w:p>
        </w:tc>
        <w:tc>
          <w:tcPr>
            <w:tcW w:type="dxa" w:w="193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587,908,498 </w:t>
            </w:r>
          </w:p>
        </w:tc>
      </w:tr>
      <w:tr>
        <w:trPr>
          <w:trHeight w:hRule="exact" w:val="568"/>
        </w:trPr>
        <w:tc>
          <w:tcPr>
            <w:tcW w:type="dxa" w:w="1932"/>
            <w:tcBorders>
              <w:start w:sz="2.3999999999999773"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扣除非经常性损益的</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净利润（元）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617,854,651 </w:t>
            </w: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506,624,168 </w:t>
            </w:r>
          </w:p>
        </w:tc>
        <w:tc>
          <w:tcPr>
            <w:tcW w:type="dxa" w:w="1930"/>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94" w:after="0"/>
              <w:ind w:left="0" w:right="58" w:firstLine="0"/>
              <w:jc w:val="right"/>
            </w:pPr>
            <w:r>
              <w:rPr>
                <w:rFonts w:ascii="Times New Roman" w:hAnsi="Times New Roman" w:eastAsia="Times New Roman"/>
                <w:b w:val="0"/>
                <w:i w:val="0"/>
                <w:color w:val="000000"/>
                <w:sz w:val="18"/>
              </w:rPr>
              <w:t xml:space="preserve">21.96% </w:t>
            </w:r>
          </w:p>
        </w:tc>
        <w:tc>
          <w:tcPr>
            <w:tcW w:type="dxa" w:w="193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577,256,038 </w:t>
            </w:r>
          </w:p>
        </w:tc>
      </w:tr>
      <w:tr>
        <w:trPr>
          <w:trHeight w:hRule="exact" w:val="562"/>
        </w:trPr>
        <w:tc>
          <w:tcPr>
            <w:tcW w:type="dxa" w:w="1932"/>
            <w:tcBorders>
              <w:start w:sz="2.3999999999999773" w:val="single" w:color="#000000"/>
              <w:top w:sz="2.400000000000091"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其他综合收益的税后</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净额（元）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-3,584,169 </w:t>
            </w:r>
          </w:p>
        </w:tc>
        <w:tc>
          <w:tcPr>
            <w:tcW w:type="dxa" w:w="1928"/>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8,803,460 </w:t>
            </w:r>
          </w:p>
        </w:tc>
        <w:tc>
          <w:tcPr>
            <w:tcW w:type="dxa" w:w="1930"/>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90" w:after="0"/>
              <w:ind w:left="0" w:right="58" w:firstLine="0"/>
              <w:jc w:val="right"/>
            </w:pPr>
            <w:r>
              <w:rPr>
                <w:rFonts w:ascii="Times New Roman" w:hAnsi="Times New Roman" w:eastAsia="Times New Roman"/>
                <w:b w:val="0"/>
                <w:i w:val="0"/>
                <w:color w:val="000000"/>
                <w:sz w:val="18"/>
              </w:rPr>
              <w:t xml:space="preserve">-140.71% </w:t>
            </w:r>
          </w:p>
        </w:tc>
        <w:tc>
          <w:tcPr>
            <w:tcW w:type="dxa" w:w="1930"/>
            <w:tcBorders>
              <w:start w:sz="2.400000000000091"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78" w:after="0"/>
              <w:ind w:left="0" w:right="58" w:firstLine="0"/>
              <w:jc w:val="right"/>
            </w:pPr>
            <w:r>
              <w:rPr>
                <w:rFonts w:ascii="Times New Roman" w:hAnsi="Times New Roman" w:eastAsia="Times New Roman"/>
                <w:b w:val="0"/>
                <w:i w:val="0"/>
                <w:color w:val="000000"/>
                <w:sz w:val="18"/>
              </w:rPr>
              <w:t xml:space="preserve">-49,935,803 </w:t>
            </w:r>
          </w:p>
        </w:tc>
      </w:tr>
      <w:tr>
        <w:trPr>
          <w:trHeight w:hRule="exact" w:val="568"/>
        </w:trPr>
        <w:tc>
          <w:tcPr>
            <w:tcW w:type="dxa" w:w="1932"/>
            <w:tcBorders>
              <w:start w:sz="2.3999999999999773" w:val="single" w:color="#000000"/>
              <w:top w:sz="2.400000000000091" w:val="single" w:color="#000000"/>
              <w:end w:sz="2.400000000000091"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经营活动产生的现金</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流量净额（元）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180" w:after="0"/>
              <w:ind w:left="0" w:right="60" w:firstLine="0"/>
              <w:jc w:val="right"/>
            </w:pPr>
            <w:r>
              <w:rPr>
                <w:rFonts w:ascii="Times New Roman" w:hAnsi="Times New Roman" w:eastAsia="Times New Roman"/>
                <w:b w:val="0"/>
                <w:i w:val="0"/>
                <w:color w:val="000000"/>
                <w:sz w:val="18"/>
              </w:rPr>
              <w:t xml:space="preserve">7,314,664,880 </w:t>
            </w:r>
          </w:p>
        </w:tc>
        <w:tc>
          <w:tcPr>
            <w:tcW w:type="dxa" w:w="1928"/>
            <w:tcBorders>
              <w:start w:sz="2.400000000000091" w:val="single" w:color="#000000"/>
              <w:top w:sz="2.400000000000091"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3,065,917,617 </w:t>
            </w:r>
          </w:p>
        </w:tc>
        <w:tc>
          <w:tcPr>
            <w:tcW w:type="dxa" w:w="1930"/>
            <w:tcBorders>
              <w:start w:sz="2.400000000000091" w:val="single" w:color="#000000"/>
              <w:top w:sz="2.400000000000091" w:val="single" w:color="#000000"/>
              <w:end w:sz="2.400000000000091" w:val="single" w:color="#000000"/>
              <w:bottom w:sz="2.4000000000005457" w:val="single" w:color="#000000"/>
            </w:tcBorders>
            <w:tcMar>
              <w:start w:w="0" w:type="dxa"/>
              <w:end w:w="0" w:type="dxa"/>
            </w:tcMar>
          </w:tcPr>
          <w:p>
            <w:pPr>
              <w:autoSpaceDN w:val="0"/>
              <w:autoSpaceDE w:val="0"/>
              <w:widowControl/>
              <w:spacing w:line="230" w:lineRule="auto" w:before="192" w:after="0"/>
              <w:ind w:left="0" w:right="58" w:firstLine="0"/>
              <w:jc w:val="right"/>
            </w:pPr>
            <w:r>
              <w:rPr>
                <w:rFonts w:ascii="Times New Roman" w:hAnsi="Times New Roman" w:eastAsia="Times New Roman"/>
                <w:b w:val="0"/>
                <w:i w:val="0"/>
                <w:color w:val="000000"/>
                <w:sz w:val="18"/>
              </w:rPr>
              <w:t xml:space="preserve">138.58% </w:t>
            </w:r>
          </w:p>
        </w:tc>
        <w:tc>
          <w:tcPr>
            <w:tcW w:type="dxa" w:w="1930"/>
            <w:tcBorders>
              <w:start w:sz="2.400000000000091" w:val="single" w:color="#000000"/>
              <w:top w:sz="2.400000000000091" w:val="single" w:color="#000000"/>
              <w:end w:sz="2.399999999999636" w:val="single" w:color="#000000"/>
              <w:bottom w:sz="2.4000000000005457" w:val="single" w:color="#000000"/>
            </w:tcBorders>
            <w:tcMar>
              <w:start w:w="0" w:type="dxa"/>
              <w:end w:w="0" w:type="dxa"/>
            </w:tcMar>
          </w:tcPr>
          <w:p>
            <w:pPr>
              <w:autoSpaceDN w:val="0"/>
              <w:autoSpaceDE w:val="0"/>
              <w:widowControl/>
              <w:spacing w:line="230" w:lineRule="auto" w:before="180" w:after="0"/>
              <w:ind w:left="0" w:right="106" w:firstLine="0"/>
              <w:jc w:val="right"/>
            </w:pPr>
            <w:r>
              <w:rPr>
                <w:rFonts w:ascii="Times New Roman" w:hAnsi="Times New Roman" w:eastAsia="Times New Roman"/>
                <w:b w:val="0"/>
                <w:i w:val="0"/>
                <w:color w:val="000000"/>
                <w:sz w:val="18"/>
              </w:rPr>
              <w:t>-1,002,262,602</w:t>
            </w:r>
          </w:p>
        </w:tc>
      </w:tr>
      <w:tr>
        <w:trPr>
          <w:trHeight w:hRule="exact" w:val="564"/>
        </w:trPr>
        <w:tc>
          <w:tcPr>
            <w:tcW w:type="dxa" w:w="1932"/>
            <w:tcBorders>
              <w:start w:sz="2.3999999999999773" w:val="single" w:color="#000000"/>
              <w:top w:sz="2.4000000000005457"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基本每股收益（元/</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2"/>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股）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5457" w:val="single" w:color="#000000"/>
              <w:end w:sz="2.400000000000091" w:val="single" w:color="#000000"/>
              <w:bottom w:sz="1.5999999999994543" w:val="single" w:color="#000000"/>
            </w:tcBorders>
            <w:tcMar>
              <w:start w:w="0" w:type="dxa"/>
              <w:end w:w="0" w:type="dxa"/>
            </w:tcMar>
          </w:tcPr>
          <w:p>
            <w:pPr>
              <w:autoSpaceDN w:val="0"/>
              <w:autoSpaceDE w:val="0"/>
              <w:widowControl/>
              <w:spacing w:line="230" w:lineRule="auto" w:before="188" w:after="0"/>
              <w:ind w:left="0" w:right="58" w:firstLine="0"/>
              <w:jc w:val="right"/>
            </w:pPr>
            <w:r>
              <w:rPr>
                <w:rFonts w:ascii="Times New Roman" w:hAnsi="Times New Roman" w:eastAsia="Times New Roman"/>
                <w:b w:val="0"/>
                <w:i w:val="0"/>
                <w:color w:val="000000"/>
                <w:sz w:val="18"/>
              </w:rPr>
              <w:t xml:space="preserve">0.17 </w:t>
            </w:r>
          </w:p>
        </w:tc>
        <w:tc>
          <w:tcPr>
            <w:tcW w:type="dxa" w:w="1928"/>
            <w:tcBorders>
              <w:start w:sz="2.400000000000091" w:val="single" w:color="#000000"/>
              <w:top w:sz="2.4000000000005457" w:val="single" w:color="#000000"/>
              <w:end w:sz="2.400000000000091" w:val="single" w:color="#000000"/>
              <w:bottom w:sz="1.5999999999994543" w:val="single" w:color="#000000"/>
            </w:tcBorders>
            <w:tcMar>
              <w:start w:w="0" w:type="dxa"/>
              <w:end w:w="0" w:type="dxa"/>
            </w:tcMar>
          </w:tcPr>
          <w:p>
            <w:pPr>
              <w:autoSpaceDN w:val="0"/>
              <w:autoSpaceDE w:val="0"/>
              <w:widowControl/>
              <w:spacing w:line="230" w:lineRule="auto" w:before="176" w:after="0"/>
              <w:ind w:left="0" w:right="58" w:firstLine="0"/>
              <w:jc w:val="right"/>
            </w:pPr>
            <w:r>
              <w:rPr>
                <w:rFonts w:ascii="Times New Roman" w:hAnsi="Times New Roman" w:eastAsia="Times New Roman"/>
                <w:b w:val="0"/>
                <w:i w:val="0"/>
                <w:color w:val="000000"/>
                <w:sz w:val="18"/>
              </w:rPr>
              <w:t xml:space="preserve">0.14 </w:t>
            </w:r>
          </w:p>
        </w:tc>
        <w:tc>
          <w:tcPr>
            <w:tcW w:type="dxa" w:w="1930"/>
            <w:tcBorders>
              <w:start w:sz="2.400000000000091" w:val="single" w:color="#000000"/>
              <w:top w:sz="2.4000000000005457" w:val="single" w:color="#000000"/>
              <w:end w:sz="2.400000000000091" w:val="single" w:color="#000000"/>
              <w:bottom w:sz="1.5999999999994543" w:val="single" w:color="#000000"/>
            </w:tcBorders>
            <w:tcMar>
              <w:start w:w="0" w:type="dxa"/>
              <w:end w:w="0" w:type="dxa"/>
            </w:tcMar>
          </w:tcPr>
          <w:p>
            <w:pPr>
              <w:autoSpaceDN w:val="0"/>
              <w:autoSpaceDE w:val="0"/>
              <w:widowControl/>
              <w:spacing w:line="230" w:lineRule="auto" w:before="188" w:after="0"/>
              <w:ind w:left="0" w:right="58" w:firstLine="0"/>
              <w:jc w:val="right"/>
            </w:pPr>
            <w:r>
              <w:rPr>
                <w:rFonts w:ascii="Times New Roman" w:hAnsi="Times New Roman" w:eastAsia="Times New Roman"/>
                <w:b w:val="0"/>
                <w:i w:val="0"/>
                <w:color w:val="000000"/>
                <w:sz w:val="18"/>
              </w:rPr>
              <w:t xml:space="preserve">21.43% </w:t>
            </w:r>
          </w:p>
        </w:tc>
        <w:tc>
          <w:tcPr>
            <w:tcW w:type="dxa" w:w="1930"/>
            <w:tcBorders>
              <w:start w:sz="2.400000000000091"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176" w:after="0"/>
              <w:ind w:left="0" w:right="58" w:firstLine="0"/>
              <w:jc w:val="right"/>
            </w:pPr>
            <w:r>
              <w:rPr>
                <w:rFonts w:ascii="Times New Roman" w:hAnsi="Times New Roman" w:eastAsia="Times New Roman"/>
                <w:b w:val="0"/>
                <w:i w:val="0"/>
                <w:color w:val="000000"/>
                <w:sz w:val="18"/>
              </w:rPr>
              <w:t xml:space="preserve"> 0.16 </w:t>
            </w:r>
          </w:p>
        </w:tc>
      </w:tr>
      <w:tr>
        <w:trPr>
          <w:trHeight w:hRule="exact" w:val="56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稀释每股收益（元/</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股）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0.17 </w:t>
            </w: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80" w:after="0"/>
              <w:ind w:left="0" w:right="58" w:firstLine="0"/>
              <w:jc w:val="right"/>
            </w:pPr>
            <w:r>
              <w:rPr>
                <w:rFonts w:ascii="Times New Roman" w:hAnsi="Times New Roman" w:eastAsia="Times New Roman"/>
                <w:b w:val="0"/>
                <w:i w:val="0"/>
                <w:color w:val="000000"/>
                <w:sz w:val="18"/>
              </w:rPr>
              <w:t xml:space="preserve">0.14 </w:t>
            </w:r>
          </w:p>
        </w:tc>
        <w:tc>
          <w:tcPr>
            <w:tcW w:type="dxa" w:w="1930"/>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21.43% </w:t>
            </w:r>
          </w:p>
        </w:tc>
        <w:tc>
          <w:tcPr>
            <w:tcW w:type="dxa" w:w="1930"/>
            <w:tcBorders>
              <w:start w:sz="2.400000000000091"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180" w:after="0"/>
              <w:ind w:left="0" w:right="58" w:firstLine="0"/>
              <w:jc w:val="right"/>
            </w:pPr>
            <w:r>
              <w:rPr>
                <w:rFonts w:ascii="Times New Roman" w:hAnsi="Times New Roman" w:eastAsia="Times New Roman"/>
                <w:b w:val="0"/>
                <w:i w:val="0"/>
                <w:color w:val="000000"/>
                <w:sz w:val="18"/>
              </w:rPr>
              <w:t xml:space="preserve"> 0.16 </w:t>
            </w:r>
          </w:p>
        </w:tc>
      </w:tr>
      <w:tr>
        <w:trPr>
          <w:trHeight w:hRule="exact" w:val="566"/>
        </w:trPr>
        <w:tc>
          <w:tcPr>
            <w:tcW w:type="dxa" w:w="1932"/>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加权平均净资产收益</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2"/>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率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3.54% </w:t>
            </w: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180" w:after="0"/>
              <w:ind w:left="0" w:right="58" w:firstLine="0"/>
              <w:jc w:val="right"/>
            </w:pPr>
            <w:r>
              <w:rPr>
                <w:rFonts w:ascii="Times New Roman" w:hAnsi="Times New Roman" w:eastAsia="Times New Roman"/>
                <w:b w:val="0"/>
                <w:i w:val="0"/>
                <w:color w:val="000000"/>
                <w:sz w:val="18"/>
              </w:rPr>
              <w:t xml:space="preserve">3.00% </w:t>
            </w:r>
          </w:p>
        </w:tc>
        <w:tc>
          <w:tcPr>
            <w:tcW w:type="dxa" w:w="193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00" w:lineRule="exact" w:before="192" w:after="0"/>
              <w:ind w:left="344" w:right="0" w:firstLine="0"/>
              <w:jc w:val="left"/>
            </w:pPr>
            <w:r>
              <w:rPr>
                <w:rFonts w:ascii="宋体" w:hAnsi="宋体" w:eastAsia="宋体"/>
                <w:b w:val="0"/>
                <w:i w:val="0"/>
                <w:color w:val="000000"/>
                <w:sz w:val="18"/>
              </w:rPr>
              <w:t>增长</w:t>
            </w:r>
            <w:r>
              <w:rPr>
                <w:rFonts w:ascii="Times New Roman" w:hAnsi="Times New Roman" w:eastAsia="Times New Roman"/>
                <w:b w:val="0"/>
                <w:i w:val="0"/>
                <w:color w:val="000000"/>
                <w:sz w:val="18"/>
              </w:rPr>
              <w:t>0.54</w:t>
            </w:r>
            <w:r>
              <w:rPr>
                <w:rFonts w:ascii="宋体" w:hAnsi="宋体" w:eastAsia="宋体"/>
                <w:b w:val="0"/>
                <w:i w:val="0"/>
                <w:color w:val="000000"/>
                <w:sz w:val="18"/>
              </w:rPr>
              <w:t xml:space="preserve"> 个百分点</w:t>
            </w:r>
          </w:p>
        </w:tc>
        <w:tc>
          <w:tcPr>
            <w:tcW w:type="dxa" w:w="1930"/>
            <w:tcBorders>
              <w:start w:sz="2.400000000000091"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180" w:after="0"/>
              <w:ind w:left="0" w:right="58" w:firstLine="0"/>
              <w:jc w:val="right"/>
            </w:pPr>
            <w:r>
              <w:rPr>
                <w:rFonts w:ascii="Times New Roman" w:hAnsi="Times New Roman" w:eastAsia="Times New Roman"/>
                <w:b w:val="0"/>
                <w:i w:val="0"/>
                <w:color w:val="000000"/>
                <w:sz w:val="18"/>
              </w:rPr>
              <w:t xml:space="preserve">3.44% </w:t>
            </w:r>
          </w:p>
        </w:tc>
      </w:tr>
      <w:tr>
        <w:trPr>
          <w:trHeight w:hRule="exact" w:val="32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382" w:firstLine="0"/>
                    <w:jc w:val="right"/>
                  </w:pPr>
                  <w:r>
                    <w:rPr>
                      <w:rFonts w:ascii="宋体" w:hAnsi="宋体" w:eastAsia="宋体"/>
                      <w:b w:val="0"/>
                      <w:i w:val="0"/>
                      <w:color w:val="000000"/>
                      <w:sz w:val="18"/>
                    </w:rPr>
                    <w:t xml:space="preserve">2024 年末 </w:t>
                  </w:r>
                </w:p>
              </w:tc>
            </w:tr>
          </w:tbl>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384" w:firstLine="0"/>
                    <w:jc w:val="right"/>
                  </w:pPr>
                  <w:r>
                    <w:rPr>
                      <w:rFonts w:ascii="宋体" w:hAnsi="宋体" w:eastAsia="宋体"/>
                      <w:b w:val="0"/>
                      <w:i w:val="0"/>
                      <w:color w:val="000000"/>
                      <w:sz w:val="18"/>
                    </w:rPr>
                    <w:t xml:space="preserve">2023 年末 </w:t>
                  </w:r>
                </w:p>
              </w:tc>
            </w:tr>
          </w:tbl>
          <w:p>
            <w:pPr>
              <w:autoSpaceDN w:val="0"/>
              <w:autoSpaceDE w:val="0"/>
              <w:widowControl/>
              <w:spacing w:line="14" w:lineRule="exact" w:before="0" w:after="0"/>
              <w:ind w:left="0" w:right="0"/>
            </w:pPr>
          </w:p>
        </w:tc>
        <w:tc>
          <w:tcPr>
            <w:tcW w:type="dxa" w:w="1930"/>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150" w:right="0" w:firstLine="0"/>
              <w:jc w:val="left"/>
            </w:pPr>
            <w:r>
              <w:rPr>
                <w:shd w:val="clear" w:color="auto" w:fill="d2d2d2"/>
                <w:rFonts w:ascii="宋体" w:hAnsi="宋体" w:eastAsia="宋体"/>
                <w:b w:val="0"/>
                <w:i w:val="0"/>
                <w:color w:val="000000"/>
                <w:sz w:val="18"/>
              </w:rPr>
              <w:t>本年末比上年末增减</w:t>
            </w:r>
            <w:r>
              <w:rPr>
                <w:rFonts w:ascii="宋体" w:hAnsi="宋体" w:eastAsia="宋体"/>
                <w:b w:val="0"/>
                <w:i w:val="0"/>
                <w:color w:val="000000"/>
                <w:sz w:val="18"/>
              </w:rPr>
              <w:t xml:space="preserve"> </w:t>
            </w:r>
          </w:p>
        </w:tc>
        <w:tc>
          <w:tcPr>
            <w:tcW w:type="dxa" w:w="1930"/>
            <w:tcBorders>
              <w:start w:sz="2.400000000000091" w:val="single" w:color="#000000"/>
              <w:top w:sz="1.5999999999994543" w:val="single" w:color="#000000"/>
              <w:end w:sz="2.399999999999636"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380" w:firstLine="0"/>
                    <w:jc w:val="right"/>
                  </w:pPr>
                  <w:r>
                    <w:rPr>
                      <w:rFonts w:ascii="宋体" w:hAnsi="宋体" w:eastAsia="宋体"/>
                      <w:b w:val="0"/>
                      <w:i w:val="0"/>
                      <w:color w:val="000000"/>
                      <w:sz w:val="18"/>
                    </w:rPr>
                    <w:t xml:space="preserve">2022 年末 </w:t>
                  </w:r>
                </w:p>
              </w:tc>
            </w:tr>
          </w:tbl>
          <w:p>
            <w:pPr>
              <w:autoSpaceDN w:val="0"/>
              <w:autoSpaceDE w:val="0"/>
              <w:widowControl/>
              <w:spacing w:line="14" w:lineRule="exact" w:before="0" w:after="0"/>
              <w:ind w:left="0" w:right="0"/>
            </w:pPr>
          </w:p>
        </w:tc>
      </w:tr>
      <w:tr>
        <w:trPr>
          <w:trHeight w:hRule="exact" w:val="326"/>
        </w:trPr>
        <w:tc>
          <w:tcPr>
            <w:tcW w:type="dxa" w:w="1932"/>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资产总额（元） </w:t>
                  </w:r>
                </w:p>
              </w:tc>
            </w:tr>
          </w:tbl>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73,360,044,058 </w:t>
            </w: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70,432,562,294 </w:t>
            </w:r>
          </w:p>
        </w:tc>
        <w:tc>
          <w:tcPr>
            <w:tcW w:type="dxa" w:w="193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72" w:after="0"/>
              <w:ind w:left="0" w:right="58" w:firstLine="0"/>
              <w:jc w:val="right"/>
            </w:pPr>
            <w:r>
              <w:rPr>
                <w:rFonts w:ascii="Times New Roman" w:hAnsi="Times New Roman" w:eastAsia="Times New Roman"/>
                <w:b w:val="0"/>
                <w:i w:val="0"/>
                <w:color w:val="000000"/>
                <w:sz w:val="18"/>
              </w:rPr>
              <w:t xml:space="preserve">4.16% </w:t>
            </w:r>
          </w:p>
        </w:tc>
        <w:tc>
          <w:tcPr>
            <w:tcW w:type="dxa" w:w="1930"/>
            <w:tcBorders>
              <w:start w:sz="2.400000000000091"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70,463,266,387 </w:t>
            </w:r>
          </w:p>
        </w:tc>
      </w:tr>
      <w:tr>
        <w:trPr>
          <w:trHeight w:hRule="exact" w:val="32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负债总额（元） </w:t>
                  </w:r>
                </w:p>
              </w:tc>
            </w:tr>
          </w:tbl>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55,818,044,824 </w:t>
            </w: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53,004,578,331 </w:t>
            </w:r>
          </w:p>
        </w:tc>
        <w:tc>
          <w:tcPr>
            <w:tcW w:type="dxa" w:w="1930"/>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70" w:after="0"/>
              <w:ind w:left="0" w:right="58" w:firstLine="0"/>
              <w:jc w:val="right"/>
            </w:pPr>
            <w:r>
              <w:rPr>
                <w:rFonts w:ascii="Times New Roman" w:hAnsi="Times New Roman" w:eastAsia="Times New Roman"/>
                <w:b w:val="0"/>
                <w:i w:val="0"/>
                <w:color w:val="000000"/>
                <w:sz w:val="18"/>
              </w:rPr>
              <w:t xml:space="preserve">5.31% </w:t>
            </w:r>
          </w:p>
        </w:tc>
        <w:tc>
          <w:tcPr>
            <w:tcW w:type="dxa" w:w="1930"/>
            <w:tcBorders>
              <w:start w:sz="2.400000000000091"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53,274,869,622 </w:t>
            </w:r>
          </w:p>
        </w:tc>
      </w:tr>
      <w:tr>
        <w:trPr>
          <w:trHeight w:hRule="exact" w:val="568"/>
        </w:trPr>
        <w:tc>
          <w:tcPr>
            <w:tcW w:type="dxa" w:w="1932"/>
            <w:tcBorders>
              <w:start w:sz="2.3999999999999773" w:val="single" w:color="#000000"/>
              <w:top w:sz="1.6000000000003638" w:val="single" w:color="#000000"/>
              <w:end w:sz="2.400000000000091"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所有者权益总额</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（元）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17,541,999,234 </w:t>
            </w:r>
          </w:p>
        </w:tc>
        <w:tc>
          <w:tcPr>
            <w:tcW w:type="dxa" w:w="1928"/>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17,427,983,963 </w:t>
            </w:r>
          </w:p>
        </w:tc>
        <w:tc>
          <w:tcPr>
            <w:tcW w:type="dxa" w:w="1930"/>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94" w:after="0"/>
              <w:ind w:left="0" w:right="58" w:firstLine="0"/>
              <w:jc w:val="right"/>
            </w:pPr>
            <w:r>
              <w:rPr>
                <w:rFonts w:ascii="Times New Roman" w:hAnsi="Times New Roman" w:eastAsia="Times New Roman"/>
                <w:b w:val="0"/>
                <w:i w:val="0"/>
                <w:color w:val="000000"/>
                <w:sz w:val="18"/>
              </w:rPr>
              <w:t xml:space="preserve">0.65% </w:t>
            </w:r>
          </w:p>
        </w:tc>
        <w:tc>
          <w:tcPr>
            <w:tcW w:type="dxa" w:w="1930"/>
            <w:tcBorders>
              <w:start w:sz="2.400000000000091"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17,188,396,765 </w:t>
            </w:r>
          </w:p>
        </w:tc>
      </w:tr>
    </w:tbl>
    <w:p>
      <w:pPr>
        <w:autoSpaceDN w:val="0"/>
        <w:autoSpaceDE w:val="0"/>
        <w:widowControl/>
        <w:spacing w:line="180" w:lineRule="exact" w:before="556" w:after="0"/>
        <w:ind w:left="112" w:right="0" w:firstLine="0"/>
        <w:jc w:val="left"/>
      </w:pPr>
      <w:r>
        <w:rPr>
          <w:rFonts w:ascii="宋体" w:hAnsi="宋体" w:eastAsia="宋体"/>
          <w:b w:val="0"/>
          <w:i w:val="0"/>
          <w:color w:val="000000"/>
          <w:sz w:val="18"/>
        </w:rPr>
        <w:t>公司最近三个会计年度扣除非经常性损益前后净利润孰低者均为负值，且最近一年审计报告显示公司持续经营能力存在</w:t>
      </w:r>
    </w:p>
    <w:p>
      <w:pPr>
        <w:autoSpaceDN w:val="0"/>
        <w:autoSpaceDE w:val="0"/>
        <w:widowControl/>
        <w:spacing w:line="180" w:lineRule="exact" w:before="160" w:after="0"/>
        <w:ind w:left="112" w:right="0" w:firstLine="0"/>
        <w:jc w:val="left"/>
      </w:pPr>
      <w:r>
        <w:rPr>
          <w:rFonts w:ascii="宋体" w:hAnsi="宋体" w:eastAsia="宋体"/>
          <w:b w:val="0"/>
          <w:i w:val="0"/>
          <w:color w:val="000000"/>
          <w:sz w:val="18"/>
        </w:rPr>
        <w:t xml:space="preserve">不确定性 </w:t>
      </w:r>
    </w:p>
    <w:p>
      <w:pPr>
        <w:autoSpaceDN w:val="0"/>
        <w:autoSpaceDE w:val="0"/>
        <w:widowControl/>
        <w:spacing w:line="180" w:lineRule="exact" w:before="260" w:after="0"/>
        <w:ind w:left="112" w:right="0" w:firstLine="0"/>
        <w:jc w:val="left"/>
      </w:pPr>
      <w:r>
        <w:rPr>
          <w:rFonts w:ascii="宋体" w:hAnsi="宋体" w:eastAsia="宋体"/>
          <w:b w:val="0"/>
          <w:i w:val="0"/>
          <w:color w:val="000000"/>
          <w:sz w:val="18"/>
        </w:rPr>
        <w:t xml:space="preserve">□是 √否 </w:t>
      </w:r>
    </w:p>
    <w:p>
      <w:pPr>
        <w:autoSpaceDN w:val="0"/>
        <w:autoSpaceDE w:val="0"/>
        <w:widowControl/>
        <w:spacing w:line="197" w:lineRule="auto" w:before="756" w:after="0"/>
        <w:ind w:left="0" w:right="4738" w:firstLine="0"/>
        <w:jc w:val="right"/>
      </w:pPr>
      <w:r>
        <w:rPr>
          <w:rFonts w:ascii="Calibri" w:hAnsi="Calibri" w:eastAsia="Calibri"/>
          <w:b w:val="0"/>
          <w:i w:val="0"/>
          <w:color w:val="000000"/>
          <w:sz w:val="18"/>
        </w:rPr>
        <w:t xml:space="preserve">21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24" name="Picture 2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180" w:lineRule="exact" w:before="130" w:after="0"/>
        <w:ind w:left="112" w:right="0" w:firstLine="0"/>
        <w:jc w:val="left"/>
      </w:pPr>
      <w:r>
        <w:rPr>
          <w:rFonts w:ascii="宋体" w:hAnsi="宋体" w:eastAsia="宋体"/>
          <w:b w:val="0"/>
          <w:i w:val="0"/>
          <w:color w:val="000000"/>
          <w:sz w:val="18"/>
        </w:rPr>
        <w:t xml:space="preserve">扣除非经常损益前后的净利润孰低者为负值 </w:t>
      </w:r>
    </w:p>
    <w:p>
      <w:pPr>
        <w:autoSpaceDN w:val="0"/>
        <w:autoSpaceDE w:val="0"/>
        <w:widowControl/>
        <w:spacing w:line="180" w:lineRule="exact" w:before="260" w:after="0"/>
        <w:ind w:left="112" w:right="0" w:firstLine="0"/>
        <w:jc w:val="left"/>
      </w:pPr>
      <w:r>
        <w:rPr>
          <w:rFonts w:ascii="宋体" w:hAnsi="宋体" w:eastAsia="宋体"/>
          <w:b w:val="0"/>
          <w:i w:val="0"/>
          <w:color w:val="000000"/>
          <w:sz w:val="18"/>
        </w:rPr>
        <w:t xml:space="preserve">□是 √否 </w:t>
      </w:r>
    </w:p>
    <w:p>
      <w:pPr>
        <w:autoSpaceDN w:val="0"/>
        <w:autoSpaceDE w:val="0"/>
        <w:widowControl/>
        <w:spacing w:line="180" w:lineRule="exact" w:before="518" w:after="126"/>
        <w:ind w:left="112" w:right="0" w:firstLine="0"/>
        <w:jc w:val="left"/>
      </w:pPr>
      <w:r>
        <w:rPr>
          <w:rFonts w:ascii="宋体" w:hAnsi="宋体" w:eastAsia="宋体"/>
          <w:b w:val="0"/>
          <w:i w:val="0"/>
          <w:color w:val="000000"/>
          <w:sz w:val="18"/>
        </w:rPr>
        <w:t>截止披露前一交易日的公司总股本：</w:t>
      </w:r>
    </w:p>
    <w:tbl>
      <w:tblPr>
        <w:tblW w:type="auto" w:w="0"/>
        <w:tblLayout w:type="fixed"/>
        <w:tblLook w:firstColumn="1" w:firstRow="1" w:lastColumn="0" w:lastRow="0" w:noHBand="0" w:noVBand="1" w:val="04A0"/>
        <w:tblInd w:w="2.0000000000000284" w:type="dxa"/>
      </w:tblPr>
      <w:tblGrid>
        <w:gridCol w:w="4899"/>
        <w:gridCol w:w="4899"/>
      </w:tblGrid>
      <w:tr>
        <w:trPr>
          <w:trHeight w:hRule="exact" w:val="324"/>
        </w:trPr>
        <w:tc>
          <w:tcPr>
            <w:tcW w:type="dxa" w:w="4824"/>
            <w:tcBorders>
              <w:start w:sz="2.3999999999999773" w:val="single" w:color="#000000"/>
              <w:top w:sz="1.599999999999909"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截止披露前一交易日的公司总股本（股） </w:t>
            </w:r>
          </w:p>
        </w:tc>
        <w:tc>
          <w:tcPr>
            <w:tcW w:type="dxa" w:w="4824"/>
            <w:tcBorders>
              <w:start w:sz="1.599999999999909" w:val="single" w:color="#000000"/>
              <w:top w:sz="1.599999999999909" w:val="single" w:color="#000000"/>
              <w:end w:sz="2.399999999999636" w:val="single" w:color="#000000"/>
              <w:bottom w:sz="1.6000000000001364" w:val="single" w:color="#000000"/>
            </w:tcBorders>
            <w:tcMar>
              <w:start w:w="0" w:type="dxa"/>
              <w:end w:w="0" w:type="dxa"/>
            </w:tcMar>
          </w:tcPr>
          <w:p>
            <w:pPr>
              <w:autoSpaceDN w:val="0"/>
              <w:autoSpaceDE w:val="0"/>
              <w:widowControl/>
              <w:spacing w:line="230" w:lineRule="auto" w:before="74" w:after="0"/>
              <w:ind w:left="0" w:right="58" w:firstLine="0"/>
              <w:jc w:val="right"/>
            </w:pPr>
            <w:r>
              <w:rPr>
                <w:rFonts w:ascii="Times New Roman" w:hAnsi="Times New Roman" w:eastAsia="Times New Roman"/>
                <w:b w:val="0"/>
                <w:i w:val="0"/>
                <w:color w:val="000000"/>
                <w:sz w:val="18"/>
              </w:rPr>
              <w:t xml:space="preserve">3,589,771,547 </w:t>
            </w:r>
          </w:p>
        </w:tc>
      </w:tr>
    </w:tbl>
    <w:p>
      <w:pPr>
        <w:autoSpaceDN w:val="0"/>
        <w:autoSpaceDE w:val="0"/>
        <w:widowControl/>
        <w:spacing w:line="180" w:lineRule="exact" w:before="136" w:after="126"/>
        <w:ind w:left="112" w:right="0" w:firstLine="0"/>
        <w:jc w:val="left"/>
      </w:pPr>
      <w:r>
        <w:rPr>
          <w:rFonts w:ascii="宋体" w:hAnsi="宋体" w:eastAsia="宋体"/>
          <w:b w:val="0"/>
          <w:i w:val="0"/>
          <w:color w:val="000000"/>
          <w:sz w:val="18"/>
        </w:rPr>
        <w:t>用最新股本计算的全面摊薄每股收益：</w:t>
      </w:r>
    </w:p>
    <w:tbl>
      <w:tblPr>
        <w:tblW w:type="auto" w:w="0"/>
        <w:tblLayout w:type="fixed"/>
        <w:tblLook w:firstColumn="1" w:firstRow="1" w:lastColumn="0" w:lastRow="0" w:noHBand="0" w:noVBand="1" w:val="04A0"/>
        <w:tblInd w:w="2.0000000000000284" w:type="dxa"/>
      </w:tblPr>
      <w:tblGrid>
        <w:gridCol w:w="4899"/>
        <w:gridCol w:w="4899"/>
      </w:tblGrid>
      <w:tr>
        <w:trPr>
          <w:trHeight w:hRule="exact" w:val="322"/>
        </w:trPr>
        <w:tc>
          <w:tcPr>
            <w:tcW w:type="dxa" w:w="4824"/>
            <w:tcBorders>
              <w:start w:sz="2.3999999999999773"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74" w:after="0"/>
              <w:ind w:left="108" w:right="0" w:firstLine="0"/>
              <w:jc w:val="left"/>
            </w:pPr>
            <w:r>
              <w:rPr>
                <w:rFonts w:ascii="宋体" w:hAnsi="宋体" w:eastAsia="宋体"/>
                <w:b w:val="0"/>
                <w:i w:val="0"/>
                <w:color w:val="000000"/>
                <w:sz w:val="18"/>
              </w:rPr>
              <w:t xml:space="preserve">支付的优先股股利 </w:t>
            </w:r>
          </w:p>
        </w:tc>
        <w:tc>
          <w:tcPr>
            <w:tcW w:type="dxa" w:w="4824"/>
            <w:tcBorders>
              <w:start w:sz="1.599999999999909"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74" w:after="0"/>
              <w:ind w:left="0" w:right="12" w:firstLine="0"/>
              <w:jc w:val="right"/>
            </w:pPr>
            <w:r>
              <w:rPr>
                <w:rFonts w:ascii="宋体" w:hAnsi="宋体" w:eastAsia="宋体"/>
                <w:b w:val="0"/>
                <w:i w:val="0"/>
                <w:color w:val="000000"/>
                <w:sz w:val="18"/>
              </w:rPr>
              <w:t xml:space="preserve">- </w:t>
            </w:r>
          </w:p>
        </w:tc>
      </w:tr>
      <w:tr>
        <w:trPr>
          <w:trHeight w:hRule="exact" w:val="326"/>
        </w:trPr>
        <w:tc>
          <w:tcPr>
            <w:tcW w:type="dxa" w:w="4824"/>
            <w:tcBorders>
              <w:start w:sz="2.3999999999999773" w:val="single" w:color="#000000"/>
              <w:top w:sz="2.400000000000091" w:val="single" w:color="#000000"/>
              <w:end w:sz="1.599999999999909" w:val="single" w:color="#000000"/>
              <w:bottom w:sz="2.3999999999998636" w:val="single" w:color="#000000"/>
            </w:tcBorders>
            <w:shd w:fill="d2d2d2"/>
            <w:tcMar>
              <w:start w:w="0" w:type="dxa"/>
              <w:end w:w="0" w:type="dxa"/>
            </w:tcMar>
          </w:tcPr>
          <w:p>
            <w:pPr>
              <w:autoSpaceDN w:val="0"/>
              <w:autoSpaceDE w:val="0"/>
              <w:widowControl/>
              <w:spacing w:line="180" w:lineRule="exact" w:before="74" w:after="0"/>
              <w:ind w:left="108" w:right="0" w:firstLine="0"/>
              <w:jc w:val="left"/>
            </w:pPr>
            <w:r>
              <w:rPr>
                <w:rFonts w:ascii="宋体" w:hAnsi="宋体" w:eastAsia="宋体"/>
                <w:b w:val="0"/>
                <w:i w:val="0"/>
                <w:color w:val="000000"/>
                <w:sz w:val="18"/>
              </w:rPr>
              <w:t xml:space="preserve">支付的永续债利息（元） </w:t>
            </w:r>
          </w:p>
        </w:tc>
        <w:tc>
          <w:tcPr>
            <w:tcW w:type="dxa" w:w="4824"/>
            <w:tcBorders>
              <w:start w:sz="1.599999999999909" w:val="single" w:color="#000000"/>
              <w:top w:sz="2.400000000000091" w:val="single" w:color="#000000"/>
              <w:end w:sz="2.399999999999636" w:val="single" w:color="#000000"/>
              <w:bottom w:sz="2.3999999999998636" w:val="single" w:color="#000000"/>
            </w:tcBorders>
            <w:tcMar>
              <w:start w:w="0" w:type="dxa"/>
              <w:end w:w="0" w:type="dxa"/>
            </w:tcMar>
          </w:tcPr>
          <w:p>
            <w:pPr>
              <w:autoSpaceDN w:val="0"/>
              <w:autoSpaceDE w:val="0"/>
              <w:widowControl/>
              <w:spacing w:line="180" w:lineRule="exact" w:before="78" w:after="0"/>
              <w:ind w:left="0" w:right="12" w:firstLine="0"/>
              <w:jc w:val="right"/>
            </w:pPr>
            <w:r>
              <w:rPr>
                <w:rFonts w:ascii="宋体" w:hAnsi="宋体" w:eastAsia="宋体"/>
                <w:b w:val="0"/>
                <w:i w:val="0"/>
                <w:color w:val="000000"/>
                <w:sz w:val="18"/>
              </w:rPr>
              <w:t xml:space="preserve">- </w:t>
            </w:r>
          </w:p>
        </w:tc>
      </w:tr>
      <w:tr>
        <w:trPr>
          <w:trHeight w:hRule="exact" w:val="326"/>
        </w:trPr>
        <w:tc>
          <w:tcPr>
            <w:tcW w:type="dxa" w:w="4824"/>
            <w:tcBorders>
              <w:start w:sz="2.3999999999999773" w:val="single" w:color="#000000"/>
              <w:top w:sz="2.3999999999998636"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用最新股本计算的全面摊薄每股收益（元/股） </w:t>
            </w:r>
          </w:p>
        </w:tc>
        <w:tc>
          <w:tcPr>
            <w:tcW w:type="dxa" w:w="4824"/>
            <w:tcBorders>
              <w:start w:sz="1.599999999999909" w:val="single" w:color="#000000"/>
              <w:top w:sz="2.3999999999998636"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70" w:after="0"/>
              <w:ind w:left="0" w:right="58" w:firstLine="0"/>
              <w:jc w:val="right"/>
            </w:pPr>
            <w:r>
              <w:rPr>
                <w:rFonts w:ascii="Times New Roman" w:hAnsi="Times New Roman" w:eastAsia="Times New Roman"/>
                <w:b w:val="0"/>
                <w:i w:val="0"/>
                <w:color w:val="000000"/>
                <w:sz w:val="18"/>
              </w:rPr>
              <w:t xml:space="preserve">0.20 </w:t>
            </w:r>
          </w:p>
        </w:tc>
      </w:tr>
    </w:tbl>
    <w:p>
      <w:pPr>
        <w:autoSpaceDN w:val="0"/>
        <w:autoSpaceDE w:val="0"/>
        <w:widowControl/>
        <w:spacing w:line="240" w:lineRule="exact" w:before="348" w:after="0"/>
        <w:ind w:left="112" w:right="0" w:firstLine="0"/>
        <w:jc w:val="left"/>
      </w:pPr>
      <w:r>
        <w:rPr>
          <w:rFonts w:ascii="宋体" w:hAnsi="宋体" w:eastAsia="宋体"/>
          <w:b w:val="0"/>
          <w:i w:val="0"/>
          <w:color w:val="000000"/>
          <w:sz w:val="24"/>
        </w:rPr>
        <w:t xml:space="preserve">十、境内外会计准则下会计数据差异 </w:t>
      </w:r>
    </w:p>
    <w:p>
      <w:pPr>
        <w:autoSpaceDN w:val="0"/>
        <w:autoSpaceDE w:val="0"/>
        <w:widowControl/>
        <w:spacing w:line="210" w:lineRule="exact" w:before="372" w:after="0"/>
        <w:ind w:left="112" w:right="0" w:firstLine="0"/>
        <w:jc w:val="left"/>
      </w:pPr>
      <w:r>
        <w:rPr>
          <w:rFonts w:ascii="宋体" w:hAnsi="宋体" w:eastAsia="宋体"/>
          <w:b w:val="0"/>
          <w:i w:val="0"/>
          <w:color w:val="000000"/>
          <w:sz w:val="21"/>
        </w:rPr>
        <w:t xml:space="preserve">1、同时按照国际会计准则与按照中国会计准则披露的财务报告中净利润和净资产差异情况 </w:t>
      </w:r>
    </w:p>
    <w:p>
      <w:pPr>
        <w:autoSpaceDN w:val="0"/>
        <w:autoSpaceDE w:val="0"/>
        <w:widowControl/>
        <w:spacing w:line="180" w:lineRule="exact" w:before="364"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0"/>
        <w:ind w:left="112" w:right="0" w:firstLine="0"/>
        <w:jc w:val="left"/>
      </w:pPr>
      <w:r>
        <w:rPr>
          <w:rFonts w:ascii="宋体" w:hAnsi="宋体" w:eastAsia="宋体"/>
          <w:b w:val="0"/>
          <w:i w:val="0"/>
          <w:color w:val="000000"/>
          <w:sz w:val="18"/>
        </w:rPr>
        <w:t xml:space="preserve">公司报告期不存在按照国际会计准则与按照中国会计准则披露的财务报告中净利润和净资产差异情况。 </w:t>
      </w:r>
    </w:p>
    <w:p>
      <w:pPr>
        <w:autoSpaceDN w:val="0"/>
        <w:autoSpaceDE w:val="0"/>
        <w:widowControl/>
        <w:spacing w:line="212" w:lineRule="exact" w:before="366" w:after="0"/>
        <w:ind w:left="112" w:right="0" w:firstLine="0"/>
        <w:jc w:val="left"/>
      </w:pPr>
      <w:r>
        <w:rPr>
          <w:rFonts w:ascii="宋体" w:hAnsi="宋体" w:eastAsia="宋体"/>
          <w:b w:val="0"/>
          <w:i w:val="0"/>
          <w:color w:val="000000"/>
          <w:sz w:val="21"/>
        </w:rPr>
        <w:t xml:space="preserve">2、同时按照境外会计准则与按照中国会计准则披露的财务报告中净利润和净资产差异情况 </w:t>
      </w:r>
    </w:p>
    <w:p>
      <w:pPr>
        <w:autoSpaceDN w:val="0"/>
        <w:autoSpaceDE w:val="0"/>
        <w:widowControl/>
        <w:spacing w:line="180" w:lineRule="exact" w:before="360"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2" w:after="0"/>
        <w:ind w:left="112" w:right="0" w:firstLine="0"/>
        <w:jc w:val="left"/>
      </w:pPr>
      <w:r>
        <w:rPr>
          <w:rFonts w:ascii="宋体" w:hAnsi="宋体" w:eastAsia="宋体"/>
          <w:b w:val="0"/>
          <w:i w:val="0"/>
          <w:color w:val="000000"/>
          <w:sz w:val="18"/>
        </w:rPr>
        <w:t xml:space="preserve">公司报告期不存在按照境外会计准则与按照中国会计准则披露的财务报告中净利润和净资产差异情况。 </w:t>
      </w:r>
    </w:p>
    <w:p>
      <w:pPr>
        <w:autoSpaceDN w:val="0"/>
        <w:autoSpaceDE w:val="0"/>
        <w:widowControl/>
        <w:spacing w:line="212" w:lineRule="exact" w:before="368" w:after="0"/>
        <w:ind w:left="112" w:right="0" w:firstLine="0"/>
        <w:jc w:val="left"/>
      </w:pPr>
      <w:r>
        <w:rPr>
          <w:rFonts w:ascii="宋体" w:hAnsi="宋体" w:eastAsia="宋体"/>
          <w:b w:val="0"/>
          <w:i w:val="0"/>
          <w:color w:val="000000"/>
          <w:sz w:val="21"/>
        </w:rPr>
        <w:t xml:space="preserve">3、境内外会计准则下会计数据差异原因说明 </w:t>
      </w:r>
    </w:p>
    <w:p>
      <w:pPr>
        <w:autoSpaceDN w:val="0"/>
        <w:autoSpaceDE w:val="0"/>
        <w:widowControl/>
        <w:spacing w:line="180" w:lineRule="exact" w:before="360"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112" w:right="0" w:firstLine="0"/>
        <w:jc w:val="left"/>
      </w:pPr>
      <w:r>
        <w:rPr>
          <w:rFonts w:ascii="宋体" w:hAnsi="宋体" w:eastAsia="宋体"/>
          <w:b w:val="0"/>
          <w:i w:val="0"/>
          <w:color w:val="000000"/>
          <w:sz w:val="24"/>
        </w:rPr>
        <w:t xml:space="preserve">十一、分季度主要财务指标 </w:t>
      </w:r>
    </w:p>
    <w:p>
      <w:pPr>
        <w:autoSpaceDN w:val="0"/>
        <w:autoSpaceDE w:val="0"/>
        <w:widowControl/>
        <w:spacing w:line="180" w:lineRule="exact" w:before="366" w:after="0"/>
        <w:ind w:left="112" w:right="0" w:firstLine="0"/>
        <w:jc w:val="left"/>
      </w:pPr>
      <w:r>
        <w:rPr>
          <w:rFonts w:ascii="宋体" w:hAnsi="宋体" w:eastAsia="宋体"/>
          <w:b w:val="0"/>
          <w:i w:val="0"/>
          <w:color w:val="000000"/>
          <w:sz w:val="18"/>
        </w:rPr>
        <w:t xml:space="preserve">合并 </w:t>
      </w:r>
    </w:p>
    <w:p>
      <w:pPr>
        <w:autoSpaceDN w:val="0"/>
        <w:autoSpaceDE w:val="0"/>
        <w:widowControl/>
        <w:spacing w:line="180" w:lineRule="exact" w:before="182" w:after="144"/>
        <w:ind w:left="0" w:right="144"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960"/>
        <w:gridCol w:w="1960"/>
        <w:gridCol w:w="1960"/>
        <w:gridCol w:w="1960"/>
        <w:gridCol w:w="1960"/>
      </w:tblGrid>
      <w:tr>
        <w:trPr>
          <w:trHeight w:hRule="exact" w:val="32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06" w:firstLine="0"/>
                    <w:jc w:val="right"/>
                  </w:pPr>
                  <w:r>
                    <w:rPr>
                      <w:rFonts w:ascii="宋体" w:hAnsi="宋体" w:eastAsia="宋体"/>
                      <w:b w:val="0"/>
                      <w:i w:val="0"/>
                      <w:color w:val="000000"/>
                      <w:sz w:val="18"/>
                    </w:rPr>
                    <w:t xml:space="preserve">第一季度 </w:t>
                  </w:r>
                </w:p>
              </w:tc>
            </w:tr>
          </w:tbl>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0"/>
              </w:trPr>
              <w:tc>
                <w:tcPr>
                  <w:tcW w:type="dxa" w:w="1714"/>
                  <w:tcBorders/>
                  <w:shd w:fill="d2d2d2"/>
                  <w:tcMar>
                    <w:start w:w="0" w:type="dxa"/>
                    <w:end w:w="0" w:type="dxa"/>
                  </w:tcMar>
                </w:tcPr>
                <w:p>
                  <w:pPr>
                    <w:autoSpaceDN w:val="0"/>
                    <w:autoSpaceDE w:val="0"/>
                    <w:widowControl/>
                    <w:spacing w:line="180" w:lineRule="exact" w:before="76" w:after="0"/>
                    <w:ind w:left="0" w:right="408" w:firstLine="0"/>
                    <w:jc w:val="right"/>
                  </w:pPr>
                  <w:r>
                    <w:rPr>
                      <w:rFonts w:ascii="宋体" w:hAnsi="宋体" w:eastAsia="宋体"/>
                      <w:b w:val="0"/>
                      <w:i w:val="0"/>
                      <w:color w:val="000000"/>
                      <w:sz w:val="18"/>
                    </w:rPr>
                    <w:t xml:space="preserve">第二季度 </w:t>
                  </w:r>
                </w:p>
              </w:tc>
            </w:tr>
          </w:tbl>
          <w:p>
            <w:pPr>
              <w:autoSpaceDN w:val="0"/>
              <w:autoSpaceDE w:val="0"/>
              <w:widowControl/>
              <w:spacing w:line="14" w:lineRule="exact" w:before="0" w:after="0"/>
              <w:ind w:left="0" w:right="0"/>
            </w:pPr>
          </w:p>
        </w:tc>
        <w:tc>
          <w:tcPr>
            <w:tcW w:type="dxa" w:w="1930"/>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1930"/>
            </w:tblGrid>
            <w:tr>
              <w:trPr>
                <w:trHeight w:hRule="exact" w:val="300"/>
              </w:trPr>
              <w:tc>
                <w:tcPr>
                  <w:tcW w:type="dxa" w:w="1712"/>
                  <w:tcBorders/>
                  <w:shd w:fill="d2d2d2"/>
                  <w:tcMar>
                    <w:start w:w="0" w:type="dxa"/>
                    <w:end w:w="0" w:type="dxa"/>
                  </w:tcMar>
                </w:tcPr>
                <w:p>
                  <w:pPr>
                    <w:autoSpaceDN w:val="0"/>
                    <w:autoSpaceDE w:val="0"/>
                    <w:widowControl/>
                    <w:spacing w:line="180" w:lineRule="exact" w:before="76" w:after="0"/>
                    <w:ind w:left="0" w:right="404" w:firstLine="0"/>
                    <w:jc w:val="right"/>
                  </w:pPr>
                  <w:r>
                    <w:rPr>
                      <w:rFonts w:ascii="宋体" w:hAnsi="宋体" w:eastAsia="宋体"/>
                      <w:b w:val="0"/>
                      <w:i w:val="0"/>
                      <w:color w:val="000000"/>
                      <w:sz w:val="18"/>
                    </w:rPr>
                    <w:t xml:space="preserve">第三季度 </w:t>
                  </w:r>
                </w:p>
              </w:tc>
            </w:tr>
          </w:tbl>
          <w:p>
            <w:pPr>
              <w:autoSpaceDN w:val="0"/>
              <w:autoSpaceDE w:val="0"/>
              <w:widowControl/>
              <w:spacing w:line="14" w:lineRule="exact" w:before="0" w:after="0"/>
              <w:ind w:left="0" w:right="0"/>
            </w:pPr>
          </w:p>
        </w:tc>
        <w:tc>
          <w:tcPr>
            <w:tcW w:type="dxa" w:w="1930"/>
            <w:tcBorders>
              <w:start w:sz="2.400000000000091" w:val="single" w:color="#000000"/>
              <w:top w:sz="1.5999999999994543" w:val="single" w:color="#000000"/>
              <w:end w:sz="2.399999999999636"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0"/>
              </w:trPr>
              <w:tc>
                <w:tcPr>
                  <w:tcW w:type="dxa" w:w="1710"/>
                  <w:tcBorders/>
                  <w:shd w:fill="d2d2d2"/>
                  <w:tcMar>
                    <w:start w:w="0" w:type="dxa"/>
                    <w:end w:w="0" w:type="dxa"/>
                  </w:tcMar>
                </w:tcPr>
                <w:p>
                  <w:pPr>
                    <w:autoSpaceDN w:val="0"/>
                    <w:autoSpaceDE w:val="0"/>
                    <w:widowControl/>
                    <w:spacing w:line="180" w:lineRule="exact" w:before="76" w:after="0"/>
                    <w:ind w:left="0" w:right="404" w:firstLine="0"/>
                    <w:jc w:val="right"/>
                  </w:pPr>
                  <w:r>
                    <w:rPr>
                      <w:rFonts w:ascii="宋体" w:hAnsi="宋体" w:eastAsia="宋体"/>
                      <w:b w:val="0"/>
                      <w:i w:val="0"/>
                      <w:color w:val="000000"/>
                      <w:sz w:val="18"/>
                    </w:rPr>
                    <w:t xml:space="preserve">第四季度 </w:t>
                  </w:r>
                </w:p>
              </w:tc>
            </w:tr>
          </w:tbl>
          <w:p>
            <w:pPr>
              <w:autoSpaceDN w:val="0"/>
              <w:autoSpaceDE w:val="0"/>
              <w:widowControl/>
              <w:spacing w:line="14" w:lineRule="exact" w:before="0" w:after="0"/>
              <w:ind w:left="0" w:right="0"/>
            </w:pPr>
          </w:p>
        </w:tc>
      </w:tr>
      <w:tr>
        <w:trPr>
          <w:trHeight w:hRule="exact" w:val="326"/>
        </w:trPr>
        <w:tc>
          <w:tcPr>
            <w:tcW w:type="dxa" w:w="1932"/>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营业总收入 </w:t>
                  </w:r>
                </w:p>
              </w:tc>
            </w:tr>
          </w:tbl>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631,429,731 </w:t>
            </w: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 768,419,929 </w:t>
            </w:r>
          </w:p>
        </w:tc>
        <w:tc>
          <w:tcPr>
            <w:tcW w:type="dxa" w:w="193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766,333,620 </w:t>
            </w:r>
          </w:p>
        </w:tc>
        <w:tc>
          <w:tcPr>
            <w:tcW w:type="dxa" w:w="1930"/>
            <w:tcBorders>
              <w:start w:sz="2.400000000000091"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 985,891,927 </w:t>
            </w:r>
          </w:p>
        </w:tc>
      </w:tr>
      <w:tr>
        <w:trPr>
          <w:trHeight w:hRule="exact" w:val="56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归属于上市公司股东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的净利润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158,560,105 </w:t>
            </w: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60" w:firstLine="0"/>
              <w:jc w:val="right"/>
            </w:pPr>
            <w:r>
              <w:rPr>
                <w:rFonts w:ascii="Times New Roman" w:hAnsi="Times New Roman" w:eastAsia="Times New Roman"/>
                <w:b w:val="0"/>
                <w:i w:val="0"/>
                <w:color w:val="000000"/>
                <w:sz w:val="18"/>
              </w:rPr>
              <w:t xml:space="preserve"> 160,085,707 </w:t>
            </w:r>
          </w:p>
        </w:tc>
        <w:tc>
          <w:tcPr>
            <w:tcW w:type="dxa" w:w="1930"/>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214,217,075 </w:t>
            </w:r>
          </w:p>
        </w:tc>
        <w:tc>
          <w:tcPr>
            <w:tcW w:type="dxa" w:w="1930"/>
            <w:tcBorders>
              <w:start w:sz="2.400000000000091"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178" w:after="0"/>
              <w:ind w:left="0" w:right="60" w:firstLine="0"/>
              <w:jc w:val="right"/>
            </w:pPr>
            <w:r>
              <w:rPr>
                <w:rFonts w:ascii="Times New Roman" w:hAnsi="Times New Roman" w:eastAsia="Times New Roman"/>
                <w:b w:val="0"/>
                <w:i w:val="0"/>
                <w:color w:val="000000"/>
                <w:sz w:val="18"/>
              </w:rPr>
              <w:t xml:space="preserve"> 178,968,960 </w:t>
            </w:r>
          </w:p>
        </w:tc>
      </w:tr>
      <w:tr>
        <w:trPr>
          <w:trHeight w:hRule="exact" w:val="806"/>
        </w:trPr>
        <w:tc>
          <w:tcPr>
            <w:tcW w:type="dxa" w:w="1932"/>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归属于上市公司股东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的扣除非经常性损益</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的净利润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300" w:after="0"/>
              <w:ind w:left="0" w:right="58" w:firstLine="0"/>
              <w:jc w:val="right"/>
            </w:pPr>
            <w:r>
              <w:rPr>
                <w:rFonts w:ascii="Times New Roman" w:hAnsi="Times New Roman" w:eastAsia="Times New Roman"/>
                <w:b w:val="0"/>
                <w:i w:val="0"/>
                <w:color w:val="000000"/>
                <w:sz w:val="18"/>
              </w:rPr>
              <w:t xml:space="preserve">153,983,020 </w:t>
            </w:r>
          </w:p>
        </w:tc>
        <w:tc>
          <w:tcPr>
            <w:tcW w:type="dxa" w:w="1928"/>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300" w:after="0"/>
              <w:ind w:left="0" w:right="60" w:firstLine="0"/>
              <w:jc w:val="right"/>
            </w:pPr>
            <w:r>
              <w:rPr>
                <w:rFonts w:ascii="Times New Roman" w:hAnsi="Times New Roman" w:eastAsia="Times New Roman"/>
                <w:b w:val="0"/>
                <w:i w:val="0"/>
                <w:color w:val="000000"/>
                <w:sz w:val="18"/>
              </w:rPr>
              <w:t xml:space="preserve"> 160,528,841 </w:t>
            </w:r>
          </w:p>
        </w:tc>
        <w:tc>
          <w:tcPr>
            <w:tcW w:type="dxa" w:w="193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300" w:after="0"/>
              <w:ind w:left="0" w:right="58" w:firstLine="0"/>
              <w:jc w:val="right"/>
            </w:pPr>
            <w:r>
              <w:rPr>
                <w:rFonts w:ascii="Times New Roman" w:hAnsi="Times New Roman" w:eastAsia="Times New Roman"/>
                <w:b w:val="0"/>
                <w:i w:val="0"/>
                <w:color w:val="000000"/>
                <w:sz w:val="18"/>
              </w:rPr>
              <w:t xml:space="preserve">207,075,496 </w:t>
            </w:r>
          </w:p>
        </w:tc>
        <w:tc>
          <w:tcPr>
            <w:tcW w:type="dxa" w:w="1930"/>
            <w:tcBorders>
              <w:start w:sz="2.400000000000091"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300" w:after="0"/>
              <w:ind w:left="0" w:right="60" w:firstLine="0"/>
              <w:jc w:val="right"/>
            </w:pPr>
            <w:r>
              <w:rPr>
                <w:rFonts w:ascii="Times New Roman" w:hAnsi="Times New Roman" w:eastAsia="Times New Roman"/>
                <w:b w:val="0"/>
                <w:i w:val="0"/>
                <w:color w:val="000000"/>
                <w:sz w:val="18"/>
              </w:rPr>
              <w:t xml:space="preserve"> 179,530,791 </w:t>
            </w:r>
          </w:p>
        </w:tc>
      </w:tr>
      <w:tr>
        <w:trPr>
          <w:trHeight w:hRule="exact" w:val="56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经营活动产生的现金</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流量净额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1,272,722,110 </w:t>
            </w:r>
          </w:p>
        </w:tc>
        <w:tc>
          <w:tcPr>
            <w:tcW w:type="dxa" w:w="1928"/>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60" w:firstLine="0"/>
              <w:jc w:val="right"/>
            </w:pPr>
            <w:r>
              <w:rPr>
                <w:rFonts w:ascii="Times New Roman" w:hAnsi="Times New Roman" w:eastAsia="Times New Roman"/>
                <w:b w:val="0"/>
                <w:i w:val="0"/>
                <w:color w:val="000000"/>
                <w:sz w:val="18"/>
              </w:rPr>
              <w:t xml:space="preserve"> 1,307,591,643 </w:t>
            </w:r>
          </w:p>
        </w:tc>
        <w:tc>
          <w:tcPr>
            <w:tcW w:type="dxa" w:w="1930"/>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5,228,907,896 </w:t>
            </w:r>
          </w:p>
        </w:tc>
        <w:tc>
          <w:tcPr>
            <w:tcW w:type="dxa" w:w="1930"/>
            <w:tcBorders>
              <w:start w:sz="2.400000000000091"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257,153,933 </w:t>
            </w:r>
          </w:p>
        </w:tc>
      </w:tr>
    </w:tbl>
    <w:p>
      <w:pPr>
        <w:autoSpaceDN w:val="0"/>
        <w:autoSpaceDE w:val="0"/>
        <w:widowControl/>
        <w:spacing w:line="180" w:lineRule="exact" w:before="136" w:after="0"/>
        <w:ind w:left="112" w:right="0" w:firstLine="0"/>
        <w:jc w:val="left"/>
      </w:pPr>
      <w:r>
        <w:rPr>
          <w:rFonts w:ascii="宋体" w:hAnsi="宋体" w:eastAsia="宋体"/>
          <w:b w:val="0"/>
          <w:i w:val="0"/>
          <w:color w:val="000000"/>
          <w:sz w:val="18"/>
        </w:rPr>
        <w:t xml:space="preserve">母公司 </w:t>
      </w:r>
    </w:p>
    <w:p>
      <w:pPr>
        <w:autoSpaceDN w:val="0"/>
        <w:autoSpaceDE w:val="0"/>
        <w:widowControl/>
        <w:spacing w:line="180" w:lineRule="exact" w:before="180" w:after="146"/>
        <w:ind w:left="0" w:right="144"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960"/>
        <w:gridCol w:w="1960"/>
        <w:gridCol w:w="1960"/>
        <w:gridCol w:w="1960"/>
        <w:gridCol w:w="1960"/>
      </w:tblGrid>
      <w:tr>
        <w:trPr>
          <w:trHeight w:hRule="exact" w:val="324"/>
        </w:trPr>
        <w:tc>
          <w:tcPr>
            <w:tcW w:type="dxa" w:w="1932"/>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510" w:firstLine="0"/>
              <w:jc w:val="right"/>
            </w:pPr>
            <w:r>
              <w:rPr>
                <w:rFonts w:ascii="宋体" w:hAnsi="宋体" w:eastAsia="宋体"/>
                <w:b w:val="0"/>
                <w:i w:val="0"/>
                <w:color w:val="000000"/>
                <w:sz w:val="18"/>
              </w:rPr>
              <w:t xml:space="preserve">第一季度 </w:t>
            </w:r>
          </w:p>
        </w:tc>
        <w:tc>
          <w:tcPr>
            <w:tcW w:type="dxa" w:w="1928"/>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510" w:firstLine="0"/>
              <w:jc w:val="right"/>
            </w:pPr>
            <w:r>
              <w:rPr>
                <w:rFonts w:ascii="宋体" w:hAnsi="宋体" w:eastAsia="宋体"/>
                <w:b w:val="0"/>
                <w:i w:val="0"/>
                <w:color w:val="000000"/>
                <w:sz w:val="18"/>
              </w:rPr>
              <w:t xml:space="preserve">第二季度 </w:t>
            </w:r>
          </w:p>
        </w:tc>
        <w:tc>
          <w:tcPr>
            <w:tcW w:type="dxa" w:w="1930"/>
            <w:tcBorders>
              <w:start w:sz="2.400000000000091" w:val="single" w:color="#000000"/>
              <w:top w:sz="1.5999999999994543"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510" w:firstLine="0"/>
              <w:jc w:val="right"/>
            </w:pPr>
            <w:r>
              <w:rPr>
                <w:rFonts w:ascii="宋体" w:hAnsi="宋体" w:eastAsia="宋体"/>
                <w:b w:val="0"/>
                <w:i w:val="0"/>
                <w:color w:val="000000"/>
                <w:sz w:val="18"/>
              </w:rPr>
              <w:t xml:space="preserve">第三季度 </w:t>
            </w:r>
          </w:p>
        </w:tc>
        <w:tc>
          <w:tcPr>
            <w:tcW w:type="dxa" w:w="1930"/>
            <w:tcBorders>
              <w:start w:sz="2.400000000000091" w:val="single" w:color="#000000"/>
              <w:top w:sz="1.5999999999994543"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510" w:firstLine="0"/>
              <w:jc w:val="right"/>
            </w:pPr>
            <w:r>
              <w:rPr>
                <w:rFonts w:ascii="宋体" w:hAnsi="宋体" w:eastAsia="宋体"/>
                <w:b w:val="0"/>
                <w:i w:val="0"/>
                <w:color w:val="000000"/>
                <w:sz w:val="18"/>
              </w:rPr>
              <w:t xml:space="preserve">第四季度 </w:t>
            </w:r>
          </w:p>
        </w:tc>
      </w:tr>
      <w:tr>
        <w:trPr>
          <w:trHeight w:hRule="exact" w:val="326"/>
        </w:trPr>
        <w:tc>
          <w:tcPr>
            <w:tcW w:type="dxa" w:w="1932"/>
            <w:tcBorders>
              <w:start w:sz="2.3999999999999773"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营业总收入 </w:t>
            </w:r>
          </w:p>
        </w:tc>
        <w:tc>
          <w:tcPr>
            <w:tcW w:type="dxa" w:w="1928"/>
            <w:tcBorders>
              <w:start w:sz="2.400000000000091"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 325,103,957 </w:t>
            </w:r>
          </w:p>
        </w:tc>
        <w:tc>
          <w:tcPr>
            <w:tcW w:type="dxa" w:w="1928"/>
            <w:tcBorders>
              <w:start w:sz="2.400000000000091"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 524,291,621 </w:t>
            </w:r>
          </w:p>
        </w:tc>
        <w:tc>
          <w:tcPr>
            <w:tcW w:type="dxa" w:w="1930"/>
            <w:tcBorders>
              <w:start w:sz="2.400000000000091"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 459,800,991 </w:t>
            </w:r>
          </w:p>
        </w:tc>
        <w:tc>
          <w:tcPr>
            <w:tcW w:type="dxa" w:w="1930"/>
            <w:tcBorders>
              <w:start w:sz="2.400000000000091" w:val="single" w:color="#000000"/>
              <w:top w:sz="1.6000000000003638" w:val="single" w:color="#000000"/>
              <w:end w:sz="2.399999999999636" w:val="single" w:color="#000000"/>
              <w:bottom w:sz="2.399999999999636" w:val="single" w:color="#000000"/>
            </w:tcBorders>
            <w:shd w:fill="d2d2d2"/>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 779,934,001 </w:t>
            </w:r>
          </w:p>
        </w:tc>
      </w:tr>
    </w:tbl>
    <w:p>
      <w:pPr>
        <w:autoSpaceDN w:val="0"/>
        <w:autoSpaceDE w:val="0"/>
        <w:widowControl/>
        <w:spacing w:line="197" w:lineRule="auto" w:before="464" w:after="0"/>
        <w:ind w:left="0" w:right="4738" w:firstLine="0"/>
        <w:jc w:val="right"/>
      </w:pPr>
      <w:r>
        <w:rPr>
          <w:rFonts w:ascii="Calibri" w:hAnsi="Calibri" w:eastAsia="Calibri"/>
          <w:b w:val="0"/>
          <w:i w:val="0"/>
          <w:color w:val="000000"/>
          <w:sz w:val="18"/>
        </w:rPr>
        <w:t xml:space="preserve">22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25" name="Picture 2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00000000000284" w:type="dxa"/>
      </w:tblPr>
      <w:tblGrid>
        <w:gridCol w:w="1633"/>
        <w:gridCol w:w="1633"/>
        <w:gridCol w:w="1633"/>
        <w:gridCol w:w="1633"/>
        <w:gridCol w:w="1633"/>
        <w:gridCol w:w="1633"/>
      </w:tblGrid>
      <w:tr>
        <w:trPr>
          <w:trHeight w:hRule="exact" w:val="324"/>
        </w:trPr>
        <w:tc>
          <w:tcPr>
            <w:tcW w:type="dxa" w:w="1932"/>
            <w:tcBorders>
              <w:start w:sz="2.3999999999999773" w:val="single" w:color="#000000"/>
              <w:top w:sz="1.6000000000000227" w:val="single" w:color="#000000"/>
              <w:end w:sz="2.400000000000091" w:val="single" w:color="#000000"/>
              <w:bottom w:sz="1.6000000000000227"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净利润 </w:t>
            </w:r>
          </w:p>
        </w:tc>
        <w:tc>
          <w:tcPr>
            <w:tcW w:type="dxa" w:w="1928"/>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3" w:lineRule="auto" w:before="54" w:after="0"/>
              <w:ind w:left="0" w:right="58" w:firstLine="0"/>
              <w:jc w:val="right"/>
            </w:pPr>
            <w:r>
              <w:rPr>
                <w:rFonts w:ascii="Times New Roman" w:hAnsi="Times New Roman" w:eastAsia="Times New Roman"/>
                <w:b w:val="0"/>
                <w:i w:val="0"/>
                <w:color w:val="000000"/>
                <w:sz w:val="18"/>
              </w:rPr>
              <w:t xml:space="preserve"> 67,177,893 </w:t>
            </w:r>
          </w:p>
        </w:tc>
        <w:tc>
          <w:tcPr>
            <w:tcW w:type="dxa" w:w="1928"/>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3" w:lineRule="auto" w:before="54" w:after="0"/>
              <w:ind w:left="0" w:right="60" w:firstLine="0"/>
              <w:jc w:val="right"/>
            </w:pPr>
            <w:r>
              <w:rPr>
                <w:rFonts w:ascii="Times New Roman" w:hAnsi="Times New Roman" w:eastAsia="Times New Roman"/>
                <w:b w:val="0"/>
                <w:i w:val="0"/>
                <w:color w:val="000000"/>
                <w:sz w:val="18"/>
              </w:rPr>
              <w:t xml:space="preserve"> 193,859,609 </w:t>
            </w:r>
          </w:p>
        </w:tc>
        <w:tc>
          <w:tcPr>
            <w:tcW w:type="dxa" w:w="1930"/>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33" w:lineRule="auto" w:before="54" w:after="0"/>
              <w:ind w:left="0" w:right="60" w:firstLine="0"/>
              <w:jc w:val="right"/>
            </w:pPr>
            <w:r>
              <w:rPr>
                <w:rFonts w:ascii="Times New Roman" w:hAnsi="Times New Roman" w:eastAsia="Times New Roman"/>
                <w:b w:val="0"/>
                <w:i w:val="0"/>
                <w:color w:val="000000"/>
                <w:sz w:val="18"/>
              </w:rPr>
              <w:t xml:space="preserve"> 121,704,537 </w:t>
            </w:r>
          </w:p>
        </w:tc>
        <w:tc>
          <w:tcPr>
            <w:tcW w:type="dxa" w:w="1930"/>
            <w:tcBorders>
              <w:start w:sz="2.400000000000091" w:val="single" w:color="#000000"/>
              <w:top w:sz="5.600000000000023" w:val="single" w:color="#000000"/>
              <w:end w:sz="2.399999999999636" w:val="single" w:color="#000000"/>
              <w:bottom w:sz="1.6000000000000227" w:val="single" w:color="#000000"/>
            </w:tcBorders>
            <w:tcMar>
              <w:start w:w="0" w:type="dxa"/>
              <w:end w:w="0" w:type="dxa"/>
            </w:tcMar>
          </w:tcPr>
          <w:p>
            <w:pPr>
              <w:autoSpaceDN w:val="0"/>
              <w:autoSpaceDE w:val="0"/>
              <w:widowControl/>
              <w:spacing w:line="233" w:lineRule="auto" w:before="54" w:after="0"/>
              <w:ind w:left="0" w:right="60" w:firstLine="0"/>
              <w:jc w:val="right"/>
            </w:pPr>
            <w:r>
              <w:rPr>
                <w:rFonts w:ascii="Times New Roman" w:hAnsi="Times New Roman" w:eastAsia="Times New Roman"/>
                <w:b w:val="0"/>
                <w:i w:val="0"/>
                <w:color w:val="000000"/>
                <w:sz w:val="18"/>
              </w:rPr>
              <w:t xml:space="preserve"> 237,425,417 </w:t>
            </w:r>
          </w:p>
        </w:tc>
        <w:tc>
          <w:tcPr>
            <w:tcW w:type="dxa" w:w="128"/>
            <w:vMerge w:val="restart"/>
            <w:tcBorders>
              <w:start w:sz="2.399999999999636" w:val="single" w:color="#000000"/>
              <w:top w:sz="5.600000000000023" w:val="single" w:color="#000000"/>
            </w:tcBorders>
            <w:tcMar>
              <w:start w:w="0" w:type="dxa"/>
              <w:end w:w="0" w:type="dxa"/>
            </w:tcMar>
            <w:tcMar>
              <w:start w:w="0" w:type="dxa"/>
              <w:end w:w="0" w:type="dxa"/>
            </w:tcMar>
            <w:tcMar>
              <w:start w:w="0" w:type="dxa"/>
              <w:end w:w="0" w:type="dxa"/>
            </w:tcMar>
          </w:tcPr>
          <w:p/>
        </w:tc>
      </w:tr>
      <w:tr>
        <w:trPr>
          <w:trHeight w:hRule="exact" w:val="568"/>
        </w:trPr>
        <w:tc>
          <w:tcPr>
            <w:tcW w:type="dxa" w:w="1932"/>
            <w:tcBorders>
              <w:start w:sz="2.3999999999999773" w:val="single" w:color="#000000"/>
              <w:top w:sz="1.6000000000000227" w:val="single" w:color="#000000"/>
              <w:end w:sz="2.400000000000091" w:val="single" w:color="#000000"/>
              <w:bottom w:sz="2.3999999999999773" w:val="single" w:color="#000000"/>
            </w:tcBorders>
            <w:shd w:fill="d2d2d2"/>
            <w:tcMar>
              <w:start w:w="0" w:type="dxa"/>
              <w:end w:w="0" w:type="dxa"/>
            </w:tcMar>
          </w:tcPr>
          <w:p>
            <w:pPr>
              <w:autoSpaceDN w:val="0"/>
              <w:autoSpaceDE w:val="0"/>
              <w:widowControl/>
              <w:spacing w:line="240" w:lineRule="exact" w:before="16" w:after="0"/>
              <w:ind w:left="108" w:right="144" w:firstLine="0"/>
              <w:jc w:val="left"/>
            </w:pPr>
            <w:r>
              <w:rPr>
                <w:rFonts w:ascii="宋体" w:hAnsi="宋体" w:eastAsia="宋体"/>
                <w:b w:val="0"/>
                <w:i w:val="0"/>
                <w:color w:val="000000"/>
                <w:sz w:val="18"/>
              </w:rPr>
              <w:t>扣除非经常性损益的</w:t>
            </w:r>
            <w:r>
              <w:rPr>
                <w:rFonts w:ascii="宋体" w:hAnsi="宋体" w:eastAsia="宋体"/>
                <w:b w:val="0"/>
                <w:i w:val="0"/>
                <w:color w:val="000000"/>
                <w:sz w:val="18"/>
              </w:rPr>
              <w:t xml:space="preserve">净利润 </w:t>
            </w:r>
          </w:p>
        </w:tc>
        <w:tc>
          <w:tcPr>
            <w:tcW w:type="dxa" w:w="1928"/>
            <w:tcBorders>
              <w:start w:sz="2.400000000000091" w:val="single" w:color="#000000"/>
              <w:top w:sz="1.6000000000000227" w:val="single" w:color="#000000"/>
              <w:end w:sz="2.400000000000091" w:val="single" w:color="#000000"/>
              <w:bottom w:sz="2.3999999999999773"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 63,960,464 </w:t>
            </w:r>
          </w:p>
        </w:tc>
        <w:tc>
          <w:tcPr>
            <w:tcW w:type="dxa" w:w="1928"/>
            <w:tcBorders>
              <w:start w:sz="2.400000000000091" w:val="single" w:color="#000000"/>
              <w:top w:sz="1.6000000000000227" w:val="single" w:color="#000000"/>
              <w:end w:sz="2.400000000000091" w:val="single" w:color="#000000"/>
              <w:bottom w:sz="2.3999999999999773" w:val="single" w:color="#000000"/>
            </w:tcBorders>
            <w:tcMar>
              <w:start w:w="0" w:type="dxa"/>
              <w:end w:w="0" w:type="dxa"/>
            </w:tcMar>
          </w:tcPr>
          <w:p>
            <w:pPr>
              <w:autoSpaceDN w:val="0"/>
              <w:autoSpaceDE w:val="0"/>
              <w:widowControl/>
              <w:spacing w:line="230" w:lineRule="auto" w:before="182" w:after="0"/>
              <w:ind w:left="0" w:right="60" w:firstLine="0"/>
              <w:jc w:val="right"/>
            </w:pPr>
            <w:r>
              <w:rPr>
                <w:rFonts w:ascii="Times New Roman" w:hAnsi="Times New Roman" w:eastAsia="Times New Roman"/>
                <w:b w:val="0"/>
                <w:i w:val="0"/>
                <w:color w:val="000000"/>
                <w:sz w:val="18"/>
              </w:rPr>
              <w:t xml:space="preserve"> 193,937,816 </w:t>
            </w:r>
          </w:p>
        </w:tc>
        <w:tc>
          <w:tcPr>
            <w:tcW w:type="dxa" w:w="1930"/>
            <w:tcBorders>
              <w:start w:sz="2.400000000000091" w:val="single" w:color="#000000"/>
              <w:top w:sz="1.6000000000000227" w:val="single" w:color="#000000"/>
              <w:end w:sz="2.400000000000091" w:val="single" w:color="#000000"/>
              <w:bottom w:sz="2.3999999999999773" w:val="single" w:color="#000000"/>
            </w:tcBorders>
            <w:tcMar>
              <w:start w:w="0" w:type="dxa"/>
              <w:end w:w="0" w:type="dxa"/>
            </w:tcMar>
          </w:tcPr>
          <w:p>
            <w:pPr>
              <w:autoSpaceDN w:val="0"/>
              <w:autoSpaceDE w:val="0"/>
              <w:widowControl/>
              <w:spacing w:line="230" w:lineRule="auto" w:before="182" w:after="0"/>
              <w:ind w:left="0" w:right="58" w:firstLine="0"/>
              <w:jc w:val="right"/>
            </w:pPr>
            <w:r>
              <w:rPr>
                <w:rFonts w:ascii="Times New Roman" w:hAnsi="Times New Roman" w:eastAsia="Times New Roman"/>
                <w:b w:val="0"/>
                <w:i w:val="0"/>
                <w:color w:val="000000"/>
                <w:sz w:val="18"/>
              </w:rPr>
              <w:t xml:space="preserve">122,132,719 </w:t>
            </w:r>
          </w:p>
        </w:tc>
        <w:tc>
          <w:tcPr>
            <w:tcW w:type="dxa" w:w="1930"/>
            <w:tcBorders>
              <w:start w:sz="2.400000000000091" w:val="single" w:color="#000000"/>
              <w:top w:sz="1.6000000000000227" w:val="single" w:color="#000000"/>
              <w:end w:sz="2.399999999999636" w:val="single" w:color="#000000"/>
              <w:bottom w:sz="2.3999999999999773" w:val="single" w:color="#000000"/>
            </w:tcBorders>
            <w:tcMar>
              <w:start w:w="0" w:type="dxa"/>
              <w:end w:w="0" w:type="dxa"/>
            </w:tcMar>
          </w:tcPr>
          <w:p>
            <w:pPr>
              <w:autoSpaceDN w:val="0"/>
              <w:autoSpaceDE w:val="0"/>
              <w:widowControl/>
              <w:spacing w:line="230" w:lineRule="auto" w:before="182" w:after="0"/>
              <w:ind w:left="0" w:right="60" w:firstLine="0"/>
              <w:jc w:val="right"/>
            </w:pPr>
            <w:r>
              <w:rPr>
                <w:rFonts w:ascii="Times New Roman" w:hAnsi="Times New Roman" w:eastAsia="Times New Roman"/>
                <w:b w:val="0"/>
                <w:i w:val="0"/>
                <w:color w:val="000000"/>
                <w:sz w:val="18"/>
              </w:rPr>
              <w:t xml:space="preserve"> 237,823,652 </w:t>
            </w:r>
          </w:p>
        </w:tc>
        <w:tc>
          <w:tcPr>
            <w:tcW w:type="dxa" w:w="1633"/>
            <w:vMerge/>
            <w:tcBorders>
              <w:start w:sz="2.399999999999636" w:val="single" w:color="#000000"/>
              <w:top w:sz="5.600000000000023" w:val="single" w:color="#000000"/>
            </w:tcBorders>
          </w:tcPr>
          <w:p/>
        </w:tc>
      </w:tr>
      <w:tr>
        <w:trPr>
          <w:trHeight w:hRule="exact" w:val="562"/>
        </w:trPr>
        <w:tc>
          <w:tcPr>
            <w:tcW w:type="dxa" w:w="1932"/>
            <w:tcBorders>
              <w:start w:sz="2.3999999999999773" w:val="single" w:color="#000000"/>
              <w:top w:sz="2.3999999999999773"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38" w:lineRule="exact" w:before="16" w:after="0"/>
              <w:ind w:left="108" w:right="144" w:firstLine="0"/>
              <w:jc w:val="left"/>
            </w:pPr>
            <w:r>
              <w:rPr>
                <w:rFonts w:ascii="宋体" w:hAnsi="宋体" w:eastAsia="宋体"/>
                <w:b w:val="0"/>
                <w:i w:val="0"/>
                <w:color w:val="000000"/>
                <w:sz w:val="18"/>
              </w:rPr>
              <w:t>经营活动产生的现金</w:t>
            </w:r>
            <w:r>
              <w:rPr>
                <w:rFonts w:ascii="宋体" w:hAnsi="宋体" w:eastAsia="宋体"/>
                <w:b w:val="0"/>
                <w:i w:val="0"/>
                <w:color w:val="000000"/>
                <w:sz w:val="18"/>
              </w:rPr>
              <w:t xml:space="preserve">流量净额 </w:t>
            </w:r>
          </w:p>
        </w:tc>
        <w:tc>
          <w:tcPr>
            <w:tcW w:type="dxa" w:w="1928"/>
            <w:tcBorders>
              <w:start w:sz="2.400000000000091" w:val="single" w:color="#000000"/>
              <w:top w:sz="2.3999999999999773"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60" w:firstLine="0"/>
              <w:jc w:val="right"/>
            </w:pPr>
            <w:r>
              <w:rPr>
                <w:rFonts w:ascii="Times New Roman" w:hAnsi="Times New Roman" w:eastAsia="Times New Roman"/>
                <w:b w:val="0"/>
                <w:i w:val="0"/>
                <w:color w:val="000000"/>
                <w:sz w:val="18"/>
              </w:rPr>
              <w:t xml:space="preserve"> 2,259,098,381 </w:t>
            </w:r>
          </w:p>
        </w:tc>
        <w:tc>
          <w:tcPr>
            <w:tcW w:type="dxa" w:w="1928"/>
            <w:tcBorders>
              <w:start w:sz="2.400000000000091" w:val="single" w:color="#000000"/>
              <w:top w:sz="2.3999999999999773"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60" w:firstLine="0"/>
              <w:jc w:val="right"/>
            </w:pPr>
            <w:r>
              <w:rPr>
                <w:rFonts w:ascii="Times New Roman" w:hAnsi="Times New Roman" w:eastAsia="Times New Roman"/>
                <w:b w:val="0"/>
                <w:i w:val="0"/>
                <w:color w:val="000000"/>
                <w:sz w:val="18"/>
              </w:rPr>
              <w:t xml:space="preserve"> 1,905,835,577 </w:t>
            </w:r>
          </w:p>
        </w:tc>
        <w:tc>
          <w:tcPr>
            <w:tcW w:type="dxa" w:w="1930"/>
            <w:tcBorders>
              <w:start w:sz="2.400000000000091" w:val="single" w:color="#000000"/>
              <w:top w:sz="2.3999999999999773"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78" w:after="0"/>
              <w:ind w:left="0" w:right="60" w:firstLine="0"/>
              <w:jc w:val="right"/>
            </w:pPr>
            <w:r>
              <w:rPr>
                <w:rFonts w:ascii="Times New Roman" w:hAnsi="Times New Roman" w:eastAsia="Times New Roman"/>
                <w:b w:val="0"/>
                <w:i w:val="0"/>
                <w:color w:val="000000"/>
                <w:sz w:val="18"/>
              </w:rPr>
              <w:t xml:space="preserve"> 499,699,168 </w:t>
            </w:r>
          </w:p>
        </w:tc>
        <w:tc>
          <w:tcPr>
            <w:tcW w:type="dxa" w:w="1930"/>
            <w:tcBorders>
              <w:start w:sz="2.400000000000091" w:val="single" w:color="#000000"/>
              <w:top w:sz="2.3999999999999773"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78" w:after="0"/>
              <w:ind w:left="0" w:right="60" w:firstLine="0"/>
              <w:jc w:val="right"/>
            </w:pPr>
            <w:r>
              <w:rPr>
                <w:rFonts w:ascii="Times New Roman" w:hAnsi="Times New Roman" w:eastAsia="Times New Roman"/>
                <w:b w:val="0"/>
                <w:i w:val="0"/>
                <w:color w:val="000000"/>
                <w:sz w:val="18"/>
              </w:rPr>
              <w:t xml:space="preserve"> 2,650,031,754 </w:t>
            </w:r>
          </w:p>
        </w:tc>
        <w:tc>
          <w:tcPr>
            <w:tcW w:type="dxa" w:w="1633"/>
            <w:vMerge/>
            <w:tcBorders>
              <w:start w:sz="2.399999999999636" w:val="single" w:color="#000000"/>
              <w:top w:sz="5.600000000000023" w:val="single" w:color="#000000"/>
            </w:tcBorders>
          </w:tcPr>
          <w:p/>
        </w:tc>
      </w:tr>
    </w:tbl>
    <w:p>
      <w:pPr>
        <w:autoSpaceDN w:val="0"/>
        <w:autoSpaceDE w:val="0"/>
        <w:widowControl/>
        <w:spacing w:line="328" w:lineRule="exact" w:before="0" w:after="0"/>
        <w:ind w:left="112" w:right="2160" w:firstLine="0"/>
        <w:jc w:val="left"/>
      </w:pPr>
      <w:r>
        <w:rPr>
          <w:rFonts w:ascii="宋体" w:hAnsi="宋体" w:eastAsia="宋体"/>
          <w:b w:val="0"/>
          <w:i w:val="0"/>
          <w:color w:val="000000"/>
          <w:sz w:val="18"/>
        </w:rPr>
        <w:t xml:space="preserve">上述财务指标或其加总数是否与公司已披露季度报告、半年度报告相关财务指标存在重大差异 </w:t>
      </w:r>
      <w:r>
        <w:rPr>
          <w:rFonts w:ascii="宋体" w:hAnsi="宋体" w:eastAsia="宋体"/>
          <w:b w:val="0"/>
          <w:i w:val="0"/>
          <w:color w:val="000000"/>
          <w:sz w:val="18"/>
        </w:rPr>
        <w:t xml:space="preserve">□是 √否 </w:t>
      </w:r>
    </w:p>
    <w:p>
      <w:pPr>
        <w:autoSpaceDN w:val="0"/>
        <w:autoSpaceDE w:val="0"/>
        <w:widowControl/>
        <w:spacing w:line="240" w:lineRule="exact" w:before="376" w:after="0"/>
        <w:ind w:left="112" w:right="0" w:firstLine="0"/>
        <w:jc w:val="left"/>
      </w:pPr>
      <w:r>
        <w:rPr>
          <w:rFonts w:ascii="宋体" w:hAnsi="宋体" w:eastAsia="宋体"/>
          <w:b w:val="0"/>
          <w:i w:val="0"/>
          <w:color w:val="000000"/>
          <w:sz w:val="24"/>
        </w:rPr>
        <w:t xml:space="preserve">十二、非经常性损益项目及金额 </w:t>
      </w:r>
    </w:p>
    <w:p>
      <w:pPr>
        <w:autoSpaceDN w:val="0"/>
        <w:tabs>
          <w:tab w:pos="8844" w:val="left"/>
        </w:tabs>
        <w:autoSpaceDE w:val="0"/>
        <w:widowControl/>
        <w:spacing w:line="338" w:lineRule="exact" w:before="208" w:after="126"/>
        <w:ind w:left="112" w:right="144" w:firstLine="0"/>
        <w:jc w:val="left"/>
      </w:pPr>
      <w:r>
        <w:rPr>
          <w:rFonts w:ascii="宋体" w:hAnsi="宋体" w:eastAsia="宋体"/>
          <w:b w:val="0"/>
          <w:i w:val="0"/>
          <w:color w:val="000000"/>
          <w:sz w:val="18"/>
        </w:rPr>
        <w:t xml:space="preserve">√适用 □不适用 </w:t>
      </w:r>
      <w:r>
        <w:br/>
      </w:r>
      <w:r>
        <w:tab/>
      </w: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960"/>
        <w:gridCol w:w="1960"/>
        <w:gridCol w:w="1960"/>
        <w:gridCol w:w="1960"/>
        <w:gridCol w:w="1960"/>
      </w:tblGrid>
      <w:tr>
        <w:trPr>
          <w:trHeight w:hRule="exact" w:val="328"/>
        </w:trPr>
        <w:tc>
          <w:tcPr>
            <w:tcW w:type="dxa" w:w="1932"/>
            <w:tcBorders>
              <w:start w:sz="2.3999999999999773"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584" w:firstLine="0"/>
                    <w:jc w:val="right"/>
                  </w:pPr>
                  <w:r>
                    <w:rPr>
                      <w:rFonts w:ascii="宋体" w:hAnsi="宋体" w:eastAsia="宋体"/>
                      <w:b w:val="0"/>
                      <w:i w:val="0"/>
                      <w:color w:val="000000"/>
                      <w:sz w:val="18"/>
                    </w:rPr>
                    <w:t xml:space="preserve">项目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928"/>
            </w:tblGrid>
            <w:tr>
              <w:trPr>
                <w:trHeight w:hRule="exact" w:val="302"/>
              </w:trPr>
              <w:tc>
                <w:tcPr>
                  <w:tcW w:type="dxa" w:w="1714"/>
                  <w:tcBorders/>
                  <w:shd w:fill="d2d2d2"/>
                  <w:tcMar>
                    <w:start w:w="0" w:type="dxa"/>
                    <w:end w:w="0" w:type="dxa"/>
                  </w:tcMar>
                </w:tcPr>
                <w:p>
                  <w:pPr>
                    <w:autoSpaceDN w:val="0"/>
                    <w:autoSpaceDE w:val="0"/>
                    <w:widowControl/>
                    <w:spacing w:line="180" w:lineRule="exact" w:before="76" w:after="0"/>
                    <w:ind w:left="386" w:right="0" w:firstLine="0"/>
                    <w:jc w:val="left"/>
                  </w:pPr>
                  <w:r>
                    <w:rPr>
                      <w:rFonts w:ascii="宋体" w:hAnsi="宋体" w:eastAsia="宋体"/>
                      <w:b w:val="0"/>
                      <w:i w:val="0"/>
                      <w:color w:val="000000"/>
                      <w:sz w:val="18"/>
                    </w:rPr>
                    <w:t xml:space="preserve">2024 年金额 </w:t>
                  </w:r>
                </w:p>
              </w:tc>
            </w:tr>
          </w:tbl>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1928"/>
            </w:tblGrid>
            <w:tr>
              <w:trPr>
                <w:trHeight w:hRule="exact" w:val="302"/>
              </w:trPr>
              <w:tc>
                <w:tcPr>
                  <w:tcW w:type="dxa" w:w="1714"/>
                  <w:tcBorders/>
                  <w:shd w:fill="d2d2d2"/>
                  <w:tcMar>
                    <w:start w:w="0" w:type="dxa"/>
                    <w:end w:w="0" w:type="dxa"/>
                  </w:tcMar>
                </w:tcPr>
                <w:p>
                  <w:pPr>
                    <w:autoSpaceDN w:val="0"/>
                    <w:autoSpaceDE w:val="0"/>
                    <w:widowControl/>
                    <w:spacing w:line="180" w:lineRule="exact" w:before="76" w:after="0"/>
                    <w:ind w:left="384" w:right="0" w:firstLine="0"/>
                    <w:jc w:val="left"/>
                  </w:pPr>
                  <w:r>
                    <w:rPr>
                      <w:rFonts w:ascii="宋体" w:hAnsi="宋体" w:eastAsia="宋体"/>
                      <w:b w:val="0"/>
                      <w:i w:val="0"/>
                      <w:color w:val="000000"/>
                      <w:sz w:val="18"/>
                    </w:rPr>
                    <w:t xml:space="preserve">2023 年金额 </w:t>
                  </w:r>
                </w:p>
              </w:tc>
            </w:tr>
          </w:tbl>
          <w:p>
            <w:pPr>
              <w:autoSpaceDN w:val="0"/>
              <w:autoSpaceDE w:val="0"/>
              <w:widowControl/>
              <w:spacing w:line="14" w:lineRule="exact" w:before="0" w:after="0"/>
              <w:ind w:left="0" w:right="0"/>
            </w:pPr>
          </w:p>
        </w:tc>
        <w:tc>
          <w:tcPr>
            <w:tcW w:type="dxa" w:w="1930"/>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1930"/>
            </w:tblGrid>
            <w:tr>
              <w:trPr>
                <w:trHeight w:hRule="exact" w:val="302"/>
              </w:trPr>
              <w:tc>
                <w:tcPr>
                  <w:tcW w:type="dxa" w:w="1712"/>
                  <w:tcBorders/>
                  <w:shd w:fill="d2d2d2"/>
                  <w:tcMar>
                    <w:start w:w="0" w:type="dxa"/>
                    <w:end w:w="0" w:type="dxa"/>
                  </w:tcMar>
                </w:tcPr>
                <w:p>
                  <w:pPr>
                    <w:autoSpaceDN w:val="0"/>
                    <w:autoSpaceDE w:val="0"/>
                    <w:widowControl/>
                    <w:spacing w:line="180" w:lineRule="exact" w:before="76" w:after="0"/>
                    <w:ind w:left="386" w:right="0" w:firstLine="0"/>
                    <w:jc w:val="left"/>
                  </w:pPr>
                  <w:r>
                    <w:rPr>
                      <w:rFonts w:ascii="宋体" w:hAnsi="宋体" w:eastAsia="宋体"/>
                      <w:b w:val="0"/>
                      <w:i w:val="0"/>
                      <w:color w:val="000000"/>
                      <w:sz w:val="18"/>
                    </w:rPr>
                    <w:t xml:space="preserve">2022 年金额 </w:t>
                  </w:r>
                </w:p>
              </w:tc>
            </w:tr>
          </w:tbl>
          <w:p>
            <w:pPr>
              <w:autoSpaceDN w:val="0"/>
              <w:autoSpaceDE w:val="0"/>
              <w:widowControl/>
              <w:spacing w:line="14" w:lineRule="exact" w:before="0" w:after="0"/>
              <w:ind w:left="0" w:right="0"/>
            </w:pPr>
          </w:p>
        </w:tc>
        <w:tc>
          <w:tcPr>
            <w:tcW w:type="dxa" w:w="1930"/>
            <w:tcBorders>
              <w:start w:sz="2.400000000000091" w:val="single" w:color="#000000"/>
              <w:top w:sz="1.599999999999909" w:val="single" w:color="#000000"/>
              <w:end w:sz="2.399999999999636"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10.0" w:type="dxa"/>
            </w:tblPr>
            <w:tblGrid>
              <w:gridCol w:w="1930"/>
            </w:tblGrid>
            <w:tr>
              <w:trPr>
                <w:trHeight w:hRule="exact" w:val="302"/>
              </w:trPr>
              <w:tc>
                <w:tcPr>
                  <w:tcW w:type="dxa" w:w="1710"/>
                  <w:tcBorders/>
                  <w:shd w:fill="d2d2d2"/>
                  <w:tcMar>
                    <w:start w:w="0" w:type="dxa"/>
                    <w:end w:w="0" w:type="dxa"/>
                  </w:tcMar>
                </w:tcPr>
                <w:p>
                  <w:pPr>
                    <w:autoSpaceDN w:val="0"/>
                    <w:autoSpaceDE w:val="0"/>
                    <w:widowControl/>
                    <w:spacing w:line="180" w:lineRule="exact" w:before="76" w:after="0"/>
                    <w:ind w:left="0" w:right="584" w:firstLine="0"/>
                    <w:jc w:val="right"/>
                  </w:pPr>
                  <w:r>
                    <w:rPr>
                      <w:rFonts w:ascii="宋体" w:hAnsi="宋体" w:eastAsia="宋体"/>
                      <w:b w:val="0"/>
                      <w:i w:val="0"/>
                      <w:color w:val="000000"/>
                      <w:sz w:val="18"/>
                    </w:rPr>
                    <w:t xml:space="preserve">说明 </w:t>
                  </w:r>
                </w:p>
              </w:tc>
            </w:tr>
          </w:tbl>
          <w:p>
            <w:pPr>
              <w:autoSpaceDN w:val="0"/>
              <w:autoSpaceDE w:val="0"/>
              <w:widowControl/>
              <w:spacing w:line="14" w:lineRule="exact" w:before="0" w:after="0"/>
              <w:ind w:left="0" w:right="0"/>
            </w:pPr>
          </w:p>
        </w:tc>
      </w:tr>
      <w:tr>
        <w:trPr>
          <w:trHeight w:hRule="exact" w:val="1042"/>
        </w:trPr>
        <w:tc>
          <w:tcPr>
            <w:tcW w:type="dxa" w:w="1932"/>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78"/>
              </w:trPr>
              <w:tc>
                <w:tcPr>
                  <w:tcW w:type="dxa" w:w="1710"/>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非流动性资产处置损</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益（包括已计提资产</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减值准备的冲销部</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0"/>
              </w:trPr>
              <w:tc>
                <w:tcPr>
                  <w:tcW w:type="dxa" w:w="1710"/>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分）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30" w:after="0"/>
              <w:ind w:left="0" w:right="58" w:firstLine="0"/>
              <w:jc w:val="right"/>
            </w:pPr>
            <w:r>
              <w:rPr>
                <w:rFonts w:ascii="Times New Roman" w:hAnsi="Times New Roman" w:eastAsia="Times New Roman"/>
                <w:b w:val="0"/>
                <w:i w:val="0"/>
                <w:color w:val="000000"/>
                <w:sz w:val="18"/>
              </w:rPr>
              <w:t xml:space="preserve">-414,796 </w:t>
            </w: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30" w:after="0"/>
              <w:ind w:left="0" w:right="58" w:firstLine="0"/>
              <w:jc w:val="right"/>
            </w:pPr>
            <w:r>
              <w:rPr>
                <w:rFonts w:ascii="Times New Roman" w:hAnsi="Times New Roman" w:eastAsia="Times New Roman"/>
                <w:b w:val="0"/>
                <w:i w:val="0"/>
                <w:color w:val="000000"/>
                <w:sz w:val="18"/>
              </w:rPr>
              <w:t xml:space="preserve">194,809 </w:t>
            </w:r>
          </w:p>
        </w:tc>
        <w:tc>
          <w:tcPr>
            <w:tcW w:type="dxa" w:w="1930"/>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30" w:after="0"/>
              <w:ind w:left="0" w:right="58" w:firstLine="0"/>
              <w:jc w:val="right"/>
            </w:pPr>
            <w:r>
              <w:rPr>
                <w:rFonts w:ascii="Times New Roman" w:hAnsi="Times New Roman" w:eastAsia="Times New Roman"/>
                <w:b w:val="0"/>
                <w:i w:val="0"/>
                <w:color w:val="000000"/>
                <w:sz w:val="18"/>
              </w:rPr>
              <w:t xml:space="preserve">-2,787,098 </w:t>
            </w:r>
          </w:p>
        </w:tc>
        <w:tc>
          <w:tcPr>
            <w:tcW w:type="dxa" w:w="193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434" w:after="0"/>
              <w:ind w:left="0" w:right="824" w:firstLine="0"/>
              <w:jc w:val="right"/>
            </w:pPr>
            <w:r>
              <w:rPr>
                <w:rFonts w:ascii="宋体" w:hAnsi="宋体" w:eastAsia="宋体"/>
                <w:b w:val="0"/>
                <w:i w:val="0"/>
                <w:color w:val="000000"/>
                <w:sz w:val="18"/>
              </w:rPr>
              <w:t xml:space="preserve">- </w:t>
            </w:r>
          </w:p>
        </w:tc>
      </w:tr>
      <w:tr>
        <w:trPr>
          <w:trHeight w:hRule="exact" w:val="2006"/>
        </w:trPr>
        <w:tc>
          <w:tcPr>
            <w:tcW w:type="dxa" w:w="1932"/>
            <w:tcBorders>
              <w:start w:sz="2.3999999999999773" w:val="single" w:color="#000000"/>
              <w:top w:sz="1.599999999999909" w:val="single" w:color="#000000"/>
              <w:end w:sz="2.400000000000091"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2"/>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计入当期损益的政府</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补助（与公司正常经</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营业务密切相关，符</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合国家政策规定、按</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照确定的标准享有、</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对公司损益产生持续</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影响的政府补助除</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58"/>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外）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902" w:after="0"/>
              <w:ind w:left="0" w:right="58" w:firstLine="0"/>
              <w:jc w:val="right"/>
            </w:pPr>
            <w:r>
              <w:rPr>
                <w:rFonts w:ascii="Times New Roman" w:hAnsi="Times New Roman" w:eastAsia="Times New Roman"/>
                <w:b w:val="0"/>
                <w:i w:val="0"/>
                <w:color w:val="000000"/>
                <w:sz w:val="18"/>
              </w:rPr>
              <w:t xml:space="preserve">19,095,634 </w:t>
            </w:r>
          </w:p>
        </w:tc>
        <w:tc>
          <w:tcPr>
            <w:tcW w:type="dxa" w:w="1928"/>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914" w:after="0"/>
              <w:ind w:left="0" w:right="58" w:firstLine="0"/>
              <w:jc w:val="right"/>
            </w:pPr>
            <w:r>
              <w:rPr>
                <w:rFonts w:ascii="Times New Roman" w:hAnsi="Times New Roman" w:eastAsia="Times New Roman"/>
                <w:b w:val="0"/>
                <w:i w:val="0"/>
                <w:color w:val="000000"/>
                <w:sz w:val="18"/>
              </w:rPr>
              <w:t xml:space="preserve">24,193,184 </w:t>
            </w:r>
          </w:p>
        </w:tc>
        <w:tc>
          <w:tcPr>
            <w:tcW w:type="dxa" w:w="1930"/>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914" w:after="0"/>
              <w:ind w:left="0" w:right="58" w:firstLine="0"/>
              <w:jc w:val="right"/>
            </w:pPr>
            <w:r>
              <w:rPr>
                <w:rFonts w:ascii="Times New Roman" w:hAnsi="Times New Roman" w:eastAsia="Times New Roman"/>
                <w:b w:val="0"/>
                <w:i w:val="0"/>
                <w:color w:val="000000"/>
                <w:sz w:val="18"/>
              </w:rPr>
              <w:t xml:space="preserve">18,778,899 </w:t>
            </w:r>
          </w:p>
        </w:tc>
        <w:tc>
          <w:tcPr>
            <w:tcW w:type="dxa" w:w="193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920" w:after="0"/>
              <w:ind w:left="0" w:right="824" w:firstLine="0"/>
              <w:jc w:val="right"/>
            </w:pPr>
            <w:r>
              <w:rPr>
                <w:rFonts w:ascii="宋体" w:hAnsi="宋体" w:eastAsia="宋体"/>
                <w:b w:val="0"/>
                <w:i w:val="0"/>
                <w:color w:val="000000"/>
                <w:sz w:val="18"/>
              </w:rPr>
              <w:t xml:space="preserve">- </w:t>
            </w:r>
          </w:p>
        </w:tc>
      </w:tr>
      <w:tr>
        <w:trPr>
          <w:trHeight w:hRule="exact" w:val="806"/>
        </w:trPr>
        <w:tc>
          <w:tcPr>
            <w:tcW w:type="dxa" w:w="1932"/>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单独进行减值测试的</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40"/>
              </w:trPr>
              <w:tc>
                <w:tcPr>
                  <w:tcW w:type="dxa" w:w="1710"/>
                  <w:tcBorders/>
                  <w:shd w:fill="d2d2d2"/>
                  <w:tcMar>
                    <w:start w:w="0" w:type="dxa"/>
                    <w:end w:w="0" w:type="dxa"/>
                  </w:tcMar>
                </w:tcPr>
                <w:p>
                  <w:pPr>
                    <w:autoSpaceDN w:val="0"/>
                    <w:autoSpaceDE w:val="0"/>
                    <w:widowControl/>
                    <w:spacing w:line="180" w:lineRule="exact" w:before="38" w:after="0"/>
                    <w:ind w:left="0" w:right="0" w:firstLine="0"/>
                    <w:jc w:val="left"/>
                  </w:pPr>
                  <w:r>
                    <w:rPr>
                      <w:rFonts w:ascii="宋体" w:hAnsi="宋体" w:eastAsia="宋体"/>
                      <w:b w:val="0"/>
                      <w:i w:val="0"/>
                      <w:color w:val="000000"/>
                      <w:sz w:val="18"/>
                    </w:rPr>
                    <w:t>应收款项减值准备转</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7.99999999999997" w:type="dxa"/>
            </w:tblPr>
            <w:tblGrid>
              <w:gridCol w:w="1932"/>
            </w:tblGrid>
            <w:tr>
              <w:trPr>
                <w:trHeight w:hRule="exact" w:val="262"/>
              </w:trPr>
              <w:tc>
                <w:tcPr>
                  <w:tcW w:type="dxa" w:w="1710"/>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回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312" w:after="0"/>
              <w:ind w:left="0" w:right="58" w:firstLine="0"/>
              <w:jc w:val="right"/>
            </w:pPr>
            <w:r>
              <w:rPr>
                <w:rFonts w:ascii="Times New Roman" w:hAnsi="Times New Roman" w:eastAsia="Times New Roman"/>
                <w:b w:val="0"/>
                <w:i w:val="0"/>
                <w:color w:val="000000"/>
                <w:sz w:val="18"/>
              </w:rPr>
              <w:t xml:space="preserve">93,198 </w:t>
            </w:r>
          </w:p>
        </w:tc>
        <w:tc>
          <w:tcPr>
            <w:tcW w:type="dxa" w:w="1928"/>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312" w:after="0"/>
              <w:ind w:left="0" w:right="58" w:firstLine="0"/>
              <w:jc w:val="right"/>
            </w:pPr>
            <w:r>
              <w:rPr>
                <w:rFonts w:ascii="Times New Roman" w:hAnsi="Times New Roman" w:eastAsia="Times New Roman"/>
                <w:b w:val="0"/>
                <w:i w:val="0"/>
                <w:color w:val="000000"/>
                <w:sz w:val="18"/>
              </w:rPr>
              <w:t xml:space="preserve">480,240 </w:t>
            </w:r>
          </w:p>
        </w:tc>
        <w:tc>
          <w:tcPr>
            <w:tcW w:type="dxa" w:w="1930"/>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312" w:after="0"/>
              <w:ind w:left="0" w:right="58" w:firstLine="0"/>
              <w:jc w:val="right"/>
            </w:pPr>
            <w:r>
              <w:rPr>
                <w:rFonts w:ascii="Times New Roman" w:hAnsi="Times New Roman" w:eastAsia="Times New Roman"/>
                <w:b w:val="0"/>
                <w:i w:val="0"/>
                <w:color w:val="000000"/>
                <w:sz w:val="18"/>
              </w:rPr>
              <w:t xml:space="preserve">1,910,520 </w:t>
            </w:r>
          </w:p>
        </w:tc>
        <w:tc>
          <w:tcPr>
            <w:tcW w:type="dxa" w:w="193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318" w:after="0"/>
              <w:ind w:left="0" w:right="824" w:firstLine="0"/>
              <w:jc w:val="right"/>
            </w:pPr>
            <w:r>
              <w:rPr>
                <w:rFonts w:ascii="宋体" w:hAnsi="宋体" w:eastAsia="宋体"/>
                <w:b w:val="0"/>
                <w:i w:val="0"/>
                <w:color w:val="000000"/>
                <w:sz w:val="18"/>
              </w:rPr>
              <w:t xml:space="preserve">- </w:t>
            </w:r>
          </w:p>
        </w:tc>
      </w:tr>
      <w:tr>
        <w:trPr>
          <w:trHeight w:hRule="exact" w:val="564"/>
        </w:trPr>
        <w:tc>
          <w:tcPr>
            <w:tcW w:type="dxa" w:w="1932"/>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1932"/>
            </w:tblGrid>
            <w:tr>
              <w:trPr>
                <w:trHeight w:hRule="exact" w:val="280"/>
              </w:trPr>
              <w:tc>
                <w:tcPr>
                  <w:tcW w:type="dxa" w:w="1710"/>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除上述各项之外的其</w:t>
                  </w:r>
                </w:p>
              </w:tc>
            </w:tr>
          </w:tbl>
          <w:p>
            <w:pPr>
              <w:autoSpaceDN w:val="0"/>
              <w:autoSpaceDE w:val="0"/>
              <w:widowControl/>
              <w:spacing w:line="180" w:lineRule="exact" w:before="36" w:after="0"/>
              <w:ind w:left="0" w:right="0" w:firstLine="0"/>
              <w:jc w:val="center"/>
            </w:pPr>
            <w:r>
              <w:rPr>
                <w:shd w:val="clear" w:color="auto" w:fill="d2d2d2"/>
                <w:rFonts w:ascii="宋体" w:hAnsi="宋体" w:eastAsia="宋体"/>
                <w:b w:val="0"/>
                <w:i w:val="0"/>
                <w:color w:val="000000"/>
                <w:sz w:val="18"/>
              </w:rPr>
              <w:t xml:space="preserve">他营业外收入和支出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-3,471,805 </w:t>
            </w:r>
          </w:p>
        </w:tc>
        <w:tc>
          <w:tcPr>
            <w:tcW w:type="dxa" w:w="1928"/>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92" w:after="0"/>
              <w:ind w:left="0" w:right="58" w:firstLine="0"/>
              <w:jc w:val="right"/>
            </w:pPr>
            <w:r>
              <w:rPr>
                <w:rFonts w:ascii="Times New Roman" w:hAnsi="Times New Roman" w:eastAsia="Times New Roman"/>
                <w:b w:val="0"/>
                <w:i w:val="0"/>
                <w:color w:val="000000"/>
                <w:sz w:val="18"/>
              </w:rPr>
              <w:t xml:space="preserve">-1,377,595 </w:t>
            </w:r>
          </w:p>
        </w:tc>
        <w:tc>
          <w:tcPr>
            <w:tcW w:type="dxa" w:w="193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78" w:after="0"/>
              <w:ind w:left="0" w:right="58" w:firstLine="0"/>
              <w:jc w:val="right"/>
            </w:pPr>
            <w:r>
              <w:rPr>
                <w:rFonts w:ascii="Times New Roman" w:hAnsi="Times New Roman" w:eastAsia="Times New Roman"/>
                <w:b w:val="0"/>
                <w:i w:val="0"/>
                <w:color w:val="000000"/>
                <w:sz w:val="18"/>
              </w:rPr>
              <w:t xml:space="preserve">-1,843,652 </w:t>
            </w:r>
          </w:p>
        </w:tc>
        <w:tc>
          <w:tcPr>
            <w:tcW w:type="dxa" w:w="193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198" w:after="0"/>
              <w:ind w:left="0" w:right="824" w:firstLine="0"/>
              <w:jc w:val="right"/>
            </w:pPr>
            <w:r>
              <w:rPr>
                <w:rFonts w:ascii="宋体" w:hAnsi="宋体" w:eastAsia="宋体"/>
                <w:b w:val="0"/>
                <w:i w:val="0"/>
                <w:color w:val="000000"/>
                <w:sz w:val="18"/>
              </w:rPr>
              <w:t xml:space="preserve">- </w:t>
            </w:r>
          </w:p>
        </w:tc>
      </w:tr>
      <w:tr>
        <w:trPr>
          <w:trHeight w:hRule="exact" w:val="244"/>
        </w:trPr>
        <w:tc>
          <w:tcPr>
            <w:tcW w:type="dxa" w:w="1932"/>
            <w:tcBorders>
              <w:start w:sz="2.3999999999999773" w:val="single" w:color="#000000"/>
              <w:top w:sz="1.599999999999909"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38" w:after="0"/>
              <w:ind w:left="108" w:right="0" w:firstLine="0"/>
              <w:jc w:val="left"/>
            </w:pPr>
            <w:r>
              <w:rPr>
                <w:rFonts w:ascii="宋体" w:hAnsi="宋体" w:eastAsia="宋体"/>
                <w:b w:val="0"/>
                <w:i w:val="0"/>
                <w:color w:val="000000"/>
                <w:sz w:val="18"/>
              </w:rPr>
              <w:t xml:space="preserve">小计 </w:t>
            </w:r>
          </w:p>
        </w:tc>
        <w:tc>
          <w:tcPr>
            <w:tcW w:type="dxa" w:w="1928"/>
            <w:tcBorders>
              <w:start w:sz="2.400000000000091" w:val="single" w:color="#000000"/>
              <w:top w:sz="1.599999999999909" w:val="single" w:color="#000000"/>
              <w:end w:sz="2.400000000000091" w:val="single" w:color="#000000"/>
              <w:bottom w:sz="1.6000000000003638" w:val="single" w:color="#000000"/>
            </w:tcBorders>
            <w:tcMar>
              <w:start w:w="0" w:type="dxa"/>
              <w:end w:w="0" w:type="dxa"/>
            </w:tcMar>
          </w:tcPr>
          <w:p>
            <w:pPr>
              <w:autoSpaceDN w:val="0"/>
              <w:autoSpaceDE w:val="0"/>
              <w:widowControl/>
              <w:spacing w:line="198" w:lineRule="exact" w:before="32" w:after="0"/>
              <w:ind w:left="0" w:right="102" w:firstLine="0"/>
              <w:jc w:val="right"/>
            </w:pPr>
            <w:r>
              <w:rPr>
                <w:rFonts w:ascii="Times New Roman,Bold" w:hAnsi="Times New Roman,Bold" w:eastAsia="Times New Roman,Bold"/>
                <w:b/>
                <w:i w:val="0"/>
                <w:color w:val="000000"/>
                <w:sz w:val="18"/>
              </w:rPr>
              <w:t>15,302,231</w:t>
            </w:r>
          </w:p>
        </w:tc>
        <w:tc>
          <w:tcPr>
            <w:tcW w:type="dxa" w:w="1928"/>
            <w:tcBorders>
              <w:start w:sz="2.400000000000091" w:val="single" w:color="#000000"/>
              <w:top w:sz="1.599999999999909" w:val="single" w:color="#000000"/>
              <w:end w:sz="2.400000000000091" w:val="single" w:color="#000000"/>
              <w:bottom w:sz="1.6000000000003638" w:val="single" w:color="#000000"/>
            </w:tcBorders>
            <w:tcMar>
              <w:start w:w="0" w:type="dxa"/>
              <w:end w:w="0" w:type="dxa"/>
            </w:tcMar>
          </w:tcPr>
          <w:p>
            <w:pPr>
              <w:autoSpaceDN w:val="0"/>
              <w:autoSpaceDE w:val="0"/>
              <w:widowControl/>
              <w:spacing w:line="200" w:lineRule="exact" w:before="24" w:after="0"/>
              <w:ind w:left="0" w:right="102" w:firstLine="0"/>
              <w:jc w:val="right"/>
            </w:pPr>
            <w:r>
              <w:rPr>
                <w:rFonts w:ascii="Times New Roman,Bold" w:hAnsi="Times New Roman,Bold" w:eastAsia="Times New Roman,Bold"/>
                <w:b/>
                <w:i w:val="0"/>
                <w:color w:val="000000"/>
                <w:sz w:val="18"/>
              </w:rPr>
              <w:t>23,490,638</w:t>
            </w:r>
          </w:p>
        </w:tc>
        <w:tc>
          <w:tcPr>
            <w:tcW w:type="dxa" w:w="1930"/>
            <w:tcBorders>
              <w:start w:sz="2.400000000000091" w:val="single" w:color="#000000"/>
              <w:top w:sz="1.599999999999909" w:val="single" w:color="#000000"/>
              <w:end w:sz="2.400000000000091" w:val="single" w:color="#000000"/>
              <w:bottom w:sz="1.6000000000003638" w:val="single" w:color="#000000"/>
            </w:tcBorders>
            <w:tcMar>
              <w:start w:w="0" w:type="dxa"/>
              <w:end w:w="0" w:type="dxa"/>
            </w:tcMar>
          </w:tcPr>
          <w:p>
            <w:pPr>
              <w:autoSpaceDN w:val="0"/>
              <w:autoSpaceDE w:val="0"/>
              <w:widowControl/>
              <w:spacing w:line="200" w:lineRule="exact" w:before="24" w:after="0"/>
              <w:ind w:left="0" w:right="102" w:firstLine="0"/>
              <w:jc w:val="right"/>
            </w:pPr>
            <w:r>
              <w:rPr>
                <w:rFonts w:ascii="Times New Roman,Bold" w:hAnsi="Times New Roman,Bold" w:eastAsia="Times New Roman,Bold"/>
                <w:b/>
                <w:i w:val="0"/>
                <w:color w:val="000000"/>
                <w:sz w:val="18"/>
              </w:rPr>
              <w:t>16,058,669</w:t>
            </w:r>
          </w:p>
        </w:tc>
        <w:tc>
          <w:tcPr>
            <w:tcW w:type="dxa" w:w="1930"/>
            <w:tcBorders>
              <w:start w:sz="2.400000000000091" w:val="single" w:color="#000000"/>
              <w:top w:sz="1.599999999999909"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38" w:after="0"/>
              <w:ind w:left="0" w:right="824" w:firstLine="0"/>
              <w:jc w:val="right"/>
            </w:pPr>
            <w:r>
              <w:rPr>
                <w:rFonts w:ascii="宋体" w:hAnsi="宋体" w:eastAsia="宋体"/>
                <w:b w:val="0"/>
                <w:i w:val="0"/>
                <w:color w:val="000000"/>
                <w:sz w:val="18"/>
              </w:rPr>
              <w:t xml:space="preserve">- </w:t>
            </w:r>
          </w:p>
        </w:tc>
      </w:tr>
      <w:tr>
        <w:trPr>
          <w:trHeight w:hRule="exact" w:val="326"/>
        </w:trPr>
        <w:tc>
          <w:tcPr>
            <w:tcW w:type="dxa" w:w="1932"/>
            <w:tcBorders>
              <w:start w:sz="2.3999999999999773" w:val="single" w:color="#000000"/>
              <w:top w:sz="1.6000000000003638"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减：所得税影响额 </w:t>
            </w:r>
          </w:p>
        </w:tc>
        <w:tc>
          <w:tcPr>
            <w:tcW w:type="dxa" w:w="1928"/>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4,419,950 </w:t>
            </w:r>
          </w:p>
        </w:tc>
        <w:tc>
          <w:tcPr>
            <w:tcW w:type="dxa" w:w="1928"/>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6,411,943 </w:t>
            </w:r>
          </w:p>
        </w:tc>
        <w:tc>
          <w:tcPr>
            <w:tcW w:type="dxa" w:w="1930"/>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4,152,845 </w:t>
            </w:r>
          </w:p>
        </w:tc>
        <w:tc>
          <w:tcPr>
            <w:tcW w:type="dxa" w:w="1930"/>
            <w:tcBorders>
              <w:start w:sz="2.400000000000091" w:val="single" w:color="#000000"/>
              <w:top w:sz="1.6000000000003638"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78" w:after="0"/>
              <w:ind w:left="0" w:right="824" w:firstLine="0"/>
              <w:jc w:val="right"/>
            </w:pPr>
            <w:r>
              <w:rPr>
                <w:rFonts w:ascii="宋体" w:hAnsi="宋体" w:eastAsia="宋体"/>
                <w:b w:val="0"/>
                <w:i w:val="0"/>
                <w:color w:val="000000"/>
                <w:sz w:val="18"/>
              </w:rPr>
              <w:t xml:space="preserve">- </w:t>
            </w:r>
          </w:p>
        </w:tc>
      </w:tr>
      <w:tr>
        <w:trPr>
          <w:trHeight w:hRule="exact" w:val="564"/>
        </w:trPr>
        <w:tc>
          <w:tcPr>
            <w:tcW w:type="dxa" w:w="1932"/>
            <w:tcBorders>
              <w:start w:sz="2.3999999999999773"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tabs>
                <w:tab w:pos="468" w:val="left"/>
              </w:tabs>
              <w:autoSpaceDE w:val="0"/>
              <w:widowControl/>
              <w:spacing w:line="236" w:lineRule="exact" w:before="22" w:after="0"/>
              <w:ind w:left="108" w:right="144" w:firstLine="0"/>
              <w:jc w:val="left"/>
            </w:pPr>
            <w:r>
              <w:tab/>
            </w:r>
            <w:r>
              <w:rPr>
                <w:rFonts w:ascii="宋体" w:hAnsi="宋体" w:eastAsia="宋体"/>
                <w:b w:val="0"/>
                <w:i w:val="0"/>
                <w:color w:val="000000"/>
                <w:sz w:val="18"/>
              </w:rPr>
              <w:t>少数股东权益影</w:t>
            </w:r>
            <w:r>
              <w:rPr>
                <w:rFonts w:ascii="宋体" w:hAnsi="宋体" w:eastAsia="宋体"/>
                <w:b w:val="0"/>
                <w:i w:val="0"/>
                <w:color w:val="000000"/>
                <w:sz w:val="18"/>
              </w:rPr>
              <w:t xml:space="preserve">响额（税后） </w:t>
            </w:r>
          </w:p>
        </w:tc>
        <w:tc>
          <w:tcPr>
            <w:tcW w:type="dxa" w:w="1928"/>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168,582 </w:t>
            </w:r>
          </w:p>
        </w:tc>
        <w:tc>
          <w:tcPr>
            <w:tcW w:type="dxa" w:w="1928"/>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244,056 </w:t>
            </w:r>
          </w:p>
        </w:tc>
        <w:tc>
          <w:tcPr>
            <w:tcW w:type="dxa" w:w="1930"/>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80" w:after="0"/>
              <w:ind w:left="0" w:right="58" w:firstLine="0"/>
              <w:jc w:val="right"/>
            </w:pPr>
            <w:r>
              <w:rPr>
                <w:rFonts w:ascii="Times New Roman" w:hAnsi="Times New Roman" w:eastAsia="Times New Roman"/>
                <w:b w:val="0"/>
                <w:i w:val="0"/>
                <w:color w:val="000000"/>
                <w:sz w:val="18"/>
              </w:rPr>
              <w:t xml:space="preserve">-12,271 </w:t>
            </w:r>
          </w:p>
        </w:tc>
        <w:tc>
          <w:tcPr>
            <w:tcW w:type="dxa" w:w="1930"/>
            <w:tcBorders>
              <w:start w:sz="2.400000000000091"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180" w:lineRule="exact" w:before="198" w:after="0"/>
              <w:ind w:left="0" w:right="824" w:firstLine="0"/>
              <w:jc w:val="right"/>
            </w:pPr>
            <w:r>
              <w:rPr>
                <w:rFonts w:ascii="宋体" w:hAnsi="宋体" w:eastAsia="宋体"/>
                <w:b w:val="0"/>
                <w:i w:val="0"/>
                <w:color w:val="000000"/>
                <w:sz w:val="18"/>
              </w:rPr>
              <w:t xml:space="preserve">- </w:t>
            </w:r>
          </w:p>
        </w:tc>
      </w:tr>
      <w:tr>
        <w:trPr>
          <w:trHeight w:hRule="exact" w:val="328"/>
        </w:trPr>
        <w:tc>
          <w:tcPr>
            <w:tcW w:type="dxa" w:w="1932"/>
            <w:tcBorders>
              <w:start w:sz="2.3999999999999773" w:val="single" w:color="#000000"/>
              <w:top w:sz="2.399999999999636"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合计 </w:t>
            </w:r>
          </w:p>
        </w:tc>
        <w:tc>
          <w:tcPr>
            <w:tcW w:type="dxa" w:w="1928"/>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00" w:lineRule="exact" w:before="72" w:after="0"/>
              <w:ind w:left="0" w:right="102" w:firstLine="0"/>
              <w:jc w:val="right"/>
            </w:pPr>
            <w:r>
              <w:rPr>
                <w:rFonts w:ascii="Times New Roman,Bold" w:hAnsi="Times New Roman,Bold" w:eastAsia="Times New Roman,Bold"/>
                <w:b/>
                <w:i w:val="0"/>
                <w:color w:val="000000"/>
                <w:sz w:val="18"/>
              </w:rPr>
              <w:t>10,713,699</w:t>
            </w:r>
          </w:p>
        </w:tc>
        <w:tc>
          <w:tcPr>
            <w:tcW w:type="dxa" w:w="1928"/>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00" w:lineRule="exact" w:before="64" w:after="0"/>
              <w:ind w:left="0" w:right="102" w:firstLine="0"/>
              <w:jc w:val="right"/>
            </w:pPr>
            <w:r>
              <w:rPr>
                <w:rFonts w:ascii="Times New Roman,Bold" w:hAnsi="Times New Roman,Bold" w:eastAsia="Times New Roman,Bold"/>
                <w:b/>
                <w:i w:val="0"/>
                <w:color w:val="000000"/>
                <w:sz w:val="18"/>
              </w:rPr>
              <w:t>16,834,639</w:t>
            </w:r>
          </w:p>
        </w:tc>
        <w:tc>
          <w:tcPr>
            <w:tcW w:type="dxa" w:w="1930"/>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00" w:lineRule="exact" w:before="64" w:after="0"/>
              <w:ind w:left="0" w:right="102" w:firstLine="0"/>
              <w:jc w:val="right"/>
            </w:pPr>
            <w:r>
              <w:rPr>
                <w:rFonts w:ascii="Times New Roman,Bold" w:hAnsi="Times New Roman,Bold" w:eastAsia="Times New Roman,Bold"/>
                <w:b/>
                <w:i w:val="0"/>
                <w:color w:val="000000"/>
                <w:sz w:val="18"/>
              </w:rPr>
              <w:t>11,918,095</w:t>
            </w:r>
          </w:p>
        </w:tc>
        <w:tc>
          <w:tcPr>
            <w:tcW w:type="dxa" w:w="1930"/>
            <w:tcBorders>
              <w:start w:sz="2.400000000000091" w:val="single" w:color="#000000"/>
              <w:top w:sz="2.399999999999636"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780" w:firstLine="0"/>
              <w:jc w:val="right"/>
            </w:pPr>
            <w:r>
              <w:rPr>
                <w:rFonts w:ascii="宋体" w:hAnsi="宋体" w:eastAsia="宋体"/>
                <w:b w:val="0"/>
                <w:i w:val="0"/>
                <w:color w:val="000000"/>
                <w:sz w:val="18"/>
              </w:rPr>
              <w:t xml:space="preserve">-- </w:t>
            </w:r>
          </w:p>
        </w:tc>
      </w:tr>
    </w:tbl>
    <w:p>
      <w:pPr>
        <w:autoSpaceDN w:val="0"/>
        <w:autoSpaceDE w:val="0"/>
        <w:widowControl/>
        <w:spacing w:line="426" w:lineRule="exact" w:before="0" w:after="0"/>
        <w:ind w:left="112" w:right="4464" w:firstLine="0"/>
        <w:jc w:val="left"/>
      </w:pPr>
      <w:r>
        <w:rPr>
          <w:rFonts w:ascii="宋体" w:hAnsi="宋体" w:eastAsia="宋体"/>
          <w:b w:val="0"/>
          <w:i w:val="0"/>
          <w:color w:val="000000"/>
          <w:sz w:val="18"/>
        </w:rPr>
        <w:t xml:space="preserve">其他符合非经常性损益定义的损益项目的具体情况： </w:t>
      </w:r>
      <w:r>
        <w:br/>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公司不存在其他符合非经常性损益定义的损益项目的具体情况。 </w:t>
      </w:r>
    </w:p>
    <w:p>
      <w:pPr>
        <w:autoSpaceDN w:val="0"/>
        <w:autoSpaceDE w:val="0"/>
        <w:widowControl/>
        <w:spacing w:line="392" w:lineRule="exact" w:before="46" w:after="0"/>
        <w:ind w:left="112" w:right="288" w:firstLine="0"/>
        <w:jc w:val="left"/>
      </w:pPr>
      <w:r>
        <w:rPr>
          <w:rFonts w:ascii="宋体" w:hAnsi="宋体" w:eastAsia="宋体"/>
          <w:b w:val="0"/>
          <w:i w:val="0"/>
          <w:color w:val="000000"/>
          <w:sz w:val="18"/>
        </w:rPr>
        <w:t>将《公开发行证券的公司信息披露解释性公告第1 号——非经常性损益》中列举的非经常性损益项目界定为经常性损益</w:t>
      </w:r>
      <w:r>
        <w:rPr>
          <w:rFonts w:ascii="宋体" w:hAnsi="宋体" w:eastAsia="宋体"/>
          <w:b w:val="0"/>
          <w:i w:val="0"/>
          <w:color w:val="000000"/>
          <w:sz w:val="18"/>
        </w:rPr>
        <w:t xml:space="preserve">项目的情况说明 </w:t>
      </w:r>
      <w:r>
        <w:br/>
      </w:r>
      <w:r>
        <w:rPr>
          <w:rFonts w:ascii="宋体" w:hAnsi="宋体" w:eastAsia="宋体"/>
          <w:b w:val="0"/>
          <w:i w:val="0"/>
          <w:color w:val="000000"/>
          <w:sz w:val="18"/>
        </w:rPr>
        <w:t>□适用√不适用</w:t>
      </w:r>
    </w:p>
    <w:p>
      <w:pPr>
        <w:autoSpaceDN w:val="0"/>
        <w:autoSpaceDE w:val="0"/>
        <w:widowControl/>
        <w:spacing w:line="197" w:lineRule="auto" w:before="1692" w:after="0"/>
        <w:ind w:left="0" w:right="4738" w:firstLine="0"/>
        <w:jc w:val="right"/>
      </w:pPr>
      <w:r>
        <w:rPr>
          <w:rFonts w:ascii="Calibri" w:hAnsi="Calibri" w:eastAsia="Calibri"/>
          <w:b w:val="0"/>
          <w:i w:val="0"/>
          <w:color w:val="000000"/>
          <w:sz w:val="18"/>
        </w:rPr>
        <w:t xml:space="preserve">23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22" w:bottom="446" w:left="1016" w:header="720" w:footer="720" w:gutter="0"/>
          <w:cols/>
          <w:docGrid w:linePitch="360"/>
        </w:sectPr>
      </w:pPr>
    </w:p>
    <w:p>
      <w:pPr>
        <w:autoSpaceDN w:val="0"/>
        <w:autoSpaceDE w:val="0"/>
        <w:widowControl/>
        <w:spacing w:line="240" w:lineRule="auto" w:before="0" w:after="0"/>
        <w:ind w:left="118" w:right="0" w:firstLine="0"/>
        <w:jc w:val="left"/>
      </w:pPr>
      <w:r>
        <w:drawing>
          <wp:inline xmlns:a="http://schemas.openxmlformats.org/drawingml/2006/main" xmlns:pic="http://schemas.openxmlformats.org/drawingml/2006/picture">
            <wp:extent cx="1844039" cy="439419"/>
            <wp:docPr id="26" name="Picture 2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22" w:bottom="446" w:left="1016" w:header="720" w:footer="720" w:gutter="0"/>
          <w:cols w:num="2" w:equalWidth="0">
            <w:col w:w="5524" w:space="0"/>
            <w:col w:w="4342" w:space="0"/>
          </w:cols>
          <w:docGrid w:linePitch="360"/>
        </w:sectPr>
      </w:pPr>
    </w:p>
    <w:p>
      <w:pPr>
        <w:autoSpaceDN w:val="0"/>
        <w:autoSpaceDE w:val="0"/>
        <w:widowControl/>
        <w:spacing w:line="200" w:lineRule="exact" w:before="0" w:after="30"/>
        <w:ind w:left="0" w:right="12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22" w:bottom="446" w:left="1016" w:header="720" w:footer="720" w:gutter="0"/>
          <w:cols w:num="2" w:equalWidth="0">
            <w:col w:w="5524" w:space="0"/>
            <w:col w:w="4342" w:space="0"/>
          </w:cols>
          <w:docGrid w:linePitch="360"/>
        </w:sectPr>
      </w:pPr>
    </w:p>
    <w:p>
      <w:pPr>
        <w:autoSpaceDN w:val="0"/>
        <w:autoSpaceDE w:val="0"/>
        <w:widowControl/>
        <w:spacing w:line="312" w:lineRule="exact" w:before="0" w:after="0"/>
        <w:ind w:left="118" w:right="288" w:firstLine="0"/>
        <w:jc w:val="left"/>
      </w:pPr>
      <w:r>
        <w:rPr>
          <w:rFonts w:ascii="宋体" w:hAnsi="宋体" w:eastAsia="宋体"/>
          <w:b w:val="0"/>
          <w:i w:val="0"/>
          <w:color w:val="000000"/>
          <w:sz w:val="24"/>
        </w:rPr>
        <w:t>十三、按照《证券公司年度报告内容与格式准则》（2013 年修订）要求计算的主要会计数</w:t>
      </w:r>
      <w:r>
        <w:rPr>
          <w:rFonts w:ascii="宋体" w:hAnsi="宋体" w:eastAsia="宋体"/>
          <w:b w:val="0"/>
          <w:i w:val="0"/>
          <w:color w:val="000000"/>
          <w:sz w:val="24"/>
        </w:rPr>
        <w:t xml:space="preserve">据 </w:t>
      </w:r>
    </w:p>
    <w:p>
      <w:pPr>
        <w:autoSpaceDN w:val="0"/>
        <w:autoSpaceDE w:val="0"/>
        <w:widowControl/>
        <w:spacing w:line="212" w:lineRule="exact" w:before="514" w:after="0"/>
        <w:ind w:left="538" w:right="0" w:firstLine="0"/>
        <w:jc w:val="left"/>
      </w:pPr>
      <w:r>
        <w:rPr>
          <w:rFonts w:ascii="宋体" w:hAnsi="宋体" w:eastAsia="宋体"/>
          <w:b w:val="0"/>
          <w:i w:val="0"/>
          <w:color w:val="000000"/>
          <w:sz w:val="21"/>
        </w:rPr>
        <w:t xml:space="preserve">(一）合并财务报表主要项目会计数据 </w:t>
      </w:r>
    </w:p>
    <w:p>
      <w:pPr>
        <w:autoSpaceDN w:val="0"/>
        <w:autoSpaceDE w:val="0"/>
        <w:widowControl/>
        <w:spacing w:line="212" w:lineRule="exact" w:before="114" w:after="50"/>
        <w:ind w:left="0" w:right="294" w:firstLine="0"/>
        <w:jc w:val="right"/>
      </w:pPr>
      <w:r>
        <w:rPr>
          <w:rFonts w:ascii="宋体" w:hAnsi="宋体" w:eastAsia="宋体"/>
          <w:b w:val="0"/>
          <w:i w:val="0"/>
          <w:color w:val="000000"/>
          <w:sz w:val="21"/>
        </w:rPr>
        <w:t>单位：元</w:t>
      </w:r>
    </w:p>
    <w:tbl>
      <w:tblPr>
        <w:tblW w:type="auto" w:w="0"/>
        <w:tblLayout w:type="fixed"/>
        <w:tblLook w:firstColumn="1" w:firstRow="1" w:lastColumn="0" w:lastRow="0" w:noHBand="0" w:noVBand="1" w:val="04A0"/>
        <w:tblInd w:w="8.000000000000114" w:type="dxa"/>
      </w:tblPr>
      <w:tblGrid>
        <w:gridCol w:w="2466"/>
        <w:gridCol w:w="2466"/>
        <w:gridCol w:w="2466"/>
        <w:gridCol w:w="2466"/>
      </w:tblGrid>
      <w:tr>
        <w:trPr>
          <w:trHeight w:hRule="exact" w:val="360"/>
        </w:trPr>
        <w:tc>
          <w:tcPr>
            <w:tcW w:type="dxa" w:w="3044"/>
            <w:tcBorders>
              <w:start w:sz="7.2000000000000455" w:val="single" w:color="#000000"/>
              <w:top w:sz="7.2000000000000455" w:val="single" w:color="#000000"/>
              <w:end w:sz="7.2000000000000455" w:val="single" w:color="#000000"/>
              <w:bottom w:sz="7.2000000000000455" w:val="single" w:color="#000000"/>
            </w:tcBorders>
            <w:shd w:fill="d8d9d8"/>
            <w:tcMar>
              <w:start w:w="0" w:type="dxa"/>
              <w:end w:w="0" w:type="dxa"/>
            </w:tcMar>
          </w:tcPr>
          <w:p>
            <w:pPr>
              <w:autoSpaceDN w:val="0"/>
              <w:autoSpaceDE w:val="0"/>
              <w:widowControl/>
              <w:spacing w:line="180" w:lineRule="exact" w:before="78" w:after="0"/>
              <w:ind w:left="0" w:right="1242" w:firstLine="0"/>
              <w:jc w:val="right"/>
            </w:pPr>
            <w:r>
              <w:rPr>
                <w:rFonts w:ascii="宋体" w:hAnsi="宋体" w:eastAsia="宋体"/>
                <w:b w:val="0"/>
                <w:i w:val="0"/>
                <w:color w:val="000000"/>
                <w:sz w:val="18"/>
              </w:rPr>
              <w:t xml:space="preserve">项目 </w:t>
            </w:r>
          </w:p>
        </w:tc>
        <w:tc>
          <w:tcPr>
            <w:tcW w:type="dxa" w:w="2520"/>
            <w:tcBorders>
              <w:start w:sz="7.2000000000000455" w:val="single" w:color="#000000"/>
              <w:top w:sz="7.2000000000000455" w:val="single" w:color="#000000"/>
              <w:end w:sz="7.200000000000273" w:val="single" w:color="#000000"/>
              <w:bottom w:sz="7.2000000000000455" w:val="single" w:color="#000000"/>
            </w:tcBorders>
            <w:shd w:fill="d8d9d8"/>
            <w:tcMar>
              <w:start w:w="0" w:type="dxa"/>
              <w:end w:w="0" w:type="dxa"/>
            </w:tcMar>
          </w:tcPr>
          <w:p>
            <w:pPr>
              <w:autoSpaceDN w:val="0"/>
              <w:autoSpaceDE w:val="0"/>
              <w:widowControl/>
              <w:spacing w:line="180" w:lineRule="exact" w:before="78" w:after="0"/>
              <w:ind w:left="504" w:right="0" w:firstLine="0"/>
              <w:jc w:val="left"/>
            </w:pPr>
            <w:r>
              <w:rPr>
                <w:rFonts w:ascii="宋体" w:hAnsi="宋体" w:eastAsia="宋体"/>
                <w:b w:val="0"/>
                <w:i w:val="0"/>
                <w:color w:val="000000"/>
                <w:sz w:val="18"/>
              </w:rPr>
              <w:t xml:space="preserve">2024 年12 月31 日 </w:t>
            </w:r>
          </w:p>
        </w:tc>
        <w:tc>
          <w:tcPr>
            <w:tcW w:type="dxa" w:w="2360"/>
            <w:tcBorders>
              <w:start w:sz="7.200000000000273" w:val="single" w:color="#000000"/>
              <w:top w:sz="7.2000000000000455" w:val="single" w:color="#000000"/>
              <w:end w:sz="7.199999999999818" w:val="single" w:color="#000000"/>
              <w:bottom w:sz="7.2000000000000455" w:val="single" w:color="#000000"/>
            </w:tcBorders>
            <w:shd w:fill="d8d9d8"/>
            <w:tcMar>
              <w:start w:w="0" w:type="dxa"/>
              <w:end w:w="0" w:type="dxa"/>
            </w:tcMar>
          </w:tcPr>
          <w:p>
            <w:pPr>
              <w:autoSpaceDN w:val="0"/>
              <w:autoSpaceDE w:val="0"/>
              <w:widowControl/>
              <w:spacing w:line="180" w:lineRule="exact" w:before="78" w:after="0"/>
              <w:ind w:left="426" w:right="0" w:firstLine="0"/>
              <w:jc w:val="left"/>
            </w:pPr>
            <w:r>
              <w:rPr>
                <w:rFonts w:ascii="宋体" w:hAnsi="宋体" w:eastAsia="宋体"/>
                <w:b w:val="0"/>
                <w:i w:val="0"/>
                <w:color w:val="000000"/>
                <w:sz w:val="18"/>
              </w:rPr>
              <w:t xml:space="preserve">2023 年12 月31 日 </w:t>
            </w:r>
          </w:p>
        </w:tc>
        <w:tc>
          <w:tcPr>
            <w:tcW w:type="dxa" w:w="1906"/>
            <w:tcBorders>
              <w:start w:sz="7.199999999999818" w:val="single" w:color="#000000"/>
              <w:top w:sz="7.2000000000000455" w:val="single" w:color="#000000"/>
              <w:end w:sz="7.199999999999818" w:val="single" w:color="#000000"/>
              <w:bottom w:sz="7.2000000000000455" w:val="single" w:color="#000000"/>
            </w:tcBorders>
            <w:shd w:fill="d8d9d8"/>
            <w:tcMar>
              <w:start w:w="0" w:type="dxa"/>
              <w:end w:w="0" w:type="dxa"/>
            </w:tcMar>
          </w:tcPr>
          <w:p>
            <w:pPr>
              <w:autoSpaceDN w:val="0"/>
              <w:autoSpaceDE w:val="0"/>
              <w:widowControl/>
              <w:spacing w:line="180" w:lineRule="exact" w:before="78" w:after="0"/>
              <w:ind w:left="404" w:right="0" w:firstLine="0"/>
              <w:jc w:val="left"/>
            </w:pPr>
            <w:r>
              <w:rPr>
                <w:rFonts w:ascii="宋体" w:hAnsi="宋体" w:eastAsia="宋体"/>
                <w:b w:val="0"/>
                <w:i w:val="0"/>
                <w:color w:val="000000"/>
                <w:sz w:val="18"/>
              </w:rPr>
              <w:t xml:space="preserve">增减变动比例 </w:t>
            </w:r>
          </w:p>
        </w:tc>
      </w:tr>
      <w:tr>
        <w:trPr>
          <w:trHeight w:hRule="exact" w:val="360"/>
        </w:trPr>
        <w:tc>
          <w:tcPr>
            <w:tcW w:type="dxa" w:w="3044"/>
            <w:tcBorders>
              <w:start w:sz="7.2000000000000455" w:val="single" w:color="#000000"/>
              <w:top w:sz="7.2000000000000455" w:val="single" w:color="#000000"/>
              <w:end w:sz="7.2000000000000455" w:val="single" w:color="#000000"/>
              <w:bottom w:sz="7.2000000000000455"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货币资金 </w:t>
            </w:r>
          </w:p>
        </w:tc>
        <w:tc>
          <w:tcPr>
            <w:tcW w:type="dxa" w:w="2520"/>
            <w:tcBorders>
              <w:start w:sz="7.2000000000000455" w:val="single" w:color="#000000"/>
              <w:top w:sz="7.2000000000000455" w:val="single" w:color="#000000"/>
              <w:end w:sz="7.200000000000273" w:val="single" w:color="#000000"/>
              <w:bottom w:sz="7.2000000000000455"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25,401,187,834 </w:t>
            </w:r>
          </w:p>
        </w:tc>
        <w:tc>
          <w:tcPr>
            <w:tcW w:type="dxa" w:w="2360"/>
            <w:tcBorders>
              <w:start w:sz="7.200000000000273" w:val="single" w:color="#000000"/>
              <w:top w:sz="7.2000000000000455" w:val="single" w:color="#000000"/>
              <w:end w:sz="7.199999999999818" w:val="single" w:color="#000000"/>
              <w:bottom w:sz="7.2000000000000455"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22,219,704,728 </w:t>
            </w:r>
          </w:p>
        </w:tc>
        <w:tc>
          <w:tcPr>
            <w:tcW w:type="dxa" w:w="1906"/>
            <w:tcBorders>
              <w:start w:sz="7.199999999999818" w:val="single" w:color="#000000"/>
              <w:top w:sz="7.2000000000000455" w:val="single" w:color="#000000"/>
              <w:end w:sz="7.199999999999818" w:val="single" w:color="#000000"/>
              <w:bottom w:sz="7.2000000000000455"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14.32% </w:t>
            </w:r>
          </w:p>
        </w:tc>
      </w:tr>
      <w:tr>
        <w:trPr>
          <w:trHeight w:hRule="exact" w:val="360"/>
        </w:trPr>
        <w:tc>
          <w:tcPr>
            <w:tcW w:type="dxa" w:w="3044"/>
            <w:tcBorders>
              <w:start w:sz="7.2000000000000455" w:val="single" w:color="#000000"/>
              <w:top w:sz="7.2000000000000455" w:val="single" w:color="#000000"/>
              <w:end w:sz="7.2000000000000455" w:val="single" w:color="#000000"/>
              <w:bottom w:sz="7.2000000000000455"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结算备付金 </w:t>
            </w:r>
          </w:p>
        </w:tc>
        <w:tc>
          <w:tcPr>
            <w:tcW w:type="dxa" w:w="2520"/>
            <w:tcBorders>
              <w:start w:sz="7.2000000000000455" w:val="single" w:color="#000000"/>
              <w:top w:sz="7.2000000000000455" w:val="single" w:color="#000000"/>
              <w:end w:sz="7.200000000000273" w:val="single" w:color="#000000"/>
              <w:bottom w:sz="7.2000000000000455"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4,020,926,094 </w:t>
            </w:r>
          </w:p>
        </w:tc>
        <w:tc>
          <w:tcPr>
            <w:tcW w:type="dxa" w:w="2360"/>
            <w:tcBorders>
              <w:start w:sz="7.200000000000273" w:val="single" w:color="#000000"/>
              <w:top w:sz="7.2000000000000455" w:val="single" w:color="#000000"/>
              <w:end w:sz="7.199999999999818" w:val="single" w:color="#000000"/>
              <w:bottom w:sz="7.2000000000000455"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2,635,063,238 </w:t>
            </w:r>
          </w:p>
        </w:tc>
        <w:tc>
          <w:tcPr>
            <w:tcW w:type="dxa" w:w="1906"/>
            <w:tcBorders>
              <w:start w:sz="7.199999999999818" w:val="single" w:color="#000000"/>
              <w:top w:sz="7.2000000000000455" w:val="single" w:color="#000000"/>
              <w:end w:sz="7.199999999999818" w:val="single" w:color="#000000"/>
              <w:bottom w:sz="7.2000000000000455"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52.59% </w:t>
            </w:r>
          </w:p>
        </w:tc>
      </w:tr>
      <w:tr>
        <w:trPr>
          <w:trHeight w:hRule="exact" w:val="360"/>
        </w:trPr>
        <w:tc>
          <w:tcPr>
            <w:tcW w:type="dxa" w:w="3044"/>
            <w:tcBorders>
              <w:start w:sz="7.2000000000000455" w:val="single" w:color="#000000"/>
              <w:top w:sz="7.2000000000000455"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融出资金 </w:t>
            </w:r>
          </w:p>
        </w:tc>
        <w:tc>
          <w:tcPr>
            <w:tcW w:type="dxa" w:w="2520"/>
            <w:tcBorders>
              <w:start w:sz="7.2000000000000455" w:val="single" w:color="#000000"/>
              <w:top w:sz="7.2000000000000455"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7,329,486,640 </w:t>
            </w:r>
          </w:p>
        </w:tc>
        <w:tc>
          <w:tcPr>
            <w:tcW w:type="dxa" w:w="2360"/>
            <w:tcBorders>
              <w:start w:sz="7.200000000000273" w:val="single" w:color="#000000"/>
              <w:top w:sz="7.2000000000000455"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6,764,360,676 </w:t>
            </w:r>
          </w:p>
        </w:tc>
        <w:tc>
          <w:tcPr>
            <w:tcW w:type="dxa" w:w="1906"/>
            <w:tcBorders>
              <w:start w:sz="7.199999999999818" w:val="single" w:color="#000000"/>
              <w:top w:sz="7.2000000000000455"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8.35%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衍生金融资产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122,075,207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171,766,410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-28.93%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买入返售金融资产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1,977,533,836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1,916,241,389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3.20%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应收款项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140,679,526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120,309,332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16.93%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存出保证金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3,063,399,796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4,229,434,331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-27.57%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交易性金融资产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36,008,042,780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36,922,114,301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-2.48%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债权投资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27,426,901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29,141,162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-5.88%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其他债权投资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57,443,663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89,867,451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-36.08%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其他权益工具投资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214,099,641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235,315,501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-9.02%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长期股权投资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389,446,061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324,169,206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20.14%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固定资产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386,698,487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386,834,025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-0.04%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使用权资产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252,534,614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310,141,621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-18.57%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无形资产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248,858,945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223,741,579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11.23%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商誉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476,939,901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476,939,901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0.00%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递延所得税资产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135,143,611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213,254,141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-36.63%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其他资产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409,420,577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321,830,325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27.22%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资产总额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80,661,344,114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77,590,229,317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3.96%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短期借款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129,792,354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137,317,148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-5.48%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应付短期融资款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36,140,651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872,573,450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-95.86%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拆入资金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10,333,096,752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12,793,602,454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-19.23%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交易性金融负债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3,369,245,850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1,512,007,369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122.83%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衍生金融负债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86,426,912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131,465,972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-34.26%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卖出回购金融资产款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12,729,642,678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10,277,980,209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23.85%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代理买卖证券款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18,504,762,179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14,586,617,553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26.86%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代理承销证券款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125,599,933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98" w:firstLine="0"/>
              <w:jc w:val="right"/>
            </w:pPr>
            <w:r>
              <w:rPr>
                <w:rFonts w:ascii="Calibri" w:hAnsi="Calibri" w:eastAsia="Calibri"/>
                <w:b w:val="0"/>
                <w:i w:val="0"/>
                <w:color w:val="000000"/>
                <w:sz w:val="18"/>
              </w:rPr>
              <w:t>-100.00%</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应付职工薪酬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149,427,011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96,518,278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54.82% </w:t>
            </w:r>
          </w:p>
        </w:tc>
      </w:tr>
      <w:tr>
        <w:trPr>
          <w:trHeight w:hRule="exact" w:val="362"/>
        </w:trPr>
        <w:tc>
          <w:tcPr>
            <w:tcW w:type="dxa" w:w="3044"/>
            <w:tcBorders>
              <w:start w:sz="7.2000000000000455" w:val="single" w:color="#000000"/>
              <w:top w:sz="8.0"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80" w:after="0"/>
              <w:ind w:left="100" w:right="0" w:firstLine="0"/>
              <w:jc w:val="left"/>
            </w:pPr>
            <w:r>
              <w:rPr>
                <w:rFonts w:ascii="宋体" w:hAnsi="宋体" w:eastAsia="宋体"/>
                <w:b w:val="0"/>
                <w:i w:val="0"/>
                <w:color w:val="000000"/>
                <w:sz w:val="18"/>
              </w:rPr>
              <w:t xml:space="preserve">应交税费 </w:t>
            </w:r>
          </w:p>
        </w:tc>
        <w:tc>
          <w:tcPr>
            <w:tcW w:type="dxa" w:w="2520"/>
            <w:tcBorders>
              <w:start w:sz="7.2000000000000455"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83,677,236 </w:t>
            </w:r>
          </w:p>
        </w:tc>
        <w:tc>
          <w:tcPr>
            <w:tcW w:type="dxa" w:w="2360"/>
            <w:tcBorders>
              <w:start w:sz="7.200000000000273"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79,650,672 </w:t>
            </w:r>
          </w:p>
        </w:tc>
        <w:tc>
          <w:tcPr>
            <w:tcW w:type="dxa" w:w="1906"/>
            <w:tcBorders>
              <w:start w:sz="7.199999999999818"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5.06%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应付款项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93,168,277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366,687,841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-74.59%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应付债券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15,170,215,285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15,809,101,530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-4.04%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租赁负债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264,042,901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317,169,527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-16.75% </w:t>
            </w:r>
          </w:p>
        </w:tc>
      </w:tr>
    </w:tbl>
    <w:p>
      <w:pPr>
        <w:autoSpaceDN w:val="0"/>
        <w:autoSpaceDE w:val="0"/>
        <w:widowControl/>
        <w:spacing w:line="197" w:lineRule="auto" w:before="526" w:after="0"/>
        <w:ind w:left="0" w:right="0" w:firstLine="0"/>
        <w:jc w:val="center"/>
      </w:pPr>
      <w:r>
        <w:rPr>
          <w:rFonts w:ascii="Calibri" w:hAnsi="Calibri" w:eastAsia="Calibri"/>
          <w:b w:val="0"/>
          <w:i w:val="0"/>
          <w:color w:val="000000"/>
          <w:sz w:val="18"/>
        </w:rPr>
        <w:t xml:space="preserve">24 </w:t>
      </w:r>
    </w:p>
    <w:p>
      <w:pPr>
        <w:sectPr>
          <w:type w:val="continuous"/>
          <w:pgSz w:w="11904" w:h="16841"/>
          <w:pgMar w:top="424" w:right="1022" w:bottom="446" w:left="1016" w:header="720" w:footer="720" w:gutter="0"/>
          <w:cols/>
          <w:docGrid w:linePitch="360"/>
        </w:sectPr>
      </w:pPr>
    </w:p>
    <w:p>
      <w:pPr>
        <w:autoSpaceDN w:val="0"/>
        <w:autoSpaceDE w:val="0"/>
        <w:widowControl/>
        <w:spacing w:line="220" w:lineRule="exact" w:before="0" w:after="206"/>
        <w:ind w:left="0" w:right="0"/>
      </w:pPr>
    </w:p>
    <w:p>
      <w:pPr>
        <w:sectPr>
          <w:pgSz w:w="11904" w:h="16841"/>
          <w:pgMar w:top="424" w:right="1004" w:bottom="446" w:left="1016" w:header="720" w:footer="720" w:gutter="0"/>
          <w:cols/>
          <w:docGrid w:linePitch="360"/>
        </w:sectPr>
      </w:pPr>
    </w:p>
    <w:p>
      <w:pPr>
        <w:autoSpaceDN w:val="0"/>
        <w:autoSpaceDE w:val="0"/>
        <w:widowControl/>
        <w:spacing w:line="240" w:lineRule="auto" w:before="0" w:after="0"/>
        <w:ind w:left="118" w:right="0" w:firstLine="0"/>
        <w:jc w:val="left"/>
      </w:pPr>
      <w:r>
        <w:drawing>
          <wp:inline xmlns:a="http://schemas.openxmlformats.org/drawingml/2006/main" xmlns:pic="http://schemas.openxmlformats.org/drawingml/2006/picture">
            <wp:extent cx="1844039" cy="439419"/>
            <wp:docPr id="27" name="Picture 2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200" w:lineRule="exact" w:before="0" w:after="30"/>
        <w:ind w:left="0" w:right="1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8.000000000000114" w:type="dxa"/>
      </w:tblPr>
      <w:tblGrid>
        <w:gridCol w:w="2471"/>
        <w:gridCol w:w="2471"/>
        <w:gridCol w:w="2471"/>
        <w:gridCol w:w="2471"/>
      </w:tblGrid>
      <w:tr>
        <w:trPr>
          <w:trHeight w:hRule="exact" w:val="361"/>
        </w:trPr>
        <w:tc>
          <w:tcPr>
            <w:tcW w:type="dxa" w:w="3044"/>
            <w:tcBorders>
              <w:start w:sz="7.2000000000000455" w:val="single" w:color="#000000"/>
              <w:top w:sz="8.0" w:val="single" w:color="#000000"/>
              <w:end w:sz="7.2000000000000455" w:val="single" w:color="#000000"/>
              <w:bottom w:sz="8.0" w:val="single" w:color="#000000"/>
            </w:tcBorders>
            <w:shd w:fill="d8d9d8"/>
            <w:tcMar>
              <w:start w:w="0" w:type="dxa"/>
              <w:end w:w="0" w:type="dxa"/>
            </w:tcMar>
          </w:tcPr>
          <w:p>
            <w:pPr>
              <w:autoSpaceDN w:val="0"/>
              <w:autoSpaceDE w:val="0"/>
              <w:widowControl/>
              <w:spacing w:line="180" w:lineRule="exact" w:before="78" w:after="0"/>
              <w:ind w:left="0" w:right="1242" w:firstLine="0"/>
              <w:jc w:val="right"/>
            </w:pPr>
            <w:r>
              <w:rPr>
                <w:rFonts w:ascii="宋体" w:hAnsi="宋体" w:eastAsia="宋体"/>
                <w:b w:val="0"/>
                <w:i w:val="0"/>
                <w:color w:val="000000"/>
                <w:sz w:val="18"/>
              </w:rPr>
              <w:t xml:space="preserve">项目 </w:t>
            </w:r>
          </w:p>
        </w:tc>
        <w:tc>
          <w:tcPr>
            <w:tcW w:type="dxa" w:w="2520"/>
            <w:tcBorders>
              <w:start w:sz="7.2000000000000455" w:val="single" w:color="#000000"/>
              <w:top w:sz="5.600000000000023" w:val="single" w:color="#000000"/>
              <w:end w:sz="7.200000000000273" w:val="single" w:color="#000000"/>
              <w:bottom w:sz="8.0" w:val="single" w:color="#000000"/>
            </w:tcBorders>
            <w:shd w:fill="d8d9d8"/>
            <w:tcMar>
              <w:start w:w="0" w:type="dxa"/>
              <w:end w:w="0" w:type="dxa"/>
            </w:tcMar>
          </w:tcPr>
          <w:p>
            <w:pPr>
              <w:autoSpaceDN w:val="0"/>
              <w:autoSpaceDE w:val="0"/>
              <w:widowControl/>
              <w:spacing w:line="180" w:lineRule="exact" w:before="82" w:after="0"/>
              <w:ind w:left="504" w:right="0" w:firstLine="0"/>
              <w:jc w:val="left"/>
            </w:pPr>
            <w:r>
              <w:rPr>
                <w:rFonts w:ascii="宋体" w:hAnsi="宋体" w:eastAsia="宋体"/>
                <w:b w:val="0"/>
                <w:i w:val="0"/>
                <w:color w:val="000000"/>
                <w:sz w:val="18"/>
              </w:rPr>
              <w:t xml:space="preserve">2024 年12 月31 日 </w:t>
            </w:r>
          </w:p>
        </w:tc>
        <w:tc>
          <w:tcPr>
            <w:tcW w:type="dxa" w:w="2360"/>
            <w:tcBorders>
              <w:start w:sz="7.200000000000273" w:val="single" w:color="#000000"/>
              <w:top w:sz="5.600000000000023"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82" w:after="0"/>
              <w:ind w:left="426" w:right="0" w:firstLine="0"/>
              <w:jc w:val="left"/>
            </w:pPr>
            <w:r>
              <w:rPr>
                <w:rFonts w:ascii="宋体" w:hAnsi="宋体" w:eastAsia="宋体"/>
                <w:b w:val="0"/>
                <w:i w:val="0"/>
                <w:color w:val="000000"/>
                <w:sz w:val="18"/>
              </w:rPr>
              <w:t xml:space="preserve">2023 年12 月31 日 </w:t>
            </w:r>
          </w:p>
        </w:tc>
        <w:tc>
          <w:tcPr>
            <w:tcW w:type="dxa" w:w="1906"/>
            <w:tcBorders>
              <w:start w:sz="7.199999999999818" w:val="single" w:color="#000000"/>
              <w:top w:sz="5.600000000000023"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82" w:after="0"/>
              <w:ind w:left="404" w:right="0" w:firstLine="0"/>
              <w:jc w:val="left"/>
            </w:pPr>
            <w:r>
              <w:rPr>
                <w:rFonts w:ascii="宋体" w:hAnsi="宋体" w:eastAsia="宋体"/>
                <w:b w:val="0"/>
                <w:i w:val="0"/>
                <w:color w:val="000000"/>
                <w:sz w:val="18"/>
              </w:rPr>
              <w:t xml:space="preserve">增减变动比例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递延所得税负债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53,668,910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111,707,421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-51.96%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其他负债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1,364,567,880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2,219,106,081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-38.51%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负债总额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62,367,874,876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59,437,105,438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4.93%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股本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3,589,771,547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3,589,771,547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0.00%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资本公积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9,723,419,390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9,723,419,390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0.00%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其他综合收益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-65,582,068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-79,534,061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80" w:lineRule="exact" w:before="78" w:after="0"/>
              <w:ind w:left="0" w:right="6" w:firstLine="0"/>
              <w:jc w:val="right"/>
            </w:pPr>
            <w:r>
              <w:rPr>
                <w:rFonts w:ascii="宋体" w:hAnsi="宋体" w:eastAsia="宋体"/>
                <w:b w:val="0"/>
                <w:i w:val="0"/>
                <w:color w:val="000000"/>
                <w:sz w:val="18"/>
              </w:rPr>
              <w:t xml:space="preserve">不适用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盈余公积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875,364,199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813,347,453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7.62%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一般风险准备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990,215,359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922,907,949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7.29%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交易风险准备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921,218,202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859,201,456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7.22%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未分配利润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1,935,706,952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1,917,718,771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0.94%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归属于母公司股东权益合计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17,970,113,581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17,746,832,505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1.26%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少数股东权益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323,355,657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406,291,374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-20.41%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所有者权益总额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18,293,469,238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18,153,123,879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0.77%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shd w:fill="d8d9d8"/>
            <w:tcMar>
              <w:start w:w="0" w:type="dxa"/>
              <w:end w:w="0" w:type="dxa"/>
            </w:tcMar>
          </w:tcPr>
          <w:p>
            <w:pPr>
              <w:autoSpaceDN w:val="0"/>
              <w:autoSpaceDE w:val="0"/>
              <w:widowControl/>
              <w:spacing w:line="180" w:lineRule="exact" w:before="78" w:after="0"/>
              <w:ind w:left="0" w:right="1242" w:firstLine="0"/>
              <w:jc w:val="right"/>
            </w:pPr>
            <w:r>
              <w:rPr>
                <w:rFonts w:ascii="新宋体" w:hAnsi="新宋体" w:eastAsia="新宋体"/>
                <w:b w:val="0"/>
                <w:i w:val="0"/>
                <w:color w:val="000000"/>
                <w:sz w:val="18"/>
              </w:rPr>
              <w:t xml:space="preserve">项目 </w:t>
            </w:r>
          </w:p>
        </w:tc>
        <w:tc>
          <w:tcPr>
            <w:tcW w:type="dxa" w:w="2520"/>
            <w:tcBorders>
              <w:start w:sz="7.2000000000000455" w:val="single" w:color="#000000"/>
              <w:top w:sz="8.0" w:val="single" w:color="#000000"/>
              <w:end w:sz="7.200000000000273" w:val="single" w:color="#000000"/>
              <w:bottom w:sz="8.0" w:val="single" w:color="#000000"/>
            </w:tcBorders>
            <w:shd w:fill="d8d9d8"/>
            <w:tcMar>
              <w:start w:w="0" w:type="dxa"/>
              <w:end w:w="0" w:type="dxa"/>
            </w:tcMar>
          </w:tcPr>
          <w:p>
            <w:pPr>
              <w:autoSpaceDN w:val="0"/>
              <w:autoSpaceDE w:val="0"/>
              <w:widowControl/>
              <w:spacing w:line="180" w:lineRule="exact" w:before="78" w:after="0"/>
              <w:ind w:left="0" w:right="864" w:firstLine="0"/>
              <w:jc w:val="right"/>
            </w:pPr>
            <w:r>
              <w:rPr>
                <w:rFonts w:ascii="新宋体" w:hAnsi="新宋体" w:eastAsia="新宋体"/>
                <w:b w:val="0"/>
                <w:i w:val="0"/>
                <w:color w:val="000000"/>
                <w:sz w:val="18"/>
              </w:rPr>
              <w:t xml:space="preserve">2024 年 </w:t>
            </w:r>
          </w:p>
        </w:tc>
        <w:tc>
          <w:tcPr>
            <w:tcW w:type="dxa" w:w="2360"/>
            <w:tcBorders>
              <w:start w:sz="7.200000000000273" w:val="single" w:color="#000000"/>
              <w:top w:sz="8.0"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78" w:after="0"/>
              <w:ind w:left="0" w:right="784" w:firstLine="0"/>
              <w:jc w:val="right"/>
            </w:pPr>
            <w:r>
              <w:rPr>
                <w:rFonts w:ascii="新宋体" w:hAnsi="新宋体" w:eastAsia="新宋体"/>
                <w:b w:val="0"/>
                <w:i w:val="0"/>
                <w:color w:val="000000"/>
                <w:sz w:val="18"/>
              </w:rPr>
              <w:t xml:space="preserve">2023 年 </w:t>
            </w:r>
          </w:p>
        </w:tc>
        <w:tc>
          <w:tcPr>
            <w:tcW w:type="dxa" w:w="1906"/>
            <w:tcBorders>
              <w:start w:sz="7.199999999999818" w:val="single" w:color="#000000"/>
              <w:top w:sz="8.0"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78" w:after="0"/>
              <w:ind w:left="404" w:right="0" w:firstLine="0"/>
              <w:jc w:val="left"/>
            </w:pPr>
            <w:r>
              <w:rPr>
                <w:rFonts w:ascii="新宋体" w:hAnsi="新宋体" w:eastAsia="新宋体"/>
                <w:b w:val="0"/>
                <w:i w:val="0"/>
                <w:color w:val="000000"/>
                <w:sz w:val="18"/>
              </w:rPr>
              <w:t xml:space="preserve">增减变动比例 </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营业收入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3,152,075,207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3,470,696,161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-9.18% </w:t>
            </w:r>
          </w:p>
        </w:tc>
      </w:tr>
      <w:tr>
        <w:trPr>
          <w:trHeight w:hRule="exact" w:val="362"/>
        </w:trPr>
        <w:tc>
          <w:tcPr>
            <w:tcW w:type="dxa" w:w="3044"/>
            <w:tcBorders>
              <w:start w:sz="7.2000000000000455" w:val="single" w:color="#000000"/>
              <w:top w:sz="8.0"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手续费及佣金净收入 </w:t>
            </w:r>
          </w:p>
        </w:tc>
        <w:tc>
          <w:tcPr>
            <w:tcW w:type="dxa" w:w="2520"/>
            <w:tcBorders>
              <w:start w:sz="7.2000000000000455"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1,363,894,744 </w:t>
            </w:r>
          </w:p>
        </w:tc>
        <w:tc>
          <w:tcPr>
            <w:tcW w:type="dxa" w:w="2360"/>
            <w:tcBorders>
              <w:start w:sz="7.200000000000273"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1,251,128,404 </w:t>
            </w:r>
          </w:p>
        </w:tc>
        <w:tc>
          <w:tcPr>
            <w:tcW w:type="dxa" w:w="1906"/>
            <w:tcBorders>
              <w:start w:sz="7.199999999999818"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9.01%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利息净收入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-55,638,756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-137,573,748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80" w:lineRule="exact" w:before="76" w:after="0"/>
              <w:ind w:left="0" w:right="96" w:firstLine="0"/>
              <w:jc w:val="right"/>
            </w:pPr>
            <w:r>
              <w:rPr>
                <w:rFonts w:ascii="宋体" w:hAnsi="宋体" w:eastAsia="宋体"/>
                <w:b w:val="0"/>
                <w:i w:val="0"/>
                <w:color w:val="000000"/>
                <w:sz w:val="18"/>
              </w:rPr>
              <w:t>不适用</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投资收益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1,509,329,487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1,656,016,337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-8.86%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公允价值变动收益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108,177,437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91,820,357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17.81%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汇兑收益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-13,252,089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-13,583,738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80" w:lineRule="exact" w:before="76" w:after="0"/>
              <w:ind w:left="0" w:right="6" w:firstLine="0"/>
              <w:jc w:val="right"/>
            </w:pPr>
            <w:r>
              <w:rPr>
                <w:rFonts w:ascii="宋体" w:hAnsi="宋体" w:eastAsia="宋体"/>
                <w:b w:val="0"/>
                <w:i w:val="0"/>
                <w:color w:val="000000"/>
                <w:sz w:val="18"/>
              </w:rPr>
              <w:t xml:space="preserve">不适用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其他业务收入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220,919,978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598,500,556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-63.09%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其他收益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19,059,202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24,193,184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-21.22% </w:t>
            </w:r>
          </w:p>
        </w:tc>
      </w:tr>
      <w:tr>
        <w:trPr>
          <w:trHeight w:hRule="exact" w:val="358"/>
        </w:trPr>
        <w:tc>
          <w:tcPr>
            <w:tcW w:type="dxa" w:w="3044"/>
            <w:tcBorders>
              <w:start w:sz="7.2000000000000455" w:val="single" w:color="#000000"/>
              <w:top w:sz="7.199999999999818"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资产处置损益 </w:t>
            </w:r>
          </w:p>
        </w:tc>
        <w:tc>
          <w:tcPr>
            <w:tcW w:type="dxa" w:w="2520"/>
            <w:tcBorders>
              <w:start w:sz="7.2000000000000455" w:val="single" w:color="#000000"/>
              <w:top w:sz="7.199999999999818"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-414,796 </w:t>
            </w:r>
          </w:p>
        </w:tc>
        <w:tc>
          <w:tcPr>
            <w:tcW w:type="dxa" w:w="2360"/>
            <w:tcBorders>
              <w:start w:sz="7.200000000000273"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194,809 </w:t>
            </w:r>
          </w:p>
        </w:tc>
        <w:tc>
          <w:tcPr>
            <w:tcW w:type="dxa" w:w="1906"/>
            <w:tcBorders>
              <w:start w:sz="7.199999999999818"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98" w:firstLine="0"/>
              <w:jc w:val="right"/>
            </w:pPr>
            <w:r>
              <w:rPr>
                <w:rFonts w:ascii="Calibri" w:hAnsi="Calibri" w:eastAsia="Calibri"/>
                <w:b w:val="0"/>
                <w:i w:val="0"/>
                <w:color w:val="000000"/>
                <w:sz w:val="18"/>
              </w:rPr>
              <w:t>-312.92%</w:t>
            </w:r>
          </w:p>
        </w:tc>
      </w:tr>
      <w:tr>
        <w:trPr>
          <w:trHeight w:hRule="exact" w:val="360"/>
        </w:trPr>
        <w:tc>
          <w:tcPr>
            <w:tcW w:type="dxa" w:w="3044"/>
            <w:tcBorders>
              <w:start w:sz="7.2000000000000455" w:val="single" w:color="#000000"/>
              <w:top w:sz="8.0" w:val="single" w:color="#000000"/>
              <w:end w:sz="7.2000000000000455"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营业支出 </w:t>
            </w:r>
          </w:p>
        </w:tc>
        <w:tc>
          <w:tcPr>
            <w:tcW w:type="dxa" w:w="2520"/>
            <w:tcBorders>
              <w:start w:sz="7.2000000000000455"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2,323,520,347 </w:t>
            </w:r>
          </w:p>
        </w:tc>
        <w:tc>
          <w:tcPr>
            <w:tcW w:type="dxa" w:w="2360"/>
            <w:tcBorders>
              <w:start w:sz="7.200000000000273"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2,701,510,568 </w:t>
            </w:r>
          </w:p>
        </w:tc>
        <w:tc>
          <w:tcPr>
            <w:tcW w:type="dxa" w:w="1906"/>
            <w:tcBorders>
              <w:start w:sz="7.199999999999818"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-13.99% </w:t>
            </w:r>
          </w:p>
        </w:tc>
      </w:tr>
      <w:tr>
        <w:trPr>
          <w:trHeight w:hRule="exact" w:val="360"/>
        </w:trPr>
        <w:tc>
          <w:tcPr>
            <w:tcW w:type="dxa" w:w="3044"/>
            <w:tcBorders>
              <w:start w:sz="7.2000000000000455" w:val="single" w:color="#000000"/>
              <w:top w:sz="8.0"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税金及附加 </w:t>
            </w:r>
          </w:p>
        </w:tc>
        <w:tc>
          <w:tcPr>
            <w:tcW w:type="dxa" w:w="2520"/>
            <w:tcBorders>
              <w:start w:sz="7.2000000000000455"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17,721,634 </w:t>
            </w:r>
          </w:p>
        </w:tc>
        <w:tc>
          <w:tcPr>
            <w:tcW w:type="dxa" w:w="2360"/>
            <w:tcBorders>
              <w:start w:sz="7.200000000000273"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22,195,522 </w:t>
            </w:r>
          </w:p>
        </w:tc>
        <w:tc>
          <w:tcPr>
            <w:tcW w:type="dxa" w:w="1906"/>
            <w:tcBorders>
              <w:start w:sz="7.199999999999818"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-20.16%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业务及管理费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2,078,801,870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2,048,662,935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1.47%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信用减值损失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25,443,795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61,371,540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-58.54%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其他业务成本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201,553,048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569,280,571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-64.60%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净利润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690,733,630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592,024,186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16.67%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归属于母公司股东的净利润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711,831,847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619,761,504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14.86%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其他综合收益的税后净额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14,017,245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20,166,564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-30.49% </w:t>
            </w:r>
          </w:p>
        </w:tc>
      </w:tr>
      <w:tr>
        <w:trPr>
          <w:trHeight w:hRule="exact" w:val="360"/>
        </w:trPr>
        <w:tc>
          <w:tcPr>
            <w:tcW w:type="dxa" w:w="3044"/>
            <w:tcBorders>
              <w:start w:sz="7.2000000000000455" w:val="single" w:color="#000000"/>
              <w:top w:sz="7.199999999999818" w:val="single" w:color="#000000"/>
              <w:end w:sz="7.2000000000000455" w:val="single" w:color="#000000"/>
              <w:bottom w:sz="7.199999999999818" w:val="single" w:color="#000000"/>
            </w:tcBorders>
            <w:tcMar>
              <w:start w:w="0" w:type="dxa"/>
              <w:end w:w="0" w:type="dxa"/>
            </w:tcMar>
          </w:tcPr>
          <w:p>
            <w:pPr>
              <w:autoSpaceDN w:val="0"/>
              <w:autoSpaceDE w:val="0"/>
              <w:widowControl/>
              <w:spacing w:line="180" w:lineRule="exact" w:before="78" w:after="0"/>
              <w:ind w:left="0" w:right="0" w:firstLine="0"/>
              <w:jc w:val="center"/>
            </w:pPr>
            <w:r>
              <w:rPr>
                <w:rFonts w:ascii="新宋体" w:hAnsi="新宋体" w:eastAsia="新宋体"/>
                <w:b w:val="0"/>
                <w:i w:val="0"/>
                <w:color w:val="000000"/>
                <w:sz w:val="18"/>
              </w:rPr>
              <w:t xml:space="preserve">归属于母公司股东的综合收益总额 </w:t>
            </w:r>
          </w:p>
        </w:tc>
        <w:tc>
          <w:tcPr>
            <w:tcW w:type="dxa" w:w="2520"/>
            <w:tcBorders>
              <w:start w:sz="7.2000000000000455"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725,849,092 </w:t>
            </w:r>
          </w:p>
        </w:tc>
        <w:tc>
          <w:tcPr>
            <w:tcW w:type="dxa" w:w="2360"/>
            <w:tcBorders>
              <w:start w:sz="7.200000000000273"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640,220,735 </w:t>
            </w:r>
          </w:p>
        </w:tc>
        <w:tc>
          <w:tcPr>
            <w:tcW w:type="dxa" w:w="1906"/>
            <w:tcBorders>
              <w:start w:sz="7.199999999999818"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13.37% </w:t>
            </w:r>
          </w:p>
        </w:tc>
      </w:tr>
    </w:tbl>
    <w:p>
      <w:pPr>
        <w:autoSpaceDN w:val="0"/>
        <w:tabs>
          <w:tab w:pos="8550" w:val="left"/>
        </w:tabs>
        <w:autoSpaceDE w:val="0"/>
        <w:widowControl/>
        <w:spacing w:line="300" w:lineRule="exact" w:before="96" w:after="50"/>
        <w:ind w:left="600" w:right="288" w:firstLine="0"/>
        <w:jc w:val="left"/>
      </w:pPr>
      <w:r>
        <w:rPr>
          <w:rFonts w:ascii="宋体" w:hAnsi="宋体" w:eastAsia="宋体"/>
          <w:b w:val="0"/>
          <w:i w:val="0"/>
          <w:color w:val="000000"/>
          <w:sz w:val="24"/>
        </w:rPr>
        <w:t>（二）</w:t>
      </w:r>
      <w:r>
        <w:rPr>
          <w:rFonts w:ascii="宋体" w:hAnsi="宋体" w:eastAsia="宋体"/>
          <w:b w:val="0"/>
          <w:i w:val="0"/>
          <w:color w:val="000000"/>
          <w:sz w:val="21"/>
        </w:rPr>
        <w:t xml:space="preserve">母公司财务报表主要项目会计数据 </w:t>
      </w:r>
      <w:r>
        <w:br/>
      </w:r>
      <w:r>
        <w:tab/>
      </w:r>
      <w:r>
        <w:rPr>
          <w:rFonts w:ascii="宋体" w:hAnsi="宋体" w:eastAsia="宋体"/>
          <w:b w:val="0"/>
          <w:i w:val="0"/>
          <w:color w:val="000000"/>
          <w:sz w:val="21"/>
        </w:rPr>
        <w:t xml:space="preserve">单位：元 </w:t>
      </w:r>
    </w:p>
    <w:tbl>
      <w:tblPr>
        <w:tblW w:type="auto" w:w="0"/>
        <w:tblLayout w:type="fixed"/>
        <w:tblLook w:firstColumn="1" w:firstRow="1" w:lastColumn="0" w:lastRow="0" w:noHBand="0" w:noVBand="1" w:val="04A0"/>
        <w:tblInd w:w="8.000000000000114" w:type="dxa"/>
      </w:tblPr>
      <w:tblGrid>
        <w:gridCol w:w="2471"/>
        <w:gridCol w:w="2471"/>
        <w:gridCol w:w="2471"/>
        <w:gridCol w:w="2471"/>
      </w:tblGrid>
      <w:tr>
        <w:trPr>
          <w:trHeight w:hRule="exact" w:val="360"/>
        </w:trPr>
        <w:tc>
          <w:tcPr>
            <w:tcW w:type="dxa" w:w="3030"/>
            <w:tcBorders>
              <w:start w:sz="7.2000000000000455" w:val="single" w:color="#000000"/>
              <w:top w:sz="7.200000000000728" w:val="single" w:color="#000000"/>
              <w:end w:sz="8.0" w:val="single" w:color="#000000"/>
              <w:bottom w:sz="7.200000000000728" w:val="single" w:color="#000000"/>
            </w:tcBorders>
            <w:shd w:fill="d8d9d8"/>
            <w:tcMar>
              <w:start w:w="0" w:type="dxa"/>
              <w:end w:w="0" w:type="dxa"/>
            </w:tcMar>
          </w:tcPr>
          <w:p>
            <w:pPr>
              <w:autoSpaceDN w:val="0"/>
              <w:autoSpaceDE w:val="0"/>
              <w:widowControl/>
              <w:spacing w:line="180" w:lineRule="exact" w:before="80" w:after="0"/>
              <w:ind w:left="0" w:right="1234" w:firstLine="0"/>
              <w:jc w:val="right"/>
            </w:pPr>
            <w:r>
              <w:rPr>
                <w:rFonts w:ascii="宋体" w:hAnsi="宋体" w:eastAsia="宋体"/>
                <w:b w:val="0"/>
                <w:i w:val="0"/>
                <w:color w:val="000000"/>
                <w:sz w:val="18"/>
              </w:rPr>
              <w:t xml:space="preserve">项目 </w:t>
            </w:r>
          </w:p>
        </w:tc>
        <w:tc>
          <w:tcPr>
            <w:tcW w:type="dxa" w:w="2534"/>
            <w:tcBorders>
              <w:start w:sz="8.0" w:val="single" w:color="#000000"/>
              <w:top w:sz="7.200000000000728" w:val="single" w:color="#000000"/>
              <w:end w:sz="7.199999999999818" w:val="single" w:color="#000000"/>
              <w:bottom w:sz="7.200000000000728" w:val="single" w:color="#000000"/>
            </w:tcBorders>
            <w:shd w:fill="d8d9d8"/>
            <w:tcMar>
              <w:start w:w="0" w:type="dxa"/>
              <w:end w:w="0" w:type="dxa"/>
            </w:tcMar>
          </w:tcPr>
          <w:p>
            <w:pPr>
              <w:autoSpaceDN w:val="0"/>
              <w:autoSpaceDE w:val="0"/>
              <w:widowControl/>
              <w:spacing w:line="180" w:lineRule="exact" w:before="80" w:after="0"/>
              <w:ind w:left="512" w:right="0" w:firstLine="0"/>
              <w:jc w:val="left"/>
            </w:pPr>
            <w:r>
              <w:rPr>
                <w:rFonts w:ascii="宋体" w:hAnsi="宋体" w:eastAsia="宋体"/>
                <w:b w:val="0"/>
                <w:i w:val="0"/>
                <w:color w:val="000000"/>
                <w:sz w:val="18"/>
              </w:rPr>
              <w:t xml:space="preserve">2024 年12 月31 日 </w:t>
            </w:r>
          </w:p>
        </w:tc>
        <w:tc>
          <w:tcPr>
            <w:tcW w:type="dxa" w:w="2360"/>
            <w:tcBorders>
              <w:start w:sz="7.199999999999818" w:val="single" w:color="#000000"/>
              <w:top w:sz="7.200000000000728" w:val="single" w:color="#000000"/>
              <w:end w:sz="7.200000000000273" w:val="single" w:color="#000000"/>
              <w:bottom w:sz="7.200000000000728" w:val="single" w:color="#000000"/>
            </w:tcBorders>
            <w:shd w:fill="d8d9d8"/>
            <w:tcMar>
              <w:start w:w="0" w:type="dxa"/>
              <w:end w:w="0" w:type="dxa"/>
            </w:tcMar>
          </w:tcPr>
          <w:p>
            <w:pPr>
              <w:autoSpaceDN w:val="0"/>
              <w:autoSpaceDE w:val="0"/>
              <w:widowControl/>
              <w:spacing w:line="180" w:lineRule="exact" w:before="80" w:after="0"/>
              <w:ind w:left="428" w:right="0" w:firstLine="0"/>
              <w:jc w:val="left"/>
            </w:pPr>
            <w:r>
              <w:rPr>
                <w:rFonts w:ascii="宋体" w:hAnsi="宋体" w:eastAsia="宋体"/>
                <w:b w:val="0"/>
                <w:i w:val="0"/>
                <w:color w:val="000000"/>
                <w:sz w:val="18"/>
              </w:rPr>
              <w:t xml:space="preserve">2023 年12 月31 日 </w:t>
            </w:r>
          </w:p>
        </w:tc>
        <w:tc>
          <w:tcPr>
            <w:tcW w:type="dxa" w:w="1922"/>
            <w:tcBorders>
              <w:start w:sz="7.200000000000273" w:val="single" w:color="#000000"/>
              <w:top w:sz="7.200000000000728" w:val="single" w:color="#000000"/>
              <w:end w:sz="8.0" w:val="single" w:color="#000000"/>
              <w:bottom w:sz="7.200000000000728" w:val="single" w:color="#000000"/>
            </w:tcBorders>
            <w:shd w:fill="d8d9d8"/>
            <w:tcMar>
              <w:start w:w="0" w:type="dxa"/>
              <w:end w:w="0" w:type="dxa"/>
            </w:tcMar>
          </w:tcPr>
          <w:p>
            <w:pPr>
              <w:autoSpaceDN w:val="0"/>
              <w:autoSpaceDE w:val="0"/>
              <w:widowControl/>
              <w:spacing w:line="180" w:lineRule="exact" w:before="80" w:after="0"/>
              <w:ind w:left="406" w:right="0" w:firstLine="0"/>
              <w:jc w:val="left"/>
            </w:pPr>
            <w:r>
              <w:rPr>
                <w:rFonts w:ascii="宋体" w:hAnsi="宋体" w:eastAsia="宋体"/>
                <w:b w:val="0"/>
                <w:i w:val="0"/>
                <w:color w:val="000000"/>
                <w:sz w:val="18"/>
              </w:rPr>
              <w:t xml:space="preserve">增减变动比例 </w:t>
            </w:r>
          </w:p>
        </w:tc>
      </w:tr>
      <w:tr>
        <w:trPr>
          <w:trHeight w:hRule="exact" w:val="360"/>
        </w:trPr>
        <w:tc>
          <w:tcPr>
            <w:tcW w:type="dxa" w:w="3030"/>
            <w:tcBorders>
              <w:start w:sz="7.2000000000000455" w:val="single" w:color="#000000"/>
              <w:top w:sz="7.200000000000728" w:val="single" w:color="#000000"/>
              <w:end w:sz="8.0" w:val="single" w:color="#000000"/>
              <w:bottom w:sz="7.200000000000728" w:val="single" w:color="#000000"/>
            </w:tcBorders>
            <w:tcMar>
              <w:start w:w="0" w:type="dxa"/>
              <w:end w:w="0" w:type="dxa"/>
            </w:tcMar>
          </w:tcPr>
          <w:p>
            <w:pPr>
              <w:autoSpaceDN w:val="0"/>
              <w:autoSpaceDE w:val="0"/>
              <w:widowControl/>
              <w:spacing w:line="180" w:lineRule="exact" w:before="80" w:after="0"/>
              <w:ind w:left="100" w:right="0" w:firstLine="0"/>
              <w:jc w:val="left"/>
            </w:pPr>
            <w:r>
              <w:rPr>
                <w:rFonts w:ascii="新宋体" w:hAnsi="新宋体" w:eastAsia="新宋体"/>
                <w:b w:val="0"/>
                <w:i w:val="0"/>
                <w:color w:val="000000"/>
                <w:sz w:val="18"/>
              </w:rPr>
              <w:t xml:space="preserve">货币资金 </w:t>
            </w:r>
          </w:p>
        </w:tc>
        <w:tc>
          <w:tcPr>
            <w:tcW w:type="dxa" w:w="2534"/>
            <w:tcBorders>
              <w:start w:sz="8.0" w:val="single" w:color="#000000"/>
              <w:top w:sz="7.200000000000728" w:val="single" w:color="#000000"/>
              <w:end w:sz="7.199999999999818" w:val="single" w:color="#000000"/>
              <w:bottom w:sz="7.20000000000072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16,494,440,454 </w:t>
            </w:r>
          </w:p>
        </w:tc>
        <w:tc>
          <w:tcPr>
            <w:tcW w:type="dxa" w:w="2360"/>
            <w:tcBorders>
              <w:start w:sz="7.199999999999818" w:val="single" w:color="#000000"/>
              <w:top w:sz="7.200000000000728" w:val="single" w:color="#000000"/>
              <w:end w:sz="7.200000000000273" w:val="single" w:color="#000000"/>
              <w:bottom w:sz="7.20000000000072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14,503,216,743 </w:t>
            </w:r>
          </w:p>
        </w:tc>
        <w:tc>
          <w:tcPr>
            <w:tcW w:type="dxa" w:w="1922"/>
            <w:tcBorders>
              <w:start w:sz="7.200000000000273" w:val="single" w:color="#000000"/>
              <w:top w:sz="7.200000000000728" w:val="single" w:color="#000000"/>
              <w:end w:sz="8.0" w:val="single" w:color="#000000"/>
              <w:bottom w:sz="7.20000000000072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13.73% </w:t>
            </w:r>
          </w:p>
        </w:tc>
      </w:tr>
      <w:tr>
        <w:trPr>
          <w:trHeight w:hRule="exact" w:val="360"/>
        </w:trPr>
        <w:tc>
          <w:tcPr>
            <w:tcW w:type="dxa" w:w="3030"/>
            <w:tcBorders>
              <w:start w:sz="7.2000000000000455" w:val="single" w:color="#000000"/>
              <w:top w:sz="7.200000000000728" w:val="single" w:color="#000000"/>
              <w:end w:sz="8.0" w:val="single" w:color="#000000"/>
              <w:bottom w:sz="7.200000000000728" w:val="single" w:color="#000000"/>
            </w:tcBorders>
            <w:tcMar>
              <w:start w:w="0" w:type="dxa"/>
              <w:end w:w="0" w:type="dxa"/>
            </w:tcMar>
          </w:tcPr>
          <w:p>
            <w:pPr>
              <w:autoSpaceDN w:val="0"/>
              <w:autoSpaceDE w:val="0"/>
              <w:widowControl/>
              <w:spacing w:line="180" w:lineRule="exact" w:before="80" w:after="0"/>
              <w:ind w:left="100" w:right="0" w:firstLine="0"/>
              <w:jc w:val="left"/>
            </w:pPr>
            <w:r>
              <w:rPr>
                <w:rFonts w:ascii="新宋体" w:hAnsi="新宋体" w:eastAsia="新宋体"/>
                <w:b w:val="0"/>
                <w:i w:val="0"/>
                <w:color w:val="000000"/>
                <w:sz w:val="18"/>
              </w:rPr>
              <w:t xml:space="preserve">结算备付金 </w:t>
            </w:r>
          </w:p>
        </w:tc>
        <w:tc>
          <w:tcPr>
            <w:tcW w:type="dxa" w:w="2534"/>
            <w:tcBorders>
              <w:start w:sz="8.0" w:val="single" w:color="#000000"/>
              <w:top w:sz="7.200000000000728" w:val="single" w:color="#000000"/>
              <w:end w:sz="7.199999999999818" w:val="single" w:color="#000000"/>
              <w:bottom w:sz="7.20000000000072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5,082,480,845 </w:t>
            </w:r>
          </w:p>
        </w:tc>
        <w:tc>
          <w:tcPr>
            <w:tcW w:type="dxa" w:w="2360"/>
            <w:tcBorders>
              <w:start w:sz="7.199999999999818" w:val="single" w:color="#000000"/>
              <w:top w:sz="7.200000000000728" w:val="single" w:color="#000000"/>
              <w:end w:sz="7.200000000000273" w:val="single" w:color="#000000"/>
              <w:bottom w:sz="7.20000000000072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2,628,067,054 </w:t>
            </w:r>
          </w:p>
        </w:tc>
        <w:tc>
          <w:tcPr>
            <w:tcW w:type="dxa" w:w="1922"/>
            <w:tcBorders>
              <w:start w:sz="7.200000000000273" w:val="single" w:color="#000000"/>
              <w:top w:sz="7.200000000000728" w:val="single" w:color="#000000"/>
              <w:end w:sz="8.0" w:val="single" w:color="#000000"/>
              <w:bottom w:sz="7.20000000000072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93.39% </w:t>
            </w:r>
          </w:p>
        </w:tc>
      </w:tr>
    </w:tbl>
    <w:p>
      <w:pPr>
        <w:autoSpaceDN w:val="0"/>
        <w:autoSpaceDE w:val="0"/>
        <w:widowControl/>
        <w:spacing w:line="197" w:lineRule="auto" w:before="396" w:after="0"/>
        <w:ind w:left="0" w:right="0" w:firstLine="0"/>
        <w:jc w:val="center"/>
      </w:pPr>
      <w:r>
        <w:rPr>
          <w:rFonts w:ascii="Calibri" w:hAnsi="Calibri" w:eastAsia="Calibri"/>
          <w:b w:val="0"/>
          <w:i w:val="0"/>
          <w:color w:val="000000"/>
          <w:sz w:val="18"/>
        </w:rPr>
        <w:t xml:space="preserve">25 </w:t>
      </w:r>
    </w:p>
    <w:p>
      <w:pPr>
        <w:sectPr>
          <w:type w:val="continuous"/>
          <w:pgSz w:w="11904" w:h="16841"/>
          <w:pgMar w:top="424" w:right="1004" w:bottom="446" w:left="1016" w:header="720" w:footer="720" w:gutter="0"/>
          <w:cols/>
          <w:docGrid w:linePitch="360"/>
        </w:sectPr>
      </w:pPr>
    </w:p>
    <w:p>
      <w:pPr>
        <w:autoSpaceDN w:val="0"/>
        <w:autoSpaceDE w:val="0"/>
        <w:widowControl/>
        <w:spacing w:line="220" w:lineRule="exact" w:before="0" w:after="206"/>
        <w:ind w:left="0" w:right="0"/>
      </w:pPr>
    </w:p>
    <w:p>
      <w:pPr>
        <w:sectPr>
          <w:pgSz w:w="11904" w:h="16841"/>
          <w:pgMar w:top="424" w:right="1004" w:bottom="446" w:left="1016" w:header="720" w:footer="720" w:gutter="0"/>
          <w:cols/>
          <w:docGrid w:linePitch="360"/>
        </w:sectPr>
      </w:pPr>
    </w:p>
    <w:p>
      <w:pPr>
        <w:autoSpaceDN w:val="0"/>
        <w:autoSpaceDE w:val="0"/>
        <w:widowControl/>
        <w:spacing w:line="240" w:lineRule="auto" w:before="0" w:after="0"/>
        <w:ind w:left="118" w:right="0" w:firstLine="0"/>
        <w:jc w:val="left"/>
      </w:pPr>
      <w:r>
        <w:drawing>
          <wp:inline xmlns:a="http://schemas.openxmlformats.org/drawingml/2006/main" xmlns:pic="http://schemas.openxmlformats.org/drawingml/2006/picture">
            <wp:extent cx="1844039" cy="439419"/>
            <wp:docPr id="28" name="Picture 2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200" w:lineRule="exact" w:before="0" w:after="30"/>
        <w:ind w:left="0" w:right="1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8.000000000000114" w:type="dxa"/>
      </w:tblPr>
      <w:tblGrid>
        <w:gridCol w:w="2471"/>
        <w:gridCol w:w="2471"/>
        <w:gridCol w:w="2471"/>
        <w:gridCol w:w="2471"/>
      </w:tblGrid>
      <w:tr>
        <w:trPr>
          <w:trHeight w:hRule="exact" w:val="361"/>
        </w:trPr>
        <w:tc>
          <w:tcPr>
            <w:tcW w:type="dxa" w:w="3030"/>
            <w:tcBorders>
              <w:start w:sz="7.2000000000000455" w:val="single" w:color="#000000"/>
              <w:top w:sz="8.0"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78" w:after="0"/>
              <w:ind w:left="0" w:right="1234" w:firstLine="0"/>
              <w:jc w:val="right"/>
            </w:pPr>
            <w:r>
              <w:rPr>
                <w:rFonts w:ascii="宋体" w:hAnsi="宋体" w:eastAsia="宋体"/>
                <w:b w:val="0"/>
                <w:i w:val="0"/>
                <w:color w:val="000000"/>
                <w:sz w:val="18"/>
              </w:rPr>
              <w:t xml:space="preserve">项目 </w:t>
            </w:r>
          </w:p>
        </w:tc>
        <w:tc>
          <w:tcPr>
            <w:tcW w:type="dxa" w:w="2534"/>
            <w:tcBorders>
              <w:start w:sz="8.0" w:val="single" w:color="#000000"/>
              <w:top w:sz="5.600000000000023"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82" w:after="0"/>
              <w:ind w:left="512" w:right="0" w:firstLine="0"/>
              <w:jc w:val="left"/>
            </w:pPr>
            <w:r>
              <w:rPr>
                <w:rFonts w:ascii="宋体" w:hAnsi="宋体" w:eastAsia="宋体"/>
                <w:b w:val="0"/>
                <w:i w:val="0"/>
                <w:color w:val="000000"/>
                <w:sz w:val="18"/>
              </w:rPr>
              <w:t xml:space="preserve">2024 年12 月31 日 </w:t>
            </w:r>
          </w:p>
        </w:tc>
        <w:tc>
          <w:tcPr>
            <w:tcW w:type="dxa" w:w="2360"/>
            <w:tcBorders>
              <w:start w:sz="7.199999999999818" w:val="single" w:color="#000000"/>
              <w:top w:sz="5.600000000000023" w:val="single" w:color="#000000"/>
              <w:end w:sz="7.200000000000273" w:val="single" w:color="#000000"/>
              <w:bottom w:sz="8.0" w:val="single" w:color="#000000"/>
            </w:tcBorders>
            <w:shd w:fill="d8d9d8"/>
            <w:tcMar>
              <w:start w:w="0" w:type="dxa"/>
              <w:end w:w="0" w:type="dxa"/>
            </w:tcMar>
          </w:tcPr>
          <w:p>
            <w:pPr>
              <w:autoSpaceDN w:val="0"/>
              <w:autoSpaceDE w:val="0"/>
              <w:widowControl/>
              <w:spacing w:line="180" w:lineRule="exact" w:before="82" w:after="0"/>
              <w:ind w:left="428" w:right="0" w:firstLine="0"/>
              <w:jc w:val="left"/>
            </w:pPr>
            <w:r>
              <w:rPr>
                <w:rFonts w:ascii="宋体" w:hAnsi="宋体" w:eastAsia="宋体"/>
                <w:b w:val="0"/>
                <w:i w:val="0"/>
                <w:color w:val="000000"/>
                <w:sz w:val="18"/>
              </w:rPr>
              <w:t xml:space="preserve">2023 年12 月31 日 </w:t>
            </w:r>
          </w:p>
        </w:tc>
        <w:tc>
          <w:tcPr>
            <w:tcW w:type="dxa" w:w="1922"/>
            <w:tcBorders>
              <w:start w:sz="7.200000000000273" w:val="single" w:color="#000000"/>
              <w:top w:sz="5.600000000000023"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82" w:after="0"/>
              <w:ind w:left="406" w:right="0" w:firstLine="0"/>
              <w:jc w:val="left"/>
            </w:pPr>
            <w:r>
              <w:rPr>
                <w:rFonts w:ascii="宋体" w:hAnsi="宋体" w:eastAsia="宋体"/>
                <w:b w:val="0"/>
                <w:i w:val="0"/>
                <w:color w:val="000000"/>
                <w:sz w:val="18"/>
              </w:rPr>
              <w:t xml:space="preserve">增减变动比例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融出资金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7,319,303,094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6,734,948,643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8.68%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衍生金融资产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110,716,823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149,548,103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-25.97%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买入返售金融资产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1,942,522,705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1,877,777,871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3.45%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应收款项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98,496,467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92,600,783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6.37%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存出保证金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616,774,097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1,405,469,194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-56.12%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交易性金融资产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33,627,010,546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34,658,175,307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-2.98%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债权投资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27,426,901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29,141,162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-5.88%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其他债权投资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57,443,663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89,867,451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-36.08%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其他权益工具投资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177,398,650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199,680,144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-11.16%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长期股权投资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6,478,519,948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6,478,519,948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0.00%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固定资产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355,055,161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350,148,047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1.40%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使用权资产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165,510,009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193,266,471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-14.36%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无形资产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232,770,106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199,992,985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16.39%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商誉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49,096,844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49,096,844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0.00%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递延所得税资产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4,829,961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57,861,590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-91.65% </w:t>
            </w:r>
          </w:p>
        </w:tc>
      </w:tr>
      <w:tr>
        <w:trPr>
          <w:trHeight w:hRule="exact" w:val="362"/>
        </w:trPr>
        <w:tc>
          <w:tcPr>
            <w:tcW w:type="dxa" w:w="3030"/>
            <w:tcBorders>
              <w:start w:sz="7.2000000000000455"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其他资产 </w:t>
            </w:r>
          </w:p>
        </w:tc>
        <w:tc>
          <w:tcPr>
            <w:tcW w:type="dxa" w:w="2534"/>
            <w:tcBorders>
              <w:start w:sz="8.0"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520,247,784 </w:t>
            </w:r>
          </w:p>
        </w:tc>
        <w:tc>
          <w:tcPr>
            <w:tcW w:type="dxa" w:w="2360"/>
            <w:tcBorders>
              <w:start w:sz="7.199999999999818"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735,183,954 </w:t>
            </w:r>
          </w:p>
        </w:tc>
        <w:tc>
          <w:tcPr>
            <w:tcW w:type="dxa" w:w="1922"/>
            <w:tcBorders>
              <w:start w:sz="7.200000000000273"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-29.24%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资产总额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73,360,044,058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70,432,562,294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4.16%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应付短期融资款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837,208,563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-100.00%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拆入资金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10,333,096,752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12,793,602,454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-19.23%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交易性金融负债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3,369,245,850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1,512,007,369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122.83%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衍生金融负债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80,519,961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71,950,030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11.91%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卖出回购金融资产款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12,605,522,054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10,220,788,787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23.33% </w:t>
            </w:r>
          </w:p>
        </w:tc>
      </w:tr>
      <w:tr>
        <w:trPr>
          <w:trHeight w:hRule="exact" w:val="358"/>
        </w:trPr>
        <w:tc>
          <w:tcPr>
            <w:tcW w:type="dxa" w:w="3030"/>
            <w:tcBorders>
              <w:start w:sz="7.2000000000000455"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180" w:lineRule="exact" w:before="76" w:after="0"/>
              <w:ind w:left="100" w:right="0" w:firstLine="0"/>
              <w:jc w:val="left"/>
            </w:pPr>
            <w:r>
              <w:rPr>
                <w:rFonts w:ascii="新宋体" w:hAnsi="新宋体" w:eastAsia="新宋体"/>
                <w:b w:val="0"/>
                <w:i w:val="0"/>
                <w:color w:val="000000"/>
                <w:sz w:val="18"/>
              </w:rPr>
              <w:t xml:space="preserve">代理买卖证券款 </w:t>
            </w:r>
          </w:p>
        </w:tc>
        <w:tc>
          <w:tcPr>
            <w:tcW w:type="dxa" w:w="2534"/>
            <w:tcBorders>
              <w:start w:sz="8.0"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12,867,884,415 </w:t>
            </w:r>
          </w:p>
        </w:tc>
        <w:tc>
          <w:tcPr>
            <w:tcW w:type="dxa" w:w="2360"/>
            <w:tcBorders>
              <w:start w:sz="7.199999999999818" w:val="single" w:color="#000000"/>
              <w:top w:sz="7.199999999999818"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9,343,466,297 </w:t>
            </w:r>
          </w:p>
        </w:tc>
        <w:tc>
          <w:tcPr>
            <w:tcW w:type="dxa" w:w="1922"/>
            <w:tcBorders>
              <w:start w:sz="7.200000000000273"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37.72%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应付职工薪酬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93,316,346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54,338,613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71.73% </w:t>
            </w:r>
          </w:p>
        </w:tc>
      </w:tr>
      <w:tr>
        <w:trPr>
          <w:trHeight w:hRule="exact" w:val="360"/>
        </w:trPr>
        <w:tc>
          <w:tcPr>
            <w:tcW w:type="dxa" w:w="3030"/>
            <w:tcBorders>
              <w:start w:sz="7.2000000000000455"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应交税费 </w:t>
            </w:r>
          </w:p>
        </w:tc>
        <w:tc>
          <w:tcPr>
            <w:tcW w:type="dxa" w:w="2534"/>
            <w:tcBorders>
              <w:start w:sz="8.0"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30,623,891 </w:t>
            </w:r>
          </w:p>
        </w:tc>
        <w:tc>
          <w:tcPr>
            <w:tcW w:type="dxa" w:w="2360"/>
            <w:tcBorders>
              <w:start w:sz="7.199999999999818"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35,154,947 </w:t>
            </w:r>
          </w:p>
        </w:tc>
        <w:tc>
          <w:tcPr>
            <w:tcW w:type="dxa" w:w="1922"/>
            <w:tcBorders>
              <w:start w:sz="7.200000000000273"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-12.89%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应付款项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89,421,187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173,091,619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-48.34%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应付债券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15,157,817,458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15,802,023,405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-4.08%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租赁负债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175,541,755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204,597,828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-14.20%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其他负债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1,015,055,155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1,956,348,419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-48.11%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负债总额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55,818,044,824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53,004,578,331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5.31%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股本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3,589,771,547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3,589,771,547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0.00%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资本公积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9,688,853,085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9,688,853,085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0.00% </w:t>
            </w:r>
          </w:p>
        </w:tc>
      </w:tr>
      <w:tr>
        <w:trPr>
          <w:trHeight w:hRule="exact" w:val="362"/>
        </w:trPr>
        <w:tc>
          <w:tcPr>
            <w:tcW w:type="dxa" w:w="3030"/>
            <w:tcBorders>
              <w:start w:sz="7.2000000000000455"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其他综合收益 </w:t>
            </w:r>
          </w:p>
        </w:tc>
        <w:tc>
          <w:tcPr>
            <w:tcW w:type="dxa" w:w="2534"/>
            <w:tcBorders>
              <w:start w:sz="8.0"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-149,073,633 </w:t>
            </w:r>
          </w:p>
        </w:tc>
        <w:tc>
          <w:tcPr>
            <w:tcW w:type="dxa" w:w="2360"/>
            <w:tcBorders>
              <w:start w:sz="7.199999999999818" w:val="single" w:color="#000000"/>
              <w:top w:sz="7.199999999999818"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-145,769,934 </w:t>
            </w:r>
          </w:p>
        </w:tc>
        <w:tc>
          <w:tcPr>
            <w:tcW w:type="dxa" w:w="1922"/>
            <w:tcBorders>
              <w:start w:sz="7.200000000000273"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0" w:right="8" w:firstLine="0"/>
              <w:jc w:val="right"/>
            </w:pPr>
            <w:r>
              <w:rPr>
                <w:rFonts w:ascii="宋体" w:hAnsi="宋体" w:eastAsia="宋体"/>
                <w:b w:val="0"/>
                <w:i w:val="0"/>
                <w:color w:val="000000"/>
                <w:sz w:val="18"/>
              </w:rPr>
              <w:t xml:space="preserve">不适用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盈余公积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875,364,199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813,347,453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7.62%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一般风险准备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884,875,888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822,859,142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7.54%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交易风险准备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884,875,888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822,859,142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7.54%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未分配利润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1,767,332,260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1,836,063,528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-3.74% </w:t>
            </w:r>
          </w:p>
        </w:tc>
      </w:tr>
    </w:tbl>
    <w:p>
      <w:pPr>
        <w:autoSpaceDN w:val="0"/>
        <w:autoSpaceDE w:val="0"/>
        <w:widowControl/>
        <w:spacing w:line="197" w:lineRule="auto" w:before="438" w:after="0"/>
        <w:ind w:left="0" w:right="0" w:firstLine="0"/>
        <w:jc w:val="center"/>
      </w:pPr>
      <w:r>
        <w:rPr>
          <w:rFonts w:ascii="Calibri" w:hAnsi="Calibri" w:eastAsia="Calibri"/>
          <w:b w:val="0"/>
          <w:i w:val="0"/>
          <w:color w:val="000000"/>
          <w:sz w:val="18"/>
        </w:rPr>
        <w:t xml:space="preserve">26 </w:t>
      </w:r>
    </w:p>
    <w:p>
      <w:pPr>
        <w:sectPr>
          <w:type w:val="continuous"/>
          <w:pgSz w:w="11904" w:h="16841"/>
          <w:pgMar w:top="424" w:right="1004" w:bottom="446" w:left="1016" w:header="720" w:footer="720" w:gutter="0"/>
          <w:cols/>
          <w:docGrid w:linePitch="360"/>
        </w:sectPr>
      </w:pPr>
    </w:p>
    <w:p>
      <w:pPr>
        <w:autoSpaceDN w:val="0"/>
        <w:autoSpaceDE w:val="0"/>
        <w:widowControl/>
        <w:spacing w:line="220" w:lineRule="exact" w:before="0" w:after="206"/>
        <w:ind w:left="0" w:right="0"/>
      </w:pPr>
    </w:p>
    <w:p>
      <w:pPr>
        <w:sectPr>
          <w:pgSz w:w="11904" w:h="16841"/>
          <w:pgMar w:top="424" w:right="1004" w:bottom="446" w:left="1016" w:header="720" w:footer="720" w:gutter="0"/>
          <w:cols/>
          <w:docGrid w:linePitch="360"/>
        </w:sectPr>
      </w:pPr>
    </w:p>
    <w:p>
      <w:pPr>
        <w:autoSpaceDN w:val="0"/>
        <w:autoSpaceDE w:val="0"/>
        <w:widowControl/>
        <w:spacing w:line="240" w:lineRule="auto" w:before="0" w:after="0"/>
        <w:ind w:left="118" w:right="0" w:firstLine="0"/>
        <w:jc w:val="left"/>
      </w:pPr>
      <w:r>
        <w:drawing>
          <wp:inline xmlns:a="http://schemas.openxmlformats.org/drawingml/2006/main" xmlns:pic="http://schemas.openxmlformats.org/drawingml/2006/picture">
            <wp:extent cx="1844039" cy="439419"/>
            <wp:docPr id="29" name="Picture 2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200" w:lineRule="exact" w:before="0" w:after="30"/>
        <w:ind w:left="0" w:right="1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4" w:bottom="446" w:left="1016" w:header="720" w:footer="720" w:gutter="0"/>
          <w:cols w:num="2" w:equalWidth="0">
            <w:col w:w="5524" w:space="0"/>
            <w:col w:w="436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8.000000000000114" w:type="dxa"/>
      </w:tblPr>
      <w:tblGrid>
        <w:gridCol w:w="2471"/>
        <w:gridCol w:w="2471"/>
        <w:gridCol w:w="2471"/>
        <w:gridCol w:w="2471"/>
      </w:tblGrid>
      <w:tr>
        <w:trPr>
          <w:trHeight w:hRule="exact" w:val="361"/>
        </w:trPr>
        <w:tc>
          <w:tcPr>
            <w:tcW w:type="dxa" w:w="3030"/>
            <w:tcBorders>
              <w:start w:sz="7.2000000000000455" w:val="single" w:color="#000000"/>
              <w:top w:sz="8.0"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78" w:after="0"/>
              <w:ind w:left="0" w:right="1234" w:firstLine="0"/>
              <w:jc w:val="right"/>
            </w:pPr>
            <w:r>
              <w:rPr>
                <w:rFonts w:ascii="宋体" w:hAnsi="宋体" w:eastAsia="宋体"/>
                <w:b w:val="0"/>
                <w:i w:val="0"/>
                <w:color w:val="000000"/>
                <w:sz w:val="18"/>
              </w:rPr>
              <w:t xml:space="preserve">项目 </w:t>
            </w:r>
          </w:p>
        </w:tc>
        <w:tc>
          <w:tcPr>
            <w:tcW w:type="dxa" w:w="2534"/>
            <w:tcBorders>
              <w:start w:sz="8.0" w:val="single" w:color="#000000"/>
              <w:top w:sz="5.600000000000023"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82" w:after="0"/>
              <w:ind w:left="512" w:right="0" w:firstLine="0"/>
              <w:jc w:val="left"/>
            </w:pPr>
            <w:r>
              <w:rPr>
                <w:rFonts w:ascii="宋体" w:hAnsi="宋体" w:eastAsia="宋体"/>
                <w:b w:val="0"/>
                <w:i w:val="0"/>
                <w:color w:val="000000"/>
                <w:sz w:val="18"/>
              </w:rPr>
              <w:t xml:space="preserve">2024 年12 月31 日 </w:t>
            </w:r>
          </w:p>
        </w:tc>
        <w:tc>
          <w:tcPr>
            <w:tcW w:type="dxa" w:w="2360"/>
            <w:tcBorders>
              <w:start w:sz="7.199999999999818" w:val="single" w:color="#000000"/>
              <w:top w:sz="5.600000000000023" w:val="single" w:color="#000000"/>
              <w:end w:sz="7.200000000000273" w:val="single" w:color="#000000"/>
              <w:bottom w:sz="8.0" w:val="single" w:color="#000000"/>
            </w:tcBorders>
            <w:shd w:fill="d8d9d8"/>
            <w:tcMar>
              <w:start w:w="0" w:type="dxa"/>
              <w:end w:w="0" w:type="dxa"/>
            </w:tcMar>
          </w:tcPr>
          <w:p>
            <w:pPr>
              <w:autoSpaceDN w:val="0"/>
              <w:autoSpaceDE w:val="0"/>
              <w:widowControl/>
              <w:spacing w:line="180" w:lineRule="exact" w:before="82" w:after="0"/>
              <w:ind w:left="428" w:right="0" w:firstLine="0"/>
              <w:jc w:val="left"/>
            </w:pPr>
            <w:r>
              <w:rPr>
                <w:rFonts w:ascii="宋体" w:hAnsi="宋体" w:eastAsia="宋体"/>
                <w:b w:val="0"/>
                <w:i w:val="0"/>
                <w:color w:val="000000"/>
                <w:sz w:val="18"/>
              </w:rPr>
              <w:t xml:space="preserve">2023 年12 月31 日 </w:t>
            </w:r>
          </w:p>
        </w:tc>
        <w:tc>
          <w:tcPr>
            <w:tcW w:type="dxa" w:w="1922"/>
            <w:tcBorders>
              <w:start w:sz="7.200000000000273" w:val="single" w:color="#000000"/>
              <w:top w:sz="5.600000000000023"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82" w:after="0"/>
              <w:ind w:left="406" w:right="0" w:firstLine="0"/>
              <w:jc w:val="left"/>
            </w:pPr>
            <w:r>
              <w:rPr>
                <w:rFonts w:ascii="宋体" w:hAnsi="宋体" w:eastAsia="宋体"/>
                <w:b w:val="0"/>
                <w:i w:val="0"/>
                <w:color w:val="000000"/>
                <w:sz w:val="18"/>
              </w:rPr>
              <w:t xml:space="preserve">增减变动比例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新宋体" w:hAnsi="新宋体" w:eastAsia="新宋体"/>
                <w:b w:val="0"/>
                <w:i w:val="0"/>
                <w:color w:val="000000"/>
                <w:sz w:val="18"/>
              </w:rPr>
              <w:t xml:space="preserve">所有者权益合计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17,541,999,234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17,427,983,963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0.65% </w:t>
            </w:r>
          </w:p>
        </w:tc>
      </w:tr>
      <w:tr>
        <w:trPr>
          <w:trHeight w:hRule="exact" w:val="360"/>
        </w:trPr>
        <w:tc>
          <w:tcPr>
            <w:tcW w:type="dxa" w:w="3030"/>
            <w:tcBorders>
              <w:start w:sz="7.2000000000000455" w:val="single" w:color="#000000"/>
              <w:top w:sz="8.0"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78" w:after="0"/>
              <w:ind w:left="0" w:right="1234" w:firstLine="0"/>
              <w:jc w:val="right"/>
            </w:pPr>
            <w:r>
              <w:rPr>
                <w:rFonts w:ascii="宋体" w:hAnsi="宋体" w:eastAsia="宋体"/>
                <w:b w:val="0"/>
                <w:i w:val="0"/>
                <w:color w:val="000000"/>
                <w:sz w:val="18"/>
              </w:rPr>
              <w:t xml:space="preserve">项目 </w:t>
            </w:r>
          </w:p>
        </w:tc>
        <w:tc>
          <w:tcPr>
            <w:tcW w:type="dxa" w:w="2534"/>
            <w:tcBorders>
              <w:start w:sz="8.0" w:val="single" w:color="#000000"/>
              <w:top w:sz="8.0" w:val="single" w:color="#000000"/>
              <w:end w:sz="7.199999999999818" w:val="single" w:color="#000000"/>
              <w:bottom w:sz="8.0" w:val="single" w:color="#000000"/>
            </w:tcBorders>
            <w:shd w:fill="d8d9d8"/>
            <w:tcMar>
              <w:start w:w="0" w:type="dxa"/>
              <w:end w:w="0" w:type="dxa"/>
            </w:tcMar>
          </w:tcPr>
          <w:p>
            <w:pPr>
              <w:autoSpaceDN w:val="0"/>
              <w:autoSpaceDE w:val="0"/>
              <w:widowControl/>
              <w:spacing w:line="180" w:lineRule="exact" w:before="78" w:after="0"/>
              <w:ind w:left="0" w:right="870" w:firstLine="0"/>
              <w:jc w:val="right"/>
            </w:pPr>
            <w:r>
              <w:rPr>
                <w:rFonts w:ascii="宋体" w:hAnsi="宋体" w:eastAsia="宋体"/>
                <w:b w:val="0"/>
                <w:i w:val="0"/>
                <w:color w:val="000000"/>
                <w:sz w:val="18"/>
              </w:rPr>
              <w:t xml:space="preserve">2024 年 </w:t>
            </w:r>
          </w:p>
        </w:tc>
        <w:tc>
          <w:tcPr>
            <w:tcW w:type="dxa" w:w="2360"/>
            <w:tcBorders>
              <w:start w:sz="7.199999999999818" w:val="single" w:color="#000000"/>
              <w:top w:sz="8.0" w:val="single" w:color="#000000"/>
              <w:end w:sz="7.200000000000273" w:val="single" w:color="#000000"/>
              <w:bottom w:sz="8.0" w:val="single" w:color="#000000"/>
            </w:tcBorders>
            <w:shd w:fill="d8d9d8"/>
            <w:tcMar>
              <w:start w:w="0" w:type="dxa"/>
              <w:end w:w="0" w:type="dxa"/>
            </w:tcMar>
          </w:tcPr>
          <w:p>
            <w:pPr>
              <w:autoSpaceDN w:val="0"/>
              <w:autoSpaceDE w:val="0"/>
              <w:widowControl/>
              <w:spacing w:line="180" w:lineRule="exact" w:before="78" w:after="0"/>
              <w:ind w:left="0" w:right="784" w:firstLine="0"/>
              <w:jc w:val="right"/>
            </w:pPr>
            <w:r>
              <w:rPr>
                <w:rFonts w:ascii="宋体" w:hAnsi="宋体" w:eastAsia="宋体"/>
                <w:b w:val="0"/>
                <w:i w:val="0"/>
                <w:color w:val="000000"/>
                <w:sz w:val="18"/>
              </w:rPr>
              <w:t xml:space="preserve">2023 年 </w:t>
            </w:r>
          </w:p>
        </w:tc>
        <w:tc>
          <w:tcPr>
            <w:tcW w:type="dxa" w:w="1922"/>
            <w:tcBorders>
              <w:start w:sz="7.200000000000273" w:val="single" w:color="#000000"/>
              <w:top w:sz="8.0" w:val="single" w:color="#000000"/>
              <w:end w:sz="8.0" w:val="single" w:color="#000000"/>
              <w:bottom w:sz="8.0" w:val="single" w:color="#000000"/>
            </w:tcBorders>
            <w:shd w:fill="d8d9d8"/>
            <w:tcMar>
              <w:start w:w="0" w:type="dxa"/>
              <w:end w:w="0" w:type="dxa"/>
            </w:tcMar>
          </w:tcPr>
          <w:p>
            <w:pPr>
              <w:autoSpaceDN w:val="0"/>
              <w:autoSpaceDE w:val="0"/>
              <w:widowControl/>
              <w:spacing w:line="180" w:lineRule="exact" w:before="78" w:after="0"/>
              <w:ind w:left="406" w:right="0" w:firstLine="0"/>
              <w:jc w:val="left"/>
            </w:pPr>
            <w:r>
              <w:rPr>
                <w:rFonts w:ascii="宋体" w:hAnsi="宋体" w:eastAsia="宋体"/>
                <w:b w:val="0"/>
                <w:i w:val="0"/>
                <w:color w:val="000000"/>
                <w:sz w:val="18"/>
              </w:rPr>
              <w:t xml:space="preserve">增减变动比例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营业收入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2,089,130,570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2,330,512,930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-10.36%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手续费及佣金净收入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880,537,206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873,427,963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0.81%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利息净收入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-189,231,595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-279,965,155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0" w:right="8" w:firstLine="0"/>
              <w:jc w:val="right"/>
            </w:pPr>
            <w:r>
              <w:rPr>
                <w:rFonts w:ascii="宋体" w:hAnsi="宋体" w:eastAsia="宋体"/>
                <w:b w:val="0"/>
                <w:i w:val="0"/>
                <w:color w:val="000000"/>
                <w:sz w:val="18"/>
              </w:rPr>
              <w:t xml:space="preserve">不适用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投资收益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1,116,839,081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1,241,958,816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-10.07%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公允价值变动收益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269,359,851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180,001,538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49.64%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汇兑损益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-2,515,789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1,228,588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100" w:firstLine="0"/>
              <w:jc w:val="right"/>
            </w:pPr>
            <w:r>
              <w:rPr>
                <w:rFonts w:ascii="Calibri" w:hAnsi="Calibri" w:eastAsia="Calibri"/>
                <w:b w:val="0"/>
                <w:i w:val="0"/>
                <w:color w:val="000000"/>
                <w:sz w:val="18"/>
              </w:rPr>
              <w:t>-304.77%</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其他业务收入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8,335,570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297,741,356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-97.20%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其他收益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 6,220,728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14,386,777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-56.76%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资产处置收益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-414,482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1,733,047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100" w:firstLine="0"/>
              <w:jc w:val="right"/>
            </w:pPr>
            <w:r>
              <w:rPr>
                <w:rFonts w:ascii="Calibri" w:hAnsi="Calibri" w:eastAsia="Calibri"/>
                <w:b w:val="0"/>
                <w:i w:val="0"/>
                <w:color w:val="000000"/>
                <w:sz w:val="18"/>
              </w:rPr>
              <w:t>-123.92%</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营业支出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1,412,106,646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1,716,219,783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-17.72%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税金及附加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11,446,817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18,619,909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-38.52%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业务及管理费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1,393,603,997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1,415,363,829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-1.54% </w:t>
            </w:r>
          </w:p>
        </w:tc>
      </w:tr>
      <w:tr>
        <w:trPr>
          <w:trHeight w:hRule="exact" w:val="360"/>
        </w:trPr>
        <w:tc>
          <w:tcPr>
            <w:tcW w:type="dxa" w:w="3030"/>
            <w:tcBorders>
              <w:start w:sz="7.2000000000000455" w:val="single" w:color="#000000"/>
              <w:top w:sz="8.0" w:val="single" w:color="#000000"/>
              <w:end w:sz="8.0" w:val="single" w:color="#000000"/>
              <w:bottom w:sz="8.0"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信用减值损失 </w:t>
            </w:r>
          </w:p>
        </w:tc>
        <w:tc>
          <w:tcPr>
            <w:tcW w:type="dxa" w:w="2534"/>
            <w:tcBorders>
              <w:start w:sz="8.0" w:val="single" w:color="#000000"/>
              <w:top w:sz="8.0" w:val="single" w:color="#000000"/>
              <w:end w:sz="7.199999999999818" w:val="single" w:color="#000000"/>
              <w:bottom w:sz="8.0"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7,055,832 </w:t>
            </w:r>
          </w:p>
        </w:tc>
        <w:tc>
          <w:tcPr>
            <w:tcW w:type="dxa" w:w="2360"/>
            <w:tcBorders>
              <w:start w:sz="7.199999999999818" w:val="single" w:color="#000000"/>
              <w:top w:sz="8.0" w:val="single" w:color="#000000"/>
              <w:end w:sz="7.200000000000273" w:val="single" w:color="#000000"/>
              <w:bottom w:sz="8.0"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2,966,402 </w:t>
            </w:r>
          </w:p>
        </w:tc>
        <w:tc>
          <w:tcPr>
            <w:tcW w:type="dxa" w:w="1922"/>
            <w:tcBorders>
              <w:start w:sz="7.200000000000273" w:val="single" w:color="#000000"/>
              <w:top w:sz="8.0" w:val="single" w:color="#000000"/>
              <w:end w:sz="8.0" w:val="single" w:color="#000000"/>
              <w:bottom w:sz="8.0" w:val="single" w:color="#000000"/>
            </w:tcBorders>
            <w:tcMar>
              <w:start w:w="0" w:type="dxa"/>
              <w:end w:w="0" w:type="dxa"/>
            </w:tcMar>
          </w:tcPr>
          <w:p>
            <w:pPr>
              <w:autoSpaceDN w:val="0"/>
              <w:autoSpaceDE w:val="0"/>
              <w:widowControl/>
              <w:spacing w:line="197" w:lineRule="auto" w:before="96" w:after="0"/>
              <w:ind w:left="0" w:right="58" w:firstLine="0"/>
              <w:jc w:val="right"/>
            </w:pPr>
            <w:r>
              <w:rPr>
                <w:rFonts w:ascii="Calibri" w:hAnsi="Calibri" w:eastAsia="Calibri"/>
                <w:b w:val="0"/>
                <w:i w:val="0"/>
                <w:color w:val="000000"/>
                <w:sz w:val="18"/>
              </w:rPr>
              <w:t xml:space="preserve">137.86% </w:t>
            </w:r>
          </w:p>
        </w:tc>
      </w:tr>
      <w:tr>
        <w:trPr>
          <w:trHeight w:hRule="exact" w:val="362"/>
        </w:trPr>
        <w:tc>
          <w:tcPr>
            <w:tcW w:type="dxa" w:w="3030"/>
            <w:tcBorders>
              <w:start w:sz="7.2000000000000455"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100" w:right="0" w:firstLine="0"/>
              <w:jc w:val="left"/>
            </w:pPr>
            <w:r>
              <w:rPr>
                <w:rFonts w:ascii="宋体" w:hAnsi="宋体" w:eastAsia="宋体"/>
                <w:b w:val="0"/>
                <w:i w:val="0"/>
                <w:color w:val="000000"/>
                <w:sz w:val="18"/>
              </w:rPr>
              <w:t xml:space="preserve">其他资产减值损失 </w:t>
            </w:r>
          </w:p>
        </w:tc>
        <w:tc>
          <w:tcPr>
            <w:tcW w:type="dxa" w:w="2534"/>
            <w:tcBorders>
              <w:start w:sz="8.0"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6" w:after="0"/>
              <w:ind w:left="0" w:right="54" w:firstLine="0"/>
              <w:jc w:val="right"/>
            </w:pPr>
            <w:r>
              <w:rPr>
                <w:rFonts w:ascii="Calibri" w:hAnsi="Calibri" w:eastAsia="Calibri"/>
                <w:b w:val="0"/>
                <w:i w:val="0"/>
                <w:color w:val="000000"/>
                <w:sz w:val="18"/>
              </w:rPr>
              <w:t xml:space="preserve"> - </w:t>
            </w:r>
          </w:p>
        </w:tc>
        <w:tc>
          <w:tcPr>
            <w:tcW w:type="dxa" w:w="2360"/>
            <w:tcBorders>
              <w:start w:sz="7.199999999999818" w:val="single" w:color="#000000"/>
              <w:top w:sz="8.0"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6" w:after="0"/>
              <w:ind w:left="0" w:right="56" w:firstLine="0"/>
              <w:jc w:val="right"/>
            </w:pPr>
            <w:r>
              <w:rPr>
                <w:rFonts w:ascii="Calibri" w:hAnsi="Calibri" w:eastAsia="Calibri"/>
                <w:b w:val="0"/>
                <w:i w:val="0"/>
                <w:color w:val="000000"/>
                <w:sz w:val="18"/>
              </w:rPr>
              <w:t xml:space="preserve">-20,118,874 </w:t>
            </w:r>
          </w:p>
        </w:tc>
        <w:tc>
          <w:tcPr>
            <w:tcW w:type="dxa" w:w="1922"/>
            <w:tcBorders>
              <w:start w:sz="7.200000000000273"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8" w:after="0"/>
              <w:ind w:left="0" w:right="98" w:firstLine="0"/>
              <w:jc w:val="right"/>
            </w:pPr>
            <w:r>
              <w:rPr>
                <w:rFonts w:ascii="宋体" w:hAnsi="宋体" w:eastAsia="宋体"/>
                <w:b w:val="0"/>
                <w:i w:val="0"/>
                <w:color w:val="000000"/>
                <w:sz w:val="18"/>
              </w:rPr>
              <w:t>不适用</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其他业务成本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 -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299,388,517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-100.00%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净利润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620,167,456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517,965,462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19.73% </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其他综合收益的税后净额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-3,584,169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8,803,460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100" w:firstLine="0"/>
              <w:jc w:val="right"/>
            </w:pPr>
            <w:r>
              <w:rPr>
                <w:rFonts w:ascii="Calibri" w:hAnsi="Calibri" w:eastAsia="Calibri"/>
                <w:b w:val="0"/>
                <w:i w:val="0"/>
                <w:color w:val="000000"/>
                <w:sz w:val="18"/>
              </w:rPr>
              <w:t>-140.71%</w:t>
            </w:r>
          </w:p>
        </w:tc>
      </w:tr>
      <w:tr>
        <w:trPr>
          <w:trHeight w:hRule="exact" w:val="360"/>
        </w:trPr>
        <w:tc>
          <w:tcPr>
            <w:tcW w:type="dxa" w:w="3030"/>
            <w:tcBorders>
              <w:start w:sz="7.2000000000000455"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80" w:lineRule="exact" w:before="76" w:after="0"/>
              <w:ind w:left="100" w:right="0" w:firstLine="0"/>
              <w:jc w:val="left"/>
            </w:pPr>
            <w:r>
              <w:rPr>
                <w:rFonts w:ascii="宋体" w:hAnsi="宋体" w:eastAsia="宋体"/>
                <w:b w:val="0"/>
                <w:i w:val="0"/>
                <w:color w:val="000000"/>
                <w:sz w:val="18"/>
              </w:rPr>
              <w:t xml:space="preserve">综合收益总额 </w:t>
            </w:r>
          </w:p>
        </w:tc>
        <w:tc>
          <w:tcPr>
            <w:tcW w:type="dxa" w:w="2534"/>
            <w:tcBorders>
              <w:start w:sz="8.0" w:val="single" w:color="#000000"/>
              <w:top w:sz="7.199999999999818" w:val="single" w:color="#000000"/>
              <w:end w:sz="7.199999999999818" w:val="single" w:color="#000000"/>
              <w:bottom w:sz="7.199999999999818" w:val="single" w:color="#000000"/>
            </w:tcBorders>
            <w:tcMar>
              <w:start w:w="0" w:type="dxa"/>
              <w:end w:w="0" w:type="dxa"/>
            </w:tcMar>
          </w:tcPr>
          <w:p>
            <w:pPr>
              <w:autoSpaceDN w:val="0"/>
              <w:autoSpaceDE w:val="0"/>
              <w:widowControl/>
              <w:spacing w:line="197" w:lineRule="auto" w:before="94" w:after="0"/>
              <w:ind w:left="0" w:right="54" w:firstLine="0"/>
              <w:jc w:val="right"/>
            </w:pPr>
            <w:r>
              <w:rPr>
                <w:rFonts w:ascii="Calibri" w:hAnsi="Calibri" w:eastAsia="Calibri"/>
                <w:b w:val="0"/>
                <w:i w:val="0"/>
                <w:color w:val="000000"/>
                <w:sz w:val="18"/>
              </w:rPr>
              <w:t xml:space="preserve">616,583,287 </w:t>
            </w:r>
          </w:p>
        </w:tc>
        <w:tc>
          <w:tcPr>
            <w:tcW w:type="dxa" w:w="2360"/>
            <w:tcBorders>
              <w:start w:sz="7.199999999999818" w:val="single" w:color="#000000"/>
              <w:top w:sz="7.199999999999818" w:val="single" w:color="#000000"/>
              <w:end w:sz="7.200000000000273" w:val="single" w:color="#000000"/>
              <w:bottom w:sz="7.199999999999818" w:val="single" w:color="#000000"/>
            </w:tcBorders>
            <w:tcMar>
              <w:start w:w="0" w:type="dxa"/>
              <w:end w:w="0" w:type="dxa"/>
            </w:tcMar>
          </w:tcPr>
          <w:p>
            <w:pPr>
              <w:autoSpaceDN w:val="0"/>
              <w:autoSpaceDE w:val="0"/>
              <w:widowControl/>
              <w:spacing w:line="197" w:lineRule="auto" w:before="94" w:after="0"/>
              <w:ind w:left="0" w:right="56" w:firstLine="0"/>
              <w:jc w:val="right"/>
            </w:pPr>
            <w:r>
              <w:rPr>
                <w:rFonts w:ascii="Calibri" w:hAnsi="Calibri" w:eastAsia="Calibri"/>
                <w:b w:val="0"/>
                <w:i w:val="0"/>
                <w:color w:val="000000"/>
                <w:sz w:val="18"/>
              </w:rPr>
              <w:t xml:space="preserve">526,768,922 </w:t>
            </w:r>
          </w:p>
        </w:tc>
        <w:tc>
          <w:tcPr>
            <w:tcW w:type="dxa" w:w="1922"/>
            <w:tcBorders>
              <w:start w:sz="7.200000000000273"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197" w:lineRule="auto" w:before="94" w:after="0"/>
              <w:ind w:left="0" w:right="58" w:firstLine="0"/>
              <w:jc w:val="right"/>
            </w:pPr>
            <w:r>
              <w:rPr>
                <w:rFonts w:ascii="Calibri" w:hAnsi="Calibri" w:eastAsia="Calibri"/>
                <w:b w:val="0"/>
                <w:i w:val="0"/>
                <w:color w:val="000000"/>
                <w:sz w:val="18"/>
              </w:rPr>
              <w:t xml:space="preserve">17.05% </w:t>
            </w:r>
          </w:p>
        </w:tc>
      </w:tr>
    </w:tbl>
    <w:p>
      <w:pPr>
        <w:autoSpaceDN w:val="0"/>
        <w:autoSpaceDE w:val="0"/>
        <w:widowControl/>
        <w:spacing w:line="240" w:lineRule="exact" w:before="660" w:after="0"/>
        <w:ind w:left="118" w:right="0" w:firstLine="0"/>
        <w:jc w:val="left"/>
      </w:pPr>
      <w:r>
        <w:rPr>
          <w:rFonts w:ascii="宋体" w:hAnsi="宋体" w:eastAsia="宋体"/>
          <w:b w:val="0"/>
          <w:i w:val="0"/>
          <w:color w:val="000000"/>
          <w:sz w:val="24"/>
        </w:rPr>
        <w:t xml:space="preserve">十四、母公司净资本及有关风险控制指标 </w:t>
      </w:r>
    </w:p>
    <w:p>
      <w:pPr>
        <w:autoSpaceDN w:val="0"/>
        <w:autoSpaceDE w:val="0"/>
        <w:widowControl/>
        <w:spacing w:line="180" w:lineRule="exact" w:before="364" w:after="66"/>
        <w:ind w:left="0" w:right="224"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116.00000000000009" w:type="dxa"/>
      </w:tblPr>
      <w:tblGrid>
        <w:gridCol w:w="2471"/>
        <w:gridCol w:w="2471"/>
        <w:gridCol w:w="2471"/>
        <w:gridCol w:w="2471"/>
      </w:tblGrid>
      <w:tr>
        <w:trPr>
          <w:trHeight w:hRule="exact" w:val="328"/>
        </w:trPr>
        <w:tc>
          <w:tcPr>
            <w:tcW w:type="dxa" w:w="2412"/>
            <w:tcBorders>
              <w:start w:sz="2.3999999999999773" w:val="single" w:color="#000000"/>
              <w:top w:sz="2.399999999999636"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826" w:firstLine="0"/>
                    <w:jc w:val="right"/>
                  </w:pPr>
                  <w:r>
                    <w:rPr>
                      <w:rFonts w:ascii="宋体" w:hAnsi="宋体" w:eastAsia="宋体"/>
                      <w:b w:val="0"/>
                      <w:i w:val="0"/>
                      <w:color w:val="000000"/>
                      <w:sz w:val="18"/>
                    </w:rPr>
                    <w:t xml:space="preserve">项目 </w:t>
                  </w:r>
                </w:p>
              </w:tc>
            </w:tr>
          </w:tbl>
          <w:p>
            <w:pPr>
              <w:autoSpaceDN w:val="0"/>
              <w:autoSpaceDE w:val="0"/>
              <w:widowControl/>
              <w:spacing w:line="14" w:lineRule="exact" w:before="0" w:after="0"/>
              <w:ind w:left="0" w:right="0"/>
            </w:pPr>
          </w:p>
        </w:tc>
        <w:tc>
          <w:tcPr>
            <w:tcW w:type="dxa" w:w="2412"/>
            <w:tcBorders>
              <w:start w:sz="1.6000000000001364" w:val="single" w:color="#000000"/>
              <w:top w:sz="2.399999999999636" w:val="single" w:color="#000000"/>
              <w:end w:sz="1.599999999999909"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5.99999999999966" w:type="dxa"/>
            </w:tblPr>
            <w:tblGrid>
              <w:gridCol w:w="2412"/>
            </w:tblGrid>
            <w:tr>
              <w:trPr>
                <w:trHeight w:hRule="exact" w:val="302"/>
              </w:trPr>
              <w:tc>
                <w:tcPr>
                  <w:tcW w:type="dxa" w:w="2196"/>
                  <w:tcBorders/>
                  <w:shd w:fill="d2d2d2"/>
                  <w:tcMar>
                    <w:start w:w="0" w:type="dxa"/>
                    <w:end w:w="0" w:type="dxa"/>
                  </w:tcMar>
                </w:tcPr>
                <w:p>
                  <w:pPr>
                    <w:autoSpaceDN w:val="0"/>
                    <w:autoSpaceDE w:val="0"/>
                    <w:widowControl/>
                    <w:spacing w:line="180" w:lineRule="exact" w:before="76" w:after="0"/>
                    <w:ind w:left="0" w:right="626" w:firstLine="0"/>
                    <w:jc w:val="right"/>
                  </w:pPr>
                  <w:r>
                    <w:rPr>
                      <w:rFonts w:ascii="宋体" w:hAnsi="宋体" w:eastAsia="宋体"/>
                      <w:b w:val="0"/>
                      <w:i w:val="0"/>
                      <w:color w:val="000000"/>
                      <w:sz w:val="18"/>
                    </w:rPr>
                    <w:t xml:space="preserve">2024 年末 </w:t>
                  </w:r>
                </w:p>
              </w:tc>
            </w:tr>
          </w:tbl>
          <w:p>
            <w:pPr>
              <w:autoSpaceDN w:val="0"/>
              <w:autoSpaceDE w:val="0"/>
              <w:widowControl/>
              <w:spacing w:line="14" w:lineRule="exact" w:before="0" w:after="0"/>
              <w:ind w:left="0" w:right="0"/>
            </w:pPr>
          </w:p>
        </w:tc>
        <w:tc>
          <w:tcPr>
            <w:tcW w:type="dxa" w:w="2412"/>
            <w:tcBorders>
              <w:start w:sz="1.599999999999909" w:val="single" w:color="#000000"/>
              <w:top w:sz="2.399999999999636" w:val="single" w:color="#000000"/>
              <w:end w:sz="1.599999999999909"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2412"/>
            </w:tblGrid>
            <w:tr>
              <w:trPr>
                <w:trHeight w:hRule="exact" w:val="302"/>
              </w:trPr>
              <w:tc>
                <w:tcPr>
                  <w:tcW w:type="dxa" w:w="2196"/>
                  <w:tcBorders/>
                  <w:shd w:fill="d2d2d2"/>
                  <w:tcMar>
                    <w:start w:w="0" w:type="dxa"/>
                    <w:end w:w="0" w:type="dxa"/>
                  </w:tcMar>
                </w:tcPr>
                <w:p>
                  <w:pPr>
                    <w:autoSpaceDN w:val="0"/>
                    <w:autoSpaceDE w:val="0"/>
                    <w:widowControl/>
                    <w:spacing w:line="180" w:lineRule="exact" w:before="76" w:after="0"/>
                    <w:ind w:left="0" w:right="624" w:firstLine="0"/>
                    <w:jc w:val="right"/>
                  </w:pPr>
                  <w:r>
                    <w:rPr>
                      <w:rFonts w:ascii="宋体" w:hAnsi="宋体" w:eastAsia="宋体"/>
                      <w:b w:val="0"/>
                      <w:i w:val="0"/>
                      <w:color w:val="000000"/>
                      <w:sz w:val="18"/>
                    </w:rPr>
                    <w:t xml:space="preserve">2023 年末 </w:t>
                  </w:r>
                </w:p>
              </w:tc>
            </w:tr>
          </w:tbl>
          <w:p>
            <w:pPr>
              <w:autoSpaceDN w:val="0"/>
              <w:autoSpaceDE w:val="0"/>
              <w:widowControl/>
              <w:spacing w:line="14" w:lineRule="exact" w:before="0" w:after="0"/>
              <w:ind w:left="0" w:right="0"/>
            </w:pPr>
          </w:p>
        </w:tc>
        <w:tc>
          <w:tcPr>
            <w:tcW w:type="dxa" w:w="2412"/>
            <w:tcBorders>
              <w:start w:sz="1.599999999999909" w:val="single" w:color="#000000"/>
              <w:top w:sz="2.399999999999636" w:val="single" w:color="#000000"/>
              <w:end w:sz="2.4000000000005457"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2412"/>
            </w:tblGrid>
            <w:tr>
              <w:trPr>
                <w:trHeight w:hRule="exact" w:val="302"/>
              </w:trPr>
              <w:tc>
                <w:tcPr>
                  <w:tcW w:type="dxa" w:w="2196"/>
                  <w:tcBorders/>
                  <w:shd w:fill="d2d2d2"/>
                  <w:tcMar>
                    <w:start w:w="0" w:type="dxa"/>
                    <w:end w:w="0" w:type="dxa"/>
                  </w:tcMar>
                </w:tcPr>
                <w:p>
                  <w:pPr>
                    <w:autoSpaceDN w:val="0"/>
                    <w:autoSpaceDE w:val="0"/>
                    <w:widowControl/>
                    <w:spacing w:line="180" w:lineRule="exact" w:before="76" w:after="0"/>
                    <w:ind w:left="288" w:right="0" w:firstLine="0"/>
                    <w:jc w:val="left"/>
                  </w:pPr>
                  <w:r>
                    <w:rPr>
                      <w:rFonts w:ascii="宋体" w:hAnsi="宋体" w:eastAsia="宋体"/>
                      <w:b w:val="0"/>
                      <w:i w:val="0"/>
                      <w:color w:val="000000"/>
                      <w:sz w:val="18"/>
                    </w:rPr>
                    <w:t xml:space="preserve">本年末比上年末增减 </w:t>
                  </w:r>
                </w:p>
              </w:tc>
            </w:tr>
          </w:tbl>
          <w:p>
            <w:pPr>
              <w:autoSpaceDN w:val="0"/>
              <w:autoSpaceDE w:val="0"/>
              <w:widowControl/>
              <w:spacing w:line="14" w:lineRule="exact" w:before="0" w:after="0"/>
              <w:ind w:left="0" w:right="0"/>
            </w:pPr>
          </w:p>
        </w:tc>
      </w:tr>
      <w:tr>
        <w:trPr>
          <w:trHeight w:hRule="exact" w:val="324"/>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核心净资本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9,922,804,649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9,316,857,887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6.50% </w:t>
            </w:r>
          </w:p>
        </w:tc>
      </w:tr>
      <w:tr>
        <w:trPr>
          <w:trHeight w:hRule="exact" w:val="324"/>
        </w:trPr>
        <w:tc>
          <w:tcPr>
            <w:tcW w:type="dxa" w:w="2412"/>
            <w:tcBorders>
              <w:start w:sz="2.3999999999999773" w:val="single" w:color="#000000"/>
              <w:top w:sz="1.5999999999994543"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附属净资本 </w:t>
                  </w:r>
                </w:p>
              </w:tc>
            </w:tr>
          </w:tbl>
          <w:p>
            <w:pPr>
              <w:autoSpaceDN w:val="0"/>
              <w:autoSpaceDE w:val="0"/>
              <w:widowControl/>
              <w:spacing w:line="14" w:lineRule="exact" w:before="0" w:after="0"/>
              <w:ind w:left="0" w:right="0"/>
            </w:pPr>
          </w:p>
        </w:tc>
        <w:tc>
          <w:tcPr>
            <w:tcW w:type="dxa" w:w="24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1,750,000,000 </w:t>
            </w:r>
          </w:p>
        </w:tc>
        <w:tc>
          <w:tcPr>
            <w:tcW w:type="dxa" w:w="241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2,850,000,000 </w:t>
            </w:r>
          </w:p>
        </w:tc>
        <w:tc>
          <w:tcPr>
            <w:tcW w:type="dxa" w:w="2412"/>
            <w:tcBorders>
              <w:start w:sz="1.599999999999909" w:val="single" w:color="#000000"/>
              <w:top w:sz="1.5999999999994543" w:val="single" w:color="#000000"/>
              <w:end w:sz="2.4000000000005457" w:val="single" w:color="#000000"/>
              <w:bottom w:sz="1.6000000000003638"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-38.60% </w:t>
            </w:r>
          </w:p>
        </w:tc>
      </w:tr>
      <w:tr>
        <w:trPr>
          <w:trHeight w:hRule="exact" w:val="326"/>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净资本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11,672,804,649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12,166,857,887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-4.06% </w:t>
            </w:r>
          </w:p>
        </w:tc>
      </w:tr>
      <w:tr>
        <w:trPr>
          <w:trHeight w:hRule="exact" w:val="324"/>
        </w:trPr>
        <w:tc>
          <w:tcPr>
            <w:tcW w:type="dxa" w:w="2412"/>
            <w:tcBorders>
              <w:start w:sz="2.3999999999999773" w:val="single" w:color="#000000"/>
              <w:top w:sz="1.5999999999994543"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净资产 </w:t>
                  </w:r>
                </w:p>
              </w:tc>
            </w:tr>
          </w:tbl>
          <w:p>
            <w:pPr>
              <w:autoSpaceDN w:val="0"/>
              <w:autoSpaceDE w:val="0"/>
              <w:widowControl/>
              <w:spacing w:line="14" w:lineRule="exact" w:before="0" w:after="0"/>
              <w:ind w:left="0" w:right="0"/>
            </w:pPr>
          </w:p>
        </w:tc>
        <w:tc>
          <w:tcPr>
            <w:tcW w:type="dxa" w:w="24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17,541,999,234 </w:t>
            </w:r>
          </w:p>
        </w:tc>
        <w:tc>
          <w:tcPr>
            <w:tcW w:type="dxa" w:w="241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17,427,983,963 </w:t>
            </w:r>
          </w:p>
        </w:tc>
        <w:tc>
          <w:tcPr>
            <w:tcW w:type="dxa" w:w="2412"/>
            <w:tcBorders>
              <w:start w:sz="1.599999999999909" w:val="single" w:color="#000000"/>
              <w:top w:sz="1.5999999999994543" w:val="single" w:color="#000000"/>
              <w:end w:sz="2.4000000000005457" w:val="single" w:color="#000000"/>
              <w:bottom w:sz="1.6000000000003638"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0.65% </w:t>
            </w:r>
          </w:p>
        </w:tc>
      </w:tr>
      <w:tr>
        <w:trPr>
          <w:trHeight w:hRule="exact" w:val="326"/>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各项风险资本准备之和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5,659,169,749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5,622,827,301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0.65% </w:t>
            </w:r>
          </w:p>
        </w:tc>
      </w:tr>
      <w:tr>
        <w:trPr>
          <w:trHeight w:hRule="exact" w:val="324"/>
        </w:trPr>
        <w:tc>
          <w:tcPr>
            <w:tcW w:type="dxa" w:w="2412"/>
            <w:tcBorders>
              <w:start w:sz="2.3999999999999773" w:val="single" w:color="#000000"/>
              <w:top w:sz="1.5999999999994543"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表内外资产总额 </w:t>
                  </w:r>
                </w:p>
              </w:tc>
            </w:tr>
          </w:tbl>
          <w:p>
            <w:pPr>
              <w:autoSpaceDN w:val="0"/>
              <w:autoSpaceDE w:val="0"/>
              <w:widowControl/>
              <w:spacing w:line="14" w:lineRule="exact" w:before="0" w:after="0"/>
              <w:ind w:left="0" w:right="0"/>
            </w:pPr>
          </w:p>
        </w:tc>
        <w:tc>
          <w:tcPr>
            <w:tcW w:type="dxa" w:w="24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61,981,221,589 </w:t>
            </w:r>
          </w:p>
        </w:tc>
        <w:tc>
          <w:tcPr>
            <w:tcW w:type="dxa" w:w="241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63,882,817,754 </w:t>
            </w:r>
          </w:p>
        </w:tc>
        <w:tc>
          <w:tcPr>
            <w:tcW w:type="dxa" w:w="2412"/>
            <w:tcBorders>
              <w:start w:sz="1.599999999999909" w:val="single" w:color="#000000"/>
              <w:top w:sz="1.5999999999994543" w:val="single" w:color="#000000"/>
              <w:end w:sz="2.4000000000005457" w:val="single" w:color="#000000"/>
              <w:bottom w:sz="1.6000000000003638"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-2.98% </w:t>
            </w:r>
          </w:p>
        </w:tc>
      </w:tr>
      <w:tr>
        <w:trPr>
          <w:trHeight w:hRule="exact" w:val="324"/>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风险覆盖率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62" w:after="0"/>
              <w:ind w:left="0" w:right="62" w:firstLine="0"/>
              <w:jc w:val="right"/>
            </w:pPr>
            <w:r>
              <w:rPr>
                <w:rFonts w:ascii="Times New Roman" w:hAnsi="Times New Roman" w:eastAsia="Times New Roman"/>
                <w:b w:val="0"/>
                <w:i w:val="0"/>
                <w:color w:val="000000"/>
                <w:sz w:val="18"/>
              </w:rPr>
              <w:t xml:space="preserve">206.26%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216.38%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198" w:lineRule="exact" w:before="64" w:after="0"/>
              <w:ind w:left="0" w:right="100"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10.12</w:t>
            </w:r>
            <w:r>
              <w:rPr>
                <w:rFonts w:ascii="宋体" w:hAnsi="宋体" w:eastAsia="宋体"/>
                <w:b w:val="0"/>
                <w:i w:val="0"/>
                <w:color w:val="000000"/>
                <w:sz w:val="18"/>
              </w:rPr>
              <w:t xml:space="preserve"> 个百分点</w:t>
            </w:r>
          </w:p>
        </w:tc>
      </w:tr>
      <w:tr>
        <w:trPr>
          <w:trHeight w:hRule="exact" w:val="326"/>
        </w:trPr>
        <w:tc>
          <w:tcPr>
            <w:tcW w:type="dxa" w:w="2412"/>
            <w:tcBorders>
              <w:start w:sz="2.3999999999999773" w:val="single" w:color="#000000"/>
              <w:top w:sz="1.5999999999994543" w:val="single" w:color="#000000"/>
              <w:end w:sz="1.6000000000001364"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资本杠杆率 </w:t>
                  </w:r>
                </w:p>
              </w:tc>
            </w:tr>
          </w:tbl>
          <w:p>
            <w:pPr>
              <w:autoSpaceDN w:val="0"/>
              <w:autoSpaceDE w:val="0"/>
              <w:widowControl/>
              <w:spacing w:line="14" w:lineRule="exact" w:before="0" w:after="0"/>
              <w:ind w:left="0" w:right="0"/>
            </w:pPr>
          </w:p>
        </w:tc>
        <w:tc>
          <w:tcPr>
            <w:tcW w:type="dxa" w:w="2412"/>
            <w:tcBorders>
              <w:start w:sz="1.6000000000001364"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62" w:after="0"/>
              <w:ind w:left="0" w:right="62" w:firstLine="0"/>
              <w:jc w:val="right"/>
            </w:pPr>
            <w:r>
              <w:rPr>
                <w:rFonts w:ascii="Times New Roman" w:hAnsi="Times New Roman" w:eastAsia="Times New Roman"/>
                <w:b w:val="0"/>
                <w:i w:val="0"/>
                <w:color w:val="000000"/>
                <w:sz w:val="18"/>
              </w:rPr>
              <w:t xml:space="preserve">16.01% </w:t>
            </w:r>
          </w:p>
        </w:tc>
        <w:tc>
          <w:tcPr>
            <w:tcW w:type="dxa" w:w="2412"/>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62" w:after="0"/>
              <w:ind w:left="0" w:right="60" w:firstLine="0"/>
              <w:jc w:val="right"/>
            </w:pPr>
            <w:r>
              <w:rPr>
                <w:rFonts w:ascii="Times New Roman" w:hAnsi="Times New Roman" w:eastAsia="Times New Roman"/>
                <w:b w:val="0"/>
                <w:i w:val="0"/>
                <w:color w:val="000000"/>
                <w:sz w:val="18"/>
              </w:rPr>
              <w:t xml:space="preserve">14.58% </w:t>
            </w:r>
          </w:p>
        </w:tc>
        <w:tc>
          <w:tcPr>
            <w:tcW w:type="dxa" w:w="2412"/>
            <w:tcBorders>
              <w:start w:sz="1.599999999999909" w:val="single" w:color="#000000"/>
              <w:top w:sz="1.5999999999994543" w:val="single" w:color="#000000"/>
              <w:end w:sz="2.4000000000005457" w:val="single" w:color="#000000"/>
              <w:bottom w:sz="2.4000000000005457" w:val="single" w:color="#000000"/>
            </w:tcBorders>
            <w:tcMar>
              <w:start w:w="0" w:type="dxa"/>
              <w:end w:w="0" w:type="dxa"/>
            </w:tcMar>
          </w:tcPr>
          <w:p>
            <w:pPr>
              <w:autoSpaceDN w:val="0"/>
              <w:autoSpaceDE w:val="0"/>
              <w:widowControl/>
              <w:spacing w:line="200" w:lineRule="exact" w:before="66" w:after="0"/>
              <w:ind w:left="0" w:right="100" w:firstLine="0"/>
              <w:jc w:val="right"/>
            </w:pPr>
            <w:r>
              <w:rPr>
                <w:rFonts w:ascii="宋体" w:hAnsi="宋体" w:eastAsia="宋体"/>
                <w:b w:val="0"/>
                <w:i w:val="0"/>
                <w:color w:val="000000"/>
                <w:sz w:val="18"/>
              </w:rPr>
              <w:t>增长</w:t>
            </w:r>
            <w:r>
              <w:rPr>
                <w:rFonts w:ascii="Times New Roman" w:hAnsi="Times New Roman" w:eastAsia="Times New Roman"/>
                <w:b w:val="0"/>
                <w:i w:val="0"/>
                <w:color w:val="000000"/>
                <w:sz w:val="18"/>
              </w:rPr>
              <w:t>1.43</w:t>
            </w:r>
            <w:r>
              <w:rPr>
                <w:rFonts w:ascii="宋体" w:hAnsi="宋体" w:eastAsia="宋体"/>
                <w:b w:val="0"/>
                <w:i w:val="0"/>
                <w:color w:val="000000"/>
                <w:sz w:val="18"/>
              </w:rPr>
              <w:t xml:space="preserve"> 个百分点</w:t>
            </w:r>
          </w:p>
        </w:tc>
      </w:tr>
      <w:tr>
        <w:trPr>
          <w:trHeight w:hRule="exact" w:val="326"/>
        </w:trPr>
        <w:tc>
          <w:tcPr>
            <w:tcW w:type="dxa" w:w="2412"/>
            <w:tcBorders>
              <w:start w:sz="2.3999999999999773" w:val="single" w:color="#000000"/>
              <w:top w:sz="2.4000000000005457" w:val="single" w:color="#000000"/>
              <w:end w:sz="1.6000000000001364"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流动性覆盖率 </w:t>
                  </w:r>
                </w:p>
              </w:tc>
            </w:tr>
          </w:tbl>
          <w:p>
            <w:pPr>
              <w:autoSpaceDN w:val="0"/>
              <w:autoSpaceDE w:val="0"/>
              <w:widowControl/>
              <w:spacing w:line="14" w:lineRule="exact" w:before="0" w:after="0"/>
              <w:ind w:left="0" w:right="0"/>
            </w:pPr>
          </w:p>
        </w:tc>
        <w:tc>
          <w:tcPr>
            <w:tcW w:type="dxa" w:w="2412"/>
            <w:tcBorders>
              <w:start w:sz="1.6000000000001364"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144.26% </w:t>
            </w:r>
          </w:p>
        </w:tc>
        <w:tc>
          <w:tcPr>
            <w:tcW w:type="dxa" w:w="2412"/>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58" w:after="0"/>
              <w:ind w:left="0" w:right="60" w:firstLine="0"/>
              <w:jc w:val="right"/>
            </w:pPr>
            <w:r>
              <w:rPr>
                <w:rFonts w:ascii="Times New Roman" w:hAnsi="Times New Roman" w:eastAsia="Times New Roman"/>
                <w:b w:val="0"/>
                <w:i w:val="0"/>
                <w:color w:val="000000"/>
                <w:sz w:val="18"/>
              </w:rPr>
              <w:t xml:space="preserve">157.08% </w:t>
            </w:r>
          </w:p>
        </w:tc>
        <w:tc>
          <w:tcPr>
            <w:tcW w:type="dxa" w:w="2412"/>
            <w:tcBorders>
              <w:start w:sz="1.599999999999909" w:val="single" w:color="#000000"/>
              <w:top w:sz="2.4000000000005457" w:val="single" w:color="#000000"/>
              <w:end w:sz="2.4000000000005457" w:val="single" w:color="#000000"/>
              <w:bottom w:sz="2.399999999999636" w:val="single" w:color="#000000"/>
            </w:tcBorders>
            <w:tcMar>
              <w:start w:w="0" w:type="dxa"/>
              <w:end w:w="0" w:type="dxa"/>
            </w:tcMar>
          </w:tcPr>
          <w:p>
            <w:pPr>
              <w:autoSpaceDN w:val="0"/>
              <w:autoSpaceDE w:val="0"/>
              <w:widowControl/>
              <w:spacing w:line="200" w:lineRule="exact" w:before="62" w:after="0"/>
              <w:ind w:left="0" w:right="100"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12.82</w:t>
            </w:r>
            <w:r>
              <w:rPr>
                <w:rFonts w:ascii="宋体" w:hAnsi="宋体" w:eastAsia="宋体"/>
                <w:b w:val="0"/>
                <w:i w:val="0"/>
                <w:color w:val="000000"/>
                <w:sz w:val="18"/>
              </w:rPr>
              <w:t xml:space="preserve"> 个百分点</w:t>
            </w:r>
          </w:p>
        </w:tc>
      </w:tr>
      <w:tr>
        <w:trPr>
          <w:trHeight w:hRule="exact" w:val="326"/>
        </w:trPr>
        <w:tc>
          <w:tcPr>
            <w:tcW w:type="dxa" w:w="2412"/>
            <w:tcBorders>
              <w:start w:sz="2.3999999999999773" w:val="single" w:color="#000000"/>
              <w:top w:sz="2.399999999999636"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净稳定资金率 </w:t>
                  </w:r>
                </w:p>
              </w:tc>
            </w:tr>
          </w:tbl>
          <w:p>
            <w:pPr>
              <w:autoSpaceDN w:val="0"/>
              <w:autoSpaceDE w:val="0"/>
              <w:widowControl/>
              <w:spacing w:line="14" w:lineRule="exact" w:before="0" w:after="0"/>
              <w:ind w:left="0" w:right="0"/>
            </w:pPr>
          </w:p>
        </w:tc>
        <w:tc>
          <w:tcPr>
            <w:tcW w:type="dxa" w:w="2412"/>
            <w:tcBorders>
              <w:start w:sz="1.6000000000001364"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147.10% </w:t>
            </w:r>
          </w:p>
        </w:tc>
        <w:tc>
          <w:tcPr>
            <w:tcW w:type="dxa" w:w="2412"/>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143.76% </w:t>
            </w:r>
          </w:p>
        </w:tc>
        <w:tc>
          <w:tcPr>
            <w:tcW w:type="dxa" w:w="2412"/>
            <w:tcBorders>
              <w:start w:sz="1.599999999999909" w:val="single" w:color="#000000"/>
              <w:top w:sz="2.399999999999636" w:val="single" w:color="#000000"/>
              <w:end w:sz="2.4000000000005457" w:val="single" w:color="#000000"/>
              <w:bottom w:sz="1.6000000000003638" w:val="single" w:color="#000000"/>
            </w:tcBorders>
            <w:tcMar>
              <w:start w:w="0" w:type="dxa"/>
              <w:end w:w="0" w:type="dxa"/>
            </w:tcMar>
          </w:tcPr>
          <w:p>
            <w:pPr>
              <w:autoSpaceDN w:val="0"/>
              <w:autoSpaceDE w:val="0"/>
              <w:widowControl/>
              <w:spacing w:line="200" w:lineRule="exact" w:before="62" w:after="0"/>
              <w:ind w:left="0" w:right="100" w:firstLine="0"/>
              <w:jc w:val="right"/>
            </w:pPr>
            <w:r>
              <w:rPr>
                <w:rFonts w:ascii="宋体" w:hAnsi="宋体" w:eastAsia="宋体"/>
                <w:b w:val="0"/>
                <w:i w:val="0"/>
                <w:color w:val="000000"/>
                <w:sz w:val="18"/>
              </w:rPr>
              <w:t>增长</w:t>
            </w:r>
            <w:r>
              <w:rPr>
                <w:rFonts w:ascii="Times New Roman" w:hAnsi="Times New Roman" w:eastAsia="Times New Roman"/>
                <w:b w:val="0"/>
                <w:i w:val="0"/>
                <w:color w:val="000000"/>
                <w:sz w:val="18"/>
              </w:rPr>
              <w:t>3.34</w:t>
            </w:r>
            <w:r>
              <w:rPr>
                <w:rFonts w:ascii="宋体" w:hAnsi="宋体" w:eastAsia="宋体"/>
                <w:b w:val="0"/>
                <w:i w:val="0"/>
                <w:color w:val="000000"/>
                <w:sz w:val="18"/>
              </w:rPr>
              <w:t xml:space="preserve"> 个百分点</w:t>
            </w:r>
          </w:p>
        </w:tc>
      </w:tr>
      <w:tr>
        <w:trPr>
          <w:trHeight w:hRule="exact" w:val="324"/>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净资本/净资产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66.54%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69.81%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00" w:lineRule="exact" w:before="62" w:after="0"/>
              <w:ind w:left="0" w:right="100"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3.27</w:t>
            </w:r>
            <w:r>
              <w:rPr>
                <w:rFonts w:ascii="宋体" w:hAnsi="宋体" w:eastAsia="宋体"/>
                <w:b w:val="0"/>
                <w:i w:val="0"/>
                <w:color w:val="000000"/>
                <w:sz w:val="18"/>
              </w:rPr>
              <w:t xml:space="preserve"> 个百分点</w:t>
            </w:r>
          </w:p>
        </w:tc>
      </w:tr>
      <w:tr>
        <w:trPr>
          <w:trHeight w:hRule="exact" w:val="326"/>
        </w:trPr>
        <w:tc>
          <w:tcPr>
            <w:tcW w:type="dxa" w:w="2412"/>
            <w:tcBorders>
              <w:start w:sz="2.3999999999999773" w:val="single" w:color="#000000"/>
              <w:top w:sz="1.5999999999994543"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净资本/负债 </w:t>
                  </w:r>
                </w:p>
              </w:tc>
            </w:tr>
          </w:tbl>
          <w:p>
            <w:pPr>
              <w:autoSpaceDN w:val="0"/>
              <w:autoSpaceDE w:val="0"/>
              <w:widowControl/>
              <w:spacing w:line="14" w:lineRule="exact" w:before="0" w:after="0"/>
              <w:ind w:left="0" w:right="0"/>
            </w:pPr>
          </w:p>
        </w:tc>
        <w:tc>
          <w:tcPr>
            <w:tcW w:type="dxa" w:w="24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27.18% </w:t>
            </w:r>
          </w:p>
        </w:tc>
        <w:tc>
          <w:tcPr>
            <w:tcW w:type="dxa" w:w="241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 w:after="0"/>
              <w:ind w:left="0" w:right="60" w:firstLine="0"/>
              <w:jc w:val="right"/>
            </w:pPr>
            <w:r>
              <w:rPr>
                <w:rFonts w:ascii="Times New Roman" w:hAnsi="Times New Roman" w:eastAsia="Times New Roman"/>
                <w:b w:val="0"/>
                <w:i w:val="0"/>
                <w:color w:val="000000"/>
                <w:sz w:val="18"/>
              </w:rPr>
              <w:t xml:space="preserve">27.83% </w:t>
            </w:r>
          </w:p>
        </w:tc>
        <w:tc>
          <w:tcPr>
            <w:tcW w:type="dxa" w:w="2412"/>
            <w:tcBorders>
              <w:start w:sz="1.599999999999909" w:val="single" w:color="#000000"/>
              <w:top w:sz="1.5999999999994543" w:val="single" w:color="#000000"/>
              <w:end w:sz="2.4000000000005457" w:val="single" w:color="#000000"/>
              <w:bottom w:sz="1.6000000000003638" w:val="single" w:color="#000000"/>
            </w:tcBorders>
            <w:tcMar>
              <w:start w:w="0" w:type="dxa"/>
              <w:end w:w="0" w:type="dxa"/>
            </w:tcMar>
          </w:tcPr>
          <w:p>
            <w:pPr>
              <w:autoSpaceDN w:val="0"/>
              <w:autoSpaceDE w:val="0"/>
              <w:widowControl/>
              <w:spacing w:line="200" w:lineRule="exact" w:before="62" w:after="0"/>
              <w:ind w:left="0" w:right="100"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0.65</w:t>
            </w:r>
            <w:r>
              <w:rPr>
                <w:rFonts w:ascii="宋体" w:hAnsi="宋体" w:eastAsia="宋体"/>
                <w:b w:val="0"/>
                <w:i w:val="0"/>
                <w:color w:val="000000"/>
                <w:sz w:val="18"/>
              </w:rPr>
              <w:t xml:space="preserve"> 个百分点</w:t>
            </w:r>
          </w:p>
        </w:tc>
      </w:tr>
      <w:tr>
        <w:trPr>
          <w:trHeight w:hRule="exact" w:val="324"/>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净资产/负债 </w:t>
                  </w:r>
                </w:p>
              </w:tc>
            </w:tr>
          </w:tbl>
          <w:p>
            <w:pPr>
              <w:autoSpaceDN w:val="0"/>
              <w:autoSpaceDE w:val="0"/>
              <w:widowControl/>
              <w:spacing w:line="14" w:lineRule="exact" w:before="0" w:after="0"/>
              <w:ind w:left="0" w:right="0"/>
            </w:pPr>
          </w:p>
        </w:tc>
        <w:tc>
          <w:tcPr>
            <w:tcW w:type="dxa" w:w="24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40.84% </w:t>
            </w:r>
          </w:p>
        </w:tc>
        <w:tc>
          <w:tcPr>
            <w:tcW w:type="dxa" w:w="241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0" w:firstLine="0"/>
              <w:jc w:val="right"/>
            </w:pPr>
            <w:r>
              <w:rPr>
                <w:rFonts w:ascii="Times New Roman" w:hAnsi="Times New Roman" w:eastAsia="Times New Roman"/>
                <w:b w:val="0"/>
                <w:i w:val="0"/>
                <w:color w:val="000000"/>
                <w:sz w:val="18"/>
              </w:rPr>
              <w:t xml:space="preserve">39.86% </w:t>
            </w:r>
          </w:p>
        </w:tc>
        <w:tc>
          <w:tcPr>
            <w:tcW w:type="dxa" w:w="2412"/>
            <w:tcBorders>
              <w:start w:sz="1.599999999999909"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198" w:lineRule="exact" w:before="64" w:after="0"/>
              <w:ind w:left="0" w:right="100" w:firstLine="0"/>
              <w:jc w:val="right"/>
            </w:pPr>
            <w:r>
              <w:rPr>
                <w:rFonts w:ascii="宋体" w:hAnsi="宋体" w:eastAsia="宋体"/>
                <w:b w:val="0"/>
                <w:i w:val="0"/>
                <w:color w:val="000000"/>
                <w:sz w:val="18"/>
              </w:rPr>
              <w:t>增长</w:t>
            </w:r>
            <w:r>
              <w:rPr>
                <w:rFonts w:ascii="Times New Roman" w:hAnsi="Times New Roman" w:eastAsia="Times New Roman"/>
                <w:b w:val="0"/>
                <w:i w:val="0"/>
                <w:color w:val="000000"/>
                <w:sz w:val="18"/>
              </w:rPr>
              <w:t>0.98</w:t>
            </w:r>
            <w:r>
              <w:rPr>
                <w:rFonts w:ascii="宋体" w:hAnsi="宋体" w:eastAsia="宋体"/>
                <w:b w:val="0"/>
                <w:i w:val="0"/>
                <w:color w:val="000000"/>
                <w:sz w:val="18"/>
              </w:rPr>
              <w:t xml:space="preserve"> 个百分点</w:t>
            </w:r>
          </w:p>
        </w:tc>
      </w:tr>
    </w:tbl>
    <w:p>
      <w:pPr>
        <w:autoSpaceDN w:val="0"/>
        <w:autoSpaceDE w:val="0"/>
        <w:widowControl/>
        <w:spacing w:line="197" w:lineRule="auto" w:before="492" w:after="0"/>
        <w:ind w:left="0" w:right="0" w:firstLine="0"/>
        <w:jc w:val="center"/>
      </w:pPr>
      <w:r>
        <w:rPr>
          <w:rFonts w:ascii="Calibri" w:hAnsi="Calibri" w:eastAsia="Calibri"/>
          <w:b w:val="0"/>
          <w:i w:val="0"/>
          <w:color w:val="000000"/>
          <w:sz w:val="18"/>
        </w:rPr>
        <w:t xml:space="preserve">27 </w:t>
      </w:r>
    </w:p>
    <w:p>
      <w:pPr>
        <w:sectPr>
          <w:type w:val="continuous"/>
          <w:pgSz w:w="11904" w:h="16841"/>
          <w:pgMar w:top="424" w:right="1004" w:bottom="446" w:left="1016"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0" name="Picture 3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27.99999999999997" w:type="dxa"/>
      </w:tblPr>
      <w:tblGrid>
        <w:gridCol w:w="2429"/>
        <w:gridCol w:w="2429"/>
        <w:gridCol w:w="2429"/>
        <w:gridCol w:w="2429"/>
      </w:tblGrid>
      <w:tr>
        <w:trPr>
          <w:trHeight w:hRule="exact" w:val="564"/>
        </w:trPr>
        <w:tc>
          <w:tcPr>
            <w:tcW w:type="dxa" w:w="2412"/>
            <w:tcBorders>
              <w:start w:sz="2.3999999999999773" w:val="single" w:color="#000000"/>
              <w:top w:sz="5.600000000000023" w:val="single" w:color="#000000"/>
              <w:end w:sz="1.6000000000001364" w:val="single" w:color="#000000"/>
              <w:bottom w:sz="1.6000000000000227" w:val="single" w:color="#000000"/>
            </w:tcBorders>
            <w:shd w:fill="d2d2d2"/>
            <w:tcMar>
              <w:start w:w="0" w:type="dxa"/>
              <w:end w:w="0" w:type="dxa"/>
            </w:tcMar>
          </w:tcPr>
          <w:p>
            <w:pPr>
              <w:autoSpaceDN w:val="0"/>
              <w:autoSpaceDE w:val="0"/>
              <w:widowControl/>
              <w:spacing w:line="240" w:lineRule="exact" w:before="12" w:after="0"/>
              <w:ind w:left="108" w:right="0" w:firstLine="0"/>
              <w:jc w:val="left"/>
            </w:pPr>
            <w:r>
              <w:rPr>
                <w:rFonts w:ascii="宋体" w:hAnsi="宋体" w:eastAsia="宋体"/>
                <w:b w:val="0"/>
                <w:i w:val="0"/>
                <w:color w:val="000000"/>
                <w:sz w:val="18"/>
              </w:rPr>
              <w:t>自营权益类证券及证券衍生</w:t>
            </w:r>
            <w:r>
              <w:rPr>
                <w:rFonts w:ascii="宋体" w:hAnsi="宋体" w:eastAsia="宋体"/>
                <w:b w:val="0"/>
                <w:i w:val="0"/>
                <w:color w:val="000000"/>
                <w:sz w:val="18"/>
              </w:rPr>
              <w:t xml:space="preserve">品/净资本 </w:t>
            </w:r>
          </w:p>
        </w:tc>
        <w:tc>
          <w:tcPr>
            <w:tcW w:type="dxa" w:w="2412"/>
            <w:tcBorders>
              <w:start w:sz="1.6000000000001364"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174" w:after="0"/>
              <w:ind w:left="0" w:right="62" w:firstLine="0"/>
              <w:jc w:val="right"/>
            </w:pPr>
            <w:r>
              <w:rPr>
                <w:rFonts w:ascii="Times New Roman" w:hAnsi="Times New Roman" w:eastAsia="Times New Roman"/>
                <w:b w:val="0"/>
                <w:i w:val="0"/>
                <w:color w:val="000000"/>
                <w:sz w:val="18"/>
              </w:rPr>
              <w:t xml:space="preserve">6.82% </w:t>
            </w:r>
          </w:p>
        </w:tc>
        <w:tc>
          <w:tcPr>
            <w:tcW w:type="dxa" w:w="2412"/>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174" w:after="0"/>
              <w:ind w:left="0" w:right="60" w:firstLine="0"/>
              <w:jc w:val="right"/>
            </w:pPr>
            <w:r>
              <w:rPr>
                <w:rFonts w:ascii="Times New Roman" w:hAnsi="Times New Roman" w:eastAsia="Times New Roman"/>
                <w:b w:val="0"/>
                <w:i w:val="0"/>
                <w:color w:val="000000"/>
                <w:sz w:val="18"/>
              </w:rPr>
              <w:t xml:space="preserve">15.68% </w:t>
            </w:r>
          </w:p>
        </w:tc>
        <w:tc>
          <w:tcPr>
            <w:tcW w:type="dxa" w:w="2412"/>
            <w:tcBorders>
              <w:start w:sz="1.599999999999909" w:val="single" w:color="#000000"/>
              <w:top w:sz="5.600000000000023" w:val="single" w:color="#000000"/>
              <w:end w:sz="2.4000000000005457" w:val="single" w:color="#000000"/>
              <w:bottom w:sz="1.6000000000000227" w:val="single" w:color="#000000"/>
            </w:tcBorders>
            <w:tcMar>
              <w:start w:w="0" w:type="dxa"/>
              <w:end w:w="0" w:type="dxa"/>
            </w:tcMar>
          </w:tcPr>
          <w:p>
            <w:pPr>
              <w:autoSpaceDN w:val="0"/>
              <w:autoSpaceDE w:val="0"/>
              <w:widowControl/>
              <w:spacing w:line="198" w:lineRule="exact" w:before="180" w:after="0"/>
              <w:ind w:left="0" w:right="100"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8.86</w:t>
            </w:r>
            <w:r>
              <w:rPr>
                <w:rFonts w:ascii="宋体" w:hAnsi="宋体" w:eastAsia="宋体"/>
                <w:b w:val="0"/>
                <w:i w:val="0"/>
                <w:color w:val="000000"/>
                <w:sz w:val="18"/>
              </w:rPr>
              <w:t xml:space="preserve"> 个百分点</w:t>
            </w:r>
          </w:p>
        </w:tc>
      </w:tr>
      <w:tr>
        <w:trPr>
          <w:trHeight w:hRule="exact" w:val="568"/>
        </w:trPr>
        <w:tc>
          <w:tcPr>
            <w:tcW w:type="dxa" w:w="2412"/>
            <w:tcBorders>
              <w:start w:sz="2.3999999999999773" w:val="single" w:color="#000000"/>
              <w:top w:sz="1.6000000000000227"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08" w:right="0" w:firstLine="0"/>
              <w:jc w:val="left"/>
            </w:pPr>
            <w:r>
              <w:rPr>
                <w:rFonts w:ascii="宋体" w:hAnsi="宋体" w:eastAsia="宋体"/>
                <w:b w:val="0"/>
                <w:i w:val="0"/>
                <w:color w:val="000000"/>
                <w:sz w:val="18"/>
              </w:rPr>
              <w:t>自营非权益类证券及其衍生</w:t>
            </w:r>
            <w:r>
              <w:rPr>
                <w:rFonts w:ascii="宋体" w:hAnsi="宋体" w:eastAsia="宋体"/>
                <w:b w:val="0"/>
                <w:i w:val="0"/>
                <w:color w:val="000000"/>
                <w:sz w:val="18"/>
              </w:rPr>
              <w:t xml:space="preserve">品/净资本 </w:t>
            </w:r>
          </w:p>
        </w:tc>
        <w:tc>
          <w:tcPr>
            <w:tcW w:type="dxa" w:w="2412"/>
            <w:tcBorders>
              <w:start w:sz="1.6000000000001364" w:val="single" w:color="#000000"/>
              <w:top w:sz="1.6000000000000227"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82" w:after="0"/>
              <w:ind w:left="0" w:right="62" w:firstLine="0"/>
              <w:jc w:val="right"/>
            </w:pPr>
            <w:r>
              <w:rPr>
                <w:rFonts w:ascii="Times New Roman" w:hAnsi="Times New Roman" w:eastAsia="Times New Roman"/>
                <w:b w:val="0"/>
                <w:i w:val="0"/>
                <w:color w:val="000000"/>
                <w:sz w:val="18"/>
              </w:rPr>
              <w:t xml:space="preserve">244.41% </w:t>
            </w:r>
          </w:p>
        </w:tc>
        <w:tc>
          <w:tcPr>
            <w:tcW w:type="dxa" w:w="2412"/>
            <w:tcBorders>
              <w:start w:sz="1.599999999999909" w:val="single" w:color="#000000"/>
              <w:top w:sz="1.6000000000000227"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82" w:after="0"/>
              <w:ind w:left="0" w:right="60" w:firstLine="0"/>
              <w:jc w:val="right"/>
            </w:pPr>
            <w:r>
              <w:rPr>
                <w:rFonts w:ascii="Times New Roman" w:hAnsi="Times New Roman" w:eastAsia="Times New Roman"/>
                <w:b w:val="0"/>
                <w:i w:val="0"/>
                <w:color w:val="000000"/>
                <w:sz w:val="18"/>
              </w:rPr>
              <w:t xml:space="preserve">215.02% </w:t>
            </w:r>
          </w:p>
        </w:tc>
        <w:tc>
          <w:tcPr>
            <w:tcW w:type="dxa" w:w="2412"/>
            <w:tcBorders>
              <w:start w:sz="1.599999999999909" w:val="single" w:color="#000000"/>
              <w:top w:sz="1.6000000000000227" w:val="single" w:color="#000000"/>
              <w:end w:sz="2.4000000000005457" w:val="single" w:color="#000000"/>
              <w:bottom w:sz="2.400000000000091" w:val="single" w:color="#000000"/>
            </w:tcBorders>
            <w:tcMar>
              <w:start w:w="0" w:type="dxa"/>
              <w:end w:w="0" w:type="dxa"/>
            </w:tcMar>
          </w:tcPr>
          <w:p>
            <w:pPr>
              <w:autoSpaceDN w:val="0"/>
              <w:autoSpaceDE w:val="0"/>
              <w:widowControl/>
              <w:spacing w:line="198" w:lineRule="exact" w:before="184" w:after="0"/>
              <w:ind w:left="0" w:right="100" w:firstLine="0"/>
              <w:jc w:val="right"/>
            </w:pPr>
            <w:r>
              <w:rPr>
                <w:rFonts w:ascii="宋体" w:hAnsi="宋体" w:eastAsia="宋体"/>
                <w:b w:val="0"/>
                <w:i w:val="0"/>
                <w:color w:val="000000"/>
                <w:sz w:val="18"/>
              </w:rPr>
              <w:t>增长</w:t>
            </w:r>
            <w:r>
              <w:rPr>
                <w:rFonts w:ascii="Times New Roman" w:hAnsi="Times New Roman" w:eastAsia="Times New Roman"/>
                <w:b w:val="0"/>
                <w:i w:val="0"/>
                <w:color w:val="000000"/>
                <w:sz w:val="18"/>
              </w:rPr>
              <w:t>29.39</w:t>
            </w:r>
            <w:r>
              <w:rPr>
                <w:rFonts w:ascii="宋体" w:hAnsi="宋体" w:eastAsia="宋体"/>
                <w:b w:val="0"/>
                <w:i w:val="0"/>
                <w:color w:val="000000"/>
                <w:sz w:val="18"/>
              </w:rPr>
              <w:t xml:space="preserve"> 个百分点</w:t>
            </w:r>
          </w:p>
        </w:tc>
      </w:tr>
    </w:tbl>
    <w:p>
      <w:pPr>
        <w:autoSpaceDN w:val="0"/>
        <w:autoSpaceDE w:val="0"/>
        <w:widowControl/>
        <w:spacing w:line="212" w:lineRule="exact" w:before="44" w:after="0"/>
        <w:ind w:left="30" w:right="0" w:firstLine="0"/>
        <w:jc w:val="left"/>
      </w:pPr>
      <w:r>
        <w:rPr>
          <w:rFonts w:ascii="宋体" w:hAnsi="宋体" w:eastAsia="宋体"/>
          <w:b w:val="0"/>
          <w:i w:val="0"/>
          <w:color w:val="000000"/>
          <w:sz w:val="21"/>
        </w:rPr>
        <w:t>母公司各项风险控制指标均符合《证券公司风险控制指标管理办法》有关规定。</w:t>
      </w:r>
    </w:p>
    <w:p>
      <w:pPr>
        <w:autoSpaceDN w:val="0"/>
        <w:autoSpaceDE w:val="0"/>
        <w:widowControl/>
        <w:spacing w:line="197" w:lineRule="auto" w:before="12744" w:after="0"/>
        <w:ind w:left="0" w:right="0" w:firstLine="0"/>
        <w:jc w:val="center"/>
      </w:pPr>
      <w:r>
        <w:rPr>
          <w:rFonts w:ascii="Calibri" w:hAnsi="Calibri" w:eastAsia="Calibri"/>
          <w:b w:val="0"/>
          <w:i w:val="0"/>
          <w:color w:val="000000"/>
          <w:sz w:val="18"/>
        </w:rPr>
        <w:t xml:space="preserve">28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1" name="Picture 3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320" w:lineRule="exact" w:before="356" w:after="0"/>
        <w:ind w:left="0" w:right="0" w:firstLine="0"/>
        <w:jc w:val="center"/>
      </w:pPr>
      <w:r>
        <w:rPr>
          <w:rFonts w:ascii="宋体" w:hAnsi="宋体" w:eastAsia="宋体"/>
          <w:b w:val="0"/>
          <w:i w:val="0"/>
          <w:color w:val="000000"/>
          <w:sz w:val="32"/>
        </w:rPr>
        <w:t xml:space="preserve">第三节 管理层讨论与分析 </w:t>
      </w:r>
    </w:p>
    <w:p>
      <w:pPr>
        <w:autoSpaceDN w:val="0"/>
        <w:autoSpaceDE w:val="0"/>
        <w:widowControl/>
        <w:spacing w:line="240" w:lineRule="exact" w:before="490" w:after="0"/>
        <w:ind w:left="30" w:right="0" w:firstLine="0"/>
        <w:jc w:val="left"/>
      </w:pPr>
      <w:r>
        <w:rPr>
          <w:rFonts w:ascii="宋体" w:hAnsi="宋体" w:eastAsia="宋体"/>
          <w:b w:val="0"/>
          <w:i w:val="0"/>
          <w:color w:val="000000"/>
          <w:sz w:val="24"/>
        </w:rPr>
        <w:t xml:space="preserve">一、报告期内公司所处行业的情况 </w:t>
      </w:r>
    </w:p>
    <w:p>
      <w:pPr>
        <w:autoSpaceDN w:val="0"/>
        <w:autoSpaceDE w:val="0"/>
        <w:widowControl/>
        <w:spacing w:line="460" w:lineRule="exact" w:before="268" w:after="0"/>
        <w:ind w:left="30" w:right="232" w:firstLine="420"/>
        <w:jc w:val="both"/>
      </w:pPr>
      <w:r>
        <w:rPr>
          <w:rFonts w:ascii="宋体" w:hAnsi="宋体" w:eastAsia="宋体"/>
          <w:b w:val="0"/>
          <w:i w:val="0"/>
          <w:color w:val="000000"/>
          <w:sz w:val="21"/>
        </w:rPr>
        <w:t>2024 年，党的二十届三中全会擘画全面深化改革的蓝图，确立“防风险、强监管，促发展”资本</w:t>
      </w:r>
      <w:r>
        <w:rPr>
          <w:rFonts w:ascii="宋体" w:hAnsi="宋体" w:eastAsia="宋体"/>
          <w:b w:val="0"/>
          <w:i w:val="0"/>
          <w:color w:val="000000"/>
          <w:sz w:val="21"/>
        </w:rPr>
        <w:t>市场改革发展主线。新“国九条”及“1+N”政策体系加速落地见效，从融资端、投资端、交易端和制</w:t>
      </w:r>
      <w:r>
        <w:rPr>
          <w:rFonts w:ascii="宋体" w:hAnsi="宋体" w:eastAsia="宋体"/>
          <w:b w:val="0"/>
          <w:i w:val="0"/>
          <w:color w:val="000000"/>
          <w:sz w:val="21"/>
        </w:rPr>
        <w:t>度端等出台系列重要举措，深化资本市场投融资综合改革，系统性重塑资本市场基础制度和监管底层逻</w:t>
      </w:r>
      <w:r>
        <w:rPr>
          <w:rFonts w:ascii="宋体" w:hAnsi="宋体" w:eastAsia="宋体"/>
          <w:b w:val="0"/>
          <w:i w:val="0"/>
          <w:color w:val="000000"/>
          <w:sz w:val="21"/>
        </w:rPr>
        <w:t xml:space="preserve">辑，加快构建与金融强国建设相适应的高质量现代资本市场体系。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报告期内，我国资本市场政策体系持续完善。国务院发布《关于加强监管防范风险推动资本市场高</w:t>
      </w:r>
      <w:r>
        <w:rPr>
          <w:rFonts w:ascii="宋体" w:hAnsi="宋体" w:eastAsia="宋体"/>
          <w:b w:val="0"/>
          <w:i w:val="0"/>
          <w:color w:val="000000"/>
          <w:sz w:val="21"/>
        </w:rPr>
        <w:t>质量发展的若干意见》，围绕打造安全、规范、透明、开放、有活力、有韧性的资本市场，把资本市场</w:t>
      </w:r>
      <w:r>
        <w:rPr>
          <w:rFonts w:ascii="宋体" w:hAnsi="宋体" w:eastAsia="宋体"/>
          <w:b w:val="0"/>
          <w:i w:val="0"/>
          <w:color w:val="000000"/>
          <w:sz w:val="21"/>
        </w:rPr>
        <w:t>的一般规律同中国国情市情相结合，以强监管、防风险、促高质量发展为主线，更好发挥资本市场功能</w:t>
      </w:r>
      <w:r>
        <w:rPr>
          <w:rFonts w:ascii="宋体" w:hAnsi="宋体" w:eastAsia="宋体"/>
          <w:b w:val="0"/>
          <w:i w:val="0"/>
          <w:color w:val="000000"/>
          <w:sz w:val="21"/>
        </w:rPr>
        <w:t>作用，推进金融强国建设，服务中国式现代化大局。中国证监会发布《关于严把发行上市准入关从源头</w:t>
      </w:r>
      <w:r>
        <w:rPr>
          <w:rFonts w:ascii="宋体" w:hAnsi="宋体" w:eastAsia="宋体"/>
          <w:b w:val="0"/>
          <w:i w:val="0"/>
          <w:color w:val="000000"/>
          <w:sz w:val="21"/>
        </w:rPr>
        <w:t>上提高上市公司质量的意见（试行）》《关于加强上市公司监管的意见（试行）》《关于加强证券公司和公</w:t>
      </w:r>
      <w:r>
        <w:rPr>
          <w:rFonts w:ascii="宋体" w:hAnsi="宋体" w:eastAsia="宋体"/>
          <w:b w:val="0"/>
          <w:i w:val="0"/>
          <w:color w:val="000000"/>
          <w:sz w:val="21"/>
        </w:rPr>
        <w:t>募基金监管加快推进建设一流投资银行和投资机构的意见（试行）》，着眼于从源头提高上市公司质量，</w:t>
      </w:r>
      <w:r>
        <w:rPr>
          <w:rFonts w:ascii="宋体" w:hAnsi="宋体" w:eastAsia="宋体"/>
          <w:b w:val="0"/>
          <w:i w:val="0"/>
          <w:color w:val="000000"/>
          <w:sz w:val="21"/>
        </w:rPr>
        <w:t>推动上市公司提升投资价值和加强投资者保护，校正证券行业机构定位、提升专业服务能力。中国证监</w:t>
      </w:r>
      <w:r>
        <w:rPr>
          <w:rFonts w:ascii="宋体" w:hAnsi="宋体" w:eastAsia="宋体"/>
          <w:b w:val="0"/>
          <w:i w:val="0"/>
          <w:color w:val="000000"/>
          <w:sz w:val="21"/>
        </w:rPr>
        <w:t>会发布《关于深化上市公司并购重组市场改革的意见》，</w:t>
      </w:r>
      <w:r>
        <w:rPr>
          <w:rFonts w:ascii="宋体" w:hAnsi="宋体" w:eastAsia="宋体"/>
          <w:b w:val="0"/>
          <w:i w:val="0"/>
          <w:color w:val="000000"/>
          <w:sz w:val="21"/>
        </w:rPr>
        <w:t>进一步强化并购重组资源配置功能，发挥资本</w:t>
      </w:r>
      <w:r>
        <w:rPr>
          <w:rFonts w:ascii="宋体" w:hAnsi="宋体" w:eastAsia="宋体"/>
          <w:b w:val="0"/>
          <w:i w:val="0"/>
          <w:color w:val="000000"/>
          <w:sz w:val="21"/>
        </w:rPr>
        <w:t>市场在企业并购重组中的主渠道作用，支持上市公司注入优质资产、提升投资价值，助力新质生产力发</w:t>
      </w:r>
      <w:r>
        <w:rPr>
          <w:rFonts w:ascii="宋体" w:hAnsi="宋体" w:eastAsia="宋体"/>
          <w:b w:val="0"/>
          <w:i w:val="0"/>
          <w:color w:val="000000"/>
          <w:sz w:val="21"/>
        </w:rPr>
        <w:t>展。中央金融办、中国证监会联合印发《关于推动中长期资金入市的指导意见》，引导中长期资金入市，</w:t>
      </w:r>
      <w:r>
        <w:rPr>
          <w:rFonts w:ascii="宋体" w:hAnsi="宋体" w:eastAsia="宋体"/>
          <w:b w:val="0"/>
          <w:i w:val="0"/>
          <w:color w:val="000000"/>
          <w:sz w:val="21"/>
        </w:rPr>
        <w:t>打通社保、保险、理财等资金入市堵点，推动形成中长期资金更好发挥引领作用、投融资两端发展更为</w:t>
      </w:r>
      <w:r>
        <w:rPr>
          <w:rFonts w:ascii="宋体" w:hAnsi="宋体" w:eastAsia="宋体"/>
          <w:b w:val="0"/>
          <w:i w:val="0"/>
          <w:color w:val="000000"/>
          <w:sz w:val="21"/>
        </w:rPr>
        <w:t>平衡、资本市场功能更好发挥的新局面。</w:t>
      </w:r>
      <w:r>
        <w:rPr>
          <w:rFonts w:ascii="宋体" w:hAnsi="宋体" w:eastAsia="宋体"/>
          <w:b w:val="0"/>
          <w:i w:val="0"/>
          <w:color w:val="000000"/>
          <w:sz w:val="21"/>
        </w:rPr>
        <w:t xml:space="preserve">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受宏观经济政策导向、国民经济发展、国际经济形势、境外金融市场变化，以及投资者行为等多重</w:t>
      </w:r>
      <w:r>
        <w:rPr>
          <w:rFonts w:ascii="宋体" w:hAnsi="宋体" w:eastAsia="宋体"/>
          <w:b w:val="0"/>
          <w:i w:val="0"/>
          <w:color w:val="000000"/>
          <w:sz w:val="21"/>
        </w:rPr>
        <w:t>复杂内外部环境因素扰动，证券市场的运行具有鲜明的周期性、波动性和不确定性特征。报告期内，受</w:t>
      </w:r>
      <w:r>
        <w:rPr>
          <w:rFonts w:ascii="宋体" w:hAnsi="宋体" w:eastAsia="宋体"/>
          <w:b w:val="0"/>
          <w:i w:val="0"/>
          <w:color w:val="000000"/>
          <w:sz w:val="21"/>
        </w:rPr>
        <w:t>益于系列超预期政策加持，特别是9 月底一揽子增量政策的推出，证券市场风险偏好明显回升，韧性增</w:t>
      </w:r>
      <w:r>
        <w:rPr>
          <w:rFonts w:ascii="宋体" w:hAnsi="宋体" w:eastAsia="宋体"/>
          <w:b w:val="0"/>
          <w:i w:val="0"/>
          <w:color w:val="000000"/>
          <w:sz w:val="21"/>
        </w:rPr>
        <w:t>强。上证指数全年上涨12.67%，深证成指上涨</w:t>
      </w:r>
      <w:r>
        <w:rPr>
          <w:rFonts w:ascii="Calibri" w:hAnsi="Calibri" w:eastAsia="Calibri"/>
          <w:b w:val="0"/>
          <w:i w:val="0"/>
          <w:color w:val="000000"/>
          <w:sz w:val="21"/>
        </w:rPr>
        <w:t>9.34%</w:t>
      </w:r>
      <w:r>
        <w:rPr>
          <w:rFonts w:ascii="宋体" w:hAnsi="宋体" w:eastAsia="宋体"/>
          <w:b w:val="0"/>
          <w:i w:val="0"/>
          <w:color w:val="000000"/>
          <w:sz w:val="21"/>
        </w:rPr>
        <w:t>、沪深300 指数上涨14.68%，创业板指数上涨</w:t>
      </w:r>
      <w:r>
        <w:rPr>
          <w:rFonts w:ascii="宋体" w:hAnsi="宋体" w:eastAsia="宋体"/>
          <w:b w:val="0"/>
          <w:i w:val="0"/>
          <w:color w:val="000000"/>
          <w:sz w:val="21"/>
        </w:rPr>
        <w:t>13.23%，科创50 指数上涨16.07%。A 股日均成交额1.06 万亿，同比增长21.18%；两融余额1.86 万亿</w:t>
      </w:r>
      <w:r>
        <w:rPr>
          <w:rFonts w:ascii="宋体" w:hAnsi="宋体" w:eastAsia="宋体"/>
          <w:b w:val="0"/>
          <w:i w:val="0"/>
          <w:color w:val="000000"/>
          <w:sz w:val="21"/>
        </w:rPr>
        <w:t>元，较年初增长12.94%。全市场ETF 规模达到3.73 万亿元，较年初增加1.67 万亿元，同比增长</w:t>
      </w:r>
      <w:r>
        <w:rPr>
          <w:rFonts w:ascii="宋体" w:hAnsi="宋体" w:eastAsia="宋体"/>
          <w:b w:val="0"/>
          <w:i w:val="0"/>
          <w:color w:val="000000"/>
          <w:sz w:val="21"/>
        </w:rPr>
        <w:t>81.57%。股权融资市场发行节奏放缓，融资规模2904.72 亿元，同比下滑73.62%，其中，IPO 融资</w:t>
      </w:r>
      <w:r>
        <w:rPr>
          <w:rFonts w:ascii="宋体" w:hAnsi="宋体" w:eastAsia="宋体"/>
          <w:b w:val="0"/>
          <w:i w:val="0"/>
          <w:color w:val="000000"/>
          <w:sz w:val="21"/>
        </w:rPr>
        <w:t xml:space="preserve">673.53 亿元，同比下滑81.11%。得益于宽松的货币政策，债券市场持续走强，中债-新综合指数上涨 </w:t>
      </w:r>
      <w:r>
        <w:rPr>
          <w:rFonts w:ascii="宋体" w:hAnsi="宋体" w:eastAsia="宋体"/>
          <w:b w:val="0"/>
          <w:i w:val="0"/>
          <w:color w:val="000000"/>
          <w:sz w:val="21"/>
        </w:rPr>
        <w:t xml:space="preserve">4.98%。 </w:t>
      </w:r>
    </w:p>
    <w:p>
      <w:pPr>
        <w:autoSpaceDN w:val="0"/>
        <w:autoSpaceDE w:val="0"/>
        <w:widowControl/>
        <w:spacing w:line="210" w:lineRule="exact" w:before="248" w:after="0"/>
        <w:ind w:left="450" w:right="0" w:firstLine="0"/>
        <w:jc w:val="left"/>
      </w:pPr>
      <w:r>
        <w:rPr>
          <w:rFonts w:ascii="宋体" w:hAnsi="宋体" w:eastAsia="宋体"/>
          <w:b w:val="0"/>
          <w:i w:val="0"/>
          <w:color w:val="000000"/>
          <w:sz w:val="21"/>
        </w:rPr>
        <w:t>据中国证券业协会统计，截至2024 年末，全行业150 家证券公司总资产为12.93 万亿元，净资产</w:t>
      </w:r>
    </w:p>
    <w:p>
      <w:pPr>
        <w:autoSpaceDN w:val="0"/>
        <w:autoSpaceDE w:val="0"/>
        <w:widowControl/>
        <w:spacing w:line="197" w:lineRule="auto" w:before="520" w:after="0"/>
        <w:ind w:left="0" w:right="0" w:firstLine="0"/>
        <w:jc w:val="center"/>
      </w:pPr>
      <w:r>
        <w:rPr>
          <w:rFonts w:ascii="Calibri" w:hAnsi="Calibri" w:eastAsia="Calibri"/>
          <w:b w:val="0"/>
          <w:i w:val="0"/>
          <w:color w:val="000000"/>
          <w:sz w:val="18"/>
        </w:rPr>
        <w:t xml:space="preserve">29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2" name="Picture 3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84" w:bottom="446" w:left="1104" w:header="720" w:footer="720" w:gutter="0"/>
          <w:cols w:num="2" w:equalWidth="0">
            <w:col w:w="5436" w:space="0"/>
            <w:col w:w="4380" w:space="0"/>
          </w:cols>
          <w:docGrid w:linePitch="360"/>
        </w:sectPr>
      </w:pPr>
    </w:p>
    <w:p>
      <w:pPr>
        <w:autoSpaceDN w:val="0"/>
        <w:autoSpaceDE w:val="0"/>
        <w:widowControl/>
        <w:spacing w:line="200" w:lineRule="exact" w:before="0" w:after="30"/>
        <w:ind w:left="0" w:right="1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84" w:bottom="446" w:left="1104" w:header="720" w:footer="720" w:gutter="0"/>
          <w:cols w:num="2" w:equalWidth="0">
            <w:col w:w="5436" w:space="0"/>
            <w:col w:w="4380" w:space="0"/>
          </w:cols>
          <w:docGrid w:linePitch="360"/>
        </w:sectPr>
      </w:pPr>
    </w:p>
    <w:p>
      <w:pPr>
        <w:autoSpaceDN w:val="0"/>
        <w:autoSpaceDE w:val="0"/>
        <w:widowControl/>
        <w:spacing w:line="436" w:lineRule="exact" w:before="0" w:after="0"/>
        <w:ind w:left="30" w:right="288" w:firstLine="0"/>
        <w:jc w:val="left"/>
      </w:pPr>
      <w:r>
        <w:rPr>
          <w:rFonts w:ascii="宋体" w:hAnsi="宋体" w:eastAsia="宋体"/>
          <w:b w:val="0"/>
          <w:i w:val="0"/>
          <w:color w:val="000000"/>
          <w:sz w:val="21"/>
        </w:rPr>
        <w:t>为3.13 万亿元，净资本为2.31 万亿元，分别较上年末增长9.30%、6.10%和5.96%。全行业实现营业收</w:t>
      </w:r>
      <w:r>
        <w:rPr>
          <w:rFonts w:ascii="宋体" w:hAnsi="宋体" w:eastAsia="宋体"/>
          <w:b w:val="0"/>
          <w:i w:val="0"/>
          <w:color w:val="000000"/>
          <w:sz w:val="21"/>
        </w:rPr>
        <w:t xml:space="preserve">入4511.69 亿元，同比增长11.15%，实现净利润1672.57 亿元，同比增长21.35%。 </w:t>
      </w:r>
    </w:p>
    <w:p>
      <w:pPr>
        <w:autoSpaceDN w:val="0"/>
        <w:autoSpaceDE w:val="0"/>
        <w:widowControl/>
        <w:spacing w:line="460" w:lineRule="exact" w:before="0" w:after="0"/>
        <w:ind w:left="30" w:right="328" w:firstLine="420"/>
        <w:jc w:val="both"/>
      </w:pPr>
      <w:r>
        <w:rPr>
          <w:rFonts w:ascii="宋体" w:hAnsi="宋体" w:eastAsia="宋体"/>
          <w:b w:val="0"/>
          <w:i w:val="0"/>
          <w:color w:val="000000"/>
          <w:sz w:val="21"/>
        </w:rPr>
        <w:t>公司作为山西省唯一上市证券公司，是全国首批证券公司之一，属国有控股性质。公司积极适应监</w:t>
      </w:r>
      <w:r>
        <w:rPr>
          <w:rFonts w:ascii="宋体" w:hAnsi="宋体" w:eastAsia="宋体"/>
          <w:b w:val="0"/>
          <w:i w:val="0"/>
          <w:color w:val="000000"/>
          <w:sz w:val="21"/>
        </w:rPr>
        <w:t>管形势，持续优化战略规划，稳固优势，锻造长板，坚定推动基础业务转型升级，大力培育新兴动能，</w:t>
      </w:r>
      <w:r>
        <w:rPr>
          <w:rFonts w:ascii="宋体" w:hAnsi="宋体" w:eastAsia="宋体"/>
          <w:b w:val="0"/>
          <w:i w:val="0"/>
          <w:color w:val="000000"/>
          <w:sz w:val="21"/>
        </w:rPr>
        <w:t xml:space="preserve">各项业务稳健发展。 </w:t>
      </w:r>
    </w:p>
    <w:p>
      <w:pPr>
        <w:autoSpaceDN w:val="0"/>
        <w:autoSpaceDE w:val="0"/>
        <w:widowControl/>
        <w:spacing w:line="460" w:lineRule="exact" w:before="24" w:after="0"/>
        <w:ind w:left="30" w:right="328" w:firstLine="420"/>
        <w:jc w:val="both"/>
      </w:pPr>
      <w:r>
        <w:rPr>
          <w:rFonts w:ascii="宋体" w:hAnsi="宋体" w:eastAsia="宋体"/>
          <w:b w:val="0"/>
          <w:i w:val="0"/>
          <w:color w:val="000000"/>
          <w:sz w:val="21"/>
        </w:rPr>
        <w:t>据中国证券业协会数据，截至</w:t>
      </w:r>
      <w:r>
        <w:rPr>
          <w:rFonts w:ascii="Calibri" w:hAnsi="Calibri" w:eastAsia="Calibri"/>
          <w:b w:val="0"/>
          <w:i w:val="0"/>
          <w:color w:val="000000"/>
          <w:sz w:val="21"/>
        </w:rPr>
        <w:t>2024</w:t>
      </w:r>
      <w:r>
        <w:rPr>
          <w:rFonts w:ascii="宋体" w:hAnsi="宋体" w:eastAsia="宋体"/>
          <w:b w:val="0"/>
          <w:i w:val="0"/>
          <w:color w:val="000000"/>
          <w:sz w:val="21"/>
        </w:rPr>
        <w:t xml:space="preserve"> 年</w:t>
      </w:r>
      <w:r>
        <w:rPr>
          <w:rFonts w:ascii="Calibri" w:hAnsi="Calibri" w:eastAsia="Calibri"/>
          <w:b w:val="0"/>
          <w:i w:val="0"/>
          <w:color w:val="000000"/>
          <w:sz w:val="21"/>
        </w:rPr>
        <w:t>9</w:t>
      </w:r>
      <w:r>
        <w:rPr>
          <w:rFonts w:ascii="宋体" w:hAnsi="宋体" w:eastAsia="宋体"/>
          <w:b w:val="0"/>
          <w:i w:val="0"/>
          <w:color w:val="000000"/>
          <w:sz w:val="21"/>
        </w:rPr>
        <w:t xml:space="preserve"> 月末，公司总资产、净资产、净资本规模分别处于行业第</w:t>
      </w:r>
      <w:r>
        <w:rPr>
          <w:rFonts w:ascii="Calibri" w:hAnsi="Calibri" w:eastAsia="Calibri"/>
          <w:b w:val="0"/>
          <w:i w:val="0"/>
          <w:color w:val="000000"/>
          <w:sz w:val="21"/>
        </w:rPr>
        <w:t>37</w:t>
      </w:r>
      <w:r>
        <w:rPr>
          <w:rFonts w:ascii="宋体" w:hAnsi="宋体" w:eastAsia="宋体"/>
          <w:b w:val="0"/>
          <w:i w:val="0"/>
          <w:color w:val="000000"/>
          <w:sz w:val="21"/>
        </w:rPr>
        <w:t xml:space="preserve"> 位、</w:t>
      </w:r>
      <w:r>
        <w:rPr>
          <w:rFonts w:ascii="Calibri" w:hAnsi="Calibri" w:eastAsia="Calibri"/>
          <w:b w:val="0"/>
          <w:i w:val="0"/>
          <w:color w:val="000000"/>
          <w:sz w:val="21"/>
        </w:rPr>
        <w:t>41</w:t>
      </w:r>
      <w:r>
        <w:rPr>
          <w:rFonts w:ascii="宋体" w:hAnsi="宋体" w:eastAsia="宋体"/>
          <w:b w:val="0"/>
          <w:i w:val="0"/>
          <w:color w:val="000000"/>
          <w:sz w:val="21"/>
        </w:rPr>
        <w:t xml:space="preserve"> 位和</w:t>
      </w:r>
      <w:r>
        <w:rPr>
          <w:rFonts w:ascii="Calibri" w:hAnsi="Calibri" w:eastAsia="Calibri"/>
          <w:b w:val="0"/>
          <w:i w:val="0"/>
          <w:color w:val="000000"/>
          <w:sz w:val="21"/>
        </w:rPr>
        <w:t>49</w:t>
      </w:r>
      <w:r>
        <w:rPr>
          <w:rFonts w:ascii="宋体" w:hAnsi="宋体" w:eastAsia="宋体"/>
          <w:b w:val="0"/>
          <w:i w:val="0"/>
          <w:color w:val="000000"/>
          <w:sz w:val="21"/>
        </w:rPr>
        <w:t xml:space="preserve"> 位。公司经纪业务、投行业务在山西省内具有明显的区域和品牌优势。报告期内，</w:t>
      </w:r>
      <w:r>
        <w:rPr>
          <w:rFonts w:ascii="宋体" w:hAnsi="宋体" w:eastAsia="宋体"/>
          <w:b w:val="0"/>
          <w:i w:val="0"/>
          <w:color w:val="000000"/>
          <w:sz w:val="21"/>
        </w:rPr>
        <w:t>公司获得中国证监会</w:t>
      </w:r>
      <w:r>
        <w:rPr>
          <w:rFonts w:ascii="Calibri" w:hAnsi="Calibri" w:eastAsia="Calibri"/>
          <w:b w:val="0"/>
          <w:i w:val="0"/>
          <w:color w:val="000000"/>
          <w:sz w:val="21"/>
        </w:rPr>
        <w:t>“</w:t>
      </w:r>
      <w:r>
        <w:rPr>
          <w:rFonts w:ascii="宋体" w:hAnsi="宋体" w:eastAsia="宋体"/>
          <w:b w:val="0"/>
          <w:i w:val="0"/>
          <w:color w:val="000000"/>
          <w:sz w:val="21"/>
        </w:rPr>
        <w:t>全国证券期货投资者教育基地考核优秀</w:t>
      </w:r>
      <w:r>
        <w:rPr>
          <w:rFonts w:ascii="Calibri" w:hAnsi="Calibri" w:eastAsia="Calibri"/>
          <w:b w:val="0"/>
          <w:i w:val="0"/>
          <w:color w:val="000000"/>
          <w:sz w:val="21"/>
        </w:rPr>
        <w:t>”</w:t>
      </w:r>
      <w:r>
        <w:rPr>
          <w:rFonts w:ascii="宋体" w:hAnsi="宋体" w:eastAsia="宋体"/>
          <w:b w:val="0"/>
          <w:i w:val="0"/>
          <w:color w:val="000000"/>
          <w:sz w:val="21"/>
        </w:rPr>
        <w:t>评级，中国外汇交易中心</w:t>
      </w:r>
      <w:r>
        <w:rPr>
          <w:rFonts w:ascii="Calibri" w:hAnsi="Calibri" w:eastAsia="Calibri"/>
          <w:b w:val="0"/>
          <w:i w:val="0"/>
          <w:color w:val="000000"/>
          <w:sz w:val="21"/>
        </w:rPr>
        <w:t>“</w:t>
      </w:r>
      <w:r>
        <w:rPr>
          <w:rFonts w:ascii="宋体" w:hAnsi="宋体" w:eastAsia="宋体"/>
          <w:b w:val="0"/>
          <w:i w:val="0"/>
          <w:color w:val="000000"/>
          <w:sz w:val="21"/>
        </w:rPr>
        <w:t>年度影响力机</w:t>
      </w:r>
      <w:r>
        <w:rPr>
          <w:rFonts w:ascii="宋体" w:hAnsi="宋体" w:eastAsia="宋体"/>
          <w:b w:val="0"/>
          <w:i w:val="0"/>
          <w:color w:val="000000"/>
          <w:sz w:val="21"/>
        </w:rPr>
        <w:t>构</w:t>
      </w:r>
      <w:r>
        <w:rPr>
          <w:rFonts w:ascii="Calibri" w:hAnsi="Calibri" w:eastAsia="Calibri"/>
          <w:b w:val="0"/>
          <w:i w:val="0"/>
          <w:color w:val="000000"/>
          <w:sz w:val="21"/>
        </w:rPr>
        <w:t>-</w:t>
      </w:r>
      <w:r>
        <w:rPr>
          <w:rFonts w:ascii="宋体" w:hAnsi="宋体" w:eastAsia="宋体"/>
          <w:b w:val="0"/>
          <w:i w:val="0"/>
          <w:color w:val="000000"/>
          <w:sz w:val="21"/>
        </w:rPr>
        <w:t>核心交易商</w:t>
      </w:r>
      <w:r>
        <w:rPr>
          <w:rFonts w:ascii="Calibri" w:hAnsi="Calibri" w:eastAsia="Calibri"/>
          <w:b w:val="0"/>
          <w:i w:val="0"/>
          <w:color w:val="000000"/>
          <w:sz w:val="21"/>
        </w:rPr>
        <w:t>”</w:t>
      </w:r>
      <w:r>
        <w:rPr>
          <w:rFonts w:ascii="宋体" w:hAnsi="宋体" w:eastAsia="宋体"/>
          <w:b w:val="0"/>
          <w:i w:val="0"/>
          <w:color w:val="000000"/>
          <w:sz w:val="21"/>
        </w:rPr>
        <w:t>，深交所</w:t>
      </w:r>
      <w:r>
        <w:rPr>
          <w:rFonts w:ascii="Calibri" w:hAnsi="Calibri" w:eastAsia="Calibri"/>
          <w:b w:val="0"/>
          <w:i w:val="0"/>
          <w:color w:val="000000"/>
          <w:sz w:val="21"/>
        </w:rPr>
        <w:t>“</w:t>
      </w:r>
      <w:r>
        <w:rPr>
          <w:rFonts w:ascii="宋体" w:hAnsi="宋体" w:eastAsia="宋体"/>
          <w:b w:val="0"/>
          <w:i w:val="0"/>
          <w:color w:val="000000"/>
          <w:sz w:val="21"/>
        </w:rPr>
        <w:t>年度优秀债券投资交易机构</w:t>
      </w:r>
      <w:r>
        <w:rPr>
          <w:rFonts w:ascii="Calibri" w:hAnsi="Calibri" w:eastAsia="Calibri"/>
          <w:b w:val="0"/>
          <w:i w:val="0"/>
          <w:color w:val="000000"/>
          <w:sz w:val="21"/>
        </w:rPr>
        <w:t>”</w:t>
      </w:r>
      <w:r>
        <w:rPr>
          <w:rFonts w:ascii="宋体" w:hAnsi="宋体" w:eastAsia="宋体"/>
          <w:b w:val="0"/>
          <w:i w:val="0"/>
          <w:color w:val="000000"/>
          <w:sz w:val="21"/>
        </w:rPr>
        <w:t>，中国上市公司协会</w:t>
      </w:r>
      <w:r>
        <w:rPr>
          <w:rFonts w:ascii="Calibri" w:hAnsi="Calibri" w:eastAsia="Calibri"/>
          <w:b w:val="0"/>
          <w:i w:val="0"/>
          <w:color w:val="000000"/>
          <w:sz w:val="21"/>
        </w:rPr>
        <w:t>“</w:t>
      </w:r>
      <w:r>
        <w:rPr>
          <w:rFonts w:ascii="宋体" w:hAnsi="宋体" w:eastAsia="宋体"/>
          <w:b w:val="0"/>
          <w:i w:val="0"/>
          <w:color w:val="000000"/>
          <w:sz w:val="21"/>
        </w:rPr>
        <w:t>年度中国上市公司数字化转</w:t>
      </w:r>
      <w:r>
        <w:rPr>
          <w:rFonts w:ascii="宋体" w:hAnsi="宋体" w:eastAsia="宋体"/>
          <w:b w:val="0"/>
          <w:i w:val="0"/>
          <w:color w:val="000000"/>
          <w:sz w:val="21"/>
        </w:rPr>
        <w:t>型最佳实践典型案例</w:t>
      </w:r>
      <w:r>
        <w:rPr>
          <w:rFonts w:ascii="Calibri" w:hAnsi="Calibri" w:eastAsia="Calibri"/>
          <w:b w:val="0"/>
          <w:i w:val="0"/>
          <w:color w:val="000000"/>
          <w:sz w:val="21"/>
        </w:rPr>
        <w:t>”</w:t>
      </w:r>
      <w:r>
        <w:rPr>
          <w:rFonts w:ascii="宋体" w:hAnsi="宋体" w:eastAsia="宋体"/>
          <w:b w:val="0"/>
          <w:i w:val="0"/>
          <w:color w:val="000000"/>
          <w:sz w:val="21"/>
        </w:rPr>
        <w:t>，证券时报</w:t>
      </w:r>
      <w:r>
        <w:rPr>
          <w:rFonts w:ascii="Calibri" w:hAnsi="Calibri" w:eastAsia="Calibri"/>
          <w:b w:val="0"/>
          <w:i w:val="0"/>
          <w:color w:val="000000"/>
          <w:sz w:val="21"/>
        </w:rPr>
        <w:t>“</w:t>
      </w:r>
      <w:r>
        <w:rPr>
          <w:rFonts w:ascii="宋体" w:hAnsi="宋体" w:eastAsia="宋体"/>
          <w:b w:val="0"/>
          <w:i w:val="0"/>
          <w:color w:val="000000"/>
          <w:sz w:val="21"/>
        </w:rPr>
        <w:t>中国证券业财富服务品牌君鼎奖</w:t>
      </w:r>
      <w:r>
        <w:rPr>
          <w:rFonts w:ascii="Calibri" w:hAnsi="Calibri" w:eastAsia="Calibri"/>
          <w:b w:val="0"/>
          <w:i w:val="0"/>
          <w:color w:val="000000"/>
          <w:sz w:val="21"/>
        </w:rPr>
        <w:t>”“</w:t>
      </w:r>
      <w:r>
        <w:rPr>
          <w:rFonts w:ascii="宋体" w:hAnsi="宋体" w:eastAsia="宋体"/>
          <w:b w:val="0"/>
          <w:i w:val="0"/>
          <w:color w:val="000000"/>
          <w:sz w:val="21"/>
        </w:rPr>
        <w:t>中国证券业资管品牌君鼎奖</w:t>
      </w:r>
      <w:r>
        <w:rPr>
          <w:rFonts w:ascii="Calibri" w:hAnsi="Calibri" w:eastAsia="Calibri"/>
          <w:b w:val="0"/>
          <w:i w:val="0"/>
          <w:color w:val="000000"/>
          <w:sz w:val="21"/>
        </w:rPr>
        <w:t>”“</w:t>
      </w:r>
      <w:r>
        <w:rPr>
          <w:rFonts w:ascii="宋体" w:hAnsi="宋体" w:eastAsia="宋体"/>
          <w:b w:val="0"/>
          <w:i w:val="0"/>
          <w:color w:val="000000"/>
          <w:sz w:val="21"/>
        </w:rPr>
        <w:t>中国</w:t>
      </w:r>
      <w:r>
        <w:rPr>
          <w:rFonts w:ascii="宋体" w:hAnsi="宋体" w:eastAsia="宋体"/>
          <w:b w:val="0"/>
          <w:i w:val="0"/>
          <w:color w:val="000000"/>
          <w:sz w:val="21"/>
        </w:rPr>
        <w:t>证券业区域投行君鼎奖</w:t>
      </w:r>
      <w:r>
        <w:rPr>
          <w:rFonts w:ascii="Calibri" w:hAnsi="Calibri" w:eastAsia="Calibri"/>
          <w:b w:val="0"/>
          <w:i w:val="0"/>
          <w:color w:val="000000"/>
          <w:sz w:val="21"/>
        </w:rPr>
        <w:t>”</w:t>
      </w:r>
      <w:r>
        <w:rPr>
          <w:rFonts w:ascii="宋体" w:hAnsi="宋体" w:eastAsia="宋体"/>
          <w:b w:val="0"/>
          <w:i w:val="0"/>
          <w:color w:val="000000"/>
          <w:sz w:val="21"/>
        </w:rPr>
        <w:t>，中国证券报</w:t>
      </w:r>
      <w:r>
        <w:rPr>
          <w:rFonts w:ascii="Calibri" w:hAnsi="Calibri" w:eastAsia="Calibri"/>
          <w:b w:val="0"/>
          <w:i w:val="0"/>
          <w:color w:val="000000"/>
          <w:sz w:val="21"/>
        </w:rPr>
        <w:t>“</w:t>
      </w:r>
      <w:r>
        <w:rPr>
          <w:rFonts w:ascii="宋体" w:hAnsi="宋体" w:eastAsia="宋体"/>
          <w:b w:val="0"/>
          <w:i w:val="0"/>
          <w:color w:val="000000"/>
          <w:sz w:val="21"/>
        </w:rPr>
        <w:t>年度金信披奖</w:t>
      </w:r>
      <w:r>
        <w:rPr>
          <w:rFonts w:ascii="Calibri" w:hAnsi="Calibri" w:eastAsia="Calibri"/>
          <w:b w:val="0"/>
          <w:i w:val="0"/>
          <w:color w:val="000000"/>
          <w:sz w:val="21"/>
        </w:rPr>
        <w:t>”</w:t>
      </w:r>
      <w:r>
        <w:rPr>
          <w:rFonts w:ascii="宋体" w:hAnsi="宋体" w:eastAsia="宋体"/>
          <w:b w:val="0"/>
          <w:i w:val="0"/>
          <w:color w:val="000000"/>
          <w:sz w:val="21"/>
        </w:rPr>
        <w:t>，全景网</w:t>
      </w:r>
      <w:r>
        <w:rPr>
          <w:rFonts w:ascii="Calibri" w:hAnsi="Calibri" w:eastAsia="Calibri"/>
          <w:b w:val="0"/>
          <w:i w:val="0"/>
          <w:color w:val="000000"/>
          <w:sz w:val="21"/>
        </w:rPr>
        <w:t>“</w:t>
      </w:r>
      <w:r>
        <w:rPr>
          <w:rFonts w:ascii="宋体" w:hAnsi="宋体" w:eastAsia="宋体"/>
          <w:b w:val="0"/>
          <w:i w:val="0"/>
          <w:color w:val="000000"/>
          <w:sz w:val="21"/>
        </w:rPr>
        <w:t>杰出</w:t>
      </w:r>
      <w:r>
        <w:rPr>
          <w:rFonts w:ascii="Calibri" w:hAnsi="Calibri" w:eastAsia="Calibri"/>
          <w:b w:val="0"/>
          <w:i w:val="0"/>
          <w:color w:val="000000"/>
          <w:sz w:val="21"/>
        </w:rPr>
        <w:t>ESG</w:t>
      </w:r>
      <w:r>
        <w:rPr>
          <w:rFonts w:ascii="宋体" w:hAnsi="宋体" w:eastAsia="宋体"/>
          <w:b w:val="0"/>
          <w:i w:val="0"/>
          <w:color w:val="000000"/>
          <w:sz w:val="21"/>
        </w:rPr>
        <w:t xml:space="preserve"> 价值传播奖</w:t>
      </w:r>
      <w:r>
        <w:rPr>
          <w:rFonts w:ascii="Calibri" w:hAnsi="Calibri" w:eastAsia="Calibri"/>
          <w:b w:val="0"/>
          <w:i w:val="0"/>
          <w:color w:val="000000"/>
          <w:sz w:val="21"/>
        </w:rPr>
        <w:t>”</w:t>
      </w:r>
      <w:r>
        <w:rPr>
          <w:rFonts w:ascii="宋体" w:hAnsi="宋体" w:eastAsia="宋体"/>
          <w:b w:val="0"/>
          <w:i w:val="0"/>
          <w:color w:val="000000"/>
          <w:sz w:val="21"/>
        </w:rPr>
        <w:t>和财联社</w:t>
      </w:r>
      <w:r>
        <w:rPr>
          <w:rFonts w:ascii="Calibri" w:hAnsi="Calibri" w:eastAsia="Calibri"/>
          <w:b w:val="0"/>
          <w:i w:val="0"/>
          <w:color w:val="000000"/>
          <w:sz w:val="21"/>
        </w:rPr>
        <w:t>“</w:t>
      </w:r>
      <w:r>
        <w:rPr>
          <w:rFonts w:ascii="宋体" w:hAnsi="宋体" w:eastAsia="宋体"/>
          <w:b w:val="0"/>
          <w:i w:val="0"/>
          <w:color w:val="000000"/>
          <w:sz w:val="21"/>
        </w:rPr>
        <w:t>最佳成</w:t>
      </w:r>
      <w:r>
        <w:rPr>
          <w:rFonts w:ascii="宋体" w:hAnsi="宋体" w:eastAsia="宋体"/>
          <w:b w:val="0"/>
          <w:i w:val="0"/>
          <w:color w:val="000000"/>
          <w:sz w:val="21"/>
        </w:rPr>
        <w:t>长财富管理奖</w:t>
      </w:r>
      <w:r>
        <w:rPr>
          <w:rFonts w:ascii="Calibri" w:hAnsi="Calibri" w:eastAsia="Calibri"/>
          <w:b w:val="0"/>
          <w:i w:val="0"/>
          <w:color w:val="000000"/>
          <w:sz w:val="21"/>
        </w:rPr>
        <w:t>”</w:t>
      </w:r>
      <w:r>
        <w:rPr>
          <w:rFonts w:ascii="宋体" w:hAnsi="宋体" w:eastAsia="宋体"/>
          <w:b w:val="0"/>
          <w:i w:val="0"/>
          <w:color w:val="000000"/>
          <w:sz w:val="21"/>
        </w:rPr>
        <w:t xml:space="preserve">等奖项。 </w:t>
      </w:r>
    </w:p>
    <w:p>
      <w:pPr>
        <w:autoSpaceDN w:val="0"/>
        <w:autoSpaceDE w:val="0"/>
        <w:widowControl/>
        <w:spacing w:line="240" w:lineRule="exact" w:before="392" w:after="0"/>
        <w:ind w:left="30" w:right="0" w:firstLine="0"/>
        <w:jc w:val="left"/>
      </w:pPr>
      <w:r>
        <w:rPr>
          <w:rFonts w:ascii="宋体" w:hAnsi="宋体" w:eastAsia="宋体"/>
          <w:b w:val="0"/>
          <w:i w:val="0"/>
          <w:color w:val="000000"/>
          <w:sz w:val="24"/>
        </w:rPr>
        <w:t xml:space="preserve">二、报告期内公司从事的主要业务 </w:t>
      </w:r>
    </w:p>
    <w:p>
      <w:pPr>
        <w:autoSpaceDN w:val="0"/>
        <w:autoSpaceDE w:val="0"/>
        <w:widowControl/>
        <w:spacing w:line="460" w:lineRule="exact" w:before="266" w:after="0"/>
        <w:ind w:left="30" w:right="330" w:firstLine="420"/>
        <w:jc w:val="both"/>
      </w:pPr>
      <w:r>
        <w:rPr>
          <w:rFonts w:ascii="宋体" w:hAnsi="宋体" w:eastAsia="宋体"/>
          <w:b w:val="0"/>
          <w:i w:val="0"/>
          <w:color w:val="000000"/>
          <w:sz w:val="21"/>
        </w:rPr>
        <w:t>公司经营范围基本涵盖了所有的证券领域，分布于财富管理、投资管理、资产管理、投资银行、研</w:t>
      </w:r>
      <w:r>
        <w:rPr>
          <w:rFonts w:ascii="宋体" w:hAnsi="宋体" w:eastAsia="宋体"/>
          <w:b w:val="0"/>
          <w:i w:val="0"/>
          <w:color w:val="000000"/>
          <w:sz w:val="21"/>
        </w:rPr>
        <w:t>究、期货、国际业务等板块，具体包括：证券经纪；证券自营；证券资产管理；证券投资咨询；与证券</w:t>
      </w:r>
      <w:r>
        <w:rPr>
          <w:rFonts w:ascii="宋体" w:hAnsi="宋体" w:eastAsia="宋体"/>
          <w:b w:val="0"/>
          <w:i w:val="0"/>
          <w:color w:val="000000"/>
          <w:sz w:val="21"/>
        </w:rPr>
        <w:t>交易、证券投资活动有关的财务顾问；证券投资基金代销；为期货公司提供中间介绍业务；融资融券；</w:t>
      </w:r>
      <w:r>
        <w:rPr>
          <w:rFonts w:ascii="宋体" w:hAnsi="宋体" w:eastAsia="宋体"/>
          <w:b w:val="0"/>
          <w:i w:val="0"/>
          <w:color w:val="000000"/>
          <w:sz w:val="21"/>
        </w:rPr>
        <w:t>代销金融产品等。同时，公司具备公开募集证券投资基金管理、开展债券质押式报价回购交易、股票质</w:t>
      </w:r>
      <w:r>
        <w:rPr>
          <w:rFonts w:ascii="宋体" w:hAnsi="宋体" w:eastAsia="宋体"/>
          <w:b w:val="0"/>
          <w:i w:val="0"/>
          <w:color w:val="000000"/>
          <w:sz w:val="21"/>
        </w:rPr>
        <w:t>押式回购交易、约定购回式证券交易、转融通、上市公司股权激励行权融资、直接投资、柜台市场、场</w:t>
      </w:r>
      <w:r>
        <w:rPr>
          <w:rFonts w:ascii="宋体" w:hAnsi="宋体" w:eastAsia="宋体"/>
          <w:b w:val="0"/>
          <w:i w:val="0"/>
          <w:color w:val="000000"/>
          <w:sz w:val="21"/>
        </w:rPr>
        <w:t>外期权、基金投资顾问、银行间债券市场做市、债券通做市、科技创新非金融企业债务融资工具主承销</w:t>
      </w:r>
      <w:r>
        <w:rPr>
          <w:rFonts w:ascii="宋体" w:hAnsi="宋体" w:eastAsia="宋体"/>
          <w:b w:val="0"/>
          <w:i w:val="0"/>
          <w:color w:val="000000"/>
          <w:sz w:val="21"/>
        </w:rPr>
        <w:t xml:space="preserve">等业务，能够为广大客户提供多元化综合金融服务。 </w:t>
      </w:r>
    </w:p>
    <w:p>
      <w:pPr>
        <w:autoSpaceDN w:val="0"/>
        <w:tabs>
          <w:tab w:pos="450" w:val="left"/>
        </w:tabs>
        <w:autoSpaceDE w:val="0"/>
        <w:widowControl/>
        <w:spacing w:line="460" w:lineRule="exact" w:before="0" w:after="0"/>
        <w:ind w:left="30" w:right="288" w:firstLine="0"/>
        <w:jc w:val="left"/>
      </w:pPr>
      <w:r>
        <w:tab/>
      </w:r>
      <w:r>
        <w:rPr>
          <w:rFonts w:ascii="宋体" w:hAnsi="宋体" w:eastAsia="宋体"/>
          <w:b w:val="0"/>
          <w:i w:val="0"/>
          <w:color w:val="000000"/>
          <w:sz w:val="21"/>
        </w:rPr>
        <w:t>公司建立了板块化业务管理体系，将主要业务划分为五大业务板块，分别为财富管理业务板块、企</w:t>
      </w:r>
      <w:r>
        <w:rPr>
          <w:rFonts w:ascii="宋体" w:hAnsi="宋体" w:eastAsia="宋体"/>
          <w:b w:val="0"/>
          <w:i w:val="0"/>
          <w:color w:val="000000"/>
          <w:sz w:val="21"/>
        </w:rPr>
        <w:t xml:space="preserve">业金融业务板块、资产管理业务板块、FICC 业务板块、权益业务板块。其中： </w:t>
      </w:r>
      <w:r>
        <w:br/>
      </w:r>
      <w:r>
        <w:tab/>
      </w:r>
      <w:r>
        <w:rPr>
          <w:rFonts w:ascii="宋体" w:hAnsi="宋体" w:eastAsia="宋体"/>
          <w:b w:val="0"/>
          <w:i w:val="0"/>
          <w:color w:val="000000"/>
          <w:sz w:val="21"/>
        </w:rPr>
        <w:t>财富管理业务板块主要包括证券经纪、投资顾问、销售本公司及其他金融机构开发的金融产品、融</w:t>
      </w:r>
      <w:r>
        <w:rPr>
          <w:rFonts w:ascii="宋体" w:hAnsi="宋体" w:eastAsia="宋体"/>
          <w:b w:val="0"/>
          <w:i w:val="0"/>
          <w:color w:val="000000"/>
          <w:sz w:val="21"/>
        </w:rPr>
        <w:t xml:space="preserve">资融券、股权质押、约定式购回、资产配置、财富规划等服务。 </w:t>
      </w:r>
    </w:p>
    <w:p>
      <w:pPr>
        <w:autoSpaceDN w:val="0"/>
        <w:autoSpaceDE w:val="0"/>
        <w:widowControl/>
        <w:spacing w:line="460" w:lineRule="exact" w:before="0" w:after="0"/>
        <w:ind w:left="30" w:right="20" w:firstLine="420"/>
        <w:jc w:val="both"/>
      </w:pPr>
      <w:r>
        <w:rPr>
          <w:rFonts w:ascii="宋体" w:hAnsi="宋体" w:eastAsia="宋体"/>
          <w:b w:val="0"/>
          <w:i w:val="0"/>
          <w:color w:val="000000"/>
          <w:sz w:val="21"/>
        </w:rPr>
        <w:t>企业金融业务板块包括投资银行业务、资产证券化（ABS）业务、公募REITs 业务、新三板业务、</w:t>
      </w:r>
      <w:r>
        <w:rPr>
          <w:rFonts w:ascii="宋体" w:hAnsi="宋体" w:eastAsia="宋体"/>
          <w:b w:val="0"/>
          <w:i w:val="0"/>
          <w:color w:val="000000"/>
          <w:sz w:val="21"/>
        </w:rPr>
        <w:t>四板业务、企业综合服务业务等。中德证券为公司控股的投资银行子公司，经营范围包括股票（包括人</w:t>
      </w:r>
      <w:r>
        <w:rPr>
          <w:rFonts w:ascii="宋体" w:hAnsi="宋体" w:eastAsia="宋体"/>
          <w:b w:val="0"/>
          <w:i w:val="0"/>
          <w:color w:val="000000"/>
          <w:sz w:val="21"/>
        </w:rPr>
        <w:t xml:space="preserve">民币普通股、外资股）和债券（包括政府债券、公司债券）的承销与保荐以及并购重组等财务顾问业务。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资产管理业务板块包括资产管理和公募基金两个领域，由全资子公司山证资管展业，业务涵盖权益</w:t>
      </w:r>
    </w:p>
    <w:p>
      <w:pPr>
        <w:autoSpaceDN w:val="0"/>
        <w:autoSpaceDE w:val="0"/>
        <w:widowControl/>
        <w:spacing w:line="197" w:lineRule="auto" w:before="862" w:after="0"/>
        <w:ind w:left="0" w:right="4838" w:firstLine="0"/>
        <w:jc w:val="right"/>
      </w:pPr>
      <w:r>
        <w:rPr>
          <w:rFonts w:ascii="Calibri" w:hAnsi="Calibri" w:eastAsia="Calibri"/>
          <w:b w:val="0"/>
          <w:i w:val="0"/>
          <w:color w:val="000000"/>
          <w:sz w:val="18"/>
        </w:rPr>
        <w:t xml:space="preserve">30 </w:t>
      </w:r>
    </w:p>
    <w:p>
      <w:pPr>
        <w:sectPr>
          <w:type w:val="continuous"/>
          <w:pgSz w:w="11904" w:h="16841"/>
          <w:pgMar w:top="424" w:right="9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3" name="Picture 3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及创新、固定收益及固收+等产品。 </w:t>
      </w:r>
    </w:p>
    <w:p>
      <w:pPr>
        <w:autoSpaceDN w:val="0"/>
        <w:autoSpaceDE w:val="0"/>
        <w:widowControl/>
        <w:spacing w:line="460" w:lineRule="exact" w:before="0" w:after="0"/>
        <w:ind w:left="30" w:right="232" w:firstLine="420"/>
        <w:jc w:val="both"/>
      </w:pPr>
      <w:r>
        <w:rPr>
          <w:rFonts w:ascii="宋体" w:hAnsi="宋体" w:eastAsia="宋体"/>
          <w:b w:val="0"/>
          <w:i w:val="0"/>
          <w:color w:val="000000"/>
          <w:sz w:val="21"/>
        </w:rPr>
        <w:t>FICC 业务板块包括固定收益业务、商品及货币业务和期货业务。主要通过公司海南自营分公司、</w:t>
      </w:r>
      <w:r>
        <w:rPr>
          <w:rFonts w:ascii="宋体" w:hAnsi="宋体" w:eastAsia="宋体"/>
          <w:b w:val="0"/>
          <w:i w:val="0"/>
          <w:color w:val="000000"/>
          <w:sz w:val="21"/>
        </w:rPr>
        <w:t>贸易金融部、商品投资部、格林大华及其子公司展业。格林大华为公司全资期货子公司，经营范围包括</w:t>
      </w:r>
      <w:r>
        <w:rPr>
          <w:rFonts w:ascii="宋体" w:hAnsi="宋体" w:eastAsia="宋体"/>
          <w:b w:val="0"/>
          <w:i w:val="0"/>
          <w:color w:val="000000"/>
          <w:sz w:val="21"/>
        </w:rPr>
        <w:t xml:space="preserve">商品期货经纪、金融期货经纪、期货投资咨询以及资产管理业务等。 </w:t>
      </w:r>
    </w:p>
    <w:p>
      <w:pPr>
        <w:autoSpaceDN w:val="0"/>
        <w:autoSpaceDE w:val="0"/>
        <w:widowControl/>
        <w:spacing w:line="460" w:lineRule="exact" w:before="0" w:after="0"/>
        <w:ind w:left="30" w:right="232" w:firstLine="420"/>
        <w:jc w:val="both"/>
      </w:pPr>
      <w:r>
        <w:rPr>
          <w:rFonts w:ascii="宋体" w:hAnsi="宋体" w:eastAsia="宋体"/>
          <w:b w:val="0"/>
          <w:i w:val="0"/>
          <w:color w:val="000000"/>
          <w:sz w:val="21"/>
        </w:rPr>
        <w:t>权益业务板块包括权益自营、衍生品/量化投资、研究及销售交易业务、新三板创新投资、私募股</w:t>
      </w:r>
      <w:r>
        <w:rPr>
          <w:rFonts w:ascii="宋体" w:hAnsi="宋体" w:eastAsia="宋体"/>
          <w:b w:val="0"/>
          <w:i w:val="0"/>
          <w:color w:val="000000"/>
          <w:sz w:val="21"/>
        </w:rPr>
        <w:t>权投资（山证投资）、另类投资（山证创新）等。子公司山证投资与山证创新主要从事股权投资与资产</w:t>
      </w:r>
      <w:r>
        <w:rPr>
          <w:rFonts w:ascii="宋体" w:hAnsi="宋体" w:eastAsia="宋体"/>
          <w:b w:val="0"/>
          <w:i w:val="0"/>
          <w:color w:val="000000"/>
          <w:sz w:val="21"/>
        </w:rPr>
        <w:t xml:space="preserve">管理。 </w:t>
      </w:r>
    </w:p>
    <w:p>
      <w:pPr>
        <w:autoSpaceDN w:val="0"/>
        <w:autoSpaceDE w:val="0"/>
        <w:widowControl/>
        <w:spacing w:line="460" w:lineRule="exact" w:before="0" w:after="0"/>
        <w:ind w:left="30" w:right="230" w:firstLine="420"/>
        <w:jc w:val="both"/>
      </w:pPr>
      <w:r>
        <w:rPr>
          <w:rFonts w:ascii="宋体" w:hAnsi="宋体" w:eastAsia="宋体"/>
          <w:b w:val="0"/>
          <w:i w:val="0"/>
          <w:color w:val="000000"/>
          <w:sz w:val="21"/>
        </w:rPr>
        <w:t>此外，公司还设立了国际业务子公司和金融科技子公司。山证国际为公司全资国际子公司，经营范</w:t>
      </w:r>
      <w:r>
        <w:rPr>
          <w:rFonts w:ascii="宋体" w:hAnsi="宋体" w:eastAsia="宋体"/>
          <w:b w:val="0"/>
          <w:i w:val="0"/>
          <w:color w:val="000000"/>
          <w:sz w:val="21"/>
        </w:rPr>
        <w:t>围涵盖香港及海外证券经纪、期货经纪、证券投资咨询、期货投资咨询、资产管理、投资银行、贸易金</w:t>
      </w:r>
      <w:r>
        <w:rPr>
          <w:rFonts w:ascii="宋体" w:hAnsi="宋体" w:eastAsia="宋体"/>
          <w:b w:val="0"/>
          <w:i w:val="0"/>
          <w:color w:val="000000"/>
          <w:sz w:val="21"/>
        </w:rPr>
        <w:t>融、自营投资等。山证科技为公司全资金融科技子公司，主要为本公司提供信息技术服务，经营范围为</w:t>
      </w:r>
      <w:r>
        <w:rPr>
          <w:rFonts w:ascii="宋体" w:hAnsi="宋体" w:eastAsia="宋体"/>
          <w:b w:val="0"/>
          <w:i w:val="0"/>
          <w:color w:val="000000"/>
          <w:sz w:val="21"/>
        </w:rPr>
        <w:t>计算机软件、信息系统软件的开发、销售，信息系统设计、集成、运行维护，信息技术咨询，日常安全</w:t>
      </w:r>
      <w:r>
        <w:rPr>
          <w:rFonts w:ascii="宋体" w:hAnsi="宋体" w:eastAsia="宋体"/>
          <w:b w:val="0"/>
          <w:i w:val="0"/>
          <w:color w:val="000000"/>
          <w:sz w:val="21"/>
        </w:rPr>
        <w:t xml:space="preserve">管理及数据管理等。 </w:t>
      </w:r>
    </w:p>
    <w:p>
      <w:pPr>
        <w:autoSpaceDN w:val="0"/>
        <w:autoSpaceDE w:val="0"/>
        <w:widowControl/>
        <w:spacing w:line="240" w:lineRule="exact" w:before="416" w:after="0"/>
        <w:ind w:left="30" w:right="0" w:firstLine="0"/>
        <w:jc w:val="left"/>
      </w:pPr>
      <w:r>
        <w:rPr>
          <w:rFonts w:ascii="宋体" w:hAnsi="宋体" w:eastAsia="宋体"/>
          <w:b w:val="0"/>
          <w:i w:val="0"/>
          <w:color w:val="000000"/>
          <w:sz w:val="24"/>
        </w:rPr>
        <w:t xml:space="preserve">三、核心竞争力分析 </w:t>
      </w:r>
    </w:p>
    <w:p>
      <w:pPr>
        <w:autoSpaceDN w:val="0"/>
        <w:tabs>
          <w:tab w:pos="450" w:val="left"/>
          <w:tab w:pos="452" w:val="left"/>
        </w:tabs>
        <w:autoSpaceDE w:val="0"/>
        <w:widowControl/>
        <w:spacing w:line="460" w:lineRule="exact" w:before="266" w:after="0"/>
        <w:ind w:left="30" w:right="0" w:firstLine="0"/>
        <w:jc w:val="left"/>
      </w:pPr>
      <w:r>
        <w:tab/>
      </w:r>
      <w:r>
        <w:rPr>
          <w:rFonts w:ascii="宋体" w:hAnsi="宋体" w:eastAsia="宋体"/>
          <w:b w:val="0"/>
          <w:i w:val="0"/>
          <w:color w:val="000000"/>
          <w:sz w:val="21"/>
        </w:rPr>
        <w:t xml:space="preserve">（一）深耕区域市场，建立山西区域品牌优势 </w:t>
      </w:r>
      <w:r>
        <w:br/>
      </w:r>
      <w:r>
        <w:tab/>
      </w:r>
      <w:r>
        <w:rPr>
          <w:rFonts w:ascii="宋体" w:hAnsi="宋体" w:eastAsia="宋体"/>
          <w:b w:val="0"/>
          <w:i w:val="0"/>
          <w:color w:val="000000"/>
          <w:sz w:val="21"/>
        </w:rPr>
        <w:t>作为省属金融机构，公司始终以“深耕山西，服务山西”为己任，主动融入国家战略和山西发展大</w:t>
      </w:r>
      <w:r>
        <w:rPr>
          <w:rFonts w:ascii="宋体" w:hAnsi="宋体" w:eastAsia="宋体"/>
          <w:b w:val="0"/>
          <w:i w:val="0"/>
          <w:color w:val="000000"/>
          <w:sz w:val="21"/>
        </w:rPr>
        <w:t>局，充分发挥专业综合金融服务优势，全身心服务山西转型综改、国资国企改革、民营经济和中小企业</w:t>
      </w:r>
      <w:r>
        <w:rPr>
          <w:rFonts w:ascii="宋体" w:hAnsi="宋体" w:eastAsia="宋体"/>
          <w:b w:val="0"/>
          <w:i w:val="0"/>
          <w:color w:val="000000"/>
          <w:sz w:val="21"/>
        </w:rPr>
        <w:t>发展，为山西省高质量转型发展提供坚强金融支持。报告期内，持续巩固山西区域投行业务的优势地位，</w:t>
      </w:r>
      <w:r>
        <w:rPr>
          <w:rFonts w:ascii="宋体" w:hAnsi="宋体" w:eastAsia="宋体"/>
          <w:b w:val="0"/>
          <w:i w:val="0"/>
          <w:color w:val="000000"/>
          <w:sz w:val="21"/>
        </w:rPr>
        <w:t>省内公司(企业)债券承销规模连续第五年（2020-2024）排名券商第一，省内地方政府债承销规模连续</w:t>
      </w:r>
      <w:r>
        <w:rPr>
          <w:rFonts w:ascii="宋体" w:hAnsi="宋体" w:eastAsia="宋体"/>
          <w:b w:val="0"/>
          <w:i w:val="0"/>
          <w:color w:val="000000"/>
          <w:sz w:val="21"/>
        </w:rPr>
        <w:t>第三年（2022-2024）排名券商第一，年度省内股权融资规模排名券商第一。截至报告期末，持续督导</w:t>
      </w:r>
      <w:r>
        <w:rPr>
          <w:rFonts w:ascii="宋体" w:hAnsi="宋体" w:eastAsia="宋体"/>
          <w:b w:val="0"/>
          <w:i w:val="0"/>
          <w:color w:val="000000"/>
          <w:sz w:val="21"/>
        </w:rPr>
        <w:t>山西省33 家新三板企业，占省内新三板企业总数的45%；累计推荐360 余家中小企业挂牌山西股权交</w:t>
      </w:r>
      <w:r>
        <w:rPr>
          <w:rFonts w:ascii="宋体" w:hAnsi="宋体" w:eastAsia="宋体"/>
          <w:b w:val="0"/>
          <w:i w:val="0"/>
          <w:color w:val="000000"/>
          <w:sz w:val="21"/>
        </w:rPr>
        <w:t xml:space="preserve">易中心晋兴板，占晋兴板挂牌企业总数的23%。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（二）强化集团化管控，保障业务拓展联动协同 </w:t>
      </w:r>
      <w:r>
        <w:br/>
      </w:r>
      <w:r>
        <w:tab/>
      </w:r>
      <w:r>
        <w:rPr>
          <w:rFonts w:ascii="宋体" w:hAnsi="宋体" w:eastAsia="宋体"/>
          <w:b w:val="0"/>
          <w:i w:val="0"/>
          <w:color w:val="000000"/>
          <w:sz w:val="21"/>
        </w:rPr>
        <w:t>公司控股股东山西金控是集银行、证券、保险、信托、基金、担保、期货、要素市场等金融业态于</w:t>
      </w:r>
      <w:r>
        <w:rPr>
          <w:rFonts w:ascii="宋体" w:hAnsi="宋体" w:eastAsia="宋体"/>
          <w:b w:val="0"/>
          <w:i w:val="0"/>
          <w:color w:val="000000"/>
          <w:sz w:val="21"/>
        </w:rPr>
        <w:t>一体的省属全牌照大型金融控股集团。公司作为山西金控核心重要子公司，能够高效协同山西金控相关</w:t>
      </w:r>
      <w:r>
        <w:rPr>
          <w:rFonts w:ascii="宋体" w:hAnsi="宋体" w:eastAsia="宋体"/>
          <w:b w:val="0"/>
          <w:i w:val="0"/>
          <w:color w:val="000000"/>
          <w:sz w:val="21"/>
        </w:rPr>
        <w:t>资源，打造业务协同生态圈，更好地服务山西经济高质量发展。同时，公司全面构建母子公司一体化经</w:t>
      </w:r>
      <w:r>
        <w:rPr>
          <w:rFonts w:ascii="宋体" w:hAnsi="宋体" w:eastAsia="宋体"/>
          <w:b w:val="0"/>
          <w:i w:val="0"/>
          <w:color w:val="000000"/>
          <w:sz w:val="21"/>
        </w:rPr>
        <w:t>营管理体系，增强母公司管控能力，提升子公司专业运营水平，发挥整体平台优势，形成综合化的业务</w:t>
      </w:r>
      <w:r>
        <w:rPr>
          <w:rFonts w:ascii="宋体" w:hAnsi="宋体" w:eastAsia="宋体"/>
          <w:b w:val="0"/>
          <w:i w:val="0"/>
          <w:color w:val="000000"/>
          <w:sz w:val="21"/>
        </w:rPr>
        <w:t xml:space="preserve">联动格局，实现整体管理质效最大化。 </w:t>
      </w:r>
    </w:p>
    <w:p>
      <w:pPr>
        <w:autoSpaceDN w:val="0"/>
        <w:autoSpaceDE w:val="0"/>
        <w:widowControl/>
        <w:spacing w:line="212" w:lineRule="exact" w:before="248" w:after="0"/>
        <w:ind w:left="452" w:right="0" w:firstLine="0"/>
        <w:jc w:val="left"/>
      </w:pPr>
      <w:r>
        <w:rPr>
          <w:rFonts w:ascii="宋体" w:hAnsi="宋体" w:eastAsia="宋体"/>
          <w:b w:val="0"/>
          <w:i w:val="0"/>
          <w:color w:val="000000"/>
          <w:sz w:val="21"/>
        </w:rPr>
        <w:t xml:space="preserve">（三）聚焦科技赋能，持续探索数字化转型新模式 </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31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4" name="Picture 3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54" w:lineRule="exact" w:before="0" w:after="0"/>
        <w:ind w:left="30" w:right="0" w:firstLine="420"/>
        <w:jc w:val="left"/>
      </w:pPr>
      <w:r>
        <w:rPr>
          <w:rFonts w:ascii="宋体" w:hAnsi="宋体" w:eastAsia="宋体"/>
          <w:b w:val="0"/>
          <w:i w:val="0"/>
          <w:color w:val="000000"/>
          <w:sz w:val="21"/>
        </w:rPr>
        <w:t>公司在全行业率先设立金融科技子公司，聚焦数字化客户生态、自动化运营管理、智能化投资研究</w:t>
      </w:r>
      <w:r>
        <w:rPr>
          <w:rFonts w:ascii="宋体" w:hAnsi="宋体" w:eastAsia="宋体"/>
          <w:b w:val="0"/>
          <w:i w:val="0"/>
          <w:color w:val="000000"/>
          <w:sz w:val="21"/>
        </w:rPr>
        <w:t>和平台化业务模式，为各业务部门及中后台提供技术服务，加快推进业务数字化、管理数字化及中后台</w:t>
      </w:r>
      <w:r>
        <w:rPr>
          <w:rFonts w:ascii="宋体" w:hAnsi="宋体" w:eastAsia="宋体"/>
          <w:b w:val="0"/>
          <w:i w:val="0"/>
          <w:color w:val="000000"/>
          <w:sz w:val="21"/>
        </w:rPr>
        <w:t>支撑智能化。报告期内，公司搭建完成企业级湖仓一体大数据平台，基于证券期货行业数据模型（SDOM）</w:t>
      </w:r>
      <w:r>
        <w:rPr>
          <w:rFonts w:ascii="宋体" w:hAnsi="宋体" w:eastAsia="宋体"/>
          <w:b w:val="0"/>
          <w:i w:val="0"/>
          <w:color w:val="000000"/>
          <w:sz w:val="21"/>
        </w:rPr>
        <w:t>提升数据治理效率与业务协同能力，并在财富管理与资产管理领域支持业务全维度自助分析，为全业务</w:t>
      </w:r>
      <w:r>
        <w:rPr>
          <w:rFonts w:ascii="宋体" w:hAnsi="宋体" w:eastAsia="宋体"/>
          <w:b w:val="0"/>
          <w:i w:val="0"/>
          <w:color w:val="000000"/>
          <w:sz w:val="21"/>
        </w:rPr>
        <w:t>领域及智能化决策体系的建立奠定了基础。财富管理业务依托智能运营平台精准覆盖客户分层需求，以</w:t>
      </w:r>
      <w:r>
        <w:rPr>
          <w:rFonts w:ascii="宋体" w:hAnsi="宋体" w:eastAsia="宋体"/>
          <w:b w:val="0"/>
          <w:i w:val="0"/>
          <w:color w:val="000000"/>
          <w:sz w:val="21"/>
        </w:rPr>
        <w:t>流程固化与资源集约化提升员工服务效能，汇通启富APP 月活跃用户规模稳居行业前列。公司开发债券</w:t>
      </w:r>
      <w:r>
        <w:rPr>
          <w:rFonts w:ascii="宋体" w:hAnsi="宋体" w:eastAsia="宋体"/>
          <w:b w:val="0"/>
          <w:i w:val="0"/>
          <w:color w:val="000000"/>
          <w:sz w:val="21"/>
        </w:rPr>
        <w:t>交易机器人，上线新一代核心交易OTC 系统，形成"数据-智能-服务"的良性闭环。公司FICC 数字资产</w:t>
      </w:r>
      <w:r>
        <w:rPr>
          <w:rFonts w:ascii="宋体" w:hAnsi="宋体" w:eastAsia="宋体"/>
          <w:b w:val="0"/>
          <w:i w:val="0"/>
          <w:color w:val="000000"/>
          <w:sz w:val="21"/>
        </w:rPr>
        <w:t>管理平台项目和智能化数字员工建设项目分别荣获中国人民银行颁发的“金融科技发展奖”二等奖、三</w:t>
      </w:r>
      <w:r>
        <w:rPr>
          <w:rFonts w:ascii="宋体" w:hAnsi="宋体" w:eastAsia="宋体"/>
          <w:b w:val="0"/>
          <w:i w:val="0"/>
          <w:color w:val="000000"/>
          <w:sz w:val="21"/>
        </w:rPr>
        <w:t xml:space="preserve">等奖。 </w:t>
      </w:r>
    </w:p>
    <w:p>
      <w:pPr>
        <w:autoSpaceDN w:val="0"/>
        <w:tabs>
          <w:tab w:pos="450" w:val="left"/>
          <w:tab w:pos="452" w:val="left"/>
        </w:tabs>
        <w:autoSpaceDE w:val="0"/>
        <w:widowControl/>
        <w:spacing w:line="460" w:lineRule="exact" w:before="2" w:after="0"/>
        <w:ind w:left="30" w:right="144" w:firstLine="0"/>
        <w:jc w:val="left"/>
      </w:pPr>
      <w:r>
        <w:tab/>
      </w:r>
      <w:r>
        <w:rPr>
          <w:rFonts w:ascii="宋体" w:hAnsi="宋体" w:eastAsia="宋体"/>
          <w:b w:val="0"/>
          <w:i w:val="0"/>
          <w:color w:val="000000"/>
          <w:sz w:val="21"/>
        </w:rPr>
        <w:t xml:space="preserve">（四）坚守稳健的经营理念，全面提升风险管理能力 </w:t>
      </w:r>
      <w:r>
        <w:br/>
      </w:r>
      <w:r>
        <w:tab/>
      </w:r>
      <w:r>
        <w:rPr>
          <w:rFonts w:ascii="宋体" w:hAnsi="宋体" w:eastAsia="宋体"/>
          <w:b w:val="0"/>
          <w:i w:val="0"/>
          <w:color w:val="000000"/>
          <w:sz w:val="21"/>
        </w:rPr>
        <w:t>公司秉持稳健的经营理念，始终把风险管理作为核心竞争力，恪守“风险可测可控可承受”“看不</w:t>
      </w:r>
      <w:r>
        <w:rPr>
          <w:rFonts w:ascii="宋体" w:hAnsi="宋体" w:eastAsia="宋体"/>
          <w:b w:val="0"/>
          <w:i w:val="0"/>
          <w:color w:val="000000"/>
          <w:sz w:val="21"/>
        </w:rPr>
        <w:t>清、管不住则不展业”的原则，坚守红线意识和底线思维，持续建立完善以合规管理、风险管理、稽核</w:t>
      </w:r>
      <w:r>
        <w:rPr>
          <w:rFonts w:ascii="宋体" w:hAnsi="宋体" w:eastAsia="宋体"/>
          <w:b w:val="0"/>
          <w:i w:val="0"/>
          <w:color w:val="000000"/>
          <w:sz w:val="21"/>
        </w:rPr>
        <w:t>审计为主体，贯通母子公司，覆盖事前、事中、事后全过程全流程的内控体系。报告期内，公司加快数</w:t>
      </w:r>
      <w:r>
        <w:rPr>
          <w:rFonts w:ascii="宋体" w:hAnsi="宋体" w:eastAsia="宋体"/>
          <w:b w:val="0"/>
          <w:i w:val="0"/>
          <w:color w:val="000000"/>
          <w:sz w:val="21"/>
        </w:rPr>
        <w:t>字化风险管理体系建设，全面提升基础管理能力和风险管理能力，各项业务运行平稳，以净资本和流动</w:t>
      </w:r>
      <w:r>
        <w:rPr>
          <w:rFonts w:ascii="宋体" w:hAnsi="宋体" w:eastAsia="宋体"/>
          <w:b w:val="0"/>
          <w:i w:val="0"/>
          <w:color w:val="000000"/>
          <w:sz w:val="21"/>
        </w:rPr>
        <w:t xml:space="preserve">性为核心的各项风险控制指标持续符合监管要求，风险整体可控。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（五）坚持党建引领，构建积极向上的企业文化 </w:t>
      </w:r>
      <w:r>
        <w:br/>
      </w:r>
      <w:r>
        <w:tab/>
      </w:r>
      <w:r>
        <w:rPr>
          <w:rFonts w:ascii="宋体" w:hAnsi="宋体" w:eastAsia="宋体"/>
          <w:b w:val="0"/>
          <w:i w:val="0"/>
          <w:color w:val="000000"/>
          <w:sz w:val="21"/>
        </w:rPr>
        <w:t>公司始终坚持把党的领导贯穿公司治理全过程，建立了党的领导和企业文化、企业发展同频共振、</w:t>
      </w:r>
      <w:r>
        <w:rPr>
          <w:rFonts w:ascii="宋体" w:hAnsi="宋体" w:eastAsia="宋体"/>
          <w:b w:val="0"/>
          <w:i w:val="0"/>
          <w:color w:val="000000"/>
          <w:sz w:val="21"/>
        </w:rPr>
        <w:t>相融共生的治理体系，确立了全方位推动差异化高质量发展的目标方向。公司积极弘扬和践行“五要五</w:t>
      </w:r>
      <w:r>
        <w:rPr>
          <w:rFonts w:ascii="宋体" w:hAnsi="宋体" w:eastAsia="宋体"/>
          <w:b w:val="0"/>
          <w:i w:val="0"/>
          <w:color w:val="000000"/>
          <w:sz w:val="21"/>
        </w:rPr>
        <w:t>不”中国特色金融文化，落实“合规、诚信、专业、稳健”的行业文化，“以义制利”价值追求、“协作</w:t>
      </w:r>
      <w:r>
        <w:rPr>
          <w:rFonts w:ascii="宋体" w:hAnsi="宋体" w:eastAsia="宋体"/>
          <w:b w:val="0"/>
          <w:i w:val="0"/>
          <w:color w:val="000000"/>
          <w:sz w:val="21"/>
        </w:rPr>
        <w:t>包容”工作精神、“追求卓越”核心动力，正在全体干部职工中形成高度的思想共识和行动自觉，为可</w:t>
      </w:r>
      <w:r>
        <w:rPr>
          <w:rFonts w:ascii="宋体" w:hAnsi="宋体" w:eastAsia="宋体"/>
          <w:b w:val="0"/>
          <w:i w:val="0"/>
          <w:color w:val="000000"/>
          <w:sz w:val="21"/>
        </w:rPr>
        <w:t>持续健康发展提供了精神和文化保障。报告期内，公司连续第四年入选中国上市公司协会《上市公司可</w:t>
      </w:r>
      <w:r>
        <w:rPr>
          <w:rFonts w:ascii="宋体" w:hAnsi="宋体" w:eastAsia="宋体"/>
          <w:b w:val="0"/>
          <w:i w:val="0"/>
          <w:color w:val="000000"/>
          <w:sz w:val="21"/>
        </w:rPr>
        <w:t xml:space="preserve">持续发展优秀实践案例》。 </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四、主营业务分析 </w:t>
      </w:r>
    </w:p>
    <w:p>
      <w:pPr>
        <w:autoSpaceDN w:val="0"/>
        <w:autoSpaceDE w:val="0"/>
        <w:widowControl/>
        <w:spacing w:line="210" w:lineRule="exact" w:before="374" w:after="0"/>
        <w:ind w:left="30" w:right="0" w:firstLine="0"/>
        <w:jc w:val="left"/>
      </w:pPr>
      <w:r>
        <w:rPr>
          <w:rFonts w:ascii="宋体" w:hAnsi="宋体" w:eastAsia="宋体"/>
          <w:b w:val="0"/>
          <w:i w:val="0"/>
          <w:color w:val="000000"/>
          <w:sz w:val="21"/>
        </w:rPr>
        <w:t xml:space="preserve">1、概述 </w:t>
      </w:r>
    </w:p>
    <w:p>
      <w:pPr>
        <w:autoSpaceDN w:val="0"/>
        <w:autoSpaceDE w:val="0"/>
        <w:widowControl/>
        <w:spacing w:line="460" w:lineRule="exact" w:before="262" w:after="0"/>
        <w:ind w:left="30" w:right="230" w:firstLine="420"/>
        <w:jc w:val="both"/>
      </w:pPr>
      <w:r>
        <w:rPr>
          <w:rFonts w:ascii="宋体" w:hAnsi="宋体" w:eastAsia="宋体"/>
          <w:b w:val="0"/>
          <w:i w:val="0"/>
          <w:color w:val="000000"/>
          <w:sz w:val="21"/>
        </w:rPr>
        <w:t>报告期内，面对复杂的经营环境，公司立足主责主业，强化功能定位，坚定执行公司十四五战略规</w:t>
      </w:r>
      <w:r>
        <w:rPr>
          <w:rFonts w:ascii="宋体" w:hAnsi="宋体" w:eastAsia="宋体"/>
          <w:b w:val="0"/>
          <w:i w:val="0"/>
          <w:color w:val="000000"/>
          <w:sz w:val="21"/>
        </w:rPr>
        <w:t>划，主动服务国家战略和区域发展大局，积极把握市场机遇，明确工作抓手，加快科技赋能，构建核心</w:t>
      </w:r>
      <w:r>
        <w:rPr>
          <w:rFonts w:ascii="宋体" w:hAnsi="宋体" w:eastAsia="宋体"/>
          <w:b w:val="0"/>
          <w:i w:val="0"/>
          <w:color w:val="000000"/>
          <w:sz w:val="21"/>
        </w:rPr>
        <w:t>能力，加强全面风险管理，提质增效，扎实做好金融“五篇大文章”，持续推动服务实体经济和财富管</w:t>
      </w:r>
      <w:r>
        <w:rPr>
          <w:rFonts w:ascii="宋体" w:hAnsi="宋体" w:eastAsia="宋体"/>
          <w:b w:val="0"/>
          <w:i w:val="0"/>
          <w:color w:val="000000"/>
          <w:sz w:val="21"/>
        </w:rPr>
        <w:t>理转型，不断提升自身综合金融服务能力。财富管理业务践行产品化、机构化、数字化转型方向，持续</w:t>
      </w:r>
    </w:p>
    <w:p>
      <w:pPr>
        <w:autoSpaceDN w:val="0"/>
        <w:autoSpaceDE w:val="0"/>
        <w:widowControl/>
        <w:spacing w:line="197" w:lineRule="auto" w:before="742" w:after="0"/>
        <w:ind w:left="0" w:right="0" w:firstLine="0"/>
        <w:jc w:val="center"/>
      </w:pPr>
      <w:r>
        <w:rPr>
          <w:rFonts w:ascii="Calibri" w:hAnsi="Calibri" w:eastAsia="Calibri"/>
          <w:b w:val="0"/>
          <w:i w:val="0"/>
          <w:color w:val="000000"/>
          <w:sz w:val="18"/>
        </w:rPr>
        <w:t xml:space="preserve">32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5" name="Picture 3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54" w:lineRule="exact" w:before="0" w:after="0"/>
        <w:ind w:left="30" w:right="230" w:firstLine="0"/>
        <w:jc w:val="both"/>
      </w:pPr>
      <w:r>
        <w:rPr>
          <w:rFonts w:ascii="宋体" w:hAnsi="宋体" w:eastAsia="宋体"/>
          <w:b w:val="0"/>
          <w:i w:val="0"/>
          <w:color w:val="000000"/>
          <w:sz w:val="21"/>
        </w:rPr>
        <w:t>提升服务能力，服务生态日趋完善。企业金融业务坚持行业化、区域化、资本化、一体化工作方针，推</w:t>
      </w:r>
      <w:r>
        <w:rPr>
          <w:rFonts w:ascii="宋体" w:hAnsi="宋体" w:eastAsia="宋体"/>
          <w:b w:val="0"/>
          <w:i w:val="0"/>
          <w:color w:val="000000"/>
          <w:sz w:val="21"/>
        </w:rPr>
        <w:t>进全链条全生命周期综合金融服务，持续提升执业质量。资产管理条线加快多资产、多策略、多工具布</w:t>
      </w:r>
      <w:r>
        <w:rPr>
          <w:rFonts w:ascii="宋体" w:hAnsi="宋体" w:eastAsia="宋体"/>
          <w:b w:val="0"/>
          <w:i w:val="0"/>
          <w:color w:val="000000"/>
          <w:sz w:val="21"/>
        </w:rPr>
        <w:t>局，连续第四年实现收入增长。FICC 业务有效控制应对风险，投资收益率保持较高水平。权益自营业</w:t>
      </w:r>
      <w:r>
        <w:rPr>
          <w:rFonts w:ascii="宋体" w:hAnsi="宋体" w:eastAsia="宋体"/>
          <w:b w:val="0"/>
          <w:i w:val="0"/>
          <w:color w:val="000000"/>
          <w:sz w:val="21"/>
        </w:rPr>
        <w:t>务全面压降方向性风险敞口，持续布局新质生产力。加快推动股票和债券销售、研究定价、机构客户服</w:t>
      </w:r>
      <w:r>
        <w:rPr>
          <w:rFonts w:ascii="宋体" w:hAnsi="宋体" w:eastAsia="宋体"/>
          <w:b w:val="0"/>
          <w:i w:val="0"/>
          <w:color w:val="000000"/>
          <w:sz w:val="21"/>
        </w:rPr>
        <w:t>务、战略客户服务四大核心能力建设。公司全面加强风控合规管理，实现纵向覆盖境内外各级子公司及</w:t>
      </w:r>
      <w:r>
        <w:rPr>
          <w:rFonts w:ascii="宋体" w:hAnsi="宋体" w:eastAsia="宋体"/>
          <w:b w:val="0"/>
          <w:i w:val="0"/>
          <w:color w:val="000000"/>
          <w:sz w:val="21"/>
        </w:rPr>
        <w:t>分支机构，横向覆盖各类业务、场景及人员，母子公司全业务链条“垂直”一体化穿透式管控，健全全</w:t>
      </w:r>
      <w:r>
        <w:rPr>
          <w:rFonts w:ascii="宋体" w:hAnsi="宋体" w:eastAsia="宋体"/>
          <w:b w:val="0"/>
          <w:i w:val="0"/>
          <w:color w:val="000000"/>
          <w:sz w:val="21"/>
        </w:rPr>
        <w:t xml:space="preserve">方位监督执行机制，精细化开展风控合规管理，严守风险合规底线。 </w:t>
      </w:r>
    </w:p>
    <w:p>
      <w:pPr>
        <w:autoSpaceDN w:val="0"/>
        <w:tabs>
          <w:tab w:pos="450" w:val="left"/>
          <w:tab w:pos="452" w:val="left"/>
        </w:tabs>
        <w:autoSpaceDE w:val="0"/>
        <w:widowControl/>
        <w:spacing w:line="458" w:lineRule="exact" w:before="16" w:after="0"/>
        <w:ind w:left="30" w:right="144" w:firstLine="0"/>
        <w:jc w:val="left"/>
      </w:pPr>
      <w:r>
        <w:tab/>
      </w:r>
      <w:r>
        <w:rPr>
          <w:rFonts w:ascii="宋体" w:hAnsi="宋体" w:eastAsia="宋体"/>
          <w:b w:val="0"/>
          <w:i w:val="0"/>
          <w:color w:val="000000"/>
          <w:sz w:val="21"/>
        </w:rPr>
        <w:t>报告期内，公司实现营业收入</w:t>
      </w:r>
      <w:r>
        <w:rPr>
          <w:rFonts w:ascii="Times New Roman" w:hAnsi="Times New Roman" w:eastAsia="Times New Roman"/>
          <w:b w:val="0"/>
          <w:i w:val="0"/>
          <w:color w:val="000000"/>
          <w:sz w:val="21"/>
        </w:rPr>
        <w:t>31.52</w:t>
      </w:r>
      <w:r>
        <w:rPr>
          <w:rFonts w:ascii="宋体" w:hAnsi="宋体" w:eastAsia="宋体"/>
          <w:b w:val="0"/>
          <w:i w:val="0"/>
          <w:color w:val="000000"/>
          <w:sz w:val="21"/>
        </w:rPr>
        <w:t xml:space="preserve"> 亿元，同比下降</w:t>
      </w:r>
      <w:r>
        <w:rPr>
          <w:rFonts w:ascii="Times New Roman" w:hAnsi="Times New Roman" w:eastAsia="Times New Roman"/>
          <w:b w:val="0"/>
          <w:i w:val="0"/>
          <w:color w:val="000000"/>
          <w:sz w:val="21"/>
        </w:rPr>
        <w:t>9.18%</w:t>
      </w:r>
      <w:r>
        <w:rPr>
          <w:rFonts w:ascii="宋体" w:hAnsi="宋体" w:eastAsia="宋体"/>
          <w:b w:val="0"/>
          <w:i w:val="0"/>
          <w:color w:val="000000"/>
          <w:sz w:val="21"/>
        </w:rPr>
        <w:t>；剔除仓单业务后，实现营业收入</w:t>
      </w:r>
      <w:r>
        <w:rPr>
          <w:rFonts w:ascii="Times New Roman" w:hAnsi="Times New Roman" w:eastAsia="Times New Roman"/>
          <w:b w:val="0"/>
          <w:i w:val="0"/>
          <w:color w:val="000000"/>
          <w:sz w:val="21"/>
        </w:rPr>
        <w:t>29.63</w:t>
      </w:r>
      <w:r>
        <w:rPr>
          <w:rFonts w:ascii="宋体" w:hAnsi="宋体" w:eastAsia="宋体"/>
          <w:b w:val="0"/>
          <w:i w:val="0"/>
          <w:color w:val="000000"/>
          <w:sz w:val="21"/>
        </w:rPr>
        <w:t xml:space="preserve"> 亿元，同比增长</w:t>
      </w:r>
      <w:r>
        <w:rPr>
          <w:rFonts w:ascii="Times New Roman" w:hAnsi="Times New Roman" w:eastAsia="Times New Roman"/>
          <w:b w:val="0"/>
          <w:i w:val="0"/>
          <w:color w:val="000000"/>
          <w:sz w:val="21"/>
        </w:rPr>
        <w:t xml:space="preserve"> 1.84%</w:t>
      </w:r>
      <w:r>
        <w:rPr>
          <w:rFonts w:ascii="宋体" w:hAnsi="宋体" w:eastAsia="宋体"/>
          <w:b w:val="0"/>
          <w:i w:val="0"/>
          <w:color w:val="000000"/>
          <w:sz w:val="21"/>
        </w:rPr>
        <w:t>。实现归属于上市公司股东的净利润</w:t>
      </w:r>
      <w:r>
        <w:rPr>
          <w:rFonts w:ascii="Times New Roman" w:hAnsi="Times New Roman" w:eastAsia="Times New Roman"/>
          <w:b w:val="0"/>
          <w:i w:val="0"/>
          <w:color w:val="000000"/>
          <w:sz w:val="21"/>
        </w:rPr>
        <w:t>7.12</w:t>
      </w:r>
      <w:r>
        <w:rPr>
          <w:rFonts w:ascii="宋体" w:hAnsi="宋体" w:eastAsia="宋体"/>
          <w:b w:val="0"/>
          <w:i w:val="0"/>
          <w:color w:val="000000"/>
          <w:sz w:val="21"/>
        </w:rPr>
        <w:t xml:space="preserve"> 亿元，同比增长</w:t>
      </w:r>
      <w:r>
        <w:rPr>
          <w:rFonts w:ascii="Times New Roman" w:hAnsi="Times New Roman" w:eastAsia="Times New Roman"/>
          <w:b w:val="0"/>
          <w:i w:val="0"/>
          <w:color w:val="000000"/>
          <w:sz w:val="21"/>
        </w:rPr>
        <w:t>14.86%</w:t>
      </w:r>
      <w:r>
        <w:rPr>
          <w:rFonts w:ascii="宋体" w:hAnsi="宋体" w:eastAsia="宋体"/>
          <w:b w:val="0"/>
          <w:i w:val="0"/>
          <w:color w:val="000000"/>
          <w:sz w:val="21"/>
        </w:rPr>
        <w:t>，实现每</w:t>
      </w:r>
      <w:r>
        <w:rPr>
          <w:rFonts w:ascii="宋体" w:hAnsi="宋体" w:eastAsia="宋体"/>
          <w:b w:val="0"/>
          <w:i w:val="0"/>
          <w:color w:val="000000"/>
          <w:sz w:val="21"/>
        </w:rPr>
        <w:t>股收益</w:t>
      </w:r>
      <w:r>
        <w:rPr>
          <w:rFonts w:ascii="Times New Roman" w:hAnsi="Times New Roman" w:eastAsia="Times New Roman"/>
          <w:b w:val="0"/>
          <w:i w:val="0"/>
          <w:color w:val="000000"/>
          <w:sz w:val="21"/>
        </w:rPr>
        <w:t>0.20</w:t>
      </w:r>
      <w:r>
        <w:rPr>
          <w:rFonts w:ascii="宋体" w:hAnsi="宋体" w:eastAsia="宋体"/>
          <w:b w:val="0"/>
          <w:i w:val="0"/>
          <w:color w:val="000000"/>
          <w:sz w:val="21"/>
        </w:rPr>
        <w:t xml:space="preserve"> 元。截至报告期末，公司总资产规模</w:t>
      </w:r>
      <w:r>
        <w:rPr>
          <w:rFonts w:ascii="Times New Roman" w:hAnsi="Times New Roman" w:eastAsia="Times New Roman"/>
          <w:b w:val="0"/>
          <w:i w:val="0"/>
          <w:color w:val="000000"/>
          <w:sz w:val="21"/>
        </w:rPr>
        <w:t>806.61</w:t>
      </w:r>
      <w:r>
        <w:rPr>
          <w:rFonts w:ascii="宋体" w:hAnsi="宋体" w:eastAsia="宋体"/>
          <w:b w:val="0"/>
          <w:i w:val="0"/>
          <w:color w:val="000000"/>
          <w:sz w:val="21"/>
        </w:rPr>
        <w:t xml:space="preserve"> 亿元，同比增长</w:t>
      </w:r>
      <w:r>
        <w:rPr>
          <w:rFonts w:ascii="Times New Roman" w:hAnsi="Times New Roman" w:eastAsia="Times New Roman"/>
          <w:b w:val="0"/>
          <w:i w:val="0"/>
          <w:color w:val="000000"/>
          <w:sz w:val="21"/>
        </w:rPr>
        <w:t>3.96%</w:t>
      </w:r>
      <w:r>
        <w:rPr>
          <w:rFonts w:ascii="宋体" w:hAnsi="宋体" w:eastAsia="宋体"/>
          <w:b w:val="0"/>
          <w:i w:val="0"/>
          <w:color w:val="000000"/>
          <w:sz w:val="21"/>
        </w:rPr>
        <w:t>，归属于上市公司股东</w:t>
      </w:r>
      <w:r>
        <w:rPr>
          <w:rFonts w:ascii="宋体" w:hAnsi="宋体" w:eastAsia="宋体"/>
          <w:b w:val="0"/>
          <w:i w:val="0"/>
          <w:color w:val="000000"/>
          <w:sz w:val="21"/>
        </w:rPr>
        <w:t>的净资产</w:t>
      </w:r>
      <w:r>
        <w:rPr>
          <w:rFonts w:ascii="Times New Roman" w:hAnsi="Times New Roman" w:eastAsia="Times New Roman"/>
          <w:b w:val="0"/>
          <w:i w:val="0"/>
          <w:color w:val="000000"/>
          <w:sz w:val="21"/>
        </w:rPr>
        <w:t>179.70</w:t>
      </w:r>
      <w:r>
        <w:rPr>
          <w:rFonts w:ascii="宋体" w:hAnsi="宋体" w:eastAsia="宋体"/>
          <w:b w:val="0"/>
          <w:i w:val="0"/>
          <w:color w:val="000000"/>
          <w:sz w:val="21"/>
        </w:rPr>
        <w:t xml:space="preserve"> 亿元，同比增长</w:t>
      </w:r>
      <w:r>
        <w:rPr>
          <w:rFonts w:ascii="Times New Roman" w:hAnsi="Times New Roman" w:eastAsia="Times New Roman"/>
          <w:b w:val="0"/>
          <w:i w:val="0"/>
          <w:color w:val="000000"/>
          <w:sz w:val="21"/>
        </w:rPr>
        <w:t>1.26%</w:t>
      </w:r>
      <w:r>
        <w:rPr>
          <w:rFonts w:ascii="宋体" w:hAnsi="宋体" w:eastAsia="宋体"/>
          <w:b w:val="0"/>
          <w:i w:val="0"/>
          <w:color w:val="000000"/>
          <w:sz w:val="21"/>
        </w:rPr>
        <w:t xml:space="preserve">。分业务板块情况如下： </w:t>
      </w:r>
      <w:r>
        <w:br/>
      </w:r>
      <w:r>
        <w:tab/>
      </w:r>
      <w:r>
        <w:rPr>
          <w:rFonts w:ascii="宋体" w:hAnsi="宋体" w:eastAsia="宋体"/>
          <w:b w:val="0"/>
          <w:i w:val="0"/>
          <w:color w:val="000000"/>
          <w:sz w:val="21"/>
        </w:rPr>
        <w:t xml:space="preserve">（1）财富管理业务板块 </w:t>
      </w:r>
      <w:r>
        <w:br/>
      </w:r>
      <w:r>
        <w:tab/>
      </w:r>
      <w:r>
        <w:rPr>
          <w:rFonts w:ascii="宋体" w:hAnsi="宋体" w:eastAsia="宋体"/>
          <w:b w:val="0"/>
          <w:i w:val="0"/>
          <w:color w:val="000000"/>
          <w:sz w:val="21"/>
        </w:rPr>
        <w:t>报告期内，财富管理业务板块以产品化、机构化、数字化“三个转型”为抓手，优化组织机制和网</w:t>
      </w:r>
      <w:r>
        <w:rPr>
          <w:rFonts w:ascii="宋体" w:hAnsi="宋体" w:eastAsia="宋体"/>
          <w:b w:val="0"/>
          <w:i w:val="0"/>
          <w:color w:val="000000"/>
          <w:sz w:val="21"/>
        </w:rPr>
        <w:t>点布局，持续发力买方投顾与机构业务，推动客群精细化服务和运营，强化科技赋能，完善财富管理生</w:t>
      </w:r>
      <w:r>
        <w:rPr>
          <w:rFonts w:ascii="宋体" w:hAnsi="宋体" w:eastAsia="宋体"/>
          <w:b w:val="0"/>
          <w:i w:val="0"/>
          <w:color w:val="000000"/>
          <w:sz w:val="21"/>
        </w:rPr>
        <w:t>态。截至报告期末，客户总数同比增长11%，达到297 万户；客户总资产同比增长13%，达到6,989 亿</w:t>
      </w:r>
      <w:r>
        <w:rPr>
          <w:rFonts w:ascii="宋体" w:hAnsi="宋体" w:eastAsia="宋体"/>
          <w:b w:val="0"/>
          <w:i w:val="0"/>
          <w:color w:val="000000"/>
          <w:sz w:val="21"/>
        </w:rPr>
        <w:t xml:space="preserve">元，其中专业机构客户资产同比增长22%，达到2,432 亿元。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一是聚焦股票和基金投顾业务，优化服务体系，丰富产品货架，构建数字化运营服务体系。报告期</w:t>
      </w:r>
      <w:r>
        <w:rPr>
          <w:rFonts w:ascii="宋体" w:hAnsi="宋体" w:eastAsia="宋体"/>
          <w:b w:val="0"/>
          <w:i w:val="0"/>
          <w:color w:val="000000"/>
          <w:sz w:val="21"/>
        </w:rPr>
        <w:t>内，产品AUM 资产达445 亿元，同比增长14%；投顾签约覆盖数6.2 万户，签约规模达238 亿元。二是</w:t>
      </w:r>
      <w:r>
        <w:rPr>
          <w:rFonts w:ascii="宋体" w:hAnsi="宋体" w:eastAsia="宋体"/>
          <w:b w:val="0"/>
          <w:i w:val="0"/>
          <w:color w:val="000000"/>
          <w:sz w:val="21"/>
        </w:rPr>
        <w:t>持续优化机构服务机制，债券经纪规模达2,275 亿元，同比增长27%。量化经纪业务规模达146.8 亿元，</w:t>
      </w:r>
      <w:r>
        <w:rPr>
          <w:rFonts w:ascii="宋体" w:hAnsi="宋体" w:eastAsia="宋体"/>
          <w:b w:val="0"/>
          <w:i w:val="0"/>
          <w:color w:val="000000"/>
          <w:sz w:val="21"/>
        </w:rPr>
        <w:t>落地11 只券结产品。三是加快推进数字化转型，提升互联网渠道获客能力。汇通启富APP 月活峰值达</w:t>
      </w:r>
      <w:r>
        <w:rPr>
          <w:rFonts w:ascii="宋体" w:hAnsi="宋体" w:eastAsia="宋体"/>
          <w:b w:val="0"/>
          <w:i w:val="0"/>
          <w:color w:val="000000"/>
          <w:sz w:val="21"/>
        </w:rPr>
        <w:t>85 万，行业排名提升至28 位；线上获客有效率达32.5%，企微平台服务客户数量超过52 万户。四是优</w:t>
      </w:r>
      <w:r>
        <w:rPr>
          <w:rFonts w:ascii="宋体" w:hAnsi="宋体" w:eastAsia="宋体"/>
          <w:b w:val="0"/>
          <w:i w:val="0"/>
          <w:color w:val="000000"/>
          <w:sz w:val="21"/>
        </w:rPr>
        <w:t xml:space="preserve">化总部组织架构，构建“1+N”的客户服务矩阵，持续优化网点布局,提升运营效能。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（2）企业金融业务板块 </w:t>
      </w:r>
      <w:r>
        <w:br/>
      </w:r>
      <w:r>
        <w:tab/>
      </w:r>
      <w:r>
        <w:rPr>
          <w:rFonts w:ascii="宋体" w:hAnsi="宋体" w:eastAsia="宋体"/>
          <w:b w:val="0"/>
          <w:i w:val="0"/>
          <w:color w:val="000000"/>
          <w:sz w:val="21"/>
        </w:rPr>
        <w:t>报告期内，企业金融业务板块推进区域化、行业化、资本化、一体化发展，统筹境内外股权融资、</w:t>
      </w:r>
      <w:r>
        <w:rPr>
          <w:rFonts w:ascii="宋体" w:hAnsi="宋体" w:eastAsia="宋体"/>
          <w:b w:val="0"/>
          <w:i w:val="0"/>
          <w:color w:val="000000"/>
          <w:sz w:val="21"/>
        </w:rPr>
        <w:t>债权融资、并购重组、财务顾问、新三板、四板、资产证券化（ABS）、公募REITs 等业务，加强重点区</w:t>
      </w:r>
      <w:r>
        <w:rPr>
          <w:rFonts w:ascii="宋体" w:hAnsi="宋体" w:eastAsia="宋体"/>
          <w:b w:val="0"/>
          <w:i w:val="0"/>
          <w:color w:val="000000"/>
          <w:sz w:val="21"/>
        </w:rPr>
        <w:t xml:space="preserve">域属地化布局，提升员工执业能力和执业质量，持续发挥金融服务实体的功能性作用。 </w:t>
      </w:r>
    </w:p>
    <w:p>
      <w:pPr>
        <w:autoSpaceDN w:val="0"/>
        <w:autoSpaceDE w:val="0"/>
        <w:widowControl/>
        <w:spacing w:line="460" w:lineRule="exact" w:before="2" w:after="0"/>
        <w:ind w:left="30" w:right="230" w:firstLine="420"/>
        <w:jc w:val="both"/>
      </w:pPr>
      <w:r>
        <w:rPr>
          <w:rFonts w:ascii="宋体" w:hAnsi="宋体" w:eastAsia="宋体"/>
          <w:b w:val="0"/>
          <w:i w:val="0"/>
          <w:color w:val="000000"/>
          <w:sz w:val="21"/>
        </w:rPr>
        <w:t>投资银行子公司中德证券持续巩固山西区域股债业务优势地位，加快重点地区业务布局，聚焦重点</w:t>
      </w:r>
      <w:r>
        <w:rPr>
          <w:rFonts w:ascii="宋体" w:hAnsi="宋体" w:eastAsia="宋体"/>
          <w:b w:val="0"/>
          <w:i w:val="0"/>
          <w:color w:val="000000"/>
          <w:sz w:val="21"/>
        </w:rPr>
        <w:t>战略客户，拓展市值管理、战略咨询、ESG 管理等业务，持续优化“1+N”综合金融服务体系。报告期</w:t>
      </w:r>
      <w:r>
        <w:rPr>
          <w:rFonts w:ascii="宋体" w:hAnsi="宋体" w:eastAsia="宋体"/>
          <w:b w:val="0"/>
          <w:i w:val="0"/>
          <w:color w:val="000000"/>
          <w:sz w:val="21"/>
        </w:rPr>
        <w:t>内，完成4 个再融资项目、82 个债券项目以及85 单财务顾问项目。荣获“债券融资投行君鼎奖”、“区</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33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6" name="Picture 3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48" w:lineRule="exact" w:before="0" w:after="0"/>
        <w:ind w:left="30" w:right="0" w:firstLine="0"/>
        <w:jc w:val="left"/>
      </w:pPr>
      <w:r>
        <w:rPr>
          <w:rFonts w:ascii="宋体" w:hAnsi="宋体" w:eastAsia="宋体"/>
          <w:b w:val="0"/>
          <w:i w:val="0"/>
          <w:color w:val="000000"/>
          <w:sz w:val="21"/>
        </w:rPr>
        <w:t>域投行君鼎奖”、“最佳金融创新服务奖”等多个奖项，并荣获“山西省政府债券证券公司类机构承销总</w:t>
      </w:r>
      <w:r>
        <w:rPr>
          <w:rFonts w:ascii="宋体" w:hAnsi="宋体" w:eastAsia="宋体"/>
          <w:b w:val="0"/>
          <w:i w:val="0"/>
          <w:color w:val="000000"/>
          <w:sz w:val="21"/>
        </w:rPr>
        <w:t>量第一名”。据Wind 数据，报告期内，中德证券股权承销金额排名提升36 位至27 名，定增承销金额排</w:t>
      </w:r>
      <w:r>
        <w:rPr>
          <w:rFonts w:ascii="宋体" w:hAnsi="宋体" w:eastAsia="宋体"/>
          <w:b w:val="0"/>
          <w:i w:val="0"/>
          <w:color w:val="000000"/>
          <w:sz w:val="21"/>
        </w:rPr>
        <w:t>名提升28 位至15 名，股权承销收入排名提升34 位至26 名，全部债券承销规模排名提升2 位至24 名、</w:t>
      </w:r>
      <w:r>
        <w:rPr>
          <w:rFonts w:ascii="宋体" w:hAnsi="宋体" w:eastAsia="宋体"/>
          <w:b w:val="0"/>
          <w:i w:val="0"/>
          <w:color w:val="000000"/>
          <w:sz w:val="21"/>
        </w:rPr>
        <w:t xml:space="preserve">地方政府债承销金额排名提升1 位至12 名。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中小企业金融业务加强核心能力建设，深耕重点区域，强化内外部协同，多元化开拓业务领域。报</w:t>
      </w:r>
      <w:r>
        <w:rPr>
          <w:rFonts w:ascii="宋体" w:hAnsi="宋体" w:eastAsia="宋体"/>
          <w:b w:val="0"/>
          <w:i w:val="0"/>
          <w:color w:val="000000"/>
          <w:sz w:val="21"/>
        </w:rPr>
        <w:t>告期内，执行完成推荐新三板企业挂牌1 家、新三板定向增发6 单，持续督导新三板企业112 家，助力</w:t>
      </w:r>
      <w:r>
        <w:rPr>
          <w:rFonts w:ascii="宋体" w:hAnsi="宋体" w:eastAsia="宋体"/>
          <w:b w:val="0"/>
          <w:i w:val="0"/>
          <w:color w:val="000000"/>
          <w:sz w:val="21"/>
        </w:rPr>
        <w:t xml:space="preserve">35 家中小企业挂牌晋兴板。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报告期内，公司聚焦重点区域，大力拓展ABS 及公募 REITs 业务，资产证券化项目发行单数、申</w:t>
      </w:r>
      <w:r>
        <w:rPr>
          <w:rFonts w:ascii="宋体" w:hAnsi="宋体" w:eastAsia="宋体"/>
          <w:b w:val="0"/>
          <w:i w:val="0"/>
          <w:color w:val="000000"/>
          <w:sz w:val="21"/>
        </w:rPr>
        <w:t xml:space="preserve">报单数、立项单数以及收入均实现增长，推动1 单公募REITs 项目成功申报至国家发改委。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 xml:space="preserve">报告期内，公司获批科技创新非金融企业债务融资工具主承销商资格。 </w:t>
      </w:r>
    </w:p>
    <w:p>
      <w:pPr>
        <w:autoSpaceDN w:val="0"/>
        <w:autoSpaceDE w:val="0"/>
        <w:widowControl/>
        <w:spacing w:line="460" w:lineRule="exact" w:before="0" w:after="0"/>
        <w:ind w:left="450" w:right="144" w:firstLine="2"/>
        <w:jc w:val="left"/>
      </w:pPr>
      <w:r>
        <w:rPr>
          <w:rFonts w:ascii="宋体" w:hAnsi="宋体" w:eastAsia="宋体"/>
          <w:b w:val="0"/>
          <w:i w:val="0"/>
          <w:color w:val="000000"/>
          <w:sz w:val="21"/>
        </w:rPr>
        <w:t xml:space="preserve">（3）资产管理业务板块 </w:t>
      </w:r>
      <w:r>
        <w:br/>
      </w:r>
      <w:r>
        <w:rPr>
          <w:rFonts w:ascii="宋体" w:hAnsi="宋体" w:eastAsia="宋体"/>
          <w:b w:val="0"/>
          <w:i w:val="0"/>
          <w:color w:val="000000"/>
          <w:sz w:val="21"/>
        </w:rPr>
        <w:t>报告期内，公司资产管理业务板块加快多资产、多策略、多工具布局，实现收入连续4 年正增长。</w:t>
      </w:r>
    </w:p>
    <w:p>
      <w:pPr>
        <w:autoSpaceDN w:val="0"/>
        <w:autoSpaceDE w:val="0"/>
        <w:widowControl/>
        <w:spacing w:line="460" w:lineRule="exact" w:before="2" w:after="0"/>
        <w:ind w:left="30" w:right="228" w:firstLine="0"/>
        <w:jc w:val="both"/>
      </w:pPr>
      <w:r>
        <w:rPr>
          <w:rFonts w:ascii="宋体" w:hAnsi="宋体" w:eastAsia="宋体"/>
          <w:b w:val="0"/>
          <w:i w:val="0"/>
          <w:color w:val="000000"/>
          <w:sz w:val="21"/>
        </w:rPr>
        <w:t>以多资产配置业务转型为目标，调整完善产品及投研团队结构，整体提升“固收+”战略定位，持续强</w:t>
      </w:r>
      <w:r>
        <w:rPr>
          <w:rFonts w:ascii="宋体" w:hAnsi="宋体" w:eastAsia="宋体"/>
          <w:b w:val="0"/>
          <w:i w:val="0"/>
          <w:color w:val="000000"/>
          <w:sz w:val="21"/>
        </w:rPr>
        <w:t>化稳定固收和“固收+”模式。重点推进机构和三方销售业务，提升管理和销售规模，同时精细化负债</w:t>
      </w:r>
      <w:r>
        <w:rPr>
          <w:rFonts w:ascii="宋体" w:hAnsi="宋体" w:eastAsia="宋体"/>
          <w:b w:val="0"/>
          <w:i w:val="0"/>
          <w:color w:val="000000"/>
          <w:sz w:val="21"/>
        </w:rPr>
        <w:t>管理，优化完善产品创设、营销渠道、投研和服务体系建设，明确工作抓手，持续推动差异化高质量发</w:t>
      </w:r>
      <w:r>
        <w:rPr>
          <w:rFonts w:ascii="宋体" w:hAnsi="宋体" w:eastAsia="宋体"/>
          <w:b w:val="0"/>
          <w:i w:val="0"/>
          <w:color w:val="000000"/>
          <w:sz w:val="21"/>
        </w:rPr>
        <w:t>展。截至期末，山证资管受托管理合计总规模566.12 亿元（含公募基金及ABS）。其中，集合资产管理</w:t>
      </w:r>
      <w:r>
        <w:rPr>
          <w:rFonts w:ascii="宋体" w:hAnsi="宋体" w:eastAsia="宋体"/>
          <w:b w:val="0"/>
          <w:i w:val="0"/>
          <w:color w:val="000000"/>
          <w:sz w:val="21"/>
        </w:rPr>
        <w:t>计划规模181.35 亿元，单一资产管理计划规模91.78 亿元，资产支持专项计划产品规模44.18 亿元，</w:t>
      </w:r>
      <w:r>
        <w:rPr>
          <w:rFonts w:ascii="宋体" w:hAnsi="宋体" w:eastAsia="宋体"/>
          <w:b w:val="0"/>
          <w:i w:val="0"/>
          <w:color w:val="000000"/>
          <w:sz w:val="21"/>
        </w:rPr>
        <w:t xml:space="preserve">公募基金管理规模248.81 亿元。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（4）FICC 业务板块 </w:t>
      </w:r>
      <w:r>
        <w:br/>
      </w:r>
      <w:r>
        <w:tab/>
      </w:r>
      <w:r>
        <w:rPr>
          <w:rFonts w:ascii="宋体" w:hAnsi="宋体" w:eastAsia="宋体"/>
          <w:b w:val="0"/>
          <w:i w:val="0"/>
          <w:color w:val="000000"/>
          <w:sz w:val="21"/>
        </w:rPr>
        <w:t>报告期内，固定收益业务在持续强化风险管控能力基础上，加快多领域、多策略、多资产布局，较</w:t>
      </w:r>
      <w:r>
        <w:rPr>
          <w:rFonts w:ascii="宋体" w:hAnsi="宋体" w:eastAsia="宋体"/>
          <w:b w:val="0"/>
          <w:i w:val="0"/>
          <w:color w:val="000000"/>
          <w:sz w:val="21"/>
        </w:rPr>
        <w:t>好把握债券市场收益率下行的机遇，取得了良好的收益，成为公司利润重要增长极，荣获中国外汇交易</w:t>
      </w:r>
      <w:r>
        <w:rPr>
          <w:rFonts w:ascii="宋体" w:hAnsi="宋体" w:eastAsia="宋体"/>
          <w:b w:val="0"/>
          <w:i w:val="0"/>
          <w:color w:val="000000"/>
          <w:sz w:val="21"/>
        </w:rPr>
        <w:t>中心“2024 年度市场影响力机构-核心交易商、债券市场交易商”、中央国债登记结算有限责任公司</w:t>
      </w:r>
      <w:r>
        <w:rPr>
          <w:rFonts w:ascii="宋体" w:hAnsi="宋体" w:eastAsia="宋体"/>
          <w:b w:val="0"/>
          <w:i w:val="0"/>
          <w:color w:val="000000"/>
          <w:sz w:val="21"/>
        </w:rPr>
        <w:t>“2024 年度自营结算100 强”、银行间市场清算所“优秀承销商”等多项行业荣誉。商品投资业务取得</w:t>
      </w:r>
      <w:r>
        <w:rPr>
          <w:rFonts w:ascii="宋体" w:hAnsi="宋体" w:eastAsia="宋体"/>
          <w:b w:val="0"/>
          <w:i w:val="0"/>
          <w:color w:val="000000"/>
          <w:sz w:val="21"/>
        </w:rPr>
        <w:t>境内的场外衍生品授权，持续优化内部投资组合策略的仓位管理模型，实施涵盖境内外多资产的组合策</w:t>
      </w:r>
      <w:r>
        <w:rPr>
          <w:rFonts w:ascii="宋体" w:hAnsi="宋体" w:eastAsia="宋体"/>
          <w:b w:val="0"/>
          <w:i w:val="0"/>
          <w:color w:val="000000"/>
          <w:sz w:val="21"/>
        </w:rPr>
        <w:t>略。数字化转型快速推进，积极建设数字化做市服务平台“山证报价板”，协助推动债券柜台项目，统</w:t>
      </w:r>
      <w:r>
        <w:rPr>
          <w:rFonts w:ascii="宋体" w:hAnsi="宋体" w:eastAsia="宋体"/>
          <w:b w:val="0"/>
          <w:i w:val="0"/>
          <w:color w:val="000000"/>
          <w:sz w:val="21"/>
        </w:rPr>
        <w:t>筹开发FICC 机器人，全方位推进FICC 业务数字化转型，公司FICC 数字资产管理平台荣获中国人民银</w:t>
      </w:r>
      <w:r>
        <w:rPr>
          <w:rFonts w:ascii="宋体" w:hAnsi="宋体" w:eastAsia="宋体"/>
          <w:b w:val="0"/>
          <w:i w:val="0"/>
          <w:color w:val="000000"/>
          <w:sz w:val="21"/>
        </w:rPr>
        <w:t xml:space="preserve">行“金融科技发展奖二等奖”，智能化数字员工建设项目获中国人民银行“金融科技发展奖三等奖”。 </w:t>
      </w:r>
    </w:p>
    <w:p>
      <w:pPr>
        <w:autoSpaceDN w:val="0"/>
        <w:autoSpaceDE w:val="0"/>
        <w:widowControl/>
        <w:spacing w:line="460" w:lineRule="exact" w:before="0" w:after="0"/>
        <w:ind w:left="30" w:right="144" w:firstLine="420"/>
        <w:jc w:val="left"/>
      </w:pPr>
      <w:r>
        <w:rPr>
          <w:rFonts w:ascii="宋体" w:hAnsi="宋体" w:eastAsia="宋体"/>
          <w:b w:val="0"/>
          <w:i w:val="0"/>
          <w:color w:val="000000"/>
          <w:sz w:val="21"/>
        </w:rPr>
        <w:t>报告期内，期货子公司格林大华围绕“强机制、提效能、重突围”持续提升经纪业务核心竞争力、</w:t>
      </w:r>
      <w:r>
        <w:rPr>
          <w:rFonts w:ascii="宋体" w:hAnsi="宋体" w:eastAsia="宋体"/>
          <w:b w:val="0"/>
          <w:i w:val="0"/>
          <w:color w:val="000000"/>
          <w:sz w:val="21"/>
        </w:rPr>
        <w:t>全力推进经纪业务高质量发展，期货经纪业务条线日均权益49.11 亿元。新增场外期权名义本金</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34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37" name="Picture 3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84" w:bottom="446" w:left="1104" w:header="720" w:footer="720" w:gutter="0"/>
          <w:cols w:num="2" w:equalWidth="0">
            <w:col w:w="5436" w:space="0"/>
            <w:col w:w="4380" w:space="0"/>
          </w:cols>
          <w:docGrid w:linePitch="360"/>
        </w:sectPr>
      </w:pPr>
    </w:p>
    <w:p>
      <w:pPr>
        <w:autoSpaceDN w:val="0"/>
        <w:autoSpaceDE w:val="0"/>
        <w:widowControl/>
        <w:spacing w:line="200" w:lineRule="exact" w:before="0" w:after="30"/>
        <w:ind w:left="0" w:right="1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84" w:bottom="446" w:left="1104" w:header="720" w:footer="720" w:gutter="0"/>
          <w:cols w:num="2" w:equalWidth="0">
            <w:col w:w="5436" w:space="0"/>
            <w:col w:w="4380" w:space="0"/>
          </w:cols>
          <w:docGrid w:linePitch="360"/>
        </w:sectPr>
      </w:pPr>
    </w:p>
    <w:p>
      <w:pPr>
        <w:autoSpaceDN w:val="0"/>
        <w:autoSpaceDE w:val="0"/>
        <w:widowControl/>
        <w:spacing w:line="436" w:lineRule="exact" w:before="0" w:after="0"/>
        <w:ind w:left="30" w:right="288" w:firstLine="0"/>
        <w:jc w:val="left"/>
      </w:pPr>
      <w:r>
        <w:rPr>
          <w:rFonts w:ascii="宋体" w:hAnsi="宋体" w:eastAsia="宋体"/>
          <w:b w:val="0"/>
          <w:i w:val="0"/>
          <w:color w:val="000000"/>
          <w:sz w:val="21"/>
        </w:rPr>
        <w:t>101.31 亿元，较2023 年提升24.22 亿元。期货业务深耕乡村，服务“三农”，推动吕梁生猪“保险+期</w:t>
      </w:r>
      <w:r>
        <w:rPr>
          <w:rFonts w:ascii="宋体" w:hAnsi="宋体" w:eastAsia="宋体"/>
          <w:b w:val="0"/>
          <w:i w:val="0"/>
          <w:color w:val="000000"/>
          <w:sz w:val="21"/>
        </w:rPr>
        <w:t xml:space="preserve">货”模式，落地了山西省内首单尿素“保险+期货”业务。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（5）权益业务板块 </w:t>
      </w:r>
      <w:r>
        <w:br/>
      </w:r>
      <w:r>
        <w:tab/>
      </w:r>
      <w:r>
        <w:rPr>
          <w:rFonts w:ascii="宋体" w:hAnsi="宋体" w:eastAsia="宋体"/>
          <w:b w:val="0"/>
          <w:i w:val="0"/>
          <w:color w:val="000000"/>
          <w:sz w:val="21"/>
        </w:rPr>
        <w:t>报告期内，公司权益自营业务坚定执行非方向性投资策略，全面压降方向性风险敞口。山证投资持</w:t>
      </w:r>
      <w:r>
        <w:rPr>
          <w:rFonts w:ascii="宋体" w:hAnsi="宋体" w:eastAsia="宋体"/>
          <w:b w:val="0"/>
          <w:i w:val="0"/>
          <w:color w:val="000000"/>
          <w:sz w:val="21"/>
        </w:rPr>
        <w:t>续推进项目储备及市场化基金募集，聚焦无机非金属材料、人工智能、电子材料、半导体等四个行业进</w:t>
      </w:r>
      <w:r>
        <w:rPr>
          <w:rFonts w:ascii="宋体" w:hAnsi="宋体" w:eastAsia="宋体"/>
          <w:b w:val="0"/>
          <w:i w:val="0"/>
          <w:color w:val="000000"/>
          <w:sz w:val="21"/>
        </w:rPr>
        <w:t>行投资，积极参与省内优质项目挖掘和政府引导基金的设立筹备。报告期内，新设立基金3 只，实现募</w:t>
      </w:r>
      <w:r>
        <w:rPr>
          <w:rFonts w:ascii="宋体" w:hAnsi="宋体" w:eastAsia="宋体"/>
          <w:b w:val="0"/>
          <w:i w:val="0"/>
          <w:color w:val="000000"/>
          <w:sz w:val="21"/>
        </w:rPr>
        <w:t>资6.1 亿元，其中包括2 只聚合四级政府引导基金和产业资源方的市场化基金；新增完成投资项目5 个，</w:t>
      </w:r>
      <w:r>
        <w:rPr>
          <w:rFonts w:ascii="宋体" w:hAnsi="宋体" w:eastAsia="宋体"/>
          <w:b w:val="0"/>
          <w:i w:val="0"/>
          <w:color w:val="000000"/>
          <w:sz w:val="21"/>
        </w:rPr>
        <w:t>投资规模1.6 亿元。山证创新围绕AI 算力芯片、第三代半导体、低轨卫星通信三大重点领域持续挖掘</w:t>
      </w:r>
      <w:r>
        <w:rPr>
          <w:rFonts w:ascii="宋体" w:hAnsi="宋体" w:eastAsia="宋体"/>
          <w:b w:val="0"/>
          <w:i w:val="0"/>
          <w:color w:val="000000"/>
          <w:sz w:val="21"/>
        </w:rPr>
        <w:t xml:space="preserve">优质项目，完成3 个项目投资。 </w:t>
      </w:r>
    </w:p>
    <w:p>
      <w:pPr>
        <w:autoSpaceDN w:val="0"/>
        <w:autoSpaceDE w:val="0"/>
        <w:widowControl/>
        <w:spacing w:line="460" w:lineRule="exact" w:before="2" w:after="0"/>
        <w:ind w:left="30" w:right="328" w:firstLine="420"/>
        <w:jc w:val="both"/>
      </w:pPr>
      <w:r>
        <w:rPr>
          <w:rFonts w:ascii="宋体" w:hAnsi="宋体" w:eastAsia="宋体"/>
          <w:b w:val="0"/>
          <w:i w:val="0"/>
          <w:color w:val="000000"/>
          <w:sz w:val="21"/>
        </w:rPr>
        <w:t>报告期内，公司持续完善研究业务团队建设，已形成覆盖21 个行业、28 个细分领域的团队布局，</w:t>
      </w:r>
      <w:r>
        <w:rPr>
          <w:rFonts w:ascii="宋体" w:hAnsi="宋体" w:eastAsia="宋体"/>
          <w:b w:val="0"/>
          <w:i w:val="0"/>
          <w:color w:val="000000"/>
          <w:sz w:val="21"/>
        </w:rPr>
        <w:t>荣获Wind 金牌分析师“进步最快研究机构”。同时，聚焦山西经济和产业研究，连续第六年发布《山西</w:t>
      </w:r>
      <w:r>
        <w:rPr>
          <w:rFonts w:ascii="宋体" w:hAnsi="宋体" w:eastAsia="宋体"/>
          <w:b w:val="0"/>
          <w:i w:val="0"/>
          <w:color w:val="000000"/>
          <w:sz w:val="21"/>
        </w:rPr>
        <w:t>资本市场白皮书》、连续第四年发布《碳中和研究报告合集》、连续第二年发布《省级重点专业镇研究报</w:t>
      </w:r>
      <w:r>
        <w:rPr>
          <w:rFonts w:ascii="宋体" w:hAnsi="宋体" w:eastAsia="宋体"/>
          <w:b w:val="0"/>
          <w:i w:val="0"/>
          <w:color w:val="000000"/>
          <w:sz w:val="21"/>
        </w:rPr>
        <w:t xml:space="preserve">告》、首次发布《数字经济研究报告合集》，绿色金融课题荣获山西金融学会课题一等奖。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（6）国际业务 </w:t>
      </w:r>
      <w:r>
        <w:br/>
      </w:r>
      <w:r>
        <w:tab/>
      </w:r>
      <w:r>
        <w:rPr>
          <w:rFonts w:ascii="宋体" w:hAnsi="宋体" w:eastAsia="宋体"/>
          <w:b w:val="0"/>
          <w:i w:val="0"/>
          <w:color w:val="000000"/>
          <w:sz w:val="21"/>
        </w:rPr>
        <w:t>报告期内，山证国际加强投资业务布局，推进FICC 业务开展，在TRS、美元债、债券通业务的基</w:t>
      </w:r>
      <w:r>
        <w:rPr>
          <w:rFonts w:ascii="宋体" w:hAnsi="宋体" w:eastAsia="宋体"/>
          <w:b w:val="0"/>
          <w:i w:val="0"/>
          <w:color w:val="000000"/>
          <w:sz w:val="21"/>
        </w:rPr>
        <w:t>础上，开展美债期货、股指T+0 业务、场外衍生品客需业务、程序化交易等业务，打造跨境、多策略的</w:t>
      </w:r>
      <w:r>
        <w:rPr>
          <w:rFonts w:ascii="宋体" w:hAnsi="宋体" w:eastAsia="宋体"/>
          <w:b w:val="0"/>
          <w:i w:val="0"/>
          <w:color w:val="000000"/>
          <w:sz w:val="21"/>
        </w:rPr>
        <w:t>交易投资模式。完善运营，加强团队建设、系统建设与风险管理，为业务发展提供保障。加强跨境与母</w:t>
      </w:r>
      <w:r>
        <w:rPr>
          <w:rFonts w:ascii="宋体" w:hAnsi="宋体" w:eastAsia="宋体"/>
          <w:b w:val="0"/>
          <w:i w:val="0"/>
          <w:color w:val="000000"/>
          <w:sz w:val="21"/>
        </w:rPr>
        <w:t xml:space="preserve">子公司协同，启动跨境收益互换，实现境外衍生品业务突破，拓展境外投顾业务，开展美元债承销项目。 </w:t>
      </w:r>
    </w:p>
    <w:p>
      <w:pPr>
        <w:autoSpaceDN w:val="0"/>
        <w:autoSpaceDE w:val="0"/>
        <w:widowControl/>
        <w:spacing w:line="210" w:lineRule="exact" w:before="864" w:after="0"/>
        <w:ind w:left="30" w:right="0" w:firstLine="0"/>
        <w:jc w:val="left"/>
      </w:pPr>
      <w:r>
        <w:rPr>
          <w:rFonts w:ascii="宋体" w:hAnsi="宋体" w:eastAsia="宋体"/>
          <w:b w:val="0"/>
          <w:i w:val="0"/>
          <w:color w:val="000000"/>
          <w:sz w:val="21"/>
        </w:rPr>
        <w:t xml:space="preserve">2、收入与成本 </w:t>
      </w:r>
    </w:p>
    <w:p>
      <w:pPr>
        <w:autoSpaceDN w:val="0"/>
        <w:autoSpaceDE w:val="0"/>
        <w:widowControl/>
        <w:spacing w:line="212" w:lineRule="exact" w:before="370" w:after="0"/>
        <w:ind w:left="30" w:right="0" w:firstLine="0"/>
        <w:jc w:val="left"/>
      </w:pPr>
      <w:r>
        <w:rPr>
          <w:rFonts w:ascii="宋体" w:hAnsi="宋体" w:eastAsia="宋体"/>
          <w:b w:val="0"/>
          <w:i w:val="0"/>
          <w:color w:val="000000"/>
          <w:sz w:val="21"/>
        </w:rPr>
        <w:t xml:space="preserve">（1） 营业总收入构成 </w:t>
      </w:r>
    </w:p>
    <w:p>
      <w:pPr>
        <w:autoSpaceDN w:val="0"/>
        <w:autoSpaceDE w:val="0"/>
        <w:widowControl/>
        <w:spacing w:line="460" w:lineRule="exact" w:before="264" w:after="0"/>
        <w:ind w:left="30" w:right="0" w:firstLine="420"/>
        <w:jc w:val="left"/>
      </w:pPr>
      <w:r>
        <w:rPr>
          <w:rFonts w:ascii="宋体" w:hAnsi="宋体" w:eastAsia="宋体"/>
          <w:b w:val="0"/>
          <w:i w:val="0"/>
          <w:color w:val="000000"/>
          <w:sz w:val="21"/>
        </w:rPr>
        <w:t>报告期内，公司实现营业收入315,207.52 万元，同比下降9.18%。其中，证券经纪业务手续费净</w:t>
      </w:r>
      <w:r>
        <w:rPr>
          <w:rFonts w:ascii="宋体" w:hAnsi="宋体" w:eastAsia="宋体"/>
          <w:b w:val="0"/>
          <w:i w:val="0"/>
          <w:color w:val="000000"/>
          <w:sz w:val="21"/>
        </w:rPr>
        <w:t>收入同比增加14,416.19 万元，同比增长31.88%；投资咨询业务手续费净收入同比增加4,115.72 万元，</w:t>
      </w:r>
      <w:r>
        <w:rPr>
          <w:rFonts w:ascii="宋体" w:hAnsi="宋体" w:eastAsia="宋体"/>
          <w:b w:val="0"/>
          <w:i w:val="0"/>
          <w:color w:val="000000"/>
          <w:sz w:val="21"/>
        </w:rPr>
        <w:t>同比增长141.40%；资产管理及基金管理业务手续费净收入同比增加1,641.66 万元，同比增长6.70%；</w:t>
      </w:r>
      <w:r>
        <w:rPr>
          <w:rFonts w:ascii="宋体" w:hAnsi="宋体" w:eastAsia="宋体"/>
          <w:b w:val="0"/>
          <w:i w:val="0"/>
          <w:color w:val="000000"/>
          <w:sz w:val="21"/>
        </w:rPr>
        <w:t>利息净收入同比增加8,193.50 万元；期货经纪业务手续费净收入同比减少4,109.04 万元，同比下降</w:t>
      </w:r>
      <w:r>
        <w:rPr>
          <w:rFonts w:ascii="宋体" w:hAnsi="宋体" w:eastAsia="宋体"/>
          <w:b w:val="0"/>
          <w:i w:val="0"/>
          <w:color w:val="000000"/>
          <w:sz w:val="21"/>
        </w:rPr>
        <w:t>31.45%；投资银行业务手续费净收入同比减少 4,787.89 万元，同比下降12.15%；投资收益及公允价值</w:t>
      </w:r>
      <w:r>
        <w:rPr>
          <w:rFonts w:ascii="宋体" w:hAnsi="宋体" w:eastAsia="宋体"/>
          <w:b w:val="0"/>
          <w:i w:val="0"/>
          <w:color w:val="000000"/>
          <w:sz w:val="21"/>
        </w:rPr>
        <w:t>变动收益同比减少13,032.98 万元，同比下降7.46%；其他业务收入同比减少37,758.06 万元，同比下</w:t>
      </w:r>
      <w:r>
        <w:rPr>
          <w:rFonts w:ascii="宋体" w:hAnsi="宋体" w:eastAsia="宋体"/>
          <w:b w:val="0"/>
          <w:i w:val="0"/>
          <w:color w:val="000000"/>
          <w:sz w:val="21"/>
        </w:rPr>
        <w:t>降63.09%，主要为子公司仓单业务规模减少所致。仓单业务的特点是价格透明、单笔交易量大，交易</w:t>
      </w:r>
    </w:p>
    <w:p>
      <w:pPr>
        <w:autoSpaceDN w:val="0"/>
        <w:autoSpaceDE w:val="0"/>
        <w:widowControl/>
        <w:spacing w:line="197" w:lineRule="auto" w:before="782" w:after="0"/>
        <w:ind w:left="0" w:right="4838" w:firstLine="0"/>
        <w:jc w:val="right"/>
      </w:pPr>
      <w:r>
        <w:rPr>
          <w:rFonts w:ascii="Calibri" w:hAnsi="Calibri" w:eastAsia="Calibri"/>
          <w:b w:val="0"/>
          <w:i w:val="0"/>
          <w:color w:val="000000"/>
          <w:sz w:val="18"/>
        </w:rPr>
        <w:t xml:space="preserve">35 </w:t>
      </w:r>
    </w:p>
    <w:p>
      <w:pPr>
        <w:sectPr>
          <w:type w:val="continuous"/>
          <w:pgSz w:w="11904" w:h="16841"/>
          <w:pgMar w:top="424" w:right="9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38" name="Picture 3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tabs>
          <w:tab w:pos="8844" w:val="left"/>
        </w:tabs>
        <w:autoSpaceDE w:val="0"/>
        <w:widowControl/>
        <w:spacing w:line="318" w:lineRule="exact" w:before="92" w:after="66"/>
        <w:ind w:left="112" w:right="144" w:firstLine="0"/>
        <w:jc w:val="left"/>
      </w:pPr>
      <w:r>
        <w:rPr>
          <w:rFonts w:ascii="宋体" w:hAnsi="宋体" w:eastAsia="宋体"/>
          <w:b w:val="0"/>
          <w:i w:val="0"/>
          <w:color w:val="000000"/>
          <w:sz w:val="21"/>
        </w:rPr>
        <w:t xml:space="preserve">额与毛利率不成比例变动，同时采用商品贸易模式核算，销售收入和销售成本同步减少。 </w:t>
      </w:r>
      <w:r>
        <w:br/>
      </w:r>
      <w:r>
        <w:tab/>
      </w: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633"/>
        <w:gridCol w:w="1633"/>
        <w:gridCol w:w="1633"/>
        <w:gridCol w:w="1633"/>
        <w:gridCol w:w="1633"/>
        <w:gridCol w:w="1633"/>
      </w:tblGrid>
      <w:tr>
        <w:trPr>
          <w:trHeight w:hRule="exact" w:val="402"/>
        </w:trPr>
        <w:tc>
          <w:tcPr>
            <w:tcW w:type="dxa" w:w="1924"/>
            <w:vMerge w:val="restart"/>
            <w:tcBorders>
              <w:start w:sz="2.3999999999999773" w:val="single" w:color="#000000"/>
              <w:top w:sz="1.6000000000000227" w:val="single" w:color="#000000"/>
              <w:end w:sz="1.599999999999909" w:val="single" w:color="#000000"/>
              <w:bottom w:sz="1.599999999999909" w:val="single" w:color="#000000"/>
            </w:tcBorders>
            <w:shd w:fill="d2d2d2"/>
            <w:tcMar>
              <w:start w:w="0" w:type="dxa"/>
              <w:end w:w="0" w:type="dxa"/>
            </w:tcMar>
            <w:tcMar>
              <w:start w:w="0" w:type="dxa"/>
              <w:end w:w="0" w:type="dxa"/>
            </w:tcMar>
          </w:tcPr>
          <w:p>
            <w:pPr>
              <w:autoSpaceDN w:val="0"/>
              <w:autoSpaceDE w:val="0"/>
              <w:widowControl/>
              <w:spacing w:line="180" w:lineRule="exact" w:before="398" w:after="0"/>
              <w:ind w:left="0" w:right="688" w:firstLine="0"/>
              <w:jc w:val="right"/>
            </w:pPr>
            <w:r>
              <w:rPr>
                <w:rFonts w:ascii="宋体" w:hAnsi="宋体" w:eastAsia="宋体"/>
                <w:b w:val="0"/>
                <w:i w:val="0"/>
                <w:color w:val="000000"/>
                <w:sz w:val="18"/>
              </w:rPr>
              <w:t xml:space="preserve">项目 </w:t>
            </w:r>
          </w:p>
        </w:tc>
        <w:tc>
          <w:tcPr>
            <w:tcW w:type="dxa" w:w="2888"/>
            <w:gridSpan w:val="2"/>
            <w:tcBorders>
              <w:start w:sz="1.599999999999909" w:val="single" w:color="#000000"/>
              <w:top w:sz="1.6000000000000227" w:val="single" w:color="#000000"/>
              <w:end w:sz="1.599999999999909"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180" w:lineRule="exact" w:before="114" w:after="0"/>
              <w:ind w:left="0" w:right="1060" w:firstLine="0"/>
              <w:jc w:val="right"/>
            </w:pPr>
            <w:r>
              <w:rPr>
                <w:rFonts w:ascii="宋体" w:hAnsi="宋体" w:eastAsia="宋体"/>
                <w:b w:val="0"/>
                <w:i w:val="0"/>
                <w:color w:val="000000"/>
                <w:sz w:val="18"/>
              </w:rPr>
              <w:t xml:space="preserve">2024 年 </w:t>
            </w:r>
          </w:p>
        </w:tc>
        <w:tc>
          <w:tcPr>
            <w:tcW w:type="dxa" w:w="3206"/>
            <w:gridSpan w:val="2"/>
            <w:tcBorders>
              <w:start w:sz="1.599999999999909" w:val="single" w:color="#000000"/>
              <w:top w:sz="1.6000000000000227" w:val="single" w:color="#000000"/>
              <w:end w:sz="2.400000000000091"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180" w:lineRule="exact" w:before="114" w:after="0"/>
              <w:ind w:left="0" w:right="1218" w:firstLine="0"/>
              <w:jc w:val="right"/>
            </w:pPr>
            <w:r>
              <w:rPr>
                <w:rFonts w:ascii="宋体" w:hAnsi="宋体" w:eastAsia="宋体"/>
                <w:b w:val="0"/>
                <w:i w:val="0"/>
                <w:color w:val="000000"/>
                <w:sz w:val="18"/>
              </w:rPr>
              <w:t xml:space="preserve">2023 年 </w:t>
            </w:r>
          </w:p>
        </w:tc>
        <w:tc>
          <w:tcPr>
            <w:tcW w:type="dxa" w:w="1620"/>
            <w:vMerge w:val="restart"/>
            <w:tcBorders>
              <w:start w:sz="2.400000000000091" w:val="single" w:color="#000000"/>
              <w:top w:sz="1.6000000000000227" w:val="single" w:color="#000000"/>
              <w:end w:sz="2.399999999999636" w:val="single" w:color="#000000"/>
              <w:bottom w:sz="1.599999999999909" w:val="single" w:color="#000000"/>
            </w:tcBorders>
            <w:shd w:fill="d2d2d2"/>
            <w:tcMar>
              <w:start w:w="0" w:type="dxa"/>
              <w:end w:w="0" w:type="dxa"/>
            </w:tcMar>
            <w:tcMar>
              <w:start w:w="0" w:type="dxa"/>
              <w:end w:w="0" w:type="dxa"/>
            </w:tcMar>
          </w:tcPr>
          <w:p>
            <w:pPr>
              <w:autoSpaceDN w:val="0"/>
              <w:autoSpaceDE w:val="0"/>
              <w:widowControl/>
              <w:spacing w:line="180" w:lineRule="exact" w:before="398" w:after="0"/>
              <w:ind w:left="0" w:right="358" w:firstLine="0"/>
              <w:jc w:val="right"/>
            </w:pPr>
            <w:r>
              <w:rPr>
                <w:rFonts w:ascii="宋体" w:hAnsi="宋体" w:eastAsia="宋体"/>
                <w:b w:val="0"/>
                <w:i w:val="0"/>
                <w:color w:val="000000"/>
                <w:sz w:val="18"/>
              </w:rPr>
              <w:t xml:space="preserve">同比增减 </w:t>
            </w:r>
          </w:p>
        </w:tc>
      </w:tr>
      <w:tr>
        <w:trPr>
          <w:trHeight w:hRule="exact" w:val="566"/>
        </w:trPr>
        <w:tc>
          <w:tcPr>
            <w:tcW w:type="dxa" w:w="1633"/>
            <w:vMerge/>
            <w:tcBorders>
              <w:start w:sz="2.3999999999999773" w:val="single" w:color="#000000"/>
              <w:top w:sz="1.6000000000000227" w:val="single" w:color="#000000"/>
              <w:end w:sz="1.599999999999909" w:val="single" w:color="#000000"/>
              <w:bottom w:sz="1.599999999999909" w:val="single" w:color="#000000"/>
            </w:tcBorders>
          </w:tcPr>
          <w:p/>
        </w:tc>
        <w:tc>
          <w:tcPr>
            <w:tcW w:type="dxa" w:w="1406"/>
            <w:tcBorders>
              <w:start w:sz="1.599999999999909" w:val="single" w:color="#000000"/>
              <w:top w:sz="2.400000000000091" w:val="single" w:color="#000000"/>
              <w:end w:sz="1.6000000000001364" w:val="single" w:color="#000000"/>
              <w:bottom w:sz="1.599999999999909" w:val="single" w:color="#000000"/>
            </w:tcBorders>
            <w:shd w:fill="d2d2d2"/>
            <w:tcMar>
              <w:start w:w="0" w:type="dxa"/>
              <w:end w:w="0" w:type="dxa"/>
            </w:tcMar>
          </w:tcPr>
          <w:p>
            <w:pPr>
              <w:autoSpaceDN w:val="0"/>
              <w:autoSpaceDE w:val="0"/>
              <w:widowControl/>
              <w:spacing w:line="180" w:lineRule="exact" w:before="196" w:after="0"/>
              <w:ind w:left="0" w:right="430" w:firstLine="0"/>
              <w:jc w:val="right"/>
            </w:pPr>
            <w:r>
              <w:rPr>
                <w:rFonts w:ascii="宋体" w:hAnsi="宋体" w:eastAsia="宋体"/>
                <w:b w:val="0"/>
                <w:i w:val="0"/>
                <w:color w:val="000000"/>
                <w:sz w:val="18"/>
              </w:rPr>
              <w:t xml:space="preserve">金额 </w:t>
            </w:r>
          </w:p>
        </w:tc>
        <w:tc>
          <w:tcPr>
            <w:tcW w:type="dxa" w:w="1482"/>
            <w:tcBorders>
              <w:start w:sz="1.6000000000001364"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tabs>
                <w:tab w:pos="648" w:val="left"/>
              </w:tabs>
              <w:autoSpaceDE w:val="0"/>
              <w:widowControl/>
              <w:spacing w:line="240" w:lineRule="exact" w:before="16" w:after="0"/>
              <w:ind w:left="108" w:right="0" w:firstLine="0"/>
              <w:jc w:val="left"/>
            </w:pPr>
            <w:r>
              <w:rPr>
                <w:rFonts w:ascii="宋体" w:hAnsi="宋体" w:eastAsia="宋体"/>
                <w:b w:val="0"/>
                <w:i w:val="0"/>
                <w:color w:val="000000"/>
                <w:sz w:val="18"/>
              </w:rPr>
              <w:t>占营业总收入比</w:t>
            </w:r>
            <w:r>
              <w:tab/>
            </w:r>
            <w:r>
              <w:rPr>
                <w:rFonts w:ascii="宋体" w:hAnsi="宋体" w:eastAsia="宋体"/>
                <w:b w:val="0"/>
                <w:i w:val="0"/>
                <w:color w:val="000000"/>
                <w:sz w:val="18"/>
              </w:rPr>
              <w:t xml:space="preserve">重 </w:t>
            </w:r>
          </w:p>
        </w:tc>
        <w:tc>
          <w:tcPr>
            <w:tcW w:type="dxa" w:w="1792"/>
            <w:tcBorders>
              <w:start w:sz="1.599999999999909"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196" w:after="0"/>
              <w:ind w:left="0" w:right="624" w:firstLine="0"/>
              <w:jc w:val="right"/>
            </w:pPr>
            <w:r>
              <w:rPr>
                <w:rFonts w:ascii="宋体" w:hAnsi="宋体" w:eastAsia="宋体"/>
                <w:b w:val="0"/>
                <w:i w:val="0"/>
                <w:color w:val="000000"/>
                <w:sz w:val="18"/>
              </w:rPr>
              <w:t xml:space="preserve">金额 </w:t>
            </w:r>
          </w:p>
        </w:tc>
        <w:tc>
          <w:tcPr>
            <w:tcW w:type="dxa" w:w="1414"/>
            <w:tcBorders>
              <w:start w:sz="2.400000000000091"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tabs>
                <w:tab w:pos="528" w:val="left"/>
              </w:tabs>
              <w:autoSpaceDE w:val="0"/>
              <w:widowControl/>
              <w:spacing w:line="240" w:lineRule="exact" w:before="16" w:after="0"/>
              <w:ind w:left="168" w:right="144" w:firstLine="0"/>
              <w:jc w:val="left"/>
            </w:pPr>
            <w:r>
              <w:rPr>
                <w:rFonts w:ascii="宋体" w:hAnsi="宋体" w:eastAsia="宋体"/>
                <w:b w:val="0"/>
                <w:i w:val="0"/>
                <w:color w:val="000000"/>
                <w:sz w:val="18"/>
              </w:rPr>
              <w:t>占营业总收入</w:t>
            </w:r>
            <w:r>
              <w:tab/>
            </w:r>
            <w:r>
              <w:rPr>
                <w:rFonts w:ascii="宋体" w:hAnsi="宋体" w:eastAsia="宋体"/>
                <w:b w:val="0"/>
                <w:i w:val="0"/>
                <w:color w:val="000000"/>
                <w:sz w:val="18"/>
              </w:rPr>
              <w:t xml:space="preserve">比重 </w:t>
            </w:r>
          </w:p>
        </w:tc>
        <w:tc>
          <w:tcPr>
            <w:tcW w:type="dxa" w:w="1633"/>
            <w:vMerge/>
            <w:tcBorders>
              <w:start w:sz="2.400000000000091" w:val="single" w:color="#000000"/>
              <w:top w:sz="1.6000000000000227" w:val="single" w:color="#000000"/>
              <w:end w:sz="2.399999999999636" w:val="single" w:color="#000000"/>
              <w:bottom w:sz="1.599999999999909" w:val="single" w:color="#000000"/>
            </w:tcBorders>
          </w:tcPr>
          <w:p/>
        </w:tc>
      </w:tr>
      <w:tr>
        <w:trPr>
          <w:trHeight w:hRule="exact" w:val="400"/>
        </w:trPr>
        <w:tc>
          <w:tcPr>
            <w:tcW w:type="dxa" w:w="1924"/>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 xml:space="preserve">手续费及佣金净收入 </w:t>
            </w:r>
          </w:p>
        </w:tc>
        <w:tc>
          <w:tcPr>
            <w:tcW w:type="dxa" w:w="1406"/>
            <w:tcBorders>
              <w:start w:sz="1.599999999999909"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6" w:after="0"/>
              <w:ind w:left="262" w:right="0" w:firstLine="0"/>
              <w:jc w:val="left"/>
            </w:pPr>
            <w:r>
              <w:rPr>
                <w:rFonts w:ascii="Times New Roman" w:hAnsi="Times New Roman" w:eastAsia="Times New Roman"/>
                <w:b w:val="0"/>
                <w:i w:val="0"/>
                <w:color w:val="000000"/>
                <w:sz w:val="18"/>
              </w:rPr>
              <w:t>1,363,894,744</w:t>
            </w:r>
          </w:p>
        </w:tc>
        <w:tc>
          <w:tcPr>
            <w:tcW w:type="dxa" w:w="148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6" w:after="0"/>
              <w:ind w:left="0" w:right="104" w:firstLine="0"/>
              <w:jc w:val="right"/>
            </w:pPr>
            <w:r>
              <w:rPr>
                <w:rFonts w:ascii="Times New Roman" w:hAnsi="Times New Roman" w:eastAsia="Times New Roman"/>
                <w:b w:val="0"/>
                <w:i w:val="0"/>
                <w:color w:val="000000"/>
                <w:sz w:val="18"/>
              </w:rPr>
              <w:t>43.27%</w:t>
            </w:r>
          </w:p>
        </w:tc>
        <w:tc>
          <w:tcPr>
            <w:tcW w:type="dxa" w:w="1792"/>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6" w:after="0"/>
              <w:ind w:left="0" w:right="106" w:firstLine="0"/>
              <w:jc w:val="right"/>
            </w:pPr>
            <w:r>
              <w:rPr>
                <w:rFonts w:ascii="Times New Roman" w:hAnsi="Times New Roman" w:eastAsia="Times New Roman"/>
                <w:b w:val="0"/>
                <w:i w:val="0"/>
                <w:color w:val="000000"/>
                <w:sz w:val="18"/>
              </w:rPr>
              <w:t>1,251,128,404</w:t>
            </w:r>
          </w:p>
        </w:tc>
        <w:tc>
          <w:tcPr>
            <w:tcW w:type="dxa" w:w="1414"/>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6" w:after="0"/>
              <w:ind w:left="0" w:right="100" w:firstLine="0"/>
              <w:jc w:val="right"/>
            </w:pPr>
            <w:r>
              <w:rPr>
                <w:rFonts w:ascii="Times New Roman" w:hAnsi="Times New Roman" w:eastAsia="Times New Roman"/>
                <w:b w:val="0"/>
                <w:i w:val="0"/>
                <w:color w:val="000000"/>
                <w:sz w:val="18"/>
              </w:rPr>
              <w:t>36.05%</w:t>
            </w:r>
          </w:p>
        </w:tc>
        <w:tc>
          <w:tcPr>
            <w:tcW w:type="dxa" w:w="1620"/>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9.01%</w:t>
            </w:r>
          </w:p>
        </w:tc>
      </w:tr>
      <w:tr>
        <w:trPr>
          <w:trHeight w:hRule="exact" w:val="404"/>
        </w:trPr>
        <w:tc>
          <w:tcPr>
            <w:tcW w:type="dxa" w:w="1924"/>
            <w:tcBorders>
              <w:start w:sz="2.3999999999999773" w:val="single" w:color="#000000"/>
              <w:top w:sz="1.599999999999909"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利息净收入 </w:t>
            </w:r>
          </w:p>
        </w:tc>
        <w:tc>
          <w:tcPr>
            <w:tcW w:type="dxa" w:w="1406"/>
            <w:tcBorders>
              <w:start w:sz="1.599999999999909" w:val="single" w:color="#000000"/>
              <w:top w:sz="1.599999999999909" w:val="single" w:color="#000000"/>
              <w:end w:sz="1.6000000000001364" w:val="single" w:color="#000000"/>
              <w:bottom w:sz="1.6000000000001364" w:val="single" w:color="#000000"/>
            </w:tcBorders>
            <w:tcMar>
              <w:start w:w="0" w:type="dxa"/>
              <w:end w:w="0" w:type="dxa"/>
            </w:tcMar>
          </w:tcPr>
          <w:p>
            <w:pPr>
              <w:autoSpaceDN w:val="0"/>
              <w:autoSpaceDE w:val="0"/>
              <w:widowControl/>
              <w:spacing w:line="230" w:lineRule="auto" w:before="100" w:after="0"/>
              <w:ind w:left="0" w:right="104" w:firstLine="0"/>
              <w:jc w:val="right"/>
            </w:pPr>
            <w:r>
              <w:rPr>
                <w:rFonts w:ascii="Times New Roman" w:hAnsi="Times New Roman" w:eastAsia="Times New Roman"/>
                <w:b w:val="0"/>
                <w:i w:val="0"/>
                <w:color w:val="000000"/>
                <w:sz w:val="18"/>
              </w:rPr>
              <w:t>-55,638,756</w:t>
            </w:r>
          </w:p>
        </w:tc>
        <w:tc>
          <w:tcPr>
            <w:tcW w:type="dxa" w:w="1482"/>
            <w:tcBorders>
              <w:start w:sz="1.6000000000001364" w:val="single" w:color="#000000"/>
              <w:top w:sz="1.599999999999909" w:val="single" w:color="#000000"/>
              <w:end w:sz="1.599999999999909" w:val="single" w:color="#000000"/>
              <w:bottom w:sz="1.6000000000001364" w:val="single" w:color="#000000"/>
            </w:tcBorders>
            <w:tcMar>
              <w:start w:w="0" w:type="dxa"/>
              <w:end w:w="0" w:type="dxa"/>
            </w:tcMar>
          </w:tcPr>
          <w:p>
            <w:pPr>
              <w:autoSpaceDN w:val="0"/>
              <w:autoSpaceDE w:val="0"/>
              <w:widowControl/>
              <w:spacing w:line="230" w:lineRule="auto" w:before="100" w:after="0"/>
              <w:ind w:left="0" w:right="106" w:firstLine="0"/>
              <w:jc w:val="right"/>
            </w:pPr>
            <w:r>
              <w:rPr>
                <w:rFonts w:ascii="Times New Roman" w:hAnsi="Times New Roman" w:eastAsia="Times New Roman"/>
                <w:b w:val="0"/>
                <w:i w:val="0"/>
                <w:color w:val="000000"/>
                <w:sz w:val="18"/>
              </w:rPr>
              <w:t>-1.77%</w:t>
            </w:r>
          </w:p>
        </w:tc>
        <w:tc>
          <w:tcPr>
            <w:tcW w:type="dxa" w:w="1792"/>
            <w:tcBorders>
              <w:start w:sz="1.599999999999909" w:val="single" w:color="#000000"/>
              <w:top w:sz="1.599999999999909" w:val="single" w:color="#000000"/>
              <w:end w:sz="2.400000000000091" w:val="single" w:color="#000000"/>
              <w:bottom w:sz="1.6000000000001364" w:val="single" w:color="#000000"/>
            </w:tcBorders>
            <w:tcMar>
              <w:start w:w="0" w:type="dxa"/>
              <w:end w:w="0" w:type="dxa"/>
            </w:tcMar>
          </w:tcPr>
          <w:p>
            <w:pPr>
              <w:autoSpaceDN w:val="0"/>
              <w:autoSpaceDE w:val="0"/>
              <w:widowControl/>
              <w:spacing w:line="230" w:lineRule="auto" w:before="100" w:after="0"/>
              <w:ind w:left="0" w:right="106" w:firstLine="0"/>
              <w:jc w:val="right"/>
            </w:pPr>
            <w:r>
              <w:rPr>
                <w:rFonts w:ascii="Times New Roman" w:hAnsi="Times New Roman" w:eastAsia="Times New Roman"/>
                <w:b w:val="0"/>
                <w:i w:val="0"/>
                <w:color w:val="000000"/>
                <w:sz w:val="18"/>
              </w:rPr>
              <w:t>-137,573,748</w:t>
            </w:r>
          </w:p>
        </w:tc>
        <w:tc>
          <w:tcPr>
            <w:tcW w:type="dxa" w:w="1414"/>
            <w:tcBorders>
              <w:start w:sz="2.400000000000091" w:val="single" w:color="#000000"/>
              <w:top w:sz="1.599999999999909" w:val="single" w:color="#000000"/>
              <w:end w:sz="2.400000000000091" w:val="single" w:color="#000000"/>
              <w:bottom w:sz="1.6000000000001364" w:val="single" w:color="#000000"/>
            </w:tcBorders>
            <w:tcMar>
              <w:start w:w="0" w:type="dxa"/>
              <w:end w:w="0" w:type="dxa"/>
            </w:tcMar>
          </w:tcPr>
          <w:p>
            <w:pPr>
              <w:autoSpaceDN w:val="0"/>
              <w:autoSpaceDE w:val="0"/>
              <w:widowControl/>
              <w:spacing w:line="230" w:lineRule="auto" w:before="100" w:after="0"/>
              <w:ind w:left="0" w:right="102" w:firstLine="0"/>
              <w:jc w:val="right"/>
            </w:pPr>
            <w:r>
              <w:rPr>
                <w:rFonts w:ascii="Times New Roman" w:hAnsi="Times New Roman" w:eastAsia="Times New Roman"/>
                <w:b w:val="0"/>
                <w:i w:val="0"/>
                <w:color w:val="000000"/>
                <w:sz w:val="18"/>
              </w:rPr>
              <w:t>-3.96%</w:t>
            </w:r>
          </w:p>
        </w:tc>
        <w:tc>
          <w:tcPr>
            <w:tcW w:type="dxa" w:w="1620"/>
            <w:tcBorders>
              <w:start w:sz="2.400000000000091" w:val="single" w:color="#000000"/>
              <w:top w:sz="1.599999999999909" w:val="single" w:color="#000000"/>
              <w:end w:sz="2.399999999999636" w:val="single" w:color="#000000"/>
              <w:bottom w:sz="1.6000000000001364" w:val="single" w:color="#000000"/>
            </w:tcBorders>
            <w:tcMar>
              <w:start w:w="0" w:type="dxa"/>
              <w:end w:w="0" w:type="dxa"/>
            </w:tcMar>
          </w:tcPr>
          <w:p>
            <w:pPr>
              <w:autoSpaceDN w:val="0"/>
              <w:autoSpaceDE w:val="0"/>
              <w:widowControl/>
              <w:spacing w:line="180" w:lineRule="exact" w:before="108" w:after="0"/>
              <w:ind w:left="0" w:right="446" w:firstLine="0"/>
              <w:jc w:val="right"/>
            </w:pPr>
            <w:r>
              <w:rPr>
                <w:rFonts w:ascii="宋体" w:hAnsi="宋体" w:eastAsia="宋体"/>
                <w:b w:val="0"/>
                <w:i w:val="0"/>
                <w:color w:val="000000"/>
                <w:sz w:val="18"/>
              </w:rPr>
              <w:t xml:space="preserve">不适用 </w:t>
            </w:r>
          </w:p>
        </w:tc>
      </w:tr>
      <w:tr>
        <w:trPr>
          <w:trHeight w:hRule="exact" w:val="400"/>
        </w:trPr>
        <w:tc>
          <w:tcPr>
            <w:tcW w:type="dxa" w:w="1924"/>
            <w:tcBorders>
              <w:start w:sz="2.3999999999999773"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投资收益 </w:t>
            </w:r>
          </w:p>
        </w:tc>
        <w:tc>
          <w:tcPr>
            <w:tcW w:type="dxa" w:w="1406"/>
            <w:tcBorders>
              <w:start w:sz="1.599999999999909" w:val="single" w:color="#000000"/>
              <w:top w:sz="1.6000000000001364" w:val="single" w:color="#000000"/>
              <w:end w:sz="1.6000000000001364" w:val="single" w:color="#000000"/>
              <w:bottom w:sz="2.400000000000091" w:val="single" w:color="#000000"/>
            </w:tcBorders>
            <w:tcMar>
              <w:start w:w="0" w:type="dxa"/>
              <w:end w:w="0" w:type="dxa"/>
            </w:tcMar>
          </w:tcPr>
          <w:p>
            <w:pPr>
              <w:autoSpaceDN w:val="0"/>
              <w:autoSpaceDE w:val="0"/>
              <w:widowControl/>
              <w:spacing w:line="233" w:lineRule="auto" w:before="96" w:after="0"/>
              <w:ind w:left="262" w:right="0" w:firstLine="0"/>
              <w:jc w:val="left"/>
            </w:pPr>
            <w:r>
              <w:rPr>
                <w:rFonts w:ascii="Times New Roman" w:hAnsi="Times New Roman" w:eastAsia="Times New Roman"/>
                <w:b w:val="0"/>
                <w:i w:val="0"/>
                <w:color w:val="000000"/>
                <w:sz w:val="18"/>
              </w:rPr>
              <w:t>1,509,329,487</w:t>
            </w:r>
          </w:p>
        </w:tc>
        <w:tc>
          <w:tcPr>
            <w:tcW w:type="dxa" w:w="1482"/>
            <w:tcBorders>
              <w:start w:sz="1.6000000000001364"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96" w:after="0"/>
              <w:ind w:left="0" w:right="104" w:firstLine="0"/>
              <w:jc w:val="right"/>
            </w:pPr>
            <w:r>
              <w:rPr>
                <w:rFonts w:ascii="Times New Roman" w:hAnsi="Times New Roman" w:eastAsia="Times New Roman"/>
                <w:b w:val="0"/>
                <w:i w:val="0"/>
                <w:color w:val="000000"/>
                <w:sz w:val="18"/>
              </w:rPr>
              <w:t>47.88%</w:t>
            </w:r>
          </w:p>
        </w:tc>
        <w:tc>
          <w:tcPr>
            <w:tcW w:type="dxa" w:w="1792"/>
            <w:tcBorders>
              <w:start w:sz="1.599999999999909"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96" w:after="0"/>
              <w:ind w:left="0" w:right="106" w:firstLine="0"/>
              <w:jc w:val="right"/>
            </w:pPr>
            <w:r>
              <w:rPr>
                <w:rFonts w:ascii="Times New Roman" w:hAnsi="Times New Roman" w:eastAsia="Times New Roman"/>
                <w:b w:val="0"/>
                <w:i w:val="0"/>
                <w:color w:val="000000"/>
                <w:sz w:val="18"/>
              </w:rPr>
              <w:t>1,656,016,337</w:t>
            </w:r>
          </w:p>
        </w:tc>
        <w:tc>
          <w:tcPr>
            <w:tcW w:type="dxa" w:w="1414"/>
            <w:tcBorders>
              <w:start w:sz="2.400000000000091"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96" w:after="0"/>
              <w:ind w:left="0" w:right="100" w:firstLine="0"/>
              <w:jc w:val="right"/>
            </w:pPr>
            <w:r>
              <w:rPr>
                <w:rFonts w:ascii="Times New Roman" w:hAnsi="Times New Roman" w:eastAsia="Times New Roman"/>
                <w:b w:val="0"/>
                <w:i w:val="0"/>
                <w:color w:val="000000"/>
                <w:sz w:val="18"/>
              </w:rPr>
              <w:t>47.71%</w:t>
            </w:r>
          </w:p>
        </w:tc>
        <w:tc>
          <w:tcPr>
            <w:tcW w:type="dxa" w:w="1620"/>
            <w:tcBorders>
              <w:start w:sz="2.400000000000091" w:val="single" w:color="#000000"/>
              <w:top w:sz="1.6000000000001364"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-8.86%</w:t>
            </w:r>
          </w:p>
        </w:tc>
      </w:tr>
      <w:tr>
        <w:trPr>
          <w:trHeight w:hRule="exact" w:val="404"/>
        </w:trPr>
        <w:tc>
          <w:tcPr>
            <w:tcW w:type="dxa" w:w="19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公允价值变动损益 </w:t>
            </w:r>
          </w:p>
        </w:tc>
        <w:tc>
          <w:tcPr>
            <w:tcW w:type="dxa" w:w="1406"/>
            <w:tcBorders>
              <w:start w:sz="1.599999999999909"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100" w:after="0"/>
              <w:ind w:left="0" w:right="106" w:firstLine="0"/>
              <w:jc w:val="right"/>
            </w:pPr>
            <w:r>
              <w:rPr>
                <w:rFonts w:ascii="Times New Roman" w:hAnsi="Times New Roman" w:eastAsia="Times New Roman"/>
                <w:b w:val="0"/>
                <w:i w:val="0"/>
                <w:color w:val="000000"/>
                <w:sz w:val="18"/>
              </w:rPr>
              <w:t>108,177,437</w:t>
            </w:r>
          </w:p>
        </w:tc>
        <w:tc>
          <w:tcPr>
            <w:tcW w:type="dxa" w:w="148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100" w:after="0"/>
              <w:ind w:left="0" w:right="106" w:firstLine="0"/>
              <w:jc w:val="right"/>
            </w:pPr>
            <w:r>
              <w:rPr>
                <w:rFonts w:ascii="Times New Roman" w:hAnsi="Times New Roman" w:eastAsia="Times New Roman"/>
                <w:b w:val="0"/>
                <w:i w:val="0"/>
                <w:color w:val="000000"/>
                <w:sz w:val="18"/>
              </w:rPr>
              <w:t>3.43%</w:t>
            </w:r>
          </w:p>
        </w:tc>
        <w:tc>
          <w:tcPr>
            <w:tcW w:type="dxa" w:w="179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00" w:after="0"/>
              <w:ind w:left="0" w:right="106" w:firstLine="0"/>
              <w:jc w:val="right"/>
            </w:pPr>
            <w:r>
              <w:rPr>
                <w:rFonts w:ascii="Times New Roman" w:hAnsi="Times New Roman" w:eastAsia="Times New Roman"/>
                <w:b w:val="0"/>
                <w:i w:val="0"/>
                <w:color w:val="000000"/>
                <w:sz w:val="18"/>
              </w:rPr>
              <w:t>91,820,357</w:t>
            </w:r>
          </w:p>
        </w:tc>
        <w:tc>
          <w:tcPr>
            <w:tcW w:type="dxa" w:w="1414"/>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100" w:after="0"/>
              <w:ind w:left="0" w:right="102" w:firstLine="0"/>
              <w:jc w:val="right"/>
            </w:pPr>
            <w:r>
              <w:rPr>
                <w:rFonts w:ascii="Times New Roman" w:hAnsi="Times New Roman" w:eastAsia="Times New Roman"/>
                <w:b w:val="0"/>
                <w:i w:val="0"/>
                <w:color w:val="000000"/>
                <w:sz w:val="18"/>
              </w:rPr>
              <w:t>2.64%</w:t>
            </w:r>
          </w:p>
        </w:tc>
        <w:tc>
          <w:tcPr>
            <w:tcW w:type="dxa" w:w="162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17.81%</w:t>
            </w:r>
          </w:p>
        </w:tc>
      </w:tr>
      <w:tr>
        <w:trPr>
          <w:trHeight w:hRule="exact" w:val="402"/>
        </w:trPr>
        <w:tc>
          <w:tcPr>
            <w:tcW w:type="dxa" w:w="19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汇兑损益 </w:t>
            </w:r>
          </w:p>
        </w:tc>
        <w:tc>
          <w:tcPr>
            <w:tcW w:type="dxa" w:w="1406"/>
            <w:tcBorders>
              <w:start w:sz="1.599999999999909"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98" w:after="0"/>
              <w:ind w:left="0" w:right="104" w:firstLine="0"/>
              <w:jc w:val="right"/>
            </w:pPr>
            <w:r>
              <w:rPr>
                <w:rFonts w:ascii="Times New Roman" w:hAnsi="Times New Roman" w:eastAsia="Times New Roman"/>
                <w:b w:val="0"/>
                <w:i w:val="0"/>
                <w:color w:val="000000"/>
                <w:sz w:val="18"/>
              </w:rPr>
              <w:t>-13,252,089</w:t>
            </w:r>
          </w:p>
        </w:tc>
        <w:tc>
          <w:tcPr>
            <w:tcW w:type="dxa" w:w="1482"/>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-0.42%</w:t>
            </w:r>
          </w:p>
        </w:tc>
        <w:tc>
          <w:tcPr>
            <w:tcW w:type="dxa" w:w="179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-13,583,738</w:t>
            </w:r>
          </w:p>
        </w:tc>
        <w:tc>
          <w:tcPr>
            <w:tcW w:type="dxa" w:w="1414"/>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98" w:after="0"/>
              <w:ind w:left="0" w:right="102" w:firstLine="0"/>
              <w:jc w:val="right"/>
            </w:pPr>
            <w:r>
              <w:rPr>
                <w:rFonts w:ascii="Times New Roman" w:hAnsi="Times New Roman" w:eastAsia="Times New Roman"/>
                <w:b w:val="0"/>
                <w:i w:val="0"/>
                <w:color w:val="000000"/>
                <w:sz w:val="18"/>
              </w:rPr>
              <w:t>-0.39%</w:t>
            </w:r>
          </w:p>
        </w:tc>
        <w:tc>
          <w:tcPr>
            <w:tcW w:type="dxa" w:w="162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108" w:after="0"/>
              <w:ind w:left="0" w:right="446" w:firstLine="0"/>
              <w:jc w:val="right"/>
            </w:pPr>
            <w:r>
              <w:rPr>
                <w:rFonts w:ascii="宋体" w:hAnsi="宋体" w:eastAsia="宋体"/>
                <w:b w:val="0"/>
                <w:i w:val="0"/>
                <w:color w:val="000000"/>
                <w:sz w:val="18"/>
              </w:rPr>
              <w:t xml:space="preserve">不适用 </w:t>
            </w:r>
          </w:p>
        </w:tc>
      </w:tr>
      <w:tr>
        <w:trPr>
          <w:trHeight w:hRule="exact" w:val="402"/>
        </w:trPr>
        <w:tc>
          <w:tcPr>
            <w:tcW w:type="dxa" w:w="19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其他业务收入 </w:t>
            </w:r>
          </w:p>
        </w:tc>
        <w:tc>
          <w:tcPr>
            <w:tcW w:type="dxa" w:w="1406"/>
            <w:tcBorders>
              <w:start w:sz="1.599999999999909"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220,919,978</w:t>
            </w:r>
          </w:p>
        </w:tc>
        <w:tc>
          <w:tcPr>
            <w:tcW w:type="dxa" w:w="148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7.01%</w:t>
            </w:r>
          </w:p>
        </w:tc>
        <w:tc>
          <w:tcPr>
            <w:tcW w:type="dxa" w:w="179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598,500,556</w:t>
            </w:r>
          </w:p>
        </w:tc>
        <w:tc>
          <w:tcPr>
            <w:tcW w:type="dxa" w:w="1414"/>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8" w:after="0"/>
              <w:ind w:left="0" w:right="100" w:firstLine="0"/>
              <w:jc w:val="right"/>
            </w:pPr>
            <w:r>
              <w:rPr>
                <w:rFonts w:ascii="Times New Roman" w:hAnsi="Times New Roman" w:eastAsia="Times New Roman"/>
                <w:b w:val="0"/>
                <w:i w:val="0"/>
                <w:color w:val="000000"/>
                <w:sz w:val="18"/>
              </w:rPr>
              <w:t>17.24%</w:t>
            </w:r>
          </w:p>
        </w:tc>
        <w:tc>
          <w:tcPr>
            <w:tcW w:type="dxa" w:w="162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-63.09%</w:t>
            </w:r>
          </w:p>
        </w:tc>
      </w:tr>
      <w:tr>
        <w:trPr>
          <w:trHeight w:hRule="exact" w:val="400"/>
        </w:trPr>
        <w:tc>
          <w:tcPr>
            <w:tcW w:type="dxa" w:w="19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资产处置损益 </w:t>
            </w:r>
          </w:p>
        </w:tc>
        <w:tc>
          <w:tcPr>
            <w:tcW w:type="dxa" w:w="1406"/>
            <w:tcBorders>
              <w:start w:sz="1.599999999999909"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98" w:after="0"/>
              <w:ind w:left="0" w:right="104" w:firstLine="0"/>
              <w:jc w:val="right"/>
            </w:pPr>
            <w:r>
              <w:rPr>
                <w:rFonts w:ascii="Times New Roman" w:hAnsi="Times New Roman" w:eastAsia="Times New Roman"/>
                <w:b w:val="0"/>
                <w:i w:val="0"/>
                <w:color w:val="000000"/>
                <w:sz w:val="18"/>
              </w:rPr>
              <w:t>-414,796</w:t>
            </w:r>
          </w:p>
        </w:tc>
        <w:tc>
          <w:tcPr>
            <w:tcW w:type="dxa" w:w="1482"/>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-0.01%</w:t>
            </w:r>
          </w:p>
        </w:tc>
        <w:tc>
          <w:tcPr>
            <w:tcW w:type="dxa" w:w="179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194,809</w:t>
            </w:r>
          </w:p>
        </w:tc>
        <w:tc>
          <w:tcPr>
            <w:tcW w:type="dxa" w:w="1414"/>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98" w:after="0"/>
              <w:ind w:left="0" w:right="102" w:firstLine="0"/>
              <w:jc w:val="right"/>
            </w:pPr>
            <w:r>
              <w:rPr>
                <w:rFonts w:ascii="Times New Roman" w:hAnsi="Times New Roman" w:eastAsia="Times New Roman"/>
                <w:b w:val="0"/>
                <w:i w:val="0"/>
                <w:color w:val="000000"/>
                <w:sz w:val="18"/>
              </w:rPr>
              <w:t>0.01%</w:t>
            </w:r>
          </w:p>
        </w:tc>
        <w:tc>
          <w:tcPr>
            <w:tcW w:type="dxa" w:w="162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-312.92%</w:t>
            </w:r>
          </w:p>
        </w:tc>
      </w:tr>
      <w:tr>
        <w:trPr>
          <w:trHeight w:hRule="exact" w:val="404"/>
        </w:trPr>
        <w:tc>
          <w:tcPr>
            <w:tcW w:type="dxa" w:w="19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其他收益 </w:t>
            </w:r>
          </w:p>
        </w:tc>
        <w:tc>
          <w:tcPr>
            <w:tcW w:type="dxa" w:w="1406"/>
            <w:tcBorders>
              <w:start w:sz="1.599999999999909"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19,059,202</w:t>
            </w:r>
          </w:p>
        </w:tc>
        <w:tc>
          <w:tcPr>
            <w:tcW w:type="dxa" w:w="148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0.60%</w:t>
            </w:r>
          </w:p>
        </w:tc>
        <w:tc>
          <w:tcPr>
            <w:tcW w:type="dxa" w:w="179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24,193,184</w:t>
            </w:r>
          </w:p>
        </w:tc>
        <w:tc>
          <w:tcPr>
            <w:tcW w:type="dxa" w:w="1414"/>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0.70%</w:t>
            </w:r>
          </w:p>
        </w:tc>
        <w:tc>
          <w:tcPr>
            <w:tcW w:type="dxa" w:w="162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-21.22%</w:t>
            </w:r>
          </w:p>
        </w:tc>
      </w:tr>
      <w:tr>
        <w:trPr>
          <w:trHeight w:hRule="exact" w:val="402"/>
        </w:trPr>
        <w:tc>
          <w:tcPr>
            <w:tcW w:type="dxa" w:w="1924"/>
            <w:tcBorders>
              <w:start w:sz="2.3999999999999773"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营业总收入合计 </w:t>
            </w:r>
          </w:p>
        </w:tc>
        <w:tc>
          <w:tcPr>
            <w:tcW w:type="dxa" w:w="1406"/>
            <w:tcBorders>
              <w:start w:sz="1.599999999999909"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98" w:after="0"/>
              <w:ind w:left="262" w:right="0" w:firstLine="0"/>
              <w:jc w:val="left"/>
            </w:pPr>
            <w:r>
              <w:rPr>
                <w:rFonts w:ascii="Times New Roman" w:hAnsi="Times New Roman" w:eastAsia="Times New Roman"/>
                <w:b w:val="0"/>
                <w:i w:val="0"/>
                <w:color w:val="000000"/>
                <w:sz w:val="18"/>
              </w:rPr>
              <w:t>3,152,075,207</w:t>
            </w:r>
          </w:p>
        </w:tc>
        <w:tc>
          <w:tcPr>
            <w:tcW w:type="dxa" w:w="1482"/>
            <w:tcBorders>
              <w:start w:sz="1.6000000000001364"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0" w:right="16" w:firstLine="0"/>
              <w:jc w:val="right"/>
            </w:pPr>
            <w:r>
              <w:rPr>
                <w:rFonts w:ascii="宋体" w:hAnsi="宋体" w:eastAsia="宋体"/>
                <w:b w:val="0"/>
                <w:i w:val="0"/>
                <w:color w:val="000000"/>
                <w:sz w:val="18"/>
              </w:rPr>
              <w:t xml:space="preserve">100% </w:t>
            </w:r>
          </w:p>
        </w:tc>
        <w:tc>
          <w:tcPr>
            <w:tcW w:type="dxa" w:w="179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3,470,696,161</w:t>
            </w:r>
          </w:p>
        </w:tc>
        <w:tc>
          <w:tcPr>
            <w:tcW w:type="dxa" w:w="1414"/>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0" w:right="12" w:firstLine="0"/>
              <w:jc w:val="right"/>
            </w:pPr>
            <w:r>
              <w:rPr>
                <w:rFonts w:ascii="宋体" w:hAnsi="宋体" w:eastAsia="宋体"/>
                <w:b w:val="0"/>
                <w:i w:val="0"/>
                <w:color w:val="000000"/>
                <w:sz w:val="18"/>
              </w:rPr>
              <w:t xml:space="preserve">100% </w:t>
            </w:r>
          </w:p>
        </w:tc>
        <w:tc>
          <w:tcPr>
            <w:tcW w:type="dxa" w:w="162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-9.18%</w:t>
            </w:r>
          </w:p>
        </w:tc>
      </w:tr>
    </w:tbl>
    <w:p>
      <w:pPr>
        <w:autoSpaceDN w:val="0"/>
        <w:autoSpaceDE w:val="0"/>
        <w:widowControl/>
        <w:spacing w:line="222" w:lineRule="exact" w:before="112" w:after="0"/>
        <w:ind w:left="112" w:right="288" w:firstLine="0"/>
        <w:jc w:val="left"/>
      </w:pPr>
      <w:r>
        <w:rPr>
          <w:rFonts w:ascii="宋体" w:hAnsi="宋体" w:eastAsia="宋体"/>
          <w:b w:val="0"/>
          <w:i w:val="0"/>
          <w:color w:val="000000"/>
          <w:sz w:val="18"/>
        </w:rPr>
        <w:t>相关数据同比发生变动</w:t>
      </w:r>
      <w:r>
        <w:rPr>
          <w:rFonts w:ascii="Calibri" w:hAnsi="Calibri" w:eastAsia="Calibri"/>
          <w:b w:val="0"/>
          <w:i w:val="0"/>
          <w:color w:val="000000"/>
          <w:sz w:val="18"/>
        </w:rPr>
        <w:t>30%</w:t>
      </w:r>
      <w:r>
        <w:rPr>
          <w:rFonts w:ascii="宋体" w:hAnsi="宋体" w:eastAsia="宋体"/>
          <w:b w:val="0"/>
          <w:i w:val="0"/>
          <w:color w:val="000000"/>
          <w:sz w:val="18"/>
        </w:rPr>
        <w:t>以上的原因见本节“七、资产及负债状况分析中的</w:t>
      </w:r>
      <w:r>
        <w:rPr>
          <w:rFonts w:ascii="Calibri" w:hAnsi="Calibri" w:eastAsia="Calibri"/>
          <w:b w:val="0"/>
          <w:i w:val="0"/>
          <w:color w:val="000000"/>
          <w:sz w:val="18"/>
        </w:rPr>
        <w:t>4</w:t>
      </w:r>
      <w:r>
        <w:rPr>
          <w:rFonts w:ascii="宋体" w:hAnsi="宋体" w:eastAsia="宋体"/>
          <w:b w:val="0"/>
          <w:i w:val="0"/>
          <w:color w:val="000000"/>
          <w:sz w:val="18"/>
        </w:rPr>
        <w:t>、比较式财务报表中变动幅度超过</w:t>
      </w:r>
      <w:r>
        <w:rPr>
          <w:rFonts w:ascii="Calibri" w:hAnsi="Calibri" w:eastAsia="Calibri"/>
          <w:b w:val="0"/>
          <w:i w:val="0"/>
          <w:color w:val="000000"/>
          <w:sz w:val="18"/>
        </w:rPr>
        <w:t>30%</w:t>
      </w:r>
      <w:r>
        <w:rPr>
          <w:rFonts w:ascii="宋体" w:hAnsi="宋体" w:eastAsia="宋体"/>
          <w:b w:val="0"/>
          <w:i w:val="0"/>
          <w:color w:val="000000"/>
          <w:sz w:val="18"/>
        </w:rPr>
        <w:t xml:space="preserve">以上项目的情况” </w:t>
      </w:r>
    </w:p>
    <w:p>
      <w:pPr>
        <w:autoSpaceDN w:val="0"/>
        <w:autoSpaceDE w:val="0"/>
        <w:widowControl/>
        <w:spacing w:line="180" w:lineRule="exact" w:before="396" w:after="0"/>
        <w:ind w:left="112" w:right="0" w:firstLine="0"/>
        <w:jc w:val="left"/>
      </w:pPr>
      <w:r>
        <w:rPr>
          <w:rFonts w:ascii="宋体" w:hAnsi="宋体" w:eastAsia="宋体"/>
          <w:b w:val="0"/>
          <w:i w:val="0"/>
          <w:color w:val="000000"/>
          <w:sz w:val="18"/>
        </w:rPr>
        <w:t xml:space="preserve">（2） 公司已签订的重大销售合同、重大采购合同情况 </w:t>
      </w:r>
    </w:p>
    <w:p>
      <w:pPr>
        <w:autoSpaceDN w:val="0"/>
        <w:autoSpaceDE w:val="0"/>
        <w:widowControl/>
        <w:spacing w:line="180" w:lineRule="exact" w:before="364"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394" w:after="0"/>
        <w:ind w:left="112" w:right="0" w:firstLine="0"/>
        <w:jc w:val="left"/>
      </w:pPr>
      <w:r>
        <w:rPr>
          <w:rFonts w:ascii="宋体" w:hAnsi="宋体" w:eastAsia="宋体"/>
          <w:b w:val="0"/>
          <w:i w:val="0"/>
          <w:color w:val="000000"/>
          <w:sz w:val="18"/>
        </w:rPr>
        <w:t xml:space="preserve">（3） 营业成本构成 </w:t>
      </w:r>
    </w:p>
    <w:p>
      <w:pPr>
        <w:autoSpaceDN w:val="0"/>
        <w:autoSpaceDE w:val="0"/>
        <w:widowControl/>
        <w:spacing w:line="210" w:lineRule="exact" w:before="516" w:after="0"/>
        <w:ind w:left="532" w:right="0" w:firstLine="0"/>
        <w:jc w:val="left"/>
      </w:pPr>
      <w:r>
        <w:rPr>
          <w:rFonts w:ascii="宋体" w:hAnsi="宋体" w:eastAsia="宋体"/>
          <w:b w:val="0"/>
          <w:i w:val="0"/>
          <w:color w:val="000000"/>
          <w:sz w:val="21"/>
        </w:rPr>
        <w:t xml:space="preserve">报告期内，公司营业支出 232,352.03 万元，同比下降13.99%。其中，税金及附加同比减少 </w:t>
      </w:r>
    </w:p>
    <w:p>
      <w:pPr>
        <w:autoSpaceDN w:val="0"/>
        <w:autoSpaceDE w:val="0"/>
        <w:widowControl/>
        <w:spacing w:line="212" w:lineRule="exact" w:before="250" w:after="0"/>
        <w:ind w:left="112" w:right="0" w:firstLine="0"/>
        <w:jc w:val="left"/>
      </w:pPr>
      <w:r>
        <w:rPr>
          <w:rFonts w:ascii="宋体" w:hAnsi="宋体" w:eastAsia="宋体"/>
          <w:b w:val="0"/>
          <w:i w:val="0"/>
          <w:color w:val="000000"/>
          <w:sz w:val="21"/>
        </w:rPr>
        <w:t>447.39 万元，同比下降20.16%；业务及管理费同比增加 3,013.89 万元，同比增长1.47%；信用减值</w:t>
      </w:r>
    </w:p>
    <w:p>
      <w:pPr>
        <w:autoSpaceDN w:val="0"/>
        <w:autoSpaceDE w:val="0"/>
        <w:widowControl/>
        <w:spacing w:line="210" w:lineRule="exact" w:before="250" w:after="0"/>
        <w:ind w:left="112" w:right="0" w:firstLine="0"/>
        <w:jc w:val="left"/>
      </w:pPr>
      <w:r>
        <w:rPr>
          <w:rFonts w:ascii="宋体" w:hAnsi="宋体" w:eastAsia="宋体"/>
          <w:b w:val="0"/>
          <w:i w:val="0"/>
          <w:color w:val="000000"/>
          <w:sz w:val="21"/>
        </w:rPr>
        <w:t>损失同比减少 3,592.77 万元，同比下降58.54%；其他业务成本同比减少 36,772.75 万元，同比下降</w:t>
      </w:r>
    </w:p>
    <w:p>
      <w:pPr>
        <w:autoSpaceDN w:val="0"/>
        <w:tabs>
          <w:tab w:pos="8844" w:val="left"/>
        </w:tabs>
        <w:autoSpaceDE w:val="0"/>
        <w:widowControl/>
        <w:spacing w:line="318" w:lineRule="exact" w:before="142" w:after="64"/>
        <w:ind w:left="112" w:right="144" w:firstLine="0"/>
        <w:jc w:val="left"/>
      </w:pPr>
      <w:r>
        <w:rPr>
          <w:rFonts w:ascii="宋体" w:hAnsi="宋体" w:eastAsia="宋体"/>
          <w:b w:val="0"/>
          <w:i w:val="0"/>
          <w:color w:val="000000"/>
          <w:sz w:val="21"/>
        </w:rPr>
        <w:t xml:space="preserve">64.60%，主要为子公司仓单业务规模减少所致。 </w:t>
      </w:r>
      <w:r>
        <w:br/>
      </w:r>
      <w:r>
        <w:tab/>
      </w: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633"/>
        <w:gridCol w:w="1633"/>
        <w:gridCol w:w="1633"/>
        <w:gridCol w:w="1633"/>
        <w:gridCol w:w="1633"/>
        <w:gridCol w:w="1633"/>
      </w:tblGrid>
      <w:tr>
        <w:trPr>
          <w:trHeight w:hRule="exact" w:val="404"/>
        </w:trPr>
        <w:tc>
          <w:tcPr>
            <w:tcW w:type="dxa" w:w="1608"/>
            <w:vMerge w:val="restart"/>
            <w:tcBorders>
              <w:start w:sz="2.3999999999999773" w:val="single" w:color="#000000"/>
              <w:top w:sz="2.399999999999636" w:val="single" w:color="#000000"/>
              <w:end w:sz="2.3999999999998636" w:val="single" w:color="#000000"/>
              <w:bottom w:sz="2.399999999999636" w:val="single" w:color="#000000"/>
            </w:tcBorders>
            <w:shd w:fill="d2d2d2"/>
            <w:tcMar>
              <w:start w:w="0" w:type="dxa"/>
              <w:end w:w="0" w:type="dxa"/>
            </w:tcMar>
            <w:tcMar>
              <w:start w:w="0" w:type="dxa"/>
              <w:end w:w="0" w:type="dxa"/>
            </w:tcMar>
          </w:tcPr>
          <w:p>
            <w:pPr>
              <w:autoSpaceDN w:val="0"/>
              <w:tabs>
                <w:tab w:pos="712" w:val="left"/>
              </w:tabs>
              <w:autoSpaceDE w:val="0"/>
              <w:widowControl/>
              <w:spacing w:line="240" w:lineRule="exact" w:before="136" w:after="0"/>
              <w:ind w:left="172" w:right="144" w:firstLine="0"/>
              <w:jc w:val="left"/>
            </w:pPr>
            <w:r>
              <w:rPr>
                <w:rFonts w:ascii="宋体" w:hAnsi="宋体" w:eastAsia="宋体"/>
                <w:b w:val="0"/>
                <w:i w:val="0"/>
                <w:color w:val="000000"/>
                <w:sz w:val="18"/>
              </w:rPr>
              <w:t>营业成本构成项</w:t>
            </w:r>
            <w:r>
              <w:tab/>
            </w:r>
            <w:r>
              <w:rPr>
                <w:rFonts w:ascii="宋体" w:hAnsi="宋体" w:eastAsia="宋体"/>
                <w:b w:val="0"/>
                <w:i w:val="0"/>
                <w:color w:val="000000"/>
                <w:sz w:val="18"/>
              </w:rPr>
              <w:t xml:space="preserve">目 </w:t>
            </w:r>
          </w:p>
        </w:tc>
        <w:tc>
          <w:tcPr>
            <w:tcW w:type="dxa" w:w="3212"/>
            <w:gridSpan w:val="2"/>
            <w:tcBorders>
              <w:start w:sz="2.3999999999998636" w:val="single" w:color="#000000"/>
              <w:top w:sz="2.399999999999636" w:val="single" w:color="#000000"/>
              <w:end w:sz="2.399999999999636" w:val="single" w:color="#000000"/>
              <w:bottom w:sz="1.5999999999994543" w:val="single" w:color="#000000"/>
            </w:tcBorders>
            <w:shd w:fill="d2d2d2"/>
            <w:tcMar>
              <w:start w:w="0" w:type="dxa"/>
              <w:end w:w="0" w:type="dxa"/>
            </w:tcMar>
            <w:tcMar>
              <w:start w:w="0" w:type="dxa"/>
              <w:end w:w="0" w:type="dxa"/>
            </w:tcMar>
          </w:tcPr>
          <w:p>
            <w:pPr>
              <w:autoSpaceDN w:val="0"/>
              <w:autoSpaceDE w:val="0"/>
              <w:widowControl/>
              <w:spacing w:line="180" w:lineRule="exact" w:before="116" w:after="0"/>
              <w:ind w:left="0" w:right="1220" w:firstLine="0"/>
              <w:jc w:val="right"/>
            </w:pPr>
            <w:r>
              <w:rPr>
                <w:rFonts w:ascii="宋体" w:hAnsi="宋体" w:eastAsia="宋体"/>
                <w:b w:val="0"/>
                <w:i w:val="0"/>
                <w:color w:val="000000"/>
                <w:sz w:val="18"/>
              </w:rPr>
              <w:t xml:space="preserve">2024 年 </w:t>
            </w:r>
          </w:p>
        </w:tc>
        <w:tc>
          <w:tcPr>
            <w:tcW w:type="dxa" w:w="3214"/>
            <w:gridSpan w:val="2"/>
            <w:tcBorders>
              <w:start w:sz="2.399999999999636" w:val="single" w:color="#000000"/>
              <w:top w:sz="2.399999999999636" w:val="single" w:color="#000000"/>
              <w:end w:sz="2.400000000000091" w:val="single" w:color="#000000"/>
              <w:bottom w:sz="1.5999999999994543" w:val="single" w:color="#000000"/>
            </w:tcBorders>
            <w:shd w:fill="d2d2d2"/>
            <w:tcMar>
              <w:start w:w="0" w:type="dxa"/>
              <w:end w:w="0" w:type="dxa"/>
            </w:tcMar>
            <w:tcMar>
              <w:start w:w="0" w:type="dxa"/>
              <w:end w:w="0" w:type="dxa"/>
            </w:tcMar>
          </w:tcPr>
          <w:p>
            <w:pPr>
              <w:autoSpaceDN w:val="0"/>
              <w:autoSpaceDE w:val="0"/>
              <w:widowControl/>
              <w:spacing w:line="180" w:lineRule="exact" w:before="116" w:after="0"/>
              <w:ind w:left="0" w:right="1222" w:firstLine="0"/>
              <w:jc w:val="right"/>
            </w:pPr>
            <w:r>
              <w:rPr>
                <w:rFonts w:ascii="宋体" w:hAnsi="宋体" w:eastAsia="宋体"/>
                <w:b w:val="0"/>
                <w:i w:val="0"/>
                <w:color w:val="000000"/>
                <w:sz w:val="18"/>
              </w:rPr>
              <w:t xml:space="preserve">2023 年 </w:t>
            </w:r>
          </w:p>
        </w:tc>
        <w:tc>
          <w:tcPr>
            <w:tcW w:type="dxa" w:w="1604"/>
            <w:vMerge w:val="restart"/>
            <w:tcBorders>
              <w:start w:sz="2.400000000000091" w:val="single" w:color="#000000"/>
              <w:top w:sz="2.399999999999636" w:val="single" w:color="#000000"/>
              <w:end w:sz="2.399999999999636" w:val="single" w:color="#000000"/>
              <w:bottom w:sz="2.399999999999636" w:val="single" w:color="#000000"/>
            </w:tcBorders>
            <w:shd w:fill="d2d2d2"/>
            <w:tcMar>
              <w:start w:w="0" w:type="dxa"/>
              <w:end w:w="0" w:type="dxa"/>
            </w:tcMar>
            <w:tcMar>
              <w:start w:w="0" w:type="dxa"/>
              <w:end w:w="0" w:type="dxa"/>
            </w:tcMar>
          </w:tcPr>
          <w:p>
            <w:pPr>
              <w:autoSpaceDN w:val="0"/>
              <w:autoSpaceDE w:val="0"/>
              <w:widowControl/>
              <w:spacing w:line="180" w:lineRule="exact" w:before="316" w:after="0"/>
              <w:ind w:left="0" w:right="350" w:firstLine="0"/>
              <w:jc w:val="right"/>
            </w:pPr>
            <w:r>
              <w:rPr>
                <w:rFonts w:ascii="宋体" w:hAnsi="宋体" w:eastAsia="宋体"/>
                <w:b w:val="0"/>
                <w:i w:val="0"/>
                <w:color w:val="000000"/>
                <w:sz w:val="18"/>
              </w:rPr>
              <w:t xml:space="preserve">同比增减 </w:t>
            </w:r>
          </w:p>
        </w:tc>
      </w:tr>
      <w:tr>
        <w:trPr>
          <w:trHeight w:hRule="exact" w:val="402"/>
        </w:trPr>
        <w:tc>
          <w:tcPr>
            <w:tcW w:type="dxa" w:w="1633"/>
            <w:vMerge/>
            <w:tcBorders>
              <w:start w:sz="2.3999999999999773" w:val="single" w:color="#000000"/>
              <w:top w:sz="2.399999999999636" w:val="single" w:color="#000000"/>
              <w:end w:sz="2.3999999999998636" w:val="single" w:color="#000000"/>
              <w:bottom w:sz="2.399999999999636" w:val="single" w:color="#000000"/>
            </w:tcBorders>
          </w:tcPr>
          <w:p/>
        </w:tc>
        <w:tc>
          <w:tcPr>
            <w:tcW w:type="dxa" w:w="1604"/>
            <w:tcBorders>
              <w:start w:sz="2.3999999999998636" w:val="single" w:color="#000000"/>
              <w:top w:sz="1.5999999999994543"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528" w:firstLine="0"/>
              <w:jc w:val="right"/>
            </w:pPr>
            <w:r>
              <w:rPr>
                <w:rFonts w:ascii="宋体" w:hAnsi="宋体" w:eastAsia="宋体"/>
                <w:b w:val="0"/>
                <w:i w:val="0"/>
                <w:color w:val="000000"/>
                <w:sz w:val="18"/>
              </w:rPr>
              <w:t xml:space="preserve">金额 </w:t>
            </w:r>
          </w:p>
        </w:tc>
        <w:tc>
          <w:tcPr>
            <w:tcW w:type="dxa" w:w="1608"/>
            <w:tcBorders>
              <w:start w:sz="2.400000000000091" w:val="single" w:color="#000000"/>
              <w:top w:sz="1.5999999999994543" w:val="single" w:color="#000000"/>
              <w:end w:sz="2.399999999999636"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172" w:right="0" w:firstLine="0"/>
              <w:jc w:val="left"/>
            </w:pPr>
            <w:r>
              <w:rPr>
                <w:rFonts w:ascii="宋体" w:hAnsi="宋体" w:eastAsia="宋体"/>
                <w:b w:val="0"/>
                <w:i w:val="0"/>
                <w:color w:val="000000"/>
                <w:sz w:val="18"/>
              </w:rPr>
              <w:t xml:space="preserve">占营业成本比重 </w:t>
            </w:r>
          </w:p>
        </w:tc>
        <w:tc>
          <w:tcPr>
            <w:tcW w:type="dxa" w:w="1608"/>
            <w:tcBorders>
              <w:start w:sz="2.399999999999636" w:val="single" w:color="#000000"/>
              <w:top w:sz="1.5999999999994543"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532" w:firstLine="0"/>
              <w:jc w:val="right"/>
            </w:pPr>
            <w:r>
              <w:rPr>
                <w:rFonts w:ascii="宋体" w:hAnsi="宋体" w:eastAsia="宋体"/>
                <w:b w:val="0"/>
                <w:i w:val="0"/>
                <w:color w:val="000000"/>
                <w:sz w:val="18"/>
              </w:rPr>
              <w:t xml:space="preserve">金额 </w:t>
            </w:r>
          </w:p>
        </w:tc>
        <w:tc>
          <w:tcPr>
            <w:tcW w:type="dxa" w:w="1606"/>
            <w:tcBorders>
              <w:start w:sz="1.599999999999909" w:val="single" w:color="#000000"/>
              <w:top w:sz="1.5999999999994543"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170" w:right="0" w:firstLine="0"/>
              <w:jc w:val="left"/>
            </w:pPr>
            <w:r>
              <w:rPr>
                <w:rFonts w:ascii="宋体" w:hAnsi="宋体" w:eastAsia="宋体"/>
                <w:b w:val="0"/>
                <w:i w:val="0"/>
                <w:color w:val="000000"/>
                <w:sz w:val="18"/>
              </w:rPr>
              <w:t xml:space="preserve">占营业成本比重 </w:t>
            </w:r>
          </w:p>
        </w:tc>
        <w:tc>
          <w:tcPr>
            <w:tcW w:type="dxa" w:w="1633"/>
            <w:vMerge/>
            <w:tcBorders>
              <w:start w:sz="2.400000000000091" w:val="single" w:color="#000000"/>
              <w:top w:sz="2.399999999999636" w:val="single" w:color="#000000"/>
              <w:end w:sz="2.399999999999636" w:val="single" w:color="#000000"/>
              <w:bottom w:sz="2.399999999999636" w:val="single" w:color="#000000"/>
            </w:tcBorders>
          </w:tcPr>
          <w:p/>
        </w:tc>
      </w:tr>
      <w:tr>
        <w:trPr>
          <w:trHeight w:hRule="exact" w:val="402"/>
        </w:trPr>
        <w:tc>
          <w:tcPr>
            <w:tcW w:type="dxa" w:w="1608"/>
            <w:tcBorders>
              <w:start w:sz="2.3999999999999773" w:val="single" w:color="#000000"/>
              <w:top w:sz="2.399999999999636"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税金及附加 </w:t>
            </w:r>
          </w:p>
        </w:tc>
        <w:tc>
          <w:tcPr>
            <w:tcW w:type="dxa" w:w="1604"/>
            <w:tcBorders>
              <w:start w:sz="2.3999999999998636"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17,721,634</w:t>
            </w:r>
          </w:p>
        </w:tc>
        <w:tc>
          <w:tcPr>
            <w:tcW w:type="dxa" w:w="1608"/>
            <w:tcBorders>
              <w:start w:sz="2.400000000000091"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98" w:after="0"/>
              <w:ind w:left="0" w:right="104" w:firstLine="0"/>
              <w:jc w:val="right"/>
            </w:pPr>
            <w:r>
              <w:rPr>
                <w:rFonts w:ascii="Times New Roman" w:hAnsi="Times New Roman" w:eastAsia="Times New Roman"/>
                <w:b w:val="0"/>
                <w:i w:val="0"/>
                <w:color w:val="000000"/>
                <w:sz w:val="18"/>
              </w:rPr>
              <w:t>0.76%</w:t>
            </w:r>
          </w:p>
        </w:tc>
        <w:tc>
          <w:tcPr>
            <w:tcW w:type="dxa" w:w="1608"/>
            <w:tcBorders>
              <w:start w:sz="2.399999999999636"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22,195,522</w:t>
            </w:r>
          </w:p>
        </w:tc>
        <w:tc>
          <w:tcPr>
            <w:tcW w:type="dxa" w:w="1606"/>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0.82%</w:t>
            </w:r>
          </w:p>
        </w:tc>
        <w:tc>
          <w:tcPr>
            <w:tcW w:type="dxa" w:w="1604"/>
            <w:tcBorders>
              <w:start w:sz="2.400000000000091"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-20.16%</w:t>
            </w:r>
          </w:p>
        </w:tc>
      </w:tr>
      <w:tr>
        <w:trPr>
          <w:trHeight w:hRule="exact" w:val="400"/>
        </w:trPr>
        <w:tc>
          <w:tcPr>
            <w:tcW w:type="dxa" w:w="1608"/>
            <w:tcBorders>
              <w:start w:sz="2.3999999999999773" w:val="single" w:color="#000000"/>
              <w:top w:sz="1.6000000000003638" w:val="single" w:color="#000000"/>
              <w:end w:sz="2.3999999999998636" w:val="single" w:color="#000000"/>
              <w:bottom w:sz="2.4000000000005457"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业务及管理费 </w:t>
            </w:r>
          </w:p>
        </w:tc>
        <w:tc>
          <w:tcPr>
            <w:tcW w:type="dxa" w:w="1604"/>
            <w:tcBorders>
              <w:start w:sz="2.3999999999998636"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3" w:lineRule="auto" w:before="96" w:after="0"/>
              <w:ind w:left="0" w:right="104" w:firstLine="0"/>
              <w:jc w:val="right"/>
            </w:pPr>
            <w:r>
              <w:rPr>
                <w:rFonts w:ascii="Times New Roman" w:hAnsi="Times New Roman" w:eastAsia="Times New Roman"/>
                <w:b w:val="0"/>
                <w:i w:val="0"/>
                <w:color w:val="000000"/>
                <w:sz w:val="18"/>
              </w:rPr>
              <w:t>2,078,801,870</w:t>
            </w:r>
          </w:p>
        </w:tc>
        <w:tc>
          <w:tcPr>
            <w:tcW w:type="dxa" w:w="1608"/>
            <w:tcBorders>
              <w:start w:sz="2.400000000000091" w:val="single" w:color="#000000"/>
              <w:top w:sz="1.6000000000003638" w:val="single" w:color="#000000"/>
              <w:end w:sz="2.399999999999636" w:val="single" w:color="#000000"/>
              <w:bottom w:sz="2.4000000000005457" w:val="single" w:color="#000000"/>
            </w:tcBorders>
            <w:tcMar>
              <w:start w:w="0" w:type="dxa"/>
              <w:end w:w="0" w:type="dxa"/>
            </w:tcMar>
          </w:tcPr>
          <w:p>
            <w:pPr>
              <w:autoSpaceDN w:val="0"/>
              <w:autoSpaceDE w:val="0"/>
              <w:widowControl/>
              <w:spacing w:line="233" w:lineRule="auto" w:before="96" w:after="0"/>
              <w:ind w:left="0" w:right="102" w:firstLine="0"/>
              <w:jc w:val="right"/>
            </w:pPr>
            <w:r>
              <w:rPr>
                <w:rFonts w:ascii="Times New Roman" w:hAnsi="Times New Roman" w:eastAsia="Times New Roman"/>
                <w:b w:val="0"/>
                <w:i w:val="0"/>
                <w:color w:val="000000"/>
                <w:sz w:val="18"/>
              </w:rPr>
              <w:t>89.47%</w:t>
            </w:r>
          </w:p>
        </w:tc>
        <w:tc>
          <w:tcPr>
            <w:tcW w:type="dxa" w:w="1608"/>
            <w:tcBorders>
              <w:start w:sz="2.399999999999636" w:val="single" w:color="#000000"/>
              <w:top w:sz="1.6000000000003638"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96" w:after="0"/>
              <w:ind w:left="0" w:right="106" w:firstLine="0"/>
              <w:jc w:val="right"/>
            </w:pPr>
            <w:r>
              <w:rPr>
                <w:rFonts w:ascii="Times New Roman" w:hAnsi="Times New Roman" w:eastAsia="Times New Roman"/>
                <w:b w:val="0"/>
                <w:i w:val="0"/>
                <w:color w:val="000000"/>
                <w:sz w:val="18"/>
              </w:rPr>
              <w:t>2,048,662,935</w:t>
            </w:r>
          </w:p>
        </w:tc>
        <w:tc>
          <w:tcPr>
            <w:tcW w:type="dxa" w:w="1606"/>
            <w:tcBorders>
              <w:start w:sz="1.599999999999909"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3" w:lineRule="auto" w:before="96" w:after="0"/>
              <w:ind w:left="0" w:right="104" w:firstLine="0"/>
              <w:jc w:val="right"/>
            </w:pPr>
            <w:r>
              <w:rPr>
                <w:rFonts w:ascii="Times New Roman" w:hAnsi="Times New Roman" w:eastAsia="Times New Roman"/>
                <w:b w:val="0"/>
                <w:i w:val="0"/>
                <w:color w:val="000000"/>
                <w:sz w:val="18"/>
              </w:rPr>
              <w:t>75.84%</w:t>
            </w:r>
          </w:p>
        </w:tc>
        <w:tc>
          <w:tcPr>
            <w:tcW w:type="dxa" w:w="1604"/>
            <w:tcBorders>
              <w:start w:sz="2.400000000000091" w:val="single" w:color="#000000"/>
              <w:top w:sz="1.6000000000003638" w:val="single" w:color="#000000"/>
              <w:end w:sz="2.399999999999636" w:val="single" w:color="#000000"/>
              <w:bottom w:sz="2.4000000000005457" w:val="single" w:color="#000000"/>
            </w:tcBorders>
            <w:tcMar>
              <w:start w:w="0" w:type="dxa"/>
              <w:end w:w="0" w:type="dxa"/>
            </w:tcMar>
          </w:tcPr>
          <w:p>
            <w:pPr>
              <w:autoSpaceDN w:val="0"/>
              <w:autoSpaceDE w:val="0"/>
              <w:widowControl/>
              <w:spacing w:line="233" w:lineRule="auto" w:before="96" w:after="0"/>
              <w:ind w:left="0" w:right="104" w:firstLine="0"/>
              <w:jc w:val="right"/>
            </w:pPr>
            <w:r>
              <w:rPr>
                <w:rFonts w:ascii="Times New Roman" w:hAnsi="Times New Roman" w:eastAsia="Times New Roman"/>
                <w:b w:val="0"/>
                <w:i w:val="0"/>
                <w:color w:val="000000"/>
                <w:sz w:val="18"/>
              </w:rPr>
              <w:t>1.47%</w:t>
            </w:r>
          </w:p>
        </w:tc>
      </w:tr>
      <w:tr>
        <w:trPr>
          <w:trHeight w:hRule="exact" w:val="404"/>
        </w:trPr>
        <w:tc>
          <w:tcPr>
            <w:tcW w:type="dxa" w:w="1608"/>
            <w:tcBorders>
              <w:start w:sz="2.3999999999999773" w:val="single" w:color="#000000"/>
              <w:top w:sz="2.4000000000005457" w:val="single" w:color="#000000"/>
              <w:end w:sz="2.3999999999998636" w:val="single" w:color="#000000"/>
              <w:bottom w:sz="1.5999999999994543" w:val="single" w:color="#000000"/>
            </w:tcBorders>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信用减值损失 </w:t>
            </w:r>
          </w:p>
        </w:tc>
        <w:tc>
          <w:tcPr>
            <w:tcW w:type="dxa" w:w="1604"/>
            <w:tcBorders>
              <w:start w:sz="2.3999999999998636" w:val="single" w:color="#000000"/>
              <w:top w:sz="2.4000000000005457"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25,443,795</w:t>
            </w:r>
          </w:p>
        </w:tc>
        <w:tc>
          <w:tcPr>
            <w:tcW w:type="dxa" w:w="1608"/>
            <w:tcBorders>
              <w:start w:sz="2.400000000000091"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98" w:after="0"/>
              <w:ind w:left="0" w:right="104" w:firstLine="0"/>
              <w:jc w:val="right"/>
            </w:pPr>
            <w:r>
              <w:rPr>
                <w:rFonts w:ascii="Times New Roman" w:hAnsi="Times New Roman" w:eastAsia="Times New Roman"/>
                <w:b w:val="0"/>
                <w:i w:val="0"/>
                <w:color w:val="000000"/>
                <w:sz w:val="18"/>
              </w:rPr>
              <w:t>1.10%</w:t>
            </w:r>
          </w:p>
        </w:tc>
        <w:tc>
          <w:tcPr>
            <w:tcW w:type="dxa" w:w="1608"/>
            <w:tcBorders>
              <w:start w:sz="2.399999999999636"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61,371,540</w:t>
            </w:r>
          </w:p>
        </w:tc>
        <w:tc>
          <w:tcPr>
            <w:tcW w:type="dxa" w:w="1606"/>
            <w:tcBorders>
              <w:start w:sz="1.599999999999909" w:val="single" w:color="#000000"/>
              <w:top w:sz="2.4000000000005457"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2.27%</w:t>
            </w:r>
          </w:p>
        </w:tc>
        <w:tc>
          <w:tcPr>
            <w:tcW w:type="dxa" w:w="1604"/>
            <w:tcBorders>
              <w:start w:sz="2.400000000000091"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-58.54%</w:t>
            </w:r>
          </w:p>
        </w:tc>
      </w:tr>
      <w:tr>
        <w:trPr>
          <w:trHeight w:hRule="exact" w:val="402"/>
        </w:trPr>
        <w:tc>
          <w:tcPr>
            <w:tcW w:type="dxa" w:w="1608"/>
            <w:tcBorders>
              <w:start w:sz="2.3999999999999773" w:val="single" w:color="#000000"/>
              <w:top w:sz="1.5999999999994543" w:val="single" w:color="#000000"/>
              <w:end w:sz="2.3999999999998636" w:val="single" w:color="#000000"/>
              <w:bottom w:sz="2.399999999999636" w:val="single" w:color="#000000"/>
            </w:tcBorders>
            <w:tcMar>
              <w:start w:w="0" w:type="dxa"/>
              <w:end w:w="0" w:type="dxa"/>
            </w:tcMar>
          </w:tcPr>
          <w:p>
            <w:pPr>
              <w:autoSpaceDN w:val="0"/>
              <w:autoSpaceDE w:val="0"/>
              <w:widowControl/>
              <w:spacing w:line="180" w:lineRule="exact" w:before="108" w:after="0"/>
              <w:ind w:left="108" w:right="0" w:firstLine="0"/>
              <w:jc w:val="left"/>
            </w:pPr>
            <w:r>
              <w:rPr>
                <w:rFonts w:ascii="宋体" w:hAnsi="宋体" w:eastAsia="宋体"/>
                <w:b w:val="0"/>
                <w:i w:val="0"/>
                <w:color w:val="000000"/>
                <w:sz w:val="18"/>
              </w:rPr>
              <w:t xml:space="preserve">其他业务成本 </w:t>
            </w:r>
          </w:p>
        </w:tc>
        <w:tc>
          <w:tcPr>
            <w:tcW w:type="dxa" w:w="1604"/>
            <w:tcBorders>
              <w:start w:sz="2.3999999999998636" w:val="single" w:color="#000000"/>
              <w:top w:sz="1.5999999999994543"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98" w:after="0"/>
              <w:ind w:left="0" w:right="102" w:firstLine="0"/>
              <w:jc w:val="right"/>
            </w:pPr>
            <w:r>
              <w:rPr>
                <w:rFonts w:ascii="Times New Roman" w:hAnsi="Times New Roman" w:eastAsia="Times New Roman"/>
                <w:b w:val="0"/>
                <w:i w:val="0"/>
                <w:color w:val="000000"/>
                <w:sz w:val="18"/>
              </w:rPr>
              <w:t>201,553,048</w:t>
            </w:r>
          </w:p>
        </w:tc>
        <w:tc>
          <w:tcPr>
            <w:tcW w:type="dxa" w:w="1608"/>
            <w:tcBorders>
              <w:start w:sz="2.400000000000091" w:val="single" w:color="#000000"/>
              <w:top w:sz="1.5999999999994543"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98" w:after="0"/>
              <w:ind w:left="0" w:right="104" w:firstLine="0"/>
              <w:jc w:val="right"/>
            </w:pPr>
            <w:r>
              <w:rPr>
                <w:rFonts w:ascii="Times New Roman" w:hAnsi="Times New Roman" w:eastAsia="Times New Roman"/>
                <w:b w:val="0"/>
                <w:i w:val="0"/>
                <w:color w:val="000000"/>
                <w:sz w:val="18"/>
              </w:rPr>
              <w:t>8.67%</w:t>
            </w:r>
          </w:p>
        </w:tc>
        <w:tc>
          <w:tcPr>
            <w:tcW w:type="dxa" w:w="1608"/>
            <w:tcBorders>
              <w:start w:sz="2.399999999999636" w:val="single" w:color="#000000"/>
              <w:top w:sz="1.5999999999994543"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98" w:after="0"/>
              <w:ind w:left="0" w:right="106" w:firstLine="0"/>
              <w:jc w:val="right"/>
            </w:pPr>
            <w:r>
              <w:rPr>
                <w:rFonts w:ascii="Times New Roman" w:hAnsi="Times New Roman" w:eastAsia="Times New Roman"/>
                <w:b w:val="0"/>
                <w:i w:val="0"/>
                <w:color w:val="000000"/>
                <w:sz w:val="18"/>
              </w:rPr>
              <w:t>569,280,571</w:t>
            </w:r>
          </w:p>
        </w:tc>
        <w:tc>
          <w:tcPr>
            <w:tcW w:type="dxa" w:w="1606"/>
            <w:tcBorders>
              <w:start w:sz="1.599999999999909" w:val="single" w:color="#000000"/>
              <w:top w:sz="1.5999999999994543"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98" w:after="0"/>
              <w:ind w:left="0" w:right="104" w:firstLine="0"/>
              <w:jc w:val="right"/>
            </w:pPr>
            <w:r>
              <w:rPr>
                <w:rFonts w:ascii="Times New Roman" w:hAnsi="Times New Roman" w:eastAsia="Times New Roman"/>
                <w:b w:val="0"/>
                <w:i w:val="0"/>
                <w:color w:val="000000"/>
                <w:sz w:val="18"/>
              </w:rPr>
              <w:t>21.07%</w:t>
            </w:r>
          </w:p>
        </w:tc>
        <w:tc>
          <w:tcPr>
            <w:tcW w:type="dxa" w:w="1604"/>
            <w:tcBorders>
              <w:start w:sz="2.400000000000091" w:val="single" w:color="#000000"/>
              <w:top w:sz="1.5999999999994543"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98" w:after="0"/>
              <w:ind w:left="0" w:right="102" w:firstLine="0"/>
              <w:jc w:val="right"/>
            </w:pPr>
            <w:r>
              <w:rPr>
                <w:rFonts w:ascii="Times New Roman" w:hAnsi="Times New Roman" w:eastAsia="Times New Roman"/>
                <w:b w:val="0"/>
                <w:i w:val="0"/>
                <w:color w:val="000000"/>
                <w:sz w:val="18"/>
              </w:rPr>
              <w:t>-64.60%</w:t>
            </w:r>
          </w:p>
        </w:tc>
      </w:tr>
      <w:tr>
        <w:trPr>
          <w:trHeight w:hRule="exact" w:val="402"/>
        </w:trPr>
        <w:tc>
          <w:tcPr>
            <w:tcW w:type="dxa" w:w="1608"/>
            <w:tcBorders>
              <w:start w:sz="2.3999999999999773" w:val="single" w:color="#000000"/>
              <w:top w:sz="2.399999999999636" w:val="single" w:color="#000000"/>
              <w:end w:sz="2.3999999999998636" w:val="single" w:color="#000000"/>
              <w:bottom w:sz="1.6000000000003638" w:val="single" w:color="#000000"/>
            </w:tcBorders>
            <w:shd w:fill="d7d7d7"/>
            <w:tcMar>
              <w:start w:w="0" w:type="dxa"/>
              <w:end w:w="0" w:type="dxa"/>
            </w:tcMar>
          </w:tcPr>
          <w:p>
            <w:pPr>
              <w:autoSpaceDN w:val="0"/>
              <w:autoSpaceDE w:val="0"/>
              <w:widowControl/>
              <w:spacing w:line="180" w:lineRule="exact" w:before="106" w:after="0"/>
              <w:ind w:left="108" w:right="0" w:firstLine="0"/>
              <w:jc w:val="left"/>
            </w:pPr>
            <w:r>
              <w:rPr>
                <w:rFonts w:ascii="宋体" w:hAnsi="宋体" w:eastAsia="宋体"/>
                <w:b w:val="0"/>
                <w:i w:val="0"/>
                <w:color w:val="000000"/>
                <w:sz w:val="18"/>
              </w:rPr>
              <w:t xml:space="preserve">营业支出合计 </w:t>
            </w:r>
          </w:p>
        </w:tc>
        <w:tc>
          <w:tcPr>
            <w:tcW w:type="dxa" w:w="1604"/>
            <w:tcBorders>
              <w:start w:sz="2.3999999999998636"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98" w:after="0"/>
              <w:ind w:left="0" w:right="104" w:firstLine="0"/>
              <w:jc w:val="right"/>
            </w:pPr>
            <w:r>
              <w:rPr>
                <w:rFonts w:ascii="Times New Roman" w:hAnsi="Times New Roman" w:eastAsia="Times New Roman"/>
                <w:b w:val="0"/>
                <w:i w:val="0"/>
                <w:color w:val="000000"/>
                <w:sz w:val="18"/>
              </w:rPr>
              <w:t>2,323,520,347</w:t>
            </w:r>
          </w:p>
        </w:tc>
        <w:tc>
          <w:tcPr>
            <w:tcW w:type="dxa" w:w="1608"/>
            <w:tcBorders>
              <w:start w:sz="2.400000000000091" w:val="single" w:color="#000000"/>
              <w:top w:sz="2.399999999999636" w:val="single" w:color="#000000"/>
              <w:end w:sz="2.399999999999636" w:val="single" w:color="#000000"/>
              <w:bottom w:sz="1.6000000000003638" w:val="single" w:color="#000000"/>
            </w:tcBorders>
            <w:shd w:fill="d7d7d7"/>
            <w:tcMar>
              <w:start w:w="0" w:type="dxa"/>
              <w:end w:w="0" w:type="dxa"/>
            </w:tcMar>
          </w:tcPr>
          <w:p>
            <w:pPr>
              <w:autoSpaceDN w:val="0"/>
              <w:autoSpaceDE w:val="0"/>
              <w:widowControl/>
              <w:spacing w:line="233" w:lineRule="auto" w:before="98" w:after="0"/>
              <w:ind w:left="0" w:right="104" w:firstLine="0"/>
              <w:jc w:val="right"/>
            </w:pPr>
            <w:r>
              <w:rPr>
                <w:rFonts w:ascii="Times New Roman" w:hAnsi="Times New Roman" w:eastAsia="Times New Roman"/>
                <w:b w:val="0"/>
                <w:i w:val="0"/>
                <w:color w:val="000000"/>
                <w:sz w:val="18"/>
              </w:rPr>
              <w:t>100.00%</w:t>
            </w:r>
          </w:p>
        </w:tc>
        <w:tc>
          <w:tcPr>
            <w:tcW w:type="dxa" w:w="1608"/>
            <w:tcBorders>
              <w:start w:sz="2.399999999999636"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2,701,510,568</w:t>
            </w:r>
          </w:p>
        </w:tc>
        <w:tc>
          <w:tcPr>
            <w:tcW w:type="dxa" w:w="1606"/>
            <w:tcBorders>
              <w:start w:sz="1.599999999999909" w:val="single" w:color="#000000"/>
              <w:top w:sz="2.399999999999636" w:val="single" w:color="#000000"/>
              <w:end w:sz="2.400000000000091" w:val="single" w:color="#000000"/>
              <w:bottom w:sz="1.6000000000003638" w:val="single" w:color="#000000"/>
            </w:tcBorders>
            <w:shd w:fill="d7d7d7"/>
            <w:tcMar>
              <w:start w:w="0" w:type="dxa"/>
              <w:end w:w="0" w:type="dxa"/>
            </w:tcMar>
          </w:tcPr>
          <w:p>
            <w:pPr>
              <w:autoSpaceDN w:val="0"/>
              <w:autoSpaceDE w:val="0"/>
              <w:widowControl/>
              <w:spacing w:line="233" w:lineRule="auto" w:before="98" w:after="0"/>
              <w:ind w:left="0" w:right="106" w:firstLine="0"/>
              <w:jc w:val="right"/>
            </w:pPr>
            <w:r>
              <w:rPr>
                <w:rFonts w:ascii="Times New Roman" w:hAnsi="Times New Roman" w:eastAsia="Times New Roman"/>
                <w:b w:val="0"/>
                <w:i w:val="0"/>
                <w:color w:val="000000"/>
                <w:sz w:val="18"/>
              </w:rPr>
              <w:t>100.00%</w:t>
            </w:r>
          </w:p>
        </w:tc>
        <w:tc>
          <w:tcPr>
            <w:tcW w:type="dxa" w:w="1604"/>
            <w:tcBorders>
              <w:start w:sz="2.400000000000091"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98" w:after="0"/>
              <w:ind w:left="0" w:right="102" w:firstLine="0"/>
              <w:jc w:val="right"/>
            </w:pPr>
            <w:r>
              <w:rPr>
                <w:rFonts w:ascii="Times New Roman" w:hAnsi="Times New Roman" w:eastAsia="Times New Roman"/>
                <w:b w:val="0"/>
                <w:i w:val="0"/>
                <w:color w:val="000000"/>
                <w:sz w:val="18"/>
              </w:rPr>
              <w:t>-13.99%</w:t>
            </w:r>
          </w:p>
        </w:tc>
      </w:tr>
    </w:tbl>
    <w:p>
      <w:pPr>
        <w:autoSpaceDN w:val="0"/>
        <w:autoSpaceDE w:val="0"/>
        <w:widowControl/>
        <w:spacing w:line="240" w:lineRule="exact" w:before="76" w:after="0"/>
        <w:ind w:left="112" w:right="144" w:firstLine="0"/>
        <w:jc w:val="left"/>
      </w:pPr>
      <w:r>
        <w:rPr>
          <w:rFonts w:ascii="宋体" w:hAnsi="宋体" w:eastAsia="宋体"/>
          <w:b w:val="0"/>
          <w:i w:val="0"/>
          <w:color w:val="000000"/>
          <w:sz w:val="18"/>
        </w:rPr>
        <w:t>相关数据同比发生变动30%以上的原因见本节“七、资产及负债状况分析中的4、比较式财务报表中变动幅度超过30%以</w:t>
      </w:r>
      <w:r>
        <w:rPr>
          <w:rFonts w:ascii="宋体" w:hAnsi="宋体" w:eastAsia="宋体"/>
          <w:b w:val="0"/>
          <w:i w:val="0"/>
          <w:color w:val="000000"/>
          <w:sz w:val="18"/>
        </w:rPr>
        <w:t>上项目的情况”</w:t>
      </w:r>
    </w:p>
    <w:p>
      <w:pPr>
        <w:autoSpaceDN w:val="0"/>
        <w:autoSpaceDE w:val="0"/>
        <w:widowControl/>
        <w:spacing w:line="197" w:lineRule="auto" w:before="654" w:after="0"/>
        <w:ind w:left="0" w:right="4738" w:firstLine="0"/>
        <w:jc w:val="right"/>
      </w:pPr>
      <w:r>
        <w:rPr>
          <w:rFonts w:ascii="Calibri" w:hAnsi="Calibri" w:eastAsia="Calibri"/>
          <w:b w:val="0"/>
          <w:i w:val="0"/>
          <w:color w:val="000000"/>
          <w:sz w:val="18"/>
        </w:rPr>
        <w:t xml:space="preserve">36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39" name="Picture 3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180" w:lineRule="exact" w:before="82" w:after="0"/>
        <w:ind w:left="112" w:right="0" w:firstLine="0"/>
        <w:jc w:val="left"/>
      </w:pPr>
      <w:r>
        <w:rPr>
          <w:rFonts w:ascii="宋体" w:hAnsi="宋体" w:eastAsia="宋体"/>
          <w:b w:val="0"/>
          <w:i w:val="0"/>
          <w:color w:val="000000"/>
          <w:sz w:val="18"/>
        </w:rPr>
        <w:t xml:space="preserve">（4） 报告期内合并范围是否发生变动 </w:t>
      </w:r>
    </w:p>
    <w:p>
      <w:pPr>
        <w:autoSpaceDN w:val="0"/>
        <w:autoSpaceDE w:val="0"/>
        <w:widowControl/>
        <w:spacing w:line="180" w:lineRule="exact" w:before="366" w:after="0"/>
        <w:ind w:left="112" w:right="0" w:firstLine="0"/>
        <w:jc w:val="left"/>
      </w:pPr>
      <w:r>
        <w:rPr>
          <w:rFonts w:ascii="宋体" w:hAnsi="宋体" w:eastAsia="宋体"/>
          <w:b w:val="0"/>
          <w:i w:val="0"/>
          <w:color w:val="000000"/>
          <w:sz w:val="18"/>
        </w:rPr>
        <w:t xml:space="preserve">√是 □否 </w:t>
      </w:r>
    </w:p>
    <w:p>
      <w:pPr>
        <w:autoSpaceDN w:val="0"/>
        <w:autoSpaceDE w:val="0"/>
        <w:widowControl/>
        <w:spacing w:line="210" w:lineRule="exact" w:before="134" w:after="0"/>
        <w:ind w:left="112" w:right="0" w:firstLine="0"/>
        <w:jc w:val="left"/>
      </w:pPr>
      <w:r>
        <w:rPr>
          <w:rFonts w:ascii="宋体" w:hAnsi="宋体" w:eastAsia="宋体"/>
          <w:b w:val="0"/>
          <w:i w:val="0"/>
          <w:color w:val="000000"/>
          <w:sz w:val="21"/>
        </w:rPr>
        <w:t>详见本报告第十节</w:t>
      </w:r>
      <w:r>
        <w:rPr>
          <w:rFonts w:ascii="宋体" w:hAnsi="宋体" w:eastAsia="宋体"/>
          <w:b w:val="0"/>
          <w:i w:val="0"/>
          <w:color w:val="000000"/>
          <w:sz w:val="21"/>
        </w:rPr>
        <w:t>“财务报告附注‘六、合并范围的变更’及‘七、在其他主体中的权益’”。</w:t>
      </w:r>
    </w:p>
    <w:p>
      <w:pPr>
        <w:autoSpaceDN w:val="0"/>
        <w:autoSpaceDE w:val="0"/>
        <w:widowControl/>
        <w:spacing w:line="180" w:lineRule="exact" w:before="392" w:after="0"/>
        <w:ind w:left="112" w:right="0" w:firstLine="0"/>
        <w:jc w:val="left"/>
      </w:pPr>
      <w:r>
        <w:rPr>
          <w:rFonts w:ascii="宋体" w:hAnsi="宋体" w:eastAsia="宋体"/>
          <w:b w:val="0"/>
          <w:i w:val="0"/>
          <w:color w:val="000000"/>
          <w:sz w:val="18"/>
        </w:rPr>
        <w:t xml:space="preserve">（5） 公司报告期内业务、产品或服务发生重大变化或调整有关情况 </w:t>
      </w:r>
    </w:p>
    <w:p>
      <w:pPr>
        <w:autoSpaceDN w:val="0"/>
        <w:autoSpaceDE w:val="0"/>
        <w:widowControl/>
        <w:spacing w:line="180" w:lineRule="exact" w:before="364"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112" w:right="0" w:firstLine="0"/>
        <w:jc w:val="left"/>
      </w:pPr>
      <w:r>
        <w:rPr>
          <w:rFonts w:ascii="宋体" w:hAnsi="宋体" w:eastAsia="宋体"/>
          <w:b w:val="0"/>
          <w:i w:val="0"/>
          <w:color w:val="000000"/>
          <w:sz w:val="21"/>
        </w:rPr>
        <w:t xml:space="preserve">3、费用 </w:t>
      </w:r>
    </w:p>
    <w:p>
      <w:pPr>
        <w:autoSpaceDN w:val="0"/>
        <w:autoSpaceDE w:val="0"/>
        <w:widowControl/>
        <w:spacing w:line="180" w:lineRule="exact" w:before="362" w:after="66"/>
        <w:ind w:left="0" w:right="144"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960"/>
        <w:gridCol w:w="1960"/>
        <w:gridCol w:w="1960"/>
        <w:gridCol w:w="1960"/>
        <w:gridCol w:w="1960"/>
      </w:tblGrid>
      <w:tr>
        <w:trPr>
          <w:trHeight w:hRule="exact" w:val="328"/>
        </w:trPr>
        <w:tc>
          <w:tcPr>
            <w:tcW w:type="dxa" w:w="1928"/>
            <w:tcBorders>
              <w:start w:sz="2.3999999999999773"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690" w:firstLine="0"/>
              <w:jc w:val="right"/>
            </w:pPr>
            <w:r>
              <w:rPr>
                <w:rFonts w:ascii="宋体" w:hAnsi="宋体" w:eastAsia="宋体"/>
                <w:b w:val="0"/>
                <w:i w:val="0"/>
                <w:color w:val="000000"/>
                <w:sz w:val="18"/>
              </w:rPr>
              <w:t xml:space="preserve">项目 </w:t>
            </w:r>
          </w:p>
        </w:tc>
        <w:tc>
          <w:tcPr>
            <w:tcW w:type="dxa" w:w="1930"/>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580" w:firstLine="0"/>
              <w:jc w:val="right"/>
            </w:pPr>
            <w:r>
              <w:rPr>
                <w:rFonts w:ascii="宋体" w:hAnsi="宋体" w:eastAsia="宋体"/>
                <w:b w:val="0"/>
                <w:i w:val="0"/>
                <w:color w:val="000000"/>
                <w:sz w:val="18"/>
              </w:rPr>
              <w:t xml:space="preserve">2024 年 </w:t>
            </w:r>
          </w:p>
        </w:tc>
        <w:tc>
          <w:tcPr>
            <w:tcW w:type="dxa" w:w="1928"/>
            <w:tcBorders>
              <w:start w:sz="1.599999999999909" w:val="single" w:color="#000000"/>
              <w:top w:sz="1.599999999999909"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580" w:firstLine="0"/>
              <w:jc w:val="right"/>
            </w:pPr>
            <w:r>
              <w:rPr>
                <w:rFonts w:ascii="宋体" w:hAnsi="宋体" w:eastAsia="宋体"/>
                <w:b w:val="0"/>
                <w:i w:val="0"/>
                <w:color w:val="000000"/>
                <w:sz w:val="18"/>
              </w:rPr>
              <w:t xml:space="preserve">2023 年 </w:t>
            </w:r>
          </w:p>
        </w:tc>
        <w:tc>
          <w:tcPr>
            <w:tcW w:type="dxa" w:w="1928"/>
            <w:tcBorders>
              <w:start w:sz="1.6000000000003638"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510" w:firstLine="0"/>
              <w:jc w:val="right"/>
            </w:pPr>
            <w:r>
              <w:rPr>
                <w:rFonts w:ascii="宋体" w:hAnsi="宋体" w:eastAsia="宋体"/>
                <w:b w:val="0"/>
                <w:i w:val="0"/>
                <w:color w:val="000000"/>
                <w:sz w:val="18"/>
              </w:rPr>
              <w:t xml:space="preserve">同比增减 </w:t>
            </w:r>
          </w:p>
        </w:tc>
        <w:tc>
          <w:tcPr>
            <w:tcW w:type="dxa" w:w="1930"/>
            <w:tcBorders>
              <w:start w:sz="1.599999999999909" w:val="single" w:color="#000000"/>
              <w:top w:sz="1.599999999999909"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422" w:right="0" w:firstLine="0"/>
              <w:jc w:val="left"/>
            </w:pPr>
            <w:r>
              <w:rPr>
                <w:rFonts w:ascii="宋体" w:hAnsi="宋体" w:eastAsia="宋体"/>
                <w:b w:val="0"/>
                <w:i w:val="0"/>
                <w:color w:val="000000"/>
                <w:sz w:val="18"/>
              </w:rPr>
              <w:t xml:space="preserve">重大变动说明 </w:t>
            </w:r>
          </w:p>
        </w:tc>
      </w:tr>
      <w:tr>
        <w:trPr>
          <w:trHeight w:hRule="exact" w:val="322"/>
        </w:trPr>
        <w:tc>
          <w:tcPr>
            <w:tcW w:type="dxa" w:w="1928"/>
            <w:tcBorders>
              <w:start w:sz="2.3999999999999773"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74" w:after="0"/>
              <w:ind w:left="108" w:right="0" w:firstLine="0"/>
              <w:jc w:val="left"/>
            </w:pPr>
            <w:r>
              <w:rPr>
                <w:rFonts w:ascii="宋体" w:hAnsi="宋体" w:eastAsia="宋体"/>
                <w:b w:val="0"/>
                <w:i w:val="0"/>
                <w:color w:val="000000"/>
                <w:sz w:val="18"/>
              </w:rPr>
              <w:t xml:space="preserve">业务管理费 </w:t>
            </w:r>
          </w:p>
        </w:tc>
        <w:tc>
          <w:tcPr>
            <w:tcW w:type="dxa" w:w="1930"/>
            <w:tcBorders>
              <w:start w:sz="1.599999999999909"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230" w:lineRule="auto" w:before="70" w:after="0"/>
              <w:ind w:left="0" w:right="106" w:firstLine="0"/>
              <w:jc w:val="right"/>
            </w:pPr>
            <w:r>
              <w:rPr>
                <w:rFonts w:ascii="Times New Roman" w:hAnsi="Times New Roman" w:eastAsia="Times New Roman"/>
                <w:b w:val="0"/>
                <w:i w:val="0"/>
                <w:color w:val="000000"/>
                <w:sz w:val="18"/>
              </w:rPr>
              <w:t>2,078,801,870</w:t>
            </w:r>
          </w:p>
        </w:tc>
        <w:tc>
          <w:tcPr>
            <w:tcW w:type="dxa" w:w="1928"/>
            <w:tcBorders>
              <w:start w:sz="1.599999999999909" w:val="single" w:color="#000000"/>
              <w:top w:sz="2.400000000000091" w:val="single" w:color="#000000"/>
              <w:end w:sz="1.6000000000003638" w:val="single" w:color="#000000"/>
              <w:bottom w:sz="1.599999999999909" w:val="single" w:color="#000000"/>
            </w:tcBorders>
            <w:shd w:fill="d2d2d2"/>
            <w:tcMar>
              <w:start w:w="0" w:type="dxa"/>
              <w:end w:w="0" w:type="dxa"/>
            </w:tcMar>
          </w:tcPr>
          <w:p>
            <w:pPr>
              <w:autoSpaceDN w:val="0"/>
              <w:autoSpaceDE w:val="0"/>
              <w:widowControl/>
              <w:spacing w:line="230" w:lineRule="auto" w:before="70" w:after="0"/>
              <w:ind w:left="0" w:right="106" w:firstLine="0"/>
              <w:jc w:val="right"/>
            </w:pPr>
            <w:r>
              <w:rPr>
                <w:rFonts w:ascii="Times New Roman" w:hAnsi="Times New Roman" w:eastAsia="Times New Roman"/>
                <w:b w:val="0"/>
                <w:i w:val="0"/>
                <w:color w:val="000000"/>
                <w:sz w:val="18"/>
              </w:rPr>
              <w:t>2,048,662,935</w:t>
            </w:r>
          </w:p>
        </w:tc>
        <w:tc>
          <w:tcPr>
            <w:tcW w:type="dxa" w:w="1928"/>
            <w:tcBorders>
              <w:start w:sz="1.6000000000003638"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230" w:lineRule="auto" w:before="70" w:after="0"/>
              <w:ind w:left="0" w:right="104" w:firstLine="0"/>
              <w:jc w:val="right"/>
            </w:pPr>
            <w:r>
              <w:rPr>
                <w:rFonts w:ascii="Times New Roman" w:hAnsi="Times New Roman" w:eastAsia="Times New Roman"/>
                <w:b w:val="0"/>
                <w:i w:val="0"/>
                <w:color w:val="000000"/>
                <w:sz w:val="18"/>
              </w:rPr>
              <w:t>1.47%</w:t>
            </w:r>
          </w:p>
        </w:tc>
        <w:tc>
          <w:tcPr>
            <w:tcW w:type="dxa" w:w="1930"/>
            <w:tcBorders>
              <w:start w:sz="1.599999999999909" w:val="single" w:color="#000000"/>
              <w:top w:sz="2.400000000000091" w:val="single" w:color="#000000"/>
              <w:end w:sz="1.6000000000003638" w:val="single" w:color="#000000"/>
              <w:bottom w:sz="1.599999999999909" w:val="single" w:color="#000000"/>
            </w:tcBorders>
            <w:shd w:fill="d2d2d2"/>
            <w:tcMar>
              <w:start w:w="0" w:type="dxa"/>
              <w:end w:w="0" w:type="dxa"/>
            </w:tcMar>
          </w:tcPr>
          <w:p>
            <w:pPr>
              <w:autoSpaceDN w:val="0"/>
              <w:autoSpaceDE w:val="0"/>
              <w:widowControl/>
              <w:spacing w:line="180" w:lineRule="exact" w:before="74" w:after="0"/>
              <w:ind w:left="0" w:right="828" w:firstLine="0"/>
              <w:jc w:val="right"/>
            </w:pPr>
            <w:r>
              <w:rPr>
                <w:rFonts w:ascii="宋体" w:hAnsi="宋体" w:eastAsia="宋体"/>
                <w:b w:val="0"/>
                <w:i w:val="0"/>
                <w:color w:val="000000"/>
                <w:sz w:val="18"/>
              </w:rPr>
              <w:t xml:space="preserve">- </w:t>
            </w:r>
          </w:p>
        </w:tc>
      </w:tr>
    </w:tbl>
    <w:p>
      <w:pPr>
        <w:autoSpaceDN w:val="0"/>
        <w:autoSpaceDE w:val="0"/>
        <w:widowControl/>
        <w:spacing w:line="212" w:lineRule="exact" w:before="342" w:after="0"/>
        <w:ind w:left="112" w:right="0" w:firstLine="0"/>
        <w:jc w:val="left"/>
      </w:pPr>
      <w:r>
        <w:rPr>
          <w:rFonts w:ascii="宋体" w:hAnsi="宋体" w:eastAsia="宋体"/>
          <w:b w:val="0"/>
          <w:i w:val="0"/>
          <w:color w:val="000000"/>
          <w:sz w:val="21"/>
        </w:rPr>
        <w:t xml:space="preserve">4、研发投入 </w:t>
      </w:r>
    </w:p>
    <w:p>
      <w:pPr>
        <w:autoSpaceDN w:val="0"/>
        <w:autoSpaceDE w:val="0"/>
        <w:widowControl/>
        <w:spacing w:line="180" w:lineRule="exact" w:before="362"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112" w:right="0" w:firstLine="0"/>
        <w:jc w:val="left"/>
      </w:pPr>
      <w:r>
        <w:rPr>
          <w:rFonts w:ascii="宋体" w:hAnsi="宋体" w:eastAsia="宋体"/>
          <w:b w:val="0"/>
          <w:i w:val="0"/>
          <w:color w:val="000000"/>
          <w:sz w:val="21"/>
        </w:rPr>
        <w:t xml:space="preserve">5、现金流 </w:t>
      </w:r>
    </w:p>
    <w:p>
      <w:pPr>
        <w:autoSpaceDN w:val="0"/>
        <w:autoSpaceDE w:val="0"/>
        <w:widowControl/>
        <w:spacing w:line="180" w:lineRule="exact" w:before="362" w:after="66"/>
        <w:ind w:left="0" w:right="144"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2449"/>
        <w:gridCol w:w="2449"/>
        <w:gridCol w:w="2449"/>
        <w:gridCol w:w="2449"/>
      </w:tblGrid>
      <w:tr>
        <w:trPr>
          <w:trHeight w:hRule="exact" w:val="346"/>
        </w:trPr>
        <w:tc>
          <w:tcPr>
            <w:tcW w:type="dxa" w:w="2412"/>
            <w:tcBorders>
              <w:start w:sz="2.3999999999999773" w:val="single" w:color="#000000"/>
              <w:top w:sz="1.599999999999909" w:val="single" w:color="#000000"/>
              <w:end w:sz="1.6000000000001364"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826" w:firstLine="0"/>
                    <w:jc w:val="right"/>
                  </w:pPr>
                  <w:r>
                    <w:rPr>
                      <w:rFonts w:ascii="宋体" w:hAnsi="宋体" w:eastAsia="宋体"/>
                      <w:b w:val="0"/>
                      <w:i w:val="0"/>
                      <w:color w:val="000000"/>
                      <w:sz w:val="18"/>
                    </w:rPr>
                    <w:t xml:space="preserve">项目 </w:t>
                  </w:r>
                </w:p>
              </w:tc>
            </w:tr>
          </w:tbl>
          <w:p>
            <w:pPr>
              <w:autoSpaceDN w:val="0"/>
              <w:autoSpaceDE w:val="0"/>
              <w:widowControl/>
              <w:spacing w:line="14" w:lineRule="exact" w:before="0" w:after="0"/>
              <w:ind w:left="0" w:right="0"/>
            </w:pPr>
          </w:p>
        </w:tc>
        <w:tc>
          <w:tcPr>
            <w:tcW w:type="dxa" w:w="2408"/>
            <w:tcBorders>
              <w:start w:sz="1.6000000000001364" w:val="single" w:color="#000000"/>
              <w:top w:sz="1.599999999999909" w:val="single" w:color="#000000"/>
              <w:end w:sz="2.399999999999636"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5.99999999999966" w:type="dxa"/>
            </w:tblPr>
            <w:tblGrid>
              <w:gridCol w:w="2408"/>
            </w:tblGrid>
            <w:tr>
              <w:trPr>
                <w:trHeight w:hRule="exact" w:val="302"/>
              </w:trPr>
              <w:tc>
                <w:tcPr>
                  <w:tcW w:type="dxa" w:w="2194"/>
                  <w:tcBorders/>
                  <w:shd w:fill="d2d2d2"/>
                  <w:tcMar>
                    <w:start w:w="0" w:type="dxa"/>
                    <w:end w:w="0" w:type="dxa"/>
                  </w:tcMar>
                </w:tcPr>
                <w:p>
                  <w:pPr>
                    <w:autoSpaceDN w:val="0"/>
                    <w:autoSpaceDE w:val="0"/>
                    <w:widowControl/>
                    <w:spacing w:line="180" w:lineRule="exact" w:before="76" w:after="0"/>
                    <w:ind w:left="0" w:right="716" w:firstLine="0"/>
                    <w:jc w:val="right"/>
                  </w:pPr>
                  <w:r>
                    <w:rPr>
                      <w:rFonts w:ascii="宋体" w:hAnsi="宋体" w:eastAsia="宋体"/>
                      <w:b w:val="0"/>
                      <w:i w:val="0"/>
                      <w:color w:val="000000"/>
                      <w:sz w:val="18"/>
                    </w:rPr>
                    <w:t xml:space="preserve">2024 年 </w:t>
                  </w:r>
                </w:p>
              </w:tc>
            </w:tr>
          </w:tbl>
          <w:p>
            <w:pPr>
              <w:autoSpaceDN w:val="0"/>
              <w:autoSpaceDE w:val="0"/>
              <w:widowControl/>
              <w:spacing w:line="14" w:lineRule="exact" w:before="0" w:after="0"/>
              <w:ind w:left="0" w:right="0"/>
            </w:pPr>
          </w:p>
        </w:tc>
        <w:tc>
          <w:tcPr>
            <w:tcW w:type="dxa" w:w="2412"/>
            <w:tcBorders>
              <w:start w:sz="2.399999999999636" w:val="single" w:color="#000000"/>
              <w:top w:sz="1.599999999999909" w:val="single" w:color="#000000"/>
              <w:end w:sz="1.599999999999909"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2412"/>
            </w:tblGrid>
            <w:tr>
              <w:trPr>
                <w:trHeight w:hRule="exact" w:val="302"/>
              </w:trPr>
              <w:tc>
                <w:tcPr>
                  <w:tcW w:type="dxa" w:w="2196"/>
                  <w:tcBorders/>
                  <w:shd w:fill="d2d2d2"/>
                  <w:tcMar>
                    <w:start w:w="0" w:type="dxa"/>
                    <w:end w:w="0" w:type="dxa"/>
                  </w:tcMar>
                </w:tcPr>
                <w:p>
                  <w:pPr>
                    <w:autoSpaceDN w:val="0"/>
                    <w:autoSpaceDE w:val="0"/>
                    <w:widowControl/>
                    <w:spacing w:line="180" w:lineRule="exact" w:before="76" w:after="0"/>
                    <w:ind w:left="0" w:right="718" w:firstLine="0"/>
                    <w:jc w:val="right"/>
                  </w:pPr>
                  <w:r>
                    <w:rPr>
                      <w:rFonts w:ascii="宋体" w:hAnsi="宋体" w:eastAsia="宋体"/>
                      <w:b w:val="0"/>
                      <w:i w:val="0"/>
                      <w:color w:val="000000"/>
                      <w:sz w:val="18"/>
                    </w:rPr>
                    <w:t xml:space="preserve">2023 年 </w:t>
                  </w:r>
                </w:p>
              </w:tc>
            </w:tr>
          </w:tbl>
          <w:p>
            <w:pPr>
              <w:autoSpaceDN w:val="0"/>
              <w:autoSpaceDE w:val="0"/>
              <w:widowControl/>
              <w:spacing w:line="14" w:lineRule="exact" w:before="0" w:after="0"/>
              <w:ind w:left="0" w:right="0"/>
            </w:pPr>
          </w:p>
        </w:tc>
        <w:tc>
          <w:tcPr>
            <w:tcW w:type="dxa" w:w="2410"/>
            <w:tcBorders>
              <w:start w:sz="1.599999999999909" w:val="single" w:color="#000000"/>
              <w:top w:sz="1.599999999999909" w:val="single" w:color="#000000"/>
              <w:end w:sz="1.5999999999994543"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8.00000000000068" w:type="dxa"/>
            </w:tblPr>
            <w:tblGrid>
              <w:gridCol w:w="2410"/>
            </w:tblGrid>
            <w:tr>
              <w:trPr>
                <w:trHeight w:hRule="exact" w:val="302"/>
              </w:trPr>
              <w:tc>
                <w:tcPr>
                  <w:tcW w:type="dxa" w:w="2194"/>
                  <w:tcBorders/>
                  <w:shd w:fill="d2d2d2"/>
                  <w:tcMar>
                    <w:start w:w="0" w:type="dxa"/>
                    <w:end w:w="0" w:type="dxa"/>
                  </w:tcMar>
                </w:tcPr>
                <w:p>
                  <w:pPr>
                    <w:autoSpaceDN w:val="0"/>
                    <w:autoSpaceDE w:val="0"/>
                    <w:widowControl/>
                    <w:spacing w:line="180" w:lineRule="exact" w:before="76" w:after="0"/>
                    <w:ind w:left="0" w:right="646" w:firstLine="0"/>
                    <w:jc w:val="right"/>
                  </w:pPr>
                  <w:r>
                    <w:rPr>
                      <w:rFonts w:ascii="宋体" w:hAnsi="宋体" w:eastAsia="宋体"/>
                      <w:b w:val="0"/>
                      <w:i w:val="0"/>
                      <w:color w:val="000000"/>
                      <w:sz w:val="18"/>
                    </w:rPr>
                    <w:t xml:space="preserve">同比增减 </w:t>
                  </w:r>
                </w:p>
              </w:tc>
            </w:tr>
          </w:tbl>
          <w:p>
            <w:pPr>
              <w:autoSpaceDN w:val="0"/>
              <w:autoSpaceDE w:val="0"/>
              <w:widowControl/>
              <w:spacing w:line="14" w:lineRule="exact" w:before="0" w:after="0"/>
              <w:ind w:left="0" w:right="0"/>
            </w:pPr>
          </w:p>
        </w:tc>
      </w:tr>
      <w:tr>
        <w:trPr>
          <w:trHeight w:hRule="exact" w:val="346"/>
        </w:trPr>
        <w:tc>
          <w:tcPr>
            <w:tcW w:type="dxa" w:w="2412"/>
            <w:tcBorders>
              <w:start w:sz="2.3999999999999773" w:val="single" w:color="#000000"/>
              <w:top w:sz="1.599999999999909" w:val="single" w:color="#000000"/>
              <w:end w:sz="1.6000000000001364"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经营活动现金流入小计 </w:t>
                  </w:r>
                </w:p>
              </w:tc>
            </w:tr>
          </w:tbl>
          <w:p>
            <w:pPr>
              <w:autoSpaceDN w:val="0"/>
              <w:autoSpaceDE w:val="0"/>
              <w:widowControl/>
              <w:spacing w:line="14" w:lineRule="exact" w:before="0" w:after="0"/>
              <w:ind w:left="0" w:right="0"/>
            </w:pPr>
          </w:p>
        </w:tc>
        <w:tc>
          <w:tcPr>
            <w:tcW w:type="dxa" w:w="2408"/>
            <w:tcBorders>
              <w:start w:sz="1.6000000000001364"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82" w:after="0"/>
              <w:ind w:left="0" w:right="62" w:firstLine="0"/>
              <w:jc w:val="right"/>
            </w:pPr>
            <w:r>
              <w:rPr>
                <w:rFonts w:ascii="Times New Roman" w:hAnsi="Times New Roman" w:eastAsia="Times New Roman"/>
                <w:b w:val="0"/>
                <w:i w:val="0"/>
                <w:color w:val="000000"/>
                <w:sz w:val="18"/>
              </w:rPr>
              <w:t xml:space="preserve">15,818,891,787 </w:t>
            </w:r>
          </w:p>
        </w:tc>
        <w:tc>
          <w:tcPr>
            <w:tcW w:type="dxa" w:w="2412"/>
            <w:tcBorders>
              <w:start w:sz="2.399999999999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108" w:firstLine="0"/>
              <w:jc w:val="right"/>
            </w:pPr>
            <w:r>
              <w:rPr>
                <w:rFonts w:ascii="Times New Roman" w:hAnsi="Times New Roman" w:eastAsia="Times New Roman"/>
                <w:b w:val="0"/>
                <w:i w:val="0"/>
                <w:color w:val="000000"/>
                <w:sz w:val="18"/>
              </w:rPr>
              <w:t>15,546,417,359</w:t>
            </w:r>
          </w:p>
        </w:tc>
        <w:tc>
          <w:tcPr>
            <w:tcW w:type="dxa" w:w="2410"/>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1.75% </w:t>
            </w:r>
          </w:p>
        </w:tc>
      </w:tr>
      <w:tr>
        <w:trPr>
          <w:trHeight w:hRule="exact" w:val="342"/>
        </w:trPr>
        <w:tc>
          <w:tcPr>
            <w:tcW w:type="dxa" w:w="2412"/>
            <w:tcBorders>
              <w:start w:sz="2.3999999999999773" w:val="single" w:color="#000000"/>
              <w:top w:sz="2.400000000000091" w:val="single" w:color="#000000"/>
              <w:end w:sz="1.6000000000001364"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经营活动现金流出小计 </w:t>
                  </w:r>
                </w:p>
              </w:tc>
            </w:tr>
          </w:tbl>
          <w:p>
            <w:pPr>
              <w:autoSpaceDN w:val="0"/>
              <w:autoSpaceDE w:val="0"/>
              <w:widowControl/>
              <w:spacing w:line="14" w:lineRule="exact" w:before="0" w:after="0"/>
              <w:ind w:left="0" w:right="0"/>
            </w:pPr>
          </w:p>
        </w:tc>
        <w:tc>
          <w:tcPr>
            <w:tcW w:type="dxa" w:w="2408"/>
            <w:tcBorders>
              <w:start w:sz="1.6000000000001364"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0" w:after="0"/>
              <w:ind w:left="0" w:right="60" w:firstLine="0"/>
              <w:jc w:val="right"/>
            </w:pPr>
            <w:r>
              <w:rPr>
                <w:rFonts w:ascii="Times New Roman" w:hAnsi="Times New Roman" w:eastAsia="Times New Roman"/>
                <w:b w:val="0"/>
                <w:i w:val="0"/>
                <w:color w:val="000000"/>
                <w:sz w:val="18"/>
              </w:rPr>
              <w:t xml:space="preserve">7,752,516,205 </w:t>
            </w:r>
          </w:p>
        </w:tc>
        <w:tc>
          <w:tcPr>
            <w:tcW w:type="dxa" w:w="2412"/>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0" w:after="0"/>
              <w:ind w:left="0" w:right="108" w:firstLine="0"/>
              <w:jc w:val="right"/>
            </w:pPr>
            <w:r>
              <w:rPr>
                <w:rFonts w:ascii="Times New Roman" w:hAnsi="Times New Roman" w:eastAsia="Times New Roman"/>
                <w:b w:val="0"/>
                <w:i w:val="0"/>
                <w:color w:val="000000"/>
                <w:sz w:val="18"/>
              </w:rPr>
              <w:t>14,620,859,496</w:t>
            </w:r>
          </w:p>
        </w:tc>
        <w:tc>
          <w:tcPr>
            <w:tcW w:type="dxa" w:w="2410"/>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30" w:lineRule="auto" w:before="80" w:after="0"/>
              <w:ind w:left="0" w:right="60" w:firstLine="0"/>
              <w:jc w:val="right"/>
            </w:pPr>
            <w:r>
              <w:rPr>
                <w:rFonts w:ascii="Times New Roman" w:hAnsi="Times New Roman" w:eastAsia="Times New Roman"/>
                <w:b w:val="0"/>
                <w:i w:val="0"/>
                <w:color w:val="000000"/>
                <w:sz w:val="18"/>
              </w:rPr>
              <w:t xml:space="preserve">-46.98% </w:t>
            </w:r>
          </w:p>
        </w:tc>
      </w:tr>
      <w:tr>
        <w:trPr>
          <w:trHeight w:hRule="exact" w:val="568"/>
        </w:trPr>
        <w:tc>
          <w:tcPr>
            <w:tcW w:type="dxa" w:w="2412"/>
            <w:tcBorders>
              <w:start w:sz="2.3999999999999773"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76" w:after="26"/>
              <w:ind w:left="0" w:right="0" w:firstLine="0"/>
              <w:jc w:val="center"/>
            </w:pPr>
            <w:r>
              <w:rPr>
                <w:shd w:val="clear" w:color="auto" w:fill="d2d2d2"/>
                <w:rFonts w:ascii="宋体" w:hAnsi="宋体" w:eastAsia="宋体"/>
                <w:b w:val="0"/>
                <w:i w:val="0"/>
                <w:color w:val="000000"/>
                <w:sz w:val="18"/>
              </w:rPr>
              <w:t>经营活动产生的现金流量净</w:t>
            </w:r>
          </w:p>
          <w:tbl>
            <w:tblPr>
              <w:tblW w:type="auto" w:w="0"/>
              <w:tblLayout w:type="fixed"/>
              <w:tblLook w:firstColumn="1" w:firstRow="1" w:lastColumn="0" w:lastRow="0" w:noHBand="0" w:noVBand="1" w:val="04A0"/>
              <w:tblInd w:w="107.99999999999997" w:type="dxa"/>
            </w:tblPr>
            <w:tblGrid>
              <w:gridCol w:w="2412"/>
            </w:tblGrid>
            <w:tr>
              <w:trPr>
                <w:trHeight w:hRule="exact" w:val="260"/>
              </w:trPr>
              <w:tc>
                <w:tcPr>
                  <w:tcW w:type="dxa" w:w="2192"/>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额 </w:t>
                  </w:r>
                </w:p>
              </w:tc>
            </w:tr>
          </w:tbl>
          <w:p>
            <w:pPr>
              <w:autoSpaceDN w:val="0"/>
              <w:autoSpaceDE w:val="0"/>
              <w:widowControl/>
              <w:spacing w:line="14" w:lineRule="exact" w:before="0" w:after="0"/>
              <w:ind w:left="0" w:right="0"/>
            </w:pPr>
          </w:p>
        </w:tc>
        <w:tc>
          <w:tcPr>
            <w:tcW w:type="dxa" w:w="2408"/>
            <w:tcBorders>
              <w:start w:sz="1.6000000000001364"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194" w:after="0"/>
              <w:ind w:left="0" w:right="62" w:firstLine="0"/>
              <w:jc w:val="right"/>
            </w:pPr>
            <w:r>
              <w:rPr>
                <w:rFonts w:ascii="Times New Roman" w:hAnsi="Times New Roman" w:eastAsia="Times New Roman"/>
                <w:b w:val="0"/>
                <w:i w:val="0"/>
                <w:color w:val="000000"/>
                <w:sz w:val="18"/>
              </w:rPr>
              <w:t xml:space="preserve">8,066,375,582 </w:t>
            </w:r>
          </w:p>
        </w:tc>
        <w:tc>
          <w:tcPr>
            <w:tcW w:type="dxa" w:w="2412"/>
            <w:tcBorders>
              <w:start w:sz="2.399999999999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94" w:after="0"/>
              <w:ind w:left="0" w:right="106" w:firstLine="0"/>
              <w:jc w:val="right"/>
            </w:pPr>
            <w:r>
              <w:rPr>
                <w:rFonts w:ascii="Times New Roman" w:hAnsi="Times New Roman" w:eastAsia="Times New Roman"/>
                <w:b w:val="0"/>
                <w:i w:val="0"/>
                <w:color w:val="000000"/>
                <w:sz w:val="18"/>
              </w:rPr>
              <w:t>925,557,863</w:t>
            </w:r>
          </w:p>
        </w:tc>
        <w:tc>
          <w:tcPr>
            <w:tcW w:type="dxa" w:w="2410"/>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230" w:lineRule="auto" w:before="194" w:after="0"/>
              <w:ind w:left="0" w:right="60" w:firstLine="0"/>
              <w:jc w:val="right"/>
            </w:pPr>
            <w:r>
              <w:rPr>
                <w:rFonts w:ascii="Times New Roman" w:hAnsi="Times New Roman" w:eastAsia="Times New Roman"/>
                <w:b w:val="0"/>
                <w:i w:val="0"/>
                <w:color w:val="000000"/>
                <w:sz w:val="18"/>
              </w:rPr>
              <w:t xml:space="preserve">771.51% </w:t>
            </w:r>
          </w:p>
        </w:tc>
      </w:tr>
      <w:tr>
        <w:trPr>
          <w:trHeight w:hRule="exact" w:val="342"/>
        </w:trPr>
        <w:tc>
          <w:tcPr>
            <w:tcW w:type="dxa" w:w="2412"/>
            <w:tcBorders>
              <w:start w:sz="2.3999999999999773" w:val="single" w:color="#000000"/>
              <w:top w:sz="2.400000000000091" w:val="single" w:color="#000000"/>
              <w:end w:sz="1.6000000000001364"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投资活动现金流入小计 </w:t>
                  </w:r>
                </w:p>
              </w:tc>
            </w:tr>
          </w:tbl>
          <w:p>
            <w:pPr>
              <w:autoSpaceDN w:val="0"/>
              <w:autoSpaceDE w:val="0"/>
              <w:widowControl/>
              <w:spacing w:line="14" w:lineRule="exact" w:before="0" w:after="0"/>
              <w:ind w:left="0" w:right="0"/>
            </w:pPr>
          </w:p>
        </w:tc>
        <w:tc>
          <w:tcPr>
            <w:tcW w:type="dxa" w:w="2408"/>
            <w:tcBorders>
              <w:start w:sz="1.6000000000001364"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2" w:after="0"/>
              <w:ind w:left="0" w:right="62" w:firstLine="0"/>
              <w:jc w:val="right"/>
            </w:pPr>
            <w:r>
              <w:rPr>
                <w:rFonts w:ascii="Times New Roman" w:hAnsi="Times New Roman" w:eastAsia="Times New Roman"/>
                <w:b w:val="0"/>
                <w:i w:val="0"/>
                <w:color w:val="000000"/>
                <w:sz w:val="18"/>
              </w:rPr>
              <w:t xml:space="preserve">45,542,596 </w:t>
            </w:r>
          </w:p>
        </w:tc>
        <w:tc>
          <w:tcPr>
            <w:tcW w:type="dxa" w:w="2412"/>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106" w:firstLine="0"/>
              <w:jc w:val="right"/>
            </w:pPr>
            <w:r>
              <w:rPr>
                <w:rFonts w:ascii="Times New Roman" w:hAnsi="Times New Roman" w:eastAsia="Times New Roman"/>
                <w:b w:val="0"/>
                <w:i w:val="0"/>
                <w:color w:val="000000"/>
                <w:sz w:val="18"/>
              </w:rPr>
              <w:t>77,434,064</w:t>
            </w:r>
          </w:p>
        </w:tc>
        <w:tc>
          <w:tcPr>
            <w:tcW w:type="dxa" w:w="2410"/>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30" w:lineRule="auto" w:before="82" w:after="0"/>
              <w:ind w:left="0" w:right="60" w:firstLine="0"/>
              <w:jc w:val="right"/>
            </w:pPr>
            <w:r>
              <w:rPr>
                <w:rFonts w:ascii="Times New Roman" w:hAnsi="Times New Roman" w:eastAsia="Times New Roman"/>
                <w:b w:val="0"/>
                <w:i w:val="0"/>
                <w:color w:val="000000"/>
                <w:sz w:val="18"/>
              </w:rPr>
              <w:t xml:space="preserve">-41.19% </w:t>
            </w:r>
          </w:p>
        </w:tc>
      </w:tr>
      <w:tr>
        <w:trPr>
          <w:trHeight w:hRule="exact" w:val="346"/>
        </w:trPr>
        <w:tc>
          <w:tcPr>
            <w:tcW w:type="dxa" w:w="2412"/>
            <w:tcBorders>
              <w:start w:sz="2.3999999999999773" w:val="single" w:color="#000000"/>
              <w:top w:sz="1.599999999999909"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投资活动现金流出小计 </w:t>
                  </w:r>
                </w:p>
              </w:tc>
            </w:tr>
          </w:tbl>
          <w:p>
            <w:pPr>
              <w:autoSpaceDN w:val="0"/>
              <w:autoSpaceDE w:val="0"/>
              <w:widowControl/>
              <w:spacing w:line="14" w:lineRule="exact" w:before="0" w:after="0"/>
              <w:ind w:left="0" w:right="0"/>
            </w:pPr>
          </w:p>
        </w:tc>
        <w:tc>
          <w:tcPr>
            <w:tcW w:type="dxa" w:w="2408"/>
            <w:tcBorders>
              <w:start w:sz="1.6000000000001364" w:val="single" w:color="#000000"/>
              <w:top w:sz="1.599999999999909"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295,808,519 </w:t>
            </w:r>
          </w:p>
        </w:tc>
        <w:tc>
          <w:tcPr>
            <w:tcW w:type="dxa" w:w="2412"/>
            <w:tcBorders>
              <w:start w:sz="2.399999999999636"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106" w:firstLine="0"/>
              <w:jc w:val="right"/>
            </w:pPr>
            <w:r>
              <w:rPr>
                <w:rFonts w:ascii="Times New Roman" w:hAnsi="Times New Roman" w:eastAsia="Times New Roman"/>
                <w:b w:val="0"/>
                <w:i w:val="0"/>
                <w:color w:val="000000"/>
                <w:sz w:val="18"/>
              </w:rPr>
              <w:t>253,906,091</w:t>
            </w:r>
          </w:p>
        </w:tc>
        <w:tc>
          <w:tcPr>
            <w:tcW w:type="dxa" w:w="2410"/>
            <w:tcBorders>
              <w:start w:sz="1.599999999999909" w:val="single" w:color="#000000"/>
              <w:top w:sz="1.599999999999909" w:val="single" w:color="#000000"/>
              <w:end w:sz="1.5999999999994543" w:val="single" w:color="#000000"/>
              <w:bottom w:sz="1.6000000000003638"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16.50% </w:t>
            </w:r>
          </w:p>
        </w:tc>
      </w:tr>
      <w:tr>
        <w:trPr>
          <w:trHeight w:hRule="exact" w:val="566"/>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p>
            <w:pPr>
              <w:autoSpaceDN w:val="0"/>
              <w:autoSpaceDE w:val="0"/>
              <w:widowControl/>
              <w:spacing w:line="180" w:lineRule="exact" w:before="76" w:after="24"/>
              <w:ind w:left="0" w:right="0" w:firstLine="0"/>
              <w:jc w:val="center"/>
            </w:pPr>
            <w:r>
              <w:rPr>
                <w:shd w:val="clear" w:color="auto" w:fill="d2d2d2"/>
                <w:rFonts w:ascii="宋体" w:hAnsi="宋体" w:eastAsia="宋体"/>
                <w:b w:val="0"/>
                <w:i w:val="0"/>
                <w:color w:val="000000"/>
                <w:sz w:val="18"/>
              </w:rPr>
              <w:t>投资活动产生的现金流量净</w:t>
            </w:r>
          </w:p>
          <w:tbl>
            <w:tblPr>
              <w:tblW w:type="auto" w:w="0"/>
              <w:tblLayout w:type="fixed"/>
              <w:tblLook w:firstColumn="1" w:firstRow="1" w:lastColumn="0" w:lastRow="0" w:noHBand="0" w:noVBand="1" w:val="04A0"/>
              <w:tblInd w:w="107.99999999999997" w:type="dxa"/>
            </w:tblPr>
            <w:tblGrid>
              <w:gridCol w:w="2412"/>
            </w:tblGrid>
            <w:tr>
              <w:trPr>
                <w:trHeight w:hRule="exact" w:val="262"/>
              </w:trPr>
              <w:tc>
                <w:tcPr>
                  <w:tcW w:type="dxa" w:w="2192"/>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额 </w:t>
                  </w:r>
                </w:p>
              </w:tc>
            </w:tr>
          </w:tbl>
          <w:p>
            <w:pPr>
              <w:autoSpaceDN w:val="0"/>
              <w:autoSpaceDE w:val="0"/>
              <w:widowControl/>
              <w:spacing w:line="14" w:lineRule="exact" w:before="0" w:after="0"/>
              <w:ind w:left="0" w:right="0"/>
            </w:pPr>
          </w:p>
        </w:tc>
        <w:tc>
          <w:tcPr>
            <w:tcW w:type="dxa" w:w="2408"/>
            <w:tcBorders>
              <w:start w:sz="1.6000000000001364"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192" w:after="0"/>
              <w:ind w:left="0" w:right="60" w:firstLine="0"/>
              <w:jc w:val="right"/>
            </w:pPr>
            <w:r>
              <w:rPr>
                <w:rFonts w:ascii="Times New Roman" w:hAnsi="Times New Roman" w:eastAsia="Times New Roman"/>
                <w:b w:val="0"/>
                <w:i w:val="0"/>
                <w:color w:val="000000"/>
                <w:sz w:val="18"/>
              </w:rPr>
              <w:t xml:space="preserve">-250,265,923 </w:t>
            </w:r>
          </w:p>
        </w:tc>
        <w:tc>
          <w:tcPr>
            <w:tcW w:type="dxa" w:w="2412"/>
            <w:tcBorders>
              <w:start w:sz="2.399999999999636"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192" w:after="0"/>
              <w:ind w:left="0" w:right="106" w:firstLine="0"/>
              <w:jc w:val="right"/>
            </w:pPr>
            <w:r>
              <w:rPr>
                <w:rFonts w:ascii="Times New Roman" w:hAnsi="Times New Roman" w:eastAsia="Times New Roman"/>
                <w:b w:val="0"/>
                <w:i w:val="0"/>
                <w:color w:val="000000"/>
                <w:sz w:val="18"/>
              </w:rPr>
              <w:t>-176,472,027</w:t>
            </w:r>
          </w:p>
        </w:tc>
        <w:tc>
          <w:tcPr>
            <w:tcW w:type="dxa" w:w="2410"/>
            <w:tcBorders>
              <w:start w:sz="1.599999999999909"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180" w:lineRule="exact" w:before="198" w:after="0"/>
              <w:ind w:left="0" w:right="104" w:firstLine="0"/>
              <w:jc w:val="right"/>
            </w:pPr>
            <w:r>
              <w:rPr>
                <w:rFonts w:ascii="宋体" w:hAnsi="宋体" w:eastAsia="宋体"/>
                <w:b w:val="0"/>
                <w:i w:val="0"/>
                <w:color w:val="000000"/>
                <w:sz w:val="18"/>
              </w:rPr>
              <w:t>不适用</w:t>
            </w:r>
          </w:p>
        </w:tc>
      </w:tr>
      <w:tr>
        <w:trPr>
          <w:trHeight w:hRule="exact" w:val="344"/>
        </w:trPr>
        <w:tc>
          <w:tcPr>
            <w:tcW w:type="dxa" w:w="2412"/>
            <w:tcBorders>
              <w:start w:sz="2.3999999999999773" w:val="single" w:color="#000000"/>
              <w:top w:sz="1.5999999999994543"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筹资活动现金流入小计 </w:t>
                  </w:r>
                </w:p>
              </w:tc>
            </w:tr>
          </w:tbl>
          <w:p>
            <w:pPr>
              <w:autoSpaceDN w:val="0"/>
              <w:autoSpaceDE w:val="0"/>
              <w:widowControl/>
              <w:spacing w:line="14" w:lineRule="exact" w:before="0" w:after="0"/>
              <w:ind w:left="0" w:right="0"/>
            </w:pPr>
          </w:p>
        </w:tc>
        <w:tc>
          <w:tcPr>
            <w:tcW w:type="dxa" w:w="2408"/>
            <w:tcBorders>
              <w:start w:sz="1.6000000000001364"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82" w:after="0"/>
              <w:ind w:left="0" w:right="62" w:firstLine="0"/>
              <w:jc w:val="right"/>
            </w:pPr>
            <w:r>
              <w:rPr>
                <w:rFonts w:ascii="Times New Roman" w:hAnsi="Times New Roman" w:eastAsia="Times New Roman"/>
                <w:b w:val="0"/>
                <w:i w:val="0"/>
                <w:color w:val="000000"/>
                <w:sz w:val="18"/>
              </w:rPr>
              <w:t xml:space="preserve">7,274,336,801 </w:t>
            </w:r>
          </w:p>
        </w:tc>
        <w:tc>
          <w:tcPr>
            <w:tcW w:type="dxa" w:w="2412"/>
            <w:tcBorders>
              <w:start w:sz="2.399999999999636"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106" w:firstLine="0"/>
              <w:jc w:val="right"/>
            </w:pPr>
            <w:r>
              <w:rPr>
                <w:rFonts w:ascii="Times New Roman" w:hAnsi="Times New Roman" w:eastAsia="Times New Roman"/>
                <w:b w:val="0"/>
                <w:i w:val="0"/>
                <w:color w:val="000000"/>
                <w:sz w:val="18"/>
              </w:rPr>
              <w:t>5,141,956,512</w:t>
            </w:r>
          </w:p>
        </w:tc>
        <w:tc>
          <w:tcPr>
            <w:tcW w:type="dxa" w:w="2410"/>
            <w:tcBorders>
              <w:start w:sz="1.599999999999909" w:val="single" w:color="#000000"/>
              <w:top w:sz="1.5999999999994543" w:val="single" w:color="#000000"/>
              <w:end w:sz="1.5999999999994543" w:val="single" w:color="#000000"/>
              <w:bottom w:sz="1.6000000000003638"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41.47% </w:t>
            </w:r>
          </w:p>
        </w:tc>
      </w:tr>
      <w:tr>
        <w:trPr>
          <w:trHeight w:hRule="exact" w:val="344"/>
        </w:trPr>
        <w:tc>
          <w:tcPr>
            <w:tcW w:type="dxa" w:w="2412"/>
            <w:tcBorders>
              <w:start w:sz="2.3999999999999773" w:val="single" w:color="#000000"/>
              <w:top w:sz="1.6000000000003638" w:val="single" w:color="#000000"/>
              <w:end w:sz="1.6000000000001364"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7.99999999999997"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筹资活动现金流出小计 </w:t>
                  </w:r>
                </w:p>
              </w:tc>
            </w:tr>
          </w:tbl>
          <w:p>
            <w:pPr>
              <w:autoSpaceDN w:val="0"/>
              <w:autoSpaceDE w:val="0"/>
              <w:widowControl/>
              <w:spacing w:line="14" w:lineRule="exact" w:before="0" w:after="0"/>
              <w:ind w:left="0" w:right="0"/>
            </w:pPr>
          </w:p>
        </w:tc>
        <w:tc>
          <w:tcPr>
            <w:tcW w:type="dxa" w:w="2408"/>
            <w:tcBorders>
              <w:start w:sz="1.6000000000001364"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10,137,379,128 </w:t>
            </w:r>
          </w:p>
        </w:tc>
        <w:tc>
          <w:tcPr>
            <w:tcW w:type="dxa" w:w="2412"/>
            <w:tcBorders>
              <w:start w:sz="2.399999999999636"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106" w:firstLine="0"/>
              <w:jc w:val="right"/>
            </w:pPr>
            <w:r>
              <w:rPr>
                <w:rFonts w:ascii="Times New Roman" w:hAnsi="Times New Roman" w:eastAsia="Times New Roman"/>
                <w:b w:val="0"/>
                <w:i w:val="0"/>
                <w:color w:val="000000"/>
                <w:sz w:val="18"/>
              </w:rPr>
              <w:t>8,129,593,654</w:t>
            </w:r>
          </w:p>
        </w:tc>
        <w:tc>
          <w:tcPr>
            <w:tcW w:type="dxa" w:w="2410"/>
            <w:tcBorders>
              <w:start w:sz="1.599999999999909"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233" w:lineRule="auto" w:before="82" w:after="0"/>
              <w:ind w:left="0" w:right="60" w:firstLine="0"/>
              <w:jc w:val="right"/>
            </w:pPr>
            <w:r>
              <w:rPr>
                <w:rFonts w:ascii="Times New Roman" w:hAnsi="Times New Roman" w:eastAsia="Times New Roman"/>
                <w:b w:val="0"/>
                <w:i w:val="0"/>
                <w:color w:val="000000"/>
                <w:sz w:val="18"/>
              </w:rPr>
              <w:t xml:space="preserve">24.70% </w:t>
            </w:r>
          </w:p>
        </w:tc>
      </w:tr>
      <w:tr>
        <w:trPr>
          <w:trHeight w:hRule="exact" w:val="568"/>
        </w:trPr>
        <w:tc>
          <w:tcPr>
            <w:tcW w:type="dxa" w:w="2412"/>
            <w:tcBorders>
              <w:start w:sz="2.3999999999999773" w:val="single" w:color="#000000"/>
              <w:top w:sz="2.399999999999636" w:val="single" w:color="#000000"/>
              <w:end w:sz="1.6000000000001364" w:val="single" w:color="#000000"/>
              <w:bottom w:sz="1.6000000000003638" w:val="single" w:color="#000000"/>
            </w:tcBorders>
            <w:shd w:fill="d2d2d2"/>
            <w:tcMar>
              <w:start w:w="0" w:type="dxa"/>
              <w:end w:w="0" w:type="dxa"/>
            </w:tcMar>
          </w:tcPr>
          <w:p>
            <w:pPr>
              <w:autoSpaceDN w:val="0"/>
              <w:autoSpaceDE w:val="0"/>
              <w:widowControl/>
              <w:spacing w:line="180" w:lineRule="exact" w:before="76" w:after="24"/>
              <w:ind w:left="0" w:right="0" w:firstLine="0"/>
              <w:jc w:val="center"/>
            </w:pPr>
            <w:r>
              <w:rPr>
                <w:shd w:val="clear" w:color="auto" w:fill="d2d2d2"/>
                <w:rFonts w:ascii="宋体" w:hAnsi="宋体" w:eastAsia="宋体"/>
                <w:b w:val="0"/>
                <w:i w:val="0"/>
                <w:color w:val="000000"/>
                <w:sz w:val="18"/>
              </w:rPr>
              <w:t>筹资活动产生的现金流量净</w:t>
            </w:r>
          </w:p>
          <w:tbl>
            <w:tblPr>
              <w:tblW w:type="auto" w:w="0"/>
              <w:tblLayout w:type="fixed"/>
              <w:tblLook w:firstColumn="1" w:firstRow="1" w:lastColumn="0" w:lastRow="0" w:noHBand="0" w:noVBand="1" w:val="04A0"/>
              <w:tblInd w:w="107.99999999999997" w:type="dxa"/>
            </w:tblPr>
            <w:tblGrid>
              <w:gridCol w:w="2412"/>
            </w:tblGrid>
            <w:tr>
              <w:trPr>
                <w:trHeight w:hRule="exact" w:val="262"/>
              </w:trPr>
              <w:tc>
                <w:tcPr>
                  <w:tcW w:type="dxa" w:w="2192"/>
                  <w:tcBorders/>
                  <w:shd w:fill="d2d2d2"/>
                  <w:tcMar>
                    <w:start w:w="0" w:type="dxa"/>
                    <w:end w:w="0" w:type="dxa"/>
                  </w:tcMar>
                </w:tcPr>
                <w:p>
                  <w:pPr>
                    <w:autoSpaceDN w:val="0"/>
                    <w:autoSpaceDE w:val="0"/>
                    <w:widowControl/>
                    <w:spacing w:line="180" w:lineRule="exact" w:before="36" w:after="0"/>
                    <w:ind w:left="0" w:right="0" w:firstLine="0"/>
                    <w:jc w:val="left"/>
                  </w:pPr>
                  <w:r>
                    <w:rPr>
                      <w:rFonts w:ascii="宋体" w:hAnsi="宋体" w:eastAsia="宋体"/>
                      <w:b w:val="0"/>
                      <w:i w:val="0"/>
                      <w:color w:val="000000"/>
                      <w:sz w:val="18"/>
                    </w:rPr>
                    <w:t xml:space="preserve">额 </w:t>
                  </w:r>
                </w:p>
              </w:tc>
            </w:tr>
          </w:tbl>
          <w:p>
            <w:pPr>
              <w:autoSpaceDN w:val="0"/>
              <w:autoSpaceDE w:val="0"/>
              <w:widowControl/>
              <w:spacing w:line="14" w:lineRule="exact" w:before="0" w:after="0"/>
              <w:ind w:left="0" w:right="0"/>
            </w:pPr>
          </w:p>
        </w:tc>
        <w:tc>
          <w:tcPr>
            <w:tcW w:type="dxa" w:w="2408"/>
            <w:tcBorders>
              <w:start w:sz="1.6000000000001364"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192" w:after="0"/>
              <w:ind w:left="0" w:right="60" w:firstLine="0"/>
              <w:jc w:val="right"/>
            </w:pPr>
            <w:r>
              <w:rPr>
                <w:rFonts w:ascii="Times New Roman" w:hAnsi="Times New Roman" w:eastAsia="Times New Roman"/>
                <w:b w:val="0"/>
                <w:i w:val="0"/>
                <w:color w:val="000000"/>
                <w:sz w:val="18"/>
              </w:rPr>
              <w:t xml:space="preserve">-2,863,042,327 </w:t>
            </w:r>
          </w:p>
        </w:tc>
        <w:tc>
          <w:tcPr>
            <w:tcW w:type="dxa" w:w="2412"/>
            <w:tcBorders>
              <w:start w:sz="2.399999999999636"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192" w:after="0"/>
              <w:ind w:left="0" w:right="108" w:firstLine="0"/>
              <w:jc w:val="right"/>
            </w:pPr>
            <w:r>
              <w:rPr>
                <w:rFonts w:ascii="Times New Roman" w:hAnsi="Times New Roman" w:eastAsia="Times New Roman"/>
                <w:b w:val="0"/>
                <w:i w:val="0"/>
                <w:color w:val="000000"/>
                <w:sz w:val="18"/>
              </w:rPr>
              <w:t>-2,987,637,142</w:t>
            </w:r>
          </w:p>
        </w:tc>
        <w:tc>
          <w:tcPr>
            <w:tcW w:type="dxa" w:w="2410"/>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88" w:after="0"/>
              <w:ind w:left="0" w:right="14" w:firstLine="0"/>
              <w:jc w:val="right"/>
            </w:pPr>
            <w:r>
              <w:rPr>
                <w:rFonts w:ascii="宋体" w:hAnsi="宋体" w:eastAsia="宋体"/>
                <w:b w:val="0"/>
                <w:i w:val="0"/>
                <w:color w:val="000000"/>
                <w:sz w:val="18"/>
              </w:rPr>
              <w:t xml:space="preserve">不适用 </w:t>
            </w:r>
          </w:p>
        </w:tc>
      </w:tr>
      <w:tr>
        <w:trPr>
          <w:trHeight w:hRule="exact" w:val="342"/>
        </w:trPr>
        <w:tc>
          <w:tcPr>
            <w:tcW w:type="dxa" w:w="2412"/>
            <w:tcBorders>
              <w:start w:sz="2.3999999999999773" w:val="single" w:color="#000000"/>
              <w:top w:sz="1.6000000000003638" w:val="single" w:color="#000000"/>
              <w:end w:sz="1.6000000000001364" w:val="single" w:color="#000000"/>
              <w:bottom w:sz="2.399999999999636" w:val="single" w:color="#000000"/>
            </w:tcBorders>
            <w:shd w:fill="d2d2d2"/>
            <w:tcMar>
              <w:start w:w="0" w:type="dxa"/>
              <w:end w:w="0" w:type="dxa"/>
            </w:tcMar>
          </w:tcPr>
          <w:p>
            <w:pPr>
              <w:autoSpaceDN w:val="0"/>
              <w:autoSpaceDE w:val="0"/>
              <w:widowControl/>
              <w:spacing w:line="180" w:lineRule="exact" w:before="86" w:after="0"/>
              <w:ind w:left="0" w:right="0" w:firstLine="0"/>
              <w:jc w:val="center"/>
            </w:pPr>
            <w:r>
              <w:rPr>
                <w:shd w:val="clear" w:color="auto" w:fill="d2d2d2"/>
                <w:rFonts w:ascii="宋体" w:hAnsi="宋体" w:eastAsia="宋体"/>
                <w:b w:val="0"/>
                <w:i w:val="0"/>
                <w:color w:val="000000"/>
                <w:sz w:val="18"/>
              </w:rPr>
              <w:t>现金及现金等价物净增加额</w:t>
            </w:r>
            <w:r>
              <w:rPr>
                <w:rFonts w:ascii="宋体" w:hAnsi="宋体" w:eastAsia="宋体"/>
                <w:b w:val="0"/>
                <w:i w:val="0"/>
                <w:color w:val="000000"/>
                <w:sz w:val="18"/>
              </w:rPr>
              <w:t xml:space="preserve"> </w:t>
            </w:r>
          </w:p>
        </w:tc>
        <w:tc>
          <w:tcPr>
            <w:tcW w:type="dxa" w:w="2408"/>
            <w:tcBorders>
              <w:start w:sz="1.6000000000001364"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80" w:after="0"/>
              <w:ind w:left="0" w:right="62" w:firstLine="0"/>
              <w:jc w:val="right"/>
            </w:pPr>
            <w:r>
              <w:rPr>
                <w:rFonts w:ascii="Times New Roman" w:hAnsi="Times New Roman" w:eastAsia="Times New Roman"/>
                <w:b w:val="0"/>
                <w:i w:val="0"/>
                <w:color w:val="000000"/>
                <w:sz w:val="18"/>
              </w:rPr>
              <w:t xml:space="preserve">4,960,964,785 </w:t>
            </w:r>
          </w:p>
        </w:tc>
        <w:tc>
          <w:tcPr>
            <w:tcW w:type="dxa" w:w="2412"/>
            <w:tcBorders>
              <w:start w:sz="2.399999999999636"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108" w:firstLine="0"/>
              <w:jc w:val="right"/>
            </w:pPr>
            <w:r>
              <w:rPr>
                <w:rFonts w:ascii="Times New Roman" w:hAnsi="Times New Roman" w:eastAsia="Times New Roman"/>
                <w:b w:val="0"/>
                <w:i w:val="0"/>
                <w:color w:val="000000"/>
                <w:sz w:val="18"/>
              </w:rPr>
              <w:t>-2,231,425,601</w:t>
            </w:r>
          </w:p>
        </w:tc>
        <w:tc>
          <w:tcPr>
            <w:tcW w:type="dxa" w:w="2410"/>
            <w:tcBorders>
              <w:start w:sz="1.599999999999909"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180" w:lineRule="exact" w:before="86" w:after="0"/>
              <w:ind w:left="0" w:right="14" w:firstLine="0"/>
              <w:jc w:val="right"/>
            </w:pPr>
            <w:r>
              <w:rPr>
                <w:rFonts w:ascii="宋体" w:hAnsi="宋体" w:eastAsia="宋体"/>
                <w:b w:val="0"/>
                <w:i w:val="0"/>
                <w:color w:val="000000"/>
                <w:sz w:val="18"/>
              </w:rPr>
              <w:t xml:space="preserve">不适用 </w:t>
            </w:r>
          </w:p>
        </w:tc>
      </w:tr>
    </w:tbl>
    <w:p>
      <w:pPr>
        <w:autoSpaceDN w:val="0"/>
        <w:autoSpaceDE w:val="0"/>
        <w:widowControl/>
        <w:spacing w:line="212" w:lineRule="exact" w:before="110" w:after="0"/>
        <w:ind w:left="112" w:right="0" w:firstLine="0"/>
        <w:jc w:val="left"/>
      </w:pPr>
      <w:r>
        <w:rPr>
          <w:rFonts w:ascii="宋体" w:hAnsi="宋体" w:eastAsia="宋体"/>
          <w:b w:val="0"/>
          <w:i w:val="0"/>
          <w:color w:val="000000"/>
          <w:sz w:val="21"/>
        </w:rPr>
        <w:t xml:space="preserve">相关数据同比发生重大变动的主要影响因素说明 </w:t>
      </w:r>
    </w:p>
    <w:p>
      <w:pPr>
        <w:autoSpaceDN w:val="0"/>
        <w:autoSpaceDE w:val="0"/>
        <w:widowControl/>
        <w:spacing w:line="212" w:lineRule="exact" w:before="128" w:after="0"/>
        <w:ind w:left="112" w:right="0" w:firstLine="0"/>
        <w:jc w:val="left"/>
      </w:pPr>
      <w:r>
        <w:rPr>
          <w:rFonts w:ascii="宋体" w:hAnsi="宋体" w:eastAsia="宋体"/>
          <w:b w:val="0"/>
          <w:i w:val="0"/>
          <w:color w:val="000000"/>
          <w:sz w:val="21"/>
        </w:rPr>
        <w:t xml:space="preserve">√适用 □不适用 </w:t>
      </w:r>
    </w:p>
    <w:p>
      <w:pPr>
        <w:autoSpaceDN w:val="0"/>
        <w:autoSpaceDE w:val="0"/>
        <w:widowControl/>
        <w:spacing w:line="212" w:lineRule="exact" w:before="304" w:after="0"/>
        <w:ind w:left="532" w:right="0" w:firstLine="0"/>
        <w:jc w:val="left"/>
      </w:pPr>
      <w:r>
        <w:rPr>
          <w:rFonts w:ascii="宋体" w:hAnsi="宋体" w:eastAsia="宋体"/>
          <w:b w:val="0"/>
          <w:i w:val="0"/>
          <w:color w:val="000000"/>
          <w:sz w:val="21"/>
        </w:rPr>
        <w:t>报告期内，公司现金及现金等价物净增加额496,096.48 万元，主要为经营活动产生的现金流量净额</w:t>
      </w:r>
    </w:p>
    <w:p>
      <w:pPr>
        <w:autoSpaceDN w:val="0"/>
        <w:autoSpaceDE w:val="0"/>
        <w:widowControl/>
        <w:spacing w:line="212" w:lineRule="exact" w:before="250" w:after="0"/>
        <w:ind w:left="112" w:right="0" w:firstLine="0"/>
        <w:jc w:val="left"/>
      </w:pPr>
      <w:r>
        <w:rPr>
          <w:rFonts w:ascii="宋体" w:hAnsi="宋体" w:eastAsia="宋体"/>
          <w:b w:val="0"/>
          <w:i w:val="0"/>
          <w:color w:val="000000"/>
          <w:sz w:val="21"/>
        </w:rPr>
        <w:t xml:space="preserve">大幅增加。 </w:t>
      </w:r>
    </w:p>
    <w:p>
      <w:pPr>
        <w:autoSpaceDN w:val="0"/>
        <w:autoSpaceDE w:val="0"/>
        <w:widowControl/>
        <w:spacing w:line="212" w:lineRule="exact" w:before="248" w:after="0"/>
        <w:ind w:left="532" w:right="0" w:firstLine="0"/>
        <w:jc w:val="left"/>
      </w:pPr>
      <w:r>
        <w:rPr>
          <w:rFonts w:ascii="宋体" w:hAnsi="宋体" w:eastAsia="宋体"/>
          <w:b w:val="0"/>
          <w:i w:val="0"/>
          <w:color w:val="000000"/>
          <w:sz w:val="21"/>
        </w:rPr>
        <w:t>经营活动产生的现金流量净额806,637.56 万元，同比增加714,081.77 万元，主要为报告期内代理</w:t>
      </w:r>
    </w:p>
    <w:p>
      <w:pPr>
        <w:autoSpaceDN w:val="0"/>
        <w:autoSpaceDE w:val="0"/>
        <w:widowControl/>
        <w:spacing w:line="210" w:lineRule="exact" w:before="248" w:after="0"/>
        <w:ind w:left="0" w:right="0" w:firstLine="0"/>
        <w:jc w:val="center"/>
      </w:pPr>
      <w:r>
        <w:rPr>
          <w:rFonts w:ascii="宋体" w:hAnsi="宋体" w:eastAsia="宋体"/>
          <w:b w:val="0"/>
          <w:i w:val="0"/>
          <w:color w:val="000000"/>
          <w:sz w:val="21"/>
        </w:rPr>
        <w:t>买卖证券款规模增加，卖出为交易目的而持有的金融资产，买入为交易目的而持有的金融负债导致现金</w:t>
      </w:r>
    </w:p>
    <w:p>
      <w:pPr>
        <w:autoSpaceDN w:val="0"/>
        <w:autoSpaceDE w:val="0"/>
        <w:widowControl/>
        <w:spacing w:line="197" w:lineRule="auto" w:before="748" w:after="0"/>
        <w:ind w:left="0" w:right="4738" w:firstLine="0"/>
        <w:jc w:val="right"/>
      </w:pPr>
      <w:r>
        <w:rPr>
          <w:rFonts w:ascii="Calibri" w:hAnsi="Calibri" w:eastAsia="Calibri"/>
          <w:b w:val="0"/>
          <w:i w:val="0"/>
          <w:color w:val="000000"/>
          <w:sz w:val="18"/>
        </w:rPr>
        <w:t xml:space="preserve">37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004" w:header="720" w:footer="720" w:gutter="0"/>
          <w:cols/>
          <w:docGrid w:linePitch="360"/>
        </w:sectPr>
      </w:pPr>
    </w:p>
    <w:p>
      <w:pPr>
        <w:autoSpaceDN w:val="0"/>
        <w:autoSpaceDE w:val="0"/>
        <w:widowControl/>
        <w:spacing w:line="240" w:lineRule="auto" w:before="0" w:after="0"/>
        <w:ind w:left="130" w:right="0" w:firstLine="0"/>
        <w:jc w:val="left"/>
      </w:pPr>
      <w:r>
        <w:drawing>
          <wp:inline xmlns:a="http://schemas.openxmlformats.org/drawingml/2006/main" xmlns:pic="http://schemas.openxmlformats.org/drawingml/2006/picture">
            <wp:extent cx="1844039" cy="439419"/>
            <wp:docPr id="40" name="Picture 4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004" w:header="720" w:footer="720" w:gutter="0"/>
          <w:cols w:num="2" w:equalWidth="0">
            <w:col w:w="55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004" w:header="720" w:footer="720" w:gutter="0"/>
          <w:cols w:num="2" w:equalWidth="0">
            <w:col w:w="5536" w:space="0"/>
            <w:col w:w="4464" w:space="0"/>
          </w:cols>
          <w:docGrid w:linePitch="360"/>
        </w:sectPr>
      </w:pPr>
    </w:p>
    <w:p>
      <w:pPr>
        <w:autoSpaceDN w:val="0"/>
        <w:autoSpaceDE w:val="0"/>
        <w:widowControl/>
        <w:spacing w:line="210" w:lineRule="exact" w:before="200" w:after="0"/>
        <w:ind w:left="130" w:right="0" w:firstLine="0"/>
        <w:jc w:val="left"/>
      </w:pPr>
      <w:r>
        <w:rPr>
          <w:rFonts w:ascii="宋体" w:hAnsi="宋体" w:eastAsia="宋体"/>
          <w:b w:val="0"/>
          <w:i w:val="0"/>
          <w:color w:val="000000"/>
          <w:sz w:val="21"/>
        </w:rPr>
        <w:t xml:space="preserve">净流入。 </w:t>
      </w:r>
    </w:p>
    <w:p>
      <w:pPr>
        <w:autoSpaceDN w:val="0"/>
        <w:tabs>
          <w:tab w:pos="550" w:val="left"/>
        </w:tabs>
        <w:autoSpaceDE w:val="0"/>
        <w:widowControl/>
        <w:spacing w:line="460" w:lineRule="exact" w:before="0" w:after="0"/>
        <w:ind w:left="130" w:right="144" w:firstLine="0"/>
        <w:jc w:val="left"/>
      </w:pPr>
      <w:r>
        <w:tab/>
      </w:r>
      <w:r>
        <w:rPr>
          <w:rFonts w:ascii="宋体" w:hAnsi="宋体" w:eastAsia="宋体"/>
          <w:b w:val="0"/>
          <w:i w:val="0"/>
          <w:color w:val="000000"/>
          <w:sz w:val="21"/>
        </w:rPr>
        <w:t>相关数据同比发生变动30%以上的原因见本节“七、资产及负债状况分析中的4、比较式财务报表中</w:t>
      </w:r>
      <w:r>
        <w:rPr>
          <w:rFonts w:ascii="宋体" w:hAnsi="宋体" w:eastAsia="宋体"/>
          <w:b w:val="0"/>
          <w:i w:val="0"/>
          <w:color w:val="000000"/>
          <w:sz w:val="21"/>
        </w:rPr>
        <w:t>变动幅度超过30%以上项目的情况”</w:t>
      </w:r>
    </w:p>
    <w:p>
      <w:pPr>
        <w:autoSpaceDN w:val="0"/>
        <w:autoSpaceDE w:val="0"/>
        <w:widowControl/>
        <w:spacing w:line="342" w:lineRule="exact" w:before="380" w:after="0"/>
        <w:ind w:left="130" w:right="2160" w:firstLine="0"/>
        <w:jc w:val="left"/>
      </w:pPr>
      <w:r>
        <w:rPr>
          <w:rFonts w:ascii="宋体" w:hAnsi="宋体" w:eastAsia="宋体"/>
          <w:b w:val="0"/>
          <w:i w:val="0"/>
          <w:color w:val="000000"/>
          <w:sz w:val="21"/>
        </w:rPr>
        <w:t xml:space="preserve">报告期内公司经营活动产生的现金净流量与本年度净利润存在重大差异的原因说明 </w:t>
      </w:r>
      <w:r>
        <w:rPr>
          <w:rFonts w:ascii="宋体" w:hAnsi="宋体" w:eastAsia="宋体"/>
          <w:b w:val="0"/>
          <w:i w:val="0"/>
          <w:color w:val="000000"/>
          <w:sz w:val="21"/>
        </w:rPr>
        <w:t xml:space="preserve">√适用 □不适用 </w:t>
      </w:r>
    </w:p>
    <w:p>
      <w:pPr>
        <w:autoSpaceDN w:val="0"/>
        <w:autoSpaceDE w:val="0"/>
        <w:widowControl/>
        <w:spacing w:line="460" w:lineRule="exact" w:before="56" w:after="0"/>
        <w:ind w:left="130" w:right="0" w:firstLine="420"/>
        <w:jc w:val="left"/>
      </w:pPr>
      <w:r>
        <w:rPr>
          <w:rFonts w:ascii="宋体" w:hAnsi="宋体" w:eastAsia="宋体"/>
          <w:b w:val="0"/>
          <w:i w:val="0"/>
          <w:color w:val="000000"/>
          <w:sz w:val="21"/>
        </w:rPr>
        <w:t>报告期内，公司经营活动产生的现金流量与本年度净利润存在重大差异的主要原因为：经营性应收</w:t>
      </w:r>
      <w:r>
        <w:rPr>
          <w:rFonts w:ascii="宋体" w:hAnsi="宋体" w:eastAsia="宋体"/>
          <w:b w:val="0"/>
          <w:i w:val="0"/>
          <w:color w:val="000000"/>
          <w:sz w:val="21"/>
        </w:rPr>
        <w:t>项目减少182,409.07 万元，经营性应付项目增加461,161.89 万元，融资活动利息支出53,374.54 万元，</w:t>
      </w:r>
      <w:r>
        <w:rPr>
          <w:rFonts w:ascii="宋体" w:hAnsi="宋体" w:eastAsia="宋体"/>
          <w:b w:val="0"/>
          <w:i w:val="0"/>
          <w:color w:val="000000"/>
          <w:sz w:val="21"/>
        </w:rPr>
        <w:t xml:space="preserve">计提各项非现金支出28,929.09 万元，投资收益10,856.33 万元。 </w:t>
      </w:r>
    </w:p>
    <w:p>
      <w:pPr>
        <w:autoSpaceDN w:val="0"/>
        <w:autoSpaceDE w:val="0"/>
        <w:widowControl/>
        <w:spacing w:line="240" w:lineRule="exact" w:before="412" w:after="0"/>
        <w:ind w:left="130" w:right="0" w:firstLine="0"/>
        <w:jc w:val="left"/>
      </w:pPr>
      <w:r>
        <w:rPr>
          <w:rFonts w:ascii="宋体" w:hAnsi="宋体" w:eastAsia="宋体"/>
          <w:b w:val="0"/>
          <w:i w:val="0"/>
          <w:color w:val="000000"/>
          <w:sz w:val="24"/>
        </w:rPr>
        <w:t xml:space="preserve">五、主营业务构成情况 </w:t>
      </w:r>
    </w:p>
    <w:p>
      <w:pPr>
        <w:autoSpaceDN w:val="0"/>
        <w:autoSpaceDE w:val="0"/>
        <w:widowControl/>
        <w:spacing w:line="212" w:lineRule="exact" w:before="372" w:after="0"/>
        <w:ind w:left="130" w:right="0" w:firstLine="0"/>
        <w:jc w:val="left"/>
      </w:pPr>
      <w:r>
        <w:rPr>
          <w:rFonts w:ascii="宋体" w:hAnsi="宋体" w:eastAsia="宋体"/>
          <w:b w:val="0"/>
          <w:i w:val="0"/>
          <w:color w:val="000000"/>
          <w:sz w:val="21"/>
        </w:rPr>
        <w:t xml:space="preserve">1、主营业务分业务情况 </w:t>
      </w:r>
    </w:p>
    <w:p>
      <w:pPr>
        <w:autoSpaceDN w:val="0"/>
        <w:autoSpaceDE w:val="0"/>
        <w:widowControl/>
        <w:spacing w:line="180" w:lineRule="exact" w:before="360" w:after="66"/>
        <w:ind w:left="0" w:right="328"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1.9999999999998863" w:type="dxa"/>
      </w:tblPr>
      <w:tblGrid>
        <w:gridCol w:w="1429"/>
        <w:gridCol w:w="1429"/>
        <w:gridCol w:w="1429"/>
        <w:gridCol w:w="1429"/>
        <w:gridCol w:w="1429"/>
        <w:gridCol w:w="1429"/>
        <w:gridCol w:w="1429"/>
      </w:tblGrid>
      <w:tr>
        <w:trPr>
          <w:trHeight w:hRule="exact" w:val="568"/>
        </w:trPr>
        <w:tc>
          <w:tcPr>
            <w:tcW w:type="dxa" w:w="1556"/>
            <w:tcBorders>
              <w:start w:sz="1.599999999999966" w:val="single" w:color="#000000"/>
              <w:top w:sz="1.599999999999909"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196" w:after="0"/>
              <w:ind w:left="0" w:right="326" w:firstLine="0"/>
              <w:jc w:val="right"/>
            </w:pPr>
            <w:r>
              <w:rPr>
                <w:rFonts w:ascii="宋体" w:hAnsi="宋体" w:eastAsia="宋体"/>
                <w:b w:val="0"/>
                <w:i w:val="0"/>
                <w:color w:val="000000"/>
                <w:sz w:val="18"/>
              </w:rPr>
              <w:t xml:space="preserve">业务类别 </w:t>
            </w:r>
          </w:p>
        </w:tc>
        <w:tc>
          <w:tcPr>
            <w:tcW w:type="dxa" w:w="1274"/>
            <w:tcBorders>
              <w:start w:sz="2.3999999999998636"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96" w:after="0"/>
              <w:ind w:left="184" w:right="0" w:firstLine="0"/>
              <w:jc w:val="left"/>
            </w:pPr>
            <w:r>
              <w:rPr>
                <w:rFonts w:ascii="宋体" w:hAnsi="宋体" w:eastAsia="宋体"/>
                <w:b w:val="0"/>
                <w:i w:val="0"/>
                <w:color w:val="000000"/>
                <w:sz w:val="18"/>
              </w:rPr>
              <w:t xml:space="preserve">营业总收入 </w:t>
            </w:r>
          </w:p>
        </w:tc>
        <w:tc>
          <w:tcPr>
            <w:tcW w:type="dxa" w:w="1248"/>
            <w:tcBorders>
              <w:start w:sz="1.6000000000001364"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96" w:after="0"/>
              <w:ind w:left="262" w:right="0" w:firstLine="0"/>
              <w:jc w:val="left"/>
            </w:pPr>
            <w:r>
              <w:rPr>
                <w:rFonts w:ascii="宋体" w:hAnsi="宋体" w:eastAsia="宋体"/>
                <w:b w:val="0"/>
                <w:i w:val="0"/>
                <w:color w:val="000000"/>
                <w:sz w:val="18"/>
              </w:rPr>
              <w:t xml:space="preserve">营业支出 </w:t>
            </w:r>
          </w:p>
        </w:tc>
        <w:tc>
          <w:tcPr>
            <w:tcW w:type="dxa" w:w="1078"/>
            <w:tcBorders>
              <w:start w:sz="1.6000000000001364"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tabs>
                <w:tab w:pos="448" w:val="left"/>
              </w:tabs>
              <w:autoSpaceDE w:val="0"/>
              <w:widowControl/>
              <w:spacing w:line="240" w:lineRule="exact" w:before="16" w:after="0"/>
              <w:ind w:left="178" w:right="144" w:firstLine="0"/>
              <w:jc w:val="left"/>
            </w:pPr>
            <w:r>
              <w:rPr>
                <w:rFonts w:ascii="宋体" w:hAnsi="宋体" w:eastAsia="宋体"/>
                <w:b w:val="0"/>
                <w:i w:val="0"/>
                <w:color w:val="000000"/>
                <w:sz w:val="18"/>
              </w:rPr>
              <w:t>营业利润</w:t>
            </w:r>
            <w:r>
              <w:tab/>
            </w:r>
            <w:r>
              <w:rPr>
                <w:rFonts w:ascii="宋体" w:hAnsi="宋体" w:eastAsia="宋体"/>
                <w:b w:val="0"/>
                <w:i w:val="0"/>
                <w:color w:val="000000"/>
                <w:sz w:val="18"/>
              </w:rPr>
              <w:t xml:space="preserve">率 </w:t>
            </w:r>
          </w:p>
        </w:tc>
        <w:tc>
          <w:tcPr>
            <w:tcW w:type="dxa" w:w="1350"/>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32" w:right="0" w:firstLine="0"/>
              <w:jc w:val="left"/>
            </w:pPr>
            <w:r>
              <w:rPr>
                <w:rFonts w:ascii="宋体" w:hAnsi="宋体" w:eastAsia="宋体"/>
                <w:b w:val="0"/>
                <w:i w:val="0"/>
                <w:color w:val="000000"/>
                <w:sz w:val="18"/>
              </w:rPr>
              <w:t>营业总收入比</w:t>
            </w:r>
            <w:r>
              <w:rPr>
                <w:rFonts w:ascii="宋体" w:hAnsi="宋体" w:eastAsia="宋体"/>
                <w:b w:val="0"/>
                <w:i w:val="0"/>
                <w:color w:val="000000"/>
                <w:sz w:val="18"/>
              </w:rPr>
              <w:t xml:space="preserve">上年同期增减 </w:t>
            </w:r>
          </w:p>
        </w:tc>
        <w:tc>
          <w:tcPr>
            <w:tcW w:type="dxa" w:w="1426"/>
            <w:tcBorders>
              <w:start w:sz="1.599999999999909"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262" w:right="144" w:hanging="90"/>
              <w:jc w:val="left"/>
            </w:pPr>
            <w:r>
              <w:rPr>
                <w:rFonts w:ascii="宋体" w:hAnsi="宋体" w:eastAsia="宋体"/>
                <w:b w:val="0"/>
                <w:i w:val="0"/>
                <w:color w:val="000000"/>
                <w:sz w:val="18"/>
              </w:rPr>
              <w:t>营业支出比上</w:t>
            </w:r>
            <w:r>
              <w:rPr>
                <w:rFonts w:ascii="宋体" w:hAnsi="宋体" w:eastAsia="宋体"/>
                <w:b w:val="0"/>
                <w:i w:val="0"/>
                <w:color w:val="000000"/>
                <w:sz w:val="18"/>
              </w:rPr>
              <w:t xml:space="preserve">年同期增减 </w:t>
            </w:r>
          </w:p>
        </w:tc>
        <w:tc>
          <w:tcPr>
            <w:tcW w:type="dxa" w:w="1870"/>
            <w:tcBorders>
              <w:start w:sz="2.400000000000091" w:val="single" w:color="#000000"/>
              <w:top w:sz="1.599999999999909" w:val="single" w:color="#000000"/>
              <w:end w:sz="2.399999999999636" w:val="single" w:color="#000000"/>
              <w:bottom w:sz="2.400000000000091" w:val="single" w:color="#000000"/>
            </w:tcBorders>
            <w:shd w:fill="d2d2d2"/>
            <w:tcMar>
              <w:start w:w="0" w:type="dxa"/>
              <w:end w:w="0" w:type="dxa"/>
            </w:tcMar>
          </w:tcPr>
          <w:p>
            <w:pPr>
              <w:autoSpaceDN w:val="0"/>
              <w:tabs>
                <w:tab w:pos="662" w:val="left"/>
              </w:tabs>
              <w:autoSpaceDE w:val="0"/>
              <w:widowControl/>
              <w:spacing w:line="240" w:lineRule="exact" w:before="16" w:after="0"/>
              <w:ind w:left="122" w:right="0" w:firstLine="0"/>
              <w:jc w:val="left"/>
            </w:pPr>
            <w:r>
              <w:rPr>
                <w:rFonts w:ascii="宋体" w:hAnsi="宋体" w:eastAsia="宋体"/>
                <w:b w:val="0"/>
                <w:i w:val="0"/>
                <w:color w:val="000000"/>
                <w:sz w:val="18"/>
              </w:rPr>
              <w:t>营业利润率比上年同</w:t>
            </w:r>
            <w:r>
              <w:tab/>
            </w:r>
            <w:r>
              <w:rPr>
                <w:rFonts w:ascii="宋体" w:hAnsi="宋体" w:eastAsia="宋体"/>
                <w:b w:val="0"/>
                <w:i w:val="0"/>
                <w:color w:val="000000"/>
                <w:sz w:val="18"/>
              </w:rPr>
              <w:t xml:space="preserve">期增减 </w:t>
            </w:r>
          </w:p>
        </w:tc>
      </w:tr>
      <w:tr>
        <w:trPr>
          <w:trHeight w:hRule="exact" w:val="400"/>
        </w:trPr>
        <w:tc>
          <w:tcPr>
            <w:tcW w:type="dxa" w:w="1556"/>
            <w:tcBorders>
              <w:start w:sz="1.599999999999966" w:val="single" w:color="#000000"/>
              <w:top w:sz="2.400000000000091"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财富管理业务 </w:t>
            </w:r>
          </w:p>
        </w:tc>
        <w:tc>
          <w:tcPr>
            <w:tcW w:type="dxa" w:w="1274"/>
            <w:tcBorders>
              <w:start w:sz="2.3999999999998636" w:val="single" w:color="#000000"/>
              <w:top w:sz="2.400000000000091" w:val="single" w:color="#000000"/>
              <w:end w:sz="1.6000000000001364" w:val="single" w:color="#000000"/>
              <w:bottom w:sz="1.6000000000003638" w:val="single" w:color="#000000"/>
            </w:tcBorders>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1,041,101,885</w:t>
            </w:r>
          </w:p>
        </w:tc>
        <w:tc>
          <w:tcPr>
            <w:tcW w:type="dxa" w:w="1248"/>
            <w:tcBorders>
              <w:start w:sz="1.6000000000001364" w:val="single" w:color="#000000"/>
              <w:top w:sz="2.400000000000091" w:val="single" w:color="#000000"/>
              <w:end w:sz="1.6000000000001364" w:val="single" w:color="#000000"/>
              <w:bottom w:sz="1.6000000000003638" w:val="single" w:color="#000000"/>
            </w:tcBorders>
            <w:tcMar>
              <w:start w:w="0" w:type="dxa"/>
              <w:end w:w="0" w:type="dxa"/>
            </w:tcMar>
          </w:tcPr>
          <w:p>
            <w:pPr>
              <w:autoSpaceDN w:val="0"/>
              <w:autoSpaceDE w:val="0"/>
              <w:widowControl/>
              <w:spacing w:line="233" w:lineRule="auto" w:before="96" w:after="0"/>
              <w:ind w:left="238" w:right="0" w:firstLine="0"/>
              <w:jc w:val="left"/>
            </w:pPr>
            <w:r>
              <w:rPr>
                <w:rFonts w:ascii="Times New Roman" w:hAnsi="Times New Roman" w:eastAsia="Times New Roman"/>
                <w:b w:val="0"/>
                <w:i w:val="0"/>
                <w:color w:val="000000"/>
                <w:sz w:val="18"/>
              </w:rPr>
              <w:t xml:space="preserve">689,292,488 </w:t>
            </w:r>
          </w:p>
        </w:tc>
        <w:tc>
          <w:tcPr>
            <w:tcW w:type="dxa" w:w="1078"/>
            <w:tcBorders>
              <w:start w:sz="1.6000000000001364"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96" w:after="0"/>
              <w:ind w:left="0" w:right="60" w:firstLine="0"/>
              <w:jc w:val="right"/>
            </w:pPr>
            <w:r>
              <w:rPr>
                <w:rFonts w:ascii="Times New Roman" w:hAnsi="Times New Roman" w:eastAsia="Times New Roman"/>
                <w:b w:val="0"/>
                <w:i w:val="0"/>
                <w:color w:val="000000"/>
                <w:sz w:val="18"/>
              </w:rPr>
              <w:t xml:space="preserve">33.79% </w:t>
            </w:r>
          </w:p>
        </w:tc>
        <w:tc>
          <w:tcPr>
            <w:tcW w:type="dxa" w:w="1350"/>
            <w:tcBorders>
              <w:start w:sz="1.599999999999909"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96" w:after="0"/>
              <w:ind w:left="0" w:right="62" w:firstLine="0"/>
              <w:jc w:val="right"/>
            </w:pPr>
            <w:r>
              <w:rPr>
                <w:rFonts w:ascii="Times New Roman" w:hAnsi="Times New Roman" w:eastAsia="Times New Roman"/>
                <w:b w:val="0"/>
                <w:i w:val="0"/>
                <w:color w:val="000000"/>
                <w:sz w:val="18"/>
              </w:rPr>
              <w:t xml:space="preserve">21.43% </w:t>
            </w:r>
          </w:p>
        </w:tc>
        <w:tc>
          <w:tcPr>
            <w:tcW w:type="dxa" w:w="1426"/>
            <w:tcBorders>
              <w:start w:sz="1.599999999999909" w:val="single" w:color="#000000"/>
              <w:top w:sz="2.400000000000091"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96" w:after="0"/>
              <w:ind w:left="0" w:right="60" w:firstLine="0"/>
              <w:jc w:val="right"/>
            </w:pPr>
            <w:r>
              <w:rPr>
                <w:rFonts w:ascii="Times New Roman" w:hAnsi="Times New Roman" w:eastAsia="Times New Roman"/>
                <w:b w:val="0"/>
                <w:i w:val="0"/>
                <w:color w:val="000000"/>
                <w:sz w:val="18"/>
              </w:rPr>
              <w:t xml:space="preserve">3.88% </w:t>
            </w:r>
          </w:p>
        </w:tc>
        <w:tc>
          <w:tcPr>
            <w:tcW w:type="dxa" w:w="1870"/>
            <w:tcBorders>
              <w:start w:sz="2.400000000000091" w:val="single" w:color="#000000"/>
              <w:top w:sz="2.400000000000091" w:val="single" w:color="#000000"/>
              <w:end w:sz="2.399999999999636" w:val="single" w:color="#000000"/>
              <w:bottom w:sz="1.6000000000003638" w:val="single" w:color="#000000"/>
            </w:tcBorders>
            <w:tcMar>
              <w:start w:w="0" w:type="dxa"/>
              <w:end w:w="0" w:type="dxa"/>
            </w:tcMar>
          </w:tcPr>
          <w:p>
            <w:pPr>
              <w:autoSpaceDN w:val="0"/>
              <w:autoSpaceDE w:val="0"/>
              <w:widowControl/>
              <w:spacing w:line="200" w:lineRule="exact" w:before="96" w:after="0"/>
              <w:ind w:left="194" w:right="0" w:firstLine="0"/>
              <w:jc w:val="left"/>
            </w:pPr>
            <w:r>
              <w:rPr>
                <w:rFonts w:ascii="宋体" w:hAnsi="宋体" w:eastAsia="宋体"/>
                <w:b w:val="0"/>
                <w:i w:val="0"/>
                <w:color w:val="000000"/>
                <w:sz w:val="18"/>
              </w:rPr>
              <w:t>增长</w:t>
            </w:r>
            <w:r>
              <w:rPr>
                <w:rFonts w:ascii="Times New Roman" w:hAnsi="Times New Roman" w:eastAsia="Times New Roman"/>
                <w:b w:val="0"/>
                <w:i w:val="0"/>
                <w:color w:val="000000"/>
                <w:sz w:val="18"/>
              </w:rPr>
              <w:t>11.19</w:t>
            </w:r>
            <w:r>
              <w:rPr>
                <w:rFonts w:ascii="宋体" w:hAnsi="宋体" w:eastAsia="宋体"/>
                <w:b w:val="0"/>
                <w:i w:val="0"/>
                <w:color w:val="000000"/>
                <w:sz w:val="18"/>
              </w:rPr>
              <w:t xml:space="preserve"> 个百分点</w:t>
            </w:r>
          </w:p>
        </w:tc>
      </w:tr>
      <w:tr>
        <w:trPr>
          <w:trHeight w:hRule="exact" w:val="402"/>
        </w:trPr>
        <w:tc>
          <w:tcPr>
            <w:tcW w:type="dxa" w:w="1556"/>
            <w:tcBorders>
              <w:start w:sz="1.599999999999966" w:val="single" w:color="#000000"/>
              <w:top w:sz="1.6000000000003638"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自营业务 </w:t>
            </w:r>
          </w:p>
        </w:tc>
        <w:tc>
          <w:tcPr>
            <w:tcW w:type="dxa" w:w="1274"/>
            <w:tcBorders>
              <w:start w:sz="2.3999999999998636" w:val="single" w:color="#000000"/>
              <w:top w:sz="1.6000000000003638"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1,083,293,142</w:t>
            </w:r>
          </w:p>
        </w:tc>
        <w:tc>
          <w:tcPr>
            <w:tcW w:type="dxa" w:w="1248"/>
            <w:tcBorders>
              <w:start w:sz="1.6000000000001364" w:val="single" w:color="#000000"/>
              <w:top w:sz="1.6000000000003638"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100" w:after="0"/>
              <w:ind w:left="238" w:right="0" w:firstLine="0"/>
              <w:jc w:val="left"/>
            </w:pPr>
            <w:r>
              <w:rPr>
                <w:rFonts w:ascii="Times New Roman" w:hAnsi="Times New Roman" w:eastAsia="Times New Roman"/>
                <w:b w:val="0"/>
                <w:i w:val="0"/>
                <w:color w:val="000000"/>
                <w:sz w:val="18"/>
              </w:rPr>
              <w:t xml:space="preserve">481,428,992 </w:t>
            </w:r>
          </w:p>
        </w:tc>
        <w:tc>
          <w:tcPr>
            <w:tcW w:type="dxa" w:w="1078"/>
            <w:tcBorders>
              <w:start w:sz="1.6000000000001364"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00" w:after="0"/>
              <w:ind w:left="0" w:right="60" w:firstLine="0"/>
              <w:jc w:val="right"/>
            </w:pPr>
            <w:r>
              <w:rPr>
                <w:rFonts w:ascii="Times New Roman" w:hAnsi="Times New Roman" w:eastAsia="Times New Roman"/>
                <w:b w:val="0"/>
                <w:i w:val="0"/>
                <w:color w:val="000000"/>
                <w:sz w:val="18"/>
              </w:rPr>
              <w:t xml:space="preserve">55.56% </w:t>
            </w:r>
          </w:p>
        </w:tc>
        <w:tc>
          <w:tcPr>
            <w:tcW w:type="dxa" w:w="1350"/>
            <w:tcBorders>
              <w:start w:sz="1.599999999999909"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00" w:after="0"/>
              <w:ind w:left="0" w:right="62" w:firstLine="0"/>
              <w:jc w:val="right"/>
            </w:pPr>
            <w:r>
              <w:rPr>
                <w:rFonts w:ascii="Times New Roman" w:hAnsi="Times New Roman" w:eastAsia="Times New Roman"/>
                <w:b w:val="0"/>
                <w:i w:val="0"/>
                <w:color w:val="000000"/>
                <w:sz w:val="18"/>
              </w:rPr>
              <w:t xml:space="preserve">-15.59% </w:t>
            </w:r>
          </w:p>
        </w:tc>
        <w:tc>
          <w:tcPr>
            <w:tcW w:type="dxa" w:w="1426"/>
            <w:tcBorders>
              <w:start w:sz="1.599999999999909" w:val="single" w:color="#000000"/>
              <w:top w:sz="1.6000000000003638"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00" w:after="0"/>
              <w:ind w:left="0" w:right="60" w:firstLine="0"/>
              <w:jc w:val="right"/>
            </w:pPr>
            <w:r>
              <w:rPr>
                <w:rFonts w:ascii="Times New Roman" w:hAnsi="Times New Roman" w:eastAsia="Times New Roman"/>
                <w:b w:val="0"/>
                <w:i w:val="0"/>
                <w:color w:val="000000"/>
                <w:sz w:val="18"/>
              </w:rPr>
              <w:t xml:space="preserve">2.60% </w:t>
            </w:r>
          </w:p>
        </w:tc>
        <w:tc>
          <w:tcPr>
            <w:tcW w:type="dxa" w:w="1870"/>
            <w:tcBorders>
              <w:start w:sz="2.400000000000091" w:val="single" w:color="#000000"/>
              <w:top w:sz="1.6000000000003638" w:val="single" w:color="#000000"/>
              <w:end w:sz="2.399999999999636" w:val="single" w:color="#000000"/>
              <w:bottom w:sz="2.400000000000091" w:val="single" w:color="#000000"/>
            </w:tcBorders>
            <w:tcMar>
              <w:start w:w="0" w:type="dxa"/>
              <w:end w:w="0" w:type="dxa"/>
            </w:tcMar>
          </w:tcPr>
          <w:p>
            <w:pPr>
              <w:autoSpaceDN w:val="0"/>
              <w:autoSpaceDE w:val="0"/>
              <w:widowControl/>
              <w:spacing w:line="200" w:lineRule="exact" w:before="96" w:after="0"/>
              <w:ind w:left="286" w:right="0" w:firstLine="0"/>
              <w:jc w:val="left"/>
            </w:pPr>
            <w:r>
              <w:rPr>
                <w:rFonts w:ascii="宋体" w:hAnsi="宋体" w:eastAsia="宋体"/>
                <w:b w:val="0"/>
                <w:i w:val="0"/>
                <w:color w:val="000000"/>
                <w:sz w:val="18"/>
              </w:rPr>
              <w:t>下降</w:t>
            </w:r>
            <w:r>
              <w:rPr>
                <w:rFonts w:ascii="Times New Roman" w:hAnsi="Times New Roman" w:eastAsia="Times New Roman"/>
                <w:b w:val="0"/>
                <w:i w:val="0"/>
                <w:color w:val="000000"/>
                <w:sz w:val="18"/>
              </w:rPr>
              <w:t>7.88</w:t>
            </w:r>
            <w:r>
              <w:rPr>
                <w:rFonts w:ascii="宋体" w:hAnsi="宋体" w:eastAsia="宋体"/>
                <w:b w:val="0"/>
                <w:i w:val="0"/>
                <w:color w:val="000000"/>
                <w:sz w:val="18"/>
              </w:rPr>
              <w:t xml:space="preserve"> 个百分点</w:t>
            </w:r>
          </w:p>
        </w:tc>
      </w:tr>
      <w:tr>
        <w:trPr>
          <w:trHeight w:hRule="exact" w:val="402"/>
        </w:trPr>
        <w:tc>
          <w:tcPr>
            <w:tcW w:type="dxa" w:w="1556"/>
            <w:tcBorders>
              <w:start w:sz="1.599999999999966"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资产管理业务 </w:t>
            </w:r>
          </w:p>
        </w:tc>
        <w:tc>
          <w:tcPr>
            <w:tcW w:type="dxa" w:w="1274"/>
            <w:tcBorders>
              <w:start w:sz="2.3999999999998636"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8" w:after="0"/>
              <w:ind w:left="264" w:right="0" w:firstLine="0"/>
              <w:jc w:val="left"/>
            </w:pPr>
            <w:r>
              <w:rPr>
                <w:rFonts w:ascii="Times New Roman" w:hAnsi="Times New Roman" w:eastAsia="Times New Roman"/>
                <w:b w:val="0"/>
                <w:i w:val="0"/>
                <w:color w:val="000000"/>
                <w:sz w:val="18"/>
              </w:rPr>
              <w:t>285,558,699</w:t>
            </w:r>
          </w:p>
        </w:tc>
        <w:tc>
          <w:tcPr>
            <w:tcW w:type="dxa" w:w="1248"/>
            <w:tcBorders>
              <w:start w:sz="1.6000000000001364"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8" w:after="0"/>
              <w:ind w:left="238" w:right="0" w:firstLine="0"/>
              <w:jc w:val="left"/>
            </w:pPr>
            <w:r>
              <w:rPr>
                <w:rFonts w:ascii="Times New Roman" w:hAnsi="Times New Roman" w:eastAsia="Times New Roman"/>
                <w:b w:val="0"/>
                <w:i w:val="0"/>
                <w:color w:val="000000"/>
                <w:sz w:val="18"/>
              </w:rPr>
              <w:t xml:space="preserve">158,075,323 </w:t>
            </w:r>
          </w:p>
        </w:tc>
        <w:tc>
          <w:tcPr>
            <w:tcW w:type="dxa" w:w="1078"/>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8" w:after="0"/>
              <w:ind w:left="0" w:right="60" w:firstLine="0"/>
              <w:jc w:val="right"/>
            </w:pPr>
            <w:r>
              <w:rPr>
                <w:rFonts w:ascii="Times New Roman" w:hAnsi="Times New Roman" w:eastAsia="Times New Roman"/>
                <w:b w:val="0"/>
                <w:i w:val="0"/>
                <w:color w:val="000000"/>
                <w:sz w:val="18"/>
              </w:rPr>
              <w:t xml:space="preserve">44.64% </w:t>
            </w:r>
          </w:p>
        </w:tc>
        <w:tc>
          <w:tcPr>
            <w:tcW w:type="dxa" w:w="13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8" w:after="0"/>
              <w:ind w:left="0" w:right="62" w:firstLine="0"/>
              <w:jc w:val="right"/>
            </w:pPr>
            <w:r>
              <w:rPr>
                <w:rFonts w:ascii="Times New Roman" w:hAnsi="Times New Roman" w:eastAsia="Times New Roman"/>
                <w:b w:val="0"/>
                <w:i w:val="0"/>
                <w:color w:val="000000"/>
                <w:sz w:val="18"/>
              </w:rPr>
              <w:t xml:space="preserve">5.61% </w:t>
            </w:r>
          </w:p>
        </w:tc>
        <w:tc>
          <w:tcPr>
            <w:tcW w:type="dxa" w:w="142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8" w:after="0"/>
              <w:ind w:left="0" w:right="60" w:firstLine="0"/>
              <w:jc w:val="right"/>
            </w:pPr>
            <w:r>
              <w:rPr>
                <w:rFonts w:ascii="Times New Roman" w:hAnsi="Times New Roman" w:eastAsia="Times New Roman"/>
                <w:b w:val="0"/>
                <w:i w:val="0"/>
                <w:color w:val="000000"/>
                <w:sz w:val="18"/>
              </w:rPr>
              <w:t xml:space="preserve">9.97% </w:t>
            </w:r>
          </w:p>
        </w:tc>
        <w:tc>
          <w:tcPr>
            <w:tcW w:type="dxa" w:w="187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00" w:lineRule="exact" w:before="98" w:after="0"/>
              <w:ind w:left="286" w:right="0" w:firstLine="0"/>
              <w:jc w:val="left"/>
            </w:pPr>
            <w:r>
              <w:rPr>
                <w:rFonts w:ascii="宋体" w:hAnsi="宋体" w:eastAsia="宋体"/>
                <w:b w:val="0"/>
                <w:i w:val="0"/>
                <w:color w:val="000000"/>
                <w:sz w:val="18"/>
              </w:rPr>
              <w:t>下降</w:t>
            </w:r>
            <w:r>
              <w:rPr>
                <w:rFonts w:ascii="Times New Roman" w:hAnsi="Times New Roman" w:eastAsia="Times New Roman"/>
                <w:b w:val="0"/>
                <w:i w:val="0"/>
                <w:color w:val="000000"/>
                <w:sz w:val="18"/>
              </w:rPr>
              <w:t>2.20</w:t>
            </w:r>
            <w:r>
              <w:rPr>
                <w:rFonts w:ascii="宋体" w:hAnsi="宋体" w:eastAsia="宋体"/>
                <w:b w:val="0"/>
                <w:i w:val="0"/>
                <w:color w:val="000000"/>
                <w:sz w:val="18"/>
              </w:rPr>
              <w:t xml:space="preserve"> 个百分点</w:t>
            </w:r>
          </w:p>
        </w:tc>
      </w:tr>
      <w:tr>
        <w:trPr>
          <w:trHeight w:hRule="exact" w:val="404"/>
        </w:trPr>
        <w:tc>
          <w:tcPr>
            <w:tcW w:type="dxa" w:w="1556"/>
            <w:tcBorders>
              <w:start w:sz="1.599999999999966"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投资银行业务 </w:t>
            </w:r>
          </w:p>
        </w:tc>
        <w:tc>
          <w:tcPr>
            <w:tcW w:type="dxa" w:w="1274"/>
            <w:tcBorders>
              <w:start w:sz="2.3999999999998636"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100" w:after="0"/>
              <w:ind w:left="264" w:right="0" w:firstLine="0"/>
              <w:jc w:val="left"/>
            </w:pPr>
            <w:r>
              <w:rPr>
                <w:rFonts w:ascii="Times New Roman" w:hAnsi="Times New Roman" w:eastAsia="Times New Roman"/>
                <w:b w:val="0"/>
                <w:i w:val="0"/>
                <w:color w:val="000000"/>
                <w:sz w:val="18"/>
              </w:rPr>
              <w:t>290,416,962</w:t>
            </w:r>
          </w:p>
        </w:tc>
        <w:tc>
          <w:tcPr>
            <w:tcW w:type="dxa" w:w="1248"/>
            <w:tcBorders>
              <w:start w:sz="1.6000000000001364"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0" w:lineRule="auto" w:before="100" w:after="0"/>
              <w:ind w:left="238" w:right="0" w:firstLine="0"/>
              <w:jc w:val="left"/>
            </w:pPr>
            <w:r>
              <w:rPr>
                <w:rFonts w:ascii="Times New Roman" w:hAnsi="Times New Roman" w:eastAsia="Times New Roman"/>
                <w:b w:val="0"/>
                <w:i w:val="0"/>
                <w:color w:val="000000"/>
                <w:sz w:val="18"/>
              </w:rPr>
              <w:t xml:space="preserve">351,573,889 </w:t>
            </w:r>
          </w:p>
        </w:tc>
        <w:tc>
          <w:tcPr>
            <w:tcW w:type="dxa" w:w="1078"/>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00" w:after="0"/>
              <w:ind w:left="0" w:right="60" w:firstLine="0"/>
              <w:jc w:val="right"/>
            </w:pPr>
            <w:r>
              <w:rPr>
                <w:rFonts w:ascii="Times New Roman" w:hAnsi="Times New Roman" w:eastAsia="Times New Roman"/>
                <w:b w:val="0"/>
                <w:i w:val="0"/>
                <w:color w:val="000000"/>
                <w:sz w:val="18"/>
              </w:rPr>
              <w:t xml:space="preserve">-21.06% </w:t>
            </w:r>
          </w:p>
        </w:tc>
        <w:tc>
          <w:tcPr>
            <w:tcW w:type="dxa" w:w="135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100" w:after="0"/>
              <w:ind w:left="0" w:right="62" w:firstLine="0"/>
              <w:jc w:val="right"/>
            </w:pPr>
            <w:r>
              <w:rPr>
                <w:rFonts w:ascii="Times New Roman" w:hAnsi="Times New Roman" w:eastAsia="Times New Roman"/>
                <w:b w:val="0"/>
                <w:i w:val="0"/>
                <w:color w:val="000000"/>
                <w:sz w:val="18"/>
              </w:rPr>
              <w:t xml:space="preserve">15.88% </w:t>
            </w:r>
          </w:p>
        </w:tc>
        <w:tc>
          <w:tcPr>
            <w:tcW w:type="dxa" w:w="1426"/>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00" w:after="0"/>
              <w:ind w:left="0" w:right="60" w:firstLine="0"/>
              <w:jc w:val="right"/>
            </w:pPr>
            <w:r>
              <w:rPr>
                <w:rFonts w:ascii="Times New Roman" w:hAnsi="Times New Roman" w:eastAsia="Times New Roman"/>
                <w:b w:val="0"/>
                <w:i w:val="0"/>
                <w:color w:val="000000"/>
                <w:sz w:val="18"/>
              </w:rPr>
              <w:t xml:space="preserve">-0.07% </w:t>
            </w:r>
          </w:p>
        </w:tc>
        <w:tc>
          <w:tcPr>
            <w:tcW w:type="dxa" w:w="1870"/>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00" w:lineRule="exact" w:before="96" w:after="0"/>
              <w:ind w:left="194" w:right="0" w:firstLine="0"/>
              <w:jc w:val="left"/>
            </w:pPr>
            <w:r>
              <w:rPr>
                <w:rFonts w:ascii="宋体" w:hAnsi="宋体" w:eastAsia="宋体"/>
                <w:b w:val="0"/>
                <w:i w:val="0"/>
                <w:color w:val="000000"/>
                <w:sz w:val="18"/>
              </w:rPr>
              <w:t>增长</w:t>
            </w:r>
            <w:r>
              <w:rPr>
                <w:rFonts w:ascii="Times New Roman" w:hAnsi="Times New Roman" w:eastAsia="Times New Roman"/>
                <w:b w:val="0"/>
                <w:i w:val="0"/>
                <w:color w:val="000000"/>
                <w:sz w:val="18"/>
              </w:rPr>
              <w:t>19.32</w:t>
            </w:r>
            <w:r>
              <w:rPr>
                <w:rFonts w:ascii="宋体" w:hAnsi="宋体" w:eastAsia="宋体"/>
                <w:b w:val="0"/>
                <w:i w:val="0"/>
                <w:color w:val="000000"/>
                <w:sz w:val="18"/>
              </w:rPr>
              <w:t xml:space="preserve"> 个百分点</w:t>
            </w:r>
          </w:p>
        </w:tc>
      </w:tr>
      <w:tr>
        <w:trPr>
          <w:trHeight w:hRule="exact" w:val="400"/>
        </w:trPr>
        <w:tc>
          <w:tcPr>
            <w:tcW w:type="dxa" w:w="1556"/>
            <w:tcBorders>
              <w:start w:sz="1.599999999999966"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期货经纪业务 </w:t>
            </w:r>
          </w:p>
        </w:tc>
        <w:tc>
          <w:tcPr>
            <w:tcW w:type="dxa" w:w="1274"/>
            <w:tcBorders>
              <w:start w:sz="2.3999999999998636"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6" w:after="0"/>
              <w:ind w:left="264" w:right="0" w:firstLine="0"/>
              <w:jc w:val="left"/>
            </w:pPr>
            <w:r>
              <w:rPr>
                <w:rFonts w:ascii="Times New Roman" w:hAnsi="Times New Roman" w:eastAsia="Times New Roman"/>
                <w:b w:val="0"/>
                <w:i w:val="0"/>
                <w:color w:val="000000"/>
                <w:sz w:val="18"/>
              </w:rPr>
              <w:t>170,821,257</w:t>
            </w:r>
          </w:p>
        </w:tc>
        <w:tc>
          <w:tcPr>
            <w:tcW w:type="dxa" w:w="1248"/>
            <w:tcBorders>
              <w:start w:sz="1.6000000000001364"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96" w:after="0"/>
              <w:ind w:left="238" w:right="0" w:firstLine="0"/>
              <w:jc w:val="left"/>
            </w:pPr>
            <w:r>
              <w:rPr>
                <w:rFonts w:ascii="Times New Roman" w:hAnsi="Times New Roman" w:eastAsia="Times New Roman"/>
                <w:b w:val="0"/>
                <w:i w:val="0"/>
                <w:color w:val="000000"/>
                <w:sz w:val="18"/>
              </w:rPr>
              <w:t xml:space="preserve">165,278,344 </w:t>
            </w:r>
          </w:p>
        </w:tc>
        <w:tc>
          <w:tcPr>
            <w:tcW w:type="dxa" w:w="1078"/>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6" w:after="0"/>
              <w:ind w:left="0" w:right="60" w:firstLine="0"/>
              <w:jc w:val="right"/>
            </w:pPr>
            <w:r>
              <w:rPr>
                <w:rFonts w:ascii="Times New Roman" w:hAnsi="Times New Roman" w:eastAsia="Times New Roman"/>
                <w:b w:val="0"/>
                <w:i w:val="0"/>
                <w:color w:val="000000"/>
                <w:sz w:val="18"/>
              </w:rPr>
              <w:t xml:space="preserve">3.24% </w:t>
            </w:r>
          </w:p>
        </w:tc>
        <w:tc>
          <w:tcPr>
            <w:tcW w:type="dxa" w:w="13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96" w:after="0"/>
              <w:ind w:left="0" w:right="62" w:firstLine="0"/>
              <w:jc w:val="right"/>
            </w:pPr>
            <w:r>
              <w:rPr>
                <w:rFonts w:ascii="Times New Roman" w:hAnsi="Times New Roman" w:eastAsia="Times New Roman"/>
                <w:b w:val="0"/>
                <w:i w:val="0"/>
                <w:color w:val="000000"/>
                <w:sz w:val="18"/>
              </w:rPr>
              <w:t xml:space="preserve">-16.12% </w:t>
            </w:r>
          </w:p>
        </w:tc>
        <w:tc>
          <w:tcPr>
            <w:tcW w:type="dxa" w:w="142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96" w:after="0"/>
              <w:ind w:left="0" w:right="60" w:firstLine="0"/>
              <w:jc w:val="right"/>
            </w:pPr>
            <w:r>
              <w:rPr>
                <w:rFonts w:ascii="Times New Roman" w:hAnsi="Times New Roman" w:eastAsia="Times New Roman"/>
                <w:b w:val="0"/>
                <w:i w:val="0"/>
                <w:color w:val="000000"/>
                <w:sz w:val="18"/>
              </w:rPr>
              <w:t xml:space="preserve">-3.81% </w:t>
            </w:r>
          </w:p>
        </w:tc>
        <w:tc>
          <w:tcPr>
            <w:tcW w:type="dxa" w:w="1870"/>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00" w:lineRule="exact" w:before="96" w:after="0"/>
              <w:ind w:left="194" w:right="0" w:firstLine="0"/>
              <w:jc w:val="left"/>
            </w:pPr>
            <w:r>
              <w:rPr>
                <w:rFonts w:ascii="宋体" w:hAnsi="宋体" w:eastAsia="宋体"/>
                <w:b w:val="0"/>
                <w:i w:val="0"/>
                <w:color w:val="000000"/>
                <w:sz w:val="18"/>
              </w:rPr>
              <w:t>下降</w:t>
            </w:r>
            <w:r>
              <w:rPr>
                <w:rFonts w:ascii="Times New Roman" w:hAnsi="Times New Roman" w:eastAsia="Times New Roman"/>
                <w:b w:val="0"/>
                <w:i w:val="0"/>
                <w:color w:val="000000"/>
                <w:sz w:val="18"/>
              </w:rPr>
              <w:t>12.38</w:t>
            </w:r>
            <w:r>
              <w:rPr>
                <w:rFonts w:ascii="宋体" w:hAnsi="宋体" w:eastAsia="宋体"/>
                <w:b w:val="0"/>
                <w:i w:val="0"/>
                <w:color w:val="000000"/>
                <w:sz w:val="18"/>
              </w:rPr>
              <w:t xml:space="preserve"> 个百分点</w:t>
            </w:r>
          </w:p>
        </w:tc>
      </w:tr>
      <w:tr>
        <w:trPr>
          <w:trHeight w:hRule="exact" w:val="484"/>
        </w:trPr>
        <w:tc>
          <w:tcPr>
            <w:tcW w:type="dxa" w:w="1556"/>
            <w:tcBorders>
              <w:start w:sz="1.599999999999966" w:val="single" w:color="#000000"/>
              <w:top w:sz="1.599999999999909" w:val="single" w:color="#000000"/>
              <w:end w:sz="2.3999999999998636" w:val="single" w:color="#000000"/>
              <w:bottom w:sz="2.399999999999636" w:val="single" w:color="#000000"/>
            </w:tcBorders>
            <w:tcMar>
              <w:start w:w="0" w:type="dxa"/>
              <w:end w:w="0" w:type="dxa"/>
            </w:tcMar>
          </w:tcPr>
          <w:p>
            <w:pPr>
              <w:autoSpaceDN w:val="0"/>
              <w:autoSpaceDE w:val="0"/>
              <w:widowControl/>
              <w:spacing w:line="228" w:lineRule="exact" w:before="0" w:after="0"/>
              <w:ind w:left="108" w:right="144" w:firstLine="0"/>
              <w:jc w:val="left"/>
            </w:pPr>
            <w:r>
              <w:rPr>
                <w:rFonts w:ascii="宋体" w:hAnsi="宋体" w:eastAsia="宋体"/>
                <w:b w:val="0"/>
                <w:i w:val="0"/>
                <w:color w:val="000000"/>
                <w:sz w:val="18"/>
              </w:rPr>
              <w:t>大宗商品交易及</w:t>
            </w:r>
            <w:r>
              <w:rPr>
                <w:rFonts w:ascii="宋体" w:hAnsi="宋体" w:eastAsia="宋体"/>
                <w:b w:val="0"/>
                <w:i w:val="0"/>
                <w:color w:val="000000"/>
                <w:sz w:val="18"/>
              </w:rPr>
              <w:t xml:space="preserve">风险管理业务 </w:t>
            </w:r>
          </w:p>
        </w:tc>
        <w:tc>
          <w:tcPr>
            <w:tcW w:type="dxa" w:w="1274"/>
            <w:tcBorders>
              <w:start w:sz="2.3999999999998636" w:val="single" w:color="#000000"/>
              <w:top w:sz="1.599999999999909" w:val="single" w:color="#000000"/>
              <w:end w:sz="1.6000000000001364" w:val="single" w:color="#000000"/>
              <w:bottom w:sz="2.399999999999636" w:val="single" w:color="#000000"/>
            </w:tcBorders>
            <w:tcMar>
              <w:start w:w="0" w:type="dxa"/>
              <w:end w:w="0" w:type="dxa"/>
            </w:tcMar>
          </w:tcPr>
          <w:p>
            <w:pPr>
              <w:autoSpaceDN w:val="0"/>
              <w:autoSpaceDE w:val="0"/>
              <w:widowControl/>
              <w:spacing w:line="233" w:lineRule="auto" w:before="140" w:after="0"/>
              <w:ind w:left="264" w:right="0" w:firstLine="0"/>
              <w:jc w:val="left"/>
            </w:pPr>
            <w:r>
              <w:rPr>
                <w:rFonts w:ascii="Times New Roman" w:hAnsi="Times New Roman" w:eastAsia="Times New Roman"/>
                <w:b w:val="0"/>
                <w:i w:val="0"/>
                <w:color w:val="000000"/>
                <w:sz w:val="18"/>
              </w:rPr>
              <w:t>249,303,329</w:t>
            </w:r>
          </w:p>
        </w:tc>
        <w:tc>
          <w:tcPr>
            <w:tcW w:type="dxa" w:w="1248"/>
            <w:tcBorders>
              <w:start w:sz="1.6000000000001364" w:val="single" w:color="#000000"/>
              <w:top w:sz="1.599999999999909" w:val="single" w:color="#000000"/>
              <w:end w:sz="1.6000000000001364" w:val="single" w:color="#000000"/>
              <w:bottom w:sz="2.399999999999636" w:val="single" w:color="#000000"/>
            </w:tcBorders>
            <w:tcMar>
              <w:start w:w="0" w:type="dxa"/>
              <w:end w:w="0" w:type="dxa"/>
            </w:tcMar>
          </w:tcPr>
          <w:p>
            <w:pPr>
              <w:autoSpaceDN w:val="0"/>
              <w:autoSpaceDE w:val="0"/>
              <w:widowControl/>
              <w:spacing w:line="233" w:lineRule="auto" w:before="140" w:after="0"/>
              <w:ind w:left="238" w:right="0" w:firstLine="0"/>
              <w:jc w:val="left"/>
            </w:pPr>
            <w:r>
              <w:rPr>
                <w:rFonts w:ascii="Times New Roman" w:hAnsi="Times New Roman" w:eastAsia="Times New Roman"/>
                <w:b w:val="0"/>
                <w:i w:val="0"/>
                <w:color w:val="000000"/>
                <w:sz w:val="18"/>
              </w:rPr>
              <w:t xml:space="preserve">222,602,499 </w:t>
            </w:r>
          </w:p>
        </w:tc>
        <w:tc>
          <w:tcPr>
            <w:tcW w:type="dxa" w:w="1078"/>
            <w:tcBorders>
              <w:start w:sz="1.6000000000001364"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140" w:after="0"/>
              <w:ind w:left="0" w:right="60" w:firstLine="0"/>
              <w:jc w:val="right"/>
            </w:pPr>
            <w:r>
              <w:rPr>
                <w:rFonts w:ascii="Times New Roman" w:hAnsi="Times New Roman" w:eastAsia="Times New Roman"/>
                <w:b w:val="0"/>
                <w:i w:val="0"/>
                <w:color w:val="000000"/>
                <w:sz w:val="18"/>
              </w:rPr>
              <w:t xml:space="preserve">10.71% </w:t>
            </w:r>
          </w:p>
        </w:tc>
        <w:tc>
          <w:tcPr>
            <w:tcW w:type="dxa" w:w="1350"/>
            <w:tcBorders>
              <w:start w:sz="1.599999999999909"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140" w:after="0"/>
              <w:ind w:left="0" w:right="62" w:firstLine="0"/>
              <w:jc w:val="right"/>
            </w:pPr>
            <w:r>
              <w:rPr>
                <w:rFonts w:ascii="Times New Roman" w:hAnsi="Times New Roman" w:eastAsia="Times New Roman"/>
                <w:b w:val="0"/>
                <w:i w:val="0"/>
                <w:color w:val="000000"/>
                <w:sz w:val="18"/>
              </w:rPr>
              <w:t xml:space="preserve">-63.93% </w:t>
            </w:r>
          </w:p>
        </w:tc>
        <w:tc>
          <w:tcPr>
            <w:tcW w:type="dxa" w:w="1426"/>
            <w:tcBorders>
              <w:start w:sz="1.599999999999909"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140" w:after="0"/>
              <w:ind w:left="0" w:right="60" w:firstLine="0"/>
              <w:jc w:val="right"/>
            </w:pPr>
            <w:r>
              <w:rPr>
                <w:rFonts w:ascii="Times New Roman" w:hAnsi="Times New Roman" w:eastAsia="Times New Roman"/>
                <w:b w:val="0"/>
                <w:i w:val="0"/>
                <w:color w:val="000000"/>
                <w:sz w:val="18"/>
              </w:rPr>
              <w:t xml:space="preserve">-65.16% </w:t>
            </w:r>
          </w:p>
        </w:tc>
        <w:tc>
          <w:tcPr>
            <w:tcW w:type="dxa" w:w="1870"/>
            <w:tcBorders>
              <w:start w:sz="2.400000000000091" w:val="single" w:color="#000000"/>
              <w:top w:sz="1.599999999999909" w:val="single" w:color="#000000"/>
              <w:end w:sz="2.399999999999636" w:val="single" w:color="#000000"/>
              <w:bottom w:sz="2.399999999999636" w:val="single" w:color="#000000"/>
            </w:tcBorders>
            <w:tcMar>
              <w:start w:w="0" w:type="dxa"/>
              <w:end w:w="0" w:type="dxa"/>
            </w:tcMar>
          </w:tcPr>
          <w:p>
            <w:pPr>
              <w:autoSpaceDN w:val="0"/>
              <w:autoSpaceDE w:val="0"/>
              <w:widowControl/>
              <w:spacing w:line="198" w:lineRule="exact" w:before="138" w:after="0"/>
              <w:ind w:left="286" w:right="0" w:firstLine="0"/>
              <w:jc w:val="left"/>
            </w:pPr>
            <w:r>
              <w:rPr>
                <w:rFonts w:ascii="宋体" w:hAnsi="宋体" w:eastAsia="宋体"/>
                <w:b w:val="0"/>
                <w:i w:val="0"/>
                <w:color w:val="000000"/>
                <w:sz w:val="18"/>
              </w:rPr>
              <w:t>增长</w:t>
            </w:r>
            <w:r>
              <w:rPr>
                <w:rFonts w:ascii="Times New Roman" w:hAnsi="Times New Roman" w:eastAsia="Times New Roman"/>
                <w:b w:val="0"/>
                <w:i w:val="0"/>
                <w:color w:val="000000"/>
                <w:sz w:val="18"/>
              </w:rPr>
              <w:t>3.17</w:t>
            </w:r>
            <w:r>
              <w:rPr>
                <w:rFonts w:ascii="宋体" w:hAnsi="宋体" w:eastAsia="宋体"/>
                <w:b w:val="0"/>
                <w:i w:val="0"/>
                <w:color w:val="000000"/>
                <w:sz w:val="18"/>
              </w:rPr>
              <w:t xml:space="preserve"> 个百分点</w:t>
            </w:r>
          </w:p>
        </w:tc>
      </w:tr>
      <w:tr>
        <w:trPr>
          <w:trHeight w:hRule="exact" w:val="404"/>
        </w:trPr>
        <w:tc>
          <w:tcPr>
            <w:tcW w:type="dxa" w:w="1556"/>
            <w:tcBorders>
              <w:start w:sz="1.599999999999966" w:val="single" w:color="#000000"/>
              <w:top w:sz="2.399999999999636" w:val="single" w:color="#000000"/>
              <w:end w:sz="2.3999999999998636" w:val="single" w:color="#000000"/>
              <w:bottom w:sz="1.5999999999994543" w:val="single" w:color="#000000"/>
            </w:tcBorders>
            <w:tcMar>
              <w:start w:w="0" w:type="dxa"/>
              <w:end w:w="0" w:type="dxa"/>
            </w:tcMar>
          </w:tcPr>
          <w:p>
            <w:pPr>
              <w:autoSpaceDN w:val="0"/>
              <w:autoSpaceDE w:val="0"/>
              <w:widowControl/>
              <w:spacing w:line="180" w:lineRule="exact" w:before="116" w:after="0"/>
              <w:ind w:left="0" w:right="0" w:firstLine="0"/>
              <w:jc w:val="center"/>
            </w:pPr>
            <w:r>
              <w:rPr>
                <w:rFonts w:ascii="宋体" w:hAnsi="宋体" w:eastAsia="宋体"/>
                <w:b w:val="0"/>
                <w:i w:val="0"/>
                <w:color w:val="000000"/>
                <w:sz w:val="18"/>
              </w:rPr>
              <w:t xml:space="preserve">其他及抵消项目 </w:t>
            </w:r>
          </w:p>
        </w:tc>
        <w:tc>
          <w:tcPr>
            <w:tcW w:type="dxa" w:w="1274"/>
            <w:tcBorders>
              <w:start w:sz="2.3999999999998636" w:val="single" w:color="#000000"/>
              <w:top w:sz="2.399999999999636" w:val="single" w:color="#000000"/>
              <w:end w:sz="1.6000000000001364" w:val="single" w:color="#000000"/>
              <w:bottom w:sz="1.5999999999994543" w:val="single" w:color="#000000"/>
            </w:tcBorders>
            <w:tcMar>
              <w:start w:w="0" w:type="dxa"/>
              <w:end w:w="0" w:type="dxa"/>
            </w:tcMar>
          </w:tcPr>
          <w:p>
            <w:pPr>
              <w:autoSpaceDN w:val="0"/>
              <w:autoSpaceDE w:val="0"/>
              <w:widowControl/>
              <w:spacing w:line="233" w:lineRule="auto" w:before="98" w:after="0"/>
              <w:ind w:left="0" w:right="60" w:firstLine="0"/>
              <w:jc w:val="right"/>
            </w:pPr>
            <w:r>
              <w:rPr>
                <w:rFonts w:ascii="Times New Roman" w:hAnsi="Times New Roman" w:eastAsia="Times New Roman"/>
                <w:b w:val="0"/>
                <w:i w:val="0"/>
                <w:color w:val="000000"/>
                <w:sz w:val="18"/>
              </w:rPr>
              <w:t xml:space="preserve">31,579,933 </w:t>
            </w:r>
          </w:p>
        </w:tc>
        <w:tc>
          <w:tcPr>
            <w:tcW w:type="dxa" w:w="1248"/>
            <w:tcBorders>
              <w:start w:sz="1.6000000000001364" w:val="single" w:color="#000000"/>
              <w:top w:sz="2.399999999999636" w:val="single" w:color="#000000"/>
              <w:end w:sz="1.6000000000001364" w:val="single" w:color="#000000"/>
              <w:bottom w:sz="1.5999999999994543" w:val="single" w:color="#000000"/>
            </w:tcBorders>
            <w:tcMar>
              <w:start w:w="0" w:type="dxa"/>
              <w:end w:w="0" w:type="dxa"/>
            </w:tcMar>
          </w:tcPr>
          <w:p>
            <w:pPr>
              <w:autoSpaceDN w:val="0"/>
              <w:autoSpaceDE w:val="0"/>
              <w:widowControl/>
              <w:spacing w:line="233" w:lineRule="auto" w:before="98" w:after="0"/>
              <w:ind w:left="238" w:right="0" w:firstLine="0"/>
              <w:jc w:val="left"/>
            </w:pPr>
            <w:r>
              <w:rPr>
                <w:rFonts w:ascii="Times New Roman" w:hAnsi="Times New Roman" w:eastAsia="Times New Roman"/>
                <w:b w:val="0"/>
                <w:i w:val="0"/>
                <w:color w:val="000000"/>
                <w:sz w:val="18"/>
              </w:rPr>
              <w:t xml:space="preserve">255,268,812 </w:t>
            </w:r>
          </w:p>
        </w:tc>
        <w:tc>
          <w:tcPr>
            <w:tcW w:type="dxa" w:w="1078"/>
            <w:tcBorders>
              <w:start w:sz="1.6000000000001364" w:val="single" w:color="#000000"/>
              <w:top w:sz="2.399999999999636"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106" w:after="0"/>
              <w:ind w:left="0" w:right="106" w:firstLine="0"/>
              <w:jc w:val="right"/>
            </w:pPr>
            <w:r>
              <w:rPr>
                <w:rFonts w:ascii="宋体" w:hAnsi="宋体" w:eastAsia="宋体"/>
                <w:b w:val="0"/>
                <w:i w:val="0"/>
                <w:color w:val="000000"/>
                <w:sz w:val="18"/>
              </w:rPr>
              <w:t>不适用</w:t>
            </w:r>
          </w:p>
        </w:tc>
        <w:tc>
          <w:tcPr>
            <w:tcW w:type="dxa" w:w="1350"/>
            <w:tcBorders>
              <w:start w:sz="1.599999999999909" w:val="single" w:color="#000000"/>
              <w:top w:sz="2.399999999999636"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106" w:after="0"/>
              <w:ind w:left="0" w:right="108" w:firstLine="0"/>
              <w:jc w:val="right"/>
            </w:pPr>
            <w:r>
              <w:rPr>
                <w:rFonts w:ascii="宋体" w:hAnsi="宋体" w:eastAsia="宋体"/>
                <w:b w:val="0"/>
                <w:i w:val="0"/>
                <w:color w:val="000000"/>
                <w:sz w:val="18"/>
              </w:rPr>
              <w:t>不适用</w:t>
            </w:r>
          </w:p>
        </w:tc>
        <w:tc>
          <w:tcPr>
            <w:tcW w:type="dxa" w:w="1426"/>
            <w:tcBorders>
              <w:start w:sz="1.599999999999909" w:val="single" w:color="#000000"/>
              <w:top w:sz="2.399999999999636" w:val="single" w:color="#000000"/>
              <w:end w:sz="2.400000000000091" w:val="single" w:color="#000000"/>
              <w:bottom w:sz="1.5999999999994543" w:val="single" w:color="#000000"/>
            </w:tcBorders>
            <w:tcMar>
              <w:start w:w="0" w:type="dxa"/>
              <w:end w:w="0" w:type="dxa"/>
            </w:tcMar>
          </w:tcPr>
          <w:p>
            <w:pPr>
              <w:autoSpaceDN w:val="0"/>
              <w:autoSpaceDE w:val="0"/>
              <w:widowControl/>
              <w:spacing w:line="180" w:lineRule="exact" w:before="106" w:after="0"/>
              <w:ind w:left="0" w:right="104" w:firstLine="0"/>
              <w:jc w:val="right"/>
            </w:pPr>
            <w:r>
              <w:rPr>
                <w:rFonts w:ascii="宋体" w:hAnsi="宋体" w:eastAsia="宋体"/>
                <w:b w:val="0"/>
                <w:i w:val="0"/>
                <w:color w:val="000000"/>
                <w:sz w:val="18"/>
              </w:rPr>
              <w:t>不适用</w:t>
            </w:r>
          </w:p>
        </w:tc>
        <w:tc>
          <w:tcPr>
            <w:tcW w:type="dxa" w:w="1870"/>
            <w:tcBorders>
              <w:start w:sz="2.400000000000091" w:val="single" w:color="#000000"/>
              <w:top w:sz="2.399999999999636"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106" w:after="0"/>
              <w:ind w:left="0" w:right="102" w:firstLine="0"/>
              <w:jc w:val="right"/>
            </w:pPr>
            <w:r>
              <w:rPr>
                <w:rFonts w:ascii="宋体" w:hAnsi="宋体" w:eastAsia="宋体"/>
                <w:b w:val="0"/>
                <w:i w:val="0"/>
                <w:color w:val="000000"/>
                <w:sz w:val="18"/>
              </w:rPr>
              <w:t>不适用</w:t>
            </w:r>
          </w:p>
        </w:tc>
      </w:tr>
    </w:tbl>
    <w:p>
      <w:pPr>
        <w:autoSpaceDN w:val="0"/>
        <w:autoSpaceDE w:val="0"/>
        <w:widowControl/>
        <w:spacing w:line="238" w:lineRule="exact" w:before="78" w:after="0"/>
        <w:ind w:left="130" w:right="460" w:firstLine="0"/>
        <w:jc w:val="both"/>
      </w:pPr>
      <w:r>
        <w:rPr>
          <w:rFonts w:ascii="宋体" w:hAnsi="宋体" w:eastAsia="宋体"/>
          <w:b w:val="0"/>
          <w:i w:val="0"/>
          <w:color w:val="000000"/>
          <w:sz w:val="18"/>
        </w:rPr>
        <w:t>注：2024 年仓单业务销售收入20,350.54 万元，采购成本18,934.98 万元，仓单业务开展的同时，公司在期货端进行保</w:t>
      </w:r>
      <w:r>
        <w:rPr>
          <w:rFonts w:ascii="宋体" w:hAnsi="宋体" w:eastAsia="宋体"/>
          <w:b w:val="0"/>
          <w:i w:val="0"/>
          <w:color w:val="000000"/>
          <w:sz w:val="18"/>
        </w:rPr>
        <w:t>值，仓单保值产生的净收益</w:t>
      </w:r>
      <w:r>
        <w:rPr>
          <w:rFonts w:ascii="Times New Roman" w:hAnsi="Times New Roman" w:eastAsia="Times New Roman"/>
          <w:b w:val="0"/>
          <w:i w:val="0"/>
          <w:color w:val="000000"/>
          <w:sz w:val="18"/>
        </w:rPr>
        <w:t>-701.56</w:t>
      </w:r>
      <w:r>
        <w:rPr>
          <w:rFonts w:ascii="宋体" w:hAnsi="宋体" w:eastAsia="宋体"/>
          <w:b w:val="0"/>
          <w:i w:val="0"/>
          <w:color w:val="000000"/>
          <w:sz w:val="18"/>
        </w:rPr>
        <w:t xml:space="preserve"> 万元，仓单业务共实现利润714 万元。大宗商品贸易业务的特点是价格透明、单笔交</w:t>
      </w:r>
      <w:r>
        <w:rPr>
          <w:rFonts w:ascii="宋体" w:hAnsi="宋体" w:eastAsia="宋体"/>
          <w:b w:val="0"/>
          <w:i w:val="0"/>
          <w:color w:val="000000"/>
          <w:sz w:val="18"/>
        </w:rPr>
        <w:t xml:space="preserve">易量大，交易额与毛利率不成比例变动，同时公司采用商品贸易模式核算，销售收入和销售成本同步增大。 </w:t>
      </w:r>
    </w:p>
    <w:p>
      <w:pPr>
        <w:autoSpaceDN w:val="0"/>
        <w:autoSpaceDE w:val="0"/>
        <w:widowControl/>
        <w:spacing w:line="180" w:lineRule="exact" w:before="160" w:after="0"/>
        <w:ind w:left="130" w:right="0" w:firstLine="0"/>
        <w:jc w:val="left"/>
      </w:pPr>
      <w:r>
        <w:rPr>
          <w:rFonts w:ascii="宋体" w:hAnsi="宋体" w:eastAsia="宋体"/>
          <w:b w:val="0"/>
          <w:i w:val="0"/>
          <w:color w:val="000000"/>
          <w:sz w:val="18"/>
        </w:rPr>
        <w:t xml:space="preserve">变动原因 </w:t>
      </w:r>
    </w:p>
    <w:p>
      <w:pPr>
        <w:autoSpaceDN w:val="0"/>
        <w:autoSpaceDE w:val="0"/>
        <w:widowControl/>
        <w:spacing w:line="338" w:lineRule="exact" w:before="416" w:after="0"/>
        <w:ind w:left="130" w:right="1008" w:firstLine="0"/>
        <w:jc w:val="left"/>
      </w:pPr>
      <w:r>
        <w:rPr>
          <w:rFonts w:ascii="宋体" w:hAnsi="宋体" w:eastAsia="宋体"/>
          <w:b w:val="0"/>
          <w:i w:val="0"/>
          <w:color w:val="000000"/>
          <w:sz w:val="18"/>
        </w:rPr>
        <w:t xml:space="preserve">公司主营业务数据统计口径在报告期发生调整的情况下，公司最近1 年按报告期末口径调整后的主营业务数据 </w:t>
      </w:r>
      <w:r>
        <w:rPr>
          <w:rFonts w:ascii="宋体" w:hAnsi="宋体" w:eastAsia="宋体"/>
          <w:b w:val="0"/>
          <w:i w:val="0"/>
          <w:color w:val="000000"/>
          <w:sz w:val="18"/>
        </w:rPr>
        <w:t xml:space="preserve">□适用 √不适用 </w:t>
      </w:r>
    </w:p>
    <w:p>
      <w:pPr>
        <w:autoSpaceDN w:val="0"/>
        <w:autoSpaceDE w:val="0"/>
        <w:widowControl/>
        <w:spacing w:line="212" w:lineRule="exact" w:before="370" w:after="0"/>
        <w:ind w:left="130" w:right="0" w:firstLine="0"/>
        <w:jc w:val="left"/>
      </w:pPr>
      <w:r>
        <w:rPr>
          <w:rFonts w:ascii="宋体" w:hAnsi="宋体" w:eastAsia="宋体"/>
          <w:b w:val="0"/>
          <w:i w:val="0"/>
          <w:color w:val="000000"/>
          <w:sz w:val="21"/>
        </w:rPr>
        <w:t xml:space="preserve">2、主营业务分地区情况 </w:t>
      </w:r>
    </w:p>
    <w:p>
      <w:pPr>
        <w:autoSpaceDN w:val="0"/>
        <w:tabs>
          <w:tab w:pos="8862" w:val="left"/>
        </w:tabs>
        <w:autoSpaceDE w:val="0"/>
        <w:widowControl/>
        <w:spacing w:line="360" w:lineRule="exact" w:before="180" w:after="146"/>
        <w:ind w:left="130" w:right="288" w:firstLine="0"/>
        <w:jc w:val="left"/>
      </w:pPr>
      <w:r>
        <w:rPr>
          <w:rFonts w:ascii="宋体" w:hAnsi="宋体" w:eastAsia="宋体"/>
          <w:b w:val="0"/>
          <w:i w:val="0"/>
          <w:color w:val="000000"/>
          <w:sz w:val="18"/>
        </w:rPr>
        <w:t xml:space="preserve">营业总收入地区分部情况 </w:t>
      </w:r>
      <w:r>
        <w:br/>
      </w:r>
      <w:r>
        <w:tab/>
      </w: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100.0" w:type="dxa"/>
      </w:tblPr>
      <w:tblGrid>
        <w:gridCol w:w="1667"/>
        <w:gridCol w:w="1667"/>
        <w:gridCol w:w="1667"/>
        <w:gridCol w:w="1667"/>
        <w:gridCol w:w="1667"/>
        <w:gridCol w:w="1667"/>
      </w:tblGrid>
      <w:tr>
        <w:trPr>
          <w:trHeight w:hRule="exact" w:val="352"/>
        </w:trPr>
        <w:tc>
          <w:tcPr>
            <w:tcW w:type="dxa" w:w="1614"/>
            <w:vMerge w:val="restart"/>
            <w:tcBorders>
              <w:start w:sz="4.0" w:val="single" w:color="#000000"/>
              <w:top w:sz="3.199999999999818"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256" w:after="0"/>
              <w:ind w:left="0" w:right="530" w:firstLine="0"/>
              <w:jc w:val="right"/>
            </w:pPr>
            <w:r>
              <w:rPr>
                <w:rFonts w:ascii="宋体" w:hAnsi="宋体" w:eastAsia="宋体"/>
                <w:b w:val="0"/>
                <w:i w:val="0"/>
                <w:color w:val="000000"/>
                <w:sz w:val="18"/>
              </w:rPr>
              <w:t xml:space="preserve">地区 </w:t>
            </w:r>
          </w:p>
        </w:tc>
        <w:tc>
          <w:tcPr>
            <w:tcW w:type="dxa" w:w="3234"/>
            <w:gridSpan w:val="2"/>
            <w:tcBorders>
              <w:start w:sz="4.0" w:val="single" w:color="#000000"/>
              <w:top w:sz="3.199999999999818"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78" w:after="0"/>
              <w:ind w:left="0" w:right="1228" w:firstLine="0"/>
              <w:jc w:val="right"/>
            </w:pPr>
            <w:r>
              <w:rPr>
                <w:rFonts w:ascii="宋体" w:hAnsi="宋体" w:eastAsia="宋体"/>
                <w:b w:val="0"/>
                <w:i w:val="0"/>
                <w:color w:val="000000"/>
                <w:sz w:val="18"/>
              </w:rPr>
              <w:t xml:space="preserve">2024 年 </w:t>
            </w:r>
          </w:p>
        </w:tc>
        <w:tc>
          <w:tcPr>
            <w:tcW w:type="dxa" w:w="3230"/>
            <w:gridSpan w:val="2"/>
            <w:tcBorders>
              <w:start w:sz="4.0" w:val="single" w:color="#000000"/>
              <w:top w:sz="3.199999999999818" w:val="single" w:color="#000000"/>
              <w:end w:sz="3.200000000000273"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78" w:after="0"/>
              <w:ind w:left="0" w:right="1226" w:firstLine="0"/>
              <w:jc w:val="right"/>
            </w:pPr>
            <w:r>
              <w:rPr>
                <w:rFonts w:ascii="宋体" w:hAnsi="宋体" w:eastAsia="宋体"/>
                <w:b w:val="0"/>
                <w:i w:val="0"/>
                <w:color w:val="000000"/>
                <w:sz w:val="18"/>
              </w:rPr>
              <w:t xml:space="preserve">2023 年 </w:t>
            </w:r>
          </w:p>
        </w:tc>
        <w:tc>
          <w:tcPr>
            <w:tcW w:type="dxa" w:w="1614"/>
            <w:vMerge w:val="restart"/>
            <w:tcBorders>
              <w:start w:sz="3.200000000000273" w:val="single" w:color="#000000"/>
              <w:top w:sz="3.199999999999818"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234" w:lineRule="exact" w:before="78" w:after="0"/>
              <w:ind w:left="0" w:right="0" w:firstLine="0"/>
              <w:jc w:val="center"/>
            </w:pPr>
            <w:r>
              <w:rPr>
                <w:rFonts w:ascii="宋体" w:hAnsi="宋体" w:eastAsia="宋体"/>
                <w:b w:val="0"/>
                <w:i w:val="0"/>
                <w:color w:val="000000"/>
                <w:sz w:val="18"/>
              </w:rPr>
              <w:t>营业总收入比上年</w:t>
            </w:r>
            <w:r>
              <w:rPr>
                <w:rFonts w:ascii="宋体" w:hAnsi="宋体" w:eastAsia="宋体"/>
                <w:b w:val="0"/>
                <w:i w:val="0"/>
                <w:color w:val="000000"/>
                <w:sz w:val="18"/>
              </w:rPr>
              <w:t>同期增减</w:t>
            </w:r>
          </w:p>
        </w:tc>
      </w:tr>
      <w:tr>
        <w:trPr>
          <w:trHeight w:hRule="exact" w:val="336"/>
        </w:trPr>
        <w:tc>
          <w:tcPr>
            <w:tcW w:type="dxa" w:w="1667"/>
            <w:vMerge/>
            <w:tcBorders>
              <w:start w:sz="4.0" w:val="single" w:color="#000000"/>
              <w:top w:sz="3.199999999999818" w:val="single" w:color="#000000"/>
              <w:end w:sz="4.0" w:val="single" w:color="#000000"/>
              <w:bottom w:sz="4.0" w:val="single" w:color="#000000"/>
            </w:tcBorders>
          </w:tcPr>
          <w:p/>
        </w:tc>
        <w:tc>
          <w:tcPr>
            <w:tcW w:type="dxa" w:w="161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72" w:after="0"/>
              <w:ind w:left="350" w:right="0" w:firstLine="0"/>
              <w:jc w:val="left"/>
            </w:pPr>
            <w:r>
              <w:rPr>
                <w:rFonts w:ascii="宋体" w:hAnsi="宋体" w:eastAsia="宋体"/>
                <w:b w:val="0"/>
                <w:i w:val="0"/>
                <w:color w:val="000000"/>
                <w:sz w:val="18"/>
              </w:rPr>
              <w:t xml:space="preserve">营业部数量 </w:t>
            </w:r>
          </w:p>
        </w:tc>
        <w:tc>
          <w:tcPr>
            <w:tcW w:type="dxa" w:w="1616"/>
            <w:tcBorders>
              <w:start w:sz="4.0" w:val="single" w:color="#000000"/>
              <w:top w:sz="4.0" w:val="single" w:color="#000000"/>
              <w:end w:sz="4.0" w:val="single" w:color="#000000"/>
              <w:bottom w:sz="4.0" w:val="single" w:color="#000000"/>
            </w:tcBorders>
            <w:shd w:fill="d2d2d2"/>
            <w:tcMar>
              <w:start w:w="0" w:type="dxa"/>
              <w:end w:w="0" w:type="dxa"/>
            </w:tcMar>
          </w:tcPr>
          <w:tbl>
            <w:tblPr>
              <w:tblW w:type="auto" w:w="0"/>
              <w:tblLayout w:type="fixed"/>
              <w:tblLook w:firstColumn="1" w:firstRow="1" w:lastColumn="0" w:lastRow="0" w:noHBand="0" w:noVBand="1" w:val="04A0"/>
              <w:tblInd w:w="-1.9999999999998863" w:type="dxa"/>
            </w:tblPr>
            <w:tblGrid>
              <w:gridCol w:w="1616"/>
            </w:tblGrid>
            <w:tr>
              <w:trPr>
                <w:trHeight w:hRule="exact" w:val="308"/>
              </w:trPr>
              <w:tc>
                <w:tcPr>
                  <w:tcW w:type="dxa" w:w="1608"/>
                  <w:tcBorders/>
                  <w:shd w:fill="d2d2d2"/>
                  <w:tcMar>
                    <w:start w:w="0" w:type="dxa"/>
                    <w:end w:w="0" w:type="dxa"/>
                  </w:tcMar>
                </w:tcPr>
                <w:p>
                  <w:pPr>
                    <w:autoSpaceDN w:val="0"/>
                    <w:autoSpaceDE w:val="0"/>
                    <w:widowControl/>
                    <w:spacing w:line="180" w:lineRule="exact" w:before="72" w:after="0"/>
                    <w:ind w:left="352" w:right="0" w:firstLine="0"/>
                    <w:jc w:val="left"/>
                  </w:pPr>
                  <w:r>
                    <w:rPr>
                      <w:rFonts w:ascii="宋体" w:hAnsi="宋体" w:eastAsia="宋体"/>
                      <w:b w:val="0"/>
                      <w:i w:val="0"/>
                      <w:color w:val="000000"/>
                      <w:sz w:val="18"/>
                    </w:rPr>
                    <w:t xml:space="preserve">营业总收入 </w:t>
                  </w:r>
                </w:p>
              </w:tc>
            </w:tr>
          </w:tbl>
          <w:p>
            <w:pPr>
              <w:autoSpaceDN w:val="0"/>
              <w:autoSpaceDE w:val="0"/>
              <w:widowControl/>
              <w:spacing w:line="14" w:lineRule="exact" w:before="0" w:after="0"/>
              <w:ind w:left="0" w:right="0"/>
            </w:pPr>
          </w:p>
        </w:tc>
        <w:tc>
          <w:tcPr>
            <w:tcW w:type="dxa" w:w="161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72" w:after="0"/>
              <w:ind w:left="350" w:right="0" w:firstLine="0"/>
              <w:jc w:val="left"/>
            </w:pPr>
            <w:r>
              <w:rPr>
                <w:rFonts w:ascii="宋体" w:hAnsi="宋体" w:eastAsia="宋体"/>
                <w:b w:val="0"/>
                <w:i w:val="0"/>
                <w:color w:val="000000"/>
                <w:sz w:val="18"/>
              </w:rPr>
              <w:t xml:space="preserve">营业部数量 </w:t>
            </w:r>
          </w:p>
        </w:tc>
        <w:tc>
          <w:tcPr>
            <w:tcW w:type="dxa" w:w="1614"/>
            <w:tcBorders>
              <w:start w:sz="4.0" w:val="single" w:color="#000000"/>
              <w:top w:sz="4.0" w:val="single" w:color="#000000"/>
              <w:end w:sz="3.200000000000273" w:val="single" w:color="#000000"/>
              <w:bottom w:sz="4.0" w:val="single" w:color="#000000"/>
            </w:tcBorders>
            <w:shd w:fill="d2d2d2"/>
            <w:tcMar>
              <w:start w:w="0" w:type="dxa"/>
              <w:end w:w="0" w:type="dxa"/>
            </w:tcMar>
          </w:tcPr>
          <w:p>
            <w:pPr>
              <w:autoSpaceDN w:val="0"/>
              <w:autoSpaceDE w:val="0"/>
              <w:widowControl/>
              <w:spacing w:line="180" w:lineRule="exact" w:before="72" w:after="0"/>
              <w:ind w:left="352" w:right="0" w:firstLine="0"/>
              <w:jc w:val="left"/>
            </w:pPr>
            <w:r>
              <w:rPr>
                <w:rFonts w:ascii="宋体" w:hAnsi="宋体" w:eastAsia="宋体"/>
                <w:b w:val="0"/>
                <w:i w:val="0"/>
                <w:color w:val="000000"/>
                <w:sz w:val="18"/>
              </w:rPr>
              <w:t xml:space="preserve">营业总收入 </w:t>
            </w:r>
          </w:p>
        </w:tc>
        <w:tc>
          <w:tcPr>
            <w:tcW w:type="dxa" w:w="1667"/>
            <w:vMerge/>
            <w:tcBorders>
              <w:start w:sz="3.200000000000273" w:val="single" w:color="#000000"/>
              <w:top w:sz="3.199999999999818" w:val="single" w:color="#000000"/>
              <w:end w:sz="4.0" w:val="single" w:color="#000000"/>
              <w:bottom w:sz="4.0" w:val="single" w:color="#000000"/>
            </w:tcBorders>
          </w:tcPr>
          <w:p/>
        </w:tc>
      </w:tr>
    </w:tbl>
    <w:p>
      <w:pPr>
        <w:autoSpaceDN w:val="0"/>
        <w:autoSpaceDE w:val="0"/>
        <w:widowControl/>
        <w:spacing w:line="197" w:lineRule="auto" w:before="462" w:after="0"/>
        <w:ind w:left="0" w:right="0" w:firstLine="0"/>
        <w:jc w:val="center"/>
      </w:pPr>
      <w:r>
        <w:rPr>
          <w:rFonts w:ascii="Calibri" w:hAnsi="Calibri" w:eastAsia="Calibri"/>
          <w:b w:val="0"/>
          <w:i w:val="0"/>
          <w:color w:val="000000"/>
          <w:sz w:val="18"/>
        </w:rPr>
        <w:t xml:space="preserve">38 </w:t>
      </w:r>
    </w:p>
    <w:p>
      <w:pPr>
        <w:sectPr>
          <w:type w:val="continuous"/>
          <w:pgSz w:w="11904" w:h="16841"/>
          <w:pgMar w:top="424" w:right="900" w:bottom="446" w:left="10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70" w:bottom="446" w:left="1100" w:header="720" w:footer="720" w:gutter="0"/>
          <w:cols/>
          <w:docGrid w:linePitch="360"/>
        </w:sectPr>
      </w:pPr>
    </w:p>
    <w:p>
      <w:pPr>
        <w:autoSpaceDN w:val="0"/>
        <w:autoSpaceDE w:val="0"/>
        <w:widowControl/>
        <w:spacing w:line="240" w:lineRule="auto" w:before="0" w:after="0"/>
        <w:ind w:left="34" w:right="0" w:firstLine="0"/>
        <w:jc w:val="left"/>
      </w:pPr>
      <w:r>
        <w:drawing>
          <wp:inline xmlns:a="http://schemas.openxmlformats.org/drawingml/2006/main" xmlns:pic="http://schemas.openxmlformats.org/drawingml/2006/picture">
            <wp:extent cx="1844039" cy="439419"/>
            <wp:docPr id="41" name="Picture 4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70" w:bottom="446" w:left="1100" w:header="720" w:footer="720" w:gutter="0"/>
          <w:cols w:num="2" w:equalWidth="0">
            <w:col w:w="5440" w:space="0"/>
            <w:col w:w="4294" w:space="0"/>
          </w:cols>
          <w:docGrid w:linePitch="360"/>
        </w:sectPr>
      </w:pPr>
    </w:p>
    <w:p>
      <w:pPr>
        <w:autoSpaceDN w:val="0"/>
        <w:autoSpaceDE w:val="0"/>
        <w:widowControl/>
        <w:spacing w:line="200" w:lineRule="exact" w:before="0" w:after="30"/>
        <w:ind w:left="0" w:right="7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70" w:bottom="446" w:left="1100" w:header="720" w:footer="720" w:gutter="0"/>
          <w:cols w:num="2" w:equalWidth="0">
            <w:col w:w="5440" w:space="0"/>
            <w:col w:w="4294" w:space="0"/>
          </w:cols>
          <w:docGrid w:linePitch="360"/>
        </w:sectPr>
      </w:pPr>
    </w:p>
    <w:tbl>
      <w:tblPr>
        <w:tblW w:type="auto" w:w="0"/>
        <w:tblLayout w:type="fixed"/>
        <w:tblLook w:firstColumn="1" w:firstRow="1" w:lastColumn="0" w:lastRow="0" w:noHBand="0" w:noVBand="1" w:val="04A0"/>
        <w:tblInd w:w="4.000000000000057" w:type="dxa"/>
      </w:tblPr>
      <w:tblGrid>
        <w:gridCol w:w="1622"/>
        <w:gridCol w:w="1622"/>
        <w:gridCol w:w="1622"/>
        <w:gridCol w:w="1622"/>
        <w:gridCol w:w="1622"/>
        <w:gridCol w:w="1622"/>
      </w:tblGrid>
      <w:tr>
        <w:trPr>
          <w:trHeight w:hRule="exact" w:val="338"/>
        </w:trPr>
        <w:tc>
          <w:tcPr>
            <w:tcW w:type="dxa" w:w="1614"/>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8" w:after="0"/>
              <w:ind w:left="0" w:right="0" w:firstLine="0"/>
              <w:jc w:val="center"/>
            </w:pPr>
            <w:r>
              <w:rPr>
                <w:rFonts w:ascii="宋体" w:hAnsi="宋体" w:eastAsia="宋体"/>
                <w:b w:val="0"/>
                <w:i w:val="0"/>
                <w:color w:val="000000"/>
                <w:sz w:val="18"/>
              </w:rPr>
              <w:t>山西省</w:t>
            </w:r>
          </w:p>
        </w:tc>
        <w:tc>
          <w:tcPr>
            <w:tcW w:type="dxa" w:w="161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0" w:after="0"/>
              <w:ind w:left="0" w:right="0" w:firstLine="0"/>
              <w:jc w:val="center"/>
            </w:pPr>
            <w:r>
              <w:rPr>
                <w:rFonts w:ascii="Times New Roman" w:hAnsi="Times New Roman" w:eastAsia="Times New Roman"/>
                <w:b w:val="0"/>
                <w:i w:val="0"/>
                <w:color w:val="000000"/>
                <w:sz w:val="18"/>
              </w:rPr>
              <w:t xml:space="preserve">55 </w:t>
            </w:r>
          </w:p>
        </w:tc>
        <w:tc>
          <w:tcPr>
            <w:tcW w:type="dxa" w:w="161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0" w:after="0"/>
              <w:ind w:left="0" w:right="0" w:firstLine="0"/>
              <w:jc w:val="right"/>
            </w:pPr>
            <w:r>
              <w:rPr>
                <w:rFonts w:ascii="Times New Roman" w:hAnsi="Times New Roman" w:eastAsia="Times New Roman"/>
                <w:b w:val="0"/>
                <w:i w:val="0"/>
                <w:color w:val="000000"/>
                <w:sz w:val="18"/>
              </w:rPr>
              <w:t xml:space="preserve">575,815,358 </w:t>
            </w:r>
          </w:p>
        </w:tc>
        <w:tc>
          <w:tcPr>
            <w:tcW w:type="dxa" w:w="161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0" w:after="0"/>
              <w:ind w:left="0" w:right="0" w:firstLine="0"/>
              <w:jc w:val="center"/>
            </w:pPr>
            <w:r>
              <w:rPr>
                <w:rFonts w:ascii="Times New Roman" w:hAnsi="Times New Roman" w:eastAsia="Times New Roman"/>
                <w:b w:val="0"/>
                <w:i w:val="0"/>
                <w:color w:val="000000"/>
                <w:sz w:val="18"/>
              </w:rPr>
              <w:t xml:space="preserve">57 </w:t>
            </w:r>
          </w:p>
        </w:tc>
        <w:tc>
          <w:tcPr>
            <w:tcW w:type="dxa" w:w="1614"/>
            <w:tcBorders>
              <w:start w:sz="4.0" w:val="single" w:color="#000000"/>
              <w:top w:sz="5.600000000000023"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0" w:after="0"/>
              <w:ind w:left="0" w:right="0" w:firstLine="0"/>
              <w:jc w:val="right"/>
            </w:pPr>
            <w:r>
              <w:rPr>
                <w:rFonts w:ascii="Times New Roman" w:hAnsi="Times New Roman" w:eastAsia="Times New Roman"/>
                <w:b w:val="0"/>
                <w:i w:val="0"/>
                <w:color w:val="000000"/>
                <w:sz w:val="18"/>
              </w:rPr>
              <w:t xml:space="preserve">465,212,515 </w:t>
            </w:r>
          </w:p>
        </w:tc>
        <w:tc>
          <w:tcPr>
            <w:tcW w:type="dxa" w:w="1614"/>
            <w:tcBorders>
              <w:start w:sz="3.200000000000273"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0" w:after="0"/>
              <w:ind w:left="0" w:right="0" w:firstLine="0"/>
              <w:jc w:val="right"/>
            </w:pPr>
            <w:r>
              <w:rPr>
                <w:rFonts w:ascii="Times New Roman" w:hAnsi="Times New Roman" w:eastAsia="Times New Roman"/>
                <w:b w:val="0"/>
                <w:i w:val="0"/>
                <w:color w:val="000000"/>
                <w:sz w:val="18"/>
              </w:rPr>
              <w:t xml:space="preserve">23.77% </w:t>
            </w:r>
          </w:p>
        </w:tc>
      </w:tr>
      <w:tr>
        <w:trPr>
          <w:trHeight w:hRule="exact" w:val="340"/>
        </w:trPr>
        <w:tc>
          <w:tcPr>
            <w:tcW w:type="dxa" w:w="161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北京市</w:t>
            </w:r>
          </w:p>
        </w:tc>
        <w:tc>
          <w:tcPr>
            <w:tcW w:type="dxa" w:w="161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45,659,862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41,734,107 </w:t>
            </w:r>
          </w:p>
        </w:tc>
        <w:tc>
          <w:tcPr>
            <w:tcW w:type="dxa" w:w="1614"/>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9.41% </w:t>
            </w:r>
          </w:p>
        </w:tc>
      </w:tr>
      <w:tr>
        <w:trPr>
          <w:trHeight w:hRule="exact" w:val="342"/>
        </w:trPr>
        <w:tc>
          <w:tcPr>
            <w:tcW w:type="dxa" w:w="161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陕西省</w:t>
            </w:r>
          </w:p>
        </w:tc>
        <w:tc>
          <w:tcPr>
            <w:tcW w:type="dxa" w:w="161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15,646,267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13,577,718 </w:t>
            </w:r>
          </w:p>
        </w:tc>
        <w:tc>
          <w:tcPr>
            <w:tcW w:type="dxa" w:w="1614"/>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15.23% </w:t>
            </w:r>
          </w:p>
        </w:tc>
      </w:tr>
      <w:tr>
        <w:trPr>
          <w:trHeight w:hRule="exact" w:val="338"/>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上海市</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40,405,760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35,388,718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14.18% </w:t>
            </w:r>
          </w:p>
        </w:tc>
      </w:tr>
      <w:tr>
        <w:trPr>
          <w:trHeight w:hRule="exact" w:val="340"/>
        </w:trPr>
        <w:tc>
          <w:tcPr>
            <w:tcW w:type="dxa" w:w="161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广东省</w:t>
            </w:r>
          </w:p>
        </w:tc>
        <w:tc>
          <w:tcPr>
            <w:tcW w:type="dxa" w:w="161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21,108,133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27,695,279 </w:t>
            </w:r>
          </w:p>
        </w:tc>
        <w:tc>
          <w:tcPr>
            <w:tcW w:type="dxa" w:w="1614"/>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-23.78% </w:t>
            </w:r>
          </w:p>
        </w:tc>
      </w:tr>
      <w:tr>
        <w:trPr>
          <w:trHeight w:hRule="exact" w:val="342"/>
        </w:trPr>
        <w:tc>
          <w:tcPr>
            <w:tcW w:type="dxa" w:w="161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浙江省</w:t>
            </w:r>
          </w:p>
        </w:tc>
        <w:tc>
          <w:tcPr>
            <w:tcW w:type="dxa" w:w="161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20,980,356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12,177,792 </w:t>
            </w:r>
          </w:p>
        </w:tc>
        <w:tc>
          <w:tcPr>
            <w:tcW w:type="dxa" w:w="1614"/>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72.28% </w:t>
            </w:r>
          </w:p>
        </w:tc>
      </w:tr>
      <w:tr>
        <w:trPr>
          <w:trHeight w:hRule="exact" w:val="338"/>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重庆市</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6,363,446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9,037,265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-29.59% </w:t>
            </w:r>
          </w:p>
        </w:tc>
      </w:tr>
      <w:tr>
        <w:trPr>
          <w:trHeight w:hRule="exact" w:val="340"/>
        </w:trPr>
        <w:tc>
          <w:tcPr>
            <w:tcW w:type="dxa" w:w="161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辽宁省</w:t>
            </w:r>
          </w:p>
        </w:tc>
        <w:tc>
          <w:tcPr>
            <w:tcW w:type="dxa" w:w="161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6,065,985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4,379,204 </w:t>
            </w:r>
          </w:p>
        </w:tc>
        <w:tc>
          <w:tcPr>
            <w:tcW w:type="dxa" w:w="1614"/>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38.52% </w:t>
            </w:r>
          </w:p>
        </w:tc>
      </w:tr>
      <w:tr>
        <w:trPr>
          <w:trHeight w:hRule="exact" w:val="342"/>
        </w:trPr>
        <w:tc>
          <w:tcPr>
            <w:tcW w:type="dxa" w:w="161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天津市</w:t>
            </w:r>
          </w:p>
        </w:tc>
        <w:tc>
          <w:tcPr>
            <w:tcW w:type="dxa" w:w="161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3,945,692 </w:t>
            </w:r>
          </w:p>
        </w:tc>
        <w:tc>
          <w:tcPr>
            <w:tcW w:type="dxa" w:w="16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3,328,070 </w:t>
            </w:r>
          </w:p>
        </w:tc>
        <w:tc>
          <w:tcPr>
            <w:tcW w:type="dxa" w:w="1614"/>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18.56% </w:t>
            </w:r>
          </w:p>
        </w:tc>
      </w:tr>
      <w:tr>
        <w:trPr>
          <w:trHeight w:hRule="exact" w:val="338"/>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河北省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12,964,255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7,136,651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81.66% </w:t>
            </w:r>
          </w:p>
        </w:tc>
      </w:tr>
      <w:tr>
        <w:trPr>
          <w:trHeight w:hRule="exact" w:val="342"/>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山东省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15,500,078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16,085,411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-3.64% </w:t>
            </w:r>
          </w:p>
        </w:tc>
      </w:tr>
      <w:tr>
        <w:trPr>
          <w:trHeight w:hRule="exact" w:val="340"/>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福建省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9,146,257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3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8,369,824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9.28% </w:t>
            </w:r>
          </w:p>
        </w:tc>
      </w:tr>
      <w:tr>
        <w:trPr>
          <w:trHeight w:hRule="exact" w:val="336"/>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江苏省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5,143,071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6,357,216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-19.10% </w:t>
            </w:r>
          </w:p>
        </w:tc>
      </w:tr>
      <w:tr>
        <w:trPr>
          <w:trHeight w:hRule="exact" w:val="344"/>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河南省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4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10,378,405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4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7,813,704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32.82% </w:t>
            </w:r>
          </w:p>
        </w:tc>
      </w:tr>
      <w:tr>
        <w:trPr>
          <w:trHeight w:hRule="exact" w:val="340"/>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广西</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2,763,953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2,495,540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10.76% </w:t>
            </w:r>
          </w:p>
        </w:tc>
      </w:tr>
      <w:tr>
        <w:trPr>
          <w:trHeight w:hRule="exact" w:val="336"/>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四川省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7,129,802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2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4,444,769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60.41% </w:t>
            </w:r>
          </w:p>
        </w:tc>
      </w:tr>
      <w:tr>
        <w:trPr>
          <w:trHeight w:hRule="exact" w:val="344"/>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湖南省</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0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4,363,134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5,871,678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-25.69% </w:t>
            </w:r>
          </w:p>
        </w:tc>
      </w:tr>
      <w:tr>
        <w:trPr>
          <w:trHeight w:hRule="exact" w:val="340"/>
        </w:trPr>
        <w:tc>
          <w:tcPr>
            <w:tcW w:type="dxa" w:w="161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湖北省</w:t>
            </w:r>
          </w:p>
        </w:tc>
        <w:tc>
          <w:tcPr>
            <w:tcW w:type="dxa" w:w="161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635,637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2"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494,575 </w:t>
            </w:r>
          </w:p>
        </w:tc>
        <w:tc>
          <w:tcPr>
            <w:tcW w:type="dxa" w:w="1614"/>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2" w:after="0"/>
              <w:ind w:left="0" w:right="0" w:firstLine="0"/>
              <w:jc w:val="right"/>
            </w:pPr>
            <w:r>
              <w:rPr>
                <w:rFonts w:ascii="Times New Roman" w:hAnsi="Times New Roman" w:eastAsia="Times New Roman"/>
                <w:b w:val="0"/>
                <w:i w:val="0"/>
                <w:color w:val="000000"/>
                <w:sz w:val="18"/>
              </w:rPr>
              <w:t xml:space="preserve">28.52% </w:t>
            </w:r>
          </w:p>
        </w:tc>
      </w:tr>
      <w:tr>
        <w:trPr>
          <w:trHeight w:hRule="exact" w:val="338"/>
        </w:trPr>
        <w:tc>
          <w:tcPr>
            <w:tcW w:type="dxa" w:w="161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黑龙江省</w:t>
            </w:r>
          </w:p>
        </w:tc>
        <w:tc>
          <w:tcPr>
            <w:tcW w:type="dxa" w:w="161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584,289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642,651 </w:t>
            </w:r>
          </w:p>
        </w:tc>
        <w:tc>
          <w:tcPr>
            <w:tcW w:type="dxa" w:w="1614"/>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-9.08% </w:t>
            </w:r>
          </w:p>
        </w:tc>
      </w:tr>
      <w:tr>
        <w:trPr>
          <w:trHeight w:hRule="exact" w:val="342"/>
        </w:trPr>
        <w:tc>
          <w:tcPr>
            <w:tcW w:type="dxa" w:w="161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海南省</w:t>
            </w:r>
          </w:p>
        </w:tc>
        <w:tc>
          <w:tcPr>
            <w:tcW w:type="dxa" w:w="161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376,039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592,039 </w:t>
            </w:r>
          </w:p>
        </w:tc>
        <w:tc>
          <w:tcPr>
            <w:tcW w:type="dxa" w:w="1614"/>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-36.48% </w:t>
            </w:r>
          </w:p>
        </w:tc>
      </w:tr>
      <w:tr>
        <w:trPr>
          <w:trHeight w:hRule="exact" w:val="340"/>
        </w:trPr>
        <w:tc>
          <w:tcPr>
            <w:tcW w:type="dxa" w:w="161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云南省</w:t>
            </w:r>
          </w:p>
        </w:tc>
        <w:tc>
          <w:tcPr>
            <w:tcW w:type="dxa" w:w="161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852,708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419,797 </w:t>
            </w:r>
          </w:p>
        </w:tc>
        <w:tc>
          <w:tcPr>
            <w:tcW w:type="dxa" w:w="1614"/>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103.12% </w:t>
            </w:r>
          </w:p>
        </w:tc>
      </w:tr>
      <w:tr>
        <w:trPr>
          <w:trHeight w:hRule="exact" w:val="338"/>
        </w:trPr>
        <w:tc>
          <w:tcPr>
            <w:tcW w:type="dxa" w:w="161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内蒙古</w:t>
            </w:r>
          </w:p>
        </w:tc>
        <w:tc>
          <w:tcPr>
            <w:tcW w:type="dxa" w:w="161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1,851,068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1,537,110 </w:t>
            </w:r>
          </w:p>
        </w:tc>
        <w:tc>
          <w:tcPr>
            <w:tcW w:type="dxa" w:w="1614"/>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20.43% </w:t>
            </w:r>
          </w:p>
        </w:tc>
      </w:tr>
      <w:tr>
        <w:trPr>
          <w:trHeight w:hRule="exact" w:val="342"/>
        </w:trPr>
        <w:tc>
          <w:tcPr>
            <w:tcW w:type="dxa" w:w="161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江西省</w:t>
            </w:r>
          </w:p>
        </w:tc>
        <w:tc>
          <w:tcPr>
            <w:tcW w:type="dxa" w:w="161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348,391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267,615 </w:t>
            </w:r>
          </w:p>
        </w:tc>
        <w:tc>
          <w:tcPr>
            <w:tcW w:type="dxa" w:w="1614"/>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30.18% </w:t>
            </w:r>
          </w:p>
        </w:tc>
      </w:tr>
      <w:tr>
        <w:trPr>
          <w:trHeight w:hRule="exact" w:val="340"/>
        </w:trPr>
        <w:tc>
          <w:tcPr>
            <w:tcW w:type="dxa" w:w="161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宁夏</w:t>
            </w:r>
          </w:p>
        </w:tc>
        <w:tc>
          <w:tcPr>
            <w:tcW w:type="dxa" w:w="161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765,262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887,358 </w:t>
            </w:r>
          </w:p>
        </w:tc>
        <w:tc>
          <w:tcPr>
            <w:tcW w:type="dxa" w:w="1614"/>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64" w:after="0"/>
              <w:ind w:left="0" w:right="0" w:firstLine="0"/>
              <w:jc w:val="right"/>
            </w:pPr>
            <w:r>
              <w:rPr>
                <w:rFonts w:ascii="Times New Roman" w:hAnsi="Times New Roman" w:eastAsia="Times New Roman"/>
                <w:b w:val="0"/>
                <w:i w:val="0"/>
                <w:color w:val="000000"/>
                <w:sz w:val="18"/>
              </w:rPr>
              <w:t xml:space="preserve">-13.76% </w:t>
            </w:r>
          </w:p>
        </w:tc>
      </w:tr>
      <w:tr>
        <w:trPr>
          <w:trHeight w:hRule="exact" w:val="338"/>
        </w:trPr>
        <w:tc>
          <w:tcPr>
            <w:tcW w:type="dxa" w:w="161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贵州省</w:t>
            </w:r>
          </w:p>
        </w:tc>
        <w:tc>
          <w:tcPr>
            <w:tcW w:type="dxa" w:w="161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213,222 </w:t>
            </w:r>
          </w:p>
        </w:tc>
        <w:tc>
          <w:tcPr>
            <w:tcW w:type="dxa" w:w="16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-32,497 </w:t>
            </w:r>
          </w:p>
        </w:tc>
        <w:tc>
          <w:tcPr>
            <w:tcW w:type="dxa" w:w="1614"/>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22" w:firstLine="0"/>
              <w:jc w:val="right"/>
            </w:pPr>
            <w:r>
              <w:rPr>
                <w:rFonts w:ascii="宋体" w:hAnsi="宋体" w:eastAsia="宋体"/>
                <w:b w:val="0"/>
                <w:i w:val="0"/>
                <w:color w:val="000000"/>
                <w:sz w:val="18"/>
              </w:rPr>
              <w:t>不适用</w:t>
            </w:r>
          </w:p>
        </w:tc>
      </w:tr>
      <w:tr>
        <w:trPr>
          <w:trHeight w:hRule="exact" w:val="342"/>
        </w:trPr>
        <w:tc>
          <w:tcPr>
            <w:tcW w:type="dxa" w:w="161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安徽省</w:t>
            </w:r>
          </w:p>
        </w:tc>
        <w:tc>
          <w:tcPr>
            <w:tcW w:type="dxa" w:w="161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137,252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center"/>
            </w:pPr>
            <w:r>
              <w:rPr>
                <w:rFonts w:ascii="Times New Roman" w:hAnsi="Times New Roman" w:eastAsia="Times New Roman"/>
                <w:b w:val="0"/>
                <w:i w:val="0"/>
                <w:color w:val="000000"/>
                <w:sz w:val="18"/>
              </w:rPr>
              <w:t xml:space="preserve">1 </w:t>
            </w:r>
          </w:p>
        </w:tc>
        <w:tc>
          <w:tcPr>
            <w:tcW w:type="dxa" w:w="1614"/>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44,780 </w:t>
            </w:r>
          </w:p>
        </w:tc>
        <w:tc>
          <w:tcPr>
            <w:tcW w:type="dxa" w:w="1614"/>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6" w:after="0"/>
              <w:ind w:left="0" w:right="0" w:firstLine="0"/>
              <w:jc w:val="right"/>
            </w:pPr>
            <w:r>
              <w:rPr>
                <w:rFonts w:ascii="Times New Roman" w:hAnsi="Times New Roman" w:eastAsia="Times New Roman"/>
                <w:b w:val="0"/>
                <w:i w:val="0"/>
                <w:color w:val="000000"/>
                <w:sz w:val="18"/>
              </w:rPr>
              <w:t xml:space="preserve">206.50% </w:t>
            </w:r>
          </w:p>
        </w:tc>
      </w:tr>
      <w:tr>
        <w:trPr>
          <w:trHeight w:hRule="exact" w:val="342"/>
        </w:trPr>
        <w:tc>
          <w:tcPr>
            <w:tcW w:type="dxa" w:w="161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总部及子公司</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2,342,931,525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6" w:after="0"/>
              <w:ind w:left="0" w:right="0" w:firstLine="0"/>
              <w:jc w:val="center"/>
            </w:pPr>
            <w:r>
              <w:rPr>
                <w:rFonts w:ascii="Times New Roman" w:hAnsi="Times New Roman" w:eastAsia="Times New Roman"/>
                <w:b w:val="0"/>
                <w:i w:val="0"/>
                <w:color w:val="000000"/>
                <w:sz w:val="18"/>
              </w:rPr>
              <w:t xml:space="preserve">- </w:t>
            </w:r>
          </w:p>
        </w:tc>
        <w:tc>
          <w:tcPr>
            <w:tcW w:type="dxa" w:w="1614"/>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2,794,737,272 </w:t>
            </w:r>
          </w:p>
        </w:tc>
        <w:tc>
          <w:tcPr>
            <w:tcW w:type="dxa" w:w="1614"/>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66" w:after="0"/>
              <w:ind w:left="0" w:right="0" w:firstLine="0"/>
              <w:jc w:val="right"/>
            </w:pPr>
            <w:r>
              <w:rPr>
                <w:rFonts w:ascii="Times New Roman" w:hAnsi="Times New Roman" w:eastAsia="Times New Roman"/>
                <w:b w:val="0"/>
                <w:i w:val="0"/>
                <w:color w:val="000000"/>
                <w:sz w:val="18"/>
              </w:rPr>
              <w:t xml:space="preserve">-16.17% </w:t>
            </w:r>
          </w:p>
        </w:tc>
      </w:tr>
      <w:tr>
        <w:trPr>
          <w:trHeight w:hRule="exact" w:val="340"/>
        </w:trPr>
        <w:tc>
          <w:tcPr>
            <w:tcW w:type="dxa" w:w="1614"/>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合计</w:t>
            </w:r>
          </w:p>
        </w:tc>
        <w:tc>
          <w:tcPr>
            <w:tcW w:type="dxa" w:w="16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4" w:after="0"/>
              <w:ind w:left="0" w:right="0" w:firstLine="0"/>
              <w:jc w:val="center"/>
            </w:pPr>
            <w:r>
              <w:rPr>
                <w:rFonts w:ascii="Times New Roman" w:hAnsi="Times New Roman" w:eastAsia="Times New Roman"/>
                <w:b w:val="0"/>
                <w:i w:val="0"/>
                <w:color w:val="000000"/>
                <w:sz w:val="18"/>
              </w:rPr>
              <w:t xml:space="preserve">101 </w:t>
            </w:r>
          </w:p>
        </w:tc>
        <w:tc>
          <w:tcPr>
            <w:tcW w:type="dxa" w:w="16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4" w:after="0"/>
              <w:ind w:left="0" w:right="0" w:firstLine="0"/>
              <w:jc w:val="right"/>
            </w:pPr>
            <w:r>
              <w:rPr>
                <w:rFonts w:ascii="Times New Roman" w:hAnsi="Times New Roman" w:eastAsia="Times New Roman"/>
                <w:b w:val="0"/>
                <w:i w:val="0"/>
                <w:color w:val="000000"/>
                <w:sz w:val="18"/>
              </w:rPr>
              <w:t xml:space="preserve">3,152,075,207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64" w:after="0"/>
              <w:ind w:left="0" w:right="0" w:firstLine="0"/>
              <w:jc w:val="center"/>
            </w:pPr>
            <w:r>
              <w:rPr>
                <w:rFonts w:ascii="Times New Roman" w:hAnsi="Times New Roman" w:eastAsia="Times New Roman"/>
                <w:b w:val="0"/>
                <w:i w:val="0"/>
                <w:color w:val="000000"/>
                <w:sz w:val="18"/>
              </w:rPr>
              <w:t xml:space="preserve">104 </w:t>
            </w:r>
          </w:p>
        </w:tc>
        <w:tc>
          <w:tcPr>
            <w:tcW w:type="dxa" w:w="1614"/>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33" w:lineRule="auto" w:before="64" w:after="0"/>
              <w:ind w:left="0" w:right="0" w:firstLine="0"/>
              <w:jc w:val="right"/>
            </w:pPr>
            <w:r>
              <w:rPr>
                <w:rFonts w:ascii="Times New Roman" w:hAnsi="Times New Roman" w:eastAsia="Times New Roman"/>
                <w:b w:val="0"/>
                <w:i w:val="0"/>
                <w:color w:val="000000"/>
                <w:sz w:val="18"/>
              </w:rPr>
              <w:t xml:space="preserve">3,470,696,161 </w:t>
            </w:r>
          </w:p>
        </w:tc>
        <w:tc>
          <w:tcPr>
            <w:tcW w:type="dxa" w:w="1614"/>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4" w:after="0"/>
              <w:ind w:left="0" w:right="0" w:firstLine="0"/>
              <w:jc w:val="right"/>
            </w:pPr>
            <w:r>
              <w:rPr>
                <w:rFonts w:ascii="Times New Roman" w:hAnsi="Times New Roman" w:eastAsia="Times New Roman"/>
                <w:b w:val="0"/>
                <w:i w:val="0"/>
                <w:color w:val="000000"/>
                <w:sz w:val="18"/>
              </w:rPr>
              <w:t xml:space="preserve">-9.18% </w:t>
            </w:r>
          </w:p>
        </w:tc>
      </w:tr>
    </w:tbl>
    <w:p>
      <w:pPr>
        <w:autoSpaceDN w:val="0"/>
        <w:autoSpaceDE w:val="0"/>
        <w:widowControl/>
        <w:spacing w:line="180" w:lineRule="exact" w:before="132" w:after="0"/>
        <w:ind w:left="34" w:right="0" w:firstLine="0"/>
        <w:jc w:val="left"/>
      </w:pPr>
      <w:r>
        <w:rPr>
          <w:rFonts w:ascii="宋体" w:hAnsi="宋体" w:eastAsia="宋体"/>
          <w:b w:val="0"/>
          <w:i w:val="0"/>
          <w:color w:val="000000"/>
          <w:sz w:val="18"/>
        </w:rPr>
        <w:t xml:space="preserve">营业利润地区分部情况 </w:t>
      </w:r>
    </w:p>
    <w:p>
      <w:pPr>
        <w:autoSpaceDN w:val="0"/>
        <w:autoSpaceDE w:val="0"/>
        <w:widowControl/>
        <w:spacing w:line="180" w:lineRule="exact" w:before="180" w:after="142"/>
        <w:ind w:left="0" w:right="158"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4.000000000000057" w:type="dxa"/>
      </w:tblPr>
      <w:tblGrid>
        <w:gridCol w:w="1622"/>
        <w:gridCol w:w="1622"/>
        <w:gridCol w:w="1622"/>
        <w:gridCol w:w="1622"/>
        <w:gridCol w:w="1622"/>
        <w:gridCol w:w="1622"/>
      </w:tblGrid>
      <w:tr>
        <w:trPr>
          <w:trHeight w:hRule="exact" w:val="408"/>
        </w:trPr>
        <w:tc>
          <w:tcPr>
            <w:tcW w:type="dxa" w:w="1618"/>
            <w:vMerge w:val="restart"/>
            <w:tcBorders>
              <w:start w:sz="4.0" w:val="single" w:color="#000000"/>
              <w:top w:sz="4.0" w:val="single" w:color="#000000"/>
              <w:end w:sz="3.2000000000000455"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310" w:after="0"/>
              <w:ind w:left="0" w:right="534" w:firstLine="0"/>
              <w:jc w:val="right"/>
            </w:pPr>
            <w:r>
              <w:rPr>
                <w:rFonts w:ascii="宋体" w:hAnsi="宋体" w:eastAsia="宋体"/>
                <w:b w:val="0"/>
                <w:i w:val="0"/>
                <w:color w:val="000000"/>
                <w:sz w:val="18"/>
              </w:rPr>
              <w:t xml:space="preserve">地区 </w:t>
            </w:r>
          </w:p>
        </w:tc>
        <w:tc>
          <w:tcPr>
            <w:tcW w:type="dxa" w:w="3230"/>
            <w:gridSpan w:val="2"/>
            <w:tcBorders>
              <w:start w:sz="3.2000000000000455" w:val="single" w:color="#000000"/>
              <w:top w:sz="4.0"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110" w:after="0"/>
              <w:ind w:left="0" w:right="1228" w:firstLine="0"/>
              <w:jc w:val="right"/>
            </w:pPr>
            <w:r>
              <w:rPr>
                <w:rFonts w:ascii="宋体" w:hAnsi="宋体" w:eastAsia="宋体"/>
                <w:b w:val="0"/>
                <w:i w:val="0"/>
                <w:color w:val="000000"/>
                <w:sz w:val="18"/>
              </w:rPr>
              <w:t xml:space="preserve">2024 年 </w:t>
            </w:r>
          </w:p>
        </w:tc>
        <w:tc>
          <w:tcPr>
            <w:tcW w:type="dxa" w:w="3230"/>
            <w:gridSpan w:val="2"/>
            <w:tcBorders>
              <w:start w:sz="4.0" w:val="single" w:color="#000000"/>
              <w:top w:sz="4.0" w:val="single" w:color="#000000"/>
              <w:end w:sz="3.200000000000273"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110" w:after="0"/>
              <w:ind w:left="0" w:right="1226" w:firstLine="0"/>
              <w:jc w:val="right"/>
            </w:pPr>
            <w:r>
              <w:rPr>
                <w:rFonts w:ascii="宋体" w:hAnsi="宋体" w:eastAsia="宋体"/>
                <w:b w:val="0"/>
                <w:i w:val="0"/>
                <w:color w:val="000000"/>
                <w:sz w:val="18"/>
              </w:rPr>
              <w:t xml:space="preserve">2023 年 </w:t>
            </w:r>
          </w:p>
        </w:tc>
        <w:tc>
          <w:tcPr>
            <w:tcW w:type="dxa" w:w="1610"/>
            <w:vMerge w:val="restart"/>
            <w:tcBorders>
              <w:start w:sz="3.200000000000273" w:val="single" w:color="#000000"/>
              <w:top w:sz="4.0"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232" w:lineRule="exact" w:before="144" w:after="0"/>
              <w:ind w:left="0" w:right="0" w:firstLine="0"/>
              <w:jc w:val="center"/>
            </w:pPr>
            <w:r>
              <w:rPr>
                <w:rFonts w:ascii="宋体" w:hAnsi="宋体" w:eastAsia="宋体"/>
                <w:b w:val="0"/>
                <w:i w:val="0"/>
                <w:color w:val="000000"/>
                <w:sz w:val="18"/>
              </w:rPr>
              <w:t>营业利润比上年同</w:t>
            </w:r>
            <w:r>
              <w:rPr>
                <w:rFonts w:ascii="宋体" w:hAnsi="宋体" w:eastAsia="宋体"/>
                <w:b w:val="0"/>
                <w:i w:val="0"/>
                <w:color w:val="000000"/>
                <w:sz w:val="18"/>
              </w:rPr>
              <w:t>期增减</w:t>
            </w:r>
          </w:p>
        </w:tc>
      </w:tr>
      <w:tr>
        <w:trPr>
          <w:trHeight w:hRule="exact" w:val="408"/>
        </w:trPr>
        <w:tc>
          <w:tcPr>
            <w:tcW w:type="dxa" w:w="1622"/>
            <w:vMerge/>
            <w:tcBorders>
              <w:start w:sz="4.0" w:val="single" w:color="#000000"/>
              <w:top w:sz="4.0" w:val="single" w:color="#000000"/>
              <w:end w:sz="3.2000000000000455" w:val="single" w:color="#000000"/>
              <w:bottom w:sz="4.0" w:val="single" w:color="#000000"/>
            </w:tcBorders>
          </w:tcPr>
          <w:p/>
        </w:tc>
        <w:tc>
          <w:tcPr>
            <w:tcW w:type="dxa" w:w="1614"/>
            <w:tcBorders>
              <w:start w:sz="3.2000000000000455"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6" w:after="0"/>
              <w:ind w:left="352" w:right="0" w:firstLine="0"/>
              <w:jc w:val="left"/>
            </w:pPr>
            <w:r>
              <w:rPr>
                <w:rFonts w:ascii="宋体" w:hAnsi="宋体" w:eastAsia="宋体"/>
                <w:b w:val="0"/>
                <w:i w:val="0"/>
                <w:color w:val="000000"/>
                <w:sz w:val="18"/>
              </w:rPr>
              <w:t xml:space="preserve">营业部数量 </w:t>
            </w:r>
          </w:p>
        </w:tc>
        <w:tc>
          <w:tcPr>
            <w:tcW w:type="dxa" w:w="161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6" w:after="0"/>
              <w:ind w:left="0" w:right="354" w:firstLine="0"/>
              <w:jc w:val="right"/>
            </w:pPr>
            <w:r>
              <w:rPr>
                <w:rFonts w:ascii="宋体" w:hAnsi="宋体" w:eastAsia="宋体"/>
                <w:b w:val="0"/>
                <w:i w:val="0"/>
                <w:color w:val="000000"/>
                <w:sz w:val="18"/>
              </w:rPr>
              <w:t xml:space="preserve">营业利润 </w:t>
            </w:r>
          </w:p>
        </w:tc>
        <w:tc>
          <w:tcPr>
            <w:tcW w:type="dxa" w:w="161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6" w:after="0"/>
              <w:ind w:left="350" w:right="0" w:firstLine="0"/>
              <w:jc w:val="left"/>
            </w:pPr>
            <w:r>
              <w:rPr>
                <w:rFonts w:ascii="宋体" w:hAnsi="宋体" w:eastAsia="宋体"/>
                <w:b w:val="0"/>
                <w:i w:val="0"/>
                <w:color w:val="000000"/>
                <w:sz w:val="18"/>
              </w:rPr>
              <w:t xml:space="preserve">营业部数量 </w:t>
            </w:r>
          </w:p>
        </w:tc>
        <w:tc>
          <w:tcPr>
            <w:tcW w:type="dxa" w:w="1618"/>
            <w:tcBorders>
              <w:start w:sz="4.0" w:val="single" w:color="#000000"/>
              <w:top w:sz="4.0" w:val="single" w:color="#000000"/>
              <w:end w:sz="3.200000000000273" w:val="single" w:color="#000000"/>
              <w:bottom w:sz="4.0" w:val="single" w:color="#000000"/>
            </w:tcBorders>
            <w:shd w:fill="d2d2d2"/>
            <w:tcMar>
              <w:start w:w="0" w:type="dxa"/>
              <w:end w:w="0" w:type="dxa"/>
            </w:tcMar>
          </w:tcPr>
          <w:p>
            <w:pPr>
              <w:autoSpaceDN w:val="0"/>
              <w:autoSpaceDE w:val="0"/>
              <w:widowControl/>
              <w:spacing w:line="180" w:lineRule="exact" w:before="106" w:after="0"/>
              <w:ind w:left="0" w:right="354" w:firstLine="0"/>
              <w:jc w:val="right"/>
            </w:pPr>
            <w:r>
              <w:rPr>
                <w:rFonts w:ascii="宋体" w:hAnsi="宋体" w:eastAsia="宋体"/>
                <w:b w:val="0"/>
                <w:i w:val="0"/>
                <w:color w:val="000000"/>
                <w:sz w:val="18"/>
              </w:rPr>
              <w:t xml:space="preserve">营业利润 </w:t>
            </w:r>
          </w:p>
        </w:tc>
        <w:tc>
          <w:tcPr>
            <w:tcW w:type="dxa" w:w="1622"/>
            <w:vMerge/>
            <w:tcBorders>
              <w:start w:sz="3.200000000000273" w:val="single" w:color="#000000"/>
              <w:top w:sz="4.0" w:val="single" w:color="#000000"/>
              <w:end w:sz="4.0" w:val="single" w:color="#000000"/>
              <w:bottom w:sz="4.0" w:val="single" w:color="#000000"/>
            </w:tcBorders>
          </w:tcP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山西省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55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374,056,501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57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252,588,412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48.09% </w:t>
            </w: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北京市</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28,632,477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20,888,039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37.08% </w:t>
            </w:r>
          </w:p>
        </w:tc>
      </w:tr>
      <w:tr>
        <w:trPr>
          <w:trHeight w:hRule="exact" w:val="404"/>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陕西省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6,368,889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3,982,525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59.92% </w:t>
            </w:r>
          </w:p>
        </w:tc>
      </w:tr>
      <w:tr>
        <w:trPr>
          <w:trHeight w:hRule="exact" w:val="410"/>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上海市</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15,583,323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12,613,758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23.54% </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4" w:after="0"/>
              <w:ind w:left="0" w:right="0" w:firstLine="0"/>
              <w:jc w:val="center"/>
            </w:pPr>
            <w:r>
              <w:rPr>
                <w:rFonts w:ascii="宋体" w:hAnsi="宋体" w:eastAsia="宋体"/>
                <w:b w:val="0"/>
                <w:i w:val="0"/>
                <w:color w:val="000000"/>
                <w:sz w:val="18"/>
              </w:rPr>
              <w:t>广东省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-1,153,240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632,412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-282.36% </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浙江省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9,223,250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4,600,891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100.47% </w:t>
            </w:r>
          </w:p>
        </w:tc>
      </w:tr>
    </w:tbl>
    <w:p>
      <w:pPr>
        <w:autoSpaceDN w:val="0"/>
        <w:autoSpaceDE w:val="0"/>
        <w:widowControl/>
        <w:spacing w:line="197" w:lineRule="auto" w:before="522" w:after="0"/>
        <w:ind w:left="0" w:right="0" w:firstLine="0"/>
        <w:jc w:val="center"/>
      </w:pPr>
      <w:r>
        <w:rPr>
          <w:rFonts w:ascii="Calibri" w:hAnsi="Calibri" w:eastAsia="Calibri"/>
          <w:b w:val="0"/>
          <w:i w:val="0"/>
          <w:color w:val="000000"/>
          <w:sz w:val="18"/>
        </w:rPr>
        <w:t xml:space="preserve">39 </w:t>
      </w:r>
    </w:p>
    <w:p>
      <w:pPr>
        <w:sectPr>
          <w:type w:val="continuous"/>
          <w:pgSz w:w="11904" w:h="16841"/>
          <w:pgMar w:top="424" w:right="1070" w:bottom="446" w:left="1100" w:header="720" w:footer="720" w:gutter="0"/>
          <w:cols/>
          <w:docGrid w:linePitch="360"/>
        </w:sectPr>
      </w:pPr>
    </w:p>
    <w:p>
      <w:pPr>
        <w:autoSpaceDN w:val="0"/>
        <w:autoSpaceDE w:val="0"/>
        <w:widowControl/>
        <w:spacing w:line="220" w:lineRule="exact" w:before="0" w:after="206"/>
        <w:ind w:left="0" w:right="0"/>
      </w:pPr>
    </w:p>
    <w:p>
      <w:pPr>
        <w:sectPr>
          <w:pgSz w:w="11904" w:h="16841"/>
          <w:pgMar w:top="424" w:right="792" w:bottom="446" w:left="812" w:header="720" w:footer="720" w:gutter="0"/>
          <w:cols/>
          <w:docGrid w:linePitch="360"/>
        </w:sectPr>
      </w:pPr>
    </w:p>
    <w:p>
      <w:pPr>
        <w:autoSpaceDN w:val="0"/>
        <w:autoSpaceDE w:val="0"/>
        <w:widowControl/>
        <w:spacing w:line="240" w:lineRule="auto" w:before="0" w:after="0"/>
        <w:ind w:left="322" w:right="0" w:firstLine="0"/>
        <w:jc w:val="left"/>
      </w:pPr>
      <w:r>
        <w:drawing>
          <wp:inline xmlns:a="http://schemas.openxmlformats.org/drawingml/2006/main" xmlns:pic="http://schemas.openxmlformats.org/drawingml/2006/picture">
            <wp:extent cx="1844039" cy="439419"/>
            <wp:docPr id="42" name="Picture 4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792" w:bottom="446" w:left="812" w:header="720" w:footer="720" w:gutter="0"/>
          <w:cols w:num="2" w:equalWidth="0">
            <w:col w:w="5728" w:space="0"/>
            <w:col w:w="4572" w:space="0"/>
          </w:cols>
          <w:docGrid w:linePitch="360"/>
        </w:sectPr>
      </w:pPr>
    </w:p>
    <w:p>
      <w:pPr>
        <w:autoSpaceDN w:val="0"/>
        <w:autoSpaceDE w:val="0"/>
        <w:widowControl/>
        <w:spacing w:line="200" w:lineRule="exact" w:before="0" w:after="30"/>
        <w:ind w:left="0" w:right="35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792" w:bottom="446" w:left="812" w:header="720" w:footer="720" w:gutter="0"/>
          <w:cols w:num="2" w:equalWidth="0">
            <w:col w:w="5728" w:space="0"/>
            <w:col w:w="4572" w:space="0"/>
          </w:cols>
          <w:docGrid w:linePitch="360"/>
        </w:sectPr>
      </w:pPr>
    </w:p>
    <w:tbl>
      <w:tblPr>
        <w:tblW w:type="auto" w:w="0"/>
        <w:tblLayout w:type="fixed"/>
        <w:tblLook w:firstColumn="1" w:firstRow="1" w:lastColumn="0" w:lastRow="0" w:noHBand="0" w:noVBand="1" w:val="04A0"/>
        <w:tblInd w:w="292.0" w:type="dxa"/>
      </w:tblPr>
      <w:tblGrid>
        <w:gridCol w:w="1717"/>
        <w:gridCol w:w="1717"/>
        <w:gridCol w:w="1717"/>
        <w:gridCol w:w="1717"/>
        <w:gridCol w:w="1717"/>
        <w:gridCol w:w="1717"/>
      </w:tblGrid>
      <w:tr>
        <w:trPr>
          <w:trHeight w:hRule="exact" w:val="404"/>
        </w:trPr>
        <w:tc>
          <w:tcPr>
            <w:tcW w:type="dxa" w:w="1618"/>
            <w:tcBorders>
              <w:start w:sz="4.0" w:val="single" w:color="#000000"/>
              <w:top w:sz="5.600000000000023"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2" w:after="0"/>
              <w:ind w:left="0" w:right="0" w:firstLine="0"/>
              <w:jc w:val="center"/>
            </w:pPr>
            <w:r>
              <w:rPr>
                <w:rFonts w:ascii="宋体" w:hAnsi="宋体" w:eastAsia="宋体"/>
                <w:b w:val="0"/>
                <w:i w:val="0"/>
                <w:color w:val="000000"/>
                <w:sz w:val="18"/>
              </w:rPr>
              <w:t>重庆市</w:t>
            </w:r>
          </w:p>
        </w:tc>
        <w:tc>
          <w:tcPr>
            <w:tcW w:type="dxa" w:w="1614"/>
            <w:tcBorders>
              <w:start w:sz="3.2000000000000455"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-1,618,316 </w:t>
            </w:r>
          </w:p>
        </w:tc>
        <w:tc>
          <w:tcPr>
            <w:tcW w:type="dxa" w:w="1612"/>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5.600000000000023"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499,713 </w:t>
            </w:r>
          </w:p>
        </w:tc>
        <w:tc>
          <w:tcPr>
            <w:tcW w:type="dxa" w:w="1610"/>
            <w:tcBorders>
              <w:start w:sz="3.200000000000273"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-423.85% </w:t>
            </w:r>
          </w:p>
        </w:tc>
      </w:tr>
      <w:tr>
        <w:trPr>
          <w:trHeight w:hRule="exact" w:val="410"/>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辽宁省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1,047,926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-764,392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4" w:after="0"/>
              <w:ind w:left="0" w:right="0" w:firstLine="0"/>
              <w:jc w:val="center"/>
            </w:pPr>
            <w:r>
              <w:rPr>
                <w:rFonts w:ascii="宋体" w:hAnsi="宋体" w:eastAsia="宋体"/>
                <w:b w:val="0"/>
                <w:i w:val="0"/>
                <w:color w:val="000000"/>
                <w:sz w:val="18"/>
              </w:rPr>
              <w:t>天津市</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-243,434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-636,883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4"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3.2000000000000455"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河北省</w:t>
            </w:r>
          </w:p>
        </w:tc>
        <w:tc>
          <w:tcPr>
            <w:tcW w:type="dxa" w:w="1614"/>
            <w:tcBorders>
              <w:start w:sz="3.2000000000000455"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96"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96" w:after="0"/>
              <w:ind w:left="0" w:right="0" w:firstLine="0"/>
              <w:jc w:val="right"/>
            </w:pPr>
            <w:r>
              <w:rPr>
                <w:rFonts w:ascii="Times New Roman" w:hAnsi="Times New Roman" w:eastAsia="Times New Roman"/>
                <w:b w:val="0"/>
                <w:i w:val="0"/>
                <w:color w:val="000000"/>
                <w:sz w:val="18"/>
              </w:rPr>
              <w:t xml:space="preserve">3,540,418 </w:t>
            </w:r>
          </w:p>
        </w:tc>
        <w:tc>
          <w:tcPr>
            <w:tcW w:type="dxa" w:w="1612"/>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96"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230" w:lineRule="auto" w:before="96" w:after="0"/>
              <w:ind w:left="0" w:right="0" w:firstLine="0"/>
              <w:jc w:val="right"/>
            </w:pPr>
            <w:r>
              <w:rPr>
                <w:rFonts w:ascii="Times New Roman" w:hAnsi="Times New Roman" w:eastAsia="Times New Roman"/>
                <w:b w:val="0"/>
                <w:i w:val="0"/>
                <w:color w:val="000000"/>
                <w:sz w:val="18"/>
              </w:rPr>
              <w:t xml:space="preserve">-2,623,491 </w:t>
            </w:r>
          </w:p>
        </w:tc>
        <w:tc>
          <w:tcPr>
            <w:tcW w:type="dxa" w:w="16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3.2000000000000455" w:val="single" w:color="#000000"/>
              <w:end w:sz="3.2000000000000455"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山东省</w:t>
            </w:r>
          </w:p>
        </w:tc>
        <w:tc>
          <w:tcPr>
            <w:tcW w:type="dxa" w:w="1614"/>
            <w:tcBorders>
              <w:start w:sz="3.2000000000000455"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1,747,518 </w:t>
            </w:r>
          </w:p>
        </w:tc>
        <w:tc>
          <w:tcPr>
            <w:tcW w:type="dxa" w:w="1612"/>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3.2000000000000455"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-1,135,806 </w:t>
            </w:r>
          </w:p>
        </w:tc>
        <w:tc>
          <w:tcPr>
            <w:tcW w:type="dxa" w:w="1610"/>
            <w:tcBorders>
              <w:start w:sz="3.200000000000273"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3.199999999999818"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福建省</w:t>
            </w:r>
          </w:p>
        </w:tc>
        <w:tc>
          <w:tcPr>
            <w:tcW w:type="dxa" w:w="1614"/>
            <w:tcBorders>
              <w:start w:sz="3.2000000000000455"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-891,826 </w:t>
            </w:r>
          </w:p>
        </w:tc>
        <w:tc>
          <w:tcPr>
            <w:tcW w:type="dxa" w:w="161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3 </w:t>
            </w:r>
          </w:p>
        </w:tc>
        <w:tc>
          <w:tcPr>
            <w:tcW w:type="dxa" w:w="1618"/>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-3,624,706 </w:t>
            </w:r>
          </w:p>
        </w:tc>
        <w:tc>
          <w:tcPr>
            <w:tcW w:type="dxa" w:w="16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江苏省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-4,699,635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-4,901,171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04"/>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河南省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4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865,743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4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-1,787,097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10"/>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广西</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-1,278,236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-1,345,728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4.0" w:val="single" w:color="#000000"/>
              <w:end w:sz="3.2000000000000455"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四川省</w:t>
            </w:r>
          </w:p>
        </w:tc>
        <w:tc>
          <w:tcPr>
            <w:tcW w:type="dxa" w:w="1614"/>
            <w:tcBorders>
              <w:start w:sz="3.2000000000000455"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82,465 </w:t>
            </w:r>
          </w:p>
        </w:tc>
        <w:tc>
          <w:tcPr>
            <w:tcW w:type="dxa" w:w="1612"/>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2 </w:t>
            </w:r>
          </w:p>
        </w:tc>
        <w:tc>
          <w:tcPr>
            <w:tcW w:type="dxa" w:w="1618"/>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0" w:lineRule="auto" w:before="100" w:after="0"/>
              <w:ind w:left="0" w:right="0" w:firstLine="0"/>
              <w:jc w:val="right"/>
            </w:pPr>
            <w:r>
              <w:rPr>
                <w:rFonts w:ascii="Times New Roman" w:hAnsi="Times New Roman" w:eastAsia="Times New Roman"/>
                <w:b w:val="0"/>
                <w:i w:val="0"/>
                <w:color w:val="000000"/>
                <w:sz w:val="18"/>
              </w:rPr>
              <w:t xml:space="preserve">-1,890,325 </w:t>
            </w:r>
          </w:p>
        </w:tc>
        <w:tc>
          <w:tcPr>
            <w:tcW w:type="dxa" w:w="16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3.199999999999818"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湖南省</w:t>
            </w:r>
          </w:p>
        </w:tc>
        <w:tc>
          <w:tcPr>
            <w:tcW w:type="dxa" w:w="1614"/>
            <w:tcBorders>
              <w:start w:sz="3.2000000000000455"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0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834,961 </w:t>
            </w:r>
          </w:p>
        </w:tc>
        <w:tc>
          <w:tcPr>
            <w:tcW w:type="dxa" w:w="161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1,161,740 </w:t>
            </w:r>
          </w:p>
        </w:tc>
        <w:tc>
          <w:tcPr>
            <w:tcW w:type="dxa" w:w="16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-28.13% </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湖北省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-980,918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98" w:after="0"/>
              <w:ind w:left="0" w:right="0" w:firstLine="0"/>
              <w:jc w:val="right"/>
            </w:pPr>
            <w:r>
              <w:rPr>
                <w:rFonts w:ascii="Times New Roman" w:hAnsi="Times New Roman" w:eastAsia="Times New Roman"/>
                <w:b w:val="0"/>
                <w:i w:val="0"/>
                <w:color w:val="000000"/>
                <w:sz w:val="18"/>
              </w:rPr>
              <w:t xml:space="preserve">-710,332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黑龙江省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2"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2" w:after="0"/>
              <w:ind w:left="0" w:right="0" w:firstLine="0"/>
              <w:jc w:val="right"/>
            </w:pPr>
            <w:r>
              <w:rPr>
                <w:rFonts w:ascii="Times New Roman" w:hAnsi="Times New Roman" w:eastAsia="Times New Roman"/>
                <w:b w:val="0"/>
                <w:i w:val="0"/>
                <w:color w:val="000000"/>
                <w:sz w:val="18"/>
              </w:rPr>
              <w:t xml:space="preserve">-636,658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102"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0" w:lineRule="auto" w:before="102" w:after="0"/>
              <w:ind w:left="0" w:right="0" w:firstLine="0"/>
              <w:jc w:val="right"/>
            </w:pPr>
            <w:r>
              <w:rPr>
                <w:rFonts w:ascii="Times New Roman" w:hAnsi="Times New Roman" w:eastAsia="Times New Roman"/>
                <w:b w:val="0"/>
                <w:i w:val="0"/>
                <w:color w:val="000000"/>
                <w:sz w:val="18"/>
              </w:rPr>
              <w:t xml:space="preserve">-689,825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12" w:after="0"/>
              <w:ind w:left="0" w:right="0" w:firstLine="0"/>
              <w:jc w:val="center"/>
            </w:pPr>
            <w:r>
              <w:rPr>
                <w:rFonts w:ascii="宋体" w:hAnsi="宋体" w:eastAsia="宋体"/>
                <w:b w:val="0"/>
                <w:i w:val="0"/>
                <w:color w:val="000000"/>
                <w:sz w:val="18"/>
              </w:rPr>
              <w:t>海南省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-3,050,379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-849,510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2" w:after="0"/>
              <w:ind w:left="0" w:right="24" w:firstLine="0"/>
              <w:jc w:val="right"/>
            </w:pPr>
            <w:r>
              <w:rPr>
                <w:rFonts w:ascii="宋体" w:hAnsi="宋体" w:eastAsia="宋体"/>
                <w:b w:val="0"/>
                <w:i w:val="0"/>
                <w:color w:val="000000"/>
                <w:sz w:val="18"/>
              </w:rPr>
              <w:t>不适用</w:t>
            </w:r>
          </w:p>
        </w:tc>
      </w:tr>
      <w:tr>
        <w:trPr>
          <w:trHeight w:hRule="exact" w:val="410"/>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云南省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-1,865,240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-1,708,789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内蒙古</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6,815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-154,202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江西省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-393,141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-597,829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4" w:after="0"/>
              <w:ind w:left="0" w:right="0" w:firstLine="0"/>
              <w:jc w:val="center"/>
            </w:pPr>
            <w:r>
              <w:rPr>
                <w:rFonts w:ascii="宋体" w:hAnsi="宋体" w:eastAsia="宋体"/>
                <w:b w:val="0"/>
                <w:i w:val="0"/>
                <w:color w:val="000000"/>
                <w:sz w:val="18"/>
              </w:rPr>
              <w:t>宁夏</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-1,147,890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4" w:after="0"/>
              <w:ind w:left="0" w:right="0" w:firstLine="0"/>
              <w:jc w:val="right"/>
            </w:pPr>
            <w:r>
              <w:rPr>
                <w:rFonts w:ascii="Times New Roman" w:hAnsi="Times New Roman" w:eastAsia="Times New Roman"/>
                <w:b w:val="0"/>
                <w:i w:val="0"/>
                <w:color w:val="000000"/>
                <w:sz w:val="18"/>
              </w:rPr>
              <w:t xml:space="preserve">-1,734,989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4"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贵州省</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-1,413,557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96" w:after="0"/>
              <w:ind w:left="0" w:right="0" w:firstLine="0"/>
              <w:jc w:val="right"/>
            </w:pPr>
            <w:r>
              <w:rPr>
                <w:rFonts w:ascii="Times New Roman" w:hAnsi="Times New Roman" w:eastAsia="Times New Roman"/>
                <w:b w:val="0"/>
                <w:i w:val="0"/>
                <w:color w:val="000000"/>
                <w:sz w:val="18"/>
              </w:rPr>
              <w:t xml:space="preserve">-1,727,374 </w:t>
            </w:r>
          </w:p>
        </w:tc>
        <w:tc>
          <w:tcPr>
            <w:tcW w:type="dxa" w:w="16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06" w:after="0"/>
              <w:ind w:left="0" w:right="24" w:firstLine="0"/>
              <w:jc w:val="right"/>
            </w:pPr>
            <w:r>
              <w:rPr>
                <w:rFonts w:ascii="宋体" w:hAnsi="宋体" w:eastAsia="宋体"/>
                <w:b w:val="0"/>
                <w:i w:val="0"/>
                <w:color w:val="000000"/>
                <w:sz w:val="18"/>
              </w:rPr>
              <w:t>不适用</w:t>
            </w:r>
          </w:p>
        </w:tc>
      </w:tr>
      <w:tr>
        <w:trPr>
          <w:trHeight w:hRule="exact" w:val="406"/>
        </w:trPr>
        <w:tc>
          <w:tcPr>
            <w:tcW w:type="dxa" w:w="1618"/>
            <w:tcBorders>
              <w:start w:sz="4.0" w:val="single" w:color="#000000"/>
              <w:top w:sz="4.0" w:val="single" w:color="#000000"/>
              <w:end w:sz="3.2000000000000455"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安徽省</w:t>
            </w:r>
          </w:p>
        </w:tc>
        <w:tc>
          <w:tcPr>
            <w:tcW w:type="dxa" w:w="1614"/>
            <w:tcBorders>
              <w:start w:sz="3.2000000000000455"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1 </w:t>
            </w:r>
          </w:p>
        </w:tc>
        <w:tc>
          <w:tcPr>
            <w:tcW w:type="dxa" w:w="16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-1,576,237 </w:t>
            </w:r>
          </w:p>
        </w:tc>
        <w:tc>
          <w:tcPr>
            <w:tcW w:type="dxa" w:w="1612"/>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1 </w:t>
            </w:r>
          </w:p>
        </w:tc>
        <w:tc>
          <w:tcPr>
            <w:tcW w:type="dxa" w:w="1618"/>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-1,371,984 </w:t>
            </w:r>
          </w:p>
        </w:tc>
        <w:tc>
          <w:tcPr>
            <w:tcW w:type="dxa" w:w="16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08" w:after="0"/>
              <w:ind w:left="0" w:right="24" w:firstLine="0"/>
              <w:jc w:val="right"/>
            </w:pPr>
            <w:r>
              <w:rPr>
                <w:rFonts w:ascii="宋体" w:hAnsi="宋体" w:eastAsia="宋体"/>
                <w:b w:val="0"/>
                <w:i w:val="0"/>
                <w:color w:val="000000"/>
                <w:sz w:val="18"/>
              </w:rPr>
              <w:t>不适用</w:t>
            </w:r>
          </w:p>
        </w:tc>
      </w:tr>
      <w:tr>
        <w:trPr>
          <w:trHeight w:hRule="exact" w:val="408"/>
        </w:trPr>
        <w:tc>
          <w:tcPr>
            <w:tcW w:type="dxa" w:w="1618"/>
            <w:tcBorders>
              <w:start w:sz="4.0" w:val="single" w:color="#000000"/>
              <w:top w:sz="3.199999999999818" w:val="single" w:color="#000000"/>
              <w:end w:sz="3.2000000000000455"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总部及子公司</w:t>
            </w:r>
          </w:p>
        </w:tc>
        <w:tc>
          <w:tcPr>
            <w:tcW w:type="dxa" w:w="1614"/>
            <w:tcBorders>
              <w:start w:sz="3.2000000000000455"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 </w:t>
            </w:r>
          </w:p>
        </w:tc>
        <w:tc>
          <w:tcPr>
            <w:tcW w:type="dxa" w:w="16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407,513,281 </w:t>
            </w:r>
          </w:p>
        </w:tc>
        <w:tc>
          <w:tcPr>
            <w:tcW w:type="dxa" w:w="161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 </w:t>
            </w:r>
          </w:p>
        </w:tc>
        <w:tc>
          <w:tcPr>
            <w:tcW w:type="dxa" w:w="1618"/>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500,472,536 </w:t>
            </w:r>
          </w:p>
        </w:tc>
        <w:tc>
          <w:tcPr>
            <w:tcW w:type="dxa" w:w="16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100" w:after="0"/>
              <w:ind w:left="0" w:right="0" w:firstLine="0"/>
              <w:jc w:val="right"/>
            </w:pPr>
            <w:r>
              <w:rPr>
                <w:rFonts w:ascii="Times New Roman" w:hAnsi="Times New Roman" w:eastAsia="Times New Roman"/>
                <w:b w:val="0"/>
                <w:i w:val="0"/>
                <w:color w:val="000000"/>
                <w:sz w:val="18"/>
              </w:rPr>
              <w:t xml:space="preserve">-18.57% </w:t>
            </w:r>
          </w:p>
        </w:tc>
      </w:tr>
      <w:tr>
        <w:trPr>
          <w:trHeight w:hRule="exact" w:val="408"/>
        </w:trPr>
        <w:tc>
          <w:tcPr>
            <w:tcW w:type="dxa" w:w="1618"/>
            <w:tcBorders>
              <w:start w:sz="4.0" w:val="single" w:color="#000000"/>
              <w:top w:sz="4.0" w:val="single" w:color="#000000"/>
              <w:end w:sz="3.2000000000000455" w:val="single" w:color="#000000"/>
              <w:bottom w:sz="4.0" w:val="single" w:color="#000000"/>
            </w:tcBorders>
            <w:shd w:fill="d2d2d2"/>
            <w:tcMar>
              <w:start w:w="0" w:type="dxa"/>
              <w:end w:w="0" w:type="dxa"/>
            </w:tcMar>
          </w:tcPr>
          <w:p>
            <w:pPr>
              <w:autoSpaceDN w:val="0"/>
              <w:autoSpaceDE w:val="0"/>
              <w:widowControl/>
              <w:spacing w:line="180" w:lineRule="exact" w:before="106" w:after="0"/>
              <w:ind w:left="0" w:right="0" w:firstLine="0"/>
              <w:jc w:val="center"/>
            </w:pPr>
            <w:r>
              <w:rPr>
                <w:rFonts w:ascii="宋体" w:hAnsi="宋体" w:eastAsia="宋体"/>
                <w:b w:val="0"/>
                <w:i w:val="0"/>
                <w:color w:val="000000"/>
                <w:sz w:val="18"/>
              </w:rPr>
              <w:t>合计</w:t>
            </w:r>
          </w:p>
        </w:tc>
        <w:tc>
          <w:tcPr>
            <w:tcW w:type="dxa" w:w="1614"/>
            <w:tcBorders>
              <w:start w:sz="3.2000000000000455"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101 </w:t>
            </w:r>
          </w:p>
        </w:tc>
        <w:tc>
          <w:tcPr>
            <w:tcW w:type="dxa" w:w="16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828,554,860 </w:t>
            </w:r>
          </w:p>
        </w:tc>
        <w:tc>
          <w:tcPr>
            <w:tcW w:type="dxa" w:w="161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104 </w:t>
            </w:r>
          </w:p>
        </w:tc>
        <w:tc>
          <w:tcPr>
            <w:tcW w:type="dxa" w:w="1618"/>
            <w:tcBorders>
              <w:start w:sz="4.0" w:val="single" w:color="#000000"/>
              <w:top w:sz="4.0" w:val="single" w:color="#000000"/>
              <w:end w:sz="3.200000000000273"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769,185,593 </w:t>
            </w:r>
          </w:p>
        </w:tc>
        <w:tc>
          <w:tcPr>
            <w:tcW w:type="dxa" w:w="1610"/>
            <w:tcBorders>
              <w:start w:sz="3.200000000000273"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right"/>
            </w:pPr>
            <w:r>
              <w:rPr>
                <w:rFonts w:ascii="Times New Roman" w:hAnsi="Times New Roman" w:eastAsia="Times New Roman"/>
                <w:b w:val="0"/>
                <w:i w:val="0"/>
                <w:color w:val="000000"/>
                <w:sz w:val="18"/>
              </w:rPr>
              <w:t xml:space="preserve">7.72% </w:t>
            </w:r>
          </w:p>
        </w:tc>
      </w:tr>
    </w:tbl>
    <w:p>
      <w:pPr>
        <w:autoSpaceDN w:val="0"/>
        <w:autoSpaceDE w:val="0"/>
        <w:widowControl/>
        <w:spacing w:line="240" w:lineRule="exact" w:before="348" w:after="0"/>
        <w:ind w:left="322" w:right="0" w:firstLine="0"/>
        <w:jc w:val="left"/>
      </w:pPr>
      <w:r>
        <w:rPr>
          <w:rFonts w:ascii="宋体" w:hAnsi="宋体" w:eastAsia="宋体"/>
          <w:b w:val="0"/>
          <w:i w:val="0"/>
          <w:color w:val="000000"/>
          <w:sz w:val="24"/>
        </w:rPr>
        <w:t xml:space="preserve">六、非主要经营业务情况 </w:t>
      </w:r>
    </w:p>
    <w:p>
      <w:pPr>
        <w:autoSpaceDN w:val="0"/>
        <w:autoSpaceDE w:val="0"/>
        <w:widowControl/>
        <w:spacing w:line="180" w:lineRule="exact" w:before="364" w:after="0"/>
        <w:ind w:left="322"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322" w:right="0" w:firstLine="0"/>
        <w:jc w:val="left"/>
      </w:pPr>
      <w:r>
        <w:rPr>
          <w:rFonts w:ascii="宋体" w:hAnsi="宋体" w:eastAsia="宋体"/>
          <w:b w:val="0"/>
          <w:i w:val="0"/>
          <w:color w:val="000000"/>
          <w:sz w:val="24"/>
        </w:rPr>
        <w:t xml:space="preserve">七、资产及负债状况分析 </w:t>
      </w:r>
    </w:p>
    <w:p>
      <w:pPr>
        <w:autoSpaceDN w:val="0"/>
        <w:autoSpaceDE w:val="0"/>
        <w:widowControl/>
        <w:spacing w:line="210" w:lineRule="exact" w:before="370" w:after="0"/>
        <w:ind w:left="322" w:right="0" w:firstLine="0"/>
        <w:jc w:val="left"/>
      </w:pPr>
      <w:r>
        <w:rPr>
          <w:rFonts w:ascii="宋体" w:hAnsi="宋体" w:eastAsia="宋体"/>
          <w:b w:val="0"/>
          <w:i w:val="0"/>
          <w:color w:val="000000"/>
          <w:sz w:val="21"/>
        </w:rPr>
        <w:t xml:space="preserve">1、资产构成重大变动情况 </w:t>
      </w:r>
    </w:p>
    <w:p>
      <w:pPr>
        <w:autoSpaceDN w:val="0"/>
        <w:autoSpaceDE w:val="0"/>
        <w:widowControl/>
        <w:spacing w:line="180" w:lineRule="exact" w:before="364" w:after="66"/>
        <w:ind w:left="0" w:right="436"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2.0000000000000284" w:type="dxa"/>
      </w:tblPr>
      <w:tblGrid>
        <w:gridCol w:w="1471"/>
        <w:gridCol w:w="1471"/>
        <w:gridCol w:w="1471"/>
        <w:gridCol w:w="1471"/>
        <w:gridCol w:w="1471"/>
        <w:gridCol w:w="1471"/>
        <w:gridCol w:w="1471"/>
      </w:tblGrid>
      <w:tr>
        <w:trPr>
          <w:trHeight w:hRule="exact" w:val="346"/>
        </w:trPr>
        <w:tc>
          <w:tcPr>
            <w:tcW w:type="dxa" w:w="1782"/>
            <w:vMerge w:val="restart"/>
            <w:tcBorders>
              <w:start w:sz="1.599999999999966" w:val="single" w:color="#000000"/>
              <w:top w:sz="1.6000000000003638" w:val="single" w:color="#000000"/>
              <w:end w:sz="2.400000000000091" w:val="single" w:color="#000000"/>
              <w:bottom w:sz="2.399999999999636" w:val="single" w:color="#000000"/>
            </w:tcBorders>
            <w:shd w:fill="d2d2d2"/>
            <w:tcMar>
              <w:start w:w="0" w:type="dxa"/>
              <w:end w:w="0" w:type="dxa"/>
            </w:tcMar>
            <w:tcMar>
              <w:start w:w="0" w:type="dxa"/>
              <w:end w:w="0" w:type="dxa"/>
            </w:tcMar>
          </w:tcPr>
          <w:p/>
        </w:tc>
        <w:tc>
          <w:tcPr>
            <w:tcW w:type="dxa" w:w="2916"/>
            <w:gridSpan w:val="2"/>
            <w:tcBorders>
              <w:start w:sz="2.400000000000091" w:val="single" w:color="#000000"/>
              <w:top w:sz="1.6000000000003638" w:val="single" w:color="#000000"/>
              <w:end w:sz="1.599999999999909" w:val="single" w:color="#000000"/>
              <w:bottom w:sz="1.5999999999994543"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1.99999999999989" w:type="dxa"/>
            </w:tblPr>
            <w:tblGrid>
              <w:gridCol w:w="2916"/>
            </w:tblGrid>
            <w:tr>
              <w:trPr>
                <w:trHeight w:hRule="exact" w:val="300"/>
              </w:trPr>
              <w:tc>
                <w:tcPr>
                  <w:tcW w:type="dxa" w:w="2704"/>
                  <w:tcBorders/>
                  <w:shd w:fill="d2d2d2"/>
                  <w:tcMar>
                    <w:start w:w="0" w:type="dxa"/>
                    <w:end w:w="0" w:type="dxa"/>
                  </w:tcMar>
                </w:tcPr>
                <w:p>
                  <w:pPr>
                    <w:autoSpaceDN w:val="0"/>
                    <w:autoSpaceDE w:val="0"/>
                    <w:widowControl/>
                    <w:spacing w:line="180" w:lineRule="exact" w:before="76" w:after="0"/>
                    <w:ind w:left="0" w:right="878" w:firstLine="0"/>
                    <w:jc w:val="right"/>
                  </w:pPr>
                  <w:r>
                    <w:rPr>
                      <w:rFonts w:ascii="宋体" w:hAnsi="宋体" w:eastAsia="宋体"/>
                      <w:b w:val="0"/>
                      <w:i w:val="0"/>
                      <w:color w:val="000000"/>
                      <w:sz w:val="18"/>
                    </w:rPr>
                    <w:t xml:space="preserve">2024 年末 </w:t>
                  </w:r>
                </w:p>
              </w:tc>
            </w:tr>
          </w:tbl>
          <w:p>
            <w:pPr>
              <w:autoSpaceDN w:val="0"/>
              <w:autoSpaceDE w:val="0"/>
              <w:widowControl/>
              <w:spacing w:line="14" w:lineRule="exact" w:before="0" w:after="0"/>
              <w:ind w:left="0" w:right="0"/>
            </w:pPr>
          </w:p>
        </w:tc>
        <w:tc>
          <w:tcPr>
            <w:tcW w:type="dxa" w:w="2928"/>
            <w:gridSpan w:val="2"/>
            <w:tcBorders>
              <w:start w:sz="1.599999999999909" w:val="single" w:color="#000000"/>
              <w:top w:sz="1.6000000000003638" w:val="single" w:color="#000000"/>
              <w:end w:sz="1.6000000000003638" w:val="single" w:color="#000000"/>
              <w:bottom w:sz="1.5999999999994543"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8.00000000000068" w:type="dxa"/>
            </w:tblPr>
            <w:tblGrid>
              <w:gridCol w:w="2928"/>
            </w:tblGrid>
            <w:tr>
              <w:trPr>
                <w:trHeight w:hRule="exact" w:val="300"/>
              </w:trPr>
              <w:tc>
                <w:tcPr>
                  <w:tcW w:type="dxa" w:w="2710"/>
                  <w:tcBorders/>
                  <w:shd w:fill="d2d2d2"/>
                  <w:tcMar>
                    <w:start w:w="0" w:type="dxa"/>
                    <w:end w:w="0" w:type="dxa"/>
                  </w:tcMar>
                </w:tcPr>
                <w:p>
                  <w:pPr>
                    <w:autoSpaceDN w:val="0"/>
                    <w:autoSpaceDE w:val="0"/>
                    <w:widowControl/>
                    <w:spacing w:line="180" w:lineRule="exact" w:before="76" w:after="0"/>
                    <w:ind w:left="0" w:right="880" w:firstLine="0"/>
                    <w:jc w:val="right"/>
                  </w:pPr>
                  <w:r>
                    <w:rPr>
                      <w:rFonts w:ascii="宋体" w:hAnsi="宋体" w:eastAsia="宋体"/>
                      <w:b w:val="0"/>
                      <w:i w:val="0"/>
                      <w:color w:val="000000"/>
                      <w:sz w:val="18"/>
                    </w:rPr>
                    <w:t xml:space="preserve">2024 年初 </w:t>
                  </w:r>
                </w:p>
              </w:tc>
            </w:tr>
          </w:tbl>
          <w:p>
            <w:pPr>
              <w:autoSpaceDN w:val="0"/>
              <w:autoSpaceDE w:val="0"/>
              <w:widowControl/>
              <w:spacing w:line="14" w:lineRule="exact" w:before="0" w:after="0"/>
              <w:ind w:left="0" w:right="0"/>
            </w:pPr>
          </w:p>
        </w:tc>
        <w:tc>
          <w:tcPr>
            <w:tcW w:type="dxa" w:w="1846"/>
            <w:vMerge w:val="restart"/>
            <w:tcBorders>
              <w:start w:sz="1.6000000000003638" w:val="single" w:color="#000000"/>
              <w:top w:sz="1.6000000000003638" w:val="single" w:color="#000000"/>
              <w:end w:sz="1.5999999999994543" w:val="single" w:color="#000000"/>
              <w:bottom w:sz="2.399999999999636" w:val="single" w:color="#000000"/>
            </w:tcBorders>
            <w:shd w:fill="d2d2d2"/>
            <w:tcMar>
              <w:start w:w="0" w:type="dxa"/>
              <w:end w:w="0" w:type="dxa"/>
            </w:tcMar>
            <w:tcMar>
              <w:start w:w="0" w:type="dxa"/>
              <w:end w:w="0" w:type="dxa"/>
            </w:tcMar>
          </w:tcPr>
          <w:p>
            <w:pPr>
              <w:autoSpaceDN w:val="0"/>
              <w:autoSpaceDE w:val="0"/>
              <w:widowControl/>
              <w:spacing w:line="182" w:lineRule="exact" w:before="0" w:after="0"/>
              <w:ind w:left="0" w:right="0"/>
            </w:pPr>
          </w:p>
          <w:tbl>
            <w:tblPr>
              <w:tblW w:type="auto" w:w="0"/>
              <w:tblLayout w:type="fixed"/>
              <w:tblLook w:firstColumn="1" w:firstRow="1" w:lastColumn="0" w:lastRow="0" w:noHBand="0" w:noVBand="1" w:val="04A0"/>
              <w:tblInd w:w="105.99999999999909" w:type="dxa"/>
            </w:tblPr>
            <w:tblGrid>
              <w:gridCol w:w="1846"/>
            </w:tblGrid>
            <w:tr>
              <w:trPr>
                <w:trHeight w:hRule="exact" w:val="300"/>
              </w:trPr>
              <w:tc>
                <w:tcPr>
                  <w:tcW w:type="dxa" w:w="1630"/>
                  <w:tcBorders/>
                  <w:shd w:fill="d2d2d2"/>
                  <w:tcMar>
                    <w:start w:w="0" w:type="dxa"/>
                    <w:end w:w="0" w:type="dxa"/>
                  </w:tcMar>
                </w:tcPr>
                <w:p>
                  <w:pPr>
                    <w:autoSpaceDN w:val="0"/>
                    <w:autoSpaceDE w:val="0"/>
                    <w:widowControl/>
                    <w:spacing w:line="180" w:lineRule="exact" w:before="76" w:after="0"/>
                    <w:ind w:left="0" w:right="364" w:firstLine="0"/>
                    <w:jc w:val="right"/>
                  </w:pPr>
                  <w:r>
                    <w:rPr>
                      <w:rFonts w:ascii="宋体" w:hAnsi="宋体" w:eastAsia="宋体"/>
                      <w:b w:val="0"/>
                      <w:i w:val="0"/>
                      <w:color w:val="000000"/>
                      <w:sz w:val="18"/>
                    </w:rPr>
                    <w:t xml:space="preserve">比重增减 </w:t>
                  </w:r>
                </w:p>
              </w:tc>
            </w:tr>
          </w:tbl>
          <w:p>
            <w:pPr>
              <w:autoSpaceDN w:val="0"/>
              <w:autoSpaceDE w:val="0"/>
              <w:widowControl/>
              <w:spacing w:line="14" w:lineRule="exact" w:before="0" w:after="0"/>
              <w:ind w:left="0" w:right="0"/>
            </w:pPr>
          </w:p>
        </w:tc>
        <w:tc>
          <w:tcPr>
            <w:tcW w:type="dxa" w:w="804"/>
            <w:vMerge w:val="restart"/>
            <w:tcBorders>
              <w:start w:sz="1.5999999999994543" w:val="single" w:color="#000000"/>
              <w:top w:sz="1.6000000000003638" w:val="single" w:color="#000000"/>
              <w:end w:sz="1.6000000000003638" w:val="single" w:color="#000000"/>
              <w:bottom w:sz="2.399999999999636" w:val="single" w:color="#000000"/>
            </w:tcBorders>
            <w:shd w:fill="d2d2d2"/>
            <w:tcMar>
              <w:start w:w="0" w:type="dxa"/>
              <w:end w:w="0" w:type="dxa"/>
            </w:tcMar>
            <w:tcMar>
              <w:start w:w="0" w:type="dxa"/>
              <w:end w:w="0" w:type="dxa"/>
            </w:tcMar>
          </w:tcPr>
          <w:p>
            <w:pPr>
              <w:autoSpaceDN w:val="0"/>
              <w:autoSpaceDE w:val="0"/>
              <w:widowControl/>
              <w:spacing w:line="62" w:lineRule="exact" w:before="0" w:after="0"/>
              <w:ind w:left="0" w:right="0"/>
            </w:pPr>
          </w:p>
          <w:tbl>
            <w:tblPr>
              <w:tblW w:type="auto" w:w="0"/>
              <w:tblLayout w:type="fixed"/>
              <w:tblLook w:firstColumn="1" w:firstRow="1" w:lastColumn="0" w:lastRow="0" w:noHBand="0" w:noVBand="1" w:val="04A0"/>
              <w:tblInd w:w="106.00000000000136" w:type="dxa"/>
            </w:tblPr>
            <w:tblGrid>
              <w:gridCol w:w="804"/>
            </w:tblGrid>
            <w:tr>
              <w:trPr>
                <w:trHeight w:hRule="exact" w:val="282"/>
              </w:trPr>
              <w:tc>
                <w:tcPr>
                  <w:tcW w:type="dxa" w:w="588"/>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重大变</w:t>
                  </w:r>
                </w:p>
              </w:tc>
            </w:tr>
          </w:tbl>
          <w:p>
            <w:pPr>
              <w:autoSpaceDN w:val="0"/>
              <w:autoSpaceDE w:val="0"/>
              <w:widowControl/>
              <w:spacing w:line="180" w:lineRule="exact" w:before="34" w:after="0"/>
              <w:ind w:left="128" w:right="0" w:firstLine="0"/>
              <w:jc w:val="left"/>
            </w:pPr>
            <w:r>
              <w:rPr>
                <w:shd w:val="clear" w:color="auto" w:fill="d2d2d2"/>
                <w:rFonts w:ascii="宋体" w:hAnsi="宋体" w:eastAsia="宋体"/>
                <w:b w:val="0"/>
                <w:i w:val="0"/>
                <w:color w:val="000000"/>
                <w:sz w:val="18"/>
              </w:rPr>
              <w:t>动说明</w:t>
            </w:r>
            <w:r>
              <w:rPr>
                <w:rFonts w:ascii="宋体" w:hAnsi="宋体" w:eastAsia="宋体"/>
                <w:b w:val="0"/>
                <w:i w:val="0"/>
                <w:color w:val="000000"/>
                <w:sz w:val="18"/>
              </w:rPr>
              <w:t xml:space="preserve"> </w:t>
            </w:r>
          </w:p>
        </w:tc>
      </w:tr>
      <w:tr>
        <w:trPr>
          <w:trHeight w:hRule="exact" w:val="344"/>
        </w:trPr>
        <w:tc>
          <w:tcPr>
            <w:tcW w:type="dxa" w:w="1471"/>
            <w:vMerge/>
            <w:tcBorders>
              <w:start w:sz="1.599999999999966" w:val="single" w:color="#000000"/>
              <w:top w:sz="1.6000000000003638" w:val="single" w:color="#000000"/>
              <w:end w:sz="2.400000000000091" w:val="single" w:color="#000000"/>
              <w:bottom w:sz="2.399999999999636" w:val="single" w:color="#000000"/>
            </w:tcBorders>
          </w:tcPr>
          <w:p/>
        </w:tc>
        <w:tc>
          <w:tcPr>
            <w:tcW w:type="dxa" w:w="1596"/>
            <w:tcBorders>
              <w:start w:sz="2.400000000000091" w:val="single" w:color="#000000"/>
              <w:top w:sz="1.5999999999994543" w:val="single" w:color="#000000"/>
              <w:end w:sz="2.3999999999998636"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1.99999999999989" w:type="dxa"/>
            </w:tblPr>
            <w:tblGrid>
              <w:gridCol w:w="1596"/>
            </w:tblGrid>
            <w:tr>
              <w:trPr>
                <w:trHeight w:hRule="exact" w:val="300"/>
              </w:trPr>
              <w:tc>
                <w:tcPr>
                  <w:tcW w:type="dxa" w:w="1384"/>
                  <w:tcBorders/>
                  <w:shd w:fill="d2d2d2"/>
                  <w:tcMar>
                    <w:start w:w="0" w:type="dxa"/>
                    <w:end w:w="0" w:type="dxa"/>
                  </w:tcMar>
                </w:tcPr>
                <w:p>
                  <w:pPr>
                    <w:autoSpaceDN w:val="0"/>
                    <w:autoSpaceDE w:val="0"/>
                    <w:widowControl/>
                    <w:spacing w:line="180" w:lineRule="exact" w:before="76" w:after="0"/>
                    <w:ind w:left="0" w:right="422" w:firstLine="0"/>
                    <w:jc w:val="right"/>
                  </w:pPr>
                  <w:r>
                    <w:rPr>
                      <w:rFonts w:ascii="宋体" w:hAnsi="宋体" w:eastAsia="宋体"/>
                      <w:b w:val="0"/>
                      <w:i w:val="0"/>
                      <w:color w:val="000000"/>
                      <w:sz w:val="18"/>
                    </w:rPr>
                    <w:t xml:space="preserve">金额 </w:t>
                  </w:r>
                </w:p>
              </w:tc>
            </w:tr>
          </w:tbl>
          <w:p>
            <w:pPr>
              <w:autoSpaceDN w:val="0"/>
              <w:autoSpaceDE w:val="0"/>
              <w:widowControl/>
              <w:spacing w:line="14" w:lineRule="exact" w:before="0" w:after="0"/>
              <w:ind w:left="0" w:right="0"/>
            </w:pPr>
          </w:p>
        </w:tc>
        <w:tc>
          <w:tcPr>
            <w:tcW w:type="dxa" w:w="1320"/>
            <w:tcBorders>
              <w:start w:sz="2.3999999999998636" w:val="single" w:color="#000000"/>
              <w:top w:sz="1.5999999999994543"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86" w:after="0"/>
              <w:ind w:left="116" w:right="0" w:firstLine="0"/>
              <w:jc w:val="left"/>
            </w:pPr>
            <w:r>
              <w:rPr>
                <w:shd w:val="clear" w:color="auto" w:fill="d2d2d2"/>
                <w:rFonts w:ascii="宋体" w:hAnsi="宋体" w:eastAsia="宋体"/>
                <w:b w:val="0"/>
                <w:i w:val="0"/>
                <w:color w:val="000000"/>
                <w:sz w:val="18"/>
              </w:rPr>
              <w:t>占总资产比例</w:t>
            </w:r>
            <w:r>
              <w:rPr>
                <w:rFonts w:ascii="宋体" w:hAnsi="宋体" w:eastAsia="宋体"/>
                <w:b w:val="0"/>
                <w:i w:val="0"/>
                <w:color w:val="000000"/>
                <w:sz w:val="18"/>
              </w:rPr>
              <w:t xml:space="preserve"> </w:t>
            </w:r>
          </w:p>
        </w:tc>
        <w:tc>
          <w:tcPr>
            <w:tcW w:type="dxa" w:w="1588"/>
            <w:tcBorders>
              <w:start w:sz="1.599999999999909" w:val="single" w:color="#000000"/>
              <w:top w:sz="1.5999999999994543" w:val="single" w:color="#000000"/>
              <w:end w:sz="1.6000000000003638"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8.00000000000068" w:type="dxa"/>
            </w:tblPr>
            <w:tblGrid>
              <w:gridCol w:w="1588"/>
            </w:tblGrid>
            <w:tr>
              <w:trPr>
                <w:trHeight w:hRule="exact" w:val="300"/>
              </w:trPr>
              <w:tc>
                <w:tcPr>
                  <w:tcW w:type="dxa" w:w="1370"/>
                  <w:tcBorders/>
                  <w:shd w:fill="d2d2d2"/>
                  <w:tcMar>
                    <w:start w:w="0" w:type="dxa"/>
                    <w:end w:w="0" w:type="dxa"/>
                  </w:tcMar>
                </w:tcPr>
                <w:p>
                  <w:pPr>
                    <w:autoSpaceDN w:val="0"/>
                    <w:autoSpaceDE w:val="0"/>
                    <w:widowControl/>
                    <w:spacing w:line="180" w:lineRule="exact" w:before="76" w:after="0"/>
                    <w:ind w:left="0" w:right="414" w:firstLine="0"/>
                    <w:jc w:val="right"/>
                  </w:pPr>
                  <w:r>
                    <w:rPr>
                      <w:rFonts w:ascii="宋体" w:hAnsi="宋体" w:eastAsia="宋体"/>
                      <w:b w:val="0"/>
                      <w:i w:val="0"/>
                      <w:color w:val="000000"/>
                      <w:sz w:val="18"/>
                    </w:rPr>
                    <w:t xml:space="preserve">金额 </w:t>
                  </w:r>
                </w:p>
              </w:tc>
            </w:tr>
          </w:tbl>
          <w:p>
            <w:pPr>
              <w:autoSpaceDN w:val="0"/>
              <w:autoSpaceDE w:val="0"/>
              <w:widowControl/>
              <w:spacing w:line="14" w:lineRule="exact" w:before="0" w:after="0"/>
              <w:ind w:left="0" w:right="0"/>
            </w:pPr>
          </w:p>
        </w:tc>
        <w:tc>
          <w:tcPr>
            <w:tcW w:type="dxa" w:w="1340"/>
            <w:tcBorders>
              <w:start w:sz="1.6000000000003638" w:val="single" w:color="#000000"/>
              <w:top w:sz="1.5999999999994543" w:val="single" w:color="#000000"/>
              <w:end w:sz="1.6000000000003638" w:val="single" w:color="#000000"/>
              <w:bottom w:sz="2.399999999999636" w:val="single" w:color="#000000"/>
            </w:tcBorders>
            <w:shd w:fill="d2d2d2"/>
            <w:tcMar>
              <w:start w:w="0" w:type="dxa"/>
              <w:end w:w="0" w:type="dxa"/>
            </w:tcMar>
          </w:tcPr>
          <w:p>
            <w:pPr>
              <w:autoSpaceDN w:val="0"/>
              <w:autoSpaceDE w:val="0"/>
              <w:widowControl/>
              <w:spacing w:line="180" w:lineRule="exact" w:before="86" w:after="0"/>
              <w:ind w:left="126" w:right="0" w:firstLine="0"/>
              <w:jc w:val="left"/>
            </w:pPr>
            <w:r>
              <w:rPr>
                <w:shd w:val="clear" w:color="auto" w:fill="d2d2d2"/>
                <w:rFonts w:ascii="宋体" w:hAnsi="宋体" w:eastAsia="宋体"/>
                <w:b w:val="0"/>
                <w:i w:val="0"/>
                <w:color w:val="000000"/>
                <w:sz w:val="18"/>
              </w:rPr>
              <w:t>占总资产比例</w:t>
            </w:r>
            <w:r>
              <w:rPr>
                <w:rFonts w:ascii="宋体" w:hAnsi="宋体" w:eastAsia="宋体"/>
                <w:b w:val="0"/>
                <w:i w:val="0"/>
                <w:color w:val="000000"/>
                <w:sz w:val="18"/>
              </w:rPr>
              <w:t xml:space="preserve"> </w:t>
            </w:r>
          </w:p>
        </w:tc>
        <w:tc>
          <w:tcPr>
            <w:tcW w:type="dxa" w:w="1471"/>
            <w:vMerge/>
            <w:tcBorders>
              <w:start w:sz="1.6000000000003638" w:val="single" w:color="#000000"/>
              <w:top w:sz="1.6000000000003638" w:val="single" w:color="#000000"/>
              <w:end w:sz="1.5999999999994543" w:val="single" w:color="#000000"/>
              <w:bottom w:sz="2.399999999999636" w:val="single" w:color="#000000"/>
            </w:tcBorders>
          </w:tcPr>
          <w:p/>
        </w:tc>
        <w:tc>
          <w:tcPr>
            <w:tcW w:type="dxa" w:w="1471"/>
            <w:vMerge/>
            <w:tcBorders>
              <w:start w:sz="1.5999999999994543" w:val="single" w:color="#000000"/>
              <w:top w:sz="1.6000000000003638" w:val="single" w:color="#000000"/>
              <w:end w:sz="1.6000000000003638" w:val="single" w:color="#000000"/>
              <w:bottom w:sz="2.399999999999636" w:val="single" w:color="#000000"/>
            </w:tcBorders>
          </w:tcPr>
          <w:p/>
        </w:tc>
      </w:tr>
      <w:tr>
        <w:trPr>
          <w:trHeight w:hRule="exact" w:val="344"/>
        </w:trPr>
        <w:tc>
          <w:tcPr>
            <w:tcW w:type="dxa" w:w="1782"/>
            <w:tcBorders>
              <w:start w:sz="1.599999999999966" w:val="single" w:color="#000000"/>
              <w:top w:sz="2.399999999999636"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54" w:lineRule="exact" w:before="0" w:after="0"/>
              <w:ind w:left="0" w:right="0"/>
            </w:pPr>
          </w:p>
          <w:tbl>
            <w:tblPr>
              <w:tblW w:type="auto" w:w="0"/>
              <w:tblLayout w:type="fixed"/>
              <w:tblLook w:firstColumn="1" w:firstRow="1" w:lastColumn="0" w:lastRow="0" w:noHBand="0" w:noVBand="1" w:val="04A0"/>
              <w:tblInd w:w="108.00000000000011" w:type="dxa"/>
            </w:tblPr>
            <w:tblGrid>
              <w:gridCol w:w="1782"/>
            </w:tblGrid>
            <w:tr>
              <w:trPr>
                <w:trHeight w:hRule="exact" w:val="214"/>
              </w:trPr>
              <w:tc>
                <w:tcPr>
                  <w:tcW w:type="dxa" w:w="1562"/>
                  <w:tcBorders/>
                  <w:shd w:fill="d2d2d2"/>
                  <w:tcMar>
                    <w:start w:w="0" w:type="dxa"/>
                    <w:end w:w="0" w:type="dxa"/>
                  </w:tcMar>
                </w:tcPr>
                <w:p>
                  <w:pPr>
                    <w:autoSpaceDN w:val="0"/>
                    <w:autoSpaceDE w:val="0"/>
                    <w:widowControl/>
                    <w:spacing w:line="180" w:lineRule="exact" w:before="26" w:after="0"/>
                    <w:ind w:left="0" w:right="0" w:firstLine="0"/>
                    <w:jc w:val="left"/>
                  </w:pPr>
                  <w:r>
                    <w:rPr>
                      <w:rFonts w:ascii="宋体" w:hAnsi="宋体" w:eastAsia="宋体"/>
                      <w:b w:val="0"/>
                      <w:i w:val="0"/>
                      <w:color w:val="000000"/>
                      <w:sz w:val="18"/>
                    </w:rPr>
                    <w:t xml:space="preserve">货币资金 </w:t>
                  </w:r>
                </w:p>
              </w:tc>
            </w:tr>
          </w:tbl>
          <w:p>
            <w:pPr>
              <w:autoSpaceDN w:val="0"/>
              <w:autoSpaceDE w:val="0"/>
              <w:widowControl/>
              <w:spacing w:line="14" w:lineRule="exact" w:before="0" w:after="0"/>
              <w:ind w:left="0" w:right="0"/>
            </w:pPr>
          </w:p>
        </w:tc>
        <w:tc>
          <w:tcPr>
            <w:tcW w:type="dxa" w:w="1596"/>
            <w:tcBorders>
              <w:start w:sz="2.400000000000091" w:val="single" w:color="#000000"/>
              <w:top w:sz="2.399999999999636" w:val="single" w:color="#000000"/>
              <w:end w:sz="2.3999999999998636" w:val="single" w:color="#000000"/>
              <w:bottom w:sz="2.399999999999636" w:val="single" w:color="#000000"/>
            </w:tcBorders>
            <w:tcMar>
              <w:start w:w="0" w:type="dxa"/>
              <w:end w:w="0" w:type="dxa"/>
            </w:tcMar>
          </w:tcPr>
          <w:p>
            <w:pPr>
              <w:autoSpaceDN w:val="0"/>
              <w:autoSpaceDE w:val="0"/>
              <w:widowControl/>
              <w:spacing w:line="197" w:lineRule="auto" w:before="94" w:after="0"/>
              <w:ind w:left="342" w:right="0" w:firstLine="0"/>
              <w:jc w:val="left"/>
            </w:pPr>
            <w:r>
              <w:rPr>
                <w:rFonts w:ascii="Calibri" w:hAnsi="Calibri" w:eastAsia="Calibri"/>
                <w:b w:val="0"/>
                <w:i w:val="0"/>
                <w:color w:val="000000"/>
                <w:sz w:val="18"/>
              </w:rPr>
              <w:t xml:space="preserve">25,401,187,834 </w:t>
            </w:r>
          </w:p>
        </w:tc>
        <w:tc>
          <w:tcPr>
            <w:tcW w:type="dxa" w:w="1320"/>
            <w:tcBorders>
              <w:start w:sz="2.3999999999998636"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31.49% </w:t>
            </w:r>
          </w:p>
        </w:tc>
        <w:tc>
          <w:tcPr>
            <w:tcW w:type="dxa" w:w="1588"/>
            <w:tcBorders>
              <w:start w:sz="1.599999999999909"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197" w:lineRule="auto" w:before="94" w:after="0"/>
              <w:ind w:left="344" w:right="0" w:firstLine="0"/>
              <w:jc w:val="left"/>
            </w:pPr>
            <w:r>
              <w:rPr>
                <w:rFonts w:ascii="Calibri" w:hAnsi="Calibri" w:eastAsia="Calibri"/>
                <w:b w:val="0"/>
                <w:i w:val="0"/>
                <w:color w:val="000000"/>
                <w:sz w:val="18"/>
              </w:rPr>
              <w:t xml:space="preserve">22,219,704,728 </w:t>
            </w:r>
          </w:p>
        </w:tc>
        <w:tc>
          <w:tcPr>
            <w:tcW w:type="dxa" w:w="1340"/>
            <w:tcBorders>
              <w:start w:sz="1.6000000000003638"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28.64% </w:t>
            </w:r>
          </w:p>
        </w:tc>
        <w:tc>
          <w:tcPr>
            <w:tcW w:type="dxa" w:w="1846"/>
            <w:tcBorders>
              <w:start w:sz="1.6000000000003638" w:val="single" w:color="#000000"/>
              <w:top w:sz="2.399999999999636" w:val="single" w:color="#000000"/>
              <w:end w:sz="1.5999999999994543" w:val="single" w:color="#000000"/>
              <w:bottom w:sz="2.399999999999636" w:val="single" w:color="#000000"/>
            </w:tcBorders>
            <w:tcMar>
              <w:start w:w="0" w:type="dxa"/>
              <w:end w:w="0" w:type="dxa"/>
            </w:tcMar>
          </w:tcPr>
          <w:p>
            <w:pPr>
              <w:autoSpaceDN w:val="0"/>
              <w:autoSpaceDE w:val="0"/>
              <w:widowControl/>
              <w:spacing w:line="200" w:lineRule="exact" w:before="78"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2.85</w:t>
            </w:r>
            <w:r>
              <w:rPr>
                <w:rFonts w:ascii="宋体" w:hAnsi="宋体" w:eastAsia="宋体"/>
                <w:b w:val="0"/>
                <w:i w:val="0"/>
                <w:color w:val="000000"/>
                <w:sz w:val="18"/>
              </w:rPr>
              <w:t xml:space="preserve"> 个百分点</w:t>
            </w:r>
          </w:p>
        </w:tc>
        <w:tc>
          <w:tcPr>
            <w:tcW w:type="dxa" w:w="804"/>
            <w:tcBorders>
              <w:start w:sz="1.5999999999994543"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180" w:lineRule="exact" w:before="80" w:after="0"/>
              <w:ind w:left="0" w:right="266" w:firstLine="0"/>
              <w:jc w:val="right"/>
            </w:pPr>
            <w:r>
              <w:rPr>
                <w:rFonts w:ascii="宋体" w:hAnsi="宋体" w:eastAsia="宋体"/>
                <w:b w:val="0"/>
                <w:i w:val="0"/>
                <w:color w:val="000000"/>
                <w:sz w:val="18"/>
              </w:rPr>
              <w:t xml:space="preserve">- </w:t>
            </w:r>
          </w:p>
        </w:tc>
      </w:tr>
      <w:tr>
        <w:trPr>
          <w:trHeight w:hRule="exact" w:val="346"/>
        </w:trPr>
        <w:tc>
          <w:tcPr>
            <w:tcW w:type="dxa" w:w="1782"/>
            <w:tcBorders>
              <w:start w:sz="1.599999999999966" w:val="single" w:color="#000000"/>
              <w:top w:sz="2.399999999999636"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52" w:lineRule="exact" w:before="0" w:after="0"/>
              <w:ind w:left="0" w:right="0"/>
            </w:pPr>
          </w:p>
          <w:tbl>
            <w:tblPr>
              <w:tblW w:type="auto" w:w="0"/>
              <w:tblLayout w:type="fixed"/>
              <w:tblLook w:firstColumn="1" w:firstRow="1" w:lastColumn="0" w:lastRow="0" w:noHBand="0" w:noVBand="1" w:val="04A0"/>
              <w:tblInd w:w="108.00000000000011" w:type="dxa"/>
            </w:tblPr>
            <w:tblGrid>
              <w:gridCol w:w="1782"/>
            </w:tblGrid>
            <w:tr>
              <w:trPr>
                <w:trHeight w:hRule="exact" w:val="216"/>
              </w:trPr>
              <w:tc>
                <w:tcPr>
                  <w:tcW w:type="dxa" w:w="1562"/>
                  <w:tcBorders/>
                  <w:shd w:fill="d2d2d2"/>
                  <w:tcMar>
                    <w:start w:w="0" w:type="dxa"/>
                    <w:end w:w="0" w:type="dxa"/>
                  </w:tcMar>
                </w:tcPr>
                <w:p>
                  <w:pPr>
                    <w:autoSpaceDN w:val="0"/>
                    <w:autoSpaceDE w:val="0"/>
                    <w:widowControl/>
                    <w:spacing w:line="180" w:lineRule="exact" w:before="26" w:after="0"/>
                    <w:ind w:left="0" w:right="0" w:firstLine="0"/>
                    <w:jc w:val="left"/>
                  </w:pPr>
                  <w:r>
                    <w:rPr>
                      <w:rFonts w:ascii="宋体" w:hAnsi="宋体" w:eastAsia="宋体"/>
                      <w:b w:val="0"/>
                      <w:i w:val="0"/>
                      <w:color w:val="000000"/>
                      <w:sz w:val="18"/>
                    </w:rPr>
                    <w:t xml:space="preserve">结算备付金 </w:t>
                  </w:r>
                </w:p>
              </w:tc>
            </w:tr>
          </w:tbl>
          <w:p>
            <w:pPr>
              <w:autoSpaceDN w:val="0"/>
              <w:autoSpaceDE w:val="0"/>
              <w:widowControl/>
              <w:spacing w:line="14" w:lineRule="exact" w:before="0" w:after="0"/>
              <w:ind w:left="0" w:right="0"/>
            </w:pPr>
          </w:p>
        </w:tc>
        <w:tc>
          <w:tcPr>
            <w:tcW w:type="dxa" w:w="1596"/>
            <w:tcBorders>
              <w:start w:sz="2.400000000000091" w:val="single" w:color="#000000"/>
              <w:top w:sz="2.399999999999636" w:val="single" w:color="#000000"/>
              <w:end w:sz="2.3999999999998636" w:val="single" w:color="#000000"/>
              <w:bottom w:sz="1.6000000000003638"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4,020,926,094 </w:t>
            </w:r>
          </w:p>
        </w:tc>
        <w:tc>
          <w:tcPr>
            <w:tcW w:type="dxa" w:w="1320"/>
            <w:tcBorders>
              <w:start w:sz="2.3999999999998636"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4.98% </w:t>
            </w:r>
          </w:p>
        </w:tc>
        <w:tc>
          <w:tcPr>
            <w:tcW w:type="dxa" w:w="1588"/>
            <w:tcBorders>
              <w:start w:sz="1.599999999999909"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2,635,063,238 </w:t>
            </w:r>
          </w:p>
        </w:tc>
        <w:tc>
          <w:tcPr>
            <w:tcW w:type="dxa" w:w="1340"/>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3.40% </w:t>
            </w:r>
          </w:p>
        </w:tc>
        <w:tc>
          <w:tcPr>
            <w:tcW w:type="dxa" w:w="1846"/>
            <w:tcBorders>
              <w:start w:sz="1.6000000000003638"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200" w:lineRule="exact" w:before="74"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1.58</w:t>
            </w:r>
            <w:r>
              <w:rPr>
                <w:rFonts w:ascii="宋体" w:hAnsi="宋体" w:eastAsia="宋体"/>
                <w:b w:val="0"/>
                <w:i w:val="0"/>
                <w:color w:val="000000"/>
                <w:sz w:val="18"/>
              </w:rPr>
              <w:t xml:space="preserve"> 个百分点</w:t>
            </w:r>
          </w:p>
        </w:tc>
        <w:tc>
          <w:tcPr>
            <w:tcW w:type="dxa" w:w="804"/>
            <w:tcBorders>
              <w:start w:sz="1.5999999999994543"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1.6000000000003638" w:val="single" w:color="#000000"/>
              <w:end w:sz="2.400000000000091" w:val="single" w:color="#000000"/>
              <w:bottom w:sz="1.5999999999994543" w:val="single" w:color="#000000"/>
            </w:tcBorders>
            <w:shd w:fill="d2d2d2"/>
            <w:tcMar>
              <w:start w:w="0" w:type="dxa"/>
              <w:end w:w="0" w:type="dxa"/>
            </w:tcMar>
          </w:tcPr>
          <w:p>
            <w:pPr>
              <w:autoSpaceDN w:val="0"/>
              <w:autoSpaceDE w:val="0"/>
              <w:widowControl/>
              <w:spacing w:line="54" w:lineRule="exact" w:before="0" w:after="0"/>
              <w:ind w:left="0" w:right="0"/>
            </w:pPr>
          </w:p>
          <w:tbl>
            <w:tblPr>
              <w:tblW w:type="auto" w:w="0"/>
              <w:tblLayout w:type="fixed"/>
              <w:tblLook w:firstColumn="1" w:firstRow="1" w:lastColumn="0" w:lastRow="0" w:noHBand="0" w:noVBand="1" w:val="04A0"/>
              <w:tblInd w:w="108.00000000000011" w:type="dxa"/>
            </w:tblPr>
            <w:tblGrid>
              <w:gridCol w:w="1782"/>
            </w:tblGrid>
            <w:tr>
              <w:trPr>
                <w:trHeight w:hRule="exact" w:val="212"/>
              </w:trPr>
              <w:tc>
                <w:tcPr>
                  <w:tcW w:type="dxa" w:w="1562"/>
                  <w:tcBorders/>
                  <w:shd w:fill="d2d2d2"/>
                  <w:tcMar>
                    <w:start w:w="0" w:type="dxa"/>
                    <w:end w:w="0" w:type="dxa"/>
                  </w:tcMar>
                </w:tcPr>
                <w:p>
                  <w:pPr>
                    <w:autoSpaceDN w:val="0"/>
                    <w:autoSpaceDE w:val="0"/>
                    <w:widowControl/>
                    <w:spacing w:line="180" w:lineRule="exact" w:before="24" w:after="0"/>
                    <w:ind w:left="0" w:right="0" w:firstLine="0"/>
                    <w:jc w:val="left"/>
                  </w:pPr>
                  <w:r>
                    <w:rPr>
                      <w:rFonts w:ascii="宋体" w:hAnsi="宋体" w:eastAsia="宋体"/>
                      <w:b w:val="0"/>
                      <w:i w:val="0"/>
                      <w:color w:val="000000"/>
                      <w:sz w:val="18"/>
                    </w:rPr>
                    <w:t xml:space="preserve">融出资金 </w:t>
                  </w:r>
                </w:p>
              </w:tc>
            </w:tr>
          </w:tbl>
          <w:p>
            <w:pPr>
              <w:autoSpaceDN w:val="0"/>
              <w:autoSpaceDE w:val="0"/>
              <w:widowControl/>
              <w:spacing w:line="14" w:lineRule="exact" w:before="0" w:after="0"/>
              <w:ind w:left="0" w:right="0"/>
            </w:pPr>
          </w:p>
        </w:tc>
        <w:tc>
          <w:tcPr>
            <w:tcW w:type="dxa" w:w="1596"/>
            <w:tcBorders>
              <w:start w:sz="2.400000000000091" w:val="single" w:color="#000000"/>
              <w:top w:sz="1.6000000000003638" w:val="single" w:color="#000000"/>
              <w:end w:sz="2.3999999999998636" w:val="single" w:color="#000000"/>
              <w:bottom w:sz="1.599999999999454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7,329,486,640 </w:t>
            </w:r>
          </w:p>
        </w:tc>
        <w:tc>
          <w:tcPr>
            <w:tcW w:type="dxa" w:w="1320"/>
            <w:tcBorders>
              <w:start w:sz="2.3999999999998636"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9.09% </w:t>
            </w:r>
          </w:p>
        </w:tc>
        <w:tc>
          <w:tcPr>
            <w:tcW w:type="dxa" w:w="1588"/>
            <w:tcBorders>
              <w:start w:sz="1.599999999999909"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6,764,360,676 </w:t>
            </w:r>
          </w:p>
        </w:tc>
        <w:tc>
          <w:tcPr>
            <w:tcW w:type="dxa" w:w="134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8.72% </w:t>
            </w:r>
          </w:p>
        </w:tc>
        <w:tc>
          <w:tcPr>
            <w:tcW w:type="dxa" w:w="1846"/>
            <w:tcBorders>
              <w:start w:sz="1.6000000000003638"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200" w:lineRule="exact" w:before="76"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0.37</w:t>
            </w:r>
            <w:r>
              <w:rPr>
                <w:rFonts w:ascii="宋体" w:hAnsi="宋体" w:eastAsia="宋体"/>
                <w:b w:val="0"/>
                <w:i w:val="0"/>
                <w:color w:val="000000"/>
                <w:sz w:val="18"/>
              </w:rPr>
              <w:t xml:space="preserve"> 个百分点</w:t>
            </w:r>
          </w:p>
        </w:tc>
        <w:tc>
          <w:tcPr>
            <w:tcW w:type="dxa" w:w="804"/>
            <w:tcBorders>
              <w:start w:sz="1.5999999999994543"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bl>
    <w:p>
      <w:pPr>
        <w:autoSpaceDN w:val="0"/>
        <w:autoSpaceDE w:val="0"/>
        <w:widowControl/>
        <w:spacing w:line="197" w:lineRule="auto" w:before="504" w:after="0"/>
        <w:ind w:left="0" w:right="0" w:firstLine="0"/>
        <w:jc w:val="center"/>
      </w:pPr>
      <w:r>
        <w:rPr>
          <w:rFonts w:ascii="Calibri" w:hAnsi="Calibri" w:eastAsia="Calibri"/>
          <w:b w:val="0"/>
          <w:i w:val="0"/>
          <w:color w:val="000000"/>
          <w:sz w:val="18"/>
        </w:rPr>
        <w:t xml:space="preserve">40 </w:t>
      </w:r>
    </w:p>
    <w:p>
      <w:pPr>
        <w:sectPr>
          <w:type w:val="continuous"/>
          <w:pgSz w:w="11904" w:h="16841"/>
          <w:pgMar w:top="424" w:right="792" w:bottom="446" w:left="812" w:header="720" w:footer="720" w:gutter="0"/>
          <w:cols/>
          <w:docGrid w:linePitch="360"/>
        </w:sectPr>
      </w:pPr>
    </w:p>
    <w:p>
      <w:pPr>
        <w:autoSpaceDN w:val="0"/>
        <w:autoSpaceDE w:val="0"/>
        <w:widowControl/>
        <w:spacing w:line="220" w:lineRule="exact" w:before="0" w:after="206"/>
        <w:ind w:left="0" w:right="0"/>
      </w:pPr>
    </w:p>
    <w:p>
      <w:pPr>
        <w:sectPr>
          <w:pgSz w:w="11904" w:h="16841"/>
          <w:pgMar w:top="424" w:right="576" w:bottom="446" w:left="468" w:header="720" w:footer="720" w:gutter="0"/>
          <w:cols/>
          <w:docGrid w:linePitch="360"/>
        </w:sectPr>
      </w:pPr>
    </w:p>
    <w:p>
      <w:pPr>
        <w:autoSpaceDN w:val="0"/>
        <w:autoSpaceDE w:val="0"/>
        <w:widowControl/>
        <w:spacing w:line="240" w:lineRule="auto" w:before="0" w:after="0"/>
        <w:ind w:left="666" w:right="0" w:firstLine="0"/>
        <w:jc w:val="left"/>
      </w:pPr>
      <w:r>
        <w:drawing>
          <wp:inline xmlns:a="http://schemas.openxmlformats.org/drawingml/2006/main" xmlns:pic="http://schemas.openxmlformats.org/drawingml/2006/picture">
            <wp:extent cx="1844039" cy="439419"/>
            <wp:docPr id="43" name="Picture 4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576" w:bottom="446" w:left="468" w:header="720" w:footer="720" w:gutter="0"/>
          <w:cols w:num="2" w:equalWidth="0">
            <w:col w:w="6072" w:space="0"/>
            <w:col w:w="4788" w:space="0"/>
          </w:cols>
          <w:docGrid w:linePitch="360"/>
        </w:sectPr>
      </w:pPr>
    </w:p>
    <w:p>
      <w:pPr>
        <w:autoSpaceDN w:val="0"/>
        <w:autoSpaceDE w:val="0"/>
        <w:widowControl/>
        <w:spacing w:line="200" w:lineRule="exact" w:before="0" w:after="30"/>
        <w:ind w:left="0" w:right="5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576" w:bottom="446" w:left="468" w:header="720" w:footer="720" w:gutter="0"/>
          <w:cols w:num="2" w:equalWidth="0">
            <w:col w:w="6072" w:space="0"/>
            <w:col w:w="478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46.0000000000001" w:type="dxa"/>
      </w:tblPr>
      <w:tblGrid>
        <w:gridCol w:w="1551"/>
        <w:gridCol w:w="1551"/>
        <w:gridCol w:w="1551"/>
        <w:gridCol w:w="1551"/>
        <w:gridCol w:w="1551"/>
        <w:gridCol w:w="1551"/>
        <w:gridCol w:w="1551"/>
      </w:tblGrid>
      <w:tr>
        <w:trPr>
          <w:trHeight w:hRule="exact" w:val="346"/>
        </w:trPr>
        <w:tc>
          <w:tcPr>
            <w:tcW w:type="dxa" w:w="1782"/>
            <w:tcBorders>
              <w:start w:sz="1.599999999999966" w:val="single" w:color="#000000"/>
              <w:top w:sz="1.6000000000000227" w:val="single" w:color="#000000"/>
              <w:end w:sz="2.400000000000091" w:val="single" w:color="#000000"/>
              <w:bottom w:sz="1.6000000000000227"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衍生金融资产 </w:t>
            </w:r>
          </w:p>
        </w:tc>
        <w:tc>
          <w:tcPr>
            <w:tcW w:type="dxa" w:w="1596"/>
            <w:tcBorders>
              <w:start w:sz="2.400000000000091" w:val="single" w:color="#000000"/>
              <w:top w:sz="5.600000000000023" w:val="single" w:color="#000000"/>
              <w:end w:sz="2.3999999999998636" w:val="single" w:color="#000000"/>
              <w:bottom w:sz="1.6000000000000227" w:val="single" w:color="#000000"/>
            </w:tcBorders>
            <w:tcMar>
              <w:start w:w="0" w:type="dxa"/>
              <w:end w:w="0" w:type="dxa"/>
            </w:tcMar>
          </w:tcPr>
          <w:p>
            <w:pPr>
              <w:autoSpaceDN w:val="0"/>
              <w:autoSpaceDE w:val="0"/>
              <w:widowControl/>
              <w:spacing w:line="197" w:lineRule="auto" w:before="92" w:after="0"/>
              <w:ind w:left="0" w:right="64" w:firstLine="0"/>
              <w:jc w:val="right"/>
            </w:pPr>
            <w:r>
              <w:rPr>
                <w:rFonts w:ascii="Calibri" w:hAnsi="Calibri" w:eastAsia="Calibri"/>
                <w:b w:val="0"/>
                <w:i w:val="0"/>
                <w:color w:val="000000"/>
                <w:sz w:val="18"/>
              </w:rPr>
              <w:t xml:space="preserve">122,075,207 </w:t>
            </w:r>
          </w:p>
        </w:tc>
        <w:tc>
          <w:tcPr>
            <w:tcW w:type="dxa" w:w="1320"/>
            <w:tcBorders>
              <w:start w:sz="2.3999999999998636"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197" w:lineRule="auto" w:before="92" w:after="0"/>
              <w:ind w:left="0" w:right="64" w:firstLine="0"/>
              <w:jc w:val="right"/>
            </w:pPr>
            <w:r>
              <w:rPr>
                <w:rFonts w:ascii="Calibri" w:hAnsi="Calibri" w:eastAsia="Calibri"/>
                <w:b w:val="0"/>
                <w:i w:val="0"/>
                <w:color w:val="000000"/>
                <w:sz w:val="18"/>
              </w:rPr>
              <w:t xml:space="preserve">0.15% </w:t>
            </w:r>
          </w:p>
        </w:tc>
        <w:tc>
          <w:tcPr>
            <w:tcW w:type="dxa" w:w="1588"/>
            <w:tcBorders>
              <w:start w:sz="1.599999999999909"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197" w:lineRule="auto" w:before="92" w:after="0"/>
              <w:ind w:left="0" w:right="62" w:firstLine="0"/>
              <w:jc w:val="right"/>
            </w:pPr>
            <w:r>
              <w:rPr>
                <w:rFonts w:ascii="Calibri" w:hAnsi="Calibri" w:eastAsia="Calibri"/>
                <w:b w:val="0"/>
                <w:i w:val="0"/>
                <w:color w:val="000000"/>
                <w:sz w:val="18"/>
              </w:rPr>
              <w:t xml:space="preserve">171,766,410 </w:t>
            </w:r>
          </w:p>
        </w:tc>
        <w:tc>
          <w:tcPr>
            <w:tcW w:type="dxa" w:w="1340"/>
            <w:tcBorders>
              <w:start w:sz="1.6000000000003638"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197" w:lineRule="auto" w:before="92" w:after="0"/>
              <w:ind w:left="0" w:right="64" w:firstLine="0"/>
              <w:jc w:val="right"/>
            </w:pPr>
            <w:r>
              <w:rPr>
                <w:rFonts w:ascii="Calibri" w:hAnsi="Calibri" w:eastAsia="Calibri"/>
                <w:b w:val="0"/>
                <w:i w:val="0"/>
                <w:color w:val="000000"/>
                <w:sz w:val="18"/>
              </w:rPr>
              <w:t xml:space="preserve">0.22% </w:t>
            </w:r>
          </w:p>
        </w:tc>
        <w:tc>
          <w:tcPr>
            <w:tcW w:type="dxa" w:w="1846"/>
            <w:tcBorders>
              <w:start w:sz="1.6000000000003638" w:val="single" w:color="#000000"/>
              <w:top w:sz="5.600000000000023" w:val="single" w:color="#000000"/>
              <w:end w:sz="1.5999999999994543" w:val="single" w:color="#000000"/>
              <w:bottom w:sz="1.6000000000000227" w:val="single" w:color="#000000"/>
            </w:tcBorders>
            <w:tcMar>
              <w:start w:w="0" w:type="dxa"/>
              <w:end w:w="0" w:type="dxa"/>
            </w:tcMar>
          </w:tcPr>
          <w:p>
            <w:pPr>
              <w:autoSpaceDN w:val="0"/>
              <w:autoSpaceDE w:val="0"/>
              <w:widowControl/>
              <w:spacing w:line="200" w:lineRule="exact" w:before="72"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0.07</w:t>
            </w:r>
            <w:r>
              <w:rPr>
                <w:rFonts w:ascii="宋体" w:hAnsi="宋体" w:eastAsia="宋体"/>
                <w:b w:val="0"/>
                <w:i w:val="0"/>
                <w:color w:val="000000"/>
                <w:sz w:val="18"/>
              </w:rPr>
              <w:t xml:space="preserve"> 个百分点</w:t>
            </w:r>
          </w:p>
        </w:tc>
        <w:tc>
          <w:tcPr>
            <w:tcW w:type="dxa" w:w="804"/>
            <w:tcBorders>
              <w:start w:sz="1.5999999999994543"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1.6000000000000227" w:val="single" w:color="#000000"/>
              <w:end w:sz="2.400000000000091" w:val="single" w:color="#000000"/>
              <w:bottom w:sz="2.3999999999999773" w:val="single" w:color="#000000"/>
            </w:tcBorders>
            <w:shd w:fill="d2d2d2"/>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 xml:space="preserve">买入返售金融资产 </w:t>
            </w:r>
          </w:p>
        </w:tc>
        <w:tc>
          <w:tcPr>
            <w:tcW w:type="dxa" w:w="1596"/>
            <w:tcBorders>
              <w:start w:sz="2.400000000000091" w:val="single" w:color="#000000"/>
              <w:top w:sz="1.6000000000000227" w:val="single" w:color="#000000"/>
              <w:end w:sz="2.3999999999998636" w:val="single" w:color="#000000"/>
              <w:bottom w:sz="2.399999999999977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1,977,533,836 </w:t>
            </w:r>
          </w:p>
        </w:tc>
        <w:tc>
          <w:tcPr>
            <w:tcW w:type="dxa" w:w="1320"/>
            <w:tcBorders>
              <w:start w:sz="2.3999999999998636"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2.45% </w:t>
            </w:r>
          </w:p>
        </w:tc>
        <w:tc>
          <w:tcPr>
            <w:tcW w:type="dxa" w:w="1588"/>
            <w:tcBorders>
              <w:start w:sz="1.599999999999909"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1,916,241,389 </w:t>
            </w:r>
          </w:p>
        </w:tc>
        <w:tc>
          <w:tcPr>
            <w:tcW w:type="dxa" w:w="1340"/>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2.47% </w:t>
            </w:r>
          </w:p>
        </w:tc>
        <w:tc>
          <w:tcPr>
            <w:tcW w:type="dxa" w:w="1846"/>
            <w:tcBorders>
              <w:start w:sz="1.6000000000003638" w:val="single" w:color="#000000"/>
              <w:top w:sz="1.6000000000000227" w:val="single" w:color="#000000"/>
              <w:end w:sz="1.5999999999994543" w:val="single" w:color="#000000"/>
              <w:bottom w:sz="2.3999999999999773" w:val="single" w:color="#000000"/>
            </w:tcBorders>
            <w:tcMar>
              <w:start w:w="0" w:type="dxa"/>
              <w:end w:w="0" w:type="dxa"/>
            </w:tcMar>
          </w:tcPr>
          <w:p>
            <w:pPr>
              <w:autoSpaceDN w:val="0"/>
              <w:autoSpaceDE w:val="0"/>
              <w:widowControl/>
              <w:spacing w:line="200" w:lineRule="exact" w:before="76" w:after="0"/>
              <w:ind w:left="202" w:right="0" w:firstLine="0"/>
              <w:jc w:val="left"/>
            </w:pPr>
            <w:r>
              <w:rPr>
                <w:rFonts w:ascii="宋体" w:hAnsi="宋体" w:eastAsia="宋体"/>
                <w:b w:val="0"/>
                <w:i w:val="0"/>
                <w:color w:val="000000"/>
                <w:sz w:val="18"/>
              </w:rPr>
              <w:t>下降0.0</w:t>
            </w:r>
            <w:r>
              <w:rPr>
                <w:rFonts w:ascii="Calibri" w:hAnsi="Calibri" w:eastAsia="Calibri"/>
                <w:b w:val="0"/>
                <w:i w:val="0"/>
                <w:color w:val="000000"/>
                <w:sz w:val="18"/>
              </w:rPr>
              <w:t>2</w:t>
            </w:r>
            <w:r>
              <w:rPr>
                <w:rFonts w:ascii="宋体" w:hAnsi="宋体" w:eastAsia="宋体"/>
                <w:b w:val="0"/>
                <w:i w:val="0"/>
                <w:color w:val="000000"/>
                <w:sz w:val="18"/>
              </w:rPr>
              <w:t xml:space="preserve"> 个百分点</w:t>
            </w:r>
          </w:p>
        </w:tc>
        <w:tc>
          <w:tcPr>
            <w:tcW w:type="dxa" w:w="804"/>
            <w:tcBorders>
              <w:start w:sz="1.5999999999994543"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2.3999999999999773"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应收款项 </w:t>
            </w:r>
          </w:p>
        </w:tc>
        <w:tc>
          <w:tcPr>
            <w:tcW w:type="dxa" w:w="1596"/>
            <w:tcBorders>
              <w:start w:sz="2.400000000000091" w:val="single" w:color="#000000"/>
              <w:top w:sz="2.3999999999999773"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140,679,526 </w:t>
            </w:r>
          </w:p>
        </w:tc>
        <w:tc>
          <w:tcPr>
            <w:tcW w:type="dxa" w:w="1320"/>
            <w:tcBorders>
              <w:start w:sz="2.3999999999998636"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0.17% </w:t>
            </w:r>
          </w:p>
        </w:tc>
        <w:tc>
          <w:tcPr>
            <w:tcW w:type="dxa" w:w="1588"/>
            <w:tcBorders>
              <w:start w:sz="1.599999999999909"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120,309,332 </w:t>
            </w:r>
          </w:p>
        </w:tc>
        <w:tc>
          <w:tcPr>
            <w:tcW w:type="dxa" w:w="1340"/>
            <w:tcBorders>
              <w:start w:sz="1.6000000000003638"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0.16% </w:t>
            </w:r>
          </w:p>
        </w:tc>
        <w:tc>
          <w:tcPr>
            <w:tcW w:type="dxa" w:w="1846"/>
            <w:tcBorders>
              <w:start w:sz="1.6000000000003638" w:val="single" w:color="#000000"/>
              <w:top w:sz="2.3999999999999773"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78"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0.01</w:t>
            </w:r>
            <w:r>
              <w:rPr>
                <w:rFonts w:ascii="宋体" w:hAnsi="宋体" w:eastAsia="宋体"/>
                <w:b w:val="0"/>
                <w:i w:val="0"/>
                <w:color w:val="000000"/>
                <w:sz w:val="18"/>
              </w:rPr>
              <w:t xml:space="preserve"> 个百分点</w:t>
            </w:r>
          </w:p>
        </w:tc>
        <w:tc>
          <w:tcPr>
            <w:tcW w:type="dxa" w:w="804"/>
            <w:tcBorders>
              <w:start w:sz="1.5999999999994543"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存出保证金 </w:t>
            </w:r>
          </w:p>
        </w:tc>
        <w:tc>
          <w:tcPr>
            <w:tcW w:type="dxa" w:w="1596"/>
            <w:tcBorders>
              <w:start w:sz="2.400000000000091"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3,063,399,796 </w:t>
            </w:r>
          </w:p>
        </w:tc>
        <w:tc>
          <w:tcPr>
            <w:tcW w:type="dxa" w:w="1320"/>
            <w:tcBorders>
              <w:start w:sz="2.3999999999998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3.80% </w:t>
            </w:r>
          </w:p>
        </w:tc>
        <w:tc>
          <w:tcPr>
            <w:tcW w:type="dxa" w:w="1588"/>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4,229,434,331 </w:t>
            </w:r>
          </w:p>
        </w:tc>
        <w:tc>
          <w:tcPr>
            <w:tcW w:type="dxa" w:w="134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5.45% </w:t>
            </w:r>
          </w:p>
        </w:tc>
        <w:tc>
          <w:tcPr>
            <w:tcW w:type="dxa" w:w="1846"/>
            <w:tcBorders>
              <w:start w:sz="1.6000000000003638"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00" w:lineRule="exact" w:before="74"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1.65</w:t>
            </w:r>
            <w:r>
              <w:rPr>
                <w:rFonts w:ascii="宋体" w:hAnsi="宋体" w:eastAsia="宋体"/>
                <w:b w:val="0"/>
                <w:i w:val="0"/>
                <w:color w:val="000000"/>
                <w:sz w:val="18"/>
              </w:rPr>
              <w:t xml:space="preserve"> 个百分点</w:t>
            </w:r>
          </w:p>
        </w:tc>
        <w:tc>
          <w:tcPr>
            <w:tcW w:type="dxa" w:w="804"/>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交易性金融资产 </w:t>
            </w:r>
          </w:p>
        </w:tc>
        <w:tc>
          <w:tcPr>
            <w:tcW w:type="dxa" w:w="1596"/>
            <w:tcBorders>
              <w:start w:sz="2.400000000000091"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97" w:lineRule="auto" w:before="156" w:after="0"/>
              <w:ind w:left="342" w:right="0" w:firstLine="0"/>
              <w:jc w:val="left"/>
            </w:pPr>
            <w:r>
              <w:rPr>
                <w:rFonts w:ascii="Calibri" w:hAnsi="Calibri" w:eastAsia="Calibri"/>
                <w:b w:val="0"/>
                <w:i w:val="0"/>
                <w:color w:val="000000"/>
                <w:sz w:val="18"/>
              </w:rPr>
              <w:t xml:space="preserve">36,008,042,780 </w:t>
            </w:r>
          </w:p>
        </w:tc>
        <w:tc>
          <w:tcPr>
            <w:tcW w:type="dxa" w:w="1320"/>
            <w:tcBorders>
              <w:start w:sz="2.3999999999998636"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44.64% </w:t>
            </w:r>
          </w:p>
        </w:tc>
        <w:tc>
          <w:tcPr>
            <w:tcW w:type="dxa" w:w="1588"/>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6" w:after="0"/>
              <w:ind w:left="344" w:right="0" w:firstLine="0"/>
              <w:jc w:val="left"/>
            </w:pPr>
            <w:r>
              <w:rPr>
                <w:rFonts w:ascii="Calibri" w:hAnsi="Calibri" w:eastAsia="Calibri"/>
                <w:b w:val="0"/>
                <w:i w:val="0"/>
                <w:color w:val="000000"/>
                <w:sz w:val="18"/>
              </w:rPr>
              <w:t xml:space="preserve">36,922,114,301 </w:t>
            </w:r>
          </w:p>
        </w:tc>
        <w:tc>
          <w:tcPr>
            <w:tcW w:type="dxa" w:w="134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47.59% </w:t>
            </w:r>
          </w:p>
        </w:tc>
        <w:tc>
          <w:tcPr>
            <w:tcW w:type="dxa" w:w="1846"/>
            <w:tcBorders>
              <w:start w:sz="1.6000000000003638"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200" w:lineRule="exact" w:before="76"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2.95</w:t>
            </w:r>
            <w:r>
              <w:rPr>
                <w:rFonts w:ascii="宋体" w:hAnsi="宋体" w:eastAsia="宋体"/>
                <w:b w:val="0"/>
                <w:i w:val="0"/>
                <w:color w:val="000000"/>
                <w:sz w:val="18"/>
              </w:rPr>
              <w:t xml:space="preserve"> 个百分点</w:t>
            </w:r>
          </w:p>
        </w:tc>
        <w:tc>
          <w:tcPr>
            <w:tcW w:type="dxa" w:w="804"/>
            <w:tcBorders>
              <w:start w:sz="1.5999999999994543"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1.599999999999909" w:val="single" w:color="#000000"/>
              <w:end w:sz="2.400000000000091" w:val="single" w:color="#000000"/>
              <w:bottom w:sz="2.3999999999998636"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债权投资 </w:t>
            </w:r>
          </w:p>
        </w:tc>
        <w:tc>
          <w:tcPr>
            <w:tcW w:type="dxa" w:w="1596"/>
            <w:tcBorders>
              <w:start w:sz="2.400000000000091" w:val="single" w:color="#000000"/>
              <w:top w:sz="1.599999999999909" w:val="single" w:color="#000000"/>
              <w:end w:sz="2.3999999999998636"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27,426,901 </w:t>
            </w:r>
          </w:p>
        </w:tc>
        <w:tc>
          <w:tcPr>
            <w:tcW w:type="dxa" w:w="1320"/>
            <w:tcBorders>
              <w:start w:sz="2.3999999999998636"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0.03% </w:t>
            </w:r>
          </w:p>
        </w:tc>
        <w:tc>
          <w:tcPr>
            <w:tcW w:type="dxa" w:w="1588"/>
            <w:tcBorders>
              <w:start w:sz="1.599999999999909"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29,141,162 </w:t>
            </w:r>
          </w:p>
        </w:tc>
        <w:tc>
          <w:tcPr>
            <w:tcW w:type="dxa" w:w="1340"/>
            <w:tcBorders>
              <w:start w:sz="1.6000000000003638"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0.04% </w:t>
            </w:r>
          </w:p>
        </w:tc>
        <w:tc>
          <w:tcPr>
            <w:tcW w:type="dxa" w:w="1846"/>
            <w:tcBorders>
              <w:start w:sz="1.6000000000003638" w:val="single" w:color="#000000"/>
              <w:top w:sz="1.599999999999909" w:val="single" w:color="#000000"/>
              <w:end w:sz="1.5999999999994543" w:val="single" w:color="#000000"/>
              <w:bottom w:sz="2.3999999999998636" w:val="single" w:color="#000000"/>
            </w:tcBorders>
            <w:tcMar>
              <w:start w:w="0" w:type="dxa"/>
              <w:end w:w="0" w:type="dxa"/>
            </w:tcMar>
          </w:tcPr>
          <w:p>
            <w:pPr>
              <w:autoSpaceDN w:val="0"/>
              <w:autoSpaceDE w:val="0"/>
              <w:widowControl/>
              <w:spacing w:line="200" w:lineRule="exact" w:before="76"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0.01</w:t>
            </w:r>
            <w:r>
              <w:rPr>
                <w:rFonts w:ascii="宋体" w:hAnsi="宋体" w:eastAsia="宋体"/>
                <w:b w:val="0"/>
                <w:i w:val="0"/>
                <w:color w:val="000000"/>
                <w:sz w:val="18"/>
              </w:rPr>
              <w:t xml:space="preserve"> 个百分点</w:t>
            </w:r>
          </w:p>
        </w:tc>
        <w:tc>
          <w:tcPr>
            <w:tcW w:type="dxa" w:w="804"/>
            <w:tcBorders>
              <w:start w:sz="1.5999999999994543"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其他债权投资 </w:t>
            </w:r>
          </w:p>
        </w:tc>
        <w:tc>
          <w:tcPr>
            <w:tcW w:type="dxa" w:w="1596"/>
            <w:tcBorders>
              <w:start w:sz="2.400000000000091" w:val="single" w:color="#000000"/>
              <w:top w:sz="2.3999999999998636"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57,443,663 </w:t>
            </w:r>
          </w:p>
        </w:tc>
        <w:tc>
          <w:tcPr>
            <w:tcW w:type="dxa" w:w="1320"/>
            <w:tcBorders>
              <w:start w:sz="2.3999999999998636"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0.07% </w:t>
            </w:r>
          </w:p>
        </w:tc>
        <w:tc>
          <w:tcPr>
            <w:tcW w:type="dxa" w:w="1588"/>
            <w:tcBorders>
              <w:start w:sz="1.599999999999909" w:val="single" w:color="#000000"/>
              <w:top w:sz="2.3999999999998636"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89,867,451 </w:t>
            </w:r>
          </w:p>
        </w:tc>
        <w:tc>
          <w:tcPr>
            <w:tcW w:type="dxa" w:w="1340"/>
            <w:tcBorders>
              <w:start w:sz="1.6000000000003638" w:val="single" w:color="#000000"/>
              <w:top w:sz="2.3999999999998636"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0.12% </w:t>
            </w:r>
          </w:p>
        </w:tc>
        <w:tc>
          <w:tcPr>
            <w:tcW w:type="dxa" w:w="1846"/>
            <w:tcBorders>
              <w:start w:sz="1.6000000000003638" w:val="single" w:color="#000000"/>
              <w:top w:sz="2.3999999999998636"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78"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0.05</w:t>
            </w:r>
            <w:r>
              <w:rPr>
                <w:rFonts w:ascii="宋体" w:hAnsi="宋体" w:eastAsia="宋体"/>
                <w:b w:val="0"/>
                <w:i w:val="0"/>
                <w:color w:val="000000"/>
                <w:sz w:val="18"/>
              </w:rPr>
              <w:t xml:space="preserve"> 个百分点</w:t>
            </w:r>
          </w:p>
        </w:tc>
        <w:tc>
          <w:tcPr>
            <w:tcW w:type="dxa" w:w="804"/>
            <w:tcBorders>
              <w:start w:sz="1.5999999999994543" w:val="single" w:color="#000000"/>
              <w:top w:sz="2.3999999999998636"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 xml:space="preserve">其他权益工具投资 </w:t>
            </w:r>
          </w:p>
        </w:tc>
        <w:tc>
          <w:tcPr>
            <w:tcW w:type="dxa" w:w="1596"/>
            <w:tcBorders>
              <w:start w:sz="2.400000000000091"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214,099,641 </w:t>
            </w:r>
          </w:p>
        </w:tc>
        <w:tc>
          <w:tcPr>
            <w:tcW w:type="dxa" w:w="1320"/>
            <w:tcBorders>
              <w:start w:sz="2.3999999999998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0.27% </w:t>
            </w:r>
          </w:p>
        </w:tc>
        <w:tc>
          <w:tcPr>
            <w:tcW w:type="dxa" w:w="1588"/>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235,315,501 </w:t>
            </w:r>
          </w:p>
        </w:tc>
        <w:tc>
          <w:tcPr>
            <w:tcW w:type="dxa" w:w="134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0.30% </w:t>
            </w:r>
          </w:p>
        </w:tc>
        <w:tc>
          <w:tcPr>
            <w:tcW w:type="dxa" w:w="1846"/>
            <w:tcBorders>
              <w:start w:sz="1.6000000000003638"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00" w:lineRule="exact" w:before="74"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0.03</w:t>
            </w:r>
            <w:r>
              <w:rPr>
                <w:rFonts w:ascii="宋体" w:hAnsi="宋体" w:eastAsia="宋体"/>
                <w:b w:val="0"/>
                <w:i w:val="0"/>
                <w:color w:val="000000"/>
                <w:sz w:val="18"/>
              </w:rPr>
              <w:t xml:space="preserve"> 个百分点</w:t>
            </w:r>
          </w:p>
        </w:tc>
        <w:tc>
          <w:tcPr>
            <w:tcW w:type="dxa" w:w="804"/>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1.599999999999909" w:val="single" w:color="#000000"/>
              <w:end w:sz="2.400000000000091" w:val="single" w:color="#000000"/>
              <w:bottom w:sz="2.3999999999998636" w:val="single" w:color="#000000"/>
            </w:tcBorders>
            <w:shd w:fill="d2d2d2"/>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长期股权投资 </w:t>
            </w:r>
          </w:p>
        </w:tc>
        <w:tc>
          <w:tcPr>
            <w:tcW w:type="dxa" w:w="1596"/>
            <w:tcBorders>
              <w:start w:sz="2.400000000000091" w:val="single" w:color="#000000"/>
              <w:top w:sz="1.599999999999909" w:val="single" w:color="#000000"/>
              <w:end w:sz="2.3999999999998636"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389,446,061 </w:t>
            </w:r>
          </w:p>
        </w:tc>
        <w:tc>
          <w:tcPr>
            <w:tcW w:type="dxa" w:w="1320"/>
            <w:tcBorders>
              <w:start w:sz="2.3999999999998636"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0.48% </w:t>
            </w:r>
          </w:p>
        </w:tc>
        <w:tc>
          <w:tcPr>
            <w:tcW w:type="dxa" w:w="1588"/>
            <w:tcBorders>
              <w:start w:sz="1.599999999999909"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324,169,206 </w:t>
            </w:r>
          </w:p>
        </w:tc>
        <w:tc>
          <w:tcPr>
            <w:tcW w:type="dxa" w:w="1340"/>
            <w:tcBorders>
              <w:start w:sz="1.6000000000003638"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0.42% </w:t>
            </w:r>
          </w:p>
        </w:tc>
        <w:tc>
          <w:tcPr>
            <w:tcW w:type="dxa" w:w="1846"/>
            <w:tcBorders>
              <w:start w:sz="1.6000000000003638" w:val="single" w:color="#000000"/>
              <w:top w:sz="1.599999999999909" w:val="single" w:color="#000000"/>
              <w:end w:sz="1.5999999999994543" w:val="single" w:color="#000000"/>
              <w:bottom w:sz="2.3999999999998636" w:val="single" w:color="#000000"/>
            </w:tcBorders>
            <w:tcMar>
              <w:start w:w="0" w:type="dxa"/>
              <w:end w:w="0" w:type="dxa"/>
            </w:tcMar>
          </w:tcPr>
          <w:p>
            <w:pPr>
              <w:autoSpaceDN w:val="0"/>
              <w:autoSpaceDE w:val="0"/>
              <w:widowControl/>
              <w:spacing w:line="198" w:lineRule="exact" w:before="78"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0.06</w:t>
            </w:r>
            <w:r>
              <w:rPr>
                <w:rFonts w:ascii="宋体" w:hAnsi="宋体" w:eastAsia="宋体"/>
                <w:b w:val="0"/>
                <w:i w:val="0"/>
                <w:color w:val="000000"/>
                <w:sz w:val="18"/>
              </w:rPr>
              <w:t xml:space="preserve"> 个百分点</w:t>
            </w:r>
          </w:p>
        </w:tc>
        <w:tc>
          <w:tcPr>
            <w:tcW w:type="dxa" w:w="804"/>
            <w:tcBorders>
              <w:start w:sz="1.5999999999994543"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2.3999999999998636"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固定资产 </w:t>
            </w:r>
          </w:p>
        </w:tc>
        <w:tc>
          <w:tcPr>
            <w:tcW w:type="dxa" w:w="1596"/>
            <w:tcBorders>
              <w:start w:sz="2.400000000000091" w:val="single" w:color="#000000"/>
              <w:top w:sz="2.3999999999998636" w:val="single" w:color="#000000"/>
              <w:end w:sz="2.3999999999998636"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386,698,487 </w:t>
            </w:r>
          </w:p>
        </w:tc>
        <w:tc>
          <w:tcPr>
            <w:tcW w:type="dxa" w:w="1320"/>
            <w:tcBorders>
              <w:start w:sz="2.3999999999998636" w:val="single" w:color="#000000"/>
              <w:top w:sz="2.3999999999998636"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0.48% </w:t>
            </w:r>
          </w:p>
        </w:tc>
        <w:tc>
          <w:tcPr>
            <w:tcW w:type="dxa" w:w="1588"/>
            <w:tcBorders>
              <w:start w:sz="1.599999999999909" w:val="single" w:color="#000000"/>
              <w:top w:sz="2.3999999999998636"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386,834,025 </w:t>
            </w:r>
          </w:p>
        </w:tc>
        <w:tc>
          <w:tcPr>
            <w:tcW w:type="dxa" w:w="1340"/>
            <w:tcBorders>
              <w:start w:sz="1.6000000000003638" w:val="single" w:color="#000000"/>
              <w:top w:sz="2.3999999999998636"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0.49% </w:t>
            </w:r>
          </w:p>
        </w:tc>
        <w:tc>
          <w:tcPr>
            <w:tcW w:type="dxa" w:w="1846"/>
            <w:tcBorders>
              <w:start w:sz="1.6000000000003638" w:val="single" w:color="#000000"/>
              <w:top w:sz="2.3999999999998636" w:val="single" w:color="#000000"/>
              <w:end w:sz="1.5999999999994543" w:val="single" w:color="#000000"/>
              <w:bottom w:sz="1.599999999999909" w:val="single" w:color="#000000"/>
            </w:tcBorders>
            <w:tcMar>
              <w:start w:w="0" w:type="dxa"/>
              <w:end w:w="0" w:type="dxa"/>
            </w:tcMar>
          </w:tcPr>
          <w:p>
            <w:pPr>
              <w:autoSpaceDN w:val="0"/>
              <w:autoSpaceDE w:val="0"/>
              <w:widowControl/>
              <w:spacing w:line="200" w:lineRule="exact" w:before="74"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0.01</w:t>
            </w:r>
            <w:r>
              <w:rPr>
                <w:rFonts w:ascii="宋体" w:hAnsi="宋体" w:eastAsia="宋体"/>
                <w:b w:val="0"/>
                <w:i w:val="0"/>
                <w:color w:val="000000"/>
                <w:sz w:val="18"/>
              </w:rPr>
              <w:t xml:space="preserve"> 个百分点</w:t>
            </w:r>
          </w:p>
        </w:tc>
        <w:tc>
          <w:tcPr>
            <w:tcW w:type="dxa" w:w="804"/>
            <w:tcBorders>
              <w:start w:sz="1.5999999999994543" w:val="single" w:color="#000000"/>
              <w:top w:sz="2.3999999999998636"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使用权资产 </w:t>
            </w:r>
          </w:p>
        </w:tc>
        <w:tc>
          <w:tcPr>
            <w:tcW w:type="dxa" w:w="1596"/>
            <w:tcBorders>
              <w:start w:sz="2.400000000000091"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252,534,614 </w:t>
            </w:r>
          </w:p>
        </w:tc>
        <w:tc>
          <w:tcPr>
            <w:tcW w:type="dxa" w:w="1320"/>
            <w:tcBorders>
              <w:start w:sz="2.3999999999998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0.31% </w:t>
            </w:r>
          </w:p>
        </w:tc>
        <w:tc>
          <w:tcPr>
            <w:tcW w:type="dxa" w:w="1588"/>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310,141,621 </w:t>
            </w:r>
          </w:p>
        </w:tc>
        <w:tc>
          <w:tcPr>
            <w:tcW w:type="dxa" w:w="134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0.40% </w:t>
            </w:r>
          </w:p>
        </w:tc>
        <w:tc>
          <w:tcPr>
            <w:tcW w:type="dxa" w:w="1846"/>
            <w:tcBorders>
              <w:start w:sz="1.6000000000003638"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78"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0.09</w:t>
            </w:r>
            <w:r>
              <w:rPr>
                <w:rFonts w:ascii="宋体" w:hAnsi="宋体" w:eastAsia="宋体"/>
                <w:b w:val="0"/>
                <w:i w:val="0"/>
                <w:color w:val="000000"/>
                <w:sz w:val="18"/>
              </w:rPr>
              <w:t xml:space="preserve"> 个百分点</w:t>
            </w:r>
          </w:p>
        </w:tc>
        <w:tc>
          <w:tcPr>
            <w:tcW w:type="dxa" w:w="804"/>
            <w:tcBorders>
              <w:start w:sz="1.5999999999994543"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无形资产 </w:t>
            </w:r>
          </w:p>
        </w:tc>
        <w:tc>
          <w:tcPr>
            <w:tcW w:type="dxa" w:w="1596"/>
            <w:tcBorders>
              <w:start w:sz="2.400000000000091" w:val="single" w:color="#000000"/>
              <w:top w:sz="2.400000000000091"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248,858,945 </w:t>
            </w:r>
          </w:p>
        </w:tc>
        <w:tc>
          <w:tcPr>
            <w:tcW w:type="dxa" w:w="1320"/>
            <w:tcBorders>
              <w:start w:sz="2.3999999999998636"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0.31% </w:t>
            </w:r>
          </w:p>
        </w:tc>
        <w:tc>
          <w:tcPr>
            <w:tcW w:type="dxa" w:w="1588"/>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223,741,579 </w:t>
            </w:r>
          </w:p>
        </w:tc>
        <w:tc>
          <w:tcPr>
            <w:tcW w:type="dxa" w:w="134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0.29% </w:t>
            </w:r>
          </w:p>
        </w:tc>
        <w:tc>
          <w:tcPr>
            <w:tcW w:type="dxa" w:w="1846"/>
            <w:tcBorders>
              <w:start w:sz="1.6000000000003638" w:val="single" w:color="#000000"/>
              <w:top w:sz="2.400000000000091"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76"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0.02</w:t>
            </w:r>
            <w:r>
              <w:rPr>
                <w:rFonts w:ascii="宋体" w:hAnsi="宋体" w:eastAsia="宋体"/>
                <w:b w:val="0"/>
                <w:i w:val="0"/>
                <w:color w:val="000000"/>
                <w:sz w:val="18"/>
              </w:rPr>
              <w:t xml:space="preserve"> 个百分点</w:t>
            </w:r>
          </w:p>
        </w:tc>
        <w:tc>
          <w:tcPr>
            <w:tcW w:type="dxa" w:w="804"/>
            <w:tcBorders>
              <w:start w:sz="1.5999999999994543"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8"/>
        </w:trPr>
        <w:tc>
          <w:tcPr>
            <w:tcW w:type="dxa" w:w="1782"/>
            <w:tcBorders>
              <w:start w:sz="1.599999999999966"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商誉 </w:t>
            </w:r>
          </w:p>
        </w:tc>
        <w:tc>
          <w:tcPr>
            <w:tcW w:type="dxa" w:w="1596"/>
            <w:tcBorders>
              <w:start w:sz="2.400000000000091" w:val="single" w:color="#000000"/>
              <w:top w:sz="2.400000000000091"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476,939,901 </w:t>
            </w:r>
          </w:p>
        </w:tc>
        <w:tc>
          <w:tcPr>
            <w:tcW w:type="dxa" w:w="1320"/>
            <w:tcBorders>
              <w:start w:sz="2.3999999999998636"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0.59% </w:t>
            </w:r>
          </w:p>
        </w:tc>
        <w:tc>
          <w:tcPr>
            <w:tcW w:type="dxa" w:w="1588"/>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476,939,901 </w:t>
            </w:r>
          </w:p>
        </w:tc>
        <w:tc>
          <w:tcPr>
            <w:tcW w:type="dxa" w:w="134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0.61% </w:t>
            </w:r>
          </w:p>
        </w:tc>
        <w:tc>
          <w:tcPr>
            <w:tcW w:type="dxa" w:w="1846"/>
            <w:tcBorders>
              <w:start w:sz="1.6000000000003638" w:val="single" w:color="#000000"/>
              <w:top w:sz="2.400000000000091" w:val="single" w:color="#000000"/>
              <w:end w:sz="1.5999999999994543" w:val="single" w:color="#000000"/>
              <w:bottom w:sz="2.400000000000091" w:val="single" w:color="#000000"/>
            </w:tcBorders>
            <w:tcMar>
              <w:start w:w="0" w:type="dxa"/>
              <w:end w:w="0" w:type="dxa"/>
            </w:tcMar>
          </w:tcPr>
          <w:p>
            <w:pPr>
              <w:autoSpaceDN w:val="0"/>
              <w:autoSpaceDE w:val="0"/>
              <w:widowControl/>
              <w:spacing w:line="198" w:lineRule="exact" w:before="76"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0.02</w:t>
            </w:r>
            <w:r>
              <w:rPr>
                <w:rFonts w:ascii="宋体" w:hAnsi="宋体" w:eastAsia="宋体"/>
                <w:b w:val="0"/>
                <w:i w:val="0"/>
                <w:color w:val="000000"/>
                <w:sz w:val="18"/>
              </w:rPr>
              <w:t xml:space="preserve"> 个百分点</w:t>
            </w:r>
          </w:p>
        </w:tc>
        <w:tc>
          <w:tcPr>
            <w:tcW w:type="dxa" w:w="804"/>
            <w:tcBorders>
              <w:start w:sz="1.5999999999994543"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2"/>
        </w:trPr>
        <w:tc>
          <w:tcPr>
            <w:tcW w:type="dxa" w:w="1782"/>
            <w:tcBorders>
              <w:start w:sz="1.599999999999966"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递延所得税资产 </w:t>
            </w:r>
          </w:p>
        </w:tc>
        <w:tc>
          <w:tcPr>
            <w:tcW w:type="dxa" w:w="1596"/>
            <w:tcBorders>
              <w:start w:sz="2.400000000000091"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135,143,611 </w:t>
            </w:r>
          </w:p>
        </w:tc>
        <w:tc>
          <w:tcPr>
            <w:tcW w:type="dxa" w:w="1320"/>
            <w:tcBorders>
              <w:start w:sz="2.3999999999998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0.17% </w:t>
            </w:r>
          </w:p>
        </w:tc>
        <w:tc>
          <w:tcPr>
            <w:tcW w:type="dxa" w:w="1588"/>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2" w:firstLine="0"/>
              <w:jc w:val="right"/>
            </w:pPr>
            <w:r>
              <w:rPr>
                <w:rFonts w:ascii="Calibri" w:hAnsi="Calibri" w:eastAsia="Calibri"/>
                <w:b w:val="0"/>
                <w:i w:val="0"/>
                <w:color w:val="000000"/>
                <w:sz w:val="18"/>
              </w:rPr>
              <w:t xml:space="preserve">213,254,141 </w:t>
            </w:r>
          </w:p>
        </w:tc>
        <w:tc>
          <w:tcPr>
            <w:tcW w:type="dxa" w:w="134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97" w:lineRule="auto" w:before="94" w:after="0"/>
              <w:ind w:left="0" w:right="64" w:firstLine="0"/>
              <w:jc w:val="right"/>
            </w:pPr>
            <w:r>
              <w:rPr>
                <w:rFonts w:ascii="Calibri" w:hAnsi="Calibri" w:eastAsia="Calibri"/>
                <w:b w:val="0"/>
                <w:i w:val="0"/>
                <w:color w:val="000000"/>
                <w:sz w:val="18"/>
              </w:rPr>
              <w:t xml:space="preserve">0.27% </w:t>
            </w:r>
          </w:p>
        </w:tc>
        <w:tc>
          <w:tcPr>
            <w:tcW w:type="dxa" w:w="1846"/>
            <w:tcBorders>
              <w:start w:sz="1.6000000000003638"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00" w:lineRule="exact" w:before="74" w:after="0"/>
              <w:ind w:left="246" w:right="0" w:firstLine="0"/>
              <w:jc w:val="left"/>
            </w:pPr>
            <w:r>
              <w:rPr>
                <w:rFonts w:ascii="宋体" w:hAnsi="宋体" w:eastAsia="宋体"/>
                <w:b w:val="0"/>
                <w:i w:val="0"/>
                <w:color w:val="000000"/>
                <w:sz w:val="18"/>
              </w:rPr>
              <w:t>下降</w:t>
            </w:r>
            <w:r>
              <w:rPr>
                <w:rFonts w:ascii="Calibri" w:hAnsi="Calibri" w:eastAsia="Calibri"/>
                <w:b w:val="0"/>
                <w:i w:val="0"/>
                <w:color w:val="000000"/>
                <w:sz w:val="18"/>
              </w:rPr>
              <w:t>0.10</w:t>
            </w:r>
            <w:r>
              <w:rPr>
                <w:rFonts w:ascii="宋体" w:hAnsi="宋体" w:eastAsia="宋体"/>
                <w:b w:val="0"/>
                <w:i w:val="0"/>
                <w:color w:val="000000"/>
                <w:sz w:val="18"/>
              </w:rPr>
              <w:t xml:space="preserve"> 个百分点</w:t>
            </w:r>
          </w:p>
        </w:tc>
        <w:tc>
          <w:tcPr>
            <w:tcW w:type="dxa" w:w="804"/>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r>
        <w:trPr>
          <w:trHeight w:hRule="exact" w:val="346"/>
        </w:trPr>
        <w:tc>
          <w:tcPr>
            <w:tcW w:type="dxa" w:w="1782"/>
            <w:tcBorders>
              <w:start w:sz="1.599999999999966"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其他资产 </w:t>
            </w:r>
          </w:p>
        </w:tc>
        <w:tc>
          <w:tcPr>
            <w:tcW w:type="dxa" w:w="1596"/>
            <w:tcBorders>
              <w:start w:sz="2.400000000000091"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409,420,577 </w:t>
            </w:r>
          </w:p>
        </w:tc>
        <w:tc>
          <w:tcPr>
            <w:tcW w:type="dxa" w:w="1320"/>
            <w:tcBorders>
              <w:start w:sz="2.3999999999998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0.51% </w:t>
            </w:r>
          </w:p>
        </w:tc>
        <w:tc>
          <w:tcPr>
            <w:tcW w:type="dxa" w:w="1588"/>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2" w:firstLine="0"/>
              <w:jc w:val="right"/>
            </w:pPr>
            <w:r>
              <w:rPr>
                <w:rFonts w:ascii="Calibri" w:hAnsi="Calibri" w:eastAsia="Calibri"/>
                <w:b w:val="0"/>
                <w:i w:val="0"/>
                <w:color w:val="000000"/>
                <w:sz w:val="18"/>
              </w:rPr>
              <w:t xml:space="preserve">321,830,325 </w:t>
            </w:r>
          </w:p>
        </w:tc>
        <w:tc>
          <w:tcPr>
            <w:tcW w:type="dxa" w:w="134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0.41% </w:t>
            </w:r>
          </w:p>
        </w:tc>
        <w:tc>
          <w:tcPr>
            <w:tcW w:type="dxa" w:w="1846"/>
            <w:tcBorders>
              <w:start w:sz="1.6000000000003638"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78" w:after="0"/>
              <w:ind w:left="246" w:right="0" w:firstLine="0"/>
              <w:jc w:val="left"/>
            </w:pPr>
            <w:r>
              <w:rPr>
                <w:rFonts w:ascii="宋体" w:hAnsi="宋体" w:eastAsia="宋体"/>
                <w:b w:val="0"/>
                <w:i w:val="0"/>
                <w:color w:val="000000"/>
                <w:sz w:val="18"/>
              </w:rPr>
              <w:t>增长</w:t>
            </w:r>
            <w:r>
              <w:rPr>
                <w:rFonts w:ascii="Calibri" w:hAnsi="Calibri" w:eastAsia="Calibri"/>
                <w:b w:val="0"/>
                <w:i w:val="0"/>
                <w:color w:val="000000"/>
                <w:sz w:val="18"/>
              </w:rPr>
              <w:t>0.10</w:t>
            </w:r>
            <w:r>
              <w:rPr>
                <w:rFonts w:ascii="宋体" w:hAnsi="宋体" w:eastAsia="宋体"/>
                <w:b w:val="0"/>
                <w:i w:val="0"/>
                <w:color w:val="000000"/>
                <w:sz w:val="18"/>
              </w:rPr>
              <w:t xml:space="preserve"> 个百分点</w:t>
            </w:r>
          </w:p>
        </w:tc>
        <w:tc>
          <w:tcPr>
            <w:tcW w:type="dxa" w:w="804"/>
            <w:tcBorders>
              <w:start w:sz="1.5999999999994543"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w:t>
            </w:r>
          </w:p>
        </w:tc>
      </w:tr>
      <w:tr>
        <w:trPr>
          <w:trHeight w:hRule="exact" w:val="344"/>
        </w:trPr>
        <w:tc>
          <w:tcPr>
            <w:tcW w:type="dxa" w:w="1782"/>
            <w:tcBorders>
              <w:start w:sz="1.599999999999966"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资产总计 </w:t>
            </w:r>
          </w:p>
        </w:tc>
        <w:tc>
          <w:tcPr>
            <w:tcW w:type="dxa" w:w="1596"/>
            <w:tcBorders>
              <w:start w:sz="2.400000000000091" w:val="single" w:color="#000000"/>
              <w:top w:sz="2.400000000000091" w:val="single" w:color="#000000"/>
              <w:end w:sz="2.3999999999998636" w:val="single" w:color="#000000"/>
              <w:bottom w:sz="2.400000000000091" w:val="single" w:color="#000000"/>
            </w:tcBorders>
            <w:tcMar>
              <w:start w:w="0" w:type="dxa"/>
              <w:end w:w="0" w:type="dxa"/>
            </w:tcMar>
          </w:tcPr>
          <w:p>
            <w:pPr>
              <w:autoSpaceDN w:val="0"/>
              <w:autoSpaceDE w:val="0"/>
              <w:widowControl/>
              <w:spacing w:line="197" w:lineRule="auto" w:before="96" w:after="0"/>
              <w:ind w:left="346" w:right="0" w:firstLine="0"/>
              <w:jc w:val="left"/>
            </w:pPr>
            <w:r>
              <w:rPr>
                <w:rFonts w:ascii="Calibri" w:hAnsi="Calibri" w:eastAsia="Calibri"/>
                <w:b w:val="0"/>
                <w:i w:val="0"/>
                <w:color w:val="000000"/>
                <w:sz w:val="18"/>
              </w:rPr>
              <w:t xml:space="preserve">80,661,344,114 </w:t>
            </w:r>
          </w:p>
        </w:tc>
        <w:tc>
          <w:tcPr>
            <w:tcW w:type="dxa" w:w="1320"/>
            <w:tcBorders>
              <w:start w:sz="2.3999999999998636"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100.00% </w:t>
            </w:r>
          </w:p>
        </w:tc>
        <w:tc>
          <w:tcPr>
            <w:tcW w:type="dxa" w:w="1588"/>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344" w:right="0" w:firstLine="0"/>
              <w:jc w:val="left"/>
            </w:pPr>
            <w:r>
              <w:rPr>
                <w:rFonts w:ascii="Calibri" w:hAnsi="Calibri" w:eastAsia="Calibri"/>
                <w:b w:val="0"/>
                <w:i w:val="0"/>
                <w:color w:val="000000"/>
                <w:sz w:val="18"/>
              </w:rPr>
              <w:t xml:space="preserve">77,590,229,317 </w:t>
            </w:r>
          </w:p>
        </w:tc>
        <w:tc>
          <w:tcPr>
            <w:tcW w:type="dxa" w:w="134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97" w:lineRule="auto" w:before="96" w:after="0"/>
              <w:ind w:left="0" w:right="64" w:firstLine="0"/>
              <w:jc w:val="right"/>
            </w:pPr>
            <w:r>
              <w:rPr>
                <w:rFonts w:ascii="Calibri" w:hAnsi="Calibri" w:eastAsia="Calibri"/>
                <w:b w:val="0"/>
                <w:i w:val="0"/>
                <w:color w:val="000000"/>
                <w:sz w:val="18"/>
              </w:rPr>
              <w:t xml:space="preserve">100.00% </w:t>
            </w:r>
          </w:p>
        </w:tc>
        <w:tc>
          <w:tcPr>
            <w:tcW w:type="dxa" w:w="1846"/>
            <w:tcBorders>
              <w:start w:sz="1.6000000000003638" w:val="single" w:color="#000000"/>
              <w:top w:sz="2.400000000000091" w:val="single" w:color="#000000"/>
              <w:end w:sz="1.5999999999994543" w:val="single" w:color="#000000"/>
              <w:bottom w:sz="2.400000000000091" w:val="single" w:color="#000000"/>
            </w:tcBorders>
            <w:tcMar>
              <w:start w:w="0" w:type="dxa"/>
              <w:end w:w="0" w:type="dxa"/>
            </w:tcMar>
          </w:tcPr>
          <w:p>
            <w:pPr>
              <w:autoSpaceDN w:val="0"/>
              <w:autoSpaceDE w:val="0"/>
              <w:widowControl/>
              <w:spacing w:line="197" w:lineRule="auto" w:before="96" w:after="0"/>
              <w:ind w:left="0" w:right="0" w:firstLine="0"/>
              <w:jc w:val="center"/>
            </w:pPr>
            <w:r>
              <w:rPr>
                <w:rFonts w:ascii="Calibri" w:hAnsi="Calibri" w:eastAsia="Calibri"/>
                <w:b w:val="0"/>
                <w:i w:val="0"/>
                <w:color w:val="000000"/>
                <w:sz w:val="18"/>
              </w:rPr>
              <w:t xml:space="preserve">- </w:t>
            </w:r>
          </w:p>
        </w:tc>
        <w:tc>
          <w:tcPr>
            <w:tcW w:type="dxa" w:w="804"/>
            <w:tcBorders>
              <w:start w:sz="1.5999999999994543"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w:t>
            </w:r>
          </w:p>
        </w:tc>
      </w:tr>
    </w:tbl>
    <w:p>
      <w:pPr>
        <w:autoSpaceDN w:val="0"/>
        <w:autoSpaceDE w:val="0"/>
        <w:widowControl/>
        <w:spacing w:line="240" w:lineRule="exact" w:before="78" w:after="0"/>
        <w:ind w:left="666" w:right="720" w:firstLine="0"/>
        <w:jc w:val="left"/>
      </w:pPr>
      <w:r>
        <w:rPr>
          <w:rFonts w:ascii="宋体" w:hAnsi="宋体" w:eastAsia="宋体"/>
          <w:b w:val="0"/>
          <w:i w:val="0"/>
          <w:color w:val="000000"/>
          <w:sz w:val="18"/>
        </w:rPr>
        <w:t>相关数据同比发生变动30%以上的原因见本节“七、资产及负债状况分析中的4、比较式财务报表中变动幅度超过30%以</w:t>
      </w:r>
      <w:r>
        <w:rPr>
          <w:rFonts w:ascii="宋体" w:hAnsi="宋体" w:eastAsia="宋体"/>
          <w:b w:val="0"/>
          <w:i w:val="0"/>
          <w:color w:val="000000"/>
          <w:sz w:val="18"/>
        </w:rPr>
        <w:t xml:space="preserve">上项目的情况” </w:t>
      </w:r>
    </w:p>
    <w:p>
      <w:pPr>
        <w:autoSpaceDN w:val="0"/>
        <w:autoSpaceDE w:val="0"/>
        <w:widowControl/>
        <w:spacing w:line="180" w:lineRule="exact" w:before="498" w:after="0"/>
        <w:ind w:left="666" w:right="0" w:firstLine="0"/>
        <w:jc w:val="left"/>
      </w:pPr>
      <w:r>
        <w:rPr>
          <w:rFonts w:ascii="宋体" w:hAnsi="宋体" w:eastAsia="宋体"/>
          <w:b w:val="0"/>
          <w:i w:val="0"/>
          <w:color w:val="000000"/>
          <w:sz w:val="18"/>
        </w:rPr>
        <w:t xml:space="preserve">境外资产占比较高 </w:t>
      </w:r>
    </w:p>
    <w:p>
      <w:pPr>
        <w:autoSpaceDN w:val="0"/>
        <w:autoSpaceDE w:val="0"/>
        <w:widowControl/>
        <w:spacing w:line="180" w:lineRule="exact" w:before="162" w:after="0"/>
        <w:ind w:left="666"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6" w:after="0"/>
        <w:ind w:left="666" w:right="0" w:firstLine="0"/>
        <w:jc w:val="left"/>
      </w:pPr>
      <w:r>
        <w:rPr>
          <w:rFonts w:ascii="宋体" w:hAnsi="宋体" w:eastAsia="宋体"/>
          <w:b w:val="0"/>
          <w:i w:val="0"/>
          <w:color w:val="000000"/>
          <w:sz w:val="21"/>
        </w:rPr>
        <w:t xml:space="preserve">2、以公允价值计量的资产和负债 </w:t>
      </w:r>
    </w:p>
    <w:p>
      <w:pPr>
        <w:autoSpaceDN w:val="0"/>
        <w:autoSpaceDE w:val="0"/>
        <w:widowControl/>
        <w:spacing w:line="180" w:lineRule="exact" w:before="362" w:after="142"/>
        <w:ind w:left="0" w:right="742" w:firstLine="0"/>
        <w:jc w:val="right"/>
      </w:pPr>
      <w:r>
        <w:rPr>
          <w:rFonts w:ascii="宋体" w:hAnsi="宋体" w:eastAsia="宋体"/>
          <w:b w:val="0"/>
          <w:i w:val="0"/>
          <w:color w:val="000000"/>
          <w:sz w:val="18"/>
        </w:rPr>
        <w:t>单位：元</w:t>
      </w:r>
    </w:p>
    <w:tbl>
      <w:tblPr>
        <w:tblW w:type="auto" w:w="0"/>
        <w:tblLayout w:type="fixed"/>
        <w:tblLook w:firstColumn="1" w:firstRow="1" w:lastColumn="0" w:lastRow="0" w:noHBand="0" w:noVBand="1" w:val="04A0"/>
        <w:tblInd w:w="10.0" w:type="dxa"/>
      </w:tblPr>
      <w:tblGrid>
        <w:gridCol w:w="1207"/>
        <w:gridCol w:w="1207"/>
        <w:gridCol w:w="1207"/>
        <w:gridCol w:w="1207"/>
        <w:gridCol w:w="1207"/>
        <w:gridCol w:w="1207"/>
        <w:gridCol w:w="1207"/>
        <w:gridCol w:w="1207"/>
        <w:gridCol w:w="1207"/>
      </w:tblGrid>
      <w:tr>
        <w:trPr>
          <w:trHeight w:hRule="exact" w:val="956"/>
        </w:trPr>
        <w:tc>
          <w:tcPr>
            <w:tcW w:type="dxa" w:w="1016"/>
            <w:tcBorders>
              <w:start w:sz="8.0" w:val="single" w:color="#000000"/>
              <w:top w:sz="7.199999999999818" w:val="single" w:color="#000000"/>
              <w:end w:sz="7.199999999999932" w:val="single" w:color="#000000"/>
              <w:bottom w:sz="8.0" w:val="single" w:color="#000000"/>
            </w:tcBorders>
            <w:shd w:fill="d2d2d2"/>
            <w:tcMar>
              <w:start w:w="0" w:type="dxa"/>
              <w:end w:w="0" w:type="dxa"/>
            </w:tcMar>
          </w:tcPr>
          <w:p>
            <w:pPr>
              <w:autoSpaceDN w:val="0"/>
              <w:autoSpaceDE w:val="0"/>
              <w:widowControl/>
              <w:spacing w:line="180" w:lineRule="exact" w:before="378" w:after="0"/>
              <w:ind w:left="0" w:right="230" w:firstLine="0"/>
              <w:jc w:val="right"/>
            </w:pPr>
            <w:r>
              <w:rPr>
                <w:rFonts w:ascii="宋体" w:hAnsi="宋体" w:eastAsia="宋体"/>
                <w:b w:val="0"/>
                <w:i w:val="0"/>
                <w:color w:val="000000"/>
                <w:sz w:val="18"/>
              </w:rPr>
              <w:t xml:space="preserve">项目 </w:t>
            </w:r>
          </w:p>
        </w:tc>
        <w:tc>
          <w:tcPr>
            <w:tcW w:type="dxa" w:w="1240"/>
            <w:tcBorders>
              <w:start w:sz="7.199999999999932" w:val="single" w:color="#000000"/>
              <w:top w:sz="7.199999999999818" w:val="single" w:color="#000000"/>
              <w:end w:sz="8.0" w:val="single" w:color="#000000"/>
              <w:bottom w:sz="8.0" w:val="single" w:color="#000000"/>
            </w:tcBorders>
            <w:shd w:fill="d2d2d2"/>
            <w:tcMar>
              <w:start w:w="0" w:type="dxa"/>
              <w:end w:w="0" w:type="dxa"/>
            </w:tcMar>
          </w:tcPr>
          <w:p>
            <w:pPr>
              <w:autoSpaceDN w:val="0"/>
              <w:autoSpaceDE w:val="0"/>
              <w:widowControl/>
              <w:spacing w:line="180" w:lineRule="exact" w:before="378" w:after="0"/>
              <w:ind w:left="0" w:right="250" w:firstLine="0"/>
              <w:jc w:val="right"/>
            </w:pPr>
            <w:r>
              <w:rPr>
                <w:rFonts w:ascii="宋体" w:hAnsi="宋体" w:eastAsia="宋体"/>
                <w:b w:val="0"/>
                <w:i w:val="0"/>
                <w:color w:val="000000"/>
                <w:sz w:val="18"/>
              </w:rPr>
              <w:t xml:space="preserve">期初数 </w:t>
            </w:r>
          </w:p>
        </w:tc>
        <w:tc>
          <w:tcPr>
            <w:tcW w:type="dxa" w:w="1114"/>
            <w:tcBorders>
              <w:start w:sz="8.0" w:val="single" w:color="#000000"/>
              <w:top w:sz="7.199999999999818" w:val="single" w:color="#000000"/>
              <w:end w:sz="8.0" w:val="single" w:color="#000000"/>
              <w:bottom w:sz="8.0" w:val="single" w:color="#000000"/>
            </w:tcBorders>
            <w:shd w:fill="d2d2d2"/>
            <w:tcMar>
              <w:start w:w="0" w:type="dxa"/>
              <w:end w:w="0" w:type="dxa"/>
            </w:tcMar>
          </w:tcPr>
          <w:p>
            <w:pPr>
              <w:autoSpaceDN w:val="0"/>
              <w:autoSpaceDE w:val="0"/>
              <w:widowControl/>
              <w:spacing w:line="234" w:lineRule="exact" w:before="92" w:after="0"/>
              <w:ind w:left="144" w:right="188" w:firstLine="0"/>
              <w:jc w:val="right"/>
            </w:pPr>
            <w:r>
              <w:rPr>
                <w:rFonts w:ascii="宋体" w:hAnsi="宋体" w:eastAsia="宋体"/>
                <w:b w:val="0"/>
                <w:i w:val="0"/>
                <w:color w:val="000000"/>
                <w:sz w:val="18"/>
              </w:rPr>
              <w:t>本期公允</w:t>
            </w:r>
            <w:r>
              <w:rPr>
                <w:rFonts w:ascii="宋体" w:hAnsi="宋体" w:eastAsia="宋体"/>
                <w:b w:val="0"/>
                <w:i w:val="0"/>
                <w:color w:val="000000"/>
                <w:sz w:val="18"/>
              </w:rPr>
              <w:t>价值变动</w:t>
            </w:r>
            <w:r>
              <w:rPr>
                <w:rFonts w:ascii="宋体" w:hAnsi="宋体" w:eastAsia="宋体"/>
                <w:b w:val="0"/>
                <w:i w:val="0"/>
                <w:color w:val="000000"/>
                <w:sz w:val="18"/>
              </w:rPr>
              <w:t xml:space="preserve">损益 </w:t>
            </w:r>
          </w:p>
        </w:tc>
        <w:tc>
          <w:tcPr>
            <w:tcW w:type="dxa" w:w="1024"/>
            <w:tcBorders>
              <w:start w:sz="8.0" w:val="single" w:color="#000000"/>
              <w:top w:sz="7.199999999999818" w:val="single" w:color="#000000"/>
              <w:end w:sz="7.2000000000000455" w:val="single" w:color="#000000"/>
              <w:bottom w:sz="8.0" w:val="single" w:color="#000000"/>
            </w:tcBorders>
            <w:shd w:fill="d2d2d2"/>
            <w:tcMar>
              <w:start w:w="0" w:type="dxa"/>
              <w:end w:w="0" w:type="dxa"/>
            </w:tcMar>
          </w:tcPr>
          <w:p>
            <w:pPr>
              <w:autoSpaceDN w:val="0"/>
              <w:autoSpaceDE w:val="0"/>
              <w:widowControl/>
              <w:spacing w:line="226" w:lineRule="exact" w:before="0" w:after="0"/>
              <w:ind w:left="144" w:right="140" w:firstLine="0"/>
              <w:jc w:val="right"/>
            </w:pPr>
            <w:r>
              <w:rPr>
                <w:rFonts w:ascii="宋体" w:hAnsi="宋体" w:eastAsia="宋体"/>
                <w:b w:val="0"/>
                <w:i w:val="0"/>
                <w:color w:val="000000"/>
                <w:sz w:val="18"/>
              </w:rPr>
              <w:t>计入权益</w:t>
            </w:r>
            <w:r>
              <w:rPr>
                <w:rFonts w:ascii="宋体" w:hAnsi="宋体" w:eastAsia="宋体"/>
                <w:b w:val="0"/>
                <w:i w:val="0"/>
                <w:color w:val="000000"/>
                <w:sz w:val="18"/>
              </w:rPr>
              <w:t>的累计公</w:t>
            </w:r>
            <w:r>
              <w:rPr>
                <w:rFonts w:ascii="宋体" w:hAnsi="宋体" w:eastAsia="宋体"/>
                <w:b w:val="0"/>
                <w:i w:val="0"/>
                <w:color w:val="000000"/>
                <w:sz w:val="18"/>
              </w:rPr>
              <w:t>允价值变</w:t>
            </w:r>
            <w:r>
              <w:rPr>
                <w:rFonts w:ascii="宋体" w:hAnsi="宋体" w:eastAsia="宋体"/>
                <w:b w:val="0"/>
                <w:i w:val="0"/>
                <w:color w:val="000000"/>
                <w:sz w:val="18"/>
              </w:rPr>
              <w:t xml:space="preserve">动 </w:t>
            </w:r>
          </w:p>
        </w:tc>
        <w:tc>
          <w:tcPr>
            <w:tcW w:type="dxa" w:w="1000"/>
            <w:tcBorders>
              <w:start w:sz="7.2000000000000455" w:val="single" w:color="#000000"/>
              <w:top w:sz="7.199999999999818" w:val="single" w:color="#000000"/>
              <w:end w:sz="8.0" w:val="single" w:color="#000000"/>
              <w:bottom w:sz="8.0" w:val="single" w:color="#000000"/>
            </w:tcBorders>
            <w:shd w:fill="d2d2d2"/>
            <w:tcMar>
              <w:start w:w="0" w:type="dxa"/>
              <w:end w:w="0" w:type="dxa"/>
            </w:tcMar>
          </w:tcPr>
          <w:p>
            <w:pPr>
              <w:autoSpaceDN w:val="0"/>
              <w:autoSpaceDE w:val="0"/>
              <w:widowControl/>
              <w:spacing w:line="234" w:lineRule="exact" w:before="208" w:after="0"/>
              <w:ind w:left="222" w:right="0" w:hanging="90"/>
              <w:jc w:val="left"/>
            </w:pPr>
            <w:r>
              <w:rPr>
                <w:rFonts w:ascii="宋体" w:hAnsi="宋体" w:eastAsia="宋体"/>
                <w:b w:val="0"/>
                <w:i w:val="0"/>
                <w:color w:val="000000"/>
                <w:sz w:val="18"/>
              </w:rPr>
              <w:t>本期计提</w:t>
            </w:r>
            <w:r>
              <w:rPr>
                <w:rFonts w:ascii="宋体" w:hAnsi="宋体" w:eastAsia="宋体"/>
                <w:b w:val="0"/>
                <w:i w:val="0"/>
                <w:color w:val="000000"/>
                <w:sz w:val="18"/>
              </w:rPr>
              <w:t xml:space="preserve">的减值 </w:t>
            </w:r>
          </w:p>
        </w:tc>
        <w:tc>
          <w:tcPr>
            <w:tcW w:type="dxa" w:w="1700"/>
            <w:tcBorders>
              <w:start w:sz="8.0" w:val="single" w:color="#000000"/>
              <w:top w:sz="7.199999999999818" w:val="single" w:color="#000000"/>
              <w:end w:sz="8.0" w:val="single" w:color="#000000"/>
              <w:bottom w:sz="8.0" w:val="single" w:color="#000000"/>
            </w:tcBorders>
            <w:shd w:fill="d2d2d2"/>
            <w:tcMar>
              <w:start w:w="0" w:type="dxa"/>
              <w:end w:w="0" w:type="dxa"/>
            </w:tcMar>
          </w:tcPr>
          <w:p>
            <w:pPr>
              <w:autoSpaceDN w:val="0"/>
              <w:autoSpaceDE w:val="0"/>
              <w:widowControl/>
              <w:spacing w:line="180" w:lineRule="exact" w:before="378" w:after="0"/>
              <w:ind w:left="302" w:right="0" w:firstLine="0"/>
              <w:jc w:val="left"/>
            </w:pPr>
            <w:r>
              <w:rPr>
                <w:rFonts w:ascii="宋体" w:hAnsi="宋体" w:eastAsia="宋体"/>
                <w:b w:val="0"/>
                <w:i w:val="0"/>
                <w:color w:val="000000"/>
                <w:sz w:val="18"/>
              </w:rPr>
              <w:t xml:space="preserve">本期购买金额 </w:t>
            </w:r>
          </w:p>
        </w:tc>
        <w:tc>
          <w:tcPr>
            <w:tcW w:type="dxa" w:w="1676"/>
            <w:tcBorders>
              <w:start w:sz="8.0" w:val="single" w:color="#000000"/>
              <w:top w:sz="7.199999999999818" w:val="single" w:color="#000000"/>
              <w:end w:sz="7.199999999999818" w:val="single" w:color="#000000"/>
              <w:bottom w:sz="8.0" w:val="single" w:color="#000000"/>
            </w:tcBorders>
            <w:shd w:fill="d2d2d2"/>
            <w:tcMar>
              <w:start w:w="0" w:type="dxa"/>
              <w:end w:w="0" w:type="dxa"/>
            </w:tcMar>
          </w:tcPr>
          <w:p>
            <w:pPr>
              <w:autoSpaceDN w:val="0"/>
              <w:autoSpaceDE w:val="0"/>
              <w:widowControl/>
              <w:spacing w:line="180" w:lineRule="exact" w:before="378" w:after="0"/>
              <w:ind w:left="290" w:right="0" w:firstLine="0"/>
              <w:jc w:val="left"/>
            </w:pPr>
            <w:r>
              <w:rPr>
                <w:rFonts w:ascii="宋体" w:hAnsi="宋体" w:eastAsia="宋体"/>
                <w:b w:val="0"/>
                <w:i w:val="0"/>
                <w:color w:val="000000"/>
                <w:sz w:val="18"/>
              </w:rPr>
              <w:t xml:space="preserve">本期出售金额 </w:t>
            </w:r>
          </w:p>
        </w:tc>
        <w:tc>
          <w:tcPr>
            <w:tcW w:type="dxa" w:w="662"/>
            <w:tcBorders>
              <w:start w:sz="7.199999999999818" w:val="single" w:color="#000000"/>
              <w:top w:sz="7.199999999999818" w:val="single" w:color="#000000"/>
              <w:end w:sz="8.0" w:val="single" w:color="#000000"/>
              <w:bottom w:sz="8.0" w:val="single" w:color="#000000"/>
            </w:tcBorders>
            <w:shd w:fill="d2d2d2"/>
            <w:tcMar>
              <w:start w:w="0" w:type="dxa"/>
              <w:end w:w="0" w:type="dxa"/>
            </w:tcMar>
          </w:tcPr>
          <w:p>
            <w:pPr>
              <w:autoSpaceDN w:val="0"/>
              <w:autoSpaceDE w:val="0"/>
              <w:widowControl/>
              <w:spacing w:line="234" w:lineRule="exact" w:before="208" w:after="0"/>
              <w:ind w:left="142" w:right="0" w:firstLine="0"/>
              <w:jc w:val="left"/>
            </w:pPr>
            <w:r>
              <w:rPr>
                <w:rFonts w:ascii="宋体" w:hAnsi="宋体" w:eastAsia="宋体"/>
                <w:b w:val="0"/>
                <w:i w:val="0"/>
                <w:color w:val="000000"/>
                <w:sz w:val="18"/>
              </w:rPr>
              <w:t>其他</w:t>
            </w:r>
            <w:r>
              <w:br/>
            </w:r>
            <w:r>
              <w:rPr>
                <w:rFonts w:ascii="宋体" w:hAnsi="宋体" w:eastAsia="宋体"/>
                <w:b w:val="0"/>
                <w:i w:val="0"/>
                <w:color w:val="000000"/>
                <w:sz w:val="18"/>
              </w:rPr>
              <w:t xml:space="preserve">变动 </w:t>
            </w:r>
          </w:p>
        </w:tc>
        <w:tc>
          <w:tcPr>
            <w:tcW w:type="dxa" w:w="1390"/>
            <w:tcBorders>
              <w:start w:sz="8.0" w:val="single" w:color="#000000"/>
              <w:top w:sz="7.199999999999818" w:val="single" w:color="#000000"/>
              <w:end w:sz="7.199999999999818" w:val="single" w:color="#000000"/>
              <w:bottom w:sz="8.0" w:val="single" w:color="#000000"/>
            </w:tcBorders>
            <w:shd w:fill="d2d2d2"/>
            <w:tcMar>
              <w:start w:w="0" w:type="dxa"/>
              <w:end w:w="0" w:type="dxa"/>
            </w:tcMar>
          </w:tcPr>
          <w:p>
            <w:pPr>
              <w:autoSpaceDN w:val="0"/>
              <w:autoSpaceDE w:val="0"/>
              <w:widowControl/>
              <w:spacing w:line="180" w:lineRule="exact" w:before="378" w:after="0"/>
              <w:ind w:left="0" w:right="326" w:firstLine="0"/>
              <w:jc w:val="right"/>
            </w:pPr>
            <w:r>
              <w:rPr>
                <w:rFonts w:ascii="宋体" w:hAnsi="宋体" w:eastAsia="宋体"/>
                <w:b w:val="0"/>
                <w:i w:val="0"/>
                <w:color w:val="000000"/>
                <w:sz w:val="18"/>
              </w:rPr>
              <w:t xml:space="preserve">期末数 </w:t>
            </w:r>
          </w:p>
        </w:tc>
      </w:tr>
      <w:tr>
        <w:trPr>
          <w:trHeight w:hRule="exact" w:val="320"/>
        </w:trPr>
        <w:tc>
          <w:tcPr>
            <w:tcW w:type="dxa" w:w="1016"/>
            <w:tcBorders>
              <w:start w:sz="8.0" w:val="single" w:color="#000000"/>
              <w:top w:sz="8.0" w:val="single" w:color="#000000"/>
              <w:end w:sz="7.199999999999932" w:val="single" w:color="#000000"/>
              <w:bottom w:sz="8.0" w:val="single" w:color="#000000"/>
            </w:tcBorders>
            <w:shd w:fill="d2d2d2"/>
            <w:tcMar>
              <w:start w:w="0" w:type="dxa"/>
              <w:end w:w="0" w:type="dxa"/>
            </w:tcMar>
          </w:tcPr>
          <w:p>
            <w:pPr>
              <w:autoSpaceDN w:val="0"/>
              <w:autoSpaceDE w:val="0"/>
              <w:widowControl/>
              <w:spacing w:line="180" w:lineRule="exact" w:before="58" w:after="0"/>
              <w:ind w:left="0" w:right="0" w:firstLine="0"/>
              <w:jc w:val="center"/>
            </w:pPr>
            <w:r>
              <w:rPr>
                <w:rFonts w:ascii="宋体" w:hAnsi="宋体" w:eastAsia="宋体"/>
                <w:b w:val="0"/>
                <w:i w:val="0"/>
                <w:color w:val="000000"/>
                <w:sz w:val="18"/>
              </w:rPr>
              <w:t xml:space="preserve">金融资产 </w:t>
            </w:r>
          </w:p>
        </w:tc>
        <w:tc>
          <w:tcPr>
            <w:tcW w:type="dxa" w:w="9806"/>
            <w:gridSpan w:val="8"/>
            <w:tcBorders>
              <w:start w:sz="7.199999999999932" w:val="single" w:color="#000000"/>
              <w:top w:sz="8.0" w:val="single" w:color="#000000"/>
              <w:end w:sz="7.199999999999818" w:val="single" w:color="#000000"/>
              <w:bottom w:sz="8.0"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934"/>
        </w:trPr>
        <w:tc>
          <w:tcPr>
            <w:tcW w:type="dxa" w:w="1016"/>
            <w:tcBorders>
              <w:start w:sz="8.0" w:val="single" w:color="#000000"/>
              <w:top w:sz="8.0" w:val="single" w:color="#000000"/>
              <w:end w:sz="7.199999999999932" w:val="single" w:color="#000000"/>
              <w:bottom w:sz="7.199999999999818" w:val="single" w:color="#000000"/>
            </w:tcBorders>
            <w:shd w:fill="d2d2d2"/>
            <w:tcMar>
              <w:start w:w="0" w:type="dxa"/>
              <w:end w:w="0" w:type="dxa"/>
            </w:tcMar>
          </w:tcPr>
          <w:p>
            <w:pPr>
              <w:autoSpaceDN w:val="0"/>
              <w:autoSpaceDE w:val="0"/>
              <w:widowControl/>
              <w:spacing w:line="208" w:lineRule="exact" w:before="18" w:after="0"/>
              <w:ind w:left="98" w:right="96" w:firstLine="0"/>
              <w:jc w:val="both"/>
            </w:pPr>
            <w:r>
              <w:rPr>
                <w:rFonts w:ascii="宋体" w:hAnsi="宋体" w:eastAsia="宋体"/>
                <w:b w:val="0"/>
                <w:i w:val="0"/>
                <w:color w:val="000000"/>
                <w:sz w:val="16"/>
              </w:rPr>
              <w:t>1.交易性金</w:t>
            </w:r>
            <w:r>
              <w:rPr>
                <w:rFonts w:ascii="宋体" w:hAnsi="宋体" w:eastAsia="宋体"/>
                <w:b w:val="0"/>
                <w:i w:val="0"/>
                <w:color w:val="000000"/>
                <w:sz w:val="16"/>
              </w:rPr>
              <w:t>融资产（不</w:t>
            </w:r>
            <w:r>
              <w:rPr>
                <w:rFonts w:ascii="宋体" w:hAnsi="宋体" w:eastAsia="宋体"/>
                <w:b w:val="0"/>
                <w:i w:val="0"/>
                <w:color w:val="000000"/>
                <w:sz w:val="16"/>
              </w:rPr>
              <w:t>含衍生金融</w:t>
            </w:r>
            <w:r>
              <w:rPr>
                <w:rFonts w:ascii="宋体" w:hAnsi="宋体" w:eastAsia="宋体"/>
                <w:b w:val="0"/>
                <w:i w:val="0"/>
                <w:color w:val="000000"/>
                <w:sz w:val="16"/>
              </w:rPr>
              <w:t xml:space="preserve">资产） </w:t>
            </w:r>
          </w:p>
        </w:tc>
        <w:tc>
          <w:tcPr>
            <w:tcW w:type="dxa" w:w="1240"/>
            <w:tcBorders>
              <w:start w:sz="7.199999999999932"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6"/>
              </w:rPr>
              <w:t xml:space="preserve">36,922,114,301 </w:t>
            </w:r>
          </w:p>
        </w:tc>
        <w:tc>
          <w:tcPr>
            <w:tcW w:type="dxa" w:w="1114"/>
            <w:tcBorders>
              <w:start w:sz="8.0"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0" w:lineRule="auto" w:before="368" w:after="0"/>
              <w:ind w:left="0" w:right="58" w:firstLine="0"/>
              <w:jc w:val="right"/>
            </w:pPr>
            <w:r>
              <w:rPr>
                <w:rFonts w:ascii="Times New Roman" w:hAnsi="Times New Roman" w:eastAsia="Times New Roman"/>
                <w:b w:val="0"/>
                <w:i w:val="0"/>
                <w:color w:val="000000"/>
                <w:sz w:val="16"/>
              </w:rPr>
              <w:t xml:space="preserve">80,702,098 </w:t>
            </w:r>
          </w:p>
        </w:tc>
        <w:tc>
          <w:tcPr>
            <w:tcW w:type="dxa" w:w="1024"/>
            <w:tcBorders>
              <w:start w:sz="8.0" w:val="single" w:color="#000000"/>
              <w:top w:sz="8.0" w:val="single" w:color="#000000"/>
              <w:end w:sz="7.2000000000000455" w:val="single" w:color="#000000"/>
              <w:bottom w:sz="7.199999999999818" w:val="single" w:color="#000000"/>
            </w:tcBorders>
            <w:tcMar>
              <w:start w:w="0" w:type="dxa"/>
              <w:end w:w="0" w:type="dxa"/>
            </w:tcMar>
          </w:tcPr>
          <w:p>
            <w:pPr>
              <w:autoSpaceDN w:val="0"/>
              <w:autoSpaceDE w:val="0"/>
              <w:widowControl/>
              <w:spacing w:line="230" w:lineRule="auto" w:before="368" w:after="0"/>
              <w:ind w:left="0" w:right="54" w:firstLine="0"/>
              <w:jc w:val="right"/>
            </w:pPr>
            <w:r>
              <w:rPr>
                <w:rFonts w:ascii="Times New Roman" w:hAnsi="Times New Roman" w:eastAsia="Times New Roman"/>
                <w:b w:val="0"/>
                <w:i w:val="0"/>
                <w:color w:val="000000"/>
                <w:sz w:val="16"/>
              </w:rPr>
              <w:t xml:space="preserve">- </w:t>
            </w:r>
          </w:p>
        </w:tc>
        <w:tc>
          <w:tcPr>
            <w:tcW w:type="dxa" w:w="1000"/>
            <w:tcBorders>
              <w:start w:sz="7.2000000000000455"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0" w:lineRule="auto" w:before="368" w:after="0"/>
              <w:ind w:left="0" w:right="56" w:firstLine="0"/>
              <w:jc w:val="right"/>
            </w:pPr>
            <w:r>
              <w:rPr>
                <w:rFonts w:ascii="Times New Roman" w:hAnsi="Times New Roman" w:eastAsia="Times New Roman"/>
                <w:b w:val="0"/>
                <w:i w:val="0"/>
                <w:color w:val="000000"/>
                <w:sz w:val="16"/>
              </w:rPr>
              <w:t xml:space="preserve">- </w:t>
            </w:r>
          </w:p>
        </w:tc>
        <w:tc>
          <w:tcPr>
            <w:tcW w:type="dxa" w:w="1700"/>
            <w:tcBorders>
              <w:start w:sz="8.0"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0" w:lineRule="auto" w:before="368" w:after="0"/>
              <w:ind w:left="304" w:right="0" w:firstLine="0"/>
              <w:jc w:val="left"/>
            </w:pPr>
            <w:r>
              <w:rPr>
                <w:rFonts w:ascii="Times New Roman" w:hAnsi="Times New Roman" w:eastAsia="Times New Roman"/>
                <w:b w:val="0"/>
                <w:i w:val="0"/>
                <w:color w:val="000000"/>
                <w:sz w:val="16"/>
              </w:rPr>
              <w:t xml:space="preserve">13,366,136,674,082 </w:t>
            </w:r>
          </w:p>
        </w:tc>
        <w:tc>
          <w:tcPr>
            <w:tcW w:type="dxa" w:w="1676"/>
            <w:tcBorders>
              <w:start w:sz="8.0"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230" w:lineRule="auto" w:before="368" w:after="0"/>
              <w:ind w:left="282" w:right="0" w:firstLine="0"/>
              <w:jc w:val="left"/>
            </w:pPr>
            <w:r>
              <w:rPr>
                <w:rFonts w:ascii="Times New Roman" w:hAnsi="Times New Roman" w:eastAsia="Times New Roman"/>
                <w:b w:val="0"/>
                <w:i w:val="0"/>
                <w:color w:val="000000"/>
                <w:sz w:val="16"/>
              </w:rPr>
              <w:t xml:space="preserve">13,365,799,541,850 </w:t>
            </w:r>
          </w:p>
        </w:tc>
        <w:tc>
          <w:tcPr>
            <w:tcW w:type="dxa" w:w="662"/>
            <w:tcBorders>
              <w:start w:sz="7.199999999999818"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0" w:lineRule="auto" w:before="368"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8.0" w:val="single" w:color="#000000"/>
              <w:end w:sz="7.199999999999818" w:val="single" w:color="#000000"/>
              <w:bottom w:sz="7.199999999999818" w:val="single" w:color="#000000"/>
            </w:tcBorders>
            <w:tcMar>
              <w:start w:w="0" w:type="dxa"/>
              <w:end w:w="0" w:type="dxa"/>
            </w:tcMar>
          </w:tcPr>
          <w:p>
            <w:pPr>
              <w:autoSpaceDN w:val="0"/>
              <w:autoSpaceDE w:val="0"/>
              <w:widowControl/>
              <w:spacing w:line="230" w:lineRule="auto" w:before="368" w:after="0"/>
              <w:ind w:left="270" w:right="0" w:firstLine="0"/>
              <w:jc w:val="left"/>
            </w:pPr>
            <w:r>
              <w:rPr>
                <w:rFonts w:ascii="Times New Roman" w:hAnsi="Times New Roman" w:eastAsia="Times New Roman"/>
                <w:b w:val="0"/>
                <w:i w:val="0"/>
                <w:color w:val="000000"/>
                <w:sz w:val="16"/>
              </w:rPr>
              <w:t xml:space="preserve">36,008,042,780 </w:t>
            </w:r>
          </w:p>
        </w:tc>
      </w:tr>
      <w:tr>
        <w:trPr>
          <w:trHeight w:hRule="exact" w:val="486"/>
        </w:trPr>
        <w:tc>
          <w:tcPr>
            <w:tcW w:type="dxa" w:w="1016"/>
            <w:tcBorders>
              <w:start w:sz="8.0" w:val="single" w:color="#000000"/>
              <w:top w:sz="7.199999999999818" w:val="single" w:color="#000000"/>
              <w:end w:sz="7.199999999999932" w:val="single" w:color="#000000"/>
              <w:bottom w:sz="8.0" w:val="single" w:color="#000000"/>
            </w:tcBorders>
            <w:shd w:fill="d2d2d2"/>
            <w:tcMar>
              <w:start w:w="0" w:type="dxa"/>
              <w:end w:w="0" w:type="dxa"/>
            </w:tcMar>
          </w:tcPr>
          <w:p>
            <w:pPr>
              <w:autoSpaceDN w:val="0"/>
              <w:autoSpaceDE w:val="0"/>
              <w:widowControl/>
              <w:spacing w:line="208" w:lineRule="exact" w:before="0" w:after="0"/>
              <w:ind w:left="98" w:right="0" w:firstLine="0"/>
              <w:jc w:val="left"/>
            </w:pPr>
            <w:r>
              <w:rPr>
                <w:rFonts w:ascii="宋体" w:hAnsi="宋体" w:eastAsia="宋体"/>
                <w:b w:val="0"/>
                <w:i w:val="0"/>
                <w:color w:val="000000"/>
                <w:sz w:val="16"/>
              </w:rPr>
              <w:t>2.衍生金融</w:t>
            </w:r>
            <w:r>
              <w:rPr>
                <w:rFonts w:ascii="宋体" w:hAnsi="宋体" w:eastAsia="宋体"/>
                <w:b w:val="0"/>
                <w:i w:val="0"/>
                <w:color w:val="000000"/>
                <w:sz w:val="16"/>
              </w:rPr>
              <w:t xml:space="preserve">资产 </w:t>
            </w:r>
          </w:p>
        </w:tc>
        <w:tc>
          <w:tcPr>
            <w:tcW w:type="dxa" w:w="1240"/>
            <w:tcBorders>
              <w:start w:sz="7.199999999999932"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171,766,410 </w:t>
            </w:r>
          </w:p>
        </w:tc>
        <w:tc>
          <w:tcPr>
            <w:tcW w:type="dxa" w:w="1114"/>
            <w:tcBorders>
              <w:start w:sz="8.0"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56,804,064 </w:t>
            </w:r>
          </w:p>
        </w:tc>
        <w:tc>
          <w:tcPr>
            <w:tcW w:type="dxa" w:w="1024"/>
            <w:tcBorders>
              <w:start w:sz="8.0" w:val="single" w:color="#000000"/>
              <w:top w:sz="7.199999999999818" w:val="single" w:color="#000000"/>
              <w:end w:sz="7.2000000000000455" w:val="single" w:color="#000000"/>
              <w:bottom w:sz="8.0" w:val="single" w:color="#000000"/>
            </w:tcBorders>
            <w:tcMar>
              <w:start w:w="0" w:type="dxa"/>
              <w:end w:w="0" w:type="dxa"/>
            </w:tcMar>
          </w:tcPr>
          <w:p>
            <w:pPr>
              <w:autoSpaceDN w:val="0"/>
              <w:autoSpaceDE w:val="0"/>
              <w:widowControl/>
              <w:spacing w:line="230" w:lineRule="auto" w:before="142" w:after="0"/>
              <w:ind w:left="0" w:right="54" w:firstLine="0"/>
              <w:jc w:val="right"/>
            </w:pPr>
            <w:r>
              <w:rPr>
                <w:rFonts w:ascii="Times New Roman" w:hAnsi="Times New Roman" w:eastAsia="Times New Roman"/>
                <w:b w:val="0"/>
                <w:i w:val="0"/>
                <w:color w:val="000000"/>
                <w:sz w:val="16"/>
              </w:rPr>
              <w:t xml:space="preserve">- </w:t>
            </w:r>
          </w:p>
        </w:tc>
        <w:tc>
          <w:tcPr>
            <w:tcW w:type="dxa" w:w="1000"/>
            <w:tcBorders>
              <w:start w:sz="7.2000000000000455"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0" w:lineRule="auto" w:before="142" w:after="0"/>
              <w:ind w:left="0" w:right="56" w:firstLine="0"/>
              <w:jc w:val="right"/>
            </w:pPr>
            <w:r>
              <w:rPr>
                <w:rFonts w:ascii="Times New Roman" w:hAnsi="Times New Roman" w:eastAsia="Times New Roman"/>
                <w:b w:val="0"/>
                <w:i w:val="0"/>
                <w:color w:val="000000"/>
                <w:sz w:val="16"/>
              </w:rPr>
              <w:t xml:space="preserve">- </w:t>
            </w:r>
          </w:p>
        </w:tc>
        <w:tc>
          <w:tcPr>
            <w:tcW w:type="dxa" w:w="1700"/>
            <w:tcBorders>
              <w:start w:sz="8.0"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0" w:lineRule="auto" w:before="142" w:after="0"/>
              <w:ind w:left="0" w:right="56" w:firstLine="0"/>
              <w:jc w:val="right"/>
            </w:pPr>
            <w:r>
              <w:rPr>
                <w:rFonts w:ascii="Times New Roman" w:hAnsi="Times New Roman" w:eastAsia="Times New Roman"/>
                <w:b w:val="0"/>
                <w:i w:val="0"/>
                <w:color w:val="000000"/>
                <w:sz w:val="16"/>
              </w:rPr>
              <w:t xml:space="preserve">1,182,976,834 </w:t>
            </w:r>
          </w:p>
        </w:tc>
        <w:tc>
          <w:tcPr>
            <w:tcW w:type="dxa" w:w="1676"/>
            <w:tcBorders>
              <w:start w:sz="8.0"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2" w:after="0"/>
              <w:ind w:left="0" w:right="54" w:firstLine="0"/>
              <w:jc w:val="right"/>
            </w:pPr>
            <w:r>
              <w:rPr>
                <w:rFonts w:ascii="Times New Roman" w:hAnsi="Times New Roman" w:eastAsia="Times New Roman"/>
                <w:b w:val="0"/>
                <w:i w:val="0"/>
                <w:color w:val="000000"/>
                <w:sz w:val="16"/>
              </w:rPr>
              <w:t xml:space="preserve">1,220,337,617 </w:t>
            </w:r>
          </w:p>
        </w:tc>
        <w:tc>
          <w:tcPr>
            <w:tcW w:type="dxa" w:w="662"/>
            <w:tcBorders>
              <w:start w:sz="7.199999999999818"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7.19999999999981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122,075,207 </w:t>
            </w:r>
          </w:p>
        </w:tc>
      </w:tr>
      <w:tr>
        <w:trPr>
          <w:trHeight w:hRule="exact" w:val="484"/>
        </w:trPr>
        <w:tc>
          <w:tcPr>
            <w:tcW w:type="dxa" w:w="1016"/>
            <w:tcBorders>
              <w:start w:sz="8.0" w:val="single" w:color="#000000"/>
              <w:top w:sz="8.0" w:val="single" w:color="#000000"/>
              <w:end w:sz="7.199999999999932" w:val="single" w:color="#000000"/>
              <w:bottom w:sz="7.200000000000728" w:val="single" w:color="#000000"/>
            </w:tcBorders>
            <w:shd w:fill="d2d2d2"/>
            <w:tcMar>
              <w:start w:w="0" w:type="dxa"/>
              <w:end w:w="0" w:type="dxa"/>
            </w:tcMar>
          </w:tcPr>
          <w:p>
            <w:pPr>
              <w:autoSpaceDN w:val="0"/>
              <w:autoSpaceDE w:val="0"/>
              <w:widowControl/>
              <w:spacing w:line="208" w:lineRule="exact" w:before="0" w:after="0"/>
              <w:ind w:left="98" w:right="0" w:firstLine="0"/>
              <w:jc w:val="left"/>
            </w:pPr>
            <w:r>
              <w:rPr>
                <w:rFonts w:ascii="宋体" w:hAnsi="宋体" w:eastAsia="宋体"/>
                <w:b w:val="0"/>
                <w:i w:val="0"/>
                <w:color w:val="000000"/>
                <w:sz w:val="16"/>
              </w:rPr>
              <w:t>3.其他债权</w:t>
            </w:r>
            <w:r>
              <w:rPr>
                <w:rFonts w:ascii="宋体" w:hAnsi="宋体" w:eastAsia="宋体"/>
                <w:b w:val="0"/>
                <w:i w:val="0"/>
                <w:color w:val="000000"/>
                <w:sz w:val="16"/>
              </w:rPr>
              <w:t xml:space="preserve">投资 </w:t>
            </w:r>
          </w:p>
        </w:tc>
        <w:tc>
          <w:tcPr>
            <w:tcW w:type="dxa" w:w="1240"/>
            <w:tcBorders>
              <w:start w:sz="7.199999999999932"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0" w:after="0"/>
              <w:ind w:left="0" w:right="58" w:firstLine="0"/>
              <w:jc w:val="right"/>
            </w:pPr>
            <w:r>
              <w:rPr>
                <w:rFonts w:ascii="Times New Roman" w:hAnsi="Times New Roman" w:eastAsia="Times New Roman"/>
                <w:b w:val="0"/>
                <w:i w:val="0"/>
                <w:color w:val="000000"/>
                <w:sz w:val="16"/>
              </w:rPr>
              <w:t xml:space="preserve">89,867,451 </w:t>
            </w:r>
          </w:p>
        </w:tc>
        <w:tc>
          <w:tcPr>
            <w:tcW w:type="dxa" w:w="1114"/>
            <w:tcBorders>
              <w:start w:sz="8.0" w:val="single" w:color="#000000"/>
              <w:top w:sz="8.0" w:val="single" w:color="#000000"/>
              <w:end w:sz="8.0" w:val="single" w:color="#000000"/>
              <w:bottom w:sz="7.200000000000728" w:val="single" w:color="#000000"/>
            </w:tcBorders>
            <w:tcMar>
              <w:start w:w="0" w:type="dxa"/>
              <w:end w:w="0" w:type="dxa"/>
            </w:tcMar>
          </w:tcPr>
          <w:p/>
        </w:tc>
        <w:tc>
          <w:tcPr>
            <w:tcW w:type="dxa" w:w="1024"/>
            <w:tcBorders>
              <w:start w:sz="8.0" w:val="single" w:color="#000000"/>
              <w:top w:sz="8.0" w:val="single" w:color="#000000"/>
              <w:end w:sz="7.2000000000000455" w:val="single" w:color="#000000"/>
              <w:bottom w:sz="7.200000000000728" w:val="single" w:color="#000000"/>
            </w:tcBorders>
            <w:tcMar>
              <w:start w:w="0" w:type="dxa"/>
              <w:end w:w="0" w:type="dxa"/>
            </w:tcMar>
          </w:tcPr>
          <w:p>
            <w:pPr>
              <w:autoSpaceDN w:val="0"/>
              <w:autoSpaceDE w:val="0"/>
              <w:widowControl/>
              <w:spacing w:line="230" w:lineRule="auto" w:before="140" w:after="0"/>
              <w:ind w:left="0" w:right="54" w:firstLine="0"/>
              <w:jc w:val="right"/>
            </w:pPr>
            <w:r>
              <w:rPr>
                <w:rFonts w:ascii="Times New Roman" w:hAnsi="Times New Roman" w:eastAsia="Times New Roman"/>
                <w:b w:val="0"/>
                <w:i w:val="0"/>
                <w:color w:val="000000"/>
                <w:sz w:val="16"/>
              </w:rPr>
              <w:t xml:space="preserve">1,047,835 </w:t>
            </w:r>
          </w:p>
        </w:tc>
        <w:tc>
          <w:tcPr>
            <w:tcW w:type="dxa" w:w="1000"/>
            <w:tcBorders>
              <w:start w:sz="7.2000000000000455"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0" w:after="0"/>
              <w:ind w:left="242" w:right="0" w:firstLine="0"/>
              <w:jc w:val="left"/>
            </w:pPr>
            <w:r>
              <w:rPr>
                <w:rFonts w:ascii="Times New Roman" w:hAnsi="Times New Roman" w:eastAsia="Times New Roman"/>
                <w:b w:val="0"/>
                <w:i w:val="0"/>
                <w:color w:val="000000"/>
                <w:sz w:val="16"/>
              </w:rPr>
              <w:t xml:space="preserve">5,139,242 </w:t>
            </w:r>
          </w:p>
        </w:tc>
        <w:tc>
          <w:tcPr>
            <w:tcW w:type="dxa" w:w="1700"/>
            <w:tcBorders>
              <w:start w:sz="8.0"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199" w:lineRule="auto" w:before="164" w:after="0"/>
              <w:ind w:left="0" w:right="94" w:firstLine="0"/>
              <w:jc w:val="right"/>
            </w:pPr>
            <w:r>
              <w:rPr>
                <w:rFonts w:ascii="Calibri" w:hAnsi="Calibri" w:eastAsia="Calibri"/>
                <w:b w:val="0"/>
                <w:i w:val="0"/>
                <w:color w:val="000000"/>
                <w:sz w:val="16"/>
              </w:rPr>
              <w:t>-</w:t>
            </w:r>
          </w:p>
        </w:tc>
        <w:tc>
          <w:tcPr>
            <w:tcW w:type="dxa" w:w="1676"/>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0" w:after="0"/>
              <w:ind w:left="0" w:right="54" w:firstLine="0"/>
              <w:jc w:val="right"/>
            </w:pPr>
            <w:r>
              <w:rPr>
                <w:rFonts w:ascii="Times New Roman" w:hAnsi="Times New Roman" w:eastAsia="Times New Roman"/>
                <w:b w:val="0"/>
                <w:i w:val="0"/>
                <w:color w:val="000000"/>
                <w:sz w:val="16"/>
              </w:rPr>
              <w:t xml:space="preserve">31,000,262 </w:t>
            </w:r>
          </w:p>
        </w:tc>
        <w:tc>
          <w:tcPr>
            <w:tcW w:type="dxa" w:w="662"/>
            <w:tcBorders>
              <w:start w:sz="7.199999999999818"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0"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0" w:after="0"/>
              <w:ind w:left="0" w:right="58" w:firstLine="0"/>
              <w:jc w:val="right"/>
            </w:pPr>
            <w:r>
              <w:rPr>
                <w:rFonts w:ascii="Times New Roman" w:hAnsi="Times New Roman" w:eastAsia="Times New Roman"/>
                <w:b w:val="0"/>
                <w:i w:val="0"/>
                <w:color w:val="000000"/>
                <w:sz w:val="16"/>
              </w:rPr>
              <w:t xml:space="preserve">57,443,663 </w:t>
            </w:r>
          </w:p>
        </w:tc>
      </w:tr>
      <w:tr>
        <w:trPr>
          <w:trHeight w:hRule="exact" w:val="486"/>
        </w:trPr>
        <w:tc>
          <w:tcPr>
            <w:tcW w:type="dxa" w:w="1016"/>
            <w:tcBorders>
              <w:start w:sz="8.0" w:val="single" w:color="#000000"/>
              <w:top w:sz="7.200000000000728" w:val="single" w:color="#000000"/>
              <w:end w:sz="7.199999999999932" w:val="single" w:color="#000000"/>
              <w:bottom w:sz="8.0" w:val="single" w:color="#000000"/>
            </w:tcBorders>
            <w:shd w:fill="d2d2d2"/>
            <w:tcMar>
              <w:start w:w="0" w:type="dxa"/>
              <w:end w:w="0" w:type="dxa"/>
            </w:tcMar>
          </w:tcPr>
          <w:p>
            <w:pPr>
              <w:autoSpaceDN w:val="0"/>
              <w:autoSpaceDE w:val="0"/>
              <w:widowControl/>
              <w:spacing w:line="208" w:lineRule="exact" w:before="0" w:after="0"/>
              <w:ind w:left="0" w:right="0" w:firstLine="0"/>
              <w:jc w:val="center"/>
            </w:pPr>
            <w:r>
              <w:rPr>
                <w:rFonts w:ascii="宋体" w:hAnsi="宋体" w:eastAsia="宋体"/>
                <w:b w:val="0"/>
                <w:i w:val="0"/>
                <w:color w:val="000000"/>
                <w:sz w:val="16"/>
              </w:rPr>
              <w:t>4.其他权益</w:t>
            </w:r>
            <w:r>
              <w:rPr>
                <w:rFonts w:ascii="宋体" w:hAnsi="宋体" w:eastAsia="宋体"/>
                <w:b w:val="0"/>
                <w:i w:val="0"/>
                <w:color w:val="000000"/>
                <w:sz w:val="16"/>
              </w:rPr>
              <w:t xml:space="preserve">工具投资 </w:t>
            </w:r>
          </w:p>
        </w:tc>
        <w:tc>
          <w:tcPr>
            <w:tcW w:type="dxa" w:w="1240"/>
            <w:tcBorders>
              <w:start w:sz="7.199999999999932"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0" w:right="58" w:firstLine="0"/>
              <w:jc w:val="right"/>
            </w:pPr>
            <w:r>
              <w:rPr>
                <w:rFonts w:ascii="Times New Roman" w:hAnsi="Times New Roman" w:eastAsia="Times New Roman"/>
                <w:b w:val="0"/>
                <w:i w:val="0"/>
                <w:color w:val="000000"/>
                <w:sz w:val="16"/>
              </w:rPr>
              <w:t xml:space="preserve">235,315,501 </w:t>
            </w:r>
          </w:p>
        </w:tc>
        <w:tc>
          <w:tcPr>
            <w:tcW w:type="dxa" w:w="1114"/>
            <w:tcBorders>
              <w:start w:sz="8.0" w:val="single" w:color="#000000"/>
              <w:top w:sz="7.200000000000728" w:val="single" w:color="#000000"/>
              <w:end w:sz="8.0" w:val="single" w:color="#000000"/>
              <w:bottom w:sz="8.0" w:val="single" w:color="#000000"/>
            </w:tcBorders>
            <w:tcMar>
              <w:start w:w="0" w:type="dxa"/>
              <w:end w:w="0" w:type="dxa"/>
            </w:tcMar>
          </w:tcPr>
          <w:p/>
        </w:tc>
        <w:tc>
          <w:tcPr>
            <w:tcW w:type="dxa" w:w="1024"/>
            <w:tcBorders>
              <w:start w:sz="8.0" w:val="single" w:color="#000000"/>
              <w:top w:sz="7.200000000000728" w:val="single" w:color="#000000"/>
              <w:end w:sz="7.2000000000000455" w:val="single" w:color="#000000"/>
              <w:bottom w:sz="8.0" w:val="single" w:color="#000000"/>
            </w:tcBorders>
            <w:tcMar>
              <w:start w:w="0" w:type="dxa"/>
              <w:end w:w="0" w:type="dxa"/>
            </w:tcMar>
          </w:tcPr>
          <w:p>
            <w:pPr>
              <w:autoSpaceDN w:val="0"/>
              <w:autoSpaceDE w:val="0"/>
              <w:widowControl/>
              <w:spacing w:line="230" w:lineRule="auto" w:before="144" w:after="0"/>
              <w:ind w:left="190" w:right="0" w:firstLine="0"/>
              <w:jc w:val="left"/>
            </w:pPr>
            <w:r>
              <w:rPr>
                <w:rFonts w:ascii="Times New Roman" w:hAnsi="Times New Roman" w:eastAsia="Times New Roman"/>
                <w:b w:val="0"/>
                <w:i w:val="0"/>
                <w:color w:val="000000"/>
                <w:sz w:val="16"/>
              </w:rPr>
              <w:t xml:space="preserve">14,941,252 </w:t>
            </w:r>
          </w:p>
        </w:tc>
        <w:tc>
          <w:tcPr>
            <w:tcW w:type="dxa" w:w="1000"/>
            <w:tcBorders>
              <w:start w:sz="7.2000000000000455" w:val="single" w:color="#000000"/>
              <w:top w:sz="7.200000000000728" w:val="single" w:color="#000000"/>
              <w:end w:sz="8.0" w:val="single" w:color="#000000"/>
              <w:bottom w:sz="8.0" w:val="single" w:color="#000000"/>
            </w:tcBorders>
            <w:tcMar>
              <w:start w:w="0" w:type="dxa"/>
              <w:end w:w="0" w:type="dxa"/>
            </w:tcMar>
          </w:tcPr>
          <w:p/>
        </w:tc>
        <w:tc>
          <w:tcPr>
            <w:tcW w:type="dxa" w:w="1700"/>
            <w:tcBorders>
              <w:start w:sz="8.0"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197" w:lineRule="auto" w:before="166" w:after="0"/>
              <w:ind w:left="0" w:right="94" w:firstLine="0"/>
              <w:jc w:val="right"/>
            </w:pPr>
            <w:r>
              <w:rPr>
                <w:rFonts w:ascii="Calibri" w:hAnsi="Calibri" w:eastAsia="Calibri"/>
                <w:b w:val="0"/>
                <w:i w:val="0"/>
                <w:color w:val="000000"/>
                <w:sz w:val="16"/>
              </w:rPr>
              <w:t>-</w:t>
            </w:r>
          </w:p>
        </w:tc>
        <w:tc>
          <w:tcPr>
            <w:tcW w:type="dxa" w:w="1676"/>
            <w:tcBorders>
              <w:start w:sz="8.0" w:val="single" w:color="#000000"/>
              <w:top w:sz="7.20000000000072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4" w:after="0"/>
              <w:ind w:left="0" w:right="54" w:firstLine="0"/>
              <w:jc w:val="right"/>
            </w:pPr>
            <w:r>
              <w:rPr>
                <w:rFonts w:ascii="Times New Roman" w:hAnsi="Times New Roman" w:eastAsia="Times New Roman"/>
                <w:b w:val="0"/>
                <w:i w:val="0"/>
                <w:color w:val="000000"/>
                <w:sz w:val="16"/>
              </w:rPr>
              <w:t xml:space="preserve">1,207,188 </w:t>
            </w:r>
          </w:p>
        </w:tc>
        <w:tc>
          <w:tcPr>
            <w:tcW w:type="dxa" w:w="662"/>
            <w:tcBorders>
              <w:start w:sz="7.199999999999818"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7.20000000000072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4" w:after="0"/>
              <w:ind w:left="0" w:right="58" w:firstLine="0"/>
              <w:jc w:val="right"/>
            </w:pPr>
            <w:r>
              <w:rPr>
                <w:rFonts w:ascii="Times New Roman" w:hAnsi="Times New Roman" w:eastAsia="Times New Roman"/>
                <w:b w:val="0"/>
                <w:i w:val="0"/>
                <w:color w:val="000000"/>
                <w:sz w:val="16"/>
              </w:rPr>
              <w:t xml:space="preserve">214,099,641 </w:t>
            </w:r>
          </w:p>
        </w:tc>
      </w:tr>
      <w:tr>
        <w:trPr>
          <w:trHeight w:hRule="exact" w:val="486"/>
        </w:trPr>
        <w:tc>
          <w:tcPr>
            <w:tcW w:type="dxa" w:w="1016"/>
            <w:tcBorders>
              <w:start w:sz="8.0" w:val="single" w:color="#000000"/>
              <w:top w:sz="8.0" w:val="single" w:color="#000000"/>
              <w:end w:sz="7.199999999999932" w:val="single" w:color="#000000"/>
              <w:bottom w:sz="7.200000000000728" w:val="single" w:color="#000000"/>
            </w:tcBorders>
            <w:shd w:fill="d2d2d2"/>
            <w:tcMar>
              <w:start w:w="0" w:type="dxa"/>
              <w:end w:w="0" w:type="dxa"/>
            </w:tcMar>
          </w:tcPr>
          <w:p>
            <w:pPr>
              <w:autoSpaceDN w:val="0"/>
              <w:autoSpaceDE w:val="0"/>
              <w:widowControl/>
              <w:spacing w:line="208" w:lineRule="exact" w:before="0" w:after="0"/>
              <w:ind w:left="98" w:right="0" w:firstLine="0"/>
              <w:jc w:val="left"/>
            </w:pPr>
            <w:r>
              <w:rPr>
                <w:rFonts w:ascii="宋体" w:hAnsi="宋体" w:eastAsia="宋体"/>
                <w:b w:val="0"/>
                <w:i w:val="0"/>
                <w:color w:val="000000"/>
                <w:sz w:val="16"/>
              </w:rPr>
              <w:t>金融资产小</w:t>
            </w:r>
            <w:r>
              <w:rPr>
                <w:rFonts w:ascii="宋体" w:hAnsi="宋体" w:eastAsia="宋体"/>
                <w:b w:val="0"/>
                <w:i w:val="0"/>
                <w:color w:val="000000"/>
                <w:sz w:val="16"/>
              </w:rPr>
              <w:t xml:space="preserve">计 </w:t>
            </w:r>
          </w:p>
        </w:tc>
        <w:tc>
          <w:tcPr>
            <w:tcW w:type="dxa" w:w="1240"/>
            <w:tcBorders>
              <w:start w:sz="7.199999999999932"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0" w:firstLine="0"/>
              <w:jc w:val="center"/>
            </w:pPr>
            <w:r>
              <w:rPr>
                <w:rFonts w:ascii="Times New Roman" w:hAnsi="Times New Roman" w:eastAsia="Times New Roman"/>
                <w:b w:val="0"/>
                <w:i w:val="0"/>
                <w:color w:val="000000"/>
                <w:sz w:val="16"/>
              </w:rPr>
              <w:t xml:space="preserve">37,419,063,663 </w:t>
            </w:r>
          </w:p>
        </w:tc>
        <w:tc>
          <w:tcPr>
            <w:tcW w:type="dxa" w:w="1114"/>
            <w:tcBorders>
              <w:start w:sz="8.0"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196" w:right="0" w:firstLine="0"/>
              <w:jc w:val="left"/>
            </w:pPr>
            <w:r>
              <w:rPr>
                <w:rFonts w:ascii="Times New Roman" w:hAnsi="Times New Roman" w:eastAsia="Times New Roman"/>
                <w:b w:val="0"/>
                <w:i w:val="0"/>
                <w:color w:val="000000"/>
                <w:sz w:val="16"/>
              </w:rPr>
              <w:t xml:space="preserve">137,506,162 </w:t>
            </w:r>
          </w:p>
        </w:tc>
        <w:tc>
          <w:tcPr>
            <w:tcW w:type="dxa" w:w="1024"/>
            <w:tcBorders>
              <w:start w:sz="8.0" w:val="single" w:color="#000000"/>
              <w:top w:sz="8.0" w:val="single" w:color="#000000"/>
              <w:end w:sz="7.2000000000000455" w:val="single" w:color="#000000"/>
              <w:bottom w:sz="7.200000000000728" w:val="single" w:color="#000000"/>
            </w:tcBorders>
            <w:tcMar>
              <w:start w:w="0" w:type="dxa"/>
              <w:end w:w="0" w:type="dxa"/>
            </w:tcMar>
          </w:tcPr>
          <w:p>
            <w:pPr>
              <w:autoSpaceDN w:val="0"/>
              <w:autoSpaceDE w:val="0"/>
              <w:widowControl/>
              <w:spacing w:line="230" w:lineRule="auto" w:before="142" w:after="0"/>
              <w:ind w:left="190" w:right="0" w:firstLine="0"/>
              <w:jc w:val="left"/>
            </w:pPr>
            <w:r>
              <w:rPr>
                <w:rFonts w:ascii="Times New Roman" w:hAnsi="Times New Roman" w:eastAsia="Times New Roman"/>
                <w:b w:val="0"/>
                <w:i w:val="0"/>
                <w:color w:val="000000"/>
                <w:sz w:val="16"/>
              </w:rPr>
              <w:t xml:space="preserve">15,989,087 </w:t>
            </w:r>
          </w:p>
        </w:tc>
        <w:tc>
          <w:tcPr>
            <w:tcW w:type="dxa" w:w="1000"/>
            <w:tcBorders>
              <w:start w:sz="7.2000000000000455"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242" w:right="0" w:firstLine="0"/>
              <w:jc w:val="left"/>
            </w:pPr>
            <w:r>
              <w:rPr>
                <w:rFonts w:ascii="Times New Roman" w:hAnsi="Times New Roman" w:eastAsia="Times New Roman"/>
                <w:b w:val="0"/>
                <w:i w:val="0"/>
                <w:color w:val="000000"/>
                <w:sz w:val="16"/>
              </w:rPr>
              <w:t xml:space="preserve">5,139,242 </w:t>
            </w:r>
          </w:p>
        </w:tc>
        <w:tc>
          <w:tcPr>
            <w:tcW w:type="dxa" w:w="1700"/>
            <w:tcBorders>
              <w:start w:sz="8.0"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304" w:right="0" w:firstLine="0"/>
              <w:jc w:val="left"/>
            </w:pPr>
            <w:r>
              <w:rPr>
                <w:rFonts w:ascii="Times New Roman" w:hAnsi="Times New Roman" w:eastAsia="Times New Roman"/>
                <w:b w:val="0"/>
                <w:i w:val="0"/>
                <w:color w:val="000000"/>
                <w:sz w:val="16"/>
              </w:rPr>
              <w:t xml:space="preserve">13,367,319,650,916 </w:t>
            </w:r>
          </w:p>
        </w:tc>
        <w:tc>
          <w:tcPr>
            <w:tcW w:type="dxa" w:w="1676"/>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2" w:after="0"/>
              <w:ind w:left="282" w:right="0" w:firstLine="0"/>
              <w:jc w:val="left"/>
            </w:pPr>
            <w:r>
              <w:rPr>
                <w:rFonts w:ascii="Times New Roman" w:hAnsi="Times New Roman" w:eastAsia="Times New Roman"/>
                <w:b w:val="0"/>
                <w:i w:val="0"/>
                <w:color w:val="000000"/>
                <w:sz w:val="16"/>
              </w:rPr>
              <w:t xml:space="preserve">13,367,052,086,917 </w:t>
            </w:r>
          </w:p>
        </w:tc>
        <w:tc>
          <w:tcPr>
            <w:tcW w:type="dxa" w:w="662"/>
            <w:tcBorders>
              <w:start w:sz="7.199999999999818"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199" w:lineRule="auto" w:before="164" w:after="0"/>
              <w:ind w:left="0" w:right="98" w:firstLine="0"/>
              <w:jc w:val="right"/>
            </w:pPr>
            <w:r>
              <w:rPr>
                <w:rFonts w:ascii="Calibri" w:hAnsi="Calibri" w:eastAsia="Calibri"/>
                <w:b w:val="0"/>
                <w:i w:val="0"/>
                <w:color w:val="000000"/>
                <w:sz w:val="16"/>
              </w:rPr>
              <w:t>-</w:t>
            </w:r>
          </w:p>
        </w:tc>
        <w:tc>
          <w:tcPr>
            <w:tcW w:type="dxa" w:w="1390"/>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2" w:after="0"/>
              <w:ind w:left="270" w:right="0" w:firstLine="0"/>
              <w:jc w:val="left"/>
            </w:pPr>
            <w:r>
              <w:rPr>
                <w:rFonts w:ascii="Times New Roman" w:hAnsi="Times New Roman" w:eastAsia="Times New Roman"/>
                <w:b w:val="0"/>
                <w:i w:val="0"/>
                <w:color w:val="000000"/>
                <w:sz w:val="16"/>
              </w:rPr>
              <w:t>36,401,661,291</w:t>
            </w:r>
          </w:p>
        </w:tc>
      </w:tr>
      <w:tr>
        <w:trPr>
          <w:trHeight w:hRule="exact" w:val="484"/>
        </w:trPr>
        <w:tc>
          <w:tcPr>
            <w:tcW w:type="dxa" w:w="1016"/>
            <w:tcBorders>
              <w:start w:sz="8.0" w:val="single" w:color="#000000"/>
              <w:top w:sz="7.200000000000728" w:val="single" w:color="#000000"/>
              <w:end w:sz="7.199999999999932" w:val="single" w:color="#000000"/>
              <w:bottom w:sz="8.0" w:val="single" w:color="#000000"/>
            </w:tcBorders>
            <w:shd w:fill="d2d2d2"/>
            <w:tcMar>
              <w:start w:w="0" w:type="dxa"/>
              <w:end w:w="0" w:type="dxa"/>
            </w:tcMar>
          </w:tcPr>
          <w:p>
            <w:pPr>
              <w:autoSpaceDN w:val="0"/>
              <w:autoSpaceDE w:val="0"/>
              <w:widowControl/>
              <w:spacing w:line="208" w:lineRule="exact" w:before="2" w:after="0"/>
              <w:ind w:left="98" w:right="0" w:firstLine="0"/>
              <w:jc w:val="left"/>
            </w:pPr>
            <w:r>
              <w:rPr>
                <w:rFonts w:ascii="宋体" w:hAnsi="宋体" w:eastAsia="宋体"/>
                <w:b w:val="0"/>
                <w:i w:val="0"/>
                <w:color w:val="000000"/>
                <w:sz w:val="16"/>
              </w:rPr>
              <w:t>交易性金融</w:t>
            </w:r>
            <w:r>
              <w:rPr>
                <w:rFonts w:ascii="宋体" w:hAnsi="宋体" w:eastAsia="宋体"/>
                <w:b w:val="0"/>
                <w:i w:val="0"/>
                <w:color w:val="000000"/>
                <w:sz w:val="16"/>
              </w:rPr>
              <w:t xml:space="preserve">负债 </w:t>
            </w:r>
          </w:p>
        </w:tc>
        <w:tc>
          <w:tcPr>
            <w:tcW w:type="dxa" w:w="1240"/>
            <w:tcBorders>
              <w:start w:sz="7.199999999999932"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202" w:right="0" w:firstLine="0"/>
              <w:jc w:val="left"/>
            </w:pPr>
            <w:r>
              <w:rPr>
                <w:rFonts w:ascii="Times New Roman" w:hAnsi="Times New Roman" w:eastAsia="Times New Roman"/>
                <w:b w:val="0"/>
                <w:i w:val="0"/>
                <w:color w:val="000000"/>
                <w:sz w:val="16"/>
              </w:rPr>
              <w:t xml:space="preserve">1,512,007,369 </w:t>
            </w:r>
          </w:p>
        </w:tc>
        <w:tc>
          <w:tcPr>
            <w:tcW w:type="dxa" w:w="1114"/>
            <w:tcBorders>
              <w:start w:sz="8.0"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222" w:right="0" w:firstLine="0"/>
              <w:jc w:val="left"/>
            </w:pPr>
            <w:r>
              <w:rPr>
                <w:rFonts w:ascii="Times New Roman" w:hAnsi="Times New Roman" w:eastAsia="Times New Roman"/>
                <w:b w:val="0"/>
                <w:i w:val="0"/>
                <w:color w:val="000000"/>
                <w:sz w:val="16"/>
              </w:rPr>
              <w:t xml:space="preserve">-29,328,725 </w:t>
            </w:r>
          </w:p>
        </w:tc>
        <w:tc>
          <w:tcPr>
            <w:tcW w:type="dxa" w:w="1024"/>
            <w:tcBorders>
              <w:start w:sz="8.0" w:val="single" w:color="#000000"/>
              <w:top w:sz="7.200000000000728" w:val="single" w:color="#000000"/>
              <w:end w:sz="7.2000000000000455" w:val="single" w:color="#000000"/>
              <w:bottom w:sz="8.0" w:val="single" w:color="#000000"/>
            </w:tcBorders>
            <w:tcMar>
              <w:start w:w="0" w:type="dxa"/>
              <w:end w:w="0" w:type="dxa"/>
            </w:tcMar>
          </w:tcPr>
          <w:p>
            <w:pPr>
              <w:autoSpaceDN w:val="0"/>
              <w:autoSpaceDE w:val="0"/>
              <w:widowControl/>
              <w:spacing w:line="230" w:lineRule="auto" w:before="144" w:after="0"/>
              <w:ind w:left="0" w:right="54" w:firstLine="0"/>
              <w:jc w:val="right"/>
            </w:pPr>
            <w:r>
              <w:rPr>
                <w:rFonts w:ascii="Times New Roman" w:hAnsi="Times New Roman" w:eastAsia="Times New Roman"/>
                <w:b w:val="0"/>
                <w:i w:val="0"/>
                <w:color w:val="000000"/>
                <w:sz w:val="16"/>
              </w:rPr>
              <w:t xml:space="preserve">- </w:t>
            </w:r>
          </w:p>
        </w:tc>
        <w:tc>
          <w:tcPr>
            <w:tcW w:type="dxa" w:w="1000"/>
            <w:tcBorders>
              <w:start w:sz="7.2000000000000455"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0" w:right="56" w:firstLine="0"/>
              <w:jc w:val="right"/>
            </w:pPr>
            <w:r>
              <w:rPr>
                <w:rFonts w:ascii="Times New Roman" w:hAnsi="Times New Roman" w:eastAsia="Times New Roman"/>
                <w:b w:val="0"/>
                <w:i w:val="0"/>
                <w:color w:val="000000"/>
                <w:sz w:val="16"/>
              </w:rPr>
              <w:t xml:space="preserve">- </w:t>
            </w:r>
          </w:p>
        </w:tc>
        <w:tc>
          <w:tcPr>
            <w:tcW w:type="dxa" w:w="1700"/>
            <w:tcBorders>
              <w:start w:sz="8.0"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384" w:right="0" w:firstLine="0"/>
              <w:jc w:val="left"/>
            </w:pPr>
            <w:r>
              <w:rPr>
                <w:rFonts w:ascii="Times New Roman" w:hAnsi="Times New Roman" w:eastAsia="Times New Roman"/>
                <w:b w:val="0"/>
                <w:i w:val="0"/>
                <w:color w:val="000000"/>
                <w:sz w:val="16"/>
              </w:rPr>
              <w:t xml:space="preserve">1,328,872,841,165 </w:t>
            </w:r>
          </w:p>
        </w:tc>
        <w:tc>
          <w:tcPr>
            <w:tcW w:type="dxa" w:w="1676"/>
            <w:tcBorders>
              <w:start w:sz="8.0" w:val="single" w:color="#000000"/>
              <w:top w:sz="7.20000000000072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4" w:after="0"/>
              <w:ind w:left="362" w:right="0" w:firstLine="0"/>
              <w:jc w:val="left"/>
            </w:pPr>
            <w:r>
              <w:rPr>
                <w:rFonts w:ascii="Times New Roman" w:hAnsi="Times New Roman" w:eastAsia="Times New Roman"/>
                <w:b w:val="0"/>
                <w:i w:val="0"/>
                <w:color w:val="000000"/>
                <w:sz w:val="16"/>
              </w:rPr>
              <w:t xml:space="preserve">1,327,057,143,408 </w:t>
            </w:r>
          </w:p>
        </w:tc>
        <w:tc>
          <w:tcPr>
            <w:tcW w:type="dxa" w:w="662"/>
            <w:tcBorders>
              <w:start w:sz="7.199999999999818" w:val="single" w:color="#000000"/>
              <w:top w:sz="7.200000000000728" w:val="single" w:color="#000000"/>
              <w:end w:sz="8.0" w:val="single" w:color="#000000"/>
              <w:bottom w:sz="8.0" w:val="single" w:color="#000000"/>
            </w:tcBorders>
            <w:tcMar>
              <w:start w:w="0" w:type="dxa"/>
              <w:end w:w="0" w:type="dxa"/>
            </w:tcMar>
          </w:tcPr>
          <w:p>
            <w:pPr>
              <w:autoSpaceDN w:val="0"/>
              <w:autoSpaceDE w:val="0"/>
              <w:widowControl/>
              <w:spacing w:line="230" w:lineRule="auto" w:before="144"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7.200000000000728" w:val="single" w:color="#000000"/>
              <w:end w:sz="7.199999999999818" w:val="single" w:color="#000000"/>
              <w:bottom w:sz="8.0" w:val="single" w:color="#000000"/>
            </w:tcBorders>
            <w:tcMar>
              <w:start w:w="0" w:type="dxa"/>
              <w:end w:w="0" w:type="dxa"/>
            </w:tcMar>
          </w:tcPr>
          <w:p>
            <w:pPr>
              <w:autoSpaceDN w:val="0"/>
              <w:autoSpaceDE w:val="0"/>
              <w:widowControl/>
              <w:spacing w:line="230" w:lineRule="auto" w:before="144" w:after="0"/>
              <w:ind w:left="0" w:right="58" w:firstLine="0"/>
              <w:jc w:val="right"/>
            </w:pPr>
            <w:r>
              <w:rPr>
                <w:rFonts w:ascii="Times New Roman" w:hAnsi="Times New Roman" w:eastAsia="Times New Roman"/>
                <w:b w:val="0"/>
                <w:i w:val="0"/>
                <w:color w:val="000000"/>
                <w:sz w:val="16"/>
              </w:rPr>
              <w:t xml:space="preserve">3,369,245,850 </w:t>
            </w:r>
          </w:p>
        </w:tc>
      </w:tr>
      <w:tr>
        <w:trPr>
          <w:trHeight w:hRule="exact" w:val="484"/>
        </w:trPr>
        <w:tc>
          <w:tcPr>
            <w:tcW w:type="dxa" w:w="1016"/>
            <w:tcBorders>
              <w:start w:sz="8.0" w:val="single" w:color="#000000"/>
              <w:top w:sz="8.0" w:val="single" w:color="#000000"/>
              <w:end w:sz="7.199999999999932" w:val="single" w:color="#000000"/>
              <w:bottom w:sz="7.200000000000728" w:val="single" w:color="#000000"/>
            </w:tcBorders>
            <w:shd w:fill="d2d2d2"/>
            <w:tcMar>
              <w:start w:w="0" w:type="dxa"/>
              <w:end w:w="0" w:type="dxa"/>
            </w:tcMar>
          </w:tcPr>
          <w:p>
            <w:pPr>
              <w:autoSpaceDN w:val="0"/>
              <w:autoSpaceDE w:val="0"/>
              <w:widowControl/>
              <w:spacing w:line="206" w:lineRule="exact" w:before="4" w:after="0"/>
              <w:ind w:left="98" w:right="0" w:firstLine="0"/>
              <w:jc w:val="left"/>
            </w:pPr>
            <w:r>
              <w:rPr>
                <w:rFonts w:ascii="宋体" w:hAnsi="宋体" w:eastAsia="宋体"/>
                <w:b w:val="0"/>
                <w:i w:val="0"/>
                <w:color w:val="000000"/>
                <w:sz w:val="16"/>
              </w:rPr>
              <w:t>衍生金融负</w:t>
            </w:r>
            <w:r>
              <w:rPr>
                <w:rFonts w:ascii="宋体" w:hAnsi="宋体" w:eastAsia="宋体"/>
                <w:b w:val="0"/>
                <w:i w:val="0"/>
                <w:color w:val="000000"/>
                <w:sz w:val="16"/>
              </w:rPr>
              <w:t xml:space="preserve">债 </w:t>
            </w:r>
          </w:p>
        </w:tc>
        <w:tc>
          <w:tcPr>
            <w:tcW w:type="dxa" w:w="1240"/>
            <w:tcBorders>
              <w:start w:sz="7.199999999999932"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131,465,972 </w:t>
            </w:r>
          </w:p>
        </w:tc>
        <w:tc>
          <w:tcPr>
            <w:tcW w:type="dxa" w:w="1114"/>
            <w:tcBorders>
              <w:start w:sz="8.0"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 </w:t>
            </w:r>
          </w:p>
        </w:tc>
        <w:tc>
          <w:tcPr>
            <w:tcW w:type="dxa" w:w="1024"/>
            <w:tcBorders>
              <w:start w:sz="8.0" w:val="single" w:color="#000000"/>
              <w:top w:sz="8.0" w:val="single" w:color="#000000"/>
              <w:end w:sz="7.2000000000000455" w:val="single" w:color="#000000"/>
              <w:bottom w:sz="7.200000000000728" w:val="single" w:color="#000000"/>
            </w:tcBorders>
            <w:tcMar>
              <w:start w:w="0" w:type="dxa"/>
              <w:end w:w="0" w:type="dxa"/>
            </w:tcMar>
          </w:tcPr>
          <w:p>
            <w:pPr>
              <w:autoSpaceDN w:val="0"/>
              <w:autoSpaceDE w:val="0"/>
              <w:widowControl/>
              <w:spacing w:line="230" w:lineRule="auto" w:before="142" w:after="0"/>
              <w:ind w:left="0" w:right="54" w:firstLine="0"/>
              <w:jc w:val="right"/>
            </w:pPr>
            <w:r>
              <w:rPr>
                <w:rFonts w:ascii="Times New Roman" w:hAnsi="Times New Roman" w:eastAsia="Times New Roman"/>
                <w:b w:val="0"/>
                <w:i w:val="0"/>
                <w:color w:val="000000"/>
                <w:sz w:val="16"/>
              </w:rPr>
              <w:t xml:space="preserve">- </w:t>
            </w:r>
          </w:p>
        </w:tc>
        <w:tc>
          <w:tcPr>
            <w:tcW w:type="dxa" w:w="1000"/>
            <w:tcBorders>
              <w:start w:sz="7.2000000000000455"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56" w:firstLine="0"/>
              <w:jc w:val="right"/>
            </w:pPr>
            <w:r>
              <w:rPr>
                <w:rFonts w:ascii="Times New Roman" w:hAnsi="Times New Roman" w:eastAsia="Times New Roman"/>
                <w:b w:val="0"/>
                <w:i w:val="0"/>
                <w:color w:val="000000"/>
                <w:sz w:val="16"/>
              </w:rPr>
              <w:t xml:space="preserve">- </w:t>
            </w:r>
          </w:p>
        </w:tc>
        <w:tc>
          <w:tcPr>
            <w:tcW w:type="dxa" w:w="1700"/>
            <w:tcBorders>
              <w:start w:sz="8.0"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56" w:firstLine="0"/>
              <w:jc w:val="right"/>
            </w:pPr>
            <w:r>
              <w:rPr>
                <w:rFonts w:ascii="Times New Roman" w:hAnsi="Times New Roman" w:eastAsia="Times New Roman"/>
                <w:b w:val="0"/>
                <w:i w:val="0"/>
                <w:color w:val="000000"/>
                <w:sz w:val="16"/>
              </w:rPr>
              <w:t xml:space="preserve">45,039,060 </w:t>
            </w:r>
          </w:p>
        </w:tc>
        <w:tc>
          <w:tcPr>
            <w:tcW w:type="dxa" w:w="1676"/>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2" w:after="0"/>
              <w:ind w:left="0" w:right="54" w:firstLine="0"/>
              <w:jc w:val="right"/>
            </w:pPr>
            <w:r>
              <w:rPr>
                <w:rFonts w:ascii="Times New Roman" w:hAnsi="Times New Roman" w:eastAsia="Times New Roman"/>
                <w:b w:val="0"/>
                <w:i w:val="0"/>
                <w:color w:val="000000"/>
                <w:sz w:val="16"/>
              </w:rPr>
              <w:t xml:space="preserve">- </w:t>
            </w:r>
          </w:p>
        </w:tc>
        <w:tc>
          <w:tcPr>
            <w:tcW w:type="dxa" w:w="662"/>
            <w:tcBorders>
              <w:start w:sz="7.199999999999818" w:val="single" w:color="#000000"/>
              <w:top w:sz="8.0" w:val="single" w:color="#000000"/>
              <w:end w:sz="8.0" w:val="single" w:color="#000000"/>
              <w:bottom w:sz="7.200000000000728"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 </w:t>
            </w:r>
          </w:p>
        </w:tc>
        <w:tc>
          <w:tcPr>
            <w:tcW w:type="dxa" w:w="1390"/>
            <w:tcBorders>
              <w:start w:sz="8.0" w:val="single" w:color="#000000"/>
              <w:top w:sz="8.0" w:val="single" w:color="#000000"/>
              <w:end w:sz="7.199999999999818" w:val="single" w:color="#000000"/>
              <w:bottom w:sz="7.200000000000728" w:val="single" w:color="#000000"/>
            </w:tcBorders>
            <w:tcMar>
              <w:start w:w="0" w:type="dxa"/>
              <w:end w:w="0" w:type="dxa"/>
            </w:tcMar>
          </w:tcPr>
          <w:p>
            <w:pPr>
              <w:autoSpaceDN w:val="0"/>
              <w:autoSpaceDE w:val="0"/>
              <w:widowControl/>
              <w:spacing w:line="230" w:lineRule="auto" w:before="142" w:after="0"/>
              <w:ind w:left="0" w:right="58" w:firstLine="0"/>
              <w:jc w:val="right"/>
            </w:pPr>
            <w:r>
              <w:rPr>
                <w:rFonts w:ascii="Times New Roman" w:hAnsi="Times New Roman" w:eastAsia="Times New Roman"/>
                <w:b w:val="0"/>
                <w:i w:val="0"/>
                <w:color w:val="000000"/>
                <w:sz w:val="16"/>
              </w:rPr>
              <w:t xml:space="preserve">86,426,912 </w:t>
            </w:r>
          </w:p>
        </w:tc>
      </w:tr>
    </w:tbl>
    <w:p>
      <w:pPr>
        <w:autoSpaceDN w:val="0"/>
        <w:autoSpaceDE w:val="0"/>
        <w:widowControl/>
        <w:spacing w:line="197" w:lineRule="auto" w:before="636" w:after="0"/>
        <w:ind w:left="0" w:right="5246" w:firstLine="0"/>
        <w:jc w:val="right"/>
      </w:pPr>
      <w:r>
        <w:rPr>
          <w:rFonts w:ascii="Calibri" w:hAnsi="Calibri" w:eastAsia="Calibri"/>
          <w:b w:val="0"/>
          <w:i w:val="0"/>
          <w:color w:val="000000"/>
          <w:sz w:val="18"/>
        </w:rPr>
        <w:t xml:space="preserve">41 </w:t>
      </w:r>
    </w:p>
    <w:p>
      <w:pPr>
        <w:sectPr>
          <w:type w:val="continuous"/>
          <w:pgSz w:w="11904" w:h="16841"/>
          <w:pgMar w:top="424" w:right="576" w:bottom="446" w:left="468" w:header="720" w:footer="720" w:gutter="0"/>
          <w:cols/>
          <w:docGrid w:linePitch="360"/>
        </w:sectPr>
      </w:pPr>
    </w:p>
    <w:p>
      <w:pPr>
        <w:autoSpaceDN w:val="0"/>
        <w:autoSpaceDE w:val="0"/>
        <w:widowControl/>
        <w:spacing w:line="220" w:lineRule="exact" w:before="0" w:after="206"/>
        <w:ind w:left="0" w:right="0"/>
      </w:pPr>
    </w:p>
    <w:p>
      <w:pPr>
        <w:sectPr>
          <w:pgSz w:w="11904" w:h="16841"/>
          <w:pgMar w:top="424" w:right="518" w:bottom="446" w:left="468" w:header="720" w:footer="720" w:gutter="0"/>
          <w:cols/>
          <w:docGrid w:linePitch="360"/>
        </w:sectPr>
      </w:pPr>
    </w:p>
    <w:p>
      <w:pPr>
        <w:autoSpaceDN w:val="0"/>
        <w:autoSpaceDE w:val="0"/>
        <w:widowControl/>
        <w:spacing w:line="240" w:lineRule="auto" w:before="0" w:after="0"/>
        <w:ind w:left="666" w:right="0" w:firstLine="0"/>
        <w:jc w:val="left"/>
      </w:pPr>
      <w:r>
        <w:drawing>
          <wp:inline xmlns:a="http://schemas.openxmlformats.org/drawingml/2006/main" xmlns:pic="http://schemas.openxmlformats.org/drawingml/2006/picture">
            <wp:extent cx="1844039" cy="439419"/>
            <wp:docPr id="44" name="Picture 4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518" w:bottom="446" w:left="468" w:header="720" w:footer="720" w:gutter="0"/>
          <w:cols w:num="2" w:equalWidth="0">
            <w:col w:w="6072" w:space="0"/>
            <w:col w:w="4845" w:space="0"/>
          </w:cols>
          <w:docGrid w:linePitch="360"/>
        </w:sectPr>
      </w:pPr>
    </w:p>
    <w:p>
      <w:pPr>
        <w:autoSpaceDN w:val="0"/>
        <w:autoSpaceDE w:val="0"/>
        <w:widowControl/>
        <w:spacing w:line="200" w:lineRule="exact" w:before="0" w:after="30"/>
        <w:ind w:left="0" w:right="63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518" w:bottom="446" w:left="468" w:header="720" w:footer="720" w:gutter="0"/>
          <w:cols w:num="2" w:equalWidth="0">
            <w:col w:w="6072" w:space="0"/>
            <w:col w:w="4845" w:space="0"/>
          </w:cols>
          <w:docGrid w:linePitch="360"/>
        </w:sectPr>
      </w:pPr>
    </w:p>
    <w:tbl>
      <w:tblPr>
        <w:tblW w:type="auto" w:w="0"/>
        <w:tblLayout w:type="fixed"/>
        <w:tblLook w:firstColumn="1" w:firstRow="1" w:lastColumn="0" w:lastRow="0" w:noHBand="0" w:noVBand="1" w:val="04A0"/>
        <w:tblInd w:w="10.0" w:type="dxa"/>
      </w:tblPr>
      <w:tblGrid>
        <w:gridCol w:w="1213"/>
        <w:gridCol w:w="1213"/>
        <w:gridCol w:w="1213"/>
        <w:gridCol w:w="1213"/>
        <w:gridCol w:w="1213"/>
        <w:gridCol w:w="1213"/>
        <w:gridCol w:w="1213"/>
        <w:gridCol w:w="1213"/>
        <w:gridCol w:w="1213"/>
      </w:tblGrid>
      <w:tr>
        <w:trPr>
          <w:trHeight w:hRule="exact" w:val="480"/>
        </w:trPr>
        <w:tc>
          <w:tcPr>
            <w:tcW w:type="dxa" w:w="1016"/>
            <w:tcBorders>
              <w:start w:sz="8.0" w:val="single" w:color="#000000"/>
              <w:end w:sz="7.199999999999932" w:val="single" w:color="#000000"/>
              <w:bottom w:sz="7.2000000000000455" w:val="single" w:color="#000000"/>
            </w:tcBorders>
            <w:shd w:fill="d2d2d2"/>
            <w:tcMar>
              <w:start w:w="0" w:type="dxa"/>
              <w:end w:w="0" w:type="dxa"/>
            </w:tcMar>
          </w:tcPr>
          <w:p>
            <w:pPr>
              <w:autoSpaceDN w:val="0"/>
              <w:autoSpaceDE w:val="0"/>
              <w:widowControl/>
              <w:spacing w:line="208" w:lineRule="exact" w:before="6" w:after="0"/>
              <w:ind w:left="98" w:right="0" w:firstLine="0"/>
              <w:jc w:val="left"/>
            </w:pPr>
            <w:r>
              <w:rPr>
                <w:rFonts w:ascii="宋体" w:hAnsi="宋体" w:eastAsia="宋体"/>
                <w:b w:val="0"/>
                <w:i w:val="0"/>
                <w:color w:val="000000"/>
                <w:sz w:val="16"/>
              </w:rPr>
              <w:t>金融负债小</w:t>
            </w:r>
            <w:r>
              <w:rPr>
                <w:rFonts w:ascii="宋体" w:hAnsi="宋体" w:eastAsia="宋体"/>
                <w:b w:val="0"/>
                <w:i w:val="0"/>
                <w:color w:val="000000"/>
                <w:sz w:val="16"/>
              </w:rPr>
              <w:t xml:space="preserve">计 </w:t>
            </w:r>
          </w:p>
        </w:tc>
        <w:tc>
          <w:tcPr>
            <w:tcW w:type="dxa" w:w="1240"/>
            <w:tcBorders>
              <w:start w:sz="7.199999999999932" w:val="single" w:color="#000000"/>
              <w:top w:sz="5.600000000000023" w:val="single" w:color="#000000"/>
              <w:end w:sz="8.0" w:val="single" w:color="#000000"/>
              <w:bottom w:sz="7.2000000000000455" w:val="single" w:color="#000000"/>
            </w:tcBorders>
            <w:tcMar>
              <w:start w:w="0" w:type="dxa"/>
              <w:end w:w="0" w:type="dxa"/>
            </w:tcMar>
          </w:tcPr>
          <w:p>
            <w:pPr>
              <w:autoSpaceDN w:val="0"/>
              <w:autoSpaceDE w:val="0"/>
              <w:widowControl/>
              <w:spacing w:line="230" w:lineRule="auto" w:before="138" w:after="0"/>
              <w:ind w:left="202" w:right="0" w:firstLine="0"/>
              <w:jc w:val="left"/>
            </w:pPr>
            <w:r>
              <w:rPr>
                <w:rFonts w:ascii="Times New Roman" w:hAnsi="Times New Roman" w:eastAsia="Times New Roman"/>
                <w:b w:val="0"/>
                <w:i w:val="0"/>
                <w:color w:val="000000"/>
                <w:sz w:val="16"/>
              </w:rPr>
              <w:t xml:space="preserve">1,643,473,341 </w:t>
            </w:r>
          </w:p>
        </w:tc>
        <w:tc>
          <w:tcPr>
            <w:tcW w:type="dxa" w:w="1114"/>
            <w:tcBorders>
              <w:start w:sz="8.0" w:val="single" w:color="#000000"/>
              <w:top w:sz="5.600000000000023" w:val="single" w:color="#000000"/>
              <w:end w:sz="8.0" w:val="single" w:color="#000000"/>
              <w:bottom w:sz="7.2000000000000455" w:val="single" w:color="#000000"/>
            </w:tcBorders>
            <w:tcMar>
              <w:start w:w="0" w:type="dxa"/>
              <w:end w:w="0" w:type="dxa"/>
            </w:tcMar>
          </w:tcPr>
          <w:p>
            <w:pPr>
              <w:autoSpaceDN w:val="0"/>
              <w:autoSpaceDE w:val="0"/>
              <w:widowControl/>
              <w:spacing w:line="230" w:lineRule="auto" w:before="138" w:after="0"/>
              <w:ind w:left="222" w:right="0" w:firstLine="0"/>
              <w:jc w:val="left"/>
            </w:pPr>
            <w:r>
              <w:rPr>
                <w:rFonts w:ascii="Times New Roman" w:hAnsi="Times New Roman" w:eastAsia="Times New Roman"/>
                <w:b w:val="0"/>
                <w:i w:val="0"/>
                <w:color w:val="000000"/>
                <w:sz w:val="16"/>
              </w:rPr>
              <w:t xml:space="preserve">-29,328,725 </w:t>
            </w:r>
          </w:p>
        </w:tc>
        <w:tc>
          <w:tcPr>
            <w:tcW w:type="dxa" w:w="1024"/>
            <w:tcBorders>
              <w:start w:sz="8.0" w:val="single" w:color="#000000"/>
              <w:top w:sz="5.600000000000023" w:val="single" w:color="#000000"/>
              <w:end w:sz="7.2000000000000455" w:val="single" w:color="#000000"/>
              <w:bottom w:sz="7.2000000000000455" w:val="single" w:color="#000000"/>
            </w:tcBorders>
            <w:tcMar>
              <w:start w:w="0" w:type="dxa"/>
              <w:end w:w="0" w:type="dxa"/>
            </w:tcMar>
          </w:tcPr>
          <w:p>
            <w:pPr>
              <w:autoSpaceDN w:val="0"/>
              <w:autoSpaceDE w:val="0"/>
              <w:widowControl/>
              <w:spacing w:line="199" w:lineRule="auto" w:before="162" w:after="0"/>
              <w:ind w:left="0" w:right="94" w:firstLine="0"/>
              <w:jc w:val="right"/>
            </w:pPr>
            <w:r>
              <w:rPr>
                <w:rFonts w:ascii="Calibri" w:hAnsi="Calibri" w:eastAsia="Calibri"/>
                <w:b w:val="0"/>
                <w:i w:val="0"/>
                <w:color w:val="000000"/>
                <w:sz w:val="16"/>
              </w:rPr>
              <w:t>-</w:t>
            </w:r>
          </w:p>
        </w:tc>
        <w:tc>
          <w:tcPr>
            <w:tcW w:type="dxa" w:w="1000"/>
            <w:tcBorders>
              <w:start w:sz="7.2000000000000455" w:val="single" w:color="#000000"/>
              <w:top w:sz="5.600000000000023" w:val="single" w:color="#000000"/>
              <w:end w:sz="8.0" w:val="single" w:color="#000000"/>
              <w:bottom w:sz="7.2000000000000455" w:val="single" w:color="#000000"/>
            </w:tcBorders>
            <w:tcMar>
              <w:start w:w="0" w:type="dxa"/>
              <w:end w:w="0" w:type="dxa"/>
            </w:tcMar>
          </w:tcPr>
          <w:p>
            <w:pPr>
              <w:autoSpaceDN w:val="0"/>
              <w:autoSpaceDE w:val="0"/>
              <w:widowControl/>
              <w:spacing w:line="199" w:lineRule="auto" w:before="162" w:after="0"/>
              <w:ind w:left="0" w:right="94" w:firstLine="0"/>
              <w:jc w:val="right"/>
            </w:pPr>
            <w:r>
              <w:rPr>
                <w:rFonts w:ascii="Calibri" w:hAnsi="Calibri" w:eastAsia="Calibri"/>
                <w:b w:val="0"/>
                <w:i w:val="0"/>
                <w:color w:val="000000"/>
                <w:sz w:val="16"/>
              </w:rPr>
              <w:t>-</w:t>
            </w:r>
          </w:p>
        </w:tc>
        <w:tc>
          <w:tcPr>
            <w:tcW w:type="dxa" w:w="1700"/>
            <w:tcBorders>
              <w:start w:sz="8.0" w:val="single" w:color="#000000"/>
              <w:top w:sz="5.600000000000023" w:val="single" w:color="#000000"/>
              <w:end w:sz="8.0" w:val="single" w:color="#000000"/>
              <w:bottom w:sz="7.2000000000000455" w:val="single" w:color="#000000"/>
            </w:tcBorders>
            <w:tcMar>
              <w:start w:w="0" w:type="dxa"/>
              <w:end w:w="0" w:type="dxa"/>
            </w:tcMar>
          </w:tcPr>
          <w:p>
            <w:pPr>
              <w:autoSpaceDN w:val="0"/>
              <w:autoSpaceDE w:val="0"/>
              <w:widowControl/>
              <w:spacing w:line="230" w:lineRule="auto" w:before="138" w:after="0"/>
              <w:ind w:left="384" w:right="0" w:firstLine="0"/>
              <w:jc w:val="left"/>
            </w:pPr>
            <w:r>
              <w:rPr>
                <w:rFonts w:ascii="Times New Roman" w:hAnsi="Times New Roman" w:eastAsia="Times New Roman"/>
                <w:b w:val="0"/>
                <w:i w:val="0"/>
                <w:color w:val="000000"/>
                <w:sz w:val="16"/>
              </w:rPr>
              <w:t xml:space="preserve">1,328,917,880,225 </w:t>
            </w:r>
          </w:p>
        </w:tc>
        <w:tc>
          <w:tcPr>
            <w:tcW w:type="dxa" w:w="1676"/>
            <w:tcBorders>
              <w:start w:sz="8.0" w:val="single" w:color="#000000"/>
              <w:top w:sz="5.600000000000023" w:val="single" w:color="#000000"/>
              <w:end w:sz="7.199999999999818" w:val="single" w:color="#000000"/>
              <w:bottom w:sz="7.2000000000000455" w:val="single" w:color="#000000"/>
            </w:tcBorders>
            <w:tcMar>
              <w:start w:w="0" w:type="dxa"/>
              <w:end w:w="0" w:type="dxa"/>
            </w:tcMar>
          </w:tcPr>
          <w:p>
            <w:pPr>
              <w:autoSpaceDN w:val="0"/>
              <w:autoSpaceDE w:val="0"/>
              <w:widowControl/>
              <w:spacing w:line="230" w:lineRule="auto" w:before="138" w:after="0"/>
              <w:ind w:left="362" w:right="0" w:firstLine="0"/>
              <w:jc w:val="left"/>
            </w:pPr>
            <w:r>
              <w:rPr>
                <w:rFonts w:ascii="Times New Roman" w:hAnsi="Times New Roman" w:eastAsia="Times New Roman"/>
                <w:b w:val="0"/>
                <w:i w:val="0"/>
                <w:color w:val="000000"/>
                <w:sz w:val="16"/>
              </w:rPr>
              <w:t xml:space="preserve">1,327,057,143,408 </w:t>
            </w:r>
          </w:p>
        </w:tc>
        <w:tc>
          <w:tcPr>
            <w:tcW w:type="dxa" w:w="662"/>
            <w:tcBorders>
              <w:start w:sz="7.199999999999818" w:val="single" w:color="#000000"/>
              <w:top w:sz="5.600000000000023" w:val="single" w:color="#000000"/>
              <w:end w:sz="8.0" w:val="single" w:color="#000000"/>
              <w:bottom w:sz="7.2000000000000455" w:val="single" w:color="#000000"/>
            </w:tcBorders>
            <w:tcMar>
              <w:start w:w="0" w:type="dxa"/>
              <w:end w:w="0" w:type="dxa"/>
            </w:tcMar>
          </w:tcPr>
          <w:p>
            <w:pPr>
              <w:autoSpaceDN w:val="0"/>
              <w:autoSpaceDE w:val="0"/>
              <w:widowControl/>
              <w:spacing w:line="199" w:lineRule="auto" w:before="162" w:after="0"/>
              <w:ind w:left="0" w:right="98" w:firstLine="0"/>
              <w:jc w:val="right"/>
            </w:pPr>
            <w:r>
              <w:rPr>
                <w:rFonts w:ascii="Calibri" w:hAnsi="Calibri" w:eastAsia="Calibri"/>
                <w:b w:val="0"/>
                <w:i w:val="0"/>
                <w:color w:val="000000"/>
                <w:sz w:val="16"/>
              </w:rPr>
              <w:t>-</w:t>
            </w:r>
          </w:p>
        </w:tc>
        <w:tc>
          <w:tcPr>
            <w:tcW w:type="dxa" w:w="1390"/>
            <w:tcBorders>
              <w:start w:sz="8.0" w:val="single" w:color="#000000"/>
              <w:top w:sz="5.600000000000023" w:val="single" w:color="#000000"/>
              <w:end w:sz="7.199999999999818" w:val="single" w:color="#000000"/>
              <w:bottom w:sz="7.2000000000000455" w:val="single" w:color="#000000"/>
            </w:tcBorders>
            <w:tcMar>
              <w:start w:w="0" w:type="dxa"/>
              <w:end w:w="0" w:type="dxa"/>
            </w:tcMar>
          </w:tcPr>
          <w:p>
            <w:pPr>
              <w:autoSpaceDN w:val="0"/>
              <w:autoSpaceDE w:val="0"/>
              <w:widowControl/>
              <w:spacing w:line="230" w:lineRule="auto" w:before="138" w:after="0"/>
              <w:ind w:left="0" w:right="58" w:firstLine="0"/>
              <w:jc w:val="right"/>
            </w:pPr>
            <w:r>
              <w:rPr>
                <w:rFonts w:ascii="Times New Roman" w:hAnsi="Times New Roman" w:eastAsia="Times New Roman"/>
                <w:b w:val="0"/>
                <w:i w:val="0"/>
                <w:color w:val="000000"/>
                <w:sz w:val="16"/>
              </w:rPr>
              <w:t xml:space="preserve">3,455,672,762 </w:t>
            </w:r>
          </w:p>
        </w:tc>
      </w:tr>
    </w:tbl>
    <w:p>
      <w:pPr>
        <w:autoSpaceDN w:val="0"/>
        <w:autoSpaceDE w:val="0"/>
        <w:widowControl/>
        <w:spacing w:line="180" w:lineRule="exact" w:before="484" w:after="0"/>
        <w:ind w:left="666" w:right="0" w:firstLine="0"/>
        <w:jc w:val="left"/>
      </w:pPr>
      <w:r>
        <w:rPr>
          <w:rFonts w:ascii="宋体" w:hAnsi="宋体" w:eastAsia="宋体"/>
          <w:b w:val="0"/>
          <w:i w:val="0"/>
          <w:color w:val="000000"/>
          <w:sz w:val="18"/>
        </w:rPr>
        <w:t xml:space="preserve">报告期内公司主要资产计量属性是否发生重大变化 </w:t>
      </w:r>
    </w:p>
    <w:p>
      <w:pPr>
        <w:autoSpaceDN w:val="0"/>
        <w:autoSpaceDE w:val="0"/>
        <w:widowControl/>
        <w:spacing w:line="180" w:lineRule="exact" w:before="162" w:after="0"/>
        <w:ind w:left="666" w:right="0" w:firstLine="0"/>
        <w:jc w:val="left"/>
      </w:pPr>
      <w:r>
        <w:rPr>
          <w:rFonts w:ascii="宋体" w:hAnsi="宋体" w:eastAsia="宋体"/>
          <w:b w:val="0"/>
          <w:i w:val="0"/>
          <w:color w:val="000000"/>
          <w:sz w:val="18"/>
        </w:rPr>
        <w:t xml:space="preserve">□ 是 √ 否 </w:t>
      </w:r>
    </w:p>
    <w:p>
      <w:pPr>
        <w:autoSpaceDN w:val="0"/>
        <w:autoSpaceDE w:val="0"/>
        <w:widowControl/>
        <w:spacing w:line="212" w:lineRule="exact" w:before="368" w:after="0"/>
        <w:ind w:left="666" w:right="0" w:firstLine="0"/>
        <w:jc w:val="left"/>
      </w:pPr>
      <w:r>
        <w:rPr>
          <w:rFonts w:ascii="宋体" w:hAnsi="宋体" w:eastAsia="宋体"/>
          <w:b w:val="0"/>
          <w:i w:val="0"/>
          <w:color w:val="000000"/>
          <w:sz w:val="21"/>
        </w:rPr>
        <w:t xml:space="preserve">3、截至报告期末的资产权利受限情况 </w:t>
      </w:r>
    </w:p>
    <w:p>
      <w:pPr>
        <w:autoSpaceDN w:val="0"/>
        <w:autoSpaceDE w:val="0"/>
        <w:widowControl/>
        <w:spacing w:line="180" w:lineRule="exact" w:before="390" w:after="68"/>
        <w:ind w:left="0" w:right="800" w:firstLine="0"/>
        <w:jc w:val="right"/>
      </w:pPr>
      <w:r>
        <w:rPr>
          <w:rFonts w:ascii="宋体" w:hAnsi="宋体" w:eastAsia="宋体"/>
          <w:b w:val="0"/>
          <w:i w:val="0"/>
          <w:color w:val="000000"/>
          <w:sz w:val="18"/>
        </w:rPr>
        <w:t>单位：元</w:t>
      </w:r>
    </w:p>
    <w:tbl>
      <w:tblPr>
        <w:tblW w:type="auto" w:w="0"/>
        <w:tblLayout w:type="fixed"/>
        <w:tblLook w:firstColumn="1" w:firstRow="1" w:lastColumn="0" w:lastRow="0" w:noHBand="0" w:noVBand="1" w:val="04A0"/>
        <w:tblInd w:w="76.00000000000001" w:type="dxa"/>
      </w:tblPr>
      <w:tblGrid>
        <w:gridCol w:w="3639"/>
        <w:gridCol w:w="3639"/>
        <w:gridCol w:w="3639"/>
      </w:tblGrid>
      <w:tr>
        <w:trPr>
          <w:trHeight w:hRule="exact" w:val="394"/>
        </w:trPr>
        <w:tc>
          <w:tcPr>
            <w:tcW w:type="dxa" w:w="1866"/>
            <w:tcBorders>
              <w:start w:sz="4.0" w:val="single" w:color="#000000"/>
              <w:top w:sz="4.0" w:val="single" w:color="#000000"/>
              <w:end w:sz="3.2000000000000455" w:val="single" w:color="#000000"/>
              <w:bottom w:sz="4.0" w:val="single" w:color="#000000"/>
            </w:tcBorders>
            <w:shd w:fill="d8d9d8"/>
            <w:tcMar>
              <w:start w:w="0" w:type="dxa"/>
              <w:end w:w="0" w:type="dxa"/>
            </w:tcMar>
          </w:tcPr>
          <w:p>
            <w:pPr>
              <w:autoSpaceDN w:val="0"/>
              <w:autoSpaceDE w:val="0"/>
              <w:widowControl/>
              <w:spacing w:line="180" w:lineRule="exact" w:before="128" w:after="0"/>
              <w:ind w:left="0" w:right="0" w:firstLine="0"/>
              <w:jc w:val="center"/>
            </w:pPr>
            <w:r>
              <w:rPr>
                <w:rFonts w:ascii="宋体" w:hAnsi="宋体" w:eastAsia="宋体"/>
                <w:b w:val="0"/>
                <w:i w:val="0"/>
                <w:color w:val="000000"/>
                <w:sz w:val="18"/>
              </w:rPr>
              <w:t>项目</w:t>
            </w:r>
          </w:p>
        </w:tc>
        <w:tc>
          <w:tcPr>
            <w:tcW w:type="dxa" w:w="2552"/>
            <w:tcBorders>
              <w:start w:sz="3.2000000000000455"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28" w:after="0"/>
              <w:ind w:left="0" w:right="0" w:firstLine="0"/>
              <w:jc w:val="center"/>
            </w:pPr>
            <w:r>
              <w:rPr>
                <w:rFonts w:ascii="宋体" w:hAnsi="宋体" w:eastAsia="宋体"/>
                <w:b w:val="0"/>
                <w:i w:val="0"/>
                <w:color w:val="000000"/>
                <w:sz w:val="18"/>
              </w:rPr>
              <w:t>期末账面价值</w:t>
            </w:r>
          </w:p>
        </w:tc>
        <w:tc>
          <w:tcPr>
            <w:tcW w:type="dxa" w:w="639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28" w:after="0"/>
              <w:ind w:left="0" w:right="2880" w:firstLine="0"/>
              <w:jc w:val="right"/>
            </w:pPr>
            <w:r>
              <w:rPr>
                <w:rFonts w:ascii="宋体" w:hAnsi="宋体" w:eastAsia="宋体"/>
                <w:b w:val="0"/>
                <w:i w:val="0"/>
                <w:color w:val="000000"/>
                <w:sz w:val="18"/>
              </w:rPr>
              <w:t>受限原因</w:t>
            </w:r>
          </w:p>
        </w:tc>
      </w:tr>
      <w:tr>
        <w:trPr>
          <w:trHeight w:hRule="exact" w:val="396"/>
        </w:trPr>
        <w:tc>
          <w:tcPr>
            <w:tcW w:type="dxa" w:w="186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28" w:after="0"/>
              <w:ind w:left="104" w:right="0" w:firstLine="0"/>
              <w:jc w:val="left"/>
            </w:pPr>
            <w:r>
              <w:rPr>
                <w:rFonts w:ascii="宋体" w:hAnsi="宋体" w:eastAsia="宋体"/>
                <w:b w:val="0"/>
                <w:i w:val="0"/>
                <w:color w:val="000000"/>
                <w:sz w:val="18"/>
              </w:rPr>
              <w:t>货币资金</w:t>
            </w:r>
          </w:p>
        </w:tc>
        <w:tc>
          <w:tcPr>
            <w:tcW w:type="dxa" w:w="255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2" w:after="0"/>
              <w:ind w:left="0" w:right="102" w:firstLine="0"/>
              <w:jc w:val="right"/>
            </w:pPr>
            <w:r>
              <w:rPr>
                <w:rFonts w:ascii="Times New Roman" w:hAnsi="Times New Roman" w:eastAsia="Times New Roman"/>
                <w:b w:val="0"/>
                <w:i w:val="0"/>
                <w:color w:val="000000"/>
                <w:sz w:val="18"/>
              </w:rPr>
              <w:t xml:space="preserve"> 66,300,277</w:t>
            </w:r>
          </w:p>
        </w:tc>
        <w:tc>
          <w:tcPr>
            <w:tcW w:type="dxa" w:w="63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104" w:right="0" w:firstLine="0"/>
              <w:jc w:val="left"/>
            </w:pPr>
            <w:r>
              <w:rPr>
                <w:rFonts w:ascii="宋体" w:hAnsi="宋体" w:eastAsia="宋体"/>
                <w:b w:val="0"/>
                <w:i w:val="0"/>
                <w:color w:val="000000"/>
                <w:sz w:val="18"/>
              </w:rPr>
              <w:t>公募基金业务风险准备金存款</w:t>
            </w:r>
          </w:p>
        </w:tc>
      </w:tr>
      <w:tr>
        <w:trPr>
          <w:trHeight w:hRule="exact" w:val="398"/>
        </w:trPr>
        <w:tc>
          <w:tcPr>
            <w:tcW w:type="dxa" w:w="186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32" w:after="0"/>
              <w:ind w:left="104" w:right="0" w:firstLine="0"/>
              <w:jc w:val="left"/>
            </w:pPr>
            <w:r>
              <w:rPr>
                <w:rFonts w:ascii="宋体" w:hAnsi="宋体" w:eastAsia="宋体"/>
                <w:b w:val="0"/>
                <w:i w:val="0"/>
                <w:color w:val="000000"/>
                <w:sz w:val="18"/>
              </w:rPr>
              <w:t>交易性金融资产</w:t>
            </w:r>
          </w:p>
        </w:tc>
        <w:tc>
          <w:tcPr>
            <w:tcW w:type="dxa" w:w="255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84" w:after="0"/>
              <w:ind w:left="0" w:right="54" w:firstLine="0"/>
              <w:jc w:val="right"/>
            </w:pPr>
            <w:r>
              <w:rPr>
                <w:rFonts w:ascii="Times New Roman" w:hAnsi="Times New Roman" w:eastAsia="Times New Roman"/>
                <w:b w:val="0"/>
                <w:i w:val="0"/>
                <w:color w:val="000000"/>
                <w:sz w:val="18"/>
              </w:rPr>
              <w:t xml:space="preserve">16,567,449,448 </w:t>
            </w:r>
          </w:p>
        </w:tc>
        <w:tc>
          <w:tcPr>
            <w:tcW w:type="dxa" w:w="63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2" w:after="0"/>
              <w:ind w:left="0" w:right="0" w:firstLine="0"/>
              <w:jc w:val="center"/>
            </w:pPr>
            <w:r>
              <w:rPr>
                <w:rFonts w:ascii="宋体" w:hAnsi="宋体" w:eastAsia="宋体"/>
                <w:b w:val="0"/>
                <w:i w:val="0"/>
                <w:color w:val="000000"/>
                <w:sz w:val="18"/>
              </w:rPr>
              <w:t>用于卖出回购、债券借贷及冲抵保证金等用途；已融出证券；流通受限的股票</w:t>
            </w:r>
          </w:p>
        </w:tc>
      </w:tr>
      <w:tr>
        <w:trPr>
          <w:trHeight w:hRule="exact" w:val="396"/>
        </w:trPr>
        <w:tc>
          <w:tcPr>
            <w:tcW w:type="dxa" w:w="186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28" w:after="0"/>
              <w:ind w:left="104" w:right="0" w:firstLine="0"/>
              <w:jc w:val="left"/>
            </w:pPr>
            <w:r>
              <w:rPr>
                <w:rFonts w:ascii="宋体" w:hAnsi="宋体" w:eastAsia="宋体"/>
                <w:b w:val="0"/>
                <w:i w:val="0"/>
                <w:color w:val="000000"/>
                <w:sz w:val="18"/>
              </w:rPr>
              <w:t>其他权益工具投资</w:t>
            </w:r>
          </w:p>
        </w:tc>
        <w:tc>
          <w:tcPr>
            <w:tcW w:type="dxa" w:w="255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2" w:after="0"/>
              <w:ind w:left="0" w:right="100" w:firstLine="0"/>
              <w:jc w:val="right"/>
            </w:pPr>
            <w:r>
              <w:rPr>
                <w:rFonts w:ascii="Times New Roman" w:hAnsi="Times New Roman" w:eastAsia="Times New Roman"/>
                <w:b w:val="0"/>
                <w:i w:val="0"/>
                <w:color w:val="000000"/>
                <w:sz w:val="18"/>
              </w:rPr>
              <w:t>96,616,469</w:t>
            </w:r>
          </w:p>
        </w:tc>
        <w:tc>
          <w:tcPr>
            <w:tcW w:type="dxa" w:w="63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104" w:right="0" w:firstLine="0"/>
              <w:jc w:val="left"/>
            </w:pPr>
            <w:r>
              <w:rPr>
                <w:rFonts w:ascii="宋体" w:hAnsi="宋体" w:eastAsia="宋体"/>
                <w:b w:val="0"/>
                <w:i w:val="0"/>
                <w:color w:val="000000"/>
                <w:sz w:val="18"/>
              </w:rPr>
              <w:t>流通受限的股票</w:t>
            </w:r>
          </w:p>
        </w:tc>
      </w:tr>
      <w:tr>
        <w:trPr>
          <w:trHeight w:hRule="exact" w:val="400"/>
        </w:trPr>
        <w:tc>
          <w:tcPr>
            <w:tcW w:type="dxa" w:w="1866"/>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30" w:after="0"/>
              <w:ind w:left="104" w:right="0" w:firstLine="0"/>
              <w:jc w:val="left"/>
            </w:pPr>
            <w:r>
              <w:rPr>
                <w:rFonts w:ascii="宋体" w:hAnsi="宋体" w:eastAsia="宋体"/>
                <w:b w:val="0"/>
                <w:i w:val="0"/>
                <w:color w:val="000000"/>
                <w:sz w:val="18"/>
              </w:rPr>
              <w:t>合计</w:t>
            </w:r>
          </w:p>
        </w:tc>
        <w:tc>
          <w:tcPr>
            <w:tcW w:type="dxa" w:w="255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4" w:after="0"/>
              <w:ind w:left="0" w:right="100" w:firstLine="0"/>
              <w:jc w:val="right"/>
            </w:pPr>
            <w:r>
              <w:rPr>
                <w:rFonts w:ascii="Times New Roman" w:hAnsi="Times New Roman" w:eastAsia="Times New Roman"/>
                <w:b w:val="0"/>
                <w:i w:val="0"/>
                <w:color w:val="000000"/>
                <w:sz w:val="18"/>
              </w:rPr>
              <w:t>16,730,366,194</w:t>
            </w:r>
          </w:p>
        </w:tc>
        <w:tc>
          <w:tcPr>
            <w:tcW w:type="dxa" w:w="63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186" w:after="0"/>
              <w:ind w:left="0" w:right="0" w:firstLine="0"/>
              <w:jc w:val="center"/>
            </w:pPr>
            <w:r>
              <w:rPr>
                <w:rFonts w:ascii="Calibri" w:hAnsi="Calibri" w:eastAsia="Calibri"/>
                <w:b w:val="0"/>
                <w:i w:val="0"/>
                <w:color w:val="000000"/>
                <w:sz w:val="18"/>
              </w:rPr>
              <w:t>-</w:t>
            </w:r>
          </w:p>
        </w:tc>
      </w:tr>
    </w:tbl>
    <w:p>
      <w:pPr>
        <w:autoSpaceDN w:val="0"/>
        <w:autoSpaceDE w:val="0"/>
        <w:widowControl/>
        <w:spacing w:line="212" w:lineRule="exact" w:before="342" w:after="0"/>
        <w:ind w:left="666" w:right="0" w:firstLine="0"/>
        <w:jc w:val="left"/>
      </w:pPr>
      <w:r>
        <w:rPr>
          <w:rFonts w:ascii="宋体" w:hAnsi="宋体" w:eastAsia="宋体"/>
          <w:b w:val="0"/>
          <w:i w:val="0"/>
          <w:color w:val="000000"/>
          <w:sz w:val="21"/>
        </w:rPr>
        <w:t xml:space="preserve">4、比较式财务报表中变动幅度超过30%以上项目的情况 </w:t>
      </w:r>
    </w:p>
    <w:p>
      <w:pPr>
        <w:autoSpaceDN w:val="0"/>
        <w:autoSpaceDE w:val="0"/>
        <w:widowControl/>
        <w:spacing w:line="180" w:lineRule="exact" w:before="360" w:after="66"/>
        <w:ind w:left="0" w:right="710"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368.0" w:type="dxa"/>
      </w:tblPr>
      <w:tblGrid>
        <w:gridCol w:w="1820"/>
        <w:gridCol w:w="1820"/>
        <w:gridCol w:w="1820"/>
        <w:gridCol w:w="1820"/>
        <w:gridCol w:w="1820"/>
        <w:gridCol w:w="1820"/>
      </w:tblGrid>
      <w:tr>
        <w:trPr>
          <w:trHeight w:hRule="exact" w:val="356"/>
        </w:trPr>
        <w:tc>
          <w:tcPr>
            <w:tcW w:type="dxa" w:w="2778"/>
            <w:gridSpan w:val="2"/>
            <w:tcBorders>
              <w:start w:sz="7.2000000000000455" w:val="single" w:color="#000000"/>
              <w:top w:sz="8.0" w:val="single" w:color="#000000"/>
              <w:end w:sz="4.0" w:val="single" w:color="#000000"/>
              <w:bottom w:sz="4.0" w:val="single" w:color="#000000"/>
            </w:tcBorders>
            <w:shd w:fill="d2d2d2"/>
            <w:tcMar>
              <w:start w:w="0" w:type="dxa"/>
              <w:end w:w="0" w:type="dxa"/>
            </w:tcMar>
            <w:tcMar>
              <w:start w:w="0" w:type="dxa"/>
              <w:end w:w="0" w:type="dxa"/>
            </w:tcMar>
          </w:tcPr>
          <w:p>
            <w:pPr>
              <w:autoSpaceDN w:val="0"/>
              <w:autoSpaceDE w:val="0"/>
              <w:widowControl/>
              <w:spacing w:line="180" w:lineRule="exact" w:before="80" w:after="0"/>
              <w:ind w:left="0" w:right="1110" w:firstLine="0"/>
              <w:jc w:val="right"/>
            </w:pPr>
            <w:r>
              <w:rPr>
                <w:rFonts w:ascii="宋体" w:hAnsi="宋体" w:eastAsia="宋体"/>
                <w:b w:val="0"/>
                <w:i w:val="0"/>
                <w:color w:val="000000"/>
                <w:sz w:val="18"/>
              </w:rPr>
              <w:t xml:space="preserve">项目 </w:t>
            </w:r>
          </w:p>
        </w:tc>
        <w:tc>
          <w:tcPr>
            <w:tcW w:type="dxa" w:w="1438"/>
            <w:tcBorders>
              <w:start w:sz="4.0" w:val="single" w:color="#000000"/>
              <w:top w:sz="8.0" w:val="single" w:color="#000000"/>
              <w:end w:sz="4.0" w:val="single" w:color="#000000"/>
              <w:bottom w:sz="4.0" w:val="single" w:color="#000000"/>
            </w:tcBorders>
            <w:shd w:fill="d2d2d2"/>
            <w:tcMar>
              <w:start w:w="0" w:type="dxa"/>
              <w:end w:w="0" w:type="dxa"/>
            </w:tcMar>
          </w:tcPr>
          <w:p>
            <w:pPr>
              <w:autoSpaceDN w:val="0"/>
              <w:autoSpaceDE w:val="0"/>
              <w:widowControl/>
              <w:spacing w:line="200" w:lineRule="exact" w:before="78" w:after="0"/>
              <w:ind w:left="0" w:right="0" w:firstLine="0"/>
              <w:jc w:val="center"/>
            </w:pPr>
            <w:r>
              <w:rPr>
                <w:rFonts w:ascii="Calibri" w:hAnsi="Calibri" w:eastAsia="Calibri"/>
                <w:b/>
                <w:i w:val="0"/>
                <w:color w:val="000000"/>
                <w:sz w:val="18"/>
              </w:rPr>
              <w:t>2024</w:t>
            </w:r>
            <w:r>
              <w:rPr>
                <w:rFonts w:ascii="宋体" w:hAnsi="宋体" w:eastAsia="宋体"/>
                <w:b w:val="0"/>
                <w:i w:val="0"/>
                <w:color w:val="000000"/>
                <w:sz w:val="18"/>
              </w:rPr>
              <w:t xml:space="preserve"> 年末</w:t>
            </w:r>
          </w:p>
        </w:tc>
        <w:tc>
          <w:tcPr>
            <w:tcW w:type="dxa" w:w="1706"/>
            <w:tcBorders>
              <w:start w:sz="4.0" w:val="single" w:color="#000000"/>
              <w:top w:sz="8.0" w:val="single" w:color="#000000"/>
              <w:end w:sz="4.0" w:val="single" w:color="#000000"/>
              <w:bottom w:sz="4.0" w:val="single" w:color="#000000"/>
            </w:tcBorders>
            <w:shd w:fill="d2d2d2"/>
            <w:tcMar>
              <w:start w:w="0" w:type="dxa"/>
              <w:end w:w="0" w:type="dxa"/>
            </w:tcMar>
          </w:tcPr>
          <w:p>
            <w:pPr>
              <w:autoSpaceDN w:val="0"/>
              <w:autoSpaceDE w:val="0"/>
              <w:widowControl/>
              <w:spacing w:line="200" w:lineRule="exact" w:before="78" w:after="0"/>
              <w:ind w:left="0" w:right="0" w:firstLine="0"/>
              <w:jc w:val="center"/>
            </w:pPr>
            <w:r>
              <w:rPr>
                <w:rFonts w:ascii="Calibri" w:hAnsi="Calibri" w:eastAsia="Calibri"/>
                <w:b/>
                <w:i w:val="0"/>
                <w:color w:val="000000"/>
                <w:sz w:val="18"/>
              </w:rPr>
              <w:t>2023</w:t>
            </w:r>
            <w:r>
              <w:rPr>
                <w:rFonts w:ascii="宋体" w:hAnsi="宋体" w:eastAsia="宋体"/>
                <w:b w:val="0"/>
                <w:i w:val="0"/>
                <w:color w:val="000000"/>
                <w:sz w:val="18"/>
              </w:rPr>
              <w:t xml:space="preserve"> 年末</w:t>
            </w:r>
          </w:p>
        </w:tc>
        <w:tc>
          <w:tcPr>
            <w:tcW w:type="dxa" w:w="1296"/>
            <w:tcBorders>
              <w:start w:sz="4.0" w:val="single" w:color="#000000"/>
              <w:top w:sz="8.0"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增减</w:t>
            </w:r>
          </w:p>
        </w:tc>
        <w:tc>
          <w:tcPr>
            <w:tcW w:type="dxa" w:w="3016"/>
            <w:tcBorders>
              <w:start w:sz="3.199999999999818" w:val="single" w:color="#000000"/>
              <w:top w:sz="8.0" w:val="single" w:color="#000000"/>
              <w:end w:sz="7.199999999999818" w:val="single" w:color="#000000"/>
              <w:bottom w:sz="4.0" w:val="single" w:color="#000000"/>
            </w:tcBorders>
            <w:shd w:fill="d2d2d2"/>
            <w:tcMar>
              <w:start w:w="0" w:type="dxa"/>
              <w:end w:w="0" w:type="dxa"/>
            </w:tcMar>
          </w:tcPr>
          <w:p>
            <w:pPr>
              <w:autoSpaceDN w:val="0"/>
              <w:autoSpaceDE w:val="0"/>
              <w:widowControl/>
              <w:spacing w:line="180" w:lineRule="exact" w:before="80" w:after="0"/>
              <w:ind w:left="0" w:right="1048" w:firstLine="0"/>
              <w:jc w:val="right"/>
            </w:pPr>
            <w:r>
              <w:rPr>
                <w:rFonts w:ascii="宋体" w:hAnsi="宋体" w:eastAsia="宋体"/>
                <w:b w:val="0"/>
                <w:i w:val="0"/>
                <w:color w:val="000000"/>
                <w:sz w:val="18"/>
              </w:rPr>
              <w:t xml:space="preserve">变动原因 </w:t>
            </w:r>
          </w:p>
        </w:tc>
      </w:tr>
      <w:tr>
        <w:trPr>
          <w:trHeight w:hRule="exact" w:val="350"/>
        </w:trPr>
        <w:tc>
          <w:tcPr>
            <w:tcW w:type="dxa" w:w="398"/>
            <w:vMerge w:val="restart"/>
            <w:tcBorders>
              <w:start w:sz="7.2000000000000455" w:val="single" w:color="#000000"/>
              <w:top w:sz="4.0" w:val="single" w:color="#000000"/>
              <w:end w:sz="3.1999999999999886"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1372" w:after="0"/>
              <w:ind w:left="102" w:right="14" w:firstLine="0"/>
              <w:jc w:val="both"/>
            </w:pPr>
            <w:r>
              <w:rPr>
                <w:rFonts w:ascii="宋体" w:hAnsi="宋体" w:eastAsia="宋体"/>
                <w:b w:val="0"/>
                <w:i w:val="0"/>
                <w:color w:val="000000"/>
                <w:sz w:val="18"/>
              </w:rPr>
              <w:t>资</w:t>
            </w:r>
            <w:r>
              <w:br/>
            </w:r>
            <w:r>
              <w:rPr>
                <w:rFonts w:ascii="宋体" w:hAnsi="宋体" w:eastAsia="宋体"/>
                <w:b w:val="0"/>
                <w:i w:val="0"/>
                <w:color w:val="000000"/>
                <w:sz w:val="18"/>
              </w:rPr>
              <w:t>产</w:t>
            </w:r>
            <w:r>
              <w:br/>
            </w:r>
            <w:r>
              <w:rPr>
                <w:rFonts w:ascii="宋体" w:hAnsi="宋体" w:eastAsia="宋体"/>
                <w:b w:val="0"/>
                <w:i w:val="0"/>
                <w:color w:val="000000"/>
                <w:sz w:val="18"/>
              </w:rPr>
              <w:t>负</w:t>
            </w:r>
            <w:r>
              <w:br/>
            </w:r>
            <w:r>
              <w:rPr>
                <w:rFonts w:ascii="宋体" w:hAnsi="宋体" w:eastAsia="宋体"/>
                <w:b w:val="0"/>
                <w:i w:val="0"/>
                <w:color w:val="000000"/>
                <w:sz w:val="18"/>
              </w:rPr>
              <w:t>债</w:t>
            </w:r>
            <w:r>
              <w:br/>
            </w:r>
            <w:r>
              <w:rPr>
                <w:rFonts w:ascii="宋体" w:hAnsi="宋体" w:eastAsia="宋体"/>
                <w:b w:val="0"/>
                <w:i w:val="0"/>
                <w:color w:val="000000"/>
                <w:sz w:val="18"/>
              </w:rPr>
              <w:t xml:space="preserve">表 </w:t>
            </w: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12" w:after="0"/>
              <w:ind w:left="104" w:right="0" w:firstLine="0"/>
              <w:jc w:val="left"/>
            </w:pPr>
            <w:r>
              <w:rPr>
                <w:rFonts w:ascii="宋体" w:hAnsi="宋体" w:eastAsia="宋体"/>
                <w:b w:val="0"/>
                <w:i w:val="0"/>
                <w:color w:val="000000"/>
                <w:sz w:val="20"/>
              </w:rPr>
              <w:t>结算备付金</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172" w:right="0" w:firstLine="0"/>
              <w:jc w:val="left"/>
            </w:pPr>
            <w:r>
              <w:rPr>
                <w:rFonts w:ascii="Times New Roman" w:hAnsi="Times New Roman" w:eastAsia="Times New Roman"/>
                <w:b w:val="0"/>
                <w:i w:val="0"/>
                <w:color w:val="000000"/>
                <w:sz w:val="20"/>
              </w:rPr>
              <w:t xml:space="preserve">4,020,926,094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2,635,063,238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102" w:firstLine="0"/>
              <w:jc w:val="right"/>
            </w:pPr>
            <w:r>
              <w:rPr>
                <w:rFonts w:ascii="Times New Roman" w:hAnsi="Times New Roman" w:eastAsia="Times New Roman"/>
                <w:b w:val="0"/>
                <w:i w:val="0"/>
                <w:color w:val="000000"/>
                <w:sz w:val="20"/>
              </w:rPr>
              <w:t>52.59%</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客户备付金增加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72" w:after="0"/>
              <w:ind w:left="104" w:right="0" w:firstLine="0"/>
              <w:jc w:val="left"/>
            </w:pPr>
            <w:r>
              <w:rPr>
                <w:rFonts w:ascii="宋体" w:hAnsi="宋体" w:eastAsia="宋体"/>
                <w:b w:val="0"/>
                <w:i w:val="0"/>
                <w:color w:val="000000"/>
                <w:sz w:val="20"/>
              </w:rPr>
              <w:t>其他债权投资</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104" w:firstLine="0"/>
              <w:jc w:val="right"/>
            </w:pPr>
            <w:r>
              <w:rPr>
                <w:rFonts w:ascii="Times New Roman" w:hAnsi="Times New Roman" w:eastAsia="Times New Roman"/>
                <w:b w:val="0"/>
                <w:i w:val="0"/>
                <w:color w:val="000000"/>
                <w:sz w:val="20"/>
              </w:rPr>
              <w:t>57,443,663</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102" w:firstLine="0"/>
              <w:jc w:val="right"/>
            </w:pPr>
            <w:r>
              <w:rPr>
                <w:rFonts w:ascii="Times New Roman" w:hAnsi="Times New Roman" w:eastAsia="Times New Roman"/>
                <w:b w:val="0"/>
                <w:i w:val="0"/>
                <w:color w:val="000000"/>
                <w:sz w:val="20"/>
              </w:rPr>
              <w:t>89,867,451</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106" w:firstLine="0"/>
              <w:jc w:val="right"/>
            </w:pPr>
            <w:r>
              <w:rPr>
                <w:rFonts w:ascii="Times New Roman" w:hAnsi="Times New Roman" w:eastAsia="Times New Roman"/>
                <w:b w:val="0"/>
                <w:i w:val="0"/>
                <w:color w:val="000000"/>
                <w:sz w:val="20"/>
              </w:rPr>
              <w:t>-36.08%</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持有的债券规模减少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00" w:lineRule="exact" w:before="112" w:after="0"/>
              <w:ind w:left="104" w:right="0" w:firstLine="0"/>
              <w:jc w:val="left"/>
            </w:pPr>
            <w:r>
              <w:rPr>
                <w:rFonts w:ascii="宋体" w:hAnsi="宋体" w:eastAsia="宋体"/>
                <w:b w:val="0"/>
                <w:i w:val="0"/>
                <w:color w:val="000000"/>
                <w:sz w:val="20"/>
              </w:rPr>
              <w:t>递延所得税资产</w:t>
            </w:r>
          </w:p>
        </w:tc>
        <w:tc>
          <w:tcPr>
            <w:tcW w:type="dxa" w:w="1438"/>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30" w:lineRule="auto" w:before="58" w:after="0"/>
              <w:ind w:left="324" w:right="0" w:firstLine="0"/>
              <w:jc w:val="left"/>
            </w:pPr>
            <w:r>
              <w:rPr>
                <w:rFonts w:ascii="Times New Roman" w:hAnsi="Times New Roman" w:eastAsia="Times New Roman"/>
                <w:b w:val="0"/>
                <w:i w:val="0"/>
                <w:color w:val="000000"/>
                <w:sz w:val="20"/>
              </w:rPr>
              <w:t>135,143,611</w:t>
            </w:r>
          </w:p>
        </w:tc>
        <w:tc>
          <w:tcPr>
            <w:tcW w:type="dxa" w:w="170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30" w:lineRule="auto" w:before="114" w:after="0"/>
              <w:ind w:left="0" w:right="54" w:firstLine="0"/>
              <w:jc w:val="right"/>
            </w:pPr>
            <w:r>
              <w:rPr>
                <w:rFonts w:ascii="Times New Roman" w:hAnsi="Times New Roman" w:eastAsia="Times New Roman"/>
                <w:b w:val="0"/>
                <w:i w:val="0"/>
                <w:color w:val="000000"/>
                <w:sz w:val="20"/>
              </w:rPr>
              <w:t xml:space="preserve">213,254,141 </w:t>
            </w:r>
          </w:p>
        </w:tc>
        <w:tc>
          <w:tcPr>
            <w:tcW w:type="dxa" w:w="1296"/>
            <w:tcBorders>
              <w:start w:sz="4.0" w:val="single" w:color="#000000"/>
              <w:top w:sz="4.0" w:val="single" w:color="#000000"/>
              <w:end w:sz="3.199999999999818" w:val="single" w:color="#000000"/>
              <w:bottom w:sz="3.200000000000273" w:val="single" w:color="#000000"/>
            </w:tcBorders>
            <w:tcMar>
              <w:start w:w="0" w:type="dxa"/>
              <w:end w:w="0" w:type="dxa"/>
            </w:tcMar>
          </w:tcPr>
          <w:p>
            <w:pPr>
              <w:autoSpaceDN w:val="0"/>
              <w:autoSpaceDE w:val="0"/>
              <w:widowControl/>
              <w:spacing w:line="221" w:lineRule="auto" w:before="64" w:after="0"/>
              <w:ind w:left="0" w:right="106" w:firstLine="0"/>
              <w:jc w:val="right"/>
            </w:pPr>
            <w:r>
              <w:rPr>
                <w:rFonts w:ascii="Times New Roman" w:hAnsi="Times New Roman" w:eastAsia="Times New Roman"/>
                <w:b w:val="0"/>
                <w:i w:val="0"/>
                <w:color w:val="000000"/>
                <w:sz w:val="20"/>
              </w:rPr>
              <w:t>-3</w:t>
            </w:r>
            <w:r>
              <w:rPr>
                <w:rFonts w:ascii="Calibri" w:hAnsi="Calibri" w:eastAsia="Calibri"/>
                <w:b w:val="0"/>
                <w:i w:val="0"/>
                <w:color w:val="000000"/>
                <w:sz w:val="20"/>
              </w:rPr>
              <w:t>6.63</w:t>
            </w:r>
            <w:r>
              <w:rPr>
                <w:rFonts w:ascii="Times New Roman" w:hAnsi="Times New Roman" w:eastAsia="Times New Roman"/>
                <w:b w:val="0"/>
                <w:i w:val="0"/>
                <w:color w:val="000000"/>
                <w:sz w:val="20"/>
              </w:rPr>
              <w:t>%</w:t>
            </w:r>
          </w:p>
        </w:tc>
        <w:tc>
          <w:tcPr>
            <w:tcW w:type="dxa" w:w="3016"/>
            <w:tcBorders>
              <w:start w:sz="3.199999999999818" w:val="single" w:color="#000000"/>
              <w:top w:sz="4.0" w:val="single" w:color="#000000"/>
              <w:end w:sz="7.199999999999818" w:val="single" w:color="#000000"/>
              <w:bottom w:sz="3.200000000000273"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金融工具公允价值变动影响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00" w:lineRule="exact" w:before="110" w:after="0"/>
              <w:ind w:left="104" w:right="0" w:firstLine="0"/>
              <w:jc w:val="left"/>
            </w:pPr>
            <w:r>
              <w:rPr>
                <w:rFonts w:ascii="宋体" w:hAnsi="宋体" w:eastAsia="宋体"/>
                <w:b w:val="0"/>
                <w:i w:val="0"/>
                <w:color w:val="000000"/>
                <w:sz w:val="20"/>
              </w:rPr>
              <w:t>应付短期融资款</w:t>
            </w:r>
          </w:p>
        </w:tc>
        <w:tc>
          <w:tcPr>
            <w:tcW w:type="dxa" w:w="143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0" w:right="56" w:firstLine="0"/>
              <w:jc w:val="right"/>
            </w:pPr>
            <w:r>
              <w:rPr>
                <w:rFonts w:ascii="Times New Roman" w:hAnsi="Times New Roman" w:eastAsia="Times New Roman"/>
                <w:b w:val="0"/>
                <w:i w:val="0"/>
                <w:color w:val="000000"/>
                <w:sz w:val="20"/>
              </w:rPr>
              <w:t xml:space="preserve">36,140,651 </w:t>
            </w:r>
          </w:p>
        </w:tc>
        <w:tc>
          <w:tcPr>
            <w:tcW w:type="dxa" w:w="170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0" w:right="54" w:firstLine="0"/>
              <w:jc w:val="right"/>
            </w:pPr>
            <w:r>
              <w:rPr>
                <w:rFonts w:ascii="Times New Roman" w:hAnsi="Times New Roman" w:eastAsia="Times New Roman"/>
                <w:b w:val="0"/>
                <w:i w:val="0"/>
                <w:color w:val="000000"/>
                <w:sz w:val="20"/>
              </w:rPr>
              <w:t xml:space="preserve">872,573,450 </w:t>
            </w:r>
          </w:p>
        </w:tc>
        <w:tc>
          <w:tcPr>
            <w:tcW w:type="dxa" w:w="1296"/>
            <w:tcBorders>
              <w:start w:sz="4.0" w:val="single" w:color="#000000"/>
              <w:top w:sz="3.200000000000273"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8" w:after="0"/>
              <w:ind w:left="0" w:right="106" w:firstLine="0"/>
              <w:jc w:val="right"/>
            </w:pPr>
            <w:r>
              <w:rPr>
                <w:rFonts w:ascii="Times New Roman" w:hAnsi="Times New Roman" w:eastAsia="Times New Roman"/>
                <w:b w:val="0"/>
                <w:i w:val="0"/>
                <w:color w:val="000000"/>
                <w:sz w:val="20"/>
              </w:rPr>
              <w:t>-95.86%</w:t>
            </w:r>
          </w:p>
        </w:tc>
        <w:tc>
          <w:tcPr>
            <w:tcW w:type="dxa" w:w="3016"/>
            <w:tcBorders>
              <w:start w:sz="3.199999999999818" w:val="single" w:color="#000000"/>
              <w:top w:sz="3.200000000000273"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收益凭证规模减少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2" w:after="0"/>
              <w:ind w:left="104" w:right="0" w:firstLine="0"/>
              <w:jc w:val="left"/>
            </w:pPr>
            <w:r>
              <w:rPr>
                <w:rFonts w:ascii="宋体" w:hAnsi="宋体" w:eastAsia="宋体"/>
                <w:b w:val="0"/>
                <w:i w:val="0"/>
                <w:color w:val="000000"/>
                <w:sz w:val="20"/>
              </w:rPr>
              <w:t>交易性金融负债</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172" w:right="0" w:firstLine="0"/>
              <w:jc w:val="left"/>
            </w:pPr>
            <w:r>
              <w:rPr>
                <w:rFonts w:ascii="Times New Roman" w:hAnsi="Times New Roman" w:eastAsia="Times New Roman"/>
                <w:b w:val="0"/>
                <w:i w:val="0"/>
                <w:color w:val="000000"/>
                <w:sz w:val="20"/>
              </w:rPr>
              <w:t xml:space="preserve">3,369,245,850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54" w:firstLine="0"/>
              <w:jc w:val="right"/>
            </w:pPr>
            <w:r>
              <w:rPr>
                <w:rFonts w:ascii="Times New Roman" w:hAnsi="Times New Roman" w:eastAsia="Times New Roman"/>
                <w:b w:val="0"/>
                <w:i w:val="0"/>
                <w:color w:val="000000"/>
                <w:sz w:val="20"/>
              </w:rPr>
              <w:t xml:space="preserve">1,512,007,369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60" w:after="0"/>
              <w:ind w:left="0" w:right="106" w:firstLine="0"/>
              <w:jc w:val="right"/>
            </w:pPr>
            <w:r>
              <w:rPr>
                <w:rFonts w:ascii="Times New Roman" w:hAnsi="Times New Roman" w:eastAsia="Times New Roman"/>
                <w:b w:val="0"/>
                <w:i w:val="0"/>
                <w:color w:val="000000"/>
                <w:sz w:val="20"/>
              </w:rPr>
              <w:t>122.83%</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卖出的借入债券规模增加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2" w:after="0"/>
              <w:ind w:left="104" w:right="0" w:firstLine="0"/>
              <w:jc w:val="left"/>
            </w:pPr>
            <w:r>
              <w:rPr>
                <w:rFonts w:ascii="宋体" w:hAnsi="宋体" w:eastAsia="宋体"/>
                <w:b w:val="0"/>
                <w:i w:val="0"/>
                <w:color w:val="000000"/>
                <w:sz w:val="20"/>
              </w:rPr>
              <w:t>衍生金融负债</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56" w:firstLine="0"/>
              <w:jc w:val="right"/>
            </w:pPr>
            <w:r>
              <w:rPr>
                <w:rFonts w:ascii="Times New Roman" w:hAnsi="Times New Roman" w:eastAsia="Times New Roman"/>
                <w:b w:val="0"/>
                <w:i w:val="0"/>
                <w:color w:val="000000"/>
                <w:sz w:val="20"/>
              </w:rPr>
              <w:t xml:space="preserve">86,426,912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54" w:firstLine="0"/>
              <w:jc w:val="right"/>
            </w:pPr>
            <w:r>
              <w:rPr>
                <w:rFonts w:ascii="Times New Roman" w:hAnsi="Times New Roman" w:eastAsia="Times New Roman"/>
                <w:b w:val="0"/>
                <w:i w:val="0"/>
                <w:color w:val="000000"/>
                <w:sz w:val="20"/>
              </w:rPr>
              <w:t xml:space="preserve">131,465,972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106" w:firstLine="0"/>
              <w:jc w:val="right"/>
            </w:pPr>
            <w:r>
              <w:rPr>
                <w:rFonts w:ascii="Times New Roman" w:hAnsi="Times New Roman" w:eastAsia="Times New Roman"/>
                <w:b w:val="0"/>
                <w:i w:val="0"/>
                <w:color w:val="000000"/>
                <w:sz w:val="20"/>
              </w:rPr>
              <w:t>-34.26%</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衍生金融工具规模减少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12" w:after="0"/>
              <w:ind w:left="104" w:right="0" w:firstLine="0"/>
              <w:jc w:val="left"/>
            </w:pPr>
            <w:r>
              <w:rPr>
                <w:rFonts w:ascii="宋体" w:hAnsi="宋体" w:eastAsia="宋体"/>
                <w:b w:val="0"/>
                <w:i w:val="0"/>
                <w:color w:val="000000"/>
                <w:sz w:val="20"/>
              </w:rPr>
              <w:t>代理承销证券款</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 -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125,599,933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104" w:firstLine="0"/>
              <w:jc w:val="right"/>
            </w:pPr>
            <w:r>
              <w:rPr>
                <w:rFonts w:ascii="Times New Roman" w:hAnsi="Times New Roman" w:eastAsia="Times New Roman"/>
                <w:b w:val="0"/>
                <w:i w:val="0"/>
                <w:color w:val="000000"/>
                <w:sz w:val="20"/>
              </w:rPr>
              <w:t>-100.00%</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向客户划付承销款项 </w:t>
            </w:r>
          </w:p>
        </w:tc>
      </w:tr>
      <w:tr>
        <w:trPr>
          <w:trHeight w:hRule="exact" w:val="350"/>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12" w:after="0"/>
              <w:ind w:left="104" w:right="0" w:firstLine="0"/>
              <w:jc w:val="left"/>
            </w:pPr>
            <w:r>
              <w:rPr>
                <w:rFonts w:ascii="宋体" w:hAnsi="宋体" w:eastAsia="宋体"/>
                <w:b w:val="0"/>
                <w:i w:val="0"/>
                <w:color w:val="000000"/>
                <w:sz w:val="20"/>
              </w:rPr>
              <w:t>应付职工薪酬</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324" w:right="0" w:firstLine="0"/>
              <w:jc w:val="left"/>
            </w:pPr>
            <w:r>
              <w:rPr>
                <w:rFonts w:ascii="Times New Roman" w:hAnsi="Times New Roman" w:eastAsia="Times New Roman"/>
                <w:b w:val="0"/>
                <w:i w:val="0"/>
                <w:color w:val="000000"/>
                <w:sz w:val="20"/>
              </w:rPr>
              <w:t>149,427,011</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0" w:right="54" w:firstLine="0"/>
              <w:jc w:val="right"/>
            </w:pPr>
            <w:r>
              <w:rPr>
                <w:rFonts w:ascii="Times New Roman" w:hAnsi="Times New Roman" w:eastAsia="Times New Roman"/>
                <w:b w:val="0"/>
                <w:i w:val="0"/>
                <w:color w:val="000000"/>
                <w:sz w:val="20"/>
              </w:rPr>
              <w:t xml:space="preserve">96,518,278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54.82%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应付短期薪酬增加 </w:t>
            </w:r>
          </w:p>
        </w:tc>
      </w:tr>
      <w:tr>
        <w:trPr>
          <w:trHeight w:hRule="exact" w:val="352"/>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4" w:after="0"/>
              <w:ind w:left="104" w:right="0" w:firstLine="0"/>
              <w:jc w:val="left"/>
            </w:pPr>
            <w:r>
              <w:rPr>
                <w:rFonts w:ascii="宋体" w:hAnsi="宋体" w:eastAsia="宋体"/>
                <w:b w:val="0"/>
                <w:i w:val="0"/>
                <w:color w:val="000000"/>
                <w:sz w:val="20"/>
              </w:rPr>
              <w:t>应付款项</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8" w:after="0"/>
              <w:ind w:left="0" w:right="104" w:firstLine="0"/>
              <w:jc w:val="right"/>
            </w:pPr>
            <w:r>
              <w:rPr>
                <w:rFonts w:ascii="Times New Roman" w:hAnsi="Times New Roman" w:eastAsia="Times New Roman"/>
                <w:b w:val="0"/>
                <w:i w:val="0"/>
                <w:color w:val="000000"/>
                <w:sz w:val="20"/>
              </w:rPr>
              <w:t>93,168,277</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0" w:right="54" w:firstLine="0"/>
              <w:jc w:val="right"/>
            </w:pPr>
            <w:r>
              <w:rPr>
                <w:rFonts w:ascii="Times New Roman" w:hAnsi="Times New Roman" w:eastAsia="Times New Roman"/>
                <w:b w:val="0"/>
                <w:i w:val="0"/>
                <w:color w:val="000000"/>
                <w:sz w:val="20"/>
              </w:rPr>
              <w:t xml:space="preserve">366,687,841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8" w:after="0"/>
              <w:ind w:left="0" w:right="54" w:firstLine="0"/>
              <w:jc w:val="right"/>
            </w:pPr>
            <w:r>
              <w:rPr>
                <w:rFonts w:ascii="Times New Roman" w:hAnsi="Times New Roman" w:eastAsia="Times New Roman"/>
                <w:b w:val="0"/>
                <w:i w:val="0"/>
                <w:color w:val="000000"/>
                <w:sz w:val="20"/>
              </w:rPr>
              <w:t xml:space="preserve">-74.59%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应付仓单采购款减少 </w:t>
            </w:r>
          </w:p>
        </w:tc>
      </w:tr>
      <w:tr>
        <w:trPr>
          <w:trHeight w:hRule="exact" w:val="348"/>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0" w:after="0"/>
              <w:ind w:left="104" w:right="0" w:firstLine="0"/>
              <w:jc w:val="left"/>
            </w:pPr>
            <w:r>
              <w:rPr>
                <w:rFonts w:ascii="宋体" w:hAnsi="宋体" w:eastAsia="宋体"/>
                <w:b w:val="0"/>
                <w:i w:val="0"/>
                <w:color w:val="000000"/>
                <w:sz w:val="20"/>
              </w:rPr>
              <w:t>递延所得税负债</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104" w:firstLine="0"/>
              <w:jc w:val="right"/>
            </w:pPr>
            <w:r>
              <w:rPr>
                <w:rFonts w:ascii="Times New Roman" w:hAnsi="Times New Roman" w:eastAsia="Times New Roman"/>
                <w:b w:val="0"/>
                <w:i w:val="0"/>
                <w:color w:val="000000"/>
                <w:sz w:val="20"/>
              </w:rPr>
              <w:t>53,668,910</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111,707,421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21" w:lineRule="auto" w:before="62" w:after="0"/>
              <w:ind w:left="0" w:right="106" w:firstLine="0"/>
              <w:jc w:val="right"/>
            </w:pPr>
            <w:r>
              <w:rPr>
                <w:rFonts w:ascii="Times New Roman" w:hAnsi="Times New Roman" w:eastAsia="Times New Roman"/>
                <w:b w:val="0"/>
                <w:i w:val="0"/>
                <w:color w:val="000000"/>
                <w:sz w:val="20"/>
              </w:rPr>
              <w:t>-51.</w:t>
            </w:r>
            <w:r>
              <w:rPr>
                <w:rFonts w:ascii="Calibri" w:hAnsi="Calibri" w:eastAsia="Calibri"/>
                <w:b w:val="0"/>
                <w:i w:val="0"/>
                <w:color w:val="000000"/>
                <w:sz w:val="20"/>
              </w:rPr>
              <w:t>96</w:t>
            </w:r>
            <w:r>
              <w:rPr>
                <w:rFonts w:ascii="Times New Roman" w:hAnsi="Times New Roman" w:eastAsia="Times New Roman"/>
                <w:b w:val="0"/>
                <w:i w:val="0"/>
                <w:color w:val="000000"/>
                <w:sz w:val="20"/>
              </w:rPr>
              <w:t>%</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金融工具公允价值变动影响 </w:t>
            </w:r>
          </w:p>
        </w:tc>
      </w:tr>
      <w:tr>
        <w:trPr>
          <w:trHeight w:hRule="exact" w:val="476"/>
        </w:trPr>
        <w:tc>
          <w:tcPr>
            <w:tcW w:type="dxa" w:w="1820"/>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36" w:after="0"/>
              <w:ind w:left="104" w:right="0" w:firstLine="0"/>
              <w:jc w:val="left"/>
            </w:pPr>
            <w:r>
              <w:rPr>
                <w:rFonts w:ascii="宋体" w:hAnsi="宋体" w:eastAsia="宋体"/>
                <w:b w:val="0"/>
                <w:i w:val="0"/>
                <w:color w:val="000000"/>
                <w:sz w:val="20"/>
              </w:rPr>
              <w:t>其他负债</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22" w:after="0"/>
              <w:ind w:left="0" w:right="0" w:firstLine="0"/>
              <w:jc w:val="center"/>
            </w:pPr>
            <w:r>
              <w:rPr>
                <w:rFonts w:ascii="Times New Roman" w:hAnsi="Times New Roman" w:eastAsia="Times New Roman"/>
                <w:b w:val="0"/>
                <w:i w:val="0"/>
                <w:color w:val="000000"/>
                <w:sz w:val="20"/>
              </w:rPr>
              <w:t>1,364,567,880</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22" w:after="0"/>
              <w:ind w:left="0" w:right="54" w:firstLine="0"/>
              <w:jc w:val="right"/>
            </w:pPr>
            <w:r>
              <w:rPr>
                <w:rFonts w:ascii="Times New Roman" w:hAnsi="Times New Roman" w:eastAsia="Times New Roman"/>
                <w:b w:val="0"/>
                <w:i w:val="0"/>
                <w:color w:val="000000"/>
                <w:sz w:val="20"/>
              </w:rPr>
              <w:t xml:space="preserve">2,219,106,081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22" w:after="0"/>
              <w:ind w:left="0" w:right="106" w:firstLine="0"/>
              <w:jc w:val="right"/>
            </w:pPr>
            <w:r>
              <w:rPr>
                <w:rFonts w:ascii="Times New Roman" w:hAnsi="Times New Roman" w:eastAsia="Times New Roman"/>
                <w:b w:val="0"/>
                <w:i w:val="0"/>
                <w:color w:val="000000"/>
                <w:sz w:val="20"/>
              </w:rPr>
              <w:t>-38.51%</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20" w:lineRule="exact" w:before="0" w:after="0"/>
              <w:ind w:left="104" w:right="144" w:firstLine="0"/>
              <w:jc w:val="left"/>
            </w:pPr>
            <w:r>
              <w:rPr>
                <w:rFonts w:ascii="宋体" w:hAnsi="宋体" w:eastAsia="宋体"/>
                <w:b w:val="0"/>
                <w:i w:val="0"/>
                <w:color w:val="000000"/>
                <w:sz w:val="18"/>
              </w:rPr>
              <w:t>应付代理基金申赎业务款减少、收</w:t>
            </w:r>
            <w:r>
              <w:rPr>
                <w:rFonts w:ascii="宋体" w:hAnsi="宋体" w:eastAsia="宋体"/>
                <w:b w:val="0"/>
                <w:i w:val="0"/>
                <w:color w:val="000000"/>
                <w:sz w:val="18"/>
              </w:rPr>
              <w:t xml:space="preserve">取场外期权保证金减少 </w:t>
            </w:r>
          </w:p>
        </w:tc>
      </w:tr>
      <w:tr>
        <w:trPr>
          <w:trHeight w:hRule="exact" w:val="352"/>
        </w:trPr>
        <w:tc>
          <w:tcPr>
            <w:tcW w:type="dxa" w:w="398"/>
            <w:tcBorders>
              <w:start w:sz="7.2000000000000455" w:val="single" w:color="#000000"/>
              <w:top w:sz="4.0" w:val="single" w:color="#000000"/>
              <w:end w:sz="3.1999999999999886" w:val="single" w:color="#000000"/>
              <w:bottom w:sz="4.0" w:val="single" w:color="#000000"/>
            </w:tcBorders>
            <w:shd w:fill="d2d2d2"/>
            <w:tcMar>
              <w:start w:w="0" w:type="dxa"/>
              <w:end w:w="0" w:type="dxa"/>
            </w:tcMar>
          </w:tcPr>
          <w:p/>
        </w:tc>
        <w:tc>
          <w:tcPr>
            <w:tcW w:type="dxa" w:w="2380"/>
            <w:tcBorders>
              <w:start w:sz="3.1999999999999886"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78" w:after="0"/>
              <w:ind w:left="0" w:right="914" w:firstLine="0"/>
              <w:jc w:val="right"/>
            </w:pPr>
            <w:r>
              <w:rPr>
                <w:rFonts w:ascii="宋体" w:hAnsi="宋体" w:eastAsia="宋体"/>
                <w:b w:val="0"/>
                <w:i w:val="0"/>
                <w:color w:val="000000"/>
                <w:sz w:val="18"/>
              </w:rPr>
              <w:t xml:space="preserve">项目 </w:t>
            </w:r>
          </w:p>
        </w:tc>
        <w:tc>
          <w:tcPr>
            <w:tcW w:type="dxa" w:w="143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00" w:lineRule="exact" w:before="74" w:after="0"/>
              <w:ind w:left="0" w:right="0" w:firstLine="0"/>
              <w:jc w:val="center"/>
            </w:pPr>
            <w:r>
              <w:rPr>
                <w:rFonts w:ascii="Calibri" w:hAnsi="Calibri" w:eastAsia="Calibri"/>
                <w:b/>
                <w:i w:val="0"/>
                <w:color w:val="000000"/>
                <w:sz w:val="18"/>
              </w:rPr>
              <w:t>2024</w:t>
            </w:r>
            <w:r>
              <w:rPr>
                <w:rFonts w:ascii="宋体" w:hAnsi="宋体" w:eastAsia="宋体"/>
                <w:b w:val="0"/>
                <w:i w:val="0"/>
                <w:color w:val="000000"/>
                <w:sz w:val="18"/>
              </w:rPr>
              <w:t xml:space="preserve"> 年</w:t>
            </w:r>
          </w:p>
        </w:tc>
        <w:tc>
          <w:tcPr>
            <w:tcW w:type="dxa" w:w="170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00" w:lineRule="exact" w:before="74" w:after="0"/>
              <w:ind w:left="0" w:right="0" w:firstLine="0"/>
              <w:jc w:val="center"/>
            </w:pPr>
            <w:r>
              <w:rPr>
                <w:rFonts w:ascii="Calibri" w:hAnsi="Calibri" w:eastAsia="Calibri"/>
                <w:b/>
                <w:i w:val="0"/>
                <w:color w:val="000000"/>
                <w:sz w:val="18"/>
              </w:rPr>
              <w:t>2023</w:t>
            </w:r>
            <w:r>
              <w:rPr>
                <w:rFonts w:ascii="宋体" w:hAnsi="宋体" w:eastAsia="宋体"/>
                <w:b w:val="0"/>
                <w:i w:val="0"/>
                <w:color w:val="000000"/>
                <w:sz w:val="18"/>
              </w:rPr>
              <w:t xml:space="preserve"> 年</w:t>
            </w:r>
          </w:p>
        </w:tc>
        <w:tc>
          <w:tcPr>
            <w:tcW w:type="dxa" w:w="1296"/>
            <w:tcBorders>
              <w:start w:sz="4.0" w:val="single" w:color="#000000"/>
              <w:top w:sz="4.0"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增减</w:t>
            </w:r>
          </w:p>
        </w:tc>
        <w:tc>
          <w:tcPr>
            <w:tcW w:type="dxa" w:w="3016"/>
            <w:tcBorders>
              <w:start w:sz="3.199999999999818" w:val="single" w:color="#000000"/>
              <w:top w:sz="4.0" w:val="single" w:color="#000000"/>
              <w:end w:sz="7.199999999999818" w:val="single" w:color="#000000"/>
              <w:bottom w:sz="4.0" w:val="single" w:color="#000000"/>
            </w:tcBorders>
            <w:shd w:fill="d2d2d2"/>
            <w:tcMar>
              <w:start w:w="0" w:type="dxa"/>
              <w:end w:w="0" w:type="dxa"/>
            </w:tcMar>
          </w:tcPr>
          <w:p>
            <w:pPr>
              <w:autoSpaceDN w:val="0"/>
              <w:autoSpaceDE w:val="0"/>
              <w:widowControl/>
              <w:spacing w:line="180" w:lineRule="exact" w:before="78" w:after="0"/>
              <w:ind w:left="0" w:right="1048" w:firstLine="0"/>
              <w:jc w:val="right"/>
            </w:pPr>
            <w:r>
              <w:rPr>
                <w:rFonts w:ascii="宋体" w:hAnsi="宋体" w:eastAsia="宋体"/>
                <w:b w:val="0"/>
                <w:i w:val="0"/>
                <w:color w:val="000000"/>
                <w:sz w:val="18"/>
              </w:rPr>
              <w:t xml:space="preserve">变动原因 </w:t>
            </w:r>
          </w:p>
        </w:tc>
      </w:tr>
      <w:tr>
        <w:trPr>
          <w:trHeight w:hRule="exact" w:val="526"/>
        </w:trPr>
        <w:tc>
          <w:tcPr>
            <w:tcW w:type="dxa" w:w="398"/>
            <w:vMerge w:val="restart"/>
            <w:tcBorders>
              <w:start w:sz="7.2000000000000455" w:val="single" w:color="#000000"/>
              <w:top w:sz="4.0" w:val="single" w:color="#000000"/>
              <w:end w:sz="3.199999999999988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1108" w:after="0"/>
              <w:ind w:left="102" w:right="14" w:firstLine="0"/>
              <w:jc w:val="both"/>
            </w:pPr>
            <w:r>
              <w:rPr>
                <w:rFonts w:ascii="宋体" w:hAnsi="宋体" w:eastAsia="宋体"/>
                <w:b w:val="0"/>
                <w:i w:val="0"/>
                <w:color w:val="000000"/>
                <w:sz w:val="18"/>
              </w:rPr>
              <w:t>利</w:t>
            </w:r>
            <w:r>
              <w:br/>
            </w:r>
            <w:r>
              <w:rPr>
                <w:rFonts w:ascii="宋体" w:hAnsi="宋体" w:eastAsia="宋体"/>
                <w:b w:val="0"/>
                <w:i w:val="0"/>
                <w:color w:val="000000"/>
                <w:sz w:val="18"/>
              </w:rPr>
              <w:t>润</w:t>
            </w:r>
            <w:r>
              <w:br/>
            </w:r>
            <w:r>
              <w:rPr>
                <w:rFonts w:ascii="宋体" w:hAnsi="宋体" w:eastAsia="宋体"/>
                <w:b w:val="0"/>
                <w:i w:val="0"/>
                <w:color w:val="000000"/>
                <w:sz w:val="18"/>
              </w:rPr>
              <w:t xml:space="preserve">表 </w:t>
            </w: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宋体" w:hAnsi="宋体" w:eastAsia="宋体"/>
                <w:b w:val="0"/>
                <w:i w:val="0"/>
                <w:color w:val="000000"/>
                <w:sz w:val="20"/>
              </w:rPr>
              <w:t>证券经纪业务手续费净</w:t>
            </w:r>
            <w:r>
              <w:rPr>
                <w:rFonts w:ascii="宋体" w:hAnsi="宋体" w:eastAsia="宋体"/>
                <w:b w:val="0"/>
                <w:i w:val="0"/>
                <w:color w:val="000000"/>
                <w:sz w:val="20"/>
              </w:rPr>
              <w:t>收入</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322" w:right="0" w:firstLine="0"/>
              <w:jc w:val="left"/>
            </w:pPr>
            <w:r>
              <w:rPr>
                <w:rFonts w:ascii="Times New Roman" w:hAnsi="Times New Roman" w:eastAsia="Times New Roman"/>
                <w:b w:val="0"/>
                <w:i w:val="0"/>
                <w:color w:val="000000"/>
                <w:sz w:val="20"/>
              </w:rPr>
              <w:t xml:space="preserve">596,311,817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452,149,883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6" w:after="0"/>
              <w:ind w:left="0" w:right="102" w:firstLine="0"/>
              <w:jc w:val="right"/>
            </w:pPr>
            <w:r>
              <w:rPr>
                <w:rFonts w:ascii="Times New Roman" w:hAnsi="Times New Roman" w:eastAsia="Times New Roman"/>
                <w:b w:val="0"/>
                <w:i w:val="0"/>
                <w:color w:val="000000"/>
                <w:sz w:val="20"/>
              </w:rPr>
              <w:t>31.88%</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证券经纪业务规模增加 </w:t>
            </w:r>
          </w:p>
        </w:tc>
      </w:tr>
      <w:tr>
        <w:trPr>
          <w:trHeight w:hRule="exact" w:val="530"/>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新宋体" w:hAnsi="新宋体" w:eastAsia="新宋体"/>
                <w:b w:val="0"/>
                <w:i w:val="0"/>
                <w:color w:val="000000"/>
                <w:sz w:val="20"/>
              </w:rPr>
              <w:t>期货经纪业务手续费净</w:t>
            </w:r>
            <w:r>
              <w:rPr>
                <w:rFonts w:ascii="新宋体" w:hAnsi="新宋体" w:eastAsia="新宋体"/>
                <w:b w:val="0"/>
                <w:i w:val="0"/>
                <w:color w:val="000000"/>
                <w:sz w:val="20"/>
              </w:rPr>
              <w:t>收入</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8" w:after="0"/>
              <w:ind w:left="0" w:right="56" w:firstLine="0"/>
              <w:jc w:val="right"/>
            </w:pPr>
            <w:r>
              <w:rPr>
                <w:rFonts w:ascii="Times New Roman" w:hAnsi="Times New Roman" w:eastAsia="Times New Roman"/>
                <w:b w:val="0"/>
                <w:i w:val="0"/>
                <w:color w:val="000000"/>
                <w:sz w:val="20"/>
              </w:rPr>
              <w:t xml:space="preserve">89,559,006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8" w:after="0"/>
              <w:ind w:left="0" w:right="54" w:firstLine="0"/>
              <w:jc w:val="right"/>
            </w:pPr>
            <w:r>
              <w:rPr>
                <w:rFonts w:ascii="Times New Roman" w:hAnsi="Times New Roman" w:eastAsia="Times New Roman"/>
                <w:b w:val="0"/>
                <w:i w:val="0"/>
                <w:color w:val="000000"/>
                <w:sz w:val="20"/>
              </w:rPr>
              <w:t xml:space="preserve">130,649,447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148" w:after="0"/>
              <w:ind w:left="0" w:right="106" w:firstLine="0"/>
              <w:jc w:val="right"/>
            </w:pPr>
            <w:r>
              <w:rPr>
                <w:rFonts w:ascii="Times New Roman" w:hAnsi="Times New Roman" w:eastAsia="Times New Roman"/>
                <w:b w:val="0"/>
                <w:i w:val="0"/>
                <w:color w:val="000000"/>
                <w:sz w:val="20"/>
              </w:rPr>
              <w:t>-31.45%</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期货经纪业务规模减少 </w:t>
            </w:r>
          </w:p>
        </w:tc>
      </w:tr>
      <w:tr>
        <w:trPr>
          <w:trHeight w:hRule="exact" w:val="528"/>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宋体" w:hAnsi="宋体" w:eastAsia="宋体"/>
                <w:b w:val="0"/>
                <w:i w:val="0"/>
                <w:color w:val="000000"/>
                <w:sz w:val="20"/>
              </w:rPr>
              <w:t>投资咨询服务手续费净</w:t>
            </w:r>
            <w:r>
              <w:rPr>
                <w:rFonts w:ascii="宋体" w:hAnsi="宋体" w:eastAsia="宋体"/>
                <w:b w:val="0"/>
                <w:i w:val="0"/>
                <w:color w:val="000000"/>
                <w:sz w:val="20"/>
              </w:rPr>
              <w:t>收入</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6" w:firstLine="0"/>
              <w:jc w:val="right"/>
            </w:pPr>
            <w:r>
              <w:rPr>
                <w:rFonts w:ascii="Times New Roman" w:hAnsi="Times New Roman" w:eastAsia="Times New Roman"/>
                <w:b w:val="0"/>
                <w:i w:val="0"/>
                <w:color w:val="000000"/>
                <w:sz w:val="20"/>
              </w:rPr>
              <w:t xml:space="preserve">70,264,005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4" w:firstLine="0"/>
              <w:jc w:val="right"/>
            </w:pPr>
            <w:r>
              <w:rPr>
                <w:rFonts w:ascii="Times New Roman" w:hAnsi="Times New Roman" w:eastAsia="Times New Roman"/>
                <w:b w:val="0"/>
                <w:i w:val="0"/>
                <w:color w:val="000000"/>
                <w:sz w:val="20"/>
              </w:rPr>
              <w:t xml:space="preserve">29,106,806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146" w:after="0"/>
              <w:ind w:left="0" w:right="106" w:firstLine="0"/>
              <w:jc w:val="right"/>
            </w:pPr>
            <w:r>
              <w:rPr>
                <w:rFonts w:ascii="Times New Roman" w:hAnsi="Times New Roman" w:eastAsia="Times New Roman"/>
                <w:b w:val="0"/>
                <w:i w:val="0"/>
                <w:color w:val="000000"/>
                <w:sz w:val="20"/>
              </w:rPr>
              <w:t>141.40%</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6" w:after="0"/>
              <w:ind w:left="104" w:right="0" w:firstLine="0"/>
              <w:jc w:val="left"/>
            </w:pPr>
            <w:r>
              <w:rPr>
                <w:rFonts w:ascii="宋体" w:hAnsi="宋体" w:eastAsia="宋体"/>
                <w:b w:val="0"/>
                <w:i w:val="0"/>
                <w:color w:val="000000"/>
                <w:sz w:val="18"/>
              </w:rPr>
              <w:t xml:space="preserve">投资咨询业务规模增加 </w:t>
            </w:r>
          </w:p>
        </w:tc>
      </w:tr>
      <w:tr>
        <w:trPr>
          <w:trHeight w:hRule="exact" w:val="352"/>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00" w:lineRule="exact" w:before="114" w:after="0"/>
              <w:ind w:left="104" w:right="0" w:firstLine="0"/>
              <w:jc w:val="left"/>
            </w:pPr>
            <w:r>
              <w:rPr>
                <w:rFonts w:ascii="新宋体" w:hAnsi="新宋体" w:eastAsia="新宋体"/>
                <w:b w:val="0"/>
                <w:i w:val="0"/>
                <w:color w:val="000000"/>
                <w:sz w:val="20"/>
              </w:rPr>
              <w:t>利息净收入</w:t>
            </w:r>
          </w:p>
        </w:tc>
        <w:tc>
          <w:tcPr>
            <w:tcW w:type="dxa" w:w="14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60" w:after="0"/>
              <w:ind w:left="0" w:right="104" w:firstLine="0"/>
              <w:jc w:val="right"/>
            </w:pPr>
            <w:r>
              <w:rPr>
                <w:rFonts w:ascii="Times New Roman" w:hAnsi="Times New Roman" w:eastAsia="Times New Roman"/>
                <w:b w:val="0"/>
                <w:i w:val="0"/>
                <w:color w:val="000000"/>
                <w:sz w:val="20"/>
              </w:rPr>
              <w:t>-55,638,756</w:t>
            </w:r>
          </w:p>
        </w:tc>
        <w:tc>
          <w:tcPr>
            <w:tcW w:type="dxa" w:w="170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60" w:after="0"/>
              <w:ind w:left="0" w:right="104" w:firstLine="0"/>
              <w:jc w:val="right"/>
            </w:pPr>
            <w:r>
              <w:rPr>
                <w:rFonts w:ascii="Times New Roman" w:hAnsi="Times New Roman" w:eastAsia="Times New Roman"/>
                <w:b w:val="0"/>
                <w:i w:val="0"/>
                <w:color w:val="000000"/>
                <w:sz w:val="20"/>
              </w:rPr>
              <w:t>-137,573,748</w:t>
            </w:r>
          </w:p>
        </w:tc>
        <w:tc>
          <w:tcPr>
            <w:tcW w:type="dxa" w:w="1296"/>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98" w:lineRule="exact" w:before="74"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3.199999999999818"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报告期利息支出减少 </w:t>
            </w:r>
          </w:p>
        </w:tc>
      </w:tr>
      <w:tr>
        <w:trPr>
          <w:trHeight w:hRule="exact" w:val="350"/>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00" w:lineRule="exact" w:before="110" w:after="0"/>
              <w:ind w:left="104" w:right="0" w:firstLine="0"/>
              <w:jc w:val="left"/>
            </w:pPr>
            <w:r>
              <w:rPr>
                <w:rFonts w:ascii="新宋体" w:hAnsi="新宋体" w:eastAsia="新宋体"/>
                <w:b w:val="0"/>
                <w:i w:val="0"/>
                <w:color w:val="000000"/>
                <w:sz w:val="20"/>
              </w:rPr>
              <w:t>其他业务收入</w:t>
            </w:r>
          </w:p>
        </w:tc>
        <w:tc>
          <w:tcPr>
            <w:tcW w:type="dxa" w:w="14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322" w:right="0" w:firstLine="0"/>
              <w:jc w:val="left"/>
            </w:pPr>
            <w:r>
              <w:rPr>
                <w:rFonts w:ascii="Times New Roman" w:hAnsi="Times New Roman" w:eastAsia="Times New Roman"/>
                <w:b w:val="0"/>
                <w:i w:val="0"/>
                <w:color w:val="000000"/>
                <w:sz w:val="20"/>
              </w:rPr>
              <w:t xml:space="preserve">220,919,978 </w:t>
            </w:r>
          </w:p>
        </w:tc>
        <w:tc>
          <w:tcPr>
            <w:tcW w:type="dxa" w:w="170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14" w:after="0"/>
              <w:ind w:left="0" w:right="54" w:firstLine="0"/>
              <w:jc w:val="right"/>
            </w:pPr>
            <w:r>
              <w:rPr>
                <w:rFonts w:ascii="Times New Roman" w:hAnsi="Times New Roman" w:eastAsia="Times New Roman"/>
                <w:b w:val="0"/>
                <w:i w:val="0"/>
                <w:color w:val="000000"/>
                <w:sz w:val="20"/>
              </w:rPr>
              <w:t xml:space="preserve">598,500,556 </w:t>
            </w:r>
          </w:p>
        </w:tc>
        <w:tc>
          <w:tcPr>
            <w:tcW w:type="dxa" w:w="1296"/>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8" w:after="0"/>
              <w:ind w:left="0" w:right="106" w:firstLine="0"/>
              <w:jc w:val="right"/>
            </w:pPr>
            <w:r>
              <w:rPr>
                <w:rFonts w:ascii="Times New Roman" w:hAnsi="Times New Roman" w:eastAsia="Times New Roman"/>
                <w:b w:val="0"/>
                <w:i w:val="0"/>
                <w:color w:val="000000"/>
                <w:sz w:val="20"/>
              </w:rPr>
              <w:t>-63.09%</w:t>
            </w:r>
          </w:p>
        </w:tc>
        <w:tc>
          <w:tcPr>
            <w:tcW w:type="dxa" w:w="3016"/>
            <w:tcBorders>
              <w:start w:sz="3.199999999999818" w:val="single" w:color="#000000"/>
              <w:top w:sz="3.199999999999818"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仓单业务规模减少 </w:t>
            </w:r>
          </w:p>
        </w:tc>
      </w:tr>
      <w:tr>
        <w:trPr>
          <w:trHeight w:hRule="exact" w:val="348"/>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08" w:after="0"/>
              <w:ind w:left="104" w:right="0" w:firstLine="0"/>
              <w:jc w:val="left"/>
            </w:pPr>
            <w:r>
              <w:rPr>
                <w:rFonts w:ascii="新宋体" w:hAnsi="新宋体" w:eastAsia="新宋体"/>
                <w:b w:val="0"/>
                <w:i w:val="0"/>
                <w:color w:val="000000"/>
                <w:sz w:val="20"/>
              </w:rPr>
              <w:t>资产处置损益</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104" w:firstLine="0"/>
              <w:jc w:val="right"/>
            </w:pPr>
            <w:r>
              <w:rPr>
                <w:rFonts w:ascii="Times New Roman" w:hAnsi="Times New Roman" w:eastAsia="Times New Roman"/>
                <w:b w:val="0"/>
                <w:i w:val="0"/>
                <w:color w:val="000000"/>
                <w:sz w:val="20"/>
              </w:rPr>
              <w:t>-414,796</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54" w:firstLine="0"/>
              <w:jc w:val="right"/>
            </w:pPr>
            <w:r>
              <w:rPr>
                <w:rFonts w:ascii="Times New Roman" w:hAnsi="Times New Roman" w:eastAsia="Times New Roman"/>
                <w:b w:val="0"/>
                <w:i w:val="0"/>
                <w:color w:val="000000"/>
                <w:sz w:val="20"/>
              </w:rPr>
              <w:t xml:space="preserve">194,809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6" w:after="0"/>
              <w:ind w:left="0" w:right="104" w:firstLine="0"/>
              <w:jc w:val="right"/>
            </w:pPr>
            <w:r>
              <w:rPr>
                <w:rFonts w:ascii="Times New Roman" w:hAnsi="Times New Roman" w:eastAsia="Times New Roman"/>
                <w:b w:val="0"/>
                <w:i w:val="0"/>
                <w:color w:val="000000"/>
                <w:sz w:val="20"/>
              </w:rPr>
              <w:t>-312.92%</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报告期固定资产处置损失增加 </w:t>
            </w:r>
          </w:p>
        </w:tc>
      </w:tr>
      <w:tr>
        <w:trPr>
          <w:trHeight w:hRule="exact" w:val="350"/>
        </w:trPr>
        <w:tc>
          <w:tcPr>
            <w:tcW w:type="dxa" w:w="1820"/>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2" w:after="0"/>
              <w:ind w:left="104" w:right="0" w:firstLine="0"/>
              <w:jc w:val="left"/>
            </w:pPr>
            <w:r>
              <w:rPr>
                <w:rFonts w:ascii="新宋体" w:hAnsi="新宋体" w:eastAsia="新宋体"/>
                <w:b w:val="0"/>
                <w:i w:val="0"/>
                <w:color w:val="000000"/>
                <w:sz w:val="20"/>
              </w:rPr>
              <w:t>信用减值损失</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104" w:firstLine="0"/>
              <w:jc w:val="right"/>
            </w:pPr>
            <w:r>
              <w:rPr>
                <w:rFonts w:ascii="Times New Roman" w:hAnsi="Times New Roman" w:eastAsia="Times New Roman"/>
                <w:b w:val="0"/>
                <w:i w:val="0"/>
                <w:color w:val="000000"/>
                <w:sz w:val="20"/>
              </w:rPr>
              <w:t>25,443,795</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12" w:after="0"/>
              <w:ind w:left="0" w:right="102" w:firstLine="0"/>
              <w:jc w:val="right"/>
            </w:pPr>
            <w:r>
              <w:rPr>
                <w:rFonts w:ascii="Times New Roman" w:hAnsi="Times New Roman" w:eastAsia="Times New Roman"/>
                <w:b w:val="0"/>
                <w:i w:val="0"/>
                <w:color w:val="000000"/>
                <w:sz w:val="20"/>
              </w:rPr>
              <w:t>61,371,540</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6" w:after="0"/>
              <w:ind w:left="0" w:right="106" w:firstLine="0"/>
              <w:jc w:val="right"/>
            </w:pPr>
            <w:r>
              <w:rPr>
                <w:rFonts w:ascii="Times New Roman" w:hAnsi="Times New Roman" w:eastAsia="Times New Roman"/>
                <w:b w:val="0"/>
                <w:i w:val="0"/>
                <w:color w:val="000000"/>
                <w:sz w:val="20"/>
              </w:rPr>
              <w:t>-58.54%</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报告期计提减值准备减少 </w:t>
            </w:r>
          </w:p>
        </w:tc>
      </w:tr>
    </w:tbl>
    <w:p>
      <w:pPr>
        <w:autoSpaceDN w:val="0"/>
        <w:autoSpaceDE w:val="0"/>
        <w:widowControl/>
        <w:spacing w:line="197" w:lineRule="auto" w:before="600" w:after="0"/>
        <w:ind w:left="0" w:right="5304" w:firstLine="0"/>
        <w:jc w:val="right"/>
      </w:pPr>
      <w:r>
        <w:rPr>
          <w:rFonts w:ascii="Calibri" w:hAnsi="Calibri" w:eastAsia="Calibri"/>
          <w:b w:val="0"/>
          <w:i w:val="0"/>
          <w:color w:val="000000"/>
          <w:sz w:val="18"/>
        </w:rPr>
        <w:t xml:space="preserve">42 </w:t>
      </w:r>
    </w:p>
    <w:p>
      <w:pPr>
        <w:sectPr>
          <w:type w:val="continuous"/>
          <w:pgSz w:w="11904" w:h="16841"/>
          <w:pgMar w:top="424" w:right="518" w:bottom="446" w:left="468" w:header="720" w:footer="720" w:gutter="0"/>
          <w:cols/>
          <w:docGrid w:linePitch="360"/>
        </w:sectPr>
      </w:pPr>
    </w:p>
    <w:p>
      <w:pPr>
        <w:autoSpaceDN w:val="0"/>
        <w:autoSpaceDE w:val="0"/>
        <w:widowControl/>
        <w:spacing w:line="220" w:lineRule="exact" w:before="0" w:after="206"/>
        <w:ind w:left="0" w:right="0"/>
      </w:pPr>
    </w:p>
    <w:p>
      <w:pPr>
        <w:sectPr>
          <w:pgSz w:w="11904" w:h="16841"/>
          <w:pgMar w:top="424" w:right="806" w:bottom="446" w:left="826" w:header="720" w:footer="720" w:gutter="0"/>
          <w:cols/>
          <w:docGrid w:linePitch="360"/>
        </w:sectPr>
      </w:pPr>
    </w:p>
    <w:p>
      <w:pPr>
        <w:autoSpaceDN w:val="0"/>
        <w:autoSpaceDE w:val="0"/>
        <w:widowControl/>
        <w:spacing w:line="240" w:lineRule="auto" w:before="0" w:after="0"/>
        <w:ind w:left="308" w:right="0" w:firstLine="0"/>
        <w:jc w:val="left"/>
      </w:pPr>
      <w:r>
        <w:drawing>
          <wp:inline xmlns:a="http://schemas.openxmlformats.org/drawingml/2006/main" xmlns:pic="http://schemas.openxmlformats.org/drawingml/2006/picture">
            <wp:extent cx="1844039" cy="439419"/>
            <wp:docPr id="45" name="Picture 4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806" w:bottom="446" w:left="826" w:header="720" w:footer="720" w:gutter="0"/>
          <w:cols w:num="2" w:equalWidth="0">
            <w:col w:w="5714" w:space="0"/>
            <w:col w:w="4558" w:space="0"/>
          </w:cols>
          <w:docGrid w:linePitch="360"/>
        </w:sectPr>
      </w:pPr>
    </w:p>
    <w:p>
      <w:pPr>
        <w:autoSpaceDN w:val="0"/>
        <w:autoSpaceDE w:val="0"/>
        <w:widowControl/>
        <w:spacing w:line="200" w:lineRule="exact" w:before="0" w:after="30"/>
        <w:ind w:left="0" w:right="34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806" w:bottom="446" w:left="826" w:header="720" w:footer="720" w:gutter="0"/>
          <w:cols w:num="2" w:equalWidth="0">
            <w:col w:w="5714" w:space="0"/>
            <w:col w:w="455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10.0" w:type="dxa"/>
      </w:tblPr>
      <w:tblGrid>
        <w:gridCol w:w="1712"/>
        <w:gridCol w:w="1712"/>
        <w:gridCol w:w="1712"/>
        <w:gridCol w:w="1712"/>
        <w:gridCol w:w="1712"/>
        <w:gridCol w:w="1712"/>
      </w:tblGrid>
      <w:tr>
        <w:trPr>
          <w:trHeight w:hRule="exact" w:val="348"/>
        </w:trPr>
        <w:tc>
          <w:tcPr>
            <w:tcW w:type="dxa" w:w="398"/>
            <w:vMerge w:val="restart"/>
            <w:tcBorders>
              <w:start w:sz="7.2000000000000455" w:val="single" w:color="#000000"/>
              <w:top w:sz="4.0" w:val="single" w:color="#000000"/>
              <w:end w:sz="3.1999999999999886"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tc>
        <w:tc>
          <w:tcPr>
            <w:tcW w:type="dxa" w:w="2380"/>
            <w:tcBorders>
              <w:start w:sz="3.1999999999999886"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98" w:lineRule="exact" w:before="108" w:after="0"/>
              <w:ind w:left="104" w:right="0" w:firstLine="0"/>
              <w:jc w:val="left"/>
            </w:pPr>
            <w:r>
              <w:rPr>
                <w:rFonts w:ascii="新宋体" w:hAnsi="新宋体" w:eastAsia="新宋体"/>
                <w:b w:val="0"/>
                <w:i w:val="0"/>
                <w:color w:val="000000"/>
                <w:sz w:val="20"/>
              </w:rPr>
              <w:t>其他业务成本</w:t>
            </w:r>
          </w:p>
        </w:tc>
        <w:tc>
          <w:tcPr>
            <w:tcW w:type="dxa" w:w="143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108" w:after="0"/>
              <w:ind w:left="324" w:right="0" w:firstLine="0"/>
              <w:jc w:val="left"/>
            </w:pPr>
            <w:r>
              <w:rPr>
                <w:rFonts w:ascii="Times New Roman" w:hAnsi="Times New Roman" w:eastAsia="Times New Roman"/>
                <w:b w:val="0"/>
                <w:i w:val="0"/>
                <w:color w:val="000000"/>
                <w:sz w:val="20"/>
              </w:rPr>
              <w:t>201,553,048</w:t>
            </w:r>
          </w:p>
        </w:tc>
        <w:tc>
          <w:tcPr>
            <w:tcW w:type="dxa" w:w="170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108" w:after="0"/>
              <w:ind w:left="0" w:right="104" w:firstLine="0"/>
              <w:jc w:val="right"/>
            </w:pPr>
            <w:r>
              <w:rPr>
                <w:rFonts w:ascii="Times New Roman" w:hAnsi="Times New Roman" w:eastAsia="Times New Roman"/>
                <w:b w:val="0"/>
                <w:i w:val="0"/>
                <w:color w:val="000000"/>
                <w:sz w:val="20"/>
              </w:rPr>
              <w:t>569,280,571</w:t>
            </w:r>
          </w:p>
        </w:tc>
        <w:tc>
          <w:tcPr>
            <w:tcW w:type="dxa" w:w="1296"/>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4" w:after="0"/>
              <w:ind w:left="0" w:right="106" w:firstLine="0"/>
              <w:jc w:val="right"/>
            </w:pPr>
            <w:r>
              <w:rPr>
                <w:rFonts w:ascii="Times New Roman" w:hAnsi="Times New Roman" w:eastAsia="Times New Roman"/>
                <w:b w:val="0"/>
                <w:i w:val="0"/>
                <w:color w:val="000000"/>
                <w:sz w:val="20"/>
              </w:rPr>
              <w:t>-64.60%</w:t>
            </w:r>
          </w:p>
        </w:tc>
        <w:tc>
          <w:tcPr>
            <w:tcW w:type="dxa" w:w="3016"/>
            <w:tcBorders>
              <w:start w:sz="3.199999999999818" w:val="single" w:color="#000000"/>
              <w:top w:sz="5.600000000000023"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4" w:after="0"/>
              <w:ind w:left="104" w:right="0" w:firstLine="0"/>
              <w:jc w:val="left"/>
            </w:pPr>
            <w:r>
              <w:rPr>
                <w:rFonts w:ascii="宋体" w:hAnsi="宋体" w:eastAsia="宋体"/>
                <w:b w:val="0"/>
                <w:i w:val="0"/>
                <w:color w:val="000000"/>
                <w:sz w:val="18"/>
              </w:rPr>
              <w:t xml:space="preserve">仓单业务规模减少 </w:t>
            </w:r>
          </w:p>
        </w:tc>
      </w:tr>
      <w:tr>
        <w:trPr>
          <w:trHeight w:hRule="exact" w:val="350"/>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0" w:after="0"/>
              <w:ind w:left="104" w:right="0" w:firstLine="0"/>
              <w:jc w:val="left"/>
            </w:pPr>
            <w:r>
              <w:rPr>
                <w:rFonts w:ascii="新宋体" w:hAnsi="新宋体" w:eastAsia="新宋体"/>
                <w:b w:val="0"/>
                <w:i w:val="0"/>
                <w:color w:val="000000"/>
                <w:sz w:val="20"/>
              </w:rPr>
              <w:t>营业外收入</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 686,790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12" w:after="0"/>
              <w:ind w:left="0" w:right="54" w:firstLine="0"/>
              <w:jc w:val="right"/>
            </w:pPr>
            <w:r>
              <w:rPr>
                <w:rFonts w:ascii="Times New Roman" w:hAnsi="Times New Roman" w:eastAsia="Times New Roman"/>
                <w:b w:val="0"/>
                <w:i w:val="0"/>
                <w:color w:val="000000"/>
                <w:sz w:val="20"/>
              </w:rPr>
              <w:t xml:space="preserve"> 1,988,448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106" w:firstLine="0"/>
              <w:jc w:val="right"/>
            </w:pPr>
            <w:r>
              <w:rPr>
                <w:rFonts w:ascii="Times New Roman" w:hAnsi="Times New Roman" w:eastAsia="Times New Roman"/>
                <w:b w:val="0"/>
                <w:i w:val="0"/>
                <w:color w:val="000000"/>
                <w:sz w:val="20"/>
              </w:rPr>
              <w:t>-65.46%</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与日常经营活动无关的收入减少 </w:t>
            </w:r>
          </w:p>
        </w:tc>
      </w:tr>
      <w:tr>
        <w:trPr>
          <w:trHeight w:hRule="exact" w:val="530"/>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新宋体" w:hAnsi="新宋体" w:eastAsia="新宋体"/>
                <w:b w:val="0"/>
                <w:i w:val="0"/>
                <w:color w:val="000000"/>
                <w:sz w:val="20"/>
              </w:rPr>
              <w:t>其他权益工具投资公允</w:t>
            </w:r>
            <w:r>
              <w:rPr>
                <w:rFonts w:ascii="新宋体" w:hAnsi="新宋体" w:eastAsia="新宋体"/>
                <w:b w:val="0"/>
                <w:i w:val="0"/>
                <w:color w:val="000000"/>
                <w:sz w:val="20"/>
              </w:rPr>
              <w:t>价值变动</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104" w:firstLine="0"/>
              <w:jc w:val="right"/>
            </w:pPr>
            <w:r>
              <w:rPr>
                <w:rFonts w:ascii="Times New Roman" w:hAnsi="Times New Roman" w:eastAsia="Times New Roman"/>
                <w:b w:val="0"/>
                <w:i w:val="0"/>
                <w:color w:val="000000"/>
                <w:sz w:val="20"/>
              </w:rPr>
              <w:t>-14,941,252</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102" w:firstLine="0"/>
              <w:jc w:val="right"/>
            </w:pPr>
            <w:r>
              <w:rPr>
                <w:rFonts w:ascii="Times New Roman" w:hAnsi="Times New Roman" w:eastAsia="Times New Roman"/>
                <w:b w:val="0"/>
                <w:i w:val="0"/>
                <w:color w:val="000000"/>
                <w:sz w:val="20"/>
              </w:rPr>
              <w:t>-8,664,006</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0"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证券市场波动导致持有的权益工具</w:t>
            </w:r>
            <w:r>
              <w:rPr>
                <w:rFonts w:ascii="宋体" w:hAnsi="宋体" w:eastAsia="宋体"/>
                <w:b w:val="0"/>
                <w:i w:val="0"/>
                <w:color w:val="000000"/>
                <w:sz w:val="18"/>
              </w:rPr>
              <w:t xml:space="preserve">价格波动 </w:t>
            </w:r>
          </w:p>
        </w:tc>
      </w:tr>
      <w:tr>
        <w:trPr>
          <w:trHeight w:hRule="exact" w:val="528"/>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宋体" w:hAnsi="宋体" w:eastAsia="宋体"/>
                <w:b w:val="0"/>
                <w:i w:val="0"/>
                <w:color w:val="000000"/>
                <w:sz w:val="20"/>
              </w:rPr>
              <w:t>其他债权投资公允价值</w:t>
            </w:r>
            <w:r>
              <w:rPr>
                <w:rFonts w:ascii="宋体" w:hAnsi="宋体" w:eastAsia="宋体"/>
                <w:b w:val="0"/>
                <w:i w:val="0"/>
                <w:color w:val="000000"/>
                <w:sz w:val="20"/>
              </w:rPr>
              <w:t>变动</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104" w:firstLine="0"/>
              <w:jc w:val="right"/>
            </w:pPr>
            <w:r>
              <w:rPr>
                <w:rFonts w:ascii="Times New Roman" w:hAnsi="Times New Roman" w:eastAsia="Times New Roman"/>
                <w:b w:val="0"/>
                <w:i w:val="0"/>
                <w:color w:val="000000"/>
                <w:sz w:val="20"/>
              </w:rPr>
              <w:t>-1,047,835</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102" w:firstLine="0"/>
              <w:jc w:val="right"/>
            </w:pPr>
            <w:r>
              <w:rPr>
                <w:rFonts w:ascii="Times New Roman" w:hAnsi="Times New Roman" w:eastAsia="Times New Roman"/>
                <w:b w:val="0"/>
                <w:i w:val="0"/>
                <w:color w:val="000000"/>
                <w:sz w:val="20"/>
              </w:rPr>
              <w:t>-3,518,327</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0"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证券市场波动导致持有的其他债权</w:t>
            </w:r>
            <w:r>
              <w:rPr>
                <w:rFonts w:ascii="宋体" w:hAnsi="宋体" w:eastAsia="宋体"/>
                <w:b w:val="0"/>
                <w:i w:val="0"/>
                <w:color w:val="000000"/>
                <w:sz w:val="18"/>
              </w:rPr>
              <w:t xml:space="preserve">投资价格波动 </w:t>
            </w:r>
          </w:p>
        </w:tc>
      </w:tr>
      <w:tr>
        <w:trPr>
          <w:trHeight w:hRule="exact" w:val="526"/>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144" w:firstLine="0"/>
              <w:jc w:val="left"/>
            </w:pPr>
            <w:r>
              <w:rPr>
                <w:rFonts w:ascii="新宋体" w:hAnsi="新宋体" w:eastAsia="新宋体"/>
                <w:b w:val="0"/>
                <w:i w:val="0"/>
                <w:color w:val="000000"/>
                <w:sz w:val="20"/>
              </w:rPr>
              <w:t>其他债权投资信用损失</w:t>
            </w:r>
            <w:r>
              <w:rPr>
                <w:rFonts w:ascii="新宋体" w:hAnsi="新宋体" w:eastAsia="新宋体"/>
                <w:b w:val="0"/>
                <w:i w:val="0"/>
                <w:color w:val="000000"/>
                <w:sz w:val="20"/>
              </w:rPr>
              <w:t>准备</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6" w:firstLine="0"/>
              <w:jc w:val="right"/>
            </w:pPr>
            <w:r>
              <w:rPr>
                <w:rFonts w:ascii="Times New Roman" w:hAnsi="Times New Roman" w:eastAsia="Times New Roman"/>
                <w:b w:val="0"/>
                <w:i w:val="0"/>
                <w:color w:val="000000"/>
                <w:sz w:val="20"/>
              </w:rPr>
              <w:t xml:space="preserve">5,139,242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4" w:firstLine="0"/>
              <w:jc w:val="right"/>
            </w:pPr>
            <w:r>
              <w:rPr>
                <w:rFonts w:ascii="Times New Roman" w:hAnsi="Times New Roman" w:eastAsia="Times New Roman"/>
                <w:b w:val="0"/>
                <w:i w:val="0"/>
                <w:color w:val="000000"/>
                <w:sz w:val="20"/>
              </w:rPr>
              <w:t xml:space="preserve">1,037,259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146" w:after="0"/>
              <w:ind w:left="0" w:right="106" w:firstLine="0"/>
              <w:jc w:val="right"/>
            </w:pPr>
            <w:r>
              <w:rPr>
                <w:rFonts w:ascii="Times New Roman" w:hAnsi="Times New Roman" w:eastAsia="Times New Roman"/>
                <w:b w:val="0"/>
                <w:i w:val="0"/>
                <w:color w:val="000000"/>
                <w:sz w:val="20"/>
              </w:rPr>
              <w:t>395.46%</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报告期内计提的其他债权投资信用</w:t>
            </w:r>
            <w:r>
              <w:rPr>
                <w:rFonts w:ascii="宋体" w:hAnsi="宋体" w:eastAsia="宋体"/>
                <w:b w:val="0"/>
                <w:i w:val="0"/>
                <w:color w:val="000000"/>
                <w:sz w:val="18"/>
              </w:rPr>
              <w:t xml:space="preserve">减值准备增加 </w:t>
            </w:r>
          </w:p>
        </w:tc>
      </w:tr>
      <w:tr>
        <w:trPr>
          <w:trHeight w:hRule="exact" w:val="352"/>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00" w:lineRule="exact" w:before="112" w:after="0"/>
              <w:ind w:left="104" w:right="0" w:firstLine="0"/>
              <w:jc w:val="left"/>
            </w:pPr>
            <w:r>
              <w:rPr>
                <w:rFonts w:ascii="新宋体" w:hAnsi="新宋体" w:eastAsia="新宋体"/>
                <w:b w:val="0"/>
                <w:i w:val="0"/>
                <w:color w:val="000000"/>
                <w:sz w:val="20"/>
              </w:rPr>
              <w:t>外币财务报表折算差额</w:t>
            </w:r>
          </w:p>
        </w:tc>
        <w:tc>
          <w:tcPr>
            <w:tcW w:type="dxa" w:w="14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8" w:after="0"/>
              <w:ind w:left="0" w:right="56" w:firstLine="0"/>
              <w:jc w:val="right"/>
            </w:pPr>
            <w:r>
              <w:rPr>
                <w:rFonts w:ascii="Times New Roman" w:hAnsi="Times New Roman" w:eastAsia="Times New Roman"/>
                <w:b w:val="0"/>
                <w:i w:val="0"/>
                <w:color w:val="000000"/>
                <w:sz w:val="20"/>
              </w:rPr>
              <w:t xml:space="preserve">16,060,235 </w:t>
            </w:r>
          </w:p>
        </w:tc>
        <w:tc>
          <w:tcPr>
            <w:tcW w:type="dxa" w:w="170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10,333,346 </w:t>
            </w:r>
          </w:p>
        </w:tc>
        <w:tc>
          <w:tcPr>
            <w:tcW w:type="dxa" w:w="1296"/>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230" w:lineRule="auto" w:before="58" w:after="0"/>
              <w:ind w:left="0" w:right="102" w:firstLine="0"/>
              <w:jc w:val="right"/>
            </w:pPr>
            <w:r>
              <w:rPr>
                <w:rFonts w:ascii="Times New Roman" w:hAnsi="Times New Roman" w:eastAsia="Times New Roman"/>
                <w:b w:val="0"/>
                <w:i w:val="0"/>
                <w:color w:val="000000"/>
                <w:sz w:val="20"/>
              </w:rPr>
              <w:t>55.42%</w:t>
            </w:r>
          </w:p>
        </w:tc>
        <w:tc>
          <w:tcPr>
            <w:tcW w:type="dxa" w:w="3016"/>
            <w:tcBorders>
              <w:start w:sz="3.199999999999818" w:val="single" w:color="#000000"/>
              <w:top w:sz="4.0" w:val="single" w:color="#000000"/>
              <w:end w:sz="7.199999999999818" w:val="single" w:color="#000000"/>
              <w:bottom w:sz="3.199999999999818" w:val="single" w:color="#000000"/>
            </w:tcBorders>
            <w:tcMar>
              <w:start w:w="0" w:type="dxa"/>
              <w:end w:w="0" w:type="dxa"/>
            </w:tcMar>
          </w:tcPr>
          <w:p>
            <w:pPr>
              <w:autoSpaceDN w:val="0"/>
              <w:autoSpaceDE w:val="0"/>
              <w:widowControl/>
              <w:spacing w:line="180" w:lineRule="exact" w:before="80" w:after="0"/>
              <w:ind w:left="104" w:right="0" w:firstLine="0"/>
              <w:jc w:val="left"/>
            </w:pPr>
            <w:r>
              <w:rPr>
                <w:rFonts w:ascii="宋体" w:hAnsi="宋体" w:eastAsia="宋体"/>
                <w:b w:val="0"/>
                <w:i w:val="0"/>
                <w:color w:val="000000"/>
                <w:sz w:val="18"/>
              </w:rPr>
              <w:t xml:space="preserve">汇率变动影响 </w:t>
            </w:r>
          </w:p>
        </w:tc>
      </w:tr>
      <w:tr>
        <w:trPr>
          <w:trHeight w:hRule="exact" w:val="352"/>
        </w:trPr>
        <w:tc>
          <w:tcPr>
            <w:tcW w:type="dxa" w:w="1712"/>
            <w:vMerge/>
            <w:tcBorders>
              <w:start w:sz="7.2000000000000455" w:val="single" w:color="#000000"/>
              <w:top w:sz="4.0" w:val="single" w:color="#000000"/>
              <w:end w:sz="3.1999999999999886" w:val="single" w:color="#000000"/>
              <w:bottom w:sz="4.0" w:val="single" w:color="#000000"/>
            </w:tcBorders>
          </w:tcPr>
          <w:p/>
        </w:tc>
        <w:tc>
          <w:tcPr>
            <w:tcW w:type="dxa" w:w="2380"/>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98" w:lineRule="exact" w:before="114" w:after="0"/>
              <w:ind w:left="104" w:right="0" w:firstLine="0"/>
              <w:jc w:val="left"/>
            </w:pPr>
            <w:r>
              <w:rPr>
                <w:rFonts w:ascii="新宋体" w:hAnsi="新宋体" w:eastAsia="新宋体"/>
                <w:b w:val="0"/>
                <w:i w:val="0"/>
                <w:color w:val="000000"/>
                <w:sz w:val="20"/>
              </w:rPr>
              <w:t>现金流量套期储备</w:t>
            </w:r>
          </w:p>
        </w:tc>
        <w:tc>
          <w:tcPr>
            <w:tcW w:type="dxa" w:w="14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8" w:after="0"/>
              <w:ind w:left="0" w:right="56" w:firstLine="0"/>
              <w:jc w:val="right"/>
            </w:pPr>
            <w:r>
              <w:rPr>
                <w:rFonts w:ascii="Times New Roman" w:hAnsi="Times New Roman" w:eastAsia="Times New Roman"/>
                <w:b w:val="0"/>
                <w:i w:val="0"/>
                <w:color w:val="000000"/>
                <w:sz w:val="20"/>
              </w:rPr>
              <w:t xml:space="preserve">8,806,855 </w:t>
            </w:r>
          </w:p>
        </w:tc>
        <w:tc>
          <w:tcPr>
            <w:tcW w:type="dxa" w:w="170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8" w:after="0"/>
              <w:ind w:left="0" w:right="54" w:firstLine="0"/>
              <w:jc w:val="right"/>
            </w:pPr>
            <w:r>
              <w:rPr>
                <w:rFonts w:ascii="Times New Roman" w:hAnsi="Times New Roman" w:eastAsia="Times New Roman"/>
                <w:b w:val="0"/>
                <w:i w:val="0"/>
                <w:color w:val="000000"/>
                <w:sz w:val="20"/>
              </w:rPr>
              <w:t xml:space="preserve">21,270,959 </w:t>
            </w:r>
          </w:p>
        </w:tc>
        <w:tc>
          <w:tcPr>
            <w:tcW w:type="dxa" w:w="1296"/>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8" w:after="0"/>
              <w:ind w:left="0" w:right="106" w:firstLine="0"/>
              <w:jc w:val="right"/>
            </w:pPr>
            <w:r>
              <w:rPr>
                <w:rFonts w:ascii="Times New Roman" w:hAnsi="Times New Roman" w:eastAsia="Times New Roman"/>
                <w:b w:val="0"/>
                <w:i w:val="0"/>
                <w:color w:val="000000"/>
                <w:sz w:val="20"/>
              </w:rPr>
              <w:t>-58.60%</w:t>
            </w:r>
          </w:p>
        </w:tc>
        <w:tc>
          <w:tcPr>
            <w:tcW w:type="dxa" w:w="3016"/>
            <w:tcBorders>
              <w:start w:sz="3.199999999999818" w:val="single" w:color="#000000"/>
              <w:top w:sz="3.199999999999818"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82" w:after="0"/>
              <w:ind w:left="104" w:right="0" w:firstLine="0"/>
              <w:jc w:val="left"/>
            </w:pPr>
            <w:r>
              <w:rPr>
                <w:rFonts w:ascii="宋体" w:hAnsi="宋体" w:eastAsia="宋体"/>
                <w:b w:val="0"/>
                <w:i w:val="0"/>
                <w:color w:val="000000"/>
                <w:sz w:val="18"/>
              </w:rPr>
              <w:t xml:space="preserve">美元债套期保值业务影响 </w:t>
            </w:r>
          </w:p>
        </w:tc>
      </w:tr>
      <w:tr>
        <w:trPr>
          <w:trHeight w:hRule="exact" w:val="350"/>
        </w:trPr>
        <w:tc>
          <w:tcPr>
            <w:tcW w:type="dxa" w:w="398"/>
            <w:tcBorders>
              <w:start w:sz="7.2000000000000455" w:val="single" w:color="#000000"/>
              <w:top w:sz="4.0" w:val="single" w:color="#000000"/>
              <w:end w:sz="3.1999999999999886" w:val="single" w:color="#000000"/>
              <w:bottom w:sz="4.0" w:val="single" w:color="#000000"/>
            </w:tcBorders>
            <w:shd w:fill="bebfbe"/>
            <w:tcMar>
              <w:start w:w="0" w:type="dxa"/>
              <w:end w:w="0" w:type="dxa"/>
            </w:tcMar>
          </w:tcPr>
          <w:p/>
        </w:tc>
        <w:tc>
          <w:tcPr>
            <w:tcW w:type="dxa" w:w="2380"/>
            <w:tcBorders>
              <w:start w:sz="3.1999999999999886"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180" w:lineRule="exact" w:before="78" w:after="0"/>
              <w:ind w:left="0" w:right="914" w:firstLine="0"/>
              <w:jc w:val="right"/>
            </w:pPr>
            <w:r>
              <w:rPr>
                <w:rFonts w:ascii="宋体" w:hAnsi="宋体" w:eastAsia="宋体"/>
                <w:b w:val="0"/>
                <w:i w:val="0"/>
                <w:color w:val="000000"/>
                <w:sz w:val="18"/>
              </w:rPr>
              <w:t xml:space="preserve">项目 </w:t>
            </w:r>
          </w:p>
        </w:tc>
        <w:tc>
          <w:tcPr>
            <w:tcW w:type="dxa" w:w="1438"/>
            <w:tcBorders>
              <w:start w:sz="4.0"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200" w:lineRule="exact" w:before="78" w:after="0"/>
              <w:ind w:left="0" w:right="0" w:firstLine="0"/>
              <w:jc w:val="center"/>
            </w:pPr>
            <w:r>
              <w:rPr>
                <w:rFonts w:ascii="Calibri" w:hAnsi="Calibri" w:eastAsia="Calibri"/>
                <w:b/>
                <w:i w:val="0"/>
                <w:color w:val="000000"/>
                <w:sz w:val="18"/>
              </w:rPr>
              <w:t>2024</w:t>
            </w:r>
            <w:r>
              <w:rPr>
                <w:rFonts w:ascii="宋体" w:hAnsi="宋体" w:eastAsia="宋体"/>
                <w:b w:val="0"/>
                <w:i w:val="0"/>
                <w:color w:val="000000"/>
                <w:sz w:val="18"/>
              </w:rPr>
              <w:t xml:space="preserve"> 年</w:t>
            </w:r>
          </w:p>
        </w:tc>
        <w:tc>
          <w:tcPr>
            <w:tcW w:type="dxa" w:w="1706"/>
            <w:tcBorders>
              <w:start w:sz="4.0"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200" w:lineRule="exact" w:before="78" w:after="0"/>
              <w:ind w:left="0" w:right="0" w:firstLine="0"/>
              <w:jc w:val="center"/>
            </w:pPr>
            <w:r>
              <w:rPr>
                <w:rFonts w:ascii="Calibri" w:hAnsi="Calibri" w:eastAsia="Calibri"/>
                <w:b/>
                <w:i w:val="0"/>
                <w:color w:val="000000"/>
                <w:sz w:val="18"/>
              </w:rPr>
              <w:t>2023</w:t>
            </w:r>
            <w:r>
              <w:rPr>
                <w:rFonts w:ascii="宋体" w:hAnsi="宋体" w:eastAsia="宋体"/>
                <w:b w:val="0"/>
                <w:i w:val="0"/>
                <w:color w:val="000000"/>
                <w:sz w:val="18"/>
              </w:rPr>
              <w:t xml:space="preserve"> 年</w:t>
            </w:r>
          </w:p>
        </w:tc>
        <w:tc>
          <w:tcPr>
            <w:tcW w:type="dxa" w:w="1296"/>
            <w:tcBorders>
              <w:start w:sz="4.0" w:val="single" w:color="#000000"/>
              <w:top w:sz="4.0" w:val="single" w:color="#000000"/>
              <w:end w:sz="3.199999999999818" w:val="single" w:color="#000000"/>
              <w:bottom w:sz="4.0" w:val="single" w:color="#000000"/>
            </w:tcBorders>
            <w:shd w:fill="bebfbe"/>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增减</w:t>
            </w:r>
          </w:p>
        </w:tc>
        <w:tc>
          <w:tcPr>
            <w:tcW w:type="dxa" w:w="3016"/>
            <w:tcBorders>
              <w:start w:sz="3.199999999999818" w:val="single" w:color="#000000"/>
              <w:top w:sz="4.0" w:val="single" w:color="#000000"/>
              <w:end w:sz="7.199999999999818" w:val="single" w:color="#000000"/>
              <w:bottom w:sz="4.0" w:val="single" w:color="#000000"/>
            </w:tcBorders>
            <w:shd w:fill="bebfbe"/>
            <w:tcMar>
              <w:start w:w="0" w:type="dxa"/>
              <w:end w:w="0" w:type="dxa"/>
            </w:tcMar>
          </w:tcPr>
          <w:p>
            <w:pPr>
              <w:autoSpaceDN w:val="0"/>
              <w:autoSpaceDE w:val="0"/>
              <w:widowControl/>
              <w:spacing w:line="180" w:lineRule="exact" w:before="78" w:after="0"/>
              <w:ind w:left="0" w:right="1048" w:firstLine="0"/>
              <w:jc w:val="right"/>
            </w:pPr>
            <w:r>
              <w:rPr>
                <w:rFonts w:ascii="宋体" w:hAnsi="宋体" w:eastAsia="宋体"/>
                <w:b w:val="0"/>
                <w:i w:val="0"/>
                <w:color w:val="000000"/>
                <w:sz w:val="18"/>
              </w:rPr>
              <w:t xml:space="preserve">变动原因 </w:t>
            </w:r>
          </w:p>
        </w:tc>
      </w:tr>
      <w:tr>
        <w:trPr>
          <w:trHeight w:hRule="exact" w:val="526"/>
        </w:trPr>
        <w:tc>
          <w:tcPr>
            <w:tcW w:type="dxa" w:w="398"/>
            <w:vMerge w:val="restart"/>
            <w:tcBorders>
              <w:start w:sz="7.2000000000000455" w:val="single" w:color="#000000"/>
              <w:top w:sz="4.0" w:val="single" w:color="#000000"/>
              <w:end w:sz="3.199999999999988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4180" w:after="0"/>
              <w:ind w:left="102" w:right="14" w:firstLine="0"/>
              <w:jc w:val="both"/>
            </w:pPr>
            <w:r>
              <w:rPr>
                <w:rFonts w:ascii="宋体" w:hAnsi="宋体" w:eastAsia="宋体"/>
                <w:b w:val="0"/>
                <w:i w:val="0"/>
                <w:color w:val="000000"/>
                <w:sz w:val="18"/>
              </w:rPr>
              <w:t>现</w:t>
            </w:r>
            <w:r>
              <w:br/>
            </w:r>
            <w:r>
              <w:rPr>
                <w:rFonts w:ascii="宋体" w:hAnsi="宋体" w:eastAsia="宋体"/>
                <w:b w:val="0"/>
                <w:i w:val="0"/>
                <w:color w:val="000000"/>
                <w:sz w:val="18"/>
              </w:rPr>
              <w:t>金</w:t>
            </w:r>
            <w:r>
              <w:br/>
            </w:r>
            <w:r>
              <w:rPr>
                <w:rFonts w:ascii="宋体" w:hAnsi="宋体" w:eastAsia="宋体"/>
                <w:b w:val="0"/>
                <w:i w:val="0"/>
                <w:color w:val="000000"/>
                <w:sz w:val="18"/>
              </w:rPr>
              <w:t>流</w:t>
            </w:r>
            <w:r>
              <w:br/>
            </w:r>
            <w:r>
              <w:rPr>
                <w:rFonts w:ascii="宋体" w:hAnsi="宋体" w:eastAsia="宋体"/>
                <w:b w:val="0"/>
                <w:i w:val="0"/>
                <w:color w:val="000000"/>
                <w:sz w:val="18"/>
              </w:rPr>
              <w:t>量</w:t>
            </w:r>
            <w:r>
              <w:br/>
            </w:r>
            <w:r>
              <w:rPr>
                <w:rFonts w:ascii="宋体" w:hAnsi="宋体" w:eastAsia="宋体"/>
                <w:b w:val="0"/>
                <w:i w:val="0"/>
                <w:color w:val="000000"/>
                <w:sz w:val="18"/>
              </w:rPr>
              <w:t xml:space="preserve">表 </w:t>
            </w: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代理买卖证券款收到的</w:t>
            </w:r>
            <w:r>
              <w:rPr>
                <w:rFonts w:ascii="新宋体" w:hAnsi="新宋体" w:eastAsia="新宋体"/>
                <w:b w:val="0"/>
                <w:i w:val="0"/>
                <w:color w:val="000000"/>
                <w:sz w:val="20"/>
              </w:rPr>
              <w:t xml:space="preserve">现金净额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0" w:firstLine="0"/>
              <w:jc w:val="center"/>
            </w:pPr>
            <w:r>
              <w:rPr>
                <w:rFonts w:ascii="Times New Roman" w:hAnsi="Times New Roman" w:eastAsia="Times New Roman"/>
                <w:b w:val="0"/>
                <w:i w:val="0"/>
                <w:color w:val="000000"/>
                <w:sz w:val="20"/>
              </w:rPr>
              <w:t xml:space="preserve"> 3,791,923,986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2" w:firstLine="0"/>
              <w:jc w:val="right"/>
            </w:pPr>
            <w:r>
              <w:rPr>
                <w:rFonts w:ascii="Times New Roman" w:hAnsi="Times New Roman" w:eastAsia="Times New Roman"/>
                <w:b w:val="0"/>
                <w:i w:val="0"/>
                <w:color w:val="000000"/>
                <w:sz w:val="20"/>
              </w:rPr>
              <w:t xml:space="preserve">-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0"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代理买卖证券款规模增加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6" w:lineRule="exact" w:before="0" w:after="0"/>
              <w:ind w:left="104" w:right="0" w:firstLine="0"/>
              <w:jc w:val="left"/>
            </w:pPr>
            <w:r>
              <w:rPr>
                <w:rFonts w:ascii="新宋体" w:hAnsi="新宋体" w:eastAsia="新宋体"/>
                <w:b w:val="0"/>
                <w:i w:val="0"/>
                <w:color w:val="000000"/>
                <w:sz w:val="20"/>
              </w:rPr>
              <w:t>为交易目的而持有的金</w:t>
            </w:r>
            <w:r>
              <w:rPr>
                <w:rFonts w:ascii="新宋体" w:hAnsi="新宋体" w:eastAsia="新宋体"/>
                <w:b w:val="0"/>
                <w:i w:val="0"/>
                <w:color w:val="000000"/>
                <w:sz w:val="20"/>
              </w:rPr>
              <w:t>融资产净减少额</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20"/>
              </w:rPr>
              <w:t xml:space="preserve"> 2,047,431,160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2" w:after="0"/>
              <w:ind w:left="0" w:right="52" w:firstLine="0"/>
              <w:jc w:val="right"/>
            </w:pPr>
            <w:r>
              <w:rPr>
                <w:rFonts w:ascii="Times New Roman" w:hAnsi="Times New Roman" w:eastAsia="Times New Roman"/>
                <w:b w:val="0"/>
                <w:i w:val="0"/>
                <w:color w:val="000000"/>
                <w:sz w:val="20"/>
              </w:rPr>
              <w:t xml:space="preserve">-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2"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72" w:after="0"/>
              <w:ind w:left="104" w:right="0" w:firstLine="0"/>
              <w:jc w:val="left"/>
            </w:pPr>
            <w:r>
              <w:rPr>
                <w:rFonts w:ascii="宋体" w:hAnsi="宋体" w:eastAsia="宋体"/>
                <w:b w:val="0"/>
                <w:i w:val="0"/>
                <w:color w:val="000000"/>
                <w:sz w:val="18"/>
              </w:rPr>
              <w:t xml:space="preserve">交易性金融资产规模减少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6" w:lineRule="exact" w:before="0" w:after="0"/>
              <w:ind w:left="104" w:right="0" w:firstLine="0"/>
              <w:jc w:val="left"/>
            </w:pPr>
            <w:r>
              <w:rPr>
                <w:rFonts w:ascii="新宋体" w:hAnsi="新宋体" w:eastAsia="新宋体"/>
                <w:b w:val="0"/>
                <w:i w:val="0"/>
                <w:color w:val="000000"/>
                <w:sz w:val="20"/>
              </w:rPr>
              <w:t>为交易目的而持有的金</w:t>
            </w:r>
            <w:r>
              <w:rPr>
                <w:rFonts w:ascii="新宋体" w:hAnsi="新宋体" w:eastAsia="新宋体"/>
                <w:b w:val="0"/>
                <w:i w:val="0"/>
                <w:color w:val="000000"/>
                <w:sz w:val="20"/>
              </w:rPr>
              <w:t>融负债净增加额</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0" w:firstLine="0"/>
              <w:jc w:val="center"/>
            </w:pPr>
            <w:r>
              <w:rPr>
                <w:rFonts w:ascii="Times New Roman" w:hAnsi="Times New Roman" w:eastAsia="Times New Roman"/>
                <w:b w:val="0"/>
                <w:i w:val="0"/>
                <w:color w:val="000000"/>
                <w:sz w:val="20"/>
              </w:rPr>
              <w:t xml:space="preserve"> 1,973,097,756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52" w:firstLine="0"/>
              <w:jc w:val="right"/>
            </w:pPr>
            <w:r>
              <w:rPr>
                <w:rFonts w:ascii="Times New Roman" w:hAnsi="Times New Roman" w:eastAsia="Times New Roman"/>
                <w:b w:val="0"/>
                <w:i w:val="0"/>
                <w:color w:val="000000"/>
                <w:sz w:val="20"/>
              </w:rPr>
              <w:t xml:space="preserve">-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00" w:lineRule="exact" w:before="162" w:after="0"/>
              <w:ind w:left="0" w:right="108" w:firstLine="0"/>
              <w:jc w:val="right"/>
            </w:pPr>
            <w:r>
              <w:rPr>
                <w:rFonts w:ascii="宋体" w:hAnsi="宋体" w:eastAsia="宋体"/>
                <w:b w:val="0"/>
                <w:i w:val="0"/>
                <w:color w:val="000000"/>
                <w:sz w:val="20"/>
              </w:rPr>
              <w:t>不适用</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70" w:after="0"/>
              <w:ind w:left="104" w:right="0" w:firstLine="0"/>
              <w:jc w:val="left"/>
            </w:pPr>
            <w:r>
              <w:rPr>
                <w:rFonts w:ascii="宋体" w:hAnsi="宋体" w:eastAsia="宋体"/>
                <w:b w:val="0"/>
                <w:i w:val="0"/>
                <w:color w:val="000000"/>
                <w:sz w:val="18"/>
              </w:rPr>
              <w:t xml:space="preserve">交易性金融负债规模增加 </w:t>
            </w:r>
          </w:p>
        </w:tc>
      </w:tr>
      <w:tr>
        <w:trPr>
          <w:trHeight w:hRule="exact" w:val="35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00" w:lineRule="exact" w:before="112" w:after="0"/>
              <w:ind w:left="0" w:right="0" w:firstLine="0"/>
              <w:jc w:val="center"/>
            </w:pPr>
            <w:r>
              <w:rPr>
                <w:rFonts w:ascii="新宋体" w:hAnsi="新宋体" w:eastAsia="新宋体"/>
                <w:b w:val="0"/>
                <w:i w:val="0"/>
                <w:color w:val="000000"/>
                <w:sz w:val="20"/>
              </w:rPr>
              <w:t xml:space="preserve">回购业务资金净增加额 </w:t>
            </w:r>
          </w:p>
        </w:tc>
        <w:tc>
          <w:tcPr>
            <w:tcW w:type="dxa" w:w="1438"/>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30" w:lineRule="auto" w:before="58" w:after="0"/>
              <w:ind w:left="0" w:right="0" w:firstLine="0"/>
              <w:jc w:val="center"/>
            </w:pPr>
            <w:r>
              <w:rPr>
                <w:rFonts w:ascii="Times New Roman" w:hAnsi="Times New Roman" w:eastAsia="Times New Roman"/>
                <w:b w:val="0"/>
                <w:i w:val="0"/>
                <w:color w:val="000000"/>
                <w:sz w:val="20"/>
              </w:rPr>
              <w:t xml:space="preserve"> 2,400,271,077 </w:t>
            </w:r>
          </w:p>
        </w:tc>
        <w:tc>
          <w:tcPr>
            <w:tcW w:type="dxa" w:w="1706"/>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6,869,613,244 </w:t>
            </w:r>
          </w:p>
        </w:tc>
        <w:tc>
          <w:tcPr>
            <w:tcW w:type="dxa" w:w="1296"/>
            <w:tcBorders>
              <w:start w:sz="4.0" w:val="single" w:color="#000000"/>
              <w:top w:sz="4.0" w:val="single" w:color="#000000"/>
              <w:end w:sz="3.199999999999818" w:val="single" w:color="#000000"/>
              <w:bottom w:sz="3.200000000000273"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-65.06% </w:t>
            </w:r>
          </w:p>
        </w:tc>
        <w:tc>
          <w:tcPr>
            <w:tcW w:type="dxa" w:w="3016"/>
            <w:tcBorders>
              <w:start w:sz="3.199999999999818" w:val="single" w:color="#000000"/>
              <w:top w:sz="4.0" w:val="single" w:color="#000000"/>
              <w:end w:sz="7.199999999999818" w:val="single" w:color="#000000"/>
              <w:bottom w:sz="3.200000000000273"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上年同期回购业务规模变动较大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收到其他与经营活动有</w:t>
            </w:r>
            <w:r>
              <w:rPr>
                <w:rFonts w:ascii="新宋体" w:hAnsi="新宋体" w:eastAsia="新宋体"/>
                <w:b w:val="0"/>
                <w:i w:val="0"/>
                <w:color w:val="000000"/>
                <w:sz w:val="20"/>
              </w:rPr>
              <w:t xml:space="preserve">关的现金 </w:t>
            </w:r>
          </w:p>
        </w:tc>
        <w:tc>
          <w:tcPr>
            <w:tcW w:type="dxa" w:w="143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30" w:lineRule="auto" w:before="148" w:after="0"/>
              <w:ind w:left="172" w:right="0" w:firstLine="0"/>
              <w:jc w:val="left"/>
            </w:pPr>
            <w:r>
              <w:rPr>
                <w:rFonts w:ascii="Times New Roman" w:hAnsi="Times New Roman" w:eastAsia="Times New Roman"/>
                <w:b w:val="0"/>
                <w:i w:val="0"/>
                <w:color w:val="000000"/>
                <w:sz w:val="20"/>
              </w:rPr>
              <w:t xml:space="preserve">2,012,329,137 </w:t>
            </w:r>
          </w:p>
        </w:tc>
        <w:tc>
          <w:tcPr>
            <w:tcW w:type="dxa" w:w="170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4,580,587,187 </w:t>
            </w:r>
          </w:p>
        </w:tc>
        <w:tc>
          <w:tcPr>
            <w:tcW w:type="dxa" w:w="1296"/>
            <w:tcBorders>
              <w:start w:sz="4.0" w:val="single" w:color="#000000"/>
              <w:top w:sz="3.200000000000273"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-56.07% </w:t>
            </w:r>
          </w:p>
        </w:tc>
        <w:tc>
          <w:tcPr>
            <w:tcW w:type="dxa" w:w="3016"/>
            <w:tcBorders>
              <w:start w:sz="3.199999999999818" w:val="single" w:color="#000000"/>
              <w:top w:sz="3.200000000000273"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上年同期收取场外期权保证金及收</w:t>
            </w:r>
            <w:r>
              <w:rPr>
                <w:rFonts w:ascii="宋体" w:hAnsi="宋体" w:eastAsia="宋体"/>
                <w:b w:val="0"/>
                <w:i w:val="0"/>
                <w:color w:val="000000"/>
                <w:sz w:val="18"/>
              </w:rPr>
              <w:t xml:space="preserve">到代理基金申赎业务款增加 </w:t>
            </w:r>
          </w:p>
        </w:tc>
      </w:tr>
      <w:tr>
        <w:trPr>
          <w:trHeight w:hRule="exact" w:val="35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70" w:after="0"/>
              <w:ind w:left="104" w:right="0" w:firstLine="0"/>
              <w:jc w:val="left"/>
            </w:pPr>
            <w:r>
              <w:rPr>
                <w:rFonts w:ascii="新宋体" w:hAnsi="新宋体" w:eastAsia="新宋体"/>
                <w:b w:val="0"/>
                <w:i w:val="0"/>
                <w:color w:val="000000"/>
                <w:sz w:val="20"/>
              </w:rPr>
              <w:t xml:space="preserve">融出资金净增加额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322" w:right="0" w:firstLine="0"/>
              <w:jc w:val="left"/>
            </w:pPr>
            <w:r>
              <w:rPr>
                <w:rFonts w:ascii="Times New Roman" w:hAnsi="Times New Roman" w:eastAsia="Times New Roman"/>
                <w:b w:val="0"/>
                <w:i w:val="0"/>
                <w:color w:val="000000"/>
                <w:sz w:val="20"/>
              </w:rPr>
              <w:t xml:space="preserve">608,089,669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362,040,759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67.96%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融出资金规模增加 </w:t>
            </w:r>
          </w:p>
        </w:tc>
      </w:tr>
      <w:tr>
        <w:trPr>
          <w:trHeight w:hRule="exact" w:val="528"/>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代理买卖证券支付的现</w:t>
            </w:r>
            <w:r>
              <w:rPr>
                <w:rFonts w:ascii="新宋体" w:hAnsi="新宋体" w:eastAsia="新宋体"/>
                <w:b w:val="0"/>
                <w:i w:val="0"/>
                <w:color w:val="000000"/>
                <w:sz w:val="20"/>
              </w:rPr>
              <w:t xml:space="preserve">金净额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3,932,407,826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-100.00%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6" w:after="0"/>
              <w:ind w:left="104" w:right="0" w:firstLine="0"/>
              <w:jc w:val="left"/>
            </w:pPr>
            <w:r>
              <w:rPr>
                <w:rFonts w:ascii="宋体" w:hAnsi="宋体" w:eastAsia="宋体"/>
                <w:b w:val="0"/>
                <w:i w:val="0"/>
                <w:color w:val="000000"/>
                <w:sz w:val="18"/>
              </w:rPr>
              <w:t xml:space="preserve">代理买卖证券款规模增加 </w:t>
            </w:r>
          </w:p>
        </w:tc>
      </w:tr>
      <w:tr>
        <w:trPr>
          <w:trHeight w:hRule="exact" w:val="526"/>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2" w:lineRule="exact" w:before="0" w:after="0"/>
              <w:ind w:left="104" w:right="0" w:firstLine="0"/>
              <w:jc w:val="left"/>
            </w:pPr>
            <w:r>
              <w:rPr>
                <w:rFonts w:ascii="新宋体" w:hAnsi="新宋体" w:eastAsia="新宋体"/>
                <w:b w:val="0"/>
                <w:i w:val="0"/>
                <w:color w:val="000000"/>
                <w:sz w:val="20"/>
              </w:rPr>
              <w:t>为交易目的而持有的金</w:t>
            </w:r>
            <w:r>
              <w:rPr>
                <w:rFonts w:ascii="新宋体" w:hAnsi="新宋体" w:eastAsia="新宋体"/>
                <w:b w:val="0"/>
                <w:i w:val="0"/>
                <w:color w:val="000000"/>
                <w:sz w:val="20"/>
              </w:rPr>
              <w:t xml:space="preserve">融资产净增加额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4" w:after="0"/>
              <w:ind w:left="0" w:right="54" w:firstLine="0"/>
              <w:jc w:val="right"/>
            </w:pPr>
            <w:r>
              <w:rPr>
                <w:rFonts w:ascii="Times New Roman" w:hAnsi="Times New Roman" w:eastAsia="Times New Roman"/>
                <w:b w:val="0"/>
                <w:i w:val="0"/>
                <w:color w:val="000000"/>
                <w:sz w:val="20"/>
              </w:rPr>
              <w:t xml:space="preserve">-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4" w:after="0"/>
              <w:ind w:left="0" w:right="54" w:firstLine="0"/>
              <w:jc w:val="right"/>
            </w:pPr>
            <w:r>
              <w:rPr>
                <w:rFonts w:ascii="Times New Roman" w:hAnsi="Times New Roman" w:eastAsia="Times New Roman"/>
                <w:b w:val="0"/>
                <w:i w:val="0"/>
                <w:color w:val="000000"/>
                <w:sz w:val="20"/>
              </w:rPr>
              <w:t xml:space="preserve">2,802,542,947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4" w:after="0"/>
              <w:ind w:left="0" w:right="54" w:firstLine="0"/>
              <w:jc w:val="right"/>
            </w:pPr>
            <w:r>
              <w:rPr>
                <w:rFonts w:ascii="Times New Roman" w:hAnsi="Times New Roman" w:eastAsia="Times New Roman"/>
                <w:b w:val="0"/>
                <w:i w:val="0"/>
                <w:color w:val="000000"/>
                <w:sz w:val="20"/>
              </w:rPr>
              <w:t xml:space="preserve">-100.00%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交易性金融资产规模减少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6" w:lineRule="exact" w:before="0" w:after="0"/>
              <w:ind w:left="104" w:right="0" w:firstLine="0"/>
              <w:jc w:val="left"/>
            </w:pPr>
            <w:r>
              <w:rPr>
                <w:rFonts w:ascii="新宋体" w:hAnsi="新宋体" w:eastAsia="新宋体"/>
                <w:b w:val="0"/>
                <w:i w:val="0"/>
                <w:color w:val="000000"/>
                <w:sz w:val="20"/>
              </w:rPr>
              <w:t>为交易目的而持有的金</w:t>
            </w:r>
            <w:r>
              <w:rPr>
                <w:rFonts w:ascii="新宋体" w:hAnsi="新宋体" w:eastAsia="新宋体"/>
                <w:b w:val="0"/>
                <w:i w:val="0"/>
                <w:color w:val="000000"/>
                <w:sz w:val="20"/>
              </w:rPr>
              <w:t xml:space="preserve">融负债净减少额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8" w:after="0"/>
              <w:ind w:left="0" w:right="54" w:firstLine="0"/>
              <w:jc w:val="right"/>
            </w:pPr>
            <w:r>
              <w:rPr>
                <w:rFonts w:ascii="Times New Roman" w:hAnsi="Times New Roman" w:eastAsia="Times New Roman"/>
                <w:b w:val="0"/>
                <w:i w:val="0"/>
                <w:color w:val="000000"/>
                <w:sz w:val="20"/>
              </w:rPr>
              <w:t xml:space="preserve">-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8" w:after="0"/>
              <w:ind w:left="0" w:right="54" w:firstLine="0"/>
              <w:jc w:val="right"/>
            </w:pPr>
            <w:r>
              <w:rPr>
                <w:rFonts w:ascii="Times New Roman" w:hAnsi="Times New Roman" w:eastAsia="Times New Roman"/>
                <w:b w:val="0"/>
                <w:i w:val="0"/>
                <w:color w:val="000000"/>
                <w:sz w:val="20"/>
              </w:rPr>
              <w:t xml:space="preserve">2,710,662,037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148" w:after="0"/>
              <w:ind w:left="0" w:right="54" w:firstLine="0"/>
              <w:jc w:val="right"/>
            </w:pPr>
            <w:r>
              <w:rPr>
                <w:rFonts w:ascii="Times New Roman" w:hAnsi="Times New Roman" w:eastAsia="Times New Roman"/>
                <w:b w:val="0"/>
                <w:i w:val="0"/>
                <w:color w:val="000000"/>
                <w:sz w:val="20"/>
              </w:rPr>
              <w:t xml:space="preserve">-100.00%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70" w:after="0"/>
              <w:ind w:left="104" w:right="0" w:firstLine="0"/>
              <w:jc w:val="left"/>
            </w:pPr>
            <w:r>
              <w:rPr>
                <w:rFonts w:ascii="宋体" w:hAnsi="宋体" w:eastAsia="宋体"/>
                <w:b w:val="0"/>
                <w:i w:val="0"/>
                <w:color w:val="000000"/>
                <w:sz w:val="18"/>
              </w:rPr>
              <w:t xml:space="preserve">交易性金融负债规模增加 </w:t>
            </w:r>
          </w:p>
        </w:tc>
      </w:tr>
      <w:tr>
        <w:trPr>
          <w:trHeight w:hRule="exact" w:val="35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72" w:after="0"/>
              <w:ind w:left="104" w:right="0" w:firstLine="0"/>
              <w:jc w:val="left"/>
            </w:pPr>
            <w:r>
              <w:rPr>
                <w:rFonts w:ascii="新宋体" w:hAnsi="新宋体" w:eastAsia="新宋体"/>
                <w:b w:val="0"/>
                <w:i w:val="0"/>
                <w:color w:val="000000"/>
                <w:sz w:val="20"/>
              </w:rPr>
              <w:t xml:space="preserve">拆入资金净减少额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172" w:right="0" w:firstLine="0"/>
              <w:jc w:val="left"/>
            </w:pPr>
            <w:r>
              <w:rPr>
                <w:rFonts w:ascii="Times New Roman" w:hAnsi="Times New Roman" w:eastAsia="Times New Roman"/>
                <w:b w:val="0"/>
                <w:i w:val="0"/>
                <w:color w:val="000000"/>
                <w:sz w:val="20"/>
              </w:rPr>
              <w:t xml:space="preserve">2,446,006,752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655,294,368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273.27%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拆入资金规模减少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买卖衍生金融工具支付</w:t>
            </w:r>
            <w:r>
              <w:rPr>
                <w:rFonts w:ascii="新宋体" w:hAnsi="新宋体" w:eastAsia="新宋体"/>
                <w:b w:val="0"/>
                <w:i w:val="0"/>
                <w:color w:val="000000"/>
                <w:sz w:val="20"/>
              </w:rPr>
              <w:t xml:space="preserve">的现金净额 </w:t>
            </w:r>
          </w:p>
        </w:tc>
        <w:tc>
          <w:tcPr>
            <w:tcW w:type="dxa" w:w="14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148" w:after="0"/>
              <w:ind w:left="322" w:right="0" w:firstLine="0"/>
              <w:jc w:val="left"/>
            </w:pPr>
            <w:r>
              <w:rPr>
                <w:rFonts w:ascii="Times New Roman" w:hAnsi="Times New Roman" w:eastAsia="Times New Roman"/>
                <w:b w:val="0"/>
                <w:i w:val="0"/>
                <w:color w:val="000000"/>
                <w:sz w:val="20"/>
              </w:rPr>
              <w:t xml:space="preserve">391,226,798 </w:t>
            </w:r>
          </w:p>
        </w:tc>
        <w:tc>
          <w:tcPr>
            <w:tcW w:type="dxa" w:w="170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73,513,773 </w:t>
            </w:r>
          </w:p>
        </w:tc>
        <w:tc>
          <w:tcPr>
            <w:tcW w:type="dxa" w:w="1296"/>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432.18% </w:t>
            </w:r>
          </w:p>
        </w:tc>
        <w:tc>
          <w:tcPr>
            <w:tcW w:type="dxa" w:w="3016"/>
            <w:tcBorders>
              <w:start w:sz="3.199999999999818" w:val="single" w:color="#000000"/>
              <w:top w:sz="4.0" w:val="single" w:color="#000000"/>
              <w:end w:sz="7.199999999999818" w:val="single" w:color="#000000"/>
              <w:bottom w:sz="3.199999999999818"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买卖衍生金融工具现金净流出 </w:t>
            </w:r>
          </w:p>
        </w:tc>
      </w:tr>
      <w:tr>
        <w:trPr>
          <w:trHeight w:hRule="exact" w:val="528"/>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处置其他权益工具投资</w:t>
            </w:r>
            <w:r>
              <w:rPr>
                <w:rFonts w:ascii="新宋体" w:hAnsi="新宋体" w:eastAsia="新宋体"/>
                <w:b w:val="0"/>
                <w:i w:val="0"/>
                <w:color w:val="000000"/>
                <w:sz w:val="20"/>
              </w:rPr>
              <w:t xml:space="preserve">收到的现金 </w:t>
            </w:r>
          </w:p>
        </w:tc>
        <w:tc>
          <w:tcPr>
            <w:tcW w:type="dxa" w:w="14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48" w:after="0"/>
              <w:ind w:left="0" w:right="56" w:firstLine="0"/>
              <w:jc w:val="right"/>
            </w:pPr>
            <w:r>
              <w:rPr>
                <w:rFonts w:ascii="Times New Roman" w:hAnsi="Times New Roman" w:eastAsia="Times New Roman"/>
                <w:b w:val="0"/>
                <w:i w:val="0"/>
                <w:color w:val="000000"/>
                <w:sz w:val="20"/>
              </w:rPr>
              <w:t xml:space="preserve">1,552,910 </w:t>
            </w:r>
          </w:p>
        </w:tc>
        <w:tc>
          <w:tcPr>
            <w:tcW w:type="dxa" w:w="170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290,145 </w:t>
            </w:r>
          </w:p>
        </w:tc>
        <w:tc>
          <w:tcPr>
            <w:tcW w:type="dxa" w:w="1296"/>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8" w:after="0"/>
              <w:ind w:left="0" w:right="54" w:firstLine="0"/>
              <w:jc w:val="right"/>
            </w:pPr>
            <w:r>
              <w:rPr>
                <w:rFonts w:ascii="Times New Roman" w:hAnsi="Times New Roman" w:eastAsia="Times New Roman"/>
                <w:b w:val="0"/>
                <w:i w:val="0"/>
                <w:color w:val="000000"/>
                <w:sz w:val="20"/>
              </w:rPr>
              <w:t xml:space="preserve">435.22% </w:t>
            </w:r>
          </w:p>
        </w:tc>
        <w:tc>
          <w:tcPr>
            <w:tcW w:type="dxa" w:w="3016"/>
            <w:tcBorders>
              <w:start w:sz="3.199999999999818" w:val="single" w:color="#000000"/>
              <w:top w:sz="3.199999999999818"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8" w:after="0"/>
              <w:ind w:left="104" w:right="0" w:firstLine="0"/>
              <w:jc w:val="left"/>
            </w:pPr>
            <w:r>
              <w:rPr>
                <w:rFonts w:ascii="宋体" w:hAnsi="宋体" w:eastAsia="宋体"/>
                <w:b w:val="0"/>
                <w:i w:val="0"/>
                <w:color w:val="000000"/>
                <w:sz w:val="18"/>
              </w:rPr>
              <w:t xml:space="preserve">报告期内处置规模增加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取得投资收益收到的现</w:t>
            </w:r>
            <w:r>
              <w:rPr>
                <w:rFonts w:ascii="新宋体" w:hAnsi="新宋体" w:eastAsia="新宋体"/>
                <w:b w:val="0"/>
                <w:i w:val="0"/>
                <w:color w:val="000000"/>
                <w:sz w:val="20"/>
              </w:rPr>
              <w:t xml:space="preserve">金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54" w:firstLine="0"/>
              <w:jc w:val="right"/>
            </w:pPr>
            <w:r>
              <w:rPr>
                <w:rFonts w:ascii="Times New Roman" w:hAnsi="Times New Roman" w:eastAsia="Times New Roman"/>
                <w:b w:val="0"/>
                <w:i w:val="0"/>
                <w:color w:val="000000"/>
                <w:sz w:val="20"/>
              </w:rPr>
              <w:t xml:space="preserve">394,692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54" w:firstLine="0"/>
              <w:jc w:val="right"/>
            </w:pPr>
            <w:r>
              <w:rPr>
                <w:rFonts w:ascii="Times New Roman" w:hAnsi="Times New Roman" w:eastAsia="Times New Roman"/>
                <w:b w:val="0"/>
                <w:i w:val="0"/>
                <w:color w:val="000000"/>
                <w:sz w:val="20"/>
              </w:rPr>
              <w:t xml:space="preserve">223,979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50" w:after="0"/>
              <w:ind w:left="0" w:right="54" w:firstLine="0"/>
              <w:jc w:val="right"/>
            </w:pPr>
            <w:r>
              <w:rPr>
                <w:rFonts w:ascii="Times New Roman" w:hAnsi="Times New Roman" w:eastAsia="Times New Roman"/>
                <w:b w:val="0"/>
                <w:i w:val="0"/>
                <w:color w:val="000000"/>
                <w:sz w:val="20"/>
              </w:rPr>
              <w:t xml:space="preserve">76.22%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持有其他权益工具投资取得股利收</w:t>
            </w:r>
            <w:r>
              <w:rPr>
                <w:rFonts w:ascii="宋体" w:hAnsi="宋体" w:eastAsia="宋体"/>
                <w:b w:val="0"/>
                <w:i w:val="0"/>
                <w:color w:val="000000"/>
                <w:sz w:val="18"/>
              </w:rPr>
              <w:t xml:space="preserve">入增加 </w:t>
            </w:r>
          </w:p>
        </w:tc>
      </w:tr>
      <w:tr>
        <w:trPr>
          <w:trHeight w:hRule="exact" w:val="530"/>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处置长期股权投资收到</w:t>
            </w:r>
            <w:r>
              <w:rPr>
                <w:rFonts w:ascii="新宋体" w:hAnsi="新宋体" w:eastAsia="新宋体"/>
                <w:b w:val="0"/>
                <w:i w:val="0"/>
                <w:color w:val="000000"/>
                <w:sz w:val="20"/>
              </w:rPr>
              <w:t xml:space="preserve">的现金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6" w:firstLine="0"/>
              <w:jc w:val="right"/>
            </w:pPr>
            <w:r>
              <w:rPr>
                <w:rFonts w:ascii="Times New Roman" w:hAnsi="Times New Roman" w:eastAsia="Times New Roman"/>
                <w:b w:val="0"/>
                <w:i w:val="0"/>
                <w:color w:val="000000"/>
                <w:sz w:val="20"/>
              </w:rPr>
              <w:t xml:space="preserve">29,340,905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17,165,000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70.93%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6" w:after="0"/>
              <w:ind w:left="104" w:right="0" w:firstLine="0"/>
              <w:jc w:val="left"/>
            </w:pPr>
            <w:r>
              <w:rPr>
                <w:rFonts w:ascii="宋体" w:hAnsi="宋体" w:eastAsia="宋体"/>
                <w:b w:val="0"/>
                <w:i w:val="0"/>
                <w:color w:val="000000"/>
                <w:sz w:val="18"/>
              </w:rPr>
              <w:t xml:space="preserve">子公司收回对联营企业的投资 </w:t>
            </w:r>
          </w:p>
        </w:tc>
      </w:tr>
      <w:tr>
        <w:trPr>
          <w:trHeight w:hRule="exact" w:val="786"/>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50" w:lineRule="exact" w:before="0" w:after="0"/>
              <w:ind w:left="104" w:right="102" w:firstLine="0"/>
              <w:jc w:val="both"/>
            </w:pPr>
            <w:r>
              <w:rPr>
                <w:rFonts w:ascii="新宋体" w:hAnsi="新宋体" w:eastAsia="新宋体"/>
                <w:b w:val="0"/>
                <w:i w:val="0"/>
                <w:color w:val="000000"/>
                <w:sz w:val="20"/>
              </w:rPr>
              <w:t>处置固定资产、无形资</w:t>
            </w:r>
            <w:r>
              <w:rPr>
                <w:rFonts w:ascii="新宋体" w:hAnsi="新宋体" w:eastAsia="新宋体"/>
                <w:b w:val="0"/>
                <w:i w:val="0"/>
                <w:color w:val="000000"/>
                <w:sz w:val="20"/>
              </w:rPr>
              <w:t>产和其他长期资产收到</w:t>
            </w:r>
            <w:r>
              <w:rPr>
                <w:rFonts w:ascii="新宋体" w:hAnsi="新宋体" w:eastAsia="新宋体"/>
                <w:b w:val="0"/>
                <w:i w:val="0"/>
                <w:color w:val="000000"/>
                <w:sz w:val="20"/>
              </w:rPr>
              <w:t xml:space="preserve">的现金 </w:t>
            </w:r>
          </w:p>
        </w:tc>
        <w:tc>
          <w:tcPr>
            <w:tcW w:type="dxa" w:w="14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276" w:after="0"/>
              <w:ind w:left="0" w:right="56" w:firstLine="0"/>
              <w:jc w:val="right"/>
            </w:pPr>
            <w:r>
              <w:rPr>
                <w:rFonts w:ascii="Times New Roman" w:hAnsi="Times New Roman" w:eastAsia="Times New Roman"/>
                <w:b w:val="0"/>
                <w:i w:val="0"/>
                <w:color w:val="000000"/>
                <w:sz w:val="20"/>
              </w:rPr>
              <w:t xml:space="preserve">14,254,089 </w:t>
            </w:r>
          </w:p>
        </w:tc>
        <w:tc>
          <w:tcPr>
            <w:tcW w:type="dxa" w:w="170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276" w:after="0"/>
              <w:ind w:left="0" w:right="54" w:firstLine="0"/>
              <w:jc w:val="right"/>
            </w:pPr>
            <w:r>
              <w:rPr>
                <w:rFonts w:ascii="Times New Roman" w:hAnsi="Times New Roman" w:eastAsia="Times New Roman"/>
                <w:b w:val="0"/>
                <w:i w:val="0"/>
                <w:color w:val="000000"/>
                <w:sz w:val="20"/>
              </w:rPr>
              <w:t xml:space="preserve">59,754,940 </w:t>
            </w:r>
          </w:p>
        </w:tc>
        <w:tc>
          <w:tcPr>
            <w:tcW w:type="dxa" w:w="1296"/>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230" w:lineRule="auto" w:before="276" w:after="0"/>
              <w:ind w:left="0" w:right="54" w:firstLine="0"/>
              <w:jc w:val="right"/>
            </w:pPr>
            <w:r>
              <w:rPr>
                <w:rFonts w:ascii="Times New Roman" w:hAnsi="Times New Roman" w:eastAsia="Times New Roman"/>
                <w:b w:val="0"/>
                <w:i w:val="0"/>
                <w:color w:val="000000"/>
                <w:sz w:val="20"/>
              </w:rPr>
              <w:t xml:space="preserve">-76.15% </w:t>
            </w:r>
          </w:p>
        </w:tc>
        <w:tc>
          <w:tcPr>
            <w:tcW w:type="dxa" w:w="3016"/>
            <w:tcBorders>
              <w:start w:sz="3.199999999999818" w:val="single" w:color="#000000"/>
              <w:top w:sz="4.0" w:val="single" w:color="#000000"/>
              <w:end w:sz="7.199999999999818" w:val="single" w:color="#000000"/>
              <w:bottom w:sz="3.199999999999818" w:val="single" w:color="#000000"/>
            </w:tcBorders>
            <w:tcMar>
              <w:start w:w="0" w:type="dxa"/>
              <w:end w:w="0" w:type="dxa"/>
            </w:tcMar>
          </w:tcPr>
          <w:p>
            <w:pPr>
              <w:autoSpaceDN w:val="0"/>
              <w:autoSpaceDE w:val="0"/>
              <w:widowControl/>
              <w:spacing w:line="180" w:lineRule="exact" w:before="296" w:after="0"/>
              <w:ind w:left="104" w:right="0" w:firstLine="0"/>
              <w:jc w:val="left"/>
            </w:pPr>
            <w:r>
              <w:rPr>
                <w:rFonts w:ascii="宋体" w:hAnsi="宋体" w:eastAsia="宋体"/>
                <w:b w:val="0"/>
                <w:i w:val="0"/>
                <w:color w:val="000000"/>
                <w:sz w:val="18"/>
              </w:rPr>
              <w:t xml:space="preserve">处置固定资产等影响 </w:t>
            </w:r>
          </w:p>
        </w:tc>
      </w:tr>
      <w:tr>
        <w:trPr>
          <w:trHeight w:hRule="exact" w:val="532"/>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取得子公司及其他营业</w:t>
            </w:r>
            <w:r>
              <w:rPr>
                <w:rFonts w:ascii="新宋体" w:hAnsi="新宋体" w:eastAsia="新宋体"/>
                <w:b w:val="0"/>
                <w:i w:val="0"/>
                <w:color w:val="000000"/>
                <w:sz w:val="20"/>
              </w:rPr>
              <w:t xml:space="preserve">单位支付的现金净额 </w:t>
            </w:r>
          </w:p>
        </w:tc>
        <w:tc>
          <w:tcPr>
            <w:tcW w:type="dxa" w:w="14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56" w:firstLine="0"/>
              <w:jc w:val="right"/>
            </w:pPr>
            <w:r>
              <w:rPr>
                <w:rFonts w:ascii="Times New Roman" w:hAnsi="Times New Roman" w:eastAsia="Times New Roman"/>
                <w:b w:val="0"/>
                <w:i w:val="0"/>
                <w:color w:val="000000"/>
                <w:sz w:val="20"/>
              </w:rPr>
              <w:t xml:space="preserve"> 90,050,000 </w:t>
            </w:r>
          </w:p>
        </w:tc>
        <w:tc>
          <w:tcPr>
            <w:tcW w:type="dxa" w:w="170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50" w:after="0"/>
              <w:ind w:left="0" w:right="54" w:firstLine="0"/>
              <w:jc w:val="right"/>
            </w:pPr>
            <w:r>
              <w:rPr>
                <w:rFonts w:ascii="Times New Roman" w:hAnsi="Times New Roman" w:eastAsia="Times New Roman"/>
                <w:b w:val="0"/>
                <w:i w:val="0"/>
                <w:color w:val="000000"/>
                <w:sz w:val="20"/>
              </w:rPr>
              <w:t xml:space="preserve"> 29,158,000 </w:t>
            </w:r>
          </w:p>
        </w:tc>
        <w:tc>
          <w:tcPr>
            <w:tcW w:type="dxa" w:w="1296"/>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50" w:after="0"/>
              <w:ind w:left="0" w:right="54" w:firstLine="0"/>
              <w:jc w:val="right"/>
            </w:pPr>
            <w:r>
              <w:rPr>
                <w:rFonts w:ascii="Times New Roman" w:hAnsi="Times New Roman" w:eastAsia="Times New Roman"/>
                <w:b w:val="0"/>
                <w:i w:val="0"/>
                <w:color w:val="000000"/>
                <w:sz w:val="20"/>
              </w:rPr>
              <w:t xml:space="preserve">208.83% </w:t>
            </w:r>
          </w:p>
        </w:tc>
        <w:tc>
          <w:tcPr>
            <w:tcW w:type="dxa" w:w="3016"/>
            <w:tcBorders>
              <w:start w:sz="3.199999999999818" w:val="single" w:color="#000000"/>
              <w:top w:sz="3.199999999999818"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70" w:after="0"/>
              <w:ind w:left="104" w:right="0" w:firstLine="0"/>
              <w:jc w:val="left"/>
            </w:pPr>
            <w:r>
              <w:rPr>
                <w:rFonts w:ascii="宋体" w:hAnsi="宋体" w:eastAsia="宋体"/>
                <w:b w:val="0"/>
                <w:i w:val="0"/>
                <w:color w:val="000000"/>
                <w:sz w:val="18"/>
              </w:rPr>
              <w:t xml:space="preserve">对联营企业投资规模增加 </w:t>
            </w:r>
          </w:p>
        </w:tc>
      </w:tr>
      <w:tr>
        <w:trPr>
          <w:trHeight w:hRule="exact" w:val="526"/>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取得其他权益工具投资</w:t>
            </w:r>
            <w:r>
              <w:rPr>
                <w:rFonts w:ascii="新宋体" w:hAnsi="新宋体" w:eastAsia="新宋体"/>
                <w:b w:val="0"/>
                <w:i w:val="0"/>
                <w:color w:val="000000"/>
                <w:sz w:val="20"/>
              </w:rPr>
              <w:t xml:space="preserve">支付的现金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 373,959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 9,607,576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146" w:after="0"/>
              <w:ind w:left="0" w:right="54" w:firstLine="0"/>
              <w:jc w:val="right"/>
            </w:pPr>
            <w:r>
              <w:rPr>
                <w:rFonts w:ascii="Times New Roman" w:hAnsi="Times New Roman" w:eastAsia="Times New Roman"/>
                <w:b w:val="0"/>
                <w:i w:val="0"/>
                <w:color w:val="000000"/>
                <w:sz w:val="20"/>
              </w:rPr>
              <w:t xml:space="preserve">-96.11%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 xml:space="preserve">新增的其他权益工具投资规模减少 </w:t>
            </w:r>
          </w:p>
        </w:tc>
      </w:tr>
      <w:tr>
        <w:trPr>
          <w:trHeight w:hRule="exact" w:val="352"/>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198" w:lineRule="exact" w:before="112" w:after="0"/>
              <w:ind w:left="104" w:right="0" w:firstLine="0"/>
              <w:jc w:val="left"/>
            </w:pPr>
            <w:r>
              <w:rPr>
                <w:rFonts w:ascii="新宋体" w:hAnsi="新宋体" w:eastAsia="新宋体"/>
                <w:b w:val="0"/>
                <w:i w:val="0"/>
                <w:color w:val="000000"/>
                <w:sz w:val="20"/>
              </w:rPr>
              <w:t xml:space="preserve">发行债券收到的现金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172" w:right="0" w:firstLine="0"/>
              <w:jc w:val="left"/>
            </w:pPr>
            <w:r>
              <w:rPr>
                <w:rFonts w:ascii="Times New Roman" w:hAnsi="Times New Roman" w:eastAsia="Times New Roman"/>
                <w:b w:val="0"/>
                <w:i w:val="0"/>
                <w:color w:val="000000"/>
                <w:sz w:val="20"/>
              </w:rPr>
              <w:t xml:space="preserve">5,984,436,801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3,492,883,932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8" w:after="0"/>
              <w:ind w:left="0" w:right="54" w:firstLine="0"/>
              <w:jc w:val="right"/>
            </w:pPr>
            <w:r>
              <w:rPr>
                <w:rFonts w:ascii="Times New Roman" w:hAnsi="Times New Roman" w:eastAsia="Times New Roman"/>
                <w:b w:val="0"/>
                <w:i w:val="0"/>
                <w:color w:val="000000"/>
                <w:sz w:val="20"/>
              </w:rPr>
              <w:t xml:space="preserve">71.33%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180" w:lineRule="exact" w:before="78" w:after="0"/>
              <w:ind w:left="104" w:right="0" w:firstLine="0"/>
              <w:jc w:val="left"/>
            </w:pPr>
            <w:r>
              <w:rPr>
                <w:rFonts w:ascii="宋体" w:hAnsi="宋体" w:eastAsia="宋体"/>
                <w:b w:val="0"/>
                <w:i w:val="0"/>
                <w:color w:val="000000"/>
                <w:sz w:val="18"/>
              </w:rPr>
              <w:t xml:space="preserve">报告期内债券发行规模增加 </w:t>
            </w:r>
          </w:p>
        </w:tc>
      </w:tr>
      <w:tr>
        <w:trPr>
          <w:trHeight w:hRule="exact" w:val="526"/>
        </w:trPr>
        <w:tc>
          <w:tcPr>
            <w:tcW w:type="dxa" w:w="1712"/>
            <w:vMerge/>
            <w:tcBorders>
              <w:start w:sz="7.2000000000000455" w:val="single" w:color="#000000"/>
              <w:top w:sz="4.0" w:val="single" w:color="#000000"/>
              <w:end w:sz="3.1999999999999886" w:val="single" w:color="#000000"/>
            </w:tcBorders>
          </w:tcPr>
          <w:p/>
        </w:tc>
        <w:tc>
          <w:tcPr>
            <w:tcW w:type="dxa" w:w="2380"/>
            <w:tcBorders>
              <w:start w:sz="3.1999999999999886" w:val="single" w:color="#000000"/>
              <w:top w:sz="4.0" w:val="single" w:color="#000000"/>
              <w:end w:sz="4.0" w:val="single" w:color="#000000"/>
              <w:bottom w:sz="4.0" w:val="single" w:color="#000000"/>
            </w:tcBorders>
            <w:tcMar>
              <w:start w:w="0" w:type="dxa"/>
              <w:end w:w="0" w:type="dxa"/>
            </w:tcMar>
          </w:tcPr>
          <w:p>
            <w:pPr>
              <w:autoSpaceDN w:val="0"/>
              <w:autoSpaceDE w:val="0"/>
              <w:widowControl/>
              <w:spacing w:line="244" w:lineRule="exact" w:before="0" w:after="0"/>
              <w:ind w:left="104" w:right="0" w:firstLine="0"/>
              <w:jc w:val="left"/>
            </w:pPr>
            <w:r>
              <w:rPr>
                <w:rFonts w:ascii="新宋体" w:hAnsi="新宋体" w:eastAsia="新宋体"/>
                <w:b w:val="0"/>
                <w:i w:val="0"/>
                <w:color w:val="000000"/>
                <w:sz w:val="20"/>
              </w:rPr>
              <w:t>支付其他与筹资活动有</w:t>
            </w:r>
            <w:r>
              <w:rPr>
                <w:rFonts w:ascii="新宋体" w:hAnsi="新宋体" w:eastAsia="新宋体"/>
                <w:b w:val="0"/>
                <w:i w:val="0"/>
                <w:color w:val="000000"/>
                <w:sz w:val="20"/>
              </w:rPr>
              <w:t xml:space="preserve">关的现金 </w:t>
            </w:r>
          </w:p>
        </w:tc>
        <w:tc>
          <w:tcPr>
            <w:tcW w:type="dxa" w:w="14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6" w:firstLine="0"/>
              <w:jc w:val="right"/>
            </w:pPr>
            <w:r>
              <w:rPr>
                <w:rFonts w:ascii="Times New Roman" w:hAnsi="Times New Roman" w:eastAsia="Times New Roman"/>
                <w:b w:val="0"/>
                <w:i w:val="0"/>
                <w:color w:val="000000"/>
                <w:sz w:val="20"/>
              </w:rPr>
              <w:t xml:space="preserve">61,837,500 </w:t>
            </w:r>
          </w:p>
        </w:tc>
        <w:tc>
          <w:tcPr>
            <w:tcW w:type="dxa" w:w="17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46" w:after="0"/>
              <w:ind w:left="0" w:right="54" w:firstLine="0"/>
              <w:jc w:val="right"/>
            </w:pPr>
            <w:r>
              <w:rPr>
                <w:rFonts w:ascii="Times New Roman" w:hAnsi="Times New Roman" w:eastAsia="Times New Roman"/>
                <w:b w:val="0"/>
                <w:i w:val="0"/>
                <w:color w:val="000000"/>
                <w:sz w:val="20"/>
              </w:rPr>
              <w:t xml:space="preserve">7,357,814 </w:t>
            </w:r>
          </w:p>
        </w:tc>
        <w:tc>
          <w:tcPr>
            <w:tcW w:type="dxa" w:w="129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146" w:after="0"/>
              <w:ind w:left="0" w:right="54" w:firstLine="0"/>
              <w:jc w:val="right"/>
            </w:pPr>
            <w:r>
              <w:rPr>
                <w:rFonts w:ascii="Times New Roman" w:hAnsi="Times New Roman" w:eastAsia="Times New Roman"/>
                <w:b w:val="0"/>
                <w:i w:val="0"/>
                <w:color w:val="000000"/>
                <w:sz w:val="20"/>
              </w:rPr>
              <w:t xml:space="preserve">740.43% </w:t>
            </w:r>
          </w:p>
        </w:tc>
        <w:tc>
          <w:tcPr>
            <w:tcW w:type="dxa" w:w="3016"/>
            <w:tcBorders>
              <w:start w:sz="3.199999999999818" w:val="single" w:color="#000000"/>
              <w:top w:sz="4.0" w:val="single" w:color="#000000"/>
              <w:end w:sz="7.199999999999818" w:val="single" w:color="#000000"/>
              <w:bottom w:sz="4.0" w:val="single" w:color="#000000"/>
            </w:tcBorders>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私募股权基金退出返还少数股东投</w:t>
            </w:r>
            <w:r>
              <w:rPr>
                <w:rFonts w:ascii="宋体" w:hAnsi="宋体" w:eastAsia="宋体"/>
                <w:b w:val="0"/>
                <w:i w:val="0"/>
                <w:color w:val="000000"/>
                <w:sz w:val="18"/>
              </w:rPr>
              <w:t xml:space="preserve">资款 </w:t>
            </w:r>
          </w:p>
        </w:tc>
      </w:tr>
    </w:tbl>
    <w:p>
      <w:pPr>
        <w:autoSpaceDN w:val="0"/>
        <w:autoSpaceDE w:val="0"/>
        <w:widowControl/>
        <w:spacing w:line="197" w:lineRule="auto" w:before="1202" w:after="0"/>
        <w:ind w:left="0" w:right="0" w:firstLine="0"/>
        <w:jc w:val="center"/>
      </w:pPr>
      <w:r>
        <w:rPr>
          <w:rFonts w:ascii="Calibri" w:hAnsi="Calibri" w:eastAsia="Calibri"/>
          <w:b w:val="0"/>
          <w:i w:val="0"/>
          <w:color w:val="000000"/>
          <w:sz w:val="18"/>
        </w:rPr>
        <w:t xml:space="preserve">43 </w:t>
      </w:r>
    </w:p>
    <w:p>
      <w:pPr>
        <w:sectPr>
          <w:type w:val="continuous"/>
          <w:pgSz w:w="11904" w:h="16841"/>
          <w:pgMar w:top="424" w:right="806" w:bottom="446" w:left="826"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46" name="Picture 4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56" w:after="0"/>
        <w:ind w:left="30" w:right="0" w:firstLine="0"/>
        <w:jc w:val="left"/>
      </w:pPr>
      <w:r>
        <w:rPr>
          <w:rFonts w:ascii="宋体" w:hAnsi="宋体" w:eastAsia="宋体"/>
          <w:b w:val="0"/>
          <w:i w:val="0"/>
          <w:color w:val="000000"/>
          <w:sz w:val="21"/>
        </w:rPr>
        <w:t xml:space="preserve">5、融资渠道、长短期负债结构分析 </w:t>
      </w:r>
    </w:p>
    <w:p>
      <w:pPr>
        <w:autoSpaceDN w:val="0"/>
        <w:tabs>
          <w:tab w:pos="396" w:val="left"/>
          <w:tab w:pos="398" w:val="left"/>
        </w:tabs>
        <w:autoSpaceDE w:val="0"/>
        <w:widowControl/>
        <w:spacing w:line="468" w:lineRule="exact" w:before="198" w:after="0"/>
        <w:ind w:left="30" w:right="144" w:firstLine="0"/>
        <w:jc w:val="left"/>
      </w:pPr>
      <w:r>
        <w:tab/>
      </w:r>
      <w:r>
        <w:rPr>
          <w:rFonts w:ascii="宋体" w:hAnsi="宋体" w:eastAsia="宋体"/>
          <w:b w:val="0"/>
          <w:i w:val="0"/>
          <w:color w:val="000000"/>
          <w:sz w:val="21"/>
        </w:rPr>
        <w:t>（1）融资渠道</w:t>
      </w:r>
      <w:r>
        <w:rPr>
          <w:rFonts w:ascii="宋体" w:hAnsi="宋体" w:eastAsia="宋体"/>
          <w:b w:val="0"/>
          <w:i w:val="0"/>
          <w:color w:val="000000"/>
          <w:sz w:val="21"/>
        </w:rPr>
        <w:t xml:space="preserve"> </w:t>
      </w:r>
      <w:r>
        <w:br/>
      </w:r>
      <w:r>
        <w:rPr>
          <w:rFonts w:ascii="宋体" w:hAnsi="宋体" w:eastAsia="宋体"/>
          <w:b w:val="0"/>
          <w:i w:val="0"/>
          <w:color w:val="000000"/>
          <w:sz w:val="21"/>
        </w:rPr>
        <w:t>公司的融资方式包括债务融资方式和股权融资方式，融资期限涵盖长期和短期，公司现有可选择的</w:t>
      </w:r>
      <w:r>
        <w:rPr>
          <w:rFonts w:ascii="宋体" w:hAnsi="宋体" w:eastAsia="宋体"/>
          <w:b w:val="0"/>
          <w:i w:val="0"/>
          <w:color w:val="000000"/>
          <w:sz w:val="21"/>
        </w:rPr>
        <w:t>融资工具有：发行公司债、次级债、转融资、收益凭证、两融收益权转让、同业拆借、债券回购、票据</w:t>
      </w:r>
      <w:r>
        <w:rPr>
          <w:rFonts w:ascii="宋体" w:hAnsi="宋体" w:eastAsia="宋体"/>
          <w:b w:val="0"/>
          <w:i w:val="0"/>
          <w:color w:val="000000"/>
          <w:sz w:val="21"/>
        </w:rPr>
        <w:t>回购、增发配股等。</w:t>
      </w:r>
    </w:p>
    <w:p>
      <w:pPr>
        <w:autoSpaceDN w:val="0"/>
        <w:tabs>
          <w:tab w:pos="396" w:val="left"/>
        </w:tabs>
        <w:autoSpaceDE w:val="0"/>
        <w:widowControl/>
        <w:spacing w:line="468" w:lineRule="exact" w:before="0" w:after="0"/>
        <w:ind w:left="30" w:right="144" w:firstLine="0"/>
        <w:jc w:val="left"/>
      </w:pPr>
      <w:r>
        <w:rPr>
          <w:rFonts w:ascii="宋体" w:hAnsi="宋体" w:eastAsia="宋体"/>
          <w:b w:val="0"/>
          <w:i w:val="0"/>
          <w:color w:val="000000"/>
          <w:sz w:val="21"/>
        </w:rPr>
        <w:t>2024 年，公司综合运用各种融资工具筹集资金，包括开展：同业拆借、债券回购、票据回购、转融</w:t>
      </w:r>
      <w:r>
        <w:rPr>
          <w:rFonts w:ascii="宋体" w:hAnsi="宋体" w:eastAsia="宋体"/>
          <w:b w:val="0"/>
          <w:i w:val="0"/>
          <w:color w:val="000000"/>
          <w:sz w:val="21"/>
        </w:rPr>
        <w:t>资、收益凭证、发行公司债。</w:t>
      </w:r>
    </w:p>
    <w:p>
      <w:pPr>
        <w:autoSpaceDN w:val="0"/>
        <w:tabs>
          <w:tab w:pos="396" w:val="left"/>
          <w:tab w:pos="398" w:val="left"/>
        </w:tabs>
        <w:autoSpaceDE w:val="0"/>
        <w:widowControl/>
        <w:spacing w:line="468" w:lineRule="exact" w:before="0" w:after="0"/>
        <w:ind w:left="30" w:right="288" w:firstLine="0"/>
        <w:jc w:val="left"/>
      </w:pPr>
      <w:r>
        <w:tab/>
      </w:r>
      <w:r>
        <w:rPr>
          <w:rFonts w:ascii="宋体" w:hAnsi="宋体" w:eastAsia="宋体"/>
          <w:b w:val="0"/>
          <w:i w:val="0"/>
          <w:color w:val="000000"/>
          <w:sz w:val="21"/>
        </w:rPr>
        <w:t>（2）负债结构</w:t>
      </w:r>
      <w:r>
        <w:br/>
      </w:r>
      <w:r>
        <w:rPr>
          <w:rFonts w:ascii="宋体" w:hAnsi="宋体" w:eastAsia="宋体"/>
          <w:b w:val="0"/>
          <w:i w:val="0"/>
          <w:color w:val="000000"/>
          <w:sz w:val="21"/>
        </w:rPr>
        <w:t>2024 年末，公司自有总负债（总负债剔除代理买卖证券款和代理承销证券款后）438.63 亿元。其</w:t>
      </w:r>
      <w:r>
        <w:rPr>
          <w:rFonts w:ascii="宋体" w:hAnsi="宋体" w:eastAsia="宋体"/>
          <w:b w:val="0"/>
          <w:i w:val="0"/>
          <w:color w:val="000000"/>
          <w:sz w:val="21"/>
        </w:rPr>
        <w:t>中拆入资金（含转融通）占比23.56%、卖出回购金融资产款占比29.02%、应付债券占比34.59%。</w:t>
      </w:r>
      <w:r>
        <w:rPr>
          <w:rFonts w:ascii="宋体" w:hAnsi="宋体" w:eastAsia="宋体"/>
          <w:b w:val="0"/>
          <w:i w:val="0"/>
          <w:color w:val="000000"/>
          <w:sz w:val="21"/>
        </w:rPr>
        <w:t xml:space="preserve"> </w:t>
      </w:r>
      <w:r>
        <w:rPr>
          <w:rFonts w:ascii="宋体" w:hAnsi="宋体" w:eastAsia="宋体"/>
          <w:b w:val="0"/>
          <w:i w:val="0"/>
          <w:color w:val="000000"/>
          <w:sz w:val="21"/>
        </w:rPr>
        <w:t>截至报告期末，公司经营情况良好，负债总体结构合理，无到期未偿还债务。</w:t>
      </w:r>
      <w:r>
        <w:rPr>
          <w:rFonts w:ascii="宋体" w:hAnsi="宋体" w:eastAsia="宋体"/>
          <w:b w:val="0"/>
          <w:i w:val="0"/>
          <w:color w:val="000000"/>
          <w:sz w:val="21"/>
        </w:rPr>
        <w:t xml:space="preserve"> </w:t>
      </w:r>
    </w:p>
    <w:p>
      <w:pPr>
        <w:autoSpaceDN w:val="0"/>
        <w:tabs>
          <w:tab w:pos="396" w:val="left"/>
          <w:tab w:pos="398" w:val="left"/>
        </w:tabs>
        <w:autoSpaceDE w:val="0"/>
        <w:widowControl/>
        <w:spacing w:line="468" w:lineRule="exact" w:before="0" w:after="0"/>
        <w:ind w:left="30" w:right="144" w:firstLine="0"/>
        <w:jc w:val="left"/>
      </w:pPr>
      <w:r>
        <w:tab/>
      </w:r>
      <w:r>
        <w:rPr>
          <w:rFonts w:ascii="宋体" w:hAnsi="宋体" w:eastAsia="宋体"/>
          <w:b w:val="0"/>
          <w:i w:val="0"/>
          <w:color w:val="000000"/>
          <w:sz w:val="21"/>
        </w:rPr>
        <w:t>（3）流动性管理措施与政策</w:t>
      </w:r>
      <w:r>
        <w:br/>
      </w:r>
      <w:r>
        <w:rPr>
          <w:rFonts w:ascii="宋体" w:hAnsi="宋体" w:eastAsia="宋体"/>
          <w:b w:val="0"/>
          <w:i w:val="0"/>
          <w:color w:val="000000"/>
          <w:sz w:val="21"/>
        </w:rPr>
        <w:t>公司实施稳健的流动性风险管理，制定了明确的流动性风险偏好。公司的流动性风险管理遵循全面</w:t>
      </w:r>
      <w:r>
        <w:rPr>
          <w:rFonts w:ascii="宋体" w:hAnsi="宋体" w:eastAsia="宋体"/>
          <w:b w:val="0"/>
          <w:i w:val="0"/>
          <w:color w:val="000000"/>
          <w:sz w:val="21"/>
        </w:rPr>
        <w:t>性、审慎性和预见性的管理原则，通过建立健全流动性风险管理体系，对流动性风险实施有效识别、计</w:t>
      </w:r>
      <w:r>
        <w:rPr>
          <w:rFonts w:ascii="宋体" w:hAnsi="宋体" w:eastAsia="宋体"/>
          <w:b w:val="0"/>
          <w:i w:val="0"/>
          <w:color w:val="000000"/>
          <w:sz w:val="21"/>
        </w:rPr>
        <w:t>量、监测和控制，确保流动性需求能够及时以合理成本得到满足。</w:t>
      </w:r>
      <w:r>
        <w:rPr>
          <w:rFonts w:ascii="宋体" w:hAnsi="宋体" w:eastAsia="宋体"/>
          <w:b w:val="0"/>
          <w:i w:val="0"/>
          <w:color w:val="000000"/>
          <w:sz w:val="21"/>
        </w:rPr>
        <w:t xml:space="preserve"> </w:t>
      </w:r>
    </w:p>
    <w:p>
      <w:pPr>
        <w:autoSpaceDN w:val="0"/>
        <w:tabs>
          <w:tab w:pos="394" w:val="left"/>
          <w:tab w:pos="396" w:val="left"/>
          <w:tab w:pos="450" w:val="left"/>
        </w:tabs>
        <w:autoSpaceDE w:val="0"/>
        <w:widowControl/>
        <w:spacing w:line="468" w:lineRule="exact" w:before="0" w:after="0"/>
        <w:ind w:left="30" w:right="144" w:firstLine="0"/>
        <w:jc w:val="left"/>
      </w:pPr>
      <w:r>
        <w:tab/>
      </w:r>
      <w:r>
        <w:rPr>
          <w:rFonts w:ascii="宋体" w:hAnsi="宋体" w:eastAsia="宋体"/>
          <w:b w:val="0"/>
          <w:i w:val="0"/>
          <w:color w:val="000000"/>
          <w:sz w:val="21"/>
        </w:rPr>
        <w:t>报告期内，公司开展的流动性风险管理措施包括但不限于：</w:t>
      </w:r>
      <w:r>
        <w:rPr>
          <w:rFonts w:ascii="宋体" w:hAnsi="宋体" w:eastAsia="宋体"/>
          <w:b w:val="0"/>
          <w:i w:val="0"/>
          <w:color w:val="000000"/>
          <w:sz w:val="21"/>
        </w:rPr>
        <w:t xml:space="preserve"> </w:t>
      </w:r>
      <w:r>
        <w:br/>
      </w:r>
      <w:r>
        <w:tab/>
      </w:r>
      <w:r>
        <w:tab/>
      </w:r>
      <w:r>
        <w:tab/>
      </w:r>
      <w:r>
        <w:rPr>
          <w:rFonts w:ascii="宋体" w:hAnsi="宋体" w:eastAsia="宋体"/>
          <w:b w:val="0"/>
          <w:i w:val="0"/>
          <w:color w:val="000000"/>
          <w:sz w:val="21"/>
        </w:rPr>
        <w:t>①建立了流动性风险监测指标体系，并设置风险限额，通过动态监控系统实施每日监控，维持充足</w:t>
      </w:r>
      <w:r>
        <w:rPr>
          <w:rFonts w:ascii="宋体" w:hAnsi="宋体" w:eastAsia="宋体"/>
          <w:b w:val="0"/>
          <w:i w:val="0"/>
          <w:color w:val="000000"/>
          <w:sz w:val="21"/>
        </w:rPr>
        <w:t>的流动性资产储备；</w:t>
      </w:r>
      <w:r>
        <w:rPr>
          <w:rFonts w:ascii="宋体" w:hAnsi="宋体" w:eastAsia="宋体"/>
          <w:b w:val="0"/>
          <w:i w:val="0"/>
          <w:color w:val="000000"/>
          <w:sz w:val="21"/>
        </w:rPr>
        <w:t xml:space="preserve"> </w:t>
      </w:r>
      <w:r>
        <w:br/>
      </w:r>
      <w:r>
        <w:tab/>
      </w:r>
      <w:r>
        <w:rPr>
          <w:rFonts w:ascii="宋体" w:hAnsi="宋体" w:eastAsia="宋体"/>
          <w:b w:val="0"/>
          <w:i w:val="0"/>
          <w:color w:val="000000"/>
          <w:sz w:val="21"/>
        </w:rPr>
        <w:t>②确定业务投资额度，并结合公司战略和风控指标情况等，对各业务投资规模进行动态管控；</w:t>
      </w:r>
      <w:r>
        <w:rPr>
          <w:rFonts w:ascii="宋体" w:hAnsi="宋体" w:eastAsia="宋体"/>
          <w:b w:val="0"/>
          <w:i w:val="0"/>
          <w:color w:val="000000"/>
          <w:sz w:val="21"/>
        </w:rPr>
        <w:t xml:space="preserve"> </w:t>
      </w:r>
      <w:r>
        <w:tab/>
      </w:r>
      <w:r>
        <w:rPr>
          <w:rFonts w:ascii="宋体" w:hAnsi="宋体" w:eastAsia="宋体"/>
          <w:b w:val="0"/>
          <w:i w:val="0"/>
          <w:color w:val="000000"/>
          <w:sz w:val="21"/>
        </w:rPr>
        <w:t>③制定融资计划，结合公司战略、业务开展和风控指标情况等进行融资管理；</w:t>
      </w:r>
      <w:r>
        <w:rPr>
          <w:rFonts w:ascii="宋体" w:hAnsi="宋体" w:eastAsia="宋体"/>
          <w:b w:val="0"/>
          <w:i w:val="0"/>
          <w:color w:val="000000"/>
          <w:sz w:val="21"/>
        </w:rPr>
        <w:t xml:space="preserve"> </w:t>
      </w:r>
      <w:r>
        <w:br/>
      </w:r>
      <w:r>
        <w:tab/>
      </w:r>
      <w:r>
        <w:rPr>
          <w:rFonts w:ascii="宋体" w:hAnsi="宋体" w:eastAsia="宋体"/>
          <w:b w:val="0"/>
          <w:i w:val="0"/>
          <w:color w:val="000000"/>
          <w:sz w:val="21"/>
        </w:rPr>
        <w:t>④开展现金流管理，通过计量未来不同时间段的现金流来统筹资金安排，确保完成负债兑付和满足</w:t>
      </w:r>
      <w:r>
        <w:rPr>
          <w:rFonts w:ascii="宋体" w:hAnsi="宋体" w:eastAsia="宋体"/>
          <w:b w:val="0"/>
          <w:i w:val="0"/>
          <w:color w:val="000000"/>
          <w:sz w:val="21"/>
        </w:rPr>
        <w:t>业务资金需求；</w:t>
      </w:r>
      <w:r>
        <w:rPr>
          <w:rFonts w:ascii="宋体" w:hAnsi="宋体" w:eastAsia="宋体"/>
          <w:b w:val="0"/>
          <w:i w:val="0"/>
          <w:color w:val="000000"/>
          <w:sz w:val="21"/>
        </w:rPr>
        <w:t xml:space="preserve"> </w:t>
      </w:r>
      <w:r>
        <w:br/>
      </w:r>
      <w:r>
        <w:tab/>
      </w:r>
      <w:r>
        <w:rPr>
          <w:rFonts w:ascii="宋体" w:hAnsi="宋体" w:eastAsia="宋体"/>
          <w:b w:val="0"/>
          <w:i w:val="0"/>
          <w:color w:val="000000"/>
          <w:sz w:val="21"/>
        </w:rPr>
        <w:t>⑤定期和不定期开展流动性风险专项压力测试，对公司的流动性风险承受能力进行评估；</w:t>
      </w:r>
      <w:r>
        <w:rPr>
          <w:rFonts w:ascii="宋体" w:hAnsi="宋体" w:eastAsia="宋体"/>
          <w:b w:val="0"/>
          <w:i w:val="0"/>
          <w:color w:val="000000"/>
          <w:sz w:val="21"/>
        </w:rPr>
        <w:t xml:space="preserve"> </w:t>
      </w:r>
      <w:r>
        <w:tab/>
      </w:r>
      <w:r>
        <w:rPr>
          <w:rFonts w:ascii="宋体" w:hAnsi="宋体" w:eastAsia="宋体"/>
          <w:b w:val="0"/>
          <w:i w:val="0"/>
          <w:color w:val="000000"/>
          <w:sz w:val="21"/>
        </w:rPr>
        <w:t>⑥开展流动性风险应急计划演练，检验公司快速处置流动性资产和应急融资的能力，并提高了部门</w:t>
      </w:r>
      <w:r>
        <w:rPr>
          <w:rFonts w:ascii="宋体" w:hAnsi="宋体" w:eastAsia="宋体"/>
          <w:b w:val="0"/>
          <w:i w:val="0"/>
          <w:color w:val="000000"/>
          <w:sz w:val="21"/>
        </w:rPr>
        <w:t>之间的协调配合及应急反应能力，确保应对紧急情况下的流动性需求。</w:t>
      </w:r>
      <w:r>
        <w:rPr>
          <w:rFonts w:ascii="宋体" w:hAnsi="宋体" w:eastAsia="宋体"/>
          <w:b w:val="0"/>
          <w:i w:val="0"/>
          <w:color w:val="000000"/>
          <w:sz w:val="21"/>
        </w:rPr>
        <w:t xml:space="preserve"> </w:t>
      </w:r>
    </w:p>
    <w:p>
      <w:pPr>
        <w:autoSpaceDN w:val="0"/>
        <w:autoSpaceDE w:val="0"/>
        <w:widowControl/>
        <w:spacing w:line="212" w:lineRule="exact" w:before="256" w:after="0"/>
        <w:ind w:left="396" w:right="0" w:firstLine="0"/>
        <w:jc w:val="left"/>
      </w:pPr>
      <w:r>
        <w:rPr>
          <w:rFonts w:ascii="宋体" w:hAnsi="宋体" w:eastAsia="宋体"/>
          <w:b w:val="0"/>
          <w:i w:val="0"/>
          <w:color w:val="000000"/>
          <w:sz w:val="21"/>
        </w:rPr>
        <w:t>4.融资能力分析</w:t>
      </w:r>
    </w:p>
    <w:p>
      <w:pPr>
        <w:autoSpaceDN w:val="0"/>
        <w:tabs>
          <w:tab w:pos="450" w:val="left"/>
        </w:tabs>
        <w:autoSpaceDE w:val="0"/>
        <w:widowControl/>
        <w:spacing w:line="460" w:lineRule="exact" w:before="66" w:after="0"/>
        <w:ind w:left="30" w:right="0" w:firstLine="0"/>
        <w:jc w:val="left"/>
      </w:pPr>
      <w:r>
        <w:tab/>
      </w:r>
      <w:r>
        <w:rPr>
          <w:rFonts w:ascii="宋体" w:hAnsi="宋体" w:eastAsia="宋体"/>
          <w:b w:val="0"/>
          <w:i w:val="0"/>
          <w:color w:val="000000"/>
          <w:sz w:val="21"/>
        </w:rPr>
        <w:t>公司经营稳健，信誉良好。一直以来，积极探索融资渠道，不断扩充交易对手。公司与多家银行长</w:t>
      </w:r>
      <w:r>
        <w:rPr>
          <w:rFonts w:ascii="宋体" w:hAnsi="宋体" w:eastAsia="宋体"/>
          <w:b w:val="0"/>
          <w:i w:val="0"/>
          <w:color w:val="000000"/>
          <w:sz w:val="21"/>
        </w:rPr>
        <w:t>年保持良好的沟通合作关系，并取得充足的授信额度，具有较强的短期和长期融资能力。</w:t>
      </w:r>
    </w:p>
    <w:p>
      <w:pPr>
        <w:autoSpaceDN w:val="0"/>
        <w:autoSpaceDE w:val="0"/>
        <w:widowControl/>
        <w:spacing w:line="197" w:lineRule="auto" w:before="1002" w:after="0"/>
        <w:ind w:left="0" w:right="0" w:firstLine="0"/>
        <w:jc w:val="center"/>
      </w:pPr>
      <w:r>
        <w:rPr>
          <w:rFonts w:ascii="Calibri" w:hAnsi="Calibri" w:eastAsia="Calibri"/>
          <w:b w:val="0"/>
          <w:i w:val="0"/>
          <w:color w:val="000000"/>
          <w:sz w:val="18"/>
        </w:rPr>
        <w:t xml:space="preserve">44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47" name="Picture 4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180" w:lineRule="exact" w:before="226" w:after="68"/>
        <w:ind w:left="472" w:right="0" w:firstLine="0"/>
        <w:jc w:val="left"/>
      </w:pPr>
      <w:r>
        <w:rPr>
          <w:rFonts w:ascii="宋体" w:hAnsi="宋体" w:eastAsia="宋体"/>
          <w:b w:val="0"/>
          <w:i w:val="0"/>
          <w:color w:val="000000"/>
          <w:sz w:val="18"/>
        </w:rPr>
        <w:t>表：负债结构（扣除代理买卖证券款、代理承销证券款）</w:t>
      </w:r>
      <w:r>
        <w:rPr>
          <w:rFonts w:ascii="宋体" w:hAnsi="宋体" w:eastAsia="宋体"/>
          <w:b w:val="0"/>
          <w:i w:val="0"/>
          <w:color w:val="000000"/>
          <w:sz w:val="18"/>
        </w:rPr>
        <w:t>单位：元</w:t>
      </w:r>
    </w:p>
    <w:tbl>
      <w:tblPr>
        <w:tblW w:type="auto" w:w="0"/>
        <w:tblLayout w:type="fixed"/>
        <w:tblLook w:firstColumn="1" w:firstRow="1" w:lastColumn="0" w:lastRow="0" w:noHBand="0" w:noVBand="1" w:val="04A0"/>
        <w:tblInd w:w="137.99999999999997" w:type="dxa"/>
      </w:tblPr>
      <w:tblGrid>
        <w:gridCol w:w="3266"/>
        <w:gridCol w:w="3266"/>
        <w:gridCol w:w="3266"/>
      </w:tblGrid>
      <w:tr>
        <w:trPr>
          <w:trHeight w:hRule="exact" w:val="478"/>
        </w:trPr>
        <w:tc>
          <w:tcPr>
            <w:tcW w:type="dxa" w:w="337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40" w:after="0"/>
              <w:ind w:left="0" w:right="1412" w:firstLine="0"/>
              <w:jc w:val="right"/>
            </w:pPr>
            <w:r>
              <w:rPr>
                <w:rFonts w:ascii="宋体" w:hAnsi="宋体" w:eastAsia="宋体"/>
                <w:b w:val="0"/>
                <w:i w:val="0"/>
                <w:color w:val="000000"/>
                <w:sz w:val="18"/>
              </w:rPr>
              <w:t xml:space="preserve">项目 </w:t>
            </w:r>
          </w:p>
        </w:tc>
        <w:tc>
          <w:tcPr>
            <w:tcW w:type="dxa" w:w="2178"/>
            <w:tcBorders>
              <w:start w:sz="4.0" w:val="single" w:color="#000000"/>
              <w:top w:sz="4.0"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140" w:after="0"/>
              <w:ind w:left="0" w:right="812" w:firstLine="0"/>
              <w:jc w:val="right"/>
            </w:pPr>
            <w:r>
              <w:rPr>
                <w:rFonts w:ascii="宋体" w:hAnsi="宋体" w:eastAsia="宋体"/>
                <w:b w:val="0"/>
                <w:i w:val="0"/>
                <w:color w:val="000000"/>
                <w:sz w:val="18"/>
              </w:rPr>
              <w:t xml:space="preserve">金额 </w:t>
            </w:r>
          </w:p>
        </w:tc>
        <w:tc>
          <w:tcPr>
            <w:tcW w:type="dxa" w:w="4034"/>
            <w:tcBorders>
              <w:start w:sz="3.199999999999818" w:val="single" w:color="#000000"/>
              <w:top w:sz="4.0" w:val="single" w:color="#000000"/>
              <w:end w:sz="4.0" w:val="single" w:color="#000000"/>
              <w:bottom w:sz="4.0" w:val="single" w:color="#000000"/>
            </w:tcBorders>
            <w:shd w:fill="d2d2d2"/>
            <w:tcMar>
              <w:start w:w="0" w:type="dxa"/>
              <w:end w:w="0" w:type="dxa"/>
            </w:tcMar>
          </w:tcPr>
          <w:p>
            <w:pPr>
              <w:autoSpaceDN w:val="0"/>
              <w:tabs>
                <w:tab w:pos="1562" w:val="left"/>
              </w:tabs>
              <w:autoSpaceDE w:val="0"/>
              <w:widowControl/>
              <w:spacing w:line="220" w:lineRule="exact" w:before="0" w:after="0"/>
              <w:ind w:left="114" w:right="0" w:firstLine="0"/>
              <w:jc w:val="left"/>
            </w:pPr>
            <w:r>
              <w:rPr>
                <w:rFonts w:ascii="宋体" w:hAnsi="宋体" w:eastAsia="宋体"/>
                <w:b w:val="0"/>
                <w:i w:val="0"/>
                <w:color w:val="000000"/>
                <w:sz w:val="18"/>
              </w:rPr>
              <w:t>占负债总额比例（扣除代理买卖证券款、代理承</w:t>
            </w:r>
            <w:r>
              <w:rPr>
                <w:rFonts w:ascii="宋体" w:hAnsi="宋体" w:eastAsia="宋体"/>
                <w:b w:val="0"/>
                <w:i w:val="0"/>
                <w:color w:val="000000"/>
                <w:sz w:val="18"/>
              </w:rPr>
              <w:t xml:space="preserve">销证券款） </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短期借款</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4" w:after="0"/>
              <w:ind w:left="0" w:right="102" w:firstLine="0"/>
              <w:jc w:val="right"/>
            </w:pPr>
            <w:r>
              <w:rPr>
                <w:rFonts w:ascii="Times New Roman" w:hAnsi="Times New Roman" w:eastAsia="Times New Roman"/>
                <w:b w:val="0"/>
                <w:i w:val="0"/>
                <w:color w:val="000000"/>
                <w:sz w:val="18"/>
              </w:rPr>
              <w:t>129,792,354</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4" w:after="0"/>
              <w:ind w:left="0" w:right="102" w:firstLine="0"/>
              <w:jc w:val="right"/>
            </w:pPr>
            <w:r>
              <w:rPr>
                <w:rFonts w:ascii="Times New Roman" w:hAnsi="Times New Roman" w:eastAsia="Times New Roman"/>
                <w:b w:val="0"/>
                <w:i w:val="0"/>
                <w:color w:val="000000"/>
                <w:sz w:val="18"/>
              </w:rPr>
              <w:t>0.30%</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应付短期融资款</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2" w:after="0"/>
              <w:ind w:left="0" w:right="102" w:firstLine="0"/>
              <w:jc w:val="right"/>
            </w:pPr>
            <w:r>
              <w:rPr>
                <w:rFonts w:ascii="Times New Roman" w:hAnsi="Times New Roman" w:eastAsia="Times New Roman"/>
                <w:b w:val="0"/>
                <w:i w:val="0"/>
                <w:color w:val="000000"/>
                <w:sz w:val="18"/>
              </w:rPr>
              <w:t>36,140,651</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2" w:after="0"/>
              <w:ind w:left="0" w:right="102" w:firstLine="0"/>
              <w:jc w:val="right"/>
            </w:pPr>
            <w:r>
              <w:rPr>
                <w:rFonts w:ascii="Times New Roman" w:hAnsi="Times New Roman" w:eastAsia="Times New Roman"/>
                <w:b w:val="0"/>
                <w:i w:val="0"/>
                <w:color w:val="000000"/>
                <w:sz w:val="18"/>
              </w:rPr>
              <w:t>0.08%</w:t>
            </w:r>
          </w:p>
        </w:tc>
      </w:tr>
      <w:tr>
        <w:trPr>
          <w:trHeight w:hRule="exact" w:val="398"/>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4" w:after="0"/>
              <w:ind w:left="104" w:right="0" w:firstLine="0"/>
              <w:jc w:val="left"/>
            </w:pPr>
            <w:r>
              <w:rPr>
                <w:rFonts w:ascii="宋体" w:hAnsi="宋体" w:eastAsia="宋体"/>
                <w:b w:val="0"/>
                <w:i w:val="0"/>
                <w:color w:val="000000"/>
                <w:sz w:val="18"/>
              </w:rPr>
              <w:t>拆入资金</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6" w:after="0"/>
              <w:ind w:left="0" w:right="102" w:firstLine="0"/>
              <w:jc w:val="right"/>
            </w:pPr>
            <w:r>
              <w:rPr>
                <w:rFonts w:ascii="Times New Roman" w:hAnsi="Times New Roman" w:eastAsia="Times New Roman"/>
                <w:b w:val="0"/>
                <w:i w:val="0"/>
                <w:color w:val="000000"/>
                <w:sz w:val="18"/>
              </w:rPr>
              <w:t>10,333,096,752</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100" w:firstLine="0"/>
              <w:jc w:val="right"/>
            </w:pPr>
            <w:r>
              <w:rPr>
                <w:rFonts w:ascii="Times New Roman" w:hAnsi="Times New Roman" w:eastAsia="Times New Roman"/>
                <w:b w:val="0"/>
                <w:i w:val="0"/>
                <w:color w:val="000000"/>
                <w:sz w:val="18"/>
              </w:rPr>
              <w:t>23.56%</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4" w:after="0"/>
              <w:ind w:left="104" w:right="0" w:firstLine="0"/>
              <w:jc w:val="left"/>
            </w:pPr>
            <w:r>
              <w:rPr>
                <w:rFonts w:ascii="宋体" w:hAnsi="宋体" w:eastAsia="宋体"/>
                <w:b w:val="0"/>
                <w:i w:val="0"/>
                <w:color w:val="000000"/>
                <w:sz w:val="18"/>
              </w:rPr>
              <w:t>交易性金融负债</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4" w:after="0"/>
              <w:ind w:left="0" w:right="102" w:firstLine="0"/>
              <w:jc w:val="right"/>
            </w:pPr>
            <w:r>
              <w:rPr>
                <w:rFonts w:ascii="Times New Roman" w:hAnsi="Times New Roman" w:eastAsia="Times New Roman"/>
                <w:b w:val="0"/>
                <w:i w:val="0"/>
                <w:color w:val="000000"/>
                <w:sz w:val="18"/>
              </w:rPr>
              <w:t>3,369,245,850</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102" w:firstLine="0"/>
              <w:jc w:val="right"/>
            </w:pPr>
            <w:r>
              <w:rPr>
                <w:rFonts w:ascii="Times New Roman" w:hAnsi="Times New Roman" w:eastAsia="Times New Roman"/>
                <w:b w:val="0"/>
                <w:i w:val="0"/>
                <w:color w:val="000000"/>
                <w:sz w:val="18"/>
              </w:rPr>
              <w:t>7.68%</w:t>
            </w:r>
          </w:p>
        </w:tc>
      </w:tr>
      <w:tr>
        <w:trPr>
          <w:trHeight w:hRule="exact" w:val="398"/>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衍生金融负债</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86,426,912</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0.20%</w:t>
            </w:r>
          </w:p>
        </w:tc>
      </w:tr>
      <w:tr>
        <w:trPr>
          <w:trHeight w:hRule="exact" w:val="400"/>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卖出回购金融资产款</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4" w:after="0"/>
              <w:ind w:left="0" w:right="102" w:firstLine="0"/>
              <w:jc w:val="right"/>
            </w:pPr>
            <w:r>
              <w:rPr>
                <w:rFonts w:ascii="Times New Roman" w:hAnsi="Times New Roman" w:eastAsia="Times New Roman"/>
                <w:b w:val="0"/>
                <w:i w:val="0"/>
                <w:color w:val="000000"/>
                <w:sz w:val="18"/>
              </w:rPr>
              <w:t>12,729,642,678</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4" w:after="0"/>
              <w:ind w:left="0" w:right="100" w:firstLine="0"/>
              <w:jc w:val="right"/>
            </w:pPr>
            <w:r>
              <w:rPr>
                <w:rFonts w:ascii="Times New Roman" w:hAnsi="Times New Roman" w:eastAsia="Times New Roman"/>
                <w:b w:val="0"/>
                <w:i w:val="0"/>
                <w:color w:val="000000"/>
                <w:sz w:val="18"/>
              </w:rPr>
              <w:t>29.02%</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0" w:after="0"/>
              <w:ind w:left="104" w:right="0" w:firstLine="0"/>
              <w:jc w:val="left"/>
            </w:pPr>
            <w:r>
              <w:rPr>
                <w:rFonts w:ascii="宋体" w:hAnsi="宋体" w:eastAsia="宋体"/>
                <w:b w:val="0"/>
                <w:i w:val="0"/>
                <w:color w:val="000000"/>
                <w:sz w:val="18"/>
              </w:rPr>
              <w:t>应付职工薪酬</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0" w:after="0"/>
              <w:ind w:left="0" w:right="102" w:firstLine="0"/>
              <w:jc w:val="right"/>
            </w:pPr>
            <w:r>
              <w:rPr>
                <w:rFonts w:ascii="Times New Roman" w:hAnsi="Times New Roman" w:eastAsia="Times New Roman"/>
                <w:b w:val="0"/>
                <w:i w:val="0"/>
                <w:color w:val="000000"/>
                <w:sz w:val="18"/>
              </w:rPr>
              <w:t>149,427,011</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0" w:after="0"/>
              <w:ind w:left="0" w:right="102" w:firstLine="0"/>
              <w:jc w:val="right"/>
            </w:pPr>
            <w:r>
              <w:rPr>
                <w:rFonts w:ascii="Times New Roman" w:hAnsi="Times New Roman" w:eastAsia="Times New Roman"/>
                <w:b w:val="0"/>
                <w:i w:val="0"/>
                <w:color w:val="000000"/>
                <w:sz w:val="18"/>
              </w:rPr>
              <w:t>0.34%</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0" w:after="0"/>
              <w:ind w:left="104" w:right="0" w:firstLine="0"/>
              <w:jc w:val="left"/>
            </w:pPr>
            <w:r>
              <w:rPr>
                <w:rFonts w:ascii="宋体" w:hAnsi="宋体" w:eastAsia="宋体"/>
                <w:b w:val="0"/>
                <w:i w:val="0"/>
                <w:color w:val="000000"/>
                <w:sz w:val="18"/>
              </w:rPr>
              <w:t>应交税费</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2" w:after="0"/>
              <w:ind w:left="0" w:right="102" w:firstLine="0"/>
              <w:jc w:val="right"/>
            </w:pPr>
            <w:r>
              <w:rPr>
                <w:rFonts w:ascii="Times New Roman" w:hAnsi="Times New Roman" w:eastAsia="Times New Roman"/>
                <w:b w:val="0"/>
                <w:i w:val="0"/>
                <w:color w:val="000000"/>
                <w:sz w:val="18"/>
              </w:rPr>
              <w:t>83,677,236</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2" w:after="0"/>
              <w:ind w:left="0" w:right="102" w:firstLine="0"/>
              <w:jc w:val="right"/>
            </w:pPr>
            <w:r>
              <w:rPr>
                <w:rFonts w:ascii="Times New Roman" w:hAnsi="Times New Roman" w:eastAsia="Times New Roman"/>
                <w:b w:val="0"/>
                <w:i w:val="0"/>
                <w:color w:val="000000"/>
                <w:sz w:val="18"/>
              </w:rPr>
              <w:t>0.19%</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4" w:after="0"/>
              <w:ind w:left="104" w:right="0" w:firstLine="0"/>
              <w:jc w:val="left"/>
            </w:pPr>
            <w:r>
              <w:rPr>
                <w:rFonts w:ascii="宋体" w:hAnsi="宋体" w:eastAsia="宋体"/>
                <w:b w:val="0"/>
                <w:i w:val="0"/>
                <w:color w:val="000000"/>
                <w:sz w:val="18"/>
              </w:rPr>
              <w:t>应付款项</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94" w:after="0"/>
              <w:ind w:left="0" w:right="102" w:firstLine="0"/>
              <w:jc w:val="right"/>
            </w:pPr>
            <w:r>
              <w:rPr>
                <w:rFonts w:ascii="Times New Roman" w:hAnsi="Times New Roman" w:eastAsia="Times New Roman"/>
                <w:b w:val="0"/>
                <w:i w:val="0"/>
                <w:color w:val="000000"/>
                <w:sz w:val="18"/>
              </w:rPr>
              <w:t>93,168,277</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94" w:after="0"/>
              <w:ind w:left="0" w:right="102" w:firstLine="0"/>
              <w:jc w:val="right"/>
            </w:pPr>
            <w:r>
              <w:rPr>
                <w:rFonts w:ascii="Times New Roman" w:hAnsi="Times New Roman" w:eastAsia="Times New Roman"/>
                <w:b w:val="0"/>
                <w:i w:val="0"/>
                <w:color w:val="000000"/>
                <w:sz w:val="18"/>
              </w:rPr>
              <w:t>0.21%</w:t>
            </w:r>
          </w:p>
        </w:tc>
      </w:tr>
      <w:tr>
        <w:trPr>
          <w:trHeight w:hRule="exact" w:val="398"/>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4" w:after="0"/>
              <w:ind w:left="104" w:right="0" w:firstLine="0"/>
              <w:jc w:val="left"/>
            </w:pPr>
            <w:r>
              <w:rPr>
                <w:rFonts w:ascii="宋体" w:hAnsi="宋体" w:eastAsia="宋体"/>
                <w:b w:val="0"/>
                <w:i w:val="0"/>
                <w:color w:val="000000"/>
                <w:sz w:val="18"/>
              </w:rPr>
              <w:t>应付债券</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6" w:after="0"/>
              <w:ind w:left="0" w:right="102" w:firstLine="0"/>
              <w:jc w:val="right"/>
            </w:pPr>
            <w:r>
              <w:rPr>
                <w:rFonts w:ascii="Times New Roman" w:hAnsi="Times New Roman" w:eastAsia="Times New Roman"/>
                <w:b w:val="0"/>
                <w:i w:val="0"/>
                <w:color w:val="000000"/>
                <w:sz w:val="18"/>
              </w:rPr>
              <w:t>15,170,215,285</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6" w:after="0"/>
              <w:ind w:left="0" w:right="100" w:firstLine="0"/>
              <w:jc w:val="right"/>
            </w:pPr>
            <w:r>
              <w:rPr>
                <w:rFonts w:ascii="Times New Roman" w:hAnsi="Times New Roman" w:eastAsia="Times New Roman"/>
                <w:b w:val="0"/>
                <w:i w:val="0"/>
                <w:color w:val="000000"/>
                <w:sz w:val="18"/>
              </w:rPr>
              <w:t>34.59%</w:t>
            </w:r>
          </w:p>
        </w:tc>
      </w:tr>
      <w:tr>
        <w:trPr>
          <w:trHeight w:hRule="exact" w:val="396"/>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0" w:after="0"/>
              <w:ind w:left="104" w:right="0" w:firstLine="0"/>
              <w:jc w:val="left"/>
            </w:pPr>
            <w:r>
              <w:rPr>
                <w:rFonts w:ascii="宋体" w:hAnsi="宋体" w:eastAsia="宋体"/>
                <w:b w:val="0"/>
                <w:i w:val="0"/>
                <w:color w:val="000000"/>
                <w:sz w:val="18"/>
              </w:rPr>
              <w:t>租赁负债</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264,042,901</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0.60%</w:t>
            </w:r>
          </w:p>
        </w:tc>
      </w:tr>
      <w:tr>
        <w:trPr>
          <w:trHeight w:hRule="exact" w:val="398"/>
        </w:trPr>
        <w:tc>
          <w:tcPr>
            <w:tcW w:type="dxa" w:w="3376"/>
            <w:tcBorders>
              <w:start w:sz="4.0" w:val="single" w:color="#000000"/>
              <w:top w:sz="4.0" w:val="single" w:color="#000000"/>
              <w:end w:sz="4.0" w:val="single" w:color="#000000"/>
              <w:bottom w:sz="4.0" w:val="single" w:color="#000000"/>
            </w:tcBorders>
            <w:shd w:fill="cce8cf"/>
            <w:tcMar>
              <w:start w:w="0" w:type="dxa"/>
              <w:end w:w="0" w:type="dxa"/>
            </w:tcMar>
          </w:tcPr>
          <w:p>
            <w:pPr>
              <w:autoSpaceDN w:val="0"/>
              <w:autoSpaceDE w:val="0"/>
              <w:widowControl/>
              <w:spacing w:line="180" w:lineRule="exact" w:before="104" w:after="0"/>
              <w:ind w:left="104" w:right="0" w:firstLine="0"/>
              <w:jc w:val="left"/>
            </w:pPr>
            <w:r>
              <w:rPr>
                <w:rFonts w:ascii="宋体" w:hAnsi="宋体" w:eastAsia="宋体"/>
                <w:b w:val="0"/>
                <w:i w:val="0"/>
                <w:color w:val="000000"/>
                <w:sz w:val="18"/>
              </w:rPr>
              <w:t>递延所得税负债</w:t>
            </w:r>
          </w:p>
        </w:tc>
        <w:tc>
          <w:tcPr>
            <w:tcW w:type="dxa" w:w="2178"/>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94" w:after="0"/>
              <w:ind w:left="0" w:right="102" w:firstLine="0"/>
              <w:jc w:val="right"/>
            </w:pPr>
            <w:r>
              <w:rPr>
                <w:rFonts w:ascii="Times New Roman" w:hAnsi="Times New Roman" w:eastAsia="Times New Roman"/>
                <w:b w:val="0"/>
                <w:i w:val="0"/>
                <w:color w:val="000000"/>
                <w:sz w:val="18"/>
              </w:rPr>
              <w:t>53,668,910</w:t>
            </w:r>
          </w:p>
        </w:tc>
        <w:tc>
          <w:tcPr>
            <w:tcW w:type="dxa" w:w="4034"/>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94" w:after="0"/>
              <w:ind w:left="0" w:right="102" w:firstLine="0"/>
              <w:jc w:val="right"/>
            </w:pPr>
            <w:r>
              <w:rPr>
                <w:rFonts w:ascii="Times New Roman" w:hAnsi="Times New Roman" w:eastAsia="Times New Roman"/>
                <w:b w:val="0"/>
                <w:i w:val="0"/>
                <w:color w:val="000000"/>
                <w:sz w:val="18"/>
              </w:rPr>
              <w:t>0.12%</w:t>
            </w:r>
          </w:p>
        </w:tc>
      </w:tr>
      <w:tr>
        <w:trPr>
          <w:trHeight w:hRule="exact" w:val="398"/>
        </w:trPr>
        <w:tc>
          <w:tcPr>
            <w:tcW w:type="dxa" w:w="3376"/>
            <w:tcBorders>
              <w:start w:sz="4.0" w:val="single" w:color="#000000"/>
              <w:top w:sz="4.0" w:val="single" w:color="#000000"/>
              <w:end w:sz="4.0" w:val="single" w:color="#000000"/>
              <w:bottom w:sz="3.199999999999818" w:val="single" w:color="#000000"/>
            </w:tcBorders>
            <w:shd w:fill="cce8cf"/>
            <w:tcMar>
              <w:start w:w="0" w:type="dxa"/>
              <w:end w:w="0" w:type="dxa"/>
            </w:tcMar>
          </w:tcPr>
          <w:p>
            <w:pPr>
              <w:autoSpaceDN w:val="0"/>
              <w:autoSpaceDE w:val="0"/>
              <w:widowControl/>
              <w:spacing w:line="180" w:lineRule="exact" w:before="100" w:after="0"/>
              <w:ind w:left="104" w:right="0" w:firstLine="0"/>
              <w:jc w:val="left"/>
            </w:pPr>
            <w:r>
              <w:rPr>
                <w:rFonts w:ascii="宋体" w:hAnsi="宋体" w:eastAsia="宋体"/>
                <w:b w:val="0"/>
                <w:i w:val="0"/>
                <w:color w:val="000000"/>
                <w:sz w:val="18"/>
              </w:rPr>
              <w:t>其他负债</w:t>
            </w:r>
          </w:p>
        </w:tc>
        <w:tc>
          <w:tcPr>
            <w:tcW w:type="dxa" w:w="2178"/>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1,364,567,880</w:t>
            </w:r>
          </w:p>
        </w:tc>
        <w:tc>
          <w:tcPr>
            <w:tcW w:type="dxa" w:w="4034"/>
            <w:tcBorders>
              <w:start w:sz="3.199999999999818"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92" w:after="0"/>
              <w:ind w:left="0" w:right="102" w:firstLine="0"/>
              <w:jc w:val="right"/>
            </w:pPr>
            <w:r>
              <w:rPr>
                <w:rFonts w:ascii="Times New Roman" w:hAnsi="Times New Roman" w:eastAsia="Times New Roman"/>
                <w:b w:val="0"/>
                <w:i w:val="0"/>
                <w:color w:val="000000"/>
                <w:sz w:val="18"/>
              </w:rPr>
              <w:t>3.11%</w:t>
            </w:r>
          </w:p>
        </w:tc>
      </w:tr>
      <w:tr>
        <w:trPr>
          <w:trHeight w:hRule="exact" w:val="526"/>
        </w:trPr>
        <w:tc>
          <w:tcPr>
            <w:tcW w:type="dxa" w:w="3376"/>
            <w:tcBorders>
              <w:start w:sz="4.0" w:val="single" w:color="#000000"/>
              <w:top w:sz="3.199999999999818" w:val="single" w:color="#000000"/>
              <w:end w:sz="4.0" w:val="single" w:color="#000000"/>
              <w:bottom w:sz="3.199999999999818" w:val="single" w:color="#000000"/>
            </w:tcBorders>
            <w:shd w:fill="cce8cf"/>
            <w:tcMar>
              <w:start w:w="0" w:type="dxa"/>
              <w:end w:w="0" w:type="dxa"/>
            </w:tcMar>
          </w:tcPr>
          <w:p>
            <w:pPr>
              <w:autoSpaceDN w:val="0"/>
              <w:autoSpaceDE w:val="0"/>
              <w:widowControl/>
              <w:spacing w:line="232" w:lineRule="exact" w:before="0" w:after="0"/>
              <w:ind w:left="104" w:right="144" w:firstLine="0"/>
              <w:jc w:val="left"/>
            </w:pPr>
            <w:r>
              <w:rPr>
                <w:rFonts w:ascii="宋体" w:hAnsi="宋体" w:eastAsia="宋体"/>
                <w:b w:val="0"/>
                <w:i w:val="0"/>
                <w:color w:val="000000"/>
                <w:sz w:val="18"/>
              </w:rPr>
              <w:t>负债合计（扣除代理买卖证券款及代理</w:t>
            </w:r>
            <w:r>
              <w:rPr>
                <w:rFonts w:ascii="宋体" w:hAnsi="宋体" w:eastAsia="宋体"/>
                <w:b w:val="0"/>
                <w:i w:val="0"/>
                <w:color w:val="000000"/>
                <w:sz w:val="18"/>
              </w:rPr>
              <w:t>承销证券款）</w:t>
            </w:r>
          </w:p>
        </w:tc>
        <w:tc>
          <w:tcPr>
            <w:tcW w:type="dxa" w:w="2178"/>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0" w:lineRule="auto" w:before="158" w:after="0"/>
              <w:ind w:left="0" w:right="102" w:firstLine="0"/>
              <w:jc w:val="right"/>
            </w:pPr>
            <w:r>
              <w:rPr>
                <w:rFonts w:ascii="Times New Roman" w:hAnsi="Times New Roman" w:eastAsia="Times New Roman"/>
                <w:b w:val="0"/>
                <w:i w:val="0"/>
                <w:color w:val="000000"/>
                <w:sz w:val="18"/>
              </w:rPr>
              <w:t>43,863,112,697</w:t>
            </w:r>
          </w:p>
        </w:tc>
        <w:tc>
          <w:tcPr>
            <w:tcW w:type="dxa" w:w="4034"/>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158" w:after="0"/>
              <w:ind w:left="0" w:right="102" w:firstLine="0"/>
              <w:jc w:val="right"/>
            </w:pPr>
            <w:r>
              <w:rPr>
                <w:rFonts w:ascii="Times New Roman" w:hAnsi="Times New Roman" w:eastAsia="Times New Roman"/>
                <w:b w:val="0"/>
                <w:i w:val="0"/>
                <w:color w:val="000000"/>
                <w:sz w:val="18"/>
              </w:rPr>
              <w:t>100.00%</w:t>
            </w:r>
          </w:p>
        </w:tc>
      </w:tr>
    </w:tbl>
    <w:p>
      <w:pPr>
        <w:autoSpaceDN w:val="0"/>
        <w:autoSpaceDE w:val="0"/>
        <w:widowControl/>
        <w:spacing w:line="240" w:lineRule="exact" w:before="662" w:after="0"/>
        <w:ind w:left="112" w:right="0" w:firstLine="0"/>
        <w:jc w:val="left"/>
      </w:pPr>
      <w:r>
        <w:rPr>
          <w:rFonts w:ascii="宋体" w:hAnsi="宋体" w:eastAsia="宋体"/>
          <w:b w:val="0"/>
          <w:i w:val="0"/>
          <w:color w:val="000000"/>
          <w:sz w:val="24"/>
        </w:rPr>
        <w:t xml:space="preserve">八、投资状况分析 </w:t>
      </w:r>
    </w:p>
    <w:p>
      <w:pPr>
        <w:autoSpaceDN w:val="0"/>
        <w:autoSpaceDE w:val="0"/>
        <w:widowControl/>
        <w:spacing w:line="210" w:lineRule="exact" w:before="370" w:after="0"/>
        <w:ind w:left="112" w:right="0" w:firstLine="0"/>
        <w:jc w:val="left"/>
      </w:pPr>
      <w:r>
        <w:rPr>
          <w:rFonts w:ascii="宋体" w:hAnsi="宋体" w:eastAsia="宋体"/>
          <w:b w:val="0"/>
          <w:i w:val="0"/>
          <w:color w:val="000000"/>
          <w:sz w:val="21"/>
        </w:rPr>
        <w:t xml:space="preserve">1、总体情况 </w:t>
      </w:r>
    </w:p>
    <w:p>
      <w:pPr>
        <w:autoSpaceDN w:val="0"/>
        <w:autoSpaceDE w:val="0"/>
        <w:widowControl/>
        <w:spacing w:line="212" w:lineRule="exact" w:before="514" w:after="0"/>
        <w:ind w:left="532" w:right="0" w:firstLine="0"/>
        <w:jc w:val="left"/>
      </w:pPr>
      <w:r>
        <w:rPr>
          <w:rFonts w:ascii="宋体" w:hAnsi="宋体" w:eastAsia="宋体"/>
          <w:b w:val="0"/>
          <w:i w:val="0"/>
          <w:color w:val="000000"/>
          <w:sz w:val="21"/>
        </w:rPr>
        <w:t>报告期内，本公司未对子公司增资。从事私募股权投资的全资子公司山证投资有限责任公司及从事</w:t>
      </w:r>
    </w:p>
    <w:p>
      <w:pPr>
        <w:autoSpaceDN w:val="0"/>
        <w:autoSpaceDE w:val="0"/>
        <w:widowControl/>
        <w:spacing w:line="210" w:lineRule="exact" w:before="250" w:after="0"/>
        <w:ind w:left="112" w:right="0" w:firstLine="0"/>
        <w:jc w:val="left"/>
      </w:pPr>
      <w:r>
        <w:rPr>
          <w:rFonts w:ascii="宋体" w:hAnsi="宋体" w:eastAsia="宋体"/>
          <w:b w:val="0"/>
          <w:i w:val="0"/>
          <w:color w:val="000000"/>
          <w:sz w:val="21"/>
        </w:rPr>
        <w:t>另类投资的全资子公司山证创新投资有限公司投资其他企业的情况，详见本报告第十节</w:t>
      </w:r>
      <w:r>
        <w:rPr>
          <w:rFonts w:ascii="宋体" w:hAnsi="宋体" w:eastAsia="宋体"/>
          <w:b w:val="0"/>
          <w:i w:val="0"/>
          <w:color w:val="000000"/>
          <w:sz w:val="21"/>
        </w:rPr>
        <w:t>“财务报告附</w:t>
      </w:r>
    </w:p>
    <w:p>
      <w:pPr>
        <w:autoSpaceDN w:val="0"/>
        <w:autoSpaceDE w:val="0"/>
        <w:widowControl/>
        <w:spacing w:line="212" w:lineRule="exact" w:before="248" w:after="64"/>
        <w:ind w:left="112" w:right="0" w:firstLine="0"/>
        <w:jc w:val="left"/>
      </w:pPr>
      <w:r>
        <w:rPr>
          <w:rFonts w:ascii="宋体" w:hAnsi="宋体" w:eastAsia="宋体"/>
          <w:b w:val="0"/>
          <w:i w:val="0"/>
          <w:color w:val="000000"/>
          <w:sz w:val="21"/>
        </w:rPr>
        <w:t>注 ‘七、在其他主体中的权益’”的相关内容。</w:t>
      </w:r>
    </w:p>
    <w:tbl>
      <w:tblPr>
        <w:tblW w:type="auto" w:w="0"/>
        <w:tblLayout w:type="fixed"/>
        <w:tblLook w:firstColumn="1" w:firstRow="1" w:lastColumn="0" w:lastRow="0" w:noHBand="0" w:noVBand="1" w:val="04A0"/>
        <w:tblInd w:w="2.0000000000000284" w:type="dxa"/>
      </w:tblPr>
      <w:tblGrid>
        <w:gridCol w:w="3266"/>
        <w:gridCol w:w="3266"/>
        <w:gridCol w:w="3266"/>
      </w:tblGrid>
      <w:tr>
        <w:trPr>
          <w:trHeight w:hRule="exact" w:val="400"/>
        </w:trPr>
        <w:tc>
          <w:tcPr>
            <w:tcW w:type="dxa" w:w="3214"/>
            <w:tcBorders>
              <w:start w:sz="2.3999999999999773" w:val="single" w:color="#000000"/>
              <w:top w:sz="1.6000000000003638" w:val="single" w:color="#000000"/>
              <w:end w:sz="2.3999999999998636" w:val="single" w:color="#000000"/>
              <w:bottom w:sz="1.6000000000003638" w:val="single" w:color="#000000"/>
            </w:tcBorders>
            <w:shd w:fill="d2d2d2"/>
            <w:tcMar>
              <w:start w:w="0" w:type="dxa"/>
              <w:end w:w="0" w:type="dxa"/>
            </w:tcMar>
          </w:tcPr>
          <w:p>
            <w:pPr>
              <w:autoSpaceDN w:val="0"/>
              <w:autoSpaceDE w:val="0"/>
              <w:widowControl/>
              <w:spacing w:line="180" w:lineRule="exact" w:before="114" w:after="0"/>
              <w:ind w:left="796" w:right="0" w:firstLine="0"/>
              <w:jc w:val="left"/>
            </w:pPr>
            <w:r>
              <w:rPr>
                <w:rFonts w:ascii="宋体" w:hAnsi="宋体" w:eastAsia="宋体"/>
                <w:b w:val="0"/>
                <w:i w:val="0"/>
                <w:color w:val="000000"/>
                <w:sz w:val="18"/>
              </w:rPr>
              <w:t xml:space="preserve">报告期投资额（元） </w:t>
            </w:r>
          </w:p>
        </w:tc>
        <w:tc>
          <w:tcPr>
            <w:tcW w:type="dxa" w:w="3216"/>
            <w:tcBorders>
              <w:start w:sz="2.3999999999998636" w:val="single" w:color="#000000"/>
              <w:top w:sz="1.6000000000003638"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114" w:after="0"/>
              <w:ind w:left="702" w:right="0" w:firstLine="0"/>
              <w:jc w:val="left"/>
            </w:pPr>
            <w:r>
              <w:rPr>
                <w:rFonts w:ascii="宋体" w:hAnsi="宋体" w:eastAsia="宋体"/>
                <w:b w:val="0"/>
                <w:i w:val="0"/>
                <w:color w:val="000000"/>
                <w:sz w:val="18"/>
              </w:rPr>
              <w:t xml:space="preserve">上年同期投资额（元） </w:t>
            </w:r>
          </w:p>
        </w:tc>
        <w:tc>
          <w:tcPr>
            <w:tcW w:type="dxa" w:w="3212"/>
            <w:tcBorders>
              <w:start w:sz="1.599999999999909" w:val="single" w:color="#000000"/>
              <w:top w:sz="1.6000000000003638"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180" w:lineRule="exact" w:before="114" w:after="0"/>
              <w:ind w:left="0" w:right="1154" w:firstLine="0"/>
              <w:jc w:val="right"/>
            </w:pPr>
            <w:r>
              <w:rPr>
                <w:rFonts w:ascii="宋体" w:hAnsi="宋体" w:eastAsia="宋体"/>
                <w:b w:val="0"/>
                <w:i w:val="0"/>
                <w:color w:val="000000"/>
                <w:sz w:val="18"/>
              </w:rPr>
              <w:t xml:space="preserve">变动幅度 </w:t>
            </w:r>
          </w:p>
        </w:tc>
      </w:tr>
      <w:tr>
        <w:trPr>
          <w:trHeight w:hRule="exact" w:val="404"/>
        </w:trPr>
        <w:tc>
          <w:tcPr>
            <w:tcW w:type="dxa" w:w="3214"/>
            <w:tcBorders>
              <w:start w:sz="2.3999999999999773" w:val="single" w:color="#000000"/>
              <w:top w:sz="1.6000000000003638" w:val="single" w:color="#000000"/>
              <w:end w:sz="2.3999999999998636" w:val="single" w:color="#000000"/>
              <w:bottom w:sz="1.5999999999994543" w:val="single" w:color="#000000"/>
            </w:tcBorders>
            <w:tcMar>
              <w:start w:w="0" w:type="dxa"/>
              <w:end w:w="0" w:type="dxa"/>
            </w:tcMar>
          </w:tcPr>
          <w:p>
            <w:pPr>
              <w:autoSpaceDN w:val="0"/>
              <w:autoSpaceDE w:val="0"/>
              <w:widowControl/>
              <w:spacing w:line="180" w:lineRule="exact" w:before="118" w:after="0"/>
              <w:ind w:left="0" w:right="12" w:firstLine="0"/>
              <w:jc w:val="right"/>
            </w:pPr>
            <w:r>
              <w:rPr>
                <w:rFonts w:ascii="宋体" w:hAnsi="宋体" w:eastAsia="宋体"/>
                <w:b w:val="0"/>
                <w:i w:val="0"/>
                <w:color w:val="000000"/>
                <w:sz w:val="18"/>
              </w:rPr>
              <w:t xml:space="preserve">- </w:t>
            </w:r>
          </w:p>
        </w:tc>
        <w:tc>
          <w:tcPr>
            <w:tcW w:type="dxa" w:w="3216"/>
            <w:tcBorders>
              <w:start w:sz="2.3999999999998636"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118" w:after="0"/>
              <w:ind w:left="0" w:right="16" w:firstLine="0"/>
              <w:jc w:val="right"/>
            </w:pPr>
            <w:r>
              <w:rPr>
                <w:rFonts w:ascii="宋体" w:hAnsi="宋体" w:eastAsia="宋体"/>
                <w:b w:val="0"/>
                <w:i w:val="0"/>
                <w:color w:val="000000"/>
                <w:sz w:val="18"/>
              </w:rPr>
              <w:t xml:space="preserve">- </w:t>
            </w:r>
          </w:p>
        </w:tc>
        <w:tc>
          <w:tcPr>
            <w:tcW w:type="dxa" w:w="3212"/>
            <w:tcBorders>
              <w:start w:sz="1.599999999999909"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180" w:lineRule="exact" w:before="118" w:after="0"/>
              <w:ind w:left="0" w:right="14" w:firstLine="0"/>
              <w:jc w:val="right"/>
            </w:pPr>
            <w:r>
              <w:rPr>
                <w:rFonts w:ascii="宋体" w:hAnsi="宋体" w:eastAsia="宋体"/>
                <w:b w:val="0"/>
                <w:i w:val="0"/>
                <w:color w:val="000000"/>
                <w:sz w:val="18"/>
              </w:rPr>
              <w:t xml:space="preserve">- </w:t>
            </w:r>
          </w:p>
        </w:tc>
      </w:tr>
    </w:tbl>
    <w:p>
      <w:pPr>
        <w:autoSpaceDN w:val="0"/>
        <w:autoSpaceDE w:val="0"/>
        <w:widowControl/>
        <w:spacing w:line="180" w:lineRule="exact" w:before="212" w:after="0"/>
        <w:ind w:left="472" w:right="0" w:firstLine="0"/>
        <w:jc w:val="left"/>
      </w:pPr>
      <w:r>
        <w:rPr>
          <w:rFonts w:ascii="宋体" w:hAnsi="宋体" w:eastAsia="宋体"/>
          <w:b w:val="0"/>
          <w:i w:val="0"/>
          <w:color w:val="000000"/>
          <w:sz w:val="18"/>
        </w:rPr>
        <w:t>注：本表报告期投资额根据母公司报表长期股权投资报告期投资净额填列，详见本报告第十节 “财务报告附注‘十</w:t>
      </w:r>
    </w:p>
    <w:p>
      <w:pPr>
        <w:autoSpaceDN w:val="0"/>
        <w:autoSpaceDE w:val="0"/>
        <w:widowControl/>
        <w:spacing w:line="180" w:lineRule="exact" w:before="282" w:after="0"/>
        <w:ind w:left="112" w:right="0" w:firstLine="0"/>
        <w:jc w:val="left"/>
      </w:pPr>
      <w:r>
        <w:rPr>
          <w:rFonts w:ascii="宋体" w:hAnsi="宋体" w:eastAsia="宋体"/>
          <w:b w:val="0"/>
          <w:i w:val="0"/>
          <w:color w:val="000000"/>
          <w:sz w:val="18"/>
        </w:rPr>
        <w:t>八、2 长期股权投资’”</w:t>
      </w:r>
    </w:p>
    <w:p>
      <w:pPr>
        <w:autoSpaceDN w:val="0"/>
        <w:autoSpaceDE w:val="0"/>
        <w:widowControl/>
        <w:spacing w:line="212" w:lineRule="exact" w:before="406" w:after="0"/>
        <w:ind w:left="112" w:right="0" w:firstLine="0"/>
        <w:jc w:val="left"/>
      </w:pPr>
      <w:r>
        <w:rPr>
          <w:rFonts w:ascii="宋体" w:hAnsi="宋体" w:eastAsia="宋体"/>
          <w:b w:val="0"/>
          <w:i w:val="0"/>
          <w:color w:val="000000"/>
          <w:sz w:val="21"/>
        </w:rPr>
        <w:t xml:space="preserve">2、报告期内获取的重大的股权投资情况 </w:t>
      </w:r>
    </w:p>
    <w:p>
      <w:pPr>
        <w:autoSpaceDN w:val="0"/>
        <w:autoSpaceDE w:val="0"/>
        <w:widowControl/>
        <w:spacing w:line="180" w:lineRule="exact" w:before="364"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1488" w:after="0"/>
        <w:ind w:left="0" w:right="4738" w:firstLine="0"/>
        <w:jc w:val="right"/>
      </w:pPr>
      <w:r>
        <w:rPr>
          <w:rFonts w:ascii="Calibri" w:hAnsi="Calibri" w:eastAsia="Calibri"/>
          <w:b w:val="0"/>
          <w:i w:val="0"/>
          <w:color w:val="000000"/>
          <w:sz w:val="18"/>
        </w:rPr>
        <w:t xml:space="preserve">45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926.0000000000001" w:type="dxa"/>
      </w:tblPr>
      <w:tblGrid>
        <w:gridCol w:w="5795"/>
        <w:gridCol w:w="5795"/>
      </w:tblGrid>
      <w:tr>
        <w:trPr>
          <w:trHeight w:hRule="exact" w:val="774"/>
        </w:trPr>
        <w:tc>
          <w:tcPr>
            <w:tcW w:type="dxa" w:w="5436"/>
            <w:tcBorders>
              <w:bottom w:sz="5.600000000000023" w:val="single" w:color="#000000"/>
            </w:tcBorders>
            <w:tcMar>
              <w:start w:w="0" w:type="dxa"/>
              <w:end w:w="0" w:type="dxa"/>
            </w:tcMar>
          </w:tcPr>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48" name="Picture 4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260"/>
            <w:tcBorders>
              <w:bottom w:sz="5.600000000000023" w:val="single" w:color="#000000"/>
            </w:tcBorders>
            <w:tcMar>
              <w:start w:w="0" w:type="dxa"/>
              <w:end w:w="0" w:type="dxa"/>
            </w:tcMar>
          </w:tcPr>
          <w:p>
            <w:pPr>
              <w:autoSpaceDN w:val="0"/>
              <w:autoSpaceDE w:val="0"/>
              <w:widowControl/>
              <w:spacing w:line="200" w:lineRule="exact" w:before="536" w:after="0"/>
              <w:ind w:left="0" w:right="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210" w:lineRule="exact" w:before="48" w:after="0"/>
        <w:ind w:left="956" w:right="0" w:firstLine="0"/>
        <w:jc w:val="left"/>
      </w:pPr>
      <w:r>
        <w:rPr>
          <w:rFonts w:ascii="宋体" w:hAnsi="宋体" w:eastAsia="宋体"/>
          <w:b w:val="0"/>
          <w:i w:val="0"/>
          <w:color w:val="000000"/>
          <w:sz w:val="21"/>
        </w:rPr>
        <w:t xml:space="preserve">3、报告期内正在进行的重大的非股权投资情况 </w:t>
      </w:r>
    </w:p>
    <w:p>
      <w:pPr>
        <w:autoSpaceDN w:val="0"/>
        <w:autoSpaceDE w:val="0"/>
        <w:widowControl/>
        <w:spacing w:line="180" w:lineRule="exact" w:before="362" w:after="0"/>
        <w:ind w:left="956"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8" w:after="0"/>
        <w:ind w:left="956" w:right="0" w:firstLine="0"/>
        <w:jc w:val="left"/>
      </w:pPr>
      <w:r>
        <w:rPr>
          <w:rFonts w:ascii="宋体" w:hAnsi="宋体" w:eastAsia="宋体"/>
          <w:b w:val="0"/>
          <w:i w:val="0"/>
          <w:color w:val="000000"/>
          <w:sz w:val="21"/>
        </w:rPr>
        <w:t xml:space="preserve">4、金融资产投资 </w:t>
      </w:r>
    </w:p>
    <w:p>
      <w:pPr>
        <w:autoSpaceDN w:val="0"/>
        <w:autoSpaceDE w:val="0"/>
        <w:widowControl/>
        <w:spacing w:line="180" w:lineRule="exact" w:before="394" w:after="0"/>
        <w:ind w:left="956" w:right="0" w:firstLine="0"/>
        <w:jc w:val="left"/>
      </w:pPr>
      <w:r>
        <w:rPr>
          <w:rFonts w:ascii="宋体" w:hAnsi="宋体" w:eastAsia="宋体"/>
          <w:b w:val="0"/>
          <w:i w:val="0"/>
          <w:color w:val="000000"/>
          <w:sz w:val="18"/>
        </w:rPr>
        <w:t xml:space="preserve">（1） 证券投资情况 </w:t>
      </w:r>
    </w:p>
    <w:p>
      <w:pPr>
        <w:autoSpaceDN w:val="0"/>
        <w:autoSpaceDE w:val="0"/>
        <w:widowControl/>
        <w:spacing w:line="180" w:lineRule="exact" w:before="366" w:after="0"/>
        <w:ind w:left="956"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124"/>
        <w:ind w:left="0" w:right="1092"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10.0" w:type="dxa"/>
      </w:tblPr>
      <w:tblGrid>
        <w:gridCol w:w="828"/>
        <w:gridCol w:w="828"/>
        <w:gridCol w:w="828"/>
        <w:gridCol w:w="828"/>
        <w:gridCol w:w="828"/>
        <w:gridCol w:w="828"/>
        <w:gridCol w:w="828"/>
        <w:gridCol w:w="828"/>
        <w:gridCol w:w="828"/>
        <w:gridCol w:w="828"/>
        <w:gridCol w:w="828"/>
        <w:gridCol w:w="828"/>
        <w:gridCol w:w="828"/>
        <w:gridCol w:w="828"/>
      </w:tblGrid>
      <w:tr>
        <w:trPr>
          <w:trHeight w:hRule="exact" w:val="864"/>
        </w:trPr>
        <w:tc>
          <w:tcPr>
            <w:tcW w:type="dxa" w:w="552"/>
            <w:tcBorders>
              <w:start w:sz="7.200000000000003" w:val="single" w:color="#000000"/>
              <w:top w:sz="7.2000000000000455" w:val="single" w:color="#000000"/>
              <w:end w:sz="7.199999999999989"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证券</w:t>
            </w:r>
            <w:r>
              <w:br/>
            </w:r>
            <w:r>
              <w:rPr>
                <w:rFonts w:ascii="宋体" w:hAnsi="宋体" w:eastAsia="宋体"/>
                <w:b w:val="0"/>
                <w:i w:val="0"/>
                <w:color w:val="000000"/>
                <w:sz w:val="13"/>
              </w:rPr>
              <w:t xml:space="preserve">品种 </w:t>
            </w:r>
          </w:p>
        </w:tc>
        <w:tc>
          <w:tcPr>
            <w:tcW w:type="dxa" w:w="820"/>
            <w:tcBorders>
              <w:start w:sz="7.199999999999989"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30" w:lineRule="exact" w:before="358" w:after="0"/>
              <w:ind w:left="0" w:right="0" w:firstLine="0"/>
              <w:jc w:val="center"/>
            </w:pPr>
            <w:r>
              <w:rPr>
                <w:rFonts w:ascii="宋体" w:hAnsi="宋体" w:eastAsia="宋体"/>
                <w:b w:val="0"/>
                <w:i w:val="0"/>
                <w:color w:val="000000"/>
                <w:sz w:val="13"/>
              </w:rPr>
              <w:t xml:space="preserve">证券代码 </w:t>
            </w:r>
          </w:p>
        </w:tc>
        <w:tc>
          <w:tcPr>
            <w:tcW w:type="dxa" w:w="784"/>
            <w:tcBorders>
              <w:start w:sz="8.0" w:val="single" w:color="#000000"/>
              <w:top w:sz="7.2000000000000455" w:val="single" w:color="#000000"/>
              <w:end w:sz="7.199999999999932" w:val="single" w:color="#000000"/>
              <w:bottom w:sz="7.200000000000273" w:val="single" w:color="#000000"/>
            </w:tcBorders>
            <w:shd w:fill="d2d2d2"/>
            <w:tcMar>
              <w:start w:w="0" w:type="dxa"/>
              <w:end w:w="0" w:type="dxa"/>
            </w:tcMar>
          </w:tcPr>
          <w:p>
            <w:pPr>
              <w:autoSpaceDN w:val="0"/>
              <w:autoSpaceDE w:val="0"/>
              <w:widowControl/>
              <w:spacing w:line="130" w:lineRule="exact" w:before="358" w:after="0"/>
              <w:ind w:left="0" w:right="0" w:firstLine="0"/>
              <w:jc w:val="center"/>
            </w:pPr>
            <w:r>
              <w:rPr>
                <w:rFonts w:ascii="宋体" w:hAnsi="宋体" w:eastAsia="宋体"/>
                <w:b w:val="0"/>
                <w:i w:val="0"/>
                <w:color w:val="000000"/>
                <w:sz w:val="13"/>
              </w:rPr>
              <w:t xml:space="preserve">证券简称 </w:t>
            </w:r>
          </w:p>
        </w:tc>
        <w:tc>
          <w:tcPr>
            <w:tcW w:type="dxa" w:w="932"/>
            <w:tcBorders>
              <w:start w:sz="7.199999999999932"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最初投资成</w:t>
            </w:r>
            <w:r>
              <w:rPr>
                <w:rFonts w:ascii="宋体" w:hAnsi="宋体" w:eastAsia="宋体"/>
                <w:b w:val="0"/>
                <w:i w:val="0"/>
                <w:color w:val="000000"/>
                <w:sz w:val="13"/>
              </w:rPr>
              <w:t xml:space="preserve">本 </w:t>
            </w:r>
          </w:p>
        </w:tc>
        <w:tc>
          <w:tcPr>
            <w:tcW w:type="dxa" w:w="628"/>
            <w:tcBorders>
              <w:start w:sz="8.0"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会计计</w:t>
            </w:r>
            <w:r>
              <w:br/>
            </w:r>
            <w:r>
              <w:rPr>
                <w:rFonts w:ascii="宋体" w:hAnsi="宋体" w:eastAsia="宋体"/>
                <w:b w:val="0"/>
                <w:i w:val="0"/>
                <w:color w:val="000000"/>
                <w:sz w:val="13"/>
              </w:rPr>
              <w:t xml:space="preserve">量模式 </w:t>
            </w:r>
          </w:p>
        </w:tc>
        <w:tc>
          <w:tcPr>
            <w:tcW w:type="dxa" w:w="948"/>
            <w:tcBorders>
              <w:start w:sz="8.0"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期初账面价</w:t>
            </w:r>
            <w:r>
              <w:rPr>
                <w:rFonts w:ascii="宋体" w:hAnsi="宋体" w:eastAsia="宋体"/>
                <w:b w:val="0"/>
                <w:i w:val="0"/>
                <w:color w:val="000000"/>
                <w:sz w:val="13"/>
              </w:rPr>
              <w:t xml:space="preserve">值 </w:t>
            </w:r>
          </w:p>
        </w:tc>
        <w:tc>
          <w:tcPr>
            <w:tcW w:type="dxa" w:w="750"/>
            <w:tcBorders>
              <w:start w:sz="8.0" w:val="single" w:color="#000000"/>
              <w:top w:sz="7.2000000000000455" w:val="single" w:color="#000000"/>
              <w:end w:sz="7.199999999999818" w:val="single" w:color="#000000"/>
              <w:bottom w:sz="7.200000000000273" w:val="single" w:color="#000000"/>
            </w:tcBorders>
            <w:shd w:fill="d2d2d2"/>
            <w:tcMar>
              <w:start w:w="0" w:type="dxa"/>
              <w:end w:w="0" w:type="dxa"/>
            </w:tcMar>
          </w:tcPr>
          <w:p>
            <w:pPr>
              <w:autoSpaceDN w:val="0"/>
              <w:autoSpaceDE w:val="0"/>
              <w:widowControl/>
              <w:spacing w:line="168" w:lineRule="exact" w:before="152" w:after="0"/>
              <w:ind w:left="0" w:right="0" w:firstLine="0"/>
              <w:jc w:val="center"/>
            </w:pPr>
            <w:r>
              <w:rPr>
                <w:rFonts w:ascii="宋体" w:hAnsi="宋体" w:eastAsia="宋体"/>
                <w:b w:val="0"/>
                <w:i w:val="0"/>
                <w:color w:val="000000"/>
                <w:sz w:val="13"/>
              </w:rPr>
              <w:t>本期公允</w:t>
            </w:r>
            <w:r>
              <w:rPr>
                <w:rFonts w:ascii="宋体" w:hAnsi="宋体" w:eastAsia="宋体"/>
                <w:b w:val="0"/>
                <w:i w:val="0"/>
                <w:color w:val="000000"/>
                <w:sz w:val="13"/>
              </w:rPr>
              <w:t>价值变动</w:t>
            </w:r>
            <w:r>
              <w:rPr>
                <w:rFonts w:ascii="宋体" w:hAnsi="宋体" w:eastAsia="宋体"/>
                <w:b w:val="0"/>
                <w:i w:val="0"/>
                <w:color w:val="000000"/>
                <w:sz w:val="13"/>
              </w:rPr>
              <w:t xml:space="preserve">损益 </w:t>
            </w:r>
          </w:p>
        </w:tc>
        <w:tc>
          <w:tcPr>
            <w:tcW w:type="dxa" w:w="700"/>
            <w:tcBorders>
              <w:start w:sz="7.199999999999818"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64" w:lineRule="exact" w:before="0" w:after="0"/>
              <w:ind w:left="0" w:right="144" w:firstLine="0"/>
              <w:jc w:val="center"/>
            </w:pPr>
            <w:r>
              <w:rPr>
                <w:rFonts w:ascii="宋体" w:hAnsi="宋体" w:eastAsia="宋体"/>
                <w:b w:val="0"/>
                <w:i w:val="0"/>
                <w:color w:val="000000"/>
                <w:sz w:val="13"/>
              </w:rPr>
              <w:t>计入权</w:t>
            </w:r>
            <w:r>
              <w:rPr>
                <w:rFonts w:ascii="宋体" w:hAnsi="宋体" w:eastAsia="宋体"/>
                <w:b w:val="0"/>
                <w:i w:val="0"/>
                <w:color w:val="000000"/>
                <w:sz w:val="13"/>
              </w:rPr>
              <w:t>益的累</w:t>
            </w:r>
            <w:r>
              <w:rPr>
                <w:rFonts w:ascii="宋体" w:hAnsi="宋体" w:eastAsia="宋体"/>
                <w:b w:val="0"/>
                <w:i w:val="0"/>
                <w:color w:val="000000"/>
                <w:sz w:val="13"/>
              </w:rPr>
              <w:t>计公允</w:t>
            </w:r>
            <w:r>
              <w:rPr>
                <w:rFonts w:ascii="宋体" w:hAnsi="宋体" w:eastAsia="宋体"/>
                <w:b w:val="0"/>
                <w:i w:val="0"/>
                <w:color w:val="000000"/>
                <w:sz w:val="13"/>
              </w:rPr>
              <w:t>价值变</w:t>
            </w:r>
            <w:r>
              <w:rPr>
                <w:rFonts w:ascii="宋体" w:hAnsi="宋体" w:eastAsia="宋体"/>
                <w:b w:val="0"/>
                <w:i w:val="0"/>
                <w:color w:val="000000"/>
                <w:sz w:val="13"/>
              </w:rPr>
              <w:t xml:space="preserve">动 </w:t>
            </w:r>
          </w:p>
        </w:tc>
        <w:tc>
          <w:tcPr>
            <w:tcW w:type="dxa" w:w="1200"/>
            <w:tcBorders>
              <w:start w:sz="8.0" w:val="single" w:color="#000000"/>
              <w:top w:sz="7.2000000000000455" w:val="single" w:color="#000000"/>
              <w:end w:sz="8.0" w:val="single" w:color="#000000"/>
              <w:bottom w:sz="7.200000000000273" w:val="single" w:color="#000000"/>
            </w:tcBorders>
            <w:shd w:fill="d2d2d2"/>
            <w:tcMar>
              <w:start w:w="0" w:type="dxa"/>
              <w:end w:w="0" w:type="dxa"/>
            </w:tcMar>
          </w:tcPr>
          <w:p>
            <w:pPr>
              <w:autoSpaceDN w:val="0"/>
              <w:autoSpaceDE w:val="0"/>
              <w:widowControl/>
              <w:spacing w:line="130" w:lineRule="exact" w:before="358" w:after="0"/>
              <w:ind w:left="0" w:right="0" w:firstLine="0"/>
              <w:jc w:val="center"/>
            </w:pPr>
            <w:r>
              <w:rPr>
                <w:rFonts w:ascii="宋体" w:hAnsi="宋体" w:eastAsia="宋体"/>
                <w:b w:val="0"/>
                <w:i w:val="0"/>
                <w:color w:val="000000"/>
                <w:sz w:val="13"/>
              </w:rPr>
              <w:t xml:space="preserve">本期购买金额 </w:t>
            </w:r>
          </w:p>
        </w:tc>
        <w:tc>
          <w:tcPr>
            <w:tcW w:type="dxa" w:w="1230"/>
            <w:tcBorders>
              <w:start w:sz="8.0" w:val="single" w:color="#000000"/>
              <w:top w:sz="7.2000000000000455" w:val="single" w:color="#000000"/>
              <w:end w:sz="7.200000000000273" w:val="single" w:color="#000000"/>
              <w:bottom w:sz="7.200000000000273" w:val="single" w:color="#000000"/>
            </w:tcBorders>
            <w:shd w:fill="d2d2d2"/>
            <w:tcMar>
              <w:start w:w="0" w:type="dxa"/>
              <w:end w:w="0" w:type="dxa"/>
            </w:tcMar>
          </w:tcPr>
          <w:p>
            <w:pPr>
              <w:autoSpaceDN w:val="0"/>
              <w:autoSpaceDE w:val="0"/>
              <w:widowControl/>
              <w:spacing w:line="130" w:lineRule="exact" w:before="358" w:after="0"/>
              <w:ind w:left="0" w:right="0" w:firstLine="0"/>
              <w:jc w:val="center"/>
            </w:pPr>
            <w:r>
              <w:rPr>
                <w:rFonts w:ascii="宋体" w:hAnsi="宋体" w:eastAsia="宋体"/>
                <w:b w:val="0"/>
                <w:i w:val="0"/>
                <w:color w:val="000000"/>
                <w:sz w:val="13"/>
              </w:rPr>
              <w:t xml:space="preserve">本期出售金额 </w:t>
            </w:r>
          </w:p>
        </w:tc>
        <w:tc>
          <w:tcPr>
            <w:tcW w:type="dxa" w:w="840"/>
            <w:tcBorders>
              <w:start w:sz="7.200000000000273" w:val="single" w:color="#000000"/>
              <w:top w:sz="7.2000000000000455" w:val="single" w:color="#000000"/>
              <w:end w:sz="7.199999999999818"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144" w:right="144" w:firstLine="0"/>
              <w:jc w:val="center"/>
            </w:pPr>
            <w:r>
              <w:rPr>
                <w:rFonts w:ascii="宋体" w:hAnsi="宋体" w:eastAsia="宋体"/>
                <w:b w:val="0"/>
                <w:i w:val="0"/>
                <w:color w:val="000000"/>
                <w:sz w:val="13"/>
              </w:rPr>
              <w:t>报告期损</w:t>
            </w:r>
            <w:r>
              <w:rPr>
                <w:rFonts w:ascii="宋体" w:hAnsi="宋体" w:eastAsia="宋体"/>
                <w:b w:val="0"/>
                <w:i w:val="0"/>
                <w:color w:val="000000"/>
                <w:sz w:val="13"/>
              </w:rPr>
              <w:t xml:space="preserve">益 </w:t>
            </w:r>
          </w:p>
        </w:tc>
        <w:tc>
          <w:tcPr>
            <w:tcW w:type="dxa" w:w="948"/>
            <w:tcBorders>
              <w:start w:sz="7.199999999999818" w:val="single" w:color="#000000"/>
              <w:top w:sz="7.2000000000000455" w:val="single" w:color="#000000"/>
              <w:end w:sz="7.199999999999818"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期末账面价</w:t>
            </w:r>
            <w:r>
              <w:rPr>
                <w:rFonts w:ascii="宋体" w:hAnsi="宋体" w:eastAsia="宋体"/>
                <w:b w:val="0"/>
                <w:i w:val="0"/>
                <w:color w:val="000000"/>
                <w:sz w:val="13"/>
              </w:rPr>
              <w:t xml:space="preserve">值 </w:t>
            </w:r>
          </w:p>
        </w:tc>
        <w:tc>
          <w:tcPr>
            <w:tcW w:type="dxa" w:w="670"/>
            <w:tcBorders>
              <w:start w:sz="7.199999999999818" w:val="single" w:color="#000000"/>
              <w:top w:sz="7.2000000000000455" w:val="single" w:color="#000000"/>
              <w:end w:sz="7.199999999999818"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会计核</w:t>
            </w:r>
            <w:r>
              <w:br/>
            </w:r>
            <w:r>
              <w:rPr>
                <w:rFonts w:ascii="宋体" w:hAnsi="宋体" w:eastAsia="宋体"/>
                <w:b w:val="0"/>
                <w:i w:val="0"/>
                <w:color w:val="000000"/>
                <w:sz w:val="13"/>
              </w:rPr>
              <w:t xml:space="preserve">算科目 </w:t>
            </w:r>
          </w:p>
        </w:tc>
        <w:tc>
          <w:tcPr>
            <w:tcW w:type="dxa" w:w="550"/>
            <w:tcBorders>
              <w:start w:sz="7.199999999999818" w:val="single" w:color="#000000"/>
              <w:top w:sz="7.2000000000000455" w:val="single" w:color="#000000"/>
              <w:end w:sz="7.199999999999818" w:val="single" w:color="#000000"/>
              <w:bottom w:sz="7.200000000000273" w:val="single" w:color="#000000"/>
            </w:tcBorders>
            <w:shd w:fill="d2d2d2"/>
            <w:tcMar>
              <w:start w:w="0" w:type="dxa"/>
              <w:end w:w="0" w:type="dxa"/>
            </w:tcMar>
          </w:tcPr>
          <w:p>
            <w:pPr>
              <w:autoSpaceDN w:val="0"/>
              <w:autoSpaceDE w:val="0"/>
              <w:widowControl/>
              <w:spacing w:line="168" w:lineRule="exact" w:before="236" w:after="0"/>
              <w:ind w:left="0" w:right="0" w:firstLine="0"/>
              <w:jc w:val="center"/>
            </w:pPr>
            <w:r>
              <w:rPr>
                <w:rFonts w:ascii="宋体" w:hAnsi="宋体" w:eastAsia="宋体"/>
                <w:b w:val="0"/>
                <w:i w:val="0"/>
                <w:color w:val="000000"/>
                <w:sz w:val="13"/>
              </w:rPr>
              <w:t>资金</w:t>
            </w:r>
            <w:r>
              <w:br/>
            </w:r>
            <w:r>
              <w:rPr>
                <w:rFonts w:ascii="宋体" w:hAnsi="宋体" w:eastAsia="宋体"/>
                <w:b w:val="0"/>
                <w:i w:val="0"/>
                <w:color w:val="000000"/>
                <w:sz w:val="13"/>
              </w:rPr>
              <w:t xml:space="preserve">来源 </w:t>
            </w:r>
          </w:p>
        </w:tc>
      </w:tr>
      <w:tr>
        <w:trPr>
          <w:trHeight w:hRule="exact" w:val="696"/>
        </w:trPr>
        <w:tc>
          <w:tcPr>
            <w:tcW w:type="dxa" w:w="552"/>
            <w:tcBorders>
              <w:start w:sz="7.200000000000003" w:val="single" w:color="#000000"/>
              <w:top w:sz="7.200000000000273" w:val="single" w:color="#000000"/>
              <w:end w:sz="7.199999999999989" w:val="single" w:color="#000000"/>
              <w:bottom w:sz="7.200000000000273" w:val="single" w:color="#000000"/>
            </w:tcBorders>
            <w:shd w:fill="ffffff"/>
            <w:tcMar>
              <w:start w:w="0" w:type="dxa"/>
              <w:end w:w="0" w:type="dxa"/>
            </w:tcMar>
          </w:tcPr>
          <w:p>
            <w:pPr>
              <w:autoSpaceDN w:val="0"/>
              <w:autoSpaceDE w:val="0"/>
              <w:widowControl/>
              <w:spacing w:line="168" w:lineRule="exact" w:before="148" w:after="0"/>
              <w:ind w:left="0" w:right="0" w:firstLine="0"/>
              <w:jc w:val="center"/>
            </w:pPr>
            <w:r>
              <w:rPr>
                <w:rFonts w:ascii="宋体" w:hAnsi="宋体" w:eastAsia="宋体"/>
                <w:b w:val="0"/>
                <w:i w:val="0"/>
                <w:color w:val="000000"/>
                <w:sz w:val="13"/>
              </w:rPr>
              <w:t>资管</w:t>
            </w:r>
            <w:r>
              <w:br/>
            </w:r>
            <w:r>
              <w:rPr>
                <w:rFonts w:ascii="宋体" w:hAnsi="宋体" w:eastAsia="宋体"/>
                <w:b w:val="0"/>
                <w:i w:val="0"/>
                <w:color w:val="000000"/>
                <w:sz w:val="13"/>
              </w:rPr>
              <w:t xml:space="preserve">计划 </w:t>
            </w:r>
          </w:p>
        </w:tc>
        <w:tc>
          <w:tcPr>
            <w:tcW w:type="dxa" w:w="820"/>
            <w:tcBorders>
              <w:start w:sz="7.199999999999989"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62" w:firstLine="0"/>
              <w:jc w:val="right"/>
            </w:pPr>
            <w:r>
              <w:rPr>
                <w:rFonts w:ascii="Times New Roman" w:hAnsi="Times New Roman" w:eastAsia="Times New Roman"/>
                <w:b w:val="0"/>
                <w:i w:val="0"/>
                <w:color w:val="000000"/>
                <w:sz w:val="13"/>
              </w:rPr>
              <w:t xml:space="preserve">- </w:t>
            </w:r>
          </w:p>
        </w:tc>
        <w:tc>
          <w:tcPr>
            <w:tcW w:type="dxa" w:w="784"/>
            <w:tcBorders>
              <w:start w:sz="8.0" w:val="single" w:color="#000000"/>
              <w:top w:sz="7.200000000000273" w:val="single" w:color="#000000"/>
              <w:end w:sz="7.199999999999932" w:val="single" w:color="#000000"/>
              <w:bottom w:sz="7.200000000000273" w:val="single" w:color="#000000"/>
            </w:tcBorders>
            <w:shd w:fill="ffffff"/>
            <w:tcMar>
              <w:start w:w="0" w:type="dxa"/>
              <w:end w:w="0" w:type="dxa"/>
            </w:tcMar>
          </w:tcPr>
          <w:p>
            <w:pPr>
              <w:autoSpaceDN w:val="0"/>
              <w:autoSpaceDE w:val="0"/>
              <w:widowControl/>
              <w:spacing w:line="164" w:lineRule="exact" w:before="0" w:after="0"/>
              <w:ind w:left="98" w:right="0" w:firstLine="0"/>
              <w:jc w:val="left"/>
            </w:pPr>
            <w:r>
              <w:rPr>
                <w:rFonts w:ascii="宋体" w:hAnsi="宋体" w:eastAsia="宋体"/>
                <w:b w:val="0"/>
                <w:i w:val="0"/>
                <w:color w:val="000000"/>
                <w:sz w:val="13"/>
              </w:rPr>
              <w:t>宝盈金元</w:t>
            </w:r>
            <w:r>
              <w:br/>
            </w:r>
            <w:r>
              <w:rPr>
                <w:rFonts w:ascii="宋体" w:hAnsi="宋体" w:eastAsia="宋体"/>
                <w:b w:val="0"/>
                <w:i w:val="0"/>
                <w:color w:val="000000"/>
                <w:sz w:val="13"/>
              </w:rPr>
              <w:t>宝</w:t>
            </w:r>
            <w:r>
              <w:rPr>
                <w:rFonts w:ascii="Times New Roman" w:hAnsi="Times New Roman" w:eastAsia="Times New Roman"/>
                <w:b w:val="0"/>
                <w:i w:val="0"/>
                <w:color w:val="000000"/>
                <w:sz w:val="13"/>
              </w:rPr>
              <w:t>26</w:t>
            </w:r>
            <w:r>
              <w:rPr>
                <w:rFonts w:ascii="宋体" w:hAnsi="宋体" w:eastAsia="宋体"/>
                <w:b w:val="0"/>
                <w:i w:val="0"/>
                <w:color w:val="000000"/>
                <w:sz w:val="13"/>
              </w:rPr>
              <w:t xml:space="preserve"> 号</w:t>
            </w:r>
            <w:r>
              <w:br/>
            </w:r>
            <w:r>
              <w:rPr>
                <w:rFonts w:ascii="宋体" w:hAnsi="宋体" w:eastAsia="宋体"/>
                <w:b w:val="0"/>
                <w:i w:val="0"/>
                <w:color w:val="000000"/>
                <w:sz w:val="13"/>
              </w:rPr>
              <w:t>集合资产</w:t>
            </w:r>
            <w:r>
              <w:br/>
            </w:r>
            <w:r>
              <w:rPr>
                <w:rFonts w:ascii="宋体" w:hAnsi="宋体" w:eastAsia="宋体"/>
                <w:b w:val="0"/>
                <w:i w:val="0"/>
                <w:color w:val="000000"/>
                <w:sz w:val="13"/>
              </w:rPr>
              <w:t xml:space="preserve">管理计划 </w:t>
            </w:r>
          </w:p>
        </w:tc>
        <w:tc>
          <w:tcPr>
            <w:tcW w:type="dxa" w:w="932"/>
            <w:tcBorders>
              <w:start w:sz="7.199999999999932"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228" w:right="0" w:firstLine="0"/>
              <w:jc w:val="left"/>
            </w:pPr>
            <w:r>
              <w:rPr>
                <w:rFonts w:ascii="Times New Roman" w:hAnsi="Times New Roman" w:eastAsia="Times New Roman"/>
                <w:b w:val="0"/>
                <w:i w:val="0"/>
                <w:color w:val="000000"/>
                <w:sz w:val="13"/>
              </w:rPr>
              <w:t xml:space="preserve">135,490.00 </w:t>
            </w:r>
          </w:p>
        </w:tc>
        <w:tc>
          <w:tcPr>
            <w:tcW w:type="dxa" w:w="628"/>
            <w:tcBorders>
              <w:start w:sz="8.0"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168" w:lineRule="exact" w:before="148"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66" w:firstLine="0"/>
              <w:jc w:val="right"/>
            </w:pPr>
            <w:r>
              <w:rPr>
                <w:rFonts w:ascii="Times New Roman" w:hAnsi="Times New Roman" w:eastAsia="Times New Roman"/>
                <w:b w:val="0"/>
                <w:i w:val="0"/>
                <w:color w:val="000000"/>
                <w:sz w:val="13"/>
              </w:rPr>
              <w:t xml:space="preserve"> 93,151.14 </w:t>
            </w:r>
          </w:p>
        </w:tc>
        <w:tc>
          <w:tcPr>
            <w:tcW w:type="dxa" w:w="750"/>
            <w:tcBorders>
              <w:start w:sz="8.0" w:val="single" w:color="#000000"/>
              <w:top w:sz="7.200000000000273" w:val="single" w:color="#000000"/>
              <w:end w:sz="7.199999999999818"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0" w:firstLine="0"/>
              <w:jc w:val="center"/>
            </w:pPr>
            <w:r>
              <w:rPr>
                <w:rFonts w:ascii="Times New Roman" w:hAnsi="Times New Roman" w:eastAsia="Times New Roman"/>
                <w:b w:val="0"/>
                <w:i w:val="0"/>
                <w:color w:val="000000"/>
                <w:sz w:val="13"/>
              </w:rPr>
              <w:t xml:space="preserve"> 5,435.07 </w:t>
            </w:r>
          </w:p>
        </w:tc>
        <w:tc>
          <w:tcPr>
            <w:tcW w:type="dxa" w:w="700"/>
            <w:tcBorders>
              <w:start w:sz="7.199999999999818"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228" w:lineRule="auto" w:before="340"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7.200000000000273" w:val="single" w:color="#000000"/>
              <w:end w:sz="8.0"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66" w:firstLine="0"/>
              <w:jc w:val="right"/>
            </w:pPr>
            <w:r>
              <w:rPr>
                <w:rFonts w:ascii="Times New Roman" w:hAnsi="Times New Roman" w:eastAsia="Times New Roman"/>
                <w:b w:val="0"/>
                <w:i w:val="0"/>
                <w:color w:val="000000"/>
                <w:sz w:val="13"/>
              </w:rPr>
              <w:t xml:space="preserve"> 44,700.00 </w:t>
            </w:r>
          </w:p>
        </w:tc>
        <w:tc>
          <w:tcPr>
            <w:tcW w:type="dxa" w:w="1230"/>
            <w:tcBorders>
              <w:start w:sz="8.0" w:val="single" w:color="#000000"/>
              <w:top w:sz="7.200000000000273" w:val="single" w:color="#000000"/>
              <w:end w:sz="7.200000000000273"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64" w:firstLine="0"/>
              <w:jc w:val="right"/>
            </w:pPr>
            <w:r>
              <w:rPr>
                <w:rFonts w:ascii="Times New Roman" w:hAnsi="Times New Roman" w:eastAsia="Times New Roman"/>
                <w:b w:val="0"/>
                <w:i w:val="0"/>
                <w:color w:val="000000"/>
                <w:sz w:val="13"/>
              </w:rPr>
              <w:t xml:space="preserve"> - </w:t>
            </w:r>
          </w:p>
        </w:tc>
        <w:tc>
          <w:tcPr>
            <w:tcW w:type="dxa" w:w="840"/>
            <w:tcBorders>
              <w:start w:sz="7.200000000000273" w:val="single" w:color="#000000"/>
              <w:top w:sz="7.200000000000273" w:val="single" w:color="#000000"/>
              <w:end w:sz="7.199999999999818"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0" w:right="66" w:firstLine="0"/>
              <w:jc w:val="right"/>
            </w:pPr>
            <w:r>
              <w:rPr>
                <w:rFonts w:ascii="Times New Roman" w:hAnsi="Times New Roman" w:eastAsia="Times New Roman"/>
                <w:b w:val="0"/>
                <w:i w:val="0"/>
                <w:color w:val="000000"/>
                <w:sz w:val="13"/>
              </w:rPr>
              <w:t xml:space="preserve"> 5,435.07 </w:t>
            </w:r>
          </w:p>
        </w:tc>
        <w:tc>
          <w:tcPr>
            <w:tcW w:type="dxa" w:w="948"/>
            <w:tcBorders>
              <w:start w:sz="7.199999999999818" w:val="single" w:color="#000000"/>
              <w:top w:sz="7.200000000000273" w:val="single" w:color="#000000"/>
              <w:end w:sz="7.199999999999818" w:val="single" w:color="#000000"/>
              <w:bottom w:sz="7.200000000000273" w:val="single" w:color="#000000"/>
            </w:tcBorders>
            <w:shd w:fill="ffffff"/>
            <w:tcMar>
              <w:start w:w="0" w:type="dxa"/>
              <w:end w:w="0" w:type="dxa"/>
            </w:tcMar>
          </w:tcPr>
          <w:p>
            <w:pPr>
              <w:autoSpaceDN w:val="0"/>
              <w:autoSpaceDE w:val="0"/>
              <w:widowControl/>
              <w:spacing w:line="233" w:lineRule="auto" w:before="264" w:after="0"/>
              <w:ind w:left="212" w:right="0" w:firstLine="0"/>
              <w:jc w:val="left"/>
            </w:pPr>
            <w:r>
              <w:rPr>
                <w:rFonts w:ascii="Times New Roman" w:hAnsi="Times New Roman" w:eastAsia="Times New Roman"/>
                <w:b w:val="0"/>
                <w:i w:val="0"/>
                <w:color w:val="000000"/>
                <w:sz w:val="13"/>
              </w:rPr>
              <w:t xml:space="preserve"> 143,286.21 </w:t>
            </w:r>
          </w:p>
        </w:tc>
        <w:tc>
          <w:tcPr>
            <w:tcW w:type="dxa" w:w="670"/>
            <w:tcBorders>
              <w:start w:sz="7.199999999999818" w:val="single" w:color="#000000"/>
              <w:top w:sz="7.200000000000273" w:val="single" w:color="#000000"/>
              <w:end w:sz="7.199999999999818" w:val="single" w:color="#000000"/>
              <w:bottom w:sz="7.200000000000273" w:val="single" w:color="#000000"/>
            </w:tcBorders>
            <w:shd w:fill="ffffff"/>
            <w:tcMar>
              <w:start w:w="0" w:type="dxa"/>
              <w:end w:w="0" w:type="dxa"/>
            </w:tcMar>
          </w:tcPr>
          <w:p>
            <w:pPr>
              <w:autoSpaceDN w:val="0"/>
              <w:autoSpaceDE w:val="0"/>
              <w:widowControl/>
              <w:spacing w:line="170" w:lineRule="exact" w:before="62"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7.200000000000273" w:val="single" w:color="#000000"/>
              <w:end w:sz="7.199999999999818" w:val="single" w:color="#000000"/>
              <w:bottom w:sz="7.200000000000273" w:val="single" w:color="#000000"/>
            </w:tcBorders>
            <w:shd w:fill="ffffff"/>
            <w:tcMar>
              <w:start w:w="0" w:type="dxa"/>
              <w:end w:w="0" w:type="dxa"/>
            </w:tcMar>
          </w:tcPr>
          <w:p>
            <w:pPr>
              <w:autoSpaceDN w:val="0"/>
              <w:autoSpaceDE w:val="0"/>
              <w:widowControl/>
              <w:spacing w:line="168" w:lineRule="exact" w:before="148"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4"/>
        </w:trPr>
        <w:tc>
          <w:tcPr>
            <w:tcW w:type="dxa" w:w="552"/>
            <w:tcBorders>
              <w:start w:sz="7.200000000000003" w:val="single" w:color="#000000"/>
              <w:top w:sz="7.200000000000273" w:val="single" w:color="#000000"/>
              <w:end w:sz="7.199999999999989" w:val="single" w:color="#000000"/>
              <w:bottom w:sz="8.0" w:val="single" w:color="#000000"/>
            </w:tcBorders>
            <w:tcMar>
              <w:start w:w="0" w:type="dxa"/>
              <w:end w:w="0" w:type="dxa"/>
            </w:tcMar>
          </w:tcPr>
          <w:p>
            <w:pPr>
              <w:autoSpaceDN w:val="0"/>
              <w:autoSpaceDE w:val="0"/>
              <w:widowControl/>
              <w:spacing w:line="128" w:lineRule="exact" w:before="188" w:after="0"/>
              <w:ind w:left="0" w:right="0" w:firstLine="0"/>
              <w:jc w:val="center"/>
            </w:pPr>
            <w:r>
              <w:rPr>
                <w:rFonts w:ascii="宋体" w:hAnsi="宋体" w:eastAsia="宋体"/>
                <w:b w:val="0"/>
                <w:i w:val="0"/>
                <w:color w:val="000000"/>
                <w:sz w:val="13"/>
              </w:rPr>
              <w:t xml:space="preserve">国债 </w:t>
            </w:r>
          </w:p>
        </w:tc>
        <w:tc>
          <w:tcPr>
            <w:tcW w:type="dxa" w:w="820"/>
            <w:tcBorders>
              <w:start w:sz="7.199999999999989" w:val="single" w:color="#000000"/>
              <w:top w:sz="7.200000000000273" w:val="single" w:color="#000000"/>
              <w:end w:sz="8.0" w:val="single" w:color="#000000"/>
              <w:bottom w:sz="8.0" w:val="single" w:color="#000000"/>
            </w:tcBorders>
            <w:tcMar>
              <w:start w:w="0" w:type="dxa"/>
              <w:end w:w="0" w:type="dxa"/>
            </w:tcMar>
          </w:tcPr>
          <w:p>
            <w:pPr>
              <w:autoSpaceDN w:val="0"/>
              <w:autoSpaceDE w:val="0"/>
              <w:widowControl/>
              <w:spacing w:line="233" w:lineRule="auto" w:before="180" w:after="0"/>
              <w:ind w:left="0" w:right="0" w:firstLine="0"/>
              <w:jc w:val="center"/>
            </w:pPr>
            <w:r>
              <w:rPr>
                <w:rFonts w:ascii="Times New Roman" w:hAnsi="Times New Roman" w:eastAsia="Times New Roman"/>
                <w:b w:val="0"/>
                <w:i w:val="0"/>
                <w:color w:val="000000"/>
                <w:sz w:val="13"/>
              </w:rPr>
              <w:t xml:space="preserve">230012.IB </w:t>
            </w:r>
          </w:p>
        </w:tc>
        <w:tc>
          <w:tcPr>
            <w:tcW w:type="dxa" w:w="784"/>
            <w:tcBorders>
              <w:start w:sz="8.0" w:val="single" w:color="#000000"/>
              <w:top w:sz="7.200000000000273" w:val="single" w:color="#000000"/>
              <w:end w:sz="7.199999999999932" w:val="single" w:color="#000000"/>
              <w:bottom w:sz="8.0" w:val="single" w:color="#000000"/>
            </w:tcBorders>
            <w:shd w:fill="ffffff"/>
            <w:tcMar>
              <w:start w:w="0" w:type="dxa"/>
              <w:end w:w="0" w:type="dxa"/>
            </w:tcMar>
          </w:tcPr>
          <w:p>
            <w:pPr>
              <w:autoSpaceDN w:val="0"/>
              <w:autoSpaceDE w:val="0"/>
              <w:widowControl/>
              <w:spacing w:line="170" w:lineRule="exact" w:before="60" w:after="0"/>
              <w:ind w:left="98" w:right="0" w:firstLine="0"/>
              <w:jc w:val="left"/>
            </w:pPr>
            <w:r>
              <w:rPr>
                <w:rFonts w:ascii="宋体" w:hAnsi="宋体" w:eastAsia="宋体"/>
                <w:b w:val="0"/>
                <w:i w:val="0"/>
                <w:color w:val="000000"/>
                <w:sz w:val="13"/>
              </w:rPr>
              <w:t>23 附息国</w:t>
            </w:r>
            <w:r>
              <w:rPr>
                <w:rFonts w:ascii="宋体" w:hAnsi="宋体" w:eastAsia="宋体"/>
                <w:b w:val="0"/>
                <w:i w:val="0"/>
                <w:color w:val="000000"/>
                <w:sz w:val="13"/>
              </w:rPr>
              <w:t xml:space="preserve">债12 </w:t>
            </w:r>
          </w:p>
        </w:tc>
        <w:tc>
          <w:tcPr>
            <w:tcW w:type="dxa" w:w="932"/>
            <w:tcBorders>
              <w:start w:sz="7.199999999999932" w:val="single" w:color="#000000"/>
              <w:top w:sz="7.200000000000273"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5,019.16 </w:t>
            </w:r>
          </w:p>
        </w:tc>
        <w:tc>
          <w:tcPr>
            <w:tcW w:type="dxa" w:w="628"/>
            <w:tcBorders>
              <w:start w:sz="8.0" w:val="single" w:color="#000000"/>
              <w:top w:sz="7.200000000000273" w:val="single" w:color="#000000"/>
              <w:end w:sz="8.0" w:val="single" w:color="#000000"/>
              <w:bottom w:sz="8.0" w:val="single" w:color="#000000"/>
            </w:tcBorders>
            <w:shd w:fill="ffffff"/>
            <w:tcMar>
              <w:start w:w="0" w:type="dxa"/>
              <w:end w:w="0" w:type="dxa"/>
            </w:tcMar>
          </w:tcPr>
          <w:p>
            <w:pPr>
              <w:autoSpaceDN w:val="0"/>
              <w:autoSpaceDE w:val="0"/>
              <w:widowControl/>
              <w:spacing w:line="170" w:lineRule="exact" w:before="60"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7.200000000000273"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5,047.77 </w:t>
            </w:r>
          </w:p>
        </w:tc>
        <w:tc>
          <w:tcPr>
            <w:tcW w:type="dxa" w:w="750"/>
            <w:tcBorders>
              <w:start w:sz="8.0" w:val="single" w:color="#000000"/>
              <w:top w:sz="7.200000000000273"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0" w:after="0"/>
              <w:ind w:left="0" w:right="0" w:firstLine="0"/>
              <w:jc w:val="center"/>
            </w:pPr>
            <w:r>
              <w:rPr>
                <w:rFonts w:ascii="Times New Roman" w:hAnsi="Times New Roman" w:eastAsia="Times New Roman"/>
                <w:b w:val="0"/>
                <w:i w:val="0"/>
                <w:color w:val="000000"/>
                <w:sz w:val="13"/>
              </w:rPr>
              <w:t xml:space="preserve"> 1,776.96 </w:t>
            </w:r>
          </w:p>
        </w:tc>
        <w:tc>
          <w:tcPr>
            <w:tcW w:type="dxa" w:w="700"/>
            <w:tcBorders>
              <w:start w:sz="7.199999999999818" w:val="single" w:color="#000000"/>
              <w:top w:sz="7.200000000000273" w:val="single" w:color="#000000"/>
              <w:end w:sz="8.0" w:val="single" w:color="#000000"/>
              <w:bottom w:sz="8.0" w:val="single" w:color="#000000"/>
            </w:tcBorders>
            <w:shd w:fill="ffffff"/>
            <w:tcMar>
              <w:start w:w="0" w:type="dxa"/>
              <w:end w:w="0" w:type="dxa"/>
            </w:tcMar>
          </w:tcPr>
          <w:p>
            <w:pPr>
              <w:autoSpaceDN w:val="0"/>
              <w:autoSpaceDE w:val="0"/>
              <w:widowControl/>
              <w:spacing w:line="228"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7.200000000000273"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929,627.42 </w:t>
            </w:r>
          </w:p>
        </w:tc>
        <w:tc>
          <w:tcPr>
            <w:tcW w:type="dxa" w:w="1230"/>
            <w:tcBorders>
              <w:start w:sz="8.0" w:val="single" w:color="#000000"/>
              <w:top w:sz="7.200000000000273" w:val="single" w:color="#000000"/>
              <w:end w:sz="7.200000000000273" w:val="single" w:color="#000000"/>
              <w:bottom w:sz="8.0" w:val="single" w:color="#000000"/>
            </w:tcBorders>
            <w:shd w:fill="ffffff"/>
            <w:tcMar>
              <w:start w:w="0" w:type="dxa"/>
              <w:end w:w="0" w:type="dxa"/>
            </w:tcMar>
          </w:tcPr>
          <w:p>
            <w:pPr>
              <w:autoSpaceDN w:val="0"/>
              <w:autoSpaceDE w:val="0"/>
              <w:widowControl/>
              <w:spacing w:line="233" w:lineRule="auto" w:before="180" w:after="0"/>
              <w:ind w:left="0" w:right="64" w:firstLine="0"/>
              <w:jc w:val="right"/>
            </w:pPr>
            <w:r>
              <w:rPr>
                <w:rFonts w:ascii="Times New Roman" w:hAnsi="Times New Roman" w:eastAsia="Times New Roman"/>
                <w:b w:val="0"/>
                <w:i w:val="0"/>
                <w:color w:val="000000"/>
                <w:sz w:val="13"/>
              </w:rPr>
              <w:t xml:space="preserve"> 830,902.39 </w:t>
            </w:r>
          </w:p>
        </w:tc>
        <w:tc>
          <w:tcPr>
            <w:tcW w:type="dxa" w:w="840"/>
            <w:tcBorders>
              <w:start w:sz="7.200000000000273" w:val="single" w:color="#000000"/>
              <w:top w:sz="7.200000000000273"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4,413.29 </w:t>
            </w:r>
          </w:p>
        </w:tc>
        <w:tc>
          <w:tcPr>
            <w:tcW w:type="dxa" w:w="948"/>
            <w:tcBorders>
              <w:start w:sz="7.199999999999818" w:val="single" w:color="#000000"/>
              <w:top w:sz="7.200000000000273"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0" w:after="0"/>
              <w:ind w:left="212" w:right="0" w:firstLine="0"/>
              <w:jc w:val="left"/>
            </w:pPr>
            <w:r>
              <w:rPr>
                <w:rFonts w:ascii="Times New Roman" w:hAnsi="Times New Roman" w:eastAsia="Times New Roman"/>
                <w:b w:val="0"/>
                <w:i w:val="0"/>
                <w:color w:val="000000"/>
                <w:sz w:val="13"/>
              </w:rPr>
              <w:t xml:space="preserve"> 105,803.54 </w:t>
            </w:r>
          </w:p>
        </w:tc>
        <w:tc>
          <w:tcPr>
            <w:tcW w:type="dxa" w:w="670"/>
            <w:tcBorders>
              <w:start w:sz="7.199999999999818" w:val="single" w:color="#000000"/>
              <w:top w:sz="7.200000000000273" w:val="single" w:color="#000000"/>
              <w:end w:sz="7.199999999999818" w:val="single" w:color="#000000"/>
              <w:bottom w:sz="8.0"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7.200000000000273" w:val="single" w:color="#000000"/>
              <w:end w:sz="7.199999999999818" w:val="single" w:color="#000000"/>
              <w:bottom w:sz="8.0" w:val="single" w:color="#000000"/>
            </w:tcBorders>
            <w:shd w:fill="ffffff"/>
            <w:tcMar>
              <w:start w:w="0" w:type="dxa"/>
              <w:end w:w="0" w:type="dxa"/>
            </w:tcMar>
          </w:tcPr>
          <w:p>
            <w:pPr>
              <w:autoSpaceDN w:val="0"/>
              <w:autoSpaceDE w:val="0"/>
              <w:widowControl/>
              <w:spacing w:line="170" w:lineRule="exact" w:before="60"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资管</w:t>
            </w:r>
            <w:r>
              <w:br/>
            </w:r>
            <w:r>
              <w:rPr>
                <w:rFonts w:ascii="宋体" w:hAnsi="宋体" w:eastAsia="宋体"/>
                <w:b w:val="0"/>
                <w:i w:val="0"/>
                <w:color w:val="000000"/>
                <w:sz w:val="13"/>
              </w:rPr>
              <w:t xml:space="preserve">计划 </w:t>
            </w:r>
          </w:p>
        </w:tc>
        <w:tc>
          <w:tcPr>
            <w:tcW w:type="dxa" w:w="820"/>
            <w:tcBorders>
              <w:start w:sz="7.199999999999989"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2" w:firstLine="0"/>
              <w:jc w:val="right"/>
            </w:pPr>
            <w:r>
              <w:rPr>
                <w:rFonts w:ascii="Times New Roman" w:hAnsi="Times New Roman" w:eastAsia="Times New Roman"/>
                <w:b w:val="0"/>
                <w:i w:val="0"/>
                <w:color w:val="000000"/>
                <w:sz w:val="13"/>
              </w:rPr>
              <w:t xml:space="preserve">- </w:t>
            </w:r>
          </w:p>
        </w:tc>
        <w:tc>
          <w:tcPr>
            <w:tcW w:type="dxa" w:w="784"/>
            <w:tcBorders>
              <w:start w:sz="8.0" w:val="single" w:color="#000000"/>
              <w:top w:sz="8.0" w:val="single" w:color="#000000"/>
              <w:end w:sz="7.199999999999932" w:val="single" w:color="#000000"/>
              <w:bottom w:sz="8.0" w:val="single" w:color="#000000"/>
            </w:tcBorders>
            <w:shd w:fill="ffffff"/>
            <w:tcMar>
              <w:start w:w="0" w:type="dxa"/>
              <w:end w:w="0" w:type="dxa"/>
            </w:tcMar>
          </w:tcPr>
          <w:p>
            <w:pPr>
              <w:autoSpaceDN w:val="0"/>
              <w:autoSpaceDE w:val="0"/>
              <w:widowControl/>
              <w:spacing w:line="162" w:lineRule="exact" w:before="0" w:after="0"/>
              <w:ind w:left="98" w:right="144" w:firstLine="0"/>
              <w:jc w:val="left"/>
            </w:pPr>
            <w:r>
              <w:rPr>
                <w:rFonts w:ascii="宋体" w:hAnsi="宋体" w:eastAsia="宋体"/>
                <w:b w:val="0"/>
                <w:i w:val="0"/>
                <w:color w:val="000000"/>
                <w:sz w:val="13"/>
              </w:rPr>
              <w:t>融通基金</w:t>
            </w:r>
            <w:r>
              <w:rPr>
                <w:rFonts w:ascii="宋体" w:hAnsi="宋体" w:eastAsia="宋体"/>
                <w:b w:val="0"/>
                <w:i w:val="0"/>
                <w:color w:val="000000"/>
                <w:sz w:val="13"/>
              </w:rPr>
              <w:t>融海41</w:t>
            </w:r>
            <w:r>
              <w:br/>
            </w:r>
            <w:r>
              <w:rPr>
                <w:rFonts w:ascii="宋体" w:hAnsi="宋体" w:eastAsia="宋体"/>
                <w:b w:val="0"/>
                <w:i w:val="0"/>
                <w:color w:val="000000"/>
                <w:sz w:val="13"/>
              </w:rPr>
              <w:t xml:space="preserve">号 </w:t>
            </w:r>
          </w:p>
        </w:tc>
        <w:tc>
          <w:tcPr>
            <w:tcW w:type="dxa" w:w="932"/>
            <w:tcBorders>
              <w:start w:sz="7.199999999999932"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196" w:right="0" w:firstLine="0"/>
              <w:jc w:val="left"/>
            </w:pPr>
            <w:r>
              <w:rPr>
                <w:rFonts w:ascii="Times New Roman" w:hAnsi="Times New Roman" w:eastAsia="Times New Roman"/>
                <w:b w:val="0"/>
                <w:i w:val="0"/>
                <w:color w:val="000000"/>
                <w:sz w:val="13"/>
              </w:rPr>
              <w:t xml:space="preserve"> 100,829.30 </w:t>
            </w:r>
          </w:p>
        </w:tc>
        <w:tc>
          <w:tcPr>
            <w:tcW w:type="dxa" w:w="62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210" w:right="0" w:firstLine="0"/>
              <w:jc w:val="left"/>
            </w:pPr>
            <w:r>
              <w:rPr>
                <w:rFonts w:ascii="Times New Roman" w:hAnsi="Times New Roman" w:eastAsia="Times New Roman"/>
                <w:b w:val="0"/>
                <w:i w:val="0"/>
                <w:color w:val="000000"/>
                <w:sz w:val="13"/>
              </w:rPr>
              <w:t xml:space="preserve"> 105,856.91 </w:t>
            </w:r>
          </w:p>
        </w:tc>
        <w:tc>
          <w:tcPr>
            <w:tcW w:type="dxa" w:w="750"/>
            <w:tcBorders>
              <w:start w:sz="8.0"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0" w:firstLine="0"/>
              <w:jc w:val="center"/>
            </w:pPr>
            <w:r>
              <w:rPr>
                <w:rFonts w:ascii="Times New Roman" w:hAnsi="Times New Roman" w:eastAsia="Times New Roman"/>
                <w:b w:val="0"/>
                <w:i w:val="0"/>
                <w:color w:val="000000"/>
                <w:sz w:val="13"/>
              </w:rPr>
              <w:t xml:space="preserve"> 3,188.89 </w:t>
            </w:r>
          </w:p>
        </w:tc>
        <w:tc>
          <w:tcPr>
            <w:tcW w:type="dxa" w:w="700"/>
            <w:tcBorders>
              <w:start w:sz="7.199999999999818"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1230"/>
            <w:tcBorders>
              <w:start w:sz="8.0" w:val="single" w:color="#000000"/>
              <w:top w:sz="8.0" w:val="single" w:color="#000000"/>
              <w:end w:sz="7.200000000000273"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18,942.97 </w:t>
            </w:r>
          </w:p>
        </w:tc>
        <w:tc>
          <w:tcPr>
            <w:tcW w:type="dxa" w:w="840"/>
            <w:tcBorders>
              <w:start w:sz="7.200000000000273"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4,245.93 </w:t>
            </w:r>
          </w:p>
        </w:tc>
        <w:tc>
          <w:tcPr>
            <w:tcW w:type="dxa" w:w="948"/>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90,102.83 </w:t>
            </w:r>
          </w:p>
        </w:tc>
        <w:tc>
          <w:tcPr>
            <w:tcW w:type="dxa" w:w="67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8.0" w:val="single" w:color="#000000"/>
            </w:tcBorders>
            <w:tcMar>
              <w:start w:w="0" w:type="dxa"/>
              <w:end w:w="0" w:type="dxa"/>
            </w:tcMar>
          </w:tcPr>
          <w:p>
            <w:pPr>
              <w:autoSpaceDN w:val="0"/>
              <w:autoSpaceDE w:val="0"/>
              <w:widowControl/>
              <w:spacing w:line="162" w:lineRule="exact" w:before="0" w:after="0"/>
              <w:ind w:left="98" w:right="176" w:firstLine="0"/>
              <w:jc w:val="both"/>
            </w:pPr>
            <w:r>
              <w:rPr>
                <w:rFonts w:ascii="宋体" w:hAnsi="宋体" w:eastAsia="宋体"/>
                <w:b w:val="0"/>
                <w:i w:val="0"/>
                <w:color w:val="000000"/>
                <w:sz w:val="13"/>
              </w:rPr>
              <w:t>地方</w:t>
            </w:r>
            <w:r>
              <w:br/>
            </w:r>
            <w:r>
              <w:rPr>
                <w:rFonts w:ascii="宋体" w:hAnsi="宋体" w:eastAsia="宋体"/>
                <w:b w:val="0"/>
                <w:i w:val="0"/>
                <w:color w:val="000000"/>
                <w:sz w:val="13"/>
              </w:rPr>
              <w:t>政府</w:t>
            </w:r>
            <w:r>
              <w:br/>
            </w:r>
            <w:r>
              <w:rPr>
                <w:rFonts w:ascii="宋体" w:hAnsi="宋体" w:eastAsia="宋体"/>
                <w:b w:val="0"/>
                <w:i w:val="0"/>
                <w:color w:val="000000"/>
                <w:sz w:val="13"/>
              </w:rPr>
              <w:t xml:space="preserve">债 </w:t>
            </w:r>
          </w:p>
        </w:tc>
        <w:tc>
          <w:tcPr>
            <w:tcW w:type="dxa" w:w="820"/>
            <w:tcBorders>
              <w:start w:sz="7.199999999999989" w:val="single" w:color="#000000"/>
              <w:top w:sz="8.0" w:val="single" w:color="#000000"/>
              <w:end w:sz="8.0" w:val="single" w:color="#000000"/>
              <w:bottom w:sz="8.0" w:val="single" w:color="#000000"/>
            </w:tcBorders>
            <w:tcMar>
              <w:start w:w="0" w:type="dxa"/>
              <w:end w:w="0" w:type="dxa"/>
            </w:tcMar>
          </w:tcPr>
          <w:p>
            <w:pPr>
              <w:autoSpaceDN w:val="0"/>
              <w:autoSpaceDE w:val="0"/>
              <w:widowControl/>
              <w:spacing w:line="233" w:lineRule="auto" w:before="182" w:after="0"/>
              <w:ind w:left="0" w:right="0" w:firstLine="0"/>
              <w:jc w:val="center"/>
            </w:pPr>
            <w:r>
              <w:rPr>
                <w:rFonts w:ascii="Times New Roman" w:hAnsi="Times New Roman" w:eastAsia="Times New Roman"/>
                <w:b w:val="0"/>
                <w:i w:val="0"/>
                <w:color w:val="000000"/>
                <w:sz w:val="13"/>
              </w:rPr>
              <w:t xml:space="preserve">199098.IB </w:t>
            </w:r>
          </w:p>
        </w:tc>
        <w:tc>
          <w:tcPr>
            <w:tcW w:type="dxa" w:w="784"/>
            <w:tcBorders>
              <w:start w:sz="8.0" w:val="single" w:color="#000000"/>
              <w:top w:sz="8.0" w:val="single" w:color="#000000"/>
              <w:end w:sz="7.199999999999932" w:val="single" w:color="#000000"/>
              <w:bottom w:sz="8.0" w:val="single" w:color="#000000"/>
            </w:tcBorders>
            <w:shd w:fill="ffffff"/>
            <w:tcMar>
              <w:start w:w="0" w:type="dxa"/>
              <w:end w:w="0" w:type="dxa"/>
            </w:tcMar>
          </w:tcPr>
          <w:p>
            <w:pPr>
              <w:autoSpaceDN w:val="0"/>
              <w:autoSpaceDE w:val="0"/>
              <w:widowControl/>
              <w:spacing w:line="160" w:lineRule="exact" w:before="90" w:after="0"/>
              <w:ind w:left="98" w:right="0" w:firstLine="0"/>
              <w:jc w:val="left"/>
            </w:pPr>
            <w:r>
              <w:rPr>
                <w:rFonts w:ascii="Times New Roman" w:hAnsi="Times New Roman" w:eastAsia="Times New Roman"/>
                <w:b w:val="0"/>
                <w:i w:val="0"/>
                <w:color w:val="000000"/>
                <w:sz w:val="13"/>
              </w:rPr>
              <w:t>24</w:t>
            </w:r>
            <w:r>
              <w:rPr>
                <w:rFonts w:ascii="宋体" w:hAnsi="宋体" w:eastAsia="宋体"/>
                <w:b w:val="0"/>
                <w:i w:val="0"/>
                <w:color w:val="000000"/>
                <w:sz w:val="13"/>
              </w:rPr>
              <w:t xml:space="preserve"> 云南债</w:t>
            </w:r>
            <w:r>
              <w:rPr>
                <w:rFonts w:ascii="Times New Roman" w:hAnsi="Times New Roman" w:eastAsia="Times New Roman"/>
                <w:b w:val="0"/>
                <w:i w:val="0"/>
                <w:color w:val="000000"/>
                <w:sz w:val="13"/>
              </w:rPr>
              <w:t xml:space="preserve">41 </w:t>
            </w:r>
          </w:p>
        </w:tc>
        <w:tc>
          <w:tcPr>
            <w:tcW w:type="dxa" w:w="932"/>
            <w:tcBorders>
              <w:start w:sz="7.199999999999932"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63,154.38 </w:t>
            </w:r>
          </w:p>
        </w:tc>
        <w:tc>
          <w:tcPr>
            <w:tcW w:type="dxa" w:w="62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750"/>
            <w:tcBorders>
              <w:start w:sz="8.0"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0" w:firstLine="0"/>
              <w:jc w:val="center"/>
            </w:pPr>
            <w:r>
              <w:rPr>
                <w:rFonts w:ascii="Times New Roman" w:hAnsi="Times New Roman" w:eastAsia="Times New Roman"/>
                <w:b w:val="0"/>
                <w:i w:val="0"/>
                <w:color w:val="000000"/>
                <w:sz w:val="13"/>
              </w:rPr>
              <w:t xml:space="preserve"> 1,779.22 </w:t>
            </w:r>
          </w:p>
        </w:tc>
        <w:tc>
          <w:tcPr>
            <w:tcW w:type="dxa" w:w="700"/>
            <w:tcBorders>
              <w:start w:sz="7.199999999999818"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68,160.66 </w:t>
            </w:r>
          </w:p>
        </w:tc>
        <w:tc>
          <w:tcPr>
            <w:tcW w:type="dxa" w:w="1230"/>
            <w:tcBorders>
              <w:start w:sz="8.0" w:val="single" w:color="#000000"/>
              <w:top w:sz="8.0" w:val="single" w:color="#000000"/>
              <w:end w:sz="7.200000000000273"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5,006.29 </w:t>
            </w:r>
          </w:p>
        </w:tc>
        <w:tc>
          <w:tcPr>
            <w:tcW w:type="dxa" w:w="840"/>
            <w:tcBorders>
              <w:start w:sz="7.200000000000273"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1,917.16 </w:t>
            </w:r>
          </w:p>
        </w:tc>
        <w:tc>
          <w:tcPr>
            <w:tcW w:type="dxa" w:w="948"/>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65,021.17 </w:t>
            </w:r>
          </w:p>
        </w:tc>
        <w:tc>
          <w:tcPr>
            <w:tcW w:type="dxa" w:w="67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8.0" w:val="single" w:color="#000000"/>
            </w:tcBorders>
            <w:tcMar>
              <w:start w:w="0" w:type="dxa"/>
              <w:end w:w="0" w:type="dxa"/>
            </w:tcMar>
          </w:tcPr>
          <w:p>
            <w:pPr>
              <w:autoSpaceDN w:val="0"/>
              <w:autoSpaceDE w:val="0"/>
              <w:widowControl/>
              <w:spacing w:line="162" w:lineRule="exact" w:before="0" w:after="0"/>
              <w:ind w:left="98" w:right="176" w:firstLine="0"/>
              <w:jc w:val="both"/>
            </w:pPr>
            <w:r>
              <w:rPr>
                <w:rFonts w:ascii="宋体" w:hAnsi="宋体" w:eastAsia="宋体"/>
                <w:b w:val="0"/>
                <w:i w:val="0"/>
                <w:color w:val="000000"/>
                <w:sz w:val="13"/>
              </w:rPr>
              <w:t>地方</w:t>
            </w:r>
            <w:r>
              <w:br/>
            </w:r>
            <w:r>
              <w:rPr>
                <w:rFonts w:ascii="宋体" w:hAnsi="宋体" w:eastAsia="宋体"/>
                <w:b w:val="0"/>
                <w:i w:val="0"/>
                <w:color w:val="000000"/>
                <w:sz w:val="13"/>
              </w:rPr>
              <w:t>政府</w:t>
            </w:r>
            <w:r>
              <w:br/>
            </w:r>
            <w:r>
              <w:rPr>
                <w:rFonts w:ascii="宋体" w:hAnsi="宋体" w:eastAsia="宋体"/>
                <w:b w:val="0"/>
                <w:i w:val="0"/>
                <w:color w:val="000000"/>
                <w:sz w:val="13"/>
              </w:rPr>
              <w:t xml:space="preserve">债 </w:t>
            </w:r>
          </w:p>
        </w:tc>
        <w:tc>
          <w:tcPr>
            <w:tcW w:type="dxa" w:w="820"/>
            <w:tcBorders>
              <w:start w:sz="7.199999999999989" w:val="single" w:color="#000000"/>
              <w:top w:sz="8.0" w:val="single" w:color="#000000"/>
              <w:end w:sz="8.0" w:val="single" w:color="#000000"/>
              <w:bottom w:sz="8.0" w:val="single" w:color="#000000"/>
            </w:tcBorders>
            <w:tcMar>
              <w:start w:w="0" w:type="dxa"/>
              <w:end w:w="0" w:type="dxa"/>
            </w:tcMar>
          </w:tcPr>
          <w:p>
            <w:pPr>
              <w:autoSpaceDN w:val="0"/>
              <w:autoSpaceDE w:val="0"/>
              <w:widowControl/>
              <w:spacing w:line="245" w:lineRule="auto" w:before="108" w:after="0"/>
              <w:ind w:left="100" w:right="144" w:firstLine="0"/>
              <w:jc w:val="left"/>
            </w:pPr>
            <w:r>
              <w:rPr>
                <w:rFonts w:ascii="Times New Roman" w:hAnsi="Times New Roman" w:eastAsia="Times New Roman"/>
                <w:b w:val="0"/>
                <w:i w:val="0"/>
                <w:color w:val="000000"/>
                <w:sz w:val="13"/>
              </w:rPr>
              <w:t xml:space="preserve">2471316.I </w:t>
            </w:r>
            <w:r>
              <w:rPr>
                <w:rFonts w:ascii="Times New Roman" w:hAnsi="Times New Roman" w:eastAsia="Times New Roman"/>
                <w:b w:val="0"/>
                <w:i w:val="0"/>
                <w:color w:val="000000"/>
                <w:sz w:val="13"/>
              </w:rPr>
              <w:t xml:space="preserve">B </w:t>
            </w:r>
          </w:p>
        </w:tc>
        <w:tc>
          <w:tcPr>
            <w:tcW w:type="dxa" w:w="784"/>
            <w:tcBorders>
              <w:start w:sz="8.0" w:val="single" w:color="#000000"/>
              <w:top w:sz="8.0" w:val="single" w:color="#000000"/>
              <w:end w:sz="7.199999999999932" w:val="single" w:color="#000000"/>
              <w:bottom w:sz="8.0" w:val="single" w:color="#000000"/>
            </w:tcBorders>
            <w:shd w:fill="ffffff"/>
            <w:tcMar>
              <w:start w:w="0" w:type="dxa"/>
              <w:end w:w="0" w:type="dxa"/>
            </w:tcMar>
          </w:tcPr>
          <w:p>
            <w:pPr>
              <w:autoSpaceDN w:val="0"/>
              <w:autoSpaceDE w:val="0"/>
              <w:widowControl/>
              <w:spacing w:line="160" w:lineRule="exact" w:before="90" w:after="0"/>
              <w:ind w:left="98" w:right="0" w:firstLine="0"/>
              <w:jc w:val="left"/>
            </w:pPr>
            <w:r>
              <w:rPr>
                <w:rFonts w:ascii="Times New Roman" w:hAnsi="Times New Roman" w:eastAsia="Times New Roman"/>
                <w:b w:val="0"/>
                <w:i w:val="0"/>
                <w:color w:val="000000"/>
                <w:sz w:val="13"/>
              </w:rPr>
              <w:t>24</w:t>
            </w:r>
            <w:r>
              <w:rPr>
                <w:rFonts w:ascii="宋体" w:hAnsi="宋体" w:eastAsia="宋体"/>
                <w:b w:val="0"/>
                <w:i w:val="0"/>
                <w:color w:val="000000"/>
                <w:sz w:val="13"/>
              </w:rPr>
              <w:t xml:space="preserve"> 天津债</w:t>
            </w:r>
            <w:r>
              <w:rPr>
                <w:rFonts w:ascii="Times New Roman" w:hAnsi="Times New Roman" w:eastAsia="Times New Roman"/>
                <w:b w:val="0"/>
                <w:i w:val="0"/>
                <w:color w:val="000000"/>
                <w:sz w:val="13"/>
              </w:rPr>
              <w:t xml:space="preserve">95 </w:t>
            </w:r>
          </w:p>
        </w:tc>
        <w:tc>
          <w:tcPr>
            <w:tcW w:type="dxa" w:w="932"/>
            <w:tcBorders>
              <w:start w:sz="7.199999999999932"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51,040.47 </w:t>
            </w:r>
          </w:p>
        </w:tc>
        <w:tc>
          <w:tcPr>
            <w:tcW w:type="dxa" w:w="62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750"/>
            <w:tcBorders>
              <w:start w:sz="8.0"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0" w:firstLine="0"/>
              <w:jc w:val="center"/>
            </w:pPr>
            <w:r>
              <w:rPr>
                <w:rFonts w:ascii="Times New Roman" w:hAnsi="Times New Roman" w:eastAsia="Times New Roman"/>
                <w:b w:val="0"/>
                <w:i w:val="0"/>
                <w:color w:val="000000"/>
                <w:sz w:val="13"/>
              </w:rPr>
              <w:t xml:space="preserve"> 1,169.91 </w:t>
            </w:r>
          </w:p>
        </w:tc>
        <w:tc>
          <w:tcPr>
            <w:tcW w:type="dxa" w:w="700"/>
            <w:tcBorders>
              <w:start w:sz="7.199999999999818"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100,054.55 </w:t>
            </w:r>
          </w:p>
        </w:tc>
        <w:tc>
          <w:tcPr>
            <w:tcW w:type="dxa" w:w="1230"/>
            <w:tcBorders>
              <w:start w:sz="8.0" w:val="single" w:color="#000000"/>
              <w:top w:sz="8.0" w:val="single" w:color="#000000"/>
              <w:end w:sz="7.200000000000273"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49,014.08 </w:t>
            </w:r>
          </w:p>
        </w:tc>
        <w:tc>
          <w:tcPr>
            <w:tcW w:type="dxa" w:w="840"/>
            <w:tcBorders>
              <w:start w:sz="7.200000000000273"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1,457.23 </w:t>
            </w:r>
          </w:p>
        </w:tc>
        <w:tc>
          <w:tcPr>
            <w:tcW w:type="dxa" w:w="948"/>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52,272.86 </w:t>
            </w:r>
          </w:p>
        </w:tc>
        <w:tc>
          <w:tcPr>
            <w:tcW w:type="dxa" w:w="67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8.0" w:val="single" w:color="#000000"/>
            </w:tcBorders>
            <w:shd w:fill="ffffff"/>
            <w:tcMar>
              <w:start w:w="0" w:type="dxa"/>
              <w:end w:w="0" w:type="dxa"/>
            </w:tcMar>
          </w:tcPr>
          <w:p>
            <w:pPr>
              <w:autoSpaceDN w:val="0"/>
              <w:autoSpaceDE w:val="0"/>
              <w:widowControl/>
              <w:spacing w:line="162" w:lineRule="exact" w:before="0" w:after="0"/>
              <w:ind w:left="98" w:right="110" w:firstLine="0"/>
              <w:jc w:val="both"/>
            </w:pPr>
            <w:r>
              <w:rPr>
                <w:rFonts w:ascii="宋体" w:hAnsi="宋体" w:eastAsia="宋体"/>
                <w:b w:val="0"/>
                <w:i w:val="0"/>
                <w:color w:val="000000"/>
                <w:sz w:val="13"/>
              </w:rPr>
              <w:t>货币</w:t>
            </w:r>
            <w:r>
              <w:br/>
            </w:r>
            <w:r>
              <w:rPr>
                <w:rFonts w:ascii="宋体" w:hAnsi="宋体" w:eastAsia="宋体"/>
                <w:b w:val="0"/>
                <w:i w:val="0"/>
                <w:color w:val="000000"/>
                <w:sz w:val="13"/>
              </w:rPr>
              <w:t>市场</w:t>
            </w:r>
            <w:r>
              <w:br/>
            </w:r>
            <w:r>
              <w:rPr>
                <w:rFonts w:ascii="宋体" w:hAnsi="宋体" w:eastAsia="宋体"/>
                <w:b w:val="0"/>
                <w:i w:val="0"/>
                <w:color w:val="000000"/>
                <w:sz w:val="13"/>
              </w:rPr>
              <w:t xml:space="preserve">基金 </w:t>
            </w:r>
          </w:p>
        </w:tc>
        <w:tc>
          <w:tcPr>
            <w:tcW w:type="dxa" w:w="820"/>
            <w:tcBorders>
              <w:start w:sz="7.199999999999989"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28" w:lineRule="auto" w:before="182" w:after="0"/>
              <w:ind w:left="100" w:right="0" w:firstLine="0"/>
              <w:jc w:val="left"/>
            </w:pPr>
            <w:r>
              <w:rPr>
                <w:rFonts w:ascii="Times New Roman" w:hAnsi="Times New Roman" w:eastAsia="Times New Roman"/>
                <w:b w:val="0"/>
                <w:i w:val="0"/>
                <w:color w:val="000000"/>
                <w:sz w:val="13"/>
              </w:rPr>
              <w:t xml:space="preserve">001821 </w:t>
            </w:r>
          </w:p>
        </w:tc>
        <w:tc>
          <w:tcPr>
            <w:tcW w:type="dxa" w:w="784"/>
            <w:tcBorders>
              <w:start w:sz="8.0" w:val="single" w:color="#000000"/>
              <w:top w:sz="8.0" w:val="single" w:color="#000000"/>
              <w:end w:sz="7.199999999999932"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兴全天添</w:t>
            </w:r>
            <w:r>
              <w:br/>
            </w:r>
            <w:r>
              <w:rPr>
                <w:rFonts w:ascii="宋体" w:hAnsi="宋体" w:eastAsia="宋体"/>
                <w:b w:val="0"/>
                <w:i w:val="0"/>
                <w:color w:val="000000"/>
                <w:sz w:val="13"/>
              </w:rPr>
              <w:t xml:space="preserve">益货币B </w:t>
            </w:r>
          </w:p>
        </w:tc>
        <w:tc>
          <w:tcPr>
            <w:tcW w:type="dxa" w:w="932"/>
            <w:tcBorders>
              <w:start w:sz="7.199999999999932"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51,039.96 </w:t>
            </w:r>
          </w:p>
        </w:tc>
        <w:tc>
          <w:tcPr>
            <w:tcW w:type="dxa" w:w="62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70,939.03 </w:t>
            </w:r>
          </w:p>
        </w:tc>
        <w:tc>
          <w:tcPr>
            <w:tcW w:type="dxa" w:w="750"/>
            <w:tcBorders>
              <w:start w:sz="8.0"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700"/>
            <w:tcBorders>
              <w:start w:sz="7.199999999999818"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8.0"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41,039.96 </w:t>
            </w:r>
          </w:p>
        </w:tc>
        <w:tc>
          <w:tcPr>
            <w:tcW w:type="dxa" w:w="1230"/>
            <w:tcBorders>
              <w:start w:sz="8.0" w:val="single" w:color="#000000"/>
              <w:top w:sz="8.0" w:val="single" w:color="#000000"/>
              <w:end w:sz="7.200000000000273" w:val="single" w:color="#000000"/>
              <w:bottom w:sz="8.0" w:val="single" w:color="#000000"/>
            </w:tcBorders>
            <w:shd w:fill="ffffff"/>
            <w:tcMar>
              <w:start w:w="0" w:type="dxa"/>
              <w:end w:w="0" w:type="dxa"/>
            </w:tcMar>
          </w:tcPr>
          <w:p>
            <w:pPr>
              <w:autoSpaceDN w:val="0"/>
              <w:autoSpaceDE w:val="0"/>
              <w:widowControl/>
              <w:spacing w:line="228" w:lineRule="auto" w:before="182" w:after="0"/>
              <w:ind w:left="0" w:right="64" w:firstLine="0"/>
              <w:jc w:val="right"/>
            </w:pPr>
            <w:r>
              <w:rPr>
                <w:rFonts w:ascii="Times New Roman" w:hAnsi="Times New Roman" w:eastAsia="Times New Roman"/>
                <w:b w:val="0"/>
                <w:i w:val="0"/>
                <w:color w:val="000000"/>
                <w:sz w:val="13"/>
              </w:rPr>
              <w:t xml:space="preserve"> 40,000.00 </w:t>
            </w:r>
          </w:p>
        </w:tc>
        <w:tc>
          <w:tcPr>
            <w:tcW w:type="dxa" w:w="840"/>
            <w:tcBorders>
              <w:start w:sz="7.200000000000273"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1,039.96 </w:t>
            </w:r>
          </w:p>
        </w:tc>
        <w:tc>
          <w:tcPr>
            <w:tcW w:type="dxa" w:w="948"/>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228" w:lineRule="auto" w:before="182" w:after="0"/>
              <w:ind w:left="0" w:right="64" w:firstLine="0"/>
              <w:jc w:val="right"/>
            </w:pPr>
            <w:r>
              <w:rPr>
                <w:rFonts w:ascii="Times New Roman" w:hAnsi="Times New Roman" w:eastAsia="Times New Roman"/>
                <w:b w:val="0"/>
                <w:i w:val="0"/>
                <w:color w:val="000000"/>
                <w:sz w:val="13"/>
              </w:rPr>
              <w:t xml:space="preserve"> 51,039.96 </w:t>
            </w:r>
          </w:p>
        </w:tc>
        <w:tc>
          <w:tcPr>
            <w:tcW w:type="dxa" w:w="67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8.0"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7.199999999999818" w:val="single" w:color="#000000"/>
            </w:tcBorders>
            <w:tcMar>
              <w:start w:w="0" w:type="dxa"/>
              <w:end w:w="0" w:type="dxa"/>
            </w:tcMar>
          </w:tcPr>
          <w:p>
            <w:pPr>
              <w:autoSpaceDN w:val="0"/>
              <w:autoSpaceDE w:val="0"/>
              <w:widowControl/>
              <w:spacing w:line="130" w:lineRule="exact" w:before="188" w:after="0"/>
              <w:ind w:left="0" w:right="0" w:firstLine="0"/>
              <w:jc w:val="center"/>
            </w:pPr>
            <w:r>
              <w:rPr>
                <w:rFonts w:ascii="宋体" w:hAnsi="宋体" w:eastAsia="宋体"/>
                <w:b w:val="0"/>
                <w:i w:val="0"/>
                <w:color w:val="000000"/>
                <w:sz w:val="13"/>
              </w:rPr>
              <w:t xml:space="preserve">国债 </w:t>
            </w:r>
          </w:p>
        </w:tc>
        <w:tc>
          <w:tcPr>
            <w:tcW w:type="dxa" w:w="820"/>
            <w:tcBorders>
              <w:start w:sz="7.199999999999989"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28" w:lineRule="auto" w:before="182" w:after="0"/>
              <w:ind w:left="0" w:right="0" w:firstLine="0"/>
              <w:jc w:val="center"/>
            </w:pPr>
            <w:r>
              <w:rPr>
                <w:rFonts w:ascii="Times New Roman" w:hAnsi="Times New Roman" w:eastAsia="Times New Roman"/>
                <w:b w:val="0"/>
                <w:i w:val="0"/>
                <w:color w:val="000000"/>
                <w:sz w:val="13"/>
              </w:rPr>
              <w:t xml:space="preserve">240006.IB </w:t>
            </w:r>
          </w:p>
        </w:tc>
        <w:tc>
          <w:tcPr>
            <w:tcW w:type="dxa" w:w="784"/>
            <w:tcBorders>
              <w:start w:sz="8.0" w:val="single" w:color="#000000"/>
              <w:top w:sz="8.0" w:val="single" w:color="#000000"/>
              <w:end w:sz="7.199999999999932" w:val="single" w:color="#000000"/>
              <w:bottom w:sz="7.199999999999818" w:val="single" w:color="#000000"/>
            </w:tcBorders>
            <w:shd w:fill="ffffff"/>
            <w:tcMar>
              <w:start w:w="0" w:type="dxa"/>
              <w:end w:w="0" w:type="dxa"/>
            </w:tcMar>
          </w:tcPr>
          <w:p>
            <w:pPr>
              <w:autoSpaceDN w:val="0"/>
              <w:autoSpaceDE w:val="0"/>
              <w:widowControl/>
              <w:spacing w:line="168" w:lineRule="exact" w:before="72" w:after="0"/>
              <w:ind w:left="98" w:right="0" w:firstLine="0"/>
              <w:jc w:val="left"/>
            </w:pPr>
            <w:r>
              <w:rPr>
                <w:rFonts w:ascii="Times New Roman" w:hAnsi="Times New Roman" w:eastAsia="Times New Roman"/>
                <w:b w:val="0"/>
                <w:i w:val="0"/>
                <w:color w:val="000000"/>
                <w:sz w:val="13"/>
              </w:rPr>
              <w:t>24</w:t>
            </w:r>
            <w:r>
              <w:rPr>
                <w:rFonts w:ascii="宋体" w:hAnsi="宋体" w:eastAsia="宋体"/>
                <w:b w:val="0"/>
                <w:i w:val="0"/>
                <w:color w:val="000000"/>
                <w:sz w:val="13"/>
              </w:rPr>
              <w:t xml:space="preserve"> 附息国</w:t>
            </w:r>
            <w:r>
              <w:rPr>
                <w:rFonts w:ascii="宋体" w:hAnsi="宋体" w:eastAsia="宋体"/>
                <w:b w:val="0"/>
                <w:i w:val="0"/>
                <w:color w:val="000000"/>
                <w:sz w:val="13"/>
              </w:rPr>
              <w:t>债</w:t>
            </w:r>
            <w:r>
              <w:rPr>
                <w:rFonts w:ascii="Times New Roman" w:hAnsi="Times New Roman" w:eastAsia="Times New Roman"/>
                <w:b w:val="0"/>
                <w:i w:val="0"/>
                <w:color w:val="000000"/>
                <w:sz w:val="13"/>
              </w:rPr>
              <w:t xml:space="preserve">06 </w:t>
            </w:r>
          </w:p>
        </w:tc>
        <w:tc>
          <w:tcPr>
            <w:tcW w:type="dxa" w:w="932"/>
            <w:tcBorders>
              <w:start w:sz="7.199999999999932"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49,895.40 </w:t>
            </w:r>
          </w:p>
        </w:tc>
        <w:tc>
          <w:tcPr>
            <w:tcW w:type="dxa" w:w="628"/>
            <w:tcBorders>
              <w:start w:sz="8.0"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750"/>
            <w:tcBorders>
              <w:start w:sz="8.0"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8" w:firstLine="0"/>
              <w:jc w:val="right"/>
            </w:pPr>
            <w:r>
              <w:rPr>
                <w:rFonts w:ascii="Times New Roman" w:hAnsi="Times New Roman" w:eastAsia="Times New Roman"/>
                <w:b w:val="0"/>
                <w:i w:val="0"/>
                <w:color w:val="000000"/>
                <w:sz w:val="13"/>
              </w:rPr>
              <w:t xml:space="preserve"> 110.81 </w:t>
            </w:r>
          </w:p>
        </w:tc>
        <w:tc>
          <w:tcPr>
            <w:tcW w:type="dxa" w:w="700"/>
            <w:tcBorders>
              <w:start w:sz="7.199999999999818"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1,623,578.49 </w:t>
            </w:r>
          </w:p>
        </w:tc>
        <w:tc>
          <w:tcPr>
            <w:tcW w:type="dxa" w:w="1230"/>
            <w:tcBorders>
              <w:start w:sz="8.0" w:val="single" w:color="#000000"/>
              <w:top w:sz="8.0" w:val="single" w:color="#000000"/>
              <w:end w:sz="7.200000000000273"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4" w:firstLine="0"/>
              <w:jc w:val="right"/>
            </w:pPr>
            <w:r>
              <w:rPr>
                <w:rFonts w:ascii="Times New Roman" w:hAnsi="Times New Roman" w:eastAsia="Times New Roman"/>
                <w:b w:val="0"/>
                <w:i w:val="0"/>
                <w:color w:val="000000"/>
                <w:sz w:val="13"/>
              </w:rPr>
              <w:t xml:space="preserve"> 1,573,683.09 </w:t>
            </w:r>
          </w:p>
        </w:tc>
        <w:tc>
          <w:tcPr>
            <w:tcW w:type="dxa" w:w="840"/>
            <w:tcBorders>
              <w:start w:sz="7.200000000000273"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6" w:firstLine="0"/>
              <w:jc w:val="right"/>
            </w:pPr>
            <w:r>
              <w:rPr>
                <w:rFonts w:ascii="Times New Roman" w:hAnsi="Times New Roman" w:eastAsia="Times New Roman"/>
                <w:b w:val="0"/>
                <w:i w:val="0"/>
                <w:color w:val="000000"/>
                <w:sz w:val="13"/>
              </w:rPr>
              <w:t xml:space="preserve"> 1,389.03 </w:t>
            </w:r>
          </w:p>
        </w:tc>
        <w:tc>
          <w:tcPr>
            <w:tcW w:type="dxa" w:w="948"/>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28" w:lineRule="auto" w:before="182" w:after="0"/>
              <w:ind w:left="0" w:right="64" w:firstLine="0"/>
              <w:jc w:val="right"/>
            </w:pPr>
            <w:r>
              <w:rPr>
                <w:rFonts w:ascii="Times New Roman" w:hAnsi="Times New Roman" w:eastAsia="Times New Roman"/>
                <w:b w:val="0"/>
                <w:i w:val="0"/>
                <w:color w:val="000000"/>
                <w:sz w:val="13"/>
              </w:rPr>
              <w:t xml:space="preserve"> 50,851.73 </w:t>
            </w:r>
          </w:p>
        </w:tc>
        <w:tc>
          <w:tcPr>
            <w:tcW w:type="dxa" w:w="670"/>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8" w:lineRule="exact" w:before="66"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7.199999999999818" w:val="single" w:color="#000000"/>
              <w:end w:sz="7.199999999999989" w:val="single" w:color="#000000"/>
              <w:bottom w:sz="7.199999999999818" w:val="single" w:color="#000000"/>
            </w:tcBorders>
            <w:tcMar>
              <w:start w:w="0" w:type="dxa"/>
              <w:end w:w="0" w:type="dxa"/>
            </w:tcMar>
          </w:tcPr>
          <w:p>
            <w:pPr>
              <w:autoSpaceDN w:val="0"/>
              <w:autoSpaceDE w:val="0"/>
              <w:widowControl/>
              <w:spacing w:line="168" w:lineRule="exact" w:before="64" w:after="0"/>
              <w:ind w:left="0" w:right="0" w:firstLine="0"/>
              <w:jc w:val="center"/>
            </w:pPr>
            <w:r>
              <w:rPr>
                <w:rFonts w:ascii="宋体" w:hAnsi="宋体" w:eastAsia="宋体"/>
                <w:b w:val="0"/>
                <w:i w:val="0"/>
                <w:color w:val="000000"/>
                <w:sz w:val="13"/>
              </w:rPr>
              <w:t>同业</w:t>
            </w:r>
            <w:r>
              <w:br/>
            </w:r>
            <w:r>
              <w:rPr>
                <w:rFonts w:ascii="宋体" w:hAnsi="宋体" w:eastAsia="宋体"/>
                <w:b w:val="0"/>
                <w:i w:val="0"/>
                <w:color w:val="000000"/>
                <w:sz w:val="13"/>
              </w:rPr>
              <w:t xml:space="preserve">存单 </w:t>
            </w:r>
          </w:p>
        </w:tc>
        <w:tc>
          <w:tcPr>
            <w:tcW w:type="dxa" w:w="820"/>
            <w:tcBorders>
              <w:start w:sz="7.199999999999989" w:val="single" w:color="#000000"/>
              <w:top w:sz="7.199999999999818" w:val="single" w:color="#000000"/>
              <w:end w:sz="8.0" w:val="single" w:color="#000000"/>
              <w:bottom w:sz="7.199999999999818" w:val="single" w:color="#000000"/>
            </w:tcBorders>
            <w:tcMar>
              <w:start w:w="0" w:type="dxa"/>
              <w:end w:w="0" w:type="dxa"/>
            </w:tcMar>
          </w:tcPr>
          <w:p>
            <w:pPr>
              <w:autoSpaceDN w:val="0"/>
              <w:autoSpaceDE w:val="0"/>
              <w:widowControl/>
              <w:spacing w:line="245" w:lineRule="auto" w:before="106" w:after="0"/>
              <w:ind w:left="100" w:right="0" w:firstLine="0"/>
              <w:jc w:val="left"/>
            </w:pPr>
            <w:r>
              <w:rPr>
                <w:rFonts w:ascii="Times New Roman" w:hAnsi="Times New Roman" w:eastAsia="Times New Roman"/>
                <w:b w:val="0"/>
                <w:i w:val="0"/>
                <w:color w:val="000000"/>
                <w:sz w:val="13"/>
              </w:rPr>
              <w:t xml:space="preserve">112420297 </w:t>
            </w:r>
            <w:r>
              <w:rPr>
                <w:rFonts w:ascii="Times New Roman" w:hAnsi="Times New Roman" w:eastAsia="Times New Roman"/>
                <w:b w:val="0"/>
                <w:i w:val="0"/>
                <w:color w:val="000000"/>
                <w:sz w:val="13"/>
              </w:rPr>
              <w:t xml:space="preserve">.IB </w:t>
            </w:r>
          </w:p>
        </w:tc>
        <w:tc>
          <w:tcPr>
            <w:tcW w:type="dxa" w:w="784"/>
            <w:tcBorders>
              <w:start w:sz="8.0" w:val="single" w:color="#000000"/>
              <w:top w:sz="7.199999999999818" w:val="single" w:color="#000000"/>
              <w:end w:sz="7.199999999999932" w:val="single" w:color="#000000"/>
              <w:bottom w:sz="7.199999999999818" w:val="single" w:color="#000000"/>
            </w:tcBorders>
            <w:shd w:fill="ffffff"/>
            <w:tcMar>
              <w:start w:w="0" w:type="dxa"/>
              <w:end w:w="0" w:type="dxa"/>
            </w:tcMar>
          </w:tcPr>
          <w:p>
            <w:pPr>
              <w:autoSpaceDN w:val="0"/>
              <w:autoSpaceDE w:val="0"/>
              <w:widowControl/>
              <w:spacing w:line="168" w:lineRule="exact" w:before="72" w:after="0"/>
              <w:ind w:left="0" w:right="0" w:firstLine="0"/>
              <w:jc w:val="center"/>
            </w:pPr>
            <w:r>
              <w:rPr>
                <w:rFonts w:ascii="Times New Roman" w:hAnsi="Times New Roman" w:eastAsia="Times New Roman"/>
                <w:b w:val="0"/>
                <w:i w:val="0"/>
                <w:color w:val="000000"/>
                <w:sz w:val="13"/>
              </w:rPr>
              <w:t>24</w:t>
            </w:r>
            <w:r>
              <w:rPr>
                <w:rFonts w:ascii="宋体" w:hAnsi="宋体" w:eastAsia="宋体"/>
                <w:b w:val="0"/>
                <w:i w:val="0"/>
                <w:color w:val="000000"/>
                <w:sz w:val="13"/>
              </w:rPr>
              <w:t xml:space="preserve"> 广发银</w:t>
            </w:r>
            <w:r>
              <w:rPr>
                <w:rFonts w:ascii="宋体" w:hAnsi="宋体" w:eastAsia="宋体"/>
                <w:b w:val="0"/>
                <w:i w:val="0"/>
                <w:color w:val="000000"/>
                <w:sz w:val="13"/>
              </w:rPr>
              <w:t>行</w:t>
            </w:r>
            <w:r>
              <w:rPr>
                <w:rFonts w:ascii="Times New Roman" w:hAnsi="Times New Roman" w:eastAsia="Times New Roman"/>
                <w:b w:val="0"/>
                <w:i w:val="0"/>
                <w:color w:val="000000"/>
                <w:sz w:val="13"/>
              </w:rPr>
              <w:t xml:space="preserve">CD297 </w:t>
            </w:r>
          </w:p>
        </w:tc>
        <w:tc>
          <w:tcPr>
            <w:tcW w:type="dxa" w:w="932"/>
            <w:tcBorders>
              <w:start w:sz="7.199999999999932" w:val="single" w:color="#000000"/>
              <w:top w:sz="7.199999999999818" w:val="single" w:color="#000000"/>
              <w:end w:sz="8.0"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49,799.85 </w:t>
            </w:r>
          </w:p>
        </w:tc>
        <w:tc>
          <w:tcPr>
            <w:tcW w:type="dxa" w:w="628"/>
            <w:tcBorders>
              <w:start w:sz="8.0" w:val="single" w:color="#000000"/>
              <w:top w:sz="7.199999999999818" w:val="single" w:color="#000000"/>
              <w:end w:sz="8.0" w:val="single" w:color="#000000"/>
              <w:bottom w:sz="7.199999999999818" w:val="single" w:color="#000000"/>
            </w:tcBorders>
            <w:shd w:fill="ffffff"/>
            <w:tcMar>
              <w:start w:w="0" w:type="dxa"/>
              <w:end w:w="0" w:type="dxa"/>
            </w:tcMar>
          </w:tcPr>
          <w:p>
            <w:pPr>
              <w:autoSpaceDN w:val="0"/>
              <w:autoSpaceDE w:val="0"/>
              <w:widowControl/>
              <w:spacing w:line="168" w:lineRule="exact" w:before="64"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7.199999999999818" w:val="single" w:color="#000000"/>
              <w:end w:sz="8.0"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 </w:t>
            </w:r>
          </w:p>
        </w:tc>
        <w:tc>
          <w:tcPr>
            <w:tcW w:type="dxa" w:w="750"/>
            <w:tcBorders>
              <w:start w:sz="8.0" w:val="single" w:color="#000000"/>
              <w:top w:sz="7.199999999999818"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3.40 </w:t>
            </w:r>
          </w:p>
        </w:tc>
        <w:tc>
          <w:tcPr>
            <w:tcW w:type="dxa" w:w="700"/>
            <w:tcBorders>
              <w:start w:sz="7.199999999999818" w:val="single" w:color="#000000"/>
              <w:top w:sz="7.199999999999818"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256"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7.199999999999818" w:val="single" w:color="#000000"/>
              <w:end w:sz="8.0"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49,799.85 </w:t>
            </w:r>
          </w:p>
        </w:tc>
        <w:tc>
          <w:tcPr>
            <w:tcW w:type="dxa" w:w="1230"/>
            <w:tcBorders>
              <w:start w:sz="8.0" w:val="single" w:color="#000000"/>
              <w:top w:sz="7.199999999999818" w:val="single" w:color="#000000"/>
              <w:end w:sz="7.200000000000273"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4" w:firstLine="0"/>
              <w:jc w:val="right"/>
            </w:pPr>
            <w:r>
              <w:rPr>
                <w:rFonts w:ascii="Times New Roman" w:hAnsi="Times New Roman" w:eastAsia="Times New Roman"/>
                <w:b w:val="0"/>
                <w:i w:val="0"/>
                <w:color w:val="000000"/>
                <w:sz w:val="13"/>
              </w:rPr>
              <w:t xml:space="preserve"> - </w:t>
            </w:r>
          </w:p>
        </w:tc>
        <w:tc>
          <w:tcPr>
            <w:tcW w:type="dxa" w:w="840"/>
            <w:tcBorders>
              <w:start w:sz="7.200000000000273" w:val="single" w:color="#000000"/>
              <w:top w:sz="7.199999999999818"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6" w:firstLine="0"/>
              <w:jc w:val="right"/>
            </w:pPr>
            <w:r>
              <w:rPr>
                <w:rFonts w:ascii="Times New Roman" w:hAnsi="Times New Roman" w:eastAsia="Times New Roman"/>
                <w:b w:val="0"/>
                <w:i w:val="0"/>
                <w:color w:val="000000"/>
                <w:sz w:val="13"/>
              </w:rPr>
              <w:t xml:space="preserve"> 16.73 </w:t>
            </w:r>
          </w:p>
        </w:tc>
        <w:tc>
          <w:tcPr>
            <w:tcW w:type="dxa" w:w="948"/>
            <w:tcBorders>
              <w:start w:sz="7.199999999999818" w:val="single" w:color="#000000"/>
              <w:top w:sz="7.199999999999818"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0" w:after="0"/>
              <w:ind w:left="0" w:right="64" w:firstLine="0"/>
              <w:jc w:val="right"/>
            </w:pPr>
            <w:r>
              <w:rPr>
                <w:rFonts w:ascii="Times New Roman" w:hAnsi="Times New Roman" w:eastAsia="Times New Roman"/>
                <w:b w:val="0"/>
                <w:i w:val="0"/>
                <w:color w:val="000000"/>
                <w:sz w:val="13"/>
              </w:rPr>
              <w:t xml:space="preserve"> 49,818.80 </w:t>
            </w:r>
          </w:p>
        </w:tc>
        <w:tc>
          <w:tcPr>
            <w:tcW w:type="dxa" w:w="670"/>
            <w:tcBorders>
              <w:start w:sz="7.199999999999818" w:val="single" w:color="#000000"/>
              <w:top w:sz="7.199999999999818"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7.199999999999818"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8" w:lineRule="exact" w:before="64"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862"/>
        </w:trPr>
        <w:tc>
          <w:tcPr>
            <w:tcW w:type="dxa" w:w="552"/>
            <w:tcBorders>
              <w:start w:sz="7.200000000000003" w:val="single" w:color="#000000"/>
              <w:top w:sz="7.199999999999818" w:val="single" w:color="#000000"/>
              <w:end w:sz="7.199999999999989" w:val="single" w:color="#000000"/>
              <w:bottom w:sz="8.0" w:val="single" w:color="#000000"/>
            </w:tcBorders>
            <w:shd w:fill="ffffff"/>
            <w:tcMar>
              <w:start w:w="0" w:type="dxa"/>
              <w:end w:w="0" w:type="dxa"/>
            </w:tcMar>
          </w:tcPr>
          <w:p>
            <w:pPr>
              <w:autoSpaceDN w:val="0"/>
              <w:autoSpaceDE w:val="0"/>
              <w:widowControl/>
              <w:spacing w:line="168" w:lineRule="exact" w:before="234" w:after="0"/>
              <w:ind w:left="0" w:right="0" w:firstLine="0"/>
              <w:jc w:val="center"/>
            </w:pPr>
            <w:r>
              <w:rPr>
                <w:rFonts w:ascii="宋体" w:hAnsi="宋体" w:eastAsia="宋体"/>
                <w:b w:val="0"/>
                <w:i w:val="0"/>
                <w:color w:val="000000"/>
                <w:sz w:val="13"/>
              </w:rPr>
              <w:t>资管</w:t>
            </w:r>
            <w:r>
              <w:br/>
            </w:r>
            <w:r>
              <w:rPr>
                <w:rFonts w:ascii="宋体" w:hAnsi="宋体" w:eastAsia="宋体"/>
                <w:b w:val="0"/>
                <w:i w:val="0"/>
                <w:color w:val="000000"/>
                <w:sz w:val="13"/>
              </w:rPr>
              <w:t xml:space="preserve">计划 </w:t>
            </w:r>
          </w:p>
        </w:tc>
        <w:tc>
          <w:tcPr>
            <w:tcW w:type="dxa" w:w="820"/>
            <w:tcBorders>
              <w:start w:sz="7.199999999999989" w:val="single" w:color="#000000"/>
              <w:top w:sz="7.199999999999818" w:val="single" w:color="#000000"/>
              <w:end w:sz="8.0" w:val="single" w:color="#000000"/>
              <w:bottom w:sz="8.0" w:val="single" w:color="#000000"/>
            </w:tcBorders>
            <w:tcMar>
              <w:start w:w="0" w:type="dxa"/>
              <w:end w:w="0" w:type="dxa"/>
            </w:tcMar>
          </w:tcPr>
          <w:p>
            <w:pPr>
              <w:autoSpaceDN w:val="0"/>
              <w:autoSpaceDE w:val="0"/>
              <w:widowControl/>
              <w:spacing w:line="233" w:lineRule="auto" w:before="350" w:after="0"/>
              <w:ind w:left="100" w:right="0" w:firstLine="0"/>
              <w:jc w:val="left"/>
            </w:pPr>
            <w:r>
              <w:rPr>
                <w:rFonts w:ascii="Times New Roman" w:hAnsi="Times New Roman" w:eastAsia="Times New Roman"/>
                <w:b w:val="0"/>
                <w:i w:val="0"/>
                <w:color w:val="000000"/>
                <w:sz w:val="13"/>
              </w:rPr>
              <w:t xml:space="preserve">SZM994 </w:t>
            </w:r>
          </w:p>
        </w:tc>
        <w:tc>
          <w:tcPr>
            <w:tcW w:type="dxa" w:w="784"/>
            <w:tcBorders>
              <w:start w:sz="8.0" w:val="single" w:color="#000000"/>
              <w:top w:sz="7.199999999999818" w:val="single" w:color="#000000"/>
              <w:end w:sz="7.199999999999932" w:val="single" w:color="#000000"/>
              <w:bottom w:sz="8.0" w:val="single" w:color="#000000"/>
            </w:tcBorders>
            <w:shd w:fill="ffffff"/>
            <w:tcMar>
              <w:start w:w="0" w:type="dxa"/>
              <w:end w:w="0" w:type="dxa"/>
            </w:tcMar>
          </w:tcPr>
          <w:p>
            <w:pPr>
              <w:autoSpaceDN w:val="0"/>
              <w:autoSpaceDE w:val="0"/>
              <w:widowControl/>
              <w:spacing w:line="164" w:lineRule="exact" w:before="0" w:after="0"/>
              <w:ind w:left="98" w:right="0" w:firstLine="0"/>
              <w:jc w:val="left"/>
            </w:pPr>
            <w:r>
              <w:rPr>
                <w:rFonts w:ascii="宋体" w:hAnsi="宋体" w:eastAsia="宋体"/>
                <w:b w:val="0"/>
                <w:i w:val="0"/>
                <w:color w:val="000000"/>
                <w:sz w:val="13"/>
              </w:rPr>
              <w:t>中银证券</w:t>
            </w:r>
            <w:r>
              <w:rPr>
                <w:rFonts w:ascii="宋体" w:hAnsi="宋体" w:eastAsia="宋体"/>
                <w:b w:val="0"/>
                <w:i w:val="0"/>
                <w:color w:val="000000"/>
                <w:sz w:val="13"/>
              </w:rPr>
              <w:t>晋证1 号</w:t>
            </w:r>
            <w:r>
              <w:rPr>
                <w:rFonts w:ascii="宋体" w:hAnsi="宋体" w:eastAsia="宋体"/>
                <w:b w:val="0"/>
                <w:i w:val="0"/>
                <w:color w:val="000000"/>
                <w:sz w:val="13"/>
              </w:rPr>
              <w:t>QDII 单一</w:t>
            </w:r>
            <w:r>
              <w:rPr>
                <w:rFonts w:ascii="宋体" w:hAnsi="宋体" w:eastAsia="宋体"/>
                <w:b w:val="0"/>
                <w:i w:val="0"/>
                <w:color w:val="000000"/>
                <w:sz w:val="13"/>
              </w:rPr>
              <w:t>资产管理</w:t>
            </w:r>
            <w:r>
              <w:rPr>
                <w:rFonts w:ascii="宋体" w:hAnsi="宋体" w:eastAsia="宋体"/>
                <w:b w:val="0"/>
                <w:i w:val="0"/>
                <w:color w:val="000000"/>
                <w:sz w:val="13"/>
              </w:rPr>
              <w:t xml:space="preserve">计划 </w:t>
            </w:r>
          </w:p>
        </w:tc>
        <w:tc>
          <w:tcPr>
            <w:tcW w:type="dxa" w:w="932"/>
            <w:tcBorders>
              <w:start w:sz="7.199999999999932" w:val="single" w:color="#000000"/>
              <w:top w:sz="7.199999999999818"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350" w:after="0"/>
              <w:ind w:left="0" w:right="66" w:firstLine="0"/>
              <w:jc w:val="right"/>
            </w:pPr>
            <w:r>
              <w:rPr>
                <w:rFonts w:ascii="Times New Roman" w:hAnsi="Times New Roman" w:eastAsia="Times New Roman"/>
                <w:b w:val="0"/>
                <w:i w:val="0"/>
                <w:color w:val="000000"/>
                <w:sz w:val="13"/>
              </w:rPr>
              <w:t xml:space="preserve">44,500.00 </w:t>
            </w:r>
          </w:p>
        </w:tc>
        <w:tc>
          <w:tcPr>
            <w:tcW w:type="dxa" w:w="628"/>
            <w:tcBorders>
              <w:start w:sz="8.0" w:val="single" w:color="#000000"/>
              <w:top w:sz="7.199999999999818" w:val="single" w:color="#000000"/>
              <w:end w:sz="8.0" w:val="single" w:color="#000000"/>
              <w:bottom w:sz="8.0" w:val="single" w:color="#000000"/>
            </w:tcBorders>
            <w:shd w:fill="ffffff"/>
            <w:tcMar>
              <w:start w:w="0" w:type="dxa"/>
              <w:end w:w="0" w:type="dxa"/>
            </w:tcMar>
          </w:tcPr>
          <w:p>
            <w:pPr>
              <w:autoSpaceDN w:val="0"/>
              <w:autoSpaceDE w:val="0"/>
              <w:widowControl/>
              <w:spacing w:line="168" w:lineRule="exact" w:before="234"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7.199999999999818"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350" w:after="0"/>
              <w:ind w:left="0" w:right="66" w:firstLine="0"/>
              <w:jc w:val="right"/>
            </w:pPr>
            <w:r>
              <w:rPr>
                <w:rFonts w:ascii="Times New Roman" w:hAnsi="Times New Roman" w:eastAsia="Times New Roman"/>
                <w:b w:val="0"/>
                <w:i w:val="0"/>
                <w:color w:val="000000"/>
                <w:sz w:val="13"/>
              </w:rPr>
              <w:t xml:space="preserve"> 32,235.77 </w:t>
            </w:r>
          </w:p>
        </w:tc>
        <w:tc>
          <w:tcPr>
            <w:tcW w:type="dxa" w:w="750"/>
            <w:tcBorders>
              <w:start w:sz="8.0" w:val="single" w:color="#000000"/>
              <w:top w:sz="7.199999999999818"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350" w:after="0"/>
              <w:ind w:left="0" w:right="0" w:firstLine="0"/>
              <w:jc w:val="center"/>
            </w:pPr>
            <w:r>
              <w:rPr>
                <w:rFonts w:ascii="Times New Roman" w:hAnsi="Times New Roman" w:eastAsia="Times New Roman"/>
                <w:b w:val="0"/>
                <w:i w:val="0"/>
                <w:color w:val="000000"/>
                <w:sz w:val="13"/>
              </w:rPr>
              <w:t xml:space="preserve"> 3,066.04 </w:t>
            </w:r>
          </w:p>
        </w:tc>
        <w:tc>
          <w:tcPr>
            <w:tcW w:type="dxa" w:w="700"/>
            <w:tcBorders>
              <w:start w:sz="7.199999999999818" w:val="single" w:color="#000000"/>
              <w:top w:sz="7.199999999999818"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424"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7.199999999999818" w:val="single" w:color="#000000"/>
              <w:end w:sz="8.0" w:val="single" w:color="#000000"/>
              <w:bottom w:sz="8.0" w:val="single" w:color="#000000"/>
            </w:tcBorders>
            <w:shd w:fill="ffffff"/>
            <w:tcMar>
              <w:start w:w="0" w:type="dxa"/>
              <w:end w:w="0" w:type="dxa"/>
            </w:tcMar>
          </w:tcPr>
          <w:p>
            <w:pPr>
              <w:autoSpaceDN w:val="0"/>
              <w:autoSpaceDE w:val="0"/>
              <w:widowControl/>
              <w:spacing w:line="233" w:lineRule="auto" w:before="350" w:after="0"/>
              <w:ind w:left="0" w:right="66" w:firstLine="0"/>
              <w:jc w:val="right"/>
            </w:pPr>
            <w:r>
              <w:rPr>
                <w:rFonts w:ascii="Times New Roman" w:hAnsi="Times New Roman" w:eastAsia="Times New Roman"/>
                <w:b w:val="0"/>
                <w:i w:val="0"/>
                <w:color w:val="000000"/>
                <w:sz w:val="13"/>
              </w:rPr>
              <w:t xml:space="preserve"> 14,500.00 </w:t>
            </w:r>
          </w:p>
        </w:tc>
        <w:tc>
          <w:tcPr>
            <w:tcW w:type="dxa" w:w="1230"/>
            <w:tcBorders>
              <w:start w:sz="8.0" w:val="single" w:color="#000000"/>
              <w:top w:sz="7.199999999999818" w:val="single" w:color="#000000"/>
              <w:end w:sz="7.200000000000273" w:val="single" w:color="#000000"/>
              <w:bottom w:sz="8.0" w:val="single" w:color="#000000"/>
            </w:tcBorders>
            <w:shd w:fill="ffffff"/>
            <w:tcMar>
              <w:start w:w="0" w:type="dxa"/>
              <w:end w:w="0" w:type="dxa"/>
            </w:tcMar>
          </w:tcPr>
          <w:p>
            <w:pPr>
              <w:autoSpaceDN w:val="0"/>
              <w:autoSpaceDE w:val="0"/>
              <w:widowControl/>
              <w:spacing w:line="233" w:lineRule="auto" w:before="350" w:after="0"/>
              <w:ind w:left="0" w:right="0" w:firstLine="0"/>
              <w:jc w:val="right"/>
            </w:pPr>
            <w:r>
              <w:rPr>
                <w:rFonts w:ascii="Times New Roman" w:hAnsi="Times New Roman" w:eastAsia="Times New Roman"/>
                <w:b w:val="0"/>
                <w:i w:val="0"/>
                <w:color w:val="000000"/>
                <w:sz w:val="13"/>
              </w:rPr>
              <w:t xml:space="preserve"> -    </w:t>
            </w:r>
          </w:p>
        </w:tc>
        <w:tc>
          <w:tcPr>
            <w:tcW w:type="dxa" w:w="840"/>
            <w:tcBorders>
              <w:start w:sz="7.200000000000273" w:val="single" w:color="#000000"/>
              <w:top w:sz="7.199999999999818" w:val="single" w:color="#000000"/>
              <w:end w:sz="7.199999999999818" w:val="single" w:color="#000000"/>
              <w:bottom w:sz="8.0" w:val="single" w:color="#000000"/>
            </w:tcBorders>
            <w:shd w:fill="ffffff"/>
            <w:tcMar>
              <w:start w:w="0" w:type="dxa"/>
              <w:end w:w="0" w:type="dxa"/>
            </w:tcMar>
          </w:tcPr>
          <w:p>
            <w:pPr>
              <w:autoSpaceDN w:val="0"/>
              <w:tabs>
                <w:tab w:pos="254" w:val="left"/>
              </w:tabs>
              <w:autoSpaceDE w:val="0"/>
              <w:widowControl/>
              <w:spacing w:line="233" w:lineRule="auto" w:before="350" w:after="0"/>
              <w:ind w:left="0" w:right="0" w:firstLine="0"/>
              <w:jc w:val="left"/>
            </w:pPr>
            <w:r>
              <w:rPr>
                <w:rFonts w:ascii="Times New Roman" w:hAnsi="Times New Roman" w:eastAsia="Times New Roman"/>
                <w:b w:val="0"/>
                <w:i w:val="0"/>
                <w:color w:val="000000"/>
                <w:sz w:val="13"/>
              </w:rPr>
              <w:t xml:space="preserve"> </w:t>
            </w:r>
            <w:r>
              <w:rPr>
                <w:rFonts w:ascii="Times New Roman" w:hAnsi="Times New Roman" w:eastAsia="Times New Roman"/>
                <w:b w:val="0"/>
                <w:i w:val="0"/>
                <w:color w:val="000000"/>
                <w:sz w:val="13"/>
              </w:rPr>
              <w:t xml:space="preserve"> 3,066.04 </w:t>
            </w:r>
          </w:p>
        </w:tc>
        <w:tc>
          <w:tcPr>
            <w:tcW w:type="dxa" w:w="948"/>
            <w:tcBorders>
              <w:start w:sz="7.199999999999818" w:val="single" w:color="#000000"/>
              <w:top w:sz="7.199999999999818" w:val="single" w:color="#000000"/>
              <w:end w:sz="7.199999999999818" w:val="single" w:color="#000000"/>
              <w:bottom w:sz="8.0" w:val="single" w:color="#000000"/>
            </w:tcBorders>
            <w:shd w:fill="ffffff"/>
            <w:tcMar>
              <w:start w:w="0" w:type="dxa"/>
              <w:end w:w="0" w:type="dxa"/>
            </w:tcMar>
          </w:tcPr>
          <w:p>
            <w:pPr>
              <w:autoSpaceDN w:val="0"/>
              <w:autoSpaceDE w:val="0"/>
              <w:widowControl/>
              <w:spacing w:line="233" w:lineRule="auto" w:before="350" w:after="0"/>
              <w:ind w:left="0" w:right="64" w:firstLine="0"/>
              <w:jc w:val="right"/>
            </w:pPr>
            <w:r>
              <w:rPr>
                <w:rFonts w:ascii="Times New Roman" w:hAnsi="Times New Roman" w:eastAsia="Times New Roman"/>
                <w:b w:val="0"/>
                <w:i w:val="0"/>
                <w:color w:val="000000"/>
                <w:sz w:val="13"/>
              </w:rPr>
              <w:t xml:space="preserve"> 49,801.80 </w:t>
            </w:r>
          </w:p>
        </w:tc>
        <w:tc>
          <w:tcPr>
            <w:tcW w:type="dxa" w:w="670"/>
            <w:tcBorders>
              <w:start w:sz="7.199999999999818" w:val="single" w:color="#000000"/>
              <w:top w:sz="7.199999999999818" w:val="single" w:color="#000000"/>
              <w:end w:sz="7.199999999999818" w:val="single" w:color="#000000"/>
              <w:bottom w:sz="8.0" w:val="single" w:color="#000000"/>
            </w:tcBorders>
            <w:shd w:fill="ffffff"/>
            <w:tcMar>
              <w:start w:w="0" w:type="dxa"/>
              <w:end w:w="0" w:type="dxa"/>
            </w:tcMar>
          </w:tcPr>
          <w:p>
            <w:pPr>
              <w:autoSpaceDN w:val="0"/>
              <w:autoSpaceDE w:val="0"/>
              <w:widowControl/>
              <w:spacing w:line="170" w:lineRule="exact" w:before="148"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7.199999999999818" w:val="single" w:color="#000000"/>
              <w:end w:sz="7.199999999999818" w:val="single" w:color="#000000"/>
              <w:bottom w:sz="8.0" w:val="single" w:color="#000000"/>
            </w:tcBorders>
            <w:shd w:fill="ffffff"/>
            <w:tcMar>
              <w:start w:w="0" w:type="dxa"/>
              <w:end w:w="0" w:type="dxa"/>
            </w:tcMar>
          </w:tcPr>
          <w:p>
            <w:pPr>
              <w:autoSpaceDN w:val="0"/>
              <w:autoSpaceDE w:val="0"/>
              <w:widowControl/>
              <w:spacing w:line="168" w:lineRule="exact" w:before="234"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526"/>
        </w:trPr>
        <w:tc>
          <w:tcPr>
            <w:tcW w:type="dxa" w:w="552"/>
            <w:tcBorders>
              <w:start w:sz="7.200000000000003" w:val="single" w:color="#000000"/>
              <w:top w:sz="8.0" w:val="single" w:color="#000000"/>
              <w:end w:sz="7.199999999999989" w:val="single" w:color="#000000"/>
              <w:bottom w:sz="7.199999999999818" w:val="single" w:color="#000000"/>
            </w:tcBorders>
            <w:tcMar>
              <w:start w:w="0" w:type="dxa"/>
              <w:end w:w="0" w:type="dxa"/>
            </w:tcMar>
          </w:tcPr>
          <w:p>
            <w:pPr>
              <w:autoSpaceDN w:val="0"/>
              <w:autoSpaceDE w:val="0"/>
              <w:widowControl/>
              <w:spacing w:line="162" w:lineRule="exact" w:before="0" w:after="0"/>
              <w:ind w:left="98" w:right="110" w:firstLine="0"/>
              <w:jc w:val="both"/>
            </w:pPr>
            <w:r>
              <w:rPr>
                <w:rFonts w:ascii="宋体" w:hAnsi="宋体" w:eastAsia="宋体"/>
                <w:b w:val="0"/>
                <w:i w:val="0"/>
                <w:color w:val="000000"/>
                <w:sz w:val="13"/>
              </w:rPr>
              <w:t>货币</w:t>
            </w:r>
            <w:r>
              <w:br/>
            </w:r>
            <w:r>
              <w:rPr>
                <w:rFonts w:ascii="宋体" w:hAnsi="宋体" w:eastAsia="宋体"/>
                <w:b w:val="0"/>
                <w:i w:val="0"/>
                <w:color w:val="000000"/>
                <w:sz w:val="13"/>
              </w:rPr>
              <w:t>市场</w:t>
            </w:r>
            <w:r>
              <w:br/>
            </w:r>
            <w:r>
              <w:rPr>
                <w:rFonts w:ascii="宋体" w:hAnsi="宋体" w:eastAsia="宋体"/>
                <w:b w:val="0"/>
                <w:i w:val="0"/>
                <w:color w:val="000000"/>
                <w:sz w:val="13"/>
              </w:rPr>
              <w:t xml:space="preserve">基金 </w:t>
            </w:r>
          </w:p>
        </w:tc>
        <w:tc>
          <w:tcPr>
            <w:tcW w:type="dxa" w:w="820"/>
            <w:tcBorders>
              <w:start w:sz="7.199999999999989" w:val="single" w:color="#000000"/>
              <w:top w:sz="8.0" w:val="single" w:color="#000000"/>
              <w:end w:sz="8.0" w:val="single" w:color="#000000"/>
              <w:bottom w:sz="7.199999999999818" w:val="single" w:color="#000000"/>
            </w:tcBorders>
            <w:tcMar>
              <w:start w:w="0" w:type="dxa"/>
              <w:end w:w="0" w:type="dxa"/>
            </w:tcMar>
          </w:tcPr>
          <w:p>
            <w:pPr>
              <w:autoSpaceDN w:val="0"/>
              <w:autoSpaceDE w:val="0"/>
              <w:widowControl/>
              <w:spacing w:line="233" w:lineRule="auto" w:before="182" w:after="0"/>
              <w:ind w:left="0" w:right="0" w:firstLine="0"/>
              <w:jc w:val="center"/>
            </w:pPr>
            <w:r>
              <w:rPr>
                <w:rFonts w:ascii="Times New Roman" w:hAnsi="Times New Roman" w:eastAsia="Times New Roman"/>
                <w:b w:val="0"/>
                <w:i w:val="0"/>
                <w:color w:val="000000"/>
                <w:sz w:val="13"/>
              </w:rPr>
              <w:t xml:space="preserve">001176.OF </w:t>
            </w:r>
          </w:p>
        </w:tc>
        <w:tc>
          <w:tcPr>
            <w:tcW w:type="dxa" w:w="784"/>
            <w:tcBorders>
              <w:start w:sz="8.0" w:val="single" w:color="#000000"/>
              <w:top w:sz="8.0" w:val="single" w:color="#000000"/>
              <w:end w:sz="7.199999999999932" w:val="single" w:color="#000000"/>
              <w:bottom w:sz="7.199999999999818" w:val="single" w:color="#000000"/>
            </w:tcBorders>
            <w:shd w:fill="ffffff"/>
            <w:tcMar>
              <w:start w:w="0" w:type="dxa"/>
              <w:end w:w="0" w:type="dxa"/>
            </w:tcMar>
          </w:tcPr>
          <w:p>
            <w:pPr>
              <w:autoSpaceDN w:val="0"/>
              <w:autoSpaceDE w:val="0"/>
              <w:widowControl/>
              <w:spacing w:line="162" w:lineRule="exact" w:before="0" w:after="0"/>
              <w:ind w:left="98" w:right="150" w:firstLine="0"/>
              <w:jc w:val="both"/>
            </w:pPr>
            <w:r>
              <w:rPr>
                <w:rFonts w:ascii="宋体" w:hAnsi="宋体" w:eastAsia="宋体"/>
                <w:b w:val="0"/>
                <w:i w:val="0"/>
                <w:color w:val="000000"/>
                <w:sz w:val="13"/>
              </w:rPr>
              <w:t>山证资管</w:t>
            </w:r>
            <w:r>
              <w:rPr>
                <w:rFonts w:ascii="宋体" w:hAnsi="宋体" w:eastAsia="宋体"/>
                <w:b w:val="0"/>
                <w:i w:val="0"/>
                <w:color w:val="000000"/>
                <w:sz w:val="13"/>
              </w:rPr>
              <w:t>日日添利</w:t>
            </w:r>
            <w:r>
              <w:rPr>
                <w:rFonts w:ascii="宋体" w:hAnsi="宋体" w:eastAsia="宋体"/>
                <w:b w:val="0"/>
                <w:i w:val="0"/>
                <w:color w:val="000000"/>
                <w:sz w:val="13"/>
              </w:rPr>
              <w:t xml:space="preserve">B </w:t>
            </w:r>
          </w:p>
        </w:tc>
        <w:tc>
          <w:tcPr>
            <w:tcW w:type="dxa" w:w="932"/>
            <w:tcBorders>
              <w:start w:sz="7.199999999999932"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45,901.42 </w:t>
            </w:r>
          </w:p>
        </w:tc>
        <w:tc>
          <w:tcPr>
            <w:tcW w:type="dxa" w:w="628"/>
            <w:tcBorders>
              <w:start w:sz="8.0" w:val="single" w:color="#000000"/>
              <w:top w:sz="8.0" w:val="single" w:color="#000000"/>
              <w:end w:sz="8.0" w:val="single" w:color="#000000"/>
              <w:bottom w:sz="3.199999999999818" w:val="single" w:color="#000000"/>
            </w:tcBorders>
            <w:shd w:fill="ffffff"/>
            <w:tcMar>
              <w:start w:w="0" w:type="dxa"/>
              <w:end w:w="0" w:type="dxa"/>
            </w:tcMar>
          </w:tcPr>
          <w:p>
            <w:pPr>
              <w:autoSpaceDN w:val="0"/>
              <w:autoSpaceDE w:val="0"/>
              <w:widowControl/>
              <w:spacing w:line="168" w:lineRule="exact" w:before="68" w:after="0"/>
              <w:ind w:left="0" w:right="0" w:firstLine="0"/>
              <w:jc w:val="center"/>
            </w:pPr>
            <w:r>
              <w:rPr>
                <w:rFonts w:ascii="宋体" w:hAnsi="宋体" w:eastAsia="宋体"/>
                <w:b w:val="0"/>
                <w:i w:val="0"/>
                <w:color w:val="000000"/>
                <w:sz w:val="13"/>
              </w:rPr>
              <w:t>公允价</w:t>
            </w:r>
            <w:r>
              <w:br/>
            </w:r>
            <w:r>
              <w:rPr>
                <w:rFonts w:ascii="宋体" w:hAnsi="宋体" w:eastAsia="宋体"/>
                <w:b w:val="0"/>
                <w:i w:val="0"/>
                <w:color w:val="000000"/>
                <w:sz w:val="13"/>
              </w:rPr>
              <w:t xml:space="preserve">值计量 </w:t>
            </w:r>
          </w:p>
        </w:tc>
        <w:tc>
          <w:tcPr>
            <w:tcW w:type="dxa" w:w="948"/>
            <w:tcBorders>
              <w:start w:sz="8.0" w:val="single" w:color="#000000"/>
              <w:top w:sz="8.0" w:val="single" w:color="#000000"/>
              <w:end w:sz="8.0" w:val="single" w:color="#000000"/>
              <w:bottom w:sz="3.199999999999818"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45,835.99 </w:t>
            </w:r>
          </w:p>
        </w:tc>
        <w:tc>
          <w:tcPr>
            <w:tcW w:type="dxa" w:w="750"/>
            <w:tcBorders>
              <w:start w:sz="8.0"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 </w:t>
            </w:r>
          </w:p>
        </w:tc>
        <w:tc>
          <w:tcPr>
            <w:tcW w:type="dxa" w:w="700"/>
            <w:tcBorders>
              <w:start w:sz="7.199999999999818"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28" w:lineRule="auto" w:before="258" w:after="0"/>
              <w:ind w:left="0" w:right="66" w:firstLine="0"/>
              <w:jc w:val="right"/>
            </w:pPr>
            <w:r>
              <w:rPr>
                <w:rFonts w:ascii="Times New Roman" w:hAnsi="Times New Roman" w:eastAsia="Times New Roman"/>
                <w:b w:val="0"/>
                <w:i w:val="0"/>
                <w:color w:val="000000"/>
                <w:sz w:val="13"/>
              </w:rPr>
              <w:t xml:space="preserve">- </w:t>
            </w:r>
          </w:p>
        </w:tc>
        <w:tc>
          <w:tcPr>
            <w:tcW w:type="dxa" w:w="1200"/>
            <w:tcBorders>
              <w:start w:sz="8.0" w:val="single" w:color="#000000"/>
              <w:top w:sz="8.0" w:val="single" w:color="#000000"/>
              <w:end w:sz="8.0"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826.36 </w:t>
            </w:r>
          </w:p>
        </w:tc>
        <w:tc>
          <w:tcPr>
            <w:tcW w:type="dxa" w:w="1230"/>
            <w:tcBorders>
              <w:start w:sz="8.0" w:val="single" w:color="#000000"/>
              <w:top w:sz="8.0" w:val="single" w:color="#000000"/>
              <w:end w:sz="7.200000000000273"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 </w:t>
            </w:r>
          </w:p>
        </w:tc>
        <w:tc>
          <w:tcPr>
            <w:tcW w:type="dxa" w:w="840"/>
            <w:tcBorders>
              <w:start w:sz="7.200000000000273"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6" w:firstLine="0"/>
              <w:jc w:val="right"/>
            </w:pPr>
            <w:r>
              <w:rPr>
                <w:rFonts w:ascii="Times New Roman" w:hAnsi="Times New Roman" w:eastAsia="Times New Roman"/>
                <w:b w:val="0"/>
                <w:i w:val="0"/>
                <w:color w:val="000000"/>
                <w:sz w:val="13"/>
              </w:rPr>
              <w:t xml:space="preserve"> 826.36 </w:t>
            </w:r>
          </w:p>
        </w:tc>
        <w:tc>
          <w:tcPr>
            <w:tcW w:type="dxa" w:w="948"/>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233" w:lineRule="auto" w:before="182" w:after="0"/>
              <w:ind w:left="0" w:right="64" w:firstLine="0"/>
              <w:jc w:val="right"/>
            </w:pPr>
            <w:r>
              <w:rPr>
                <w:rFonts w:ascii="Times New Roman" w:hAnsi="Times New Roman" w:eastAsia="Times New Roman"/>
                <w:b w:val="0"/>
                <w:i w:val="0"/>
                <w:color w:val="000000"/>
                <w:sz w:val="13"/>
              </w:rPr>
              <w:t xml:space="preserve"> 45,901.42 </w:t>
            </w:r>
          </w:p>
        </w:tc>
        <w:tc>
          <w:tcPr>
            <w:tcW w:type="dxa" w:w="670"/>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2" w:lineRule="exact" w:before="0" w:after="0"/>
              <w:ind w:left="98" w:right="164" w:firstLine="0"/>
              <w:jc w:val="both"/>
            </w:pPr>
            <w:r>
              <w:rPr>
                <w:rFonts w:ascii="宋体" w:hAnsi="宋体" w:eastAsia="宋体"/>
                <w:b w:val="0"/>
                <w:i w:val="0"/>
                <w:color w:val="000000"/>
                <w:sz w:val="13"/>
              </w:rPr>
              <w:t>交易性</w:t>
            </w:r>
            <w:r>
              <w:rPr>
                <w:rFonts w:ascii="宋体" w:hAnsi="宋体" w:eastAsia="宋体"/>
                <w:b w:val="0"/>
                <w:i w:val="0"/>
                <w:color w:val="000000"/>
                <w:sz w:val="13"/>
              </w:rPr>
              <w:t>金融资</w:t>
            </w:r>
            <w:r>
              <w:rPr>
                <w:rFonts w:ascii="宋体" w:hAnsi="宋体" w:eastAsia="宋体"/>
                <w:b w:val="0"/>
                <w:i w:val="0"/>
                <w:color w:val="000000"/>
                <w:sz w:val="13"/>
              </w:rPr>
              <w:t xml:space="preserve">产 </w:t>
            </w:r>
          </w:p>
        </w:tc>
        <w:tc>
          <w:tcPr>
            <w:tcW w:type="dxa" w:w="550"/>
            <w:tcBorders>
              <w:start w:sz="7.199999999999818" w:val="single" w:color="#000000"/>
              <w:top w:sz="8.0" w:val="single" w:color="#000000"/>
              <w:end w:sz="7.199999999999818" w:val="single" w:color="#000000"/>
              <w:bottom w:sz="7.199999999999818" w:val="single" w:color="#000000"/>
            </w:tcBorders>
            <w:shd w:fill="ffffff"/>
            <w:tcMar>
              <w:start w:w="0" w:type="dxa"/>
              <w:end w:w="0" w:type="dxa"/>
            </w:tcMar>
          </w:tcPr>
          <w:p>
            <w:pPr>
              <w:autoSpaceDN w:val="0"/>
              <w:autoSpaceDE w:val="0"/>
              <w:widowControl/>
              <w:spacing w:line="168" w:lineRule="exact" w:before="68" w:after="0"/>
              <w:ind w:left="0" w:right="0" w:firstLine="0"/>
              <w:jc w:val="center"/>
            </w:pPr>
            <w:r>
              <w:rPr>
                <w:rFonts w:ascii="宋体" w:hAnsi="宋体" w:eastAsia="宋体"/>
                <w:b w:val="0"/>
                <w:i w:val="0"/>
                <w:color w:val="000000"/>
                <w:sz w:val="13"/>
              </w:rPr>
              <w:t>自有</w:t>
            </w:r>
            <w:r>
              <w:br/>
            </w:r>
            <w:r>
              <w:rPr>
                <w:rFonts w:ascii="宋体" w:hAnsi="宋体" w:eastAsia="宋体"/>
                <w:b w:val="0"/>
                <w:i w:val="0"/>
                <w:color w:val="000000"/>
                <w:sz w:val="13"/>
              </w:rPr>
              <w:t xml:space="preserve">资金 </w:t>
            </w:r>
          </w:p>
        </w:tc>
      </w:tr>
      <w:tr>
        <w:trPr>
          <w:trHeight w:hRule="exact" w:val="302"/>
        </w:trPr>
        <w:tc>
          <w:tcPr>
            <w:tcW w:type="dxa" w:w="2156"/>
            <w:gridSpan w:val="3"/>
            <w:tcBorders>
              <w:start w:sz="7.200000000000003" w:val="single" w:color="#000000"/>
              <w:top w:sz="7.199999999999818" w:val="single" w:color="#000000"/>
              <w:end w:sz="7.199999999999932" w:val="single" w:color="#000000"/>
              <w:bottom w:sz="4.0"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30" w:lineRule="exact" w:before="78" w:after="0"/>
              <w:ind w:left="98" w:right="0" w:firstLine="0"/>
              <w:jc w:val="left"/>
            </w:pPr>
            <w:r>
              <w:rPr>
                <w:rFonts w:ascii="宋体" w:hAnsi="宋体" w:eastAsia="宋体"/>
                <w:b w:val="0"/>
                <w:i w:val="0"/>
                <w:color w:val="000000"/>
                <w:sz w:val="13"/>
              </w:rPr>
              <w:t xml:space="preserve">期末持有的其他证券投资 </w:t>
            </w:r>
          </w:p>
        </w:tc>
        <w:tc>
          <w:tcPr>
            <w:tcW w:type="dxa" w:w="932"/>
            <w:tcBorders>
              <w:start w:sz="7.199999999999932" w:val="single" w:color="#000000"/>
              <w:top w:sz="7.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2,998,849.94 </w:t>
            </w:r>
          </w:p>
        </w:tc>
        <w:tc>
          <w:tcPr>
            <w:tcW w:type="dxa" w:w="628"/>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3"/>
              </w:rPr>
              <w:t xml:space="preserve">-- </w:t>
            </w:r>
          </w:p>
        </w:tc>
        <w:tc>
          <w:tcPr>
            <w:tcW w:type="dxa" w:w="94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78" w:after="0"/>
              <w:ind w:left="154" w:right="0" w:firstLine="0"/>
              <w:jc w:val="left"/>
            </w:pPr>
            <w:r>
              <w:rPr>
                <w:rFonts w:ascii="Times New Roman" w:hAnsi="Times New Roman" w:eastAsia="Times New Roman"/>
                <w:b w:val="0"/>
                <w:i w:val="0"/>
                <w:color w:val="000000"/>
                <w:sz w:val="13"/>
              </w:rPr>
              <w:t xml:space="preserve">3,388,839.77 </w:t>
            </w:r>
          </w:p>
        </w:tc>
        <w:tc>
          <w:tcPr>
            <w:tcW w:type="dxa" w:w="750"/>
            <w:tcBorders>
              <w:start w:sz="4.0" w:val="single" w:color="#000000"/>
              <w:top w:sz="7.199999999999818" w:val="single" w:color="#000000"/>
              <w:end w:sz="7.199999999999818" w:val="single" w:color="#000000"/>
              <w:bottom w:sz="4.0" w:val="single" w:color="#000000"/>
            </w:tcBorders>
            <w:shd w:fill="ffffff"/>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-2,779.68 </w:t>
            </w:r>
          </w:p>
        </w:tc>
        <w:tc>
          <w:tcPr>
            <w:tcW w:type="dxa" w:w="700"/>
            <w:tcBorders>
              <w:start w:sz="7.199999999999818" w:val="single" w:color="#000000"/>
              <w:top w:sz="7.199999999999818" w:val="single" w:color="#000000"/>
              <w:end w:sz="8.0" w:val="single" w:color="#000000"/>
              <w:bottom w:sz="4.0" w:val="single" w:color="#000000"/>
            </w:tcBorders>
            <w:shd w:fill="ffffff"/>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1,598.91 </w:t>
            </w:r>
          </w:p>
        </w:tc>
        <w:tc>
          <w:tcPr>
            <w:tcW w:type="dxa" w:w="1200"/>
            <w:tcBorders>
              <w:start w:sz="8.0" w:val="single" w:color="#000000"/>
              <w:top w:sz="7.199999999999818" w:val="single" w:color="#000000"/>
              <w:end w:sz="8.0" w:val="single" w:color="#000000"/>
              <w:bottom w:sz="4.0" w:val="single" w:color="#000000"/>
            </w:tcBorders>
            <w:shd w:fill="ffffff"/>
            <w:tcMar>
              <w:start w:w="0" w:type="dxa"/>
              <w:end w:w="0" w:type="dxa"/>
            </w:tcMar>
          </w:tcPr>
          <w:p>
            <w:pPr>
              <w:autoSpaceDN w:val="0"/>
              <w:autoSpaceDE w:val="0"/>
              <w:widowControl/>
              <w:spacing w:line="233" w:lineRule="auto" w:before="72" w:after="0"/>
              <w:ind w:left="172" w:right="0" w:firstLine="0"/>
              <w:jc w:val="left"/>
            </w:pPr>
            <w:r>
              <w:rPr>
                <w:rFonts w:ascii="Times New Roman" w:hAnsi="Times New Roman" w:eastAsia="Times New Roman"/>
                <w:b w:val="0"/>
                <w:i w:val="0"/>
                <w:color w:val="000000"/>
                <w:sz w:val="13"/>
              </w:rPr>
              <w:t xml:space="preserve">1,333,859,677.80 </w:t>
            </w:r>
          </w:p>
        </w:tc>
        <w:tc>
          <w:tcPr>
            <w:tcW w:type="dxa" w:w="1230"/>
            <w:tcBorders>
              <w:start w:sz="8.0" w:val="single" w:color="#000000"/>
              <w:top w:sz="7.199999999999818" w:val="single" w:color="#000000"/>
              <w:end w:sz="7.200000000000273" w:val="single" w:color="#000000"/>
              <w:bottom w:sz="4.0" w:val="single" w:color="#000000"/>
            </w:tcBorders>
            <w:shd w:fill="ffffff"/>
            <w:tcMar>
              <w:start w:w="0" w:type="dxa"/>
              <w:end w:w="0" w:type="dxa"/>
            </w:tcMar>
          </w:tcPr>
          <w:p>
            <w:pPr>
              <w:autoSpaceDN w:val="0"/>
              <w:autoSpaceDE w:val="0"/>
              <w:widowControl/>
              <w:spacing w:line="233" w:lineRule="auto" w:before="72" w:after="0"/>
              <w:ind w:left="204" w:right="0" w:firstLine="0"/>
              <w:jc w:val="left"/>
            </w:pPr>
            <w:r>
              <w:rPr>
                <w:rFonts w:ascii="Times New Roman" w:hAnsi="Times New Roman" w:eastAsia="Times New Roman"/>
                <w:b w:val="0"/>
                <w:i w:val="0"/>
                <w:color w:val="000000"/>
                <w:sz w:val="13"/>
              </w:rPr>
              <w:t xml:space="preserve">1,334,187,659.87 </w:t>
            </w:r>
          </w:p>
        </w:tc>
        <w:tc>
          <w:tcPr>
            <w:tcW w:type="dxa" w:w="840"/>
            <w:tcBorders>
              <w:start w:sz="7.200000000000273" w:val="single" w:color="#000000"/>
              <w:top w:sz="7.199999999999818" w:val="single" w:color="#000000"/>
              <w:end w:sz="7.199999999999818" w:val="single" w:color="#000000"/>
              <w:bottom w:sz="4.0" w:val="single" w:color="#000000"/>
            </w:tcBorders>
            <w:shd w:fill="ffffff"/>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137,943.90 </w:t>
            </w:r>
          </w:p>
        </w:tc>
        <w:tc>
          <w:tcPr>
            <w:tcW w:type="dxa" w:w="948"/>
            <w:tcBorders>
              <w:start w:sz="7.199999999999818" w:val="single" w:color="#000000"/>
              <w:top w:sz="7.199999999999818" w:val="single" w:color="#000000"/>
              <w:end w:sz="7.199999999999818" w:val="single" w:color="#000000"/>
              <w:bottom w:sz="4.0" w:val="single" w:color="#000000"/>
            </w:tcBorders>
            <w:shd w:fill="ffffff"/>
            <w:tcMar>
              <w:start w:w="0" w:type="dxa"/>
              <w:end w:w="0" w:type="dxa"/>
            </w:tcMar>
          </w:tcPr>
          <w:p>
            <w:pPr>
              <w:autoSpaceDN w:val="0"/>
              <w:autoSpaceDE w:val="0"/>
              <w:widowControl/>
              <w:spacing w:line="233" w:lineRule="auto" w:before="72" w:after="0"/>
              <w:ind w:left="150" w:right="0" w:firstLine="0"/>
              <w:jc w:val="left"/>
            </w:pPr>
            <w:r>
              <w:rPr>
                <w:rFonts w:ascii="Times New Roman" w:hAnsi="Times New Roman" w:eastAsia="Times New Roman"/>
                <w:b w:val="0"/>
                <w:i w:val="0"/>
                <w:color w:val="000000"/>
                <w:sz w:val="13"/>
              </w:rPr>
              <w:t xml:space="preserve">2,936,265.81 </w:t>
            </w:r>
          </w:p>
        </w:tc>
        <w:tc>
          <w:tcPr>
            <w:tcW w:type="dxa" w:w="670"/>
            <w:tcBorders>
              <w:start w:sz="7.199999999999818" w:val="single" w:color="#000000"/>
              <w:top w:sz="7.199999999999818" w:val="single" w:color="#000000"/>
              <w:end w:sz="7.199999999999818" w:val="single" w:color="#000000"/>
              <w:bottom w:sz="4.0" w:val="single" w:color="#000000"/>
            </w:tcBorders>
            <w:shd w:fill="d2d2d2"/>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 </w:t>
            </w:r>
          </w:p>
        </w:tc>
        <w:tc>
          <w:tcPr>
            <w:tcW w:type="dxa" w:w="550"/>
            <w:tcBorders>
              <w:start w:sz="7.199999999999818" w:val="single" w:color="#000000"/>
              <w:top w:sz="7.199999999999818" w:val="single" w:color="#000000"/>
              <w:end w:sz="7.199999999999818" w:val="single" w:color="#000000"/>
              <w:bottom w:sz="4.0" w:val="single" w:color="#000000"/>
            </w:tcBorders>
            <w:shd w:fill="d2d2d2"/>
            <w:tcMar>
              <w:start w:w="0" w:type="dxa"/>
              <w:end w:w="0" w:type="dxa"/>
            </w:tcMar>
          </w:tcPr>
          <w:p>
            <w:pPr>
              <w:autoSpaceDN w:val="0"/>
              <w:autoSpaceDE w:val="0"/>
              <w:widowControl/>
              <w:spacing w:line="233" w:lineRule="auto" w:before="72" w:after="0"/>
              <w:ind w:left="0" w:right="0" w:firstLine="0"/>
              <w:jc w:val="center"/>
            </w:pPr>
            <w:r>
              <w:rPr>
                <w:rFonts w:ascii="Times New Roman" w:hAnsi="Times New Roman" w:eastAsia="Times New Roman"/>
                <w:b w:val="0"/>
                <w:i w:val="0"/>
                <w:color w:val="000000"/>
                <w:sz w:val="13"/>
              </w:rPr>
              <w:t xml:space="preserve">-- </w:t>
            </w:r>
          </w:p>
        </w:tc>
      </w:tr>
      <w:tr>
        <w:trPr>
          <w:trHeight w:hRule="exact" w:val="294"/>
        </w:trPr>
        <w:tc>
          <w:tcPr>
            <w:tcW w:type="dxa" w:w="2156"/>
            <w:gridSpan w:val="3"/>
            <w:tcBorders>
              <w:start w:sz="4.0" w:val="single" w:color="#000000"/>
              <w:top w:sz="4.0" w:val="single" w:color="#000000"/>
              <w:end w:sz="4.0" w:val="single" w:color="#000000"/>
              <w:bottom w:sz="3.199999999999818"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30" w:lineRule="exact" w:before="78" w:after="0"/>
              <w:ind w:left="102" w:right="0" w:firstLine="0"/>
              <w:jc w:val="left"/>
            </w:pPr>
            <w:r>
              <w:rPr>
                <w:rFonts w:ascii="宋体" w:hAnsi="宋体" w:eastAsia="宋体"/>
                <w:b w:val="0"/>
                <w:i w:val="0"/>
                <w:color w:val="000000"/>
                <w:sz w:val="13"/>
              </w:rPr>
              <w:t xml:space="preserve">合计 </w:t>
            </w:r>
          </w:p>
        </w:tc>
        <w:tc>
          <w:tcPr>
            <w:tcW w:type="dxa" w:w="932"/>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3,595,519.87 </w:t>
            </w:r>
          </w:p>
        </w:tc>
        <w:tc>
          <w:tcPr>
            <w:tcW w:type="dxa" w:w="628"/>
            <w:tcBorders>
              <w:start w:sz="4.0" w:val="single" w:color="#000000"/>
              <w:top w:sz="4.0" w:val="single" w:color="#000000"/>
              <w:end w:sz="4.0" w:val="single" w:color="#000000"/>
              <w:bottom w:sz="3.199999999999818" w:val="single" w:color="#000000"/>
            </w:tcBorders>
            <w:shd w:fill="ffffff"/>
            <w:tcMar>
              <w:start w:w="0" w:type="dxa"/>
              <w:end w:w="0" w:type="dxa"/>
            </w:tcMar>
          </w:tcPr>
          <w:tbl>
            <w:tblPr>
              <w:tblW w:type="auto" w:w="0"/>
              <w:tblLayout w:type="fixed"/>
              <w:tblLook w:firstColumn="1" w:firstRow="1" w:lastColumn="0" w:lastRow="0" w:noHBand="0" w:noVBand="1" w:val="04A0"/>
              <w:tblInd w:w="0.0" w:type="dxa"/>
            </w:tblPr>
            <w:tblGrid>
              <w:gridCol w:w="628"/>
            </w:tblGrid>
            <w:tr>
              <w:trPr>
                <w:trHeight w:hRule="exact" w:val="266"/>
              </w:trPr>
              <w:tc>
                <w:tcPr>
                  <w:tcW w:type="dxa" w:w="616"/>
                  <w:tcBorders/>
                  <w:shd w:fill="d2d2d2"/>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 </w:t>
                  </w:r>
                </w:p>
              </w:tc>
            </w:tr>
          </w:tbl>
          <w:p>
            <w:pPr>
              <w:autoSpaceDN w:val="0"/>
              <w:autoSpaceDE w:val="0"/>
              <w:widowControl/>
              <w:spacing w:line="14" w:lineRule="exact" w:before="0" w:after="0"/>
              <w:ind w:left="0" w:right="0"/>
            </w:pPr>
          </w:p>
        </w:tc>
        <w:tc>
          <w:tcPr>
            <w:tcW w:type="dxa" w:w="94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154" w:right="0" w:firstLine="0"/>
              <w:jc w:val="left"/>
            </w:pPr>
            <w:r>
              <w:rPr>
                <w:rFonts w:ascii="Times New Roman" w:hAnsi="Times New Roman" w:eastAsia="Times New Roman"/>
                <w:b w:val="0"/>
                <w:i w:val="0"/>
                <w:color w:val="000000"/>
                <w:sz w:val="13"/>
              </w:rPr>
              <w:t xml:space="preserve">3,741,906.37 </w:t>
            </w:r>
          </w:p>
        </w:tc>
        <w:tc>
          <w:tcPr>
            <w:tcW w:type="dxa" w:w="75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13,750.62 </w:t>
            </w:r>
          </w:p>
        </w:tc>
        <w:tc>
          <w:tcPr>
            <w:tcW w:type="dxa" w:w="70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1,598.91 </w:t>
            </w:r>
          </w:p>
        </w:tc>
        <w:tc>
          <w:tcPr>
            <w:tcW w:type="dxa" w:w="1200"/>
            <w:tcBorders>
              <w:start w:sz="4.0"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176" w:right="0" w:firstLine="0"/>
              <w:jc w:val="left"/>
            </w:pPr>
            <w:r>
              <w:rPr>
                <w:rFonts w:ascii="Times New Roman" w:hAnsi="Times New Roman" w:eastAsia="Times New Roman"/>
                <w:b w:val="0"/>
                <w:i w:val="0"/>
                <w:color w:val="000000"/>
                <w:sz w:val="13"/>
              </w:rPr>
              <w:t xml:space="preserve">1,336,731,965.09 </w:t>
            </w:r>
          </w:p>
        </w:tc>
        <w:tc>
          <w:tcPr>
            <w:tcW w:type="dxa" w:w="123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210" w:right="0" w:firstLine="0"/>
              <w:jc w:val="left"/>
            </w:pPr>
            <w:r>
              <w:rPr>
                <w:rFonts w:ascii="Times New Roman" w:hAnsi="Times New Roman" w:eastAsia="Times New Roman"/>
                <w:b w:val="0"/>
                <w:i w:val="0"/>
                <w:color w:val="000000"/>
                <w:sz w:val="13"/>
              </w:rPr>
              <w:t xml:space="preserve">1,336,705,208.69 </w:t>
            </w:r>
          </w:p>
        </w:tc>
        <w:tc>
          <w:tcPr>
            <w:tcW w:type="dxa" w:w="84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161,750.69 </w:t>
            </w:r>
          </w:p>
        </w:tc>
        <w:tc>
          <w:tcPr>
            <w:tcW w:type="dxa" w:w="94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8" w:lineRule="auto" w:before="72" w:after="0"/>
              <w:ind w:left="154" w:right="0" w:firstLine="0"/>
              <w:jc w:val="left"/>
            </w:pPr>
            <w:r>
              <w:rPr>
                <w:rFonts w:ascii="Times New Roman" w:hAnsi="Times New Roman" w:eastAsia="Times New Roman"/>
                <w:b w:val="0"/>
                <w:i w:val="0"/>
                <w:color w:val="000000"/>
                <w:sz w:val="13"/>
              </w:rPr>
              <w:t xml:space="preserve">3,640,166.13 </w:t>
            </w:r>
          </w:p>
        </w:tc>
        <w:tc>
          <w:tcPr>
            <w:tcW w:type="dxa" w:w="670"/>
            <w:tcBorders>
              <w:start w:sz="4.0" w:val="single" w:color="#000000"/>
              <w:top w:sz="4.0" w:val="single" w:color="#000000"/>
              <w:end w:sz="4.0" w:val="single" w:color="#000000"/>
              <w:bottom w:sz="3.199999999999818" w:val="single" w:color="#000000"/>
            </w:tcBorders>
            <w:shd w:fill="ffffff"/>
            <w:tcMar>
              <w:start w:w="0" w:type="dxa"/>
              <w:end w:w="0" w:type="dxa"/>
            </w:tcMar>
          </w:tcPr>
          <w:tbl>
            <w:tblPr>
              <w:tblW w:type="auto" w:w="0"/>
              <w:tblLayout w:type="fixed"/>
              <w:tblLook w:firstColumn="1" w:firstRow="1" w:lastColumn="0" w:lastRow="0" w:noHBand="0" w:noVBand="1" w:val="04A0"/>
              <w:tblInd w:w="1.999999999998181" w:type="dxa"/>
            </w:tblPr>
            <w:tblGrid>
              <w:gridCol w:w="670"/>
            </w:tblGrid>
            <w:tr>
              <w:trPr>
                <w:trHeight w:hRule="exact" w:val="266"/>
              </w:trPr>
              <w:tc>
                <w:tcPr>
                  <w:tcW w:type="dxa" w:w="660"/>
                  <w:tcBorders/>
                  <w:shd w:fill="d2d2d2"/>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 </w:t>
                  </w:r>
                </w:p>
              </w:tc>
            </w:tr>
          </w:tbl>
          <w:p>
            <w:pPr>
              <w:autoSpaceDN w:val="0"/>
              <w:autoSpaceDE w:val="0"/>
              <w:widowControl/>
              <w:spacing w:line="14" w:lineRule="exact" w:before="0" w:after="0"/>
              <w:ind w:left="0" w:right="0"/>
            </w:pPr>
          </w:p>
        </w:tc>
        <w:tc>
          <w:tcPr>
            <w:tcW w:type="dxa" w:w="550"/>
            <w:tcBorders>
              <w:start w:sz="4.0" w:val="single" w:color="#000000"/>
              <w:top w:sz="4.0" w:val="single" w:color="#000000"/>
              <w:end w:sz="4.0" w:val="single" w:color="#000000"/>
              <w:bottom w:sz="3.199999999999818" w:val="single" w:color="#000000"/>
            </w:tcBorders>
            <w:shd w:fill="ffffff"/>
            <w:tcMar>
              <w:start w:w="0" w:type="dxa"/>
              <w:end w:w="0" w:type="dxa"/>
            </w:tcMar>
          </w:tcPr>
          <w:tbl>
            <w:tblPr>
              <w:tblW w:type="auto" w:w="0"/>
              <w:tblLayout w:type="fixed"/>
              <w:tblLook w:firstColumn="1" w:firstRow="1" w:lastColumn="0" w:lastRow="0" w:noHBand="0" w:noVBand="1" w:val="04A0"/>
              <w:tblInd w:w="0.0" w:type="dxa"/>
            </w:tblPr>
            <w:tblGrid>
              <w:gridCol w:w="550"/>
            </w:tblGrid>
            <w:tr>
              <w:trPr>
                <w:trHeight w:hRule="exact" w:val="266"/>
              </w:trPr>
              <w:tc>
                <w:tcPr>
                  <w:tcW w:type="dxa" w:w="540"/>
                  <w:tcBorders/>
                  <w:shd w:fill="d2d2d2"/>
                  <w:tcMar>
                    <w:start w:w="0" w:type="dxa"/>
                    <w:end w:w="0" w:type="dxa"/>
                  </w:tcMar>
                </w:tcPr>
                <w:p>
                  <w:pPr>
                    <w:autoSpaceDN w:val="0"/>
                    <w:autoSpaceDE w:val="0"/>
                    <w:widowControl/>
                    <w:spacing w:line="228" w:lineRule="auto" w:before="72" w:after="0"/>
                    <w:ind w:left="0" w:right="0" w:firstLine="0"/>
                    <w:jc w:val="center"/>
                  </w:pPr>
                  <w:r>
                    <w:rPr>
                      <w:rFonts w:ascii="Times New Roman" w:hAnsi="Times New Roman" w:eastAsia="Times New Roman"/>
                      <w:b w:val="0"/>
                      <w:i w:val="0"/>
                      <w:color w:val="000000"/>
                      <w:sz w:val="13"/>
                    </w:rPr>
                    <w:t xml:space="preserve">-- </w:t>
                  </w:r>
                </w:p>
              </w:tc>
            </w:tr>
          </w:tbl>
          <w:p>
            <w:pPr>
              <w:autoSpaceDN w:val="0"/>
              <w:autoSpaceDE w:val="0"/>
              <w:widowControl/>
              <w:spacing w:line="14" w:lineRule="exact" w:before="0" w:after="0"/>
              <w:ind w:left="0" w:right="0"/>
            </w:pPr>
          </w:p>
        </w:tc>
      </w:tr>
      <w:tr>
        <w:trPr>
          <w:trHeight w:hRule="exact" w:val="354"/>
        </w:trPr>
        <w:tc>
          <w:tcPr>
            <w:tcW w:type="dxa" w:w="2156"/>
            <w:gridSpan w:val="3"/>
            <w:tcBorders>
              <w:start w:sz="7.200000000000003" w:val="single" w:color="#000000"/>
              <w:top w:sz="3.199999999999818" w:val="single" w:color="#000000"/>
              <w:end w:sz="7.199999999999932" w:val="single" w:color="#000000"/>
              <w:bottom w:sz="7.200000000000728"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60" w:lineRule="exact" w:before="0" w:after="0"/>
              <w:ind w:left="98" w:right="144" w:firstLine="0"/>
              <w:jc w:val="left"/>
            </w:pPr>
            <w:r>
              <w:rPr>
                <w:rFonts w:ascii="宋体" w:hAnsi="宋体" w:eastAsia="宋体"/>
                <w:b w:val="0"/>
                <w:i w:val="0"/>
                <w:color w:val="000000"/>
                <w:sz w:val="13"/>
              </w:rPr>
              <w:t>证券投资审批董事会公告披露日</w:t>
            </w:r>
            <w:r>
              <w:rPr>
                <w:rFonts w:ascii="宋体" w:hAnsi="宋体" w:eastAsia="宋体"/>
                <w:b w:val="0"/>
                <w:i w:val="0"/>
                <w:color w:val="000000"/>
                <w:sz w:val="13"/>
              </w:rPr>
              <w:t xml:space="preserve">期 </w:t>
            </w:r>
          </w:p>
        </w:tc>
        <w:tc>
          <w:tcPr>
            <w:tcW w:type="dxa" w:w="9396"/>
            <w:gridSpan w:val="11"/>
            <w:tcBorders>
              <w:start w:sz="7.199999999999932" w:val="single" w:color="#000000"/>
              <w:top w:sz="3.199999999999818" w:val="single" w:color="#000000"/>
              <w:end w:sz="7.199999999999818" w:val="single" w:color="#000000"/>
              <w:bottom w:sz="7.200000000000728"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28" w:lineRule="exact" w:before="104" w:after="0"/>
              <w:ind w:left="100" w:right="0" w:firstLine="0"/>
              <w:jc w:val="left"/>
            </w:pPr>
            <w:r>
              <w:rPr>
                <w:rFonts w:ascii="宋体" w:hAnsi="宋体" w:eastAsia="宋体"/>
                <w:b w:val="0"/>
                <w:i w:val="0"/>
                <w:color w:val="000000"/>
                <w:sz w:val="13"/>
              </w:rPr>
              <w:t>不适用</w:t>
            </w:r>
          </w:p>
        </w:tc>
      </w:tr>
      <w:tr>
        <w:trPr>
          <w:trHeight w:hRule="exact" w:val="356"/>
        </w:trPr>
        <w:tc>
          <w:tcPr>
            <w:tcW w:type="dxa" w:w="2156"/>
            <w:gridSpan w:val="3"/>
            <w:tcBorders>
              <w:start w:sz="7.200000000000003" w:val="single" w:color="#000000"/>
              <w:top w:sz="7.200000000000728" w:val="single" w:color="#000000"/>
              <w:end w:sz="7.199999999999932" w:val="single" w:color="#000000"/>
              <w:bottom w:sz="8.0"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58" w:lineRule="exact" w:before="0" w:after="0"/>
              <w:ind w:left="98" w:right="144" w:firstLine="0"/>
              <w:jc w:val="left"/>
            </w:pPr>
            <w:r>
              <w:rPr>
                <w:rFonts w:ascii="宋体" w:hAnsi="宋体" w:eastAsia="宋体"/>
                <w:b w:val="0"/>
                <w:i w:val="0"/>
                <w:color w:val="000000"/>
                <w:sz w:val="13"/>
              </w:rPr>
              <w:t>证券投资审批股东会公告披露日</w:t>
            </w:r>
            <w:r>
              <w:rPr>
                <w:rFonts w:ascii="宋体" w:hAnsi="宋体" w:eastAsia="宋体"/>
                <w:b w:val="0"/>
                <w:i w:val="0"/>
                <w:color w:val="000000"/>
                <w:sz w:val="13"/>
              </w:rPr>
              <w:t xml:space="preserve">期 </w:t>
            </w:r>
          </w:p>
        </w:tc>
        <w:tc>
          <w:tcPr>
            <w:tcW w:type="dxa" w:w="9396"/>
            <w:gridSpan w:val="11"/>
            <w:tcBorders>
              <w:start w:sz="7.199999999999932" w:val="single" w:color="#000000"/>
              <w:top w:sz="7.200000000000728" w:val="single" w:color="#000000"/>
              <w:end w:sz="7.199999999999818" w:val="single" w:color="#000000"/>
              <w:bottom w:sz="8.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0" w:lineRule="exact" w:before="102" w:after="0"/>
              <w:ind w:left="100" w:right="0" w:firstLine="0"/>
              <w:jc w:val="left"/>
            </w:pPr>
            <w:r>
              <w:rPr>
                <w:rFonts w:ascii="宋体" w:hAnsi="宋体" w:eastAsia="宋体"/>
                <w:b w:val="0"/>
                <w:i w:val="0"/>
                <w:color w:val="000000"/>
                <w:sz w:val="13"/>
              </w:rPr>
              <w:t>不适用</w:t>
            </w:r>
          </w:p>
        </w:tc>
      </w:tr>
    </w:tbl>
    <w:p>
      <w:pPr>
        <w:autoSpaceDN w:val="0"/>
        <w:autoSpaceDE w:val="0"/>
        <w:widowControl/>
        <w:spacing w:line="180" w:lineRule="exact" w:before="368" w:after="0"/>
        <w:ind w:left="956" w:right="0" w:firstLine="0"/>
        <w:jc w:val="left"/>
      </w:pPr>
      <w:r>
        <w:rPr>
          <w:rFonts w:ascii="宋体" w:hAnsi="宋体" w:eastAsia="宋体"/>
          <w:b w:val="0"/>
          <w:i w:val="0"/>
          <w:color w:val="000000"/>
          <w:sz w:val="18"/>
        </w:rPr>
        <w:t xml:space="preserve">（2） 衍生品投资情况 </w:t>
      </w:r>
    </w:p>
    <w:p>
      <w:pPr>
        <w:autoSpaceDN w:val="0"/>
        <w:autoSpaceDE w:val="0"/>
        <w:widowControl/>
        <w:spacing w:line="180" w:lineRule="exact" w:before="368" w:after="0"/>
        <w:ind w:left="956"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6" w:after="0"/>
        <w:ind w:left="956" w:right="0" w:firstLine="0"/>
        <w:jc w:val="left"/>
      </w:pPr>
      <w:r>
        <w:rPr>
          <w:rFonts w:ascii="宋体" w:hAnsi="宋体" w:eastAsia="宋体"/>
          <w:b w:val="0"/>
          <w:i w:val="0"/>
          <w:color w:val="000000"/>
          <w:sz w:val="21"/>
        </w:rPr>
        <w:t xml:space="preserve">5、募集资金使用情况 </w:t>
      </w:r>
    </w:p>
    <w:p>
      <w:pPr>
        <w:autoSpaceDN w:val="0"/>
        <w:autoSpaceDE w:val="0"/>
        <w:widowControl/>
        <w:spacing w:line="180" w:lineRule="exact" w:before="360" w:after="0"/>
        <w:ind w:left="956"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1014" w:after="0"/>
        <w:ind w:left="0" w:right="0" w:firstLine="0"/>
        <w:jc w:val="center"/>
      </w:pPr>
      <w:r>
        <w:rPr>
          <w:rFonts w:ascii="Calibri" w:hAnsi="Calibri" w:eastAsia="Calibri"/>
          <w:b w:val="0"/>
          <w:i w:val="0"/>
          <w:color w:val="000000"/>
          <w:sz w:val="18"/>
        </w:rPr>
        <w:t xml:space="preserve">46 </w:t>
      </w:r>
    </w:p>
    <w:p>
      <w:pPr>
        <w:sectPr>
          <w:pgSz w:w="11904" w:h="16841"/>
          <w:pgMar w:top="424" w:right="136" w:bottom="446" w:left="178"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49" name="Picture 4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180" w:lineRule="exact" w:before="82" w:after="0"/>
        <w:ind w:left="30" w:right="0" w:firstLine="0"/>
        <w:jc w:val="left"/>
      </w:pPr>
      <w:r>
        <w:rPr>
          <w:rFonts w:ascii="宋体" w:hAnsi="宋体" w:eastAsia="宋体"/>
          <w:b w:val="0"/>
          <w:i w:val="0"/>
          <w:color w:val="000000"/>
          <w:sz w:val="18"/>
        </w:rPr>
        <w:t xml:space="preserve">（1） 募集资金总体使用情况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82" w:after="142"/>
        <w:ind w:left="0" w:right="144"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27.99999999999997" w:type="dxa"/>
      </w:tblPr>
      <w:tblGrid>
        <w:gridCol w:w="810"/>
        <w:gridCol w:w="810"/>
        <w:gridCol w:w="810"/>
        <w:gridCol w:w="810"/>
        <w:gridCol w:w="810"/>
        <w:gridCol w:w="810"/>
        <w:gridCol w:w="810"/>
        <w:gridCol w:w="810"/>
        <w:gridCol w:w="810"/>
        <w:gridCol w:w="810"/>
        <w:gridCol w:w="810"/>
        <w:gridCol w:w="810"/>
      </w:tblGrid>
      <w:tr>
        <w:trPr>
          <w:trHeight w:hRule="exact" w:val="1284"/>
        </w:trPr>
        <w:tc>
          <w:tcPr>
            <w:tcW w:type="dxa" w:w="804"/>
            <w:tcBorders>
              <w:start w:sz="2.3999999999999773" w:val="single" w:color="#000000"/>
              <w:top w:sz="2.3999999999998636" w:val="single" w:color="#000000"/>
              <w:end w:sz="2.3999999999999773" w:val="single" w:color="#000000"/>
              <w:bottom w:sz="2.400000000000091" w:val="single" w:color="#000000"/>
            </w:tcBorders>
            <w:shd w:fill="d2d2d2"/>
            <w:tcMar>
              <w:start w:w="0" w:type="dxa"/>
              <w:end w:w="0" w:type="dxa"/>
            </w:tcMar>
          </w:tcPr>
          <w:p>
            <w:pPr>
              <w:autoSpaceDN w:val="0"/>
              <w:tabs>
                <w:tab w:pos="312" w:val="left"/>
              </w:tabs>
              <w:autoSpaceDE w:val="0"/>
              <w:widowControl/>
              <w:spacing w:line="236" w:lineRule="exact" w:before="380" w:after="0"/>
              <w:ind w:left="132" w:right="0" w:firstLine="0"/>
              <w:jc w:val="left"/>
            </w:pPr>
            <w:r>
              <w:rPr>
                <w:rFonts w:ascii="宋体" w:hAnsi="宋体" w:eastAsia="宋体"/>
                <w:b w:val="0"/>
                <w:i w:val="0"/>
                <w:color w:val="000000"/>
                <w:sz w:val="18"/>
              </w:rPr>
              <w:t>募集年</w:t>
            </w:r>
            <w:r>
              <w:tab/>
            </w:r>
            <w:r>
              <w:rPr>
                <w:rFonts w:ascii="宋体" w:hAnsi="宋体" w:eastAsia="宋体"/>
                <w:b w:val="0"/>
                <w:i w:val="0"/>
                <w:color w:val="000000"/>
                <w:sz w:val="18"/>
              </w:rPr>
              <w:t xml:space="preserve">份 </w:t>
            </w:r>
          </w:p>
        </w:tc>
        <w:tc>
          <w:tcPr>
            <w:tcW w:type="dxa" w:w="802"/>
            <w:tcBorders>
              <w:start w:sz="2.3999999999999773" w:val="single" w:color="#000000"/>
              <w:top w:sz="2.3999999999998636" w:val="single" w:color="#000000"/>
              <w:end w:sz="2.3999999999998636" w:val="single" w:color="#000000"/>
              <w:bottom w:sz="2.400000000000091" w:val="single" w:color="#000000"/>
            </w:tcBorders>
            <w:shd w:fill="d2d2d2"/>
            <w:tcMar>
              <w:start w:w="0" w:type="dxa"/>
              <w:end w:w="0" w:type="dxa"/>
            </w:tcMar>
          </w:tcPr>
          <w:p>
            <w:pPr>
              <w:autoSpaceDN w:val="0"/>
              <w:tabs>
                <w:tab w:pos="312" w:val="left"/>
              </w:tabs>
              <w:autoSpaceDE w:val="0"/>
              <w:widowControl/>
              <w:spacing w:line="236" w:lineRule="exact" w:before="380" w:after="0"/>
              <w:ind w:left="132" w:right="0" w:firstLine="0"/>
              <w:jc w:val="left"/>
            </w:pPr>
            <w:r>
              <w:rPr>
                <w:rFonts w:ascii="宋体" w:hAnsi="宋体" w:eastAsia="宋体"/>
                <w:b w:val="0"/>
                <w:i w:val="0"/>
                <w:color w:val="000000"/>
                <w:sz w:val="18"/>
              </w:rPr>
              <w:t>募集方</w:t>
            </w:r>
            <w:r>
              <w:tab/>
            </w:r>
            <w:r>
              <w:rPr>
                <w:rFonts w:ascii="宋体" w:hAnsi="宋体" w:eastAsia="宋体"/>
                <w:b w:val="0"/>
                <w:i w:val="0"/>
                <w:color w:val="000000"/>
                <w:sz w:val="18"/>
              </w:rPr>
              <w:t xml:space="preserve">式 </w:t>
            </w:r>
          </w:p>
        </w:tc>
        <w:tc>
          <w:tcPr>
            <w:tcW w:type="dxa" w:w="806"/>
            <w:tcBorders>
              <w:start w:sz="2.3999999999998636" w:val="single" w:color="#000000"/>
              <w:top w:sz="2.3999999999998636"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236" w:lineRule="exact" w:before="380" w:after="0"/>
              <w:ind w:left="132" w:right="0" w:firstLine="0"/>
              <w:jc w:val="left"/>
            </w:pPr>
            <w:r>
              <w:rPr>
                <w:rFonts w:ascii="宋体" w:hAnsi="宋体" w:eastAsia="宋体"/>
                <w:b w:val="0"/>
                <w:i w:val="0"/>
                <w:color w:val="000000"/>
                <w:sz w:val="18"/>
              </w:rPr>
              <w:t>募集资</w:t>
            </w:r>
            <w:r>
              <w:br/>
            </w:r>
            <w:r>
              <w:rPr>
                <w:rFonts w:ascii="宋体" w:hAnsi="宋体" w:eastAsia="宋体"/>
                <w:b w:val="0"/>
                <w:i w:val="0"/>
                <w:color w:val="000000"/>
                <w:sz w:val="18"/>
              </w:rPr>
              <w:t xml:space="preserve">金总额 </w:t>
            </w:r>
          </w:p>
        </w:tc>
        <w:tc>
          <w:tcPr>
            <w:tcW w:type="dxa" w:w="800"/>
            <w:tcBorders>
              <w:start w:sz="1.6000000000001364"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36" w:lineRule="exact" w:before="380" w:after="0"/>
              <w:ind w:left="130" w:right="0" w:firstLine="0"/>
              <w:jc w:val="left"/>
            </w:pPr>
            <w:r>
              <w:rPr>
                <w:rFonts w:ascii="宋体" w:hAnsi="宋体" w:eastAsia="宋体"/>
                <w:b w:val="0"/>
                <w:i w:val="0"/>
                <w:color w:val="000000"/>
                <w:sz w:val="18"/>
              </w:rPr>
              <w:t>募集资</w:t>
            </w:r>
            <w:r>
              <w:br/>
            </w:r>
            <w:r>
              <w:rPr>
                <w:rFonts w:ascii="宋体" w:hAnsi="宋体" w:eastAsia="宋体"/>
                <w:b w:val="0"/>
                <w:i w:val="0"/>
                <w:color w:val="000000"/>
                <w:sz w:val="18"/>
              </w:rPr>
              <w:t xml:space="preserve">金净额 </w:t>
            </w:r>
          </w:p>
        </w:tc>
        <w:tc>
          <w:tcPr>
            <w:tcW w:type="dxa" w:w="806"/>
            <w:tcBorders>
              <w:start w:sz="2.400000000000091"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38" w:lineRule="exact" w:before="138" w:after="0"/>
              <w:ind w:left="0" w:right="128" w:firstLine="0"/>
              <w:jc w:val="right"/>
            </w:pPr>
            <w:r>
              <w:rPr>
                <w:rFonts w:ascii="宋体" w:hAnsi="宋体" w:eastAsia="宋体"/>
                <w:b w:val="0"/>
                <w:i w:val="0"/>
                <w:color w:val="000000"/>
                <w:sz w:val="18"/>
              </w:rPr>
              <w:t>本期已</w:t>
            </w:r>
            <w:r>
              <w:rPr>
                <w:rFonts w:ascii="宋体" w:hAnsi="宋体" w:eastAsia="宋体"/>
                <w:b w:val="0"/>
                <w:i w:val="0"/>
                <w:color w:val="000000"/>
                <w:sz w:val="18"/>
              </w:rPr>
              <w:t>使用募</w:t>
            </w:r>
            <w:r>
              <w:rPr>
                <w:rFonts w:ascii="宋体" w:hAnsi="宋体" w:eastAsia="宋体"/>
                <w:b w:val="0"/>
                <w:i w:val="0"/>
                <w:color w:val="000000"/>
                <w:sz w:val="18"/>
              </w:rPr>
              <w:t>集资金</w:t>
            </w:r>
            <w:r>
              <w:rPr>
                <w:rFonts w:ascii="宋体" w:hAnsi="宋体" w:eastAsia="宋体"/>
                <w:b w:val="0"/>
                <w:i w:val="0"/>
                <w:color w:val="000000"/>
                <w:sz w:val="18"/>
              </w:rPr>
              <w:t xml:space="preserve">总额 </w:t>
            </w:r>
          </w:p>
        </w:tc>
        <w:tc>
          <w:tcPr>
            <w:tcW w:type="dxa" w:w="804"/>
            <w:tcBorders>
              <w:start w:sz="2.400000000000091" w:val="single" w:color="#000000"/>
              <w:top w:sz="2.3999999999998636"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238" w:lineRule="exact" w:before="138" w:after="0"/>
              <w:ind w:left="0" w:right="130" w:firstLine="0"/>
              <w:jc w:val="right"/>
            </w:pPr>
            <w:r>
              <w:rPr>
                <w:rFonts w:ascii="宋体" w:hAnsi="宋体" w:eastAsia="宋体"/>
                <w:b w:val="0"/>
                <w:i w:val="0"/>
                <w:color w:val="000000"/>
                <w:sz w:val="18"/>
              </w:rPr>
              <w:t>已累计</w:t>
            </w:r>
            <w:r>
              <w:rPr>
                <w:rFonts w:ascii="宋体" w:hAnsi="宋体" w:eastAsia="宋体"/>
                <w:b w:val="0"/>
                <w:i w:val="0"/>
                <w:color w:val="000000"/>
                <w:sz w:val="18"/>
              </w:rPr>
              <w:t>使用募</w:t>
            </w:r>
            <w:r>
              <w:rPr>
                <w:rFonts w:ascii="宋体" w:hAnsi="宋体" w:eastAsia="宋体"/>
                <w:b w:val="0"/>
                <w:i w:val="0"/>
                <w:color w:val="000000"/>
                <w:sz w:val="18"/>
              </w:rPr>
              <w:t>集资金</w:t>
            </w:r>
            <w:r>
              <w:rPr>
                <w:rFonts w:ascii="宋体" w:hAnsi="宋体" w:eastAsia="宋体"/>
                <w:b w:val="0"/>
                <w:i w:val="0"/>
                <w:color w:val="000000"/>
                <w:sz w:val="18"/>
              </w:rPr>
              <w:t xml:space="preserve">总额 </w:t>
            </w:r>
          </w:p>
        </w:tc>
        <w:tc>
          <w:tcPr>
            <w:tcW w:type="dxa" w:w="802"/>
            <w:tcBorders>
              <w:start w:sz="1.599999999999909" w:val="single" w:color="#000000"/>
              <w:top w:sz="2.3999999999998636"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30" w:right="38" w:firstLine="0"/>
              <w:jc w:val="both"/>
            </w:pPr>
            <w:r>
              <w:rPr>
                <w:rFonts w:ascii="宋体" w:hAnsi="宋体" w:eastAsia="宋体"/>
                <w:b w:val="0"/>
                <w:i w:val="0"/>
                <w:color w:val="000000"/>
                <w:sz w:val="18"/>
              </w:rPr>
              <w:t>报告期</w:t>
            </w:r>
            <w:r>
              <w:br/>
            </w:r>
            <w:r>
              <w:rPr>
                <w:rFonts w:ascii="宋体" w:hAnsi="宋体" w:eastAsia="宋体"/>
                <w:b w:val="0"/>
                <w:i w:val="0"/>
                <w:color w:val="000000"/>
                <w:sz w:val="18"/>
              </w:rPr>
              <w:t>内变更</w:t>
            </w:r>
            <w:r>
              <w:br/>
            </w:r>
            <w:r>
              <w:rPr>
                <w:rFonts w:ascii="宋体" w:hAnsi="宋体" w:eastAsia="宋体"/>
                <w:b w:val="0"/>
                <w:i w:val="0"/>
                <w:color w:val="000000"/>
                <w:sz w:val="18"/>
              </w:rPr>
              <w:t>用途的</w:t>
            </w:r>
            <w:r>
              <w:br/>
            </w:r>
            <w:r>
              <w:rPr>
                <w:rFonts w:ascii="宋体" w:hAnsi="宋体" w:eastAsia="宋体"/>
                <w:b w:val="0"/>
                <w:i w:val="0"/>
                <w:color w:val="000000"/>
                <w:sz w:val="18"/>
              </w:rPr>
              <w:t>募集资</w:t>
            </w:r>
            <w:r>
              <w:br/>
            </w:r>
            <w:r>
              <w:rPr>
                <w:rFonts w:ascii="宋体" w:hAnsi="宋体" w:eastAsia="宋体"/>
                <w:b w:val="0"/>
                <w:i w:val="0"/>
                <w:color w:val="000000"/>
                <w:sz w:val="18"/>
              </w:rPr>
              <w:t xml:space="preserve">金总额 </w:t>
            </w:r>
          </w:p>
        </w:tc>
        <w:tc>
          <w:tcPr>
            <w:tcW w:type="dxa" w:w="804"/>
            <w:tcBorders>
              <w:start w:sz="2.399999999999636" w:val="single" w:color="#000000"/>
              <w:top w:sz="2.3999999999998636"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0" w:right="128" w:firstLine="0"/>
              <w:jc w:val="right"/>
            </w:pPr>
            <w:r>
              <w:rPr>
                <w:rFonts w:ascii="宋体" w:hAnsi="宋体" w:eastAsia="宋体"/>
                <w:b w:val="0"/>
                <w:i w:val="0"/>
                <w:color w:val="000000"/>
                <w:sz w:val="18"/>
              </w:rPr>
              <w:t>累计变</w:t>
            </w:r>
            <w:r>
              <w:rPr>
                <w:rFonts w:ascii="宋体" w:hAnsi="宋体" w:eastAsia="宋体"/>
                <w:b w:val="0"/>
                <w:i w:val="0"/>
                <w:color w:val="000000"/>
                <w:sz w:val="18"/>
              </w:rPr>
              <w:t>更用途</w:t>
            </w:r>
            <w:r>
              <w:rPr>
                <w:rFonts w:ascii="宋体" w:hAnsi="宋体" w:eastAsia="宋体"/>
                <w:b w:val="0"/>
                <w:i w:val="0"/>
                <w:color w:val="000000"/>
                <w:sz w:val="18"/>
              </w:rPr>
              <w:t>的募集</w:t>
            </w:r>
            <w:r>
              <w:rPr>
                <w:rFonts w:ascii="宋体" w:hAnsi="宋体" w:eastAsia="宋体"/>
                <w:b w:val="0"/>
                <w:i w:val="0"/>
                <w:color w:val="000000"/>
                <w:sz w:val="18"/>
              </w:rPr>
              <w:t>资金总</w:t>
            </w:r>
            <w:r>
              <w:rPr>
                <w:rFonts w:ascii="宋体" w:hAnsi="宋体" w:eastAsia="宋体"/>
                <w:b w:val="0"/>
                <w:i w:val="0"/>
                <w:color w:val="000000"/>
                <w:sz w:val="18"/>
              </w:rPr>
              <w:t xml:space="preserve">额 </w:t>
            </w:r>
          </w:p>
        </w:tc>
        <w:tc>
          <w:tcPr>
            <w:tcW w:type="dxa" w:w="800"/>
            <w:tcBorders>
              <w:start w:sz="1.6000000000003638"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30" w:right="36" w:firstLine="0"/>
              <w:jc w:val="both"/>
            </w:pPr>
            <w:r>
              <w:rPr>
                <w:rFonts w:ascii="宋体" w:hAnsi="宋体" w:eastAsia="宋体"/>
                <w:b w:val="0"/>
                <w:i w:val="0"/>
                <w:color w:val="000000"/>
                <w:sz w:val="18"/>
              </w:rPr>
              <w:t>累计变</w:t>
            </w:r>
            <w:r>
              <w:br/>
            </w:r>
            <w:r>
              <w:rPr>
                <w:rFonts w:ascii="宋体" w:hAnsi="宋体" w:eastAsia="宋体"/>
                <w:b w:val="0"/>
                <w:i w:val="0"/>
                <w:color w:val="000000"/>
                <w:sz w:val="18"/>
              </w:rPr>
              <w:t>更用途</w:t>
            </w:r>
            <w:r>
              <w:br/>
            </w:r>
            <w:r>
              <w:rPr>
                <w:rFonts w:ascii="宋体" w:hAnsi="宋体" w:eastAsia="宋体"/>
                <w:b w:val="0"/>
                <w:i w:val="0"/>
                <w:color w:val="000000"/>
                <w:sz w:val="18"/>
              </w:rPr>
              <w:t>的募集</w:t>
            </w:r>
            <w:r>
              <w:br/>
            </w:r>
            <w:r>
              <w:rPr>
                <w:rFonts w:ascii="宋体" w:hAnsi="宋体" w:eastAsia="宋体"/>
                <w:b w:val="0"/>
                <w:i w:val="0"/>
                <w:color w:val="000000"/>
                <w:sz w:val="18"/>
              </w:rPr>
              <w:t>资金总</w:t>
            </w:r>
            <w:r>
              <w:br/>
            </w:r>
            <w:r>
              <w:rPr>
                <w:rFonts w:ascii="宋体" w:hAnsi="宋体" w:eastAsia="宋体"/>
                <w:b w:val="0"/>
                <w:i w:val="0"/>
                <w:color w:val="000000"/>
                <w:sz w:val="18"/>
              </w:rPr>
              <w:t xml:space="preserve">额比例 </w:t>
            </w:r>
          </w:p>
        </w:tc>
        <w:tc>
          <w:tcPr>
            <w:tcW w:type="dxa" w:w="804"/>
            <w:tcBorders>
              <w:start w:sz="2.400000000000091" w:val="single" w:color="#000000"/>
              <w:top w:sz="2.3999999999998636"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238" w:lineRule="exact" w:before="138" w:after="0"/>
              <w:ind w:left="0" w:right="126" w:firstLine="0"/>
              <w:jc w:val="right"/>
            </w:pPr>
            <w:r>
              <w:rPr>
                <w:rFonts w:ascii="宋体" w:hAnsi="宋体" w:eastAsia="宋体"/>
                <w:b w:val="0"/>
                <w:i w:val="0"/>
                <w:color w:val="000000"/>
                <w:sz w:val="18"/>
              </w:rPr>
              <w:t>尚未使</w:t>
            </w:r>
            <w:r>
              <w:rPr>
                <w:rFonts w:ascii="宋体" w:hAnsi="宋体" w:eastAsia="宋体"/>
                <w:b w:val="0"/>
                <w:i w:val="0"/>
                <w:color w:val="000000"/>
                <w:sz w:val="18"/>
              </w:rPr>
              <w:t>用募集</w:t>
            </w:r>
            <w:r>
              <w:rPr>
                <w:rFonts w:ascii="宋体" w:hAnsi="宋体" w:eastAsia="宋体"/>
                <w:b w:val="0"/>
                <w:i w:val="0"/>
                <w:color w:val="000000"/>
                <w:sz w:val="18"/>
              </w:rPr>
              <w:t>资金总</w:t>
            </w:r>
            <w:r>
              <w:rPr>
                <w:rFonts w:ascii="宋体" w:hAnsi="宋体" w:eastAsia="宋体"/>
                <w:b w:val="0"/>
                <w:i w:val="0"/>
                <w:color w:val="000000"/>
                <w:sz w:val="18"/>
              </w:rPr>
              <w:t xml:space="preserve">额 </w:t>
            </w:r>
          </w:p>
        </w:tc>
        <w:tc>
          <w:tcPr>
            <w:tcW w:type="dxa" w:w="804"/>
            <w:tcBorders>
              <w:start w:sz="2.399999999999636"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0" w:right="126" w:firstLine="0"/>
              <w:jc w:val="right"/>
            </w:pPr>
            <w:r>
              <w:rPr>
                <w:rFonts w:ascii="宋体" w:hAnsi="宋体" w:eastAsia="宋体"/>
                <w:b w:val="0"/>
                <w:i w:val="0"/>
                <w:color w:val="000000"/>
                <w:sz w:val="18"/>
              </w:rPr>
              <w:t>尚未使</w:t>
            </w:r>
            <w:r>
              <w:rPr>
                <w:rFonts w:ascii="宋体" w:hAnsi="宋体" w:eastAsia="宋体"/>
                <w:b w:val="0"/>
                <w:i w:val="0"/>
                <w:color w:val="000000"/>
                <w:sz w:val="18"/>
              </w:rPr>
              <w:t>用募集</w:t>
            </w:r>
            <w:r>
              <w:rPr>
                <w:rFonts w:ascii="宋体" w:hAnsi="宋体" w:eastAsia="宋体"/>
                <w:b w:val="0"/>
                <w:i w:val="0"/>
                <w:color w:val="000000"/>
                <w:sz w:val="18"/>
              </w:rPr>
              <w:t>资金用</w:t>
            </w:r>
            <w:r>
              <w:rPr>
                <w:rFonts w:ascii="宋体" w:hAnsi="宋体" w:eastAsia="宋体"/>
                <w:b w:val="0"/>
                <w:i w:val="0"/>
                <w:color w:val="000000"/>
                <w:sz w:val="18"/>
              </w:rPr>
              <w:t>途及去</w:t>
            </w:r>
            <w:r>
              <w:rPr>
                <w:rFonts w:ascii="宋体" w:hAnsi="宋体" w:eastAsia="宋体"/>
                <w:b w:val="0"/>
                <w:i w:val="0"/>
                <w:color w:val="000000"/>
                <w:sz w:val="18"/>
              </w:rPr>
              <w:t xml:space="preserve">向 </w:t>
            </w:r>
          </w:p>
        </w:tc>
        <w:tc>
          <w:tcPr>
            <w:tcW w:type="dxa" w:w="806"/>
            <w:tcBorders>
              <w:start w:sz="2.400000000000091" w:val="single" w:color="#000000"/>
              <w:top w:sz="2.3999999999998636"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238" w:lineRule="exact" w:before="138" w:after="0"/>
              <w:ind w:left="132" w:right="40" w:firstLine="0"/>
              <w:jc w:val="both"/>
            </w:pPr>
            <w:r>
              <w:rPr>
                <w:rFonts w:ascii="宋体" w:hAnsi="宋体" w:eastAsia="宋体"/>
                <w:b w:val="0"/>
                <w:i w:val="0"/>
                <w:color w:val="000000"/>
                <w:sz w:val="18"/>
              </w:rPr>
              <w:t>闲置两</w:t>
            </w:r>
            <w:r>
              <w:br/>
            </w:r>
            <w:r>
              <w:rPr>
                <w:rFonts w:ascii="宋体" w:hAnsi="宋体" w:eastAsia="宋体"/>
                <w:b w:val="0"/>
                <w:i w:val="0"/>
                <w:color w:val="000000"/>
                <w:sz w:val="18"/>
              </w:rPr>
              <w:t>年以上</w:t>
            </w:r>
            <w:r>
              <w:br/>
            </w:r>
            <w:r>
              <w:rPr>
                <w:rFonts w:ascii="宋体" w:hAnsi="宋体" w:eastAsia="宋体"/>
                <w:b w:val="0"/>
                <w:i w:val="0"/>
                <w:color w:val="000000"/>
                <w:sz w:val="18"/>
              </w:rPr>
              <w:t>募集资</w:t>
            </w:r>
            <w:r>
              <w:br/>
            </w:r>
            <w:r>
              <w:rPr>
                <w:rFonts w:ascii="宋体" w:hAnsi="宋体" w:eastAsia="宋体"/>
                <w:b w:val="0"/>
                <w:i w:val="0"/>
                <w:color w:val="000000"/>
                <w:sz w:val="18"/>
              </w:rPr>
              <w:t xml:space="preserve">金金额 </w:t>
            </w:r>
          </w:p>
        </w:tc>
      </w:tr>
      <w:tr>
        <w:trPr>
          <w:trHeight w:hRule="exact" w:val="1446"/>
        </w:trPr>
        <w:tc>
          <w:tcPr>
            <w:tcW w:type="dxa" w:w="804"/>
            <w:tcBorders>
              <w:start w:sz="2.3999999999999773"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233" w:lineRule="auto" w:before="632" w:after="0"/>
              <w:ind w:left="0" w:right="0" w:firstLine="0"/>
              <w:jc w:val="center"/>
            </w:pPr>
            <w:r>
              <w:rPr>
                <w:rFonts w:ascii="Times New Roman" w:hAnsi="Times New Roman" w:eastAsia="Times New Roman"/>
                <w:b w:val="0"/>
                <w:i w:val="0"/>
                <w:color w:val="000000"/>
                <w:sz w:val="18"/>
              </w:rPr>
              <w:t xml:space="preserve">2021 </w:t>
            </w:r>
          </w:p>
        </w:tc>
        <w:tc>
          <w:tcPr>
            <w:tcW w:type="dxa" w:w="802"/>
            <w:tcBorders>
              <w:start w:sz="2.3999999999999773"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240" w:lineRule="exact" w:before="458" w:after="0"/>
              <w:ind w:left="108" w:right="144" w:firstLine="0"/>
              <w:jc w:val="left"/>
            </w:pPr>
            <w:r>
              <w:rPr>
                <w:rFonts w:ascii="宋体" w:hAnsi="宋体" w:eastAsia="宋体"/>
                <w:b w:val="0"/>
                <w:i w:val="0"/>
                <w:color w:val="000000"/>
                <w:sz w:val="18"/>
              </w:rPr>
              <w:t>美元债</w:t>
            </w:r>
            <w:r>
              <w:rPr>
                <w:rFonts w:ascii="宋体" w:hAnsi="宋体" w:eastAsia="宋体"/>
                <w:b w:val="0"/>
                <w:i w:val="0"/>
                <w:color w:val="000000"/>
                <w:sz w:val="18"/>
              </w:rPr>
              <w:t>券</w:t>
            </w:r>
          </w:p>
        </w:tc>
        <w:tc>
          <w:tcPr>
            <w:tcW w:type="dxa" w:w="806"/>
            <w:tcBorders>
              <w:start w:sz="2.3999999999998636"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26" w:lineRule="exact" w:before="486" w:after="0"/>
              <w:ind w:left="144" w:right="144" w:firstLine="0"/>
              <w:jc w:val="center"/>
            </w:pPr>
            <w:r>
              <w:rPr>
                <w:rFonts w:ascii="Times New Roman" w:hAnsi="Times New Roman" w:eastAsia="Times New Roman"/>
                <w:b w:val="0"/>
                <w:i w:val="0"/>
                <w:color w:val="000000"/>
                <w:sz w:val="18"/>
              </w:rPr>
              <w:t>2</w:t>
            </w:r>
            <w:r>
              <w:rPr>
                <w:rFonts w:ascii="宋体" w:hAnsi="宋体" w:eastAsia="宋体"/>
                <w:b w:val="0"/>
                <w:i w:val="0"/>
                <w:color w:val="000000"/>
                <w:sz w:val="18"/>
              </w:rPr>
              <w:t xml:space="preserve"> 亿美</w:t>
            </w:r>
            <w:r>
              <w:rPr>
                <w:rFonts w:ascii="宋体" w:hAnsi="宋体" w:eastAsia="宋体"/>
                <w:b w:val="0"/>
                <w:i w:val="0"/>
                <w:color w:val="000000"/>
                <w:sz w:val="18"/>
              </w:rPr>
              <w:t>元</w:t>
            </w:r>
          </w:p>
        </w:tc>
        <w:tc>
          <w:tcPr>
            <w:tcW w:type="dxa" w:w="800"/>
            <w:tcBorders>
              <w:start w:sz="1.6000000000001364"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26" w:lineRule="exact" w:before="486" w:after="0"/>
              <w:ind w:left="106" w:right="144" w:firstLine="0"/>
              <w:jc w:val="left"/>
            </w:pPr>
            <w:r>
              <w:rPr>
                <w:rFonts w:ascii="Times New Roman" w:hAnsi="Times New Roman" w:eastAsia="Times New Roman"/>
                <w:b w:val="0"/>
                <w:i w:val="0"/>
                <w:color w:val="000000"/>
                <w:sz w:val="18"/>
              </w:rPr>
              <w:t>1.98</w:t>
            </w:r>
            <w:r>
              <w:rPr>
                <w:rFonts w:ascii="宋体" w:hAnsi="宋体" w:eastAsia="宋体"/>
                <w:b w:val="0"/>
                <w:i w:val="0"/>
                <w:color w:val="000000"/>
                <w:sz w:val="18"/>
              </w:rPr>
              <w:t xml:space="preserve"> 亿</w:t>
            </w:r>
            <w:r>
              <w:rPr>
                <w:rFonts w:ascii="宋体" w:hAnsi="宋体" w:eastAsia="宋体"/>
                <w:b w:val="0"/>
                <w:i w:val="0"/>
                <w:color w:val="000000"/>
                <w:sz w:val="18"/>
              </w:rPr>
              <w:t>美元</w:t>
            </w:r>
          </w:p>
        </w:tc>
        <w:tc>
          <w:tcPr>
            <w:tcW w:type="dxa" w:w="806"/>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6" w:lineRule="exact" w:before="236" w:after="0"/>
              <w:ind w:left="110" w:right="0" w:firstLine="0"/>
              <w:jc w:val="left"/>
            </w:pPr>
            <w:r>
              <w:rPr>
                <w:rFonts w:ascii="Times New Roman" w:hAnsi="Times New Roman" w:eastAsia="Times New Roman"/>
                <w:b w:val="0"/>
                <w:i w:val="0"/>
                <w:color w:val="000000"/>
                <w:sz w:val="18"/>
              </w:rPr>
              <w:t>35</w:t>
            </w:r>
            <w:r>
              <w:rPr>
                <w:rFonts w:ascii="宋体" w:hAnsi="宋体" w:eastAsia="宋体"/>
                <w:b w:val="0"/>
                <w:i w:val="0"/>
                <w:color w:val="000000"/>
                <w:sz w:val="18"/>
              </w:rPr>
              <w:t xml:space="preserve"> 万美</w:t>
            </w:r>
            <w:r>
              <w:rPr>
                <w:rFonts w:ascii="宋体" w:hAnsi="宋体" w:eastAsia="宋体"/>
                <w:b w:val="0"/>
                <w:i w:val="0"/>
                <w:color w:val="000000"/>
                <w:sz w:val="18"/>
              </w:rPr>
              <w:t>元、</w:t>
            </w:r>
            <w:r>
              <w:rPr>
                <w:rFonts w:ascii="Times New Roman" w:hAnsi="Times New Roman" w:eastAsia="Times New Roman"/>
                <w:b w:val="0"/>
                <w:i w:val="0"/>
                <w:color w:val="000000"/>
                <w:sz w:val="18"/>
              </w:rPr>
              <w:t>19</w:t>
            </w:r>
            <w:r>
              <w:rPr>
                <w:rFonts w:ascii="宋体" w:hAnsi="宋体" w:eastAsia="宋体"/>
                <w:b w:val="0"/>
                <w:i w:val="0"/>
                <w:color w:val="000000"/>
                <w:sz w:val="18"/>
              </w:rPr>
              <w:t>万元人</w:t>
            </w:r>
            <w:r>
              <w:rPr>
                <w:rFonts w:ascii="宋体" w:hAnsi="宋体" w:eastAsia="宋体"/>
                <w:b w:val="0"/>
                <w:i w:val="0"/>
                <w:color w:val="000000"/>
                <w:sz w:val="18"/>
              </w:rPr>
              <w:t>民币</w:t>
            </w:r>
          </w:p>
        </w:tc>
        <w:tc>
          <w:tcPr>
            <w:tcW w:type="dxa" w:w="804"/>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6" w:lineRule="exact" w:before="0" w:after="0"/>
              <w:ind w:left="106" w:right="0" w:firstLine="0"/>
              <w:jc w:val="left"/>
            </w:pPr>
            <w:r>
              <w:rPr>
                <w:rFonts w:ascii="Times New Roman" w:hAnsi="Times New Roman" w:eastAsia="Times New Roman"/>
                <w:b w:val="0"/>
                <w:i w:val="0"/>
                <w:color w:val="000000"/>
                <w:sz w:val="18"/>
              </w:rPr>
              <w:t>1,735</w:t>
            </w:r>
            <w:r>
              <w:br/>
            </w:r>
            <w:r>
              <w:rPr>
                <w:rFonts w:ascii="宋体" w:hAnsi="宋体" w:eastAsia="宋体"/>
                <w:b w:val="0"/>
                <w:i w:val="0"/>
                <w:color w:val="000000"/>
                <w:sz w:val="18"/>
              </w:rPr>
              <w:t>万美</w:t>
            </w:r>
            <w:r>
              <w:br/>
            </w:r>
            <w:r>
              <w:rPr>
                <w:rFonts w:ascii="宋体" w:hAnsi="宋体" w:eastAsia="宋体"/>
                <w:b w:val="0"/>
                <w:i w:val="0"/>
                <w:color w:val="000000"/>
                <w:sz w:val="18"/>
              </w:rPr>
              <w:t>元、</w:t>
            </w:r>
            <w:r>
              <w:br/>
            </w:r>
            <w:r>
              <w:rPr>
                <w:rFonts w:ascii="Times New Roman" w:hAnsi="Times New Roman" w:eastAsia="Times New Roman"/>
                <w:b w:val="0"/>
                <w:i w:val="0"/>
                <w:color w:val="000000"/>
                <w:sz w:val="18"/>
              </w:rPr>
              <w:t>124,120</w:t>
            </w:r>
            <w:r>
              <w:rPr>
                <w:rFonts w:ascii="宋体" w:hAnsi="宋体" w:eastAsia="宋体"/>
                <w:b w:val="0"/>
                <w:i w:val="0"/>
                <w:color w:val="000000"/>
                <w:sz w:val="18"/>
              </w:rPr>
              <w:t>万元人</w:t>
            </w:r>
            <w:r>
              <w:rPr>
                <w:rFonts w:ascii="宋体" w:hAnsi="宋体" w:eastAsia="宋体"/>
                <w:b w:val="0"/>
                <w:i w:val="0"/>
                <w:color w:val="000000"/>
                <w:sz w:val="18"/>
              </w:rPr>
              <w:t>民币</w:t>
            </w:r>
          </w:p>
        </w:tc>
        <w:tc>
          <w:tcPr>
            <w:tcW w:type="dxa" w:w="802"/>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638"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638"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638"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632" w:after="0"/>
              <w:ind w:left="0" w:right="0" w:firstLine="0"/>
              <w:jc w:val="center"/>
            </w:pPr>
            <w:r>
              <w:rPr>
                <w:rFonts w:ascii="Times New Roman" w:hAnsi="Times New Roman" w:eastAsia="Times New Roman"/>
                <w:b w:val="0"/>
                <w:i w:val="0"/>
                <w:color w:val="000000"/>
                <w:sz w:val="18"/>
              </w:rPr>
              <w:t xml:space="preserve">- </w:t>
            </w:r>
          </w:p>
        </w:tc>
        <w:tc>
          <w:tcPr>
            <w:tcW w:type="dxa" w:w="804"/>
            <w:tcBorders>
              <w:start w:sz="2.399999999999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632" w:after="0"/>
              <w:ind w:left="0" w:right="0" w:firstLine="0"/>
              <w:jc w:val="center"/>
            </w:pPr>
            <w:r>
              <w:rPr>
                <w:rFonts w:ascii="Times New Roman" w:hAnsi="Times New Roman" w:eastAsia="Times New Roman"/>
                <w:b w:val="0"/>
                <w:i w:val="0"/>
                <w:color w:val="000000"/>
                <w:sz w:val="18"/>
              </w:rPr>
              <w:t xml:space="preserve">- </w:t>
            </w:r>
          </w:p>
        </w:tc>
        <w:tc>
          <w:tcPr>
            <w:tcW w:type="dxa" w:w="806"/>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638" w:after="0"/>
              <w:ind w:left="0" w:right="0" w:firstLine="0"/>
              <w:jc w:val="center"/>
            </w:pPr>
            <w:r>
              <w:rPr>
                <w:rFonts w:ascii="宋体" w:hAnsi="宋体" w:eastAsia="宋体"/>
                <w:b w:val="0"/>
                <w:i w:val="0"/>
                <w:color w:val="000000"/>
                <w:sz w:val="18"/>
              </w:rPr>
              <w:t>不适用</w:t>
            </w:r>
          </w:p>
        </w:tc>
      </w:tr>
      <w:tr>
        <w:trPr>
          <w:trHeight w:hRule="exact" w:val="726"/>
        </w:trPr>
        <w:tc>
          <w:tcPr>
            <w:tcW w:type="dxa" w:w="804"/>
            <w:tcBorders>
              <w:start w:sz="2.3999999999999773"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238" w:lineRule="exact" w:before="0" w:after="0"/>
              <w:ind w:left="0" w:right="0" w:firstLine="0"/>
              <w:jc w:val="center"/>
            </w:pPr>
            <w:r>
              <w:rPr>
                <w:rFonts w:ascii="Times New Roman" w:hAnsi="Times New Roman" w:eastAsia="Times New Roman"/>
                <w:b w:val="0"/>
                <w:i w:val="0"/>
                <w:color w:val="000000"/>
                <w:sz w:val="18"/>
              </w:rPr>
              <w:t>2024</w:t>
            </w:r>
            <w:r>
              <w:br/>
            </w:r>
            <w:r>
              <w:rPr>
                <w:rFonts w:ascii="宋体" w:hAnsi="宋体" w:eastAsia="宋体"/>
                <w:b w:val="0"/>
                <w:i w:val="0"/>
                <w:color w:val="000000"/>
                <w:sz w:val="18"/>
              </w:rPr>
              <w:t>（</w:t>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w:t>
            </w:r>
            <w:r>
              <w:rPr>
                <w:rFonts w:ascii="宋体" w:hAnsi="宋体" w:eastAsia="宋体"/>
                <w:b w:val="0"/>
                <w:i w:val="0"/>
                <w:color w:val="000000"/>
                <w:sz w:val="18"/>
              </w:rPr>
              <w:t>证</w:t>
            </w:r>
            <w:r>
              <w:rPr>
                <w:rFonts w:ascii="Times New Roman" w:hAnsi="Times New Roman" w:eastAsia="Times New Roman"/>
                <w:b w:val="0"/>
                <w:i w:val="0"/>
                <w:color w:val="000000"/>
                <w:sz w:val="18"/>
              </w:rPr>
              <w:t>01</w:t>
            </w:r>
            <w:r>
              <w:rPr>
                <w:rFonts w:ascii="宋体" w:hAnsi="宋体" w:eastAsia="宋体"/>
                <w:b w:val="0"/>
                <w:i w:val="0"/>
                <w:color w:val="000000"/>
                <w:sz w:val="18"/>
              </w:rPr>
              <w:t>）</w:t>
            </w:r>
          </w:p>
        </w:tc>
        <w:tc>
          <w:tcPr>
            <w:tcW w:type="dxa" w:w="802"/>
            <w:tcBorders>
              <w:start w:sz="2.3999999999999773"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公司债</w:t>
            </w:r>
          </w:p>
        </w:tc>
        <w:tc>
          <w:tcPr>
            <w:tcW w:type="dxa" w:w="806"/>
            <w:tcBorders>
              <w:start w:sz="2.3999999999998636"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180,000 </w:t>
            </w:r>
          </w:p>
        </w:tc>
        <w:tc>
          <w:tcPr>
            <w:tcW w:type="dxa" w:w="800"/>
            <w:tcBorders>
              <w:start w:sz="1.6000000000001364"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179,640 </w:t>
            </w:r>
          </w:p>
        </w:tc>
        <w:tc>
          <w:tcPr>
            <w:tcW w:type="dxa" w:w="806"/>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179,848 </w:t>
            </w:r>
          </w:p>
        </w:tc>
        <w:tc>
          <w:tcPr>
            <w:tcW w:type="dxa" w:w="804"/>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179,848 </w:t>
            </w:r>
          </w:p>
        </w:tc>
        <w:tc>
          <w:tcPr>
            <w:tcW w:type="dxa" w:w="802"/>
            <w:tcBorders>
              <w:start w:sz="1.599999999999909"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4"/>
            <w:tcBorders>
              <w:start w:sz="2.399999999999636"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6"/>
            <w:tcBorders>
              <w:start w:sz="2.400000000000091"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r>
      <w:tr>
        <w:trPr>
          <w:trHeight w:hRule="exact" w:val="724"/>
        </w:trPr>
        <w:tc>
          <w:tcPr>
            <w:tcW w:type="dxa" w:w="804"/>
            <w:tcBorders>
              <w:start w:sz="2.3999999999999773"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236" w:lineRule="exact" w:before="0" w:after="0"/>
              <w:ind w:left="0" w:right="0" w:firstLine="0"/>
              <w:jc w:val="center"/>
            </w:pPr>
            <w:r>
              <w:rPr>
                <w:rFonts w:ascii="Times New Roman" w:hAnsi="Times New Roman" w:eastAsia="Times New Roman"/>
                <w:b w:val="0"/>
                <w:i w:val="0"/>
                <w:color w:val="000000"/>
                <w:sz w:val="18"/>
              </w:rPr>
              <w:t>2024</w:t>
            </w:r>
            <w:r>
              <w:br/>
            </w:r>
            <w:r>
              <w:rPr>
                <w:rFonts w:ascii="宋体" w:hAnsi="宋体" w:eastAsia="宋体"/>
                <w:b w:val="0"/>
                <w:i w:val="0"/>
                <w:color w:val="000000"/>
                <w:sz w:val="18"/>
              </w:rPr>
              <w:t>（</w:t>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w:t>
            </w:r>
            <w:r>
              <w:rPr>
                <w:rFonts w:ascii="宋体" w:hAnsi="宋体" w:eastAsia="宋体"/>
                <w:b w:val="0"/>
                <w:i w:val="0"/>
                <w:color w:val="000000"/>
                <w:sz w:val="18"/>
              </w:rPr>
              <w:t>证</w:t>
            </w:r>
            <w:r>
              <w:rPr>
                <w:rFonts w:ascii="Times New Roman" w:hAnsi="Times New Roman" w:eastAsia="Times New Roman"/>
                <w:b w:val="0"/>
                <w:i w:val="0"/>
                <w:color w:val="000000"/>
                <w:sz w:val="18"/>
              </w:rPr>
              <w:t>02</w:t>
            </w:r>
            <w:r>
              <w:rPr>
                <w:rFonts w:ascii="宋体" w:hAnsi="宋体" w:eastAsia="宋体"/>
                <w:b w:val="0"/>
                <w:i w:val="0"/>
                <w:color w:val="000000"/>
                <w:sz w:val="18"/>
              </w:rPr>
              <w:t>）</w:t>
            </w:r>
          </w:p>
        </w:tc>
        <w:tc>
          <w:tcPr>
            <w:tcW w:type="dxa" w:w="802"/>
            <w:tcBorders>
              <w:start w:sz="2.3999999999999773"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公司债</w:t>
            </w:r>
          </w:p>
        </w:tc>
        <w:tc>
          <w:tcPr>
            <w:tcW w:type="dxa" w:w="806"/>
            <w:tcBorders>
              <w:start w:sz="2.3999999999998636"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170,000 </w:t>
            </w:r>
          </w:p>
        </w:tc>
        <w:tc>
          <w:tcPr>
            <w:tcW w:type="dxa" w:w="800"/>
            <w:tcBorders>
              <w:start w:sz="1.6000000000001364"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169,660 </w:t>
            </w:r>
          </w:p>
        </w:tc>
        <w:tc>
          <w:tcPr>
            <w:tcW w:type="dxa" w:w="806"/>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169,876 </w:t>
            </w:r>
          </w:p>
        </w:tc>
        <w:tc>
          <w:tcPr>
            <w:tcW w:type="dxa" w:w="804"/>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169,876 </w:t>
            </w:r>
          </w:p>
        </w:tc>
        <w:tc>
          <w:tcPr>
            <w:tcW w:type="dxa" w:w="802"/>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4"/>
            <w:tcBorders>
              <w:start w:sz="2.399999999999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6"/>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r>
      <w:tr>
        <w:trPr>
          <w:trHeight w:hRule="exact" w:val="726"/>
        </w:trPr>
        <w:tc>
          <w:tcPr>
            <w:tcW w:type="dxa" w:w="804"/>
            <w:tcBorders>
              <w:start w:sz="2.3999999999999773"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238" w:lineRule="exact" w:before="0" w:after="0"/>
              <w:ind w:left="0" w:right="0" w:firstLine="0"/>
              <w:jc w:val="center"/>
            </w:pPr>
            <w:r>
              <w:rPr>
                <w:rFonts w:ascii="Times New Roman" w:hAnsi="Times New Roman" w:eastAsia="Times New Roman"/>
                <w:b w:val="0"/>
                <w:i w:val="0"/>
                <w:color w:val="000000"/>
                <w:sz w:val="18"/>
              </w:rPr>
              <w:t>2024</w:t>
            </w:r>
            <w:r>
              <w:br/>
            </w:r>
            <w:r>
              <w:rPr>
                <w:rFonts w:ascii="宋体" w:hAnsi="宋体" w:eastAsia="宋体"/>
                <w:b w:val="0"/>
                <w:i w:val="0"/>
                <w:color w:val="000000"/>
                <w:sz w:val="18"/>
              </w:rPr>
              <w:t>（</w:t>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w:t>
            </w:r>
            <w:r>
              <w:rPr>
                <w:rFonts w:ascii="宋体" w:hAnsi="宋体" w:eastAsia="宋体"/>
                <w:b w:val="0"/>
                <w:i w:val="0"/>
                <w:color w:val="000000"/>
                <w:sz w:val="18"/>
              </w:rPr>
              <w:t>证</w:t>
            </w:r>
            <w:r>
              <w:rPr>
                <w:rFonts w:ascii="Times New Roman" w:hAnsi="Times New Roman" w:eastAsia="Times New Roman"/>
                <w:b w:val="0"/>
                <w:i w:val="0"/>
                <w:color w:val="000000"/>
                <w:sz w:val="18"/>
              </w:rPr>
              <w:t>04</w:t>
            </w:r>
            <w:r>
              <w:rPr>
                <w:rFonts w:ascii="宋体" w:hAnsi="宋体" w:eastAsia="宋体"/>
                <w:b w:val="0"/>
                <w:i w:val="0"/>
                <w:color w:val="000000"/>
                <w:sz w:val="18"/>
              </w:rPr>
              <w:t>）</w:t>
            </w:r>
          </w:p>
        </w:tc>
        <w:tc>
          <w:tcPr>
            <w:tcW w:type="dxa" w:w="802"/>
            <w:tcBorders>
              <w:start w:sz="2.3999999999999773"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公司债</w:t>
            </w:r>
          </w:p>
        </w:tc>
        <w:tc>
          <w:tcPr>
            <w:tcW w:type="dxa" w:w="806"/>
            <w:tcBorders>
              <w:start w:sz="2.3999999999998636"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180,000 </w:t>
            </w:r>
          </w:p>
        </w:tc>
        <w:tc>
          <w:tcPr>
            <w:tcW w:type="dxa" w:w="800"/>
            <w:tcBorders>
              <w:start w:sz="1.6000000000001364"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179,640 </w:t>
            </w:r>
          </w:p>
        </w:tc>
        <w:tc>
          <w:tcPr>
            <w:tcW w:type="dxa" w:w="806"/>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179,640 </w:t>
            </w:r>
          </w:p>
        </w:tc>
        <w:tc>
          <w:tcPr>
            <w:tcW w:type="dxa" w:w="804"/>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179,640 </w:t>
            </w:r>
          </w:p>
        </w:tc>
        <w:tc>
          <w:tcPr>
            <w:tcW w:type="dxa" w:w="802"/>
            <w:tcBorders>
              <w:start w:sz="1.599999999999909"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4"/>
            <w:tcBorders>
              <w:start w:sz="2.399999999999636"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6"/>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r>
      <w:tr>
        <w:trPr>
          <w:trHeight w:hRule="exact" w:val="724"/>
        </w:trPr>
        <w:tc>
          <w:tcPr>
            <w:tcW w:type="dxa" w:w="804"/>
            <w:tcBorders>
              <w:start w:sz="2.3999999999999773"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236" w:lineRule="exact" w:before="0" w:after="0"/>
              <w:ind w:left="0" w:right="0" w:firstLine="0"/>
              <w:jc w:val="center"/>
            </w:pPr>
            <w:r>
              <w:rPr>
                <w:rFonts w:ascii="Times New Roman" w:hAnsi="Times New Roman" w:eastAsia="Times New Roman"/>
                <w:b w:val="0"/>
                <w:i w:val="0"/>
                <w:color w:val="000000"/>
                <w:sz w:val="18"/>
              </w:rPr>
              <w:t>2024</w:t>
            </w:r>
            <w:r>
              <w:br/>
            </w:r>
            <w:r>
              <w:rPr>
                <w:rFonts w:ascii="宋体" w:hAnsi="宋体" w:eastAsia="宋体"/>
                <w:b w:val="0"/>
                <w:i w:val="0"/>
                <w:color w:val="000000"/>
                <w:sz w:val="18"/>
              </w:rPr>
              <w:t>（</w:t>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w:t>
            </w:r>
            <w:r>
              <w:rPr>
                <w:rFonts w:ascii="宋体" w:hAnsi="宋体" w:eastAsia="宋体"/>
                <w:b w:val="0"/>
                <w:i w:val="0"/>
                <w:color w:val="000000"/>
                <w:sz w:val="18"/>
              </w:rPr>
              <w:t>证</w:t>
            </w:r>
            <w:r>
              <w:rPr>
                <w:rFonts w:ascii="Times New Roman" w:hAnsi="Times New Roman" w:eastAsia="Times New Roman"/>
                <w:b w:val="0"/>
                <w:i w:val="0"/>
                <w:color w:val="000000"/>
                <w:sz w:val="18"/>
              </w:rPr>
              <w:t>05</w:t>
            </w:r>
            <w:r>
              <w:rPr>
                <w:rFonts w:ascii="宋体" w:hAnsi="宋体" w:eastAsia="宋体"/>
                <w:b w:val="0"/>
                <w:i w:val="0"/>
                <w:color w:val="000000"/>
                <w:sz w:val="18"/>
              </w:rPr>
              <w:t>）</w:t>
            </w:r>
          </w:p>
        </w:tc>
        <w:tc>
          <w:tcPr>
            <w:tcW w:type="dxa" w:w="802"/>
            <w:tcBorders>
              <w:start w:sz="2.3999999999999773"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公司债</w:t>
            </w:r>
          </w:p>
        </w:tc>
        <w:tc>
          <w:tcPr>
            <w:tcW w:type="dxa" w:w="806"/>
            <w:tcBorders>
              <w:start w:sz="2.3999999999998636"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70,000 </w:t>
            </w:r>
          </w:p>
        </w:tc>
        <w:tc>
          <w:tcPr>
            <w:tcW w:type="dxa" w:w="800"/>
            <w:tcBorders>
              <w:start w:sz="1.6000000000001364"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69,860 </w:t>
            </w:r>
          </w:p>
        </w:tc>
        <w:tc>
          <w:tcPr>
            <w:tcW w:type="dxa" w:w="806"/>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69,860 </w:t>
            </w:r>
          </w:p>
        </w:tc>
        <w:tc>
          <w:tcPr>
            <w:tcW w:type="dxa" w:w="804"/>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69,860 </w:t>
            </w:r>
          </w:p>
        </w:tc>
        <w:tc>
          <w:tcPr>
            <w:tcW w:type="dxa" w:w="802"/>
            <w:tcBorders>
              <w:start w:sz="1.599999999999909"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4"/>
            <w:tcBorders>
              <w:start w:sz="2.399999999999636"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272" w:after="0"/>
              <w:ind w:left="0" w:right="0" w:firstLine="0"/>
              <w:jc w:val="center"/>
            </w:pPr>
            <w:r>
              <w:rPr>
                <w:rFonts w:ascii="Times New Roman" w:hAnsi="Times New Roman" w:eastAsia="Times New Roman"/>
                <w:b w:val="0"/>
                <w:i w:val="0"/>
                <w:color w:val="000000"/>
                <w:sz w:val="18"/>
              </w:rPr>
              <w:t xml:space="preserve">- </w:t>
            </w:r>
          </w:p>
        </w:tc>
        <w:tc>
          <w:tcPr>
            <w:tcW w:type="dxa" w:w="806"/>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不适用</w:t>
            </w:r>
          </w:p>
        </w:tc>
      </w:tr>
      <w:tr>
        <w:trPr>
          <w:trHeight w:hRule="exact" w:val="328"/>
        </w:trPr>
        <w:tc>
          <w:tcPr>
            <w:tcW w:type="dxa" w:w="804"/>
            <w:tcBorders>
              <w:start w:sz="2.3999999999999773" w:val="single" w:color="#000000"/>
              <w:top w:sz="1.599999999999909" w:val="single" w:color="#000000"/>
              <w:end w:sz="2.3999999999999773"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128" w:firstLine="0"/>
              <w:jc w:val="right"/>
            </w:pPr>
            <w:r>
              <w:rPr>
                <w:rFonts w:ascii="宋体" w:hAnsi="宋体" w:eastAsia="宋体"/>
                <w:b w:val="0"/>
                <w:i w:val="0"/>
                <w:color w:val="000000"/>
                <w:sz w:val="18"/>
              </w:rPr>
              <w:t xml:space="preserve">合计 </w:t>
            </w:r>
          </w:p>
        </w:tc>
        <w:tc>
          <w:tcPr>
            <w:tcW w:type="dxa" w:w="802"/>
            <w:tcBorders>
              <w:start w:sz="2.3999999999999773" w:val="single" w:color="#000000"/>
              <w:top w:sz="1.599999999999909"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216" w:firstLine="0"/>
              <w:jc w:val="right"/>
            </w:pPr>
            <w:r>
              <w:rPr>
                <w:rFonts w:ascii="宋体" w:hAnsi="宋体" w:eastAsia="宋体"/>
                <w:b w:val="0"/>
                <w:i w:val="0"/>
                <w:color w:val="000000"/>
                <w:sz w:val="18"/>
              </w:rPr>
              <w:t xml:space="preserve">-- </w:t>
            </w:r>
          </w:p>
        </w:tc>
        <w:tc>
          <w:tcPr>
            <w:tcW w:type="dxa" w:w="806"/>
            <w:tcBorders>
              <w:start w:sz="2.3999999999998636"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0" w:right="264" w:firstLine="0"/>
              <w:jc w:val="right"/>
            </w:pPr>
            <w:r>
              <w:rPr>
                <w:rFonts w:ascii="宋体" w:hAnsi="宋体" w:eastAsia="宋体"/>
                <w:b w:val="0"/>
                <w:i w:val="0"/>
                <w:color w:val="000000"/>
                <w:sz w:val="18"/>
              </w:rPr>
              <w:t xml:space="preserve">- </w:t>
            </w:r>
          </w:p>
        </w:tc>
        <w:tc>
          <w:tcPr>
            <w:tcW w:type="dxa" w:w="800"/>
            <w:tcBorders>
              <w:start w:sz="1.6000000000001364"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0" w:right="260" w:firstLine="0"/>
              <w:jc w:val="right"/>
            </w:pPr>
            <w:r>
              <w:rPr>
                <w:rFonts w:ascii="宋体" w:hAnsi="宋体" w:eastAsia="宋体"/>
                <w:b w:val="0"/>
                <w:i w:val="0"/>
                <w:color w:val="000000"/>
                <w:sz w:val="18"/>
              </w:rPr>
              <w:t xml:space="preserve">- </w:t>
            </w:r>
          </w:p>
        </w:tc>
        <w:tc>
          <w:tcPr>
            <w:tcW w:type="dxa" w:w="806"/>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0" w:right="264" w:firstLine="0"/>
              <w:jc w:val="right"/>
            </w:pPr>
            <w:r>
              <w:rPr>
                <w:rFonts w:ascii="宋体" w:hAnsi="宋体" w:eastAsia="宋体"/>
                <w:b w:val="0"/>
                <w:i w:val="0"/>
                <w:color w:val="000000"/>
                <w:sz w:val="18"/>
              </w:rPr>
              <w:t xml:space="preserve">- </w:t>
            </w:r>
          </w:p>
        </w:tc>
        <w:tc>
          <w:tcPr>
            <w:tcW w:type="dxa" w:w="804"/>
            <w:tcBorders>
              <w:start w:sz="2.400000000000091"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0" w:right="266" w:firstLine="0"/>
              <w:jc w:val="right"/>
            </w:pPr>
            <w:r>
              <w:rPr>
                <w:rFonts w:ascii="宋体" w:hAnsi="宋体" w:eastAsia="宋体"/>
                <w:b w:val="0"/>
                <w:i w:val="0"/>
                <w:color w:val="000000"/>
                <w:sz w:val="18"/>
              </w:rPr>
              <w:t xml:space="preserve">- </w:t>
            </w:r>
          </w:p>
        </w:tc>
        <w:tc>
          <w:tcPr>
            <w:tcW w:type="dxa" w:w="802"/>
            <w:tcBorders>
              <w:start w:sz="1.599999999999909" w:val="single" w:color="#000000"/>
              <w:top w:sz="1.599999999999909"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不适用</w:t>
            </w:r>
          </w:p>
        </w:tc>
        <w:tc>
          <w:tcPr>
            <w:tcW w:type="dxa" w:w="804"/>
            <w:tcBorders>
              <w:start w:sz="2.399999999999636" w:val="single" w:color="#000000"/>
              <w:top w:sz="1.599999999999909"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不适用</w:t>
            </w:r>
          </w:p>
        </w:tc>
        <w:tc>
          <w:tcPr>
            <w:tcW w:type="dxa" w:w="800"/>
            <w:tcBorders>
              <w:start w:sz="1.6000000000003638"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不适用</w:t>
            </w:r>
          </w:p>
        </w:tc>
        <w:tc>
          <w:tcPr>
            <w:tcW w:type="dxa" w:w="804"/>
            <w:tcBorders>
              <w:start w:sz="2.400000000000091" w:val="single" w:color="#000000"/>
              <w:top w:sz="1.599999999999909"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0" w:right="262" w:firstLine="0"/>
              <w:jc w:val="right"/>
            </w:pPr>
            <w:r>
              <w:rPr>
                <w:rFonts w:ascii="宋体" w:hAnsi="宋体" w:eastAsia="宋体"/>
                <w:b w:val="0"/>
                <w:i w:val="0"/>
                <w:color w:val="000000"/>
                <w:sz w:val="18"/>
              </w:rPr>
              <w:t xml:space="preserve">- </w:t>
            </w:r>
          </w:p>
        </w:tc>
        <w:tc>
          <w:tcPr>
            <w:tcW w:type="dxa" w:w="804"/>
            <w:tcBorders>
              <w:start w:sz="2.399999999999636"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0" w:right="216" w:firstLine="0"/>
              <w:jc w:val="right"/>
            </w:pPr>
            <w:r>
              <w:rPr>
                <w:rFonts w:ascii="宋体" w:hAnsi="宋体" w:eastAsia="宋体"/>
                <w:b w:val="0"/>
                <w:i w:val="0"/>
                <w:color w:val="000000"/>
                <w:sz w:val="18"/>
              </w:rPr>
              <w:t xml:space="preserve">-- </w:t>
            </w:r>
          </w:p>
        </w:tc>
        <w:tc>
          <w:tcPr>
            <w:tcW w:type="dxa" w:w="806"/>
            <w:tcBorders>
              <w:start w:sz="2.400000000000091" w:val="single" w:color="#000000"/>
              <w:top w:sz="1.599999999999909"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78" w:after="0"/>
              <w:ind w:left="158" w:right="0" w:firstLine="0"/>
              <w:jc w:val="left"/>
            </w:pPr>
            <w:r>
              <w:rPr>
                <w:rFonts w:ascii="宋体" w:hAnsi="宋体" w:eastAsia="宋体"/>
                <w:b w:val="0"/>
                <w:i w:val="0"/>
                <w:color w:val="000000"/>
                <w:sz w:val="18"/>
              </w:rPr>
              <w:t xml:space="preserve">不适用 </w:t>
            </w:r>
          </w:p>
        </w:tc>
      </w:tr>
      <w:tr>
        <w:trPr>
          <w:trHeight w:hRule="exact" w:val="322"/>
        </w:trPr>
        <w:tc>
          <w:tcPr>
            <w:tcW w:type="dxa" w:w="9642"/>
            <w:gridSpan w:val="12"/>
            <w:tcBorders>
              <w:start w:sz="2.3999999999999773" w:val="single" w:color="#000000"/>
              <w:top w:sz="2.400000000000091" w:val="single" w:color="#000000"/>
              <w:end w:sz="1.5999999999994543" w:val="single" w:color="#000000"/>
              <w:bottom w:sz="2.400000000000091"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74" w:after="0"/>
              <w:ind w:left="0" w:right="3646" w:firstLine="0"/>
              <w:jc w:val="right"/>
            </w:pPr>
            <w:r>
              <w:rPr>
                <w:rFonts w:ascii="宋体" w:hAnsi="宋体" w:eastAsia="宋体"/>
                <w:b w:val="0"/>
                <w:i w:val="0"/>
                <w:color w:val="000000"/>
                <w:sz w:val="18"/>
              </w:rPr>
              <w:t xml:space="preserve">募集资金总体使用情况说明 </w:t>
            </w:r>
          </w:p>
        </w:tc>
      </w:tr>
      <w:tr>
        <w:trPr>
          <w:trHeight w:hRule="exact" w:val="6088"/>
        </w:trPr>
        <w:tc>
          <w:tcPr>
            <w:tcW w:type="dxa" w:w="9642"/>
            <w:gridSpan w:val="12"/>
            <w:tcBorders>
              <w:start w:sz="2.3999999999999773" w:val="single" w:color="#000000"/>
              <w:top w:sz="2.400000000000091" w:val="single" w:color="#000000"/>
              <w:end w:sz="1.5999999999994543"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468" w:val="left"/>
              </w:tabs>
              <w:autoSpaceDE w:val="0"/>
              <w:widowControl/>
              <w:spacing w:line="300" w:lineRule="exact" w:before="0" w:after="0"/>
              <w:ind w:left="108" w:right="144" w:firstLine="0"/>
              <w:jc w:val="left"/>
            </w:pPr>
            <w:r>
              <w:tab/>
            </w:r>
            <w:r>
              <w:rPr>
                <w:rFonts w:ascii="Times New Roman" w:hAnsi="Times New Roman" w:eastAsia="Times New Roman"/>
                <w:b w:val="0"/>
                <w:i w:val="0"/>
                <w:color w:val="000000"/>
                <w:sz w:val="18"/>
              </w:rPr>
              <w:t>21</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9.99</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2</w:t>
            </w:r>
            <w:r>
              <w:rPr>
                <w:rFonts w:ascii="宋体" w:hAnsi="宋体" w:eastAsia="宋体"/>
                <w:b w:val="0"/>
                <w:i w:val="0"/>
                <w:color w:val="000000"/>
                <w:sz w:val="18"/>
              </w:rPr>
              <w:t xml:space="preserve"> 月</w:t>
            </w:r>
            <w:r>
              <w:rPr>
                <w:rFonts w:ascii="宋体" w:hAnsi="宋体" w:eastAsia="宋体"/>
                <w:b w:val="0"/>
                <w:i w:val="0"/>
                <w:color w:val="000000"/>
                <w:sz w:val="18"/>
              </w:rPr>
              <w:t>完成兑付工作，募集资金专项账户已销户。</w:t>
            </w:r>
          </w:p>
          <w:p>
            <w:pPr>
              <w:autoSpaceDN w:val="0"/>
              <w:tabs>
                <w:tab w:pos="468" w:val="left"/>
              </w:tabs>
              <w:autoSpaceDE w:val="0"/>
              <w:widowControl/>
              <w:spacing w:line="318" w:lineRule="exact" w:before="16" w:after="0"/>
              <w:ind w:left="108" w:right="144" w:firstLine="0"/>
              <w:jc w:val="left"/>
            </w:pPr>
            <w:r>
              <w:tab/>
            </w:r>
            <w:r>
              <w:rPr>
                <w:rFonts w:ascii="宋体" w:hAnsi="宋体" w:eastAsia="宋体"/>
                <w:b w:val="0"/>
                <w:i w:val="0"/>
                <w:color w:val="000000"/>
                <w:sz w:val="18"/>
              </w:rPr>
              <w:t>美元债募集资金净额</w:t>
            </w:r>
            <w:r>
              <w:rPr>
                <w:rFonts w:ascii="Times New Roman" w:hAnsi="Times New Roman" w:eastAsia="Times New Roman"/>
                <w:b w:val="0"/>
                <w:i w:val="0"/>
                <w:color w:val="000000"/>
                <w:sz w:val="18"/>
              </w:rPr>
              <w:t>1.98</w:t>
            </w:r>
            <w:r>
              <w:rPr>
                <w:rFonts w:ascii="宋体" w:hAnsi="宋体" w:eastAsia="宋体"/>
                <w:b w:val="0"/>
                <w:i w:val="0"/>
                <w:color w:val="000000"/>
                <w:sz w:val="18"/>
              </w:rPr>
              <w:t xml:space="preserve"> 亿美元，已累计使用</w:t>
            </w:r>
            <w:r>
              <w:rPr>
                <w:rFonts w:ascii="Times New Roman" w:hAnsi="Times New Roman" w:eastAsia="Times New Roman"/>
                <w:b w:val="0"/>
                <w:i w:val="0"/>
                <w:color w:val="000000"/>
                <w:sz w:val="18"/>
              </w:rPr>
              <w:t>1.98</w:t>
            </w:r>
            <w:r>
              <w:rPr>
                <w:rFonts w:ascii="宋体" w:hAnsi="宋体" w:eastAsia="宋体"/>
                <w:b w:val="0"/>
                <w:i w:val="0"/>
                <w:color w:val="000000"/>
                <w:sz w:val="18"/>
              </w:rPr>
              <w:t xml:space="preserve"> 亿美元，已使用资金用于偿还公司债务以及补充营运资金，已</w:t>
            </w:r>
            <w:r>
              <w:rPr>
                <w:rFonts w:ascii="宋体" w:hAnsi="宋体" w:eastAsia="宋体"/>
                <w:b w:val="0"/>
                <w:i w:val="0"/>
                <w:color w:val="000000"/>
                <w:sz w:val="18"/>
              </w:rPr>
              <w:t>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4</w:t>
            </w:r>
            <w:r>
              <w:rPr>
                <w:rFonts w:ascii="宋体" w:hAnsi="宋体" w:eastAsia="宋体"/>
                <w:b w:val="0"/>
                <w:i w:val="0"/>
                <w:color w:val="000000"/>
                <w:sz w:val="18"/>
              </w:rPr>
              <w:t xml:space="preserve"> 月完成兑付工作，募集资金专项账户已销户。</w:t>
            </w:r>
          </w:p>
          <w:p>
            <w:pPr>
              <w:autoSpaceDN w:val="0"/>
              <w:tabs>
                <w:tab w:pos="468" w:val="left"/>
              </w:tabs>
              <w:autoSpaceDE w:val="0"/>
              <w:widowControl/>
              <w:spacing w:line="306" w:lineRule="exact" w:before="16" w:after="0"/>
              <w:ind w:left="108" w:right="144" w:firstLine="0"/>
              <w:jc w:val="left"/>
            </w:pPr>
            <w:r>
              <w:tab/>
            </w:r>
            <w:r>
              <w:rPr>
                <w:rFonts w:ascii="Times New Roman" w:hAnsi="Times New Roman" w:eastAsia="Times New Roman"/>
                <w:b w:val="0"/>
                <w:i w:val="0"/>
                <w:color w:val="000000"/>
                <w:sz w:val="18"/>
              </w:rPr>
              <w:t>21</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C2</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6.99</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6.99</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8</w:t>
            </w:r>
            <w:r>
              <w:rPr>
                <w:rFonts w:ascii="宋体" w:hAnsi="宋体" w:eastAsia="宋体"/>
                <w:b w:val="0"/>
                <w:i w:val="0"/>
                <w:color w:val="000000"/>
                <w:sz w:val="18"/>
              </w:rPr>
              <w:t xml:space="preserve"> 月</w:t>
            </w:r>
            <w:r>
              <w:rPr>
                <w:rFonts w:ascii="宋体" w:hAnsi="宋体" w:eastAsia="宋体"/>
                <w:b w:val="0"/>
                <w:i w:val="0"/>
                <w:color w:val="000000"/>
                <w:sz w:val="18"/>
              </w:rPr>
              <w:t>完成兑付工作，募集资金专项账户已销户。</w:t>
            </w:r>
          </w:p>
          <w:p>
            <w:pPr>
              <w:autoSpaceDN w:val="0"/>
              <w:tabs>
                <w:tab w:pos="468" w:val="left"/>
              </w:tabs>
              <w:autoSpaceDE w:val="0"/>
              <w:widowControl/>
              <w:spacing w:line="308" w:lineRule="exact" w:before="26" w:after="0"/>
              <w:ind w:left="108" w:right="144" w:firstLine="0"/>
              <w:jc w:val="left"/>
            </w:pPr>
            <w:r>
              <w:tab/>
            </w:r>
            <w:r>
              <w:rPr>
                <w:rFonts w:ascii="Times New Roman" w:hAnsi="Times New Roman" w:eastAsia="Times New Roman"/>
                <w:b w:val="0"/>
                <w:i w:val="0"/>
                <w:color w:val="000000"/>
                <w:sz w:val="18"/>
              </w:rPr>
              <w:t>21</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10</w:t>
            </w:r>
            <w:r>
              <w:rPr>
                <w:rFonts w:ascii="宋体" w:hAnsi="宋体" w:eastAsia="宋体"/>
                <w:b w:val="0"/>
                <w:i w:val="0"/>
                <w:color w:val="000000"/>
                <w:sz w:val="18"/>
              </w:rPr>
              <w:t xml:space="preserve"> 月</w:t>
            </w:r>
            <w:r>
              <w:rPr>
                <w:rFonts w:ascii="宋体" w:hAnsi="宋体" w:eastAsia="宋体"/>
                <w:b w:val="0"/>
                <w:i w:val="0"/>
                <w:color w:val="000000"/>
                <w:sz w:val="18"/>
              </w:rPr>
              <w:t>完成兑付工作，募集资金专项账户已销户。</w:t>
            </w:r>
          </w:p>
          <w:p>
            <w:pPr>
              <w:autoSpaceDN w:val="0"/>
              <w:tabs>
                <w:tab w:pos="468" w:val="left"/>
              </w:tabs>
              <w:autoSpaceDE w:val="0"/>
              <w:widowControl/>
              <w:spacing w:line="320" w:lineRule="exact" w:before="12" w:after="0"/>
              <w:ind w:left="108" w:right="144" w:firstLine="0"/>
              <w:jc w:val="left"/>
            </w:pPr>
            <w:r>
              <w:tab/>
            </w:r>
            <w:r>
              <w:rPr>
                <w:rFonts w:ascii="Times New Roman" w:hAnsi="Times New Roman" w:eastAsia="Times New Roman"/>
                <w:b w:val="0"/>
                <w:i w:val="0"/>
                <w:color w:val="000000"/>
                <w:sz w:val="18"/>
              </w:rPr>
              <w:t>21</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02</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14.97</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14.97</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11</w:t>
            </w:r>
            <w:r>
              <w:rPr>
                <w:rFonts w:ascii="宋体" w:hAnsi="宋体" w:eastAsia="宋体"/>
                <w:b w:val="0"/>
                <w:i w:val="0"/>
                <w:color w:val="000000"/>
                <w:sz w:val="18"/>
              </w:rPr>
              <w:t>月完成兑付工作，募集资金专项账户余额</w:t>
            </w:r>
            <w:r>
              <w:rPr>
                <w:rFonts w:ascii="Times New Roman" w:hAnsi="Times New Roman" w:eastAsia="Times New Roman"/>
                <w:b w:val="0"/>
                <w:i w:val="0"/>
                <w:color w:val="000000"/>
                <w:sz w:val="18"/>
              </w:rPr>
              <w:t>30,982.89</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0" w:firstLine="0"/>
              <w:jc w:val="left"/>
            </w:pPr>
            <w:r>
              <w:tab/>
            </w:r>
            <w:r>
              <w:rPr>
                <w:rFonts w:ascii="Times New Roman" w:hAnsi="Times New Roman" w:eastAsia="Times New Roman"/>
                <w:b w:val="0"/>
                <w:i w:val="0"/>
                <w:color w:val="000000"/>
                <w:sz w:val="18"/>
              </w:rPr>
              <w:t>21</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C3</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12</w:t>
            </w:r>
            <w:r>
              <w:rPr>
                <w:rFonts w:ascii="宋体" w:hAnsi="宋体" w:eastAsia="宋体"/>
                <w:b w:val="0"/>
                <w:i w:val="0"/>
                <w:color w:val="000000"/>
                <w:sz w:val="18"/>
              </w:rPr>
              <w:t xml:space="preserve"> 月</w:t>
            </w:r>
            <w:r>
              <w:rPr>
                <w:rFonts w:ascii="宋体" w:hAnsi="宋体" w:eastAsia="宋体"/>
                <w:b w:val="0"/>
                <w:i w:val="0"/>
                <w:color w:val="000000"/>
                <w:sz w:val="18"/>
              </w:rPr>
              <w:t>完成兑付工作，募集资金专项账户余额</w:t>
            </w:r>
            <w:r>
              <w:rPr>
                <w:rFonts w:ascii="Times New Roman" w:hAnsi="Times New Roman" w:eastAsia="Times New Roman"/>
                <w:b w:val="0"/>
                <w:i w:val="0"/>
                <w:color w:val="000000"/>
                <w:sz w:val="18"/>
              </w:rPr>
              <w:t>20,761.30</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144" w:firstLine="0"/>
              <w:jc w:val="left"/>
            </w:pPr>
            <w:r>
              <w:tab/>
            </w: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7.98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7.99</w:t>
            </w:r>
            <w:r>
              <w:rPr>
                <w:rFonts w:ascii="宋体" w:hAnsi="宋体" w:eastAsia="宋体"/>
                <w:b w:val="0"/>
                <w:i w:val="0"/>
                <w:color w:val="000000"/>
                <w:sz w:val="18"/>
              </w:rPr>
              <w:t xml:space="preserve"> 亿元，已使用资金全部用于偿还公司债务，已于</w:t>
            </w:r>
            <w:r>
              <w:rPr>
                <w:rFonts w:ascii="Times New Roman" w:hAnsi="Times New Roman" w:eastAsia="Times New Roman"/>
                <w:b w:val="0"/>
                <w:i w:val="0"/>
                <w:color w:val="000000"/>
                <w:sz w:val="18"/>
              </w:rPr>
              <w:t>2025</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3</w:t>
            </w:r>
            <w:r>
              <w:rPr>
                <w:rFonts w:ascii="宋体" w:hAnsi="宋体" w:eastAsia="宋体"/>
                <w:b w:val="0"/>
                <w:i w:val="0"/>
                <w:color w:val="000000"/>
                <w:sz w:val="18"/>
              </w:rPr>
              <w:t xml:space="preserve"> 月</w:t>
            </w:r>
            <w:r>
              <w:rPr>
                <w:rFonts w:ascii="宋体" w:hAnsi="宋体" w:eastAsia="宋体"/>
                <w:b w:val="0"/>
                <w:i w:val="0"/>
                <w:color w:val="000000"/>
                <w:sz w:val="18"/>
              </w:rPr>
              <w:t>完成兑付工作，募集资金专项账户余额为</w:t>
            </w:r>
            <w:r>
              <w:rPr>
                <w:rFonts w:ascii="Times New Roman" w:hAnsi="Times New Roman" w:eastAsia="Times New Roman"/>
                <w:b w:val="0"/>
                <w:i w:val="0"/>
                <w:color w:val="000000"/>
                <w:sz w:val="18"/>
              </w:rPr>
              <w:t>0</w:t>
            </w:r>
            <w:r>
              <w:rPr>
                <w:rFonts w:ascii="宋体" w:hAnsi="宋体" w:eastAsia="宋体"/>
                <w:b w:val="0"/>
                <w:i w:val="0"/>
                <w:color w:val="000000"/>
                <w:sz w:val="18"/>
              </w:rPr>
              <w:t>。</w:t>
            </w:r>
          </w:p>
          <w:p>
            <w:pPr>
              <w:autoSpaceDN w:val="0"/>
              <w:tabs>
                <w:tab w:pos="468" w:val="left"/>
              </w:tabs>
              <w:autoSpaceDE w:val="0"/>
              <w:widowControl/>
              <w:spacing w:line="320" w:lineRule="exact" w:before="0" w:after="0"/>
              <w:ind w:left="108" w:right="144" w:firstLine="0"/>
              <w:jc w:val="left"/>
            </w:pPr>
            <w:r>
              <w:tab/>
            </w: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18.96</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18.98</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798.57</w:t>
            </w:r>
            <w:r>
              <w:rPr>
                <w:rFonts w:ascii="宋体" w:hAnsi="宋体" w:eastAsia="宋体"/>
                <w:b w:val="0"/>
                <w:i w:val="0"/>
                <w:color w:val="000000"/>
                <w:sz w:val="18"/>
              </w:rPr>
              <w:t xml:space="preserve"> 元为结息款。</w:t>
            </w:r>
          </w:p>
          <w:p>
            <w:pPr>
              <w:autoSpaceDN w:val="0"/>
              <w:tabs>
                <w:tab w:pos="468" w:val="left"/>
              </w:tabs>
              <w:autoSpaceDE w:val="0"/>
              <w:widowControl/>
              <w:spacing w:line="318" w:lineRule="exact" w:before="4" w:after="0"/>
              <w:ind w:left="108" w:right="144" w:firstLine="0"/>
              <w:jc w:val="left"/>
            </w:pPr>
            <w:r>
              <w:tab/>
            </w: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03</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19.96</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19.98</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630.65</w:t>
            </w:r>
            <w:r>
              <w:rPr>
                <w:rFonts w:ascii="宋体" w:hAnsi="宋体" w:eastAsia="宋体"/>
                <w:b w:val="0"/>
                <w:i w:val="0"/>
                <w:color w:val="000000"/>
                <w:sz w:val="18"/>
              </w:rPr>
              <w:t xml:space="preserve"> 元为结息款。</w:t>
            </w:r>
          </w:p>
          <w:p>
            <w:pPr>
              <w:autoSpaceDN w:val="0"/>
              <w:autoSpaceDE w:val="0"/>
              <w:widowControl/>
              <w:spacing w:line="200" w:lineRule="exact" w:before="120" w:after="0"/>
              <w:ind w:left="468" w:right="0" w:firstLine="0"/>
              <w:jc w:val="left"/>
            </w:pP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05</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7.98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7.99</w:t>
            </w:r>
            <w:r>
              <w:rPr>
                <w:rFonts w:ascii="宋体" w:hAnsi="宋体" w:eastAsia="宋体"/>
                <w:b w:val="0"/>
                <w:i w:val="0"/>
                <w:color w:val="000000"/>
                <w:sz w:val="18"/>
              </w:rPr>
              <w:t xml:space="preserve"> 亿元，已使用资金全部用于偿还公司债务，募集资金专项账户</w:t>
            </w:r>
          </w:p>
        </w:tc>
      </w:tr>
    </w:tbl>
    <w:p>
      <w:pPr>
        <w:autoSpaceDN w:val="0"/>
        <w:autoSpaceDE w:val="0"/>
        <w:widowControl/>
        <w:spacing w:line="197" w:lineRule="auto" w:before="468" w:after="0"/>
        <w:ind w:left="0" w:right="0" w:firstLine="0"/>
        <w:jc w:val="center"/>
      </w:pPr>
      <w:r>
        <w:rPr>
          <w:rFonts w:ascii="Calibri" w:hAnsi="Calibri" w:eastAsia="Calibri"/>
          <w:b w:val="0"/>
          <w:i w:val="0"/>
          <w:color w:val="000000"/>
          <w:sz w:val="18"/>
        </w:rPr>
        <w:t xml:space="preserve">47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496" w:bottom="446" w:left="516" w:header="720" w:footer="720" w:gutter="0"/>
          <w:cols/>
          <w:docGrid w:linePitch="360"/>
        </w:sectPr>
      </w:pPr>
    </w:p>
    <w:p>
      <w:pPr>
        <w:autoSpaceDN w:val="0"/>
        <w:autoSpaceDE w:val="0"/>
        <w:widowControl/>
        <w:spacing w:line="240" w:lineRule="auto" w:before="0" w:after="0"/>
        <w:ind w:left="618" w:right="0" w:firstLine="0"/>
        <w:jc w:val="left"/>
      </w:pPr>
      <w:r>
        <w:drawing>
          <wp:inline xmlns:a="http://schemas.openxmlformats.org/drawingml/2006/main" xmlns:pic="http://schemas.openxmlformats.org/drawingml/2006/picture">
            <wp:extent cx="1844039" cy="439419"/>
            <wp:docPr id="50" name="Picture 5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96" w:bottom="446" w:left="516" w:header="720" w:footer="720" w:gutter="0"/>
          <w:cols w:num="2" w:equalWidth="0">
            <w:col w:w="6024" w:space="0"/>
            <w:col w:w="4868" w:space="0"/>
          </w:cols>
          <w:docGrid w:linePitch="360"/>
        </w:sectPr>
      </w:pPr>
    </w:p>
    <w:p>
      <w:pPr>
        <w:autoSpaceDN w:val="0"/>
        <w:autoSpaceDE w:val="0"/>
        <w:widowControl/>
        <w:spacing w:line="200" w:lineRule="exact" w:before="0" w:after="30"/>
        <w:ind w:left="0" w:right="65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96" w:bottom="446" w:left="516" w:header="720" w:footer="720" w:gutter="0"/>
          <w:cols w:num="2" w:equalWidth="0">
            <w:col w:w="6024" w:space="0"/>
            <w:col w:w="4868" w:space="0"/>
          </w:cols>
          <w:docGrid w:linePitch="360"/>
        </w:sectPr>
      </w:pPr>
    </w:p>
    <w:tbl>
      <w:tblPr>
        <w:tblW w:type="auto" w:w="0"/>
        <w:tblLayout w:type="fixed"/>
        <w:tblLook w:firstColumn="1" w:firstRow="1" w:lastColumn="0" w:lastRow="0" w:noHBand="0" w:noVBand="1" w:val="04A0"/>
        <w:tblInd w:w="616.0" w:type="dxa"/>
      </w:tblPr>
      <w:tblGrid>
        <w:gridCol w:w="10892"/>
      </w:tblGrid>
      <w:tr>
        <w:trPr>
          <w:trHeight w:hRule="exact" w:val="4810"/>
        </w:trPr>
        <w:tc>
          <w:tcPr>
            <w:tcW w:type="dxa" w:w="9642"/>
            <w:tcBorders>
              <w:start w:sz="2.3999999999999773" w:val="single" w:color="#000000"/>
              <w:top w:sz="5.600000000000023" w:val="single" w:color="#000000"/>
              <w:end w:sz="1.5999999999994543" w:val="single" w:color="#000000"/>
              <w:bottom w:sz="1.599999999999909" w:val="single" w:color="#000000"/>
            </w:tcBorders>
            <w:tcMar>
              <w:start w:w="0" w:type="dxa"/>
              <w:end w:w="0" w:type="dxa"/>
            </w:tcMar>
          </w:tcPr>
          <w:p>
            <w:pPr>
              <w:autoSpaceDN w:val="0"/>
              <w:autoSpaceDE w:val="0"/>
              <w:widowControl/>
              <w:spacing w:line="198" w:lineRule="exact" w:before="96" w:after="0"/>
              <w:ind w:left="108" w:right="0" w:firstLine="0"/>
              <w:jc w:val="left"/>
            </w:pPr>
            <w:r>
              <w:rPr>
                <w:rFonts w:ascii="宋体" w:hAnsi="宋体" w:eastAsia="宋体"/>
                <w:b w:val="0"/>
                <w:i w:val="0"/>
                <w:color w:val="000000"/>
                <w:sz w:val="18"/>
              </w:rPr>
              <w:t>余额</w:t>
            </w:r>
            <w:r>
              <w:rPr>
                <w:rFonts w:ascii="Times New Roman" w:hAnsi="Times New Roman" w:eastAsia="Times New Roman"/>
                <w:b w:val="0"/>
                <w:i w:val="0"/>
                <w:color w:val="000000"/>
                <w:sz w:val="18"/>
              </w:rPr>
              <w:t>0.27</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0" w:firstLine="0"/>
              <w:jc w:val="left"/>
            </w:pPr>
            <w:r>
              <w:tab/>
            </w: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亿元，已使用资金全部用于偿还公司债务，募集资金专项账户</w:t>
            </w:r>
            <w:r>
              <w:rPr>
                <w:rFonts w:ascii="宋体" w:hAnsi="宋体" w:eastAsia="宋体"/>
                <w:b w:val="0"/>
                <w:i w:val="0"/>
                <w:color w:val="000000"/>
                <w:sz w:val="18"/>
              </w:rPr>
              <w:t>余额</w:t>
            </w:r>
            <w:r>
              <w:rPr>
                <w:rFonts w:ascii="Times New Roman" w:hAnsi="Times New Roman" w:eastAsia="Times New Roman"/>
                <w:b w:val="0"/>
                <w:i w:val="0"/>
                <w:color w:val="000000"/>
                <w:sz w:val="18"/>
              </w:rPr>
              <w:t>140,509.16</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0" w:firstLine="0"/>
              <w:jc w:val="left"/>
            </w:pPr>
            <w:r>
              <w:tab/>
            </w: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C3</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9.98</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9.99</w:t>
            </w:r>
            <w:r>
              <w:rPr>
                <w:rFonts w:ascii="宋体" w:hAnsi="宋体" w:eastAsia="宋体"/>
                <w:b w:val="0"/>
                <w:i w:val="0"/>
                <w:color w:val="000000"/>
                <w:sz w:val="18"/>
              </w:rPr>
              <w:t xml:space="preserve"> 亿元，已使用资金全部用于偿还公司债务，募集资金专项账户</w:t>
            </w:r>
            <w:r>
              <w:rPr>
                <w:rFonts w:ascii="宋体" w:hAnsi="宋体" w:eastAsia="宋体"/>
                <w:b w:val="0"/>
                <w:i w:val="0"/>
                <w:color w:val="000000"/>
                <w:sz w:val="18"/>
              </w:rPr>
              <w:t>余额</w:t>
            </w:r>
            <w:r>
              <w:rPr>
                <w:rFonts w:ascii="Times New Roman" w:hAnsi="Times New Roman" w:eastAsia="Times New Roman"/>
                <w:b w:val="0"/>
                <w:i w:val="0"/>
                <w:color w:val="000000"/>
                <w:sz w:val="18"/>
              </w:rPr>
              <w:t>42.63</w:t>
            </w:r>
            <w:r>
              <w:rPr>
                <w:rFonts w:ascii="宋体" w:hAnsi="宋体" w:eastAsia="宋体"/>
                <w:b w:val="0"/>
                <w:i w:val="0"/>
                <w:color w:val="000000"/>
                <w:sz w:val="18"/>
              </w:rPr>
              <w:t xml:space="preserve"> 元为结息款。</w:t>
            </w:r>
          </w:p>
          <w:p>
            <w:pPr>
              <w:autoSpaceDN w:val="0"/>
              <w:tabs>
                <w:tab w:pos="468" w:val="left"/>
              </w:tabs>
              <w:autoSpaceDE w:val="0"/>
              <w:widowControl/>
              <w:spacing w:line="318" w:lineRule="exact" w:before="4" w:after="0"/>
              <w:ind w:left="108" w:right="0" w:firstLine="0"/>
              <w:jc w:val="left"/>
            </w:pPr>
            <w:r>
              <w:tab/>
            </w: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C4</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14.97</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14.98</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71,988.72</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144" w:firstLine="0"/>
              <w:jc w:val="left"/>
            </w:pPr>
            <w:r>
              <w:tab/>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01</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17.96</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17.98</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1,615.61</w:t>
            </w:r>
            <w:r>
              <w:rPr>
                <w:rFonts w:ascii="宋体" w:hAnsi="宋体" w:eastAsia="宋体"/>
                <w:b w:val="0"/>
                <w:i w:val="0"/>
                <w:color w:val="000000"/>
                <w:sz w:val="18"/>
              </w:rPr>
              <w:t xml:space="preserve"> 元为结息款。</w:t>
            </w:r>
          </w:p>
          <w:p>
            <w:pPr>
              <w:autoSpaceDN w:val="0"/>
              <w:tabs>
                <w:tab w:pos="468" w:val="left"/>
              </w:tabs>
              <w:autoSpaceDE w:val="0"/>
              <w:widowControl/>
              <w:spacing w:line="318" w:lineRule="exact" w:before="2" w:after="0"/>
              <w:ind w:left="108" w:right="144" w:firstLine="0"/>
              <w:jc w:val="left"/>
            </w:pPr>
            <w:r>
              <w:tab/>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02</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16.97</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16.99</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681,643.26</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2" w:after="0"/>
              <w:ind w:left="108" w:right="144" w:firstLine="0"/>
              <w:jc w:val="left"/>
            </w:pPr>
            <w:r>
              <w:tab/>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04</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17.96</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17.96</w:t>
            </w:r>
            <w:r>
              <w:rPr>
                <w:rFonts w:ascii="宋体" w:hAnsi="宋体" w:eastAsia="宋体"/>
                <w:b w:val="0"/>
                <w:i w:val="0"/>
                <w:color w:val="000000"/>
                <w:sz w:val="18"/>
              </w:rPr>
              <w:t xml:space="preserve"> 亿元，已使用资金全部用于偿还公司债务，募集资金专项账</w:t>
            </w:r>
            <w:r>
              <w:rPr>
                <w:rFonts w:ascii="宋体" w:hAnsi="宋体" w:eastAsia="宋体"/>
                <w:b w:val="0"/>
                <w:i w:val="0"/>
                <w:color w:val="000000"/>
                <w:sz w:val="18"/>
              </w:rPr>
              <w:t>户余额</w:t>
            </w:r>
            <w:r>
              <w:rPr>
                <w:rFonts w:ascii="Times New Roman" w:hAnsi="Times New Roman" w:eastAsia="Times New Roman"/>
                <w:b w:val="0"/>
                <w:i w:val="0"/>
                <w:color w:val="000000"/>
                <w:sz w:val="18"/>
              </w:rPr>
              <w:t>1,180,955.56</w:t>
            </w:r>
            <w:r>
              <w:rPr>
                <w:rFonts w:ascii="宋体" w:hAnsi="宋体" w:eastAsia="宋体"/>
                <w:b w:val="0"/>
                <w:i w:val="0"/>
                <w:color w:val="000000"/>
                <w:sz w:val="18"/>
              </w:rPr>
              <w:t xml:space="preserve"> 元为结息款。</w:t>
            </w:r>
          </w:p>
          <w:p>
            <w:pPr>
              <w:autoSpaceDN w:val="0"/>
              <w:tabs>
                <w:tab w:pos="468" w:val="left"/>
              </w:tabs>
              <w:autoSpaceDE w:val="0"/>
              <w:widowControl/>
              <w:spacing w:line="320" w:lineRule="exact" w:before="0" w:after="0"/>
              <w:ind w:left="108" w:right="144" w:firstLine="0"/>
              <w:jc w:val="left"/>
            </w:pPr>
            <w:r>
              <w:tab/>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05</w:t>
            </w:r>
            <w:r>
              <w:rPr>
                <w:rFonts w:ascii="宋体" w:hAnsi="宋体" w:eastAsia="宋体"/>
                <w:b w:val="0"/>
                <w:i w:val="0"/>
                <w:color w:val="000000"/>
                <w:sz w:val="18"/>
              </w:rPr>
              <w:t xml:space="preserve"> 募集资金净额</w:t>
            </w:r>
            <w:r>
              <w:rPr>
                <w:rFonts w:ascii="Times New Roman" w:hAnsi="Times New Roman" w:eastAsia="Times New Roman"/>
                <w:b w:val="0"/>
                <w:i w:val="0"/>
                <w:color w:val="000000"/>
                <w:sz w:val="18"/>
              </w:rPr>
              <w:t>6.99</w:t>
            </w:r>
            <w:r>
              <w:rPr>
                <w:rFonts w:ascii="宋体" w:hAnsi="宋体" w:eastAsia="宋体"/>
                <w:b w:val="0"/>
                <w:i w:val="0"/>
                <w:color w:val="000000"/>
                <w:sz w:val="18"/>
              </w:rPr>
              <w:t xml:space="preserve"> 亿元，已累计使用</w:t>
            </w:r>
            <w:r>
              <w:rPr>
                <w:rFonts w:ascii="Times New Roman" w:hAnsi="Times New Roman" w:eastAsia="Times New Roman"/>
                <w:b w:val="0"/>
                <w:i w:val="0"/>
                <w:color w:val="000000"/>
                <w:sz w:val="18"/>
              </w:rPr>
              <w:t>6.99</w:t>
            </w:r>
            <w:r>
              <w:rPr>
                <w:rFonts w:ascii="宋体" w:hAnsi="宋体" w:eastAsia="宋体"/>
                <w:b w:val="0"/>
                <w:i w:val="0"/>
                <w:color w:val="000000"/>
                <w:sz w:val="18"/>
              </w:rPr>
              <w:t xml:space="preserve"> 亿元，已使用资金全部用于偿还公司债务，募集资金专项账户</w:t>
            </w:r>
            <w:r>
              <w:rPr>
                <w:rFonts w:ascii="宋体" w:hAnsi="宋体" w:eastAsia="宋体"/>
                <w:b w:val="0"/>
                <w:i w:val="0"/>
                <w:color w:val="000000"/>
                <w:sz w:val="18"/>
              </w:rPr>
              <w:t>余额</w:t>
            </w:r>
            <w:r>
              <w:rPr>
                <w:rFonts w:ascii="Times New Roman" w:hAnsi="Times New Roman" w:eastAsia="Times New Roman"/>
                <w:b w:val="0"/>
                <w:i w:val="0"/>
                <w:color w:val="000000"/>
                <w:sz w:val="18"/>
              </w:rPr>
              <w:t>488,923.56</w:t>
            </w:r>
            <w:r>
              <w:rPr>
                <w:rFonts w:ascii="宋体" w:hAnsi="宋体" w:eastAsia="宋体"/>
                <w:b w:val="0"/>
                <w:i w:val="0"/>
                <w:color w:val="000000"/>
                <w:sz w:val="18"/>
              </w:rPr>
              <w:t xml:space="preserve"> 元为结息款。</w:t>
            </w:r>
          </w:p>
        </w:tc>
      </w:tr>
    </w:tbl>
    <w:p>
      <w:pPr>
        <w:autoSpaceDN w:val="0"/>
        <w:autoSpaceDE w:val="0"/>
        <w:widowControl/>
        <w:spacing w:line="180" w:lineRule="exact" w:before="58" w:after="0"/>
        <w:ind w:left="618" w:right="0" w:firstLine="0"/>
        <w:jc w:val="left"/>
      </w:pPr>
      <w:r>
        <w:rPr>
          <w:rFonts w:ascii="宋体" w:hAnsi="宋体" w:eastAsia="宋体"/>
          <w:b w:val="0"/>
          <w:i w:val="0"/>
          <w:color w:val="000000"/>
          <w:sz w:val="18"/>
        </w:rPr>
        <w:t>公司债券其他信息详见本报告“第九节债券相关情况”。</w:t>
      </w:r>
    </w:p>
    <w:p>
      <w:pPr>
        <w:autoSpaceDN w:val="0"/>
        <w:autoSpaceDE w:val="0"/>
        <w:widowControl/>
        <w:spacing w:line="180" w:lineRule="exact" w:before="436" w:after="0"/>
        <w:ind w:left="618" w:right="0" w:firstLine="0"/>
        <w:jc w:val="left"/>
      </w:pPr>
      <w:r>
        <w:rPr>
          <w:rFonts w:ascii="宋体" w:hAnsi="宋体" w:eastAsia="宋体"/>
          <w:b w:val="0"/>
          <w:i w:val="0"/>
          <w:color w:val="000000"/>
          <w:sz w:val="18"/>
        </w:rPr>
        <w:t xml:space="preserve">（2） 募集资金承诺项目情况 </w:t>
      </w:r>
    </w:p>
    <w:p>
      <w:pPr>
        <w:autoSpaceDN w:val="0"/>
        <w:autoSpaceDE w:val="0"/>
        <w:widowControl/>
        <w:spacing w:line="180" w:lineRule="exact" w:before="368" w:after="0"/>
        <w:ind w:left="618"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80" w:after="146"/>
        <w:ind w:left="0" w:right="732"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6.000000000000014" w:type="dxa"/>
      </w:tblPr>
      <w:tblGrid>
        <w:gridCol w:w="990"/>
        <w:gridCol w:w="990"/>
        <w:gridCol w:w="990"/>
        <w:gridCol w:w="990"/>
        <w:gridCol w:w="990"/>
        <w:gridCol w:w="990"/>
        <w:gridCol w:w="990"/>
        <w:gridCol w:w="990"/>
        <w:gridCol w:w="990"/>
        <w:gridCol w:w="990"/>
        <w:gridCol w:w="990"/>
      </w:tblGrid>
      <w:tr>
        <w:trPr>
          <w:trHeight w:hRule="exact" w:val="1504"/>
        </w:trPr>
        <w:tc>
          <w:tcPr>
            <w:tcW w:type="dxa" w:w="1732"/>
            <w:tcBorders>
              <w:start w:sz="4.0" w:val="single" w:color="#000000"/>
              <w:top w:sz="3.200000000000273" w:val="single" w:color="#000000"/>
              <w:end w:sz="3.2000000000000455" w:val="single" w:color="#000000"/>
              <w:bottom w:sz="4.0" w:val="single" w:color="#000000"/>
            </w:tcBorders>
            <w:tcMar>
              <w:start w:w="0" w:type="dxa"/>
              <w:end w:w="0" w:type="dxa"/>
            </w:tcMar>
          </w:tcPr>
          <w:p>
            <w:pPr>
              <w:autoSpaceDN w:val="0"/>
              <w:tabs>
                <w:tab w:pos="502" w:val="left"/>
              </w:tabs>
              <w:autoSpaceDE w:val="0"/>
              <w:widowControl/>
              <w:spacing w:line="238" w:lineRule="exact" w:before="486" w:after="0"/>
              <w:ind w:left="50" w:right="0" w:firstLine="0"/>
              <w:jc w:val="left"/>
            </w:pPr>
            <w:r>
              <w:rPr>
                <w:rFonts w:ascii="宋体" w:hAnsi="宋体" w:eastAsia="宋体"/>
                <w:b w:val="0"/>
                <w:i w:val="0"/>
                <w:color w:val="000000"/>
                <w:sz w:val="18"/>
              </w:rPr>
              <w:t>承诺投资项目和超募</w:t>
            </w:r>
            <w:r>
              <w:tab/>
            </w:r>
            <w:r>
              <w:rPr>
                <w:rFonts w:ascii="宋体" w:hAnsi="宋体" w:eastAsia="宋体"/>
                <w:b w:val="0"/>
                <w:i w:val="0"/>
                <w:color w:val="000000"/>
                <w:sz w:val="18"/>
              </w:rPr>
              <w:t xml:space="preserve">资金投向 </w:t>
            </w:r>
          </w:p>
        </w:tc>
        <w:tc>
          <w:tcPr>
            <w:tcW w:type="dxa" w:w="832"/>
            <w:tcBorders>
              <w:start w:sz="3.2000000000000455"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0" w:lineRule="exact" w:before="244" w:after="0"/>
              <w:ind w:left="24" w:right="0" w:firstLine="0"/>
              <w:jc w:val="left"/>
            </w:pPr>
            <w:r>
              <w:rPr>
                <w:rFonts w:ascii="宋体" w:hAnsi="宋体" w:eastAsia="宋体"/>
                <w:b w:val="0"/>
                <w:i w:val="0"/>
                <w:color w:val="000000"/>
                <w:sz w:val="18"/>
              </w:rPr>
              <w:t>是否已变</w:t>
            </w:r>
            <w:r>
              <w:rPr>
                <w:rFonts w:ascii="宋体" w:hAnsi="宋体" w:eastAsia="宋体"/>
                <w:b w:val="0"/>
                <w:i w:val="0"/>
                <w:color w:val="000000"/>
                <w:sz w:val="18"/>
              </w:rPr>
              <w:t>更项目</w:t>
            </w:r>
            <w:r>
              <w:br/>
            </w:r>
            <w:r>
              <w:rPr>
                <w:rFonts w:ascii="宋体" w:hAnsi="宋体" w:eastAsia="宋体"/>
                <w:b w:val="0"/>
                <w:i w:val="0"/>
                <w:color w:val="000000"/>
                <w:sz w:val="18"/>
              </w:rPr>
              <w:t>（含部分</w:t>
            </w:r>
            <w:r>
              <w:rPr>
                <w:rFonts w:ascii="宋体" w:hAnsi="宋体" w:eastAsia="宋体"/>
                <w:b w:val="0"/>
                <w:i w:val="0"/>
                <w:color w:val="000000"/>
                <w:sz w:val="18"/>
              </w:rPr>
              <w:t xml:space="preserve">变更） </w:t>
            </w:r>
          </w:p>
        </w:tc>
        <w:tc>
          <w:tcPr>
            <w:tcW w:type="dxa" w:w="1138"/>
            <w:tcBorders>
              <w:start w:sz="4.0" w:val="single" w:color="#000000"/>
              <w:top w:sz="3.200000000000273" w:val="single" w:color="#000000"/>
              <w:end w:sz="4.0" w:val="single" w:color="#000000"/>
              <w:bottom w:sz="4.0" w:val="single" w:color="#000000"/>
            </w:tcBorders>
            <w:tcMar>
              <w:start w:w="0" w:type="dxa"/>
              <w:end w:w="0" w:type="dxa"/>
            </w:tcMar>
          </w:tcPr>
          <w:p>
            <w:pPr>
              <w:autoSpaceDN w:val="0"/>
              <w:tabs>
                <w:tab w:pos="204" w:val="left"/>
              </w:tabs>
              <w:autoSpaceDE w:val="0"/>
              <w:widowControl/>
              <w:spacing w:line="238" w:lineRule="exact" w:before="486" w:after="0"/>
              <w:ind w:left="24" w:right="0" w:firstLine="0"/>
              <w:jc w:val="left"/>
            </w:pPr>
            <w:r>
              <w:rPr>
                <w:rFonts w:ascii="宋体" w:hAnsi="宋体" w:eastAsia="宋体"/>
                <w:b w:val="0"/>
                <w:i w:val="0"/>
                <w:color w:val="000000"/>
                <w:sz w:val="18"/>
              </w:rPr>
              <w:t>募集资金承诺</w:t>
            </w:r>
            <w:r>
              <w:tab/>
            </w:r>
            <w:r>
              <w:rPr>
                <w:rFonts w:ascii="宋体" w:hAnsi="宋体" w:eastAsia="宋体"/>
                <w:b w:val="0"/>
                <w:i w:val="0"/>
                <w:color w:val="000000"/>
                <w:sz w:val="18"/>
              </w:rPr>
              <w:t xml:space="preserve">投资总额 </w:t>
            </w:r>
          </w:p>
        </w:tc>
        <w:tc>
          <w:tcPr>
            <w:tcW w:type="dxa" w:w="113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38" w:lineRule="exact" w:before="486" w:after="0"/>
              <w:ind w:left="26" w:right="0" w:firstLine="0"/>
              <w:jc w:val="left"/>
            </w:pPr>
            <w:r>
              <w:rPr>
                <w:rFonts w:ascii="宋体" w:hAnsi="宋体" w:eastAsia="宋体"/>
                <w:b w:val="0"/>
                <w:i w:val="0"/>
                <w:color w:val="000000"/>
                <w:sz w:val="18"/>
              </w:rPr>
              <w:t>调整后投资总</w:t>
            </w:r>
            <w:r>
              <w:rPr>
                <w:rFonts w:ascii="宋体" w:hAnsi="宋体" w:eastAsia="宋体"/>
                <w:b w:val="0"/>
                <w:i w:val="0"/>
                <w:color w:val="000000"/>
                <w:sz w:val="18"/>
              </w:rPr>
              <w:t xml:space="preserve">额（1） </w:t>
            </w:r>
          </w:p>
        </w:tc>
        <w:tc>
          <w:tcPr>
            <w:tcW w:type="dxa" w:w="954"/>
            <w:tcBorders>
              <w:start w:sz="4.0" w:val="single" w:color="#000000"/>
              <w:top w:sz="3.200000000000273" w:val="single" w:color="#000000"/>
              <w:end w:sz="3.199999999999818" w:val="single" w:color="#000000"/>
              <w:bottom w:sz="4.0" w:val="single" w:color="#000000"/>
            </w:tcBorders>
            <w:tcMar>
              <w:start w:w="0" w:type="dxa"/>
              <w:end w:w="0" w:type="dxa"/>
            </w:tcMar>
          </w:tcPr>
          <w:p>
            <w:pPr>
              <w:autoSpaceDN w:val="0"/>
              <w:tabs>
                <w:tab w:pos="290" w:val="left"/>
              </w:tabs>
              <w:autoSpaceDE w:val="0"/>
              <w:widowControl/>
              <w:spacing w:line="238" w:lineRule="exact" w:before="486" w:after="0"/>
              <w:ind w:left="22" w:right="0" w:firstLine="0"/>
              <w:jc w:val="left"/>
            </w:pPr>
            <w:r>
              <w:rPr>
                <w:rFonts w:ascii="宋体" w:hAnsi="宋体" w:eastAsia="宋体"/>
                <w:b w:val="0"/>
                <w:i w:val="0"/>
                <w:color w:val="000000"/>
                <w:sz w:val="18"/>
              </w:rPr>
              <w:t>本年度投入</w:t>
            </w:r>
            <w:r>
              <w:rPr>
                <w:rFonts w:ascii="宋体" w:hAnsi="宋体" w:eastAsia="宋体"/>
                <w:b w:val="0"/>
                <w:i w:val="0"/>
                <w:color w:val="000000"/>
                <w:sz w:val="18"/>
              </w:rPr>
              <w:t xml:space="preserve">金额 </w:t>
            </w:r>
          </w:p>
        </w:tc>
        <w:tc>
          <w:tcPr>
            <w:tcW w:type="dxa" w:w="1342"/>
            <w:tcBorders>
              <w:start w:sz="3.199999999999818" w:val="single" w:color="#000000"/>
              <w:top w:sz="3.200000000000273" w:val="single" w:color="#000000"/>
              <w:end w:sz="3.200000000000273" w:val="single" w:color="#000000"/>
              <w:bottom w:sz="4.0" w:val="single" w:color="#000000"/>
            </w:tcBorders>
            <w:tcMar>
              <w:start w:w="0" w:type="dxa"/>
              <w:end w:w="0" w:type="dxa"/>
            </w:tcMar>
          </w:tcPr>
          <w:p>
            <w:pPr>
              <w:autoSpaceDN w:val="0"/>
              <w:tabs>
                <w:tab w:pos="260" w:val="left"/>
              </w:tabs>
              <w:autoSpaceDE w:val="0"/>
              <w:widowControl/>
              <w:spacing w:line="238" w:lineRule="exact" w:before="486" w:after="0"/>
              <w:ind w:left="36" w:right="0" w:firstLine="0"/>
              <w:jc w:val="left"/>
            </w:pPr>
            <w:r>
              <w:rPr>
                <w:rFonts w:ascii="宋体" w:hAnsi="宋体" w:eastAsia="宋体"/>
                <w:b w:val="0"/>
                <w:i w:val="0"/>
                <w:color w:val="000000"/>
                <w:sz w:val="18"/>
              </w:rPr>
              <w:t>截至期末累计投</w:t>
            </w:r>
            <w:r>
              <w:rPr>
                <w:rFonts w:ascii="宋体" w:hAnsi="宋体" w:eastAsia="宋体"/>
                <w:b w:val="0"/>
                <w:i w:val="0"/>
                <w:color w:val="000000"/>
                <w:sz w:val="18"/>
              </w:rPr>
              <w:t xml:space="preserve">入金额(2) </w:t>
            </w:r>
          </w:p>
        </w:tc>
        <w:tc>
          <w:tcPr>
            <w:tcW w:type="dxa" w:w="1032"/>
            <w:tcBorders>
              <w:start w:sz="3.200000000000273" w:val="single" w:color="#000000"/>
              <w:top w:sz="3.200000000000273" w:val="single" w:color="#000000"/>
              <w:end w:sz="3.199999999999818" w:val="single" w:color="#000000"/>
              <w:bottom w:sz="4.0" w:val="single" w:color="#000000"/>
            </w:tcBorders>
            <w:tcMar>
              <w:start w:w="0" w:type="dxa"/>
              <w:end w:w="0" w:type="dxa"/>
            </w:tcMar>
          </w:tcPr>
          <w:p>
            <w:pPr>
              <w:autoSpaceDN w:val="0"/>
              <w:autoSpaceDE w:val="0"/>
              <w:widowControl/>
              <w:spacing w:line="238" w:lineRule="exact" w:before="364" w:after="0"/>
              <w:ind w:left="106" w:right="0" w:hanging="42"/>
              <w:jc w:val="left"/>
            </w:pPr>
            <w:r>
              <w:rPr>
                <w:rFonts w:ascii="宋体" w:hAnsi="宋体" w:eastAsia="宋体"/>
                <w:b w:val="0"/>
                <w:i w:val="0"/>
                <w:color w:val="000000"/>
                <w:sz w:val="18"/>
              </w:rPr>
              <w:t>截至期末投</w:t>
            </w:r>
            <w:r>
              <w:rPr>
                <w:rFonts w:ascii="宋体" w:hAnsi="宋体" w:eastAsia="宋体"/>
                <w:b w:val="0"/>
                <w:i w:val="0"/>
                <w:color w:val="000000"/>
                <w:sz w:val="18"/>
              </w:rPr>
              <w:t>资进度(3)</w:t>
            </w:r>
            <w:r>
              <w:rPr>
                <w:rFonts w:ascii="宋体" w:hAnsi="宋体" w:eastAsia="宋体"/>
                <w:b w:val="0"/>
                <w:i w:val="0"/>
                <w:color w:val="000000"/>
                <w:sz w:val="18"/>
              </w:rPr>
              <w:t xml:space="preserve">＝(2)/(1) </w:t>
            </w:r>
          </w:p>
        </w:tc>
        <w:tc>
          <w:tcPr>
            <w:tcW w:type="dxa" w:w="782"/>
            <w:tcBorders>
              <w:start w:sz="3.199999999999818"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0" w:lineRule="exact" w:before="244" w:after="0"/>
              <w:ind w:left="24" w:right="30" w:firstLine="0"/>
              <w:jc w:val="both"/>
            </w:pPr>
            <w:r>
              <w:rPr>
                <w:rFonts w:ascii="宋体" w:hAnsi="宋体" w:eastAsia="宋体"/>
                <w:b w:val="0"/>
                <w:i w:val="0"/>
                <w:color w:val="000000"/>
                <w:sz w:val="18"/>
              </w:rPr>
              <w:t>项目达到</w:t>
            </w:r>
            <w:r>
              <w:rPr>
                <w:rFonts w:ascii="宋体" w:hAnsi="宋体" w:eastAsia="宋体"/>
                <w:b w:val="0"/>
                <w:i w:val="0"/>
                <w:color w:val="000000"/>
                <w:sz w:val="18"/>
              </w:rPr>
              <w:t>预定可使</w:t>
            </w:r>
            <w:r>
              <w:rPr>
                <w:rFonts w:ascii="宋体" w:hAnsi="宋体" w:eastAsia="宋体"/>
                <w:b w:val="0"/>
                <w:i w:val="0"/>
                <w:color w:val="000000"/>
                <w:sz w:val="18"/>
              </w:rPr>
              <w:t>用状态日</w:t>
            </w:r>
            <w:r>
              <w:rPr>
                <w:rFonts w:ascii="宋体" w:hAnsi="宋体" w:eastAsia="宋体"/>
                <w:b w:val="0"/>
                <w:i w:val="0"/>
                <w:color w:val="000000"/>
                <w:sz w:val="18"/>
              </w:rPr>
              <w:t xml:space="preserve">期 </w:t>
            </w:r>
          </w:p>
        </w:tc>
        <w:tc>
          <w:tcPr>
            <w:tcW w:type="dxa" w:w="5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0" w:lineRule="exact" w:before="244" w:after="0"/>
              <w:ind w:left="24" w:right="106" w:firstLine="0"/>
              <w:jc w:val="both"/>
            </w:pPr>
            <w:r>
              <w:rPr>
                <w:rFonts w:ascii="宋体" w:hAnsi="宋体" w:eastAsia="宋体"/>
                <w:b w:val="0"/>
                <w:i w:val="0"/>
                <w:color w:val="000000"/>
                <w:sz w:val="18"/>
              </w:rPr>
              <w:t>本年</w:t>
            </w:r>
            <w:r>
              <w:br/>
            </w:r>
            <w:r>
              <w:rPr>
                <w:rFonts w:ascii="宋体" w:hAnsi="宋体" w:eastAsia="宋体"/>
                <w:b w:val="0"/>
                <w:i w:val="0"/>
                <w:color w:val="000000"/>
                <w:sz w:val="18"/>
              </w:rPr>
              <w:t>度实</w:t>
            </w:r>
            <w:r>
              <w:br/>
            </w:r>
            <w:r>
              <w:rPr>
                <w:rFonts w:ascii="宋体" w:hAnsi="宋体" w:eastAsia="宋体"/>
                <w:b w:val="0"/>
                <w:i w:val="0"/>
                <w:color w:val="000000"/>
                <w:sz w:val="18"/>
              </w:rPr>
              <w:t>现的</w:t>
            </w:r>
            <w:r>
              <w:br/>
            </w:r>
            <w:r>
              <w:rPr>
                <w:rFonts w:ascii="宋体" w:hAnsi="宋体" w:eastAsia="宋体"/>
                <w:b w:val="0"/>
                <w:i w:val="0"/>
                <w:color w:val="000000"/>
                <w:sz w:val="18"/>
              </w:rPr>
              <w:t xml:space="preserve">效益 </w:t>
            </w:r>
          </w:p>
        </w:tc>
        <w:tc>
          <w:tcPr>
            <w:tcW w:type="dxa" w:w="57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0" w:lineRule="exact" w:before="244" w:after="0"/>
              <w:ind w:left="100" w:right="12" w:firstLine="0"/>
              <w:jc w:val="both"/>
            </w:pPr>
            <w:r>
              <w:rPr>
                <w:rFonts w:ascii="宋体" w:hAnsi="宋体" w:eastAsia="宋体"/>
                <w:b w:val="0"/>
                <w:i w:val="0"/>
                <w:color w:val="000000"/>
                <w:sz w:val="18"/>
              </w:rPr>
              <w:t>是否</w:t>
            </w:r>
            <w:r>
              <w:br/>
            </w:r>
            <w:r>
              <w:rPr>
                <w:rFonts w:ascii="宋体" w:hAnsi="宋体" w:eastAsia="宋体"/>
                <w:b w:val="0"/>
                <w:i w:val="0"/>
                <w:color w:val="000000"/>
                <w:sz w:val="18"/>
              </w:rPr>
              <w:t>达到</w:t>
            </w:r>
            <w:r>
              <w:br/>
            </w:r>
            <w:r>
              <w:rPr>
                <w:rFonts w:ascii="宋体" w:hAnsi="宋体" w:eastAsia="宋体"/>
                <w:b w:val="0"/>
                <w:i w:val="0"/>
                <w:color w:val="000000"/>
                <w:sz w:val="18"/>
              </w:rPr>
              <w:t>预计</w:t>
            </w:r>
            <w:r>
              <w:br/>
            </w:r>
            <w:r>
              <w:rPr>
                <w:rFonts w:ascii="宋体" w:hAnsi="宋体" w:eastAsia="宋体"/>
                <w:b w:val="0"/>
                <w:i w:val="0"/>
                <w:color w:val="000000"/>
                <w:sz w:val="18"/>
              </w:rPr>
              <w:t xml:space="preserve">效益 </w:t>
            </w:r>
          </w:p>
        </w:tc>
        <w:tc>
          <w:tcPr>
            <w:tcW w:type="dxa" w:w="746"/>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240" w:lineRule="exact" w:before="124" w:after="0"/>
              <w:ind w:left="0" w:right="98" w:firstLine="0"/>
              <w:jc w:val="right"/>
            </w:pPr>
            <w:r>
              <w:rPr>
                <w:rFonts w:ascii="宋体" w:hAnsi="宋体" w:eastAsia="宋体"/>
                <w:b w:val="0"/>
                <w:i w:val="0"/>
                <w:color w:val="000000"/>
                <w:sz w:val="18"/>
              </w:rPr>
              <w:t>项目可</w:t>
            </w:r>
            <w:r>
              <w:rPr>
                <w:rFonts w:ascii="宋体" w:hAnsi="宋体" w:eastAsia="宋体"/>
                <w:b w:val="0"/>
                <w:i w:val="0"/>
                <w:color w:val="000000"/>
                <w:sz w:val="18"/>
              </w:rPr>
              <w:t>行性是</w:t>
            </w:r>
            <w:r>
              <w:rPr>
                <w:rFonts w:ascii="宋体" w:hAnsi="宋体" w:eastAsia="宋体"/>
                <w:b w:val="0"/>
                <w:i w:val="0"/>
                <w:color w:val="000000"/>
                <w:sz w:val="18"/>
              </w:rPr>
              <w:t>否发生</w:t>
            </w:r>
            <w:r>
              <w:rPr>
                <w:rFonts w:ascii="宋体" w:hAnsi="宋体" w:eastAsia="宋体"/>
                <w:b w:val="0"/>
                <w:i w:val="0"/>
                <w:color w:val="000000"/>
                <w:sz w:val="18"/>
              </w:rPr>
              <w:t>重大变</w:t>
            </w:r>
            <w:r>
              <w:rPr>
                <w:rFonts w:ascii="宋体" w:hAnsi="宋体" w:eastAsia="宋体"/>
                <w:b w:val="0"/>
                <w:i w:val="0"/>
                <w:color w:val="000000"/>
                <w:sz w:val="18"/>
              </w:rPr>
              <w:t xml:space="preserve">化 </w:t>
            </w:r>
          </w:p>
        </w:tc>
      </w:tr>
      <w:tr>
        <w:trPr>
          <w:trHeight w:hRule="exact" w:val="498"/>
        </w:trPr>
        <w:tc>
          <w:tcPr>
            <w:tcW w:type="dxa" w:w="10860"/>
            <w:gridSpan w:val="11"/>
            <w:tcBorders>
              <w:start w:sz="4.0" w:val="single" w:color="#000000"/>
              <w:top w:sz="4.0" w:val="single" w:color="#000000"/>
              <w:end w:sz="4.0" w:val="single" w:color="#000000"/>
              <w:bottom w:sz="3.200000000000727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60" w:after="0"/>
              <w:ind w:left="24" w:right="0" w:firstLine="0"/>
              <w:jc w:val="left"/>
            </w:pPr>
            <w:r>
              <w:rPr>
                <w:rFonts w:ascii="宋体" w:hAnsi="宋体" w:eastAsia="宋体"/>
                <w:b w:val="0"/>
                <w:i w:val="0"/>
                <w:color w:val="000000"/>
                <w:sz w:val="18"/>
              </w:rPr>
              <w:t xml:space="preserve">承诺投资项目 </w:t>
            </w:r>
          </w:p>
        </w:tc>
      </w:tr>
      <w:tr>
        <w:trPr>
          <w:trHeight w:hRule="exact" w:val="424"/>
        </w:trPr>
        <w:tc>
          <w:tcPr>
            <w:tcW w:type="dxa" w:w="10860"/>
            <w:gridSpan w:val="11"/>
            <w:tcBorders>
              <w:start w:sz="4.0" w:val="single" w:color="#000000"/>
              <w:top w:sz="3.2000000000007276"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24" w:after="0"/>
              <w:ind w:left="24" w:right="0" w:firstLine="0"/>
              <w:jc w:val="left"/>
            </w:pPr>
            <w:r>
              <w:rPr>
                <w:rFonts w:ascii="宋体" w:hAnsi="宋体" w:eastAsia="宋体"/>
                <w:b w:val="0"/>
                <w:i w:val="0"/>
                <w:color w:val="000000"/>
                <w:sz w:val="18"/>
              </w:rPr>
              <w:t xml:space="preserve">1、2021 年次级债 </w:t>
            </w:r>
          </w:p>
        </w:tc>
      </w:tr>
      <w:tr>
        <w:trPr>
          <w:trHeight w:hRule="exact" w:val="712"/>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偿还公司有息债务</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99,800.00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99,800.00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0.09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4" w:lineRule="exact" w:before="88" w:after="0"/>
              <w:ind w:left="80" w:right="0" w:firstLine="0"/>
              <w:jc w:val="left"/>
            </w:pPr>
            <w:r>
              <w:rPr>
                <w:rFonts w:ascii="宋体" w:hAnsi="宋体" w:eastAsia="宋体"/>
                <w:b w:val="0"/>
                <w:i w:val="0"/>
                <w:color w:val="000000"/>
                <w:sz w:val="18"/>
              </w:rPr>
              <w:t>99,891.83（利</w:t>
            </w:r>
            <w:r>
              <w:rPr>
                <w:rFonts w:ascii="宋体" w:hAnsi="宋体" w:eastAsia="宋体"/>
                <w:b w:val="0"/>
                <w:i w:val="0"/>
                <w:color w:val="000000"/>
                <w:sz w:val="18"/>
              </w:rPr>
              <w:t xml:space="preserve">息91.83）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100.09%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偿还公司有息债务</w:t>
            </w:r>
          </w:p>
        </w:tc>
        <w:tc>
          <w:tcPr>
            <w:tcW w:type="dxa" w:w="83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69,860.00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69,860.00 </w:t>
            </w:r>
          </w:p>
        </w:tc>
        <w:tc>
          <w:tcPr>
            <w:tcW w:type="dxa" w:w="95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0.08 </w:t>
            </w:r>
          </w:p>
        </w:tc>
        <w:tc>
          <w:tcPr>
            <w:tcW w:type="dxa" w:w="1342"/>
            <w:tcBorders>
              <w:start w:sz="3.199999999999818" w:val="single" w:color="#000000"/>
              <w:top w:sz="4.0" w:val="single" w:color="#000000"/>
              <w:end w:sz="3.200000000000273" w:val="single" w:color="#000000"/>
              <w:bottom w:sz="3.199999999999818" w:val="single" w:color="#000000"/>
            </w:tcBorders>
            <w:tcMar>
              <w:start w:w="0" w:type="dxa"/>
              <w:end w:w="0" w:type="dxa"/>
            </w:tcMar>
          </w:tcPr>
          <w:p>
            <w:pPr>
              <w:autoSpaceDN w:val="0"/>
              <w:tabs>
                <w:tab w:pos="284" w:val="left"/>
              </w:tabs>
              <w:autoSpaceDE w:val="0"/>
              <w:widowControl/>
              <w:spacing w:line="232" w:lineRule="exact" w:before="92" w:after="0"/>
              <w:ind w:left="80" w:right="0" w:firstLine="0"/>
              <w:jc w:val="left"/>
            </w:pPr>
            <w:r>
              <w:rPr>
                <w:rFonts w:ascii="宋体" w:hAnsi="宋体" w:eastAsia="宋体"/>
                <w:b w:val="0"/>
                <w:i w:val="0"/>
                <w:color w:val="000000"/>
                <w:sz w:val="18"/>
              </w:rPr>
              <w:t>69,867.13（利</w:t>
            </w:r>
            <w:r>
              <w:rPr>
                <w:rFonts w:ascii="宋体" w:hAnsi="宋体" w:eastAsia="宋体"/>
                <w:b w:val="0"/>
                <w:i w:val="0"/>
                <w:color w:val="000000"/>
                <w:sz w:val="18"/>
              </w:rPr>
              <w:t xml:space="preserve">息7.13） </w:t>
            </w:r>
          </w:p>
        </w:tc>
        <w:tc>
          <w:tcPr>
            <w:tcW w:type="dxa" w:w="1032"/>
            <w:tcBorders>
              <w:start w:sz="3.200000000000273"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100.01% </w:t>
            </w:r>
          </w:p>
        </w:tc>
        <w:tc>
          <w:tcPr>
            <w:tcW w:type="dxa" w:w="782"/>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2"/>
        </w:trPr>
        <w:tc>
          <w:tcPr>
            <w:tcW w:type="dxa" w:w="1732"/>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偿还公司有息债务</w:t>
            </w:r>
          </w:p>
        </w:tc>
        <w:tc>
          <w:tcPr>
            <w:tcW w:type="dxa" w:w="83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99,800.00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99,800.00 </w:t>
            </w:r>
          </w:p>
        </w:tc>
        <w:tc>
          <w:tcPr>
            <w:tcW w:type="dxa" w:w="95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0.08 </w:t>
            </w:r>
          </w:p>
        </w:tc>
        <w:tc>
          <w:tcPr>
            <w:tcW w:type="dxa" w:w="1342"/>
            <w:tcBorders>
              <w:start w:sz="3.199999999999818" w:val="single" w:color="#000000"/>
              <w:top w:sz="3.199999999999818"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2" w:lineRule="exact" w:before="92" w:after="0"/>
              <w:ind w:left="80" w:right="0" w:firstLine="0"/>
              <w:jc w:val="left"/>
            </w:pPr>
            <w:r>
              <w:rPr>
                <w:rFonts w:ascii="宋体" w:hAnsi="宋体" w:eastAsia="宋体"/>
                <w:b w:val="0"/>
                <w:i w:val="0"/>
                <w:color w:val="000000"/>
                <w:sz w:val="18"/>
              </w:rPr>
              <w:t>99,834.56（利</w:t>
            </w:r>
            <w:r>
              <w:rPr>
                <w:rFonts w:ascii="宋体" w:hAnsi="宋体" w:eastAsia="宋体"/>
                <w:b w:val="0"/>
                <w:i w:val="0"/>
                <w:color w:val="000000"/>
                <w:sz w:val="18"/>
              </w:rPr>
              <w:t xml:space="preserve">息34.56） </w:t>
            </w:r>
          </w:p>
        </w:tc>
        <w:tc>
          <w:tcPr>
            <w:tcW w:type="dxa" w:w="1032"/>
            <w:tcBorders>
              <w:start w:sz="3.200000000000273"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100.03% </w:t>
            </w:r>
          </w:p>
        </w:tc>
        <w:tc>
          <w:tcPr>
            <w:tcW w:type="dxa" w:w="78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422"/>
        </w:trPr>
        <w:tc>
          <w:tcPr>
            <w:tcW w:type="dxa" w:w="10860"/>
            <w:gridSpan w:val="11"/>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24" w:right="0" w:firstLine="0"/>
              <w:jc w:val="left"/>
            </w:pPr>
            <w:r>
              <w:rPr>
                <w:rFonts w:ascii="宋体" w:hAnsi="宋体" w:eastAsia="宋体"/>
                <w:b w:val="0"/>
                <w:i w:val="0"/>
                <w:color w:val="000000"/>
                <w:sz w:val="18"/>
              </w:rPr>
              <w:t xml:space="preserve">2、2021 年公司债 </w:t>
            </w:r>
          </w:p>
        </w:tc>
      </w:tr>
      <w:tr>
        <w:trPr>
          <w:trHeight w:hRule="exact" w:val="712"/>
        </w:trPr>
        <w:tc>
          <w:tcPr>
            <w:tcW w:type="dxa" w:w="1732"/>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260" w:after="0"/>
              <w:ind w:left="0" w:right="0" w:firstLine="0"/>
              <w:jc w:val="center"/>
            </w:pPr>
            <w:r>
              <w:rPr>
                <w:rFonts w:ascii="宋体" w:hAnsi="宋体" w:eastAsia="宋体"/>
                <w:b w:val="0"/>
                <w:i w:val="0"/>
                <w:color w:val="000000"/>
                <w:sz w:val="18"/>
              </w:rPr>
              <w:t>偿还公司有息债务</w:t>
            </w:r>
          </w:p>
        </w:tc>
        <w:tc>
          <w:tcPr>
            <w:tcW w:type="dxa" w:w="83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0"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0" w:after="0"/>
              <w:ind w:left="158" w:right="0" w:firstLine="0"/>
              <w:jc w:val="left"/>
            </w:pPr>
            <w:r>
              <w:rPr>
                <w:rFonts w:ascii="宋体" w:hAnsi="宋体" w:eastAsia="宋体"/>
                <w:b w:val="0"/>
                <w:i w:val="0"/>
                <w:color w:val="000000"/>
                <w:sz w:val="18"/>
              </w:rPr>
              <w:t xml:space="preserve">99,800.00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0" w:after="0"/>
              <w:ind w:left="160" w:right="0" w:firstLine="0"/>
              <w:jc w:val="left"/>
            </w:pPr>
            <w:r>
              <w:rPr>
                <w:rFonts w:ascii="宋体" w:hAnsi="宋体" w:eastAsia="宋体"/>
                <w:b w:val="0"/>
                <w:i w:val="0"/>
                <w:color w:val="000000"/>
                <w:sz w:val="18"/>
              </w:rPr>
              <w:t xml:space="preserve">99,800.00 </w:t>
            </w:r>
          </w:p>
        </w:tc>
        <w:tc>
          <w:tcPr>
            <w:tcW w:type="dxa" w:w="95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60" w:after="0"/>
              <w:ind w:left="0" w:right="204" w:firstLine="0"/>
              <w:jc w:val="right"/>
            </w:pPr>
            <w:r>
              <w:rPr>
                <w:rFonts w:ascii="宋体" w:hAnsi="宋体" w:eastAsia="宋体"/>
                <w:b w:val="0"/>
                <w:i w:val="0"/>
                <w:color w:val="000000"/>
                <w:sz w:val="18"/>
              </w:rPr>
              <w:t xml:space="preserve">0.03 </w:t>
            </w:r>
          </w:p>
        </w:tc>
        <w:tc>
          <w:tcPr>
            <w:tcW w:type="dxa" w:w="1342"/>
            <w:tcBorders>
              <w:start w:sz="3.199999999999818" w:val="single" w:color="#000000"/>
              <w:top w:sz="4.0" w:val="single" w:color="#000000"/>
              <w:end w:sz="3.200000000000273" w:val="single" w:color="#000000"/>
              <w:bottom w:sz="3.199999999999818" w:val="single" w:color="#000000"/>
            </w:tcBorders>
            <w:tcMar>
              <w:start w:w="0" w:type="dxa"/>
              <w:end w:w="0" w:type="dxa"/>
            </w:tcMar>
          </w:tcPr>
          <w:p>
            <w:pPr>
              <w:autoSpaceDN w:val="0"/>
              <w:tabs>
                <w:tab w:pos="238" w:val="left"/>
              </w:tabs>
              <w:autoSpaceDE w:val="0"/>
              <w:widowControl/>
              <w:spacing w:line="234" w:lineRule="exact" w:before="90" w:after="0"/>
              <w:ind w:left="80" w:right="0" w:firstLine="0"/>
              <w:jc w:val="left"/>
            </w:pPr>
            <w:r>
              <w:rPr>
                <w:rFonts w:ascii="宋体" w:hAnsi="宋体" w:eastAsia="宋体"/>
                <w:b w:val="0"/>
                <w:i w:val="0"/>
                <w:color w:val="000000"/>
                <w:sz w:val="18"/>
              </w:rPr>
              <w:t>99,843.88（利</w:t>
            </w:r>
            <w:r>
              <w:rPr>
                <w:rFonts w:ascii="宋体" w:hAnsi="宋体" w:eastAsia="宋体"/>
                <w:b w:val="0"/>
                <w:i w:val="0"/>
                <w:color w:val="000000"/>
                <w:sz w:val="18"/>
              </w:rPr>
              <w:t xml:space="preserve">息43.88） </w:t>
            </w:r>
          </w:p>
        </w:tc>
        <w:tc>
          <w:tcPr>
            <w:tcW w:type="dxa" w:w="1032"/>
            <w:tcBorders>
              <w:start w:sz="3.200000000000273"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60" w:after="0"/>
              <w:ind w:left="198" w:right="0" w:firstLine="0"/>
              <w:jc w:val="left"/>
            </w:pPr>
            <w:r>
              <w:rPr>
                <w:rFonts w:ascii="宋体" w:hAnsi="宋体" w:eastAsia="宋体"/>
                <w:b w:val="0"/>
                <w:i w:val="0"/>
                <w:color w:val="000000"/>
                <w:sz w:val="18"/>
              </w:rPr>
              <w:t xml:space="preserve">100.04% </w:t>
            </w:r>
          </w:p>
        </w:tc>
        <w:tc>
          <w:tcPr>
            <w:tcW w:type="dxa" w:w="782"/>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0"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26"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4" w:lineRule="exact" w:before="90"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偿还公司有息债务</w:t>
            </w:r>
          </w:p>
        </w:tc>
        <w:tc>
          <w:tcPr>
            <w:tcW w:type="dxa" w:w="83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149,700.00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149,700.00 </w:t>
            </w:r>
          </w:p>
        </w:tc>
        <w:tc>
          <w:tcPr>
            <w:tcW w:type="dxa" w:w="95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0.10 </w:t>
            </w:r>
          </w:p>
        </w:tc>
        <w:tc>
          <w:tcPr>
            <w:tcW w:type="dxa" w:w="1342"/>
            <w:tcBorders>
              <w:start w:sz="3.199999999999818" w:val="single" w:color="#000000"/>
              <w:top w:sz="3.199999999999818"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2" w:lineRule="exact" w:before="92" w:after="0"/>
              <w:ind w:left="36" w:right="0" w:firstLine="0"/>
              <w:jc w:val="left"/>
            </w:pPr>
            <w:r>
              <w:rPr>
                <w:rFonts w:ascii="宋体" w:hAnsi="宋体" w:eastAsia="宋体"/>
                <w:b w:val="0"/>
                <w:i w:val="0"/>
                <w:color w:val="000000"/>
                <w:sz w:val="18"/>
              </w:rPr>
              <w:t>149,729.66（利</w:t>
            </w:r>
            <w:r>
              <w:rPr>
                <w:rFonts w:ascii="宋体" w:hAnsi="宋体" w:eastAsia="宋体"/>
                <w:b w:val="0"/>
                <w:i w:val="0"/>
                <w:color w:val="000000"/>
                <w:sz w:val="18"/>
              </w:rPr>
              <w:t xml:space="preserve">息29.66） </w:t>
            </w:r>
          </w:p>
        </w:tc>
        <w:tc>
          <w:tcPr>
            <w:tcW w:type="dxa" w:w="1032"/>
            <w:tcBorders>
              <w:start w:sz="3.200000000000273"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100.02% </w:t>
            </w:r>
          </w:p>
        </w:tc>
        <w:tc>
          <w:tcPr>
            <w:tcW w:type="dxa" w:w="78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426"/>
        </w:trPr>
        <w:tc>
          <w:tcPr>
            <w:tcW w:type="dxa" w:w="10860"/>
            <w:gridSpan w:val="11"/>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24" w:right="0" w:firstLine="0"/>
              <w:jc w:val="left"/>
            </w:pPr>
            <w:r>
              <w:rPr>
                <w:rFonts w:ascii="宋体" w:hAnsi="宋体" w:eastAsia="宋体"/>
                <w:b w:val="0"/>
                <w:i w:val="0"/>
                <w:color w:val="000000"/>
                <w:sz w:val="18"/>
              </w:rPr>
              <w:t xml:space="preserve">3、2022 年次级债： </w:t>
            </w:r>
          </w:p>
        </w:tc>
      </w:tr>
    </w:tbl>
    <w:p>
      <w:pPr>
        <w:autoSpaceDN w:val="0"/>
        <w:autoSpaceDE w:val="0"/>
        <w:widowControl/>
        <w:spacing w:line="197" w:lineRule="auto" w:before="578" w:after="0"/>
        <w:ind w:left="0" w:right="0" w:firstLine="0"/>
        <w:jc w:val="center"/>
      </w:pPr>
      <w:r>
        <w:rPr>
          <w:rFonts w:ascii="Calibri" w:hAnsi="Calibri" w:eastAsia="Calibri"/>
          <w:b w:val="0"/>
          <w:i w:val="0"/>
          <w:color w:val="000000"/>
          <w:sz w:val="18"/>
        </w:rPr>
        <w:t xml:space="preserve">48 </w:t>
      </w:r>
    </w:p>
    <w:p>
      <w:pPr>
        <w:sectPr>
          <w:type w:val="continuous"/>
          <w:pgSz w:w="11904" w:h="16841"/>
          <w:pgMar w:top="424" w:right="496" w:bottom="446" w:left="516" w:header="720" w:footer="720" w:gutter="0"/>
          <w:cols/>
          <w:docGrid w:linePitch="360"/>
        </w:sectPr>
      </w:pPr>
    </w:p>
    <w:p>
      <w:pPr>
        <w:autoSpaceDN w:val="0"/>
        <w:autoSpaceDE w:val="0"/>
        <w:widowControl/>
        <w:spacing w:line="220" w:lineRule="exact" w:before="0" w:after="206"/>
        <w:ind w:left="0" w:right="0"/>
      </w:pPr>
    </w:p>
    <w:p>
      <w:pPr>
        <w:sectPr>
          <w:pgSz w:w="11904" w:h="16841"/>
          <w:pgMar w:top="424" w:right="496" w:bottom="446" w:left="516" w:header="720" w:footer="720" w:gutter="0"/>
          <w:cols/>
          <w:docGrid w:linePitch="360"/>
        </w:sectPr>
      </w:pPr>
    </w:p>
    <w:p>
      <w:pPr>
        <w:autoSpaceDN w:val="0"/>
        <w:autoSpaceDE w:val="0"/>
        <w:widowControl/>
        <w:spacing w:line="240" w:lineRule="auto" w:before="0" w:after="0"/>
        <w:ind w:left="618" w:right="0" w:firstLine="0"/>
        <w:jc w:val="left"/>
      </w:pPr>
      <w:r>
        <w:drawing>
          <wp:inline xmlns:a="http://schemas.openxmlformats.org/drawingml/2006/main" xmlns:pic="http://schemas.openxmlformats.org/drawingml/2006/picture">
            <wp:extent cx="1844039" cy="439419"/>
            <wp:docPr id="51" name="Picture 5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96" w:bottom="446" w:left="516" w:header="720" w:footer="720" w:gutter="0"/>
          <w:cols w:num="2" w:equalWidth="0">
            <w:col w:w="6024" w:space="0"/>
            <w:col w:w="4868" w:space="0"/>
          </w:cols>
          <w:docGrid w:linePitch="360"/>
        </w:sectPr>
      </w:pPr>
    </w:p>
    <w:p>
      <w:pPr>
        <w:autoSpaceDN w:val="0"/>
        <w:autoSpaceDE w:val="0"/>
        <w:widowControl/>
        <w:spacing w:line="200" w:lineRule="exact" w:before="0" w:after="30"/>
        <w:ind w:left="0" w:right="65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96" w:bottom="446" w:left="516" w:header="720" w:footer="720" w:gutter="0"/>
          <w:cols w:num="2" w:equalWidth="0">
            <w:col w:w="6024" w:space="0"/>
            <w:col w:w="486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6.000000000000014" w:type="dxa"/>
      </w:tblPr>
      <w:tblGrid>
        <w:gridCol w:w="990"/>
        <w:gridCol w:w="990"/>
        <w:gridCol w:w="990"/>
        <w:gridCol w:w="990"/>
        <w:gridCol w:w="990"/>
        <w:gridCol w:w="990"/>
        <w:gridCol w:w="990"/>
        <w:gridCol w:w="990"/>
        <w:gridCol w:w="990"/>
        <w:gridCol w:w="990"/>
        <w:gridCol w:w="990"/>
      </w:tblGrid>
      <w:tr>
        <w:trPr>
          <w:trHeight w:hRule="exact" w:val="708"/>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4"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4" w:after="0"/>
              <w:ind w:left="158" w:right="0" w:firstLine="0"/>
              <w:jc w:val="left"/>
            </w:pPr>
            <w:r>
              <w:rPr>
                <w:rFonts w:ascii="宋体" w:hAnsi="宋体" w:eastAsia="宋体"/>
                <w:b w:val="0"/>
                <w:i w:val="0"/>
                <w:color w:val="000000"/>
                <w:sz w:val="18"/>
              </w:rPr>
              <w:t xml:space="preserve">79,840.00 </w:t>
            </w:r>
          </w:p>
        </w:tc>
        <w:tc>
          <w:tcPr>
            <w:tcW w:type="dxa" w:w="113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4" w:after="0"/>
              <w:ind w:left="160" w:right="0" w:firstLine="0"/>
              <w:jc w:val="left"/>
            </w:pPr>
            <w:r>
              <w:rPr>
                <w:rFonts w:ascii="宋体" w:hAnsi="宋体" w:eastAsia="宋体"/>
                <w:b w:val="0"/>
                <w:i w:val="0"/>
                <w:color w:val="000000"/>
                <w:sz w:val="18"/>
              </w:rPr>
              <w:t xml:space="preserve">79,840.00 </w:t>
            </w:r>
          </w:p>
        </w:tc>
        <w:tc>
          <w:tcPr>
            <w:tcW w:type="dxa" w:w="954"/>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4" w:after="0"/>
              <w:ind w:left="0" w:right="204" w:firstLine="0"/>
              <w:jc w:val="right"/>
            </w:pPr>
            <w:r>
              <w:rPr>
                <w:rFonts w:ascii="宋体" w:hAnsi="宋体" w:eastAsia="宋体"/>
                <w:b w:val="0"/>
                <w:i w:val="0"/>
                <w:color w:val="000000"/>
                <w:sz w:val="18"/>
              </w:rPr>
              <w:t xml:space="preserve">0.12 </w:t>
            </w:r>
          </w:p>
        </w:tc>
        <w:tc>
          <w:tcPr>
            <w:tcW w:type="dxa" w:w="1342"/>
            <w:tcBorders>
              <w:start w:sz="3.199999999999818" w:val="single" w:color="#000000"/>
              <w:top w:sz="5.600000000000023"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4" w:lineRule="exact" w:before="84" w:after="0"/>
              <w:ind w:left="80" w:right="0" w:firstLine="0"/>
              <w:jc w:val="left"/>
            </w:pPr>
            <w:r>
              <w:rPr>
                <w:rFonts w:ascii="宋体" w:hAnsi="宋体" w:eastAsia="宋体"/>
                <w:b w:val="0"/>
                <w:i w:val="0"/>
                <w:color w:val="000000"/>
                <w:sz w:val="18"/>
              </w:rPr>
              <w:t>79,854.85（利</w:t>
            </w:r>
            <w:r>
              <w:rPr>
                <w:rFonts w:ascii="宋体" w:hAnsi="宋体" w:eastAsia="宋体"/>
                <w:b w:val="0"/>
                <w:i w:val="0"/>
                <w:color w:val="000000"/>
                <w:sz w:val="18"/>
              </w:rPr>
              <w:t xml:space="preserve">息14.85） </w:t>
            </w:r>
          </w:p>
        </w:tc>
        <w:tc>
          <w:tcPr>
            <w:tcW w:type="dxa" w:w="1032"/>
            <w:tcBorders>
              <w:start w:sz="3.200000000000273"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4" w:after="0"/>
              <w:ind w:left="198" w:right="0" w:firstLine="0"/>
              <w:jc w:val="left"/>
            </w:pPr>
            <w:r>
              <w:rPr>
                <w:rFonts w:ascii="宋体" w:hAnsi="宋体" w:eastAsia="宋体"/>
                <w:b w:val="0"/>
                <w:i w:val="0"/>
                <w:color w:val="000000"/>
                <w:sz w:val="18"/>
              </w:rPr>
              <w:t xml:space="preserve">100.02% </w:t>
            </w:r>
          </w:p>
        </w:tc>
        <w:tc>
          <w:tcPr>
            <w:tcW w:type="dxa" w:w="782"/>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4"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22"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84"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4" w:after="0"/>
              <w:ind w:left="0" w:right="188" w:firstLine="0"/>
              <w:jc w:val="right"/>
            </w:pPr>
            <w:r>
              <w:rPr>
                <w:rFonts w:ascii="宋体" w:hAnsi="宋体" w:eastAsia="宋体"/>
                <w:b w:val="0"/>
                <w:i w:val="0"/>
                <w:color w:val="000000"/>
                <w:sz w:val="18"/>
              </w:rPr>
              <w:t xml:space="preserve">否 </w:t>
            </w:r>
          </w:p>
        </w:tc>
      </w:tr>
      <w:tr>
        <w:trPr>
          <w:trHeight w:hRule="exact" w:val="426"/>
        </w:trPr>
        <w:tc>
          <w:tcPr>
            <w:tcW w:type="dxa" w:w="10860"/>
            <w:gridSpan w:val="11"/>
            <w:tcBorders>
              <w:start w:sz="4.0" w:val="single" w:color="#000000"/>
              <w:top w:sz="4.0"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6" w:after="0"/>
              <w:ind w:left="24" w:right="0" w:firstLine="0"/>
              <w:jc w:val="left"/>
            </w:pPr>
            <w:r>
              <w:rPr>
                <w:rFonts w:ascii="宋体" w:hAnsi="宋体" w:eastAsia="宋体"/>
                <w:b w:val="0"/>
                <w:i w:val="0"/>
                <w:color w:val="000000"/>
                <w:sz w:val="18"/>
              </w:rPr>
              <w:t xml:space="preserve">4、2022 年公司债： </w:t>
            </w:r>
          </w:p>
        </w:tc>
      </w:tr>
      <w:tr>
        <w:trPr>
          <w:trHeight w:hRule="exact" w:val="712"/>
        </w:trPr>
        <w:tc>
          <w:tcPr>
            <w:tcW w:type="dxa" w:w="1732"/>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189,620.00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189,620.00 </w:t>
            </w:r>
          </w:p>
        </w:tc>
        <w:tc>
          <w:tcPr>
            <w:tcW w:type="dxa" w:w="95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0.79 </w:t>
            </w:r>
          </w:p>
        </w:tc>
        <w:tc>
          <w:tcPr>
            <w:tcW w:type="dxa" w:w="1342"/>
            <w:tcBorders>
              <w:start w:sz="3.199999999999818" w:val="single" w:color="#000000"/>
              <w:top w:sz="3.199999999999818" w:val="single" w:color="#000000"/>
              <w:end w:sz="3.200000000000273" w:val="single" w:color="#000000"/>
              <w:bottom w:sz="4.0" w:val="single" w:color="#000000"/>
            </w:tcBorders>
            <w:tcMar>
              <w:start w:w="0" w:type="dxa"/>
              <w:end w:w="0" w:type="dxa"/>
            </w:tcMar>
          </w:tcPr>
          <w:p>
            <w:pPr>
              <w:autoSpaceDN w:val="0"/>
              <w:tabs>
                <w:tab w:pos="306" w:val="left"/>
                <w:tab w:pos="396" w:val="left"/>
              </w:tabs>
              <w:autoSpaceDE w:val="0"/>
              <w:widowControl/>
              <w:spacing w:line="224" w:lineRule="exact" w:before="0" w:after="0"/>
              <w:ind w:left="214" w:right="0" w:firstLine="0"/>
              <w:jc w:val="left"/>
            </w:pPr>
            <w:r>
              <w:rPr>
                <w:rFonts w:ascii="宋体" w:hAnsi="宋体" w:eastAsia="宋体"/>
                <w:b w:val="0"/>
                <w:i w:val="0"/>
                <w:color w:val="000000"/>
                <w:sz w:val="18"/>
              </w:rPr>
              <w:t xml:space="preserve">189,809.24 </w:t>
            </w:r>
            <w:r>
              <w:tab/>
            </w:r>
            <w:r>
              <w:tab/>
            </w:r>
            <w:r>
              <w:rPr>
                <w:rFonts w:ascii="宋体" w:hAnsi="宋体" w:eastAsia="宋体"/>
                <w:b w:val="0"/>
                <w:i w:val="0"/>
                <w:color w:val="000000"/>
                <w:sz w:val="18"/>
              </w:rPr>
              <w:t>（利息</w:t>
            </w:r>
            <w:r>
              <w:br/>
            </w:r>
            <w:r>
              <w:rPr>
                <w:rFonts w:ascii="宋体" w:hAnsi="宋体" w:eastAsia="宋体"/>
                <w:b w:val="0"/>
                <w:i w:val="0"/>
                <w:color w:val="000000"/>
                <w:sz w:val="18"/>
              </w:rPr>
              <w:t xml:space="preserve">189.24） </w:t>
            </w:r>
          </w:p>
        </w:tc>
        <w:tc>
          <w:tcPr>
            <w:tcW w:type="dxa" w:w="1032"/>
            <w:tcBorders>
              <w:start w:sz="3.200000000000273"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100.10% </w:t>
            </w:r>
          </w:p>
        </w:tc>
        <w:tc>
          <w:tcPr>
            <w:tcW w:type="dxa" w:w="78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199,600.00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199,600.00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0.62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306" w:val="left"/>
                <w:tab w:pos="396" w:val="left"/>
              </w:tabs>
              <w:autoSpaceDE w:val="0"/>
              <w:widowControl/>
              <w:spacing w:line="224" w:lineRule="exact" w:before="0" w:after="0"/>
              <w:ind w:left="214" w:right="0" w:firstLine="0"/>
              <w:jc w:val="left"/>
            </w:pPr>
            <w:r>
              <w:rPr>
                <w:rFonts w:ascii="宋体" w:hAnsi="宋体" w:eastAsia="宋体"/>
                <w:b w:val="0"/>
                <w:i w:val="0"/>
                <w:color w:val="000000"/>
                <w:sz w:val="18"/>
              </w:rPr>
              <w:t xml:space="preserve">199,762.99 </w:t>
            </w:r>
            <w:r>
              <w:tab/>
            </w:r>
            <w:r>
              <w:tab/>
            </w:r>
            <w:r>
              <w:rPr>
                <w:rFonts w:ascii="宋体" w:hAnsi="宋体" w:eastAsia="宋体"/>
                <w:b w:val="0"/>
                <w:i w:val="0"/>
                <w:color w:val="000000"/>
                <w:sz w:val="18"/>
              </w:rPr>
              <w:t>（利息</w:t>
            </w:r>
            <w:r>
              <w:br/>
            </w:r>
            <w:r>
              <w:rPr>
                <w:rFonts w:ascii="宋体" w:hAnsi="宋体" w:eastAsia="宋体"/>
                <w:b w:val="0"/>
                <w:i w:val="0"/>
                <w:color w:val="000000"/>
                <w:sz w:val="18"/>
              </w:rPr>
              <w:t xml:space="preserve">162.99）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100.08%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0"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79,840.00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79,840.00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204" w:firstLine="0"/>
              <w:jc w:val="right"/>
            </w:pPr>
            <w:r>
              <w:rPr>
                <w:rFonts w:ascii="宋体" w:hAnsi="宋体" w:eastAsia="宋体"/>
                <w:b w:val="0"/>
                <w:i w:val="0"/>
                <w:color w:val="000000"/>
                <w:sz w:val="18"/>
              </w:rPr>
              <w:t xml:space="preserve">4.28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4" w:lineRule="exact" w:before="88" w:after="0"/>
              <w:ind w:left="80" w:right="0" w:firstLine="0"/>
              <w:jc w:val="left"/>
            </w:pPr>
            <w:r>
              <w:rPr>
                <w:rFonts w:ascii="宋体" w:hAnsi="宋体" w:eastAsia="宋体"/>
                <w:b w:val="0"/>
                <w:i w:val="0"/>
                <w:color w:val="000000"/>
                <w:sz w:val="18"/>
              </w:rPr>
              <w:t>79,933.64（利</w:t>
            </w:r>
            <w:r>
              <w:rPr>
                <w:rFonts w:ascii="宋体" w:hAnsi="宋体" w:eastAsia="宋体"/>
                <w:b w:val="0"/>
                <w:i w:val="0"/>
                <w:color w:val="000000"/>
                <w:sz w:val="18"/>
              </w:rPr>
              <w:t xml:space="preserve">息93.64）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100.12%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426"/>
        </w:trPr>
        <w:tc>
          <w:tcPr>
            <w:tcW w:type="dxa" w:w="10860"/>
            <w:gridSpan w:val="11"/>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8" w:after="0"/>
              <w:ind w:left="24" w:right="0" w:firstLine="0"/>
              <w:jc w:val="left"/>
            </w:pPr>
            <w:r>
              <w:rPr>
                <w:rFonts w:ascii="宋体" w:hAnsi="宋体" w:eastAsia="宋体"/>
                <w:b w:val="0"/>
                <w:i w:val="0"/>
                <w:color w:val="000000"/>
                <w:sz w:val="18"/>
              </w:rPr>
              <w:t xml:space="preserve">5、2023 年次级债：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99,800.00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99,800.00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158" w:firstLine="0"/>
              <w:jc w:val="right"/>
            </w:pPr>
            <w:r>
              <w:rPr>
                <w:rFonts w:ascii="宋体" w:hAnsi="宋体" w:eastAsia="宋体"/>
                <w:b w:val="0"/>
                <w:i w:val="0"/>
                <w:color w:val="000000"/>
                <w:sz w:val="18"/>
              </w:rPr>
              <w:t xml:space="preserve">17.26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4" w:lineRule="exact" w:before="88" w:after="0"/>
              <w:ind w:left="80" w:right="0" w:firstLine="0"/>
              <w:jc w:val="left"/>
            </w:pPr>
            <w:r>
              <w:rPr>
                <w:rFonts w:ascii="宋体" w:hAnsi="宋体" w:eastAsia="宋体"/>
                <w:b w:val="0"/>
                <w:i w:val="0"/>
                <w:color w:val="000000"/>
                <w:sz w:val="18"/>
              </w:rPr>
              <w:t>99,817.26（利</w:t>
            </w:r>
            <w:r>
              <w:rPr>
                <w:rFonts w:ascii="宋体" w:hAnsi="宋体" w:eastAsia="宋体"/>
                <w:b w:val="0"/>
                <w:i w:val="0"/>
                <w:color w:val="000000"/>
                <w:sz w:val="18"/>
              </w:rPr>
              <w:t xml:space="preserve">息17.26）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100.02%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58" w:right="0" w:firstLine="0"/>
              <w:jc w:val="left"/>
            </w:pPr>
            <w:r>
              <w:rPr>
                <w:rFonts w:ascii="宋体" w:hAnsi="宋体" w:eastAsia="宋体"/>
                <w:b w:val="0"/>
                <w:i w:val="0"/>
                <w:color w:val="000000"/>
                <w:sz w:val="18"/>
              </w:rPr>
              <w:t xml:space="preserve">99,800.00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60" w:right="0" w:firstLine="0"/>
              <w:jc w:val="left"/>
            </w:pPr>
            <w:r>
              <w:rPr>
                <w:rFonts w:ascii="宋体" w:hAnsi="宋体" w:eastAsia="宋体"/>
                <w:b w:val="0"/>
                <w:i w:val="0"/>
                <w:color w:val="000000"/>
                <w:sz w:val="18"/>
              </w:rPr>
              <w:t xml:space="preserve">99,800.00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202" w:right="0" w:firstLine="0"/>
              <w:jc w:val="left"/>
            </w:pPr>
            <w:r>
              <w:rPr>
                <w:rFonts w:ascii="宋体" w:hAnsi="宋体" w:eastAsia="宋体"/>
                <w:b w:val="0"/>
                <w:i w:val="0"/>
                <w:color w:val="000000"/>
                <w:sz w:val="18"/>
              </w:rPr>
              <w:t xml:space="preserve">103.83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192" w:val="left"/>
              </w:tabs>
              <w:autoSpaceDE w:val="0"/>
              <w:widowControl/>
              <w:spacing w:line="234" w:lineRule="exact" w:before="88" w:after="0"/>
              <w:ind w:left="80" w:right="0" w:firstLine="0"/>
              <w:jc w:val="left"/>
            </w:pPr>
            <w:r>
              <w:rPr>
                <w:rFonts w:ascii="宋体" w:hAnsi="宋体" w:eastAsia="宋体"/>
                <w:b w:val="0"/>
                <w:i w:val="0"/>
                <w:color w:val="000000"/>
                <w:sz w:val="18"/>
              </w:rPr>
              <w:t>99,909.80（利</w:t>
            </w:r>
            <w:r>
              <w:tab/>
            </w:r>
            <w:r>
              <w:rPr>
                <w:rFonts w:ascii="宋体" w:hAnsi="宋体" w:eastAsia="宋体"/>
                <w:b w:val="0"/>
                <w:i w:val="0"/>
                <w:color w:val="000000"/>
                <w:sz w:val="18"/>
              </w:rPr>
              <w:t xml:space="preserve">息109.80）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100.11%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149,700.00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149,700.00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158" w:firstLine="0"/>
              <w:jc w:val="right"/>
            </w:pPr>
            <w:r>
              <w:rPr>
                <w:rFonts w:ascii="宋体" w:hAnsi="宋体" w:eastAsia="宋体"/>
                <w:b w:val="0"/>
                <w:i w:val="0"/>
                <w:color w:val="000000"/>
                <w:sz w:val="18"/>
              </w:rPr>
              <w:t xml:space="preserve">55.29 </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38" w:val="left"/>
              </w:tabs>
              <w:autoSpaceDE w:val="0"/>
              <w:widowControl/>
              <w:spacing w:line="232" w:lineRule="exact" w:before="92" w:after="0"/>
              <w:ind w:left="36" w:right="0" w:firstLine="0"/>
              <w:jc w:val="left"/>
            </w:pPr>
            <w:r>
              <w:rPr>
                <w:rFonts w:ascii="宋体" w:hAnsi="宋体" w:eastAsia="宋体"/>
                <w:b w:val="0"/>
                <w:i w:val="0"/>
                <w:color w:val="000000"/>
                <w:sz w:val="18"/>
              </w:rPr>
              <w:t>149,755.29（利</w:t>
            </w:r>
            <w:r>
              <w:rPr>
                <w:rFonts w:ascii="宋体" w:hAnsi="宋体" w:eastAsia="宋体"/>
                <w:b w:val="0"/>
                <w:i w:val="0"/>
                <w:color w:val="000000"/>
                <w:sz w:val="18"/>
              </w:rPr>
              <w:t xml:space="preserve">息55.29）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100.04%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424"/>
        </w:trPr>
        <w:tc>
          <w:tcPr>
            <w:tcW w:type="dxa" w:w="10860"/>
            <w:gridSpan w:val="11"/>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8" w:after="0"/>
              <w:ind w:left="24" w:right="0" w:firstLine="0"/>
              <w:jc w:val="left"/>
            </w:pPr>
            <w:r>
              <w:rPr>
                <w:rFonts w:ascii="宋体" w:hAnsi="宋体" w:eastAsia="宋体"/>
                <w:b w:val="0"/>
                <w:i w:val="0"/>
                <w:color w:val="000000"/>
                <w:sz w:val="18"/>
              </w:rPr>
              <w:t xml:space="preserve">6、2024 年公司债：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58" w:after="0"/>
              <w:ind w:left="142" w:right="0" w:firstLine="0"/>
              <w:jc w:val="left"/>
            </w:pPr>
            <w:r>
              <w:rPr>
                <w:rFonts w:ascii="宋体" w:hAnsi="宋体" w:eastAsia="宋体"/>
                <w:b w:val="0"/>
                <w:i w:val="0"/>
                <w:color w:val="000000"/>
                <w:sz w:val="18"/>
              </w:rPr>
              <w:t xml:space="preserve">偿还公司有息债务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179,640.00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179,640.00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179,847.68</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44" w:val="left"/>
                <w:tab w:pos="336" w:val="left"/>
                <w:tab w:pos="426" w:val="left"/>
              </w:tabs>
              <w:autoSpaceDE w:val="0"/>
              <w:widowControl/>
              <w:spacing w:line="224" w:lineRule="exact" w:before="0" w:after="0"/>
              <w:ind w:left="0" w:right="0" w:firstLine="0"/>
              <w:jc w:val="left"/>
            </w:pPr>
            <w:r>
              <w:rPr>
                <w:rFonts w:ascii="宋体" w:hAnsi="宋体" w:eastAsia="宋体"/>
                <w:b w:val="0"/>
                <w:i w:val="0"/>
                <w:color w:val="000000"/>
                <w:sz w:val="18"/>
              </w:rPr>
              <w:t xml:space="preserve">179,847.68 </w:t>
            </w:r>
            <w:r>
              <w:rPr>
                <w:rFonts w:ascii="宋体" w:hAnsi="宋体" w:eastAsia="宋体"/>
                <w:b w:val="0"/>
                <w:i w:val="0"/>
                <w:color w:val="000000"/>
                <w:sz w:val="18"/>
              </w:rPr>
              <w:t xml:space="preserve"> </w:t>
            </w:r>
            <w:r>
              <w:tab/>
            </w:r>
            <w:r>
              <w:tab/>
            </w:r>
            <w:r>
              <w:tab/>
            </w:r>
            <w:r>
              <w:rPr>
                <w:rFonts w:ascii="宋体" w:hAnsi="宋体" w:eastAsia="宋体"/>
                <w:b w:val="0"/>
                <w:i w:val="0"/>
                <w:color w:val="000000"/>
                <w:sz w:val="18"/>
              </w:rPr>
              <w:t>（利息</w:t>
            </w:r>
            <w:r>
              <w:br/>
            </w:r>
            <w:r>
              <w:tab/>
            </w:r>
            <w:r>
              <w:tab/>
            </w:r>
            <w:r>
              <w:rPr>
                <w:rFonts w:ascii="宋体" w:hAnsi="宋体" w:eastAsia="宋体"/>
                <w:b w:val="0"/>
                <w:i w:val="0"/>
                <w:color w:val="000000"/>
                <w:sz w:val="18"/>
              </w:rPr>
              <w:t xml:space="preserve">207.68）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100.12%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偿还即将到期兑付的 </w:t>
            </w:r>
            <w:r>
              <w:rPr>
                <w:rFonts w:ascii="宋体" w:hAnsi="宋体" w:eastAsia="宋体"/>
                <w:b w:val="0"/>
                <w:i w:val="0"/>
                <w:color w:val="000000"/>
                <w:sz w:val="18"/>
              </w:rPr>
              <w:t xml:space="preserve">公司债券 </w:t>
            </w:r>
          </w:p>
        </w:tc>
        <w:tc>
          <w:tcPr>
            <w:tcW w:type="dxa" w:w="83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169,660.00 </w:t>
            </w:r>
          </w:p>
        </w:tc>
        <w:tc>
          <w:tcPr>
            <w:tcW w:type="dxa" w:w="1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169,660.00 </w:t>
            </w:r>
          </w:p>
        </w:tc>
        <w:tc>
          <w:tcPr>
            <w:tcW w:type="dxa" w:w="95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169,876.05</w:t>
            </w:r>
          </w:p>
        </w:tc>
        <w:tc>
          <w:tcPr>
            <w:tcW w:type="dxa" w:w="1342"/>
            <w:tcBorders>
              <w:start w:sz="3.199999999999818" w:val="single" w:color="#000000"/>
              <w:top w:sz="4.0" w:val="single" w:color="#000000"/>
              <w:end w:sz="3.200000000000273" w:val="single" w:color="#000000"/>
              <w:bottom w:sz="4.0" w:val="single" w:color="#000000"/>
            </w:tcBorders>
            <w:tcMar>
              <w:start w:w="0" w:type="dxa"/>
              <w:end w:w="0" w:type="dxa"/>
            </w:tcMar>
          </w:tcPr>
          <w:p>
            <w:pPr>
              <w:autoSpaceDN w:val="0"/>
              <w:tabs>
                <w:tab w:pos="222" w:val="left"/>
              </w:tabs>
              <w:autoSpaceDE w:val="0"/>
              <w:widowControl/>
              <w:spacing w:line="118" w:lineRule="exact" w:before="320" w:after="0"/>
              <w:ind w:left="0" w:right="0" w:firstLine="0"/>
              <w:jc w:val="left"/>
            </w:pPr>
            <w:r>
              <w:rPr>
                <w:rFonts w:ascii="宋体" w:hAnsi="宋体" w:eastAsia="宋体"/>
                <w:b w:val="0"/>
                <w:i w:val="0"/>
                <w:color w:val="000000"/>
                <w:sz w:val="18"/>
              </w:rPr>
              <w:t xml:space="preserve"> </w:t>
            </w:r>
            <w:r>
              <w:rPr>
                <w:rFonts w:ascii="宋体" w:hAnsi="宋体" w:eastAsia="宋体"/>
                <w:b w:val="0"/>
                <w:i w:val="0"/>
                <w:color w:val="000000"/>
                <w:sz w:val="18"/>
              </w:rPr>
              <w:t>169,876.05（利</w:t>
            </w:r>
            <w:r>
              <w:tab/>
            </w:r>
            <w:r>
              <w:rPr>
                <w:rFonts w:ascii="宋体" w:hAnsi="宋体" w:eastAsia="宋体"/>
                <w:b w:val="0"/>
                <w:i w:val="0"/>
                <w:color w:val="000000"/>
                <w:sz w:val="18"/>
              </w:rPr>
              <w:t xml:space="preserve">息216.05） </w:t>
            </w:r>
          </w:p>
        </w:tc>
        <w:tc>
          <w:tcPr>
            <w:tcW w:type="dxa" w:w="1032"/>
            <w:tcBorders>
              <w:start w:sz="3.200000000000273"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100.13% </w:t>
            </w:r>
          </w:p>
        </w:tc>
        <w:tc>
          <w:tcPr>
            <w:tcW w:type="dxa" w:w="78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2"/>
        </w:trPr>
        <w:tc>
          <w:tcPr>
            <w:tcW w:type="dxa" w:w="1732"/>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偿还即将到期兑付的 </w:t>
            </w:r>
            <w:r>
              <w:rPr>
                <w:rFonts w:ascii="宋体" w:hAnsi="宋体" w:eastAsia="宋体"/>
                <w:b w:val="0"/>
                <w:i w:val="0"/>
                <w:color w:val="000000"/>
                <w:sz w:val="18"/>
              </w:rPr>
              <w:t xml:space="preserve">公司债券 </w:t>
            </w:r>
          </w:p>
        </w:tc>
        <w:tc>
          <w:tcPr>
            <w:tcW w:type="dxa" w:w="83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12" w:right="0" w:firstLine="0"/>
              <w:jc w:val="left"/>
            </w:pPr>
            <w:r>
              <w:rPr>
                <w:rFonts w:ascii="宋体" w:hAnsi="宋体" w:eastAsia="宋体"/>
                <w:b w:val="0"/>
                <w:i w:val="0"/>
                <w:color w:val="000000"/>
                <w:sz w:val="18"/>
              </w:rPr>
              <w:t xml:space="preserve">179,640.00 </w:t>
            </w:r>
          </w:p>
        </w:tc>
        <w:tc>
          <w:tcPr>
            <w:tcW w:type="dxa" w:w="11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14" w:right="0" w:firstLine="0"/>
              <w:jc w:val="left"/>
            </w:pPr>
            <w:r>
              <w:rPr>
                <w:rFonts w:ascii="宋体" w:hAnsi="宋体" w:eastAsia="宋体"/>
                <w:b w:val="0"/>
                <w:i w:val="0"/>
                <w:color w:val="000000"/>
                <w:sz w:val="18"/>
              </w:rPr>
              <w:t xml:space="preserve">179,640.00 </w:t>
            </w:r>
          </w:p>
        </w:tc>
        <w:tc>
          <w:tcPr>
            <w:tcW w:type="dxa" w:w="95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179,640.00</w:t>
            </w:r>
          </w:p>
        </w:tc>
        <w:tc>
          <w:tcPr>
            <w:tcW w:type="dxa" w:w="1342"/>
            <w:tcBorders>
              <w:start w:sz="3.199999999999818" w:val="single" w:color="#000000"/>
              <w:top w:sz="4.0" w:val="single" w:color="#000000"/>
              <w:end w:sz="3.200000000000273" w:val="single" w:color="#000000"/>
              <w:bottom w:sz="3.199999999999818" w:val="single" w:color="#000000"/>
            </w:tcBorders>
            <w:tcMar>
              <w:start w:w="0" w:type="dxa"/>
              <w:end w:w="0" w:type="dxa"/>
            </w:tcMar>
          </w:tcPr>
          <w:p>
            <w:pPr>
              <w:autoSpaceDN w:val="0"/>
              <w:tabs>
                <w:tab w:pos="246" w:val="left"/>
              </w:tabs>
              <w:autoSpaceDE w:val="0"/>
              <w:widowControl/>
              <w:spacing w:line="180" w:lineRule="exact" w:before="258"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179,640.00 </w:t>
            </w:r>
          </w:p>
        </w:tc>
        <w:tc>
          <w:tcPr>
            <w:tcW w:type="dxa" w:w="1032"/>
            <w:tcBorders>
              <w:start w:sz="3.200000000000273"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258" w:after="0"/>
              <w:ind w:left="198" w:right="0" w:firstLine="0"/>
              <w:jc w:val="left"/>
            </w:pPr>
            <w:r>
              <w:rPr>
                <w:rFonts w:ascii="宋体" w:hAnsi="宋体" w:eastAsia="宋体"/>
                <w:b w:val="0"/>
                <w:i w:val="0"/>
                <w:color w:val="000000"/>
                <w:sz w:val="18"/>
              </w:rPr>
              <w:t xml:space="preserve">100.00% </w:t>
            </w:r>
          </w:p>
        </w:tc>
        <w:tc>
          <w:tcPr>
            <w:tcW w:type="dxa" w:w="782"/>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58" w:after="0"/>
              <w:ind w:left="0" w:right="188" w:firstLine="0"/>
              <w:jc w:val="right"/>
            </w:pPr>
            <w:r>
              <w:rPr>
                <w:rFonts w:ascii="宋体" w:hAnsi="宋体" w:eastAsia="宋体"/>
                <w:b w:val="0"/>
                <w:i w:val="0"/>
                <w:color w:val="000000"/>
                <w:sz w:val="18"/>
              </w:rPr>
              <w:t xml:space="preserve">否 </w:t>
            </w:r>
          </w:p>
        </w:tc>
      </w:tr>
      <w:tr>
        <w:trPr>
          <w:trHeight w:hRule="exact" w:val="710"/>
        </w:trPr>
        <w:tc>
          <w:tcPr>
            <w:tcW w:type="dxa" w:w="1732"/>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偿还即将到期兑付的 </w:t>
            </w:r>
            <w:r>
              <w:rPr>
                <w:rFonts w:ascii="宋体" w:hAnsi="宋体" w:eastAsia="宋体"/>
                <w:b w:val="0"/>
                <w:i w:val="0"/>
                <w:color w:val="000000"/>
                <w:sz w:val="18"/>
              </w:rPr>
              <w:t xml:space="preserve">公司债券 </w:t>
            </w:r>
          </w:p>
        </w:tc>
        <w:tc>
          <w:tcPr>
            <w:tcW w:type="dxa" w:w="83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58" w:right="0" w:firstLine="0"/>
              <w:jc w:val="left"/>
            </w:pPr>
            <w:r>
              <w:rPr>
                <w:rFonts w:ascii="宋体" w:hAnsi="宋体" w:eastAsia="宋体"/>
                <w:b w:val="0"/>
                <w:i w:val="0"/>
                <w:color w:val="000000"/>
                <w:sz w:val="18"/>
              </w:rPr>
              <w:t xml:space="preserve">69,860.00 </w:t>
            </w:r>
          </w:p>
        </w:tc>
        <w:tc>
          <w:tcPr>
            <w:tcW w:type="dxa" w:w="1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60" w:right="0" w:firstLine="0"/>
              <w:jc w:val="left"/>
            </w:pPr>
            <w:r>
              <w:rPr>
                <w:rFonts w:ascii="宋体" w:hAnsi="宋体" w:eastAsia="宋体"/>
                <w:b w:val="0"/>
                <w:i w:val="0"/>
                <w:color w:val="000000"/>
                <w:sz w:val="18"/>
              </w:rPr>
              <w:t xml:space="preserve">69,860.00 </w:t>
            </w:r>
          </w:p>
        </w:tc>
        <w:tc>
          <w:tcPr>
            <w:tcW w:type="dxa" w:w="95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60" w:after="0"/>
              <w:ind w:left="64" w:right="0" w:firstLine="0"/>
              <w:jc w:val="left"/>
            </w:pPr>
            <w:r>
              <w:rPr>
                <w:rFonts w:ascii="宋体" w:hAnsi="宋体" w:eastAsia="宋体"/>
                <w:b w:val="0"/>
                <w:i w:val="0"/>
                <w:color w:val="000000"/>
                <w:sz w:val="18"/>
              </w:rPr>
              <w:t xml:space="preserve">69,860.00 </w:t>
            </w:r>
          </w:p>
        </w:tc>
        <w:tc>
          <w:tcPr>
            <w:tcW w:type="dxa" w:w="1342"/>
            <w:tcBorders>
              <w:start w:sz="3.199999999999818" w:val="single" w:color="#000000"/>
              <w:top w:sz="3.199999999999818" w:val="single" w:color="#000000"/>
              <w:end w:sz="3.200000000000273" w:val="single" w:color="#000000"/>
              <w:bottom w:sz="4.0" w:val="single" w:color="#000000"/>
            </w:tcBorders>
            <w:tcMar>
              <w:start w:w="0" w:type="dxa"/>
              <w:end w:w="0" w:type="dxa"/>
            </w:tcMar>
          </w:tcPr>
          <w:p>
            <w:pPr>
              <w:autoSpaceDN w:val="0"/>
              <w:autoSpaceDE w:val="0"/>
              <w:widowControl/>
              <w:spacing w:line="180" w:lineRule="exact" w:before="260" w:after="0"/>
              <w:ind w:left="260" w:right="0" w:firstLine="0"/>
              <w:jc w:val="left"/>
            </w:pPr>
            <w:r>
              <w:rPr>
                <w:rFonts w:ascii="宋体" w:hAnsi="宋体" w:eastAsia="宋体"/>
                <w:b w:val="0"/>
                <w:i w:val="0"/>
                <w:color w:val="000000"/>
                <w:sz w:val="18"/>
              </w:rPr>
              <w:t xml:space="preserve">69,860.00 </w:t>
            </w:r>
          </w:p>
        </w:tc>
        <w:tc>
          <w:tcPr>
            <w:tcW w:type="dxa" w:w="1032"/>
            <w:tcBorders>
              <w:start w:sz="3.200000000000273"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260" w:after="0"/>
              <w:ind w:left="198" w:right="0" w:firstLine="0"/>
              <w:jc w:val="left"/>
            </w:pPr>
            <w:r>
              <w:rPr>
                <w:rFonts w:ascii="宋体" w:hAnsi="宋体" w:eastAsia="宋体"/>
                <w:b w:val="0"/>
                <w:i w:val="0"/>
                <w:color w:val="000000"/>
                <w:sz w:val="18"/>
              </w:rPr>
              <w:t xml:space="preserve">100.00% </w:t>
            </w:r>
          </w:p>
        </w:tc>
        <w:tc>
          <w:tcPr>
            <w:tcW w:type="dxa" w:w="78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18" w:right="0" w:firstLine="0"/>
              <w:jc w:val="left"/>
            </w:pPr>
            <w:r>
              <w:rPr>
                <w:rFonts w:ascii="宋体" w:hAnsi="宋体" w:eastAsia="宋体"/>
                <w:b w:val="0"/>
                <w:i w:val="0"/>
                <w:color w:val="000000"/>
                <w:sz w:val="18"/>
              </w:rPr>
              <w:t xml:space="preserve">不适用 </w:t>
            </w:r>
          </w:p>
        </w:tc>
        <w:tc>
          <w:tcPr>
            <w:tcW w:type="dxa" w:w="5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24" w:lineRule="exact" w:before="0" w:after="0"/>
              <w:ind w:left="112" w:right="0" w:firstLine="0"/>
              <w:jc w:val="left"/>
            </w:pPr>
            <w:r>
              <w:rPr>
                <w:rFonts w:ascii="宋体" w:hAnsi="宋体" w:eastAsia="宋体"/>
                <w:b w:val="0"/>
                <w:i w:val="0"/>
                <w:color w:val="000000"/>
                <w:sz w:val="18"/>
              </w:rPr>
              <w:t>无法</w:t>
            </w:r>
            <w:r>
              <w:br/>
            </w:r>
            <w:r>
              <w:rPr>
                <w:rFonts w:ascii="宋体" w:hAnsi="宋体" w:eastAsia="宋体"/>
                <w:b w:val="0"/>
                <w:i w:val="0"/>
                <w:color w:val="000000"/>
                <w:sz w:val="18"/>
              </w:rPr>
              <w:t xml:space="preserve">单独 </w:t>
            </w:r>
            <w:r>
              <w:rPr>
                <w:rFonts w:ascii="宋体" w:hAnsi="宋体" w:eastAsia="宋体"/>
                <w:b w:val="0"/>
                <w:i w:val="0"/>
                <w:color w:val="000000"/>
                <w:sz w:val="18"/>
              </w:rPr>
              <w:t xml:space="preserve">核算 </w:t>
            </w:r>
          </w:p>
        </w:tc>
        <w:tc>
          <w:tcPr>
            <w:tcW w:type="dxa" w:w="57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 xml:space="preserve">不 </w:t>
            </w:r>
            <w:r>
              <w:br/>
            </w:r>
            <w:r>
              <w:rPr>
                <w:rFonts w:ascii="宋体" w:hAnsi="宋体" w:eastAsia="宋体"/>
                <w:b w:val="0"/>
                <w:i w:val="0"/>
                <w:color w:val="000000"/>
                <w:sz w:val="18"/>
              </w:rPr>
              <w:t xml:space="preserve">适用 </w:t>
            </w:r>
          </w:p>
        </w:tc>
        <w:tc>
          <w:tcPr>
            <w:tcW w:type="dxa" w:w="74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188" w:firstLine="0"/>
              <w:jc w:val="right"/>
            </w:pPr>
            <w:r>
              <w:rPr>
                <w:rFonts w:ascii="宋体" w:hAnsi="宋体" w:eastAsia="宋体"/>
                <w:b w:val="0"/>
                <w:i w:val="0"/>
                <w:color w:val="000000"/>
                <w:sz w:val="18"/>
              </w:rPr>
              <w:t xml:space="preserve">否 </w:t>
            </w:r>
          </w:p>
        </w:tc>
      </w:tr>
      <w:tr>
        <w:trPr>
          <w:trHeight w:hRule="exact" w:val="426"/>
        </w:trPr>
        <w:tc>
          <w:tcPr>
            <w:tcW w:type="dxa" w:w="1732"/>
            <w:tcBorders>
              <w:start w:sz="4.0" w:val="single" w:color="#000000"/>
              <w:top w:sz="4.0" w:val="single" w:color="#000000"/>
              <w:end w:sz="3.2000000000000455" w:val="single" w:color="#000000"/>
              <w:bottom w:sz="3.2000000000007276" w:val="single" w:color="#000000"/>
            </w:tcBorders>
            <w:tcMar>
              <w:start w:w="0" w:type="dxa"/>
              <w:end w:w="0" w:type="dxa"/>
            </w:tcMar>
          </w:tcPr>
          <w:p>
            <w:pPr>
              <w:autoSpaceDN w:val="0"/>
              <w:autoSpaceDE w:val="0"/>
              <w:widowControl/>
              <w:spacing w:line="180" w:lineRule="exact" w:before="116" w:after="0"/>
              <w:ind w:left="142" w:right="0" w:firstLine="0"/>
              <w:jc w:val="left"/>
            </w:pPr>
            <w:r>
              <w:rPr>
                <w:rFonts w:ascii="宋体" w:hAnsi="宋体" w:eastAsia="宋体"/>
                <w:b w:val="0"/>
                <w:i w:val="0"/>
                <w:color w:val="000000"/>
                <w:sz w:val="18"/>
              </w:rPr>
              <w:t xml:space="preserve">承诺投资项目小计 </w:t>
            </w:r>
          </w:p>
        </w:tc>
        <w:tc>
          <w:tcPr>
            <w:tcW w:type="dxa" w:w="832"/>
            <w:tcBorders>
              <w:start w:sz="3.2000000000000455"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232" w:firstLine="0"/>
              <w:jc w:val="right"/>
            </w:pPr>
            <w:r>
              <w:rPr>
                <w:rFonts w:ascii="宋体" w:hAnsi="宋体" w:eastAsia="宋体"/>
                <w:b w:val="0"/>
                <w:i w:val="0"/>
                <w:color w:val="000000"/>
                <w:sz w:val="18"/>
              </w:rPr>
              <w:t xml:space="preserve">否 </w:t>
            </w:r>
          </w:p>
        </w:tc>
        <w:tc>
          <w:tcPr>
            <w:tcW w:type="dxa" w:w="113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0" w:firstLine="0"/>
              <w:jc w:val="center"/>
            </w:pPr>
            <w:r>
              <w:rPr>
                <w:rFonts w:ascii="宋体" w:hAnsi="宋体" w:eastAsia="宋体"/>
                <w:b w:val="0"/>
                <w:i w:val="0"/>
                <w:color w:val="000000"/>
                <w:sz w:val="18"/>
              </w:rPr>
              <w:t>2,015,960.00</w:t>
            </w:r>
          </w:p>
        </w:tc>
        <w:tc>
          <w:tcPr>
            <w:tcW w:type="dxa" w:w="113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0" w:firstLine="0"/>
              <w:jc w:val="center"/>
            </w:pPr>
            <w:r>
              <w:rPr>
                <w:rFonts w:ascii="宋体" w:hAnsi="宋体" w:eastAsia="宋体"/>
                <w:b w:val="0"/>
                <w:i w:val="0"/>
                <w:color w:val="000000"/>
                <w:sz w:val="18"/>
              </w:rPr>
              <w:t xml:space="preserve"> 2,015,960.00</w:t>
            </w:r>
          </w:p>
        </w:tc>
        <w:tc>
          <w:tcPr>
            <w:tcW w:type="dxa" w:w="954"/>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180" w:lineRule="exact" w:before="116" w:after="0"/>
              <w:ind w:left="0" w:right="0" w:firstLine="0"/>
              <w:jc w:val="center"/>
            </w:pPr>
            <w:r>
              <w:rPr>
                <w:rFonts w:ascii="宋体" w:hAnsi="宋体" w:eastAsia="宋体"/>
                <w:b w:val="0"/>
                <w:i w:val="0"/>
                <w:color w:val="000000"/>
                <w:sz w:val="18"/>
              </w:rPr>
              <w:t xml:space="preserve"> 599,406.30</w:t>
            </w:r>
          </w:p>
        </w:tc>
        <w:tc>
          <w:tcPr>
            <w:tcW w:type="dxa" w:w="1342"/>
            <w:tcBorders>
              <w:start w:sz="3.199999999999818" w:val="single" w:color="#000000"/>
              <w:top w:sz="4.0" w:val="single" w:color="#000000"/>
              <w:end w:sz="3.200000000000273" w:val="single" w:color="#000000"/>
              <w:bottom w:sz="3.2000000000007276" w:val="single" w:color="#000000"/>
            </w:tcBorders>
            <w:tcMar>
              <w:start w:w="0" w:type="dxa"/>
              <w:end w:w="0" w:type="dxa"/>
            </w:tcMar>
          </w:tcPr>
          <w:p>
            <w:pPr>
              <w:autoSpaceDN w:val="0"/>
              <w:autoSpaceDE w:val="0"/>
              <w:widowControl/>
              <w:spacing w:line="180" w:lineRule="exact" w:before="116" w:after="0"/>
              <w:ind w:left="0" w:right="0" w:firstLine="0"/>
              <w:jc w:val="center"/>
            </w:pPr>
            <w:r>
              <w:rPr>
                <w:rFonts w:ascii="宋体" w:hAnsi="宋体" w:eastAsia="宋体"/>
                <w:b w:val="0"/>
                <w:i w:val="0"/>
                <w:color w:val="000000"/>
                <w:sz w:val="18"/>
              </w:rPr>
              <w:t xml:space="preserve"> 2,017,233.86 </w:t>
            </w:r>
          </w:p>
        </w:tc>
        <w:tc>
          <w:tcPr>
            <w:tcW w:type="dxa" w:w="1032"/>
            <w:tcBorders>
              <w:start w:sz="3.200000000000273"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180" w:lineRule="exact" w:before="116" w:after="0"/>
              <w:ind w:left="198" w:right="0" w:firstLine="0"/>
              <w:jc w:val="left"/>
            </w:pPr>
            <w:r>
              <w:rPr>
                <w:rFonts w:ascii="宋体" w:hAnsi="宋体" w:eastAsia="宋体"/>
                <w:b w:val="0"/>
                <w:i w:val="0"/>
                <w:color w:val="000000"/>
                <w:sz w:val="18"/>
              </w:rPr>
              <w:t xml:space="preserve">100.06% </w:t>
            </w:r>
          </w:p>
        </w:tc>
        <w:tc>
          <w:tcPr>
            <w:tcW w:type="dxa" w:w="782"/>
            <w:tcBorders>
              <w:start w:sz="3.199999999999818"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252" w:firstLine="0"/>
              <w:jc w:val="right"/>
            </w:pPr>
            <w:r>
              <w:rPr>
                <w:rFonts w:ascii="宋体" w:hAnsi="宋体" w:eastAsia="宋体"/>
                <w:b w:val="0"/>
                <w:i w:val="0"/>
                <w:color w:val="000000"/>
                <w:sz w:val="18"/>
              </w:rPr>
              <w:t xml:space="preserve">- </w:t>
            </w:r>
          </w:p>
        </w:tc>
        <w:tc>
          <w:tcPr>
            <w:tcW w:type="dxa" w:w="59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152" w:firstLine="0"/>
              <w:jc w:val="right"/>
            </w:pPr>
            <w:r>
              <w:rPr>
                <w:rFonts w:ascii="宋体" w:hAnsi="宋体" w:eastAsia="宋体"/>
                <w:b w:val="0"/>
                <w:i w:val="0"/>
                <w:color w:val="000000"/>
                <w:sz w:val="18"/>
              </w:rPr>
              <w:t xml:space="preserve">- </w:t>
            </w:r>
          </w:p>
        </w:tc>
        <w:tc>
          <w:tcPr>
            <w:tcW w:type="dxa" w:w="57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146" w:firstLine="0"/>
              <w:jc w:val="right"/>
            </w:pPr>
            <w:r>
              <w:rPr>
                <w:rFonts w:ascii="宋体" w:hAnsi="宋体" w:eastAsia="宋体"/>
                <w:b w:val="0"/>
                <w:i w:val="0"/>
                <w:color w:val="000000"/>
                <w:sz w:val="18"/>
              </w:rPr>
              <w:t xml:space="preserve">- </w:t>
            </w:r>
          </w:p>
        </w:tc>
        <w:tc>
          <w:tcPr>
            <w:tcW w:type="dxa" w:w="74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16" w:after="0"/>
              <w:ind w:left="0" w:right="234" w:firstLine="0"/>
              <w:jc w:val="right"/>
            </w:pPr>
            <w:r>
              <w:rPr>
                <w:rFonts w:ascii="宋体" w:hAnsi="宋体" w:eastAsia="宋体"/>
                <w:b w:val="0"/>
                <w:i w:val="0"/>
                <w:color w:val="000000"/>
                <w:sz w:val="18"/>
              </w:rPr>
              <w:t xml:space="preserve">- </w:t>
            </w:r>
          </w:p>
        </w:tc>
      </w:tr>
      <w:tr>
        <w:trPr>
          <w:trHeight w:hRule="exact" w:val="426"/>
        </w:trPr>
        <w:tc>
          <w:tcPr>
            <w:tcW w:type="dxa" w:w="10860"/>
            <w:gridSpan w:val="11"/>
            <w:tcBorders>
              <w:start w:sz="4.0" w:val="single" w:color="#000000"/>
              <w:top w:sz="3.2000000000007276"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18" w:after="0"/>
              <w:ind w:left="24" w:right="0" w:firstLine="0"/>
              <w:jc w:val="left"/>
            </w:pPr>
            <w:r>
              <w:rPr>
                <w:rFonts w:ascii="宋体" w:hAnsi="宋体" w:eastAsia="宋体"/>
                <w:b w:val="0"/>
                <w:i w:val="0"/>
                <w:color w:val="000000"/>
                <w:sz w:val="18"/>
              </w:rPr>
              <w:t xml:space="preserve">超募资金投向 </w:t>
            </w:r>
          </w:p>
        </w:tc>
      </w:tr>
      <w:tr>
        <w:trPr>
          <w:trHeight w:hRule="exact" w:val="242"/>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4" w:after="0"/>
              <w:ind w:left="24" w:right="0" w:firstLine="0"/>
              <w:jc w:val="left"/>
            </w:pPr>
            <w:r>
              <w:rPr>
                <w:rFonts w:ascii="宋体" w:hAnsi="宋体" w:eastAsia="宋体"/>
                <w:b w:val="0"/>
                <w:i w:val="0"/>
                <w:color w:val="000000"/>
                <w:sz w:val="18"/>
              </w:rPr>
              <w:t xml:space="preserve">超募资金投资项目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4" w:after="0"/>
              <w:ind w:left="0" w:right="4380" w:firstLine="0"/>
              <w:jc w:val="right"/>
            </w:pPr>
            <w:r>
              <w:rPr>
                <w:rFonts w:ascii="宋体" w:hAnsi="宋体" w:eastAsia="宋体"/>
                <w:b w:val="0"/>
                <w:i w:val="0"/>
                <w:color w:val="000000"/>
                <w:sz w:val="18"/>
              </w:rPr>
              <w:t xml:space="preserve">无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4" w:lineRule="exact" w:before="0" w:after="0"/>
              <w:ind w:left="24" w:right="78" w:firstLine="0"/>
              <w:jc w:val="both"/>
            </w:pPr>
            <w:r>
              <w:rPr>
                <w:rFonts w:ascii="宋体" w:hAnsi="宋体" w:eastAsia="宋体"/>
                <w:b w:val="0"/>
                <w:i w:val="0"/>
                <w:color w:val="000000"/>
                <w:sz w:val="18"/>
              </w:rPr>
              <w:t>未达到计划进度或预</w:t>
            </w:r>
            <w:r>
              <w:rPr>
                <w:rFonts w:ascii="宋体" w:hAnsi="宋体" w:eastAsia="宋体"/>
                <w:b w:val="0"/>
                <w:i w:val="0"/>
                <w:color w:val="000000"/>
                <w:sz w:val="18"/>
              </w:rPr>
              <w:t>计收益的情况和原因</w:t>
            </w:r>
            <w:r>
              <w:rPr>
                <w:rFonts w:ascii="宋体" w:hAnsi="宋体" w:eastAsia="宋体"/>
                <w:b w:val="0"/>
                <w:i w:val="0"/>
                <w:color w:val="000000"/>
                <w:sz w:val="18"/>
              </w:rPr>
              <w:t xml:space="preserve">（分具体项目）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60" w:after="0"/>
              <w:ind w:left="0" w:right="4380" w:firstLine="0"/>
              <w:jc w:val="right"/>
            </w:pPr>
            <w:r>
              <w:rPr>
                <w:rFonts w:ascii="宋体" w:hAnsi="宋体" w:eastAsia="宋体"/>
                <w:b w:val="0"/>
                <w:i w:val="0"/>
                <w:color w:val="000000"/>
                <w:sz w:val="18"/>
              </w:rPr>
              <w:t xml:space="preserve">无 </w:t>
            </w:r>
          </w:p>
        </w:tc>
      </w:tr>
      <w:tr>
        <w:trPr>
          <w:trHeight w:hRule="exact" w:val="476"/>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项目可行性发生重大</w:t>
            </w:r>
            <w:r>
              <w:rPr>
                <w:rFonts w:ascii="宋体" w:hAnsi="宋体" w:eastAsia="宋体"/>
                <w:b w:val="0"/>
                <w:i w:val="0"/>
                <w:color w:val="000000"/>
                <w:sz w:val="18"/>
              </w:rPr>
              <w:t xml:space="preserve">变化的情况说明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4" w:after="0"/>
              <w:ind w:left="0" w:right="4380" w:firstLine="0"/>
              <w:jc w:val="right"/>
            </w:pPr>
            <w:r>
              <w:rPr>
                <w:rFonts w:ascii="宋体" w:hAnsi="宋体" w:eastAsia="宋体"/>
                <w:b w:val="0"/>
                <w:i w:val="0"/>
                <w:color w:val="000000"/>
                <w:sz w:val="18"/>
              </w:rPr>
              <w:t xml:space="preserve">无 </w:t>
            </w:r>
          </w:p>
        </w:tc>
      </w:tr>
      <w:tr>
        <w:trPr>
          <w:trHeight w:hRule="exact" w:val="816"/>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32" w:lineRule="exact" w:before="144" w:after="0"/>
              <w:ind w:left="24" w:right="0" w:firstLine="0"/>
              <w:jc w:val="left"/>
            </w:pPr>
            <w:r>
              <w:rPr>
                <w:rFonts w:ascii="宋体" w:hAnsi="宋体" w:eastAsia="宋体"/>
                <w:b w:val="0"/>
                <w:i w:val="0"/>
                <w:color w:val="000000"/>
                <w:sz w:val="18"/>
              </w:rPr>
              <w:t>超募资金的金额、用</w:t>
            </w:r>
            <w:r>
              <w:rPr>
                <w:rFonts w:ascii="宋体" w:hAnsi="宋体" w:eastAsia="宋体"/>
                <w:b w:val="0"/>
                <w:i w:val="0"/>
                <w:color w:val="000000"/>
                <w:sz w:val="18"/>
              </w:rPr>
              <w:t xml:space="preserve">途及使用进展情况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10" w:after="0"/>
              <w:ind w:left="0" w:right="4380" w:firstLine="0"/>
              <w:jc w:val="right"/>
            </w:pPr>
            <w:r>
              <w:rPr>
                <w:rFonts w:ascii="宋体" w:hAnsi="宋体" w:eastAsia="宋体"/>
                <w:b w:val="0"/>
                <w:i w:val="0"/>
                <w:color w:val="000000"/>
                <w:sz w:val="18"/>
              </w:rPr>
              <w:t xml:space="preserve">无 </w:t>
            </w:r>
          </w:p>
        </w:tc>
      </w:tr>
      <w:tr>
        <w:trPr>
          <w:trHeight w:hRule="exact" w:val="48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募集资金投资项目实</w:t>
            </w:r>
            <w:r>
              <w:rPr>
                <w:rFonts w:ascii="宋体" w:hAnsi="宋体" w:eastAsia="宋体"/>
                <w:b w:val="0"/>
                <w:i w:val="0"/>
                <w:color w:val="000000"/>
                <w:sz w:val="18"/>
              </w:rPr>
              <w:t xml:space="preserve">施地点变更情况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6" w:after="0"/>
              <w:ind w:left="0" w:right="4380" w:firstLine="0"/>
              <w:jc w:val="right"/>
            </w:pPr>
            <w:r>
              <w:rPr>
                <w:rFonts w:ascii="宋体" w:hAnsi="宋体" w:eastAsia="宋体"/>
                <w:b w:val="0"/>
                <w:i w:val="0"/>
                <w:color w:val="000000"/>
                <w:sz w:val="18"/>
              </w:rPr>
              <w:t xml:space="preserve">无 </w:t>
            </w:r>
          </w:p>
        </w:tc>
      </w:tr>
      <w:tr>
        <w:trPr>
          <w:trHeight w:hRule="exact" w:val="476"/>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18" w:lineRule="exact" w:before="0" w:after="0"/>
              <w:ind w:left="24" w:right="0" w:firstLine="0"/>
              <w:jc w:val="left"/>
            </w:pPr>
            <w:r>
              <w:rPr>
                <w:rFonts w:ascii="宋体" w:hAnsi="宋体" w:eastAsia="宋体"/>
                <w:b w:val="0"/>
                <w:i w:val="0"/>
                <w:color w:val="000000"/>
                <w:sz w:val="18"/>
              </w:rPr>
              <w:t>募集资金投资项目实</w:t>
            </w:r>
            <w:r>
              <w:rPr>
                <w:rFonts w:ascii="宋体" w:hAnsi="宋体" w:eastAsia="宋体"/>
                <w:b w:val="0"/>
                <w:i w:val="0"/>
                <w:color w:val="000000"/>
                <w:sz w:val="18"/>
              </w:rPr>
              <w:t xml:space="preserve">施方式调整情况 </w:t>
            </w:r>
          </w:p>
        </w:tc>
        <w:tc>
          <w:tcPr>
            <w:tcW w:type="dxa" w:w="9128"/>
            <w:gridSpan w:val="10"/>
            <w:tcBorders>
              <w:start w:sz="3.2000000000000455"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0" w:right="4380" w:firstLine="0"/>
              <w:jc w:val="right"/>
            </w:pPr>
            <w:r>
              <w:rPr>
                <w:rFonts w:ascii="宋体" w:hAnsi="宋体" w:eastAsia="宋体"/>
                <w:b w:val="0"/>
                <w:i w:val="0"/>
                <w:color w:val="000000"/>
                <w:sz w:val="18"/>
              </w:rPr>
              <w:t xml:space="preserve">无 </w:t>
            </w:r>
          </w:p>
        </w:tc>
      </w:tr>
      <w:tr>
        <w:trPr>
          <w:trHeight w:hRule="exact" w:val="476"/>
        </w:trPr>
        <w:tc>
          <w:tcPr>
            <w:tcW w:type="dxa" w:w="1732"/>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募集资金投资项目先</w:t>
            </w:r>
            <w:r>
              <w:rPr>
                <w:rFonts w:ascii="宋体" w:hAnsi="宋体" w:eastAsia="宋体"/>
                <w:b w:val="0"/>
                <w:i w:val="0"/>
                <w:color w:val="000000"/>
                <w:sz w:val="18"/>
              </w:rPr>
              <w:t xml:space="preserve">期投入及置换情况 </w:t>
            </w:r>
          </w:p>
        </w:tc>
        <w:tc>
          <w:tcPr>
            <w:tcW w:type="dxa" w:w="9128"/>
            <w:gridSpan w:val="10"/>
            <w:tcBorders>
              <w:start w:sz="3.2000000000000455" w:val="single" w:color="#000000"/>
              <w:top w:sz="4.0"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2" w:after="0"/>
              <w:ind w:left="0" w:right="4380" w:firstLine="0"/>
              <w:jc w:val="right"/>
            </w:pPr>
            <w:r>
              <w:rPr>
                <w:rFonts w:ascii="宋体" w:hAnsi="宋体" w:eastAsia="宋体"/>
                <w:b w:val="0"/>
                <w:i w:val="0"/>
                <w:color w:val="000000"/>
                <w:sz w:val="18"/>
              </w:rPr>
              <w:t xml:space="preserve">无 </w:t>
            </w:r>
          </w:p>
        </w:tc>
      </w:tr>
    </w:tbl>
    <w:p>
      <w:pPr>
        <w:autoSpaceDN w:val="0"/>
        <w:autoSpaceDE w:val="0"/>
        <w:widowControl/>
        <w:spacing w:line="197" w:lineRule="auto" w:before="512" w:after="0"/>
        <w:ind w:left="0" w:right="0" w:firstLine="0"/>
        <w:jc w:val="center"/>
      </w:pPr>
      <w:r>
        <w:rPr>
          <w:rFonts w:ascii="Calibri" w:hAnsi="Calibri" w:eastAsia="Calibri"/>
          <w:b w:val="0"/>
          <w:i w:val="0"/>
          <w:color w:val="000000"/>
          <w:sz w:val="18"/>
        </w:rPr>
        <w:t xml:space="preserve">49 </w:t>
      </w:r>
    </w:p>
    <w:p>
      <w:pPr>
        <w:sectPr>
          <w:type w:val="continuous"/>
          <w:pgSz w:w="11904" w:h="16841"/>
          <w:pgMar w:top="424" w:right="496" w:bottom="446" w:left="516"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444.0" w:type="dxa"/>
      </w:tblPr>
      <w:tblGrid>
        <w:gridCol w:w="5775"/>
        <w:gridCol w:w="5775"/>
      </w:tblGrid>
      <w:tr>
        <w:trPr>
          <w:trHeight w:hRule="exact" w:val="796"/>
        </w:trPr>
        <w:tc>
          <w:tcPr>
            <w:tcW w:type="dxa" w:w="5880"/>
            <w:tcBorders/>
            <w:tcMar>
              <w:start w:w="0" w:type="dxa"/>
              <w:end w:w="0" w:type="dxa"/>
            </w:tcMar>
          </w:tcPr>
          <w:p>
            <w:pPr>
              <w:autoSpaceDN w:val="0"/>
              <w:autoSpaceDE w:val="0"/>
              <w:widowControl/>
              <w:spacing w:line="240" w:lineRule="auto" w:before="0" w:after="0"/>
              <w:ind w:left="474" w:right="0" w:firstLine="0"/>
              <w:jc w:val="left"/>
            </w:pPr>
            <w:r>
              <w:drawing>
                <wp:inline xmlns:a="http://schemas.openxmlformats.org/drawingml/2006/main" xmlns:pic="http://schemas.openxmlformats.org/drawingml/2006/picture">
                  <wp:extent cx="1844039" cy="439419"/>
                  <wp:docPr id="52" name="Picture 5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720"/>
            <w:tcBorders/>
            <w:tcMar>
              <w:start w:w="0" w:type="dxa"/>
              <w:end w:w="0" w:type="dxa"/>
            </w:tcMar>
          </w:tcPr>
          <w:p>
            <w:pPr>
              <w:autoSpaceDN w:val="0"/>
              <w:autoSpaceDE w:val="0"/>
              <w:widowControl/>
              <w:spacing w:line="200" w:lineRule="exact" w:before="536" w:after="0"/>
              <w:ind w:left="0" w:right="50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306.0" w:type="dxa"/>
      </w:tblPr>
      <w:tblGrid>
        <w:gridCol w:w="5775"/>
        <w:gridCol w:w="5775"/>
      </w:tblGrid>
      <w:tr>
        <w:trPr>
          <w:trHeight w:hRule="exact" w:val="477"/>
        </w:trPr>
        <w:tc>
          <w:tcPr>
            <w:tcW w:type="dxa" w:w="1732"/>
            <w:tcBorders>
              <w:start w:sz="4.0" w:val="single" w:color="#000000"/>
              <w:top w:sz="4.0" w:val="single" w:color="#000000"/>
              <w:end w:sz="3.2000000000000455" w:val="single" w:color="#000000"/>
              <w:bottom w:sz="3.2000000000000455"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用闲置募集资金暂时</w:t>
            </w:r>
            <w:r>
              <w:rPr>
                <w:rFonts w:ascii="宋体" w:hAnsi="宋体" w:eastAsia="宋体"/>
                <w:b w:val="0"/>
                <w:i w:val="0"/>
                <w:color w:val="000000"/>
                <w:sz w:val="18"/>
              </w:rPr>
              <w:t xml:space="preserve">补充流动资金情况 </w:t>
            </w:r>
          </w:p>
        </w:tc>
        <w:tc>
          <w:tcPr>
            <w:tcW w:type="dxa" w:w="9128"/>
            <w:tcBorders>
              <w:start w:sz="3.2000000000000455" w:val="single" w:color="#000000"/>
              <w:top w:sz="5.600000000000023"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0" w:right="4380" w:firstLine="0"/>
              <w:jc w:val="right"/>
            </w:pPr>
            <w:r>
              <w:rPr>
                <w:rFonts w:ascii="宋体" w:hAnsi="宋体" w:eastAsia="宋体"/>
                <w:b w:val="0"/>
                <w:i w:val="0"/>
                <w:color w:val="000000"/>
                <w:sz w:val="18"/>
              </w:rPr>
              <w:t xml:space="preserve">无 </w:t>
            </w:r>
          </w:p>
        </w:tc>
      </w:tr>
      <w:tr>
        <w:trPr>
          <w:trHeight w:hRule="exact" w:val="476"/>
        </w:trPr>
        <w:tc>
          <w:tcPr>
            <w:tcW w:type="dxa" w:w="1732"/>
            <w:tcBorders>
              <w:start w:sz="4.0" w:val="single" w:color="#000000"/>
              <w:top w:sz="3.2000000000000455" w:val="single" w:color="#000000"/>
              <w:end w:sz="3.2000000000000455" w:val="single" w:color="#000000"/>
              <w:bottom w:sz="4.0"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用闲置募集资金进行</w:t>
            </w:r>
            <w:r>
              <w:rPr>
                <w:rFonts w:ascii="宋体" w:hAnsi="宋体" w:eastAsia="宋体"/>
                <w:b w:val="0"/>
                <w:i w:val="0"/>
                <w:color w:val="000000"/>
                <w:sz w:val="18"/>
              </w:rPr>
              <w:t xml:space="preserve">现金管理情况 </w:t>
            </w:r>
          </w:p>
        </w:tc>
        <w:tc>
          <w:tcPr>
            <w:tcW w:type="dxa" w:w="9128"/>
            <w:tcBorders>
              <w:start w:sz="3.2000000000000455"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4380" w:firstLine="0"/>
              <w:jc w:val="right"/>
            </w:pPr>
            <w:r>
              <w:rPr>
                <w:rFonts w:ascii="宋体" w:hAnsi="宋体" w:eastAsia="宋体"/>
                <w:b w:val="0"/>
                <w:i w:val="0"/>
                <w:color w:val="000000"/>
                <w:sz w:val="18"/>
              </w:rPr>
              <w:t xml:space="preserve">无 </w:t>
            </w:r>
          </w:p>
        </w:tc>
      </w:tr>
      <w:tr>
        <w:trPr>
          <w:trHeight w:hRule="exact" w:val="478"/>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项目实施出现募集资</w:t>
            </w:r>
            <w:r>
              <w:rPr>
                <w:rFonts w:ascii="宋体" w:hAnsi="宋体" w:eastAsia="宋体"/>
                <w:b w:val="0"/>
                <w:i w:val="0"/>
                <w:color w:val="000000"/>
                <w:sz w:val="18"/>
              </w:rPr>
              <w:t xml:space="preserve">金结余的金额及原因 </w:t>
            </w:r>
          </w:p>
        </w:tc>
        <w:tc>
          <w:tcPr>
            <w:tcW w:type="dxa" w:w="912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4380" w:firstLine="0"/>
              <w:jc w:val="right"/>
            </w:pPr>
            <w:r>
              <w:rPr>
                <w:rFonts w:ascii="宋体" w:hAnsi="宋体" w:eastAsia="宋体"/>
                <w:b w:val="0"/>
                <w:i w:val="0"/>
                <w:color w:val="000000"/>
                <w:sz w:val="18"/>
              </w:rPr>
              <w:t xml:space="preserve">无 </w:t>
            </w:r>
          </w:p>
        </w:tc>
      </w:tr>
      <w:tr>
        <w:trPr>
          <w:trHeight w:hRule="exact" w:val="48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0" w:lineRule="exact" w:before="0" w:after="0"/>
              <w:ind w:left="24" w:right="0" w:firstLine="0"/>
              <w:jc w:val="left"/>
            </w:pPr>
            <w:r>
              <w:rPr>
                <w:rFonts w:ascii="宋体" w:hAnsi="宋体" w:eastAsia="宋体"/>
                <w:b w:val="0"/>
                <w:i w:val="0"/>
                <w:color w:val="000000"/>
                <w:sz w:val="18"/>
              </w:rPr>
              <w:t>尚未使用的募集资金</w:t>
            </w:r>
            <w:r>
              <w:rPr>
                <w:rFonts w:ascii="宋体" w:hAnsi="宋体" w:eastAsia="宋体"/>
                <w:b w:val="0"/>
                <w:i w:val="0"/>
                <w:color w:val="000000"/>
                <w:sz w:val="18"/>
              </w:rPr>
              <w:t xml:space="preserve">用途及去向 </w:t>
            </w:r>
          </w:p>
        </w:tc>
        <w:tc>
          <w:tcPr>
            <w:tcW w:type="dxa" w:w="912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4" w:right="0" w:firstLine="0"/>
              <w:jc w:val="left"/>
            </w:pPr>
            <w:r>
              <w:rPr>
                <w:rFonts w:ascii="宋体" w:hAnsi="宋体" w:eastAsia="宋体"/>
                <w:b w:val="0"/>
                <w:i w:val="0"/>
                <w:color w:val="000000"/>
                <w:sz w:val="18"/>
              </w:rPr>
              <w:t xml:space="preserve">截至2024 年12 月31 日止，募集资金账户余额2,618,852.18 元均为募集资金专户结息，在募集资金专户内存放。 </w:t>
            </w:r>
          </w:p>
        </w:tc>
      </w:tr>
      <w:tr>
        <w:trPr>
          <w:trHeight w:hRule="exact" w:val="710"/>
        </w:trPr>
        <w:tc>
          <w:tcPr>
            <w:tcW w:type="dxa" w:w="1732"/>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224" w:lineRule="exact" w:before="0" w:after="0"/>
              <w:ind w:left="24" w:right="78" w:firstLine="0"/>
              <w:jc w:val="both"/>
            </w:pPr>
            <w:r>
              <w:rPr>
                <w:rFonts w:ascii="宋体" w:hAnsi="宋体" w:eastAsia="宋体"/>
                <w:b w:val="0"/>
                <w:i w:val="0"/>
                <w:color w:val="000000"/>
                <w:sz w:val="18"/>
              </w:rPr>
              <w:t>募集资金使用及披露</w:t>
            </w:r>
            <w:r>
              <w:rPr>
                <w:rFonts w:ascii="宋体" w:hAnsi="宋体" w:eastAsia="宋体"/>
                <w:b w:val="0"/>
                <w:i w:val="0"/>
                <w:color w:val="000000"/>
                <w:sz w:val="18"/>
              </w:rPr>
              <w:t>中存在的问题或其他</w:t>
            </w:r>
            <w:r>
              <w:rPr>
                <w:rFonts w:ascii="宋体" w:hAnsi="宋体" w:eastAsia="宋体"/>
                <w:b w:val="0"/>
                <w:i w:val="0"/>
                <w:color w:val="000000"/>
                <w:sz w:val="18"/>
              </w:rPr>
              <w:t xml:space="preserve">情况 </w:t>
            </w:r>
          </w:p>
        </w:tc>
        <w:tc>
          <w:tcPr>
            <w:tcW w:type="dxa" w:w="9128"/>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4380" w:firstLine="0"/>
              <w:jc w:val="right"/>
            </w:pPr>
            <w:r>
              <w:rPr>
                <w:rFonts w:ascii="宋体" w:hAnsi="宋体" w:eastAsia="宋体"/>
                <w:b w:val="0"/>
                <w:i w:val="0"/>
                <w:color w:val="000000"/>
                <w:sz w:val="18"/>
              </w:rPr>
              <w:t xml:space="preserve">无 </w:t>
            </w:r>
          </w:p>
        </w:tc>
      </w:tr>
    </w:tbl>
    <w:p>
      <w:pPr>
        <w:autoSpaceDN w:val="0"/>
        <w:autoSpaceDE w:val="0"/>
        <w:widowControl/>
        <w:spacing w:line="180" w:lineRule="exact" w:before="370" w:after="0"/>
        <w:ind w:left="918" w:right="0" w:firstLine="0"/>
        <w:jc w:val="left"/>
      </w:pPr>
      <w:r>
        <w:rPr>
          <w:rFonts w:ascii="宋体" w:hAnsi="宋体" w:eastAsia="宋体"/>
          <w:b w:val="0"/>
          <w:i w:val="0"/>
          <w:color w:val="000000"/>
          <w:sz w:val="18"/>
        </w:rPr>
        <w:t xml:space="preserve">（3） 募集资金变更项目情况 </w:t>
      </w:r>
    </w:p>
    <w:p>
      <w:pPr>
        <w:autoSpaceDN w:val="0"/>
        <w:autoSpaceDE w:val="0"/>
        <w:widowControl/>
        <w:spacing w:line="180" w:lineRule="exact" w:before="364" w:after="0"/>
        <w:ind w:left="918"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82" w:after="0"/>
        <w:ind w:left="918" w:right="0" w:firstLine="0"/>
        <w:jc w:val="left"/>
      </w:pPr>
      <w:r>
        <w:rPr>
          <w:rFonts w:ascii="宋体" w:hAnsi="宋体" w:eastAsia="宋体"/>
          <w:b w:val="0"/>
          <w:i w:val="0"/>
          <w:color w:val="000000"/>
          <w:sz w:val="18"/>
        </w:rPr>
        <w:t xml:space="preserve">公司报告期不存在募集资金变更项目情况。 </w:t>
      </w:r>
    </w:p>
    <w:p>
      <w:pPr>
        <w:autoSpaceDN w:val="0"/>
        <w:autoSpaceDE w:val="0"/>
        <w:widowControl/>
        <w:spacing w:line="240" w:lineRule="exact" w:before="374" w:after="0"/>
        <w:ind w:left="918" w:right="0" w:firstLine="0"/>
        <w:jc w:val="left"/>
      </w:pPr>
      <w:r>
        <w:rPr>
          <w:rFonts w:ascii="宋体" w:hAnsi="宋体" w:eastAsia="宋体"/>
          <w:b w:val="0"/>
          <w:i w:val="0"/>
          <w:color w:val="000000"/>
          <w:sz w:val="24"/>
        </w:rPr>
        <w:t xml:space="preserve">九、重大资产和股权出售 </w:t>
      </w:r>
    </w:p>
    <w:p>
      <w:pPr>
        <w:autoSpaceDN w:val="0"/>
        <w:autoSpaceDE w:val="0"/>
        <w:widowControl/>
        <w:spacing w:line="212" w:lineRule="exact" w:before="372" w:after="0"/>
        <w:ind w:left="918" w:right="0" w:firstLine="0"/>
        <w:jc w:val="left"/>
      </w:pPr>
      <w:r>
        <w:rPr>
          <w:rFonts w:ascii="宋体" w:hAnsi="宋体" w:eastAsia="宋体"/>
          <w:b w:val="0"/>
          <w:i w:val="0"/>
          <w:color w:val="000000"/>
          <w:sz w:val="21"/>
        </w:rPr>
        <w:t xml:space="preserve">1、出售重大资产情况 </w:t>
      </w:r>
    </w:p>
    <w:p>
      <w:pPr>
        <w:autoSpaceDN w:val="0"/>
        <w:autoSpaceDE w:val="0"/>
        <w:widowControl/>
        <w:spacing w:line="180" w:lineRule="exact" w:before="360" w:after="0"/>
        <w:ind w:left="918"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2" w:after="0"/>
        <w:ind w:left="918" w:right="0" w:firstLine="0"/>
        <w:jc w:val="left"/>
      </w:pPr>
      <w:r>
        <w:rPr>
          <w:rFonts w:ascii="宋体" w:hAnsi="宋体" w:eastAsia="宋体"/>
          <w:b w:val="0"/>
          <w:i w:val="0"/>
          <w:color w:val="000000"/>
          <w:sz w:val="18"/>
        </w:rPr>
        <w:t xml:space="preserve">公司报告期未出售重大资产。 </w:t>
      </w:r>
    </w:p>
    <w:p>
      <w:pPr>
        <w:autoSpaceDN w:val="0"/>
        <w:autoSpaceDE w:val="0"/>
        <w:widowControl/>
        <w:spacing w:line="212" w:lineRule="exact" w:before="368" w:after="0"/>
        <w:ind w:left="918" w:right="0" w:firstLine="0"/>
        <w:jc w:val="left"/>
      </w:pPr>
      <w:r>
        <w:rPr>
          <w:rFonts w:ascii="宋体" w:hAnsi="宋体" w:eastAsia="宋体"/>
          <w:b w:val="0"/>
          <w:i w:val="0"/>
          <w:color w:val="000000"/>
          <w:sz w:val="21"/>
        </w:rPr>
        <w:t xml:space="preserve">2、出售重大股权情况 </w:t>
      </w:r>
    </w:p>
    <w:p>
      <w:pPr>
        <w:autoSpaceDN w:val="0"/>
        <w:autoSpaceDE w:val="0"/>
        <w:widowControl/>
        <w:spacing w:line="180" w:lineRule="exact" w:before="360" w:after="0"/>
        <w:ind w:left="918"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918" w:right="0" w:firstLine="0"/>
        <w:jc w:val="left"/>
      </w:pPr>
      <w:r>
        <w:rPr>
          <w:rFonts w:ascii="宋体" w:hAnsi="宋体" w:eastAsia="宋体"/>
          <w:b w:val="0"/>
          <w:i w:val="0"/>
          <w:color w:val="000000"/>
          <w:sz w:val="24"/>
        </w:rPr>
        <w:t xml:space="preserve">十、主要控股参股公司分析 </w:t>
      </w:r>
    </w:p>
    <w:p>
      <w:pPr>
        <w:autoSpaceDN w:val="0"/>
        <w:autoSpaceDE w:val="0"/>
        <w:widowControl/>
        <w:spacing w:line="180" w:lineRule="exact" w:before="366" w:after="0"/>
        <w:ind w:left="918" w:right="0" w:firstLine="0"/>
        <w:jc w:val="left"/>
      </w:pPr>
      <w:r>
        <w:rPr>
          <w:rFonts w:ascii="宋体" w:hAnsi="宋体" w:eastAsia="宋体"/>
          <w:b w:val="0"/>
          <w:i w:val="0"/>
          <w:color w:val="000000"/>
          <w:sz w:val="18"/>
        </w:rPr>
        <w:t xml:space="preserve">主要子公司及对公司净利润影响达10%以上的参股公司情况 </w:t>
      </w:r>
    </w:p>
    <w:p>
      <w:pPr>
        <w:autoSpaceDN w:val="0"/>
        <w:autoSpaceDE w:val="0"/>
        <w:widowControl/>
        <w:spacing w:line="180" w:lineRule="exact" w:before="182" w:after="142"/>
        <w:ind w:left="0" w:right="1090" w:firstLine="0"/>
        <w:jc w:val="right"/>
      </w:pPr>
      <w:r>
        <w:rPr>
          <w:rFonts w:ascii="宋体" w:hAnsi="宋体" w:eastAsia="宋体"/>
          <w:b w:val="0"/>
          <w:i w:val="0"/>
          <w:color w:val="000000"/>
          <w:sz w:val="18"/>
        </w:rPr>
        <w:t xml:space="preserve">单位：元 </w:t>
      </w:r>
    </w:p>
    <w:tbl>
      <w:tblPr>
        <w:tblW w:type="auto" w:w="0"/>
        <w:tblLayout w:type="fixed"/>
        <w:tblLook w:firstColumn="1" w:firstRow="1" w:lastColumn="0" w:lastRow="0" w:noHBand="0" w:noVBand="1" w:val="04A0"/>
        <w:tblInd w:w="1.999999999999993" w:type="dxa"/>
      </w:tblPr>
      <w:tblGrid>
        <w:gridCol w:w="1283"/>
        <w:gridCol w:w="1283"/>
        <w:gridCol w:w="1283"/>
        <w:gridCol w:w="1283"/>
        <w:gridCol w:w="1283"/>
        <w:gridCol w:w="1283"/>
        <w:gridCol w:w="1283"/>
        <w:gridCol w:w="1283"/>
        <w:gridCol w:w="1283"/>
      </w:tblGrid>
      <w:tr>
        <w:trPr>
          <w:trHeight w:hRule="exact" w:val="572"/>
        </w:trPr>
        <w:tc>
          <w:tcPr>
            <w:tcW w:type="dxa" w:w="984"/>
            <w:tcBorders>
              <w:start w:sz="1.5999999999999943" w:val="single" w:color="#000000"/>
              <w:top w:sz="1.6000000000003638"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132" w:right="0" w:firstLine="0"/>
              <w:jc w:val="left"/>
            </w:pPr>
            <w:r>
              <w:rPr>
                <w:rFonts w:ascii="宋体" w:hAnsi="宋体" w:eastAsia="宋体"/>
                <w:b w:val="0"/>
                <w:i w:val="0"/>
                <w:color w:val="000000"/>
                <w:sz w:val="18"/>
              </w:rPr>
              <w:t xml:space="preserve">公司名称 </w:t>
            </w:r>
          </w:p>
        </w:tc>
        <w:tc>
          <w:tcPr>
            <w:tcW w:type="dxa" w:w="640"/>
            <w:tcBorders>
              <w:start w:sz="2.3999999999999773" w:val="single" w:color="#000000"/>
              <w:top w:sz="1.6000000000003638"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238" w:lineRule="exact" w:before="24" w:after="0"/>
              <w:ind w:left="138" w:right="0" w:firstLine="0"/>
              <w:jc w:val="left"/>
            </w:pPr>
            <w:r>
              <w:rPr>
                <w:rFonts w:ascii="宋体" w:hAnsi="宋体" w:eastAsia="宋体"/>
                <w:b w:val="0"/>
                <w:i w:val="0"/>
                <w:color w:val="000000"/>
                <w:sz w:val="18"/>
              </w:rPr>
              <w:t>公司</w:t>
            </w:r>
            <w:r>
              <w:br/>
            </w:r>
            <w:r>
              <w:rPr>
                <w:rFonts w:ascii="宋体" w:hAnsi="宋体" w:eastAsia="宋体"/>
                <w:b w:val="0"/>
                <w:i w:val="0"/>
                <w:color w:val="000000"/>
                <w:sz w:val="18"/>
              </w:rPr>
              <w:t xml:space="preserve">类型 </w:t>
            </w:r>
          </w:p>
        </w:tc>
        <w:tc>
          <w:tcPr>
            <w:tcW w:type="dxa" w:w="2484"/>
            <w:tcBorders>
              <w:start w:sz="2.3999999999999773" w:val="single" w:color="#000000"/>
              <w:top w:sz="1.6000000000003638" w:val="single" w:color="#000000"/>
              <w:end w:sz="1.6000000000001364"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0" w:right="792" w:firstLine="0"/>
              <w:jc w:val="right"/>
            </w:pPr>
            <w:r>
              <w:rPr>
                <w:rFonts w:ascii="宋体" w:hAnsi="宋体" w:eastAsia="宋体"/>
                <w:b w:val="0"/>
                <w:i w:val="0"/>
                <w:color w:val="000000"/>
                <w:sz w:val="18"/>
              </w:rPr>
              <w:t xml:space="preserve">主要业务 </w:t>
            </w:r>
          </w:p>
        </w:tc>
        <w:tc>
          <w:tcPr>
            <w:tcW w:type="dxa" w:w="954"/>
            <w:tcBorders>
              <w:start w:sz="1.6000000000001364" w:val="single" w:color="#000000"/>
              <w:top w:sz="1.6000000000003638"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118" w:right="0" w:firstLine="0"/>
              <w:jc w:val="left"/>
            </w:pPr>
            <w:r>
              <w:rPr>
                <w:rFonts w:ascii="宋体" w:hAnsi="宋体" w:eastAsia="宋体"/>
                <w:b w:val="0"/>
                <w:i w:val="0"/>
                <w:color w:val="000000"/>
                <w:sz w:val="18"/>
              </w:rPr>
              <w:t xml:space="preserve">注册资本 </w:t>
            </w:r>
          </w:p>
        </w:tc>
        <w:tc>
          <w:tcPr>
            <w:tcW w:type="dxa" w:w="1390"/>
            <w:tcBorders>
              <w:start w:sz="2.400000000000091" w:val="single" w:color="#000000"/>
              <w:top w:sz="1.6000000000003638"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0" w:right="332" w:firstLine="0"/>
              <w:jc w:val="right"/>
            </w:pPr>
            <w:r>
              <w:rPr>
                <w:rFonts w:ascii="宋体" w:hAnsi="宋体" w:eastAsia="宋体"/>
                <w:b w:val="0"/>
                <w:i w:val="0"/>
                <w:color w:val="000000"/>
                <w:sz w:val="18"/>
              </w:rPr>
              <w:t xml:space="preserve">总资产 </w:t>
            </w:r>
          </w:p>
        </w:tc>
        <w:tc>
          <w:tcPr>
            <w:tcW w:type="dxa" w:w="1380"/>
            <w:tcBorders>
              <w:start w:sz="2.400000000000091" w:val="single" w:color="#000000"/>
              <w:top w:sz="1.6000000000003638"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0" w:right="328" w:firstLine="0"/>
              <w:jc w:val="right"/>
            </w:pPr>
            <w:r>
              <w:rPr>
                <w:rFonts w:ascii="宋体" w:hAnsi="宋体" w:eastAsia="宋体"/>
                <w:b w:val="0"/>
                <w:i w:val="0"/>
                <w:color w:val="000000"/>
                <w:sz w:val="18"/>
              </w:rPr>
              <w:t xml:space="preserve">净资产 </w:t>
            </w:r>
          </w:p>
        </w:tc>
        <w:tc>
          <w:tcPr>
            <w:tcW w:type="dxa" w:w="1228"/>
            <w:tcBorders>
              <w:start w:sz="2.400000000000091" w:val="single" w:color="#000000"/>
              <w:top w:sz="1.6000000000003638"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160" w:right="0" w:firstLine="0"/>
              <w:jc w:val="left"/>
            </w:pPr>
            <w:r>
              <w:rPr>
                <w:rFonts w:ascii="宋体" w:hAnsi="宋体" w:eastAsia="宋体"/>
                <w:b w:val="0"/>
                <w:i w:val="0"/>
                <w:color w:val="000000"/>
                <w:sz w:val="18"/>
              </w:rPr>
              <w:t xml:space="preserve">营业总收入 </w:t>
            </w:r>
          </w:p>
        </w:tc>
        <w:tc>
          <w:tcPr>
            <w:tcW w:type="dxa" w:w="1302"/>
            <w:tcBorders>
              <w:start w:sz="1.599999999999909" w:val="single" w:color="#000000"/>
              <w:top w:sz="1.6000000000003638" w:val="single" w:color="#000000"/>
              <w:end w:sz="2.4000000000005457"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288" w:right="0" w:firstLine="0"/>
              <w:jc w:val="left"/>
            </w:pPr>
            <w:r>
              <w:rPr>
                <w:rFonts w:ascii="宋体" w:hAnsi="宋体" w:eastAsia="宋体"/>
                <w:b w:val="0"/>
                <w:i w:val="0"/>
                <w:color w:val="000000"/>
                <w:sz w:val="18"/>
              </w:rPr>
              <w:t xml:space="preserve">营业利润 </w:t>
            </w:r>
          </w:p>
        </w:tc>
        <w:tc>
          <w:tcPr>
            <w:tcW w:type="dxa" w:w="1164"/>
            <w:tcBorders>
              <w:start w:sz="2.4000000000005457" w:val="single" w:color="#000000"/>
              <w:top w:sz="1.6000000000003638"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180" w:lineRule="exact" w:before="202" w:after="0"/>
              <w:ind w:left="0" w:right="220" w:firstLine="0"/>
              <w:jc w:val="right"/>
            </w:pPr>
            <w:r>
              <w:rPr>
                <w:rFonts w:ascii="宋体" w:hAnsi="宋体" w:eastAsia="宋体"/>
                <w:b w:val="0"/>
                <w:i w:val="0"/>
                <w:color w:val="000000"/>
                <w:sz w:val="18"/>
              </w:rPr>
              <w:t xml:space="preserve">净利润 </w:t>
            </w:r>
          </w:p>
        </w:tc>
      </w:tr>
      <w:tr>
        <w:trPr>
          <w:trHeight w:hRule="exact" w:val="1570"/>
        </w:trPr>
        <w:tc>
          <w:tcPr>
            <w:tcW w:type="dxa" w:w="984"/>
            <w:tcBorders>
              <w:start w:sz="1.5999999999999943" w:val="single" w:color="#000000"/>
              <w:top w:sz="1.6000000000003638" w:val="single" w:color="#000000"/>
              <w:end w:sz="2.3999999999999773" w:val="single" w:color="#000000"/>
              <w:bottom w:sz="1.6000000000003638" w:val="single" w:color="#000000"/>
            </w:tcBorders>
            <w:tcMar>
              <w:start w:w="0" w:type="dxa"/>
              <w:end w:w="0" w:type="dxa"/>
            </w:tcMar>
          </w:tcPr>
          <w:p>
            <w:pPr>
              <w:autoSpaceDN w:val="0"/>
              <w:autoSpaceDE w:val="0"/>
              <w:widowControl/>
              <w:spacing w:line="180" w:lineRule="exact" w:before="700" w:after="0"/>
              <w:ind w:left="132" w:right="0" w:firstLine="0"/>
              <w:jc w:val="left"/>
            </w:pPr>
            <w:r>
              <w:rPr>
                <w:rFonts w:ascii="宋体" w:hAnsi="宋体" w:eastAsia="宋体"/>
                <w:b w:val="0"/>
                <w:i w:val="0"/>
                <w:color w:val="000000"/>
                <w:sz w:val="18"/>
              </w:rPr>
              <w:t xml:space="preserve">中德证券 </w:t>
            </w:r>
          </w:p>
        </w:tc>
        <w:tc>
          <w:tcPr>
            <w:tcW w:type="dxa" w:w="640"/>
            <w:tcBorders>
              <w:start w:sz="2.3999999999999773" w:val="single" w:color="#000000"/>
              <w:top w:sz="1.6000000000003638" w:val="single" w:color="#000000"/>
              <w:end w:sz="2.3999999999999773" w:val="single" w:color="#000000"/>
              <w:bottom w:sz="1.6000000000003638" w:val="single" w:color="#000000"/>
            </w:tcBorders>
            <w:tcMar>
              <w:start w:w="0" w:type="dxa"/>
              <w:end w:w="0" w:type="dxa"/>
            </w:tcMar>
          </w:tcPr>
          <w:p>
            <w:pPr>
              <w:autoSpaceDN w:val="0"/>
              <w:autoSpaceDE w:val="0"/>
              <w:widowControl/>
              <w:spacing w:line="238" w:lineRule="exact" w:before="522"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1.6000000000003638" w:val="single" w:color="#000000"/>
              <w:end w:sz="1.6000000000001364" w:val="single" w:color="#000000"/>
              <w:bottom w:sz="1.6000000000003638" w:val="single" w:color="#000000"/>
            </w:tcBorders>
            <w:tcMar>
              <w:start w:w="0" w:type="dxa"/>
              <w:end w:w="0" w:type="dxa"/>
            </w:tcMar>
          </w:tcPr>
          <w:p>
            <w:pPr>
              <w:autoSpaceDN w:val="0"/>
              <w:autoSpaceDE w:val="0"/>
              <w:widowControl/>
              <w:spacing w:line="240" w:lineRule="exact" w:before="160" w:after="0"/>
              <w:ind w:left="106" w:right="214" w:firstLine="0"/>
              <w:jc w:val="both"/>
            </w:pPr>
            <w:r>
              <w:rPr>
                <w:rFonts w:ascii="宋体" w:hAnsi="宋体" w:eastAsia="宋体"/>
                <w:b w:val="0"/>
                <w:i w:val="0"/>
                <w:color w:val="000000"/>
                <w:sz w:val="18"/>
              </w:rPr>
              <w:t>股票（包括人民币普通股、</w:t>
            </w:r>
            <w:r>
              <w:rPr>
                <w:rFonts w:ascii="宋体" w:hAnsi="宋体" w:eastAsia="宋体"/>
                <w:b w:val="0"/>
                <w:i w:val="0"/>
                <w:color w:val="000000"/>
                <w:sz w:val="18"/>
              </w:rPr>
              <w:t>外资股）和债券（包括政府</w:t>
            </w:r>
            <w:r>
              <w:rPr>
                <w:rFonts w:ascii="宋体" w:hAnsi="宋体" w:eastAsia="宋体"/>
                <w:b w:val="0"/>
                <w:i w:val="0"/>
                <w:color w:val="000000"/>
                <w:sz w:val="18"/>
              </w:rPr>
              <w:t>债券、公司债券）的承销与</w:t>
            </w:r>
            <w:r>
              <w:rPr>
                <w:rFonts w:ascii="宋体" w:hAnsi="宋体" w:eastAsia="宋体"/>
                <w:b w:val="0"/>
                <w:i w:val="0"/>
                <w:color w:val="000000"/>
                <w:sz w:val="18"/>
              </w:rPr>
              <w:t>保荐，以及中国证监会批准</w:t>
            </w:r>
            <w:r>
              <w:rPr>
                <w:rFonts w:ascii="宋体" w:hAnsi="宋体" w:eastAsia="宋体"/>
                <w:b w:val="0"/>
                <w:i w:val="0"/>
                <w:color w:val="000000"/>
                <w:sz w:val="18"/>
              </w:rPr>
              <w:t xml:space="preserve">的其他业务。 </w:t>
            </w:r>
          </w:p>
        </w:tc>
        <w:tc>
          <w:tcPr>
            <w:tcW w:type="dxa" w:w="954"/>
            <w:tcBorders>
              <w:start w:sz="1.6000000000001364" w:val="single" w:color="#000000"/>
              <w:top w:sz="1.6000000000003638" w:val="single" w:color="#000000"/>
              <w:end w:sz="2.400000000000091" w:val="single" w:color="#000000"/>
              <w:bottom w:sz="1.6000000000003638" w:val="single" w:color="#000000"/>
            </w:tcBorders>
            <w:tcMar>
              <w:start w:w="0" w:type="dxa"/>
              <w:end w:w="0" w:type="dxa"/>
            </w:tcMar>
          </w:tcPr>
          <w:p>
            <w:pPr>
              <w:autoSpaceDN w:val="0"/>
              <w:tabs>
                <w:tab w:pos="140" w:val="left"/>
              </w:tabs>
              <w:autoSpaceDE w:val="0"/>
              <w:widowControl/>
              <w:spacing w:line="238" w:lineRule="exact" w:before="522" w:after="0"/>
              <w:ind w:left="118" w:right="0" w:firstLine="0"/>
              <w:jc w:val="left"/>
            </w:pPr>
            <w:r>
              <w:rPr>
                <w:rFonts w:ascii="宋体" w:hAnsi="宋体" w:eastAsia="宋体"/>
                <w:b w:val="0"/>
                <w:i w:val="0"/>
                <w:color w:val="000000"/>
                <w:sz w:val="18"/>
              </w:rPr>
              <w:t>10.00 亿</w:t>
            </w:r>
            <w:r>
              <w:br/>
            </w:r>
            <w:r>
              <w:rPr>
                <w:rFonts w:ascii="宋体" w:hAnsi="宋体" w:eastAsia="宋体"/>
                <w:b w:val="0"/>
                <w:i w:val="0"/>
                <w:color w:val="000000"/>
                <w:sz w:val="18"/>
              </w:rPr>
              <w:t xml:space="preserve">元人民币 </w:t>
            </w:r>
          </w:p>
        </w:tc>
        <w:tc>
          <w:tcPr>
            <w:tcW w:type="dxa" w:w="1390"/>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197" w:lineRule="auto" w:before="720" w:after="0"/>
              <w:ind w:left="0" w:right="0" w:firstLine="0"/>
              <w:jc w:val="center"/>
            </w:pPr>
            <w:r>
              <w:rPr>
                <w:rFonts w:ascii="Calibri" w:hAnsi="Calibri" w:eastAsia="Calibri"/>
                <w:b w:val="0"/>
                <w:i w:val="0"/>
                <w:color w:val="000000"/>
                <w:sz w:val="18"/>
              </w:rPr>
              <w:t xml:space="preserve">1,102,315,720 </w:t>
            </w:r>
          </w:p>
        </w:tc>
        <w:tc>
          <w:tcPr>
            <w:tcW w:type="dxa" w:w="1380"/>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197" w:lineRule="auto" w:before="720" w:after="0"/>
              <w:ind w:left="0" w:right="0" w:firstLine="0"/>
              <w:jc w:val="center"/>
            </w:pPr>
            <w:r>
              <w:rPr>
                <w:rFonts w:ascii="Calibri" w:hAnsi="Calibri" w:eastAsia="Calibri"/>
                <w:b w:val="0"/>
                <w:i w:val="0"/>
                <w:color w:val="000000"/>
                <w:sz w:val="18"/>
              </w:rPr>
              <w:t xml:space="preserve">975,431,614 </w:t>
            </w:r>
          </w:p>
        </w:tc>
        <w:tc>
          <w:tcPr>
            <w:tcW w:type="dxa" w:w="1228"/>
            <w:tcBorders>
              <w:start w:sz="2.400000000000091"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197" w:lineRule="auto" w:before="720" w:after="0"/>
              <w:ind w:left="0" w:right="0" w:firstLine="0"/>
              <w:jc w:val="center"/>
            </w:pPr>
            <w:r>
              <w:rPr>
                <w:rFonts w:ascii="Calibri" w:hAnsi="Calibri" w:eastAsia="Calibri"/>
                <w:b w:val="0"/>
                <w:i w:val="0"/>
                <w:color w:val="000000"/>
                <w:sz w:val="18"/>
              </w:rPr>
              <w:t xml:space="preserve">247,525,590 </w:t>
            </w:r>
          </w:p>
        </w:tc>
        <w:tc>
          <w:tcPr>
            <w:tcW w:type="dxa" w:w="1302"/>
            <w:tcBorders>
              <w:start w:sz="1.599999999999909" w:val="single" w:color="#000000"/>
              <w:top w:sz="1.6000000000003638" w:val="single" w:color="#000000"/>
              <w:end w:sz="2.4000000000005457" w:val="single" w:color="#000000"/>
              <w:bottom w:sz="1.6000000000003638" w:val="single" w:color="#000000"/>
            </w:tcBorders>
            <w:tcMar>
              <w:start w:w="0" w:type="dxa"/>
              <w:end w:w="0" w:type="dxa"/>
            </w:tcMar>
          </w:tcPr>
          <w:p>
            <w:pPr>
              <w:autoSpaceDN w:val="0"/>
              <w:autoSpaceDE w:val="0"/>
              <w:widowControl/>
              <w:spacing w:line="197" w:lineRule="auto" w:before="720" w:after="0"/>
              <w:ind w:left="0" w:right="0" w:firstLine="0"/>
              <w:jc w:val="center"/>
            </w:pPr>
            <w:r>
              <w:rPr>
                <w:rFonts w:ascii="Calibri" w:hAnsi="Calibri" w:eastAsia="Calibri"/>
                <w:b w:val="0"/>
                <w:i w:val="0"/>
                <w:color w:val="000000"/>
                <w:sz w:val="18"/>
              </w:rPr>
              <w:t xml:space="preserve">-31,065,851 </w:t>
            </w:r>
          </w:p>
        </w:tc>
        <w:tc>
          <w:tcPr>
            <w:tcW w:type="dxa" w:w="1164"/>
            <w:tcBorders>
              <w:start w:sz="2.4000000000005457" w:val="single" w:color="#000000"/>
              <w:top w:sz="1.6000000000003638" w:val="single" w:color="#000000"/>
              <w:end w:sz="1.5999999999994543" w:val="single" w:color="#000000"/>
              <w:bottom w:sz="1.6000000000003638" w:val="single" w:color="#000000"/>
            </w:tcBorders>
            <w:tcMar>
              <w:start w:w="0" w:type="dxa"/>
              <w:end w:w="0" w:type="dxa"/>
            </w:tcMar>
          </w:tcPr>
          <w:p>
            <w:pPr>
              <w:autoSpaceDN w:val="0"/>
              <w:autoSpaceDE w:val="0"/>
              <w:widowControl/>
              <w:spacing w:line="197" w:lineRule="auto" w:before="720" w:after="0"/>
              <w:ind w:left="0" w:right="0" w:firstLine="0"/>
              <w:jc w:val="center"/>
            </w:pPr>
            <w:r>
              <w:rPr>
                <w:rFonts w:ascii="Calibri" w:hAnsi="Calibri" w:eastAsia="Calibri"/>
                <w:b w:val="0"/>
                <w:i w:val="0"/>
                <w:color w:val="000000"/>
                <w:sz w:val="18"/>
              </w:rPr>
              <w:t xml:space="preserve">-60,665,725 </w:t>
            </w:r>
          </w:p>
        </w:tc>
      </w:tr>
      <w:tr>
        <w:trPr>
          <w:trHeight w:hRule="exact" w:val="1314"/>
        </w:trPr>
        <w:tc>
          <w:tcPr>
            <w:tcW w:type="dxa" w:w="984"/>
            <w:tcBorders>
              <w:start w:sz="1.5999999999999943" w:val="single" w:color="#000000"/>
              <w:top w:sz="1.6000000000003638" w:val="single" w:color="#000000"/>
              <w:end w:sz="2.3999999999999773" w:val="single" w:color="#000000"/>
              <w:bottom w:sz="2.399999999999636" w:val="single" w:color="#000000"/>
            </w:tcBorders>
            <w:tcMar>
              <w:start w:w="0" w:type="dxa"/>
              <w:end w:w="0" w:type="dxa"/>
            </w:tcMar>
          </w:tcPr>
          <w:p>
            <w:pPr>
              <w:autoSpaceDN w:val="0"/>
              <w:autoSpaceDE w:val="0"/>
              <w:widowControl/>
              <w:spacing w:line="180" w:lineRule="exact" w:before="570" w:after="0"/>
              <w:ind w:left="132" w:right="0" w:firstLine="0"/>
              <w:jc w:val="left"/>
            </w:pPr>
            <w:r>
              <w:rPr>
                <w:rFonts w:ascii="宋体" w:hAnsi="宋体" w:eastAsia="宋体"/>
                <w:b w:val="0"/>
                <w:i w:val="0"/>
                <w:color w:val="000000"/>
                <w:sz w:val="18"/>
              </w:rPr>
              <w:t xml:space="preserve">格林大华 </w:t>
            </w:r>
          </w:p>
        </w:tc>
        <w:tc>
          <w:tcPr>
            <w:tcW w:type="dxa" w:w="640"/>
            <w:tcBorders>
              <w:start w:sz="2.3999999999999773" w:val="single" w:color="#000000"/>
              <w:top w:sz="1.6000000000003638" w:val="single" w:color="#000000"/>
              <w:end w:sz="2.3999999999999773" w:val="single" w:color="#000000"/>
              <w:bottom w:sz="2.399999999999636" w:val="single" w:color="#000000"/>
            </w:tcBorders>
            <w:tcMar>
              <w:start w:w="0" w:type="dxa"/>
              <w:end w:w="0" w:type="dxa"/>
            </w:tcMar>
          </w:tcPr>
          <w:p>
            <w:pPr>
              <w:autoSpaceDN w:val="0"/>
              <w:autoSpaceDE w:val="0"/>
              <w:widowControl/>
              <w:spacing w:line="238" w:lineRule="exact" w:before="392"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240" w:lineRule="exact" w:before="30" w:after="0"/>
              <w:ind w:left="106" w:right="144" w:firstLine="0"/>
              <w:jc w:val="left"/>
            </w:pPr>
            <w:r>
              <w:rPr>
                <w:rFonts w:ascii="宋体" w:hAnsi="宋体" w:eastAsia="宋体"/>
                <w:b w:val="0"/>
                <w:i w:val="0"/>
                <w:color w:val="000000"/>
                <w:sz w:val="18"/>
              </w:rPr>
              <w:t>商品期货经纪、金融期货经</w:t>
            </w:r>
            <w:r>
              <w:rPr>
                <w:rFonts w:ascii="宋体" w:hAnsi="宋体" w:eastAsia="宋体"/>
                <w:b w:val="0"/>
                <w:i w:val="0"/>
                <w:color w:val="000000"/>
                <w:sz w:val="18"/>
              </w:rPr>
              <w:t>纪、期货投资咨询、资产管</w:t>
            </w:r>
            <w:r>
              <w:rPr>
                <w:rFonts w:ascii="宋体" w:hAnsi="宋体" w:eastAsia="宋体"/>
                <w:b w:val="0"/>
                <w:i w:val="0"/>
                <w:color w:val="000000"/>
                <w:sz w:val="18"/>
              </w:rPr>
              <w:t>理、公募证券投资基金销</w:t>
            </w:r>
            <w:r>
              <w:rPr>
                <w:rFonts w:ascii="宋体" w:hAnsi="宋体" w:eastAsia="宋体"/>
                <w:b w:val="0"/>
                <w:i w:val="0"/>
                <w:color w:val="000000"/>
                <w:sz w:val="18"/>
              </w:rPr>
              <w:t>售、投资管理及咨询、实业</w:t>
            </w:r>
            <w:r>
              <w:rPr>
                <w:rFonts w:ascii="宋体" w:hAnsi="宋体" w:eastAsia="宋体"/>
                <w:b w:val="0"/>
                <w:i w:val="0"/>
                <w:color w:val="000000"/>
                <w:sz w:val="18"/>
              </w:rPr>
              <w:t xml:space="preserve">投资等。 </w:t>
            </w:r>
          </w:p>
        </w:tc>
        <w:tc>
          <w:tcPr>
            <w:tcW w:type="dxa" w:w="954"/>
            <w:tcBorders>
              <w:start w:sz="1.6000000000001364" w:val="single" w:color="#000000"/>
              <w:top w:sz="1.6000000000003638" w:val="single" w:color="#000000"/>
              <w:end w:sz="2.400000000000091" w:val="single" w:color="#000000"/>
              <w:bottom w:sz="2.399999999999636" w:val="single" w:color="#000000"/>
            </w:tcBorders>
            <w:tcMar>
              <w:start w:w="0" w:type="dxa"/>
              <w:end w:w="0" w:type="dxa"/>
            </w:tcMar>
          </w:tcPr>
          <w:p>
            <w:pPr>
              <w:autoSpaceDN w:val="0"/>
              <w:tabs>
                <w:tab w:pos="140" w:val="left"/>
              </w:tabs>
              <w:autoSpaceDE w:val="0"/>
              <w:widowControl/>
              <w:spacing w:line="238" w:lineRule="exact" w:before="392" w:after="0"/>
              <w:ind w:left="118" w:right="0" w:firstLine="0"/>
              <w:jc w:val="left"/>
            </w:pPr>
            <w:r>
              <w:rPr>
                <w:rFonts w:ascii="宋体" w:hAnsi="宋体" w:eastAsia="宋体"/>
                <w:b w:val="0"/>
                <w:i w:val="0"/>
                <w:color w:val="000000"/>
                <w:sz w:val="18"/>
              </w:rPr>
              <w:t>13.00 亿</w:t>
            </w:r>
            <w:r>
              <w:br/>
            </w:r>
            <w:r>
              <w:rPr>
                <w:rFonts w:ascii="宋体" w:hAnsi="宋体" w:eastAsia="宋体"/>
                <w:b w:val="0"/>
                <w:i w:val="0"/>
                <w:color w:val="000000"/>
                <w:sz w:val="18"/>
              </w:rPr>
              <w:t xml:space="preserve">元人民币 </w:t>
            </w:r>
          </w:p>
        </w:tc>
        <w:tc>
          <w:tcPr>
            <w:tcW w:type="dxa" w:w="1390"/>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9,233,058,502 </w:t>
            </w:r>
          </w:p>
        </w:tc>
        <w:tc>
          <w:tcPr>
            <w:tcW w:type="dxa" w:w="1380"/>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1,355,949,982 </w:t>
            </w:r>
          </w:p>
        </w:tc>
        <w:tc>
          <w:tcPr>
            <w:tcW w:type="dxa" w:w="1228"/>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401,097,999 </w:t>
            </w:r>
          </w:p>
        </w:tc>
        <w:tc>
          <w:tcPr>
            <w:tcW w:type="dxa" w:w="1302"/>
            <w:tcBorders>
              <w:start w:sz="1.599999999999909" w:val="single" w:color="#000000"/>
              <w:top w:sz="1.6000000000003638" w:val="single" w:color="#000000"/>
              <w:end w:sz="2.4000000000005457" w:val="single" w:color="#000000"/>
              <w:bottom w:sz="2.399999999999636" w:val="single" w:color="#000000"/>
            </w:tcBorders>
            <w:tcMar>
              <w:start w:w="0" w:type="dxa"/>
              <w:end w:w="0" w:type="dxa"/>
            </w:tcMar>
          </w:tcPr>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19,008,415 </w:t>
            </w:r>
          </w:p>
        </w:tc>
        <w:tc>
          <w:tcPr>
            <w:tcW w:type="dxa" w:w="1164"/>
            <w:tcBorders>
              <w:start w:sz="2.4000000000005457"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17,716,749 </w:t>
            </w:r>
          </w:p>
        </w:tc>
      </w:tr>
      <w:tr>
        <w:trPr>
          <w:trHeight w:hRule="exact" w:val="564"/>
        </w:trPr>
        <w:tc>
          <w:tcPr>
            <w:tcW w:type="dxa" w:w="984"/>
            <w:tcBorders>
              <w:start w:sz="1.5999999999999943" w:val="single" w:color="#000000"/>
              <w:top w:sz="2.399999999999636" w:val="single" w:color="#000000"/>
              <w:end w:sz="2.3999999999999773" w:val="single" w:color="#000000"/>
              <w:bottom w:sz="2.4000000000005457" w:val="single" w:color="#000000"/>
            </w:tcBorders>
            <w:tcMar>
              <w:start w:w="0" w:type="dxa"/>
              <w:end w:w="0" w:type="dxa"/>
            </w:tcMar>
          </w:tcPr>
          <w:p>
            <w:pPr>
              <w:autoSpaceDN w:val="0"/>
              <w:autoSpaceDE w:val="0"/>
              <w:widowControl/>
              <w:spacing w:line="180" w:lineRule="exact" w:before="196" w:after="0"/>
              <w:ind w:left="132" w:right="0" w:firstLine="0"/>
              <w:jc w:val="left"/>
            </w:pPr>
            <w:r>
              <w:rPr>
                <w:rFonts w:ascii="宋体" w:hAnsi="宋体" w:eastAsia="宋体"/>
                <w:b w:val="0"/>
                <w:i w:val="0"/>
                <w:color w:val="000000"/>
                <w:sz w:val="18"/>
              </w:rPr>
              <w:t xml:space="preserve">山证投资 </w:t>
            </w:r>
          </w:p>
        </w:tc>
        <w:tc>
          <w:tcPr>
            <w:tcW w:type="dxa" w:w="640"/>
            <w:tcBorders>
              <w:start w:sz="2.3999999999999773" w:val="single" w:color="#000000"/>
              <w:top w:sz="2.399999999999636" w:val="single" w:color="#000000"/>
              <w:end w:sz="2.3999999999999773" w:val="single" w:color="#000000"/>
              <w:bottom w:sz="2.4000000000005457" w:val="single" w:color="#000000"/>
            </w:tcBorders>
            <w:tcMar>
              <w:start w:w="0" w:type="dxa"/>
              <w:end w:w="0" w:type="dxa"/>
            </w:tcMar>
          </w:tcPr>
          <w:p>
            <w:pPr>
              <w:autoSpaceDN w:val="0"/>
              <w:autoSpaceDE w:val="0"/>
              <w:widowControl/>
              <w:spacing w:line="240" w:lineRule="exact" w:before="16"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2.399999999999636"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196" w:after="0"/>
              <w:ind w:left="106" w:right="0" w:firstLine="0"/>
              <w:jc w:val="left"/>
            </w:pPr>
            <w:r>
              <w:rPr>
                <w:rFonts w:ascii="宋体" w:hAnsi="宋体" w:eastAsia="宋体"/>
                <w:b w:val="0"/>
                <w:i w:val="0"/>
                <w:color w:val="000000"/>
                <w:sz w:val="18"/>
              </w:rPr>
              <w:t xml:space="preserve">投资与资产管理。 </w:t>
            </w:r>
          </w:p>
        </w:tc>
        <w:tc>
          <w:tcPr>
            <w:tcW w:type="dxa" w:w="954"/>
            <w:tcBorders>
              <w:start w:sz="1.6000000000001364" w:val="single" w:color="#000000"/>
              <w:top w:sz="2.399999999999636" w:val="single" w:color="#000000"/>
              <w:end w:sz="2.400000000000091" w:val="single" w:color="#000000"/>
              <w:bottom w:sz="2.4000000000005457" w:val="single" w:color="#000000"/>
            </w:tcBorders>
            <w:tcMar>
              <w:start w:w="0" w:type="dxa"/>
              <w:end w:w="0" w:type="dxa"/>
            </w:tcMar>
          </w:tcPr>
          <w:p>
            <w:pPr>
              <w:autoSpaceDN w:val="0"/>
              <w:tabs>
                <w:tab w:pos="184" w:val="left"/>
              </w:tabs>
              <w:autoSpaceDE w:val="0"/>
              <w:widowControl/>
              <w:spacing w:line="240" w:lineRule="exact" w:before="16" w:after="0"/>
              <w:ind w:left="118" w:right="0" w:firstLine="0"/>
              <w:jc w:val="left"/>
            </w:pPr>
            <w:r>
              <w:rPr>
                <w:rFonts w:ascii="宋体" w:hAnsi="宋体" w:eastAsia="宋体"/>
                <w:b w:val="0"/>
                <w:i w:val="0"/>
                <w:color w:val="000000"/>
                <w:sz w:val="18"/>
              </w:rPr>
              <w:t>8.00 亿</w:t>
            </w:r>
            <w:r>
              <w:br/>
            </w:r>
            <w:r>
              <w:rPr>
                <w:rFonts w:ascii="宋体" w:hAnsi="宋体" w:eastAsia="宋体"/>
                <w:b w:val="0"/>
                <w:i w:val="0"/>
                <w:color w:val="000000"/>
                <w:sz w:val="18"/>
              </w:rPr>
              <w:t xml:space="preserve">元人民币 </w:t>
            </w:r>
          </w:p>
        </w:tc>
        <w:tc>
          <w:tcPr>
            <w:tcW w:type="dxa" w:w="1390"/>
            <w:tcBorders>
              <w:start w:sz="2.400000000000091" w:val="single" w:color="#000000"/>
              <w:top w:sz="2.399999999999636" w:val="single" w:color="#000000"/>
              <w:end w:sz="2.400000000000091" w:val="single" w:color="#000000"/>
              <w:bottom w:sz="2.4000000000005457" w:val="single" w:color="#000000"/>
            </w:tcBorders>
            <w:tcMar>
              <w:start w:w="0" w:type="dxa"/>
              <w:end w:w="0" w:type="dxa"/>
            </w:tcMar>
          </w:tcPr>
          <w:p>
            <w:pPr>
              <w:autoSpaceDN w:val="0"/>
              <w:autoSpaceDE w:val="0"/>
              <w:widowControl/>
              <w:spacing w:line="197" w:lineRule="auto" w:before="214" w:after="0"/>
              <w:ind w:left="0" w:right="0" w:firstLine="0"/>
              <w:jc w:val="center"/>
            </w:pPr>
            <w:r>
              <w:rPr>
                <w:rFonts w:ascii="Calibri" w:hAnsi="Calibri" w:eastAsia="Calibri"/>
                <w:b w:val="0"/>
                <w:i w:val="0"/>
                <w:color w:val="000000"/>
                <w:sz w:val="18"/>
              </w:rPr>
              <w:t xml:space="preserve">1,050,804,451 </w:t>
            </w:r>
          </w:p>
        </w:tc>
        <w:tc>
          <w:tcPr>
            <w:tcW w:type="dxa" w:w="1380"/>
            <w:tcBorders>
              <w:start w:sz="2.400000000000091" w:val="single" w:color="#000000"/>
              <w:top w:sz="2.399999999999636" w:val="single" w:color="#000000"/>
              <w:end w:sz="2.400000000000091" w:val="single" w:color="#000000"/>
              <w:bottom w:sz="2.4000000000005457" w:val="single" w:color="#000000"/>
            </w:tcBorders>
            <w:tcMar>
              <w:start w:w="0" w:type="dxa"/>
              <w:end w:w="0" w:type="dxa"/>
            </w:tcMar>
          </w:tcPr>
          <w:p>
            <w:pPr>
              <w:autoSpaceDN w:val="0"/>
              <w:autoSpaceDE w:val="0"/>
              <w:widowControl/>
              <w:spacing w:line="197" w:lineRule="auto" w:before="214" w:after="0"/>
              <w:ind w:left="0" w:right="0" w:firstLine="0"/>
              <w:jc w:val="center"/>
            </w:pPr>
            <w:r>
              <w:rPr>
                <w:rFonts w:ascii="Calibri" w:hAnsi="Calibri" w:eastAsia="Calibri"/>
                <w:b w:val="0"/>
                <w:i w:val="0"/>
                <w:color w:val="000000"/>
                <w:sz w:val="18"/>
              </w:rPr>
              <w:t xml:space="preserve">873,085,425 </w:t>
            </w:r>
          </w:p>
        </w:tc>
        <w:tc>
          <w:tcPr>
            <w:tcW w:type="dxa" w:w="1228"/>
            <w:tcBorders>
              <w:start w:sz="2.400000000000091"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97" w:lineRule="auto" w:before="214" w:after="0"/>
              <w:ind w:left="0" w:right="0" w:firstLine="0"/>
              <w:jc w:val="center"/>
            </w:pPr>
            <w:r>
              <w:rPr>
                <w:rFonts w:ascii="Calibri" w:hAnsi="Calibri" w:eastAsia="Calibri"/>
                <w:b w:val="0"/>
                <w:i w:val="0"/>
                <w:color w:val="000000"/>
                <w:sz w:val="18"/>
              </w:rPr>
              <w:t xml:space="preserve">25,955,143 </w:t>
            </w:r>
          </w:p>
        </w:tc>
        <w:tc>
          <w:tcPr>
            <w:tcW w:type="dxa" w:w="1302"/>
            <w:tcBorders>
              <w:start w:sz="1.599999999999909" w:val="single" w:color="#000000"/>
              <w:top w:sz="2.399999999999636" w:val="single" w:color="#000000"/>
              <w:end w:sz="2.4000000000005457" w:val="single" w:color="#000000"/>
              <w:bottom w:sz="2.4000000000005457" w:val="single" w:color="#000000"/>
            </w:tcBorders>
            <w:tcMar>
              <w:start w:w="0" w:type="dxa"/>
              <w:end w:w="0" w:type="dxa"/>
            </w:tcMar>
          </w:tcPr>
          <w:p>
            <w:pPr>
              <w:autoSpaceDN w:val="0"/>
              <w:autoSpaceDE w:val="0"/>
              <w:widowControl/>
              <w:spacing w:line="197" w:lineRule="auto" w:before="214" w:after="0"/>
              <w:ind w:left="0" w:right="0" w:firstLine="0"/>
              <w:jc w:val="center"/>
            </w:pPr>
            <w:r>
              <w:rPr>
                <w:rFonts w:ascii="Calibri" w:hAnsi="Calibri" w:eastAsia="Calibri"/>
                <w:b w:val="0"/>
                <w:i w:val="0"/>
                <w:color w:val="000000"/>
                <w:sz w:val="18"/>
              </w:rPr>
              <w:t xml:space="preserve">-1,136,636 </w:t>
            </w:r>
          </w:p>
        </w:tc>
        <w:tc>
          <w:tcPr>
            <w:tcW w:type="dxa" w:w="1164"/>
            <w:tcBorders>
              <w:start w:sz="2.4000000000005457" w:val="single" w:color="#000000"/>
              <w:top w:sz="2.399999999999636" w:val="single" w:color="#000000"/>
              <w:end w:sz="1.5999999999994543" w:val="single" w:color="#000000"/>
              <w:bottom w:sz="2.4000000000005457" w:val="single" w:color="#000000"/>
            </w:tcBorders>
            <w:tcMar>
              <w:start w:w="0" w:type="dxa"/>
              <w:end w:w="0" w:type="dxa"/>
            </w:tcMar>
          </w:tcPr>
          <w:p>
            <w:pPr>
              <w:autoSpaceDN w:val="0"/>
              <w:autoSpaceDE w:val="0"/>
              <w:widowControl/>
              <w:spacing w:line="197" w:lineRule="auto" w:before="214" w:after="0"/>
              <w:ind w:left="0" w:right="0" w:firstLine="0"/>
              <w:jc w:val="center"/>
            </w:pPr>
            <w:r>
              <w:rPr>
                <w:rFonts w:ascii="Calibri" w:hAnsi="Calibri" w:eastAsia="Calibri"/>
                <w:b w:val="0"/>
                <w:i w:val="0"/>
                <w:color w:val="000000"/>
                <w:sz w:val="18"/>
              </w:rPr>
              <w:t xml:space="preserve">90,641 </w:t>
            </w:r>
          </w:p>
        </w:tc>
      </w:tr>
      <w:tr>
        <w:trPr>
          <w:trHeight w:hRule="exact" w:val="764"/>
        </w:trPr>
        <w:tc>
          <w:tcPr>
            <w:tcW w:type="dxa" w:w="984"/>
            <w:tcBorders>
              <w:start w:sz="1.5999999999999943" w:val="single" w:color="#000000"/>
              <w:top w:sz="2.4000000000005457" w:val="single" w:color="#000000"/>
              <w:end w:sz="2.3999999999999773" w:val="single" w:color="#000000"/>
              <w:bottom w:sz="2.399999999999636" w:val="single" w:color="#000000"/>
            </w:tcBorders>
            <w:tcMar>
              <w:start w:w="0" w:type="dxa"/>
              <w:end w:w="0" w:type="dxa"/>
            </w:tcMar>
          </w:tcPr>
          <w:p>
            <w:pPr>
              <w:autoSpaceDN w:val="0"/>
              <w:autoSpaceDE w:val="0"/>
              <w:widowControl/>
              <w:spacing w:line="180" w:lineRule="exact" w:before="294" w:after="0"/>
              <w:ind w:left="132" w:right="0" w:firstLine="0"/>
              <w:jc w:val="left"/>
            </w:pPr>
            <w:r>
              <w:rPr>
                <w:rFonts w:ascii="宋体" w:hAnsi="宋体" w:eastAsia="宋体"/>
                <w:b w:val="0"/>
                <w:i w:val="0"/>
                <w:color w:val="000000"/>
                <w:sz w:val="18"/>
              </w:rPr>
              <w:t xml:space="preserve">山证国际 </w:t>
            </w:r>
          </w:p>
        </w:tc>
        <w:tc>
          <w:tcPr>
            <w:tcW w:type="dxa" w:w="640"/>
            <w:tcBorders>
              <w:start w:sz="2.3999999999999773" w:val="single" w:color="#000000"/>
              <w:top w:sz="2.4000000000005457" w:val="single" w:color="#000000"/>
              <w:end w:sz="2.3999999999999773" w:val="single" w:color="#000000"/>
              <w:bottom w:sz="2.399999999999636" w:val="single" w:color="#000000"/>
            </w:tcBorders>
            <w:tcMar>
              <w:start w:w="0" w:type="dxa"/>
              <w:end w:w="0" w:type="dxa"/>
            </w:tcMar>
          </w:tcPr>
          <w:p>
            <w:pPr>
              <w:autoSpaceDN w:val="0"/>
              <w:autoSpaceDE w:val="0"/>
              <w:widowControl/>
              <w:spacing w:line="240" w:lineRule="exact" w:before="114"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2.4000000000005457" w:val="single" w:color="#000000"/>
              <w:end w:sz="1.6000000000001364" w:val="single" w:color="#000000"/>
              <w:bottom w:sz="2.399999999999636" w:val="single" w:color="#000000"/>
            </w:tcBorders>
            <w:tcMar>
              <w:start w:w="0" w:type="dxa"/>
              <w:end w:w="0" w:type="dxa"/>
            </w:tcMar>
          </w:tcPr>
          <w:p>
            <w:pPr>
              <w:autoSpaceDN w:val="0"/>
              <w:autoSpaceDE w:val="0"/>
              <w:widowControl/>
              <w:spacing w:line="242" w:lineRule="exact" w:before="12" w:after="0"/>
              <w:ind w:left="106" w:right="214" w:firstLine="0"/>
              <w:jc w:val="both"/>
            </w:pPr>
            <w:r>
              <w:rPr>
                <w:rFonts w:ascii="宋体" w:hAnsi="宋体" w:eastAsia="宋体"/>
                <w:b w:val="0"/>
                <w:i w:val="0"/>
                <w:color w:val="000000"/>
                <w:sz w:val="18"/>
              </w:rPr>
              <w:t>证券经纪、期货经纪、证券</w:t>
            </w:r>
            <w:r>
              <w:rPr>
                <w:rFonts w:ascii="宋体" w:hAnsi="宋体" w:eastAsia="宋体"/>
                <w:b w:val="0"/>
                <w:i w:val="0"/>
                <w:color w:val="000000"/>
                <w:sz w:val="18"/>
              </w:rPr>
              <w:t>投资咨询、期货投资咨询、</w:t>
            </w:r>
            <w:r>
              <w:rPr>
                <w:rFonts w:ascii="宋体" w:hAnsi="宋体" w:eastAsia="宋体"/>
                <w:b w:val="0"/>
                <w:i w:val="0"/>
                <w:color w:val="000000"/>
                <w:sz w:val="18"/>
              </w:rPr>
              <w:t>资产管理、机构融资、商品</w:t>
            </w:r>
          </w:p>
        </w:tc>
        <w:tc>
          <w:tcPr>
            <w:tcW w:type="dxa" w:w="954"/>
            <w:tcBorders>
              <w:start w:sz="1.6000000000001364"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40" w:lineRule="exact" w:before="114" w:after="0"/>
              <w:ind w:left="206" w:right="0" w:hanging="66"/>
              <w:jc w:val="left"/>
            </w:pPr>
            <w:r>
              <w:rPr>
                <w:rFonts w:ascii="宋体" w:hAnsi="宋体" w:eastAsia="宋体"/>
                <w:b w:val="0"/>
                <w:i w:val="0"/>
                <w:color w:val="000000"/>
                <w:sz w:val="18"/>
              </w:rPr>
              <w:t>10.00 亿</w:t>
            </w:r>
            <w:r>
              <w:rPr>
                <w:rFonts w:ascii="宋体" w:hAnsi="宋体" w:eastAsia="宋体"/>
                <w:b w:val="0"/>
                <w:i w:val="0"/>
                <w:color w:val="000000"/>
                <w:sz w:val="18"/>
              </w:rPr>
              <w:t xml:space="preserve">元港币 </w:t>
            </w:r>
          </w:p>
        </w:tc>
        <w:tc>
          <w:tcPr>
            <w:tcW w:type="dxa" w:w="1390"/>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314" w:after="0"/>
              <w:ind w:left="0" w:right="0" w:firstLine="0"/>
              <w:jc w:val="center"/>
            </w:pPr>
            <w:r>
              <w:rPr>
                <w:rFonts w:ascii="Calibri" w:hAnsi="Calibri" w:eastAsia="Calibri"/>
                <w:b w:val="0"/>
                <w:i w:val="0"/>
                <w:color w:val="000000"/>
                <w:sz w:val="18"/>
              </w:rPr>
              <w:t xml:space="preserve">1,129,227,195 </w:t>
            </w:r>
          </w:p>
        </w:tc>
        <w:tc>
          <w:tcPr>
            <w:tcW w:type="dxa" w:w="1380"/>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314" w:after="0"/>
              <w:ind w:left="0" w:right="0" w:firstLine="0"/>
              <w:jc w:val="center"/>
            </w:pPr>
            <w:r>
              <w:rPr>
                <w:rFonts w:ascii="Calibri" w:hAnsi="Calibri" w:eastAsia="Calibri"/>
                <w:b w:val="0"/>
                <w:i w:val="0"/>
                <w:color w:val="000000"/>
                <w:sz w:val="18"/>
              </w:rPr>
              <w:t xml:space="preserve">757,953,398 </w:t>
            </w:r>
          </w:p>
        </w:tc>
        <w:tc>
          <w:tcPr>
            <w:tcW w:type="dxa" w:w="1228"/>
            <w:tcBorders>
              <w:start w:sz="2.400000000000091"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197" w:lineRule="auto" w:before="314" w:after="0"/>
              <w:ind w:left="0" w:right="0" w:firstLine="0"/>
              <w:jc w:val="center"/>
            </w:pPr>
            <w:r>
              <w:rPr>
                <w:rFonts w:ascii="Calibri" w:hAnsi="Calibri" w:eastAsia="Calibri"/>
                <w:b w:val="0"/>
                <w:i w:val="0"/>
                <w:color w:val="000000"/>
                <w:sz w:val="18"/>
              </w:rPr>
              <w:t xml:space="preserve">101,011,788 </w:t>
            </w:r>
          </w:p>
        </w:tc>
        <w:tc>
          <w:tcPr>
            <w:tcW w:type="dxa" w:w="1302"/>
            <w:tcBorders>
              <w:start w:sz="1.599999999999909" w:val="single" w:color="#000000"/>
              <w:top w:sz="2.4000000000005457" w:val="single" w:color="#000000"/>
              <w:end w:sz="2.4000000000005457" w:val="single" w:color="#000000"/>
              <w:bottom w:sz="2.399999999999636" w:val="single" w:color="#000000"/>
            </w:tcBorders>
            <w:tcMar>
              <w:start w:w="0" w:type="dxa"/>
              <w:end w:w="0" w:type="dxa"/>
            </w:tcMar>
          </w:tcPr>
          <w:p>
            <w:pPr>
              <w:autoSpaceDN w:val="0"/>
              <w:autoSpaceDE w:val="0"/>
              <w:widowControl/>
              <w:spacing w:line="197" w:lineRule="auto" w:before="314" w:after="0"/>
              <w:ind w:left="0" w:right="0" w:firstLine="0"/>
              <w:jc w:val="center"/>
            </w:pPr>
            <w:r>
              <w:rPr>
                <w:rFonts w:ascii="Calibri" w:hAnsi="Calibri" w:eastAsia="Calibri"/>
                <w:b w:val="0"/>
                <w:i w:val="0"/>
                <w:color w:val="000000"/>
                <w:sz w:val="18"/>
              </w:rPr>
              <w:t xml:space="preserve">14,966,275 </w:t>
            </w:r>
          </w:p>
        </w:tc>
        <w:tc>
          <w:tcPr>
            <w:tcW w:type="dxa" w:w="1164"/>
            <w:tcBorders>
              <w:start w:sz="2.4000000000005457" w:val="single" w:color="#000000"/>
              <w:top w:sz="2.4000000000005457" w:val="single" w:color="#000000"/>
              <w:end w:sz="1.5999999999994543" w:val="single" w:color="#000000"/>
              <w:bottom w:sz="2.399999999999636" w:val="single" w:color="#000000"/>
            </w:tcBorders>
            <w:tcMar>
              <w:start w:w="0" w:type="dxa"/>
              <w:end w:w="0" w:type="dxa"/>
            </w:tcMar>
          </w:tcPr>
          <w:p>
            <w:pPr>
              <w:autoSpaceDN w:val="0"/>
              <w:autoSpaceDE w:val="0"/>
              <w:widowControl/>
              <w:spacing w:line="197" w:lineRule="auto" w:before="314" w:after="0"/>
              <w:ind w:left="0" w:right="0" w:firstLine="0"/>
              <w:jc w:val="center"/>
            </w:pPr>
            <w:r>
              <w:rPr>
                <w:rFonts w:ascii="Calibri" w:hAnsi="Calibri" w:eastAsia="Calibri"/>
                <w:b w:val="0"/>
                <w:i w:val="0"/>
                <w:color w:val="000000"/>
                <w:sz w:val="18"/>
              </w:rPr>
              <w:t xml:space="preserve">14,995,796 </w:t>
            </w:r>
          </w:p>
        </w:tc>
      </w:tr>
    </w:tbl>
    <w:p>
      <w:pPr>
        <w:autoSpaceDN w:val="0"/>
        <w:autoSpaceDE w:val="0"/>
        <w:widowControl/>
        <w:spacing w:line="197" w:lineRule="auto" w:before="404" w:after="0"/>
        <w:ind w:left="0" w:right="0" w:firstLine="0"/>
        <w:jc w:val="center"/>
      </w:pPr>
      <w:r>
        <w:rPr>
          <w:rFonts w:ascii="Calibri" w:hAnsi="Calibri" w:eastAsia="Calibri"/>
          <w:b w:val="0"/>
          <w:i w:val="0"/>
          <w:color w:val="000000"/>
          <w:sz w:val="18"/>
        </w:rPr>
        <w:t xml:space="preserve">50 </w:t>
      </w:r>
    </w:p>
    <w:p>
      <w:pPr>
        <w:sectPr>
          <w:pgSz w:w="11904" w:h="16841"/>
          <w:pgMar w:top="424" w:right="138" w:bottom="446" w:left="216"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444.0" w:type="dxa"/>
      </w:tblPr>
      <w:tblGrid>
        <w:gridCol w:w="5775"/>
        <w:gridCol w:w="5775"/>
      </w:tblGrid>
      <w:tr>
        <w:trPr>
          <w:trHeight w:hRule="exact" w:val="796"/>
        </w:trPr>
        <w:tc>
          <w:tcPr>
            <w:tcW w:type="dxa" w:w="5880"/>
            <w:tcBorders/>
            <w:tcMar>
              <w:start w:w="0" w:type="dxa"/>
              <w:end w:w="0" w:type="dxa"/>
            </w:tcMar>
          </w:tcPr>
          <w:p>
            <w:pPr>
              <w:autoSpaceDN w:val="0"/>
              <w:autoSpaceDE w:val="0"/>
              <w:widowControl/>
              <w:spacing w:line="240" w:lineRule="auto" w:before="0" w:after="0"/>
              <w:ind w:left="474" w:right="0" w:firstLine="0"/>
              <w:jc w:val="left"/>
            </w:pPr>
            <w:r>
              <w:drawing>
                <wp:inline xmlns:a="http://schemas.openxmlformats.org/drawingml/2006/main" xmlns:pic="http://schemas.openxmlformats.org/drawingml/2006/picture">
                  <wp:extent cx="1844039" cy="439419"/>
                  <wp:docPr id="53" name="Picture 5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720"/>
            <w:tcBorders/>
            <w:tcMar>
              <w:start w:w="0" w:type="dxa"/>
              <w:end w:w="0" w:type="dxa"/>
            </w:tcMar>
          </w:tcPr>
          <w:p>
            <w:pPr>
              <w:autoSpaceDN w:val="0"/>
              <w:autoSpaceDE w:val="0"/>
              <w:widowControl/>
              <w:spacing w:line="200" w:lineRule="exact" w:before="536" w:after="0"/>
              <w:ind w:left="0" w:right="50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999999999999993" w:type="dxa"/>
      </w:tblPr>
      <w:tblGrid>
        <w:gridCol w:w="1283"/>
        <w:gridCol w:w="1283"/>
        <w:gridCol w:w="1283"/>
        <w:gridCol w:w="1283"/>
        <w:gridCol w:w="1283"/>
        <w:gridCol w:w="1283"/>
        <w:gridCol w:w="1283"/>
        <w:gridCol w:w="1283"/>
        <w:gridCol w:w="1283"/>
      </w:tblGrid>
      <w:tr>
        <w:trPr>
          <w:trHeight w:hRule="exact" w:val="572"/>
        </w:trPr>
        <w:tc>
          <w:tcPr>
            <w:tcW w:type="dxa" w:w="984"/>
            <w:tcBorders>
              <w:start w:sz="1.5999999999999943" w:val="single" w:color="#000000"/>
              <w:top w:sz="1.6000000000000227" w:val="single" w:color="#000000"/>
              <w:end w:sz="2.3999999999999773" w:val="single" w:color="#000000"/>
              <w:bottom w:sz="1.6000000000000227" w:val="single" w:color="#000000"/>
            </w:tcBorders>
            <w:tcMar>
              <w:start w:w="0" w:type="dxa"/>
              <w:end w:w="0" w:type="dxa"/>
            </w:tcMar>
          </w:tcPr>
          <w:p/>
        </w:tc>
        <w:tc>
          <w:tcPr>
            <w:tcW w:type="dxa" w:w="640"/>
            <w:tcBorders>
              <w:start w:sz="2.3999999999999773" w:val="single" w:color="#000000"/>
              <w:top w:sz="5.600000000000023" w:val="single" w:color="#000000"/>
              <w:end w:sz="2.3999999999999773" w:val="single" w:color="#000000"/>
              <w:bottom w:sz="1.6000000000000227" w:val="single" w:color="#000000"/>
            </w:tcBorders>
            <w:tcMar>
              <w:start w:w="0" w:type="dxa"/>
              <w:end w:w="0" w:type="dxa"/>
            </w:tcMar>
          </w:tcPr>
          <w:p/>
        </w:tc>
        <w:tc>
          <w:tcPr>
            <w:tcW w:type="dxa" w:w="2484"/>
            <w:tcBorders>
              <w:start w:sz="2.3999999999999773" w:val="single" w:color="#000000"/>
              <w:top w:sz="5.600000000000023" w:val="single" w:color="#000000"/>
              <w:end w:sz="1.6000000000001364" w:val="single" w:color="#000000"/>
              <w:bottom w:sz="1.6000000000000227" w:val="single" w:color="#000000"/>
            </w:tcBorders>
            <w:tcMar>
              <w:start w:w="0" w:type="dxa"/>
              <w:end w:w="0" w:type="dxa"/>
            </w:tcMar>
          </w:tcPr>
          <w:p>
            <w:pPr>
              <w:autoSpaceDN w:val="0"/>
              <w:autoSpaceDE w:val="0"/>
              <w:widowControl/>
              <w:spacing w:line="180" w:lineRule="exact" w:before="32" w:after="0"/>
              <w:ind w:left="106" w:right="0" w:firstLine="0"/>
              <w:jc w:val="left"/>
            </w:pPr>
            <w:r>
              <w:rPr>
                <w:rFonts w:ascii="宋体" w:hAnsi="宋体" w:eastAsia="宋体"/>
                <w:b w:val="0"/>
                <w:i w:val="0"/>
                <w:color w:val="000000"/>
                <w:sz w:val="18"/>
              </w:rPr>
              <w:t xml:space="preserve">贸易金融。 </w:t>
            </w:r>
          </w:p>
        </w:tc>
        <w:tc>
          <w:tcPr>
            <w:tcW w:type="dxa" w:w="954"/>
            <w:tcBorders>
              <w:start w:sz="1.6000000000001364" w:val="single" w:color="#000000"/>
              <w:top w:sz="5.600000000000023" w:val="single" w:color="#000000"/>
              <w:end w:sz="2.400000000000091" w:val="single" w:color="#000000"/>
              <w:bottom w:sz="1.6000000000000227" w:val="single" w:color="#000000"/>
            </w:tcBorders>
            <w:tcMar>
              <w:start w:w="0" w:type="dxa"/>
              <w:end w:w="0" w:type="dxa"/>
            </w:tcMar>
          </w:tcPr>
          <w:p/>
        </w:tc>
        <w:tc>
          <w:tcPr>
            <w:tcW w:type="dxa" w:w="1390"/>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tc>
        <w:tc>
          <w:tcPr>
            <w:tcW w:type="dxa" w:w="1380"/>
            <w:tcBorders>
              <w:start w:sz="2.400000000000091" w:val="single" w:color="#000000"/>
              <w:top w:sz="5.600000000000023" w:val="single" w:color="#000000"/>
              <w:end w:sz="2.400000000000091" w:val="single" w:color="#000000"/>
              <w:bottom w:sz="1.6000000000000227" w:val="single" w:color="#000000"/>
            </w:tcBorders>
            <w:tcMar>
              <w:start w:w="0" w:type="dxa"/>
              <w:end w:w="0" w:type="dxa"/>
            </w:tcMar>
          </w:tcPr>
          <w:p/>
        </w:tc>
        <w:tc>
          <w:tcPr>
            <w:tcW w:type="dxa" w:w="1228"/>
            <w:tcBorders>
              <w:start w:sz="2.400000000000091" w:val="single" w:color="#000000"/>
              <w:top w:sz="5.600000000000023" w:val="single" w:color="#000000"/>
              <w:end w:sz="1.599999999999909" w:val="single" w:color="#000000"/>
              <w:bottom w:sz="1.6000000000000227" w:val="single" w:color="#000000"/>
            </w:tcBorders>
            <w:tcMar>
              <w:start w:w="0" w:type="dxa"/>
              <w:end w:w="0" w:type="dxa"/>
            </w:tcMar>
          </w:tcPr>
          <w:p/>
        </w:tc>
        <w:tc>
          <w:tcPr>
            <w:tcW w:type="dxa" w:w="1302"/>
            <w:tcBorders>
              <w:start w:sz="1.599999999999909" w:val="single" w:color="#000000"/>
              <w:top w:sz="5.600000000000023" w:val="single" w:color="#000000"/>
              <w:end w:sz="2.4000000000005457" w:val="single" w:color="#000000"/>
              <w:bottom w:sz="1.6000000000000227" w:val="single" w:color="#000000"/>
            </w:tcBorders>
            <w:tcMar>
              <w:start w:w="0" w:type="dxa"/>
              <w:end w:w="0" w:type="dxa"/>
            </w:tcMar>
          </w:tcPr>
          <w:p/>
        </w:tc>
        <w:tc>
          <w:tcPr>
            <w:tcW w:type="dxa" w:w="1164"/>
            <w:tcBorders>
              <w:start w:sz="2.4000000000005457" w:val="single" w:color="#000000"/>
              <w:top w:sz="5.600000000000023" w:val="single" w:color="#000000"/>
              <w:end w:sz="1.5999999999994543" w:val="single" w:color="#000000"/>
              <w:bottom w:sz="1.6000000000000227" w:val="single" w:color="#000000"/>
            </w:tcBorders>
            <w:tcMar>
              <w:start w:w="0" w:type="dxa"/>
              <w:end w:w="0" w:type="dxa"/>
            </w:tcMar>
          </w:tcPr>
          <w:p/>
        </w:tc>
      </w:tr>
      <w:tr>
        <w:trPr>
          <w:trHeight w:hRule="exact" w:val="812"/>
        </w:trPr>
        <w:tc>
          <w:tcPr>
            <w:tcW w:type="dxa" w:w="984"/>
            <w:tcBorders>
              <w:start w:sz="1.5999999999999943" w:val="single" w:color="#000000"/>
              <w:top w:sz="1.6000000000000227"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320" w:after="0"/>
              <w:ind w:left="132" w:right="0" w:firstLine="0"/>
              <w:jc w:val="left"/>
            </w:pPr>
            <w:r>
              <w:rPr>
                <w:rFonts w:ascii="宋体" w:hAnsi="宋体" w:eastAsia="宋体"/>
                <w:b w:val="0"/>
                <w:i w:val="0"/>
                <w:color w:val="000000"/>
                <w:sz w:val="18"/>
              </w:rPr>
              <w:t xml:space="preserve">山证创新 </w:t>
            </w:r>
          </w:p>
        </w:tc>
        <w:tc>
          <w:tcPr>
            <w:tcW w:type="dxa" w:w="640"/>
            <w:tcBorders>
              <w:start w:sz="2.3999999999999773" w:val="single" w:color="#000000"/>
              <w:top w:sz="1.6000000000000227" w:val="single" w:color="#000000"/>
              <w:end w:sz="2.3999999999999773" w:val="single" w:color="#000000"/>
              <w:bottom w:sz="2.400000000000091" w:val="single" w:color="#000000"/>
            </w:tcBorders>
            <w:tcMar>
              <w:start w:w="0" w:type="dxa"/>
              <w:end w:w="0" w:type="dxa"/>
            </w:tcMar>
          </w:tcPr>
          <w:p>
            <w:pPr>
              <w:autoSpaceDN w:val="0"/>
              <w:autoSpaceDE w:val="0"/>
              <w:widowControl/>
              <w:spacing w:line="240" w:lineRule="exact" w:before="140"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1.6000000000000227"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320" w:after="0"/>
              <w:ind w:left="106" w:right="0" w:firstLine="0"/>
              <w:jc w:val="left"/>
            </w:pPr>
            <w:r>
              <w:rPr>
                <w:rFonts w:ascii="宋体" w:hAnsi="宋体" w:eastAsia="宋体"/>
                <w:b w:val="0"/>
                <w:i w:val="0"/>
                <w:color w:val="000000"/>
                <w:sz w:val="18"/>
              </w:rPr>
              <w:t xml:space="preserve">投资管理与资产管理。 </w:t>
            </w:r>
          </w:p>
        </w:tc>
        <w:tc>
          <w:tcPr>
            <w:tcW w:type="dxa" w:w="954"/>
            <w:tcBorders>
              <w:start w:sz="1.6000000000001364" w:val="single" w:color="#000000"/>
              <w:top w:sz="1.6000000000000227" w:val="single" w:color="#000000"/>
              <w:end w:sz="2.400000000000091" w:val="single" w:color="#000000"/>
              <w:bottom w:sz="2.400000000000091" w:val="single" w:color="#000000"/>
            </w:tcBorders>
            <w:tcMar>
              <w:start w:w="0" w:type="dxa"/>
              <w:end w:w="0" w:type="dxa"/>
            </w:tcMar>
          </w:tcPr>
          <w:p>
            <w:pPr>
              <w:autoSpaceDN w:val="0"/>
              <w:tabs>
                <w:tab w:pos="140" w:val="left"/>
              </w:tabs>
              <w:autoSpaceDE w:val="0"/>
              <w:widowControl/>
              <w:spacing w:line="240" w:lineRule="exact" w:before="140" w:after="0"/>
              <w:ind w:left="118" w:right="0" w:firstLine="0"/>
              <w:jc w:val="left"/>
            </w:pPr>
            <w:r>
              <w:rPr>
                <w:rFonts w:ascii="宋体" w:hAnsi="宋体" w:eastAsia="宋体"/>
                <w:b w:val="0"/>
                <w:i w:val="0"/>
                <w:color w:val="000000"/>
                <w:sz w:val="18"/>
              </w:rPr>
              <w:t>17.00 亿</w:t>
            </w:r>
            <w:r>
              <w:br/>
            </w:r>
            <w:r>
              <w:rPr>
                <w:rFonts w:ascii="宋体" w:hAnsi="宋体" w:eastAsia="宋体"/>
                <w:b w:val="0"/>
                <w:i w:val="0"/>
                <w:color w:val="000000"/>
                <w:sz w:val="18"/>
              </w:rPr>
              <w:t xml:space="preserve">元人民币 </w:t>
            </w:r>
          </w:p>
        </w:tc>
        <w:tc>
          <w:tcPr>
            <w:tcW w:type="dxa" w:w="1390"/>
            <w:tcBorders>
              <w:start w:sz="2.400000000000091" w:val="single" w:color="#000000"/>
              <w:top w:sz="1.6000000000000227" w:val="single" w:color="#000000"/>
              <w:end w:sz="2.400000000000091" w:val="single" w:color="#000000"/>
              <w:bottom w:sz="2.400000000000091" w:val="single" w:color="#000000"/>
            </w:tcBorders>
            <w:tcMar>
              <w:start w:w="0" w:type="dxa"/>
              <w:end w:w="0" w:type="dxa"/>
            </w:tcMar>
          </w:tcPr>
          <w:p>
            <w:pPr>
              <w:autoSpaceDN w:val="0"/>
              <w:autoSpaceDE w:val="0"/>
              <w:widowControl/>
              <w:spacing w:line="197" w:lineRule="auto" w:before="340" w:after="0"/>
              <w:ind w:left="0" w:right="0" w:firstLine="0"/>
              <w:jc w:val="center"/>
            </w:pPr>
            <w:r>
              <w:rPr>
                <w:rFonts w:ascii="Calibri" w:hAnsi="Calibri" w:eastAsia="Calibri"/>
                <w:b w:val="0"/>
                <w:i w:val="0"/>
                <w:color w:val="000000"/>
                <w:sz w:val="18"/>
              </w:rPr>
              <w:t xml:space="preserve">2,285,674,076 </w:t>
            </w:r>
          </w:p>
        </w:tc>
        <w:tc>
          <w:tcPr>
            <w:tcW w:type="dxa" w:w="1380"/>
            <w:tcBorders>
              <w:start w:sz="2.400000000000091" w:val="single" w:color="#000000"/>
              <w:top w:sz="1.6000000000000227" w:val="single" w:color="#000000"/>
              <w:end w:sz="2.400000000000091" w:val="single" w:color="#000000"/>
              <w:bottom w:sz="2.400000000000091" w:val="single" w:color="#000000"/>
            </w:tcBorders>
            <w:tcMar>
              <w:start w:w="0" w:type="dxa"/>
              <w:end w:w="0" w:type="dxa"/>
            </w:tcMar>
          </w:tcPr>
          <w:p>
            <w:pPr>
              <w:autoSpaceDN w:val="0"/>
              <w:autoSpaceDE w:val="0"/>
              <w:widowControl/>
              <w:spacing w:line="197" w:lineRule="auto" w:before="340" w:after="0"/>
              <w:ind w:left="0" w:right="0" w:firstLine="0"/>
              <w:jc w:val="center"/>
            </w:pPr>
            <w:r>
              <w:rPr>
                <w:rFonts w:ascii="Calibri" w:hAnsi="Calibri" w:eastAsia="Calibri"/>
                <w:b w:val="0"/>
                <w:i w:val="0"/>
                <w:color w:val="000000"/>
                <w:sz w:val="18"/>
              </w:rPr>
              <w:t xml:space="preserve">2,078,425,511 </w:t>
            </w:r>
          </w:p>
        </w:tc>
        <w:tc>
          <w:tcPr>
            <w:tcW w:type="dxa" w:w="1228"/>
            <w:tcBorders>
              <w:start w:sz="2.400000000000091" w:val="single" w:color="#000000"/>
              <w:top w:sz="1.6000000000000227" w:val="single" w:color="#000000"/>
              <w:end w:sz="1.599999999999909" w:val="single" w:color="#000000"/>
              <w:bottom w:sz="2.400000000000091" w:val="single" w:color="#000000"/>
            </w:tcBorders>
            <w:tcMar>
              <w:start w:w="0" w:type="dxa"/>
              <w:end w:w="0" w:type="dxa"/>
            </w:tcMar>
          </w:tcPr>
          <w:p>
            <w:pPr>
              <w:autoSpaceDN w:val="0"/>
              <w:autoSpaceDE w:val="0"/>
              <w:widowControl/>
              <w:spacing w:line="197" w:lineRule="auto" w:before="340" w:after="0"/>
              <w:ind w:left="0" w:right="0" w:firstLine="0"/>
              <w:jc w:val="center"/>
            </w:pPr>
            <w:r>
              <w:rPr>
                <w:rFonts w:ascii="Calibri" w:hAnsi="Calibri" w:eastAsia="Calibri"/>
                <w:b w:val="0"/>
                <w:i w:val="0"/>
                <w:color w:val="000000"/>
                <w:sz w:val="18"/>
              </w:rPr>
              <w:t xml:space="preserve">184,549,716 </w:t>
            </w:r>
          </w:p>
        </w:tc>
        <w:tc>
          <w:tcPr>
            <w:tcW w:type="dxa" w:w="1302"/>
            <w:tcBorders>
              <w:start w:sz="1.599999999999909" w:val="single" w:color="#000000"/>
              <w:top w:sz="1.6000000000000227" w:val="single" w:color="#000000"/>
              <w:end w:sz="2.4000000000005457" w:val="single" w:color="#000000"/>
              <w:bottom w:sz="2.400000000000091" w:val="single" w:color="#000000"/>
            </w:tcBorders>
            <w:tcMar>
              <w:start w:w="0" w:type="dxa"/>
              <w:end w:w="0" w:type="dxa"/>
            </w:tcMar>
          </w:tcPr>
          <w:p>
            <w:pPr>
              <w:autoSpaceDN w:val="0"/>
              <w:autoSpaceDE w:val="0"/>
              <w:widowControl/>
              <w:spacing w:line="197" w:lineRule="auto" w:before="340" w:after="0"/>
              <w:ind w:left="0" w:right="0" w:firstLine="0"/>
              <w:jc w:val="center"/>
            </w:pPr>
            <w:r>
              <w:rPr>
                <w:rFonts w:ascii="Calibri" w:hAnsi="Calibri" w:eastAsia="Calibri"/>
                <w:b w:val="0"/>
                <w:i w:val="0"/>
                <w:color w:val="000000"/>
                <w:sz w:val="18"/>
              </w:rPr>
              <w:t xml:space="preserve">171,713,137 </w:t>
            </w:r>
          </w:p>
        </w:tc>
        <w:tc>
          <w:tcPr>
            <w:tcW w:type="dxa" w:w="1164"/>
            <w:tcBorders>
              <w:start w:sz="2.4000000000005457" w:val="single" w:color="#000000"/>
              <w:top w:sz="1.6000000000000227" w:val="single" w:color="#000000"/>
              <w:end w:sz="1.5999999999994543" w:val="single" w:color="#000000"/>
              <w:bottom w:sz="2.400000000000091" w:val="single" w:color="#000000"/>
            </w:tcBorders>
            <w:tcMar>
              <w:start w:w="0" w:type="dxa"/>
              <w:end w:w="0" w:type="dxa"/>
            </w:tcMar>
          </w:tcPr>
          <w:p>
            <w:pPr>
              <w:autoSpaceDN w:val="0"/>
              <w:autoSpaceDE w:val="0"/>
              <w:widowControl/>
              <w:spacing w:line="197" w:lineRule="auto" w:before="340" w:after="0"/>
              <w:ind w:left="0" w:right="0" w:firstLine="0"/>
              <w:jc w:val="center"/>
            </w:pPr>
            <w:r>
              <w:rPr>
                <w:rFonts w:ascii="Calibri" w:hAnsi="Calibri" w:eastAsia="Calibri"/>
                <w:b w:val="0"/>
                <w:i w:val="0"/>
                <w:color w:val="000000"/>
                <w:sz w:val="18"/>
              </w:rPr>
              <w:t xml:space="preserve">126,081,505 </w:t>
            </w:r>
          </w:p>
        </w:tc>
      </w:tr>
      <w:tr>
        <w:trPr>
          <w:trHeight w:hRule="exact" w:val="1288"/>
        </w:trPr>
        <w:tc>
          <w:tcPr>
            <w:tcW w:type="dxa" w:w="984"/>
            <w:tcBorders>
              <w:start w:sz="1.5999999999999943" w:val="single" w:color="#000000"/>
              <w:top w:sz="2.400000000000091" w:val="single" w:color="#000000"/>
              <w:end w:sz="2.3999999999999773" w:val="single" w:color="#000000"/>
              <w:bottom w:sz="1.6000000000001364" w:val="single" w:color="#000000"/>
            </w:tcBorders>
            <w:tcMar>
              <w:start w:w="0" w:type="dxa"/>
              <w:end w:w="0" w:type="dxa"/>
            </w:tcMar>
          </w:tcPr>
          <w:p>
            <w:pPr>
              <w:autoSpaceDN w:val="0"/>
              <w:autoSpaceDE w:val="0"/>
              <w:widowControl/>
              <w:spacing w:line="180" w:lineRule="exact" w:before="556" w:after="0"/>
              <w:ind w:left="132" w:right="0" w:firstLine="0"/>
              <w:jc w:val="left"/>
            </w:pPr>
            <w:r>
              <w:rPr>
                <w:rFonts w:ascii="宋体" w:hAnsi="宋体" w:eastAsia="宋体"/>
                <w:b w:val="0"/>
                <w:i w:val="0"/>
                <w:color w:val="000000"/>
                <w:sz w:val="18"/>
              </w:rPr>
              <w:t xml:space="preserve">山证科技 </w:t>
            </w:r>
          </w:p>
        </w:tc>
        <w:tc>
          <w:tcPr>
            <w:tcW w:type="dxa" w:w="640"/>
            <w:tcBorders>
              <w:start w:sz="2.3999999999999773" w:val="single" w:color="#000000"/>
              <w:top w:sz="2.400000000000091" w:val="single" w:color="#000000"/>
              <w:end w:sz="2.3999999999999773" w:val="single" w:color="#000000"/>
              <w:bottom w:sz="1.6000000000001364" w:val="single" w:color="#000000"/>
            </w:tcBorders>
            <w:tcMar>
              <w:start w:w="0" w:type="dxa"/>
              <w:end w:w="0" w:type="dxa"/>
            </w:tcMar>
          </w:tcPr>
          <w:p>
            <w:pPr>
              <w:autoSpaceDN w:val="0"/>
              <w:autoSpaceDE w:val="0"/>
              <w:widowControl/>
              <w:spacing w:line="240" w:lineRule="exact" w:before="376"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2.400000000000091" w:val="single" w:color="#000000"/>
              <w:end w:sz="1.6000000000001364" w:val="single" w:color="#000000"/>
              <w:bottom w:sz="1.6000000000001364" w:val="single" w:color="#000000"/>
            </w:tcBorders>
            <w:tcMar>
              <w:start w:w="0" w:type="dxa"/>
              <w:end w:w="0" w:type="dxa"/>
            </w:tcMar>
          </w:tcPr>
          <w:p>
            <w:pPr>
              <w:autoSpaceDN w:val="0"/>
              <w:autoSpaceDE w:val="0"/>
              <w:widowControl/>
              <w:spacing w:line="240" w:lineRule="exact" w:before="16" w:after="0"/>
              <w:ind w:left="106" w:right="144" w:firstLine="0"/>
              <w:jc w:val="left"/>
            </w:pPr>
            <w:r>
              <w:rPr>
                <w:rFonts w:ascii="宋体" w:hAnsi="宋体" w:eastAsia="宋体"/>
                <w:b w:val="0"/>
                <w:i w:val="0"/>
                <w:color w:val="000000"/>
                <w:sz w:val="18"/>
              </w:rPr>
              <w:t>计算机软件、信息系统软件</w:t>
            </w:r>
            <w:r>
              <w:rPr>
                <w:rFonts w:ascii="宋体" w:hAnsi="宋体" w:eastAsia="宋体"/>
                <w:b w:val="0"/>
                <w:i w:val="0"/>
                <w:color w:val="000000"/>
                <w:sz w:val="18"/>
              </w:rPr>
              <w:t>开发、销售；信息系统设</w:t>
            </w:r>
            <w:r>
              <w:rPr>
                <w:rFonts w:ascii="宋体" w:hAnsi="宋体" w:eastAsia="宋体"/>
                <w:b w:val="0"/>
                <w:i w:val="0"/>
                <w:color w:val="000000"/>
                <w:sz w:val="18"/>
              </w:rPr>
              <w:t>计、集成、运行维护；信息</w:t>
            </w:r>
            <w:r>
              <w:rPr>
                <w:rFonts w:ascii="宋体" w:hAnsi="宋体" w:eastAsia="宋体"/>
                <w:b w:val="0"/>
                <w:i w:val="0"/>
                <w:color w:val="000000"/>
                <w:sz w:val="18"/>
              </w:rPr>
              <w:t>技术咨询；日常安全管理、</w:t>
            </w:r>
            <w:r>
              <w:rPr>
                <w:rFonts w:ascii="宋体" w:hAnsi="宋体" w:eastAsia="宋体"/>
                <w:b w:val="0"/>
                <w:i w:val="0"/>
                <w:color w:val="000000"/>
                <w:sz w:val="18"/>
              </w:rPr>
              <w:t xml:space="preserve">数据管理。 </w:t>
            </w:r>
          </w:p>
        </w:tc>
        <w:tc>
          <w:tcPr>
            <w:tcW w:type="dxa" w:w="954"/>
            <w:tcBorders>
              <w:start w:sz="1.6000000000001364" w:val="single" w:color="#000000"/>
              <w:top w:sz="2.400000000000091" w:val="single" w:color="#000000"/>
              <w:end w:sz="2.400000000000091" w:val="single" w:color="#000000"/>
              <w:bottom w:sz="1.6000000000001364" w:val="single" w:color="#000000"/>
            </w:tcBorders>
            <w:tcMar>
              <w:start w:w="0" w:type="dxa"/>
              <w:end w:w="0" w:type="dxa"/>
            </w:tcMar>
          </w:tcPr>
          <w:p>
            <w:pPr>
              <w:autoSpaceDN w:val="0"/>
              <w:tabs>
                <w:tab w:pos="184" w:val="left"/>
              </w:tabs>
              <w:autoSpaceDE w:val="0"/>
              <w:widowControl/>
              <w:spacing w:line="240" w:lineRule="exact" w:before="376" w:after="0"/>
              <w:ind w:left="118" w:right="0" w:firstLine="0"/>
              <w:jc w:val="left"/>
            </w:pPr>
            <w:r>
              <w:rPr>
                <w:rFonts w:ascii="宋体" w:hAnsi="宋体" w:eastAsia="宋体"/>
                <w:b w:val="0"/>
                <w:i w:val="0"/>
                <w:color w:val="000000"/>
                <w:sz w:val="18"/>
              </w:rPr>
              <w:t>2.00 亿</w:t>
            </w:r>
            <w:r>
              <w:br/>
            </w:r>
            <w:r>
              <w:rPr>
                <w:rFonts w:ascii="宋体" w:hAnsi="宋体" w:eastAsia="宋体"/>
                <w:b w:val="0"/>
                <w:i w:val="0"/>
                <w:color w:val="000000"/>
                <w:sz w:val="18"/>
              </w:rPr>
              <w:t xml:space="preserve">元人民币 </w:t>
            </w:r>
          </w:p>
        </w:tc>
        <w:tc>
          <w:tcPr>
            <w:tcW w:type="dxa" w:w="1390"/>
            <w:tcBorders>
              <w:start w:sz="2.400000000000091" w:val="single" w:color="#000000"/>
              <w:top w:sz="2.400000000000091" w:val="single" w:color="#000000"/>
              <w:end w:sz="2.400000000000091" w:val="single" w:color="#000000"/>
              <w:bottom w:sz="1.6000000000001364" w:val="single" w:color="#000000"/>
            </w:tcBorders>
            <w:tcMar>
              <w:start w:w="0" w:type="dxa"/>
              <w:end w:w="0" w:type="dxa"/>
            </w:tcMar>
          </w:tcPr>
          <w:p>
            <w:pPr>
              <w:autoSpaceDN w:val="0"/>
              <w:autoSpaceDE w:val="0"/>
              <w:widowControl/>
              <w:spacing w:line="197" w:lineRule="auto" w:before="576" w:after="0"/>
              <w:ind w:left="0" w:right="0" w:firstLine="0"/>
              <w:jc w:val="center"/>
            </w:pPr>
            <w:r>
              <w:rPr>
                <w:rFonts w:ascii="Calibri" w:hAnsi="Calibri" w:eastAsia="Calibri"/>
                <w:b w:val="0"/>
                <w:i w:val="0"/>
                <w:color w:val="000000"/>
                <w:sz w:val="18"/>
              </w:rPr>
              <w:t xml:space="preserve">208,049,472 </w:t>
            </w:r>
          </w:p>
        </w:tc>
        <w:tc>
          <w:tcPr>
            <w:tcW w:type="dxa" w:w="1380"/>
            <w:tcBorders>
              <w:start w:sz="2.400000000000091" w:val="single" w:color="#000000"/>
              <w:top w:sz="2.400000000000091" w:val="single" w:color="#000000"/>
              <w:end w:sz="2.400000000000091" w:val="single" w:color="#000000"/>
              <w:bottom w:sz="1.6000000000001364" w:val="single" w:color="#000000"/>
            </w:tcBorders>
            <w:tcMar>
              <w:start w:w="0" w:type="dxa"/>
              <w:end w:w="0" w:type="dxa"/>
            </w:tcMar>
          </w:tcPr>
          <w:p>
            <w:pPr>
              <w:autoSpaceDN w:val="0"/>
              <w:autoSpaceDE w:val="0"/>
              <w:widowControl/>
              <w:spacing w:line="197" w:lineRule="auto" w:before="576" w:after="0"/>
              <w:ind w:left="0" w:right="0" w:firstLine="0"/>
              <w:jc w:val="center"/>
            </w:pPr>
            <w:r>
              <w:rPr>
                <w:rFonts w:ascii="Calibri" w:hAnsi="Calibri" w:eastAsia="Calibri"/>
                <w:b w:val="0"/>
                <w:i w:val="0"/>
                <w:color w:val="000000"/>
                <w:sz w:val="18"/>
              </w:rPr>
              <w:t xml:space="preserve">202,803,855 </w:t>
            </w:r>
          </w:p>
        </w:tc>
        <w:tc>
          <w:tcPr>
            <w:tcW w:type="dxa" w:w="1228"/>
            <w:tcBorders>
              <w:start w:sz="2.400000000000091" w:val="single" w:color="#000000"/>
              <w:top w:sz="2.400000000000091" w:val="single" w:color="#000000"/>
              <w:end w:sz="1.599999999999909" w:val="single" w:color="#000000"/>
              <w:bottom w:sz="1.6000000000001364" w:val="single" w:color="#000000"/>
            </w:tcBorders>
            <w:tcMar>
              <w:start w:w="0" w:type="dxa"/>
              <w:end w:w="0" w:type="dxa"/>
            </w:tcMar>
          </w:tcPr>
          <w:p>
            <w:pPr>
              <w:autoSpaceDN w:val="0"/>
              <w:autoSpaceDE w:val="0"/>
              <w:widowControl/>
              <w:spacing w:line="197" w:lineRule="auto" w:before="576" w:after="0"/>
              <w:ind w:left="0" w:right="0" w:firstLine="0"/>
              <w:jc w:val="center"/>
            </w:pPr>
            <w:r>
              <w:rPr>
                <w:rFonts w:ascii="Calibri" w:hAnsi="Calibri" w:eastAsia="Calibri"/>
                <w:b w:val="0"/>
                <w:i w:val="0"/>
                <w:color w:val="000000"/>
                <w:sz w:val="18"/>
              </w:rPr>
              <w:t xml:space="preserve">22,517,869 </w:t>
            </w:r>
          </w:p>
        </w:tc>
        <w:tc>
          <w:tcPr>
            <w:tcW w:type="dxa" w:w="1302"/>
            <w:tcBorders>
              <w:start w:sz="1.599999999999909" w:val="single" w:color="#000000"/>
              <w:top w:sz="2.400000000000091" w:val="single" w:color="#000000"/>
              <w:end w:sz="2.4000000000005457" w:val="single" w:color="#000000"/>
              <w:bottom w:sz="1.6000000000001364" w:val="single" w:color="#000000"/>
            </w:tcBorders>
            <w:tcMar>
              <w:start w:w="0" w:type="dxa"/>
              <w:end w:w="0" w:type="dxa"/>
            </w:tcMar>
          </w:tcPr>
          <w:p>
            <w:pPr>
              <w:autoSpaceDN w:val="0"/>
              <w:autoSpaceDE w:val="0"/>
              <w:widowControl/>
              <w:spacing w:line="197" w:lineRule="auto" w:before="576" w:after="0"/>
              <w:ind w:left="0" w:right="0" w:firstLine="0"/>
              <w:jc w:val="center"/>
            </w:pPr>
            <w:r>
              <w:rPr>
                <w:rFonts w:ascii="Calibri" w:hAnsi="Calibri" w:eastAsia="Calibri"/>
                <w:b w:val="0"/>
                <w:i w:val="0"/>
                <w:color w:val="000000"/>
                <w:sz w:val="18"/>
              </w:rPr>
              <w:t xml:space="preserve">212,293 </w:t>
            </w:r>
          </w:p>
        </w:tc>
        <w:tc>
          <w:tcPr>
            <w:tcW w:type="dxa" w:w="1164"/>
            <w:tcBorders>
              <w:start w:sz="2.4000000000005457" w:val="single" w:color="#000000"/>
              <w:top w:sz="2.400000000000091" w:val="single" w:color="#000000"/>
              <w:end w:sz="1.5999999999994543" w:val="single" w:color="#000000"/>
              <w:bottom w:sz="1.6000000000001364" w:val="single" w:color="#000000"/>
            </w:tcBorders>
            <w:tcMar>
              <w:start w:w="0" w:type="dxa"/>
              <w:end w:w="0" w:type="dxa"/>
            </w:tcMar>
          </w:tcPr>
          <w:p>
            <w:pPr>
              <w:autoSpaceDN w:val="0"/>
              <w:autoSpaceDE w:val="0"/>
              <w:widowControl/>
              <w:spacing w:line="197" w:lineRule="auto" w:before="576" w:after="0"/>
              <w:ind w:left="0" w:right="0" w:firstLine="0"/>
              <w:jc w:val="center"/>
            </w:pPr>
            <w:r>
              <w:rPr>
                <w:rFonts w:ascii="Calibri" w:hAnsi="Calibri" w:eastAsia="Calibri"/>
                <w:b w:val="0"/>
                <w:i w:val="0"/>
                <w:color w:val="000000"/>
                <w:sz w:val="18"/>
              </w:rPr>
              <w:t xml:space="preserve">76,075 </w:t>
            </w:r>
          </w:p>
        </w:tc>
      </w:tr>
      <w:tr>
        <w:trPr>
          <w:trHeight w:hRule="exact" w:val="1132"/>
        </w:trPr>
        <w:tc>
          <w:tcPr>
            <w:tcW w:type="dxa" w:w="984"/>
            <w:tcBorders>
              <w:start w:sz="1.5999999999999943" w:val="single" w:color="#000000"/>
              <w:top w:sz="1.6000000000001364" w:val="single" w:color="#000000"/>
              <w:end w:sz="2.3999999999999773" w:val="single" w:color="#000000"/>
              <w:bottom w:sz="2.399999999999636" w:val="single" w:color="#000000"/>
            </w:tcBorders>
            <w:tcMar>
              <w:start w:w="0" w:type="dxa"/>
              <w:end w:w="0" w:type="dxa"/>
            </w:tcMar>
          </w:tcPr>
          <w:p>
            <w:pPr>
              <w:autoSpaceDN w:val="0"/>
              <w:autoSpaceDE w:val="0"/>
              <w:widowControl/>
              <w:spacing w:line="180" w:lineRule="exact" w:before="478" w:after="0"/>
              <w:ind w:left="132" w:right="0" w:firstLine="0"/>
              <w:jc w:val="left"/>
            </w:pPr>
            <w:r>
              <w:rPr>
                <w:rFonts w:ascii="宋体" w:hAnsi="宋体" w:eastAsia="宋体"/>
                <w:b w:val="0"/>
                <w:i w:val="0"/>
                <w:color w:val="000000"/>
                <w:sz w:val="18"/>
              </w:rPr>
              <w:t xml:space="preserve">山证资管 </w:t>
            </w:r>
          </w:p>
        </w:tc>
        <w:tc>
          <w:tcPr>
            <w:tcW w:type="dxa" w:w="640"/>
            <w:tcBorders>
              <w:start w:sz="2.3999999999999773" w:val="single" w:color="#000000"/>
              <w:top w:sz="1.6000000000001364" w:val="single" w:color="#000000"/>
              <w:end w:sz="2.3999999999999773" w:val="single" w:color="#000000"/>
              <w:bottom w:sz="2.399999999999636" w:val="single" w:color="#000000"/>
            </w:tcBorders>
            <w:tcMar>
              <w:start w:w="0" w:type="dxa"/>
              <w:end w:w="0" w:type="dxa"/>
            </w:tcMar>
          </w:tcPr>
          <w:p>
            <w:pPr>
              <w:autoSpaceDN w:val="0"/>
              <w:autoSpaceDE w:val="0"/>
              <w:widowControl/>
              <w:spacing w:line="240" w:lineRule="exact" w:before="298" w:after="0"/>
              <w:ind w:left="230" w:right="0" w:hanging="92"/>
              <w:jc w:val="left"/>
            </w:pPr>
            <w:r>
              <w:rPr>
                <w:rFonts w:ascii="宋体" w:hAnsi="宋体" w:eastAsia="宋体"/>
                <w:b w:val="0"/>
                <w:i w:val="0"/>
                <w:color w:val="000000"/>
                <w:sz w:val="18"/>
              </w:rPr>
              <w:t>子公</w:t>
            </w:r>
            <w:r>
              <w:rPr>
                <w:rFonts w:ascii="宋体" w:hAnsi="宋体" w:eastAsia="宋体"/>
                <w:b w:val="0"/>
                <w:i w:val="0"/>
                <w:color w:val="000000"/>
                <w:sz w:val="18"/>
              </w:rPr>
              <w:t xml:space="preserve">司 </w:t>
            </w:r>
          </w:p>
        </w:tc>
        <w:tc>
          <w:tcPr>
            <w:tcW w:type="dxa" w:w="2484"/>
            <w:tcBorders>
              <w:start w:sz="2.3999999999999773" w:val="single" w:color="#000000"/>
              <w:top w:sz="1.6000000000001364" w:val="single" w:color="#000000"/>
              <w:end w:sz="1.6000000000001364" w:val="single" w:color="#000000"/>
              <w:bottom w:sz="2.399999999999636" w:val="single" w:color="#000000"/>
            </w:tcBorders>
            <w:tcMar>
              <w:start w:w="0" w:type="dxa"/>
              <w:end w:w="0" w:type="dxa"/>
            </w:tcMar>
          </w:tcPr>
          <w:p>
            <w:pPr>
              <w:autoSpaceDN w:val="0"/>
              <w:autoSpaceDE w:val="0"/>
              <w:widowControl/>
              <w:spacing w:line="240" w:lineRule="exact" w:before="298" w:after="0"/>
              <w:ind w:left="106" w:right="0" w:firstLine="0"/>
              <w:jc w:val="left"/>
            </w:pPr>
            <w:r>
              <w:rPr>
                <w:rFonts w:ascii="宋体" w:hAnsi="宋体" w:eastAsia="宋体"/>
                <w:b w:val="0"/>
                <w:i w:val="0"/>
                <w:color w:val="000000"/>
                <w:sz w:val="18"/>
              </w:rPr>
              <w:t>证券业务（证券资产管理）；</w:t>
            </w:r>
            <w:r>
              <w:rPr>
                <w:rFonts w:ascii="宋体" w:hAnsi="宋体" w:eastAsia="宋体"/>
                <w:b w:val="0"/>
                <w:i w:val="0"/>
                <w:color w:val="000000"/>
                <w:sz w:val="18"/>
              </w:rPr>
              <w:t xml:space="preserve">公募基金管理业务。 </w:t>
            </w:r>
          </w:p>
        </w:tc>
        <w:tc>
          <w:tcPr>
            <w:tcW w:type="dxa" w:w="954"/>
            <w:tcBorders>
              <w:start w:sz="1.6000000000001364" w:val="single" w:color="#000000"/>
              <w:top w:sz="1.6000000000001364" w:val="single" w:color="#000000"/>
              <w:end w:sz="2.400000000000091" w:val="single" w:color="#000000"/>
              <w:bottom w:sz="2.399999999999636" w:val="single" w:color="#000000"/>
            </w:tcBorders>
            <w:tcMar>
              <w:start w:w="0" w:type="dxa"/>
              <w:end w:w="0" w:type="dxa"/>
            </w:tcMar>
          </w:tcPr>
          <w:p>
            <w:pPr>
              <w:autoSpaceDN w:val="0"/>
              <w:tabs>
                <w:tab w:pos="184" w:val="left"/>
              </w:tabs>
              <w:autoSpaceDE w:val="0"/>
              <w:widowControl/>
              <w:spacing w:line="240" w:lineRule="exact" w:before="298" w:after="0"/>
              <w:ind w:left="118" w:right="0" w:firstLine="0"/>
              <w:jc w:val="left"/>
            </w:pPr>
            <w:r>
              <w:rPr>
                <w:rFonts w:ascii="宋体" w:hAnsi="宋体" w:eastAsia="宋体"/>
                <w:b w:val="0"/>
                <w:i w:val="0"/>
                <w:color w:val="000000"/>
                <w:sz w:val="18"/>
              </w:rPr>
              <w:t>5.00 亿</w:t>
            </w:r>
            <w:r>
              <w:br/>
            </w:r>
            <w:r>
              <w:rPr>
                <w:rFonts w:ascii="宋体" w:hAnsi="宋体" w:eastAsia="宋体"/>
                <w:b w:val="0"/>
                <w:i w:val="0"/>
                <w:color w:val="000000"/>
                <w:sz w:val="18"/>
              </w:rPr>
              <w:t xml:space="preserve">元人民币 </w:t>
            </w:r>
          </w:p>
        </w:tc>
        <w:tc>
          <w:tcPr>
            <w:tcW w:type="dxa" w:w="1390"/>
            <w:tcBorders>
              <w:start w:sz="2.400000000000091" w:val="single" w:color="#000000"/>
              <w:top w:sz="1.6000000000001364"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496" w:after="0"/>
              <w:ind w:left="0" w:right="0" w:firstLine="0"/>
              <w:jc w:val="center"/>
            </w:pPr>
            <w:r>
              <w:rPr>
                <w:rFonts w:ascii="Calibri" w:hAnsi="Calibri" w:eastAsia="Calibri"/>
                <w:b w:val="0"/>
                <w:i w:val="0"/>
                <w:color w:val="000000"/>
                <w:sz w:val="18"/>
              </w:rPr>
              <w:t xml:space="preserve">576,894,000 </w:t>
            </w:r>
          </w:p>
        </w:tc>
        <w:tc>
          <w:tcPr>
            <w:tcW w:type="dxa" w:w="1380"/>
            <w:tcBorders>
              <w:start w:sz="2.400000000000091" w:val="single" w:color="#000000"/>
              <w:top w:sz="1.6000000000001364" w:val="single" w:color="#000000"/>
              <w:end w:sz="2.400000000000091" w:val="single" w:color="#000000"/>
              <w:bottom w:sz="2.399999999999636" w:val="single" w:color="#000000"/>
            </w:tcBorders>
            <w:tcMar>
              <w:start w:w="0" w:type="dxa"/>
              <w:end w:w="0" w:type="dxa"/>
            </w:tcMar>
          </w:tcPr>
          <w:p>
            <w:pPr>
              <w:autoSpaceDN w:val="0"/>
              <w:autoSpaceDE w:val="0"/>
              <w:widowControl/>
              <w:spacing w:line="197" w:lineRule="auto" w:before="496" w:after="0"/>
              <w:ind w:left="0" w:right="0" w:firstLine="0"/>
              <w:jc w:val="center"/>
            </w:pPr>
            <w:r>
              <w:rPr>
                <w:rFonts w:ascii="Calibri" w:hAnsi="Calibri" w:eastAsia="Calibri"/>
                <w:b w:val="0"/>
                <w:i w:val="0"/>
                <w:color w:val="000000"/>
                <w:sz w:val="18"/>
              </w:rPr>
              <w:t xml:space="preserve">568,898,567 </w:t>
            </w:r>
          </w:p>
        </w:tc>
        <w:tc>
          <w:tcPr>
            <w:tcW w:type="dxa" w:w="1228"/>
            <w:tcBorders>
              <w:start w:sz="2.400000000000091" w:val="single" w:color="#000000"/>
              <w:top w:sz="1.6000000000001364" w:val="single" w:color="#000000"/>
              <w:end w:sz="1.599999999999909" w:val="single" w:color="#000000"/>
              <w:bottom w:sz="2.399999999999636" w:val="single" w:color="#000000"/>
            </w:tcBorders>
            <w:tcMar>
              <w:start w:w="0" w:type="dxa"/>
              <w:end w:w="0" w:type="dxa"/>
            </w:tcMar>
          </w:tcPr>
          <w:p>
            <w:pPr>
              <w:autoSpaceDN w:val="0"/>
              <w:autoSpaceDE w:val="0"/>
              <w:widowControl/>
              <w:spacing w:line="197" w:lineRule="auto" w:before="496" w:after="0"/>
              <w:ind w:left="0" w:right="0" w:firstLine="0"/>
              <w:jc w:val="center"/>
            </w:pPr>
            <w:r>
              <w:rPr>
                <w:rFonts w:ascii="Calibri" w:hAnsi="Calibri" w:eastAsia="Calibri"/>
                <w:b w:val="0"/>
                <w:i w:val="0"/>
                <w:color w:val="000000"/>
                <w:sz w:val="18"/>
              </w:rPr>
              <w:t xml:space="preserve">168,071,576 </w:t>
            </w:r>
          </w:p>
        </w:tc>
        <w:tc>
          <w:tcPr>
            <w:tcW w:type="dxa" w:w="1302"/>
            <w:tcBorders>
              <w:start w:sz="1.599999999999909" w:val="single" w:color="#000000"/>
              <w:top w:sz="1.6000000000001364" w:val="single" w:color="#000000"/>
              <w:end w:sz="2.4000000000005457" w:val="single" w:color="#000000"/>
              <w:bottom w:sz="2.399999999999636" w:val="single" w:color="#000000"/>
            </w:tcBorders>
            <w:tcMar>
              <w:start w:w="0" w:type="dxa"/>
              <w:end w:w="0" w:type="dxa"/>
            </w:tcMar>
          </w:tcPr>
          <w:p>
            <w:pPr>
              <w:autoSpaceDN w:val="0"/>
              <w:autoSpaceDE w:val="0"/>
              <w:widowControl/>
              <w:spacing w:line="197" w:lineRule="auto" w:before="496" w:after="0"/>
              <w:ind w:left="0" w:right="0" w:firstLine="0"/>
              <w:jc w:val="center"/>
            </w:pPr>
            <w:r>
              <w:rPr>
                <w:rFonts w:ascii="Calibri" w:hAnsi="Calibri" w:eastAsia="Calibri"/>
                <w:b w:val="0"/>
                <w:i w:val="0"/>
                <w:color w:val="000000"/>
                <w:sz w:val="18"/>
              </w:rPr>
              <w:t xml:space="preserve">46,428,158 </w:t>
            </w:r>
          </w:p>
        </w:tc>
        <w:tc>
          <w:tcPr>
            <w:tcW w:type="dxa" w:w="1164"/>
            <w:tcBorders>
              <w:start w:sz="2.4000000000005457" w:val="single" w:color="#000000"/>
              <w:top w:sz="1.6000000000001364" w:val="single" w:color="#000000"/>
              <w:end w:sz="1.5999999999994543" w:val="single" w:color="#000000"/>
              <w:bottom w:sz="2.399999999999636" w:val="single" w:color="#000000"/>
            </w:tcBorders>
            <w:tcMar>
              <w:start w:w="0" w:type="dxa"/>
              <w:end w:w="0" w:type="dxa"/>
            </w:tcMar>
          </w:tcPr>
          <w:p>
            <w:pPr>
              <w:autoSpaceDN w:val="0"/>
              <w:autoSpaceDE w:val="0"/>
              <w:widowControl/>
              <w:spacing w:line="197" w:lineRule="auto" w:before="496" w:after="0"/>
              <w:ind w:left="0" w:right="0" w:firstLine="0"/>
              <w:jc w:val="center"/>
            </w:pPr>
            <w:r>
              <w:rPr>
                <w:rFonts w:ascii="Calibri" w:hAnsi="Calibri" w:eastAsia="Calibri"/>
                <w:b w:val="0"/>
                <w:i w:val="0"/>
                <w:color w:val="000000"/>
                <w:sz w:val="18"/>
              </w:rPr>
              <w:t xml:space="preserve">34,659,826 </w:t>
            </w:r>
          </w:p>
        </w:tc>
      </w:tr>
    </w:tbl>
    <w:p>
      <w:pPr>
        <w:autoSpaceDN w:val="0"/>
        <w:autoSpaceDE w:val="0"/>
        <w:widowControl/>
        <w:spacing w:line="180" w:lineRule="exact" w:before="134" w:after="0"/>
        <w:ind w:left="918" w:right="0" w:firstLine="0"/>
        <w:jc w:val="left"/>
      </w:pPr>
      <w:r>
        <w:rPr>
          <w:rFonts w:ascii="宋体" w:hAnsi="宋体" w:eastAsia="宋体"/>
          <w:b w:val="0"/>
          <w:i w:val="0"/>
          <w:color w:val="000000"/>
          <w:sz w:val="18"/>
        </w:rPr>
        <w:t xml:space="preserve">报告期内取得和处置子公司的情况 </w:t>
      </w:r>
    </w:p>
    <w:p>
      <w:pPr>
        <w:autoSpaceDN w:val="0"/>
        <w:autoSpaceDE w:val="0"/>
        <w:widowControl/>
        <w:spacing w:line="180" w:lineRule="exact" w:before="336" w:after="0"/>
        <w:ind w:left="1278" w:right="0" w:firstLine="0"/>
        <w:jc w:val="left"/>
      </w:pPr>
      <w:r>
        <w:rPr>
          <w:rFonts w:ascii="宋体" w:hAnsi="宋体" w:eastAsia="宋体"/>
          <w:b w:val="0"/>
          <w:i w:val="0"/>
          <w:color w:val="000000"/>
          <w:sz w:val="18"/>
        </w:rPr>
        <w:t>□适用 √不适用</w:t>
      </w:r>
    </w:p>
    <w:p>
      <w:pPr>
        <w:autoSpaceDN w:val="0"/>
        <w:tabs>
          <w:tab w:pos="1338" w:val="left"/>
          <w:tab w:pos="1340" w:val="left"/>
        </w:tabs>
        <w:autoSpaceDE w:val="0"/>
        <w:widowControl/>
        <w:spacing w:line="460" w:lineRule="exact" w:before="464" w:after="0"/>
        <w:ind w:left="918" w:right="864" w:firstLine="0"/>
        <w:jc w:val="left"/>
      </w:pPr>
      <w:r>
        <w:tab/>
      </w:r>
      <w:r>
        <w:rPr>
          <w:rFonts w:ascii="宋体" w:hAnsi="宋体" w:eastAsia="宋体"/>
          <w:b w:val="0"/>
          <w:i w:val="0"/>
          <w:color w:val="000000"/>
          <w:sz w:val="21"/>
        </w:rPr>
        <w:t xml:space="preserve">主要控股参股公司情况说明 </w:t>
      </w:r>
      <w:r>
        <w:br/>
      </w:r>
      <w:r>
        <w:tab/>
      </w:r>
      <w:r>
        <w:rPr>
          <w:rFonts w:ascii="宋体" w:hAnsi="宋体" w:eastAsia="宋体"/>
          <w:b w:val="0"/>
          <w:i w:val="0"/>
          <w:color w:val="000000"/>
          <w:sz w:val="21"/>
        </w:rPr>
        <w:t xml:space="preserve">1.中德证券有限责任公司 </w:t>
      </w:r>
      <w:r>
        <w:br/>
      </w:r>
      <w:r>
        <w:tab/>
      </w:r>
      <w:r>
        <w:rPr>
          <w:rFonts w:ascii="宋体" w:hAnsi="宋体" w:eastAsia="宋体"/>
          <w:b w:val="0"/>
          <w:i w:val="0"/>
          <w:color w:val="000000"/>
          <w:sz w:val="21"/>
        </w:rPr>
        <w:t>中德证券由公司与德意志银行合资设立，公司持有其66.70%的股权。中德证券主要从事股票和债券</w:t>
      </w:r>
      <w:r>
        <w:rPr>
          <w:rFonts w:ascii="宋体" w:hAnsi="宋体" w:eastAsia="宋体"/>
          <w:b w:val="0"/>
          <w:i w:val="0"/>
          <w:color w:val="000000"/>
          <w:sz w:val="21"/>
        </w:rPr>
        <w:t xml:space="preserve">的承销与保荐、并购重组等财务顾问业务。 </w:t>
      </w:r>
    </w:p>
    <w:p>
      <w:pPr>
        <w:autoSpaceDN w:val="0"/>
        <w:autoSpaceDE w:val="0"/>
        <w:widowControl/>
        <w:spacing w:line="460" w:lineRule="exact" w:before="2" w:after="0"/>
        <w:ind w:left="918" w:right="1002" w:firstLine="420"/>
        <w:jc w:val="both"/>
      </w:pPr>
      <w:r>
        <w:rPr>
          <w:rFonts w:ascii="宋体" w:hAnsi="宋体" w:eastAsia="宋体"/>
          <w:b w:val="0"/>
          <w:i w:val="0"/>
          <w:color w:val="000000"/>
          <w:sz w:val="21"/>
        </w:rPr>
        <w:t>报告期内，中德证券坚持“区域化、一体化”工作方针，深耕山西区域，加快其他重点区域的属地</w:t>
      </w:r>
      <w:r>
        <w:rPr>
          <w:rFonts w:ascii="宋体" w:hAnsi="宋体" w:eastAsia="宋体"/>
          <w:b w:val="0"/>
          <w:i w:val="0"/>
          <w:color w:val="000000"/>
          <w:sz w:val="21"/>
        </w:rPr>
        <w:t>化业务布局，夯实项目储备，立足功能发挥，加强能力建设，提升执业质量，强化母子公司协同联动，</w:t>
      </w:r>
      <w:r>
        <w:rPr>
          <w:rFonts w:ascii="宋体" w:hAnsi="宋体" w:eastAsia="宋体"/>
          <w:b w:val="0"/>
          <w:i w:val="0"/>
          <w:color w:val="000000"/>
          <w:sz w:val="21"/>
        </w:rPr>
        <w:t>加快业务转型，持续推动一体化综合金融服务，区域优势地位进一步巩固。报告期内，中德证券荣获证</w:t>
      </w:r>
      <w:r>
        <w:rPr>
          <w:rFonts w:ascii="宋体" w:hAnsi="宋体" w:eastAsia="宋体"/>
          <w:b w:val="0"/>
          <w:i w:val="0"/>
          <w:color w:val="000000"/>
          <w:sz w:val="21"/>
        </w:rPr>
        <w:t>券时报“债券融资投行君鼎奖”、“区域投行君鼎奖”，财联社“最佳金融创新服务奖”，每日经济新闻</w:t>
      </w:r>
      <w:r>
        <w:rPr>
          <w:rFonts w:ascii="宋体" w:hAnsi="宋体" w:eastAsia="宋体"/>
          <w:b w:val="0"/>
          <w:i w:val="0"/>
          <w:color w:val="000000"/>
          <w:sz w:val="21"/>
        </w:rPr>
        <w:t xml:space="preserve">“2024 新锐投行债券承销商”，中国经营报“2024 卓越竞争力乡村振兴贡献证券公司”等荣誉。 </w:t>
      </w:r>
    </w:p>
    <w:p>
      <w:pPr>
        <w:autoSpaceDN w:val="0"/>
        <w:tabs>
          <w:tab w:pos="1338" w:val="left"/>
          <w:tab w:pos="1340" w:val="left"/>
        </w:tabs>
        <w:autoSpaceDE w:val="0"/>
        <w:widowControl/>
        <w:spacing w:line="460" w:lineRule="exact" w:before="0" w:after="0"/>
        <w:ind w:left="918" w:right="864" w:firstLine="0"/>
        <w:jc w:val="left"/>
      </w:pPr>
      <w:r>
        <w:tab/>
      </w:r>
      <w:r>
        <w:rPr>
          <w:rFonts w:ascii="宋体" w:hAnsi="宋体" w:eastAsia="宋体"/>
          <w:b w:val="0"/>
          <w:i w:val="0"/>
          <w:color w:val="000000"/>
          <w:sz w:val="21"/>
        </w:rPr>
        <w:t xml:space="preserve">2.格林大华期货有限公司 </w:t>
      </w:r>
      <w:r>
        <w:br/>
      </w:r>
      <w:r>
        <w:tab/>
      </w:r>
      <w:r>
        <w:rPr>
          <w:rFonts w:ascii="宋体" w:hAnsi="宋体" w:eastAsia="宋体"/>
          <w:b w:val="0"/>
          <w:i w:val="0"/>
          <w:color w:val="000000"/>
          <w:sz w:val="21"/>
        </w:rPr>
        <w:t>格林大华是公司全资期货子公司，主要从事商品期货经纪、金融期货经纪、期货投资咨询及资产管</w:t>
      </w:r>
      <w:r>
        <w:rPr>
          <w:rFonts w:ascii="宋体" w:hAnsi="宋体" w:eastAsia="宋体"/>
          <w:b w:val="0"/>
          <w:i w:val="0"/>
          <w:color w:val="000000"/>
          <w:sz w:val="21"/>
        </w:rPr>
        <w:t xml:space="preserve">理等业务。 </w:t>
      </w:r>
    </w:p>
    <w:p>
      <w:pPr>
        <w:autoSpaceDN w:val="0"/>
        <w:autoSpaceDE w:val="0"/>
        <w:widowControl/>
        <w:spacing w:line="460" w:lineRule="exact" w:before="0" w:after="0"/>
        <w:ind w:left="918" w:right="720" w:firstLine="420"/>
        <w:jc w:val="left"/>
      </w:pPr>
      <w:r>
        <w:rPr>
          <w:rFonts w:ascii="宋体" w:hAnsi="宋体" w:eastAsia="宋体"/>
          <w:b w:val="0"/>
          <w:i w:val="0"/>
          <w:color w:val="000000"/>
          <w:sz w:val="21"/>
        </w:rPr>
        <w:t>报告期内，格林大华顺应期货行业发展趋势，立足全牌照业务布局优势，围绕吕梁生猪“保险+期货”</w:t>
      </w:r>
      <w:r>
        <w:rPr>
          <w:rFonts w:ascii="宋体" w:hAnsi="宋体" w:eastAsia="宋体"/>
          <w:b w:val="0"/>
          <w:i w:val="0"/>
          <w:color w:val="000000"/>
          <w:sz w:val="21"/>
        </w:rPr>
        <w:t>试点项目、黑色生态圈建设等重点工作持续发力。着力服务中小企业，深入开展“走千企送服务”。持续</w:t>
      </w:r>
      <w:r>
        <w:rPr>
          <w:rFonts w:ascii="宋体" w:hAnsi="宋体" w:eastAsia="宋体"/>
          <w:b w:val="0"/>
          <w:i w:val="0"/>
          <w:color w:val="000000"/>
          <w:sz w:val="21"/>
        </w:rPr>
        <w:t xml:space="preserve">扩大新疆地区“保险+期货”业务规模。 </w:t>
      </w:r>
    </w:p>
    <w:p>
      <w:pPr>
        <w:autoSpaceDN w:val="0"/>
        <w:tabs>
          <w:tab w:pos="1338" w:val="left"/>
          <w:tab w:pos="1340" w:val="left"/>
        </w:tabs>
        <w:autoSpaceDE w:val="0"/>
        <w:widowControl/>
        <w:spacing w:line="460" w:lineRule="exact" w:before="0" w:after="0"/>
        <w:ind w:left="918" w:right="864" w:firstLine="0"/>
        <w:jc w:val="left"/>
      </w:pPr>
      <w:r>
        <w:tab/>
      </w:r>
      <w:r>
        <w:rPr>
          <w:rFonts w:ascii="宋体" w:hAnsi="宋体" w:eastAsia="宋体"/>
          <w:b w:val="0"/>
          <w:i w:val="0"/>
          <w:color w:val="000000"/>
          <w:sz w:val="21"/>
        </w:rPr>
        <w:t xml:space="preserve">3.山证投资有限责任公司 </w:t>
      </w:r>
      <w:r>
        <w:br/>
      </w:r>
      <w:r>
        <w:tab/>
      </w:r>
      <w:r>
        <w:rPr>
          <w:rFonts w:ascii="宋体" w:hAnsi="宋体" w:eastAsia="宋体"/>
          <w:b w:val="0"/>
          <w:i w:val="0"/>
          <w:color w:val="000000"/>
          <w:sz w:val="21"/>
        </w:rPr>
        <w:t>山证投资是公司全资子公司，主要从事私募股权投资业务。报告期内，山证投资持续推进项目储备</w:t>
      </w:r>
      <w:r>
        <w:rPr>
          <w:rFonts w:ascii="宋体" w:hAnsi="宋体" w:eastAsia="宋体"/>
          <w:b w:val="0"/>
          <w:i w:val="0"/>
          <w:color w:val="000000"/>
          <w:sz w:val="21"/>
        </w:rPr>
        <w:t xml:space="preserve">及市场化基金募集，积极参与省内优质项目挖掘和政府引导基金的设立筹备。 </w:t>
      </w:r>
    </w:p>
    <w:p>
      <w:pPr>
        <w:autoSpaceDN w:val="0"/>
        <w:autoSpaceDE w:val="0"/>
        <w:widowControl/>
        <w:spacing w:line="197" w:lineRule="auto" w:before="754" w:after="0"/>
        <w:ind w:left="0" w:right="0" w:firstLine="0"/>
        <w:jc w:val="center"/>
      </w:pPr>
      <w:r>
        <w:rPr>
          <w:rFonts w:ascii="Calibri" w:hAnsi="Calibri" w:eastAsia="Calibri"/>
          <w:b w:val="0"/>
          <w:i w:val="0"/>
          <w:color w:val="000000"/>
          <w:sz w:val="18"/>
        </w:rPr>
        <w:t xml:space="preserve">51 </w:t>
      </w:r>
    </w:p>
    <w:p>
      <w:pPr>
        <w:sectPr>
          <w:pgSz w:w="11904" w:h="16841"/>
          <w:pgMar w:top="424" w:right="138" w:bottom="446" w:left="216"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4" name="Picture 5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tabs>
          <w:tab w:pos="450" w:val="left"/>
          <w:tab w:pos="452" w:val="left"/>
        </w:tabs>
        <w:autoSpaceDE w:val="0"/>
        <w:widowControl/>
        <w:spacing w:line="448" w:lineRule="exact" w:before="0" w:after="0"/>
        <w:ind w:left="30" w:right="0" w:firstLine="0"/>
        <w:jc w:val="left"/>
      </w:pPr>
      <w:r>
        <w:tab/>
      </w:r>
      <w:r>
        <w:rPr>
          <w:rFonts w:ascii="宋体" w:hAnsi="宋体" w:eastAsia="宋体"/>
          <w:b w:val="0"/>
          <w:i w:val="0"/>
          <w:color w:val="000000"/>
          <w:sz w:val="21"/>
        </w:rPr>
        <w:t xml:space="preserve">4.山证国际金融控股有限公司 </w:t>
      </w:r>
      <w:r>
        <w:br/>
      </w:r>
      <w:r>
        <w:tab/>
      </w:r>
      <w:r>
        <w:rPr>
          <w:rFonts w:ascii="宋体" w:hAnsi="宋体" w:eastAsia="宋体"/>
          <w:b w:val="0"/>
          <w:i w:val="0"/>
          <w:color w:val="000000"/>
          <w:sz w:val="21"/>
        </w:rPr>
        <w:t>山证国际是公司境外全资子公司。报告期内，山证国际立足国际业务平台功能，聚焦投资银行、财</w:t>
      </w:r>
      <w:r>
        <w:rPr>
          <w:rFonts w:ascii="宋体" w:hAnsi="宋体" w:eastAsia="宋体"/>
          <w:b w:val="0"/>
          <w:i w:val="0"/>
          <w:color w:val="000000"/>
          <w:sz w:val="21"/>
        </w:rPr>
        <w:t>富管理和FICC 等重点领域，优化完善业务运营体系，全面加强与母公司的业务协同联动，持续打造跨境、</w:t>
      </w:r>
      <w:r>
        <w:rPr>
          <w:rFonts w:ascii="宋体" w:hAnsi="宋体" w:eastAsia="宋体"/>
          <w:b w:val="0"/>
          <w:i w:val="0"/>
          <w:color w:val="000000"/>
          <w:sz w:val="21"/>
        </w:rPr>
        <w:t xml:space="preserve">跨部门、多途径、多策略业务拓展模式。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5.山证创新投资有限公司 </w:t>
      </w:r>
      <w:r>
        <w:br/>
      </w:r>
      <w:r>
        <w:tab/>
      </w:r>
      <w:r>
        <w:rPr>
          <w:rFonts w:ascii="宋体" w:hAnsi="宋体" w:eastAsia="宋体"/>
          <w:b w:val="0"/>
          <w:i w:val="0"/>
          <w:color w:val="000000"/>
          <w:sz w:val="21"/>
        </w:rPr>
        <w:t>山证创新是公司全资子公司，主要从事另类投资业务。报告期内，山证创新立足主责主业，优化完</w:t>
      </w:r>
      <w:r>
        <w:rPr>
          <w:rFonts w:ascii="宋体" w:hAnsi="宋体" w:eastAsia="宋体"/>
          <w:b w:val="0"/>
          <w:i w:val="0"/>
          <w:color w:val="000000"/>
          <w:sz w:val="21"/>
        </w:rPr>
        <w:t>善投资管理体系，聚焦第三代半导体、人工智能算力基础设施、卫星互联网等行业，加强同业机构合作，</w:t>
      </w:r>
      <w:r>
        <w:rPr>
          <w:rFonts w:ascii="宋体" w:hAnsi="宋体" w:eastAsia="宋体"/>
          <w:b w:val="0"/>
          <w:i w:val="0"/>
          <w:color w:val="000000"/>
          <w:sz w:val="21"/>
        </w:rPr>
        <w:t xml:space="preserve">遴选优质项目，持续开展投前、投后管理。 </w:t>
      </w:r>
    </w:p>
    <w:p>
      <w:pPr>
        <w:autoSpaceDN w:val="0"/>
        <w:tabs>
          <w:tab w:pos="450" w:val="left"/>
          <w:tab w:pos="452"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6.山证科技（深圳）有限公司 </w:t>
      </w:r>
      <w:r>
        <w:br/>
      </w:r>
      <w:r>
        <w:tab/>
      </w:r>
      <w:r>
        <w:rPr>
          <w:rFonts w:ascii="宋体" w:hAnsi="宋体" w:eastAsia="宋体"/>
          <w:b w:val="0"/>
          <w:i w:val="0"/>
          <w:color w:val="000000"/>
          <w:sz w:val="21"/>
        </w:rPr>
        <w:t>山证科技是公司科技类全资子公司，主要从事计算机软件、信息系统软件的开发、销售，信息系统</w:t>
      </w:r>
      <w:r>
        <w:rPr>
          <w:rFonts w:ascii="宋体" w:hAnsi="宋体" w:eastAsia="宋体"/>
          <w:b w:val="0"/>
          <w:i w:val="0"/>
          <w:color w:val="000000"/>
          <w:sz w:val="21"/>
        </w:rPr>
        <w:t xml:space="preserve">设计、集成、运行维护，信息技术咨询，日常安全管理及数据管理。 </w:t>
      </w:r>
    </w:p>
    <w:p>
      <w:pPr>
        <w:autoSpaceDN w:val="0"/>
        <w:autoSpaceDE w:val="0"/>
        <w:widowControl/>
        <w:spacing w:line="460" w:lineRule="exact" w:before="0" w:after="0"/>
        <w:ind w:left="30" w:right="414" w:firstLine="420"/>
        <w:jc w:val="both"/>
      </w:pPr>
      <w:r>
        <w:rPr>
          <w:rFonts w:ascii="宋体" w:hAnsi="宋体" w:eastAsia="宋体"/>
          <w:b w:val="0"/>
          <w:i w:val="0"/>
          <w:color w:val="000000"/>
          <w:sz w:val="21"/>
        </w:rPr>
        <w:t>报告期内，山证科技立足公司差异化高质量发展规划，加强自主核心能力建设，聚焦重点业务、重</w:t>
      </w:r>
      <w:r>
        <w:rPr>
          <w:rFonts w:ascii="宋体" w:hAnsi="宋体" w:eastAsia="宋体"/>
          <w:b w:val="0"/>
          <w:i w:val="0"/>
          <w:color w:val="000000"/>
          <w:sz w:val="21"/>
        </w:rPr>
        <w:t>要环节及客户体验、安全运营等，加大投入，集中优势力量，加快推进科技赋能，打造数字化业务及管</w:t>
      </w:r>
      <w:r>
        <w:rPr>
          <w:rFonts w:ascii="宋体" w:hAnsi="宋体" w:eastAsia="宋体"/>
          <w:b w:val="0"/>
          <w:i w:val="0"/>
          <w:color w:val="000000"/>
          <w:sz w:val="21"/>
        </w:rPr>
        <w:t>理能力，为公司稳健经营保驾护航。</w:t>
      </w:r>
    </w:p>
    <w:p>
      <w:pPr>
        <w:autoSpaceDN w:val="0"/>
        <w:autoSpaceDE w:val="0"/>
        <w:widowControl/>
        <w:spacing w:line="210" w:lineRule="exact" w:before="174" w:after="0"/>
        <w:ind w:left="452" w:right="0" w:firstLine="0"/>
        <w:jc w:val="left"/>
      </w:pPr>
      <w:r>
        <w:rPr>
          <w:rFonts w:ascii="宋体" w:hAnsi="宋体" w:eastAsia="宋体"/>
          <w:b w:val="0"/>
          <w:i w:val="0"/>
          <w:color w:val="000000"/>
          <w:sz w:val="21"/>
        </w:rPr>
        <w:t xml:space="preserve">7.山证（上海）资产管理有限公司 </w:t>
      </w:r>
    </w:p>
    <w:p>
      <w:pPr>
        <w:autoSpaceDN w:val="0"/>
        <w:autoSpaceDE w:val="0"/>
        <w:widowControl/>
        <w:spacing w:line="460" w:lineRule="exact" w:before="56" w:after="0"/>
        <w:ind w:left="30" w:right="144" w:firstLine="420"/>
        <w:jc w:val="left"/>
      </w:pPr>
      <w:r>
        <w:rPr>
          <w:rFonts w:ascii="宋体" w:hAnsi="宋体" w:eastAsia="宋体"/>
          <w:b w:val="0"/>
          <w:i w:val="0"/>
          <w:color w:val="000000"/>
          <w:sz w:val="21"/>
        </w:rPr>
        <w:t>山证资管是公司全资子公司，主要从事证券资产管理、公开募集证券投资基金管理业务。报告期内，</w:t>
      </w:r>
      <w:r>
        <w:rPr>
          <w:rFonts w:ascii="宋体" w:hAnsi="宋体" w:eastAsia="宋体"/>
          <w:b w:val="0"/>
          <w:i w:val="0"/>
          <w:color w:val="000000"/>
          <w:sz w:val="21"/>
        </w:rPr>
        <w:t>山证资管聚焦投研、销售、运营等重要环节，强化团队能力建设，在稳定固收及“固收+”模式下，持</w:t>
      </w:r>
      <w:r>
        <w:rPr>
          <w:rFonts w:ascii="宋体" w:hAnsi="宋体" w:eastAsia="宋体"/>
          <w:b w:val="0"/>
          <w:i w:val="0"/>
          <w:color w:val="000000"/>
          <w:sz w:val="21"/>
        </w:rPr>
        <w:t>续优化产品创设和营销服务体系，多资产布局，多渠道营销，推进资产管理业务可持续健康发展。</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十一、公司控制的结构化主体情况 </w:t>
      </w:r>
    </w:p>
    <w:p>
      <w:pPr>
        <w:autoSpaceDN w:val="0"/>
        <w:autoSpaceDE w:val="0"/>
        <w:widowControl/>
        <w:spacing w:line="460" w:lineRule="exact" w:before="268" w:after="0"/>
        <w:ind w:left="30" w:right="234" w:firstLine="420"/>
        <w:jc w:val="both"/>
      </w:pPr>
      <w:r>
        <w:rPr>
          <w:rFonts w:ascii="宋体" w:hAnsi="宋体" w:eastAsia="宋体"/>
          <w:b w:val="0"/>
          <w:i w:val="0"/>
          <w:color w:val="000000"/>
          <w:sz w:val="21"/>
        </w:rPr>
        <w:t>在确定是否合并结构化主体时，公司主要考虑对这些主体（包括私募基金和资产管理计划）是否具</w:t>
      </w:r>
      <w:r>
        <w:rPr>
          <w:rFonts w:ascii="宋体" w:hAnsi="宋体" w:eastAsia="宋体"/>
          <w:b w:val="0"/>
          <w:i w:val="0"/>
          <w:color w:val="000000"/>
          <w:sz w:val="21"/>
        </w:rPr>
        <w:t>有控制权。公司作为私募基金、资产管理计划的管理人或通过合同协议拥有对该结构化主体的权力时，</w:t>
      </w:r>
      <w:r>
        <w:rPr>
          <w:rFonts w:ascii="宋体" w:hAnsi="宋体" w:eastAsia="宋体"/>
          <w:b w:val="0"/>
          <w:i w:val="0"/>
          <w:color w:val="000000"/>
          <w:sz w:val="21"/>
        </w:rPr>
        <w:t>公司将综合考虑其在结构化主体中拥有的相关权力、取得的投资收益和管理费收入等全部可变回报，以</w:t>
      </w:r>
      <w:r>
        <w:rPr>
          <w:rFonts w:ascii="宋体" w:hAnsi="宋体" w:eastAsia="宋体"/>
          <w:b w:val="0"/>
          <w:i w:val="0"/>
          <w:color w:val="000000"/>
          <w:sz w:val="21"/>
        </w:rPr>
        <w:t>及作为结构化主体的管理人在何种情况下可以被替换等因素对公司是否控制结构化主体作出综合判断。</w:t>
      </w:r>
      <w:r>
        <w:rPr>
          <w:rFonts w:ascii="宋体" w:hAnsi="宋体" w:eastAsia="宋体"/>
          <w:b w:val="0"/>
          <w:i w:val="0"/>
          <w:color w:val="000000"/>
          <w:sz w:val="21"/>
        </w:rPr>
        <w:t>如果公司面临的可变回报的风险重大并且公司对于结构化主体的权力将影响公司取得的可变回报时，公</w:t>
      </w:r>
      <w:r>
        <w:rPr>
          <w:rFonts w:ascii="宋体" w:hAnsi="宋体" w:eastAsia="宋体"/>
          <w:b w:val="0"/>
          <w:i w:val="0"/>
          <w:color w:val="000000"/>
          <w:sz w:val="21"/>
        </w:rPr>
        <w:t>司合并该等结构化主体，详见本报告第十节</w:t>
      </w:r>
      <w:r>
        <w:rPr>
          <w:rFonts w:ascii="宋体" w:hAnsi="宋体" w:eastAsia="宋体"/>
          <w:b w:val="0"/>
          <w:i w:val="0"/>
          <w:color w:val="000000"/>
          <w:sz w:val="21"/>
        </w:rPr>
        <w:t>“财务报告附注‘附注七、2’”。</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十二、公司未来发展的展望 </w:t>
      </w:r>
    </w:p>
    <w:p>
      <w:pPr>
        <w:autoSpaceDN w:val="0"/>
        <w:autoSpaceDE w:val="0"/>
        <w:widowControl/>
        <w:spacing w:line="212" w:lineRule="exact" w:before="514" w:after="0"/>
        <w:ind w:left="452" w:right="0" w:firstLine="0"/>
        <w:jc w:val="left"/>
      </w:pPr>
      <w:r>
        <w:rPr>
          <w:rFonts w:ascii="宋体" w:hAnsi="宋体" w:eastAsia="宋体"/>
          <w:b w:val="0"/>
          <w:i w:val="0"/>
          <w:color w:val="000000"/>
          <w:sz w:val="21"/>
        </w:rPr>
        <w:t>（一）</w:t>
      </w:r>
      <w:r>
        <w:rPr>
          <w:rFonts w:ascii="宋体" w:hAnsi="宋体" w:eastAsia="宋体"/>
          <w:b w:val="0"/>
          <w:i w:val="0"/>
          <w:color w:val="000000"/>
          <w:sz w:val="21"/>
        </w:rPr>
        <w:t xml:space="preserve">证券行业发展趋势和竞争格局 </w:t>
      </w:r>
    </w:p>
    <w:p>
      <w:pPr>
        <w:autoSpaceDN w:val="0"/>
        <w:autoSpaceDE w:val="0"/>
        <w:widowControl/>
        <w:spacing w:line="197" w:lineRule="auto" w:before="882" w:after="0"/>
        <w:ind w:left="0" w:right="4922" w:firstLine="0"/>
        <w:jc w:val="right"/>
      </w:pPr>
      <w:r>
        <w:rPr>
          <w:rFonts w:ascii="Calibri" w:hAnsi="Calibri" w:eastAsia="Calibri"/>
          <w:b w:val="0"/>
          <w:i w:val="0"/>
          <w:color w:val="000000"/>
          <w:sz w:val="18"/>
        </w:rPr>
        <w:t xml:space="preserve">52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5" name="Picture 5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44" w:lineRule="exact" w:before="0" w:after="0"/>
        <w:ind w:left="30" w:right="0" w:firstLine="420"/>
        <w:jc w:val="left"/>
      </w:pPr>
      <w:r>
        <w:rPr>
          <w:rFonts w:ascii="宋体" w:hAnsi="宋体" w:eastAsia="宋体"/>
          <w:b w:val="0"/>
          <w:i w:val="0"/>
          <w:color w:val="000000"/>
          <w:sz w:val="21"/>
        </w:rPr>
        <w:t>党的二十届三中全会确立“防风险、强监管，促发展”资本市场改革发展主线。新“国九条”、</w:t>
      </w:r>
      <w:r>
        <w:rPr>
          <w:rFonts w:ascii="宋体" w:hAnsi="宋体" w:eastAsia="宋体"/>
          <w:b w:val="0"/>
          <w:i w:val="0"/>
          <w:color w:val="000000"/>
          <w:sz w:val="21"/>
        </w:rPr>
        <w:t>“1+N”政策体系加速落地见效，具有中国特色的资本市场高质量发展的制度体系和监管逻辑逐步健全，</w:t>
      </w:r>
      <w:r>
        <w:rPr>
          <w:rFonts w:ascii="宋体" w:hAnsi="宋体" w:eastAsia="宋体"/>
          <w:b w:val="0"/>
          <w:i w:val="0"/>
          <w:color w:val="000000"/>
          <w:sz w:val="21"/>
        </w:rPr>
        <w:t xml:space="preserve">证券行业进入崭新的发展周期。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作为资本市场“看门人”，直接融资“服务商”，社会财富“管理者”，资本市场建设的重要参与者，</w:t>
      </w:r>
      <w:r>
        <w:rPr>
          <w:rFonts w:ascii="宋体" w:hAnsi="宋体" w:eastAsia="宋体"/>
          <w:b w:val="0"/>
          <w:i w:val="0"/>
          <w:color w:val="000000"/>
          <w:sz w:val="21"/>
        </w:rPr>
        <w:t>证券公司立足金融工作的政治性、人民性，充分发挥功能性作用，全面投身金融强国建设，是职责所在，</w:t>
      </w:r>
      <w:r>
        <w:rPr>
          <w:rFonts w:ascii="宋体" w:hAnsi="宋体" w:eastAsia="宋体"/>
          <w:b w:val="0"/>
          <w:i w:val="0"/>
          <w:color w:val="000000"/>
          <w:sz w:val="21"/>
        </w:rPr>
        <w:t>也是实现自身高质量发展的根本所在。 一是证券公司坚守主责主业，围绕做好“五篇大文章”、服务新</w:t>
      </w:r>
      <w:r>
        <w:rPr>
          <w:rFonts w:ascii="宋体" w:hAnsi="宋体" w:eastAsia="宋体"/>
          <w:b w:val="0"/>
          <w:i w:val="0"/>
          <w:color w:val="000000"/>
          <w:sz w:val="21"/>
        </w:rPr>
        <w:t>质生产力，加快组织创新、业务创新、产品创新，构建功能丰富融合、协同优良高效的资本市场综合服</w:t>
      </w:r>
      <w:r>
        <w:rPr>
          <w:rFonts w:ascii="宋体" w:hAnsi="宋体" w:eastAsia="宋体"/>
          <w:b w:val="0"/>
          <w:i w:val="0"/>
          <w:color w:val="000000"/>
          <w:sz w:val="21"/>
        </w:rPr>
        <w:t>务平台，形成内外一体化、产品多元化、服务综合化的业务联动格局，持续提升服务实体经济的质效，</w:t>
      </w:r>
      <w:r>
        <w:rPr>
          <w:rFonts w:ascii="宋体" w:hAnsi="宋体" w:eastAsia="宋体"/>
          <w:b w:val="0"/>
          <w:i w:val="0"/>
          <w:color w:val="000000"/>
          <w:sz w:val="21"/>
        </w:rPr>
        <w:t>不断夯实自身高质量发展的基础。二是金融科技的发展正在加速塑造证券行业的创新生态，基于人工智</w:t>
      </w:r>
      <w:r>
        <w:rPr>
          <w:rFonts w:ascii="宋体" w:hAnsi="宋体" w:eastAsia="宋体"/>
          <w:b w:val="0"/>
          <w:i w:val="0"/>
          <w:color w:val="000000"/>
          <w:sz w:val="21"/>
        </w:rPr>
        <w:t>能的数字化客户服务、智能化运营管理和投资研究、智能化平台化管理和业务平台能够有效提升运营效</w:t>
      </w:r>
      <w:r>
        <w:rPr>
          <w:rFonts w:ascii="宋体" w:hAnsi="宋体" w:eastAsia="宋体"/>
          <w:b w:val="0"/>
          <w:i w:val="0"/>
          <w:color w:val="000000"/>
          <w:sz w:val="21"/>
        </w:rPr>
        <w:t>率，提高服务能力，加快科技赋能，实现数字化转型已经成为证券公司高质量发展的“必答题”。三是</w:t>
      </w:r>
      <w:r>
        <w:rPr>
          <w:rFonts w:ascii="宋体" w:hAnsi="宋体" w:eastAsia="宋体"/>
          <w:b w:val="0"/>
          <w:i w:val="0"/>
          <w:color w:val="000000"/>
          <w:sz w:val="21"/>
        </w:rPr>
        <w:t>围绕建设一流投资银行和投资机构的目标，证券公司立足功能发挥和资源禀赋，加快构建适应自身实际</w:t>
      </w:r>
      <w:r>
        <w:rPr>
          <w:rFonts w:ascii="宋体" w:hAnsi="宋体" w:eastAsia="宋体"/>
          <w:b w:val="0"/>
          <w:i w:val="0"/>
          <w:color w:val="000000"/>
          <w:sz w:val="21"/>
        </w:rPr>
        <w:t>的发展模式，行业内并购重组加快，内生式发展和外延式增长共同促进行业生态演变。头部机构凭借较</w:t>
      </w:r>
      <w:r>
        <w:rPr>
          <w:rFonts w:ascii="宋体" w:hAnsi="宋体" w:eastAsia="宋体"/>
          <w:b w:val="0"/>
          <w:i w:val="0"/>
          <w:color w:val="000000"/>
          <w:sz w:val="21"/>
        </w:rPr>
        <w:t>强的资本实力、业务结构和布局做优做强，中小机构则在差异化发展、特色化经营方面深耕细作。四是</w:t>
      </w:r>
      <w:r>
        <w:rPr>
          <w:rFonts w:ascii="宋体" w:hAnsi="宋体" w:eastAsia="宋体"/>
          <w:b w:val="0"/>
          <w:i w:val="0"/>
          <w:color w:val="000000"/>
          <w:sz w:val="21"/>
        </w:rPr>
        <w:t>坚持把防控风险作为金融工作的永恒主题，把所有金融活动全部纳入监管，全面强化机构监管、行为监</w:t>
      </w:r>
      <w:r>
        <w:rPr>
          <w:rFonts w:ascii="宋体" w:hAnsi="宋体" w:eastAsia="宋体"/>
          <w:b w:val="0"/>
          <w:i w:val="0"/>
          <w:color w:val="000000"/>
          <w:sz w:val="21"/>
        </w:rPr>
        <w:t>管、功能监管、穿透式监管、持续监管，规范金融市场发行和交易行为，确保各项业务稳健可持续发展，</w:t>
      </w:r>
      <w:r>
        <w:rPr>
          <w:rFonts w:ascii="宋体" w:hAnsi="宋体" w:eastAsia="宋体"/>
          <w:b w:val="0"/>
          <w:i w:val="0"/>
          <w:color w:val="000000"/>
          <w:sz w:val="21"/>
        </w:rPr>
        <w:t>是证券行业高质量健康发展的必然选择。证券公司适应资本市场深化改革的进程，牢固树立底线思维，</w:t>
      </w:r>
      <w:r>
        <w:rPr>
          <w:rFonts w:ascii="宋体" w:hAnsi="宋体" w:eastAsia="宋体"/>
          <w:b w:val="0"/>
          <w:i w:val="0"/>
          <w:color w:val="000000"/>
          <w:sz w:val="21"/>
        </w:rPr>
        <w:t>构建完善全面风险管控机制，坚持“看不清、管不住则不展业”的原则，确保各项业务风险可测、可控、</w:t>
      </w:r>
      <w:r>
        <w:rPr>
          <w:rFonts w:ascii="宋体" w:hAnsi="宋体" w:eastAsia="宋体"/>
          <w:b w:val="0"/>
          <w:i w:val="0"/>
          <w:color w:val="000000"/>
          <w:sz w:val="21"/>
        </w:rPr>
        <w:t xml:space="preserve">可承受。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(二)公司面临的机遇与挑战 </w:t>
      </w:r>
      <w:r>
        <w:br/>
      </w:r>
      <w:r>
        <w:tab/>
      </w:r>
      <w:r>
        <w:rPr>
          <w:rFonts w:ascii="宋体" w:hAnsi="宋体" w:eastAsia="宋体"/>
          <w:b w:val="0"/>
          <w:i w:val="0"/>
          <w:color w:val="000000"/>
          <w:sz w:val="21"/>
        </w:rPr>
        <w:t>面对世界百年未有之大变局，充分研判和应对内外部不确定因素，全面深化改革，我国经济进入新</w:t>
      </w:r>
      <w:r>
        <w:rPr>
          <w:rFonts w:ascii="宋体" w:hAnsi="宋体" w:eastAsia="宋体"/>
          <w:b w:val="0"/>
          <w:i w:val="0"/>
          <w:color w:val="000000"/>
          <w:sz w:val="21"/>
        </w:rPr>
        <w:t>的发展阶段，中国特色现代资本市场的包容性、适应性和内在稳定性持续增强。证券经营机构聚焦功能</w:t>
      </w:r>
      <w:r>
        <w:rPr>
          <w:rFonts w:ascii="宋体" w:hAnsi="宋体" w:eastAsia="宋体"/>
          <w:b w:val="0"/>
          <w:i w:val="0"/>
          <w:color w:val="000000"/>
          <w:sz w:val="21"/>
        </w:rPr>
        <w:t>发挥，创新金融工具，完善业务体系，提升服务能力，支持科技创新、服务新质生产力、做好“五篇大</w:t>
      </w:r>
      <w:r>
        <w:rPr>
          <w:rFonts w:ascii="宋体" w:hAnsi="宋体" w:eastAsia="宋体"/>
          <w:b w:val="0"/>
          <w:i w:val="0"/>
          <w:color w:val="000000"/>
          <w:sz w:val="21"/>
        </w:rPr>
        <w:t>文章”，在更好服务实体经济和人民生活的同时，努力实现可持续健康发展。聚焦客户境内外投融资、</w:t>
      </w:r>
      <w:r>
        <w:rPr>
          <w:rFonts w:ascii="宋体" w:hAnsi="宋体" w:eastAsia="宋体"/>
          <w:b w:val="0"/>
          <w:i w:val="0"/>
          <w:color w:val="000000"/>
          <w:sz w:val="21"/>
        </w:rPr>
        <w:t>资产配置、财富管理、套期保值等需求，丰富产品和工具，构建核心能力，成为证券公司重要发展领域。</w:t>
      </w:r>
    </w:p>
    <w:p>
      <w:pPr>
        <w:autoSpaceDN w:val="0"/>
        <w:autoSpaceDE w:val="0"/>
        <w:widowControl/>
        <w:spacing w:line="460" w:lineRule="exact" w:before="0" w:after="0"/>
        <w:ind w:left="30" w:right="144" w:firstLine="0"/>
        <w:jc w:val="left"/>
      </w:pPr>
      <w:r>
        <w:rPr>
          <w:rFonts w:ascii="宋体" w:hAnsi="宋体" w:eastAsia="宋体"/>
          <w:b w:val="0"/>
          <w:i w:val="0"/>
          <w:color w:val="000000"/>
          <w:sz w:val="21"/>
        </w:rPr>
        <w:t>同时，一揽子增量政策的落地实施，增强了资本市场长期稳定性，为拓展权益类理财产品序列、优化股</w:t>
      </w:r>
      <w:r>
        <w:rPr>
          <w:rFonts w:ascii="宋体" w:hAnsi="宋体" w:eastAsia="宋体"/>
          <w:b w:val="0"/>
          <w:i w:val="0"/>
          <w:color w:val="000000"/>
          <w:sz w:val="21"/>
        </w:rPr>
        <w:t xml:space="preserve">权投资结构提供了支撑。 </w:t>
      </w:r>
    </w:p>
    <w:p>
      <w:pPr>
        <w:autoSpaceDN w:val="0"/>
        <w:autoSpaceDE w:val="0"/>
        <w:widowControl/>
        <w:spacing w:line="460" w:lineRule="exact" w:before="0" w:after="0"/>
        <w:ind w:left="30" w:right="144" w:firstLine="420"/>
        <w:jc w:val="left"/>
      </w:pPr>
      <w:r>
        <w:rPr>
          <w:rFonts w:ascii="宋体" w:hAnsi="宋体" w:eastAsia="宋体"/>
          <w:b w:val="0"/>
          <w:i w:val="0"/>
          <w:color w:val="000000"/>
          <w:sz w:val="21"/>
        </w:rPr>
        <w:t>公司紧抓行业发展机遇的同时，也需要充分应对面临的挑战。一是行业竞争态势日趋激烈，强者恒</w:t>
      </w:r>
      <w:r>
        <w:rPr>
          <w:rFonts w:ascii="宋体" w:hAnsi="宋体" w:eastAsia="宋体"/>
          <w:b w:val="0"/>
          <w:i w:val="0"/>
          <w:color w:val="000000"/>
          <w:sz w:val="21"/>
        </w:rPr>
        <w:t>强的马太效应持续凸显，公司立足自身资源禀赋，全方位推动差异化高质量发展，在重点区域、重点行</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53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6" name="Picture 5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48" w:lineRule="exact" w:before="0" w:after="0"/>
        <w:ind w:left="30" w:right="232" w:firstLine="0"/>
        <w:jc w:val="both"/>
      </w:pPr>
      <w:r>
        <w:rPr>
          <w:rFonts w:ascii="宋体" w:hAnsi="宋体" w:eastAsia="宋体"/>
          <w:b w:val="0"/>
          <w:i w:val="0"/>
          <w:color w:val="000000"/>
          <w:sz w:val="21"/>
        </w:rPr>
        <w:t>业、重点产品等持续用力，打造核心竞争力。二是防风险、强监管、促发展政策环境下，对证券公司风</w:t>
      </w:r>
      <w:r>
        <w:rPr>
          <w:rFonts w:ascii="宋体" w:hAnsi="宋体" w:eastAsia="宋体"/>
          <w:b w:val="0"/>
          <w:i w:val="0"/>
          <w:color w:val="000000"/>
          <w:sz w:val="21"/>
        </w:rPr>
        <w:t>险管理和合规展业提出更高要求。公司全面加强风险管理体系建设，健全组织保障、风险覆盖、技术运</w:t>
      </w:r>
      <w:r>
        <w:rPr>
          <w:rFonts w:ascii="宋体" w:hAnsi="宋体" w:eastAsia="宋体"/>
          <w:b w:val="0"/>
          <w:i w:val="0"/>
          <w:color w:val="000000"/>
          <w:sz w:val="21"/>
        </w:rPr>
        <w:t>用、管控机制，紧密跟踪业务发展、市场环境及监管变化，合规、风控、审计协同，确保各项业务稳健</w:t>
      </w:r>
      <w:r>
        <w:rPr>
          <w:rFonts w:ascii="宋体" w:hAnsi="宋体" w:eastAsia="宋体"/>
          <w:b w:val="0"/>
          <w:i w:val="0"/>
          <w:color w:val="000000"/>
          <w:sz w:val="21"/>
        </w:rPr>
        <w:t xml:space="preserve">发展。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(三)公司发展战略及规划 </w:t>
      </w:r>
      <w:r>
        <w:br/>
      </w:r>
      <w:r>
        <w:tab/>
      </w:r>
      <w:r>
        <w:rPr>
          <w:rFonts w:ascii="宋体" w:hAnsi="宋体" w:eastAsia="宋体"/>
          <w:b w:val="0"/>
          <w:i w:val="0"/>
          <w:color w:val="000000"/>
          <w:sz w:val="21"/>
        </w:rPr>
        <w:t>2025 年，公司将坚定执行公司“十四五”规划，坚守“以义制利、协作包容、追求卓越”的核心</w:t>
      </w:r>
      <w:r>
        <w:rPr>
          <w:rFonts w:ascii="宋体" w:hAnsi="宋体" w:eastAsia="宋体"/>
          <w:b w:val="0"/>
          <w:i w:val="0"/>
          <w:color w:val="000000"/>
          <w:sz w:val="21"/>
        </w:rPr>
        <w:t>价值观，继续加快推进“差异化、一体化、平台化、数字化”战略。全面融入国家战略和区域发展大局，</w:t>
      </w:r>
      <w:r>
        <w:rPr>
          <w:rFonts w:ascii="宋体" w:hAnsi="宋体" w:eastAsia="宋体"/>
          <w:b w:val="0"/>
          <w:i w:val="0"/>
          <w:color w:val="000000"/>
          <w:sz w:val="21"/>
        </w:rPr>
        <w:t>坚定服务实体经济和财富管理转型方向，聚焦个人、机构、企业三大客群和重点区域、重点行业、重点</w:t>
      </w:r>
      <w:r>
        <w:rPr>
          <w:rFonts w:ascii="宋体" w:hAnsi="宋体" w:eastAsia="宋体"/>
          <w:b w:val="0"/>
          <w:i w:val="0"/>
          <w:color w:val="000000"/>
          <w:sz w:val="21"/>
        </w:rPr>
        <w:t>产品三大支点，秉持长期主义，研判行业发展趋势，夯实风险管理基础，降本增效，提升抗逆周期经营</w:t>
      </w:r>
      <w:r>
        <w:rPr>
          <w:rFonts w:ascii="宋体" w:hAnsi="宋体" w:eastAsia="宋体"/>
          <w:b w:val="0"/>
          <w:i w:val="0"/>
          <w:color w:val="000000"/>
          <w:sz w:val="21"/>
        </w:rPr>
        <w:t>能力。一是坚持以客户为中心的理念，聚焦主责主业，持续完善全链条全生命周期综合服务机制。二是</w:t>
      </w:r>
      <w:r>
        <w:rPr>
          <w:rFonts w:ascii="宋体" w:hAnsi="宋体" w:eastAsia="宋体"/>
          <w:b w:val="0"/>
          <w:i w:val="0"/>
          <w:color w:val="000000"/>
          <w:sz w:val="21"/>
        </w:rPr>
        <w:t>坚守红线底线，优化完善母子公司穿透式垂直一体化管控机制，持续夯实风险防控体系。三是科技赋能，</w:t>
      </w:r>
      <w:r>
        <w:rPr>
          <w:rFonts w:ascii="宋体" w:hAnsi="宋体" w:eastAsia="宋体"/>
          <w:b w:val="0"/>
          <w:i w:val="0"/>
          <w:color w:val="000000"/>
          <w:sz w:val="21"/>
        </w:rPr>
        <w:t>建立系统化、常态化科技创新体制，持续推动重点业务、重要领域数字化转型。四是坚持目标导向，聚</w:t>
      </w:r>
      <w:r>
        <w:rPr>
          <w:rFonts w:ascii="宋体" w:hAnsi="宋体" w:eastAsia="宋体"/>
          <w:b w:val="0"/>
          <w:i w:val="0"/>
          <w:color w:val="000000"/>
          <w:sz w:val="21"/>
        </w:rPr>
        <w:t>焦核心能力建设，强化协同联动，持续推进财富管理、企业金融、资产管理、权益投资、FICC、国际业</w:t>
      </w:r>
      <w:r>
        <w:rPr>
          <w:rFonts w:ascii="宋体" w:hAnsi="宋体" w:eastAsia="宋体"/>
          <w:b w:val="0"/>
          <w:i w:val="0"/>
          <w:color w:val="000000"/>
          <w:sz w:val="21"/>
        </w:rPr>
        <w:t xml:space="preserve">务的转型升级。 </w:t>
      </w:r>
    </w:p>
    <w:p>
      <w:pPr>
        <w:autoSpaceDN w:val="0"/>
        <w:autoSpaceDE w:val="0"/>
        <w:widowControl/>
        <w:spacing w:line="460" w:lineRule="exact" w:before="2" w:after="0"/>
        <w:ind w:left="30" w:right="230" w:firstLine="420"/>
        <w:jc w:val="both"/>
      </w:pPr>
      <w:r>
        <w:rPr>
          <w:rFonts w:ascii="宋体" w:hAnsi="宋体" w:eastAsia="宋体"/>
          <w:b w:val="0"/>
          <w:i w:val="0"/>
          <w:color w:val="000000"/>
          <w:sz w:val="21"/>
        </w:rPr>
        <w:t>财富管理业务继续深化客户分类分层的服务体系，坚持买方投顾思维，打造多元化金融产品体系，</w:t>
      </w:r>
      <w:r>
        <w:rPr>
          <w:rFonts w:ascii="宋体" w:hAnsi="宋体" w:eastAsia="宋体"/>
          <w:b w:val="0"/>
          <w:i w:val="0"/>
          <w:color w:val="000000"/>
          <w:sz w:val="21"/>
        </w:rPr>
        <w:t>提升资产配置能力建设。企业金融业务加强“投研+投行+投资”协同联动，拓宽业务生态，提升综合金</w:t>
      </w:r>
      <w:r>
        <w:rPr>
          <w:rFonts w:ascii="宋体" w:hAnsi="宋体" w:eastAsia="宋体"/>
          <w:b w:val="0"/>
          <w:i w:val="0"/>
          <w:color w:val="000000"/>
          <w:sz w:val="21"/>
        </w:rPr>
        <w:t>融服务能力。资产管理业务持续丰富产品矩阵，推进业务数字化转型，提高渠道建设和产品销售能力，</w:t>
      </w:r>
      <w:r>
        <w:rPr>
          <w:rFonts w:ascii="宋体" w:hAnsi="宋体" w:eastAsia="宋体"/>
          <w:b w:val="0"/>
          <w:i w:val="0"/>
          <w:color w:val="000000"/>
          <w:sz w:val="21"/>
        </w:rPr>
        <w:t>持续做大业务规模。FICC 业务稳固优势，深化改革，在推动数字化业务转型的同时，积极拓展国际化</w:t>
      </w:r>
      <w:r>
        <w:rPr>
          <w:rFonts w:ascii="宋体" w:hAnsi="宋体" w:eastAsia="宋体"/>
          <w:b w:val="0"/>
          <w:i w:val="0"/>
          <w:color w:val="000000"/>
          <w:sz w:val="21"/>
        </w:rPr>
        <w:t>业务布局。权益投资业务聚焦新质生产力，布局重点领域，丰富策略交易体系。期货业务全面提升基础</w:t>
      </w:r>
      <w:r>
        <w:rPr>
          <w:rFonts w:ascii="宋体" w:hAnsi="宋体" w:eastAsia="宋体"/>
          <w:b w:val="0"/>
          <w:i w:val="0"/>
          <w:color w:val="000000"/>
          <w:sz w:val="21"/>
        </w:rPr>
        <w:t>管理能力、盈利能力和风险管控能力。国际业务强化母子公司业务联动，推进境内外机构的协同发展，</w:t>
      </w:r>
      <w:r>
        <w:rPr>
          <w:rFonts w:ascii="宋体" w:hAnsi="宋体" w:eastAsia="宋体"/>
          <w:b w:val="0"/>
          <w:i w:val="0"/>
          <w:color w:val="000000"/>
          <w:sz w:val="21"/>
        </w:rPr>
        <w:t xml:space="preserve">持续加强跨境金融服务体系建设。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(四)公司发展资金需求及使用计划 </w:t>
      </w:r>
      <w:r>
        <w:br/>
      </w:r>
      <w:r>
        <w:tab/>
      </w:r>
      <w:r>
        <w:rPr>
          <w:rFonts w:ascii="宋体" w:hAnsi="宋体" w:eastAsia="宋体"/>
          <w:b w:val="0"/>
          <w:i w:val="0"/>
          <w:color w:val="000000"/>
          <w:sz w:val="21"/>
        </w:rPr>
        <w:t>长期、稳定的资本金支持是公司长远可持续健康发展的重要保障。公司将依据总体发展规划、业务</w:t>
      </w:r>
      <w:r>
        <w:rPr>
          <w:rFonts w:ascii="宋体" w:hAnsi="宋体" w:eastAsia="宋体"/>
          <w:b w:val="0"/>
          <w:i w:val="0"/>
          <w:color w:val="000000"/>
          <w:sz w:val="21"/>
        </w:rPr>
        <w:t>发展和经营管理计划以及转型需要，充分论证、合理制定融资规划，适时采取多种方式募集资金，及时</w:t>
      </w:r>
      <w:r>
        <w:rPr>
          <w:rFonts w:ascii="宋体" w:hAnsi="宋体" w:eastAsia="宋体"/>
          <w:b w:val="0"/>
          <w:i w:val="0"/>
          <w:color w:val="000000"/>
          <w:sz w:val="21"/>
        </w:rPr>
        <w:t>补充营运资金，夯实资本实力，壮大资产规模。公司将立足自身差异化高质量发展规划，统筹资金管理，</w:t>
      </w:r>
      <w:r>
        <w:rPr>
          <w:rFonts w:ascii="宋体" w:hAnsi="宋体" w:eastAsia="宋体"/>
          <w:b w:val="0"/>
          <w:i w:val="0"/>
          <w:color w:val="000000"/>
          <w:sz w:val="21"/>
        </w:rPr>
        <w:t xml:space="preserve">优化资产配置，提高资本使用效率。 </w:t>
      </w:r>
    </w:p>
    <w:p>
      <w:pPr>
        <w:autoSpaceDN w:val="0"/>
        <w:autoSpaceDE w:val="0"/>
        <w:widowControl/>
        <w:spacing w:line="212" w:lineRule="exact" w:before="250" w:after="0"/>
        <w:ind w:left="452" w:right="0" w:firstLine="0"/>
        <w:jc w:val="left"/>
      </w:pPr>
      <w:r>
        <w:rPr>
          <w:rFonts w:ascii="宋体" w:hAnsi="宋体" w:eastAsia="宋体"/>
          <w:b w:val="0"/>
          <w:i w:val="0"/>
          <w:color w:val="000000"/>
          <w:sz w:val="21"/>
        </w:rPr>
        <w:t xml:space="preserve">（五）公司面临的风险和应对措施 </w:t>
      </w:r>
    </w:p>
    <w:p>
      <w:pPr>
        <w:autoSpaceDN w:val="0"/>
        <w:autoSpaceDE w:val="0"/>
        <w:widowControl/>
        <w:spacing w:line="197" w:lineRule="auto" w:before="1782" w:after="0"/>
        <w:ind w:left="0" w:right="0" w:firstLine="0"/>
        <w:jc w:val="center"/>
      </w:pPr>
      <w:r>
        <w:rPr>
          <w:rFonts w:ascii="Calibri" w:hAnsi="Calibri" w:eastAsia="Calibri"/>
          <w:b w:val="0"/>
          <w:i w:val="0"/>
          <w:color w:val="000000"/>
          <w:sz w:val="18"/>
        </w:rPr>
        <w:t xml:space="preserve">54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1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7" name="Picture 5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12" w:bottom="446" w:left="1104" w:header="720" w:footer="720" w:gutter="0"/>
          <w:cols w:num="2" w:equalWidth="0">
            <w:col w:w="5436" w:space="0"/>
            <w:col w:w="4452" w:space="0"/>
          </w:cols>
          <w:docGrid w:linePitch="360"/>
        </w:sectPr>
      </w:pPr>
    </w:p>
    <w:p>
      <w:pPr>
        <w:autoSpaceDN w:val="0"/>
        <w:autoSpaceDE w:val="0"/>
        <w:widowControl/>
        <w:spacing w:line="200" w:lineRule="exact" w:before="0" w:after="30"/>
        <w:ind w:left="0" w:right="23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12" w:bottom="446" w:left="1104" w:header="720" w:footer="720" w:gutter="0"/>
          <w:cols w:num="2" w:equalWidth="0">
            <w:col w:w="5436" w:space="0"/>
            <w:col w:w="4452" w:space="0"/>
          </w:cols>
          <w:docGrid w:linePitch="360"/>
        </w:sectPr>
      </w:pPr>
    </w:p>
    <w:p>
      <w:pPr>
        <w:autoSpaceDN w:val="0"/>
        <w:autoSpaceDE w:val="0"/>
        <w:widowControl/>
        <w:spacing w:line="444" w:lineRule="exact" w:before="0" w:after="0"/>
        <w:ind w:left="30" w:right="228" w:firstLine="420"/>
        <w:jc w:val="both"/>
      </w:pPr>
      <w:r>
        <w:rPr>
          <w:rFonts w:ascii="宋体" w:hAnsi="宋体" w:eastAsia="宋体"/>
          <w:b w:val="0"/>
          <w:i w:val="0"/>
          <w:color w:val="000000"/>
          <w:sz w:val="21"/>
        </w:rPr>
        <w:t>公司面临的重大风险因素主要有：政策性风险、流动性风险、信用风险、市场风险、操作风险、合</w:t>
      </w:r>
      <w:r>
        <w:rPr>
          <w:rFonts w:ascii="宋体" w:hAnsi="宋体" w:eastAsia="宋体"/>
          <w:b w:val="0"/>
          <w:i w:val="0"/>
          <w:color w:val="000000"/>
          <w:sz w:val="21"/>
        </w:rPr>
        <w:t>规风险、信息技术系统风险、声誉风险、人才流失和人才储备不足的风险等。依据各类风险的特点，公</w:t>
      </w:r>
      <w:r>
        <w:rPr>
          <w:rFonts w:ascii="宋体" w:hAnsi="宋体" w:eastAsia="宋体"/>
          <w:b w:val="0"/>
          <w:i w:val="0"/>
          <w:color w:val="000000"/>
          <w:sz w:val="21"/>
        </w:rPr>
        <w:t xml:space="preserve">司制定了相应的对策。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1、政策性风险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政策性风险是国家宏观经济政策、利率政策等的变动引起的证券市场波动，以及相关法律、法规和</w:t>
      </w:r>
      <w:r>
        <w:rPr>
          <w:rFonts w:ascii="宋体" w:hAnsi="宋体" w:eastAsia="宋体"/>
          <w:b w:val="0"/>
          <w:i w:val="0"/>
          <w:color w:val="000000"/>
          <w:sz w:val="21"/>
        </w:rPr>
        <w:t xml:space="preserve">政策变化导致行业发展环境变化，进而对公司经营管理和业务开展产生不利影响的风险。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公司密切关注国家、地方和行业政策的动态，加强政策变动影响力分析研究及变量监测，为相关决</w:t>
      </w:r>
      <w:r>
        <w:rPr>
          <w:rFonts w:ascii="宋体" w:hAnsi="宋体" w:eastAsia="宋体"/>
          <w:b w:val="0"/>
          <w:i w:val="0"/>
          <w:color w:val="000000"/>
          <w:sz w:val="21"/>
        </w:rPr>
        <w:t>策提供依据。持续加强与监管机构的沟通与报告，了解政策制定的背景、目标和导向，及时调整业务策</w:t>
      </w:r>
      <w:r>
        <w:rPr>
          <w:rFonts w:ascii="宋体" w:hAnsi="宋体" w:eastAsia="宋体"/>
          <w:b w:val="0"/>
          <w:i w:val="0"/>
          <w:color w:val="000000"/>
          <w:sz w:val="21"/>
        </w:rPr>
        <w:t>略和风险管理措施，提升风险管理的前瞻性和主动性，切实防范政策实施过程中可能带来的业务风险。</w:t>
      </w:r>
    </w:p>
    <w:p>
      <w:pPr>
        <w:autoSpaceDN w:val="0"/>
        <w:autoSpaceDE w:val="0"/>
        <w:widowControl/>
        <w:spacing w:line="460" w:lineRule="exact" w:before="0" w:after="0"/>
        <w:ind w:left="30" w:right="218" w:firstLine="0"/>
        <w:jc w:val="both"/>
      </w:pPr>
      <w:r>
        <w:rPr>
          <w:rFonts w:ascii="宋体" w:hAnsi="宋体" w:eastAsia="宋体"/>
          <w:b w:val="0"/>
          <w:i w:val="0"/>
          <w:color w:val="000000"/>
          <w:sz w:val="21"/>
        </w:rPr>
        <w:t>公司推动实施多元化业务布局，在传统业务的基础上积极拓展资产管理、投资咨询、跨境业务等领域，</w:t>
      </w:r>
      <w:r>
        <w:rPr>
          <w:rFonts w:ascii="宋体" w:hAnsi="宋体" w:eastAsia="宋体"/>
          <w:b w:val="0"/>
          <w:i w:val="0"/>
          <w:color w:val="000000"/>
          <w:sz w:val="21"/>
        </w:rPr>
        <w:t>降低对单一政策的依赖，分散政策风险。公司持续优化内部控制制度和审查机制，确保严格落实监管规</w:t>
      </w:r>
      <w:r>
        <w:rPr>
          <w:rFonts w:ascii="宋体" w:hAnsi="宋体" w:eastAsia="宋体"/>
          <w:b w:val="0"/>
          <w:i w:val="0"/>
          <w:color w:val="000000"/>
          <w:sz w:val="21"/>
        </w:rPr>
        <w:t>定。公司通过合规培训、宣传教育活动提升员工合规意识，加强对政策风险的识别、评估和应对能力，</w:t>
      </w:r>
      <w:r>
        <w:rPr>
          <w:rFonts w:ascii="宋体" w:hAnsi="宋体" w:eastAsia="宋体"/>
          <w:b w:val="0"/>
          <w:i w:val="0"/>
          <w:color w:val="000000"/>
          <w:sz w:val="21"/>
        </w:rPr>
        <w:t>保障业务稳健发展。报告期内，公司共修订各项内部规章制度118 项，新增25 项，废止2 项，近三分之</w:t>
      </w:r>
      <w:r>
        <w:rPr>
          <w:rFonts w:ascii="宋体" w:hAnsi="宋体" w:eastAsia="宋体"/>
          <w:b w:val="0"/>
          <w:i w:val="0"/>
          <w:color w:val="000000"/>
          <w:sz w:val="21"/>
        </w:rPr>
        <w:t xml:space="preserve">一的制度得以更新完善，各项业务操作符合相关政策要求。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2、流动性风险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流动性风险是指公司无法以合理成本及时获得充足资金,以偿付到期债务、履行其他支付义务和满足</w:t>
      </w:r>
      <w:r>
        <w:rPr>
          <w:rFonts w:ascii="宋体" w:hAnsi="宋体" w:eastAsia="宋体"/>
          <w:b w:val="0"/>
          <w:i w:val="0"/>
          <w:color w:val="000000"/>
          <w:sz w:val="21"/>
        </w:rPr>
        <w:t xml:space="preserve">正常业务开展资金需求的风险。 </w:t>
      </w:r>
    </w:p>
    <w:p>
      <w:pPr>
        <w:autoSpaceDN w:val="0"/>
        <w:tabs>
          <w:tab w:pos="450"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公司秉持“稳健”风险偏好，遵循全面性、审慎性和预见性原则，持续强化流动性风险的识别、计</w:t>
      </w:r>
      <w:r>
        <w:rPr>
          <w:rFonts w:ascii="宋体" w:hAnsi="宋体" w:eastAsia="宋体"/>
          <w:b w:val="0"/>
          <w:i w:val="0"/>
          <w:color w:val="000000"/>
          <w:sz w:val="21"/>
        </w:rPr>
        <w:t>量、监测和控制机制。公司设立资产负债管理委员会，统筹资产与负债管理，优化ALCO 制度，建立资金</w:t>
      </w:r>
      <w:r>
        <w:rPr>
          <w:rFonts w:ascii="宋体" w:hAnsi="宋体" w:eastAsia="宋体"/>
          <w:b w:val="0"/>
          <w:i w:val="0"/>
          <w:color w:val="000000"/>
          <w:sz w:val="21"/>
        </w:rPr>
        <w:t>调整机制和FTP 定价体系，强化流动性风险的制度化、程序化、系统化管理。公司建立涵盖流动性覆盖</w:t>
      </w:r>
      <w:r>
        <w:rPr>
          <w:rFonts w:ascii="宋体" w:hAnsi="宋体" w:eastAsia="宋体"/>
          <w:b w:val="0"/>
          <w:i w:val="0"/>
          <w:color w:val="000000"/>
          <w:sz w:val="21"/>
        </w:rPr>
        <w:t>率、净稳定资金率、日间流动性头寸、优质流动性资产、单一来源负债集中度、流动性缺口等指标的流</w:t>
      </w:r>
      <w:r>
        <w:rPr>
          <w:rFonts w:ascii="宋体" w:hAnsi="宋体" w:eastAsia="宋体"/>
          <w:b w:val="0"/>
          <w:i w:val="0"/>
          <w:color w:val="000000"/>
          <w:sz w:val="21"/>
        </w:rPr>
        <w:t>动性风险监测指标体系，设置风险限额，通过信息技术系统实施每日监控，保障充足的流动性资产储备。</w:t>
      </w:r>
    </w:p>
    <w:p>
      <w:pPr>
        <w:autoSpaceDN w:val="0"/>
        <w:autoSpaceDE w:val="0"/>
        <w:widowControl/>
        <w:spacing w:line="460" w:lineRule="exact" w:before="2" w:after="0"/>
        <w:ind w:left="30" w:right="144" w:firstLine="0"/>
        <w:jc w:val="left"/>
      </w:pPr>
      <w:r>
        <w:rPr>
          <w:rFonts w:ascii="宋体" w:hAnsi="宋体" w:eastAsia="宋体"/>
          <w:b w:val="0"/>
          <w:i w:val="0"/>
          <w:color w:val="000000"/>
          <w:sz w:val="21"/>
        </w:rPr>
        <w:t>公司创设新产品、开展新业务、应用新技术手段和设立新机构之前，结合战略规划、风险偏好、融资能</w:t>
      </w:r>
      <w:r>
        <w:rPr>
          <w:rFonts w:ascii="宋体" w:hAnsi="宋体" w:eastAsia="宋体"/>
          <w:b w:val="0"/>
          <w:i w:val="0"/>
          <w:color w:val="000000"/>
          <w:sz w:val="21"/>
        </w:rPr>
        <w:t xml:space="preserve">力等因素，全面评估其可能存在的流动性风险，进而确定各业务的最大规模及风险限额。 </w:t>
      </w:r>
    </w:p>
    <w:p>
      <w:pPr>
        <w:autoSpaceDN w:val="0"/>
        <w:autoSpaceDE w:val="0"/>
        <w:widowControl/>
        <w:spacing w:line="197" w:lineRule="auto" w:before="1322" w:after="0"/>
        <w:ind w:left="0" w:right="4910" w:firstLine="0"/>
        <w:jc w:val="right"/>
      </w:pPr>
      <w:r>
        <w:rPr>
          <w:rFonts w:ascii="Calibri" w:hAnsi="Calibri" w:eastAsia="Calibri"/>
          <w:b w:val="0"/>
          <w:i w:val="0"/>
          <w:color w:val="000000"/>
          <w:sz w:val="18"/>
        </w:rPr>
        <w:t xml:space="preserve">55 </w:t>
      </w:r>
    </w:p>
    <w:p>
      <w:pPr>
        <w:sectPr>
          <w:type w:val="continuous"/>
          <w:pgSz w:w="11904" w:h="16841"/>
          <w:pgMar w:top="424" w:right="91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8"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8" name="Picture 5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8" w:bottom="446" w:left="1104" w:header="720" w:footer="720" w:gutter="0"/>
          <w:cols w:num="2" w:equalWidth="0">
            <w:col w:w="5436" w:space="0"/>
            <w:col w:w="4455" w:space="0"/>
          </w:cols>
          <w:docGrid w:linePitch="360"/>
        </w:sectPr>
      </w:pPr>
    </w:p>
    <w:p>
      <w:pPr>
        <w:autoSpaceDN w:val="0"/>
        <w:autoSpaceDE w:val="0"/>
        <w:widowControl/>
        <w:spacing w:line="200" w:lineRule="exact" w:before="0" w:after="30"/>
        <w:ind w:left="0" w:right="24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8" w:bottom="446" w:left="1104" w:header="720" w:footer="720" w:gutter="0"/>
          <w:cols w:num="2" w:equalWidth="0">
            <w:col w:w="5436" w:space="0"/>
            <w:col w:w="4455" w:space="0"/>
          </w:cols>
          <w:docGrid w:linePitch="360"/>
        </w:sectPr>
      </w:pPr>
    </w:p>
    <w:p>
      <w:pPr>
        <w:autoSpaceDN w:val="0"/>
        <w:autoSpaceDE w:val="0"/>
        <w:widowControl/>
        <w:spacing w:line="448" w:lineRule="exact" w:before="0" w:after="0"/>
        <w:ind w:left="30" w:right="0" w:firstLine="420"/>
        <w:jc w:val="left"/>
      </w:pPr>
      <w:r>
        <w:rPr>
          <w:rFonts w:ascii="宋体" w:hAnsi="宋体" w:eastAsia="宋体"/>
          <w:b w:val="0"/>
          <w:i w:val="0"/>
          <w:color w:val="000000"/>
          <w:sz w:val="21"/>
        </w:rPr>
        <w:t>公司注重资产与负债在规模、期限、结构上的匹配，依据业务发展、财务状况以及金融市场情况等，</w:t>
      </w:r>
      <w:r>
        <w:rPr>
          <w:rFonts w:ascii="宋体" w:hAnsi="宋体" w:eastAsia="宋体"/>
          <w:b w:val="0"/>
          <w:i w:val="0"/>
          <w:color w:val="000000"/>
          <w:sz w:val="21"/>
        </w:rPr>
        <w:t>适时制定和调整融资策略，充分考量融资渠道多元化和稳定性，多种方式募集资金。目前，公司主要融</w:t>
      </w:r>
      <w:r>
        <w:rPr>
          <w:rFonts w:ascii="宋体" w:hAnsi="宋体" w:eastAsia="宋体"/>
          <w:b w:val="0"/>
          <w:i w:val="0"/>
          <w:color w:val="000000"/>
          <w:sz w:val="21"/>
        </w:rPr>
        <w:t>资渠道包括：股权融资、向证金公司转融通拆入资金、发行收益凭证、债券回购、票据回购、银行间市</w:t>
      </w:r>
      <w:r>
        <w:rPr>
          <w:rFonts w:ascii="宋体" w:hAnsi="宋体" w:eastAsia="宋体"/>
          <w:b w:val="0"/>
          <w:i w:val="0"/>
          <w:color w:val="000000"/>
          <w:sz w:val="21"/>
        </w:rPr>
        <w:t xml:space="preserve">场拆借、发行证券公司短期债券、发行公司债券、发行次级债、两融收益权转让等。 </w:t>
      </w:r>
    </w:p>
    <w:p>
      <w:pPr>
        <w:autoSpaceDN w:val="0"/>
        <w:tabs>
          <w:tab w:pos="450" w:val="left"/>
        </w:tabs>
        <w:autoSpaceDE w:val="0"/>
        <w:widowControl/>
        <w:spacing w:line="460" w:lineRule="exact" w:before="0" w:after="0"/>
        <w:ind w:left="30" w:right="0" w:firstLine="0"/>
        <w:jc w:val="left"/>
      </w:pPr>
      <w:r>
        <w:tab/>
      </w:r>
      <w:r>
        <w:rPr>
          <w:rFonts w:ascii="宋体" w:hAnsi="宋体" w:eastAsia="宋体"/>
          <w:b w:val="0"/>
          <w:i w:val="0"/>
          <w:color w:val="000000"/>
          <w:sz w:val="21"/>
        </w:rPr>
        <w:t>公司定期和不定期开展流动性风险专项压力测试，从现金流和流动性指标两个方面评估压力情境下</w:t>
      </w:r>
      <w:r>
        <w:rPr>
          <w:rFonts w:ascii="宋体" w:hAnsi="宋体" w:eastAsia="宋体"/>
          <w:b w:val="0"/>
          <w:i w:val="0"/>
          <w:color w:val="000000"/>
          <w:sz w:val="21"/>
        </w:rPr>
        <w:t>的流动性风险承受能力，有针对性的调整流动性风险管理政策，确保业务开展与流动性风险管理相匹配。</w:t>
      </w:r>
    </w:p>
    <w:p>
      <w:pPr>
        <w:autoSpaceDN w:val="0"/>
        <w:autoSpaceDE w:val="0"/>
        <w:widowControl/>
        <w:spacing w:line="458" w:lineRule="exact" w:before="4" w:after="0"/>
        <w:ind w:left="30" w:right="144" w:firstLine="0"/>
        <w:jc w:val="left"/>
      </w:pPr>
      <w:r>
        <w:rPr>
          <w:rFonts w:ascii="宋体" w:hAnsi="宋体" w:eastAsia="宋体"/>
          <w:b w:val="0"/>
          <w:i w:val="0"/>
          <w:color w:val="000000"/>
          <w:sz w:val="21"/>
        </w:rPr>
        <w:t>公司制定流动性风险应急计划并定期进行演练，确保应对紧急情况下的流动性需求。报告期末，公司流</w:t>
      </w:r>
      <w:r>
        <w:rPr>
          <w:rFonts w:ascii="宋体" w:hAnsi="宋体" w:eastAsia="宋体"/>
          <w:b w:val="0"/>
          <w:i w:val="0"/>
          <w:color w:val="000000"/>
          <w:sz w:val="21"/>
        </w:rPr>
        <w:t xml:space="preserve">动性覆盖率和净稳定资金率持续满足监管要求，流动性风险整体可控。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3、信用风险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信用风险是指由于客户、交易对手或发行主体不能完全履行契约规定，对公司造成损失的风险。公</w:t>
      </w:r>
      <w:r>
        <w:rPr>
          <w:rFonts w:ascii="宋体" w:hAnsi="宋体" w:eastAsia="宋体"/>
          <w:b w:val="0"/>
          <w:i w:val="0"/>
          <w:color w:val="000000"/>
          <w:sz w:val="21"/>
        </w:rPr>
        <w:t>司面临的信用风险主要包括：在融资融券、约定式购回、股票质押式回购等业务中，客户违约致使公司</w:t>
      </w:r>
      <w:r>
        <w:rPr>
          <w:rFonts w:ascii="宋体" w:hAnsi="宋体" w:eastAsia="宋体"/>
          <w:b w:val="0"/>
          <w:i w:val="0"/>
          <w:color w:val="000000"/>
          <w:sz w:val="21"/>
        </w:rPr>
        <w:t>借出资券及息费遭受损失的风险；在股票期权、债券正回购等业务中，客户违约造成公司担保交收资金</w:t>
      </w:r>
      <w:r>
        <w:rPr>
          <w:rFonts w:ascii="宋体" w:hAnsi="宋体" w:eastAsia="宋体"/>
          <w:b w:val="0"/>
          <w:i w:val="0"/>
          <w:color w:val="000000"/>
          <w:sz w:val="21"/>
        </w:rPr>
        <w:t xml:space="preserve">遭受损失的风险；在债券交易、场外衍生品业务中，发行主体或交易对手违约造成的风险。 </w:t>
      </w:r>
    </w:p>
    <w:p>
      <w:pPr>
        <w:autoSpaceDN w:val="0"/>
        <w:tabs>
          <w:tab w:pos="450"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公司围绕客户、交易对手、发行主体及交易品种等主体，建立了内部评级、准入管理、担保品管理、</w:t>
      </w:r>
      <w:r>
        <w:rPr>
          <w:rFonts w:ascii="宋体" w:hAnsi="宋体" w:eastAsia="宋体"/>
          <w:b w:val="0"/>
          <w:i w:val="0"/>
          <w:color w:val="000000"/>
          <w:sz w:val="21"/>
        </w:rPr>
        <w:t>尽职调查、授信与集中度管理、贷后持续跟踪及违约处置等信用风险管理机制。公司基于违约概率、违</w:t>
      </w:r>
      <w:r>
        <w:rPr>
          <w:rFonts w:ascii="宋体" w:hAnsi="宋体" w:eastAsia="宋体"/>
          <w:b w:val="0"/>
          <w:i w:val="0"/>
          <w:color w:val="000000"/>
          <w:sz w:val="21"/>
        </w:rPr>
        <w:t>约损失率、信用风险敞口等计算预期损失和非预期损失，计量和评估信用风险。公司建立同一业务同一</w:t>
      </w:r>
      <w:r>
        <w:rPr>
          <w:rFonts w:ascii="宋体" w:hAnsi="宋体" w:eastAsia="宋体"/>
          <w:b w:val="0"/>
          <w:i w:val="0"/>
          <w:color w:val="000000"/>
          <w:sz w:val="21"/>
        </w:rPr>
        <w:t>客户风险管理及统一授信机制，实现各类型、各层级业务以及客户群组风险信息的计量、汇总，通过双</w:t>
      </w:r>
      <w:r>
        <w:rPr>
          <w:rFonts w:ascii="宋体" w:hAnsi="宋体" w:eastAsia="宋体"/>
          <w:b w:val="0"/>
          <w:i w:val="0"/>
          <w:color w:val="000000"/>
          <w:sz w:val="21"/>
        </w:rPr>
        <w:t>维授信矩阵，加强信用类业务管控。公司结合业务特点，设定业务规模限额、低等级债券投资比例、单</w:t>
      </w:r>
      <w:r>
        <w:rPr>
          <w:rFonts w:ascii="宋体" w:hAnsi="宋体" w:eastAsia="宋体"/>
          <w:b w:val="0"/>
          <w:i w:val="0"/>
          <w:color w:val="000000"/>
          <w:sz w:val="21"/>
        </w:rPr>
        <w:t>一客户/单一标的融资规模、单一发行主体/交易对手集中度等风险管理指标，并根据市场情况、业务发</w:t>
      </w:r>
      <w:r>
        <w:rPr>
          <w:rFonts w:ascii="宋体" w:hAnsi="宋体" w:eastAsia="宋体"/>
          <w:b w:val="0"/>
          <w:i w:val="0"/>
          <w:color w:val="000000"/>
          <w:sz w:val="21"/>
        </w:rPr>
        <w:t xml:space="preserve">展需要和公司总体风险状态动态调整。 </w:t>
      </w:r>
    </w:p>
    <w:p>
      <w:pPr>
        <w:autoSpaceDN w:val="0"/>
        <w:autoSpaceDE w:val="0"/>
        <w:widowControl/>
        <w:spacing w:line="460" w:lineRule="exact" w:before="0" w:after="0"/>
        <w:ind w:left="30" w:right="232" w:firstLine="420"/>
        <w:jc w:val="both"/>
      </w:pPr>
      <w:r>
        <w:rPr>
          <w:rFonts w:ascii="宋体" w:hAnsi="宋体" w:eastAsia="宋体"/>
          <w:b w:val="0"/>
          <w:i w:val="0"/>
          <w:color w:val="000000"/>
          <w:sz w:val="21"/>
        </w:rPr>
        <w:t>针对不同信用风险类型，公司制定了相应的管理措施。一是针对融资融券、约定购回、股票质押式</w:t>
      </w:r>
      <w:r>
        <w:rPr>
          <w:rFonts w:ascii="宋体" w:hAnsi="宋体" w:eastAsia="宋体"/>
          <w:b w:val="0"/>
          <w:i w:val="0"/>
          <w:color w:val="000000"/>
          <w:sz w:val="21"/>
        </w:rPr>
        <w:t>回购等融资类业务，建立健全多层级业务授权管理体系，通过尽职调查、征信、授信、担保品准入与动</w:t>
      </w:r>
      <w:r>
        <w:rPr>
          <w:rFonts w:ascii="宋体" w:hAnsi="宋体" w:eastAsia="宋体"/>
          <w:b w:val="0"/>
          <w:i w:val="0"/>
          <w:color w:val="000000"/>
          <w:sz w:val="21"/>
        </w:rPr>
        <w:t>态调整、逐日盯市、集中度管理、客户风险提示、贷后跟踪、补充增信、平仓处置、司法追索和拨备计</w:t>
      </w:r>
      <w:r>
        <w:rPr>
          <w:rFonts w:ascii="宋体" w:hAnsi="宋体" w:eastAsia="宋体"/>
          <w:b w:val="0"/>
          <w:i w:val="0"/>
          <w:color w:val="000000"/>
          <w:sz w:val="21"/>
        </w:rPr>
        <w:t>提等多种手段，有效控制信用风险。二是针对股票期权、债券正回购等可能承担担保交收责任的业务，</w:t>
      </w:r>
      <w:r>
        <w:rPr>
          <w:rFonts w:ascii="宋体" w:hAnsi="宋体" w:eastAsia="宋体"/>
          <w:b w:val="0"/>
          <w:i w:val="0"/>
          <w:color w:val="000000"/>
          <w:sz w:val="21"/>
        </w:rPr>
        <w:t>通过客户授信和保证金管理、质押券最低准入评级、集中度、杠杆比例等有效控制信用风险。三是针对</w:t>
      </w:r>
      <w:r>
        <w:rPr>
          <w:rFonts w:ascii="宋体" w:hAnsi="宋体" w:eastAsia="宋体"/>
          <w:b w:val="0"/>
          <w:i w:val="0"/>
          <w:color w:val="000000"/>
          <w:sz w:val="21"/>
        </w:rPr>
        <w:t>债券投资、场外衍生品交易等业务，建立内部信用评级体系，开发多个信用风险内部评级模型，通过评</w:t>
      </w:r>
      <w:r>
        <w:rPr>
          <w:rFonts w:ascii="宋体" w:hAnsi="宋体" w:eastAsia="宋体"/>
          <w:b w:val="0"/>
          <w:i w:val="0"/>
          <w:color w:val="000000"/>
          <w:sz w:val="21"/>
        </w:rPr>
        <w:t>级系统对发行主体及交易对手进行信用评级，并结合主体舆情预警动态调整评级结果，强化精准识别、</w:t>
      </w:r>
    </w:p>
    <w:p>
      <w:pPr>
        <w:autoSpaceDN w:val="0"/>
        <w:autoSpaceDE w:val="0"/>
        <w:widowControl/>
        <w:spacing w:line="197" w:lineRule="auto" w:before="862" w:after="0"/>
        <w:ind w:left="0" w:right="4914" w:firstLine="0"/>
        <w:jc w:val="right"/>
      </w:pPr>
      <w:r>
        <w:rPr>
          <w:rFonts w:ascii="Calibri" w:hAnsi="Calibri" w:eastAsia="Calibri"/>
          <w:b w:val="0"/>
          <w:i w:val="0"/>
          <w:color w:val="000000"/>
          <w:sz w:val="18"/>
        </w:rPr>
        <w:t xml:space="preserve">56 </w:t>
      </w:r>
    </w:p>
    <w:p>
      <w:pPr>
        <w:sectPr>
          <w:type w:val="continuous"/>
          <w:pgSz w:w="11904" w:h="16841"/>
          <w:pgMar w:top="424" w:right="908"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59" name="Picture 5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44" w:lineRule="exact" w:before="0" w:after="0"/>
        <w:ind w:left="30" w:right="46" w:firstLine="0"/>
        <w:jc w:val="both"/>
      </w:pPr>
      <w:r>
        <w:rPr>
          <w:rFonts w:ascii="宋体" w:hAnsi="宋体" w:eastAsia="宋体"/>
          <w:b w:val="0"/>
          <w:i w:val="0"/>
          <w:color w:val="000000"/>
          <w:sz w:val="21"/>
        </w:rPr>
        <w:t>审慎评估、动态监控功能，同时通过控制集中度、逐日盯市、追保、担保品处置等手段，有效控制信用</w:t>
      </w:r>
      <w:r>
        <w:rPr>
          <w:rFonts w:ascii="宋体" w:hAnsi="宋体" w:eastAsia="宋体"/>
          <w:b w:val="0"/>
          <w:i w:val="0"/>
          <w:color w:val="000000"/>
          <w:sz w:val="21"/>
        </w:rPr>
        <w:t>风险。报告期末，公司融资融券业务存量负债客户平均维持担保比例为275.52%，约定购回业务无存续合</w:t>
      </w:r>
      <w:r>
        <w:rPr>
          <w:rFonts w:ascii="宋体" w:hAnsi="宋体" w:eastAsia="宋体"/>
          <w:b w:val="0"/>
          <w:i w:val="0"/>
          <w:color w:val="000000"/>
          <w:sz w:val="21"/>
        </w:rPr>
        <w:t xml:space="preserve">约，股票质押式回购业务整体履约保障比例为289.80%，信用风险整体可控。 </w:t>
      </w:r>
    </w:p>
    <w:p>
      <w:pPr>
        <w:autoSpaceDN w:val="0"/>
        <w:autoSpaceDE w:val="0"/>
        <w:widowControl/>
        <w:spacing w:line="460" w:lineRule="exact" w:before="0" w:after="0"/>
        <w:ind w:left="30" w:right="56" w:firstLine="420"/>
        <w:jc w:val="both"/>
      </w:pPr>
      <w:r>
        <w:rPr>
          <w:rFonts w:ascii="宋体" w:hAnsi="宋体" w:eastAsia="宋体"/>
          <w:b w:val="0"/>
          <w:i w:val="0"/>
          <w:color w:val="000000"/>
          <w:sz w:val="21"/>
        </w:rPr>
        <w:t>报告期内，公司同一业务同一客户二期系统正式上线，在准确识别同一业务和客户关联关系的基础</w:t>
      </w:r>
      <w:r>
        <w:rPr>
          <w:rFonts w:ascii="宋体" w:hAnsi="宋体" w:eastAsia="宋体"/>
          <w:b w:val="0"/>
          <w:i w:val="0"/>
          <w:color w:val="000000"/>
          <w:sz w:val="21"/>
        </w:rPr>
        <w:t>上，实现对客户评级授信、风险监测及后续管理等的统一管控，以及信用风险压力测试和经济资本计量</w:t>
      </w:r>
      <w:r>
        <w:rPr>
          <w:rFonts w:ascii="宋体" w:hAnsi="宋体" w:eastAsia="宋体"/>
          <w:b w:val="0"/>
          <w:i w:val="0"/>
          <w:color w:val="000000"/>
          <w:sz w:val="21"/>
        </w:rPr>
        <w:t xml:space="preserve">等功能，优化了风险管理全流程。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4、市场风险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市场风险指因股票价格、利率水平、大宗商品价格及汇率等的不利变动导致公司持有的金融资产产</w:t>
      </w:r>
      <w:r>
        <w:rPr>
          <w:rFonts w:ascii="宋体" w:hAnsi="宋体" w:eastAsia="宋体"/>
          <w:b w:val="0"/>
          <w:i w:val="0"/>
          <w:color w:val="000000"/>
          <w:sz w:val="21"/>
        </w:rPr>
        <w:t>生损失的风险。市场风险主要包括权益价格风险、利率风险、商品价格风险和汇率风险。其中，权益价</w:t>
      </w:r>
      <w:r>
        <w:rPr>
          <w:rFonts w:ascii="宋体" w:hAnsi="宋体" w:eastAsia="宋体"/>
          <w:b w:val="0"/>
          <w:i w:val="0"/>
          <w:color w:val="000000"/>
          <w:sz w:val="21"/>
        </w:rPr>
        <w:t>格风险主要由股票、股票组合、股指期货等权益品种价格或波动率的不利变化引起；利率风险主要由固</w:t>
      </w:r>
      <w:r>
        <w:rPr>
          <w:rFonts w:ascii="宋体" w:hAnsi="宋体" w:eastAsia="宋体"/>
          <w:b w:val="0"/>
          <w:i w:val="0"/>
          <w:color w:val="000000"/>
          <w:sz w:val="21"/>
        </w:rPr>
        <w:t>定收益投资收益率曲线结构、利率波动性和信用利差等不利变化引起；商品价格风险主要由各类商品价</w:t>
      </w:r>
      <w:r>
        <w:rPr>
          <w:rFonts w:ascii="宋体" w:hAnsi="宋体" w:eastAsia="宋体"/>
          <w:b w:val="0"/>
          <w:i w:val="0"/>
          <w:color w:val="000000"/>
          <w:sz w:val="21"/>
        </w:rPr>
        <w:t xml:space="preserve">格或波动率的不利变化引起；汇率风险由非本国货币汇率不利变化引起。 </w:t>
      </w:r>
    </w:p>
    <w:p>
      <w:pPr>
        <w:autoSpaceDN w:val="0"/>
        <w:tabs>
          <w:tab w:pos="450"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每一年度，公司制定《风险偏好、风险容忍度和风险限额方案》，确定风险偏好基调，依据业务和产</w:t>
      </w:r>
      <w:r>
        <w:rPr>
          <w:rFonts w:ascii="宋体" w:hAnsi="宋体" w:eastAsia="宋体"/>
          <w:b w:val="0"/>
          <w:i w:val="0"/>
          <w:color w:val="000000"/>
          <w:sz w:val="21"/>
        </w:rPr>
        <w:t>品的市场风险收益特性、风险偏好、风险容忍度、资本实力、发展战略以及外部市场变化等要素确定规</w:t>
      </w:r>
      <w:r>
        <w:rPr>
          <w:rFonts w:ascii="宋体" w:hAnsi="宋体" w:eastAsia="宋体"/>
          <w:b w:val="0"/>
          <w:i w:val="0"/>
          <w:color w:val="000000"/>
          <w:sz w:val="21"/>
        </w:rPr>
        <w:t>模限额、损失限额、敏感度指标限额、集中度限额、止损（止盈）限额、VaR 限额等指标。在市场风险计</w:t>
      </w:r>
      <w:r>
        <w:rPr>
          <w:rFonts w:ascii="宋体" w:hAnsi="宋体" w:eastAsia="宋体"/>
          <w:b w:val="0"/>
          <w:i w:val="0"/>
          <w:color w:val="000000"/>
          <w:sz w:val="21"/>
        </w:rPr>
        <w:t>量方面，公司采用历史模拟法计算置信水平为95%的单日风险价值，并定期通过回溯测试检验模型的有效</w:t>
      </w:r>
      <w:r>
        <w:rPr>
          <w:rFonts w:ascii="宋体" w:hAnsi="宋体" w:eastAsia="宋体"/>
          <w:b w:val="0"/>
          <w:i w:val="0"/>
          <w:color w:val="000000"/>
          <w:sz w:val="21"/>
        </w:rPr>
        <w:t>性，同时，随着业务的拓展，持续改善和丰富风险计量模型；公司借助压力测试工具，评估极端市场环</w:t>
      </w:r>
      <w:r>
        <w:rPr>
          <w:rFonts w:ascii="宋体" w:hAnsi="宋体" w:eastAsia="宋体"/>
          <w:b w:val="0"/>
          <w:i w:val="0"/>
          <w:color w:val="000000"/>
          <w:sz w:val="21"/>
        </w:rPr>
        <w:t>境对持仓资产损益的影响。在市场风险管理方面，公司建立了自上而下的风险限额管理体系，将整体风</w:t>
      </w:r>
      <w:r>
        <w:rPr>
          <w:rFonts w:ascii="宋体" w:hAnsi="宋体" w:eastAsia="宋体"/>
          <w:b w:val="0"/>
          <w:i w:val="0"/>
          <w:color w:val="000000"/>
          <w:sz w:val="21"/>
        </w:rPr>
        <w:t>险限额分配至各业务部门/业务条线、子公司，并由内控部门监督执行。具体实施中，业务部门、子公司</w:t>
      </w:r>
      <w:r>
        <w:rPr>
          <w:rFonts w:ascii="宋体" w:hAnsi="宋体" w:eastAsia="宋体"/>
          <w:b w:val="0"/>
          <w:i w:val="0"/>
          <w:color w:val="000000"/>
          <w:sz w:val="21"/>
        </w:rPr>
        <w:t>作为市场风险的直接承担者，通过分散投资标的、控制持仓规模、使用场内外衍生品等对冲工具动态管</w:t>
      </w:r>
      <w:r>
        <w:rPr>
          <w:rFonts w:ascii="宋体" w:hAnsi="宋体" w:eastAsia="宋体"/>
          <w:b w:val="0"/>
          <w:i w:val="0"/>
          <w:color w:val="000000"/>
          <w:sz w:val="21"/>
        </w:rPr>
        <w:t>理其持仓所暴露出的市场风险，确保在所分配的限额内展业。风险管理部门在准确识别和计量的基础上</w:t>
      </w:r>
      <w:r>
        <w:rPr>
          <w:rFonts w:ascii="宋体" w:hAnsi="宋体" w:eastAsia="宋体"/>
          <w:b w:val="0"/>
          <w:i w:val="0"/>
          <w:color w:val="000000"/>
          <w:sz w:val="21"/>
        </w:rPr>
        <w:t>对整体的市场风险进行全面审慎评估、监测和管理，及时进行风险提示，督促业务部门处置风险。报告</w:t>
      </w:r>
      <w:r>
        <w:rPr>
          <w:rFonts w:ascii="宋体" w:hAnsi="宋体" w:eastAsia="宋体"/>
          <w:b w:val="0"/>
          <w:i w:val="0"/>
          <w:color w:val="000000"/>
          <w:sz w:val="21"/>
        </w:rPr>
        <w:t>期末，公司固收类和权益类资产风险价值（VaR）占公司净资产比重0.23%，固定收益类资产 DV01 938</w:t>
      </w:r>
      <w:r>
        <w:rPr>
          <w:rFonts w:ascii="宋体" w:hAnsi="宋体" w:eastAsia="宋体"/>
          <w:b w:val="0"/>
          <w:i w:val="0"/>
          <w:color w:val="000000"/>
          <w:sz w:val="21"/>
        </w:rPr>
        <w:t xml:space="preserve">万元，市场风险整体可控。 </w:t>
      </w:r>
    </w:p>
    <w:p>
      <w:pPr>
        <w:autoSpaceDN w:val="0"/>
        <w:tabs>
          <w:tab w:pos="450" w:val="left"/>
        </w:tabs>
        <w:autoSpaceDE w:val="0"/>
        <w:widowControl/>
        <w:spacing w:line="460" w:lineRule="exact" w:before="2" w:after="0"/>
        <w:ind w:left="30" w:right="0" w:firstLine="0"/>
        <w:jc w:val="left"/>
      </w:pPr>
      <w:r>
        <w:tab/>
      </w:r>
      <w:r>
        <w:rPr>
          <w:rFonts w:ascii="宋体" w:hAnsi="宋体" w:eastAsia="宋体"/>
          <w:b w:val="0"/>
          <w:i w:val="0"/>
          <w:color w:val="000000"/>
          <w:sz w:val="21"/>
        </w:rPr>
        <w:t>报告期内，公司持续优化衡泰市场风险管理系统，上线市场风险限额管理功能，并随着业务发展，</w:t>
      </w:r>
      <w:r>
        <w:rPr>
          <w:rFonts w:ascii="宋体" w:hAnsi="宋体" w:eastAsia="宋体"/>
          <w:b w:val="0"/>
          <w:i w:val="0"/>
          <w:color w:val="000000"/>
          <w:sz w:val="21"/>
        </w:rPr>
        <w:t xml:space="preserve">扩大系统对场外衍生品业务、境外业务的覆盖范围，不断提升业务风险计量的全面性和准确性。 </w:t>
      </w:r>
    </w:p>
    <w:p>
      <w:pPr>
        <w:autoSpaceDN w:val="0"/>
        <w:autoSpaceDE w:val="0"/>
        <w:widowControl/>
        <w:spacing w:line="212" w:lineRule="exact" w:before="248" w:after="0"/>
        <w:ind w:left="452" w:right="0" w:firstLine="0"/>
        <w:jc w:val="left"/>
      </w:pPr>
      <w:r>
        <w:rPr>
          <w:rFonts w:ascii="宋体" w:hAnsi="宋体" w:eastAsia="宋体"/>
          <w:b w:val="0"/>
          <w:i w:val="0"/>
          <w:color w:val="000000"/>
          <w:sz w:val="21"/>
        </w:rPr>
        <w:t xml:space="preserve">5、操作风险 </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57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1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0" name="Picture 6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12" w:bottom="446" w:left="1104" w:header="720" w:footer="720" w:gutter="0"/>
          <w:cols w:num="2" w:equalWidth="0">
            <w:col w:w="5436" w:space="0"/>
            <w:col w:w="4452" w:space="0"/>
          </w:cols>
          <w:docGrid w:linePitch="360"/>
        </w:sectPr>
      </w:pPr>
    </w:p>
    <w:p>
      <w:pPr>
        <w:autoSpaceDN w:val="0"/>
        <w:autoSpaceDE w:val="0"/>
        <w:widowControl/>
        <w:spacing w:line="200" w:lineRule="exact" w:before="0" w:after="30"/>
        <w:ind w:left="0" w:right="23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12" w:bottom="446" w:left="1104" w:header="720" w:footer="720" w:gutter="0"/>
          <w:cols w:num="2" w:equalWidth="0">
            <w:col w:w="5436" w:space="0"/>
            <w:col w:w="4452" w:space="0"/>
          </w:cols>
          <w:docGrid w:linePitch="360"/>
        </w:sectPr>
      </w:pPr>
    </w:p>
    <w:p>
      <w:pPr>
        <w:autoSpaceDN w:val="0"/>
        <w:tabs>
          <w:tab w:pos="450" w:val="left"/>
        </w:tabs>
        <w:autoSpaceDE w:val="0"/>
        <w:widowControl/>
        <w:spacing w:line="448" w:lineRule="exact" w:before="0" w:after="0"/>
        <w:ind w:left="30" w:right="144" w:firstLine="0"/>
        <w:jc w:val="left"/>
      </w:pP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操作风险指由不完善或有问题的内部程序、人员、信息技术系统，以及外部事件造成损失的风险。</w:t>
      </w:r>
      <w:r>
        <w:rPr>
          <w:rFonts w:ascii="宋体" w:hAnsi="宋体" w:eastAsia="宋体"/>
          <w:b w:val="0"/>
          <w:i w:val="0"/>
          <w:color w:val="000000"/>
          <w:sz w:val="21"/>
        </w:rPr>
        <w:t>主要表现为以下七类：内部欺诈，外部欺诈，就业制度和工作场所安全，客户、产品和业务活动，实物</w:t>
      </w:r>
      <w:r>
        <w:rPr>
          <w:rFonts w:ascii="宋体" w:hAnsi="宋体" w:eastAsia="宋体"/>
          <w:b w:val="0"/>
          <w:i w:val="0"/>
          <w:color w:val="000000"/>
          <w:sz w:val="21"/>
        </w:rPr>
        <w:t xml:space="preserve">资产损坏，营业中断和信息技术系统瘫痪，执行、交割和流程管理。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公司构建了覆盖组织架构、岗位设置、权责分配、业务流程等方面的各项内部管理制度和授权制衡</w:t>
      </w:r>
      <w:r>
        <w:rPr>
          <w:rFonts w:ascii="宋体" w:hAnsi="宋体" w:eastAsia="宋体"/>
          <w:b w:val="0"/>
          <w:i w:val="0"/>
          <w:color w:val="000000"/>
          <w:sz w:val="21"/>
        </w:rPr>
        <w:t>机制，明确授权范围、方式、权限、时效和责任，清晰界定各部门、分支机构、子公司及不同工作岗位</w:t>
      </w:r>
      <w:r>
        <w:rPr>
          <w:rFonts w:ascii="宋体" w:hAnsi="宋体" w:eastAsia="宋体"/>
          <w:b w:val="0"/>
          <w:i w:val="0"/>
          <w:color w:val="000000"/>
          <w:sz w:val="21"/>
        </w:rPr>
        <w:t>的目标、职责和权限，有效执行重要部门、关键岗位之间的分离、制衡及相互监督。公司持续深化操作</w:t>
      </w:r>
      <w:r>
        <w:rPr>
          <w:rFonts w:ascii="宋体" w:hAnsi="宋体" w:eastAsia="宋体"/>
          <w:b w:val="0"/>
          <w:i w:val="0"/>
          <w:color w:val="000000"/>
          <w:sz w:val="21"/>
        </w:rPr>
        <w:t>风险管理三大工具的运用，以流程梳理为核心，定期开展操作风险与控制自我评估（RCSA)、关键风险指</w:t>
      </w:r>
      <w:r>
        <w:rPr>
          <w:rFonts w:ascii="宋体" w:hAnsi="宋体" w:eastAsia="宋体"/>
          <w:b w:val="0"/>
          <w:i w:val="0"/>
          <w:color w:val="000000"/>
          <w:sz w:val="21"/>
        </w:rPr>
        <w:t>标（KRI）的录入及监测、操作风险损失数据收集（LDC）工作，并根据自评估结果和监测情况，优化业</w:t>
      </w:r>
      <w:r>
        <w:rPr>
          <w:rFonts w:ascii="宋体" w:hAnsi="宋体" w:eastAsia="宋体"/>
          <w:b w:val="0"/>
          <w:i w:val="0"/>
          <w:color w:val="000000"/>
          <w:sz w:val="21"/>
        </w:rPr>
        <w:t>务流程和关键风险指标。公司充分重视新业务、新设部门操作风险的识别与控制，规范业务操作规程，</w:t>
      </w:r>
      <w:r>
        <w:rPr>
          <w:rFonts w:ascii="宋体" w:hAnsi="宋体" w:eastAsia="宋体"/>
          <w:b w:val="0"/>
          <w:i w:val="0"/>
          <w:color w:val="000000"/>
          <w:sz w:val="21"/>
        </w:rPr>
        <w:t xml:space="preserve">确保公司总体操作风险可控、可承受。 </w:t>
      </w:r>
    </w:p>
    <w:p>
      <w:pPr>
        <w:autoSpaceDN w:val="0"/>
        <w:autoSpaceDE w:val="0"/>
        <w:widowControl/>
        <w:spacing w:line="460" w:lineRule="exact" w:before="2" w:after="0"/>
        <w:ind w:left="30" w:right="218" w:firstLine="420"/>
        <w:jc w:val="both"/>
      </w:pPr>
      <w:r>
        <w:rPr>
          <w:rFonts w:ascii="宋体" w:hAnsi="宋体" w:eastAsia="宋体"/>
          <w:b w:val="0"/>
          <w:i w:val="0"/>
          <w:color w:val="000000"/>
          <w:sz w:val="21"/>
        </w:rPr>
        <w:t>报告期内，公司持续开展“自查自纠”工作，详细梳理坚决不能触碰的监管底线，对照监管规定和</w:t>
      </w:r>
      <w:r>
        <w:rPr>
          <w:rFonts w:ascii="宋体" w:hAnsi="宋体" w:eastAsia="宋体"/>
          <w:b w:val="0"/>
          <w:i w:val="0"/>
          <w:color w:val="000000"/>
          <w:sz w:val="21"/>
        </w:rPr>
        <w:t>公司规章制度，全面排查各业务、各流程、各环节的潜在风险。修订《操作风险管理细则》等4 项规章</w:t>
      </w:r>
      <w:r>
        <w:rPr>
          <w:rFonts w:ascii="宋体" w:hAnsi="宋体" w:eastAsia="宋体"/>
          <w:b w:val="0"/>
          <w:i w:val="0"/>
          <w:color w:val="000000"/>
          <w:sz w:val="21"/>
        </w:rPr>
        <w:t>制度，举办操作风险管理专题培训及测试，着力提升全员操作风险管理责任意识。持续优化业务和管理</w:t>
      </w:r>
      <w:r>
        <w:rPr>
          <w:rFonts w:ascii="宋体" w:hAnsi="宋体" w:eastAsia="宋体"/>
          <w:b w:val="0"/>
          <w:i w:val="0"/>
          <w:color w:val="000000"/>
          <w:sz w:val="21"/>
        </w:rPr>
        <w:t xml:space="preserve">流程、关键风险指标，归纳分析操作风险事件，持续健全操作风险管理长效机制，操作风险整体可控。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6、合规风险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合规风险是指公司管理层或工作人员的缺乏合规意识，其经营管理或执业行为违反法律法规和准则，</w:t>
      </w:r>
      <w:r>
        <w:rPr>
          <w:rFonts w:ascii="宋体" w:hAnsi="宋体" w:eastAsia="宋体"/>
          <w:b w:val="0"/>
          <w:i w:val="0"/>
          <w:color w:val="000000"/>
          <w:sz w:val="21"/>
        </w:rPr>
        <w:t xml:space="preserve">使公司被依法追究法律责任、采取监管措施、给予纪律处分、出现财产损失或商业信誉损失的风险。 </w:t>
      </w:r>
    </w:p>
    <w:p>
      <w:pPr>
        <w:autoSpaceDN w:val="0"/>
        <w:tabs>
          <w:tab w:pos="450" w:val="left"/>
        </w:tabs>
        <w:autoSpaceDE w:val="0"/>
        <w:widowControl/>
        <w:spacing w:line="460" w:lineRule="exact" w:before="2" w:after="0"/>
        <w:ind w:left="30" w:right="144"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公司按照监管要求构建由董事会及其下设的风险管理委员会、合规总监、合规法律部门、各部门合</w:t>
      </w:r>
      <w:r>
        <w:rPr>
          <w:rFonts w:ascii="宋体" w:hAnsi="宋体" w:eastAsia="宋体"/>
          <w:b w:val="0"/>
          <w:i w:val="0"/>
          <w:color w:val="000000"/>
          <w:sz w:val="21"/>
        </w:rPr>
        <w:t>规管理岗四个层级组成的合规管理组织体系。根据业务开展情况，持续调整、充实各级合规管理人员。</w:t>
      </w:r>
      <w:r>
        <w:rPr>
          <w:rFonts w:ascii="宋体" w:hAnsi="宋体" w:eastAsia="宋体"/>
          <w:b w:val="0"/>
          <w:i w:val="0"/>
          <w:color w:val="000000"/>
          <w:sz w:val="21"/>
        </w:rPr>
        <w:t>严格按照《证券公司和证券投资基金管理公司合规管理办法》以及公司《合规管理制度》等相关规定，</w:t>
      </w:r>
      <w:r>
        <w:rPr>
          <w:rFonts w:ascii="宋体" w:hAnsi="宋体" w:eastAsia="宋体"/>
          <w:b w:val="0"/>
          <w:i w:val="0"/>
          <w:color w:val="000000"/>
          <w:sz w:val="21"/>
        </w:rPr>
        <w:t>对经营管理过程及员工执业行为进行合规性审查、监督和检查，通过合规咨询、反洗钱、信息隔离、投</w:t>
      </w:r>
      <w:r>
        <w:rPr>
          <w:rFonts w:ascii="宋体" w:hAnsi="宋体" w:eastAsia="宋体"/>
          <w:b w:val="0"/>
          <w:i w:val="0"/>
          <w:color w:val="000000"/>
          <w:sz w:val="21"/>
        </w:rPr>
        <w:t xml:space="preserve">诉举报处理、法律事务等一系列措施防范并管理合规风险。 </w:t>
      </w:r>
    </w:p>
    <w:p>
      <w:pPr>
        <w:autoSpaceDN w:val="0"/>
        <w:autoSpaceDE w:val="0"/>
        <w:widowControl/>
        <w:spacing w:line="460" w:lineRule="exact" w:before="2" w:after="0"/>
        <w:ind w:left="30" w:right="144" w:firstLine="420"/>
        <w:jc w:val="left"/>
      </w:pPr>
      <w:r>
        <w:rPr>
          <w:rFonts w:ascii="宋体" w:hAnsi="宋体" w:eastAsia="宋体"/>
          <w:b w:val="0"/>
          <w:i w:val="0"/>
          <w:color w:val="000000"/>
          <w:sz w:val="21"/>
        </w:rPr>
        <w:t>报告期内，公司积极响应“强本强基、严监严管”监管要求，秉持“看不清、管不住则不展业”原</w:t>
      </w:r>
      <w:r>
        <w:rPr>
          <w:rFonts w:ascii="宋体" w:hAnsi="宋体" w:eastAsia="宋体"/>
          <w:b w:val="0"/>
          <w:i w:val="0"/>
          <w:color w:val="000000"/>
          <w:sz w:val="21"/>
        </w:rPr>
        <w:t>则，修订完善相关制度体系，持续强化全面、全员合规管理。重点加强子公司全业务链条“垂直”一体</w:t>
      </w:r>
    </w:p>
    <w:p>
      <w:pPr>
        <w:autoSpaceDN w:val="0"/>
        <w:autoSpaceDE w:val="0"/>
        <w:widowControl/>
        <w:spacing w:line="197" w:lineRule="auto" w:before="1322" w:after="0"/>
        <w:ind w:left="0" w:right="4910" w:firstLine="0"/>
        <w:jc w:val="right"/>
      </w:pPr>
      <w:r>
        <w:rPr>
          <w:rFonts w:ascii="Calibri" w:hAnsi="Calibri" w:eastAsia="Calibri"/>
          <w:b w:val="0"/>
          <w:i w:val="0"/>
          <w:color w:val="000000"/>
          <w:sz w:val="18"/>
        </w:rPr>
        <w:t xml:space="preserve">58 </w:t>
      </w:r>
    </w:p>
    <w:p>
      <w:pPr>
        <w:sectPr>
          <w:type w:val="continuous"/>
          <w:pgSz w:w="11904" w:h="16841"/>
          <w:pgMar w:top="424" w:right="91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1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1" name="Picture 6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12" w:bottom="446" w:left="1104" w:header="720" w:footer="720" w:gutter="0"/>
          <w:cols w:num="2" w:equalWidth="0">
            <w:col w:w="5436" w:space="0"/>
            <w:col w:w="4452" w:space="0"/>
          </w:cols>
          <w:docGrid w:linePitch="360"/>
        </w:sectPr>
      </w:pPr>
    </w:p>
    <w:p>
      <w:pPr>
        <w:autoSpaceDN w:val="0"/>
        <w:autoSpaceDE w:val="0"/>
        <w:widowControl/>
        <w:spacing w:line="200" w:lineRule="exact" w:before="0" w:after="30"/>
        <w:ind w:left="0" w:right="23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12" w:bottom="446" w:left="1104" w:header="720" w:footer="720" w:gutter="0"/>
          <w:cols w:num="2" w:equalWidth="0">
            <w:col w:w="5436" w:space="0"/>
            <w:col w:w="4452" w:space="0"/>
          </w:cols>
          <w:docGrid w:linePitch="360"/>
        </w:sectPr>
      </w:pPr>
    </w:p>
    <w:p>
      <w:pPr>
        <w:autoSpaceDN w:val="0"/>
        <w:autoSpaceDE w:val="0"/>
        <w:widowControl/>
        <w:spacing w:line="436" w:lineRule="exact" w:before="0" w:after="0"/>
        <w:ind w:left="30" w:right="144" w:firstLine="0"/>
        <w:jc w:val="left"/>
      </w:pPr>
      <w:r>
        <w:rPr>
          <w:rFonts w:ascii="宋体" w:hAnsi="宋体" w:eastAsia="宋体"/>
          <w:b w:val="0"/>
          <w:i w:val="0"/>
          <w:color w:val="000000"/>
          <w:sz w:val="21"/>
        </w:rPr>
        <w:t>化管控和场外衍生品、程序化交易、反洗钱等管理，开展合规文化宣导，提升全体员工合规意识，合规</w:t>
      </w:r>
      <w:r>
        <w:rPr>
          <w:rFonts w:ascii="宋体" w:hAnsi="宋体" w:eastAsia="宋体"/>
          <w:b w:val="0"/>
          <w:i w:val="0"/>
          <w:color w:val="000000"/>
          <w:sz w:val="21"/>
        </w:rPr>
        <w:t xml:space="preserve">管理的有效性进一步提高。报告期内，公司各项业务合规运行，合规风险整体可控。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7、信息技术风险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信息技术风险主要是指各种内、外部原因造成公司信息系统运行异常或数据毁损、泄露，导致系统</w:t>
      </w:r>
      <w:r>
        <w:rPr>
          <w:rFonts w:ascii="宋体" w:hAnsi="宋体" w:eastAsia="宋体"/>
          <w:b w:val="0"/>
          <w:i w:val="0"/>
          <w:color w:val="000000"/>
          <w:sz w:val="21"/>
        </w:rPr>
        <w:t>在业务实现、响应速度、处理能力、数据加密等方面不能持续保障交易与业务管理稳定、高效、安全运</w:t>
      </w:r>
      <w:r>
        <w:rPr>
          <w:rFonts w:ascii="宋体" w:hAnsi="宋体" w:eastAsia="宋体"/>
          <w:b w:val="0"/>
          <w:i w:val="0"/>
          <w:color w:val="000000"/>
          <w:sz w:val="21"/>
        </w:rPr>
        <w:t xml:space="preserve">行，从而造成损失的风险。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公司设立信息技术治理委员会，制定信息技术发展战略，全面加强信息技术发展规划、信息技术投</w:t>
      </w:r>
      <w:r>
        <w:rPr>
          <w:rFonts w:ascii="宋体" w:hAnsi="宋体" w:eastAsia="宋体"/>
          <w:b w:val="0"/>
          <w:i w:val="0"/>
          <w:color w:val="000000"/>
          <w:sz w:val="21"/>
        </w:rPr>
        <w:t>入预算及分配方案、重要信息系统建设或重大改造立项、重大变更方案、信息技术应急预案等管理。公</w:t>
      </w:r>
      <w:r>
        <w:rPr>
          <w:rFonts w:ascii="宋体" w:hAnsi="宋体" w:eastAsia="宋体"/>
          <w:b w:val="0"/>
          <w:i w:val="0"/>
          <w:color w:val="000000"/>
          <w:sz w:val="21"/>
        </w:rPr>
        <w:t>司持续加大信息技术投入，全面加强信息系统、网络安全、数据治理与数据安全等建设，持续推动信息</w:t>
      </w:r>
      <w:r>
        <w:rPr>
          <w:rFonts w:ascii="宋体" w:hAnsi="宋体" w:eastAsia="宋体"/>
          <w:b w:val="0"/>
          <w:i w:val="0"/>
          <w:color w:val="000000"/>
          <w:sz w:val="21"/>
        </w:rPr>
        <w:t>技术应用创新，提高信息技术风险管控能力。报告期内，信息技术治理委员会设立网络安全工作组，统</w:t>
      </w:r>
      <w:r>
        <w:rPr>
          <w:rFonts w:ascii="宋体" w:hAnsi="宋体" w:eastAsia="宋体"/>
          <w:b w:val="0"/>
          <w:i w:val="0"/>
          <w:color w:val="000000"/>
          <w:sz w:val="21"/>
        </w:rPr>
        <w:t>筹开展母子公司网络和信息安全，优化完善信息技术管理制度与流程，通过了ISO27001 信息安全管理体</w:t>
      </w:r>
      <w:r>
        <w:rPr>
          <w:rFonts w:ascii="宋体" w:hAnsi="宋体" w:eastAsia="宋体"/>
          <w:b w:val="0"/>
          <w:i w:val="0"/>
          <w:color w:val="000000"/>
          <w:sz w:val="21"/>
        </w:rPr>
        <w:t>系认证。公司持续排查梳理系统风险点隐患，夯实信息安全事件应急预案，使用统一监控运维管理平台</w:t>
      </w:r>
      <w:r>
        <w:rPr>
          <w:rFonts w:ascii="宋体" w:hAnsi="宋体" w:eastAsia="宋体"/>
          <w:b w:val="0"/>
          <w:i w:val="0"/>
          <w:color w:val="000000"/>
          <w:sz w:val="21"/>
        </w:rPr>
        <w:t xml:space="preserve">实现“三地四数据中心”基础资源的全覆盖。 </w:t>
      </w:r>
    </w:p>
    <w:p>
      <w:pPr>
        <w:autoSpaceDN w:val="0"/>
        <w:tabs>
          <w:tab w:pos="450" w:val="left"/>
        </w:tabs>
        <w:autoSpaceDE w:val="0"/>
        <w:widowControl/>
        <w:spacing w:line="458" w:lineRule="exact" w:before="2" w:after="0"/>
        <w:ind w:left="30" w:right="0" w:firstLine="0"/>
        <w:jc w:val="left"/>
      </w:pPr>
      <w:r>
        <w:tab/>
      </w:r>
      <w:r>
        <w:rPr>
          <w:rFonts w:ascii="宋体" w:hAnsi="宋体" w:eastAsia="宋体"/>
          <w:b w:val="0"/>
          <w:i w:val="0"/>
          <w:color w:val="000000"/>
          <w:sz w:val="21"/>
        </w:rPr>
        <w:t>报告期内，各信息系统应急演练结果均达到设定目标，验证了公司信息技术已具备符合需求的故障、</w:t>
      </w:r>
      <w:r>
        <w:rPr>
          <w:rFonts w:ascii="宋体" w:hAnsi="宋体" w:eastAsia="宋体"/>
          <w:b w:val="0"/>
          <w:i w:val="0"/>
          <w:color w:val="000000"/>
          <w:sz w:val="21"/>
        </w:rPr>
        <w:t xml:space="preserve">灾难应对能力。公司信息系统平稳安全运行，未发生重大信息技术风险事件。 </w:t>
      </w:r>
    </w:p>
    <w:p>
      <w:pPr>
        <w:autoSpaceDN w:val="0"/>
        <w:tabs>
          <w:tab w:pos="450" w:val="left"/>
          <w:tab w:pos="452" w:val="left"/>
        </w:tabs>
        <w:autoSpaceDE w:val="0"/>
        <w:widowControl/>
        <w:spacing w:line="460" w:lineRule="exact" w:before="2" w:after="0"/>
        <w:ind w:left="30" w:right="144" w:firstLine="0"/>
        <w:jc w:val="left"/>
      </w:pPr>
      <w:r>
        <w:tab/>
      </w:r>
      <w:r>
        <w:rPr>
          <w:rFonts w:ascii="宋体" w:hAnsi="宋体" w:eastAsia="宋体"/>
          <w:b w:val="0"/>
          <w:i w:val="0"/>
          <w:color w:val="000000"/>
          <w:sz w:val="21"/>
        </w:rPr>
        <w:t xml:space="preserve">8、声誉风险 </w:t>
      </w:r>
      <w:r>
        <w:br/>
      </w: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声誉风险是指公司经营行为或外部事件、工作人员违反廉洁规定、职业道德、业务规范、行规行约</w:t>
      </w:r>
      <w:r>
        <w:rPr>
          <w:rFonts w:ascii="宋体" w:hAnsi="宋体" w:eastAsia="宋体"/>
          <w:b w:val="0"/>
          <w:i w:val="0"/>
          <w:color w:val="000000"/>
          <w:sz w:val="21"/>
        </w:rPr>
        <w:t>等相关行为，导致投资者、发行人、监管机构、自律组织、社会公众、媒体等对公司形成负面评价，从</w:t>
      </w:r>
      <w:r>
        <w:rPr>
          <w:rFonts w:ascii="宋体" w:hAnsi="宋体" w:eastAsia="宋体"/>
          <w:b w:val="0"/>
          <w:i w:val="0"/>
          <w:color w:val="000000"/>
          <w:sz w:val="21"/>
        </w:rPr>
        <w:t xml:space="preserve">而损害公司品牌价值，影响公司正常经营，甚至影响到市场稳定和社会稳定的风险。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报告期内，公司遵循全程全员、预防第一、审慎管理、快速响应的原则，持续建立健全声誉风险管</w:t>
      </w:r>
      <w:r>
        <w:rPr>
          <w:rFonts w:ascii="宋体" w:hAnsi="宋体" w:eastAsia="宋体"/>
          <w:b w:val="0"/>
          <w:i w:val="0"/>
          <w:color w:val="000000"/>
          <w:sz w:val="21"/>
        </w:rPr>
        <w:t>理制度及体系，培育全员声誉风险防范意识，主动有效地识别、评估、控制、监测、应对和报告声誉风</w:t>
      </w:r>
      <w:r>
        <w:rPr>
          <w:rFonts w:ascii="宋体" w:hAnsi="宋体" w:eastAsia="宋体"/>
          <w:b w:val="0"/>
          <w:i w:val="0"/>
          <w:color w:val="000000"/>
          <w:sz w:val="21"/>
        </w:rPr>
        <w:t>险。公司持续强化与投资者等利益相关方的沟通，多方式、多维度主动传播公司正面、客观信息，并通</w:t>
      </w:r>
      <w:r>
        <w:rPr>
          <w:rFonts w:ascii="宋体" w:hAnsi="宋体" w:eastAsia="宋体"/>
          <w:b w:val="0"/>
          <w:i w:val="0"/>
          <w:color w:val="000000"/>
          <w:sz w:val="21"/>
        </w:rPr>
        <w:t>过有效的系统实施舆情监测并进行分级管理，及时发现、追踪和处置风险隐患，有效维护公司声誉和品</w:t>
      </w:r>
      <w:r>
        <w:rPr>
          <w:rFonts w:ascii="宋体" w:hAnsi="宋体" w:eastAsia="宋体"/>
          <w:b w:val="0"/>
          <w:i w:val="0"/>
          <w:color w:val="000000"/>
          <w:sz w:val="21"/>
        </w:rPr>
        <w:t xml:space="preserve">牌形象。报告期内，公司整体舆情平稳，未发生重大声誉风险事件。 </w:t>
      </w:r>
    </w:p>
    <w:p>
      <w:pPr>
        <w:autoSpaceDN w:val="0"/>
        <w:autoSpaceDE w:val="0"/>
        <w:widowControl/>
        <w:spacing w:line="212" w:lineRule="exact" w:before="248" w:after="0"/>
        <w:ind w:left="452" w:right="0" w:firstLine="0"/>
        <w:jc w:val="left"/>
      </w:pPr>
      <w:r>
        <w:rPr>
          <w:rFonts w:ascii="宋体" w:hAnsi="宋体" w:eastAsia="宋体"/>
          <w:b w:val="0"/>
          <w:i w:val="0"/>
          <w:color w:val="000000"/>
          <w:sz w:val="21"/>
        </w:rPr>
        <w:t xml:space="preserve">9、人才流失和人才储备不足的风险 </w:t>
      </w:r>
    </w:p>
    <w:p>
      <w:pPr>
        <w:autoSpaceDN w:val="0"/>
        <w:autoSpaceDE w:val="0"/>
        <w:widowControl/>
        <w:spacing w:line="197" w:lineRule="auto" w:before="862" w:after="0"/>
        <w:ind w:left="0" w:right="4910" w:firstLine="0"/>
        <w:jc w:val="right"/>
      </w:pPr>
      <w:r>
        <w:rPr>
          <w:rFonts w:ascii="Calibri" w:hAnsi="Calibri" w:eastAsia="Calibri"/>
          <w:b w:val="0"/>
          <w:i w:val="0"/>
          <w:color w:val="000000"/>
          <w:sz w:val="18"/>
        </w:rPr>
        <w:t xml:space="preserve">59 </w:t>
      </w:r>
    </w:p>
    <w:p>
      <w:pPr>
        <w:sectPr>
          <w:type w:val="continuous"/>
          <w:pgSz w:w="11904" w:h="16841"/>
          <w:pgMar w:top="424" w:right="91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420" w:bottom="446" w:left="440" w:header="720" w:footer="720" w:gutter="0"/>
          <w:cols/>
          <w:docGrid w:linePitch="360"/>
        </w:sectPr>
      </w:pPr>
    </w:p>
    <w:p>
      <w:pPr>
        <w:autoSpaceDN w:val="0"/>
        <w:autoSpaceDE w:val="0"/>
        <w:widowControl/>
        <w:spacing w:line="240" w:lineRule="auto" w:before="0" w:after="0"/>
        <w:ind w:left="694" w:right="0" w:firstLine="0"/>
        <w:jc w:val="left"/>
      </w:pPr>
      <w:r>
        <w:drawing>
          <wp:inline xmlns:a="http://schemas.openxmlformats.org/drawingml/2006/main" xmlns:pic="http://schemas.openxmlformats.org/drawingml/2006/picture">
            <wp:extent cx="1844039" cy="439419"/>
            <wp:docPr id="62" name="Picture 6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20" w:bottom="446" w:left="440" w:header="720" w:footer="720" w:gutter="0"/>
          <w:cols w:num="2" w:equalWidth="0">
            <w:col w:w="6100" w:space="0"/>
            <w:col w:w="4944" w:space="0"/>
          </w:cols>
          <w:docGrid w:linePitch="360"/>
        </w:sectPr>
      </w:pPr>
    </w:p>
    <w:p>
      <w:pPr>
        <w:autoSpaceDN w:val="0"/>
        <w:autoSpaceDE w:val="0"/>
        <w:widowControl/>
        <w:spacing w:line="200" w:lineRule="exact" w:before="0" w:after="30"/>
        <w:ind w:left="0" w:right="72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20" w:bottom="446" w:left="440" w:header="720" w:footer="720" w:gutter="0"/>
          <w:cols w:num="2" w:equalWidth="0">
            <w:col w:w="6100" w:space="0"/>
            <w:col w:w="4944" w:space="0"/>
          </w:cols>
          <w:docGrid w:linePitch="360"/>
        </w:sectPr>
      </w:pPr>
    </w:p>
    <w:p>
      <w:pPr>
        <w:autoSpaceDN w:val="0"/>
        <w:tabs>
          <w:tab w:pos="1114" w:val="left"/>
        </w:tabs>
        <w:autoSpaceDE w:val="0"/>
        <w:widowControl/>
        <w:spacing w:line="448" w:lineRule="exact" w:before="0" w:after="0"/>
        <w:ind w:left="694" w:right="576" w:firstLine="0"/>
        <w:jc w:val="left"/>
      </w:pPr>
      <w:r>
        <w:tab/>
      </w:r>
      <w:r>
        <w:rPr>
          <w:rFonts w:ascii="宋体" w:hAnsi="宋体" w:eastAsia="宋体"/>
          <w:b w:val="0"/>
          <w:i w:val="0"/>
          <w:color w:val="000000"/>
          <w:sz w:val="21"/>
        </w:rPr>
        <w:t xml:space="preserve">（1）概况及风险表现 </w:t>
      </w:r>
      <w:r>
        <w:br/>
      </w:r>
      <w:r>
        <w:tab/>
      </w:r>
      <w:r>
        <w:rPr>
          <w:rFonts w:ascii="宋体" w:hAnsi="宋体" w:eastAsia="宋体"/>
          <w:b w:val="0"/>
          <w:i w:val="0"/>
          <w:color w:val="000000"/>
          <w:sz w:val="21"/>
        </w:rPr>
        <w:t>人才流失和人才储备不足是公司在发展过程中可能面临的两大风险，人才流失风险表现为业务连续</w:t>
      </w:r>
      <w:r>
        <w:rPr>
          <w:rFonts w:ascii="宋体" w:hAnsi="宋体" w:eastAsia="宋体"/>
          <w:b w:val="0"/>
          <w:i w:val="0"/>
          <w:color w:val="000000"/>
          <w:sz w:val="21"/>
        </w:rPr>
        <w:t>性中断、知识资产损失、客户资源流失、团队士气受挫等。人才储备不足风险表现为在业务拓展或面临</w:t>
      </w:r>
      <w:r>
        <w:rPr>
          <w:rFonts w:ascii="宋体" w:hAnsi="宋体" w:eastAsia="宋体"/>
          <w:b w:val="0"/>
          <w:i w:val="0"/>
          <w:color w:val="000000"/>
          <w:sz w:val="21"/>
        </w:rPr>
        <w:t xml:space="preserve">新机遇时，无法及时调配合适人员，导致项目推进缓慢，错失市场机会。 </w:t>
      </w:r>
    </w:p>
    <w:p>
      <w:pPr>
        <w:autoSpaceDN w:val="0"/>
        <w:tabs>
          <w:tab w:pos="1114" w:val="left"/>
        </w:tabs>
        <w:autoSpaceDE w:val="0"/>
        <w:widowControl/>
        <w:spacing w:line="460" w:lineRule="exact" w:before="0" w:after="0"/>
        <w:ind w:left="694" w:right="576" w:firstLine="0"/>
        <w:jc w:val="left"/>
      </w:pPr>
      <w:r>
        <w:tab/>
      </w:r>
      <w:r>
        <w:rPr>
          <w:rFonts w:ascii="宋体" w:hAnsi="宋体" w:eastAsia="宋体"/>
          <w:b w:val="0"/>
          <w:i w:val="0"/>
          <w:color w:val="000000"/>
          <w:sz w:val="21"/>
        </w:rPr>
        <w:t xml:space="preserve">2）应对措施 </w:t>
      </w:r>
      <w:r>
        <w:br/>
      </w:r>
      <w:r>
        <w:tab/>
      </w:r>
      <w:r>
        <w:rPr>
          <w:rFonts w:ascii="宋体" w:hAnsi="宋体" w:eastAsia="宋体"/>
          <w:b w:val="0"/>
          <w:i w:val="0"/>
          <w:color w:val="000000"/>
          <w:sz w:val="21"/>
        </w:rPr>
        <w:t>公司始终把员工队伍作为高质量发展最可依赖的宝贵资源和推进整体战略的核心力量，依据金融机</w:t>
      </w:r>
      <w:r>
        <w:rPr>
          <w:rFonts w:ascii="宋体" w:hAnsi="宋体" w:eastAsia="宋体"/>
          <w:b w:val="0"/>
          <w:i w:val="0"/>
          <w:color w:val="000000"/>
          <w:sz w:val="21"/>
        </w:rPr>
        <w:t>构人才管理特点，充分识别、评估和应对人力资源管理风险，持续优化人力资源管理体系，为公司可持</w:t>
      </w:r>
      <w:r>
        <w:rPr>
          <w:rFonts w:ascii="宋体" w:hAnsi="宋体" w:eastAsia="宋体"/>
          <w:b w:val="0"/>
          <w:i w:val="0"/>
          <w:color w:val="000000"/>
          <w:sz w:val="21"/>
        </w:rPr>
        <w:t xml:space="preserve">续发展提供稳定的人才支撑。 </w:t>
      </w:r>
    </w:p>
    <w:p>
      <w:pPr>
        <w:autoSpaceDN w:val="0"/>
        <w:autoSpaceDE w:val="0"/>
        <w:widowControl/>
        <w:spacing w:line="460" w:lineRule="exact" w:before="0" w:after="0"/>
        <w:ind w:left="694" w:right="432" w:firstLine="420"/>
        <w:jc w:val="left"/>
      </w:pPr>
      <w:r>
        <w:rPr>
          <w:rFonts w:ascii="宋体" w:hAnsi="宋体" w:eastAsia="宋体"/>
          <w:b w:val="0"/>
          <w:i w:val="0"/>
          <w:color w:val="000000"/>
          <w:sz w:val="21"/>
        </w:rPr>
        <w:t>公司结合战略规划与业务发展，制定并适时优化长短期相结合的人力资源管理规划，完善管理与专</w:t>
      </w:r>
      <w:r>
        <w:rPr>
          <w:rFonts w:ascii="宋体" w:hAnsi="宋体" w:eastAsia="宋体"/>
          <w:b w:val="0"/>
          <w:i w:val="0"/>
          <w:color w:val="000000"/>
          <w:sz w:val="21"/>
        </w:rPr>
        <w:t>业双序列职业发展通道，建立员工培训轮岗机制，持续提升员工专业技能与综合素质。公司构建了较为</w:t>
      </w:r>
      <w:r>
        <w:rPr>
          <w:rFonts w:ascii="宋体" w:hAnsi="宋体" w:eastAsia="宋体"/>
          <w:b w:val="0"/>
          <w:i w:val="0"/>
          <w:color w:val="000000"/>
          <w:sz w:val="21"/>
        </w:rPr>
        <w:t>完善的人才选拔任用机制，通过内部招聘、员工推荐、外部公开招聘、猎头推荐等方式广泛招揽选拔人</w:t>
      </w:r>
      <w:r>
        <w:rPr>
          <w:rFonts w:ascii="宋体" w:hAnsi="宋体" w:eastAsia="宋体"/>
          <w:b w:val="0"/>
          <w:i w:val="0"/>
          <w:color w:val="000000"/>
          <w:sz w:val="21"/>
        </w:rPr>
        <w:t>才。公司建立人才储备库，适时补充空缺岗位。公司遵循市场化、专业化、差异化原则，将员工价值与</w:t>
      </w:r>
      <w:r>
        <w:rPr>
          <w:rFonts w:ascii="宋体" w:hAnsi="宋体" w:eastAsia="宋体"/>
          <w:b w:val="0"/>
          <w:i w:val="0"/>
          <w:color w:val="000000"/>
          <w:sz w:val="21"/>
        </w:rPr>
        <w:t>岗位价值、薪酬总额控制与动态管理相结合，建立与公司价值导向、战略目标、企业文化相匹配的薪酬</w:t>
      </w:r>
      <w:r>
        <w:rPr>
          <w:rFonts w:ascii="宋体" w:hAnsi="宋体" w:eastAsia="宋体"/>
          <w:b w:val="0"/>
          <w:i w:val="0"/>
          <w:color w:val="000000"/>
          <w:sz w:val="21"/>
        </w:rPr>
        <w:t>考核激励体系。公司定期开展薪酬调研，优化薪酬架构，提供补充商业保险、带薪年假、节日福利等多</w:t>
      </w:r>
      <w:r>
        <w:rPr>
          <w:rFonts w:ascii="宋体" w:hAnsi="宋体" w:eastAsia="宋体"/>
          <w:b w:val="0"/>
          <w:i w:val="0"/>
          <w:color w:val="000000"/>
          <w:sz w:val="21"/>
        </w:rPr>
        <w:t>样化福利，增强员工归属感。此外，公司深化员工民主管理，多渠道畅通员工诉求，通过职工代表大会、</w:t>
      </w:r>
      <w:r>
        <w:rPr>
          <w:rFonts w:ascii="宋体" w:hAnsi="宋体" w:eastAsia="宋体"/>
          <w:b w:val="0"/>
          <w:i w:val="0"/>
          <w:color w:val="000000"/>
          <w:sz w:val="21"/>
        </w:rPr>
        <w:t>员工座谈会、专门邮箱、知鸟线上平台征集建议等多途径收集员工意见建议，广泛听取员工心声。公司</w:t>
      </w:r>
      <w:r>
        <w:rPr>
          <w:rFonts w:ascii="宋体" w:hAnsi="宋体" w:eastAsia="宋体"/>
          <w:b w:val="0"/>
          <w:i w:val="0"/>
          <w:color w:val="000000"/>
          <w:sz w:val="21"/>
        </w:rPr>
        <w:t>成立篮球队、足球队、合唱团、瑜伽队、教育培训工作组等13 个职工协会，不断丰富员工业余生活，积</w:t>
      </w:r>
      <w:r>
        <w:rPr>
          <w:rFonts w:ascii="宋体" w:hAnsi="宋体" w:eastAsia="宋体"/>
          <w:b w:val="0"/>
          <w:i w:val="0"/>
          <w:color w:val="000000"/>
          <w:sz w:val="21"/>
        </w:rPr>
        <w:t xml:space="preserve">极营造健康向上、充满活力的职场氛围。 </w:t>
      </w:r>
    </w:p>
    <w:p>
      <w:pPr>
        <w:autoSpaceDN w:val="0"/>
        <w:autoSpaceDE w:val="0"/>
        <w:widowControl/>
        <w:spacing w:line="240" w:lineRule="exact" w:before="414" w:after="0"/>
        <w:ind w:left="694" w:right="0" w:firstLine="0"/>
        <w:jc w:val="left"/>
      </w:pPr>
      <w:r>
        <w:rPr>
          <w:rFonts w:ascii="宋体" w:hAnsi="宋体" w:eastAsia="宋体"/>
          <w:b w:val="0"/>
          <w:i w:val="0"/>
          <w:color w:val="000000"/>
          <w:sz w:val="24"/>
        </w:rPr>
        <w:t xml:space="preserve">十三、报告期内接待调研、沟通、采访等活动 </w:t>
      </w:r>
    </w:p>
    <w:p>
      <w:pPr>
        <w:autoSpaceDN w:val="0"/>
        <w:autoSpaceDE w:val="0"/>
        <w:widowControl/>
        <w:spacing w:line="212" w:lineRule="exact" w:before="514" w:after="220"/>
        <w:ind w:left="1116" w:right="0" w:firstLine="0"/>
        <w:jc w:val="left"/>
      </w:pPr>
      <w:r>
        <w:rPr>
          <w:rFonts w:ascii="宋体" w:hAnsi="宋体" w:eastAsia="宋体"/>
          <w:b w:val="0"/>
          <w:i w:val="0"/>
          <w:color w:val="000000"/>
          <w:sz w:val="21"/>
        </w:rPr>
        <w:t xml:space="preserve">1、报告期内接待调研、沟通、采访等活动 </w:t>
      </w:r>
    </w:p>
    <w:tbl>
      <w:tblPr>
        <w:tblW w:type="auto" w:w="0"/>
        <w:tblLayout w:type="fixed"/>
        <w:tblLook w:firstColumn="1" w:firstRow="1" w:lastColumn="0" w:lastRow="0" w:noHBand="0" w:noVBand="1" w:val="04A0"/>
        <w:tblInd w:w="2.0000000000000284" w:type="dxa"/>
      </w:tblPr>
      <w:tblGrid>
        <w:gridCol w:w="1578"/>
        <w:gridCol w:w="1578"/>
        <w:gridCol w:w="1578"/>
        <w:gridCol w:w="1578"/>
        <w:gridCol w:w="1578"/>
        <w:gridCol w:w="1578"/>
        <w:gridCol w:w="1578"/>
      </w:tblGrid>
      <w:tr>
        <w:trPr>
          <w:trHeight w:hRule="exact" w:val="606"/>
        </w:trPr>
        <w:tc>
          <w:tcPr>
            <w:tcW w:type="dxa" w:w="1968"/>
            <w:tcBorders>
              <w:start w:sz="1.5999999999999943" w:val="single" w:color="#000000"/>
              <w:top w:sz="1.6000000000003638"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234" w:after="0"/>
              <w:ind w:left="0" w:right="0" w:firstLine="0"/>
              <w:jc w:val="center"/>
            </w:pPr>
            <w:r>
              <w:rPr>
                <w:rFonts w:ascii="宋体" w:hAnsi="宋体" w:eastAsia="宋体"/>
                <w:b w:val="0"/>
                <w:i w:val="0"/>
                <w:color w:val="000000"/>
                <w:sz w:val="18"/>
              </w:rPr>
              <w:t>接待时间</w:t>
            </w:r>
          </w:p>
        </w:tc>
        <w:tc>
          <w:tcPr>
            <w:tcW w:type="dxa" w:w="1614"/>
            <w:tcBorders>
              <w:start w:sz="1.599999999999909" w:val="single" w:color="#000000"/>
              <w:top w:sz="1.6000000000003638" w:val="single" w:color="#000000"/>
              <w:end w:sz="1.6000000000001364" w:val="single" w:color="#000000"/>
              <w:bottom w:sz="2.399999999999636" w:val="single" w:color="#000000"/>
            </w:tcBorders>
            <w:shd w:fill="d2d2d2"/>
            <w:tcMar>
              <w:start w:w="0" w:type="dxa"/>
              <w:end w:w="0" w:type="dxa"/>
            </w:tcMar>
          </w:tcPr>
          <w:p>
            <w:pPr>
              <w:autoSpaceDN w:val="0"/>
              <w:autoSpaceDE w:val="0"/>
              <w:widowControl/>
              <w:spacing w:line="180" w:lineRule="exact" w:before="234" w:after="0"/>
              <w:ind w:left="0" w:right="0" w:firstLine="0"/>
              <w:jc w:val="center"/>
            </w:pPr>
            <w:r>
              <w:rPr>
                <w:rFonts w:ascii="宋体" w:hAnsi="宋体" w:eastAsia="宋体"/>
                <w:b w:val="0"/>
                <w:i w:val="0"/>
                <w:color w:val="000000"/>
                <w:sz w:val="18"/>
              </w:rPr>
              <w:t>接待地点</w:t>
            </w:r>
          </w:p>
        </w:tc>
        <w:tc>
          <w:tcPr>
            <w:tcW w:type="dxa" w:w="992"/>
            <w:tcBorders>
              <w:start w:sz="1.6000000000001364"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234" w:after="0"/>
              <w:ind w:left="0" w:right="0" w:firstLine="0"/>
              <w:jc w:val="center"/>
            </w:pPr>
            <w:r>
              <w:rPr>
                <w:rFonts w:ascii="宋体" w:hAnsi="宋体" w:eastAsia="宋体"/>
                <w:b w:val="0"/>
                <w:i w:val="0"/>
                <w:color w:val="000000"/>
                <w:sz w:val="18"/>
              </w:rPr>
              <w:t>接待方式</w:t>
            </w:r>
          </w:p>
        </w:tc>
        <w:tc>
          <w:tcPr>
            <w:tcW w:type="dxa" w:w="852"/>
            <w:tcBorders>
              <w:start w:sz="2.400000000000091" w:val="single" w:color="#000000"/>
              <w:top w:sz="1.6000000000003638"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282" w:lineRule="exact" w:before="0" w:after="0"/>
              <w:ind w:left="144" w:right="144" w:firstLine="0"/>
              <w:jc w:val="center"/>
            </w:pPr>
            <w:r>
              <w:rPr>
                <w:rFonts w:ascii="宋体" w:hAnsi="宋体" w:eastAsia="宋体"/>
                <w:b w:val="0"/>
                <w:i w:val="0"/>
                <w:color w:val="000000"/>
                <w:sz w:val="18"/>
              </w:rPr>
              <w:t>接待对</w:t>
            </w:r>
            <w:r>
              <w:rPr>
                <w:rFonts w:ascii="宋体" w:hAnsi="宋体" w:eastAsia="宋体"/>
                <w:b w:val="0"/>
                <w:i w:val="0"/>
                <w:color w:val="000000"/>
                <w:sz w:val="18"/>
              </w:rPr>
              <w:t>象类型</w:t>
            </w:r>
          </w:p>
        </w:tc>
        <w:tc>
          <w:tcPr>
            <w:tcW w:type="dxa" w:w="1984"/>
            <w:tcBorders>
              <w:start w:sz="2.400000000000091" w:val="single" w:color="#000000"/>
              <w:top w:sz="1.6000000000003638"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234" w:after="0"/>
              <w:ind w:left="0" w:right="0" w:firstLine="0"/>
              <w:jc w:val="center"/>
            </w:pPr>
            <w:r>
              <w:rPr>
                <w:rFonts w:ascii="宋体" w:hAnsi="宋体" w:eastAsia="宋体"/>
                <w:b w:val="0"/>
                <w:i w:val="0"/>
                <w:color w:val="000000"/>
                <w:sz w:val="18"/>
              </w:rPr>
              <w:t>接待对象</w:t>
            </w:r>
          </w:p>
        </w:tc>
        <w:tc>
          <w:tcPr>
            <w:tcW w:type="dxa" w:w="1616"/>
            <w:tcBorders>
              <w:start w:sz="1.599999999999909" w:val="single" w:color="#000000"/>
              <w:top w:sz="1.6000000000003638"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282" w:lineRule="exact" w:before="0" w:after="0"/>
              <w:ind w:left="144" w:right="144" w:firstLine="0"/>
              <w:jc w:val="center"/>
            </w:pPr>
            <w:r>
              <w:rPr>
                <w:rFonts w:ascii="宋体" w:hAnsi="宋体" w:eastAsia="宋体"/>
                <w:b w:val="0"/>
                <w:i w:val="0"/>
                <w:color w:val="000000"/>
                <w:sz w:val="18"/>
              </w:rPr>
              <w:t>谈论的主要内容</w:t>
            </w:r>
            <w:r>
              <w:rPr>
                <w:rFonts w:ascii="宋体" w:hAnsi="宋体" w:eastAsia="宋体"/>
                <w:b w:val="0"/>
                <w:i w:val="0"/>
                <w:color w:val="000000"/>
                <w:sz w:val="18"/>
              </w:rPr>
              <w:t>及提供的资料</w:t>
            </w:r>
          </w:p>
        </w:tc>
        <w:tc>
          <w:tcPr>
            <w:tcW w:type="dxa" w:w="1994"/>
            <w:tcBorders>
              <w:start w:sz="1.599999999999909" w:val="single" w:color="#000000"/>
              <w:top w:sz="1.6000000000003638" w:val="single" w:color="#000000"/>
              <w:end w:sz="1.6000000000003638" w:val="single" w:color="#000000"/>
              <w:bottom w:sz="2.399999999999636" w:val="single" w:color="#000000"/>
            </w:tcBorders>
            <w:shd w:fill="d2d2d2"/>
            <w:tcMar>
              <w:start w:w="0" w:type="dxa"/>
              <w:end w:w="0" w:type="dxa"/>
            </w:tcMar>
          </w:tcPr>
          <w:p>
            <w:pPr>
              <w:autoSpaceDN w:val="0"/>
              <w:autoSpaceDE w:val="0"/>
              <w:widowControl/>
              <w:spacing w:line="180" w:lineRule="exact" w:before="234" w:after="0"/>
              <w:ind w:left="0" w:right="0" w:firstLine="0"/>
              <w:jc w:val="center"/>
            </w:pPr>
            <w:r>
              <w:rPr>
                <w:rFonts w:ascii="宋体" w:hAnsi="宋体" w:eastAsia="宋体"/>
                <w:b w:val="0"/>
                <w:i w:val="0"/>
                <w:color w:val="000000"/>
                <w:sz w:val="18"/>
              </w:rPr>
              <w:t>调研的基本情况索引</w:t>
            </w:r>
          </w:p>
        </w:tc>
      </w:tr>
      <w:tr>
        <w:trPr>
          <w:trHeight w:hRule="exact" w:val="736"/>
        </w:trPr>
        <w:tc>
          <w:tcPr>
            <w:tcW w:type="dxa" w:w="1968"/>
            <w:tcBorders>
              <w:start w:sz="1.5999999999999943"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264" w:after="0"/>
              <w:ind w:left="0" w:right="0" w:firstLine="0"/>
              <w:jc w:val="center"/>
            </w:pPr>
            <w:r>
              <w:rPr>
                <w:rFonts w:ascii="Times New Roman" w:hAnsi="Times New Roman" w:eastAsia="Times New Roman"/>
                <w:b w:val="0"/>
                <w:i w:val="0"/>
                <w:color w:val="000000"/>
                <w:sz w:val="18"/>
              </w:rPr>
              <w:t xml:space="preserve">2024.01.01-2024.12.31 </w:t>
            </w:r>
          </w:p>
        </w:tc>
        <w:tc>
          <w:tcPr>
            <w:tcW w:type="dxa" w:w="1614"/>
            <w:tcBorders>
              <w:start w:sz="1.599999999999909"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274" w:after="0"/>
              <w:ind w:left="0" w:right="106" w:firstLine="0"/>
              <w:jc w:val="right"/>
            </w:pPr>
            <w:r>
              <w:rPr>
                <w:rFonts w:ascii="宋体" w:hAnsi="宋体" w:eastAsia="宋体"/>
                <w:b w:val="0"/>
                <w:i w:val="0"/>
                <w:color w:val="000000"/>
                <w:sz w:val="18"/>
              </w:rPr>
              <w:t>公司</w:t>
            </w:r>
          </w:p>
        </w:tc>
        <w:tc>
          <w:tcPr>
            <w:tcW w:type="dxa" w:w="992"/>
            <w:tcBorders>
              <w:start w:sz="1.6000000000001364"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电话沟通</w:t>
            </w:r>
          </w:p>
        </w:tc>
        <w:tc>
          <w:tcPr>
            <w:tcW w:type="dxa" w:w="852"/>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个人</w:t>
            </w:r>
          </w:p>
        </w:tc>
        <w:tc>
          <w:tcPr>
            <w:tcW w:type="dxa" w:w="1984"/>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投资者</w:t>
            </w:r>
          </w:p>
        </w:tc>
        <w:tc>
          <w:tcPr>
            <w:tcW w:type="dxa" w:w="1616"/>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28" w:lineRule="exact" w:before="0" w:after="0"/>
              <w:ind w:left="108" w:right="102" w:firstLine="0"/>
              <w:jc w:val="both"/>
            </w:pPr>
            <w:r>
              <w:rPr>
                <w:rFonts w:ascii="宋体" w:hAnsi="宋体" w:eastAsia="宋体"/>
                <w:b w:val="0"/>
                <w:i w:val="0"/>
                <w:color w:val="000000"/>
                <w:sz w:val="18"/>
              </w:rPr>
              <w:t>公司经营情况、</w:t>
            </w:r>
            <w:r>
              <w:rPr>
                <w:rFonts w:ascii="宋体" w:hAnsi="宋体" w:eastAsia="宋体"/>
                <w:b w:val="0"/>
                <w:i w:val="0"/>
                <w:color w:val="000000"/>
                <w:sz w:val="18"/>
              </w:rPr>
              <w:t>行业状况及公司</w:t>
            </w:r>
            <w:r>
              <w:rPr>
                <w:rFonts w:ascii="宋体" w:hAnsi="宋体" w:eastAsia="宋体"/>
                <w:b w:val="0"/>
                <w:i w:val="0"/>
                <w:color w:val="000000"/>
                <w:sz w:val="18"/>
              </w:rPr>
              <w:t>公告内容</w:t>
            </w:r>
          </w:p>
        </w:tc>
        <w:tc>
          <w:tcPr>
            <w:tcW w:type="dxa" w:w="1994"/>
            <w:tcBorders>
              <w:start w:sz="1.599999999999909"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197" w:lineRule="auto" w:before="292" w:after="0"/>
              <w:ind w:left="0" w:right="64" w:firstLine="0"/>
              <w:jc w:val="right"/>
            </w:pPr>
            <w:r>
              <w:rPr>
                <w:rFonts w:ascii="Calibri" w:hAnsi="Calibri" w:eastAsia="Calibri"/>
                <w:b w:val="0"/>
                <w:i w:val="0"/>
                <w:color w:val="000000"/>
                <w:sz w:val="18"/>
              </w:rPr>
              <w:t xml:space="preserve">- </w:t>
            </w:r>
          </w:p>
        </w:tc>
      </w:tr>
      <w:tr>
        <w:trPr>
          <w:trHeight w:hRule="exact" w:val="1406"/>
        </w:trPr>
        <w:tc>
          <w:tcPr>
            <w:tcW w:type="dxa" w:w="1968"/>
            <w:tcBorders>
              <w:start w:sz="1.5999999999999943"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00" w:after="0"/>
              <w:ind w:left="108" w:right="0" w:firstLine="0"/>
              <w:jc w:val="left"/>
            </w:pPr>
            <w:r>
              <w:rPr>
                <w:rFonts w:ascii="Times New Roman" w:hAnsi="Times New Roman" w:eastAsia="Times New Roman"/>
                <w:b w:val="0"/>
                <w:i w:val="0"/>
                <w:color w:val="000000"/>
                <w:sz w:val="18"/>
              </w:rPr>
              <w:t xml:space="preserve">2024.05.20 </w:t>
            </w:r>
          </w:p>
        </w:tc>
        <w:tc>
          <w:tcPr>
            <w:tcW w:type="dxa" w:w="1614"/>
            <w:tcBorders>
              <w:start w:sz="1.599999999999909" w:val="single" w:color="#000000"/>
              <w:top w:sz="1.6000000000003638" w:val="single" w:color="#000000"/>
              <w:end w:sz="1.6000000000001364" w:val="single" w:color="#000000"/>
              <w:bottom w:sz="1.6000000000003638" w:val="single" w:color="#000000"/>
            </w:tcBorders>
            <w:tcMar>
              <w:start w:w="0" w:type="dxa"/>
              <w:end w:w="0" w:type="dxa"/>
            </w:tcMar>
          </w:tcPr>
          <w:p>
            <w:pPr>
              <w:autoSpaceDN w:val="0"/>
              <w:autoSpaceDE w:val="0"/>
              <w:widowControl/>
              <w:spacing w:line="232" w:lineRule="exact" w:before="0" w:after="0"/>
              <w:ind w:left="106" w:right="0" w:firstLine="0"/>
              <w:jc w:val="left"/>
            </w:pPr>
            <w:r>
              <w:rPr>
                <w:rFonts w:ascii="宋体" w:hAnsi="宋体" w:eastAsia="宋体"/>
                <w:b w:val="0"/>
                <w:i w:val="0"/>
                <w:color w:val="000000"/>
                <w:sz w:val="18"/>
              </w:rPr>
              <w:t>“全景路演”网</w:t>
            </w:r>
            <w:r>
              <w:rPr>
                <w:rFonts w:ascii="宋体" w:hAnsi="宋体" w:eastAsia="宋体"/>
                <w:b w:val="0"/>
                <w:i w:val="0"/>
                <w:color w:val="000000"/>
                <w:sz w:val="18"/>
              </w:rPr>
              <w:t>站</w:t>
            </w:r>
            <w:r>
              <w:br/>
            </w:r>
            <w:r>
              <w:rPr>
                <w:rFonts w:ascii="宋体" w:hAnsi="宋体" w:eastAsia="宋体"/>
                <w:b w:val="0"/>
                <w:i w:val="0"/>
                <w:color w:val="000000"/>
                <w:sz w:val="18"/>
              </w:rPr>
              <w:t>（</w:t>
            </w:r>
            <w:r>
              <w:rPr>
                <w:rFonts w:ascii="Calibri" w:hAnsi="Calibri" w:eastAsia="Calibri"/>
                <w:b w:val="0"/>
                <w:i w:val="0"/>
                <w:color w:val="000000"/>
                <w:sz w:val="18"/>
              </w:rPr>
              <w:t xml:space="preserve">http://rs.p5w.ne </w:t>
            </w:r>
            <w:r>
              <w:rPr>
                <w:rFonts w:ascii="Calibri" w:hAnsi="Calibri" w:eastAsia="Calibri"/>
                <w:b w:val="0"/>
                <w:i w:val="0"/>
                <w:color w:val="000000"/>
                <w:sz w:val="18"/>
              </w:rPr>
              <w:t>t</w:t>
            </w:r>
            <w:r>
              <w:rPr>
                <w:rFonts w:ascii="宋体" w:hAnsi="宋体" w:eastAsia="宋体"/>
                <w:b w:val="0"/>
                <w:i w:val="0"/>
                <w:color w:val="000000"/>
                <w:sz w:val="18"/>
              </w:rPr>
              <w:t>），或微信公众</w:t>
            </w:r>
            <w:r>
              <w:rPr>
                <w:rFonts w:ascii="宋体" w:hAnsi="宋体" w:eastAsia="宋体"/>
                <w:b w:val="0"/>
                <w:i w:val="0"/>
                <w:color w:val="000000"/>
                <w:sz w:val="18"/>
              </w:rPr>
              <w:t>号：全景财经，</w:t>
            </w:r>
            <w:r>
              <w:rPr>
                <w:rFonts w:ascii="宋体" w:hAnsi="宋体" w:eastAsia="宋体"/>
                <w:b w:val="0"/>
                <w:i w:val="0"/>
                <w:color w:val="000000"/>
                <w:sz w:val="18"/>
              </w:rPr>
              <w:t>或全景路演</w:t>
            </w:r>
            <w:r>
              <w:rPr>
                <w:rFonts w:ascii="Calibri" w:hAnsi="Calibri" w:eastAsia="Calibri"/>
                <w:b w:val="0"/>
                <w:i w:val="0"/>
                <w:color w:val="000000"/>
                <w:sz w:val="18"/>
              </w:rPr>
              <w:t xml:space="preserve"> APP </w:t>
            </w:r>
          </w:p>
        </w:tc>
        <w:tc>
          <w:tcPr>
            <w:tcW w:type="dxa" w:w="992"/>
            <w:tcBorders>
              <w:start w:sz="1.6000000000001364"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232" w:lineRule="exact" w:before="442" w:after="0"/>
              <w:ind w:left="144" w:right="0" w:firstLine="0"/>
              <w:jc w:val="center"/>
            </w:pPr>
            <w:r>
              <w:rPr>
                <w:rFonts w:ascii="宋体" w:hAnsi="宋体" w:eastAsia="宋体"/>
                <w:b w:val="0"/>
                <w:i w:val="0"/>
                <w:color w:val="000000"/>
                <w:sz w:val="18"/>
              </w:rPr>
              <w:t>网络平台</w:t>
            </w:r>
            <w:r>
              <w:rPr>
                <w:rFonts w:ascii="宋体" w:hAnsi="宋体" w:eastAsia="宋体"/>
                <w:b w:val="0"/>
                <w:i w:val="0"/>
                <w:color w:val="000000"/>
                <w:sz w:val="18"/>
              </w:rPr>
              <w:t>线上交流</w:t>
            </w:r>
          </w:p>
        </w:tc>
        <w:tc>
          <w:tcPr>
            <w:tcW w:type="dxa" w:w="852"/>
            <w:tcBorders>
              <w:start w:sz="2.400000000000091" w:val="single" w:color="#000000"/>
              <w:top w:sz="1.6000000000003638" w:val="single" w:color="#000000"/>
              <w:end w:sz="2.400000000000091" w:val="single" w:color="#000000"/>
              <w:bottom w:sz="1.6000000000003638" w:val="single" w:color="#000000"/>
            </w:tcBorders>
            <w:tcMar>
              <w:start w:w="0" w:type="dxa"/>
              <w:end w:w="0" w:type="dxa"/>
            </w:tcMar>
          </w:tcPr>
          <w:p>
            <w:pPr>
              <w:autoSpaceDN w:val="0"/>
              <w:autoSpaceDE w:val="0"/>
              <w:widowControl/>
              <w:spacing w:line="197" w:lineRule="auto" w:before="626" w:after="0"/>
              <w:ind w:left="0" w:right="64" w:firstLine="0"/>
              <w:jc w:val="right"/>
            </w:pPr>
            <w:r>
              <w:rPr>
                <w:rFonts w:ascii="Calibri" w:hAnsi="Calibri" w:eastAsia="Calibri"/>
                <w:b w:val="0"/>
                <w:i w:val="0"/>
                <w:color w:val="000000"/>
                <w:sz w:val="18"/>
              </w:rPr>
              <w:t xml:space="preserve">- </w:t>
            </w:r>
          </w:p>
        </w:tc>
        <w:tc>
          <w:tcPr>
            <w:tcW w:type="dxa" w:w="1984"/>
            <w:tcBorders>
              <w:start w:sz="2.400000000000091"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228" w:lineRule="exact" w:before="0" w:after="0"/>
              <w:ind w:left="108" w:right="0" w:firstLine="0"/>
              <w:jc w:val="left"/>
            </w:pPr>
            <w:r>
              <w:rPr>
                <w:rFonts w:ascii="宋体" w:hAnsi="宋体" w:eastAsia="宋体"/>
                <w:b w:val="0"/>
                <w:i w:val="0"/>
                <w:color w:val="000000"/>
                <w:sz w:val="18"/>
              </w:rPr>
              <w:t>参与山西证券2023 年</w:t>
            </w:r>
            <w:r>
              <w:rPr>
                <w:rFonts w:ascii="宋体" w:hAnsi="宋体" w:eastAsia="宋体"/>
                <w:b w:val="0"/>
                <w:i w:val="0"/>
                <w:color w:val="000000"/>
                <w:sz w:val="18"/>
              </w:rPr>
              <w:t>年度报告网上业绩说</w:t>
            </w:r>
            <w:r>
              <w:rPr>
                <w:rFonts w:ascii="宋体" w:hAnsi="宋体" w:eastAsia="宋体"/>
                <w:b w:val="0"/>
                <w:i w:val="0"/>
                <w:color w:val="000000"/>
                <w:sz w:val="18"/>
              </w:rPr>
              <w:t xml:space="preserve">明会暨参加山西辖区 </w:t>
            </w:r>
            <w:r>
              <w:rPr>
                <w:rFonts w:ascii="宋体" w:hAnsi="宋体" w:eastAsia="宋体"/>
                <w:b w:val="0"/>
                <w:i w:val="0"/>
                <w:color w:val="000000"/>
                <w:sz w:val="18"/>
              </w:rPr>
              <w:t>上市公司2024 年投资</w:t>
            </w:r>
            <w:r>
              <w:rPr>
                <w:rFonts w:ascii="宋体" w:hAnsi="宋体" w:eastAsia="宋体"/>
                <w:b w:val="0"/>
                <w:i w:val="0"/>
                <w:color w:val="000000"/>
                <w:sz w:val="18"/>
              </w:rPr>
              <w:t>者网上集体接待日活</w:t>
            </w:r>
            <w:r>
              <w:rPr>
                <w:rFonts w:ascii="宋体" w:hAnsi="宋体" w:eastAsia="宋体"/>
                <w:b w:val="0"/>
                <w:i w:val="0"/>
                <w:color w:val="000000"/>
                <w:sz w:val="18"/>
              </w:rPr>
              <w:t xml:space="preserve">动的投资者 </w:t>
            </w:r>
          </w:p>
        </w:tc>
        <w:tc>
          <w:tcPr>
            <w:tcW w:type="dxa" w:w="1616"/>
            <w:tcBorders>
              <w:start w:sz="1.599999999999909" w:val="single" w:color="#000000"/>
              <w:top w:sz="1.6000000000003638" w:val="single" w:color="#000000"/>
              <w:end w:sz="1.599999999999909" w:val="single" w:color="#000000"/>
              <w:bottom w:sz="1.6000000000003638" w:val="single" w:color="#000000"/>
            </w:tcBorders>
            <w:tcMar>
              <w:start w:w="0" w:type="dxa"/>
              <w:end w:w="0" w:type="dxa"/>
            </w:tcMar>
          </w:tcPr>
          <w:p>
            <w:pPr>
              <w:autoSpaceDN w:val="0"/>
              <w:autoSpaceDE w:val="0"/>
              <w:widowControl/>
              <w:spacing w:line="232" w:lineRule="exact" w:before="322" w:after="0"/>
              <w:ind w:left="108" w:right="102" w:firstLine="0"/>
              <w:jc w:val="both"/>
            </w:pPr>
            <w:r>
              <w:rPr>
                <w:rFonts w:ascii="宋体" w:hAnsi="宋体" w:eastAsia="宋体"/>
                <w:b w:val="0"/>
                <w:i w:val="0"/>
                <w:color w:val="000000"/>
                <w:sz w:val="18"/>
              </w:rPr>
              <w:t>公司战略、经营</w:t>
            </w:r>
            <w:r>
              <w:rPr>
                <w:rFonts w:ascii="宋体" w:hAnsi="宋体" w:eastAsia="宋体"/>
                <w:b w:val="0"/>
                <w:i w:val="0"/>
                <w:color w:val="000000"/>
                <w:sz w:val="18"/>
              </w:rPr>
              <w:t>情况、分红回</w:t>
            </w:r>
            <w:r>
              <w:rPr>
                <w:rFonts w:ascii="宋体" w:hAnsi="宋体" w:eastAsia="宋体"/>
                <w:b w:val="0"/>
                <w:i w:val="0"/>
                <w:color w:val="000000"/>
                <w:sz w:val="18"/>
              </w:rPr>
              <w:t xml:space="preserve">报、ESG 建设等 </w:t>
            </w:r>
          </w:p>
        </w:tc>
        <w:tc>
          <w:tcPr>
            <w:tcW w:type="dxa" w:w="1994"/>
            <w:tcBorders>
              <w:start w:sz="1.599999999999909" w:val="single" w:color="#000000"/>
              <w:top w:sz="1.6000000000003638" w:val="single" w:color="#000000"/>
              <w:end w:sz="1.6000000000003638" w:val="single" w:color="#000000"/>
              <w:bottom w:sz="1.6000000000003638" w:val="single" w:color="#000000"/>
            </w:tcBorders>
            <w:tcMar>
              <w:start w:w="0" w:type="dxa"/>
              <w:end w:w="0" w:type="dxa"/>
            </w:tcMar>
          </w:tcPr>
          <w:p>
            <w:pPr>
              <w:autoSpaceDN w:val="0"/>
              <w:autoSpaceDE w:val="0"/>
              <w:widowControl/>
              <w:spacing w:line="232" w:lineRule="exact" w:before="322" w:after="0"/>
              <w:ind w:left="106" w:right="110" w:firstLine="0"/>
              <w:jc w:val="both"/>
            </w:pPr>
            <w:r>
              <w:rPr>
                <w:rFonts w:ascii="宋体" w:hAnsi="宋体" w:eastAsia="宋体"/>
                <w:b w:val="0"/>
                <w:i w:val="0"/>
                <w:color w:val="000000"/>
                <w:sz w:val="18"/>
              </w:rPr>
              <w:t>巨潮资讯网“山西证</w:t>
            </w:r>
            <w:r>
              <w:rPr>
                <w:rFonts w:ascii="宋体" w:hAnsi="宋体" w:eastAsia="宋体"/>
                <w:b w:val="0"/>
                <w:i w:val="0"/>
                <w:color w:val="000000"/>
                <w:sz w:val="18"/>
              </w:rPr>
              <w:t>券投资者关系管理信</w:t>
            </w:r>
            <w:r>
              <w:rPr>
                <w:rFonts w:ascii="宋体" w:hAnsi="宋体" w:eastAsia="宋体"/>
                <w:b w:val="0"/>
                <w:i w:val="0"/>
                <w:color w:val="000000"/>
                <w:sz w:val="18"/>
              </w:rPr>
              <w:t>息”</w:t>
            </w:r>
          </w:p>
        </w:tc>
      </w:tr>
    </w:tbl>
    <w:p>
      <w:pPr>
        <w:autoSpaceDN w:val="0"/>
        <w:autoSpaceDE w:val="0"/>
        <w:widowControl/>
        <w:spacing w:line="212" w:lineRule="exact" w:before="342" w:after="0"/>
        <w:ind w:left="1116" w:right="0" w:firstLine="0"/>
        <w:jc w:val="left"/>
      </w:pPr>
      <w:r>
        <w:rPr>
          <w:rFonts w:ascii="宋体" w:hAnsi="宋体" w:eastAsia="宋体"/>
          <w:b w:val="0"/>
          <w:i w:val="0"/>
          <w:color w:val="000000"/>
          <w:sz w:val="21"/>
        </w:rPr>
        <w:t xml:space="preserve">2、报告期末至披露日期间接待调研、沟通、采访等活动 </w:t>
      </w:r>
    </w:p>
    <w:p>
      <w:pPr>
        <w:autoSpaceDN w:val="0"/>
        <w:autoSpaceDE w:val="0"/>
        <w:widowControl/>
        <w:spacing w:line="197" w:lineRule="auto" w:before="1016" w:after="0"/>
        <w:ind w:left="0" w:right="0" w:firstLine="0"/>
        <w:jc w:val="center"/>
      </w:pPr>
      <w:r>
        <w:rPr>
          <w:rFonts w:ascii="Calibri" w:hAnsi="Calibri" w:eastAsia="Calibri"/>
          <w:b w:val="0"/>
          <w:i w:val="0"/>
          <w:color w:val="000000"/>
          <w:sz w:val="18"/>
        </w:rPr>
        <w:t xml:space="preserve">60 </w:t>
      </w:r>
    </w:p>
    <w:p>
      <w:pPr>
        <w:sectPr>
          <w:type w:val="continuous"/>
          <w:pgSz w:w="11904" w:h="16841"/>
          <w:pgMar w:top="424" w:right="420" w:bottom="446" w:left="440" w:header="720" w:footer="720" w:gutter="0"/>
          <w:cols/>
          <w:docGrid w:linePitch="360"/>
        </w:sectPr>
      </w:pPr>
    </w:p>
    <w:p>
      <w:pPr>
        <w:autoSpaceDN w:val="0"/>
        <w:autoSpaceDE w:val="0"/>
        <w:widowControl/>
        <w:spacing w:line="220" w:lineRule="exact" w:before="0" w:after="206"/>
        <w:ind w:left="0" w:right="0"/>
      </w:pPr>
    </w:p>
    <w:p>
      <w:pPr>
        <w:sectPr>
          <w:pgSz w:w="11904" w:h="16841"/>
          <w:pgMar w:top="424" w:right="422" w:bottom="446" w:left="452" w:header="720" w:footer="720" w:gutter="0"/>
          <w:cols/>
          <w:docGrid w:linePitch="360"/>
        </w:sectPr>
      </w:pPr>
    </w:p>
    <w:p>
      <w:pPr>
        <w:autoSpaceDN w:val="0"/>
        <w:autoSpaceDE w:val="0"/>
        <w:widowControl/>
        <w:spacing w:line="240" w:lineRule="auto" w:before="0" w:after="0"/>
        <w:ind w:left="682" w:right="0" w:firstLine="0"/>
        <w:jc w:val="left"/>
      </w:pPr>
      <w:r>
        <w:drawing>
          <wp:inline xmlns:a="http://schemas.openxmlformats.org/drawingml/2006/main" xmlns:pic="http://schemas.openxmlformats.org/drawingml/2006/picture">
            <wp:extent cx="1844039" cy="439419"/>
            <wp:docPr id="63" name="Picture 6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22" w:bottom="446" w:left="452" w:header="720" w:footer="720" w:gutter="0"/>
          <w:cols w:num="2" w:equalWidth="0">
            <w:col w:w="6088" w:space="0"/>
            <w:col w:w="4942" w:space="0"/>
          </w:cols>
          <w:docGrid w:linePitch="360"/>
        </w:sectPr>
      </w:pPr>
    </w:p>
    <w:p>
      <w:pPr>
        <w:autoSpaceDN w:val="0"/>
        <w:autoSpaceDE w:val="0"/>
        <w:widowControl/>
        <w:spacing w:line="200" w:lineRule="exact" w:before="0" w:after="30"/>
        <w:ind w:left="0" w:right="72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22" w:bottom="446" w:left="452" w:header="720" w:footer="720" w:gutter="0"/>
          <w:cols w:num="2" w:equalWidth="0">
            <w:col w:w="6088" w:space="0"/>
            <w:col w:w="494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1576"/>
        <w:gridCol w:w="1576"/>
        <w:gridCol w:w="1576"/>
        <w:gridCol w:w="1576"/>
        <w:gridCol w:w="1576"/>
        <w:gridCol w:w="1576"/>
        <w:gridCol w:w="1576"/>
      </w:tblGrid>
      <w:tr>
        <w:trPr>
          <w:trHeight w:hRule="exact" w:val="564"/>
        </w:trPr>
        <w:tc>
          <w:tcPr>
            <w:tcW w:type="dxa" w:w="1954"/>
            <w:tcBorders>
              <w:start w:sz="3.1999999999999886" w:val="single" w:color="#000000"/>
              <w:top w:sz="4.0" w:val="single" w:color="#000000"/>
              <w:end w:sz="3.2000000000000455" w:val="single" w:color="#000000"/>
              <w:bottom w:sz="4.0" w:val="single" w:color="#000000"/>
            </w:tcBorders>
            <w:shd w:fill="d2d2d2"/>
            <w:tcMar>
              <w:start w:w="0" w:type="dxa"/>
              <w:end w:w="0" w:type="dxa"/>
            </w:tcMar>
          </w:tcPr>
          <w:p>
            <w:pPr>
              <w:autoSpaceDN w:val="0"/>
              <w:autoSpaceDE w:val="0"/>
              <w:widowControl/>
              <w:spacing w:line="180" w:lineRule="exact" w:before="186" w:after="0"/>
              <w:ind w:left="0" w:right="0" w:firstLine="0"/>
              <w:jc w:val="center"/>
            </w:pPr>
            <w:r>
              <w:rPr>
                <w:rFonts w:ascii="宋体" w:hAnsi="宋体" w:eastAsia="宋体"/>
                <w:b w:val="0"/>
                <w:i w:val="0"/>
                <w:color w:val="000000"/>
                <w:sz w:val="18"/>
              </w:rPr>
              <w:t>接待时间</w:t>
            </w:r>
          </w:p>
        </w:tc>
        <w:tc>
          <w:tcPr>
            <w:tcW w:type="dxa" w:w="1558"/>
            <w:tcBorders>
              <w:start w:sz="3.2000000000000455"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接待地点</w:t>
            </w:r>
          </w:p>
        </w:tc>
        <w:tc>
          <w:tcPr>
            <w:tcW w:type="dxa" w:w="994"/>
            <w:tcBorders>
              <w:start w:sz="4.0"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接待方式</w:t>
            </w:r>
          </w:p>
        </w:tc>
        <w:tc>
          <w:tcPr>
            <w:tcW w:type="dxa" w:w="1230"/>
            <w:tcBorders>
              <w:start w:sz="4.0"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接待对象类型</w:t>
            </w:r>
          </w:p>
        </w:tc>
        <w:tc>
          <w:tcPr>
            <w:tcW w:type="dxa" w:w="810"/>
            <w:tcBorders>
              <w:start w:sz="4.0"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接待对象</w:t>
            </w:r>
          </w:p>
        </w:tc>
        <w:tc>
          <w:tcPr>
            <w:tcW w:type="dxa" w:w="2554"/>
            <w:tcBorders>
              <w:start w:sz="4.0"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谈论的主要内容及提供的资料</w:t>
            </w:r>
          </w:p>
        </w:tc>
        <w:tc>
          <w:tcPr>
            <w:tcW w:type="dxa" w:w="1894"/>
            <w:tcBorders>
              <w:start w:sz="4.0" w:val="single" w:color="#000000"/>
              <w:top w:sz="5.600000000000023"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82" w:after="0"/>
              <w:ind w:left="0" w:right="0" w:firstLine="0"/>
              <w:jc w:val="center"/>
            </w:pPr>
            <w:r>
              <w:rPr>
                <w:rFonts w:ascii="宋体" w:hAnsi="宋体" w:eastAsia="宋体"/>
                <w:b w:val="0"/>
                <w:i w:val="0"/>
                <w:color w:val="000000"/>
                <w:sz w:val="18"/>
              </w:rPr>
              <w:t>调研的基本情况索引</w:t>
            </w:r>
          </w:p>
        </w:tc>
      </w:tr>
      <w:tr>
        <w:trPr>
          <w:trHeight w:hRule="exact" w:val="738"/>
        </w:trPr>
        <w:tc>
          <w:tcPr>
            <w:tcW w:type="dxa" w:w="1954"/>
            <w:tcBorders>
              <w:start w:sz="3.1999999999999886" w:val="single" w:color="#000000"/>
              <w:top w:sz="4.0" w:val="single" w:color="#000000"/>
              <w:end w:sz="3.2000000000000455" w:val="single" w:color="#000000"/>
              <w:bottom w:sz="3.2000000000000455" w:val="single" w:color="#000000"/>
            </w:tcBorders>
            <w:shd w:fill="ffffff"/>
            <w:tcMar>
              <w:start w:w="0" w:type="dxa"/>
              <w:end w:w="0" w:type="dxa"/>
            </w:tcMar>
          </w:tcPr>
          <w:p>
            <w:pPr>
              <w:autoSpaceDN w:val="0"/>
              <w:autoSpaceDE w:val="0"/>
              <w:widowControl/>
              <w:spacing w:line="233" w:lineRule="auto" w:before="266" w:after="0"/>
              <w:ind w:left="0" w:right="0" w:firstLine="0"/>
              <w:jc w:val="center"/>
            </w:pPr>
            <w:r>
              <w:rPr>
                <w:rFonts w:ascii="Times New Roman" w:hAnsi="Times New Roman" w:eastAsia="Times New Roman"/>
                <w:b w:val="0"/>
                <w:i w:val="0"/>
                <w:color w:val="000000"/>
                <w:sz w:val="18"/>
              </w:rPr>
              <w:t xml:space="preserve">2025.01.01-2025.04.26 </w:t>
            </w:r>
          </w:p>
        </w:tc>
        <w:tc>
          <w:tcPr>
            <w:tcW w:type="dxa" w:w="1558"/>
            <w:tcBorders>
              <w:start w:sz="3.2000000000000455"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274" w:after="0"/>
              <w:ind w:left="0" w:right="22" w:firstLine="0"/>
              <w:jc w:val="right"/>
            </w:pPr>
            <w:r>
              <w:rPr>
                <w:rFonts w:ascii="宋体" w:hAnsi="宋体" w:eastAsia="宋体"/>
                <w:b w:val="0"/>
                <w:i w:val="0"/>
                <w:color w:val="000000"/>
                <w:sz w:val="18"/>
              </w:rPr>
              <w:t>公司</w:t>
            </w:r>
          </w:p>
        </w:tc>
        <w:tc>
          <w:tcPr>
            <w:tcW w:type="dxa" w:w="99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电话沟通</w:t>
            </w:r>
          </w:p>
        </w:tc>
        <w:tc>
          <w:tcPr>
            <w:tcW w:type="dxa" w:w="123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个人</w:t>
            </w:r>
          </w:p>
        </w:tc>
        <w:tc>
          <w:tcPr>
            <w:tcW w:type="dxa" w:w="81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投资者</w:t>
            </w:r>
          </w:p>
        </w:tc>
        <w:tc>
          <w:tcPr>
            <w:tcW w:type="dxa" w:w="255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6" w:lineRule="exact" w:before="100" w:after="0"/>
              <w:ind w:left="22" w:right="144" w:firstLine="0"/>
              <w:jc w:val="left"/>
            </w:pPr>
            <w:r>
              <w:rPr>
                <w:rFonts w:ascii="宋体" w:hAnsi="宋体" w:eastAsia="宋体"/>
                <w:b w:val="0"/>
                <w:i w:val="0"/>
                <w:color w:val="000000"/>
                <w:sz w:val="18"/>
              </w:rPr>
              <w:t>公司经营情况、行业状况及公</w:t>
            </w:r>
            <w:r>
              <w:rPr>
                <w:rFonts w:ascii="宋体" w:hAnsi="宋体" w:eastAsia="宋体"/>
                <w:b w:val="0"/>
                <w:i w:val="0"/>
                <w:color w:val="000000"/>
                <w:sz w:val="18"/>
              </w:rPr>
              <w:t>司公告内容</w:t>
            </w:r>
          </w:p>
        </w:tc>
        <w:tc>
          <w:tcPr>
            <w:tcW w:type="dxa" w:w="189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97" w:lineRule="auto" w:before="292" w:after="0"/>
              <w:ind w:left="0" w:right="0" w:firstLine="0"/>
              <w:jc w:val="right"/>
            </w:pPr>
            <w:r>
              <w:rPr>
                <w:rFonts w:ascii="Calibri" w:hAnsi="Calibri" w:eastAsia="Calibri"/>
                <w:b w:val="0"/>
                <w:i w:val="0"/>
                <w:color w:val="000000"/>
                <w:sz w:val="18"/>
              </w:rPr>
              <w:t xml:space="preserve">- </w:t>
            </w:r>
          </w:p>
        </w:tc>
      </w:tr>
    </w:tbl>
    <w:p>
      <w:pPr>
        <w:autoSpaceDN w:val="0"/>
        <w:autoSpaceDE w:val="0"/>
        <w:widowControl/>
        <w:spacing w:line="240" w:lineRule="exact" w:before="350" w:after="0"/>
        <w:ind w:left="682" w:right="0" w:firstLine="0"/>
        <w:jc w:val="left"/>
      </w:pPr>
      <w:r>
        <w:rPr>
          <w:rFonts w:ascii="宋体" w:hAnsi="宋体" w:eastAsia="宋体"/>
          <w:b w:val="0"/>
          <w:i w:val="0"/>
          <w:color w:val="000000"/>
          <w:sz w:val="24"/>
        </w:rPr>
        <w:t xml:space="preserve">十四、市值管理制度和估值提升计划的制定落实情况 </w:t>
      </w:r>
    </w:p>
    <w:p>
      <w:pPr>
        <w:autoSpaceDN w:val="0"/>
        <w:tabs>
          <w:tab w:pos="1104" w:val="left"/>
        </w:tabs>
        <w:autoSpaceDE w:val="0"/>
        <w:widowControl/>
        <w:spacing w:line="432" w:lineRule="exact" w:before="296" w:after="0"/>
        <w:ind w:left="1042" w:right="6480" w:firstLine="0"/>
        <w:jc w:val="left"/>
      </w:pPr>
      <w:r>
        <w:rPr>
          <w:rFonts w:ascii="宋体" w:hAnsi="宋体" w:eastAsia="宋体"/>
          <w:b w:val="0"/>
          <w:i w:val="0"/>
          <w:color w:val="000000"/>
          <w:sz w:val="21"/>
        </w:rPr>
        <w:t xml:space="preserve">1、公司是否制定了市值管理制度。 </w:t>
      </w:r>
      <w:r>
        <w:br/>
      </w:r>
      <w:r>
        <w:rPr>
          <w:rFonts w:ascii="宋体" w:hAnsi="宋体" w:eastAsia="宋体"/>
          <w:b w:val="0"/>
          <w:i w:val="0"/>
          <w:color w:val="000000"/>
          <w:sz w:val="18"/>
        </w:rPr>
        <w:t xml:space="preserve">√是 □否 </w:t>
      </w:r>
    </w:p>
    <w:p>
      <w:pPr>
        <w:autoSpaceDN w:val="0"/>
        <w:autoSpaceDE w:val="0"/>
        <w:widowControl/>
        <w:spacing w:line="460" w:lineRule="exact" w:before="64" w:after="0"/>
        <w:ind w:left="682" w:right="890" w:firstLine="420"/>
        <w:jc w:val="both"/>
      </w:pPr>
      <w:r>
        <w:rPr>
          <w:rFonts w:ascii="宋体" w:hAnsi="宋体" w:eastAsia="宋体"/>
          <w:b w:val="0"/>
          <w:i w:val="0"/>
          <w:color w:val="000000"/>
          <w:sz w:val="21"/>
        </w:rPr>
        <w:t>为规范市值管理活动，提升经营质量和投资价值，增强投资者回报，实现公司价值和股东利益最大</w:t>
      </w:r>
      <w:r>
        <w:rPr>
          <w:rFonts w:ascii="宋体" w:hAnsi="宋体" w:eastAsia="宋体"/>
          <w:b w:val="0"/>
          <w:i w:val="0"/>
          <w:color w:val="000000"/>
          <w:sz w:val="21"/>
        </w:rPr>
        <w:t>化，根据《公司法》《证券法》《深圳证券交易所股票上市规则》《深圳证券交易所上市公司自律监管指</w:t>
      </w:r>
      <w:r>
        <w:rPr>
          <w:rFonts w:ascii="宋体" w:hAnsi="宋体" w:eastAsia="宋体"/>
          <w:b w:val="0"/>
          <w:i w:val="0"/>
          <w:color w:val="000000"/>
          <w:sz w:val="21"/>
        </w:rPr>
        <w:t>引第1 号——主板上市公司规范运作》《上市公司监管指引第10 号——市值管理》等法律法规、规范性</w:t>
      </w:r>
      <w:r>
        <w:rPr>
          <w:rFonts w:ascii="宋体" w:hAnsi="宋体" w:eastAsia="宋体"/>
          <w:b w:val="0"/>
          <w:i w:val="0"/>
          <w:color w:val="000000"/>
          <w:sz w:val="21"/>
        </w:rPr>
        <w:t>文件和《公司章程》等规定，公司制定《市值管理制度》，该制度于2025 年4 月24 日经公司第四届董</w:t>
      </w:r>
      <w:r>
        <w:rPr>
          <w:rFonts w:ascii="宋体" w:hAnsi="宋体" w:eastAsia="宋体"/>
          <w:b w:val="0"/>
          <w:i w:val="0"/>
          <w:color w:val="000000"/>
          <w:sz w:val="21"/>
        </w:rPr>
        <w:t xml:space="preserve">事会第二十五次会议审议通过后生效。 </w:t>
      </w:r>
    </w:p>
    <w:p>
      <w:pPr>
        <w:autoSpaceDN w:val="0"/>
        <w:tabs>
          <w:tab w:pos="1104" w:val="left"/>
        </w:tabs>
        <w:autoSpaceDE w:val="0"/>
        <w:widowControl/>
        <w:spacing w:line="436" w:lineRule="exact" w:before="178" w:after="0"/>
        <w:ind w:left="1042" w:right="6480" w:firstLine="0"/>
        <w:jc w:val="left"/>
      </w:pPr>
      <w:r>
        <w:rPr>
          <w:rFonts w:ascii="宋体" w:hAnsi="宋体" w:eastAsia="宋体"/>
          <w:b w:val="0"/>
          <w:i w:val="0"/>
          <w:color w:val="000000"/>
          <w:sz w:val="21"/>
        </w:rPr>
        <w:t xml:space="preserve">2、公司是否披露了估值提升计划。 </w:t>
      </w:r>
      <w:r>
        <w:br/>
      </w:r>
      <w:r>
        <w:rPr>
          <w:rFonts w:ascii="宋体" w:hAnsi="宋体" w:eastAsia="宋体"/>
          <w:b w:val="0"/>
          <w:i w:val="0"/>
          <w:color w:val="000000"/>
          <w:sz w:val="18"/>
        </w:rPr>
        <w:t xml:space="preserve">□是 √否 </w:t>
      </w:r>
    </w:p>
    <w:p>
      <w:pPr>
        <w:autoSpaceDN w:val="0"/>
        <w:autoSpaceDE w:val="0"/>
        <w:widowControl/>
        <w:spacing w:line="240" w:lineRule="exact" w:before="376" w:after="0"/>
        <w:ind w:left="682" w:right="0" w:firstLine="0"/>
        <w:jc w:val="left"/>
      </w:pPr>
      <w:r>
        <w:rPr>
          <w:rFonts w:ascii="宋体" w:hAnsi="宋体" w:eastAsia="宋体"/>
          <w:b w:val="0"/>
          <w:i w:val="0"/>
          <w:color w:val="000000"/>
          <w:sz w:val="24"/>
        </w:rPr>
        <w:t xml:space="preserve">十五、“质量回报双提升”行动方案贯彻落实情况 </w:t>
      </w:r>
    </w:p>
    <w:p>
      <w:pPr>
        <w:autoSpaceDN w:val="0"/>
        <w:autoSpaceDE w:val="0"/>
        <w:widowControl/>
        <w:spacing w:line="342" w:lineRule="exact" w:before="200" w:after="0"/>
        <w:ind w:left="682" w:right="6048" w:firstLine="0"/>
        <w:jc w:val="left"/>
      </w:pPr>
      <w:r>
        <w:rPr>
          <w:rFonts w:ascii="宋体" w:hAnsi="宋体" w:eastAsia="宋体"/>
          <w:b w:val="0"/>
          <w:i w:val="0"/>
          <w:color w:val="000000"/>
          <w:sz w:val="18"/>
        </w:rPr>
        <w:t xml:space="preserve">公司是否披露了“质量回报双提升”行动方案公告。 </w:t>
      </w:r>
      <w:r>
        <w:br/>
      </w:r>
      <w:r>
        <w:rPr>
          <w:rFonts w:ascii="宋体" w:hAnsi="宋体" w:eastAsia="宋体"/>
          <w:b w:val="0"/>
          <w:i w:val="0"/>
          <w:color w:val="000000"/>
          <w:sz w:val="18"/>
        </w:rPr>
        <w:t xml:space="preserve">√是 □否 </w:t>
      </w:r>
    </w:p>
    <w:p>
      <w:pPr>
        <w:autoSpaceDN w:val="0"/>
        <w:autoSpaceDE w:val="0"/>
        <w:widowControl/>
        <w:spacing w:line="460" w:lineRule="exact" w:before="62" w:after="0"/>
        <w:ind w:left="682" w:right="892" w:firstLine="420"/>
        <w:jc w:val="both"/>
      </w:pPr>
      <w:r>
        <w:rPr>
          <w:rFonts w:ascii="宋体" w:hAnsi="宋体" w:eastAsia="宋体"/>
          <w:b w:val="0"/>
          <w:i w:val="0"/>
          <w:color w:val="000000"/>
          <w:sz w:val="21"/>
        </w:rPr>
        <w:t>为深入践行“以投资者为本”的理念，维护全体股东利益，基于对公司价值和未来发展的信心，结</w:t>
      </w:r>
      <w:r>
        <w:rPr>
          <w:rFonts w:ascii="宋体" w:hAnsi="宋体" w:eastAsia="宋体"/>
          <w:b w:val="0"/>
          <w:i w:val="0"/>
          <w:color w:val="000000"/>
          <w:sz w:val="21"/>
        </w:rPr>
        <w:t>合公司使命愿景、战略目标和经营情况，公司制定“质量回报双提升”行动方案，并于2024 年9 月27</w:t>
      </w:r>
      <w:r>
        <w:rPr>
          <w:rFonts w:ascii="宋体" w:hAnsi="宋体" w:eastAsia="宋体"/>
          <w:b w:val="0"/>
          <w:i w:val="0"/>
          <w:color w:val="000000"/>
          <w:sz w:val="21"/>
        </w:rPr>
        <w:t xml:space="preserve">日披露《关于“质量回报双提升”行动方案》（公告编号：临2024-028）。 </w:t>
      </w:r>
    </w:p>
    <w:p>
      <w:pPr>
        <w:autoSpaceDN w:val="0"/>
        <w:autoSpaceDE w:val="0"/>
        <w:widowControl/>
        <w:spacing w:line="460" w:lineRule="exact" w:before="0" w:after="0"/>
        <w:ind w:left="682" w:right="894" w:firstLine="420"/>
        <w:jc w:val="both"/>
      </w:pPr>
      <w:r>
        <w:rPr>
          <w:rFonts w:ascii="宋体" w:hAnsi="宋体" w:eastAsia="宋体"/>
          <w:b w:val="0"/>
          <w:i w:val="0"/>
          <w:color w:val="000000"/>
          <w:sz w:val="21"/>
        </w:rPr>
        <w:t>2024 年，公司立足功能定位，聚焦主责主业，坚持服务实体经济和财富管理转型方向，优化业务</w:t>
      </w:r>
      <w:r>
        <w:rPr>
          <w:rFonts w:ascii="宋体" w:hAnsi="宋体" w:eastAsia="宋体"/>
          <w:b w:val="0"/>
          <w:i w:val="0"/>
          <w:color w:val="000000"/>
          <w:sz w:val="21"/>
        </w:rPr>
        <w:t>布局，健全内控机制，优化母子公司穿透式垂直一体化管控模式，强化协同，提质增效，坚定不移的全</w:t>
      </w:r>
      <w:r>
        <w:rPr>
          <w:rFonts w:ascii="宋体" w:hAnsi="宋体" w:eastAsia="宋体"/>
          <w:b w:val="0"/>
          <w:i w:val="0"/>
          <w:color w:val="000000"/>
          <w:sz w:val="21"/>
        </w:rPr>
        <w:t>方位推动差异化高质量发展规划。一是公司主动融入国家和区域发展大局，优化完善服务实体经济工作</w:t>
      </w:r>
      <w:r>
        <w:rPr>
          <w:rFonts w:ascii="宋体" w:hAnsi="宋体" w:eastAsia="宋体"/>
          <w:b w:val="0"/>
          <w:i w:val="0"/>
          <w:color w:val="000000"/>
          <w:sz w:val="21"/>
        </w:rPr>
        <w:t>方案，制定做好“五篇大文章”三年行动方案，充分利用全牌照优势，聚焦产业链、专业镇、晋创谷等</w:t>
      </w:r>
      <w:r>
        <w:rPr>
          <w:rFonts w:ascii="宋体" w:hAnsi="宋体" w:eastAsia="宋体"/>
          <w:b w:val="0"/>
          <w:i w:val="0"/>
          <w:color w:val="000000"/>
          <w:sz w:val="21"/>
        </w:rPr>
        <w:t>地区重点工作，设立天使基金，强化“投资+投行+研究”联动，持续服务实体经济高质量发展。二是公</w:t>
      </w:r>
      <w:r>
        <w:rPr>
          <w:rFonts w:ascii="宋体" w:hAnsi="宋体" w:eastAsia="宋体"/>
          <w:b w:val="0"/>
          <w:i w:val="0"/>
          <w:color w:val="000000"/>
          <w:sz w:val="21"/>
        </w:rPr>
        <w:t>司紧盯转型发展的关键环节、关键领域，持续构建股票和债券销售、研究定价、机构客户服务和战略客</w:t>
      </w:r>
      <w:r>
        <w:rPr>
          <w:rFonts w:ascii="宋体" w:hAnsi="宋体" w:eastAsia="宋体"/>
          <w:b w:val="0"/>
          <w:i w:val="0"/>
          <w:color w:val="000000"/>
          <w:sz w:val="21"/>
        </w:rPr>
        <w:t>户服务等四大能力。财富管理业务坚持产品化、机构化、数字化转型方向，持续完善服务生态；资产管</w:t>
      </w:r>
      <w:r>
        <w:rPr>
          <w:rFonts w:ascii="宋体" w:hAnsi="宋体" w:eastAsia="宋体"/>
          <w:b w:val="0"/>
          <w:i w:val="0"/>
          <w:color w:val="000000"/>
          <w:sz w:val="21"/>
        </w:rPr>
        <w:t>理业务加快多资产、多策略、多工具布局，企业金融业务大力拓展债券业务、财务顾问业务；FICC 业</w:t>
      </w:r>
      <w:r>
        <w:rPr>
          <w:rFonts w:ascii="宋体" w:hAnsi="宋体" w:eastAsia="宋体"/>
          <w:b w:val="0"/>
          <w:i w:val="0"/>
          <w:color w:val="000000"/>
          <w:sz w:val="21"/>
        </w:rPr>
        <w:t>务在保持增长的基础上，持续输出管理和专业能力；权益投资业务持续深耕新质生产力赛道。三是公司</w:t>
      </w:r>
    </w:p>
    <w:p>
      <w:pPr>
        <w:autoSpaceDN w:val="0"/>
        <w:autoSpaceDE w:val="0"/>
        <w:widowControl/>
        <w:spacing w:line="197" w:lineRule="auto" w:before="580" w:after="0"/>
        <w:ind w:left="0" w:right="0" w:firstLine="0"/>
        <w:jc w:val="center"/>
      </w:pPr>
      <w:r>
        <w:rPr>
          <w:rFonts w:ascii="Calibri" w:hAnsi="Calibri" w:eastAsia="Calibri"/>
          <w:b w:val="0"/>
          <w:i w:val="0"/>
          <w:color w:val="000000"/>
          <w:sz w:val="18"/>
        </w:rPr>
        <w:t xml:space="preserve">61 </w:t>
      </w:r>
    </w:p>
    <w:p>
      <w:pPr>
        <w:sectPr>
          <w:type w:val="continuous"/>
          <w:pgSz w:w="11904" w:h="16841"/>
          <w:pgMar w:top="424" w:right="422" w:bottom="446" w:left="45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4" name="Picture 6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52" w:lineRule="exact" w:before="0" w:after="0"/>
        <w:ind w:left="30" w:right="232" w:firstLine="0"/>
        <w:jc w:val="both"/>
      </w:pPr>
      <w:r>
        <w:rPr>
          <w:rFonts w:ascii="宋体" w:hAnsi="宋体" w:eastAsia="宋体"/>
          <w:b w:val="0"/>
          <w:i w:val="0"/>
          <w:color w:val="000000"/>
          <w:sz w:val="21"/>
        </w:rPr>
        <w:t>将可持续发展理念融入公司治理，持续优化完善ESG 治理机制。设立山西证券公益基金会，统筹开展公</w:t>
      </w:r>
      <w:r>
        <w:rPr>
          <w:rFonts w:ascii="宋体" w:hAnsi="宋体" w:eastAsia="宋体"/>
          <w:b w:val="0"/>
          <w:i w:val="0"/>
          <w:color w:val="000000"/>
          <w:sz w:val="21"/>
        </w:rPr>
        <w:t>益事业，持续夯实“产业、公益、医疗、智力、消费”乡村振兴五维度帮扶机制，累计投入帮扶资金超</w:t>
      </w:r>
      <w:r>
        <w:rPr>
          <w:rFonts w:ascii="宋体" w:hAnsi="宋体" w:eastAsia="宋体"/>
          <w:b w:val="0"/>
          <w:i w:val="0"/>
          <w:color w:val="000000"/>
          <w:sz w:val="21"/>
        </w:rPr>
        <w:t>1 亿元，以金融力量服务乡村振兴战略。四是坚持以投资者为本，制定2024-2026 年股东分红规划，将</w:t>
      </w:r>
      <w:r>
        <w:rPr>
          <w:rFonts w:ascii="宋体" w:hAnsi="宋体" w:eastAsia="宋体"/>
          <w:b w:val="0"/>
          <w:i w:val="0"/>
          <w:color w:val="000000"/>
          <w:sz w:val="21"/>
        </w:rPr>
        <w:t>每年以现金方式分配的利润不少于当年实现的可分配利润的10%提升到30%，用实际行动提高投资者回</w:t>
      </w:r>
      <w:r>
        <w:rPr>
          <w:rFonts w:ascii="宋体" w:hAnsi="宋体" w:eastAsia="宋体"/>
          <w:b w:val="0"/>
          <w:i w:val="0"/>
          <w:color w:val="000000"/>
          <w:sz w:val="21"/>
        </w:rPr>
        <w:t>报。报告期内，公司实施2023 年度、2024 年前三季度两次现金分红。上市以来，公司累计现金分红</w:t>
      </w:r>
      <w:r>
        <w:rPr>
          <w:rFonts w:ascii="宋体" w:hAnsi="宋体" w:eastAsia="宋体"/>
          <w:b w:val="0"/>
          <w:i w:val="0"/>
          <w:color w:val="000000"/>
          <w:sz w:val="21"/>
        </w:rPr>
        <w:t xml:space="preserve">40.34 亿元。 </w:t>
      </w:r>
    </w:p>
    <w:p>
      <w:pPr>
        <w:autoSpaceDN w:val="0"/>
        <w:autoSpaceDE w:val="0"/>
        <w:widowControl/>
        <w:spacing w:line="197" w:lineRule="auto" w:before="11444" w:after="0"/>
        <w:ind w:left="0" w:right="0" w:firstLine="0"/>
        <w:jc w:val="center"/>
      </w:pPr>
      <w:r>
        <w:rPr>
          <w:rFonts w:ascii="Calibri" w:hAnsi="Calibri" w:eastAsia="Calibri"/>
          <w:b w:val="0"/>
          <w:i w:val="0"/>
          <w:color w:val="000000"/>
          <w:sz w:val="18"/>
        </w:rPr>
        <w:t xml:space="preserve">62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5" name="Picture 6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320" w:lineRule="exact" w:before="356" w:after="0"/>
        <w:ind w:left="0" w:right="3780" w:firstLine="0"/>
        <w:jc w:val="right"/>
      </w:pPr>
      <w:r>
        <w:rPr>
          <w:rFonts w:ascii="宋体" w:hAnsi="宋体" w:eastAsia="宋体"/>
          <w:b w:val="0"/>
          <w:i w:val="0"/>
          <w:color w:val="000000"/>
          <w:sz w:val="32"/>
        </w:rPr>
        <w:t xml:space="preserve">第四节 公司治理 </w:t>
      </w:r>
    </w:p>
    <w:p>
      <w:pPr>
        <w:autoSpaceDN w:val="0"/>
        <w:autoSpaceDE w:val="0"/>
        <w:widowControl/>
        <w:spacing w:line="240" w:lineRule="exact" w:before="490" w:after="0"/>
        <w:ind w:left="30" w:right="0" w:firstLine="0"/>
        <w:jc w:val="left"/>
      </w:pPr>
      <w:r>
        <w:rPr>
          <w:rFonts w:ascii="宋体" w:hAnsi="宋体" w:eastAsia="宋体"/>
          <w:b w:val="0"/>
          <w:i w:val="0"/>
          <w:color w:val="000000"/>
          <w:sz w:val="24"/>
        </w:rPr>
        <w:t xml:space="preserve">一、公司治理的基本状况 </w:t>
      </w:r>
    </w:p>
    <w:p>
      <w:pPr>
        <w:autoSpaceDN w:val="0"/>
        <w:autoSpaceDE w:val="0"/>
        <w:widowControl/>
        <w:spacing w:line="460" w:lineRule="exact" w:before="268" w:after="0"/>
        <w:ind w:left="30" w:right="414" w:firstLine="412"/>
        <w:jc w:val="both"/>
      </w:pPr>
      <w:r>
        <w:rPr>
          <w:rFonts w:ascii="宋体" w:hAnsi="宋体" w:eastAsia="宋体"/>
          <w:b w:val="0"/>
          <w:i w:val="0"/>
          <w:color w:val="000000"/>
          <w:sz w:val="21"/>
        </w:rPr>
        <w:t>依照《公司法》《证券法》《证券公司监督管理条例》《上市公司治理准则》《深圳证券交易所股票上</w:t>
      </w:r>
      <w:r>
        <w:rPr>
          <w:rFonts w:ascii="宋体" w:hAnsi="宋体" w:eastAsia="宋体"/>
          <w:b w:val="0"/>
          <w:i w:val="0"/>
          <w:color w:val="000000"/>
          <w:sz w:val="21"/>
        </w:rPr>
        <w:t>市规则》等法律法规、部门规章及规范性文件的要求，公司持续健全法人治理结构，优化完善内控管理</w:t>
      </w:r>
      <w:r>
        <w:rPr>
          <w:rFonts w:ascii="宋体" w:hAnsi="宋体" w:eastAsia="宋体"/>
          <w:b w:val="0"/>
          <w:i w:val="0"/>
          <w:color w:val="000000"/>
          <w:sz w:val="21"/>
        </w:rPr>
        <w:t>体系，规范决策执行机制，党委会、股东大会、董事会、监事会和经营管理层权责明确、相互协调、相</w:t>
      </w:r>
      <w:r>
        <w:rPr>
          <w:rFonts w:ascii="宋体" w:hAnsi="宋体" w:eastAsia="宋体"/>
          <w:b w:val="0"/>
          <w:i w:val="0"/>
          <w:color w:val="000000"/>
          <w:sz w:val="21"/>
        </w:rPr>
        <w:t>互制衡，“一委三会一层”各司其职、各尽其责、运作规范。股东大会、董事会、监事会的召集、召开及</w:t>
      </w:r>
      <w:r>
        <w:rPr>
          <w:rFonts w:ascii="宋体" w:hAnsi="宋体" w:eastAsia="宋体"/>
          <w:b w:val="0"/>
          <w:i w:val="0"/>
          <w:color w:val="000000"/>
          <w:sz w:val="21"/>
        </w:rPr>
        <w:t>表决程序规范、合法、有效，信息披露真实、准确、完整、及时、公平。</w:t>
      </w:r>
    </w:p>
    <w:p>
      <w:pPr>
        <w:autoSpaceDN w:val="0"/>
        <w:tabs>
          <w:tab w:pos="442"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（一）党委会 </w:t>
      </w:r>
      <w:r>
        <w:br/>
      </w:r>
      <w:r>
        <w:rPr>
          <w:rFonts w:ascii="宋体" w:hAnsi="宋体" w:eastAsia="宋体"/>
          <w:b w:val="0"/>
          <w:i w:val="0"/>
          <w:color w:val="000000"/>
          <w:sz w:val="21"/>
        </w:rPr>
        <w:t>公司党委坚持以习近平新时代中国特色社会主义思想为指导，全面学习贯彻落实党的二十大和二十届</w:t>
      </w:r>
      <w:r>
        <w:rPr>
          <w:rFonts w:ascii="宋体" w:hAnsi="宋体" w:eastAsia="宋体"/>
          <w:b w:val="0"/>
          <w:i w:val="0"/>
          <w:color w:val="000000"/>
          <w:sz w:val="21"/>
        </w:rPr>
        <w:t xml:space="preserve">三中全会精神，扎实有序开展党纪学习教育，深入学习贯彻习近平总书记关于金融工作的重要论述。 </w:t>
      </w:r>
    </w:p>
    <w:p>
      <w:pPr>
        <w:autoSpaceDN w:val="0"/>
        <w:autoSpaceDE w:val="0"/>
        <w:widowControl/>
        <w:spacing w:line="460" w:lineRule="exact" w:before="0" w:after="0"/>
        <w:ind w:left="30" w:right="0" w:firstLine="412"/>
        <w:jc w:val="left"/>
      </w:pPr>
      <w:r>
        <w:rPr>
          <w:rFonts w:ascii="宋体" w:hAnsi="宋体" w:eastAsia="宋体"/>
          <w:b w:val="0"/>
          <w:i w:val="0"/>
          <w:color w:val="000000"/>
          <w:sz w:val="21"/>
        </w:rPr>
        <w:t>一是坚持政治引领，全面加强党的政治建设。公司党委坚持把学习贯彻习近平新时代中国特色社会主</w:t>
      </w:r>
      <w:r>
        <w:rPr>
          <w:rFonts w:ascii="宋体" w:hAnsi="宋体" w:eastAsia="宋体"/>
          <w:b w:val="0"/>
          <w:i w:val="0"/>
          <w:color w:val="000000"/>
          <w:sz w:val="21"/>
        </w:rPr>
        <w:t>义思想作为首要任务，认真落实“第一议题”制度并向基层延伸，逐章逐篇学习《论党的自我革命》《习近</w:t>
      </w:r>
      <w:r>
        <w:rPr>
          <w:rFonts w:ascii="宋体" w:hAnsi="宋体" w:eastAsia="宋体"/>
          <w:b w:val="0"/>
          <w:i w:val="0"/>
          <w:color w:val="000000"/>
          <w:sz w:val="21"/>
        </w:rPr>
        <w:t>平关于金融工作论述摘编》，不断拓展学习载体、丰富学习形式、提升学习效率，以党的创新理论武装头脑、</w:t>
      </w:r>
      <w:r>
        <w:rPr>
          <w:rFonts w:ascii="宋体" w:hAnsi="宋体" w:eastAsia="宋体"/>
          <w:b w:val="0"/>
          <w:i w:val="0"/>
          <w:color w:val="000000"/>
          <w:sz w:val="21"/>
        </w:rPr>
        <w:t xml:space="preserve">指导实践。坚持学以致用，讲政治与抓管理深度融合，把旗帜鲜明讲政治融入经营管理的全过程。 </w:t>
      </w:r>
    </w:p>
    <w:p>
      <w:pPr>
        <w:autoSpaceDN w:val="0"/>
        <w:autoSpaceDE w:val="0"/>
        <w:widowControl/>
        <w:spacing w:line="460" w:lineRule="exact" w:before="2" w:after="0"/>
        <w:ind w:left="30" w:right="226" w:firstLine="412"/>
        <w:jc w:val="both"/>
      </w:pPr>
      <w:r>
        <w:rPr>
          <w:rFonts w:ascii="宋体" w:hAnsi="宋体" w:eastAsia="宋体"/>
          <w:b w:val="0"/>
          <w:i w:val="0"/>
          <w:color w:val="000000"/>
          <w:sz w:val="21"/>
        </w:rPr>
        <w:t>二是持续加强党的组织建设。公司全面加强基层党组织和干部人才队伍建设，以党支部规范化建设为</w:t>
      </w:r>
      <w:r>
        <w:rPr>
          <w:rFonts w:ascii="宋体" w:hAnsi="宋体" w:eastAsia="宋体"/>
          <w:b w:val="0"/>
          <w:i w:val="0"/>
          <w:color w:val="000000"/>
          <w:sz w:val="21"/>
        </w:rPr>
        <w:t>抓手进一步夯实组织基础，科学动态调整基层党组织设置，有序推进 41 个基层党组织完成换届，优化班</w:t>
      </w:r>
      <w:r>
        <w:rPr>
          <w:rFonts w:ascii="宋体" w:hAnsi="宋体" w:eastAsia="宋体"/>
          <w:b w:val="0"/>
          <w:i w:val="0"/>
          <w:color w:val="000000"/>
          <w:sz w:val="21"/>
        </w:rPr>
        <w:t>子配备，选优配强基层党组织书记。持续推动基层党组织标准化、规范化建设，30 个党支部申报并通过金</w:t>
      </w:r>
      <w:r>
        <w:rPr>
          <w:rFonts w:ascii="宋体" w:hAnsi="宋体" w:eastAsia="宋体"/>
          <w:b w:val="0"/>
          <w:i w:val="0"/>
          <w:color w:val="000000"/>
          <w:sz w:val="21"/>
        </w:rPr>
        <w:t>控集团党委“规范化检查”验收。按照金控集团党委党建品牌建设要求，公司党委把深化“党建共建”作</w:t>
      </w:r>
      <w:r>
        <w:rPr>
          <w:rFonts w:ascii="宋体" w:hAnsi="宋体" w:eastAsia="宋体"/>
          <w:b w:val="0"/>
          <w:i w:val="0"/>
          <w:color w:val="000000"/>
          <w:sz w:val="21"/>
        </w:rPr>
        <w:t>为基层党建工作的创新载体和重要抓手，通过共建促党建、共建促发展、共建促共赢，推动共建党组织之</w:t>
      </w:r>
      <w:r>
        <w:rPr>
          <w:rFonts w:ascii="宋体" w:hAnsi="宋体" w:eastAsia="宋体"/>
          <w:b w:val="0"/>
          <w:i w:val="0"/>
          <w:color w:val="000000"/>
          <w:sz w:val="21"/>
        </w:rPr>
        <w:t xml:space="preserve">间优势互补、资源共享、同频共振、共同发展，以高质量党建赋能高质量发展。 </w:t>
      </w:r>
    </w:p>
    <w:p>
      <w:pPr>
        <w:autoSpaceDN w:val="0"/>
        <w:autoSpaceDE w:val="0"/>
        <w:widowControl/>
        <w:spacing w:line="460" w:lineRule="exact" w:before="2" w:after="0"/>
        <w:ind w:left="30" w:right="226" w:firstLine="412"/>
        <w:jc w:val="both"/>
      </w:pPr>
      <w:r>
        <w:rPr>
          <w:rFonts w:ascii="宋体" w:hAnsi="宋体" w:eastAsia="宋体"/>
          <w:b w:val="0"/>
          <w:i w:val="0"/>
          <w:color w:val="000000"/>
          <w:sz w:val="21"/>
        </w:rPr>
        <w:t>三是持续加强纪律作风建设，不断深化全面从严治党。严格执行各项党纪法规，严守廉洁合规底线，</w:t>
      </w:r>
      <w:r>
        <w:rPr>
          <w:rFonts w:ascii="宋体" w:hAnsi="宋体" w:eastAsia="宋体"/>
          <w:b w:val="0"/>
          <w:i w:val="0"/>
          <w:color w:val="000000"/>
          <w:sz w:val="21"/>
        </w:rPr>
        <w:t>持续推进公司全面从严治党向纵深发展，营造风清气正政治生态和发展环境。扎实开展党纪学习教育，做</w:t>
      </w:r>
      <w:r>
        <w:rPr>
          <w:rFonts w:ascii="宋体" w:hAnsi="宋体" w:eastAsia="宋体"/>
          <w:b w:val="0"/>
          <w:i w:val="0"/>
          <w:color w:val="000000"/>
          <w:sz w:val="21"/>
        </w:rPr>
        <w:t>到学纪、知纪、明纪、守纪，把党的纪律内化于心、外化于行，使铁的纪律真正转化为党员干部的日常习</w:t>
      </w:r>
      <w:r>
        <w:rPr>
          <w:rFonts w:ascii="宋体" w:hAnsi="宋体" w:eastAsia="宋体"/>
          <w:b w:val="0"/>
          <w:i w:val="0"/>
          <w:color w:val="000000"/>
          <w:sz w:val="21"/>
        </w:rPr>
        <w:t xml:space="preserve">惯和自觉遵循。 </w:t>
      </w:r>
    </w:p>
    <w:p>
      <w:pPr>
        <w:autoSpaceDN w:val="0"/>
        <w:autoSpaceDE w:val="0"/>
        <w:widowControl/>
        <w:spacing w:line="460" w:lineRule="exact" w:before="0" w:after="0"/>
        <w:ind w:left="30" w:right="0" w:firstLine="412"/>
        <w:jc w:val="left"/>
      </w:pPr>
      <w:r>
        <w:rPr>
          <w:rFonts w:ascii="宋体" w:hAnsi="宋体" w:eastAsia="宋体"/>
          <w:b w:val="0"/>
          <w:i w:val="0"/>
          <w:color w:val="000000"/>
          <w:sz w:val="21"/>
        </w:rPr>
        <w:t>四是持续推进党建文化品牌建设。公司深入践行中国特色金融文化和证券行业文化理念，全面贯彻落</w:t>
      </w:r>
      <w:r>
        <w:rPr>
          <w:rFonts w:ascii="宋体" w:hAnsi="宋体" w:eastAsia="宋体"/>
          <w:b w:val="0"/>
          <w:i w:val="0"/>
          <w:color w:val="000000"/>
          <w:sz w:val="21"/>
        </w:rPr>
        <w:t>实“五要五不”要求，将廉洁文化深植于经营管理各领域各环节，不断厚植廉洁文化底蕴，营造廉洁文化</w:t>
      </w:r>
      <w:r>
        <w:rPr>
          <w:rFonts w:ascii="宋体" w:hAnsi="宋体" w:eastAsia="宋体"/>
          <w:b w:val="0"/>
          <w:i w:val="0"/>
          <w:color w:val="000000"/>
          <w:sz w:val="21"/>
        </w:rPr>
        <w:t>氛围。公司大力弘扬中华优秀传统文化，持续开展“精神文明”创建活动，选树先进典型，培育良好家风，</w:t>
      </w:r>
      <w:r>
        <w:rPr>
          <w:rFonts w:ascii="宋体" w:hAnsi="宋体" w:eastAsia="宋体"/>
          <w:b w:val="0"/>
          <w:i w:val="0"/>
          <w:color w:val="000000"/>
          <w:sz w:val="21"/>
        </w:rPr>
        <w:t xml:space="preserve">选送的家风建设典型事迹荣获山西省直机关清廉家风主题征文活动一等奖。 </w:t>
      </w:r>
    </w:p>
    <w:p>
      <w:pPr>
        <w:autoSpaceDN w:val="0"/>
        <w:autoSpaceDE w:val="0"/>
        <w:widowControl/>
        <w:spacing w:line="197" w:lineRule="auto" w:before="520" w:after="0"/>
        <w:ind w:left="0" w:right="4922" w:firstLine="0"/>
        <w:jc w:val="right"/>
      </w:pPr>
      <w:r>
        <w:rPr>
          <w:rFonts w:ascii="Calibri" w:hAnsi="Calibri" w:eastAsia="Calibri"/>
          <w:b w:val="0"/>
          <w:i w:val="0"/>
          <w:color w:val="000000"/>
          <w:sz w:val="18"/>
        </w:rPr>
        <w:t xml:space="preserve">63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6" name="Picture 6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tabs>
          <w:tab w:pos="442" w:val="left"/>
          <w:tab w:pos="452" w:val="left"/>
        </w:tabs>
        <w:autoSpaceDE w:val="0"/>
        <w:widowControl/>
        <w:spacing w:line="448" w:lineRule="exact" w:before="0" w:after="0"/>
        <w:ind w:left="30" w:right="144" w:firstLine="0"/>
        <w:jc w:val="left"/>
      </w:pPr>
      <w:r>
        <w:tab/>
      </w:r>
      <w:r>
        <w:rPr>
          <w:rFonts w:ascii="宋体" w:hAnsi="宋体" w:eastAsia="宋体"/>
          <w:b w:val="0"/>
          <w:i w:val="0"/>
          <w:color w:val="000000"/>
          <w:sz w:val="21"/>
        </w:rPr>
        <w:t xml:space="preserve">（二）股东大会 </w:t>
      </w:r>
      <w:r>
        <w:br/>
      </w:r>
      <w:r>
        <w:rPr>
          <w:rFonts w:ascii="宋体" w:hAnsi="宋体" w:eastAsia="宋体"/>
          <w:b w:val="0"/>
          <w:i w:val="0"/>
          <w:color w:val="000000"/>
          <w:sz w:val="21"/>
        </w:rPr>
        <w:t>股东大会是公司最高权力机构，股东通过股东大会行使权利。公司持股5%以上的股东均符合相关法律</w:t>
      </w:r>
      <w:r>
        <w:rPr>
          <w:rFonts w:ascii="宋体" w:hAnsi="宋体" w:eastAsia="宋体"/>
          <w:b w:val="0"/>
          <w:i w:val="0"/>
          <w:color w:val="000000"/>
          <w:sz w:val="21"/>
        </w:rPr>
        <w:t>法规的规定。《公司章程》及《股东大会议事规则》规定了股东的权利和义务、股东大会的职权、股东大会</w:t>
      </w:r>
      <w:r>
        <w:rPr>
          <w:rFonts w:ascii="宋体" w:hAnsi="宋体" w:eastAsia="宋体"/>
          <w:b w:val="0"/>
          <w:i w:val="0"/>
          <w:color w:val="000000"/>
          <w:sz w:val="21"/>
        </w:rPr>
        <w:t xml:space="preserve">的召集、召开、表决等事项，建立了维护股东尤其是中小股东权益的机制，确保股东大会规范有效运作。 </w:t>
      </w:r>
    </w:p>
    <w:p>
      <w:pPr>
        <w:autoSpaceDN w:val="0"/>
        <w:autoSpaceDE w:val="0"/>
        <w:widowControl/>
        <w:spacing w:line="460" w:lineRule="exact" w:before="0" w:after="0"/>
        <w:ind w:left="30" w:right="0" w:firstLine="412"/>
        <w:jc w:val="left"/>
      </w:pPr>
      <w:r>
        <w:rPr>
          <w:rFonts w:ascii="宋体" w:hAnsi="宋体" w:eastAsia="宋体"/>
          <w:b w:val="0"/>
          <w:i w:val="0"/>
          <w:color w:val="000000"/>
          <w:sz w:val="21"/>
        </w:rPr>
        <w:t>报告期内，公司召开2 次股东大会，审议通过及听取议案22 个。股东大会的召集、提案、召开、表决、</w:t>
      </w:r>
      <w:r>
        <w:rPr>
          <w:rFonts w:ascii="宋体" w:hAnsi="宋体" w:eastAsia="宋体"/>
          <w:b w:val="0"/>
          <w:i w:val="0"/>
          <w:color w:val="000000"/>
          <w:sz w:val="21"/>
        </w:rPr>
        <w:t>决议及会议记录均符合法律法规、规范性文件以及《公司章程》《股东大会议事规则》的相关规定。股东大</w:t>
      </w:r>
      <w:r>
        <w:rPr>
          <w:rFonts w:ascii="宋体" w:hAnsi="宋体" w:eastAsia="宋体"/>
          <w:b w:val="0"/>
          <w:i w:val="0"/>
          <w:color w:val="000000"/>
          <w:sz w:val="21"/>
        </w:rPr>
        <w:t xml:space="preserve">会采取现场投票和网络投票相结合的表决方式，保障了各位股东、特别是中小股东依法行使权利。 </w:t>
      </w:r>
    </w:p>
    <w:p>
      <w:pPr>
        <w:autoSpaceDN w:val="0"/>
        <w:tabs>
          <w:tab w:pos="442"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（三）董事会 </w:t>
      </w:r>
      <w:r>
        <w:br/>
      </w:r>
      <w:r>
        <w:rPr>
          <w:rFonts w:ascii="宋体" w:hAnsi="宋体" w:eastAsia="宋体"/>
          <w:b w:val="0"/>
          <w:i w:val="0"/>
          <w:color w:val="000000"/>
          <w:sz w:val="21"/>
        </w:rPr>
        <w:t>董事会是公司决策机构，向股东大会负责，按照法定程序召开会议，并严格按照法律法规、《公司章程》</w:t>
      </w:r>
      <w:r>
        <w:rPr>
          <w:rFonts w:ascii="宋体" w:hAnsi="宋体" w:eastAsia="宋体"/>
          <w:b w:val="0"/>
          <w:i w:val="0"/>
          <w:color w:val="000000"/>
          <w:sz w:val="21"/>
        </w:rPr>
        <w:t>及《董事会议事规则》规定行使职权。董事会下设战略与ESG 委员会，审计委员会，薪酬、考核与提名委</w:t>
      </w:r>
      <w:r>
        <w:rPr>
          <w:rFonts w:ascii="宋体" w:hAnsi="宋体" w:eastAsia="宋体"/>
          <w:b w:val="0"/>
          <w:i w:val="0"/>
          <w:color w:val="000000"/>
          <w:sz w:val="21"/>
        </w:rPr>
        <w:t>员会，风险管理委员会等专门委员会，为董事会的科学决策提供重要支撑。公司严格按照《证券基金经营</w:t>
      </w:r>
      <w:r>
        <w:rPr>
          <w:rFonts w:ascii="宋体" w:hAnsi="宋体" w:eastAsia="宋体"/>
          <w:b w:val="0"/>
          <w:i w:val="0"/>
          <w:color w:val="000000"/>
          <w:sz w:val="21"/>
        </w:rPr>
        <w:t>机构董事、监事、高级管理人员及从业人员监督管理办法》等相关法律法规和《公司章程》的规定选举和</w:t>
      </w:r>
      <w:r>
        <w:rPr>
          <w:rFonts w:ascii="宋体" w:hAnsi="宋体" w:eastAsia="宋体"/>
          <w:b w:val="0"/>
          <w:i w:val="0"/>
          <w:color w:val="000000"/>
          <w:sz w:val="21"/>
        </w:rPr>
        <w:t>变更董事、监事。截至报告期末，公司董事会由11 名董事组成，其中独立董事4 人，职工董事1 名，任免</w:t>
      </w:r>
      <w:r>
        <w:rPr>
          <w:rFonts w:ascii="宋体" w:hAnsi="宋体" w:eastAsia="宋体"/>
          <w:b w:val="0"/>
          <w:i w:val="0"/>
          <w:color w:val="000000"/>
          <w:sz w:val="21"/>
        </w:rPr>
        <w:t>程序合法合规。公司董事均能严格遵守法律法规、《公司章程》及其公开做出的承诺，勤勉尽责，自觉维护</w:t>
      </w:r>
      <w:r>
        <w:rPr>
          <w:rFonts w:ascii="宋体" w:hAnsi="宋体" w:eastAsia="宋体"/>
          <w:b w:val="0"/>
          <w:i w:val="0"/>
          <w:color w:val="000000"/>
          <w:sz w:val="21"/>
        </w:rPr>
        <w:t xml:space="preserve">公司和全体股东的利益。 </w:t>
      </w:r>
    </w:p>
    <w:p>
      <w:pPr>
        <w:autoSpaceDN w:val="0"/>
        <w:autoSpaceDE w:val="0"/>
        <w:widowControl/>
        <w:spacing w:line="460" w:lineRule="exact" w:before="0" w:after="0"/>
        <w:ind w:left="30" w:right="226" w:firstLine="420"/>
        <w:jc w:val="both"/>
      </w:pPr>
      <w:r>
        <w:rPr>
          <w:rFonts w:ascii="宋体" w:hAnsi="宋体" w:eastAsia="宋体"/>
          <w:b w:val="0"/>
          <w:i w:val="0"/>
          <w:color w:val="000000"/>
          <w:sz w:val="21"/>
        </w:rPr>
        <w:t>董事会制定《独立董事制度》和《独立董事专门会议工作细则》，对独立董事的任职资格、任免、职</w:t>
      </w:r>
      <w:r>
        <w:rPr>
          <w:rFonts w:ascii="宋体" w:hAnsi="宋体" w:eastAsia="宋体"/>
          <w:b w:val="0"/>
          <w:i w:val="0"/>
          <w:color w:val="000000"/>
          <w:sz w:val="21"/>
        </w:rPr>
        <w:t>责及履职方式、履职程序和履职保障做了规定。报告期内，独立董事能够独立、客观、审慎地维护中小股</w:t>
      </w:r>
      <w:r>
        <w:rPr>
          <w:rFonts w:ascii="宋体" w:hAnsi="宋体" w:eastAsia="宋体"/>
          <w:b w:val="0"/>
          <w:i w:val="0"/>
          <w:color w:val="000000"/>
          <w:sz w:val="21"/>
        </w:rPr>
        <w:t xml:space="preserve">东权益。 </w:t>
      </w:r>
    </w:p>
    <w:p>
      <w:pPr>
        <w:autoSpaceDN w:val="0"/>
        <w:autoSpaceDE w:val="0"/>
        <w:widowControl/>
        <w:spacing w:line="460" w:lineRule="exact" w:before="0" w:after="0"/>
        <w:ind w:left="30" w:right="228" w:firstLine="412"/>
        <w:jc w:val="both"/>
      </w:pPr>
      <w:r>
        <w:rPr>
          <w:rFonts w:ascii="宋体" w:hAnsi="宋体" w:eastAsia="宋体"/>
          <w:b w:val="0"/>
          <w:i w:val="0"/>
          <w:color w:val="000000"/>
          <w:sz w:val="21"/>
        </w:rPr>
        <w:t>报告期内，公司召开董事会会议5 次，听取及审议通过议案58 个。召开董事会专门委员会10 次，独</w:t>
      </w:r>
      <w:r>
        <w:rPr>
          <w:rFonts w:ascii="宋体" w:hAnsi="宋体" w:eastAsia="宋体"/>
          <w:b w:val="0"/>
          <w:i w:val="0"/>
          <w:color w:val="000000"/>
          <w:sz w:val="21"/>
        </w:rPr>
        <w:t>立董事专门会议1 次，听取及审议通过议案共48 个。董事会的召集、提案、召开、表决、决议及会议记录</w:t>
      </w:r>
      <w:r>
        <w:rPr>
          <w:rFonts w:ascii="宋体" w:hAnsi="宋体" w:eastAsia="宋体"/>
          <w:b w:val="0"/>
          <w:i w:val="0"/>
          <w:color w:val="000000"/>
          <w:sz w:val="21"/>
        </w:rPr>
        <w:t xml:space="preserve">均符合法律法规、规范性文件以及《公司章程》《董事会议事规则》的有关规定。 </w:t>
      </w:r>
    </w:p>
    <w:p>
      <w:pPr>
        <w:autoSpaceDN w:val="0"/>
        <w:tabs>
          <w:tab w:pos="442"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（四）监事会 </w:t>
      </w:r>
      <w:r>
        <w:br/>
      </w:r>
      <w:r>
        <w:rPr>
          <w:rFonts w:ascii="宋体" w:hAnsi="宋体" w:eastAsia="宋体"/>
          <w:b w:val="0"/>
          <w:i w:val="0"/>
          <w:color w:val="000000"/>
          <w:sz w:val="21"/>
        </w:rPr>
        <w:t>监事会为监督机构，向全体股东负责，按照法定程序召开会议，并严格按照法律法规、《公司章程》及</w:t>
      </w:r>
      <w:r>
        <w:rPr>
          <w:rFonts w:ascii="宋体" w:hAnsi="宋体" w:eastAsia="宋体"/>
          <w:b w:val="0"/>
          <w:i w:val="0"/>
          <w:color w:val="000000"/>
          <w:sz w:val="21"/>
        </w:rPr>
        <w:t>《监事会议事规则》规定行使职权。公司严格按照《公司章程》的规定选举和变更监事。截至报告期末，</w:t>
      </w:r>
      <w:r>
        <w:rPr>
          <w:rFonts w:ascii="宋体" w:hAnsi="宋体" w:eastAsia="宋体"/>
          <w:b w:val="0"/>
          <w:i w:val="0"/>
          <w:color w:val="000000"/>
          <w:sz w:val="21"/>
        </w:rPr>
        <w:t>公司监事会由12 名监事组成，其中职工监事4 名，任免程序合法合规。报告期内，公司监事严格遵守法律</w:t>
      </w:r>
      <w:r>
        <w:rPr>
          <w:rFonts w:ascii="宋体" w:hAnsi="宋体" w:eastAsia="宋体"/>
          <w:b w:val="0"/>
          <w:i w:val="0"/>
          <w:color w:val="000000"/>
          <w:sz w:val="21"/>
        </w:rPr>
        <w:t>法规及《公司章程》规定履行职责，对公司财务、董事会和高级管理人员履行职责的合法合规性进行监督，</w:t>
      </w:r>
      <w:r>
        <w:rPr>
          <w:rFonts w:ascii="宋体" w:hAnsi="宋体" w:eastAsia="宋体"/>
          <w:b w:val="0"/>
          <w:i w:val="0"/>
          <w:color w:val="000000"/>
          <w:sz w:val="21"/>
        </w:rPr>
        <w:t xml:space="preserve">维护公司及股东的合法权益。 </w:t>
      </w:r>
    </w:p>
    <w:p>
      <w:pPr>
        <w:autoSpaceDN w:val="0"/>
        <w:tabs>
          <w:tab w:pos="442" w:val="left"/>
        </w:tabs>
        <w:autoSpaceDE w:val="0"/>
        <w:widowControl/>
        <w:spacing w:line="460" w:lineRule="exact" w:before="0" w:after="0"/>
        <w:ind w:left="30" w:right="144" w:firstLine="0"/>
        <w:jc w:val="left"/>
      </w:pPr>
      <w:r>
        <w:rPr>
          <w:rFonts w:ascii="宋体" w:hAnsi="宋体" w:eastAsia="宋体"/>
          <w:b w:val="0"/>
          <w:i w:val="0"/>
          <w:color w:val="000000"/>
          <w:sz w:val="21"/>
        </w:rPr>
        <w:t>报告期内，公司召开监事会会议3 次，审议通过议案20 个。监事会的召集、提案、召开、表决、决议</w:t>
      </w:r>
      <w:r>
        <w:rPr>
          <w:rFonts w:ascii="宋体" w:hAnsi="宋体" w:eastAsia="宋体"/>
          <w:b w:val="0"/>
          <w:i w:val="0"/>
          <w:color w:val="000000"/>
          <w:sz w:val="21"/>
        </w:rPr>
        <w:t xml:space="preserve">及会议记录均符合法律法规、规范性文件以及《公司章程》《监事会议事规则》的有关规定。 </w:t>
      </w:r>
    </w:p>
    <w:p>
      <w:pPr>
        <w:autoSpaceDN w:val="0"/>
        <w:autoSpaceDE w:val="0"/>
        <w:widowControl/>
        <w:spacing w:line="197" w:lineRule="auto" w:before="862" w:after="0"/>
        <w:ind w:left="0" w:right="4922" w:firstLine="0"/>
        <w:jc w:val="right"/>
      </w:pPr>
      <w:r>
        <w:rPr>
          <w:rFonts w:ascii="Calibri" w:hAnsi="Calibri" w:eastAsia="Calibri"/>
          <w:b w:val="0"/>
          <w:i w:val="0"/>
          <w:color w:val="000000"/>
          <w:sz w:val="18"/>
        </w:rPr>
        <w:t xml:space="preserve">64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7" name="Picture 6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2" w:bottom="446" w:left="1104" w:header="720" w:footer="720" w:gutter="0"/>
          <w:cols w:num="2" w:equalWidth="0">
            <w:col w:w="5436" w:space="0"/>
            <w:col w:w="4462" w:space="0"/>
          </w:cols>
          <w:docGrid w:linePitch="360"/>
        </w:sectPr>
      </w:pPr>
    </w:p>
    <w:p>
      <w:pPr>
        <w:autoSpaceDN w:val="0"/>
        <w:autoSpaceDE w:val="0"/>
        <w:widowControl/>
        <w:spacing w:line="200" w:lineRule="exact" w:before="0" w:after="30"/>
        <w:ind w:left="0" w:right="24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2" w:bottom="446" w:left="1104" w:header="720" w:footer="720" w:gutter="0"/>
          <w:cols w:num="2" w:equalWidth="0">
            <w:col w:w="5436" w:space="0"/>
            <w:col w:w="4462" w:space="0"/>
          </w:cols>
          <w:docGrid w:linePitch="360"/>
        </w:sectPr>
      </w:pPr>
    </w:p>
    <w:p>
      <w:pPr>
        <w:autoSpaceDN w:val="0"/>
        <w:autoSpaceDE w:val="0"/>
        <w:widowControl/>
        <w:spacing w:line="452" w:lineRule="exact" w:before="0" w:after="0"/>
        <w:ind w:left="30" w:right="226" w:firstLine="420"/>
        <w:jc w:val="both"/>
      </w:pPr>
      <w:r>
        <w:rPr>
          <w:rFonts w:ascii="宋体" w:hAnsi="宋体" w:eastAsia="宋体"/>
          <w:b w:val="0"/>
          <w:i w:val="0"/>
          <w:color w:val="000000"/>
          <w:sz w:val="21"/>
        </w:rPr>
        <w:t>报告期内，公司荣获中国上市公司协会</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年度上市公司董办最佳实践案例</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年上市公司可持</w:t>
      </w:r>
      <w:r>
        <w:rPr>
          <w:rFonts w:ascii="宋体" w:hAnsi="宋体" w:eastAsia="宋体"/>
          <w:b w:val="0"/>
          <w:i w:val="0"/>
          <w:color w:val="000000"/>
          <w:sz w:val="21"/>
        </w:rPr>
        <w:t>续发展优秀实践案例</w:t>
      </w:r>
      <w:r>
        <w:rPr>
          <w:rFonts w:ascii="Times New Roman" w:hAnsi="Times New Roman" w:eastAsia="Times New Roman"/>
          <w:b w:val="0"/>
          <w:i w:val="0"/>
          <w:color w:val="000000"/>
          <w:sz w:val="21"/>
        </w:rPr>
        <w:t>”</w:t>
      </w:r>
      <w:r>
        <w:rPr>
          <w:rFonts w:ascii="宋体" w:hAnsi="宋体" w:eastAsia="宋体"/>
          <w:b w:val="0"/>
          <w:i w:val="0"/>
          <w:color w:val="000000"/>
          <w:sz w:val="21"/>
        </w:rPr>
        <w:t>，中国证券报</w:t>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年度金信披奖</w:t>
      </w:r>
      <w:r>
        <w:rPr>
          <w:rFonts w:ascii="Times New Roman" w:hAnsi="Times New Roman" w:eastAsia="Times New Roman"/>
          <w:b w:val="0"/>
          <w:i w:val="0"/>
          <w:color w:val="000000"/>
          <w:sz w:val="21"/>
        </w:rPr>
        <w:t>”</w:t>
      </w:r>
      <w:r>
        <w:rPr>
          <w:rFonts w:ascii="宋体" w:hAnsi="宋体" w:eastAsia="宋体"/>
          <w:b w:val="0"/>
          <w:i w:val="0"/>
          <w:color w:val="000000"/>
          <w:sz w:val="21"/>
        </w:rPr>
        <w:t>，公司董事会秘书获评中国上市公司协会</w:t>
      </w:r>
      <w:r>
        <w:rPr>
          <w:rFonts w:ascii="Times New Roman" w:hAnsi="Times New Roman" w:eastAsia="Times New Roman"/>
          <w:b w:val="0"/>
          <w:i w:val="0"/>
          <w:color w:val="000000"/>
          <w:sz w:val="21"/>
        </w:rPr>
        <w:t>“2024</w:t>
      </w:r>
      <w:r>
        <w:rPr>
          <w:rFonts w:ascii="宋体" w:hAnsi="宋体" w:eastAsia="宋体"/>
          <w:b w:val="0"/>
          <w:i w:val="0"/>
          <w:color w:val="000000"/>
          <w:sz w:val="21"/>
        </w:rPr>
        <w:t>年上市公司董事会秘书评价</w:t>
      </w:r>
      <w:r>
        <w:rPr>
          <w:rFonts w:ascii="Times New Roman" w:hAnsi="Times New Roman" w:eastAsia="Times New Roman"/>
          <w:b w:val="0"/>
          <w:i w:val="0"/>
          <w:color w:val="000000"/>
          <w:sz w:val="21"/>
        </w:rPr>
        <w:t>4A</w:t>
      </w:r>
      <w:r>
        <w:rPr>
          <w:rFonts w:ascii="宋体" w:hAnsi="宋体" w:eastAsia="宋体"/>
          <w:b w:val="0"/>
          <w:i w:val="0"/>
          <w:color w:val="000000"/>
          <w:sz w:val="21"/>
        </w:rPr>
        <w:t xml:space="preserve"> 评级</w:t>
      </w:r>
      <w:r>
        <w:rPr>
          <w:rFonts w:ascii="Calibri" w:hAnsi="Calibri" w:eastAsia="Calibri"/>
          <w:b w:val="0"/>
          <w:i w:val="0"/>
          <w:color w:val="000000"/>
          <w:sz w:val="21"/>
        </w:rPr>
        <w:t>”</w:t>
      </w:r>
      <w:r>
        <w:rPr>
          <w:rFonts w:ascii="宋体" w:hAnsi="宋体" w:eastAsia="宋体"/>
          <w:b w:val="0"/>
          <w:i w:val="0"/>
          <w:color w:val="000000"/>
          <w:sz w:val="21"/>
        </w:rPr>
        <w:t>，证券时报</w:t>
      </w:r>
      <w:r>
        <w:rPr>
          <w:rFonts w:ascii="Calibri" w:hAnsi="Calibri" w:eastAsia="Calibri"/>
          <w:b w:val="0"/>
          <w:i w:val="0"/>
          <w:color w:val="000000"/>
          <w:sz w:val="21"/>
        </w:rPr>
        <w:t>“</w:t>
      </w:r>
      <w:r>
        <w:rPr>
          <w:rFonts w:ascii="宋体" w:hAnsi="宋体" w:eastAsia="宋体"/>
          <w:b w:val="0"/>
          <w:i w:val="0"/>
          <w:color w:val="000000"/>
          <w:sz w:val="21"/>
        </w:rPr>
        <w:t>第十五届中国上市公司投资者关系杰出董秘天马奖</w:t>
      </w:r>
      <w:r>
        <w:rPr>
          <w:rFonts w:ascii="Calibri" w:hAnsi="Calibri" w:eastAsia="Calibri"/>
          <w:b w:val="0"/>
          <w:i w:val="0"/>
          <w:color w:val="000000"/>
          <w:sz w:val="21"/>
        </w:rPr>
        <w:t>”</w:t>
      </w:r>
      <w:r>
        <w:rPr>
          <w:rFonts w:ascii="宋体" w:hAnsi="宋体" w:eastAsia="宋体"/>
          <w:b w:val="0"/>
          <w:i w:val="0"/>
          <w:color w:val="000000"/>
          <w:sz w:val="21"/>
        </w:rPr>
        <w:t xml:space="preserve">。 </w:t>
      </w:r>
    </w:p>
    <w:p>
      <w:pPr>
        <w:autoSpaceDN w:val="0"/>
        <w:tabs>
          <w:tab w:pos="450" w:val="left"/>
          <w:tab w:pos="452" w:val="left"/>
        </w:tabs>
        <w:autoSpaceDE w:val="0"/>
        <w:widowControl/>
        <w:spacing w:line="456" w:lineRule="exact" w:before="0" w:after="0"/>
        <w:ind w:left="30" w:right="0" w:firstLine="0"/>
        <w:jc w:val="left"/>
      </w:pPr>
      <w:r>
        <w:tab/>
      </w:r>
      <w:r>
        <w:rPr>
          <w:rFonts w:ascii="宋体" w:hAnsi="宋体" w:eastAsia="宋体"/>
          <w:b w:val="0"/>
          <w:i w:val="0"/>
          <w:color w:val="000000"/>
          <w:sz w:val="21"/>
        </w:rPr>
        <w:t xml:space="preserve">（五）经营管理层 </w:t>
      </w:r>
      <w:r>
        <w:br/>
      </w:r>
      <w:r>
        <w:tab/>
      </w:r>
      <w:r>
        <w:rPr>
          <w:rFonts w:ascii="宋体" w:hAnsi="宋体" w:eastAsia="宋体"/>
          <w:b w:val="0"/>
          <w:i w:val="0"/>
          <w:color w:val="000000"/>
          <w:sz w:val="21"/>
        </w:rPr>
        <w:t>经营管理层负责公司的日常经营管理，实施股东大会、董事会决议，对董事会负责。公司设执行委</w:t>
      </w:r>
      <w:r>
        <w:rPr>
          <w:rFonts w:ascii="宋体" w:hAnsi="宋体" w:eastAsia="宋体"/>
          <w:b w:val="0"/>
          <w:i w:val="0"/>
          <w:color w:val="000000"/>
          <w:sz w:val="21"/>
        </w:rPr>
        <w:t>员会，是贯彻落实董事会确定的经营方针和战略的最高经营管理机构，在《公司章程》及《执行委员会</w:t>
      </w:r>
      <w:r>
        <w:rPr>
          <w:rFonts w:ascii="宋体" w:hAnsi="宋体" w:eastAsia="宋体"/>
          <w:b w:val="0"/>
          <w:i w:val="0"/>
          <w:color w:val="000000"/>
          <w:sz w:val="21"/>
        </w:rPr>
        <w:t>工作条例》规定的职权范围内工作。《公司章程》对总经理、执行委员会及其他高级管理人员的产生办法、</w:t>
      </w:r>
      <w:r>
        <w:rPr>
          <w:rFonts w:ascii="宋体" w:hAnsi="宋体" w:eastAsia="宋体"/>
          <w:b w:val="0"/>
          <w:i w:val="0"/>
          <w:color w:val="000000"/>
          <w:sz w:val="21"/>
        </w:rPr>
        <w:t xml:space="preserve">职责权限等事项进行了规定。 </w:t>
      </w:r>
    </w:p>
    <w:p>
      <w:pPr>
        <w:autoSpaceDN w:val="0"/>
        <w:autoSpaceDE w:val="0"/>
        <w:widowControl/>
        <w:spacing w:line="460" w:lineRule="exact" w:before="0" w:after="0"/>
        <w:ind w:left="30" w:right="288" w:firstLine="420"/>
        <w:jc w:val="left"/>
      </w:pPr>
      <w:r>
        <w:rPr>
          <w:rFonts w:ascii="宋体" w:hAnsi="宋体" w:eastAsia="宋体"/>
          <w:b w:val="0"/>
          <w:i w:val="0"/>
          <w:color w:val="000000"/>
          <w:sz w:val="21"/>
        </w:rPr>
        <w:t>公司总经理、副总经理、财务总监、合规总监、首席风险官、董事会秘书、首席信息官、执行委员</w:t>
      </w:r>
      <w:r>
        <w:rPr>
          <w:rFonts w:ascii="宋体" w:hAnsi="宋体" w:eastAsia="宋体"/>
          <w:b w:val="0"/>
          <w:i w:val="0"/>
          <w:color w:val="000000"/>
          <w:sz w:val="21"/>
        </w:rPr>
        <w:t>会委员以及实际履行高级管理人员职务的其他人员为公司高级管理人员。公司严格按照《公司法》《证券</w:t>
      </w:r>
      <w:r>
        <w:rPr>
          <w:rFonts w:ascii="宋体" w:hAnsi="宋体" w:eastAsia="宋体"/>
          <w:b w:val="0"/>
          <w:i w:val="0"/>
          <w:color w:val="000000"/>
          <w:sz w:val="21"/>
        </w:rPr>
        <w:t>基金经营机构董事、监事、高级管理人员及从业人员监督管理办法》和《公司章程》的规定提名、任免高</w:t>
      </w:r>
      <w:r>
        <w:rPr>
          <w:rFonts w:ascii="宋体" w:hAnsi="宋体" w:eastAsia="宋体"/>
          <w:b w:val="0"/>
          <w:i w:val="0"/>
          <w:color w:val="000000"/>
          <w:sz w:val="21"/>
        </w:rPr>
        <w:t>级管理人员，高级管理人员均具有担任证券公司和上市公司高级管理人员的任职资格，履职期间勤勉尽</w:t>
      </w:r>
      <w:r>
        <w:rPr>
          <w:rFonts w:ascii="宋体" w:hAnsi="宋体" w:eastAsia="宋体"/>
          <w:b w:val="0"/>
          <w:i w:val="0"/>
          <w:color w:val="000000"/>
          <w:sz w:val="21"/>
        </w:rPr>
        <w:t xml:space="preserve">责，维护了公司和全体股东的权益。 </w:t>
      </w:r>
    </w:p>
    <w:p>
      <w:pPr>
        <w:autoSpaceDN w:val="0"/>
        <w:tabs>
          <w:tab w:pos="444" w:val="left"/>
          <w:tab w:pos="450"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（六）健全制度体系 </w:t>
      </w:r>
      <w:r>
        <w:br/>
      </w:r>
      <w:r>
        <w:tab/>
      </w:r>
      <w:r>
        <w:tab/>
      </w:r>
      <w:r>
        <w:rPr>
          <w:rFonts w:ascii="宋体" w:hAnsi="宋体" w:eastAsia="宋体"/>
          <w:b w:val="0"/>
          <w:i w:val="0"/>
          <w:color w:val="000000"/>
          <w:sz w:val="21"/>
        </w:rPr>
        <w:t>根据《证券法》《证券基金经营机构董事、监事、高级管理人员及从业人员监督管理办法》《上市公</w:t>
      </w:r>
      <w:r>
        <w:rPr>
          <w:rFonts w:ascii="宋体" w:hAnsi="宋体" w:eastAsia="宋体"/>
          <w:b w:val="0"/>
          <w:i w:val="0"/>
          <w:color w:val="000000"/>
          <w:sz w:val="21"/>
        </w:rPr>
        <w:t>司信息披露管理办法》《上市公司独立董事管理办法》《公司信用类债券信息披露管理办法》《深圳证券</w:t>
      </w:r>
      <w:r>
        <w:rPr>
          <w:rFonts w:ascii="宋体" w:hAnsi="宋体" w:eastAsia="宋体"/>
          <w:b w:val="0"/>
          <w:i w:val="0"/>
          <w:color w:val="000000"/>
          <w:sz w:val="21"/>
        </w:rPr>
        <w:t>交易所股票上市规则》《深圳证券交易所上市公司自律监管指引第</w:t>
      </w:r>
      <w:r>
        <w:rPr>
          <w:rFonts w:ascii="Calibri" w:hAnsi="Calibri" w:eastAsia="Calibri"/>
          <w:b w:val="0"/>
          <w:i w:val="0"/>
          <w:color w:val="000000"/>
          <w:sz w:val="21"/>
        </w:rPr>
        <w:t xml:space="preserve"> 5 </w:t>
      </w:r>
      <w:r>
        <w:rPr>
          <w:rFonts w:ascii="宋体" w:hAnsi="宋体" w:eastAsia="宋体"/>
          <w:b w:val="0"/>
          <w:i w:val="0"/>
          <w:color w:val="000000"/>
          <w:sz w:val="21"/>
        </w:rPr>
        <w:t>号</w:t>
      </w:r>
      <w:r>
        <w:rPr>
          <w:rFonts w:ascii="Calibri" w:hAnsi="Calibri" w:eastAsia="Calibri"/>
          <w:b w:val="0"/>
          <w:i w:val="0"/>
          <w:color w:val="000000"/>
          <w:sz w:val="21"/>
        </w:rPr>
        <w:t>——</w:t>
      </w:r>
      <w:r>
        <w:rPr>
          <w:rFonts w:ascii="宋体" w:hAnsi="宋体" w:eastAsia="宋体"/>
          <w:b w:val="0"/>
          <w:i w:val="0"/>
          <w:color w:val="000000"/>
          <w:sz w:val="21"/>
        </w:rPr>
        <w:t>信息披露事务管理》等法律</w:t>
      </w:r>
      <w:r>
        <w:rPr>
          <w:rFonts w:ascii="宋体" w:hAnsi="宋体" w:eastAsia="宋体"/>
          <w:b w:val="0"/>
          <w:i w:val="0"/>
          <w:color w:val="000000"/>
          <w:sz w:val="21"/>
        </w:rPr>
        <w:t>法规、规范性文件及监管要求，结合公司实际，公司修订完善了《公司章程》《股东大会议事规则》《董</w:t>
      </w:r>
      <w:r>
        <w:rPr>
          <w:rFonts w:ascii="宋体" w:hAnsi="宋体" w:eastAsia="宋体"/>
          <w:b w:val="0"/>
          <w:i w:val="0"/>
          <w:color w:val="000000"/>
          <w:sz w:val="21"/>
        </w:rPr>
        <w:t>事会议事规则》《独立董事制度》《信息披露事务管理制度》《关联交易管理制度》《募集资金管理制度》</w:t>
      </w:r>
      <w:r>
        <w:rPr>
          <w:rFonts w:ascii="宋体" w:hAnsi="宋体" w:eastAsia="宋体"/>
          <w:b w:val="0"/>
          <w:i w:val="0"/>
          <w:color w:val="000000"/>
          <w:sz w:val="21"/>
        </w:rPr>
        <w:t>等制度，并制定了《独立董事专门会议工作细则》。</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（七）规范信息披露及投资者关系管理 </w:t>
      </w:r>
      <w:r>
        <w:br/>
      </w:r>
      <w:r>
        <w:tab/>
      </w:r>
      <w:r>
        <w:rPr>
          <w:rFonts w:ascii="宋体" w:hAnsi="宋体" w:eastAsia="宋体"/>
          <w:b w:val="0"/>
          <w:i w:val="0"/>
          <w:color w:val="000000"/>
          <w:sz w:val="21"/>
        </w:rPr>
        <w:t>按照法律法规和深交所有关信息披露的规定，公司持续优化完善信息披露工作流程，强化过程审核，</w:t>
      </w:r>
      <w:r>
        <w:rPr>
          <w:rFonts w:ascii="宋体" w:hAnsi="宋体" w:eastAsia="宋体"/>
          <w:b w:val="0"/>
          <w:i w:val="0"/>
          <w:color w:val="000000"/>
          <w:sz w:val="21"/>
        </w:rPr>
        <w:t>认真履行信息披露义务，确保信息披露真实、准确、完整、及时和公平。公司建立健全常态化信息沟通</w:t>
      </w:r>
      <w:r>
        <w:rPr>
          <w:rFonts w:ascii="宋体" w:hAnsi="宋体" w:eastAsia="宋体"/>
          <w:b w:val="0"/>
          <w:i w:val="0"/>
          <w:color w:val="000000"/>
          <w:sz w:val="21"/>
        </w:rPr>
        <w:t>机制，为董事、监事、高级管理人员履职提供充分信息保障。报告期内，公司依法完成定期报告的编制</w:t>
      </w:r>
      <w:r>
        <w:rPr>
          <w:rFonts w:ascii="宋体" w:hAnsi="宋体" w:eastAsia="宋体"/>
          <w:b w:val="0"/>
          <w:i w:val="0"/>
          <w:color w:val="000000"/>
          <w:sz w:val="21"/>
        </w:rPr>
        <w:t>和披露，及时发布临时公告，确保投资者能够平等获取公司相关公开信息。公司持续强化内幕信息管理，</w:t>
      </w:r>
      <w:r>
        <w:rPr>
          <w:rFonts w:ascii="宋体" w:hAnsi="宋体" w:eastAsia="宋体"/>
          <w:b w:val="0"/>
          <w:i w:val="0"/>
          <w:color w:val="000000"/>
          <w:sz w:val="21"/>
        </w:rPr>
        <w:t>严格执行相关法律法规及公司《内幕信息知情人登记管理制度》相关规定，做好内幕信息管理及内幕信</w:t>
      </w:r>
      <w:r>
        <w:rPr>
          <w:rFonts w:ascii="宋体" w:hAnsi="宋体" w:eastAsia="宋体"/>
          <w:b w:val="0"/>
          <w:i w:val="0"/>
          <w:color w:val="000000"/>
          <w:sz w:val="21"/>
        </w:rPr>
        <w:t xml:space="preserve">息知情人登记和报备工作，有效维护了广大投资者的权益。 </w:t>
      </w:r>
    </w:p>
    <w:p>
      <w:pPr>
        <w:autoSpaceDN w:val="0"/>
        <w:autoSpaceDE w:val="0"/>
        <w:widowControl/>
        <w:spacing w:line="460" w:lineRule="exact" w:before="0" w:after="0"/>
        <w:ind w:left="30" w:right="288" w:firstLine="420"/>
        <w:jc w:val="left"/>
      </w:pPr>
      <w:r>
        <w:rPr>
          <w:rFonts w:ascii="宋体" w:hAnsi="宋体" w:eastAsia="宋体"/>
          <w:b w:val="0"/>
          <w:i w:val="0"/>
          <w:color w:val="000000"/>
          <w:sz w:val="21"/>
        </w:rPr>
        <w:t>公司按照《企业会计准则》等相关规定及规范要求，建立了相应的财务会计制度体系，并设立专人</w:t>
      </w:r>
      <w:r>
        <w:rPr>
          <w:rFonts w:ascii="宋体" w:hAnsi="宋体" w:eastAsia="宋体"/>
          <w:b w:val="0"/>
          <w:i w:val="0"/>
          <w:color w:val="000000"/>
          <w:sz w:val="21"/>
        </w:rPr>
        <w:t>专岗负责财务报表的编制、复核及财务信息的披露工作，保证会计信息真实可靠，财务报告数字准确、</w:t>
      </w:r>
    </w:p>
    <w:p>
      <w:pPr>
        <w:autoSpaceDN w:val="0"/>
        <w:autoSpaceDE w:val="0"/>
        <w:widowControl/>
        <w:spacing w:line="197" w:lineRule="auto" w:before="862" w:after="0"/>
        <w:ind w:left="0" w:right="4920" w:firstLine="0"/>
        <w:jc w:val="right"/>
      </w:pPr>
      <w:r>
        <w:rPr>
          <w:rFonts w:ascii="Calibri" w:hAnsi="Calibri" w:eastAsia="Calibri"/>
          <w:b w:val="0"/>
          <w:i w:val="0"/>
          <w:color w:val="000000"/>
          <w:sz w:val="18"/>
        </w:rPr>
        <w:t xml:space="preserve">65 </w:t>
      </w:r>
    </w:p>
    <w:p>
      <w:pPr>
        <w:sectPr>
          <w:type w:val="continuous"/>
          <w:pgSz w:w="11904" w:h="16841"/>
          <w:pgMar w:top="424" w:right="90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72" w:bottom="446" w:left="992" w:header="720" w:footer="720" w:gutter="0"/>
          <w:cols/>
          <w:docGrid w:linePitch="360"/>
        </w:sectPr>
      </w:pPr>
    </w:p>
    <w:p>
      <w:pPr>
        <w:autoSpaceDN w:val="0"/>
        <w:autoSpaceDE w:val="0"/>
        <w:widowControl/>
        <w:spacing w:line="240" w:lineRule="auto" w:before="0" w:after="0"/>
        <w:ind w:left="142" w:right="0" w:firstLine="0"/>
        <w:jc w:val="left"/>
      </w:pPr>
      <w:r>
        <w:drawing>
          <wp:inline xmlns:a="http://schemas.openxmlformats.org/drawingml/2006/main" xmlns:pic="http://schemas.openxmlformats.org/drawingml/2006/picture">
            <wp:extent cx="1844039" cy="439419"/>
            <wp:docPr id="68" name="Picture 6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72" w:bottom="446" w:left="992" w:header="720" w:footer="720" w:gutter="0"/>
          <w:cols w:num="2" w:equalWidth="0">
            <w:col w:w="5548" w:space="0"/>
            <w:col w:w="4392" w:space="0"/>
          </w:cols>
          <w:docGrid w:linePitch="360"/>
        </w:sectPr>
      </w:pPr>
    </w:p>
    <w:p>
      <w:pPr>
        <w:autoSpaceDN w:val="0"/>
        <w:autoSpaceDE w:val="0"/>
        <w:widowControl/>
        <w:spacing w:line="200" w:lineRule="exact" w:before="0" w:after="30"/>
        <w:ind w:left="0" w:right="17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72" w:bottom="446" w:left="992" w:header="720" w:footer="720" w:gutter="0"/>
          <w:cols w:num="2" w:equalWidth="0">
            <w:col w:w="5548" w:space="0"/>
            <w:col w:w="4392" w:space="0"/>
          </w:cols>
          <w:docGrid w:linePitch="360"/>
        </w:sectPr>
      </w:pPr>
    </w:p>
    <w:p>
      <w:pPr>
        <w:autoSpaceDN w:val="0"/>
        <w:autoSpaceDE w:val="0"/>
        <w:widowControl/>
        <w:spacing w:line="436" w:lineRule="exact" w:before="0" w:after="0"/>
        <w:ind w:left="142" w:right="288" w:firstLine="0"/>
        <w:jc w:val="left"/>
      </w:pPr>
      <w:r>
        <w:rPr>
          <w:rFonts w:ascii="宋体" w:hAnsi="宋体" w:eastAsia="宋体"/>
          <w:b w:val="0"/>
          <w:i w:val="0"/>
          <w:color w:val="000000"/>
          <w:sz w:val="21"/>
        </w:rPr>
        <w:t>内容完整、披露及时。报告期内，公司严格依据相关法律法规、规范性文件及公司财务管理制度的要求</w:t>
      </w:r>
      <w:r>
        <w:rPr>
          <w:rFonts w:ascii="宋体" w:hAnsi="宋体" w:eastAsia="宋体"/>
          <w:b w:val="0"/>
          <w:i w:val="0"/>
          <w:color w:val="000000"/>
          <w:sz w:val="21"/>
        </w:rPr>
        <w:t xml:space="preserve">进行财务管理。 </w:t>
      </w:r>
    </w:p>
    <w:p>
      <w:pPr>
        <w:autoSpaceDN w:val="0"/>
        <w:autoSpaceDE w:val="0"/>
        <w:widowControl/>
        <w:spacing w:line="460" w:lineRule="exact" w:before="0" w:after="0"/>
        <w:ind w:left="142" w:right="0" w:firstLine="412"/>
        <w:jc w:val="left"/>
      </w:pPr>
      <w:r>
        <w:rPr>
          <w:rFonts w:ascii="宋体" w:hAnsi="宋体" w:eastAsia="宋体"/>
          <w:b w:val="0"/>
          <w:i w:val="0"/>
          <w:color w:val="000000"/>
          <w:sz w:val="21"/>
        </w:rPr>
        <w:t>公司持续建立健全投资者关系管理规章制度和工作机制，拓宽投资者沟通渠道，加强投资者关系管</w:t>
      </w:r>
      <w:r>
        <w:rPr>
          <w:rFonts w:ascii="宋体" w:hAnsi="宋体" w:eastAsia="宋体"/>
          <w:b w:val="0"/>
          <w:i w:val="0"/>
          <w:color w:val="000000"/>
          <w:sz w:val="21"/>
        </w:rPr>
        <w:t>理。公司与监管机构、投资者、中介机构及新闻媒体保持有效沟通，及时回应投资者关切，回复投资者</w:t>
      </w:r>
      <w:r>
        <w:rPr>
          <w:rFonts w:ascii="宋体" w:hAnsi="宋体" w:eastAsia="宋体"/>
          <w:b w:val="0"/>
          <w:i w:val="0"/>
          <w:color w:val="000000"/>
          <w:sz w:val="21"/>
        </w:rPr>
        <w:t>调研咨询。报告期内，公司通过电话、传真、邮件、深交所互动易平台、媒体等多渠道聆听投资者诉求，</w:t>
      </w:r>
      <w:r>
        <w:rPr>
          <w:rFonts w:ascii="宋体" w:hAnsi="宋体" w:eastAsia="宋体"/>
          <w:b w:val="0"/>
          <w:i w:val="0"/>
          <w:color w:val="000000"/>
          <w:sz w:val="21"/>
        </w:rPr>
        <w:t>及时妥善回复投资者关切，增强投资者对公司的投资信心。公司官网设立“投资者关系”栏目，及时更</w:t>
      </w:r>
      <w:r>
        <w:rPr>
          <w:rFonts w:ascii="宋体" w:hAnsi="宋体" w:eastAsia="宋体"/>
          <w:b w:val="0"/>
          <w:i w:val="0"/>
          <w:color w:val="000000"/>
          <w:sz w:val="21"/>
        </w:rPr>
        <w:t>新公司相关公告、董监高信息及股权结构等。报告期内，公司参与山西证监局组织举办的“山西辖区上</w:t>
      </w:r>
      <w:r>
        <w:rPr>
          <w:rFonts w:ascii="宋体" w:hAnsi="宋体" w:eastAsia="宋体"/>
          <w:b w:val="0"/>
          <w:i w:val="0"/>
          <w:color w:val="000000"/>
          <w:sz w:val="21"/>
        </w:rPr>
        <w:t>市公司2024 年投资者网上集体接待日暨年报业绩说明会”，及时、客观回应投资者问询。</w:t>
      </w:r>
    </w:p>
    <w:p>
      <w:pPr>
        <w:autoSpaceDN w:val="0"/>
        <w:autoSpaceDE w:val="0"/>
        <w:widowControl/>
        <w:spacing w:line="392" w:lineRule="exact" w:before="170" w:after="0"/>
        <w:ind w:left="142" w:right="432" w:firstLine="422"/>
        <w:jc w:val="left"/>
      </w:pPr>
      <w:r>
        <w:rPr>
          <w:rFonts w:ascii="宋体" w:hAnsi="宋体" w:eastAsia="宋体"/>
          <w:b w:val="0"/>
          <w:i w:val="0"/>
          <w:color w:val="000000"/>
          <w:sz w:val="21"/>
        </w:rPr>
        <w:t>（八）公司治理的实际状况与法律、行政法规和中国证监会发布的关于上市公司治理的规定是否</w:t>
      </w:r>
      <w:r>
        <w:rPr>
          <w:rFonts w:ascii="宋体" w:hAnsi="宋体" w:eastAsia="宋体"/>
          <w:b w:val="0"/>
          <w:i w:val="0"/>
          <w:color w:val="000000"/>
          <w:sz w:val="21"/>
        </w:rPr>
        <w:t xml:space="preserve">存在重大差异 </w:t>
      </w:r>
      <w:r>
        <w:br/>
      </w:r>
      <w:r>
        <w:rPr>
          <w:rFonts w:ascii="宋体" w:hAnsi="宋体" w:eastAsia="宋体"/>
          <w:b w:val="0"/>
          <w:i w:val="0"/>
          <w:color w:val="000000"/>
          <w:sz w:val="18"/>
        </w:rPr>
        <w:t xml:space="preserve">□是 </w:t>
      </w:r>
      <w:r>
        <w:rPr>
          <w:rFonts w:ascii="宋体" w:hAnsi="宋体" w:eastAsia="宋体"/>
          <w:b w:val="0"/>
          <w:i w:val="0"/>
          <w:color w:val="000000"/>
          <w:sz w:val="21"/>
        </w:rPr>
        <w:t>√</w:t>
      </w:r>
      <w:r>
        <w:rPr>
          <w:rFonts w:ascii="宋体" w:hAnsi="宋体" w:eastAsia="宋体"/>
          <w:b w:val="0"/>
          <w:i w:val="0"/>
          <w:color w:val="000000"/>
          <w:sz w:val="18"/>
        </w:rPr>
        <w:t xml:space="preserve">否 </w:t>
      </w:r>
      <w:r>
        <w:br/>
      </w:r>
      <w:r>
        <w:rPr>
          <w:rFonts w:ascii="宋体" w:hAnsi="宋体" w:eastAsia="宋体"/>
          <w:b w:val="0"/>
          <w:i w:val="0"/>
          <w:color w:val="000000"/>
          <w:sz w:val="18"/>
        </w:rPr>
        <w:t xml:space="preserve">公司治理的实际状况与法律、行政法规和中国证监会发布的关于上市公司治理的规定不存在重大差异。 </w:t>
      </w:r>
    </w:p>
    <w:p>
      <w:pPr>
        <w:autoSpaceDN w:val="0"/>
        <w:autoSpaceDE w:val="0"/>
        <w:widowControl/>
        <w:spacing w:line="212" w:lineRule="exact" w:before="474" w:after="120"/>
        <w:ind w:left="562" w:right="0" w:firstLine="0"/>
        <w:jc w:val="left"/>
      </w:pPr>
      <w:r>
        <w:rPr>
          <w:rFonts w:ascii="宋体" w:hAnsi="宋体" w:eastAsia="宋体"/>
          <w:b w:val="0"/>
          <w:i w:val="0"/>
          <w:color w:val="000000"/>
          <w:sz w:val="21"/>
        </w:rPr>
        <w:t xml:space="preserve">报告期内，公司治理相关制度和专项活动披露情况： </w:t>
      </w:r>
    </w:p>
    <w:tbl>
      <w:tblPr>
        <w:tblW w:type="auto" w:w="0"/>
        <w:tblLayout w:type="fixed"/>
        <w:tblLook w:firstColumn="1" w:firstRow="1" w:lastColumn="0" w:lastRow="0" w:noHBand="0" w:noVBand="1" w:val="04A0"/>
        <w:tblInd w:w="5.999999999999943" w:type="dxa"/>
      </w:tblPr>
      <w:tblGrid>
        <w:gridCol w:w="3313"/>
        <w:gridCol w:w="3313"/>
        <w:gridCol w:w="3313"/>
      </w:tblGrid>
      <w:tr>
        <w:trPr>
          <w:trHeight w:hRule="exact" w:val="398"/>
        </w:trPr>
        <w:tc>
          <w:tcPr>
            <w:tcW w:type="dxa" w:w="6090"/>
            <w:tcBorders>
              <w:start w:sz="4.0" w:val="single" w:color="#000000"/>
              <w:top w:sz="3.199999999999818"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32" w:after="0"/>
              <w:ind w:left="0" w:right="2586" w:firstLine="0"/>
              <w:jc w:val="right"/>
            </w:pPr>
            <w:r>
              <w:rPr>
                <w:rFonts w:ascii="宋体" w:hAnsi="宋体" w:eastAsia="宋体"/>
                <w:b w:val="0"/>
                <w:i w:val="0"/>
                <w:color w:val="000000"/>
                <w:sz w:val="18"/>
              </w:rPr>
              <w:t xml:space="preserve">公告名称 </w:t>
            </w:r>
          </w:p>
        </w:tc>
        <w:tc>
          <w:tcPr>
            <w:tcW w:type="dxa" w:w="1278"/>
            <w:tcBorders>
              <w:start w:sz="4.0" w:val="single" w:color="#000000"/>
              <w:top w:sz="3.199999999999818" w:val="single" w:color="#000000"/>
              <w:end w:sz="3.199999999999818" w:val="single" w:color="#000000"/>
              <w:bottom w:sz="4.0" w:val="single" w:color="#000000"/>
            </w:tcBorders>
            <w:shd w:fill="d8d9d8"/>
            <w:tcMar>
              <w:start w:w="0" w:type="dxa"/>
              <w:end w:w="0" w:type="dxa"/>
            </w:tcMar>
          </w:tcPr>
          <w:p>
            <w:pPr>
              <w:autoSpaceDN w:val="0"/>
              <w:autoSpaceDE w:val="0"/>
              <w:widowControl/>
              <w:spacing w:line="180" w:lineRule="exact" w:before="132" w:after="0"/>
              <w:ind w:left="272" w:right="0" w:firstLine="0"/>
              <w:jc w:val="left"/>
            </w:pPr>
            <w:r>
              <w:rPr>
                <w:rFonts w:ascii="宋体" w:hAnsi="宋体" w:eastAsia="宋体"/>
                <w:b w:val="0"/>
                <w:i w:val="0"/>
                <w:color w:val="000000"/>
                <w:sz w:val="18"/>
              </w:rPr>
              <w:t xml:space="preserve">披露日期 </w:t>
            </w:r>
          </w:p>
        </w:tc>
        <w:tc>
          <w:tcPr>
            <w:tcW w:type="dxa" w:w="2542"/>
            <w:tcBorders>
              <w:start w:sz="3.199999999999818" w:val="single" w:color="#000000"/>
              <w:top w:sz="3.199999999999818" w:val="single" w:color="#000000"/>
              <w:end w:sz="3.199999999999818" w:val="single" w:color="#000000"/>
              <w:bottom w:sz="4.0" w:val="single" w:color="#000000"/>
            </w:tcBorders>
            <w:shd w:fill="d8d9d8"/>
            <w:tcMar>
              <w:start w:w="0" w:type="dxa"/>
              <w:end w:w="0" w:type="dxa"/>
            </w:tcMar>
          </w:tcPr>
          <w:p>
            <w:pPr>
              <w:autoSpaceDN w:val="0"/>
              <w:autoSpaceDE w:val="0"/>
              <w:widowControl/>
              <w:spacing w:line="180" w:lineRule="exact" w:before="132" w:after="0"/>
              <w:ind w:left="0" w:right="816" w:firstLine="0"/>
              <w:jc w:val="right"/>
            </w:pPr>
            <w:r>
              <w:rPr>
                <w:rFonts w:ascii="宋体" w:hAnsi="宋体" w:eastAsia="宋体"/>
                <w:b w:val="0"/>
                <w:i w:val="0"/>
                <w:color w:val="000000"/>
                <w:sz w:val="18"/>
              </w:rPr>
              <w:t xml:space="preserve">披露媒体 </w:t>
            </w:r>
          </w:p>
        </w:tc>
      </w:tr>
      <w:tr>
        <w:trPr>
          <w:trHeight w:hRule="exact" w:val="396"/>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山西证券股份有限公司内部稽核审计制度（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4</w:t>
            </w:r>
            <w:r>
              <w:rPr>
                <w:rFonts w:ascii="宋体" w:hAnsi="宋体" w:eastAsia="宋体"/>
                <w:b w:val="0"/>
                <w:i w:val="0"/>
                <w:color w:val="000000"/>
                <w:sz w:val="18"/>
              </w:rPr>
              <w:t xml:space="preserve"> 月）</w:t>
            </w:r>
          </w:p>
        </w:tc>
        <w:tc>
          <w:tcPr>
            <w:tcW w:type="dxa" w:w="1278"/>
            <w:vMerge w:val="restart"/>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2024.04.30 </w:t>
            </w:r>
          </w:p>
        </w:tc>
        <w:tc>
          <w:tcPr>
            <w:tcW w:type="dxa" w:w="2542"/>
            <w:vMerge w:val="restart"/>
            <w:tcBorders>
              <w:start w:sz="3.199999999999818"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54" w:lineRule="exact" w:before="2492" w:after="0"/>
              <w:ind w:left="0" w:right="0" w:firstLine="0"/>
              <w:jc w:val="center"/>
            </w:pPr>
            <w:r>
              <w:rPr>
                <w:rFonts w:ascii="宋体" w:hAnsi="宋体" w:eastAsia="宋体"/>
                <w:b w:val="0"/>
                <w:i w:val="0"/>
                <w:color w:val="000000"/>
                <w:sz w:val="18"/>
              </w:rPr>
              <w:t>巨潮资讯网</w:t>
            </w:r>
            <w:r>
              <w:br/>
            </w:r>
            <w:r>
              <w:rPr>
                <w:rFonts w:ascii="宋体" w:hAnsi="宋体" w:eastAsia="宋体"/>
                <w:b w:val="0"/>
                <w:i w:val="0"/>
                <w:color w:val="000000"/>
                <w:sz w:val="18"/>
              </w:rPr>
              <w:t>（</w:t>
            </w:r>
            <w:r>
              <w:rPr>
                <w:rFonts w:ascii="Calibri" w:hAnsi="Calibri" w:eastAsia="Calibri"/>
                <w:b w:val="0"/>
                <w:i w:val="0"/>
                <w:color w:val="000000"/>
                <w:sz w:val="18"/>
              </w:rPr>
              <w:t>http://www.cninfo.com.cn</w:t>
            </w:r>
            <w:r>
              <w:rPr>
                <w:rFonts w:ascii="宋体" w:hAnsi="宋体" w:eastAsia="宋体"/>
                <w:b w:val="0"/>
                <w:i w:val="0"/>
                <w:color w:val="000000"/>
                <w:sz w:val="18"/>
              </w:rPr>
              <w:t>）</w:t>
            </w:r>
          </w:p>
        </w:tc>
      </w:tr>
      <w:tr>
        <w:trPr>
          <w:trHeight w:hRule="exact" w:val="400"/>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32" w:after="0"/>
              <w:ind w:left="0" w:right="0" w:firstLine="0"/>
              <w:jc w:val="center"/>
            </w:pPr>
            <w:r>
              <w:rPr>
                <w:rFonts w:ascii="宋体" w:hAnsi="宋体" w:eastAsia="宋体"/>
                <w:b w:val="0"/>
                <w:i w:val="0"/>
                <w:color w:val="000000"/>
                <w:sz w:val="18"/>
              </w:rPr>
              <w:t>山西证券股份有限公司薪酬、考核与提名委员会实施细则（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4</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4"/>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山西证券股份有限公司审计委员会实施细则（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4</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400"/>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山西证券股份有限公司独立董事专门会议工作细则（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4</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6"/>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6" w:after="0"/>
              <w:ind w:left="104" w:right="0" w:firstLine="0"/>
              <w:jc w:val="left"/>
            </w:pPr>
            <w:r>
              <w:rPr>
                <w:rFonts w:ascii="宋体" w:hAnsi="宋体" w:eastAsia="宋体"/>
                <w:b w:val="0"/>
                <w:i w:val="0"/>
                <w:color w:val="000000"/>
                <w:sz w:val="18"/>
              </w:rPr>
              <w:t>山西证券股份有限公司章程（</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1278"/>
            <w:vMerge w:val="restart"/>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312" w:after="0"/>
              <w:ind w:left="0" w:right="0" w:firstLine="0"/>
              <w:jc w:val="center"/>
            </w:pPr>
            <w:r>
              <w:rPr>
                <w:rFonts w:ascii="Times New Roman" w:hAnsi="Times New Roman" w:eastAsia="Times New Roman"/>
                <w:b w:val="0"/>
                <w:i w:val="0"/>
                <w:color w:val="000000"/>
                <w:sz w:val="18"/>
              </w:rPr>
              <w:t xml:space="preserve">2024.05.25 </w:t>
            </w: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4"/>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山西证券股份有限公司股东大会议事规则（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400"/>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32" w:after="0"/>
              <w:ind w:left="104" w:right="0" w:firstLine="0"/>
              <w:jc w:val="left"/>
            </w:pPr>
            <w:r>
              <w:rPr>
                <w:rFonts w:ascii="宋体" w:hAnsi="宋体" w:eastAsia="宋体"/>
                <w:b w:val="0"/>
                <w:i w:val="0"/>
                <w:color w:val="000000"/>
                <w:sz w:val="18"/>
              </w:rPr>
              <w:t>山西证券股份有限公司董事会议事规则（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8"/>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山西证券股份有限公司独立董事制度（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8"/>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6" w:after="0"/>
              <w:ind w:left="104" w:right="0" w:firstLine="0"/>
              <w:jc w:val="left"/>
            </w:pPr>
            <w:r>
              <w:rPr>
                <w:rFonts w:ascii="宋体" w:hAnsi="宋体" w:eastAsia="宋体"/>
                <w:b w:val="0"/>
                <w:i w:val="0"/>
                <w:color w:val="000000"/>
                <w:sz w:val="18"/>
              </w:rPr>
              <w:t>山西证券股份有限公司募集资金管理制度（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4"/>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山西证券股份有限公司累积投票实施细则（</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8"/>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山西证券股份有限公司关联交易管理制度（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5</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8"/>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30" w:after="0"/>
              <w:ind w:left="104" w:right="0" w:firstLine="0"/>
              <w:jc w:val="left"/>
            </w:pPr>
            <w:r>
              <w:rPr>
                <w:rFonts w:ascii="宋体" w:hAnsi="宋体" w:eastAsia="宋体"/>
                <w:b w:val="0"/>
                <w:i w:val="0"/>
                <w:color w:val="000000"/>
                <w:sz w:val="18"/>
              </w:rPr>
              <w:t>山西证券股份有限公司信息披露事务管理制度（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8</w:t>
            </w:r>
            <w:r>
              <w:rPr>
                <w:rFonts w:ascii="宋体" w:hAnsi="宋体" w:eastAsia="宋体"/>
                <w:b w:val="0"/>
                <w:i w:val="0"/>
                <w:color w:val="000000"/>
                <w:sz w:val="18"/>
              </w:rPr>
              <w:t xml:space="preserve"> 月）</w:t>
            </w:r>
          </w:p>
        </w:tc>
        <w:tc>
          <w:tcPr>
            <w:tcW w:type="dxa" w:w="1278"/>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97" w:lineRule="auto" w:before="150" w:after="0"/>
              <w:ind w:left="0" w:right="0" w:firstLine="0"/>
              <w:jc w:val="center"/>
            </w:pPr>
            <w:r>
              <w:rPr>
                <w:rFonts w:ascii="Calibri" w:hAnsi="Calibri" w:eastAsia="Calibri"/>
                <w:b w:val="0"/>
                <w:i w:val="0"/>
                <w:color w:val="000000"/>
                <w:sz w:val="18"/>
              </w:rPr>
              <w:t xml:space="preserve">2024.08.28 </w:t>
            </w: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4"/>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28" w:after="0"/>
              <w:ind w:left="104" w:right="0" w:firstLine="0"/>
              <w:jc w:val="left"/>
            </w:pPr>
            <w:r>
              <w:rPr>
                <w:rFonts w:ascii="宋体" w:hAnsi="宋体" w:eastAsia="宋体"/>
                <w:b w:val="0"/>
                <w:i w:val="0"/>
                <w:color w:val="000000"/>
                <w:sz w:val="18"/>
              </w:rPr>
              <w:t>山西证券股份有限公司募集资金管理制度（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11</w:t>
            </w:r>
            <w:r>
              <w:rPr>
                <w:rFonts w:ascii="宋体" w:hAnsi="宋体" w:eastAsia="宋体"/>
                <w:b w:val="0"/>
                <w:i w:val="0"/>
                <w:color w:val="000000"/>
                <w:sz w:val="18"/>
              </w:rPr>
              <w:t xml:space="preserve"> 月）</w:t>
            </w:r>
          </w:p>
        </w:tc>
        <w:tc>
          <w:tcPr>
            <w:tcW w:type="dxa" w:w="1278"/>
            <w:vMerge w:val="restart"/>
            <w:tcBorders>
              <w:start w:sz="4.0"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97" w:lineRule="auto" w:before="348" w:after="0"/>
              <w:ind w:left="0" w:right="0" w:firstLine="0"/>
              <w:jc w:val="center"/>
            </w:pPr>
            <w:r>
              <w:rPr>
                <w:rFonts w:ascii="Calibri" w:hAnsi="Calibri" w:eastAsia="Calibri"/>
                <w:b w:val="0"/>
                <w:i w:val="0"/>
                <w:color w:val="000000"/>
                <w:sz w:val="18"/>
              </w:rPr>
              <w:t xml:space="preserve">2024.11.19 </w:t>
            </w:r>
          </w:p>
        </w:tc>
        <w:tc>
          <w:tcPr>
            <w:tcW w:type="dxa" w:w="3313"/>
            <w:vMerge/>
            <w:tcBorders>
              <w:start w:sz="3.199999999999818" w:val="single" w:color="#000000"/>
              <w:top w:sz="4.0" w:val="single" w:color="#000000"/>
              <w:end w:sz="3.199999999999818" w:val="single" w:color="#000000"/>
              <w:bottom w:sz="4.0" w:val="single" w:color="#000000"/>
            </w:tcBorders>
          </w:tcPr>
          <w:p/>
        </w:tc>
      </w:tr>
      <w:tr>
        <w:trPr>
          <w:trHeight w:hRule="exact" w:val="398"/>
        </w:trPr>
        <w:tc>
          <w:tcPr>
            <w:tcW w:type="dxa" w:w="609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0" w:lineRule="exact" w:before="130" w:after="0"/>
              <w:ind w:left="104" w:right="0" w:firstLine="0"/>
              <w:jc w:val="left"/>
            </w:pPr>
            <w:r>
              <w:rPr>
                <w:rFonts w:ascii="宋体" w:hAnsi="宋体" w:eastAsia="宋体"/>
                <w:b w:val="0"/>
                <w:i w:val="0"/>
                <w:color w:val="000000"/>
                <w:sz w:val="18"/>
              </w:rPr>
              <w:t>山西证券股份有限公司对外担保管理制度（</w:t>
            </w:r>
            <w:r>
              <w:rPr>
                <w:rFonts w:ascii="Calibri" w:hAnsi="Calibri" w:eastAsia="Calibri"/>
                <w:b w:val="0"/>
                <w:i w:val="0"/>
                <w:color w:val="000000"/>
                <w:sz w:val="18"/>
              </w:rPr>
              <w:t>2024</w:t>
            </w:r>
            <w:r>
              <w:rPr>
                <w:rFonts w:ascii="宋体" w:hAnsi="宋体" w:eastAsia="宋体"/>
                <w:b w:val="0"/>
                <w:i w:val="0"/>
                <w:color w:val="000000"/>
                <w:sz w:val="18"/>
              </w:rPr>
              <w:t xml:space="preserve"> 年</w:t>
            </w:r>
            <w:r>
              <w:rPr>
                <w:rFonts w:ascii="Calibri" w:hAnsi="Calibri" w:eastAsia="Calibri"/>
                <w:b w:val="0"/>
                <w:i w:val="0"/>
                <w:color w:val="000000"/>
                <w:sz w:val="18"/>
              </w:rPr>
              <w:t>11</w:t>
            </w:r>
            <w:r>
              <w:rPr>
                <w:rFonts w:ascii="宋体" w:hAnsi="宋体" w:eastAsia="宋体"/>
                <w:b w:val="0"/>
                <w:i w:val="0"/>
                <w:color w:val="000000"/>
                <w:sz w:val="18"/>
              </w:rPr>
              <w:t xml:space="preserve"> 月）</w:t>
            </w:r>
          </w:p>
        </w:tc>
        <w:tc>
          <w:tcPr>
            <w:tcW w:type="dxa" w:w="3313"/>
            <w:vMerge/>
            <w:tcBorders>
              <w:start w:sz="4.0" w:val="single" w:color="#000000"/>
              <w:top w:sz="4.0" w:val="single" w:color="#000000"/>
              <w:end w:sz="3.199999999999818" w:val="single" w:color="#000000"/>
              <w:bottom w:sz="4.0" w:val="single" w:color="#000000"/>
            </w:tcBorders>
          </w:tcPr>
          <w:p/>
        </w:tc>
        <w:tc>
          <w:tcPr>
            <w:tcW w:type="dxa" w:w="3313"/>
            <w:vMerge/>
            <w:tcBorders>
              <w:start w:sz="3.199999999999818" w:val="single" w:color="#000000"/>
              <w:top w:sz="4.0" w:val="single" w:color="#000000"/>
              <w:end w:sz="3.199999999999818" w:val="single" w:color="#000000"/>
              <w:bottom w:sz="4.0" w:val="single" w:color="#000000"/>
            </w:tcBorders>
          </w:tcPr>
          <w:p/>
        </w:tc>
      </w:tr>
    </w:tbl>
    <w:p>
      <w:pPr>
        <w:autoSpaceDN w:val="0"/>
        <w:autoSpaceDE w:val="0"/>
        <w:widowControl/>
        <w:spacing w:line="197" w:lineRule="auto" w:before="2016" w:after="0"/>
        <w:ind w:left="0" w:right="0" w:firstLine="0"/>
        <w:jc w:val="center"/>
      </w:pPr>
      <w:r>
        <w:rPr>
          <w:rFonts w:ascii="Calibri" w:hAnsi="Calibri" w:eastAsia="Calibri"/>
          <w:b w:val="0"/>
          <w:i w:val="0"/>
          <w:color w:val="000000"/>
          <w:sz w:val="18"/>
        </w:rPr>
        <w:t xml:space="preserve">66 </w:t>
      </w:r>
    </w:p>
    <w:p>
      <w:pPr>
        <w:sectPr>
          <w:type w:val="continuous"/>
          <w:pgSz w:w="11904" w:h="16841"/>
          <w:pgMar w:top="424" w:right="972" w:bottom="446" w:left="992" w:header="720" w:footer="720" w:gutter="0"/>
          <w:cols/>
          <w:docGrid w:linePitch="360"/>
        </w:sectPr>
      </w:pPr>
    </w:p>
    <w:p>
      <w:pPr>
        <w:autoSpaceDN w:val="0"/>
        <w:autoSpaceDE w:val="0"/>
        <w:widowControl/>
        <w:spacing w:line="220" w:lineRule="exact" w:before="0" w:after="206"/>
        <w:ind w:left="0" w:right="0"/>
      </w:pPr>
    </w:p>
    <w:p>
      <w:pPr>
        <w:sectPr>
          <w:pgSz w:w="11904" w:h="16841"/>
          <w:pgMar w:top="424" w:right="90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69" name="Picture 6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4" w:bottom="446" w:left="1104" w:header="720" w:footer="720" w:gutter="0"/>
          <w:cols w:num="2" w:equalWidth="0">
            <w:col w:w="5436" w:space="0"/>
            <w:col w:w="4460" w:space="0"/>
          </w:cols>
          <w:docGrid w:linePitch="360"/>
        </w:sectPr>
      </w:pPr>
    </w:p>
    <w:p>
      <w:pPr>
        <w:autoSpaceDN w:val="0"/>
        <w:autoSpaceDE w:val="0"/>
        <w:widowControl/>
        <w:spacing w:line="200" w:lineRule="exact" w:before="0" w:after="30"/>
        <w:ind w:left="0" w:right="2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4" w:bottom="446" w:left="1104" w:header="720" w:footer="720" w:gutter="0"/>
          <w:cols w:num="2" w:equalWidth="0">
            <w:col w:w="5436" w:space="0"/>
            <w:col w:w="4460" w:space="0"/>
          </w:cols>
          <w:docGrid w:linePitch="360"/>
        </w:sectPr>
      </w:pPr>
    </w:p>
    <w:p>
      <w:pPr>
        <w:autoSpaceDN w:val="0"/>
        <w:autoSpaceDE w:val="0"/>
        <w:widowControl/>
        <w:spacing w:line="312" w:lineRule="exact" w:before="0" w:after="0"/>
        <w:ind w:left="30" w:right="432" w:firstLine="0"/>
        <w:jc w:val="left"/>
      </w:pPr>
      <w:r>
        <w:rPr>
          <w:rFonts w:ascii="宋体" w:hAnsi="宋体" w:eastAsia="宋体"/>
          <w:b w:val="0"/>
          <w:i w:val="0"/>
          <w:color w:val="000000"/>
          <w:sz w:val="24"/>
        </w:rPr>
        <w:t>二、公司相对于控股股东、实际控制人在保证公司资产、人员、财务、机构、业务等方面</w:t>
      </w:r>
      <w:r>
        <w:rPr>
          <w:rFonts w:ascii="宋体" w:hAnsi="宋体" w:eastAsia="宋体"/>
          <w:b w:val="0"/>
          <w:i w:val="0"/>
          <w:color w:val="000000"/>
          <w:sz w:val="24"/>
        </w:rPr>
        <w:t xml:space="preserve">的独立情况 </w:t>
      </w:r>
    </w:p>
    <w:p>
      <w:pPr>
        <w:autoSpaceDN w:val="0"/>
        <w:tabs>
          <w:tab w:pos="450" w:val="left"/>
        </w:tabs>
        <w:autoSpaceDE w:val="0"/>
        <w:widowControl/>
        <w:spacing w:line="460" w:lineRule="exact" w:before="266" w:after="0"/>
        <w:ind w:left="30" w:right="288" w:firstLine="0"/>
        <w:jc w:val="left"/>
      </w:pPr>
      <w:r>
        <w:tab/>
      </w:r>
      <w:r>
        <w:rPr>
          <w:rFonts w:ascii="宋体" w:hAnsi="宋体" w:eastAsia="宋体"/>
          <w:b w:val="0"/>
          <w:i w:val="0"/>
          <w:color w:val="000000"/>
          <w:sz w:val="21"/>
        </w:rPr>
        <w:t>公司具有独立完整的业务及自主经营能力，在资产、人员、财务、机构、业务等方面与控股股东完</w:t>
      </w:r>
      <w:r>
        <w:rPr>
          <w:rFonts w:ascii="宋体" w:hAnsi="宋体" w:eastAsia="宋体"/>
          <w:b w:val="0"/>
          <w:i w:val="0"/>
          <w:color w:val="000000"/>
          <w:sz w:val="21"/>
        </w:rPr>
        <w:t xml:space="preserve">全分离。 </w:t>
      </w:r>
    </w:p>
    <w:p>
      <w:pPr>
        <w:autoSpaceDN w:val="0"/>
        <w:tabs>
          <w:tab w:pos="450" w:val="left"/>
          <w:tab w:pos="452"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（一）资产独立 </w:t>
      </w:r>
      <w:r>
        <w:br/>
      </w:r>
      <w:r>
        <w:tab/>
      </w:r>
      <w:r>
        <w:rPr>
          <w:rFonts w:ascii="宋体" w:hAnsi="宋体" w:eastAsia="宋体"/>
          <w:b w:val="0"/>
          <w:i w:val="0"/>
          <w:color w:val="000000"/>
          <w:sz w:val="21"/>
        </w:rPr>
        <w:t>公司独立、完整地拥有与经营有关的业务体系及相关资产，不存在依赖控股股东的资产开展经营的</w:t>
      </w:r>
      <w:r>
        <w:rPr>
          <w:rFonts w:ascii="宋体" w:hAnsi="宋体" w:eastAsia="宋体"/>
          <w:b w:val="0"/>
          <w:i w:val="0"/>
          <w:color w:val="000000"/>
          <w:sz w:val="21"/>
        </w:rPr>
        <w:t xml:space="preserve">情况，不存在资产、资金被控股股东占用而损害公司利益的情况。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（二）人员独立 </w:t>
      </w:r>
      <w:r>
        <w:br/>
      </w:r>
      <w:r>
        <w:tab/>
      </w:r>
      <w:r>
        <w:rPr>
          <w:rFonts w:ascii="宋体" w:hAnsi="宋体" w:eastAsia="宋体"/>
          <w:b w:val="0"/>
          <w:i w:val="0"/>
          <w:color w:val="000000"/>
          <w:sz w:val="21"/>
        </w:rPr>
        <w:t>公司具有独立完备的人力资源管理体系，执行独立的职工薪酬制度和员工培训规划，与员工依法签</w:t>
      </w:r>
      <w:r>
        <w:rPr>
          <w:rFonts w:ascii="宋体" w:hAnsi="宋体" w:eastAsia="宋体"/>
          <w:b w:val="0"/>
          <w:i w:val="0"/>
          <w:color w:val="000000"/>
          <w:sz w:val="21"/>
        </w:rPr>
        <w:t>订《劳动合同》，与控股股东完全分离。公司董事、监事和高级管理人员的选聘符合《公司法》《证券法》</w:t>
      </w:r>
      <w:r>
        <w:rPr>
          <w:rFonts w:ascii="宋体" w:hAnsi="宋体" w:eastAsia="宋体"/>
          <w:b w:val="0"/>
          <w:i w:val="0"/>
          <w:color w:val="000000"/>
          <w:sz w:val="21"/>
        </w:rPr>
        <w:t>及《证券基金经营机构董事、监事、高级管理人员及从业人员监督管理办法》的有关规定且均有相应的</w:t>
      </w:r>
      <w:r>
        <w:rPr>
          <w:rFonts w:ascii="宋体" w:hAnsi="宋体" w:eastAsia="宋体"/>
          <w:b w:val="0"/>
          <w:i w:val="0"/>
          <w:color w:val="000000"/>
          <w:sz w:val="21"/>
        </w:rPr>
        <w:t xml:space="preserve">任职资格。 </w:t>
      </w:r>
    </w:p>
    <w:p>
      <w:pPr>
        <w:autoSpaceDN w:val="0"/>
        <w:tabs>
          <w:tab w:pos="450" w:val="left"/>
          <w:tab w:pos="452"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（三）财务独立 </w:t>
      </w:r>
      <w:r>
        <w:br/>
      </w:r>
      <w:r>
        <w:tab/>
      </w:r>
      <w:r>
        <w:rPr>
          <w:rFonts w:ascii="宋体" w:hAnsi="宋体" w:eastAsia="宋体"/>
          <w:b w:val="0"/>
          <w:i w:val="0"/>
          <w:color w:val="000000"/>
          <w:sz w:val="21"/>
        </w:rPr>
        <w:t>公司按照《企业会计准则》《企业会计准则-应用指南》等规定建立了独立的财务会计核算体系，具</w:t>
      </w:r>
      <w:r>
        <w:rPr>
          <w:rFonts w:ascii="宋体" w:hAnsi="宋体" w:eastAsia="宋体"/>
          <w:b w:val="0"/>
          <w:i w:val="0"/>
          <w:color w:val="000000"/>
          <w:sz w:val="21"/>
        </w:rPr>
        <w:t>有完善的财务管理制度体系，设立了独立的财务部门，配备了独立的财务会计人员，不存在财务会计人</w:t>
      </w:r>
      <w:r>
        <w:rPr>
          <w:rFonts w:ascii="宋体" w:hAnsi="宋体" w:eastAsia="宋体"/>
          <w:b w:val="0"/>
          <w:i w:val="0"/>
          <w:color w:val="000000"/>
          <w:sz w:val="21"/>
        </w:rPr>
        <w:t xml:space="preserve">员在股东单位兼职的现象。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 xml:space="preserve">公司开设了独立的银行账户，独立办理税务登记，依法纳税，与股东单位无混合纳税现象。 </w:t>
      </w:r>
    </w:p>
    <w:p>
      <w:pPr>
        <w:autoSpaceDN w:val="0"/>
        <w:autoSpaceDE w:val="0"/>
        <w:widowControl/>
        <w:spacing w:line="210" w:lineRule="exact" w:before="248" w:after="0"/>
        <w:ind w:left="450" w:right="0" w:firstLine="0"/>
        <w:jc w:val="left"/>
      </w:pPr>
      <w:r>
        <w:rPr>
          <w:rFonts w:ascii="宋体" w:hAnsi="宋体" w:eastAsia="宋体"/>
          <w:b w:val="0"/>
          <w:i w:val="0"/>
          <w:color w:val="000000"/>
          <w:sz w:val="21"/>
        </w:rPr>
        <w:t xml:space="preserve">截至2024 年12 月31 日，公司不存在为股东单位及其关联方提供担保的情况。 </w:t>
      </w:r>
    </w:p>
    <w:p>
      <w:pPr>
        <w:autoSpaceDN w:val="0"/>
        <w:tabs>
          <w:tab w:pos="450" w:val="left"/>
          <w:tab w:pos="452" w:val="left"/>
        </w:tabs>
        <w:autoSpaceDE w:val="0"/>
        <w:widowControl/>
        <w:spacing w:line="460" w:lineRule="exact" w:before="2" w:after="0"/>
        <w:ind w:left="30" w:right="288" w:firstLine="0"/>
        <w:jc w:val="left"/>
      </w:pPr>
      <w:r>
        <w:tab/>
      </w:r>
      <w:r>
        <w:rPr>
          <w:rFonts w:ascii="宋体" w:hAnsi="宋体" w:eastAsia="宋体"/>
          <w:b w:val="0"/>
          <w:i w:val="0"/>
          <w:color w:val="000000"/>
          <w:sz w:val="21"/>
        </w:rPr>
        <w:t xml:space="preserve">（四）机构独立 </w:t>
      </w:r>
      <w:r>
        <w:br/>
      </w:r>
      <w:r>
        <w:tab/>
      </w:r>
      <w:r>
        <w:rPr>
          <w:rFonts w:ascii="宋体" w:hAnsi="宋体" w:eastAsia="宋体"/>
          <w:b w:val="0"/>
          <w:i w:val="0"/>
          <w:color w:val="000000"/>
          <w:sz w:val="21"/>
        </w:rPr>
        <w:t>公司具备完善的法人治理结构，股东大会、董事会、监事会、经营管理层职责明确，各机构严格按</w:t>
      </w:r>
      <w:r>
        <w:rPr>
          <w:rFonts w:ascii="宋体" w:hAnsi="宋体" w:eastAsia="宋体"/>
          <w:b w:val="0"/>
          <w:i w:val="0"/>
          <w:color w:val="000000"/>
          <w:sz w:val="21"/>
        </w:rPr>
        <w:t>照《公司法》《公司章程》等有关规定规范高效运行，不存在股东单位直接干预公司经营活动的情形。公</w:t>
      </w:r>
      <w:r>
        <w:rPr>
          <w:rFonts w:ascii="宋体" w:hAnsi="宋体" w:eastAsia="宋体"/>
          <w:b w:val="0"/>
          <w:i w:val="0"/>
          <w:color w:val="000000"/>
          <w:sz w:val="21"/>
        </w:rPr>
        <w:t>司的办公机构和各项经营业务完全独立于股东及其关联方，与控股股东、实际控制人及其控制的其他企</w:t>
      </w:r>
      <w:r>
        <w:rPr>
          <w:rFonts w:ascii="宋体" w:hAnsi="宋体" w:eastAsia="宋体"/>
          <w:b w:val="0"/>
          <w:i w:val="0"/>
          <w:color w:val="000000"/>
          <w:sz w:val="21"/>
        </w:rPr>
        <w:t xml:space="preserve">业间没有机构混同的情形。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（五）业务独立 </w:t>
      </w:r>
      <w:r>
        <w:br/>
      </w:r>
      <w:r>
        <w:tab/>
      </w:r>
      <w:r>
        <w:rPr>
          <w:rFonts w:ascii="宋体" w:hAnsi="宋体" w:eastAsia="宋体"/>
          <w:b w:val="0"/>
          <w:i w:val="0"/>
          <w:color w:val="000000"/>
          <w:sz w:val="21"/>
        </w:rPr>
        <w:t>公司具有中国证监会核发的《经营证券期货业务许可证》，相关业务均具备相应资质和经营许可文件，</w:t>
      </w:r>
      <w:r>
        <w:rPr>
          <w:rFonts w:ascii="宋体" w:hAnsi="宋体" w:eastAsia="宋体"/>
          <w:b w:val="0"/>
          <w:i w:val="0"/>
          <w:color w:val="000000"/>
          <w:sz w:val="21"/>
        </w:rPr>
        <w:t>具有独立完整的业务运作管理体系。公司业务与控股股东及其他关联方不存在同业竞争的情形，也不受</w:t>
      </w:r>
      <w:r>
        <w:rPr>
          <w:rFonts w:ascii="宋体" w:hAnsi="宋体" w:eastAsia="宋体"/>
          <w:b w:val="0"/>
          <w:i w:val="0"/>
          <w:color w:val="000000"/>
          <w:sz w:val="21"/>
        </w:rPr>
        <w:t xml:space="preserve">其控制与影响。 </w:t>
      </w:r>
    </w:p>
    <w:p>
      <w:pPr>
        <w:autoSpaceDN w:val="0"/>
        <w:autoSpaceDE w:val="0"/>
        <w:widowControl/>
        <w:spacing w:line="197" w:lineRule="auto" w:before="1762" w:after="0"/>
        <w:ind w:left="0" w:right="4918" w:firstLine="0"/>
        <w:jc w:val="right"/>
      </w:pPr>
      <w:r>
        <w:rPr>
          <w:rFonts w:ascii="Calibri" w:hAnsi="Calibri" w:eastAsia="Calibri"/>
          <w:b w:val="0"/>
          <w:i w:val="0"/>
          <w:color w:val="000000"/>
          <w:sz w:val="18"/>
        </w:rPr>
        <w:t xml:space="preserve">67 </w:t>
      </w:r>
    </w:p>
    <w:p>
      <w:pPr>
        <w:sectPr>
          <w:type w:val="continuous"/>
          <w:pgSz w:w="11904" w:h="16841"/>
          <w:pgMar w:top="424" w:right="90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426" w:bottom="446" w:left="446" w:header="720" w:footer="720" w:gutter="0"/>
          <w:cols/>
          <w:docGrid w:linePitch="360"/>
        </w:sectPr>
      </w:pPr>
    </w:p>
    <w:p>
      <w:pPr>
        <w:autoSpaceDN w:val="0"/>
        <w:autoSpaceDE w:val="0"/>
        <w:widowControl/>
        <w:spacing w:line="240" w:lineRule="auto" w:before="0" w:after="0"/>
        <w:ind w:left="688" w:right="0" w:firstLine="0"/>
        <w:jc w:val="left"/>
      </w:pPr>
      <w:r>
        <w:drawing>
          <wp:inline xmlns:a="http://schemas.openxmlformats.org/drawingml/2006/main" xmlns:pic="http://schemas.openxmlformats.org/drawingml/2006/picture">
            <wp:extent cx="1844039" cy="439419"/>
            <wp:docPr id="70" name="Picture 7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200" w:lineRule="exact" w:before="0" w:after="30"/>
        <w:ind w:left="0" w:right="72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240" w:lineRule="exact" w:before="64" w:after="0"/>
        <w:ind w:left="688" w:right="0" w:firstLine="0"/>
        <w:jc w:val="left"/>
      </w:pPr>
      <w:r>
        <w:rPr>
          <w:rFonts w:ascii="宋体" w:hAnsi="宋体" w:eastAsia="宋体"/>
          <w:b w:val="0"/>
          <w:i w:val="0"/>
          <w:color w:val="000000"/>
          <w:sz w:val="24"/>
        </w:rPr>
        <w:t xml:space="preserve">三、同业竞争情况 </w:t>
      </w:r>
    </w:p>
    <w:p>
      <w:pPr>
        <w:autoSpaceDN w:val="0"/>
        <w:autoSpaceDE w:val="0"/>
        <w:widowControl/>
        <w:spacing w:line="212" w:lineRule="exact" w:before="514" w:after="0"/>
        <w:ind w:left="1108" w:right="0" w:firstLine="0"/>
        <w:jc w:val="left"/>
      </w:pPr>
      <w:r>
        <w:rPr>
          <w:rFonts w:ascii="宋体" w:hAnsi="宋体" w:eastAsia="宋体"/>
          <w:b w:val="0"/>
          <w:i w:val="0"/>
          <w:color w:val="000000"/>
          <w:sz w:val="21"/>
        </w:rPr>
        <w:t>公司控股股东山西金控集团出具了《关于避免同业竞争的承诺函》，详见本报告“第六节 重要事项</w:t>
      </w:r>
    </w:p>
    <w:p>
      <w:pPr>
        <w:autoSpaceDN w:val="0"/>
        <w:autoSpaceDE w:val="0"/>
        <w:widowControl/>
        <w:spacing w:line="210" w:lineRule="exact" w:before="250" w:after="0"/>
        <w:ind w:left="688" w:right="0" w:firstLine="0"/>
        <w:jc w:val="left"/>
      </w:pPr>
      <w:r>
        <w:rPr>
          <w:rFonts w:ascii="宋体" w:hAnsi="宋体" w:eastAsia="宋体"/>
          <w:b w:val="0"/>
          <w:i w:val="0"/>
          <w:color w:val="000000"/>
          <w:sz w:val="21"/>
        </w:rPr>
        <w:t xml:space="preserve">‘一、承诺事项履行情况’”。 </w:t>
      </w:r>
    </w:p>
    <w:p>
      <w:pPr>
        <w:autoSpaceDN w:val="0"/>
        <w:autoSpaceDE w:val="0"/>
        <w:widowControl/>
        <w:spacing w:line="240" w:lineRule="exact" w:before="414" w:after="0"/>
        <w:ind w:left="688" w:right="0" w:firstLine="0"/>
        <w:jc w:val="left"/>
      </w:pPr>
      <w:r>
        <w:rPr>
          <w:rFonts w:ascii="宋体" w:hAnsi="宋体" w:eastAsia="宋体"/>
          <w:b w:val="0"/>
          <w:i w:val="0"/>
          <w:color w:val="000000"/>
          <w:sz w:val="24"/>
        </w:rPr>
        <w:t xml:space="preserve">四、报告期内召开的年度股东大会和临时股东大会的有关情况 </w:t>
      </w:r>
    </w:p>
    <w:p>
      <w:pPr>
        <w:autoSpaceDN w:val="0"/>
        <w:autoSpaceDE w:val="0"/>
        <w:widowControl/>
        <w:spacing w:line="210" w:lineRule="exact" w:before="372" w:after="326"/>
        <w:ind w:left="688" w:right="0" w:firstLine="0"/>
        <w:jc w:val="left"/>
      </w:pPr>
      <w:r>
        <w:rPr>
          <w:rFonts w:ascii="宋体" w:hAnsi="宋体" w:eastAsia="宋体"/>
          <w:b w:val="0"/>
          <w:i w:val="0"/>
          <w:color w:val="000000"/>
          <w:sz w:val="21"/>
        </w:rPr>
        <w:t xml:space="preserve">1、本报告期股东大会情况 </w:t>
      </w:r>
    </w:p>
    <w:tbl>
      <w:tblPr>
        <w:tblW w:type="auto" w:w="0"/>
        <w:tblLayout w:type="fixed"/>
        <w:tblLook w:firstColumn="1" w:firstRow="1" w:lastColumn="0" w:lastRow="0" w:noHBand="0" w:noVBand="1" w:val="04A0"/>
        <w:tblInd w:w="686.0" w:type="dxa"/>
      </w:tblPr>
      <w:tblGrid>
        <w:gridCol w:w="1839"/>
        <w:gridCol w:w="1839"/>
        <w:gridCol w:w="1839"/>
        <w:gridCol w:w="1839"/>
        <w:gridCol w:w="1839"/>
        <w:gridCol w:w="1839"/>
      </w:tblGrid>
      <w:tr>
        <w:trPr>
          <w:trHeight w:hRule="exact" w:val="728"/>
        </w:trPr>
        <w:tc>
          <w:tcPr>
            <w:tcW w:type="dxa" w:w="1136"/>
            <w:tcBorders>
              <w:start w:sz="2.3999999999999773" w:val="single" w:color="#000000"/>
              <w:top w:sz="2.3999999999998636" w:val="single" w:color="#000000"/>
              <w:end w:sz="1.6000000000000227" w:val="single" w:color="#000000"/>
              <w:bottom w:sz="2.400000000000091" w:val="single" w:color="#000000"/>
            </w:tcBorders>
            <w:shd w:fill="d2d2d2"/>
            <w:tcMar>
              <w:start w:w="0" w:type="dxa"/>
              <w:end w:w="0" w:type="dxa"/>
            </w:tcMar>
          </w:tcPr>
          <w:p>
            <w:pPr>
              <w:autoSpaceDN w:val="0"/>
              <w:autoSpaceDE w:val="0"/>
              <w:widowControl/>
              <w:spacing w:line="180" w:lineRule="exact" w:before="300" w:after="0"/>
              <w:ind w:left="204" w:right="0" w:firstLine="0"/>
              <w:jc w:val="left"/>
            </w:pPr>
            <w:r>
              <w:rPr>
                <w:rFonts w:ascii="宋体" w:hAnsi="宋体" w:eastAsia="宋体"/>
                <w:b w:val="0"/>
                <w:i w:val="0"/>
                <w:color w:val="000000"/>
                <w:sz w:val="18"/>
              </w:rPr>
              <w:t xml:space="preserve">会议届次 </w:t>
            </w:r>
          </w:p>
        </w:tc>
        <w:tc>
          <w:tcPr>
            <w:tcW w:type="dxa" w:w="1416"/>
            <w:tcBorders>
              <w:start w:sz="1.6000000000000227"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300" w:after="0"/>
              <w:ind w:left="346" w:right="0" w:firstLine="0"/>
              <w:jc w:val="left"/>
            </w:pPr>
            <w:r>
              <w:rPr>
                <w:rFonts w:ascii="宋体" w:hAnsi="宋体" w:eastAsia="宋体"/>
                <w:b w:val="0"/>
                <w:i w:val="0"/>
                <w:color w:val="000000"/>
                <w:sz w:val="18"/>
              </w:rPr>
              <w:t xml:space="preserve">会议类型 </w:t>
            </w:r>
          </w:p>
        </w:tc>
        <w:tc>
          <w:tcPr>
            <w:tcW w:type="dxa" w:w="1136"/>
            <w:tcBorders>
              <w:start w:sz="2.400000000000091" w:val="single" w:color="#000000"/>
              <w:top w:sz="2.3999999999998636" w:val="single" w:color="#000000"/>
              <w:end w:sz="1.599999999999909" w:val="single" w:color="#000000"/>
              <w:bottom w:sz="2.400000000000091" w:val="single" w:color="#000000"/>
            </w:tcBorders>
            <w:shd w:fill="d2d2d2"/>
            <w:tcMar>
              <w:start w:w="0" w:type="dxa"/>
              <w:end w:w="0" w:type="dxa"/>
            </w:tcMar>
          </w:tcPr>
          <w:p>
            <w:pPr>
              <w:autoSpaceDN w:val="0"/>
              <w:tabs>
                <w:tab w:pos="386" w:val="left"/>
              </w:tabs>
              <w:autoSpaceDE w:val="0"/>
              <w:widowControl/>
              <w:spacing w:line="318" w:lineRule="exact" w:before="6" w:after="0"/>
              <w:ind w:left="116" w:right="0" w:firstLine="0"/>
              <w:jc w:val="left"/>
            </w:pPr>
            <w:r>
              <w:rPr>
                <w:rFonts w:ascii="宋体" w:hAnsi="宋体" w:eastAsia="宋体"/>
                <w:b w:val="0"/>
                <w:i w:val="0"/>
                <w:color w:val="000000"/>
                <w:sz w:val="18"/>
              </w:rPr>
              <w:t>投资者参与</w:t>
            </w:r>
            <w:r>
              <w:tab/>
            </w:r>
            <w:r>
              <w:rPr>
                <w:rFonts w:ascii="宋体" w:hAnsi="宋体" w:eastAsia="宋体"/>
                <w:b w:val="0"/>
                <w:i w:val="0"/>
                <w:color w:val="000000"/>
                <w:sz w:val="18"/>
              </w:rPr>
              <w:t xml:space="preserve">比例 </w:t>
            </w:r>
          </w:p>
        </w:tc>
        <w:tc>
          <w:tcPr>
            <w:tcW w:type="dxa" w:w="1134"/>
            <w:tcBorders>
              <w:start w:sz="1.599999999999909" w:val="single" w:color="#000000"/>
              <w:top w:sz="2.3999999999998636"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300" w:after="0"/>
              <w:ind w:left="202" w:right="0" w:firstLine="0"/>
              <w:jc w:val="left"/>
            </w:pPr>
            <w:r>
              <w:rPr>
                <w:rFonts w:ascii="宋体" w:hAnsi="宋体" w:eastAsia="宋体"/>
                <w:b w:val="0"/>
                <w:i w:val="0"/>
                <w:color w:val="000000"/>
                <w:sz w:val="18"/>
              </w:rPr>
              <w:t xml:space="preserve">召开日期 </w:t>
            </w:r>
          </w:p>
        </w:tc>
        <w:tc>
          <w:tcPr>
            <w:tcW w:type="dxa" w:w="1136"/>
            <w:tcBorders>
              <w:start w:sz="1.599999999999909" w:val="single" w:color="#000000"/>
              <w:top w:sz="2.3999999999998636"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300" w:after="0"/>
              <w:ind w:left="204" w:right="0" w:firstLine="0"/>
              <w:jc w:val="left"/>
            </w:pPr>
            <w:r>
              <w:rPr>
                <w:rFonts w:ascii="宋体" w:hAnsi="宋体" w:eastAsia="宋体"/>
                <w:b w:val="0"/>
                <w:i w:val="0"/>
                <w:color w:val="000000"/>
                <w:sz w:val="18"/>
              </w:rPr>
              <w:t xml:space="preserve">披露日期 </w:t>
            </w:r>
          </w:p>
        </w:tc>
        <w:tc>
          <w:tcPr>
            <w:tcW w:type="dxa" w:w="3684"/>
            <w:tcBorders>
              <w:start w:sz="2.400000000000091" w:val="single" w:color="#000000"/>
              <w:top w:sz="2.3999999999998636"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300" w:after="0"/>
              <w:ind w:left="0" w:right="1390" w:firstLine="0"/>
              <w:jc w:val="right"/>
            </w:pPr>
            <w:r>
              <w:rPr>
                <w:rFonts w:ascii="宋体" w:hAnsi="宋体" w:eastAsia="宋体"/>
                <w:b w:val="0"/>
                <w:i w:val="0"/>
                <w:color w:val="000000"/>
                <w:sz w:val="18"/>
              </w:rPr>
              <w:t xml:space="preserve">会议决议 </w:t>
            </w:r>
          </w:p>
        </w:tc>
      </w:tr>
      <w:tr>
        <w:trPr>
          <w:trHeight w:hRule="exact" w:val="1282"/>
        </w:trPr>
        <w:tc>
          <w:tcPr>
            <w:tcW w:type="dxa" w:w="1136"/>
            <w:tcBorders>
              <w:start w:sz="2.399999999999977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320" w:lineRule="exact" w:before="280" w:after="0"/>
              <w:ind w:left="144" w:right="0" w:firstLine="0"/>
              <w:jc w:val="center"/>
            </w:pPr>
            <w:r>
              <w:rPr>
                <w:rFonts w:ascii="宋体" w:hAnsi="宋体" w:eastAsia="宋体"/>
                <w:b w:val="0"/>
                <w:i w:val="0"/>
                <w:color w:val="000000"/>
                <w:sz w:val="18"/>
              </w:rPr>
              <w:t xml:space="preserve">2023 年度 </w:t>
            </w:r>
            <w:r>
              <w:rPr>
                <w:rFonts w:ascii="宋体" w:hAnsi="宋体" w:eastAsia="宋体"/>
                <w:b w:val="0"/>
                <w:i w:val="0"/>
                <w:color w:val="000000"/>
                <w:sz w:val="18"/>
              </w:rPr>
              <w:t xml:space="preserve">股东大会 </w:t>
            </w:r>
          </w:p>
        </w:tc>
        <w:tc>
          <w:tcPr>
            <w:tcW w:type="dxa" w:w="1416"/>
            <w:tcBorders>
              <w:start w:sz="1.6000000000000227"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582" w:after="0"/>
              <w:ind w:left="166" w:right="0" w:firstLine="0"/>
              <w:jc w:val="left"/>
            </w:pPr>
            <w:r>
              <w:rPr>
                <w:rFonts w:ascii="宋体" w:hAnsi="宋体" w:eastAsia="宋体"/>
                <w:b w:val="0"/>
                <w:i w:val="0"/>
                <w:color w:val="000000"/>
                <w:sz w:val="18"/>
              </w:rPr>
              <w:t xml:space="preserve">年度股东大会 </w:t>
            </w:r>
          </w:p>
        </w:tc>
        <w:tc>
          <w:tcPr>
            <w:tcW w:type="dxa" w:w="1136"/>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582" w:after="0"/>
              <w:ind w:left="208" w:right="0" w:firstLine="0"/>
              <w:jc w:val="left"/>
            </w:pPr>
            <w:r>
              <w:rPr>
                <w:rFonts w:ascii="宋体" w:hAnsi="宋体" w:eastAsia="宋体"/>
                <w:b w:val="0"/>
                <w:i w:val="0"/>
                <w:color w:val="000000"/>
                <w:sz w:val="18"/>
              </w:rPr>
              <w:t xml:space="preserve">51.0693% </w:t>
            </w:r>
          </w:p>
        </w:tc>
        <w:tc>
          <w:tcPr>
            <w:tcW w:type="dxa" w:w="1134"/>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582" w:after="0"/>
              <w:ind w:left="114" w:right="0" w:firstLine="0"/>
              <w:jc w:val="left"/>
            </w:pPr>
            <w:r>
              <w:rPr>
                <w:rFonts w:ascii="宋体" w:hAnsi="宋体" w:eastAsia="宋体"/>
                <w:b w:val="0"/>
                <w:i w:val="0"/>
                <w:color w:val="000000"/>
                <w:sz w:val="18"/>
              </w:rPr>
              <w:t xml:space="preserve">2024.05.24 </w:t>
            </w:r>
          </w:p>
        </w:tc>
        <w:tc>
          <w:tcPr>
            <w:tcW w:type="dxa" w:w="113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582" w:after="0"/>
              <w:ind w:left="114" w:right="0" w:firstLine="0"/>
              <w:jc w:val="left"/>
            </w:pPr>
            <w:r>
              <w:rPr>
                <w:rFonts w:ascii="宋体" w:hAnsi="宋体" w:eastAsia="宋体"/>
                <w:b w:val="0"/>
                <w:i w:val="0"/>
                <w:color w:val="000000"/>
                <w:sz w:val="18"/>
              </w:rPr>
              <w:t xml:space="preserve">2024.05.25 </w:t>
            </w:r>
          </w:p>
        </w:tc>
        <w:tc>
          <w:tcPr>
            <w:tcW w:type="dxa" w:w="3684"/>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310" w:lineRule="exact" w:before="0" w:after="0"/>
              <w:ind w:left="104" w:right="104" w:firstLine="0"/>
              <w:jc w:val="both"/>
            </w:pPr>
            <w:r>
              <w:rPr>
                <w:rFonts w:ascii="宋体" w:hAnsi="宋体" w:eastAsia="宋体"/>
                <w:b w:val="0"/>
                <w:i w:val="0"/>
                <w:color w:val="000000"/>
                <w:sz w:val="18"/>
              </w:rPr>
              <w:t>审议通过《公司2023 年度董事会工作报</w:t>
            </w:r>
            <w:r>
              <w:rPr>
                <w:rFonts w:ascii="宋体" w:hAnsi="宋体" w:eastAsia="宋体"/>
                <w:b w:val="0"/>
                <w:i w:val="0"/>
                <w:color w:val="000000"/>
                <w:sz w:val="18"/>
              </w:rPr>
              <w:t>告》等19 项议案，详见巨潮资讯网</w:t>
            </w:r>
            <w:r>
              <w:rPr>
                <w:rFonts w:ascii="宋体" w:hAnsi="宋体" w:eastAsia="宋体"/>
                <w:b w:val="0"/>
                <w:i w:val="0"/>
                <w:color w:val="000000"/>
                <w:sz w:val="18"/>
              </w:rPr>
              <w:t>（http://www.cninfo.com.cn）《2023 年度</w:t>
            </w:r>
            <w:r>
              <w:rPr>
                <w:rFonts w:ascii="宋体" w:hAnsi="宋体" w:eastAsia="宋体"/>
                <w:b w:val="0"/>
                <w:i w:val="0"/>
                <w:color w:val="000000"/>
                <w:sz w:val="18"/>
              </w:rPr>
              <w:t xml:space="preserve">股东大会决议公告》（临2024-015） </w:t>
            </w:r>
          </w:p>
        </w:tc>
      </w:tr>
      <w:tr>
        <w:trPr>
          <w:trHeight w:hRule="exact" w:val="1608"/>
        </w:trPr>
        <w:tc>
          <w:tcPr>
            <w:tcW w:type="dxa" w:w="1136"/>
            <w:tcBorders>
              <w:start w:sz="2.3999999999999773" w:val="single" w:color="#000000"/>
              <w:top w:sz="1.599999999999909" w:val="single" w:color="#000000"/>
              <w:end w:sz="1.6000000000000227" w:val="single" w:color="#000000"/>
              <w:bottom w:sz="2.400000000000091" w:val="single" w:color="#000000"/>
            </w:tcBorders>
            <w:tcMar>
              <w:start w:w="0" w:type="dxa"/>
              <w:end w:w="0" w:type="dxa"/>
            </w:tcMar>
          </w:tcPr>
          <w:p>
            <w:pPr>
              <w:autoSpaceDN w:val="0"/>
              <w:tabs>
                <w:tab w:pos="182" w:val="left"/>
                <w:tab w:pos="294" w:val="left"/>
              </w:tabs>
              <w:autoSpaceDE w:val="0"/>
              <w:widowControl/>
              <w:spacing w:line="320" w:lineRule="exact" w:before="282" w:after="0"/>
              <w:ind w:left="114" w:right="0" w:firstLine="0"/>
              <w:jc w:val="left"/>
            </w:pPr>
            <w:r>
              <w:rPr>
                <w:rFonts w:ascii="宋体" w:hAnsi="宋体" w:eastAsia="宋体"/>
                <w:b w:val="0"/>
                <w:i w:val="0"/>
                <w:color w:val="000000"/>
                <w:sz w:val="18"/>
              </w:rPr>
              <w:t>2024 年第</w:t>
            </w:r>
            <w:r>
              <w:rPr>
                <w:rFonts w:ascii="宋体" w:hAnsi="宋体" w:eastAsia="宋体"/>
                <w:b w:val="0"/>
                <w:i w:val="0"/>
                <w:color w:val="000000"/>
                <w:sz w:val="18"/>
              </w:rPr>
              <w:t>一次临时股</w:t>
            </w:r>
            <w:r>
              <w:tab/>
            </w:r>
            <w:r>
              <w:tab/>
            </w:r>
            <w:r>
              <w:rPr>
                <w:rFonts w:ascii="宋体" w:hAnsi="宋体" w:eastAsia="宋体"/>
                <w:b w:val="0"/>
                <w:i w:val="0"/>
                <w:color w:val="000000"/>
                <w:sz w:val="18"/>
              </w:rPr>
              <w:t xml:space="preserve">东大会 </w:t>
            </w:r>
          </w:p>
        </w:tc>
        <w:tc>
          <w:tcPr>
            <w:tcW w:type="dxa" w:w="1416"/>
            <w:tcBorders>
              <w:start w:sz="1.6000000000000227"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744" w:after="0"/>
              <w:ind w:left="166" w:right="0" w:firstLine="0"/>
              <w:jc w:val="left"/>
            </w:pPr>
            <w:r>
              <w:rPr>
                <w:rFonts w:ascii="宋体" w:hAnsi="宋体" w:eastAsia="宋体"/>
                <w:b w:val="0"/>
                <w:i w:val="0"/>
                <w:color w:val="000000"/>
                <w:sz w:val="18"/>
              </w:rPr>
              <w:t xml:space="preserve">临时股东大会 </w:t>
            </w:r>
          </w:p>
        </w:tc>
        <w:tc>
          <w:tcPr>
            <w:tcW w:type="dxa" w:w="1136"/>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744" w:after="0"/>
              <w:ind w:left="208" w:right="0" w:firstLine="0"/>
              <w:jc w:val="left"/>
            </w:pPr>
            <w:r>
              <w:rPr>
                <w:rFonts w:ascii="宋体" w:hAnsi="宋体" w:eastAsia="宋体"/>
                <w:b w:val="0"/>
                <w:i w:val="0"/>
                <w:color w:val="000000"/>
                <w:sz w:val="18"/>
              </w:rPr>
              <w:t xml:space="preserve">50.6410% </w:t>
            </w:r>
          </w:p>
        </w:tc>
        <w:tc>
          <w:tcPr>
            <w:tcW w:type="dxa" w:w="1134"/>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744" w:after="0"/>
              <w:ind w:left="114" w:right="0" w:firstLine="0"/>
              <w:jc w:val="left"/>
            </w:pPr>
            <w:r>
              <w:rPr>
                <w:rFonts w:ascii="宋体" w:hAnsi="宋体" w:eastAsia="宋体"/>
                <w:b w:val="0"/>
                <w:i w:val="0"/>
                <w:color w:val="000000"/>
                <w:sz w:val="18"/>
              </w:rPr>
              <w:t xml:space="preserve">2024.11.18 </w:t>
            </w:r>
          </w:p>
        </w:tc>
        <w:tc>
          <w:tcPr>
            <w:tcW w:type="dxa" w:w="1136"/>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744" w:after="0"/>
              <w:ind w:left="114" w:right="0" w:firstLine="0"/>
              <w:jc w:val="left"/>
            </w:pPr>
            <w:r>
              <w:rPr>
                <w:rFonts w:ascii="宋体" w:hAnsi="宋体" w:eastAsia="宋体"/>
                <w:b w:val="0"/>
                <w:i w:val="0"/>
                <w:color w:val="000000"/>
                <w:sz w:val="18"/>
              </w:rPr>
              <w:t xml:space="preserve">2024.11.19 </w:t>
            </w:r>
          </w:p>
        </w:tc>
        <w:tc>
          <w:tcPr>
            <w:tcW w:type="dxa" w:w="3684"/>
            <w:tcBorders>
              <w:start w:sz="2.400000000000091"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312" w:lineRule="exact" w:before="0" w:after="0"/>
              <w:ind w:left="104" w:right="104" w:firstLine="0"/>
              <w:jc w:val="both"/>
            </w:pPr>
            <w:r>
              <w:rPr>
                <w:rFonts w:ascii="宋体" w:hAnsi="宋体" w:eastAsia="宋体"/>
                <w:b w:val="0"/>
                <w:i w:val="0"/>
                <w:color w:val="000000"/>
                <w:sz w:val="18"/>
              </w:rPr>
              <w:t>审议通过《公司2024 年前三季度利润分配</w:t>
            </w:r>
            <w:r>
              <w:rPr>
                <w:rFonts w:ascii="宋体" w:hAnsi="宋体" w:eastAsia="宋体"/>
                <w:b w:val="0"/>
                <w:i w:val="0"/>
                <w:color w:val="000000"/>
                <w:sz w:val="18"/>
              </w:rPr>
              <w:t>方案》等3 项议案，详见巨潮资讯网</w:t>
            </w:r>
            <w:r>
              <w:rPr>
                <w:rFonts w:ascii="宋体" w:hAnsi="宋体" w:eastAsia="宋体"/>
                <w:b w:val="0"/>
                <w:i w:val="0"/>
                <w:color w:val="000000"/>
                <w:sz w:val="18"/>
              </w:rPr>
              <w:t>（http://www.cninfo.com.cn）《2024 年第</w:t>
            </w:r>
            <w:r>
              <w:rPr>
                <w:rFonts w:ascii="宋体" w:hAnsi="宋体" w:eastAsia="宋体"/>
                <w:b w:val="0"/>
                <w:i w:val="0"/>
                <w:color w:val="000000"/>
                <w:sz w:val="18"/>
              </w:rPr>
              <w:t>一次临时股东大会决议公告》（临2024-</w:t>
            </w:r>
            <w:r>
              <w:rPr>
                <w:rFonts w:ascii="宋体" w:hAnsi="宋体" w:eastAsia="宋体"/>
                <w:b w:val="0"/>
                <w:i w:val="0"/>
                <w:color w:val="000000"/>
                <w:sz w:val="18"/>
              </w:rPr>
              <w:t xml:space="preserve">037） </w:t>
            </w:r>
          </w:p>
        </w:tc>
      </w:tr>
    </w:tbl>
    <w:p>
      <w:pPr>
        <w:autoSpaceDN w:val="0"/>
        <w:autoSpaceDE w:val="0"/>
        <w:widowControl/>
        <w:spacing w:line="212" w:lineRule="exact" w:before="340" w:after="0"/>
        <w:ind w:left="688" w:right="0" w:firstLine="0"/>
        <w:jc w:val="left"/>
      </w:pPr>
      <w:r>
        <w:rPr>
          <w:rFonts w:ascii="宋体" w:hAnsi="宋体" w:eastAsia="宋体"/>
          <w:b w:val="0"/>
          <w:i w:val="0"/>
          <w:color w:val="000000"/>
          <w:sz w:val="21"/>
        </w:rPr>
        <w:t xml:space="preserve">2、表决权恢复的优先股股东请求召开临时股东大会 </w:t>
      </w:r>
    </w:p>
    <w:p>
      <w:pPr>
        <w:autoSpaceDN w:val="0"/>
        <w:autoSpaceDE w:val="0"/>
        <w:widowControl/>
        <w:spacing w:line="200" w:lineRule="exact" w:before="354" w:after="0"/>
        <w:ind w:left="688" w:right="0" w:firstLine="0"/>
        <w:jc w:val="left"/>
      </w:pPr>
      <w:r>
        <w:rPr>
          <w:rFonts w:ascii="宋体" w:hAnsi="宋体" w:eastAsia="宋体"/>
          <w:b w:val="0"/>
          <w:i w:val="0"/>
          <w:color w:val="000000"/>
          <w:sz w:val="18"/>
        </w:rPr>
        <w:t xml:space="preserve">□适用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不适用 </w:t>
      </w:r>
    </w:p>
    <w:p>
      <w:pPr>
        <w:autoSpaceDN w:val="0"/>
        <w:autoSpaceDE w:val="0"/>
        <w:widowControl/>
        <w:spacing w:line="240" w:lineRule="exact" w:before="362" w:after="0"/>
        <w:ind w:left="688" w:right="0" w:firstLine="0"/>
        <w:jc w:val="left"/>
      </w:pPr>
      <w:r>
        <w:rPr>
          <w:rFonts w:ascii="宋体" w:hAnsi="宋体" w:eastAsia="宋体"/>
          <w:b w:val="0"/>
          <w:i w:val="0"/>
          <w:color w:val="000000"/>
          <w:sz w:val="24"/>
        </w:rPr>
        <w:t xml:space="preserve">五、董事、监事和高级管理人员情况 </w:t>
      </w:r>
    </w:p>
    <w:p>
      <w:pPr>
        <w:autoSpaceDN w:val="0"/>
        <w:autoSpaceDE w:val="0"/>
        <w:widowControl/>
        <w:spacing w:line="212" w:lineRule="exact" w:before="372" w:after="326"/>
        <w:ind w:left="688" w:right="0" w:firstLine="0"/>
        <w:jc w:val="left"/>
      </w:pPr>
      <w:r>
        <w:rPr>
          <w:rFonts w:ascii="宋体" w:hAnsi="宋体" w:eastAsia="宋体"/>
          <w:b w:val="0"/>
          <w:i w:val="0"/>
          <w:color w:val="000000"/>
          <w:sz w:val="21"/>
        </w:rPr>
        <w:t xml:space="preserve">1、基本情况 </w:t>
      </w:r>
    </w:p>
    <w:tbl>
      <w:tblPr>
        <w:tblW w:type="auto" w:w="0"/>
        <w:tblLayout w:type="fixed"/>
        <w:tblLook w:firstColumn="1" w:firstRow="1" w:lastColumn="0" w:lastRow="0" w:noHBand="0" w:noVBand="1" w:val="04A0"/>
        <w:tblInd w:w="3.999999999999986" w:type="dxa"/>
      </w:tblPr>
      <w:tblGrid>
        <w:gridCol w:w="849"/>
        <w:gridCol w:w="849"/>
        <w:gridCol w:w="849"/>
        <w:gridCol w:w="849"/>
        <w:gridCol w:w="849"/>
        <w:gridCol w:w="849"/>
        <w:gridCol w:w="849"/>
        <w:gridCol w:w="849"/>
        <w:gridCol w:w="849"/>
        <w:gridCol w:w="849"/>
        <w:gridCol w:w="849"/>
        <w:gridCol w:w="849"/>
        <w:gridCol w:w="849"/>
      </w:tblGrid>
      <w:tr>
        <w:trPr>
          <w:trHeight w:hRule="exact" w:val="1048"/>
        </w:trPr>
        <w:tc>
          <w:tcPr>
            <w:tcW w:type="dxa" w:w="786"/>
            <w:tcBorders>
              <w:start w:sz="2.4000000000000057" w:val="single" w:color="#000000"/>
              <w:top w:sz="1.6000000000003638" w:val="single" w:color="#000000"/>
              <w:end w:sz="1.599999999999966" w:val="single" w:color="#000000"/>
              <w:bottom w:sz="2.4000000000005457" w:val="single" w:color="#000000"/>
            </w:tcBorders>
            <w:shd w:fill="d2d2d2"/>
            <w:tcMar>
              <w:start w:w="0" w:type="dxa"/>
              <w:end w:w="0" w:type="dxa"/>
            </w:tcMar>
          </w:tcPr>
          <w:p>
            <w:pPr>
              <w:autoSpaceDN w:val="0"/>
              <w:autoSpaceDE w:val="0"/>
              <w:widowControl/>
              <w:spacing w:line="180" w:lineRule="exact" w:before="438" w:after="0"/>
              <w:ind w:left="0" w:right="118" w:firstLine="0"/>
              <w:jc w:val="right"/>
            </w:pPr>
            <w:r>
              <w:rPr>
                <w:rFonts w:ascii="宋体" w:hAnsi="宋体" w:eastAsia="宋体"/>
                <w:b w:val="0"/>
                <w:i w:val="0"/>
                <w:color w:val="000000"/>
                <w:sz w:val="18"/>
              </w:rPr>
              <w:t xml:space="preserve">姓名 </w:t>
            </w:r>
          </w:p>
        </w:tc>
        <w:tc>
          <w:tcPr>
            <w:tcW w:type="dxa" w:w="422"/>
            <w:tcBorders>
              <w:start w:sz="1.599999999999966" w:val="single" w:color="#000000"/>
              <w:top w:sz="1.6000000000003638" w:val="single" w:color="#000000"/>
              <w:end w:sz="2.3999999999999773" w:val="single" w:color="#000000"/>
              <w:bottom w:sz="2.4000000000005457" w:val="single" w:color="#000000"/>
            </w:tcBorders>
            <w:shd w:fill="d2d2d2"/>
            <w:tcMar>
              <w:start w:w="0" w:type="dxa"/>
              <w:end w:w="0" w:type="dxa"/>
            </w:tcMar>
          </w:tcPr>
          <w:p>
            <w:pPr>
              <w:autoSpaceDN w:val="0"/>
              <w:autoSpaceDE w:val="0"/>
              <w:widowControl/>
              <w:spacing w:line="238" w:lineRule="exact" w:before="260" w:after="0"/>
              <w:ind w:left="118" w:right="0" w:firstLine="0"/>
              <w:jc w:val="left"/>
            </w:pPr>
            <w:r>
              <w:rPr>
                <w:rFonts w:ascii="宋体" w:hAnsi="宋体" w:eastAsia="宋体"/>
                <w:b w:val="0"/>
                <w:i w:val="0"/>
                <w:color w:val="000000"/>
                <w:sz w:val="18"/>
              </w:rPr>
              <w:t>性</w:t>
            </w:r>
            <w:r>
              <w:br/>
            </w:r>
            <w:r>
              <w:rPr>
                <w:rFonts w:ascii="宋体" w:hAnsi="宋体" w:eastAsia="宋体"/>
                <w:b w:val="0"/>
                <w:i w:val="0"/>
                <w:color w:val="000000"/>
                <w:sz w:val="18"/>
              </w:rPr>
              <w:t xml:space="preserve">别 </w:t>
            </w:r>
          </w:p>
        </w:tc>
        <w:tc>
          <w:tcPr>
            <w:tcW w:type="dxa" w:w="426"/>
            <w:tcBorders>
              <w:start w:sz="2.3999999999999773" w:val="single" w:color="#000000"/>
              <w:top w:sz="1.6000000000003638" w:val="single" w:color="#000000"/>
              <w:end w:sz="1.6000000000000227" w:val="single" w:color="#000000"/>
              <w:bottom w:sz="2.4000000000005457" w:val="single" w:color="#000000"/>
            </w:tcBorders>
            <w:shd w:fill="d2d2d2"/>
            <w:tcMar>
              <w:start w:w="0" w:type="dxa"/>
              <w:end w:w="0" w:type="dxa"/>
            </w:tcMar>
          </w:tcPr>
          <w:p>
            <w:pPr>
              <w:autoSpaceDN w:val="0"/>
              <w:autoSpaceDE w:val="0"/>
              <w:widowControl/>
              <w:spacing w:line="238" w:lineRule="exact" w:before="260" w:after="0"/>
              <w:ind w:left="120" w:right="0" w:firstLine="0"/>
              <w:jc w:val="left"/>
            </w:pPr>
            <w:r>
              <w:rPr>
                <w:rFonts w:ascii="宋体" w:hAnsi="宋体" w:eastAsia="宋体"/>
                <w:b w:val="0"/>
                <w:i w:val="0"/>
                <w:color w:val="000000"/>
                <w:sz w:val="18"/>
              </w:rPr>
              <w:t>年</w:t>
            </w:r>
            <w:r>
              <w:br/>
            </w:r>
            <w:r>
              <w:rPr>
                <w:rFonts w:ascii="宋体" w:hAnsi="宋体" w:eastAsia="宋体"/>
                <w:b w:val="0"/>
                <w:i w:val="0"/>
                <w:color w:val="000000"/>
                <w:sz w:val="18"/>
              </w:rPr>
              <w:t xml:space="preserve">龄 </w:t>
            </w:r>
          </w:p>
        </w:tc>
        <w:tc>
          <w:tcPr>
            <w:tcW w:type="dxa" w:w="1942"/>
            <w:tcBorders>
              <w:start w:sz="1.6000000000000227" w:val="single" w:color="#000000"/>
              <w:top w:sz="1.6000000000003638" w:val="single" w:color="#000000"/>
              <w:end w:sz="1.6000000000001364" w:val="single" w:color="#000000"/>
              <w:bottom w:sz="2.4000000000005457" w:val="single" w:color="#000000"/>
            </w:tcBorders>
            <w:shd w:fill="d2d2d2"/>
            <w:tcMar>
              <w:start w:w="0" w:type="dxa"/>
              <w:end w:w="0" w:type="dxa"/>
            </w:tcMar>
          </w:tcPr>
          <w:p>
            <w:pPr>
              <w:autoSpaceDN w:val="0"/>
              <w:autoSpaceDE w:val="0"/>
              <w:widowControl/>
              <w:spacing w:line="180" w:lineRule="exact" w:before="438" w:after="0"/>
              <w:ind w:left="0" w:right="698" w:firstLine="0"/>
              <w:jc w:val="right"/>
            </w:pPr>
            <w:r>
              <w:rPr>
                <w:rFonts w:ascii="宋体" w:hAnsi="宋体" w:eastAsia="宋体"/>
                <w:b w:val="0"/>
                <w:i w:val="0"/>
                <w:color w:val="000000"/>
                <w:sz w:val="18"/>
              </w:rPr>
              <w:t xml:space="preserve">职务 </w:t>
            </w:r>
          </w:p>
        </w:tc>
        <w:tc>
          <w:tcPr>
            <w:tcW w:type="dxa" w:w="612"/>
            <w:tcBorders>
              <w:start w:sz="1.6000000000001364" w:val="single" w:color="#000000"/>
              <w:top w:sz="1.6000000000003638"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238" w:lineRule="exact" w:before="260" w:after="0"/>
              <w:ind w:left="124" w:right="0" w:firstLine="0"/>
              <w:jc w:val="left"/>
            </w:pPr>
            <w:r>
              <w:rPr>
                <w:rFonts w:ascii="宋体" w:hAnsi="宋体" w:eastAsia="宋体"/>
                <w:b w:val="0"/>
                <w:i w:val="0"/>
                <w:color w:val="000000"/>
                <w:sz w:val="18"/>
              </w:rPr>
              <w:t>任职</w:t>
            </w:r>
            <w:r>
              <w:br/>
            </w:r>
            <w:r>
              <w:rPr>
                <w:rFonts w:ascii="宋体" w:hAnsi="宋体" w:eastAsia="宋体"/>
                <w:b w:val="0"/>
                <w:i w:val="0"/>
                <w:color w:val="000000"/>
                <w:sz w:val="18"/>
              </w:rPr>
              <w:t xml:space="preserve">状态 </w:t>
            </w:r>
          </w:p>
        </w:tc>
        <w:tc>
          <w:tcPr>
            <w:tcW w:type="dxa" w:w="1090"/>
            <w:tcBorders>
              <w:start w:sz="1.599999999999909" w:val="single" w:color="#000000"/>
              <w:top w:sz="1.6000000000003638" w:val="single" w:color="#000000"/>
              <w:end w:sz="1.599999999999909" w:val="single" w:color="#000000"/>
              <w:bottom w:sz="2.4000000000005457" w:val="single" w:color="#000000"/>
            </w:tcBorders>
            <w:shd w:fill="d2d2d2"/>
            <w:tcMar>
              <w:start w:w="0" w:type="dxa"/>
              <w:end w:w="0" w:type="dxa"/>
            </w:tcMar>
          </w:tcPr>
          <w:p>
            <w:pPr>
              <w:autoSpaceDN w:val="0"/>
              <w:tabs>
                <w:tab w:pos="362" w:val="left"/>
              </w:tabs>
              <w:autoSpaceDE w:val="0"/>
              <w:widowControl/>
              <w:spacing w:line="238" w:lineRule="exact" w:before="260" w:after="0"/>
              <w:ind w:left="182" w:right="144" w:firstLine="0"/>
              <w:jc w:val="left"/>
            </w:pPr>
            <w:r>
              <w:rPr>
                <w:rFonts w:ascii="宋体" w:hAnsi="宋体" w:eastAsia="宋体"/>
                <w:b w:val="0"/>
                <w:i w:val="0"/>
                <w:color w:val="000000"/>
                <w:sz w:val="18"/>
              </w:rPr>
              <w:t>任期起始</w:t>
            </w:r>
            <w:r>
              <w:tab/>
            </w:r>
            <w:r>
              <w:rPr>
                <w:rFonts w:ascii="宋体" w:hAnsi="宋体" w:eastAsia="宋体"/>
                <w:b w:val="0"/>
                <w:i w:val="0"/>
                <w:color w:val="000000"/>
                <w:sz w:val="18"/>
              </w:rPr>
              <w:t xml:space="preserve">日期 </w:t>
            </w:r>
          </w:p>
        </w:tc>
        <w:tc>
          <w:tcPr>
            <w:tcW w:type="dxa" w:w="710"/>
            <w:tcBorders>
              <w:start w:sz="1.599999999999909" w:val="single" w:color="#000000"/>
              <w:top w:sz="1.6000000000003638"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238" w:lineRule="exact" w:before="138" w:after="0"/>
              <w:ind w:left="172" w:right="80" w:firstLine="0"/>
              <w:jc w:val="both"/>
            </w:pPr>
            <w:r>
              <w:rPr>
                <w:rFonts w:ascii="宋体" w:hAnsi="宋体" w:eastAsia="宋体"/>
                <w:b w:val="0"/>
                <w:i w:val="0"/>
                <w:color w:val="000000"/>
                <w:sz w:val="18"/>
              </w:rPr>
              <w:t>任期</w:t>
            </w:r>
            <w:r>
              <w:br/>
            </w:r>
            <w:r>
              <w:rPr>
                <w:rFonts w:ascii="宋体" w:hAnsi="宋体" w:eastAsia="宋体"/>
                <w:b w:val="0"/>
                <w:i w:val="0"/>
                <w:color w:val="000000"/>
                <w:sz w:val="18"/>
              </w:rPr>
              <w:t>终止</w:t>
            </w:r>
            <w:r>
              <w:br/>
            </w:r>
            <w:r>
              <w:rPr>
                <w:rFonts w:ascii="宋体" w:hAnsi="宋体" w:eastAsia="宋体"/>
                <w:b w:val="0"/>
                <w:i w:val="0"/>
                <w:color w:val="000000"/>
                <w:sz w:val="18"/>
              </w:rPr>
              <w:t xml:space="preserve">日期 </w:t>
            </w:r>
          </w:p>
        </w:tc>
        <w:tc>
          <w:tcPr>
            <w:tcW w:type="dxa" w:w="850"/>
            <w:tcBorders>
              <w:start w:sz="1.599999999999909" w:val="single" w:color="#000000"/>
              <w:top w:sz="1.6000000000003638" w:val="single" w:color="#000000"/>
              <w:end w:sz="1.599999999999909" w:val="single" w:color="#000000"/>
              <w:bottom w:sz="2.4000000000005457" w:val="single" w:color="#000000"/>
            </w:tcBorders>
            <w:shd w:fill="d2d2d2"/>
            <w:tcMar>
              <w:start w:w="0" w:type="dxa"/>
              <w:end w:w="0" w:type="dxa"/>
            </w:tcMar>
          </w:tcPr>
          <w:p>
            <w:pPr>
              <w:autoSpaceDN w:val="0"/>
              <w:tabs>
                <w:tab w:pos="242" w:val="left"/>
              </w:tabs>
              <w:autoSpaceDE w:val="0"/>
              <w:widowControl/>
              <w:spacing w:line="238" w:lineRule="exact" w:before="138" w:after="0"/>
              <w:ind w:left="152" w:right="0" w:firstLine="0"/>
              <w:jc w:val="left"/>
            </w:pPr>
            <w:r>
              <w:rPr>
                <w:rFonts w:ascii="宋体" w:hAnsi="宋体" w:eastAsia="宋体"/>
                <w:b w:val="0"/>
                <w:i w:val="0"/>
                <w:color w:val="000000"/>
                <w:sz w:val="18"/>
              </w:rPr>
              <w:t>期初持</w:t>
            </w:r>
            <w:r>
              <w:br/>
            </w:r>
            <w:r>
              <w:rPr>
                <w:rFonts w:ascii="宋体" w:hAnsi="宋体" w:eastAsia="宋体"/>
                <w:b w:val="0"/>
                <w:i w:val="0"/>
                <w:color w:val="000000"/>
                <w:sz w:val="18"/>
              </w:rPr>
              <w:t>股数</w:t>
            </w:r>
            <w:r>
              <w:br/>
            </w:r>
            <w:r>
              <w:rPr>
                <w:rFonts w:ascii="宋体" w:hAnsi="宋体" w:eastAsia="宋体"/>
                <w:b w:val="0"/>
                <w:i w:val="0"/>
                <w:color w:val="000000"/>
                <w:sz w:val="18"/>
              </w:rPr>
              <w:t xml:space="preserve">（股） </w:t>
            </w:r>
          </w:p>
        </w:tc>
        <w:tc>
          <w:tcPr>
            <w:tcW w:type="dxa" w:w="850"/>
            <w:tcBorders>
              <w:start w:sz="1.599999999999909" w:val="single" w:color="#000000"/>
              <w:top w:sz="1.6000000000003638" w:val="single" w:color="#000000"/>
              <w:end w:sz="1.599999999999909" w:val="single" w:color="#000000"/>
              <w:bottom w:sz="2.4000000000005457" w:val="single" w:color="#000000"/>
            </w:tcBorders>
            <w:shd w:fill="d2d2d2"/>
            <w:tcMar>
              <w:start w:w="0" w:type="dxa"/>
              <w:end w:w="0" w:type="dxa"/>
            </w:tcMar>
          </w:tcPr>
          <w:p>
            <w:pPr>
              <w:autoSpaceDN w:val="0"/>
              <w:tabs>
                <w:tab w:pos="244" w:val="left"/>
              </w:tabs>
              <w:autoSpaceDE w:val="0"/>
              <w:widowControl/>
              <w:spacing w:line="240" w:lineRule="exact" w:before="18" w:after="0"/>
              <w:ind w:left="154" w:right="0" w:firstLine="0"/>
              <w:jc w:val="left"/>
            </w:pPr>
            <w:r>
              <w:rPr>
                <w:rFonts w:ascii="宋体" w:hAnsi="宋体" w:eastAsia="宋体"/>
                <w:b w:val="0"/>
                <w:i w:val="0"/>
                <w:color w:val="000000"/>
                <w:sz w:val="18"/>
              </w:rPr>
              <w:t>本期增</w:t>
            </w:r>
            <w:r>
              <w:br/>
            </w:r>
            <w:r>
              <w:rPr>
                <w:rFonts w:ascii="宋体" w:hAnsi="宋体" w:eastAsia="宋体"/>
                <w:b w:val="0"/>
                <w:i w:val="0"/>
                <w:color w:val="000000"/>
                <w:sz w:val="18"/>
              </w:rPr>
              <w:t>持股份</w:t>
            </w:r>
            <w:r>
              <w:br/>
            </w:r>
            <w:r>
              <w:rPr>
                <w:rFonts w:ascii="宋体" w:hAnsi="宋体" w:eastAsia="宋体"/>
                <w:b w:val="0"/>
                <w:i w:val="0"/>
                <w:color w:val="000000"/>
                <w:sz w:val="18"/>
              </w:rPr>
              <w:t>数量</w:t>
            </w:r>
            <w:r>
              <w:br/>
            </w:r>
            <w:r>
              <w:rPr>
                <w:rFonts w:ascii="宋体" w:hAnsi="宋体" w:eastAsia="宋体"/>
                <w:b w:val="0"/>
                <w:i w:val="0"/>
                <w:color w:val="000000"/>
                <w:sz w:val="18"/>
              </w:rPr>
              <w:t xml:space="preserve">（股） </w:t>
            </w:r>
          </w:p>
        </w:tc>
        <w:tc>
          <w:tcPr>
            <w:tcW w:type="dxa" w:w="852"/>
            <w:tcBorders>
              <w:start w:sz="1.599999999999909" w:val="single" w:color="#000000"/>
              <w:top w:sz="1.6000000000003638" w:val="single" w:color="#000000"/>
              <w:end w:sz="1.6000000000003638" w:val="single" w:color="#000000"/>
              <w:bottom w:sz="2.4000000000005457" w:val="single" w:color="#000000"/>
            </w:tcBorders>
            <w:shd w:fill="d2d2d2"/>
            <w:tcMar>
              <w:start w:w="0" w:type="dxa"/>
              <w:end w:w="0" w:type="dxa"/>
            </w:tcMar>
          </w:tcPr>
          <w:p>
            <w:pPr>
              <w:autoSpaceDN w:val="0"/>
              <w:tabs>
                <w:tab w:pos="246" w:val="left"/>
              </w:tabs>
              <w:autoSpaceDE w:val="0"/>
              <w:widowControl/>
              <w:spacing w:line="240" w:lineRule="exact" w:before="18" w:after="0"/>
              <w:ind w:left="154" w:right="0" w:firstLine="0"/>
              <w:jc w:val="left"/>
            </w:pPr>
            <w:r>
              <w:rPr>
                <w:rFonts w:ascii="宋体" w:hAnsi="宋体" w:eastAsia="宋体"/>
                <w:b w:val="0"/>
                <w:i w:val="0"/>
                <w:color w:val="000000"/>
                <w:sz w:val="18"/>
              </w:rPr>
              <w:t>本期减</w:t>
            </w:r>
            <w:r>
              <w:br/>
            </w:r>
            <w:r>
              <w:rPr>
                <w:rFonts w:ascii="宋体" w:hAnsi="宋体" w:eastAsia="宋体"/>
                <w:b w:val="0"/>
                <w:i w:val="0"/>
                <w:color w:val="000000"/>
                <w:sz w:val="18"/>
              </w:rPr>
              <w:t>持股份</w:t>
            </w:r>
            <w:r>
              <w:br/>
            </w:r>
            <w:r>
              <w:rPr>
                <w:rFonts w:ascii="宋体" w:hAnsi="宋体" w:eastAsia="宋体"/>
                <w:b w:val="0"/>
                <w:i w:val="0"/>
                <w:color w:val="000000"/>
                <w:sz w:val="18"/>
              </w:rPr>
              <w:t>数量</w:t>
            </w:r>
            <w:r>
              <w:br/>
            </w:r>
            <w:r>
              <w:rPr>
                <w:rFonts w:ascii="宋体" w:hAnsi="宋体" w:eastAsia="宋体"/>
                <w:b w:val="0"/>
                <w:i w:val="0"/>
                <w:color w:val="000000"/>
                <w:sz w:val="18"/>
              </w:rPr>
              <w:t xml:space="preserve">（股） </w:t>
            </w:r>
          </w:p>
        </w:tc>
        <w:tc>
          <w:tcPr>
            <w:tcW w:type="dxa" w:w="850"/>
            <w:tcBorders>
              <w:start w:sz="1.6000000000003638" w:val="single" w:color="#000000"/>
              <w:top w:sz="1.6000000000003638" w:val="single" w:color="#000000"/>
              <w:end w:sz="1.6000000000003638" w:val="single" w:color="#000000"/>
              <w:bottom w:sz="2.4000000000005457" w:val="single" w:color="#000000"/>
            </w:tcBorders>
            <w:shd w:fill="d2d2d2"/>
            <w:tcMar>
              <w:start w:w="0" w:type="dxa"/>
              <w:end w:w="0" w:type="dxa"/>
            </w:tcMar>
          </w:tcPr>
          <w:p>
            <w:pPr>
              <w:autoSpaceDN w:val="0"/>
              <w:autoSpaceDE w:val="0"/>
              <w:widowControl/>
              <w:spacing w:line="238" w:lineRule="exact" w:before="138" w:after="0"/>
              <w:ind w:left="152" w:right="62" w:firstLine="0"/>
              <w:jc w:val="both"/>
            </w:pPr>
            <w:r>
              <w:rPr>
                <w:rFonts w:ascii="宋体" w:hAnsi="宋体" w:eastAsia="宋体"/>
                <w:b w:val="0"/>
                <w:i w:val="0"/>
                <w:color w:val="000000"/>
                <w:sz w:val="18"/>
              </w:rPr>
              <w:t>其他增</w:t>
            </w:r>
            <w:r>
              <w:br/>
            </w:r>
            <w:r>
              <w:rPr>
                <w:rFonts w:ascii="宋体" w:hAnsi="宋体" w:eastAsia="宋体"/>
                <w:b w:val="0"/>
                <w:i w:val="0"/>
                <w:color w:val="000000"/>
                <w:sz w:val="18"/>
              </w:rPr>
              <w:t>减变动</w:t>
            </w:r>
            <w:r>
              <w:br/>
            </w:r>
            <w:r>
              <w:rPr>
                <w:rFonts w:ascii="宋体" w:hAnsi="宋体" w:eastAsia="宋体"/>
                <w:b w:val="0"/>
                <w:i w:val="0"/>
                <w:color w:val="000000"/>
                <w:sz w:val="18"/>
              </w:rPr>
              <w:t xml:space="preserve">（股） </w:t>
            </w:r>
          </w:p>
        </w:tc>
        <w:tc>
          <w:tcPr>
            <w:tcW w:type="dxa" w:w="852"/>
            <w:tcBorders>
              <w:start w:sz="1.6000000000003638" w:val="single" w:color="#000000"/>
              <w:top w:sz="1.6000000000003638" w:val="single" w:color="#000000"/>
              <w:end w:sz="1.6000000000003638" w:val="single" w:color="#000000"/>
              <w:bottom w:sz="2.4000000000005457" w:val="single" w:color="#000000"/>
            </w:tcBorders>
            <w:shd w:fill="d2d2d2"/>
            <w:tcMar>
              <w:start w:w="0" w:type="dxa"/>
              <w:end w:w="0" w:type="dxa"/>
            </w:tcMar>
          </w:tcPr>
          <w:p>
            <w:pPr>
              <w:autoSpaceDN w:val="0"/>
              <w:tabs>
                <w:tab w:pos="246" w:val="left"/>
              </w:tabs>
              <w:autoSpaceDE w:val="0"/>
              <w:widowControl/>
              <w:spacing w:line="238" w:lineRule="exact" w:before="138" w:after="0"/>
              <w:ind w:left="154" w:right="0" w:firstLine="0"/>
              <w:jc w:val="left"/>
            </w:pPr>
            <w:r>
              <w:rPr>
                <w:rFonts w:ascii="宋体" w:hAnsi="宋体" w:eastAsia="宋体"/>
                <w:b w:val="0"/>
                <w:i w:val="0"/>
                <w:color w:val="000000"/>
                <w:sz w:val="18"/>
              </w:rPr>
              <w:t>期末持</w:t>
            </w:r>
            <w:r>
              <w:br/>
            </w:r>
            <w:r>
              <w:rPr>
                <w:rFonts w:ascii="宋体" w:hAnsi="宋体" w:eastAsia="宋体"/>
                <w:b w:val="0"/>
                <w:i w:val="0"/>
                <w:color w:val="000000"/>
                <w:sz w:val="18"/>
              </w:rPr>
              <w:t>股数</w:t>
            </w:r>
            <w:r>
              <w:br/>
            </w:r>
            <w:r>
              <w:rPr>
                <w:rFonts w:ascii="宋体" w:hAnsi="宋体" w:eastAsia="宋体"/>
                <w:b w:val="0"/>
                <w:i w:val="0"/>
                <w:color w:val="000000"/>
                <w:sz w:val="18"/>
              </w:rPr>
              <w:t xml:space="preserve">（股） </w:t>
            </w:r>
          </w:p>
        </w:tc>
        <w:tc>
          <w:tcPr>
            <w:tcW w:type="dxa" w:w="764"/>
            <w:tcBorders>
              <w:start w:sz="1.6000000000003638" w:val="single" w:color="#000000"/>
              <w:top w:sz="1.6000000000003638" w:val="single" w:color="#000000"/>
              <w:end w:sz="2.399999999999636" w:val="single" w:color="#000000"/>
              <w:bottom w:sz="2.4000000000005457" w:val="single" w:color="#000000"/>
            </w:tcBorders>
            <w:shd w:fill="d2d2d2"/>
            <w:tcMar>
              <w:start w:w="0" w:type="dxa"/>
              <w:end w:w="0" w:type="dxa"/>
            </w:tcMar>
          </w:tcPr>
          <w:p>
            <w:pPr>
              <w:autoSpaceDN w:val="0"/>
              <w:autoSpaceDE w:val="0"/>
              <w:widowControl/>
              <w:spacing w:line="238" w:lineRule="exact" w:before="138" w:after="0"/>
              <w:ind w:left="108" w:right="18" w:firstLine="0"/>
              <w:jc w:val="both"/>
            </w:pPr>
            <w:r>
              <w:rPr>
                <w:rFonts w:ascii="宋体" w:hAnsi="宋体" w:eastAsia="宋体"/>
                <w:b w:val="0"/>
                <w:i w:val="0"/>
                <w:color w:val="000000"/>
                <w:sz w:val="18"/>
              </w:rPr>
              <w:t>股份增</w:t>
            </w:r>
            <w:r>
              <w:br/>
            </w:r>
            <w:r>
              <w:rPr>
                <w:rFonts w:ascii="宋体" w:hAnsi="宋体" w:eastAsia="宋体"/>
                <w:b w:val="0"/>
                <w:i w:val="0"/>
                <w:color w:val="000000"/>
                <w:sz w:val="18"/>
              </w:rPr>
              <w:t>减变动</w:t>
            </w:r>
            <w:r>
              <w:br/>
            </w:r>
            <w:r>
              <w:rPr>
                <w:rFonts w:ascii="宋体" w:hAnsi="宋体" w:eastAsia="宋体"/>
                <w:b w:val="0"/>
                <w:i w:val="0"/>
                <w:color w:val="000000"/>
                <w:sz w:val="18"/>
              </w:rPr>
              <w:t xml:space="preserve">的原因 </w:t>
            </w:r>
          </w:p>
        </w:tc>
      </w:tr>
      <w:tr>
        <w:trPr>
          <w:trHeight w:hRule="exact" w:val="344"/>
        </w:trPr>
        <w:tc>
          <w:tcPr>
            <w:tcW w:type="dxa" w:w="786"/>
            <w:vMerge w:val="restart"/>
            <w:tcBorders>
              <w:start w:sz="2.4000000000000057" w:val="single" w:color="#000000"/>
              <w:top w:sz="2.4000000000005457" w:val="single" w:color="#000000"/>
              <w:end w:sz="1.599999999999966" w:val="single" w:color="#000000"/>
              <w:bottom w:sz="1.6000000000003638" w:val="single" w:color="#000000"/>
            </w:tcBorders>
            <w:tcMar>
              <w:start w:w="0" w:type="dxa"/>
              <w:end w:w="0" w:type="dxa"/>
            </w:tcMar>
            <w:tcMar>
              <w:start w:w="0" w:type="dxa"/>
              <w:end w:w="0" w:type="dxa"/>
            </w:tcMar>
          </w:tcPr>
          <w:p>
            <w:pPr>
              <w:autoSpaceDN w:val="0"/>
              <w:autoSpaceDE w:val="0"/>
              <w:widowControl/>
              <w:spacing w:line="180" w:lineRule="exact" w:before="258" w:after="0"/>
              <w:ind w:left="122" w:right="0" w:firstLine="0"/>
              <w:jc w:val="left"/>
            </w:pPr>
            <w:r>
              <w:rPr>
                <w:rFonts w:ascii="宋体" w:hAnsi="宋体" w:eastAsia="宋体"/>
                <w:b w:val="0"/>
                <w:i w:val="0"/>
                <w:color w:val="000000"/>
                <w:sz w:val="18"/>
              </w:rPr>
              <w:t>侯</w:t>
            </w:r>
            <w:r>
              <w:rPr>
                <w:rFonts w:ascii="宋体" w:hAnsi="宋体" w:eastAsia="宋体"/>
                <w:b w:val="0"/>
                <w:i w:val="0"/>
                <w:color w:val="000000"/>
                <w:sz w:val="18"/>
              </w:rPr>
              <w:t xml:space="preserve">巍 </w:t>
            </w:r>
          </w:p>
        </w:tc>
        <w:tc>
          <w:tcPr>
            <w:tcW w:type="dxa" w:w="422"/>
            <w:vMerge w:val="restart"/>
            <w:tcBorders>
              <w:start w:sz="1.599999999999966" w:val="single" w:color="#000000"/>
              <w:top w:sz="2.4000000000005457" w:val="single" w:color="#000000"/>
              <w:end w:sz="2.3999999999999773" w:val="single" w:color="#000000"/>
              <w:bottom w:sz="1.6000000000003638" w:val="single" w:color="#000000"/>
            </w:tcBorders>
            <w:tcMar>
              <w:start w:w="0" w:type="dxa"/>
              <w:end w:w="0" w:type="dxa"/>
            </w:tcMar>
            <w:tcMar>
              <w:start w:w="0" w:type="dxa"/>
              <w:end w:w="0" w:type="dxa"/>
            </w:tcMar>
          </w:tcPr>
          <w:p>
            <w:pPr>
              <w:autoSpaceDN w:val="0"/>
              <w:autoSpaceDE w:val="0"/>
              <w:widowControl/>
              <w:spacing w:line="180" w:lineRule="exact" w:before="258"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2.4000000000005457" w:val="single" w:color="#000000"/>
              <w:end w:sz="1.6000000000000227"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252" w:after="0"/>
              <w:ind w:left="0" w:right="0" w:firstLine="0"/>
              <w:jc w:val="center"/>
            </w:pPr>
            <w:r>
              <w:rPr>
                <w:rFonts w:ascii="Times New Roman" w:hAnsi="Times New Roman" w:eastAsia="Times New Roman"/>
                <w:b w:val="0"/>
                <w:i w:val="0"/>
                <w:color w:val="000000"/>
                <w:sz w:val="18"/>
              </w:rPr>
              <w:t>52</w:t>
            </w:r>
          </w:p>
        </w:tc>
        <w:tc>
          <w:tcPr>
            <w:tcW w:type="dxa" w:w="1942"/>
            <w:tcBorders>
              <w:start w:sz="1.6000000000000227" w:val="single" w:color="#000000"/>
              <w:top w:sz="2.4000000000005457"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4" w:after="0"/>
              <w:ind w:left="0" w:right="608" w:firstLine="0"/>
              <w:jc w:val="right"/>
            </w:pPr>
            <w:r>
              <w:rPr>
                <w:rFonts w:ascii="宋体" w:hAnsi="宋体" w:eastAsia="宋体"/>
                <w:b w:val="0"/>
                <w:i w:val="0"/>
                <w:color w:val="000000"/>
                <w:sz w:val="18"/>
              </w:rPr>
              <w:t xml:space="preserve">董事长 </w:t>
            </w:r>
          </w:p>
        </w:tc>
        <w:tc>
          <w:tcPr>
            <w:tcW w:type="dxa" w:w="612"/>
            <w:tcBorders>
              <w:start w:sz="1.6000000000001364"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2015.02.13</w:t>
            </w:r>
          </w:p>
        </w:tc>
        <w:tc>
          <w:tcPr>
            <w:tcW w:type="dxa" w:w="71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2.4000000000005457" w:val="single" w:color="#000000"/>
              <w:end w:sz="1.599999999999966" w:val="single" w:color="#000000"/>
              <w:bottom w:sz="1.6000000000003638" w:val="single" w:color="#000000"/>
            </w:tcBorders>
          </w:tcPr>
          <w:p/>
        </w:tc>
        <w:tc>
          <w:tcPr>
            <w:tcW w:type="dxa" w:w="849"/>
            <w:vMerge/>
            <w:tcBorders>
              <w:start w:sz="1.599999999999966" w:val="single" w:color="#000000"/>
              <w:top w:sz="2.4000000000005457" w:val="single" w:color="#000000"/>
              <w:end w:sz="2.3999999999999773" w:val="single" w:color="#000000"/>
              <w:bottom w:sz="1.6000000000003638" w:val="single" w:color="#000000"/>
            </w:tcBorders>
          </w:tcPr>
          <w:p/>
        </w:tc>
        <w:tc>
          <w:tcPr>
            <w:tcW w:type="dxa" w:w="849"/>
            <w:vMerge/>
            <w:tcBorders>
              <w:start w:sz="2.3999999999999773" w:val="single" w:color="#000000"/>
              <w:top w:sz="2.4000000000005457" w:val="single" w:color="#000000"/>
              <w:end w:sz="1.6000000000000227" w:val="single" w:color="#000000"/>
              <w:bottom w:sz="1.6000000000003638" w:val="single" w:color="#000000"/>
            </w:tcBorders>
          </w:tcPr>
          <w:p/>
        </w:tc>
        <w:tc>
          <w:tcPr>
            <w:tcW w:type="dxa" w:w="1942"/>
            <w:tcBorders>
              <w:start w:sz="1.6000000000000227"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8" w:after="0"/>
              <w:ind w:left="158" w:right="0" w:firstLine="0"/>
              <w:jc w:val="left"/>
            </w:pPr>
            <w:r>
              <w:rPr>
                <w:rFonts w:ascii="宋体" w:hAnsi="宋体" w:eastAsia="宋体"/>
                <w:b w:val="0"/>
                <w:i w:val="0"/>
                <w:color w:val="000000"/>
                <w:sz w:val="18"/>
              </w:rPr>
              <w:t xml:space="preserve">执行委员会主任委员 </w:t>
            </w:r>
          </w:p>
        </w:tc>
        <w:tc>
          <w:tcPr>
            <w:tcW w:type="dxa" w:w="6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1.6000000000003638" w:val="single" w:color="#000000"/>
              <w:end w:sz="1.599999999999966"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606" w:after="0"/>
              <w:ind w:left="122" w:right="0" w:firstLine="0"/>
              <w:jc w:val="left"/>
            </w:pPr>
            <w:r>
              <w:rPr>
                <w:rFonts w:ascii="宋体" w:hAnsi="宋体" w:eastAsia="宋体"/>
                <w:b w:val="0"/>
                <w:i w:val="0"/>
                <w:color w:val="000000"/>
                <w:sz w:val="18"/>
              </w:rPr>
              <w:t xml:space="preserve">王怡里 </w:t>
            </w:r>
          </w:p>
        </w:tc>
        <w:tc>
          <w:tcPr>
            <w:tcW w:type="dxa" w:w="422"/>
            <w:vMerge w:val="restart"/>
            <w:tcBorders>
              <w:start w:sz="1.599999999999966" w:val="single" w:color="#000000"/>
              <w:top w:sz="1.6000000000003638" w:val="single" w:color="#000000"/>
              <w:end w:sz="2.3999999999999773"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606"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1.6000000000003638" w:val="single" w:color="#000000"/>
              <w:end w:sz="1.6000000000000227"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600" w:after="0"/>
              <w:ind w:left="0" w:right="0" w:firstLine="0"/>
              <w:jc w:val="center"/>
            </w:pPr>
            <w:r>
              <w:rPr>
                <w:rFonts w:ascii="Times New Roman" w:hAnsi="Times New Roman" w:eastAsia="Times New Roman"/>
                <w:b w:val="0"/>
                <w:i w:val="0"/>
                <w:color w:val="000000"/>
                <w:sz w:val="18"/>
              </w:rPr>
              <w:t>51</w:t>
            </w:r>
          </w:p>
        </w:tc>
        <w:tc>
          <w:tcPr>
            <w:tcW w:type="dxa" w:w="1942"/>
            <w:tcBorders>
              <w:start w:sz="1.6000000000000227"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副董事长 </w:t>
            </w:r>
          </w:p>
        </w:tc>
        <w:tc>
          <w:tcPr>
            <w:tcW w:type="dxa" w:w="612"/>
            <w:tcBorders>
              <w:start w:sz="1.6000000000001364"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8"/>
        </w:trPr>
        <w:tc>
          <w:tcPr>
            <w:tcW w:type="dxa" w:w="849"/>
            <w:vMerge/>
            <w:tcBorders>
              <w:start w:sz="2.4000000000000057" w:val="single" w:color="#000000"/>
              <w:top w:sz="1.6000000000003638" w:val="single" w:color="#000000"/>
              <w:end w:sz="1.599999999999966" w:val="single" w:color="#000000"/>
              <w:bottom w:sz="1.6000000000003638" w:val="single" w:color="#000000"/>
            </w:tcBorders>
          </w:tcPr>
          <w:p/>
        </w:tc>
        <w:tc>
          <w:tcPr>
            <w:tcW w:type="dxa" w:w="849"/>
            <w:vMerge/>
            <w:tcBorders>
              <w:start w:sz="1.599999999999966" w:val="single" w:color="#000000"/>
              <w:top w:sz="1.6000000000003638" w:val="single" w:color="#000000"/>
              <w:end w:sz="2.3999999999999773" w:val="single" w:color="#000000"/>
              <w:bottom w:sz="1.6000000000003638" w:val="single" w:color="#000000"/>
            </w:tcBorders>
          </w:tcPr>
          <w:p/>
        </w:tc>
        <w:tc>
          <w:tcPr>
            <w:tcW w:type="dxa" w:w="849"/>
            <w:vMerge/>
            <w:tcBorders>
              <w:start w:sz="2.3999999999999773" w:val="single" w:color="#000000"/>
              <w:top w:sz="1.6000000000003638" w:val="single" w:color="#000000"/>
              <w:end w:sz="1.6000000000000227" w:val="single" w:color="#000000"/>
              <w:bottom w:sz="1.6000000000003638" w:val="single" w:color="#000000"/>
            </w:tcBorders>
          </w:tcPr>
          <w:p/>
        </w:tc>
        <w:tc>
          <w:tcPr>
            <w:tcW w:type="dxa" w:w="1942"/>
            <w:tcBorders>
              <w:start w:sz="1.6000000000000227" w:val="single" w:color="#000000"/>
              <w:top w:sz="2.399999999999636"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88" w:after="0"/>
              <w:ind w:left="0" w:right="608" w:firstLine="0"/>
              <w:jc w:val="right"/>
            </w:pPr>
            <w:r>
              <w:rPr>
                <w:rFonts w:ascii="宋体" w:hAnsi="宋体" w:eastAsia="宋体"/>
                <w:b w:val="0"/>
                <w:i w:val="0"/>
                <w:color w:val="000000"/>
                <w:sz w:val="18"/>
              </w:rPr>
              <w:t xml:space="preserve">总经理 </w:t>
            </w:r>
          </w:p>
        </w:tc>
        <w:tc>
          <w:tcPr>
            <w:tcW w:type="dxa" w:w="612"/>
            <w:tcBorders>
              <w:start w:sz="1.6000000000001364"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399999999999636" w:val="single" w:color="#000000"/>
              <w:end w:sz="2.399999999999636"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1.6000000000003638" w:val="single" w:color="#000000"/>
              <w:end w:sz="1.599999999999966" w:val="single" w:color="#000000"/>
              <w:bottom w:sz="1.6000000000003638" w:val="single" w:color="#000000"/>
            </w:tcBorders>
          </w:tcPr>
          <w:p/>
        </w:tc>
        <w:tc>
          <w:tcPr>
            <w:tcW w:type="dxa" w:w="849"/>
            <w:vMerge/>
            <w:tcBorders>
              <w:start w:sz="1.599999999999966" w:val="single" w:color="#000000"/>
              <w:top w:sz="1.6000000000003638" w:val="single" w:color="#000000"/>
              <w:end w:sz="2.3999999999999773" w:val="single" w:color="#000000"/>
              <w:bottom w:sz="1.6000000000003638" w:val="single" w:color="#000000"/>
            </w:tcBorders>
          </w:tcPr>
          <w:p/>
        </w:tc>
        <w:tc>
          <w:tcPr>
            <w:tcW w:type="dxa" w:w="849"/>
            <w:vMerge/>
            <w:tcBorders>
              <w:start w:sz="2.3999999999999773" w:val="single" w:color="#000000"/>
              <w:top w:sz="1.6000000000003638" w:val="single" w:color="#000000"/>
              <w:end w:sz="1.6000000000000227" w:val="single" w:color="#000000"/>
              <w:bottom w:sz="1.6000000000003638" w:val="single" w:color="#000000"/>
            </w:tcBorders>
          </w:tcPr>
          <w:p/>
        </w:tc>
        <w:tc>
          <w:tcPr>
            <w:tcW w:type="dxa" w:w="1942"/>
            <w:tcBorders>
              <w:start w:sz="1.6000000000000227" w:val="single" w:color="#000000"/>
              <w:top w:sz="2.4000000000005457"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4"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1.6000000000003638" w:val="single" w:color="#000000"/>
              <w:end w:sz="1.599999999999966" w:val="single" w:color="#000000"/>
              <w:bottom w:sz="1.6000000000003638" w:val="single" w:color="#000000"/>
            </w:tcBorders>
          </w:tcPr>
          <w:p/>
        </w:tc>
        <w:tc>
          <w:tcPr>
            <w:tcW w:type="dxa" w:w="849"/>
            <w:vMerge/>
            <w:tcBorders>
              <w:start w:sz="1.599999999999966" w:val="single" w:color="#000000"/>
              <w:top w:sz="1.6000000000003638" w:val="single" w:color="#000000"/>
              <w:end w:sz="2.3999999999999773" w:val="single" w:color="#000000"/>
              <w:bottom w:sz="1.6000000000003638" w:val="single" w:color="#000000"/>
            </w:tcBorders>
          </w:tcPr>
          <w:p/>
        </w:tc>
        <w:tc>
          <w:tcPr>
            <w:tcW w:type="dxa" w:w="849"/>
            <w:vMerge/>
            <w:tcBorders>
              <w:start w:sz="2.3999999999999773" w:val="single" w:color="#000000"/>
              <w:top w:sz="1.6000000000003638" w:val="single" w:color="#000000"/>
              <w:end w:sz="1.6000000000000227" w:val="single" w:color="#000000"/>
              <w:bottom w:sz="1.6000000000003638" w:val="single" w:color="#000000"/>
            </w:tcBorders>
          </w:tcPr>
          <w:p/>
        </w:tc>
        <w:tc>
          <w:tcPr>
            <w:tcW w:type="dxa" w:w="1942"/>
            <w:tcBorders>
              <w:start w:sz="1.6000000000000227"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8" w:after="0"/>
              <w:ind w:left="0" w:right="428" w:firstLine="0"/>
              <w:jc w:val="right"/>
            </w:pPr>
            <w:r>
              <w:rPr>
                <w:rFonts w:ascii="宋体" w:hAnsi="宋体" w:eastAsia="宋体"/>
                <w:b w:val="0"/>
                <w:i w:val="0"/>
                <w:color w:val="000000"/>
                <w:sz w:val="18"/>
              </w:rPr>
              <w:t xml:space="preserve">董事会秘书 </w:t>
            </w:r>
          </w:p>
        </w:tc>
        <w:tc>
          <w:tcPr>
            <w:tcW w:type="dxa" w:w="6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2010.04.06</w:t>
            </w:r>
          </w:p>
        </w:tc>
        <w:tc>
          <w:tcPr>
            <w:tcW w:type="dxa" w:w="71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6000000000003638" w:val="single" w:color="#000000"/>
              <w:end w:sz="1.599999999999966" w:val="single" w:color="#000000"/>
              <w:bottom w:sz="1.5999999999994543"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刘鹏飞 </w:t>
            </w:r>
          </w:p>
        </w:tc>
        <w:tc>
          <w:tcPr>
            <w:tcW w:type="dxa" w:w="422"/>
            <w:tcBorders>
              <w:start w:sz="1.599999999999966" w:val="single" w:color="#000000"/>
              <w:top w:sz="1.6000000000003638" w:val="single" w:color="#000000"/>
              <w:end w:sz="2.3999999999999773" w:val="single" w:color="#000000"/>
              <w:bottom w:sz="1.5999999999994543"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6000000000003638" w:val="single" w:color="#000000"/>
              <w:end w:sz="1.6000000000000227"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43</w:t>
            </w:r>
          </w:p>
        </w:tc>
        <w:tc>
          <w:tcPr>
            <w:tcW w:type="dxa" w:w="1942"/>
            <w:tcBorders>
              <w:start w:sz="1.6000000000000227"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董事 </w:t>
            </w:r>
          </w:p>
        </w:tc>
        <w:tc>
          <w:tcPr>
            <w:tcW w:type="dxa" w:w="6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4543" w:val="single" w:color="#000000"/>
              <w:end w:sz="1.599999999999966" w:val="single" w:color="#000000"/>
              <w:bottom w:sz="2.4000000000005457"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李小萍 </w:t>
            </w:r>
          </w:p>
        </w:tc>
        <w:tc>
          <w:tcPr>
            <w:tcW w:type="dxa" w:w="422"/>
            <w:tcBorders>
              <w:start w:sz="1.599999999999966" w:val="single" w:color="#000000"/>
              <w:top w:sz="1.5999999999994543" w:val="single" w:color="#000000"/>
              <w:end w:sz="2.3999999999999773" w:val="single" w:color="#000000"/>
              <w:bottom w:sz="2.4000000000005457"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女 </w:t>
            </w:r>
          </w:p>
        </w:tc>
        <w:tc>
          <w:tcPr>
            <w:tcW w:type="dxa" w:w="426"/>
            <w:tcBorders>
              <w:start w:sz="2.3999999999999773" w:val="single" w:color="#000000"/>
              <w:top w:sz="1.5999999999994543" w:val="single" w:color="#000000"/>
              <w:end w:sz="1.6000000000000227"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53</w:t>
            </w:r>
          </w:p>
        </w:tc>
        <w:tc>
          <w:tcPr>
            <w:tcW w:type="dxa" w:w="1942"/>
            <w:tcBorders>
              <w:start w:sz="1.6000000000000227" w:val="single" w:color="#000000"/>
              <w:top w:sz="1.5999999999994543"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董事 </w:t>
            </w:r>
          </w:p>
        </w:tc>
        <w:tc>
          <w:tcPr>
            <w:tcW w:type="dxa" w:w="612"/>
            <w:tcBorders>
              <w:start w:sz="1.6000000000001364"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4543" w:val="single" w:color="#000000"/>
              <w:end w:sz="2.399999999999636" w:val="single" w:color="#000000"/>
              <w:bottom w:sz="2.4000000000005457"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tcBorders>
              <w:start w:sz="2.4000000000000057" w:val="single" w:color="#000000"/>
              <w:top w:sz="2.4000000000005457" w:val="single" w:color="#000000"/>
              <w:end w:sz="1.599999999999966" w:val="single" w:color="#000000"/>
              <w:bottom w:sz="2.399999999999636" w:val="single" w:color="#000000"/>
            </w:tcBorders>
            <w:tcMar>
              <w:start w:w="0" w:type="dxa"/>
              <w:end w:w="0" w:type="dxa"/>
            </w:tcMar>
          </w:tcPr>
          <w:p>
            <w:pPr>
              <w:autoSpaceDN w:val="0"/>
              <w:autoSpaceDE w:val="0"/>
              <w:widowControl/>
              <w:spacing w:line="180" w:lineRule="exact" w:before="86" w:after="0"/>
              <w:ind w:left="122" w:right="0" w:firstLine="0"/>
              <w:jc w:val="left"/>
            </w:pPr>
            <w:r>
              <w:rPr>
                <w:rFonts w:ascii="宋体" w:hAnsi="宋体" w:eastAsia="宋体"/>
                <w:b w:val="0"/>
                <w:i w:val="0"/>
                <w:color w:val="000000"/>
                <w:sz w:val="18"/>
              </w:rPr>
              <w:t xml:space="preserve">周金晓 </w:t>
            </w:r>
          </w:p>
        </w:tc>
        <w:tc>
          <w:tcPr>
            <w:tcW w:type="dxa" w:w="422"/>
            <w:tcBorders>
              <w:start w:sz="1.599999999999966" w:val="single" w:color="#000000"/>
              <w:top w:sz="2.4000000000005457" w:val="single" w:color="#000000"/>
              <w:end w:sz="2.3999999999999773" w:val="single" w:color="#000000"/>
              <w:bottom w:sz="2.399999999999636" w:val="single" w:color="#000000"/>
            </w:tcBorders>
            <w:tcMar>
              <w:start w:w="0" w:type="dxa"/>
              <w:end w:w="0" w:type="dxa"/>
            </w:tcMar>
          </w:tcPr>
          <w:p>
            <w:pPr>
              <w:autoSpaceDN w:val="0"/>
              <w:autoSpaceDE w:val="0"/>
              <w:widowControl/>
              <w:spacing w:line="180" w:lineRule="exact" w:before="86"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2.4000000000005457" w:val="single" w:color="#000000"/>
              <w:end w:sz="1.6000000000000227"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51</w:t>
            </w:r>
          </w:p>
        </w:tc>
        <w:tc>
          <w:tcPr>
            <w:tcW w:type="dxa" w:w="1942"/>
            <w:tcBorders>
              <w:start w:sz="1.6000000000000227" w:val="single" w:color="#000000"/>
              <w:top w:sz="2.4000000000005457"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86" w:after="0"/>
              <w:ind w:left="0" w:right="698" w:firstLine="0"/>
              <w:jc w:val="right"/>
            </w:pPr>
            <w:r>
              <w:rPr>
                <w:rFonts w:ascii="宋体" w:hAnsi="宋体" w:eastAsia="宋体"/>
                <w:b w:val="0"/>
                <w:i w:val="0"/>
                <w:color w:val="000000"/>
                <w:sz w:val="18"/>
              </w:rPr>
              <w:t xml:space="preserve">董事 </w:t>
            </w:r>
          </w:p>
        </w:tc>
        <w:tc>
          <w:tcPr>
            <w:tcW w:type="dxa" w:w="612"/>
            <w:tcBorders>
              <w:start w:sz="1.6000000000001364"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5457"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r>
    </w:tbl>
    <w:p>
      <w:pPr>
        <w:autoSpaceDN w:val="0"/>
        <w:autoSpaceDE w:val="0"/>
        <w:widowControl/>
        <w:spacing w:line="197" w:lineRule="auto" w:before="704" w:after="0"/>
        <w:ind w:left="0" w:right="0" w:firstLine="0"/>
        <w:jc w:val="center"/>
      </w:pPr>
      <w:r>
        <w:rPr>
          <w:rFonts w:ascii="Calibri" w:hAnsi="Calibri" w:eastAsia="Calibri"/>
          <w:b w:val="0"/>
          <w:i w:val="0"/>
          <w:color w:val="000000"/>
          <w:sz w:val="18"/>
        </w:rPr>
        <w:t xml:space="preserve">68 </w:t>
      </w:r>
    </w:p>
    <w:p>
      <w:pPr>
        <w:sectPr>
          <w:type w:val="continuous"/>
          <w:pgSz w:w="11904" w:h="16841"/>
          <w:pgMar w:top="424" w:right="426" w:bottom="446" w:left="446" w:header="720" w:footer="720" w:gutter="0"/>
          <w:cols/>
          <w:docGrid w:linePitch="360"/>
        </w:sectPr>
      </w:pPr>
    </w:p>
    <w:p>
      <w:pPr>
        <w:autoSpaceDN w:val="0"/>
        <w:autoSpaceDE w:val="0"/>
        <w:widowControl/>
        <w:spacing w:line="220" w:lineRule="exact" w:before="0" w:after="206"/>
        <w:ind w:left="0" w:right="0"/>
      </w:pPr>
    </w:p>
    <w:p>
      <w:pPr>
        <w:sectPr>
          <w:pgSz w:w="11904" w:h="16841"/>
          <w:pgMar w:top="424" w:right="426" w:bottom="446" w:left="446" w:header="720" w:footer="720" w:gutter="0"/>
          <w:cols/>
          <w:docGrid w:linePitch="360"/>
        </w:sectPr>
      </w:pPr>
    </w:p>
    <w:p>
      <w:pPr>
        <w:autoSpaceDN w:val="0"/>
        <w:autoSpaceDE w:val="0"/>
        <w:widowControl/>
        <w:spacing w:line="240" w:lineRule="auto" w:before="0" w:after="0"/>
        <w:ind w:left="688" w:right="0" w:firstLine="0"/>
        <w:jc w:val="left"/>
      </w:pPr>
      <w:r>
        <w:drawing>
          <wp:inline xmlns:a="http://schemas.openxmlformats.org/drawingml/2006/main" xmlns:pic="http://schemas.openxmlformats.org/drawingml/2006/picture">
            <wp:extent cx="1844039" cy="439419"/>
            <wp:docPr id="71" name="Picture 7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200" w:lineRule="exact" w:before="0" w:after="30"/>
        <w:ind w:left="0" w:right="72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49"/>
        <w:gridCol w:w="849"/>
        <w:gridCol w:w="849"/>
        <w:gridCol w:w="849"/>
        <w:gridCol w:w="849"/>
        <w:gridCol w:w="849"/>
        <w:gridCol w:w="849"/>
        <w:gridCol w:w="849"/>
        <w:gridCol w:w="849"/>
        <w:gridCol w:w="849"/>
        <w:gridCol w:w="849"/>
        <w:gridCol w:w="849"/>
        <w:gridCol w:w="849"/>
      </w:tblGrid>
      <w:tr>
        <w:trPr>
          <w:trHeight w:hRule="exact" w:val="346"/>
        </w:trPr>
        <w:tc>
          <w:tcPr>
            <w:tcW w:type="dxa" w:w="786"/>
            <w:tcBorders>
              <w:start w:sz="2.4000000000000057" w:val="single" w:color="#000000"/>
              <w:top w:sz="1.6000000000000227" w:val="single" w:color="#000000"/>
              <w:end w:sz="1.599999999999966" w:val="single" w:color="#000000"/>
              <w:bottom w:sz="1.6000000000000227"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夏贵所 </w:t>
            </w:r>
          </w:p>
        </w:tc>
        <w:tc>
          <w:tcPr>
            <w:tcW w:type="dxa" w:w="422"/>
            <w:tcBorders>
              <w:start w:sz="1.599999999999966" w:val="single" w:color="#000000"/>
              <w:top w:sz="5.600000000000023" w:val="single" w:color="#000000"/>
              <w:end w:sz="2.3999999999999773" w:val="single" w:color="#000000"/>
              <w:bottom w:sz="1.6000000000000227" w:val="single" w:color="#000000"/>
            </w:tcBorders>
            <w:tcMar>
              <w:start w:w="0" w:type="dxa"/>
              <w:end w:w="0" w:type="dxa"/>
            </w:tcMar>
          </w:tcPr>
          <w:p>
            <w:pPr>
              <w:autoSpaceDN w:val="0"/>
              <w:autoSpaceDE w:val="0"/>
              <w:widowControl/>
              <w:spacing w:line="180" w:lineRule="exact" w:before="84"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5.600000000000023" w:val="single" w:color="#000000"/>
              <w:end w:sz="1.6000000000000227"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61</w:t>
            </w:r>
          </w:p>
        </w:tc>
        <w:tc>
          <w:tcPr>
            <w:tcW w:type="dxa" w:w="1942"/>
            <w:tcBorders>
              <w:start w:sz="1.6000000000000227" w:val="single" w:color="#000000"/>
              <w:top w:sz="5.600000000000023" w:val="single" w:color="#000000"/>
              <w:end w:sz="1.6000000000001364" w:val="single" w:color="#000000"/>
              <w:bottom w:sz="1.6000000000000227" w:val="single" w:color="#000000"/>
            </w:tcBorders>
            <w:tcMar>
              <w:start w:w="0" w:type="dxa"/>
              <w:end w:w="0" w:type="dxa"/>
            </w:tcMar>
          </w:tcPr>
          <w:p>
            <w:pPr>
              <w:autoSpaceDN w:val="0"/>
              <w:autoSpaceDE w:val="0"/>
              <w:widowControl/>
              <w:spacing w:line="180" w:lineRule="exact" w:before="84" w:after="0"/>
              <w:ind w:left="0" w:right="698" w:firstLine="0"/>
              <w:jc w:val="right"/>
            </w:pPr>
            <w:r>
              <w:rPr>
                <w:rFonts w:ascii="宋体" w:hAnsi="宋体" w:eastAsia="宋体"/>
                <w:b w:val="0"/>
                <w:i w:val="0"/>
                <w:color w:val="000000"/>
                <w:sz w:val="18"/>
              </w:rPr>
              <w:t xml:space="preserve">董事 </w:t>
            </w:r>
          </w:p>
        </w:tc>
        <w:tc>
          <w:tcPr>
            <w:tcW w:type="dxa" w:w="612"/>
            <w:tcBorders>
              <w:start w:sz="1.6000000000001364"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180" w:lineRule="exact" w:before="84"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2018.08.10</w:t>
            </w:r>
          </w:p>
        </w:tc>
        <w:tc>
          <w:tcPr>
            <w:tcW w:type="dxa" w:w="71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180" w:lineRule="exact" w:before="84"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5.600000000000023" w:val="single" w:color="#000000"/>
              <w:end w:sz="1.6000000000003638"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5.600000000000023" w:val="single" w:color="#000000"/>
              <w:end w:sz="2.399999999999636" w:val="single" w:color="#000000"/>
              <w:bottom w:sz="1.6000000000000227" w:val="single" w:color="#000000"/>
            </w:tcBorders>
            <w:tcMar>
              <w:start w:w="0" w:type="dxa"/>
              <w:end w:w="0" w:type="dxa"/>
            </w:tcMar>
          </w:tcPr>
          <w:p>
            <w:pPr>
              <w:autoSpaceDN w:val="0"/>
              <w:autoSpaceDE w:val="0"/>
              <w:widowControl/>
              <w:spacing w:line="233" w:lineRule="auto" w:before="78"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tcBorders>
              <w:start w:sz="2.4000000000000057" w:val="single" w:color="#000000"/>
              <w:top w:sz="1.6000000000000227" w:val="single" w:color="#000000"/>
              <w:end w:sz="1.599999999999966" w:val="single" w:color="#000000"/>
              <w:bottom w:sz="2.3999999999999773" w:val="single" w:color="#000000"/>
            </w:tcBorders>
            <w:tcMar>
              <w:start w:w="0" w:type="dxa"/>
              <w:end w:w="0" w:type="dxa"/>
            </w:tcMar>
          </w:tcPr>
          <w:p>
            <w:pPr>
              <w:autoSpaceDN w:val="0"/>
              <w:autoSpaceDE w:val="0"/>
              <w:widowControl/>
              <w:spacing w:line="180" w:lineRule="exact" w:before="86" w:after="0"/>
              <w:ind w:left="122" w:right="0" w:firstLine="0"/>
              <w:jc w:val="left"/>
            </w:pPr>
            <w:r>
              <w:rPr>
                <w:rFonts w:ascii="宋体" w:hAnsi="宋体" w:eastAsia="宋体"/>
                <w:b w:val="0"/>
                <w:i w:val="0"/>
                <w:color w:val="000000"/>
                <w:sz w:val="18"/>
              </w:rPr>
              <w:t xml:space="preserve">邢会强 </w:t>
            </w:r>
          </w:p>
        </w:tc>
        <w:tc>
          <w:tcPr>
            <w:tcW w:type="dxa" w:w="422"/>
            <w:tcBorders>
              <w:start w:sz="1.599999999999966" w:val="single" w:color="#000000"/>
              <w:top w:sz="1.6000000000000227" w:val="single" w:color="#000000"/>
              <w:end w:sz="2.3999999999999773" w:val="single" w:color="#000000"/>
              <w:bottom w:sz="2.3999999999999773" w:val="single" w:color="#000000"/>
            </w:tcBorders>
            <w:tcMar>
              <w:start w:w="0" w:type="dxa"/>
              <w:end w:w="0" w:type="dxa"/>
            </w:tcMar>
          </w:tcPr>
          <w:p>
            <w:pPr>
              <w:autoSpaceDN w:val="0"/>
              <w:autoSpaceDE w:val="0"/>
              <w:widowControl/>
              <w:spacing w:line="180" w:lineRule="exact" w:before="86"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6000000000000227" w:val="single" w:color="#000000"/>
              <w:end w:sz="1.6000000000000227"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48</w:t>
            </w:r>
          </w:p>
        </w:tc>
        <w:tc>
          <w:tcPr>
            <w:tcW w:type="dxa" w:w="1942"/>
            <w:tcBorders>
              <w:start w:sz="1.6000000000000227" w:val="single" w:color="#000000"/>
              <w:top w:sz="1.6000000000000227" w:val="single" w:color="#000000"/>
              <w:end w:sz="1.6000000000001364" w:val="single" w:color="#000000"/>
              <w:bottom w:sz="2.3999999999999773" w:val="single" w:color="#000000"/>
            </w:tcBorders>
            <w:tcMar>
              <w:start w:w="0" w:type="dxa"/>
              <w:end w:w="0" w:type="dxa"/>
            </w:tcMar>
          </w:tcPr>
          <w:p>
            <w:pPr>
              <w:autoSpaceDN w:val="0"/>
              <w:autoSpaceDE w:val="0"/>
              <w:widowControl/>
              <w:spacing w:line="180" w:lineRule="exact" w:before="86" w:after="0"/>
              <w:ind w:left="0" w:right="518" w:firstLine="0"/>
              <w:jc w:val="right"/>
            </w:pPr>
            <w:r>
              <w:rPr>
                <w:rFonts w:ascii="宋体" w:hAnsi="宋体" w:eastAsia="宋体"/>
                <w:b w:val="0"/>
                <w:i w:val="0"/>
                <w:color w:val="000000"/>
                <w:sz w:val="18"/>
              </w:rPr>
              <w:t xml:space="preserve">独立董事 </w:t>
            </w:r>
          </w:p>
        </w:tc>
        <w:tc>
          <w:tcPr>
            <w:tcW w:type="dxa" w:w="612"/>
            <w:tcBorders>
              <w:start w:sz="1.6000000000001364"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0227" w:val="single" w:color="#000000"/>
              <w:end w:sz="2.399999999999636" w:val="single" w:color="#000000"/>
              <w:bottom w:sz="2.3999999999999773"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tcBorders>
              <w:start w:sz="2.4000000000000057" w:val="single" w:color="#000000"/>
              <w:top w:sz="2.3999999999999773" w:val="single" w:color="#000000"/>
              <w:end w:sz="1.599999999999966" w:val="single" w:color="#000000"/>
              <w:bottom w:sz="2.400000000000091"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朱  祁 </w:t>
            </w:r>
          </w:p>
        </w:tc>
        <w:tc>
          <w:tcPr>
            <w:tcW w:type="dxa" w:w="422"/>
            <w:tcBorders>
              <w:start w:sz="1.599999999999966" w:val="single" w:color="#000000"/>
              <w:top w:sz="2.3999999999999773"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2.3999999999999773" w:val="single" w:color="#000000"/>
              <w:end w:sz="1.6000000000000227"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49</w:t>
            </w:r>
          </w:p>
        </w:tc>
        <w:tc>
          <w:tcPr>
            <w:tcW w:type="dxa" w:w="1942"/>
            <w:tcBorders>
              <w:start w:sz="1.6000000000000227" w:val="single" w:color="#000000"/>
              <w:top w:sz="2.3999999999999773"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独立董事 </w:t>
            </w:r>
          </w:p>
        </w:tc>
        <w:tc>
          <w:tcPr>
            <w:tcW w:type="dxa" w:w="612"/>
            <w:tcBorders>
              <w:start w:sz="1.6000000000001364"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3999999999999773"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3999999999999773"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2.400000000000091"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6" w:after="0"/>
              <w:ind w:left="122" w:right="0" w:firstLine="0"/>
              <w:jc w:val="left"/>
            </w:pPr>
            <w:r>
              <w:rPr>
                <w:rFonts w:ascii="宋体" w:hAnsi="宋体" w:eastAsia="宋体"/>
                <w:b w:val="0"/>
                <w:i w:val="0"/>
                <w:color w:val="000000"/>
                <w:sz w:val="18"/>
              </w:rPr>
              <w:t xml:space="preserve">李海涛 </w:t>
            </w:r>
          </w:p>
        </w:tc>
        <w:tc>
          <w:tcPr>
            <w:tcW w:type="dxa" w:w="422"/>
            <w:tcBorders>
              <w:start w:sz="1.599999999999966"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6"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55</w:t>
            </w:r>
          </w:p>
        </w:tc>
        <w:tc>
          <w:tcPr>
            <w:tcW w:type="dxa" w:w="1942"/>
            <w:tcBorders>
              <w:start w:sz="1.6000000000000227"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6" w:after="0"/>
              <w:ind w:left="0" w:right="518" w:firstLine="0"/>
              <w:jc w:val="right"/>
            </w:pPr>
            <w:r>
              <w:rPr>
                <w:rFonts w:ascii="宋体" w:hAnsi="宋体" w:eastAsia="宋体"/>
                <w:b w:val="0"/>
                <w:i w:val="0"/>
                <w:color w:val="000000"/>
                <w:sz w:val="18"/>
              </w:rPr>
              <w:t xml:space="preserve">独立董事 </w:t>
            </w:r>
          </w:p>
        </w:tc>
        <w:tc>
          <w:tcPr>
            <w:tcW w:type="dxa" w:w="61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郭  洁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女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49</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独立董事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1.599999999999909" w:val="single" w:color="#000000"/>
              <w:end w:sz="1.599999999999966" w:val="single" w:color="#000000"/>
              <w:bottom w:sz="1.6000000000001364" w:val="single" w:color="#000000"/>
            </w:tcBorders>
            <w:tcMar>
              <w:start w:w="0" w:type="dxa"/>
              <w:end w:w="0" w:type="dxa"/>
            </w:tcMar>
            <w:tcMar>
              <w:start w:w="0" w:type="dxa"/>
              <w:end w:w="0" w:type="dxa"/>
            </w:tcMar>
          </w:tcPr>
          <w:p>
            <w:pPr>
              <w:autoSpaceDN w:val="0"/>
              <w:autoSpaceDE w:val="0"/>
              <w:widowControl/>
              <w:spacing w:line="180" w:lineRule="exact" w:before="328" w:after="0"/>
              <w:ind w:left="122" w:right="0" w:firstLine="0"/>
              <w:jc w:val="left"/>
            </w:pPr>
            <w:r>
              <w:rPr>
                <w:rFonts w:ascii="宋体" w:hAnsi="宋体" w:eastAsia="宋体"/>
                <w:b w:val="0"/>
                <w:i w:val="0"/>
                <w:color w:val="000000"/>
                <w:sz w:val="18"/>
              </w:rPr>
              <w:t xml:space="preserve">乔俊峰 </w:t>
            </w:r>
          </w:p>
        </w:tc>
        <w:tc>
          <w:tcPr>
            <w:tcW w:type="dxa" w:w="422"/>
            <w:vMerge w:val="restart"/>
            <w:tcBorders>
              <w:start w:sz="1.599999999999966" w:val="single" w:color="#000000"/>
              <w:top w:sz="1.599999999999909" w:val="single" w:color="#000000"/>
              <w:end w:sz="2.3999999999999773" w:val="single" w:color="#000000"/>
              <w:bottom w:sz="1.6000000000001364" w:val="single" w:color="#000000"/>
            </w:tcBorders>
            <w:tcMar>
              <w:start w:w="0" w:type="dxa"/>
              <w:end w:w="0" w:type="dxa"/>
            </w:tcMar>
            <w:tcMar>
              <w:start w:w="0" w:type="dxa"/>
              <w:end w:w="0" w:type="dxa"/>
            </w:tcMar>
          </w:tcPr>
          <w:p>
            <w:pPr>
              <w:autoSpaceDN w:val="0"/>
              <w:autoSpaceDE w:val="0"/>
              <w:widowControl/>
              <w:spacing w:line="180" w:lineRule="exact" w:before="328"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1.599999999999909" w:val="single" w:color="#000000"/>
              <w:end w:sz="1.6000000000000227" w:val="single" w:color="#000000"/>
              <w:bottom w:sz="1.6000000000001364" w:val="single" w:color="#000000"/>
            </w:tcBorders>
            <w:tcMar>
              <w:start w:w="0" w:type="dxa"/>
              <w:end w:w="0" w:type="dxa"/>
            </w:tcMar>
            <w:tcMar>
              <w:start w:w="0" w:type="dxa"/>
              <w:end w:w="0" w:type="dxa"/>
            </w:tcMar>
          </w:tcPr>
          <w:p>
            <w:pPr>
              <w:autoSpaceDN w:val="0"/>
              <w:autoSpaceDE w:val="0"/>
              <w:widowControl/>
              <w:spacing w:line="233" w:lineRule="auto" w:before="322" w:after="0"/>
              <w:ind w:left="0" w:right="0" w:firstLine="0"/>
              <w:jc w:val="center"/>
            </w:pPr>
            <w:r>
              <w:rPr>
                <w:rFonts w:ascii="Times New Roman" w:hAnsi="Times New Roman" w:eastAsia="Times New Roman"/>
                <w:b w:val="0"/>
                <w:i w:val="0"/>
                <w:color w:val="000000"/>
                <w:sz w:val="18"/>
              </w:rPr>
              <w:t>59</w:t>
            </w:r>
          </w:p>
        </w:tc>
        <w:tc>
          <w:tcPr>
            <w:tcW w:type="dxa" w:w="1942"/>
            <w:tcBorders>
              <w:start w:sz="1.6000000000000227" w:val="single" w:color="#000000"/>
              <w:top w:sz="1.599999999999909" w:val="single" w:color="#000000"/>
              <w:end w:sz="1.6000000000001364" w:val="single" w:color="#000000"/>
              <w:bottom w:sz="2.3999999999998636" w:val="single" w:color="#000000"/>
            </w:tcBorders>
            <w:tcMar>
              <w:start w:w="0" w:type="dxa"/>
              <w:end w:w="0" w:type="dxa"/>
            </w:tcMar>
          </w:tcPr>
          <w:p>
            <w:pPr>
              <w:autoSpaceDN w:val="0"/>
              <w:autoSpaceDE w:val="0"/>
              <w:widowControl/>
              <w:spacing w:line="180" w:lineRule="exact" w:before="86" w:after="0"/>
              <w:ind w:left="0" w:right="518" w:firstLine="0"/>
              <w:jc w:val="right"/>
            </w:pPr>
            <w:r>
              <w:rPr>
                <w:rFonts w:ascii="宋体" w:hAnsi="宋体" w:eastAsia="宋体"/>
                <w:b w:val="0"/>
                <w:i w:val="0"/>
                <w:color w:val="000000"/>
                <w:sz w:val="18"/>
              </w:rPr>
              <w:t xml:space="preserve">职工董事 </w:t>
            </w:r>
          </w:p>
        </w:tc>
        <w:tc>
          <w:tcPr>
            <w:tcW w:type="dxa" w:w="612"/>
            <w:tcBorders>
              <w:start w:sz="1.6000000000001364"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2.3999999999998636" w:val="single" w:color="#000000"/>
            </w:tcBorders>
            <w:tcMar>
              <w:start w:w="0" w:type="dxa"/>
              <w:end w:w="0" w:type="dxa"/>
            </w:tcMar>
          </w:tcPr>
          <w:p>
            <w:pPr>
              <w:autoSpaceDN w:val="0"/>
              <w:autoSpaceDE w:val="0"/>
              <w:widowControl/>
              <w:spacing w:line="233" w:lineRule="auto" w:before="80" w:after="0"/>
              <w:ind w:left="0" w:right="0" w:firstLine="0"/>
              <w:jc w:val="center"/>
            </w:pPr>
            <w:r>
              <w:rPr>
                <w:rFonts w:ascii="Times New Roman" w:hAnsi="Times New Roman" w:eastAsia="Times New Roman"/>
                <w:b w:val="0"/>
                <w:i w:val="0"/>
                <w:color w:val="000000"/>
                <w:sz w:val="18"/>
              </w:rPr>
              <w:t>-</w:t>
            </w:r>
          </w:p>
        </w:tc>
      </w:tr>
      <w:tr>
        <w:trPr>
          <w:trHeight w:hRule="exact" w:val="484"/>
        </w:trPr>
        <w:tc>
          <w:tcPr>
            <w:tcW w:type="dxa" w:w="849"/>
            <w:vMerge/>
            <w:tcBorders>
              <w:start w:sz="2.4000000000000057" w:val="single" w:color="#000000"/>
              <w:top w:sz="1.599999999999909" w:val="single" w:color="#000000"/>
              <w:end w:sz="1.599999999999966" w:val="single" w:color="#000000"/>
              <w:bottom w:sz="1.6000000000001364" w:val="single" w:color="#000000"/>
            </w:tcBorders>
          </w:tcPr>
          <w:p/>
        </w:tc>
        <w:tc>
          <w:tcPr>
            <w:tcW w:type="dxa" w:w="849"/>
            <w:vMerge/>
            <w:tcBorders>
              <w:start w:sz="1.599999999999966" w:val="single" w:color="#000000"/>
              <w:top w:sz="1.599999999999909" w:val="single" w:color="#000000"/>
              <w:end w:sz="2.3999999999999773" w:val="single" w:color="#000000"/>
              <w:bottom w:sz="1.6000000000001364" w:val="single" w:color="#000000"/>
            </w:tcBorders>
          </w:tcPr>
          <w:p/>
        </w:tc>
        <w:tc>
          <w:tcPr>
            <w:tcW w:type="dxa" w:w="849"/>
            <w:vMerge/>
            <w:tcBorders>
              <w:start w:sz="2.3999999999999773" w:val="single" w:color="#000000"/>
              <w:top w:sz="1.599999999999909" w:val="single" w:color="#000000"/>
              <w:end w:sz="1.6000000000000227" w:val="single" w:color="#000000"/>
              <w:bottom w:sz="1.6000000000001364" w:val="single" w:color="#000000"/>
            </w:tcBorders>
          </w:tcPr>
          <w:p/>
        </w:tc>
        <w:tc>
          <w:tcPr>
            <w:tcW w:type="dxa" w:w="1942"/>
            <w:tcBorders>
              <w:start w:sz="1.6000000000000227" w:val="single" w:color="#000000"/>
              <w:top w:sz="2.3999999999998636" w:val="single" w:color="#000000"/>
              <w:end w:sz="1.6000000000001364" w:val="single" w:color="#000000"/>
              <w:bottom w:sz="1.6000000000001364" w:val="single" w:color="#000000"/>
            </w:tcBorders>
            <w:tcMar>
              <w:start w:w="0" w:type="dxa"/>
              <w:end w:w="0" w:type="dxa"/>
            </w:tcMar>
          </w:tcPr>
          <w:p>
            <w:pPr>
              <w:autoSpaceDN w:val="0"/>
              <w:autoSpaceDE w:val="0"/>
              <w:widowControl/>
              <w:spacing w:line="180" w:lineRule="exact" w:before="156"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156" w:after="0"/>
              <w:ind w:left="124" w:right="0" w:firstLine="0"/>
              <w:jc w:val="left"/>
            </w:pPr>
            <w:r>
              <w:rPr>
                <w:rFonts w:ascii="宋体" w:hAnsi="宋体" w:eastAsia="宋体"/>
                <w:b w:val="0"/>
                <w:i w:val="0"/>
                <w:color w:val="000000"/>
                <w:sz w:val="18"/>
              </w:rPr>
              <w:t xml:space="preserve">离任 </w:t>
            </w:r>
          </w:p>
        </w:tc>
        <w:tc>
          <w:tcPr>
            <w:tcW w:type="dxa" w:w="1090"/>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254" w:lineRule="auto" w:before="32" w:after="0"/>
              <w:ind w:left="144" w:right="144" w:firstLine="0"/>
              <w:jc w:val="center"/>
            </w:pPr>
            <w:r>
              <w:rPr>
                <w:rFonts w:ascii="Times New Roman" w:hAnsi="Times New Roman" w:eastAsia="Times New Roman"/>
                <w:b w:val="0"/>
                <w:i w:val="0"/>
                <w:color w:val="000000"/>
                <w:sz w:val="18"/>
              </w:rPr>
              <w:t xml:space="preserve">2025. </w:t>
            </w:r>
            <w:r>
              <w:rPr>
                <w:rFonts w:ascii="Times New Roman" w:hAnsi="Times New Roman" w:eastAsia="Times New Roman"/>
                <w:b w:val="0"/>
                <w:i w:val="0"/>
                <w:color w:val="000000"/>
                <w:sz w:val="18"/>
              </w:rPr>
              <w:t>04.24</w:t>
            </w:r>
          </w:p>
        </w:tc>
        <w:tc>
          <w:tcPr>
            <w:tcW w:type="dxa" w:w="850"/>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3999999999998636" w:val="single" w:color="#000000"/>
              <w:end w:sz="1.6000000000003638"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3999999999998636" w:val="single" w:color="#000000"/>
              <w:end w:sz="1.6000000000003638"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3999999999998636" w:val="single" w:color="#000000"/>
              <w:end w:sz="1.6000000000003638"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3999999999998636" w:val="single" w:color="#000000"/>
              <w:end w:sz="2.399999999999636" w:val="single" w:color="#000000"/>
              <w:bottom w:sz="1.6000000000001364"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6000000000001364"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焦</w:t>
            </w:r>
            <w:r>
              <w:rPr>
                <w:rFonts w:ascii="宋体" w:hAnsi="宋体" w:eastAsia="宋体"/>
                <w:b w:val="0"/>
                <w:i w:val="0"/>
                <w:color w:val="000000"/>
                <w:sz w:val="18"/>
              </w:rPr>
              <w:t xml:space="preserve">杨 </w:t>
            </w:r>
          </w:p>
        </w:tc>
        <w:tc>
          <w:tcPr>
            <w:tcW w:type="dxa" w:w="422"/>
            <w:tcBorders>
              <w:start w:sz="1.599999999999966" w:val="single" w:color="#000000"/>
              <w:top w:sz="1.6000000000001364"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6000000000001364"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58</w:t>
            </w:r>
          </w:p>
        </w:tc>
        <w:tc>
          <w:tcPr>
            <w:tcW w:type="dxa" w:w="1942"/>
            <w:tcBorders>
              <w:start w:sz="1.6000000000000227" w:val="single" w:color="#000000"/>
              <w:top w:sz="1.6000000000001364"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28" w:firstLine="0"/>
              <w:jc w:val="right"/>
            </w:pPr>
            <w:r>
              <w:rPr>
                <w:rFonts w:ascii="宋体" w:hAnsi="宋体" w:eastAsia="宋体"/>
                <w:b w:val="0"/>
                <w:i w:val="0"/>
                <w:color w:val="000000"/>
                <w:sz w:val="18"/>
              </w:rPr>
              <w:t xml:space="preserve">监事会主席 </w:t>
            </w:r>
          </w:p>
        </w:tc>
        <w:tc>
          <w:tcPr>
            <w:tcW w:type="dxa" w:w="612"/>
            <w:tcBorders>
              <w:start w:sz="1.6000000000001364"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2011.05.06</w:t>
            </w:r>
          </w:p>
        </w:tc>
        <w:tc>
          <w:tcPr>
            <w:tcW w:type="dxa" w:w="710"/>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1364"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郭志宏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58</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2015.05.20</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刘奇旺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61</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2015.05.20</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2"/>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王国峰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60</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2022.05.20</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李国林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52</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2015.05.20</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武爱东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57</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白景波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50</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2"/>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崔秋生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51</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698" w:firstLine="0"/>
              <w:jc w:val="right"/>
            </w:pPr>
            <w:r>
              <w:rPr>
                <w:rFonts w:ascii="宋体" w:hAnsi="宋体" w:eastAsia="宋体"/>
                <w:b w:val="0"/>
                <w:i w:val="0"/>
                <w:color w:val="000000"/>
                <w:sz w:val="18"/>
              </w:rPr>
              <w:t xml:space="preserve">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胡朝晖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55</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职工监事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2002.02.01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刘文康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53</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职工监事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786"/>
            <w:tcBorders>
              <w:start w:sz="2.4000000000000057"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司海红 </w:t>
            </w:r>
          </w:p>
        </w:tc>
        <w:tc>
          <w:tcPr>
            <w:tcW w:type="dxa" w:w="42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女 </w:t>
            </w:r>
          </w:p>
        </w:tc>
        <w:tc>
          <w:tcPr>
            <w:tcW w:type="dxa" w:w="42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46</w:t>
            </w: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职工监事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tcBorders>
              <w:start w:sz="2.4000000000000057" w:val="single" w:color="#000000"/>
              <w:top w:sz="1.599999999999909" w:val="single" w:color="#000000"/>
              <w:end w:sz="1.599999999999966" w:val="single" w:color="#000000"/>
              <w:bottom w:sz="2.400000000000091" w:val="single" w:color="#000000"/>
            </w:tcBorders>
            <w:tcMar>
              <w:start w:w="0" w:type="dxa"/>
              <w:end w:w="0" w:type="dxa"/>
            </w:tcMar>
          </w:tcPr>
          <w:p>
            <w:pPr>
              <w:autoSpaceDN w:val="0"/>
              <w:autoSpaceDE w:val="0"/>
              <w:widowControl/>
              <w:spacing w:line="180" w:lineRule="exact" w:before="88" w:after="0"/>
              <w:ind w:left="122" w:right="0" w:firstLine="0"/>
              <w:jc w:val="left"/>
            </w:pPr>
            <w:r>
              <w:rPr>
                <w:rFonts w:ascii="宋体" w:hAnsi="宋体" w:eastAsia="宋体"/>
                <w:b w:val="0"/>
                <w:i w:val="0"/>
                <w:color w:val="000000"/>
                <w:sz w:val="18"/>
              </w:rPr>
              <w:t xml:space="preserve">张红兵 </w:t>
            </w:r>
          </w:p>
        </w:tc>
        <w:tc>
          <w:tcPr>
            <w:tcW w:type="dxa" w:w="422"/>
            <w:tcBorders>
              <w:start w:sz="1.599999999999966"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8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599999999999909" w:val="single" w:color="#000000"/>
              <w:end w:sz="1.6000000000000227"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43</w:t>
            </w:r>
          </w:p>
        </w:tc>
        <w:tc>
          <w:tcPr>
            <w:tcW w:type="dxa" w:w="1942"/>
            <w:tcBorders>
              <w:start w:sz="1.6000000000000227"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职工监事 </w:t>
            </w:r>
          </w:p>
        </w:tc>
        <w:tc>
          <w:tcPr>
            <w:tcW w:type="dxa" w:w="612"/>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2.400000000000091" w:val="single" w:color="#000000"/>
              <w:end w:sz="1.599999999999966"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606" w:after="0"/>
              <w:ind w:left="122" w:right="0" w:firstLine="0"/>
              <w:jc w:val="left"/>
            </w:pPr>
            <w:r>
              <w:rPr>
                <w:rFonts w:ascii="宋体" w:hAnsi="宋体" w:eastAsia="宋体"/>
                <w:b w:val="0"/>
                <w:i w:val="0"/>
                <w:color w:val="000000"/>
                <w:sz w:val="18"/>
              </w:rPr>
              <w:t xml:space="preserve">汤建雄 </w:t>
            </w:r>
          </w:p>
        </w:tc>
        <w:tc>
          <w:tcPr>
            <w:tcW w:type="dxa" w:w="422"/>
            <w:vMerge w:val="restart"/>
            <w:tcBorders>
              <w:start w:sz="1.599999999999966" w:val="single" w:color="#000000"/>
              <w:top w:sz="2.400000000000091" w:val="single" w:color="#000000"/>
              <w:end w:sz="2.3999999999999773"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606"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2.400000000000091" w:val="single" w:color="#000000"/>
              <w:end w:sz="1.6000000000000227"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600" w:after="0"/>
              <w:ind w:left="0" w:right="0" w:firstLine="0"/>
              <w:jc w:val="center"/>
            </w:pPr>
            <w:r>
              <w:rPr>
                <w:rFonts w:ascii="Times New Roman" w:hAnsi="Times New Roman" w:eastAsia="Times New Roman"/>
                <w:b w:val="0"/>
                <w:i w:val="0"/>
                <w:color w:val="000000"/>
                <w:sz w:val="18"/>
              </w:rPr>
              <w:t>56</w:t>
            </w:r>
          </w:p>
        </w:tc>
        <w:tc>
          <w:tcPr>
            <w:tcW w:type="dxa" w:w="1942"/>
            <w:tcBorders>
              <w:start w:sz="1.6000000000000227" w:val="single" w:color="#000000"/>
              <w:top w:sz="2.400000000000091"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副总经理 </w:t>
            </w:r>
          </w:p>
        </w:tc>
        <w:tc>
          <w:tcPr>
            <w:tcW w:type="dxa" w:w="612"/>
            <w:tcBorders>
              <w:start w:sz="1.6000000000001364"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2011.08.07</w:t>
            </w:r>
          </w:p>
        </w:tc>
        <w:tc>
          <w:tcPr>
            <w:tcW w:type="dxa" w:w="71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849"/>
            <w:vMerge/>
            <w:tcBorders>
              <w:start w:sz="2.4000000000000057" w:val="single" w:color="#000000"/>
              <w:top w:sz="2.400000000000091" w:val="single" w:color="#000000"/>
              <w:end w:sz="1.599999999999966" w:val="single" w:color="#000000"/>
              <w:bottom w:sz="2.400000000000091" w:val="single" w:color="#000000"/>
            </w:tcBorders>
          </w:tcPr>
          <w:p/>
        </w:tc>
        <w:tc>
          <w:tcPr>
            <w:tcW w:type="dxa" w:w="849"/>
            <w:vMerge/>
            <w:tcBorders>
              <w:start w:sz="1.599999999999966" w:val="single" w:color="#000000"/>
              <w:top w:sz="2.400000000000091" w:val="single" w:color="#000000"/>
              <w:end w:sz="2.3999999999999773" w:val="single" w:color="#000000"/>
              <w:bottom w:sz="2.400000000000091" w:val="single" w:color="#000000"/>
            </w:tcBorders>
          </w:tcPr>
          <w:p/>
        </w:tc>
        <w:tc>
          <w:tcPr>
            <w:tcW w:type="dxa" w:w="849"/>
            <w:vMerge/>
            <w:tcBorders>
              <w:start w:sz="2.3999999999999773" w:val="single" w:color="#000000"/>
              <w:top w:sz="2.400000000000091" w:val="single" w:color="#000000"/>
              <w:end w:sz="1.6000000000000227" w:val="single" w:color="#000000"/>
              <w:bottom w:sz="2.400000000000091" w:val="single" w:color="#000000"/>
            </w:tcBorders>
          </w:tcPr>
          <w:p/>
        </w:tc>
        <w:tc>
          <w:tcPr>
            <w:tcW w:type="dxa" w:w="1942"/>
            <w:tcBorders>
              <w:start w:sz="1.6000000000000227"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6" w:after="0"/>
              <w:ind w:left="0" w:right="428" w:firstLine="0"/>
              <w:jc w:val="right"/>
            </w:pPr>
            <w:r>
              <w:rPr>
                <w:rFonts w:ascii="宋体" w:hAnsi="宋体" w:eastAsia="宋体"/>
                <w:b w:val="0"/>
                <w:i w:val="0"/>
                <w:color w:val="000000"/>
                <w:sz w:val="18"/>
              </w:rPr>
              <w:t xml:space="preserve">财务负责人 </w:t>
            </w:r>
          </w:p>
        </w:tc>
        <w:tc>
          <w:tcPr>
            <w:tcW w:type="dxa" w:w="61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2018.01.15</w:t>
            </w:r>
          </w:p>
        </w:tc>
        <w:tc>
          <w:tcPr>
            <w:tcW w:type="dxa" w:w="71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849"/>
            <w:vMerge/>
            <w:tcBorders>
              <w:start w:sz="2.4000000000000057" w:val="single" w:color="#000000"/>
              <w:top w:sz="2.400000000000091" w:val="single" w:color="#000000"/>
              <w:end w:sz="1.599999999999966" w:val="single" w:color="#000000"/>
              <w:bottom w:sz="2.400000000000091" w:val="single" w:color="#000000"/>
            </w:tcBorders>
          </w:tcPr>
          <w:p/>
        </w:tc>
        <w:tc>
          <w:tcPr>
            <w:tcW w:type="dxa" w:w="849"/>
            <w:vMerge/>
            <w:tcBorders>
              <w:start w:sz="1.599999999999966" w:val="single" w:color="#000000"/>
              <w:top w:sz="2.400000000000091" w:val="single" w:color="#000000"/>
              <w:end w:sz="2.3999999999999773" w:val="single" w:color="#000000"/>
              <w:bottom w:sz="2.400000000000091" w:val="single" w:color="#000000"/>
            </w:tcBorders>
          </w:tcPr>
          <w:p/>
        </w:tc>
        <w:tc>
          <w:tcPr>
            <w:tcW w:type="dxa" w:w="849"/>
            <w:vMerge/>
            <w:tcBorders>
              <w:start w:sz="2.3999999999999773" w:val="single" w:color="#000000"/>
              <w:top w:sz="2.400000000000091" w:val="single" w:color="#000000"/>
              <w:end w:sz="1.6000000000000227" w:val="single" w:color="#000000"/>
              <w:bottom w:sz="2.400000000000091" w:val="single" w:color="#000000"/>
            </w:tcBorders>
          </w:tcPr>
          <w:p/>
        </w:tc>
        <w:tc>
          <w:tcPr>
            <w:tcW w:type="dxa" w:w="1942"/>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2.400000000000091" w:val="single" w:color="#000000"/>
              <w:end w:sz="1.599999999999966" w:val="single" w:color="#000000"/>
              <w:bottom w:sz="2.400000000000091" w:val="single" w:color="#000000"/>
            </w:tcBorders>
          </w:tcPr>
          <w:p/>
        </w:tc>
        <w:tc>
          <w:tcPr>
            <w:tcW w:type="dxa" w:w="849"/>
            <w:vMerge/>
            <w:tcBorders>
              <w:start w:sz="1.599999999999966" w:val="single" w:color="#000000"/>
              <w:top w:sz="2.400000000000091" w:val="single" w:color="#000000"/>
              <w:end w:sz="2.3999999999999773" w:val="single" w:color="#000000"/>
              <w:bottom w:sz="2.400000000000091" w:val="single" w:color="#000000"/>
            </w:tcBorders>
          </w:tcPr>
          <w:p/>
        </w:tc>
        <w:tc>
          <w:tcPr>
            <w:tcW w:type="dxa" w:w="849"/>
            <w:vMerge/>
            <w:tcBorders>
              <w:start w:sz="2.3999999999999773" w:val="single" w:color="#000000"/>
              <w:top w:sz="2.400000000000091" w:val="single" w:color="#000000"/>
              <w:end w:sz="1.6000000000000227" w:val="single" w:color="#000000"/>
              <w:bottom w:sz="2.400000000000091" w:val="single" w:color="#000000"/>
            </w:tcBorders>
          </w:tcPr>
          <w:p/>
        </w:tc>
        <w:tc>
          <w:tcPr>
            <w:tcW w:type="dxa" w:w="1942"/>
            <w:tcBorders>
              <w:start w:sz="1.6000000000000227"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首席风险官</w:t>
            </w:r>
          </w:p>
        </w:tc>
        <w:tc>
          <w:tcPr>
            <w:tcW w:type="dxa" w:w="612"/>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2025.04.24 </w:t>
            </w:r>
          </w:p>
        </w:tc>
        <w:tc>
          <w:tcPr>
            <w:tcW w:type="dxa" w:w="7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至今</w:t>
            </w:r>
          </w:p>
        </w:tc>
        <w:tc>
          <w:tcPr>
            <w:tcW w:type="dxa" w:w="85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2.400000000000091" w:val="single" w:color="#000000"/>
              <w:end w:sz="1.599999999999966"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432" w:after="0"/>
              <w:ind w:left="122" w:right="0" w:firstLine="0"/>
              <w:jc w:val="left"/>
            </w:pPr>
            <w:r>
              <w:rPr>
                <w:rFonts w:ascii="宋体" w:hAnsi="宋体" w:eastAsia="宋体"/>
                <w:b w:val="0"/>
                <w:i w:val="0"/>
                <w:color w:val="000000"/>
                <w:sz w:val="18"/>
              </w:rPr>
              <w:t xml:space="preserve">高晓峰 </w:t>
            </w:r>
          </w:p>
        </w:tc>
        <w:tc>
          <w:tcPr>
            <w:tcW w:type="dxa" w:w="422"/>
            <w:vMerge w:val="restart"/>
            <w:tcBorders>
              <w:start w:sz="1.599999999999966" w:val="single" w:color="#000000"/>
              <w:top w:sz="2.400000000000091" w:val="single" w:color="#000000"/>
              <w:end w:sz="2.3999999999999773"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432"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2.400000000000091" w:val="single" w:color="#000000"/>
              <w:end w:sz="1.6000000000000227"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428" w:after="0"/>
              <w:ind w:left="0" w:right="0" w:firstLine="0"/>
              <w:jc w:val="center"/>
            </w:pPr>
            <w:r>
              <w:rPr>
                <w:rFonts w:ascii="Times New Roman" w:hAnsi="Times New Roman" w:eastAsia="Times New Roman"/>
                <w:b w:val="0"/>
                <w:i w:val="0"/>
                <w:color w:val="000000"/>
                <w:sz w:val="18"/>
              </w:rPr>
              <w:t>49</w:t>
            </w:r>
          </w:p>
        </w:tc>
        <w:tc>
          <w:tcPr>
            <w:tcW w:type="dxa" w:w="1942"/>
            <w:tcBorders>
              <w:start w:sz="1.6000000000000227" w:val="single" w:color="#000000"/>
              <w:top w:sz="2.400000000000091"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副总经理 </w:t>
            </w:r>
          </w:p>
        </w:tc>
        <w:tc>
          <w:tcPr>
            <w:tcW w:type="dxa" w:w="612"/>
            <w:tcBorders>
              <w:start w:sz="1.6000000000001364"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2017.06.07</w:t>
            </w:r>
          </w:p>
        </w:tc>
        <w:tc>
          <w:tcPr>
            <w:tcW w:type="dxa" w:w="71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849"/>
            <w:vMerge/>
            <w:tcBorders>
              <w:start w:sz="2.4000000000000057" w:val="single" w:color="#000000"/>
              <w:top w:sz="2.400000000000091" w:val="single" w:color="#000000"/>
              <w:end w:sz="1.599999999999966" w:val="single" w:color="#000000"/>
              <w:bottom w:sz="1.5999999999994543" w:val="single" w:color="#000000"/>
            </w:tcBorders>
          </w:tcPr>
          <w:p/>
        </w:tc>
        <w:tc>
          <w:tcPr>
            <w:tcW w:type="dxa" w:w="849"/>
            <w:vMerge/>
            <w:tcBorders>
              <w:start w:sz="1.599999999999966" w:val="single" w:color="#000000"/>
              <w:top w:sz="2.400000000000091" w:val="single" w:color="#000000"/>
              <w:end w:sz="2.3999999999999773" w:val="single" w:color="#000000"/>
              <w:bottom w:sz="1.5999999999994543" w:val="single" w:color="#000000"/>
            </w:tcBorders>
          </w:tcPr>
          <w:p/>
        </w:tc>
        <w:tc>
          <w:tcPr>
            <w:tcW w:type="dxa" w:w="849"/>
            <w:vMerge/>
            <w:tcBorders>
              <w:start w:sz="2.3999999999999773" w:val="single" w:color="#000000"/>
              <w:top w:sz="2.400000000000091" w:val="single" w:color="#000000"/>
              <w:end w:sz="1.6000000000000227" w:val="single" w:color="#000000"/>
              <w:bottom w:sz="1.5999999999994543" w:val="single" w:color="#000000"/>
            </w:tcBorders>
          </w:tcPr>
          <w:p/>
        </w:tc>
        <w:tc>
          <w:tcPr>
            <w:tcW w:type="dxa" w:w="1942"/>
            <w:tcBorders>
              <w:start w:sz="1.6000000000000227" w:val="single" w:color="#000000"/>
              <w:top w:sz="2.400000000000091"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6" w:after="0"/>
              <w:ind w:left="0" w:right="518" w:firstLine="0"/>
              <w:jc w:val="right"/>
            </w:pPr>
            <w:r>
              <w:rPr>
                <w:rFonts w:ascii="宋体" w:hAnsi="宋体" w:eastAsia="宋体"/>
                <w:b w:val="0"/>
                <w:i w:val="0"/>
                <w:color w:val="000000"/>
                <w:sz w:val="18"/>
              </w:rPr>
              <w:t xml:space="preserve">合规总监 </w:t>
            </w:r>
          </w:p>
        </w:tc>
        <w:tc>
          <w:tcPr>
            <w:tcW w:type="dxa" w:w="612"/>
            <w:tcBorders>
              <w:start w:sz="1.6000000000001364"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6"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2017.06.27</w:t>
            </w:r>
          </w:p>
        </w:tc>
        <w:tc>
          <w:tcPr>
            <w:tcW w:type="dxa" w:w="710"/>
            <w:tcBorders>
              <w:start w:sz="1.599999999999909"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6"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091" w:val="single" w:color="#000000"/>
              <w:end w:sz="2.399999999999636" w:val="single" w:color="#000000"/>
              <w:bottom w:sz="1.6000000000003638"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6"/>
        </w:trPr>
        <w:tc>
          <w:tcPr>
            <w:tcW w:type="dxa" w:w="849"/>
            <w:vMerge/>
            <w:tcBorders>
              <w:start w:sz="2.4000000000000057" w:val="single" w:color="#000000"/>
              <w:top w:sz="2.400000000000091" w:val="single" w:color="#000000"/>
              <w:end w:sz="1.599999999999966" w:val="single" w:color="#000000"/>
              <w:bottom w:sz="1.5999999999994543" w:val="single" w:color="#000000"/>
            </w:tcBorders>
          </w:tcPr>
          <w:p/>
        </w:tc>
        <w:tc>
          <w:tcPr>
            <w:tcW w:type="dxa" w:w="849"/>
            <w:vMerge/>
            <w:tcBorders>
              <w:start w:sz="1.599999999999966" w:val="single" w:color="#000000"/>
              <w:top w:sz="2.400000000000091" w:val="single" w:color="#000000"/>
              <w:end w:sz="2.3999999999999773" w:val="single" w:color="#000000"/>
              <w:bottom w:sz="1.5999999999994543" w:val="single" w:color="#000000"/>
            </w:tcBorders>
          </w:tcPr>
          <w:p/>
        </w:tc>
        <w:tc>
          <w:tcPr>
            <w:tcW w:type="dxa" w:w="849"/>
            <w:vMerge/>
            <w:tcBorders>
              <w:start w:sz="2.3999999999999773" w:val="single" w:color="#000000"/>
              <w:top w:sz="2.400000000000091" w:val="single" w:color="#000000"/>
              <w:end w:sz="1.6000000000000227" w:val="single" w:color="#000000"/>
              <w:bottom w:sz="1.5999999999994543" w:val="single" w:color="#000000"/>
            </w:tcBorders>
          </w:tcPr>
          <w:p/>
        </w:tc>
        <w:tc>
          <w:tcPr>
            <w:tcW w:type="dxa" w:w="1942"/>
            <w:tcBorders>
              <w:start w:sz="1.6000000000000227"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8"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1.5999999999994543" w:val="single" w:color="#000000"/>
              <w:end w:sz="1.599999999999966"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258" w:after="0"/>
              <w:ind w:left="122" w:right="0" w:firstLine="0"/>
              <w:jc w:val="left"/>
            </w:pPr>
            <w:r>
              <w:rPr>
                <w:rFonts w:ascii="宋体" w:hAnsi="宋体" w:eastAsia="宋体"/>
                <w:b w:val="0"/>
                <w:i w:val="0"/>
                <w:color w:val="000000"/>
                <w:sz w:val="18"/>
              </w:rPr>
              <w:t xml:space="preserve">韩丽萍 </w:t>
            </w:r>
          </w:p>
        </w:tc>
        <w:tc>
          <w:tcPr>
            <w:tcW w:type="dxa" w:w="422"/>
            <w:vMerge w:val="restart"/>
            <w:tcBorders>
              <w:start w:sz="1.599999999999966" w:val="single" w:color="#000000"/>
              <w:top w:sz="1.5999999999994543" w:val="single" w:color="#000000"/>
              <w:end w:sz="2.3999999999999773"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258" w:after="0"/>
              <w:ind w:left="0" w:right="30" w:firstLine="0"/>
              <w:jc w:val="right"/>
            </w:pPr>
            <w:r>
              <w:rPr>
                <w:rFonts w:ascii="宋体" w:hAnsi="宋体" w:eastAsia="宋体"/>
                <w:b w:val="0"/>
                <w:i w:val="0"/>
                <w:color w:val="000000"/>
                <w:sz w:val="18"/>
              </w:rPr>
              <w:t xml:space="preserve">女 </w:t>
            </w:r>
          </w:p>
        </w:tc>
        <w:tc>
          <w:tcPr>
            <w:tcW w:type="dxa" w:w="426"/>
            <w:vMerge w:val="restart"/>
            <w:tcBorders>
              <w:start w:sz="2.3999999999999773" w:val="single" w:color="#000000"/>
              <w:top w:sz="1.5999999999994543" w:val="single" w:color="#000000"/>
              <w:end w:sz="1.6000000000000227"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254" w:after="0"/>
              <w:ind w:left="0" w:right="0" w:firstLine="0"/>
              <w:jc w:val="center"/>
            </w:pPr>
            <w:r>
              <w:rPr>
                <w:rFonts w:ascii="Times New Roman" w:hAnsi="Times New Roman" w:eastAsia="Times New Roman"/>
                <w:b w:val="0"/>
                <w:i w:val="0"/>
                <w:color w:val="000000"/>
                <w:sz w:val="18"/>
              </w:rPr>
              <w:t>50</w:t>
            </w:r>
          </w:p>
        </w:tc>
        <w:tc>
          <w:tcPr>
            <w:tcW w:type="dxa" w:w="1942"/>
            <w:tcBorders>
              <w:start w:sz="1.6000000000000227"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8"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2020.12.11 </w:t>
            </w:r>
          </w:p>
        </w:tc>
        <w:tc>
          <w:tcPr>
            <w:tcW w:type="dxa" w:w="71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至今</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r>
      <w:tr>
        <w:trPr>
          <w:trHeight w:hRule="exact" w:val="344"/>
        </w:trPr>
        <w:tc>
          <w:tcPr>
            <w:tcW w:type="dxa" w:w="849"/>
            <w:vMerge/>
            <w:tcBorders>
              <w:start w:sz="2.4000000000000057" w:val="single" w:color="#000000"/>
              <w:top w:sz="1.5999999999994543" w:val="single" w:color="#000000"/>
              <w:end w:sz="1.599999999999966" w:val="single" w:color="#000000"/>
              <w:bottom w:sz="2.399999999999636" w:val="single" w:color="#000000"/>
            </w:tcBorders>
          </w:tcPr>
          <w:p/>
        </w:tc>
        <w:tc>
          <w:tcPr>
            <w:tcW w:type="dxa" w:w="849"/>
            <w:vMerge/>
            <w:tcBorders>
              <w:start w:sz="1.599999999999966" w:val="single" w:color="#000000"/>
              <w:top w:sz="1.5999999999994543" w:val="single" w:color="#000000"/>
              <w:end w:sz="2.3999999999999773" w:val="single" w:color="#000000"/>
              <w:bottom w:sz="2.399999999999636" w:val="single" w:color="#000000"/>
            </w:tcBorders>
          </w:tcPr>
          <w:p/>
        </w:tc>
        <w:tc>
          <w:tcPr>
            <w:tcW w:type="dxa" w:w="849"/>
            <w:vMerge/>
            <w:tcBorders>
              <w:start w:sz="2.3999999999999773" w:val="single" w:color="#000000"/>
              <w:top w:sz="1.5999999999994543" w:val="single" w:color="#000000"/>
              <w:end w:sz="1.6000000000000227" w:val="single" w:color="#000000"/>
              <w:bottom w:sz="2.399999999999636" w:val="single" w:color="#000000"/>
            </w:tcBorders>
          </w:tcPr>
          <w:p/>
        </w:tc>
        <w:tc>
          <w:tcPr>
            <w:tcW w:type="dxa" w:w="1942"/>
            <w:tcBorders>
              <w:start w:sz="1.6000000000000227"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88" w:after="0"/>
              <w:ind w:left="0" w:right="518" w:firstLine="0"/>
              <w:jc w:val="right"/>
            </w:pPr>
            <w:r>
              <w:rPr>
                <w:rFonts w:ascii="宋体" w:hAnsi="宋体" w:eastAsia="宋体"/>
                <w:b w:val="0"/>
                <w:i w:val="0"/>
                <w:color w:val="000000"/>
                <w:sz w:val="18"/>
              </w:rPr>
              <w:t xml:space="preserve">副总经理 </w:t>
            </w:r>
          </w:p>
        </w:tc>
        <w:tc>
          <w:tcPr>
            <w:tcW w:type="dxa" w:w="612"/>
            <w:tcBorders>
              <w:start w:sz="1.6000000000001364"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2022.08.25 </w:t>
            </w:r>
          </w:p>
        </w:tc>
        <w:tc>
          <w:tcPr>
            <w:tcW w:type="dxa" w:w="71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至今</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 </w:t>
            </w:r>
          </w:p>
        </w:tc>
      </w:tr>
      <w:tr>
        <w:trPr>
          <w:trHeight w:hRule="exact" w:val="348"/>
        </w:trPr>
        <w:tc>
          <w:tcPr>
            <w:tcW w:type="dxa" w:w="786"/>
            <w:vMerge w:val="restart"/>
            <w:tcBorders>
              <w:start w:sz="2.4000000000000057" w:val="single" w:color="#000000"/>
              <w:top w:sz="2.399999999999636" w:val="single" w:color="#000000"/>
              <w:end w:sz="1.599999999999966" w:val="single" w:color="#000000"/>
              <w:bottom w:sz="1.5999999999994543" w:val="single" w:color="#000000"/>
            </w:tcBorders>
            <w:tcMar>
              <w:start w:w="0" w:type="dxa"/>
              <w:end w:w="0" w:type="dxa"/>
            </w:tcMar>
            <w:tcMar>
              <w:start w:w="0" w:type="dxa"/>
              <w:end w:w="0" w:type="dxa"/>
            </w:tcMar>
          </w:tcPr>
          <w:p>
            <w:pPr>
              <w:autoSpaceDN w:val="0"/>
              <w:autoSpaceDE w:val="0"/>
              <w:widowControl/>
              <w:spacing w:line="180" w:lineRule="exact" w:before="260" w:after="0"/>
              <w:ind w:left="122" w:right="0" w:firstLine="0"/>
              <w:jc w:val="left"/>
            </w:pPr>
            <w:r>
              <w:rPr>
                <w:rFonts w:ascii="宋体" w:hAnsi="宋体" w:eastAsia="宋体"/>
                <w:b w:val="0"/>
                <w:i w:val="0"/>
                <w:color w:val="000000"/>
                <w:sz w:val="18"/>
              </w:rPr>
              <w:t xml:space="preserve">谢  卫 </w:t>
            </w:r>
          </w:p>
        </w:tc>
        <w:tc>
          <w:tcPr>
            <w:tcW w:type="dxa" w:w="422"/>
            <w:vMerge w:val="restart"/>
            <w:tcBorders>
              <w:start w:sz="1.599999999999966" w:val="single" w:color="#000000"/>
              <w:top w:sz="2.399999999999636" w:val="single" w:color="#000000"/>
              <w:end w:sz="2.3999999999999773" w:val="single" w:color="#000000"/>
              <w:bottom w:sz="1.5999999999994543" w:val="single" w:color="#000000"/>
            </w:tcBorders>
            <w:tcMar>
              <w:start w:w="0" w:type="dxa"/>
              <w:end w:w="0" w:type="dxa"/>
            </w:tcMar>
            <w:tcMar>
              <w:start w:w="0" w:type="dxa"/>
              <w:end w:w="0" w:type="dxa"/>
            </w:tcMar>
          </w:tcPr>
          <w:p>
            <w:pPr>
              <w:autoSpaceDN w:val="0"/>
              <w:autoSpaceDE w:val="0"/>
              <w:widowControl/>
              <w:spacing w:line="180" w:lineRule="exact" w:before="260"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2.399999999999636" w:val="single" w:color="#000000"/>
              <w:end w:sz="1.6000000000000227" w:val="single" w:color="#000000"/>
              <w:bottom w:sz="1.5999999999994543" w:val="single" w:color="#000000"/>
            </w:tcBorders>
            <w:tcMar>
              <w:start w:w="0" w:type="dxa"/>
              <w:end w:w="0" w:type="dxa"/>
            </w:tcMar>
            <w:tcMar>
              <w:start w:w="0" w:type="dxa"/>
              <w:end w:w="0" w:type="dxa"/>
            </w:tcMar>
          </w:tcPr>
          <w:p>
            <w:pPr>
              <w:autoSpaceDN w:val="0"/>
              <w:autoSpaceDE w:val="0"/>
              <w:widowControl/>
              <w:spacing w:line="233" w:lineRule="auto" w:before="254" w:after="0"/>
              <w:ind w:left="0" w:right="0" w:firstLine="0"/>
              <w:jc w:val="center"/>
            </w:pPr>
            <w:r>
              <w:rPr>
                <w:rFonts w:ascii="Times New Roman" w:hAnsi="Times New Roman" w:eastAsia="Times New Roman"/>
                <w:b w:val="0"/>
                <w:i w:val="0"/>
                <w:color w:val="000000"/>
                <w:sz w:val="18"/>
              </w:rPr>
              <w:t>52</w:t>
            </w:r>
          </w:p>
        </w:tc>
        <w:tc>
          <w:tcPr>
            <w:tcW w:type="dxa" w:w="1942"/>
            <w:tcBorders>
              <w:start w:sz="1.6000000000000227" w:val="single" w:color="#000000"/>
              <w:top w:sz="2.399999999999636"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88"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24" w:right="0" w:firstLine="0"/>
              <w:jc w:val="left"/>
            </w:pPr>
            <w:r>
              <w:rPr>
                <w:rFonts w:ascii="宋体" w:hAnsi="宋体" w:eastAsia="宋体"/>
                <w:b w:val="0"/>
                <w:i w:val="0"/>
                <w:color w:val="000000"/>
                <w:sz w:val="18"/>
              </w:rPr>
              <w:t xml:space="preserve">现任 </w:t>
            </w:r>
          </w:p>
        </w:tc>
        <w:tc>
          <w:tcPr>
            <w:tcW w:type="dxa" w:w="109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399999999999636" w:val="single" w:color="#000000"/>
              <w:end w:sz="2.399999999999636" w:val="single" w:color="#000000"/>
              <w:bottom w:sz="2.4000000000005457" w:val="single" w:color="#000000"/>
            </w:tcBorders>
            <w:tcMar>
              <w:start w:w="0" w:type="dxa"/>
              <w:end w:w="0" w:type="dxa"/>
            </w:tcMar>
          </w:tcPr>
          <w:p>
            <w:pPr>
              <w:autoSpaceDN w:val="0"/>
              <w:autoSpaceDE w:val="0"/>
              <w:widowControl/>
              <w:spacing w:line="230"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2.399999999999636" w:val="single" w:color="#000000"/>
              <w:end w:sz="1.599999999999966" w:val="single" w:color="#000000"/>
              <w:bottom w:sz="1.5999999999994543" w:val="single" w:color="#000000"/>
            </w:tcBorders>
          </w:tcPr>
          <w:p/>
        </w:tc>
        <w:tc>
          <w:tcPr>
            <w:tcW w:type="dxa" w:w="849"/>
            <w:vMerge/>
            <w:tcBorders>
              <w:start w:sz="1.599999999999966" w:val="single" w:color="#000000"/>
              <w:top w:sz="2.399999999999636" w:val="single" w:color="#000000"/>
              <w:end w:sz="2.3999999999999773" w:val="single" w:color="#000000"/>
              <w:bottom w:sz="1.5999999999994543" w:val="single" w:color="#000000"/>
            </w:tcBorders>
          </w:tcPr>
          <w:p/>
        </w:tc>
        <w:tc>
          <w:tcPr>
            <w:tcW w:type="dxa" w:w="849"/>
            <w:vMerge/>
            <w:tcBorders>
              <w:start w:sz="2.3999999999999773" w:val="single" w:color="#000000"/>
              <w:top w:sz="2.399999999999636" w:val="single" w:color="#000000"/>
              <w:end w:sz="1.6000000000000227" w:val="single" w:color="#000000"/>
              <w:bottom w:sz="1.5999999999994543" w:val="single" w:color="#000000"/>
            </w:tcBorders>
          </w:tcPr>
          <w:p/>
        </w:tc>
        <w:tc>
          <w:tcPr>
            <w:tcW w:type="dxa" w:w="1942"/>
            <w:tcBorders>
              <w:start w:sz="1.6000000000000227" w:val="single" w:color="#000000"/>
              <w:top w:sz="2.4000000000005457"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副总经理</w:t>
            </w:r>
          </w:p>
        </w:tc>
        <w:tc>
          <w:tcPr>
            <w:tcW w:type="dxa" w:w="612"/>
            <w:tcBorders>
              <w:start w:sz="1.6000000000001364"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2024.09.18 </w:t>
            </w:r>
          </w:p>
        </w:tc>
        <w:tc>
          <w:tcPr>
            <w:tcW w:type="dxa" w:w="71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786"/>
            <w:vMerge w:val="restart"/>
            <w:tcBorders>
              <w:start w:sz="2.4000000000000057" w:val="single" w:color="#000000"/>
              <w:top w:sz="1.5999999999994543" w:val="single" w:color="#000000"/>
              <w:end w:sz="1.599999999999966"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赵</w:t>
            </w:r>
            <w:r>
              <w:rPr>
                <w:rFonts w:ascii="宋体" w:hAnsi="宋体" w:eastAsia="宋体"/>
                <w:b w:val="0"/>
                <w:i w:val="0"/>
                <w:color w:val="000000"/>
                <w:sz w:val="18"/>
              </w:rPr>
              <w:t>雪</w:t>
            </w:r>
          </w:p>
        </w:tc>
        <w:tc>
          <w:tcPr>
            <w:tcW w:type="dxa" w:w="422"/>
            <w:vMerge w:val="restart"/>
            <w:tcBorders>
              <w:start w:sz="1.599999999999966" w:val="single" w:color="#000000"/>
              <w:top w:sz="1.5999999999994543" w:val="single" w:color="#000000"/>
              <w:end w:sz="2.3999999999999773"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男</w:t>
            </w:r>
          </w:p>
        </w:tc>
        <w:tc>
          <w:tcPr>
            <w:tcW w:type="dxa" w:w="426"/>
            <w:vMerge w:val="restart"/>
            <w:tcBorders>
              <w:start w:sz="2.3999999999999773" w:val="single" w:color="#000000"/>
              <w:top w:sz="1.5999999999994543" w:val="single" w:color="#000000"/>
              <w:end w:sz="1.6000000000000227"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254" w:after="0"/>
              <w:ind w:left="0" w:right="0" w:firstLine="0"/>
              <w:jc w:val="center"/>
            </w:pPr>
            <w:r>
              <w:rPr>
                <w:rFonts w:ascii="Times New Roman" w:hAnsi="Times New Roman" w:eastAsia="Times New Roman"/>
                <w:b w:val="0"/>
                <w:i w:val="0"/>
                <w:color w:val="000000"/>
                <w:sz w:val="18"/>
              </w:rPr>
              <w:t xml:space="preserve">40 </w:t>
            </w:r>
          </w:p>
        </w:tc>
        <w:tc>
          <w:tcPr>
            <w:tcW w:type="dxa" w:w="1942"/>
            <w:tcBorders>
              <w:start w:sz="1.6000000000000227"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副总经理</w:t>
            </w:r>
          </w:p>
        </w:tc>
        <w:tc>
          <w:tcPr>
            <w:tcW w:type="dxa" w:w="612"/>
            <w:tcBorders>
              <w:start w:sz="1.6000000000001364"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2024.09.18 </w:t>
            </w:r>
          </w:p>
        </w:tc>
        <w:tc>
          <w:tcPr>
            <w:tcW w:type="dxa" w:w="71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344"/>
        </w:trPr>
        <w:tc>
          <w:tcPr>
            <w:tcW w:type="dxa" w:w="849"/>
            <w:vMerge/>
            <w:tcBorders>
              <w:start w:sz="2.4000000000000057" w:val="single" w:color="#000000"/>
              <w:top w:sz="1.5999999999994543" w:val="single" w:color="#000000"/>
              <w:end w:sz="1.599999999999966" w:val="single" w:color="#000000"/>
              <w:bottom w:sz="2.399999999999636" w:val="single" w:color="#000000"/>
            </w:tcBorders>
          </w:tcPr>
          <w:p/>
        </w:tc>
        <w:tc>
          <w:tcPr>
            <w:tcW w:type="dxa" w:w="849"/>
            <w:vMerge/>
            <w:tcBorders>
              <w:start w:sz="1.599999999999966" w:val="single" w:color="#000000"/>
              <w:top w:sz="1.5999999999994543" w:val="single" w:color="#000000"/>
              <w:end w:sz="2.3999999999999773" w:val="single" w:color="#000000"/>
              <w:bottom w:sz="2.399999999999636" w:val="single" w:color="#000000"/>
            </w:tcBorders>
          </w:tcPr>
          <w:p/>
        </w:tc>
        <w:tc>
          <w:tcPr>
            <w:tcW w:type="dxa" w:w="849"/>
            <w:vMerge/>
            <w:tcBorders>
              <w:start w:sz="2.3999999999999773" w:val="single" w:color="#000000"/>
              <w:top w:sz="1.5999999999994543" w:val="single" w:color="#000000"/>
              <w:end w:sz="1.6000000000000227" w:val="single" w:color="#000000"/>
              <w:bottom w:sz="2.399999999999636" w:val="single" w:color="#000000"/>
            </w:tcBorders>
          </w:tcPr>
          <w:p/>
        </w:tc>
        <w:tc>
          <w:tcPr>
            <w:tcW w:type="dxa" w:w="1942"/>
            <w:tcBorders>
              <w:start w:sz="1.6000000000000227"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执行委员会委员</w:t>
            </w:r>
          </w:p>
        </w:tc>
        <w:tc>
          <w:tcPr>
            <w:tcW w:type="dxa" w:w="612"/>
            <w:tcBorders>
              <w:start w:sz="1.6000000000001364"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 xml:space="preserve">2024.09.18 </w:t>
            </w:r>
          </w:p>
        </w:tc>
        <w:tc>
          <w:tcPr>
            <w:tcW w:type="dxa" w:w="71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172" w:right="0" w:firstLine="0"/>
              <w:jc w:val="left"/>
            </w:pPr>
            <w:r>
              <w:rPr>
                <w:rFonts w:ascii="宋体" w:hAnsi="宋体" w:eastAsia="宋体"/>
                <w:b w:val="0"/>
                <w:i w:val="0"/>
                <w:color w:val="000000"/>
                <w:sz w:val="18"/>
              </w:rPr>
              <w:t xml:space="preserve">至今 </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82" w:after="0"/>
              <w:ind w:left="0" w:right="0" w:firstLine="0"/>
              <w:jc w:val="center"/>
            </w:pPr>
            <w:r>
              <w:rPr>
                <w:rFonts w:ascii="Times New Roman" w:hAnsi="Times New Roman" w:eastAsia="Times New Roman"/>
                <w:b w:val="0"/>
                <w:i w:val="0"/>
                <w:color w:val="000000"/>
                <w:sz w:val="18"/>
              </w:rPr>
              <w:t>-</w:t>
            </w:r>
          </w:p>
        </w:tc>
      </w:tr>
      <w:tr>
        <w:trPr>
          <w:trHeight w:hRule="exact" w:val="486"/>
        </w:trPr>
        <w:tc>
          <w:tcPr>
            <w:tcW w:type="dxa" w:w="786"/>
            <w:vMerge w:val="restart"/>
            <w:tcBorders>
              <w:start w:sz="2.4000000000000057" w:val="single" w:color="#000000"/>
              <w:top w:sz="2.399999999999636" w:val="single" w:color="#000000"/>
              <w:end w:sz="1.599999999999966"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400" w:after="0"/>
              <w:ind w:left="122" w:right="0" w:firstLine="0"/>
              <w:jc w:val="left"/>
            </w:pPr>
            <w:r>
              <w:rPr>
                <w:rFonts w:ascii="宋体" w:hAnsi="宋体" w:eastAsia="宋体"/>
                <w:b w:val="0"/>
                <w:i w:val="0"/>
                <w:color w:val="000000"/>
                <w:sz w:val="18"/>
              </w:rPr>
              <w:t xml:space="preserve">闫晓华 </w:t>
            </w:r>
          </w:p>
        </w:tc>
        <w:tc>
          <w:tcPr>
            <w:tcW w:type="dxa" w:w="422"/>
            <w:vMerge w:val="restart"/>
            <w:tcBorders>
              <w:start w:sz="1.599999999999966" w:val="single" w:color="#000000"/>
              <w:top w:sz="2.399999999999636" w:val="single" w:color="#000000"/>
              <w:end w:sz="2.3999999999999773"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400" w:after="0"/>
              <w:ind w:left="0" w:right="30" w:firstLine="0"/>
              <w:jc w:val="right"/>
            </w:pPr>
            <w:r>
              <w:rPr>
                <w:rFonts w:ascii="宋体" w:hAnsi="宋体" w:eastAsia="宋体"/>
                <w:b w:val="0"/>
                <w:i w:val="0"/>
                <w:color w:val="000000"/>
                <w:sz w:val="18"/>
              </w:rPr>
              <w:t xml:space="preserve">女 </w:t>
            </w:r>
          </w:p>
        </w:tc>
        <w:tc>
          <w:tcPr>
            <w:tcW w:type="dxa" w:w="426"/>
            <w:vMerge w:val="restart"/>
            <w:tcBorders>
              <w:start w:sz="2.3999999999999773" w:val="single" w:color="#000000"/>
              <w:top w:sz="2.399999999999636" w:val="single" w:color="#000000"/>
              <w:end w:sz="1.6000000000000227"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394" w:after="0"/>
              <w:ind w:left="0" w:right="0" w:firstLine="0"/>
              <w:jc w:val="center"/>
            </w:pPr>
            <w:r>
              <w:rPr>
                <w:rFonts w:ascii="Times New Roman" w:hAnsi="Times New Roman" w:eastAsia="Times New Roman"/>
                <w:b w:val="0"/>
                <w:i w:val="0"/>
                <w:color w:val="000000"/>
                <w:sz w:val="18"/>
              </w:rPr>
              <w:t>53</w:t>
            </w:r>
          </w:p>
        </w:tc>
        <w:tc>
          <w:tcPr>
            <w:tcW w:type="dxa" w:w="1942"/>
            <w:tcBorders>
              <w:start w:sz="1.6000000000000227"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156" w:after="0"/>
              <w:ind w:left="338" w:right="0" w:firstLine="0"/>
              <w:jc w:val="left"/>
            </w:pPr>
            <w:r>
              <w:rPr>
                <w:rFonts w:ascii="宋体" w:hAnsi="宋体" w:eastAsia="宋体"/>
                <w:b w:val="0"/>
                <w:i w:val="0"/>
                <w:color w:val="000000"/>
                <w:sz w:val="18"/>
              </w:rPr>
              <w:t xml:space="preserve">执行委员会委员 </w:t>
            </w:r>
          </w:p>
        </w:tc>
        <w:tc>
          <w:tcPr>
            <w:tcW w:type="dxa" w:w="612"/>
            <w:tcBorders>
              <w:start w:sz="1.6000000000001364"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56" w:after="0"/>
              <w:ind w:left="124" w:right="0" w:firstLine="0"/>
              <w:jc w:val="left"/>
            </w:pPr>
            <w:r>
              <w:rPr>
                <w:rFonts w:ascii="宋体" w:hAnsi="宋体" w:eastAsia="宋体"/>
                <w:b w:val="0"/>
                <w:i w:val="0"/>
                <w:color w:val="000000"/>
                <w:sz w:val="18"/>
              </w:rPr>
              <w:t xml:space="preserve">离任 </w:t>
            </w:r>
          </w:p>
        </w:tc>
        <w:tc>
          <w:tcPr>
            <w:tcW w:type="dxa" w:w="109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2020.12.11</w:t>
            </w:r>
          </w:p>
        </w:tc>
        <w:tc>
          <w:tcPr>
            <w:tcW w:type="dxa" w:w="71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54" w:lineRule="auto" w:before="32" w:after="0"/>
              <w:ind w:left="144" w:right="144" w:firstLine="0"/>
              <w:jc w:val="center"/>
            </w:pPr>
            <w:r>
              <w:rPr>
                <w:rFonts w:ascii="Times New Roman" w:hAnsi="Times New Roman" w:eastAsia="Times New Roman"/>
                <w:b w:val="0"/>
                <w:i w:val="0"/>
                <w:color w:val="000000"/>
                <w:sz w:val="18"/>
              </w:rPr>
              <w:t xml:space="preserve">2025. </w:t>
            </w:r>
            <w:r>
              <w:rPr>
                <w:rFonts w:ascii="Times New Roman" w:hAnsi="Times New Roman" w:eastAsia="Times New Roman"/>
                <w:b w:val="0"/>
                <w:i w:val="0"/>
                <w:color w:val="000000"/>
                <w:sz w:val="18"/>
              </w:rPr>
              <w:t>04.24</w:t>
            </w:r>
          </w:p>
        </w:tc>
        <w:tc>
          <w:tcPr>
            <w:tcW w:type="dxa" w:w="85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0" w:lineRule="auto" w:before="152" w:after="0"/>
              <w:ind w:left="0" w:right="0" w:firstLine="0"/>
              <w:jc w:val="center"/>
            </w:pPr>
            <w:r>
              <w:rPr>
                <w:rFonts w:ascii="Times New Roman" w:hAnsi="Times New Roman" w:eastAsia="Times New Roman"/>
                <w:b w:val="0"/>
                <w:i w:val="0"/>
                <w:color w:val="000000"/>
                <w:sz w:val="18"/>
              </w:rPr>
              <w:t>-</w:t>
            </w:r>
          </w:p>
        </w:tc>
      </w:tr>
      <w:tr>
        <w:trPr>
          <w:trHeight w:hRule="exact" w:val="484"/>
        </w:trPr>
        <w:tc>
          <w:tcPr>
            <w:tcW w:type="dxa" w:w="849"/>
            <w:vMerge/>
            <w:tcBorders>
              <w:start w:sz="2.4000000000000057" w:val="single" w:color="#000000"/>
              <w:top w:sz="2.399999999999636" w:val="single" w:color="#000000"/>
              <w:end w:sz="1.599999999999966" w:val="single" w:color="#000000"/>
              <w:bottom w:sz="2.399999999999636" w:val="single" w:color="#000000"/>
            </w:tcBorders>
          </w:tcPr>
          <w:p/>
        </w:tc>
        <w:tc>
          <w:tcPr>
            <w:tcW w:type="dxa" w:w="849"/>
            <w:vMerge/>
            <w:tcBorders>
              <w:start w:sz="1.599999999999966" w:val="single" w:color="#000000"/>
              <w:top w:sz="2.399999999999636" w:val="single" w:color="#000000"/>
              <w:end w:sz="2.3999999999999773" w:val="single" w:color="#000000"/>
              <w:bottom w:sz="2.399999999999636" w:val="single" w:color="#000000"/>
            </w:tcBorders>
          </w:tcPr>
          <w:p/>
        </w:tc>
        <w:tc>
          <w:tcPr>
            <w:tcW w:type="dxa" w:w="849"/>
            <w:vMerge/>
            <w:tcBorders>
              <w:start w:sz="2.3999999999999773" w:val="single" w:color="#000000"/>
              <w:top w:sz="2.399999999999636" w:val="single" w:color="#000000"/>
              <w:end w:sz="1.6000000000000227" w:val="single" w:color="#000000"/>
              <w:bottom w:sz="2.399999999999636" w:val="single" w:color="#000000"/>
            </w:tcBorders>
          </w:tcPr>
          <w:p/>
        </w:tc>
        <w:tc>
          <w:tcPr>
            <w:tcW w:type="dxa" w:w="1942"/>
            <w:tcBorders>
              <w:start w:sz="1.6000000000000227"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158" w:after="0"/>
              <w:ind w:left="0" w:right="428" w:firstLine="0"/>
              <w:jc w:val="right"/>
            </w:pPr>
            <w:r>
              <w:rPr>
                <w:rFonts w:ascii="宋体" w:hAnsi="宋体" w:eastAsia="宋体"/>
                <w:b w:val="0"/>
                <w:i w:val="0"/>
                <w:color w:val="000000"/>
                <w:sz w:val="18"/>
              </w:rPr>
              <w:t xml:space="preserve">首席风险官 </w:t>
            </w:r>
          </w:p>
        </w:tc>
        <w:tc>
          <w:tcPr>
            <w:tcW w:type="dxa" w:w="612"/>
            <w:tcBorders>
              <w:start w:sz="1.6000000000001364"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58" w:after="0"/>
              <w:ind w:left="124" w:right="0" w:firstLine="0"/>
              <w:jc w:val="left"/>
            </w:pPr>
            <w:r>
              <w:rPr>
                <w:rFonts w:ascii="宋体" w:hAnsi="宋体" w:eastAsia="宋体"/>
                <w:b w:val="0"/>
                <w:i w:val="0"/>
                <w:color w:val="000000"/>
                <w:sz w:val="18"/>
              </w:rPr>
              <w:t xml:space="preserve">离任 </w:t>
            </w:r>
          </w:p>
        </w:tc>
        <w:tc>
          <w:tcPr>
            <w:tcW w:type="dxa" w:w="109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2021.08.17</w:t>
            </w:r>
          </w:p>
        </w:tc>
        <w:tc>
          <w:tcPr>
            <w:tcW w:type="dxa" w:w="71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54" w:lineRule="auto" w:before="32" w:after="0"/>
              <w:ind w:left="144" w:right="144" w:firstLine="0"/>
              <w:jc w:val="center"/>
            </w:pPr>
            <w:r>
              <w:rPr>
                <w:rFonts w:ascii="Times New Roman" w:hAnsi="Times New Roman" w:eastAsia="Times New Roman"/>
                <w:b w:val="0"/>
                <w:i w:val="0"/>
                <w:color w:val="000000"/>
                <w:sz w:val="18"/>
              </w:rPr>
              <w:t xml:space="preserve">2025. </w:t>
            </w:r>
            <w:r>
              <w:rPr>
                <w:rFonts w:ascii="Times New Roman" w:hAnsi="Times New Roman" w:eastAsia="Times New Roman"/>
                <w:b w:val="0"/>
                <w:i w:val="0"/>
                <w:color w:val="000000"/>
                <w:sz w:val="18"/>
              </w:rPr>
              <w:t>04.24</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r>
      <w:tr>
        <w:trPr>
          <w:trHeight w:hRule="exact" w:val="348"/>
        </w:trPr>
        <w:tc>
          <w:tcPr>
            <w:tcW w:type="dxa" w:w="786"/>
            <w:tcBorders>
              <w:start w:sz="2.4000000000000057" w:val="single" w:color="#000000"/>
              <w:top w:sz="2.399999999999636" w:val="single" w:color="#000000"/>
              <w:end w:sz="1.599999999999966" w:val="single" w:color="#000000"/>
              <w:bottom w:sz="2.4000000000005457" w:val="single" w:color="#000000"/>
            </w:tcBorders>
            <w:tcMar>
              <w:start w:w="0" w:type="dxa"/>
              <w:end w:w="0" w:type="dxa"/>
            </w:tcMar>
          </w:tcPr>
          <w:p>
            <w:pPr>
              <w:autoSpaceDN w:val="0"/>
              <w:autoSpaceDE w:val="0"/>
              <w:widowControl/>
              <w:spacing w:line="180" w:lineRule="exact" w:before="90" w:after="0"/>
              <w:ind w:left="122" w:right="0" w:firstLine="0"/>
              <w:jc w:val="left"/>
            </w:pPr>
            <w:r>
              <w:rPr>
                <w:rFonts w:ascii="宋体" w:hAnsi="宋体" w:eastAsia="宋体"/>
                <w:b w:val="0"/>
                <w:i w:val="0"/>
                <w:color w:val="000000"/>
                <w:sz w:val="18"/>
              </w:rPr>
              <w:t xml:space="preserve">刘  军 </w:t>
            </w:r>
          </w:p>
        </w:tc>
        <w:tc>
          <w:tcPr>
            <w:tcW w:type="dxa" w:w="422"/>
            <w:tcBorders>
              <w:start w:sz="1.599999999999966" w:val="single" w:color="#000000"/>
              <w:top w:sz="2.399999999999636" w:val="single" w:color="#000000"/>
              <w:end w:sz="2.3999999999999773" w:val="single" w:color="#000000"/>
              <w:bottom w:sz="2.4000000000005457"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男</w:t>
            </w:r>
          </w:p>
        </w:tc>
        <w:tc>
          <w:tcPr>
            <w:tcW w:type="dxa" w:w="426"/>
            <w:tcBorders>
              <w:start w:sz="2.3999999999999773" w:val="single" w:color="#000000"/>
              <w:top w:sz="2.399999999999636" w:val="single" w:color="#000000"/>
              <w:end w:sz="1.6000000000000227"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53 </w:t>
            </w:r>
          </w:p>
        </w:tc>
        <w:tc>
          <w:tcPr>
            <w:tcW w:type="dxa" w:w="1942"/>
            <w:tcBorders>
              <w:start w:sz="1.6000000000000227" w:val="single" w:color="#000000"/>
              <w:top w:sz="2.399999999999636"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执行委员会委员</w:t>
            </w:r>
          </w:p>
        </w:tc>
        <w:tc>
          <w:tcPr>
            <w:tcW w:type="dxa" w:w="612"/>
            <w:tcBorders>
              <w:start w:sz="1.6000000000001364"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2023.08.25 </w:t>
            </w:r>
          </w:p>
        </w:tc>
        <w:tc>
          <w:tcPr>
            <w:tcW w:type="dxa" w:w="71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至今</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2.399999999999636" w:val="single" w:color="#000000"/>
              <w:end w:sz="1.599999999999909"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2.399999999999636"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2.399999999999636" w:val="single" w:color="#000000"/>
              <w:end w:sz="2.399999999999636" w:val="single" w:color="#000000"/>
              <w:bottom w:sz="2.4000000000005457" w:val="single" w:color="#000000"/>
            </w:tcBorders>
            <w:tcMar>
              <w:start w:w="0" w:type="dxa"/>
              <w:end w:w="0" w:type="dxa"/>
            </w:tcMar>
          </w:tcPr>
          <w:p>
            <w:pPr>
              <w:autoSpaceDN w:val="0"/>
              <w:autoSpaceDE w:val="0"/>
              <w:widowControl/>
              <w:spacing w:line="230" w:lineRule="auto" w:before="84" w:after="0"/>
              <w:ind w:left="0" w:right="0" w:firstLine="0"/>
              <w:jc w:val="center"/>
            </w:pPr>
            <w:r>
              <w:rPr>
                <w:rFonts w:ascii="Times New Roman" w:hAnsi="Times New Roman" w:eastAsia="Times New Roman"/>
                <w:b w:val="0"/>
                <w:i w:val="0"/>
                <w:color w:val="000000"/>
                <w:sz w:val="18"/>
              </w:rPr>
              <w:t xml:space="preserve">- </w:t>
            </w:r>
          </w:p>
        </w:tc>
      </w:tr>
      <w:tr>
        <w:trPr>
          <w:trHeight w:hRule="exact" w:val="344"/>
        </w:trPr>
        <w:tc>
          <w:tcPr>
            <w:tcW w:type="dxa" w:w="786"/>
            <w:tcBorders>
              <w:start w:sz="2.4000000000000057" w:val="single" w:color="#000000"/>
              <w:top w:sz="2.4000000000005457" w:val="single" w:color="#000000"/>
              <w:end w:sz="1.599999999999966" w:val="single" w:color="#000000"/>
              <w:bottom w:sz="1.5999999999994543" w:val="single" w:color="#000000"/>
            </w:tcBorders>
            <w:tcMar>
              <w:start w:w="0" w:type="dxa"/>
              <w:end w:w="0" w:type="dxa"/>
            </w:tcMar>
          </w:tcPr>
          <w:p>
            <w:pPr>
              <w:autoSpaceDN w:val="0"/>
              <w:autoSpaceDE w:val="0"/>
              <w:widowControl/>
              <w:spacing w:line="180" w:lineRule="exact" w:before="84" w:after="0"/>
              <w:ind w:left="122" w:right="0" w:firstLine="0"/>
              <w:jc w:val="left"/>
            </w:pPr>
            <w:r>
              <w:rPr>
                <w:rFonts w:ascii="宋体" w:hAnsi="宋体" w:eastAsia="宋体"/>
                <w:b w:val="0"/>
                <w:i w:val="0"/>
                <w:color w:val="000000"/>
                <w:sz w:val="18"/>
              </w:rPr>
              <w:t xml:space="preserve">孙嘉锋 </w:t>
            </w:r>
          </w:p>
        </w:tc>
        <w:tc>
          <w:tcPr>
            <w:tcW w:type="dxa" w:w="422"/>
            <w:tcBorders>
              <w:start w:sz="1.599999999999966" w:val="single" w:color="#000000"/>
              <w:top w:sz="2.4000000000005457" w:val="single" w:color="#000000"/>
              <w:end w:sz="2.3999999999999773"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男</w:t>
            </w:r>
          </w:p>
        </w:tc>
        <w:tc>
          <w:tcPr>
            <w:tcW w:type="dxa" w:w="426"/>
            <w:tcBorders>
              <w:start w:sz="2.3999999999999773" w:val="single" w:color="#000000"/>
              <w:top w:sz="2.4000000000005457" w:val="single" w:color="#000000"/>
              <w:end w:sz="1.6000000000000227"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46 </w:t>
            </w:r>
          </w:p>
        </w:tc>
        <w:tc>
          <w:tcPr>
            <w:tcW w:type="dxa" w:w="1942"/>
            <w:tcBorders>
              <w:start w:sz="1.6000000000000227" w:val="single" w:color="#000000"/>
              <w:top w:sz="2.4000000000005457"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首席信息官</w:t>
            </w:r>
          </w:p>
        </w:tc>
        <w:tc>
          <w:tcPr>
            <w:tcW w:type="dxa" w:w="612"/>
            <w:tcBorders>
              <w:start w:sz="1.6000000000001364"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现任</w:t>
            </w:r>
          </w:p>
        </w:tc>
        <w:tc>
          <w:tcPr>
            <w:tcW w:type="dxa" w:w="109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2023.08.25 </w:t>
            </w:r>
          </w:p>
        </w:tc>
        <w:tc>
          <w:tcPr>
            <w:tcW w:type="dxa" w:w="71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至今</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r>
      <w:tr>
        <w:trPr>
          <w:trHeight w:hRule="exact" w:val="486"/>
        </w:trPr>
        <w:tc>
          <w:tcPr>
            <w:tcW w:type="dxa" w:w="786"/>
            <w:vMerge w:val="restart"/>
            <w:tcBorders>
              <w:start w:sz="2.4000000000000057" w:val="single" w:color="#000000"/>
              <w:top w:sz="1.5999999999994543" w:val="single" w:color="#000000"/>
              <w:end w:sz="1.599999999999966"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330" w:after="0"/>
              <w:ind w:left="122" w:right="0" w:firstLine="0"/>
              <w:jc w:val="left"/>
            </w:pPr>
            <w:r>
              <w:rPr>
                <w:rFonts w:ascii="宋体" w:hAnsi="宋体" w:eastAsia="宋体"/>
                <w:b w:val="0"/>
                <w:i w:val="0"/>
                <w:color w:val="000000"/>
                <w:sz w:val="18"/>
              </w:rPr>
              <w:t xml:space="preserve">刘润照 </w:t>
            </w:r>
          </w:p>
        </w:tc>
        <w:tc>
          <w:tcPr>
            <w:tcW w:type="dxa" w:w="422"/>
            <w:vMerge w:val="restart"/>
            <w:tcBorders>
              <w:start w:sz="1.599999999999966" w:val="single" w:color="#000000"/>
              <w:top w:sz="1.5999999999994543" w:val="single" w:color="#000000"/>
              <w:end w:sz="2.3999999999999773"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330" w:after="0"/>
              <w:ind w:left="0" w:right="30" w:firstLine="0"/>
              <w:jc w:val="right"/>
            </w:pPr>
            <w:r>
              <w:rPr>
                <w:rFonts w:ascii="宋体" w:hAnsi="宋体" w:eastAsia="宋体"/>
                <w:b w:val="0"/>
                <w:i w:val="0"/>
                <w:color w:val="000000"/>
                <w:sz w:val="18"/>
              </w:rPr>
              <w:t xml:space="preserve">男 </w:t>
            </w:r>
          </w:p>
        </w:tc>
        <w:tc>
          <w:tcPr>
            <w:tcW w:type="dxa" w:w="426"/>
            <w:vMerge w:val="restart"/>
            <w:tcBorders>
              <w:start w:sz="2.3999999999999773" w:val="single" w:color="#000000"/>
              <w:top w:sz="1.5999999999994543" w:val="single" w:color="#000000"/>
              <w:end w:sz="1.6000000000000227"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326" w:after="0"/>
              <w:ind w:left="0" w:right="0" w:firstLine="0"/>
              <w:jc w:val="center"/>
            </w:pPr>
            <w:r>
              <w:rPr>
                <w:rFonts w:ascii="Times New Roman" w:hAnsi="Times New Roman" w:eastAsia="Times New Roman"/>
                <w:b w:val="0"/>
                <w:i w:val="0"/>
                <w:color w:val="000000"/>
                <w:sz w:val="18"/>
              </w:rPr>
              <w:t>50</w:t>
            </w:r>
          </w:p>
        </w:tc>
        <w:tc>
          <w:tcPr>
            <w:tcW w:type="dxa" w:w="1942"/>
            <w:tcBorders>
              <w:start w:sz="1.6000000000000227" w:val="single" w:color="#000000"/>
              <w:top w:sz="1.5999999999994543" w:val="single" w:color="#000000"/>
              <w:end w:sz="1.6000000000001364" w:val="single" w:color="#000000"/>
              <w:bottom w:sz="2.4000000000005457" w:val="single" w:color="#000000"/>
            </w:tcBorders>
            <w:tcMar>
              <w:start w:w="0" w:type="dxa"/>
              <w:end w:w="0" w:type="dxa"/>
            </w:tcMar>
          </w:tcPr>
          <w:p>
            <w:pPr>
              <w:autoSpaceDN w:val="0"/>
              <w:autoSpaceDE w:val="0"/>
              <w:widowControl/>
              <w:spacing w:line="180" w:lineRule="exact" w:before="158" w:after="0"/>
              <w:ind w:left="0" w:right="0" w:firstLine="0"/>
              <w:jc w:val="center"/>
            </w:pPr>
            <w:r>
              <w:rPr>
                <w:rFonts w:ascii="宋体" w:hAnsi="宋体" w:eastAsia="宋体"/>
                <w:b w:val="0"/>
                <w:i w:val="0"/>
                <w:color w:val="000000"/>
                <w:sz w:val="18"/>
              </w:rPr>
              <w:t>执行委员会委员</w:t>
            </w:r>
          </w:p>
        </w:tc>
        <w:tc>
          <w:tcPr>
            <w:tcW w:type="dxa" w:w="612"/>
            <w:tcBorders>
              <w:start w:sz="1.6000000000001364"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158" w:after="0"/>
              <w:ind w:left="0" w:right="0" w:firstLine="0"/>
              <w:jc w:val="center"/>
            </w:pPr>
            <w:r>
              <w:rPr>
                <w:rFonts w:ascii="宋体" w:hAnsi="宋体" w:eastAsia="宋体"/>
                <w:b w:val="0"/>
                <w:i w:val="0"/>
                <w:color w:val="000000"/>
                <w:sz w:val="18"/>
              </w:rPr>
              <w:t>离任</w:t>
            </w:r>
          </w:p>
        </w:tc>
        <w:tc>
          <w:tcPr>
            <w:tcW w:type="dxa" w:w="109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2020.12.11 </w:t>
            </w:r>
          </w:p>
        </w:tc>
        <w:tc>
          <w:tcPr>
            <w:tcW w:type="dxa" w:w="71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54" w:lineRule="auto" w:before="32" w:after="0"/>
              <w:ind w:left="144" w:right="0" w:firstLine="0"/>
              <w:jc w:val="center"/>
            </w:pPr>
            <w:r>
              <w:rPr>
                <w:rFonts w:ascii="Times New Roman" w:hAnsi="Times New Roman" w:eastAsia="Times New Roman"/>
                <w:b w:val="0"/>
                <w:i w:val="0"/>
                <w:color w:val="000000"/>
                <w:sz w:val="18"/>
              </w:rPr>
              <w:t xml:space="preserve">2024. </w:t>
            </w:r>
            <w:r>
              <w:br/>
            </w:r>
            <w:r>
              <w:rPr>
                <w:rFonts w:ascii="Times New Roman" w:hAnsi="Times New Roman" w:eastAsia="Times New Roman"/>
                <w:b w:val="0"/>
                <w:i w:val="0"/>
                <w:color w:val="000000"/>
                <w:sz w:val="18"/>
              </w:rPr>
              <w:t xml:space="preserve">09.18 </w:t>
            </w:r>
          </w:p>
        </w:tc>
        <w:tc>
          <w:tcPr>
            <w:tcW w:type="dxa" w:w="85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1.5999999999994543" w:val="single" w:color="#000000"/>
              <w:end w:sz="2.399999999999636" w:val="single" w:color="#000000"/>
              <w:bottom w:sz="2.4000000000005457"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 xml:space="preserve">- </w:t>
            </w:r>
          </w:p>
        </w:tc>
      </w:tr>
      <w:tr>
        <w:trPr>
          <w:trHeight w:hRule="exact" w:val="344"/>
        </w:trPr>
        <w:tc>
          <w:tcPr>
            <w:tcW w:type="dxa" w:w="849"/>
            <w:vMerge/>
            <w:tcBorders>
              <w:start w:sz="2.4000000000000057" w:val="single" w:color="#000000"/>
              <w:top w:sz="1.5999999999994543" w:val="single" w:color="#000000"/>
              <w:end w:sz="1.599999999999966" w:val="single" w:color="#000000"/>
              <w:bottom w:sz="2.399999999999636" w:val="single" w:color="#000000"/>
            </w:tcBorders>
          </w:tcPr>
          <w:p/>
        </w:tc>
        <w:tc>
          <w:tcPr>
            <w:tcW w:type="dxa" w:w="849"/>
            <w:vMerge/>
            <w:tcBorders>
              <w:start w:sz="1.599999999999966" w:val="single" w:color="#000000"/>
              <w:top w:sz="1.5999999999994543" w:val="single" w:color="#000000"/>
              <w:end w:sz="2.3999999999999773" w:val="single" w:color="#000000"/>
              <w:bottom w:sz="2.399999999999636" w:val="single" w:color="#000000"/>
            </w:tcBorders>
          </w:tcPr>
          <w:p/>
        </w:tc>
        <w:tc>
          <w:tcPr>
            <w:tcW w:type="dxa" w:w="849"/>
            <w:vMerge/>
            <w:tcBorders>
              <w:start w:sz="2.3999999999999773" w:val="single" w:color="#000000"/>
              <w:top w:sz="1.5999999999994543" w:val="single" w:color="#000000"/>
              <w:end w:sz="1.6000000000000227" w:val="single" w:color="#000000"/>
              <w:bottom w:sz="2.399999999999636" w:val="single" w:color="#000000"/>
            </w:tcBorders>
          </w:tcPr>
          <w:p/>
        </w:tc>
        <w:tc>
          <w:tcPr>
            <w:tcW w:type="dxa" w:w="1942"/>
            <w:tcBorders>
              <w:start w:sz="1.6000000000000227" w:val="single" w:color="#000000"/>
              <w:top w:sz="2.4000000000005457"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86" w:after="0"/>
              <w:ind w:left="0" w:right="0" w:firstLine="0"/>
              <w:jc w:val="center"/>
            </w:pPr>
            <w:r>
              <w:rPr>
                <w:rFonts w:ascii="宋体" w:hAnsi="宋体" w:eastAsia="宋体"/>
                <w:b w:val="0"/>
                <w:i w:val="0"/>
                <w:color w:val="000000"/>
                <w:sz w:val="18"/>
              </w:rPr>
              <w:t>副总经理</w:t>
            </w:r>
          </w:p>
        </w:tc>
        <w:tc>
          <w:tcPr>
            <w:tcW w:type="dxa" w:w="612"/>
            <w:tcBorders>
              <w:start w:sz="1.6000000000001364"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6" w:after="0"/>
              <w:ind w:left="0" w:right="0" w:firstLine="0"/>
              <w:jc w:val="center"/>
            </w:pPr>
            <w:r>
              <w:rPr>
                <w:rFonts w:ascii="宋体" w:hAnsi="宋体" w:eastAsia="宋体"/>
                <w:b w:val="0"/>
                <w:i w:val="0"/>
                <w:color w:val="000000"/>
                <w:sz w:val="18"/>
              </w:rPr>
              <w:t>离任</w:t>
            </w:r>
          </w:p>
        </w:tc>
        <w:tc>
          <w:tcPr>
            <w:tcW w:type="dxa" w:w="109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2022.08.25 </w:t>
            </w:r>
          </w:p>
        </w:tc>
        <w:tc>
          <w:tcPr>
            <w:tcW w:type="dxa" w:w="71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2024.</w:t>
            </w:r>
          </w:p>
        </w:tc>
        <w:tc>
          <w:tcPr>
            <w:tcW w:type="dxa" w:w="85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599999999999909"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0"/>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852"/>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c>
          <w:tcPr>
            <w:tcW w:type="dxa" w:w="764"/>
            <w:tcBorders>
              <w:start w:sz="1.6000000000003638" w:val="single" w:color="#000000"/>
              <w:top w:sz="2.4000000000005457"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80" w:after="0"/>
              <w:ind w:left="0" w:right="0" w:firstLine="0"/>
              <w:jc w:val="center"/>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464" w:after="0"/>
        <w:ind w:left="0" w:right="0" w:firstLine="0"/>
        <w:jc w:val="center"/>
      </w:pPr>
      <w:r>
        <w:rPr>
          <w:rFonts w:ascii="Calibri" w:hAnsi="Calibri" w:eastAsia="Calibri"/>
          <w:b w:val="0"/>
          <w:i w:val="0"/>
          <w:color w:val="000000"/>
          <w:sz w:val="18"/>
        </w:rPr>
        <w:t xml:space="preserve">69 </w:t>
      </w:r>
    </w:p>
    <w:p>
      <w:pPr>
        <w:sectPr>
          <w:type w:val="continuous"/>
          <w:pgSz w:w="11904" w:h="16841"/>
          <w:pgMar w:top="424" w:right="426" w:bottom="446" w:left="446" w:header="720" w:footer="720" w:gutter="0"/>
          <w:cols/>
          <w:docGrid w:linePitch="360"/>
        </w:sectPr>
      </w:pPr>
    </w:p>
    <w:p>
      <w:pPr>
        <w:autoSpaceDN w:val="0"/>
        <w:autoSpaceDE w:val="0"/>
        <w:widowControl/>
        <w:spacing w:line="220" w:lineRule="exact" w:before="0" w:after="206"/>
        <w:ind w:left="0" w:right="0"/>
      </w:pPr>
    </w:p>
    <w:p>
      <w:pPr>
        <w:sectPr>
          <w:pgSz w:w="11904" w:h="16841"/>
          <w:pgMar w:top="424" w:right="426" w:bottom="446" w:left="446" w:header="720" w:footer="720" w:gutter="0"/>
          <w:cols/>
          <w:docGrid w:linePitch="360"/>
        </w:sectPr>
      </w:pPr>
    </w:p>
    <w:p>
      <w:pPr>
        <w:autoSpaceDN w:val="0"/>
        <w:autoSpaceDE w:val="0"/>
        <w:widowControl/>
        <w:spacing w:line="240" w:lineRule="auto" w:before="0" w:after="0"/>
        <w:ind w:left="688" w:right="0" w:firstLine="0"/>
        <w:jc w:val="left"/>
      </w:pPr>
      <w:r>
        <w:drawing>
          <wp:inline xmlns:a="http://schemas.openxmlformats.org/drawingml/2006/main" xmlns:pic="http://schemas.openxmlformats.org/drawingml/2006/picture">
            <wp:extent cx="1844039" cy="439419"/>
            <wp:docPr id="72" name="Picture 7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200" w:lineRule="exact" w:before="0" w:after="30"/>
        <w:ind w:left="0" w:right="72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26" w:bottom="446" w:left="446" w:header="720" w:footer="720" w:gutter="0"/>
          <w:cols w:num="2" w:equalWidth="0">
            <w:col w:w="6094" w:space="0"/>
            <w:col w:w="493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49"/>
        <w:gridCol w:w="849"/>
        <w:gridCol w:w="849"/>
        <w:gridCol w:w="849"/>
        <w:gridCol w:w="849"/>
        <w:gridCol w:w="849"/>
        <w:gridCol w:w="849"/>
        <w:gridCol w:w="849"/>
        <w:gridCol w:w="849"/>
        <w:gridCol w:w="849"/>
        <w:gridCol w:w="849"/>
        <w:gridCol w:w="849"/>
        <w:gridCol w:w="849"/>
      </w:tblGrid>
      <w:tr>
        <w:trPr>
          <w:trHeight w:hRule="exact" w:val="346"/>
        </w:trPr>
        <w:tc>
          <w:tcPr>
            <w:tcW w:type="dxa" w:w="786"/>
            <w:tcBorders>
              <w:start w:sz="2.4000000000000057" w:val="single" w:color="#000000"/>
              <w:top w:sz="0.7999999999999545" w:val="single" w:color="#000000"/>
              <w:end w:sz="1.599999999999966" w:val="single" w:color="#000000"/>
              <w:bottom w:sz="1.6000000000000227" w:val="single" w:color="#000000"/>
            </w:tcBorders>
            <w:tcMar>
              <w:start w:w="0" w:type="dxa"/>
              <w:end w:w="0" w:type="dxa"/>
            </w:tcMar>
          </w:tcPr>
          <w:p/>
        </w:tc>
        <w:tc>
          <w:tcPr>
            <w:tcW w:type="dxa" w:w="422"/>
            <w:tcBorders>
              <w:start w:sz="1.599999999999966" w:val="single" w:color="#000000"/>
              <w:top w:sz="5.600000000000023" w:val="single" w:color="#000000"/>
              <w:end w:sz="2.3999999999999773" w:val="single" w:color="#000000"/>
              <w:bottom w:sz="1.6000000000000227" w:val="single" w:color="#000000"/>
            </w:tcBorders>
            <w:tcMar>
              <w:start w:w="0" w:type="dxa"/>
              <w:end w:w="0" w:type="dxa"/>
            </w:tcMar>
          </w:tcPr>
          <w:p/>
        </w:tc>
        <w:tc>
          <w:tcPr>
            <w:tcW w:type="dxa" w:w="426"/>
            <w:tcBorders>
              <w:start w:sz="2.3999999999999773" w:val="single" w:color="#000000"/>
              <w:top w:sz="5.600000000000023" w:val="single" w:color="#000000"/>
              <w:end w:sz="1.6000000000000227" w:val="single" w:color="#000000"/>
              <w:bottom w:sz="1.6000000000000227" w:val="single" w:color="#000000"/>
            </w:tcBorders>
            <w:tcMar>
              <w:start w:w="0" w:type="dxa"/>
              <w:end w:w="0" w:type="dxa"/>
            </w:tcMar>
          </w:tcPr>
          <w:p/>
        </w:tc>
        <w:tc>
          <w:tcPr>
            <w:tcW w:type="dxa" w:w="1942"/>
            <w:tcBorders>
              <w:start w:sz="1.6000000000000227" w:val="single" w:color="#000000"/>
              <w:top w:sz="5.600000000000023" w:val="single" w:color="#000000"/>
              <w:end w:sz="1.6000000000001364" w:val="single" w:color="#000000"/>
              <w:bottom w:sz="1.6000000000000227" w:val="single" w:color="#000000"/>
            </w:tcBorders>
            <w:tcMar>
              <w:start w:w="0" w:type="dxa"/>
              <w:end w:w="0" w:type="dxa"/>
            </w:tcMar>
          </w:tcPr>
          <w:p/>
        </w:tc>
        <w:tc>
          <w:tcPr>
            <w:tcW w:type="dxa" w:w="612"/>
            <w:tcBorders>
              <w:start w:sz="1.6000000000001364" w:val="single" w:color="#000000"/>
              <w:top w:sz="5.600000000000023" w:val="single" w:color="#000000"/>
              <w:end w:sz="1.599999999999909" w:val="single" w:color="#000000"/>
              <w:bottom w:sz="1.6000000000000227" w:val="single" w:color="#000000"/>
            </w:tcBorders>
            <w:tcMar>
              <w:start w:w="0" w:type="dxa"/>
              <w:end w:w="0" w:type="dxa"/>
            </w:tcMar>
          </w:tcPr>
          <w:p/>
        </w:tc>
        <w:tc>
          <w:tcPr>
            <w:tcW w:type="dxa" w:w="109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tc>
        <w:tc>
          <w:tcPr>
            <w:tcW w:type="dxa" w:w="71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pPr>
              <w:autoSpaceDN w:val="0"/>
              <w:autoSpaceDE w:val="0"/>
              <w:widowControl/>
              <w:spacing w:line="233" w:lineRule="auto" w:before="28" w:after="0"/>
              <w:ind w:left="0" w:right="0" w:firstLine="0"/>
              <w:jc w:val="center"/>
            </w:pPr>
            <w:r>
              <w:rPr>
                <w:rFonts w:ascii="Times New Roman" w:hAnsi="Times New Roman" w:eastAsia="Times New Roman"/>
                <w:b w:val="0"/>
                <w:i w:val="0"/>
                <w:color w:val="000000"/>
                <w:sz w:val="18"/>
              </w:rPr>
              <w:t xml:space="preserve">09.18 </w:t>
            </w:r>
          </w:p>
        </w:tc>
        <w:tc>
          <w:tcPr>
            <w:tcW w:type="dxa" w:w="85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tc>
        <w:tc>
          <w:tcPr>
            <w:tcW w:type="dxa" w:w="85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tc>
        <w:tc>
          <w:tcPr>
            <w:tcW w:type="dxa" w:w="852"/>
            <w:tcBorders>
              <w:start w:sz="1.599999999999909" w:val="single" w:color="#000000"/>
              <w:top w:sz="5.600000000000023" w:val="single" w:color="#000000"/>
              <w:end w:sz="1.6000000000003638" w:val="single" w:color="#000000"/>
              <w:bottom w:sz="1.6000000000000227" w:val="single" w:color="#000000"/>
            </w:tcBorders>
            <w:tcMar>
              <w:start w:w="0" w:type="dxa"/>
              <w:end w:w="0" w:type="dxa"/>
            </w:tcMar>
          </w:tcPr>
          <w:p/>
        </w:tc>
        <w:tc>
          <w:tcPr>
            <w:tcW w:type="dxa" w:w="850"/>
            <w:tcBorders>
              <w:start w:sz="1.6000000000003638" w:val="single" w:color="#000000"/>
              <w:top w:sz="5.600000000000023" w:val="single" w:color="#000000"/>
              <w:end w:sz="1.6000000000003638" w:val="single" w:color="#000000"/>
              <w:bottom w:sz="1.6000000000000227" w:val="single" w:color="#000000"/>
            </w:tcBorders>
            <w:tcMar>
              <w:start w:w="0" w:type="dxa"/>
              <w:end w:w="0" w:type="dxa"/>
            </w:tcMar>
          </w:tcPr>
          <w:p/>
        </w:tc>
        <w:tc>
          <w:tcPr>
            <w:tcW w:type="dxa" w:w="852"/>
            <w:tcBorders>
              <w:start w:sz="1.6000000000003638" w:val="single" w:color="#000000"/>
              <w:top w:sz="5.600000000000023" w:val="single" w:color="#000000"/>
              <w:end w:sz="1.6000000000003638" w:val="single" w:color="#000000"/>
              <w:bottom w:sz="1.6000000000000227" w:val="single" w:color="#000000"/>
            </w:tcBorders>
            <w:tcMar>
              <w:start w:w="0" w:type="dxa"/>
              <w:end w:w="0" w:type="dxa"/>
            </w:tcMar>
          </w:tcPr>
          <w:p/>
        </w:tc>
        <w:tc>
          <w:tcPr>
            <w:tcW w:type="dxa" w:w="764"/>
            <w:tcBorders>
              <w:start w:sz="1.6000000000003638" w:val="single" w:color="#000000"/>
              <w:top w:sz="5.600000000000023" w:val="single" w:color="#000000"/>
              <w:end w:sz="2.399999999999636" w:val="single" w:color="#000000"/>
              <w:bottom w:sz="1.6000000000000227" w:val="single" w:color="#000000"/>
            </w:tcBorders>
            <w:tcMar>
              <w:start w:w="0" w:type="dxa"/>
              <w:end w:w="0" w:type="dxa"/>
            </w:tcMar>
          </w:tcPr>
          <w:p/>
        </w:tc>
      </w:tr>
      <w:tr>
        <w:trPr>
          <w:trHeight w:hRule="exact" w:val="486"/>
        </w:trPr>
        <w:tc>
          <w:tcPr>
            <w:tcW w:type="dxa" w:w="786"/>
            <w:tcBorders>
              <w:start w:sz="2.4000000000000057" w:val="single" w:color="#000000"/>
              <w:top w:sz="1.6000000000000227" w:val="single" w:color="#000000"/>
              <w:end w:sz="1.599999999999966" w:val="single" w:color="#000000"/>
              <w:bottom w:sz="2.3999999999999773" w:val="single" w:color="#000000"/>
            </w:tcBorders>
            <w:tcMar>
              <w:start w:w="0" w:type="dxa"/>
              <w:end w:w="0" w:type="dxa"/>
            </w:tcMar>
          </w:tcPr>
          <w:p>
            <w:pPr>
              <w:autoSpaceDN w:val="0"/>
              <w:autoSpaceDE w:val="0"/>
              <w:widowControl/>
              <w:spacing w:line="180" w:lineRule="exact" w:before="158" w:after="0"/>
              <w:ind w:left="122" w:right="0" w:firstLine="0"/>
              <w:jc w:val="left"/>
            </w:pPr>
            <w:r>
              <w:rPr>
                <w:rFonts w:ascii="宋体" w:hAnsi="宋体" w:eastAsia="宋体"/>
                <w:b w:val="0"/>
                <w:i w:val="0"/>
                <w:color w:val="000000"/>
                <w:sz w:val="18"/>
              </w:rPr>
              <w:t xml:space="preserve">李江雷 </w:t>
            </w:r>
          </w:p>
        </w:tc>
        <w:tc>
          <w:tcPr>
            <w:tcW w:type="dxa" w:w="422"/>
            <w:tcBorders>
              <w:start w:sz="1.599999999999966" w:val="single" w:color="#000000"/>
              <w:top w:sz="1.6000000000000227" w:val="single" w:color="#000000"/>
              <w:end w:sz="2.3999999999999773" w:val="single" w:color="#000000"/>
              <w:bottom w:sz="2.3999999999999773" w:val="single" w:color="#000000"/>
            </w:tcBorders>
            <w:tcMar>
              <w:start w:w="0" w:type="dxa"/>
              <w:end w:w="0" w:type="dxa"/>
            </w:tcMar>
          </w:tcPr>
          <w:p>
            <w:pPr>
              <w:autoSpaceDN w:val="0"/>
              <w:autoSpaceDE w:val="0"/>
              <w:widowControl/>
              <w:spacing w:line="180" w:lineRule="exact" w:before="158" w:after="0"/>
              <w:ind w:left="0" w:right="30" w:firstLine="0"/>
              <w:jc w:val="right"/>
            </w:pPr>
            <w:r>
              <w:rPr>
                <w:rFonts w:ascii="宋体" w:hAnsi="宋体" w:eastAsia="宋体"/>
                <w:b w:val="0"/>
                <w:i w:val="0"/>
                <w:color w:val="000000"/>
                <w:sz w:val="18"/>
              </w:rPr>
              <w:t xml:space="preserve">男 </w:t>
            </w:r>
          </w:p>
        </w:tc>
        <w:tc>
          <w:tcPr>
            <w:tcW w:type="dxa" w:w="426"/>
            <w:tcBorders>
              <w:start w:sz="2.3999999999999773" w:val="single" w:color="#000000"/>
              <w:top w:sz="1.6000000000000227" w:val="single" w:color="#000000"/>
              <w:end w:sz="1.6000000000000227"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55</w:t>
            </w:r>
          </w:p>
        </w:tc>
        <w:tc>
          <w:tcPr>
            <w:tcW w:type="dxa" w:w="1942"/>
            <w:tcBorders>
              <w:start w:sz="1.6000000000000227" w:val="single" w:color="#000000"/>
              <w:top w:sz="1.6000000000000227" w:val="single" w:color="#000000"/>
              <w:end w:sz="1.6000000000001364" w:val="single" w:color="#000000"/>
              <w:bottom w:sz="2.3999999999999773" w:val="single" w:color="#000000"/>
            </w:tcBorders>
            <w:tcMar>
              <w:start w:w="0" w:type="dxa"/>
              <w:end w:w="0" w:type="dxa"/>
            </w:tcMar>
          </w:tcPr>
          <w:p>
            <w:pPr>
              <w:autoSpaceDN w:val="0"/>
              <w:autoSpaceDE w:val="0"/>
              <w:widowControl/>
              <w:spacing w:line="180" w:lineRule="exact" w:before="158" w:after="0"/>
              <w:ind w:left="0" w:right="0" w:firstLine="0"/>
              <w:jc w:val="center"/>
            </w:pPr>
            <w:r>
              <w:rPr>
                <w:rFonts w:ascii="宋体" w:hAnsi="宋体" w:eastAsia="宋体"/>
                <w:b w:val="0"/>
                <w:i w:val="0"/>
                <w:color w:val="000000"/>
                <w:sz w:val="18"/>
              </w:rPr>
              <w:t>执行委员会委员</w:t>
            </w:r>
          </w:p>
        </w:tc>
        <w:tc>
          <w:tcPr>
            <w:tcW w:type="dxa" w:w="612"/>
            <w:tcBorders>
              <w:start w:sz="1.6000000000001364"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180" w:lineRule="exact" w:before="158" w:after="0"/>
              <w:ind w:left="124" w:right="0" w:firstLine="0"/>
              <w:jc w:val="left"/>
            </w:pPr>
            <w:r>
              <w:rPr>
                <w:rFonts w:ascii="宋体" w:hAnsi="宋体" w:eastAsia="宋体"/>
                <w:b w:val="0"/>
                <w:i w:val="0"/>
                <w:color w:val="000000"/>
                <w:sz w:val="18"/>
              </w:rPr>
              <w:t xml:space="preserve">离任 </w:t>
            </w:r>
          </w:p>
        </w:tc>
        <w:tc>
          <w:tcPr>
            <w:tcW w:type="dxa" w:w="109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2021.08.17</w:t>
            </w:r>
          </w:p>
        </w:tc>
        <w:tc>
          <w:tcPr>
            <w:tcW w:type="dxa" w:w="71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54" w:lineRule="auto" w:before="32" w:after="0"/>
              <w:ind w:left="144" w:right="144" w:firstLine="0"/>
              <w:jc w:val="center"/>
            </w:pPr>
            <w:r>
              <w:rPr>
                <w:rFonts w:ascii="Times New Roman" w:hAnsi="Times New Roman" w:eastAsia="Times New Roman"/>
                <w:b w:val="0"/>
                <w:i w:val="0"/>
                <w:color w:val="000000"/>
                <w:sz w:val="18"/>
              </w:rPr>
              <w:t xml:space="preserve">2024. </w:t>
            </w:r>
            <w:r>
              <w:rPr>
                <w:rFonts w:ascii="Times New Roman" w:hAnsi="Times New Roman" w:eastAsia="Times New Roman"/>
                <w:b w:val="0"/>
                <w:i w:val="0"/>
                <w:color w:val="000000"/>
                <w:sz w:val="18"/>
              </w:rPr>
              <w:t>09.18</w:t>
            </w:r>
          </w:p>
        </w:tc>
        <w:tc>
          <w:tcPr>
            <w:tcW w:type="dxa" w:w="85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599999999999909"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0"/>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852"/>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c>
          <w:tcPr>
            <w:tcW w:type="dxa" w:w="764"/>
            <w:tcBorders>
              <w:start w:sz="1.6000000000003638" w:val="single" w:color="#000000"/>
              <w:top w:sz="1.6000000000000227" w:val="single" w:color="#000000"/>
              <w:end w:sz="2.399999999999636" w:val="single" w:color="#000000"/>
              <w:bottom w:sz="2.3999999999999773" w:val="single" w:color="#000000"/>
            </w:tcBorders>
            <w:tcMar>
              <w:start w:w="0" w:type="dxa"/>
              <w:end w:w="0" w:type="dxa"/>
            </w:tcMar>
          </w:tcPr>
          <w:p>
            <w:pPr>
              <w:autoSpaceDN w:val="0"/>
              <w:autoSpaceDE w:val="0"/>
              <w:widowControl/>
              <w:spacing w:line="233" w:lineRule="auto" w:before="152" w:after="0"/>
              <w:ind w:left="0" w:right="0" w:firstLine="0"/>
              <w:jc w:val="center"/>
            </w:pPr>
            <w:r>
              <w:rPr>
                <w:rFonts w:ascii="Times New Roman" w:hAnsi="Times New Roman" w:eastAsia="Times New Roman"/>
                <w:b w:val="0"/>
                <w:i w:val="0"/>
                <w:color w:val="000000"/>
                <w:sz w:val="18"/>
              </w:rPr>
              <w:t>-</w:t>
            </w:r>
          </w:p>
        </w:tc>
      </w:tr>
      <w:tr>
        <w:trPr>
          <w:trHeight w:hRule="exact" w:val="342"/>
        </w:trPr>
        <w:tc>
          <w:tcPr>
            <w:tcW w:type="dxa" w:w="786"/>
            <w:tcBorders>
              <w:start w:sz="2.4000000000000057" w:val="single" w:color="#000000"/>
              <w:top w:sz="2.3999999999999773" w:val="single" w:color="#000000"/>
              <w:end w:sz="1.599999999999966"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108" w:right="0" w:firstLine="0"/>
              <w:jc w:val="left"/>
            </w:pPr>
            <w:r>
              <w:rPr>
                <w:rFonts w:ascii="宋体" w:hAnsi="宋体" w:eastAsia="宋体"/>
                <w:b w:val="0"/>
                <w:i w:val="0"/>
                <w:color w:val="000000"/>
                <w:sz w:val="18"/>
              </w:rPr>
              <w:t xml:space="preserve">合计 </w:t>
            </w:r>
          </w:p>
        </w:tc>
        <w:tc>
          <w:tcPr>
            <w:tcW w:type="dxa" w:w="422"/>
            <w:tcBorders>
              <w:start w:sz="1.599999999999966" w:val="single" w:color="#000000"/>
              <w:top w:sz="2.3999999999999773" w:val="single" w:color="#000000"/>
              <w:end w:sz="2.3999999999999773"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30" w:firstLine="0"/>
              <w:jc w:val="right"/>
            </w:pPr>
            <w:r>
              <w:rPr>
                <w:rFonts w:ascii="宋体" w:hAnsi="宋体" w:eastAsia="宋体"/>
                <w:b w:val="0"/>
                <w:i w:val="0"/>
                <w:color w:val="000000"/>
                <w:sz w:val="18"/>
              </w:rPr>
              <w:t xml:space="preserve">-- </w:t>
            </w:r>
          </w:p>
        </w:tc>
        <w:tc>
          <w:tcPr>
            <w:tcW w:type="dxa" w:w="426"/>
            <w:tcBorders>
              <w:start w:sz="2.3999999999999773" w:val="single" w:color="#000000"/>
              <w:top w:sz="2.3999999999999773" w:val="single" w:color="#000000"/>
              <w:end w:sz="1.6000000000000227"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30" w:firstLine="0"/>
              <w:jc w:val="right"/>
            </w:pPr>
            <w:r>
              <w:rPr>
                <w:rFonts w:ascii="宋体" w:hAnsi="宋体" w:eastAsia="宋体"/>
                <w:b w:val="0"/>
                <w:i w:val="0"/>
                <w:color w:val="000000"/>
                <w:sz w:val="18"/>
              </w:rPr>
              <w:t xml:space="preserve">-- </w:t>
            </w:r>
          </w:p>
        </w:tc>
        <w:tc>
          <w:tcPr>
            <w:tcW w:type="dxa" w:w="1942"/>
            <w:tcBorders>
              <w:start w:sz="1.6000000000000227" w:val="single" w:color="#000000"/>
              <w:top w:sz="2.3999999999999773" w:val="single" w:color="#000000"/>
              <w:end w:sz="1.6000000000001364"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788" w:firstLine="0"/>
              <w:jc w:val="right"/>
            </w:pPr>
            <w:r>
              <w:rPr>
                <w:rFonts w:ascii="宋体" w:hAnsi="宋体" w:eastAsia="宋体"/>
                <w:b w:val="0"/>
                <w:i w:val="0"/>
                <w:color w:val="000000"/>
                <w:sz w:val="18"/>
              </w:rPr>
              <w:t xml:space="preserve">-- </w:t>
            </w:r>
          </w:p>
        </w:tc>
        <w:tc>
          <w:tcPr>
            <w:tcW w:type="dxa" w:w="612"/>
            <w:tcBorders>
              <w:start w:sz="1.6000000000001364" w:val="single" w:color="#000000"/>
              <w:top w:sz="2.399999999999977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122" w:firstLine="0"/>
              <w:jc w:val="right"/>
            </w:pPr>
            <w:r>
              <w:rPr>
                <w:rFonts w:ascii="宋体" w:hAnsi="宋体" w:eastAsia="宋体"/>
                <w:b w:val="0"/>
                <w:i w:val="0"/>
                <w:color w:val="000000"/>
                <w:sz w:val="18"/>
              </w:rPr>
              <w:t xml:space="preserve">-- </w:t>
            </w:r>
          </w:p>
        </w:tc>
        <w:tc>
          <w:tcPr>
            <w:tcW w:type="dxa" w:w="1090"/>
            <w:tcBorders>
              <w:start w:sz="1.599999999999909" w:val="single" w:color="#000000"/>
              <w:top w:sz="2.399999999999977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362" w:firstLine="0"/>
              <w:jc w:val="right"/>
            </w:pPr>
            <w:r>
              <w:rPr>
                <w:rFonts w:ascii="宋体" w:hAnsi="宋体" w:eastAsia="宋体"/>
                <w:b w:val="0"/>
                <w:i w:val="0"/>
                <w:color w:val="000000"/>
                <w:sz w:val="18"/>
              </w:rPr>
              <w:t xml:space="preserve">-- </w:t>
            </w:r>
          </w:p>
        </w:tc>
        <w:tc>
          <w:tcPr>
            <w:tcW w:type="dxa" w:w="710"/>
            <w:tcBorders>
              <w:start w:sz="1.599999999999909" w:val="single" w:color="#000000"/>
              <w:top w:sz="2.399999999999977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172" w:firstLine="0"/>
              <w:jc w:val="right"/>
            </w:pPr>
            <w:r>
              <w:rPr>
                <w:rFonts w:ascii="宋体" w:hAnsi="宋体" w:eastAsia="宋体"/>
                <w:b w:val="0"/>
                <w:i w:val="0"/>
                <w:color w:val="000000"/>
                <w:sz w:val="18"/>
              </w:rPr>
              <w:t xml:space="preserve">-- </w:t>
            </w:r>
          </w:p>
        </w:tc>
        <w:tc>
          <w:tcPr>
            <w:tcW w:type="dxa" w:w="850"/>
            <w:tcBorders>
              <w:start w:sz="1.599999999999909" w:val="single" w:color="#000000"/>
              <w:top w:sz="2.3999999999999773" w:val="single" w:color="#000000"/>
              <w:end w:sz="1.599999999999909" w:val="single" w:color="#000000"/>
              <w:bottom w:sz="1.6000000000001364" w:val="single" w:color="#000000"/>
            </w:tcBorders>
            <w:shd w:fill="d8d9d8"/>
            <w:tcMar>
              <w:start w:w="0" w:type="dxa"/>
              <w:end w:w="0" w:type="dxa"/>
            </w:tcMar>
          </w:tcPr>
          <w:p>
            <w:pPr>
              <w:autoSpaceDN w:val="0"/>
              <w:autoSpaceDE w:val="0"/>
              <w:widowControl/>
              <w:spacing w:line="180" w:lineRule="exact" w:before="86" w:after="0"/>
              <w:ind w:left="0" w:right="242" w:firstLine="0"/>
              <w:jc w:val="right"/>
            </w:pPr>
            <w:r>
              <w:rPr>
                <w:rFonts w:ascii="宋体" w:hAnsi="宋体" w:eastAsia="宋体"/>
                <w:b w:val="0"/>
                <w:i w:val="0"/>
                <w:color w:val="000000"/>
                <w:sz w:val="18"/>
              </w:rPr>
              <w:t xml:space="preserve">-- </w:t>
            </w:r>
          </w:p>
        </w:tc>
        <w:tc>
          <w:tcPr>
            <w:tcW w:type="dxa" w:w="850"/>
            <w:tcBorders>
              <w:start w:sz="1.599999999999909" w:val="single" w:color="#000000"/>
              <w:top w:sz="2.3999999999999773" w:val="single" w:color="#000000"/>
              <w:end w:sz="1.599999999999909" w:val="single" w:color="#000000"/>
              <w:bottom w:sz="1.6000000000001364" w:val="single" w:color="#000000"/>
            </w:tcBorders>
            <w:shd w:fill="d8d9d8"/>
            <w:tcMar>
              <w:start w:w="0" w:type="dxa"/>
              <w:end w:w="0" w:type="dxa"/>
            </w:tcMar>
          </w:tcPr>
          <w:p>
            <w:pPr>
              <w:autoSpaceDN w:val="0"/>
              <w:autoSpaceDE w:val="0"/>
              <w:widowControl/>
              <w:spacing w:line="180" w:lineRule="exact" w:before="86" w:after="0"/>
              <w:ind w:left="0" w:right="242" w:firstLine="0"/>
              <w:jc w:val="right"/>
            </w:pPr>
            <w:r>
              <w:rPr>
                <w:rFonts w:ascii="宋体" w:hAnsi="宋体" w:eastAsia="宋体"/>
                <w:b w:val="0"/>
                <w:i w:val="0"/>
                <w:color w:val="000000"/>
                <w:sz w:val="18"/>
              </w:rPr>
              <w:t xml:space="preserve">-- </w:t>
            </w:r>
          </w:p>
        </w:tc>
        <w:tc>
          <w:tcPr>
            <w:tcW w:type="dxa" w:w="852"/>
            <w:tcBorders>
              <w:start w:sz="1.599999999999909" w:val="single" w:color="#000000"/>
              <w:top w:sz="2.3999999999999773" w:val="single" w:color="#000000"/>
              <w:end w:sz="1.6000000000003638" w:val="single" w:color="#000000"/>
              <w:bottom w:sz="1.6000000000001364" w:val="single" w:color="#000000"/>
            </w:tcBorders>
            <w:shd w:fill="d8d9d8"/>
            <w:tcMar>
              <w:start w:w="0" w:type="dxa"/>
              <w:end w:w="0" w:type="dxa"/>
            </w:tcMar>
          </w:tcPr>
          <w:p>
            <w:pPr>
              <w:autoSpaceDN w:val="0"/>
              <w:autoSpaceDE w:val="0"/>
              <w:widowControl/>
              <w:spacing w:line="180" w:lineRule="exact" w:before="86" w:after="0"/>
              <w:ind w:left="0" w:right="242" w:firstLine="0"/>
              <w:jc w:val="right"/>
            </w:pPr>
            <w:r>
              <w:rPr>
                <w:rFonts w:ascii="宋体" w:hAnsi="宋体" w:eastAsia="宋体"/>
                <w:b w:val="0"/>
                <w:i w:val="0"/>
                <w:color w:val="000000"/>
                <w:sz w:val="18"/>
              </w:rPr>
              <w:t xml:space="preserve">-- </w:t>
            </w:r>
          </w:p>
        </w:tc>
        <w:tc>
          <w:tcPr>
            <w:tcW w:type="dxa" w:w="850"/>
            <w:tcBorders>
              <w:start w:sz="1.6000000000003638" w:val="single" w:color="#000000"/>
              <w:top w:sz="2.3999999999999773" w:val="single" w:color="#000000"/>
              <w:end w:sz="1.6000000000003638" w:val="single" w:color="#000000"/>
              <w:bottom w:sz="1.6000000000001364" w:val="single" w:color="#000000"/>
            </w:tcBorders>
            <w:shd w:fill="d8d9d8"/>
            <w:tcMar>
              <w:start w:w="0" w:type="dxa"/>
              <w:end w:w="0" w:type="dxa"/>
            </w:tcMar>
          </w:tcPr>
          <w:p>
            <w:pPr>
              <w:autoSpaceDN w:val="0"/>
              <w:autoSpaceDE w:val="0"/>
              <w:widowControl/>
              <w:spacing w:line="180" w:lineRule="exact" w:before="86" w:after="0"/>
              <w:ind w:left="0" w:right="244" w:firstLine="0"/>
              <w:jc w:val="right"/>
            </w:pPr>
            <w:r>
              <w:rPr>
                <w:rFonts w:ascii="宋体" w:hAnsi="宋体" w:eastAsia="宋体"/>
                <w:b w:val="0"/>
                <w:i w:val="0"/>
                <w:color w:val="000000"/>
                <w:sz w:val="18"/>
              </w:rPr>
              <w:t xml:space="preserve">-- </w:t>
            </w:r>
          </w:p>
        </w:tc>
        <w:tc>
          <w:tcPr>
            <w:tcW w:type="dxa" w:w="852"/>
            <w:tcBorders>
              <w:start w:sz="1.6000000000003638" w:val="single" w:color="#000000"/>
              <w:top w:sz="2.3999999999999773" w:val="single" w:color="#000000"/>
              <w:end w:sz="1.6000000000003638" w:val="single" w:color="#000000"/>
              <w:bottom w:sz="1.6000000000001364" w:val="single" w:color="#000000"/>
            </w:tcBorders>
            <w:shd w:fill="d8d9d8"/>
            <w:tcMar>
              <w:start w:w="0" w:type="dxa"/>
              <w:end w:w="0" w:type="dxa"/>
            </w:tcMar>
          </w:tcPr>
          <w:p>
            <w:pPr>
              <w:autoSpaceDN w:val="0"/>
              <w:autoSpaceDE w:val="0"/>
              <w:widowControl/>
              <w:spacing w:line="180" w:lineRule="exact" w:before="86" w:after="0"/>
              <w:ind w:left="0" w:right="242" w:firstLine="0"/>
              <w:jc w:val="right"/>
            </w:pPr>
            <w:r>
              <w:rPr>
                <w:rFonts w:ascii="宋体" w:hAnsi="宋体" w:eastAsia="宋体"/>
                <w:b w:val="0"/>
                <w:i w:val="0"/>
                <w:color w:val="000000"/>
                <w:sz w:val="18"/>
              </w:rPr>
              <w:t xml:space="preserve">-- </w:t>
            </w:r>
          </w:p>
        </w:tc>
        <w:tc>
          <w:tcPr>
            <w:tcW w:type="dxa" w:w="764"/>
            <w:tcBorders>
              <w:start w:sz="1.6000000000003638" w:val="single" w:color="#000000"/>
              <w:top w:sz="2.3999999999999773" w:val="single" w:color="#000000"/>
              <w:end w:sz="2.399999999999636" w:val="single" w:color="#000000"/>
              <w:bottom w:sz="1.6000000000001364" w:val="single" w:color="#000000"/>
            </w:tcBorders>
            <w:shd w:fill="d2d2d2"/>
            <w:tcMar>
              <w:start w:w="0" w:type="dxa"/>
              <w:end w:w="0" w:type="dxa"/>
            </w:tcMar>
          </w:tcPr>
          <w:p>
            <w:pPr>
              <w:autoSpaceDN w:val="0"/>
              <w:autoSpaceDE w:val="0"/>
              <w:widowControl/>
              <w:spacing w:line="180" w:lineRule="exact" w:before="84" w:after="0"/>
              <w:ind w:left="0" w:right="200" w:firstLine="0"/>
              <w:jc w:val="right"/>
            </w:pPr>
            <w:r>
              <w:rPr>
                <w:rFonts w:ascii="宋体" w:hAnsi="宋体" w:eastAsia="宋体"/>
                <w:b w:val="0"/>
                <w:i w:val="0"/>
                <w:color w:val="000000"/>
                <w:sz w:val="18"/>
              </w:rPr>
              <w:t xml:space="preserve">-- </w:t>
            </w:r>
          </w:p>
        </w:tc>
      </w:tr>
    </w:tbl>
    <w:p>
      <w:pPr>
        <w:autoSpaceDN w:val="0"/>
        <w:autoSpaceDE w:val="0"/>
        <w:widowControl/>
        <w:spacing w:line="180" w:lineRule="exact" w:before="136" w:after="0"/>
        <w:ind w:left="688" w:right="0" w:firstLine="0"/>
        <w:jc w:val="left"/>
      </w:pPr>
      <w:r>
        <w:rPr>
          <w:rFonts w:ascii="宋体" w:hAnsi="宋体" w:eastAsia="宋体"/>
          <w:b w:val="0"/>
          <w:i w:val="0"/>
          <w:color w:val="000000"/>
          <w:sz w:val="18"/>
        </w:rPr>
        <w:t xml:space="preserve">注：上表中人员年龄，为截至报告期末的实际年龄。 </w:t>
      </w:r>
    </w:p>
    <w:p>
      <w:pPr>
        <w:autoSpaceDN w:val="0"/>
        <w:autoSpaceDE w:val="0"/>
        <w:widowControl/>
        <w:spacing w:line="354" w:lineRule="exact" w:before="326" w:after="0"/>
        <w:ind w:left="688" w:right="4896" w:firstLine="0"/>
        <w:jc w:val="left"/>
      </w:pPr>
      <w:r>
        <w:rPr>
          <w:rFonts w:ascii="宋体" w:hAnsi="宋体" w:eastAsia="宋体"/>
          <w:b w:val="0"/>
          <w:i w:val="0"/>
          <w:color w:val="000000"/>
          <w:sz w:val="18"/>
        </w:rPr>
        <w:t xml:space="preserve">报告期是否存在任期内董事、监事离任和高级管理人员解聘的情况 </w:t>
      </w:r>
      <w:r>
        <w:br/>
      </w:r>
      <w:r>
        <w:rPr>
          <w:rFonts w:ascii="Times New Roman" w:hAnsi="Times New Roman" w:eastAsia="Times New Roman"/>
          <w:b w:val="0"/>
          <w:i w:val="0"/>
          <w:color w:val="000000"/>
          <w:sz w:val="18"/>
        </w:rPr>
        <w:t>√</w:t>
      </w:r>
      <w:r>
        <w:rPr>
          <w:rFonts w:ascii="宋体" w:hAnsi="宋体" w:eastAsia="宋体"/>
          <w:b w:val="0"/>
          <w:i w:val="0"/>
          <w:color w:val="000000"/>
          <w:sz w:val="18"/>
        </w:rPr>
        <w:t xml:space="preserve">是 □否 </w:t>
      </w:r>
    </w:p>
    <w:p>
      <w:pPr>
        <w:autoSpaceDN w:val="0"/>
        <w:autoSpaceDE w:val="0"/>
        <w:widowControl/>
        <w:spacing w:line="212" w:lineRule="exact" w:before="298" w:after="0"/>
        <w:ind w:left="1108" w:right="0" w:firstLine="0"/>
        <w:jc w:val="left"/>
      </w:pPr>
      <w:r>
        <w:rPr>
          <w:rFonts w:ascii="宋体" w:hAnsi="宋体" w:eastAsia="宋体"/>
          <w:b w:val="0"/>
          <w:i w:val="0"/>
          <w:color w:val="000000"/>
          <w:sz w:val="21"/>
        </w:rPr>
        <w:t>2024 年9 月18 日，公司第四届董事会第二十三次会议审议通过《关于聘任高级管理人员的议案》。</w:t>
      </w:r>
    </w:p>
    <w:p>
      <w:pPr>
        <w:autoSpaceDN w:val="0"/>
        <w:autoSpaceDE w:val="0"/>
        <w:widowControl/>
        <w:spacing w:line="460" w:lineRule="exact" w:before="0" w:after="0"/>
        <w:ind w:left="688" w:right="890" w:firstLine="0"/>
        <w:jc w:val="both"/>
      </w:pPr>
      <w:r>
        <w:rPr>
          <w:rFonts w:ascii="宋体" w:hAnsi="宋体" w:eastAsia="宋体"/>
          <w:b w:val="0"/>
          <w:i w:val="0"/>
          <w:color w:val="000000"/>
          <w:sz w:val="21"/>
        </w:rPr>
        <w:t>同意聘任谢卫先生担任公司副总经理，本次聘任后，谢卫先生任公司副总经理、执行委员会委员；同意</w:t>
      </w:r>
      <w:r>
        <w:rPr>
          <w:rFonts w:ascii="宋体" w:hAnsi="宋体" w:eastAsia="宋体"/>
          <w:b w:val="0"/>
          <w:i w:val="0"/>
          <w:color w:val="000000"/>
          <w:sz w:val="21"/>
        </w:rPr>
        <w:t>聘任赵雪先生担任公司副总经理、执行委员会委员。上述高级管理人员任期自本次董事会审议通过之日</w:t>
      </w:r>
      <w:r>
        <w:rPr>
          <w:rFonts w:ascii="宋体" w:hAnsi="宋体" w:eastAsia="宋体"/>
          <w:b w:val="0"/>
          <w:i w:val="0"/>
          <w:color w:val="000000"/>
          <w:sz w:val="21"/>
        </w:rPr>
        <w:t xml:space="preserve">起至第四届董事会届满之日止（详见公司公告：临2024-025）。 </w:t>
      </w:r>
    </w:p>
    <w:p>
      <w:pPr>
        <w:autoSpaceDN w:val="0"/>
        <w:autoSpaceDE w:val="0"/>
        <w:widowControl/>
        <w:spacing w:line="460" w:lineRule="exact" w:before="0" w:after="0"/>
        <w:ind w:left="688" w:right="576" w:firstLine="420"/>
        <w:jc w:val="left"/>
      </w:pPr>
      <w:r>
        <w:rPr>
          <w:rFonts w:ascii="宋体" w:hAnsi="宋体" w:eastAsia="宋体"/>
          <w:b w:val="0"/>
          <w:i w:val="0"/>
          <w:color w:val="000000"/>
          <w:sz w:val="21"/>
        </w:rPr>
        <w:t>同日，公司董事会收到董事会审计委员会委员乔俊峰先生以及高级管理人员刘润照先生、李江雷先</w:t>
      </w:r>
      <w:r>
        <w:rPr>
          <w:rFonts w:ascii="宋体" w:hAnsi="宋体" w:eastAsia="宋体"/>
          <w:b w:val="0"/>
          <w:i w:val="0"/>
          <w:color w:val="000000"/>
          <w:sz w:val="21"/>
        </w:rPr>
        <w:t>生递交的书面辞职申请。因工作调整，乔俊峰先生申请辞去董事会审计委员会委员职务，辞职后仍继续</w:t>
      </w:r>
      <w:r>
        <w:rPr>
          <w:rFonts w:ascii="宋体" w:hAnsi="宋体" w:eastAsia="宋体"/>
          <w:b w:val="0"/>
          <w:i w:val="0"/>
          <w:color w:val="000000"/>
          <w:sz w:val="21"/>
        </w:rPr>
        <w:t>担任公司职工董事、执行委员会委员职务，同时担任子公司山证资管副总经理职务；刘润照先生申请辞</w:t>
      </w:r>
      <w:r>
        <w:rPr>
          <w:rFonts w:ascii="宋体" w:hAnsi="宋体" w:eastAsia="宋体"/>
          <w:b w:val="0"/>
          <w:i w:val="0"/>
          <w:color w:val="000000"/>
          <w:sz w:val="21"/>
        </w:rPr>
        <w:t>去公司副总经理、执行委员会委员职务，辞职后，刘润照先生不在公司及下属控股子公司担任任何职务；</w:t>
      </w:r>
      <w:r>
        <w:rPr>
          <w:rFonts w:ascii="宋体" w:hAnsi="宋体" w:eastAsia="宋体"/>
          <w:b w:val="0"/>
          <w:i w:val="0"/>
          <w:color w:val="000000"/>
          <w:sz w:val="21"/>
        </w:rPr>
        <w:t>李江雷先生申请辞去公司执行委员会委员职务，辞职后，李江雷先生继续担任子公司山证国际副董事长、</w:t>
      </w:r>
      <w:r>
        <w:rPr>
          <w:rFonts w:ascii="宋体" w:hAnsi="宋体" w:eastAsia="宋体"/>
          <w:b w:val="0"/>
          <w:i w:val="0"/>
          <w:color w:val="000000"/>
          <w:sz w:val="21"/>
        </w:rPr>
        <w:t>副行政总裁、首席风险官和合规总监职务。乔俊峰先生、刘润照先生、李江雷先生的辞职申请自送达公</w:t>
      </w:r>
      <w:r>
        <w:rPr>
          <w:rFonts w:ascii="宋体" w:hAnsi="宋体" w:eastAsia="宋体"/>
          <w:b w:val="0"/>
          <w:i w:val="0"/>
          <w:color w:val="000000"/>
          <w:sz w:val="21"/>
        </w:rPr>
        <w:t xml:space="preserve">司董事会之日起生效（详见公司公告：临2024-026、027）。 </w:t>
      </w:r>
    </w:p>
    <w:p>
      <w:pPr>
        <w:autoSpaceDN w:val="0"/>
        <w:autoSpaceDE w:val="0"/>
        <w:widowControl/>
        <w:spacing w:line="460" w:lineRule="exact" w:before="2" w:after="0"/>
        <w:ind w:left="688" w:right="576" w:firstLine="420"/>
        <w:jc w:val="left"/>
      </w:pPr>
      <w:r>
        <w:rPr>
          <w:rFonts w:ascii="宋体" w:hAnsi="宋体" w:eastAsia="宋体"/>
          <w:b w:val="0"/>
          <w:i w:val="0"/>
          <w:color w:val="000000"/>
          <w:sz w:val="21"/>
        </w:rPr>
        <w:t>2025 年4 月24 日，公司第四届董事会第二十五次会议审议通过《关于聘任高级管理人员的议案》。</w:t>
      </w:r>
      <w:r>
        <w:rPr>
          <w:rFonts w:ascii="宋体" w:hAnsi="宋体" w:eastAsia="宋体"/>
          <w:b w:val="0"/>
          <w:i w:val="0"/>
          <w:color w:val="000000"/>
          <w:sz w:val="21"/>
        </w:rPr>
        <w:t>同意聘任汤建雄先生担任公司首席风险官，本次聘任后，汤建雄先生任公司副总经理、执行委员会委员、</w:t>
      </w:r>
      <w:r>
        <w:rPr>
          <w:rFonts w:ascii="宋体" w:hAnsi="宋体" w:eastAsia="宋体"/>
          <w:b w:val="0"/>
          <w:i w:val="0"/>
          <w:color w:val="000000"/>
          <w:sz w:val="21"/>
        </w:rPr>
        <w:t>首席风险官职务。汤建雄先生任期自本次董事会审议通过之日起至第四届董事会届满之日止（详见公司</w:t>
      </w:r>
      <w:r>
        <w:rPr>
          <w:rFonts w:ascii="宋体" w:hAnsi="宋体" w:eastAsia="宋体"/>
          <w:b w:val="0"/>
          <w:i w:val="0"/>
          <w:color w:val="000000"/>
          <w:sz w:val="21"/>
        </w:rPr>
        <w:t xml:space="preserve">公告：临2025-005）。 </w:t>
      </w:r>
    </w:p>
    <w:p>
      <w:pPr>
        <w:autoSpaceDN w:val="0"/>
        <w:autoSpaceDE w:val="0"/>
        <w:widowControl/>
        <w:spacing w:line="460" w:lineRule="exact" w:before="0" w:after="0"/>
        <w:ind w:left="688" w:right="886" w:firstLine="420"/>
        <w:jc w:val="both"/>
      </w:pPr>
      <w:r>
        <w:rPr>
          <w:rFonts w:ascii="宋体" w:hAnsi="宋体" w:eastAsia="宋体"/>
          <w:b w:val="0"/>
          <w:i w:val="0"/>
          <w:color w:val="000000"/>
          <w:sz w:val="21"/>
        </w:rPr>
        <w:t>同日，公司董事会收到高级管理人员乔俊峰先生、闫晓华女士递交的书面辞职申请。因年龄原因，</w:t>
      </w:r>
      <w:r>
        <w:rPr>
          <w:rFonts w:ascii="宋体" w:hAnsi="宋体" w:eastAsia="宋体"/>
          <w:b w:val="0"/>
          <w:i w:val="0"/>
          <w:color w:val="000000"/>
          <w:sz w:val="21"/>
        </w:rPr>
        <w:t>乔俊峰先生申请辞去公司执行委员会委员职务，辞职后，乔俊峰先生继续担任公司职工董事职务，同时</w:t>
      </w:r>
      <w:r>
        <w:rPr>
          <w:rFonts w:ascii="宋体" w:hAnsi="宋体" w:eastAsia="宋体"/>
          <w:b w:val="0"/>
          <w:i w:val="0"/>
          <w:color w:val="000000"/>
          <w:sz w:val="21"/>
        </w:rPr>
        <w:t>继续担任子公司山证资管副总经理职务；因年龄原因，闫晓华女士申请辞去公司首席风险官、执行委员</w:t>
      </w:r>
      <w:r>
        <w:rPr>
          <w:rFonts w:ascii="宋体" w:hAnsi="宋体" w:eastAsia="宋体"/>
          <w:b w:val="0"/>
          <w:i w:val="0"/>
          <w:color w:val="000000"/>
          <w:sz w:val="21"/>
        </w:rPr>
        <w:t>会委员职务，辞职后，闫晓华女士继续担任子公司山证资管监事职务。乔俊峰先生、闫晓华女士的辞职</w:t>
      </w:r>
      <w:r>
        <w:rPr>
          <w:rFonts w:ascii="宋体" w:hAnsi="宋体" w:eastAsia="宋体"/>
          <w:b w:val="0"/>
          <w:i w:val="0"/>
          <w:color w:val="000000"/>
          <w:sz w:val="21"/>
        </w:rPr>
        <w:t>申请于送达公司董事会时生效（详见公司公告：临2025-013）。</w:t>
      </w:r>
    </w:p>
    <w:p>
      <w:pPr>
        <w:autoSpaceDN w:val="0"/>
        <w:autoSpaceDE w:val="0"/>
        <w:widowControl/>
        <w:spacing w:line="180" w:lineRule="exact" w:before="540" w:after="126"/>
        <w:ind w:left="688" w:right="0" w:firstLine="0"/>
        <w:jc w:val="left"/>
      </w:pPr>
      <w:r>
        <w:rPr>
          <w:rFonts w:ascii="宋体" w:hAnsi="宋体" w:eastAsia="宋体"/>
          <w:b w:val="0"/>
          <w:i w:val="0"/>
          <w:color w:val="000000"/>
          <w:sz w:val="18"/>
        </w:rPr>
        <w:t xml:space="preserve">公司董事、监事、高级管理人员变动情况 </w:t>
      </w:r>
    </w:p>
    <w:tbl>
      <w:tblPr>
        <w:tblW w:type="auto" w:w="0"/>
        <w:tblLayout w:type="fixed"/>
        <w:tblLook w:firstColumn="1" w:firstRow="1" w:lastColumn="0" w:lastRow="0" w:noHBand="0" w:noVBand="1" w:val="04A0"/>
        <w:tblInd w:w="686.0" w:type="dxa"/>
      </w:tblPr>
      <w:tblGrid>
        <w:gridCol w:w="2206"/>
        <w:gridCol w:w="2206"/>
        <w:gridCol w:w="2206"/>
        <w:gridCol w:w="2206"/>
        <w:gridCol w:w="2206"/>
      </w:tblGrid>
      <w:tr>
        <w:trPr>
          <w:trHeight w:hRule="exact" w:val="404"/>
        </w:trPr>
        <w:tc>
          <w:tcPr>
            <w:tcW w:type="dxa" w:w="994"/>
            <w:tcBorders>
              <w:start w:sz="2.3999999999999773" w:val="single" w:color="#000000"/>
              <w:top w:sz="1.5999999999994543" w:val="single" w:color="#000000"/>
              <w:end w:sz="2.3999999999999773"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222" w:firstLine="0"/>
              <w:jc w:val="right"/>
            </w:pPr>
            <w:r>
              <w:rPr>
                <w:rFonts w:ascii="宋体" w:hAnsi="宋体" w:eastAsia="宋体"/>
                <w:b w:val="0"/>
                <w:i w:val="0"/>
                <w:color w:val="000000"/>
                <w:sz w:val="18"/>
              </w:rPr>
              <w:t xml:space="preserve">姓名 </w:t>
            </w:r>
          </w:p>
        </w:tc>
        <w:tc>
          <w:tcPr>
            <w:tcW w:type="dxa" w:w="2978"/>
            <w:tcBorders>
              <w:start w:sz="2.3999999999999773" w:val="single" w:color="#000000"/>
              <w:top w:sz="1.5999999999994543" w:val="single" w:color="#000000"/>
              <w:end w:sz="1.6000000000001364"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948" w:firstLine="0"/>
              <w:jc w:val="right"/>
            </w:pPr>
            <w:r>
              <w:rPr>
                <w:rFonts w:ascii="宋体" w:hAnsi="宋体" w:eastAsia="宋体"/>
                <w:b w:val="0"/>
                <w:i w:val="0"/>
                <w:color w:val="000000"/>
                <w:sz w:val="18"/>
              </w:rPr>
              <w:t xml:space="preserve">担任的职务 </w:t>
            </w:r>
          </w:p>
        </w:tc>
        <w:tc>
          <w:tcPr>
            <w:tcW w:type="dxa" w:w="1814"/>
            <w:tcBorders>
              <w:start w:sz="1.6000000000001364" w:val="single" w:color="#000000"/>
              <w:top w:sz="1.5999999999994543"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类型 </w:t>
            </w:r>
          </w:p>
        </w:tc>
        <w:tc>
          <w:tcPr>
            <w:tcW w:type="dxa" w:w="1928"/>
            <w:tcBorders>
              <w:start w:sz="1.599999999999909" w:val="single" w:color="#000000"/>
              <w:top w:sz="1.5999999999994543"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692" w:firstLine="0"/>
              <w:jc w:val="right"/>
            </w:pPr>
            <w:r>
              <w:rPr>
                <w:rFonts w:ascii="宋体" w:hAnsi="宋体" w:eastAsia="宋体"/>
                <w:b w:val="0"/>
                <w:i w:val="0"/>
                <w:color w:val="000000"/>
                <w:sz w:val="18"/>
              </w:rPr>
              <w:t xml:space="preserve">日期 </w:t>
            </w:r>
          </w:p>
        </w:tc>
        <w:tc>
          <w:tcPr>
            <w:tcW w:type="dxa" w:w="1928"/>
            <w:tcBorders>
              <w:start w:sz="1.599999999999909" w:val="single" w:color="#000000"/>
              <w:top w:sz="1.5999999999994543" w:val="single" w:color="#000000"/>
              <w:end w:sz="1.5999999999994543"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0" w:right="694" w:firstLine="0"/>
              <w:jc w:val="right"/>
            </w:pPr>
            <w:r>
              <w:rPr>
                <w:rFonts w:ascii="宋体" w:hAnsi="宋体" w:eastAsia="宋体"/>
                <w:b w:val="0"/>
                <w:i w:val="0"/>
                <w:color w:val="000000"/>
                <w:sz w:val="18"/>
              </w:rPr>
              <w:t xml:space="preserve">原因 </w:t>
            </w:r>
          </w:p>
        </w:tc>
      </w:tr>
      <w:tr>
        <w:trPr>
          <w:trHeight w:hRule="exact" w:val="400"/>
        </w:trPr>
        <w:tc>
          <w:tcPr>
            <w:tcW w:type="dxa" w:w="994"/>
            <w:tcBorders>
              <w:start w:sz="2.3999999999999773" w:val="single" w:color="#000000"/>
              <w:top w:sz="2.399999999999636" w:val="single" w:color="#000000"/>
              <w:end w:sz="2.3999999999999773" w:val="single" w:color="#000000"/>
              <w:bottom w:sz="1.6000000000003638" w:val="single" w:color="#000000"/>
            </w:tcBorders>
            <w:tcMar>
              <w:start w:w="0" w:type="dxa"/>
              <w:end w:w="0" w:type="dxa"/>
            </w:tcMar>
          </w:tcPr>
          <w:p>
            <w:pPr>
              <w:autoSpaceDN w:val="0"/>
              <w:autoSpaceDE w:val="0"/>
              <w:widowControl/>
              <w:spacing w:line="180" w:lineRule="exact" w:before="114" w:after="0"/>
              <w:ind w:left="226" w:right="0" w:firstLine="0"/>
              <w:jc w:val="left"/>
            </w:pPr>
            <w:r>
              <w:rPr>
                <w:rFonts w:ascii="宋体" w:hAnsi="宋体" w:eastAsia="宋体"/>
                <w:b w:val="0"/>
                <w:i w:val="0"/>
                <w:color w:val="000000"/>
                <w:sz w:val="18"/>
              </w:rPr>
              <w:t xml:space="preserve">谢  卫 </w:t>
            </w:r>
          </w:p>
        </w:tc>
        <w:tc>
          <w:tcPr>
            <w:tcW w:type="dxa" w:w="2978"/>
            <w:tcBorders>
              <w:start w:sz="2.3999999999999773"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114" w:after="0"/>
              <w:ind w:left="0" w:right="1036" w:firstLine="0"/>
              <w:jc w:val="right"/>
            </w:pPr>
            <w:r>
              <w:rPr>
                <w:rFonts w:ascii="宋体" w:hAnsi="宋体" w:eastAsia="宋体"/>
                <w:b w:val="0"/>
                <w:i w:val="0"/>
                <w:color w:val="000000"/>
                <w:sz w:val="18"/>
              </w:rPr>
              <w:t xml:space="preserve">副总经理 </w:t>
            </w:r>
          </w:p>
        </w:tc>
        <w:tc>
          <w:tcPr>
            <w:tcW w:type="dxa" w:w="1814"/>
            <w:tcBorders>
              <w:start w:sz="1.6000000000001364"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聘任 </w:t>
            </w:r>
          </w:p>
        </w:tc>
        <w:tc>
          <w:tcPr>
            <w:tcW w:type="dxa" w:w="1928"/>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2024.09.18 </w:t>
            </w:r>
          </w:p>
        </w:tc>
        <w:tc>
          <w:tcPr>
            <w:tcW w:type="dxa" w:w="1928"/>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工作变动 </w:t>
            </w:r>
          </w:p>
        </w:tc>
      </w:tr>
    </w:tbl>
    <w:p>
      <w:pPr>
        <w:autoSpaceDN w:val="0"/>
        <w:autoSpaceDE w:val="0"/>
        <w:widowControl/>
        <w:spacing w:line="197" w:lineRule="auto" w:before="710" w:after="0"/>
        <w:ind w:left="0" w:right="0" w:firstLine="0"/>
        <w:jc w:val="center"/>
      </w:pPr>
      <w:r>
        <w:rPr>
          <w:rFonts w:ascii="Calibri" w:hAnsi="Calibri" w:eastAsia="Calibri"/>
          <w:b w:val="0"/>
          <w:i w:val="0"/>
          <w:color w:val="000000"/>
          <w:sz w:val="18"/>
        </w:rPr>
        <w:t xml:space="preserve">70 </w:t>
      </w:r>
    </w:p>
    <w:p>
      <w:pPr>
        <w:sectPr>
          <w:type w:val="continuous"/>
          <w:pgSz w:w="11904" w:h="16841"/>
          <w:pgMar w:top="424" w:right="426" w:bottom="446" w:left="446"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3" name="Picture 7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tbl>
      <w:tblPr>
        <w:tblW w:type="auto" w:w="0"/>
        <w:tblLayout w:type="fixed"/>
        <w:tblLook w:firstColumn="1" w:firstRow="1" w:lastColumn="0" w:lastRow="0" w:noHBand="0" w:noVBand="1" w:val="04A0"/>
        <w:tblInd w:w="27.99999999999997" w:type="dxa"/>
      </w:tblPr>
      <w:tblGrid>
        <w:gridCol w:w="1980"/>
        <w:gridCol w:w="1980"/>
        <w:gridCol w:w="1980"/>
        <w:gridCol w:w="1980"/>
        <w:gridCol w:w="1980"/>
      </w:tblGrid>
      <w:tr>
        <w:trPr>
          <w:trHeight w:hRule="exact" w:val="402"/>
        </w:trPr>
        <w:tc>
          <w:tcPr>
            <w:tcW w:type="dxa" w:w="994"/>
            <w:tcBorders>
              <w:start w:sz="2.3999999999999773" w:val="single" w:color="#000000"/>
              <w:top w:sz="5.600000000000023" w:val="single" w:color="#000000"/>
              <w:end w:sz="2.3999999999999773" w:val="single" w:color="#000000"/>
              <w:bottom w:sz="2.3999999999999773" w:val="single" w:color="#000000"/>
            </w:tcBorders>
            <w:tcMar>
              <w:start w:w="0" w:type="dxa"/>
              <w:end w:w="0" w:type="dxa"/>
            </w:tcMar>
          </w:tcPr>
          <w:p>
            <w:pPr>
              <w:autoSpaceDN w:val="0"/>
              <w:autoSpaceDE w:val="0"/>
              <w:widowControl/>
              <w:spacing w:line="180" w:lineRule="exact" w:before="110" w:after="0"/>
              <w:ind w:left="226" w:right="0" w:firstLine="0"/>
              <w:jc w:val="left"/>
            </w:pPr>
            <w:r>
              <w:rPr>
                <w:rFonts w:ascii="宋体" w:hAnsi="宋体" w:eastAsia="宋体"/>
                <w:b w:val="0"/>
                <w:i w:val="0"/>
                <w:color w:val="000000"/>
                <w:sz w:val="18"/>
              </w:rPr>
              <w:t xml:space="preserve">赵  雪 </w:t>
            </w:r>
          </w:p>
        </w:tc>
        <w:tc>
          <w:tcPr>
            <w:tcW w:type="dxa" w:w="2978"/>
            <w:tcBorders>
              <w:start w:sz="2.3999999999999773" w:val="single" w:color="#000000"/>
              <w:top w:sz="5.600000000000023" w:val="single" w:color="#000000"/>
              <w:end w:sz="1.6000000000001364" w:val="single" w:color="#000000"/>
              <w:bottom w:sz="2.3999999999999773" w:val="single" w:color="#000000"/>
            </w:tcBorders>
            <w:tcMar>
              <w:start w:w="0" w:type="dxa"/>
              <w:end w:w="0" w:type="dxa"/>
            </w:tcMar>
          </w:tcPr>
          <w:p>
            <w:pPr>
              <w:autoSpaceDN w:val="0"/>
              <w:autoSpaceDE w:val="0"/>
              <w:widowControl/>
              <w:spacing w:line="180" w:lineRule="exact" w:before="110" w:after="0"/>
              <w:ind w:left="406" w:right="0" w:firstLine="0"/>
              <w:jc w:val="left"/>
            </w:pPr>
            <w:r>
              <w:rPr>
                <w:rFonts w:ascii="宋体" w:hAnsi="宋体" w:eastAsia="宋体"/>
                <w:b w:val="0"/>
                <w:i w:val="0"/>
                <w:color w:val="000000"/>
                <w:sz w:val="18"/>
              </w:rPr>
              <w:t xml:space="preserve">副总经理、执行委员会委员 </w:t>
            </w:r>
          </w:p>
        </w:tc>
        <w:tc>
          <w:tcPr>
            <w:tcW w:type="dxa" w:w="1814"/>
            <w:tcBorders>
              <w:start w:sz="1.6000000000001364" w:val="single" w:color="#000000"/>
              <w:top w:sz="5.600000000000023" w:val="single" w:color="#000000"/>
              <w:end w:sz="1.599999999999909" w:val="single" w:color="#000000"/>
              <w:bottom w:sz="2.3999999999999773" w:val="single" w:color="#000000"/>
            </w:tcBorders>
            <w:tcMar>
              <w:start w:w="0" w:type="dxa"/>
              <w:end w:w="0" w:type="dxa"/>
            </w:tcMar>
          </w:tcPr>
          <w:p>
            <w:pPr>
              <w:autoSpaceDN w:val="0"/>
              <w:autoSpaceDE w:val="0"/>
              <w:widowControl/>
              <w:spacing w:line="180" w:lineRule="exact" w:before="110" w:after="0"/>
              <w:ind w:left="0" w:right="636" w:firstLine="0"/>
              <w:jc w:val="right"/>
            </w:pPr>
            <w:r>
              <w:rPr>
                <w:rFonts w:ascii="宋体" w:hAnsi="宋体" w:eastAsia="宋体"/>
                <w:b w:val="0"/>
                <w:i w:val="0"/>
                <w:color w:val="000000"/>
                <w:sz w:val="18"/>
              </w:rPr>
              <w:t xml:space="preserve">聘任 </w:t>
            </w:r>
          </w:p>
        </w:tc>
        <w:tc>
          <w:tcPr>
            <w:tcW w:type="dxa" w:w="1928"/>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Pr>
          <w:p>
            <w:pPr>
              <w:autoSpaceDN w:val="0"/>
              <w:autoSpaceDE w:val="0"/>
              <w:widowControl/>
              <w:spacing w:line="180" w:lineRule="exact" w:before="110" w:after="0"/>
              <w:ind w:left="0" w:right="422" w:firstLine="0"/>
              <w:jc w:val="right"/>
            </w:pPr>
            <w:r>
              <w:rPr>
                <w:rFonts w:ascii="宋体" w:hAnsi="宋体" w:eastAsia="宋体"/>
                <w:b w:val="0"/>
                <w:i w:val="0"/>
                <w:color w:val="000000"/>
                <w:sz w:val="18"/>
              </w:rPr>
              <w:t xml:space="preserve">2024.09.18 </w:t>
            </w:r>
          </w:p>
        </w:tc>
        <w:tc>
          <w:tcPr>
            <w:tcW w:type="dxa" w:w="1928"/>
            <w:tcBorders>
              <w:start w:sz="1.599999999999909" w:val="single" w:color="#000000"/>
              <w:top w:sz="5.600000000000023" w:val="single" w:color="#000000"/>
              <w:end w:sz="1.5999999999994543" w:val="single" w:color="#000000"/>
              <w:bottom w:sz="2.3999999999999773" w:val="single" w:color="#000000"/>
            </w:tcBorders>
            <w:tcMar>
              <w:start w:w="0" w:type="dxa"/>
              <w:end w:w="0" w:type="dxa"/>
            </w:tcMar>
          </w:tcPr>
          <w:p>
            <w:pPr>
              <w:autoSpaceDN w:val="0"/>
              <w:autoSpaceDE w:val="0"/>
              <w:widowControl/>
              <w:spacing w:line="180" w:lineRule="exact" w:before="110" w:after="0"/>
              <w:ind w:left="0" w:right="514" w:firstLine="0"/>
              <w:jc w:val="right"/>
            </w:pPr>
            <w:r>
              <w:rPr>
                <w:rFonts w:ascii="宋体" w:hAnsi="宋体" w:eastAsia="宋体"/>
                <w:b w:val="0"/>
                <w:i w:val="0"/>
                <w:color w:val="000000"/>
                <w:sz w:val="18"/>
              </w:rPr>
              <w:t xml:space="preserve">工作变动 </w:t>
            </w:r>
          </w:p>
        </w:tc>
      </w:tr>
      <w:tr>
        <w:trPr>
          <w:trHeight w:hRule="exact" w:val="402"/>
        </w:trPr>
        <w:tc>
          <w:tcPr>
            <w:tcW w:type="dxa" w:w="994"/>
            <w:tcBorders>
              <w:start w:sz="2.3999999999999773" w:val="single" w:color="#000000"/>
              <w:top w:sz="2.3999999999999773" w:val="single" w:color="#000000"/>
              <w:end w:sz="2.3999999999999773" w:val="single" w:color="#000000"/>
              <w:bottom w:sz="1.6000000000000227" w:val="single" w:color="#000000"/>
            </w:tcBorders>
            <w:tcMar>
              <w:start w:w="0" w:type="dxa"/>
              <w:end w:w="0" w:type="dxa"/>
            </w:tcMar>
          </w:tcPr>
          <w:p>
            <w:pPr>
              <w:autoSpaceDN w:val="0"/>
              <w:autoSpaceDE w:val="0"/>
              <w:widowControl/>
              <w:spacing w:line="180" w:lineRule="exact" w:before="114" w:after="0"/>
              <w:ind w:left="226" w:right="0" w:firstLine="0"/>
              <w:jc w:val="left"/>
            </w:pPr>
            <w:r>
              <w:rPr>
                <w:rFonts w:ascii="宋体" w:hAnsi="宋体" w:eastAsia="宋体"/>
                <w:b w:val="0"/>
                <w:i w:val="0"/>
                <w:color w:val="000000"/>
                <w:sz w:val="18"/>
              </w:rPr>
              <w:t xml:space="preserve">乔俊峰 </w:t>
            </w:r>
          </w:p>
        </w:tc>
        <w:tc>
          <w:tcPr>
            <w:tcW w:type="dxa" w:w="2978"/>
            <w:tcBorders>
              <w:start w:sz="2.3999999999999773" w:val="single" w:color="#000000"/>
              <w:top w:sz="2.3999999999999773" w:val="single" w:color="#000000"/>
              <w:end w:sz="1.6000000000001364" w:val="single" w:color="#000000"/>
              <w:bottom w:sz="1.6000000000000227" w:val="single" w:color="#000000"/>
            </w:tcBorders>
            <w:tcMar>
              <w:start w:w="0" w:type="dxa"/>
              <w:end w:w="0" w:type="dxa"/>
            </w:tcMar>
          </w:tcPr>
          <w:p>
            <w:pPr>
              <w:autoSpaceDN w:val="0"/>
              <w:autoSpaceDE w:val="0"/>
              <w:widowControl/>
              <w:spacing w:line="180" w:lineRule="exact" w:before="114" w:after="0"/>
              <w:ind w:left="586" w:right="0" w:firstLine="0"/>
              <w:jc w:val="left"/>
            </w:pPr>
            <w:r>
              <w:rPr>
                <w:rFonts w:ascii="宋体" w:hAnsi="宋体" w:eastAsia="宋体"/>
                <w:b w:val="0"/>
                <w:i w:val="0"/>
                <w:color w:val="000000"/>
                <w:sz w:val="18"/>
              </w:rPr>
              <w:t xml:space="preserve">董事会审计委员会委员 </w:t>
            </w:r>
          </w:p>
        </w:tc>
        <w:tc>
          <w:tcPr>
            <w:tcW w:type="dxa" w:w="1814"/>
            <w:tcBorders>
              <w:start w:sz="1.6000000000001364" w:val="single" w:color="#000000"/>
              <w:top w:sz="2.3999999999999773" w:val="single" w:color="#000000"/>
              <w:end w:sz="1.599999999999909" w:val="single" w:color="#000000"/>
              <w:bottom w:sz="1.6000000000000227"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离任 </w:t>
            </w:r>
          </w:p>
        </w:tc>
        <w:tc>
          <w:tcPr>
            <w:tcW w:type="dxa" w:w="1928"/>
            <w:tcBorders>
              <w:start w:sz="1.599999999999909" w:val="single" w:color="#000000"/>
              <w:top w:sz="2.3999999999999773" w:val="single" w:color="#000000"/>
              <w:end w:sz="1.599999999999909" w:val="single" w:color="#000000"/>
              <w:bottom w:sz="1.6000000000000227"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2024.09.18 </w:t>
            </w:r>
          </w:p>
        </w:tc>
        <w:tc>
          <w:tcPr>
            <w:tcW w:type="dxa" w:w="1928"/>
            <w:tcBorders>
              <w:start w:sz="1.599999999999909" w:val="single" w:color="#000000"/>
              <w:top w:sz="2.3999999999999773" w:val="single" w:color="#000000"/>
              <w:end w:sz="1.5999999999994543" w:val="single" w:color="#000000"/>
              <w:bottom w:sz="1.6000000000000227"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工作变动 </w:t>
            </w:r>
          </w:p>
        </w:tc>
      </w:tr>
      <w:tr>
        <w:trPr>
          <w:trHeight w:hRule="exact" w:val="400"/>
        </w:trPr>
        <w:tc>
          <w:tcPr>
            <w:tcW w:type="dxa" w:w="994"/>
            <w:tcBorders>
              <w:start w:sz="2.3999999999999773" w:val="single" w:color="#000000"/>
              <w:top w:sz="1.6000000000000227"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114" w:after="0"/>
              <w:ind w:left="226" w:right="0" w:firstLine="0"/>
              <w:jc w:val="left"/>
            </w:pPr>
            <w:r>
              <w:rPr>
                <w:rFonts w:ascii="宋体" w:hAnsi="宋体" w:eastAsia="宋体"/>
                <w:b w:val="0"/>
                <w:i w:val="0"/>
                <w:color w:val="000000"/>
                <w:sz w:val="18"/>
              </w:rPr>
              <w:t xml:space="preserve">刘润照 </w:t>
            </w:r>
          </w:p>
        </w:tc>
        <w:tc>
          <w:tcPr>
            <w:tcW w:type="dxa" w:w="2978"/>
            <w:tcBorders>
              <w:start w:sz="2.3999999999999773" w:val="single" w:color="#000000"/>
              <w:top w:sz="1.6000000000000227"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114" w:after="0"/>
              <w:ind w:left="226" w:right="0" w:firstLine="0"/>
              <w:jc w:val="left"/>
            </w:pPr>
            <w:r>
              <w:rPr>
                <w:rFonts w:ascii="宋体" w:hAnsi="宋体" w:eastAsia="宋体"/>
                <w:b w:val="0"/>
                <w:i w:val="0"/>
                <w:color w:val="000000"/>
                <w:sz w:val="18"/>
              </w:rPr>
              <w:t xml:space="preserve">公司副总经理、执行委员会委员 </w:t>
            </w:r>
          </w:p>
        </w:tc>
        <w:tc>
          <w:tcPr>
            <w:tcW w:type="dxa" w:w="1814"/>
            <w:tcBorders>
              <w:start w:sz="1.6000000000001364" w:val="single" w:color="#000000"/>
              <w:top w:sz="1.6000000000000227"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解聘 </w:t>
            </w:r>
          </w:p>
        </w:tc>
        <w:tc>
          <w:tcPr>
            <w:tcW w:type="dxa" w:w="1928"/>
            <w:tcBorders>
              <w:start w:sz="1.599999999999909" w:val="single" w:color="#000000"/>
              <w:top w:sz="1.6000000000000227"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2024.09.18 </w:t>
            </w:r>
          </w:p>
        </w:tc>
        <w:tc>
          <w:tcPr>
            <w:tcW w:type="dxa" w:w="1928"/>
            <w:tcBorders>
              <w:start w:sz="1.599999999999909" w:val="single" w:color="#000000"/>
              <w:top w:sz="1.6000000000000227"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工作变动 </w:t>
            </w:r>
          </w:p>
        </w:tc>
      </w:tr>
      <w:tr>
        <w:trPr>
          <w:trHeight w:hRule="exact" w:val="404"/>
        </w:trPr>
        <w:tc>
          <w:tcPr>
            <w:tcW w:type="dxa" w:w="994"/>
            <w:tcBorders>
              <w:start w:sz="2.3999999999999773"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114" w:after="0"/>
              <w:ind w:left="226" w:right="0" w:firstLine="0"/>
              <w:jc w:val="left"/>
            </w:pPr>
            <w:r>
              <w:rPr>
                <w:rFonts w:ascii="宋体" w:hAnsi="宋体" w:eastAsia="宋体"/>
                <w:b w:val="0"/>
                <w:i w:val="0"/>
                <w:color w:val="000000"/>
                <w:sz w:val="18"/>
              </w:rPr>
              <w:t xml:space="preserve">李江雷 </w:t>
            </w:r>
          </w:p>
        </w:tc>
        <w:tc>
          <w:tcPr>
            <w:tcW w:type="dxa" w:w="2978"/>
            <w:tcBorders>
              <w:start w:sz="2.3999999999999773"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114" w:after="0"/>
              <w:ind w:left="0" w:right="768" w:firstLine="0"/>
              <w:jc w:val="right"/>
            </w:pPr>
            <w:r>
              <w:rPr>
                <w:rFonts w:ascii="宋体" w:hAnsi="宋体" w:eastAsia="宋体"/>
                <w:b w:val="0"/>
                <w:i w:val="0"/>
                <w:color w:val="000000"/>
                <w:sz w:val="18"/>
              </w:rPr>
              <w:t xml:space="preserve">执行委员会委员 </w:t>
            </w:r>
          </w:p>
        </w:tc>
        <w:tc>
          <w:tcPr>
            <w:tcW w:type="dxa" w:w="1814"/>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解聘 </w:t>
            </w:r>
          </w:p>
        </w:tc>
        <w:tc>
          <w:tcPr>
            <w:tcW w:type="dxa" w:w="1928"/>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2024.09.18 </w:t>
            </w:r>
          </w:p>
        </w:tc>
        <w:tc>
          <w:tcPr>
            <w:tcW w:type="dxa" w:w="1928"/>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工作变动 </w:t>
            </w:r>
          </w:p>
        </w:tc>
      </w:tr>
      <w:tr>
        <w:trPr>
          <w:trHeight w:hRule="exact" w:val="402"/>
        </w:trPr>
        <w:tc>
          <w:tcPr>
            <w:tcW w:type="dxa" w:w="994"/>
            <w:tcBorders>
              <w:top w:sz="1.599999999999909" w:val="single" w:color="#000000"/>
              <w:end w:sz="2.3999999999999773" w:val="single" w:color="#000000"/>
              <w:bottom w:sz="2.3999999999998636" w:val="single" w:color="#000000"/>
            </w:tcBorders>
            <w:tcMar>
              <w:start w:w="0" w:type="dxa"/>
              <w:end w:w="0" w:type="dxa"/>
            </w:tcMar>
          </w:tcPr>
          <w:p>
            <w:pPr>
              <w:autoSpaceDN w:val="0"/>
              <w:autoSpaceDE w:val="0"/>
              <w:widowControl/>
              <w:spacing w:line="180" w:lineRule="exact" w:before="114" w:after="0"/>
              <w:ind w:left="230" w:right="0" w:firstLine="0"/>
              <w:jc w:val="left"/>
            </w:pPr>
            <w:r>
              <w:rPr>
                <w:rFonts w:ascii="宋体" w:hAnsi="宋体" w:eastAsia="宋体"/>
                <w:b w:val="0"/>
                <w:i w:val="0"/>
                <w:color w:val="000000"/>
                <w:sz w:val="18"/>
              </w:rPr>
              <w:t xml:space="preserve">汤建雄 </w:t>
            </w:r>
          </w:p>
        </w:tc>
        <w:tc>
          <w:tcPr>
            <w:tcW w:type="dxa" w:w="2978"/>
            <w:tcBorders>
              <w:start w:sz="2.3999999999999773" w:val="single" w:color="#000000"/>
              <w:top w:sz="1.599999999999909" w:val="single" w:color="#000000"/>
              <w:end w:sz="1.6000000000001364" w:val="single" w:color="#000000"/>
              <w:bottom w:sz="2.3999999999998636" w:val="single" w:color="#000000"/>
            </w:tcBorders>
            <w:tcMar>
              <w:start w:w="0" w:type="dxa"/>
              <w:end w:w="0" w:type="dxa"/>
            </w:tcMar>
          </w:tcPr>
          <w:p>
            <w:pPr>
              <w:autoSpaceDN w:val="0"/>
              <w:autoSpaceDE w:val="0"/>
              <w:widowControl/>
              <w:spacing w:line="180" w:lineRule="exact" w:before="114" w:after="0"/>
              <w:ind w:left="0" w:right="948" w:firstLine="0"/>
              <w:jc w:val="right"/>
            </w:pPr>
            <w:r>
              <w:rPr>
                <w:rFonts w:ascii="宋体" w:hAnsi="宋体" w:eastAsia="宋体"/>
                <w:b w:val="0"/>
                <w:i w:val="0"/>
                <w:color w:val="000000"/>
                <w:sz w:val="18"/>
              </w:rPr>
              <w:t xml:space="preserve">首席风险官 </w:t>
            </w:r>
          </w:p>
        </w:tc>
        <w:tc>
          <w:tcPr>
            <w:tcW w:type="dxa" w:w="1814"/>
            <w:tcBorders>
              <w:start w:sz="1.6000000000001364"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聘任 </w:t>
            </w:r>
          </w:p>
        </w:tc>
        <w:tc>
          <w:tcPr>
            <w:tcW w:type="dxa" w:w="1928"/>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2025.04.24 </w:t>
            </w:r>
          </w:p>
        </w:tc>
        <w:tc>
          <w:tcPr>
            <w:tcW w:type="dxa" w:w="1928"/>
            <w:tcBorders>
              <w:start w:sz="1.599999999999909" w:val="single" w:color="#000000"/>
              <w:top w:sz="1.599999999999909" w:val="single" w:color="#000000"/>
              <w:end w:sz="1.5999999999994543" w:val="single" w:color="#000000"/>
              <w:bottom w:sz="2.3999999999998636"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工作变动 </w:t>
            </w:r>
          </w:p>
        </w:tc>
      </w:tr>
      <w:tr>
        <w:trPr>
          <w:trHeight w:hRule="exact" w:val="402"/>
        </w:trPr>
        <w:tc>
          <w:tcPr>
            <w:tcW w:type="dxa" w:w="994"/>
            <w:tcBorders>
              <w:top w:sz="2.3999999999998636" w:val="single" w:color="#000000"/>
              <w:end w:sz="2.3999999999999773" w:val="single" w:color="#000000"/>
              <w:bottom w:sz="1.6000000000001364" w:val="single" w:color="#000000"/>
            </w:tcBorders>
            <w:tcMar>
              <w:start w:w="0" w:type="dxa"/>
              <w:end w:w="0" w:type="dxa"/>
            </w:tcMar>
          </w:tcPr>
          <w:p>
            <w:pPr>
              <w:autoSpaceDN w:val="0"/>
              <w:autoSpaceDE w:val="0"/>
              <w:widowControl/>
              <w:spacing w:line="180" w:lineRule="exact" w:before="114" w:after="0"/>
              <w:ind w:left="230" w:right="0" w:firstLine="0"/>
              <w:jc w:val="left"/>
            </w:pPr>
            <w:r>
              <w:rPr>
                <w:rFonts w:ascii="宋体" w:hAnsi="宋体" w:eastAsia="宋体"/>
                <w:b w:val="0"/>
                <w:i w:val="0"/>
                <w:color w:val="000000"/>
                <w:sz w:val="18"/>
              </w:rPr>
              <w:t xml:space="preserve">乔俊峰 </w:t>
            </w:r>
          </w:p>
        </w:tc>
        <w:tc>
          <w:tcPr>
            <w:tcW w:type="dxa" w:w="2978"/>
            <w:tcBorders>
              <w:start w:sz="2.3999999999999773" w:val="single" w:color="#000000"/>
              <w:top w:sz="2.3999999999998636" w:val="single" w:color="#000000"/>
              <w:end w:sz="1.6000000000001364" w:val="single" w:color="#000000"/>
              <w:bottom w:sz="1.6000000000001364" w:val="single" w:color="#000000"/>
            </w:tcBorders>
            <w:tcMar>
              <w:start w:w="0" w:type="dxa"/>
              <w:end w:w="0" w:type="dxa"/>
            </w:tcMar>
          </w:tcPr>
          <w:p>
            <w:pPr>
              <w:autoSpaceDN w:val="0"/>
              <w:autoSpaceDE w:val="0"/>
              <w:widowControl/>
              <w:spacing w:line="180" w:lineRule="exact" w:before="114" w:after="0"/>
              <w:ind w:left="0" w:right="768" w:firstLine="0"/>
              <w:jc w:val="right"/>
            </w:pPr>
            <w:r>
              <w:rPr>
                <w:rFonts w:ascii="宋体" w:hAnsi="宋体" w:eastAsia="宋体"/>
                <w:b w:val="0"/>
                <w:i w:val="0"/>
                <w:color w:val="000000"/>
                <w:sz w:val="18"/>
              </w:rPr>
              <w:t xml:space="preserve">执行委员会委员 </w:t>
            </w:r>
          </w:p>
        </w:tc>
        <w:tc>
          <w:tcPr>
            <w:tcW w:type="dxa" w:w="1814"/>
            <w:tcBorders>
              <w:start w:sz="1.6000000000001364"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解聘 </w:t>
            </w:r>
          </w:p>
        </w:tc>
        <w:tc>
          <w:tcPr>
            <w:tcW w:type="dxa" w:w="1928"/>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2025.04.24 </w:t>
            </w:r>
          </w:p>
        </w:tc>
        <w:tc>
          <w:tcPr>
            <w:tcW w:type="dxa" w:w="1928"/>
            <w:tcBorders>
              <w:start w:sz="1.599999999999909" w:val="single" w:color="#000000"/>
              <w:top w:sz="2.3999999999998636" w:val="single" w:color="#000000"/>
              <w:end w:sz="1.5999999999994543" w:val="single" w:color="#000000"/>
              <w:bottom w:sz="1.6000000000001364"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年龄原因 </w:t>
            </w:r>
          </w:p>
        </w:tc>
      </w:tr>
      <w:tr>
        <w:trPr>
          <w:trHeight w:hRule="exact" w:val="400"/>
        </w:trPr>
        <w:tc>
          <w:tcPr>
            <w:tcW w:type="dxa" w:w="994"/>
            <w:tcBorders>
              <w:top w:sz="1.6000000000001364"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114" w:after="0"/>
              <w:ind w:left="230" w:right="0" w:firstLine="0"/>
              <w:jc w:val="left"/>
            </w:pPr>
            <w:r>
              <w:rPr>
                <w:rFonts w:ascii="宋体" w:hAnsi="宋体" w:eastAsia="宋体"/>
                <w:b w:val="0"/>
                <w:i w:val="0"/>
                <w:color w:val="000000"/>
                <w:sz w:val="18"/>
              </w:rPr>
              <w:t xml:space="preserve">闫晓华 </w:t>
            </w:r>
          </w:p>
        </w:tc>
        <w:tc>
          <w:tcPr>
            <w:tcW w:type="dxa" w:w="2978"/>
            <w:tcBorders>
              <w:start w:sz="2.3999999999999773" w:val="single" w:color="#000000"/>
              <w:top w:sz="1.6000000000001364"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114" w:after="0"/>
              <w:ind w:left="0" w:right="948" w:firstLine="0"/>
              <w:jc w:val="right"/>
            </w:pPr>
            <w:r>
              <w:rPr>
                <w:rFonts w:ascii="宋体" w:hAnsi="宋体" w:eastAsia="宋体"/>
                <w:b w:val="0"/>
                <w:i w:val="0"/>
                <w:color w:val="000000"/>
                <w:sz w:val="18"/>
              </w:rPr>
              <w:t xml:space="preserve">首席风险官 </w:t>
            </w:r>
          </w:p>
        </w:tc>
        <w:tc>
          <w:tcPr>
            <w:tcW w:type="dxa" w:w="1814"/>
            <w:tcBorders>
              <w:start w:sz="1.6000000000001364"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4" w:after="0"/>
              <w:ind w:left="0" w:right="636" w:firstLine="0"/>
              <w:jc w:val="right"/>
            </w:pPr>
            <w:r>
              <w:rPr>
                <w:rFonts w:ascii="宋体" w:hAnsi="宋体" w:eastAsia="宋体"/>
                <w:b w:val="0"/>
                <w:i w:val="0"/>
                <w:color w:val="000000"/>
                <w:sz w:val="18"/>
              </w:rPr>
              <w:t xml:space="preserve">解聘 </w:t>
            </w:r>
          </w:p>
        </w:tc>
        <w:tc>
          <w:tcPr>
            <w:tcW w:type="dxa" w:w="1928"/>
            <w:tcBorders>
              <w:start w:sz="1.599999999999909"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14" w:after="0"/>
              <w:ind w:left="0" w:right="422" w:firstLine="0"/>
              <w:jc w:val="right"/>
            </w:pPr>
            <w:r>
              <w:rPr>
                <w:rFonts w:ascii="宋体" w:hAnsi="宋体" w:eastAsia="宋体"/>
                <w:b w:val="0"/>
                <w:i w:val="0"/>
                <w:color w:val="000000"/>
                <w:sz w:val="18"/>
              </w:rPr>
              <w:t xml:space="preserve">2025.04.24 </w:t>
            </w:r>
          </w:p>
        </w:tc>
        <w:tc>
          <w:tcPr>
            <w:tcW w:type="dxa" w:w="1928"/>
            <w:tcBorders>
              <w:start w:sz="1.599999999999909" w:val="single" w:color="#000000"/>
              <w:top w:sz="1.6000000000001364"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14" w:after="0"/>
              <w:ind w:left="0" w:right="514" w:firstLine="0"/>
              <w:jc w:val="right"/>
            </w:pPr>
            <w:r>
              <w:rPr>
                <w:rFonts w:ascii="宋体" w:hAnsi="宋体" w:eastAsia="宋体"/>
                <w:b w:val="0"/>
                <w:i w:val="0"/>
                <w:color w:val="000000"/>
                <w:sz w:val="18"/>
              </w:rPr>
              <w:t xml:space="preserve">年龄原因 </w:t>
            </w:r>
          </w:p>
        </w:tc>
      </w:tr>
    </w:tbl>
    <w:p>
      <w:pPr>
        <w:autoSpaceDN w:val="0"/>
        <w:autoSpaceDE w:val="0"/>
        <w:widowControl/>
        <w:spacing w:line="212" w:lineRule="exact" w:before="340" w:after="0"/>
        <w:ind w:left="30" w:right="0" w:firstLine="0"/>
        <w:jc w:val="left"/>
      </w:pPr>
      <w:r>
        <w:rPr>
          <w:rFonts w:ascii="宋体" w:hAnsi="宋体" w:eastAsia="宋体"/>
          <w:b w:val="0"/>
          <w:i w:val="0"/>
          <w:color w:val="000000"/>
          <w:sz w:val="21"/>
        </w:rPr>
        <w:t xml:space="preserve">2、任职情况 </w:t>
      </w:r>
    </w:p>
    <w:p>
      <w:pPr>
        <w:autoSpaceDN w:val="0"/>
        <w:tabs>
          <w:tab w:pos="450" w:val="left"/>
          <w:tab w:pos="452" w:val="left"/>
        </w:tabs>
        <w:autoSpaceDE w:val="0"/>
        <w:widowControl/>
        <w:spacing w:line="460" w:lineRule="exact" w:before="264" w:after="0"/>
        <w:ind w:left="30" w:right="144" w:firstLine="0"/>
        <w:jc w:val="left"/>
      </w:pPr>
      <w:r>
        <w:tab/>
      </w:r>
      <w:r>
        <w:rPr>
          <w:rFonts w:ascii="宋体" w:hAnsi="宋体" w:eastAsia="宋体"/>
          <w:b w:val="0"/>
          <w:i w:val="0"/>
          <w:color w:val="000000"/>
          <w:sz w:val="21"/>
        </w:rPr>
        <w:t xml:space="preserve">（1）董事工作经历及任职情况 </w:t>
      </w:r>
      <w:r>
        <w:br/>
      </w:r>
      <w:r>
        <w:tab/>
      </w:r>
      <w:r>
        <w:rPr>
          <w:rFonts w:ascii="宋体" w:hAnsi="宋体" w:eastAsia="宋体"/>
          <w:b w:val="0"/>
          <w:i w:val="0"/>
          <w:color w:val="000000"/>
          <w:sz w:val="21"/>
        </w:rPr>
        <w:t xml:space="preserve">侯巍先生 </w:t>
      </w:r>
      <w:r>
        <w:br/>
      </w:r>
      <w:r>
        <w:tab/>
      </w:r>
      <w:r>
        <w:rPr>
          <w:rFonts w:ascii="宋体" w:hAnsi="宋体" w:eastAsia="宋体"/>
          <w:b w:val="0"/>
          <w:i w:val="0"/>
          <w:color w:val="000000"/>
          <w:sz w:val="21"/>
        </w:rPr>
        <w:t>公司党委书记、董事长、执行委员会主任，1972 年8 月出生，中共党员，硕士学位，于1994 年7 月</w:t>
      </w:r>
      <w:r>
        <w:rPr>
          <w:rFonts w:ascii="宋体" w:hAnsi="宋体" w:eastAsia="宋体"/>
          <w:b w:val="0"/>
          <w:i w:val="0"/>
          <w:color w:val="000000"/>
          <w:sz w:val="21"/>
        </w:rPr>
        <w:t>加入本公司。自2014 年12 月起担任公司党委书记，2015 年2 月起担任公司董事长，2020 年12 月起担</w:t>
      </w:r>
      <w:r>
        <w:rPr>
          <w:rFonts w:ascii="宋体" w:hAnsi="宋体" w:eastAsia="宋体"/>
          <w:b w:val="0"/>
          <w:i w:val="0"/>
          <w:color w:val="000000"/>
          <w:sz w:val="21"/>
        </w:rPr>
        <w:t xml:space="preserve">任公司执行委员会主任。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自2020 年6 月起担任山西金融投资控股集团有限公司党委委员，2022 年4 月起担任党委专职副书记、</w:t>
      </w:r>
      <w:r>
        <w:rPr>
          <w:rFonts w:ascii="宋体" w:hAnsi="宋体" w:eastAsia="宋体"/>
          <w:b w:val="0"/>
          <w:i w:val="0"/>
          <w:color w:val="000000"/>
          <w:sz w:val="21"/>
        </w:rPr>
        <w:t>副董事长，2022 年9 月起担任工会主席；2009 年4 月起兼任中德证券有限责任公司董事长； 2018 年12</w:t>
      </w:r>
      <w:r>
        <w:rPr>
          <w:rFonts w:ascii="宋体" w:hAnsi="宋体" w:eastAsia="宋体"/>
          <w:b w:val="0"/>
          <w:i w:val="0"/>
          <w:color w:val="000000"/>
          <w:sz w:val="21"/>
        </w:rPr>
        <w:t>月受聘为中共山西省委联系服务的高级专家；2020 年4 月起兼任上交所战略发展委员会委员、债券发展</w:t>
      </w:r>
      <w:r>
        <w:rPr>
          <w:rFonts w:ascii="宋体" w:hAnsi="宋体" w:eastAsia="宋体"/>
          <w:b w:val="0"/>
          <w:i w:val="0"/>
          <w:color w:val="000000"/>
          <w:sz w:val="21"/>
        </w:rPr>
        <w:t>委员会委员，2020 年12 月起兼任山西省证券业协会会长，2021 年3 月起兼任深交所战略发展委员会委</w:t>
      </w:r>
      <w:r>
        <w:rPr>
          <w:rFonts w:ascii="宋体" w:hAnsi="宋体" w:eastAsia="宋体"/>
          <w:b w:val="0"/>
          <w:i w:val="0"/>
          <w:color w:val="000000"/>
          <w:sz w:val="21"/>
        </w:rPr>
        <w:t xml:space="preserve">员，2021 年5 月起兼任中国证券业协会理事，2021 年9 月起兼任中国上市公司协会理事。 </w:t>
      </w:r>
    </w:p>
    <w:p>
      <w:pPr>
        <w:autoSpaceDN w:val="0"/>
        <w:autoSpaceDE w:val="0"/>
        <w:widowControl/>
        <w:spacing w:line="460" w:lineRule="exact" w:before="2" w:after="0"/>
        <w:ind w:left="30" w:right="0" w:firstLine="420"/>
        <w:jc w:val="left"/>
      </w:pPr>
      <w:r>
        <w:rPr>
          <w:rFonts w:ascii="宋体" w:hAnsi="宋体" w:eastAsia="宋体"/>
          <w:b w:val="0"/>
          <w:i w:val="0"/>
          <w:color w:val="000000"/>
          <w:sz w:val="21"/>
        </w:rPr>
        <w:t>1994 年7 月至2001 年12 月期间曾任山西省信托投资公司南宫证券营业部经理助理、监理、副经理、</w:t>
      </w:r>
      <w:r>
        <w:rPr>
          <w:rFonts w:ascii="宋体" w:hAnsi="宋体" w:eastAsia="宋体"/>
          <w:b w:val="0"/>
          <w:i w:val="0"/>
          <w:color w:val="000000"/>
          <w:sz w:val="21"/>
        </w:rPr>
        <w:t>经理、证券业务部投资银行部经理；2001 年12 月至2020 年12 月期间曾任本公司副总经理、党委委员、</w:t>
      </w:r>
      <w:r>
        <w:rPr>
          <w:rFonts w:ascii="宋体" w:hAnsi="宋体" w:eastAsia="宋体"/>
          <w:b w:val="0"/>
          <w:i w:val="0"/>
          <w:color w:val="000000"/>
          <w:sz w:val="21"/>
        </w:rPr>
        <w:t>董事、总经理、党委副书记；2013 年11 月至2021 年6 月期间曾任山西股权交易中心有限公司董事、董</w:t>
      </w:r>
      <w:r>
        <w:rPr>
          <w:rFonts w:ascii="宋体" w:hAnsi="宋体" w:eastAsia="宋体"/>
          <w:b w:val="0"/>
          <w:i w:val="0"/>
          <w:color w:val="000000"/>
          <w:sz w:val="21"/>
        </w:rPr>
        <w:t xml:space="preserve">事长。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王怡里先生 </w:t>
      </w:r>
      <w:r>
        <w:br/>
      </w:r>
      <w:r>
        <w:tab/>
      </w:r>
      <w:r>
        <w:rPr>
          <w:rFonts w:ascii="宋体" w:hAnsi="宋体" w:eastAsia="宋体"/>
          <w:b w:val="0"/>
          <w:i w:val="0"/>
          <w:color w:val="000000"/>
          <w:sz w:val="21"/>
        </w:rPr>
        <w:t>公司党委副书记、副董事长、总经理、执行委员会委员、董事会秘书，1973 年6 月出生，中共党员，</w:t>
      </w:r>
      <w:r>
        <w:rPr>
          <w:rFonts w:ascii="宋体" w:hAnsi="宋体" w:eastAsia="宋体"/>
          <w:b w:val="0"/>
          <w:i w:val="0"/>
          <w:color w:val="000000"/>
          <w:sz w:val="21"/>
        </w:rPr>
        <w:t>本科学历，于2002 年3 月加入本公司。自2010 年4 月起担任公司董事会秘书；2020 年8 月起担任公司</w:t>
      </w:r>
      <w:r>
        <w:rPr>
          <w:rFonts w:ascii="宋体" w:hAnsi="宋体" w:eastAsia="宋体"/>
          <w:b w:val="0"/>
          <w:i w:val="0"/>
          <w:color w:val="000000"/>
          <w:sz w:val="21"/>
        </w:rPr>
        <w:t xml:space="preserve">党委副书记；2020 年12 月起担任公司副董事长、总经理、执行委员会委员。 </w:t>
      </w:r>
    </w:p>
    <w:p>
      <w:pPr>
        <w:autoSpaceDN w:val="0"/>
        <w:autoSpaceDE w:val="0"/>
        <w:widowControl/>
        <w:spacing w:line="458" w:lineRule="exact" w:before="4" w:after="0"/>
        <w:ind w:left="30" w:right="0" w:firstLine="420"/>
        <w:jc w:val="left"/>
      </w:pPr>
      <w:r>
        <w:rPr>
          <w:rFonts w:ascii="宋体" w:hAnsi="宋体" w:eastAsia="宋体"/>
          <w:b w:val="0"/>
          <w:i w:val="0"/>
          <w:color w:val="000000"/>
          <w:sz w:val="21"/>
        </w:rPr>
        <w:t>自2016 年11 月起兼任中德证券有限责任公司董事；2019 年1 月起兼任山西省金融学会理事会副会</w:t>
      </w:r>
      <w:r>
        <w:rPr>
          <w:rFonts w:ascii="宋体" w:hAnsi="宋体" w:eastAsia="宋体"/>
          <w:b w:val="0"/>
          <w:i w:val="0"/>
          <w:color w:val="000000"/>
          <w:sz w:val="21"/>
        </w:rPr>
        <w:t>长；2020 年12 月起兼任山西省证券业协会副会长；2021 年6 月起兼任山西股权交易中心有限公司董事；</w:t>
      </w:r>
      <w:r>
        <w:rPr>
          <w:rFonts w:ascii="宋体" w:hAnsi="宋体" w:eastAsia="宋体"/>
          <w:b w:val="0"/>
          <w:i w:val="0"/>
          <w:color w:val="000000"/>
          <w:sz w:val="21"/>
        </w:rPr>
        <w:t>2022 年1 月起兼任中国证券业协会人才发展专业委员会副主任委员；2024 年8 月至今兼任山证国际金融</w:t>
      </w:r>
    </w:p>
    <w:p>
      <w:pPr>
        <w:autoSpaceDN w:val="0"/>
        <w:autoSpaceDE w:val="0"/>
        <w:widowControl/>
        <w:spacing w:line="197" w:lineRule="auto" w:before="844" w:after="0"/>
        <w:ind w:left="0" w:right="4922" w:firstLine="0"/>
        <w:jc w:val="right"/>
      </w:pPr>
      <w:r>
        <w:rPr>
          <w:rFonts w:ascii="Calibri" w:hAnsi="Calibri" w:eastAsia="Calibri"/>
          <w:b w:val="0"/>
          <w:i w:val="0"/>
          <w:color w:val="000000"/>
          <w:sz w:val="18"/>
        </w:rPr>
        <w:t xml:space="preserve">71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4" name="Picture 7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36" w:lineRule="exact" w:before="0" w:after="0"/>
        <w:ind w:left="30" w:right="144" w:firstLine="0"/>
        <w:jc w:val="left"/>
      </w:pPr>
      <w:r>
        <w:rPr>
          <w:rFonts w:ascii="宋体" w:hAnsi="宋体" w:eastAsia="宋体"/>
          <w:b w:val="0"/>
          <w:i w:val="0"/>
          <w:color w:val="000000"/>
          <w:sz w:val="21"/>
        </w:rPr>
        <w:t>控股有限公司董事长；2024 年9 月至今兼任山证投资有限责任公司执行董事、山证创新投资有限公司执</w:t>
      </w:r>
      <w:r>
        <w:rPr>
          <w:rFonts w:ascii="宋体" w:hAnsi="宋体" w:eastAsia="宋体"/>
          <w:b w:val="0"/>
          <w:i w:val="0"/>
          <w:color w:val="000000"/>
          <w:sz w:val="21"/>
        </w:rPr>
        <w:t xml:space="preserve">行董事。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2002 年4 月至2013 年3 月期间曾任本公司资产管理部副总经理、资产管理部总监、综合管理部总经</w:t>
      </w:r>
      <w:r>
        <w:rPr>
          <w:rFonts w:ascii="宋体" w:hAnsi="宋体" w:eastAsia="宋体"/>
          <w:b w:val="0"/>
          <w:i w:val="0"/>
          <w:color w:val="000000"/>
          <w:sz w:val="21"/>
        </w:rPr>
        <w:t>理、董事会办公室总经理、行政保卫部总经理；2010 年2 月至2020 年12 月期间曾任公司党委委员、副</w:t>
      </w:r>
      <w:r>
        <w:rPr>
          <w:rFonts w:ascii="宋体" w:hAnsi="宋体" w:eastAsia="宋体"/>
          <w:b w:val="0"/>
          <w:i w:val="0"/>
          <w:color w:val="000000"/>
          <w:sz w:val="21"/>
        </w:rPr>
        <w:t>总经理、第三届董事会职工董事；2013 年6 月至2022 年2 月期间曾任山证基金管理有限公司董事长、山</w:t>
      </w:r>
      <w:r>
        <w:rPr>
          <w:rFonts w:ascii="宋体" w:hAnsi="宋体" w:eastAsia="宋体"/>
          <w:b w:val="0"/>
          <w:i w:val="0"/>
          <w:color w:val="000000"/>
          <w:sz w:val="21"/>
        </w:rPr>
        <w:t>证资本管理(北京)有限公司董事长、龙华启富投资有限责任公司（2019 年7 月更名为山证投资有限责任</w:t>
      </w:r>
      <w:r>
        <w:rPr>
          <w:rFonts w:ascii="宋体" w:hAnsi="宋体" w:eastAsia="宋体"/>
          <w:b w:val="0"/>
          <w:i w:val="0"/>
          <w:color w:val="000000"/>
          <w:sz w:val="21"/>
        </w:rPr>
        <w:t>公司）董事长、龙华启富(深圳)股权投资基金管理有限公司董事长、山证创新投资有限公司执行董事、</w:t>
      </w:r>
      <w:r>
        <w:rPr>
          <w:rFonts w:ascii="宋体" w:hAnsi="宋体" w:eastAsia="宋体"/>
          <w:b w:val="0"/>
          <w:i w:val="0"/>
          <w:color w:val="000000"/>
          <w:sz w:val="21"/>
        </w:rPr>
        <w:t>山证科技（深圳）有限公司总经理；2020 年3 月至2024 年9 月曾任山证科技（深圳）有限公司执行董事；</w:t>
      </w:r>
      <w:r>
        <w:rPr>
          <w:rFonts w:ascii="宋体" w:hAnsi="宋体" w:eastAsia="宋体"/>
          <w:b w:val="0"/>
          <w:i w:val="0"/>
          <w:color w:val="000000"/>
          <w:sz w:val="21"/>
        </w:rPr>
        <w:t>2021 年10 月至2024 年9 月曾任格林大华期货有限公司党委书记，2022 年7 月至2024 年11 月曾任格林</w:t>
      </w:r>
      <w:r>
        <w:rPr>
          <w:rFonts w:ascii="宋体" w:hAnsi="宋体" w:eastAsia="宋体"/>
          <w:b w:val="0"/>
          <w:i w:val="0"/>
          <w:color w:val="000000"/>
          <w:sz w:val="21"/>
        </w:rPr>
        <w:t xml:space="preserve">大华期货有限公司董事长。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刘鹏飞先生 </w:t>
      </w:r>
      <w:r>
        <w:br/>
      </w:r>
      <w:r>
        <w:tab/>
      </w:r>
      <w:r>
        <w:rPr>
          <w:rFonts w:ascii="宋体" w:hAnsi="宋体" w:eastAsia="宋体"/>
          <w:b w:val="0"/>
          <w:i w:val="0"/>
          <w:color w:val="000000"/>
          <w:sz w:val="21"/>
        </w:rPr>
        <w:t>山西金融投资控股集团有限公司党委委员、职工董事、副总经理，1981 年6 月出生，中共党员，硕</w:t>
      </w:r>
      <w:r>
        <w:rPr>
          <w:rFonts w:ascii="宋体" w:hAnsi="宋体" w:eastAsia="宋体"/>
          <w:b w:val="0"/>
          <w:i w:val="0"/>
          <w:color w:val="000000"/>
          <w:sz w:val="21"/>
        </w:rPr>
        <w:t>士学位，于2020 年12 月起担任本公司董事。自2019 年12 月起担任山西金融投资控股集团有限公司职</w:t>
      </w:r>
      <w:r>
        <w:rPr>
          <w:rFonts w:ascii="宋体" w:hAnsi="宋体" w:eastAsia="宋体"/>
          <w:b w:val="0"/>
          <w:i w:val="0"/>
          <w:color w:val="000000"/>
          <w:sz w:val="21"/>
        </w:rPr>
        <w:t>工董事，2022 年9 月起担任山西金融投资控股集团有限公司党委委员，2022 年11 月起担任山西金融投</w:t>
      </w:r>
      <w:r>
        <w:rPr>
          <w:rFonts w:ascii="宋体" w:hAnsi="宋体" w:eastAsia="宋体"/>
          <w:b w:val="0"/>
          <w:i w:val="0"/>
          <w:color w:val="000000"/>
          <w:sz w:val="21"/>
        </w:rPr>
        <w:t xml:space="preserve">资控股集团有限公司副总经理。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自2021 年5 月起兼任山西金控资本管理有限公司董事长；2021 年7 月起兼任山西金控资本管理有限</w:t>
      </w:r>
      <w:r>
        <w:rPr>
          <w:rFonts w:ascii="宋体" w:hAnsi="宋体" w:eastAsia="宋体"/>
          <w:b w:val="0"/>
          <w:i w:val="0"/>
          <w:color w:val="000000"/>
          <w:sz w:val="21"/>
        </w:rPr>
        <w:t>公司党支部书记；2023 年9 月起兼任山西金信清洁引导投资有限公司临时党支部书记；2024 年5 月起兼</w:t>
      </w:r>
      <w:r>
        <w:rPr>
          <w:rFonts w:ascii="宋体" w:hAnsi="宋体" w:eastAsia="宋体"/>
          <w:b w:val="0"/>
          <w:i w:val="0"/>
          <w:color w:val="000000"/>
          <w:sz w:val="21"/>
        </w:rPr>
        <w:t xml:space="preserve">任汇丰晋信基金管理有限公司董事长。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2016 年8 月至2017 年2 月曾任山西国信投资集团有限公司投资管理部副总经理；2017 年2 月至</w:t>
      </w:r>
      <w:r>
        <w:rPr>
          <w:rFonts w:ascii="宋体" w:hAnsi="宋体" w:eastAsia="宋体"/>
          <w:b w:val="0"/>
          <w:i w:val="0"/>
          <w:color w:val="000000"/>
          <w:sz w:val="21"/>
        </w:rPr>
        <w:t>2018 年2 月曾任山西金融投资控股集团有限公司资本运营部副总经理；2017 年3 月至2024 年9 月曾任</w:t>
      </w:r>
      <w:r>
        <w:rPr>
          <w:rFonts w:ascii="宋体" w:hAnsi="宋体" w:eastAsia="宋体"/>
          <w:b w:val="0"/>
          <w:i w:val="0"/>
          <w:color w:val="000000"/>
          <w:sz w:val="21"/>
        </w:rPr>
        <w:t>山西省融资再担保集团有限公司董事；2018 年2 月至2019 年11 月曾任山西金融投资控股集团有限公司</w:t>
      </w:r>
      <w:r>
        <w:rPr>
          <w:rFonts w:ascii="宋体" w:hAnsi="宋体" w:eastAsia="宋体"/>
          <w:b w:val="0"/>
          <w:i w:val="0"/>
          <w:color w:val="000000"/>
          <w:sz w:val="21"/>
        </w:rPr>
        <w:t>资本运营部副总经理（主持工作）；2019 年12 月至2024 年4 月曾任山西金融投资控股集团有限公司金融</w:t>
      </w:r>
      <w:r>
        <w:rPr>
          <w:rFonts w:ascii="宋体" w:hAnsi="宋体" w:eastAsia="宋体"/>
          <w:b w:val="0"/>
          <w:i w:val="0"/>
          <w:color w:val="000000"/>
          <w:sz w:val="21"/>
        </w:rPr>
        <w:t>投资部总经理；2020 年5 月至2024 年6 月曾任华融晋商资产管理股份有限公司董事；2021 年8 月至</w:t>
      </w:r>
      <w:r>
        <w:rPr>
          <w:rFonts w:ascii="宋体" w:hAnsi="宋体" w:eastAsia="宋体"/>
          <w:b w:val="0"/>
          <w:i w:val="0"/>
          <w:color w:val="000000"/>
          <w:sz w:val="21"/>
        </w:rPr>
        <w:t>2024 年10 月曾任山西信创产业园有限公司执行董事；2024 年2 月至2024 年8 月曾任山西太行产业投资</w:t>
      </w:r>
      <w:r>
        <w:rPr>
          <w:rFonts w:ascii="宋体" w:hAnsi="宋体" w:eastAsia="宋体"/>
          <w:b w:val="0"/>
          <w:i w:val="0"/>
          <w:color w:val="000000"/>
          <w:sz w:val="21"/>
        </w:rPr>
        <w:t xml:space="preserve">基金管理有限公司党委书记、董事长。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李小萍女士 </w:t>
      </w:r>
      <w:r>
        <w:br/>
      </w:r>
      <w:r>
        <w:tab/>
      </w:r>
      <w:r>
        <w:rPr>
          <w:rFonts w:ascii="宋体" w:hAnsi="宋体" w:eastAsia="宋体"/>
          <w:b w:val="0"/>
          <w:i w:val="0"/>
          <w:color w:val="000000"/>
          <w:sz w:val="21"/>
        </w:rPr>
        <w:t>公司工会主席、董事，1971 年12 月出生，中共党员，中央党校研究生，于2018 年1 月加入本公司。</w:t>
      </w:r>
      <w:r>
        <w:rPr>
          <w:rFonts w:ascii="宋体" w:hAnsi="宋体" w:eastAsia="宋体"/>
          <w:b w:val="0"/>
          <w:i w:val="0"/>
          <w:color w:val="000000"/>
          <w:sz w:val="21"/>
        </w:rPr>
        <w:t xml:space="preserve">自2018 年9 月起担任公司工会主席；2020 年12 月起担任公司董事。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1997 年4 月至2003 年3 月期间曾任山西省信托投资公司人事处主任科员；2003 年3 月至2016 年6</w:t>
      </w:r>
    </w:p>
    <w:p>
      <w:pPr>
        <w:autoSpaceDN w:val="0"/>
        <w:autoSpaceDE w:val="0"/>
        <w:widowControl/>
        <w:spacing w:line="197" w:lineRule="auto" w:before="862" w:after="0"/>
        <w:ind w:left="0" w:right="4922" w:firstLine="0"/>
        <w:jc w:val="right"/>
      </w:pPr>
      <w:r>
        <w:rPr>
          <w:rFonts w:ascii="Calibri" w:hAnsi="Calibri" w:eastAsia="Calibri"/>
          <w:b w:val="0"/>
          <w:i w:val="0"/>
          <w:color w:val="000000"/>
          <w:sz w:val="18"/>
        </w:rPr>
        <w:t xml:space="preserve">72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798"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5" name="Picture 7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200" w:lineRule="exact" w:before="0" w:after="30"/>
        <w:ind w:left="0" w:right="35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450" w:lineRule="exact" w:before="0" w:after="0"/>
        <w:ind w:left="30" w:right="330" w:firstLine="0"/>
        <w:jc w:val="both"/>
      </w:pPr>
      <w:r>
        <w:rPr>
          <w:rFonts w:ascii="宋体" w:hAnsi="宋体" w:eastAsia="宋体"/>
          <w:b w:val="0"/>
          <w:i w:val="0"/>
          <w:color w:val="000000"/>
          <w:sz w:val="21"/>
        </w:rPr>
        <w:t>月期间曾任山西省国信投资(集团)公司专职纪检员、纪委副书记、人力资源部经理、纪检委员、纪检委</w:t>
      </w:r>
      <w:r>
        <w:rPr>
          <w:rFonts w:ascii="宋体" w:hAnsi="宋体" w:eastAsia="宋体"/>
          <w:b w:val="0"/>
          <w:i w:val="0"/>
          <w:color w:val="000000"/>
          <w:sz w:val="21"/>
        </w:rPr>
        <w:t>办公室主任、监察室主任、纪委副书记、人力资源总监；2016 年7 月至2018 年2 月期间曾任山西金融投</w:t>
      </w:r>
      <w:r>
        <w:rPr>
          <w:rFonts w:ascii="宋体" w:hAnsi="宋体" w:eastAsia="宋体"/>
          <w:b w:val="0"/>
          <w:i w:val="0"/>
          <w:color w:val="000000"/>
          <w:sz w:val="21"/>
        </w:rPr>
        <w:t>资控股集团有限公司人力资源总监兼党委组织部部长、人力资源部总经理、机关党委书记、机关党委统</w:t>
      </w:r>
      <w:r>
        <w:rPr>
          <w:rFonts w:ascii="宋体" w:hAnsi="宋体" w:eastAsia="宋体"/>
          <w:b w:val="0"/>
          <w:i w:val="0"/>
          <w:color w:val="000000"/>
          <w:sz w:val="21"/>
        </w:rPr>
        <w:t>战委员、工会主席；2017 年2 月到2018 年2 月期间曾任山西省投资集团有限公司监事、监事会主席；</w:t>
      </w:r>
      <w:r>
        <w:rPr>
          <w:rFonts w:ascii="宋体" w:hAnsi="宋体" w:eastAsia="宋体"/>
          <w:b w:val="0"/>
          <w:i w:val="0"/>
          <w:color w:val="000000"/>
          <w:sz w:val="21"/>
        </w:rPr>
        <w:t xml:space="preserve">2018 年2 月至2024 年12 月曾任公司专职党委副书记。 </w:t>
      </w:r>
    </w:p>
    <w:p>
      <w:pPr>
        <w:autoSpaceDN w:val="0"/>
        <w:tabs>
          <w:tab w:pos="450" w:val="left"/>
          <w:tab w:pos="452"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周金晓先生 </w:t>
      </w:r>
      <w:r>
        <w:br/>
      </w:r>
      <w:r>
        <w:tab/>
      </w:r>
      <w:r>
        <w:rPr>
          <w:rFonts w:ascii="宋体" w:hAnsi="宋体" w:eastAsia="宋体"/>
          <w:b w:val="0"/>
          <w:i w:val="0"/>
          <w:color w:val="000000"/>
          <w:sz w:val="21"/>
        </w:rPr>
        <w:t>太原钢铁（集团）有限公司资本运营和海外事业发展部部长，1973 年11 月出生，中共党员，本科学</w:t>
      </w:r>
      <w:r>
        <w:rPr>
          <w:rFonts w:ascii="宋体" w:hAnsi="宋体" w:eastAsia="宋体"/>
          <w:b w:val="0"/>
          <w:i w:val="0"/>
          <w:color w:val="000000"/>
          <w:sz w:val="21"/>
        </w:rPr>
        <w:t>历，于2020 年12 月起担任本公司董事。自2022 年7 月起担任太原钢铁（集团）有限公司资本运营和海</w:t>
      </w:r>
      <w:r>
        <w:rPr>
          <w:rFonts w:ascii="宋体" w:hAnsi="宋体" w:eastAsia="宋体"/>
          <w:b w:val="0"/>
          <w:i w:val="0"/>
          <w:color w:val="000000"/>
          <w:sz w:val="21"/>
        </w:rPr>
        <w:t xml:space="preserve">外事业发展部部长。 </w:t>
      </w:r>
    </w:p>
    <w:p>
      <w:pPr>
        <w:autoSpaceDN w:val="0"/>
        <w:autoSpaceDE w:val="0"/>
        <w:widowControl/>
        <w:spacing w:line="460" w:lineRule="exact" w:before="2" w:after="0"/>
        <w:ind w:left="30" w:right="20" w:firstLine="420"/>
        <w:jc w:val="both"/>
      </w:pPr>
      <w:r>
        <w:rPr>
          <w:rFonts w:ascii="宋体" w:hAnsi="宋体" w:eastAsia="宋体"/>
          <w:b w:val="0"/>
          <w:i w:val="0"/>
          <w:color w:val="000000"/>
          <w:sz w:val="21"/>
        </w:rPr>
        <w:t>自2020 年4 月兼任石太铁路客运专线有限责任公司董事；2021 年12 月起兼任山西宝地产城发展有</w:t>
      </w:r>
      <w:r>
        <w:rPr>
          <w:rFonts w:ascii="宋体" w:hAnsi="宋体" w:eastAsia="宋体"/>
          <w:b w:val="0"/>
          <w:i w:val="0"/>
          <w:color w:val="000000"/>
          <w:sz w:val="21"/>
        </w:rPr>
        <w:t>限公司董事；2022 年11 月起兼任太钢（天津）商业保理公司执行董事、总经理；2023 年2 月起兼任山</w:t>
      </w:r>
      <w:r>
        <w:rPr>
          <w:rFonts w:ascii="宋体" w:hAnsi="宋体" w:eastAsia="宋体"/>
          <w:b w:val="0"/>
          <w:i w:val="0"/>
          <w:color w:val="000000"/>
          <w:sz w:val="21"/>
        </w:rPr>
        <w:t>西太钢保险代理有限公司执行董事、总经理；2023 年5 月起兼任太钢国际发展（香港）有限公司董事；</w:t>
      </w:r>
      <w:r>
        <w:rPr>
          <w:rFonts w:ascii="宋体" w:hAnsi="宋体" w:eastAsia="宋体"/>
          <w:b w:val="0"/>
          <w:i w:val="0"/>
          <w:color w:val="000000"/>
          <w:sz w:val="21"/>
        </w:rPr>
        <w:t>2023 年6 月起兼任山西太钢投资有限公司执行董事、总经理；2023 年8 月起兼任山西太钢创业投资有限</w:t>
      </w:r>
      <w:r>
        <w:rPr>
          <w:rFonts w:ascii="宋体" w:hAnsi="宋体" w:eastAsia="宋体"/>
          <w:b w:val="0"/>
          <w:i w:val="0"/>
          <w:color w:val="000000"/>
          <w:sz w:val="21"/>
        </w:rPr>
        <w:t xml:space="preserve">公司执行董事、总经理；2023 年12 月起兼任山西太钢不锈钢股份有限公司证券与投资者关系管理部部长。 </w:t>
      </w:r>
    </w:p>
    <w:p>
      <w:pPr>
        <w:autoSpaceDN w:val="0"/>
        <w:autoSpaceDE w:val="0"/>
        <w:widowControl/>
        <w:spacing w:line="460" w:lineRule="exact" w:before="2" w:after="0"/>
        <w:ind w:left="30" w:right="330" w:firstLine="420"/>
        <w:jc w:val="both"/>
      </w:pPr>
      <w:r>
        <w:rPr>
          <w:rFonts w:ascii="宋体" w:hAnsi="宋体" w:eastAsia="宋体"/>
          <w:b w:val="0"/>
          <w:i w:val="0"/>
          <w:color w:val="000000"/>
          <w:sz w:val="21"/>
        </w:rPr>
        <w:t>2007 年7 月至2008 年5 月曾任太原钢铁（集团）有限公司计财部投资管理室主任，2008 年5 月至</w:t>
      </w:r>
      <w:r>
        <w:rPr>
          <w:rFonts w:ascii="宋体" w:hAnsi="宋体" w:eastAsia="宋体"/>
          <w:b w:val="0"/>
          <w:i w:val="0"/>
          <w:color w:val="000000"/>
          <w:sz w:val="21"/>
        </w:rPr>
        <w:t>2009 年1 月曾任太原钢铁（集团）有限公司计财部资产管理室主任，2009 年2 月至2018 年11 月任太钢</w:t>
      </w:r>
      <w:r>
        <w:rPr>
          <w:rFonts w:ascii="宋体" w:hAnsi="宋体" w:eastAsia="宋体"/>
          <w:b w:val="0"/>
          <w:i w:val="0"/>
          <w:color w:val="000000"/>
          <w:sz w:val="21"/>
        </w:rPr>
        <w:t>集团土耳其KROM 公司财务总监，2020 年3 月至2022 年6 月曾任山西太钢不锈钢股份有限公司证券事务</w:t>
      </w:r>
      <w:r>
        <w:rPr>
          <w:rFonts w:ascii="宋体" w:hAnsi="宋体" w:eastAsia="宋体"/>
          <w:b w:val="0"/>
          <w:i w:val="0"/>
          <w:color w:val="000000"/>
          <w:sz w:val="21"/>
        </w:rPr>
        <w:t>代表，2021 年7 月至2022 年6 月曾任太原钢铁（集团）有限公司资本运营部部长和经营财务部副部长、</w:t>
      </w:r>
      <w:r>
        <w:rPr>
          <w:rFonts w:ascii="宋体" w:hAnsi="宋体" w:eastAsia="宋体"/>
          <w:b w:val="0"/>
          <w:i w:val="0"/>
          <w:color w:val="000000"/>
          <w:sz w:val="21"/>
        </w:rPr>
        <w:t xml:space="preserve">山西太钢不锈钢股份有限公司证券与投资者关系管理部部长。 </w:t>
      </w:r>
    </w:p>
    <w:p>
      <w:pPr>
        <w:autoSpaceDN w:val="0"/>
        <w:autoSpaceDE w:val="0"/>
        <w:widowControl/>
        <w:spacing w:line="460" w:lineRule="exact" w:before="0" w:after="0"/>
        <w:ind w:left="450" w:right="2304" w:firstLine="2"/>
        <w:jc w:val="left"/>
      </w:pPr>
      <w:r>
        <w:rPr>
          <w:rFonts w:ascii="宋体" w:hAnsi="宋体" w:eastAsia="宋体"/>
          <w:b w:val="0"/>
          <w:i w:val="0"/>
          <w:color w:val="000000"/>
          <w:sz w:val="21"/>
        </w:rPr>
        <w:t xml:space="preserve">夏贵所先生 </w:t>
      </w:r>
      <w:r>
        <w:br/>
      </w:r>
      <w:r>
        <w:rPr>
          <w:rFonts w:ascii="宋体" w:hAnsi="宋体" w:eastAsia="宋体"/>
          <w:b w:val="0"/>
          <w:i w:val="0"/>
          <w:color w:val="000000"/>
          <w:sz w:val="21"/>
        </w:rPr>
        <w:t xml:space="preserve">1963 年2 月出生，中共党员，本科学历，于2018 年8 月起担任本公司董事。 </w:t>
      </w:r>
    </w:p>
    <w:p>
      <w:pPr>
        <w:autoSpaceDN w:val="0"/>
        <w:tabs>
          <w:tab w:pos="450" w:val="left"/>
        </w:tabs>
        <w:autoSpaceDE w:val="0"/>
        <w:widowControl/>
        <w:spacing w:line="458" w:lineRule="exact" w:before="2" w:after="0"/>
        <w:ind w:left="30" w:right="288" w:firstLine="0"/>
        <w:jc w:val="left"/>
      </w:pPr>
      <w:r>
        <w:tab/>
      </w:r>
      <w:r>
        <w:rPr>
          <w:rFonts w:ascii="宋体" w:hAnsi="宋体" w:eastAsia="宋体"/>
          <w:b w:val="0"/>
          <w:i w:val="0"/>
          <w:color w:val="000000"/>
          <w:sz w:val="21"/>
        </w:rPr>
        <w:t>自2010 年8 月起兼任山西地方电力有限公司董事；2018 年5 月起兼任山西灏鼎能源投资有限公司监</w:t>
      </w:r>
      <w:r>
        <w:rPr>
          <w:rFonts w:ascii="宋体" w:hAnsi="宋体" w:eastAsia="宋体"/>
          <w:b w:val="0"/>
          <w:i w:val="0"/>
          <w:color w:val="000000"/>
          <w:sz w:val="21"/>
        </w:rPr>
        <w:t xml:space="preserve">事；2024 年12 月起兼任朝晖产业投资基金有限公司财务总监。 </w:t>
      </w:r>
    </w:p>
    <w:p>
      <w:pPr>
        <w:autoSpaceDN w:val="0"/>
        <w:autoSpaceDE w:val="0"/>
        <w:widowControl/>
        <w:spacing w:line="460" w:lineRule="exact" w:before="2" w:after="0"/>
        <w:ind w:left="30" w:right="330" w:firstLine="420"/>
        <w:jc w:val="both"/>
      </w:pPr>
      <w:r>
        <w:rPr>
          <w:rFonts w:ascii="宋体" w:hAnsi="宋体" w:eastAsia="宋体"/>
          <w:b w:val="0"/>
          <w:i w:val="0"/>
          <w:color w:val="000000"/>
          <w:sz w:val="21"/>
        </w:rPr>
        <w:t>2001 年11 月至2004 年3 月曾任山西通宝能源股份有限公司总会计师；2004 年3 月至2008 年2 月</w:t>
      </w:r>
      <w:r>
        <w:rPr>
          <w:rFonts w:ascii="宋体" w:hAnsi="宋体" w:eastAsia="宋体"/>
          <w:b w:val="0"/>
          <w:i w:val="0"/>
          <w:color w:val="000000"/>
          <w:sz w:val="21"/>
        </w:rPr>
        <w:t>曾任山西通宝能源股份有限公司副总经理兼会计师；2008 年2 月至2010 年7 月曾任山西国际电力配电管</w:t>
      </w:r>
      <w:r>
        <w:rPr>
          <w:rFonts w:ascii="宋体" w:hAnsi="宋体" w:eastAsia="宋体"/>
          <w:b w:val="0"/>
          <w:i w:val="0"/>
          <w:color w:val="000000"/>
          <w:sz w:val="21"/>
        </w:rPr>
        <w:t>理公司总会计师、党委委员；2010 年7 月至2020 年2 月曾任山西国际电力集团有限公司财务部经理（期</w:t>
      </w:r>
      <w:r>
        <w:rPr>
          <w:rFonts w:ascii="宋体" w:hAnsi="宋体" w:eastAsia="宋体"/>
          <w:b w:val="0"/>
          <w:i w:val="0"/>
          <w:color w:val="000000"/>
          <w:sz w:val="21"/>
        </w:rPr>
        <w:t>间：2014 年2 月至2017 年3 月任晋能电力集团有限公司总会计师、党委委员职务）；2017 年11 月至</w:t>
      </w:r>
      <w:r>
        <w:rPr>
          <w:rFonts w:ascii="宋体" w:hAnsi="宋体" w:eastAsia="宋体"/>
          <w:b w:val="0"/>
          <w:i w:val="0"/>
          <w:color w:val="000000"/>
          <w:sz w:val="21"/>
        </w:rPr>
        <w:t>2020 年2 月曾任晋能集团有限公司财务管理部副部长；2010 年6 月至2024 年4 月曾任山西国电置业有</w:t>
      </w:r>
      <w:r>
        <w:rPr>
          <w:rFonts w:ascii="宋体" w:hAnsi="宋体" w:eastAsia="宋体"/>
          <w:b w:val="0"/>
          <w:i w:val="0"/>
          <w:color w:val="000000"/>
          <w:sz w:val="21"/>
        </w:rPr>
        <w:t xml:space="preserve">限公司董事。 </w:t>
      </w:r>
    </w:p>
    <w:p>
      <w:pPr>
        <w:autoSpaceDN w:val="0"/>
        <w:autoSpaceDE w:val="0"/>
        <w:widowControl/>
        <w:spacing w:line="197" w:lineRule="auto" w:before="862" w:after="0"/>
        <w:ind w:left="0" w:right="5024" w:firstLine="0"/>
        <w:jc w:val="right"/>
      </w:pPr>
      <w:r>
        <w:rPr>
          <w:rFonts w:ascii="Calibri" w:hAnsi="Calibri" w:eastAsia="Calibri"/>
          <w:b w:val="0"/>
          <w:i w:val="0"/>
          <w:color w:val="000000"/>
          <w:sz w:val="18"/>
        </w:rPr>
        <w:t xml:space="preserve">73 </w:t>
      </w:r>
    </w:p>
    <w:p>
      <w:pPr>
        <w:sectPr>
          <w:type w:val="continuous"/>
          <w:pgSz w:w="11904" w:h="16841"/>
          <w:pgMar w:top="424" w:right="798"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6" name="Picture 7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tabs>
          <w:tab w:pos="450" w:val="left"/>
          <w:tab w:pos="452" w:val="left"/>
        </w:tabs>
        <w:autoSpaceDE w:val="0"/>
        <w:widowControl/>
        <w:spacing w:line="444" w:lineRule="exact" w:before="0" w:after="0"/>
        <w:ind w:left="30" w:right="0" w:firstLine="0"/>
        <w:jc w:val="left"/>
      </w:pPr>
      <w:r>
        <w:tab/>
      </w:r>
      <w:r>
        <w:rPr>
          <w:rFonts w:ascii="宋体" w:hAnsi="宋体" w:eastAsia="宋体"/>
          <w:b w:val="0"/>
          <w:i w:val="0"/>
          <w:color w:val="000000"/>
          <w:sz w:val="21"/>
        </w:rPr>
        <w:t xml:space="preserve">邢会强先生 </w:t>
      </w:r>
      <w:r>
        <w:br/>
      </w:r>
      <w:r>
        <w:tab/>
      </w:r>
      <w:r>
        <w:rPr>
          <w:rFonts w:ascii="宋体" w:hAnsi="宋体" w:eastAsia="宋体"/>
          <w:b w:val="0"/>
          <w:i w:val="0"/>
          <w:color w:val="000000"/>
          <w:sz w:val="21"/>
        </w:rPr>
        <w:t>中央财经大学法学院教授，1976 年9 月出生，中共党员，博士学位，于2020 年12 月起担任本公司</w:t>
      </w:r>
      <w:r>
        <w:rPr>
          <w:rFonts w:ascii="宋体" w:hAnsi="宋体" w:eastAsia="宋体"/>
          <w:b w:val="0"/>
          <w:i w:val="0"/>
          <w:color w:val="000000"/>
          <w:sz w:val="21"/>
        </w:rPr>
        <w:t xml:space="preserve">独立董事。自2007 年7 月起任教于中央财经大学。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自2017 年4 月起兼任中国法学会证券法学研究会副会长兼秘书长；2020 年1 月起兼任北京市策略律</w:t>
      </w:r>
      <w:r>
        <w:rPr>
          <w:rFonts w:ascii="宋体" w:hAnsi="宋体" w:eastAsia="宋体"/>
          <w:b w:val="0"/>
          <w:i w:val="0"/>
          <w:color w:val="000000"/>
          <w:sz w:val="21"/>
        </w:rPr>
        <w:t>师事务所任兼职律师、资本市场部高级顾问；2020 年12 月起兼任北京市金融服务法学研究会会长；2020</w:t>
      </w:r>
      <w:r>
        <w:rPr>
          <w:rFonts w:ascii="宋体" w:hAnsi="宋体" w:eastAsia="宋体"/>
          <w:b w:val="0"/>
          <w:i w:val="0"/>
          <w:color w:val="000000"/>
          <w:sz w:val="21"/>
        </w:rPr>
        <w:t>年12 月起兼任利安人寿保险股份有限公司独立董事；2021 年1 月起兼任北京万泰生物药业股份有限公司</w:t>
      </w:r>
      <w:r>
        <w:rPr>
          <w:rFonts w:ascii="宋体" w:hAnsi="宋体" w:eastAsia="宋体"/>
          <w:b w:val="0"/>
          <w:i w:val="0"/>
          <w:color w:val="000000"/>
          <w:sz w:val="21"/>
        </w:rPr>
        <w:t xml:space="preserve">独立董事；2023 年5 月起兼任中国上市公司协会独立董事专业委员会委员。 </w:t>
      </w:r>
    </w:p>
    <w:p>
      <w:pPr>
        <w:autoSpaceDN w:val="0"/>
        <w:tabs>
          <w:tab w:pos="450" w:val="left"/>
        </w:tabs>
        <w:autoSpaceDE w:val="0"/>
        <w:widowControl/>
        <w:spacing w:line="460" w:lineRule="exact" w:before="0" w:after="0"/>
        <w:ind w:left="30" w:right="0" w:firstLine="0"/>
        <w:jc w:val="left"/>
      </w:pPr>
      <w:r>
        <w:tab/>
      </w:r>
      <w:r>
        <w:rPr>
          <w:rFonts w:ascii="宋体" w:hAnsi="宋体" w:eastAsia="宋体"/>
          <w:b w:val="0"/>
          <w:i w:val="0"/>
          <w:color w:val="000000"/>
          <w:sz w:val="21"/>
        </w:rPr>
        <w:t>2005 年7 月至2007 年6 月曾在中国工商银行博士后工作站、北京大学博士后流动站工作；2017 年</w:t>
      </w:r>
      <w:r>
        <w:rPr>
          <w:rFonts w:ascii="宋体" w:hAnsi="宋体" w:eastAsia="宋体"/>
          <w:b w:val="0"/>
          <w:i w:val="0"/>
          <w:color w:val="000000"/>
          <w:sz w:val="21"/>
        </w:rPr>
        <w:t xml:space="preserve">10 月至2025 年3 月曾任先锋基金投资管理有限公司独立董事。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朱祁先生 </w:t>
      </w:r>
      <w:r>
        <w:br/>
      </w:r>
      <w:r>
        <w:tab/>
      </w:r>
      <w:r>
        <w:rPr>
          <w:rFonts w:ascii="宋体" w:hAnsi="宋体" w:eastAsia="宋体"/>
          <w:b w:val="0"/>
          <w:i w:val="0"/>
          <w:color w:val="000000"/>
          <w:sz w:val="21"/>
        </w:rPr>
        <w:t>复旦大学管理学院金融与财务学系副教授，1975 年11 月出生，博士学位，于2020 年12 月起担任本</w:t>
      </w:r>
      <w:r>
        <w:rPr>
          <w:rFonts w:ascii="宋体" w:hAnsi="宋体" w:eastAsia="宋体"/>
          <w:b w:val="0"/>
          <w:i w:val="0"/>
          <w:color w:val="000000"/>
          <w:sz w:val="21"/>
        </w:rPr>
        <w:t xml:space="preserve">公司独立董事。自2012 年7 月起担任复旦大学管理学院金融与财务学系副教授。 </w:t>
      </w:r>
    </w:p>
    <w:p>
      <w:pPr>
        <w:autoSpaceDN w:val="0"/>
        <w:tabs>
          <w:tab w:pos="450" w:val="left"/>
        </w:tabs>
        <w:autoSpaceDE w:val="0"/>
        <w:widowControl/>
        <w:spacing w:line="458" w:lineRule="exact" w:before="4" w:after="0"/>
        <w:ind w:left="30" w:right="0" w:firstLine="0"/>
        <w:jc w:val="left"/>
      </w:pPr>
      <w:r>
        <w:tab/>
      </w:r>
      <w:r>
        <w:rPr>
          <w:rFonts w:ascii="宋体" w:hAnsi="宋体" w:eastAsia="宋体"/>
          <w:b w:val="0"/>
          <w:i w:val="0"/>
          <w:color w:val="000000"/>
          <w:sz w:val="21"/>
        </w:rPr>
        <w:t>自2019 年8 月起兼任宁波人健药业集团股份有限公司独立董事，2022 年10 月起兼任上海复深蓝软</w:t>
      </w:r>
      <w:r>
        <w:rPr>
          <w:rFonts w:ascii="宋体" w:hAnsi="宋体" w:eastAsia="宋体"/>
          <w:b w:val="0"/>
          <w:i w:val="0"/>
          <w:color w:val="000000"/>
          <w:sz w:val="21"/>
        </w:rPr>
        <w:t xml:space="preserve">件股份有限公司独立董事。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 xml:space="preserve">2007 年9 月至2012 年6 月曾任上海交通大学安泰经济与管理学院金融系讲师。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李海涛先生 </w:t>
      </w:r>
      <w:r>
        <w:br/>
      </w:r>
      <w:r>
        <w:tab/>
      </w:r>
      <w:r>
        <w:rPr>
          <w:rFonts w:ascii="宋体" w:hAnsi="宋体" w:eastAsia="宋体"/>
          <w:b w:val="0"/>
          <w:i w:val="0"/>
          <w:color w:val="000000"/>
          <w:sz w:val="21"/>
        </w:rPr>
        <w:t>长江商学院院长、教授，1969 年2 月出生，博士学位，于2020 年12 月起担任本公司独立董事。自</w:t>
      </w:r>
      <w:r>
        <w:rPr>
          <w:rFonts w:ascii="宋体" w:hAnsi="宋体" w:eastAsia="宋体"/>
          <w:b w:val="0"/>
          <w:i w:val="0"/>
          <w:color w:val="000000"/>
          <w:sz w:val="21"/>
        </w:rPr>
        <w:t xml:space="preserve">2013 年3 月起担任长江商学院金融学教授；2024 年1 月起担任长江商学院院长。 </w:t>
      </w:r>
    </w:p>
    <w:p>
      <w:pPr>
        <w:autoSpaceDN w:val="0"/>
        <w:tabs>
          <w:tab w:pos="450" w:val="left"/>
        </w:tabs>
        <w:autoSpaceDE w:val="0"/>
        <w:widowControl/>
        <w:spacing w:line="458" w:lineRule="exact" w:before="2" w:after="0"/>
        <w:ind w:left="30" w:right="0" w:firstLine="0"/>
        <w:jc w:val="left"/>
      </w:pPr>
      <w:r>
        <w:tab/>
      </w:r>
      <w:r>
        <w:rPr>
          <w:rFonts w:ascii="宋体" w:hAnsi="宋体" w:eastAsia="宋体"/>
          <w:b w:val="0"/>
          <w:i w:val="0"/>
          <w:color w:val="000000"/>
          <w:sz w:val="21"/>
        </w:rPr>
        <w:t>自2012 年12 月起兼任中国白银集团有限公司独立董事；2016 年4 月起兼任汇安基金管理有限责任</w:t>
      </w:r>
      <w:r>
        <w:rPr>
          <w:rFonts w:ascii="宋体" w:hAnsi="宋体" w:eastAsia="宋体"/>
          <w:b w:val="0"/>
          <w:i w:val="0"/>
          <w:color w:val="000000"/>
          <w:sz w:val="21"/>
        </w:rPr>
        <w:t xml:space="preserve">公司独立董事；2021 年6 月起兼任康桥悦生活集团有限公司独立董事。 </w:t>
      </w:r>
    </w:p>
    <w:p>
      <w:pPr>
        <w:autoSpaceDN w:val="0"/>
        <w:autoSpaceDE w:val="0"/>
        <w:widowControl/>
        <w:spacing w:line="458" w:lineRule="exact" w:before="4" w:after="0"/>
        <w:ind w:left="30" w:right="44" w:firstLine="420"/>
        <w:jc w:val="both"/>
      </w:pPr>
      <w:r>
        <w:rPr>
          <w:rFonts w:ascii="宋体" w:hAnsi="宋体" w:eastAsia="宋体"/>
          <w:b w:val="0"/>
          <w:i w:val="0"/>
          <w:color w:val="000000"/>
          <w:sz w:val="21"/>
        </w:rPr>
        <w:t>1997 年6 月至2005 年5 月曾任康纳尔大学Johnson 管理学院金融学助理教授；2005 年6 月至2013</w:t>
      </w:r>
      <w:r>
        <w:rPr>
          <w:rFonts w:ascii="宋体" w:hAnsi="宋体" w:eastAsia="宋体"/>
          <w:b w:val="0"/>
          <w:i w:val="0"/>
          <w:color w:val="000000"/>
          <w:sz w:val="21"/>
        </w:rPr>
        <w:t>年2 月曾任密西根大学Ross 商学院金融学教授；2011 年6 月至2013 年2 月任长江商学院金融学访问教</w:t>
      </w:r>
      <w:r>
        <w:rPr>
          <w:rFonts w:ascii="宋体" w:hAnsi="宋体" w:eastAsia="宋体"/>
          <w:b w:val="0"/>
          <w:i w:val="0"/>
          <w:color w:val="000000"/>
          <w:sz w:val="21"/>
        </w:rPr>
        <w:t xml:space="preserve">授；2017 年12 月至2024 年1 月兼任德邦证券股份有限公司独立董事。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郭洁女士 </w:t>
      </w:r>
      <w:r>
        <w:br/>
      </w:r>
      <w:r>
        <w:tab/>
      </w:r>
      <w:r>
        <w:rPr>
          <w:rFonts w:ascii="宋体" w:hAnsi="宋体" w:eastAsia="宋体"/>
          <w:b w:val="0"/>
          <w:i w:val="0"/>
          <w:color w:val="000000"/>
          <w:sz w:val="21"/>
        </w:rPr>
        <w:t>华夏桥水（北京）投资管理有限公司执行董事，1975 年8 月出生，学士学位，高级会计师、注册会</w:t>
      </w:r>
      <w:r>
        <w:rPr>
          <w:rFonts w:ascii="宋体" w:hAnsi="宋体" w:eastAsia="宋体"/>
          <w:b w:val="0"/>
          <w:i w:val="0"/>
          <w:color w:val="000000"/>
          <w:sz w:val="21"/>
        </w:rPr>
        <w:t>计师，于2020 年12 月起担任本公司独立董事。自2020 年12 月起担任华夏桥水（北京）投资管理有限</w:t>
      </w:r>
      <w:r>
        <w:rPr>
          <w:rFonts w:ascii="宋体" w:hAnsi="宋体" w:eastAsia="宋体"/>
          <w:b w:val="0"/>
          <w:i w:val="0"/>
          <w:color w:val="000000"/>
          <w:sz w:val="21"/>
        </w:rPr>
        <w:t xml:space="preserve">公司执行董事。 </w:t>
      </w:r>
    </w:p>
    <w:p>
      <w:pPr>
        <w:autoSpaceDN w:val="0"/>
        <w:autoSpaceDE w:val="0"/>
        <w:widowControl/>
        <w:spacing w:line="210" w:lineRule="exact" w:before="250" w:after="0"/>
        <w:ind w:left="450" w:right="0" w:firstLine="0"/>
        <w:jc w:val="left"/>
      </w:pPr>
      <w:r>
        <w:rPr>
          <w:rFonts w:ascii="宋体" w:hAnsi="宋体" w:eastAsia="宋体"/>
          <w:b w:val="0"/>
          <w:i w:val="0"/>
          <w:color w:val="000000"/>
          <w:sz w:val="21"/>
        </w:rPr>
        <w:t xml:space="preserve">自2022 年5 月起兼任晋城农村商业银行股份有限公司独立董事。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1997 年12 月至2005 年6 月曾任大连中连资产评估有限公司总经理；2004 年7 月至2005 年7 月曾</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74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7" name="Picture 7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50" w:lineRule="exact" w:before="0" w:after="0"/>
        <w:ind w:left="30" w:right="230" w:firstLine="0"/>
        <w:jc w:val="both"/>
      </w:pPr>
      <w:r>
        <w:rPr>
          <w:rFonts w:ascii="宋体" w:hAnsi="宋体" w:eastAsia="宋体"/>
          <w:b w:val="0"/>
          <w:i w:val="0"/>
          <w:color w:val="000000"/>
          <w:sz w:val="21"/>
        </w:rPr>
        <w:t>任北京中兆国际会计师事务所有限公司总经理；2005 年7 月至2008 年7 月曾任民政部紧急救援促进中心</w:t>
      </w:r>
      <w:r>
        <w:rPr>
          <w:rFonts w:ascii="宋体" w:hAnsi="宋体" w:eastAsia="宋体"/>
          <w:b w:val="0"/>
          <w:i w:val="0"/>
          <w:color w:val="000000"/>
          <w:sz w:val="21"/>
        </w:rPr>
        <w:t>理事会秘书、办公室副主任及其子公司欣诺紧急救援投资管理有限公司副总经理；2008 年7 月至2011 年</w:t>
      </w:r>
      <w:r>
        <w:rPr>
          <w:rFonts w:ascii="宋体" w:hAnsi="宋体" w:eastAsia="宋体"/>
          <w:b w:val="0"/>
          <w:i w:val="0"/>
          <w:color w:val="000000"/>
          <w:sz w:val="21"/>
        </w:rPr>
        <w:t>3 月曾任北京中长石基信息技术股份有限公司董事、董事会秘书；2011 年5 月至2019 年12 月曾任山西</w:t>
      </w:r>
      <w:r>
        <w:rPr>
          <w:rFonts w:ascii="宋体" w:hAnsi="宋体" w:eastAsia="宋体"/>
          <w:b w:val="0"/>
          <w:i w:val="0"/>
          <w:color w:val="000000"/>
          <w:sz w:val="21"/>
        </w:rPr>
        <w:t>国元资产评估有限公司法定代表人；2020 年3 月至2024 年2 月兼任山西中绿环保科技股份有限公司独立</w:t>
      </w:r>
      <w:r>
        <w:rPr>
          <w:rFonts w:ascii="宋体" w:hAnsi="宋体" w:eastAsia="宋体"/>
          <w:b w:val="0"/>
          <w:i w:val="0"/>
          <w:color w:val="000000"/>
          <w:sz w:val="21"/>
        </w:rPr>
        <w:t xml:space="preserve">董事。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乔俊峰先生 </w:t>
      </w:r>
      <w:r>
        <w:br/>
      </w:r>
      <w:r>
        <w:tab/>
      </w:r>
      <w:r>
        <w:rPr>
          <w:rFonts w:ascii="宋体" w:hAnsi="宋体" w:eastAsia="宋体"/>
          <w:b w:val="0"/>
          <w:i w:val="0"/>
          <w:color w:val="000000"/>
          <w:sz w:val="21"/>
        </w:rPr>
        <w:t>公司职工董事，1965 年11 月出生，中共党员，硕士学位，于1994 年10 月加入本公司。自2020 年</w:t>
      </w:r>
      <w:r>
        <w:rPr>
          <w:rFonts w:ascii="宋体" w:hAnsi="宋体" w:eastAsia="宋体"/>
          <w:b w:val="0"/>
          <w:i w:val="0"/>
          <w:color w:val="000000"/>
          <w:sz w:val="21"/>
        </w:rPr>
        <w:t xml:space="preserve">12 月起担任公司第四届董事会职工董事。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自2025 年1 月起兼任山证（上海）资产管理有限公司副总经理；2021 年11 月起兼任山西财经大学</w:t>
      </w:r>
      <w:r>
        <w:rPr>
          <w:rFonts w:ascii="宋体" w:hAnsi="宋体" w:eastAsia="宋体"/>
          <w:b w:val="0"/>
          <w:i w:val="0"/>
          <w:color w:val="000000"/>
          <w:sz w:val="21"/>
        </w:rPr>
        <w:t xml:space="preserve">金融学院专业学位硕士研究生校外指导教师。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1996 年6 月至2002 年2 月期间曾任山西省信托投资公司大营盘证券营业部经理、证券业务部副经理、</w:t>
      </w:r>
      <w:r>
        <w:rPr>
          <w:rFonts w:ascii="宋体" w:hAnsi="宋体" w:eastAsia="宋体"/>
          <w:b w:val="0"/>
          <w:i w:val="0"/>
          <w:color w:val="000000"/>
          <w:sz w:val="21"/>
        </w:rPr>
        <w:t>证券部副总经理、上海证券营业部监理、经理；2002 年2 月至2007 年10 月期间曾任本公司网络交易部</w:t>
      </w:r>
      <w:r>
        <w:rPr>
          <w:rFonts w:ascii="宋体" w:hAnsi="宋体" w:eastAsia="宋体"/>
          <w:b w:val="0"/>
          <w:i w:val="0"/>
          <w:color w:val="000000"/>
          <w:sz w:val="21"/>
        </w:rPr>
        <w:t>总经理、太原府西街证券营业部总经理（兼）、智信网络董事长兼总经理（兼）、经纪业务总部总经理；</w:t>
      </w:r>
      <w:r>
        <w:rPr>
          <w:rFonts w:ascii="宋体" w:hAnsi="宋体" w:eastAsia="宋体"/>
          <w:b w:val="0"/>
          <w:i w:val="0"/>
          <w:color w:val="000000"/>
          <w:sz w:val="21"/>
        </w:rPr>
        <w:t>2007 年10 月至2017 年1 月期间曾任大华期货经纪有限公司董事、大华期货有限公司总经理、董事长，</w:t>
      </w:r>
      <w:r>
        <w:rPr>
          <w:rFonts w:ascii="宋体" w:hAnsi="宋体" w:eastAsia="宋体"/>
          <w:b w:val="0"/>
          <w:i w:val="0"/>
          <w:color w:val="000000"/>
          <w:sz w:val="21"/>
        </w:rPr>
        <w:t>格林期货有限公司董事长、格林大华期货有限公司董事长；2007 年4 月至2022 年6 月期间曾任本公司职</w:t>
      </w:r>
      <w:r>
        <w:rPr>
          <w:rFonts w:ascii="宋体" w:hAnsi="宋体" w:eastAsia="宋体"/>
          <w:b w:val="0"/>
          <w:i w:val="0"/>
          <w:color w:val="000000"/>
          <w:sz w:val="21"/>
        </w:rPr>
        <w:t>工董事、党委委员、副总经理；2021 年10 月至2023 年5 月曾任山证（上海）资产管理有限公司董事长；</w:t>
      </w:r>
      <w:r>
        <w:rPr>
          <w:rFonts w:ascii="宋体" w:hAnsi="宋体" w:eastAsia="宋体"/>
          <w:b w:val="0"/>
          <w:i w:val="0"/>
          <w:color w:val="000000"/>
          <w:sz w:val="21"/>
        </w:rPr>
        <w:t>2016 年1 月至2024 年8 月曾任山证国际金融控股有限公司董事长；2017 年6 月至2024 年10 月曾任上</w:t>
      </w:r>
      <w:r>
        <w:rPr>
          <w:rFonts w:ascii="宋体" w:hAnsi="宋体" w:eastAsia="宋体"/>
          <w:b w:val="0"/>
          <w:i w:val="0"/>
          <w:color w:val="000000"/>
          <w:sz w:val="21"/>
        </w:rPr>
        <w:t>海资产管理分公司总经理；2021 年10 月至2025 年1 月曾任山证（上海）资产管理有限公司总经理；</w:t>
      </w:r>
      <w:r>
        <w:rPr>
          <w:rFonts w:ascii="宋体" w:hAnsi="宋体" w:eastAsia="宋体"/>
          <w:b w:val="0"/>
          <w:i w:val="0"/>
          <w:color w:val="000000"/>
          <w:sz w:val="21"/>
        </w:rPr>
        <w:t xml:space="preserve">2020 年12 月至2025 年4 月曾任公司执行委员会委员。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（2）监事工作经历及任职情况 </w:t>
      </w:r>
      <w:r>
        <w:br/>
      </w:r>
      <w:r>
        <w:tab/>
      </w:r>
      <w:r>
        <w:rPr>
          <w:rFonts w:ascii="宋体" w:hAnsi="宋体" w:eastAsia="宋体"/>
          <w:b w:val="0"/>
          <w:i w:val="0"/>
          <w:color w:val="000000"/>
          <w:sz w:val="21"/>
        </w:rPr>
        <w:t xml:space="preserve">焦杨先生 </w:t>
      </w:r>
      <w:r>
        <w:br/>
      </w:r>
      <w:r>
        <w:tab/>
      </w:r>
      <w:r>
        <w:rPr>
          <w:rFonts w:ascii="宋体" w:hAnsi="宋体" w:eastAsia="宋体"/>
          <w:b w:val="0"/>
          <w:i w:val="0"/>
          <w:color w:val="000000"/>
          <w:sz w:val="21"/>
        </w:rPr>
        <w:t>公司监事会主席，1966 年11 月出生，中共党员，硕士学位，于2019 年12 月加入本公司。自2011</w:t>
      </w:r>
      <w:r>
        <w:rPr>
          <w:rFonts w:ascii="宋体" w:hAnsi="宋体" w:eastAsia="宋体"/>
          <w:b w:val="0"/>
          <w:i w:val="0"/>
          <w:color w:val="000000"/>
          <w:sz w:val="21"/>
        </w:rPr>
        <w:t xml:space="preserve">年5 月起担任公司监事会主席。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 xml:space="preserve">自2023 年4 月起兼任中国上市公司协会监事会专业委员会委员。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1993 年6 月至1997 年3 月期间曾任山西省审计厅中央处科员、副主任科员；1997 年3 月至2014 年</w:t>
      </w:r>
      <w:r>
        <w:rPr>
          <w:rFonts w:ascii="宋体" w:hAnsi="宋体" w:eastAsia="宋体"/>
          <w:b w:val="0"/>
          <w:i w:val="0"/>
          <w:color w:val="000000"/>
          <w:sz w:val="21"/>
        </w:rPr>
        <w:t>12 月期间曾任山西省信托投资公司计划处副处长、资金部副主任、公司副总经理、资金管理部经理（兼）、</w:t>
      </w:r>
      <w:r>
        <w:rPr>
          <w:rFonts w:ascii="宋体" w:hAnsi="宋体" w:eastAsia="宋体"/>
          <w:b w:val="0"/>
          <w:i w:val="0"/>
          <w:color w:val="000000"/>
          <w:sz w:val="21"/>
        </w:rPr>
        <w:t>党委委员、公司常务副总经理；2014 年12 月至2016 年6 月期间曾任山西国信投资集团有限公司风控总</w:t>
      </w:r>
      <w:r>
        <w:rPr>
          <w:rFonts w:ascii="宋体" w:hAnsi="宋体" w:eastAsia="宋体"/>
          <w:b w:val="0"/>
          <w:i w:val="0"/>
          <w:color w:val="000000"/>
          <w:sz w:val="21"/>
        </w:rPr>
        <w:t>监兼审计风控部总经理；2016 年6 月至2019 年12 月期间曾任山西金融投资控股集团有限公司运营总监</w:t>
      </w:r>
      <w:r>
        <w:rPr>
          <w:rFonts w:ascii="宋体" w:hAnsi="宋体" w:eastAsia="宋体"/>
          <w:b w:val="0"/>
          <w:i w:val="0"/>
          <w:color w:val="000000"/>
          <w:sz w:val="21"/>
        </w:rPr>
        <w:t>兼资本运营部总经理、投资管理部总经理；2015 年1 月至2020 年3 月期间曾任山西信托股份有限公司监</w:t>
      </w:r>
    </w:p>
    <w:p>
      <w:pPr>
        <w:autoSpaceDN w:val="0"/>
        <w:autoSpaceDE w:val="0"/>
        <w:widowControl/>
        <w:spacing w:line="197" w:lineRule="auto" w:before="862" w:after="0"/>
        <w:ind w:left="0" w:right="4922" w:firstLine="0"/>
        <w:jc w:val="right"/>
      </w:pPr>
      <w:r>
        <w:rPr>
          <w:rFonts w:ascii="Calibri" w:hAnsi="Calibri" w:eastAsia="Calibri"/>
          <w:b w:val="0"/>
          <w:i w:val="0"/>
          <w:color w:val="000000"/>
          <w:sz w:val="18"/>
        </w:rPr>
        <w:t xml:space="preserve">75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798"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8" name="Picture 7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200" w:lineRule="exact" w:before="0" w:after="30"/>
        <w:ind w:left="0" w:right="35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448" w:lineRule="exact" w:before="0" w:after="0"/>
        <w:ind w:left="30" w:right="20" w:firstLine="0"/>
        <w:jc w:val="both"/>
      </w:pPr>
      <w:r>
        <w:rPr>
          <w:rFonts w:ascii="宋体" w:hAnsi="宋体" w:eastAsia="宋体"/>
          <w:b w:val="0"/>
          <w:i w:val="0"/>
          <w:color w:val="000000"/>
          <w:sz w:val="21"/>
        </w:rPr>
        <w:t>事、监事会主席，山西国信融资再担保有限公司监事，山西省产权交易中心股份有限公司监事、监事会</w:t>
      </w:r>
      <w:r>
        <w:rPr>
          <w:rFonts w:ascii="宋体" w:hAnsi="宋体" w:eastAsia="宋体"/>
          <w:b w:val="0"/>
          <w:i w:val="0"/>
          <w:color w:val="000000"/>
          <w:sz w:val="21"/>
        </w:rPr>
        <w:t>主席，山西省金融资产交易中心(有限公司)监事，山西股权交易中心有限公司监事、监事会主席，山西</w:t>
      </w:r>
      <w:r>
        <w:rPr>
          <w:rFonts w:ascii="宋体" w:hAnsi="宋体" w:eastAsia="宋体"/>
          <w:b w:val="0"/>
          <w:i w:val="0"/>
          <w:color w:val="000000"/>
          <w:sz w:val="21"/>
        </w:rPr>
        <w:t>省农业信贷融资担保有限公司董事；2010 年10 月至2011 年5 月期间曾任本公司监事；2015 年1 月至</w:t>
      </w:r>
      <w:r>
        <w:rPr>
          <w:rFonts w:ascii="宋体" w:hAnsi="宋体" w:eastAsia="宋体"/>
          <w:b w:val="0"/>
          <w:i w:val="0"/>
          <w:color w:val="000000"/>
          <w:sz w:val="21"/>
        </w:rPr>
        <w:t xml:space="preserve">2024 年1 月兼任汇丰晋信基金管理有限公司监事会主席；2019 年12 月至2024 年1 月曾任公司党委委员。 </w:t>
      </w:r>
    </w:p>
    <w:p>
      <w:pPr>
        <w:autoSpaceDN w:val="0"/>
        <w:autoSpaceDE w:val="0"/>
        <w:widowControl/>
        <w:spacing w:line="460" w:lineRule="exact" w:before="0" w:after="0"/>
        <w:ind w:left="450" w:right="2304" w:firstLine="2"/>
        <w:jc w:val="left"/>
      </w:pPr>
      <w:r>
        <w:rPr>
          <w:rFonts w:ascii="宋体" w:hAnsi="宋体" w:eastAsia="宋体"/>
          <w:b w:val="0"/>
          <w:i w:val="0"/>
          <w:color w:val="000000"/>
          <w:sz w:val="21"/>
        </w:rPr>
        <w:t xml:space="preserve">郭志宏先生 </w:t>
      </w:r>
      <w:r>
        <w:br/>
      </w:r>
      <w:r>
        <w:rPr>
          <w:rFonts w:ascii="宋体" w:hAnsi="宋体" w:eastAsia="宋体"/>
          <w:b w:val="0"/>
          <w:i w:val="0"/>
          <w:color w:val="000000"/>
          <w:sz w:val="21"/>
        </w:rPr>
        <w:t xml:space="preserve">1966 年5 月出生，中共党员，硕士学位，于2015 年5 月起担任本公司监事。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 xml:space="preserve">自2021 年7 月起兼任山西省融资担保行业协会会长。 </w:t>
      </w:r>
    </w:p>
    <w:p>
      <w:pPr>
        <w:autoSpaceDN w:val="0"/>
        <w:autoSpaceDE w:val="0"/>
        <w:widowControl/>
        <w:spacing w:line="460" w:lineRule="exact" w:before="0" w:after="0"/>
        <w:ind w:left="30" w:right="330" w:firstLine="420"/>
        <w:jc w:val="both"/>
      </w:pPr>
      <w:r>
        <w:rPr>
          <w:rFonts w:ascii="宋体" w:hAnsi="宋体" w:eastAsia="宋体"/>
          <w:b w:val="0"/>
          <w:i w:val="0"/>
          <w:color w:val="000000"/>
          <w:sz w:val="21"/>
        </w:rPr>
        <w:t>1983 年6 月至1996 年5 月历任中国人民银行沁源支行干事、晋东南地区中心支行干事、长治分行干</w:t>
      </w:r>
      <w:r>
        <w:rPr>
          <w:rFonts w:ascii="宋体" w:hAnsi="宋体" w:eastAsia="宋体"/>
          <w:b w:val="0"/>
          <w:i w:val="0"/>
          <w:color w:val="000000"/>
          <w:sz w:val="21"/>
        </w:rPr>
        <w:t>事、长子县支行副行长、长治分行政教科副科长；1996 年5 月至2002 年8 月任长治市城市信用中心社副</w:t>
      </w:r>
      <w:r>
        <w:rPr>
          <w:rFonts w:ascii="宋体" w:hAnsi="宋体" w:eastAsia="宋体"/>
          <w:b w:val="0"/>
          <w:i w:val="0"/>
          <w:color w:val="000000"/>
          <w:sz w:val="21"/>
        </w:rPr>
        <w:t>主任；2002 年9 月至2005 年12 月任长治市城市信用社总经理；2005 年12 月至2012 年4 月历任长治市</w:t>
      </w:r>
      <w:r>
        <w:rPr>
          <w:rFonts w:ascii="宋体" w:hAnsi="宋体" w:eastAsia="宋体"/>
          <w:b w:val="0"/>
          <w:i w:val="0"/>
          <w:color w:val="000000"/>
          <w:sz w:val="21"/>
        </w:rPr>
        <w:t>商业银行副行长、行长；2012 年5 月至2015 年3 月，任山西信托股份有限公司监事、监事会主席；2015</w:t>
      </w:r>
      <w:r>
        <w:rPr>
          <w:rFonts w:ascii="宋体" w:hAnsi="宋体" w:eastAsia="宋体"/>
          <w:b w:val="0"/>
          <w:i w:val="0"/>
          <w:color w:val="000000"/>
          <w:sz w:val="21"/>
        </w:rPr>
        <w:t>年3 月至2017 年1 月任山西信托股份有限公司党委委员、副总裁；2017 年1 月至2019 年1 月任山西省</w:t>
      </w:r>
      <w:r>
        <w:rPr>
          <w:rFonts w:ascii="宋体" w:hAnsi="宋体" w:eastAsia="宋体"/>
          <w:b w:val="0"/>
          <w:i w:val="0"/>
          <w:color w:val="000000"/>
          <w:sz w:val="21"/>
        </w:rPr>
        <w:t>融资再担保有限公司党委书记、董事长；2019 年1 月至2023 年10 月任山西省融资再担保集团有限公司</w:t>
      </w:r>
      <w:r>
        <w:rPr>
          <w:rFonts w:ascii="宋体" w:hAnsi="宋体" w:eastAsia="宋体"/>
          <w:b w:val="0"/>
          <w:i w:val="0"/>
          <w:color w:val="000000"/>
          <w:sz w:val="21"/>
        </w:rPr>
        <w:t xml:space="preserve">党委书记、董事长。 </w:t>
      </w:r>
    </w:p>
    <w:p>
      <w:pPr>
        <w:autoSpaceDN w:val="0"/>
        <w:tabs>
          <w:tab w:pos="450" w:val="left"/>
          <w:tab w:pos="452" w:val="left"/>
        </w:tabs>
        <w:autoSpaceDE w:val="0"/>
        <w:widowControl/>
        <w:spacing w:line="460" w:lineRule="exact" w:before="2" w:after="0"/>
        <w:ind w:left="30" w:right="432" w:firstLine="0"/>
        <w:jc w:val="left"/>
      </w:pPr>
      <w:r>
        <w:tab/>
      </w:r>
      <w:r>
        <w:rPr>
          <w:rFonts w:ascii="宋体" w:hAnsi="宋体" w:eastAsia="宋体"/>
          <w:b w:val="0"/>
          <w:i w:val="0"/>
          <w:color w:val="000000"/>
          <w:sz w:val="21"/>
        </w:rPr>
        <w:t xml:space="preserve">刘奇旺先生 </w:t>
      </w:r>
      <w:r>
        <w:br/>
      </w:r>
      <w:r>
        <w:tab/>
      </w:r>
      <w:r>
        <w:rPr>
          <w:rFonts w:ascii="宋体" w:hAnsi="宋体" w:eastAsia="宋体"/>
          <w:b w:val="0"/>
          <w:i w:val="0"/>
          <w:color w:val="000000"/>
          <w:sz w:val="21"/>
        </w:rPr>
        <w:t>吕梁国投集团有限公司副董事长、副总经理，1963 年3 月出生，中共党员，本科学历，于2015 年</w:t>
      </w:r>
      <w:r>
        <w:rPr>
          <w:rFonts w:ascii="宋体" w:hAnsi="宋体" w:eastAsia="宋体"/>
          <w:b w:val="0"/>
          <w:i w:val="0"/>
          <w:color w:val="000000"/>
          <w:sz w:val="21"/>
        </w:rPr>
        <w:t xml:space="preserve">5 月起担任本公司监事。自2017 年12 月起担任吕梁国投集团有限公司副董事长、副总经理。 </w:t>
      </w:r>
    </w:p>
    <w:p>
      <w:pPr>
        <w:autoSpaceDN w:val="0"/>
        <w:tabs>
          <w:tab w:pos="450" w:val="left"/>
        </w:tabs>
        <w:autoSpaceDE w:val="0"/>
        <w:widowControl/>
        <w:spacing w:line="460" w:lineRule="exact" w:before="2" w:after="0"/>
        <w:ind w:left="30" w:right="288" w:firstLine="0"/>
        <w:jc w:val="left"/>
      </w:pPr>
      <w:r>
        <w:tab/>
      </w:r>
      <w:r>
        <w:rPr>
          <w:rFonts w:ascii="宋体" w:hAnsi="宋体" w:eastAsia="宋体"/>
          <w:b w:val="0"/>
          <w:i w:val="0"/>
          <w:color w:val="000000"/>
          <w:sz w:val="21"/>
        </w:rPr>
        <w:t>1992 年10 月至2007 年4 月曾任吕梁地区信托投资公司办公室副主任、主任。2007 年5 月至2023</w:t>
      </w:r>
      <w:r>
        <w:rPr>
          <w:rFonts w:ascii="宋体" w:hAnsi="宋体" w:eastAsia="宋体"/>
          <w:b w:val="0"/>
          <w:i w:val="0"/>
          <w:color w:val="000000"/>
          <w:sz w:val="21"/>
        </w:rPr>
        <w:t xml:space="preserve">年4 月曾任吕梁市投资管理公司总会计师。 </w:t>
      </w:r>
    </w:p>
    <w:p>
      <w:pPr>
        <w:autoSpaceDN w:val="0"/>
        <w:autoSpaceDE w:val="0"/>
        <w:widowControl/>
        <w:spacing w:line="460" w:lineRule="exact" w:before="0" w:after="0"/>
        <w:ind w:left="450" w:right="2304" w:firstLine="2"/>
        <w:jc w:val="left"/>
      </w:pPr>
      <w:r>
        <w:rPr>
          <w:rFonts w:ascii="宋体" w:hAnsi="宋体" w:eastAsia="宋体"/>
          <w:b w:val="0"/>
          <w:i w:val="0"/>
          <w:color w:val="000000"/>
          <w:sz w:val="21"/>
        </w:rPr>
        <w:t xml:space="preserve">王国峰先生 </w:t>
      </w:r>
      <w:r>
        <w:br/>
      </w:r>
      <w:r>
        <w:rPr>
          <w:rFonts w:ascii="宋体" w:hAnsi="宋体" w:eastAsia="宋体"/>
          <w:b w:val="0"/>
          <w:i w:val="0"/>
          <w:color w:val="000000"/>
          <w:sz w:val="21"/>
        </w:rPr>
        <w:t xml:space="preserve">1964 年8 月出生，中共党员，大学学历，于2022 年5 月起担任本公司监事。 </w:t>
      </w:r>
    </w:p>
    <w:p>
      <w:pPr>
        <w:autoSpaceDN w:val="0"/>
        <w:autoSpaceDE w:val="0"/>
        <w:widowControl/>
        <w:spacing w:line="460" w:lineRule="exact" w:before="0" w:after="0"/>
        <w:ind w:left="30" w:right="330" w:firstLine="420"/>
        <w:jc w:val="both"/>
      </w:pPr>
      <w:r>
        <w:rPr>
          <w:rFonts w:ascii="宋体" w:hAnsi="宋体" w:eastAsia="宋体"/>
          <w:b w:val="0"/>
          <w:i w:val="0"/>
          <w:color w:val="000000"/>
          <w:sz w:val="21"/>
        </w:rPr>
        <w:t>1990 年2 月进入长治市行政事业单位国有资产管理中心从事经济类工作；2005 年3 月至2015 年3</w:t>
      </w:r>
      <w:r>
        <w:rPr>
          <w:rFonts w:ascii="宋体" w:hAnsi="宋体" w:eastAsia="宋体"/>
          <w:b w:val="0"/>
          <w:i w:val="0"/>
          <w:color w:val="000000"/>
          <w:sz w:val="21"/>
        </w:rPr>
        <w:t>月曾任长治市行政事业单位国有资产管理中心副主任；2015 年4 月3 日至2015 年9 月曾主持长治市行政</w:t>
      </w:r>
      <w:r>
        <w:rPr>
          <w:rFonts w:ascii="宋体" w:hAnsi="宋体" w:eastAsia="宋体"/>
          <w:b w:val="0"/>
          <w:i w:val="0"/>
          <w:color w:val="000000"/>
          <w:sz w:val="21"/>
        </w:rPr>
        <w:t>事业单位国有资产管理中心的全面工作；2015 年9 月至2019 年5 月曾任长治市行政事业单位国有资产管</w:t>
      </w:r>
      <w:r>
        <w:rPr>
          <w:rFonts w:ascii="宋体" w:hAnsi="宋体" w:eastAsia="宋体"/>
          <w:b w:val="0"/>
          <w:i w:val="0"/>
          <w:color w:val="000000"/>
          <w:sz w:val="21"/>
        </w:rPr>
        <w:t>理中心主任；2015 年5 月至2020 年12 月曾任山西证券股份有限公司监事；2017 年10 月至2020 年12</w:t>
      </w:r>
      <w:r>
        <w:rPr>
          <w:rFonts w:ascii="宋体" w:hAnsi="宋体" w:eastAsia="宋体"/>
          <w:b w:val="0"/>
          <w:i w:val="0"/>
          <w:color w:val="000000"/>
          <w:sz w:val="21"/>
        </w:rPr>
        <w:t>月曾任长治市投资建设开发有限公司执行董事兼总经理；2019 年6 月至2020 年12 月曾任长治市经济建</w:t>
      </w:r>
      <w:r>
        <w:rPr>
          <w:rFonts w:ascii="宋体" w:hAnsi="宋体" w:eastAsia="宋体"/>
          <w:b w:val="0"/>
          <w:i w:val="0"/>
          <w:color w:val="000000"/>
          <w:sz w:val="21"/>
        </w:rPr>
        <w:t xml:space="preserve">设投资服务中心主任；2020 年12 月至2024 年8 月曾任长治市财政保障中心主任。 </w:t>
      </w:r>
    </w:p>
    <w:p>
      <w:pPr>
        <w:autoSpaceDN w:val="0"/>
        <w:autoSpaceDE w:val="0"/>
        <w:widowControl/>
        <w:spacing w:line="460" w:lineRule="exact" w:before="0" w:after="0"/>
        <w:ind w:left="450" w:right="432" w:firstLine="2"/>
        <w:jc w:val="left"/>
      </w:pPr>
      <w:r>
        <w:rPr>
          <w:rFonts w:ascii="宋体" w:hAnsi="宋体" w:eastAsia="宋体"/>
          <w:b w:val="0"/>
          <w:i w:val="0"/>
          <w:color w:val="000000"/>
          <w:sz w:val="21"/>
        </w:rPr>
        <w:t xml:space="preserve">李国林先生 </w:t>
      </w:r>
      <w:r>
        <w:br/>
      </w:r>
      <w:r>
        <w:rPr>
          <w:rFonts w:ascii="宋体" w:hAnsi="宋体" w:eastAsia="宋体"/>
          <w:b w:val="0"/>
          <w:i w:val="0"/>
          <w:color w:val="000000"/>
          <w:sz w:val="21"/>
        </w:rPr>
        <w:t>山西省投资集团有限公司专职党委副书记、副董事长，1972 年8 月出生，中共党员，本科学历，</w:t>
      </w:r>
    </w:p>
    <w:p>
      <w:pPr>
        <w:autoSpaceDN w:val="0"/>
        <w:autoSpaceDE w:val="0"/>
        <w:widowControl/>
        <w:spacing w:line="197" w:lineRule="auto" w:before="862" w:after="0"/>
        <w:ind w:left="0" w:right="5024" w:firstLine="0"/>
        <w:jc w:val="right"/>
      </w:pPr>
      <w:r>
        <w:rPr>
          <w:rFonts w:ascii="Calibri" w:hAnsi="Calibri" w:eastAsia="Calibri"/>
          <w:b w:val="0"/>
          <w:i w:val="0"/>
          <w:color w:val="000000"/>
          <w:sz w:val="18"/>
        </w:rPr>
        <w:t xml:space="preserve">76 </w:t>
      </w:r>
    </w:p>
    <w:p>
      <w:pPr>
        <w:sectPr>
          <w:type w:val="continuous"/>
          <w:pgSz w:w="11904" w:h="16841"/>
          <w:pgMar w:top="424" w:right="798"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79" name="Picture 7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36" w:lineRule="exact" w:before="0" w:after="0"/>
        <w:ind w:left="30" w:right="288" w:firstLine="0"/>
        <w:jc w:val="left"/>
      </w:pPr>
      <w:r>
        <w:rPr>
          <w:rFonts w:ascii="宋体" w:hAnsi="宋体" w:eastAsia="宋体"/>
          <w:b w:val="0"/>
          <w:i w:val="0"/>
          <w:color w:val="000000"/>
          <w:sz w:val="21"/>
        </w:rPr>
        <w:t>于2015 年5 月起担任本公司监事。自2020 年9 月起担任山西省投资集团有限公司专职党委副书记、副</w:t>
      </w:r>
      <w:r>
        <w:rPr>
          <w:rFonts w:ascii="宋体" w:hAnsi="宋体" w:eastAsia="宋体"/>
          <w:b w:val="0"/>
          <w:i w:val="0"/>
          <w:color w:val="000000"/>
          <w:sz w:val="21"/>
        </w:rPr>
        <w:t xml:space="preserve">董事长。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2004 年4 月至2017 年12 月曾历任山西省科技基金发展总公司部门副经理、部门经理、总经理助理、</w:t>
      </w:r>
      <w:r>
        <w:rPr>
          <w:rFonts w:ascii="宋体" w:hAnsi="宋体" w:eastAsia="宋体"/>
          <w:b w:val="0"/>
          <w:i w:val="0"/>
          <w:color w:val="000000"/>
          <w:sz w:val="21"/>
        </w:rPr>
        <w:t>总法律顾问、副总经理、总经理、党支部书记；2017 年12 月至2020 年9 月曾任山西省科技基金发展有</w:t>
      </w:r>
      <w:r>
        <w:rPr>
          <w:rFonts w:ascii="宋体" w:hAnsi="宋体" w:eastAsia="宋体"/>
          <w:b w:val="0"/>
          <w:i w:val="0"/>
          <w:color w:val="000000"/>
          <w:sz w:val="21"/>
        </w:rPr>
        <w:t>限公司（原山西省科技基金发展总公司）党支部书记、执行董事、总经理；2020 年9 月至2021 年4 月曾</w:t>
      </w:r>
      <w:r>
        <w:rPr>
          <w:rFonts w:ascii="宋体" w:hAnsi="宋体" w:eastAsia="宋体"/>
          <w:b w:val="0"/>
          <w:i w:val="0"/>
          <w:color w:val="000000"/>
          <w:sz w:val="21"/>
        </w:rPr>
        <w:t>任山西省投资集团有限公司副总经理；2014 年9 月至2024 年9 月曾任山西久晖股权投资管理有限公司执</w:t>
      </w:r>
      <w:r>
        <w:rPr>
          <w:rFonts w:ascii="宋体" w:hAnsi="宋体" w:eastAsia="宋体"/>
          <w:b w:val="0"/>
          <w:i w:val="0"/>
          <w:color w:val="000000"/>
          <w:sz w:val="21"/>
        </w:rPr>
        <w:t xml:space="preserve">行董事。 </w:t>
      </w:r>
    </w:p>
    <w:p>
      <w:pPr>
        <w:autoSpaceDN w:val="0"/>
        <w:autoSpaceDE w:val="0"/>
        <w:widowControl/>
        <w:spacing w:line="460" w:lineRule="exact" w:before="0" w:after="0"/>
        <w:ind w:left="450" w:right="1440" w:firstLine="2"/>
        <w:jc w:val="left"/>
      </w:pPr>
      <w:r>
        <w:rPr>
          <w:rFonts w:ascii="宋体" w:hAnsi="宋体" w:eastAsia="宋体"/>
          <w:b w:val="0"/>
          <w:i w:val="0"/>
          <w:color w:val="000000"/>
          <w:sz w:val="21"/>
        </w:rPr>
        <w:t xml:space="preserve">武爱东先生 </w:t>
      </w:r>
      <w:r>
        <w:br/>
      </w:r>
      <w:r>
        <w:rPr>
          <w:rFonts w:ascii="宋体" w:hAnsi="宋体" w:eastAsia="宋体"/>
          <w:b w:val="0"/>
          <w:i w:val="0"/>
          <w:color w:val="000000"/>
          <w:sz w:val="21"/>
        </w:rPr>
        <w:t xml:space="preserve">1967 年6 月出生，中共党员，中央党校研究生，于2020 年12 月起担任本公司监事。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 xml:space="preserve">自2024 年12 月起担任山西省食品工业协会第六届理事会监事长。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1998 年6 月至2015 年12 月历任汾酒大厦工会主席、党委书记、总经理、执行董事；2016 年1 月至</w:t>
      </w:r>
      <w:r>
        <w:rPr>
          <w:rFonts w:ascii="宋体" w:hAnsi="宋体" w:eastAsia="宋体"/>
          <w:b w:val="0"/>
          <w:i w:val="0"/>
          <w:color w:val="000000"/>
          <w:sz w:val="21"/>
        </w:rPr>
        <w:t>2017 年9 月曾任竹叶青酒营销有限公司董事长；2016 年1 月至2019 年12 月曾任山西杏花村汾酒厂股份</w:t>
      </w:r>
      <w:r>
        <w:rPr>
          <w:rFonts w:ascii="宋体" w:hAnsi="宋体" w:eastAsia="宋体"/>
          <w:b w:val="0"/>
          <w:i w:val="0"/>
          <w:color w:val="000000"/>
          <w:sz w:val="21"/>
        </w:rPr>
        <w:t>有限公司总经理助理；2017 年9 月至2019 年11 月曾任四川天玖投资有限责任公司党支部书记、董事长；</w:t>
      </w:r>
      <w:r>
        <w:rPr>
          <w:rFonts w:ascii="宋体" w:hAnsi="宋体" w:eastAsia="宋体"/>
          <w:b w:val="0"/>
          <w:i w:val="0"/>
          <w:color w:val="000000"/>
          <w:sz w:val="21"/>
        </w:rPr>
        <w:t>2019 年11 月至2022 年6 月曾任山西杏花村国际贸易有限责任公司党支部书记、董事、总经理；2020 年</w:t>
      </w:r>
      <w:r>
        <w:rPr>
          <w:rFonts w:ascii="宋体" w:hAnsi="宋体" w:eastAsia="宋体"/>
          <w:b w:val="0"/>
          <w:i w:val="0"/>
          <w:color w:val="000000"/>
          <w:sz w:val="21"/>
        </w:rPr>
        <w:t>3 月至2022 年6 月曾任山西杏花村汾酒大厦有限责任公司执行董事；2022 年9 月至2024 年12 月曾任山</w:t>
      </w:r>
      <w:r>
        <w:rPr>
          <w:rFonts w:ascii="宋体" w:hAnsi="宋体" w:eastAsia="宋体"/>
          <w:b w:val="0"/>
          <w:i w:val="0"/>
          <w:color w:val="000000"/>
          <w:sz w:val="21"/>
        </w:rPr>
        <w:t xml:space="preserve">西省食品工业协会理事会副秘书长。 </w:t>
      </w:r>
    </w:p>
    <w:p>
      <w:pPr>
        <w:autoSpaceDN w:val="0"/>
        <w:tabs>
          <w:tab w:pos="450" w:val="left"/>
          <w:tab w:pos="452" w:val="left"/>
        </w:tabs>
        <w:autoSpaceDE w:val="0"/>
        <w:widowControl/>
        <w:spacing w:line="460" w:lineRule="exact" w:before="0" w:after="0"/>
        <w:ind w:left="30" w:right="288" w:firstLine="0"/>
        <w:jc w:val="left"/>
      </w:pPr>
      <w:r>
        <w:tab/>
      </w:r>
      <w:r>
        <w:rPr>
          <w:rFonts w:ascii="宋体" w:hAnsi="宋体" w:eastAsia="宋体"/>
          <w:b w:val="0"/>
          <w:i w:val="0"/>
          <w:color w:val="000000"/>
          <w:sz w:val="21"/>
        </w:rPr>
        <w:t xml:space="preserve">白景波先生 </w:t>
      </w:r>
      <w:r>
        <w:br/>
      </w:r>
      <w:r>
        <w:tab/>
      </w:r>
      <w:r>
        <w:rPr>
          <w:rFonts w:ascii="宋体" w:hAnsi="宋体" w:eastAsia="宋体"/>
          <w:b w:val="0"/>
          <w:i w:val="0"/>
          <w:color w:val="000000"/>
          <w:sz w:val="21"/>
        </w:rPr>
        <w:t>山西省康养集团有限公司党委书记、董事长，1974 年3 月出生，中共党员，中央党校研究生，自</w:t>
      </w:r>
      <w:r>
        <w:rPr>
          <w:rFonts w:ascii="宋体" w:hAnsi="宋体" w:eastAsia="宋体"/>
          <w:b w:val="0"/>
          <w:i w:val="0"/>
          <w:color w:val="000000"/>
          <w:sz w:val="21"/>
        </w:rPr>
        <w:t xml:space="preserve">2020 年12 月起担任本公司监事。2024 年4 月起担任山西省康养集团有限公司党委书记、董事长。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2010 年4 月至2013 年3 月曾任山西省经贸投资控股集团有限公司业务运行处处长；2013 年3 月至</w:t>
      </w:r>
      <w:r>
        <w:rPr>
          <w:rFonts w:ascii="宋体" w:hAnsi="宋体" w:eastAsia="宋体"/>
          <w:b w:val="0"/>
          <w:i w:val="0"/>
          <w:color w:val="000000"/>
          <w:sz w:val="21"/>
        </w:rPr>
        <w:t>2013 年12 月曾任山西国瑞投资有限公司董事、总经理；2013 年3 月至2013 年12 月曾任山西国瑞房地</w:t>
      </w:r>
      <w:r>
        <w:rPr>
          <w:rFonts w:ascii="宋体" w:hAnsi="宋体" w:eastAsia="宋体"/>
          <w:b w:val="0"/>
          <w:i w:val="0"/>
          <w:color w:val="000000"/>
          <w:sz w:val="21"/>
        </w:rPr>
        <w:t>产开发有限公司副董事长、党支部书记；2013 年12 月至2018 年8 月曾任山西国瑞房地产开发有限公司</w:t>
      </w:r>
      <w:r>
        <w:rPr>
          <w:rFonts w:ascii="宋体" w:hAnsi="宋体" w:eastAsia="宋体"/>
          <w:b w:val="0"/>
          <w:i w:val="0"/>
          <w:color w:val="000000"/>
          <w:sz w:val="21"/>
        </w:rPr>
        <w:t>党支部书记、董事长；2018 年8 月至2022 年1 月曾任山西省旅游投资控股集团有限公司党委委员、董事、</w:t>
      </w:r>
      <w:r>
        <w:rPr>
          <w:rFonts w:ascii="宋体" w:hAnsi="宋体" w:eastAsia="宋体"/>
          <w:b w:val="0"/>
          <w:i w:val="0"/>
          <w:color w:val="000000"/>
          <w:sz w:val="21"/>
        </w:rPr>
        <w:t xml:space="preserve">总会计师； 2022 年1 月至2024 年4 月曾任山西省投资集团有限公司党委委员、副总经理、工会主席。 </w:t>
      </w:r>
    </w:p>
    <w:p>
      <w:pPr>
        <w:autoSpaceDN w:val="0"/>
        <w:tabs>
          <w:tab w:pos="450" w:val="left"/>
          <w:tab w:pos="452"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崔秋生先生 </w:t>
      </w:r>
      <w:r>
        <w:br/>
      </w:r>
      <w:r>
        <w:tab/>
      </w:r>
      <w:r>
        <w:rPr>
          <w:rFonts w:ascii="宋体" w:hAnsi="宋体" w:eastAsia="宋体"/>
          <w:b w:val="0"/>
          <w:i w:val="0"/>
          <w:color w:val="000000"/>
          <w:sz w:val="21"/>
        </w:rPr>
        <w:t>山西焦化集团有限公司企业管理处、政策研究室党支部书记、处长、主任，1973 年9 月出生，中共</w:t>
      </w:r>
      <w:r>
        <w:rPr>
          <w:rFonts w:ascii="宋体" w:hAnsi="宋体" w:eastAsia="宋体"/>
          <w:b w:val="0"/>
          <w:i w:val="0"/>
          <w:color w:val="000000"/>
          <w:sz w:val="21"/>
        </w:rPr>
        <w:t>党员，硕士学位，自2020 年12 月起担任本公司监事。2018 年7 月至今任山西焦化集团有限公司企业管</w:t>
      </w:r>
      <w:r>
        <w:rPr>
          <w:rFonts w:ascii="宋体" w:hAnsi="宋体" w:eastAsia="宋体"/>
          <w:b w:val="0"/>
          <w:i w:val="0"/>
          <w:color w:val="000000"/>
          <w:sz w:val="21"/>
        </w:rPr>
        <w:t xml:space="preserve">理处、政策研究室党支部书记、处长、主任。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自2020 年4 月起兼任山西洪洞华实热电有限公司董事，2020 年12 月起兼任中煤华晋集团有限公司</w:t>
      </w:r>
    </w:p>
    <w:p>
      <w:pPr>
        <w:autoSpaceDN w:val="0"/>
        <w:autoSpaceDE w:val="0"/>
        <w:widowControl/>
        <w:spacing w:line="197" w:lineRule="auto" w:before="862" w:after="0"/>
        <w:ind w:left="0" w:right="4922" w:firstLine="0"/>
        <w:jc w:val="right"/>
      </w:pPr>
      <w:r>
        <w:rPr>
          <w:rFonts w:ascii="Calibri" w:hAnsi="Calibri" w:eastAsia="Calibri"/>
          <w:b w:val="0"/>
          <w:i w:val="0"/>
          <w:color w:val="000000"/>
          <w:sz w:val="18"/>
        </w:rPr>
        <w:t xml:space="preserve">77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0" name="Picture 8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董事，2021 年7 月起兼任山西国瑞投资有限公司董事。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2005 年3 月至2009 年3 月曾任山西焦化焦化三厂精酚车间主任；2009 年3 月至2009 年9 月曾任山</w:t>
      </w:r>
      <w:r>
        <w:rPr>
          <w:rFonts w:ascii="宋体" w:hAnsi="宋体" w:eastAsia="宋体"/>
          <w:b w:val="0"/>
          <w:i w:val="0"/>
          <w:color w:val="000000"/>
          <w:sz w:val="21"/>
        </w:rPr>
        <w:t>西焦化焦化三厂总工艺师；2009 年9 月至2011 年1 月曾任山西焦化焦化五厂总工程师；2011 年2 月至</w:t>
      </w:r>
      <w:r>
        <w:rPr>
          <w:rFonts w:ascii="宋体" w:hAnsi="宋体" w:eastAsia="宋体"/>
          <w:b w:val="0"/>
          <w:i w:val="0"/>
          <w:color w:val="000000"/>
          <w:sz w:val="21"/>
        </w:rPr>
        <w:t>2011 年6 月曾任山西焦化生产技术部副部长、总调度长；2011 年6 月至2013 年3 月曾任山西焦化焦化</w:t>
      </w:r>
      <w:r>
        <w:rPr>
          <w:rFonts w:ascii="宋体" w:hAnsi="宋体" w:eastAsia="宋体"/>
          <w:b w:val="0"/>
          <w:i w:val="0"/>
          <w:color w:val="000000"/>
          <w:sz w:val="21"/>
        </w:rPr>
        <w:t>厂副厂长；2013 年3 月至2017 年9 月曾任山西焦化焦油加工厂党委书记、厂长；2017 年10 月至2018</w:t>
      </w:r>
      <w:r>
        <w:rPr>
          <w:rFonts w:ascii="宋体" w:hAnsi="宋体" w:eastAsia="宋体"/>
          <w:b w:val="0"/>
          <w:i w:val="0"/>
          <w:color w:val="000000"/>
          <w:sz w:val="21"/>
        </w:rPr>
        <w:t xml:space="preserve">年7 月曾任山西焦化设计研究院（有限公司）党委书记、副董事长。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胡朝晖先生 </w:t>
      </w:r>
      <w:r>
        <w:br/>
      </w:r>
      <w:r>
        <w:tab/>
      </w:r>
      <w:r>
        <w:rPr>
          <w:rFonts w:ascii="宋体" w:hAnsi="宋体" w:eastAsia="宋体"/>
          <w:b w:val="0"/>
          <w:i w:val="0"/>
          <w:color w:val="000000"/>
          <w:sz w:val="21"/>
        </w:rPr>
        <w:t>公司职工监事。1969 年6 月出生，中共党员，本科学历，于1992 年12 月加入本公司。自2002 年2</w:t>
      </w:r>
      <w:r>
        <w:rPr>
          <w:rFonts w:ascii="宋体" w:hAnsi="宋体" w:eastAsia="宋体"/>
          <w:b w:val="0"/>
          <w:i w:val="0"/>
          <w:color w:val="000000"/>
          <w:sz w:val="21"/>
        </w:rPr>
        <w:t xml:space="preserve">月起担任公司职工监事；自2024 年6 月起担任山证（上海）资产管理有限公司顾问。 </w:t>
      </w:r>
    </w:p>
    <w:p>
      <w:pPr>
        <w:autoSpaceDN w:val="0"/>
        <w:autoSpaceDE w:val="0"/>
        <w:widowControl/>
        <w:spacing w:line="460" w:lineRule="exact" w:before="2" w:after="0"/>
        <w:ind w:left="30" w:right="44" w:firstLine="420"/>
        <w:jc w:val="both"/>
      </w:pPr>
      <w:r>
        <w:rPr>
          <w:rFonts w:ascii="宋体" w:hAnsi="宋体" w:eastAsia="宋体"/>
          <w:b w:val="0"/>
          <w:i w:val="0"/>
          <w:color w:val="000000"/>
          <w:sz w:val="21"/>
        </w:rPr>
        <w:t>1992 年12 月至2002 年3 月期间曾任山西信托投资公司证券部部门经理、经营部经理、汾酒厂营业</w:t>
      </w:r>
      <w:r>
        <w:rPr>
          <w:rFonts w:ascii="宋体" w:hAnsi="宋体" w:eastAsia="宋体"/>
          <w:b w:val="0"/>
          <w:i w:val="0"/>
          <w:color w:val="000000"/>
          <w:sz w:val="21"/>
        </w:rPr>
        <w:t>部经理、西矿街营业部经理；2002 年3 月至2021 年6 月期间曾任本公司坞城路证券营业部总经理、西安</w:t>
      </w:r>
      <w:r>
        <w:rPr>
          <w:rFonts w:ascii="宋体" w:hAnsi="宋体" w:eastAsia="宋体"/>
          <w:b w:val="0"/>
          <w:i w:val="0"/>
          <w:color w:val="000000"/>
          <w:sz w:val="21"/>
        </w:rPr>
        <w:t>高新二路证券营业部总经理、风险控制部总经理、稽核审计部总经理、公司监事会副主席；2011 年7 月</w:t>
      </w:r>
      <w:r>
        <w:rPr>
          <w:rFonts w:ascii="宋体" w:hAnsi="宋体" w:eastAsia="宋体"/>
          <w:b w:val="0"/>
          <w:i w:val="0"/>
          <w:color w:val="000000"/>
          <w:sz w:val="21"/>
        </w:rPr>
        <w:t>至2021 年12 月期间曾任山证投资有限责任公司监事；2014 年6 月至2021 年10 月曾任山证资本管理</w:t>
      </w:r>
      <w:r>
        <w:rPr>
          <w:rFonts w:ascii="宋体" w:hAnsi="宋体" w:eastAsia="宋体"/>
          <w:b w:val="0"/>
          <w:i w:val="0"/>
          <w:color w:val="000000"/>
          <w:sz w:val="21"/>
        </w:rPr>
        <w:t xml:space="preserve">（北京）有限公司监事；2023 年7 月至2024 年6 月曾任山证（上海）资产管理有限公司业务总监。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刘文康先生 </w:t>
      </w:r>
      <w:r>
        <w:br/>
      </w:r>
      <w:r>
        <w:tab/>
      </w:r>
      <w:r>
        <w:rPr>
          <w:rFonts w:ascii="宋体" w:hAnsi="宋体" w:eastAsia="宋体"/>
          <w:b w:val="0"/>
          <w:i w:val="0"/>
          <w:color w:val="000000"/>
          <w:sz w:val="21"/>
        </w:rPr>
        <w:t>公司职工监事、风险管理部总经理，1971 年2 月出生，中共党员，本科学历，于1998 年9 月加入本</w:t>
      </w:r>
      <w:r>
        <w:rPr>
          <w:rFonts w:ascii="宋体" w:hAnsi="宋体" w:eastAsia="宋体"/>
          <w:b w:val="0"/>
          <w:i w:val="0"/>
          <w:color w:val="000000"/>
          <w:sz w:val="21"/>
        </w:rPr>
        <w:t xml:space="preserve">公司。自2020 年12 月起担任公司职工监事；2016 年5 月起担任公司风险管理部总经理。 </w:t>
      </w:r>
    </w:p>
    <w:p>
      <w:pPr>
        <w:autoSpaceDN w:val="0"/>
        <w:tabs>
          <w:tab w:pos="450" w:val="left"/>
        </w:tabs>
        <w:autoSpaceDE w:val="0"/>
        <w:widowControl/>
        <w:spacing w:line="460" w:lineRule="exact" w:before="2" w:after="0"/>
        <w:ind w:left="30" w:right="0" w:firstLine="0"/>
        <w:jc w:val="left"/>
      </w:pPr>
      <w:r>
        <w:tab/>
      </w:r>
      <w:r>
        <w:rPr>
          <w:rFonts w:ascii="宋体" w:hAnsi="宋体" w:eastAsia="宋体"/>
          <w:b w:val="0"/>
          <w:i w:val="0"/>
          <w:color w:val="000000"/>
          <w:sz w:val="21"/>
        </w:rPr>
        <w:t>自2018 年12 月起兼任山证创新投资有限公司监事；2020 年3 月起兼任山证科技（深圳）有限公司</w:t>
      </w:r>
      <w:r>
        <w:rPr>
          <w:rFonts w:ascii="宋体" w:hAnsi="宋体" w:eastAsia="宋体"/>
          <w:b w:val="0"/>
          <w:i w:val="0"/>
          <w:color w:val="000000"/>
          <w:sz w:val="21"/>
        </w:rPr>
        <w:t xml:space="preserve">监事；2024 年11 月起兼任格林大华期货有限公司监事。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1998 年9 月至2000 年4 月期间任职于本公司投资研究部；2000 年4 月至2016 年5 月期间曾任公司</w:t>
      </w:r>
      <w:r>
        <w:rPr>
          <w:rFonts w:ascii="宋体" w:hAnsi="宋体" w:eastAsia="宋体"/>
          <w:b w:val="0"/>
          <w:i w:val="0"/>
          <w:color w:val="000000"/>
          <w:sz w:val="21"/>
        </w:rPr>
        <w:t>太原解放北路证券营业部经理助理、经纪管理部副总经理、大同新建南路证券营业部总经理、合规管理</w:t>
      </w:r>
      <w:r>
        <w:rPr>
          <w:rFonts w:ascii="宋体" w:hAnsi="宋体" w:eastAsia="宋体"/>
          <w:b w:val="0"/>
          <w:i w:val="0"/>
          <w:color w:val="000000"/>
          <w:sz w:val="21"/>
        </w:rPr>
        <w:t xml:space="preserve">部总经理；2023 年9 月至2024 年11 月曾兼任格林大华期货有限公司监事会主席。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司海红女士 </w:t>
      </w:r>
      <w:r>
        <w:br/>
      </w:r>
      <w:r>
        <w:tab/>
      </w:r>
      <w:r>
        <w:rPr>
          <w:rFonts w:ascii="宋体" w:hAnsi="宋体" w:eastAsia="宋体"/>
          <w:b w:val="0"/>
          <w:i w:val="0"/>
          <w:color w:val="000000"/>
          <w:sz w:val="21"/>
        </w:rPr>
        <w:t>公司职工监事、人力资源部总经理，1978 年7 月出生，中共党员，硕士研究生学历，于2000 年8 月</w:t>
      </w:r>
      <w:r>
        <w:rPr>
          <w:rFonts w:ascii="宋体" w:hAnsi="宋体" w:eastAsia="宋体"/>
          <w:b w:val="0"/>
          <w:i w:val="0"/>
          <w:color w:val="000000"/>
          <w:sz w:val="21"/>
        </w:rPr>
        <w:t xml:space="preserve">加入本公司。自2020 年12 月起担任公司职工监事；2021 年9 月起担任公司人力资源部总经理。 </w:t>
      </w:r>
    </w:p>
    <w:p>
      <w:pPr>
        <w:autoSpaceDN w:val="0"/>
        <w:tabs>
          <w:tab w:pos="450" w:val="left"/>
        </w:tabs>
        <w:autoSpaceDE w:val="0"/>
        <w:widowControl/>
        <w:spacing w:line="460" w:lineRule="exact" w:before="0" w:after="0"/>
        <w:ind w:left="30" w:right="0" w:firstLine="0"/>
        <w:jc w:val="left"/>
      </w:pPr>
      <w:r>
        <w:tab/>
      </w:r>
      <w:r>
        <w:rPr>
          <w:rFonts w:ascii="宋体" w:hAnsi="宋体" w:eastAsia="宋体"/>
          <w:b w:val="0"/>
          <w:i w:val="0"/>
          <w:color w:val="000000"/>
          <w:sz w:val="21"/>
        </w:rPr>
        <w:t>2000 年8 月至2016 年10 月期间任职于本公司投资银行部、计划财务部、董事会办公室；2016 年10</w:t>
      </w:r>
      <w:r>
        <w:rPr>
          <w:rFonts w:ascii="宋体" w:hAnsi="宋体" w:eastAsia="宋体"/>
          <w:b w:val="0"/>
          <w:i w:val="0"/>
          <w:color w:val="000000"/>
          <w:sz w:val="21"/>
        </w:rPr>
        <w:t xml:space="preserve">月至2021 年9 月期间曾任公司人力资源部总经理助理、副总经理（主持工作）。 </w:t>
      </w:r>
    </w:p>
    <w:p>
      <w:pPr>
        <w:autoSpaceDN w:val="0"/>
        <w:autoSpaceDE w:val="0"/>
        <w:widowControl/>
        <w:spacing w:line="460" w:lineRule="exact" w:before="0" w:after="0"/>
        <w:ind w:left="450" w:right="0" w:firstLine="2"/>
        <w:jc w:val="left"/>
      </w:pPr>
      <w:r>
        <w:rPr>
          <w:rFonts w:ascii="宋体" w:hAnsi="宋体" w:eastAsia="宋体"/>
          <w:b w:val="0"/>
          <w:i w:val="0"/>
          <w:color w:val="000000"/>
          <w:sz w:val="21"/>
        </w:rPr>
        <w:t xml:space="preserve">张红兵先生 </w:t>
      </w:r>
      <w:r>
        <w:br/>
      </w:r>
      <w:r>
        <w:rPr>
          <w:rFonts w:ascii="宋体" w:hAnsi="宋体" w:eastAsia="宋体"/>
          <w:b w:val="0"/>
          <w:i w:val="0"/>
          <w:color w:val="000000"/>
          <w:sz w:val="21"/>
        </w:rPr>
        <w:t>公司职工监事、研究所总监、销售交易部总监，1981 年8 月出生，中共党员，硕士研究生学历，于</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78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1" name="Picture 8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36" w:lineRule="exact" w:before="0" w:after="0"/>
        <w:ind w:left="30" w:right="0" w:firstLine="0"/>
        <w:jc w:val="left"/>
      </w:pPr>
      <w:r>
        <w:rPr>
          <w:rFonts w:ascii="宋体" w:hAnsi="宋体" w:eastAsia="宋体"/>
          <w:b w:val="0"/>
          <w:i w:val="0"/>
          <w:color w:val="000000"/>
          <w:sz w:val="21"/>
        </w:rPr>
        <w:t>2007 年7 月加入本公司。自2020 年12 月起担任公司职工监事；2023 年7 月起担任公司研究所总监，兼</w:t>
      </w:r>
      <w:r>
        <w:rPr>
          <w:rFonts w:ascii="宋体" w:hAnsi="宋体" w:eastAsia="宋体"/>
          <w:b w:val="0"/>
          <w:i w:val="0"/>
          <w:color w:val="000000"/>
          <w:sz w:val="21"/>
        </w:rPr>
        <w:t xml:space="preserve">销售交易部总监。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2007 年7 月至2011 年6 月期间任职于本公司研究所；2011 年6 月至2022 年2 月期间曾任公司研究</w:t>
      </w:r>
      <w:r>
        <w:rPr>
          <w:rFonts w:ascii="宋体" w:hAnsi="宋体" w:eastAsia="宋体"/>
          <w:b w:val="0"/>
          <w:i w:val="0"/>
          <w:color w:val="000000"/>
          <w:sz w:val="21"/>
        </w:rPr>
        <w:t>所所长助理、所长助理（主持工作）、副所长（主持工作）；2022 年2 月至2023 年7 月期间曾任公司研究</w:t>
      </w:r>
      <w:r>
        <w:rPr>
          <w:rFonts w:ascii="宋体" w:hAnsi="宋体" w:eastAsia="宋体"/>
          <w:b w:val="0"/>
          <w:i w:val="0"/>
          <w:color w:val="000000"/>
          <w:sz w:val="21"/>
        </w:rPr>
        <w:t xml:space="preserve">所副所长。 </w:t>
      </w:r>
    </w:p>
    <w:p>
      <w:pPr>
        <w:autoSpaceDN w:val="0"/>
        <w:autoSpaceDE w:val="0"/>
        <w:widowControl/>
        <w:spacing w:line="460" w:lineRule="exact" w:before="0" w:after="0"/>
        <w:ind w:left="450" w:right="4176" w:firstLine="2"/>
        <w:jc w:val="left"/>
      </w:pPr>
      <w:r>
        <w:rPr>
          <w:rFonts w:ascii="宋体" w:hAnsi="宋体" w:eastAsia="宋体"/>
          <w:b w:val="0"/>
          <w:i w:val="0"/>
          <w:color w:val="000000"/>
          <w:sz w:val="21"/>
        </w:rPr>
        <w:t xml:space="preserve">（3）高级管理人员工作经历及任职情况 </w:t>
      </w:r>
      <w:r>
        <w:br/>
      </w:r>
      <w:r>
        <w:rPr>
          <w:rFonts w:ascii="宋体" w:hAnsi="宋体" w:eastAsia="宋体"/>
          <w:b w:val="0"/>
          <w:i w:val="0"/>
          <w:color w:val="000000"/>
          <w:sz w:val="21"/>
        </w:rPr>
        <w:t xml:space="preserve">侯巍先生，请参见本节“董事工作经历及任职情况”。 </w:t>
      </w:r>
    </w:p>
    <w:p>
      <w:pPr>
        <w:autoSpaceDN w:val="0"/>
        <w:autoSpaceDE w:val="0"/>
        <w:widowControl/>
        <w:spacing w:line="212" w:lineRule="exact" w:before="246" w:after="0"/>
        <w:ind w:left="450" w:right="0" w:firstLine="0"/>
        <w:jc w:val="left"/>
      </w:pPr>
      <w:r>
        <w:rPr>
          <w:rFonts w:ascii="宋体" w:hAnsi="宋体" w:eastAsia="宋体"/>
          <w:b w:val="0"/>
          <w:i w:val="0"/>
          <w:color w:val="000000"/>
          <w:sz w:val="21"/>
        </w:rPr>
        <w:t xml:space="preserve">王怡里先生，请参见本节“董事工作经历及任职情况”。 </w:t>
      </w:r>
    </w:p>
    <w:p>
      <w:pPr>
        <w:autoSpaceDN w:val="0"/>
        <w:autoSpaceDE w:val="0"/>
        <w:widowControl/>
        <w:spacing w:line="210" w:lineRule="exact" w:before="250" w:after="0"/>
        <w:ind w:left="450" w:right="0" w:firstLine="0"/>
        <w:jc w:val="left"/>
      </w:pPr>
      <w:r>
        <w:rPr>
          <w:rFonts w:ascii="宋体" w:hAnsi="宋体" w:eastAsia="宋体"/>
          <w:b w:val="0"/>
          <w:i w:val="0"/>
          <w:color w:val="000000"/>
          <w:sz w:val="21"/>
        </w:rPr>
        <w:t xml:space="preserve">乔俊峰先生，请参见本节“董事工作经历及任职情况”。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汤建雄先生 </w:t>
      </w:r>
      <w:r>
        <w:br/>
      </w:r>
      <w:r>
        <w:tab/>
      </w:r>
      <w:r>
        <w:rPr>
          <w:rFonts w:ascii="宋体" w:hAnsi="宋体" w:eastAsia="宋体"/>
          <w:b w:val="0"/>
          <w:i w:val="0"/>
          <w:color w:val="000000"/>
          <w:sz w:val="21"/>
        </w:rPr>
        <w:t>公司副总经理、执行委员会委员，1968 年12 月出生，中国民主同盟盟员，本科学历，于1996 年1</w:t>
      </w:r>
      <w:r>
        <w:rPr>
          <w:rFonts w:ascii="宋体" w:hAnsi="宋体" w:eastAsia="宋体"/>
          <w:b w:val="0"/>
          <w:i w:val="0"/>
          <w:color w:val="000000"/>
          <w:sz w:val="21"/>
        </w:rPr>
        <w:t>月加入本公司。自2011 年8 月起担任公司副总经理；2018 年1 月起担任公司财务负责人；2020 年12 月</w:t>
      </w:r>
      <w:r>
        <w:rPr>
          <w:rFonts w:ascii="宋体" w:hAnsi="宋体" w:eastAsia="宋体"/>
          <w:b w:val="0"/>
          <w:i w:val="0"/>
          <w:color w:val="000000"/>
          <w:sz w:val="21"/>
        </w:rPr>
        <w:t xml:space="preserve">起担任公司执行委员会委员；2025 年4 月起担任公司首席风险官。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自2009 年4 月起兼任中德证券有限责任公司董事；2021 年10 月起兼任山证（上海）资产管理有限</w:t>
      </w:r>
      <w:r>
        <w:rPr>
          <w:rFonts w:ascii="宋体" w:hAnsi="宋体" w:eastAsia="宋体"/>
          <w:b w:val="0"/>
          <w:i w:val="0"/>
          <w:color w:val="000000"/>
          <w:sz w:val="21"/>
        </w:rPr>
        <w:t>公司监事；2021 年11 月起兼任山证（上海）资产管理有限公司监事会主席；2021 年8 月起兼任公司战</w:t>
      </w:r>
      <w:r>
        <w:rPr>
          <w:rFonts w:ascii="宋体" w:hAnsi="宋体" w:eastAsia="宋体"/>
          <w:b w:val="0"/>
          <w:i w:val="0"/>
          <w:color w:val="000000"/>
          <w:sz w:val="21"/>
        </w:rPr>
        <w:t>略发展部总经理；2022 年1 月起兼任中国证券业协会财务会计专业委员会委员；2024 年9 月至今兼任山</w:t>
      </w:r>
      <w:r>
        <w:rPr>
          <w:rFonts w:ascii="宋体" w:hAnsi="宋体" w:eastAsia="宋体"/>
          <w:b w:val="0"/>
          <w:i w:val="0"/>
          <w:color w:val="000000"/>
          <w:sz w:val="21"/>
        </w:rPr>
        <w:t xml:space="preserve">证科技（深圳）有限公司执行董事。 </w:t>
      </w:r>
    </w:p>
    <w:p>
      <w:pPr>
        <w:autoSpaceDN w:val="0"/>
        <w:autoSpaceDE w:val="0"/>
        <w:widowControl/>
        <w:spacing w:line="460" w:lineRule="exact" w:before="2" w:after="0"/>
        <w:ind w:left="30" w:right="44" w:firstLine="420"/>
        <w:jc w:val="both"/>
      </w:pPr>
      <w:r>
        <w:rPr>
          <w:rFonts w:ascii="宋体" w:hAnsi="宋体" w:eastAsia="宋体"/>
          <w:b w:val="0"/>
          <w:i w:val="0"/>
          <w:color w:val="000000"/>
          <w:sz w:val="21"/>
        </w:rPr>
        <w:t>1996 年12 月至2001 年9 月期间曾任山西省信托投资公司上海证券部财务经理、清算部副总经理；</w:t>
      </w:r>
      <w:r>
        <w:rPr>
          <w:rFonts w:ascii="宋体" w:hAnsi="宋体" w:eastAsia="宋体"/>
          <w:b w:val="0"/>
          <w:i w:val="0"/>
          <w:color w:val="000000"/>
          <w:sz w:val="21"/>
        </w:rPr>
        <w:t>2001 年9 月至2019 年7 月期间曾任公司资产管理部副总经理兼总监理、计划财务部总经理、人力资源部</w:t>
      </w:r>
      <w:r>
        <w:rPr>
          <w:rFonts w:ascii="宋体" w:hAnsi="宋体" w:eastAsia="宋体"/>
          <w:b w:val="0"/>
          <w:i w:val="0"/>
          <w:color w:val="000000"/>
          <w:sz w:val="21"/>
        </w:rPr>
        <w:t>总经理；2007 年11 月至2013 年10 月曾任大华期货有限公司董事；2010 年4 月至2021 年8 月期间曾任</w:t>
      </w:r>
      <w:r>
        <w:rPr>
          <w:rFonts w:ascii="宋体" w:hAnsi="宋体" w:eastAsia="宋体"/>
          <w:b w:val="0"/>
          <w:i w:val="0"/>
          <w:color w:val="000000"/>
          <w:sz w:val="21"/>
        </w:rPr>
        <w:t>本公司财务总监、合规总监、首席风险官；2011 年7 月至2020 年12 月期间曾任龙华启富投资有限责任</w:t>
      </w:r>
      <w:r>
        <w:rPr>
          <w:rFonts w:ascii="宋体" w:hAnsi="宋体" w:eastAsia="宋体"/>
          <w:b w:val="0"/>
          <w:i w:val="0"/>
          <w:color w:val="000000"/>
          <w:sz w:val="21"/>
        </w:rPr>
        <w:t>公司董事（2019 年7 月更名为山证投资有限责任公司）；2013 年10 月至2024 年11 月曾任格林大华期货</w:t>
      </w:r>
      <w:r>
        <w:rPr>
          <w:rFonts w:ascii="宋体" w:hAnsi="宋体" w:eastAsia="宋体"/>
          <w:b w:val="0"/>
          <w:i w:val="0"/>
          <w:color w:val="000000"/>
          <w:sz w:val="21"/>
        </w:rPr>
        <w:t xml:space="preserve">有限公司董事。 </w:t>
      </w:r>
    </w:p>
    <w:p>
      <w:pPr>
        <w:autoSpaceDN w:val="0"/>
        <w:tabs>
          <w:tab w:pos="450" w:val="left"/>
          <w:tab w:pos="452" w:val="left"/>
        </w:tabs>
        <w:autoSpaceDE w:val="0"/>
        <w:widowControl/>
        <w:spacing w:line="460" w:lineRule="exact" w:before="2" w:after="0"/>
        <w:ind w:left="30" w:right="0" w:firstLine="0"/>
        <w:jc w:val="left"/>
      </w:pPr>
      <w:r>
        <w:tab/>
      </w:r>
      <w:r>
        <w:rPr>
          <w:rFonts w:ascii="宋体" w:hAnsi="宋体" w:eastAsia="宋体"/>
          <w:b w:val="0"/>
          <w:i w:val="0"/>
          <w:color w:val="000000"/>
          <w:sz w:val="21"/>
        </w:rPr>
        <w:t xml:space="preserve">高晓峰先生 </w:t>
      </w:r>
      <w:r>
        <w:br/>
      </w:r>
      <w:r>
        <w:tab/>
      </w:r>
      <w:r>
        <w:rPr>
          <w:rFonts w:ascii="宋体" w:hAnsi="宋体" w:eastAsia="宋体"/>
          <w:b w:val="0"/>
          <w:i w:val="0"/>
          <w:color w:val="000000"/>
          <w:sz w:val="21"/>
        </w:rPr>
        <w:t>公司党委委员、副总经理、执行委员会委员、合规总监，1975 年11 月出生，中共党员，本科学历，</w:t>
      </w:r>
      <w:r>
        <w:rPr>
          <w:rFonts w:ascii="宋体" w:hAnsi="宋体" w:eastAsia="宋体"/>
          <w:b w:val="0"/>
          <w:i w:val="0"/>
          <w:color w:val="000000"/>
          <w:sz w:val="21"/>
        </w:rPr>
        <w:t>于2017 年4 月加入本公司。自2017 年6 月起担任公司副总经理、合规总监；2020 年12 月起担任公司执</w:t>
      </w:r>
      <w:r>
        <w:rPr>
          <w:rFonts w:ascii="宋体" w:hAnsi="宋体" w:eastAsia="宋体"/>
          <w:b w:val="0"/>
          <w:i w:val="0"/>
          <w:color w:val="000000"/>
          <w:sz w:val="21"/>
        </w:rPr>
        <w:t xml:space="preserve">行委员会委员；2022 年6 月起担任公司党委委员。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自2022 年1 月起兼任中国证券业协会合规管理与廉洁从业专业委员会委员；2023 年7 月起兼任山证</w:t>
      </w:r>
      <w:r>
        <w:rPr>
          <w:rFonts w:ascii="宋体" w:hAnsi="宋体" w:eastAsia="宋体"/>
          <w:b w:val="0"/>
          <w:i w:val="0"/>
          <w:color w:val="000000"/>
          <w:sz w:val="21"/>
        </w:rPr>
        <w:t>（上海）资产管理有限公司合规总监；2023 年12 月起兼任中德证券有限责任公司监事会主席； 2024 年</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79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798"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2" name="Picture 8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200" w:lineRule="exact" w:before="0" w:after="30"/>
        <w:ind w:left="0" w:right="35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798" w:bottom="446" w:left="1104" w:header="720" w:footer="720" w:gutter="0"/>
          <w:cols w:num="2" w:equalWidth="0">
            <w:col w:w="5436" w:space="0"/>
            <w:col w:w="4565"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4 月起兼任中国上市公司协会声誉管理工作委员会委员。 </w:t>
      </w:r>
    </w:p>
    <w:p>
      <w:pPr>
        <w:autoSpaceDN w:val="0"/>
        <w:autoSpaceDE w:val="0"/>
        <w:widowControl/>
        <w:spacing w:line="460" w:lineRule="exact" w:before="0" w:after="0"/>
        <w:ind w:left="30" w:right="330" w:firstLine="420"/>
        <w:jc w:val="both"/>
      </w:pPr>
      <w:r>
        <w:rPr>
          <w:rFonts w:ascii="宋体" w:hAnsi="宋体" w:eastAsia="宋体"/>
          <w:b w:val="0"/>
          <w:i w:val="0"/>
          <w:color w:val="000000"/>
          <w:sz w:val="21"/>
        </w:rPr>
        <w:t>1999 年8 月至2004 年3 月期间曾任中国证监会太原特派办机构监管处科员、副主任科员；2004 年3</w:t>
      </w:r>
      <w:r>
        <w:rPr>
          <w:rFonts w:ascii="宋体" w:hAnsi="宋体" w:eastAsia="宋体"/>
          <w:b w:val="0"/>
          <w:i w:val="0"/>
          <w:color w:val="000000"/>
          <w:sz w:val="21"/>
        </w:rPr>
        <w:t>月至2017 年3 月期间曾任中国证监会山西监管局机构监管处副主任科员，期货监管处副主任科员，机构</w:t>
      </w:r>
      <w:r>
        <w:rPr>
          <w:rFonts w:ascii="宋体" w:hAnsi="宋体" w:eastAsia="宋体"/>
          <w:b w:val="0"/>
          <w:i w:val="0"/>
          <w:color w:val="000000"/>
          <w:sz w:val="21"/>
        </w:rPr>
        <w:t>监管处副主任科员、主任科员，上市处主任科员，办公室副主任(主持工作)、主任，期货监管处处长，</w:t>
      </w:r>
      <w:r>
        <w:rPr>
          <w:rFonts w:ascii="宋体" w:hAnsi="宋体" w:eastAsia="宋体"/>
          <w:b w:val="0"/>
          <w:i w:val="0"/>
          <w:color w:val="000000"/>
          <w:sz w:val="21"/>
        </w:rPr>
        <w:t xml:space="preserve">法制工作处处长(期间在山西金融投资控股集团有限公司挂职)。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韩丽萍女士 </w:t>
      </w:r>
      <w:r>
        <w:br/>
      </w:r>
      <w:r>
        <w:tab/>
      </w:r>
      <w:r>
        <w:rPr>
          <w:rFonts w:ascii="宋体" w:hAnsi="宋体" w:eastAsia="宋体"/>
          <w:b w:val="0"/>
          <w:i w:val="0"/>
          <w:color w:val="000000"/>
          <w:sz w:val="21"/>
        </w:rPr>
        <w:t>公司党委委员、副总经理、执行委员会委员，1974 年6 月出生，中共党员，硕士研究生学历，于</w:t>
      </w:r>
      <w:r>
        <w:rPr>
          <w:rFonts w:ascii="宋体" w:hAnsi="宋体" w:eastAsia="宋体"/>
          <w:b w:val="0"/>
          <w:i w:val="0"/>
          <w:color w:val="000000"/>
          <w:sz w:val="21"/>
        </w:rPr>
        <w:t>1996 年9 月加入本公司。自2020 年12 月起担任公司执行委员会委员；2022 年5 月起担任公司党委委员；</w:t>
      </w:r>
      <w:r>
        <w:rPr>
          <w:rFonts w:ascii="宋体" w:hAnsi="宋体" w:eastAsia="宋体"/>
          <w:b w:val="0"/>
          <w:i w:val="0"/>
          <w:color w:val="000000"/>
          <w:sz w:val="21"/>
        </w:rPr>
        <w:t xml:space="preserve">2022 年8 月起担任公司副总经理。 </w:t>
      </w:r>
    </w:p>
    <w:p>
      <w:pPr>
        <w:autoSpaceDN w:val="0"/>
        <w:autoSpaceDE w:val="0"/>
        <w:widowControl/>
        <w:spacing w:line="460" w:lineRule="exact" w:before="2" w:after="0"/>
        <w:ind w:left="30" w:right="332" w:firstLine="420"/>
        <w:jc w:val="both"/>
      </w:pPr>
      <w:r>
        <w:rPr>
          <w:rFonts w:ascii="宋体" w:hAnsi="宋体" w:eastAsia="宋体"/>
          <w:b w:val="0"/>
          <w:i w:val="0"/>
          <w:color w:val="000000"/>
          <w:sz w:val="21"/>
        </w:rPr>
        <w:t>自2022 年1 月起兼任中国证券业协会证券经纪与财富管理专业委员会委员；2023 年4 月起兼任山西</w:t>
      </w:r>
      <w:r>
        <w:rPr>
          <w:rFonts w:ascii="宋体" w:hAnsi="宋体" w:eastAsia="宋体"/>
          <w:b w:val="0"/>
          <w:i w:val="0"/>
          <w:color w:val="000000"/>
          <w:sz w:val="21"/>
        </w:rPr>
        <w:t>省期货业协会副会长；2024 年9 月起兼任格林大华期货有限公司党委书记；2024 年11 月起兼任格林大</w:t>
      </w:r>
      <w:r>
        <w:rPr>
          <w:rFonts w:ascii="宋体" w:hAnsi="宋体" w:eastAsia="宋体"/>
          <w:b w:val="0"/>
          <w:i w:val="0"/>
          <w:color w:val="000000"/>
          <w:sz w:val="21"/>
        </w:rPr>
        <w:t xml:space="preserve">华期货有限公司董事长；2025 年1 月起兼任山证（上海）资产管理有限公司副总经理。 </w:t>
      </w:r>
    </w:p>
    <w:p>
      <w:pPr>
        <w:autoSpaceDN w:val="0"/>
        <w:autoSpaceDE w:val="0"/>
        <w:widowControl/>
        <w:spacing w:line="460" w:lineRule="exact" w:before="2" w:after="0"/>
        <w:ind w:left="30" w:right="330" w:firstLine="420"/>
        <w:jc w:val="both"/>
      </w:pPr>
      <w:r>
        <w:rPr>
          <w:rFonts w:ascii="宋体" w:hAnsi="宋体" w:eastAsia="宋体"/>
          <w:b w:val="0"/>
          <w:i w:val="0"/>
          <w:color w:val="000000"/>
          <w:sz w:val="21"/>
        </w:rPr>
        <w:t>2002 年4 月至2018 年3 月期间曾任本公司太原迎泽大街证券营业部交易部经理、运营保障部经理、</w:t>
      </w:r>
      <w:r>
        <w:rPr>
          <w:rFonts w:ascii="宋体" w:hAnsi="宋体" w:eastAsia="宋体"/>
          <w:b w:val="0"/>
          <w:i w:val="0"/>
          <w:color w:val="000000"/>
          <w:sz w:val="21"/>
        </w:rPr>
        <w:t>总经理助理、监理，太原解放北路证券营业部总经理（副总经理主持工作待遇）、总经理，太原解北分公</w:t>
      </w:r>
      <w:r>
        <w:rPr>
          <w:rFonts w:ascii="宋体" w:hAnsi="宋体" w:eastAsia="宋体"/>
          <w:b w:val="0"/>
          <w:i w:val="0"/>
          <w:color w:val="000000"/>
          <w:sz w:val="21"/>
        </w:rPr>
        <w:t>司总经理、太原北城分公司总经理、太原府西街证券营业部总经理（兼）；2017 年2 月至2022 年8 月曾</w:t>
      </w:r>
      <w:r>
        <w:rPr>
          <w:rFonts w:ascii="宋体" w:hAnsi="宋体" w:eastAsia="宋体"/>
          <w:b w:val="0"/>
          <w:i w:val="0"/>
          <w:color w:val="000000"/>
          <w:sz w:val="21"/>
        </w:rPr>
        <w:t>任公司总经理助理，期间兼任财富管理部总经理、财富管理运营部总经理、零售及互金部总经理、金融</w:t>
      </w:r>
      <w:r>
        <w:rPr>
          <w:rFonts w:ascii="宋体" w:hAnsi="宋体" w:eastAsia="宋体"/>
          <w:b w:val="0"/>
          <w:i w:val="0"/>
          <w:color w:val="000000"/>
          <w:sz w:val="21"/>
        </w:rPr>
        <w:t xml:space="preserve">产品部总经理；2021 年10 月至2023 年5 月曾兼任山证（上海）资产管理有限公司董事。 </w:t>
      </w:r>
    </w:p>
    <w:p>
      <w:pPr>
        <w:autoSpaceDN w:val="0"/>
        <w:tabs>
          <w:tab w:pos="450" w:val="left"/>
          <w:tab w:pos="452" w:val="left"/>
        </w:tabs>
        <w:autoSpaceDE w:val="0"/>
        <w:widowControl/>
        <w:spacing w:line="458" w:lineRule="exact" w:before="2" w:after="0"/>
        <w:ind w:left="30" w:right="0" w:firstLine="0"/>
        <w:jc w:val="left"/>
      </w:pPr>
      <w:r>
        <w:tab/>
      </w:r>
      <w:r>
        <w:rPr>
          <w:rFonts w:ascii="宋体" w:hAnsi="宋体" w:eastAsia="宋体"/>
          <w:b w:val="0"/>
          <w:i w:val="0"/>
          <w:color w:val="000000"/>
          <w:sz w:val="21"/>
        </w:rPr>
        <w:t xml:space="preserve">谢卫先生 </w:t>
      </w:r>
      <w:r>
        <w:br/>
      </w:r>
      <w:r>
        <w:tab/>
      </w:r>
      <w:r>
        <w:rPr>
          <w:rFonts w:ascii="宋体" w:hAnsi="宋体" w:eastAsia="宋体"/>
          <w:b w:val="0"/>
          <w:i w:val="0"/>
          <w:color w:val="000000"/>
          <w:sz w:val="21"/>
        </w:rPr>
        <w:t>公司党委委员、副总经理、执行委员会委员，1972 年2 月出生，中共党员，硕士学位，于1993 年7</w:t>
      </w:r>
      <w:r>
        <w:rPr>
          <w:rFonts w:ascii="宋体" w:hAnsi="宋体" w:eastAsia="宋体"/>
          <w:b w:val="0"/>
          <w:i w:val="0"/>
          <w:color w:val="000000"/>
          <w:sz w:val="21"/>
        </w:rPr>
        <w:t xml:space="preserve">月加入本公司。自2020 年12 月起担任公司执行委员会委员；2024 年9 月担任公司党委委员、副总经理。 </w:t>
      </w:r>
    </w:p>
    <w:p>
      <w:pPr>
        <w:autoSpaceDN w:val="0"/>
        <w:tabs>
          <w:tab w:pos="450" w:val="left"/>
        </w:tabs>
        <w:autoSpaceDE w:val="0"/>
        <w:widowControl/>
        <w:spacing w:line="460" w:lineRule="exact" w:before="2" w:after="0"/>
        <w:ind w:left="30" w:right="288" w:firstLine="0"/>
        <w:jc w:val="left"/>
      </w:pPr>
      <w:r>
        <w:tab/>
      </w:r>
      <w:r>
        <w:rPr>
          <w:rFonts w:ascii="宋体" w:hAnsi="宋体" w:eastAsia="宋体"/>
          <w:b w:val="0"/>
          <w:i w:val="0"/>
          <w:color w:val="000000"/>
          <w:sz w:val="21"/>
        </w:rPr>
        <w:t>自2023 年5 月起兼任山证（上海）资产管理有限公司董事长；2024 年8 月起兼任中国证券业协会发</w:t>
      </w:r>
      <w:r>
        <w:rPr>
          <w:rFonts w:ascii="宋体" w:hAnsi="宋体" w:eastAsia="宋体"/>
          <w:b w:val="0"/>
          <w:i w:val="0"/>
          <w:color w:val="000000"/>
          <w:sz w:val="21"/>
        </w:rPr>
        <w:t xml:space="preserve">展战略、声誉与品牌维护专业委员会委员。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2004 年4 月至2010 年2 月期间曾任本公司运城证券营业部副总经理、总监、副总经理（主持工作）、</w:t>
      </w:r>
      <w:r>
        <w:rPr>
          <w:rFonts w:ascii="宋体" w:hAnsi="宋体" w:eastAsia="宋体"/>
          <w:b w:val="0"/>
          <w:i w:val="0"/>
          <w:color w:val="000000"/>
          <w:sz w:val="21"/>
        </w:rPr>
        <w:t>总经理；2010 年2 月至2021 年8 月期间曾任太原迎泽大街证券营业部总经理、太原迎泽分公司总经理、</w:t>
      </w:r>
      <w:r>
        <w:rPr>
          <w:rFonts w:ascii="宋体" w:hAnsi="宋体" w:eastAsia="宋体"/>
          <w:b w:val="0"/>
          <w:i w:val="0"/>
          <w:color w:val="000000"/>
          <w:sz w:val="21"/>
        </w:rPr>
        <w:t>机构业务部总经理；2017 年2 月至2024 年9 月曾任公司总经理助理；2021 年8 月至2024 年10 月曾任</w:t>
      </w:r>
      <w:r>
        <w:rPr>
          <w:rFonts w:ascii="宋体" w:hAnsi="宋体" w:eastAsia="宋体"/>
          <w:b w:val="0"/>
          <w:i w:val="0"/>
          <w:color w:val="000000"/>
          <w:sz w:val="21"/>
        </w:rPr>
        <w:t xml:space="preserve">企业金融部总经理。 </w:t>
      </w:r>
    </w:p>
    <w:p>
      <w:pPr>
        <w:autoSpaceDN w:val="0"/>
        <w:tabs>
          <w:tab w:pos="450" w:val="left"/>
          <w:tab w:pos="452" w:val="left"/>
        </w:tabs>
        <w:autoSpaceDE w:val="0"/>
        <w:widowControl/>
        <w:spacing w:line="460" w:lineRule="exact" w:before="2" w:after="0"/>
        <w:ind w:left="30" w:right="288" w:firstLine="0"/>
        <w:jc w:val="left"/>
      </w:pPr>
      <w:r>
        <w:tab/>
      </w:r>
      <w:r>
        <w:rPr>
          <w:rFonts w:ascii="宋体" w:hAnsi="宋体" w:eastAsia="宋体"/>
          <w:b w:val="0"/>
          <w:i w:val="0"/>
          <w:color w:val="000000"/>
          <w:sz w:val="21"/>
        </w:rPr>
        <w:t xml:space="preserve">赵雪先生 </w:t>
      </w:r>
      <w:r>
        <w:br/>
      </w:r>
      <w:r>
        <w:tab/>
      </w:r>
      <w:r>
        <w:rPr>
          <w:rFonts w:ascii="宋体" w:hAnsi="宋体" w:eastAsia="宋体"/>
          <w:b w:val="0"/>
          <w:i w:val="0"/>
          <w:color w:val="000000"/>
          <w:sz w:val="21"/>
        </w:rPr>
        <w:t>公司副总经理、执行委员会委员，1984 年1 月出生，中共党员，硕士研究生学历，于2015 年11 月</w:t>
      </w:r>
      <w:r>
        <w:rPr>
          <w:rFonts w:ascii="宋体" w:hAnsi="宋体" w:eastAsia="宋体"/>
          <w:b w:val="0"/>
          <w:i w:val="0"/>
          <w:color w:val="000000"/>
          <w:sz w:val="21"/>
        </w:rPr>
        <w:t>加入本公司。自2021 年8 月起担任公司海南自营分公司总经理；2024 年9 月起担任公司副总经理、执行</w:t>
      </w:r>
    </w:p>
    <w:p>
      <w:pPr>
        <w:autoSpaceDN w:val="0"/>
        <w:autoSpaceDE w:val="0"/>
        <w:widowControl/>
        <w:spacing w:line="197" w:lineRule="auto" w:before="862" w:after="0"/>
        <w:ind w:left="0" w:right="5024" w:firstLine="0"/>
        <w:jc w:val="right"/>
      </w:pPr>
      <w:r>
        <w:rPr>
          <w:rFonts w:ascii="Calibri" w:hAnsi="Calibri" w:eastAsia="Calibri"/>
          <w:b w:val="0"/>
          <w:i w:val="0"/>
          <w:color w:val="000000"/>
          <w:sz w:val="18"/>
        </w:rPr>
        <w:t xml:space="preserve">80 </w:t>
      </w:r>
    </w:p>
    <w:p>
      <w:pPr>
        <w:sectPr>
          <w:type w:val="continuous"/>
          <w:pgSz w:w="11904" w:h="16841"/>
          <w:pgMar w:top="424" w:right="798"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3" name="Picture 8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 xml:space="preserve">委员会委员。 </w:t>
      </w:r>
    </w:p>
    <w:p>
      <w:pPr>
        <w:autoSpaceDN w:val="0"/>
        <w:tabs>
          <w:tab w:pos="450" w:val="left"/>
        </w:tabs>
        <w:autoSpaceDE w:val="0"/>
        <w:widowControl/>
        <w:spacing w:line="460" w:lineRule="exact" w:before="0" w:after="0"/>
        <w:ind w:left="30" w:right="0" w:firstLine="0"/>
        <w:jc w:val="left"/>
      </w:pPr>
      <w:r>
        <w:tab/>
      </w:r>
      <w:r>
        <w:rPr>
          <w:rFonts w:ascii="宋体" w:hAnsi="宋体" w:eastAsia="宋体"/>
          <w:b w:val="0"/>
          <w:i w:val="0"/>
          <w:color w:val="000000"/>
          <w:sz w:val="21"/>
        </w:rPr>
        <w:t>自2024 年8 月起兼任山证国际金融控股有限公司副董事长、行政总裁；2024 年11 月起兼任格林大</w:t>
      </w:r>
      <w:r>
        <w:rPr>
          <w:rFonts w:ascii="宋体" w:hAnsi="宋体" w:eastAsia="宋体"/>
          <w:b w:val="0"/>
          <w:i w:val="0"/>
          <w:color w:val="000000"/>
          <w:sz w:val="21"/>
        </w:rPr>
        <w:t xml:space="preserve">华期货有限公司董事；2025 年3 月起兼任投资管理部总经理、金融衍生产品部总经理。 </w:t>
      </w:r>
    </w:p>
    <w:p>
      <w:pPr>
        <w:autoSpaceDN w:val="0"/>
        <w:autoSpaceDE w:val="0"/>
        <w:widowControl/>
        <w:spacing w:line="460" w:lineRule="exact" w:before="0" w:after="0"/>
        <w:ind w:left="30" w:right="44" w:firstLine="420"/>
        <w:jc w:val="both"/>
      </w:pPr>
      <w:r>
        <w:rPr>
          <w:rFonts w:ascii="宋体" w:hAnsi="宋体" w:eastAsia="宋体"/>
          <w:b w:val="0"/>
          <w:i w:val="0"/>
          <w:color w:val="000000"/>
          <w:sz w:val="21"/>
        </w:rPr>
        <w:t>2008 年7 月至2015 年10 月曾任第一创业证券股份有限公司固定收益部交易岗、交易部负责人；</w:t>
      </w:r>
      <w:r>
        <w:rPr>
          <w:rFonts w:ascii="宋体" w:hAnsi="宋体" w:eastAsia="宋体"/>
          <w:b w:val="0"/>
          <w:i w:val="0"/>
          <w:color w:val="000000"/>
          <w:sz w:val="21"/>
        </w:rPr>
        <w:t>2015 年11 月至2021 年8 月曾任本公司固定收益部总经理；2022 年9 月至2024 年9 月曾任本公司总经</w:t>
      </w:r>
      <w:r>
        <w:rPr>
          <w:rFonts w:ascii="宋体" w:hAnsi="宋体" w:eastAsia="宋体"/>
          <w:b w:val="0"/>
          <w:i w:val="0"/>
          <w:color w:val="000000"/>
          <w:sz w:val="21"/>
        </w:rPr>
        <w:t xml:space="preserve">理助理。 </w:t>
      </w:r>
    </w:p>
    <w:p>
      <w:pPr>
        <w:autoSpaceDN w:val="0"/>
        <w:autoSpaceDE w:val="0"/>
        <w:widowControl/>
        <w:spacing w:line="458" w:lineRule="exact" w:before="4" w:after="0"/>
        <w:ind w:left="450" w:right="2592" w:firstLine="2"/>
        <w:jc w:val="left"/>
      </w:pPr>
      <w:r>
        <w:rPr>
          <w:rFonts w:ascii="宋体" w:hAnsi="宋体" w:eastAsia="宋体"/>
          <w:b w:val="0"/>
          <w:i w:val="0"/>
          <w:color w:val="000000"/>
          <w:sz w:val="21"/>
        </w:rPr>
        <w:t xml:space="preserve">闫晓华女士 </w:t>
      </w:r>
      <w:r>
        <w:br/>
      </w:r>
      <w:r>
        <w:rPr>
          <w:rFonts w:ascii="宋体" w:hAnsi="宋体" w:eastAsia="宋体"/>
          <w:b w:val="0"/>
          <w:i w:val="0"/>
          <w:color w:val="000000"/>
          <w:sz w:val="21"/>
        </w:rPr>
        <w:t xml:space="preserve">1971 年10 月出生，中共党员，硕士学位，于1997 年4 月加入本公司。 </w:t>
      </w:r>
    </w:p>
    <w:p>
      <w:pPr>
        <w:autoSpaceDN w:val="0"/>
        <w:autoSpaceDE w:val="0"/>
        <w:widowControl/>
        <w:spacing w:line="210" w:lineRule="exact" w:before="250" w:after="0"/>
        <w:ind w:left="450" w:right="0" w:firstLine="0"/>
        <w:jc w:val="left"/>
      </w:pPr>
      <w:r>
        <w:rPr>
          <w:rFonts w:ascii="宋体" w:hAnsi="宋体" w:eastAsia="宋体"/>
          <w:b w:val="0"/>
          <w:i w:val="0"/>
          <w:color w:val="000000"/>
          <w:sz w:val="21"/>
        </w:rPr>
        <w:t xml:space="preserve">自2024 年8 月起兼任山证（上海）资产管理有限公司监事。 </w:t>
      </w:r>
    </w:p>
    <w:p>
      <w:pPr>
        <w:autoSpaceDN w:val="0"/>
        <w:autoSpaceDE w:val="0"/>
        <w:widowControl/>
        <w:spacing w:line="460" w:lineRule="exact" w:before="2" w:after="0"/>
        <w:ind w:left="30" w:right="44" w:firstLine="420"/>
        <w:jc w:val="both"/>
      </w:pPr>
      <w:r>
        <w:rPr>
          <w:rFonts w:ascii="宋体" w:hAnsi="宋体" w:eastAsia="宋体"/>
          <w:b w:val="0"/>
          <w:i w:val="0"/>
          <w:color w:val="000000"/>
          <w:sz w:val="21"/>
        </w:rPr>
        <w:t>2001 年2 月至2017 年7 月期间曾任本公司西安证券营业部总经理、综合管理部总经理、人力资源部</w:t>
      </w:r>
      <w:r>
        <w:rPr>
          <w:rFonts w:ascii="宋体" w:hAnsi="宋体" w:eastAsia="宋体"/>
          <w:b w:val="0"/>
          <w:i w:val="0"/>
          <w:color w:val="000000"/>
          <w:sz w:val="21"/>
        </w:rPr>
        <w:t>总监、稽核考核部总监、稽核考核部总经理、职工监事、合规管理部总经理；2017 年2 月至2025 年1 月</w:t>
      </w:r>
      <w:r>
        <w:rPr>
          <w:rFonts w:ascii="宋体" w:hAnsi="宋体" w:eastAsia="宋体"/>
          <w:b w:val="0"/>
          <w:i w:val="0"/>
          <w:color w:val="000000"/>
          <w:sz w:val="21"/>
        </w:rPr>
        <w:t>曾任公司总经理助理；2020 年12 月至2025 年4 月曾任公司执行委员会委员；2021 年8 月至2025 年4</w:t>
      </w:r>
      <w:r>
        <w:rPr>
          <w:rFonts w:ascii="宋体" w:hAnsi="宋体" w:eastAsia="宋体"/>
          <w:b w:val="0"/>
          <w:i w:val="0"/>
          <w:color w:val="000000"/>
          <w:sz w:val="21"/>
        </w:rPr>
        <w:t xml:space="preserve">月曾任公司首席风险官。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刘军先生 </w:t>
      </w:r>
      <w:r>
        <w:br/>
      </w:r>
      <w:r>
        <w:tab/>
      </w:r>
      <w:r>
        <w:rPr>
          <w:rFonts w:ascii="宋体" w:hAnsi="宋体" w:eastAsia="宋体"/>
          <w:b w:val="0"/>
          <w:i w:val="0"/>
          <w:color w:val="000000"/>
          <w:sz w:val="21"/>
        </w:rPr>
        <w:t>公司执行委员会委员、总经理助理、研究所所长，1971 年8 月出生，中共党员，硕士研究生学历。</w:t>
      </w:r>
      <w:r>
        <w:rPr>
          <w:rFonts w:ascii="宋体" w:hAnsi="宋体" w:eastAsia="宋体"/>
          <w:b w:val="0"/>
          <w:i w:val="0"/>
          <w:color w:val="000000"/>
          <w:sz w:val="21"/>
        </w:rPr>
        <w:t>于2022 年1 月加入本公司。自2022 年2 月起担任研究所所长；2022 年9 月起担任公司总经理助理；</w:t>
      </w:r>
      <w:r>
        <w:rPr>
          <w:rFonts w:ascii="宋体" w:hAnsi="宋体" w:eastAsia="宋体"/>
          <w:b w:val="0"/>
          <w:i w:val="0"/>
          <w:color w:val="000000"/>
          <w:sz w:val="21"/>
        </w:rPr>
        <w:t xml:space="preserve">2023 年8 月起担任公司执行委员会委员。 </w:t>
      </w:r>
    </w:p>
    <w:p>
      <w:pPr>
        <w:autoSpaceDN w:val="0"/>
        <w:autoSpaceDE w:val="0"/>
        <w:widowControl/>
        <w:spacing w:line="460" w:lineRule="exact" w:before="2" w:after="0"/>
        <w:ind w:left="30" w:right="44" w:firstLine="420"/>
        <w:jc w:val="both"/>
      </w:pPr>
      <w:r>
        <w:rPr>
          <w:rFonts w:ascii="宋体" w:hAnsi="宋体" w:eastAsia="宋体"/>
          <w:b w:val="0"/>
          <w:i w:val="0"/>
          <w:color w:val="000000"/>
          <w:sz w:val="21"/>
        </w:rPr>
        <w:t>1993 年7 月至2001 年9 月曾任中国石化安庆分公司工程师；2004 年3 月至2007 年4 月曾任光大证</w:t>
      </w:r>
      <w:r>
        <w:rPr>
          <w:rFonts w:ascii="宋体" w:hAnsi="宋体" w:eastAsia="宋体"/>
          <w:b w:val="0"/>
          <w:i w:val="0"/>
          <w:color w:val="000000"/>
          <w:sz w:val="21"/>
        </w:rPr>
        <w:t>券股份有限公司行业分析师；2007 年4 月至2015 年1 月曾任安信证券股份有限公司化工首席分析师；</w:t>
      </w:r>
      <w:r>
        <w:rPr>
          <w:rFonts w:ascii="宋体" w:hAnsi="宋体" w:eastAsia="宋体"/>
          <w:b w:val="0"/>
          <w:i w:val="0"/>
          <w:color w:val="000000"/>
          <w:sz w:val="21"/>
        </w:rPr>
        <w:t>2015 年2 月入职华金证券股份有限公司，2015 年3 月至2021 年12 月曾任华金证券股份有限公司研究所</w:t>
      </w:r>
      <w:r>
        <w:rPr>
          <w:rFonts w:ascii="宋体" w:hAnsi="宋体" w:eastAsia="宋体"/>
          <w:b w:val="0"/>
          <w:i w:val="0"/>
          <w:color w:val="000000"/>
          <w:sz w:val="21"/>
        </w:rPr>
        <w:t xml:space="preserve">所长、总裁助理、党委委员。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孙嘉锋先生 </w:t>
      </w:r>
      <w:r>
        <w:br/>
      </w:r>
      <w:r>
        <w:tab/>
      </w:r>
      <w:r>
        <w:rPr>
          <w:rFonts w:ascii="宋体" w:hAnsi="宋体" w:eastAsia="宋体"/>
          <w:b w:val="0"/>
          <w:i w:val="0"/>
          <w:color w:val="000000"/>
          <w:sz w:val="21"/>
        </w:rPr>
        <w:t>公司首席信息官，1978 年4 月出生，本科学历，于2023 年6 月加入本公司。自2023 年8 月起担任</w:t>
      </w:r>
      <w:r>
        <w:rPr>
          <w:rFonts w:ascii="宋体" w:hAnsi="宋体" w:eastAsia="宋体"/>
          <w:b w:val="0"/>
          <w:i w:val="0"/>
          <w:color w:val="000000"/>
          <w:sz w:val="21"/>
        </w:rPr>
        <w:t xml:space="preserve">公司首席信息官。 </w:t>
      </w:r>
    </w:p>
    <w:p>
      <w:pPr>
        <w:autoSpaceDN w:val="0"/>
        <w:tabs>
          <w:tab w:pos="450" w:val="left"/>
        </w:tabs>
        <w:autoSpaceDE w:val="0"/>
        <w:widowControl/>
        <w:spacing w:line="458" w:lineRule="exact" w:before="2" w:after="0"/>
        <w:ind w:left="30" w:right="0" w:firstLine="0"/>
        <w:jc w:val="left"/>
      </w:pPr>
      <w:r>
        <w:tab/>
      </w:r>
      <w:r>
        <w:rPr>
          <w:rFonts w:ascii="宋体" w:hAnsi="宋体" w:eastAsia="宋体"/>
          <w:b w:val="0"/>
          <w:i w:val="0"/>
          <w:color w:val="000000"/>
          <w:sz w:val="21"/>
        </w:rPr>
        <w:t>自2024 年4 月起兼任中德证券有限责任公司首席信息官；2023 年6 月起兼任中国证券业协会证券科</w:t>
      </w:r>
      <w:r>
        <w:rPr>
          <w:rFonts w:ascii="宋体" w:hAnsi="宋体" w:eastAsia="宋体"/>
          <w:b w:val="0"/>
          <w:i w:val="0"/>
          <w:color w:val="000000"/>
          <w:sz w:val="21"/>
        </w:rPr>
        <w:t xml:space="preserve">技专业委员会委员；2025 年4 月兼任山证（上海）资产管理有限公司信息技术负责人。 </w:t>
      </w:r>
    </w:p>
    <w:p>
      <w:pPr>
        <w:autoSpaceDN w:val="0"/>
        <w:autoSpaceDE w:val="0"/>
        <w:widowControl/>
        <w:spacing w:line="460" w:lineRule="exact" w:before="2" w:after="0"/>
        <w:ind w:left="30" w:right="44" w:firstLine="420"/>
        <w:jc w:val="both"/>
      </w:pPr>
      <w:r>
        <w:rPr>
          <w:rFonts w:ascii="宋体" w:hAnsi="宋体" w:eastAsia="宋体"/>
          <w:b w:val="0"/>
          <w:i w:val="0"/>
          <w:color w:val="000000"/>
          <w:sz w:val="21"/>
        </w:rPr>
        <w:t>2000 年9 月至2000 年12 月曾任富士康科技有限公司IE 工程师；2001 年1 月至2001 年12 月曾任</w:t>
      </w:r>
      <w:r>
        <w:rPr>
          <w:rFonts w:ascii="宋体" w:hAnsi="宋体" w:eastAsia="宋体"/>
          <w:b w:val="0"/>
          <w:i w:val="0"/>
          <w:color w:val="000000"/>
          <w:sz w:val="21"/>
        </w:rPr>
        <w:t>和记科联信息技术（深圳）有限公司软件工程师；2002 年1 月至2005 年12 月曾任尚阳科技股份有限公</w:t>
      </w:r>
      <w:r>
        <w:rPr>
          <w:rFonts w:ascii="宋体" w:hAnsi="宋体" w:eastAsia="宋体"/>
          <w:b w:val="0"/>
          <w:i w:val="0"/>
          <w:color w:val="000000"/>
          <w:sz w:val="21"/>
        </w:rPr>
        <w:t>司技术经理；2005 年12 月至2007 年1 月曾任上海千橡畅达互联网信息科技发展有限公司技术经理；</w:t>
      </w:r>
    </w:p>
    <w:p>
      <w:pPr>
        <w:autoSpaceDN w:val="0"/>
        <w:autoSpaceDE w:val="0"/>
        <w:widowControl/>
        <w:spacing w:line="197" w:lineRule="auto" w:before="862" w:after="0"/>
        <w:ind w:left="0" w:right="0" w:firstLine="0"/>
        <w:jc w:val="center"/>
      </w:pPr>
      <w:r>
        <w:rPr>
          <w:rFonts w:ascii="Calibri" w:hAnsi="Calibri" w:eastAsia="Calibri"/>
          <w:b w:val="0"/>
          <w:i w:val="0"/>
          <w:color w:val="000000"/>
          <w:sz w:val="18"/>
        </w:rPr>
        <w:t xml:space="preserve">81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76" w:bottom="446" w:left="1100" w:header="720" w:footer="720" w:gutter="0"/>
          <w:cols/>
          <w:docGrid w:linePitch="360"/>
        </w:sectPr>
      </w:pPr>
    </w:p>
    <w:p>
      <w:pPr>
        <w:autoSpaceDN w:val="0"/>
        <w:autoSpaceDE w:val="0"/>
        <w:widowControl/>
        <w:spacing w:line="240" w:lineRule="auto" w:before="0" w:after="0"/>
        <w:ind w:left="34" w:right="0" w:firstLine="0"/>
        <w:jc w:val="left"/>
      </w:pPr>
      <w:r>
        <w:drawing>
          <wp:inline xmlns:a="http://schemas.openxmlformats.org/drawingml/2006/main" xmlns:pic="http://schemas.openxmlformats.org/drawingml/2006/picture">
            <wp:extent cx="1844039" cy="439419"/>
            <wp:docPr id="84" name="Picture 8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200" w:lineRule="exact" w:before="0" w:after="30"/>
        <w:ind w:left="0" w:right="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450" w:lineRule="exact" w:before="0" w:after="0"/>
        <w:ind w:left="34" w:right="54" w:firstLine="0"/>
        <w:jc w:val="both"/>
      </w:pPr>
      <w:r>
        <w:rPr>
          <w:rFonts w:ascii="宋体" w:hAnsi="宋体" w:eastAsia="宋体"/>
          <w:b w:val="0"/>
          <w:i w:val="0"/>
          <w:color w:val="000000"/>
          <w:sz w:val="21"/>
        </w:rPr>
        <w:t>2007 年2 月至2009 年12 月曾任微软亚洲工程院高级开发工程师；2009 年12 月至2012 年6 月曾任北京</w:t>
      </w:r>
      <w:r>
        <w:rPr>
          <w:rFonts w:ascii="宋体" w:hAnsi="宋体" w:eastAsia="宋体"/>
          <w:b w:val="0"/>
          <w:i w:val="0"/>
          <w:color w:val="000000"/>
          <w:sz w:val="21"/>
        </w:rPr>
        <w:t>大杰致远信息技术有限公司高级技术总监；2012 年7 月至2015 年5 月曾任通用电气医疗（中国）有限公</w:t>
      </w:r>
      <w:r>
        <w:rPr>
          <w:rFonts w:ascii="宋体" w:hAnsi="宋体" w:eastAsia="宋体"/>
          <w:b w:val="0"/>
          <w:i w:val="0"/>
          <w:color w:val="000000"/>
          <w:sz w:val="21"/>
        </w:rPr>
        <w:t>司工程总监；2015 年6 月至2020 年3 月曾任方正证券股份有限公司互联网金融研究与工程院院长兼总经</w:t>
      </w:r>
      <w:r>
        <w:rPr>
          <w:rFonts w:ascii="宋体" w:hAnsi="宋体" w:eastAsia="宋体"/>
          <w:b w:val="0"/>
          <w:i w:val="0"/>
          <w:color w:val="000000"/>
          <w:sz w:val="21"/>
        </w:rPr>
        <w:t>理；2020 年3 月入职恒泰证券股份有限公司，2020 年5 月至2023 年5 月曾任恒泰证券股份有限公司首</w:t>
      </w:r>
      <w:r>
        <w:rPr>
          <w:rFonts w:ascii="宋体" w:hAnsi="宋体" w:eastAsia="宋体"/>
          <w:b w:val="0"/>
          <w:i w:val="0"/>
          <w:color w:val="000000"/>
          <w:sz w:val="21"/>
        </w:rPr>
        <w:t>席信息官。</w:t>
      </w:r>
    </w:p>
    <w:p>
      <w:pPr>
        <w:autoSpaceDN w:val="0"/>
        <w:autoSpaceDE w:val="0"/>
        <w:widowControl/>
        <w:spacing w:line="354" w:lineRule="exact" w:before="336" w:after="112"/>
        <w:ind w:left="34" w:right="7920" w:firstLine="0"/>
        <w:jc w:val="left"/>
      </w:pPr>
      <w:r>
        <w:rPr>
          <w:rFonts w:ascii="宋体" w:hAnsi="宋体" w:eastAsia="宋体"/>
          <w:b w:val="0"/>
          <w:i w:val="0"/>
          <w:color w:val="000000"/>
          <w:sz w:val="18"/>
        </w:rPr>
        <w:t xml:space="preserve">在股东单位任职情况 </w:t>
      </w:r>
      <w:r>
        <w:br/>
      </w:r>
      <w:r>
        <w:rPr>
          <w:rFonts w:ascii="Times New Roman" w:hAnsi="Times New Roman" w:eastAsia="Times New Roman"/>
          <w:b w:val="0"/>
          <w:i w:val="0"/>
          <w:color w:val="000000"/>
          <w:sz w:val="18"/>
        </w:rPr>
        <w:t>√</w:t>
      </w:r>
      <w:r>
        <w:rPr>
          <w:rFonts w:ascii="宋体" w:hAnsi="宋体" w:eastAsia="宋体"/>
          <w:b w:val="0"/>
          <w:i w:val="0"/>
          <w:color w:val="000000"/>
          <w:sz w:val="18"/>
        </w:rPr>
        <w:t xml:space="preserve">适用 □不适用 </w:t>
      </w:r>
    </w:p>
    <w:tbl>
      <w:tblPr>
        <w:tblW w:type="auto" w:w="0"/>
        <w:tblLayout w:type="fixed"/>
        <w:tblLook w:firstColumn="1" w:firstRow="1" w:lastColumn="0" w:lastRow="0" w:noHBand="0" w:noVBand="1" w:val="04A0"/>
        <w:tblInd w:w="67.99999999999997" w:type="dxa"/>
      </w:tblPr>
      <w:tblGrid>
        <w:gridCol w:w="1621"/>
        <w:gridCol w:w="1621"/>
        <w:gridCol w:w="1621"/>
        <w:gridCol w:w="1621"/>
        <w:gridCol w:w="1621"/>
        <w:gridCol w:w="1621"/>
      </w:tblGrid>
      <w:tr>
        <w:trPr>
          <w:trHeight w:hRule="exact" w:val="712"/>
        </w:trPr>
        <w:tc>
          <w:tcPr>
            <w:tcW w:type="dxa" w:w="70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88" w:after="0"/>
              <w:ind w:left="78" w:right="0" w:firstLine="0"/>
              <w:jc w:val="left"/>
            </w:pPr>
            <w:r>
              <w:rPr>
                <w:rFonts w:ascii="宋体" w:hAnsi="宋体" w:eastAsia="宋体"/>
                <w:b w:val="0"/>
                <w:i w:val="0"/>
                <w:color w:val="000000"/>
                <w:sz w:val="18"/>
              </w:rPr>
              <w:t>任职人</w:t>
            </w:r>
            <w:r>
              <w:br/>
            </w:r>
            <w:r>
              <w:rPr>
                <w:rFonts w:ascii="宋体" w:hAnsi="宋体" w:eastAsia="宋体"/>
                <w:b w:val="0"/>
                <w:i w:val="0"/>
                <w:color w:val="000000"/>
                <w:sz w:val="18"/>
              </w:rPr>
              <w:t xml:space="preserve">员姓名 </w:t>
            </w:r>
          </w:p>
        </w:tc>
        <w:tc>
          <w:tcPr>
            <w:tcW w:type="dxa" w:w="297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260" w:after="0"/>
              <w:ind w:left="0" w:right="848" w:firstLine="0"/>
              <w:jc w:val="right"/>
            </w:pPr>
            <w:r>
              <w:rPr>
                <w:rFonts w:ascii="宋体" w:hAnsi="宋体" w:eastAsia="宋体"/>
                <w:b w:val="0"/>
                <w:i w:val="0"/>
                <w:color w:val="000000"/>
                <w:sz w:val="18"/>
              </w:rPr>
              <w:t xml:space="preserve">股东单位名称 </w:t>
            </w:r>
          </w:p>
        </w:tc>
        <w:tc>
          <w:tcPr>
            <w:tcW w:type="dxa" w:w="3124"/>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88" w:after="0"/>
              <w:ind w:left="1008" w:right="1016" w:firstLine="0"/>
              <w:jc w:val="right"/>
            </w:pPr>
            <w:r>
              <w:rPr>
                <w:rFonts w:ascii="宋体" w:hAnsi="宋体" w:eastAsia="宋体"/>
                <w:b w:val="0"/>
                <w:i w:val="0"/>
                <w:color w:val="000000"/>
                <w:sz w:val="18"/>
              </w:rPr>
              <w:t xml:space="preserve">在股东单位 </w:t>
            </w:r>
            <w:r>
              <w:br/>
            </w:r>
            <w:r>
              <w:rPr>
                <w:rFonts w:ascii="宋体" w:hAnsi="宋体" w:eastAsia="宋体"/>
                <w:b w:val="0"/>
                <w:i w:val="0"/>
                <w:color w:val="000000"/>
                <w:sz w:val="18"/>
              </w:rPr>
              <w:t xml:space="preserve">担任的职务 </w:t>
            </w:r>
          </w:p>
        </w:tc>
        <w:tc>
          <w:tcPr>
            <w:tcW w:type="dxa" w:w="846"/>
            <w:tcBorders>
              <w:start w:sz="4.0" w:val="single" w:color="#000000"/>
              <w:top w:sz="4.0" w:val="single" w:color="#000000"/>
              <w:end w:sz="4.0" w:val="single" w:color="#000000"/>
              <w:bottom w:sz="4.0" w:val="single" w:color="#000000"/>
            </w:tcBorders>
            <w:shd w:fill="d2d2d2"/>
            <w:tcMar>
              <w:start w:w="0" w:type="dxa"/>
              <w:end w:w="0" w:type="dxa"/>
            </w:tcMar>
          </w:tcPr>
          <w:p>
            <w:pPr>
              <w:autoSpaceDN w:val="0"/>
              <w:tabs>
                <w:tab w:pos="236" w:val="left"/>
              </w:tabs>
              <w:autoSpaceDE w:val="0"/>
              <w:widowControl/>
              <w:spacing w:line="234" w:lineRule="exact" w:before="88" w:after="0"/>
              <w:ind w:left="56" w:right="0" w:firstLine="0"/>
              <w:jc w:val="left"/>
            </w:pPr>
            <w:r>
              <w:rPr>
                <w:rFonts w:ascii="宋体" w:hAnsi="宋体" w:eastAsia="宋体"/>
                <w:b w:val="0"/>
                <w:i w:val="0"/>
                <w:color w:val="000000"/>
                <w:sz w:val="18"/>
              </w:rPr>
              <w:t>任期起始</w:t>
            </w:r>
            <w:r>
              <w:tab/>
            </w:r>
            <w:r>
              <w:rPr>
                <w:rFonts w:ascii="宋体" w:hAnsi="宋体" w:eastAsia="宋体"/>
                <w:b w:val="0"/>
                <w:i w:val="0"/>
                <w:color w:val="000000"/>
                <w:sz w:val="18"/>
              </w:rPr>
              <w:t xml:space="preserve">日期 </w:t>
            </w:r>
          </w:p>
        </w:tc>
        <w:tc>
          <w:tcPr>
            <w:tcW w:type="dxa" w:w="858"/>
            <w:tcBorders>
              <w:start w:sz="4.0" w:val="single" w:color="#000000"/>
              <w:top w:sz="4.0" w:val="single" w:color="#000000"/>
              <w:end w:sz="4.0" w:val="single" w:color="#000000"/>
              <w:bottom w:sz="4.0" w:val="single" w:color="#000000"/>
            </w:tcBorders>
            <w:shd w:fill="d2d2d2"/>
            <w:tcMar>
              <w:start w:w="0" w:type="dxa"/>
              <w:end w:w="0" w:type="dxa"/>
            </w:tcMar>
          </w:tcPr>
          <w:p>
            <w:pPr>
              <w:autoSpaceDN w:val="0"/>
              <w:tabs>
                <w:tab w:pos="244" w:val="left"/>
              </w:tabs>
              <w:autoSpaceDE w:val="0"/>
              <w:widowControl/>
              <w:spacing w:line="234" w:lineRule="exact" w:before="88" w:after="0"/>
              <w:ind w:left="64" w:right="0" w:firstLine="0"/>
              <w:jc w:val="left"/>
            </w:pPr>
            <w:r>
              <w:rPr>
                <w:rFonts w:ascii="宋体" w:hAnsi="宋体" w:eastAsia="宋体"/>
                <w:b w:val="0"/>
                <w:i w:val="0"/>
                <w:color w:val="000000"/>
                <w:sz w:val="18"/>
              </w:rPr>
              <w:t>任期终止</w:t>
            </w:r>
            <w:r>
              <w:tab/>
            </w:r>
            <w:r>
              <w:rPr>
                <w:rFonts w:ascii="宋体" w:hAnsi="宋体" w:eastAsia="宋体"/>
                <w:b w:val="0"/>
                <w:i w:val="0"/>
                <w:color w:val="000000"/>
                <w:sz w:val="18"/>
              </w:rPr>
              <w:t xml:space="preserve">日期 </w:t>
            </w:r>
          </w:p>
        </w:tc>
        <w:tc>
          <w:tcPr>
            <w:tcW w:type="dxa" w:w="106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24" w:lineRule="exact" w:before="0" w:after="0"/>
              <w:ind w:left="0" w:right="74" w:firstLine="0"/>
              <w:jc w:val="right"/>
            </w:pPr>
            <w:r>
              <w:rPr>
                <w:rFonts w:ascii="宋体" w:hAnsi="宋体" w:eastAsia="宋体"/>
                <w:b w:val="0"/>
                <w:i w:val="0"/>
                <w:color w:val="000000"/>
                <w:sz w:val="18"/>
              </w:rPr>
              <w:t>在股东单位</w:t>
            </w:r>
            <w:r>
              <w:rPr>
                <w:rFonts w:ascii="宋体" w:hAnsi="宋体" w:eastAsia="宋体"/>
                <w:b w:val="0"/>
                <w:i w:val="0"/>
                <w:color w:val="000000"/>
                <w:sz w:val="18"/>
              </w:rPr>
              <w:t>是否领取报</w:t>
            </w:r>
            <w:r>
              <w:rPr>
                <w:rFonts w:ascii="宋体" w:hAnsi="宋体" w:eastAsia="宋体"/>
                <w:b w:val="0"/>
                <w:i w:val="0"/>
                <w:color w:val="000000"/>
                <w:sz w:val="18"/>
              </w:rPr>
              <w:t xml:space="preserve">酬津贴 </w:t>
            </w:r>
          </w:p>
        </w:tc>
      </w:tr>
      <w:tr>
        <w:trPr>
          <w:trHeight w:hRule="exact" w:val="340"/>
        </w:trPr>
        <w:tc>
          <w:tcPr>
            <w:tcW w:type="dxa" w:w="708"/>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78" w:right="0" w:firstLine="0"/>
              <w:jc w:val="left"/>
            </w:pPr>
            <w:r>
              <w:rPr>
                <w:rFonts w:ascii="宋体" w:hAnsi="宋体" w:eastAsia="宋体"/>
                <w:b w:val="0"/>
                <w:i w:val="0"/>
                <w:color w:val="000000"/>
                <w:sz w:val="18"/>
              </w:rPr>
              <w:t xml:space="preserve">侯  巍 </w:t>
            </w:r>
          </w:p>
        </w:tc>
        <w:tc>
          <w:tcPr>
            <w:tcW w:type="dxa" w:w="2972"/>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222" w:right="0" w:firstLine="0"/>
              <w:jc w:val="left"/>
            </w:pPr>
            <w:r>
              <w:rPr>
                <w:rFonts w:ascii="宋体" w:hAnsi="宋体" w:eastAsia="宋体"/>
                <w:b w:val="0"/>
                <w:i w:val="0"/>
                <w:color w:val="000000"/>
                <w:sz w:val="18"/>
              </w:rPr>
              <w:t xml:space="preserve">山西金融投资控股集团有限公司 </w:t>
            </w: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06" w:firstLine="0"/>
              <w:jc w:val="right"/>
            </w:pPr>
            <w:r>
              <w:rPr>
                <w:rFonts w:ascii="宋体" w:hAnsi="宋体" w:eastAsia="宋体"/>
                <w:b w:val="0"/>
                <w:i w:val="0"/>
                <w:color w:val="000000"/>
                <w:sz w:val="18"/>
              </w:rPr>
              <w:t xml:space="preserve">党委委员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2020.06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478" w:right="0" w:firstLine="0"/>
              <w:jc w:val="left"/>
            </w:pPr>
            <w:r>
              <w:rPr>
                <w:rFonts w:ascii="宋体" w:hAnsi="宋体" w:eastAsia="宋体"/>
                <w:b w:val="0"/>
                <w:i w:val="0"/>
                <w:color w:val="000000"/>
                <w:sz w:val="18"/>
              </w:rPr>
              <w:t xml:space="preserve">副董事长、党委专职副书记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2022.04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06" w:firstLine="0"/>
              <w:jc w:val="right"/>
            </w:pPr>
            <w:r>
              <w:rPr>
                <w:rFonts w:ascii="宋体" w:hAnsi="宋体" w:eastAsia="宋体"/>
                <w:b w:val="0"/>
                <w:i w:val="0"/>
                <w:color w:val="000000"/>
                <w:sz w:val="18"/>
              </w:rPr>
              <w:t xml:space="preserve">工会主席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2022.09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708"/>
            <w:vMerge w:val="restart"/>
            <w:tcBorders>
              <w:start w:sz="4.0" w:val="single" w:color="#000000"/>
              <w:top w:sz="4.0" w:val="single" w:color="#000000"/>
              <w:end w:sz="4.0" w:val="single" w:color="#000000"/>
              <w:bottom w:sz="3.200000000000273" w:val="single" w:color="#000000"/>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584" w:after="0"/>
              <w:ind w:left="78" w:right="0" w:firstLine="0"/>
              <w:jc w:val="left"/>
            </w:pPr>
            <w:r>
              <w:rPr>
                <w:rFonts w:ascii="宋体" w:hAnsi="宋体" w:eastAsia="宋体"/>
                <w:b w:val="0"/>
                <w:i w:val="0"/>
                <w:color w:val="000000"/>
                <w:sz w:val="18"/>
              </w:rPr>
              <w:t xml:space="preserve">刘鹏飞 </w:t>
            </w:r>
          </w:p>
        </w:tc>
        <w:tc>
          <w:tcPr>
            <w:tcW w:type="dxa" w:w="2972"/>
            <w:vMerge w:val="restart"/>
            <w:tcBorders>
              <w:start w:sz="4.0" w:val="single" w:color="#000000"/>
              <w:top w:sz="4.0" w:val="single" w:color="#000000"/>
              <w:end w:sz="4.0" w:val="single" w:color="#000000"/>
              <w:bottom w:sz="3.200000000000273" w:val="single" w:color="#000000"/>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584" w:after="0"/>
              <w:ind w:left="222" w:right="0" w:firstLine="0"/>
              <w:jc w:val="left"/>
            </w:pPr>
            <w:r>
              <w:rPr>
                <w:rFonts w:ascii="宋体" w:hAnsi="宋体" w:eastAsia="宋体"/>
                <w:b w:val="0"/>
                <w:i w:val="0"/>
                <w:color w:val="000000"/>
                <w:sz w:val="18"/>
              </w:rPr>
              <w:t xml:space="preserve">山西金融投资控股集团有限公司 </w:t>
            </w: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746" w:firstLine="0"/>
              <w:jc w:val="right"/>
            </w:pPr>
            <w:r>
              <w:rPr>
                <w:rFonts w:ascii="宋体" w:hAnsi="宋体" w:eastAsia="宋体"/>
                <w:b w:val="0"/>
                <w:i w:val="0"/>
                <w:color w:val="000000"/>
                <w:sz w:val="18"/>
              </w:rPr>
              <w:t xml:space="preserve">金融投资部总经理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2019.12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10" w:right="0" w:firstLine="0"/>
              <w:jc w:val="left"/>
            </w:pPr>
            <w:r>
              <w:rPr>
                <w:rFonts w:ascii="宋体" w:hAnsi="宋体" w:eastAsia="宋体"/>
                <w:b w:val="0"/>
                <w:i w:val="0"/>
                <w:color w:val="000000"/>
                <w:sz w:val="18"/>
              </w:rPr>
              <w:t xml:space="preserve">2024.04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3.200000000000273" w:val="single" w:color="#000000"/>
            </w:tcBorders>
          </w:tcPr>
          <w:p/>
        </w:tc>
        <w:tc>
          <w:tcPr>
            <w:tcW w:type="dxa" w:w="1621"/>
            <w:vMerge/>
            <w:tcBorders>
              <w:start w:sz="4.0" w:val="single" w:color="#000000"/>
              <w:top w:sz="4.0" w:val="single" w:color="#000000"/>
              <w:end w:sz="4.0" w:val="single" w:color="#000000"/>
              <w:bottom w:sz="3.200000000000273" w:val="single" w:color="#000000"/>
            </w:tcBorders>
          </w:tcP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06" w:firstLine="0"/>
              <w:jc w:val="right"/>
            </w:pPr>
            <w:r>
              <w:rPr>
                <w:rFonts w:ascii="宋体" w:hAnsi="宋体" w:eastAsia="宋体"/>
                <w:b w:val="0"/>
                <w:i w:val="0"/>
                <w:color w:val="000000"/>
                <w:sz w:val="18"/>
              </w:rPr>
              <w:t xml:space="preserve">职工董事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2019.12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3.200000000000273" w:val="single" w:color="#000000"/>
            </w:tcBorders>
          </w:tcPr>
          <w:p/>
        </w:tc>
        <w:tc>
          <w:tcPr>
            <w:tcW w:type="dxa" w:w="1621"/>
            <w:vMerge/>
            <w:tcBorders>
              <w:start w:sz="4.0" w:val="single" w:color="#000000"/>
              <w:top w:sz="4.0" w:val="single" w:color="#000000"/>
              <w:end w:sz="4.0" w:val="single" w:color="#000000"/>
              <w:bottom w:sz="3.200000000000273" w:val="single" w:color="#000000"/>
            </w:tcBorders>
          </w:tcP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06" w:firstLine="0"/>
              <w:jc w:val="right"/>
            </w:pPr>
            <w:r>
              <w:rPr>
                <w:rFonts w:ascii="宋体" w:hAnsi="宋体" w:eastAsia="宋体"/>
                <w:b w:val="0"/>
                <w:i w:val="0"/>
                <w:color w:val="000000"/>
                <w:sz w:val="18"/>
              </w:rPr>
              <w:t xml:space="preserve">党委委员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102" w:right="0" w:firstLine="0"/>
              <w:jc w:val="left"/>
            </w:pPr>
            <w:r>
              <w:rPr>
                <w:rFonts w:ascii="宋体" w:hAnsi="宋体" w:eastAsia="宋体"/>
                <w:b w:val="0"/>
                <w:i w:val="0"/>
                <w:color w:val="000000"/>
                <w:sz w:val="18"/>
              </w:rPr>
              <w:t xml:space="preserve">2022.09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3.200000000000273" w:val="single" w:color="#000000"/>
            </w:tcBorders>
          </w:tcPr>
          <w:p/>
        </w:tc>
        <w:tc>
          <w:tcPr>
            <w:tcW w:type="dxa" w:w="1621"/>
            <w:vMerge/>
            <w:tcBorders>
              <w:start w:sz="4.0" w:val="single" w:color="#000000"/>
              <w:top w:sz="4.0" w:val="single" w:color="#000000"/>
              <w:end w:sz="4.0" w:val="single" w:color="#000000"/>
              <w:bottom w:sz="3.200000000000273" w:val="single" w:color="#000000"/>
            </w:tcBorders>
          </w:tcPr>
          <w:p/>
        </w:tc>
        <w:tc>
          <w:tcPr>
            <w:tcW w:type="dxa" w:w="312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1106" w:firstLine="0"/>
              <w:jc w:val="right"/>
            </w:pPr>
            <w:r>
              <w:rPr>
                <w:rFonts w:ascii="宋体" w:hAnsi="宋体" w:eastAsia="宋体"/>
                <w:b w:val="0"/>
                <w:i w:val="0"/>
                <w:color w:val="000000"/>
                <w:sz w:val="18"/>
              </w:rPr>
              <w:t xml:space="preserve">副总经理 </w:t>
            </w:r>
          </w:p>
        </w:tc>
        <w:tc>
          <w:tcPr>
            <w:tcW w:type="dxa" w:w="84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2022.11 </w:t>
            </w:r>
          </w:p>
        </w:tc>
        <w:tc>
          <w:tcPr>
            <w:tcW w:type="dxa" w:w="85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8" w:right="0" w:firstLine="0"/>
              <w:jc w:val="left"/>
            </w:pPr>
            <w:r>
              <w:rPr>
                <w:rFonts w:ascii="宋体" w:hAnsi="宋体" w:eastAsia="宋体"/>
                <w:b w:val="0"/>
                <w:i w:val="0"/>
                <w:color w:val="000000"/>
                <w:sz w:val="18"/>
              </w:rPr>
              <w:t xml:space="preserve">周金晓 </w:t>
            </w:r>
          </w:p>
        </w:tc>
        <w:tc>
          <w:tcPr>
            <w:tcW w:type="dxa" w:w="297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402" w:right="0" w:firstLine="0"/>
              <w:jc w:val="left"/>
            </w:pPr>
            <w:r>
              <w:rPr>
                <w:rFonts w:ascii="宋体" w:hAnsi="宋体" w:eastAsia="宋体"/>
                <w:b w:val="0"/>
                <w:i w:val="0"/>
                <w:color w:val="000000"/>
                <w:sz w:val="18"/>
              </w:rPr>
              <w:t xml:space="preserve">太原钢铁（集团）有限公司 </w:t>
            </w:r>
          </w:p>
        </w:tc>
        <w:tc>
          <w:tcPr>
            <w:tcW w:type="dxa" w:w="312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298" w:right="0" w:firstLine="0"/>
              <w:jc w:val="left"/>
            </w:pPr>
            <w:r>
              <w:rPr>
                <w:rFonts w:ascii="宋体" w:hAnsi="宋体" w:eastAsia="宋体"/>
                <w:b w:val="0"/>
                <w:i w:val="0"/>
                <w:color w:val="000000"/>
                <w:sz w:val="18"/>
              </w:rPr>
              <w:t xml:space="preserve">资本运营和海外事业发展部部长 </w:t>
            </w:r>
          </w:p>
        </w:tc>
        <w:tc>
          <w:tcPr>
            <w:tcW w:type="dxa" w:w="84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2022.07 </w:t>
            </w:r>
          </w:p>
        </w:tc>
        <w:tc>
          <w:tcPr>
            <w:tcW w:type="dxa" w:w="85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78" w:right="0" w:firstLine="0"/>
              <w:jc w:val="left"/>
            </w:pPr>
            <w:r>
              <w:rPr>
                <w:rFonts w:ascii="宋体" w:hAnsi="宋体" w:eastAsia="宋体"/>
                <w:b w:val="0"/>
                <w:i w:val="0"/>
                <w:color w:val="000000"/>
                <w:sz w:val="18"/>
              </w:rPr>
              <w:t xml:space="preserve">刘奇旺 </w:t>
            </w:r>
          </w:p>
        </w:tc>
        <w:tc>
          <w:tcPr>
            <w:tcW w:type="dxa" w:w="297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82" w:right="0" w:firstLine="0"/>
              <w:jc w:val="left"/>
            </w:pPr>
            <w:r>
              <w:rPr>
                <w:rFonts w:ascii="宋体" w:hAnsi="宋体" w:eastAsia="宋体"/>
                <w:b w:val="0"/>
                <w:i w:val="0"/>
                <w:color w:val="000000"/>
                <w:sz w:val="18"/>
              </w:rPr>
              <w:t xml:space="preserve">吕梁国投集团有限公司 </w:t>
            </w:r>
          </w:p>
        </w:tc>
        <w:tc>
          <w:tcPr>
            <w:tcW w:type="dxa" w:w="312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746" w:right="0" w:firstLine="0"/>
              <w:jc w:val="left"/>
            </w:pPr>
            <w:r>
              <w:rPr>
                <w:rFonts w:ascii="宋体" w:hAnsi="宋体" w:eastAsia="宋体"/>
                <w:b w:val="0"/>
                <w:i w:val="0"/>
                <w:color w:val="000000"/>
                <w:sz w:val="18"/>
              </w:rPr>
              <w:t xml:space="preserve">副董事长、副总经理 </w:t>
            </w:r>
          </w:p>
        </w:tc>
        <w:tc>
          <w:tcPr>
            <w:tcW w:type="dxa" w:w="84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102" w:right="0" w:firstLine="0"/>
              <w:jc w:val="left"/>
            </w:pPr>
            <w:r>
              <w:rPr>
                <w:rFonts w:ascii="宋体" w:hAnsi="宋体" w:eastAsia="宋体"/>
                <w:b w:val="0"/>
                <w:i w:val="0"/>
                <w:color w:val="000000"/>
                <w:sz w:val="18"/>
              </w:rPr>
              <w:t xml:space="preserve">2017.12 </w:t>
            </w:r>
          </w:p>
        </w:tc>
        <w:tc>
          <w:tcPr>
            <w:tcW w:type="dxa" w:w="8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6" w:firstLine="0"/>
              <w:jc w:val="right"/>
            </w:pPr>
            <w:r>
              <w:rPr>
                <w:rFonts w:ascii="宋体" w:hAnsi="宋体" w:eastAsia="宋体"/>
                <w:b w:val="0"/>
                <w:i w:val="0"/>
                <w:color w:val="000000"/>
                <w:sz w:val="18"/>
              </w:rPr>
              <w:t xml:space="preserve">是 </w:t>
            </w:r>
          </w:p>
        </w:tc>
      </w:tr>
      <w:tr>
        <w:trPr>
          <w:trHeight w:hRule="exact" w:val="340"/>
        </w:trPr>
        <w:tc>
          <w:tcPr>
            <w:tcW w:type="dxa" w:w="70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78" w:right="0" w:firstLine="0"/>
              <w:jc w:val="left"/>
            </w:pPr>
            <w:r>
              <w:rPr>
                <w:rFonts w:ascii="宋体" w:hAnsi="宋体" w:eastAsia="宋体"/>
                <w:b w:val="0"/>
                <w:i w:val="0"/>
                <w:color w:val="000000"/>
                <w:sz w:val="18"/>
              </w:rPr>
              <w:t xml:space="preserve">王国峰 </w:t>
            </w:r>
          </w:p>
        </w:tc>
        <w:tc>
          <w:tcPr>
            <w:tcW w:type="dxa" w:w="2972"/>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674" w:right="0" w:firstLine="0"/>
              <w:jc w:val="left"/>
            </w:pPr>
            <w:r>
              <w:rPr>
                <w:rFonts w:ascii="宋体" w:hAnsi="宋体" w:eastAsia="宋体"/>
                <w:b w:val="0"/>
                <w:i w:val="0"/>
                <w:color w:val="000000"/>
                <w:sz w:val="18"/>
              </w:rPr>
              <w:t xml:space="preserve">长治市财政保障中心 </w:t>
            </w:r>
          </w:p>
        </w:tc>
        <w:tc>
          <w:tcPr>
            <w:tcW w:type="dxa" w:w="312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1286" w:firstLine="0"/>
              <w:jc w:val="right"/>
            </w:pPr>
            <w:r>
              <w:rPr>
                <w:rFonts w:ascii="宋体" w:hAnsi="宋体" w:eastAsia="宋体"/>
                <w:b w:val="0"/>
                <w:i w:val="0"/>
                <w:color w:val="000000"/>
                <w:sz w:val="18"/>
              </w:rPr>
              <w:t xml:space="preserve">主任 </w:t>
            </w:r>
          </w:p>
        </w:tc>
        <w:tc>
          <w:tcPr>
            <w:tcW w:type="dxa" w:w="84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102" w:right="0" w:firstLine="0"/>
              <w:jc w:val="left"/>
            </w:pPr>
            <w:r>
              <w:rPr>
                <w:rFonts w:ascii="宋体" w:hAnsi="宋体" w:eastAsia="宋体"/>
                <w:b w:val="0"/>
                <w:i w:val="0"/>
                <w:color w:val="000000"/>
                <w:sz w:val="18"/>
              </w:rPr>
              <w:t xml:space="preserve">2020.12 </w:t>
            </w:r>
          </w:p>
        </w:tc>
        <w:tc>
          <w:tcPr>
            <w:tcW w:type="dxa" w:w="85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110" w:right="0" w:firstLine="0"/>
              <w:jc w:val="left"/>
            </w:pPr>
            <w:r>
              <w:rPr>
                <w:rFonts w:ascii="宋体" w:hAnsi="宋体" w:eastAsia="宋体"/>
                <w:b w:val="0"/>
                <w:i w:val="0"/>
                <w:color w:val="000000"/>
                <w:sz w:val="18"/>
              </w:rPr>
              <w:t xml:space="preserve">2024.08 </w:t>
            </w:r>
          </w:p>
        </w:tc>
        <w:tc>
          <w:tcPr>
            <w:tcW w:type="dxa" w:w="1062"/>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346" w:firstLine="0"/>
              <w:jc w:val="right"/>
            </w:pPr>
            <w:r>
              <w:rPr>
                <w:rFonts w:ascii="宋体" w:hAnsi="宋体" w:eastAsia="宋体"/>
                <w:b w:val="0"/>
                <w:i w:val="0"/>
                <w:color w:val="000000"/>
                <w:sz w:val="18"/>
              </w:rPr>
              <w:t xml:space="preserve">是 </w:t>
            </w:r>
          </w:p>
        </w:tc>
      </w:tr>
      <w:tr>
        <w:trPr>
          <w:trHeight w:hRule="exact" w:val="490"/>
        </w:trPr>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8" w:after="0"/>
              <w:ind w:left="78" w:right="0" w:firstLine="0"/>
              <w:jc w:val="left"/>
            </w:pPr>
            <w:r>
              <w:rPr>
                <w:rFonts w:ascii="宋体" w:hAnsi="宋体" w:eastAsia="宋体"/>
                <w:b w:val="0"/>
                <w:i w:val="0"/>
                <w:color w:val="000000"/>
                <w:sz w:val="18"/>
              </w:rPr>
              <w:t xml:space="preserve">崔秋生 </w:t>
            </w:r>
          </w:p>
        </w:tc>
        <w:tc>
          <w:tcPr>
            <w:tcW w:type="dxa" w:w="297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8" w:after="0"/>
              <w:ind w:left="582" w:right="0" w:firstLine="0"/>
              <w:jc w:val="left"/>
            </w:pPr>
            <w:r>
              <w:rPr>
                <w:rFonts w:ascii="宋体" w:hAnsi="宋体" w:eastAsia="宋体"/>
                <w:b w:val="0"/>
                <w:i w:val="0"/>
                <w:color w:val="000000"/>
                <w:sz w:val="18"/>
              </w:rPr>
              <w:t xml:space="preserve">山西焦化集团有限公司 </w:t>
            </w:r>
          </w:p>
        </w:tc>
        <w:tc>
          <w:tcPr>
            <w:tcW w:type="dxa" w:w="312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tabs>
                <w:tab w:pos="1106" w:val="left"/>
              </w:tabs>
              <w:autoSpaceDE w:val="0"/>
              <w:widowControl/>
              <w:spacing w:line="226" w:lineRule="exact" w:before="0" w:after="0"/>
              <w:ind w:left="26" w:right="0" w:firstLine="0"/>
              <w:jc w:val="left"/>
            </w:pPr>
            <w:r>
              <w:rPr>
                <w:rFonts w:ascii="宋体" w:hAnsi="宋体" w:eastAsia="宋体"/>
                <w:b w:val="0"/>
                <w:i w:val="0"/>
                <w:color w:val="000000"/>
                <w:sz w:val="18"/>
              </w:rPr>
              <w:t>企业管理处、政策研究室党支部书记、</w:t>
            </w:r>
            <w:r>
              <w:tab/>
            </w:r>
            <w:r>
              <w:rPr>
                <w:rFonts w:ascii="宋体" w:hAnsi="宋体" w:eastAsia="宋体"/>
                <w:b w:val="0"/>
                <w:i w:val="0"/>
                <w:color w:val="000000"/>
                <w:sz w:val="18"/>
              </w:rPr>
              <w:t xml:space="preserve">处长、主任 </w:t>
            </w:r>
          </w:p>
        </w:tc>
        <w:tc>
          <w:tcPr>
            <w:tcW w:type="dxa" w:w="84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 w:type="dxa"/>
            </w:tblPr>
            <w:tblGrid>
              <w:gridCol w:w="423"/>
              <w:gridCol w:w="423"/>
            </w:tblGrid>
            <w:tr>
              <w:trPr>
                <w:trHeight w:hRule="exact" w:val="352"/>
              </w:trPr>
              <w:tc>
                <w:tcPr>
                  <w:tcW w:type="dxa" w:w="82"/>
                  <w:tcBorders/>
                  <w:tcMar>
                    <w:start w:w="0" w:type="dxa"/>
                    <w:end w:w="0" w:type="dxa"/>
                  </w:tcMar>
                </w:tcPr>
                <w:p>
                  <w:pPr>
                    <w:autoSpaceDN w:val="0"/>
                    <w:autoSpaceDE w:val="0"/>
                    <w:widowControl/>
                    <w:spacing w:line="180" w:lineRule="exact" w:before="18" w:after="0"/>
                    <w:ind w:left="0" w:right="0" w:firstLine="0"/>
                    <w:jc w:val="center"/>
                  </w:pPr>
                  <w:r>
                    <w:rPr>
                      <w:rFonts w:ascii="宋体" w:hAnsi="宋体" w:eastAsia="宋体"/>
                      <w:b w:val="0"/>
                      <w:i w:val="0"/>
                      <w:color w:val="000000"/>
                      <w:sz w:val="18"/>
                    </w:rPr>
                    <w:t xml:space="preserve"> </w:t>
                  </w:r>
                </w:p>
              </w:tc>
              <w:tc>
                <w:tcPr>
                  <w:tcW w:type="dxa" w:w="760"/>
                  <w:tcBorders/>
                  <w:tcMar>
                    <w:start w:w="0" w:type="dxa"/>
                    <w:end w:w="0" w:type="dxa"/>
                  </w:tcMar>
                </w:tcPr>
                <w:p>
                  <w:pPr>
                    <w:autoSpaceDN w:val="0"/>
                    <w:autoSpaceDE w:val="0"/>
                    <w:widowControl/>
                    <w:spacing w:line="180" w:lineRule="exact" w:before="132" w:after="0"/>
                    <w:ind w:left="0" w:right="0" w:firstLine="0"/>
                    <w:jc w:val="center"/>
                  </w:pPr>
                  <w:r>
                    <w:rPr>
                      <w:rFonts w:ascii="宋体" w:hAnsi="宋体" w:eastAsia="宋体"/>
                      <w:b w:val="0"/>
                      <w:i w:val="0"/>
                      <w:color w:val="000000"/>
                      <w:sz w:val="18"/>
                    </w:rPr>
                    <w:t xml:space="preserve">2018.07 </w:t>
                  </w:r>
                </w:p>
              </w:tc>
            </w:tr>
          </w:tbl>
          <w:p>
            <w:pPr>
              <w:autoSpaceDN w:val="0"/>
              <w:autoSpaceDE w:val="0"/>
              <w:widowControl/>
              <w:spacing w:line="14" w:lineRule="exact" w:before="0" w:after="0"/>
              <w:ind w:left="0" w:right="0"/>
            </w:pPr>
          </w:p>
        </w:tc>
        <w:tc>
          <w:tcPr>
            <w:tcW w:type="dxa" w:w="85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8" w:after="0"/>
              <w:ind w:left="0" w:right="156" w:firstLine="0"/>
              <w:jc w:val="right"/>
            </w:pPr>
            <w:r>
              <w:rPr>
                <w:rFonts w:ascii="宋体" w:hAnsi="宋体" w:eastAsia="宋体"/>
                <w:b w:val="0"/>
                <w:i w:val="0"/>
                <w:color w:val="000000"/>
                <w:sz w:val="18"/>
              </w:rPr>
              <w:t xml:space="preserve">至今 </w:t>
            </w:r>
          </w:p>
        </w:tc>
        <w:tc>
          <w:tcPr>
            <w:tcW w:type="dxa" w:w="106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8" w:after="0"/>
              <w:ind w:left="0" w:right="346" w:firstLine="0"/>
              <w:jc w:val="right"/>
            </w:pPr>
            <w:r>
              <w:rPr>
                <w:rFonts w:ascii="宋体" w:hAnsi="宋体" w:eastAsia="宋体"/>
                <w:b w:val="0"/>
                <w:i w:val="0"/>
                <w:color w:val="000000"/>
                <w:sz w:val="18"/>
              </w:rPr>
              <w:t xml:space="preserve">是 </w:t>
            </w:r>
          </w:p>
        </w:tc>
      </w:tr>
      <w:tr>
        <w:trPr>
          <w:trHeight w:hRule="exact" w:val="942"/>
        </w:trPr>
        <w:tc>
          <w:tcPr>
            <w:tcW w:type="dxa" w:w="70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26" w:lineRule="exact" w:before="0" w:after="0"/>
              <w:ind w:left="24" w:right="44" w:firstLine="0"/>
              <w:jc w:val="both"/>
            </w:pPr>
            <w:r>
              <w:rPr>
                <w:rFonts w:ascii="宋体" w:hAnsi="宋体" w:eastAsia="宋体"/>
                <w:b w:val="0"/>
                <w:i w:val="0"/>
                <w:color w:val="000000"/>
                <w:sz w:val="18"/>
              </w:rPr>
              <w:t>在股东</w:t>
            </w:r>
            <w:r>
              <w:br/>
            </w:r>
            <w:r>
              <w:rPr>
                <w:rFonts w:ascii="宋体" w:hAnsi="宋体" w:eastAsia="宋体"/>
                <w:b w:val="0"/>
                <w:i w:val="0"/>
                <w:color w:val="000000"/>
                <w:sz w:val="18"/>
              </w:rPr>
              <w:t>单位任</w:t>
            </w:r>
            <w:r>
              <w:br/>
            </w:r>
            <w:r>
              <w:rPr>
                <w:rFonts w:ascii="宋体" w:hAnsi="宋体" w:eastAsia="宋体"/>
                <w:b w:val="0"/>
                <w:i w:val="0"/>
                <w:color w:val="000000"/>
                <w:sz w:val="18"/>
              </w:rPr>
              <w:t>职情况</w:t>
            </w:r>
            <w:r>
              <w:br/>
            </w:r>
            <w:r>
              <w:rPr>
                <w:rFonts w:ascii="宋体" w:hAnsi="宋体" w:eastAsia="宋体"/>
                <w:b w:val="0"/>
                <w:i w:val="0"/>
                <w:color w:val="000000"/>
                <w:sz w:val="18"/>
              </w:rPr>
              <w:t xml:space="preserve">的说明 </w:t>
            </w:r>
          </w:p>
        </w:tc>
        <w:tc>
          <w:tcPr>
            <w:tcW w:type="dxa" w:w="8862"/>
            <w:gridSpan w:val="5"/>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76" w:after="0"/>
              <w:ind w:left="0" w:right="4244" w:firstLine="0"/>
              <w:jc w:val="right"/>
            </w:pPr>
            <w:r>
              <w:rPr>
                <w:rFonts w:ascii="宋体" w:hAnsi="宋体" w:eastAsia="宋体"/>
                <w:b w:val="0"/>
                <w:i w:val="0"/>
                <w:color w:val="000000"/>
                <w:sz w:val="18"/>
              </w:rPr>
              <w:t xml:space="preserve">无 </w:t>
            </w:r>
          </w:p>
        </w:tc>
      </w:tr>
    </w:tbl>
    <w:p>
      <w:pPr>
        <w:autoSpaceDN w:val="0"/>
        <w:autoSpaceDE w:val="0"/>
        <w:widowControl/>
        <w:spacing w:line="352" w:lineRule="exact" w:before="304" w:after="114"/>
        <w:ind w:left="34" w:right="7920" w:firstLine="0"/>
        <w:jc w:val="left"/>
      </w:pPr>
      <w:r>
        <w:rPr>
          <w:rFonts w:ascii="宋体" w:hAnsi="宋体" w:eastAsia="宋体"/>
          <w:b w:val="0"/>
          <w:i w:val="0"/>
          <w:color w:val="000000"/>
          <w:sz w:val="18"/>
        </w:rPr>
        <w:t xml:space="preserve">在其他单位任职情况 </w:t>
      </w:r>
      <w:r>
        <w:br/>
      </w:r>
      <w:r>
        <w:rPr>
          <w:rFonts w:ascii="Times New Roman" w:hAnsi="Times New Roman" w:eastAsia="Times New Roman"/>
          <w:b w:val="0"/>
          <w:i w:val="0"/>
          <w:color w:val="000000"/>
          <w:sz w:val="18"/>
        </w:rPr>
        <w:t>√</w:t>
      </w:r>
      <w:r>
        <w:rPr>
          <w:rFonts w:ascii="宋体" w:hAnsi="宋体" w:eastAsia="宋体"/>
          <w:b w:val="0"/>
          <w:i w:val="0"/>
          <w:color w:val="000000"/>
          <w:sz w:val="18"/>
        </w:rPr>
        <w:t xml:space="preserve">适用 □不适用 </w:t>
      </w:r>
    </w:p>
    <w:tbl>
      <w:tblPr>
        <w:tblW w:type="auto" w:w="0"/>
        <w:tblLayout w:type="fixed"/>
        <w:tblLook w:firstColumn="1" w:firstRow="1" w:lastColumn="0" w:lastRow="0" w:noHBand="0" w:noVBand="1" w:val="04A0"/>
        <w:tblInd w:w="4.000000000000057" w:type="dxa"/>
      </w:tblPr>
      <w:tblGrid>
        <w:gridCol w:w="1621"/>
        <w:gridCol w:w="1621"/>
        <w:gridCol w:w="1621"/>
        <w:gridCol w:w="1621"/>
        <w:gridCol w:w="1621"/>
        <w:gridCol w:w="1621"/>
      </w:tblGrid>
      <w:tr>
        <w:trPr>
          <w:trHeight w:hRule="exact" w:val="710"/>
        </w:trPr>
        <w:tc>
          <w:tcPr>
            <w:tcW w:type="dxa" w:w="710"/>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232" w:lineRule="exact" w:before="92" w:after="0"/>
              <w:ind w:left="78" w:right="0" w:firstLine="0"/>
              <w:jc w:val="left"/>
            </w:pPr>
            <w:r>
              <w:rPr>
                <w:rFonts w:ascii="宋体" w:hAnsi="宋体" w:eastAsia="宋体"/>
                <w:b w:val="0"/>
                <w:i w:val="0"/>
                <w:color w:val="000000"/>
                <w:sz w:val="18"/>
              </w:rPr>
              <w:t>任职人</w:t>
            </w:r>
            <w:r>
              <w:br/>
            </w:r>
            <w:r>
              <w:rPr>
                <w:rFonts w:ascii="宋体" w:hAnsi="宋体" w:eastAsia="宋体"/>
                <w:b w:val="0"/>
                <w:i w:val="0"/>
                <w:color w:val="000000"/>
                <w:sz w:val="18"/>
              </w:rPr>
              <w:t xml:space="preserve">员姓名 </w:t>
            </w:r>
          </w:p>
        </w:tc>
        <w:tc>
          <w:tcPr>
            <w:tcW w:type="dxa" w:w="3290"/>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258" w:after="0"/>
              <w:ind w:left="0" w:right="1010" w:firstLine="0"/>
              <w:jc w:val="right"/>
            </w:pPr>
            <w:r>
              <w:rPr>
                <w:rFonts w:ascii="宋体" w:hAnsi="宋体" w:eastAsia="宋体"/>
                <w:b w:val="0"/>
                <w:i w:val="0"/>
                <w:color w:val="000000"/>
                <w:sz w:val="18"/>
              </w:rPr>
              <w:t xml:space="preserve">其他单位名称 </w:t>
            </w:r>
          </w:p>
        </w:tc>
        <w:tc>
          <w:tcPr>
            <w:tcW w:type="dxa" w:w="3226"/>
            <w:tcBorders>
              <w:start w:sz="4.0" w:val="single" w:color="#000000"/>
              <w:top w:sz="3.199999999999818"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258" w:after="0"/>
              <w:ind w:left="708" w:right="0" w:firstLine="0"/>
              <w:jc w:val="left"/>
            </w:pPr>
            <w:r>
              <w:rPr>
                <w:rFonts w:ascii="宋体" w:hAnsi="宋体" w:eastAsia="宋体"/>
                <w:b w:val="0"/>
                <w:i w:val="0"/>
                <w:color w:val="000000"/>
                <w:sz w:val="18"/>
              </w:rPr>
              <w:t xml:space="preserve">在其他单位担任的职务 </w:t>
            </w:r>
          </w:p>
        </w:tc>
        <w:tc>
          <w:tcPr>
            <w:tcW w:type="dxa" w:w="708"/>
            <w:tcBorders>
              <w:start w:sz="3.199999999999818" w:val="single" w:color="#000000"/>
              <w:top w:sz="3.199999999999818" w:val="single" w:color="#000000"/>
              <w:end w:sz="3.200000000000273" w:val="single" w:color="#000000"/>
              <w:bottom w:sz="4.0" w:val="single" w:color="#000000"/>
            </w:tcBorders>
            <w:shd w:fill="d2d2d2"/>
            <w:tcMar>
              <w:start w:w="0" w:type="dxa"/>
              <w:end w:w="0" w:type="dxa"/>
            </w:tcMar>
          </w:tcPr>
          <w:p>
            <w:pPr>
              <w:autoSpaceDN w:val="0"/>
              <w:autoSpaceDE w:val="0"/>
              <w:widowControl/>
              <w:spacing w:line="232" w:lineRule="exact" w:before="92" w:after="0"/>
              <w:ind w:left="80" w:right="0" w:firstLine="0"/>
              <w:jc w:val="left"/>
            </w:pPr>
            <w:r>
              <w:rPr>
                <w:rFonts w:ascii="宋体" w:hAnsi="宋体" w:eastAsia="宋体"/>
                <w:b w:val="0"/>
                <w:i w:val="0"/>
                <w:color w:val="000000"/>
                <w:sz w:val="18"/>
              </w:rPr>
              <w:t>任期起</w:t>
            </w:r>
            <w:r>
              <w:br/>
            </w:r>
            <w:r>
              <w:rPr>
                <w:rFonts w:ascii="宋体" w:hAnsi="宋体" w:eastAsia="宋体"/>
                <w:b w:val="0"/>
                <w:i w:val="0"/>
                <w:color w:val="000000"/>
                <w:sz w:val="18"/>
              </w:rPr>
              <w:t xml:space="preserve">始日期 </w:t>
            </w:r>
          </w:p>
        </w:tc>
        <w:tc>
          <w:tcPr>
            <w:tcW w:type="dxa" w:w="710"/>
            <w:tcBorders>
              <w:start w:sz="3.200000000000273"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232" w:lineRule="exact" w:before="92" w:after="0"/>
              <w:ind w:left="80" w:right="0" w:firstLine="0"/>
              <w:jc w:val="left"/>
            </w:pPr>
            <w:r>
              <w:rPr>
                <w:rFonts w:ascii="宋体" w:hAnsi="宋体" w:eastAsia="宋体"/>
                <w:b w:val="0"/>
                <w:i w:val="0"/>
                <w:color w:val="000000"/>
                <w:sz w:val="18"/>
              </w:rPr>
              <w:t>任期终</w:t>
            </w:r>
            <w:r>
              <w:br/>
            </w:r>
            <w:r>
              <w:rPr>
                <w:rFonts w:ascii="宋体" w:hAnsi="宋体" w:eastAsia="宋体"/>
                <w:b w:val="0"/>
                <w:i w:val="0"/>
                <w:color w:val="000000"/>
                <w:sz w:val="18"/>
              </w:rPr>
              <w:t xml:space="preserve">止日期 </w:t>
            </w:r>
          </w:p>
        </w:tc>
        <w:tc>
          <w:tcPr>
            <w:tcW w:type="dxa" w:w="1054"/>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224" w:lineRule="exact" w:before="0" w:after="0"/>
              <w:ind w:left="0" w:right="72" w:firstLine="0"/>
              <w:jc w:val="right"/>
            </w:pPr>
            <w:r>
              <w:rPr>
                <w:rFonts w:ascii="宋体" w:hAnsi="宋体" w:eastAsia="宋体"/>
                <w:b w:val="0"/>
                <w:i w:val="0"/>
                <w:color w:val="000000"/>
                <w:sz w:val="18"/>
              </w:rPr>
              <w:t>在其他单位</w:t>
            </w:r>
            <w:r>
              <w:rPr>
                <w:rFonts w:ascii="宋体" w:hAnsi="宋体" w:eastAsia="宋体"/>
                <w:b w:val="0"/>
                <w:i w:val="0"/>
                <w:color w:val="000000"/>
                <w:sz w:val="18"/>
              </w:rPr>
              <w:t>是否领取报</w:t>
            </w:r>
            <w:r>
              <w:rPr>
                <w:rFonts w:ascii="宋体" w:hAnsi="宋体" w:eastAsia="宋体"/>
                <w:b w:val="0"/>
                <w:i w:val="0"/>
                <w:color w:val="000000"/>
                <w:sz w:val="18"/>
              </w:rPr>
              <w:t xml:space="preserve">酬津贴 </w:t>
            </w:r>
          </w:p>
        </w:tc>
      </w:tr>
      <w:tr>
        <w:trPr>
          <w:trHeight w:hRule="exact" w:val="340"/>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092" w:after="0"/>
              <w:ind w:left="78" w:right="0" w:firstLine="0"/>
              <w:jc w:val="left"/>
            </w:pPr>
            <w:r>
              <w:rPr>
                <w:rFonts w:ascii="宋体" w:hAnsi="宋体" w:eastAsia="宋体"/>
                <w:b w:val="0"/>
                <w:i w:val="0"/>
                <w:color w:val="000000"/>
                <w:sz w:val="18"/>
              </w:rPr>
              <w:t xml:space="preserve">侯  巍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736" w:right="0" w:firstLine="0"/>
              <w:jc w:val="left"/>
            </w:pPr>
            <w:r>
              <w:rPr>
                <w:rFonts w:ascii="宋体" w:hAnsi="宋体" w:eastAsia="宋体"/>
                <w:b w:val="0"/>
                <w:i w:val="0"/>
                <w:color w:val="000000"/>
                <w:sz w:val="18"/>
              </w:rPr>
              <w:t xml:space="preserve">中德证券有限责任公司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2009.04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010" w:firstLine="0"/>
              <w:jc w:val="right"/>
            </w:pPr>
            <w:r>
              <w:rPr>
                <w:rFonts w:ascii="宋体" w:hAnsi="宋体" w:eastAsia="宋体"/>
                <w:b w:val="0"/>
                <w:i w:val="0"/>
                <w:color w:val="000000"/>
                <w:sz w:val="18"/>
              </w:rPr>
              <w:t xml:space="preserve">中共山西省委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高级专家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2018.12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1280" w:firstLine="0"/>
              <w:jc w:val="right"/>
            </w:pPr>
            <w:r>
              <w:rPr>
                <w:rFonts w:ascii="宋体" w:hAnsi="宋体" w:eastAsia="宋体"/>
                <w:b w:val="0"/>
                <w:i w:val="0"/>
                <w:color w:val="000000"/>
                <w:sz w:val="18"/>
              </w:rPr>
              <w:t xml:space="preserve">上交所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80" w:right="0" w:firstLine="0"/>
              <w:jc w:val="left"/>
            </w:pPr>
            <w:r>
              <w:rPr>
                <w:rFonts w:ascii="宋体" w:hAnsi="宋体" w:eastAsia="宋体"/>
                <w:b w:val="0"/>
                <w:i w:val="0"/>
                <w:color w:val="000000"/>
                <w:sz w:val="18"/>
              </w:rPr>
              <w:t xml:space="preserve">战略发展委员会、债券发展委员会委员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2020.04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830" w:firstLine="0"/>
              <w:jc w:val="right"/>
            </w:pPr>
            <w:r>
              <w:rPr>
                <w:rFonts w:ascii="宋体" w:hAnsi="宋体" w:eastAsia="宋体"/>
                <w:b w:val="0"/>
                <w:i w:val="0"/>
                <w:color w:val="000000"/>
                <w:sz w:val="18"/>
              </w:rPr>
              <w:t xml:space="preserve">山西省证券业协会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340" w:firstLine="0"/>
              <w:jc w:val="right"/>
            </w:pPr>
            <w:r>
              <w:rPr>
                <w:rFonts w:ascii="宋体" w:hAnsi="宋体" w:eastAsia="宋体"/>
                <w:b w:val="0"/>
                <w:i w:val="0"/>
                <w:color w:val="000000"/>
                <w:sz w:val="18"/>
              </w:rPr>
              <w:t xml:space="preserve">会长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1280" w:firstLine="0"/>
              <w:jc w:val="right"/>
            </w:pPr>
            <w:r>
              <w:rPr>
                <w:rFonts w:ascii="宋体" w:hAnsi="宋体" w:eastAsia="宋体"/>
                <w:b w:val="0"/>
                <w:i w:val="0"/>
                <w:color w:val="000000"/>
                <w:sz w:val="18"/>
              </w:rPr>
              <w:t xml:space="preserve">深交所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800" w:right="0" w:firstLine="0"/>
              <w:jc w:val="left"/>
            </w:pPr>
            <w:r>
              <w:rPr>
                <w:rFonts w:ascii="宋体" w:hAnsi="宋体" w:eastAsia="宋体"/>
                <w:b w:val="0"/>
                <w:i w:val="0"/>
                <w:color w:val="000000"/>
                <w:sz w:val="18"/>
              </w:rPr>
              <w:t xml:space="preserve">战略发展委员会委员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2021.03</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理事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2021.05</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830" w:firstLine="0"/>
              <w:jc w:val="right"/>
            </w:pPr>
            <w:r>
              <w:rPr>
                <w:rFonts w:ascii="宋体" w:hAnsi="宋体" w:eastAsia="宋体"/>
                <w:b w:val="0"/>
                <w:i w:val="0"/>
                <w:color w:val="000000"/>
                <w:sz w:val="18"/>
              </w:rPr>
              <w:t xml:space="preserve">中国上市公司协会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340" w:firstLine="0"/>
              <w:jc w:val="right"/>
            </w:pPr>
            <w:r>
              <w:rPr>
                <w:rFonts w:ascii="宋体" w:hAnsi="宋体" w:eastAsia="宋体"/>
                <w:b w:val="0"/>
                <w:i w:val="0"/>
                <w:color w:val="000000"/>
                <w:sz w:val="18"/>
              </w:rPr>
              <w:t xml:space="preserve">理事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2021.09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tcBorders>
              <w:start w:sz="4.0" w:val="single" w:color="#000000"/>
              <w:top w:sz="4.0" w:val="single" w:color="#000000"/>
              <w:end w:sz="4.0" w:val="single" w:color="#000000"/>
            </w:tcBorders>
            <w:shd w:fill="ffffff"/>
            <w:tcMar>
              <w:start w:w="0" w:type="dxa"/>
              <w:end w:w="0" w:type="dxa"/>
            </w:tcMar>
          </w:tcPr>
          <w:p>
            <w:pPr>
              <w:autoSpaceDN w:val="0"/>
              <w:autoSpaceDE w:val="0"/>
              <w:widowControl/>
              <w:spacing w:line="180" w:lineRule="exact" w:before="74" w:after="0"/>
              <w:ind w:left="78" w:right="0" w:firstLine="0"/>
              <w:jc w:val="left"/>
            </w:pPr>
            <w:r>
              <w:rPr>
                <w:rFonts w:ascii="宋体" w:hAnsi="宋体" w:eastAsia="宋体"/>
                <w:b w:val="0"/>
                <w:i w:val="0"/>
                <w:color w:val="000000"/>
                <w:sz w:val="18"/>
              </w:rPr>
              <w:t xml:space="preserve">王怡里 </w:t>
            </w: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736" w:right="0" w:firstLine="0"/>
              <w:jc w:val="left"/>
            </w:pPr>
            <w:r>
              <w:rPr>
                <w:rFonts w:ascii="宋体" w:hAnsi="宋体" w:eastAsia="宋体"/>
                <w:b w:val="0"/>
                <w:i w:val="0"/>
                <w:color w:val="000000"/>
                <w:sz w:val="18"/>
              </w:rPr>
              <w:t xml:space="preserve">中德证券有限责任公司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2016.11</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bl>
    <w:p>
      <w:pPr>
        <w:autoSpaceDN w:val="0"/>
        <w:autoSpaceDE w:val="0"/>
        <w:widowControl/>
        <w:spacing w:line="197" w:lineRule="auto" w:before="634" w:after="0"/>
        <w:ind w:left="0" w:right="0" w:firstLine="0"/>
        <w:jc w:val="center"/>
      </w:pPr>
      <w:r>
        <w:rPr>
          <w:rFonts w:ascii="Calibri" w:hAnsi="Calibri" w:eastAsia="Calibri"/>
          <w:b w:val="0"/>
          <w:i w:val="0"/>
          <w:color w:val="000000"/>
          <w:sz w:val="18"/>
        </w:rPr>
        <w:t xml:space="preserve">82 </w:t>
      </w:r>
    </w:p>
    <w:p>
      <w:pPr>
        <w:sectPr>
          <w:type w:val="continuous"/>
          <w:pgSz w:w="11904" w:h="16841"/>
          <w:pgMar w:top="424" w:right="1076" w:bottom="446" w:left="1100" w:header="720" w:footer="720" w:gutter="0"/>
          <w:cols/>
          <w:docGrid w:linePitch="360"/>
        </w:sectPr>
      </w:pPr>
    </w:p>
    <w:p>
      <w:pPr>
        <w:autoSpaceDN w:val="0"/>
        <w:autoSpaceDE w:val="0"/>
        <w:widowControl/>
        <w:spacing w:line="220" w:lineRule="exact" w:before="0" w:after="206"/>
        <w:ind w:left="0" w:right="0"/>
      </w:pPr>
    </w:p>
    <w:p>
      <w:pPr>
        <w:sectPr>
          <w:pgSz w:w="11904" w:h="16841"/>
          <w:pgMar w:top="424" w:right="1076" w:bottom="446" w:left="1100" w:header="720" w:footer="720" w:gutter="0"/>
          <w:cols/>
          <w:docGrid w:linePitch="360"/>
        </w:sectPr>
      </w:pPr>
    </w:p>
    <w:p>
      <w:pPr>
        <w:autoSpaceDN w:val="0"/>
        <w:autoSpaceDE w:val="0"/>
        <w:widowControl/>
        <w:spacing w:line="240" w:lineRule="auto" w:before="0" w:after="0"/>
        <w:ind w:left="34" w:right="0" w:firstLine="0"/>
        <w:jc w:val="left"/>
      </w:pPr>
      <w:r>
        <w:drawing>
          <wp:inline xmlns:a="http://schemas.openxmlformats.org/drawingml/2006/main" xmlns:pic="http://schemas.openxmlformats.org/drawingml/2006/picture">
            <wp:extent cx="1844039" cy="439419"/>
            <wp:docPr id="85" name="Picture 8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200" w:lineRule="exact" w:before="0" w:after="30"/>
        <w:ind w:left="0" w:right="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76" w:bottom="446" w:left="1100" w:header="720" w:footer="720" w:gutter="0"/>
          <w:cols w:num="2" w:equalWidth="0">
            <w:col w:w="5440" w:space="0"/>
            <w:col w:w="4288" w:space="0"/>
          </w:cols>
          <w:docGrid w:linePitch="360"/>
        </w:sectPr>
      </w:pPr>
    </w:p>
    <w:tbl>
      <w:tblPr>
        <w:tblW w:type="auto" w:w="0"/>
        <w:tblLayout w:type="fixed"/>
        <w:tblLook w:firstColumn="1" w:firstRow="1" w:lastColumn="0" w:lastRow="0" w:noHBand="0" w:noVBand="1" w:val="04A0"/>
        <w:tblInd w:w="4.000000000000057" w:type="dxa"/>
      </w:tblPr>
      <w:tblGrid>
        <w:gridCol w:w="1621"/>
        <w:gridCol w:w="1621"/>
        <w:gridCol w:w="1621"/>
        <w:gridCol w:w="1621"/>
        <w:gridCol w:w="1621"/>
        <w:gridCol w:w="1621"/>
      </w:tblGrid>
      <w:tr>
        <w:trPr>
          <w:trHeight w:hRule="exact" w:val="339"/>
        </w:trPr>
        <w:tc>
          <w:tcPr>
            <w:tcW w:type="dxa" w:w="710"/>
            <w:vMerge w:val="restart"/>
            <w:tcBorders>
              <w:start w:sz="4.0" w:val="single" w:color="#000000"/>
              <w:top w:sz="5.600000000000023"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tc>
        <w:tc>
          <w:tcPr>
            <w:tcW w:type="dxa" w:w="3290"/>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920" w:firstLine="0"/>
              <w:jc w:val="right"/>
            </w:pPr>
            <w:r>
              <w:rPr>
                <w:rFonts w:ascii="宋体" w:hAnsi="宋体" w:eastAsia="宋体"/>
                <w:b w:val="0"/>
                <w:i w:val="0"/>
                <w:color w:val="000000"/>
                <w:sz w:val="18"/>
              </w:rPr>
              <w:t xml:space="preserve">山西省金融学会 </w:t>
            </w:r>
          </w:p>
        </w:tc>
        <w:tc>
          <w:tcPr>
            <w:tcW w:type="dxa" w:w="3226"/>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980" w:firstLine="0"/>
              <w:jc w:val="right"/>
            </w:pPr>
            <w:r>
              <w:rPr>
                <w:rFonts w:ascii="宋体" w:hAnsi="宋体" w:eastAsia="宋体"/>
                <w:b w:val="0"/>
                <w:i w:val="0"/>
                <w:color w:val="000000"/>
                <w:sz w:val="18"/>
              </w:rPr>
              <w:t xml:space="preserve">理事会副会长 </w:t>
            </w:r>
          </w:p>
        </w:tc>
        <w:tc>
          <w:tcPr>
            <w:tcW w:type="dxa" w:w="708"/>
            <w:tcBorders>
              <w:start w:sz="3.199999999999818" w:val="single" w:color="#000000"/>
              <w:top w:sz="5.600000000000023"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68" w:after="0"/>
              <w:ind w:left="0" w:right="0" w:firstLine="0"/>
              <w:jc w:val="center"/>
            </w:pPr>
            <w:r>
              <w:rPr>
                <w:rFonts w:ascii="宋体" w:hAnsi="宋体" w:eastAsia="宋体"/>
                <w:b w:val="0"/>
                <w:i w:val="0"/>
                <w:color w:val="000000"/>
                <w:sz w:val="18"/>
              </w:rPr>
              <w:t>2019.01</w:t>
            </w:r>
          </w:p>
        </w:tc>
        <w:tc>
          <w:tcPr>
            <w:tcW w:type="dxa" w:w="710"/>
            <w:tcBorders>
              <w:start w:sz="3.200000000000273"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8"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山证科技（深圳）有限公司 </w:t>
            </w: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2020.03</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2024.09 </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0" w:right="830" w:firstLine="0"/>
              <w:jc w:val="right"/>
            </w:pPr>
            <w:r>
              <w:rPr>
                <w:rFonts w:ascii="宋体" w:hAnsi="宋体" w:eastAsia="宋体"/>
                <w:b w:val="0"/>
                <w:i w:val="0"/>
                <w:color w:val="000000"/>
                <w:sz w:val="18"/>
              </w:rPr>
              <w:t xml:space="preserve">山西省证券业协会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8" w:after="0"/>
              <w:ind w:left="0" w:right="1248" w:firstLine="0"/>
              <w:jc w:val="right"/>
            </w:pPr>
            <w:r>
              <w:rPr>
                <w:rFonts w:ascii="宋体" w:hAnsi="宋体" w:eastAsia="宋体"/>
                <w:b w:val="0"/>
                <w:i w:val="0"/>
                <w:color w:val="000000"/>
                <w:sz w:val="18"/>
              </w:rPr>
              <w:t xml:space="preserve">副会长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山西股权交易中心有限公司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2021.06</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5.600000000000023" w:val="single" w:color="#000000"/>
              <w:end w:sz="4.0" w:val="single" w:color="#000000"/>
              <w:bottom w:sz="4.0" w:val="single" w:color="#000000"/>
            </w:tcBorders>
          </w:tcPr>
          <w:p/>
        </w:tc>
        <w:tc>
          <w:tcPr>
            <w:tcW w:type="dxa" w:w="329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8" w:after="0"/>
              <w:ind w:left="736" w:right="0" w:firstLine="0"/>
              <w:jc w:val="left"/>
            </w:pPr>
            <w:r>
              <w:rPr>
                <w:rFonts w:ascii="宋体" w:hAnsi="宋体" w:eastAsia="宋体"/>
                <w:b w:val="0"/>
                <w:i w:val="0"/>
                <w:color w:val="000000"/>
                <w:sz w:val="18"/>
              </w:rPr>
              <w:t xml:space="preserve">格林大华期货有限公司 </w:t>
            </w: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8" w:after="0"/>
              <w:ind w:left="0" w:right="1160" w:firstLine="0"/>
              <w:jc w:val="right"/>
            </w:pPr>
            <w:r>
              <w:rPr>
                <w:rFonts w:ascii="宋体" w:hAnsi="宋体" w:eastAsia="宋体"/>
                <w:b w:val="0"/>
                <w:i w:val="0"/>
                <w:color w:val="000000"/>
                <w:sz w:val="18"/>
              </w:rPr>
              <w:t xml:space="preserve">党委书记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2021.10</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2024.09</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5.600000000000023"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8"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2022.07</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2024.11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348" w:right="0" w:firstLine="0"/>
              <w:jc w:val="left"/>
            </w:pPr>
            <w:r>
              <w:rPr>
                <w:rFonts w:ascii="宋体" w:hAnsi="宋体" w:eastAsia="宋体"/>
                <w:b w:val="0"/>
                <w:i w:val="0"/>
                <w:color w:val="000000"/>
                <w:sz w:val="18"/>
              </w:rPr>
              <w:t xml:space="preserve">人才发展专业委员会副主任委员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2022.01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8" w:after="0"/>
              <w:ind w:left="556" w:right="0" w:firstLine="0"/>
              <w:jc w:val="left"/>
            </w:pPr>
            <w:r>
              <w:rPr>
                <w:rFonts w:ascii="宋体" w:hAnsi="宋体" w:eastAsia="宋体"/>
                <w:b w:val="0"/>
                <w:i w:val="0"/>
                <w:color w:val="000000"/>
                <w:sz w:val="18"/>
              </w:rPr>
              <w:t xml:space="preserve">山证国际金融控股有限公司 </w:t>
            </w: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8"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2024.08</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736" w:right="0" w:firstLine="0"/>
              <w:jc w:val="left"/>
            </w:pPr>
            <w:r>
              <w:rPr>
                <w:rFonts w:ascii="宋体" w:hAnsi="宋体" w:eastAsia="宋体"/>
                <w:b w:val="0"/>
                <w:i w:val="0"/>
                <w:color w:val="000000"/>
                <w:sz w:val="18"/>
              </w:rPr>
              <w:t xml:space="preserve">山证投资有限责任公司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80"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2024.09</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736" w:right="0" w:firstLine="0"/>
              <w:jc w:val="left"/>
            </w:pPr>
            <w:r>
              <w:rPr>
                <w:rFonts w:ascii="宋体" w:hAnsi="宋体" w:eastAsia="宋体"/>
                <w:b w:val="0"/>
                <w:i w:val="0"/>
                <w:color w:val="000000"/>
                <w:sz w:val="18"/>
              </w:rPr>
              <w:t xml:space="preserve">山证创新投资有限公司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2024.09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710"/>
            <w:vMerge w:val="restart"/>
            <w:tcBorders>
              <w:start w:sz="4.0" w:val="single" w:color="#000000"/>
              <w:top w:sz="4.0" w:val="single" w:color="#000000"/>
              <w:end w:sz="4.0" w:val="single" w:color="#000000"/>
              <w:bottom w:sz="3.199999999999818"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266" w:after="0"/>
              <w:ind w:left="78" w:right="0" w:firstLine="0"/>
              <w:jc w:val="left"/>
            </w:pPr>
            <w:r>
              <w:rPr>
                <w:rFonts w:ascii="宋体" w:hAnsi="宋体" w:eastAsia="宋体"/>
                <w:b w:val="0"/>
                <w:i w:val="0"/>
                <w:color w:val="000000"/>
                <w:sz w:val="18"/>
              </w:rPr>
              <w:t xml:space="preserve">刘鹏飞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376" w:right="0" w:firstLine="0"/>
              <w:jc w:val="left"/>
            </w:pPr>
            <w:r>
              <w:rPr>
                <w:rFonts w:ascii="宋体" w:hAnsi="宋体" w:eastAsia="宋体"/>
                <w:b w:val="0"/>
                <w:i w:val="0"/>
                <w:color w:val="000000"/>
                <w:sz w:val="18"/>
              </w:rPr>
              <w:t xml:space="preserve">山西省融资再担保集团有限公司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8"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2017.03 </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2024.09</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376" w:right="0" w:firstLine="0"/>
              <w:jc w:val="left"/>
            </w:pPr>
            <w:r>
              <w:rPr>
                <w:rFonts w:ascii="宋体" w:hAnsi="宋体" w:eastAsia="宋体"/>
                <w:b w:val="0"/>
                <w:i w:val="0"/>
                <w:color w:val="000000"/>
                <w:sz w:val="18"/>
              </w:rPr>
              <w:t xml:space="preserve">华融晋商资产管理股份有限公司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2020.05</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 xml:space="preserve"> 2024.06</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0"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4.0" w:val="single" w:color="#000000"/>
              <w:end w:sz="4.0" w:val="single" w:color="#000000"/>
              <w:bottom w:sz="3.199999999999818" w:val="single" w:color="#000000"/>
            </w:tcBorders>
          </w:tcPr>
          <w:p/>
        </w:tc>
        <w:tc>
          <w:tcPr>
            <w:tcW w:type="dxa" w:w="329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6" w:after="0"/>
              <w:ind w:left="556" w:right="0" w:firstLine="0"/>
              <w:jc w:val="left"/>
            </w:pPr>
            <w:r>
              <w:rPr>
                <w:rFonts w:ascii="宋体" w:hAnsi="宋体" w:eastAsia="宋体"/>
                <w:b w:val="0"/>
                <w:i w:val="0"/>
                <w:color w:val="000000"/>
                <w:sz w:val="18"/>
              </w:rPr>
              <w:t xml:space="preserve">山西金控资本管理有限公司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2021.05</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4"/>
        </w:trPr>
        <w:tc>
          <w:tcPr>
            <w:tcW w:type="dxa" w:w="1621"/>
            <w:vMerge/>
            <w:tcBorders>
              <w:start w:sz="4.0" w:val="single" w:color="#000000"/>
              <w:top w:sz="4.0" w:val="single" w:color="#000000"/>
              <w:end w:sz="4.0" w:val="single" w:color="#000000"/>
              <w:bottom w:sz="3.199999999999818"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8" w:after="0"/>
              <w:ind w:left="0" w:right="1068" w:firstLine="0"/>
              <w:jc w:val="right"/>
            </w:pPr>
            <w:r>
              <w:rPr>
                <w:rFonts w:ascii="宋体" w:hAnsi="宋体" w:eastAsia="宋体"/>
                <w:b w:val="0"/>
                <w:i w:val="0"/>
                <w:color w:val="000000"/>
                <w:sz w:val="18"/>
              </w:rPr>
              <w:t xml:space="preserve">党支部书记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2021.07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648" w:right="0" w:firstLine="0"/>
              <w:jc w:val="left"/>
            </w:pPr>
            <w:r>
              <w:rPr>
                <w:rFonts w:ascii="宋体" w:hAnsi="宋体" w:eastAsia="宋体"/>
                <w:b w:val="0"/>
                <w:i w:val="0"/>
                <w:color w:val="000000"/>
                <w:sz w:val="18"/>
              </w:rPr>
              <w:t xml:space="preserve">山西信创产业园有限公司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2021.08</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2024.10</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376" w:right="0" w:firstLine="0"/>
              <w:jc w:val="left"/>
            </w:pPr>
            <w:r>
              <w:rPr>
                <w:rFonts w:ascii="宋体" w:hAnsi="宋体" w:eastAsia="宋体"/>
                <w:b w:val="0"/>
                <w:i w:val="0"/>
                <w:color w:val="000000"/>
                <w:sz w:val="18"/>
              </w:rPr>
              <w:t xml:space="preserve">山西金信清洁引导投资有限公司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888" w:firstLine="0"/>
              <w:jc w:val="right"/>
            </w:pPr>
            <w:r>
              <w:rPr>
                <w:rFonts w:ascii="宋体" w:hAnsi="宋体" w:eastAsia="宋体"/>
                <w:b w:val="0"/>
                <w:i w:val="0"/>
                <w:color w:val="000000"/>
                <w:sz w:val="18"/>
              </w:rPr>
              <w:t xml:space="preserve">临时党支部书记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2023.09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4"/>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196" w:right="0" w:firstLine="0"/>
              <w:jc w:val="left"/>
            </w:pPr>
            <w:r>
              <w:rPr>
                <w:rFonts w:ascii="宋体" w:hAnsi="宋体" w:eastAsia="宋体"/>
                <w:b w:val="0"/>
                <w:i w:val="0"/>
                <w:color w:val="000000"/>
                <w:sz w:val="18"/>
              </w:rPr>
              <w:t xml:space="preserve">山西太行产业投资基金管理有限公司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8" w:after="0"/>
              <w:ind w:left="0" w:right="798" w:firstLine="0"/>
              <w:jc w:val="right"/>
            </w:pPr>
            <w:r>
              <w:rPr>
                <w:rFonts w:ascii="宋体" w:hAnsi="宋体" w:eastAsia="宋体"/>
                <w:b w:val="0"/>
                <w:i w:val="0"/>
                <w:color w:val="000000"/>
                <w:sz w:val="18"/>
              </w:rPr>
              <w:t xml:space="preserve">党委书记、董事长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2024.02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 xml:space="preserve"> 2024.08</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8"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汇丰晋信基金管理有限公司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2024.05</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6" w:lineRule="exact" w:before="7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0"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710"/>
            <w:vMerge w:val="restart"/>
            <w:tcBorders>
              <w:start w:sz="4.0" w:val="single" w:color="#000000"/>
              <w:top w:sz="3.199999999999818"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264" w:after="0"/>
              <w:ind w:left="78" w:right="0" w:firstLine="0"/>
              <w:jc w:val="left"/>
            </w:pPr>
            <w:r>
              <w:rPr>
                <w:rFonts w:ascii="宋体" w:hAnsi="宋体" w:eastAsia="宋体"/>
                <w:b w:val="0"/>
                <w:i w:val="0"/>
                <w:color w:val="000000"/>
                <w:sz w:val="18"/>
              </w:rPr>
              <w:t xml:space="preserve">周金晓 </w:t>
            </w:r>
          </w:p>
        </w:tc>
        <w:tc>
          <w:tcPr>
            <w:tcW w:type="dxa" w:w="329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376" w:right="0" w:firstLine="0"/>
              <w:jc w:val="left"/>
            </w:pPr>
            <w:r>
              <w:rPr>
                <w:rFonts w:ascii="宋体" w:hAnsi="宋体" w:eastAsia="宋体"/>
                <w:b w:val="0"/>
                <w:i w:val="0"/>
                <w:color w:val="000000"/>
                <w:sz w:val="18"/>
              </w:rPr>
              <w:t xml:space="preserve">石太铁路客运专线有限责任公司 </w:t>
            </w:r>
          </w:p>
        </w:tc>
        <w:tc>
          <w:tcPr>
            <w:tcW w:type="dxa" w:w="3226"/>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2020.04</w:t>
            </w:r>
          </w:p>
        </w:tc>
        <w:tc>
          <w:tcPr>
            <w:tcW w:type="dxa" w:w="710"/>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556" w:right="0" w:firstLine="0"/>
              <w:jc w:val="left"/>
            </w:pPr>
            <w:r>
              <w:rPr>
                <w:rFonts w:ascii="宋体" w:hAnsi="宋体" w:eastAsia="宋体"/>
                <w:b w:val="0"/>
                <w:i w:val="0"/>
                <w:color w:val="000000"/>
                <w:sz w:val="18"/>
              </w:rPr>
              <w:t xml:space="preserve">山西宝地产城发展有限公司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2021.12</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太钢（天津）商业保理公司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798" w:firstLine="0"/>
              <w:jc w:val="right"/>
            </w:pPr>
            <w:r>
              <w:rPr>
                <w:rFonts w:ascii="宋体" w:hAnsi="宋体" w:eastAsia="宋体"/>
                <w:b w:val="0"/>
                <w:i w:val="0"/>
                <w:color w:val="000000"/>
                <w:sz w:val="18"/>
              </w:rPr>
              <w:t xml:space="preserve">执行董事、总经理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2022.11</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556" w:right="0" w:firstLine="0"/>
              <w:jc w:val="left"/>
            </w:pPr>
            <w:r>
              <w:rPr>
                <w:rFonts w:ascii="宋体" w:hAnsi="宋体" w:eastAsia="宋体"/>
                <w:b w:val="0"/>
                <w:i w:val="0"/>
                <w:color w:val="000000"/>
                <w:sz w:val="18"/>
              </w:rPr>
              <w:t xml:space="preserve">山西太钢保险代理有限公司 </w:t>
            </w:r>
          </w:p>
        </w:tc>
        <w:tc>
          <w:tcPr>
            <w:tcW w:type="dxa" w:w="3226"/>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798" w:firstLine="0"/>
              <w:jc w:val="right"/>
            </w:pPr>
            <w:r>
              <w:rPr>
                <w:rFonts w:ascii="宋体" w:hAnsi="宋体" w:eastAsia="宋体"/>
                <w:b w:val="0"/>
                <w:i w:val="0"/>
                <w:color w:val="000000"/>
                <w:sz w:val="18"/>
              </w:rPr>
              <w:t xml:space="preserve">执行董事、总经理 </w:t>
            </w:r>
          </w:p>
        </w:tc>
        <w:tc>
          <w:tcPr>
            <w:tcW w:type="dxa" w:w="708"/>
            <w:tcBorders>
              <w:start w:sz="3.199999999999818"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2023.02</w:t>
            </w:r>
          </w:p>
        </w:tc>
        <w:tc>
          <w:tcPr>
            <w:tcW w:type="dxa" w:w="710"/>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376" w:right="0" w:firstLine="0"/>
              <w:jc w:val="left"/>
            </w:pPr>
            <w:r>
              <w:rPr>
                <w:rFonts w:ascii="宋体" w:hAnsi="宋体" w:eastAsia="宋体"/>
                <w:b w:val="0"/>
                <w:i w:val="0"/>
                <w:color w:val="000000"/>
                <w:sz w:val="18"/>
              </w:rPr>
              <w:t xml:space="preserve">太钢国际发展（香港）有限公司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80"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2023.05</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736" w:right="0" w:firstLine="0"/>
              <w:jc w:val="left"/>
            </w:pPr>
            <w:r>
              <w:rPr>
                <w:rFonts w:ascii="宋体" w:hAnsi="宋体" w:eastAsia="宋体"/>
                <w:b w:val="0"/>
                <w:i w:val="0"/>
                <w:color w:val="000000"/>
                <w:sz w:val="18"/>
              </w:rPr>
              <w:t xml:space="preserve">山西太钢投资有限公司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798" w:firstLine="0"/>
              <w:jc w:val="right"/>
            </w:pPr>
            <w:r>
              <w:rPr>
                <w:rFonts w:ascii="宋体" w:hAnsi="宋体" w:eastAsia="宋体"/>
                <w:b w:val="0"/>
                <w:i w:val="0"/>
                <w:color w:val="000000"/>
                <w:sz w:val="18"/>
              </w:rPr>
              <w:t xml:space="preserve">执行董事、总经理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2023.06</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556" w:right="0" w:firstLine="0"/>
              <w:jc w:val="left"/>
            </w:pPr>
            <w:r>
              <w:rPr>
                <w:rFonts w:ascii="宋体" w:hAnsi="宋体" w:eastAsia="宋体"/>
                <w:b w:val="0"/>
                <w:i w:val="0"/>
                <w:color w:val="000000"/>
                <w:sz w:val="18"/>
              </w:rPr>
              <w:t xml:space="preserve">山西太钢创业投资有限公司 </w:t>
            </w:r>
          </w:p>
        </w:tc>
        <w:tc>
          <w:tcPr>
            <w:tcW w:type="dxa" w:w="3226"/>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798" w:firstLine="0"/>
              <w:jc w:val="right"/>
            </w:pPr>
            <w:r>
              <w:rPr>
                <w:rFonts w:ascii="宋体" w:hAnsi="宋体" w:eastAsia="宋体"/>
                <w:b w:val="0"/>
                <w:i w:val="0"/>
                <w:color w:val="000000"/>
                <w:sz w:val="18"/>
              </w:rPr>
              <w:t xml:space="preserve">执行董事、总经理 </w:t>
            </w:r>
          </w:p>
        </w:tc>
        <w:tc>
          <w:tcPr>
            <w:tcW w:type="dxa" w:w="708"/>
            <w:tcBorders>
              <w:start w:sz="3.199999999999818" w:val="single" w:color="#000000"/>
              <w:top w:sz="3.199999999999818"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2023.08</w:t>
            </w:r>
          </w:p>
        </w:tc>
        <w:tc>
          <w:tcPr>
            <w:tcW w:type="dxa" w:w="710"/>
            <w:tcBorders>
              <w:start w:sz="3.200000000000273"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8"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468" w:right="0" w:firstLine="0"/>
              <w:jc w:val="left"/>
            </w:pPr>
            <w:r>
              <w:rPr>
                <w:rFonts w:ascii="宋体" w:hAnsi="宋体" w:eastAsia="宋体"/>
                <w:b w:val="0"/>
                <w:i w:val="0"/>
                <w:color w:val="000000"/>
                <w:sz w:val="18"/>
              </w:rPr>
              <w:t xml:space="preserve">山西太钢不锈钢股份有限公司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80" w:after="0"/>
              <w:ind w:left="440" w:right="0" w:firstLine="0"/>
              <w:jc w:val="left"/>
            </w:pPr>
            <w:r>
              <w:rPr>
                <w:rFonts w:ascii="宋体" w:hAnsi="宋体" w:eastAsia="宋体"/>
                <w:b w:val="0"/>
                <w:i w:val="0"/>
                <w:color w:val="000000"/>
                <w:sz w:val="18"/>
              </w:rPr>
              <w:t xml:space="preserve">证券与投资者关系管理部部长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2023.12</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78" w:right="0" w:firstLine="0"/>
              <w:jc w:val="left"/>
            </w:pPr>
            <w:r>
              <w:rPr>
                <w:rFonts w:ascii="宋体" w:hAnsi="宋体" w:eastAsia="宋体"/>
                <w:b w:val="0"/>
                <w:i w:val="0"/>
                <w:color w:val="000000"/>
                <w:sz w:val="18"/>
              </w:rPr>
              <w:t xml:space="preserve">夏贵所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山西国电置业有限公司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2010.06</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2024.04</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4"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736" w:right="0" w:firstLine="0"/>
              <w:jc w:val="left"/>
            </w:pPr>
            <w:r>
              <w:rPr>
                <w:rFonts w:ascii="宋体" w:hAnsi="宋体" w:eastAsia="宋体"/>
                <w:b w:val="0"/>
                <w:i w:val="0"/>
                <w:color w:val="000000"/>
                <w:sz w:val="18"/>
              </w:rPr>
              <w:t xml:space="preserve">山西地方电力有限公司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2010.08</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山西灏鼎能源投资有限公司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监事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2018.05</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264" w:after="0"/>
              <w:ind w:left="78" w:right="0" w:firstLine="0"/>
              <w:jc w:val="left"/>
            </w:pPr>
            <w:r>
              <w:rPr>
                <w:rFonts w:ascii="宋体" w:hAnsi="宋体" w:eastAsia="宋体"/>
                <w:b w:val="0"/>
                <w:i w:val="0"/>
                <w:color w:val="000000"/>
                <w:sz w:val="18"/>
              </w:rPr>
              <w:t xml:space="preserve">邢会强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1010" w:firstLine="0"/>
              <w:jc w:val="right"/>
            </w:pPr>
            <w:r>
              <w:rPr>
                <w:rFonts w:ascii="宋体" w:hAnsi="宋体" w:eastAsia="宋体"/>
                <w:b w:val="0"/>
                <w:i w:val="0"/>
                <w:color w:val="000000"/>
                <w:sz w:val="18"/>
              </w:rPr>
              <w:t xml:space="preserve">中央财经大学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教授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2007.07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556" w:right="0" w:firstLine="0"/>
              <w:jc w:val="left"/>
            </w:pPr>
            <w:r>
              <w:rPr>
                <w:rFonts w:ascii="宋体" w:hAnsi="宋体" w:eastAsia="宋体"/>
                <w:b w:val="0"/>
                <w:i w:val="0"/>
                <w:color w:val="000000"/>
                <w:sz w:val="18"/>
              </w:rPr>
              <w:t xml:space="preserve">中国法学会证券法学研究会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888" w:firstLine="0"/>
              <w:jc w:val="right"/>
            </w:pPr>
            <w:r>
              <w:rPr>
                <w:rFonts w:ascii="宋体" w:hAnsi="宋体" w:eastAsia="宋体"/>
                <w:b w:val="0"/>
                <w:i w:val="0"/>
                <w:color w:val="000000"/>
                <w:sz w:val="18"/>
              </w:rPr>
              <w:t xml:space="preserve">副会长兼秘书长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2017.04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先锋基金投资管理有限公司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2017.10</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2025.03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北京市策略律师事务所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348" w:right="0" w:firstLine="0"/>
              <w:jc w:val="left"/>
            </w:pPr>
            <w:r>
              <w:rPr>
                <w:rFonts w:ascii="宋体" w:hAnsi="宋体" w:eastAsia="宋体"/>
                <w:b w:val="0"/>
                <w:i w:val="0"/>
                <w:color w:val="000000"/>
                <w:sz w:val="18"/>
              </w:rPr>
              <w:t xml:space="preserve">兼职律师、资本市场部高级顾问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2020.01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556" w:right="0" w:firstLine="0"/>
              <w:jc w:val="left"/>
            </w:pPr>
            <w:r>
              <w:rPr>
                <w:rFonts w:ascii="宋体" w:hAnsi="宋体" w:eastAsia="宋体"/>
                <w:b w:val="0"/>
                <w:i w:val="0"/>
                <w:color w:val="000000"/>
                <w:sz w:val="18"/>
              </w:rPr>
              <w:t xml:space="preserve">利安人寿保险股份有限公司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北京市金融服务法学研究会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会长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376" w:right="0" w:firstLine="0"/>
              <w:jc w:val="left"/>
            </w:pPr>
            <w:r>
              <w:rPr>
                <w:rFonts w:ascii="宋体" w:hAnsi="宋体" w:eastAsia="宋体"/>
                <w:b w:val="0"/>
                <w:i w:val="0"/>
                <w:color w:val="000000"/>
                <w:sz w:val="18"/>
              </w:rPr>
              <w:t xml:space="preserve">北京万泰生物药业股份有限公司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830" w:firstLine="0"/>
              <w:jc w:val="right"/>
            </w:pPr>
            <w:r>
              <w:rPr>
                <w:rFonts w:ascii="宋体" w:hAnsi="宋体" w:eastAsia="宋体"/>
                <w:b w:val="0"/>
                <w:i w:val="0"/>
                <w:color w:val="000000"/>
                <w:sz w:val="18"/>
              </w:rPr>
              <w:t xml:space="preserve">中国上市公司协会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620" w:right="0" w:firstLine="0"/>
              <w:jc w:val="left"/>
            </w:pPr>
            <w:r>
              <w:rPr>
                <w:rFonts w:ascii="宋体" w:hAnsi="宋体" w:eastAsia="宋体"/>
                <w:b w:val="0"/>
                <w:i w:val="0"/>
                <w:color w:val="000000"/>
                <w:sz w:val="18"/>
              </w:rPr>
              <w:t xml:space="preserve">独立董事专业委员会委员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2023.05</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170" w:right="0" w:firstLine="0"/>
              <w:jc w:val="left"/>
            </w:pPr>
            <w:r>
              <w:rPr>
                <w:rFonts w:ascii="宋体" w:hAnsi="宋体" w:eastAsia="宋体"/>
                <w:b w:val="0"/>
                <w:i w:val="0"/>
                <w:color w:val="000000"/>
                <w:sz w:val="18"/>
              </w:rPr>
              <w:t xml:space="preserve">朱祁 </w:t>
            </w: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1190" w:firstLine="0"/>
              <w:jc w:val="right"/>
            </w:pPr>
            <w:r>
              <w:rPr>
                <w:rFonts w:ascii="宋体" w:hAnsi="宋体" w:eastAsia="宋体"/>
                <w:b w:val="0"/>
                <w:i w:val="0"/>
                <w:color w:val="000000"/>
                <w:sz w:val="18"/>
              </w:rPr>
              <w:t xml:space="preserve">复旦大学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348" w:right="0" w:firstLine="0"/>
              <w:jc w:val="left"/>
            </w:pPr>
            <w:r>
              <w:rPr>
                <w:rFonts w:ascii="宋体" w:hAnsi="宋体" w:eastAsia="宋体"/>
                <w:b w:val="0"/>
                <w:i w:val="0"/>
                <w:color w:val="000000"/>
                <w:sz w:val="18"/>
              </w:rPr>
              <w:t xml:space="preserve">管理学院金融与财务学系副教授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2012.07</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376" w:right="0" w:firstLine="0"/>
              <w:jc w:val="left"/>
            </w:pPr>
            <w:r>
              <w:rPr>
                <w:rFonts w:ascii="宋体" w:hAnsi="宋体" w:eastAsia="宋体"/>
                <w:b w:val="0"/>
                <w:i w:val="0"/>
                <w:color w:val="000000"/>
                <w:sz w:val="18"/>
              </w:rPr>
              <w:t xml:space="preserve">宁波人健药业集团股份有限公司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2019.08</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468" w:right="0" w:firstLine="0"/>
              <w:jc w:val="left"/>
            </w:pPr>
            <w:r>
              <w:rPr>
                <w:rFonts w:ascii="宋体" w:hAnsi="宋体" w:eastAsia="宋体"/>
                <w:b w:val="0"/>
                <w:i w:val="0"/>
                <w:color w:val="000000"/>
                <w:sz w:val="18"/>
              </w:rPr>
              <w:t xml:space="preserve">上海复深蓝软件股份有限公司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2022.10</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是 </w:t>
            </w:r>
          </w:p>
        </w:tc>
      </w:tr>
    </w:tbl>
    <w:p>
      <w:pPr>
        <w:autoSpaceDN w:val="0"/>
        <w:autoSpaceDE w:val="0"/>
        <w:widowControl/>
        <w:spacing w:line="197" w:lineRule="auto" w:before="524" w:after="0"/>
        <w:ind w:left="0" w:right="0" w:firstLine="0"/>
        <w:jc w:val="center"/>
      </w:pPr>
      <w:r>
        <w:rPr>
          <w:rFonts w:ascii="Calibri" w:hAnsi="Calibri" w:eastAsia="Calibri"/>
          <w:b w:val="0"/>
          <w:i w:val="0"/>
          <w:color w:val="000000"/>
          <w:sz w:val="18"/>
        </w:rPr>
        <w:t xml:space="preserve">83 </w:t>
      </w:r>
    </w:p>
    <w:p>
      <w:pPr>
        <w:sectPr>
          <w:type w:val="continuous"/>
          <w:pgSz w:w="11904" w:h="16841"/>
          <w:pgMar w:top="424" w:right="1076" w:bottom="446" w:left="1100" w:header="720" w:footer="720" w:gutter="0"/>
          <w:cols/>
          <w:docGrid w:linePitch="360"/>
        </w:sectPr>
      </w:pPr>
    </w:p>
    <w:p>
      <w:pPr>
        <w:autoSpaceDN w:val="0"/>
        <w:autoSpaceDE w:val="0"/>
        <w:widowControl/>
        <w:spacing w:line="220" w:lineRule="exact" w:before="0" w:after="206"/>
        <w:ind w:left="0" w:right="0"/>
      </w:pPr>
    </w:p>
    <w:p>
      <w:pPr>
        <w:sectPr>
          <w:pgSz w:w="11904" w:h="16841"/>
          <w:pgMar w:top="424" w:right="1076" w:bottom="446" w:left="1100" w:header="720" w:footer="720" w:gutter="0"/>
          <w:cols/>
          <w:docGrid w:linePitch="360"/>
        </w:sectPr>
      </w:pPr>
    </w:p>
    <w:p>
      <w:pPr>
        <w:autoSpaceDN w:val="0"/>
        <w:autoSpaceDE w:val="0"/>
        <w:widowControl/>
        <w:spacing w:line="240" w:lineRule="auto" w:before="0" w:after="0"/>
        <w:ind w:left="34" w:right="0" w:firstLine="0"/>
        <w:jc w:val="left"/>
      </w:pPr>
      <w:r>
        <w:drawing>
          <wp:inline xmlns:a="http://schemas.openxmlformats.org/drawingml/2006/main" xmlns:pic="http://schemas.openxmlformats.org/drawingml/2006/picture">
            <wp:extent cx="1844039" cy="439419"/>
            <wp:docPr id="86" name="Picture 8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200" w:lineRule="exact" w:before="0" w:after="30"/>
        <w:ind w:left="0" w:right="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76" w:bottom="446" w:left="1100" w:header="720" w:footer="720" w:gutter="0"/>
          <w:cols w:num="2" w:equalWidth="0">
            <w:col w:w="5440" w:space="0"/>
            <w:col w:w="4288" w:space="0"/>
          </w:cols>
          <w:docGrid w:linePitch="360"/>
        </w:sectPr>
      </w:pPr>
    </w:p>
    <w:tbl>
      <w:tblPr>
        <w:tblW w:type="auto" w:w="0"/>
        <w:tblLayout w:type="fixed"/>
        <w:tblLook w:firstColumn="1" w:firstRow="1" w:lastColumn="0" w:lastRow="0" w:noHBand="0" w:noVBand="1" w:val="04A0"/>
        <w:tblInd w:w="4.000000000000057" w:type="dxa"/>
      </w:tblPr>
      <w:tblGrid>
        <w:gridCol w:w="1621"/>
        <w:gridCol w:w="1621"/>
        <w:gridCol w:w="1621"/>
        <w:gridCol w:w="1621"/>
        <w:gridCol w:w="1621"/>
        <w:gridCol w:w="1621"/>
      </w:tblGrid>
      <w:tr>
        <w:trPr>
          <w:trHeight w:hRule="exact" w:val="338"/>
        </w:trPr>
        <w:tc>
          <w:tcPr>
            <w:tcW w:type="dxa" w:w="710"/>
            <w:vMerge w:val="restart"/>
            <w:tcBorders>
              <w:start w:sz="4.0" w:val="single" w:color="#000000"/>
              <w:top w:sz="5.600000000000023"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918" w:after="0"/>
              <w:ind w:left="78" w:right="0" w:firstLine="0"/>
              <w:jc w:val="left"/>
            </w:pPr>
            <w:r>
              <w:rPr>
                <w:rFonts w:ascii="宋体" w:hAnsi="宋体" w:eastAsia="宋体"/>
                <w:b w:val="0"/>
                <w:i w:val="0"/>
                <w:color w:val="000000"/>
                <w:sz w:val="18"/>
              </w:rPr>
              <w:t xml:space="preserve">李海涛 </w:t>
            </w:r>
          </w:p>
        </w:tc>
        <w:tc>
          <w:tcPr>
            <w:tcW w:type="dxa" w:w="3290"/>
            <w:vMerge w:val="restart"/>
            <w:tcBorders>
              <w:start w:sz="4.0" w:val="single" w:color="#000000"/>
              <w:top w:sz="5.600000000000023" w:val="single" w:color="#000000"/>
              <w:end w:sz="4.0" w:val="single" w:color="#000000"/>
              <w:bottom w:sz="3.2000000000000455" w:val="single" w:color="#000000"/>
            </w:tcBorders>
            <w:shd w:fill="ffffff"/>
            <w:tcMar>
              <w:start w:w="0" w:type="dxa"/>
              <w:end w:w="0" w:type="dxa"/>
            </w:tcMar>
            <w:tcMar>
              <w:start w:w="0" w:type="dxa"/>
              <w:end w:w="0" w:type="dxa"/>
            </w:tcMar>
          </w:tcPr>
          <w:p>
            <w:pPr>
              <w:autoSpaceDN w:val="0"/>
              <w:autoSpaceDE w:val="0"/>
              <w:widowControl/>
              <w:spacing w:line="180" w:lineRule="exact" w:before="240" w:after="0"/>
              <w:ind w:left="0" w:right="1100" w:firstLine="0"/>
              <w:jc w:val="right"/>
            </w:pPr>
            <w:r>
              <w:rPr>
                <w:rFonts w:ascii="宋体" w:hAnsi="宋体" w:eastAsia="宋体"/>
                <w:b w:val="0"/>
                <w:i w:val="0"/>
                <w:color w:val="000000"/>
                <w:sz w:val="18"/>
              </w:rPr>
              <w:t xml:space="preserve">长江商学院 </w:t>
            </w:r>
          </w:p>
        </w:tc>
        <w:tc>
          <w:tcPr>
            <w:tcW w:type="dxa" w:w="3226"/>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68" w:after="0"/>
              <w:ind w:left="0" w:right="1068" w:firstLine="0"/>
              <w:jc w:val="right"/>
            </w:pPr>
            <w:r>
              <w:rPr>
                <w:rFonts w:ascii="宋体" w:hAnsi="宋体" w:eastAsia="宋体"/>
                <w:b w:val="0"/>
                <w:i w:val="0"/>
                <w:color w:val="000000"/>
                <w:sz w:val="18"/>
              </w:rPr>
              <w:t xml:space="preserve">金融学教授 </w:t>
            </w:r>
          </w:p>
        </w:tc>
        <w:tc>
          <w:tcPr>
            <w:tcW w:type="dxa" w:w="708"/>
            <w:tcBorders>
              <w:start w:sz="3.199999999999818" w:val="single" w:color="#000000"/>
              <w:top w:sz="5.600000000000023"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68" w:after="0"/>
              <w:ind w:left="0" w:right="0" w:firstLine="0"/>
              <w:jc w:val="center"/>
            </w:pPr>
            <w:r>
              <w:rPr>
                <w:rFonts w:ascii="宋体" w:hAnsi="宋体" w:eastAsia="宋体"/>
                <w:b w:val="0"/>
                <w:i w:val="0"/>
                <w:color w:val="000000"/>
                <w:sz w:val="18"/>
              </w:rPr>
              <w:t>2013.03</w:t>
            </w:r>
          </w:p>
        </w:tc>
        <w:tc>
          <w:tcPr>
            <w:tcW w:type="dxa" w:w="710"/>
            <w:tcBorders>
              <w:start w:sz="3.200000000000273"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8"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5.600000000000023" w:val="single" w:color="#000000"/>
              <w:end w:sz="4.0" w:val="single" w:color="#000000"/>
              <w:bottom w:sz="4.0" w:val="single" w:color="#000000"/>
            </w:tcBorders>
          </w:tcPr>
          <w:p/>
        </w:tc>
        <w:tc>
          <w:tcPr>
            <w:tcW w:type="dxa" w:w="1621"/>
            <w:vMerge/>
            <w:tcBorders>
              <w:start w:sz="4.0" w:val="single" w:color="#000000"/>
              <w:top w:sz="5.600000000000023" w:val="single" w:color="#000000"/>
              <w:end w:sz="4.0" w:val="single" w:color="#000000"/>
              <w:bottom w:sz="3.2000000000000455" w:val="single" w:color="#000000"/>
            </w:tcBorders>
          </w:tcP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院长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2024.01</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中国白银集团有限公司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2012.12</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556" w:right="0" w:firstLine="0"/>
              <w:jc w:val="left"/>
            </w:pPr>
            <w:r>
              <w:rPr>
                <w:rFonts w:ascii="宋体" w:hAnsi="宋体" w:eastAsia="宋体"/>
                <w:b w:val="0"/>
                <w:i w:val="0"/>
                <w:color w:val="000000"/>
                <w:sz w:val="18"/>
              </w:rPr>
              <w:t xml:space="preserve">汇安基金管理有限责任公司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0"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2016.04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736" w:right="0" w:firstLine="0"/>
              <w:jc w:val="left"/>
            </w:pPr>
            <w:r>
              <w:rPr>
                <w:rFonts w:ascii="宋体" w:hAnsi="宋体" w:eastAsia="宋体"/>
                <w:b w:val="0"/>
                <w:i w:val="0"/>
                <w:color w:val="000000"/>
                <w:sz w:val="18"/>
              </w:rPr>
              <w:t xml:space="preserve">德邦证券股份有限公司 </w:t>
            </w: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2017.12</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2024.01</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5.600000000000023" w:val="single" w:color="#000000"/>
              <w:end w:sz="4.0" w:val="single" w:color="#000000"/>
              <w:bottom w:sz="4.0" w:val="single" w:color="#000000"/>
            </w:tcBorders>
          </w:tcP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648" w:right="0" w:firstLine="0"/>
              <w:jc w:val="left"/>
            </w:pPr>
            <w:r>
              <w:rPr>
                <w:rFonts w:ascii="宋体" w:hAnsi="宋体" w:eastAsia="宋体"/>
                <w:b w:val="0"/>
                <w:i w:val="0"/>
                <w:color w:val="000000"/>
                <w:sz w:val="18"/>
              </w:rPr>
              <w:t xml:space="preserve">康桥悦生活集团有限公司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2021.06</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2" w:after="0"/>
              <w:ind w:left="78" w:right="0" w:firstLine="0"/>
              <w:jc w:val="left"/>
            </w:pPr>
            <w:r>
              <w:rPr>
                <w:rFonts w:ascii="宋体" w:hAnsi="宋体" w:eastAsia="宋体"/>
                <w:b w:val="0"/>
                <w:i w:val="0"/>
                <w:color w:val="000000"/>
                <w:sz w:val="18"/>
              </w:rPr>
              <w:t xml:space="preserve">郭  洁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376" w:right="0" w:firstLine="0"/>
              <w:jc w:val="left"/>
            </w:pPr>
            <w:r>
              <w:rPr>
                <w:rFonts w:ascii="宋体" w:hAnsi="宋体" w:eastAsia="宋体"/>
                <w:b w:val="0"/>
                <w:i w:val="0"/>
                <w:color w:val="000000"/>
                <w:sz w:val="18"/>
              </w:rPr>
              <w:t xml:space="preserve">山西中绿环保科技股份有限公司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0"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2020.03</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 xml:space="preserve"> 2024.02</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0"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是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196" w:right="0" w:firstLine="0"/>
              <w:jc w:val="left"/>
            </w:pPr>
            <w:r>
              <w:rPr>
                <w:rFonts w:ascii="宋体" w:hAnsi="宋体" w:eastAsia="宋体"/>
                <w:b w:val="0"/>
                <w:i w:val="0"/>
                <w:color w:val="000000"/>
                <w:sz w:val="18"/>
              </w:rPr>
              <w:t xml:space="preserve">华夏桥水（北京）投资管理有限公司 </w:t>
            </w:r>
          </w:p>
        </w:tc>
        <w:tc>
          <w:tcPr>
            <w:tcW w:type="dxa" w:w="3226"/>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376" w:right="0" w:firstLine="0"/>
              <w:jc w:val="left"/>
            </w:pPr>
            <w:r>
              <w:rPr>
                <w:rFonts w:ascii="宋体" w:hAnsi="宋体" w:eastAsia="宋体"/>
                <w:b w:val="0"/>
                <w:i w:val="0"/>
                <w:color w:val="000000"/>
                <w:sz w:val="18"/>
              </w:rPr>
              <w:t xml:space="preserve">晋城农村商业银行股份有限公司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独立董事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2022.05</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640" w:after="0"/>
              <w:ind w:left="78" w:right="0" w:firstLine="0"/>
              <w:jc w:val="left"/>
            </w:pPr>
            <w:r>
              <w:rPr>
                <w:rFonts w:ascii="宋体" w:hAnsi="宋体" w:eastAsia="宋体"/>
                <w:b w:val="0"/>
                <w:i w:val="0"/>
                <w:color w:val="000000"/>
                <w:sz w:val="18"/>
              </w:rPr>
              <w:t xml:space="preserve">乔俊峰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556" w:right="0" w:firstLine="0"/>
              <w:jc w:val="left"/>
            </w:pPr>
            <w:r>
              <w:rPr>
                <w:rFonts w:ascii="宋体" w:hAnsi="宋体" w:eastAsia="宋体"/>
                <w:b w:val="0"/>
                <w:i w:val="0"/>
                <w:color w:val="000000"/>
                <w:sz w:val="18"/>
              </w:rPr>
              <w:t xml:space="preserve">山证国际金融控股有限公司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2016.01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 xml:space="preserve"> 2024.08</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2"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248" w:firstLine="0"/>
              <w:jc w:val="right"/>
            </w:pPr>
            <w:r>
              <w:rPr>
                <w:rFonts w:ascii="宋体" w:hAnsi="宋体" w:eastAsia="宋体"/>
                <w:b w:val="0"/>
                <w:i w:val="0"/>
                <w:color w:val="000000"/>
                <w:sz w:val="18"/>
              </w:rPr>
              <w:t xml:space="preserve">总经理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2021.10</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2025.01</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52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66" w:after="0"/>
              <w:ind w:left="0" w:right="1010" w:firstLine="0"/>
              <w:jc w:val="right"/>
            </w:pPr>
            <w:r>
              <w:rPr>
                <w:rFonts w:ascii="宋体" w:hAnsi="宋体" w:eastAsia="宋体"/>
                <w:b w:val="0"/>
                <w:i w:val="0"/>
                <w:color w:val="000000"/>
                <w:sz w:val="18"/>
              </w:rPr>
              <w:t xml:space="preserve">山西财经大学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2" w:lineRule="exact" w:before="0" w:after="0"/>
              <w:ind w:left="432" w:right="288" w:firstLine="0"/>
              <w:jc w:val="center"/>
            </w:pPr>
            <w:r>
              <w:rPr>
                <w:rFonts w:ascii="宋体" w:hAnsi="宋体" w:eastAsia="宋体"/>
                <w:b w:val="0"/>
                <w:i w:val="0"/>
                <w:color w:val="000000"/>
                <w:sz w:val="18"/>
              </w:rPr>
              <w:t xml:space="preserve">金融学院专业学位硕士研究生 </w:t>
            </w:r>
            <w:r>
              <w:rPr>
                <w:rFonts w:ascii="宋体" w:hAnsi="宋体" w:eastAsia="宋体"/>
                <w:b w:val="0"/>
                <w:i w:val="0"/>
                <w:color w:val="000000"/>
                <w:sz w:val="18"/>
              </w:rPr>
              <w:t xml:space="preserve">校外指导教师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2021.11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6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66" w:after="0"/>
              <w:ind w:left="0" w:right="342" w:firstLine="0"/>
              <w:jc w:val="right"/>
            </w:pPr>
            <w:r>
              <w:rPr>
                <w:rFonts w:ascii="宋体" w:hAnsi="宋体" w:eastAsia="宋体"/>
                <w:b w:val="0"/>
                <w:i w:val="0"/>
                <w:color w:val="000000"/>
                <w:sz w:val="18"/>
              </w:rPr>
              <w:t xml:space="preserve">否 </w:t>
            </w:r>
          </w:p>
        </w:tc>
      </w:tr>
      <w:tr>
        <w:trPr>
          <w:trHeight w:hRule="exact" w:val="268"/>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0"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0" w:after="0"/>
              <w:ind w:left="0" w:right="1160" w:firstLine="0"/>
              <w:jc w:val="right"/>
            </w:pPr>
            <w:r>
              <w:rPr>
                <w:rFonts w:ascii="宋体" w:hAnsi="宋体" w:eastAsia="宋体"/>
                <w:b w:val="0"/>
                <w:i w:val="0"/>
                <w:color w:val="000000"/>
                <w:sz w:val="18"/>
              </w:rPr>
              <w:t xml:space="preserve">副总经理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40" w:after="0"/>
              <w:ind w:left="0" w:right="0" w:firstLine="0"/>
              <w:jc w:val="center"/>
            </w:pPr>
            <w:r>
              <w:rPr>
                <w:rFonts w:ascii="宋体" w:hAnsi="宋体" w:eastAsia="宋体"/>
                <w:b w:val="0"/>
                <w:i w:val="0"/>
                <w:color w:val="000000"/>
                <w:sz w:val="18"/>
              </w:rPr>
              <w:t>2025.01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0"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78" w:right="0" w:firstLine="0"/>
              <w:jc w:val="left"/>
            </w:pPr>
            <w:r>
              <w:rPr>
                <w:rFonts w:ascii="宋体" w:hAnsi="宋体" w:eastAsia="宋体"/>
                <w:b w:val="0"/>
                <w:i w:val="0"/>
                <w:color w:val="000000"/>
                <w:sz w:val="18"/>
              </w:rPr>
              <w:t xml:space="preserve">焦  杨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556" w:right="0" w:firstLine="0"/>
              <w:jc w:val="left"/>
            </w:pPr>
            <w:r>
              <w:rPr>
                <w:rFonts w:ascii="宋体" w:hAnsi="宋体" w:eastAsia="宋体"/>
                <w:b w:val="0"/>
                <w:i w:val="0"/>
                <w:color w:val="000000"/>
                <w:sz w:val="18"/>
              </w:rPr>
              <w:t xml:space="preserve">汇丰晋信基金管理有限公司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068" w:firstLine="0"/>
              <w:jc w:val="right"/>
            </w:pPr>
            <w:r>
              <w:rPr>
                <w:rFonts w:ascii="宋体" w:hAnsi="宋体" w:eastAsia="宋体"/>
                <w:b w:val="0"/>
                <w:i w:val="0"/>
                <w:color w:val="000000"/>
                <w:sz w:val="18"/>
              </w:rPr>
              <w:t xml:space="preserve">监事会主席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2015.01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2024.01</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4"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830" w:firstLine="0"/>
              <w:jc w:val="right"/>
            </w:pPr>
            <w:r>
              <w:rPr>
                <w:rFonts w:ascii="宋体" w:hAnsi="宋体" w:eastAsia="宋体"/>
                <w:b w:val="0"/>
                <w:i w:val="0"/>
                <w:color w:val="000000"/>
                <w:sz w:val="18"/>
              </w:rPr>
              <w:t xml:space="preserve">中国上市公司协会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708" w:right="0" w:firstLine="0"/>
              <w:jc w:val="left"/>
            </w:pPr>
            <w:r>
              <w:rPr>
                <w:rFonts w:ascii="宋体" w:hAnsi="宋体" w:eastAsia="宋体"/>
                <w:b w:val="0"/>
                <w:i w:val="0"/>
                <w:color w:val="000000"/>
                <w:sz w:val="18"/>
              </w:rPr>
              <w:t xml:space="preserve">监事会专业委员会委员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2023.04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8" w:right="0" w:firstLine="0"/>
              <w:jc w:val="left"/>
            </w:pPr>
            <w:r>
              <w:rPr>
                <w:rFonts w:ascii="宋体" w:hAnsi="宋体" w:eastAsia="宋体"/>
                <w:b w:val="0"/>
                <w:i w:val="0"/>
                <w:color w:val="000000"/>
                <w:sz w:val="18"/>
              </w:rPr>
              <w:t xml:space="preserve">郭志宏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648" w:right="0" w:firstLine="0"/>
              <w:jc w:val="left"/>
            </w:pPr>
            <w:r>
              <w:rPr>
                <w:rFonts w:ascii="宋体" w:hAnsi="宋体" w:eastAsia="宋体"/>
                <w:b w:val="0"/>
                <w:i w:val="0"/>
                <w:color w:val="000000"/>
                <w:sz w:val="18"/>
              </w:rPr>
              <w:t xml:space="preserve">山西省融资担保行业协会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会长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78" w:right="0" w:firstLine="0"/>
              <w:jc w:val="left"/>
            </w:pPr>
            <w:r>
              <w:rPr>
                <w:rFonts w:ascii="宋体" w:hAnsi="宋体" w:eastAsia="宋体"/>
                <w:b w:val="0"/>
                <w:i w:val="0"/>
                <w:color w:val="000000"/>
                <w:sz w:val="18"/>
              </w:rPr>
              <w:t xml:space="preserve">李国林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376" w:right="0" w:firstLine="0"/>
              <w:jc w:val="left"/>
            </w:pPr>
            <w:r>
              <w:rPr>
                <w:rFonts w:ascii="宋体" w:hAnsi="宋体" w:eastAsia="宋体"/>
                <w:b w:val="0"/>
                <w:i w:val="0"/>
                <w:color w:val="000000"/>
                <w:sz w:val="18"/>
              </w:rPr>
              <w:t xml:space="preserve">山西久晖股权投资管理有限公司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2014.09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2024.09</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4"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648" w:right="0" w:firstLine="0"/>
              <w:jc w:val="left"/>
            </w:pPr>
            <w:r>
              <w:rPr>
                <w:rFonts w:ascii="宋体" w:hAnsi="宋体" w:eastAsia="宋体"/>
                <w:b w:val="0"/>
                <w:i w:val="0"/>
                <w:color w:val="000000"/>
                <w:sz w:val="18"/>
              </w:rPr>
              <w:t xml:space="preserve">山西省投资集团有限公司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528" w:right="0" w:firstLine="0"/>
              <w:jc w:val="left"/>
            </w:pPr>
            <w:r>
              <w:rPr>
                <w:rFonts w:ascii="宋体" w:hAnsi="宋体" w:eastAsia="宋体"/>
                <w:b w:val="0"/>
                <w:i w:val="0"/>
                <w:color w:val="000000"/>
                <w:sz w:val="18"/>
              </w:rPr>
              <w:t xml:space="preserve">专职党委副书记、副董事长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2020.09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78" w:right="0" w:firstLine="0"/>
              <w:jc w:val="left"/>
            </w:pPr>
            <w:r>
              <w:rPr>
                <w:rFonts w:ascii="宋体" w:hAnsi="宋体" w:eastAsia="宋体"/>
                <w:b w:val="0"/>
                <w:i w:val="0"/>
                <w:color w:val="000000"/>
                <w:sz w:val="18"/>
              </w:rPr>
              <w:t xml:space="preserve">武爱东 </w:t>
            </w:r>
          </w:p>
        </w:tc>
        <w:tc>
          <w:tcPr>
            <w:tcW w:type="dxa" w:w="329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0" w:right="740" w:firstLine="0"/>
              <w:jc w:val="right"/>
            </w:pPr>
            <w:r>
              <w:rPr>
                <w:rFonts w:ascii="宋体" w:hAnsi="宋体" w:eastAsia="宋体"/>
                <w:b w:val="0"/>
                <w:i w:val="0"/>
                <w:color w:val="000000"/>
                <w:sz w:val="18"/>
              </w:rPr>
              <w:t xml:space="preserve">山西省食品工业协会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708" w:right="0" w:firstLine="0"/>
              <w:jc w:val="left"/>
            </w:pPr>
            <w:r>
              <w:rPr>
                <w:rFonts w:ascii="宋体" w:hAnsi="宋体" w:eastAsia="宋体"/>
                <w:b w:val="0"/>
                <w:i w:val="0"/>
                <w:color w:val="000000"/>
                <w:sz w:val="18"/>
              </w:rPr>
              <w:t xml:space="preserve">第六届理事会副秘书长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2022.09</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 xml:space="preserve"> 2024.12</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tabs>
                <w:tab w:pos="478" w:val="left"/>
              </w:tabs>
              <w:autoSpaceDE w:val="0"/>
              <w:widowControl/>
              <w:spacing w:line="180" w:lineRule="exact" w:before="74"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38"/>
        </w:trPr>
        <w:tc>
          <w:tcPr>
            <w:tcW w:type="dxa" w:w="1621"/>
            <w:vMerge/>
            <w:tcBorders>
              <w:start w:sz="4.0" w:val="single" w:color="#000000"/>
              <w:top w:sz="4.0"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800" w:right="0" w:firstLine="0"/>
              <w:jc w:val="left"/>
            </w:pPr>
            <w:r>
              <w:rPr>
                <w:rFonts w:ascii="宋体" w:hAnsi="宋体" w:eastAsia="宋体"/>
                <w:b w:val="0"/>
                <w:i w:val="0"/>
                <w:color w:val="000000"/>
                <w:sz w:val="18"/>
              </w:rPr>
              <w:t xml:space="preserve">第六届理事会监事长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2024.12</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vMerge w:val="restart"/>
            <w:tcBorders>
              <w:start w:sz="4.0" w:val="single" w:color="#000000"/>
              <w:top w:sz="4.0" w:val="single" w:color="#000000"/>
              <w:end w:sz="4.0" w:val="single" w:color="#000000"/>
              <w:bottom w:sz="3.199999999999818"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78" w:right="0" w:firstLine="0"/>
              <w:jc w:val="left"/>
            </w:pPr>
            <w:r>
              <w:rPr>
                <w:rFonts w:ascii="宋体" w:hAnsi="宋体" w:eastAsia="宋体"/>
                <w:b w:val="0"/>
                <w:i w:val="0"/>
                <w:color w:val="000000"/>
                <w:sz w:val="18"/>
              </w:rPr>
              <w:t xml:space="preserve">白景波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648" w:right="0" w:firstLine="0"/>
              <w:jc w:val="left"/>
            </w:pPr>
            <w:r>
              <w:rPr>
                <w:rFonts w:ascii="宋体" w:hAnsi="宋体" w:eastAsia="宋体"/>
                <w:b w:val="0"/>
                <w:i w:val="0"/>
                <w:color w:val="000000"/>
                <w:sz w:val="18"/>
              </w:rPr>
              <w:t xml:space="preserve">山西省投资集团有限公司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348" w:right="0" w:firstLine="0"/>
              <w:jc w:val="left"/>
            </w:pPr>
            <w:r>
              <w:rPr>
                <w:rFonts w:ascii="宋体" w:hAnsi="宋体" w:eastAsia="宋体"/>
                <w:b w:val="0"/>
                <w:i w:val="0"/>
                <w:color w:val="000000"/>
                <w:sz w:val="18"/>
              </w:rPr>
              <w:t xml:space="preserve">党委委员、副总经理、工会主席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2022.02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2024.04</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648" w:right="0" w:firstLine="0"/>
              <w:jc w:val="left"/>
            </w:pPr>
            <w:r>
              <w:rPr>
                <w:rFonts w:ascii="宋体" w:hAnsi="宋体" w:eastAsia="宋体"/>
                <w:b w:val="0"/>
                <w:i w:val="0"/>
                <w:color w:val="000000"/>
                <w:sz w:val="18"/>
              </w:rPr>
              <w:t xml:space="preserve">山西省康养集团有限公司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798" w:firstLine="0"/>
              <w:jc w:val="right"/>
            </w:pPr>
            <w:r>
              <w:rPr>
                <w:rFonts w:ascii="宋体" w:hAnsi="宋体" w:eastAsia="宋体"/>
                <w:b w:val="0"/>
                <w:i w:val="0"/>
                <w:color w:val="000000"/>
                <w:sz w:val="18"/>
              </w:rPr>
              <w:t xml:space="preserve">党委书记、董事长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2024.04</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是 </w:t>
            </w:r>
          </w:p>
        </w:tc>
      </w:tr>
      <w:tr>
        <w:trPr>
          <w:trHeight w:hRule="exact" w:val="338"/>
        </w:trPr>
        <w:tc>
          <w:tcPr>
            <w:tcW w:type="dxa" w:w="710"/>
            <w:vMerge w:val="restart"/>
            <w:tcBorders>
              <w:start w:sz="4.0" w:val="single" w:color="#000000"/>
              <w:top w:sz="3.199999999999818"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6" w:after="0"/>
              <w:ind w:left="78" w:right="0" w:firstLine="0"/>
              <w:jc w:val="left"/>
            </w:pPr>
            <w:r>
              <w:rPr>
                <w:rFonts w:ascii="宋体" w:hAnsi="宋体" w:eastAsia="宋体"/>
                <w:b w:val="0"/>
                <w:i w:val="0"/>
                <w:color w:val="000000"/>
                <w:sz w:val="18"/>
              </w:rPr>
              <w:t xml:space="preserve">崔秋生 </w:t>
            </w: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556" w:right="0" w:firstLine="0"/>
              <w:jc w:val="left"/>
            </w:pPr>
            <w:r>
              <w:rPr>
                <w:rFonts w:ascii="宋体" w:hAnsi="宋体" w:eastAsia="宋体"/>
                <w:b w:val="0"/>
                <w:i w:val="0"/>
                <w:color w:val="000000"/>
                <w:sz w:val="18"/>
              </w:rPr>
              <w:t xml:space="preserve">山西洪洞华实热电有限公司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2020.04</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736" w:right="0" w:firstLine="0"/>
              <w:jc w:val="left"/>
            </w:pPr>
            <w:r>
              <w:rPr>
                <w:rFonts w:ascii="宋体" w:hAnsi="宋体" w:eastAsia="宋体"/>
                <w:b w:val="0"/>
                <w:i w:val="0"/>
                <w:color w:val="000000"/>
                <w:sz w:val="18"/>
              </w:rPr>
              <w:t xml:space="preserve">中煤华晋集团有限公司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2020.12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44"/>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山西国瑞投资有限公司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6"/>
        </w:trPr>
        <w:tc>
          <w:tcPr>
            <w:tcW w:type="dxa" w:w="710"/>
            <w:vMerge w:val="restart"/>
            <w:tcBorders>
              <w:start w:sz="4.0" w:val="single" w:color="#000000"/>
              <w:top w:sz="4.0" w:val="single" w:color="#000000"/>
              <w:end w:sz="4.0" w:val="single" w:color="#000000"/>
              <w:bottom w:sz="3.199999999999818" w:val="single" w:color="#000000"/>
            </w:tcBorders>
            <w:shd w:fill="ffffff"/>
            <w:tcMar>
              <w:start w:w="0" w:type="dxa"/>
              <w:end w:w="0" w:type="dxa"/>
            </w:tcMar>
            <w:tcMar>
              <w:start w:w="0" w:type="dxa"/>
              <w:end w:w="0" w:type="dxa"/>
            </w:tcMar>
          </w:tcPr>
          <w:p>
            <w:pPr>
              <w:autoSpaceDN w:val="0"/>
              <w:autoSpaceDE w:val="0"/>
              <w:widowControl/>
              <w:spacing w:line="180" w:lineRule="exact" w:before="242" w:after="0"/>
              <w:ind w:left="78" w:right="0" w:firstLine="0"/>
              <w:jc w:val="left"/>
            </w:pPr>
            <w:r>
              <w:rPr>
                <w:rFonts w:ascii="宋体" w:hAnsi="宋体" w:eastAsia="宋体"/>
                <w:b w:val="0"/>
                <w:i w:val="0"/>
                <w:color w:val="000000"/>
                <w:sz w:val="18"/>
              </w:rPr>
              <w:t xml:space="preserve">胡朝晖 </w:t>
            </w:r>
          </w:p>
        </w:tc>
        <w:tc>
          <w:tcPr>
            <w:tcW w:type="dxa" w:w="3290"/>
            <w:vMerge w:val="restart"/>
            <w:tcBorders>
              <w:start w:sz="4.0" w:val="single" w:color="#000000"/>
              <w:top w:sz="4.0" w:val="single" w:color="#000000"/>
              <w:end w:sz="4.0" w:val="single" w:color="#000000"/>
              <w:bottom w:sz="3.199999999999818" w:val="single" w:color="#000000"/>
            </w:tcBorders>
            <w:shd w:fill="ffffff"/>
            <w:tcMar>
              <w:start w:w="0" w:type="dxa"/>
              <w:end w:w="0" w:type="dxa"/>
            </w:tcMar>
            <w:tcMar>
              <w:start w:w="0" w:type="dxa"/>
              <w:end w:w="0" w:type="dxa"/>
            </w:tcMar>
          </w:tcPr>
          <w:p>
            <w:pPr>
              <w:autoSpaceDN w:val="0"/>
              <w:autoSpaceDE w:val="0"/>
              <w:widowControl/>
              <w:spacing w:line="180" w:lineRule="exact" w:before="242"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160" w:firstLine="0"/>
              <w:jc w:val="right"/>
            </w:pPr>
            <w:r>
              <w:rPr>
                <w:rFonts w:ascii="宋体" w:hAnsi="宋体" w:eastAsia="宋体"/>
                <w:b w:val="0"/>
                <w:i w:val="0"/>
                <w:color w:val="000000"/>
                <w:sz w:val="18"/>
              </w:rPr>
              <w:t xml:space="preserve">业务总监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2023.07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 xml:space="preserve"> 2024.06</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2"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4.0" w:val="single" w:color="#000000"/>
              <w:end w:sz="4.0" w:val="single" w:color="#000000"/>
              <w:bottom w:sz="3.199999999999818" w:val="single" w:color="#000000"/>
            </w:tcBorders>
          </w:tcPr>
          <w:p/>
        </w:tc>
        <w:tc>
          <w:tcPr>
            <w:tcW w:type="dxa" w:w="1621"/>
            <w:vMerge/>
            <w:tcBorders>
              <w:start w:sz="4.0" w:val="single" w:color="#000000"/>
              <w:top w:sz="4.0" w:val="single" w:color="#000000"/>
              <w:end w:sz="4.0" w:val="single" w:color="#000000"/>
              <w:bottom w:sz="3.199999999999818" w:val="single" w:color="#000000"/>
            </w:tcBorders>
          </w:tcP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顾问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2024.06</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710"/>
            <w:vMerge w:val="restart"/>
            <w:tcBorders>
              <w:start w:sz="4.0" w:val="single" w:color="#000000"/>
              <w:top w:sz="3.199999999999818" w:val="single" w:color="#000000"/>
              <w:end w:sz="4.0" w:val="single" w:color="#000000"/>
              <w:bottom w:sz="3.199999999999818"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78" w:right="0" w:firstLine="0"/>
              <w:jc w:val="left"/>
            </w:pPr>
            <w:r>
              <w:rPr>
                <w:rFonts w:ascii="宋体" w:hAnsi="宋体" w:eastAsia="宋体"/>
                <w:b w:val="0"/>
                <w:i w:val="0"/>
                <w:color w:val="000000"/>
                <w:sz w:val="18"/>
              </w:rPr>
              <w:t xml:space="preserve">刘文康 </w:t>
            </w: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山证创新投资有限公司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监事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2018.12</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3.199999999999818"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556" w:right="0" w:firstLine="0"/>
              <w:jc w:val="left"/>
            </w:pPr>
            <w:r>
              <w:rPr>
                <w:rFonts w:ascii="宋体" w:hAnsi="宋体" w:eastAsia="宋体"/>
                <w:b w:val="0"/>
                <w:i w:val="0"/>
                <w:color w:val="000000"/>
                <w:sz w:val="18"/>
              </w:rPr>
              <w:t xml:space="preserve">山证科技（深圳）有限公司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340" w:firstLine="0"/>
              <w:jc w:val="right"/>
            </w:pPr>
            <w:r>
              <w:rPr>
                <w:rFonts w:ascii="宋体" w:hAnsi="宋体" w:eastAsia="宋体"/>
                <w:b w:val="0"/>
                <w:i w:val="0"/>
                <w:color w:val="000000"/>
                <w:sz w:val="18"/>
              </w:rPr>
              <w:t xml:space="preserve">监事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2020.03</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3.199999999999818"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736" w:right="0" w:firstLine="0"/>
              <w:jc w:val="left"/>
            </w:pPr>
            <w:r>
              <w:rPr>
                <w:rFonts w:ascii="宋体" w:hAnsi="宋体" w:eastAsia="宋体"/>
                <w:b w:val="0"/>
                <w:i w:val="0"/>
                <w:color w:val="000000"/>
                <w:sz w:val="18"/>
              </w:rPr>
              <w:t xml:space="preserve">格林大华期货有限公司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1068" w:firstLine="0"/>
              <w:jc w:val="right"/>
            </w:pPr>
            <w:r>
              <w:rPr>
                <w:rFonts w:ascii="宋体" w:hAnsi="宋体" w:eastAsia="宋体"/>
                <w:b w:val="0"/>
                <w:i w:val="0"/>
                <w:color w:val="000000"/>
                <w:sz w:val="18"/>
              </w:rPr>
              <w:t xml:space="preserve">监事会主席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2023.09</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 2024.11</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tabs>
                <w:tab w:pos="478" w:val="left"/>
              </w:tabs>
              <w:autoSpaceDE w:val="0"/>
              <w:widowControl/>
              <w:spacing w:line="180" w:lineRule="exact" w:before="76"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2"/>
        </w:trPr>
        <w:tc>
          <w:tcPr>
            <w:tcW w:type="dxa" w:w="710"/>
            <w:vMerge w:val="restart"/>
            <w:tcBorders>
              <w:start w:sz="4.0" w:val="single" w:color="#000000"/>
              <w:top w:sz="3.199999999999818"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924" w:after="0"/>
              <w:ind w:left="78" w:right="0" w:firstLine="0"/>
              <w:jc w:val="left"/>
            </w:pPr>
            <w:r>
              <w:rPr>
                <w:rFonts w:ascii="宋体" w:hAnsi="宋体" w:eastAsia="宋体"/>
                <w:b w:val="0"/>
                <w:i w:val="0"/>
                <w:color w:val="000000"/>
                <w:sz w:val="18"/>
              </w:rPr>
              <w:t xml:space="preserve">汤建雄 </w:t>
            </w:r>
          </w:p>
        </w:tc>
        <w:tc>
          <w:tcPr>
            <w:tcW w:type="dxa" w:w="329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736" w:right="0" w:firstLine="0"/>
              <w:jc w:val="left"/>
            </w:pPr>
            <w:r>
              <w:rPr>
                <w:rFonts w:ascii="宋体" w:hAnsi="宋体" w:eastAsia="宋体"/>
                <w:b w:val="0"/>
                <w:i w:val="0"/>
                <w:color w:val="000000"/>
                <w:sz w:val="18"/>
              </w:rPr>
              <w:t xml:space="preserve">中德证券有限责任公司 </w:t>
            </w: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2009.04</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736" w:right="0" w:firstLine="0"/>
              <w:jc w:val="left"/>
            </w:pPr>
            <w:r>
              <w:rPr>
                <w:rFonts w:ascii="宋体" w:hAnsi="宋体" w:eastAsia="宋体"/>
                <w:b w:val="0"/>
                <w:i w:val="0"/>
                <w:color w:val="000000"/>
                <w:sz w:val="18"/>
              </w:rPr>
              <w:t xml:space="preserve">格林大华期货有限公司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2013.10</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 xml:space="preserve"> 2024.11</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tabs>
                <w:tab w:pos="478" w:val="left"/>
              </w:tabs>
              <w:autoSpaceDE w:val="0"/>
              <w:widowControl/>
              <w:spacing w:line="180" w:lineRule="exact" w:before="72" w:after="0"/>
              <w:ind w:left="0" w:right="0" w:firstLine="0"/>
              <w:jc w:val="left"/>
            </w:pPr>
            <w:r>
              <w:rPr>
                <w:rFonts w:ascii="宋体" w:hAnsi="宋体" w:eastAsia="宋体"/>
                <w:b w:val="0"/>
                <w:i w:val="0"/>
                <w:color w:val="000000"/>
                <w:sz w:val="18"/>
              </w:rPr>
              <w:t xml:space="preserve"> </w:t>
            </w:r>
            <w:r>
              <w:tab/>
            </w:r>
            <w:r>
              <w:rPr>
                <w:rFonts w:ascii="宋体" w:hAnsi="宋体" w:eastAsia="宋体"/>
                <w:b w:val="0"/>
                <w:i w:val="0"/>
                <w:color w:val="000000"/>
                <w:sz w:val="18"/>
              </w:rPr>
              <w:t xml:space="preserve">否 </w:t>
            </w:r>
          </w:p>
        </w:tc>
      </w:tr>
      <w:tr>
        <w:trPr>
          <w:trHeight w:hRule="exact" w:val="342"/>
        </w:trPr>
        <w:tc>
          <w:tcPr>
            <w:tcW w:type="dxa" w:w="1621"/>
            <w:vMerge/>
            <w:tcBorders>
              <w:start w:sz="4.0" w:val="single" w:color="#000000"/>
              <w:top w:sz="3.199999999999818" w:val="single" w:color="#000000"/>
              <w:end w:sz="4.0" w:val="single" w:color="#000000"/>
              <w:bottom w:sz="4.0" w:val="single" w:color="#000000"/>
            </w:tcBorders>
          </w:tcPr>
          <w:p/>
        </w:tc>
        <w:tc>
          <w:tcPr>
            <w:tcW w:type="dxa" w:w="329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4"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1340" w:firstLine="0"/>
              <w:jc w:val="right"/>
            </w:pPr>
            <w:r>
              <w:rPr>
                <w:rFonts w:ascii="宋体" w:hAnsi="宋体" w:eastAsia="宋体"/>
                <w:b w:val="0"/>
                <w:i w:val="0"/>
                <w:color w:val="000000"/>
                <w:sz w:val="18"/>
              </w:rPr>
              <w:t xml:space="preserve">监事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2021.10</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是 </w:t>
            </w:r>
          </w:p>
        </w:tc>
      </w:tr>
      <w:tr>
        <w:trPr>
          <w:trHeight w:hRule="exact" w:val="342"/>
        </w:trPr>
        <w:tc>
          <w:tcPr>
            <w:tcW w:type="dxa" w:w="1621"/>
            <w:vMerge/>
            <w:tcBorders>
              <w:start w:sz="4.0" w:val="single" w:color="#000000"/>
              <w:top w:sz="3.199999999999818"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226"/>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068" w:firstLine="0"/>
              <w:jc w:val="right"/>
            </w:pPr>
            <w:r>
              <w:rPr>
                <w:rFonts w:ascii="宋体" w:hAnsi="宋体" w:eastAsia="宋体"/>
                <w:b w:val="0"/>
                <w:i w:val="0"/>
                <w:color w:val="000000"/>
                <w:sz w:val="18"/>
              </w:rPr>
              <w:t xml:space="preserve">监事会主席 </w:t>
            </w:r>
          </w:p>
        </w:tc>
        <w:tc>
          <w:tcPr>
            <w:tcW w:type="dxa" w:w="708"/>
            <w:tcBorders>
              <w:start w:sz="3.199999999999818"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2021.11</w:t>
            </w:r>
          </w:p>
        </w:tc>
        <w:tc>
          <w:tcPr>
            <w:tcW w:type="dxa" w:w="710"/>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620" w:right="0" w:firstLine="0"/>
              <w:jc w:val="left"/>
            </w:pPr>
            <w:r>
              <w:rPr>
                <w:rFonts w:ascii="宋体" w:hAnsi="宋体" w:eastAsia="宋体"/>
                <w:b w:val="0"/>
                <w:i w:val="0"/>
                <w:color w:val="000000"/>
                <w:sz w:val="18"/>
              </w:rPr>
              <w:t xml:space="preserve">财务会计专业委员会委员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2022.01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4"/>
        </w:trPr>
        <w:tc>
          <w:tcPr>
            <w:tcW w:type="dxa" w:w="1621"/>
            <w:vMerge/>
            <w:tcBorders>
              <w:start w:sz="4.0" w:val="single" w:color="#000000"/>
              <w:top w:sz="3.199999999999818"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556" w:right="0" w:firstLine="0"/>
              <w:jc w:val="left"/>
            </w:pPr>
            <w:r>
              <w:rPr>
                <w:rFonts w:ascii="宋体" w:hAnsi="宋体" w:eastAsia="宋体"/>
                <w:b w:val="0"/>
                <w:i w:val="0"/>
                <w:color w:val="000000"/>
                <w:sz w:val="18"/>
              </w:rPr>
              <w:t xml:space="preserve">山证科技（深圳）有限公司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执行董事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2024.09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24"/>
        </w:trPr>
        <w:tc>
          <w:tcPr>
            <w:tcW w:type="dxa" w:w="710"/>
            <w:vMerge w:val="restart"/>
            <w:tcBorders>
              <w:start w:sz="4.0" w:val="single" w:color="#000000"/>
              <w:top w:sz="4.0" w:val="single" w:color="#000000"/>
              <w:end w:sz="4.0"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80" w:after="0"/>
              <w:ind w:left="78" w:right="0" w:firstLine="0"/>
              <w:jc w:val="left"/>
            </w:pPr>
            <w:r>
              <w:rPr>
                <w:rFonts w:ascii="宋体" w:hAnsi="宋体" w:eastAsia="宋体"/>
                <w:b w:val="0"/>
                <w:i w:val="0"/>
                <w:color w:val="000000"/>
                <w:sz w:val="18"/>
              </w:rPr>
              <w:t xml:space="preserve">高晓峰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6"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66" w:after="0"/>
              <w:ind w:left="168" w:right="0" w:firstLine="0"/>
              <w:jc w:val="left"/>
            </w:pPr>
            <w:r>
              <w:rPr>
                <w:rFonts w:ascii="宋体" w:hAnsi="宋体" w:eastAsia="宋体"/>
                <w:b w:val="0"/>
                <w:i w:val="0"/>
                <w:color w:val="000000"/>
                <w:sz w:val="18"/>
              </w:rPr>
              <w:t xml:space="preserve">合规管理与廉洁从业专业委员会委员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66" w:after="0"/>
              <w:ind w:left="0" w:right="0" w:firstLine="0"/>
              <w:jc w:val="center"/>
            </w:pPr>
            <w:r>
              <w:rPr>
                <w:rFonts w:ascii="宋体" w:hAnsi="宋体" w:eastAsia="宋体"/>
                <w:b w:val="0"/>
                <w:i w:val="0"/>
                <w:color w:val="000000"/>
                <w:sz w:val="18"/>
              </w:rPr>
              <w:t>2022.01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66" w:after="0"/>
              <w:ind w:left="0" w:right="342" w:firstLine="0"/>
              <w:jc w:val="right"/>
            </w:pPr>
            <w:r>
              <w:rPr>
                <w:rFonts w:ascii="宋体" w:hAnsi="宋体" w:eastAsia="宋体"/>
                <w:b w:val="0"/>
                <w:i w:val="0"/>
                <w:color w:val="000000"/>
                <w:sz w:val="18"/>
              </w:rPr>
              <w:t xml:space="preserve">否 </w:t>
            </w:r>
          </w:p>
        </w:tc>
      </w:tr>
      <w:tr>
        <w:trPr>
          <w:trHeight w:hRule="exact" w:val="412"/>
        </w:trPr>
        <w:tc>
          <w:tcPr>
            <w:tcW w:type="dxa" w:w="1621"/>
            <w:vMerge/>
            <w:tcBorders>
              <w:start w:sz="4.0" w:val="single" w:color="#000000"/>
              <w:top w:sz="4.0" w:val="single" w:color="#000000"/>
              <w:end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110" w:after="0"/>
              <w:ind w:left="0" w:right="1160" w:firstLine="0"/>
              <w:jc w:val="right"/>
            </w:pPr>
            <w:r>
              <w:rPr>
                <w:rFonts w:ascii="宋体" w:hAnsi="宋体" w:eastAsia="宋体"/>
                <w:b w:val="0"/>
                <w:i w:val="0"/>
                <w:color w:val="000000"/>
                <w:sz w:val="18"/>
              </w:rPr>
              <w:t xml:space="preserve">合规总监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2023.07</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0" w:after="0"/>
              <w:ind w:left="0" w:right="342" w:firstLine="0"/>
              <w:jc w:val="right"/>
            </w:pPr>
            <w:r>
              <w:rPr>
                <w:rFonts w:ascii="宋体" w:hAnsi="宋体" w:eastAsia="宋体"/>
                <w:b w:val="0"/>
                <w:i w:val="0"/>
                <w:color w:val="000000"/>
                <w:sz w:val="18"/>
              </w:rPr>
              <w:t xml:space="preserve">否 </w:t>
            </w:r>
          </w:p>
        </w:tc>
      </w:tr>
      <w:tr>
        <w:trPr>
          <w:trHeight w:hRule="exact" w:val="418"/>
        </w:trPr>
        <w:tc>
          <w:tcPr>
            <w:tcW w:type="dxa" w:w="1621"/>
            <w:vMerge/>
            <w:tcBorders>
              <w:start w:sz="4.0" w:val="single" w:color="#000000"/>
              <w:top w:sz="4.0" w:val="single" w:color="#000000"/>
              <w:end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2" w:after="0"/>
              <w:ind w:left="736" w:right="0" w:firstLine="0"/>
              <w:jc w:val="left"/>
            </w:pPr>
            <w:r>
              <w:rPr>
                <w:rFonts w:ascii="宋体" w:hAnsi="宋体" w:eastAsia="宋体"/>
                <w:b w:val="0"/>
                <w:i w:val="0"/>
                <w:color w:val="000000"/>
                <w:sz w:val="18"/>
              </w:rPr>
              <w:t xml:space="preserve">中德证券有限责任公司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112" w:after="0"/>
              <w:ind w:left="0" w:right="1068" w:firstLine="0"/>
              <w:jc w:val="right"/>
            </w:pPr>
            <w:r>
              <w:rPr>
                <w:rFonts w:ascii="宋体" w:hAnsi="宋体" w:eastAsia="宋体"/>
                <w:b w:val="0"/>
                <w:i w:val="0"/>
                <w:color w:val="000000"/>
                <w:sz w:val="18"/>
              </w:rPr>
              <w:t xml:space="preserve">监事会主席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12" w:after="0"/>
              <w:ind w:left="0" w:right="0" w:firstLine="0"/>
              <w:jc w:val="center"/>
            </w:pPr>
            <w:r>
              <w:rPr>
                <w:rFonts w:ascii="宋体" w:hAnsi="宋体" w:eastAsia="宋体"/>
                <w:b w:val="0"/>
                <w:i w:val="0"/>
                <w:color w:val="000000"/>
                <w:sz w:val="18"/>
              </w:rPr>
              <w:t>2023.12</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12" w:after="0"/>
              <w:ind w:left="0" w:right="342" w:firstLine="0"/>
              <w:jc w:val="right"/>
            </w:pPr>
            <w:r>
              <w:rPr>
                <w:rFonts w:ascii="宋体" w:hAnsi="宋体" w:eastAsia="宋体"/>
                <w:b w:val="0"/>
                <w:i w:val="0"/>
                <w:color w:val="000000"/>
                <w:sz w:val="18"/>
              </w:rPr>
              <w:t xml:space="preserve">否 </w:t>
            </w:r>
          </w:p>
        </w:tc>
      </w:tr>
    </w:tbl>
    <w:p>
      <w:pPr>
        <w:autoSpaceDN w:val="0"/>
        <w:autoSpaceDE w:val="0"/>
        <w:widowControl/>
        <w:spacing w:line="197" w:lineRule="auto" w:before="612" w:after="0"/>
        <w:ind w:left="0" w:right="0" w:firstLine="0"/>
        <w:jc w:val="center"/>
      </w:pPr>
      <w:r>
        <w:rPr>
          <w:rFonts w:ascii="Calibri" w:hAnsi="Calibri" w:eastAsia="Calibri"/>
          <w:b w:val="0"/>
          <w:i w:val="0"/>
          <w:color w:val="000000"/>
          <w:sz w:val="18"/>
        </w:rPr>
        <w:t xml:space="preserve">84 </w:t>
      </w:r>
    </w:p>
    <w:p>
      <w:pPr>
        <w:sectPr>
          <w:type w:val="continuous"/>
          <w:pgSz w:w="11904" w:h="16841"/>
          <w:pgMar w:top="424" w:right="1076" w:bottom="446" w:left="1100" w:header="720" w:footer="720" w:gutter="0"/>
          <w:cols/>
          <w:docGrid w:linePitch="360"/>
        </w:sectPr>
      </w:pPr>
    </w:p>
    <w:p>
      <w:pPr>
        <w:autoSpaceDN w:val="0"/>
        <w:autoSpaceDE w:val="0"/>
        <w:widowControl/>
        <w:spacing w:line="220" w:lineRule="exact" w:before="0" w:after="206"/>
        <w:ind w:left="0" w:right="0"/>
      </w:pPr>
    </w:p>
    <w:p>
      <w:pPr>
        <w:sectPr>
          <w:pgSz w:w="11904" w:h="16841"/>
          <w:pgMar w:top="424" w:right="1076" w:bottom="446" w:left="1100" w:header="720" w:footer="720" w:gutter="0"/>
          <w:cols/>
          <w:docGrid w:linePitch="360"/>
        </w:sectPr>
      </w:pPr>
    </w:p>
    <w:p>
      <w:pPr>
        <w:autoSpaceDN w:val="0"/>
        <w:autoSpaceDE w:val="0"/>
        <w:widowControl/>
        <w:spacing w:line="240" w:lineRule="auto" w:before="0" w:after="0"/>
        <w:ind w:left="34" w:right="0" w:firstLine="0"/>
        <w:jc w:val="left"/>
      </w:pPr>
      <w:r>
        <w:drawing>
          <wp:inline xmlns:a="http://schemas.openxmlformats.org/drawingml/2006/main" xmlns:pic="http://schemas.openxmlformats.org/drawingml/2006/picture">
            <wp:extent cx="1844039" cy="439419"/>
            <wp:docPr id="87" name="Picture 8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200" w:lineRule="exact" w:before="0" w:after="30"/>
        <w:ind w:left="0" w:right="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76" w:bottom="446" w:left="1100" w:header="720" w:footer="720" w:gutter="0"/>
          <w:cols w:num="2" w:equalWidth="0">
            <w:col w:w="5440" w:space="0"/>
            <w:col w:w="4288" w:space="0"/>
          </w:cols>
          <w:docGrid w:linePitch="360"/>
        </w:sectPr>
      </w:pPr>
    </w:p>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4.000000000000057" w:type="dxa"/>
      </w:tblPr>
      <w:tblGrid>
        <w:gridCol w:w="1621"/>
        <w:gridCol w:w="1621"/>
        <w:gridCol w:w="1621"/>
        <w:gridCol w:w="1621"/>
        <w:gridCol w:w="1621"/>
        <w:gridCol w:w="1621"/>
      </w:tblGrid>
      <w:tr>
        <w:trPr>
          <w:trHeight w:hRule="exact" w:val="414"/>
        </w:trPr>
        <w:tc>
          <w:tcPr>
            <w:tcW w:type="dxa" w:w="710"/>
            <w:tcBorders>
              <w:start w:sz="4.0" w:val="single" w:color="#000000"/>
              <w:end w:sz="4.0" w:val="single" w:color="#000000"/>
              <w:bottom w:sz="3.2000000000000455" w:val="single" w:color="#000000"/>
            </w:tcBorders>
            <w:shd w:fill="ffffff"/>
            <w:tcMar>
              <w:start w:w="0" w:type="dxa"/>
              <w:end w:w="0" w:type="dxa"/>
            </w:tcMar>
          </w:tcPr>
          <w:p/>
        </w:tc>
        <w:tc>
          <w:tcPr>
            <w:tcW w:type="dxa" w:w="3290"/>
            <w:tcBorders>
              <w:start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16" w:after="0"/>
              <w:ind w:left="0" w:right="830" w:firstLine="0"/>
              <w:jc w:val="right"/>
            </w:pPr>
            <w:r>
              <w:rPr>
                <w:rFonts w:ascii="宋体" w:hAnsi="宋体" w:eastAsia="宋体"/>
                <w:b w:val="0"/>
                <w:i w:val="0"/>
                <w:color w:val="000000"/>
                <w:sz w:val="18"/>
              </w:rPr>
              <w:t xml:space="preserve">中国上市公司协会 </w:t>
            </w:r>
          </w:p>
        </w:tc>
        <w:tc>
          <w:tcPr>
            <w:tcW w:type="dxa" w:w="3226"/>
            <w:tcBorders>
              <w:start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180" w:lineRule="exact" w:before="116" w:after="0"/>
              <w:ind w:left="620" w:right="0" w:firstLine="0"/>
              <w:jc w:val="left"/>
            </w:pPr>
            <w:r>
              <w:rPr>
                <w:rFonts w:ascii="宋体" w:hAnsi="宋体" w:eastAsia="宋体"/>
                <w:b w:val="0"/>
                <w:i w:val="0"/>
                <w:color w:val="000000"/>
                <w:sz w:val="18"/>
              </w:rPr>
              <w:t xml:space="preserve">声誉管理工作委员会委员 </w:t>
            </w:r>
          </w:p>
        </w:tc>
        <w:tc>
          <w:tcPr>
            <w:tcW w:type="dxa" w:w="708"/>
            <w:tcBorders>
              <w:start w:sz="3.199999999999818" w:val="single" w:color="#000000"/>
              <w:top w:sz="5.600000000000023"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108" w:after="0"/>
              <w:ind w:left="0" w:right="0" w:firstLine="0"/>
              <w:jc w:val="center"/>
            </w:pPr>
            <w:r>
              <w:rPr>
                <w:rFonts w:ascii="宋体" w:hAnsi="宋体" w:eastAsia="宋体"/>
                <w:b w:val="0"/>
                <w:i w:val="0"/>
                <w:color w:val="000000"/>
                <w:sz w:val="18"/>
              </w:rPr>
              <w:t>2024.04</w:t>
            </w:r>
          </w:p>
        </w:tc>
        <w:tc>
          <w:tcPr>
            <w:tcW w:type="dxa" w:w="710"/>
            <w:tcBorders>
              <w:start w:sz="3.200000000000273" w:val="single" w:color="#000000"/>
              <w:top w:sz="5.600000000000023"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0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5.600000000000023"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08"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710"/>
            <w:vMerge w:val="restart"/>
            <w:tcBorders>
              <w:start w:sz="4.0" w:val="single" w:color="#000000"/>
              <w:top w:sz="3.2000000000000455"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738" w:after="0"/>
              <w:ind w:left="78" w:right="0" w:firstLine="0"/>
              <w:jc w:val="left"/>
            </w:pPr>
            <w:r>
              <w:rPr>
                <w:rFonts w:ascii="宋体" w:hAnsi="宋体" w:eastAsia="宋体"/>
                <w:b w:val="0"/>
                <w:i w:val="0"/>
                <w:color w:val="000000"/>
                <w:sz w:val="18"/>
              </w:rPr>
              <w:t xml:space="preserve">韩丽萍 </w:t>
            </w:r>
          </w:p>
        </w:tc>
        <w:tc>
          <w:tcPr>
            <w:tcW w:type="dxa" w:w="329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168" w:right="0" w:firstLine="0"/>
              <w:jc w:val="left"/>
            </w:pPr>
            <w:r>
              <w:rPr>
                <w:rFonts w:ascii="宋体" w:hAnsi="宋体" w:eastAsia="宋体"/>
                <w:b w:val="0"/>
                <w:i w:val="0"/>
                <w:color w:val="000000"/>
                <w:sz w:val="18"/>
              </w:rPr>
              <w:t xml:space="preserve">证券经纪与财富管理专业委员会委员 </w:t>
            </w:r>
          </w:p>
        </w:tc>
        <w:tc>
          <w:tcPr>
            <w:tcW w:type="dxa" w:w="708"/>
            <w:tcBorders>
              <w:start w:sz="3.199999999999818" w:val="single" w:color="#000000"/>
              <w:top w:sz="3.2000000000000455"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2022.01</w:t>
            </w:r>
          </w:p>
        </w:tc>
        <w:tc>
          <w:tcPr>
            <w:tcW w:type="dxa" w:w="710"/>
            <w:tcBorders>
              <w:start w:sz="3.200000000000273"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12"/>
        </w:trPr>
        <w:tc>
          <w:tcPr>
            <w:tcW w:type="dxa" w:w="1621"/>
            <w:vMerge/>
            <w:tcBorders>
              <w:start w:sz="4.0" w:val="single" w:color="#000000"/>
              <w:top w:sz="3.2000000000000455"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58" w:after="0"/>
              <w:ind w:left="0" w:right="830" w:firstLine="0"/>
              <w:jc w:val="right"/>
            </w:pPr>
            <w:r>
              <w:rPr>
                <w:rFonts w:ascii="宋体" w:hAnsi="宋体" w:eastAsia="宋体"/>
                <w:b w:val="0"/>
                <w:i w:val="0"/>
                <w:color w:val="000000"/>
                <w:sz w:val="18"/>
              </w:rPr>
              <w:t xml:space="preserve">山西省期货业协会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58" w:after="0"/>
              <w:ind w:left="0" w:right="1248" w:firstLine="0"/>
              <w:jc w:val="right"/>
            </w:pPr>
            <w:r>
              <w:rPr>
                <w:rFonts w:ascii="宋体" w:hAnsi="宋体" w:eastAsia="宋体"/>
                <w:b w:val="0"/>
                <w:i w:val="0"/>
                <w:color w:val="000000"/>
                <w:sz w:val="18"/>
              </w:rPr>
              <w:t xml:space="preserve">副会长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58" w:after="0"/>
              <w:ind w:left="0" w:right="0" w:firstLine="0"/>
              <w:jc w:val="center"/>
            </w:pPr>
            <w:r>
              <w:rPr>
                <w:rFonts w:ascii="宋体" w:hAnsi="宋体" w:eastAsia="宋体"/>
                <w:b w:val="0"/>
                <w:i w:val="0"/>
                <w:color w:val="000000"/>
                <w:sz w:val="18"/>
              </w:rPr>
              <w:t>2023.04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58"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58"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2000000000000455" w:val="single" w:color="#000000"/>
              <w:end w:sz="4.0" w:val="single" w:color="#000000"/>
              <w:bottom w:sz="4.0" w:val="single" w:color="#000000"/>
            </w:tcBorders>
          </w:tcPr>
          <w:p/>
        </w:tc>
        <w:tc>
          <w:tcPr>
            <w:tcW w:type="dxa" w:w="329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242" w:after="0"/>
              <w:ind w:left="736" w:right="0" w:firstLine="0"/>
              <w:jc w:val="left"/>
            </w:pPr>
            <w:r>
              <w:rPr>
                <w:rFonts w:ascii="宋体" w:hAnsi="宋体" w:eastAsia="宋体"/>
                <w:b w:val="0"/>
                <w:i w:val="0"/>
                <w:color w:val="000000"/>
                <w:sz w:val="18"/>
              </w:rPr>
              <w:t xml:space="preserve">格林大华期货有限公司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160" w:firstLine="0"/>
              <w:jc w:val="right"/>
            </w:pPr>
            <w:r>
              <w:rPr>
                <w:rFonts w:ascii="宋体" w:hAnsi="宋体" w:eastAsia="宋体"/>
                <w:b w:val="0"/>
                <w:i w:val="0"/>
                <w:color w:val="000000"/>
                <w:sz w:val="18"/>
              </w:rPr>
              <w:t xml:space="preserve">党委书记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2024.09</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36"/>
        </w:trPr>
        <w:tc>
          <w:tcPr>
            <w:tcW w:type="dxa" w:w="1621"/>
            <w:vMerge/>
            <w:tcBorders>
              <w:start w:sz="4.0" w:val="single" w:color="#000000"/>
              <w:top w:sz="3.2000000000000455" w:val="single" w:color="#000000"/>
              <w:end w:sz="4.0" w:val="single" w:color="#000000"/>
              <w:bottom w:sz="4.0" w:val="single" w:color="#000000"/>
            </w:tcBorders>
          </w:tcPr>
          <w:p/>
        </w:tc>
        <w:tc>
          <w:tcPr>
            <w:tcW w:type="dxa" w:w="1621"/>
            <w:vMerge/>
            <w:tcBorders>
              <w:start w:sz="4.0" w:val="single" w:color="#000000"/>
              <w:top w:sz="4.0" w:val="single" w:color="#000000"/>
              <w:end w:sz="4.0" w:val="single" w:color="#000000"/>
              <w:bottom w:sz="4.0" w:val="single" w:color="#000000"/>
            </w:tcBorders>
          </w:tcP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2024.11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4"/>
        </w:trPr>
        <w:tc>
          <w:tcPr>
            <w:tcW w:type="dxa" w:w="1621"/>
            <w:vMerge/>
            <w:tcBorders>
              <w:start w:sz="4.0" w:val="single" w:color="#000000"/>
              <w:top w:sz="3.2000000000000455"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6" w:after="0"/>
              <w:ind w:left="0" w:right="1160" w:firstLine="0"/>
              <w:jc w:val="right"/>
            </w:pPr>
            <w:r>
              <w:rPr>
                <w:rFonts w:ascii="宋体" w:hAnsi="宋体" w:eastAsia="宋体"/>
                <w:b w:val="0"/>
                <w:i w:val="0"/>
                <w:color w:val="000000"/>
                <w:sz w:val="18"/>
              </w:rPr>
              <w:t xml:space="preserve">副总经理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2025.01</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6" w:after="0"/>
              <w:ind w:left="0" w:right="342" w:firstLine="0"/>
              <w:jc w:val="right"/>
            </w:pPr>
            <w:r>
              <w:rPr>
                <w:rFonts w:ascii="宋体" w:hAnsi="宋体" w:eastAsia="宋体"/>
                <w:b w:val="0"/>
                <w:i w:val="0"/>
                <w:color w:val="000000"/>
                <w:sz w:val="18"/>
              </w:rPr>
              <w:t xml:space="preserve">否 </w:t>
            </w:r>
          </w:p>
        </w:tc>
      </w:tr>
      <w:tr>
        <w:trPr>
          <w:trHeight w:hRule="exact" w:val="354"/>
        </w:trPr>
        <w:tc>
          <w:tcPr>
            <w:tcW w:type="dxa" w:w="710"/>
            <w:vMerge w:val="restart"/>
            <w:tcBorders>
              <w:start w:sz="4.0" w:val="single" w:color="#000000"/>
              <w:top w:sz="4.0" w:val="single" w:color="#000000"/>
              <w:end w:sz="4.0" w:val="single" w:color="#000000"/>
              <w:bottom w:sz="4.0" w:val="single" w:color="#000000"/>
            </w:tcBorders>
            <w:shd w:fill="ffffff"/>
            <w:tcMar>
              <w:start w:w="0" w:type="dxa"/>
              <w:end w:w="0" w:type="dxa"/>
            </w:tcMar>
            <w:tcMar>
              <w:start w:w="0" w:type="dxa"/>
              <w:end w:w="0" w:type="dxa"/>
            </w:tcMar>
          </w:tcPr>
          <w:p>
            <w:pPr>
              <w:autoSpaceDN w:val="0"/>
              <w:autoSpaceDE w:val="0"/>
              <w:widowControl/>
              <w:spacing w:line="180" w:lineRule="exact" w:before="348" w:after="0"/>
              <w:ind w:left="170" w:right="0" w:firstLine="0"/>
              <w:jc w:val="left"/>
            </w:pPr>
            <w:r>
              <w:rPr>
                <w:rFonts w:ascii="宋体" w:hAnsi="宋体" w:eastAsia="宋体"/>
                <w:b w:val="0"/>
                <w:i w:val="0"/>
                <w:color w:val="000000"/>
                <w:sz w:val="18"/>
              </w:rPr>
              <w:t xml:space="preserve">谢卫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80" w:after="0"/>
              <w:ind w:left="0" w:right="1248" w:firstLine="0"/>
              <w:jc w:val="right"/>
            </w:pPr>
            <w:r>
              <w:rPr>
                <w:rFonts w:ascii="宋体" w:hAnsi="宋体" w:eastAsia="宋体"/>
                <w:b w:val="0"/>
                <w:i w:val="0"/>
                <w:color w:val="000000"/>
                <w:sz w:val="18"/>
              </w:rPr>
              <w:t xml:space="preserve">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2023.05</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0" w:after="0"/>
              <w:ind w:left="0" w:right="342" w:firstLine="0"/>
              <w:jc w:val="right"/>
            </w:pPr>
            <w:r>
              <w:rPr>
                <w:rFonts w:ascii="宋体" w:hAnsi="宋体" w:eastAsia="宋体"/>
                <w:b w:val="0"/>
                <w:i w:val="0"/>
                <w:color w:val="000000"/>
                <w:sz w:val="18"/>
              </w:rPr>
              <w:t xml:space="preserve">是 </w:t>
            </w:r>
          </w:p>
        </w:tc>
      </w:tr>
      <w:tr>
        <w:trPr>
          <w:trHeight w:hRule="exact" w:val="536"/>
        </w:trPr>
        <w:tc>
          <w:tcPr>
            <w:tcW w:type="dxa" w:w="1621"/>
            <w:vMerge/>
            <w:tcBorders>
              <w:start w:sz="4.0" w:val="single" w:color="#000000"/>
              <w:top w:sz="4.0" w:val="single" w:color="#000000"/>
              <w:end w:sz="4.0" w:val="single" w:color="#000000"/>
              <w:bottom w:sz="4.0"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70"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tabs>
                <w:tab w:pos="1428" w:val="left"/>
              </w:tabs>
              <w:autoSpaceDE w:val="0"/>
              <w:widowControl/>
              <w:spacing w:line="234" w:lineRule="exact" w:before="0" w:after="0"/>
              <w:ind w:left="80" w:right="0" w:firstLine="0"/>
              <w:jc w:val="left"/>
            </w:pPr>
            <w:r>
              <w:rPr>
                <w:rFonts w:ascii="宋体" w:hAnsi="宋体" w:eastAsia="宋体"/>
                <w:b w:val="0"/>
                <w:i w:val="0"/>
                <w:color w:val="000000"/>
                <w:sz w:val="18"/>
              </w:rPr>
              <w:t>发展战略、声誉与品牌维护专业委员会</w:t>
            </w:r>
            <w:r>
              <w:tab/>
            </w:r>
            <w:r>
              <w:rPr>
                <w:rFonts w:ascii="宋体" w:hAnsi="宋体" w:eastAsia="宋体"/>
                <w:b w:val="0"/>
                <w:i w:val="0"/>
                <w:color w:val="000000"/>
                <w:sz w:val="18"/>
              </w:rPr>
              <w:t xml:space="preserve">委员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70" w:after="0"/>
              <w:ind w:left="0" w:right="0" w:firstLine="0"/>
              <w:jc w:val="center"/>
            </w:pPr>
            <w:r>
              <w:rPr>
                <w:rFonts w:ascii="宋体" w:hAnsi="宋体" w:eastAsia="宋体"/>
                <w:b w:val="0"/>
                <w:i w:val="0"/>
                <w:color w:val="000000"/>
                <w:sz w:val="18"/>
              </w:rPr>
              <w:t>2024.08</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7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70" w:after="0"/>
              <w:ind w:left="0" w:right="342" w:firstLine="0"/>
              <w:jc w:val="right"/>
            </w:pPr>
            <w:r>
              <w:rPr>
                <w:rFonts w:ascii="宋体" w:hAnsi="宋体" w:eastAsia="宋体"/>
                <w:b w:val="0"/>
                <w:i w:val="0"/>
                <w:color w:val="000000"/>
                <w:sz w:val="18"/>
              </w:rPr>
              <w:t xml:space="preserve">否 </w:t>
            </w:r>
          </w:p>
        </w:tc>
      </w:tr>
      <w:tr>
        <w:trPr>
          <w:trHeight w:hRule="exact" w:val="356"/>
        </w:trPr>
        <w:tc>
          <w:tcPr>
            <w:tcW w:type="dxa" w:w="710"/>
            <w:vMerge w:val="restart"/>
            <w:tcBorders>
              <w:start w:sz="4.0" w:val="single" w:color="#000000"/>
              <w:top w:sz="4.0" w:val="single" w:color="#000000"/>
              <w:end w:sz="4.0" w:val="single" w:color="#000000"/>
              <w:bottom w:sz="3.199999999999818" w:val="single" w:color="#000000"/>
            </w:tcBorders>
            <w:shd w:fill="ffffff"/>
            <w:tcMar>
              <w:start w:w="0" w:type="dxa"/>
              <w:end w:w="0" w:type="dxa"/>
            </w:tcMar>
            <w:tcMar>
              <w:start w:w="0" w:type="dxa"/>
              <w:end w:w="0" w:type="dxa"/>
            </w:tcMar>
          </w:tcPr>
          <w:p>
            <w:pPr>
              <w:autoSpaceDN w:val="0"/>
              <w:autoSpaceDE w:val="0"/>
              <w:widowControl/>
              <w:spacing w:line="180" w:lineRule="exact" w:before="260" w:after="0"/>
              <w:ind w:left="170" w:right="0" w:firstLine="0"/>
              <w:jc w:val="left"/>
            </w:pPr>
            <w:r>
              <w:rPr>
                <w:rFonts w:ascii="宋体" w:hAnsi="宋体" w:eastAsia="宋体"/>
                <w:b w:val="0"/>
                <w:i w:val="0"/>
                <w:color w:val="000000"/>
                <w:sz w:val="18"/>
              </w:rPr>
              <w:t xml:space="preserve">赵雪 </w:t>
            </w: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4" w:after="0"/>
              <w:ind w:left="556" w:right="0" w:firstLine="0"/>
              <w:jc w:val="left"/>
            </w:pPr>
            <w:r>
              <w:rPr>
                <w:rFonts w:ascii="宋体" w:hAnsi="宋体" w:eastAsia="宋体"/>
                <w:b w:val="0"/>
                <w:i w:val="0"/>
                <w:color w:val="000000"/>
                <w:sz w:val="18"/>
              </w:rPr>
              <w:t xml:space="preserve">山证国际金融控股有限公司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84" w:after="0"/>
              <w:ind w:left="0" w:right="1160" w:firstLine="0"/>
              <w:jc w:val="right"/>
            </w:pPr>
            <w:r>
              <w:rPr>
                <w:rFonts w:ascii="宋体" w:hAnsi="宋体" w:eastAsia="宋体"/>
                <w:b w:val="0"/>
                <w:i w:val="0"/>
                <w:color w:val="000000"/>
                <w:sz w:val="18"/>
              </w:rPr>
              <w:t xml:space="preserve">副董事长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2024.08</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84" w:after="0"/>
              <w:ind w:left="0" w:right="342" w:firstLine="0"/>
              <w:jc w:val="right"/>
            </w:pPr>
            <w:r>
              <w:rPr>
                <w:rFonts w:ascii="宋体" w:hAnsi="宋体" w:eastAsia="宋体"/>
                <w:b w:val="0"/>
                <w:i w:val="0"/>
                <w:color w:val="000000"/>
                <w:sz w:val="18"/>
              </w:rPr>
              <w:t xml:space="preserve">否 </w:t>
            </w:r>
          </w:p>
        </w:tc>
      </w:tr>
      <w:tr>
        <w:trPr>
          <w:trHeight w:hRule="exact" w:val="356"/>
        </w:trPr>
        <w:tc>
          <w:tcPr>
            <w:tcW w:type="dxa" w:w="1621"/>
            <w:vMerge/>
            <w:tcBorders>
              <w:start w:sz="4.0" w:val="single" w:color="#000000"/>
              <w:top w:sz="4.0" w:val="single" w:color="#000000"/>
              <w:end w:sz="4.0" w:val="single" w:color="#000000"/>
              <w:bottom w:sz="3.199999999999818" w:val="single" w:color="#000000"/>
            </w:tcBorders>
          </w:tcPr>
          <w:p/>
        </w:tc>
        <w:tc>
          <w:tcPr>
            <w:tcW w:type="dxa" w:w="329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80" w:after="0"/>
              <w:ind w:left="736" w:right="0" w:firstLine="0"/>
              <w:jc w:val="left"/>
            </w:pPr>
            <w:r>
              <w:rPr>
                <w:rFonts w:ascii="宋体" w:hAnsi="宋体" w:eastAsia="宋体"/>
                <w:b w:val="0"/>
                <w:i w:val="0"/>
                <w:color w:val="000000"/>
                <w:sz w:val="18"/>
              </w:rPr>
              <w:t xml:space="preserve">格林大华期货有限公司 </w:t>
            </w:r>
          </w:p>
        </w:tc>
        <w:tc>
          <w:tcPr>
            <w:tcW w:type="dxa" w:w="3226"/>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80" w:after="0"/>
              <w:ind w:left="0" w:right="1340" w:firstLine="0"/>
              <w:jc w:val="right"/>
            </w:pPr>
            <w:r>
              <w:rPr>
                <w:rFonts w:ascii="宋体" w:hAnsi="宋体" w:eastAsia="宋体"/>
                <w:b w:val="0"/>
                <w:i w:val="0"/>
                <w:color w:val="000000"/>
                <w:sz w:val="18"/>
              </w:rPr>
              <w:t xml:space="preserve">董事 </w:t>
            </w:r>
          </w:p>
        </w:tc>
        <w:tc>
          <w:tcPr>
            <w:tcW w:type="dxa" w:w="708"/>
            <w:tcBorders>
              <w:start w:sz="3.199999999999818" w:val="single" w:color="#000000"/>
              <w:top w:sz="4.0"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80" w:after="0"/>
              <w:ind w:left="0" w:right="0" w:firstLine="0"/>
              <w:jc w:val="center"/>
            </w:pPr>
            <w:r>
              <w:rPr>
                <w:rFonts w:ascii="宋体" w:hAnsi="宋体" w:eastAsia="宋体"/>
                <w:b w:val="0"/>
                <w:i w:val="0"/>
                <w:color w:val="000000"/>
                <w:sz w:val="18"/>
              </w:rPr>
              <w:t>2024.11</w:t>
            </w:r>
          </w:p>
        </w:tc>
        <w:tc>
          <w:tcPr>
            <w:tcW w:type="dxa" w:w="710"/>
            <w:tcBorders>
              <w:start w:sz="3.200000000000273"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80"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80" w:after="0"/>
              <w:ind w:left="0" w:right="342" w:firstLine="0"/>
              <w:jc w:val="right"/>
            </w:pPr>
            <w:r>
              <w:rPr>
                <w:rFonts w:ascii="宋体" w:hAnsi="宋体" w:eastAsia="宋体"/>
                <w:b w:val="0"/>
                <w:i w:val="0"/>
                <w:color w:val="000000"/>
                <w:sz w:val="18"/>
              </w:rPr>
              <w:t xml:space="preserve">否 </w:t>
            </w:r>
          </w:p>
        </w:tc>
      </w:tr>
      <w:tr>
        <w:trPr>
          <w:trHeight w:hRule="exact" w:val="358"/>
        </w:trPr>
        <w:tc>
          <w:tcPr>
            <w:tcW w:type="dxa" w:w="710"/>
            <w:tcBorders>
              <w:start w:sz="4.0" w:val="single" w:color="#000000"/>
              <w:top w:sz="3.199999999999818"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78" w:right="0" w:firstLine="0"/>
              <w:jc w:val="left"/>
            </w:pPr>
            <w:r>
              <w:rPr>
                <w:rFonts w:ascii="宋体" w:hAnsi="宋体" w:eastAsia="宋体"/>
                <w:b w:val="0"/>
                <w:i w:val="0"/>
                <w:color w:val="000000"/>
                <w:sz w:val="18"/>
              </w:rPr>
              <w:t xml:space="preserve">闫晓华 </w:t>
            </w:r>
          </w:p>
        </w:tc>
        <w:tc>
          <w:tcPr>
            <w:tcW w:type="dxa" w:w="3290"/>
            <w:tcBorders>
              <w:start w:sz="4.0" w:val="single" w:color="#000000"/>
              <w:top w:sz="3.199999999999818"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3.199999999999818"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0" w:right="1340" w:firstLine="0"/>
              <w:jc w:val="right"/>
            </w:pPr>
            <w:r>
              <w:rPr>
                <w:rFonts w:ascii="宋体" w:hAnsi="宋体" w:eastAsia="宋体"/>
                <w:b w:val="0"/>
                <w:i w:val="0"/>
                <w:color w:val="000000"/>
                <w:sz w:val="18"/>
              </w:rPr>
              <w:t xml:space="preserve">监事 </w:t>
            </w:r>
          </w:p>
        </w:tc>
        <w:tc>
          <w:tcPr>
            <w:tcW w:type="dxa" w:w="708"/>
            <w:tcBorders>
              <w:start w:sz="3.199999999999818" w:val="single" w:color="#000000"/>
              <w:top w:sz="3.199999999999818" w:val="single" w:color="#000000"/>
              <w:end w:sz="3.200000000000273"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0" w:right="0" w:firstLine="0"/>
              <w:jc w:val="center"/>
            </w:pPr>
            <w:r>
              <w:rPr>
                <w:rFonts w:ascii="宋体" w:hAnsi="宋体" w:eastAsia="宋体"/>
                <w:b w:val="0"/>
                <w:i w:val="0"/>
                <w:color w:val="000000"/>
                <w:sz w:val="18"/>
              </w:rPr>
              <w:t>2024.08</w:t>
            </w:r>
          </w:p>
        </w:tc>
        <w:tc>
          <w:tcPr>
            <w:tcW w:type="dxa" w:w="710"/>
            <w:tcBorders>
              <w:start w:sz="3.200000000000273" w:val="single" w:color="#000000"/>
              <w:top w:sz="3.199999999999818"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199999999999818"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84" w:after="0"/>
              <w:ind w:left="0" w:right="342" w:firstLine="0"/>
              <w:jc w:val="right"/>
            </w:pPr>
            <w:r>
              <w:rPr>
                <w:rFonts w:ascii="宋体" w:hAnsi="宋体" w:eastAsia="宋体"/>
                <w:b w:val="0"/>
                <w:i w:val="0"/>
                <w:color w:val="000000"/>
                <w:sz w:val="18"/>
              </w:rPr>
              <w:t xml:space="preserve">是 </w:t>
            </w:r>
          </w:p>
        </w:tc>
      </w:tr>
      <w:tr>
        <w:trPr>
          <w:trHeight w:hRule="exact" w:val="340"/>
        </w:trPr>
        <w:tc>
          <w:tcPr>
            <w:tcW w:type="dxa" w:w="710"/>
            <w:vMerge w:val="restart"/>
            <w:tcBorders>
              <w:start w:sz="4.0" w:val="single" w:color="#000000"/>
              <w:top w:sz="3.200000000000273" w:val="single" w:color="#000000"/>
              <w:end w:sz="4.0" w:val="single" w:color="#000000"/>
              <w:bottom w:sz="3.200000000000273" w:val="single" w:color="#000000"/>
            </w:tcBorders>
            <w:shd w:fill="ffffff"/>
            <w:tcMar>
              <w:start w:w="0" w:type="dxa"/>
              <w:end w:w="0" w:type="dxa"/>
            </w:tcMar>
            <w:tcMar>
              <w:start w:w="0" w:type="dxa"/>
              <w:end w:w="0" w:type="dxa"/>
            </w:tcMar>
            <w:tcMar>
              <w:start w:w="0" w:type="dxa"/>
              <w:end w:w="0" w:type="dxa"/>
            </w:tcMar>
          </w:tcPr>
          <w:p>
            <w:pPr>
              <w:autoSpaceDN w:val="0"/>
              <w:autoSpaceDE w:val="0"/>
              <w:widowControl/>
              <w:spacing w:line="180" w:lineRule="exact" w:before="414" w:after="0"/>
              <w:ind w:left="78" w:right="0" w:firstLine="0"/>
              <w:jc w:val="left"/>
            </w:pPr>
            <w:r>
              <w:rPr>
                <w:rFonts w:ascii="宋体" w:hAnsi="宋体" w:eastAsia="宋体"/>
                <w:b w:val="0"/>
                <w:i w:val="0"/>
                <w:color w:val="000000"/>
                <w:sz w:val="18"/>
              </w:rPr>
              <w:t xml:space="preserve">孙嘉锋 </w:t>
            </w:r>
          </w:p>
        </w:tc>
        <w:tc>
          <w:tcPr>
            <w:tcW w:type="dxa" w:w="3290"/>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920" w:firstLine="0"/>
              <w:jc w:val="right"/>
            </w:pPr>
            <w:r>
              <w:rPr>
                <w:rFonts w:ascii="宋体" w:hAnsi="宋体" w:eastAsia="宋体"/>
                <w:b w:val="0"/>
                <w:i w:val="0"/>
                <w:color w:val="000000"/>
                <w:sz w:val="18"/>
              </w:rPr>
              <w:t xml:space="preserve">中国证券业协会 </w:t>
            </w:r>
          </w:p>
        </w:tc>
        <w:tc>
          <w:tcPr>
            <w:tcW w:type="dxa" w:w="3226"/>
            <w:tcBorders>
              <w:start w:sz="4.0"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4" w:after="0"/>
              <w:ind w:left="620" w:right="0" w:firstLine="0"/>
              <w:jc w:val="left"/>
            </w:pPr>
            <w:r>
              <w:rPr>
                <w:rFonts w:ascii="宋体" w:hAnsi="宋体" w:eastAsia="宋体"/>
                <w:b w:val="0"/>
                <w:i w:val="0"/>
                <w:color w:val="000000"/>
                <w:sz w:val="18"/>
              </w:rPr>
              <w:t xml:space="preserve">证券科技专业委员会委员 </w:t>
            </w:r>
          </w:p>
        </w:tc>
        <w:tc>
          <w:tcPr>
            <w:tcW w:type="dxa" w:w="708"/>
            <w:tcBorders>
              <w:start w:sz="3.199999999999818" w:val="single" w:color="#000000"/>
              <w:top w:sz="3.200000000000273"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2023.06</w:t>
            </w:r>
          </w:p>
        </w:tc>
        <w:tc>
          <w:tcPr>
            <w:tcW w:type="dxa" w:w="710"/>
            <w:tcBorders>
              <w:start w:sz="3.200000000000273"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200000000000273" w:val="single" w:color="#000000"/>
              <w:end w:sz="4.0" w:val="single" w:color="#000000"/>
              <w:bottom w:sz="3.200000000000273" w:val="single" w:color="#000000"/>
            </w:tcBorders>
          </w:tcPr>
          <w:p/>
        </w:tc>
        <w:tc>
          <w:tcPr>
            <w:tcW w:type="dxa" w:w="329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736" w:right="0" w:firstLine="0"/>
              <w:jc w:val="left"/>
            </w:pPr>
            <w:r>
              <w:rPr>
                <w:rFonts w:ascii="宋体" w:hAnsi="宋体" w:eastAsia="宋体"/>
                <w:b w:val="0"/>
                <w:i w:val="0"/>
                <w:color w:val="000000"/>
                <w:sz w:val="18"/>
              </w:rPr>
              <w:t xml:space="preserve">中德证券有限责任公司 </w:t>
            </w:r>
          </w:p>
        </w:tc>
        <w:tc>
          <w:tcPr>
            <w:tcW w:type="dxa" w:w="3226"/>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72" w:after="0"/>
              <w:ind w:left="0" w:right="1068" w:firstLine="0"/>
              <w:jc w:val="right"/>
            </w:pPr>
            <w:r>
              <w:rPr>
                <w:rFonts w:ascii="宋体" w:hAnsi="宋体" w:eastAsia="宋体"/>
                <w:b w:val="0"/>
                <w:i w:val="0"/>
                <w:color w:val="000000"/>
                <w:sz w:val="18"/>
              </w:rPr>
              <w:t xml:space="preserve">首席信息官 </w:t>
            </w:r>
          </w:p>
        </w:tc>
        <w:tc>
          <w:tcPr>
            <w:tcW w:type="dxa" w:w="708"/>
            <w:tcBorders>
              <w:start w:sz="3.199999999999818"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center"/>
            </w:pPr>
            <w:r>
              <w:rPr>
                <w:rFonts w:ascii="宋体" w:hAnsi="宋体" w:eastAsia="宋体"/>
                <w:b w:val="0"/>
                <w:i w:val="0"/>
                <w:color w:val="000000"/>
                <w:sz w:val="18"/>
              </w:rPr>
              <w:t>2024.04</w:t>
            </w:r>
          </w:p>
        </w:tc>
        <w:tc>
          <w:tcPr>
            <w:tcW w:type="dxa" w:w="710"/>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72" w:after="0"/>
              <w:ind w:left="0" w:right="342" w:firstLine="0"/>
              <w:jc w:val="right"/>
            </w:pPr>
            <w:r>
              <w:rPr>
                <w:rFonts w:ascii="宋体" w:hAnsi="宋体" w:eastAsia="宋体"/>
                <w:b w:val="0"/>
                <w:i w:val="0"/>
                <w:color w:val="000000"/>
                <w:sz w:val="18"/>
              </w:rPr>
              <w:t xml:space="preserve">否 </w:t>
            </w:r>
          </w:p>
        </w:tc>
      </w:tr>
      <w:tr>
        <w:trPr>
          <w:trHeight w:hRule="exact" w:val="340"/>
        </w:trPr>
        <w:tc>
          <w:tcPr>
            <w:tcW w:type="dxa" w:w="1621"/>
            <w:vMerge/>
            <w:tcBorders>
              <w:start w:sz="4.0" w:val="single" w:color="#000000"/>
              <w:top w:sz="3.200000000000273" w:val="single" w:color="#000000"/>
              <w:end w:sz="4.0" w:val="single" w:color="#000000"/>
              <w:bottom w:sz="3.200000000000273" w:val="single" w:color="#000000"/>
            </w:tcBorders>
          </w:tcPr>
          <w:p/>
        </w:tc>
        <w:tc>
          <w:tcPr>
            <w:tcW w:type="dxa" w:w="3290"/>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376" w:right="0" w:firstLine="0"/>
              <w:jc w:val="left"/>
            </w:pPr>
            <w:r>
              <w:rPr>
                <w:rFonts w:ascii="宋体" w:hAnsi="宋体" w:eastAsia="宋体"/>
                <w:b w:val="0"/>
                <w:i w:val="0"/>
                <w:color w:val="000000"/>
                <w:sz w:val="18"/>
              </w:rPr>
              <w:t xml:space="preserve">山证（上海）资产管理有限公司 </w:t>
            </w:r>
          </w:p>
        </w:tc>
        <w:tc>
          <w:tcPr>
            <w:tcW w:type="dxa" w:w="3226"/>
            <w:tcBorders>
              <w:start w:sz="4.0"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888" w:firstLine="0"/>
              <w:jc w:val="right"/>
            </w:pPr>
            <w:r>
              <w:rPr>
                <w:rFonts w:ascii="宋体" w:hAnsi="宋体" w:eastAsia="宋体"/>
                <w:b w:val="0"/>
                <w:i w:val="0"/>
                <w:color w:val="000000"/>
                <w:sz w:val="18"/>
              </w:rPr>
              <w:t xml:space="preserve">信息技术负责人 </w:t>
            </w:r>
          </w:p>
        </w:tc>
        <w:tc>
          <w:tcPr>
            <w:tcW w:type="dxa" w:w="708"/>
            <w:tcBorders>
              <w:start w:sz="3.199999999999818" w:val="single" w:color="#000000"/>
              <w:top w:sz="4.0" w:val="single" w:color="#000000"/>
              <w:end w:sz="3.200000000000273"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0" w:firstLine="0"/>
              <w:jc w:val="center"/>
            </w:pPr>
            <w:r>
              <w:rPr>
                <w:rFonts w:ascii="宋体" w:hAnsi="宋体" w:eastAsia="宋体"/>
                <w:b w:val="0"/>
                <w:i w:val="0"/>
                <w:color w:val="000000"/>
                <w:sz w:val="18"/>
              </w:rPr>
              <w:t>2025.04</w:t>
            </w:r>
          </w:p>
        </w:tc>
        <w:tc>
          <w:tcPr>
            <w:tcW w:type="dxa" w:w="710"/>
            <w:tcBorders>
              <w:start w:sz="3.200000000000273"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 至今 </w:t>
            </w:r>
          </w:p>
        </w:tc>
        <w:tc>
          <w:tcPr>
            <w:tcW w:type="dxa" w:w="105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74" w:after="0"/>
              <w:ind w:left="0" w:right="342" w:firstLine="0"/>
              <w:jc w:val="right"/>
            </w:pPr>
            <w:r>
              <w:rPr>
                <w:rFonts w:ascii="宋体" w:hAnsi="宋体" w:eastAsia="宋体"/>
                <w:b w:val="0"/>
                <w:i w:val="0"/>
                <w:color w:val="000000"/>
                <w:sz w:val="18"/>
              </w:rPr>
              <w:t xml:space="preserve">否 </w:t>
            </w:r>
          </w:p>
        </w:tc>
      </w:tr>
      <w:tr>
        <w:trPr>
          <w:trHeight w:hRule="exact" w:val="942"/>
        </w:trPr>
        <w:tc>
          <w:tcPr>
            <w:tcW w:type="dxa" w:w="710"/>
            <w:tcBorders>
              <w:start w:sz="4.0" w:val="single" w:color="#000000"/>
              <w:top w:sz="3.200000000000273" w:val="single" w:color="#000000"/>
              <w:end w:sz="4.0" w:val="single" w:color="#000000"/>
              <w:bottom w:sz="4.0" w:val="single" w:color="#000000"/>
            </w:tcBorders>
            <w:shd w:fill="d2d2d2"/>
            <w:tcMar>
              <w:start w:w="0" w:type="dxa"/>
              <w:end w:w="0" w:type="dxa"/>
            </w:tcMar>
          </w:tcPr>
          <w:p>
            <w:pPr>
              <w:autoSpaceDN w:val="0"/>
              <w:autoSpaceDE w:val="0"/>
              <w:widowControl/>
              <w:spacing w:line="226" w:lineRule="exact" w:before="0" w:after="0"/>
              <w:ind w:left="24" w:right="46" w:firstLine="0"/>
              <w:jc w:val="both"/>
            </w:pPr>
            <w:r>
              <w:rPr>
                <w:rFonts w:ascii="宋体" w:hAnsi="宋体" w:eastAsia="宋体"/>
                <w:b w:val="0"/>
                <w:i w:val="0"/>
                <w:color w:val="000000"/>
                <w:sz w:val="18"/>
              </w:rPr>
              <w:t>在其他</w:t>
            </w:r>
            <w:r>
              <w:br/>
            </w:r>
            <w:r>
              <w:rPr>
                <w:rFonts w:ascii="宋体" w:hAnsi="宋体" w:eastAsia="宋体"/>
                <w:b w:val="0"/>
                <w:i w:val="0"/>
                <w:color w:val="000000"/>
                <w:sz w:val="18"/>
              </w:rPr>
              <w:t>单位任</w:t>
            </w:r>
            <w:r>
              <w:br/>
            </w:r>
            <w:r>
              <w:rPr>
                <w:rFonts w:ascii="宋体" w:hAnsi="宋体" w:eastAsia="宋体"/>
                <w:b w:val="0"/>
                <w:i w:val="0"/>
                <w:color w:val="000000"/>
                <w:sz w:val="18"/>
              </w:rPr>
              <w:t>职情况</w:t>
            </w:r>
            <w:r>
              <w:br/>
            </w:r>
            <w:r>
              <w:rPr>
                <w:rFonts w:ascii="宋体" w:hAnsi="宋体" w:eastAsia="宋体"/>
                <w:b w:val="0"/>
                <w:i w:val="0"/>
                <w:color w:val="000000"/>
                <w:sz w:val="18"/>
              </w:rPr>
              <w:t xml:space="preserve">的说明 </w:t>
            </w:r>
          </w:p>
        </w:tc>
        <w:tc>
          <w:tcPr>
            <w:tcW w:type="dxa" w:w="8988"/>
            <w:gridSpan w:val="5"/>
            <w:tcBorders>
              <w:start w:sz="4.0" w:val="single" w:color="#000000"/>
              <w:top w:sz="3.200000000000273"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76" w:after="0"/>
              <w:ind w:left="0" w:right="4310" w:firstLine="0"/>
              <w:jc w:val="right"/>
            </w:pPr>
            <w:r>
              <w:rPr>
                <w:rFonts w:ascii="宋体" w:hAnsi="宋体" w:eastAsia="宋体"/>
                <w:b w:val="0"/>
                <w:i w:val="0"/>
                <w:color w:val="000000"/>
                <w:sz w:val="18"/>
              </w:rPr>
              <w:t xml:space="preserve">无 </w:t>
            </w:r>
          </w:p>
        </w:tc>
      </w:tr>
    </w:tbl>
    <w:p>
      <w:pPr>
        <w:autoSpaceDN w:val="0"/>
        <w:autoSpaceDE w:val="0"/>
        <w:widowControl/>
        <w:spacing w:line="354" w:lineRule="exact" w:before="648" w:after="0"/>
        <w:ind w:left="34" w:right="2880" w:firstLine="0"/>
        <w:jc w:val="left"/>
      </w:pPr>
      <w:r>
        <w:rPr>
          <w:rFonts w:ascii="宋体" w:hAnsi="宋体" w:eastAsia="宋体"/>
          <w:b w:val="0"/>
          <w:i w:val="0"/>
          <w:color w:val="000000"/>
          <w:sz w:val="18"/>
        </w:rPr>
        <w:t xml:space="preserve">公司现任及报告期内离任董事、监事和高级管理人员近三年证券监管机构处罚的情况 </w:t>
      </w:r>
      <w:r>
        <w:rPr>
          <w:rFonts w:ascii="宋体" w:hAnsi="宋体" w:eastAsia="宋体"/>
          <w:b w:val="0"/>
          <w:i w:val="0"/>
          <w:color w:val="000000"/>
          <w:sz w:val="18"/>
        </w:rPr>
        <w:t xml:space="preserve">□适用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不适用 </w:t>
      </w:r>
    </w:p>
    <w:p>
      <w:pPr>
        <w:autoSpaceDN w:val="0"/>
        <w:autoSpaceDE w:val="0"/>
        <w:widowControl/>
        <w:spacing w:line="210" w:lineRule="exact" w:before="356" w:after="0"/>
        <w:ind w:left="34" w:right="0" w:firstLine="0"/>
        <w:jc w:val="left"/>
      </w:pPr>
      <w:r>
        <w:rPr>
          <w:rFonts w:ascii="宋体" w:hAnsi="宋体" w:eastAsia="宋体"/>
          <w:b w:val="0"/>
          <w:i w:val="0"/>
          <w:color w:val="000000"/>
          <w:sz w:val="21"/>
        </w:rPr>
        <w:t xml:space="preserve">3、董事、监事、高级管理人员报酬情况 </w:t>
      </w:r>
    </w:p>
    <w:p>
      <w:pPr>
        <w:autoSpaceDN w:val="0"/>
        <w:tabs>
          <w:tab w:pos="454" w:val="left"/>
        </w:tabs>
        <w:autoSpaceDE w:val="0"/>
        <w:widowControl/>
        <w:spacing w:line="460" w:lineRule="exact" w:before="262" w:after="0"/>
        <w:ind w:left="34" w:right="144" w:firstLine="0"/>
        <w:jc w:val="left"/>
      </w:pPr>
      <w:r>
        <w:tab/>
      </w:r>
      <w:r>
        <w:rPr>
          <w:rFonts w:ascii="宋体" w:hAnsi="宋体" w:eastAsia="宋体"/>
          <w:b w:val="0"/>
          <w:i w:val="0"/>
          <w:color w:val="000000"/>
          <w:sz w:val="21"/>
        </w:rPr>
        <w:t>公司董事、监事薪酬方案由公司董事会、监事会拟定，递交股东大会审议批准后执行。高级管理人</w:t>
      </w:r>
      <w:r>
        <w:rPr>
          <w:rFonts w:ascii="宋体" w:hAnsi="宋体" w:eastAsia="宋体"/>
          <w:b w:val="0"/>
          <w:i w:val="0"/>
          <w:color w:val="000000"/>
          <w:sz w:val="21"/>
        </w:rPr>
        <w:t xml:space="preserve">员绩效分配方案由董事会批准后执行。 </w:t>
      </w:r>
    </w:p>
    <w:p>
      <w:pPr>
        <w:autoSpaceDN w:val="0"/>
        <w:autoSpaceDE w:val="0"/>
        <w:widowControl/>
        <w:spacing w:line="460" w:lineRule="exact" w:before="0" w:after="0"/>
        <w:ind w:left="34" w:right="0" w:firstLine="420"/>
        <w:jc w:val="left"/>
      </w:pPr>
      <w:r>
        <w:rPr>
          <w:rFonts w:ascii="宋体" w:hAnsi="宋体" w:eastAsia="宋体"/>
          <w:b w:val="0"/>
          <w:i w:val="0"/>
          <w:color w:val="000000"/>
          <w:sz w:val="21"/>
        </w:rPr>
        <w:t>公司董事、监事津贴由自身工作性质并参照行业上市公司水平确定，内部董事、职工监事不领取董</w:t>
      </w:r>
      <w:r>
        <w:rPr>
          <w:rFonts w:ascii="宋体" w:hAnsi="宋体" w:eastAsia="宋体"/>
          <w:b w:val="0"/>
          <w:i w:val="0"/>
          <w:color w:val="000000"/>
          <w:sz w:val="21"/>
        </w:rPr>
        <w:t>事、监事津贴。内部董事、职工监事、高级管理人员的薪酬依据其在公司担任的具体职务和工作内容，</w:t>
      </w:r>
      <w:r>
        <w:rPr>
          <w:rFonts w:ascii="宋体" w:hAnsi="宋体" w:eastAsia="宋体"/>
          <w:b w:val="0"/>
          <w:i w:val="0"/>
          <w:color w:val="000000"/>
          <w:sz w:val="21"/>
        </w:rPr>
        <w:t>按照公司《薪酬管理办法》《高级管理人员薪酬与考核管理制度》确定，并按公司相关制度和考核结果执</w:t>
      </w:r>
      <w:r>
        <w:rPr>
          <w:rFonts w:ascii="宋体" w:hAnsi="宋体" w:eastAsia="宋体"/>
          <w:b w:val="0"/>
          <w:i w:val="0"/>
          <w:color w:val="000000"/>
          <w:sz w:val="21"/>
        </w:rPr>
        <w:t xml:space="preserve">行。相关薪酬在代扣个人所得税后，定期支付至个人账户。 </w:t>
      </w:r>
    </w:p>
    <w:p>
      <w:pPr>
        <w:autoSpaceDN w:val="0"/>
        <w:autoSpaceDE w:val="0"/>
        <w:widowControl/>
        <w:spacing w:line="458" w:lineRule="exact" w:before="4" w:after="0"/>
        <w:ind w:left="34" w:right="0" w:firstLine="420"/>
        <w:jc w:val="left"/>
      </w:pPr>
      <w:r>
        <w:rPr>
          <w:rFonts w:ascii="宋体" w:hAnsi="宋体" w:eastAsia="宋体"/>
          <w:b w:val="0"/>
          <w:i w:val="0"/>
          <w:color w:val="000000"/>
          <w:sz w:val="21"/>
        </w:rPr>
        <w:t>公司董事会及薪酬、考核与提名委员会结合经营情况，审议高级管理人员的年度考核结果，确定奖</w:t>
      </w:r>
      <w:r>
        <w:rPr>
          <w:rFonts w:ascii="宋体" w:hAnsi="宋体" w:eastAsia="宋体"/>
          <w:b w:val="0"/>
          <w:i w:val="0"/>
          <w:color w:val="000000"/>
          <w:sz w:val="21"/>
        </w:rPr>
        <w:t>金发放水平，并对薪酬实际发放情况进行监督。高级管理人员每年绩效薪酬40%以上的部分延期支付，且</w:t>
      </w:r>
      <w:r>
        <w:rPr>
          <w:rFonts w:ascii="宋体" w:hAnsi="宋体" w:eastAsia="宋体"/>
          <w:b w:val="0"/>
          <w:i w:val="0"/>
          <w:color w:val="000000"/>
          <w:sz w:val="21"/>
        </w:rPr>
        <w:t xml:space="preserve">递延期限不少于3 年。 </w:t>
      </w:r>
    </w:p>
    <w:p>
      <w:pPr>
        <w:autoSpaceDN w:val="0"/>
        <w:tabs>
          <w:tab w:pos="8436" w:val="left"/>
        </w:tabs>
        <w:autoSpaceDE w:val="0"/>
        <w:widowControl/>
        <w:spacing w:line="324" w:lineRule="exact" w:before="138" w:after="50"/>
        <w:ind w:left="454" w:right="144" w:firstLine="0"/>
        <w:jc w:val="left"/>
      </w:pPr>
      <w:r>
        <w:rPr>
          <w:rFonts w:ascii="宋体" w:hAnsi="宋体" w:eastAsia="宋体"/>
          <w:b w:val="0"/>
          <w:i w:val="0"/>
          <w:color w:val="000000"/>
          <w:sz w:val="21"/>
        </w:rPr>
        <w:t xml:space="preserve">公司报告期内董事、监事和高级管理人员报酬情况如下： </w:t>
      </w:r>
      <w:r>
        <w:br/>
      </w:r>
      <w:r>
        <w:tab/>
      </w:r>
      <w:r>
        <w:rPr>
          <w:rFonts w:ascii="宋体" w:hAnsi="宋体" w:eastAsia="宋体"/>
          <w:b w:val="0"/>
          <w:i w:val="0"/>
          <w:color w:val="000000"/>
          <w:sz w:val="21"/>
        </w:rPr>
        <w:t>单位：万元</w:t>
      </w:r>
    </w:p>
    <w:tbl>
      <w:tblPr>
        <w:tblW w:type="auto" w:w="0"/>
        <w:tblLayout w:type="fixed"/>
        <w:tblLook w:firstColumn="1" w:firstRow="1" w:lastColumn="0" w:lastRow="0" w:noHBand="0" w:noVBand="1" w:val="04A0"/>
        <w:tblInd w:w="90.0" w:type="dxa"/>
      </w:tblPr>
      <w:tblGrid>
        <w:gridCol w:w="1390"/>
        <w:gridCol w:w="1390"/>
        <w:gridCol w:w="1390"/>
        <w:gridCol w:w="1390"/>
        <w:gridCol w:w="1390"/>
        <w:gridCol w:w="1390"/>
        <w:gridCol w:w="1390"/>
      </w:tblGrid>
      <w:tr>
        <w:trPr>
          <w:trHeight w:hRule="exact" w:val="412"/>
        </w:trPr>
        <w:tc>
          <w:tcPr>
            <w:tcW w:type="dxa" w:w="920"/>
            <w:tcBorders>
              <w:start w:sz="4.0" w:val="single" w:color="#000000"/>
              <w:top w:sz="3.199999999999818" w:val="single" w:color="#000000"/>
              <w:end w:sz="3.2000000000000455" w:val="single" w:color="#000000"/>
              <w:bottom w:sz="4.0" w:val="single" w:color="#000000"/>
            </w:tcBorders>
            <w:shd w:fill="d2d2d2"/>
            <w:tcMar>
              <w:start w:w="0" w:type="dxa"/>
              <w:end w:w="0" w:type="dxa"/>
            </w:tcMar>
          </w:tcPr>
          <w:p>
            <w:pPr>
              <w:autoSpaceDN w:val="0"/>
              <w:autoSpaceDE w:val="0"/>
              <w:widowControl/>
              <w:spacing w:line="180" w:lineRule="exact" w:before="144" w:after="0"/>
              <w:ind w:left="182" w:right="0" w:firstLine="0"/>
              <w:jc w:val="left"/>
            </w:pPr>
            <w:r>
              <w:rPr>
                <w:rFonts w:ascii="宋体" w:hAnsi="宋体" w:eastAsia="宋体"/>
                <w:b w:val="0"/>
                <w:i w:val="0"/>
                <w:color w:val="000000"/>
                <w:sz w:val="18"/>
              </w:rPr>
              <w:t xml:space="preserve">姓  名 </w:t>
            </w:r>
          </w:p>
        </w:tc>
        <w:tc>
          <w:tcPr>
            <w:tcW w:type="dxa" w:w="772"/>
            <w:tcBorders>
              <w:start w:sz="3.2000000000000455"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44" w:after="0"/>
              <w:ind w:left="0" w:right="110" w:firstLine="0"/>
              <w:jc w:val="right"/>
            </w:pPr>
            <w:r>
              <w:rPr>
                <w:rFonts w:ascii="宋体" w:hAnsi="宋体" w:eastAsia="宋体"/>
                <w:b w:val="0"/>
                <w:i w:val="0"/>
                <w:color w:val="000000"/>
                <w:sz w:val="18"/>
              </w:rPr>
              <w:t xml:space="preserve">性别 </w:t>
            </w:r>
          </w:p>
        </w:tc>
        <w:tc>
          <w:tcPr>
            <w:tcW w:type="dxa" w:w="770"/>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44" w:after="0"/>
              <w:ind w:left="0" w:right="108" w:firstLine="0"/>
              <w:jc w:val="right"/>
            </w:pPr>
            <w:r>
              <w:rPr>
                <w:rFonts w:ascii="宋体" w:hAnsi="宋体" w:eastAsia="宋体"/>
                <w:b w:val="0"/>
                <w:i w:val="0"/>
                <w:color w:val="000000"/>
                <w:sz w:val="18"/>
              </w:rPr>
              <w:t xml:space="preserve">年龄 </w:t>
            </w:r>
          </w:p>
        </w:tc>
        <w:tc>
          <w:tcPr>
            <w:tcW w:type="dxa" w:w="2550"/>
            <w:tcBorders>
              <w:start w:sz="4.0"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44" w:after="0"/>
              <w:ind w:left="0" w:right="1000" w:firstLine="0"/>
              <w:jc w:val="right"/>
            </w:pPr>
            <w:r>
              <w:rPr>
                <w:rFonts w:ascii="宋体" w:hAnsi="宋体" w:eastAsia="宋体"/>
                <w:b w:val="0"/>
                <w:i w:val="0"/>
                <w:color w:val="000000"/>
                <w:sz w:val="18"/>
              </w:rPr>
              <w:t xml:space="preserve">职务 </w:t>
            </w:r>
          </w:p>
        </w:tc>
        <w:tc>
          <w:tcPr>
            <w:tcW w:type="dxa" w:w="932"/>
            <w:tcBorders>
              <w:start w:sz="4.0" w:val="single" w:color="#000000"/>
              <w:top w:sz="3.199999999999818"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144" w:after="0"/>
              <w:ind w:left="98" w:right="0" w:firstLine="0"/>
              <w:jc w:val="left"/>
            </w:pPr>
            <w:r>
              <w:rPr>
                <w:rFonts w:ascii="宋体" w:hAnsi="宋体" w:eastAsia="宋体"/>
                <w:b w:val="0"/>
                <w:i w:val="0"/>
                <w:color w:val="000000"/>
                <w:sz w:val="18"/>
              </w:rPr>
              <w:t xml:space="preserve">任职状态 </w:t>
            </w:r>
          </w:p>
        </w:tc>
        <w:tc>
          <w:tcPr>
            <w:tcW w:type="dxa" w:w="2268"/>
            <w:tcBorders>
              <w:start w:sz="3.199999999999818" w:val="single" w:color="#000000"/>
              <w:top w:sz="3.199999999999818"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44" w:after="0"/>
              <w:ind w:left="46" w:right="0" w:firstLine="0"/>
              <w:jc w:val="left"/>
            </w:pPr>
            <w:r>
              <w:rPr>
                <w:rFonts w:ascii="宋体" w:hAnsi="宋体" w:eastAsia="宋体"/>
                <w:b w:val="0"/>
                <w:i w:val="0"/>
                <w:color w:val="000000"/>
                <w:sz w:val="18"/>
              </w:rPr>
              <w:t xml:space="preserve">从公司获得的税前报酬总额 </w:t>
            </w:r>
          </w:p>
        </w:tc>
        <w:tc>
          <w:tcPr>
            <w:tcW w:type="dxa" w:w="1314"/>
            <w:tcBorders>
              <w:start w:sz="4.0" w:val="single" w:color="#000000"/>
              <w:top w:sz="3.199999999999818"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是否在公司关</w:t>
            </w:r>
          </w:p>
        </w:tc>
      </w:tr>
    </w:tbl>
    <w:p>
      <w:pPr>
        <w:autoSpaceDN w:val="0"/>
        <w:autoSpaceDE w:val="0"/>
        <w:widowControl/>
        <w:spacing w:line="197" w:lineRule="auto" w:before="546" w:after="0"/>
        <w:ind w:left="0" w:right="0" w:firstLine="0"/>
        <w:jc w:val="center"/>
      </w:pPr>
      <w:r>
        <w:rPr>
          <w:rFonts w:ascii="Calibri" w:hAnsi="Calibri" w:eastAsia="Calibri"/>
          <w:b w:val="0"/>
          <w:i w:val="0"/>
          <w:color w:val="000000"/>
          <w:sz w:val="18"/>
        </w:rPr>
        <w:t xml:space="preserve">85 </w:t>
      </w:r>
    </w:p>
    <w:p>
      <w:pPr>
        <w:sectPr>
          <w:type w:val="continuous"/>
          <w:pgSz w:w="11904" w:h="16841"/>
          <w:pgMar w:top="424" w:right="1076" w:bottom="446" w:left="1100"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8" name="Picture 8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85.99999999999994" w:type="dxa"/>
      </w:tblPr>
      <w:tblGrid>
        <w:gridCol w:w="1388"/>
        <w:gridCol w:w="1388"/>
        <w:gridCol w:w="1388"/>
        <w:gridCol w:w="1388"/>
        <w:gridCol w:w="1388"/>
        <w:gridCol w:w="1388"/>
        <w:gridCol w:w="1388"/>
      </w:tblGrid>
      <w:tr>
        <w:trPr>
          <w:trHeight w:hRule="exact" w:val="404"/>
        </w:trPr>
        <w:tc>
          <w:tcPr>
            <w:tcW w:type="dxa" w:w="920"/>
            <w:tcBorders>
              <w:start w:sz="4.0" w:val="single" w:color="#000000"/>
              <w:top w:sz="5.600000000000023" w:val="single" w:color="#000000"/>
              <w:end w:sz="3.2000000000000455" w:val="single" w:color="#000000"/>
              <w:bottom w:sz="4.0" w:val="single" w:color="#000000"/>
            </w:tcBorders>
            <w:shd w:fill="d2d2d2"/>
            <w:tcMar>
              <w:start w:w="0" w:type="dxa"/>
              <w:end w:w="0" w:type="dxa"/>
            </w:tcMar>
          </w:tcPr>
          <w:p/>
        </w:tc>
        <w:tc>
          <w:tcPr>
            <w:tcW w:type="dxa" w:w="772"/>
            <w:tcBorders>
              <w:start w:sz="3.2000000000000455" w:val="single" w:color="#000000"/>
              <w:top w:sz="5.600000000000023" w:val="single" w:color="#000000"/>
              <w:end w:sz="4.0" w:val="single" w:color="#000000"/>
              <w:bottom w:sz="4.0" w:val="single" w:color="#000000"/>
            </w:tcBorders>
            <w:shd w:fill="d2d2d2"/>
            <w:tcMar>
              <w:start w:w="0" w:type="dxa"/>
              <w:end w:w="0" w:type="dxa"/>
            </w:tcMar>
          </w:tcPr>
          <w:p/>
        </w:tc>
        <w:tc>
          <w:tcPr>
            <w:tcW w:type="dxa" w:w="770"/>
            <w:tcBorders>
              <w:start w:sz="4.0" w:val="single" w:color="#000000"/>
              <w:top w:sz="5.600000000000023" w:val="single" w:color="#000000"/>
              <w:end w:sz="4.0" w:val="single" w:color="#000000"/>
              <w:bottom w:sz="4.0" w:val="single" w:color="#000000"/>
            </w:tcBorders>
            <w:shd w:fill="d2d2d2"/>
            <w:tcMar>
              <w:start w:w="0" w:type="dxa"/>
              <w:end w:w="0" w:type="dxa"/>
            </w:tcMar>
          </w:tcPr>
          <w:p/>
        </w:tc>
        <w:tc>
          <w:tcPr>
            <w:tcW w:type="dxa" w:w="2550"/>
            <w:tcBorders>
              <w:start w:sz="4.0" w:val="single" w:color="#000000"/>
              <w:top w:sz="5.600000000000023" w:val="single" w:color="#000000"/>
              <w:end w:sz="4.0" w:val="single" w:color="#000000"/>
              <w:bottom w:sz="4.0" w:val="single" w:color="#000000"/>
            </w:tcBorders>
            <w:shd w:fill="d2d2d2"/>
            <w:tcMar>
              <w:start w:w="0" w:type="dxa"/>
              <w:end w:w="0" w:type="dxa"/>
            </w:tcMar>
          </w:tcPr>
          <w:p/>
        </w:tc>
        <w:tc>
          <w:tcPr>
            <w:tcW w:type="dxa" w:w="932"/>
            <w:tcBorders>
              <w:start w:sz="4.0" w:val="single" w:color="#000000"/>
              <w:top w:sz="5.600000000000023" w:val="single" w:color="#000000"/>
              <w:end w:sz="3.199999999999818" w:val="single" w:color="#000000"/>
              <w:bottom w:sz="4.0" w:val="single" w:color="#000000"/>
            </w:tcBorders>
            <w:shd w:fill="d2d2d2"/>
            <w:tcMar>
              <w:start w:w="0" w:type="dxa"/>
              <w:end w:w="0" w:type="dxa"/>
            </w:tcMar>
          </w:tcPr>
          <w:p/>
        </w:tc>
        <w:tc>
          <w:tcPr>
            <w:tcW w:type="dxa" w:w="2268"/>
            <w:tcBorders>
              <w:start w:sz="3.199999999999818" w:val="single" w:color="#000000"/>
              <w:top w:sz="5.600000000000023" w:val="single" w:color="#000000"/>
              <w:end w:sz="4.0" w:val="single" w:color="#000000"/>
              <w:bottom w:sz="4.0" w:val="single" w:color="#000000"/>
            </w:tcBorders>
            <w:shd w:fill="d2d2d2"/>
            <w:tcMar>
              <w:start w:w="0" w:type="dxa"/>
              <w:end w:w="0" w:type="dxa"/>
            </w:tcMar>
          </w:tcPr>
          <w:p/>
        </w:tc>
        <w:tc>
          <w:tcPr>
            <w:tcW w:type="dxa" w:w="1314"/>
            <w:tcBorders>
              <w:start w:sz="4.0" w:val="single" w:color="#000000"/>
              <w:top w:sz="5.600000000000023" w:val="single" w:color="#000000"/>
              <w:end w:sz="3.199999999999818" w:val="single" w:color="#000000"/>
              <w:bottom w:sz="4.0" w:val="single" w:color="#000000"/>
            </w:tcBorders>
            <w:shd w:fill="d2d2d2"/>
            <w:tcMar>
              <w:start w:w="0" w:type="dxa"/>
              <w:end w:w="0" w:type="dxa"/>
            </w:tcMar>
          </w:tcPr>
          <w:p>
            <w:pPr>
              <w:autoSpaceDN w:val="0"/>
              <w:autoSpaceDE w:val="0"/>
              <w:widowControl/>
              <w:spacing w:line="180" w:lineRule="exact" w:before="98" w:after="0"/>
              <w:ind w:left="110" w:right="0" w:firstLine="0"/>
              <w:jc w:val="left"/>
            </w:pPr>
            <w:r>
              <w:rPr>
                <w:rFonts w:ascii="宋体" w:hAnsi="宋体" w:eastAsia="宋体"/>
                <w:b w:val="0"/>
                <w:i w:val="0"/>
                <w:color w:val="000000"/>
                <w:sz w:val="18"/>
              </w:rPr>
              <w:t xml:space="preserve">联方获取报酬 </w:t>
            </w:r>
          </w:p>
        </w:tc>
      </w:tr>
      <w:tr>
        <w:trPr>
          <w:trHeight w:hRule="exact" w:val="410"/>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侯  巍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52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102" w:right="0" w:firstLine="0"/>
              <w:jc w:val="left"/>
            </w:pPr>
            <w:r>
              <w:rPr>
                <w:rFonts w:ascii="宋体" w:hAnsi="宋体" w:eastAsia="宋体"/>
                <w:b w:val="0"/>
                <w:i w:val="0"/>
                <w:color w:val="000000"/>
                <w:sz w:val="18"/>
              </w:rPr>
              <w:t xml:space="preserve">董事长、执行委员会主任委员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是 </w:t>
            </w:r>
          </w:p>
        </w:tc>
      </w:tr>
      <w:tr>
        <w:trPr>
          <w:trHeight w:hRule="exact" w:val="488"/>
        </w:trPr>
        <w:tc>
          <w:tcPr>
            <w:tcW w:type="dxa" w:w="920"/>
            <w:tcBorders>
              <w:start w:sz="4.0" w:val="single" w:color="#000000"/>
              <w:top w:sz="4.0" w:val="single" w:color="#000000"/>
              <w:end w:sz="3.2000000000000455" w:val="single" w:color="#000000"/>
              <w:bottom w:sz="3.2000000000000455" w:val="single" w:color="#000000"/>
            </w:tcBorders>
            <w:tcMar>
              <w:start w:w="0" w:type="dxa"/>
              <w:end w:w="0" w:type="dxa"/>
            </w:tcMar>
          </w:tcPr>
          <w:p>
            <w:pPr>
              <w:autoSpaceDN w:val="0"/>
              <w:autoSpaceDE w:val="0"/>
              <w:widowControl/>
              <w:spacing w:line="180" w:lineRule="exact" w:before="144" w:after="0"/>
              <w:ind w:left="182" w:right="0" w:firstLine="0"/>
              <w:jc w:val="left"/>
            </w:pPr>
            <w:r>
              <w:rPr>
                <w:rFonts w:ascii="宋体" w:hAnsi="宋体" w:eastAsia="宋体"/>
                <w:b w:val="0"/>
                <w:i w:val="0"/>
                <w:color w:val="000000"/>
                <w:sz w:val="18"/>
              </w:rPr>
              <w:t xml:space="preserve">王怡里 </w:t>
            </w:r>
          </w:p>
        </w:tc>
        <w:tc>
          <w:tcPr>
            <w:tcW w:type="dxa" w:w="772"/>
            <w:tcBorders>
              <w:start w:sz="3.2000000000000455"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4"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4" w:after="0"/>
              <w:ind w:left="0" w:right="200" w:firstLine="0"/>
              <w:jc w:val="right"/>
            </w:pPr>
            <w:r>
              <w:rPr>
                <w:rFonts w:ascii="宋体" w:hAnsi="宋体" w:eastAsia="宋体"/>
                <w:b w:val="0"/>
                <w:i w:val="0"/>
                <w:color w:val="000000"/>
                <w:sz w:val="18"/>
              </w:rPr>
              <w:t xml:space="preserve">51 </w:t>
            </w:r>
          </w:p>
        </w:tc>
        <w:tc>
          <w:tcPr>
            <w:tcW w:type="dxa" w:w="2550"/>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26" w:lineRule="exact" w:before="0" w:after="0"/>
              <w:ind w:left="0" w:right="0" w:firstLine="0"/>
              <w:jc w:val="center"/>
            </w:pPr>
            <w:r>
              <w:rPr>
                <w:rFonts w:ascii="宋体" w:hAnsi="宋体" w:eastAsia="宋体"/>
                <w:b w:val="0"/>
                <w:i w:val="0"/>
                <w:color w:val="000000"/>
                <w:sz w:val="18"/>
              </w:rPr>
              <w:t xml:space="preserve">副董事长、总经理、 </w:t>
            </w:r>
            <w:r>
              <w:br/>
            </w:r>
            <w:r>
              <w:rPr>
                <w:rFonts w:ascii="宋体" w:hAnsi="宋体" w:eastAsia="宋体"/>
                <w:b w:val="0"/>
                <w:i w:val="0"/>
                <w:color w:val="000000"/>
                <w:sz w:val="18"/>
              </w:rPr>
              <w:t xml:space="preserve">执行委员会委员、董事会秘书 </w:t>
            </w:r>
          </w:p>
        </w:tc>
        <w:tc>
          <w:tcPr>
            <w:tcW w:type="dxa" w:w="932"/>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180" w:lineRule="exact" w:before="144"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87.40 </w:t>
            </w:r>
          </w:p>
        </w:tc>
        <w:tc>
          <w:tcPr>
            <w:tcW w:type="dxa" w:w="1314"/>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180" w:lineRule="exact" w:before="144" w:after="0"/>
              <w:ind w:left="0" w:right="472" w:firstLine="0"/>
              <w:jc w:val="right"/>
            </w:pPr>
            <w:r>
              <w:rPr>
                <w:rFonts w:ascii="宋体" w:hAnsi="宋体" w:eastAsia="宋体"/>
                <w:b w:val="0"/>
                <w:i w:val="0"/>
                <w:color w:val="000000"/>
                <w:sz w:val="18"/>
              </w:rPr>
              <w:t xml:space="preserve">否 </w:t>
            </w:r>
          </w:p>
        </w:tc>
      </w:tr>
      <w:tr>
        <w:trPr>
          <w:trHeight w:hRule="exact" w:val="410"/>
        </w:trPr>
        <w:tc>
          <w:tcPr>
            <w:tcW w:type="dxa" w:w="920"/>
            <w:tcBorders>
              <w:start w:sz="4.0" w:val="single" w:color="#000000"/>
              <w:top w:sz="3.2000000000000455"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20" w:after="0"/>
              <w:ind w:left="182" w:right="0" w:firstLine="0"/>
              <w:jc w:val="left"/>
            </w:pPr>
            <w:r>
              <w:rPr>
                <w:rFonts w:ascii="宋体" w:hAnsi="宋体" w:eastAsia="宋体"/>
                <w:b w:val="0"/>
                <w:i w:val="0"/>
                <w:color w:val="000000"/>
                <w:sz w:val="18"/>
              </w:rPr>
              <w:t xml:space="preserve">刘鹏飞 </w:t>
            </w:r>
          </w:p>
        </w:tc>
        <w:tc>
          <w:tcPr>
            <w:tcW w:type="dxa" w:w="772"/>
            <w:tcBorders>
              <w:start w:sz="3.2000000000000455"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43 </w:t>
            </w:r>
          </w:p>
        </w:tc>
        <w:tc>
          <w:tcPr>
            <w:tcW w:type="dxa" w:w="2550"/>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1000" w:firstLine="0"/>
              <w:jc w:val="right"/>
            </w:pPr>
            <w:r>
              <w:rPr>
                <w:rFonts w:ascii="宋体" w:hAnsi="宋体" w:eastAsia="宋体"/>
                <w:b w:val="0"/>
                <w:i w:val="0"/>
                <w:color w:val="000000"/>
                <w:sz w:val="18"/>
              </w:rPr>
              <w:t xml:space="preserve">董事 </w:t>
            </w:r>
          </w:p>
        </w:tc>
        <w:tc>
          <w:tcPr>
            <w:tcW w:type="dxa" w:w="932"/>
            <w:tcBorders>
              <w:start w:sz="4.0" w:val="single" w:color="#000000"/>
              <w:top w:sz="3.2000000000000455"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2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3.2000000000000455"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42" w:after="0"/>
              <w:ind w:left="0" w:right="472" w:firstLine="0"/>
              <w:jc w:val="right"/>
            </w:pPr>
            <w:r>
              <w:rPr>
                <w:rFonts w:ascii="宋体" w:hAnsi="宋体" w:eastAsia="宋体"/>
                <w:b w:val="0"/>
                <w:i w:val="0"/>
                <w:color w:val="000000"/>
                <w:sz w:val="18"/>
              </w:rPr>
              <w:t xml:space="preserve">是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李小萍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女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53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1000" w:firstLine="0"/>
              <w:jc w:val="right"/>
            </w:pPr>
            <w:r>
              <w:rPr>
                <w:rFonts w:ascii="宋体" w:hAnsi="宋体" w:eastAsia="宋体"/>
                <w:b w:val="0"/>
                <w:i w:val="0"/>
                <w:color w:val="000000"/>
                <w:sz w:val="18"/>
              </w:rPr>
              <w:t xml:space="preserve">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81.69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6" w:after="0"/>
              <w:ind w:left="182" w:right="0" w:firstLine="0"/>
              <w:jc w:val="left"/>
            </w:pPr>
            <w:r>
              <w:rPr>
                <w:rFonts w:ascii="宋体" w:hAnsi="宋体" w:eastAsia="宋体"/>
                <w:b w:val="0"/>
                <w:i w:val="0"/>
                <w:color w:val="000000"/>
                <w:sz w:val="18"/>
              </w:rPr>
              <w:t xml:space="preserve">周金晓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6" w:after="0"/>
              <w:ind w:left="0" w:right="200" w:firstLine="0"/>
              <w:jc w:val="right"/>
            </w:pPr>
            <w:r>
              <w:rPr>
                <w:rFonts w:ascii="宋体" w:hAnsi="宋体" w:eastAsia="宋体"/>
                <w:b w:val="0"/>
                <w:i w:val="0"/>
                <w:color w:val="000000"/>
                <w:sz w:val="18"/>
              </w:rPr>
              <w:t xml:space="preserve">51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6" w:after="0"/>
              <w:ind w:left="0" w:right="1000" w:firstLine="0"/>
              <w:jc w:val="right"/>
            </w:pPr>
            <w:r>
              <w:rPr>
                <w:rFonts w:ascii="宋体" w:hAnsi="宋体" w:eastAsia="宋体"/>
                <w:b w:val="0"/>
                <w:i w:val="0"/>
                <w:color w:val="000000"/>
                <w:sz w:val="18"/>
              </w:rPr>
              <w:t xml:space="preserve">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40" w:after="0"/>
              <w:ind w:left="0" w:right="472" w:firstLine="0"/>
              <w:jc w:val="right"/>
            </w:pPr>
            <w:r>
              <w:rPr>
                <w:rFonts w:ascii="宋体" w:hAnsi="宋体" w:eastAsia="宋体"/>
                <w:b w:val="0"/>
                <w:i w:val="0"/>
                <w:color w:val="000000"/>
                <w:sz w:val="18"/>
              </w:rPr>
              <w:t xml:space="preserve">是 </w:t>
            </w:r>
          </w:p>
        </w:tc>
      </w:tr>
      <w:tr>
        <w:trPr>
          <w:trHeight w:hRule="exact" w:val="412"/>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20" w:after="0"/>
              <w:ind w:left="182" w:right="0" w:firstLine="0"/>
              <w:jc w:val="left"/>
            </w:pPr>
            <w:r>
              <w:rPr>
                <w:rFonts w:ascii="宋体" w:hAnsi="宋体" w:eastAsia="宋体"/>
                <w:b w:val="0"/>
                <w:i w:val="0"/>
                <w:color w:val="000000"/>
                <w:sz w:val="18"/>
              </w:rPr>
              <w:t xml:space="preserve">夏贵所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61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1000" w:firstLine="0"/>
              <w:jc w:val="right"/>
            </w:pPr>
            <w:r>
              <w:rPr>
                <w:rFonts w:ascii="宋体" w:hAnsi="宋体" w:eastAsia="宋体"/>
                <w:b w:val="0"/>
                <w:i w:val="0"/>
                <w:color w:val="000000"/>
                <w:sz w:val="18"/>
              </w:rPr>
              <w:t xml:space="preserve">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2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38"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44"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邢会强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48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820" w:firstLine="0"/>
              <w:jc w:val="right"/>
            </w:pPr>
            <w:r>
              <w:rPr>
                <w:rFonts w:ascii="宋体" w:hAnsi="宋体" w:eastAsia="宋体"/>
                <w:b w:val="0"/>
                <w:i w:val="0"/>
                <w:color w:val="000000"/>
                <w:sz w:val="18"/>
              </w:rPr>
              <w:t xml:space="preserve">独立董事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15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是 </w:t>
            </w:r>
          </w:p>
        </w:tc>
      </w:tr>
      <w:tr>
        <w:trPr>
          <w:trHeight w:hRule="exact" w:val="404"/>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8" w:after="0"/>
              <w:ind w:left="182" w:right="0" w:firstLine="0"/>
              <w:jc w:val="left"/>
            </w:pPr>
            <w:r>
              <w:rPr>
                <w:rFonts w:ascii="宋体" w:hAnsi="宋体" w:eastAsia="宋体"/>
                <w:b w:val="0"/>
                <w:i w:val="0"/>
                <w:color w:val="000000"/>
                <w:sz w:val="18"/>
              </w:rPr>
              <w:t xml:space="preserve">朱  祁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49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820" w:firstLine="0"/>
              <w:jc w:val="right"/>
            </w:pPr>
            <w:r>
              <w:rPr>
                <w:rFonts w:ascii="宋体" w:hAnsi="宋体" w:eastAsia="宋体"/>
                <w:b w:val="0"/>
                <w:i w:val="0"/>
                <w:color w:val="000000"/>
                <w:sz w:val="18"/>
              </w:rPr>
              <w:t xml:space="preserve">独立董事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15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472" w:firstLine="0"/>
              <w:jc w:val="right"/>
            </w:pPr>
            <w:r>
              <w:rPr>
                <w:rFonts w:ascii="宋体" w:hAnsi="宋体" w:eastAsia="宋体"/>
                <w:b w:val="0"/>
                <w:i w:val="0"/>
                <w:color w:val="000000"/>
                <w:sz w:val="18"/>
              </w:rPr>
              <w:t xml:space="preserve">是 </w:t>
            </w:r>
          </w:p>
        </w:tc>
      </w:tr>
      <w:tr>
        <w:trPr>
          <w:trHeight w:hRule="exact" w:val="410"/>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2" w:after="0"/>
              <w:ind w:left="182" w:right="0" w:firstLine="0"/>
              <w:jc w:val="left"/>
            </w:pPr>
            <w:r>
              <w:rPr>
                <w:rFonts w:ascii="宋体" w:hAnsi="宋体" w:eastAsia="宋体"/>
                <w:b w:val="0"/>
                <w:i w:val="0"/>
                <w:color w:val="000000"/>
                <w:sz w:val="18"/>
              </w:rPr>
              <w:t xml:space="preserve">李海涛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0" w:right="200" w:firstLine="0"/>
              <w:jc w:val="right"/>
            </w:pPr>
            <w:r>
              <w:rPr>
                <w:rFonts w:ascii="宋体" w:hAnsi="宋体" w:eastAsia="宋体"/>
                <w:b w:val="0"/>
                <w:i w:val="0"/>
                <w:color w:val="000000"/>
                <w:sz w:val="18"/>
              </w:rPr>
              <w:t xml:space="preserve">55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0" w:right="820" w:firstLine="0"/>
              <w:jc w:val="right"/>
            </w:pPr>
            <w:r>
              <w:rPr>
                <w:rFonts w:ascii="宋体" w:hAnsi="宋体" w:eastAsia="宋体"/>
                <w:b w:val="0"/>
                <w:i w:val="0"/>
                <w:color w:val="000000"/>
                <w:sz w:val="18"/>
              </w:rPr>
              <w:t xml:space="preserve">独立董事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2"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15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2" w:after="0"/>
              <w:ind w:left="0" w:right="472" w:firstLine="0"/>
              <w:jc w:val="right"/>
            </w:pPr>
            <w:r>
              <w:rPr>
                <w:rFonts w:ascii="宋体" w:hAnsi="宋体" w:eastAsia="宋体"/>
                <w:b w:val="0"/>
                <w:i w:val="0"/>
                <w:color w:val="000000"/>
                <w:sz w:val="18"/>
              </w:rPr>
              <w:t xml:space="preserve">是 </w:t>
            </w:r>
          </w:p>
        </w:tc>
      </w:tr>
      <w:tr>
        <w:trPr>
          <w:trHeight w:hRule="exact" w:val="406"/>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郭  洁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女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49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820" w:firstLine="0"/>
              <w:jc w:val="right"/>
            </w:pPr>
            <w:r>
              <w:rPr>
                <w:rFonts w:ascii="宋体" w:hAnsi="宋体" w:eastAsia="宋体"/>
                <w:b w:val="0"/>
                <w:i w:val="0"/>
                <w:color w:val="000000"/>
                <w:sz w:val="18"/>
              </w:rPr>
              <w:t xml:space="preserve">独立董事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是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8" w:after="0"/>
              <w:ind w:left="182" w:right="0" w:firstLine="0"/>
              <w:jc w:val="left"/>
            </w:pPr>
            <w:r>
              <w:rPr>
                <w:rFonts w:ascii="宋体" w:hAnsi="宋体" w:eastAsia="宋体"/>
                <w:b w:val="0"/>
                <w:i w:val="0"/>
                <w:color w:val="000000"/>
                <w:sz w:val="18"/>
              </w:rPr>
              <w:t xml:space="preserve">乔俊峰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59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820" w:firstLine="0"/>
              <w:jc w:val="right"/>
            </w:pPr>
            <w:r>
              <w:rPr>
                <w:rFonts w:ascii="宋体" w:hAnsi="宋体" w:eastAsia="宋体"/>
                <w:b w:val="0"/>
                <w:i w:val="0"/>
                <w:color w:val="000000"/>
                <w:sz w:val="18"/>
              </w:rPr>
              <w:t xml:space="preserve">职工董事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72.36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472" w:firstLine="0"/>
              <w:jc w:val="right"/>
            </w:pPr>
            <w:r>
              <w:rPr>
                <w:rFonts w:ascii="宋体" w:hAnsi="宋体" w:eastAsia="宋体"/>
                <w:b w:val="0"/>
                <w:i w:val="0"/>
                <w:color w:val="000000"/>
                <w:sz w:val="18"/>
              </w:rPr>
              <w:t xml:space="preserve">否 </w:t>
            </w:r>
          </w:p>
        </w:tc>
      </w:tr>
      <w:tr>
        <w:trPr>
          <w:trHeight w:hRule="exact" w:val="406"/>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4" w:after="0"/>
              <w:ind w:left="182" w:right="0" w:firstLine="0"/>
              <w:jc w:val="left"/>
            </w:pPr>
            <w:r>
              <w:rPr>
                <w:rFonts w:ascii="宋体" w:hAnsi="宋体" w:eastAsia="宋体"/>
                <w:b w:val="0"/>
                <w:i w:val="0"/>
                <w:color w:val="000000"/>
                <w:sz w:val="18"/>
              </w:rPr>
              <w:t xml:space="preserve">焦  杨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200" w:firstLine="0"/>
              <w:jc w:val="right"/>
            </w:pPr>
            <w:r>
              <w:rPr>
                <w:rFonts w:ascii="宋体" w:hAnsi="宋体" w:eastAsia="宋体"/>
                <w:b w:val="0"/>
                <w:i w:val="0"/>
                <w:color w:val="000000"/>
                <w:sz w:val="18"/>
              </w:rPr>
              <w:t xml:space="preserve">58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730" w:firstLine="0"/>
              <w:jc w:val="right"/>
            </w:pPr>
            <w:r>
              <w:rPr>
                <w:rFonts w:ascii="宋体" w:hAnsi="宋体" w:eastAsia="宋体"/>
                <w:b w:val="0"/>
                <w:i w:val="0"/>
                <w:color w:val="000000"/>
                <w:sz w:val="18"/>
              </w:rPr>
              <w:t xml:space="preserve">监事会主席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4"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77.39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4" w:after="0"/>
              <w:ind w:left="0" w:right="472" w:firstLine="0"/>
              <w:jc w:val="right"/>
            </w:pPr>
            <w:r>
              <w:rPr>
                <w:rFonts w:ascii="宋体" w:hAnsi="宋体" w:eastAsia="宋体"/>
                <w:b w:val="0"/>
                <w:i w:val="0"/>
                <w:color w:val="000000"/>
                <w:sz w:val="18"/>
              </w:rPr>
              <w:t xml:space="preserve">否 </w:t>
            </w:r>
          </w:p>
        </w:tc>
      </w:tr>
      <w:tr>
        <w:trPr>
          <w:trHeight w:hRule="exact" w:val="410"/>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8" w:after="0"/>
              <w:ind w:left="182" w:right="0" w:firstLine="0"/>
              <w:jc w:val="left"/>
            </w:pPr>
            <w:r>
              <w:rPr>
                <w:rFonts w:ascii="宋体" w:hAnsi="宋体" w:eastAsia="宋体"/>
                <w:b w:val="0"/>
                <w:i w:val="0"/>
                <w:color w:val="000000"/>
                <w:sz w:val="18"/>
              </w:rPr>
              <w:t xml:space="preserve">郭志宏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58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是 </w:t>
            </w:r>
          </w:p>
        </w:tc>
      </w:tr>
      <w:tr>
        <w:trPr>
          <w:trHeight w:hRule="exact" w:val="410"/>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8" w:after="0"/>
              <w:ind w:left="182" w:right="0" w:firstLine="0"/>
              <w:jc w:val="left"/>
            </w:pPr>
            <w:r>
              <w:rPr>
                <w:rFonts w:ascii="宋体" w:hAnsi="宋体" w:eastAsia="宋体"/>
                <w:b w:val="0"/>
                <w:i w:val="0"/>
                <w:color w:val="000000"/>
                <w:sz w:val="18"/>
              </w:rPr>
              <w:t xml:space="preserve">刘奇旺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61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38"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是 </w:t>
            </w:r>
          </w:p>
        </w:tc>
      </w:tr>
      <w:tr>
        <w:trPr>
          <w:trHeight w:hRule="exact" w:val="406"/>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王国峰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60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是 </w:t>
            </w:r>
          </w:p>
        </w:tc>
      </w:tr>
      <w:tr>
        <w:trPr>
          <w:trHeight w:hRule="exact" w:val="412"/>
        </w:trPr>
        <w:tc>
          <w:tcPr>
            <w:tcW w:type="dxa" w:w="92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118" w:after="0"/>
              <w:ind w:left="182" w:right="0" w:firstLine="0"/>
              <w:jc w:val="left"/>
            </w:pPr>
            <w:r>
              <w:rPr>
                <w:rFonts w:ascii="宋体" w:hAnsi="宋体" w:eastAsia="宋体"/>
                <w:b w:val="0"/>
                <w:i w:val="0"/>
                <w:color w:val="000000"/>
                <w:sz w:val="18"/>
              </w:rPr>
              <w:t xml:space="preserve">李国林 </w:t>
            </w:r>
          </w:p>
        </w:tc>
        <w:tc>
          <w:tcPr>
            <w:tcW w:type="dxa" w:w="77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52 </w:t>
            </w:r>
          </w:p>
        </w:tc>
        <w:tc>
          <w:tcPr>
            <w:tcW w:type="dxa" w:w="255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8"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1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138"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12" w:after="0"/>
              <w:ind w:left="0" w:right="472" w:firstLine="0"/>
              <w:jc w:val="right"/>
            </w:pPr>
            <w:r>
              <w:rPr>
                <w:rFonts w:ascii="宋体" w:hAnsi="宋体" w:eastAsia="宋体"/>
                <w:b w:val="0"/>
                <w:i w:val="0"/>
                <w:color w:val="000000"/>
                <w:sz w:val="18"/>
              </w:rPr>
              <w:t xml:space="preserve">是 </w:t>
            </w:r>
          </w:p>
        </w:tc>
      </w:tr>
      <w:tr>
        <w:trPr>
          <w:trHeight w:hRule="exact" w:val="412"/>
        </w:trPr>
        <w:tc>
          <w:tcPr>
            <w:tcW w:type="dxa" w:w="92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8" w:after="0"/>
              <w:ind w:left="182" w:right="0" w:firstLine="0"/>
              <w:jc w:val="left"/>
            </w:pPr>
            <w:r>
              <w:rPr>
                <w:rFonts w:ascii="宋体" w:hAnsi="宋体" w:eastAsia="宋体"/>
                <w:b w:val="0"/>
                <w:i w:val="0"/>
                <w:color w:val="000000"/>
                <w:sz w:val="18"/>
              </w:rPr>
              <w:t xml:space="preserve">武爱东 </w:t>
            </w:r>
          </w:p>
        </w:tc>
        <w:tc>
          <w:tcPr>
            <w:tcW w:type="dxa" w:w="77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200" w:firstLine="0"/>
              <w:jc w:val="right"/>
            </w:pPr>
            <w:r>
              <w:rPr>
                <w:rFonts w:ascii="宋体" w:hAnsi="宋体" w:eastAsia="宋体"/>
                <w:b w:val="0"/>
                <w:i w:val="0"/>
                <w:color w:val="000000"/>
                <w:sz w:val="18"/>
              </w:rPr>
              <w:t xml:space="preserve">57 </w:t>
            </w:r>
          </w:p>
        </w:tc>
        <w:tc>
          <w:tcPr>
            <w:tcW w:type="dxa" w:w="255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6"/>
        </w:trPr>
        <w:tc>
          <w:tcPr>
            <w:tcW w:type="dxa" w:w="92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116" w:after="0"/>
              <w:ind w:left="182" w:right="0" w:firstLine="0"/>
              <w:jc w:val="left"/>
            </w:pPr>
            <w:r>
              <w:rPr>
                <w:rFonts w:ascii="宋体" w:hAnsi="宋体" w:eastAsia="宋体"/>
                <w:b w:val="0"/>
                <w:i w:val="0"/>
                <w:color w:val="000000"/>
                <w:sz w:val="18"/>
              </w:rPr>
              <w:t xml:space="preserve">白景波 </w:t>
            </w:r>
          </w:p>
        </w:tc>
        <w:tc>
          <w:tcPr>
            <w:tcW w:type="dxa" w:w="77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6" w:after="0"/>
              <w:ind w:left="0" w:right="200" w:firstLine="0"/>
              <w:jc w:val="right"/>
            </w:pPr>
            <w:r>
              <w:rPr>
                <w:rFonts w:ascii="宋体" w:hAnsi="宋体" w:eastAsia="宋体"/>
                <w:b w:val="0"/>
                <w:i w:val="0"/>
                <w:color w:val="000000"/>
                <w:sz w:val="18"/>
              </w:rPr>
              <w:t xml:space="preserve">50 </w:t>
            </w:r>
          </w:p>
        </w:tc>
        <w:tc>
          <w:tcPr>
            <w:tcW w:type="dxa" w:w="255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6"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1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是 </w:t>
            </w:r>
          </w:p>
        </w:tc>
      </w:tr>
      <w:tr>
        <w:trPr>
          <w:trHeight w:hRule="exact" w:val="410"/>
        </w:trPr>
        <w:tc>
          <w:tcPr>
            <w:tcW w:type="dxa" w:w="92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20" w:after="0"/>
              <w:ind w:left="182" w:right="0" w:firstLine="0"/>
              <w:jc w:val="left"/>
            </w:pPr>
            <w:r>
              <w:rPr>
                <w:rFonts w:ascii="宋体" w:hAnsi="宋体" w:eastAsia="宋体"/>
                <w:b w:val="0"/>
                <w:i w:val="0"/>
                <w:color w:val="000000"/>
                <w:sz w:val="18"/>
              </w:rPr>
              <w:t xml:space="preserve">崔秋生 </w:t>
            </w:r>
          </w:p>
        </w:tc>
        <w:tc>
          <w:tcPr>
            <w:tcW w:type="dxa" w:w="77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200" w:firstLine="0"/>
              <w:jc w:val="right"/>
            </w:pPr>
            <w:r>
              <w:rPr>
                <w:rFonts w:ascii="宋体" w:hAnsi="宋体" w:eastAsia="宋体"/>
                <w:b w:val="0"/>
                <w:i w:val="0"/>
                <w:color w:val="000000"/>
                <w:sz w:val="18"/>
              </w:rPr>
              <w:t xml:space="preserve">51 </w:t>
            </w:r>
          </w:p>
        </w:tc>
        <w:tc>
          <w:tcPr>
            <w:tcW w:type="dxa" w:w="255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20" w:after="0"/>
              <w:ind w:left="0" w:right="1000" w:firstLine="0"/>
              <w:jc w:val="right"/>
            </w:pPr>
            <w:r>
              <w:rPr>
                <w:rFonts w:ascii="宋体" w:hAnsi="宋体" w:eastAsia="宋体"/>
                <w:b w:val="0"/>
                <w:i w:val="0"/>
                <w:color w:val="000000"/>
                <w:sz w:val="18"/>
              </w:rPr>
              <w:t xml:space="preserve">监事 </w:t>
            </w:r>
          </w:p>
        </w:tc>
        <w:tc>
          <w:tcPr>
            <w:tcW w:type="dxa" w:w="93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2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138" w:after="0"/>
              <w:ind w:left="0" w:right="0" w:firstLine="0"/>
              <w:jc w:val="center"/>
            </w:pPr>
            <w:r>
              <w:rPr>
                <w:rFonts w:ascii="Times New Roman" w:hAnsi="Times New Roman" w:eastAsia="Times New Roman"/>
                <w:b w:val="0"/>
                <w:i w:val="0"/>
                <w:color w:val="000000"/>
                <w:sz w:val="18"/>
              </w:rPr>
              <w:t xml:space="preserve">- </w:t>
            </w:r>
          </w:p>
        </w:tc>
        <w:tc>
          <w:tcPr>
            <w:tcW w:type="dxa" w:w="131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是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胡朝晖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55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820" w:firstLine="0"/>
              <w:jc w:val="right"/>
            </w:pPr>
            <w:r>
              <w:rPr>
                <w:rFonts w:ascii="宋体" w:hAnsi="宋体" w:eastAsia="宋体"/>
                <w:b w:val="0"/>
                <w:i w:val="0"/>
                <w:color w:val="000000"/>
                <w:sz w:val="18"/>
              </w:rPr>
              <w:t xml:space="preserve">职工监事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49.22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6"/>
        </w:trPr>
        <w:tc>
          <w:tcPr>
            <w:tcW w:type="dxa" w:w="92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刘文康 </w:t>
            </w:r>
          </w:p>
        </w:tc>
        <w:tc>
          <w:tcPr>
            <w:tcW w:type="dxa" w:w="772"/>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53 </w:t>
            </w:r>
          </w:p>
        </w:tc>
        <w:tc>
          <w:tcPr>
            <w:tcW w:type="dxa" w:w="255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6" w:after="0"/>
              <w:ind w:left="0" w:right="820" w:firstLine="0"/>
              <w:jc w:val="right"/>
            </w:pPr>
            <w:r>
              <w:rPr>
                <w:rFonts w:ascii="宋体" w:hAnsi="宋体" w:eastAsia="宋体"/>
                <w:b w:val="0"/>
                <w:i w:val="0"/>
                <w:color w:val="000000"/>
                <w:sz w:val="18"/>
              </w:rPr>
              <w:t xml:space="preserve">职工监事 </w:t>
            </w:r>
          </w:p>
        </w:tc>
        <w:tc>
          <w:tcPr>
            <w:tcW w:type="dxa" w:w="93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48.56 </w:t>
            </w:r>
          </w:p>
        </w:tc>
        <w:tc>
          <w:tcPr>
            <w:tcW w:type="dxa" w:w="1314"/>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否 </w:t>
            </w:r>
          </w:p>
        </w:tc>
      </w:tr>
      <w:tr>
        <w:trPr>
          <w:trHeight w:hRule="exact" w:val="410"/>
        </w:trPr>
        <w:tc>
          <w:tcPr>
            <w:tcW w:type="dxa" w:w="92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司海红 </w:t>
            </w:r>
          </w:p>
        </w:tc>
        <w:tc>
          <w:tcPr>
            <w:tcW w:type="dxa" w:w="772"/>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女 </w:t>
            </w:r>
          </w:p>
        </w:tc>
        <w:tc>
          <w:tcPr>
            <w:tcW w:type="dxa" w:w="77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46 </w:t>
            </w:r>
          </w:p>
        </w:tc>
        <w:tc>
          <w:tcPr>
            <w:tcW w:type="dxa" w:w="255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820" w:firstLine="0"/>
              <w:jc w:val="right"/>
            </w:pPr>
            <w:r>
              <w:rPr>
                <w:rFonts w:ascii="宋体" w:hAnsi="宋体" w:eastAsia="宋体"/>
                <w:b w:val="0"/>
                <w:i w:val="0"/>
                <w:color w:val="000000"/>
                <w:sz w:val="18"/>
              </w:rPr>
              <w:t xml:space="preserve">职工监事 </w:t>
            </w:r>
          </w:p>
        </w:tc>
        <w:tc>
          <w:tcPr>
            <w:tcW w:type="dxa" w:w="93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0" w:firstLine="0"/>
              <w:jc w:val="center"/>
            </w:pPr>
            <w:r>
              <w:rPr>
                <w:rFonts w:ascii="Times New Roman" w:hAnsi="Times New Roman" w:eastAsia="Times New Roman"/>
                <w:b w:val="0"/>
                <w:i w:val="0"/>
                <w:color w:val="000000"/>
                <w:sz w:val="18"/>
              </w:rPr>
              <w:t xml:space="preserve">34.20 </w:t>
            </w:r>
          </w:p>
        </w:tc>
        <w:tc>
          <w:tcPr>
            <w:tcW w:type="dxa" w:w="1314"/>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张红兵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43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820" w:firstLine="0"/>
              <w:jc w:val="right"/>
            </w:pPr>
            <w:r>
              <w:rPr>
                <w:rFonts w:ascii="宋体" w:hAnsi="宋体" w:eastAsia="宋体"/>
                <w:b w:val="0"/>
                <w:i w:val="0"/>
                <w:color w:val="000000"/>
                <w:sz w:val="18"/>
              </w:rPr>
              <w:t xml:space="preserve">职工监事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43.10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否 </w:t>
            </w:r>
          </w:p>
        </w:tc>
      </w:tr>
      <w:tr>
        <w:trPr>
          <w:trHeight w:hRule="exact" w:val="474"/>
        </w:trPr>
        <w:tc>
          <w:tcPr>
            <w:tcW w:type="dxa" w:w="920"/>
            <w:tcBorders>
              <w:start w:sz="4.0" w:val="single" w:color="#000000"/>
              <w:top w:sz="4.0" w:val="single" w:color="#000000"/>
              <w:end w:sz="3.2000000000000455" w:val="single" w:color="#000000"/>
              <w:bottom w:sz="3.2000000000007276" w:val="single" w:color="#000000"/>
            </w:tcBorders>
            <w:tcMar>
              <w:start w:w="0" w:type="dxa"/>
              <w:end w:w="0" w:type="dxa"/>
            </w:tcMar>
          </w:tcPr>
          <w:p>
            <w:pPr>
              <w:autoSpaceDN w:val="0"/>
              <w:autoSpaceDE w:val="0"/>
              <w:widowControl/>
              <w:spacing w:line="180" w:lineRule="exact" w:before="140" w:after="0"/>
              <w:ind w:left="182" w:right="0" w:firstLine="0"/>
              <w:jc w:val="left"/>
            </w:pPr>
            <w:r>
              <w:rPr>
                <w:rFonts w:ascii="宋体" w:hAnsi="宋体" w:eastAsia="宋体"/>
                <w:b w:val="0"/>
                <w:i w:val="0"/>
                <w:color w:val="000000"/>
                <w:sz w:val="18"/>
              </w:rPr>
              <w:t xml:space="preserve">汤建雄 </w:t>
            </w:r>
          </w:p>
        </w:tc>
        <w:tc>
          <w:tcPr>
            <w:tcW w:type="dxa" w:w="772"/>
            <w:tcBorders>
              <w:start w:sz="3.2000000000000455"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0" w:after="0"/>
              <w:ind w:left="0" w:right="200" w:firstLine="0"/>
              <w:jc w:val="right"/>
            </w:pPr>
            <w:r>
              <w:rPr>
                <w:rFonts w:ascii="宋体" w:hAnsi="宋体" w:eastAsia="宋体"/>
                <w:b w:val="0"/>
                <w:i w:val="0"/>
                <w:color w:val="000000"/>
                <w:sz w:val="18"/>
              </w:rPr>
              <w:t xml:space="preserve">56 </w:t>
            </w:r>
          </w:p>
        </w:tc>
        <w:tc>
          <w:tcPr>
            <w:tcW w:type="dxa" w:w="2550"/>
            <w:tcBorders>
              <w:start w:sz="4.0" w:val="single" w:color="#000000"/>
              <w:top w:sz="4.0" w:val="single" w:color="#000000"/>
              <w:end w:sz="4.0" w:val="single" w:color="#000000"/>
              <w:bottom w:sz="3.2000000000007276" w:val="single" w:color="#000000"/>
            </w:tcBorders>
            <w:tcMar>
              <w:start w:w="0" w:type="dxa"/>
              <w:end w:w="0" w:type="dxa"/>
            </w:tcMar>
          </w:tcPr>
          <w:p>
            <w:pPr>
              <w:autoSpaceDN w:val="0"/>
              <w:tabs>
                <w:tab w:pos="282" w:val="left"/>
              </w:tabs>
              <w:autoSpaceDE w:val="0"/>
              <w:widowControl/>
              <w:spacing w:line="218" w:lineRule="exact" w:before="0" w:after="0"/>
              <w:ind w:left="102" w:right="0" w:firstLine="0"/>
              <w:jc w:val="left"/>
            </w:pPr>
            <w:r>
              <w:rPr>
                <w:rFonts w:ascii="宋体" w:hAnsi="宋体" w:eastAsia="宋体"/>
                <w:b w:val="0"/>
                <w:i w:val="0"/>
                <w:color w:val="000000"/>
                <w:sz w:val="18"/>
              </w:rPr>
              <w:t>副总经理、财务负责人、执行</w:t>
            </w:r>
            <w:r>
              <w:tab/>
            </w:r>
            <w:r>
              <w:rPr>
                <w:rFonts w:ascii="宋体" w:hAnsi="宋体" w:eastAsia="宋体"/>
                <w:b w:val="0"/>
                <w:i w:val="0"/>
                <w:color w:val="000000"/>
                <w:sz w:val="18"/>
              </w:rPr>
              <w:t xml:space="preserve">委员会委员、首席风险官 </w:t>
            </w:r>
          </w:p>
        </w:tc>
        <w:tc>
          <w:tcPr>
            <w:tcW w:type="dxa" w:w="932"/>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180" w:lineRule="exact" w:before="14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132" w:after="0"/>
              <w:ind w:left="0" w:right="0" w:firstLine="0"/>
              <w:jc w:val="center"/>
            </w:pPr>
            <w:r>
              <w:rPr>
                <w:rFonts w:ascii="Times New Roman" w:hAnsi="Times New Roman" w:eastAsia="Times New Roman"/>
                <w:b w:val="0"/>
                <w:i w:val="0"/>
                <w:color w:val="000000"/>
                <w:sz w:val="18"/>
              </w:rPr>
              <w:t xml:space="preserve">75.44 </w:t>
            </w:r>
          </w:p>
        </w:tc>
        <w:tc>
          <w:tcPr>
            <w:tcW w:type="dxa" w:w="1314"/>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180" w:lineRule="exact" w:before="140" w:after="0"/>
              <w:ind w:left="0" w:right="472" w:firstLine="0"/>
              <w:jc w:val="right"/>
            </w:pPr>
            <w:r>
              <w:rPr>
                <w:rFonts w:ascii="宋体" w:hAnsi="宋体" w:eastAsia="宋体"/>
                <w:b w:val="0"/>
                <w:i w:val="0"/>
                <w:color w:val="000000"/>
                <w:sz w:val="18"/>
              </w:rPr>
              <w:t xml:space="preserve">否 </w:t>
            </w:r>
          </w:p>
        </w:tc>
      </w:tr>
      <w:tr>
        <w:trPr>
          <w:trHeight w:hRule="exact" w:val="490"/>
        </w:trPr>
        <w:tc>
          <w:tcPr>
            <w:tcW w:type="dxa" w:w="920"/>
            <w:tcBorders>
              <w:start w:sz="4.0" w:val="single" w:color="#000000"/>
              <w:top w:sz="3.2000000000007276"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50" w:after="0"/>
              <w:ind w:left="182" w:right="0" w:firstLine="0"/>
              <w:jc w:val="left"/>
            </w:pPr>
            <w:r>
              <w:rPr>
                <w:rFonts w:ascii="宋体" w:hAnsi="宋体" w:eastAsia="宋体"/>
                <w:b w:val="0"/>
                <w:i w:val="0"/>
                <w:color w:val="000000"/>
                <w:sz w:val="18"/>
              </w:rPr>
              <w:t xml:space="preserve">高晓峰 </w:t>
            </w:r>
          </w:p>
        </w:tc>
        <w:tc>
          <w:tcPr>
            <w:tcW w:type="dxa" w:w="772"/>
            <w:tcBorders>
              <w:start w:sz="3.2000000000000455"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15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150" w:after="0"/>
              <w:ind w:left="0" w:right="200" w:firstLine="0"/>
              <w:jc w:val="right"/>
            </w:pPr>
            <w:r>
              <w:rPr>
                <w:rFonts w:ascii="宋体" w:hAnsi="宋体" w:eastAsia="宋体"/>
                <w:b w:val="0"/>
                <w:i w:val="0"/>
                <w:color w:val="000000"/>
                <w:sz w:val="18"/>
              </w:rPr>
              <w:t xml:space="preserve">49 </w:t>
            </w:r>
          </w:p>
        </w:tc>
        <w:tc>
          <w:tcPr>
            <w:tcW w:type="dxa" w:w="2550"/>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26" w:lineRule="exact" w:before="0" w:after="0"/>
              <w:ind w:left="288" w:right="144" w:firstLine="0"/>
              <w:jc w:val="center"/>
            </w:pPr>
            <w:r>
              <w:rPr>
                <w:rFonts w:ascii="宋体" w:hAnsi="宋体" w:eastAsia="宋体"/>
                <w:b w:val="0"/>
                <w:i w:val="0"/>
                <w:color w:val="000000"/>
                <w:sz w:val="18"/>
              </w:rPr>
              <w:t xml:space="preserve">副总经理、合规总监、 </w:t>
            </w:r>
            <w:r>
              <w:rPr>
                <w:rFonts w:ascii="宋体" w:hAnsi="宋体" w:eastAsia="宋体"/>
                <w:b w:val="0"/>
                <w:i w:val="0"/>
                <w:color w:val="000000"/>
                <w:sz w:val="18"/>
              </w:rPr>
              <w:t xml:space="preserve">执行委员会委员 </w:t>
            </w:r>
          </w:p>
        </w:tc>
        <w:tc>
          <w:tcPr>
            <w:tcW w:type="dxa" w:w="932"/>
            <w:tcBorders>
              <w:start w:sz="4.0"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5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140" w:after="0"/>
              <w:ind w:left="0" w:right="0" w:firstLine="0"/>
              <w:jc w:val="center"/>
            </w:pPr>
            <w:r>
              <w:rPr>
                <w:rFonts w:ascii="Times New Roman" w:hAnsi="Times New Roman" w:eastAsia="Times New Roman"/>
                <w:b w:val="0"/>
                <w:i w:val="0"/>
                <w:color w:val="000000"/>
                <w:sz w:val="18"/>
              </w:rPr>
              <w:t xml:space="preserve">75.50 </w:t>
            </w:r>
          </w:p>
        </w:tc>
        <w:tc>
          <w:tcPr>
            <w:tcW w:type="dxa" w:w="1314"/>
            <w:tcBorders>
              <w:start w:sz="4.0"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50"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闫晓华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女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53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102" w:right="0" w:firstLine="0"/>
              <w:jc w:val="left"/>
            </w:pPr>
            <w:r>
              <w:rPr>
                <w:rFonts w:ascii="宋体" w:hAnsi="宋体" w:eastAsia="宋体"/>
                <w:b w:val="0"/>
                <w:i w:val="0"/>
                <w:color w:val="000000"/>
                <w:sz w:val="18"/>
              </w:rPr>
              <w:t xml:space="preserve">首席风险官、执行委员会委员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离任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58.85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8" w:after="0"/>
              <w:ind w:left="182" w:right="0" w:firstLine="0"/>
              <w:jc w:val="left"/>
            </w:pPr>
            <w:r>
              <w:rPr>
                <w:rFonts w:ascii="宋体" w:hAnsi="宋体" w:eastAsia="宋体"/>
                <w:b w:val="0"/>
                <w:i w:val="0"/>
                <w:color w:val="000000"/>
                <w:sz w:val="18"/>
              </w:rPr>
              <w:t xml:space="preserve">谢  卫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52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192" w:right="0" w:firstLine="0"/>
              <w:jc w:val="left"/>
            </w:pPr>
            <w:r>
              <w:rPr>
                <w:rFonts w:ascii="宋体" w:hAnsi="宋体" w:eastAsia="宋体"/>
                <w:b w:val="0"/>
                <w:i w:val="0"/>
                <w:color w:val="000000"/>
                <w:sz w:val="18"/>
              </w:rPr>
              <w:t xml:space="preserve">副总经理、执行委员会委员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0" w:after="0"/>
              <w:ind w:left="0" w:right="0" w:firstLine="0"/>
              <w:jc w:val="center"/>
            </w:pPr>
            <w:r>
              <w:rPr>
                <w:rFonts w:ascii="Times New Roman" w:hAnsi="Times New Roman" w:eastAsia="Times New Roman"/>
                <w:b w:val="0"/>
                <w:i w:val="0"/>
                <w:color w:val="000000"/>
                <w:sz w:val="18"/>
              </w:rPr>
              <w:t xml:space="preserve">62.26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472" w:firstLine="0"/>
              <w:jc w:val="right"/>
            </w:pPr>
            <w:r>
              <w:rPr>
                <w:rFonts w:ascii="宋体" w:hAnsi="宋体" w:eastAsia="宋体"/>
                <w:b w:val="0"/>
                <w:i w:val="0"/>
                <w:color w:val="000000"/>
                <w:sz w:val="18"/>
              </w:rPr>
              <w:t xml:space="preserve">否 </w:t>
            </w:r>
          </w:p>
        </w:tc>
      </w:tr>
      <w:tr>
        <w:trPr>
          <w:trHeight w:hRule="exact" w:val="404"/>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8" w:after="0"/>
              <w:ind w:left="182" w:right="0" w:firstLine="0"/>
              <w:jc w:val="left"/>
            </w:pPr>
            <w:r>
              <w:rPr>
                <w:rFonts w:ascii="宋体" w:hAnsi="宋体" w:eastAsia="宋体"/>
                <w:b w:val="0"/>
                <w:i w:val="0"/>
                <w:color w:val="000000"/>
                <w:sz w:val="18"/>
              </w:rPr>
              <w:t xml:space="preserve">韩丽萍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女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0" w:right="200" w:firstLine="0"/>
              <w:jc w:val="right"/>
            </w:pPr>
            <w:r>
              <w:rPr>
                <w:rFonts w:ascii="宋体" w:hAnsi="宋体" w:eastAsia="宋体"/>
                <w:b w:val="0"/>
                <w:i w:val="0"/>
                <w:color w:val="000000"/>
                <w:sz w:val="18"/>
              </w:rPr>
              <w:t xml:space="preserve">50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192" w:right="0" w:firstLine="0"/>
              <w:jc w:val="left"/>
            </w:pPr>
            <w:r>
              <w:rPr>
                <w:rFonts w:ascii="宋体" w:hAnsi="宋体" w:eastAsia="宋体"/>
                <w:b w:val="0"/>
                <w:i w:val="0"/>
                <w:color w:val="000000"/>
                <w:sz w:val="18"/>
              </w:rPr>
              <w:t xml:space="preserve">副总经理、执行委员会委员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6" w:after="0"/>
              <w:ind w:left="0" w:right="0" w:firstLine="0"/>
              <w:jc w:val="center"/>
            </w:pPr>
            <w:r>
              <w:rPr>
                <w:rFonts w:ascii="Times New Roman" w:hAnsi="Times New Roman" w:eastAsia="Times New Roman"/>
                <w:b w:val="0"/>
                <w:i w:val="0"/>
                <w:color w:val="000000"/>
                <w:sz w:val="18"/>
              </w:rPr>
              <w:t xml:space="preserve">75.48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8" w:after="0"/>
              <w:ind w:left="0" w:right="472" w:firstLine="0"/>
              <w:jc w:val="right"/>
            </w:pPr>
            <w:r>
              <w:rPr>
                <w:rFonts w:ascii="宋体" w:hAnsi="宋体" w:eastAsia="宋体"/>
                <w:b w:val="0"/>
                <w:i w:val="0"/>
                <w:color w:val="000000"/>
                <w:sz w:val="18"/>
              </w:rPr>
              <w:t xml:space="preserve">否 </w:t>
            </w:r>
          </w:p>
        </w:tc>
      </w:tr>
      <w:tr>
        <w:trPr>
          <w:trHeight w:hRule="exact" w:val="410"/>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刘  军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53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550" w:firstLine="0"/>
              <w:jc w:val="right"/>
            </w:pPr>
            <w:r>
              <w:rPr>
                <w:rFonts w:ascii="宋体" w:hAnsi="宋体" w:eastAsia="宋体"/>
                <w:b w:val="0"/>
                <w:i w:val="0"/>
                <w:color w:val="000000"/>
                <w:sz w:val="18"/>
              </w:rPr>
              <w:t xml:space="preserve">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2" w:after="0"/>
              <w:ind w:left="0" w:right="0" w:firstLine="0"/>
              <w:jc w:val="center"/>
            </w:pPr>
            <w:r>
              <w:rPr>
                <w:rFonts w:ascii="Times New Roman" w:hAnsi="Times New Roman" w:eastAsia="Times New Roman"/>
                <w:b w:val="0"/>
                <w:i w:val="0"/>
                <w:color w:val="000000"/>
                <w:sz w:val="18"/>
              </w:rPr>
              <w:t xml:space="preserve">222.84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6"/>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孙嘉锋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46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730" w:firstLine="0"/>
              <w:jc w:val="right"/>
            </w:pPr>
            <w:r>
              <w:rPr>
                <w:rFonts w:ascii="宋体" w:hAnsi="宋体" w:eastAsia="宋体"/>
                <w:b w:val="0"/>
                <w:i w:val="0"/>
                <w:color w:val="000000"/>
                <w:sz w:val="18"/>
              </w:rPr>
              <w:t xml:space="preserve">首席信息官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98" w:after="0"/>
              <w:ind w:left="0" w:right="0" w:firstLine="0"/>
              <w:jc w:val="center"/>
            </w:pPr>
            <w:r>
              <w:rPr>
                <w:rFonts w:ascii="Times New Roman" w:hAnsi="Times New Roman" w:eastAsia="Times New Roman"/>
                <w:b w:val="0"/>
                <w:i w:val="0"/>
                <w:color w:val="000000"/>
                <w:sz w:val="18"/>
              </w:rPr>
              <w:t xml:space="preserve">236.25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否 </w:t>
            </w:r>
          </w:p>
        </w:tc>
      </w:tr>
      <w:tr>
        <w:trPr>
          <w:trHeight w:hRule="exact" w:val="406"/>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10" w:after="0"/>
              <w:ind w:left="182" w:right="0" w:firstLine="0"/>
              <w:jc w:val="left"/>
            </w:pPr>
            <w:r>
              <w:rPr>
                <w:rFonts w:ascii="宋体" w:hAnsi="宋体" w:eastAsia="宋体"/>
                <w:b w:val="0"/>
                <w:i w:val="0"/>
                <w:color w:val="000000"/>
                <w:sz w:val="18"/>
              </w:rPr>
              <w:t xml:space="preserve">赵  雪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0" w:right="200" w:firstLine="0"/>
              <w:jc w:val="right"/>
            </w:pPr>
            <w:r>
              <w:rPr>
                <w:rFonts w:ascii="宋体" w:hAnsi="宋体" w:eastAsia="宋体"/>
                <w:b w:val="0"/>
                <w:i w:val="0"/>
                <w:color w:val="000000"/>
                <w:sz w:val="18"/>
              </w:rPr>
              <w:t xml:space="preserve">40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192" w:right="0" w:firstLine="0"/>
              <w:jc w:val="left"/>
            </w:pPr>
            <w:r>
              <w:rPr>
                <w:rFonts w:ascii="宋体" w:hAnsi="宋体" w:eastAsia="宋体"/>
                <w:b w:val="0"/>
                <w:i w:val="0"/>
                <w:color w:val="000000"/>
                <w:sz w:val="18"/>
              </w:rPr>
              <w:t xml:space="preserve">副总经理、执行委员会委员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192" w:firstLine="0"/>
              <w:jc w:val="right"/>
            </w:pPr>
            <w:r>
              <w:rPr>
                <w:rFonts w:ascii="宋体" w:hAnsi="宋体" w:eastAsia="宋体"/>
                <w:b w:val="0"/>
                <w:i w:val="0"/>
                <w:color w:val="000000"/>
                <w:sz w:val="18"/>
              </w:rPr>
              <w:t xml:space="preserve">现任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19.68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10" w:after="0"/>
              <w:ind w:left="0" w:right="472" w:firstLine="0"/>
              <w:jc w:val="right"/>
            </w:pPr>
            <w:r>
              <w:rPr>
                <w:rFonts w:ascii="宋体" w:hAnsi="宋体" w:eastAsia="宋体"/>
                <w:b w:val="0"/>
                <w:i w:val="0"/>
                <w:color w:val="000000"/>
                <w:sz w:val="18"/>
              </w:rPr>
              <w:t xml:space="preserve">否 </w:t>
            </w:r>
          </w:p>
        </w:tc>
      </w:tr>
      <w:tr>
        <w:trPr>
          <w:trHeight w:hRule="exact" w:val="408"/>
        </w:trPr>
        <w:tc>
          <w:tcPr>
            <w:tcW w:type="dxa" w:w="92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6" w:after="0"/>
              <w:ind w:left="182" w:right="0" w:firstLine="0"/>
              <w:jc w:val="left"/>
            </w:pPr>
            <w:r>
              <w:rPr>
                <w:rFonts w:ascii="宋体" w:hAnsi="宋体" w:eastAsia="宋体"/>
                <w:b w:val="0"/>
                <w:i w:val="0"/>
                <w:color w:val="000000"/>
                <w:sz w:val="18"/>
              </w:rPr>
              <w:t xml:space="preserve">李江雷 </w:t>
            </w:r>
          </w:p>
        </w:tc>
        <w:tc>
          <w:tcPr>
            <w:tcW w:type="dxa" w:w="772"/>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200" w:firstLine="0"/>
              <w:jc w:val="right"/>
            </w:pPr>
            <w:r>
              <w:rPr>
                <w:rFonts w:ascii="宋体" w:hAnsi="宋体" w:eastAsia="宋体"/>
                <w:b w:val="0"/>
                <w:i w:val="0"/>
                <w:color w:val="000000"/>
                <w:sz w:val="18"/>
              </w:rPr>
              <w:t xml:space="preserve">55 </w:t>
            </w:r>
          </w:p>
        </w:tc>
        <w:tc>
          <w:tcPr>
            <w:tcW w:type="dxa" w:w="25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6" w:after="0"/>
              <w:ind w:left="0" w:right="550" w:firstLine="0"/>
              <w:jc w:val="right"/>
            </w:pPr>
            <w:r>
              <w:rPr>
                <w:rFonts w:ascii="宋体" w:hAnsi="宋体" w:eastAsia="宋体"/>
                <w:b w:val="0"/>
                <w:i w:val="0"/>
                <w:color w:val="000000"/>
                <w:sz w:val="18"/>
              </w:rPr>
              <w:t xml:space="preserve">执行委员会委员 </w:t>
            </w:r>
          </w:p>
        </w:tc>
        <w:tc>
          <w:tcPr>
            <w:tcW w:type="dxa" w:w="9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192" w:firstLine="0"/>
              <w:jc w:val="right"/>
            </w:pPr>
            <w:r>
              <w:rPr>
                <w:rFonts w:ascii="宋体" w:hAnsi="宋体" w:eastAsia="宋体"/>
                <w:b w:val="0"/>
                <w:i w:val="0"/>
                <w:color w:val="000000"/>
                <w:sz w:val="18"/>
              </w:rPr>
              <w:t xml:space="preserve">离任 </w:t>
            </w:r>
          </w:p>
        </w:tc>
        <w:tc>
          <w:tcPr>
            <w:tcW w:type="dxa" w:w="226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0" w:firstLine="0"/>
              <w:jc w:val="center"/>
            </w:pPr>
            <w:r>
              <w:rPr>
                <w:rFonts w:ascii="Times New Roman" w:hAnsi="Times New Roman" w:eastAsia="Times New Roman"/>
                <w:b w:val="0"/>
                <w:i w:val="0"/>
                <w:color w:val="000000"/>
                <w:sz w:val="18"/>
              </w:rPr>
              <w:t xml:space="preserve">99.44 </w:t>
            </w:r>
          </w:p>
        </w:tc>
        <w:tc>
          <w:tcPr>
            <w:tcW w:type="dxa" w:w="131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6" w:after="0"/>
              <w:ind w:left="0" w:right="472" w:firstLine="0"/>
              <w:jc w:val="right"/>
            </w:pPr>
            <w:r>
              <w:rPr>
                <w:rFonts w:ascii="宋体" w:hAnsi="宋体" w:eastAsia="宋体"/>
                <w:b w:val="0"/>
                <w:i w:val="0"/>
                <w:color w:val="000000"/>
                <w:sz w:val="18"/>
              </w:rPr>
              <w:t xml:space="preserve">否 </w:t>
            </w:r>
          </w:p>
        </w:tc>
      </w:tr>
    </w:tbl>
    <w:p>
      <w:pPr>
        <w:autoSpaceDN w:val="0"/>
        <w:autoSpaceDE w:val="0"/>
        <w:widowControl/>
        <w:spacing w:line="197" w:lineRule="auto" w:before="432" w:after="0"/>
        <w:ind w:left="0" w:right="0" w:firstLine="0"/>
        <w:jc w:val="center"/>
      </w:pPr>
      <w:r>
        <w:rPr>
          <w:rFonts w:ascii="Calibri" w:hAnsi="Calibri" w:eastAsia="Calibri"/>
          <w:b w:val="0"/>
          <w:i w:val="0"/>
          <w:color w:val="000000"/>
          <w:sz w:val="18"/>
        </w:rPr>
        <w:t xml:space="preserve">86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89" name="Picture 8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85.99999999999994" w:type="dxa"/>
      </w:tblPr>
      <w:tblGrid>
        <w:gridCol w:w="1388"/>
        <w:gridCol w:w="1388"/>
        <w:gridCol w:w="1388"/>
        <w:gridCol w:w="1388"/>
        <w:gridCol w:w="1388"/>
        <w:gridCol w:w="1388"/>
        <w:gridCol w:w="1388"/>
      </w:tblGrid>
      <w:tr>
        <w:trPr>
          <w:trHeight w:hRule="exact" w:val="404"/>
        </w:trPr>
        <w:tc>
          <w:tcPr>
            <w:tcW w:type="dxa" w:w="920"/>
            <w:tcBorders>
              <w:start w:sz="4.0" w:val="single" w:color="#000000"/>
              <w:top w:sz="5.600000000000023"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182" w:right="0" w:firstLine="0"/>
              <w:jc w:val="left"/>
            </w:pPr>
            <w:r>
              <w:rPr>
                <w:rFonts w:ascii="宋体" w:hAnsi="宋体" w:eastAsia="宋体"/>
                <w:b w:val="0"/>
                <w:i w:val="0"/>
                <w:color w:val="000000"/>
                <w:sz w:val="18"/>
              </w:rPr>
              <w:t xml:space="preserve">刘润照 </w:t>
            </w:r>
          </w:p>
        </w:tc>
        <w:tc>
          <w:tcPr>
            <w:tcW w:type="dxa" w:w="772"/>
            <w:tcBorders>
              <w:start w:sz="3.2000000000000455"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200" w:firstLine="0"/>
              <w:jc w:val="right"/>
            </w:pPr>
            <w:r>
              <w:rPr>
                <w:rFonts w:ascii="宋体" w:hAnsi="宋体" w:eastAsia="宋体"/>
                <w:b w:val="0"/>
                <w:i w:val="0"/>
                <w:color w:val="000000"/>
                <w:sz w:val="18"/>
              </w:rPr>
              <w:t xml:space="preserve">男 </w:t>
            </w:r>
          </w:p>
        </w:tc>
        <w:tc>
          <w:tcPr>
            <w:tcW w:type="dxa" w:w="77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200" w:firstLine="0"/>
              <w:jc w:val="right"/>
            </w:pPr>
            <w:r>
              <w:rPr>
                <w:rFonts w:ascii="宋体" w:hAnsi="宋体" w:eastAsia="宋体"/>
                <w:b w:val="0"/>
                <w:i w:val="0"/>
                <w:color w:val="000000"/>
                <w:sz w:val="18"/>
              </w:rPr>
              <w:t xml:space="preserve">50 </w:t>
            </w:r>
          </w:p>
        </w:tc>
        <w:tc>
          <w:tcPr>
            <w:tcW w:type="dxa" w:w="255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192" w:right="0" w:firstLine="0"/>
              <w:jc w:val="left"/>
            </w:pPr>
            <w:r>
              <w:rPr>
                <w:rFonts w:ascii="宋体" w:hAnsi="宋体" w:eastAsia="宋体"/>
                <w:b w:val="0"/>
                <w:i w:val="0"/>
                <w:color w:val="000000"/>
                <w:sz w:val="18"/>
              </w:rPr>
              <w:t xml:space="preserve">副总经理、执行委员会委员 </w:t>
            </w:r>
          </w:p>
        </w:tc>
        <w:tc>
          <w:tcPr>
            <w:tcW w:type="dxa" w:w="932"/>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2" w:after="0"/>
              <w:ind w:left="0" w:right="192" w:firstLine="0"/>
              <w:jc w:val="right"/>
            </w:pPr>
            <w:r>
              <w:rPr>
                <w:rFonts w:ascii="宋体" w:hAnsi="宋体" w:eastAsia="宋体"/>
                <w:b w:val="0"/>
                <w:i w:val="0"/>
                <w:color w:val="000000"/>
                <w:sz w:val="18"/>
              </w:rPr>
              <w:t xml:space="preserve">离任 </w:t>
            </w:r>
          </w:p>
        </w:tc>
        <w:tc>
          <w:tcPr>
            <w:tcW w:type="dxa" w:w="2268"/>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94" w:after="0"/>
              <w:ind w:left="0" w:right="0" w:firstLine="0"/>
              <w:jc w:val="center"/>
            </w:pPr>
            <w:r>
              <w:rPr>
                <w:rFonts w:ascii="Times New Roman" w:hAnsi="Times New Roman" w:eastAsia="Times New Roman"/>
                <w:b w:val="0"/>
                <w:i w:val="0"/>
                <w:color w:val="000000"/>
                <w:sz w:val="18"/>
              </w:rPr>
              <w:t xml:space="preserve">57.73 </w:t>
            </w:r>
          </w:p>
        </w:tc>
        <w:tc>
          <w:tcPr>
            <w:tcW w:type="dxa" w:w="1314"/>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102" w:after="0"/>
              <w:ind w:left="0" w:right="472" w:firstLine="0"/>
              <w:jc w:val="right"/>
            </w:pPr>
            <w:r>
              <w:rPr>
                <w:rFonts w:ascii="宋体" w:hAnsi="宋体" w:eastAsia="宋体"/>
                <w:b w:val="0"/>
                <w:i w:val="0"/>
                <w:color w:val="000000"/>
                <w:sz w:val="18"/>
              </w:rPr>
              <w:t xml:space="preserve">否 </w:t>
            </w:r>
          </w:p>
        </w:tc>
      </w:tr>
      <w:tr>
        <w:trPr>
          <w:trHeight w:hRule="exact" w:val="410"/>
        </w:trPr>
        <w:tc>
          <w:tcPr>
            <w:tcW w:type="dxa" w:w="920"/>
            <w:tcBorders>
              <w:start w:sz="4.0" w:val="single" w:color="#000000"/>
              <w:top w:sz="4.0" w:val="single" w:color="#000000"/>
              <w:end w:sz="3.2000000000000455" w:val="single" w:color="#000000"/>
              <w:bottom w:sz="4.0" w:val="single" w:color="#000000"/>
            </w:tcBorders>
            <w:shd w:fill="d8d9d8"/>
            <w:tcMar>
              <w:start w:w="0" w:type="dxa"/>
              <w:end w:w="0" w:type="dxa"/>
            </w:tcMar>
          </w:tcPr>
          <w:p>
            <w:pPr>
              <w:autoSpaceDN w:val="0"/>
              <w:autoSpaceDE w:val="0"/>
              <w:widowControl/>
              <w:spacing w:line="180" w:lineRule="exact" w:before="144" w:after="0"/>
              <w:ind w:left="0" w:right="186" w:firstLine="0"/>
              <w:jc w:val="right"/>
            </w:pPr>
            <w:r>
              <w:rPr>
                <w:rFonts w:ascii="宋体" w:hAnsi="宋体" w:eastAsia="宋体"/>
                <w:b w:val="0"/>
                <w:i w:val="0"/>
                <w:color w:val="000000"/>
                <w:sz w:val="18"/>
              </w:rPr>
              <w:t xml:space="preserve">合计 </w:t>
            </w:r>
          </w:p>
        </w:tc>
        <w:tc>
          <w:tcPr>
            <w:tcW w:type="dxa" w:w="772"/>
            <w:tcBorders>
              <w:start w:sz="3.2000000000000455"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44" w:after="0"/>
              <w:ind w:left="0" w:right="244" w:firstLine="0"/>
              <w:jc w:val="right"/>
            </w:pPr>
            <w:r>
              <w:rPr>
                <w:rFonts w:ascii="宋体" w:hAnsi="宋体" w:eastAsia="宋体"/>
                <w:b w:val="0"/>
                <w:i w:val="0"/>
                <w:color w:val="000000"/>
                <w:sz w:val="18"/>
              </w:rPr>
              <w:t xml:space="preserve">- </w:t>
            </w:r>
          </w:p>
        </w:tc>
        <w:tc>
          <w:tcPr>
            <w:tcW w:type="dxa" w:w="770"/>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44" w:after="0"/>
              <w:ind w:left="0" w:right="244" w:firstLine="0"/>
              <w:jc w:val="right"/>
            </w:pPr>
            <w:r>
              <w:rPr>
                <w:rFonts w:ascii="宋体" w:hAnsi="宋体" w:eastAsia="宋体"/>
                <w:b w:val="0"/>
                <w:i w:val="0"/>
                <w:color w:val="000000"/>
                <w:sz w:val="18"/>
              </w:rPr>
              <w:t xml:space="preserve">- </w:t>
            </w:r>
          </w:p>
        </w:tc>
        <w:tc>
          <w:tcPr>
            <w:tcW w:type="dxa" w:w="2550"/>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44" w:after="0"/>
              <w:ind w:left="0" w:right="1134" w:firstLine="0"/>
              <w:jc w:val="right"/>
            </w:pPr>
            <w:r>
              <w:rPr>
                <w:rFonts w:ascii="宋体" w:hAnsi="宋体" w:eastAsia="宋体"/>
                <w:b w:val="0"/>
                <w:i w:val="0"/>
                <w:color w:val="000000"/>
                <w:sz w:val="18"/>
              </w:rPr>
              <w:t xml:space="preserve">- </w:t>
            </w:r>
          </w:p>
        </w:tc>
        <w:tc>
          <w:tcPr>
            <w:tcW w:type="dxa" w:w="932"/>
            <w:tcBorders>
              <w:start w:sz="4.0" w:val="single" w:color="#000000"/>
              <w:top w:sz="4.0" w:val="single" w:color="#000000"/>
              <w:end w:sz="3.199999999999818" w:val="single" w:color="#000000"/>
              <w:bottom w:sz="4.0" w:val="single" w:color="#000000"/>
            </w:tcBorders>
            <w:shd w:fill="d8d9d8"/>
            <w:tcMar>
              <w:start w:w="0" w:type="dxa"/>
              <w:end w:w="0" w:type="dxa"/>
            </w:tcMar>
          </w:tcPr>
          <w:p>
            <w:pPr>
              <w:autoSpaceDN w:val="0"/>
              <w:autoSpaceDE w:val="0"/>
              <w:widowControl/>
              <w:spacing w:line="180" w:lineRule="exact" w:before="144" w:after="0"/>
              <w:ind w:left="0" w:right="326" w:firstLine="0"/>
              <w:jc w:val="right"/>
            </w:pPr>
            <w:r>
              <w:rPr>
                <w:rFonts w:ascii="宋体" w:hAnsi="宋体" w:eastAsia="宋体"/>
                <w:b w:val="0"/>
                <w:i w:val="0"/>
                <w:color w:val="000000"/>
                <w:sz w:val="18"/>
              </w:rPr>
              <w:t xml:space="preserve">- </w:t>
            </w:r>
          </w:p>
        </w:tc>
        <w:tc>
          <w:tcPr>
            <w:tcW w:type="dxa" w:w="2268"/>
            <w:tcBorders>
              <w:start w:sz="3.199999999999818"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233" w:lineRule="auto" w:before="102" w:after="0"/>
              <w:ind w:left="0" w:right="0" w:firstLine="0"/>
              <w:jc w:val="center"/>
            </w:pPr>
            <w:r>
              <w:rPr>
                <w:rFonts w:ascii="Times New Roman" w:hAnsi="Times New Roman" w:eastAsia="Times New Roman"/>
                <w:b w:val="0"/>
                <w:i w:val="0"/>
                <w:color w:val="000000"/>
                <w:sz w:val="18"/>
              </w:rPr>
              <w:t xml:space="preserve">1542.39 </w:t>
            </w:r>
          </w:p>
        </w:tc>
        <w:tc>
          <w:tcPr>
            <w:tcW w:type="dxa" w:w="1314"/>
            <w:tcBorders>
              <w:start w:sz="4.0" w:val="single" w:color="#000000"/>
              <w:top w:sz="4.0" w:val="single" w:color="#000000"/>
              <w:end w:sz="3.199999999999818" w:val="single" w:color="#000000"/>
              <w:bottom w:sz="4.0" w:val="single" w:color="#000000"/>
            </w:tcBorders>
            <w:shd w:fill="d8d9d8"/>
            <w:tcMar>
              <w:start w:w="0" w:type="dxa"/>
              <w:end w:w="0" w:type="dxa"/>
            </w:tcMar>
          </w:tcPr>
          <w:p>
            <w:pPr>
              <w:autoSpaceDN w:val="0"/>
              <w:autoSpaceDE w:val="0"/>
              <w:widowControl/>
              <w:spacing w:line="180" w:lineRule="exact" w:before="144" w:after="0"/>
              <w:ind w:left="0" w:right="516" w:firstLine="0"/>
              <w:jc w:val="right"/>
            </w:pPr>
            <w:r>
              <w:rPr>
                <w:rFonts w:ascii="宋体" w:hAnsi="宋体" w:eastAsia="宋体"/>
                <w:b w:val="0"/>
                <w:i w:val="0"/>
                <w:color w:val="000000"/>
                <w:sz w:val="18"/>
              </w:rPr>
              <w:t xml:space="preserve">- </w:t>
            </w:r>
          </w:p>
        </w:tc>
      </w:tr>
    </w:tbl>
    <w:p>
      <w:pPr>
        <w:autoSpaceDN w:val="0"/>
        <w:autoSpaceDE w:val="0"/>
        <w:widowControl/>
        <w:spacing w:line="180" w:lineRule="exact" w:before="116" w:after="0"/>
        <w:ind w:left="30" w:right="0" w:firstLine="0"/>
        <w:jc w:val="left"/>
      </w:pPr>
      <w:r>
        <w:rPr>
          <w:rFonts w:ascii="宋体" w:hAnsi="宋体" w:eastAsia="宋体"/>
          <w:b w:val="0"/>
          <w:i w:val="0"/>
          <w:color w:val="000000"/>
          <w:sz w:val="18"/>
        </w:rPr>
        <w:t xml:space="preserve">注：1、公司不存在支付非现金薪酬的情况。 </w:t>
      </w:r>
    </w:p>
    <w:p>
      <w:pPr>
        <w:autoSpaceDN w:val="0"/>
        <w:autoSpaceDE w:val="0"/>
        <w:widowControl/>
        <w:spacing w:line="180" w:lineRule="exact" w:before="160" w:after="0"/>
        <w:ind w:left="390" w:right="0" w:firstLine="0"/>
        <w:jc w:val="left"/>
      </w:pPr>
      <w:r>
        <w:rPr>
          <w:rFonts w:ascii="宋体" w:hAnsi="宋体" w:eastAsia="宋体"/>
          <w:b w:val="0"/>
          <w:i w:val="0"/>
          <w:color w:val="000000"/>
          <w:sz w:val="18"/>
        </w:rPr>
        <w:t xml:space="preserve">2、从公司获得的税前报酬总额为归属于公司2024 年度计提并发放的薪酬，不含公司承担的社保公积金。 </w:t>
      </w:r>
    </w:p>
    <w:p>
      <w:pPr>
        <w:autoSpaceDN w:val="0"/>
        <w:autoSpaceDE w:val="0"/>
        <w:widowControl/>
        <w:spacing w:line="340" w:lineRule="exact" w:before="2" w:after="0"/>
        <w:ind w:left="30" w:right="232" w:firstLine="360"/>
        <w:jc w:val="both"/>
      </w:pPr>
      <w:r>
        <w:rPr>
          <w:rFonts w:ascii="宋体" w:hAnsi="宋体" w:eastAsia="宋体"/>
          <w:b w:val="0"/>
          <w:i w:val="0"/>
          <w:color w:val="000000"/>
          <w:sz w:val="18"/>
        </w:rPr>
        <w:t>3、上述人员报告期内薪酬为其担任董事、监事、高级管理人员职务期间领取的薪酬，在公司内担任非董监高职务期</w:t>
      </w:r>
      <w:r>
        <w:rPr>
          <w:rFonts w:ascii="宋体" w:hAnsi="宋体" w:eastAsia="宋体"/>
          <w:b w:val="0"/>
          <w:i w:val="0"/>
          <w:color w:val="000000"/>
          <w:sz w:val="18"/>
        </w:rPr>
        <w:t>间领取的薪酬未统计在内。2024 年9 月18 日公司董事会审议通过,同意聘任赵雪先生担任公司副总经理、执行委员会委</w:t>
      </w:r>
      <w:r>
        <w:rPr>
          <w:rFonts w:ascii="宋体" w:hAnsi="宋体" w:eastAsia="宋体"/>
          <w:b w:val="0"/>
          <w:i w:val="0"/>
          <w:color w:val="000000"/>
          <w:sz w:val="18"/>
        </w:rPr>
        <w:t>员，报告期内披露薪酬为其2024 年10 月-12 月担任高管期间领取的薪酬；同日，刘润照先生申请辞去公司副总经理、</w:t>
      </w:r>
      <w:r>
        <w:rPr>
          <w:rFonts w:ascii="宋体" w:hAnsi="宋体" w:eastAsia="宋体"/>
          <w:b w:val="0"/>
          <w:i w:val="0"/>
          <w:color w:val="000000"/>
          <w:sz w:val="18"/>
        </w:rPr>
        <w:t>执行委员会委员职务，李江雷先生申请辞去公司执行委员会委员职务，报告期内披露薪酬为其2024 年1 月-9 月担任高</w:t>
      </w:r>
      <w:r>
        <w:rPr>
          <w:rFonts w:ascii="宋体" w:hAnsi="宋体" w:eastAsia="宋体"/>
          <w:b w:val="0"/>
          <w:i w:val="0"/>
          <w:color w:val="000000"/>
          <w:sz w:val="18"/>
        </w:rPr>
        <w:t xml:space="preserve">管期间领取的薪酬。 </w:t>
      </w:r>
    </w:p>
    <w:p>
      <w:pPr>
        <w:autoSpaceDN w:val="0"/>
        <w:tabs>
          <w:tab w:pos="390" w:val="left"/>
        </w:tabs>
        <w:autoSpaceDE w:val="0"/>
        <w:widowControl/>
        <w:spacing w:line="340" w:lineRule="exact" w:before="2" w:after="0"/>
        <w:ind w:left="30" w:right="144" w:firstLine="0"/>
        <w:jc w:val="left"/>
      </w:pPr>
      <w:r>
        <w:tab/>
      </w:r>
      <w:r>
        <w:rPr>
          <w:rFonts w:ascii="宋体" w:hAnsi="宋体" w:eastAsia="宋体"/>
          <w:b w:val="0"/>
          <w:i w:val="0"/>
          <w:color w:val="000000"/>
          <w:sz w:val="18"/>
        </w:rPr>
        <w:t>4、2024 年度，公司已发放刘军先生归属于2024 年度全部薪酬；已发放孙嘉锋先生归属于2024 年度固薪及部分绩</w:t>
      </w:r>
      <w:r>
        <w:rPr>
          <w:rFonts w:ascii="宋体" w:hAnsi="宋体" w:eastAsia="宋体"/>
          <w:b w:val="0"/>
          <w:i w:val="0"/>
          <w:color w:val="000000"/>
          <w:sz w:val="18"/>
        </w:rPr>
        <w:t>效薪酬；其他董事、监事和高级管理人员的最终薪酬仍在确定过程中，待确定之后另行披露。</w:t>
      </w:r>
    </w:p>
    <w:p>
      <w:pPr>
        <w:autoSpaceDN w:val="0"/>
        <w:autoSpaceDE w:val="0"/>
        <w:widowControl/>
        <w:spacing w:line="340" w:lineRule="exact" w:before="358" w:after="0"/>
        <w:ind w:left="30" w:right="8208" w:firstLine="0"/>
        <w:jc w:val="left"/>
      </w:pPr>
      <w:r>
        <w:rPr>
          <w:rFonts w:ascii="宋体" w:hAnsi="宋体" w:eastAsia="宋体"/>
          <w:b w:val="0"/>
          <w:i w:val="0"/>
          <w:color w:val="000000"/>
          <w:sz w:val="18"/>
        </w:rPr>
        <w:t xml:space="preserve">其他情况说明 </w:t>
      </w:r>
      <w:r>
        <w:br/>
      </w:r>
      <w:r>
        <w:rPr>
          <w:rFonts w:ascii="宋体" w:hAnsi="宋体" w:eastAsia="宋体"/>
          <w:b w:val="0"/>
          <w:i w:val="0"/>
          <w:color w:val="000000"/>
          <w:sz w:val="18"/>
        </w:rPr>
        <w:t xml:space="preserve">□适用 √不适用 </w:t>
      </w:r>
    </w:p>
    <w:p>
      <w:pPr>
        <w:autoSpaceDN w:val="0"/>
        <w:autoSpaceDE w:val="0"/>
        <w:widowControl/>
        <w:spacing w:line="240" w:lineRule="exact" w:before="374" w:after="0"/>
        <w:ind w:left="30" w:right="0" w:firstLine="0"/>
        <w:jc w:val="left"/>
      </w:pPr>
      <w:r>
        <w:rPr>
          <w:rFonts w:ascii="宋体" w:hAnsi="宋体" w:eastAsia="宋体"/>
          <w:b w:val="0"/>
          <w:i w:val="0"/>
          <w:color w:val="000000"/>
          <w:sz w:val="24"/>
        </w:rPr>
        <w:t xml:space="preserve">六、报告期内召开的董事会会议、监事会会议的有关情况 </w:t>
      </w:r>
    </w:p>
    <w:p>
      <w:pPr>
        <w:autoSpaceDN w:val="0"/>
        <w:autoSpaceDE w:val="0"/>
        <w:widowControl/>
        <w:spacing w:line="212" w:lineRule="exact" w:before="374" w:after="324"/>
        <w:ind w:left="30" w:right="0" w:firstLine="0"/>
        <w:jc w:val="left"/>
      </w:pPr>
      <w:r>
        <w:rPr>
          <w:rFonts w:ascii="宋体" w:hAnsi="宋体" w:eastAsia="宋体"/>
          <w:b w:val="0"/>
          <w:i w:val="0"/>
          <w:color w:val="000000"/>
          <w:sz w:val="21"/>
        </w:rPr>
        <w:t xml:space="preserve">1、本报告期董事会情况 </w:t>
      </w:r>
    </w:p>
    <w:tbl>
      <w:tblPr>
        <w:tblW w:type="auto" w:w="0"/>
        <w:tblLayout w:type="fixed"/>
        <w:tblLook w:firstColumn="1" w:firstRow="1" w:lastColumn="0" w:lastRow="0" w:noHBand="0" w:noVBand="1" w:val="04A0"/>
        <w:tblInd w:w="27.99999999999997" w:type="dxa"/>
      </w:tblPr>
      <w:tblGrid>
        <w:gridCol w:w="2429"/>
        <w:gridCol w:w="2429"/>
        <w:gridCol w:w="2429"/>
        <w:gridCol w:w="2429"/>
      </w:tblGrid>
      <w:tr>
        <w:trPr>
          <w:trHeight w:hRule="exact" w:val="324"/>
        </w:trPr>
        <w:tc>
          <w:tcPr>
            <w:tcW w:type="dxa" w:w="1704"/>
            <w:tcBorders>
              <w:start w:sz="2.3999999999999773" w:val="single" w:color="#000000"/>
              <w:top w:sz="2.400000000000091"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102" w:after="0"/>
              <w:ind w:left="0" w:right="396" w:firstLine="0"/>
              <w:jc w:val="right"/>
            </w:pPr>
            <w:r>
              <w:rPr>
                <w:rFonts w:ascii="宋体" w:hAnsi="宋体" w:eastAsia="宋体"/>
                <w:b w:val="0"/>
                <w:i w:val="0"/>
                <w:color w:val="000000"/>
                <w:sz w:val="18"/>
              </w:rPr>
              <w:t xml:space="preserve">会议届次 </w:t>
            </w:r>
          </w:p>
        </w:tc>
        <w:tc>
          <w:tcPr>
            <w:tcW w:type="dxa" w:w="1132"/>
            <w:tcBorders>
              <w:start w:sz="2.400000000000091" w:val="single" w:color="#000000"/>
              <w:top w:sz="2.400000000000091"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02" w:after="0"/>
              <w:ind w:left="198" w:right="0" w:firstLine="0"/>
              <w:jc w:val="left"/>
            </w:pPr>
            <w:r>
              <w:rPr>
                <w:rFonts w:ascii="宋体" w:hAnsi="宋体" w:eastAsia="宋体"/>
                <w:b w:val="0"/>
                <w:i w:val="0"/>
                <w:color w:val="000000"/>
                <w:sz w:val="18"/>
              </w:rPr>
              <w:t xml:space="preserve">召开日期 </w:t>
            </w:r>
          </w:p>
        </w:tc>
        <w:tc>
          <w:tcPr>
            <w:tcW w:type="dxa" w:w="1136"/>
            <w:tcBorders>
              <w:start w:sz="1.599999999999909" w:val="single" w:color="#000000"/>
              <w:top w:sz="2.400000000000091" w:val="single" w:color="#000000"/>
              <w:end w:sz="1.6000000000001364" w:val="single" w:color="#000000"/>
              <w:bottom w:sz="2.399999999999636" w:val="single" w:color="#000000"/>
            </w:tcBorders>
            <w:shd w:fill="d2d2d2"/>
            <w:tcMar>
              <w:start w:w="0" w:type="dxa"/>
              <w:end w:w="0" w:type="dxa"/>
            </w:tcMar>
          </w:tcPr>
          <w:p>
            <w:pPr>
              <w:autoSpaceDN w:val="0"/>
              <w:autoSpaceDE w:val="0"/>
              <w:widowControl/>
              <w:spacing w:line="180" w:lineRule="exact" w:before="102" w:after="0"/>
              <w:ind w:left="204" w:right="0" w:firstLine="0"/>
              <w:jc w:val="left"/>
            </w:pPr>
            <w:r>
              <w:rPr>
                <w:rFonts w:ascii="宋体" w:hAnsi="宋体" w:eastAsia="宋体"/>
                <w:b w:val="0"/>
                <w:i w:val="0"/>
                <w:color w:val="000000"/>
                <w:sz w:val="18"/>
              </w:rPr>
              <w:t xml:space="preserve">披露日期 </w:t>
            </w:r>
          </w:p>
        </w:tc>
        <w:tc>
          <w:tcPr>
            <w:tcW w:type="dxa" w:w="5670"/>
            <w:tcBorders>
              <w:start w:sz="1.6000000000001364" w:val="single" w:color="#000000"/>
              <w:top w:sz="2.400000000000091" w:val="single" w:color="#000000"/>
              <w:end w:sz="1.5999999999994543" w:val="single" w:color="#000000"/>
              <w:bottom w:sz="2.399999999999636" w:val="single" w:color="#000000"/>
            </w:tcBorders>
            <w:shd w:fill="d2d2d2"/>
            <w:tcMar>
              <w:start w:w="0" w:type="dxa"/>
              <w:end w:w="0" w:type="dxa"/>
            </w:tcMar>
          </w:tcPr>
          <w:p>
            <w:pPr>
              <w:autoSpaceDN w:val="0"/>
              <w:autoSpaceDE w:val="0"/>
              <w:widowControl/>
              <w:spacing w:line="180" w:lineRule="exact" w:before="102" w:after="0"/>
              <w:ind w:left="0" w:right="2384" w:firstLine="0"/>
              <w:jc w:val="right"/>
            </w:pPr>
            <w:r>
              <w:rPr>
                <w:rFonts w:ascii="宋体" w:hAnsi="宋体" w:eastAsia="宋体"/>
                <w:b w:val="0"/>
                <w:i w:val="0"/>
                <w:color w:val="000000"/>
                <w:sz w:val="18"/>
              </w:rPr>
              <w:t xml:space="preserve">会议决议 </w:t>
            </w:r>
          </w:p>
        </w:tc>
      </w:tr>
      <w:tr>
        <w:trPr>
          <w:trHeight w:hRule="exact" w:val="966"/>
        </w:trPr>
        <w:tc>
          <w:tcPr>
            <w:tcW w:type="dxa" w:w="1704"/>
            <w:tcBorders>
              <w:start w:sz="2.3999999999999773"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320" w:lineRule="exact" w:before="124" w:after="0"/>
              <w:ind w:left="310" w:right="144" w:firstLine="0"/>
              <w:jc w:val="left"/>
            </w:pPr>
            <w:r>
              <w:rPr>
                <w:rFonts w:ascii="宋体" w:hAnsi="宋体" w:eastAsia="宋体"/>
                <w:b w:val="0"/>
                <w:i w:val="0"/>
                <w:color w:val="000000"/>
                <w:sz w:val="18"/>
              </w:rPr>
              <w:t xml:space="preserve">第四届董事会 </w:t>
            </w:r>
            <w:r>
              <w:rPr>
                <w:rFonts w:ascii="宋体" w:hAnsi="宋体" w:eastAsia="宋体"/>
                <w:b w:val="0"/>
                <w:i w:val="0"/>
                <w:color w:val="000000"/>
                <w:sz w:val="18"/>
              </w:rPr>
              <w:t xml:space="preserve">第二十次会议 </w:t>
            </w:r>
          </w:p>
        </w:tc>
        <w:tc>
          <w:tcPr>
            <w:tcW w:type="dxa" w:w="113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424" w:after="0"/>
              <w:ind w:left="110" w:right="0" w:firstLine="0"/>
              <w:jc w:val="left"/>
            </w:pPr>
            <w:r>
              <w:rPr>
                <w:rFonts w:ascii="宋体" w:hAnsi="宋体" w:eastAsia="宋体"/>
                <w:b w:val="0"/>
                <w:i w:val="0"/>
                <w:color w:val="000000"/>
                <w:sz w:val="18"/>
              </w:rPr>
              <w:t xml:space="preserve">2024.03.26 </w:t>
            </w:r>
          </w:p>
        </w:tc>
        <w:tc>
          <w:tcPr>
            <w:tcW w:type="dxa" w:w="1136"/>
            <w:tcBorders>
              <w:start w:sz="1.599999999999909"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424" w:after="0"/>
              <w:ind w:left="116" w:right="0" w:firstLine="0"/>
              <w:jc w:val="left"/>
            </w:pPr>
            <w:r>
              <w:rPr>
                <w:rFonts w:ascii="宋体" w:hAnsi="宋体" w:eastAsia="宋体"/>
                <w:b w:val="0"/>
                <w:i w:val="0"/>
                <w:color w:val="000000"/>
                <w:sz w:val="18"/>
              </w:rPr>
              <w:t xml:space="preserve">2024.03.28 </w:t>
            </w:r>
          </w:p>
        </w:tc>
        <w:tc>
          <w:tcPr>
            <w:tcW w:type="dxa" w:w="5670"/>
            <w:tcBorders>
              <w:start w:sz="1.6000000000001364"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308" w:lineRule="exact" w:before="0" w:after="0"/>
              <w:ind w:left="106" w:right="110" w:firstLine="0"/>
              <w:jc w:val="both"/>
            </w:pPr>
            <w:r>
              <w:rPr>
                <w:rFonts w:ascii="宋体" w:hAnsi="宋体" w:eastAsia="宋体"/>
                <w:b w:val="0"/>
                <w:i w:val="0"/>
                <w:color w:val="000000"/>
                <w:sz w:val="18"/>
              </w:rPr>
              <w:t>审议通过《公募基金产品2023 年年度报告》。详见巨潮资讯网</w:t>
            </w:r>
            <w:r>
              <w:rPr>
                <w:rFonts w:ascii="宋体" w:hAnsi="宋体" w:eastAsia="宋体"/>
                <w:b w:val="0"/>
                <w:i w:val="0"/>
                <w:color w:val="000000"/>
                <w:sz w:val="18"/>
              </w:rPr>
              <w:t>（http://www.cninfo.com.cn）《关于第四届董事会第二十次会议决</w:t>
            </w:r>
            <w:r>
              <w:rPr>
                <w:rFonts w:ascii="宋体" w:hAnsi="宋体" w:eastAsia="宋体"/>
                <w:b w:val="0"/>
                <w:i w:val="0"/>
                <w:color w:val="000000"/>
                <w:sz w:val="18"/>
              </w:rPr>
              <w:t xml:space="preserve">议的公告》（2024-003） </w:t>
            </w:r>
          </w:p>
        </w:tc>
      </w:tr>
      <w:tr>
        <w:trPr>
          <w:trHeight w:hRule="exact" w:val="1606"/>
        </w:trPr>
        <w:tc>
          <w:tcPr>
            <w:tcW w:type="dxa" w:w="1704"/>
            <w:tcBorders>
              <w:start w:sz="2.3999999999999773"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320" w:lineRule="exact" w:before="442" w:after="0"/>
              <w:ind w:left="144" w:right="0" w:firstLine="0"/>
              <w:jc w:val="center"/>
            </w:pPr>
            <w:r>
              <w:rPr>
                <w:rFonts w:ascii="宋体" w:hAnsi="宋体" w:eastAsia="宋体"/>
                <w:b w:val="0"/>
                <w:i w:val="0"/>
                <w:color w:val="000000"/>
                <w:sz w:val="18"/>
              </w:rPr>
              <w:t xml:space="preserve">第四届董事会 </w:t>
            </w:r>
            <w:r>
              <w:br/>
            </w:r>
            <w:r>
              <w:rPr>
                <w:rFonts w:ascii="宋体" w:hAnsi="宋体" w:eastAsia="宋体"/>
                <w:b w:val="0"/>
                <w:i w:val="0"/>
                <w:color w:val="000000"/>
                <w:sz w:val="18"/>
              </w:rPr>
              <w:t xml:space="preserve">第二十一次会议 </w:t>
            </w:r>
          </w:p>
        </w:tc>
        <w:tc>
          <w:tcPr>
            <w:tcW w:type="dxa" w:w="1132"/>
            <w:tcBorders>
              <w:start w:sz="2.400000000000091"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744" w:after="0"/>
              <w:ind w:left="110" w:right="0" w:firstLine="0"/>
              <w:jc w:val="left"/>
            </w:pPr>
            <w:r>
              <w:rPr>
                <w:rFonts w:ascii="宋体" w:hAnsi="宋体" w:eastAsia="宋体"/>
                <w:b w:val="0"/>
                <w:i w:val="0"/>
                <w:color w:val="000000"/>
                <w:sz w:val="18"/>
              </w:rPr>
              <w:t xml:space="preserve">2024.04.26 </w:t>
            </w:r>
          </w:p>
        </w:tc>
        <w:tc>
          <w:tcPr>
            <w:tcW w:type="dxa" w:w="1136"/>
            <w:tcBorders>
              <w:start w:sz="1.599999999999909"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744" w:after="0"/>
              <w:ind w:left="116" w:right="0" w:firstLine="0"/>
              <w:jc w:val="left"/>
            </w:pPr>
            <w:r>
              <w:rPr>
                <w:rFonts w:ascii="宋体" w:hAnsi="宋体" w:eastAsia="宋体"/>
                <w:b w:val="0"/>
                <w:i w:val="0"/>
                <w:color w:val="000000"/>
                <w:sz w:val="18"/>
              </w:rPr>
              <w:t xml:space="preserve">2024.04.30 </w:t>
            </w:r>
          </w:p>
        </w:tc>
        <w:tc>
          <w:tcPr>
            <w:tcW w:type="dxa" w:w="5670"/>
            <w:tcBorders>
              <w:start w:sz="1.6000000000001364"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312" w:lineRule="exact" w:before="0" w:after="0"/>
              <w:ind w:left="106" w:right="144" w:firstLine="0"/>
              <w:jc w:val="left"/>
            </w:pPr>
            <w:r>
              <w:rPr>
                <w:rFonts w:ascii="宋体" w:hAnsi="宋体" w:eastAsia="宋体"/>
                <w:b w:val="0"/>
                <w:i w:val="0"/>
                <w:color w:val="000000"/>
                <w:sz w:val="18"/>
              </w:rPr>
              <w:t>审议通过《公司2023 年度工作报告及2024 年度工作部署》等41 项</w:t>
            </w:r>
            <w:r>
              <w:rPr>
                <w:rFonts w:ascii="宋体" w:hAnsi="宋体" w:eastAsia="宋体"/>
                <w:b w:val="0"/>
                <w:i w:val="0"/>
                <w:color w:val="000000"/>
                <w:sz w:val="18"/>
              </w:rPr>
              <w:t>议案，听取了《公司2023 年度内部审计工作报告及2024 年度内部审</w:t>
            </w:r>
            <w:r>
              <w:rPr>
                <w:rFonts w:ascii="宋体" w:hAnsi="宋体" w:eastAsia="宋体"/>
                <w:b w:val="0"/>
                <w:i w:val="0"/>
                <w:color w:val="000000"/>
                <w:sz w:val="18"/>
              </w:rPr>
              <w:t>计工作计划》《公司2024 年第一季度内部审计工作报告》。详见巨潮</w:t>
            </w:r>
            <w:r>
              <w:rPr>
                <w:rFonts w:ascii="宋体" w:hAnsi="宋体" w:eastAsia="宋体"/>
                <w:b w:val="0"/>
                <w:i w:val="0"/>
                <w:color w:val="000000"/>
                <w:sz w:val="18"/>
              </w:rPr>
              <w:t>资讯网（http://www.cninfo.com.cn）《关于第四届董事会第二十一</w:t>
            </w:r>
            <w:r>
              <w:rPr>
                <w:rFonts w:ascii="宋体" w:hAnsi="宋体" w:eastAsia="宋体"/>
                <w:b w:val="0"/>
                <w:i w:val="0"/>
                <w:color w:val="000000"/>
                <w:sz w:val="18"/>
              </w:rPr>
              <w:t xml:space="preserve">次会议决议的公告》（临2024-004） </w:t>
            </w:r>
          </w:p>
        </w:tc>
      </w:tr>
      <w:tr>
        <w:trPr>
          <w:trHeight w:hRule="exact" w:val="1284"/>
        </w:trPr>
        <w:tc>
          <w:tcPr>
            <w:tcW w:type="dxa" w:w="1704"/>
            <w:tcBorders>
              <w:start w:sz="2.3999999999999773"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320" w:lineRule="exact" w:before="282" w:after="0"/>
              <w:ind w:left="144" w:right="0" w:firstLine="0"/>
              <w:jc w:val="center"/>
            </w:pPr>
            <w:r>
              <w:rPr>
                <w:rFonts w:ascii="宋体" w:hAnsi="宋体" w:eastAsia="宋体"/>
                <w:b w:val="0"/>
                <w:i w:val="0"/>
                <w:color w:val="000000"/>
                <w:sz w:val="18"/>
              </w:rPr>
              <w:t xml:space="preserve">第四届董事会 </w:t>
            </w:r>
            <w:r>
              <w:br/>
            </w:r>
            <w:r>
              <w:rPr>
                <w:rFonts w:ascii="宋体" w:hAnsi="宋体" w:eastAsia="宋体"/>
                <w:b w:val="0"/>
                <w:i w:val="0"/>
                <w:color w:val="000000"/>
                <w:sz w:val="18"/>
              </w:rPr>
              <w:t xml:space="preserve">第二十二次会议 </w:t>
            </w:r>
          </w:p>
        </w:tc>
        <w:tc>
          <w:tcPr>
            <w:tcW w:type="dxa" w:w="1132"/>
            <w:tcBorders>
              <w:start w:sz="2.400000000000091"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582" w:after="0"/>
              <w:ind w:left="110" w:right="0" w:firstLine="0"/>
              <w:jc w:val="left"/>
            </w:pPr>
            <w:r>
              <w:rPr>
                <w:rFonts w:ascii="宋体" w:hAnsi="宋体" w:eastAsia="宋体"/>
                <w:b w:val="0"/>
                <w:i w:val="0"/>
                <w:color w:val="000000"/>
                <w:sz w:val="18"/>
              </w:rPr>
              <w:t xml:space="preserve">2024.08.26 </w:t>
            </w:r>
          </w:p>
        </w:tc>
        <w:tc>
          <w:tcPr>
            <w:tcW w:type="dxa" w:w="1136"/>
            <w:tcBorders>
              <w:start w:sz="1.599999999999909"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582" w:after="0"/>
              <w:ind w:left="116" w:right="0" w:firstLine="0"/>
              <w:jc w:val="left"/>
            </w:pPr>
            <w:r>
              <w:rPr>
                <w:rFonts w:ascii="宋体" w:hAnsi="宋体" w:eastAsia="宋体"/>
                <w:b w:val="0"/>
                <w:i w:val="0"/>
                <w:color w:val="000000"/>
                <w:sz w:val="18"/>
              </w:rPr>
              <w:t xml:space="preserve">2024.08.28 </w:t>
            </w:r>
          </w:p>
        </w:tc>
        <w:tc>
          <w:tcPr>
            <w:tcW w:type="dxa" w:w="5670"/>
            <w:tcBorders>
              <w:start w:sz="1.6000000000001364" w:val="single" w:color="#000000"/>
              <w:top w:sz="1.5999999999994543" w:val="single" w:color="#000000"/>
              <w:end w:sz="1.5999999999994543" w:val="single" w:color="#000000"/>
              <w:bottom w:sz="1.6000000000003638" w:val="single" w:color="#000000"/>
            </w:tcBorders>
            <w:tcMar>
              <w:start w:w="0" w:type="dxa"/>
              <w:end w:w="0" w:type="dxa"/>
            </w:tcMar>
          </w:tcPr>
          <w:p>
            <w:pPr>
              <w:autoSpaceDN w:val="0"/>
              <w:autoSpaceDE w:val="0"/>
              <w:widowControl/>
              <w:spacing w:line="310" w:lineRule="exact" w:before="0" w:after="0"/>
              <w:ind w:left="106" w:right="144" w:firstLine="0"/>
              <w:jc w:val="left"/>
            </w:pPr>
            <w:r>
              <w:rPr>
                <w:rFonts w:ascii="宋体" w:hAnsi="宋体" w:eastAsia="宋体"/>
                <w:b w:val="0"/>
                <w:i w:val="0"/>
                <w:color w:val="000000"/>
                <w:sz w:val="18"/>
              </w:rPr>
              <w:t>审议通过《公司2024年半年度报告及其摘要》等8项议案，听取了</w:t>
            </w:r>
            <w:r>
              <w:rPr>
                <w:rFonts w:ascii="宋体" w:hAnsi="宋体" w:eastAsia="宋体"/>
                <w:b w:val="0"/>
                <w:i w:val="0"/>
                <w:color w:val="000000"/>
                <w:sz w:val="18"/>
              </w:rPr>
              <w:t>《公司2024年第二季度内部审计工作报告》。详见巨潮资讯网</w:t>
            </w:r>
            <w:r>
              <w:rPr>
                <w:rFonts w:ascii="宋体" w:hAnsi="宋体" w:eastAsia="宋体"/>
                <w:b w:val="0"/>
                <w:i w:val="0"/>
                <w:color w:val="000000"/>
                <w:sz w:val="18"/>
              </w:rPr>
              <w:t>（http://www.cninfo.com.cn）《关于第四届董事会第二十二次会议</w:t>
            </w:r>
            <w:r>
              <w:rPr>
                <w:rFonts w:ascii="宋体" w:hAnsi="宋体" w:eastAsia="宋体"/>
                <w:b w:val="0"/>
                <w:i w:val="0"/>
                <w:color w:val="000000"/>
                <w:sz w:val="18"/>
              </w:rPr>
              <w:t xml:space="preserve">决议的公告》（临2024-020） </w:t>
            </w:r>
          </w:p>
        </w:tc>
      </w:tr>
      <w:tr>
        <w:trPr>
          <w:trHeight w:hRule="exact" w:val="964"/>
        </w:trPr>
        <w:tc>
          <w:tcPr>
            <w:tcW w:type="dxa" w:w="1704"/>
            <w:tcBorders>
              <w:start w:sz="2.3999999999999773"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318" w:lineRule="exact" w:before="126" w:after="0"/>
              <w:ind w:left="144" w:right="0" w:firstLine="0"/>
              <w:jc w:val="center"/>
            </w:pPr>
            <w:r>
              <w:rPr>
                <w:rFonts w:ascii="宋体" w:hAnsi="宋体" w:eastAsia="宋体"/>
                <w:b w:val="0"/>
                <w:i w:val="0"/>
                <w:color w:val="000000"/>
                <w:sz w:val="18"/>
              </w:rPr>
              <w:t xml:space="preserve">第四届董事会 </w:t>
            </w:r>
            <w:r>
              <w:br/>
            </w:r>
            <w:r>
              <w:rPr>
                <w:rFonts w:ascii="宋体" w:hAnsi="宋体" w:eastAsia="宋体"/>
                <w:b w:val="0"/>
                <w:i w:val="0"/>
                <w:color w:val="000000"/>
                <w:sz w:val="18"/>
              </w:rPr>
              <w:t xml:space="preserve">第二十三次会议 </w:t>
            </w:r>
          </w:p>
        </w:tc>
        <w:tc>
          <w:tcPr>
            <w:tcW w:type="dxa" w:w="1132"/>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422" w:after="0"/>
              <w:ind w:left="110" w:right="0" w:firstLine="0"/>
              <w:jc w:val="left"/>
            </w:pPr>
            <w:r>
              <w:rPr>
                <w:rFonts w:ascii="宋体" w:hAnsi="宋体" w:eastAsia="宋体"/>
                <w:b w:val="0"/>
                <w:i w:val="0"/>
                <w:color w:val="000000"/>
                <w:sz w:val="18"/>
              </w:rPr>
              <w:t xml:space="preserve">2024.09.18 </w:t>
            </w:r>
          </w:p>
        </w:tc>
        <w:tc>
          <w:tcPr>
            <w:tcW w:type="dxa" w:w="1136"/>
            <w:tcBorders>
              <w:start w:sz="1.599999999999909" w:val="single" w:color="#000000"/>
              <w:top w:sz="1.6000000000003638" w:val="single" w:color="#000000"/>
              <w:end w:sz="1.6000000000001364" w:val="single" w:color="#000000"/>
              <w:bottom w:sz="2.399999999999636" w:val="single" w:color="#000000"/>
            </w:tcBorders>
            <w:tcMar>
              <w:start w:w="0" w:type="dxa"/>
              <w:end w:w="0" w:type="dxa"/>
            </w:tcMar>
          </w:tcPr>
          <w:p>
            <w:pPr>
              <w:autoSpaceDN w:val="0"/>
              <w:autoSpaceDE w:val="0"/>
              <w:widowControl/>
              <w:spacing w:line="180" w:lineRule="exact" w:before="422" w:after="0"/>
              <w:ind w:left="116" w:right="0" w:firstLine="0"/>
              <w:jc w:val="left"/>
            </w:pPr>
            <w:r>
              <w:rPr>
                <w:rFonts w:ascii="宋体" w:hAnsi="宋体" w:eastAsia="宋体"/>
                <w:b w:val="0"/>
                <w:i w:val="0"/>
                <w:color w:val="000000"/>
                <w:sz w:val="18"/>
              </w:rPr>
              <w:t xml:space="preserve">2024.09.19 </w:t>
            </w:r>
          </w:p>
        </w:tc>
        <w:tc>
          <w:tcPr>
            <w:tcW w:type="dxa" w:w="5670"/>
            <w:tcBorders>
              <w:start w:sz="1.6000000000001364"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308" w:lineRule="exact" w:before="0" w:after="0"/>
              <w:ind w:left="106" w:right="144" w:firstLine="0"/>
              <w:jc w:val="left"/>
            </w:pPr>
            <w:r>
              <w:rPr>
                <w:rFonts w:ascii="宋体" w:hAnsi="宋体" w:eastAsia="宋体"/>
                <w:b w:val="0"/>
                <w:i w:val="0"/>
                <w:color w:val="000000"/>
                <w:sz w:val="18"/>
              </w:rPr>
              <w:t>审议通过《关于聘任高级管理人员的议案》。详见巨潮资讯网</w:t>
            </w:r>
            <w:r>
              <w:br/>
            </w:r>
            <w:r>
              <w:rPr>
                <w:rFonts w:ascii="宋体" w:hAnsi="宋体" w:eastAsia="宋体"/>
                <w:b w:val="0"/>
                <w:i w:val="0"/>
                <w:color w:val="000000"/>
                <w:sz w:val="18"/>
              </w:rPr>
              <w:t>（http://www.cninfo.com.cn）《关于第四届董事会第二十三次会议</w:t>
            </w:r>
            <w:r>
              <w:rPr>
                <w:rFonts w:ascii="宋体" w:hAnsi="宋体" w:eastAsia="宋体"/>
                <w:b w:val="0"/>
                <w:i w:val="0"/>
                <w:color w:val="000000"/>
                <w:sz w:val="18"/>
              </w:rPr>
              <w:t xml:space="preserve">决议的公告》（临2024-025） </w:t>
            </w:r>
          </w:p>
        </w:tc>
      </w:tr>
      <w:tr>
        <w:trPr>
          <w:trHeight w:hRule="exact" w:val="966"/>
        </w:trPr>
        <w:tc>
          <w:tcPr>
            <w:tcW w:type="dxa" w:w="1704"/>
            <w:tcBorders>
              <w:start w:sz="2.3999999999999773"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320" w:lineRule="exact" w:before="122" w:after="0"/>
              <w:ind w:left="144" w:right="0" w:firstLine="0"/>
              <w:jc w:val="center"/>
            </w:pPr>
            <w:r>
              <w:rPr>
                <w:rFonts w:ascii="宋体" w:hAnsi="宋体" w:eastAsia="宋体"/>
                <w:b w:val="0"/>
                <w:i w:val="0"/>
                <w:color w:val="000000"/>
                <w:sz w:val="18"/>
              </w:rPr>
              <w:t xml:space="preserve">第四届董事会 </w:t>
            </w:r>
            <w:r>
              <w:br/>
            </w:r>
            <w:r>
              <w:rPr>
                <w:rFonts w:ascii="宋体" w:hAnsi="宋体" w:eastAsia="宋体"/>
                <w:b w:val="0"/>
                <w:i w:val="0"/>
                <w:color w:val="000000"/>
                <w:sz w:val="18"/>
              </w:rPr>
              <w:t xml:space="preserve">第二十四次会议 </w:t>
            </w:r>
          </w:p>
        </w:tc>
        <w:tc>
          <w:tcPr>
            <w:tcW w:type="dxa" w:w="113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424" w:after="0"/>
              <w:ind w:left="110" w:right="0" w:firstLine="0"/>
              <w:jc w:val="left"/>
            </w:pPr>
            <w:r>
              <w:rPr>
                <w:rFonts w:ascii="宋体" w:hAnsi="宋体" w:eastAsia="宋体"/>
                <w:b w:val="0"/>
                <w:i w:val="0"/>
                <w:color w:val="000000"/>
                <w:sz w:val="18"/>
              </w:rPr>
              <w:t xml:space="preserve">2024.10.30 </w:t>
            </w:r>
          </w:p>
        </w:tc>
        <w:tc>
          <w:tcPr>
            <w:tcW w:type="dxa" w:w="1136"/>
            <w:tcBorders>
              <w:start w:sz="1.599999999999909"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424" w:after="0"/>
              <w:ind w:left="116" w:right="0" w:firstLine="0"/>
              <w:jc w:val="left"/>
            </w:pPr>
            <w:r>
              <w:rPr>
                <w:rFonts w:ascii="宋体" w:hAnsi="宋体" w:eastAsia="宋体"/>
                <w:b w:val="0"/>
                <w:i w:val="0"/>
                <w:color w:val="000000"/>
                <w:sz w:val="18"/>
              </w:rPr>
              <w:t xml:space="preserve">2024.10.31 </w:t>
            </w:r>
          </w:p>
        </w:tc>
        <w:tc>
          <w:tcPr>
            <w:tcW w:type="dxa" w:w="5670"/>
            <w:tcBorders>
              <w:start w:sz="1.6000000000001364"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308" w:lineRule="exact" w:before="0" w:after="0"/>
              <w:ind w:left="106" w:right="144" w:firstLine="0"/>
              <w:jc w:val="left"/>
            </w:pPr>
            <w:r>
              <w:rPr>
                <w:rFonts w:ascii="宋体" w:hAnsi="宋体" w:eastAsia="宋体"/>
                <w:b w:val="0"/>
                <w:i w:val="0"/>
                <w:color w:val="000000"/>
                <w:sz w:val="18"/>
              </w:rPr>
              <w:t>审议通过《公司2024年第三季度报告》等3项议案。详见巨潮资讯网</w:t>
            </w:r>
            <w:r>
              <w:rPr>
                <w:rFonts w:ascii="宋体" w:hAnsi="宋体" w:eastAsia="宋体"/>
                <w:b w:val="0"/>
                <w:i w:val="0"/>
                <w:color w:val="000000"/>
                <w:sz w:val="18"/>
              </w:rPr>
              <w:t>（http://www.cninfo.com.cn）《关于第四届董事会第二十四次会议</w:t>
            </w:r>
            <w:r>
              <w:rPr>
                <w:rFonts w:ascii="宋体" w:hAnsi="宋体" w:eastAsia="宋体"/>
                <w:b w:val="0"/>
                <w:i w:val="0"/>
                <w:color w:val="000000"/>
                <w:sz w:val="18"/>
              </w:rPr>
              <w:t xml:space="preserve">决议的公告》（临2024-031） </w:t>
            </w:r>
          </w:p>
        </w:tc>
      </w:tr>
    </w:tbl>
    <w:p>
      <w:pPr>
        <w:autoSpaceDN w:val="0"/>
        <w:autoSpaceDE w:val="0"/>
        <w:widowControl/>
        <w:spacing w:line="212" w:lineRule="exact" w:before="342" w:after="328"/>
        <w:ind w:left="30" w:right="0" w:firstLine="0"/>
        <w:jc w:val="left"/>
      </w:pPr>
      <w:r>
        <w:rPr>
          <w:rFonts w:ascii="宋体" w:hAnsi="宋体" w:eastAsia="宋体"/>
          <w:b w:val="0"/>
          <w:i w:val="0"/>
          <w:color w:val="000000"/>
          <w:sz w:val="21"/>
        </w:rPr>
        <w:t xml:space="preserve">2、董事出席董事会及股东大会的情况 </w:t>
      </w:r>
    </w:p>
    <w:tbl>
      <w:tblPr>
        <w:tblW w:type="auto" w:w="0"/>
        <w:tblLayout w:type="fixed"/>
        <w:tblLook w:firstColumn="1" w:firstRow="1" w:lastColumn="0" w:lastRow="0" w:noHBand="0" w:noVBand="1" w:val="04A0"/>
        <w:tblInd w:w="27.99999999999997" w:type="dxa"/>
      </w:tblPr>
      <w:tblGrid>
        <w:gridCol w:w="9716"/>
      </w:tblGrid>
      <w:tr>
        <w:trPr>
          <w:trHeight w:hRule="exact" w:val="346"/>
        </w:trPr>
        <w:tc>
          <w:tcPr>
            <w:tcW w:type="dxa" w:w="9642"/>
            <w:tcBorders>
              <w:start w:sz="2.3999999999999773" w:val="single" w:color="#000000"/>
              <w:top w:sz="1.5999999999994543"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180" w:lineRule="exact" w:before="86" w:after="0"/>
              <w:ind w:left="0" w:right="3370" w:firstLine="0"/>
              <w:jc w:val="right"/>
            </w:pPr>
            <w:r>
              <w:rPr>
                <w:rFonts w:ascii="宋体" w:hAnsi="宋体" w:eastAsia="宋体"/>
                <w:b w:val="0"/>
                <w:i w:val="0"/>
                <w:color w:val="000000"/>
                <w:sz w:val="18"/>
              </w:rPr>
              <w:t xml:space="preserve">董事出席董事会及股东大会的情况 </w:t>
            </w:r>
          </w:p>
        </w:tc>
      </w:tr>
    </w:tbl>
    <w:p>
      <w:pPr>
        <w:autoSpaceDN w:val="0"/>
        <w:autoSpaceDE w:val="0"/>
        <w:widowControl/>
        <w:spacing w:line="197" w:lineRule="auto" w:before="386" w:after="0"/>
        <w:ind w:left="0" w:right="0" w:firstLine="0"/>
        <w:jc w:val="center"/>
      </w:pPr>
      <w:r>
        <w:rPr>
          <w:rFonts w:ascii="Calibri" w:hAnsi="Calibri" w:eastAsia="Calibri"/>
          <w:b w:val="0"/>
          <w:i w:val="0"/>
          <w:color w:val="000000"/>
          <w:sz w:val="18"/>
        </w:rPr>
        <w:t xml:space="preserve">87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90" name="Picture 9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27.99999999999997" w:type="dxa"/>
      </w:tblPr>
      <w:tblGrid>
        <w:gridCol w:w="1214"/>
        <w:gridCol w:w="1214"/>
        <w:gridCol w:w="1214"/>
        <w:gridCol w:w="1214"/>
        <w:gridCol w:w="1214"/>
        <w:gridCol w:w="1214"/>
        <w:gridCol w:w="1214"/>
        <w:gridCol w:w="1214"/>
      </w:tblGrid>
      <w:tr>
        <w:trPr>
          <w:trHeight w:hRule="exact" w:val="1044"/>
        </w:trPr>
        <w:tc>
          <w:tcPr>
            <w:tcW w:type="dxa" w:w="1206"/>
            <w:tcBorders>
              <w:start w:sz="2.3999999999999773" w:val="single" w:color="#000000"/>
              <w:top w:sz="5.600000000000023" w:val="single" w:color="#000000"/>
              <w:end w:sz="1.6000000000000227" w:val="single" w:color="#000000"/>
              <w:bottom w:sz="1.6000000000001364" w:val="single" w:color="#000000"/>
            </w:tcBorders>
            <w:shd w:fill="d2d2d2"/>
            <w:tcMar>
              <w:start w:w="0" w:type="dxa"/>
              <w:end w:w="0" w:type="dxa"/>
            </w:tcMar>
          </w:tcPr>
          <w:p>
            <w:pPr>
              <w:autoSpaceDN w:val="0"/>
              <w:autoSpaceDE w:val="0"/>
              <w:widowControl/>
              <w:spacing w:line="180" w:lineRule="exact" w:before="432" w:after="0"/>
              <w:ind w:left="240" w:right="0" w:firstLine="0"/>
              <w:jc w:val="left"/>
            </w:pPr>
            <w:r>
              <w:rPr>
                <w:rFonts w:ascii="宋体" w:hAnsi="宋体" w:eastAsia="宋体"/>
                <w:b w:val="0"/>
                <w:i w:val="0"/>
                <w:color w:val="000000"/>
                <w:sz w:val="18"/>
              </w:rPr>
              <w:t xml:space="preserve">董事姓名 </w:t>
            </w:r>
          </w:p>
        </w:tc>
        <w:tc>
          <w:tcPr>
            <w:tcW w:type="dxa" w:w="1206"/>
            <w:tcBorders>
              <w:start w:sz="1.6000000000000227" w:val="single" w:color="#000000"/>
              <w:top w:sz="5.600000000000023" w:val="single" w:color="#000000"/>
              <w:end w:sz="1.6000000000001364" w:val="single" w:color="#000000"/>
              <w:bottom w:sz="1.6000000000001364" w:val="single" w:color="#000000"/>
            </w:tcBorders>
            <w:shd w:fill="d2d2d2"/>
            <w:tcMar>
              <w:start w:w="0" w:type="dxa"/>
              <w:end w:w="0" w:type="dxa"/>
            </w:tcMar>
          </w:tcPr>
          <w:p>
            <w:pPr>
              <w:autoSpaceDN w:val="0"/>
              <w:autoSpaceDE w:val="0"/>
              <w:widowControl/>
              <w:spacing w:line="240" w:lineRule="exact" w:before="132" w:after="0"/>
              <w:ind w:left="144" w:right="150" w:firstLine="0"/>
              <w:jc w:val="right"/>
            </w:pPr>
            <w:r>
              <w:rPr>
                <w:rFonts w:ascii="宋体" w:hAnsi="宋体" w:eastAsia="宋体"/>
                <w:b w:val="0"/>
                <w:i w:val="0"/>
                <w:color w:val="000000"/>
                <w:sz w:val="18"/>
              </w:rPr>
              <w:t>本报告期应</w:t>
            </w:r>
            <w:r>
              <w:rPr>
                <w:rFonts w:ascii="宋体" w:hAnsi="宋体" w:eastAsia="宋体"/>
                <w:b w:val="0"/>
                <w:i w:val="0"/>
                <w:color w:val="000000"/>
                <w:sz w:val="18"/>
              </w:rPr>
              <w:t>参加董事会</w:t>
            </w:r>
            <w:r>
              <w:rPr>
                <w:rFonts w:ascii="宋体" w:hAnsi="宋体" w:eastAsia="宋体"/>
                <w:b w:val="0"/>
                <w:i w:val="0"/>
                <w:color w:val="000000"/>
                <w:sz w:val="18"/>
              </w:rPr>
              <w:t xml:space="preserve">次数 </w:t>
            </w:r>
          </w:p>
        </w:tc>
        <w:tc>
          <w:tcPr>
            <w:tcW w:type="dxa" w:w="1204"/>
            <w:tcBorders>
              <w:start w:sz="1.6000000000001364" w:val="single" w:color="#000000"/>
              <w:top w:sz="5.60000000000002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240" w:lineRule="exact" w:before="252" w:after="0"/>
              <w:ind w:left="238" w:right="144" w:hanging="90"/>
              <w:jc w:val="left"/>
            </w:pPr>
            <w:r>
              <w:rPr>
                <w:rFonts w:ascii="宋体" w:hAnsi="宋体" w:eastAsia="宋体"/>
                <w:b w:val="0"/>
                <w:i w:val="0"/>
                <w:color w:val="000000"/>
                <w:sz w:val="18"/>
              </w:rPr>
              <w:t>现场出席董</w:t>
            </w:r>
            <w:r>
              <w:rPr>
                <w:rFonts w:ascii="宋体" w:hAnsi="宋体" w:eastAsia="宋体"/>
                <w:b w:val="0"/>
                <w:i w:val="0"/>
                <w:color w:val="000000"/>
                <w:sz w:val="18"/>
              </w:rPr>
              <w:t xml:space="preserve">事会次数 </w:t>
            </w:r>
          </w:p>
        </w:tc>
        <w:tc>
          <w:tcPr>
            <w:tcW w:type="dxa" w:w="1206"/>
            <w:tcBorders>
              <w:start w:sz="1.599999999999909" w:val="single" w:color="#000000"/>
              <w:top w:sz="5.60000000000002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240" w:lineRule="exact" w:before="132" w:after="0"/>
              <w:ind w:left="144" w:right="150" w:firstLine="0"/>
              <w:jc w:val="right"/>
            </w:pPr>
            <w:r>
              <w:rPr>
                <w:rFonts w:ascii="宋体" w:hAnsi="宋体" w:eastAsia="宋体"/>
                <w:b w:val="0"/>
                <w:i w:val="0"/>
                <w:color w:val="000000"/>
                <w:sz w:val="18"/>
              </w:rPr>
              <w:t>以通讯方式</w:t>
            </w:r>
            <w:r>
              <w:rPr>
                <w:rFonts w:ascii="宋体" w:hAnsi="宋体" w:eastAsia="宋体"/>
                <w:b w:val="0"/>
                <w:i w:val="0"/>
                <w:color w:val="000000"/>
                <w:sz w:val="18"/>
              </w:rPr>
              <w:t>参加董事会</w:t>
            </w:r>
            <w:r>
              <w:rPr>
                <w:rFonts w:ascii="宋体" w:hAnsi="宋体" w:eastAsia="宋体"/>
                <w:b w:val="0"/>
                <w:i w:val="0"/>
                <w:color w:val="000000"/>
                <w:sz w:val="18"/>
              </w:rPr>
              <w:t xml:space="preserve">次数 </w:t>
            </w:r>
          </w:p>
        </w:tc>
        <w:tc>
          <w:tcPr>
            <w:tcW w:type="dxa" w:w="1204"/>
            <w:tcBorders>
              <w:start w:sz="1.599999999999909" w:val="single" w:color="#000000"/>
              <w:top w:sz="5.600000000000023"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240" w:lineRule="exact" w:before="252" w:after="0"/>
              <w:ind w:left="238" w:right="144" w:hanging="90"/>
              <w:jc w:val="left"/>
            </w:pPr>
            <w:r>
              <w:rPr>
                <w:rFonts w:ascii="宋体" w:hAnsi="宋体" w:eastAsia="宋体"/>
                <w:b w:val="0"/>
                <w:i w:val="0"/>
                <w:color w:val="000000"/>
                <w:sz w:val="18"/>
              </w:rPr>
              <w:t>委托出席董</w:t>
            </w:r>
            <w:r>
              <w:rPr>
                <w:rFonts w:ascii="宋体" w:hAnsi="宋体" w:eastAsia="宋体"/>
                <w:b w:val="0"/>
                <w:i w:val="0"/>
                <w:color w:val="000000"/>
                <w:sz w:val="18"/>
              </w:rPr>
              <w:t xml:space="preserve">事会次数 </w:t>
            </w:r>
          </w:p>
        </w:tc>
        <w:tc>
          <w:tcPr>
            <w:tcW w:type="dxa" w:w="1206"/>
            <w:tcBorders>
              <w:start w:sz="1.599999999999909" w:val="single" w:color="#000000"/>
              <w:top w:sz="5.600000000000023" w:val="single" w:color="#000000"/>
              <w:end w:sz="1.599999999999909" w:val="single" w:color="#000000"/>
              <w:bottom w:sz="1.6000000000001364" w:val="single" w:color="#000000"/>
            </w:tcBorders>
            <w:shd w:fill="d2d2d2"/>
            <w:tcMar>
              <w:start w:w="0" w:type="dxa"/>
              <w:end w:w="0" w:type="dxa"/>
            </w:tcMar>
          </w:tcPr>
          <w:p>
            <w:pPr>
              <w:autoSpaceDN w:val="0"/>
              <w:tabs>
                <w:tab w:pos="422" w:val="left"/>
              </w:tabs>
              <w:autoSpaceDE w:val="0"/>
              <w:widowControl/>
              <w:spacing w:line="240" w:lineRule="exact" w:before="252" w:after="0"/>
              <w:ind w:left="152" w:right="144" w:firstLine="0"/>
              <w:jc w:val="left"/>
            </w:pPr>
            <w:r>
              <w:rPr>
                <w:rFonts w:ascii="宋体" w:hAnsi="宋体" w:eastAsia="宋体"/>
                <w:b w:val="0"/>
                <w:i w:val="0"/>
                <w:color w:val="000000"/>
                <w:sz w:val="18"/>
              </w:rPr>
              <w:t>缺席董事会</w:t>
            </w:r>
            <w:r>
              <w:tab/>
            </w:r>
            <w:r>
              <w:rPr>
                <w:rFonts w:ascii="宋体" w:hAnsi="宋体" w:eastAsia="宋体"/>
                <w:b w:val="0"/>
                <w:i w:val="0"/>
                <w:color w:val="000000"/>
                <w:sz w:val="18"/>
              </w:rPr>
              <w:t xml:space="preserve">次数 </w:t>
            </w:r>
          </w:p>
        </w:tc>
        <w:tc>
          <w:tcPr>
            <w:tcW w:type="dxa" w:w="1206"/>
            <w:tcBorders>
              <w:start w:sz="1.599999999999909" w:val="single" w:color="#000000"/>
              <w:top w:sz="5.600000000000023" w:val="single" w:color="#000000"/>
              <w:end w:sz="2.400000000000091" w:val="single" w:color="#000000"/>
              <w:bottom w:sz="1.6000000000001364" w:val="single" w:color="#000000"/>
            </w:tcBorders>
            <w:shd w:fill="d2d2d2"/>
            <w:tcMar>
              <w:start w:w="0" w:type="dxa"/>
              <w:end w:w="0" w:type="dxa"/>
            </w:tcMar>
          </w:tcPr>
          <w:p>
            <w:pPr>
              <w:autoSpaceDN w:val="0"/>
              <w:autoSpaceDE w:val="0"/>
              <w:widowControl/>
              <w:spacing w:line="240" w:lineRule="exact" w:before="12" w:after="0"/>
              <w:ind w:left="144" w:right="148" w:firstLine="0"/>
              <w:jc w:val="right"/>
            </w:pPr>
            <w:r>
              <w:rPr>
                <w:rFonts w:ascii="宋体" w:hAnsi="宋体" w:eastAsia="宋体"/>
                <w:b w:val="0"/>
                <w:i w:val="0"/>
                <w:color w:val="000000"/>
                <w:sz w:val="18"/>
              </w:rPr>
              <w:t>是否连续两</w:t>
            </w:r>
            <w:r>
              <w:rPr>
                <w:rFonts w:ascii="宋体" w:hAnsi="宋体" w:eastAsia="宋体"/>
                <w:b w:val="0"/>
                <w:i w:val="0"/>
                <w:color w:val="000000"/>
                <w:sz w:val="18"/>
              </w:rPr>
              <w:t>次未亲自参</w:t>
            </w:r>
            <w:r>
              <w:rPr>
                <w:rFonts w:ascii="宋体" w:hAnsi="宋体" w:eastAsia="宋体"/>
                <w:b w:val="0"/>
                <w:i w:val="0"/>
                <w:color w:val="000000"/>
                <w:sz w:val="18"/>
              </w:rPr>
              <w:t>加董事会会</w:t>
            </w:r>
            <w:r>
              <w:rPr>
                <w:rFonts w:ascii="宋体" w:hAnsi="宋体" w:eastAsia="宋体"/>
                <w:b w:val="0"/>
                <w:i w:val="0"/>
                <w:color w:val="000000"/>
                <w:sz w:val="18"/>
              </w:rPr>
              <w:t xml:space="preserve">议 </w:t>
            </w:r>
          </w:p>
        </w:tc>
        <w:tc>
          <w:tcPr>
            <w:tcW w:type="dxa" w:w="1204"/>
            <w:tcBorders>
              <w:start w:sz="2.400000000000091" w:val="single" w:color="#000000"/>
              <w:top w:sz="5.600000000000023" w:val="single" w:color="#000000"/>
              <w:end w:sz="1.5999999999994543" w:val="single" w:color="#000000"/>
              <w:bottom w:sz="1.6000000000001364" w:val="single" w:color="#000000"/>
            </w:tcBorders>
            <w:shd w:fill="d2d2d2"/>
            <w:tcMar>
              <w:start w:w="0" w:type="dxa"/>
              <w:end w:w="0" w:type="dxa"/>
            </w:tcMar>
          </w:tcPr>
          <w:p>
            <w:pPr>
              <w:autoSpaceDN w:val="0"/>
              <w:tabs>
                <w:tab w:pos="330" w:val="left"/>
              </w:tabs>
              <w:autoSpaceDE w:val="0"/>
              <w:widowControl/>
              <w:spacing w:line="240" w:lineRule="exact" w:before="252" w:after="0"/>
              <w:ind w:left="150" w:right="144" w:firstLine="0"/>
              <w:jc w:val="left"/>
            </w:pPr>
            <w:r>
              <w:rPr>
                <w:rFonts w:ascii="宋体" w:hAnsi="宋体" w:eastAsia="宋体"/>
                <w:b w:val="0"/>
                <w:i w:val="0"/>
                <w:color w:val="000000"/>
                <w:sz w:val="18"/>
              </w:rPr>
              <w:t>出席股东大</w:t>
            </w:r>
            <w:r>
              <w:tab/>
            </w:r>
            <w:r>
              <w:rPr>
                <w:rFonts w:ascii="宋体" w:hAnsi="宋体" w:eastAsia="宋体"/>
                <w:b w:val="0"/>
                <w:i w:val="0"/>
                <w:color w:val="000000"/>
                <w:sz w:val="18"/>
              </w:rPr>
              <w:t xml:space="preserve">会次数 </w:t>
            </w:r>
          </w:p>
        </w:tc>
      </w:tr>
      <w:tr>
        <w:trPr>
          <w:trHeight w:hRule="exact" w:val="346"/>
        </w:trPr>
        <w:tc>
          <w:tcPr>
            <w:tcW w:type="dxa" w:w="1206"/>
            <w:tcBorders>
              <w:start w:sz="2.3999999999999773" w:val="single" w:color="#000000"/>
              <w:top w:sz="1.6000000000001364"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侯  巍 </w:t>
            </w:r>
          </w:p>
        </w:tc>
        <w:tc>
          <w:tcPr>
            <w:tcW w:type="dxa" w:w="1206"/>
            <w:tcBorders>
              <w:start w:sz="1.6000000000000227" w:val="single" w:color="#000000"/>
              <w:top w:sz="1.6000000000001364"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5 </w:t>
            </w:r>
          </w:p>
        </w:tc>
        <w:tc>
          <w:tcPr>
            <w:tcW w:type="dxa" w:w="1206"/>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0 </w:t>
            </w:r>
          </w:p>
        </w:tc>
        <w:tc>
          <w:tcPr>
            <w:tcW w:type="dxa" w:w="1204"/>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6000000000001364"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6000000000001364"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王怡里 </w:t>
            </w:r>
          </w:p>
        </w:tc>
        <w:tc>
          <w:tcPr>
            <w:tcW w:type="dxa" w:w="1206"/>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5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0 </w:t>
            </w:r>
          </w:p>
        </w:tc>
        <w:tc>
          <w:tcPr>
            <w:tcW w:type="dxa" w:w="1204"/>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4"/>
        </w:trPr>
        <w:tc>
          <w:tcPr>
            <w:tcW w:type="dxa" w:w="1206"/>
            <w:tcBorders>
              <w:start w:sz="2.3999999999999773" w:val="single" w:color="#000000"/>
              <w:top w:sz="1.599999999999909" w:val="single" w:color="#000000"/>
              <w:end w:sz="1.6000000000000227" w:val="single" w:color="#000000"/>
              <w:bottom w:sz="2.3999999999998636"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刘鹏飞 </w:t>
            </w:r>
          </w:p>
        </w:tc>
        <w:tc>
          <w:tcPr>
            <w:tcW w:type="dxa" w:w="1206"/>
            <w:tcBorders>
              <w:start w:sz="1.6000000000000227" w:val="single" w:color="#000000"/>
              <w:top w:sz="1.599999999999909" w:val="single" w:color="#000000"/>
              <w:end w:sz="1.6000000000001364" w:val="single" w:color="#000000"/>
              <w:bottom w:sz="2.3999999999998636"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4 </w:t>
            </w:r>
          </w:p>
        </w:tc>
        <w:tc>
          <w:tcPr>
            <w:tcW w:type="dxa" w:w="1206"/>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1 </w:t>
            </w:r>
          </w:p>
        </w:tc>
        <w:tc>
          <w:tcPr>
            <w:tcW w:type="dxa" w:w="1204"/>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2.3999999999998636"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2.3999999999998636"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4"/>
        </w:trPr>
        <w:tc>
          <w:tcPr>
            <w:tcW w:type="dxa" w:w="1206"/>
            <w:tcBorders>
              <w:start w:sz="2.3999999999999773" w:val="single" w:color="#000000"/>
              <w:top w:sz="2.3999999999998636" w:val="single" w:color="#000000"/>
              <w:end w:sz="1.6000000000000227" w:val="single" w:color="#000000"/>
              <w:bottom w:sz="1.6000000000001364" w:val="single" w:color="#000000"/>
            </w:tcBorders>
            <w:tcMar>
              <w:start w:w="0" w:type="dxa"/>
              <w:end w:w="0" w:type="dxa"/>
            </w:tcMar>
          </w:tcPr>
          <w:p>
            <w:pPr>
              <w:autoSpaceDN w:val="0"/>
              <w:autoSpaceDE w:val="0"/>
              <w:widowControl/>
              <w:spacing w:line="180" w:lineRule="exact" w:before="84" w:after="0"/>
              <w:ind w:left="0" w:right="240" w:firstLine="0"/>
              <w:jc w:val="right"/>
            </w:pPr>
            <w:r>
              <w:rPr>
                <w:rFonts w:ascii="宋体" w:hAnsi="宋体" w:eastAsia="宋体"/>
                <w:b w:val="0"/>
                <w:i w:val="0"/>
                <w:color w:val="000000"/>
                <w:sz w:val="18"/>
              </w:rPr>
              <w:t xml:space="preserve">李小萍 </w:t>
            </w:r>
          </w:p>
        </w:tc>
        <w:tc>
          <w:tcPr>
            <w:tcW w:type="dxa" w:w="1206"/>
            <w:tcBorders>
              <w:start w:sz="1.6000000000000227" w:val="single" w:color="#000000"/>
              <w:top w:sz="2.3999999999998636" w:val="single" w:color="#000000"/>
              <w:end w:sz="1.6000000000001364" w:val="single" w:color="#000000"/>
              <w:bottom w:sz="1.6000000000001364" w:val="single" w:color="#000000"/>
            </w:tcBorders>
            <w:tcMar>
              <w:start w:w="0" w:type="dxa"/>
              <w:end w:w="0" w:type="dxa"/>
            </w:tcMar>
          </w:tcPr>
          <w:p>
            <w:pPr>
              <w:autoSpaceDN w:val="0"/>
              <w:autoSpaceDE w:val="0"/>
              <w:widowControl/>
              <w:spacing w:line="180" w:lineRule="exact" w:before="84"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84" w:after="0"/>
              <w:ind w:left="0" w:right="464" w:firstLine="0"/>
              <w:jc w:val="right"/>
            </w:pPr>
            <w:r>
              <w:rPr>
                <w:rFonts w:ascii="宋体" w:hAnsi="宋体" w:eastAsia="宋体"/>
                <w:b w:val="0"/>
                <w:i w:val="0"/>
                <w:color w:val="000000"/>
                <w:sz w:val="18"/>
              </w:rPr>
              <w:t xml:space="preserve">5 </w:t>
            </w:r>
          </w:p>
        </w:tc>
        <w:tc>
          <w:tcPr>
            <w:tcW w:type="dxa" w:w="1206"/>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84" w:after="0"/>
              <w:ind w:left="0" w:right="466" w:firstLine="0"/>
              <w:jc w:val="right"/>
            </w:pPr>
            <w:r>
              <w:rPr>
                <w:rFonts w:ascii="宋体" w:hAnsi="宋体" w:eastAsia="宋体"/>
                <w:b w:val="0"/>
                <w:i w:val="0"/>
                <w:color w:val="000000"/>
                <w:sz w:val="18"/>
              </w:rPr>
              <w:t xml:space="preserve">0 </w:t>
            </w:r>
          </w:p>
        </w:tc>
        <w:tc>
          <w:tcPr>
            <w:tcW w:type="dxa" w:w="1204"/>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84"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2.3999999999998636" w:val="single" w:color="#000000"/>
              <w:end w:sz="1.599999999999909" w:val="single" w:color="#000000"/>
              <w:bottom w:sz="1.6000000000001364" w:val="single" w:color="#000000"/>
            </w:tcBorders>
            <w:tcMar>
              <w:start w:w="0" w:type="dxa"/>
              <w:end w:w="0" w:type="dxa"/>
            </w:tcMar>
          </w:tcPr>
          <w:p>
            <w:pPr>
              <w:autoSpaceDN w:val="0"/>
              <w:autoSpaceDE w:val="0"/>
              <w:widowControl/>
              <w:spacing w:line="180" w:lineRule="exact" w:before="84"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2.3999999999998636" w:val="single" w:color="#000000"/>
              <w:end w:sz="2.400000000000091" w:val="single" w:color="#000000"/>
              <w:bottom w:sz="1.6000000000001364" w:val="single" w:color="#000000"/>
            </w:tcBorders>
            <w:tcMar>
              <w:start w:w="0" w:type="dxa"/>
              <w:end w:w="0" w:type="dxa"/>
            </w:tcMar>
          </w:tcPr>
          <w:p>
            <w:pPr>
              <w:autoSpaceDN w:val="0"/>
              <w:autoSpaceDE w:val="0"/>
              <w:widowControl/>
              <w:spacing w:line="180" w:lineRule="exact" w:before="84"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2.3999999999998636" w:val="single" w:color="#000000"/>
              <w:end w:sz="1.5999999999994543" w:val="single" w:color="#000000"/>
              <w:bottom w:sz="1.6000000000001364" w:val="single" w:color="#000000"/>
            </w:tcBorders>
            <w:tcMar>
              <w:start w:w="0" w:type="dxa"/>
              <w:end w:w="0" w:type="dxa"/>
            </w:tcMar>
          </w:tcPr>
          <w:p>
            <w:pPr>
              <w:autoSpaceDN w:val="0"/>
              <w:autoSpaceDE w:val="0"/>
              <w:widowControl/>
              <w:spacing w:line="180" w:lineRule="exact" w:before="84"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1.6000000000001364"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周金晓 </w:t>
            </w:r>
          </w:p>
        </w:tc>
        <w:tc>
          <w:tcPr>
            <w:tcW w:type="dxa" w:w="1206"/>
            <w:tcBorders>
              <w:start w:sz="1.6000000000000227" w:val="single" w:color="#000000"/>
              <w:top w:sz="1.6000000000001364"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6000000000001364"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6000000000001364"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6000000000001364"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夏贵所 </w:t>
            </w:r>
          </w:p>
        </w:tc>
        <w:tc>
          <w:tcPr>
            <w:tcW w:type="dxa" w:w="1206"/>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4"/>
        </w:trPr>
        <w:tc>
          <w:tcPr>
            <w:tcW w:type="dxa" w:w="1206"/>
            <w:tcBorders>
              <w:start w:sz="2.3999999999999773" w:val="single" w:color="#000000"/>
              <w:top w:sz="1.599999999999909" w:val="single" w:color="#000000"/>
              <w:end w:sz="1.6000000000000227" w:val="single" w:color="#000000"/>
              <w:bottom w:sz="2.3999999999998636"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邢会强 </w:t>
            </w:r>
          </w:p>
        </w:tc>
        <w:tc>
          <w:tcPr>
            <w:tcW w:type="dxa" w:w="1206"/>
            <w:tcBorders>
              <w:start w:sz="1.6000000000000227" w:val="single" w:color="#000000"/>
              <w:top w:sz="1.599999999999909" w:val="single" w:color="#000000"/>
              <w:end w:sz="1.6000000000001364" w:val="single" w:color="#000000"/>
              <w:bottom w:sz="2.3999999999998636"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1 </w:t>
            </w:r>
          </w:p>
        </w:tc>
        <w:tc>
          <w:tcPr>
            <w:tcW w:type="dxa" w:w="1206"/>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4 </w:t>
            </w:r>
          </w:p>
        </w:tc>
        <w:tc>
          <w:tcPr>
            <w:tcW w:type="dxa" w:w="1204"/>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2.3999999999998636"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2.3999999999998636"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2.3999999999998636" w:val="single" w:color="#000000"/>
              <w:end w:sz="1.6000000000000227" w:val="single" w:color="#000000"/>
              <w:bottom w:sz="2.400000000000091" w:val="single" w:color="#000000"/>
            </w:tcBorders>
            <w:tcMar>
              <w:start w:w="0" w:type="dxa"/>
              <w:end w:w="0" w:type="dxa"/>
            </w:tcMar>
          </w:tcPr>
          <w:p>
            <w:pPr>
              <w:autoSpaceDN w:val="0"/>
              <w:autoSpaceDE w:val="0"/>
              <w:widowControl/>
              <w:spacing w:line="180" w:lineRule="exact" w:before="86" w:after="0"/>
              <w:ind w:left="0" w:right="240" w:firstLine="0"/>
              <w:jc w:val="right"/>
            </w:pPr>
            <w:r>
              <w:rPr>
                <w:rFonts w:ascii="宋体" w:hAnsi="宋体" w:eastAsia="宋体"/>
                <w:b w:val="0"/>
                <w:i w:val="0"/>
                <w:color w:val="000000"/>
                <w:sz w:val="18"/>
              </w:rPr>
              <w:t xml:space="preserve">朱  祁 </w:t>
            </w:r>
          </w:p>
        </w:tc>
        <w:tc>
          <w:tcPr>
            <w:tcW w:type="dxa" w:w="1206"/>
            <w:tcBorders>
              <w:start w:sz="1.6000000000000227" w:val="single" w:color="#000000"/>
              <w:top w:sz="2.3999999999998636"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86"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6" w:after="0"/>
              <w:ind w:left="0" w:right="464" w:firstLine="0"/>
              <w:jc w:val="right"/>
            </w:pPr>
            <w:r>
              <w:rPr>
                <w:rFonts w:ascii="宋体" w:hAnsi="宋体" w:eastAsia="宋体"/>
                <w:b w:val="0"/>
                <w:i w:val="0"/>
                <w:color w:val="000000"/>
                <w:sz w:val="18"/>
              </w:rPr>
              <w:t xml:space="preserve">1 </w:t>
            </w:r>
          </w:p>
        </w:tc>
        <w:tc>
          <w:tcPr>
            <w:tcW w:type="dxa" w:w="1206"/>
            <w:tcBorders>
              <w:start w:sz="1.599999999999909"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6" w:after="0"/>
              <w:ind w:left="0" w:right="466" w:firstLine="0"/>
              <w:jc w:val="right"/>
            </w:pPr>
            <w:r>
              <w:rPr>
                <w:rFonts w:ascii="宋体" w:hAnsi="宋体" w:eastAsia="宋体"/>
                <w:b w:val="0"/>
                <w:i w:val="0"/>
                <w:color w:val="000000"/>
                <w:sz w:val="18"/>
              </w:rPr>
              <w:t xml:space="preserve">4 </w:t>
            </w:r>
          </w:p>
        </w:tc>
        <w:tc>
          <w:tcPr>
            <w:tcW w:type="dxa" w:w="1204"/>
            <w:tcBorders>
              <w:start w:sz="1.599999999999909"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6"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86"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2.3999999999998636"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86"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2.3999999999998636"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86" w:after="0"/>
              <w:ind w:left="0" w:right="462" w:firstLine="0"/>
              <w:jc w:val="right"/>
            </w:pPr>
            <w:r>
              <w:rPr>
                <w:rFonts w:ascii="宋体" w:hAnsi="宋体" w:eastAsia="宋体"/>
                <w:b w:val="0"/>
                <w:i w:val="0"/>
                <w:color w:val="000000"/>
                <w:sz w:val="18"/>
              </w:rPr>
              <w:t xml:space="preserve">2 </w:t>
            </w:r>
          </w:p>
        </w:tc>
      </w:tr>
      <w:tr>
        <w:trPr>
          <w:trHeight w:hRule="exact" w:val="344"/>
        </w:trPr>
        <w:tc>
          <w:tcPr>
            <w:tcW w:type="dxa" w:w="1206"/>
            <w:tcBorders>
              <w:start w:sz="2.399999999999977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李海涛 </w:t>
            </w:r>
          </w:p>
        </w:tc>
        <w:tc>
          <w:tcPr>
            <w:tcW w:type="dxa" w:w="1206"/>
            <w:tcBorders>
              <w:start w:sz="1.6000000000000227"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郭  洁 </w:t>
            </w:r>
          </w:p>
        </w:tc>
        <w:tc>
          <w:tcPr>
            <w:tcW w:type="dxa" w:w="1206"/>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1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4 </w:t>
            </w:r>
          </w:p>
        </w:tc>
        <w:tc>
          <w:tcPr>
            <w:tcW w:type="dxa" w:w="1204"/>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r>
        <w:trPr>
          <w:trHeight w:hRule="exact" w:val="346"/>
        </w:trPr>
        <w:tc>
          <w:tcPr>
            <w:tcW w:type="dxa" w:w="1206"/>
            <w:tcBorders>
              <w:start w:sz="2.399999999999977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180" w:lineRule="exact" w:before="88" w:after="0"/>
              <w:ind w:left="0" w:right="240" w:firstLine="0"/>
              <w:jc w:val="right"/>
            </w:pPr>
            <w:r>
              <w:rPr>
                <w:rFonts w:ascii="宋体" w:hAnsi="宋体" w:eastAsia="宋体"/>
                <w:b w:val="0"/>
                <w:i w:val="0"/>
                <w:color w:val="000000"/>
                <w:sz w:val="18"/>
              </w:rPr>
              <w:t xml:space="preserve">乔俊峰 </w:t>
            </w:r>
          </w:p>
        </w:tc>
        <w:tc>
          <w:tcPr>
            <w:tcW w:type="dxa" w:w="1206"/>
            <w:tcBorders>
              <w:start w:sz="1.6000000000000227" w:val="single" w:color="#000000"/>
              <w:top w:sz="1.599999999999909" w:val="single" w:color="#000000"/>
              <w:end w:sz="1.6000000000001364"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5 </w:t>
            </w:r>
          </w:p>
        </w:tc>
        <w:tc>
          <w:tcPr>
            <w:tcW w:type="dxa" w:w="1204"/>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2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6" w:firstLine="0"/>
              <w:jc w:val="right"/>
            </w:pPr>
            <w:r>
              <w:rPr>
                <w:rFonts w:ascii="宋体" w:hAnsi="宋体" w:eastAsia="宋体"/>
                <w:b w:val="0"/>
                <w:i w:val="0"/>
                <w:color w:val="000000"/>
                <w:sz w:val="18"/>
              </w:rPr>
              <w:t xml:space="preserve">3 </w:t>
            </w:r>
          </w:p>
        </w:tc>
        <w:tc>
          <w:tcPr>
            <w:tcW w:type="dxa" w:w="1204"/>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4"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0 </w:t>
            </w:r>
          </w:p>
        </w:tc>
        <w:tc>
          <w:tcPr>
            <w:tcW w:type="dxa" w:w="1206"/>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8" w:after="0"/>
              <w:ind w:left="0" w:right="420" w:firstLine="0"/>
              <w:jc w:val="right"/>
            </w:pPr>
            <w:r>
              <w:rPr>
                <w:rFonts w:ascii="宋体" w:hAnsi="宋体" w:eastAsia="宋体"/>
                <w:b w:val="0"/>
                <w:i w:val="0"/>
                <w:color w:val="000000"/>
                <w:sz w:val="18"/>
              </w:rPr>
              <w:t xml:space="preserve">否 </w:t>
            </w:r>
          </w:p>
        </w:tc>
        <w:tc>
          <w:tcPr>
            <w:tcW w:type="dxa" w:w="1204"/>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88" w:after="0"/>
              <w:ind w:left="0" w:right="462" w:firstLine="0"/>
              <w:jc w:val="right"/>
            </w:pPr>
            <w:r>
              <w:rPr>
                <w:rFonts w:ascii="宋体" w:hAnsi="宋体" w:eastAsia="宋体"/>
                <w:b w:val="0"/>
                <w:i w:val="0"/>
                <w:color w:val="000000"/>
                <w:sz w:val="18"/>
              </w:rPr>
              <w:t xml:space="preserve">2 </w:t>
            </w:r>
          </w:p>
        </w:tc>
      </w:tr>
    </w:tbl>
    <w:p>
      <w:pPr>
        <w:autoSpaceDN w:val="0"/>
        <w:autoSpaceDE w:val="0"/>
        <w:widowControl/>
        <w:spacing w:line="340" w:lineRule="exact" w:before="0" w:after="0"/>
        <w:ind w:left="30" w:right="6480" w:firstLine="0"/>
        <w:jc w:val="left"/>
      </w:pPr>
      <w:r>
        <w:rPr>
          <w:rFonts w:ascii="宋体" w:hAnsi="宋体" w:eastAsia="宋体"/>
          <w:b w:val="0"/>
          <w:i w:val="0"/>
          <w:color w:val="000000"/>
          <w:sz w:val="18"/>
        </w:rPr>
        <w:t xml:space="preserve">董事连续两次未亲自出席董事会的说明 </w:t>
      </w:r>
      <w:r>
        <w:br/>
      </w:r>
      <w:r>
        <w:rPr>
          <w:rFonts w:ascii="宋体" w:hAnsi="宋体" w:eastAsia="宋体"/>
          <w:b w:val="0"/>
          <w:i w:val="0"/>
          <w:color w:val="000000"/>
          <w:sz w:val="18"/>
        </w:rPr>
        <w:t>无</w:t>
      </w:r>
    </w:p>
    <w:p>
      <w:pPr>
        <w:autoSpaceDN w:val="0"/>
        <w:autoSpaceDE w:val="0"/>
        <w:widowControl/>
        <w:spacing w:line="210" w:lineRule="exact" w:before="410" w:after="0"/>
        <w:ind w:left="30" w:right="0" w:firstLine="0"/>
        <w:jc w:val="left"/>
      </w:pPr>
      <w:r>
        <w:rPr>
          <w:rFonts w:ascii="宋体" w:hAnsi="宋体" w:eastAsia="宋体"/>
          <w:b w:val="0"/>
          <w:i w:val="0"/>
          <w:color w:val="000000"/>
          <w:sz w:val="21"/>
        </w:rPr>
        <w:t xml:space="preserve">3、董事对公司有关事项提出异议的情况 </w:t>
      </w:r>
    </w:p>
    <w:p>
      <w:pPr>
        <w:autoSpaceDN w:val="0"/>
        <w:autoSpaceDE w:val="0"/>
        <w:widowControl/>
        <w:spacing w:line="340" w:lineRule="exact" w:before="204" w:after="0"/>
        <w:ind w:left="30" w:right="6048" w:firstLine="0"/>
        <w:jc w:val="left"/>
      </w:pPr>
      <w:r>
        <w:rPr>
          <w:rFonts w:ascii="宋体" w:hAnsi="宋体" w:eastAsia="宋体"/>
          <w:b w:val="0"/>
          <w:i w:val="0"/>
          <w:color w:val="000000"/>
          <w:sz w:val="18"/>
        </w:rPr>
        <w:t xml:space="preserve">董事对公司有关事项是否提出异议 </w:t>
      </w:r>
      <w:r>
        <w:br/>
      </w:r>
      <w:r>
        <w:rPr>
          <w:rFonts w:ascii="宋体" w:hAnsi="宋体" w:eastAsia="宋体"/>
          <w:b w:val="0"/>
          <w:i w:val="0"/>
          <w:color w:val="000000"/>
          <w:sz w:val="18"/>
        </w:rPr>
        <w:t xml:space="preserve">□是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否 </w:t>
      </w:r>
      <w:r>
        <w:br/>
      </w:r>
      <w:r>
        <w:rPr>
          <w:rFonts w:ascii="宋体" w:hAnsi="宋体" w:eastAsia="宋体"/>
          <w:b w:val="0"/>
          <w:i w:val="0"/>
          <w:color w:val="000000"/>
          <w:sz w:val="18"/>
        </w:rPr>
        <w:t xml:space="preserve">报告期内董事对公司有关事项未提出异议。 </w:t>
      </w:r>
    </w:p>
    <w:p>
      <w:pPr>
        <w:autoSpaceDN w:val="0"/>
        <w:autoSpaceDE w:val="0"/>
        <w:widowControl/>
        <w:spacing w:line="212" w:lineRule="exact" w:before="370" w:after="0"/>
        <w:ind w:left="30" w:right="0" w:firstLine="0"/>
        <w:jc w:val="left"/>
      </w:pPr>
      <w:r>
        <w:rPr>
          <w:rFonts w:ascii="宋体" w:hAnsi="宋体" w:eastAsia="宋体"/>
          <w:b w:val="0"/>
          <w:i w:val="0"/>
          <w:color w:val="000000"/>
          <w:sz w:val="21"/>
        </w:rPr>
        <w:t xml:space="preserve">4、董事履行职责的其他说明 </w:t>
      </w:r>
    </w:p>
    <w:p>
      <w:pPr>
        <w:autoSpaceDN w:val="0"/>
        <w:autoSpaceDE w:val="0"/>
        <w:widowControl/>
        <w:spacing w:line="340" w:lineRule="exact" w:before="200" w:after="0"/>
        <w:ind w:left="30" w:right="5904" w:firstLine="0"/>
        <w:jc w:val="left"/>
      </w:pPr>
      <w:r>
        <w:rPr>
          <w:rFonts w:ascii="宋体" w:hAnsi="宋体" w:eastAsia="宋体"/>
          <w:b w:val="0"/>
          <w:i w:val="0"/>
          <w:color w:val="000000"/>
          <w:sz w:val="18"/>
        </w:rPr>
        <w:t xml:space="preserve">董事对公司有关建议是否被采纳 </w:t>
      </w:r>
      <w:r>
        <w:br/>
      </w:r>
      <w:r>
        <w:rPr>
          <w:rFonts w:ascii="Times New Roman" w:hAnsi="Times New Roman" w:eastAsia="Times New Roman"/>
          <w:b w:val="0"/>
          <w:i w:val="0"/>
          <w:color w:val="000000"/>
          <w:sz w:val="18"/>
        </w:rPr>
        <w:t>√</w:t>
      </w:r>
      <w:r>
        <w:rPr>
          <w:rFonts w:ascii="宋体" w:hAnsi="宋体" w:eastAsia="宋体"/>
          <w:b w:val="0"/>
          <w:i w:val="0"/>
          <w:color w:val="000000"/>
          <w:sz w:val="18"/>
        </w:rPr>
        <w:t xml:space="preserve">是 □否 </w:t>
      </w:r>
      <w:r>
        <w:br/>
      </w:r>
      <w:r>
        <w:rPr>
          <w:rFonts w:ascii="宋体" w:hAnsi="宋体" w:eastAsia="宋体"/>
          <w:b w:val="0"/>
          <w:i w:val="0"/>
          <w:color w:val="000000"/>
          <w:sz w:val="18"/>
        </w:rPr>
        <w:t xml:space="preserve">董事对公司有关建议被采纳或未被采纳的说明 </w:t>
      </w:r>
    </w:p>
    <w:p>
      <w:pPr>
        <w:autoSpaceDN w:val="0"/>
        <w:autoSpaceDE w:val="0"/>
        <w:widowControl/>
        <w:spacing w:line="460" w:lineRule="exact" w:before="62" w:after="0"/>
        <w:ind w:left="30" w:right="230" w:firstLine="420"/>
        <w:jc w:val="both"/>
      </w:pPr>
      <w:r>
        <w:rPr>
          <w:rFonts w:ascii="宋体" w:hAnsi="宋体" w:eastAsia="宋体"/>
          <w:b w:val="0"/>
          <w:i w:val="0"/>
          <w:color w:val="000000"/>
          <w:sz w:val="21"/>
        </w:rPr>
        <w:t>报告期内，公司第四届董事会全体董事严格遵守相关法律法规及《公司章程》的规定，勤勉尽责，</w:t>
      </w:r>
      <w:r>
        <w:rPr>
          <w:rFonts w:ascii="宋体" w:hAnsi="宋体" w:eastAsia="宋体"/>
          <w:b w:val="0"/>
          <w:i w:val="0"/>
          <w:color w:val="000000"/>
          <w:sz w:val="21"/>
        </w:rPr>
        <w:t>积极出席股东大会、董事会及各专门委员会等会议，并结合自身专业优势，认真审议研究各项议案，对</w:t>
      </w:r>
      <w:r>
        <w:rPr>
          <w:rFonts w:ascii="宋体" w:hAnsi="宋体" w:eastAsia="宋体"/>
          <w:b w:val="0"/>
          <w:i w:val="0"/>
          <w:color w:val="000000"/>
          <w:sz w:val="21"/>
        </w:rPr>
        <w:t>公司经营管理有关事项提出合理化建议。在董事会闭会期间，深入公司现场办公，通过多种沟通渠道，</w:t>
      </w:r>
      <w:r>
        <w:rPr>
          <w:rFonts w:ascii="宋体" w:hAnsi="宋体" w:eastAsia="宋体"/>
          <w:b w:val="0"/>
          <w:i w:val="0"/>
          <w:color w:val="000000"/>
          <w:sz w:val="21"/>
        </w:rPr>
        <w:t>检查董事会有关决议执行情况，全面了解公司实际经营管理状况，切实履行监督、检查职责，有效保障</w:t>
      </w:r>
      <w:r>
        <w:rPr>
          <w:rFonts w:ascii="宋体" w:hAnsi="宋体" w:eastAsia="宋体"/>
          <w:b w:val="0"/>
          <w:i w:val="0"/>
          <w:color w:val="000000"/>
          <w:sz w:val="21"/>
        </w:rPr>
        <w:t>广大投资者的合法权益。公司独立董事通过审阅公司的定期报告、临时报告、信息披露文件和董事会议</w:t>
      </w:r>
      <w:r>
        <w:rPr>
          <w:rFonts w:ascii="宋体" w:hAnsi="宋体" w:eastAsia="宋体"/>
          <w:b w:val="0"/>
          <w:i w:val="0"/>
          <w:color w:val="000000"/>
          <w:sz w:val="21"/>
        </w:rPr>
        <w:t>案等有关资料，依法履行监督职责，对公司关联交易、利润分配、战略规划等重大事项均发表了独立意</w:t>
      </w:r>
      <w:r>
        <w:rPr>
          <w:rFonts w:ascii="宋体" w:hAnsi="宋体" w:eastAsia="宋体"/>
          <w:b w:val="0"/>
          <w:i w:val="0"/>
          <w:color w:val="000000"/>
          <w:sz w:val="21"/>
        </w:rPr>
        <w:t>见。组织召开独立董事专门会议对公司关联交易进行事前审议，保证关联交易信息披露充分，符合公司</w:t>
      </w:r>
      <w:r>
        <w:rPr>
          <w:rFonts w:ascii="宋体" w:hAnsi="宋体" w:eastAsia="宋体"/>
          <w:b w:val="0"/>
          <w:i w:val="0"/>
          <w:color w:val="000000"/>
          <w:sz w:val="21"/>
        </w:rPr>
        <w:t xml:space="preserve">及全体股东利益。 </w:t>
      </w:r>
    </w:p>
    <w:p>
      <w:pPr>
        <w:autoSpaceDN w:val="0"/>
        <w:autoSpaceDE w:val="0"/>
        <w:widowControl/>
        <w:spacing w:line="212" w:lineRule="exact" w:before="250" w:after="0"/>
        <w:ind w:left="450" w:right="0" w:firstLine="0"/>
        <w:jc w:val="left"/>
      </w:pPr>
      <w:r>
        <w:rPr>
          <w:rFonts w:ascii="宋体" w:hAnsi="宋体" w:eastAsia="宋体"/>
          <w:b w:val="0"/>
          <w:i w:val="0"/>
          <w:color w:val="000000"/>
          <w:sz w:val="21"/>
        </w:rPr>
        <w:t>报告期内，公司独立董事未提议召开董事会，未提议聘用或解聘会计师事务所，未独立聘请外部审</w:t>
      </w:r>
    </w:p>
    <w:p>
      <w:pPr>
        <w:autoSpaceDN w:val="0"/>
        <w:autoSpaceDE w:val="0"/>
        <w:widowControl/>
        <w:spacing w:line="197" w:lineRule="auto" w:before="764" w:after="0"/>
        <w:ind w:left="0" w:right="0" w:firstLine="0"/>
        <w:jc w:val="center"/>
      </w:pPr>
      <w:r>
        <w:rPr>
          <w:rFonts w:ascii="Calibri" w:hAnsi="Calibri" w:eastAsia="Calibri"/>
          <w:b w:val="0"/>
          <w:i w:val="0"/>
          <w:color w:val="000000"/>
          <w:sz w:val="18"/>
        </w:rPr>
        <w:t xml:space="preserve">88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904.0" w:type="dxa"/>
      </w:tblPr>
      <w:tblGrid>
        <w:gridCol w:w="5770"/>
        <w:gridCol w:w="5770"/>
      </w:tblGrid>
      <w:tr>
        <w:trPr>
          <w:trHeight w:hRule="exact" w:val="774"/>
        </w:trPr>
        <w:tc>
          <w:tcPr>
            <w:tcW w:type="dxa" w:w="5436"/>
            <w:tcBorders>
              <w:bottom w:sz="5.600000000000023" w:val="single" w:color="#000000"/>
            </w:tcBorders>
            <w:tcMar>
              <w:start w:w="0" w:type="dxa"/>
              <w:end w:w="0" w:type="dxa"/>
            </w:tcMar>
          </w:tcPr>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91" name="Picture 9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260"/>
            <w:tcBorders>
              <w:bottom w:sz="5.600000000000023" w:val="single" w:color="#000000"/>
            </w:tcBorders>
            <w:tcMar>
              <w:start w:w="0" w:type="dxa"/>
              <w:end w:w="0" w:type="dxa"/>
            </w:tcMar>
          </w:tcPr>
          <w:p>
            <w:pPr>
              <w:autoSpaceDN w:val="0"/>
              <w:autoSpaceDE w:val="0"/>
              <w:widowControl/>
              <w:spacing w:line="200" w:lineRule="exact" w:before="536" w:after="0"/>
              <w:ind w:left="0" w:right="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210" w:lineRule="exact" w:before="192" w:after="0"/>
        <w:ind w:left="934" w:right="0" w:firstLine="0"/>
        <w:jc w:val="left"/>
      </w:pPr>
      <w:r>
        <w:rPr>
          <w:rFonts w:ascii="宋体" w:hAnsi="宋体" w:eastAsia="宋体"/>
          <w:b w:val="0"/>
          <w:i w:val="0"/>
          <w:color w:val="000000"/>
          <w:sz w:val="21"/>
        </w:rPr>
        <w:t>计机构和咨询机构。</w:t>
      </w:r>
    </w:p>
    <w:p>
      <w:pPr>
        <w:autoSpaceDN w:val="0"/>
        <w:autoSpaceDE w:val="0"/>
        <w:widowControl/>
        <w:spacing w:line="240" w:lineRule="exact" w:before="414" w:after="330"/>
        <w:ind w:left="934" w:right="0" w:firstLine="0"/>
        <w:jc w:val="left"/>
      </w:pPr>
      <w:r>
        <w:rPr>
          <w:rFonts w:ascii="宋体" w:hAnsi="宋体" w:eastAsia="宋体"/>
          <w:b w:val="0"/>
          <w:i w:val="0"/>
          <w:color w:val="000000"/>
          <w:sz w:val="24"/>
        </w:rPr>
        <w:t xml:space="preserve">七、董事会下设专门委员会在报告期内的情况 </w:t>
      </w:r>
    </w:p>
    <w:tbl>
      <w:tblPr>
        <w:tblW w:type="auto" w:w="0"/>
        <w:tblLayout w:type="fixed"/>
        <w:tblLook w:firstColumn="1" w:firstRow="1" w:lastColumn="0" w:lastRow="0" w:noHBand="0" w:noVBand="1" w:val="04A0"/>
        <w:tblInd w:w="1.999999999999993" w:type="dxa"/>
      </w:tblPr>
      <w:tblGrid>
        <w:gridCol w:w="1442"/>
        <w:gridCol w:w="1442"/>
        <w:gridCol w:w="1442"/>
        <w:gridCol w:w="1442"/>
        <w:gridCol w:w="1442"/>
        <w:gridCol w:w="1442"/>
        <w:gridCol w:w="1442"/>
        <w:gridCol w:w="1442"/>
      </w:tblGrid>
      <w:tr>
        <w:trPr>
          <w:trHeight w:hRule="exact" w:val="2406"/>
        </w:trPr>
        <w:tc>
          <w:tcPr>
            <w:tcW w:type="dxa" w:w="364"/>
            <w:tcBorders>
              <w:start w:sz="1.5999999999999943" w:val="single" w:color="#000000"/>
              <w:top w:sz="1.599999999999909" w:val="single" w:color="#000000"/>
              <w:end w:sz="1.5999999999999943" w:val="single" w:color="#000000"/>
              <w:bottom w:sz="1.599999999999909" w:val="single" w:color="#000000"/>
            </w:tcBorders>
            <w:shd w:fill="d2d2d2"/>
            <w:tcMar>
              <w:start w:w="0" w:type="dxa"/>
              <w:end w:w="0" w:type="dxa"/>
            </w:tcMar>
          </w:tcPr>
          <w:p>
            <w:pPr>
              <w:autoSpaceDN w:val="0"/>
              <w:autoSpaceDE w:val="0"/>
              <w:widowControl/>
              <w:spacing w:line="300" w:lineRule="exact" w:before="414" w:after="0"/>
              <w:ind w:left="106" w:right="0" w:firstLine="0"/>
              <w:jc w:val="both"/>
            </w:pPr>
            <w:r>
              <w:rPr>
                <w:rFonts w:ascii="宋体" w:hAnsi="宋体" w:eastAsia="宋体"/>
                <w:b w:val="0"/>
                <w:i w:val="0"/>
                <w:color w:val="000000"/>
                <w:sz w:val="18"/>
              </w:rPr>
              <w:t>委</w:t>
            </w:r>
            <w:r>
              <w:br/>
            </w:r>
            <w:r>
              <w:rPr>
                <w:rFonts w:ascii="宋体" w:hAnsi="宋体" w:eastAsia="宋体"/>
                <w:b w:val="0"/>
                <w:i w:val="0"/>
                <w:color w:val="000000"/>
                <w:sz w:val="18"/>
              </w:rPr>
              <w:t>员</w:t>
            </w:r>
            <w:r>
              <w:br/>
            </w:r>
            <w:r>
              <w:rPr>
                <w:rFonts w:ascii="宋体" w:hAnsi="宋体" w:eastAsia="宋体"/>
                <w:b w:val="0"/>
                <w:i w:val="0"/>
                <w:color w:val="000000"/>
                <w:sz w:val="18"/>
              </w:rPr>
              <w:t>会</w:t>
            </w:r>
            <w:r>
              <w:br/>
            </w:r>
            <w:r>
              <w:rPr>
                <w:rFonts w:ascii="宋体" w:hAnsi="宋体" w:eastAsia="宋体"/>
                <w:b w:val="0"/>
                <w:i w:val="0"/>
                <w:color w:val="000000"/>
                <w:sz w:val="18"/>
              </w:rPr>
              <w:t>名</w:t>
            </w:r>
            <w:r>
              <w:br/>
            </w:r>
            <w:r>
              <w:rPr>
                <w:rFonts w:ascii="宋体" w:hAnsi="宋体" w:eastAsia="宋体"/>
                <w:b w:val="0"/>
                <w:i w:val="0"/>
                <w:color w:val="000000"/>
                <w:sz w:val="18"/>
              </w:rPr>
              <w:t xml:space="preserve">称 </w:t>
            </w:r>
          </w:p>
        </w:tc>
        <w:tc>
          <w:tcPr>
            <w:tcW w:type="dxa" w:w="1560"/>
            <w:tcBorders>
              <w:start w:sz="1.5999999999999943" w:val="single" w:color="#000000"/>
              <w:top w:sz="1.599999999999909" w:val="single" w:color="#000000"/>
              <w:end w:sz="2.3999999999999773" w:val="single" w:color="#000000"/>
              <w:bottom w:sz="1.599999999999909" w:val="single" w:color="#000000"/>
            </w:tcBorders>
            <w:shd w:fill="d2d2d2"/>
            <w:tcMar>
              <w:start w:w="0" w:type="dxa"/>
              <w:end w:w="0" w:type="dxa"/>
            </w:tcMar>
          </w:tcPr>
          <w:p>
            <w:pPr>
              <w:autoSpaceDN w:val="0"/>
              <w:autoSpaceDE w:val="0"/>
              <w:widowControl/>
              <w:spacing w:line="180" w:lineRule="exact" w:before="1134" w:after="0"/>
              <w:ind w:left="0" w:right="328" w:firstLine="0"/>
              <w:jc w:val="right"/>
            </w:pPr>
            <w:r>
              <w:rPr>
                <w:rFonts w:ascii="宋体" w:hAnsi="宋体" w:eastAsia="宋体"/>
                <w:b w:val="0"/>
                <w:i w:val="0"/>
                <w:color w:val="000000"/>
                <w:sz w:val="18"/>
              </w:rPr>
              <w:t xml:space="preserve">成员情况 </w:t>
            </w:r>
          </w:p>
        </w:tc>
        <w:tc>
          <w:tcPr>
            <w:tcW w:type="dxa" w:w="426"/>
            <w:tcBorders>
              <w:start w:sz="2.3999999999999773" w:val="single" w:color="#000000"/>
              <w:top w:sz="1.599999999999909" w:val="single" w:color="#000000"/>
              <w:end w:sz="1.6000000000000227" w:val="single" w:color="#000000"/>
              <w:bottom w:sz="1.599999999999909" w:val="single" w:color="#000000"/>
            </w:tcBorders>
            <w:shd w:fill="d2d2d2"/>
            <w:tcMar>
              <w:start w:w="0" w:type="dxa"/>
              <w:end w:w="0" w:type="dxa"/>
            </w:tcMar>
          </w:tcPr>
          <w:p>
            <w:pPr>
              <w:autoSpaceDN w:val="0"/>
              <w:autoSpaceDE w:val="0"/>
              <w:widowControl/>
              <w:spacing w:line="300" w:lineRule="exact" w:before="266" w:after="0"/>
              <w:ind w:left="122" w:right="30" w:firstLine="0"/>
              <w:jc w:val="both"/>
            </w:pPr>
            <w:r>
              <w:rPr>
                <w:rFonts w:ascii="宋体" w:hAnsi="宋体" w:eastAsia="宋体"/>
                <w:b w:val="0"/>
                <w:i w:val="0"/>
                <w:color w:val="000000"/>
                <w:sz w:val="18"/>
              </w:rPr>
              <w:t>召</w:t>
            </w:r>
            <w:r>
              <w:br/>
            </w:r>
            <w:r>
              <w:rPr>
                <w:rFonts w:ascii="宋体" w:hAnsi="宋体" w:eastAsia="宋体"/>
                <w:b w:val="0"/>
                <w:i w:val="0"/>
                <w:color w:val="000000"/>
                <w:sz w:val="18"/>
              </w:rPr>
              <w:t>开</w:t>
            </w:r>
            <w:r>
              <w:br/>
            </w:r>
            <w:r>
              <w:rPr>
                <w:rFonts w:ascii="宋体" w:hAnsi="宋体" w:eastAsia="宋体"/>
                <w:b w:val="0"/>
                <w:i w:val="0"/>
                <w:color w:val="000000"/>
                <w:sz w:val="18"/>
              </w:rPr>
              <w:t>会</w:t>
            </w:r>
            <w:r>
              <w:br/>
            </w:r>
            <w:r>
              <w:rPr>
                <w:rFonts w:ascii="宋体" w:hAnsi="宋体" w:eastAsia="宋体"/>
                <w:b w:val="0"/>
                <w:i w:val="0"/>
                <w:color w:val="000000"/>
                <w:sz w:val="18"/>
              </w:rPr>
              <w:t>议</w:t>
            </w:r>
            <w:r>
              <w:br/>
            </w:r>
            <w:r>
              <w:rPr>
                <w:rFonts w:ascii="宋体" w:hAnsi="宋体" w:eastAsia="宋体"/>
                <w:b w:val="0"/>
                <w:i w:val="0"/>
                <w:color w:val="000000"/>
                <w:sz w:val="18"/>
              </w:rPr>
              <w:t>次</w:t>
            </w:r>
            <w:r>
              <w:br/>
            </w:r>
            <w:r>
              <w:rPr>
                <w:rFonts w:ascii="宋体" w:hAnsi="宋体" w:eastAsia="宋体"/>
                <w:b w:val="0"/>
                <w:i w:val="0"/>
                <w:color w:val="000000"/>
                <w:sz w:val="18"/>
              </w:rPr>
              <w:t xml:space="preserve">数 </w:t>
            </w:r>
          </w:p>
        </w:tc>
        <w:tc>
          <w:tcPr>
            <w:tcW w:type="dxa" w:w="1132"/>
            <w:tcBorders>
              <w:start w:sz="1.6000000000000227"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1134" w:after="0"/>
              <w:ind w:left="202" w:right="0" w:firstLine="0"/>
              <w:jc w:val="left"/>
            </w:pPr>
            <w:r>
              <w:rPr>
                <w:rFonts w:ascii="宋体" w:hAnsi="宋体" w:eastAsia="宋体"/>
                <w:b w:val="0"/>
                <w:i w:val="0"/>
                <w:color w:val="000000"/>
                <w:sz w:val="18"/>
              </w:rPr>
              <w:t xml:space="preserve">召开日期 </w:t>
            </w:r>
          </w:p>
        </w:tc>
        <w:tc>
          <w:tcPr>
            <w:tcW w:type="dxa" w:w="4682"/>
            <w:tcBorders>
              <w:start w:sz="2.400000000000091"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1134" w:after="0"/>
              <w:ind w:left="0" w:right="1886" w:firstLine="0"/>
              <w:jc w:val="right"/>
            </w:pPr>
            <w:r>
              <w:rPr>
                <w:rFonts w:ascii="宋体" w:hAnsi="宋体" w:eastAsia="宋体"/>
                <w:b w:val="0"/>
                <w:i w:val="0"/>
                <w:color w:val="000000"/>
                <w:sz w:val="18"/>
              </w:rPr>
              <w:t xml:space="preserve">会议内容 </w:t>
            </w:r>
          </w:p>
        </w:tc>
        <w:tc>
          <w:tcPr>
            <w:tcW w:type="dxa" w:w="2124"/>
            <w:tcBorders>
              <w:start w:sz="1.599999999999909" w:val="single" w:color="#000000"/>
              <w:top w:sz="1.599999999999909" w:val="single" w:color="#000000"/>
              <w:end w:sz="1.6000000000003638" w:val="single" w:color="#000000"/>
              <w:bottom w:sz="1.599999999999909" w:val="single" w:color="#000000"/>
            </w:tcBorders>
            <w:shd w:fill="d2d2d2"/>
            <w:tcMar>
              <w:start w:w="0" w:type="dxa"/>
              <w:end w:w="0" w:type="dxa"/>
            </w:tcMar>
          </w:tcPr>
          <w:p>
            <w:pPr>
              <w:autoSpaceDN w:val="0"/>
              <w:autoSpaceDE w:val="0"/>
              <w:widowControl/>
              <w:spacing w:line="180" w:lineRule="exact" w:before="1134" w:after="0"/>
              <w:ind w:left="156" w:right="0" w:firstLine="0"/>
              <w:jc w:val="left"/>
            </w:pPr>
            <w:r>
              <w:rPr>
                <w:rFonts w:ascii="宋体" w:hAnsi="宋体" w:eastAsia="宋体"/>
                <w:b w:val="0"/>
                <w:i w:val="0"/>
                <w:color w:val="000000"/>
                <w:sz w:val="18"/>
              </w:rPr>
              <w:t xml:space="preserve">提出的重要意见和建议 </w:t>
            </w:r>
          </w:p>
        </w:tc>
        <w:tc>
          <w:tcPr>
            <w:tcW w:type="dxa" w:w="852"/>
            <w:tcBorders>
              <w:start w:sz="1.6000000000003638" w:val="single" w:color="#000000"/>
              <w:top w:sz="1.599999999999909" w:val="single" w:color="#000000"/>
              <w:end w:sz="1.6000000000003638" w:val="single" w:color="#000000"/>
              <w:bottom w:sz="1.599999999999909" w:val="single" w:color="#000000"/>
            </w:tcBorders>
            <w:shd w:fill="d2d2d2"/>
            <w:tcMar>
              <w:start w:w="0" w:type="dxa"/>
              <w:end w:w="0" w:type="dxa"/>
            </w:tcMar>
          </w:tcPr>
          <w:p>
            <w:pPr>
              <w:autoSpaceDN w:val="0"/>
              <w:autoSpaceDE w:val="0"/>
              <w:widowControl/>
              <w:spacing w:line="300" w:lineRule="exact" w:before="714" w:after="0"/>
              <w:ind w:left="154" w:right="62" w:firstLine="0"/>
              <w:jc w:val="both"/>
            </w:pPr>
            <w:r>
              <w:rPr>
                <w:rFonts w:ascii="宋体" w:hAnsi="宋体" w:eastAsia="宋体"/>
                <w:b w:val="0"/>
                <w:i w:val="0"/>
                <w:color w:val="000000"/>
                <w:sz w:val="18"/>
              </w:rPr>
              <w:t>其他履</w:t>
            </w:r>
            <w:r>
              <w:br/>
            </w:r>
            <w:r>
              <w:rPr>
                <w:rFonts w:ascii="宋体" w:hAnsi="宋体" w:eastAsia="宋体"/>
                <w:b w:val="0"/>
                <w:i w:val="0"/>
                <w:color w:val="000000"/>
                <w:sz w:val="18"/>
              </w:rPr>
              <w:t>行职责</w:t>
            </w:r>
            <w:r>
              <w:br/>
            </w:r>
            <w:r>
              <w:rPr>
                <w:rFonts w:ascii="宋体" w:hAnsi="宋体" w:eastAsia="宋体"/>
                <w:b w:val="0"/>
                <w:i w:val="0"/>
                <w:color w:val="000000"/>
                <w:sz w:val="18"/>
              </w:rPr>
              <w:t xml:space="preserve">的情况 </w:t>
            </w:r>
          </w:p>
        </w:tc>
        <w:tc>
          <w:tcPr>
            <w:tcW w:type="dxa" w:w="362"/>
            <w:tcBorders>
              <w:start w:sz="1.6000000000003638" w:val="single" w:color="#000000"/>
              <w:top w:sz="1.599999999999909" w:val="single" w:color="#000000"/>
              <w:end w:sz="2.399999999999636" w:val="single" w:color="#000000"/>
              <w:bottom w:sz="1.599999999999909" w:val="single" w:color="#000000"/>
            </w:tcBorders>
            <w:shd w:fill="d2d2d2"/>
            <w:tcMar>
              <w:start w:w="0" w:type="dxa"/>
              <w:end w:w="0" w:type="dxa"/>
            </w:tcMar>
          </w:tcPr>
          <w:p>
            <w:pPr>
              <w:autoSpaceDN w:val="0"/>
              <w:autoSpaceDE w:val="0"/>
              <w:widowControl/>
              <w:spacing w:line="296" w:lineRule="exact" w:before="0" w:after="0"/>
              <w:ind w:left="106" w:right="0" w:firstLine="0"/>
              <w:jc w:val="both"/>
            </w:pPr>
            <w:r>
              <w:rPr>
                <w:rFonts w:ascii="宋体" w:hAnsi="宋体" w:eastAsia="宋体"/>
                <w:b w:val="0"/>
                <w:i w:val="0"/>
                <w:color w:val="000000"/>
                <w:sz w:val="18"/>
              </w:rPr>
              <w:t>异</w:t>
            </w:r>
            <w:r>
              <w:br/>
            </w:r>
            <w:r>
              <w:rPr>
                <w:rFonts w:ascii="宋体" w:hAnsi="宋体" w:eastAsia="宋体"/>
                <w:b w:val="0"/>
                <w:i w:val="0"/>
                <w:color w:val="000000"/>
                <w:sz w:val="18"/>
              </w:rPr>
              <w:t>议</w:t>
            </w:r>
            <w:r>
              <w:br/>
            </w:r>
            <w:r>
              <w:rPr>
                <w:rFonts w:ascii="宋体" w:hAnsi="宋体" w:eastAsia="宋体"/>
                <w:b w:val="0"/>
                <w:i w:val="0"/>
                <w:color w:val="000000"/>
                <w:sz w:val="18"/>
              </w:rPr>
              <w:t>事</w:t>
            </w:r>
            <w:r>
              <w:br/>
            </w:r>
            <w:r>
              <w:rPr>
                <w:rFonts w:ascii="宋体" w:hAnsi="宋体" w:eastAsia="宋体"/>
                <w:b w:val="0"/>
                <w:i w:val="0"/>
                <w:color w:val="000000"/>
                <w:sz w:val="18"/>
              </w:rPr>
              <w:t>项</w:t>
            </w:r>
            <w:r>
              <w:br/>
            </w:r>
            <w:r>
              <w:rPr>
                <w:rFonts w:ascii="宋体" w:hAnsi="宋体" w:eastAsia="宋体"/>
                <w:b w:val="0"/>
                <w:i w:val="0"/>
                <w:color w:val="000000"/>
                <w:sz w:val="18"/>
              </w:rPr>
              <w:t>具</w:t>
            </w:r>
            <w:r>
              <w:br/>
            </w:r>
            <w:r>
              <w:rPr>
                <w:rFonts w:ascii="宋体" w:hAnsi="宋体" w:eastAsia="宋体"/>
                <w:b w:val="0"/>
                <w:i w:val="0"/>
                <w:color w:val="000000"/>
                <w:sz w:val="18"/>
              </w:rPr>
              <w:t>体</w:t>
            </w:r>
            <w:r>
              <w:br/>
            </w:r>
            <w:r>
              <w:rPr>
                <w:rFonts w:ascii="宋体" w:hAnsi="宋体" w:eastAsia="宋体"/>
                <w:b w:val="0"/>
                <w:i w:val="0"/>
                <w:color w:val="000000"/>
                <w:sz w:val="18"/>
              </w:rPr>
              <w:t>情</w:t>
            </w:r>
            <w:r>
              <w:br/>
            </w:r>
            <w:r>
              <w:rPr>
                <w:rFonts w:ascii="宋体" w:hAnsi="宋体" w:eastAsia="宋体"/>
                <w:b w:val="0"/>
                <w:i w:val="0"/>
                <w:color w:val="000000"/>
                <w:sz w:val="18"/>
              </w:rPr>
              <w:t xml:space="preserve">况 </w:t>
            </w:r>
          </w:p>
        </w:tc>
      </w:tr>
      <w:tr>
        <w:trPr>
          <w:trHeight w:hRule="exact" w:val="2704"/>
        </w:trPr>
        <w:tc>
          <w:tcPr>
            <w:tcW w:type="dxa" w:w="364"/>
            <w:tcBorders>
              <w:start w:sz="1.5999999999999943" w:val="single" w:color="#000000"/>
              <w:top w:sz="1.599999999999909" w:val="single" w:color="#000000"/>
              <w:end w:sz="1.5999999999999943" w:val="single" w:color="#000000"/>
              <w:bottom w:sz="2.400000000000091" w:val="single" w:color="#000000"/>
            </w:tcBorders>
            <w:tcMar>
              <w:start w:w="0" w:type="dxa"/>
              <w:end w:w="0" w:type="dxa"/>
            </w:tcMar>
          </w:tcPr>
          <w:p>
            <w:pPr>
              <w:autoSpaceDN w:val="0"/>
              <w:tabs>
                <w:tab w:pos="134" w:val="left"/>
              </w:tabs>
              <w:autoSpaceDE w:val="0"/>
              <w:widowControl/>
              <w:spacing w:line="296" w:lineRule="exact" w:before="0" w:after="0"/>
              <w:ind w:left="106" w:right="0" w:firstLine="0"/>
              <w:jc w:val="left"/>
            </w:pPr>
            <w:r>
              <w:rPr>
                <w:rFonts w:ascii="宋体" w:hAnsi="宋体" w:eastAsia="宋体"/>
                <w:b w:val="0"/>
                <w:i w:val="0"/>
                <w:color w:val="000000"/>
                <w:sz w:val="18"/>
              </w:rPr>
              <w:t>战</w:t>
            </w:r>
            <w:r>
              <w:br/>
            </w:r>
            <w:r>
              <w:rPr>
                <w:rFonts w:ascii="宋体" w:hAnsi="宋体" w:eastAsia="宋体"/>
                <w:b w:val="0"/>
                <w:i w:val="0"/>
                <w:color w:val="000000"/>
                <w:sz w:val="18"/>
              </w:rPr>
              <w:t>略</w:t>
            </w:r>
            <w:r>
              <w:br/>
            </w:r>
            <w:r>
              <w:rPr>
                <w:rFonts w:ascii="宋体" w:hAnsi="宋体" w:eastAsia="宋体"/>
                <w:b w:val="0"/>
                <w:i w:val="0"/>
                <w:color w:val="000000"/>
                <w:sz w:val="18"/>
              </w:rPr>
              <w:t>与</w:t>
            </w:r>
            <w:r>
              <w:br/>
            </w:r>
            <w:r>
              <w:rPr>
                <w:rFonts w:ascii="宋体" w:hAnsi="宋体" w:eastAsia="宋体"/>
                <w:b w:val="0"/>
                <w:i w:val="0"/>
                <w:color w:val="000000"/>
                <w:sz w:val="18"/>
              </w:rPr>
              <w:t xml:space="preserve">E </w:t>
            </w:r>
            <w:r>
              <w:br/>
            </w:r>
            <w:r>
              <w:rPr>
                <w:rFonts w:ascii="宋体" w:hAnsi="宋体" w:eastAsia="宋体"/>
                <w:b w:val="0"/>
                <w:i w:val="0"/>
                <w:color w:val="000000"/>
                <w:sz w:val="18"/>
              </w:rPr>
              <w:t xml:space="preserve">S </w:t>
            </w:r>
            <w:r>
              <w:br/>
            </w:r>
            <w:r>
              <w:rPr>
                <w:rFonts w:ascii="宋体" w:hAnsi="宋体" w:eastAsia="宋体"/>
                <w:b w:val="0"/>
                <w:i w:val="0"/>
                <w:color w:val="000000"/>
                <w:sz w:val="18"/>
              </w:rPr>
              <w:t>G</w:t>
            </w:r>
            <w:r>
              <w:br/>
            </w:r>
            <w:r>
              <w:rPr>
                <w:rFonts w:ascii="宋体" w:hAnsi="宋体" w:eastAsia="宋体"/>
                <w:b w:val="0"/>
                <w:i w:val="0"/>
                <w:color w:val="000000"/>
                <w:sz w:val="18"/>
              </w:rPr>
              <w:t>委</w:t>
            </w:r>
            <w:r>
              <w:br/>
            </w:r>
            <w:r>
              <w:rPr>
                <w:rFonts w:ascii="宋体" w:hAnsi="宋体" w:eastAsia="宋体"/>
                <w:b w:val="0"/>
                <w:i w:val="0"/>
                <w:color w:val="000000"/>
                <w:sz w:val="18"/>
              </w:rPr>
              <w:t>员</w:t>
            </w:r>
            <w:r>
              <w:br/>
            </w:r>
            <w:r>
              <w:rPr>
                <w:rFonts w:ascii="宋体" w:hAnsi="宋体" w:eastAsia="宋体"/>
                <w:b w:val="0"/>
                <w:i w:val="0"/>
                <w:color w:val="000000"/>
                <w:sz w:val="18"/>
              </w:rPr>
              <w:t xml:space="preserve">会 </w:t>
            </w:r>
          </w:p>
        </w:tc>
        <w:tc>
          <w:tcPr>
            <w:tcW w:type="dxa" w:w="1560"/>
            <w:tcBorders>
              <w:start w:sz="1.5999999999999943"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300" w:lineRule="exact" w:before="714" w:after="0"/>
              <w:ind w:left="144" w:right="144" w:firstLine="0"/>
              <w:jc w:val="center"/>
            </w:pPr>
            <w:r>
              <w:rPr>
                <w:rFonts w:ascii="宋体" w:hAnsi="宋体" w:eastAsia="宋体"/>
                <w:b w:val="0"/>
                <w:i w:val="0"/>
                <w:color w:val="000000"/>
                <w:sz w:val="18"/>
              </w:rPr>
              <w:t xml:space="preserve">侯巍主任委员 </w:t>
            </w:r>
            <w:r>
              <w:rPr>
                <w:rFonts w:ascii="宋体" w:hAnsi="宋体" w:eastAsia="宋体"/>
                <w:b w:val="0"/>
                <w:i w:val="0"/>
                <w:color w:val="000000"/>
                <w:sz w:val="18"/>
              </w:rPr>
              <w:t xml:space="preserve">刘鹏飞委员 </w:t>
            </w:r>
            <w:r>
              <w:br/>
            </w:r>
            <w:r>
              <w:rPr>
                <w:rFonts w:ascii="宋体" w:hAnsi="宋体" w:eastAsia="宋体"/>
                <w:b w:val="0"/>
                <w:i w:val="0"/>
                <w:color w:val="000000"/>
                <w:sz w:val="18"/>
              </w:rPr>
              <w:t xml:space="preserve">夏贵所委员 </w:t>
            </w:r>
            <w:r>
              <w:br/>
            </w:r>
            <w:r>
              <w:rPr>
                <w:rFonts w:ascii="宋体" w:hAnsi="宋体" w:eastAsia="宋体"/>
                <w:b w:val="0"/>
                <w:i w:val="0"/>
                <w:color w:val="000000"/>
                <w:sz w:val="18"/>
              </w:rPr>
              <w:t xml:space="preserve">王怡里委员 </w:t>
            </w:r>
          </w:p>
        </w:tc>
        <w:tc>
          <w:tcPr>
            <w:tcW w:type="dxa" w:w="426"/>
            <w:tcBorders>
              <w:start w:sz="2.3999999999999773" w:val="single" w:color="#000000"/>
              <w:top w:sz="1.599999999999909" w:val="single" w:color="#000000"/>
              <w:end w:sz="1.6000000000000227" w:val="single" w:color="#000000"/>
              <w:bottom w:sz="2.400000000000091" w:val="single" w:color="#000000"/>
            </w:tcBorders>
            <w:tcMar>
              <w:start w:w="0" w:type="dxa"/>
              <w:end w:w="0" w:type="dxa"/>
            </w:tcMar>
          </w:tcPr>
          <w:p>
            <w:pPr>
              <w:autoSpaceDN w:val="0"/>
              <w:autoSpaceDE w:val="0"/>
              <w:widowControl/>
              <w:spacing w:line="180" w:lineRule="exact" w:before="1286" w:after="0"/>
              <w:ind w:left="0" w:right="76" w:firstLine="0"/>
              <w:jc w:val="right"/>
            </w:pPr>
            <w:r>
              <w:rPr>
                <w:rFonts w:ascii="宋体" w:hAnsi="宋体" w:eastAsia="宋体"/>
                <w:b w:val="0"/>
                <w:i w:val="0"/>
                <w:color w:val="000000"/>
                <w:sz w:val="18"/>
              </w:rPr>
              <w:t xml:space="preserve">1 </w:t>
            </w:r>
          </w:p>
        </w:tc>
        <w:tc>
          <w:tcPr>
            <w:tcW w:type="dxa" w:w="1132"/>
            <w:tcBorders>
              <w:start w:sz="1.6000000000000227"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1286" w:after="0"/>
              <w:ind w:left="112" w:right="0" w:firstLine="0"/>
              <w:jc w:val="left"/>
            </w:pPr>
            <w:r>
              <w:rPr>
                <w:rFonts w:ascii="宋体" w:hAnsi="宋体" w:eastAsia="宋体"/>
                <w:b w:val="0"/>
                <w:i w:val="0"/>
                <w:color w:val="000000"/>
                <w:sz w:val="18"/>
              </w:rPr>
              <w:t xml:space="preserve">2024.04.26 </w:t>
            </w:r>
          </w:p>
        </w:tc>
        <w:tc>
          <w:tcPr>
            <w:tcW w:type="dxa" w:w="4682"/>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714" w:after="0"/>
              <w:ind w:left="110" w:right="0" w:firstLine="0"/>
              <w:jc w:val="left"/>
            </w:pPr>
            <w:r>
              <w:rPr>
                <w:rFonts w:ascii="宋体" w:hAnsi="宋体" w:eastAsia="宋体"/>
                <w:b w:val="0"/>
                <w:i w:val="0"/>
                <w:color w:val="000000"/>
                <w:sz w:val="18"/>
              </w:rPr>
              <w:t>审议通过《公司2023 年度环境、社会及治理（ESG）报</w:t>
            </w:r>
            <w:r>
              <w:rPr>
                <w:rFonts w:ascii="宋体" w:hAnsi="宋体" w:eastAsia="宋体"/>
                <w:b w:val="0"/>
                <w:i w:val="0"/>
                <w:color w:val="000000"/>
                <w:sz w:val="18"/>
              </w:rPr>
              <w:t>告》《公司&lt;股东分红回报规划（2024 年-2026 年）&gt;》</w:t>
            </w:r>
            <w:r>
              <w:rPr>
                <w:rFonts w:ascii="宋体" w:hAnsi="宋体" w:eastAsia="宋体"/>
                <w:b w:val="0"/>
                <w:i w:val="0"/>
                <w:color w:val="000000"/>
                <w:sz w:val="18"/>
              </w:rPr>
              <w:t>《关于申请开展北京证券交易所股票做市交易业务的议</w:t>
            </w:r>
            <w:r>
              <w:rPr>
                <w:rFonts w:ascii="宋体" w:hAnsi="宋体" w:eastAsia="宋体"/>
                <w:b w:val="0"/>
                <w:i w:val="0"/>
                <w:color w:val="000000"/>
                <w:sz w:val="18"/>
              </w:rPr>
              <w:t xml:space="preserve">案》 </w:t>
            </w:r>
          </w:p>
        </w:tc>
        <w:tc>
          <w:tcPr>
            <w:tcW w:type="dxa" w:w="2124"/>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300" w:lineRule="exact" w:before="266" w:after="0"/>
              <w:ind w:left="106" w:right="100" w:firstLine="0"/>
              <w:jc w:val="both"/>
            </w:pPr>
            <w:r>
              <w:rPr>
                <w:rFonts w:ascii="宋体" w:hAnsi="宋体" w:eastAsia="宋体"/>
                <w:b w:val="0"/>
                <w:i w:val="0"/>
                <w:color w:val="000000"/>
                <w:sz w:val="18"/>
              </w:rPr>
              <w:t>结合公司发展战略、行</w:t>
            </w:r>
            <w:r>
              <w:rPr>
                <w:rFonts w:ascii="宋体" w:hAnsi="宋体" w:eastAsia="宋体"/>
                <w:b w:val="0"/>
                <w:i w:val="0"/>
                <w:color w:val="000000"/>
                <w:sz w:val="18"/>
              </w:rPr>
              <w:t>业发展趋势、市场状况</w:t>
            </w:r>
            <w:r>
              <w:rPr>
                <w:rFonts w:ascii="宋体" w:hAnsi="宋体" w:eastAsia="宋体"/>
                <w:b w:val="0"/>
                <w:i w:val="0"/>
                <w:color w:val="000000"/>
                <w:sz w:val="18"/>
              </w:rPr>
              <w:t>等因素，对未来业务发</w:t>
            </w:r>
            <w:r>
              <w:rPr>
                <w:rFonts w:ascii="宋体" w:hAnsi="宋体" w:eastAsia="宋体"/>
                <w:b w:val="0"/>
                <w:i w:val="0"/>
                <w:color w:val="000000"/>
                <w:sz w:val="18"/>
              </w:rPr>
              <w:t>展方案以及ESG 事宜进</w:t>
            </w:r>
            <w:r>
              <w:rPr>
                <w:rFonts w:ascii="宋体" w:hAnsi="宋体" w:eastAsia="宋体"/>
                <w:b w:val="0"/>
                <w:i w:val="0"/>
                <w:color w:val="000000"/>
                <w:sz w:val="18"/>
              </w:rPr>
              <w:t>行认真分析、研究，提</w:t>
            </w:r>
            <w:r>
              <w:rPr>
                <w:rFonts w:ascii="宋体" w:hAnsi="宋体" w:eastAsia="宋体"/>
                <w:b w:val="0"/>
                <w:i w:val="0"/>
                <w:color w:val="000000"/>
                <w:sz w:val="18"/>
              </w:rPr>
              <w:t>出建设性建议，推进公</w:t>
            </w:r>
            <w:r>
              <w:rPr>
                <w:rFonts w:ascii="宋体" w:hAnsi="宋体" w:eastAsia="宋体"/>
                <w:b w:val="0"/>
                <w:i w:val="0"/>
                <w:color w:val="000000"/>
                <w:sz w:val="18"/>
              </w:rPr>
              <w:t xml:space="preserve">司经营发展。 </w:t>
            </w:r>
          </w:p>
        </w:tc>
        <w:tc>
          <w:tcPr>
            <w:tcW w:type="dxa" w:w="852"/>
            <w:vMerge w:val="restart"/>
            <w:tcBorders>
              <w:start w:sz="1.6000000000003638" w:val="single" w:color="#000000"/>
              <w:top w:sz="1.599999999999909"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562" w:val="left"/>
                <w:tab w:pos="564" w:val="left"/>
              </w:tabs>
              <w:autoSpaceDE w:val="0"/>
              <w:widowControl/>
              <w:spacing w:line="300" w:lineRule="exact" w:before="0" w:after="0"/>
              <w:ind w:left="108" w:right="0" w:firstLine="0"/>
              <w:jc w:val="left"/>
            </w:pPr>
            <w:r>
              <w:rPr>
                <w:rFonts w:ascii="宋体" w:hAnsi="宋体" w:eastAsia="宋体"/>
                <w:b w:val="0"/>
                <w:i w:val="0"/>
                <w:color w:val="000000"/>
                <w:sz w:val="18"/>
              </w:rPr>
              <w:t>根</w:t>
            </w:r>
            <w:r>
              <w:tab/>
            </w:r>
            <w:r>
              <w:rPr>
                <w:rFonts w:ascii="宋体" w:hAnsi="宋体" w:eastAsia="宋体"/>
                <w:b w:val="0"/>
                <w:i w:val="0"/>
                <w:color w:val="000000"/>
                <w:sz w:val="18"/>
              </w:rPr>
              <w:t>据</w:t>
            </w:r>
            <w:r>
              <w:br/>
            </w:r>
            <w:r>
              <w:rPr>
                <w:rFonts w:ascii="宋体" w:hAnsi="宋体" w:eastAsia="宋体"/>
                <w:b w:val="0"/>
                <w:i w:val="0"/>
                <w:color w:val="000000"/>
                <w:sz w:val="18"/>
              </w:rPr>
              <w:t>《深圳</w:t>
            </w:r>
            <w:r>
              <w:br/>
            </w:r>
            <w:r>
              <w:rPr>
                <w:rFonts w:ascii="宋体" w:hAnsi="宋体" w:eastAsia="宋体"/>
                <w:b w:val="0"/>
                <w:i w:val="0"/>
                <w:color w:val="000000"/>
                <w:sz w:val="18"/>
              </w:rPr>
              <w:t>证券交</w:t>
            </w:r>
            <w:r>
              <w:br/>
            </w:r>
            <w:r>
              <w:rPr>
                <w:rFonts w:ascii="宋体" w:hAnsi="宋体" w:eastAsia="宋体"/>
                <w:b w:val="0"/>
                <w:i w:val="0"/>
                <w:color w:val="000000"/>
                <w:sz w:val="18"/>
              </w:rPr>
              <w:t>易所上</w:t>
            </w:r>
            <w:r>
              <w:br/>
            </w:r>
            <w:r>
              <w:rPr>
                <w:rFonts w:ascii="宋体" w:hAnsi="宋体" w:eastAsia="宋体"/>
                <w:b w:val="0"/>
                <w:i w:val="0"/>
                <w:color w:val="000000"/>
                <w:sz w:val="18"/>
              </w:rPr>
              <w:t>市公司</w:t>
            </w:r>
            <w:r>
              <w:br/>
            </w:r>
            <w:r>
              <w:rPr>
                <w:rFonts w:ascii="宋体" w:hAnsi="宋体" w:eastAsia="宋体"/>
                <w:b w:val="0"/>
                <w:i w:val="0"/>
                <w:color w:val="000000"/>
                <w:sz w:val="18"/>
              </w:rPr>
              <w:t>自律监</w:t>
            </w:r>
            <w:r>
              <w:br/>
            </w:r>
            <w:r>
              <w:rPr>
                <w:rFonts w:ascii="宋体" w:hAnsi="宋体" w:eastAsia="宋体"/>
                <w:b w:val="0"/>
                <w:i w:val="0"/>
                <w:color w:val="000000"/>
                <w:sz w:val="18"/>
              </w:rPr>
              <w:t>管指引</w:t>
            </w:r>
            <w:r>
              <w:br/>
            </w:r>
            <w:r>
              <w:rPr>
                <w:rFonts w:ascii="宋体" w:hAnsi="宋体" w:eastAsia="宋体"/>
                <w:b w:val="0"/>
                <w:i w:val="0"/>
                <w:color w:val="000000"/>
                <w:sz w:val="18"/>
              </w:rPr>
              <w:t>第1 号</w:t>
            </w:r>
            <w:r>
              <w:br/>
            </w:r>
            <w:r>
              <w:rPr>
                <w:rFonts w:ascii="宋体" w:hAnsi="宋体" w:eastAsia="宋体"/>
                <w:b w:val="0"/>
                <w:i w:val="0"/>
                <w:color w:val="000000"/>
                <w:sz w:val="18"/>
              </w:rPr>
              <w:t>—— 主</w:t>
            </w:r>
            <w:r>
              <w:br/>
            </w:r>
            <w:r>
              <w:rPr>
                <w:rFonts w:ascii="宋体" w:hAnsi="宋体" w:eastAsia="宋体"/>
                <w:b w:val="0"/>
                <w:i w:val="0"/>
                <w:color w:val="000000"/>
                <w:sz w:val="18"/>
              </w:rPr>
              <w:t>板上市</w:t>
            </w:r>
            <w:r>
              <w:br/>
            </w:r>
            <w:r>
              <w:rPr>
                <w:rFonts w:ascii="宋体" w:hAnsi="宋体" w:eastAsia="宋体"/>
                <w:b w:val="0"/>
                <w:i w:val="0"/>
                <w:color w:val="000000"/>
                <w:sz w:val="18"/>
              </w:rPr>
              <w:t>公司规</w:t>
            </w:r>
            <w:r>
              <w:br/>
            </w:r>
            <w:r>
              <w:rPr>
                <w:rFonts w:ascii="宋体" w:hAnsi="宋体" w:eastAsia="宋体"/>
                <w:b w:val="0"/>
                <w:i w:val="0"/>
                <w:color w:val="000000"/>
                <w:sz w:val="18"/>
              </w:rPr>
              <w:t>范</w:t>
            </w:r>
            <w:r>
              <w:tab/>
            </w:r>
            <w:r>
              <w:rPr>
                <w:rFonts w:ascii="宋体" w:hAnsi="宋体" w:eastAsia="宋体"/>
                <w:b w:val="0"/>
                <w:i w:val="0"/>
                <w:color w:val="000000"/>
                <w:sz w:val="18"/>
              </w:rPr>
              <w:t>运</w:t>
            </w:r>
            <w:r>
              <w:br/>
            </w:r>
            <w:r>
              <w:rPr>
                <w:rFonts w:ascii="宋体" w:hAnsi="宋体" w:eastAsia="宋体"/>
                <w:b w:val="0"/>
                <w:i w:val="0"/>
                <w:color w:val="000000"/>
                <w:sz w:val="18"/>
              </w:rPr>
              <w:t>作》《公</w:t>
            </w:r>
            <w:r>
              <w:br/>
            </w:r>
            <w:r>
              <w:rPr>
                <w:rFonts w:ascii="宋体" w:hAnsi="宋体" w:eastAsia="宋体"/>
                <w:b w:val="0"/>
                <w:i w:val="0"/>
                <w:color w:val="000000"/>
                <w:sz w:val="18"/>
              </w:rPr>
              <w:t>司</w:t>
            </w:r>
            <w:r>
              <w:br/>
            </w:r>
            <w:r>
              <w:tab/>
            </w:r>
            <w:r>
              <w:rPr>
                <w:rFonts w:ascii="宋体" w:hAnsi="宋体" w:eastAsia="宋体"/>
                <w:b w:val="0"/>
                <w:i w:val="0"/>
                <w:color w:val="000000"/>
                <w:sz w:val="18"/>
              </w:rPr>
              <w:t>章</w:t>
            </w:r>
            <w:r>
              <w:rPr>
                <w:rFonts w:ascii="宋体" w:hAnsi="宋体" w:eastAsia="宋体"/>
                <w:b w:val="0"/>
                <w:i w:val="0"/>
                <w:color w:val="000000"/>
                <w:sz w:val="18"/>
              </w:rPr>
              <w:t>程》《董</w:t>
            </w:r>
            <w:r>
              <w:br/>
            </w:r>
            <w:r>
              <w:rPr>
                <w:rFonts w:ascii="宋体" w:hAnsi="宋体" w:eastAsia="宋体"/>
                <w:b w:val="0"/>
                <w:i w:val="0"/>
                <w:color w:val="000000"/>
                <w:sz w:val="18"/>
              </w:rPr>
              <w:t>事会战</w:t>
            </w:r>
            <w:r>
              <w:br/>
            </w:r>
            <w:r>
              <w:rPr>
                <w:rFonts w:ascii="宋体" w:hAnsi="宋体" w:eastAsia="宋体"/>
                <w:b w:val="0"/>
                <w:i w:val="0"/>
                <w:color w:val="000000"/>
                <w:sz w:val="18"/>
              </w:rPr>
              <w:t>略</w:t>
            </w:r>
            <w:r>
              <w:tab/>
            </w:r>
            <w:r>
              <w:rPr>
                <w:rFonts w:ascii="宋体" w:hAnsi="宋体" w:eastAsia="宋体"/>
                <w:b w:val="0"/>
                <w:i w:val="0"/>
                <w:color w:val="000000"/>
                <w:sz w:val="18"/>
              </w:rPr>
              <w:t>与</w:t>
            </w:r>
            <w:r>
              <w:br/>
            </w:r>
            <w:r>
              <w:rPr>
                <w:rFonts w:ascii="宋体" w:hAnsi="宋体" w:eastAsia="宋体"/>
                <w:b w:val="0"/>
                <w:i w:val="0"/>
                <w:color w:val="000000"/>
                <w:sz w:val="18"/>
              </w:rPr>
              <w:t>ESG</w:t>
            </w:r>
            <w:r>
              <w:tab/>
            </w:r>
            <w:r>
              <w:rPr>
                <w:rFonts w:ascii="宋体" w:hAnsi="宋体" w:eastAsia="宋体"/>
                <w:b w:val="0"/>
                <w:i w:val="0"/>
                <w:color w:val="000000"/>
                <w:sz w:val="18"/>
              </w:rPr>
              <w:t>委</w:t>
            </w:r>
            <w:r>
              <w:br/>
            </w:r>
            <w:r>
              <w:rPr>
                <w:rFonts w:ascii="宋体" w:hAnsi="宋体" w:eastAsia="宋体"/>
                <w:b w:val="0"/>
                <w:i w:val="0"/>
                <w:color w:val="000000"/>
                <w:sz w:val="18"/>
              </w:rPr>
              <w:t>员会实</w:t>
            </w:r>
            <w:r>
              <w:br/>
            </w:r>
            <w:r>
              <w:rPr>
                <w:rFonts w:ascii="宋体" w:hAnsi="宋体" w:eastAsia="宋体"/>
                <w:b w:val="0"/>
                <w:i w:val="0"/>
                <w:color w:val="000000"/>
                <w:sz w:val="18"/>
              </w:rPr>
              <w:t>施</w:t>
            </w:r>
            <w:r>
              <w:tab/>
            </w:r>
            <w:r>
              <w:rPr>
                <w:rFonts w:ascii="宋体" w:hAnsi="宋体" w:eastAsia="宋体"/>
                <w:b w:val="0"/>
                <w:i w:val="0"/>
                <w:color w:val="000000"/>
                <w:sz w:val="18"/>
              </w:rPr>
              <w:t>细</w:t>
            </w:r>
            <w:r>
              <w:br/>
            </w:r>
            <w:r>
              <w:rPr>
                <w:rFonts w:ascii="宋体" w:hAnsi="宋体" w:eastAsia="宋体"/>
                <w:b w:val="0"/>
                <w:i w:val="0"/>
                <w:color w:val="000000"/>
                <w:sz w:val="18"/>
              </w:rPr>
              <w:t>则》《董</w:t>
            </w:r>
            <w:r>
              <w:br/>
            </w:r>
            <w:r>
              <w:rPr>
                <w:rFonts w:ascii="宋体" w:hAnsi="宋体" w:eastAsia="宋体"/>
                <w:b w:val="0"/>
                <w:i w:val="0"/>
                <w:color w:val="000000"/>
                <w:sz w:val="18"/>
              </w:rPr>
              <w:t>事会审</w:t>
            </w:r>
            <w:r>
              <w:br/>
            </w:r>
            <w:r>
              <w:rPr>
                <w:rFonts w:ascii="宋体" w:hAnsi="宋体" w:eastAsia="宋体"/>
                <w:b w:val="0"/>
                <w:i w:val="0"/>
                <w:color w:val="000000"/>
                <w:sz w:val="18"/>
              </w:rPr>
              <w:t>计委员</w:t>
            </w:r>
            <w:r>
              <w:br/>
            </w:r>
            <w:r>
              <w:rPr>
                <w:rFonts w:ascii="宋体" w:hAnsi="宋体" w:eastAsia="宋体"/>
                <w:b w:val="0"/>
                <w:i w:val="0"/>
                <w:color w:val="000000"/>
                <w:sz w:val="18"/>
              </w:rPr>
              <w:t>会实施</w:t>
            </w:r>
            <w:r>
              <w:br/>
            </w:r>
            <w:r>
              <w:rPr>
                <w:rFonts w:ascii="宋体" w:hAnsi="宋体" w:eastAsia="宋体"/>
                <w:b w:val="0"/>
                <w:i w:val="0"/>
                <w:color w:val="000000"/>
                <w:sz w:val="18"/>
              </w:rPr>
              <w:t>细则》</w:t>
            </w:r>
            <w:r>
              <w:rPr>
                <w:rFonts w:ascii="宋体" w:hAnsi="宋体" w:eastAsia="宋体"/>
                <w:b w:val="0"/>
                <w:i w:val="0"/>
                <w:color w:val="000000"/>
                <w:sz w:val="18"/>
              </w:rPr>
              <w:t>《董事</w:t>
            </w:r>
            <w:r>
              <w:br/>
            </w:r>
            <w:r>
              <w:rPr>
                <w:rFonts w:ascii="宋体" w:hAnsi="宋体" w:eastAsia="宋体"/>
                <w:b w:val="0"/>
                <w:i w:val="0"/>
                <w:color w:val="000000"/>
                <w:sz w:val="18"/>
              </w:rPr>
              <w:t>会</w:t>
            </w:r>
            <w:r>
              <w:tab/>
            </w:r>
            <w:r>
              <w:rPr>
                <w:rFonts w:ascii="宋体" w:hAnsi="宋体" w:eastAsia="宋体"/>
                <w:b w:val="0"/>
                <w:i w:val="0"/>
                <w:color w:val="000000"/>
                <w:sz w:val="18"/>
              </w:rPr>
              <w:t>薪</w:t>
            </w:r>
            <w:r>
              <w:br/>
            </w:r>
            <w:r>
              <w:rPr>
                <w:rFonts w:ascii="宋体" w:hAnsi="宋体" w:eastAsia="宋体"/>
                <w:b w:val="0"/>
                <w:i w:val="0"/>
                <w:color w:val="000000"/>
                <w:sz w:val="18"/>
              </w:rPr>
              <w:t>酬、考</w:t>
            </w:r>
            <w:r>
              <w:br/>
            </w:r>
            <w:r>
              <w:rPr>
                <w:rFonts w:ascii="宋体" w:hAnsi="宋体" w:eastAsia="宋体"/>
                <w:b w:val="0"/>
                <w:i w:val="0"/>
                <w:color w:val="000000"/>
                <w:sz w:val="18"/>
              </w:rPr>
              <w:t>核与提</w:t>
            </w:r>
            <w:r>
              <w:br/>
            </w:r>
            <w:r>
              <w:rPr>
                <w:rFonts w:ascii="宋体" w:hAnsi="宋体" w:eastAsia="宋体"/>
                <w:b w:val="0"/>
                <w:i w:val="0"/>
                <w:color w:val="000000"/>
                <w:sz w:val="18"/>
              </w:rPr>
              <w:t>名委员</w:t>
            </w:r>
            <w:r>
              <w:br/>
            </w:r>
            <w:r>
              <w:rPr>
                <w:rFonts w:ascii="宋体" w:hAnsi="宋体" w:eastAsia="宋体"/>
                <w:b w:val="0"/>
                <w:i w:val="0"/>
                <w:color w:val="000000"/>
                <w:sz w:val="18"/>
              </w:rPr>
              <w:t>会实施</w:t>
            </w:r>
            <w:r>
              <w:br/>
            </w:r>
            <w:r>
              <w:rPr>
                <w:rFonts w:ascii="宋体" w:hAnsi="宋体" w:eastAsia="宋体"/>
                <w:b w:val="0"/>
                <w:i w:val="0"/>
                <w:color w:val="000000"/>
                <w:sz w:val="18"/>
              </w:rPr>
              <w:t>细则》</w:t>
            </w:r>
            <w:r>
              <w:rPr>
                <w:rFonts w:ascii="宋体" w:hAnsi="宋体" w:eastAsia="宋体"/>
                <w:b w:val="0"/>
                <w:i w:val="0"/>
                <w:color w:val="000000"/>
                <w:sz w:val="18"/>
              </w:rPr>
              <w:t>《董事</w:t>
            </w:r>
          </w:p>
        </w:tc>
        <w:tc>
          <w:tcPr>
            <w:tcW w:type="dxa" w:w="362"/>
            <w:tcBorders>
              <w:start w:sz="1.6000000000003638"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1286" w:after="0"/>
              <w:ind w:left="0" w:right="44" w:firstLine="0"/>
              <w:jc w:val="right"/>
            </w:pPr>
            <w:r>
              <w:rPr>
                <w:rFonts w:ascii="宋体" w:hAnsi="宋体" w:eastAsia="宋体"/>
                <w:b w:val="0"/>
                <w:i w:val="0"/>
                <w:color w:val="000000"/>
                <w:sz w:val="18"/>
              </w:rPr>
              <w:t xml:space="preserve">- </w:t>
            </w:r>
          </w:p>
        </w:tc>
      </w:tr>
      <w:tr>
        <w:trPr>
          <w:trHeight w:hRule="exact" w:val="306"/>
        </w:trPr>
        <w:tc>
          <w:tcPr>
            <w:tcW w:type="dxa" w:w="364"/>
            <w:vMerge w:val="restart"/>
            <w:tcBorders>
              <w:start w:sz="1.5999999999999943" w:val="single" w:color="#000000"/>
              <w:top w:sz="2.400000000000091" w:val="single" w:color="#000000"/>
              <w:end w:sz="1.5999999999999943" w:val="single" w:color="#000000"/>
              <w:bottom w:sz="0.800000000000181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0" w:lineRule="exact" w:before="2676" w:after="0"/>
              <w:ind w:left="106" w:right="0" w:firstLine="0"/>
              <w:jc w:val="both"/>
            </w:pPr>
            <w:r>
              <w:rPr>
                <w:rFonts w:ascii="宋体" w:hAnsi="宋体" w:eastAsia="宋体"/>
                <w:b w:val="0"/>
                <w:i w:val="0"/>
                <w:color w:val="000000"/>
                <w:sz w:val="18"/>
              </w:rPr>
              <w:t>审</w:t>
            </w:r>
            <w:r>
              <w:br/>
            </w:r>
            <w:r>
              <w:rPr>
                <w:rFonts w:ascii="宋体" w:hAnsi="宋体" w:eastAsia="宋体"/>
                <w:b w:val="0"/>
                <w:i w:val="0"/>
                <w:color w:val="000000"/>
                <w:sz w:val="18"/>
              </w:rPr>
              <w:t>计</w:t>
            </w:r>
            <w:r>
              <w:br/>
            </w:r>
            <w:r>
              <w:rPr>
                <w:rFonts w:ascii="宋体" w:hAnsi="宋体" w:eastAsia="宋体"/>
                <w:b w:val="0"/>
                <w:i w:val="0"/>
                <w:color w:val="000000"/>
                <w:sz w:val="18"/>
              </w:rPr>
              <w:t>委</w:t>
            </w:r>
            <w:r>
              <w:br/>
            </w:r>
            <w:r>
              <w:rPr>
                <w:rFonts w:ascii="宋体" w:hAnsi="宋体" w:eastAsia="宋体"/>
                <w:b w:val="0"/>
                <w:i w:val="0"/>
                <w:color w:val="000000"/>
                <w:sz w:val="18"/>
              </w:rPr>
              <w:t>员</w:t>
            </w:r>
            <w:r>
              <w:br/>
            </w:r>
            <w:r>
              <w:rPr>
                <w:rFonts w:ascii="宋体" w:hAnsi="宋体" w:eastAsia="宋体"/>
                <w:b w:val="0"/>
                <w:i w:val="0"/>
                <w:color w:val="000000"/>
                <w:sz w:val="18"/>
              </w:rPr>
              <w:t xml:space="preserve">会 </w:t>
            </w:r>
          </w:p>
        </w:tc>
        <w:tc>
          <w:tcPr>
            <w:tcW w:type="dxa" w:w="1560"/>
            <w:vMerge w:val="restart"/>
            <w:tcBorders>
              <w:start w:sz="1.5999999999999943" w:val="single" w:color="#000000"/>
              <w:top w:sz="2.400000000000091" w:val="single" w:color="#000000"/>
              <w:end w:sz="2.3999999999999773" w:val="single" w:color="#000000"/>
              <w:bottom w:sz="0.800000000000181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0" w:lineRule="exact" w:before="2828" w:after="0"/>
              <w:ind w:left="144" w:right="144" w:firstLine="0"/>
              <w:jc w:val="center"/>
            </w:pPr>
            <w:r>
              <w:rPr>
                <w:rFonts w:ascii="宋体" w:hAnsi="宋体" w:eastAsia="宋体"/>
                <w:b w:val="0"/>
                <w:i w:val="0"/>
                <w:color w:val="000000"/>
                <w:sz w:val="18"/>
              </w:rPr>
              <w:t xml:space="preserve">郭洁主任委员 </w:t>
            </w:r>
            <w:r>
              <w:rPr>
                <w:rFonts w:ascii="宋体" w:hAnsi="宋体" w:eastAsia="宋体"/>
                <w:b w:val="0"/>
                <w:i w:val="0"/>
                <w:color w:val="000000"/>
                <w:sz w:val="18"/>
              </w:rPr>
              <w:t xml:space="preserve">朱祁委员 </w:t>
            </w:r>
            <w:r>
              <w:br/>
            </w:r>
            <w:r>
              <w:rPr>
                <w:rFonts w:ascii="宋体" w:hAnsi="宋体" w:eastAsia="宋体"/>
                <w:b w:val="0"/>
                <w:i w:val="0"/>
                <w:color w:val="000000"/>
                <w:sz w:val="18"/>
              </w:rPr>
              <w:t xml:space="preserve">夏贵所委员 </w:t>
            </w:r>
            <w:r>
              <w:br/>
            </w:r>
            <w:r>
              <w:rPr>
                <w:rFonts w:ascii="宋体" w:hAnsi="宋体" w:eastAsia="宋体"/>
                <w:b w:val="0"/>
                <w:i w:val="0"/>
                <w:color w:val="000000"/>
                <w:sz w:val="18"/>
              </w:rPr>
              <w:t xml:space="preserve">乔俊峰委员 </w:t>
            </w:r>
          </w:p>
        </w:tc>
        <w:tc>
          <w:tcPr>
            <w:tcW w:type="dxa" w:w="426"/>
            <w:vMerge w:val="restart"/>
            <w:tcBorders>
              <w:start w:sz="2.3999999999999773" w:val="single" w:color="#000000"/>
              <w:top w:sz="2.400000000000091" w:val="single" w:color="#000000"/>
              <w:end w:sz="1.6000000000000227" w:val="single" w:color="#000000"/>
              <w:bottom w:sz="0.800000000000181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396" w:after="0"/>
              <w:ind w:left="0" w:right="76" w:firstLine="0"/>
              <w:jc w:val="right"/>
            </w:pPr>
            <w:r>
              <w:rPr>
                <w:rFonts w:ascii="宋体" w:hAnsi="宋体" w:eastAsia="宋体"/>
                <w:b w:val="0"/>
                <w:i w:val="0"/>
                <w:color w:val="000000"/>
                <w:sz w:val="18"/>
              </w:rPr>
              <w:t xml:space="preserve">5 </w:t>
            </w:r>
          </w:p>
        </w:tc>
        <w:tc>
          <w:tcPr>
            <w:tcW w:type="dxa" w:w="1132"/>
            <w:tcBorders>
              <w:start w:sz="1.6000000000000227"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6" w:after="0"/>
              <w:ind w:left="112" w:right="0" w:firstLine="0"/>
              <w:jc w:val="left"/>
            </w:pPr>
            <w:r>
              <w:rPr>
                <w:rFonts w:ascii="宋体" w:hAnsi="宋体" w:eastAsia="宋体"/>
                <w:b w:val="0"/>
                <w:i w:val="0"/>
                <w:color w:val="000000"/>
                <w:sz w:val="18"/>
              </w:rPr>
              <w:t xml:space="preserve">2024.03.26 </w:t>
            </w:r>
          </w:p>
        </w:tc>
        <w:tc>
          <w:tcPr>
            <w:tcW w:type="dxa" w:w="468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86" w:after="0"/>
              <w:ind w:left="110" w:right="0" w:firstLine="0"/>
              <w:jc w:val="left"/>
            </w:pPr>
            <w:r>
              <w:rPr>
                <w:rFonts w:ascii="宋体" w:hAnsi="宋体" w:eastAsia="宋体"/>
                <w:b w:val="0"/>
                <w:i w:val="0"/>
                <w:color w:val="000000"/>
                <w:sz w:val="18"/>
              </w:rPr>
              <w:t xml:space="preserve">审议通过《公司2023 年度内部审计工作报告》 </w:t>
            </w:r>
          </w:p>
        </w:tc>
        <w:tc>
          <w:tcPr>
            <w:tcW w:type="dxa" w:w="2124"/>
            <w:vMerge w:val="restart"/>
            <w:tcBorders>
              <w:start w:sz="1.599999999999909" w:val="single" w:color="#000000"/>
              <w:top w:sz="2.400000000000091" w:val="single" w:color="#000000"/>
              <w:end w:sz="1.6000000000003638" w:val="single" w:color="#000000"/>
              <w:bottom w:sz="0.800000000000181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0" w:lineRule="exact" w:before="428" w:after="0"/>
              <w:ind w:left="106" w:right="106" w:firstLine="0"/>
              <w:jc w:val="both"/>
            </w:pPr>
            <w:r>
              <w:rPr>
                <w:rFonts w:ascii="宋体" w:hAnsi="宋体" w:eastAsia="宋体"/>
                <w:b w:val="0"/>
                <w:i w:val="0"/>
                <w:color w:val="000000"/>
                <w:sz w:val="18"/>
              </w:rPr>
              <w:t>对内部审计制度及其实</w:t>
            </w:r>
            <w:r>
              <w:rPr>
                <w:rFonts w:ascii="宋体" w:hAnsi="宋体" w:eastAsia="宋体"/>
                <w:b w:val="0"/>
                <w:i w:val="0"/>
                <w:color w:val="000000"/>
                <w:sz w:val="18"/>
              </w:rPr>
              <w:t>施、内控制度执行情况</w:t>
            </w:r>
            <w:r>
              <w:rPr>
                <w:rFonts w:ascii="宋体" w:hAnsi="宋体" w:eastAsia="宋体"/>
                <w:b w:val="0"/>
                <w:i w:val="0"/>
                <w:color w:val="000000"/>
                <w:sz w:val="18"/>
              </w:rPr>
              <w:t>等进行监督、检查，有</w:t>
            </w:r>
            <w:r>
              <w:rPr>
                <w:rFonts w:ascii="宋体" w:hAnsi="宋体" w:eastAsia="宋体"/>
                <w:b w:val="0"/>
                <w:i w:val="0"/>
                <w:color w:val="000000"/>
                <w:sz w:val="18"/>
              </w:rPr>
              <w:t>效确保公司合规运作，</w:t>
            </w:r>
            <w:r>
              <w:rPr>
                <w:rFonts w:ascii="宋体" w:hAnsi="宋体" w:eastAsia="宋体"/>
                <w:b w:val="0"/>
                <w:i w:val="0"/>
                <w:color w:val="000000"/>
                <w:sz w:val="18"/>
              </w:rPr>
              <w:t>充分发挥专业职能，为</w:t>
            </w:r>
            <w:r>
              <w:rPr>
                <w:rFonts w:ascii="宋体" w:hAnsi="宋体" w:eastAsia="宋体"/>
                <w:b w:val="0"/>
                <w:i w:val="0"/>
                <w:color w:val="000000"/>
                <w:sz w:val="18"/>
              </w:rPr>
              <w:t>董事会科学决策提供依</w:t>
            </w:r>
            <w:r>
              <w:rPr>
                <w:rFonts w:ascii="宋体" w:hAnsi="宋体" w:eastAsia="宋体"/>
                <w:b w:val="0"/>
                <w:i w:val="0"/>
                <w:color w:val="000000"/>
                <w:sz w:val="18"/>
              </w:rPr>
              <w:t xml:space="preserve">据。 </w:t>
            </w:r>
          </w:p>
          <w:p>
            <w:pPr>
              <w:autoSpaceDN w:val="0"/>
              <w:autoSpaceDE w:val="0"/>
              <w:widowControl/>
              <w:spacing w:line="300" w:lineRule="exact" w:before="0" w:after="0"/>
              <w:ind w:left="106" w:right="106" w:firstLine="0"/>
              <w:jc w:val="both"/>
            </w:pPr>
            <w:r>
              <w:rPr>
                <w:rFonts w:ascii="宋体" w:hAnsi="宋体" w:eastAsia="宋体"/>
                <w:b w:val="0"/>
                <w:i w:val="0"/>
                <w:color w:val="000000"/>
                <w:sz w:val="18"/>
              </w:rPr>
              <w:t>在年度报告审计过程</w:t>
            </w:r>
            <w:r>
              <w:rPr>
                <w:rFonts w:ascii="宋体" w:hAnsi="宋体" w:eastAsia="宋体"/>
                <w:b w:val="0"/>
                <w:i w:val="0"/>
                <w:color w:val="000000"/>
                <w:sz w:val="18"/>
              </w:rPr>
              <w:t>中，审计委员会委员和</w:t>
            </w:r>
            <w:r>
              <w:rPr>
                <w:rFonts w:ascii="宋体" w:hAnsi="宋体" w:eastAsia="宋体"/>
                <w:b w:val="0"/>
                <w:i w:val="0"/>
                <w:color w:val="000000"/>
                <w:sz w:val="18"/>
              </w:rPr>
              <w:t>其他独立董事积极参与</w:t>
            </w:r>
            <w:r>
              <w:rPr>
                <w:rFonts w:ascii="宋体" w:hAnsi="宋体" w:eastAsia="宋体"/>
                <w:b w:val="0"/>
                <w:i w:val="0"/>
                <w:color w:val="000000"/>
                <w:sz w:val="18"/>
              </w:rPr>
              <w:t>年度报告审计各项工</w:t>
            </w:r>
            <w:r>
              <w:rPr>
                <w:rFonts w:ascii="宋体" w:hAnsi="宋体" w:eastAsia="宋体"/>
                <w:b w:val="0"/>
                <w:i w:val="0"/>
                <w:color w:val="000000"/>
                <w:sz w:val="18"/>
              </w:rPr>
              <w:t>作，与审计机构、经营</w:t>
            </w:r>
            <w:r>
              <w:rPr>
                <w:rFonts w:ascii="宋体" w:hAnsi="宋体" w:eastAsia="宋体"/>
                <w:b w:val="0"/>
                <w:i w:val="0"/>
                <w:color w:val="000000"/>
                <w:sz w:val="18"/>
              </w:rPr>
              <w:t>管理层积极沟通，听取</w:t>
            </w:r>
            <w:r>
              <w:rPr>
                <w:rFonts w:ascii="宋体" w:hAnsi="宋体" w:eastAsia="宋体"/>
                <w:b w:val="0"/>
                <w:i w:val="0"/>
                <w:color w:val="000000"/>
                <w:sz w:val="18"/>
              </w:rPr>
              <w:t>年审会计师对财务报告</w:t>
            </w:r>
            <w:r>
              <w:rPr>
                <w:rFonts w:ascii="宋体" w:hAnsi="宋体" w:eastAsia="宋体"/>
                <w:b w:val="0"/>
                <w:i w:val="0"/>
                <w:color w:val="000000"/>
                <w:sz w:val="18"/>
              </w:rPr>
              <w:t>审计工作汇报，督促审</w:t>
            </w:r>
            <w:r>
              <w:rPr>
                <w:rFonts w:ascii="宋体" w:hAnsi="宋体" w:eastAsia="宋体"/>
                <w:b w:val="0"/>
                <w:i w:val="0"/>
                <w:color w:val="000000"/>
                <w:sz w:val="18"/>
              </w:rPr>
              <w:t>计工作进度，积极与相</w:t>
            </w:r>
            <w:r>
              <w:rPr>
                <w:rFonts w:ascii="宋体" w:hAnsi="宋体" w:eastAsia="宋体"/>
                <w:b w:val="0"/>
                <w:i w:val="0"/>
                <w:color w:val="000000"/>
                <w:sz w:val="18"/>
              </w:rPr>
              <w:t>关各方沟通审计工作中</w:t>
            </w:r>
            <w:r>
              <w:rPr>
                <w:rFonts w:ascii="宋体" w:hAnsi="宋体" w:eastAsia="宋体"/>
                <w:b w:val="0"/>
                <w:i w:val="0"/>
                <w:color w:val="000000"/>
                <w:sz w:val="18"/>
              </w:rPr>
              <w:t>发现的问题，确保年度</w:t>
            </w:r>
            <w:r>
              <w:rPr>
                <w:rFonts w:ascii="宋体" w:hAnsi="宋体" w:eastAsia="宋体"/>
                <w:b w:val="0"/>
                <w:i w:val="0"/>
                <w:color w:val="000000"/>
                <w:sz w:val="18"/>
              </w:rPr>
              <w:t>报告审计工作顺利完</w:t>
            </w:r>
            <w:r>
              <w:rPr>
                <w:rFonts w:ascii="宋体" w:hAnsi="宋体" w:eastAsia="宋体"/>
                <w:b w:val="0"/>
                <w:i w:val="0"/>
                <w:color w:val="000000"/>
                <w:sz w:val="18"/>
              </w:rPr>
              <w:t xml:space="preserve">成。 </w:t>
            </w: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362"/>
            <w:vMerge w:val="restart"/>
            <w:tcBorders>
              <w:start w:sz="1.6000000000003638" w:val="single" w:color="#000000"/>
              <w:top w:sz="2.400000000000091" w:val="single" w:color="#000000"/>
              <w:end w:sz="2.399999999999636" w:val="single" w:color="#000000"/>
              <w:bottom w:sz="0.800000000000181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396" w:after="0"/>
              <w:ind w:left="0" w:right="44" w:firstLine="0"/>
              <w:jc w:val="right"/>
            </w:pPr>
            <w:r>
              <w:rPr>
                <w:rFonts w:ascii="宋体" w:hAnsi="宋体" w:eastAsia="宋体"/>
                <w:b w:val="0"/>
                <w:i w:val="0"/>
                <w:color w:val="000000"/>
                <w:sz w:val="18"/>
              </w:rPr>
              <w:t xml:space="preserve">- </w:t>
            </w:r>
          </w:p>
        </w:tc>
      </w:tr>
      <w:tr>
        <w:trPr>
          <w:trHeight w:hRule="exact" w:val="3904"/>
        </w:trPr>
        <w:tc>
          <w:tcPr>
            <w:tcW w:type="dxa" w:w="1442"/>
            <w:vMerge/>
            <w:tcBorders>
              <w:start w:sz="1.5999999999999943" w:val="single" w:color="#000000"/>
              <w:top w:sz="2.400000000000091" w:val="single" w:color="#000000"/>
              <w:end w:sz="1.5999999999999943" w:val="single" w:color="#000000"/>
              <w:bottom w:sz="0.8000000000001819" w:val="single" w:color="#000000"/>
            </w:tcBorders>
          </w:tcPr>
          <w:p/>
        </w:tc>
        <w:tc>
          <w:tcPr>
            <w:tcW w:type="dxa" w:w="1442"/>
            <w:vMerge/>
            <w:tcBorders>
              <w:start w:sz="1.5999999999999943" w:val="single" w:color="#000000"/>
              <w:top w:sz="2.400000000000091" w:val="single" w:color="#000000"/>
              <w:end w:sz="2.3999999999999773" w:val="single" w:color="#000000"/>
              <w:bottom w:sz="0.8000000000001819" w:val="single" w:color="#000000"/>
            </w:tcBorders>
          </w:tcPr>
          <w:p/>
        </w:tc>
        <w:tc>
          <w:tcPr>
            <w:tcW w:type="dxa" w:w="1442"/>
            <w:vMerge/>
            <w:tcBorders>
              <w:start w:sz="2.3999999999999773" w:val="single" w:color="#000000"/>
              <w:top w:sz="2.400000000000091" w:val="single" w:color="#000000"/>
              <w:end w:sz="1.6000000000000227" w:val="single" w:color="#000000"/>
              <w:bottom w:sz="0.8000000000001819" w:val="single" w:color="#000000"/>
            </w:tcBorders>
          </w:tcPr>
          <w:p/>
        </w:tc>
        <w:tc>
          <w:tcPr>
            <w:tcW w:type="dxa" w:w="1132"/>
            <w:tcBorders>
              <w:start w:sz="1.6000000000000227"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1886" w:after="0"/>
              <w:ind w:left="112" w:right="0" w:firstLine="0"/>
              <w:jc w:val="left"/>
            </w:pPr>
            <w:r>
              <w:rPr>
                <w:rFonts w:ascii="宋体" w:hAnsi="宋体" w:eastAsia="宋体"/>
                <w:b w:val="0"/>
                <w:i w:val="0"/>
                <w:color w:val="000000"/>
                <w:sz w:val="18"/>
              </w:rPr>
              <w:t xml:space="preserve">2024.04.26 </w:t>
            </w:r>
          </w:p>
        </w:tc>
        <w:tc>
          <w:tcPr>
            <w:tcW w:type="dxa" w:w="4682"/>
            <w:tcBorders>
              <w:start w:sz="2.400000000000091"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98" w:lineRule="exact" w:before="0" w:after="0"/>
              <w:ind w:left="110" w:right="0" w:firstLine="0"/>
              <w:jc w:val="left"/>
            </w:pPr>
            <w:r>
              <w:rPr>
                <w:rFonts w:ascii="宋体" w:hAnsi="宋体" w:eastAsia="宋体"/>
                <w:b w:val="0"/>
                <w:i w:val="0"/>
                <w:color w:val="000000"/>
                <w:sz w:val="18"/>
              </w:rPr>
              <w:t>审议通过《公司2023 年年度报告及其摘要》《公司2024</w:t>
            </w:r>
            <w:r>
              <w:rPr>
                <w:rFonts w:ascii="宋体" w:hAnsi="宋体" w:eastAsia="宋体"/>
                <w:b w:val="0"/>
                <w:i w:val="0"/>
                <w:color w:val="000000"/>
                <w:sz w:val="18"/>
              </w:rPr>
              <w:t>年第一季度报告》《公司2023 年度利润分配预案》《关于</w:t>
            </w:r>
            <w:r>
              <w:rPr>
                <w:rFonts w:ascii="宋体" w:hAnsi="宋体" w:eastAsia="宋体"/>
                <w:b w:val="0"/>
                <w:i w:val="0"/>
                <w:color w:val="000000"/>
                <w:sz w:val="18"/>
              </w:rPr>
              <w:t>公司2023 年度日常关联交易执行情况及预计2024 年度</w:t>
            </w:r>
            <w:r>
              <w:rPr>
                <w:rFonts w:ascii="宋体" w:hAnsi="宋体" w:eastAsia="宋体"/>
                <w:b w:val="0"/>
                <w:i w:val="0"/>
                <w:color w:val="000000"/>
                <w:sz w:val="18"/>
              </w:rPr>
              <w:t>日常关联交易的议案》《关于续聘会计师事务所的议案》</w:t>
            </w:r>
            <w:r>
              <w:rPr>
                <w:rFonts w:ascii="宋体" w:hAnsi="宋体" w:eastAsia="宋体"/>
                <w:b w:val="0"/>
                <w:i w:val="0"/>
                <w:color w:val="000000"/>
                <w:sz w:val="18"/>
              </w:rPr>
              <w:t>《公司2023 年度会计师事务所履职情况评估报告》《公</w:t>
            </w:r>
            <w:r>
              <w:rPr>
                <w:rFonts w:ascii="宋体" w:hAnsi="宋体" w:eastAsia="宋体"/>
                <w:b w:val="0"/>
                <w:i w:val="0"/>
                <w:color w:val="000000"/>
                <w:sz w:val="18"/>
              </w:rPr>
              <w:t>司董事会审计委员会对会计师事务所2023 年度履职情况</w:t>
            </w:r>
            <w:r>
              <w:rPr>
                <w:rFonts w:ascii="宋体" w:hAnsi="宋体" w:eastAsia="宋体"/>
                <w:b w:val="0"/>
                <w:i w:val="0"/>
                <w:color w:val="000000"/>
                <w:sz w:val="18"/>
              </w:rPr>
              <w:t>评估及履行监督职责情况的报告》《公司2023 年度内部</w:t>
            </w:r>
            <w:r>
              <w:rPr>
                <w:rFonts w:ascii="宋体" w:hAnsi="宋体" w:eastAsia="宋体"/>
                <w:b w:val="0"/>
                <w:i w:val="0"/>
                <w:color w:val="000000"/>
                <w:sz w:val="18"/>
              </w:rPr>
              <w:t>控制评价报告》《公司2023 年度募集资金存放和实际使</w:t>
            </w:r>
            <w:r>
              <w:rPr>
                <w:rFonts w:ascii="宋体" w:hAnsi="宋体" w:eastAsia="宋体"/>
                <w:b w:val="0"/>
                <w:i w:val="0"/>
                <w:color w:val="000000"/>
                <w:sz w:val="18"/>
              </w:rPr>
              <w:t>用情况专项报告》《关于修改公司&lt;内部稽核审计制度&gt;的</w:t>
            </w:r>
            <w:r>
              <w:rPr>
                <w:rFonts w:ascii="宋体" w:hAnsi="宋体" w:eastAsia="宋体"/>
                <w:b w:val="0"/>
                <w:i w:val="0"/>
                <w:color w:val="000000"/>
                <w:sz w:val="18"/>
              </w:rPr>
              <w:t>议案》《关于修改公司&lt;募集资金管理制度&gt;的议案》《关</w:t>
            </w:r>
            <w:r>
              <w:rPr>
                <w:rFonts w:ascii="宋体" w:hAnsi="宋体" w:eastAsia="宋体"/>
                <w:b w:val="0"/>
                <w:i w:val="0"/>
                <w:color w:val="000000"/>
                <w:sz w:val="18"/>
              </w:rPr>
              <w:t>于修改公司&lt;关联交易管理制度&gt;的议案》《关于修改公司</w:t>
            </w:r>
            <w:r>
              <w:rPr>
                <w:rFonts w:ascii="宋体" w:hAnsi="宋体" w:eastAsia="宋体"/>
                <w:b w:val="0"/>
                <w:i w:val="0"/>
                <w:color w:val="000000"/>
                <w:sz w:val="18"/>
              </w:rPr>
              <w:t>&lt;董事会审计委员会实施细则&gt;的议案》《公司2024 年第</w:t>
            </w:r>
            <w:r>
              <w:rPr>
                <w:rFonts w:ascii="宋体" w:hAnsi="宋体" w:eastAsia="宋体"/>
                <w:b w:val="0"/>
                <w:i w:val="0"/>
                <w:color w:val="000000"/>
                <w:sz w:val="18"/>
              </w:rPr>
              <w:t xml:space="preserve">一季度内部审计工作报告》 </w:t>
            </w:r>
          </w:p>
        </w:tc>
        <w:tc>
          <w:tcPr>
            <w:tcW w:type="dxa" w:w="1442"/>
            <w:vMerge/>
            <w:tcBorders>
              <w:start w:sz="1.599999999999909" w:val="single" w:color="#000000"/>
              <w:top w:sz="2.400000000000091" w:val="single" w:color="#000000"/>
              <w:end w:sz="1.6000000000003638" w:val="single" w:color="#000000"/>
              <w:bottom w:sz="0.8000000000001819" w:val="single" w:color="#000000"/>
            </w:tcBorders>
          </w:tcP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1442"/>
            <w:vMerge/>
            <w:tcBorders>
              <w:start w:sz="1.6000000000003638" w:val="single" w:color="#000000"/>
              <w:top w:sz="2.400000000000091" w:val="single" w:color="#000000"/>
              <w:end w:sz="2.399999999999636" w:val="single" w:color="#000000"/>
              <w:bottom w:sz="0.8000000000001819" w:val="single" w:color="#000000"/>
            </w:tcBorders>
          </w:tcPr>
          <w:p/>
        </w:tc>
      </w:tr>
      <w:tr>
        <w:trPr>
          <w:trHeight w:hRule="exact" w:val="1506"/>
        </w:trPr>
        <w:tc>
          <w:tcPr>
            <w:tcW w:type="dxa" w:w="1442"/>
            <w:vMerge/>
            <w:tcBorders>
              <w:start w:sz="1.5999999999999943" w:val="single" w:color="#000000"/>
              <w:top w:sz="2.400000000000091" w:val="single" w:color="#000000"/>
              <w:end w:sz="1.5999999999999943" w:val="single" w:color="#000000"/>
              <w:bottom w:sz="0.8000000000001819" w:val="single" w:color="#000000"/>
            </w:tcBorders>
          </w:tcPr>
          <w:p/>
        </w:tc>
        <w:tc>
          <w:tcPr>
            <w:tcW w:type="dxa" w:w="1442"/>
            <w:vMerge/>
            <w:tcBorders>
              <w:start w:sz="1.5999999999999943" w:val="single" w:color="#000000"/>
              <w:top w:sz="2.400000000000091" w:val="single" w:color="#000000"/>
              <w:end w:sz="2.3999999999999773" w:val="single" w:color="#000000"/>
              <w:bottom w:sz="0.8000000000001819" w:val="single" w:color="#000000"/>
            </w:tcBorders>
          </w:tcPr>
          <w:p/>
        </w:tc>
        <w:tc>
          <w:tcPr>
            <w:tcW w:type="dxa" w:w="1442"/>
            <w:vMerge/>
            <w:tcBorders>
              <w:start w:sz="2.3999999999999773" w:val="single" w:color="#000000"/>
              <w:top w:sz="2.400000000000091" w:val="single" w:color="#000000"/>
              <w:end w:sz="1.6000000000000227" w:val="single" w:color="#000000"/>
              <w:bottom w:sz="0.8000000000001819" w:val="single" w:color="#000000"/>
            </w:tcBorders>
          </w:tcPr>
          <w:p/>
        </w:tc>
        <w:tc>
          <w:tcPr>
            <w:tcW w:type="dxa" w:w="1132"/>
            <w:tcBorders>
              <w:start w:sz="1.6000000000000227"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684" w:after="0"/>
              <w:ind w:left="112" w:right="0" w:firstLine="0"/>
              <w:jc w:val="left"/>
            </w:pPr>
            <w:r>
              <w:rPr>
                <w:rFonts w:ascii="宋体" w:hAnsi="宋体" w:eastAsia="宋体"/>
                <w:b w:val="0"/>
                <w:i w:val="0"/>
                <w:color w:val="000000"/>
                <w:sz w:val="18"/>
              </w:rPr>
              <w:t xml:space="preserve">2024.08.26 </w:t>
            </w:r>
          </w:p>
        </w:tc>
        <w:tc>
          <w:tcPr>
            <w:tcW w:type="dxa" w:w="468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92" w:lineRule="exact" w:before="0" w:after="0"/>
              <w:ind w:left="110" w:right="0" w:firstLine="0"/>
              <w:jc w:val="left"/>
            </w:pPr>
            <w:r>
              <w:rPr>
                <w:rFonts w:ascii="宋体" w:hAnsi="宋体" w:eastAsia="宋体"/>
                <w:b w:val="0"/>
                <w:i w:val="0"/>
                <w:color w:val="000000"/>
                <w:sz w:val="18"/>
              </w:rPr>
              <w:t>审议通过《公司2024 年半年度报告及其摘要》《公司</w:t>
            </w:r>
            <w:r>
              <w:rPr>
                <w:rFonts w:ascii="宋体" w:hAnsi="宋体" w:eastAsia="宋体"/>
                <w:b w:val="0"/>
                <w:i w:val="0"/>
                <w:color w:val="000000"/>
                <w:sz w:val="18"/>
              </w:rPr>
              <w:t>2024 年上半年募集资金存放和实际使用情况专项报告》</w:t>
            </w:r>
            <w:r>
              <w:rPr>
                <w:rFonts w:ascii="宋体" w:hAnsi="宋体" w:eastAsia="宋体"/>
                <w:b w:val="0"/>
                <w:i w:val="0"/>
                <w:color w:val="000000"/>
                <w:sz w:val="18"/>
              </w:rPr>
              <w:t>《关于修改公司&lt;对外担保管理制度&gt;的议案》《关于修改</w:t>
            </w:r>
            <w:r>
              <w:rPr>
                <w:rFonts w:ascii="宋体" w:hAnsi="宋体" w:eastAsia="宋体"/>
                <w:b w:val="0"/>
                <w:i w:val="0"/>
                <w:color w:val="000000"/>
                <w:sz w:val="18"/>
              </w:rPr>
              <w:t>公司&lt;募集资金管理制度&gt;的议案》《公司2024 年第二季</w:t>
            </w:r>
            <w:r>
              <w:rPr>
                <w:rFonts w:ascii="宋体" w:hAnsi="宋体" w:eastAsia="宋体"/>
                <w:b w:val="0"/>
                <w:i w:val="0"/>
                <w:color w:val="000000"/>
                <w:sz w:val="18"/>
              </w:rPr>
              <w:t xml:space="preserve">度内部审计工作报告》 </w:t>
            </w:r>
          </w:p>
        </w:tc>
        <w:tc>
          <w:tcPr>
            <w:tcW w:type="dxa" w:w="1442"/>
            <w:vMerge/>
            <w:tcBorders>
              <w:start w:sz="1.599999999999909" w:val="single" w:color="#000000"/>
              <w:top w:sz="2.400000000000091" w:val="single" w:color="#000000"/>
              <w:end w:sz="1.6000000000003638" w:val="single" w:color="#000000"/>
              <w:bottom w:sz="0.8000000000001819" w:val="single" w:color="#000000"/>
            </w:tcBorders>
          </w:tcP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1442"/>
            <w:vMerge/>
            <w:tcBorders>
              <w:start w:sz="1.6000000000003638" w:val="single" w:color="#000000"/>
              <w:top w:sz="2.400000000000091" w:val="single" w:color="#000000"/>
              <w:end w:sz="2.399999999999636" w:val="single" w:color="#000000"/>
              <w:bottom w:sz="0.8000000000001819" w:val="single" w:color="#000000"/>
            </w:tcBorders>
          </w:tcPr>
          <w:p/>
        </w:tc>
      </w:tr>
      <w:tr>
        <w:trPr>
          <w:trHeight w:hRule="exact" w:val="904"/>
        </w:trPr>
        <w:tc>
          <w:tcPr>
            <w:tcW w:type="dxa" w:w="1442"/>
            <w:vMerge/>
            <w:tcBorders>
              <w:start w:sz="1.5999999999999943" w:val="single" w:color="#000000"/>
              <w:top w:sz="2.400000000000091" w:val="single" w:color="#000000"/>
              <w:end w:sz="1.5999999999999943" w:val="single" w:color="#000000"/>
              <w:bottom w:sz="0.8000000000001819" w:val="single" w:color="#000000"/>
            </w:tcBorders>
          </w:tcPr>
          <w:p/>
        </w:tc>
        <w:tc>
          <w:tcPr>
            <w:tcW w:type="dxa" w:w="1442"/>
            <w:vMerge/>
            <w:tcBorders>
              <w:start w:sz="1.5999999999999943" w:val="single" w:color="#000000"/>
              <w:top w:sz="2.400000000000091" w:val="single" w:color="#000000"/>
              <w:end w:sz="2.3999999999999773" w:val="single" w:color="#000000"/>
              <w:bottom w:sz="0.8000000000001819" w:val="single" w:color="#000000"/>
            </w:tcBorders>
          </w:tcPr>
          <w:p/>
        </w:tc>
        <w:tc>
          <w:tcPr>
            <w:tcW w:type="dxa" w:w="1442"/>
            <w:vMerge/>
            <w:tcBorders>
              <w:start w:sz="2.3999999999999773" w:val="single" w:color="#000000"/>
              <w:top w:sz="2.400000000000091" w:val="single" w:color="#000000"/>
              <w:end w:sz="1.6000000000000227" w:val="single" w:color="#000000"/>
              <w:bottom w:sz="0.8000000000001819" w:val="single" w:color="#000000"/>
            </w:tcBorders>
          </w:tcPr>
          <w:p/>
        </w:tc>
        <w:tc>
          <w:tcPr>
            <w:tcW w:type="dxa" w:w="1132"/>
            <w:tcBorders>
              <w:start w:sz="1.6000000000000227"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386" w:after="0"/>
              <w:ind w:left="112" w:right="0" w:firstLine="0"/>
              <w:jc w:val="left"/>
            </w:pPr>
            <w:r>
              <w:rPr>
                <w:rFonts w:ascii="宋体" w:hAnsi="宋体" w:eastAsia="宋体"/>
                <w:b w:val="0"/>
                <w:i w:val="0"/>
                <w:color w:val="000000"/>
                <w:sz w:val="18"/>
              </w:rPr>
              <w:t xml:space="preserve">2024.10.30 </w:t>
            </w:r>
          </w:p>
        </w:tc>
        <w:tc>
          <w:tcPr>
            <w:tcW w:type="dxa" w:w="4682"/>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88" w:lineRule="exact" w:before="0" w:after="0"/>
              <w:ind w:left="110" w:right="104" w:firstLine="0"/>
              <w:jc w:val="both"/>
            </w:pPr>
            <w:r>
              <w:rPr>
                <w:rFonts w:ascii="宋体" w:hAnsi="宋体" w:eastAsia="宋体"/>
                <w:b w:val="0"/>
                <w:i w:val="0"/>
                <w:color w:val="000000"/>
                <w:sz w:val="18"/>
              </w:rPr>
              <w:t>审议通过《公司2024 年第三季度报告》《公司2024 年前</w:t>
            </w:r>
            <w:r>
              <w:rPr>
                <w:rFonts w:ascii="宋体" w:hAnsi="宋体" w:eastAsia="宋体"/>
                <w:b w:val="0"/>
                <w:i w:val="0"/>
                <w:color w:val="000000"/>
                <w:sz w:val="18"/>
              </w:rPr>
              <w:t>三季度利润分配预案》《公司2024 年第三季度内部审计</w:t>
            </w:r>
            <w:r>
              <w:rPr>
                <w:rFonts w:ascii="宋体" w:hAnsi="宋体" w:eastAsia="宋体"/>
                <w:b w:val="0"/>
                <w:i w:val="0"/>
                <w:color w:val="000000"/>
                <w:sz w:val="18"/>
              </w:rPr>
              <w:t xml:space="preserve">工作报告》 </w:t>
            </w:r>
          </w:p>
        </w:tc>
        <w:tc>
          <w:tcPr>
            <w:tcW w:type="dxa" w:w="1442"/>
            <w:vMerge/>
            <w:tcBorders>
              <w:start w:sz="1.599999999999909" w:val="single" w:color="#000000"/>
              <w:top w:sz="2.400000000000091" w:val="single" w:color="#000000"/>
              <w:end w:sz="1.6000000000003638" w:val="single" w:color="#000000"/>
              <w:bottom w:sz="0.8000000000001819" w:val="single" w:color="#000000"/>
            </w:tcBorders>
          </w:tcP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1442"/>
            <w:vMerge/>
            <w:tcBorders>
              <w:start w:sz="1.6000000000003638" w:val="single" w:color="#000000"/>
              <w:top w:sz="2.400000000000091" w:val="single" w:color="#000000"/>
              <w:end w:sz="2.399999999999636" w:val="single" w:color="#000000"/>
              <w:bottom w:sz="0.8000000000001819" w:val="single" w:color="#000000"/>
            </w:tcBorders>
          </w:tcPr>
          <w:p/>
        </w:tc>
      </w:tr>
      <w:tr>
        <w:trPr>
          <w:trHeight w:hRule="exact" w:val="304"/>
        </w:trPr>
        <w:tc>
          <w:tcPr>
            <w:tcW w:type="dxa" w:w="1442"/>
            <w:vMerge/>
            <w:tcBorders>
              <w:start w:sz="1.5999999999999943" w:val="single" w:color="#000000"/>
              <w:top w:sz="2.400000000000091" w:val="single" w:color="#000000"/>
              <w:end w:sz="1.5999999999999943" w:val="single" w:color="#000000"/>
              <w:bottom w:sz="0.8000000000001819" w:val="single" w:color="#000000"/>
            </w:tcBorders>
          </w:tcPr>
          <w:p/>
        </w:tc>
        <w:tc>
          <w:tcPr>
            <w:tcW w:type="dxa" w:w="1442"/>
            <w:vMerge/>
            <w:tcBorders>
              <w:start w:sz="1.5999999999999943" w:val="single" w:color="#000000"/>
              <w:top w:sz="2.400000000000091" w:val="single" w:color="#000000"/>
              <w:end w:sz="2.3999999999999773" w:val="single" w:color="#000000"/>
              <w:bottom w:sz="0.8000000000001819" w:val="single" w:color="#000000"/>
            </w:tcBorders>
          </w:tcPr>
          <w:p/>
        </w:tc>
        <w:tc>
          <w:tcPr>
            <w:tcW w:type="dxa" w:w="1442"/>
            <w:vMerge/>
            <w:tcBorders>
              <w:start w:sz="2.3999999999999773" w:val="single" w:color="#000000"/>
              <w:top w:sz="2.400000000000091" w:val="single" w:color="#000000"/>
              <w:end w:sz="1.6000000000000227" w:val="single" w:color="#000000"/>
              <w:bottom w:sz="0.8000000000001819" w:val="single" w:color="#000000"/>
            </w:tcBorders>
          </w:tcPr>
          <w:p/>
        </w:tc>
        <w:tc>
          <w:tcPr>
            <w:tcW w:type="dxa" w:w="1132"/>
            <w:tcBorders>
              <w:start w:sz="1.6000000000000227"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86" w:after="0"/>
              <w:ind w:left="112" w:right="0" w:firstLine="0"/>
              <w:jc w:val="left"/>
            </w:pPr>
            <w:r>
              <w:rPr>
                <w:rFonts w:ascii="宋体" w:hAnsi="宋体" w:eastAsia="宋体"/>
                <w:b w:val="0"/>
                <w:i w:val="0"/>
                <w:color w:val="000000"/>
                <w:sz w:val="18"/>
              </w:rPr>
              <w:t xml:space="preserve">2024.12.30 </w:t>
            </w:r>
          </w:p>
        </w:tc>
        <w:tc>
          <w:tcPr>
            <w:tcW w:type="dxa" w:w="468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6" w:after="0"/>
              <w:ind w:left="110" w:right="0" w:firstLine="0"/>
              <w:jc w:val="left"/>
            </w:pPr>
            <w:r>
              <w:rPr>
                <w:rFonts w:ascii="宋体" w:hAnsi="宋体" w:eastAsia="宋体"/>
                <w:b w:val="0"/>
                <w:i w:val="0"/>
                <w:color w:val="000000"/>
                <w:sz w:val="18"/>
              </w:rPr>
              <w:t xml:space="preserve">审议通过《公司2025 年度内部审计工作计划》 </w:t>
            </w:r>
          </w:p>
        </w:tc>
        <w:tc>
          <w:tcPr>
            <w:tcW w:type="dxa" w:w="1442"/>
            <w:vMerge/>
            <w:tcBorders>
              <w:start w:sz="1.599999999999909" w:val="single" w:color="#000000"/>
              <w:top w:sz="2.400000000000091" w:val="single" w:color="#000000"/>
              <w:end w:sz="1.6000000000003638" w:val="single" w:color="#000000"/>
              <w:bottom w:sz="0.8000000000001819" w:val="single" w:color="#000000"/>
            </w:tcBorders>
          </w:tcP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1442"/>
            <w:vMerge/>
            <w:tcBorders>
              <w:start w:sz="1.6000000000003638" w:val="single" w:color="#000000"/>
              <w:top w:sz="2.400000000000091" w:val="single" w:color="#000000"/>
              <w:end w:sz="2.399999999999636" w:val="single" w:color="#000000"/>
              <w:bottom w:sz="0.8000000000001819" w:val="single" w:color="#000000"/>
            </w:tcBorders>
          </w:tcPr>
          <w:p/>
        </w:tc>
      </w:tr>
      <w:tr>
        <w:trPr>
          <w:trHeight w:hRule="exact" w:val="308"/>
        </w:trPr>
        <w:tc>
          <w:tcPr>
            <w:tcW w:type="dxa" w:w="364"/>
            <w:tcBorders>
              <w:start w:sz="1.5999999999999943" w:val="single" w:color="#000000"/>
              <w:top w:sz="0.8000000000001819" w:val="single" w:color="#000000"/>
              <w:end w:sz="1.5999999999999943" w:val="single" w:color="#000000"/>
              <w:bottom w:sz="1.5999999999994543"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薪</w:t>
            </w:r>
          </w:p>
        </w:tc>
        <w:tc>
          <w:tcPr>
            <w:tcW w:type="dxa" w:w="1560"/>
            <w:tcBorders>
              <w:start w:sz="1.5999999999999943" w:val="single" w:color="#000000"/>
              <w:top w:sz="0.8000000000001819" w:val="single" w:color="#000000"/>
              <w:end w:sz="2.3999999999999773" w:val="single" w:color="#000000"/>
              <w:bottom w:sz="1.5999999999994543" w:val="single" w:color="#000000"/>
            </w:tcBorders>
            <w:tcMar>
              <w:start w:w="0" w:type="dxa"/>
              <w:end w:w="0" w:type="dxa"/>
            </w:tcMar>
          </w:tcPr>
          <w:p>
            <w:pPr>
              <w:autoSpaceDN w:val="0"/>
              <w:autoSpaceDE w:val="0"/>
              <w:widowControl/>
              <w:spacing w:line="180" w:lineRule="exact" w:before="90" w:after="0"/>
              <w:ind w:left="148" w:right="0" w:firstLine="0"/>
              <w:jc w:val="left"/>
            </w:pPr>
            <w:r>
              <w:rPr>
                <w:rFonts w:ascii="宋体" w:hAnsi="宋体" w:eastAsia="宋体"/>
                <w:b w:val="0"/>
                <w:i w:val="0"/>
                <w:color w:val="000000"/>
                <w:sz w:val="18"/>
              </w:rPr>
              <w:t xml:space="preserve">李海涛主任委员 </w:t>
            </w:r>
          </w:p>
        </w:tc>
        <w:tc>
          <w:tcPr>
            <w:tcW w:type="dxa" w:w="426"/>
            <w:tcBorders>
              <w:start w:sz="2.3999999999999773" w:val="single" w:color="#000000"/>
              <w:top w:sz="0.8000000000001819" w:val="single" w:color="#000000"/>
              <w:end w:sz="1.6000000000000227" w:val="single" w:color="#000000"/>
              <w:bottom w:sz="1.5999999999994543" w:val="single" w:color="#000000"/>
            </w:tcBorders>
            <w:tcMar>
              <w:start w:w="0" w:type="dxa"/>
              <w:end w:w="0" w:type="dxa"/>
            </w:tcMar>
          </w:tcPr>
          <w:p>
            <w:pPr>
              <w:autoSpaceDN w:val="0"/>
              <w:autoSpaceDE w:val="0"/>
              <w:widowControl/>
              <w:spacing w:line="180" w:lineRule="exact" w:before="90" w:after="0"/>
              <w:ind w:left="0" w:right="76" w:firstLine="0"/>
              <w:jc w:val="right"/>
            </w:pPr>
            <w:r>
              <w:rPr>
                <w:rFonts w:ascii="宋体" w:hAnsi="宋体" w:eastAsia="宋体"/>
                <w:b w:val="0"/>
                <w:i w:val="0"/>
                <w:color w:val="000000"/>
                <w:sz w:val="18"/>
              </w:rPr>
              <w:t xml:space="preserve">2 </w:t>
            </w:r>
          </w:p>
        </w:tc>
        <w:tc>
          <w:tcPr>
            <w:tcW w:type="dxa" w:w="1132"/>
            <w:tcBorders>
              <w:start w:sz="1.6000000000000227"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88" w:after="0"/>
              <w:ind w:left="112" w:right="0" w:firstLine="0"/>
              <w:jc w:val="left"/>
            </w:pPr>
            <w:r>
              <w:rPr>
                <w:rFonts w:ascii="宋体" w:hAnsi="宋体" w:eastAsia="宋体"/>
                <w:b w:val="0"/>
                <w:i w:val="0"/>
                <w:color w:val="000000"/>
                <w:sz w:val="18"/>
              </w:rPr>
              <w:t xml:space="preserve">2024.04.26 </w:t>
            </w:r>
          </w:p>
        </w:tc>
        <w:tc>
          <w:tcPr>
            <w:tcW w:type="dxa" w:w="4682"/>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88" w:after="0"/>
              <w:ind w:left="0" w:right="0" w:firstLine="0"/>
              <w:jc w:val="center"/>
            </w:pPr>
            <w:r>
              <w:rPr>
                <w:rFonts w:ascii="宋体" w:hAnsi="宋体" w:eastAsia="宋体"/>
                <w:b w:val="0"/>
                <w:i w:val="0"/>
                <w:color w:val="000000"/>
                <w:sz w:val="18"/>
              </w:rPr>
              <w:t>审议通过《公司董事2023 年度薪酬执行情况及2024 年</w:t>
            </w:r>
          </w:p>
        </w:tc>
        <w:tc>
          <w:tcPr>
            <w:tcW w:type="dxa" w:w="2124"/>
            <w:tcBorders>
              <w:start w:sz="1.599999999999909" w:val="single" w:color="#000000"/>
              <w:top w:sz="0.8000000000001819" w:val="single" w:color="#000000"/>
              <w:end w:sz="1.6000000000003638" w:val="single" w:color="#000000"/>
              <w:bottom w:sz="1.5999999999994543" w:val="single" w:color="#000000"/>
            </w:tcBorders>
            <w:tcMar>
              <w:start w:w="0" w:type="dxa"/>
              <w:end w:w="0" w:type="dxa"/>
            </w:tcMar>
          </w:tcPr>
          <w:p>
            <w:pPr>
              <w:autoSpaceDN w:val="0"/>
              <w:autoSpaceDE w:val="0"/>
              <w:widowControl/>
              <w:spacing w:line="180" w:lineRule="exact" w:before="90" w:after="0"/>
              <w:ind w:left="0" w:right="0" w:firstLine="0"/>
              <w:jc w:val="center"/>
            </w:pPr>
            <w:r>
              <w:rPr>
                <w:rFonts w:ascii="宋体" w:hAnsi="宋体" w:eastAsia="宋体"/>
                <w:b w:val="0"/>
                <w:i w:val="0"/>
                <w:color w:val="000000"/>
                <w:sz w:val="18"/>
              </w:rPr>
              <w:t>对董事和高级管理人员</w:t>
            </w:r>
          </w:p>
        </w:tc>
        <w:tc>
          <w:tcPr>
            <w:tcW w:type="dxa" w:w="1442"/>
            <w:vMerge/>
            <w:tcBorders>
              <w:start w:sz="1.6000000000003638" w:val="single" w:color="#000000"/>
              <w:top w:sz="1.599999999999909" w:val="single" w:color="#000000"/>
              <w:end w:sz="1.6000000000003638" w:val="single" w:color="#000000"/>
              <w:bottom w:sz="1.5999999999994543" w:val="single" w:color="#000000"/>
            </w:tcBorders>
          </w:tcPr>
          <w:p/>
        </w:tc>
        <w:tc>
          <w:tcPr>
            <w:tcW w:type="dxa" w:w="362"/>
            <w:tcBorders>
              <w:start w:sz="1.6000000000003638" w:val="single" w:color="#000000"/>
              <w:top w:sz="0.8000000000001819"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90" w:after="0"/>
              <w:ind w:left="0" w:right="44" w:firstLine="0"/>
              <w:jc w:val="right"/>
            </w:pPr>
            <w:r>
              <w:rPr>
                <w:rFonts w:ascii="宋体" w:hAnsi="宋体" w:eastAsia="宋体"/>
                <w:b w:val="0"/>
                <w:i w:val="0"/>
                <w:color w:val="000000"/>
                <w:sz w:val="18"/>
              </w:rPr>
              <w:t xml:space="preserve">- </w:t>
            </w:r>
          </w:p>
        </w:tc>
      </w:tr>
    </w:tbl>
    <w:p>
      <w:pPr>
        <w:autoSpaceDN w:val="0"/>
        <w:autoSpaceDE w:val="0"/>
        <w:widowControl/>
        <w:spacing w:line="197" w:lineRule="auto" w:before="414" w:after="0"/>
        <w:ind w:left="0" w:right="0" w:firstLine="0"/>
        <w:jc w:val="center"/>
      </w:pPr>
      <w:r>
        <w:rPr>
          <w:rFonts w:ascii="Calibri" w:hAnsi="Calibri" w:eastAsia="Calibri"/>
          <w:b w:val="0"/>
          <w:i w:val="0"/>
          <w:color w:val="000000"/>
          <w:sz w:val="18"/>
        </w:rPr>
        <w:t xml:space="preserve">89 </w:t>
      </w:r>
    </w:p>
    <w:p>
      <w:pPr>
        <w:sectPr>
          <w:pgSz w:w="11904" w:h="16841"/>
          <w:pgMar w:top="424" w:right="164" w:bottom="446" w:left="200" w:header="720" w:footer="720" w:gutter="0"/>
          <w:cols/>
          <w:docGrid w:linePitch="360"/>
        </w:sectPr>
      </w:pPr>
    </w:p>
    <w:p>
      <w:pPr>
        <w:autoSpaceDN w:val="0"/>
        <w:autoSpaceDE w:val="0"/>
        <w:widowControl/>
        <w:spacing w:line="220" w:lineRule="exact" w:before="0" w:after="206"/>
        <w:ind w:left="0" w:right="0"/>
      </w:pPr>
    </w:p>
    <w:p>
      <w:pPr>
        <w:sectPr>
          <w:pgSz w:w="11904" w:h="16841"/>
          <w:pgMar w:top="424" w:right="176" w:bottom="446" w:left="200" w:header="720" w:footer="720" w:gutter="0"/>
          <w:cols/>
          <w:docGrid w:linePitch="360"/>
        </w:sectPr>
      </w:pPr>
    </w:p>
    <w:p>
      <w:pPr>
        <w:autoSpaceDN w:val="0"/>
        <w:autoSpaceDE w:val="0"/>
        <w:widowControl/>
        <w:spacing w:line="240" w:lineRule="auto" w:before="0" w:after="0"/>
        <w:ind w:left="934" w:right="0" w:firstLine="0"/>
        <w:jc w:val="left"/>
      </w:pPr>
      <w:r>
        <w:drawing>
          <wp:inline xmlns:a="http://schemas.openxmlformats.org/drawingml/2006/main" xmlns:pic="http://schemas.openxmlformats.org/drawingml/2006/picture">
            <wp:extent cx="1844039" cy="439419"/>
            <wp:docPr id="92" name="Picture 9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76" w:bottom="446" w:left="200" w:header="720" w:footer="720" w:gutter="0"/>
          <w:cols w:num="2" w:equalWidth="0">
            <w:col w:w="6340" w:space="0"/>
            <w:col w:w="5188" w:space="0"/>
          </w:cols>
          <w:docGrid w:linePitch="360"/>
        </w:sectPr>
      </w:pPr>
    </w:p>
    <w:p>
      <w:pPr>
        <w:autoSpaceDN w:val="0"/>
        <w:autoSpaceDE w:val="0"/>
        <w:widowControl/>
        <w:spacing w:line="200" w:lineRule="exact" w:before="0" w:after="30"/>
        <w:ind w:left="0" w:right="9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76" w:bottom="446" w:left="200" w:header="720" w:footer="720" w:gutter="0"/>
          <w:cols w:num="2" w:equalWidth="0">
            <w:col w:w="6340" w:space="0"/>
            <w:col w:w="5188" w:space="0"/>
          </w:cols>
          <w:docGrid w:linePitch="360"/>
        </w:sectPr>
      </w:pPr>
    </w:p>
    <w:tbl>
      <w:tblPr>
        <w:tblW w:type="auto" w:w="0"/>
        <w:tblLayout w:type="fixed"/>
        <w:tblLook w:firstColumn="1" w:firstRow="1" w:lastColumn="0" w:lastRow="0" w:noHBand="0" w:noVBand="1" w:val="04A0"/>
        <w:tblInd w:w="1.999999999999993" w:type="dxa"/>
      </w:tblPr>
      <w:tblGrid>
        <w:gridCol w:w="1441"/>
        <w:gridCol w:w="1441"/>
        <w:gridCol w:w="1441"/>
        <w:gridCol w:w="1441"/>
        <w:gridCol w:w="1441"/>
        <w:gridCol w:w="1441"/>
        <w:gridCol w:w="1441"/>
        <w:gridCol w:w="1441"/>
      </w:tblGrid>
      <w:tr>
        <w:trPr>
          <w:trHeight w:hRule="exact" w:val="1806"/>
        </w:trPr>
        <w:tc>
          <w:tcPr>
            <w:tcW w:type="dxa" w:w="364"/>
            <w:vMerge w:val="restart"/>
            <w:tcBorders>
              <w:start w:sz="1.5999999999999943" w:val="single" w:color="#000000"/>
              <w:top w:sz="0.7999999999999545" w:val="single" w:color="#000000"/>
              <w:end w:sz="1.5999999999999943" w:val="single" w:color="#000000"/>
              <w:bottom w:sz="0.7999999999999545" w:val="single" w:color="#000000"/>
            </w:tcBorders>
            <w:tcMar>
              <w:start w:w="0" w:type="dxa"/>
              <w:end w:w="0" w:type="dxa"/>
            </w:tcMar>
            <w:tcMar>
              <w:start w:w="0" w:type="dxa"/>
              <w:end w:w="0" w:type="dxa"/>
            </w:tcMar>
          </w:tcPr>
          <w:p>
            <w:pPr>
              <w:autoSpaceDN w:val="0"/>
              <w:autoSpaceDE w:val="0"/>
              <w:widowControl/>
              <w:spacing w:line="296" w:lineRule="exact" w:before="0" w:after="0"/>
              <w:ind w:left="106" w:right="0" w:firstLine="0"/>
              <w:jc w:val="both"/>
            </w:pPr>
            <w:r>
              <w:rPr>
                <w:rFonts w:ascii="宋体" w:hAnsi="宋体" w:eastAsia="宋体"/>
                <w:b w:val="0"/>
                <w:i w:val="0"/>
                <w:color w:val="000000"/>
                <w:sz w:val="18"/>
              </w:rPr>
              <w:t>酬</w:t>
            </w:r>
            <w:r>
              <w:br/>
            </w:r>
            <w:r>
              <w:rPr>
                <w:rFonts w:ascii="宋体" w:hAnsi="宋体" w:eastAsia="宋体"/>
                <w:b w:val="0"/>
                <w:i w:val="0"/>
                <w:color w:val="000000"/>
                <w:sz w:val="18"/>
              </w:rPr>
              <w:t>、</w:t>
            </w:r>
            <w:r>
              <w:br/>
            </w:r>
            <w:r>
              <w:rPr>
                <w:rFonts w:ascii="宋体" w:hAnsi="宋体" w:eastAsia="宋体"/>
                <w:b w:val="0"/>
                <w:i w:val="0"/>
                <w:color w:val="000000"/>
                <w:sz w:val="18"/>
              </w:rPr>
              <w:t>考</w:t>
            </w:r>
            <w:r>
              <w:br/>
            </w:r>
            <w:r>
              <w:rPr>
                <w:rFonts w:ascii="宋体" w:hAnsi="宋体" w:eastAsia="宋体"/>
                <w:b w:val="0"/>
                <w:i w:val="0"/>
                <w:color w:val="000000"/>
                <w:sz w:val="18"/>
              </w:rPr>
              <w:t>核</w:t>
            </w:r>
            <w:r>
              <w:br/>
            </w:r>
            <w:r>
              <w:rPr>
                <w:rFonts w:ascii="宋体" w:hAnsi="宋体" w:eastAsia="宋体"/>
                <w:b w:val="0"/>
                <w:i w:val="0"/>
                <w:color w:val="000000"/>
                <w:sz w:val="18"/>
              </w:rPr>
              <w:t>与</w:t>
            </w:r>
            <w:r>
              <w:br/>
            </w:r>
            <w:r>
              <w:rPr>
                <w:rFonts w:ascii="宋体" w:hAnsi="宋体" w:eastAsia="宋体"/>
                <w:b w:val="0"/>
                <w:i w:val="0"/>
                <w:color w:val="000000"/>
                <w:sz w:val="18"/>
              </w:rPr>
              <w:t>提</w:t>
            </w:r>
            <w:r>
              <w:br/>
            </w:r>
            <w:r>
              <w:rPr>
                <w:rFonts w:ascii="宋体" w:hAnsi="宋体" w:eastAsia="宋体"/>
                <w:b w:val="0"/>
                <w:i w:val="0"/>
                <w:color w:val="000000"/>
                <w:sz w:val="18"/>
              </w:rPr>
              <w:t>名</w:t>
            </w:r>
            <w:r>
              <w:br/>
            </w:r>
            <w:r>
              <w:rPr>
                <w:rFonts w:ascii="宋体" w:hAnsi="宋体" w:eastAsia="宋体"/>
                <w:b w:val="0"/>
                <w:i w:val="0"/>
                <w:color w:val="000000"/>
                <w:sz w:val="18"/>
              </w:rPr>
              <w:t>委</w:t>
            </w:r>
            <w:r>
              <w:br/>
            </w:r>
            <w:r>
              <w:rPr>
                <w:rFonts w:ascii="宋体" w:hAnsi="宋体" w:eastAsia="宋体"/>
                <w:b w:val="0"/>
                <w:i w:val="0"/>
                <w:color w:val="000000"/>
                <w:sz w:val="18"/>
              </w:rPr>
              <w:t>员</w:t>
            </w:r>
            <w:r>
              <w:br/>
            </w:r>
            <w:r>
              <w:rPr>
                <w:rFonts w:ascii="宋体" w:hAnsi="宋体" w:eastAsia="宋体"/>
                <w:b w:val="0"/>
                <w:i w:val="0"/>
                <w:color w:val="000000"/>
                <w:sz w:val="18"/>
              </w:rPr>
              <w:t xml:space="preserve">会 </w:t>
            </w:r>
          </w:p>
        </w:tc>
        <w:tc>
          <w:tcPr>
            <w:tcW w:type="dxa" w:w="1560"/>
            <w:vMerge w:val="restart"/>
            <w:tcBorders>
              <w:start w:sz="1.5999999999999943" w:val="single" w:color="#000000"/>
              <w:top w:sz="0.7999999999999545" w:val="single" w:color="#000000"/>
              <w:end w:sz="2.3999999999999773" w:val="single" w:color="#000000"/>
              <w:bottom w:sz="0.7999999999999545" w:val="single" w:color="#000000"/>
            </w:tcBorders>
            <w:tcMar>
              <w:start w:w="0" w:type="dxa"/>
              <w:end w:w="0" w:type="dxa"/>
            </w:tcMar>
            <w:tcMar>
              <w:start w:w="0" w:type="dxa"/>
              <w:end w:w="0" w:type="dxa"/>
            </w:tcMar>
          </w:tcPr>
          <w:p>
            <w:pPr>
              <w:autoSpaceDN w:val="0"/>
              <w:autoSpaceDE w:val="0"/>
              <w:widowControl/>
              <w:spacing w:line="290" w:lineRule="exact" w:before="0" w:after="0"/>
              <w:ind w:left="288" w:right="144" w:firstLine="0"/>
              <w:jc w:val="center"/>
            </w:pPr>
            <w:r>
              <w:rPr>
                <w:rFonts w:ascii="宋体" w:hAnsi="宋体" w:eastAsia="宋体"/>
                <w:b w:val="0"/>
                <w:i w:val="0"/>
                <w:color w:val="000000"/>
                <w:sz w:val="18"/>
              </w:rPr>
              <w:t xml:space="preserve">侯巍委员 </w:t>
            </w:r>
            <w:r>
              <w:br/>
            </w:r>
            <w:r>
              <w:rPr>
                <w:rFonts w:ascii="宋体" w:hAnsi="宋体" w:eastAsia="宋体"/>
                <w:b w:val="0"/>
                <w:i w:val="0"/>
                <w:color w:val="000000"/>
                <w:sz w:val="18"/>
              </w:rPr>
              <w:t xml:space="preserve">邢会强委员 </w:t>
            </w:r>
            <w:r>
              <w:rPr>
                <w:rFonts w:ascii="宋体" w:hAnsi="宋体" w:eastAsia="宋体"/>
                <w:b w:val="0"/>
                <w:i w:val="0"/>
                <w:color w:val="000000"/>
                <w:sz w:val="18"/>
              </w:rPr>
              <w:t xml:space="preserve">李小萍委员 </w:t>
            </w:r>
          </w:p>
        </w:tc>
        <w:tc>
          <w:tcPr>
            <w:tcW w:type="dxa" w:w="426"/>
            <w:vMerge w:val="restart"/>
            <w:tcBorders>
              <w:start w:sz="2.3999999999999773" w:val="single" w:color="#000000"/>
              <w:top w:sz="5.600000000000023" w:val="single" w:color="#000000"/>
              <w:end w:sz="1.6000000000000227" w:val="single" w:color="#000000"/>
              <w:bottom w:sz="0.7999999999999545" w:val="single" w:color="#000000"/>
            </w:tcBorders>
            <w:tcMar>
              <w:start w:w="0" w:type="dxa"/>
              <w:end w:w="0" w:type="dxa"/>
            </w:tcMar>
            <w:tcMar>
              <w:start w:w="0" w:type="dxa"/>
              <w:end w:w="0" w:type="dxa"/>
            </w:tcMar>
          </w:tcPr>
          <w:p/>
        </w:tc>
        <w:tc>
          <w:tcPr>
            <w:tcW w:type="dxa" w:w="1132"/>
            <w:tcBorders>
              <w:start w:sz="1.6000000000000227" w:val="single" w:color="#000000"/>
              <w:top w:sz="5.600000000000023" w:val="single" w:color="#000000"/>
              <w:end w:sz="2.400000000000091" w:val="single" w:color="#000000"/>
              <w:bottom w:sz="2.400000000000091" w:val="single" w:color="#000000"/>
            </w:tcBorders>
            <w:tcMar>
              <w:start w:w="0" w:type="dxa"/>
              <w:end w:w="0" w:type="dxa"/>
            </w:tcMar>
          </w:tcPr>
          <w:p/>
        </w:tc>
        <w:tc>
          <w:tcPr>
            <w:tcW w:type="dxa" w:w="4682"/>
            <w:tcBorders>
              <w:start w:sz="2.400000000000091" w:val="single" w:color="#000000"/>
              <w:top w:sz="5.600000000000023" w:val="single" w:color="#000000"/>
              <w:end w:sz="1.599999999999909" w:val="single" w:color="#000000"/>
              <w:bottom w:sz="2.400000000000091" w:val="single" w:color="#000000"/>
            </w:tcBorders>
            <w:tcMar>
              <w:start w:w="0" w:type="dxa"/>
              <w:end w:w="0" w:type="dxa"/>
            </w:tcMar>
          </w:tcPr>
          <w:p>
            <w:pPr>
              <w:autoSpaceDN w:val="0"/>
              <w:autoSpaceDE w:val="0"/>
              <w:widowControl/>
              <w:spacing w:line="294" w:lineRule="exact" w:before="0" w:after="0"/>
              <w:ind w:left="110" w:right="104" w:firstLine="0"/>
              <w:jc w:val="both"/>
            </w:pPr>
            <w:r>
              <w:rPr>
                <w:rFonts w:ascii="宋体" w:hAnsi="宋体" w:eastAsia="宋体"/>
                <w:b w:val="0"/>
                <w:i w:val="0"/>
                <w:color w:val="000000"/>
                <w:sz w:val="18"/>
              </w:rPr>
              <w:t>度薪酬发放方案》《公司高级管理人员2023 年度履职情</w:t>
            </w:r>
            <w:r>
              <w:rPr>
                <w:rFonts w:ascii="宋体" w:hAnsi="宋体" w:eastAsia="宋体"/>
                <w:b w:val="0"/>
                <w:i w:val="0"/>
                <w:color w:val="000000"/>
                <w:sz w:val="18"/>
              </w:rPr>
              <w:t>况、绩效考核情况及薪酬情况专项说明》《公司合规负责</w:t>
            </w:r>
            <w:r>
              <w:rPr>
                <w:rFonts w:ascii="宋体" w:hAnsi="宋体" w:eastAsia="宋体"/>
                <w:b w:val="0"/>
                <w:i w:val="0"/>
                <w:color w:val="000000"/>
                <w:sz w:val="18"/>
              </w:rPr>
              <w:t>人2023 年度考核报告》《关于修改公司&lt;累积投票实施细</w:t>
            </w:r>
            <w:r>
              <w:rPr>
                <w:rFonts w:ascii="宋体" w:hAnsi="宋体" w:eastAsia="宋体"/>
                <w:b w:val="0"/>
                <w:i w:val="0"/>
                <w:color w:val="000000"/>
                <w:sz w:val="18"/>
              </w:rPr>
              <w:t>则&gt;的议案》《公司2023 年度薪酬执行情况报告》《公司</w:t>
            </w:r>
            <w:r>
              <w:rPr>
                <w:rFonts w:ascii="宋体" w:hAnsi="宋体" w:eastAsia="宋体"/>
                <w:b w:val="0"/>
                <w:i w:val="0"/>
                <w:color w:val="000000"/>
                <w:sz w:val="18"/>
              </w:rPr>
              <w:t>2024 年度薪酬设置方案》《关于修改公司&lt;董事会薪酬、</w:t>
            </w:r>
            <w:r>
              <w:rPr>
                <w:rFonts w:ascii="宋体" w:hAnsi="宋体" w:eastAsia="宋体"/>
                <w:b w:val="0"/>
                <w:i w:val="0"/>
                <w:color w:val="000000"/>
                <w:sz w:val="18"/>
              </w:rPr>
              <w:t xml:space="preserve">考核与提名委员会实施细则&gt;的议案》 </w:t>
            </w:r>
          </w:p>
        </w:tc>
        <w:tc>
          <w:tcPr>
            <w:tcW w:type="dxa" w:w="2124"/>
            <w:vMerge w:val="restart"/>
            <w:tcBorders>
              <w:start w:sz="1.599999999999909" w:val="single" w:color="#000000"/>
              <w:top w:sz="5.600000000000023" w:val="single" w:color="#000000"/>
              <w:end w:sz="1.6000000000003638" w:val="single" w:color="#000000"/>
              <w:bottom w:sz="0.7999999999999545" w:val="single" w:color="#000000"/>
            </w:tcBorders>
            <w:tcMar>
              <w:start w:w="0" w:type="dxa"/>
              <w:end w:w="0" w:type="dxa"/>
            </w:tcMar>
            <w:tcMar>
              <w:start w:w="0" w:type="dxa"/>
              <w:end w:w="0" w:type="dxa"/>
            </w:tcMar>
          </w:tcPr>
          <w:p>
            <w:pPr>
              <w:autoSpaceDN w:val="0"/>
              <w:autoSpaceDE w:val="0"/>
              <w:widowControl/>
              <w:spacing w:line="296" w:lineRule="exact" w:before="0" w:after="0"/>
              <w:ind w:left="106" w:right="106" w:firstLine="0"/>
              <w:jc w:val="both"/>
            </w:pPr>
            <w:r>
              <w:rPr>
                <w:rFonts w:ascii="宋体" w:hAnsi="宋体" w:eastAsia="宋体"/>
                <w:b w:val="0"/>
                <w:i w:val="0"/>
                <w:color w:val="000000"/>
                <w:sz w:val="18"/>
              </w:rPr>
              <w:t>人选的资格条件进行审</w:t>
            </w:r>
            <w:r>
              <w:rPr>
                <w:rFonts w:ascii="宋体" w:hAnsi="宋体" w:eastAsia="宋体"/>
                <w:b w:val="0"/>
                <w:i w:val="0"/>
                <w:color w:val="000000"/>
                <w:sz w:val="18"/>
              </w:rPr>
              <w:t>查并提出建议；对董事</w:t>
            </w:r>
            <w:r>
              <w:rPr>
                <w:rFonts w:ascii="宋体" w:hAnsi="宋体" w:eastAsia="宋体"/>
                <w:b w:val="0"/>
                <w:i w:val="0"/>
                <w:color w:val="000000"/>
                <w:sz w:val="18"/>
              </w:rPr>
              <w:t>和高级管理人员的考核</w:t>
            </w:r>
            <w:r>
              <w:rPr>
                <w:rFonts w:ascii="宋体" w:hAnsi="宋体" w:eastAsia="宋体"/>
                <w:b w:val="0"/>
                <w:i w:val="0"/>
                <w:color w:val="000000"/>
                <w:sz w:val="18"/>
              </w:rPr>
              <w:t>与薪酬管理制度进行审</w:t>
            </w:r>
            <w:r>
              <w:rPr>
                <w:rFonts w:ascii="宋体" w:hAnsi="宋体" w:eastAsia="宋体"/>
                <w:b w:val="0"/>
                <w:i w:val="0"/>
                <w:color w:val="000000"/>
                <w:sz w:val="18"/>
              </w:rPr>
              <w:t>议并提出意见；对董</w:t>
            </w:r>
            <w:r>
              <w:rPr>
                <w:rFonts w:ascii="宋体" w:hAnsi="宋体" w:eastAsia="宋体"/>
                <w:b w:val="0"/>
                <w:i w:val="0"/>
                <w:color w:val="000000"/>
                <w:sz w:val="18"/>
              </w:rPr>
              <w:t>事、高级管理人员进行</w:t>
            </w:r>
            <w:r>
              <w:rPr>
                <w:rFonts w:ascii="宋体" w:hAnsi="宋体" w:eastAsia="宋体"/>
                <w:b w:val="0"/>
                <w:i w:val="0"/>
                <w:color w:val="000000"/>
                <w:sz w:val="18"/>
              </w:rPr>
              <w:t>考核并提出建议。董事</w:t>
            </w:r>
            <w:r>
              <w:rPr>
                <w:rFonts w:ascii="宋体" w:hAnsi="宋体" w:eastAsia="宋体"/>
                <w:b w:val="0"/>
                <w:i w:val="0"/>
                <w:color w:val="000000"/>
                <w:sz w:val="18"/>
              </w:rPr>
              <w:t>会薪酬、考核与提名委</w:t>
            </w:r>
            <w:r>
              <w:rPr>
                <w:rFonts w:ascii="宋体" w:hAnsi="宋体" w:eastAsia="宋体"/>
                <w:b w:val="0"/>
                <w:i w:val="0"/>
                <w:color w:val="000000"/>
                <w:sz w:val="18"/>
              </w:rPr>
              <w:t>员会切实发挥了专业委</w:t>
            </w:r>
            <w:r>
              <w:rPr>
                <w:rFonts w:ascii="宋体" w:hAnsi="宋体" w:eastAsia="宋体"/>
                <w:b w:val="0"/>
                <w:i w:val="0"/>
                <w:color w:val="000000"/>
                <w:sz w:val="18"/>
              </w:rPr>
              <w:t>员会职能，确保公司董</w:t>
            </w:r>
            <w:r>
              <w:rPr>
                <w:rFonts w:ascii="宋体" w:hAnsi="宋体" w:eastAsia="宋体"/>
                <w:b w:val="0"/>
                <w:i w:val="0"/>
                <w:color w:val="000000"/>
                <w:sz w:val="18"/>
              </w:rPr>
              <w:t xml:space="preserve">事会合法、合规运作。 </w:t>
            </w:r>
          </w:p>
        </w:tc>
        <w:tc>
          <w:tcPr>
            <w:tcW w:type="dxa" w:w="852"/>
            <w:vMerge w:val="restart"/>
            <w:tcBorders>
              <w:start w:sz="1.6000000000003638" w:val="single" w:color="#000000"/>
              <w:top w:sz="5.600000000000023"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tabs>
                <w:tab w:pos="562" w:val="left"/>
              </w:tabs>
              <w:autoSpaceDE w:val="0"/>
              <w:widowControl/>
              <w:spacing w:line="298" w:lineRule="exact" w:before="0" w:after="0"/>
              <w:ind w:left="108" w:right="0" w:firstLine="0"/>
              <w:jc w:val="left"/>
            </w:pPr>
            <w:r>
              <w:rPr>
                <w:rFonts w:ascii="宋体" w:hAnsi="宋体" w:eastAsia="宋体"/>
                <w:b w:val="0"/>
                <w:i w:val="0"/>
                <w:color w:val="000000"/>
                <w:sz w:val="18"/>
              </w:rPr>
              <w:t>会风险</w:t>
            </w:r>
            <w:r>
              <w:rPr>
                <w:rFonts w:ascii="宋体" w:hAnsi="宋体" w:eastAsia="宋体"/>
                <w:b w:val="0"/>
                <w:i w:val="0"/>
                <w:color w:val="000000"/>
                <w:sz w:val="18"/>
              </w:rPr>
              <w:t>管理委</w:t>
            </w:r>
            <w:r>
              <w:rPr>
                <w:rFonts w:ascii="宋体" w:hAnsi="宋体" w:eastAsia="宋体"/>
                <w:b w:val="0"/>
                <w:i w:val="0"/>
                <w:color w:val="000000"/>
                <w:sz w:val="18"/>
              </w:rPr>
              <w:t>员会实</w:t>
            </w:r>
            <w:r>
              <w:rPr>
                <w:rFonts w:ascii="宋体" w:hAnsi="宋体" w:eastAsia="宋体"/>
                <w:b w:val="0"/>
                <w:i w:val="0"/>
                <w:color w:val="000000"/>
                <w:sz w:val="18"/>
              </w:rPr>
              <w:t>施</w:t>
            </w:r>
            <w:r>
              <w:tab/>
            </w:r>
            <w:r>
              <w:rPr>
                <w:rFonts w:ascii="宋体" w:hAnsi="宋体" w:eastAsia="宋体"/>
                <w:b w:val="0"/>
                <w:i w:val="0"/>
                <w:color w:val="000000"/>
                <w:sz w:val="18"/>
              </w:rPr>
              <w:t>细</w:t>
            </w:r>
            <w:r>
              <w:rPr>
                <w:rFonts w:ascii="宋体" w:hAnsi="宋体" w:eastAsia="宋体"/>
                <w:b w:val="0"/>
                <w:i w:val="0"/>
                <w:color w:val="000000"/>
                <w:sz w:val="18"/>
              </w:rPr>
              <w:t>则》等</w:t>
            </w:r>
            <w:r>
              <w:rPr>
                <w:rFonts w:ascii="宋体" w:hAnsi="宋体" w:eastAsia="宋体"/>
                <w:b w:val="0"/>
                <w:i w:val="0"/>
                <w:color w:val="000000"/>
                <w:sz w:val="18"/>
              </w:rPr>
              <w:t>相关法</w:t>
            </w:r>
            <w:r>
              <w:rPr>
                <w:rFonts w:ascii="宋体" w:hAnsi="宋体" w:eastAsia="宋体"/>
                <w:b w:val="0"/>
                <w:i w:val="0"/>
                <w:color w:val="000000"/>
                <w:sz w:val="18"/>
              </w:rPr>
              <w:t>律</w:t>
            </w:r>
            <w:r>
              <w:br/>
            </w:r>
            <w:r>
              <w:tab/>
            </w:r>
            <w:r>
              <w:rPr>
                <w:rFonts w:ascii="宋体" w:hAnsi="宋体" w:eastAsia="宋体"/>
                <w:b w:val="0"/>
                <w:i w:val="0"/>
                <w:color w:val="000000"/>
                <w:sz w:val="18"/>
              </w:rPr>
              <w:t>法</w:t>
            </w:r>
            <w:r>
              <w:rPr>
                <w:rFonts w:ascii="宋体" w:hAnsi="宋体" w:eastAsia="宋体"/>
                <w:b w:val="0"/>
                <w:i w:val="0"/>
                <w:color w:val="000000"/>
                <w:sz w:val="18"/>
              </w:rPr>
              <w:t>规、规</w:t>
            </w:r>
            <w:r>
              <w:rPr>
                <w:rFonts w:ascii="宋体" w:hAnsi="宋体" w:eastAsia="宋体"/>
                <w:b w:val="0"/>
                <w:i w:val="0"/>
                <w:color w:val="000000"/>
                <w:sz w:val="18"/>
              </w:rPr>
              <w:t>范性文</w:t>
            </w:r>
            <w:r>
              <w:rPr>
                <w:rFonts w:ascii="宋体" w:hAnsi="宋体" w:eastAsia="宋体"/>
                <w:b w:val="0"/>
                <w:i w:val="0"/>
                <w:color w:val="000000"/>
                <w:sz w:val="18"/>
              </w:rPr>
              <w:t>件的规</w:t>
            </w:r>
            <w:r>
              <w:rPr>
                <w:rFonts w:ascii="宋体" w:hAnsi="宋体" w:eastAsia="宋体"/>
                <w:b w:val="0"/>
                <w:i w:val="0"/>
                <w:color w:val="000000"/>
                <w:sz w:val="18"/>
              </w:rPr>
              <w:t>定，积</w:t>
            </w:r>
            <w:r>
              <w:rPr>
                <w:rFonts w:ascii="宋体" w:hAnsi="宋体" w:eastAsia="宋体"/>
                <w:b w:val="0"/>
                <w:i w:val="0"/>
                <w:color w:val="000000"/>
                <w:sz w:val="18"/>
              </w:rPr>
              <w:t>极履行</w:t>
            </w:r>
            <w:r>
              <w:rPr>
                <w:rFonts w:ascii="宋体" w:hAnsi="宋体" w:eastAsia="宋体"/>
                <w:b w:val="0"/>
                <w:i w:val="0"/>
                <w:color w:val="000000"/>
                <w:sz w:val="18"/>
              </w:rPr>
              <w:t xml:space="preserve">职责。 </w:t>
            </w:r>
          </w:p>
        </w:tc>
        <w:tc>
          <w:tcPr>
            <w:tcW w:type="dxa" w:w="362"/>
            <w:vMerge w:val="restart"/>
            <w:tcBorders>
              <w:start w:sz="1.6000000000003638" w:val="single" w:color="#000000"/>
              <w:top w:sz="0.7999999999999545" w:val="single" w:color="#000000"/>
              <w:end w:sz="2.399999999999636" w:val="single" w:color="#000000"/>
              <w:bottom w:sz="0.7999999999999545" w:val="single" w:color="#000000"/>
            </w:tcBorders>
            <w:tcMar>
              <w:start w:w="0" w:type="dxa"/>
              <w:end w:w="0" w:type="dxa"/>
            </w:tcMar>
            <w:tcMar>
              <w:start w:w="0" w:type="dxa"/>
              <w:end w:w="0" w:type="dxa"/>
            </w:tcMar>
          </w:tcPr>
          <w:p/>
        </w:tc>
      </w:tr>
      <w:tr>
        <w:trPr>
          <w:trHeight w:hRule="exact" w:val="1502"/>
        </w:trPr>
        <w:tc>
          <w:tcPr>
            <w:tcW w:type="dxa" w:w="1441"/>
            <w:vMerge/>
            <w:tcBorders>
              <w:start w:sz="1.5999999999999943" w:val="single" w:color="#000000"/>
              <w:top w:sz="0.7999999999999545" w:val="single" w:color="#000000"/>
              <w:end w:sz="1.5999999999999943" w:val="single" w:color="#000000"/>
              <w:bottom w:sz="0.7999999999999545" w:val="single" w:color="#000000"/>
            </w:tcBorders>
          </w:tcPr>
          <w:p/>
        </w:tc>
        <w:tc>
          <w:tcPr>
            <w:tcW w:type="dxa" w:w="1441"/>
            <w:vMerge/>
            <w:tcBorders>
              <w:start w:sz="1.5999999999999943" w:val="single" w:color="#000000"/>
              <w:top w:sz="0.7999999999999545" w:val="single" w:color="#000000"/>
              <w:end w:sz="2.3999999999999773" w:val="single" w:color="#000000"/>
              <w:bottom w:sz="0.7999999999999545" w:val="single" w:color="#000000"/>
            </w:tcBorders>
          </w:tcPr>
          <w:p/>
        </w:tc>
        <w:tc>
          <w:tcPr>
            <w:tcW w:type="dxa" w:w="1441"/>
            <w:vMerge/>
            <w:tcBorders>
              <w:start w:sz="2.3999999999999773" w:val="single" w:color="#000000"/>
              <w:top w:sz="5.600000000000023" w:val="single" w:color="#000000"/>
              <w:end w:sz="1.6000000000000227" w:val="single" w:color="#000000"/>
              <w:bottom w:sz="0.7999999999999545" w:val="single" w:color="#000000"/>
            </w:tcBorders>
          </w:tcPr>
          <w:p/>
        </w:tc>
        <w:tc>
          <w:tcPr>
            <w:tcW w:type="dxa" w:w="1132"/>
            <w:tcBorders>
              <w:start w:sz="1.6000000000000227"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682" w:after="0"/>
              <w:ind w:left="112" w:right="0" w:firstLine="0"/>
              <w:jc w:val="left"/>
            </w:pPr>
            <w:r>
              <w:rPr>
                <w:rFonts w:ascii="宋体" w:hAnsi="宋体" w:eastAsia="宋体"/>
                <w:b w:val="0"/>
                <w:i w:val="0"/>
                <w:color w:val="000000"/>
                <w:sz w:val="18"/>
              </w:rPr>
              <w:t xml:space="preserve">2024.09.18 </w:t>
            </w:r>
          </w:p>
        </w:tc>
        <w:tc>
          <w:tcPr>
            <w:tcW w:type="dxa" w:w="468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682" w:after="0"/>
              <w:ind w:left="0" w:right="0" w:firstLine="0"/>
              <w:jc w:val="left"/>
            </w:pPr>
            <w:r>
              <w:rPr>
                <w:rFonts w:ascii="宋体" w:hAnsi="宋体" w:eastAsia="宋体"/>
                <w:b w:val="0"/>
                <w:i w:val="0"/>
                <w:color w:val="000000"/>
                <w:sz w:val="18"/>
              </w:rPr>
              <w:t xml:space="preserve">2024.09.18 审议通过《关于聘任高级管理人员的议案》 </w:t>
            </w:r>
          </w:p>
        </w:tc>
        <w:tc>
          <w:tcPr>
            <w:tcW w:type="dxa" w:w="1441"/>
            <w:vMerge/>
            <w:tcBorders>
              <w:start w:sz="1.599999999999909" w:val="single" w:color="#000000"/>
              <w:top w:sz="5.600000000000023" w:val="single" w:color="#000000"/>
              <w:end w:sz="1.6000000000003638" w:val="single" w:color="#000000"/>
              <w:bottom w:sz="0.7999999999999545" w:val="single" w:color="#000000"/>
            </w:tcBorders>
          </w:tcPr>
          <w:p/>
        </w:tc>
        <w:tc>
          <w:tcPr>
            <w:tcW w:type="dxa" w:w="1441"/>
            <w:vMerge/>
            <w:tcBorders>
              <w:start w:sz="1.6000000000003638" w:val="single" w:color="#000000"/>
              <w:top w:sz="5.600000000000023" w:val="single" w:color="#000000"/>
              <w:end w:sz="1.6000000000003638" w:val="single" w:color="#000000"/>
              <w:bottom w:sz="1.599999999999909" w:val="single" w:color="#000000"/>
            </w:tcBorders>
          </w:tcPr>
          <w:p/>
        </w:tc>
        <w:tc>
          <w:tcPr>
            <w:tcW w:type="dxa" w:w="1441"/>
            <w:vMerge/>
            <w:tcBorders>
              <w:start w:sz="1.6000000000003638" w:val="single" w:color="#000000"/>
              <w:top w:sz="0.7999999999999545" w:val="single" w:color="#000000"/>
              <w:end w:sz="2.399999999999636" w:val="single" w:color="#000000"/>
              <w:bottom w:sz="0.7999999999999545" w:val="single" w:color="#000000"/>
            </w:tcBorders>
          </w:tcPr>
          <w:p/>
        </w:tc>
      </w:tr>
      <w:tr>
        <w:trPr>
          <w:trHeight w:hRule="exact" w:val="1804"/>
        </w:trPr>
        <w:tc>
          <w:tcPr>
            <w:tcW w:type="dxa" w:w="364"/>
            <w:vMerge w:val="restart"/>
            <w:tcBorders>
              <w:start w:sz="1.5999999999999943" w:val="single" w:color="#000000"/>
              <w:top w:sz="0.7999999999999545" w:val="single" w:color="#000000"/>
              <w:end w:sz="1.5999999999999943" w:val="single" w:color="#000000"/>
              <w:bottom w:sz="1.599999999999909" w:val="single" w:color="#000000"/>
            </w:tcBorders>
            <w:tcMar>
              <w:start w:w="0" w:type="dxa"/>
              <w:end w:w="0" w:type="dxa"/>
            </w:tcMar>
            <w:tcMar>
              <w:start w:w="0" w:type="dxa"/>
              <w:end w:w="0" w:type="dxa"/>
            </w:tcMar>
          </w:tcPr>
          <w:p>
            <w:pPr>
              <w:autoSpaceDN w:val="0"/>
              <w:autoSpaceDE w:val="0"/>
              <w:widowControl/>
              <w:spacing w:line="300" w:lineRule="exact" w:before="270" w:after="0"/>
              <w:ind w:left="106" w:right="0" w:firstLine="0"/>
              <w:jc w:val="both"/>
            </w:pPr>
            <w:r>
              <w:rPr>
                <w:rFonts w:ascii="宋体" w:hAnsi="宋体" w:eastAsia="宋体"/>
                <w:b w:val="0"/>
                <w:i w:val="0"/>
                <w:color w:val="000000"/>
                <w:sz w:val="18"/>
              </w:rPr>
              <w:t>风</w:t>
            </w:r>
            <w:r>
              <w:br/>
            </w:r>
            <w:r>
              <w:rPr>
                <w:rFonts w:ascii="宋体" w:hAnsi="宋体" w:eastAsia="宋体"/>
                <w:b w:val="0"/>
                <w:i w:val="0"/>
                <w:color w:val="000000"/>
                <w:sz w:val="18"/>
              </w:rPr>
              <w:t>险</w:t>
            </w:r>
            <w:r>
              <w:br/>
            </w:r>
            <w:r>
              <w:rPr>
                <w:rFonts w:ascii="宋体" w:hAnsi="宋体" w:eastAsia="宋体"/>
                <w:b w:val="0"/>
                <w:i w:val="0"/>
                <w:color w:val="000000"/>
                <w:sz w:val="18"/>
              </w:rPr>
              <w:t>管</w:t>
            </w:r>
            <w:r>
              <w:br/>
            </w:r>
            <w:r>
              <w:rPr>
                <w:rFonts w:ascii="宋体" w:hAnsi="宋体" w:eastAsia="宋体"/>
                <w:b w:val="0"/>
                <w:i w:val="0"/>
                <w:color w:val="000000"/>
                <w:sz w:val="18"/>
              </w:rPr>
              <w:t>理</w:t>
            </w:r>
            <w:r>
              <w:br/>
            </w:r>
            <w:r>
              <w:rPr>
                <w:rFonts w:ascii="宋体" w:hAnsi="宋体" w:eastAsia="宋体"/>
                <w:b w:val="0"/>
                <w:i w:val="0"/>
                <w:color w:val="000000"/>
                <w:sz w:val="18"/>
              </w:rPr>
              <w:t>委</w:t>
            </w:r>
            <w:r>
              <w:br/>
            </w:r>
            <w:r>
              <w:rPr>
                <w:rFonts w:ascii="宋体" w:hAnsi="宋体" w:eastAsia="宋体"/>
                <w:b w:val="0"/>
                <w:i w:val="0"/>
                <w:color w:val="000000"/>
                <w:sz w:val="18"/>
              </w:rPr>
              <w:t>员</w:t>
            </w:r>
            <w:r>
              <w:br/>
            </w:r>
            <w:r>
              <w:rPr>
                <w:rFonts w:ascii="宋体" w:hAnsi="宋体" w:eastAsia="宋体"/>
                <w:b w:val="0"/>
                <w:i w:val="0"/>
                <w:color w:val="000000"/>
                <w:sz w:val="18"/>
              </w:rPr>
              <w:t xml:space="preserve">会 </w:t>
            </w:r>
          </w:p>
        </w:tc>
        <w:tc>
          <w:tcPr>
            <w:tcW w:type="dxa" w:w="1560"/>
            <w:vMerge w:val="restart"/>
            <w:tcBorders>
              <w:start w:sz="1.5999999999999943" w:val="single" w:color="#000000"/>
              <w:top w:sz="0.7999999999999545" w:val="single" w:color="#000000"/>
              <w:end w:sz="2.3999999999999773" w:val="single" w:color="#000000"/>
              <w:bottom w:sz="1.599999999999909" w:val="single" w:color="#000000"/>
            </w:tcBorders>
            <w:tcMar>
              <w:start w:w="0" w:type="dxa"/>
              <w:end w:w="0" w:type="dxa"/>
            </w:tcMar>
            <w:tcMar>
              <w:start w:w="0" w:type="dxa"/>
              <w:end w:w="0" w:type="dxa"/>
            </w:tcMar>
          </w:tcPr>
          <w:p>
            <w:pPr>
              <w:autoSpaceDN w:val="0"/>
              <w:autoSpaceDE w:val="0"/>
              <w:widowControl/>
              <w:spacing w:line="300" w:lineRule="exact" w:before="718" w:after="0"/>
              <w:ind w:left="144" w:right="0" w:firstLine="0"/>
              <w:jc w:val="center"/>
            </w:pPr>
            <w:r>
              <w:rPr>
                <w:rFonts w:ascii="宋体" w:hAnsi="宋体" w:eastAsia="宋体"/>
                <w:b w:val="0"/>
                <w:i w:val="0"/>
                <w:color w:val="000000"/>
                <w:sz w:val="18"/>
              </w:rPr>
              <w:t xml:space="preserve">王怡里主任委员 </w:t>
            </w:r>
            <w:r>
              <w:rPr>
                <w:rFonts w:ascii="宋体" w:hAnsi="宋体" w:eastAsia="宋体"/>
                <w:b w:val="0"/>
                <w:i w:val="0"/>
                <w:color w:val="000000"/>
                <w:sz w:val="18"/>
              </w:rPr>
              <w:t xml:space="preserve">周金晓委员 </w:t>
            </w:r>
            <w:r>
              <w:br/>
            </w:r>
            <w:r>
              <w:rPr>
                <w:rFonts w:ascii="宋体" w:hAnsi="宋体" w:eastAsia="宋体"/>
                <w:b w:val="0"/>
                <w:i w:val="0"/>
                <w:color w:val="000000"/>
                <w:sz w:val="18"/>
              </w:rPr>
              <w:t xml:space="preserve">刘鹏飞委员 </w:t>
            </w:r>
            <w:r>
              <w:br/>
            </w:r>
            <w:r>
              <w:rPr>
                <w:rFonts w:ascii="宋体" w:hAnsi="宋体" w:eastAsia="宋体"/>
                <w:b w:val="0"/>
                <w:i w:val="0"/>
                <w:color w:val="000000"/>
                <w:sz w:val="18"/>
              </w:rPr>
              <w:t xml:space="preserve">朱祁委员 </w:t>
            </w:r>
          </w:p>
        </w:tc>
        <w:tc>
          <w:tcPr>
            <w:tcW w:type="dxa" w:w="426"/>
            <w:vMerge w:val="restart"/>
            <w:tcBorders>
              <w:start w:sz="2.3999999999999773" w:val="single" w:color="#000000"/>
              <w:top w:sz="0.7999999999999545" w:val="single" w:color="#000000"/>
              <w:end w:sz="1.6000000000000227"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1290" w:after="0"/>
              <w:ind w:left="0" w:right="76" w:firstLine="0"/>
              <w:jc w:val="right"/>
            </w:pPr>
            <w:r>
              <w:rPr>
                <w:rFonts w:ascii="宋体" w:hAnsi="宋体" w:eastAsia="宋体"/>
                <w:b w:val="0"/>
                <w:i w:val="0"/>
                <w:color w:val="000000"/>
                <w:sz w:val="18"/>
              </w:rPr>
              <w:t xml:space="preserve">2 </w:t>
            </w:r>
          </w:p>
        </w:tc>
        <w:tc>
          <w:tcPr>
            <w:tcW w:type="dxa" w:w="1132"/>
            <w:tcBorders>
              <w:start w:sz="1.6000000000000227"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834" w:after="0"/>
              <w:ind w:left="112" w:right="0" w:firstLine="0"/>
              <w:jc w:val="left"/>
            </w:pPr>
            <w:r>
              <w:rPr>
                <w:rFonts w:ascii="宋体" w:hAnsi="宋体" w:eastAsia="宋体"/>
                <w:b w:val="0"/>
                <w:i w:val="0"/>
                <w:color w:val="000000"/>
                <w:sz w:val="18"/>
              </w:rPr>
              <w:t xml:space="preserve">2024.04.26 </w:t>
            </w:r>
          </w:p>
        </w:tc>
        <w:tc>
          <w:tcPr>
            <w:tcW w:type="dxa" w:w="4682"/>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94" w:lineRule="exact" w:before="0" w:after="0"/>
              <w:ind w:left="110" w:right="104" w:firstLine="0"/>
              <w:jc w:val="both"/>
            </w:pPr>
            <w:r>
              <w:rPr>
                <w:rFonts w:ascii="宋体" w:hAnsi="宋体" w:eastAsia="宋体"/>
                <w:b w:val="0"/>
                <w:i w:val="0"/>
                <w:color w:val="000000"/>
                <w:sz w:val="18"/>
              </w:rPr>
              <w:t>审议通过《公司2023 年度风险管理（评估）报告》《公</w:t>
            </w:r>
            <w:r>
              <w:rPr>
                <w:rFonts w:ascii="宋体" w:hAnsi="宋体" w:eastAsia="宋体"/>
                <w:b w:val="0"/>
                <w:i w:val="0"/>
                <w:color w:val="000000"/>
                <w:sz w:val="18"/>
              </w:rPr>
              <w:t>司2023 年度风险控制指标情况报告》《公司2024 年度风</w:t>
            </w:r>
            <w:r>
              <w:rPr>
                <w:rFonts w:ascii="宋体" w:hAnsi="宋体" w:eastAsia="宋体"/>
                <w:b w:val="0"/>
                <w:i w:val="0"/>
                <w:color w:val="000000"/>
                <w:sz w:val="18"/>
              </w:rPr>
              <w:t>险偏好、风险容忍度和风险限额的方案》《关于公司2024</w:t>
            </w:r>
            <w:r>
              <w:rPr>
                <w:rFonts w:ascii="宋体" w:hAnsi="宋体" w:eastAsia="宋体"/>
                <w:b w:val="0"/>
                <w:i w:val="0"/>
                <w:color w:val="000000"/>
                <w:sz w:val="18"/>
              </w:rPr>
              <w:t>年度自有资金投资额度计划的议案》《公司2023 年度合</w:t>
            </w:r>
            <w:r>
              <w:rPr>
                <w:rFonts w:ascii="宋体" w:hAnsi="宋体" w:eastAsia="宋体"/>
                <w:b w:val="0"/>
                <w:i w:val="0"/>
                <w:color w:val="000000"/>
                <w:sz w:val="18"/>
              </w:rPr>
              <w:t>规报告》《公司2023 年度反洗钱工作报告》《公司2023</w:t>
            </w:r>
            <w:r>
              <w:rPr>
                <w:rFonts w:ascii="宋体" w:hAnsi="宋体" w:eastAsia="宋体"/>
                <w:b w:val="0"/>
                <w:i w:val="0"/>
                <w:color w:val="000000"/>
                <w:sz w:val="18"/>
              </w:rPr>
              <w:t xml:space="preserve">年度廉洁从业管理情况报告》 </w:t>
            </w:r>
          </w:p>
        </w:tc>
        <w:tc>
          <w:tcPr>
            <w:tcW w:type="dxa" w:w="2124"/>
            <w:vMerge w:val="restart"/>
            <w:tcBorders>
              <w:start w:sz="1.599999999999909" w:val="single" w:color="#000000"/>
              <w:top w:sz="0.7999999999999545" w:val="single" w:color="#000000"/>
              <w:end w:sz="1.6000000000003638" w:val="single" w:color="#000000"/>
              <w:bottom w:sz="1.599999999999909" w:val="single" w:color="#000000"/>
            </w:tcBorders>
            <w:tcMar>
              <w:start w:w="0" w:type="dxa"/>
              <w:end w:w="0" w:type="dxa"/>
            </w:tcMar>
            <w:tcMar>
              <w:start w:w="0" w:type="dxa"/>
              <w:end w:w="0" w:type="dxa"/>
            </w:tcMar>
          </w:tcPr>
          <w:p>
            <w:pPr>
              <w:autoSpaceDN w:val="0"/>
              <w:autoSpaceDE w:val="0"/>
              <w:widowControl/>
              <w:spacing w:line="300" w:lineRule="exact" w:before="718" w:after="0"/>
              <w:ind w:left="106" w:right="106" w:firstLine="0"/>
              <w:jc w:val="both"/>
            </w:pPr>
            <w:r>
              <w:rPr>
                <w:rFonts w:ascii="宋体" w:hAnsi="宋体" w:eastAsia="宋体"/>
                <w:b w:val="0"/>
                <w:i w:val="0"/>
                <w:color w:val="000000"/>
                <w:sz w:val="18"/>
              </w:rPr>
              <w:t>有序推进合规管理工</w:t>
            </w:r>
            <w:r>
              <w:rPr>
                <w:rFonts w:ascii="宋体" w:hAnsi="宋体" w:eastAsia="宋体"/>
                <w:b w:val="0"/>
                <w:i w:val="0"/>
                <w:color w:val="000000"/>
                <w:sz w:val="18"/>
              </w:rPr>
              <w:t>作，有效控制各项风</w:t>
            </w:r>
            <w:r>
              <w:rPr>
                <w:rFonts w:ascii="宋体" w:hAnsi="宋体" w:eastAsia="宋体"/>
                <w:b w:val="0"/>
                <w:i w:val="0"/>
                <w:color w:val="000000"/>
                <w:sz w:val="18"/>
              </w:rPr>
              <w:t>险，保障公司合规运</w:t>
            </w:r>
            <w:r>
              <w:rPr>
                <w:rFonts w:ascii="宋体" w:hAnsi="宋体" w:eastAsia="宋体"/>
                <w:b w:val="0"/>
                <w:i w:val="0"/>
                <w:color w:val="000000"/>
                <w:sz w:val="18"/>
              </w:rPr>
              <w:t xml:space="preserve">行。 </w:t>
            </w:r>
          </w:p>
        </w:tc>
        <w:tc>
          <w:tcPr>
            <w:tcW w:type="dxa" w:w="1441"/>
            <w:vMerge/>
            <w:tcBorders>
              <w:start w:sz="1.6000000000003638" w:val="single" w:color="#000000"/>
              <w:top w:sz="5.600000000000023" w:val="single" w:color="#000000"/>
              <w:end w:sz="1.6000000000003638" w:val="single" w:color="#000000"/>
              <w:bottom w:sz="1.599999999999909" w:val="single" w:color="#000000"/>
            </w:tcBorders>
          </w:tcPr>
          <w:p/>
        </w:tc>
        <w:tc>
          <w:tcPr>
            <w:tcW w:type="dxa" w:w="362"/>
            <w:vMerge w:val="restart"/>
            <w:tcBorders>
              <w:start w:sz="1.6000000000003638" w:val="single" w:color="#000000"/>
              <w:top w:sz="0.7999999999999545" w:val="single" w:color="#000000"/>
              <w:end w:sz="2.399999999999636"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1290" w:after="0"/>
              <w:ind w:left="0" w:right="44" w:firstLine="0"/>
              <w:jc w:val="right"/>
            </w:pPr>
            <w:r>
              <w:rPr>
                <w:rFonts w:ascii="宋体" w:hAnsi="宋体" w:eastAsia="宋体"/>
                <w:b w:val="0"/>
                <w:i w:val="0"/>
                <w:color w:val="000000"/>
                <w:sz w:val="18"/>
              </w:rPr>
              <w:t xml:space="preserve">- </w:t>
            </w:r>
          </w:p>
        </w:tc>
      </w:tr>
      <w:tr>
        <w:trPr>
          <w:trHeight w:hRule="exact" w:val="904"/>
        </w:trPr>
        <w:tc>
          <w:tcPr>
            <w:tcW w:type="dxa" w:w="1441"/>
            <w:vMerge/>
            <w:tcBorders>
              <w:start w:sz="1.5999999999999943" w:val="single" w:color="#000000"/>
              <w:top w:sz="0.7999999999999545" w:val="single" w:color="#000000"/>
              <w:end w:sz="1.5999999999999943" w:val="single" w:color="#000000"/>
              <w:bottom w:sz="1.599999999999909" w:val="single" w:color="#000000"/>
            </w:tcBorders>
          </w:tcPr>
          <w:p/>
        </w:tc>
        <w:tc>
          <w:tcPr>
            <w:tcW w:type="dxa" w:w="1441"/>
            <w:vMerge/>
            <w:tcBorders>
              <w:start w:sz="1.5999999999999943" w:val="single" w:color="#000000"/>
              <w:top w:sz="0.7999999999999545" w:val="single" w:color="#000000"/>
              <w:end w:sz="2.3999999999999773" w:val="single" w:color="#000000"/>
              <w:bottom w:sz="1.599999999999909" w:val="single" w:color="#000000"/>
            </w:tcBorders>
          </w:tcPr>
          <w:p/>
        </w:tc>
        <w:tc>
          <w:tcPr>
            <w:tcW w:type="dxa" w:w="1441"/>
            <w:vMerge/>
            <w:tcBorders>
              <w:start w:sz="2.3999999999999773" w:val="single" w:color="#000000"/>
              <w:top w:sz="0.7999999999999545" w:val="single" w:color="#000000"/>
              <w:end w:sz="1.6000000000000227" w:val="single" w:color="#000000"/>
              <w:bottom w:sz="1.599999999999909" w:val="single" w:color="#000000"/>
            </w:tcBorders>
          </w:tcPr>
          <w:p/>
        </w:tc>
        <w:tc>
          <w:tcPr>
            <w:tcW w:type="dxa" w:w="1132"/>
            <w:tcBorders>
              <w:start w:sz="1.6000000000000227"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386" w:after="0"/>
              <w:ind w:left="112" w:right="0" w:firstLine="0"/>
              <w:jc w:val="left"/>
            </w:pPr>
            <w:r>
              <w:rPr>
                <w:rFonts w:ascii="宋体" w:hAnsi="宋体" w:eastAsia="宋体"/>
                <w:b w:val="0"/>
                <w:i w:val="0"/>
                <w:color w:val="000000"/>
                <w:sz w:val="18"/>
              </w:rPr>
              <w:t xml:space="preserve">2024.08.26 </w:t>
            </w:r>
          </w:p>
        </w:tc>
        <w:tc>
          <w:tcPr>
            <w:tcW w:type="dxa" w:w="4682"/>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88" w:lineRule="exact" w:before="0" w:after="0"/>
              <w:ind w:left="110" w:right="0" w:firstLine="0"/>
              <w:jc w:val="left"/>
            </w:pPr>
            <w:r>
              <w:rPr>
                <w:rFonts w:ascii="宋体" w:hAnsi="宋体" w:eastAsia="宋体"/>
                <w:b w:val="0"/>
                <w:i w:val="0"/>
                <w:color w:val="000000"/>
                <w:sz w:val="18"/>
              </w:rPr>
              <w:t>审议通过《公司2024 年上半年风险管理（评估）报告》</w:t>
            </w:r>
            <w:r>
              <w:rPr>
                <w:rFonts w:ascii="宋体" w:hAnsi="宋体" w:eastAsia="宋体"/>
                <w:b w:val="0"/>
                <w:i w:val="0"/>
                <w:color w:val="000000"/>
                <w:sz w:val="18"/>
              </w:rPr>
              <w:t>《公司2024 年上半年风险控制指标情况报告》《公司反</w:t>
            </w:r>
            <w:r>
              <w:rPr>
                <w:rFonts w:ascii="宋体" w:hAnsi="宋体" w:eastAsia="宋体"/>
                <w:b w:val="0"/>
                <w:i w:val="0"/>
                <w:color w:val="000000"/>
                <w:sz w:val="18"/>
              </w:rPr>
              <w:t xml:space="preserve">洗钱工作专项报告》 </w:t>
            </w:r>
          </w:p>
        </w:tc>
        <w:tc>
          <w:tcPr>
            <w:tcW w:type="dxa" w:w="1441"/>
            <w:vMerge/>
            <w:tcBorders>
              <w:start w:sz="1.599999999999909" w:val="single" w:color="#000000"/>
              <w:top w:sz="0.7999999999999545" w:val="single" w:color="#000000"/>
              <w:end w:sz="1.6000000000003638" w:val="single" w:color="#000000"/>
              <w:bottom w:sz="1.599999999999909" w:val="single" w:color="#000000"/>
            </w:tcBorders>
          </w:tcPr>
          <w:p/>
        </w:tc>
        <w:tc>
          <w:tcPr>
            <w:tcW w:type="dxa" w:w="1441"/>
            <w:vMerge/>
            <w:tcBorders>
              <w:start w:sz="1.6000000000003638" w:val="single" w:color="#000000"/>
              <w:top w:sz="5.600000000000023" w:val="single" w:color="#000000"/>
              <w:end w:sz="1.6000000000003638" w:val="single" w:color="#000000"/>
              <w:bottom w:sz="1.599999999999909" w:val="single" w:color="#000000"/>
            </w:tcBorders>
          </w:tcPr>
          <w:p/>
        </w:tc>
        <w:tc>
          <w:tcPr>
            <w:tcW w:type="dxa" w:w="1441"/>
            <w:vMerge/>
            <w:tcBorders>
              <w:start w:sz="1.6000000000003638" w:val="single" w:color="#000000"/>
              <w:top w:sz="0.7999999999999545" w:val="single" w:color="#000000"/>
              <w:end w:sz="2.399999999999636" w:val="single" w:color="#000000"/>
              <w:bottom w:sz="1.599999999999909" w:val="single" w:color="#000000"/>
            </w:tcBorders>
          </w:tcPr>
          <w:p/>
        </w:tc>
      </w:tr>
    </w:tbl>
    <w:p>
      <w:pPr>
        <w:autoSpaceDN w:val="0"/>
        <w:autoSpaceDE w:val="0"/>
        <w:widowControl/>
        <w:spacing w:line="600" w:lineRule="exact" w:before="0" w:after="336"/>
        <w:ind w:left="934" w:right="8208" w:firstLine="0"/>
        <w:jc w:val="left"/>
      </w:pPr>
      <w:r>
        <w:rPr>
          <w:rFonts w:ascii="宋体" w:hAnsi="宋体" w:eastAsia="宋体"/>
          <w:b w:val="0"/>
          <w:i w:val="0"/>
          <w:color w:val="000000"/>
          <w:sz w:val="24"/>
        </w:rPr>
        <w:t xml:space="preserve">八、监事会工作情况 </w:t>
      </w:r>
      <w:r>
        <w:br/>
      </w:r>
      <w:r>
        <w:rPr>
          <w:rFonts w:ascii="Times New Roman,Bold" w:hAnsi="Times New Roman,Bold" w:eastAsia="Times New Roman,Bold"/>
          <w:b/>
          <w:i w:val="0"/>
          <w:color w:val="000000"/>
          <w:sz w:val="21"/>
        </w:rPr>
        <w:t>1.</w:t>
      </w:r>
      <w:r>
        <w:rPr>
          <w:rFonts w:ascii="宋体" w:hAnsi="宋体" w:eastAsia="宋体"/>
          <w:b w:val="0"/>
          <w:i w:val="0"/>
          <w:color w:val="000000"/>
          <w:sz w:val="21"/>
        </w:rPr>
        <w:t>本报告期监事会情况</w:t>
      </w:r>
    </w:p>
    <w:tbl>
      <w:tblPr>
        <w:tblW w:type="auto" w:w="0"/>
        <w:tblLayout w:type="fixed"/>
        <w:tblLook w:firstColumn="1" w:firstRow="1" w:lastColumn="0" w:lastRow="0" w:noHBand="0" w:noVBand="1" w:val="04A0"/>
        <w:tblInd w:w="660.0" w:type="dxa"/>
      </w:tblPr>
      <w:tblGrid>
        <w:gridCol w:w="2882"/>
        <w:gridCol w:w="2882"/>
        <w:gridCol w:w="2882"/>
        <w:gridCol w:w="2882"/>
      </w:tblGrid>
      <w:tr>
        <w:trPr>
          <w:trHeight w:hRule="exact" w:val="330"/>
        </w:trPr>
        <w:tc>
          <w:tcPr>
            <w:tcW w:type="dxa" w:w="241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4" w:after="0"/>
              <w:ind w:left="0" w:right="750" w:firstLine="0"/>
              <w:jc w:val="right"/>
            </w:pPr>
            <w:r>
              <w:rPr>
                <w:rFonts w:ascii="宋体" w:hAnsi="宋体" w:eastAsia="宋体"/>
                <w:b w:val="0"/>
                <w:i w:val="0"/>
                <w:color w:val="000000"/>
                <w:sz w:val="18"/>
              </w:rPr>
              <w:t xml:space="preserve">会议届次 </w:t>
            </w:r>
          </w:p>
        </w:tc>
        <w:tc>
          <w:tcPr>
            <w:tcW w:type="dxa" w:w="112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4" w:after="0"/>
              <w:ind w:left="200" w:right="0" w:firstLine="0"/>
              <w:jc w:val="left"/>
            </w:pPr>
            <w:r>
              <w:rPr>
                <w:rFonts w:ascii="宋体" w:hAnsi="宋体" w:eastAsia="宋体"/>
                <w:b w:val="0"/>
                <w:i w:val="0"/>
                <w:color w:val="000000"/>
                <w:sz w:val="18"/>
              </w:rPr>
              <w:t xml:space="preserve">召开日期 </w:t>
            </w:r>
          </w:p>
        </w:tc>
        <w:tc>
          <w:tcPr>
            <w:tcW w:type="dxa" w:w="113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4" w:after="0"/>
              <w:ind w:left="202" w:right="0" w:firstLine="0"/>
              <w:jc w:val="left"/>
            </w:pPr>
            <w:r>
              <w:rPr>
                <w:rFonts w:ascii="宋体" w:hAnsi="宋体" w:eastAsia="宋体"/>
                <w:b w:val="0"/>
                <w:i w:val="0"/>
                <w:color w:val="000000"/>
                <w:sz w:val="18"/>
              </w:rPr>
              <w:t xml:space="preserve">披露日期 </w:t>
            </w:r>
          </w:p>
        </w:tc>
        <w:tc>
          <w:tcPr>
            <w:tcW w:type="dxa" w:w="5500"/>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104" w:after="0"/>
              <w:ind w:left="0" w:right="2294" w:firstLine="0"/>
              <w:jc w:val="right"/>
            </w:pPr>
            <w:r>
              <w:rPr>
                <w:rFonts w:ascii="宋体" w:hAnsi="宋体" w:eastAsia="宋体"/>
                <w:b w:val="0"/>
                <w:i w:val="0"/>
                <w:color w:val="000000"/>
                <w:sz w:val="18"/>
              </w:rPr>
              <w:t xml:space="preserve">会议决议 </w:t>
            </w:r>
          </w:p>
        </w:tc>
      </w:tr>
      <w:tr>
        <w:trPr>
          <w:trHeight w:hRule="exact" w:val="972"/>
        </w:trPr>
        <w:tc>
          <w:tcPr>
            <w:tcW w:type="dxa" w:w="24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4" w:after="0"/>
              <w:ind w:left="128" w:right="0" w:firstLine="0"/>
              <w:jc w:val="left"/>
            </w:pPr>
            <w:r>
              <w:rPr>
                <w:rFonts w:ascii="宋体" w:hAnsi="宋体" w:eastAsia="宋体"/>
                <w:b w:val="0"/>
                <w:i w:val="0"/>
                <w:color w:val="000000"/>
                <w:sz w:val="18"/>
              </w:rPr>
              <w:t xml:space="preserve">第四届监事会第十四次会议 </w:t>
            </w:r>
          </w:p>
        </w:tc>
        <w:tc>
          <w:tcPr>
            <w:tcW w:type="dxa" w:w="1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4" w:after="0"/>
              <w:ind w:left="110" w:right="0" w:firstLine="0"/>
              <w:jc w:val="left"/>
            </w:pPr>
            <w:r>
              <w:rPr>
                <w:rFonts w:ascii="宋体" w:hAnsi="宋体" w:eastAsia="宋体"/>
                <w:b w:val="0"/>
                <w:i w:val="0"/>
                <w:color w:val="000000"/>
                <w:sz w:val="18"/>
              </w:rPr>
              <w:t xml:space="preserve">2024.04.26 </w:t>
            </w:r>
          </w:p>
        </w:tc>
        <w:tc>
          <w:tcPr>
            <w:tcW w:type="dxa" w:w="113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4" w:after="0"/>
              <w:ind w:left="112" w:right="0" w:firstLine="0"/>
              <w:jc w:val="left"/>
            </w:pPr>
            <w:r>
              <w:rPr>
                <w:rFonts w:ascii="宋体" w:hAnsi="宋体" w:eastAsia="宋体"/>
                <w:b w:val="0"/>
                <w:i w:val="0"/>
                <w:color w:val="000000"/>
                <w:sz w:val="18"/>
              </w:rPr>
              <w:t xml:space="preserve">2024.04.30 </w:t>
            </w:r>
          </w:p>
        </w:tc>
        <w:tc>
          <w:tcPr>
            <w:tcW w:type="dxa" w:w="550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308" w:lineRule="exact" w:before="0" w:after="0"/>
              <w:ind w:left="102" w:right="144" w:firstLine="0"/>
              <w:jc w:val="left"/>
            </w:pPr>
            <w:r>
              <w:rPr>
                <w:rFonts w:ascii="宋体" w:hAnsi="宋体" w:eastAsia="宋体"/>
                <w:b w:val="0"/>
                <w:i w:val="0"/>
                <w:color w:val="000000"/>
                <w:sz w:val="18"/>
              </w:rPr>
              <w:t>审议通过《公司2023 年度监事会工作报告》等14 项议案，详见巨</w:t>
            </w:r>
            <w:r>
              <w:rPr>
                <w:rFonts w:ascii="宋体" w:hAnsi="宋体" w:eastAsia="宋体"/>
                <w:b w:val="0"/>
                <w:i w:val="0"/>
                <w:color w:val="000000"/>
                <w:sz w:val="18"/>
              </w:rPr>
              <w:t>潮资讯网（http://www.cninfo.com.cn）《关于第四届监事会第十</w:t>
            </w:r>
            <w:r>
              <w:rPr>
                <w:rFonts w:ascii="宋体" w:hAnsi="宋体" w:eastAsia="宋体"/>
                <w:b w:val="0"/>
                <w:i w:val="0"/>
                <w:color w:val="000000"/>
                <w:sz w:val="18"/>
              </w:rPr>
              <w:t xml:space="preserve">四次会议决议的公告》（临2024-005） </w:t>
            </w:r>
          </w:p>
        </w:tc>
      </w:tr>
      <w:tr>
        <w:trPr>
          <w:trHeight w:hRule="exact" w:val="970"/>
        </w:trPr>
        <w:tc>
          <w:tcPr>
            <w:tcW w:type="dxa" w:w="24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0" w:after="0"/>
              <w:ind w:left="128" w:right="0" w:firstLine="0"/>
              <w:jc w:val="left"/>
            </w:pPr>
            <w:r>
              <w:rPr>
                <w:rFonts w:ascii="宋体" w:hAnsi="宋体" w:eastAsia="宋体"/>
                <w:b w:val="0"/>
                <w:i w:val="0"/>
                <w:color w:val="000000"/>
                <w:sz w:val="18"/>
              </w:rPr>
              <w:t xml:space="preserve">第四届监事会第十五次会议 </w:t>
            </w:r>
          </w:p>
        </w:tc>
        <w:tc>
          <w:tcPr>
            <w:tcW w:type="dxa" w:w="1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0" w:after="0"/>
              <w:ind w:left="110" w:right="0" w:firstLine="0"/>
              <w:jc w:val="left"/>
            </w:pPr>
            <w:r>
              <w:rPr>
                <w:rFonts w:ascii="宋体" w:hAnsi="宋体" w:eastAsia="宋体"/>
                <w:b w:val="0"/>
                <w:i w:val="0"/>
                <w:color w:val="000000"/>
                <w:sz w:val="18"/>
              </w:rPr>
              <w:t xml:space="preserve">2024.08.26 </w:t>
            </w:r>
          </w:p>
        </w:tc>
        <w:tc>
          <w:tcPr>
            <w:tcW w:type="dxa" w:w="113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0" w:after="0"/>
              <w:ind w:left="112" w:right="0" w:firstLine="0"/>
              <w:jc w:val="left"/>
            </w:pPr>
            <w:r>
              <w:rPr>
                <w:rFonts w:ascii="宋体" w:hAnsi="宋体" w:eastAsia="宋体"/>
                <w:b w:val="0"/>
                <w:i w:val="0"/>
                <w:color w:val="000000"/>
                <w:sz w:val="18"/>
              </w:rPr>
              <w:t xml:space="preserve">2024.08.28 </w:t>
            </w:r>
          </w:p>
        </w:tc>
        <w:tc>
          <w:tcPr>
            <w:tcW w:type="dxa" w:w="550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306" w:lineRule="exact" w:before="0" w:after="0"/>
              <w:ind w:left="102" w:right="254" w:firstLine="0"/>
              <w:jc w:val="both"/>
            </w:pPr>
            <w:r>
              <w:rPr>
                <w:rFonts w:ascii="宋体" w:hAnsi="宋体" w:eastAsia="宋体"/>
                <w:b w:val="0"/>
                <w:i w:val="0"/>
                <w:color w:val="000000"/>
                <w:sz w:val="18"/>
              </w:rPr>
              <w:t>审议通过《公司2024 年半年度报告及其摘要》等4 项议案，详见</w:t>
            </w:r>
            <w:r>
              <w:rPr>
                <w:rFonts w:ascii="宋体" w:hAnsi="宋体" w:eastAsia="宋体"/>
                <w:b w:val="0"/>
                <w:i w:val="0"/>
                <w:color w:val="000000"/>
                <w:sz w:val="18"/>
              </w:rPr>
              <w:t>巨潮资讯网（http://www.cninfo.com.cn）《关于第四届监事会第</w:t>
            </w:r>
            <w:r>
              <w:rPr>
                <w:rFonts w:ascii="宋体" w:hAnsi="宋体" w:eastAsia="宋体"/>
                <w:b w:val="0"/>
                <w:i w:val="0"/>
                <w:color w:val="000000"/>
                <w:sz w:val="18"/>
              </w:rPr>
              <w:t xml:space="preserve">十五次会议决议的公告》（临2024-021） </w:t>
            </w:r>
          </w:p>
        </w:tc>
      </w:tr>
      <w:tr>
        <w:trPr>
          <w:trHeight w:hRule="exact" w:val="970"/>
        </w:trPr>
        <w:tc>
          <w:tcPr>
            <w:tcW w:type="dxa" w:w="241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2" w:after="0"/>
              <w:ind w:left="128" w:right="0" w:firstLine="0"/>
              <w:jc w:val="left"/>
            </w:pPr>
            <w:r>
              <w:rPr>
                <w:rFonts w:ascii="宋体" w:hAnsi="宋体" w:eastAsia="宋体"/>
                <w:b w:val="0"/>
                <w:i w:val="0"/>
                <w:color w:val="000000"/>
                <w:sz w:val="18"/>
              </w:rPr>
              <w:t xml:space="preserve">第四届监事会第十六次会议 </w:t>
            </w:r>
          </w:p>
        </w:tc>
        <w:tc>
          <w:tcPr>
            <w:tcW w:type="dxa" w:w="1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2" w:after="0"/>
              <w:ind w:left="110" w:right="0" w:firstLine="0"/>
              <w:jc w:val="left"/>
            </w:pPr>
            <w:r>
              <w:rPr>
                <w:rFonts w:ascii="宋体" w:hAnsi="宋体" w:eastAsia="宋体"/>
                <w:b w:val="0"/>
                <w:i w:val="0"/>
                <w:color w:val="000000"/>
                <w:sz w:val="18"/>
              </w:rPr>
              <w:t xml:space="preserve">2024.10.30 </w:t>
            </w:r>
          </w:p>
        </w:tc>
        <w:tc>
          <w:tcPr>
            <w:tcW w:type="dxa" w:w="113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2" w:after="0"/>
              <w:ind w:left="112" w:right="0" w:firstLine="0"/>
              <w:jc w:val="left"/>
            </w:pPr>
            <w:r>
              <w:rPr>
                <w:rFonts w:ascii="宋体" w:hAnsi="宋体" w:eastAsia="宋体"/>
                <w:b w:val="0"/>
                <w:i w:val="0"/>
                <w:color w:val="000000"/>
                <w:sz w:val="18"/>
              </w:rPr>
              <w:t xml:space="preserve">2024.10.31 </w:t>
            </w:r>
          </w:p>
        </w:tc>
        <w:tc>
          <w:tcPr>
            <w:tcW w:type="dxa" w:w="550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308" w:lineRule="exact" w:before="0" w:after="0"/>
              <w:ind w:left="102" w:right="256" w:firstLine="0"/>
              <w:jc w:val="both"/>
            </w:pPr>
            <w:r>
              <w:rPr>
                <w:rFonts w:ascii="宋体" w:hAnsi="宋体" w:eastAsia="宋体"/>
                <w:b w:val="0"/>
                <w:i w:val="0"/>
                <w:color w:val="000000"/>
                <w:sz w:val="18"/>
              </w:rPr>
              <w:t>审议通过《公司2024 年第三季度报告》等2 项议案，详见巨潮资</w:t>
            </w:r>
            <w:r>
              <w:rPr>
                <w:rFonts w:ascii="宋体" w:hAnsi="宋体" w:eastAsia="宋体"/>
                <w:b w:val="0"/>
                <w:i w:val="0"/>
                <w:color w:val="000000"/>
                <w:sz w:val="18"/>
              </w:rPr>
              <w:t>讯网（http://www.cninfo.com.cn）《关于第四届监事会第十六次</w:t>
            </w:r>
            <w:r>
              <w:rPr>
                <w:rFonts w:ascii="宋体" w:hAnsi="宋体" w:eastAsia="宋体"/>
                <w:b w:val="0"/>
                <w:i w:val="0"/>
                <w:color w:val="000000"/>
                <w:sz w:val="18"/>
              </w:rPr>
              <w:t xml:space="preserve">会议决议的公告》（临2024-032） </w:t>
            </w:r>
          </w:p>
        </w:tc>
      </w:tr>
    </w:tbl>
    <w:p>
      <w:pPr>
        <w:autoSpaceDN w:val="0"/>
        <w:autoSpaceDE w:val="0"/>
        <w:widowControl/>
        <w:spacing w:line="234" w:lineRule="exact" w:before="200" w:after="190"/>
        <w:ind w:left="934" w:right="0" w:firstLine="0"/>
        <w:jc w:val="left"/>
      </w:pPr>
      <w:r>
        <w:rPr>
          <w:rFonts w:ascii="Times New Roman,Bold" w:hAnsi="Times New Roman,Bold" w:eastAsia="Times New Roman,Bold"/>
          <w:b/>
          <w:i w:val="0"/>
          <w:color w:val="000000"/>
          <w:sz w:val="21"/>
        </w:rPr>
        <w:t>2.</w:t>
      </w:r>
      <w:r>
        <w:rPr>
          <w:rFonts w:ascii="宋体" w:hAnsi="宋体" w:eastAsia="宋体"/>
          <w:b w:val="0"/>
          <w:i w:val="0"/>
          <w:color w:val="000000"/>
          <w:sz w:val="21"/>
        </w:rPr>
        <w:t>监事出席监事会情况</w:t>
      </w:r>
    </w:p>
    <w:tbl>
      <w:tblPr>
        <w:tblW w:type="auto" w:w="0"/>
        <w:tblLayout w:type="fixed"/>
        <w:tblLook w:firstColumn="1" w:firstRow="1" w:lastColumn="0" w:lastRow="0" w:noHBand="0" w:noVBand="1" w:val="04A0"/>
        <w:tblInd w:w="684.0" w:type="dxa"/>
      </w:tblPr>
      <w:tblGrid>
        <w:gridCol w:w="1921"/>
        <w:gridCol w:w="1921"/>
        <w:gridCol w:w="1921"/>
        <w:gridCol w:w="1921"/>
        <w:gridCol w:w="1921"/>
        <w:gridCol w:w="1921"/>
      </w:tblGrid>
      <w:tr>
        <w:trPr>
          <w:trHeight w:hRule="exact" w:val="650"/>
        </w:trPr>
        <w:tc>
          <w:tcPr>
            <w:tcW w:type="dxa" w:w="124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262" w:after="0"/>
              <w:ind w:left="258" w:right="0" w:firstLine="0"/>
              <w:jc w:val="left"/>
            </w:pPr>
            <w:r>
              <w:rPr>
                <w:rFonts w:ascii="宋体" w:hAnsi="宋体" w:eastAsia="宋体"/>
                <w:b w:val="0"/>
                <w:i w:val="0"/>
                <w:color w:val="000000"/>
                <w:sz w:val="18"/>
              </w:rPr>
              <w:t xml:space="preserve">监事姓名 </w:t>
            </w:r>
          </w:p>
        </w:tc>
        <w:tc>
          <w:tcPr>
            <w:tcW w:type="dxa" w:w="2128"/>
            <w:tcBorders>
              <w:start w:sz="4.0" w:val="single" w:color="#000000"/>
              <w:top w:sz="4.0" w:val="single" w:color="#000000"/>
              <w:end w:sz="4.0" w:val="single" w:color="#000000"/>
              <w:bottom w:sz="4.0" w:val="single" w:color="#000000"/>
            </w:tcBorders>
            <w:shd w:fill="d2d2d2"/>
            <w:tcMar>
              <w:start w:w="0" w:type="dxa"/>
              <w:end w:w="0" w:type="dxa"/>
            </w:tcMar>
          </w:tcPr>
          <w:p>
            <w:pPr>
              <w:autoSpaceDN w:val="0"/>
              <w:tabs>
                <w:tab w:pos="878" w:val="left"/>
              </w:tabs>
              <w:autoSpaceDE w:val="0"/>
              <w:widowControl/>
              <w:spacing w:line="302" w:lineRule="exact" w:before="0" w:after="0"/>
              <w:ind w:left="156" w:right="144" w:firstLine="0"/>
              <w:jc w:val="left"/>
            </w:pPr>
            <w:r>
              <w:rPr>
                <w:rFonts w:ascii="宋体" w:hAnsi="宋体" w:eastAsia="宋体"/>
                <w:b w:val="0"/>
                <w:i w:val="0"/>
                <w:color w:val="000000"/>
                <w:sz w:val="18"/>
              </w:rPr>
              <w:t>本报告期应参加监事会</w:t>
            </w:r>
            <w:r>
              <w:tab/>
            </w:r>
            <w:r>
              <w:rPr>
                <w:rFonts w:ascii="宋体" w:hAnsi="宋体" w:eastAsia="宋体"/>
                <w:b w:val="0"/>
                <w:i w:val="0"/>
                <w:color w:val="000000"/>
                <w:sz w:val="18"/>
              </w:rPr>
              <w:t xml:space="preserve">次数 </w:t>
            </w:r>
          </w:p>
        </w:tc>
        <w:tc>
          <w:tcPr>
            <w:tcW w:type="dxa" w:w="1558"/>
            <w:tcBorders>
              <w:start w:sz="4.0" w:val="single" w:color="#000000"/>
              <w:top w:sz="4.0" w:val="single" w:color="#000000"/>
              <w:end w:sz="3.200000000000273" w:val="single" w:color="#000000"/>
              <w:bottom w:sz="4.0" w:val="single" w:color="#000000"/>
            </w:tcBorders>
            <w:shd w:fill="d2d2d2"/>
            <w:tcMar>
              <w:start w:w="0" w:type="dxa"/>
              <w:end w:w="0" w:type="dxa"/>
            </w:tcMar>
          </w:tcPr>
          <w:p>
            <w:pPr>
              <w:autoSpaceDN w:val="0"/>
              <w:tabs>
                <w:tab w:pos="594" w:val="left"/>
              </w:tabs>
              <w:autoSpaceDE w:val="0"/>
              <w:widowControl/>
              <w:spacing w:line="302" w:lineRule="exact" w:before="0" w:after="0"/>
              <w:ind w:left="142" w:right="144" w:firstLine="0"/>
              <w:jc w:val="left"/>
            </w:pPr>
            <w:r>
              <w:rPr>
                <w:rFonts w:ascii="宋体" w:hAnsi="宋体" w:eastAsia="宋体"/>
                <w:b w:val="0"/>
                <w:i w:val="0"/>
                <w:color w:val="000000"/>
                <w:sz w:val="18"/>
              </w:rPr>
              <w:t>现场出席监事会</w:t>
            </w:r>
            <w:r>
              <w:rPr>
                <w:rFonts w:ascii="宋体" w:hAnsi="宋体" w:eastAsia="宋体"/>
                <w:b w:val="0"/>
                <w:i w:val="0"/>
                <w:color w:val="000000"/>
                <w:sz w:val="18"/>
              </w:rPr>
              <w:t xml:space="preserve">次数 </w:t>
            </w:r>
          </w:p>
        </w:tc>
        <w:tc>
          <w:tcPr>
            <w:tcW w:type="dxa" w:w="2126"/>
            <w:tcBorders>
              <w:start w:sz="3.200000000000273" w:val="single" w:color="#000000"/>
              <w:top w:sz="4.0" w:val="single" w:color="#000000"/>
              <w:end w:sz="4.0" w:val="single" w:color="#000000"/>
              <w:bottom w:sz="4.0" w:val="single" w:color="#000000"/>
            </w:tcBorders>
            <w:shd w:fill="d2d2d2"/>
            <w:tcMar>
              <w:start w:w="0" w:type="dxa"/>
              <w:end w:w="0" w:type="dxa"/>
            </w:tcMar>
          </w:tcPr>
          <w:p>
            <w:pPr>
              <w:autoSpaceDN w:val="0"/>
              <w:tabs>
                <w:tab w:pos="880" w:val="left"/>
              </w:tabs>
              <w:autoSpaceDE w:val="0"/>
              <w:widowControl/>
              <w:spacing w:line="302" w:lineRule="exact" w:before="0" w:after="0"/>
              <w:ind w:left="156" w:right="144" w:firstLine="0"/>
              <w:jc w:val="left"/>
            </w:pPr>
            <w:r>
              <w:rPr>
                <w:rFonts w:ascii="宋体" w:hAnsi="宋体" w:eastAsia="宋体"/>
                <w:b w:val="0"/>
                <w:i w:val="0"/>
                <w:color w:val="000000"/>
                <w:sz w:val="18"/>
              </w:rPr>
              <w:t>以通讯方式参加监事会</w:t>
            </w:r>
            <w:r>
              <w:rPr>
                <w:rFonts w:ascii="宋体" w:hAnsi="宋体" w:eastAsia="宋体"/>
                <w:b w:val="0"/>
                <w:i w:val="0"/>
                <w:color w:val="000000"/>
                <w:sz w:val="18"/>
              </w:rPr>
              <w:t xml:space="preserve">次数 </w:t>
            </w:r>
          </w:p>
        </w:tc>
        <w:tc>
          <w:tcPr>
            <w:tcW w:type="dxa" w:w="1560"/>
            <w:tcBorders>
              <w:start w:sz="4.0" w:val="single" w:color="#000000"/>
              <w:top w:sz="4.0" w:val="single" w:color="#000000"/>
              <w:end w:sz="4.0" w:val="single" w:color="#000000"/>
              <w:bottom w:sz="4.0" w:val="single" w:color="#000000"/>
            </w:tcBorders>
            <w:shd w:fill="d2d2d2"/>
            <w:tcMar>
              <w:start w:w="0" w:type="dxa"/>
              <w:end w:w="0" w:type="dxa"/>
            </w:tcMar>
          </w:tcPr>
          <w:p>
            <w:pPr>
              <w:autoSpaceDN w:val="0"/>
              <w:tabs>
                <w:tab w:pos="594" w:val="left"/>
              </w:tabs>
              <w:autoSpaceDE w:val="0"/>
              <w:widowControl/>
              <w:spacing w:line="302" w:lineRule="exact" w:before="0" w:after="0"/>
              <w:ind w:left="144" w:right="0" w:firstLine="0"/>
              <w:jc w:val="left"/>
            </w:pPr>
            <w:r>
              <w:rPr>
                <w:rFonts w:ascii="宋体" w:hAnsi="宋体" w:eastAsia="宋体"/>
                <w:b w:val="0"/>
                <w:i w:val="0"/>
                <w:color w:val="000000"/>
                <w:sz w:val="18"/>
              </w:rPr>
              <w:t>委托出席监事会</w:t>
            </w:r>
            <w:r>
              <w:tab/>
            </w:r>
            <w:r>
              <w:rPr>
                <w:rFonts w:ascii="宋体" w:hAnsi="宋体" w:eastAsia="宋体"/>
                <w:b w:val="0"/>
                <w:i w:val="0"/>
                <w:color w:val="000000"/>
                <w:sz w:val="18"/>
              </w:rPr>
              <w:t xml:space="preserve">次数 </w:t>
            </w:r>
          </w:p>
        </w:tc>
        <w:tc>
          <w:tcPr>
            <w:tcW w:type="dxa" w:w="152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262" w:after="0"/>
              <w:ind w:left="124" w:right="0" w:firstLine="0"/>
              <w:jc w:val="left"/>
            </w:pPr>
            <w:r>
              <w:rPr>
                <w:rFonts w:ascii="宋体" w:hAnsi="宋体" w:eastAsia="宋体"/>
                <w:b w:val="0"/>
                <w:i w:val="0"/>
                <w:color w:val="000000"/>
                <w:sz w:val="18"/>
              </w:rPr>
              <w:t xml:space="preserve">缺席监事会次数 </w:t>
            </w:r>
          </w:p>
        </w:tc>
      </w:tr>
      <w:tr>
        <w:trPr>
          <w:trHeight w:hRule="exact" w:val="408"/>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252" w:firstLine="0"/>
              <w:jc w:val="right"/>
            </w:pPr>
            <w:r>
              <w:rPr>
                <w:rFonts w:ascii="宋体" w:hAnsi="宋体" w:eastAsia="宋体"/>
                <w:b w:val="0"/>
                <w:i w:val="0"/>
                <w:color w:val="000000"/>
                <w:sz w:val="18"/>
              </w:rPr>
              <w:t xml:space="preserve">焦  杨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3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0" w:firstLine="0"/>
              <w:jc w:val="right"/>
            </w:pPr>
            <w:r>
              <w:rPr>
                <w:rFonts w:ascii="宋体" w:hAnsi="宋体" w:eastAsia="宋体"/>
                <w:b w:val="0"/>
                <w:i w:val="0"/>
                <w:color w:val="000000"/>
                <w:sz w:val="18"/>
              </w:rPr>
              <w:t xml:space="preserve">0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22" w:firstLine="0"/>
              <w:jc w:val="right"/>
            </w:pPr>
            <w:r>
              <w:rPr>
                <w:rFonts w:ascii="宋体" w:hAnsi="宋体" w:eastAsia="宋体"/>
                <w:b w:val="0"/>
                <w:i w:val="0"/>
                <w:color w:val="000000"/>
                <w:sz w:val="18"/>
              </w:rPr>
              <w:t xml:space="preserve">0 </w:t>
            </w:r>
          </w:p>
        </w:tc>
      </w:tr>
      <w:tr>
        <w:trPr>
          <w:trHeight w:hRule="exact" w:val="408"/>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252" w:firstLine="0"/>
              <w:jc w:val="right"/>
            </w:pPr>
            <w:r>
              <w:rPr>
                <w:rFonts w:ascii="宋体" w:hAnsi="宋体" w:eastAsia="宋体"/>
                <w:b w:val="0"/>
                <w:i w:val="0"/>
                <w:color w:val="000000"/>
                <w:sz w:val="18"/>
              </w:rPr>
              <w:t xml:space="preserve">郭志宏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0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920" w:firstLine="0"/>
              <w:jc w:val="right"/>
            </w:pPr>
            <w:r>
              <w:rPr>
                <w:rFonts w:ascii="宋体" w:hAnsi="宋体" w:eastAsia="宋体"/>
                <w:b w:val="0"/>
                <w:i w:val="0"/>
                <w:color w:val="000000"/>
                <w:sz w:val="18"/>
              </w:rPr>
              <w:t xml:space="preserve">3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22" w:firstLine="0"/>
              <w:jc w:val="right"/>
            </w:pPr>
            <w:r>
              <w:rPr>
                <w:rFonts w:ascii="宋体" w:hAnsi="宋体" w:eastAsia="宋体"/>
                <w:b w:val="0"/>
                <w:i w:val="0"/>
                <w:color w:val="000000"/>
                <w:sz w:val="18"/>
              </w:rPr>
              <w:t xml:space="preserve">0 </w:t>
            </w:r>
          </w:p>
        </w:tc>
      </w:tr>
      <w:tr>
        <w:trPr>
          <w:trHeight w:hRule="exact" w:val="408"/>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252" w:firstLine="0"/>
              <w:jc w:val="right"/>
            </w:pPr>
            <w:r>
              <w:rPr>
                <w:rFonts w:ascii="宋体" w:hAnsi="宋体" w:eastAsia="宋体"/>
                <w:b w:val="0"/>
                <w:i w:val="0"/>
                <w:color w:val="000000"/>
                <w:sz w:val="18"/>
              </w:rPr>
              <w:t xml:space="preserve">刘奇旺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1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0" w:firstLine="0"/>
              <w:jc w:val="right"/>
            </w:pPr>
            <w:r>
              <w:rPr>
                <w:rFonts w:ascii="宋体" w:hAnsi="宋体" w:eastAsia="宋体"/>
                <w:b w:val="0"/>
                <w:i w:val="0"/>
                <w:color w:val="000000"/>
                <w:sz w:val="18"/>
              </w:rPr>
              <w:t xml:space="preserve">2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22" w:firstLine="0"/>
              <w:jc w:val="right"/>
            </w:pPr>
            <w:r>
              <w:rPr>
                <w:rFonts w:ascii="宋体" w:hAnsi="宋体" w:eastAsia="宋体"/>
                <w:b w:val="0"/>
                <w:i w:val="0"/>
                <w:color w:val="000000"/>
                <w:sz w:val="18"/>
              </w:rPr>
              <w:t xml:space="preserve">0 </w:t>
            </w:r>
          </w:p>
        </w:tc>
      </w:tr>
      <w:tr>
        <w:trPr>
          <w:trHeight w:hRule="exact" w:val="404"/>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252" w:firstLine="0"/>
              <w:jc w:val="right"/>
            </w:pPr>
            <w:r>
              <w:rPr>
                <w:rFonts w:ascii="宋体" w:hAnsi="宋体" w:eastAsia="宋体"/>
                <w:b w:val="0"/>
                <w:i w:val="0"/>
                <w:color w:val="000000"/>
                <w:sz w:val="18"/>
              </w:rPr>
              <w:t xml:space="preserve">王国峰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1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920" w:firstLine="0"/>
              <w:jc w:val="right"/>
            </w:pPr>
            <w:r>
              <w:rPr>
                <w:rFonts w:ascii="宋体" w:hAnsi="宋体" w:eastAsia="宋体"/>
                <w:b w:val="0"/>
                <w:i w:val="0"/>
                <w:color w:val="000000"/>
                <w:sz w:val="18"/>
              </w:rPr>
              <w:t xml:space="preserve">2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622" w:firstLine="0"/>
              <w:jc w:val="right"/>
            </w:pPr>
            <w:r>
              <w:rPr>
                <w:rFonts w:ascii="宋体" w:hAnsi="宋体" w:eastAsia="宋体"/>
                <w:b w:val="0"/>
                <w:i w:val="0"/>
                <w:color w:val="000000"/>
                <w:sz w:val="18"/>
              </w:rPr>
              <w:t xml:space="preserve">0 </w:t>
            </w:r>
          </w:p>
        </w:tc>
      </w:tr>
    </w:tbl>
    <w:p>
      <w:pPr>
        <w:autoSpaceDN w:val="0"/>
        <w:autoSpaceDE w:val="0"/>
        <w:widowControl/>
        <w:spacing w:line="197" w:lineRule="auto" w:before="424" w:after="0"/>
        <w:ind w:left="0" w:right="0" w:firstLine="0"/>
        <w:jc w:val="center"/>
      </w:pPr>
      <w:r>
        <w:rPr>
          <w:rFonts w:ascii="Calibri" w:hAnsi="Calibri" w:eastAsia="Calibri"/>
          <w:b w:val="0"/>
          <w:i w:val="0"/>
          <w:color w:val="000000"/>
          <w:sz w:val="18"/>
        </w:rPr>
        <w:t xml:space="preserve">90 </w:t>
      </w:r>
    </w:p>
    <w:p>
      <w:pPr>
        <w:sectPr>
          <w:type w:val="continuous"/>
          <w:pgSz w:w="11904" w:h="16841"/>
          <w:pgMar w:top="424" w:right="176" w:bottom="446" w:left="200" w:header="720" w:footer="720" w:gutter="0"/>
          <w:cols/>
          <w:docGrid w:linePitch="360"/>
        </w:sectPr>
      </w:pPr>
    </w:p>
    <w:p>
      <w:pPr>
        <w:autoSpaceDN w:val="0"/>
        <w:autoSpaceDE w:val="0"/>
        <w:widowControl/>
        <w:spacing w:line="220" w:lineRule="exact" w:before="0" w:after="206"/>
        <w:ind w:left="0" w:right="0"/>
      </w:pPr>
    </w:p>
    <w:p>
      <w:pPr>
        <w:sectPr>
          <w:pgSz w:w="11904" w:h="16841"/>
          <w:pgMar w:top="424" w:right="860" w:bottom="446" w:left="880" w:header="720" w:footer="720" w:gutter="0"/>
          <w:cols/>
          <w:docGrid w:linePitch="360"/>
        </w:sectPr>
      </w:pPr>
    </w:p>
    <w:p>
      <w:pPr>
        <w:autoSpaceDN w:val="0"/>
        <w:autoSpaceDE w:val="0"/>
        <w:widowControl/>
        <w:spacing w:line="240" w:lineRule="auto" w:before="0" w:after="0"/>
        <w:ind w:left="254" w:right="0" w:firstLine="0"/>
        <w:jc w:val="left"/>
      </w:pPr>
      <w:r>
        <w:drawing>
          <wp:inline xmlns:a="http://schemas.openxmlformats.org/drawingml/2006/main" xmlns:pic="http://schemas.openxmlformats.org/drawingml/2006/picture">
            <wp:extent cx="1844039" cy="439419"/>
            <wp:docPr id="93" name="Picture 9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860" w:bottom="446" w:left="880" w:header="720" w:footer="720" w:gutter="0"/>
          <w:cols w:num="2" w:equalWidth="0">
            <w:col w:w="5660" w:space="0"/>
            <w:col w:w="4504" w:space="0"/>
          </w:cols>
          <w:docGrid w:linePitch="360"/>
        </w:sectPr>
      </w:pPr>
    </w:p>
    <w:p>
      <w:pPr>
        <w:autoSpaceDN w:val="0"/>
        <w:autoSpaceDE w:val="0"/>
        <w:widowControl/>
        <w:spacing w:line="200" w:lineRule="exact" w:before="0" w:after="30"/>
        <w:ind w:left="0" w:right="28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860" w:bottom="446" w:left="880" w:header="720" w:footer="720" w:gutter="0"/>
          <w:cols w:num="2" w:equalWidth="0">
            <w:col w:w="5660" w:space="0"/>
            <w:col w:w="450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4.000000000000057" w:type="dxa"/>
      </w:tblPr>
      <w:tblGrid>
        <w:gridCol w:w="1694"/>
        <w:gridCol w:w="1694"/>
        <w:gridCol w:w="1694"/>
        <w:gridCol w:w="1694"/>
        <w:gridCol w:w="1694"/>
        <w:gridCol w:w="1694"/>
      </w:tblGrid>
      <w:tr>
        <w:trPr>
          <w:trHeight w:hRule="exact" w:val="404"/>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0" w:after="0"/>
              <w:ind w:left="0" w:right="252" w:firstLine="0"/>
              <w:jc w:val="right"/>
            </w:pPr>
            <w:r>
              <w:rPr>
                <w:rFonts w:ascii="宋体" w:hAnsi="宋体" w:eastAsia="宋体"/>
                <w:b w:val="0"/>
                <w:i w:val="0"/>
                <w:color w:val="000000"/>
                <w:sz w:val="18"/>
              </w:rPr>
              <w:t xml:space="preserve">李国林 </w:t>
            </w:r>
          </w:p>
        </w:tc>
        <w:tc>
          <w:tcPr>
            <w:tcW w:type="dxa" w:w="212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6"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5.600000000000023"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36" w:after="0"/>
              <w:ind w:left="0" w:right="638" w:firstLine="0"/>
              <w:jc w:val="right"/>
            </w:pPr>
            <w:r>
              <w:rPr>
                <w:rFonts w:ascii="宋体" w:hAnsi="宋体" w:eastAsia="宋体"/>
                <w:b w:val="0"/>
                <w:i w:val="0"/>
                <w:color w:val="000000"/>
                <w:sz w:val="18"/>
              </w:rPr>
              <w:t xml:space="preserve">0 </w:t>
            </w:r>
          </w:p>
        </w:tc>
        <w:tc>
          <w:tcPr>
            <w:tcW w:type="dxa" w:w="2126"/>
            <w:tcBorders>
              <w:start w:sz="3.200000000000273"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6" w:after="0"/>
              <w:ind w:left="0" w:right="920" w:firstLine="0"/>
              <w:jc w:val="right"/>
            </w:pPr>
            <w:r>
              <w:rPr>
                <w:rFonts w:ascii="宋体" w:hAnsi="宋体" w:eastAsia="宋体"/>
                <w:b w:val="0"/>
                <w:i w:val="0"/>
                <w:color w:val="000000"/>
                <w:sz w:val="18"/>
              </w:rPr>
              <w:t xml:space="preserve">3 </w:t>
            </w:r>
          </w:p>
        </w:tc>
        <w:tc>
          <w:tcPr>
            <w:tcW w:type="dxa" w:w="1560"/>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6"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6" w:after="0"/>
              <w:ind w:left="0" w:right="622" w:firstLine="0"/>
              <w:jc w:val="right"/>
            </w:pPr>
            <w:r>
              <w:rPr>
                <w:rFonts w:ascii="宋体" w:hAnsi="宋体" w:eastAsia="宋体"/>
                <w:b w:val="0"/>
                <w:i w:val="0"/>
                <w:color w:val="000000"/>
                <w:sz w:val="18"/>
              </w:rPr>
              <w:t xml:space="preserve">0 </w:t>
            </w:r>
          </w:p>
        </w:tc>
      </w:tr>
      <w:tr>
        <w:trPr>
          <w:trHeight w:hRule="exact" w:val="410"/>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4" w:after="0"/>
              <w:ind w:left="0" w:right="252" w:firstLine="0"/>
              <w:jc w:val="right"/>
            </w:pPr>
            <w:r>
              <w:rPr>
                <w:rFonts w:ascii="宋体" w:hAnsi="宋体" w:eastAsia="宋体"/>
                <w:b w:val="0"/>
                <w:i w:val="0"/>
                <w:color w:val="000000"/>
                <w:sz w:val="18"/>
              </w:rPr>
              <w:t xml:space="preserve">武爱东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4"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4" w:after="0"/>
              <w:ind w:left="0" w:right="638" w:firstLine="0"/>
              <w:jc w:val="right"/>
            </w:pPr>
            <w:r>
              <w:rPr>
                <w:rFonts w:ascii="宋体" w:hAnsi="宋体" w:eastAsia="宋体"/>
                <w:b w:val="0"/>
                <w:i w:val="0"/>
                <w:color w:val="000000"/>
                <w:sz w:val="18"/>
              </w:rPr>
              <w:t xml:space="preserve">0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4" w:after="0"/>
              <w:ind w:left="0" w:right="920" w:firstLine="0"/>
              <w:jc w:val="right"/>
            </w:pPr>
            <w:r>
              <w:rPr>
                <w:rFonts w:ascii="宋体" w:hAnsi="宋体" w:eastAsia="宋体"/>
                <w:b w:val="0"/>
                <w:i w:val="0"/>
                <w:color w:val="000000"/>
                <w:sz w:val="18"/>
              </w:rPr>
              <w:t xml:space="preserve">3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4"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4" w:after="0"/>
              <w:ind w:left="0" w:right="622" w:firstLine="0"/>
              <w:jc w:val="right"/>
            </w:pPr>
            <w:r>
              <w:rPr>
                <w:rFonts w:ascii="宋体" w:hAnsi="宋体" w:eastAsia="宋体"/>
                <w:b w:val="0"/>
                <w:i w:val="0"/>
                <w:color w:val="000000"/>
                <w:sz w:val="18"/>
              </w:rPr>
              <w:t xml:space="preserve">0 </w:t>
            </w:r>
          </w:p>
        </w:tc>
      </w:tr>
      <w:tr>
        <w:trPr>
          <w:trHeight w:hRule="exact" w:val="406"/>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252" w:firstLine="0"/>
              <w:jc w:val="right"/>
            </w:pPr>
            <w:r>
              <w:rPr>
                <w:rFonts w:ascii="宋体" w:hAnsi="宋体" w:eastAsia="宋体"/>
                <w:b w:val="0"/>
                <w:i w:val="0"/>
                <w:color w:val="000000"/>
                <w:sz w:val="18"/>
              </w:rPr>
              <w:t xml:space="preserve">白景波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38" w:firstLine="0"/>
              <w:jc w:val="right"/>
            </w:pPr>
            <w:r>
              <w:rPr>
                <w:rFonts w:ascii="宋体" w:hAnsi="宋体" w:eastAsia="宋体"/>
                <w:b w:val="0"/>
                <w:i w:val="0"/>
                <w:color w:val="000000"/>
                <w:sz w:val="18"/>
              </w:rPr>
              <w:t xml:space="preserve">0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920" w:firstLine="0"/>
              <w:jc w:val="right"/>
            </w:pPr>
            <w:r>
              <w:rPr>
                <w:rFonts w:ascii="宋体" w:hAnsi="宋体" w:eastAsia="宋体"/>
                <w:b w:val="0"/>
                <w:i w:val="0"/>
                <w:color w:val="000000"/>
                <w:sz w:val="18"/>
              </w:rPr>
              <w:t xml:space="preserve">3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22" w:firstLine="0"/>
              <w:jc w:val="right"/>
            </w:pPr>
            <w:r>
              <w:rPr>
                <w:rFonts w:ascii="宋体" w:hAnsi="宋体" w:eastAsia="宋体"/>
                <w:b w:val="0"/>
                <w:i w:val="0"/>
                <w:color w:val="000000"/>
                <w:sz w:val="18"/>
              </w:rPr>
              <w:t xml:space="preserve">0 </w:t>
            </w:r>
          </w:p>
        </w:tc>
      </w:tr>
      <w:tr>
        <w:trPr>
          <w:trHeight w:hRule="exact" w:val="406"/>
        </w:trPr>
        <w:tc>
          <w:tcPr>
            <w:tcW w:type="dxa" w:w="1242"/>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252" w:firstLine="0"/>
              <w:jc w:val="right"/>
            </w:pPr>
            <w:r>
              <w:rPr>
                <w:rFonts w:ascii="宋体" w:hAnsi="宋体" w:eastAsia="宋体"/>
                <w:b w:val="0"/>
                <w:i w:val="0"/>
                <w:color w:val="000000"/>
                <w:sz w:val="18"/>
              </w:rPr>
              <w:t xml:space="preserve">崔秋生 </w:t>
            </w:r>
          </w:p>
        </w:tc>
        <w:tc>
          <w:tcPr>
            <w:tcW w:type="dxa" w:w="212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1 </w:t>
            </w:r>
          </w:p>
        </w:tc>
        <w:tc>
          <w:tcPr>
            <w:tcW w:type="dxa" w:w="2126"/>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920" w:firstLine="0"/>
              <w:jc w:val="right"/>
            </w:pPr>
            <w:r>
              <w:rPr>
                <w:rFonts w:ascii="宋体" w:hAnsi="宋体" w:eastAsia="宋体"/>
                <w:b w:val="0"/>
                <w:i w:val="0"/>
                <w:color w:val="000000"/>
                <w:sz w:val="18"/>
              </w:rPr>
              <w:t xml:space="preserve">2 </w:t>
            </w:r>
          </w:p>
        </w:tc>
        <w:tc>
          <w:tcPr>
            <w:tcW w:type="dxa" w:w="156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0" w:after="0"/>
              <w:ind w:left="0" w:right="622" w:firstLine="0"/>
              <w:jc w:val="right"/>
            </w:pPr>
            <w:r>
              <w:rPr>
                <w:rFonts w:ascii="宋体" w:hAnsi="宋体" w:eastAsia="宋体"/>
                <w:b w:val="0"/>
                <w:i w:val="0"/>
                <w:color w:val="000000"/>
                <w:sz w:val="18"/>
              </w:rPr>
              <w:t xml:space="preserve">0 </w:t>
            </w:r>
          </w:p>
        </w:tc>
      </w:tr>
      <w:tr>
        <w:trPr>
          <w:trHeight w:hRule="exact" w:val="408"/>
        </w:trPr>
        <w:tc>
          <w:tcPr>
            <w:tcW w:type="dxa" w:w="1242"/>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252" w:firstLine="0"/>
              <w:jc w:val="right"/>
            </w:pPr>
            <w:r>
              <w:rPr>
                <w:rFonts w:ascii="宋体" w:hAnsi="宋体" w:eastAsia="宋体"/>
                <w:b w:val="0"/>
                <w:i w:val="0"/>
                <w:color w:val="000000"/>
                <w:sz w:val="18"/>
              </w:rPr>
              <w:t xml:space="preserve">胡朝晖 </w:t>
            </w:r>
          </w:p>
        </w:tc>
        <w:tc>
          <w:tcPr>
            <w:tcW w:type="dxa" w:w="2128"/>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3.2000000000000455" w:val="single" w:color="#000000"/>
              <w:end w:sz="3.200000000000273"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1 </w:t>
            </w:r>
          </w:p>
        </w:tc>
        <w:tc>
          <w:tcPr>
            <w:tcW w:type="dxa" w:w="2126"/>
            <w:tcBorders>
              <w:start w:sz="3.200000000000273"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920" w:firstLine="0"/>
              <w:jc w:val="right"/>
            </w:pPr>
            <w:r>
              <w:rPr>
                <w:rFonts w:ascii="宋体" w:hAnsi="宋体" w:eastAsia="宋体"/>
                <w:b w:val="0"/>
                <w:i w:val="0"/>
                <w:color w:val="000000"/>
                <w:sz w:val="18"/>
              </w:rPr>
              <w:t xml:space="preserve">2 </w:t>
            </w:r>
          </w:p>
        </w:tc>
        <w:tc>
          <w:tcPr>
            <w:tcW w:type="dxa" w:w="1560"/>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3.2000000000000455"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142" w:after="0"/>
              <w:ind w:left="0" w:right="622" w:firstLine="0"/>
              <w:jc w:val="right"/>
            </w:pPr>
            <w:r>
              <w:rPr>
                <w:rFonts w:ascii="宋体" w:hAnsi="宋体" w:eastAsia="宋体"/>
                <w:b w:val="0"/>
                <w:i w:val="0"/>
                <w:color w:val="000000"/>
                <w:sz w:val="18"/>
              </w:rPr>
              <w:t xml:space="preserve">0 </w:t>
            </w:r>
          </w:p>
        </w:tc>
      </w:tr>
      <w:tr>
        <w:trPr>
          <w:trHeight w:hRule="exact" w:val="406"/>
        </w:trPr>
        <w:tc>
          <w:tcPr>
            <w:tcW w:type="dxa" w:w="124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252" w:firstLine="0"/>
              <w:jc w:val="right"/>
            </w:pPr>
            <w:r>
              <w:rPr>
                <w:rFonts w:ascii="宋体" w:hAnsi="宋体" w:eastAsia="宋体"/>
                <w:b w:val="0"/>
                <w:i w:val="0"/>
                <w:color w:val="000000"/>
                <w:sz w:val="18"/>
              </w:rPr>
              <w:t xml:space="preserve">刘文康 </w:t>
            </w:r>
          </w:p>
        </w:tc>
        <w:tc>
          <w:tcPr>
            <w:tcW w:type="dxa" w:w="212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3.199999999999818"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3 </w:t>
            </w:r>
          </w:p>
        </w:tc>
        <w:tc>
          <w:tcPr>
            <w:tcW w:type="dxa" w:w="2126"/>
            <w:tcBorders>
              <w:start w:sz="3.200000000000273"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920" w:firstLine="0"/>
              <w:jc w:val="right"/>
            </w:pPr>
            <w:r>
              <w:rPr>
                <w:rFonts w:ascii="宋体" w:hAnsi="宋体" w:eastAsia="宋体"/>
                <w:b w:val="0"/>
                <w:i w:val="0"/>
                <w:color w:val="000000"/>
                <w:sz w:val="18"/>
              </w:rPr>
              <w:t xml:space="preserve">0 </w:t>
            </w:r>
          </w:p>
        </w:tc>
        <w:tc>
          <w:tcPr>
            <w:tcW w:type="dxa" w:w="156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42" w:after="0"/>
              <w:ind w:left="0" w:right="622" w:firstLine="0"/>
              <w:jc w:val="right"/>
            </w:pPr>
            <w:r>
              <w:rPr>
                <w:rFonts w:ascii="宋体" w:hAnsi="宋体" w:eastAsia="宋体"/>
                <w:b w:val="0"/>
                <w:i w:val="0"/>
                <w:color w:val="000000"/>
                <w:sz w:val="18"/>
              </w:rPr>
              <w:t xml:space="preserve">0 </w:t>
            </w:r>
          </w:p>
        </w:tc>
      </w:tr>
      <w:tr>
        <w:trPr>
          <w:trHeight w:hRule="exact" w:val="408"/>
        </w:trPr>
        <w:tc>
          <w:tcPr>
            <w:tcW w:type="dxa" w:w="124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252" w:firstLine="0"/>
              <w:jc w:val="right"/>
            </w:pPr>
            <w:r>
              <w:rPr>
                <w:rFonts w:ascii="宋体" w:hAnsi="宋体" w:eastAsia="宋体"/>
                <w:b w:val="0"/>
                <w:i w:val="0"/>
                <w:color w:val="000000"/>
                <w:sz w:val="18"/>
              </w:rPr>
              <w:t xml:space="preserve">司海红 </w:t>
            </w:r>
          </w:p>
        </w:tc>
        <w:tc>
          <w:tcPr>
            <w:tcW w:type="dxa" w:w="212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38" w:firstLine="0"/>
              <w:jc w:val="right"/>
            </w:pPr>
            <w:r>
              <w:rPr>
                <w:rFonts w:ascii="宋体" w:hAnsi="宋体" w:eastAsia="宋体"/>
                <w:b w:val="0"/>
                <w:i w:val="0"/>
                <w:color w:val="000000"/>
                <w:sz w:val="18"/>
              </w:rPr>
              <w:t xml:space="preserve">3 </w:t>
            </w:r>
          </w:p>
        </w:tc>
        <w:tc>
          <w:tcPr>
            <w:tcW w:type="dxa" w:w="2126"/>
            <w:tcBorders>
              <w:start w:sz="3.200000000000273"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920" w:firstLine="0"/>
              <w:jc w:val="right"/>
            </w:pPr>
            <w:r>
              <w:rPr>
                <w:rFonts w:ascii="宋体" w:hAnsi="宋体" w:eastAsia="宋体"/>
                <w:b w:val="0"/>
                <w:i w:val="0"/>
                <w:color w:val="000000"/>
                <w:sz w:val="18"/>
              </w:rPr>
              <w:t xml:space="preserve">0 </w:t>
            </w:r>
          </w:p>
        </w:tc>
        <w:tc>
          <w:tcPr>
            <w:tcW w:type="dxa" w:w="156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138" w:after="0"/>
              <w:ind w:left="0" w:right="622" w:firstLine="0"/>
              <w:jc w:val="right"/>
            </w:pPr>
            <w:r>
              <w:rPr>
                <w:rFonts w:ascii="宋体" w:hAnsi="宋体" w:eastAsia="宋体"/>
                <w:b w:val="0"/>
                <w:i w:val="0"/>
                <w:color w:val="000000"/>
                <w:sz w:val="18"/>
              </w:rPr>
              <w:t xml:space="preserve">0 </w:t>
            </w:r>
          </w:p>
        </w:tc>
      </w:tr>
      <w:tr>
        <w:trPr>
          <w:trHeight w:hRule="exact" w:val="408"/>
        </w:trPr>
        <w:tc>
          <w:tcPr>
            <w:tcW w:type="dxa" w:w="1242"/>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252" w:firstLine="0"/>
              <w:jc w:val="right"/>
            </w:pPr>
            <w:r>
              <w:rPr>
                <w:rFonts w:ascii="宋体" w:hAnsi="宋体" w:eastAsia="宋体"/>
                <w:b w:val="0"/>
                <w:i w:val="0"/>
                <w:color w:val="000000"/>
                <w:sz w:val="18"/>
              </w:rPr>
              <w:t xml:space="preserve">张红兵 </w:t>
            </w:r>
          </w:p>
        </w:tc>
        <w:tc>
          <w:tcPr>
            <w:tcW w:type="dxa" w:w="212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922" w:firstLine="0"/>
              <w:jc w:val="right"/>
            </w:pPr>
            <w:r>
              <w:rPr>
                <w:rFonts w:ascii="宋体" w:hAnsi="宋体" w:eastAsia="宋体"/>
                <w:b w:val="0"/>
                <w:i w:val="0"/>
                <w:color w:val="000000"/>
                <w:sz w:val="18"/>
              </w:rPr>
              <w:t xml:space="preserve">3 </w:t>
            </w:r>
          </w:p>
        </w:tc>
        <w:tc>
          <w:tcPr>
            <w:tcW w:type="dxa" w:w="1558"/>
            <w:tcBorders>
              <w:start w:sz="4.0" w:val="single" w:color="#000000"/>
              <w:top w:sz="4.0" w:val="single" w:color="#000000"/>
              <w:end w:sz="3.200000000000273"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2 </w:t>
            </w:r>
          </w:p>
        </w:tc>
        <w:tc>
          <w:tcPr>
            <w:tcW w:type="dxa" w:w="2126"/>
            <w:tcBorders>
              <w:start w:sz="3.200000000000273"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920" w:firstLine="0"/>
              <w:jc w:val="right"/>
            </w:pPr>
            <w:r>
              <w:rPr>
                <w:rFonts w:ascii="宋体" w:hAnsi="宋体" w:eastAsia="宋体"/>
                <w:b w:val="0"/>
                <w:i w:val="0"/>
                <w:color w:val="000000"/>
                <w:sz w:val="18"/>
              </w:rPr>
              <w:t xml:space="preserve">1 </w:t>
            </w:r>
          </w:p>
        </w:tc>
        <w:tc>
          <w:tcPr>
            <w:tcW w:type="dxa" w:w="1560"/>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638" w:firstLine="0"/>
              <w:jc w:val="right"/>
            </w:pPr>
            <w:r>
              <w:rPr>
                <w:rFonts w:ascii="宋体" w:hAnsi="宋体" w:eastAsia="宋体"/>
                <w:b w:val="0"/>
                <w:i w:val="0"/>
                <w:color w:val="000000"/>
                <w:sz w:val="18"/>
              </w:rPr>
              <w:t xml:space="preserve">0 </w:t>
            </w:r>
          </w:p>
        </w:tc>
        <w:tc>
          <w:tcPr>
            <w:tcW w:type="dxa" w:w="1522"/>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180" w:lineRule="exact" w:before="142" w:after="0"/>
              <w:ind w:left="0" w:right="622" w:firstLine="0"/>
              <w:jc w:val="right"/>
            </w:pPr>
            <w:r>
              <w:rPr>
                <w:rFonts w:ascii="宋体" w:hAnsi="宋体" w:eastAsia="宋体"/>
                <w:b w:val="0"/>
                <w:i w:val="0"/>
                <w:color w:val="000000"/>
                <w:sz w:val="18"/>
              </w:rPr>
              <w:t xml:space="preserve">0 </w:t>
            </w:r>
          </w:p>
        </w:tc>
      </w:tr>
    </w:tbl>
    <w:p>
      <w:pPr>
        <w:autoSpaceDN w:val="0"/>
        <w:autoSpaceDE w:val="0"/>
        <w:widowControl/>
        <w:spacing w:line="332" w:lineRule="exact" w:before="0" w:after="0"/>
        <w:ind w:left="254" w:right="5472" w:firstLine="0"/>
        <w:jc w:val="left"/>
      </w:pPr>
      <w:r>
        <w:rPr>
          <w:rFonts w:ascii="宋体" w:hAnsi="宋体" w:eastAsia="宋体"/>
          <w:b w:val="0"/>
          <w:i w:val="0"/>
          <w:color w:val="000000"/>
          <w:sz w:val="18"/>
        </w:rPr>
        <w:t xml:space="preserve">监事会在报告期内的监督活动中发现公司是否存在风险 </w:t>
      </w:r>
      <w:r>
        <w:br/>
      </w:r>
      <w:r>
        <w:rPr>
          <w:rFonts w:ascii="宋体" w:hAnsi="宋体" w:eastAsia="宋体"/>
          <w:b w:val="0"/>
          <w:i w:val="0"/>
          <w:color w:val="000000"/>
          <w:sz w:val="18"/>
        </w:rPr>
        <w:t xml:space="preserve">□是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否 </w:t>
      </w:r>
      <w:r>
        <w:br/>
      </w:r>
      <w:r>
        <w:rPr>
          <w:rFonts w:ascii="宋体" w:hAnsi="宋体" w:eastAsia="宋体"/>
          <w:b w:val="0"/>
          <w:i w:val="0"/>
          <w:color w:val="000000"/>
          <w:sz w:val="18"/>
        </w:rPr>
        <w:t xml:space="preserve">监事会对报告期内的监督事项无异议。 </w:t>
      </w:r>
    </w:p>
    <w:p>
      <w:pPr>
        <w:autoSpaceDN w:val="0"/>
        <w:autoSpaceDE w:val="0"/>
        <w:widowControl/>
        <w:spacing w:line="240" w:lineRule="exact" w:before="374" w:after="0"/>
        <w:ind w:left="254" w:right="0" w:firstLine="0"/>
        <w:jc w:val="left"/>
      </w:pPr>
      <w:r>
        <w:rPr>
          <w:rFonts w:ascii="宋体" w:hAnsi="宋体" w:eastAsia="宋体"/>
          <w:b w:val="0"/>
          <w:i w:val="0"/>
          <w:color w:val="000000"/>
          <w:sz w:val="24"/>
        </w:rPr>
        <w:t xml:space="preserve">九、公司员工情况 </w:t>
      </w:r>
    </w:p>
    <w:p>
      <w:pPr>
        <w:autoSpaceDN w:val="0"/>
        <w:autoSpaceDE w:val="0"/>
        <w:widowControl/>
        <w:spacing w:line="212" w:lineRule="exact" w:before="372" w:after="328"/>
        <w:ind w:left="254" w:right="0" w:firstLine="0"/>
        <w:jc w:val="left"/>
      </w:pPr>
      <w:r>
        <w:rPr>
          <w:rFonts w:ascii="宋体" w:hAnsi="宋体" w:eastAsia="宋体"/>
          <w:b w:val="0"/>
          <w:i w:val="0"/>
          <w:color w:val="000000"/>
          <w:sz w:val="21"/>
        </w:rPr>
        <w:t xml:space="preserve">1、员工数量、专业构成及教育程度 </w:t>
      </w:r>
    </w:p>
    <w:tbl>
      <w:tblPr>
        <w:tblW w:type="auto" w:w="0"/>
        <w:tblLayout w:type="fixed"/>
        <w:tblLook w:firstColumn="1" w:firstRow="1" w:lastColumn="0" w:lastRow="0" w:noHBand="0" w:noVBand="1" w:val="04A0"/>
        <w:tblInd w:w="17.99999999999997" w:type="dxa"/>
      </w:tblPr>
      <w:tblGrid>
        <w:gridCol w:w="5082"/>
        <w:gridCol w:w="5082"/>
      </w:tblGrid>
      <w:tr>
        <w:trPr>
          <w:trHeight w:hRule="exact" w:val="418"/>
        </w:trPr>
        <w:tc>
          <w:tcPr>
            <w:tcW w:type="dxa" w:w="6024"/>
            <w:tcBorders>
              <w:start w:sz="4.0" w:val="single" w:color="#000000"/>
              <w:top w:sz="3.200000000000273" w:val="single" w:color="#000000"/>
              <w:end w:sz="4.0" w:val="single" w:color="#000000"/>
              <w:bottom w:sz="3.199999999999818" w:val="single" w:color="#000000"/>
            </w:tcBorders>
            <w:shd w:fill="d8d9d8"/>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母公司在职员工的数量（人）</w:t>
            </w:r>
          </w:p>
        </w:tc>
        <w:tc>
          <w:tcPr>
            <w:tcW w:type="dxa" w:w="4086"/>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02" w:after="0"/>
              <w:ind w:left="0" w:right="58" w:firstLine="0"/>
              <w:jc w:val="right"/>
            </w:pPr>
            <w:r>
              <w:rPr>
                <w:rFonts w:ascii="Times New Roman" w:hAnsi="Times New Roman" w:eastAsia="Times New Roman"/>
                <w:b w:val="0"/>
                <w:i w:val="0"/>
                <w:color w:val="000000"/>
                <w:sz w:val="18"/>
              </w:rPr>
              <w:t xml:space="preserve">2008 </w:t>
            </w:r>
          </w:p>
        </w:tc>
      </w:tr>
      <w:tr>
        <w:trPr>
          <w:trHeight w:hRule="exact" w:val="420"/>
        </w:trPr>
        <w:tc>
          <w:tcPr>
            <w:tcW w:type="dxa" w:w="6024"/>
            <w:tcBorders>
              <w:start w:sz="4.0" w:val="single" w:color="#000000"/>
              <w:top w:sz="3.199999999999818" w:val="single" w:color="#000000"/>
              <w:end w:sz="4.0" w:val="single" w:color="#000000"/>
              <w:bottom w:sz="3.199999999999818" w:val="single" w:color="#000000"/>
            </w:tcBorders>
            <w:shd w:fill="d8d9d8"/>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主要子公司在职员工的数量（人）</w:t>
            </w:r>
          </w:p>
        </w:tc>
        <w:tc>
          <w:tcPr>
            <w:tcW w:type="dxa" w:w="4086"/>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966 </w:t>
            </w:r>
          </w:p>
        </w:tc>
      </w:tr>
      <w:tr>
        <w:trPr>
          <w:trHeight w:hRule="exact" w:val="418"/>
        </w:trPr>
        <w:tc>
          <w:tcPr>
            <w:tcW w:type="dxa" w:w="6024"/>
            <w:tcBorders>
              <w:start w:sz="4.0" w:val="single" w:color="#000000"/>
              <w:top w:sz="3.199999999999818"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在职员工的数量合计（人）</w:t>
            </w:r>
          </w:p>
        </w:tc>
        <w:tc>
          <w:tcPr>
            <w:tcW w:type="dxa" w:w="408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102" w:after="0"/>
              <w:ind w:left="0" w:right="58" w:firstLine="0"/>
              <w:jc w:val="right"/>
            </w:pPr>
            <w:r>
              <w:rPr>
                <w:rFonts w:ascii="Times New Roman" w:hAnsi="Times New Roman" w:eastAsia="Times New Roman"/>
                <w:b w:val="0"/>
                <w:i w:val="0"/>
                <w:color w:val="000000"/>
                <w:sz w:val="18"/>
              </w:rPr>
              <w:t xml:space="preserve">2974 </w:t>
            </w:r>
          </w:p>
        </w:tc>
      </w:tr>
      <w:tr>
        <w:trPr>
          <w:trHeight w:hRule="exact" w:val="420"/>
        </w:trPr>
        <w:tc>
          <w:tcPr>
            <w:tcW w:type="dxa" w:w="6024"/>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当期领取薪酬员工总人数（人）</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2974 </w:t>
            </w:r>
          </w:p>
        </w:tc>
      </w:tr>
      <w:tr>
        <w:trPr>
          <w:trHeight w:hRule="exact" w:val="420"/>
        </w:trPr>
        <w:tc>
          <w:tcPr>
            <w:tcW w:type="dxa" w:w="6024"/>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母公司及主要子公司需承担费用的离退休职工人数（人）</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0 </w:t>
            </w:r>
          </w:p>
        </w:tc>
      </w:tr>
      <w:tr>
        <w:trPr>
          <w:trHeight w:hRule="exact" w:val="418"/>
        </w:trPr>
        <w:tc>
          <w:tcPr>
            <w:tcW w:type="dxa" w:w="10110"/>
            <w:gridSpan w:val="2"/>
            <w:tcBorders>
              <w:start w:sz="4.0" w:val="single" w:color="#000000"/>
              <w:top w:sz="4.0" w:val="single" w:color="#000000"/>
              <w:end w:sz="4.0" w:val="single" w:color="#000000"/>
              <w:bottom w:sz="4.0" w:val="single" w:color="#000000"/>
            </w:tcBorders>
            <w:shd w:fill="d8d9d8"/>
            <w:tcMar>
              <w:start w:w="0" w:type="dxa"/>
              <w:end w:w="0" w:type="dxa"/>
            </w:tcMar>
            <w:tcMar>
              <w:start w:w="0" w:type="dxa"/>
              <w:end w:w="0" w:type="dxa"/>
            </w:tcMar>
          </w:tcPr>
          <w:p>
            <w:pPr>
              <w:autoSpaceDN w:val="0"/>
              <w:autoSpaceDE w:val="0"/>
              <w:widowControl/>
              <w:spacing w:line="180" w:lineRule="exact" w:before="112" w:after="0"/>
              <w:ind w:left="0" w:right="0" w:firstLine="0"/>
              <w:jc w:val="center"/>
            </w:pPr>
            <w:r>
              <w:rPr>
                <w:rFonts w:ascii="宋体" w:hAnsi="宋体" w:eastAsia="宋体"/>
                <w:b w:val="0"/>
                <w:i w:val="0"/>
                <w:color w:val="000000"/>
                <w:sz w:val="18"/>
              </w:rPr>
              <w:t>专业构成</w:t>
            </w:r>
          </w:p>
        </w:tc>
      </w:tr>
      <w:tr>
        <w:trPr>
          <w:trHeight w:hRule="exact" w:val="420"/>
        </w:trPr>
        <w:tc>
          <w:tcPr>
            <w:tcW w:type="dxa" w:w="6024"/>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10" w:after="0"/>
              <w:ind w:left="106" w:right="0" w:firstLine="0"/>
              <w:jc w:val="left"/>
            </w:pPr>
            <w:r>
              <w:rPr>
                <w:rFonts w:ascii="宋体" w:hAnsi="宋体" w:eastAsia="宋体"/>
                <w:b w:val="0"/>
                <w:i w:val="0"/>
                <w:color w:val="000000"/>
                <w:sz w:val="18"/>
              </w:rPr>
              <w:t>专业构成类别</w:t>
            </w:r>
          </w:p>
        </w:tc>
        <w:tc>
          <w:tcPr>
            <w:tcW w:type="dxa" w:w="4086"/>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专业构成人数（人）</w:t>
            </w:r>
          </w:p>
        </w:tc>
      </w:tr>
      <w:tr>
        <w:trPr>
          <w:trHeight w:hRule="exact" w:val="416"/>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证券经纪业务</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2" w:after="0"/>
              <w:ind w:left="0" w:right="58" w:firstLine="0"/>
              <w:jc w:val="right"/>
            </w:pPr>
            <w:r>
              <w:rPr>
                <w:rFonts w:ascii="Times New Roman" w:hAnsi="Times New Roman" w:eastAsia="Times New Roman"/>
                <w:b w:val="0"/>
                <w:i w:val="0"/>
                <w:color w:val="000000"/>
                <w:sz w:val="18"/>
              </w:rPr>
              <w:t xml:space="preserve">1086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投资管理</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4" w:after="0"/>
              <w:ind w:left="0" w:right="58" w:firstLine="0"/>
              <w:jc w:val="right"/>
            </w:pPr>
            <w:r>
              <w:rPr>
                <w:rFonts w:ascii="Times New Roman" w:hAnsi="Times New Roman" w:eastAsia="Times New Roman"/>
                <w:b w:val="0"/>
                <w:i w:val="0"/>
                <w:color w:val="000000"/>
                <w:sz w:val="18"/>
              </w:rPr>
              <w:t xml:space="preserve">224 </w:t>
            </w:r>
          </w:p>
        </w:tc>
      </w:tr>
      <w:tr>
        <w:trPr>
          <w:trHeight w:hRule="exact" w:val="418"/>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固定收益</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2" w:after="0"/>
              <w:ind w:left="0" w:right="58" w:firstLine="0"/>
              <w:jc w:val="right"/>
            </w:pPr>
            <w:r>
              <w:rPr>
                <w:rFonts w:ascii="Times New Roman" w:hAnsi="Times New Roman" w:eastAsia="Times New Roman"/>
                <w:b w:val="0"/>
                <w:i w:val="0"/>
                <w:color w:val="000000"/>
                <w:sz w:val="18"/>
              </w:rPr>
              <w:t xml:space="preserve">145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资产管理</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4" w:after="0"/>
              <w:ind w:left="0" w:right="58" w:firstLine="0"/>
              <w:jc w:val="right"/>
            </w:pPr>
            <w:r>
              <w:rPr>
                <w:rFonts w:ascii="Times New Roman" w:hAnsi="Times New Roman" w:eastAsia="Times New Roman"/>
                <w:b w:val="0"/>
                <w:i w:val="0"/>
                <w:color w:val="000000"/>
                <w:sz w:val="18"/>
              </w:rPr>
              <w:t xml:space="preserve">90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新三板业务</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104" w:after="0"/>
              <w:ind w:left="0" w:right="58" w:firstLine="0"/>
              <w:jc w:val="right"/>
            </w:pPr>
            <w:r>
              <w:rPr>
                <w:rFonts w:ascii="Times New Roman" w:hAnsi="Times New Roman" w:eastAsia="Times New Roman"/>
                <w:b w:val="0"/>
                <w:i w:val="0"/>
                <w:color w:val="000000"/>
                <w:sz w:val="18"/>
              </w:rPr>
              <w:t xml:space="preserve">53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期货经纪业务</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190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106" w:right="0" w:firstLine="0"/>
              <w:jc w:val="left"/>
            </w:pPr>
            <w:r>
              <w:rPr>
                <w:rFonts w:ascii="宋体" w:hAnsi="宋体" w:eastAsia="宋体"/>
                <w:b w:val="0"/>
                <w:i w:val="0"/>
                <w:color w:val="000000"/>
                <w:sz w:val="18"/>
              </w:rPr>
              <w:t>投行业务</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247 </w:t>
            </w:r>
          </w:p>
        </w:tc>
      </w:tr>
      <w:tr>
        <w:trPr>
          <w:trHeight w:hRule="exact" w:val="416"/>
        </w:trPr>
        <w:tc>
          <w:tcPr>
            <w:tcW w:type="dxa" w:w="602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8" w:after="0"/>
              <w:ind w:left="106" w:right="0" w:firstLine="0"/>
              <w:jc w:val="left"/>
            </w:pPr>
            <w:r>
              <w:rPr>
                <w:rFonts w:ascii="宋体" w:hAnsi="宋体" w:eastAsia="宋体"/>
                <w:b w:val="0"/>
                <w:i w:val="0"/>
                <w:color w:val="000000"/>
                <w:sz w:val="18"/>
              </w:rPr>
              <w:t>人力资源</w:t>
            </w:r>
          </w:p>
        </w:tc>
        <w:tc>
          <w:tcPr>
            <w:tcW w:type="dxa" w:w="408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98" w:after="0"/>
              <w:ind w:left="0" w:right="58" w:firstLine="0"/>
              <w:jc w:val="right"/>
            </w:pPr>
            <w:r>
              <w:rPr>
                <w:rFonts w:ascii="Times New Roman" w:hAnsi="Times New Roman" w:eastAsia="Times New Roman"/>
                <w:b w:val="0"/>
                <w:i w:val="0"/>
                <w:color w:val="000000"/>
                <w:sz w:val="18"/>
              </w:rPr>
              <w:t xml:space="preserve">28 </w:t>
            </w:r>
          </w:p>
        </w:tc>
      </w:tr>
      <w:tr>
        <w:trPr>
          <w:trHeight w:hRule="exact" w:val="422"/>
        </w:trPr>
        <w:tc>
          <w:tcPr>
            <w:tcW w:type="dxa" w:w="602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财务</w:t>
            </w:r>
          </w:p>
        </w:tc>
        <w:tc>
          <w:tcPr>
            <w:tcW w:type="dxa" w:w="408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65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0" w:after="0"/>
              <w:ind w:left="106" w:right="0" w:firstLine="0"/>
              <w:jc w:val="left"/>
            </w:pPr>
            <w:r>
              <w:rPr>
                <w:rFonts w:ascii="宋体" w:hAnsi="宋体" w:eastAsia="宋体"/>
                <w:b w:val="0"/>
                <w:i w:val="0"/>
                <w:color w:val="000000"/>
                <w:sz w:val="18"/>
              </w:rPr>
              <w:t>运营管理</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2" w:after="0"/>
              <w:ind w:left="0" w:right="58" w:firstLine="0"/>
              <w:jc w:val="right"/>
            </w:pPr>
            <w:r>
              <w:rPr>
                <w:rFonts w:ascii="Times New Roman" w:hAnsi="Times New Roman" w:eastAsia="Times New Roman"/>
                <w:b w:val="0"/>
                <w:i w:val="0"/>
                <w:color w:val="000000"/>
                <w:sz w:val="18"/>
              </w:rPr>
              <w:t xml:space="preserve">119 </w:t>
            </w:r>
          </w:p>
        </w:tc>
      </w:tr>
      <w:tr>
        <w:trPr>
          <w:trHeight w:hRule="exact" w:val="416"/>
        </w:trPr>
        <w:tc>
          <w:tcPr>
            <w:tcW w:type="dxa" w:w="602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0" w:after="0"/>
              <w:ind w:left="106" w:right="0" w:firstLine="0"/>
              <w:jc w:val="left"/>
            </w:pPr>
            <w:r>
              <w:rPr>
                <w:rFonts w:ascii="宋体" w:hAnsi="宋体" w:eastAsia="宋体"/>
                <w:b w:val="0"/>
                <w:i w:val="0"/>
                <w:color w:val="000000"/>
                <w:sz w:val="18"/>
              </w:rPr>
              <w:t>信息技术</w:t>
            </w:r>
          </w:p>
        </w:tc>
        <w:tc>
          <w:tcPr>
            <w:tcW w:type="dxa" w:w="408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188 </w:t>
            </w:r>
          </w:p>
        </w:tc>
      </w:tr>
      <w:tr>
        <w:trPr>
          <w:trHeight w:hRule="exact" w:val="420"/>
        </w:trPr>
        <w:tc>
          <w:tcPr>
            <w:tcW w:type="dxa" w:w="602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研究</w:t>
            </w:r>
          </w:p>
        </w:tc>
        <w:tc>
          <w:tcPr>
            <w:tcW w:type="dxa" w:w="4086"/>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111 </w:t>
            </w:r>
          </w:p>
        </w:tc>
      </w:tr>
    </w:tbl>
    <w:p>
      <w:pPr>
        <w:autoSpaceDN w:val="0"/>
        <w:autoSpaceDE w:val="0"/>
        <w:widowControl/>
        <w:spacing w:line="197" w:lineRule="auto" w:before="382" w:after="0"/>
        <w:ind w:left="0" w:right="0" w:firstLine="0"/>
        <w:jc w:val="center"/>
      </w:pPr>
      <w:r>
        <w:rPr>
          <w:rFonts w:ascii="Calibri" w:hAnsi="Calibri" w:eastAsia="Calibri"/>
          <w:b w:val="0"/>
          <w:i w:val="0"/>
          <w:color w:val="000000"/>
          <w:sz w:val="18"/>
        </w:rPr>
        <w:t xml:space="preserve">91 </w:t>
      </w:r>
    </w:p>
    <w:p>
      <w:pPr>
        <w:sectPr>
          <w:type w:val="continuous"/>
          <w:pgSz w:w="11904" w:h="16841"/>
          <w:pgMar w:top="424" w:right="860" w:bottom="446" w:left="880" w:header="720" w:footer="720" w:gutter="0"/>
          <w:cols/>
          <w:docGrid w:linePitch="360"/>
        </w:sectPr>
      </w:pPr>
    </w:p>
    <w:p>
      <w:pPr>
        <w:autoSpaceDN w:val="0"/>
        <w:autoSpaceDE w:val="0"/>
        <w:widowControl/>
        <w:spacing w:line="220" w:lineRule="exact" w:before="0" w:after="206"/>
        <w:ind w:left="0" w:right="0"/>
      </w:pPr>
    </w:p>
    <w:p>
      <w:pPr>
        <w:sectPr>
          <w:pgSz w:w="11904" w:h="16841"/>
          <w:pgMar w:top="424" w:right="872" w:bottom="446" w:left="892" w:header="720" w:footer="720" w:gutter="0"/>
          <w:cols/>
          <w:docGrid w:linePitch="360"/>
        </w:sectPr>
      </w:pPr>
    </w:p>
    <w:p>
      <w:pPr>
        <w:autoSpaceDN w:val="0"/>
        <w:autoSpaceDE w:val="0"/>
        <w:widowControl/>
        <w:spacing w:line="240" w:lineRule="auto" w:before="0" w:after="0"/>
        <w:ind w:left="242" w:right="0" w:firstLine="0"/>
        <w:jc w:val="left"/>
      </w:pPr>
      <w:r>
        <w:drawing>
          <wp:inline xmlns:a="http://schemas.openxmlformats.org/drawingml/2006/main" xmlns:pic="http://schemas.openxmlformats.org/drawingml/2006/picture">
            <wp:extent cx="1844039" cy="439419"/>
            <wp:docPr id="94" name="Picture 9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872" w:bottom="446" w:left="892" w:header="720" w:footer="720" w:gutter="0"/>
          <w:cols w:num="2" w:equalWidth="0">
            <w:col w:w="5648" w:space="0"/>
            <w:col w:w="4492" w:space="0"/>
          </w:cols>
          <w:docGrid w:linePitch="360"/>
        </w:sectPr>
      </w:pPr>
    </w:p>
    <w:p>
      <w:pPr>
        <w:autoSpaceDN w:val="0"/>
        <w:autoSpaceDE w:val="0"/>
        <w:widowControl/>
        <w:spacing w:line="200" w:lineRule="exact" w:before="0" w:after="30"/>
        <w:ind w:left="0" w:right="27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872" w:bottom="446" w:left="892" w:header="720" w:footer="720" w:gutter="0"/>
          <w:cols w:num="2" w:equalWidth="0">
            <w:col w:w="5648" w:space="0"/>
            <w:col w:w="4492" w:space="0"/>
          </w:cols>
          <w:docGrid w:linePitch="360"/>
        </w:sectPr>
      </w:pPr>
    </w:p>
    <w:tbl>
      <w:tblPr>
        <w:tblW w:type="auto" w:w="0"/>
        <w:tblLayout w:type="fixed"/>
        <w:tblLook w:firstColumn="1" w:firstRow="1" w:lastColumn="0" w:lastRow="0" w:noHBand="0" w:noVBand="1" w:val="04A0"/>
        <w:tblInd w:w="5.999999999999943" w:type="dxa"/>
      </w:tblPr>
      <w:tblGrid>
        <w:gridCol w:w="5070"/>
        <w:gridCol w:w="5070"/>
      </w:tblGrid>
      <w:tr>
        <w:trPr>
          <w:trHeight w:hRule="exact" w:val="421"/>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内控</w:t>
            </w:r>
          </w:p>
        </w:tc>
        <w:tc>
          <w:tcPr>
            <w:tcW w:type="dxa" w:w="408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98" w:after="0"/>
              <w:ind w:left="0" w:right="58" w:firstLine="0"/>
              <w:jc w:val="right"/>
            </w:pPr>
            <w:r>
              <w:rPr>
                <w:rFonts w:ascii="Times New Roman" w:hAnsi="Times New Roman" w:eastAsia="Times New Roman"/>
                <w:b w:val="0"/>
                <w:i w:val="0"/>
                <w:color w:val="000000"/>
                <w:sz w:val="18"/>
              </w:rPr>
              <w:t xml:space="preserve">274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106" w:right="0" w:firstLine="0"/>
              <w:jc w:val="left"/>
            </w:pPr>
            <w:r>
              <w:rPr>
                <w:rFonts w:ascii="宋体" w:hAnsi="宋体" w:eastAsia="宋体"/>
                <w:b w:val="0"/>
                <w:i w:val="0"/>
                <w:color w:val="000000"/>
                <w:sz w:val="18"/>
              </w:rPr>
              <w:t>其他</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154 </w:t>
            </w:r>
          </w:p>
        </w:tc>
      </w:tr>
      <w:tr>
        <w:trPr>
          <w:trHeight w:hRule="exact" w:val="420"/>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08" w:after="0"/>
              <w:ind w:left="106" w:right="0" w:firstLine="0"/>
              <w:jc w:val="left"/>
            </w:pPr>
            <w:r>
              <w:rPr>
                <w:rFonts w:ascii="宋体" w:hAnsi="宋体" w:eastAsia="宋体"/>
                <w:b w:val="0"/>
                <w:i w:val="0"/>
                <w:color w:val="000000"/>
                <w:sz w:val="18"/>
              </w:rPr>
              <w:t>合计</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2974 </w:t>
            </w:r>
          </w:p>
        </w:tc>
      </w:tr>
      <w:tr>
        <w:trPr>
          <w:trHeight w:hRule="exact" w:val="416"/>
        </w:trPr>
        <w:tc>
          <w:tcPr>
            <w:tcW w:type="dxa" w:w="10110"/>
            <w:gridSpan w:val="2"/>
            <w:tcBorders>
              <w:start w:sz="4.0" w:val="single" w:color="#000000"/>
              <w:top w:sz="4.0" w:val="single" w:color="#000000"/>
              <w:end w:sz="4.0" w:val="single" w:color="#000000"/>
              <w:bottom w:sz="3.199999999999818" w:val="single" w:color="#000000"/>
            </w:tcBorders>
            <w:shd w:fill="d2d2d2"/>
            <w:tcMar>
              <w:start w:w="0" w:type="dxa"/>
              <w:end w:w="0" w:type="dxa"/>
            </w:tcMar>
            <w:tcMar>
              <w:start w:w="0" w:type="dxa"/>
              <w:end w:w="0" w:type="dxa"/>
            </w:tcMar>
          </w:tcPr>
          <w:p>
            <w:pPr>
              <w:autoSpaceDN w:val="0"/>
              <w:autoSpaceDE w:val="0"/>
              <w:widowControl/>
              <w:spacing w:line="180" w:lineRule="exact" w:before="110" w:after="0"/>
              <w:ind w:left="0" w:right="0" w:firstLine="0"/>
              <w:jc w:val="center"/>
            </w:pPr>
            <w:r>
              <w:rPr>
                <w:rFonts w:ascii="宋体" w:hAnsi="宋体" w:eastAsia="宋体"/>
                <w:b w:val="0"/>
                <w:i w:val="0"/>
                <w:color w:val="000000"/>
                <w:sz w:val="18"/>
              </w:rPr>
              <w:t>教育程度</w:t>
            </w:r>
          </w:p>
        </w:tc>
      </w:tr>
      <w:tr>
        <w:trPr>
          <w:trHeight w:hRule="exact" w:val="420"/>
        </w:trPr>
        <w:tc>
          <w:tcPr>
            <w:tcW w:type="dxa" w:w="6024"/>
            <w:tcBorders>
              <w:start w:sz="4.0" w:val="single" w:color="#000000"/>
              <w:top w:sz="3.199999999999818" w:val="single" w:color="#000000"/>
              <w:end w:sz="4.0" w:val="single" w:color="#000000"/>
              <w:bottom w:sz="3.199999999999818" w:val="single" w:color="#000000"/>
            </w:tcBorders>
            <w:shd w:fill="d2d2d2"/>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教育程度类别</w:t>
            </w:r>
          </w:p>
        </w:tc>
        <w:tc>
          <w:tcPr>
            <w:tcW w:type="dxa" w:w="4086"/>
            <w:tcBorders>
              <w:start w:sz="4.0" w:val="single" w:color="#000000"/>
              <w:top w:sz="3.199999999999818" w:val="single" w:color="#000000"/>
              <w:end w:sz="4.0" w:val="single" w:color="#000000"/>
              <w:bottom w:sz="3.199999999999818" w:val="single" w:color="#000000"/>
            </w:tcBorders>
            <w:shd w:fill="d2d2d2"/>
            <w:tcMar>
              <w:start w:w="0" w:type="dxa"/>
              <w:end w:w="0" w:type="dxa"/>
            </w:tcMar>
          </w:tcPr>
          <w:p>
            <w:pPr>
              <w:autoSpaceDN w:val="0"/>
              <w:autoSpaceDE w:val="0"/>
              <w:widowControl/>
              <w:spacing w:line="180" w:lineRule="exact" w:before="112" w:after="0"/>
              <w:ind w:left="0" w:right="0" w:firstLine="0"/>
              <w:jc w:val="center"/>
            </w:pPr>
            <w:r>
              <w:rPr>
                <w:rFonts w:ascii="宋体" w:hAnsi="宋体" w:eastAsia="宋体"/>
                <w:b w:val="0"/>
                <w:i w:val="0"/>
                <w:color w:val="000000"/>
                <w:sz w:val="18"/>
              </w:rPr>
              <w:t>数量（人）</w:t>
            </w:r>
          </w:p>
        </w:tc>
      </w:tr>
      <w:tr>
        <w:trPr>
          <w:trHeight w:hRule="exact" w:val="416"/>
        </w:trPr>
        <w:tc>
          <w:tcPr>
            <w:tcW w:type="dxa" w:w="602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博士</w:t>
            </w:r>
          </w:p>
        </w:tc>
        <w:tc>
          <w:tcPr>
            <w:tcW w:type="dxa" w:w="408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102" w:after="0"/>
              <w:ind w:left="0" w:right="58" w:firstLine="0"/>
              <w:jc w:val="right"/>
            </w:pPr>
            <w:r>
              <w:rPr>
                <w:rFonts w:ascii="Times New Roman" w:hAnsi="Times New Roman" w:eastAsia="Times New Roman"/>
                <w:b w:val="0"/>
                <w:i w:val="0"/>
                <w:color w:val="000000"/>
                <w:sz w:val="18"/>
              </w:rPr>
              <w:t xml:space="preserve">29 </w:t>
            </w:r>
          </w:p>
        </w:tc>
      </w:tr>
      <w:tr>
        <w:trPr>
          <w:trHeight w:hRule="exact" w:val="422"/>
        </w:trPr>
        <w:tc>
          <w:tcPr>
            <w:tcW w:type="dxa" w:w="60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12" w:after="0"/>
              <w:ind w:left="106" w:right="0" w:firstLine="0"/>
              <w:jc w:val="left"/>
            </w:pPr>
            <w:r>
              <w:rPr>
                <w:rFonts w:ascii="宋体" w:hAnsi="宋体" w:eastAsia="宋体"/>
                <w:b w:val="0"/>
                <w:i w:val="0"/>
                <w:color w:val="000000"/>
                <w:sz w:val="18"/>
              </w:rPr>
              <w:t>硕士</w:t>
            </w:r>
          </w:p>
        </w:tc>
        <w:tc>
          <w:tcPr>
            <w:tcW w:type="dxa" w:w="408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1230 </w:t>
            </w:r>
          </w:p>
        </w:tc>
      </w:tr>
      <w:tr>
        <w:trPr>
          <w:trHeight w:hRule="exact" w:val="418"/>
        </w:trPr>
        <w:tc>
          <w:tcPr>
            <w:tcW w:type="dxa" w:w="602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10" w:after="0"/>
              <w:ind w:left="106" w:right="0" w:firstLine="0"/>
              <w:jc w:val="left"/>
            </w:pPr>
            <w:r>
              <w:rPr>
                <w:rFonts w:ascii="宋体" w:hAnsi="宋体" w:eastAsia="宋体"/>
                <w:b w:val="0"/>
                <w:i w:val="0"/>
                <w:color w:val="000000"/>
                <w:sz w:val="18"/>
              </w:rPr>
              <w:t>本科</w:t>
            </w:r>
          </w:p>
        </w:tc>
        <w:tc>
          <w:tcPr>
            <w:tcW w:type="dxa" w:w="408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3" w:lineRule="auto" w:before="100" w:after="0"/>
              <w:ind w:left="0" w:right="58" w:firstLine="0"/>
              <w:jc w:val="right"/>
            </w:pPr>
            <w:r>
              <w:rPr>
                <w:rFonts w:ascii="Times New Roman" w:hAnsi="Times New Roman" w:eastAsia="Times New Roman"/>
                <w:b w:val="0"/>
                <w:i w:val="0"/>
                <w:color w:val="000000"/>
                <w:sz w:val="18"/>
              </w:rPr>
              <w:t xml:space="preserve">1595 </w:t>
            </w:r>
          </w:p>
        </w:tc>
      </w:tr>
      <w:tr>
        <w:trPr>
          <w:trHeight w:hRule="exact" w:val="420"/>
        </w:trPr>
        <w:tc>
          <w:tcPr>
            <w:tcW w:type="dxa" w:w="6024"/>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14" w:after="0"/>
              <w:ind w:left="106" w:right="0" w:firstLine="0"/>
              <w:jc w:val="left"/>
            </w:pPr>
            <w:r>
              <w:rPr>
                <w:rFonts w:ascii="宋体" w:hAnsi="宋体" w:eastAsia="宋体"/>
                <w:b w:val="0"/>
                <w:i w:val="0"/>
                <w:color w:val="000000"/>
                <w:sz w:val="18"/>
              </w:rPr>
              <w:t>本科以下</w:t>
            </w:r>
          </w:p>
        </w:tc>
        <w:tc>
          <w:tcPr>
            <w:tcW w:type="dxa" w:w="4086"/>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233" w:lineRule="auto" w:before="104" w:after="0"/>
              <w:ind w:left="0" w:right="58" w:firstLine="0"/>
              <w:jc w:val="right"/>
            </w:pPr>
            <w:r>
              <w:rPr>
                <w:rFonts w:ascii="Times New Roman" w:hAnsi="Times New Roman" w:eastAsia="Times New Roman"/>
                <w:b w:val="0"/>
                <w:i w:val="0"/>
                <w:color w:val="000000"/>
                <w:sz w:val="18"/>
              </w:rPr>
              <w:t xml:space="preserve">120 </w:t>
            </w:r>
          </w:p>
        </w:tc>
      </w:tr>
      <w:tr>
        <w:trPr>
          <w:trHeight w:hRule="exact" w:val="430"/>
        </w:trPr>
        <w:tc>
          <w:tcPr>
            <w:tcW w:type="dxa" w:w="602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18" w:after="0"/>
              <w:ind w:left="106" w:right="0" w:firstLine="0"/>
              <w:jc w:val="left"/>
            </w:pPr>
            <w:r>
              <w:rPr>
                <w:rFonts w:ascii="宋体" w:hAnsi="宋体" w:eastAsia="宋体"/>
                <w:b w:val="0"/>
                <w:i w:val="0"/>
                <w:color w:val="000000"/>
                <w:sz w:val="18"/>
              </w:rPr>
              <w:t>合计</w:t>
            </w:r>
          </w:p>
        </w:tc>
        <w:tc>
          <w:tcPr>
            <w:tcW w:type="dxa" w:w="408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0" w:lineRule="auto" w:before="110" w:after="0"/>
              <w:ind w:left="0" w:right="58" w:firstLine="0"/>
              <w:jc w:val="right"/>
            </w:pPr>
            <w:r>
              <w:rPr>
                <w:rFonts w:ascii="Times New Roman" w:hAnsi="Times New Roman" w:eastAsia="Times New Roman"/>
                <w:b w:val="0"/>
                <w:i w:val="0"/>
                <w:color w:val="000000"/>
                <w:sz w:val="18"/>
              </w:rPr>
              <w:t xml:space="preserve">2974 </w:t>
            </w:r>
          </w:p>
        </w:tc>
      </w:tr>
    </w:tbl>
    <w:p>
      <w:pPr>
        <w:autoSpaceDN w:val="0"/>
        <w:autoSpaceDE w:val="0"/>
        <w:widowControl/>
        <w:spacing w:line="212" w:lineRule="exact" w:before="342" w:after="0"/>
        <w:ind w:left="242" w:right="0" w:firstLine="0"/>
        <w:jc w:val="left"/>
      </w:pPr>
      <w:r>
        <w:rPr>
          <w:rFonts w:ascii="宋体" w:hAnsi="宋体" w:eastAsia="宋体"/>
          <w:b w:val="0"/>
          <w:i w:val="0"/>
          <w:color w:val="000000"/>
          <w:sz w:val="21"/>
        </w:rPr>
        <w:t xml:space="preserve">2、薪酬政策 </w:t>
      </w:r>
    </w:p>
    <w:p>
      <w:pPr>
        <w:autoSpaceDN w:val="0"/>
        <w:autoSpaceDE w:val="0"/>
        <w:widowControl/>
        <w:spacing w:line="460" w:lineRule="exact" w:before="264" w:after="0"/>
        <w:ind w:left="242" w:right="442" w:firstLine="420"/>
        <w:jc w:val="both"/>
      </w:pPr>
      <w:r>
        <w:rPr>
          <w:rFonts w:ascii="宋体" w:hAnsi="宋体" w:eastAsia="宋体"/>
          <w:b w:val="0"/>
          <w:i w:val="0"/>
          <w:color w:val="000000"/>
          <w:sz w:val="21"/>
        </w:rPr>
        <w:t>公司遵循市场化、专业化、差异化基本原则，员工价值与岗位价值相结合，总额控制与动态管理相</w:t>
      </w:r>
      <w:r>
        <w:rPr>
          <w:rFonts w:ascii="宋体" w:hAnsi="宋体" w:eastAsia="宋体"/>
          <w:b w:val="0"/>
          <w:i w:val="0"/>
          <w:color w:val="000000"/>
          <w:sz w:val="21"/>
        </w:rPr>
        <w:t>结合，建立了与公司价值导向、战略目标、企业文化相匹配的薪酬体系。员工薪酬由固定薪酬、浮动薪</w:t>
      </w:r>
      <w:r>
        <w:rPr>
          <w:rFonts w:ascii="宋体" w:hAnsi="宋体" w:eastAsia="宋体"/>
          <w:b w:val="0"/>
          <w:i w:val="0"/>
          <w:color w:val="000000"/>
          <w:sz w:val="21"/>
        </w:rPr>
        <w:t>酬组成。其中，依据员工岗位、职级和市场竞争等因素确定固定薪酬，每年按考核结果调整。依据经营</w:t>
      </w:r>
      <w:r>
        <w:rPr>
          <w:rFonts w:ascii="宋体" w:hAnsi="宋体" w:eastAsia="宋体"/>
          <w:b w:val="0"/>
          <w:i w:val="0"/>
          <w:color w:val="000000"/>
          <w:sz w:val="21"/>
        </w:rPr>
        <w:t>效益、部门业绩及本人绩效等因素确定浮动薪酬，不同业务条线设置不同的考核激励方案。各子公司依</w:t>
      </w:r>
      <w:r>
        <w:rPr>
          <w:rFonts w:ascii="宋体" w:hAnsi="宋体" w:eastAsia="宋体"/>
          <w:b w:val="0"/>
          <w:i w:val="0"/>
          <w:color w:val="000000"/>
          <w:sz w:val="21"/>
        </w:rPr>
        <w:t>据业务性质、市场定位、盈利模式等设置差异化的薪酬体系。公司严格执行董事会审议通过的年度薪酬</w:t>
      </w:r>
      <w:r>
        <w:rPr>
          <w:rFonts w:ascii="宋体" w:hAnsi="宋体" w:eastAsia="宋体"/>
          <w:b w:val="0"/>
          <w:i w:val="0"/>
          <w:color w:val="000000"/>
          <w:sz w:val="21"/>
        </w:rPr>
        <w:t xml:space="preserve">方案，核算发放薪酬。 </w:t>
      </w:r>
    </w:p>
    <w:p>
      <w:pPr>
        <w:autoSpaceDN w:val="0"/>
        <w:autoSpaceDE w:val="0"/>
        <w:widowControl/>
        <w:spacing w:line="460" w:lineRule="exact" w:before="0" w:after="0"/>
        <w:ind w:left="242" w:right="442" w:firstLine="420"/>
        <w:jc w:val="both"/>
      </w:pPr>
      <w:r>
        <w:rPr>
          <w:rFonts w:ascii="宋体" w:hAnsi="宋体" w:eastAsia="宋体"/>
          <w:b w:val="0"/>
          <w:i w:val="0"/>
          <w:color w:val="000000"/>
          <w:sz w:val="21"/>
        </w:rPr>
        <w:t>公司按照国家法律规定，为签订《劳动合同》的员工缴纳社会保险（养老保险、医疗保险、失业保</w:t>
      </w:r>
      <w:r>
        <w:rPr>
          <w:rFonts w:ascii="宋体" w:hAnsi="宋体" w:eastAsia="宋体"/>
          <w:b w:val="0"/>
          <w:i w:val="0"/>
          <w:color w:val="000000"/>
          <w:sz w:val="21"/>
        </w:rPr>
        <w:t>险、工伤保险及生育保险）、住房公积金。此外，为提高员工保障水平，公司还为员工提供补充医疗保</w:t>
      </w:r>
      <w:r>
        <w:rPr>
          <w:rFonts w:ascii="宋体" w:hAnsi="宋体" w:eastAsia="宋体"/>
          <w:b w:val="0"/>
          <w:i w:val="0"/>
          <w:color w:val="000000"/>
          <w:sz w:val="21"/>
        </w:rPr>
        <w:t>险、健康体检等福利。</w:t>
      </w:r>
    </w:p>
    <w:p>
      <w:pPr>
        <w:autoSpaceDN w:val="0"/>
        <w:autoSpaceDE w:val="0"/>
        <w:widowControl/>
        <w:spacing w:line="210" w:lineRule="exact" w:before="406" w:after="0"/>
        <w:ind w:left="242" w:right="0" w:firstLine="0"/>
        <w:jc w:val="left"/>
      </w:pPr>
      <w:r>
        <w:rPr>
          <w:rFonts w:ascii="宋体" w:hAnsi="宋体" w:eastAsia="宋体"/>
          <w:b w:val="0"/>
          <w:i w:val="0"/>
          <w:color w:val="000000"/>
          <w:sz w:val="21"/>
        </w:rPr>
        <w:t xml:space="preserve">3、培训计划 </w:t>
      </w:r>
    </w:p>
    <w:p>
      <w:pPr>
        <w:autoSpaceDN w:val="0"/>
        <w:autoSpaceDE w:val="0"/>
        <w:widowControl/>
        <w:spacing w:line="460" w:lineRule="exact" w:before="264" w:after="0"/>
        <w:ind w:left="242" w:right="258" w:firstLine="420"/>
        <w:jc w:val="both"/>
      </w:pPr>
      <w:r>
        <w:rPr>
          <w:rFonts w:ascii="宋体" w:hAnsi="宋体" w:eastAsia="宋体"/>
          <w:b w:val="0"/>
          <w:i w:val="0"/>
          <w:color w:val="000000"/>
          <w:sz w:val="21"/>
        </w:rPr>
        <w:t>报告期内，公司紧密贴合战略规划与发展目标，致力于全方位提升员工的职业素养、履职能力与专</w:t>
      </w:r>
      <w:r>
        <w:rPr>
          <w:rFonts w:ascii="宋体" w:hAnsi="宋体" w:eastAsia="宋体"/>
          <w:b w:val="0"/>
          <w:i w:val="0"/>
          <w:color w:val="000000"/>
          <w:sz w:val="21"/>
        </w:rPr>
        <w:t>业水平，推动员工个人成长与团队竞争力的双重进阶，为全方位推动差异化高质量提供人力资源保障。</w:t>
      </w:r>
      <w:r>
        <w:rPr>
          <w:rFonts w:ascii="宋体" w:hAnsi="宋体" w:eastAsia="宋体"/>
          <w:b w:val="0"/>
          <w:i w:val="0"/>
          <w:color w:val="000000"/>
          <w:sz w:val="21"/>
        </w:rPr>
        <w:t>报告期内，公司组织举办专业技能、合规风控、文化建设、政策法规等各类内部培训120 余期，组织员</w:t>
      </w:r>
      <w:r>
        <w:rPr>
          <w:rFonts w:ascii="宋体" w:hAnsi="宋体" w:eastAsia="宋体"/>
          <w:b w:val="0"/>
          <w:i w:val="0"/>
          <w:color w:val="000000"/>
          <w:sz w:val="21"/>
        </w:rPr>
        <w:t>工参加上市公司协会、证券业协会、交易所、证监局等监管机构专题培训100 余次，同时，充分利用知</w:t>
      </w:r>
      <w:r>
        <w:rPr>
          <w:rFonts w:ascii="宋体" w:hAnsi="宋体" w:eastAsia="宋体"/>
          <w:b w:val="0"/>
          <w:i w:val="0"/>
          <w:color w:val="000000"/>
          <w:sz w:val="21"/>
        </w:rPr>
        <w:t>鸟等线上学习平台，扩大培训覆盖范围。报告期内，累计培训员工4 万6 千余人次，学习时长1 万9 千</w:t>
      </w:r>
      <w:r>
        <w:rPr>
          <w:rFonts w:ascii="宋体" w:hAnsi="宋体" w:eastAsia="宋体"/>
          <w:b w:val="0"/>
          <w:i w:val="0"/>
          <w:color w:val="000000"/>
          <w:sz w:val="21"/>
        </w:rPr>
        <w:t xml:space="preserve">余小时。 </w:t>
      </w:r>
    </w:p>
    <w:p>
      <w:pPr>
        <w:autoSpaceDN w:val="0"/>
        <w:autoSpaceDE w:val="0"/>
        <w:widowControl/>
        <w:spacing w:line="212" w:lineRule="exact" w:before="246" w:after="0"/>
        <w:ind w:left="662" w:right="0" w:firstLine="0"/>
        <w:jc w:val="left"/>
      </w:pPr>
      <w:r>
        <w:rPr>
          <w:rFonts w:ascii="宋体" w:hAnsi="宋体" w:eastAsia="宋体"/>
          <w:b w:val="0"/>
          <w:i w:val="0"/>
          <w:color w:val="000000"/>
          <w:sz w:val="21"/>
        </w:rPr>
        <w:t>2025 年，公司将紧跟行业发展趋势，立足公司差异化高质量发展战略规划、构建核心能力和员工置</w:t>
      </w:r>
    </w:p>
    <w:p>
      <w:pPr>
        <w:autoSpaceDN w:val="0"/>
        <w:autoSpaceDE w:val="0"/>
        <w:widowControl/>
        <w:spacing w:line="197" w:lineRule="auto" w:before="872" w:after="0"/>
        <w:ind w:left="0" w:right="0" w:firstLine="0"/>
        <w:jc w:val="center"/>
      </w:pPr>
      <w:r>
        <w:rPr>
          <w:rFonts w:ascii="Calibri" w:hAnsi="Calibri" w:eastAsia="Calibri"/>
          <w:b w:val="0"/>
          <w:i w:val="0"/>
          <w:color w:val="000000"/>
          <w:sz w:val="18"/>
        </w:rPr>
        <w:t xml:space="preserve">92 </w:t>
      </w:r>
    </w:p>
    <w:p>
      <w:pPr>
        <w:sectPr>
          <w:type w:val="continuous"/>
          <w:pgSz w:w="11904" w:h="16841"/>
          <w:pgMar w:top="424" w:right="872" w:bottom="446" w:left="892"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95" name="Picture 9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36" w:lineRule="exact" w:before="0" w:after="0"/>
        <w:ind w:left="30" w:right="144" w:firstLine="0"/>
        <w:jc w:val="left"/>
      </w:pPr>
      <w:r>
        <w:rPr>
          <w:rFonts w:ascii="宋体" w:hAnsi="宋体" w:eastAsia="宋体"/>
          <w:b w:val="0"/>
          <w:i w:val="0"/>
          <w:color w:val="000000"/>
          <w:sz w:val="21"/>
        </w:rPr>
        <w:t>业发展需要，挖掘优质资源，优化培训体系，系统组织开展涵盖经营管理、业务拓展、法律法规、文化</w:t>
      </w:r>
      <w:r>
        <w:rPr>
          <w:rFonts w:ascii="宋体" w:hAnsi="宋体" w:eastAsia="宋体"/>
          <w:b w:val="0"/>
          <w:i w:val="0"/>
          <w:color w:val="000000"/>
          <w:sz w:val="21"/>
        </w:rPr>
        <w:t xml:space="preserve">建设、执业能力等的专题培训，持续构建高质量的学习培训体系。 </w:t>
      </w:r>
    </w:p>
    <w:p>
      <w:pPr>
        <w:autoSpaceDN w:val="0"/>
        <w:autoSpaceDE w:val="0"/>
        <w:widowControl/>
        <w:spacing w:line="212" w:lineRule="exact" w:before="404" w:after="0"/>
        <w:ind w:left="30" w:right="0" w:firstLine="0"/>
        <w:jc w:val="left"/>
      </w:pPr>
      <w:r>
        <w:rPr>
          <w:rFonts w:ascii="宋体" w:hAnsi="宋体" w:eastAsia="宋体"/>
          <w:b w:val="0"/>
          <w:i w:val="0"/>
          <w:color w:val="000000"/>
          <w:sz w:val="21"/>
        </w:rPr>
        <w:t xml:space="preserve">4、劳务外包情况 </w:t>
      </w:r>
    </w:p>
    <w:p>
      <w:pPr>
        <w:autoSpaceDN w:val="0"/>
        <w:tabs>
          <w:tab w:pos="450" w:val="left"/>
        </w:tabs>
        <w:autoSpaceDE w:val="0"/>
        <w:widowControl/>
        <w:spacing w:line="460" w:lineRule="exact" w:before="264" w:after="0"/>
        <w:ind w:left="30" w:right="0" w:firstLine="0"/>
        <w:jc w:val="left"/>
      </w:pPr>
      <w:r>
        <w:tab/>
      </w:r>
      <w:r>
        <w:rPr>
          <w:rFonts w:ascii="宋体" w:hAnsi="宋体" w:eastAsia="宋体"/>
          <w:b w:val="0"/>
          <w:i w:val="0"/>
          <w:color w:val="000000"/>
          <w:sz w:val="21"/>
        </w:rPr>
        <w:t>目前，公司总部及分支机构采用劳务外包形式从事非核心的、事务性、 辅助性工作。遵照《合同法》</w:t>
      </w:r>
      <w:r>
        <w:rPr>
          <w:rFonts w:ascii="宋体" w:hAnsi="宋体" w:eastAsia="宋体"/>
          <w:b w:val="0"/>
          <w:i w:val="0"/>
          <w:color w:val="000000"/>
          <w:sz w:val="21"/>
        </w:rPr>
        <w:t xml:space="preserve">等国家法律法规的要求，公司与劳务外包公司签订服务协议并对服务质量进行规范管理。 </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十、委托经纪人从事客户招揽、客户服务相关情况 </w:t>
      </w:r>
    </w:p>
    <w:p>
      <w:pPr>
        <w:autoSpaceDN w:val="0"/>
        <w:autoSpaceDE w:val="0"/>
        <w:widowControl/>
        <w:spacing w:line="456" w:lineRule="exact" w:before="286" w:after="0"/>
        <w:ind w:left="30" w:right="416" w:firstLine="420"/>
        <w:jc w:val="both"/>
      </w:pPr>
      <w:r>
        <w:rPr>
          <w:rFonts w:ascii="宋体" w:hAnsi="宋体" w:eastAsia="宋体"/>
          <w:b w:val="0"/>
          <w:i w:val="0"/>
          <w:color w:val="000000"/>
          <w:sz w:val="21"/>
        </w:rPr>
        <w:t>截至报告期末，公司共有经纪人</w:t>
      </w:r>
      <w:r>
        <w:rPr>
          <w:rFonts w:ascii="Times New Roman" w:hAnsi="Times New Roman" w:eastAsia="Times New Roman"/>
          <w:b w:val="0"/>
          <w:i w:val="0"/>
          <w:color w:val="000000"/>
          <w:sz w:val="21"/>
        </w:rPr>
        <w:t>85</w:t>
      </w:r>
      <w:r>
        <w:rPr>
          <w:rFonts w:ascii="宋体" w:hAnsi="宋体" w:eastAsia="宋体"/>
          <w:b w:val="0"/>
          <w:i w:val="0"/>
          <w:color w:val="000000"/>
          <w:sz w:val="21"/>
        </w:rPr>
        <w:t xml:space="preserve"> 名，全部具有证券经纪人资格。通过公司网站、分支机构现场</w:t>
      </w:r>
      <w:r>
        <w:rPr>
          <w:rFonts w:ascii="宋体" w:hAnsi="宋体" w:eastAsia="宋体"/>
          <w:b w:val="0"/>
          <w:i w:val="0"/>
          <w:color w:val="000000"/>
          <w:sz w:val="21"/>
        </w:rPr>
        <w:t>等方式可以查询经纪人的执业信息等资料。经纪人直接隶属于证券营业部，营业部负责人作为第一管理</w:t>
      </w:r>
      <w:r>
        <w:rPr>
          <w:rFonts w:ascii="宋体" w:hAnsi="宋体" w:eastAsia="宋体"/>
          <w:b w:val="0"/>
          <w:i w:val="0"/>
          <w:color w:val="000000"/>
          <w:sz w:val="21"/>
        </w:rPr>
        <w:t>责任人，全面负责本营业部的经纪人管理工作，并接受公司总部的管理、监督、检查。另外，公司建立</w:t>
      </w:r>
      <w:r>
        <w:rPr>
          <w:rFonts w:ascii="宋体" w:hAnsi="宋体" w:eastAsia="宋体"/>
          <w:b w:val="0"/>
          <w:i w:val="0"/>
          <w:color w:val="000000"/>
          <w:sz w:val="21"/>
        </w:rPr>
        <w:t>了经纪人风险监控系统，实施日常风险监控、评估及预警，有效控制经纪人风险。证券营业部还定期通</w:t>
      </w:r>
      <w:r>
        <w:rPr>
          <w:rFonts w:ascii="宋体" w:hAnsi="宋体" w:eastAsia="宋体"/>
          <w:b w:val="0"/>
          <w:i w:val="0"/>
          <w:color w:val="000000"/>
          <w:sz w:val="21"/>
        </w:rPr>
        <w:t>过面谈、电话、信函或其他方式对经纪人招揽和服务的客户进行回访，了解经纪人的执业合规情况。</w:t>
      </w:r>
    </w:p>
    <w:p>
      <w:pPr>
        <w:autoSpaceDN w:val="0"/>
        <w:autoSpaceDE w:val="0"/>
        <w:widowControl/>
        <w:spacing w:line="454" w:lineRule="exact" w:before="24" w:after="0"/>
        <w:ind w:left="30" w:right="416" w:firstLine="420"/>
        <w:jc w:val="both"/>
      </w:pPr>
      <w:r>
        <w:rPr>
          <w:rFonts w:ascii="宋体" w:hAnsi="宋体" w:eastAsia="宋体"/>
          <w:b w:val="0"/>
          <w:i w:val="0"/>
          <w:color w:val="000000"/>
          <w:sz w:val="21"/>
        </w:rPr>
        <w:t>根据中国证监会《证券经纪人管理暂行规定》（</w:t>
      </w:r>
      <w:r>
        <w:rPr>
          <w:rFonts w:ascii="Times New Roman" w:hAnsi="Times New Roman" w:eastAsia="Times New Roman"/>
          <w:b w:val="0"/>
          <w:i w:val="0"/>
          <w:color w:val="000000"/>
          <w:sz w:val="21"/>
        </w:rPr>
        <w:t>2020</w:t>
      </w:r>
      <w:r>
        <w:rPr>
          <w:rFonts w:ascii="宋体" w:hAnsi="宋体" w:eastAsia="宋体"/>
          <w:b w:val="0"/>
          <w:i w:val="0"/>
          <w:color w:val="000000"/>
          <w:sz w:val="21"/>
        </w:rPr>
        <w:t xml:space="preserve"> 年修订）的要求，公司经纪人在约定的委托合</w:t>
      </w:r>
      <w:r>
        <w:rPr>
          <w:rFonts w:ascii="宋体" w:hAnsi="宋体" w:eastAsia="宋体"/>
          <w:b w:val="0"/>
          <w:i w:val="0"/>
          <w:color w:val="000000"/>
          <w:sz w:val="21"/>
        </w:rPr>
        <w:t>同代理权限、代理期间、执业地域范围内从事客户招揽和客户服务等活动，并遵守法律、行政法规、监</w:t>
      </w:r>
      <w:r>
        <w:rPr>
          <w:rFonts w:ascii="宋体" w:hAnsi="宋体" w:eastAsia="宋体"/>
          <w:b w:val="0"/>
          <w:i w:val="0"/>
          <w:color w:val="000000"/>
          <w:sz w:val="21"/>
        </w:rPr>
        <w:t>管机构和行政管理部门的规定、自律规则以及职业道德，自觉接受公司的管理，履行委托合同约定的义</w:t>
      </w:r>
      <w:r>
        <w:rPr>
          <w:rFonts w:ascii="宋体" w:hAnsi="宋体" w:eastAsia="宋体"/>
          <w:b w:val="0"/>
          <w:i w:val="0"/>
          <w:color w:val="000000"/>
          <w:sz w:val="21"/>
        </w:rPr>
        <w:t>务，同时向客户充分揭示证券投资的风险。</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十一、公司利润分配及资本公积金转增股本情况 </w:t>
      </w:r>
    </w:p>
    <w:p>
      <w:pPr>
        <w:autoSpaceDN w:val="0"/>
        <w:autoSpaceDE w:val="0"/>
        <w:widowControl/>
        <w:spacing w:line="210" w:lineRule="exact" w:before="340" w:after="0"/>
        <w:ind w:left="30" w:right="0" w:firstLine="0"/>
        <w:jc w:val="left"/>
      </w:pPr>
      <w:r>
        <w:rPr>
          <w:rFonts w:ascii="宋体" w:hAnsi="宋体" w:eastAsia="宋体"/>
          <w:b w:val="0"/>
          <w:i w:val="0"/>
          <w:color w:val="000000"/>
          <w:sz w:val="21"/>
        </w:rPr>
        <w:t xml:space="preserve">1、报告期内利润分配政策，特别是现金分红政策的制定、执行或调整情况 </w:t>
      </w:r>
    </w:p>
    <w:p>
      <w:pPr>
        <w:autoSpaceDN w:val="0"/>
        <w:autoSpaceDE w:val="0"/>
        <w:widowControl/>
        <w:spacing w:line="462" w:lineRule="exact" w:before="72" w:after="0"/>
        <w:ind w:left="30" w:right="204" w:firstLine="420"/>
        <w:jc w:val="both"/>
      </w:pPr>
      <w:r>
        <w:rPr>
          <w:rFonts w:ascii="宋体" w:hAnsi="宋体" w:eastAsia="宋体"/>
          <w:b w:val="0"/>
          <w:i w:val="0"/>
          <w:color w:val="000000"/>
          <w:sz w:val="21"/>
        </w:rPr>
        <w:t>《公司章程》明确了利润分配方案尤其是现金分红方案的决策程序和机制，规定</w:t>
      </w:r>
      <w:r>
        <w:rPr>
          <w:rFonts w:ascii="Times New Roman" w:hAnsi="Times New Roman" w:eastAsia="Times New Roman"/>
          <w:b w:val="0"/>
          <w:i w:val="0"/>
          <w:color w:val="000000"/>
          <w:sz w:val="21"/>
        </w:rPr>
        <w:t>“</w:t>
      </w:r>
      <w:r>
        <w:rPr>
          <w:rFonts w:ascii="宋体" w:hAnsi="宋体" w:eastAsia="宋体"/>
          <w:b w:val="0"/>
          <w:i w:val="0"/>
          <w:color w:val="000000"/>
          <w:sz w:val="21"/>
        </w:rPr>
        <w:t>公司每一会计年</w:t>
      </w:r>
      <w:r>
        <w:rPr>
          <w:rFonts w:ascii="宋体" w:hAnsi="宋体" w:eastAsia="宋体"/>
          <w:b w:val="0"/>
          <w:i w:val="0"/>
          <w:color w:val="000000"/>
          <w:sz w:val="21"/>
        </w:rPr>
        <w:t>度如实现盈利，则公司优先采取现金分红的利润分配方式</w:t>
      </w:r>
      <w:r>
        <w:rPr>
          <w:rFonts w:ascii="Times New Roman" w:hAnsi="Times New Roman" w:eastAsia="Times New Roman"/>
          <w:b w:val="0"/>
          <w:i w:val="0"/>
          <w:color w:val="000000"/>
          <w:sz w:val="21"/>
        </w:rPr>
        <w:t>”</w:t>
      </w:r>
      <w:r>
        <w:rPr>
          <w:rFonts w:ascii="宋体" w:hAnsi="宋体" w:eastAsia="宋体"/>
          <w:b w:val="0"/>
          <w:i w:val="0"/>
          <w:color w:val="000000"/>
          <w:sz w:val="21"/>
        </w:rPr>
        <w:t>，</w:t>
      </w:r>
      <w:r>
        <w:rPr>
          <w:rFonts w:ascii="Times New Roman" w:hAnsi="Times New Roman" w:eastAsia="Times New Roman"/>
          <w:b w:val="0"/>
          <w:i w:val="0"/>
          <w:color w:val="000000"/>
          <w:sz w:val="21"/>
        </w:rPr>
        <w:t>“</w:t>
      </w:r>
      <w:r>
        <w:rPr>
          <w:rFonts w:ascii="宋体" w:hAnsi="宋体" w:eastAsia="宋体"/>
          <w:b w:val="0"/>
          <w:i w:val="0"/>
          <w:color w:val="000000"/>
          <w:sz w:val="21"/>
        </w:rPr>
        <w:t>在不存在影响公司经营的重大事项，并符</w:t>
      </w:r>
      <w:r>
        <w:rPr>
          <w:rFonts w:ascii="宋体" w:hAnsi="宋体" w:eastAsia="宋体"/>
          <w:b w:val="0"/>
          <w:i w:val="0"/>
          <w:color w:val="000000"/>
          <w:sz w:val="21"/>
        </w:rPr>
        <w:t>合相关监管部门要求的情况下，每年以现金方式分配的利润不少于当年实现的可分配利润的百分之十</w:t>
      </w:r>
      <w:r>
        <w:rPr>
          <w:rFonts w:ascii="Times New Roman" w:hAnsi="Times New Roman" w:eastAsia="Times New Roman"/>
          <w:b w:val="0"/>
          <w:i w:val="0"/>
          <w:color w:val="000000"/>
          <w:sz w:val="21"/>
        </w:rPr>
        <w:t>”</w:t>
      </w:r>
      <w:r>
        <w:rPr>
          <w:rFonts w:ascii="宋体" w:hAnsi="宋体" w:eastAsia="宋体"/>
          <w:b w:val="0"/>
          <w:i w:val="0"/>
          <w:color w:val="000000"/>
          <w:sz w:val="21"/>
        </w:rPr>
        <w:t>。</w:t>
      </w:r>
    </w:p>
    <w:p>
      <w:pPr>
        <w:autoSpaceDN w:val="0"/>
        <w:autoSpaceDE w:val="0"/>
        <w:widowControl/>
        <w:spacing w:line="456" w:lineRule="exact" w:before="0" w:after="0"/>
        <w:ind w:left="30" w:right="412" w:firstLine="420"/>
        <w:jc w:val="both"/>
      </w:pPr>
      <w:r>
        <w:rPr>
          <w:rFonts w:ascii="宋体" w:hAnsi="宋体" w:eastAsia="宋体"/>
          <w:b w:val="0"/>
          <w:i w:val="0"/>
          <w:color w:val="000000"/>
          <w:sz w:val="21"/>
        </w:rPr>
        <w:t>报告期内，公司根据《公司法》《关于进一步落实上市公司现金分红有关事项的通知》《上市公司</w:t>
      </w:r>
      <w:r>
        <w:rPr>
          <w:rFonts w:ascii="宋体" w:hAnsi="宋体" w:eastAsia="宋体"/>
          <w:b w:val="0"/>
          <w:i w:val="0"/>
          <w:color w:val="000000"/>
          <w:sz w:val="21"/>
        </w:rPr>
        <w:t>监管指引第</w:t>
      </w:r>
      <w:r>
        <w:rPr>
          <w:rFonts w:ascii="Times New Roman" w:hAnsi="Times New Roman" w:eastAsia="Times New Roman"/>
          <w:b w:val="0"/>
          <w:i w:val="0"/>
          <w:color w:val="000000"/>
          <w:sz w:val="21"/>
        </w:rPr>
        <w:t>3</w:t>
      </w:r>
      <w:r>
        <w:rPr>
          <w:rFonts w:ascii="宋体" w:hAnsi="宋体" w:eastAsia="宋体"/>
          <w:b w:val="0"/>
          <w:i w:val="0"/>
          <w:color w:val="000000"/>
          <w:sz w:val="21"/>
        </w:rPr>
        <w:t xml:space="preserve"> 号——上市公司现金分红》及《公司章程》等的规定，制定《股东分红回报规划（</w:t>
      </w:r>
      <w:r>
        <w:rPr>
          <w:rFonts w:ascii="Times New Roman" w:hAnsi="Times New Roman" w:eastAsia="Times New Roman"/>
          <w:b w:val="0"/>
          <w:i w:val="0"/>
          <w:color w:val="000000"/>
          <w:sz w:val="21"/>
        </w:rPr>
        <w:t>2024-</w:t>
      </w:r>
      <w:r>
        <w:rPr>
          <w:rFonts w:ascii="Times New Roman" w:hAnsi="Times New Roman" w:eastAsia="Times New Roman"/>
          <w:b w:val="0"/>
          <w:i w:val="0"/>
          <w:color w:val="000000"/>
          <w:sz w:val="21"/>
        </w:rPr>
        <w:t>2026</w:t>
      </w:r>
      <w:r>
        <w:rPr>
          <w:rFonts w:ascii="宋体" w:hAnsi="宋体" w:eastAsia="宋体"/>
          <w:b w:val="0"/>
          <w:i w:val="0"/>
          <w:color w:val="000000"/>
          <w:sz w:val="21"/>
        </w:rPr>
        <w:t xml:space="preserve"> 年）》，明确“在不存在影响公司经营的重大事项，并符合相关监管部门要求的情况下，每年以</w:t>
      </w:r>
      <w:r>
        <w:rPr>
          <w:rFonts w:ascii="宋体" w:hAnsi="宋体" w:eastAsia="宋体"/>
          <w:b w:val="0"/>
          <w:i w:val="0"/>
          <w:color w:val="000000"/>
          <w:sz w:val="21"/>
        </w:rPr>
        <w:t xml:space="preserve">现金方式分配的利润不少于当年实现的可分配利润的百分之三十”。 </w:t>
      </w:r>
    </w:p>
    <w:p>
      <w:pPr>
        <w:autoSpaceDN w:val="0"/>
        <w:autoSpaceDE w:val="0"/>
        <w:widowControl/>
        <w:spacing w:line="452" w:lineRule="exact" w:before="26" w:after="0"/>
        <w:ind w:left="30" w:right="230" w:firstLine="420"/>
        <w:jc w:val="both"/>
      </w:pPr>
      <w:r>
        <w:rPr>
          <w:rFonts w:ascii="宋体" w:hAnsi="宋体" w:eastAsia="宋体"/>
          <w:b w:val="0"/>
          <w:i w:val="0"/>
          <w:color w:val="000000"/>
          <w:sz w:val="21"/>
        </w:rPr>
        <w:t>报告期内，公司严格按照《公司章程》《股东分红回报规划（</w:t>
      </w:r>
      <w:r>
        <w:rPr>
          <w:rFonts w:ascii="Times New Roman" w:hAnsi="Times New Roman" w:eastAsia="Times New Roman"/>
          <w:b w:val="0"/>
          <w:i w:val="0"/>
          <w:color w:val="000000"/>
          <w:sz w:val="21"/>
        </w:rPr>
        <w:t>2021</w:t>
      </w:r>
      <w:r>
        <w:rPr>
          <w:rFonts w:ascii="宋体" w:hAnsi="宋体" w:eastAsia="宋体"/>
          <w:b w:val="0"/>
          <w:i w:val="0"/>
          <w:color w:val="000000"/>
          <w:sz w:val="21"/>
        </w:rPr>
        <w:t>年</w:t>
      </w:r>
      <w:r>
        <w:rPr>
          <w:rFonts w:ascii="Times New Roman" w:hAnsi="Times New Roman" w:eastAsia="Times New Roman"/>
          <w:b w:val="0"/>
          <w:i w:val="0"/>
          <w:color w:val="000000"/>
          <w:sz w:val="21"/>
        </w:rPr>
        <w:t>-2023</w:t>
      </w:r>
      <w:r>
        <w:rPr>
          <w:rFonts w:ascii="宋体" w:hAnsi="宋体" w:eastAsia="宋体"/>
          <w:b w:val="0"/>
          <w:i w:val="0"/>
          <w:color w:val="000000"/>
          <w:sz w:val="21"/>
        </w:rPr>
        <w:t>年）》《股东分红回报规</w:t>
      </w:r>
      <w:r>
        <w:rPr>
          <w:rFonts w:ascii="宋体" w:hAnsi="宋体" w:eastAsia="宋体"/>
          <w:b w:val="0"/>
          <w:i w:val="0"/>
          <w:color w:val="000000"/>
          <w:sz w:val="21"/>
        </w:rPr>
        <w:t>划（</w:t>
      </w:r>
      <w:r>
        <w:rPr>
          <w:rFonts w:ascii="Times New Roman" w:hAnsi="Times New Roman" w:eastAsia="Times New Roman"/>
          <w:b w:val="0"/>
          <w:i w:val="0"/>
          <w:color w:val="000000"/>
          <w:sz w:val="21"/>
        </w:rPr>
        <w:t>2024-2026</w:t>
      </w:r>
      <w:r>
        <w:rPr>
          <w:rFonts w:ascii="宋体" w:hAnsi="宋体" w:eastAsia="宋体"/>
          <w:b w:val="0"/>
          <w:i w:val="0"/>
          <w:color w:val="000000"/>
          <w:sz w:val="21"/>
        </w:rPr>
        <w:t>年）》，履行利润分配相关决策程序，实施了</w:t>
      </w:r>
      <w:r>
        <w:rPr>
          <w:rFonts w:ascii="Times New Roman" w:hAnsi="Times New Roman" w:eastAsia="Times New Roman"/>
          <w:b w:val="0"/>
          <w:i w:val="0"/>
          <w:color w:val="000000"/>
          <w:sz w:val="21"/>
        </w:rPr>
        <w:t>2023</w:t>
      </w:r>
      <w:r>
        <w:rPr>
          <w:rFonts w:ascii="宋体" w:hAnsi="宋体" w:eastAsia="宋体"/>
          <w:b w:val="0"/>
          <w:i w:val="0"/>
          <w:color w:val="000000"/>
          <w:sz w:val="21"/>
        </w:rPr>
        <w:t>年度利润分配方案及</w:t>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年前三季度利</w:t>
      </w:r>
      <w:r>
        <w:rPr>
          <w:rFonts w:ascii="宋体" w:hAnsi="宋体" w:eastAsia="宋体"/>
          <w:b w:val="0"/>
          <w:i w:val="0"/>
          <w:color w:val="000000"/>
          <w:sz w:val="21"/>
        </w:rPr>
        <w:t>润分配方案。</w:t>
      </w:r>
    </w:p>
    <w:p>
      <w:pPr>
        <w:autoSpaceDN w:val="0"/>
        <w:autoSpaceDE w:val="0"/>
        <w:widowControl/>
        <w:spacing w:line="197" w:lineRule="auto" w:before="562" w:after="0"/>
        <w:ind w:left="0" w:right="4922" w:firstLine="0"/>
        <w:jc w:val="right"/>
      </w:pPr>
      <w:r>
        <w:rPr>
          <w:rFonts w:ascii="Calibri" w:hAnsi="Calibri" w:eastAsia="Calibri"/>
          <w:b w:val="0"/>
          <w:i w:val="0"/>
          <w:color w:val="000000"/>
          <w:sz w:val="18"/>
        </w:rPr>
        <w:t xml:space="preserve">93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96" name="Picture 9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452" w:lineRule="exact" w:before="0" w:after="0"/>
        <w:ind w:left="112" w:right="44" w:firstLine="420"/>
        <w:jc w:val="both"/>
      </w:pPr>
      <w:r>
        <w:rPr>
          <w:rFonts w:ascii="Times New Roman" w:hAnsi="Times New Roman" w:eastAsia="Times New Roman"/>
          <w:b w:val="0"/>
          <w:i w:val="0"/>
          <w:color w:val="000000"/>
          <w:sz w:val="21"/>
        </w:rPr>
        <w:t>2023</w:t>
      </w:r>
      <w:r>
        <w:rPr>
          <w:rFonts w:ascii="宋体" w:hAnsi="宋体" w:eastAsia="宋体"/>
          <w:b w:val="0"/>
          <w:i w:val="0"/>
          <w:color w:val="000000"/>
          <w:sz w:val="21"/>
        </w:rPr>
        <w:t>年度利润分配方案为：以</w:t>
      </w:r>
      <w:r>
        <w:rPr>
          <w:rFonts w:ascii="Times New Roman" w:hAnsi="Times New Roman" w:eastAsia="Times New Roman"/>
          <w:b w:val="0"/>
          <w:i w:val="0"/>
          <w:color w:val="000000"/>
          <w:sz w:val="21"/>
        </w:rPr>
        <w:t xml:space="preserve"> 2023 </w:t>
      </w:r>
      <w:r>
        <w:rPr>
          <w:rFonts w:ascii="宋体" w:hAnsi="宋体" w:eastAsia="宋体"/>
          <w:b w:val="0"/>
          <w:i w:val="0"/>
          <w:color w:val="000000"/>
          <w:sz w:val="21"/>
        </w:rPr>
        <w:t>年末总股本</w:t>
      </w:r>
      <w:r>
        <w:rPr>
          <w:rFonts w:ascii="Times New Roman" w:hAnsi="Times New Roman" w:eastAsia="Times New Roman"/>
          <w:b w:val="0"/>
          <w:i w:val="0"/>
          <w:color w:val="000000"/>
          <w:sz w:val="21"/>
        </w:rPr>
        <w:t xml:space="preserve"> 3,589,771,547 </w:t>
      </w:r>
      <w:r>
        <w:rPr>
          <w:rFonts w:ascii="宋体" w:hAnsi="宋体" w:eastAsia="宋体"/>
          <w:b w:val="0"/>
          <w:i w:val="0"/>
          <w:color w:val="000000"/>
          <w:sz w:val="21"/>
        </w:rPr>
        <w:t>股为基数，向全体股东每</w:t>
      </w:r>
      <w:r>
        <w:rPr>
          <w:rFonts w:ascii="Times New Roman" w:hAnsi="Times New Roman" w:eastAsia="Times New Roman"/>
          <w:b w:val="0"/>
          <w:i w:val="0"/>
          <w:color w:val="000000"/>
          <w:sz w:val="21"/>
        </w:rPr>
        <w:t xml:space="preserve"> 10 </w:t>
      </w:r>
      <w:r>
        <w:rPr>
          <w:rFonts w:ascii="宋体" w:hAnsi="宋体" w:eastAsia="宋体"/>
          <w:b w:val="0"/>
          <w:i w:val="0"/>
          <w:color w:val="000000"/>
          <w:sz w:val="21"/>
        </w:rPr>
        <w:t>股派发现</w:t>
      </w:r>
      <w:r>
        <w:rPr>
          <w:rFonts w:ascii="宋体" w:hAnsi="宋体" w:eastAsia="宋体"/>
          <w:b w:val="0"/>
          <w:i w:val="0"/>
          <w:color w:val="000000"/>
          <w:sz w:val="21"/>
        </w:rPr>
        <w:t>金红利</w:t>
      </w:r>
      <w:r>
        <w:rPr>
          <w:rFonts w:ascii="Times New Roman" w:hAnsi="Times New Roman" w:eastAsia="Times New Roman"/>
          <w:b w:val="0"/>
          <w:i w:val="0"/>
          <w:color w:val="000000"/>
          <w:sz w:val="21"/>
        </w:rPr>
        <w:t xml:space="preserve"> 0.90 </w:t>
      </w:r>
      <w:r>
        <w:rPr>
          <w:rFonts w:ascii="宋体" w:hAnsi="宋体" w:eastAsia="宋体"/>
          <w:b w:val="0"/>
          <w:i w:val="0"/>
          <w:color w:val="000000"/>
          <w:sz w:val="21"/>
        </w:rPr>
        <w:t>元（含税），共派发现金红利</w:t>
      </w:r>
      <w:r>
        <w:rPr>
          <w:rFonts w:ascii="Times New Roman" w:hAnsi="Times New Roman" w:eastAsia="Times New Roman"/>
          <w:b w:val="0"/>
          <w:i w:val="0"/>
          <w:color w:val="000000"/>
          <w:sz w:val="21"/>
        </w:rPr>
        <w:t xml:space="preserve"> 323,079,439 </w:t>
      </w:r>
      <w:r>
        <w:rPr>
          <w:rFonts w:ascii="宋体" w:hAnsi="宋体" w:eastAsia="宋体"/>
          <w:b w:val="0"/>
          <w:i w:val="0"/>
          <w:color w:val="000000"/>
          <w:sz w:val="21"/>
        </w:rPr>
        <w:t>元</w:t>
      </w:r>
      <w:r>
        <w:rPr>
          <w:rFonts w:ascii="Times New Roman" w:hAnsi="Times New Roman" w:eastAsia="Times New Roman"/>
          <w:b w:val="0"/>
          <w:i w:val="0"/>
          <w:color w:val="000000"/>
          <w:sz w:val="21"/>
        </w:rPr>
        <w:t xml:space="preserve">, </w:t>
      </w:r>
      <w:r>
        <w:rPr>
          <w:rFonts w:ascii="宋体" w:hAnsi="宋体" w:eastAsia="宋体"/>
          <w:b w:val="0"/>
          <w:i w:val="0"/>
          <w:color w:val="000000"/>
          <w:sz w:val="21"/>
        </w:rPr>
        <w:t>不送红股，不以公积金转增股本。现金红利占当</w:t>
      </w:r>
      <w:r>
        <w:rPr>
          <w:rFonts w:ascii="宋体" w:hAnsi="宋体" w:eastAsia="宋体"/>
          <w:b w:val="0"/>
          <w:i w:val="0"/>
          <w:color w:val="000000"/>
          <w:sz w:val="21"/>
        </w:rPr>
        <w:t>年归属于上市公司普通股股东净利润的</w:t>
      </w:r>
      <w:r>
        <w:rPr>
          <w:rFonts w:ascii="Times New Roman" w:hAnsi="Times New Roman" w:eastAsia="Times New Roman"/>
          <w:b w:val="0"/>
          <w:i w:val="0"/>
          <w:color w:val="000000"/>
          <w:sz w:val="21"/>
        </w:rPr>
        <w:t>52%</w:t>
      </w:r>
      <w:r>
        <w:rPr>
          <w:rFonts w:ascii="宋体" w:hAnsi="宋体" w:eastAsia="宋体"/>
          <w:b w:val="0"/>
          <w:i w:val="0"/>
          <w:color w:val="000000"/>
          <w:sz w:val="21"/>
        </w:rPr>
        <w:t>。公司于</w:t>
      </w:r>
      <w:r>
        <w:rPr>
          <w:rFonts w:ascii="Times New Roman" w:hAnsi="Times New Roman" w:eastAsia="Times New Roman"/>
          <w:b w:val="0"/>
          <w:i w:val="0"/>
          <w:color w:val="000000"/>
          <w:sz w:val="21"/>
        </w:rPr>
        <w:t>2024</w:t>
      </w:r>
      <w:r>
        <w:rPr>
          <w:rFonts w:ascii="宋体" w:hAnsi="宋体" w:eastAsia="宋体"/>
          <w:b w:val="0"/>
          <w:i w:val="0"/>
          <w:color w:val="000000"/>
          <w:sz w:val="21"/>
        </w:rPr>
        <w:t>年</w:t>
      </w:r>
      <w:r>
        <w:rPr>
          <w:rFonts w:ascii="Times New Roman" w:hAnsi="Times New Roman" w:eastAsia="Times New Roman"/>
          <w:b w:val="0"/>
          <w:i w:val="0"/>
          <w:color w:val="000000"/>
          <w:sz w:val="21"/>
        </w:rPr>
        <w:t>6</w:t>
      </w:r>
      <w:r>
        <w:rPr>
          <w:rFonts w:ascii="宋体" w:hAnsi="宋体" w:eastAsia="宋体"/>
          <w:b w:val="0"/>
          <w:i w:val="0"/>
          <w:color w:val="000000"/>
          <w:sz w:val="21"/>
        </w:rPr>
        <w:t>月</w:t>
      </w:r>
      <w:r>
        <w:rPr>
          <w:rFonts w:ascii="Times New Roman" w:hAnsi="Times New Roman" w:eastAsia="Times New Roman"/>
          <w:b w:val="0"/>
          <w:i w:val="0"/>
          <w:color w:val="000000"/>
          <w:sz w:val="21"/>
        </w:rPr>
        <w:t>22</w:t>
      </w:r>
      <w:r>
        <w:rPr>
          <w:rFonts w:ascii="宋体" w:hAnsi="宋体" w:eastAsia="宋体"/>
          <w:b w:val="0"/>
          <w:i w:val="0"/>
          <w:color w:val="000000"/>
          <w:sz w:val="21"/>
        </w:rPr>
        <w:t>日披露《</w:t>
      </w:r>
      <w:r>
        <w:rPr>
          <w:rFonts w:ascii="Times New Roman" w:hAnsi="Times New Roman" w:eastAsia="Times New Roman"/>
          <w:b w:val="0"/>
          <w:i w:val="0"/>
          <w:color w:val="000000"/>
          <w:sz w:val="21"/>
        </w:rPr>
        <w:t>2023</w:t>
      </w:r>
      <w:r>
        <w:rPr>
          <w:rFonts w:ascii="宋体" w:hAnsi="宋体" w:eastAsia="宋体"/>
          <w:b w:val="0"/>
          <w:i w:val="0"/>
          <w:color w:val="000000"/>
          <w:sz w:val="21"/>
        </w:rPr>
        <w:t>年年度权益分派实施公</w:t>
      </w:r>
      <w:r>
        <w:rPr>
          <w:rFonts w:ascii="宋体" w:hAnsi="宋体" w:eastAsia="宋体"/>
          <w:b w:val="0"/>
          <w:i w:val="0"/>
          <w:color w:val="000000"/>
          <w:sz w:val="21"/>
        </w:rPr>
        <w:t>告》，</w:t>
      </w:r>
      <w:r>
        <w:rPr>
          <w:rFonts w:ascii="Times New Roman" w:hAnsi="Times New Roman" w:eastAsia="Times New Roman"/>
          <w:b w:val="0"/>
          <w:i w:val="0"/>
          <w:color w:val="000000"/>
          <w:sz w:val="21"/>
        </w:rPr>
        <w:t>2024</w:t>
      </w:r>
      <w:r>
        <w:rPr>
          <w:rFonts w:ascii="宋体" w:hAnsi="宋体" w:eastAsia="宋体"/>
          <w:b w:val="0"/>
          <w:i w:val="0"/>
          <w:color w:val="000000"/>
          <w:sz w:val="21"/>
        </w:rPr>
        <w:t>年</w:t>
      </w:r>
      <w:r>
        <w:rPr>
          <w:rFonts w:ascii="Times New Roman" w:hAnsi="Times New Roman" w:eastAsia="Times New Roman"/>
          <w:b w:val="0"/>
          <w:i w:val="0"/>
          <w:color w:val="000000"/>
          <w:sz w:val="21"/>
        </w:rPr>
        <w:t>6</w:t>
      </w:r>
      <w:r>
        <w:rPr>
          <w:rFonts w:ascii="宋体" w:hAnsi="宋体" w:eastAsia="宋体"/>
          <w:b w:val="0"/>
          <w:i w:val="0"/>
          <w:color w:val="000000"/>
          <w:sz w:val="21"/>
        </w:rPr>
        <w:t>月</w:t>
      </w:r>
      <w:r>
        <w:rPr>
          <w:rFonts w:ascii="Times New Roman" w:hAnsi="Times New Roman" w:eastAsia="Times New Roman"/>
          <w:b w:val="0"/>
          <w:i w:val="0"/>
          <w:color w:val="000000"/>
          <w:sz w:val="21"/>
        </w:rPr>
        <w:t>28</w:t>
      </w:r>
      <w:r>
        <w:rPr>
          <w:rFonts w:ascii="宋体" w:hAnsi="宋体" w:eastAsia="宋体"/>
          <w:b w:val="0"/>
          <w:i w:val="0"/>
          <w:color w:val="000000"/>
          <w:sz w:val="21"/>
        </w:rPr>
        <w:t>日实施利润分配。</w:t>
      </w:r>
    </w:p>
    <w:p>
      <w:pPr>
        <w:autoSpaceDN w:val="0"/>
        <w:autoSpaceDE w:val="0"/>
        <w:widowControl/>
        <w:spacing w:line="458" w:lineRule="exact" w:before="8" w:after="0"/>
        <w:ind w:left="112" w:right="44" w:firstLine="420"/>
        <w:jc w:val="both"/>
      </w:pP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年前三季度利润分配方案为：以</w:t>
      </w:r>
      <w:r>
        <w:rPr>
          <w:rFonts w:ascii="Calibri" w:hAnsi="Calibri" w:eastAsia="Calibri"/>
          <w:b w:val="0"/>
          <w:i w:val="0"/>
          <w:color w:val="000000"/>
          <w:sz w:val="21"/>
        </w:rPr>
        <w:t xml:space="preserve"> 2024 </w:t>
      </w:r>
      <w:r>
        <w:rPr>
          <w:rFonts w:ascii="宋体" w:hAnsi="宋体" w:eastAsia="宋体"/>
          <w:b w:val="0"/>
          <w:i w:val="0"/>
          <w:color w:val="000000"/>
          <w:sz w:val="21"/>
        </w:rPr>
        <w:t>年</w:t>
      </w:r>
      <w:r>
        <w:rPr>
          <w:rFonts w:ascii="Calibri" w:hAnsi="Calibri" w:eastAsia="Calibri"/>
          <w:b w:val="0"/>
          <w:i w:val="0"/>
          <w:color w:val="000000"/>
          <w:sz w:val="21"/>
        </w:rPr>
        <w:t xml:space="preserve"> 9 </w:t>
      </w:r>
      <w:r>
        <w:rPr>
          <w:rFonts w:ascii="宋体" w:hAnsi="宋体" w:eastAsia="宋体"/>
          <w:b w:val="0"/>
          <w:i w:val="0"/>
          <w:color w:val="000000"/>
          <w:sz w:val="21"/>
        </w:rPr>
        <w:t>月</w:t>
      </w:r>
      <w:r>
        <w:rPr>
          <w:rFonts w:ascii="Calibri" w:hAnsi="Calibri" w:eastAsia="Calibri"/>
          <w:b w:val="0"/>
          <w:i w:val="0"/>
          <w:color w:val="000000"/>
          <w:sz w:val="21"/>
        </w:rPr>
        <w:t xml:space="preserve"> 30 </w:t>
      </w:r>
      <w:r>
        <w:rPr>
          <w:rFonts w:ascii="宋体" w:hAnsi="宋体" w:eastAsia="宋体"/>
          <w:b w:val="0"/>
          <w:i w:val="0"/>
          <w:color w:val="000000"/>
          <w:sz w:val="21"/>
        </w:rPr>
        <w:t>日总股本</w:t>
      </w:r>
      <w:r>
        <w:rPr>
          <w:rFonts w:ascii="Calibri" w:hAnsi="Calibri" w:eastAsia="Calibri"/>
          <w:b w:val="0"/>
          <w:i w:val="0"/>
          <w:color w:val="000000"/>
          <w:sz w:val="21"/>
        </w:rPr>
        <w:t xml:space="preserve"> 3,589,771,547 </w:t>
      </w:r>
      <w:r>
        <w:rPr>
          <w:rFonts w:ascii="宋体" w:hAnsi="宋体" w:eastAsia="宋体"/>
          <w:b w:val="0"/>
          <w:i w:val="0"/>
          <w:color w:val="000000"/>
          <w:sz w:val="21"/>
        </w:rPr>
        <w:t>股为基数，向全体股东</w:t>
      </w:r>
      <w:r>
        <w:rPr>
          <w:rFonts w:ascii="宋体" w:hAnsi="宋体" w:eastAsia="宋体"/>
          <w:b w:val="0"/>
          <w:i w:val="0"/>
          <w:color w:val="000000"/>
          <w:sz w:val="21"/>
        </w:rPr>
        <w:t>每</w:t>
      </w:r>
      <w:r>
        <w:rPr>
          <w:rFonts w:ascii="Calibri" w:hAnsi="Calibri" w:eastAsia="Calibri"/>
          <w:b w:val="0"/>
          <w:i w:val="0"/>
          <w:color w:val="000000"/>
          <w:sz w:val="21"/>
        </w:rPr>
        <w:t xml:space="preserve"> 10 </w:t>
      </w:r>
      <w:r>
        <w:rPr>
          <w:rFonts w:ascii="宋体" w:hAnsi="宋体" w:eastAsia="宋体"/>
          <w:b w:val="0"/>
          <w:i w:val="0"/>
          <w:color w:val="000000"/>
          <w:sz w:val="21"/>
        </w:rPr>
        <w:t>股派发现金红利</w:t>
      </w:r>
      <w:r>
        <w:rPr>
          <w:rFonts w:ascii="Calibri" w:hAnsi="Calibri" w:eastAsia="Calibri"/>
          <w:b w:val="0"/>
          <w:i w:val="0"/>
          <w:color w:val="000000"/>
          <w:sz w:val="21"/>
        </w:rPr>
        <w:t xml:space="preserve"> 0.5 </w:t>
      </w:r>
      <w:r>
        <w:rPr>
          <w:rFonts w:ascii="宋体" w:hAnsi="宋体" w:eastAsia="宋体"/>
          <w:b w:val="0"/>
          <w:i w:val="0"/>
          <w:color w:val="000000"/>
          <w:sz w:val="21"/>
        </w:rPr>
        <w:t>元（含税），共派发现金红利</w:t>
      </w:r>
      <w:r>
        <w:rPr>
          <w:rFonts w:ascii="Calibri" w:hAnsi="Calibri" w:eastAsia="Calibri"/>
          <w:b w:val="0"/>
          <w:i w:val="0"/>
          <w:color w:val="000000"/>
          <w:sz w:val="21"/>
        </w:rPr>
        <w:t xml:space="preserve">179,488,577 </w:t>
      </w:r>
      <w:r>
        <w:rPr>
          <w:rFonts w:ascii="宋体" w:hAnsi="宋体" w:eastAsia="宋体"/>
          <w:b w:val="0"/>
          <w:i w:val="0"/>
          <w:color w:val="000000"/>
          <w:sz w:val="21"/>
        </w:rPr>
        <w:t>元（含税）</w:t>
      </w:r>
      <w:r>
        <w:rPr>
          <w:rFonts w:ascii="Calibri" w:hAnsi="Calibri" w:eastAsia="Calibri"/>
          <w:b w:val="0"/>
          <w:i w:val="0"/>
          <w:color w:val="000000"/>
          <w:sz w:val="21"/>
        </w:rPr>
        <w:t>,</w:t>
      </w:r>
      <w:r>
        <w:rPr>
          <w:rFonts w:ascii="宋体" w:hAnsi="宋体" w:eastAsia="宋体"/>
          <w:b w:val="0"/>
          <w:i w:val="0"/>
          <w:color w:val="000000"/>
          <w:sz w:val="21"/>
        </w:rPr>
        <w:t>不送红股，不以公积金转</w:t>
      </w:r>
      <w:r>
        <w:rPr>
          <w:rFonts w:ascii="宋体" w:hAnsi="宋体" w:eastAsia="宋体"/>
          <w:b w:val="0"/>
          <w:i w:val="0"/>
          <w:color w:val="000000"/>
          <w:sz w:val="21"/>
        </w:rPr>
        <w:t>增股本。现金红利占前三季度归属于上市公司普通股股东净利润的</w:t>
      </w:r>
      <w:r>
        <w:rPr>
          <w:rFonts w:ascii="Times New Roman" w:hAnsi="Times New Roman" w:eastAsia="Times New Roman"/>
          <w:b w:val="0"/>
          <w:i w:val="0"/>
          <w:color w:val="000000"/>
          <w:sz w:val="21"/>
        </w:rPr>
        <w:t>34%</w:t>
      </w:r>
      <w:r>
        <w:rPr>
          <w:rFonts w:ascii="宋体" w:hAnsi="宋体" w:eastAsia="宋体"/>
          <w:b w:val="0"/>
          <w:i w:val="0"/>
          <w:color w:val="000000"/>
          <w:sz w:val="21"/>
        </w:rPr>
        <w:t>。公司于</w:t>
      </w:r>
      <w:r>
        <w:rPr>
          <w:rFonts w:ascii="Times New Roman" w:hAnsi="Times New Roman" w:eastAsia="Times New Roman"/>
          <w:b w:val="0"/>
          <w:i w:val="0"/>
          <w:color w:val="000000"/>
          <w:sz w:val="21"/>
        </w:rPr>
        <w:t>2024</w:t>
      </w:r>
      <w:r>
        <w:rPr>
          <w:rFonts w:ascii="宋体" w:hAnsi="宋体" w:eastAsia="宋体"/>
          <w:b w:val="0"/>
          <w:i w:val="0"/>
          <w:color w:val="000000"/>
          <w:sz w:val="21"/>
        </w:rPr>
        <w:t>年</w:t>
      </w:r>
      <w:r>
        <w:rPr>
          <w:rFonts w:ascii="Times New Roman" w:hAnsi="Times New Roman" w:eastAsia="Times New Roman"/>
          <w:b w:val="0"/>
          <w:i w:val="0"/>
          <w:color w:val="000000"/>
          <w:sz w:val="21"/>
        </w:rPr>
        <w:t>12</w:t>
      </w:r>
      <w:r>
        <w:rPr>
          <w:rFonts w:ascii="宋体" w:hAnsi="宋体" w:eastAsia="宋体"/>
          <w:b w:val="0"/>
          <w:i w:val="0"/>
          <w:color w:val="000000"/>
          <w:sz w:val="21"/>
        </w:rPr>
        <w:t>月</w:t>
      </w:r>
      <w:r>
        <w:rPr>
          <w:rFonts w:ascii="Times New Roman" w:hAnsi="Times New Roman" w:eastAsia="Times New Roman"/>
          <w:b w:val="0"/>
          <w:i w:val="0"/>
          <w:color w:val="000000"/>
          <w:sz w:val="21"/>
        </w:rPr>
        <w:t>23</w:t>
      </w:r>
      <w:r>
        <w:rPr>
          <w:rFonts w:ascii="宋体" w:hAnsi="宋体" w:eastAsia="宋体"/>
          <w:b w:val="0"/>
          <w:i w:val="0"/>
          <w:color w:val="000000"/>
          <w:sz w:val="21"/>
        </w:rPr>
        <w:t>日披露</w:t>
      </w:r>
      <w:r>
        <w:rPr>
          <w:rFonts w:ascii="宋体" w:hAnsi="宋体" w:eastAsia="宋体"/>
          <w:b w:val="0"/>
          <w:i w:val="0"/>
          <w:color w:val="000000"/>
          <w:sz w:val="21"/>
        </w:rPr>
        <w:t>《</w:t>
      </w:r>
      <w:r>
        <w:rPr>
          <w:rFonts w:ascii="Times New Roman" w:hAnsi="Times New Roman" w:eastAsia="Times New Roman"/>
          <w:b w:val="0"/>
          <w:i w:val="0"/>
          <w:color w:val="000000"/>
          <w:sz w:val="21"/>
        </w:rPr>
        <w:t>2024</w:t>
      </w:r>
      <w:r>
        <w:rPr>
          <w:rFonts w:ascii="宋体" w:hAnsi="宋体" w:eastAsia="宋体"/>
          <w:b w:val="0"/>
          <w:i w:val="0"/>
          <w:color w:val="000000"/>
          <w:sz w:val="21"/>
        </w:rPr>
        <w:t>年前三季度权益分派实施公告》，</w:t>
      </w:r>
      <w:r>
        <w:rPr>
          <w:rFonts w:ascii="Times New Roman" w:hAnsi="Times New Roman" w:eastAsia="Times New Roman"/>
          <w:b w:val="0"/>
          <w:i w:val="0"/>
          <w:color w:val="000000"/>
          <w:sz w:val="21"/>
        </w:rPr>
        <w:t xml:space="preserve"> 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12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27 </w:t>
      </w:r>
      <w:r>
        <w:rPr>
          <w:rFonts w:ascii="宋体" w:hAnsi="宋体" w:eastAsia="宋体"/>
          <w:b w:val="0"/>
          <w:i w:val="0"/>
          <w:color w:val="000000"/>
          <w:sz w:val="21"/>
        </w:rPr>
        <w:t>日实施利润分配。</w:t>
      </w:r>
    </w:p>
    <w:p>
      <w:pPr>
        <w:autoSpaceDN w:val="0"/>
        <w:autoSpaceDE w:val="0"/>
        <w:widowControl/>
        <w:spacing w:line="210" w:lineRule="exact" w:before="234" w:after="222"/>
        <w:ind w:left="532" w:right="0" w:firstLine="0"/>
        <w:jc w:val="left"/>
      </w:pPr>
      <w:r>
        <w:rPr>
          <w:rFonts w:ascii="宋体" w:hAnsi="宋体" w:eastAsia="宋体"/>
          <w:b w:val="0"/>
          <w:i w:val="0"/>
          <w:color w:val="000000"/>
          <w:sz w:val="21"/>
        </w:rPr>
        <w:t xml:space="preserve">公司利润分配政策符合《公司章程》及审议程序的规定。 </w:t>
      </w:r>
    </w:p>
    <w:tbl>
      <w:tblPr>
        <w:tblW w:type="auto" w:w="0"/>
        <w:tblLayout w:type="fixed"/>
        <w:tblLook w:firstColumn="1" w:firstRow="1" w:lastColumn="0" w:lastRow="0" w:noHBand="0" w:noVBand="1" w:val="04A0"/>
        <w:tblInd w:w="2.0000000000000284" w:type="dxa"/>
      </w:tblPr>
      <w:tblGrid>
        <w:gridCol w:w="4899"/>
        <w:gridCol w:w="4899"/>
      </w:tblGrid>
      <w:tr>
        <w:trPr>
          <w:trHeight w:hRule="exact" w:val="400"/>
        </w:trPr>
        <w:tc>
          <w:tcPr>
            <w:tcW w:type="dxa" w:w="9642"/>
            <w:gridSpan w:val="2"/>
            <w:tcBorders>
              <w:start w:sz="2.3999999999999773" w:val="single" w:color="#000000"/>
              <w:top w:sz="2.400000000000091" w:val="single" w:color="#000000"/>
              <w:end w:sz="1.5999999999994543" w:val="single" w:color="#000000"/>
              <w:bottom w:sz="1.6000000000003638" w:val="single" w:color="#000000"/>
            </w:tcBorders>
            <w:shd w:fill="d2d2d2"/>
            <w:tcMar>
              <w:start w:w="0" w:type="dxa"/>
              <w:end w:w="0" w:type="dxa"/>
            </w:tcMar>
            <w:tcMar>
              <w:start w:w="0" w:type="dxa"/>
              <w:end w:w="0" w:type="dxa"/>
            </w:tcMar>
          </w:tcPr>
          <w:p>
            <w:pPr>
              <w:autoSpaceDN w:val="0"/>
              <w:autoSpaceDE w:val="0"/>
              <w:widowControl/>
              <w:spacing w:line="180" w:lineRule="exact" w:before="114" w:after="0"/>
              <w:ind w:left="0" w:right="3732" w:firstLine="0"/>
              <w:jc w:val="right"/>
            </w:pPr>
            <w:r>
              <w:rPr>
                <w:rFonts w:ascii="宋体" w:hAnsi="宋体" w:eastAsia="宋体"/>
                <w:b w:val="0"/>
                <w:i w:val="0"/>
                <w:color w:val="000000"/>
                <w:sz w:val="18"/>
              </w:rPr>
              <w:t xml:space="preserve">现金分红政策的专项说明 </w:t>
            </w:r>
          </w:p>
        </w:tc>
      </w:tr>
      <w:tr>
        <w:trPr>
          <w:trHeight w:hRule="exact" w:val="402"/>
        </w:trPr>
        <w:tc>
          <w:tcPr>
            <w:tcW w:type="dxa" w:w="8050"/>
            <w:tcBorders>
              <w:start w:sz="2.3999999999999773" w:val="single" w:color="#000000"/>
              <w:top w:sz="1.6000000000003638"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是否符合公司章程的规定或股东大会决议的要求： </w:t>
            </w:r>
          </w:p>
        </w:tc>
        <w:tc>
          <w:tcPr>
            <w:tcW w:type="dxa" w:w="1592"/>
            <w:tcBorders>
              <w:start w:sz="1.599999999999909" w:val="single" w:color="#000000"/>
              <w:top w:sz="1.6000000000003638"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是 </w:t>
            </w:r>
          </w:p>
        </w:tc>
      </w:tr>
      <w:tr>
        <w:trPr>
          <w:trHeight w:hRule="exact" w:val="402"/>
        </w:trPr>
        <w:tc>
          <w:tcPr>
            <w:tcW w:type="dxa" w:w="8050"/>
            <w:tcBorders>
              <w:start w:sz="2.3999999999999773"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分红标准和比例是否明确和清晰： </w:t>
            </w:r>
          </w:p>
        </w:tc>
        <w:tc>
          <w:tcPr>
            <w:tcW w:type="dxa" w:w="1592"/>
            <w:tcBorders>
              <w:start w:sz="1.599999999999909" w:val="single" w:color="#000000"/>
              <w:top w:sz="2.400000000000091" w:val="single" w:color="#000000"/>
              <w:end w:sz="1.5999999999994543" w:val="single" w:color="#000000"/>
              <w:bottom w:sz="1.599999999999909" w:val="single" w:color="#000000"/>
            </w:tcBorders>
            <w:shd w:fill="d2d2d2"/>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是 </w:t>
            </w:r>
          </w:p>
        </w:tc>
      </w:tr>
      <w:tr>
        <w:trPr>
          <w:trHeight w:hRule="exact" w:val="404"/>
        </w:trPr>
        <w:tc>
          <w:tcPr>
            <w:tcW w:type="dxa" w:w="8050"/>
            <w:tcBorders>
              <w:start w:sz="2.3999999999999773"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相关的决策程序和机制是否完备： </w:t>
            </w:r>
          </w:p>
        </w:tc>
        <w:tc>
          <w:tcPr>
            <w:tcW w:type="dxa" w:w="1592"/>
            <w:tcBorders>
              <w:start w:sz="1.599999999999909" w:val="single" w:color="#000000"/>
              <w:top w:sz="1.599999999999909"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是 </w:t>
            </w:r>
          </w:p>
        </w:tc>
      </w:tr>
      <w:tr>
        <w:trPr>
          <w:trHeight w:hRule="exact" w:val="400"/>
        </w:trPr>
        <w:tc>
          <w:tcPr>
            <w:tcW w:type="dxa" w:w="8050"/>
            <w:tcBorders>
              <w:start w:sz="2.3999999999999773"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独立董事是否履职尽责并发挥了应有的作用： </w:t>
            </w:r>
          </w:p>
        </w:tc>
        <w:tc>
          <w:tcPr>
            <w:tcW w:type="dxa" w:w="1592"/>
            <w:tcBorders>
              <w:start w:sz="1.599999999999909" w:val="single" w:color="#000000"/>
              <w:top w:sz="2.400000000000091" w:val="single" w:color="#000000"/>
              <w:end w:sz="1.5999999999994543" w:val="single" w:color="#000000"/>
              <w:bottom w:sz="1.599999999999909" w:val="single" w:color="#000000"/>
            </w:tcBorders>
            <w:shd w:fill="d2d2d2"/>
            <w:tcMar>
              <w:start w:w="0" w:type="dxa"/>
              <w:end w:w="0" w:type="dxa"/>
            </w:tcMar>
          </w:tcPr>
          <w:p>
            <w:pPr>
              <w:autoSpaceDN w:val="0"/>
              <w:autoSpaceDE w:val="0"/>
              <w:widowControl/>
              <w:spacing w:line="180" w:lineRule="exact" w:before="116" w:after="0"/>
              <w:ind w:left="106" w:right="0" w:firstLine="0"/>
              <w:jc w:val="left"/>
            </w:pPr>
            <w:r>
              <w:rPr>
                <w:rFonts w:ascii="宋体" w:hAnsi="宋体" w:eastAsia="宋体"/>
                <w:b w:val="0"/>
                <w:i w:val="0"/>
                <w:color w:val="000000"/>
                <w:sz w:val="18"/>
              </w:rPr>
              <w:t xml:space="preserve">是 </w:t>
            </w:r>
          </w:p>
        </w:tc>
      </w:tr>
      <w:tr>
        <w:trPr>
          <w:trHeight w:hRule="exact" w:val="402"/>
        </w:trPr>
        <w:tc>
          <w:tcPr>
            <w:tcW w:type="dxa" w:w="8050"/>
            <w:tcBorders>
              <w:start w:sz="2.3999999999999773"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公司未进行现金分红的，应当披露具体原因，以及下一步为增强投资者回报水平拟采取的举措： </w:t>
            </w:r>
          </w:p>
        </w:tc>
        <w:tc>
          <w:tcPr>
            <w:tcW w:type="dxa" w:w="1592"/>
            <w:tcBorders>
              <w:start w:sz="1.599999999999909" w:val="single" w:color="#000000"/>
              <w:top w:sz="1.599999999999909"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118" w:after="0"/>
              <w:ind w:left="106" w:right="0" w:firstLine="0"/>
              <w:jc w:val="left"/>
            </w:pPr>
            <w:r>
              <w:rPr>
                <w:rFonts w:ascii="宋体" w:hAnsi="宋体" w:eastAsia="宋体"/>
                <w:b w:val="0"/>
                <w:i w:val="0"/>
                <w:color w:val="000000"/>
                <w:sz w:val="18"/>
              </w:rPr>
              <w:t xml:space="preserve">不适用 </w:t>
            </w:r>
          </w:p>
        </w:tc>
      </w:tr>
      <w:tr>
        <w:trPr>
          <w:trHeight w:hRule="exact" w:val="402"/>
        </w:trPr>
        <w:tc>
          <w:tcPr>
            <w:tcW w:type="dxa" w:w="8050"/>
            <w:tcBorders>
              <w:start w:sz="2.3999999999999773" w:val="single" w:color="#000000"/>
              <w:top w:sz="2.400000000000091"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116" w:after="0"/>
              <w:ind w:left="108" w:right="0" w:firstLine="0"/>
              <w:jc w:val="left"/>
            </w:pPr>
            <w:r>
              <w:rPr>
                <w:rFonts w:ascii="宋体" w:hAnsi="宋体" w:eastAsia="宋体"/>
                <w:b w:val="0"/>
                <w:i w:val="0"/>
                <w:color w:val="000000"/>
                <w:sz w:val="18"/>
              </w:rPr>
              <w:t xml:space="preserve">中小股东是否有充分表达意见和诉求的机会，其合法权益是否得到了充分保护： </w:t>
            </w:r>
          </w:p>
        </w:tc>
        <w:tc>
          <w:tcPr>
            <w:tcW w:type="dxa" w:w="1592"/>
            <w:tcBorders>
              <w:start w:sz="1.599999999999909" w:val="single" w:color="#000000"/>
              <w:top w:sz="2.400000000000091" w:val="single" w:color="#000000"/>
              <w:end w:sz="1.5999999999994543" w:val="single" w:color="#000000"/>
              <w:bottom w:sz="1.599999999999909" w:val="single" w:color="#000000"/>
            </w:tcBorders>
            <w:shd w:fill="d2d2d2"/>
            <w:tcMar>
              <w:start w:w="0" w:type="dxa"/>
              <w:end w:w="0" w:type="dxa"/>
            </w:tcMar>
          </w:tcPr>
          <w:p>
            <w:pPr>
              <w:autoSpaceDN w:val="0"/>
              <w:autoSpaceDE w:val="0"/>
              <w:widowControl/>
              <w:spacing w:line="180" w:lineRule="exact" w:before="118" w:after="0"/>
              <w:ind w:left="106" w:right="0" w:firstLine="0"/>
              <w:jc w:val="left"/>
            </w:pPr>
            <w:r>
              <w:rPr>
                <w:rFonts w:ascii="宋体" w:hAnsi="宋体" w:eastAsia="宋体"/>
                <w:b w:val="0"/>
                <w:i w:val="0"/>
                <w:color w:val="000000"/>
                <w:sz w:val="18"/>
              </w:rPr>
              <w:t xml:space="preserve">是 </w:t>
            </w:r>
          </w:p>
        </w:tc>
      </w:tr>
      <w:tr>
        <w:trPr>
          <w:trHeight w:hRule="exact" w:val="402"/>
        </w:trPr>
        <w:tc>
          <w:tcPr>
            <w:tcW w:type="dxa" w:w="8050"/>
            <w:tcBorders>
              <w:start w:sz="2.3999999999999773" w:val="single" w:color="#000000"/>
              <w:top w:sz="1.599999999999909"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14" w:after="0"/>
              <w:ind w:left="108" w:right="0" w:firstLine="0"/>
              <w:jc w:val="left"/>
            </w:pPr>
            <w:r>
              <w:rPr>
                <w:rFonts w:ascii="宋体" w:hAnsi="宋体" w:eastAsia="宋体"/>
                <w:b w:val="0"/>
                <w:i w:val="0"/>
                <w:color w:val="000000"/>
                <w:sz w:val="18"/>
              </w:rPr>
              <w:t xml:space="preserve">现金分红政策进行调整或变更的，条件及程序是否合规、透明： </w:t>
            </w:r>
          </w:p>
        </w:tc>
        <w:tc>
          <w:tcPr>
            <w:tcW w:type="dxa" w:w="1592"/>
            <w:tcBorders>
              <w:start w:sz="1.599999999999909" w:val="single" w:color="#000000"/>
              <w:top w:sz="1.599999999999909" w:val="single" w:color="#000000"/>
              <w:end w:sz="1.5999999999994543" w:val="single" w:color="#000000"/>
              <w:bottom w:sz="2.399999999999636" w:val="single" w:color="#000000"/>
            </w:tcBorders>
            <w:shd w:fill="d2d2d2"/>
            <w:tcMar>
              <w:start w:w="0" w:type="dxa"/>
              <w:end w:w="0" w:type="dxa"/>
            </w:tcMar>
          </w:tcPr>
          <w:p>
            <w:pPr>
              <w:autoSpaceDN w:val="0"/>
              <w:autoSpaceDE w:val="0"/>
              <w:widowControl/>
              <w:spacing w:line="180" w:lineRule="exact" w:before="118" w:after="0"/>
              <w:ind w:left="106" w:right="0" w:firstLine="0"/>
              <w:jc w:val="left"/>
            </w:pPr>
            <w:r>
              <w:rPr>
                <w:rFonts w:ascii="宋体" w:hAnsi="宋体" w:eastAsia="宋体"/>
                <w:b w:val="0"/>
                <w:i w:val="0"/>
                <w:color w:val="000000"/>
                <w:sz w:val="18"/>
              </w:rPr>
              <w:t xml:space="preserve">不适用 </w:t>
            </w:r>
          </w:p>
        </w:tc>
      </w:tr>
    </w:tbl>
    <w:p>
      <w:pPr>
        <w:autoSpaceDN w:val="0"/>
        <w:autoSpaceDE w:val="0"/>
        <w:widowControl/>
        <w:spacing w:line="346" w:lineRule="exact" w:before="0" w:after="124"/>
        <w:ind w:left="112" w:right="2160" w:firstLine="0"/>
        <w:jc w:val="left"/>
      </w:pPr>
      <w:r>
        <w:rPr>
          <w:rFonts w:ascii="Times New Roman,Bold" w:hAnsi="Times New Roman,Bold" w:eastAsia="Times New Roman,Bold"/>
          <w:b/>
          <w:i w:val="0"/>
          <w:color w:val="000000"/>
          <w:sz w:val="21"/>
        </w:rPr>
        <w:t>2</w:t>
      </w:r>
      <w:r>
        <w:rPr>
          <w:rFonts w:ascii="宋体" w:hAnsi="宋体" w:eastAsia="宋体"/>
          <w:b w:val="0"/>
          <w:i w:val="0"/>
          <w:color w:val="000000"/>
          <w:sz w:val="21"/>
        </w:rPr>
        <w:t>、公司报告期内盈利且母公司可供股东分配利润为正但未提出现金红利分配预案</w:t>
      </w:r>
      <w:r>
        <w:rPr>
          <w:rFonts w:ascii="宋体" w:hAnsi="宋体" w:eastAsia="宋体"/>
          <w:b w:val="0"/>
          <w:i w:val="0"/>
          <w:color w:val="000000"/>
          <w:sz w:val="18"/>
        </w:rPr>
        <w:t xml:space="preserve">□适用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不适用 </w:t>
      </w:r>
      <w:r>
        <w:br/>
      </w:r>
      <w:r>
        <w:rPr>
          <w:rFonts w:ascii="Times New Roman,Bold" w:hAnsi="Times New Roman,Bold" w:eastAsia="Times New Roman,Bold"/>
          <w:b/>
          <w:i w:val="0"/>
          <w:color w:val="000000"/>
          <w:sz w:val="21"/>
        </w:rPr>
        <w:t>3</w:t>
      </w:r>
      <w:r>
        <w:rPr>
          <w:rFonts w:ascii="宋体" w:hAnsi="宋体" w:eastAsia="宋体"/>
          <w:b w:val="0"/>
          <w:i w:val="0"/>
          <w:color w:val="000000"/>
          <w:sz w:val="21"/>
        </w:rPr>
        <w:t>、董事会审议的报告期利润分配预案或公积金转增股本预案</w:t>
      </w:r>
    </w:p>
    <w:tbl>
      <w:tblPr>
        <w:tblW w:type="auto" w:w="0"/>
        <w:tblLayout w:type="fixed"/>
        <w:tblLook w:firstColumn="1" w:firstRow="1" w:lastColumn="0" w:lastRow="0" w:noHBand="0" w:noVBand="1" w:val="04A0"/>
        <w:tblInd w:w="2.0000000000000284" w:type="dxa"/>
      </w:tblPr>
      <w:tblGrid>
        <w:gridCol w:w="4899"/>
        <w:gridCol w:w="4899"/>
      </w:tblGrid>
      <w:tr>
        <w:trPr>
          <w:trHeight w:hRule="exact" w:val="326"/>
        </w:trPr>
        <w:tc>
          <w:tcPr>
            <w:tcW w:type="dxa" w:w="4820"/>
            <w:tcBorders>
              <w:start w:sz="2.3999999999999773" w:val="single" w:color="#000000"/>
              <w:top w:sz="1.6000000000003638" w:val="single" w:color="#000000"/>
              <w:end w:sz="2.399999999999636" w:val="single" w:color="#000000"/>
              <w:bottom w:sz="1.5999999999994543"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每10 股送红股数（股） </w:t>
            </w:r>
          </w:p>
        </w:tc>
        <w:tc>
          <w:tcPr>
            <w:tcW w:type="dxa" w:w="4822"/>
            <w:tcBorders>
              <w:start w:sz="2.399999999999636" w:val="single" w:color="#000000"/>
              <w:top w:sz="1.6000000000003638" w:val="single" w:color="#000000"/>
              <w:end w:sz="1.5999999999994543" w:val="single" w:color="#000000"/>
              <w:bottom w:sz="1.5999999999994543" w:val="single" w:color="#000000"/>
            </w:tcBorders>
            <w:shd w:fill="d2d2d2"/>
            <w:tcMar>
              <w:start w:w="0" w:type="dxa"/>
              <w:end w:w="0" w:type="dxa"/>
            </w:tcMar>
          </w:tcPr>
          <w:p>
            <w:pPr>
              <w:autoSpaceDN w:val="0"/>
              <w:autoSpaceDE w:val="0"/>
              <w:widowControl/>
              <w:spacing w:line="233" w:lineRule="auto" w:before="72" w:after="0"/>
              <w:ind w:left="0" w:right="60" w:firstLine="0"/>
              <w:jc w:val="right"/>
            </w:pPr>
            <w:r>
              <w:rPr>
                <w:rFonts w:ascii="Times New Roman" w:hAnsi="Times New Roman" w:eastAsia="Times New Roman"/>
                <w:b w:val="0"/>
                <w:i w:val="0"/>
                <w:color w:val="000000"/>
                <w:sz w:val="18"/>
              </w:rPr>
              <w:t xml:space="preserve">0 </w:t>
            </w:r>
          </w:p>
        </w:tc>
      </w:tr>
      <w:tr>
        <w:trPr>
          <w:trHeight w:hRule="exact" w:val="324"/>
        </w:trPr>
        <w:tc>
          <w:tcPr>
            <w:tcW w:type="dxa" w:w="4820"/>
            <w:tcBorders>
              <w:start w:sz="2.3999999999999773" w:val="single" w:color="#000000"/>
              <w:top w:sz="1.5999999999994543"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每10 股派息数（元）（含税） </w:t>
            </w:r>
          </w:p>
        </w:tc>
        <w:tc>
          <w:tcPr>
            <w:tcW w:type="dxa" w:w="4822"/>
            <w:tcBorders>
              <w:start w:sz="2.399999999999636" w:val="single" w:color="#000000"/>
              <w:top w:sz="1.5999999999994543"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233" w:lineRule="auto" w:before="70" w:after="0"/>
              <w:ind w:left="0" w:right="102" w:firstLine="0"/>
              <w:jc w:val="right"/>
            </w:pPr>
            <w:r>
              <w:rPr>
                <w:rFonts w:ascii="Times New Roman" w:hAnsi="Times New Roman" w:eastAsia="Times New Roman"/>
                <w:b w:val="0"/>
                <w:i w:val="0"/>
                <w:color w:val="000000"/>
                <w:sz w:val="18"/>
              </w:rPr>
              <w:t xml:space="preserve">0.50 </w:t>
            </w:r>
          </w:p>
        </w:tc>
      </w:tr>
      <w:tr>
        <w:trPr>
          <w:trHeight w:hRule="exact" w:val="324"/>
        </w:trPr>
        <w:tc>
          <w:tcPr>
            <w:tcW w:type="dxa" w:w="4820"/>
            <w:tcBorders>
              <w:start w:sz="2.3999999999999773" w:val="single" w:color="#000000"/>
              <w:top w:sz="1.6000000000003638" w:val="single" w:color="#000000"/>
              <w:end w:sz="2.399999999999636" w:val="single" w:color="#000000"/>
              <w:bottom w:sz="1.5999999999994543"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每10 股转增数（股） </w:t>
            </w:r>
          </w:p>
        </w:tc>
        <w:tc>
          <w:tcPr>
            <w:tcW w:type="dxa" w:w="4822"/>
            <w:tcBorders>
              <w:start w:sz="2.399999999999636" w:val="single" w:color="#000000"/>
              <w:top w:sz="1.6000000000003638" w:val="single" w:color="#000000"/>
              <w:end w:sz="1.5999999999994543" w:val="single" w:color="#000000"/>
              <w:bottom w:sz="1.5999999999994543" w:val="single" w:color="#000000"/>
            </w:tcBorders>
            <w:shd w:fill="d2d2d2"/>
            <w:tcMar>
              <w:start w:w="0" w:type="dxa"/>
              <w:end w:w="0" w:type="dxa"/>
            </w:tcMar>
          </w:tcPr>
          <w:p>
            <w:pPr>
              <w:autoSpaceDN w:val="0"/>
              <w:autoSpaceDE w:val="0"/>
              <w:widowControl/>
              <w:spacing w:line="230" w:lineRule="auto" w:before="74" w:after="0"/>
              <w:ind w:left="0" w:right="60" w:firstLine="0"/>
              <w:jc w:val="right"/>
            </w:pPr>
            <w:r>
              <w:rPr>
                <w:rFonts w:ascii="Times New Roman" w:hAnsi="Times New Roman" w:eastAsia="Times New Roman"/>
                <w:b w:val="0"/>
                <w:i w:val="0"/>
                <w:color w:val="000000"/>
                <w:sz w:val="18"/>
              </w:rPr>
              <w:t xml:space="preserve">0 </w:t>
            </w:r>
          </w:p>
        </w:tc>
      </w:tr>
      <w:tr>
        <w:trPr>
          <w:trHeight w:hRule="exact" w:val="326"/>
        </w:trPr>
        <w:tc>
          <w:tcPr>
            <w:tcW w:type="dxa" w:w="4820"/>
            <w:tcBorders>
              <w:start w:sz="2.3999999999999773" w:val="single" w:color="#000000"/>
              <w:top w:sz="1.5999999999994543" w:val="single" w:color="#000000"/>
              <w:end w:sz="2.399999999999636" w:val="single" w:color="#000000"/>
              <w:bottom w:sz="2.4000000000005457"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分配预案的股本基数（股） </w:t>
            </w:r>
          </w:p>
        </w:tc>
        <w:tc>
          <w:tcPr>
            <w:tcW w:type="dxa" w:w="4822"/>
            <w:tcBorders>
              <w:start w:sz="2.399999999999636" w:val="single" w:color="#000000"/>
              <w:top w:sz="1.5999999999994543" w:val="single" w:color="#000000"/>
              <w:end w:sz="1.5999999999994543" w:val="single" w:color="#000000"/>
              <w:bottom w:sz="2.4000000000005457" w:val="single" w:color="#000000"/>
            </w:tcBorders>
            <w:shd w:fill="d2d2d2"/>
            <w:tcMar>
              <w:start w:w="0" w:type="dxa"/>
              <w:end w:w="0" w:type="dxa"/>
            </w:tcMar>
          </w:tcPr>
          <w:p>
            <w:pPr>
              <w:autoSpaceDN w:val="0"/>
              <w:autoSpaceDE w:val="0"/>
              <w:widowControl/>
              <w:spacing w:line="230" w:lineRule="auto" w:before="74" w:after="0"/>
              <w:ind w:left="0" w:right="104" w:firstLine="0"/>
              <w:jc w:val="right"/>
            </w:pPr>
            <w:r>
              <w:rPr>
                <w:rFonts w:ascii="Times New Roman" w:hAnsi="Times New Roman" w:eastAsia="Times New Roman"/>
                <w:b w:val="0"/>
                <w:i w:val="0"/>
                <w:color w:val="000000"/>
                <w:sz w:val="18"/>
              </w:rPr>
              <w:t>3,589,771,547</w:t>
            </w:r>
          </w:p>
        </w:tc>
      </w:tr>
      <w:tr>
        <w:trPr>
          <w:trHeight w:hRule="exact" w:val="326"/>
        </w:trPr>
        <w:tc>
          <w:tcPr>
            <w:tcW w:type="dxa" w:w="4820"/>
            <w:tcBorders>
              <w:start w:sz="2.3999999999999773" w:val="single" w:color="#000000"/>
              <w:top w:sz="2.4000000000005457" w:val="single" w:color="#000000"/>
              <w:end w:sz="2.399999999999636" w:val="single" w:color="#000000"/>
              <w:bottom w:sz="2.399999999999636" w:val="single" w:color="#000000"/>
            </w:tcBorders>
            <w:shd w:fill="d2d2d2"/>
            <w:tcMar>
              <w:start w:w="0" w:type="dxa"/>
              <w:end w:w="0" w:type="dxa"/>
            </w:tcMar>
          </w:tcPr>
          <w:p>
            <w:pPr>
              <w:autoSpaceDN w:val="0"/>
              <w:autoSpaceDE w:val="0"/>
              <w:widowControl/>
              <w:spacing w:line="180" w:lineRule="exact" w:before="74" w:after="0"/>
              <w:ind w:left="108" w:right="0" w:firstLine="0"/>
              <w:jc w:val="left"/>
            </w:pPr>
            <w:r>
              <w:rPr>
                <w:rFonts w:ascii="宋体" w:hAnsi="宋体" w:eastAsia="宋体"/>
                <w:b w:val="0"/>
                <w:i w:val="0"/>
                <w:color w:val="000000"/>
                <w:sz w:val="18"/>
              </w:rPr>
              <w:t xml:space="preserve">现金分红金额（元）（含税） </w:t>
            </w:r>
          </w:p>
        </w:tc>
        <w:tc>
          <w:tcPr>
            <w:tcW w:type="dxa" w:w="4822"/>
            <w:tcBorders>
              <w:start w:sz="2.399999999999636" w:val="single" w:color="#000000"/>
              <w:top w:sz="2.4000000000005457" w:val="single" w:color="#000000"/>
              <w:end w:sz="1.5999999999994543" w:val="single" w:color="#000000"/>
              <w:bottom w:sz="2.399999999999636" w:val="single" w:color="#000000"/>
            </w:tcBorders>
            <w:shd w:fill="d2d2d2"/>
            <w:tcMar>
              <w:start w:w="0" w:type="dxa"/>
              <w:end w:w="0" w:type="dxa"/>
            </w:tcMar>
          </w:tcPr>
          <w:p>
            <w:pPr>
              <w:autoSpaceDN w:val="0"/>
              <w:autoSpaceDE w:val="0"/>
              <w:widowControl/>
              <w:spacing w:line="230" w:lineRule="auto" w:before="72" w:after="0"/>
              <w:ind w:left="0" w:right="102" w:firstLine="0"/>
              <w:jc w:val="right"/>
            </w:pPr>
            <w:r>
              <w:rPr>
                <w:rFonts w:ascii="Times New Roman" w:hAnsi="Times New Roman" w:eastAsia="Times New Roman"/>
                <w:b w:val="0"/>
                <w:i w:val="0"/>
                <w:color w:val="000000"/>
                <w:sz w:val="18"/>
              </w:rPr>
              <w:t xml:space="preserve">179,488,577 </w:t>
            </w:r>
          </w:p>
        </w:tc>
      </w:tr>
      <w:tr>
        <w:trPr>
          <w:trHeight w:hRule="exact" w:val="324"/>
        </w:trPr>
        <w:tc>
          <w:tcPr>
            <w:tcW w:type="dxa" w:w="4820"/>
            <w:tcBorders>
              <w:start w:sz="2.3999999999999773" w:val="single" w:color="#000000"/>
              <w:top w:sz="2.399999999999636" w:val="single" w:color="#000000"/>
              <w:end w:sz="2.399999999999636" w:val="single" w:color="#000000"/>
              <w:bottom w:sz="2.4000000000005457" w:val="single" w:color="#000000"/>
            </w:tcBorders>
            <w:shd w:fill="d2d2d2"/>
            <w:tcMar>
              <w:start w:w="0" w:type="dxa"/>
              <w:end w:w="0" w:type="dxa"/>
            </w:tcMar>
          </w:tcPr>
          <w:p>
            <w:pPr>
              <w:autoSpaceDN w:val="0"/>
              <w:autoSpaceDE w:val="0"/>
              <w:widowControl/>
              <w:spacing w:line="180" w:lineRule="exact" w:before="74" w:after="0"/>
              <w:ind w:left="108" w:right="0" w:firstLine="0"/>
              <w:jc w:val="left"/>
            </w:pPr>
            <w:r>
              <w:rPr>
                <w:rFonts w:ascii="宋体" w:hAnsi="宋体" w:eastAsia="宋体"/>
                <w:b w:val="0"/>
                <w:i w:val="0"/>
                <w:color w:val="000000"/>
                <w:sz w:val="18"/>
              </w:rPr>
              <w:t xml:space="preserve">以其他方式（如回购股份）现金分红金额（元） </w:t>
            </w:r>
          </w:p>
        </w:tc>
        <w:tc>
          <w:tcPr>
            <w:tcW w:type="dxa" w:w="4822"/>
            <w:tcBorders>
              <w:start w:sz="2.399999999999636" w:val="single" w:color="#000000"/>
              <w:top w:sz="2.399999999999636" w:val="single" w:color="#000000"/>
              <w:end w:sz="1.5999999999994543" w:val="single" w:color="#000000"/>
              <w:bottom w:sz="2.4000000000005457" w:val="single" w:color="#000000"/>
            </w:tcBorders>
            <w:shd w:fill="d2d2d2"/>
            <w:tcMar>
              <w:start w:w="0" w:type="dxa"/>
              <w:end w:w="0" w:type="dxa"/>
            </w:tcMar>
          </w:tcPr>
          <w:p>
            <w:pPr>
              <w:autoSpaceDN w:val="0"/>
              <w:autoSpaceDE w:val="0"/>
              <w:widowControl/>
              <w:spacing w:line="230" w:lineRule="auto" w:before="72" w:after="0"/>
              <w:ind w:left="0" w:right="60" w:firstLine="0"/>
              <w:jc w:val="right"/>
            </w:pPr>
            <w:r>
              <w:rPr>
                <w:rFonts w:ascii="Times New Roman" w:hAnsi="Times New Roman" w:eastAsia="Times New Roman"/>
                <w:b w:val="0"/>
                <w:i w:val="0"/>
                <w:color w:val="000000"/>
                <w:sz w:val="18"/>
              </w:rPr>
              <w:t xml:space="preserve">0 </w:t>
            </w:r>
          </w:p>
        </w:tc>
      </w:tr>
      <w:tr>
        <w:trPr>
          <w:trHeight w:hRule="exact" w:val="324"/>
        </w:trPr>
        <w:tc>
          <w:tcPr>
            <w:tcW w:type="dxa" w:w="4820"/>
            <w:tcBorders>
              <w:start w:sz="2.3999999999999773" w:val="single" w:color="#000000"/>
              <w:top w:sz="2.4000000000005457" w:val="single" w:color="#000000"/>
              <w:end w:sz="2.399999999999636" w:val="single" w:color="#000000"/>
              <w:bottom w:sz="2.399999999999636"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现金分红总额（含其他方式）（元） </w:t>
            </w:r>
          </w:p>
        </w:tc>
        <w:tc>
          <w:tcPr>
            <w:tcW w:type="dxa" w:w="4822"/>
            <w:tcBorders>
              <w:start w:sz="2.399999999999636" w:val="single" w:color="#000000"/>
              <w:top w:sz="2.4000000000005457" w:val="single" w:color="#000000"/>
              <w:end w:sz="1.5999999999994543" w:val="single" w:color="#000000"/>
              <w:bottom w:sz="2.399999999999636" w:val="single" w:color="#000000"/>
            </w:tcBorders>
            <w:shd w:fill="d2d2d2"/>
            <w:tcMar>
              <w:start w:w="0" w:type="dxa"/>
              <w:end w:w="0" w:type="dxa"/>
            </w:tcMar>
          </w:tcPr>
          <w:p>
            <w:pPr>
              <w:autoSpaceDN w:val="0"/>
              <w:autoSpaceDE w:val="0"/>
              <w:widowControl/>
              <w:spacing w:line="230" w:lineRule="auto" w:before="70" w:after="0"/>
              <w:ind w:left="0" w:right="102" w:firstLine="0"/>
              <w:jc w:val="right"/>
            </w:pPr>
            <w:r>
              <w:rPr>
                <w:rFonts w:ascii="Times New Roman" w:hAnsi="Times New Roman" w:eastAsia="Times New Roman"/>
                <w:b w:val="0"/>
                <w:i w:val="0"/>
                <w:color w:val="000000"/>
                <w:sz w:val="18"/>
              </w:rPr>
              <w:t xml:space="preserve">179,488,577 </w:t>
            </w:r>
          </w:p>
        </w:tc>
      </w:tr>
      <w:tr>
        <w:trPr>
          <w:trHeight w:hRule="exact" w:val="328"/>
        </w:trPr>
        <w:tc>
          <w:tcPr>
            <w:tcW w:type="dxa" w:w="4820"/>
            <w:tcBorders>
              <w:start w:sz="2.3999999999999773" w:val="single" w:color="#000000"/>
              <w:top w:sz="2.399999999999636"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可分配利润（元） </w:t>
            </w:r>
          </w:p>
        </w:tc>
        <w:tc>
          <w:tcPr>
            <w:tcW w:type="dxa" w:w="4822"/>
            <w:tcBorders>
              <w:start w:sz="2.399999999999636" w:val="single" w:color="#000000"/>
              <w:top w:sz="2.399999999999636"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233" w:lineRule="auto" w:before="72" w:after="0"/>
              <w:ind w:left="0" w:right="60" w:firstLine="0"/>
              <w:jc w:val="right"/>
            </w:pPr>
            <w:r>
              <w:rPr>
                <w:rFonts w:ascii="Times New Roman" w:hAnsi="Times New Roman" w:eastAsia="Times New Roman"/>
                <w:b w:val="0"/>
                <w:i w:val="0"/>
                <w:color w:val="000000"/>
                <w:sz w:val="18"/>
              </w:rPr>
              <w:t xml:space="preserve">1,343,703,243 </w:t>
            </w:r>
          </w:p>
        </w:tc>
      </w:tr>
      <w:tr>
        <w:trPr>
          <w:trHeight w:hRule="exact" w:val="324"/>
        </w:trPr>
        <w:tc>
          <w:tcPr>
            <w:tcW w:type="dxa" w:w="4820"/>
            <w:tcBorders>
              <w:start w:sz="2.3999999999999773" w:val="single" w:color="#000000"/>
              <w:top w:sz="1.6000000000003638" w:val="single" w:color="#000000"/>
              <w:end w:sz="2.399999999999636" w:val="single" w:color="#000000"/>
              <w:bottom w:sz="1.5999999999994543"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现金分红总额（含其他方式）占利润分配总额的比例 </w:t>
            </w:r>
          </w:p>
        </w:tc>
        <w:tc>
          <w:tcPr>
            <w:tcW w:type="dxa" w:w="4822"/>
            <w:tcBorders>
              <w:start w:sz="2.399999999999636" w:val="single" w:color="#000000"/>
              <w:top w:sz="1.6000000000003638" w:val="single" w:color="#000000"/>
              <w:end w:sz="1.5999999999994543" w:val="single" w:color="#000000"/>
              <w:bottom w:sz="1.5999999999994543" w:val="single" w:color="#000000"/>
            </w:tcBorders>
            <w:shd w:fill="d2d2d2"/>
            <w:tcMar>
              <w:start w:w="0" w:type="dxa"/>
              <w:end w:w="0" w:type="dxa"/>
            </w:tcMar>
          </w:tcPr>
          <w:p>
            <w:pPr>
              <w:autoSpaceDN w:val="0"/>
              <w:autoSpaceDE w:val="0"/>
              <w:widowControl/>
              <w:spacing w:line="233" w:lineRule="auto" w:before="70" w:after="0"/>
              <w:ind w:left="0" w:right="100" w:firstLine="0"/>
              <w:jc w:val="right"/>
            </w:pPr>
            <w:r>
              <w:rPr>
                <w:rFonts w:ascii="Times New Roman" w:hAnsi="Times New Roman" w:eastAsia="Times New Roman"/>
                <w:b w:val="0"/>
                <w:i w:val="0"/>
                <w:color w:val="000000"/>
                <w:sz w:val="18"/>
              </w:rPr>
              <w:t>100%</w:t>
            </w:r>
          </w:p>
        </w:tc>
      </w:tr>
      <w:tr>
        <w:trPr>
          <w:trHeight w:hRule="exact" w:val="324"/>
        </w:trPr>
        <w:tc>
          <w:tcPr>
            <w:tcW w:type="dxa" w:w="9642"/>
            <w:gridSpan w:val="2"/>
            <w:tcBorders>
              <w:start w:sz="2.3999999999999773" w:val="single" w:color="#000000"/>
              <w:top w:sz="1.5999999999994543" w:val="single" w:color="#000000"/>
              <w:end w:sz="1.5999999999994543" w:val="single" w:color="#000000"/>
              <w:bottom w:sz="1.6000000000003638" w:val="single" w:color="#000000"/>
            </w:tcBorders>
            <w:shd w:fill="d2d2d2"/>
            <w:tcMar>
              <w:start w:w="0" w:type="dxa"/>
              <w:end w:w="0" w:type="dxa"/>
            </w:tcMar>
            <w:tcMar>
              <w:start w:w="0" w:type="dxa"/>
              <w:end w:w="0" w:type="dxa"/>
            </w:tcMar>
          </w:tcPr>
          <w:p>
            <w:pPr>
              <w:autoSpaceDN w:val="0"/>
              <w:autoSpaceDE w:val="0"/>
              <w:widowControl/>
              <w:spacing w:line="180" w:lineRule="exact" w:before="76" w:after="0"/>
              <w:ind w:left="0" w:right="4004" w:firstLine="0"/>
              <w:jc w:val="right"/>
            </w:pPr>
            <w:r>
              <w:rPr>
                <w:rFonts w:ascii="宋体" w:hAnsi="宋体" w:eastAsia="宋体"/>
                <w:b w:val="0"/>
                <w:i w:val="0"/>
                <w:color w:val="000000"/>
                <w:sz w:val="18"/>
              </w:rPr>
              <w:t xml:space="preserve">本次现金分红情况 </w:t>
            </w:r>
          </w:p>
        </w:tc>
      </w:tr>
      <w:tr>
        <w:trPr>
          <w:trHeight w:hRule="exact" w:val="646"/>
        </w:trPr>
        <w:tc>
          <w:tcPr>
            <w:tcW w:type="dxa" w:w="9642"/>
            <w:gridSpan w:val="2"/>
            <w:tcBorders>
              <w:start w:sz="2.3999999999999773" w:val="single" w:color="#000000"/>
              <w:top w:sz="1.6000000000003638" w:val="single" w:color="#000000"/>
              <w:end w:sz="1.5999999999994543" w:val="single" w:color="#000000"/>
              <w:bottom w:sz="1.5999999999994543" w:val="single" w:color="#000000"/>
            </w:tcBorders>
            <w:tcMar>
              <w:start w:w="0" w:type="dxa"/>
              <w:end w:w="0" w:type="dxa"/>
            </w:tcMar>
            <w:tcMar>
              <w:start w:w="0" w:type="dxa"/>
              <w:end w:w="0" w:type="dxa"/>
            </w:tcMar>
          </w:tcPr>
          <w:p>
            <w:pPr>
              <w:autoSpaceDN w:val="0"/>
              <w:tabs>
                <w:tab w:pos="468" w:val="left"/>
              </w:tabs>
              <w:autoSpaceDE w:val="0"/>
              <w:widowControl/>
              <w:spacing w:line="308" w:lineRule="exact" w:before="0" w:after="0"/>
              <w:ind w:left="108" w:right="0" w:firstLine="0"/>
              <w:jc w:val="left"/>
            </w:pPr>
            <w:r>
              <w:tab/>
            </w:r>
            <w:r>
              <w:rPr>
                <w:rFonts w:ascii="宋体" w:hAnsi="宋体" w:eastAsia="宋体"/>
                <w:b w:val="0"/>
                <w:i w:val="0"/>
                <w:color w:val="000000"/>
                <w:sz w:val="18"/>
              </w:rPr>
              <w:t>以公司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年末总股本</w:t>
            </w:r>
            <w:r>
              <w:rPr>
                <w:rFonts w:ascii="Times New Roman" w:hAnsi="Times New Roman" w:eastAsia="Times New Roman"/>
                <w:b w:val="0"/>
                <w:i w:val="0"/>
                <w:color w:val="000000"/>
                <w:sz w:val="18"/>
              </w:rPr>
              <w:t>3,589,771,547</w:t>
            </w:r>
            <w:r>
              <w:rPr>
                <w:rFonts w:ascii="宋体" w:hAnsi="宋体" w:eastAsia="宋体"/>
                <w:b w:val="0"/>
                <w:i w:val="0"/>
                <w:color w:val="000000"/>
                <w:sz w:val="18"/>
              </w:rPr>
              <w:t xml:space="preserve"> 股为基数，拟向全体股东每</w:t>
            </w:r>
            <w:r>
              <w:rPr>
                <w:rFonts w:ascii="Times New Roman" w:hAnsi="Times New Roman" w:eastAsia="Times New Roman"/>
                <w:b w:val="0"/>
                <w:i w:val="0"/>
                <w:color w:val="000000"/>
                <w:sz w:val="18"/>
              </w:rPr>
              <w:t>10</w:t>
            </w:r>
            <w:r>
              <w:rPr>
                <w:rFonts w:ascii="宋体" w:hAnsi="宋体" w:eastAsia="宋体"/>
                <w:b w:val="0"/>
                <w:i w:val="0"/>
                <w:color w:val="000000"/>
                <w:sz w:val="18"/>
              </w:rPr>
              <w:t xml:space="preserve"> 股派发现金红利</w:t>
            </w:r>
            <w:r>
              <w:rPr>
                <w:rFonts w:ascii="Times New Roman" w:hAnsi="Times New Roman" w:eastAsia="Times New Roman"/>
                <w:b w:val="0"/>
                <w:i w:val="0"/>
                <w:color w:val="000000"/>
                <w:sz w:val="18"/>
              </w:rPr>
              <w:t>0.50</w:t>
            </w:r>
            <w:r>
              <w:rPr>
                <w:rFonts w:ascii="宋体" w:hAnsi="宋体" w:eastAsia="宋体"/>
                <w:b w:val="0"/>
                <w:i w:val="0"/>
                <w:color w:val="000000"/>
                <w:sz w:val="18"/>
              </w:rPr>
              <w:t xml:space="preserve"> 元（含税），共分配现金</w:t>
            </w:r>
            <w:r>
              <w:rPr>
                <w:rFonts w:ascii="宋体" w:hAnsi="宋体" w:eastAsia="宋体"/>
                <w:b w:val="0"/>
                <w:i w:val="0"/>
                <w:color w:val="000000"/>
                <w:sz w:val="18"/>
              </w:rPr>
              <w:t>红利</w:t>
            </w:r>
            <w:r>
              <w:rPr>
                <w:rFonts w:ascii="Times New Roman" w:hAnsi="Times New Roman" w:eastAsia="Times New Roman"/>
                <w:b w:val="0"/>
                <w:i w:val="0"/>
                <w:color w:val="000000"/>
                <w:sz w:val="18"/>
              </w:rPr>
              <w:t>179,488,577</w:t>
            </w:r>
            <w:r>
              <w:rPr>
                <w:rFonts w:ascii="宋体" w:hAnsi="宋体" w:eastAsia="宋体"/>
                <w:b w:val="0"/>
                <w:i w:val="0"/>
                <w:color w:val="000000"/>
                <w:sz w:val="18"/>
              </w:rPr>
              <w:t xml:space="preserve"> 元，不送红股，不以公积金转增股本。</w:t>
            </w:r>
          </w:p>
        </w:tc>
      </w:tr>
      <w:tr>
        <w:trPr>
          <w:trHeight w:hRule="exact" w:val="326"/>
        </w:trPr>
        <w:tc>
          <w:tcPr>
            <w:tcW w:type="dxa" w:w="9642"/>
            <w:gridSpan w:val="2"/>
            <w:tcBorders>
              <w:start w:sz="2.3999999999999773" w:val="single" w:color="#000000"/>
              <w:top w:sz="1.5999999999994543" w:val="single" w:color="#000000"/>
              <w:end w:sz="1.5999999999994543" w:val="single" w:color="#000000"/>
              <w:bottom w:sz="1.6000000000003638" w:val="single" w:color="#000000"/>
            </w:tcBorders>
            <w:shd w:fill="d2d2d2"/>
            <w:tcMar>
              <w:start w:w="0" w:type="dxa"/>
              <w:end w:w="0" w:type="dxa"/>
            </w:tcMar>
            <w:tcMar>
              <w:start w:w="0" w:type="dxa"/>
              <w:end w:w="0" w:type="dxa"/>
            </w:tcMar>
          </w:tcPr>
          <w:p>
            <w:pPr>
              <w:autoSpaceDN w:val="0"/>
              <w:autoSpaceDE w:val="0"/>
              <w:widowControl/>
              <w:spacing w:line="180" w:lineRule="exact" w:before="76" w:after="0"/>
              <w:ind w:left="0" w:right="2830" w:firstLine="0"/>
              <w:jc w:val="right"/>
            </w:pPr>
            <w:r>
              <w:rPr>
                <w:rFonts w:ascii="宋体" w:hAnsi="宋体" w:eastAsia="宋体"/>
                <w:b w:val="0"/>
                <w:i w:val="0"/>
                <w:color w:val="000000"/>
                <w:sz w:val="18"/>
              </w:rPr>
              <w:t xml:space="preserve">利润分配或资本公积金转增预案的详细情况说明 </w:t>
            </w:r>
          </w:p>
        </w:tc>
      </w:tr>
      <w:tr>
        <w:trPr>
          <w:trHeight w:hRule="exact" w:val="726"/>
        </w:trPr>
        <w:tc>
          <w:tcPr>
            <w:tcW w:type="dxa" w:w="9642"/>
            <w:gridSpan w:val="2"/>
            <w:tcBorders>
              <w:start w:sz="2.3999999999999773" w:val="single" w:color="#000000"/>
              <w:top w:sz="1.6000000000003638" w:val="single" w:color="#000000"/>
              <w:end w:sz="1.5999999999994543" w:val="single" w:color="#000000"/>
              <w:bottom w:sz="2.399999999999636" w:val="single" w:color="#000000"/>
            </w:tcBorders>
            <w:tcMar>
              <w:start w:w="0" w:type="dxa"/>
              <w:end w:w="0" w:type="dxa"/>
            </w:tcMar>
            <w:tcMar>
              <w:start w:w="0" w:type="dxa"/>
              <w:end w:w="0" w:type="dxa"/>
            </w:tcMar>
          </w:tcPr>
          <w:p>
            <w:pPr>
              <w:autoSpaceDN w:val="0"/>
              <w:autoSpaceDE w:val="0"/>
              <w:widowControl/>
              <w:spacing w:line="336" w:lineRule="exact" w:before="0" w:after="0"/>
              <w:ind w:left="108" w:right="0" w:firstLine="360"/>
              <w:jc w:val="left"/>
            </w:pPr>
            <w:r>
              <w:rPr>
                <w:rFonts w:ascii="宋体" w:hAnsi="宋体" w:eastAsia="宋体"/>
                <w:b w:val="0"/>
                <w:i w:val="0"/>
                <w:color w:val="000000"/>
                <w:sz w:val="18"/>
              </w:rPr>
              <w:t>根据安永华明会计师事务所（特殊普通合伙）的审定数，2024 年公司合并报表归属于上市公司股东的净利润为</w:t>
            </w:r>
            <w:r>
              <w:rPr>
                <w:rFonts w:ascii="宋体" w:hAnsi="宋体" w:eastAsia="宋体"/>
                <w:b w:val="0"/>
                <w:i w:val="0"/>
                <w:color w:val="000000"/>
                <w:sz w:val="18"/>
              </w:rPr>
              <w:t>711,831,847 元，母公司净利润为620,167,456 元，期末公司合并报表累计未分配利润为1,935,706,952 元，母公司报</w:t>
            </w:r>
          </w:p>
        </w:tc>
      </w:tr>
    </w:tbl>
    <w:p>
      <w:pPr>
        <w:autoSpaceDN w:val="0"/>
        <w:autoSpaceDE w:val="0"/>
        <w:widowControl/>
        <w:spacing w:line="197" w:lineRule="auto" w:before="510" w:after="0"/>
        <w:ind w:left="0" w:right="4738" w:firstLine="0"/>
        <w:jc w:val="right"/>
      </w:pPr>
      <w:r>
        <w:rPr>
          <w:rFonts w:ascii="Calibri" w:hAnsi="Calibri" w:eastAsia="Calibri"/>
          <w:b w:val="0"/>
          <w:i w:val="0"/>
          <w:color w:val="000000"/>
          <w:sz w:val="18"/>
        </w:rPr>
        <w:t xml:space="preserve">94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97" name="Picture 9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022" w:header="720" w:footer="720" w:gutter="0"/>
          <w:cols w:num="2" w:equalWidth="0">
            <w:col w:w="5518"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022" w:header="720" w:footer="720" w:gutter="0"/>
          <w:cols w:num="2" w:equalWidth="0">
            <w:col w:w="5518" w:space="0"/>
            <w:col w:w="4280" w:space="0"/>
          </w:cols>
          <w:docGrid w:linePitch="360"/>
        </w:sectPr>
      </w:pPr>
    </w:p>
    <w:tbl>
      <w:tblPr>
        <w:tblW w:type="auto" w:w="0"/>
        <w:tblLayout w:type="fixed"/>
        <w:tblLook w:firstColumn="1" w:firstRow="1" w:lastColumn="0" w:lastRow="0" w:noHBand="0" w:noVBand="1" w:val="04A0"/>
        <w:tblInd w:w="2.0000000000000284" w:type="dxa"/>
      </w:tblPr>
      <w:tblGrid>
        <w:gridCol w:w="4899"/>
        <w:gridCol w:w="4899"/>
      </w:tblGrid>
      <w:tr>
        <w:trPr>
          <w:trHeight w:hRule="exact" w:val="5010"/>
        </w:trPr>
        <w:tc>
          <w:tcPr>
            <w:tcW w:type="dxa" w:w="9642"/>
            <w:tcBorders>
              <w:start w:sz="2.3999999999999773" w:val="single" w:color="#000000"/>
              <w:top w:sz="1.6000000000000227"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38" w:after="0"/>
              <w:ind w:left="108" w:right="0" w:firstLine="0"/>
              <w:jc w:val="left"/>
            </w:pPr>
            <w:r>
              <w:rPr>
                <w:rFonts w:ascii="宋体" w:hAnsi="宋体" w:eastAsia="宋体"/>
                <w:b w:val="0"/>
                <w:i w:val="0"/>
                <w:color w:val="000000"/>
                <w:sz w:val="18"/>
              </w:rPr>
              <w:t xml:space="preserve">表累计未分配利润为1,767,332,260 元，截至2023 年末母公司可供分配利润为1,291,094,490 元。 </w:t>
            </w:r>
          </w:p>
          <w:p>
            <w:pPr>
              <w:autoSpaceDN w:val="0"/>
              <w:tabs>
                <w:tab w:pos="468" w:val="left"/>
              </w:tabs>
              <w:autoSpaceDE w:val="0"/>
              <w:widowControl/>
              <w:spacing w:line="360" w:lineRule="exact" w:before="0" w:after="0"/>
              <w:ind w:left="108" w:right="0" w:firstLine="0"/>
              <w:jc w:val="left"/>
            </w:pPr>
            <w:r>
              <w:tab/>
            </w:r>
            <w:r>
              <w:rPr>
                <w:rFonts w:ascii="宋体" w:hAnsi="宋体" w:eastAsia="宋体"/>
                <w:b w:val="0"/>
                <w:i w:val="0"/>
                <w:color w:val="000000"/>
                <w:sz w:val="18"/>
              </w:rPr>
              <w:t>根据《公司法》《证券法》《金融企业财务规则》和《公司章程》的有关规定，从股东利益和公司发展等综合因素考</w:t>
            </w:r>
            <w:r>
              <w:rPr>
                <w:rFonts w:ascii="宋体" w:hAnsi="宋体" w:eastAsia="宋体"/>
                <w:b w:val="0"/>
                <w:i w:val="0"/>
                <w:color w:val="000000"/>
                <w:sz w:val="18"/>
              </w:rPr>
              <w:t xml:space="preserve">虑，公司2024 年度利润分配预案如下： </w:t>
            </w:r>
            <w:r>
              <w:br/>
            </w:r>
            <w:r>
              <w:tab/>
            </w:r>
            <w:r>
              <w:rPr>
                <w:rFonts w:ascii="宋体" w:hAnsi="宋体" w:eastAsia="宋体"/>
                <w:b w:val="0"/>
                <w:i w:val="0"/>
                <w:color w:val="000000"/>
                <w:sz w:val="18"/>
              </w:rPr>
              <w:t>2024 年度山西证券母公司实现净利润为620,167,456 元，按照相关规定，提取10%的法定盈余公积金62,016,746</w:t>
            </w:r>
            <w:r>
              <w:rPr>
                <w:rFonts w:ascii="宋体" w:hAnsi="宋体" w:eastAsia="宋体"/>
                <w:b w:val="0"/>
                <w:i w:val="0"/>
                <w:color w:val="000000"/>
                <w:sz w:val="18"/>
              </w:rPr>
              <w:t>元，提取10%的交易风险准备金62,016,746 元，提取10%的一般风险准备金62,016,746 元，扣除公允价值变动损益及</w:t>
            </w:r>
            <w:r>
              <w:rPr>
                <w:rFonts w:ascii="宋体" w:hAnsi="宋体" w:eastAsia="宋体"/>
                <w:b w:val="0"/>
                <w:i w:val="0"/>
                <w:color w:val="000000"/>
                <w:sz w:val="18"/>
              </w:rPr>
              <w:t xml:space="preserve">其所得税费用202,019,888 元以及2024 年中期利润分配179,488,577 元后，剩余可供分配利润1,343,703,243 元。 </w:t>
            </w:r>
          </w:p>
          <w:p>
            <w:pPr>
              <w:autoSpaceDN w:val="0"/>
              <w:autoSpaceDE w:val="0"/>
              <w:widowControl/>
              <w:spacing w:line="360" w:lineRule="exact" w:before="0" w:after="0"/>
              <w:ind w:left="108" w:right="100" w:firstLine="360"/>
              <w:jc w:val="both"/>
            </w:pPr>
            <w:r>
              <w:rPr>
                <w:rFonts w:ascii="宋体" w:hAnsi="宋体" w:eastAsia="宋体"/>
                <w:b w:val="0"/>
                <w:i w:val="0"/>
                <w:color w:val="000000"/>
                <w:sz w:val="18"/>
              </w:rPr>
              <w:t>以公司2024 年末总股本3,589,771,547 股为基数，拟向全体股东每10 股派发现金红利0.50 元（含税），共分配现</w:t>
            </w:r>
            <w:r>
              <w:rPr>
                <w:rFonts w:ascii="宋体" w:hAnsi="宋体" w:eastAsia="宋体"/>
                <w:b w:val="0"/>
                <w:i w:val="0"/>
                <w:color w:val="000000"/>
                <w:sz w:val="18"/>
              </w:rPr>
              <w:t>金红利179,488,577 元，本次现金分红占2024 年合并报表归属于上市公司股东净利润比例为25.22%，剩余未分配利润</w:t>
            </w:r>
            <w:r>
              <w:rPr>
                <w:rFonts w:ascii="宋体" w:hAnsi="宋体" w:eastAsia="宋体"/>
                <w:b w:val="0"/>
                <w:i w:val="0"/>
                <w:color w:val="000000"/>
                <w:sz w:val="18"/>
              </w:rPr>
              <w:t>1,164,214,666 元转入下一年度。公司已于2024 年12 月27 日完成了2024 年前三季度利润分配事宜，共派发现金</w:t>
            </w:r>
            <w:r>
              <w:rPr>
                <w:rFonts w:ascii="宋体" w:hAnsi="宋体" w:eastAsia="宋体"/>
                <w:b w:val="0"/>
                <w:i w:val="0"/>
                <w:color w:val="000000"/>
                <w:sz w:val="18"/>
              </w:rPr>
              <w:t>179,488,577 元，结合本次利润分配预案，公司全年合计分配现金股利总额为358,977,154 元，占公司2024 年合并报表</w:t>
            </w:r>
            <w:r>
              <w:rPr>
                <w:rFonts w:ascii="宋体" w:hAnsi="宋体" w:eastAsia="宋体"/>
                <w:b w:val="0"/>
                <w:i w:val="0"/>
                <w:color w:val="000000"/>
                <w:sz w:val="18"/>
              </w:rPr>
              <w:t xml:space="preserve">归属于上市公司股东净利润的50.43%。 </w:t>
            </w:r>
          </w:p>
          <w:p>
            <w:pPr>
              <w:autoSpaceDN w:val="0"/>
              <w:tabs>
                <w:tab w:pos="468" w:val="left"/>
              </w:tabs>
              <w:autoSpaceDE w:val="0"/>
              <w:widowControl/>
              <w:spacing w:line="360" w:lineRule="exact" w:before="0" w:after="0"/>
              <w:ind w:left="108" w:right="0" w:firstLine="0"/>
              <w:jc w:val="left"/>
            </w:pPr>
            <w:r>
              <w:tab/>
            </w:r>
            <w:r>
              <w:rPr>
                <w:rFonts w:ascii="宋体" w:hAnsi="宋体" w:eastAsia="宋体"/>
                <w:b w:val="0"/>
                <w:i w:val="0"/>
                <w:color w:val="000000"/>
                <w:sz w:val="18"/>
              </w:rPr>
              <w:t>在权益分派预案披露日至实施期间，公司股本总额若发生变化，公司将按照现金分红总额不变的原则，以分红派息</w:t>
            </w:r>
            <w:r>
              <w:rPr>
                <w:rFonts w:ascii="宋体" w:hAnsi="宋体" w:eastAsia="宋体"/>
                <w:b w:val="0"/>
                <w:i w:val="0"/>
                <w:color w:val="000000"/>
                <w:sz w:val="18"/>
              </w:rPr>
              <w:t>股权登记日的总股本为基数调整分配比例。本年度不送红股，不进行资本公积金转增股本。</w:t>
            </w:r>
          </w:p>
          <w:p>
            <w:pPr>
              <w:autoSpaceDN w:val="0"/>
              <w:autoSpaceDE w:val="0"/>
              <w:widowControl/>
              <w:spacing w:line="200" w:lineRule="exact" w:before="144" w:after="0"/>
              <w:ind w:left="468" w:right="0" w:firstLine="0"/>
              <w:jc w:val="left"/>
            </w:pPr>
            <w:r>
              <w:rPr>
                <w:rFonts w:ascii="宋体" w:hAnsi="宋体" w:eastAsia="宋体"/>
                <w:b w:val="0"/>
                <w:i w:val="0"/>
                <w:color w:val="000000"/>
                <w:sz w:val="18"/>
              </w:rPr>
              <w:t>本预案已经公司第四届董事会第二十五次会议审议通过，将提交公司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年度股东大会审议。</w:t>
            </w:r>
          </w:p>
        </w:tc>
        <w:tc>
          <w:tcPr>
            <w:tcW w:type="dxa" w:w="134"/>
            <w:tcBorders>
              <w:start w:sz="1.5999999999994543" w:val="single" w:color="#000000"/>
              <w:top w:sz="5.600000000000023" w:val="single" w:color="#000000"/>
            </w:tcBorders>
            <w:tcMar>
              <w:start w:w="0" w:type="dxa"/>
              <w:end w:w="0" w:type="dxa"/>
            </w:tcMar>
          </w:tcPr>
          <w:p/>
        </w:tc>
      </w:tr>
    </w:tbl>
    <w:p>
      <w:pPr>
        <w:autoSpaceDN w:val="0"/>
        <w:autoSpaceDE w:val="0"/>
        <w:widowControl/>
        <w:spacing w:line="240" w:lineRule="exact" w:before="350" w:after="0"/>
        <w:ind w:left="112" w:right="0" w:firstLine="0"/>
        <w:jc w:val="left"/>
      </w:pPr>
      <w:r>
        <w:rPr>
          <w:rFonts w:ascii="宋体" w:hAnsi="宋体" w:eastAsia="宋体"/>
          <w:b w:val="0"/>
          <w:i w:val="0"/>
          <w:color w:val="000000"/>
          <w:sz w:val="24"/>
        </w:rPr>
        <w:t xml:space="preserve">十二、公司股权激励计划、员工持股计划或其他员工激励措施的实施情况 </w:t>
      </w:r>
    </w:p>
    <w:p>
      <w:pPr>
        <w:autoSpaceDN w:val="0"/>
        <w:autoSpaceDE w:val="0"/>
        <w:widowControl/>
        <w:spacing w:line="324" w:lineRule="exact" w:before="236" w:after="0"/>
        <w:ind w:left="112" w:right="3168" w:firstLine="0"/>
        <w:jc w:val="left"/>
      </w:pPr>
      <w:r>
        <w:rPr>
          <w:rFonts w:ascii="宋体" w:hAnsi="宋体" w:eastAsia="宋体"/>
          <w:b w:val="0"/>
          <w:i w:val="0"/>
          <w:color w:val="000000"/>
          <w:sz w:val="18"/>
        </w:rPr>
        <w:t xml:space="preserve">□适用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不适用 </w:t>
      </w:r>
      <w:r>
        <w:br/>
      </w:r>
      <w:r>
        <w:rPr>
          <w:rFonts w:ascii="宋体" w:hAnsi="宋体" w:eastAsia="宋体"/>
          <w:b w:val="0"/>
          <w:i w:val="0"/>
          <w:color w:val="000000"/>
          <w:sz w:val="18"/>
        </w:rPr>
        <w:t xml:space="preserve">公司报告期无股权激励计划、员工持股计划或其他员工激励措施及其实施情况。 </w:t>
      </w:r>
    </w:p>
    <w:p>
      <w:pPr>
        <w:autoSpaceDN w:val="0"/>
        <w:autoSpaceDE w:val="0"/>
        <w:widowControl/>
        <w:spacing w:line="240" w:lineRule="exact" w:before="376" w:after="0"/>
        <w:ind w:left="112" w:right="0" w:firstLine="0"/>
        <w:jc w:val="left"/>
      </w:pPr>
      <w:r>
        <w:rPr>
          <w:rFonts w:ascii="宋体" w:hAnsi="宋体" w:eastAsia="宋体"/>
          <w:b w:val="0"/>
          <w:i w:val="0"/>
          <w:color w:val="000000"/>
          <w:sz w:val="24"/>
        </w:rPr>
        <w:t xml:space="preserve">十三、报告期内的内部控制制度建设及实施情况 </w:t>
      </w:r>
    </w:p>
    <w:p>
      <w:pPr>
        <w:autoSpaceDN w:val="0"/>
        <w:autoSpaceDE w:val="0"/>
        <w:widowControl/>
        <w:spacing w:line="210" w:lineRule="exact" w:before="374" w:after="0"/>
        <w:ind w:left="112" w:right="0" w:firstLine="0"/>
        <w:jc w:val="left"/>
      </w:pPr>
      <w:r>
        <w:rPr>
          <w:rFonts w:ascii="宋体" w:hAnsi="宋体" w:eastAsia="宋体"/>
          <w:b w:val="0"/>
          <w:i w:val="0"/>
          <w:color w:val="000000"/>
          <w:sz w:val="21"/>
        </w:rPr>
        <w:t xml:space="preserve">1、内部控制建设及实施情况 </w:t>
      </w:r>
    </w:p>
    <w:p>
      <w:pPr>
        <w:autoSpaceDN w:val="0"/>
        <w:autoSpaceDE w:val="0"/>
        <w:widowControl/>
        <w:spacing w:line="460" w:lineRule="exact" w:before="262" w:after="0"/>
        <w:ind w:left="112" w:right="50" w:firstLine="420"/>
        <w:jc w:val="both"/>
      </w:pPr>
      <w:r>
        <w:rPr>
          <w:rFonts w:ascii="宋体" w:hAnsi="宋体" w:eastAsia="宋体"/>
          <w:b w:val="0"/>
          <w:i w:val="0"/>
          <w:color w:val="000000"/>
          <w:sz w:val="21"/>
        </w:rPr>
        <w:t>公司建立了完善的内部控制组织架构，涵盖董事会、监事会、高级管理层、内部控制部门及其他各</w:t>
      </w:r>
      <w:r>
        <w:rPr>
          <w:rFonts w:ascii="宋体" w:hAnsi="宋体" w:eastAsia="宋体"/>
          <w:b w:val="0"/>
          <w:i w:val="0"/>
          <w:color w:val="000000"/>
          <w:sz w:val="21"/>
        </w:rPr>
        <w:t>职能、业务部门，明确了各层级的职责分工，确保内部控制的有效性。公司将内部控制理念贯穿于经营</w:t>
      </w:r>
      <w:r>
        <w:rPr>
          <w:rFonts w:ascii="宋体" w:hAnsi="宋体" w:eastAsia="宋体"/>
          <w:b w:val="0"/>
          <w:i w:val="0"/>
          <w:color w:val="000000"/>
          <w:sz w:val="21"/>
        </w:rPr>
        <w:t>管理、业务拓展各环节，持续加强员工风险意识和合规意识。公司建立了科学的风险识别与评估机制，</w:t>
      </w:r>
      <w:r>
        <w:rPr>
          <w:rFonts w:ascii="宋体" w:hAnsi="宋体" w:eastAsia="宋体"/>
          <w:b w:val="0"/>
          <w:i w:val="0"/>
          <w:color w:val="000000"/>
          <w:sz w:val="21"/>
        </w:rPr>
        <w:t>制定了相应的控制措施和业务流程，将风险控制在可承受的范围内，有效防范各类风险，确保各项业务</w:t>
      </w:r>
      <w:r>
        <w:rPr>
          <w:rFonts w:ascii="宋体" w:hAnsi="宋体" w:eastAsia="宋体"/>
          <w:b w:val="0"/>
          <w:i w:val="0"/>
          <w:color w:val="000000"/>
          <w:sz w:val="21"/>
        </w:rPr>
        <w:t>活动规范稳健。持续加强内控系统的智能化建设，实现业务数据的集中管理和分析，提升风险识别和监</w:t>
      </w:r>
      <w:r>
        <w:rPr>
          <w:rFonts w:ascii="宋体" w:hAnsi="宋体" w:eastAsia="宋体"/>
          <w:b w:val="0"/>
          <w:i w:val="0"/>
          <w:color w:val="000000"/>
          <w:sz w:val="21"/>
        </w:rPr>
        <w:t>控的精准度。强化信息沟通与报告机制，通过定期报告和专项报告等方式，及时向董事会、监事会及高</w:t>
      </w:r>
      <w:r>
        <w:rPr>
          <w:rFonts w:ascii="宋体" w:hAnsi="宋体" w:eastAsia="宋体"/>
          <w:b w:val="0"/>
          <w:i w:val="0"/>
          <w:color w:val="000000"/>
          <w:sz w:val="21"/>
        </w:rPr>
        <w:t xml:space="preserve">级管理层报告内部控制工作的进展、问题及整改情况。 </w:t>
      </w:r>
    </w:p>
    <w:p>
      <w:pPr>
        <w:autoSpaceDN w:val="0"/>
        <w:tabs>
          <w:tab w:pos="532" w:val="left"/>
        </w:tabs>
        <w:autoSpaceDE w:val="0"/>
        <w:widowControl/>
        <w:spacing w:line="460" w:lineRule="exact" w:before="0" w:after="0"/>
        <w:ind w:left="112" w:right="0" w:firstLine="0"/>
        <w:jc w:val="left"/>
      </w:pPr>
      <w:r>
        <w:tab/>
      </w:r>
      <w:r>
        <w:rPr>
          <w:rFonts w:ascii="宋体" w:hAnsi="宋体" w:eastAsia="宋体"/>
          <w:b w:val="0"/>
          <w:i w:val="0"/>
          <w:color w:val="000000"/>
          <w:sz w:val="21"/>
        </w:rPr>
        <w:t>公司通过持续完善内部控制体系，有效降低了违规事件和风险事件的发生率。报告期内，未发现内</w:t>
      </w:r>
      <w:r>
        <w:rPr>
          <w:rFonts w:ascii="宋体" w:hAnsi="宋体" w:eastAsia="宋体"/>
          <w:b w:val="0"/>
          <w:i w:val="0"/>
          <w:color w:val="000000"/>
          <w:sz w:val="21"/>
        </w:rPr>
        <w:t xml:space="preserve">部控制重大缺陷。 </w:t>
      </w:r>
    </w:p>
    <w:p>
      <w:pPr>
        <w:autoSpaceDN w:val="0"/>
        <w:autoSpaceDE w:val="0"/>
        <w:widowControl/>
        <w:spacing w:line="212" w:lineRule="exact" w:before="404" w:after="0"/>
        <w:ind w:left="112" w:right="0" w:firstLine="0"/>
        <w:jc w:val="left"/>
      </w:pPr>
      <w:r>
        <w:rPr>
          <w:rFonts w:ascii="宋体" w:hAnsi="宋体" w:eastAsia="宋体"/>
          <w:b w:val="0"/>
          <w:i w:val="0"/>
          <w:color w:val="000000"/>
          <w:sz w:val="21"/>
        </w:rPr>
        <w:t xml:space="preserve">2、报告期内发现的内部控制重大缺陷的具体情况 </w:t>
      </w:r>
    </w:p>
    <w:p>
      <w:pPr>
        <w:autoSpaceDN w:val="0"/>
        <w:autoSpaceDE w:val="0"/>
        <w:widowControl/>
        <w:spacing w:line="342" w:lineRule="exact" w:before="200" w:after="0"/>
        <w:ind w:left="112" w:right="6624" w:firstLine="0"/>
        <w:jc w:val="left"/>
      </w:pPr>
      <w:r>
        <w:rPr>
          <w:rFonts w:ascii="宋体" w:hAnsi="宋体" w:eastAsia="宋体"/>
          <w:b w:val="0"/>
          <w:i w:val="0"/>
          <w:color w:val="000000"/>
          <w:sz w:val="18"/>
        </w:rPr>
        <w:t xml:space="preserve">□是 √否 </w:t>
      </w:r>
      <w:r>
        <w:br/>
      </w:r>
      <w:r>
        <w:rPr>
          <w:rFonts w:ascii="宋体" w:hAnsi="宋体" w:eastAsia="宋体"/>
          <w:b w:val="0"/>
          <w:i w:val="0"/>
          <w:color w:val="000000"/>
          <w:sz w:val="18"/>
        </w:rPr>
        <w:t xml:space="preserve">报告期内未发现内部控制重大缺陷。 </w:t>
      </w:r>
    </w:p>
    <w:p>
      <w:pPr>
        <w:autoSpaceDN w:val="0"/>
        <w:autoSpaceDE w:val="0"/>
        <w:widowControl/>
        <w:spacing w:line="197" w:lineRule="auto" w:before="552" w:after="0"/>
        <w:ind w:left="0" w:right="4738" w:firstLine="0"/>
        <w:jc w:val="right"/>
      </w:pPr>
      <w:r>
        <w:rPr>
          <w:rFonts w:ascii="Calibri" w:hAnsi="Calibri" w:eastAsia="Calibri"/>
          <w:b w:val="0"/>
          <w:i w:val="0"/>
          <w:color w:val="000000"/>
          <w:sz w:val="18"/>
        </w:rPr>
        <w:t xml:space="preserve">95 </w:t>
      </w:r>
    </w:p>
    <w:p>
      <w:pPr>
        <w:sectPr>
          <w:type w:val="continuous"/>
          <w:pgSz w:w="11904" w:h="16841"/>
          <w:pgMar w:top="424" w:right="1084"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98" name="Picture 9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40" w:lineRule="exact" w:before="62" w:after="0"/>
        <w:ind w:left="30" w:right="0" w:firstLine="0"/>
        <w:jc w:val="left"/>
      </w:pPr>
      <w:r>
        <w:rPr>
          <w:rFonts w:ascii="宋体" w:hAnsi="宋体" w:eastAsia="宋体"/>
          <w:b w:val="0"/>
          <w:i w:val="0"/>
          <w:color w:val="000000"/>
          <w:sz w:val="24"/>
        </w:rPr>
        <w:t xml:space="preserve">十四、公司报告期内对子公司的管理控制情况 </w:t>
      </w:r>
    </w:p>
    <w:p>
      <w:pPr>
        <w:autoSpaceDN w:val="0"/>
        <w:autoSpaceDE w:val="0"/>
        <w:widowControl/>
        <w:spacing w:line="460" w:lineRule="exact" w:before="268" w:after="0"/>
        <w:ind w:left="30" w:right="0" w:firstLine="420"/>
        <w:jc w:val="left"/>
      </w:pPr>
      <w:r>
        <w:rPr>
          <w:rFonts w:ascii="宋体" w:hAnsi="宋体" w:eastAsia="宋体"/>
          <w:b w:val="0"/>
          <w:i w:val="0"/>
          <w:color w:val="000000"/>
          <w:sz w:val="21"/>
        </w:rPr>
        <w:t>报告期内，公司依据法律法规、监管规定和自律规则，以“管住重要事项，提高运行效率”为目标，</w:t>
      </w:r>
      <w:r>
        <w:rPr>
          <w:rFonts w:ascii="宋体" w:hAnsi="宋体" w:eastAsia="宋体"/>
          <w:b w:val="0"/>
          <w:i w:val="0"/>
          <w:color w:val="000000"/>
          <w:sz w:val="21"/>
        </w:rPr>
        <w:t>按照必要授权、权责清晰、抓大放小、垂直管控原则，强化母子公司穿透式垂直一体化决策机制和风险</w:t>
      </w:r>
      <w:r>
        <w:rPr>
          <w:rFonts w:ascii="宋体" w:hAnsi="宋体" w:eastAsia="宋体"/>
          <w:b w:val="0"/>
          <w:i w:val="0"/>
          <w:color w:val="000000"/>
          <w:sz w:val="21"/>
        </w:rPr>
        <w:t xml:space="preserve">管控。 </w:t>
      </w:r>
    </w:p>
    <w:p>
      <w:pPr>
        <w:autoSpaceDN w:val="0"/>
        <w:autoSpaceDE w:val="0"/>
        <w:widowControl/>
        <w:spacing w:line="460" w:lineRule="exact" w:before="0" w:after="0"/>
        <w:ind w:left="30" w:right="144" w:firstLine="420"/>
        <w:jc w:val="left"/>
      </w:pPr>
      <w:r>
        <w:rPr>
          <w:rFonts w:ascii="宋体" w:hAnsi="宋体" w:eastAsia="宋体"/>
          <w:b w:val="0"/>
          <w:i w:val="0"/>
          <w:color w:val="000000"/>
          <w:sz w:val="21"/>
        </w:rPr>
        <w:t>目前，公司有6 家全资子公司、1 家控股子公司。公司依法行使股东职责，规范子公司法人治理结</w:t>
      </w:r>
      <w:r>
        <w:rPr>
          <w:rFonts w:ascii="宋体" w:hAnsi="宋体" w:eastAsia="宋体"/>
          <w:b w:val="0"/>
          <w:i w:val="0"/>
          <w:color w:val="000000"/>
          <w:sz w:val="21"/>
        </w:rPr>
        <w:t>构，在公司治理层面统一管理要求，对合规管理、风险管理、稽核审计、财务管理、人力资源管理、信</w:t>
      </w:r>
      <w:r>
        <w:rPr>
          <w:rFonts w:ascii="宋体" w:hAnsi="宋体" w:eastAsia="宋体"/>
          <w:b w:val="0"/>
          <w:i w:val="0"/>
          <w:color w:val="000000"/>
          <w:sz w:val="21"/>
        </w:rPr>
        <w:t>息技术和运营服务等领域全覆盖、全管控，实现母子公司的资源共享与业务协同。公司全面推动集团化</w:t>
      </w:r>
      <w:r>
        <w:rPr>
          <w:rFonts w:ascii="宋体" w:hAnsi="宋体" w:eastAsia="宋体"/>
          <w:b w:val="0"/>
          <w:i w:val="0"/>
          <w:color w:val="000000"/>
          <w:sz w:val="21"/>
        </w:rPr>
        <w:t xml:space="preserve">数字转型工作，以科技手段加强对子公司管控，赋能子公司业务高质量发展。 </w:t>
      </w:r>
    </w:p>
    <w:p>
      <w:pPr>
        <w:autoSpaceDN w:val="0"/>
        <w:autoSpaceDE w:val="0"/>
        <w:widowControl/>
        <w:spacing w:line="460" w:lineRule="exact" w:before="2" w:after="0"/>
        <w:ind w:left="30" w:right="230" w:firstLine="420"/>
        <w:jc w:val="both"/>
      </w:pPr>
      <w:r>
        <w:rPr>
          <w:rFonts w:ascii="宋体" w:hAnsi="宋体" w:eastAsia="宋体"/>
          <w:b w:val="0"/>
          <w:i w:val="0"/>
          <w:color w:val="000000"/>
          <w:sz w:val="21"/>
        </w:rPr>
        <w:t>公司将境内外子公司统一纳入全面风险管理体系和合规管理体系，不断增强母公司管控能力，提升</w:t>
      </w:r>
      <w:r>
        <w:rPr>
          <w:rFonts w:ascii="宋体" w:hAnsi="宋体" w:eastAsia="宋体"/>
          <w:b w:val="0"/>
          <w:i w:val="0"/>
          <w:color w:val="000000"/>
          <w:sz w:val="21"/>
        </w:rPr>
        <w:t>子公司专业运营水平。在确保公司整体风险偏好和风险管理制度框架下，子公司依据有关法律法规和监</w:t>
      </w:r>
      <w:r>
        <w:rPr>
          <w:rFonts w:ascii="宋体" w:hAnsi="宋体" w:eastAsia="宋体"/>
          <w:b w:val="0"/>
          <w:i w:val="0"/>
          <w:color w:val="000000"/>
          <w:sz w:val="21"/>
        </w:rPr>
        <w:t>管规定，建立自身的风险管理组织架构、制度流程、信息技术系统和风控指标体系。公司在母子公司垂</w:t>
      </w:r>
      <w:r>
        <w:rPr>
          <w:rFonts w:ascii="宋体" w:hAnsi="宋体" w:eastAsia="宋体"/>
          <w:b w:val="0"/>
          <w:i w:val="0"/>
          <w:color w:val="000000"/>
          <w:sz w:val="21"/>
        </w:rPr>
        <w:t>直一体化管控体系的基础上，报告期内按照子公司全业务链条“垂直”一体化合规管理的要求进行了完</w:t>
      </w:r>
      <w:r>
        <w:rPr>
          <w:rFonts w:ascii="宋体" w:hAnsi="宋体" w:eastAsia="宋体"/>
          <w:b w:val="0"/>
          <w:i w:val="0"/>
          <w:color w:val="000000"/>
          <w:sz w:val="21"/>
        </w:rPr>
        <w:t>善，聚焦优化子公司管理机制，构建科学、高效的管理体系，对子公司的合规管理制度进行审查，对子</w:t>
      </w:r>
      <w:r>
        <w:rPr>
          <w:rFonts w:ascii="宋体" w:hAnsi="宋体" w:eastAsia="宋体"/>
          <w:b w:val="0"/>
          <w:i w:val="0"/>
          <w:color w:val="000000"/>
          <w:sz w:val="21"/>
        </w:rPr>
        <w:t>公司经营管理行为的合规性进行监督检查，确保子公司合规管理工作符合行业和公司要求，为子公司业</w:t>
      </w:r>
      <w:r>
        <w:rPr>
          <w:rFonts w:ascii="宋体" w:hAnsi="宋体" w:eastAsia="宋体"/>
          <w:b w:val="0"/>
          <w:i w:val="0"/>
          <w:color w:val="000000"/>
          <w:sz w:val="21"/>
        </w:rPr>
        <w:t xml:space="preserve">务平稳运行提供保障。 </w:t>
      </w:r>
    </w:p>
    <w:p>
      <w:pPr>
        <w:autoSpaceDN w:val="0"/>
        <w:autoSpaceDE w:val="0"/>
        <w:widowControl/>
        <w:spacing w:line="210" w:lineRule="exact" w:before="248" w:after="0"/>
        <w:ind w:left="450" w:right="0" w:firstLine="0"/>
        <w:jc w:val="left"/>
      </w:pPr>
      <w:r>
        <w:rPr>
          <w:rFonts w:ascii="宋体" w:hAnsi="宋体" w:eastAsia="宋体"/>
          <w:b w:val="0"/>
          <w:i w:val="0"/>
          <w:color w:val="000000"/>
          <w:sz w:val="21"/>
        </w:rPr>
        <w:t xml:space="preserve">报告期内，公司不存在因购买而新增子公司的情况。 </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十五、内部控制评价报告或内部控制审计报告 </w:t>
      </w:r>
    </w:p>
    <w:p>
      <w:pPr>
        <w:autoSpaceDN w:val="0"/>
        <w:autoSpaceDE w:val="0"/>
        <w:widowControl/>
        <w:spacing w:line="210" w:lineRule="exact" w:before="372" w:after="328"/>
        <w:ind w:left="30" w:right="0" w:firstLine="0"/>
        <w:jc w:val="left"/>
      </w:pPr>
      <w:r>
        <w:rPr>
          <w:rFonts w:ascii="宋体" w:hAnsi="宋体" w:eastAsia="宋体"/>
          <w:b w:val="0"/>
          <w:i w:val="0"/>
          <w:color w:val="000000"/>
          <w:sz w:val="21"/>
        </w:rPr>
        <w:t xml:space="preserve">1、内控评价报告 </w:t>
      </w:r>
    </w:p>
    <w:tbl>
      <w:tblPr>
        <w:tblW w:type="auto" w:w="0"/>
        <w:tblLayout w:type="fixed"/>
        <w:tblLook w:firstColumn="1" w:firstRow="1" w:lastColumn="0" w:lastRow="0" w:noHBand="0" w:noVBand="1" w:val="04A0"/>
        <w:tblInd w:w="27.99999999999997" w:type="dxa"/>
      </w:tblPr>
      <w:tblGrid>
        <w:gridCol w:w="3239"/>
        <w:gridCol w:w="3239"/>
        <w:gridCol w:w="3239"/>
      </w:tblGrid>
      <w:tr>
        <w:trPr>
          <w:trHeight w:hRule="exact" w:val="328"/>
        </w:trPr>
        <w:tc>
          <w:tcPr>
            <w:tcW w:type="dxa" w:w="3214"/>
            <w:tcBorders>
              <w:start w:sz="2.3999999999999773" w:val="single" w:color="#000000"/>
              <w:top w:sz="2.399999999999636"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3214"/>
            </w:tblGrid>
            <w:tr>
              <w:trPr>
                <w:trHeight w:hRule="exact" w:val="302"/>
              </w:trPr>
              <w:tc>
                <w:tcPr>
                  <w:tcW w:type="dxa" w:w="2996"/>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内部控制评价报告全文披露日期 </w:t>
                  </w:r>
                </w:p>
              </w:tc>
            </w:tr>
          </w:tbl>
          <w:p>
            <w:pPr>
              <w:autoSpaceDN w:val="0"/>
              <w:autoSpaceDE w:val="0"/>
              <w:widowControl/>
              <w:spacing w:line="14" w:lineRule="exact" w:before="0" w:after="0"/>
              <w:ind w:left="0" w:right="0"/>
            </w:pPr>
          </w:p>
        </w:tc>
        <w:tc>
          <w:tcPr>
            <w:tcW w:type="dxa" w:w="6428"/>
            <w:gridSpan w:val="2"/>
            <w:tcBorders>
              <w:start w:sz="2.400000000000091" w:val="single" w:color="#000000"/>
              <w:top w:sz="2.399999999999636" w:val="single" w:color="#000000"/>
              <w:end w:sz="1.5999999999994543"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72" w:after="0"/>
              <w:ind w:left="0" w:right="58" w:firstLine="0"/>
              <w:jc w:val="right"/>
            </w:pPr>
            <w:r>
              <w:rPr>
                <w:rFonts w:ascii="Times New Roman" w:hAnsi="Times New Roman" w:eastAsia="Times New Roman"/>
                <w:b w:val="0"/>
                <w:i w:val="0"/>
                <w:color w:val="000000"/>
                <w:sz w:val="18"/>
              </w:rPr>
              <w:t xml:space="preserve">2025.04.26 </w:t>
            </w:r>
          </w:p>
        </w:tc>
      </w:tr>
      <w:tr>
        <w:trPr>
          <w:trHeight w:hRule="exact" w:val="484"/>
        </w:trPr>
        <w:tc>
          <w:tcPr>
            <w:tcW w:type="dxa" w:w="3214"/>
            <w:tcBorders>
              <w:start w:sz="2.3999999999999773" w:val="single" w:color="#000000"/>
              <w:top w:sz="1.6000000000003638" w:val="single" w:color="#000000"/>
              <w:end w:sz="2.400000000000091" w:val="single" w:color="#000000"/>
              <w:bottom w:sz="1.5999999999994543" w:val="single" w:color="#000000"/>
            </w:tcBorders>
            <w:shd w:fill="d2d2d2"/>
            <w:tcMar>
              <w:start w:w="0" w:type="dxa"/>
              <w:end w:w="0" w:type="dxa"/>
            </w:tcMar>
          </w:tcPr>
          <w:p>
            <w:pPr>
              <w:autoSpaceDN w:val="0"/>
              <w:autoSpaceDE w:val="0"/>
              <w:widowControl/>
              <w:spacing w:line="80" w:lineRule="exact" w:before="0" w:after="0"/>
              <w:ind w:left="0" w:right="0"/>
            </w:pPr>
          </w:p>
          <w:tbl>
            <w:tblPr>
              <w:tblW w:type="auto" w:w="0"/>
              <w:tblLayout w:type="fixed"/>
              <w:tblLook w:firstColumn="1" w:firstRow="1" w:lastColumn="0" w:lastRow="0" w:noHBand="0" w:noVBand="1" w:val="04A0"/>
              <w:tblInd w:w="108.00000000000011" w:type="dxa"/>
            </w:tblPr>
            <w:tblGrid>
              <w:gridCol w:w="3214"/>
            </w:tblGrid>
            <w:tr>
              <w:trPr>
                <w:trHeight w:hRule="exact" w:val="298"/>
              </w:trPr>
              <w:tc>
                <w:tcPr>
                  <w:tcW w:type="dxa" w:w="2996"/>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内部控制评价报告全文披露索引 </w:t>
                  </w:r>
                </w:p>
              </w:tc>
            </w:tr>
          </w:tbl>
          <w:p>
            <w:pPr>
              <w:autoSpaceDN w:val="0"/>
              <w:autoSpaceDE w:val="0"/>
              <w:widowControl/>
              <w:spacing w:line="14" w:lineRule="exact" w:before="0" w:after="0"/>
              <w:ind w:left="0" w:right="0"/>
            </w:pPr>
          </w:p>
        </w:tc>
        <w:tc>
          <w:tcPr>
            <w:tcW w:type="dxa" w:w="6428"/>
            <w:gridSpan w:val="2"/>
            <w:tcBorders>
              <w:start w:sz="2.400000000000091" w:val="single" w:color="#000000"/>
              <w:top w:sz="1.6000000000003638" w:val="single" w:color="#000000"/>
              <w:end w:sz="1.5999999999994543" w:val="single" w:color="#000000"/>
              <w:bottom w:sz="1.5999999999994543" w:val="single" w:color="#000000"/>
            </w:tcBorders>
            <w:tcMar>
              <w:start w:w="0" w:type="dxa"/>
              <w:end w:w="0" w:type="dxa"/>
            </w:tcMar>
            <w:tcMar>
              <w:start w:w="0" w:type="dxa"/>
              <w:end w:w="0" w:type="dxa"/>
            </w:tcMar>
          </w:tcPr>
          <w:p>
            <w:pPr>
              <w:autoSpaceDN w:val="0"/>
              <w:autoSpaceDE w:val="0"/>
              <w:widowControl/>
              <w:spacing w:line="228" w:lineRule="exact" w:before="2" w:after="0"/>
              <w:ind w:left="106" w:right="144" w:firstLine="0"/>
              <w:jc w:val="left"/>
            </w:pPr>
            <w:r>
              <w:rPr>
                <w:rFonts w:ascii="宋体" w:hAnsi="宋体" w:eastAsia="宋体"/>
                <w:b w:val="0"/>
                <w:i w:val="0"/>
                <w:color w:val="000000"/>
                <w:sz w:val="18"/>
              </w:rPr>
              <w:t>巨潮资讯网（</w:t>
            </w:r>
            <w:r>
              <w:rPr>
                <w:rFonts w:ascii="Times New Roman" w:hAnsi="Times New Roman" w:eastAsia="Times New Roman"/>
                <w:b w:val="0"/>
                <w:i w:val="0"/>
                <w:color w:val="000000"/>
                <w:sz w:val="18"/>
              </w:rPr>
              <w:t xml:space="preserve"> </w:t>
            </w:r>
            <w:r>
              <w:rPr>
                <w:rFonts w:ascii="Times New Roman" w:hAnsi="Times New Roman" w:eastAsia="Times New Roman"/>
                <w:b w:val="0"/>
                <w:i w:val="0"/>
                <w:color w:val="000000"/>
                <w:sz w:val="18"/>
                <w:u w:val="single"/>
              </w:rPr>
              <w:hyperlink r:id="rId16" w:history="1">
                <w:r>
                  <w:rPr>
                    <w:rStyle w:val="Hyperlink"/>
                  </w:rPr>
                  <w:t>http://www.cninfo.com.cn</w:t>
                </w:r>
              </w:hyperlink>
            </w:r>
            <w:r>
              <w:rPr>
                <w:rFonts w:ascii="宋体" w:hAnsi="宋体" w:eastAsia="宋体"/>
                <w:b w:val="0"/>
                <w:i w:val="0"/>
                <w:color w:val="000000"/>
                <w:sz w:val="18"/>
              </w:rPr>
              <w:t>）</w:t>
            </w:r>
            <w:r>
              <w:rPr>
                <w:rFonts w:ascii="Times New Roman" w:hAnsi="Times New Roman" w:eastAsia="Times New Roman"/>
                <w:b w:val="0"/>
                <w:i w:val="0"/>
                <w:color w:val="000000"/>
                <w:sz w:val="18"/>
              </w:rPr>
              <w:t xml:space="preserve"> 2025</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4</w:t>
            </w:r>
            <w:r>
              <w:rPr>
                <w:rFonts w:ascii="宋体" w:hAnsi="宋体" w:eastAsia="宋体"/>
                <w:b w:val="0"/>
                <w:i w:val="0"/>
                <w:color w:val="000000"/>
                <w:sz w:val="18"/>
              </w:rPr>
              <w:t xml:space="preserve"> 月</w:t>
            </w:r>
            <w:r>
              <w:rPr>
                <w:rFonts w:ascii="Times New Roman" w:hAnsi="Times New Roman" w:eastAsia="Times New Roman"/>
                <w:b w:val="0"/>
                <w:i w:val="0"/>
                <w:color w:val="000000"/>
                <w:sz w:val="18"/>
              </w:rPr>
              <w:t>26</w:t>
            </w:r>
            <w:r>
              <w:rPr>
                <w:rFonts w:ascii="宋体" w:hAnsi="宋体" w:eastAsia="宋体"/>
                <w:b w:val="0"/>
                <w:i w:val="0"/>
                <w:color w:val="000000"/>
                <w:sz w:val="18"/>
              </w:rPr>
              <w:t xml:space="preserve"> 日公司公告《</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w:t>
            </w:r>
            <w:r>
              <w:rPr>
                <w:rFonts w:ascii="宋体" w:hAnsi="宋体" w:eastAsia="宋体"/>
                <w:b w:val="0"/>
                <w:i w:val="0"/>
                <w:color w:val="000000"/>
                <w:sz w:val="18"/>
              </w:rPr>
              <w:t>度内部控制评价报告》</w:t>
            </w:r>
          </w:p>
        </w:tc>
      </w:tr>
      <w:tr>
        <w:trPr>
          <w:trHeight w:hRule="exact" w:val="564"/>
        </w:trPr>
        <w:tc>
          <w:tcPr>
            <w:tcW w:type="dxa" w:w="3214"/>
            <w:tcBorders>
              <w:start w:sz="2.3999999999999773" w:val="single" w:color="#000000"/>
              <w:top w:sz="1.5999999999994543"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3214"/>
            </w:tblGrid>
            <w:tr>
              <w:trPr>
                <w:trHeight w:hRule="exact" w:val="280"/>
              </w:trPr>
              <w:tc>
                <w:tcPr>
                  <w:tcW w:type="dxa" w:w="2996"/>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纳入评价范围单位资产总额占公司合</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8.00000000000011" w:type="dxa"/>
            </w:tblPr>
            <w:tblGrid>
              <w:gridCol w:w="3214"/>
            </w:tblGrid>
            <w:tr>
              <w:trPr>
                <w:trHeight w:hRule="exact" w:val="260"/>
              </w:trPr>
              <w:tc>
                <w:tcPr>
                  <w:tcW w:type="dxa" w:w="2996"/>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并财务报表资产总额的比例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6428"/>
            <w:gridSpan w:val="2"/>
            <w:tcBorders>
              <w:start w:sz="2.400000000000091" w:val="single" w:color="#000000"/>
              <w:top w:sz="1.5999999999994543" w:val="single" w:color="#000000"/>
              <w:end w:sz="1.5999999999994543"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190" w:after="0"/>
              <w:ind w:left="0" w:right="58" w:firstLine="0"/>
              <w:jc w:val="right"/>
            </w:pPr>
            <w:r>
              <w:rPr>
                <w:rFonts w:ascii="Times New Roman" w:hAnsi="Times New Roman" w:eastAsia="Times New Roman"/>
                <w:b w:val="0"/>
                <w:i w:val="0"/>
                <w:color w:val="000000"/>
                <w:sz w:val="18"/>
              </w:rPr>
              <w:t xml:space="preserve">100% </w:t>
            </w:r>
          </w:p>
        </w:tc>
      </w:tr>
      <w:tr>
        <w:trPr>
          <w:trHeight w:hRule="exact" w:val="564"/>
        </w:trPr>
        <w:tc>
          <w:tcPr>
            <w:tcW w:type="dxa" w:w="3214"/>
            <w:tcBorders>
              <w:start w:sz="2.3999999999999773" w:val="single" w:color="#000000"/>
              <w:top w:sz="1.6000000000003638" w:val="single" w:color="#000000"/>
              <w:end w:sz="2.400000000000091"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3214"/>
            </w:tblGrid>
            <w:tr>
              <w:trPr>
                <w:trHeight w:hRule="exact" w:val="282"/>
              </w:trPr>
              <w:tc>
                <w:tcPr>
                  <w:tcW w:type="dxa" w:w="2996"/>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纳入评价范围单位营业总收入占公司</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8.00000000000011" w:type="dxa"/>
            </w:tblPr>
            <w:tblGrid>
              <w:gridCol w:w="3214"/>
            </w:tblGrid>
            <w:tr>
              <w:trPr>
                <w:trHeight w:hRule="exact" w:val="258"/>
              </w:trPr>
              <w:tc>
                <w:tcPr>
                  <w:tcW w:type="dxa" w:w="2996"/>
                  <w:tcBorders/>
                  <w:shd w:fill="d2d2d2"/>
                  <w:tcMar>
                    <w:start w:w="0" w:type="dxa"/>
                    <w:end w:w="0" w:type="dxa"/>
                  </w:tcMar>
                </w:tcPr>
                <w:p>
                  <w:pPr>
                    <w:autoSpaceDN w:val="0"/>
                    <w:autoSpaceDE w:val="0"/>
                    <w:widowControl/>
                    <w:spacing w:line="180" w:lineRule="exact" w:before="34" w:after="0"/>
                    <w:ind w:left="0" w:right="0" w:firstLine="0"/>
                    <w:jc w:val="left"/>
                  </w:pPr>
                  <w:r>
                    <w:rPr>
                      <w:rFonts w:ascii="宋体" w:hAnsi="宋体" w:eastAsia="宋体"/>
                      <w:b w:val="0"/>
                      <w:i w:val="0"/>
                      <w:color w:val="000000"/>
                      <w:sz w:val="18"/>
                    </w:rPr>
                    <w:t xml:space="preserve">合并财务报表营业总收入的比例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6428"/>
            <w:gridSpan w:val="2"/>
            <w:tcBorders>
              <w:start w:sz="2.400000000000091" w:val="single" w:color="#000000"/>
              <w:top w:sz="1.6000000000003638" w:val="single" w:color="#000000"/>
              <w:end w:sz="1.5999999999994543" w:val="single" w:color="#000000"/>
              <w:bottom w:sz="1.6000000000003638" w:val="single" w:color="#000000"/>
            </w:tcBorders>
            <w:tcMar>
              <w:start w:w="0" w:type="dxa"/>
              <w:end w:w="0" w:type="dxa"/>
            </w:tcMar>
            <w:tcMar>
              <w:start w:w="0" w:type="dxa"/>
              <w:end w:w="0" w:type="dxa"/>
            </w:tcMar>
          </w:tcPr>
          <w:p>
            <w:pPr>
              <w:autoSpaceDN w:val="0"/>
              <w:autoSpaceDE w:val="0"/>
              <w:widowControl/>
              <w:spacing w:line="230" w:lineRule="auto" w:before="194" w:after="0"/>
              <w:ind w:left="0" w:right="58" w:firstLine="0"/>
              <w:jc w:val="right"/>
            </w:pPr>
            <w:r>
              <w:rPr>
                <w:rFonts w:ascii="Times New Roman" w:hAnsi="Times New Roman" w:eastAsia="Times New Roman"/>
                <w:b w:val="0"/>
                <w:i w:val="0"/>
                <w:color w:val="000000"/>
                <w:sz w:val="18"/>
              </w:rPr>
              <w:t xml:space="preserve">100% </w:t>
            </w:r>
          </w:p>
        </w:tc>
      </w:tr>
      <w:tr>
        <w:trPr>
          <w:trHeight w:hRule="exact" w:val="328"/>
        </w:trPr>
        <w:tc>
          <w:tcPr>
            <w:tcW w:type="dxa" w:w="9642"/>
            <w:gridSpan w:val="3"/>
            <w:tcBorders>
              <w:start w:sz="2.3999999999999773" w:val="single" w:color="#000000"/>
              <w:top w:sz="1.6000000000003638" w:val="single" w:color="#000000"/>
              <w:end w:sz="1.5999999999994543" w:val="single" w:color="#000000"/>
              <w:bottom w:sz="2.4000000000005457" w:val="single" w:color="#000000"/>
            </w:tcBorders>
            <w:shd w:fill="d2d2d2"/>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108.00000000000011" w:type="dxa"/>
            </w:tblPr>
            <w:tblGrid>
              <w:gridCol w:w="9642"/>
            </w:tblGrid>
            <w:tr>
              <w:trPr>
                <w:trHeight w:hRule="exact" w:val="298"/>
              </w:trPr>
              <w:tc>
                <w:tcPr>
                  <w:tcW w:type="dxa" w:w="9424"/>
                  <w:tcBorders/>
                  <w:shd w:fill="d2d2d2"/>
                  <w:tcMar>
                    <w:start w:w="0" w:type="dxa"/>
                    <w:end w:w="0" w:type="dxa"/>
                  </w:tcMar>
                </w:tcPr>
                <w:p>
                  <w:pPr>
                    <w:autoSpaceDN w:val="0"/>
                    <w:autoSpaceDE w:val="0"/>
                    <w:widowControl/>
                    <w:spacing w:line="180" w:lineRule="exact" w:before="74" w:after="0"/>
                    <w:ind w:left="0" w:right="4080" w:firstLine="0"/>
                    <w:jc w:val="right"/>
                  </w:pPr>
                  <w:r>
                    <w:rPr>
                      <w:rFonts w:ascii="宋体" w:hAnsi="宋体" w:eastAsia="宋体"/>
                      <w:b w:val="0"/>
                      <w:i w:val="0"/>
                      <w:color w:val="000000"/>
                      <w:sz w:val="18"/>
                    </w:rPr>
                    <w:t xml:space="preserve">缺陷认定标准 </w:t>
                  </w:r>
                </w:p>
              </w:tc>
            </w:tr>
          </w:tbl>
          <w:p>
            <w:pPr>
              <w:autoSpaceDN w:val="0"/>
              <w:autoSpaceDE w:val="0"/>
              <w:widowControl/>
              <w:spacing w:line="14" w:lineRule="exact" w:before="0" w:after="0"/>
              <w:ind w:left="0" w:right="0"/>
            </w:pPr>
          </w:p>
        </w:tc>
      </w:tr>
      <w:tr>
        <w:trPr>
          <w:trHeight w:hRule="exact" w:val="322"/>
        </w:trPr>
        <w:tc>
          <w:tcPr>
            <w:tcW w:type="dxa" w:w="3214"/>
            <w:tcBorders>
              <w:start w:sz="2.3999999999999773" w:val="single" w:color="#000000"/>
              <w:top w:sz="2.4000000000005457" w:val="single" w:color="#000000"/>
              <w:end w:sz="2.400000000000091"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3214"/>
            </w:tblGrid>
            <w:tr>
              <w:trPr>
                <w:trHeight w:hRule="exact" w:val="298"/>
              </w:trPr>
              <w:tc>
                <w:tcPr>
                  <w:tcW w:type="dxa" w:w="2996"/>
                  <w:tcBorders/>
                  <w:shd w:fill="d2d2d2"/>
                  <w:tcMar>
                    <w:start w:w="0" w:type="dxa"/>
                    <w:end w:w="0" w:type="dxa"/>
                  </w:tcMar>
                </w:tcPr>
                <w:p>
                  <w:pPr>
                    <w:autoSpaceDN w:val="0"/>
                    <w:autoSpaceDE w:val="0"/>
                    <w:widowControl/>
                    <w:spacing w:line="180" w:lineRule="exact" w:before="74" w:after="0"/>
                    <w:ind w:left="0" w:right="1226" w:firstLine="0"/>
                    <w:jc w:val="right"/>
                  </w:pPr>
                  <w:r>
                    <w:rPr>
                      <w:rFonts w:ascii="宋体" w:hAnsi="宋体" w:eastAsia="宋体"/>
                      <w:b w:val="0"/>
                      <w:i w:val="0"/>
                      <w:color w:val="000000"/>
                      <w:sz w:val="18"/>
                    </w:rPr>
                    <w:t xml:space="preserve">类别 </w:t>
                  </w:r>
                </w:p>
              </w:tc>
            </w:tr>
          </w:tbl>
          <w:p>
            <w:pPr>
              <w:autoSpaceDN w:val="0"/>
              <w:autoSpaceDE w:val="0"/>
              <w:widowControl/>
              <w:spacing w:line="14" w:lineRule="exact" w:before="0" w:after="0"/>
              <w:ind w:left="0" w:right="0"/>
            </w:pPr>
          </w:p>
        </w:tc>
        <w:tc>
          <w:tcPr>
            <w:tcW w:type="dxa" w:w="3216"/>
            <w:tcBorders>
              <w:start w:sz="2.400000000000091" w:val="single" w:color="#000000"/>
              <w:top w:sz="2.4000000000005457" w:val="single" w:color="#000000"/>
              <w:end w:sz="1.599999999999909"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3216"/>
            </w:tblGrid>
            <w:tr>
              <w:trPr>
                <w:trHeight w:hRule="exact" w:val="298"/>
              </w:trPr>
              <w:tc>
                <w:tcPr>
                  <w:tcW w:type="dxa" w:w="2998"/>
                  <w:tcBorders/>
                  <w:shd w:fill="d2d2d2"/>
                  <w:tcMar>
                    <w:start w:w="0" w:type="dxa"/>
                    <w:end w:w="0" w:type="dxa"/>
                  </w:tcMar>
                </w:tcPr>
                <w:p>
                  <w:pPr>
                    <w:autoSpaceDN w:val="0"/>
                    <w:autoSpaceDE w:val="0"/>
                    <w:widowControl/>
                    <w:spacing w:line="180" w:lineRule="exact" w:before="74" w:after="0"/>
                    <w:ind w:left="0" w:right="1048" w:firstLine="0"/>
                    <w:jc w:val="right"/>
                  </w:pPr>
                  <w:r>
                    <w:rPr>
                      <w:rFonts w:ascii="宋体" w:hAnsi="宋体" w:eastAsia="宋体"/>
                      <w:b w:val="0"/>
                      <w:i w:val="0"/>
                      <w:color w:val="000000"/>
                      <w:sz w:val="18"/>
                    </w:rPr>
                    <w:t xml:space="preserve">财务报告 </w:t>
                  </w:r>
                </w:p>
              </w:tc>
            </w:tr>
          </w:tbl>
          <w:p>
            <w:pPr>
              <w:autoSpaceDN w:val="0"/>
              <w:autoSpaceDE w:val="0"/>
              <w:widowControl/>
              <w:spacing w:line="14" w:lineRule="exact" w:before="0" w:after="0"/>
              <w:ind w:left="0" w:right="0"/>
            </w:pPr>
          </w:p>
        </w:tc>
        <w:tc>
          <w:tcPr>
            <w:tcW w:type="dxa" w:w="3212"/>
            <w:tcBorders>
              <w:start w:sz="1.599999999999909" w:val="single" w:color="#000000"/>
              <w:top w:sz="2.4000000000005457" w:val="single" w:color="#000000"/>
              <w:end w:sz="1.5999999999994543"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3212"/>
            </w:tblGrid>
            <w:tr>
              <w:trPr>
                <w:trHeight w:hRule="exact" w:val="298"/>
              </w:trPr>
              <w:tc>
                <w:tcPr>
                  <w:tcW w:type="dxa" w:w="2998"/>
                  <w:tcBorders/>
                  <w:shd w:fill="d2d2d2"/>
                  <w:tcMar>
                    <w:start w:w="0" w:type="dxa"/>
                    <w:end w:w="0" w:type="dxa"/>
                  </w:tcMar>
                </w:tcPr>
                <w:p>
                  <w:pPr>
                    <w:autoSpaceDN w:val="0"/>
                    <w:autoSpaceDE w:val="0"/>
                    <w:widowControl/>
                    <w:spacing w:line="180" w:lineRule="exact" w:before="74" w:after="0"/>
                    <w:ind w:left="0" w:right="958" w:firstLine="0"/>
                    <w:jc w:val="right"/>
                  </w:pPr>
                  <w:r>
                    <w:rPr>
                      <w:rFonts w:ascii="宋体" w:hAnsi="宋体" w:eastAsia="宋体"/>
                      <w:b w:val="0"/>
                      <w:i w:val="0"/>
                      <w:color w:val="000000"/>
                      <w:sz w:val="18"/>
                    </w:rPr>
                    <w:t xml:space="preserve">非财务报告 </w:t>
                  </w:r>
                </w:p>
              </w:tc>
            </w:tr>
          </w:tbl>
          <w:p>
            <w:pPr>
              <w:autoSpaceDN w:val="0"/>
              <w:autoSpaceDE w:val="0"/>
              <w:widowControl/>
              <w:spacing w:line="14" w:lineRule="exact" w:before="0" w:after="0"/>
              <w:ind w:left="0" w:right="0"/>
            </w:pPr>
          </w:p>
        </w:tc>
      </w:tr>
      <w:tr>
        <w:trPr>
          <w:trHeight w:hRule="exact" w:val="1926"/>
        </w:trPr>
        <w:tc>
          <w:tcPr>
            <w:tcW w:type="dxa" w:w="3214"/>
            <w:tcBorders>
              <w:start w:sz="2.3999999999999773" w:val="single" w:color="#000000"/>
              <w:top w:sz="2.399999999999636"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802" w:lineRule="exact" w:before="0" w:after="0"/>
              <w:ind w:left="0" w:right="0"/>
            </w:pPr>
          </w:p>
          <w:tbl>
            <w:tblPr>
              <w:tblW w:type="auto" w:w="0"/>
              <w:tblLayout w:type="fixed"/>
              <w:tblLook w:firstColumn="1" w:firstRow="1" w:lastColumn="0" w:lastRow="0" w:noHBand="0" w:noVBand="1" w:val="04A0"/>
              <w:tblInd w:w="108.00000000000011" w:type="dxa"/>
            </w:tblPr>
            <w:tblGrid>
              <w:gridCol w:w="3214"/>
            </w:tblGrid>
            <w:tr>
              <w:trPr>
                <w:trHeight w:hRule="exact" w:val="298"/>
              </w:trPr>
              <w:tc>
                <w:tcPr>
                  <w:tcW w:type="dxa" w:w="2996"/>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定性标准 </w:t>
                  </w:r>
                </w:p>
              </w:tc>
            </w:tr>
          </w:tbl>
          <w:p>
            <w:pPr>
              <w:autoSpaceDN w:val="0"/>
              <w:autoSpaceDE w:val="0"/>
              <w:widowControl/>
              <w:spacing w:line="14" w:lineRule="exact" w:before="0" w:after="0"/>
              <w:ind w:left="0" w:right="0"/>
            </w:pPr>
          </w:p>
        </w:tc>
        <w:tc>
          <w:tcPr>
            <w:tcW w:type="dxa" w:w="3216"/>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8" w:lineRule="exact" w:before="0" w:after="0"/>
              <w:ind w:left="106" w:right="0" w:firstLine="0"/>
              <w:jc w:val="left"/>
            </w:pPr>
            <w:r>
              <w:rPr>
                <w:rFonts w:ascii="宋体" w:hAnsi="宋体" w:eastAsia="宋体"/>
                <w:b w:val="0"/>
                <w:i w:val="0"/>
                <w:color w:val="000000"/>
                <w:sz w:val="18"/>
              </w:rPr>
              <w:t xml:space="preserve">①重大缺陷： </w:t>
            </w:r>
            <w:r>
              <w:br/>
            </w:r>
            <w:r>
              <w:rPr>
                <w:rFonts w:ascii="宋体" w:hAnsi="宋体" w:eastAsia="宋体"/>
                <w:b w:val="0"/>
                <w:i w:val="0"/>
                <w:color w:val="000000"/>
                <w:sz w:val="18"/>
              </w:rPr>
              <w:t>a、董事、监事和高级管理人员发生与</w:t>
            </w:r>
            <w:r>
              <w:rPr>
                <w:rFonts w:ascii="宋体" w:hAnsi="宋体" w:eastAsia="宋体"/>
                <w:b w:val="0"/>
                <w:i w:val="0"/>
                <w:color w:val="000000"/>
                <w:sz w:val="18"/>
              </w:rPr>
              <w:t xml:space="preserve">财务报表相关的舞弊行为； </w:t>
            </w:r>
            <w:r>
              <w:br/>
            </w:r>
            <w:r>
              <w:rPr>
                <w:rFonts w:ascii="宋体" w:hAnsi="宋体" w:eastAsia="宋体"/>
                <w:b w:val="0"/>
                <w:i w:val="0"/>
                <w:color w:val="000000"/>
                <w:sz w:val="18"/>
              </w:rPr>
              <w:t>b、由于舞弊或错误造成重大错报，企</w:t>
            </w:r>
            <w:r>
              <w:rPr>
                <w:rFonts w:ascii="宋体" w:hAnsi="宋体" w:eastAsia="宋体"/>
                <w:b w:val="0"/>
                <w:i w:val="0"/>
                <w:color w:val="000000"/>
                <w:sz w:val="18"/>
              </w:rPr>
              <w:t xml:space="preserve">业更正已公布的财务报告； </w:t>
            </w:r>
            <w:r>
              <w:br/>
            </w:r>
            <w:r>
              <w:rPr>
                <w:rFonts w:ascii="宋体" w:hAnsi="宋体" w:eastAsia="宋体"/>
                <w:b w:val="0"/>
                <w:i w:val="0"/>
                <w:color w:val="000000"/>
                <w:sz w:val="18"/>
              </w:rPr>
              <w:t>c、注册会计师发现当期财务报告存在</w:t>
            </w:r>
            <w:r>
              <w:rPr>
                <w:rFonts w:ascii="宋体" w:hAnsi="宋体" w:eastAsia="宋体"/>
                <w:b w:val="0"/>
                <w:i w:val="0"/>
                <w:color w:val="000000"/>
                <w:sz w:val="18"/>
              </w:rPr>
              <w:t>重大错报，而内部控制在运行过程中</w:t>
            </w:r>
            <w:r>
              <w:rPr>
                <w:rFonts w:ascii="宋体" w:hAnsi="宋体" w:eastAsia="宋体"/>
                <w:b w:val="0"/>
                <w:i w:val="0"/>
                <w:color w:val="000000"/>
                <w:sz w:val="18"/>
              </w:rPr>
              <w:t xml:space="preserve">未能发现该错报； </w:t>
            </w:r>
          </w:p>
        </w:tc>
        <w:tc>
          <w:tcPr>
            <w:tcW w:type="dxa" w:w="3212"/>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238" w:lineRule="exact" w:before="0" w:after="0"/>
              <w:ind w:left="106" w:right="0" w:firstLine="0"/>
              <w:jc w:val="left"/>
            </w:pPr>
            <w:r>
              <w:rPr>
                <w:rFonts w:ascii="宋体" w:hAnsi="宋体" w:eastAsia="宋体"/>
                <w:b w:val="0"/>
                <w:i w:val="0"/>
                <w:color w:val="000000"/>
                <w:sz w:val="18"/>
              </w:rPr>
              <w:t xml:space="preserve">①重大缺陷： </w:t>
            </w:r>
            <w:r>
              <w:br/>
            </w:r>
            <w:r>
              <w:rPr>
                <w:rFonts w:ascii="宋体" w:hAnsi="宋体" w:eastAsia="宋体"/>
                <w:b w:val="0"/>
                <w:i w:val="0"/>
                <w:color w:val="000000"/>
                <w:sz w:val="18"/>
              </w:rPr>
              <w:t>a、公司重大决策缺乏决策程序或程序</w:t>
            </w:r>
            <w:r>
              <w:rPr>
                <w:rFonts w:ascii="宋体" w:hAnsi="宋体" w:eastAsia="宋体"/>
                <w:b w:val="0"/>
                <w:i w:val="0"/>
                <w:color w:val="000000"/>
                <w:sz w:val="18"/>
              </w:rPr>
              <w:t xml:space="preserve">违规且造成重大损失； </w:t>
            </w:r>
            <w:r>
              <w:br/>
            </w:r>
            <w:r>
              <w:rPr>
                <w:rFonts w:ascii="宋体" w:hAnsi="宋体" w:eastAsia="宋体"/>
                <w:b w:val="0"/>
                <w:i w:val="0"/>
                <w:color w:val="000000"/>
                <w:sz w:val="18"/>
              </w:rPr>
              <w:t>b、已经发现并报告给管理层的重大或</w:t>
            </w:r>
            <w:r>
              <w:rPr>
                <w:rFonts w:ascii="宋体" w:hAnsi="宋体" w:eastAsia="宋体"/>
                <w:b w:val="0"/>
                <w:i w:val="0"/>
                <w:color w:val="000000"/>
                <w:sz w:val="18"/>
              </w:rPr>
              <w:t>重要缺陷在合理的时间后未加以改</w:t>
            </w:r>
            <w:r>
              <w:rPr>
                <w:rFonts w:ascii="宋体" w:hAnsi="宋体" w:eastAsia="宋体"/>
                <w:b w:val="0"/>
                <w:i w:val="0"/>
                <w:color w:val="000000"/>
                <w:sz w:val="18"/>
              </w:rPr>
              <w:t xml:space="preserve">正； </w:t>
            </w:r>
            <w:r>
              <w:br/>
            </w:r>
            <w:r>
              <w:rPr>
                <w:rFonts w:ascii="宋体" w:hAnsi="宋体" w:eastAsia="宋体"/>
                <w:b w:val="0"/>
                <w:i w:val="0"/>
                <w:color w:val="000000"/>
                <w:sz w:val="18"/>
              </w:rPr>
              <w:t>c、公司被监管部门撤销相关业务许</w:t>
            </w:r>
            <w:r>
              <w:rPr>
                <w:rFonts w:ascii="宋体" w:hAnsi="宋体" w:eastAsia="宋体"/>
                <w:b w:val="0"/>
                <w:i w:val="0"/>
                <w:color w:val="000000"/>
                <w:sz w:val="18"/>
              </w:rPr>
              <w:t xml:space="preserve">可； </w:t>
            </w:r>
          </w:p>
        </w:tc>
      </w:tr>
    </w:tbl>
    <w:p>
      <w:pPr>
        <w:autoSpaceDN w:val="0"/>
        <w:autoSpaceDE w:val="0"/>
        <w:widowControl/>
        <w:spacing w:line="197" w:lineRule="auto" w:before="600" w:after="0"/>
        <w:ind w:left="0" w:right="0" w:firstLine="0"/>
        <w:jc w:val="center"/>
      </w:pPr>
      <w:r>
        <w:rPr>
          <w:rFonts w:ascii="Calibri" w:hAnsi="Calibri" w:eastAsia="Calibri"/>
          <w:b w:val="0"/>
          <w:i w:val="0"/>
          <w:color w:val="000000"/>
          <w:sz w:val="18"/>
        </w:rPr>
        <w:t xml:space="preserve">96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99" name="Picture 9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27.99999999999997" w:type="dxa"/>
      </w:tblPr>
      <w:tblGrid>
        <w:gridCol w:w="3239"/>
        <w:gridCol w:w="3239"/>
        <w:gridCol w:w="3239"/>
      </w:tblGrid>
      <w:tr>
        <w:trPr>
          <w:trHeight w:hRule="exact" w:val="2645"/>
        </w:trPr>
        <w:tc>
          <w:tcPr>
            <w:tcW w:type="dxa" w:w="3214"/>
            <w:tcBorders>
              <w:start w:sz="2.3999999999999773" w:val="single" w:color="#000000"/>
              <w:top w:sz="5.600000000000023" w:val="single" w:color="#000000"/>
              <w:end w:sz="2.400000000000091" w:val="single" w:color="#000000"/>
              <w:bottom w:sz="2.400000000000091" w:val="single" w:color="#000000"/>
            </w:tcBorders>
            <w:shd w:fill="d2d2d2"/>
            <w:tcMar>
              <w:start w:w="0" w:type="dxa"/>
              <w:end w:w="0" w:type="dxa"/>
            </w:tcMar>
          </w:tcPr>
          <w:p/>
        </w:tc>
        <w:tc>
          <w:tcPr>
            <w:tcW w:type="dxa" w:w="3216"/>
            <w:tcBorders>
              <w:start w:sz="2.400000000000091" w:val="single" w:color="#000000"/>
              <w:top w:sz="5.600000000000023"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6" w:after="0"/>
              <w:ind w:left="106" w:right="0" w:firstLine="0"/>
              <w:jc w:val="left"/>
            </w:pPr>
            <w:r>
              <w:rPr>
                <w:rFonts w:ascii="宋体" w:hAnsi="宋体" w:eastAsia="宋体"/>
                <w:b w:val="0"/>
                <w:i w:val="0"/>
                <w:color w:val="000000"/>
                <w:sz w:val="18"/>
              </w:rPr>
              <w:t xml:space="preserve">d、企业对内部控制的监督无效。 </w:t>
            </w:r>
          </w:p>
          <w:p>
            <w:pPr>
              <w:autoSpaceDN w:val="0"/>
              <w:autoSpaceDE w:val="0"/>
              <w:widowControl/>
              <w:spacing w:line="240" w:lineRule="exact" w:before="0" w:after="0"/>
              <w:ind w:left="106" w:right="0" w:firstLine="0"/>
              <w:jc w:val="left"/>
            </w:pPr>
            <w:r>
              <w:rPr>
                <w:rFonts w:ascii="宋体" w:hAnsi="宋体" w:eastAsia="宋体"/>
                <w:b w:val="0"/>
                <w:i w:val="0"/>
                <w:color w:val="000000"/>
                <w:sz w:val="18"/>
              </w:rPr>
              <w:t xml:space="preserve">②重要缺陷： </w:t>
            </w:r>
            <w:r>
              <w:br/>
            </w:r>
            <w:r>
              <w:rPr>
                <w:rFonts w:ascii="宋体" w:hAnsi="宋体" w:eastAsia="宋体"/>
                <w:b w:val="0"/>
                <w:i w:val="0"/>
                <w:color w:val="000000"/>
                <w:sz w:val="18"/>
              </w:rPr>
              <w:t>a、未依照公认会计准则选择和应用会</w:t>
            </w:r>
            <w:r>
              <w:rPr>
                <w:rFonts w:ascii="宋体" w:hAnsi="宋体" w:eastAsia="宋体"/>
                <w:b w:val="0"/>
                <w:i w:val="0"/>
                <w:color w:val="000000"/>
                <w:sz w:val="18"/>
              </w:rPr>
              <w:t xml:space="preserve">计政策的内部控制问题； </w:t>
            </w:r>
            <w:r>
              <w:br/>
            </w:r>
            <w:r>
              <w:rPr>
                <w:rFonts w:ascii="宋体" w:hAnsi="宋体" w:eastAsia="宋体"/>
                <w:b w:val="0"/>
                <w:i w:val="0"/>
                <w:color w:val="000000"/>
                <w:sz w:val="18"/>
              </w:rPr>
              <w:t>b、对于非常规或特殊交易的账务处理</w:t>
            </w:r>
            <w:r>
              <w:rPr>
                <w:rFonts w:ascii="宋体" w:hAnsi="宋体" w:eastAsia="宋体"/>
                <w:b w:val="0"/>
                <w:i w:val="0"/>
                <w:color w:val="000000"/>
                <w:sz w:val="18"/>
              </w:rPr>
              <w:t xml:space="preserve">未建立相应的控制措施； </w:t>
            </w:r>
            <w:r>
              <w:br/>
            </w:r>
            <w:r>
              <w:rPr>
                <w:rFonts w:ascii="宋体" w:hAnsi="宋体" w:eastAsia="宋体"/>
                <w:b w:val="0"/>
                <w:i w:val="0"/>
                <w:color w:val="000000"/>
                <w:sz w:val="18"/>
              </w:rPr>
              <w:t>c、期末财务报告过程的控制存在一项</w:t>
            </w:r>
            <w:r>
              <w:rPr>
                <w:rFonts w:ascii="宋体" w:hAnsi="宋体" w:eastAsia="宋体"/>
                <w:b w:val="0"/>
                <w:i w:val="0"/>
                <w:color w:val="000000"/>
                <w:sz w:val="18"/>
              </w:rPr>
              <w:t>或多项缺陷不能合理保证编制的财务</w:t>
            </w:r>
            <w:r>
              <w:rPr>
                <w:rFonts w:ascii="宋体" w:hAnsi="宋体" w:eastAsia="宋体"/>
                <w:b w:val="0"/>
                <w:i w:val="0"/>
                <w:color w:val="000000"/>
                <w:sz w:val="18"/>
              </w:rPr>
              <w:t xml:space="preserve">报表达到真实、准确的目标。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③一般缺陷：除重大缺陷、重要缺陷</w:t>
            </w:r>
            <w:r>
              <w:rPr>
                <w:rFonts w:ascii="宋体" w:hAnsi="宋体" w:eastAsia="宋体"/>
                <w:b w:val="0"/>
                <w:i w:val="0"/>
                <w:color w:val="000000"/>
                <w:sz w:val="18"/>
              </w:rPr>
              <w:t xml:space="preserve">之外的其他控制缺陷。 </w:t>
            </w:r>
          </w:p>
        </w:tc>
        <w:tc>
          <w:tcPr>
            <w:tcW w:type="dxa" w:w="3212"/>
            <w:tcBorders>
              <w:start w:sz="1.599999999999909" w:val="single" w:color="#000000"/>
              <w:top w:sz="5.600000000000023" w:val="single" w:color="#000000"/>
              <w:end w:sz="1.5999999999994543" w:val="single" w:color="#000000"/>
              <w:bottom w:sz="2.400000000000091" w:val="single" w:color="#000000"/>
            </w:tcBorders>
            <w:tcMar>
              <w:start w:w="0" w:type="dxa"/>
              <w:end w:w="0" w:type="dxa"/>
            </w:tcMar>
          </w:tcPr>
          <w:p>
            <w:pPr>
              <w:autoSpaceDN w:val="0"/>
              <w:autoSpaceDE w:val="0"/>
              <w:widowControl/>
              <w:spacing w:line="228" w:lineRule="exact" w:before="0" w:after="0"/>
              <w:ind w:left="106" w:right="0" w:firstLine="0"/>
              <w:jc w:val="left"/>
            </w:pPr>
            <w:r>
              <w:rPr>
                <w:rFonts w:ascii="宋体" w:hAnsi="宋体" w:eastAsia="宋体"/>
                <w:b w:val="0"/>
                <w:i w:val="0"/>
                <w:color w:val="000000"/>
                <w:sz w:val="18"/>
              </w:rPr>
              <w:t>d、重要业务长期缺乏制度控制或制度</w:t>
            </w:r>
            <w:r>
              <w:rPr>
                <w:rFonts w:ascii="宋体" w:hAnsi="宋体" w:eastAsia="宋体"/>
                <w:b w:val="0"/>
                <w:i w:val="0"/>
                <w:color w:val="000000"/>
                <w:sz w:val="18"/>
              </w:rPr>
              <w:t xml:space="preserve">系统性严重失效。 </w:t>
            </w:r>
          </w:p>
          <w:p>
            <w:pPr>
              <w:autoSpaceDN w:val="0"/>
              <w:autoSpaceDE w:val="0"/>
              <w:widowControl/>
              <w:spacing w:line="240" w:lineRule="exact" w:before="0" w:after="0"/>
              <w:ind w:left="106" w:right="0" w:firstLine="0"/>
              <w:jc w:val="left"/>
            </w:pPr>
            <w:r>
              <w:rPr>
                <w:rFonts w:ascii="宋体" w:hAnsi="宋体" w:eastAsia="宋体"/>
                <w:b w:val="0"/>
                <w:i w:val="0"/>
                <w:color w:val="000000"/>
                <w:sz w:val="18"/>
              </w:rPr>
              <w:t xml:space="preserve">②重要缺陷： </w:t>
            </w:r>
            <w:r>
              <w:br/>
            </w:r>
            <w:r>
              <w:rPr>
                <w:rFonts w:ascii="宋体" w:hAnsi="宋体" w:eastAsia="宋体"/>
                <w:b w:val="0"/>
                <w:i w:val="0"/>
                <w:color w:val="000000"/>
                <w:sz w:val="18"/>
              </w:rPr>
              <w:t>a、重要决策程序出现程序失误且造成</w:t>
            </w:r>
            <w:r>
              <w:rPr>
                <w:rFonts w:ascii="宋体" w:hAnsi="宋体" w:eastAsia="宋体"/>
                <w:b w:val="0"/>
                <w:i w:val="0"/>
                <w:color w:val="000000"/>
                <w:sz w:val="18"/>
              </w:rPr>
              <w:t xml:space="preserve">较大损失； </w:t>
            </w:r>
            <w:r>
              <w:br/>
            </w:r>
            <w:r>
              <w:rPr>
                <w:rFonts w:ascii="宋体" w:hAnsi="宋体" w:eastAsia="宋体"/>
                <w:b w:val="0"/>
                <w:i w:val="0"/>
                <w:color w:val="000000"/>
                <w:sz w:val="18"/>
              </w:rPr>
              <w:t>b、公司人员已经或者涉嫌舞弊并给公</w:t>
            </w:r>
            <w:r>
              <w:rPr>
                <w:rFonts w:ascii="宋体" w:hAnsi="宋体" w:eastAsia="宋体"/>
                <w:b w:val="0"/>
                <w:i w:val="0"/>
                <w:color w:val="000000"/>
                <w:sz w:val="18"/>
              </w:rPr>
              <w:t xml:space="preserve">司造成重大损失； </w:t>
            </w:r>
            <w:r>
              <w:br/>
            </w:r>
            <w:r>
              <w:rPr>
                <w:rFonts w:ascii="宋体" w:hAnsi="宋体" w:eastAsia="宋体"/>
                <w:b w:val="0"/>
                <w:i w:val="0"/>
                <w:color w:val="000000"/>
                <w:sz w:val="18"/>
              </w:rPr>
              <w:t>c、公司被监管部门暂停相关业务许</w:t>
            </w:r>
            <w:r>
              <w:rPr>
                <w:rFonts w:ascii="宋体" w:hAnsi="宋体" w:eastAsia="宋体"/>
                <w:b w:val="0"/>
                <w:i w:val="0"/>
                <w:color w:val="000000"/>
                <w:sz w:val="18"/>
              </w:rPr>
              <w:t xml:space="preserve">可。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③一般缺陷：除重大缺陷、重要缺陷</w:t>
            </w:r>
            <w:r>
              <w:rPr>
                <w:rFonts w:ascii="宋体" w:hAnsi="宋体" w:eastAsia="宋体"/>
                <w:b w:val="0"/>
                <w:i w:val="0"/>
                <w:color w:val="000000"/>
                <w:sz w:val="18"/>
              </w:rPr>
              <w:t xml:space="preserve">之外的其他非财务内部控制缺陷。 </w:t>
            </w:r>
          </w:p>
        </w:tc>
      </w:tr>
      <w:tr>
        <w:trPr>
          <w:trHeight w:hRule="exact" w:val="1446"/>
        </w:trPr>
        <w:tc>
          <w:tcPr>
            <w:tcW w:type="dxa" w:w="3214"/>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636" w:after="0"/>
              <w:ind w:left="108" w:right="0" w:firstLine="0"/>
              <w:jc w:val="left"/>
            </w:pPr>
            <w:r>
              <w:rPr>
                <w:rFonts w:ascii="宋体" w:hAnsi="宋体" w:eastAsia="宋体"/>
                <w:b w:val="0"/>
                <w:i w:val="0"/>
                <w:color w:val="000000"/>
                <w:sz w:val="18"/>
              </w:rPr>
              <w:t xml:space="preserve">定量标准 </w:t>
            </w:r>
          </w:p>
        </w:tc>
        <w:tc>
          <w:tcPr>
            <w:tcW w:type="dxa" w:w="3216"/>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exact" w:before="0" w:after="0"/>
              <w:ind w:left="106" w:right="144" w:firstLine="0"/>
              <w:jc w:val="left"/>
            </w:pPr>
            <w:r>
              <w:rPr>
                <w:rFonts w:ascii="宋体" w:hAnsi="宋体" w:eastAsia="宋体"/>
                <w:b w:val="0"/>
                <w:i w:val="0"/>
                <w:color w:val="000000"/>
                <w:sz w:val="18"/>
              </w:rPr>
              <w:t>①重大缺陷：错报金额大于年末净资</w:t>
            </w:r>
            <w:r>
              <w:rPr>
                <w:rFonts w:ascii="宋体" w:hAnsi="宋体" w:eastAsia="宋体"/>
                <w:b w:val="0"/>
                <w:i w:val="0"/>
                <w:color w:val="000000"/>
                <w:sz w:val="18"/>
              </w:rPr>
              <w:t xml:space="preserve">产的5%（含）。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②重要缺陷：错报金额达到年末净资</w:t>
            </w:r>
            <w:r>
              <w:rPr>
                <w:rFonts w:ascii="宋体" w:hAnsi="宋体" w:eastAsia="宋体"/>
                <w:b w:val="0"/>
                <w:i w:val="0"/>
                <w:color w:val="000000"/>
                <w:sz w:val="18"/>
              </w:rPr>
              <w:t xml:space="preserve">产的3%-5%(不含)。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③一般缺陷：错报金额小于年末净资</w:t>
            </w:r>
            <w:r>
              <w:rPr>
                <w:rFonts w:ascii="宋体" w:hAnsi="宋体" w:eastAsia="宋体"/>
                <w:b w:val="0"/>
                <w:i w:val="0"/>
                <w:color w:val="000000"/>
                <w:sz w:val="18"/>
              </w:rPr>
              <w:t xml:space="preserve">产的3%(含)。 </w:t>
            </w:r>
          </w:p>
        </w:tc>
        <w:tc>
          <w:tcPr>
            <w:tcW w:type="dxa" w:w="3212"/>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30" w:lineRule="exact" w:before="0" w:after="0"/>
              <w:ind w:left="106" w:right="144" w:firstLine="0"/>
              <w:jc w:val="left"/>
            </w:pPr>
            <w:r>
              <w:rPr>
                <w:rFonts w:ascii="宋体" w:hAnsi="宋体" w:eastAsia="宋体"/>
                <w:b w:val="0"/>
                <w:i w:val="0"/>
                <w:color w:val="000000"/>
                <w:sz w:val="18"/>
              </w:rPr>
              <w:t>①重大缺陷：因内控缺陷造成的损失</w:t>
            </w:r>
            <w:r>
              <w:rPr>
                <w:rFonts w:ascii="宋体" w:hAnsi="宋体" w:eastAsia="宋体"/>
                <w:b w:val="0"/>
                <w:i w:val="0"/>
                <w:color w:val="000000"/>
                <w:sz w:val="18"/>
              </w:rPr>
              <w:t xml:space="preserve">大于净资产的比例2%(含)。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②重要缺陷：因内控缺陷造成的损失</w:t>
            </w:r>
            <w:r>
              <w:rPr>
                <w:rFonts w:ascii="宋体" w:hAnsi="宋体" w:eastAsia="宋体"/>
                <w:b w:val="0"/>
                <w:i w:val="0"/>
                <w:color w:val="000000"/>
                <w:sz w:val="18"/>
              </w:rPr>
              <w:t xml:space="preserve">达到净资产的1%-2%(不含)。 </w:t>
            </w:r>
          </w:p>
          <w:p>
            <w:pPr>
              <w:autoSpaceDN w:val="0"/>
              <w:autoSpaceDE w:val="0"/>
              <w:widowControl/>
              <w:spacing w:line="240" w:lineRule="exact" w:before="0" w:after="0"/>
              <w:ind w:left="106" w:right="144" w:firstLine="0"/>
              <w:jc w:val="left"/>
            </w:pPr>
            <w:r>
              <w:rPr>
                <w:rFonts w:ascii="宋体" w:hAnsi="宋体" w:eastAsia="宋体"/>
                <w:b w:val="0"/>
                <w:i w:val="0"/>
                <w:color w:val="000000"/>
                <w:sz w:val="18"/>
              </w:rPr>
              <w:t>③一般缺陷：因内控缺陷造成的损失</w:t>
            </w:r>
            <w:r>
              <w:rPr>
                <w:rFonts w:ascii="宋体" w:hAnsi="宋体" w:eastAsia="宋体"/>
                <w:b w:val="0"/>
                <w:i w:val="0"/>
                <w:color w:val="000000"/>
                <w:sz w:val="18"/>
              </w:rPr>
              <w:t xml:space="preserve">小于年末净资产的1%(含)。 </w:t>
            </w:r>
          </w:p>
        </w:tc>
      </w:tr>
      <w:tr>
        <w:trPr>
          <w:trHeight w:hRule="exact" w:val="324"/>
        </w:trPr>
        <w:tc>
          <w:tcPr>
            <w:tcW w:type="dxa" w:w="3214"/>
            <w:tcBorders>
              <w:start w:sz="2.3999999999999773"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财务报告重大缺陷数量（个） </w:t>
            </w:r>
          </w:p>
        </w:tc>
        <w:tc>
          <w:tcPr>
            <w:tcW w:type="dxa" w:w="6428"/>
            <w:gridSpan w:val="2"/>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80" w:after="0"/>
              <w:ind w:left="0" w:right="14" w:firstLine="0"/>
              <w:jc w:val="right"/>
            </w:pPr>
            <w:r>
              <w:rPr>
                <w:rFonts w:ascii="宋体" w:hAnsi="宋体" w:eastAsia="宋体"/>
                <w:b w:val="0"/>
                <w:i w:val="0"/>
                <w:color w:val="000000"/>
                <w:sz w:val="18"/>
              </w:rPr>
              <w:t xml:space="preserve">0 </w:t>
            </w:r>
          </w:p>
        </w:tc>
      </w:tr>
      <w:tr>
        <w:trPr>
          <w:trHeight w:hRule="exact" w:val="326"/>
        </w:trPr>
        <w:tc>
          <w:tcPr>
            <w:tcW w:type="dxa" w:w="3214"/>
            <w:tcBorders>
              <w:start w:sz="2.3999999999999773" w:val="single" w:color="#000000"/>
              <w:top w:sz="1.599999999999909"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非财务报告重大缺陷数量（个） </w:t>
            </w:r>
          </w:p>
        </w:tc>
        <w:tc>
          <w:tcPr>
            <w:tcW w:type="dxa" w:w="6428"/>
            <w:gridSpan w:val="2"/>
            <w:tcBorders>
              <w:start w:sz="2.400000000000091" w:val="single" w:color="#000000"/>
              <w:top w:sz="1.599999999999909" w:val="single" w:color="#000000"/>
              <w:end w:sz="1.5999999999994543" w:val="single" w:color="#000000"/>
              <w:bottom w:sz="2.400000000000091" w:val="single" w:color="#000000"/>
            </w:tcBorders>
            <w:tcMar>
              <w:start w:w="0" w:type="dxa"/>
              <w:end w:w="0" w:type="dxa"/>
            </w:tcMar>
            <w:tcMar>
              <w:start w:w="0" w:type="dxa"/>
              <w:end w:w="0" w:type="dxa"/>
            </w:tcMar>
          </w:tcPr>
          <w:p>
            <w:pPr>
              <w:autoSpaceDN w:val="0"/>
              <w:autoSpaceDE w:val="0"/>
              <w:widowControl/>
              <w:spacing w:line="180" w:lineRule="exact" w:before="80" w:after="0"/>
              <w:ind w:left="0" w:right="14" w:firstLine="0"/>
              <w:jc w:val="right"/>
            </w:pPr>
            <w:r>
              <w:rPr>
                <w:rFonts w:ascii="宋体" w:hAnsi="宋体" w:eastAsia="宋体"/>
                <w:b w:val="0"/>
                <w:i w:val="0"/>
                <w:color w:val="000000"/>
                <w:sz w:val="18"/>
              </w:rPr>
              <w:t xml:space="preserve">0 </w:t>
            </w:r>
          </w:p>
        </w:tc>
      </w:tr>
      <w:tr>
        <w:trPr>
          <w:trHeight w:hRule="exact" w:val="326"/>
        </w:trPr>
        <w:tc>
          <w:tcPr>
            <w:tcW w:type="dxa" w:w="3214"/>
            <w:tcBorders>
              <w:start w:sz="2.3999999999999773"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财务报告重要缺陷数量（个） </w:t>
            </w:r>
          </w:p>
        </w:tc>
        <w:tc>
          <w:tcPr>
            <w:tcW w:type="dxa" w:w="6428"/>
            <w:gridSpan w:val="2"/>
            <w:tcBorders>
              <w:start w:sz="2.400000000000091" w:val="single" w:color="#000000"/>
              <w:top w:sz="2.400000000000091" w:val="single" w:color="#000000"/>
              <w:end w:sz="1.5999999999994543" w:val="single" w:color="#000000"/>
              <w:bottom w:sz="2.400000000000091" w:val="single" w:color="#000000"/>
            </w:tcBorders>
            <w:tcMar>
              <w:start w:w="0" w:type="dxa"/>
              <w:end w:w="0" w:type="dxa"/>
            </w:tcMar>
            <w:tcMar>
              <w:start w:w="0" w:type="dxa"/>
              <w:end w:w="0" w:type="dxa"/>
            </w:tcMar>
          </w:tcPr>
          <w:p>
            <w:pPr>
              <w:autoSpaceDN w:val="0"/>
              <w:autoSpaceDE w:val="0"/>
              <w:widowControl/>
              <w:spacing w:line="180" w:lineRule="exact" w:before="78" w:after="0"/>
              <w:ind w:left="0" w:right="14" w:firstLine="0"/>
              <w:jc w:val="right"/>
            </w:pPr>
            <w:r>
              <w:rPr>
                <w:rFonts w:ascii="宋体" w:hAnsi="宋体" w:eastAsia="宋体"/>
                <w:b w:val="0"/>
                <w:i w:val="0"/>
                <w:color w:val="000000"/>
                <w:sz w:val="18"/>
              </w:rPr>
              <w:t xml:space="preserve">0 </w:t>
            </w:r>
          </w:p>
        </w:tc>
      </w:tr>
      <w:tr>
        <w:trPr>
          <w:trHeight w:hRule="exact" w:val="326"/>
        </w:trPr>
        <w:tc>
          <w:tcPr>
            <w:tcW w:type="dxa" w:w="3214"/>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非财务报告重要缺陷数量（个） </w:t>
            </w:r>
          </w:p>
        </w:tc>
        <w:tc>
          <w:tcPr>
            <w:tcW w:type="dxa" w:w="6428"/>
            <w:gridSpan w:val="2"/>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78" w:after="0"/>
              <w:ind w:left="0" w:right="14" w:firstLine="0"/>
              <w:jc w:val="right"/>
            </w:pPr>
            <w:r>
              <w:rPr>
                <w:rFonts w:ascii="宋体" w:hAnsi="宋体" w:eastAsia="宋体"/>
                <w:b w:val="0"/>
                <w:i w:val="0"/>
                <w:color w:val="000000"/>
                <w:sz w:val="18"/>
              </w:rPr>
              <w:t xml:space="preserve">0 </w:t>
            </w:r>
          </w:p>
        </w:tc>
      </w:tr>
    </w:tbl>
    <w:p>
      <w:pPr>
        <w:autoSpaceDN w:val="0"/>
        <w:autoSpaceDE w:val="0"/>
        <w:widowControl/>
        <w:spacing w:line="210" w:lineRule="exact" w:before="336" w:after="328"/>
        <w:ind w:left="30" w:right="0" w:firstLine="0"/>
        <w:jc w:val="left"/>
      </w:pPr>
      <w:r>
        <w:rPr>
          <w:rFonts w:ascii="宋体" w:hAnsi="宋体" w:eastAsia="宋体"/>
          <w:b w:val="0"/>
          <w:i w:val="0"/>
          <w:color w:val="000000"/>
          <w:sz w:val="21"/>
        </w:rPr>
        <w:t xml:space="preserve">2、内部控制审计报告 </w:t>
      </w:r>
    </w:p>
    <w:tbl>
      <w:tblPr>
        <w:tblW w:type="auto" w:w="0"/>
        <w:tblLayout w:type="fixed"/>
        <w:tblLook w:firstColumn="1" w:firstRow="1" w:lastColumn="0" w:lastRow="0" w:noHBand="0" w:noVBand="1" w:val="04A0"/>
        <w:tblInd w:w="31.999999999999886" w:type="dxa"/>
      </w:tblPr>
      <w:tblGrid>
        <w:gridCol w:w="4858"/>
        <w:gridCol w:w="4858"/>
      </w:tblGrid>
      <w:tr>
        <w:trPr>
          <w:trHeight w:hRule="exact" w:val="326"/>
        </w:trPr>
        <w:tc>
          <w:tcPr>
            <w:tcW w:type="dxa" w:w="9638"/>
            <w:gridSpan w:val="2"/>
            <w:tcBorders>
              <w:top w:sz="2.400000000000091" w:val="single" w:color="#000000"/>
              <w:end w:sz="1.5999999999994543" w:val="single" w:color="#000000"/>
              <w:bottom w:sz="1.599999999999909" w:val="single" w:color="#000000"/>
            </w:tcBorders>
            <w:shd w:fill="d2d2d2"/>
            <w:tcMar>
              <w:start w:w="0" w:type="dxa"/>
              <w:end w:w="0" w:type="dxa"/>
            </w:tcMar>
            <w:tcMar>
              <w:start w:w="0" w:type="dxa"/>
              <w:end w:w="0" w:type="dxa"/>
            </w:tcMar>
          </w:tcPr>
          <w:p>
            <w:pPr>
              <w:autoSpaceDN w:val="0"/>
              <w:autoSpaceDE w:val="0"/>
              <w:widowControl/>
              <w:spacing w:line="180" w:lineRule="exact" w:before="76" w:after="0"/>
              <w:ind w:left="0" w:right="3370" w:firstLine="0"/>
              <w:jc w:val="right"/>
            </w:pPr>
            <w:r>
              <w:rPr>
                <w:rFonts w:ascii="宋体" w:hAnsi="宋体" w:eastAsia="宋体"/>
                <w:b w:val="0"/>
                <w:i w:val="0"/>
                <w:color w:val="000000"/>
                <w:sz w:val="18"/>
              </w:rPr>
              <w:t xml:space="preserve">内部控制审计报告中的审议意见段 </w:t>
            </w:r>
          </w:p>
        </w:tc>
      </w:tr>
      <w:tr>
        <w:trPr>
          <w:trHeight w:hRule="exact" w:val="484"/>
        </w:trPr>
        <w:tc>
          <w:tcPr>
            <w:tcW w:type="dxa" w:w="9638"/>
            <w:gridSpan w:val="2"/>
            <w:tcBorders>
              <w:top w:sz="1.599999999999909" w:val="single" w:color="#000000"/>
              <w:end w:sz="1.5999999999994543" w:val="single" w:color="#000000"/>
              <w:bottom w:sz="1.599999999999909" w:val="single" w:color="#000000"/>
            </w:tcBorders>
            <w:tcMar>
              <w:start w:w="0" w:type="dxa"/>
              <w:end w:w="0" w:type="dxa"/>
            </w:tcMar>
            <w:tcMar>
              <w:start w:w="0" w:type="dxa"/>
              <w:end w:w="0" w:type="dxa"/>
            </w:tcMar>
          </w:tcPr>
          <w:p>
            <w:pPr>
              <w:autoSpaceDN w:val="0"/>
              <w:autoSpaceDE w:val="0"/>
              <w:widowControl/>
              <w:spacing w:line="228" w:lineRule="exact" w:before="0" w:after="0"/>
              <w:ind w:left="108" w:right="144" w:firstLine="0"/>
              <w:jc w:val="left"/>
            </w:pPr>
            <w:r>
              <w:rPr>
                <w:rFonts w:ascii="宋体" w:hAnsi="宋体" w:eastAsia="宋体"/>
                <w:b w:val="0"/>
                <w:i w:val="0"/>
                <w:color w:val="000000"/>
                <w:sz w:val="18"/>
              </w:rPr>
              <w:t>我们认为，山西证券于2024 年12 月31 日按照《企业内部控制基本规范》和相关规定在所有重大方面保持了有效的财</w:t>
            </w:r>
            <w:r>
              <w:rPr>
                <w:rFonts w:ascii="宋体" w:hAnsi="宋体" w:eastAsia="宋体"/>
                <w:b w:val="0"/>
                <w:i w:val="0"/>
                <w:color w:val="000000"/>
                <w:sz w:val="18"/>
              </w:rPr>
              <w:t xml:space="preserve">务报告内部控制。 </w:t>
            </w:r>
          </w:p>
        </w:tc>
      </w:tr>
      <w:tr>
        <w:trPr>
          <w:trHeight w:hRule="exact" w:val="324"/>
        </w:trPr>
        <w:tc>
          <w:tcPr>
            <w:tcW w:type="dxa" w:w="3260"/>
            <w:tcBorders>
              <w:top w:sz="1.599999999999909" w:val="single" w:color="#000000"/>
              <w:end w:sz="1.6000000000001364"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内控审计报告披露情况 </w:t>
            </w:r>
          </w:p>
        </w:tc>
        <w:tc>
          <w:tcPr>
            <w:tcW w:type="dxa" w:w="6378"/>
            <w:tcBorders>
              <w:start w:sz="1.6000000000001364"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78" w:after="0"/>
              <w:ind w:left="106" w:right="0" w:firstLine="0"/>
              <w:jc w:val="left"/>
            </w:pPr>
            <w:r>
              <w:rPr>
                <w:rFonts w:ascii="宋体" w:hAnsi="宋体" w:eastAsia="宋体"/>
                <w:b w:val="0"/>
                <w:i w:val="0"/>
                <w:color w:val="000000"/>
                <w:sz w:val="18"/>
              </w:rPr>
              <w:t xml:space="preserve">披露 </w:t>
            </w:r>
          </w:p>
        </w:tc>
      </w:tr>
      <w:tr>
        <w:trPr>
          <w:trHeight w:hRule="exact" w:val="328"/>
        </w:trPr>
        <w:tc>
          <w:tcPr>
            <w:tcW w:type="dxa" w:w="3260"/>
            <w:tcBorders>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内部控制审计报告全文披露日期 </w:t>
            </w:r>
          </w:p>
        </w:tc>
        <w:tc>
          <w:tcPr>
            <w:tcW w:type="dxa" w:w="6378"/>
            <w:tcBorders>
              <w:start w:sz="1.6000000000001364"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78" w:after="0"/>
              <w:ind w:left="106" w:right="0" w:firstLine="0"/>
              <w:jc w:val="left"/>
            </w:pPr>
            <w:r>
              <w:rPr>
                <w:rFonts w:ascii="宋体" w:hAnsi="宋体" w:eastAsia="宋体"/>
                <w:b w:val="0"/>
                <w:i w:val="0"/>
                <w:color w:val="000000"/>
                <w:sz w:val="18"/>
              </w:rPr>
              <w:t xml:space="preserve">2025.04.26 </w:t>
            </w:r>
          </w:p>
        </w:tc>
      </w:tr>
      <w:tr>
        <w:trPr>
          <w:trHeight w:hRule="exact" w:val="484"/>
        </w:trPr>
        <w:tc>
          <w:tcPr>
            <w:tcW w:type="dxa" w:w="3260"/>
            <w:tcBorders>
              <w:top w:sz="2.400000000000091" w:val="single" w:color="#000000"/>
              <w:end w:sz="1.6000000000001364" w:val="single" w:color="#000000"/>
              <w:bottom w:sz="1.599999999999909" w:val="single" w:color="#000000"/>
            </w:tcBorders>
            <w:shd w:fill="d2d2d2"/>
            <w:tcMar>
              <w:start w:w="0" w:type="dxa"/>
              <w:end w:w="0" w:type="dxa"/>
            </w:tcMar>
          </w:tcPr>
          <w:p>
            <w:pPr>
              <w:autoSpaceDN w:val="0"/>
              <w:autoSpaceDE w:val="0"/>
              <w:widowControl/>
              <w:spacing w:line="180" w:lineRule="exact" w:before="154" w:after="0"/>
              <w:ind w:left="108" w:right="0" w:firstLine="0"/>
              <w:jc w:val="left"/>
            </w:pPr>
            <w:r>
              <w:rPr>
                <w:rFonts w:ascii="宋体" w:hAnsi="宋体" w:eastAsia="宋体"/>
                <w:b w:val="0"/>
                <w:i w:val="0"/>
                <w:color w:val="000000"/>
                <w:sz w:val="18"/>
              </w:rPr>
              <w:t xml:space="preserve">内部控制审计报告全文披露索引 </w:t>
            </w:r>
          </w:p>
        </w:tc>
        <w:tc>
          <w:tcPr>
            <w:tcW w:type="dxa" w:w="6378"/>
            <w:tcBorders>
              <w:start w:sz="1.6000000000001364"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28" w:lineRule="exact" w:before="0" w:after="0"/>
              <w:ind w:left="106" w:right="144" w:firstLine="0"/>
              <w:jc w:val="left"/>
            </w:pPr>
            <w:r>
              <w:rPr>
                <w:rFonts w:ascii="宋体" w:hAnsi="宋体" w:eastAsia="宋体"/>
                <w:b w:val="0"/>
                <w:i w:val="0"/>
                <w:color w:val="000000"/>
                <w:sz w:val="18"/>
              </w:rPr>
              <w:t>巨潮资讯网（ http://www.cninfo.com.cn ）2025 年4 月26 日公司公告《山</w:t>
            </w:r>
            <w:r>
              <w:rPr>
                <w:rFonts w:ascii="宋体" w:hAnsi="宋体" w:eastAsia="宋体"/>
                <w:b w:val="0"/>
                <w:i w:val="0"/>
                <w:color w:val="000000"/>
                <w:sz w:val="18"/>
              </w:rPr>
              <w:t xml:space="preserve">西证券股份有限公司内部控制审计报告》 </w:t>
            </w:r>
          </w:p>
        </w:tc>
      </w:tr>
      <w:tr>
        <w:trPr>
          <w:trHeight w:hRule="exact" w:val="324"/>
        </w:trPr>
        <w:tc>
          <w:tcPr>
            <w:tcW w:type="dxa" w:w="3260"/>
            <w:tcBorders>
              <w:top w:sz="1.599999999999909" w:val="single" w:color="#000000"/>
              <w:end w:sz="1.6000000000001364"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内控审计报告意见类型 </w:t>
            </w:r>
          </w:p>
        </w:tc>
        <w:tc>
          <w:tcPr>
            <w:tcW w:type="dxa" w:w="6378"/>
            <w:tcBorders>
              <w:start w:sz="1.6000000000001364"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78" w:after="0"/>
              <w:ind w:left="106" w:right="0" w:firstLine="0"/>
              <w:jc w:val="left"/>
            </w:pPr>
            <w:r>
              <w:rPr>
                <w:rFonts w:ascii="宋体" w:hAnsi="宋体" w:eastAsia="宋体"/>
                <w:b w:val="0"/>
                <w:i w:val="0"/>
                <w:color w:val="000000"/>
                <w:sz w:val="18"/>
              </w:rPr>
              <w:t xml:space="preserve">标准无保留意见 </w:t>
            </w:r>
          </w:p>
        </w:tc>
      </w:tr>
      <w:tr>
        <w:trPr>
          <w:trHeight w:hRule="exact" w:val="326"/>
        </w:trPr>
        <w:tc>
          <w:tcPr>
            <w:tcW w:type="dxa" w:w="3260"/>
            <w:tcBorders>
              <w:top w:sz="1.599999999999909" w:val="single" w:color="#000000"/>
              <w:end w:sz="1.6000000000001364" w:val="single" w:color="#000000"/>
              <w:bottom w:sz="1.5999999999994543"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非财务报告是否存在重大缺陷 </w:t>
            </w:r>
          </w:p>
        </w:tc>
        <w:tc>
          <w:tcPr>
            <w:tcW w:type="dxa" w:w="6378"/>
            <w:tcBorders>
              <w:start w:sz="1.6000000000001364" w:val="single" w:color="#000000"/>
              <w:top w:sz="1.599999999999909" w:val="single" w:color="#000000"/>
              <w:end w:sz="1.5999999999994543" w:val="single" w:color="#000000"/>
              <w:bottom w:sz="1.5999999999994543" w:val="single" w:color="#000000"/>
            </w:tcBorders>
            <w:tcMar>
              <w:start w:w="0" w:type="dxa"/>
              <w:end w:w="0" w:type="dxa"/>
            </w:tcMar>
          </w:tcPr>
          <w:p>
            <w:pPr>
              <w:autoSpaceDN w:val="0"/>
              <w:autoSpaceDE w:val="0"/>
              <w:widowControl/>
              <w:spacing w:line="180" w:lineRule="exact" w:before="78" w:after="0"/>
              <w:ind w:left="106" w:right="0" w:firstLine="0"/>
              <w:jc w:val="left"/>
            </w:pPr>
            <w:r>
              <w:rPr>
                <w:rFonts w:ascii="宋体" w:hAnsi="宋体" w:eastAsia="宋体"/>
                <w:b w:val="0"/>
                <w:i w:val="0"/>
                <w:color w:val="000000"/>
                <w:sz w:val="18"/>
              </w:rPr>
              <w:t xml:space="preserve">否 </w:t>
            </w:r>
          </w:p>
        </w:tc>
      </w:tr>
    </w:tbl>
    <w:p>
      <w:pPr>
        <w:autoSpaceDN w:val="0"/>
        <w:autoSpaceDE w:val="0"/>
        <w:widowControl/>
        <w:spacing w:line="334" w:lineRule="exact" w:before="0" w:after="0"/>
        <w:ind w:left="30" w:right="3456" w:firstLine="0"/>
        <w:jc w:val="left"/>
      </w:pPr>
      <w:r>
        <w:rPr>
          <w:rFonts w:ascii="宋体" w:hAnsi="宋体" w:eastAsia="宋体"/>
          <w:b w:val="0"/>
          <w:i w:val="0"/>
          <w:color w:val="000000"/>
          <w:sz w:val="18"/>
        </w:rPr>
        <w:t xml:space="preserve">会计师事务所是否出具非标准意见的内部控制审计报告 </w:t>
      </w:r>
      <w:r>
        <w:br/>
      </w:r>
      <w:r>
        <w:rPr>
          <w:rFonts w:ascii="宋体" w:hAnsi="宋体" w:eastAsia="宋体"/>
          <w:b w:val="0"/>
          <w:i w:val="0"/>
          <w:color w:val="000000"/>
          <w:sz w:val="18"/>
        </w:rPr>
        <w:t xml:space="preserve">□是 √否 </w:t>
      </w:r>
      <w:r>
        <w:br/>
      </w:r>
      <w:r>
        <w:rPr>
          <w:rFonts w:ascii="宋体" w:hAnsi="宋体" w:eastAsia="宋体"/>
          <w:b w:val="0"/>
          <w:i w:val="0"/>
          <w:color w:val="000000"/>
          <w:sz w:val="18"/>
        </w:rPr>
        <w:t xml:space="preserve">会计师事务所出具的内部控制审计报告与董事会的自我评价报告意见是否一致 </w:t>
      </w:r>
      <w:r>
        <w:rPr>
          <w:rFonts w:ascii="宋体" w:hAnsi="宋体" w:eastAsia="宋体"/>
          <w:b w:val="0"/>
          <w:i w:val="0"/>
          <w:color w:val="000000"/>
          <w:sz w:val="18"/>
        </w:rPr>
        <w:t xml:space="preserve">√是 □否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十六、动态风险控制指标监控和补足机制建立情况 </w:t>
      </w:r>
    </w:p>
    <w:p>
      <w:pPr>
        <w:autoSpaceDN w:val="0"/>
        <w:autoSpaceDE w:val="0"/>
        <w:widowControl/>
        <w:spacing w:line="212" w:lineRule="exact" w:before="516" w:after="0"/>
        <w:ind w:left="452" w:right="0" w:firstLine="0"/>
        <w:jc w:val="left"/>
      </w:pPr>
      <w:r>
        <w:rPr>
          <w:rFonts w:ascii="宋体" w:hAnsi="宋体" w:eastAsia="宋体"/>
          <w:b w:val="0"/>
          <w:i w:val="0"/>
          <w:color w:val="000000"/>
          <w:sz w:val="21"/>
        </w:rPr>
        <w:t xml:space="preserve">（一）风险控制指标动态监控机制和资本补足机制 </w:t>
      </w:r>
    </w:p>
    <w:p>
      <w:pPr>
        <w:autoSpaceDN w:val="0"/>
        <w:autoSpaceDE w:val="0"/>
        <w:widowControl/>
        <w:spacing w:line="212" w:lineRule="exact" w:before="246" w:after="0"/>
        <w:ind w:left="450" w:right="0" w:firstLine="0"/>
        <w:jc w:val="left"/>
      </w:pPr>
      <w:r>
        <w:rPr>
          <w:rFonts w:ascii="宋体" w:hAnsi="宋体" w:eastAsia="宋体"/>
          <w:b w:val="0"/>
          <w:i w:val="0"/>
          <w:color w:val="000000"/>
          <w:sz w:val="21"/>
        </w:rPr>
        <w:t>公司并表管理系统可逐日系统化采集并表监管指标计算相关明细数据，实现T+1 日生成合并口径的</w:t>
      </w:r>
    </w:p>
    <w:p>
      <w:pPr>
        <w:autoSpaceDN w:val="0"/>
        <w:autoSpaceDE w:val="0"/>
        <w:widowControl/>
        <w:spacing w:line="212" w:lineRule="exact" w:before="250" w:after="0"/>
        <w:ind w:left="0" w:right="0" w:firstLine="0"/>
        <w:jc w:val="center"/>
      </w:pPr>
      <w:r>
        <w:rPr>
          <w:rFonts w:ascii="宋体" w:hAnsi="宋体" w:eastAsia="宋体"/>
          <w:b w:val="0"/>
          <w:i w:val="0"/>
          <w:color w:val="000000"/>
          <w:sz w:val="21"/>
        </w:rPr>
        <w:t>风险控制指标相关监管报表，合并范围包括母公司和境内外全部子公司，同时支持母子公司单一主体与</w:t>
      </w:r>
    </w:p>
    <w:p>
      <w:pPr>
        <w:autoSpaceDN w:val="0"/>
        <w:autoSpaceDE w:val="0"/>
        <w:widowControl/>
        <w:spacing w:line="212" w:lineRule="exact" w:before="248" w:after="0"/>
        <w:ind w:left="30" w:right="0" w:firstLine="0"/>
        <w:jc w:val="left"/>
      </w:pPr>
      <w:r>
        <w:rPr>
          <w:rFonts w:ascii="宋体" w:hAnsi="宋体" w:eastAsia="宋体"/>
          <w:b w:val="0"/>
          <w:i w:val="0"/>
          <w:color w:val="000000"/>
          <w:sz w:val="21"/>
        </w:rPr>
        <w:t xml:space="preserve">合并口径的监管报表查询，实现对母公司和集团合并风险控制指标的动态监控和自动预警。 </w:t>
      </w:r>
    </w:p>
    <w:p>
      <w:pPr>
        <w:autoSpaceDN w:val="0"/>
        <w:autoSpaceDE w:val="0"/>
        <w:widowControl/>
        <w:spacing w:line="197" w:lineRule="auto" w:before="1206" w:after="0"/>
        <w:ind w:left="0" w:right="0" w:firstLine="0"/>
        <w:jc w:val="center"/>
      </w:pPr>
      <w:r>
        <w:rPr>
          <w:rFonts w:ascii="Calibri" w:hAnsi="Calibri" w:eastAsia="Calibri"/>
          <w:b w:val="0"/>
          <w:i w:val="0"/>
          <w:color w:val="000000"/>
          <w:sz w:val="18"/>
        </w:rPr>
        <w:t xml:space="preserve">97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0" name="Picture 10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44" w:lineRule="exact" w:before="0" w:after="0"/>
        <w:ind w:left="30" w:right="228" w:firstLine="420"/>
        <w:jc w:val="both"/>
      </w:pPr>
      <w:r>
        <w:rPr>
          <w:rFonts w:ascii="宋体" w:hAnsi="宋体" w:eastAsia="宋体"/>
          <w:b w:val="0"/>
          <w:i w:val="0"/>
          <w:color w:val="000000"/>
          <w:sz w:val="21"/>
        </w:rPr>
        <w:t>报告期内，公司根据《证券公司风险控制指标计算标准规定》（证监会公告〔2024〕13 号），同步升</w:t>
      </w:r>
      <w:r>
        <w:rPr>
          <w:rFonts w:ascii="宋体" w:hAnsi="宋体" w:eastAsia="宋体"/>
          <w:b w:val="0"/>
          <w:i w:val="0"/>
          <w:color w:val="000000"/>
          <w:sz w:val="21"/>
        </w:rPr>
        <w:t>级改造并表管理系统，全面监控风险控制指标变动情况，及时预警并采取资本补足、调整业务规模等有</w:t>
      </w:r>
      <w:r>
        <w:rPr>
          <w:rFonts w:ascii="宋体" w:hAnsi="宋体" w:eastAsia="宋体"/>
          <w:b w:val="0"/>
          <w:i w:val="0"/>
          <w:color w:val="000000"/>
          <w:sz w:val="21"/>
        </w:rPr>
        <w:t xml:space="preserve">效措施，确保各项风险控制指标持续符合监管要求。 </w:t>
      </w:r>
    </w:p>
    <w:p>
      <w:pPr>
        <w:autoSpaceDN w:val="0"/>
        <w:tabs>
          <w:tab w:pos="450" w:val="left"/>
          <w:tab w:pos="452" w:val="left"/>
        </w:tabs>
        <w:autoSpaceDE w:val="0"/>
        <w:widowControl/>
        <w:spacing w:line="460" w:lineRule="exact" w:before="0" w:after="0"/>
        <w:ind w:left="30" w:right="0" w:firstLine="0"/>
        <w:jc w:val="left"/>
      </w:pPr>
      <w:r>
        <w:tab/>
      </w:r>
      <w:r>
        <w:rPr>
          <w:rFonts w:ascii="宋体" w:hAnsi="宋体" w:eastAsia="宋体"/>
          <w:b w:val="0"/>
          <w:i w:val="0"/>
          <w:color w:val="000000"/>
          <w:sz w:val="21"/>
        </w:rPr>
        <w:t xml:space="preserve">（二）压力测试机制 </w:t>
      </w:r>
      <w:r>
        <w:br/>
      </w:r>
      <w:r>
        <w:tab/>
      </w:r>
      <w:r>
        <w:rPr>
          <w:rFonts w:ascii="宋体" w:hAnsi="宋体" w:eastAsia="宋体"/>
          <w:b w:val="0"/>
          <w:i w:val="0"/>
          <w:color w:val="000000"/>
          <w:sz w:val="21"/>
        </w:rPr>
        <w:t>依据中国证监会《证券公司风险控制指标管理办法》和中国证券业协会《证券公司压力测试指引》</w:t>
      </w:r>
      <w:r>
        <w:rPr>
          <w:rFonts w:ascii="宋体" w:hAnsi="宋体" w:eastAsia="宋体"/>
          <w:b w:val="0"/>
          <w:i w:val="0"/>
          <w:color w:val="000000"/>
          <w:sz w:val="21"/>
        </w:rPr>
        <w:t>的相关规定，公司建立了常态化的压力测试机制。公司结合市场变化、业务规模、风险水平及监管要求，</w:t>
      </w:r>
      <w:r>
        <w:rPr>
          <w:rFonts w:ascii="宋体" w:hAnsi="宋体" w:eastAsia="宋体"/>
          <w:b w:val="0"/>
          <w:i w:val="0"/>
          <w:color w:val="000000"/>
          <w:sz w:val="21"/>
        </w:rPr>
        <w:t>定期或不定期开展综合压力测试和专项压力测试，测算压力情景下各项风险控制指标和财务指标的变化</w:t>
      </w:r>
      <w:r>
        <w:rPr>
          <w:rFonts w:ascii="宋体" w:hAnsi="宋体" w:eastAsia="宋体"/>
          <w:b w:val="0"/>
          <w:i w:val="0"/>
          <w:color w:val="000000"/>
          <w:sz w:val="21"/>
        </w:rPr>
        <w:t xml:space="preserve">情况，评估公司风险承受能力，并采取必要应对措施，确保公司在压力情景下风险可承受。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报告期内，公司开展了2 次综合压力测试，并就2023 年度利润分配方案、2024 年自有资金投资规模、</w:t>
      </w:r>
      <w:r>
        <w:rPr>
          <w:rFonts w:ascii="宋体" w:hAnsi="宋体" w:eastAsia="宋体"/>
          <w:b w:val="0"/>
          <w:i w:val="0"/>
          <w:color w:val="000000"/>
          <w:sz w:val="21"/>
        </w:rPr>
        <w:t>增加投资规模、开展新业务等开展了7 次专项压力测试。通过风险管理信息系统对市场风险及场外衍生</w:t>
      </w:r>
      <w:r>
        <w:rPr>
          <w:rFonts w:ascii="宋体" w:hAnsi="宋体" w:eastAsia="宋体"/>
          <w:b w:val="0"/>
          <w:i w:val="0"/>
          <w:color w:val="000000"/>
          <w:sz w:val="21"/>
        </w:rPr>
        <w:t>品业务进行3 次专项压力测试，评估不同情景下的风险敞口，强化风险识别，在确保指标持续符合监管</w:t>
      </w:r>
      <w:r>
        <w:rPr>
          <w:rFonts w:ascii="宋体" w:hAnsi="宋体" w:eastAsia="宋体"/>
          <w:b w:val="0"/>
          <w:i w:val="0"/>
          <w:color w:val="000000"/>
          <w:sz w:val="21"/>
        </w:rPr>
        <w:t xml:space="preserve">要求的基础上，为公司经营决策、资产配置提供决策依据。 </w:t>
      </w:r>
    </w:p>
    <w:p>
      <w:pPr>
        <w:autoSpaceDN w:val="0"/>
        <w:tabs>
          <w:tab w:pos="450" w:val="left"/>
          <w:tab w:pos="452" w:val="left"/>
        </w:tabs>
        <w:autoSpaceDE w:val="0"/>
        <w:widowControl/>
        <w:spacing w:line="460" w:lineRule="exact" w:before="2" w:after="0"/>
        <w:ind w:left="30" w:right="144" w:firstLine="0"/>
        <w:jc w:val="left"/>
      </w:pPr>
      <w:r>
        <w:tab/>
      </w:r>
      <w:r>
        <w:rPr>
          <w:rFonts w:ascii="宋体" w:hAnsi="宋体" w:eastAsia="宋体"/>
          <w:b w:val="0"/>
          <w:i w:val="0"/>
          <w:color w:val="000000"/>
          <w:sz w:val="21"/>
        </w:rPr>
        <w:t xml:space="preserve">（三）报告期内风险控制指标的监控情况 </w:t>
      </w:r>
      <w:r>
        <w:br/>
      </w:r>
      <w:r>
        <w:tab/>
      </w:r>
      <w:r>
        <w:rPr>
          <w:rFonts w:ascii="宋体" w:hAnsi="宋体" w:eastAsia="宋体"/>
          <w:b w:val="0"/>
          <w:i w:val="0"/>
          <w:color w:val="000000"/>
          <w:sz w:val="21"/>
        </w:rPr>
        <w:t>公司设专人专岗动态监控风险控制指标，及时掌握风险控制指标的变动情况。当风险控制指标突破</w:t>
      </w:r>
      <w:r>
        <w:rPr>
          <w:rFonts w:ascii="宋体" w:hAnsi="宋体" w:eastAsia="宋体"/>
          <w:b w:val="0"/>
          <w:i w:val="0"/>
          <w:color w:val="000000"/>
          <w:sz w:val="21"/>
        </w:rPr>
        <w:t>监管标准或预警标准时，公司履行逐级报告程序并报告监管部门。报告期内，公司以净资本和流动性为</w:t>
      </w:r>
      <w:r>
        <w:rPr>
          <w:rFonts w:ascii="宋体" w:hAnsi="宋体" w:eastAsia="宋体"/>
          <w:b w:val="0"/>
          <w:i w:val="0"/>
          <w:color w:val="000000"/>
          <w:sz w:val="21"/>
        </w:rPr>
        <w:t xml:space="preserve">核心的风险控制指标持续符合监管要求。 </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十七、风险管理情况 </w:t>
      </w:r>
    </w:p>
    <w:p>
      <w:pPr>
        <w:autoSpaceDN w:val="0"/>
        <w:autoSpaceDE w:val="0"/>
        <w:widowControl/>
        <w:spacing w:line="460" w:lineRule="exact" w:before="268" w:after="0"/>
        <w:ind w:left="30" w:right="240" w:firstLine="420"/>
        <w:jc w:val="both"/>
      </w:pPr>
      <w:r>
        <w:rPr>
          <w:rFonts w:ascii="宋体" w:hAnsi="宋体" w:eastAsia="宋体"/>
          <w:b w:val="0"/>
          <w:i w:val="0"/>
          <w:color w:val="000000"/>
          <w:sz w:val="21"/>
        </w:rPr>
        <w:t>报告期内，公司坚守稳健经营理念，以“风险防控精准高效”为目标，持续聚焦系统改进、模型优</w:t>
      </w:r>
      <w:r>
        <w:rPr>
          <w:rFonts w:ascii="宋体" w:hAnsi="宋体" w:eastAsia="宋体"/>
          <w:b w:val="0"/>
          <w:i w:val="0"/>
          <w:color w:val="000000"/>
          <w:sz w:val="21"/>
        </w:rPr>
        <w:t>化和指标完善，优化完善全面风险管理体系。公司各项业务风险整体可控，以净资本和流动性为核心的</w:t>
      </w:r>
      <w:r>
        <w:rPr>
          <w:rFonts w:ascii="宋体" w:hAnsi="宋体" w:eastAsia="宋体"/>
          <w:b w:val="0"/>
          <w:i w:val="0"/>
          <w:color w:val="000000"/>
          <w:sz w:val="21"/>
        </w:rPr>
        <w:t xml:space="preserve">主要风险控制指标持续达标，未发生重大风险事件。 </w:t>
      </w:r>
    </w:p>
    <w:p>
      <w:pPr>
        <w:autoSpaceDN w:val="0"/>
        <w:tabs>
          <w:tab w:pos="450" w:val="left"/>
        </w:tabs>
        <w:autoSpaceDE w:val="0"/>
        <w:widowControl/>
        <w:spacing w:line="460" w:lineRule="exact" w:before="0" w:after="0"/>
        <w:ind w:left="30" w:right="144" w:firstLine="0"/>
        <w:jc w:val="left"/>
      </w:pPr>
      <w:r>
        <w:tab/>
      </w:r>
      <w:r>
        <w:rPr>
          <w:rFonts w:ascii="宋体" w:hAnsi="宋体" w:eastAsia="宋体"/>
          <w:b w:val="0"/>
          <w:i w:val="0"/>
          <w:color w:val="000000"/>
          <w:sz w:val="21"/>
        </w:rPr>
        <w:t xml:space="preserve">（一）宣导稳健的风险文化 </w:t>
      </w:r>
      <w:r>
        <w:br/>
      </w:r>
      <w:r>
        <w:tab/>
      </w:r>
      <w:r>
        <w:rPr>
          <w:rFonts w:ascii="宋体" w:hAnsi="宋体" w:eastAsia="宋体"/>
          <w:b w:val="0"/>
          <w:i w:val="0"/>
          <w:color w:val="000000"/>
          <w:sz w:val="21"/>
        </w:rPr>
        <w:t>公司坚守“诚信、稳健、规范、创新、高效”的经营理念和风险管理能力是核心竞争力的风险价值</w:t>
      </w:r>
      <w:r>
        <w:rPr>
          <w:rFonts w:ascii="宋体" w:hAnsi="宋体" w:eastAsia="宋体"/>
          <w:b w:val="0"/>
          <w:i w:val="0"/>
          <w:color w:val="000000"/>
          <w:sz w:val="21"/>
        </w:rPr>
        <w:t>观，秉持“稳健”的风险偏好基调，坚持制度先行、风险可测可控可承受的原则，树立底线意识，强化</w:t>
      </w:r>
      <w:r>
        <w:rPr>
          <w:rFonts w:ascii="宋体" w:hAnsi="宋体" w:eastAsia="宋体"/>
          <w:b w:val="0"/>
          <w:i w:val="0"/>
          <w:color w:val="000000"/>
          <w:sz w:val="21"/>
        </w:rPr>
        <w:t>风险管理制度建设和宣传培训、考核引导，促进全面风险管理内化为全体员工的自觉意识和行为习惯。</w:t>
      </w:r>
      <w:r>
        <w:rPr>
          <w:rFonts w:ascii="宋体" w:hAnsi="宋体" w:eastAsia="宋体"/>
          <w:b w:val="0"/>
          <w:i w:val="0"/>
          <w:color w:val="000000"/>
          <w:sz w:val="21"/>
        </w:rPr>
        <w:t>报告期内，公司持续修订完善风险管理制度体系，组织开展反洗钱法律法规解读、廉洁诚信执业、在沪</w:t>
      </w:r>
      <w:r>
        <w:rPr>
          <w:rFonts w:ascii="宋体" w:hAnsi="宋体" w:eastAsia="宋体"/>
          <w:b w:val="0"/>
          <w:i w:val="0"/>
          <w:color w:val="000000"/>
          <w:sz w:val="21"/>
        </w:rPr>
        <w:t>业务部门及子公司内控管理等专项培训，组织开展消费者权益保护、禁毒宣传教育为主题的反洗钱宣传</w:t>
      </w:r>
      <w:r>
        <w:rPr>
          <w:rFonts w:ascii="宋体" w:hAnsi="宋体" w:eastAsia="宋体"/>
          <w:b w:val="0"/>
          <w:i w:val="0"/>
          <w:color w:val="000000"/>
          <w:sz w:val="21"/>
        </w:rPr>
        <w:t xml:space="preserve">活动，同时持续加强证券从业人员违规炒股行为管理，不断深化全员合规意识和风险防范意识。 </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 xml:space="preserve">（二）风险管理体系建设 </w:t>
      </w:r>
    </w:p>
    <w:p>
      <w:pPr>
        <w:autoSpaceDN w:val="0"/>
        <w:autoSpaceDE w:val="0"/>
        <w:widowControl/>
        <w:spacing w:line="197" w:lineRule="auto" w:before="862" w:after="0"/>
        <w:ind w:left="0" w:right="4922" w:firstLine="0"/>
        <w:jc w:val="right"/>
      </w:pPr>
      <w:r>
        <w:rPr>
          <w:rFonts w:ascii="Calibri" w:hAnsi="Calibri" w:eastAsia="Calibri"/>
          <w:b w:val="0"/>
          <w:i w:val="0"/>
          <w:color w:val="000000"/>
          <w:sz w:val="18"/>
        </w:rPr>
        <w:t xml:space="preserve">98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1" name="Picture 10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52" w:lineRule="exact" w:before="0" w:after="0"/>
        <w:ind w:left="30" w:right="236" w:firstLine="420"/>
        <w:jc w:val="both"/>
      </w:pPr>
      <w:r>
        <w:rPr>
          <w:rFonts w:ascii="宋体" w:hAnsi="宋体" w:eastAsia="宋体"/>
          <w:b w:val="0"/>
          <w:i w:val="0"/>
          <w:color w:val="000000"/>
          <w:sz w:val="21"/>
        </w:rPr>
        <w:t>报告期内，公司同一业务同一客户二期系统正式接入运营，完善了同一客户识别规则和同一业务判</w:t>
      </w:r>
      <w:r>
        <w:rPr>
          <w:rFonts w:ascii="宋体" w:hAnsi="宋体" w:eastAsia="宋体"/>
          <w:b w:val="0"/>
          <w:i w:val="0"/>
          <w:color w:val="000000"/>
          <w:sz w:val="21"/>
        </w:rPr>
        <w:t>定规则，优化了授信管理、限额计算、经济资本计量和信用风险压力测试等功能，满足多样化主动风险</w:t>
      </w:r>
      <w:r>
        <w:rPr>
          <w:rFonts w:ascii="宋体" w:hAnsi="宋体" w:eastAsia="宋体"/>
          <w:b w:val="0"/>
          <w:i w:val="0"/>
          <w:color w:val="000000"/>
          <w:sz w:val="21"/>
        </w:rPr>
        <w:t>管理需求，全面提升信用风险日常管理与监测水平。优化完善了市场风险管理系统相关功能，覆盖境内</w:t>
      </w:r>
      <w:r>
        <w:rPr>
          <w:rFonts w:ascii="宋体" w:hAnsi="宋体" w:eastAsia="宋体"/>
          <w:b w:val="0"/>
          <w:i w:val="0"/>
          <w:color w:val="000000"/>
          <w:sz w:val="21"/>
        </w:rPr>
        <w:t>外、场内外各类自有资金投资业务，实现市场资讯、持仓数据的查询，市场风险限额监测，估值定价、</w:t>
      </w:r>
      <w:r>
        <w:rPr>
          <w:rFonts w:ascii="宋体" w:hAnsi="宋体" w:eastAsia="宋体"/>
          <w:b w:val="0"/>
          <w:i w:val="0"/>
          <w:color w:val="000000"/>
          <w:sz w:val="21"/>
        </w:rPr>
        <w:t>敏感性分析、VaR、压力测试等风险计量功能，进一步提升数字化风险管理能力，全面支持公司市场风险</w:t>
      </w:r>
      <w:r>
        <w:rPr>
          <w:rFonts w:ascii="宋体" w:hAnsi="宋体" w:eastAsia="宋体"/>
          <w:b w:val="0"/>
          <w:i w:val="0"/>
          <w:color w:val="000000"/>
          <w:sz w:val="21"/>
        </w:rPr>
        <w:t xml:space="preserve">的日常管理和监测需求。 </w:t>
      </w:r>
    </w:p>
    <w:p>
      <w:pPr>
        <w:autoSpaceDN w:val="0"/>
        <w:autoSpaceDE w:val="0"/>
        <w:widowControl/>
        <w:spacing w:line="460" w:lineRule="exact" w:before="2" w:after="0"/>
        <w:ind w:left="30" w:right="230" w:firstLine="210"/>
        <w:jc w:val="both"/>
      </w:pPr>
      <w:r>
        <w:rPr>
          <w:rFonts w:ascii="宋体" w:hAnsi="宋体" w:eastAsia="宋体"/>
          <w:b w:val="0"/>
          <w:i w:val="0"/>
          <w:color w:val="000000"/>
          <w:sz w:val="21"/>
        </w:rPr>
        <w:t xml:space="preserve"> 公司结合业务发展战略、市场环境、监管变化和实际风险状况制定年度集团化的风险指标体系，覆盖</w:t>
      </w:r>
      <w:r>
        <w:rPr>
          <w:rFonts w:ascii="宋体" w:hAnsi="宋体" w:eastAsia="宋体"/>
          <w:b w:val="0"/>
          <w:i w:val="0"/>
          <w:color w:val="000000"/>
          <w:sz w:val="21"/>
        </w:rPr>
        <w:t>各类风险、各业务条线、各层级子公司。报告期内，公司制定《2024 年度风险偏好、风险容忍度和风险</w:t>
      </w:r>
      <w:r>
        <w:rPr>
          <w:rFonts w:ascii="宋体" w:hAnsi="宋体" w:eastAsia="宋体"/>
          <w:b w:val="0"/>
          <w:i w:val="0"/>
          <w:color w:val="000000"/>
          <w:sz w:val="21"/>
        </w:rPr>
        <w:t>限额方案》和《2024 年度风险偏好可量化低阶指标》，同时，加强风险偏好指标监测预警，针对发现的指</w:t>
      </w:r>
      <w:r>
        <w:rPr>
          <w:rFonts w:ascii="宋体" w:hAnsi="宋体" w:eastAsia="宋体"/>
          <w:b w:val="0"/>
          <w:i w:val="0"/>
          <w:color w:val="000000"/>
          <w:sz w:val="21"/>
        </w:rPr>
        <w:t>标超限、风险事项等向相关部门发出风险警示书，持续督促、跟踪整改，确保各项业务风险可控可测可</w:t>
      </w:r>
      <w:r>
        <w:rPr>
          <w:rFonts w:ascii="宋体" w:hAnsi="宋体" w:eastAsia="宋体"/>
          <w:b w:val="0"/>
          <w:i w:val="0"/>
          <w:color w:val="000000"/>
          <w:sz w:val="21"/>
        </w:rPr>
        <w:t xml:space="preserve">承受。 </w:t>
      </w:r>
    </w:p>
    <w:p>
      <w:pPr>
        <w:autoSpaceDN w:val="0"/>
        <w:autoSpaceDE w:val="0"/>
        <w:widowControl/>
        <w:spacing w:line="460" w:lineRule="exact" w:before="0" w:after="0"/>
        <w:ind w:left="30" w:right="230" w:firstLine="420"/>
        <w:jc w:val="both"/>
      </w:pPr>
      <w:r>
        <w:rPr>
          <w:rFonts w:ascii="宋体" w:hAnsi="宋体" w:eastAsia="宋体"/>
          <w:b w:val="0"/>
          <w:i w:val="0"/>
          <w:color w:val="000000"/>
          <w:sz w:val="21"/>
        </w:rPr>
        <w:t>报告期内，公司修订《信用风险管理细则》《债券主体风险预警应用方案》，完善信用风险内部评级</w:t>
      </w:r>
      <w:r>
        <w:rPr>
          <w:rFonts w:ascii="宋体" w:hAnsi="宋体" w:eastAsia="宋体"/>
          <w:b w:val="0"/>
          <w:i w:val="0"/>
          <w:color w:val="000000"/>
          <w:sz w:val="21"/>
        </w:rPr>
        <w:t>体系，优化行业敞口划分标准，持续优化信用风险内部评级模型。修订《操作风险管理细则》等规章制</w:t>
      </w:r>
      <w:r>
        <w:rPr>
          <w:rFonts w:ascii="宋体" w:hAnsi="宋体" w:eastAsia="宋体"/>
          <w:b w:val="0"/>
          <w:i w:val="0"/>
          <w:color w:val="000000"/>
          <w:sz w:val="21"/>
        </w:rPr>
        <w:t>度，开展2 次操作风险与控制自评估（RCSA）和2 次损失数据收集（LDC），按月分析 KRI 监测结果与运</w:t>
      </w:r>
      <w:r>
        <w:rPr>
          <w:rFonts w:ascii="宋体" w:hAnsi="宋体" w:eastAsia="宋体"/>
          <w:b w:val="0"/>
          <w:i w:val="0"/>
          <w:color w:val="000000"/>
          <w:sz w:val="21"/>
        </w:rPr>
        <w:t xml:space="preserve">行趋势。依据自评估和监测结果，持续优化相关业务和管理流程和关键风险指标。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报告期内，公司积极践行“两强两严”的监管要求 ，持续开展全面风险排查，深入挖掘评估各业务</w:t>
      </w:r>
      <w:r>
        <w:rPr>
          <w:rFonts w:ascii="宋体" w:hAnsi="宋体" w:eastAsia="宋体"/>
          <w:b w:val="0"/>
          <w:i w:val="0"/>
          <w:color w:val="000000"/>
          <w:sz w:val="21"/>
        </w:rPr>
        <w:t>领域的潜在风险,制定各业务领域的负面清单和黑名单，明确业务边界与风险底线，进一步加强公司整体</w:t>
      </w:r>
      <w:r>
        <w:rPr>
          <w:rFonts w:ascii="宋体" w:hAnsi="宋体" w:eastAsia="宋体"/>
          <w:b w:val="0"/>
          <w:i w:val="0"/>
          <w:color w:val="000000"/>
          <w:sz w:val="21"/>
        </w:rPr>
        <w:t>风险管控力度和基础管理能力，力争实现对风险的早识别、早预警、早暴露、早处置。组织相关部门、</w:t>
      </w:r>
      <w:r>
        <w:rPr>
          <w:rFonts w:ascii="宋体" w:hAnsi="宋体" w:eastAsia="宋体"/>
          <w:b w:val="0"/>
          <w:i w:val="0"/>
          <w:color w:val="000000"/>
          <w:sz w:val="21"/>
        </w:rPr>
        <w:t>子公司开展防范化解重大风险未巡先改工作及重点业务风险排查专项工作。公司不断完善风险化解方案，</w:t>
      </w:r>
      <w:r>
        <w:rPr>
          <w:rFonts w:ascii="宋体" w:hAnsi="宋体" w:eastAsia="宋体"/>
          <w:b w:val="0"/>
          <w:i w:val="0"/>
          <w:color w:val="000000"/>
          <w:sz w:val="21"/>
        </w:rPr>
        <w:t xml:space="preserve">持续督导督办重点风险化解工作，有序推进风险化解。 </w:t>
      </w:r>
    </w:p>
    <w:p>
      <w:pPr>
        <w:autoSpaceDN w:val="0"/>
        <w:tabs>
          <w:tab w:pos="450" w:val="left"/>
          <w:tab w:pos="452" w:val="left"/>
        </w:tabs>
        <w:autoSpaceDE w:val="0"/>
        <w:widowControl/>
        <w:spacing w:line="460" w:lineRule="exact" w:before="2" w:after="0"/>
        <w:ind w:left="30" w:right="288" w:firstLine="0"/>
        <w:jc w:val="left"/>
      </w:pPr>
      <w:r>
        <w:tab/>
      </w:r>
      <w:r>
        <w:rPr>
          <w:rFonts w:ascii="宋体" w:hAnsi="宋体" w:eastAsia="宋体"/>
          <w:b w:val="0"/>
          <w:i w:val="0"/>
          <w:color w:val="000000"/>
          <w:sz w:val="21"/>
        </w:rPr>
        <w:t xml:space="preserve">（三）风控合规及信息系统投入情况 </w:t>
      </w:r>
      <w:r>
        <w:br/>
      </w:r>
      <w:r>
        <w:tab/>
      </w:r>
      <w:r>
        <w:rPr>
          <w:rFonts w:ascii="宋体" w:hAnsi="宋体" w:eastAsia="宋体"/>
          <w:b w:val="0"/>
          <w:i w:val="0"/>
          <w:color w:val="000000"/>
          <w:sz w:val="21"/>
        </w:rPr>
        <w:t>公司持续加强风控合规管理人员队伍建设，加大风控合规技术系统投入。报告期内，公司风控合规</w:t>
      </w:r>
      <w:r>
        <w:rPr>
          <w:rFonts w:ascii="宋体" w:hAnsi="宋体" w:eastAsia="宋体"/>
          <w:b w:val="0"/>
          <w:i w:val="0"/>
          <w:color w:val="000000"/>
          <w:sz w:val="21"/>
        </w:rPr>
        <w:t>人员及风控合规系统方面的投入金额为7,509.58 万元，覆盖母公司风控合规人员薪酬、风控合规系统建</w:t>
      </w:r>
      <w:r>
        <w:rPr>
          <w:rFonts w:ascii="宋体" w:hAnsi="宋体" w:eastAsia="宋体"/>
          <w:b w:val="0"/>
          <w:i w:val="0"/>
          <w:color w:val="000000"/>
          <w:sz w:val="21"/>
        </w:rPr>
        <w:t xml:space="preserve">设及日常支出等。 </w:t>
      </w:r>
    </w:p>
    <w:p>
      <w:pPr>
        <w:autoSpaceDN w:val="0"/>
        <w:autoSpaceDE w:val="0"/>
        <w:widowControl/>
        <w:spacing w:line="460" w:lineRule="exact" w:before="0" w:after="0"/>
        <w:ind w:left="30" w:right="0" w:firstLine="316"/>
        <w:jc w:val="left"/>
      </w:pPr>
      <w:r>
        <w:rPr>
          <w:rFonts w:ascii="宋体" w:hAnsi="宋体" w:eastAsia="宋体"/>
          <w:b w:val="0"/>
          <w:i w:val="0"/>
          <w:color w:val="000000"/>
          <w:sz w:val="21"/>
        </w:rPr>
        <w:t xml:space="preserve"> 报告期内，公司持续加大信息系统建设投入，信息技术投入（按照证券公司信息系统建设投入指标</w:t>
      </w:r>
      <w:r>
        <w:rPr>
          <w:rFonts w:ascii="宋体" w:hAnsi="宋体" w:eastAsia="宋体"/>
          <w:b w:val="0"/>
          <w:i w:val="0"/>
          <w:color w:val="000000"/>
          <w:sz w:val="21"/>
        </w:rPr>
        <w:t>统计口径）总额为34,157.53 万元，主要包括IT 固定资产投入和无形资产的采购费用、IT 日常运维费用、</w:t>
      </w:r>
      <w:r>
        <w:rPr>
          <w:rFonts w:ascii="宋体" w:hAnsi="宋体" w:eastAsia="宋体"/>
          <w:b w:val="0"/>
          <w:i w:val="0"/>
          <w:color w:val="000000"/>
          <w:sz w:val="21"/>
        </w:rPr>
        <w:t xml:space="preserve">机房租赁费用、信息技术研发费及IT 人员投入等。 </w:t>
      </w:r>
    </w:p>
    <w:p>
      <w:pPr>
        <w:autoSpaceDN w:val="0"/>
        <w:autoSpaceDE w:val="0"/>
        <w:widowControl/>
        <w:spacing w:line="197" w:lineRule="auto" w:before="1782" w:after="0"/>
        <w:ind w:left="0" w:right="4922" w:firstLine="0"/>
        <w:jc w:val="right"/>
      </w:pPr>
      <w:r>
        <w:rPr>
          <w:rFonts w:ascii="Calibri" w:hAnsi="Calibri" w:eastAsia="Calibri"/>
          <w:b w:val="0"/>
          <w:i w:val="0"/>
          <w:color w:val="000000"/>
          <w:sz w:val="18"/>
        </w:rPr>
        <w:t xml:space="preserve">99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2" name="Picture 10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40" w:lineRule="exact" w:before="64" w:after="0"/>
        <w:ind w:left="30" w:right="0" w:firstLine="0"/>
        <w:jc w:val="left"/>
      </w:pPr>
      <w:r>
        <w:rPr>
          <w:rFonts w:ascii="宋体" w:hAnsi="宋体" w:eastAsia="宋体"/>
          <w:b w:val="0"/>
          <w:i w:val="0"/>
          <w:color w:val="000000"/>
          <w:sz w:val="24"/>
        </w:rPr>
        <w:t xml:space="preserve">十八、合规管理体系建设情况和稽核部门稽核情况 </w:t>
      </w:r>
    </w:p>
    <w:p>
      <w:pPr>
        <w:autoSpaceDN w:val="0"/>
        <w:tabs>
          <w:tab w:pos="452" w:val="left"/>
          <w:tab w:pos="510" w:val="left"/>
        </w:tabs>
        <w:autoSpaceDE w:val="0"/>
        <w:widowControl/>
        <w:spacing w:line="480" w:lineRule="exact" w:before="246" w:after="0"/>
        <w:ind w:left="30" w:right="288" w:firstLine="0"/>
        <w:jc w:val="left"/>
      </w:pPr>
      <w:r>
        <w:rPr>
          <w:rFonts w:ascii="宋体" w:hAnsi="宋体" w:eastAsia="宋体"/>
          <w:b w:val="0"/>
          <w:i w:val="0"/>
          <w:color w:val="000000"/>
          <w:sz w:val="21"/>
        </w:rPr>
        <w:t xml:space="preserve">（一）合规管理体系建设情况 </w:t>
      </w:r>
      <w:r>
        <w:br/>
      </w:r>
      <w:r>
        <w:tab/>
      </w:r>
      <w:r>
        <w:tab/>
      </w:r>
      <w:r>
        <w:rPr>
          <w:rFonts w:ascii="宋体" w:hAnsi="宋体" w:eastAsia="宋体"/>
          <w:b w:val="0"/>
          <w:i w:val="0"/>
          <w:color w:val="000000"/>
          <w:sz w:val="21"/>
        </w:rPr>
        <w:t>公司建立了由董事会及其下设的风险管理委员会、合规总监、合规法律部和各部门及各分支机构</w:t>
      </w:r>
      <w:r>
        <w:rPr>
          <w:rFonts w:ascii="宋体" w:hAnsi="宋体" w:eastAsia="宋体"/>
          <w:b w:val="0"/>
          <w:i w:val="0"/>
          <w:color w:val="000000"/>
          <w:sz w:val="21"/>
        </w:rPr>
        <w:t>合规管理岗四个层级组成的合规管理组织体系，明确了各层级的职责和权限。合规总监是公司合规负责</w:t>
      </w:r>
      <w:r>
        <w:rPr>
          <w:rFonts w:ascii="宋体" w:hAnsi="宋体" w:eastAsia="宋体"/>
          <w:b w:val="0"/>
          <w:i w:val="0"/>
          <w:color w:val="000000"/>
          <w:sz w:val="21"/>
        </w:rPr>
        <w:t>人，负责审查、监督和检查公司及全体工作人员的经营管理和执业行为的合规性。合规法律部对合规总</w:t>
      </w:r>
      <w:r>
        <w:rPr>
          <w:rFonts w:ascii="宋体" w:hAnsi="宋体" w:eastAsia="宋体"/>
          <w:b w:val="0"/>
          <w:i w:val="0"/>
          <w:color w:val="000000"/>
          <w:sz w:val="21"/>
        </w:rPr>
        <w:t>监负责，协助合规总监工作，与风险管理、稽核审计等内控职能相分离，将合规管理各项职能渗透到公</w:t>
      </w:r>
      <w:r>
        <w:rPr>
          <w:rFonts w:ascii="宋体" w:hAnsi="宋体" w:eastAsia="宋体"/>
          <w:b w:val="0"/>
          <w:i w:val="0"/>
          <w:color w:val="000000"/>
          <w:sz w:val="21"/>
        </w:rPr>
        <w:t xml:space="preserve">司各个层级，贯穿于决策、执行、监督及反馈等各环节，为业务发展提供保障。 </w:t>
      </w:r>
    </w:p>
    <w:p>
      <w:pPr>
        <w:autoSpaceDN w:val="0"/>
        <w:autoSpaceDE w:val="0"/>
        <w:widowControl/>
        <w:spacing w:line="480" w:lineRule="exact" w:before="0" w:after="0"/>
        <w:ind w:left="30" w:right="288" w:firstLine="480"/>
        <w:jc w:val="left"/>
      </w:pPr>
      <w:r>
        <w:rPr>
          <w:rFonts w:ascii="宋体" w:hAnsi="宋体" w:eastAsia="宋体"/>
          <w:b w:val="0"/>
          <w:i w:val="0"/>
          <w:color w:val="000000"/>
          <w:sz w:val="21"/>
        </w:rPr>
        <w:t>报告期内，公司及子公司合规管理各项机制体制保持稳定未做重大调整。公司持续加强全员、全</w:t>
      </w:r>
      <w:r>
        <w:rPr>
          <w:rFonts w:ascii="宋体" w:hAnsi="宋体" w:eastAsia="宋体"/>
          <w:b w:val="0"/>
          <w:i w:val="0"/>
          <w:color w:val="000000"/>
          <w:sz w:val="21"/>
        </w:rPr>
        <w:t>过程合规管理，优化完善制度体系，并重点开展子公司全业务链条“垂直”一体化管控、场外衍生品管</w:t>
      </w:r>
      <w:r>
        <w:rPr>
          <w:rFonts w:ascii="宋体" w:hAnsi="宋体" w:eastAsia="宋体"/>
          <w:b w:val="0"/>
          <w:i w:val="0"/>
          <w:color w:val="000000"/>
          <w:sz w:val="21"/>
        </w:rPr>
        <w:t xml:space="preserve">理、反洗钱管理等。报告期内，公司未发生合规风险事项。 </w:t>
      </w:r>
    </w:p>
    <w:p>
      <w:pPr>
        <w:autoSpaceDN w:val="0"/>
        <w:tabs>
          <w:tab w:pos="450" w:val="left"/>
          <w:tab w:pos="452" w:val="left"/>
        </w:tabs>
        <w:autoSpaceDE w:val="0"/>
        <w:widowControl/>
        <w:spacing w:line="460" w:lineRule="exact" w:before="4" w:after="0"/>
        <w:ind w:left="30" w:right="0" w:firstLine="0"/>
        <w:jc w:val="left"/>
      </w:pPr>
      <w:r>
        <w:tab/>
      </w:r>
      <w:r>
        <w:rPr>
          <w:rFonts w:ascii="宋体" w:hAnsi="宋体" w:eastAsia="宋体"/>
          <w:b w:val="0"/>
          <w:i w:val="0"/>
          <w:color w:val="000000"/>
          <w:sz w:val="21"/>
        </w:rPr>
        <w:t xml:space="preserve">（二）合规、稽核部门检查稽核情况 </w:t>
      </w:r>
      <w:r>
        <w:br/>
      </w:r>
      <w:r>
        <w:tab/>
      </w:r>
      <w:r>
        <w:rPr>
          <w:rFonts w:ascii="宋体" w:hAnsi="宋体" w:eastAsia="宋体"/>
          <w:b w:val="0"/>
          <w:i w:val="0"/>
          <w:color w:val="000000"/>
          <w:sz w:val="21"/>
        </w:rPr>
        <w:t>公司董事会负责内部控制和风险管理体系的建立健全和有效实施，董事会下设风险管理委员会与审</w:t>
      </w:r>
      <w:r>
        <w:rPr>
          <w:rFonts w:ascii="宋体" w:hAnsi="宋体" w:eastAsia="宋体"/>
          <w:b w:val="0"/>
          <w:i w:val="0"/>
          <w:color w:val="000000"/>
          <w:sz w:val="21"/>
        </w:rPr>
        <w:t>计委员会，负责制定风险策略，监督、稽核各项风险控制制度的执行情况，并对公司各项业务的合法合</w:t>
      </w:r>
      <w:r>
        <w:rPr>
          <w:rFonts w:ascii="宋体" w:hAnsi="宋体" w:eastAsia="宋体"/>
          <w:b w:val="0"/>
          <w:i w:val="0"/>
          <w:color w:val="000000"/>
          <w:sz w:val="21"/>
        </w:rPr>
        <w:t>规性进行评估和稽核审计。公司设立合规法律、风险管理、稽核审计3 个内控部门；首席风险官负责组</w:t>
      </w:r>
      <w:r>
        <w:rPr>
          <w:rFonts w:ascii="宋体" w:hAnsi="宋体" w:eastAsia="宋体"/>
          <w:b w:val="0"/>
          <w:i w:val="0"/>
          <w:color w:val="000000"/>
          <w:sz w:val="21"/>
        </w:rPr>
        <w:t>织落实全面风险管理工作，风险管理部门对首席风险官负责；稽核审计部门在公司董事长直接领导下独</w:t>
      </w:r>
      <w:r>
        <w:rPr>
          <w:rFonts w:ascii="宋体" w:hAnsi="宋体" w:eastAsia="宋体"/>
          <w:b w:val="0"/>
          <w:i w:val="0"/>
          <w:color w:val="000000"/>
          <w:sz w:val="21"/>
        </w:rPr>
        <w:t>立行使审计监督权，对公司党委、董事会负责,接受董事会下设的审计委员会业务指导，并向其报告工作，</w:t>
      </w:r>
      <w:r>
        <w:rPr>
          <w:rFonts w:ascii="宋体" w:hAnsi="宋体" w:eastAsia="宋体"/>
          <w:b w:val="0"/>
          <w:i w:val="0"/>
          <w:color w:val="000000"/>
          <w:sz w:val="21"/>
        </w:rPr>
        <w:t xml:space="preserve">首席风险官协助党委、董事会管理内部审计工作。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报告期内，公司全面落实合规管理要求，开展常规检查、飞行检查、专项检查、视频抽查、反洗钱</w:t>
      </w:r>
      <w:r>
        <w:rPr>
          <w:rFonts w:ascii="宋体" w:hAnsi="宋体" w:eastAsia="宋体"/>
          <w:b w:val="0"/>
          <w:i w:val="0"/>
          <w:color w:val="000000"/>
          <w:sz w:val="21"/>
        </w:rPr>
        <w:t>调研等共27 次，覆盖北京、上海、深圳、青岛等16 家分支机构，涉及新三板、场外衍生品、债券交易、</w:t>
      </w:r>
      <w:r>
        <w:rPr>
          <w:rFonts w:ascii="宋体" w:hAnsi="宋体" w:eastAsia="宋体"/>
          <w:b w:val="0"/>
          <w:i w:val="0"/>
          <w:color w:val="000000"/>
          <w:sz w:val="21"/>
        </w:rPr>
        <w:t>程序化交易等业务，以及山证资管、山证国际、山证投资3 家子公司，及时发现存在的问题并提出整改</w:t>
      </w:r>
      <w:r>
        <w:rPr>
          <w:rFonts w:ascii="宋体" w:hAnsi="宋体" w:eastAsia="宋体"/>
          <w:b w:val="0"/>
          <w:i w:val="0"/>
          <w:color w:val="000000"/>
          <w:sz w:val="21"/>
        </w:rPr>
        <w:t xml:space="preserve">建议，推动公司持续优化管理水平。 </w:t>
      </w:r>
    </w:p>
    <w:p>
      <w:pPr>
        <w:autoSpaceDN w:val="0"/>
        <w:autoSpaceDE w:val="0"/>
        <w:widowControl/>
        <w:spacing w:line="460" w:lineRule="exact" w:before="2" w:after="0"/>
        <w:ind w:left="30" w:right="228" w:firstLine="420"/>
        <w:jc w:val="both"/>
      </w:pPr>
      <w:r>
        <w:rPr>
          <w:rFonts w:ascii="宋体" w:hAnsi="宋体" w:eastAsia="宋体"/>
          <w:b w:val="0"/>
          <w:i w:val="0"/>
          <w:color w:val="000000"/>
          <w:sz w:val="21"/>
        </w:rPr>
        <w:t>报告期内，公司坚持落实“横向到边、纵向到底”“长牙带刺”的监管要求，围绕客户适当性管理、</w:t>
      </w:r>
      <w:r>
        <w:rPr>
          <w:rFonts w:ascii="宋体" w:hAnsi="宋体" w:eastAsia="宋体"/>
          <w:b w:val="0"/>
          <w:i w:val="0"/>
          <w:color w:val="000000"/>
          <w:sz w:val="21"/>
        </w:rPr>
        <w:t>机构反洗钱义务落实、业务操作风险管理、员工执业行为、经营业绩完成情况、财富管理转型情况、战</w:t>
      </w:r>
      <w:r>
        <w:rPr>
          <w:rFonts w:ascii="宋体" w:hAnsi="宋体" w:eastAsia="宋体"/>
          <w:b w:val="0"/>
          <w:i w:val="0"/>
          <w:color w:val="000000"/>
          <w:sz w:val="21"/>
        </w:rPr>
        <w:t>略执行情况、重点工作落实情况、廉洁文化建设等重点领域，开展审计78 项，涉及高级管理人员离任审</w:t>
      </w:r>
      <w:r>
        <w:rPr>
          <w:rFonts w:ascii="宋体" w:hAnsi="宋体" w:eastAsia="宋体"/>
          <w:b w:val="0"/>
          <w:i w:val="0"/>
          <w:color w:val="000000"/>
          <w:sz w:val="21"/>
        </w:rPr>
        <w:t>计、分支机构常规和管理人员离任审计、业务部门常规审计、信息技术、薪酬、反洗钱等专项审计，以</w:t>
      </w:r>
      <w:r>
        <w:rPr>
          <w:rFonts w:ascii="宋体" w:hAnsi="宋体" w:eastAsia="宋体"/>
          <w:b w:val="0"/>
          <w:i w:val="0"/>
          <w:color w:val="000000"/>
          <w:sz w:val="21"/>
        </w:rPr>
        <w:t>及子公司常规及专项检查等事项。公司强化审计成果应用，通过审计整改监督、考核问责、资源共享、</w:t>
      </w:r>
      <w:r>
        <w:rPr>
          <w:rFonts w:ascii="宋体" w:hAnsi="宋体" w:eastAsia="宋体"/>
          <w:b w:val="0"/>
          <w:i w:val="0"/>
          <w:color w:val="000000"/>
          <w:sz w:val="21"/>
        </w:rPr>
        <w:t xml:space="preserve">优化联动等机制，将审计结果转化为管理成效，实现了审计结果运用价值增值作用。 </w:t>
      </w:r>
    </w:p>
    <w:p>
      <w:pPr>
        <w:autoSpaceDN w:val="0"/>
        <w:autoSpaceDE w:val="0"/>
        <w:widowControl/>
        <w:spacing w:line="197" w:lineRule="auto" w:before="1462" w:after="0"/>
        <w:ind w:left="0" w:right="4876" w:firstLine="0"/>
        <w:jc w:val="right"/>
      </w:pPr>
      <w:r>
        <w:rPr>
          <w:rFonts w:ascii="Calibri" w:hAnsi="Calibri" w:eastAsia="Calibri"/>
          <w:b w:val="0"/>
          <w:i w:val="0"/>
          <w:color w:val="000000"/>
          <w:sz w:val="18"/>
        </w:rPr>
        <w:t xml:space="preserve">100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3" name="Picture 10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4" w:bottom="446" w:left="1104" w:header="720" w:footer="720" w:gutter="0"/>
          <w:cols w:num="2" w:equalWidth="0">
            <w:col w:w="5436" w:space="0"/>
            <w:col w:w="4460" w:space="0"/>
          </w:cols>
          <w:docGrid w:linePitch="360"/>
        </w:sectPr>
      </w:pPr>
    </w:p>
    <w:p>
      <w:pPr>
        <w:autoSpaceDN w:val="0"/>
        <w:autoSpaceDE w:val="0"/>
        <w:widowControl/>
        <w:spacing w:line="200" w:lineRule="exact" w:before="0" w:after="30"/>
        <w:ind w:left="0" w:right="2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4" w:bottom="446" w:left="1104" w:header="720" w:footer="720" w:gutter="0"/>
          <w:cols w:num="2" w:equalWidth="0">
            <w:col w:w="5436" w:space="0"/>
            <w:col w:w="4460" w:space="0"/>
          </w:cols>
          <w:docGrid w:linePitch="360"/>
        </w:sectPr>
      </w:pPr>
    </w:p>
    <w:p>
      <w:pPr>
        <w:autoSpaceDN w:val="0"/>
        <w:autoSpaceDE w:val="0"/>
        <w:widowControl/>
        <w:spacing w:line="240" w:lineRule="exact" w:before="64" w:after="0"/>
        <w:ind w:left="30" w:right="0" w:firstLine="0"/>
        <w:jc w:val="left"/>
      </w:pPr>
      <w:r>
        <w:rPr>
          <w:rFonts w:ascii="宋体" w:hAnsi="宋体" w:eastAsia="宋体"/>
          <w:b w:val="0"/>
          <w:i w:val="0"/>
          <w:color w:val="000000"/>
          <w:sz w:val="24"/>
        </w:rPr>
        <w:t xml:space="preserve">十九、董事会关于内部控制责任的声明 </w:t>
      </w:r>
    </w:p>
    <w:p>
      <w:pPr>
        <w:autoSpaceDN w:val="0"/>
        <w:autoSpaceDE w:val="0"/>
        <w:widowControl/>
        <w:spacing w:line="460" w:lineRule="exact" w:before="266" w:after="0"/>
        <w:ind w:left="30" w:right="410" w:firstLine="420"/>
        <w:jc w:val="both"/>
      </w:pPr>
      <w:r>
        <w:rPr>
          <w:rFonts w:ascii="宋体" w:hAnsi="宋体" w:eastAsia="宋体"/>
          <w:b w:val="0"/>
          <w:i w:val="0"/>
          <w:color w:val="000000"/>
          <w:sz w:val="21"/>
        </w:rPr>
        <w:t>按照企业内部控制规范体系的规定，建立健全和有效实施内部控制，评价其有效性，并如实披露内</w:t>
      </w:r>
      <w:r>
        <w:rPr>
          <w:rFonts w:ascii="宋体" w:hAnsi="宋体" w:eastAsia="宋体"/>
          <w:b w:val="0"/>
          <w:i w:val="0"/>
          <w:color w:val="000000"/>
          <w:sz w:val="21"/>
        </w:rPr>
        <w:t>部控制评价报告是公司董事会的责任。监事会对董事会建立和实施内部控制进行监督。经理层负责组织</w:t>
      </w:r>
      <w:r>
        <w:rPr>
          <w:rFonts w:ascii="宋体" w:hAnsi="宋体" w:eastAsia="宋体"/>
          <w:b w:val="0"/>
          <w:i w:val="0"/>
          <w:color w:val="000000"/>
          <w:sz w:val="21"/>
        </w:rPr>
        <w:t>领导企业内部控制的日常运行。公司董事会、监事会及董事、监事、高级管理人员保证本报告内容不存</w:t>
      </w:r>
      <w:r>
        <w:rPr>
          <w:rFonts w:ascii="宋体" w:hAnsi="宋体" w:eastAsia="宋体"/>
          <w:b w:val="0"/>
          <w:i w:val="0"/>
          <w:color w:val="000000"/>
          <w:sz w:val="21"/>
        </w:rPr>
        <w:t>在任何虚假记载、误导性陈述或重大遗漏，并对报告内容的真实性、准确性和完整性承担个别及连带法</w:t>
      </w:r>
      <w:r>
        <w:rPr>
          <w:rFonts w:ascii="宋体" w:hAnsi="宋体" w:eastAsia="宋体"/>
          <w:b w:val="0"/>
          <w:i w:val="0"/>
          <w:color w:val="000000"/>
          <w:sz w:val="21"/>
        </w:rPr>
        <w:t>律责任。</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公司内部控制的目标是合理保证经营管理合法合规、资产安全、财务报告及相关信息真实完整，提</w:t>
      </w:r>
      <w:r>
        <w:rPr>
          <w:rFonts w:ascii="宋体" w:hAnsi="宋体" w:eastAsia="宋体"/>
          <w:b w:val="0"/>
          <w:i w:val="0"/>
          <w:color w:val="000000"/>
          <w:sz w:val="21"/>
        </w:rPr>
        <w:t>高经营效率和效果，促进实现发展战略。由于内部控制存在的固有局限性，故仅能为实现上述目标提供</w:t>
      </w:r>
      <w:r>
        <w:rPr>
          <w:rFonts w:ascii="宋体" w:hAnsi="宋体" w:eastAsia="宋体"/>
          <w:b w:val="0"/>
          <w:i w:val="0"/>
          <w:color w:val="000000"/>
          <w:sz w:val="21"/>
        </w:rPr>
        <w:t>合理保证。此外，由于情况的变化可能导致内部控制变得不恰当，或对控制政策和程序遵循的程度降低，</w:t>
      </w:r>
      <w:r>
        <w:rPr>
          <w:rFonts w:ascii="宋体" w:hAnsi="宋体" w:eastAsia="宋体"/>
          <w:b w:val="0"/>
          <w:i w:val="0"/>
          <w:color w:val="000000"/>
          <w:sz w:val="21"/>
        </w:rPr>
        <w:t>根据内部控制评价结果推测未来内部控制的有效性具有一定的风险。</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二十、建立财务报告内部控制的依据 </w:t>
      </w:r>
    </w:p>
    <w:p>
      <w:pPr>
        <w:autoSpaceDN w:val="0"/>
        <w:autoSpaceDE w:val="0"/>
        <w:widowControl/>
        <w:spacing w:line="460" w:lineRule="exact" w:before="266" w:after="0"/>
        <w:ind w:left="30" w:right="0" w:firstLine="420"/>
        <w:jc w:val="left"/>
      </w:pPr>
      <w:r>
        <w:rPr>
          <w:rFonts w:ascii="宋体" w:hAnsi="宋体" w:eastAsia="宋体"/>
          <w:b w:val="0"/>
          <w:i w:val="0"/>
          <w:color w:val="000000"/>
          <w:sz w:val="21"/>
        </w:rPr>
        <w:t>按照《企业会计准则》《企业内部控制基本规范》等相关规定以及对于财务会计制度的相关规范要求，</w:t>
      </w:r>
      <w:r>
        <w:rPr>
          <w:rFonts w:ascii="宋体" w:hAnsi="宋体" w:eastAsia="宋体"/>
          <w:b w:val="0"/>
          <w:i w:val="0"/>
          <w:color w:val="000000"/>
          <w:sz w:val="21"/>
        </w:rPr>
        <w:t>公司建立了相应的财务会计制度，制定了包括《财务管理制度》《自有资金管理办法》《会计核算办法》</w:t>
      </w:r>
      <w:r>
        <w:rPr>
          <w:rFonts w:ascii="宋体" w:hAnsi="宋体" w:eastAsia="宋体"/>
          <w:b w:val="0"/>
          <w:i w:val="0"/>
          <w:color w:val="000000"/>
          <w:sz w:val="21"/>
        </w:rPr>
        <w:t>及《费用支出管理办法》等一系列财务会计规章制度。公司设立专人专岗负责财务报表的编制、复核及</w:t>
      </w:r>
      <w:r>
        <w:rPr>
          <w:rFonts w:ascii="宋体" w:hAnsi="宋体" w:eastAsia="宋体"/>
          <w:b w:val="0"/>
          <w:i w:val="0"/>
          <w:color w:val="000000"/>
          <w:sz w:val="21"/>
        </w:rPr>
        <w:t>财务信息的披露工作，保证会计信息真实可靠，财务报告数字准确、内容完整、披露及时。</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二十一、上市公司治理专项行动自查问题整改情况 </w:t>
      </w:r>
    </w:p>
    <w:p>
      <w:pPr>
        <w:autoSpaceDN w:val="0"/>
        <w:tabs>
          <w:tab w:pos="450" w:val="left"/>
        </w:tabs>
        <w:autoSpaceDE w:val="0"/>
        <w:widowControl/>
        <w:spacing w:line="462" w:lineRule="exact" w:before="264" w:after="0"/>
        <w:ind w:left="30" w:right="288" w:firstLine="0"/>
        <w:jc w:val="left"/>
      </w:pPr>
      <w:r>
        <w:tab/>
      </w:r>
      <w:r>
        <w:rPr>
          <w:rFonts w:ascii="宋体" w:hAnsi="宋体" w:eastAsia="宋体"/>
          <w:b w:val="0"/>
          <w:i w:val="0"/>
          <w:color w:val="000000"/>
          <w:sz w:val="21"/>
        </w:rPr>
        <w:t>报告期内，公司治理实际状况良好，与中国证监会发布的有关上市公司治理的规范性文件不存在重</w:t>
      </w:r>
      <w:r>
        <w:rPr>
          <w:rFonts w:ascii="宋体" w:hAnsi="宋体" w:eastAsia="宋体"/>
          <w:b w:val="0"/>
          <w:i w:val="0"/>
          <w:color w:val="000000"/>
          <w:sz w:val="21"/>
        </w:rPr>
        <w:t>大差异。</w:t>
      </w:r>
    </w:p>
    <w:p>
      <w:pPr>
        <w:autoSpaceDN w:val="0"/>
        <w:autoSpaceDE w:val="0"/>
        <w:widowControl/>
        <w:spacing w:line="240" w:lineRule="exact" w:before="414" w:after="0"/>
        <w:ind w:left="30" w:right="0" w:firstLine="0"/>
        <w:jc w:val="left"/>
      </w:pPr>
      <w:r>
        <w:rPr>
          <w:rFonts w:ascii="宋体" w:hAnsi="宋体" w:eastAsia="宋体"/>
          <w:b w:val="0"/>
          <w:i w:val="0"/>
          <w:color w:val="000000"/>
          <w:sz w:val="24"/>
        </w:rPr>
        <w:t xml:space="preserve">二十二、报告期内公司账户规范情况说明 </w:t>
      </w:r>
    </w:p>
    <w:p>
      <w:pPr>
        <w:autoSpaceDN w:val="0"/>
        <w:autoSpaceDE w:val="0"/>
        <w:widowControl/>
        <w:spacing w:line="460" w:lineRule="exact" w:before="266" w:after="0"/>
        <w:ind w:left="30" w:right="224" w:firstLine="420"/>
        <w:jc w:val="both"/>
      </w:pPr>
      <w:r>
        <w:rPr>
          <w:rFonts w:ascii="宋体" w:hAnsi="宋体" w:eastAsia="宋体"/>
          <w:b w:val="0"/>
          <w:i w:val="0"/>
          <w:color w:val="000000"/>
          <w:sz w:val="21"/>
        </w:rPr>
        <w:t>截至报告期末，公司剩余纯资金账户28,594户，对应资金余额375.27万元；剩余不合格资金账户182</w:t>
      </w:r>
      <w:r>
        <w:rPr>
          <w:rFonts w:ascii="宋体" w:hAnsi="宋体" w:eastAsia="宋体"/>
          <w:b w:val="0"/>
          <w:i w:val="0"/>
          <w:color w:val="000000"/>
          <w:sz w:val="21"/>
        </w:rPr>
        <w:t>户，下设证券账户190户，对应资金余额48.8万元，对应证券市值110.97万元；风险处置账户0户。根据</w:t>
      </w:r>
      <w:r>
        <w:rPr>
          <w:rFonts w:ascii="宋体" w:hAnsi="宋体" w:eastAsia="宋体"/>
          <w:b w:val="0"/>
          <w:i w:val="0"/>
          <w:color w:val="000000"/>
          <w:sz w:val="21"/>
        </w:rPr>
        <w:t>中登公司2007年8月《关于进一步规范账户管理工作的通知》要求，公司已对小额休眠账户、纯资金账户</w:t>
      </w:r>
      <w:r>
        <w:rPr>
          <w:rFonts w:ascii="宋体" w:hAnsi="宋体" w:eastAsia="宋体"/>
          <w:b w:val="0"/>
          <w:i w:val="0"/>
          <w:color w:val="000000"/>
          <w:sz w:val="21"/>
        </w:rPr>
        <w:t>及不合格账户均进行了另库存放处理，并将对应资金账户的资金分别集中存放在银行开立的“客户交易</w:t>
      </w:r>
      <w:r>
        <w:rPr>
          <w:rFonts w:ascii="宋体" w:hAnsi="宋体" w:eastAsia="宋体"/>
          <w:b w:val="0"/>
          <w:i w:val="0"/>
          <w:color w:val="000000"/>
          <w:sz w:val="21"/>
        </w:rPr>
        <w:t xml:space="preserve">结算资金小额休眠账户”及“客户交易结算资金中止交易账户”。 </w:t>
      </w:r>
    </w:p>
    <w:p>
      <w:pPr>
        <w:autoSpaceDN w:val="0"/>
        <w:autoSpaceDE w:val="0"/>
        <w:widowControl/>
        <w:spacing w:line="460" w:lineRule="exact" w:before="0" w:after="0"/>
        <w:ind w:left="30" w:right="144" w:firstLine="420"/>
        <w:jc w:val="left"/>
      </w:pPr>
      <w:r>
        <w:rPr>
          <w:rFonts w:ascii="宋体" w:hAnsi="宋体" w:eastAsia="宋体"/>
          <w:b w:val="0"/>
          <w:i w:val="0"/>
          <w:color w:val="000000"/>
          <w:sz w:val="21"/>
        </w:rPr>
        <w:t>公司严格按照监管部门相关法律法规、规范性制度及文件的要求开展账户管理业务，通过多项技术</w:t>
      </w:r>
      <w:r>
        <w:rPr>
          <w:rFonts w:ascii="宋体" w:hAnsi="宋体" w:eastAsia="宋体"/>
          <w:b w:val="0"/>
          <w:i w:val="0"/>
          <w:color w:val="000000"/>
          <w:sz w:val="21"/>
        </w:rPr>
        <w:t>手段、身份核查系统等方法，有效避免关键信息不一致账户的形成。报告期内，为进一步优化账户业务</w:t>
      </w:r>
    </w:p>
    <w:p>
      <w:pPr>
        <w:autoSpaceDN w:val="0"/>
        <w:autoSpaceDE w:val="0"/>
        <w:widowControl/>
        <w:spacing w:line="197" w:lineRule="auto" w:before="702" w:after="0"/>
        <w:ind w:left="0" w:right="4872" w:firstLine="0"/>
        <w:jc w:val="right"/>
      </w:pPr>
      <w:r>
        <w:rPr>
          <w:rFonts w:ascii="Calibri" w:hAnsi="Calibri" w:eastAsia="Calibri"/>
          <w:b w:val="0"/>
          <w:i w:val="0"/>
          <w:color w:val="000000"/>
          <w:sz w:val="18"/>
        </w:rPr>
        <w:t xml:space="preserve">101 </w:t>
      </w:r>
    </w:p>
    <w:p>
      <w:pPr>
        <w:sectPr>
          <w:type w:val="continuous"/>
          <w:pgSz w:w="11904" w:h="16841"/>
          <w:pgMar w:top="424" w:right="90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388" w:bottom="446" w:left="408" w:header="720" w:footer="720" w:gutter="0"/>
          <w:cols/>
          <w:docGrid w:linePitch="360"/>
        </w:sectPr>
      </w:pPr>
    </w:p>
    <w:p>
      <w:pPr>
        <w:autoSpaceDN w:val="0"/>
        <w:autoSpaceDE w:val="0"/>
        <w:widowControl/>
        <w:spacing w:line="240" w:lineRule="auto" w:before="0" w:after="0"/>
        <w:ind w:left="726" w:right="0" w:firstLine="0"/>
        <w:jc w:val="left"/>
      </w:pPr>
      <w:r>
        <w:drawing>
          <wp:inline xmlns:a="http://schemas.openxmlformats.org/drawingml/2006/main" xmlns:pic="http://schemas.openxmlformats.org/drawingml/2006/picture">
            <wp:extent cx="1844039" cy="439419"/>
            <wp:docPr id="104" name="Picture 10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88" w:bottom="446" w:left="408" w:header="720" w:footer="720" w:gutter="0"/>
          <w:cols w:num="2" w:equalWidth="0">
            <w:col w:w="6132" w:space="0"/>
            <w:col w:w="4975" w:space="0"/>
          </w:cols>
          <w:docGrid w:linePitch="360"/>
        </w:sectPr>
      </w:pPr>
    </w:p>
    <w:p>
      <w:pPr>
        <w:autoSpaceDN w:val="0"/>
        <w:autoSpaceDE w:val="0"/>
        <w:widowControl/>
        <w:spacing w:line="200" w:lineRule="exact" w:before="0" w:after="30"/>
        <w:ind w:left="0" w:right="76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88" w:bottom="446" w:left="408" w:header="720" w:footer="720" w:gutter="0"/>
          <w:cols w:num="2" w:equalWidth="0">
            <w:col w:w="6132" w:space="0"/>
            <w:col w:w="4975" w:space="0"/>
          </w:cols>
          <w:docGrid w:linePitch="360"/>
        </w:sectPr>
      </w:pPr>
    </w:p>
    <w:p>
      <w:pPr>
        <w:autoSpaceDN w:val="0"/>
        <w:autoSpaceDE w:val="0"/>
        <w:widowControl/>
        <w:spacing w:line="444" w:lineRule="exact" w:before="0" w:after="0"/>
        <w:ind w:left="726" w:right="756" w:firstLine="0"/>
        <w:jc w:val="both"/>
      </w:pPr>
      <w:r>
        <w:rPr>
          <w:rFonts w:ascii="宋体" w:hAnsi="宋体" w:eastAsia="宋体"/>
          <w:b w:val="0"/>
          <w:i w:val="0"/>
          <w:color w:val="000000"/>
          <w:sz w:val="21"/>
        </w:rPr>
        <w:t>管理，公司上线自研网上开户系统智能审核、档案智能分拣等功能，通过金融科技技术辅助审核，支持</w:t>
      </w:r>
      <w:r>
        <w:rPr>
          <w:rFonts w:ascii="宋体" w:hAnsi="宋体" w:eastAsia="宋体"/>
          <w:b w:val="0"/>
          <w:i w:val="0"/>
          <w:color w:val="000000"/>
          <w:sz w:val="21"/>
        </w:rPr>
        <w:t>实时客户实名认证、开户资料正确性和完整性检查，以及视频质检、反洗钱规则等业务校验，提升了客</w:t>
      </w:r>
      <w:r>
        <w:rPr>
          <w:rFonts w:ascii="宋体" w:hAnsi="宋体" w:eastAsia="宋体"/>
          <w:b w:val="0"/>
          <w:i w:val="0"/>
          <w:color w:val="000000"/>
          <w:sz w:val="21"/>
        </w:rPr>
        <w:t xml:space="preserve">户体验。 </w:t>
      </w:r>
    </w:p>
    <w:p>
      <w:pPr>
        <w:autoSpaceDN w:val="0"/>
        <w:autoSpaceDE w:val="0"/>
        <w:widowControl/>
        <w:spacing w:line="240" w:lineRule="exact" w:before="398" w:after="338"/>
        <w:ind w:left="726" w:right="0" w:firstLine="0"/>
        <w:jc w:val="left"/>
      </w:pPr>
      <w:r>
        <w:rPr>
          <w:rFonts w:ascii="宋体" w:hAnsi="宋体" w:eastAsia="宋体"/>
          <w:b w:val="0"/>
          <w:i w:val="0"/>
          <w:color w:val="000000"/>
          <w:sz w:val="24"/>
        </w:rPr>
        <w:t>二十三、信息披露索引</w:t>
      </w:r>
    </w:p>
    <w:tbl>
      <w:tblPr>
        <w:tblW w:type="auto" w:w="0"/>
        <w:tblLayout w:type="fixed"/>
        <w:tblLook w:firstColumn="1" w:firstRow="1" w:lastColumn="0" w:lastRow="0" w:noHBand="0" w:noVBand="1" w:val="04A0"/>
        <w:tblInd w:w="4.000000000000057" w:type="dxa"/>
      </w:tblPr>
      <w:tblGrid>
        <w:gridCol w:w="3703"/>
        <w:gridCol w:w="3703"/>
        <w:gridCol w:w="3703"/>
      </w:tblGrid>
      <w:tr>
        <w:trPr>
          <w:trHeight w:hRule="exact" w:val="408"/>
        </w:trPr>
        <w:tc>
          <w:tcPr>
            <w:tcW w:type="dxa" w:w="1704"/>
            <w:tcBorders>
              <w:start w:sz="4.0"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180" w:lineRule="exact" w:before="140" w:after="0"/>
              <w:ind w:left="0" w:right="394" w:firstLine="0"/>
              <w:jc w:val="right"/>
            </w:pPr>
            <w:r>
              <w:rPr>
                <w:rFonts w:ascii="宋体" w:hAnsi="宋体" w:eastAsia="宋体"/>
                <w:b w:val="0"/>
                <w:i w:val="0"/>
                <w:color w:val="000000"/>
                <w:sz w:val="18"/>
              </w:rPr>
              <w:t xml:space="preserve">公告编号 </w:t>
            </w:r>
          </w:p>
        </w:tc>
        <w:tc>
          <w:tcPr>
            <w:tcW w:type="dxa" w:w="8082"/>
            <w:tcBorders>
              <w:start w:sz="4.0"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180" w:lineRule="exact" w:before="140" w:after="0"/>
              <w:ind w:left="0" w:right="3582" w:firstLine="0"/>
              <w:jc w:val="right"/>
            </w:pPr>
            <w:r>
              <w:rPr>
                <w:rFonts w:ascii="宋体" w:hAnsi="宋体" w:eastAsia="宋体"/>
                <w:b w:val="0"/>
                <w:i w:val="0"/>
                <w:color w:val="000000"/>
                <w:sz w:val="18"/>
              </w:rPr>
              <w:t xml:space="preserve">公告名称 </w:t>
            </w:r>
          </w:p>
        </w:tc>
        <w:tc>
          <w:tcPr>
            <w:tcW w:type="dxa" w:w="1292"/>
            <w:tcBorders>
              <w:start w:sz="4.0" w:val="single" w:color="#000000"/>
              <w:top w:sz="4.0" w:val="single" w:color="#000000"/>
              <w:end w:sz="4.0" w:val="single" w:color="#000000"/>
              <w:bottom w:sz="4.0" w:val="single" w:color="#000000"/>
            </w:tcBorders>
            <w:shd w:fill="bebfbe"/>
            <w:tcMar>
              <w:start w:w="0" w:type="dxa"/>
              <w:end w:w="0" w:type="dxa"/>
            </w:tcMar>
          </w:tcPr>
          <w:p>
            <w:pPr>
              <w:autoSpaceDN w:val="0"/>
              <w:autoSpaceDE w:val="0"/>
              <w:widowControl/>
              <w:spacing w:line="180" w:lineRule="exact" w:before="140" w:after="0"/>
              <w:ind w:left="282" w:right="0" w:firstLine="0"/>
              <w:jc w:val="left"/>
            </w:pPr>
            <w:r>
              <w:rPr>
                <w:rFonts w:ascii="宋体" w:hAnsi="宋体" w:eastAsia="宋体"/>
                <w:b w:val="0"/>
                <w:i w:val="0"/>
                <w:color w:val="000000"/>
                <w:sz w:val="18"/>
              </w:rPr>
              <w:t xml:space="preserve">公告日期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临2024-001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7" w:history="1">
                <w:r>
                  <w:rPr>
                    <w:rStyle w:val="Hyperlink"/>
                  </w:rPr>
                  <w:t>2021 年面向专业投资者公开发行次级债券（第一期）2024 年兑付兑息暨摘牌公告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2024.02.07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临2024-002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8" w:history="1">
                <w:r>
                  <w:rPr>
                    <w:rStyle w:val="Hyperlink"/>
                  </w:rPr>
                  <w:t>2022 年面向专业投资者公开发行次级债券（第一期）2024 年付息公告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2024.03.19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临2024-003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关于第四届董事会第二十次会议决议的公告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2024.03.28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372" w:right="0" w:firstLine="0"/>
              <w:jc w:val="left"/>
            </w:pPr>
            <w:r>
              <w:rPr>
                <w:rFonts w:ascii="宋体" w:hAnsi="宋体" w:eastAsia="宋体"/>
                <w:b w:val="0"/>
                <w:i w:val="0"/>
                <w:color w:val="000000"/>
                <w:sz w:val="18"/>
              </w:rPr>
              <w:t xml:space="preserve">临2024-004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19" w:history="1">
                <w:r>
                  <w:rPr>
                    <w:rStyle w:val="Hyperlink"/>
                  </w:rPr>
                  <w:t>董事会决议公告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临2024-005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20" w:history="1">
                <w:r>
                  <w:rPr>
                    <w:rStyle w:val="Hyperlink"/>
                  </w:rPr>
                  <w:t>监事会决议公告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临2024-006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21" w:history="1">
                <w:r>
                  <w:rPr>
                    <w:rStyle w:val="Hyperlink"/>
                  </w:rPr>
                  <w:t>关于2024 年日常关联交易预计的公告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临2024-007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22" w:history="1">
                <w:r>
                  <w:rPr>
                    <w:rStyle w:val="Hyperlink"/>
                  </w:rPr>
                  <w:t>关于续聘会计师事务所的公告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临2024-008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23" w:history="1">
                <w:r>
                  <w:rPr>
                    <w:rStyle w:val="Hyperlink"/>
                  </w:rPr>
                  <w:t>年度募集资金使用情况专项说明</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临2024-009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24" w:history="1">
                <w:r>
                  <w:rPr>
                    <w:rStyle w:val="Hyperlink"/>
                  </w:rPr>
                  <w:t>年度股东大会通知</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临2024-010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25" w:history="1">
                <w:r>
                  <w:rPr>
                    <w:rStyle w:val="Hyperlink"/>
                  </w:rPr>
                  <w:t>关于第四届董事会独立董事第二次专门会议决议的公告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临2024-011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26" w:history="1">
                <w:r>
                  <w:rPr>
                    <w:rStyle w:val="Hyperlink"/>
                  </w:rPr>
                  <w:t>关于计提资产减值准备的公告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临2024-012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27" w:history="1">
                <w:r>
                  <w:rPr>
                    <w:rStyle w:val="Hyperlink"/>
                  </w:rPr>
                  <w:t>2024 年一季度报告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65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tabs>
                <w:tab w:pos="576" w:val="left"/>
              </w:tabs>
              <w:autoSpaceDE w:val="0"/>
              <w:widowControl/>
              <w:spacing w:line="302" w:lineRule="exact" w:before="0" w:after="0"/>
              <w:ind w:left="170" w:right="144" w:firstLine="0"/>
              <w:jc w:val="left"/>
            </w:pPr>
            <w:r>
              <w:rPr>
                <w:rFonts w:ascii="宋体" w:hAnsi="宋体" w:eastAsia="宋体"/>
                <w:b w:val="0"/>
                <w:i w:val="0"/>
                <w:color w:val="000000"/>
                <w:sz w:val="18"/>
              </w:rPr>
              <w:t>定2024—2023 年</w:t>
            </w:r>
            <w:r>
              <w:tab/>
            </w:r>
            <w:r>
              <w:rPr>
                <w:rFonts w:ascii="宋体" w:hAnsi="宋体" w:eastAsia="宋体"/>
                <w:b w:val="0"/>
                <w:i w:val="0"/>
                <w:color w:val="000000"/>
                <w:sz w:val="18"/>
              </w:rPr>
              <w:t xml:space="preserve">报摘要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06" w:right="0" w:firstLine="0"/>
              <w:jc w:val="left"/>
            </w:pPr>
            <w:r>
              <w:rPr>
                <w:rFonts w:ascii="宋体" w:hAnsi="宋体" w:eastAsia="宋体"/>
                <w:b w:val="0"/>
                <w:i w:val="0"/>
                <w:color w:val="000000"/>
                <w:sz w:val="18"/>
              </w:rPr>
              <w:hyperlink r:id="rId28" w:history="1">
                <w:r>
                  <w:rPr>
                    <w:rStyle w:val="Hyperlink"/>
                  </w:rPr>
                  <w:t>2023 年年度报告摘要</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29" w:history="1">
                <w:r>
                  <w:rPr>
                    <w:rStyle w:val="Hyperlink"/>
                  </w:rPr>
                  <w:t>2023 年年度报告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30" w:history="1">
                <w:r>
                  <w:rPr>
                    <w:rStyle w:val="Hyperlink"/>
                  </w:rPr>
                  <w:t>年度募集资金使用鉴证报告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6"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6" w:after="0"/>
              <w:ind w:left="106" w:right="0" w:firstLine="0"/>
              <w:jc w:val="left"/>
            </w:pPr>
            <w:r>
              <w:rPr>
                <w:rFonts w:ascii="宋体" w:hAnsi="宋体" w:eastAsia="宋体"/>
                <w:b w:val="0"/>
                <w:i w:val="0"/>
                <w:color w:val="000000"/>
                <w:sz w:val="18"/>
              </w:rPr>
              <w:hyperlink r:id="rId31" w:history="1">
                <w:r>
                  <w:rPr>
                    <w:rStyle w:val="Hyperlink"/>
                  </w:rPr>
                  <w:t>董事会薪酬、考核与提名委员会实施细则（2024 年4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46"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32" w:history="1">
                <w:r>
                  <w:rPr>
                    <w:rStyle w:val="Hyperlink"/>
                  </w:rPr>
                  <w:t>年度关联方资金占用专项审计报告</w:t>
                </w:r>
              </w:hyperlink>
            </w:r>
            <w:r>
              <w:rPr>
                <w:rFonts w:ascii="宋体" w:hAnsi="宋体" w:eastAsia="宋体"/>
                <w:b w:val="0"/>
                <w:i w:val="0"/>
                <w:color w:val="000000"/>
                <w:sz w:val="18"/>
              </w:rPr>
              <w:t xml:space="preserve"> </w:t>
            </w:r>
          </w:p>
        </w:tc>
        <w:tc>
          <w:tcPr>
            <w:tcW w:type="dxa" w:w="1292"/>
            <w:tcBorders>
              <w:start w:sz="4.0" w:val="single" w:color="#000000"/>
              <w:top w:sz="3.2000000000007276"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33" w:history="1">
                <w:r>
                  <w:rPr>
                    <w:rStyle w:val="Hyperlink"/>
                  </w:rPr>
                  <w:t>董事会审计委员会对会计师事务所2023 年度履职情况评估及履行监督职责情况的报告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34" w:history="1">
                <w:r>
                  <w:rPr>
                    <w:rStyle w:val="Hyperlink"/>
                  </w:rPr>
                  <w:t>2023 年度非经营性资金占用及其他关联资金往来情况汇总表</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35" w:history="1">
                <w:r>
                  <w:rPr>
                    <w:rStyle w:val="Hyperlink"/>
                  </w:rPr>
                  <w:t>股东分红回报规划（2024 年-2026 年）</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36" w:history="1">
                <w:r>
                  <w:rPr>
                    <w:rStyle w:val="Hyperlink"/>
                  </w:rPr>
                  <w:t>内部稽核审计制度（2024 年4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37" w:history="1">
                <w:r>
                  <w:rPr>
                    <w:rStyle w:val="Hyperlink"/>
                  </w:rPr>
                  <w:t>2023 年度董事会工作报告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38" w:history="1">
                <w:r>
                  <w:rPr>
                    <w:rStyle w:val="Hyperlink"/>
                  </w:rPr>
                  <w:t>监事会对公司2023 年度内部控制评价报告的审核意见</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39" w:history="1">
                <w:r>
                  <w:rPr>
                    <w:rStyle w:val="Hyperlink"/>
                  </w:rPr>
                  <w:t>2023 年度风险控制指标情况报告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40" w:history="1">
                <w:r>
                  <w:rPr>
                    <w:rStyle w:val="Hyperlink"/>
                  </w:rPr>
                  <w:t>独立董事年度述职报告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41" w:history="1">
                <w:r>
                  <w:rPr>
                    <w:rStyle w:val="Hyperlink"/>
                  </w:rPr>
                  <w:t>董事会对独立董事独立性评估的专项意见</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bl>
    <w:p>
      <w:pPr>
        <w:autoSpaceDN w:val="0"/>
        <w:autoSpaceDE w:val="0"/>
        <w:widowControl/>
        <w:spacing w:line="197" w:lineRule="auto" w:before="604" w:after="0"/>
        <w:ind w:left="0" w:right="0" w:firstLine="0"/>
        <w:jc w:val="center"/>
      </w:pPr>
      <w:r>
        <w:rPr>
          <w:rFonts w:ascii="Calibri" w:hAnsi="Calibri" w:eastAsia="Calibri"/>
          <w:b w:val="0"/>
          <w:i w:val="0"/>
          <w:color w:val="000000"/>
          <w:sz w:val="18"/>
        </w:rPr>
        <w:t xml:space="preserve">102 </w:t>
      </w:r>
    </w:p>
    <w:p>
      <w:pPr>
        <w:sectPr>
          <w:type w:val="continuous"/>
          <w:pgSz w:w="11904" w:h="16841"/>
          <w:pgMar w:top="424" w:right="388" w:bottom="446" w:left="408" w:header="720" w:footer="720" w:gutter="0"/>
          <w:cols/>
          <w:docGrid w:linePitch="360"/>
        </w:sectPr>
      </w:pPr>
    </w:p>
    <w:p>
      <w:pPr>
        <w:autoSpaceDN w:val="0"/>
        <w:autoSpaceDE w:val="0"/>
        <w:widowControl/>
        <w:spacing w:line="220" w:lineRule="exact" w:before="0" w:after="206"/>
        <w:ind w:left="0" w:right="0"/>
      </w:pPr>
    </w:p>
    <w:p>
      <w:pPr>
        <w:sectPr>
          <w:pgSz w:w="11904" w:h="16841"/>
          <w:pgMar w:top="424" w:right="388" w:bottom="446" w:left="408" w:header="720" w:footer="720" w:gutter="0"/>
          <w:cols/>
          <w:docGrid w:linePitch="360"/>
        </w:sectPr>
      </w:pPr>
    </w:p>
    <w:p>
      <w:pPr>
        <w:autoSpaceDN w:val="0"/>
        <w:autoSpaceDE w:val="0"/>
        <w:widowControl/>
        <w:spacing w:line="240" w:lineRule="auto" w:before="0" w:after="0"/>
        <w:ind w:left="726" w:right="0" w:firstLine="0"/>
        <w:jc w:val="left"/>
      </w:pPr>
      <w:r>
        <w:drawing>
          <wp:inline xmlns:a="http://schemas.openxmlformats.org/drawingml/2006/main" xmlns:pic="http://schemas.openxmlformats.org/drawingml/2006/picture">
            <wp:extent cx="1844039" cy="439419"/>
            <wp:docPr id="105" name="Picture 10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88" w:bottom="446" w:left="408" w:header="720" w:footer="720" w:gutter="0"/>
          <w:cols w:num="2" w:equalWidth="0">
            <w:col w:w="6132" w:space="0"/>
            <w:col w:w="4975" w:space="0"/>
          </w:cols>
          <w:docGrid w:linePitch="360"/>
        </w:sectPr>
      </w:pPr>
    </w:p>
    <w:p>
      <w:pPr>
        <w:autoSpaceDN w:val="0"/>
        <w:autoSpaceDE w:val="0"/>
        <w:widowControl/>
        <w:spacing w:line="200" w:lineRule="exact" w:before="0" w:after="30"/>
        <w:ind w:left="0" w:right="76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88" w:bottom="446" w:left="408" w:header="720" w:footer="720" w:gutter="0"/>
          <w:cols w:num="2" w:equalWidth="0">
            <w:col w:w="6132" w:space="0"/>
            <w:col w:w="4975" w:space="0"/>
          </w:cols>
          <w:docGrid w:linePitch="360"/>
        </w:sectPr>
      </w:pPr>
    </w:p>
    <w:tbl>
      <w:tblPr>
        <w:tblW w:type="auto" w:w="0"/>
        <w:tblLayout w:type="fixed"/>
        <w:tblLook w:firstColumn="1" w:firstRow="1" w:lastColumn="0" w:lastRow="0" w:noHBand="0" w:noVBand="1" w:val="04A0"/>
        <w:tblInd w:w="4.000000000000057" w:type="dxa"/>
      </w:tblPr>
      <w:tblGrid>
        <w:gridCol w:w="3703"/>
        <w:gridCol w:w="3703"/>
        <w:gridCol w:w="3703"/>
      </w:tblGrid>
      <w:tr>
        <w:trPr>
          <w:trHeight w:hRule="exact" w:val="405"/>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42" w:history="1">
                <w:r>
                  <w:rPr>
                    <w:rStyle w:val="Hyperlink"/>
                  </w:rPr>
                  <w:t>2023 年度监事会工作报告</w:t>
                </w:r>
              </w:hyperlink>
            </w:r>
            <w:r>
              <w:rPr>
                <w:rFonts w:ascii="宋体" w:hAnsi="宋体" w:eastAsia="宋体"/>
                <w:b w:val="0"/>
                <w:i w:val="0"/>
                <w:color w:val="000000"/>
                <w:sz w:val="18"/>
              </w:rPr>
              <w:t xml:space="preserve"> </w:t>
            </w:r>
          </w:p>
        </w:tc>
        <w:tc>
          <w:tcPr>
            <w:tcW w:type="dxa" w:w="129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43" w:history="1">
                <w:r>
                  <w:rPr>
                    <w:rStyle w:val="Hyperlink"/>
                  </w:rPr>
                  <w:t>董事、监事2023 年度薪酬执行情况及2024 年度薪酬发放方案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44" w:history="1">
                <w:r>
                  <w:rPr>
                    <w:rStyle w:val="Hyperlink"/>
                  </w:rPr>
                  <w:t>独立董事专门会议工作细则（2024 年4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45" w:history="1">
                <w:r>
                  <w:rPr>
                    <w:rStyle w:val="Hyperlink"/>
                  </w:rPr>
                  <w:t>山西证券股份有限公司发行次级债券2023 年度募集资金存放与实际使用情况鉴证报告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46" w:history="1">
                <w:r>
                  <w:rPr>
                    <w:rStyle w:val="Hyperlink"/>
                  </w:rPr>
                  <w:t>董事会审计委员会实施细则（2024 年4 月）</w:t>
                </w:r>
              </w:hyperlink>
            </w:r>
            <w:r>
              <w:rPr>
                <w:rFonts w:ascii="宋体" w:hAnsi="宋体" w:eastAsia="宋体"/>
                <w:b w:val="0"/>
                <w:i w:val="0"/>
                <w:color w:val="000000"/>
                <w:sz w:val="18"/>
              </w:rPr>
              <w:t xml:space="preserve"> </w:t>
            </w:r>
          </w:p>
        </w:tc>
        <w:tc>
          <w:tcPr>
            <w:tcW w:type="dxa" w:w="1292"/>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47" w:history="1">
                <w:r>
                  <w:rPr>
                    <w:rStyle w:val="Hyperlink"/>
                  </w:rPr>
                  <w:t>2023 年年度审计报告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48" w:history="1">
                <w:r>
                  <w:rPr>
                    <w:rStyle w:val="Hyperlink"/>
                  </w:rPr>
                  <w:t>内部控制审计报告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2024.04.30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49" w:history="1">
                <w:r>
                  <w:rPr>
                    <w:rStyle w:val="Hyperlink"/>
                  </w:rPr>
                  <w:t>内部控制自我评价报告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50" w:history="1">
                <w:r>
                  <w:rPr>
                    <w:rStyle w:val="Hyperlink"/>
                  </w:rPr>
                  <w:t>2023 年度会计师事务所履职情况评估报告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2024.04.30 </w:t>
            </w:r>
          </w:p>
        </w:tc>
      </w:tr>
      <w:tr>
        <w:trPr>
          <w:trHeight w:hRule="exact" w:val="408"/>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51" w:history="1">
                <w:r>
                  <w:rPr>
                    <w:rStyle w:val="Hyperlink"/>
                  </w:rPr>
                  <w:t>2023 年度环境、社会及公司治理（ESG）报告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406"/>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52" w:history="1">
                <w:r>
                  <w:rPr>
                    <w:rStyle w:val="Hyperlink"/>
                  </w:rPr>
                  <w:t>高级管理人员2023 年度履职情况、绩效考核情况及薪酬情况专项说明</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2024.04.30 </w:t>
            </w:r>
          </w:p>
        </w:tc>
      </w:tr>
      <w:tr>
        <w:trPr>
          <w:trHeight w:hRule="exact" w:val="650"/>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2" w:after="0"/>
              <w:ind w:left="372" w:right="0" w:firstLine="0"/>
              <w:jc w:val="left"/>
            </w:pPr>
            <w:r>
              <w:rPr>
                <w:rFonts w:ascii="宋体" w:hAnsi="宋体" w:eastAsia="宋体"/>
                <w:b w:val="0"/>
                <w:i w:val="0"/>
                <w:color w:val="000000"/>
                <w:sz w:val="18"/>
              </w:rPr>
              <w:t xml:space="preserve">临2024-013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302" w:lineRule="exact" w:before="0" w:after="0"/>
              <w:ind w:left="106" w:right="144" w:firstLine="0"/>
              <w:jc w:val="left"/>
            </w:pPr>
            <w:r>
              <w:rPr>
                <w:rFonts w:ascii="宋体" w:hAnsi="宋体" w:eastAsia="宋体"/>
                <w:b w:val="0"/>
                <w:i w:val="0"/>
                <w:color w:val="000000"/>
                <w:sz w:val="18"/>
              </w:rPr>
              <w:hyperlink r:id="rId53" w:history="1">
                <w:r>
                  <w:rPr>
                    <w:rStyle w:val="Hyperlink"/>
                  </w:rPr>
                  <w:t>关于举行2023 年年度报告网上业绩说明会暨参加山西辖区上市公司2024 年投资者网上集体接待日</w:t>
                </w:r>
              </w:hyperlink>
            </w:r>
            <w:r>
              <w:rPr>
                <w:rFonts w:ascii="宋体" w:hAnsi="宋体" w:eastAsia="宋体"/>
                <w:b w:val="0"/>
                <w:i w:val="0"/>
                <w:color w:val="000000"/>
                <w:sz w:val="18"/>
              </w:rPr>
              <w:hyperlink r:id="rId53" w:history="1">
                <w:r>
                  <w:rPr>
                    <w:rStyle w:val="Hyperlink"/>
                  </w:rPr>
                  <w:t>活动的公告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262" w:after="0"/>
              <w:ind w:left="192" w:right="0" w:firstLine="0"/>
              <w:jc w:val="left"/>
            </w:pPr>
            <w:r>
              <w:rPr>
                <w:rFonts w:ascii="宋体" w:hAnsi="宋体" w:eastAsia="宋体"/>
                <w:b w:val="0"/>
                <w:i w:val="0"/>
                <w:color w:val="000000"/>
                <w:sz w:val="18"/>
              </w:rPr>
              <w:t xml:space="preserve">2024.05.11 </w:t>
            </w:r>
          </w:p>
        </w:tc>
      </w:tr>
      <w:tr>
        <w:trPr>
          <w:trHeight w:hRule="exact" w:val="406"/>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临2024-014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54" w:history="1">
                <w:r>
                  <w:rPr>
                    <w:rStyle w:val="Hyperlink"/>
                  </w:rPr>
                  <w:t>关于向专业投资者公开发行公司债券获得中国证券监督管理委员会同意注册批复的公告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2024.05.11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临2024-015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55" w:history="1">
                <w:r>
                  <w:rPr>
                    <w:rStyle w:val="Hyperlink"/>
                  </w:rPr>
                  <w:t>2023 年度股东大会决议公告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2024.05.25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56" w:history="1">
                <w:r>
                  <w:rPr>
                    <w:rStyle w:val="Hyperlink"/>
                  </w:rPr>
                  <w:t>山西证券股份有限公司董事会议事规则（2024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2024.05.25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57" w:history="1">
                <w:r>
                  <w:rPr>
                    <w:rStyle w:val="Hyperlink"/>
                  </w:rPr>
                  <w:t>山西证券股份有限公司累积投票实施细则（2024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2024.05.25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106" w:right="0" w:firstLine="0"/>
              <w:jc w:val="left"/>
            </w:pPr>
            <w:r>
              <w:rPr>
                <w:rFonts w:ascii="宋体" w:hAnsi="宋体" w:eastAsia="宋体"/>
                <w:b w:val="0"/>
                <w:i w:val="0"/>
                <w:color w:val="000000"/>
                <w:sz w:val="18"/>
              </w:rPr>
              <w:hyperlink r:id="rId58" w:history="1">
                <w:r>
                  <w:rPr>
                    <w:rStyle w:val="Hyperlink"/>
                  </w:rPr>
                  <w:t>山西证券股份有限公司募集资金管理制度（2024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192" w:right="0" w:firstLine="0"/>
              <w:jc w:val="left"/>
            </w:pPr>
            <w:r>
              <w:rPr>
                <w:rFonts w:ascii="宋体" w:hAnsi="宋体" w:eastAsia="宋体"/>
                <w:b w:val="0"/>
                <w:i w:val="0"/>
                <w:color w:val="000000"/>
                <w:sz w:val="18"/>
              </w:rPr>
              <w:t xml:space="preserve">2024.05.25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59" w:history="1">
                <w:r>
                  <w:rPr>
                    <w:rStyle w:val="Hyperlink"/>
                  </w:rPr>
                  <w:t>山西证券股份有限公司独立董事制度（2024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2024.05.25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60" w:history="1">
                <w:r>
                  <w:rPr>
                    <w:rStyle w:val="Hyperlink"/>
                  </w:rPr>
                  <w:t>山西证券股份有限公司章程（2024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2024.05.25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61" w:history="1">
                <w:r>
                  <w:rPr>
                    <w:rStyle w:val="Hyperlink"/>
                  </w:rPr>
                  <w:t>国浩律师（上海）事务所关于山西证券股份有限公司2023 年度股东大会的法律意见书</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2024.05.25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62" w:history="1">
                <w:r>
                  <w:rPr>
                    <w:rStyle w:val="Hyperlink"/>
                  </w:rPr>
                  <w:t>山西证券股份有限公司关联交易管理制度(2024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2024.05.25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63" w:history="1">
                <w:r>
                  <w:rPr>
                    <w:rStyle w:val="Hyperlink"/>
                  </w:rPr>
                  <w:t>山西证券股份有限公司股东大会议事规则（2024 年5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2024.05.25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64" w:history="1">
                <w:r>
                  <w:rPr>
                    <w:rStyle w:val="Hyperlink"/>
                  </w:rPr>
                  <w:t>山西证券股份有限公司2024 年面向专业投资者公开发行公司债券（第一期）募集说明书</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65" w:history="1">
                <w:r>
                  <w:rPr>
                    <w:rStyle w:val="Hyperlink"/>
                  </w:rPr>
                  <w:t>山西证券股份有限公司2023 年度公开发行公司债券跟踪评级报告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2024.06.19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66" w:history="1">
                <w:r>
                  <w:rPr>
                    <w:rStyle w:val="Hyperlink"/>
                  </w:rPr>
                  <w:t>山西证券股份有限公司2024 年面向专业投资者公开发行公司债券（第一期）发行公告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2024.06.19 </w:t>
            </w:r>
          </w:p>
        </w:tc>
      </w:tr>
      <w:tr>
        <w:trPr>
          <w:trHeight w:hRule="exact" w:val="64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6" w:right="0" w:firstLine="0"/>
              <w:jc w:val="left"/>
            </w:pPr>
            <w:r>
              <w:rPr>
                <w:rFonts w:ascii="宋体" w:hAnsi="宋体" w:eastAsia="宋体"/>
                <w:b w:val="0"/>
                <w:i w:val="0"/>
                <w:color w:val="000000"/>
                <w:sz w:val="18"/>
              </w:rPr>
              <w:hyperlink r:id="rId67" w:history="1">
                <w:r>
                  <w:rPr>
                    <w:rStyle w:val="Hyperlink"/>
                  </w:rPr>
                  <w:t>关于延长山西证券股份有限公司2024 年面向专业投资者公开发行公司债券（第一期）簿记建档时间</w:t>
                </w:r>
              </w:hyperlink>
            </w:r>
            <w:r>
              <w:rPr>
                <w:rFonts w:ascii="宋体" w:hAnsi="宋体" w:eastAsia="宋体"/>
                <w:b w:val="0"/>
                <w:i w:val="0"/>
                <w:color w:val="000000"/>
                <w:sz w:val="18"/>
              </w:rPr>
              <w:hyperlink r:id="rId67"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92" w:right="0" w:firstLine="0"/>
              <w:jc w:val="left"/>
            </w:pPr>
            <w:r>
              <w:rPr>
                <w:rFonts w:ascii="宋体" w:hAnsi="宋体" w:eastAsia="宋体"/>
                <w:b w:val="0"/>
                <w:i w:val="0"/>
                <w:color w:val="000000"/>
                <w:sz w:val="18"/>
              </w:rPr>
              <w:t xml:space="preserve">2024.06.20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68" w:history="1">
                <w:r>
                  <w:rPr>
                    <w:rStyle w:val="Hyperlink"/>
                  </w:rPr>
                  <w:t>山西证券股份有限公司2024 年面向专业投资者公开发行公司债券（第一期）票面利率公告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2024.06.20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临2024-016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69" w:history="1">
                <w:r>
                  <w:rPr>
                    <w:rStyle w:val="Hyperlink"/>
                  </w:rPr>
                  <w:t>2023 年年度权益分派实施公告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2024.06.22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70" w:history="1">
                <w:r>
                  <w:rPr>
                    <w:rStyle w:val="Hyperlink"/>
                  </w:rPr>
                  <w:t>山西证券股份有限公司2024 年面向专业投资者公开发行公司债券（第一期）发行结果公告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2024.06.24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71" w:history="1">
                <w:r>
                  <w:rPr>
                    <w:rStyle w:val="Hyperlink"/>
                  </w:rPr>
                  <w:t>山西证券股份有限公司2024 年度公开发行公司债券跟踪评级报告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2024.06.25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临2024-017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72" w:history="1">
                <w:r>
                  <w:rPr>
                    <w:rStyle w:val="Hyperlink"/>
                  </w:rPr>
                  <w:t>2022 年面向专业投资者公开发行公司债券（第一期）（品种一）2024 年付息公告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2024.06.26 </w:t>
            </w:r>
          </w:p>
        </w:tc>
      </w:tr>
      <w:tr>
        <w:trPr>
          <w:trHeight w:hRule="exact" w:val="65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6" w:right="0" w:firstLine="0"/>
              <w:jc w:val="left"/>
            </w:pPr>
            <w:r>
              <w:rPr>
                <w:rFonts w:ascii="宋体" w:hAnsi="宋体" w:eastAsia="宋体"/>
                <w:b w:val="0"/>
                <w:i w:val="0"/>
                <w:color w:val="000000"/>
                <w:sz w:val="18"/>
              </w:rPr>
              <w:hyperlink r:id="rId73" w:history="1">
                <w:r>
                  <w:rPr>
                    <w:rStyle w:val="Hyperlink"/>
                  </w:rPr>
                  <w:t>山西证券股份有限公司2024 年面向专业投资者公开发行公司债券（第一期）在深圳证券交易所上市</w:t>
                </w:r>
              </w:hyperlink>
            </w:r>
            <w:r>
              <w:rPr>
                <w:rFonts w:ascii="宋体" w:hAnsi="宋体" w:eastAsia="宋体"/>
                <w:b w:val="0"/>
                <w:i w:val="0"/>
                <w:color w:val="000000"/>
                <w:sz w:val="18"/>
              </w:rPr>
              <w:hyperlink r:id="rId73"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92" w:right="0" w:firstLine="0"/>
              <w:jc w:val="left"/>
            </w:pPr>
            <w:r>
              <w:rPr>
                <w:rFonts w:ascii="宋体" w:hAnsi="宋体" w:eastAsia="宋体"/>
                <w:b w:val="0"/>
                <w:i w:val="0"/>
                <w:color w:val="000000"/>
                <w:sz w:val="18"/>
              </w:rPr>
              <w:t xml:space="preserve">2024.06.27 </w:t>
            </w:r>
          </w:p>
        </w:tc>
      </w:tr>
    </w:tbl>
    <w:p>
      <w:pPr>
        <w:autoSpaceDN w:val="0"/>
        <w:autoSpaceDE w:val="0"/>
        <w:widowControl/>
        <w:spacing w:line="197" w:lineRule="auto" w:before="376" w:after="0"/>
        <w:ind w:left="0" w:right="0" w:firstLine="0"/>
        <w:jc w:val="center"/>
      </w:pPr>
      <w:r>
        <w:rPr>
          <w:rFonts w:ascii="Calibri" w:hAnsi="Calibri" w:eastAsia="Calibri"/>
          <w:b w:val="0"/>
          <w:i w:val="0"/>
          <w:color w:val="000000"/>
          <w:sz w:val="18"/>
        </w:rPr>
        <w:t xml:space="preserve">103 </w:t>
      </w:r>
    </w:p>
    <w:p>
      <w:pPr>
        <w:sectPr>
          <w:type w:val="continuous"/>
          <w:pgSz w:w="11904" w:h="16841"/>
          <w:pgMar w:top="424" w:right="388" w:bottom="446" w:left="408" w:header="720" w:footer="720" w:gutter="0"/>
          <w:cols/>
          <w:docGrid w:linePitch="360"/>
        </w:sectPr>
      </w:pPr>
    </w:p>
    <w:p>
      <w:pPr>
        <w:autoSpaceDN w:val="0"/>
        <w:autoSpaceDE w:val="0"/>
        <w:widowControl/>
        <w:spacing w:line="220" w:lineRule="exact" w:before="0" w:after="206"/>
        <w:ind w:left="0" w:right="0"/>
      </w:pPr>
    </w:p>
    <w:p>
      <w:pPr>
        <w:sectPr>
          <w:pgSz w:w="11904" w:h="16841"/>
          <w:pgMar w:top="424" w:right="388" w:bottom="446" w:left="408" w:header="720" w:footer="720" w:gutter="0"/>
          <w:cols/>
          <w:docGrid w:linePitch="360"/>
        </w:sectPr>
      </w:pPr>
    </w:p>
    <w:p>
      <w:pPr>
        <w:autoSpaceDN w:val="0"/>
        <w:autoSpaceDE w:val="0"/>
        <w:widowControl/>
        <w:spacing w:line="240" w:lineRule="auto" w:before="0" w:after="0"/>
        <w:ind w:left="726" w:right="0" w:firstLine="0"/>
        <w:jc w:val="left"/>
      </w:pPr>
      <w:r>
        <w:drawing>
          <wp:inline xmlns:a="http://schemas.openxmlformats.org/drawingml/2006/main" xmlns:pic="http://schemas.openxmlformats.org/drawingml/2006/picture">
            <wp:extent cx="1844039" cy="439419"/>
            <wp:docPr id="106" name="Picture 10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88" w:bottom="446" w:left="408" w:header="720" w:footer="720" w:gutter="0"/>
          <w:cols w:num="2" w:equalWidth="0">
            <w:col w:w="6132" w:space="0"/>
            <w:col w:w="4975" w:space="0"/>
          </w:cols>
          <w:docGrid w:linePitch="360"/>
        </w:sectPr>
      </w:pPr>
    </w:p>
    <w:p>
      <w:pPr>
        <w:autoSpaceDN w:val="0"/>
        <w:autoSpaceDE w:val="0"/>
        <w:widowControl/>
        <w:spacing w:line="200" w:lineRule="exact" w:before="0" w:after="30"/>
        <w:ind w:left="0" w:right="76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88" w:bottom="446" w:left="408" w:header="720" w:footer="720" w:gutter="0"/>
          <w:cols w:num="2" w:equalWidth="0">
            <w:col w:w="6132" w:space="0"/>
            <w:col w:w="4975" w:space="0"/>
          </w:cols>
          <w:docGrid w:linePitch="360"/>
        </w:sectPr>
      </w:pPr>
    </w:p>
    <w:tbl>
      <w:tblPr>
        <w:tblW w:type="auto" w:w="0"/>
        <w:tblLayout w:type="fixed"/>
        <w:tblLook w:firstColumn="1" w:firstRow="1" w:lastColumn="0" w:lastRow="0" w:noHBand="0" w:noVBand="1" w:val="04A0"/>
        <w:tblInd w:w="4.000000000000057" w:type="dxa"/>
      </w:tblPr>
      <w:tblGrid>
        <w:gridCol w:w="3703"/>
        <w:gridCol w:w="3703"/>
        <w:gridCol w:w="3703"/>
      </w:tblGrid>
      <w:tr>
        <w:trPr>
          <w:trHeight w:hRule="exact" w:val="405"/>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74" w:history="1">
                <w:r>
                  <w:rPr>
                    <w:rStyle w:val="Hyperlink"/>
                  </w:rPr>
                  <w:t>山西证券股份有限公司公司债券受托管理事务报告（2023 年度）</w:t>
                </w:r>
              </w:hyperlink>
            </w:r>
            <w:r>
              <w:rPr>
                <w:rFonts w:ascii="宋体" w:hAnsi="宋体" w:eastAsia="宋体"/>
                <w:b w:val="0"/>
                <w:i w:val="0"/>
                <w:color w:val="000000"/>
                <w:sz w:val="18"/>
              </w:rPr>
              <w:t xml:space="preserve"> </w:t>
            </w:r>
          </w:p>
        </w:tc>
        <w:tc>
          <w:tcPr>
            <w:tcW w:type="dxa" w:w="129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2024.06.28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临2024-018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75" w:history="1">
                <w:r>
                  <w:rPr>
                    <w:rStyle w:val="Hyperlink"/>
                  </w:rPr>
                  <w:t>2022 年面向专业投资者公开发行公司债券（第二期）（品种一）2024 年付息公告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2024.07.11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76" w:history="1">
                <w:r>
                  <w:rPr>
                    <w:rStyle w:val="Hyperlink"/>
                  </w:rPr>
                  <w:t>山西证券股份有限公司2024 年面向专业投资者公开发行公司债券（第二期）发行公告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2024.07.17 </w:t>
            </w:r>
          </w:p>
        </w:tc>
      </w:tr>
      <w:tr>
        <w:trPr>
          <w:trHeight w:hRule="exact" w:val="406"/>
        </w:trPr>
        <w:tc>
          <w:tcPr>
            <w:tcW w:type="dxa" w:w="170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77" w:history="1">
                <w:r>
                  <w:rPr>
                    <w:rStyle w:val="Hyperlink"/>
                  </w:rPr>
                  <w:t>山西证券股份有限公司2024 年度公开发行公司债券跟踪评级报告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2024.07.17 </w:t>
            </w:r>
          </w:p>
        </w:tc>
      </w:tr>
      <w:tr>
        <w:trPr>
          <w:trHeight w:hRule="exact" w:val="408"/>
        </w:trPr>
        <w:tc>
          <w:tcPr>
            <w:tcW w:type="dxa" w:w="1704"/>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78" w:history="1">
                <w:r>
                  <w:rPr>
                    <w:rStyle w:val="Hyperlink"/>
                  </w:rPr>
                  <w:t>山西证券股份有限公司2024 年面向专业投资者公开发行公司债券（第二期）募集说明书</w:t>
                </w:r>
              </w:hyperlink>
            </w:r>
            <w:r>
              <w:rPr>
                <w:rFonts w:ascii="宋体" w:hAnsi="宋体" w:eastAsia="宋体"/>
                <w:b w:val="0"/>
                <w:i w:val="0"/>
                <w:color w:val="000000"/>
                <w:sz w:val="18"/>
              </w:rPr>
              <w:t xml:space="preserve"> </w:t>
            </w:r>
          </w:p>
        </w:tc>
        <w:tc>
          <w:tcPr>
            <w:tcW w:type="dxa" w:w="1292"/>
            <w:tcBorders>
              <w:start w:sz="4.0" w:val="single" w:color="#000000"/>
              <w:top w:sz="3.2000000000000455"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2024.07.17 </w:t>
            </w:r>
          </w:p>
        </w:tc>
      </w:tr>
      <w:tr>
        <w:trPr>
          <w:trHeight w:hRule="exact" w:val="652"/>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hyperlink r:id="rId79" w:history="1">
                <w:r>
                  <w:rPr>
                    <w:rStyle w:val="Hyperlink"/>
                  </w:rPr>
                  <w:t>关于延长山西证券股份有限公司2024 年面向专业投资者公开发行公司债券（第二期）簿记建档时间</w:t>
                </w:r>
              </w:hyperlink>
            </w:r>
            <w:r>
              <w:rPr>
                <w:rFonts w:ascii="宋体" w:hAnsi="宋体" w:eastAsia="宋体"/>
                <w:b w:val="0"/>
                <w:i w:val="0"/>
                <w:color w:val="000000"/>
                <w:sz w:val="18"/>
              </w:rPr>
              <w:hyperlink r:id="rId79"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92" w:right="0" w:firstLine="0"/>
              <w:jc w:val="left"/>
            </w:pPr>
            <w:r>
              <w:rPr>
                <w:rFonts w:ascii="宋体" w:hAnsi="宋体" w:eastAsia="宋体"/>
                <w:b w:val="0"/>
                <w:i w:val="0"/>
                <w:color w:val="000000"/>
                <w:sz w:val="18"/>
              </w:rPr>
              <w:t xml:space="preserve">2024.07.18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80" w:history="1">
                <w:r>
                  <w:rPr>
                    <w:rStyle w:val="Hyperlink"/>
                  </w:rPr>
                  <w:t>山西证券股份有限公司2024 年面向专业投资者公开发行公司债券（第二期）票面利率公告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2024.07.18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81" w:history="1">
                <w:r>
                  <w:rPr>
                    <w:rStyle w:val="Hyperlink"/>
                  </w:rPr>
                  <w:t>山西证券股份有限公司2024 年面向专业投资者公开发行公司债券（第二期）发行结果公告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2024.07.23 </w:t>
            </w:r>
          </w:p>
        </w:tc>
      </w:tr>
      <w:tr>
        <w:trPr>
          <w:trHeight w:hRule="exact" w:val="404"/>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372" w:right="0" w:firstLine="0"/>
              <w:jc w:val="left"/>
            </w:pPr>
            <w:r>
              <w:rPr>
                <w:rFonts w:ascii="宋体" w:hAnsi="宋体" w:eastAsia="宋体"/>
                <w:b w:val="0"/>
                <w:i w:val="0"/>
                <w:color w:val="000000"/>
                <w:sz w:val="18"/>
              </w:rPr>
              <w:t xml:space="preserve">临2024-019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82" w:history="1">
                <w:r>
                  <w:rPr>
                    <w:rStyle w:val="Hyperlink"/>
                  </w:rPr>
                  <w:t>2022 年面向专业投资者公开发行公司债券（第三期）2024 年付息公告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2024.07.23 </w:t>
            </w:r>
          </w:p>
        </w:tc>
      </w:tr>
      <w:tr>
        <w:trPr>
          <w:trHeight w:hRule="exact" w:val="652"/>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hyperlink r:id="rId83" w:history="1">
                <w:r>
                  <w:rPr>
                    <w:rStyle w:val="Hyperlink"/>
                  </w:rPr>
                  <w:t>山西证券股份有限公司2024 年面向专业投资者公开发行公司债券（第二期）在深圳证券交易所上市</w:t>
                </w:r>
              </w:hyperlink>
            </w:r>
            <w:r>
              <w:rPr>
                <w:rFonts w:ascii="宋体" w:hAnsi="宋体" w:eastAsia="宋体"/>
                <w:b w:val="0"/>
                <w:i w:val="0"/>
                <w:color w:val="000000"/>
                <w:sz w:val="18"/>
              </w:rPr>
              <w:hyperlink r:id="rId83"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92" w:right="0" w:firstLine="0"/>
              <w:jc w:val="left"/>
            </w:pPr>
            <w:r>
              <w:rPr>
                <w:rFonts w:ascii="宋体" w:hAnsi="宋体" w:eastAsia="宋体"/>
                <w:b w:val="0"/>
                <w:i w:val="0"/>
                <w:color w:val="000000"/>
                <w:sz w:val="18"/>
              </w:rPr>
              <w:t xml:space="preserve">2024.07.26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84" w:history="1">
                <w:r>
                  <w:rPr>
                    <w:rStyle w:val="Hyperlink"/>
                  </w:rPr>
                  <w:t>2024 年半年度报告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2024.08.28 </w:t>
            </w:r>
          </w:p>
        </w:tc>
      </w:tr>
      <w:tr>
        <w:trPr>
          <w:trHeight w:hRule="exact" w:val="406"/>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85" w:history="1">
                <w:r>
                  <w:rPr>
                    <w:rStyle w:val="Hyperlink"/>
                  </w:rPr>
                  <w:t>2024 年半年度财务报告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2024.08.28 </w:t>
            </w:r>
          </w:p>
        </w:tc>
      </w:tr>
      <w:tr>
        <w:trPr>
          <w:trHeight w:hRule="exact" w:val="408"/>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临2024-020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86" w:history="1">
                <w:r>
                  <w:rPr>
                    <w:rStyle w:val="Hyperlink"/>
                  </w:rPr>
                  <w:t>半年报董事会决议公告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2024.08.28 </w:t>
            </w:r>
          </w:p>
        </w:tc>
      </w:tr>
      <w:tr>
        <w:trPr>
          <w:trHeight w:hRule="exact" w:val="406"/>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临2024-017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87" w:history="1">
                <w:r>
                  <w:rPr>
                    <w:rStyle w:val="Hyperlink"/>
                  </w:rPr>
                  <w:t>2024 年半年度报告摘要</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2024.08.28 </w:t>
            </w:r>
          </w:p>
        </w:tc>
      </w:tr>
      <w:tr>
        <w:trPr>
          <w:trHeight w:hRule="exact" w:val="410"/>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临2024-021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88" w:history="1">
                <w:r>
                  <w:rPr>
                    <w:rStyle w:val="Hyperlink"/>
                  </w:rPr>
                  <w:t>半年报监事会决议公告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2024.08.28 </w:t>
            </w:r>
          </w:p>
        </w:tc>
      </w:tr>
      <w:tr>
        <w:trPr>
          <w:trHeight w:hRule="exact" w:val="406"/>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89" w:history="1">
                <w:r>
                  <w:rPr>
                    <w:rStyle w:val="Hyperlink"/>
                  </w:rPr>
                  <w:t>2024 年上半年风险控制指标情况报告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2024.08.28 </w:t>
            </w:r>
          </w:p>
        </w:tc>
      </w:tr>
      <w:tr>
        <w:trPr>
          <w:trHeight w:hRule="exact" w:val="406"/>
        </w:trPr>
        <w:tc>
          <w:tcPr>
            <w:tcW w:type="dxa" w:w="170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90" w:history="1">
                <w:r>
                  <w:rPr>
                    <w:rStyle w:val="Hyperlink"/>
                  </w:rPr>
                  <w:t>山西证券股份有限公司信息披露事务管理制度（2024 年8 月）</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2024.08.28 </w:t>
            </w:r>
          </w:p>
        </w:tc>
      </w:tr>
      <w:tr>
        <w:trPr>
          <w:trHeight w:hRule="exact" w:val="408"/>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91" w:history="1">
                <w:r>
                  <w:rPr>
                    <w:rStyle w:val="Hyperlink"/>
                  </w:rPr>
                  <w:t>半年度非经营性资金占用及其他关联资金往来情况汇总表</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2024.08.28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临2024-022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92" w:history="1">
                <w:r>
                  <w:rPr>
                    <w:rStyle w:val="Hyperlink"/>
                  </w:rPr>
                  <w:t>2024 年上半年募集资金存放和实际使用情况专项报告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2024.08.28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临2024-023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93" w:history="1">
                <w:r>
                  <w:rPr>
                    <w:rStyle w:val="Hyperlink"/>
                  </w:rPr>
                  <w:t>2021 年面向专业投资者公开发行次级债券（第二期）2024 年兑付兑息暨摘牌公告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2024.08.28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临2024-024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94" w:history="1">
                <w:r>
                  <w:rPr>
                    <w:rStyle w:val="Hyperlink"/>
                  </w:rPr>
                  <w:t>关于撤销2 家证券营业部的公告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2024.09.05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临2024-026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95" w:history="1">
                <w:r>
                  <w:rPr>
                    <w:rStyle w:val="Hyperlink"/>
                  </w:rPr>
                  <w:t>关于高级管理人员变动的公告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2024.09.19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临2024-027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96" w:history="1">
                <w:r>
                  <w:rPr>
                    <w:rStyle w:val="Hyperlink"/>
                  </w:rPr>
                  <w:t>关于董事会审计委员会委员辞职的公告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2024.09.19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97" w:history="1">
                <w:r>
                  <w:rPr>
                    <w:rStyle w:val="Hyperlink"/>
                  </w:rPr>
                  <w:t>关于聘任公司高级管理人员的独立董事意见</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2024.09.19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372" w:right="0" w:firstLine="0"/>
              <w:jc w:val="left"/>
            </w:pPr>
            <w:r>
              <w:rPr>
                <w:rFonts w:ascii="宋体" w:hAnsi="宋体" w:eastAsia="宋体"/>
                <w:b w:val="0"/>
                <w:i w:val="0"/>
                <w:color w:val="000000"/>
                <w:sz w:val="18"/>
              </w:rPr>
              <w:t xml:space="preserve">临2024-025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98" w:history="1">
                <w:r>
                  <w:rPr>
                    <w:rStyle w:val="Hyperlink"/>
                  </w:rPr>
                  <w:t>关于第四届董事会第二十三次会议决议的公告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2024.09.19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临2024-028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99" w:history="1">
                <w:r>
                  <w:rPr>
                    <w:rStyle w:val="Hyperlink"/>
                  </w:rPr>
                  <w:t>关于＂质量回报双提升＂行动方案的公告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2024.09.27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2024 年度山西证券股份有限公司信用评级报告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2024.10.14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00" w:history="1">
                <w:r>
                  <w:rPr>
                    <w:rStyle w:val="Hyperlink"/>
                  </w:rPr>
                  <w:t>山西证券股份有限公司2024 年面向专业投资者公开发行公司债券（第三期）发行公告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2024.10.14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01" w:history="1">
                <w:r>
                  <w:rPr>
                    <w:rStyle w:val="Hyperlink"/>
                  </w:rPr>
                  <w:t>山西证券股份有限公司2024 年面向专业投资者公开发行公司债券（第三期）募集说明书</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2024.10.14 </w:t>
            </w:r>
          </w:p>
        </w:tc>
      </w:tr>
      <w:tr>
        <w:trPr>
          <w:trHeight w:hRule="exact" w:val="652"/>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hyperlink r:id="rId102" w:history="1">
                <w:r>
                  <w:rPr>
                    <w:rStyle w:val="Hyperlink"/>
                  </w:rPr>
                  <w:t>关于延长山西证券股份有限公司2024 年面向专业投资者公开发行公司债券（第三期）簿记建档时间</w:t>
                </w:r>
              </w:hyperlink>
            </w:r>
            <w:r>
              <w:rPr>
                <w:rFonts w:ascii="宋体" w:hAnsi="宋体" w:eastAsia="宋体"/>
                <w:b w:val="0"/>
                <w:i w:val="0"/>
                <w:color w:val="000000"/>
                <w:sz w:val="18"/>
              </w:rPr>
              <w:hyperlink r:id="rId102"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192" w:right="0" w:firstLine="0"/>
              <w:jc w:val="left"/>
            </w:pPr>
            <w:r>
              <w:rPr>
                <w:rFonts w:ascii="宋体" w:hAnsi="宋体" w:eastAsia="宋体"/>
                <w:b w:val="0"/>
                <w:i w:val="0"/>
                <w:color w:val="000000"/>
                <w:sz w:val="18"/>
              </w:rPr>
              <w:t xml:space="preserve">2024.10.15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03" w:history="1">
                <w:r>
                  <w:rPr>
                    <w:rStyle w:val="Hyperlink"/>
                  </w:rPr>
                  <w:t>山西证券股份有限公司2024 年面向专业投资者公开发行公司债券（第三期）票面利率公告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2024.10.15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04" w:history="1">
                <w:r>
                  <w:rPr>
                    <w:rStyle w:val="Hyperlink"/>
                  </w:rPr>
                  <w:t>山西证券股份有限公司2024 年面向专业投资者公开发行公司债券（第三期）发行结果公告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2024.10.17 </w:t>
            </w:r>
          </w:p>
        </w:tc>
      </w:tr>
    </w:tbl>
    <w:p>
      <w:pPr>
        <w:autoSpaceDN w:val="0"/>
        <w:autoSpaceDE w:val="0"/>
        <w:widowControl/>
        <w:spacing w:line="197" w:lineRule="auto" w:before="376" w:after="0"/>
        <w:ind w:left="0" w:right="0" w:firstLine="0"/>
        <w:jc w:val="center"/>
      </w:pPr>
      <w:r>
        <w:rPr>
          <w:rFonts w:ascii="Calibri" w:hAnsi="Calibri" w:eastAsia="Calibri"/>
          <w:b w:val="0"/>
          <w:i w:val="0"/>
          <w:color w:val="000000"/>
          <w:sz w:val="18"/>
        </w:rPr>
        <w:t xml:space="preserve">104 </w:t>
      </w:r>
    </w:p>
    <w:p>
      <w:pPr>
        <w:sectPr>
          <w:type w:val="continuous"/>
          <w:pgSz w:w="11904" w:h="16841"/>
          <w:pgMar w:top="424" w:right="388" w:bottom="446" w:left="408" w:header="720" w:footer="720" w:gutter="0"/>
          <w:cols/>
          <w:docGrid w:linePitch="360"/>
        </w:sectPr>
      </w:pPr>
    </w:p>
    <w:p>
      <w:pPr>
        <w:autoSpaceDN w:val="0"/>
        <w:autoSpaceDE w:val="0"/>
        <w:widowControl/>
        <w:spacing w:line="220" w:lineRule="exact" w:before="0" w:after="206"/>
        <w:ind w:left="0" w:right="0"/>
      </w:pPr>
    </w:p>
    <w:p>
      <w:pPr>
        <w:sectPr>
          <w:pgSz w:w="11904" w:h="16841"/>
          <w:pgMar w:top="424" w:right="388" w:bottom="446" w:left="408" w:header="720" w:footer="720" w:gutter="0"/>
          <w:cols/>
          <w:docGrid w:linePitch="360"/>
        </w:sectPr>
      </w:pPr>
    </w:p>
    <w:p>
      <w:pPr>
        <w:autoSpaceDN w:val="0"/>
        <w:autoSpaceDE w:val="0"/>
        <w:widowControl/>
        <w:spacing w:line="240" w:lineRule="auto" w:before="0" w:after="0"/>
        <w:ind w:left="726" w:right="0" w:firstLine="0"/>
        <w:jc w:val="left"/>
      </w:pPr>
      <w:r>
        <w:drawing>
          <wp:inline xmlns:a="http://schemas.openxmlformats.org/drawingml/2006/main" xmlns:pic="http://schemas.openxmlformats.org/drawingml/2006/picture">
            <wp:extent cx="1844039" cy="439419"/>
            <wp:docPr id="107" name="Picture 10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88" w:bottom="446" w:left="408" w:header="720" w:footer="720" w:gutter="0"/>
          <w:cols w:num="2" w:equalWidth="0">
            <w:col w:w="6132" w:space="0"/>
            <w:col w:w="4975" w:space="0"/>
          </w:cols>
          <w:docGrid w:linePitch="360"/>
        </w:sectPr>
      </w:pPr>
    </w:p>
    <w:p>
      <w:pPr>
        <w:autoSpaceDN w:val="0"/>
        <w:autoSpaceDE w:val="0"/>
        <w:widowControl/>
        <w:spacing w:line="200" w:lineRule="exact" w:before="0" w:after="30"/>
        <w:ind w:left="0" w:right="76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88" w:bottom="446" w:left="408" w:header="720" w:footer="720" w:gutter="0"/>
          <w:cols w:num="2" w:equalWidth="0">
            <w:col w:w="6132" w:space="0"/>
            <w:col w:w="4975" w:space="0"/>
          </w:cols>
          <w:docGrid w:linePitch="360"/>
        </w:sectPr>
      </w:pPr>
    </w:p>
    <w:tbl>
      <w:tblPr>
        <w:tblW w:type="auto" w:w="0"/>
        <w:tblLayout w:type="fixed"/>
        <w:tblLook w:firstColumn="1" w:firstRow="1" w:lastColumn="0" w:lastRow="0" w:noHBand="0" w:noVBand="1" w:val="04A0"/>
        <w:tblInd w:w="4.000000000000057" w:type="dxa"/>
      </w:tblPr>
      <w:tblGrid>
        <w:gridCol w:w="3703"/>
        <w:gridCol w:w="3703"/>
        <w:gridCol w:w="3703"/>
      </w:tblGrid>
      <w:tr>
        <w:trPr>
          <w:trHeight w:hRule="exact" w:val="405"/>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临2024-029 </w:t>
            </w:r>
          </w:p>
        </w:tc>
        <w:tc>
          <w:tcPr>
            <w:tcW w:type="dxa" w:w="808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105" w:history="1">
                <w:r>
                  <w:rPr>
                    <w:rStyle w:val="Hyperlink"/>
                  </w:rPr>
                  <w:t>2021 年面向专业投资者公开发行公司债券（第一期）2024 年兑付兑息暨摘牌公告</w:t>
                </w:r>
              </w:hyperlink>
            </w:r>
            <w:r>
              <w:rPr>
                <w:rFonts w:ascii="宋体" w:hAnsi="宋体" w:eastAsia="宋体"/>
                <w:b w:val="0"/>
                <w:i w:val="0"/>
                <w:color w:val="000000"/>
                <w:sz w:val="18"/>
              </w:rPr>
              <w:t xml:space="preserve"> </w:t>
            </w:r>
          </w:p>
        </w:tc>
        <w:tc>
          <w:tcPr>
            <w:tcW w:type="dxa" w:w="129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2024.10.18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临2024-030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06" w:history="1">
                <w:r>
                  <w:rPr>
                    <w:rStyle w:val="Hyperlink"/>
                  </w:rPr>
                  <w:t>关于注销上海资产管理分公司的公告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2024.10.19 </w:t>
            </w:r>
          </w:p>
        </w:tc>
      </w:tr>
      <w:tr>
        <w:trPr>
          <w:trHeight w:hRule="exact" w:val="64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8" w:lineRule="exact" w:before="0" w:after="0"/>
              <w:ind w:left="106" w:right="0" w:firstLine="0"/>
              <w:jc w:val="left"/>
            </w:pPr>
            <w:r>
              <w:rPr>
                <w:rFonts w:ascii="宋体" w:hAnsi="宋体" w:eastAsia="宋体"/>
                <w:b w:val="0"/>
                <w:i w:val="0"/>
                <w:color w:val="000000"/>
                <w:sz w:val="18"/>
              </w:rPr>
              <w:hyperlink r:id="rId107" w:history="1">
                <w:r>
                  <w:rPr>
                    <w:rStyle w:val="Hyperlink"/>
                  </w:rPr>
                  <w:t>山西证券股份有限公司2024 年面向专业投资者公开发行公司债券（第三期）在深圳证券交易所上市</w:t>
                </w:r>
              </w:hyperlink>
            </w:r>
            <w:r>
              <w:rPr>
                <w:rFonts w:ascii="宋体" w:hAnsi="宋体" w:eastAsia="宋体"/>
                <w:b w:val="0"/>
                <w:i w:val="0"/>
                <w:color w:val="000000"/>
                <w:sz w:val="18"/>
              </w:rPr>
              <w:hyperlink r:id="rId107"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192" w:right="0" w:firstLine="0"/>
              <w:jc w:val="left"/>
            </w:pPr>
            <w:r>
              <w:rPr>
                <w:rFonts w:ascii="宋体" w:hAnsi="宋体" w:eastAsia="宋体"/>
                <w:b w:val="0"/>
                <w:i w:val="0"/>
                <w:color w:val="000000"/>
                <w:sz w:val="18"/>
              </w:rPr>
              <w:t xml:space="preserve">2024.10.23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临2024-031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08" w:history="1">
                <w:r>
                  <w:rPr>
                    <w:rStyle w:val="Hyperlink"/>
                  </w:rPr>
                  <w:t>董事会决议公告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2024.10.31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临2024-032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09" w:history="1">
                <w:r>
                  <w:rPr>
                    <w:rStyle w:val="Hyperlink"/>
                  </w:rPr>
                  <w:t>监事会决议公告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2024.10.31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临2024-033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10" w:history="1">
                <w:r>
                  <w:rPr>
                    <w:rStyle w:val="Hyperlink"/>
                  </w:rPr>
                  <w:t>关于召开2024 年第一次临时股东大会的通知</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2024.10.31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临2024-034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11" w:history="1">
                <w:r>
                  <w:rPr>
                    <w:rStyle w:val="Hyperlink"/>
                  </w:rPr>
                  <w:t>2024 年三季度报告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2024.10.31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临2024-035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12" w:history="1">
                <w:r>
                  <w:rPr>
                    <w:rStyle w:val="Hyperlink"/>
                  </w:rPr>
                  <w:t>2023 年面向专业投资者公开发行次级债券（第一期）2024 年付息公告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2024.11.07 </w:t>
            </w:r>
          </w:p>
        </w:tc>
      </w:tr>
      <w:tr>
        <w:trPr>
          <w:trHeight w:hRule="exact" w:val="404"/>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372" w:right="0" w:firstLine="0"/>
              <w:jc w:val="left"/>
            </w:pPr>
            <w:r>
              <w:rPr>
                <w:rFonts w:ascii="宋体" w:hAnsi="宋体" w:eastAsia="宋体"/>
                <w:b w:val="0"/>
                <w:i w:val="0"/>
                <w:color w:val="000000"/>
                <w:sz w:val="18"/>
              </w:rPr>
              <w:t xml:space="preserve">临2024-036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106" w:right="0" w:firstLine="0"/>
              <w:jc w:val="left"/>
            </w:pPr>
            <w:r>
              <w:rPr>
                <w:rFonts w:ascii="宋体" w:hAnsi="宋体" w:eastAsia="宋体"/>
                <w:b w:val="0"/>
                <w:i w:val="0"/>
                <w:color w:val="000000"/>
                <w:sz w:val="18"/>
              </w:rPr>
              <w:hyperlink r:id="rId113" w:history="1">
                <w:r>
                  <w:rPr>
                    <w:rStyle w:val="Hyperlink"/>
                  </w:rPr>
                  <w:t>2021 年面向专业投资者公开发行公司债券（第二期）2024 年兑付兑息暨摘牌公告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8" w:after="0"/>
              <w:ind w:left="192" w:right="0" w:firstLine="0"/>
              <w:jc w:val="left"/>
            </w:pPr>
            <w:r>
              <w:rPr>
                <w:rFonts w:ascii="宋体" w:hAnsi="宋体" w:eastAsia="宋体"/>
                <w:b w:val="0"/>
                <w:i w:val="0"/>
                <w:color w:val="000000"/>
                <w:sz w:val="18"/>
              </w:rPr>
              <w:t xml:space="preserve">2024.11.15 </w:t>
            </w:r>
          </w:p>
        </w:tc>
      </w:tr>
      <w:tr>
        <w:trPr>
          <w:trHeight w:hRule="exact" w:val="408"/>
        </w:trPr>
        <w:tc>
          <w:tcPr>
            <w:tcW w:type="dxa" w:w="1704"/>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14" w:history="1">
                <w:r>
                  <w:rPr>
                    <w:rStyle w:val="Hyperlink"/>
                  </w:rPr>
                  <w:t>山西证券股份有限公司对外担保管理制度（2024 年11 月）</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2024.11.19 </w:t>
            </w:r>
          </w:p>
        </w:tc>
      </w:tr>
      <w:tr>
        <w:trPr>
          <w:trHeight w:hRule="exact" w:val="404"/>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临2024-037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15" w:history="1">
                <w:r>
                  <w:rPr>
                    <w:rStyle w:val="Hyperlink"/>
                  </w:rPr>
                  <w:t>2024 年第一次临时股东大会决议公告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2024.11.19 </w:t>
            </w:r>
          </w:p>
        </w:tc>
      </w:tr>
      <w:tr>
        <w:trPr>
          <w:trHeight w:hRule="exact" w:val="410"/>
        </w:trPr>
        <w:tc>
          <w:tcPr>
            <w:tcW w:type="dxa" w:w="1704"/>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16" w:history="1">
                <w:r>
                  <w:rPr>
                    <w:rStyle w:val="Hyperlink"/>
                  </w:rPr>
                  <w:t>国浩律师（上海）事务所关于山西证券股份有限公司2024 年第一次临时股东大会的法律意见书</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2024.11.19 </w:t>
            </w:r>
          </w:p>
        </w:tc>
      </w:tr>
      <w:tr>
        <w:trPr>
          <w:trHeight w:hRule="exact" w:val="406"/>
        </w:trPr>
        <w:tc>
          <w:tcPr>
            <w:tcW w:type="dxa" w:w="1704"/>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临2024-038 </w:t>
            </w:r>
          </w:p>
        </w:tc>
        <w:tc>
          <w:tcPr>
            <w:tcW w:type="dxa" w:w="808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17" w:history="1">
                <w:r>
                  <w:rPr>
                    <w:rStyle w:val="Hyperlink"/>
                  </w:rPr>
                  <w:t>关于撤销柳州广场路证券营业部的公告</w:t>
                </w:r>
              </w:hyperlink>
            </w:r>
            <w:r>
              <w:rPr>
                <w:rFonts w:ascii="宋体" w:hAnsi="宋体" w:eastAsia="宋体"/>
                <w:b w:val="0"/>
                <w:i w:val="0"/>
                <w:color w:val="000000"/>
                <w:sz w:val="18"/>
              </w:rPr>
              <w:t xml:space="preserve"> </w:t>
            </w:r>
          </w:p>
        </w:tc>
        <w:tc>
          <w:tcPr>
            <w:tcW w:type="dxa" w:w="1292"/>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2024.11.19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18" w:history="1">
                <w:r>
                  <w:rPr>
                    <w:rStyle w:val="Hyperlink"/>
                  </w:rPr>
                  <w:t>山西证券股份有限公司募集资金管理制度（2024 年11 月）</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2024.11.19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19" w:history="1">
                <w:r>
                  <w:rPr>
                    <w:rStyle w:val="Hyperlink"/>
                  </w:rPr>
                  <w:t>山西证券股份有限公司2024 年面向专业投资者公开发行公司债券（第四期）发行公告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2024.12.02 </w:t>
            </w:r>
          </w:p>
        </w:tc>
      </w:tr>
      <w:tr>
        <w:trPr>
          <w:trHeight w:hRule="exact" w:val="406"/>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20" w:history="1">
                <w:r>
                  <w:rPr>
                    <w:rStyle w:val="Hyperlink"/>
                  </w:rPr>
                  <w:t>山西证券股份有限公司2024 年面向专业投资者公开发行公司债券（第四期）募集说明书</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2024.12.02 </w:t>
            </w:r>
          </w:p>
        </w:tc>
      </w:tr>
      <w:tr>
        <w:trPr>
          <w:trHeight w:hRule="exact" w:val="41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106" w:right="0" w:firstLine="0"/>
              <w:jc w:val="left"/>
            </w:pPr>
            <w:r>
              <w:rPr>
                <w:rFonts w:ascii="宋体" w:hAnsi="宋体" w:eastAsia="宋体"/>
                <w:b w:val="0"/>
                <w:i w:val="0"/>
                <w:color w:val="000000"/>
                <w:sz w:val="18"/>
              </w:rPr>
              <w:hyperlink r:id="rId121" w:history="1">
                <w:r>
                  <w:rPr>
                    <w:rStyle w:val="Hyperlink"/>
                  </w:rPr>
                  <w:t>2024 年度山西证券股份有限公司信用评级报告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6" w:after="0"/>
              <w:ind w:left="192" w:right="0" w:firstLine="0"/>
              <w:jc w:val="left"/>
            </w:pPr>
            <w:r>
              <w:rPr>
                <w:rFonts w:ascii="宋体" w:hAnsi="宋体" w:eastAsia="宋体"/>
                <w:b w:val="0"/>
                <w:i w:val="0"/>
                <w:color w:val="000000"/>
                <w:sz w:val="18"/>
              </w:rPr>
              <w:t xml:space="preserve">2024.12.02 </w:t>
            </w:r>
          </w:p>
        </w:tc>
      </w:tr>
      <w:tr>
        <w:trPr>
          <w:trHeight w:hRule="exact" w:val="650"/>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6" w:right="0" w:firstLine="0"/>
              <w:jc w:val="left"/>
            </w:pPr>
            <w:r>
              <w:rPr>
                <w:rFonts w:ascii="宋体" w:hAnsi="宋体" w:eastAsia="宋体"/>
                <w:b w:val="0"/>
                <w:i w:val="0"/>
                <w:color w:val="000000"/>
                <w:sz w:val="18"/>
              </w:rPr>
              <w:hyperlink r:id="rId122" w:history="1">
                <w:r>
                  <w:rPr>
                    <w:rStyle w:val="Hyperlink"/>
                  </w:rPr>
                  <w:t>关于延长山西证券股份有限公司2024 年面向专业投资者公开发行公司债券（第四期）簿记建档时间</w:t>
                </w:r>
              </w:hyperlink>
            </w:r>
            <w:r>
              <w:rPr>
                <w:rFonts w:ascii="宋体" w:hAnsi="宋体" w:eastAsia="宋体"/>
                <w:b w:val="0"/>
                <w:i w:val="0"/>
                <w:color w:val="000000"/>
                <w:sz w:val="18"/>
              </w:rPr>
              <w:hyperlink r:id="rId122"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92" w:right="0" w:firstLine="0"/>
              <w:jc w:val="left"/>
            </w:pPr>
            <w:r>
              <w:rPr>
                <w:rFonts w:ascii="宋体" w:hAnsi="宋体" w:eastAsia="宋体"/>
                <w:b w:val="0"/>
                <w:i w:val="0"/>
                <w:color w:val="000000"/>
                <w:sz w:val="18"/>
              </w:rPr>
              <w:t xml:space="preserve">2024.12.03 </w:t>
            </w:r>
          </w:p>
        </w:tc>
      </w:tr>
      <w:tr>
        <w:trPr>
          <w:trHeight w:hRule="exact" w:val="404"/>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23" w:history="1">
                <w:r>
                  <w:rPr>
                    <w:rStyle w:val="Hyperlink"/>
                  </w:rPr>
                  <w:t>山西证券股份有限公司2024 年面向专业投资者公开发行公司债券（第四期）票面利率公告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2024.12.03 </w:t>
            </w:r>
          </w:p>
        </w:tc>
      </w:tr>
      <w:tr>
        <w:trPr>
          <w:trHeight w:hRule="exact" w:val="408"/>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24" w:history="1">
                <w:r>
                  <w:rPr>
                    <w:rStyle w:val="Hyperlink"/>
                  </w:rPr>
                  <w:t>山西证券股份有限公司2024 年面向专业投资者公开发行公司债券（第四期）发行结果公告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2024.12.05 </w:t>
            </w:r>
          </w:p>
        </w:tc>
      </w:tr>
      <w:tr>
        <w:trPr>
          <w:trHeight w:hRule="exact" w:val="652"/>
        </w:trPr>
        <w:tc>
          <w:tcPr>
            <w:tcW w:type="dxa" w:w="17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6" w:after="0"/>
              <w:ind w:left="0" w:right="712" w:firstLine="0"/>
              <w:jc w:val="right"/>
            </w:pPr>
            <w:r>
              <w:rPr>
                <w:rFonts w:ascii="宋体" w:hAnsi="宋体" w:eastAsia="宋体"/>
                <w:b w:val="0"/>
                <w:i w:val="0"/>
                <w:color w:val="000000"/>
                <w:sz w:val="18"/>
              </w:rPr>
              <w:t xml:space="preserve">- </w:t>
            </w:r>
          </w:p>
        </w:tc>
        <w:tc>
          <w:tcPr>
            <w:tcW w:type="dxa" w:w="80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hyperlink r:id="rId125" w:history="1">
                <w:r>
                  <w:rPr>
                    <w:rStyle w:val="Hyperlink"/>
                  </w:rPr>
                  <w:t>山西证券股份有限公司2024 年面向专业投资者公开发行公司债券（第四期）在深圳证券交易所上市</w:t>
                </w:r>
              </w:hyperlink>
            </w:r>
            <w:r>
              <w:rPr>
                <w:rFonts w:ascii="宋体" w:hAnsi="宋体" w:eastAsia="宋体"/>
                <w:b w:val="0"/>
                <w:i w:val="0"/>
                <w:color w:val="000000"/>
                <w:sz w:val="18"/>
              </w:rPr>
              <w:hyperlink r:id="rId125" w:history="1">
                <w:r>
                  <w:rPr>
                    <w:rStyle w:val="Hyperlink"/>
                  </w:rPr>
                  <w:t>的公告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6" w:after="0"/>
              <w:ind w:left="192" w:right="0" w:firstLine="0"/>
              <w:jc w:val="left"/>
            </w:pPr>
            <w:r>
              <w:rPr>
                <w:rFonts w:ascii="宋体" w:hAnsi="宋体" w:eastAsia="宋体"/>
                <w:b w:val="0"/>
                <w:i w:val="0"/>
                <w:color w:val="000000"/>
                <w:sz w:val="18"/>
              </w:rPr>
              <w:t xml:space="preserve">2024.12.10 </w:t>
            </w:r>
          </w:p>
        </w:tc>
      </w:tr>
      <w:tr>
        <w:trPr>
          <w:trHeight w:hRule="exact" w:val="406"/>
        </w:trPr>
        <w:tc>
          <w:tcPr>
            <w:tcW w:type="dxa" w:w="17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372" w:right="0" w:firstLine="0"/>
              <w:jc w:val="left"/>
            </w:pPr>
            <w:r>
              <w:rPr>
                <w:rFonts w:ascii="宋体" w:hAnsi="宋体" w:eastAsia="宋体"/>
                <w:b w:val="0"/>
                <w:i w:val="0"/>
                <w:color w:val="000000"/>
                <w:sz w:val="18"/>
              </w:rPr>
              <w:t xml:space="preserve">临2024-039 </w:t>
            </w:r>
          </w:p>
        </w:tc>
        <w:tc>
          <w:tcPr>
            <w:tcW w:type="dxa" w:w="80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hyperlink r:id="rId126" w:history="1">
                <w:r>
                  <w:rPr>
                    <w:rStyle w:val="Hyperlink"/>
                  </w:rPr>
                  <w:t>2021 年面向专业投资者公开发行次级债券（第三期）2024 年兑付兑息暨摘牌公告</w:t>
                </w:r>
              </w:hyperlink>
            </w:r>
            <w:r>
              <w:rPr>
                <w:rFonts w:ascii="宋体" w:hAnsi="宋体" w:eastAsia="宋体"/>
                <w:b w:val="0"/>
                <w:i w:val="0"/>
                <w:color w:val="000000"/>
                <w:sz w:val="18"/>
              </w:rPr>
              <w:t xml:space="preserve"> </w:t>
            </w:r>
          </w:p>
        </w:tc>
        <w:tc>
          <w:tcPr>
            <w:tcW w:type="dxa" w:w="12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0" w:after="0"/>
              <w:ind w:left="192" w:right="0" w:firstLine="0"/>
              <w:jc w:val="left"/>
            </w:pPr>
            <w:r>
              <w:rPr>
                <w:rFonts w:ascii="宋体" w:hAnsi="宋体" w:eastAsia="宋体"/>
                <w:b w:val="0"/>
                <w:i w:val="0"/>
                <w:color w:val="000000"/>
                <w:sz w:val="18"/>
              </w:rPr>
              <w:t xml:space="preserve">2024.12.20 </w:t>
            </w:r>
          </w:p>
        </w:tc>
      </w:tr>
      <w:tr>
        <w:trPr>
          <w:trHeight w:hRule="exact" w:val="408"/>
        </w:trPr>
        <w:tc>
          <w:tcPr>
            <w:tcW w:type="dxa" w:w="170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4" w:after="0"/>
              <w:ind w:left="372" w:right="0" w:firstLine="0"/>
              <w:jc w:val="left"/>
            </w:pPr>
            <w:r>
              <w:rPr>
                <w:rFonts w:ascii="宋体" w:hAnsi="宋体" w:eastAsia="宋体"/>
                <w:b w:val="0"/>
                <w:i w:val="0"/>
                <w:color w:val="000000"/>
                <w:sz w:val="18"/>
              </w:rPr>
              <w:t xml:space="preserve">临2024-040 </w:t>
            </w:r>
          </w:p>
        </w:tc>
        <w:tc>
          <w:tcPr>
            <w:tcW w:type="dxa" w:w="808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hyperlink r:id="rId127" w:history="1">
                <w:r>
                  <w:rPr>
                    <w:rStyle w:val="Hyperlink"/>
                  </w:rPr>
                  <w:t>2024 年前三季度权益分派实施公告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4" w:after="0"/>
              <w:ind w:left="192" w:right="0" w:firstLine="0"/>
              <w:jc w:val="left"/>
            </w:pPr>
            <w:r>
              <w:rPr>
                <w:rFonts w:ascii="宋体" w:hAnsi="宋体" w:eastAsia="宋体"/>
                <w:b w:val="0"/>
                <w:i w:val="0"/>
                <w:color w:val="000000"/>
                <w:sz w:val="18"/>
              </w:rPr>
              <w:t xml:space="preserve">2024.12.23 </w:t>
            </w:r>
          </w:p>
        </w:tc>
      </w:tr>
      <w:tr>
        <w:trPr>
          <w:trHeight w:hRule="exact" w:val="408"/>
        </w:trPr>
        <w:tc>
          <w:tcPr>
            <w:tcW w:type="dxa" w:w="1704"/>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临2024-041 </w:t>
            </w:r>
          </w:p>
        </w:tc>
        <w:tc>
          <w:tcPr>
            <w:tcW w:type="dxa" w:w="808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28" w:history="1">
                <w:r>
                  <w:rPr>
                    <w:rStyle w:val="Hyperlink"/>
                  </w:rPr>
                  <w:t>关于公司董事会换届选举的提示性公告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2024.12.31 </w:t>
            </w:r>
          </w:p>
        </w:tc>
      </w:tr>
      <w:tr>
        <w:trPr>
          <w:trHeight w:hRule="exact" w:val="406"/>
        </w:trPr>
        <w:tc>
          <w:tcPr>
            <w:tcW w:type="dxa" w:w="17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372" w:right="0" w:firstLine="0"/>
              <w:jc w:val="left"/>
            </w:pPr>
            <w:r>
              <w:rPr>
                <w:rFonts w:ascii="宋体" w:hAnsi="宋体" w:eastAsia="宋体"/>
                <w:b w:val="0"/>
                <w:i w:val="0"/>
                <w:color w:val="000000"/>
                <w:sz w:val="18"/>
              </w:rPr>
              <w:t xml:space="preserve">临2024-042 </w:t>
            </w:r>
          </w:p>
        </w:tc>
        <w:tc>
          <w:tcPr>
            <w:tcW w:type="dxa" w:w="80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hyperlink r:id="rId129" w:history="1">
                <w:r>
                  <w:rPr>
                    <w:rStyle w:val="Hyperlink"/>
                  </w:rPr>
                  <w:t>关于公司监事会换届选举的提示性公告</w:t>
                </w:r>
              </w:hyperlink>
            </w:r>
            <w:r>
              <w:rPr>
                <w:rFonts w:ascii="宋体" w:hAnsi="宋体" w:eastAsia="宋体"/>
                <w:b w:val="0"/>
                <w:i w:val="0"/>
                <w:color w:val="000000"/>
                <w:sz w:val="18"/>
              </w:rPr>
              <w:t xml:space="preserve"> </w:t>
            </w:r>
          </w:p>
        </w:tc>
        <w:tc>
          <w:tcPr>
            <w:tcW w:type="dxa" w:w="12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42" w:after="0"/>
              <w:ind w:left="192" w:right="0" w:firstLine="0"/>
              <w:jc w:val="left"/>
            </w:pPr>
            <w:r>
              <w:rPr>
                <w:rFonts w:ascii="宋体" w:hAnsi="宋体" w:eastAsia="宋体"/>
                <w:b w:val="0"/>
                <w:i w:val="0"/>
                <w:color w:val="000000"/>
                <w:sz w:val="18"/>
              </w:rPr>
              <w:t xml:space="preserve">2024.12.31 </w:t>
            </w:r>
          </w:p>
        </w:tc>
      </w:tr>
    </w:tbl>
    <w:p>
      <w:pPr>
        <w:autoSpaceDN w:val="0"/>
        <w:autoSpaceDE w:val="0"/>
        <w:widowControl/>
        <w:spacing w:line="197" w:lineRule="auto" w:before="3224" w:after="0"/>
        <w:ind w:left="0" w:right="0" w:firstLine="0"/>
        <w:jc w:val="center"/>
      </w:pPr>
      <w:r>
        <w:rPr>
          <w:rFonts w:ascii="Calibri" w:hAnsi="Calibri" w:eastAsia="Calibri"/>
          <w:b w:val="0"/>
          <w:i w:val="0"/>
          <w:color w:val="000000"/>
          <w:sz w:val="18"/>
        </w:rPr>
        <w:t xml:space="preserve">105 </w:t>
      </w:r>
    </w:p>
    <w:p>
      <w:pPr>
        <w:sectPr>
          <w:type w:val="continuous"/>
          <w:pgSz w:w="11904" w:h="16841"/>
          <w:pgMar w:top="424" w:right="388" w:bottom="446" w:left="408" w:header="720" w:footer="720" w:gutter="0"/>
          <w:cols/>
          <w:docGrid w:linePitch="360"/>
        </w:sectPr>
      </w:pPr>
    </w:p>
    <w:p>
      <w:pPr>
        <w:autoSpaceDN w:val="0"/>
        <w:autoSpaceDE w:val="0"/>
        <w:widowControl/>
        <w:spacing w:line="220" w:lineRule="exact" w:before="0" w:after="206"/>
        <w:ind w:left="0" w:right="0"/>
      </w:pPr>
    </w:p>
    <w:p>
      <w:pPr>
        <w:sectPr>
          <w:pgSz w:w="11904" w:h="16841"/>
          <w:pgMar w:top="424" w:right="902"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8" name="Picture 10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2" w:bottom="446" w:left="1104" w:header="720" w:footer="720" w:gutter="0"/>
          <w:cols w:num="2" w:equalWidth="0">
            <w:col w:w="5436" w:space="0"/>
            <w:col w:w="4462" w:space="0"/>
          </w:cols>
          <w:docGrid w:linePitch="360"/>
        </w:sectPr>
      </w:pPr>
    </w:p>
    <w:p>
      <w:pPr>
        <w:autoSpaceDN w:val="0"/>
        <w:autoSpaceDE w:val="0"/>
        <w:widowControl/>
        <w:spacing w:line="200" w:lineRule="exact" w:before="0" w:after="30"/>
        <w:ind w:left="0" w:right="24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2" w:bottom="446" w:left="1104" w:header="720" w:footer="720" w:gutter="0"/>
          <w:cols w:num="2" w:equalWidth="0">
            <w:col w:w="5436" w:space="0"/>
            <w:col w:w="4462" w:space="0"/>
          </w:cols>
          <w:docGrid w:linePitch="360"/>
        </w:sectPr>
      </w:pPr>
    </w:p>
    <w:p>
      <w:pPr>
        <w:autoSpaceDN w:val="0"/>
        <w:autoSpaceDE w:val="0"/>
        <w:widowControl/>
        <w:spacing w:line="320" w:lineRule="exact" w:before="356" w:after="0"/>
        <w:ind w:left="0" w:right="3294" w:firstLine="0"/>
        <w:jc w:val="right"/>
      </w:pPr>
      <w:r>
        <w:rPr>
          <w:rFonts w:ascii="宋体" w:hAnsi="宋体" w:eastAsia="宋体"/>
          <w:b w:val="0"/>
          <w:i w:val="0"/>
          <w:color w:val="000000"/>
          <w:sz w:val="32"/>
        </w:rPr>
        <w:t xml:space="preserve">第五节 环境和社会责任 </w:t>
      </w:r>
    </w:p>
    <w:p>
      <w:pPr>
        <w:autoSpaceDN w:val="0"/>
        <w:autoSpaceDE w:val="0"/>
        <w:widowControl/>
        <w:spacing w:line="240" w:lineRule="exact" w:before="490" w:after="0"/>
        <w:ind w:left="30" w:right="0" w:firstLine="0"/>
        <w:jc w:val="left"/>
      </w:pPr>
      <w:r>
        <w:rPr>
          <w:rFonts w:ascii="宋体" w:hAnsi="宋体" w:eastAsia="宋体"/>
          <w:b w:val="0"/>
          <w:i w:val="0"/>
          <w:color w:val="000000"/>
          <w:sz w:val="24"/>
        </w:rPr>
        <w:t xml:space="preserve">一、重大环保问题 </w:t>
      </w:r>
    </w:p>
    <w:p>
      <w:pPr>
        <w:autoSpaceDN w:val="0"/>
        <w:autoSpaceDE w:val="0"/>
        <w:widowControl/>
        <w:spacing w:line="420" w:lineRule="exact" w:before="246" w:after="0"/>
        <w:ind w:left="30" w:right="3744" w:firstLine="0"/>
        <w:jc w:val="left"/>
      </w:pPr>
      <w:r>
        <w:rPr>
          <w:rFonts w:ascii="宋体" w:hAnsi="宋体" w:eastAsia="宋体"/>
          <w:b w:val="0"/>
          <w:i w:val="0"/>
          <w:color w:val="000000"/>
          <w:sz w:val="21"/>
        </w:rPr>
        <w:t xml:space="preserve">上市公司及其子公司是否属于环境保护部门公布的重点排污单位 </w:t>
      </w:r>
      <w:r>
        <w:rPr>
          <w:rFonts w:ascii="宋体" w:hAnsi="宋体" w:eastAsia="宋体"/>
          <w:b w:val="0"/>
          <w:i w:val="0"/>
          <w:color w:val="000000"/>
          <w:sz w:val="21"/>
        </w:rPr>
        <w:t xml:space="preserve">□是 √否 </w:t>
      </w:r>
    </w:p>
    <w:p>
      <w:pPr>
        <w:autoSpaceDN w:val="0"/>
        <w:tabs>
          <w:tab w:pos="450" w:val="left"/>
        </w:tabs>
        <w:autoSpaceDE w:val="0"/>
        <w:widowControl/>
        <w:spacing w:line="460" w:lineRule="exact" w:before="22" w:after="0"/>
        <w:ind w:left="30" w:right="144" w:firstLine="0"/>
        <w:jc w:val="left"/>
      </w:pPr>
      <w:r>
        <w:tab/>
      </w:r>
      <w:r>
        <w:rPr>
          <w:rFonts w:ascii="宋体" w:hAnsi="宋体" w:eastAsia="宋体"/>
          <w:b w:val="0"/>
          <w:i w:val="0"/>
          <w:color w:val="000000"/>
          <w:sz w:val="21"/>
        </w:rPr>
        <w:t>作为金融企业，公司及子公司不属于环境保护部门公布的重点排污单位，不存在重大环保问题，未</w:t>
      </w:r>
      <w:r>
        <w:rPr>
          <w:rFonts w:ascii="宋体" w:hAnsi="宋体" w:eastAsia="宋体"/>
          <w:b w:val="0"/>
          <w:i w:val="0"/>
          <w:color w:val="000000"/>
          <w:sz w:val="21"/>
        </w:rPr>
        <w:t xml:space="preserve">出现因违反环境保护相关法律法规而受到处罚的情况。 </w:t>
      </w:r>
    </w:p>
    <w:p>
      <w:pPr>
        <w:autoSpaceDN w:val="0"/>
        <w:autoSpaceDE w:val="0"/>
        <w:widowControl/>
        <w:spacing w:line="420" w:lineRule="exact" w:before="476" w:after="0"/>
        <w:ind w:left="30" w:right="5328" w:firstLine="0"/>
        <w:jc w:val="left"/>
      </w:pPr>
      <w:r>
        <w:rPr>
          <w:rFonts w:ascii="宋体" w:hAnsi="宋体" w:eastAsia="宋体"/>
          <w:b w:val="0"/>
          <w:i w:val="0"/>
          <w:color w:val="000000"/>
          <w:sz w:val="21"/>
        </w:rPr>
        <w:t xml:space="preserve">在报告期内为减少其碳排放所采取的措施及效果 </w:t>
      </w:r>
      <w:r>
        <w:br/>
      </w:r>
      <w:r>
        <w:rPr>
          <w:rFonts w:ascii="宋体" w:hAnsi="宋体" w:eastAsia="宋体"/>
          <w:b w:val="0"/>
          <w:i w:val="0"/>
          <w:color w:val="000000"/>
          <w:sz w:val="21"/>
        </w:rPr>
        <w:t xml:space="preserve">√是 □否 </w:t>
      </w:r>
    </w:p>
    <w:p>
      <w:pPr>
        <w:autoSpaceDN w:val="0"/>
        <w:autoSpaceDE w:val="0"/>
        <w:widowControl/>
        <w:spacing w:line="460" w:lineRule="exact" w:before="24" w:after="0"/>
        <w:ind w:left="30" w:right="0" w:firstLine="420"/>
        <w:jc w:val="left"/>
      </w:pPr>
      <w:r>
        <w:rPr>
          <w:rFonts w:ascii="宋体" w:hAnsi="宋体" w:eastAsia="宋体"/>
          <w:b w:val="0"/>
          <w:i w:val="0"/>
          <w:color w:val="000000"/>
          <w:sz w:val="21"/>
        </w:rPr>
        <w:t>报告期内，公司积极助推绿色发展战略，树立绿色发展理念，推进绿色金融实践。在绿色运营方面，</w:t>
      </w:r>
      <w:r>
        <w:rPr>
          <w:rFonts w:ascii="宋体" w:hAnsi="宋体" w:eastAsia="宋体"/>
          <w:b w:val="0"/>
          <w:i w:val="0"/>
          <w:color w:val="000000"/>
          <w:sz w:val="21"/>
        </w:rPr>
        <w:t>公司严格遵守《中华人民共和国环境保护法》，强化节能管理，推行绿色办公、绿色采购、低碳出行，开</w:t>
      </w:r>
      <w:r>
        <w:rPr>
          <w:rFonts w:ascii="宋体" w:hAnsi="宋体" w:eastAsia="宋体"/>
          <w:b w:val="0"/>
          <w:i w:val="0"/>
          <w:color w:val="000000"/>
          <w:sz w:val="21"/>
        </w:rPr>
        <w:t>展光盘行动、义务植树、环保宣传等活动，引领绿色生活方式，提升公司全体员工的节能环保意识，将</w:t>
      </w:r>
      <w:r>
        <w:rPr>
          <w:rFonts w:ascii="宋体" w:hAnsi="宋体" w:eastAsia="宋体"/>
          <w:b w:val="0"/>
          <w:i w:val="0"/>
          <w:color w:val="000000"/>
          <w:sz w:val="21"/>
        </w:rPr>
        <w:t>绿色低碳理念全面融入公司运营管理的各个环节。在绿色金融方面，积极筹备碳排放权交易业务，聚焦</w:t>
      </w:r>
      <w:r>
        <w:rPr>
          <w:rFonts w:ascii="宋体" w:hAnsi="宋体" w:eastAsia="宋体"/>
          <w:b w:val="0"/>
          <w:i w:val="0"/>
          <w:color w:val="000000"/>
          <w:sz w:val="21"/>
        </w:rPr>
        <w:t>绿色低碳领域，积极发展绿色债、科创债、低碳转型债等金融产品，大力发展公募REITs、资产证券化等</w:t>
      </w:r>
      <w:r>
        <w:rPr>
          <w:rFonts w:ascii="宋体" w:hAnsi="宋体" w:eastAsia="宋体"/>
          <w:b w:val="0"/>
          <w:i w:val="0"/>
          <w:color w:val="000000"/>
          <w:sz w:val="21"/>
        </w:rPr>
        <w:t>特色融资业务，支持和推动环保、节能、低碳以及清洁能源等领域的发展，引导更多的资金流向绿色产</w:t>
      </w:r>
      <w:r>
        <w:rPr>
          <w:rFonts w:ascii="宋体" w:hAnsi="宋体" w:eastAsia="宋体"/>
          <w:b w:val="0"/>
          <w:i w:val="0"/>
          <w:color w:val="000000"/>
          <w:sz w:val="21"/>
        </w:rPr>
        <w:t>业，助力经济绿色转型。连续第四年发布《2024 山西证券碳中和研究报告合集》，持续跟踪研究山西新能</w:t>
      </w:r>
      <w:r>
        <w:rPr>
          <w:rFonts w:ascii="宋体" w:hAnsi="宋体" w:eastAsia="宋体"/>
          <w:b w:val="0"/>
          <w:i w:val="0"/>
          <w:color w:val="000000"/>
          <w:sz w:val="21"/>
        </w:rPr>
        <w:t>源发展状况，为绿色低碳转型提供智力支持。报告期内，公司连续第四年荣获中国上市公司协会“2024</w:t>
      </w:r>
      <w:r>
        <w:rPr>
          <w:rFonts w:ascii="宋体" w:hAnsi="宋体" w:eastAsia="宋体"/>
          <w:b w:val="0"/>
          <w:i w:val="0"/>
          <w:color w:val="000000"/>
          <w:sz w:val="21"/>
        </w:rPr>
        <w:t>年上市公司可持续发展优秀实践案例”、全景网“杰出ESG 价值传播奖”、国际金融报“绿色先锋案例</w:t>
      </w:r>
      <w:r>
        <w:rPr>
          <w:rFonts w:ascii="宋体" w:hAnsi="宋体" w:eastAsia="宋体"/>
          <w:b w:val="0"/>
          <w:i w:val="0"/>
          <w:color w:val="000000"/>
          <w:sz w:val="21"/>
        </w:rPr>
        <w:t>——绿色债券案例”等多项荣誉，为“好金融”写下绿色底色，全面助力实现“双碳”目标。报告期内，</w:t>
      </w:r>
      <w:r>
        <w:rPr>
          <w:rFonts w:ascii="宋体" w:hAnsi="宋体" w:eastAsia="宋体"/>
          <w:b w:val="0"/>
          <w:i w:val="0"/>
          <w:color w:val="000000"/>
          <w:sz w:val="21"/>
        </w:rPr>
        <w:t>公司为减少碳排放所采取的措施及效果的具体情况见公司于2024 年4 月26 日在巨潮资讯网披露的公司</w:t>
      </w:r>
      <w:r>
        <w:rPr>
          <w:rFonts w:ascii="宋体" w:hAnsi="宋体" w:eastAsia="宋体"/>
          <w:b w:val="0"/>
          <w:i w:val="0"/>
          <w:color w:val="000000"/>
          <w:sz w:val="21"/>
        </w:rPr>
        <w:t xml:space="preserve">《2024 年度可持续发展报告》。 </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二、社会责任情况 </w:t>
      </w:r>
    </w:p>
    <w:p>
      <w:pPr>
        <w:autoSpaceDN w:val="0"/>
        <w:tabs>
          <w:tab w:pos="450" w:val="left"/>
        </w:tabs>
        <w:autoSpaceDE w:val="0"/>
        <w:widowControl/>
        <w:spacing w:line="458" w:lineRule="exact" w:before="270" w:after="0"/>
        <w:ind w:left="30" w:right="144" w:firstLine="0"/>
        <w:jc w:val="left"/>
      </w:pPr>
      <w:r>
        <w:tab/>
      </w:r>
      <w:r>
        <w:rPr>
          <w:rFonts w:ascii="宋体" w:hAnsi="宋体" w:eastAsia="宋体"/>
          <w:b w:val="0"/>
          <w:i w:val="0"/>
          <w:color w:val="000000"/>
          <w:sz w:val="21"/>
        </w:rPr>
        <w:t>公司履行社会责任的具体情况见2025 年4 月26 日巨潮资讯网披露的公司《2024 年度可持续发展报</w:t>
      </w:r>
      <w:r>
        <w:rPr>
          <w:rFonts w:ascii="宋体" w:hAnsi="宋体" w:eastAsia="宋体"/>
          <w:b w:val="0"/>
          <w:i w:val="0"/>
          <w:color w:val="000000"/>
          <w:sz w:val="21"/>
        </w:rPr>
        <w:t xml:space="preserve">告》。 </w:t>
      </w:r>
    </w:p>
    <w:p>
      <w:pPr>
        <w:autoSpaceDN w:val="0"/>
        <w:autoSpaceDE w:val="0"/>
        <w:widowControl/>
        <w:spacing w:line="240" w:lineRule="exact" w:before="416" w:after="0"/>
        <w:ind w:left="30" w:right="0" w:firstLine="0"/>
        <w:jc w:val="left"/>
      </w:pPr>
      <w:r>
        <w:rPr>
          <w:rFonts w:ascii="宋体" w:hAnsi="宋体" w:eastAsia="宋体"/>
          <w:b w:val="0"/>
          <w:i w:val="0"/>
          <w:color w:val="000000"/>
          <w:sz w:val="24"/>
        </w:rPr>
        <w:t xml:space="preserve">三、巩固拓展脱贫攻坚成果、乡村振兴的情况 </w:t>
      </w:r>
    </w:p>
    <w:p>
      <w:pPr>
        <w:autoSpaceDN w:val="0"/>
        <w:autoSpaceDE w:val="0"/>
        <w:widowControl/>
        <w:spacing w:line="210" w:lineRule="exact" w:before="514" w:after="0"/>
        <w:ind w:left="450" w:right="0" w:firstLine="0"/>
        <w:jc w:val="left"/>
      </w:pPr>
      <w:r>
        <w:rPr>
          <w:rFonts w:ascii="宋体" w:hAnsi="宋体" w:eastAsia="宋体"/>
          <w:b w:val="0"/>
          <w:i w:val="0"/>
          <w:color w:val="000000"/>
          <w:sz w:val="21"/>
        </w:rPr>
        <w:t>报告期内，公司依托山西证券公益基金会，持续深化“产业、公益、医疗、智力、消费”五维度帮</w:t>
      </w:r>
    </w:p>
    <w:p>
      <w:pPr>
        <w:autoSpaceDN w:val="0"/>
        <w:autoSpaceDE w:val="0"/>
        <w:widowControl/>
        <w:spacing w:line="197" w:lineRule="auto" w:before="640" w:after="0"/>
        <w:ind w:left="0" w:right="4874" w:firstLine="0"/>
        <w:jc w:val="right"/>
      </w:pPr>
      <w:r>
        <w:rPr>
          <w:rFonts w:ascii="Calibri" w:hAnsi="Calibri" w:eastAsia="Calibri"/>
          <w:b w:val="0"/>
          <w:i w:val="0"/>
          <w:color w:val="000000"/>
          <w:sz w:val="18"/>
        </w:rPr>
        <w:t xml:space="preserve">106 </w:t>
      </w:r>
    </w:p>
    <w:p>
      <w:pPr>
        <w:sectPr>
          <w:type w:val="continuous"/>
          <w:pgSz w:w="11904" w:h="16841"/>
          <w:pgMar w:top="424" w:right="902"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900"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09" name="Picture 10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200" w:lineRule="exact" w:before="0" w:after="30"/>
        <w:ind w:left="0" w:right="2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00" w:bottom="446" w:left="1104" w:header="720" w:footer="720" w:gutter="0"/>
          <w:cols w:num="2" w:equalWidth="0">
            <w:col w:w="5436" w:space="0"/>
            <w:col w:w="4464" w:space="0"/>
          </w:cols>
          <w:docGrid w:linePitch="360"/>
        </w:sectPr>
      </w:pPr>
    </w:p>
    <w:p>
      <w:pPr>
        <w:autoSpaceDN w:val="0"/>
        <w:autoSpaceDE w:val="0"/>
        <w:widowControl/>
        <w:spacing w:line="436" w:lineRule="exact" w:before="0" w:after="0"/>
        <w:ind w:left="30" w:right="144" w:firstLine="0"/>
        <w:jc w:val="left"/>
      </w:pPr>
      <w:r>
        <w:rPr>
          <w:rFonts w:ascii="宋体" w:hAnsi="宋体" w:eastAsia="宋体"/>
          <w:b w:val="0"/>
          <w:i w:val="0"/>
          <w:color w:val="000000"/>
          <w:sz w:val="21"/>
        </w:rPr>
        <w:t>扶机制，向山西省汾西县、代县、娄烦县、平陆县和云南省沧源佤族自治县五个“一司一县”结对帮扶</w:t>
      </w:r>
      <w:r>
        <w:rPr>
          <w:rFonts w:ascii="宋体" w:hAnsi="宋体" w:eastAsia="宋体"/>
          <w:b w:val="0"/>
          <w:i w:val="0"/>
          <w:color w:val="000000"/>
          <w:sz w:val="21"/>
        </w:rPr>
        <w:t xml:space="preserve">县域捐赠资金及物资共计313.2 万元，支持县域经济发展，巩固拓展脱贫攻坚成果，助力乡村振兴。 </w:t>
      </w:r>
    </w:p>
    <w:p>
      <w:pPr>
        <w:autoSpaceDN w:val="0"/>
        <w:autoSpaceDE w:val="0"/>
        <w:widowControl/>
        <w:spacing w:line="460" w:lineRule="exact" w:before="0" w:after="0"/>
        <w:ind w:left="30" w:right="230" w:firstLine="420"/>
        <w:jc w:val="both"/>
      </w:pPr>
      <w:r>
        <w:rPr>
          <w:rFonts w:ascii="宋体" w:hAnsi="宋体" w:eastAsia="宋体"/>
          <w:b w:val="0"/>
          <w:i w:val="0"/>
          <w:color w:val="000000"/>
          <w:sz w:val="21"/>
        </w:rPr>
        <w:t>报告期内，公司持续为帮扶地区产业发展提供差异化金融服务。跟踪服务新三板挂牌企业山西省大</w:t>
      </w:r>
      <w:r>
        <w:rPr>
          <w:rFonts w:ascii="宋体" w:hAnsi="宋体" w:eastAsia="宋体"/>
          <w:b w:val="0"/>
          <w:i w:val="0"/>
          <w:color w:val="000000"/>
          <w:sz w:val="21"/>
        </w:rPr>
        <w:t>同市云州区华青环保股份有限公司定向增发募集资金 600 万元。辅导注册地在脱贫地区的山西驰拓新能</w:t>
      </w:r>
      <w:r>
        <w:rPr>
          <w:rFonts w:ascii="宋体" w:hAnsi="宋体" w:eastAsia="宋体"/>
          <w:b w:val="0"/>
          <w:i w:val="0"/>
          <w:color w:val="000000"/>
          <w:sz w:val="21"/>
        </w:rPr>
        <w:t>源股份有限公司和山西博涵文化旅游开发股份有限公司等2 家企业完成股份制改造，挂牌山西股权交易</w:t>
      </w:r>
      <w:r>
        <w:rPr>
          <w:rFonts w:ascii="宋体" w:hAnsi="宋体" w:eastAsia="宋体"/>
          <w:b w:val="0"/>
          <w:i w:val="0"/>
          <w:color w:val="000000"/>
          <w:sz w:val="21"/>
        </w:rPr>
        <w:t>中心。设立发行“乡村振兴”资产证券化产品，助推河南省农产品销售和畜牧业发展。投行子公司中德</w:t>
      </w:r>
      <w:r>
        <w:rPr>
          <w:rFonts w:ascii="宋体" w:hAnsi="宋体" w:eastAsia="宋体"/>
          <w:b w:val="0"/>
          <w:i w:val="0"/>
          <w:color w:val="000000"/>
          <w:sz w:val="21"/>
        </w:rPr>
        <w:t>证券执行了许昌市城投发展集团有限公司乡村振兴公司债券（第一期）的发行，助力当地县域改善乡村</w:t>
      </w:r>
      <w:r>
        <w:rPr>
          <w:rFonts w:ascii="宋体" w:hAnsi="宋体" w:eastAsia="宋体"/>
          <w:b w:val="0"/>
          <w:i w:val="0"/>
          <w:color w:val="000000"/>
          <w:sz w:val="21"/>
        </w:rPr>
        <w:t>基础设施，促进城乡融合发展。期货子公司格林大华继在山西省汾西县、代县、娄烦县分别开展玉米、</w:t>
      </w:r>
      <w:r>
        <w:rPr>
          <w:rFonts w:ascii="宋体" w:hAnsi="宋体" w:eastAsia="宋体"/>
          <w:b w:val="0"/>
          <w:i w:val="0"/>
          <w:color w:val="000000"/>
          <w:sz w:val="21"/>
        </w:rPr>
        <w:t>生猪和鸡蛋“保险+期货”乡村振兴特色帮扶项目后，持续扩大区域覆盖面，在山西省吕梁市和平陆县开</w:t>
      </w:r>
      <w:r>
        <w:rPr>
          <w:rFonts w:ascii="宋体" w:hAnsi="宋体" w:eastAsia="宋体"/>
          <w:b w:val="0"/>
          <w:i w:val="0"/>
          <w:color w:val="000000"/>
          <w:sz w:val="21"/>
        </w:rPr>
        <w:t xml:space="preserve">展了生猪和苹果“保险+期货”项目，并落地山西省内首单尿素“保险+期货”业务。 </w:t>
      </w:r>
    </w:p>
    <w:p>
      <w:pPr>
        <w:autoSpaceDN w:val="0"/>
        <w:autoSpaceDE w:val="0"/>
        <w:widowControl/>
        <w:spacing w:line="460" w:lineRule="exact" w:before="0" w:after="0"/>
        <w:ind w:left="30" w:right="0" w:firstLine="420"/>
        <w:jc w:val="left"/>
      </w:pPr>
      <w:r>
        <w:rPr>
          <w:rFonts w:ascii="宋体" w:hAnsi="宋体" w:eastAsia="宋体"/>
          <w:b w:val="0"/>
          <w:i w:val="0"/>
          <w:color w:val="000000"/>
          <w:sz w:val="21"/>
        </w:rPr>
        <w:t>报告期内，公司定向资助山西省代县中学、汾西县一中、云南省沧源县民族中学的150 名自强班学</w:t>
      </w:r>
      <w:r>
        <w:rPr>
          <w:rFonts w:ascii="宋体" w:hAnsi="宋体" w:eastAsia="宋体"/>
          <w:b w:val="0"/>
          <w:i w:val="0"/>
          <w:color w:val="000000"/>
          <w:sz w:val="21"/>
        </w:rPr>
        <w:t>生30 万元。对考入大学的126 名自强班学生实施“伴飞计划”，资助28.6 万元。资助山西省平陆县老</w:t>
      </w:r>
      <w:r>
        <w:rPr>
          <w:rFonts w:ascii="宋体" w:hAnsi="宋体" w:eastAsia="宋体"/>
          <w:b w:val="0"/>
          <w:i w:val="0"/>
          <w:color w:val="000000"/>
          <w:sz w:val="21"/>
        </w:rPr>
        <w:t>城中心校10 万元升级改造阅览室，同时联合公司金融图书馆发起“共沐书香 成就梦想”爱心捐书活动，</w:t>
      </w:r>
      <w:r>
        <w:rPr>
          <w:rFonts w:ascii="宋体" w:hAnsi="宋体" w:eastAsia="宋体"/>
          <w:b w:val="0"/>
          <w:i w:val="0"/>
          <w:color w:val="000000"/>
          <w:sz w:val="21"/>
        </w:rPr>
        <w:t xml:space="preserve">捐赠各类图书共计2800 余册。 </w:t>
      </w:r>
    </w:p>
    <w:p>
      <w:pPr>
        <w:autoSpaceDN w:val="0"/>
        <w:autoSpaceDE w:val="0"/>
        <w:widowControl/>
        <w:spacing w:line="460" w:lineRule="exact" w:before="2" w:after="0"/>
        <w:ind w:left="30" w:right="228" w:firstLine="420"/>
        <w:jc w:val="both"/>
      </w:pPr>
      <w:r>
        <w:rPr>
          <w:rFonts w:ascii="宋体" w:hAnsi="宋体" w:eastAsia="宋体"/>
          <w:b w:val="0"/>
          <w:i w:val="0"/>
          <w:color w:val="000000"/>
          <w:sz w:val="21"/>
        </w:rPr>
        <w:t>报告期内，公司资助山西省代县妇幼保健服务中心15 万元，用于完善帮扶县域内全体居民的超声诊</w:t>
      </w:r>
      <w:r>
        <w:rPr>
          <w:rFonts w:ascii="宋体" w:hAnsi="宋体" w:eastAsia="宋体"/>
          <w:b w:val="0"/>
          <w:i w:val="0"/>
          <w:color w:val="000000"/>
          <w:sz w:val="21"/>
        </w:rPr>
        <w:t>疗服务设备，推进县域妇幼保健、医疗卫生事业的健康发展。资助山西省代县西段景村15 万元，用于改</w:t>
      </w:r>
      <w:r>
        <w:rPr>
          <w:rFonts w:ascii="宋体" w:hAnsi="宋体" w:eastAsia="宋体"/>
          <w:b w:val="0"/>
          <w:i w:val="0"/>
          <w:color w:val="000000"/>
          <w:sz w:val="21"/>
        </w:rPr>
        <w:t>造日间照料中心，设置多功能活动室、图书阅览室、餐厅、洗漱沐浴间等，改善帮扶地区老人的生活质</w:t>
      </w:r>
      <w:r>
        <w:rPr>
          <w:rFonts w:ascii="宋体" w:hAnsi="宋体" w:eastAsia="宋体"/>
          <w:b w:val="0"/>
          <w:i w:val="0"/>
          <w:color w:val="000000"/>
          <w:sz w:val="21"/>
        </w:rPr>
        <w:t xml:space="preserve">量。公司联合山西证监局慰问山西省娄烦县帮扶户，为353 户村民捐赠5 万元生活用品。 </w:t>
      </w:r>
    </w:p>
    <w:p>
      <w:pPr>
        <w:autoSpaceDN w:val="0"/>
        <w:autoSpaceDE w:val="0"/>
        <w:widowControl/>
        <w:spacing w:line="460" w:lineRule="exact" w:before="0" w:after="0"/>
        <w:ind w:left="30" w:right="228" w:firstLine="420"/>
        <w:jc w:val="both"/>
      </w:pPr>
      <w:r>
        <w:rPr>
          <w:rFonts w:ascii="宋体" w:hAnsi="宋体" w:eastAsia="宋体"/>
          <w:b w:val="0"/>
          <w:i w:val="0"/>
          <w:color w:val="000000"/>
          <w:sz w:val="21"/>
        </w:rPr>
        <w:t>报告期内，公司资助山西省代县太和岭口村5 万元用于荒滩荒涂改造，在2023 年建成20 余亩高标</w:t>
      </w:r>
      <w:r>
        <w:rPr>
          <w:rFonts w:ascii="宋体" w:hAnsi="宋体" w:eastAsia="宋体"/>
          <w:b w:val="0"/>
          <w:i w:val="0"/>
          <w:color w:val="000000"/>
          <w:sz w:val="21"/>
        </w:rPr>
        <w:t>准农田的基础上继续扩建10 亩，作为村级集体土地集中种植粮食、蔬菜等有机作物，服务空巢老人、五</w:t>
      </w:r>
      <w:r>
        <w:rPr>
          <w:rFonts w:ascii="宋体" w:hAnsi="宋体" w:eastAsia="宋体"/>
          <w:b w:val="0"/>
          <w:i w:val="0"/>
          <w:color w:val="000000"/>
          <w:sz w:val="21"/>
        </w:rPr>
        <w:t xml:space="preserve">保户家庭、留守儿童以及小学学生。 </w:t>
      </w:r>
    </w:p>
    <w:p>
      <w:pPr>
        <w:autoSpaceDN w:val="0"/>
        <w:autoSpaceDE w:val="0"/>
        <w:widowControl/>
        <w:spacing w:line="460" w:lineRule="exact" w:before="0" w:after="0"/>
        <w:ind w:left="30" w:right="232" w:firstLine="420"/>
        <w:jc w:val="both"/>
      </w:pPr>
      <w:r>
        <w:rPr>
          <w:rFonts w:ascii="宋体" w:hAnsi="宋体" w:eastAsia="宋体"/>
          <w:b w:val="0"/>
          <w:i w:val="0"/>
          <w:color w:val="000000"/>
          <w:sz w:val="21"/>
        </w:rPr>
        <w:t>报告期内，公司联合中央美术学院，继建设完成帮扶示范项目“代县彩塑研习基地”后，持续资助</w:t>
      </w:r>
      <w:r>
        <w:rPr>
          <w:rFonts w:ascii="宋体" w:hAnsi="宋体" w:eastAsia="宋体"/>
          <w:b w:val="0"/>
          <w:i w:val="0"/>
          <w:color w:val="000000"/>
          <w:sz w:val="21"/>
        </w:rPr>
        <w:t>15 万元，用于基地场所优化升级、教学设备配备、人员技能培训等事项，为基地长远发展与文化技艺传</w:t>
      </w:r>
      <w:r>
        <w:rPr>
          <w:rFonts w:ascii="宋体" w:hAnsi="宋体" w:eastAsia="宋体"/>
          <w:b w:val="0"/>
          <w:i w:val="0"/>
          <w:color w:val="000000"/>
          <w:sz w:val="21"/>
        </w:rPr>
        <w:t xml:space="preserve">承铺就坚实基石。 </w:t>
      </w:r>
    </w:p>
    <w:p>
      <w:pPr>
        <w:autoSpaceDN w:val="0"/>
        <w:tabs>
          <w:tab w:pos="450" w:val="left"/>
        </w:tabs>
        <w:autoSpaceDE w:val="0"/>
        <w:widowControl/>
        <w:spacing w:line="458" w:lineRule="exact" w:before="2" w:after="0"/>
        <w:ind w:left="30" w:right="144" w:firstLine="0"/>
        <w:jc w:val="left"/>
      </w:pPr>
      <w:r>
        <w:tab/>
      </w:r>
      <w:r>
        <w:rPr>
          <w:rFonts w:ascii="宋体" w:hAnsi="宋体" w:eastAsia="宋体"/>
          <w:b w:val="0"/>
          <w:i w:val="0"/>
          <w:color w:val="000000"/>
          <w:sz w:val="21"/>
        </w:rPr>
        <w:t>报告期内，公司投入80 余万元，采购定点帮扶县的茶叶、小米、粗粮、蜂蜜等农特产品，助力农民</w:t>
      </w:r>
      <w:r>
        <w:rPr>
          <w:rFonts w:ascii="宋体" w:hAnsi="宋体" w:eastAsia="宋体"/>
          <w:b w:val="0"/>
          <w:i w:val="0"/>
          <w:color w:val="000000"/>
          <w:sz w:val="21"/>
        </w:rPr>
        <w:t xml:space="preserve">增收。 </w:t>
      </w:r>
    </w:p>
    <w:p>
      <w:pPr>
        <w:autoSpaceDN w:val="0"/>
        <w:autoSpaceDE w:val="0"/>
        <w:widowControl/>
        <w:spacing w:line="460" w:lineRule="exact" w:before="2" w:after="0"/>
        <w:ind w:left="30" w:right="236" w:firstLine="420"/>
        <w:jc w:val="both"/>
      </w:pPr>
      <w:r>
        <w:rPr>
          <w:rFonts w:ascii="宋体" w:hAnsi="宋体" w:eastAsia="宋体"/>
          <w:b w:val="0"/>
          <w:i w:val="0"/>
          <w:color w:val="000000"/>
          <w:sz w:val="21"/>
        </w:rPr>
        <w:t>公司开展的一系列帮扶举措为乡村振兴战略在帮扶地区落地生根打下了坚实基础。未来，公司还将</w:t>
      </w:r>
      <w:r>
        <w:rPr>
          <w:rFonts w:ascii="宋体" w:hAnsi="宋体" w:eastAsia="宋体"/>
          <w:b w:val="0"/>
          <w:i w:val="0"/>
          <w:color w:val="000000"/>
          <w:sz w:val="21"/>
        </w:rPr>
        <w:t>根据结对帮扶县域实际，坚持“好金融”理念，继续优化帮扶模式，拓展和延伸帮扶深度和广度，为实</w:t>
      </w:r>
      <w:r>
        <w:rPr>
          <w:rFonts w:ascii="宋体" w:hAnsi="宋体" w:eastAsia="宋体"/>
          <w:b w:val="0"/>
          <w:i w:val="0"/>
          <w:color w:val="000000"/>
          <w:sz w:val="21"/>
        </w:rPr>
        <w:t xml:space="preserve">现共同富裕贡献力量。 </w:t>
      </w:r>
    </w:p>
    <w:p>
      <w:pPr>
        <w:autoSpaceDN w:val="0"/>
        <w:autoSpaceDE w:val="0"/>
        <w:widowControl/>
        <w:spacing w:line="197" w:lineRule="auto" w:before="862" w:after="0"/>
        <w:ind w:left="0" w:right="4876" w:firstLine="0"/>
        <w:jc w:val="right"/>
      </w:pPr>
      <w:r>
        <w:rPr>
          <w:rFonts w:ascii="Calibri" w:hAnsi="Calibri" w:eastAsia="Calibri"/>
          <w:b w:val="0"/>
          <w:i w:val="0"/>
          <w:color w:val="000000"/>
          <w:sz w:val="18"/>
        </w:rPr>
        <w:t xml:space="preserve">107 </w:t>
      </w:r>
    </w:p>
    <w:p>
      <w:pPr>
        <w:sectPr>
          <w:type w:val="continuous"/>
          <w:pgSz w:w="11904" w:h="16841"/>
          <w:pgMar w:top="424" w:right="900"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398" w:bottom="446" w:left="418" w:header="720" w:footer="720" w:gutter="0"/>
          <w:cols/>
          <w:docGrid w:linePitch="360"/>
        </w:sectPr>
      </w:pPr>
    </w:p>
    <w:p>
      <w:pPr>
        <w:autoSpaceDN w:val="0"/>
        <w:autoSpaceDE w:val="0"/>
        <w:widowControl/>
        <w:spacing w:line="240" w:lineRule="auto" w:before="0" w:after="0"/>
        <w:ind w:left="716" w:right="0" w:firstLine="0"/>
        <w:jc w:val="left"/>
      </w:pPr>
      <w:r>
        <w:drawing>
          <wp:inline xmlns:a="http://schemas.openxmlformats.org/drawingml/2006/main" xmlns:pic="http://schemas.openxmlformats.org/drawingml/2006/picture">
            <wp:extent cx="1844039" cy="439419"/>
            <wp:docPr id="110" name="Picture 1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98" w:bottom="446" w:left="418" w:header="720" w:footer="720" w:gutter="0"/>
          <w:cols w:num="2" w:equalWidth="0">
            <w:col w:w="6122" w:space="0"/>
            <w:col w:w="4965" w:space="0"/>
          </w:cols>
          <w:docGrid w:linePitch="360"/>
        </w:sectPr>
      </w:pPr>
    </w:p>
    <w:p>
      <w:pPr>
        <w:autoSpaceDN w:val="0"/>
        <w:autoSpaceDE w:val="0"/>
        <w:widowControl/>
        <w:spacing w:line="200" w:lineRule="exact" w:before="0" w:after="30"/>
        <w:ind w:left="0" w:right="75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98" w:bottom="446" w:left="418" w:header="720" w:footer="720" w:gutter="0"/>
          <w:cols w:num="2" w:equalWidth="0">
            <w:col w:w="6122" w:space="0"/>
            <w:col w:w="4965" w:space="0"/>
          </w:cols>
          <w:docGrid w:linePitch="360"/>
        </w:sectPr>
      </w:pPr>
    </w:p>
    <w:p>
      <w:pPr>
        <w:autoSpaceDN w:val="0"/>
        <w:autoSpaceDE w:val="0"/>
        <w:widowControl/>
        <w:spacing w:line="320" w:lineRule="exact" w:before="356" w:after="0"/>
        <w:ind w:left="0" w:right="0" w:firstLine="0"/>
        <w:jc w:val="center"/>
      </w:pPr>
      <w:r>
        <w:rPr>
          <w:rFonts w:ascii="宋体" w:hAnsi="宋体" w:eastAsia="宋体"/>
          <w:b w:val="0"/>
          <w:i w:val="0"/>
          <w:color w:val="000000"/>
          <w:sz w:val="32"/>
        </w:rPr>
        <w:t xml:space="preserve">第六节 重要事项 </w:t>
      </w:r>
    </w:p>
    <w:p>
      <w:pPr>
        <w:autoSpaceDN w:val="0"/>
        <w:autoSpaceDE w:val="0"/>
        <w:widowControl/>
        <w:spacing w:line="240" w:lineRule="exact" w:before="490" w:after="0"/>
        <w:ind w:left="716" w:right="0" w:firstLine="0"/>
        <w:jc w:val="left"/>
      </w:pPr>
      <w:r>
        <w:rPr>
          <w:rFonts w:ascii="宋体" w:hAnsi="宋体" w:eastAsia="宋体"/>
          <w:b w:val="0"/>
          <w:i w:val="0"/>
          <w:color w:val="000000"/>
          <w:sz w:val="24"/>
        </w:rPr>
        <w:t xml:space="preserve">一、承诺事项履行情况 </w:t>
      </w:r>
    </w:p>
    <w:p>
      <w:pPr>
        <w:autoSpaceDN w:val="0"/>
        <w:autoSpaceDE w:val="0"/>
        <w:widowControl/>
        <w:spacing w:line="212" w:lineRule="exact" w:before="372" w:after="0"/>
        <w:ind w:left="716" w:right="0" w:firstLine="0"/>
        <w:jc w:val="left"/>
      </w:pPr>
      <w:r>
        <w:rPr>
          <w:rFonts w:ascii="宋体" w:hAnsi="宋体" w:eastAsia="宋体"/>
          <w:b w:val="0"/>
          <w:i w:val="0"/>
          <w:color w:val="000000"/>
          <w:sz w:val="21"/>
        </w:rPr>
        <w:t>1、公司实际控制人、股东、关联方、收购人以及公司等承诺相关方在报告期内履行完毕及截至报告期</w:t>
      </w:r>
    </w:p>
    <w:p>
      <w:pPr>
        <w:autoSpaceDN w:val="0"/>
        <w:autoSpaceDE w:val="0"/>
        <w:widowControl/>
        <w:spacing w:line="210" w:lineRule="exact" w:before="68" w:after="328"/>
        <w:ind w:left="716" w:right="0" w:firstLine="0"/>
        <w:jc w:val="left"/>
      </w:pPr>
      <w:r>
        <w:rPr>
          <w:rFonts w:ascii="宋体" w:hAnsi="宋体" w:eastAsia="宋体"/>
          <w:b w:val="0"/>
          <w:i w:val="0"/>
          <w:color w:val="000000"/>
          <w:sz w:val="21"/>
        </w:rPr>
        <w:t xml:space="preserve">末尚未履行完毕的承诺事项 </w:t>
      </w:r>
    </w:p>
    <w:tbl>
      <w:tblPr>
        <w:tblW w:type="auto" w:w="0"/>
        <w:tblLayout w:type="fixed"/>
        <w:tblLook w:firstColumn="1" w:firstRow="1" w:lastColumn="0" w:lastRow="0" w:noHBand="0" w:noVBand="1" w:val="04A0"/>
        <w:tblInd w:w="4.000000000000057" w:type="dxa"/>
      </w:tblPr>
      <w:tblGrid>
        <w:gridCol w:w="1584"/>
        <w:gridCol w:w="1584"/>
        <w:gridCol w:w="1584"/>
        <w:gridCol w:w="1584"/>
        <w:gridCol w:w="1584"/>
        <w:gridCol w:w="1584"/>
        <w:gridCol w:w="1584"/>
      </w:tblGrid>
      <w:tr>
        <w:trPr>
          <w:trHeight w:hRule="exact" w:val="472"/>
        </w:trPr>
        <w:tc>
          <w:tcPr>
            <w:tcW w:type="dxa" w:w="1274"/>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承诺事由</w:t>
            </w:r>
          </w:p>
        </w:tc>
        <w:tc>
          <w:tcPr>
            <w:tcW w:type="dxa" w:w="998"/>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承诺方</w:t>
            </w:r>
          </w:p>
        </w:tc>
        <w:tc>
          <w:tcPr>
            <w:tcW w:type="dxa" w:w="844"/>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承诺类型</w:t>
            </w:r>
          </w:p>
        </w:tc>
        <w:tc>
          <w:tcPr>
            <w:tcW w:type="dxa" w:w="3966"/>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承诺内容</w:t>
            </w:r>
          </w:p>
        </w:tc>
        <w:tc>
          <w:tcPr>
            <w:tcW w:type="dxa" w:w="992"/>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承诺时间</w:t>
            </w:r>
          </w:p>
        </w:tc>
        <w:tc>
          <w:tcPr>
            <w:tcW w:type="dxa" w:w="1132"/>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承诺期限</w:t>
            </w:r>
          </w:p>
        </w:tc>
        <w:tc>
          <w:tcPr>
            <w:tcW w:type="dxa" w:w="1852"/>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180" w:lineRule="exact" w:before="166" w:after="0"/>
              <w:ind w:left="0" w:right="0" w:firstLine="0"/>
              <w:jc w:val="center"/>
            </w:pPr>
            <w:r>
              <w:rPr>
                <w:rFonts w:ascii="宋体" w:hAnsi="宋体" w:eastAsia="宋体"/>
                <w:b w:val="0"/>
                <w:i w:val="0"/>
                <w:color w:val="000000"/>
                <w:sz w:val="18"/>
              </w:rPr>
              <w:t>履行情况</w:t>
            </w:r>
          </w:p>
        </w:tc>
      </w:tr>
      <w:tr>
        <w:trPr>
          <w:trHeight w:hRule="exact" w:val="1810"/>
        </w:trPr>
        <w:tc>
          <w:tcPr>
            <w:tcW w:type="dxa" w:w="1274"/>
            <w:vMerge w:val="restart"/>
            <w:tcBorders>
              <w:start w:sz="4.0" w:val="single" w:color="#000000"/>
              <w:top w:sz="4.0" w:val="single" w:color="#000000"/>
              <w:end w:sz="4.0" w:val="single" w:color="#000000"/>
            </w:tcBorders>
            <w:shd w:fill="e4dfeb"/>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4" w:lineRule="exact" w:before="3770" w:after="0"/>
              <w:ind w:left="24" w:right="158" w:firstLine="0"/>
              <w:jc w:val="both"/>
            </w:pPr>
            <w:r>
              <w:rPr>
                <w:rFonts w:ascii="宋体" w:hAnsi="宋体" w:eastAsia="宋体"/>
                <w:b w:val="0"/>
                <w:i w:val="0"/>
                <w:color w:val="000000"/>
                <w:sz w:val="18"/>
              </w:rPr>
              <w:t>收购报告书或</w:t>
            </w:r>
            <w:r>
              <w:rPr>
                <w:rFonts w:ascii="宋体" w:hAnsi="宋体" w:eastAsia="宋体"/>
                <w:b w:val="0"/>
                <w:i w:val="0"/>
                <w:color w:val="000000"/>
                <w:sz w:val="18"/>
              </w:rPr>
              <w:t>权益变动报告</w:t>
            </w:r>
            <w:r>
              <w:rPr>
                <w:rFonts w:ascii="宋体" w:hAnsi="宋体" w:eastAsia="宋体"/>
                <w:b w:val="0"/>
                <w:i w:val="0"/>
                <w:color w:val="000000"/>
                <w:sz w:val="18"/>
              </w:rPr>
              <w:t>书中所作承诺</w:t>
            </w:r>
          </w:p>
        </w:tc>
        <w:tc>
          <w:tcPr>
            <w:tcW w:type="dxa" w:w="9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836" w:after="0"/>
              <w:ind w:left="24" w:right="0" w:firstLine="0"/>
              <w:jc w:val="left"/>
            </w:pPr>
            <w:r>
              <w:rPr>
                <w:rFonts w:ascii="宋体" w:hAnsi="宋体" w:eastAsia="宋体"/>
                <w:b w:val="0"/>
                <w:i w:val="0"/>
                <w:color w:val="000000"/>
                <w:sz w:val="18"/>
              </w:rPr>
              <w:t>太钢集团</w:t>
            </w:r>
          </w:p>
        </w:tc>
        <w:tc>
          <w:tcPr>
            <w:tcW w:type="dxa" w:w="8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416" w:after="0"/>
              <w:ind w:left="24" w:right="92" w:firstLine="0"/>
              <w:jc w:val="both"/>
            </w:pPr>
            <w:r>
              <w:rPr>
                <w:rFonts w:ascii="宋体" w:hAnsi="宋体" w:eastAsia="宋体"/>
                <w:b w:val="0"/>
                <w:i w:val="0"/>
                <w:color w:val="000000"/>
                <w:sz w:val="18"/>
              </w:rPr>
              <w:t>关于规范</w:t>
            </w:r>
            <w:r>
              <w:rPr>
                <w:rFonts w:ascii="宋体" w:hAnsi="宋体" w:eastAsia="宋体"/>
                <w:b w:val="0"/>
                <w:i w:val="0"/>
                <w:color w:val="000000"/>
                <w:sz w:val="18"/>
              </w:rPr>
              <w:t>关联交易</w:t>
            </w:r>
            <w:r>
              <w:rPr>
                <w:rFonts w:ascii="宋体" w:hAnsi="宋体" w:eastAsia="宋体"/>
                <w:b w:val="0"/>
                <w:i w:val="0"/>
                <w:color w:val="000000"/>
                <w:sz w:val="18"/>
              </w:rPr>
              <w:t>的承诺</w:t>
            </w:r>
          </w:p>
        </w:tc>
        <w:tc>
          <w:tcPr>
            <w:tcW w:type="dxa" w:w="39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264" w:after="0"/>
              <w:ind w:left="24" w:right="150" w:firstLine="0"/>
              <w:jc w:val="both"/>
            </w:pPr>
            <w:r>
              <w:rPr>
                <w:rFonts w:ascii="宋体" w:hAnsi="宋体" w:eastAsia="宋体"/>
                <w:b w:val="0"/>
                <w:i w:val="0"/>
                <w:color w:val="000000"/>
                <w:sz w:val="18"/>
              </w:rPr>
              <w:t>太原钢铁（集团）有限公司及其附属公司、参股</w:t>
            </w:r>
            <w:r>
              <w:rPr>
                <w:rFonts w:ascii="宋体" w:hAnsi="宋体" w:eastAsia="宋体"/>
                <w:b w:val="0"/>
                <w:i w:val="0"/>
                <w:color w:val="000000"/>
                <w:sz w:val="18"/>
              </w:rPr>
              <w:t>公司将遵循公开、公平、公正的原则及公允、合</w:t>
            </w:r>
            <w:r>
              <w:rPr>
                <w:rFonts w:ascii="宋体" w:hAnsi="宋体" w:eastAsia="宋体"/>
                <w:b w:val="0"/>
                <w:i w:val="0"/>
                <w:color w:val="000000"/>
                <w:sz w:val="18"/>
              </w:rPr>
              <w:t>理的市场价格与公司进行交易，根据相关规定履</w:t>
            </w:r>
            <w:r>
              <w:rPr>
                <w:rFonts w:ascii="宋体" w:hAnsi="宋体" w:eastAsia="宋体"/>
                <w:b w:val="0"/>
                <w:i w:val="0"/>
                <w:color w:val="000000"/>
                <w:sz w:val="18"/>
              </w:rPr>
              <w:t>行关联交易决策程序，履行信息披露义务。</w:t>
            </w:r>
          </w:p>
        </w:tc>
        <w:tc>
          <w:tcPr>
            <w:tcW w:type="dxa" w:w="9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856" w:after="0"/>
              <w:ind w:left="0" w:right="0" w:firstLine="0"/>
              <w:jc w:val="center"/>
            </w:pPr>
            <w:r>
              <w:rPr>
                <w:rFonts w:ascii="Calibri" w:hAnsi="Calibri" w:eastAsia="Calibri"/>
                <w:b w:val="0"/>
                <w:i w:val="0"/>
                <w:color w:val="000000"/>
                <w:sz w:val="18"/>
              </w:rPr>
              <w:t xml:space="preserve">2012.10.18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836" w:after="0"/>
              <w:ind w:left="0" w:right="0" w:firstLine="0"/>
              <w:jc w:val="center"/>
            </w:pPr>
            <w:r>
              <w:rPr>
                <w:rFonts w:ascii="宋体" w:hAnsi="宋体" w:eastAsia="宋体"/>
                <w:b w:val="0"/>
                <w:i w:val="0"/>
                <w:color w:val="000000"/>
                <w:sz w:val="18"/>
              </w:rPr>
              <w:t>长期</w:t>
            </w:r>
          </w:p>
        </w:tc>
        <w:tc>
          <w:tcPr>
            <w:tcW w:type="dxa" w:w="1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0" w:after="0"/>
              <w:ind w:left="26" w:right="198" w:firstLine="0"/>
              <w:jc w:val="both"/>
            </w:pPr>
            <w:r>
              <w:rPr>
                <w:rFonts w:ascii="宋体" w:hAnsi="宋体" w:eastAsia="宋体"/>
                <w:b w:val="0"/>
                <w:i w:val="0"/>
                <w:color w:val="000000"/>
                <w:sz w:val="18"/>
              </w:rPr>
              <w:t>报告期内，太原钢铁</w:t>
            </w:r>
            <w:r>
              <w:rPr>
                <w:rFonts w:ascii="宋体" w:hAnsi="宋体" w:eastAsia="宋体"/>
                <w:b w:val="0"/>
                <w:i w:val="0"/>
                <w:color w:val="000000"/>
                <w:sz w:val="18"/>
              </w:rPr>
              <w:t>（集团）有限公司及</w:t>
            </w:r>
            <w:r>
              <w:rPr>
                <w:rFonts w:ascii="宋体" w:hAnsi="宋体" w:eastAsia="宋体"/>
                <w:b w:val="0"/>
                <w:i w:val="0"/>
                <w:color w:val="000000"/>
                <w:sz w:val="18"/>
              </w:rPr>
              <w:t>其附属公司、参股公</w:t>
            </w:r>
            <w:r>
              <w:rPr>
                <w:rFonts w:ascii="宋体" w:hAnsi="宋体" w:eastAsia="宋体"/>
                <w:b w:val="0"/>
                <w:i w:val="0"/>
                <w:color w:val="000000"/>
                <w:sz w:val="18"/>
              </w:rPr>
              <w:t>司按照《关于规范关</w:t>
            </w:r>
            <w:r>
              <w:rPr>
                <w:rFonts w:ascii="宋体" w:hAnsi="宋体" w:eastAsia="宋体"/>
                <w:b w:val="0"/>
                <w:i w:val="0"/>
                <w:color w:val="000000"/>
                <w:sz w:val="18"/>
              </w:rPr>
              <w:t>联交易的承诺函》中</w:t>
            </w:r>
            <w:r>
              <w:rPr>
                <w:rFonts w:ascii="宋体" w:hAnsi="宋体" w:eastAsia="宋体"/>
                <w:b w:val="0"/>
                <w:i w:val="0"/>
                <w:color w:val="000000"/>
                <w:sz w:val="18"/>
              </w:rPr>
              <w:t>的规定履行义务。</w:t>
            </w:r>
          </w:p>
        </w:tc>
      </w:tr>
      <w:tr>
        <w:trPr>
          <w:trHeight w:hRule="exact" w:val="1814"/>
        </w:trPr>
        <w:tc>
          <w:tcPr>
            <w:tcW w:type="dxa" w:w="1584"/>
            <w:vMerge/>
            <w:tcBorders>
              <w:start w:sz="4.0" w:val="single" w:color="#000000"/>
              <w:top w:sz="4.0" w:val="single" w:color="#000000"/>
              <w:end w:sz="4.0" w:val="single" w:color="#000000"/>
            </w:tcBorders>
          </w:tcPr>
          <w:p/>
        </w:tc>
        <w:tc>
          <w:tcPr>
            <w:tcW w:type="dxa" w:w="9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838" w:after="0"/>
              <w:ind w:left="24" w:right="0" w:firstLine="0"/>
              <w:jc w:val="left"/>
            </w:pPr>
            <w:r>
              <w:rPr>
                <w:rFonts w:ascii="宋体" w:hAnsi="宋体" w:eastAsia="宋体"/>
                <w:b w:val="0"/>
                <w:i w:val="0"/>
                <w:color w:val="000000"/>
                <w:sz w:val="18"/>
              </w:rPr>
              <w:t>国际电力</w:t>
            </w:r>
          </w:p>
        </w:tc>
        <w:tc>
          <w:tcPr>
            <w:tcW w:type="dxa" w:w="8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418" w:after="0"/>
              <w:ind w:left="24" w:right="92" w:firstLine="0"/>
              <w:jc w:val="both"/>
            </w:pPr>
            <w:r>
              <w:rPr>
                <w:rFonts w:ascii="宋体" w:hAnsi="宋体" w:eastAsia="宋体"/>
                <w:b w:val="0"/>
                <w:i w:val="0"/>
                <w:color w:val="000000"/>
                <w:sz w:val="18"/>
              </w:rPr>
              <w:t>关于规范</w:t>
            </w:r>
            <w:r>
              <w:rPr>
                <w:rFonts w:ascii="宋体" w:hAnsi="宋体" w:eastAsia="宋体"/>
                <w:b w:val="0"/>
                <w:i w:val="0"/>
                <w:color w:val="000000"/>
                <w:sz w:val="18"/>
              </w:rPr>
              <w:t>关联交易</w:t>
            </w:r>
            <w:r>
              <w:rPr>
                <w:rFonts w:ascii="宋体" w:hAnsi="宋体" w:eastAsia="宋体"/>
                <w:b w:val="0"/>
                <w:i w:val="0"/>
                <w:color w:val="000000"/>
                <w:sz w:val="18"/>
              </w:rPr>
              <w:t>的承诺</w:t>
            </w:r>
          </w:p>
        </w:tc>
        <w:tc>
          <w:tcPr>
            <w:tcW w:type="dxa" w:w="39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268" w:after="0"/>
              <w:ind w:left="24" w:right="150" w:firstLine="0"/>
              <w:jc w:val="both"/>
            </w:pPr>
            <w:r>
              <w:rPr>
                <w:rFonts w:ascii="宋体" w:hAnsi="宋体" w:eastAsia="宋体"/>
                <w:b w:val="0"/>
                <w:i w:val="0"/>
                <w:color w:val="000000"/>
                <w:sz w:val="18"/>
              </w:rPr>
              <w:t>山西国际电力集团有限公司及其附属公司、参股</w:t>
            </w:r>
            <w:r>
              <w:rPr>
                <w:rFonts w:ascii="宋体" w:hAnsi="宋体" w:eastAsia="宋体"/>
                <w:b w:val="0"/>
                <w:i w:val="0"/>
                <w:color w:val="000000"/>
                <w:sz w:val="18"/>
              </w:rPr>
              <w:t>公司将遵循公开、公平、公正的原则及公允、合</w:t>
            </w:r>
            <w:r>
              <w:rPr>
                <w:rFonts w:ascii="宋体" w:hAnsi="宋体" w:eastAsia="宋体"/>
                <w:b w:val="0"/>
                <w:i w:val="0"/>
                <w:color w:val="000000"/>
                <w:sz w:val="18"/>
              </w:rPr>
              <w:t>理的市场价格与公司进行交易，根据相关规定履</w:t>
            </w:r>
            <w:r>
              <w:rPr>
                <w:rFonts w:ascii="宋体" w:hAnsi="宋体" w:eastAsia="宋体"/>
                <w:b w:val="0"/>
                <w:i w:val="0"/>
                <w:color w:val="000000"/>
                <w:sz w:val="18"/>
              </w:rPr>
              <w:t>行关联交易决策程序，履行信息披露义务。</w:t>
            </w:r>
          </w:p>
        </w:tc>
        <w:tc>
          <w:tcPr>
            <w:tcW w:type="dxa" w:w="9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856" w:after="0"/>
              <w:ind w:left="0" w:right="0" w:firstLine="0"/>
              <w:jc w:val="center"/>
            </w:pPr>
            <w:r>
              <w:rPr>
                <w:rFonts w:ascii="Calibri" w:hAnsi="Calibri" w:eastAsia="Calibri"/>
                <w:b w:val="0"/>
                <w:i w:val="0"/>
                <w:color w:val="000000"/>
                <w:sz w:val="18"/>
              </w:rPr>
              <w:t xml:space="preserve">2012.10.18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838" w:after="0"/>
              <w:ind w:left="0" w:right="0" w:firstLine="0"/>
              <w:jc w:val="center"/>
            </w:pPr>
            <w:r>
              <w:rPr>
                <w:rFonts w:ascii="宋体" w:hAnsi="宋体" w:eastAsia="宋体"/>
                <w:b w:val="0"/>
                <w:i w:val="0"/>
                <w:color w:val="000000"/>
                <w:sz w:val="18"/>
              </w:rPr>
              <w:t>长期</w:t>
            </w:r>
          </w:p>
        </w:tc>
        <w:tc>
          <w:tcPr>
            <w:tcW w:type="dxa" w:w="185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0" w:after="0"/>
              <w:ind w:left="26" w:right="198" w:firstLine="0"/>
              <w:jc w:val="both"/>
            </w:pPr>
            <w:r>
              <w:rPr>
                <w:rFonts w:ascii="宋体" w:hAnsi="宋体" w:eastAsia="宋体"/>
                <w:b w:val="0"/>
                <w:i w:val="0"/>
                <w:color w:val="000000"/>
                <w:sz w:val="18"/>
              </w:rPr>
              <w:t>报告期内，山西国际</w:t>
            </w:r>
            <w:r>
              <w:rPr>
                <w:rFonts w:ascii="宋体" w:hAnsi="宋体" w:eastAsia="宋体"/>
                <w:b w:val="0"/>
                <w:i w:val="0"/>
                <w:color w:val="000000"/>
                <w:sz w:val="18"/>
              </w:rPr>
              <w:t>电力集团有限公司及</w:t>
            </w:r>
            <w:r>
              <w:rPr>
                <w:rFonts w:ascii="宋体" w:hAnsi="宋体" w:eastAsia="宋体"/>
                <w:b w:val="0"/>
                <w:i w:val="0"/>
                <w:color w:val="000000"/>
                <w:sz w:val="18"/>
              </w:rPr>
              <w:t>其附属公司、参股公</w:t>
            </w:r>
            <w:r>
              <w:rPr>
                <w:rFonts w:ascii="宋体" w:hAnsi="宋体" w:eastAsia="宋体"/>
                <w:b w:val="0"/>
                <w:i w:val="0"/>
                <w:color w:val="000000"/>
                <w:sz w:val="18"/>
              </w:rPr>
              <w:t>司按照《关于规范关</w:t>
            </w:r>
            <w:r>
              <w:rPr>
                <w:rFonts w:ascii="宋体" w:hAnsi="宋体" w:eastAsia="宋体"/>
                <w:b w:val="0"/>
                <w:i w:val="0"/>
                <w:color w:val="000000"/>
                <w:sz w:val="18"/>
              </w:rPr>
              <w:t>联交易的承诺函》中</w:t>
            </w:r>
            <w:r>
              <w:rPr>
                <w:rFonts w:ascii="宋体" w:hAnsi="宋体" w:eastAsia="宋体"/>
                <w:b w:val="0"/>
                <w:i w:val="0"/>
                <w:color w:val="000000"/>
                <w:sz w:val="18"/>
              </w:rPr>
              <w:t>的规定履行义务。</w:t>
            </w:r>
          </w:p>
        </w:tc>
      </w:tr>
      <w:tr>
        <w:trPr>
          <w:trHeight w:hRule="exact" w:val="2808"/>
        </w:trPr>
        <w:tc>
          <w:tcPr>
            <w:tcW w:type="dxa" w:w="1584"/>
            <w:vMerge/>
            <w:tcBorders>
              <w:start w:sz="4.0" w:val="single" w:color="#000000"/>
              <w:top w:sz="4.0" w:val="single" w:color="#000000"/>
              <w:end w:sz="4.0" w:val="single" w:color="#000000"/>
            </w:tcBorders>
          </w:tcPr>
          <w:p/>
        </w:tc>
        <w:tc>
          <w:tcPr>
            <w:tcW w:type="dxa" w:w="998"/>
            <w:vMerge w:val="restart"/>
            <w:tcBorders>
              <w:start w:sz="4.0" w:val="single" w:color="#000000"/>
              <w:top w:sz="4.0" w:val="single" w:color="#000000"/>
              <w:end w:sz="4.0" w:val="single" w:color="#000000"/>
            </w:tcBorders>
            <w:tcMar>
              <w:start w:w="0" w:type="dxa"/>
              <w:end w:w="0" w:type="dxa"/>
            </w:tcMar>
            <w:tcMar>
              <w:start w:w="0" w:type="dxa"/>
              <w:end w:w="0" w:type="dxa"/>
            </w:tcMar>
          </w:tcPr>
          <w:p>
            <w:pPr>
              <w:autoSpaceDN w:val="0"/>
              <w:autoSpaceDE w:val="0"/>
              <w:widowControl/>
              <w:spacing w:line="180" w:lineRule="exact" w:before="2272" w:after="0"/>
              <w:ind w:left="24" w:right="0" w:firstLine="0"/>
              <w:jc w:val="left"/>
            </w:pPr>
            <w:r>
              <w:rPr>
                <w:rFonts w:ascii="宋体" w:hAnsi="宋体" w:eastAsia="宋体"/>
                <w:b w:val="0"/>
                <w:i w:val="0"/>
                <w:color w:val="000000"/>
                <w:sz w:val="18"/>
              </w:rPr>
              <w:t>山西金控</w:t>
            </w:r>
          </w:p>
        </w:tc>
        <w:tc>
          <w:tcPr>
            <w:tcW w:type="dxa" w:w="84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94" w:lineRule="exact" w:before="788" w:after="0"/>
              <w:ind w:left="24" w:right="0" w:firstLine="0"/>
              <w:jc w:val="left"/>
            </w:pPr>
            <w:r>
              <w:rPr>
                <w:rFonts w:ascii="Calibri" w:hAnsi="Calibri" w:eastAsia="Calibri"/>
                <w:b w:val="0"/>
                <w:i w:val="0"/>
                <w:color w:val="000000"/>
                <w:sz w:val="18"/>
              </w:rPr>
              <w:t>1</w:t>
            </w:r>
            <w:r>
              <w:rPr>
                <w:rFonts w:ascii="宋体" w:hAnsi="宋体" w:eastAsia="宋体"/>
                <w:b w:val="0"/>
                <w:i w:val="0"/>
                <w:color w:val="000000"/>
                <w:sz w:val="18"/>
              </w:rPr>
              <w:t>、关于</w:t>
            </w:r>
            <w:r>
              <w:br/>
            </w:r>
            <w:r>
              <w:rPr>
                <w:rFonts w:ascii="宋体" w:hAnsi="宋体" w:eastAsia="宋体"/>
                <w:b w:val="0"/>
                <w:i w:val="0"/>
                <w:color w:val="000000"/>
                <w:sz w:val="18"/>
              </w:rPr>
              <w:t>上市公司</w:t>
            </w:r>
            <w:r>
              <w:rPr>
                <w:rFonts w:ascii="宋体" w:hAnsi="宋体" w:eastAsia="宋体"/>
                <w:b w:val="0"/>
                <w:i w:val="0"/>
                <w:color w:val="000000"/>
                <w:sz w:val="18"/>
              </w:rPr>
              <w:t>独立性的</w:t>
            </w:r>
            <w:r>
              <w:rPr>
                <w:rFonts w:ascii="宋体" w:hAnsi="宋体" w:eastAsia="宋体"/>
                <w:b w:val="0"/>
                <w:i w:val="0"/>
                <w:color w:val="000000"/>
                <w:sz w:val="18"/>
              </w:rPr>
              <w:t>承诺</w:t>
            </w:r>
          </w:p>
        </w:tc>
        <w:tc>
          <w:tcPr>
            <w:tcW w:type="dxa" w:w="396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exact" w:before="0" w:after="0"/>
              <w:ind w:left="24" w:right="0" w:firstLine="0"/>
              <w:jc w:val="left"/>
            </w:pPr>
            <w:r>
              <w:rPr>
                <w:rFonts w:ascii="宋体" w:hAnsi="宋体" w:eastAsia="宋体"/>
                <w:b w:val="0"/>
                <w:i w:val="0"/>
                <w:color w:val="000000"/>
                <w:sz w:val="18"/>
              </w:rPr>
              <w:t>山西金控及其直接、间接控制的任何公司、企业</w:t>
            </w:r>
            <w:r>
              <w:rPr>
                <w:rFonts w:ascii="宋体" w:hAnsi="宋体" w:eastAsia="宋体"/>
                <w:b w:val="0"/>
                <w:i w:val="0"/>
                <w:color w:val="000000"/>
                <w:sz w:val="18"/>
              </w:rPr>
              <w:t>及其他单位将充分尊重山西证券的独立法人地</w:t>
            </w:r>
            <w:r>
              <w:rPr>
                <w:rFonts w:ascii="宋体" w:hAnsi="宋体" w:eastAsia="宋体"/>
                <w:b w:val="0"/>
                <w:i w:val="0"/>
                <w:color w:val="000000"/>
                <w:sz w:val="18"/>
              </w:rPr>
              <w:t>位，严格遵守山西证券的《公司章程》，保证山西</w:t>
            </w:r>
            <w:r>
              <w:rPr>
                <w:rFonts w:ascii="宋体" w:hAnsi="宋体" w:eastAsia="宋体"/>
                <w:b w:val="0"/>
                <w:i w:val="0"/>
                <w:color w:val="000000"/>
                <w:sz w:val="18"/>
              </w:rPr>
              <w:t>证券独立经营、自主决策，保证山西证券资产完</w:t>
            </w:r>
            <w:r>
              <w:rPr>
                <w:rFonts w:ascii="宋体" w:hAnsi="宋体" w:eastAsia="宋体"/>
                <w:b w:val="0"/>
                <w:i w:val="0"/>
                <w:color w:val="000000"/>
                <w:sz w:val="18"/>
              </w:rPr>
              <w:t>整，人员、财务、机构和业务独立。山西金控及</w:t>
            </w:r>
            <w:r>
              <w:rPr>
                <w:rFonts w:ascii="宋体" w:hAnsi="宋体" w:eastAsia="宋体"/>
                <w:b w:val="0"/>
                <w:i w:val="0"/>
                <w:color w:val="000000"/>
                <w:sz w:val="18"/>
              </w:rPr>
              <w:t>山西金控直接、间接控制的任何公司、企业及其</w:t>
            </w:r>
            <w:r>
              <w:rPr>
                <w:rFonts w:ascii="宋体" w:hAnsi="宋体" w:eastAsia="宋体"/>
                <w:b w:val="0"/>
                <w:i w:val="0"/>
                <w:color w:val="000000"/>
                <w:sz w:val="18"/>
              </w:rPr>
              <w:t>他单位将严格按照《公司法》《证券法》中国证监</w:t>
            </w:r>
            <w:r>
              <w:rPr>
                <w:rFonts w:ascii="宋体" w:hAnsi="宋体" w:eastAsia="宋体"/>
                <w:b w:val="0"/>
                <w:i w:val="0"/>
                <w:color w:val="000000"/>
                <w:sz w:val="18"/>
              </w:rPr>
              <w:t>会及证券交易所相关规定及山西证券《公司章</w:t>
            </w:r>
            <w:r>
              <w:rPr>
                <w:rFonts w:ascii="宋体" w:hAnsi="宋体" w:eastAsia="宋体"/>
                <w:b w:val="0"/>
                <w:i w:val="0"/>
                <w:color w:val="000000"/>
                <w:sz w:val="18"/>
              </w:rPr>
              <w:t>程》的要求，依法履行应尽的诚信勤勉职责。如</w:t>
            </w:r>
            <w:r>
              <w:rPr>
                <w:rFonts w:ascii="宋体" w:hAnsi="宋体" w:eastAsia="宋体"/>
                <w:b w:val="0"/>
                <w:i w:val="0"/>
                <w:color w:val="000000"/>
                <w:sz w:val="18"/>
              </w:rPr>
              <w:t>因违反承诺事项给山西证券或其他投资者造成损</w:t>
            </w:r>
            <w:r>
              <w:rPr>
                <w:rFonts w:ascii="宋体" w:hAnsi="宋体" w:eastAsia="宋体"/>
                <w:b w:val="0"/>
                <w:i w:val="0"/>
                <w:color w:val="000000"/>
                <w:sz w:val="18"/>
              </w:rPr>
              <w:t>失的，山西金控将向山西证券或其他投资者依法</w:t>
            </w:r>
            <w:r>
              <w:rPr>
                <w:rFonts w:ascii="宋体" w:hAnsi="宋体" w:eastAsia="宋体"/>
                <w:b w:val="0"/>
                <w:i w:val="0"/>
                <w:color w:val="000000"/>
                <w:sz w:val="18"/>
              </w:rPr>
              <w:t>承担赔偿责任。</w:t>
            </w:r>
          </w:p>
        </w:tc>
        <w:tc>
          <w:tcPr>
            <w:tcW w:type="dxa" w:w="992"/>
            <w:vMerge w:val="restart"/>
            <w:tcBorders>
              <w:start w:sz="4.0" w:val="single" w:color="#000000"/>
              <w:top w:sz="4.0" w:val="single" w:color="#000000"/>
              <w:end w:sz="4.0" w:val="single" w:color="#000000"/>
            </w:tcBorders>
            <w:tcMar>
              <w:start w:w="0" w:type="dxa"/>
              <w:end w:w="0" w:type="dxa"/>
            </w:tcMar>
            <w:tcMar>
              <w:start w:w="0" w:type="dxa"/>
              <w:end w:w="0" w:type="dxa"/>
            </w:tcMar>
          </w:tcPr>
          <w:p>
            <w:pPr>
              <w:autoSpaceDN w:val="0"/>
              <w:autoSpaceDE w:val="0"/>
              <w:widowControl/>
              <w:spacing w:line="197" w:lineRule="auto" w:before="2290" w:after="0"/>
              <w:ind w:left="0" w:right="0" w:firstLine="0"/>
              <w:jc w:val="center"/>
            </w:pPr>
            <w:r>
              <w:rPr>
                <w:rFonts w:ascii="Calibri" w:hAnsi="Calibri" w:eastAsia="Calibri"/>
                <w:b w:val="0"/>
                <w:i w:val="0"/>
                <w:color w:val="000000"/>
                <w:sz w:val="18"/>
              </w:rPr>
              <w:t xml:space="preserve">2016.02.02 </w:t>
            </w:r>
          </w:p>
        </w:tc>
        <w:tc>
          <w:tcPr>
            <w:tcW w:type="dxa" w:w="1132"/>
            <w:vMerge w:val="restart"/>
            <w:tcBorders>
              <w:start w:sz="4.0" w:val="single" w:color="#000000"/>
              <w:top w:sz="4.0" w:val="single" w:color="#000000"/>
              <w:end w:sz="4.0" w:val="single" w:color="#000000"/>
            </w:tcBorders>
            <w:tcMar>
              <w:start w:w="0" w:type="dxa"/>
              <w:end w:w="0" w:type="dxa"/>
            </w:tcMar>
            <w:tcMar>
              <w:start w:w="0" w:type="dxa"/>
              <w:end w:w="0" w:type="dxa"/>
            </w:tcMar>
          </w:tcPr>
          <w:p>
            <w:pPr>
              <w:autoSpaceDN w:val="0"/>
              <w:autoSpaceDE w:val="0"/>
              <w:widowControl/>
              <w:spacing w:line="180" w:lineRule="exact" w:before="2272" w:after="0"/>
              <w:ind w:left="0" w:right="0" w:firstLine="0"/>
              <w:jc w:val="center"/>
            </w:pPr>
            <w:r>
              <w:rPr>
                <w:rFonts w:ascii="宋体" w:hAnsi="宋体" w:eastAsia="宋体"/>
                <w:b w:val="0"/>
                <w:i w:val="0"/>
                <w:color w:val="000000"/>
                <w:sz w:val="18"/>
              </w:rPr>
              <w:t>长期</w:t>
            </w:r>
          </w:p>
        </w:tc>
        <w:tc>
          <w:tcPr>
            <w:tcW w:type="dxa" w:w="1852"/>
            <w:vMerge w:val="restart"/>
            <w:tcBorders>
              <w:start w:sz="4.0" w:val="single" w:color="#000000"/>
              <w:top w:sz="4.0" w:val="single" w:color="#000000"/>
              <w:end w:sz="4.0" w:val="single" w:color="#000000"/>
            </w:tcBorders>
            <w:tcMar>
              <w:start w:w="0" w:type="dxa"/>
              <w:end w:w="0" w:type="dxa"/>
            </w:tcMar>
            <w:tcMar>
              <w:start w:w="0" w:type="dxa"/>
              <w:end w:w="0" w:type="dxa"/>
            </w:tcMar>
          </w:tcPr>
          <w:p>
            <w:pPr>
              <w:autoSpaceDN w:val="0"/>
              <w:autoSpaceDE w:val="0"/>
              <w:widowControl/>
              <w:spacing w:line="234" w:lineRule="exact" w:before="1140" w:after="0"/>
              <w:ind w:left="26" w:right="0" w:firstLine="0"/>
              <w:jc w:val="left"/>
            </w:pPr>
            <w:r>
              <w:rPr>
                <w:rFonts w:ascii="宋体" w:hAnsi="宋体" w:eastAsia="宋体"/>
                <w:b w:val="0"/>
                <w:i w:val="0"/>
                <w:color w:val="000000"/>
                <w:sz w:val="18"/>
              </w:rPr>
              <w:t>报告期内，山西金控</w:t>
            </w:r>
            <w:r>
              <w:rPr>
                <w:rFonts w:ascii="宋体" w:hAnsi="宋体" w:eastAsia="宋体"/>
                <w:b w:val="0"/>
                <w:i w:val="0"/>
                <w:color w:val="000000"/>
                <w:sz w:val="18"/>
              </w:rPr>
              <w:t>及其直接、间接控制</w:t>
            </w:r>
            <w:r>
              <w:rPr>
                <w:rFonts w:ascii="宋体" w:hAnsi="宋体" w:eastAsia="宋体"/>
                <w:b w:val="0"/>
                <w:i w:val="0"/>
                <w:color w:val="000000"/>
                <w:sz w:val="18"/>
              </w:rPr>
              <w:t>的任何公司、企业及</w:t>
            </w:r>
            <w:r>
              <w:rPr>
                <w:rFonts w:ascii="宋体" w:hAnsi="宋体" w:eastAsia="宋体"/>
                <w:b w:val="0"/>
                <w:i w:val="0"/>
                <w:color w:val="000000"/>
                <w:sz w:val="18"/>
              </w:rPr>
              <w:t>其他单位履行了《关</w:t>
            </w:r>
            <w:r>
              <w:rPr>
                <w:rFonts w:ascii="宋体" w:hAnsi="宋体" w:eastAsia="宋体"/>
                <w:b w:val="0"/>
                <w:i w:val="0"/>
                <w:color w:val="000000"/>
                <w:sz w:val="18"/>
              </w:rPr>
              <w:t>于保持上市公司独立</w:t>
            </w:r>
            <w:r>
              <w:rPr>
                <w:rFonts w:ascii="宋体" w:hAnsi="宋体" w:eastAsia="宋体"/>
                <w:b w:val="0"/>
                <w:i w:val="0"/>
                <w:color w:val="000000"/>
                <w:sz w:val="18"/>
              </w:rPr>
              <w:t>性承诺函》《关于规范</w:t>
            </w:r>
            <w:r>
              <w:rPr>
                <w:rFonts w:ascii="宋体" w:hAnsi="宋体" w:eastAsia="宋体"/>
                <w:b w:val="0"/>
                <w:i w:val="0"/>
                <w:color w:val="000000"/>
                <w:sz w:val="18"/>
              </w:rPr>
              <w:t>关联交易的承诺函》</w:t>
            </w:r>
            <w:r>
              <w:rPr>
                <w:rFonts w:ascii="宋体" w:hAnsi="宋体" w:eastAsia="宋体"/>
                <w:b w:val="0"/>
                <w:i w:val="0"/>
                <w:color w:val="000000"/>
                <w:sz w:val="18"/>
              </w:rPr>
              <w:t>《关于避免同业竞争</w:t>
            </w:r>
            <w:r>
              <w:rPr>
                <w:rFonts w:ascii="宋体" w:hAnsi="宋体" w:eastAsia="宋体"/>
                <w:b w:val="0"/>
                <w:i w:val="0"/>
                <w:color w:val="000000"/>
                <w:sz w:val="18"/>
              </w:rPr>
              <w:t>的承诺函》中规定的</w:t>
            </w:r>
            <w:r>
              <w:rPr>
                <w:rFonts w:ascii="宋体" w:hAnsi="宋体" w:eastAsia="宋体"/>
                <w:b w:val="0"/>
                <w:i w:val="0"/>
                <w:color w:val="000000"/>
                <w:sz w:val="18"/>
              </w:rPr>
              <w:t>义务。</w:t>
            </w:r>
          </w:p>
        </w:tc>
      </w:tr>
      <w:tr>
        <w:trPr>
          <w:trHeight w:hRule="exact" w:val="1878"/>
        </w:trPr>
        <w:tc>
          <w:tcPr>
            <w:tcW w:type="dxa" w:w="1584"/>
            <w:vMerge/>
            <w:tcBorders>
              <w:start w:sz="4.0" w:val="single" w:color="#000000"/>
              <w:top w:sz="4.0" w:val="single" w:color="#000000"/>
              <w:end w:sz="4.0" w:val="single" w:color="#000000"/>
            </w:tcBorders>
          </w:tcPr>
          <w:p/>
        </w:tc>
        <w:tc>
          <w:tcPr>
            <w:tcW w:type="dxa" w:w="1584"/>
            <w:vMerge/>
            <w:tcBorders>
              <w:start w:sz="4.0" w:val="single" w:color="#000000"/>
              <w:top w:sz="4.0" w:val="single" w:color="#000000"/>
              <w:end w:sz="4.0" w:val="single" w:color="#000000"/>
            </w:tcBorders>
          </w:tcPr>
          <w:p/>
        </w:tc>
        <w:tc>
          <w:tcPr>
            <w:tcW w:type="dxa" w:w="84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94" w:lineRule="exact" w:before="326" w:after="0"/>
              <w:ind w:left="24" w:right="0" w:firstLine="0"/>
              <w:jc w:val="left"/>
            </w:pPr>
            <w:r>
              <w:rPr>
                <w:rFonts w:ascii="Calibri" w:hAnsi="Calibri" w:eastAsia="Calibri"/>
                <w:b w:val="0"/>
                <w:i w:val="0"/>
                <w:color w:val="000000"/>
                <w:sz w:val="18"/>
              </w:rPr>
              <w:t>2</w:t>
            </w:r>
            <w:r>
              <w:rPr>
                <w:rFonts w:ascii="宋体" w:hAnsi="宋体" w:eastAsia="宋体"/>
                <w:b w:val="0"/>
                <w:i w:val="0"/>
                <w:color w:val="000000"/>
                <w:sz w:val="18"/>
              </w:rPr>
              <w:t>、关于</w:t>
            </w:r>
            <w:r>
              <w:br/>
            </w:r>
            <w:r>
              <w:rPr>
                <w:rFonts w:ascii="宋体" w:hAnsi="宋体" w:eastAsia="宋体"/>
                <w:b w:val="0"/>
                <w:i w:val="0"/>
                <w:color w:val="000000"/>
                <w:sz w:val="18"/>
              </w:rPr>
              <w:t>规范关联</w:t>
            </w:r>
            <w:r>
              <w:rPr>
                <w:rFonts w:ascii="宋体" w:hAnsi="宋体" w:eastAsia="宋体"/>
                <w:b w:val="0"/>
                <w:i w:val="0"/>
                <w:color w:val="000000"/>
                <w:sz w:val="18"/>
              </w:rPr>
              <w:t>交易的承</w:t>
            </w:r>
            <w:r>
              <w:rPr>
                <w:rFonts w:ascii="宋体" w:hAnsi="宋体" w:eastAsia="宋体"/>
                <w:b w:val="0"/>
                <w:i w:val="0"/>
                <w:color w:val="000000"/>
                <w:sz w:val="18"/>
              </w:rPr>
              <w:t>诺</w:t>
            </w:r>
          </w:p>
        </w:tc>
        <w:tc>
          <w:tcPr>
            <w:tcW w:type="dxa" w:w="396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exact" w:before="0" w:after="0"/>
              <w:ind w:left="24" w:right="150" w:firstLine="0"/>
              <w:jc w:val="both"/>
            </w:pPr>
            <w:r>
              <w:rPr>
                <w:rFonts w:ascii="宋体" w:hAnsi="宋体" w:eastAsia="宋体"/>
                <w:b w:val="0"/>
                <w:i w:val="0"/>
                <w:color w:val="000000"/>
                <w:sz w:val="18"/>
              </w:rPr>
              <w:t>山西金控及其直接、间接控制的任何公司、企业</w:t>
            </w:r>
            <w:r>
              <w:rPr>
                <w:rFonts w:ascii="宋体" w:hAnsi="宋体" w:eastAsia="宋体"/>
                <w:b w:val="0"/>
                <w:i w:val="0"/>
                <w:color w:val="000000"/>
                <w:sz w:val="18"/>
              </w:rPr>
              <w:t>及其他单位将尽力避免及规范与山西证券及其子</w:t>
            </w:r>
            <w:r>
              <w:rPr>
                <w:rFonts w:ascii="宋体" w:hAnsi="宋体" w:eastAsia="宋体"/>
                <w:b w:val="0"/>
                <w:i w:val="0"/>
                <w:color w:val="000000"/>
                <w:sz w:val="18"/>
              </w:rPr>
              <w:t>公司的关联交易；对于无法避免或必要的关联交</w:t>
            </w:r>
            <w:r>
              <w:rPr>
                <w:rFonts w:ascii="宋体" w:hAnsi="宋体" w:eastAsia="宋体"/>
                <w:b w:val="0"/>
                <w:i w:val="0"/>
                <w:color w:val="000000"/>
                <w:sz w:val="18"/>
              </w:rPr>
              <w:t>易，将本着公平、公开、公正的原则确定关联交</w:t>
            </w:r>
            <w:r>
              <w:rPr>
                <w:rFonts w:ascii="宋体" w:hAnsi="宋体" w:eastAsia="宋体"/>
                <w:b w:val="0"/>
                <w:i w:val="0"/>
                <w:color w:val="000000"/>
                <w:sz w:val="18"/>
              </w:rPr>
              <w:t>易价格，保证关联交易的公允性。如因违反承诺</w:t>
            </w:r>
            <w:r>
              <w:rPr>
                <w:rFonts w:ascii="宋体" w:hAnsi="宋体" w:eastAsia="宋体"/>
                <w:b w:val="0"/>
                <w:i w:val="0"/>
                <w:color w:val="000000"/>
                <w:sz w:val="18"/>
              </w:rPr>
              <w:t>事项给山西证券或其他投资者造成损失的，山西</w:t>
            </w:r>
            <w:r>
              <w:rPr>
                <w:rFonts w:ascii="宋体" w:hAnsi="宋体" w:eastAsia="宋体"/>
                <w:b w:val="0"/>
                <w:i w:val="0"/>
                <w:color w:val="000000"/>
                <w:sz w:val="18"/>
              </w:rPr>
              <w:t>金控将向山西证券或其他投资者依法承担赔偿责</w:t>
            </w:r>
            <w:r>
              <w:rPr>
                <w:rFonts w:ascii="宋体" w:hAnsi="宋体" w:eastAsia="宋体"/>
                <w:b w:val="0"/>
                <w:i w:val="0"/>
                <w:color w:val="000000"/>
                <w:sz w:val="18"/>
              </w:rPr>
              <w:t>任。</w:t>
            </w:r>
          </w:p>
        </w:tc>
        <w:tc>
          <w:tcPr>
            <w:tcW w:type="dxa" w:w="1584"/>
            <w:vMerge/>
            <w:tcBorders>
              <w:start w:sz="4.0" w:val="single" w:color="#000000"/>
              <w:top w:sz="4.0" w:val="single" w:color="#000000"/>
              <w:end w:sz="4.0" w:val="single" w:color="#000000"/>
            </w:tcBorders>
          </w:tcPr>
          <w:p/>
        </w:tc>
        <w:tc>
          <w:tcPr>
            <w:tcW w:type="dxa" w:w="1584"/>
            <w:vMerge/>
            <w:tcBorders>
              <w:start w:sz="4.0" w:val="single" w:color="#000000"/>
              <w:top w:sz="4.0" w:val="single" w:color="#000000"/>
              <w:end w:sz="4.0" w:val="single" w:color="#000000"/>
            </w:tcBorders>
          </w:tcPr>
          <w:p/>
        </w:tc>
        <w:tc>
          <w:tcPr>
            <w:tcW w:type="dxa" w:w="1584"/>
            <w:vMerge/>
            <w:tcBorders>
              <w:start w:sz="4.0" w:val="single" w:color="#000000"/>
              <w:top w:sz="4.0" w:val="single" w:color="#000000"/>
              <w:end w:sz="4.0" w:val="single" w:color="#000000"/>
            </w:tcBorders>
          </w:tcPr>
          <w:p/>
        </w:tc>
      </w:tr>
    </w:tbl>
    <w:p>
      <w:pPr>
        <w:autoSpaceDN w:val="0"/>
        <w:autoSpaceDE w:val="0"/>
        <w:widowControl/>
        <w:spacing w:line="197" w:lineRule="auto" w:before="2768" w:after="0"/>
        <w:ind w:left="0" w:right="0" w:firstLine="0"/>
        <w:jc w:val="center"/>
      </w:pPr>
      <w:r>
        <w:rPr>
          <w:rFonts w:ascii="Calibri" w:hAnsi="Calibri" w:eastAsia="Calibri"/>
          <w:b w:val="0"/>
          <w:i w:val="0"/>
          <w:color w:val="000000"/>
          <w:sz w:val="18"/>
        </w:rPr>
        <w:t xml:space="preserve">108 </w:t>
      </w:r>
    </w:p>
    <w:p>
      <w:pPr>
        <w:sectPr>
          <w:type w:val="continuous"/>
          <w:pgSz w:w="11904" w:h="16841"/>
          <w:pgMar w:top="424" w:right="398" w:bottom="446" w:left="418" w:header="720" w:footer="720" w:gutter="0"/>
          <w:cols/>
          <w:docGrid w:linePitch="360"/>
        </w:sectPr>
      </w:pPr>
    </w:p>
    <w:p>
      <w:pPr>
        <w:autoSpaceDN w:val="0"/>
        <w:autoSpaceDE w:val="0"/>
        <w:widowControl/>
        <w:spacing w:line="220" w:lineRule="exact" w:before="0" w:after="206"/>
        <w:ind w:left="0" w:right="0"/>
      </w:pPr>
    </w:p>
    <w:p>
      <w:pPr>
        <w:sectPr>
          <w:pgSz w:w="11904" w:h="16841"/>
          <w:pgMar w:top="424" w:right="398" w:bottom="446" w:left="418" w:header="720" w:footer="720" w:gutter="0"/>
          <w:cols/>
          <w:docGrid w:linePitch="360"/>
        </w:sectPr>
      </w:pPr>
    </w:p>
    <w:p>
      <w:pPr>
        <w:autoSpaceDN w:val="0"/>
        <w:autoSpaceDE w:val="0"/>
        <w:widowControl/>
        <w:spacing w:line="240" w:lineRule="auto" w:before="0" w:after="0"/>
        <w:ind w:left="716" w:right="0" w:firstLine="0"/>
        <w:jc w:val="left"/>
      </w:pPr>
      <w:r>
        <w:drawing>
          <wp:inline xmlns:a="http://schemas.openxmlformats.org/drawingml/2006/main" xmlns:pic="http://schemas.openxmlformats.org/drawingml/2006/picture">
            <wp:extent cx="1844039" cy="439419"/>
            <wp:docPr id="111" name="Picture 11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98" w:bottom="446" w:left="418" w:header="720" w:footer="720" w:gutter="0"/>
          <w:cols w:num="2" w:equalWidth="0">
            <w:col w:w="6122" w:space="0"/>
            <w:col w:w="4965" w:space="0"/>
          </w:cols>
          <w:docGrid w:linePitch="360"/>
        </w:sectPr>
      </w:pPr>
    </w:p>
    <w:p>
      <w:pPr>
        <w:autoSpaceDN w:val="0"/>
        <w:autoSpaceDE w:val="0"/>
        <w:widowControl/>
        <w:spacing w:line="200" w:lineRule="exact" w:before="0" w:after="30"/>
        <w:ind w:left="0" w:right="750"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98" w:bottom="446" w:left="418" w:header="720" w:footer="720" w:gutter="0"/>
          <w:cols w:num="2" w:equalWidth="0">
            <w:col w:w="6122" w:space="0"/>
            <w:col w:w="4965" w:space="0"/>
          </w:cols>
          <w:docGrid w:linePitch="360"/>
        </w:sectPr>
      </w:pPr>
    </w:p>
    <w:p>
      <w:pPr>
        <w:autoSpaceDN w:val="0"/>
        <w:autoSpaceDE w:val="0"/>
        <w:widowControl/>
        <w:spacing w:line="18" w:lineRule="exact" w:before="0" w:after="0"/>
        <w:ind w:left="0" w:right="0"/>
      </w:pPr>
    </w:p>
    <w:tbl>
      <w:tblPr>
        <w:tblW w:type="auto" w:w="0"/>
        <w:tblLayout w:type="fixed"/>
        <w:tblLook w:firstColumn="1" w:firstRow="1" w:lastColumn="0" w:lastRow="0" w:noHBand="0" w:noVBand="1" w:val="04A0"/>
        <w:tblInd w:w="4.000000000000057" w:type="dxa"/>
      </w:tblPr>
      <w:tblGrid>
        <w:gridCol w:w="1584"/>
        <w:gridCol w:w="1584"/>
        <w:gridCol w:w="1584"/>
        <w:gridCol w:w="1584"/>
        <w:gridCol w:w="1584"/>
        <w:gridCol w:w="1584"/>
        <w:gridCol w:w="1584"/>
      </w:tblGrid>
      <w:tr>
        <w:trPr>
          <w:trHeight w:hRule="exact" w:val="3745"/>
        </w:trPr>
        <w:tc>
          <w:tcPr>
            <w:tcW w:type="dxa" w:w="1274"/>
            <w:tcBorders>
              <w:start w:sz="4.0" w:val="single" w:color="#000000"/>
              <w:end w:sz="4.0" w:val="single" w:color="#000000"/>
              <w:bottom w:sz="4.0" w:val="single" w:color="#000000"/>
            </w:tcBorders>
            <w:shd w:fill="e4dfeb"/>
            <w:tcMar>
              <w:start w:w="0" w:type="dxa"/>
              <w:end w:w="0" w:type="dxa"/>
            </w:tcMar>
          </w:tcPr>
          <w:p/>
        </w:tc>
        <w:tc>
          <w:tcPr>
            <w:tcW w:type="dxa" w:w="998"/>
            <w:tcBorders>
              <w:start w:sz="4.0" w:val="single" w:color="#000000"/>
              <w:top w:sz="5.600000000000023" w:val="single" w:color="#000000"/>
              <w:end w:sz="4.0" w:val="single" w:color="#000000"/>
              <w:bottom w:sz="4.0" w:val="single" w:color="#000000"/>
            </w:tcBorders>
            <w:tcMar>
              <w:start w:w="0" w:type="dxa"/>
              <w:end w:w="0" w:type="dxa"/>
            </w:tcMar>
          </w:tcPr>
          <w:p/>
        </w:tc>
        <w:tc>
          <w:tcPr>
            <w:tcW w:type="dxa" w:w="84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94" w:lineRule="exact" w:before="1256" w:after="0"/>
              <w:ind w:left="24" w:right="0" w:firstLine="0"/>
              <w:jc w:val="left"/>
            </w:pPr>
            <w:r>
              <w:rPr>
                <w:rFonts w:ascii="Calibri" w:hAnsi="Calibri" w:eastAsia="Calibri"/>
                <w:b w:val="0"/>
                <w:i w:val="0"/>
                <w:color w:val="000000"/>
                <w:sz w:val="18"/>
              </w:rPr>
              <w:t>3</w:t>
            </w:r>
            <w:r>
              <w:rPr>
                <w:rFonts w:ascii="宋体" w:hAnsi="宋体" w:eastAsia="宋体"/>
                <w:b w:val="0"/>
                <w:i w:val="0"/>
                <w:color w:val="000000"/>
                <w:sz w:val="18"/>
              </w:rPr>
              <w:t>、关于</w:t>
            </w:r>
            <w:r>
              <w:br/>
            </w:r>
            <w:r>
              <w:rPr>
                <w:rFonts w:ascii="宋体" w:hAnsi="宋体" w:eastAsia="宋体"/>
                <w:b w:val="0"/>
                <w:i w:val="0"/>
                <w:color w:val="000000"/>
                <w:sz w:val="18"/>
              </w:rPr>
              <w:t>避免同业</w:t>
            </w:r>
            <w:r>
              <w:rPr>
                <w:rFonts w:ascii="宋体" w:hAnsi="宋体" w:eastAsia="宋体"/>
                <w:b w:val="0"/>
                <w:i w:val="0"/>
                <w:color w:val="000000"/>
                <w:sz w:val="18"/>
              </w:rPr>
              <w:t>竞争的承</w:t>
            </w:r>
            <w:r>
              <w:rPr>
                <w:rFonts w:ascii="宋体" w:hAnsi="宋体" w:eastAsia="宋体"/>
                <w:b w:val="0"/>
                <w:i w:val="0"/>
                <w:color w:val="000000"/>
                <w:sz w:val="18"/>
              </w:rPr>
              <w:t>诺</w:t>
            </w:r>
          </w:p>
        </w:tc>
        <w:tc>
          <w:tcPr>
            <w:tcW w:type="dxa" w:w="396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0" w:after="0"/>
              <w:ind w:left="24" w:right="0" w:firstLine="0"/>
              <w:jc w:val="left"/>
            </w:pPr>
            <w:r>
              <w:rPr>
                <w:rFonts w:ascii="宋体" w:hAnsi="宋体" w:eastAsia="宋体"/>
                <w:b w:val="0"/>
                <w:i w:val="0"/>
                <w:color w:val="000000"/>
                <w:sz w:val="18"/>
              </w:rPr>
              <w:t>山西金控及其直接、间接控制的任何公司、企业</w:t>
            </w:r>
            <w:r>
              <w:rPr>
                <w:rFonts w:ascii="宋体" w:hAnsi="宋体" w:eastAsia="宋体"/>
                <w:b w:val="0"/>
                <w:i w:val="0"/>
                <w:color w:val="000000"/>
                <w:sz w:val="18"/>
              </w:rPr>
              <w:t>及其他单位不会在中国境内以任何形式从事与山</w:t>
            </w:r>
            <w:r>
              <w:rPr>
                <w:rFonts w:ascii="宋体" w:hAnsi="宋体" w:eastAsia="宋体"/>
                <w:b w:val="0"/>
                <w:i w:val="0"/>
                <w:color w:val="000000"/>
                <w:sz w:val="18"/>
              </w:rPr>
              <w:t>西证券及其子公司构成竞争或可能构成竞争的业</w:t>
            </w:r>
            <w:r>
              <w:rPr>
                <w:rFonts w:ascii="宋体" w:hAnsi="宋体" w:eastAsia="宋体"/>
                <w:b w:val="0"/>
                <w:i w:val="0"/>
                <w:color w:val="000000"/>
                <w:sz w:val="18"/>
              </w:rPr>
              <w:t>务和经营；不会在中国境内以任何形式支持山西</w:t>
            </w:r>
            <w:r>
              <w:rPr>
                <w:rFonts w:ascii="宋体" w:hAnsi="宋体" w:eastAsia="宋体"/>
                <w:b w:val="0"/>
                <w:i w:val="0"/>
                <w:color w:val="000000"/>
                <w:sz w:val="18"/>
              </w:rPr>
              <w:t>证券以外的他人从事与山西证券开展的业务构成</w:t>
            </w:r>
            <w:r>
              <w:rPr>
                <w:rFonts w:ascii="宋体" w:hAnsi="宋体" w:eastAsia="宋体"/>
                <w:b w:val="0"/>
                <w:i w:val="0"/>
                <w:color w:val="000000"/>
                <w:sz w:val="18"/>
              </w:rPr>
              <w:t>竞争或可能构成竞争的业务及以其他方式参与</w:t>
            </w:r>
            <w:r>
              <w:rPr>
                <w:rFonts w:ascii="Calibri" w:hAnsi="Calibri" w:eastAsia="Calibri"/>
                <w:b w:val="0"/>
                <w:i w:val="0"/>
                <w:color w:val="000000"/>
                <w:sz w:val="18"/>
              </w:rPr>
              <w:t xml:space="preserve"> (</w:t>
            </w:r>
            <w:r>
              <w:rPr>
                <w:rFonts w:ascii="宋体" w:hAnsi="宋体" w:eastAsia="宋体"/>
                <w:b w:val="0"/>
                <w:i w:val="0"/>
                <w:color w:val="000000"/>
                <w:sz w:val="18"/>
              </w:rPr>
              <w:t>不</w:t>
            </w:r>
            <w:r>
              <w:rPr>
                <w:rFonts w:ascii="宋体" w:hAnsi="宋体" w:eastAsia="宋体"/>
                <w:b w:val="0"/>
                <w:i w:val="0"/>
                <w:color w:val="000000"/>
                <w:sz w:val="18"/>
              </w:rPr>
              <w:t>论直接或间接</w:t>
            </w:r>
            <w:r>
              <w:rPr>
                <w:rFonts w:ascii="Calibri" w:hAnsi="Calibri" w:eastAsia="Calibri"/>
                <w:b w:val="0"/>
                <w:i w:val="0"/>
                <w:color w:val="000000"/>
                <w:sz w:val="18"/>
              </w:rPr>
              <w:t xml:space="preserve">) </w:t>
            </w:r>
            <w:r>
              <w:rPr>
                <w:rFonts w:ascii="宋体" w:hAnsi="宋体" w:eastAsia="宋体"/>
                <w:b w:val="0"/>
                <w:i w:val="0"/>
                <w:color w:val="000000"/>
                <w:sz w:val="18"/>
              </w:rPr>
              <w:t>任何与山西证券开展的业务构成竞</w:t>
            </w:r>
            <w:r>
              <w:rPr>
                <w:rFonts w:ascii="宋体" w:hAnsi="宋体" w:eastAsia="宋体"/>
                <w:b w:val="0"/>
                <w:i w:val="0"/>
                <w:color w:val="000000"/>
                <w:sz w:val="18"/>
              </w:rPr>
              <w:t>争或可能构成竞争的业务或活动；山西金控保</w:t>
            </w:r>
            <w:r>
              <w:rPr>
                <w:rFonts w:ascii="宋体" w:hAnsi="宋体" w:eastAsia="宋体"/>
                <w:b w:val="0"/>
                <w:i w:val="0"/>
                <w:color w:val="000000"/>
                <w:sz w:val="18"/>
              </w:rPr>
              <w:t>证，不利用对山西证券的控制关系，从事或参与</w:t>
            </w:r>
            <w:r>
              <w:rPr>
                <w:rFonts w:ascii="宋体" w:hAnsi="宋体" w:eastAsia="宋体"/>
                <w:b w:val="0"/>
                <w:i w:val="0"/>
                <w:color w:val="000000"/>
                <w:sz w:val="18"/>
              </w:rPr>
              <w:t>从事有损山西证券、山西证券子公司以及山西证</w:t>
            </w:r>
            <w:r>
              <w:rPr>
                <w:rFonts w:ascii="宋体" w:hAnsi="宋体" w:eastAsia="宋体"/>
                <w:b w:val="0"/>
                <w:i w:val="0"/>
                <w:color w:val="000000"/>
                <w:sz w:val="18"/>
              </w:rPr>
              <w:t>券其他股东利益的行为。山西金控保证上述承诺</w:t>
            </w:r>
            <w:r>
              <w:rPr>
                <w:rFonts w:ascii="宋体" w:hAnsi="宋体" w:eastAsia="宋体"/>
                <w:b w:val="0"/>
                <w:i w:val="0"/>
                <w:color w:val="000000"/>
                <w:sz w:val="18"/>
              </w:rPr>
              <w:t>的真实性，并同意赔偿山西证券由于山西金控及</w:t>
            </w:r>
            <w:r>
              <w:rPr>
                <w:rFonts w:ascii="宋体" w:hAnsi="宋体" w:eastAsia="宋体"/>
                <w:b w:val="0"/>
                <w:i w:val="0"/>
                <w:color w:val="000000"/>
                <w:sz w:val="18"/>
              </w:rPr>
              <w:t>其直接、间接控制的任何公司、企业及其他单位</w:t>
            </w:r>
            <w:r>
              <w:rPr>
                <w:rFonts w:ascii="宋体" w:hAnsi="宋体" w:eastAsia="宋体"/>
                <w:b w:val="0"/>
                <w:i w:val="0"/>
                <w:color w:val="000000"/>
                <w:sz w:val="18"/>
              </w:rPr>
              <w:t>违反此承诺而遭受的一切损失、损害和支出。如</w:t>
            </w:r>
            <w:r>
              <w:rPr>
                <w:rFonts w:ascii="宋体" w:hAnsi="宋体" w:eastAsia="宋体"/>
                <w:b w:val="0"/>
                <w:i w:val="0"/>
                <w:color w:val="000000"/>
                <w:sz w:val="18"/>
              </w:rPr>
              <w:t>山西金控因违反承诺的内容而从中受益，山西金</w:t>
            </w:r>
            <w:r>
              <w:rPr>
                <w:rFonts w:ascii="宋体" w:hAnsi="宋体" w:eastAsia="宋体"/>
                <w:b w:val="0"/>
                <w:i w:val="0"/>
                <w:color w:val="000000"/>
                <w:sz w:val="18"/>
              </w:rPr>
              <w:t>控同意将所得收益返还山西证券。</w:t>
            </w:r>
          </w:p>
        </w:tc>
        <w:tc>
          <w:tcPr>
            <w:tcW w:type="dxa" w:w="992"/>
            <w:tcBorders>
              <w:start w:sz="4.0" w:val="single" w:color="#000000"/>
              <w:top w:sz="5.600000000000023" w:val="single" w:color="#000000"/>
              <w:end w:sz="4.0" w:val="single" w:color="#000000"/>
              <w:bottom w:sz="4.0" w:val="single" w:color="#000000"/>
            </w:tcBorders>
            <w:tcMar>
              <w:start w:w="0" w:type="dxa"/>
              <w:end w:w="0" w:type="dxa"/>
            </w:tcMar>
          </w:tcPr>
          <w:p/>
        </w:tc>
        <w:tc>
          <w:tcPr>
            <w:tcW w:type="dxa" w:w="1132"/>
            <w:tcBorders>
              <w:start w:sz="4.0" w:val="single" w:color="#000000"/>
              <w:top w:sz="5.600000000000023" w:val="single" w:color="#000000"/>
              <w:end w:sz="4.0" w:val="single" w:color="#000000"/>
              <w:bottom w:sz="4.0" w:val="single" w:color="#000000"/>
            </w:tcBorders>
            <w:tcMar>
              <w:start w:w="0" w:type="dxa"/>
              <w:end w:w="0" w:type="dxa"/>
            </w:tcMar>
          </w:tcPr>
          <w:p/>
        </w:tc>
        <w:tc>
          <w:tcPr>
            <w:tcW w:type="dxa" w:w="1852"/>
            <w:tcBorders>
              <w:start w:sz="4.0" w:val="single" w:color="#000000"/>
              <w:top w:sz="5.600000000000023" w:val="single" w:color="#000000"/>
              <w:end w:sz="4.0" w:val="single" w:color="#000000"/>
              <w:bottom w:sz="4.0" w:val="single" w:color="#000000"/>
            </w:tcBorders>
            <w:tcMar>
              <w:start w:w="0" w:type="dxa"/>
              <w:end w:w="0" w:type="dxa"/>
            </w:tcMar>
          </w:tcPr>
          <w:p/>
        </w:tc>
      </w:tr>
      <w:tr>
        <w:trPr>
          <w:trHeight w:hRule="exact" w:val="610"/>
        </w:trPr>
        <w:tc>
          <w:tcPr>
            <w:tcW w:type="dxa" w:w="1274"/>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284" w:lineRule="exact" w:before="0" w:after="0"/>
              <w:ind w:left="24" w:right="144" w:firstLine="0"/>
              <w:jc w:val="left"/>
            </w:pPr>
            <w:r>
              <w:rPr>
                <w:rFonts w:ascii="宋体" w:hAnsi="宋体" w:eastAsia="宋体"/>
                <w:b w:val="0"/>
                <w:i w:val="0"/>
                <w:color w:val="000000"/>
                <w:sz w:val="18"/>
              </w:rPr>
              <w:t>承诺是否按时</w:t>
            </w:r>
            <w:r>
              <w:rPr>
                <w:rFonts w:ascii="宋体" w:hAnsi="宋体" w:eastAsia="宋体"/>
                <w:b w:val="0"/>
                <w:i w:val="0"/>
                <w:color w:val="000000"/>
                <w:sz w:val="18"/>
              </w:rPr>
              <w:t>履行</w:t>
            </w:r>
          </w:p>
        </w:tc>
        <w:tc>
          <w:tcPr>
            <w:tcW w:type="dxa" w:w="9784"/>
            <w:gridSpan w:val="6"/>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38" w:after="0"/>
              <w:ind w:left="24" w:right="0" w:firstLine="0"/>
              <w:jc w:val="left"/>
            </w:pPr>
            <w:r>
              <w:rPr>
                <w:rFonts w:ascii="宋体" w:hAnsi="宋体" w:eastAsia="宋体"/>
                <w:b w:val="0"/>
                <w:i w:val="0"/>
                <w:color w:val="000000"/>
                <w:sz w:val="18"/>
              </w:rPr>
              <w:t>是</w:t>
            </w:r>
          </w:p>
        </w:tc>
      </w:tr>
      <w:tr>
        <w:trPr>
          <w:trHeight w:hRule="exact" w:val="2114"/>
        </w:trPr>
        <w:tc>
          <w:tcPr>
            <w:tcW w:type="dxa" w:w="1274"/>
            <w:tcBorders>
              <w:start w:sz="4.0" w:val="single" w:color="#000000"/>
              <w:top w:sz="4.0" w:val="single" w:color="#000000"/>
              <w:end w:sz="4.0" w:val="single" w:color="#000000"/>
              <w:bottom w:sz="4.0" w:val="single" w:color="#000000"/>
            </w:tcBorders>
            <w:shd w:fill="e4dfeb"/>
            <w:tcMar>
              <w:start w:w="0" w:type="dxa"/>
              <w:end w:w="0" w:type="dxa"/>
            </w:tcMar>
          </w:tcPr>
          <w:p>
            <w:pPr>
              <w:autoSpaceDN w:val="0"/>
              <w:autoSpaceDE w:val="0"/>
              <w:widowControl/>
              <w:spacing w:line="296" w:lineRule="exact" w:before="0" w:after="0"/>
              <w:ind w:left="24" w:right="154" w:firstLine="0"/>
              <w:jc w:val="both"/>
            </w:pPr>
            <w:r>
              <w:rPr>
                <w:rFonts w:ascii="宋体" w:hAnsi="宋体" w:eastAsia="宋体"/>
                <w:b w:val="0"/>
                <w:i w:val="0"/>
                <w:color w:val="000000"/>
                <w:sz w:val="18"/>
              </w:rPr>
              <w:t>如承诺超期未</w:t>
            </w:r>
            <w:r>
              <w:rPr>
                <w:rFonts w:ascii="宋体" w:hAnsi="宋体" w:eastAsia="宋体"/>
                <w:b w:val="0"/>
                <w:i w:val="0"/>
                <w:color w:val="000000"/>
                <w:sz w:val="18"/>
              </w:rPr>
              <w:t>履行完毕的，</w:t>
            </w:r>
            <w:r>
              <w:rPr>
                <w:rFonts w:ascii="宋体" w:hAnsi="宋体" w:eastAsia="宋体"/>
                <w:b w:val="0"/>
                <w:i w:val="0"/>
                <w:color w:val="000000"/>
                <w:sz w:val="18"/>
              </w:rPr>
              <w:t>应当详细说明</w:t>
            </w:r>
            <w:r>
              <w:rPr>
                <w:rFonts w:ascii="宋体" w:hAnsi="宋体" w:eastAsia="宋体"/>
                <w:b w:val="0"/>
                <w:i w:val="0"/>
                <w:color w:val="000000"/>
                <w:sz w:val="18"/>
              </w:rPr>
              <w:t>未完成履行的</w:t>
            </w:r>
            <w:r>
              <w:rPr>
                <w:rFonts w:ascii="宋体" w:hAnsi="宋体" w:eastAsia="宋体"/>
                <w:b w:val="0"/>
                <w:i w:val="0"/>
                <w:color w:val="000000"/>
                <w:sz w:val="18"/>
              </w:rPr>
              <w:t>具体原因及下</w:t>
            </w:r>
            <w:r>
              <w:rPr>
                <w:rFonts w:ascii="宋体" w:hAnsi="宋体" w:eastAsia="宋体"/>
                <w:b w:val="0"/>
                <w:i w:val="0"/>
                <w:color w:val="000000"/>
                <w:sz w:val="18"/>
              </w:rPr>
              <w:t>一步的工作计</w:t>
            </w:r>
            <w:r>
              <w:rPr>
                <w:rFonts w:ascii="宋体" w:hAnsi="宋体" w:eastAsia="宋体"/>
                <w:b w:val="0"/>
                <w:i w:val="0"/>
                <w:color w:val="000000"/>
                <w:sz w:val="18"/>
              </w:rPr>
              <w:t>划</w:t>
            </w:r>
          </w:p>
        </w:tc>
        <w:tc>
          <w:tcPr>
            <w:tcW w:type="dxa" w:w="9784"/>
            <w:gridSpan w:val="6"/>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990" w:after="0"/>
              <w:ind w:left="24" w:right="0" w:firstLine="0"/>
              <w:jc w:val="left"/>
            </w:pPr>
            <w:r>
              <w:rPr>
                <w:rFonts w:ascii="宋体" w:hAnsi="宋体" w:eastAsia="宋体"/>
                <w:b w:val="0"/>
                <w:i w:val="0"/>
                <w:color w:val="000000"/>
                <w:sz w:val="18"/>
              </w:rPr>
              <w:t>不适用</w:t>
            </w:r>
          </w:p>
        </w:tc>
      </w:tr>
    </w:tbl>
    <w:p>
      <w:pPr>
        <w:autoSpaceDN w:val="0"/>
        <w:autoSpaceDE w:val="0"/>
        <w:widowControl/>
        <w:spacing w:line="212" w:lineRule="exact" w:before="686" w:after="0"/>
        <w:ind w:left="716" w:right="0" w:firstLine="0"/>
        <w:jc w:val="left"/>
      </w:pPr>
      <w:r>
        <w:rPr>
          <w:rFonts w:ascii="宋体" w:hAnsi="宋体" w:eastAsia="宋体"/>
          <w:b w:val="0"/>
          <w:i w:val="0"/>
          <w:color w:val="000000"/>
          <w:sz w:val="21"/>
        </w:rPr>
        <w:t>2、公司资产或项目存在盈利预测，且报告期仍处在盈利预测期间，公司就资产或项目达到原盈利预测</w:t>
      </w:r>
    </w:p>
    <w:p>
      <w:pPr>
        <w:autoSpaceDN w:val="0"/>
        <w:autoSpaceDE w:val="0"/>
        <w:widowControl/>
        <w:spacing w:line="210" w:lineRule="exact" w:before="68" w:after="0"/>
        <w:ind w:left="716" w:right="0" w:firstLine="0"/>
        <w:jc w:val="left"/>
      </w:pPr>
      <w:r>
        <w:rPr>
          <w:rFonts w:ascii="宋体" w:hAnsi="宋体" w:eastAsia="宋体"/>
          <w:b w:val="0"/>
          <w:i w:val="0"/>
          <w:color w:val="000000"/>
          <w:sz w:val="21"/>
        </w:rPr>
        <w:t xml:space="preserve">及其原因做出说明 </w:t>
      </w:r>
    </w:p>
    <w:p>
      <w:pPr>
        <w:autoSpaceDN w:val="0"/>
        <w:autoSpaceDE w:val="0"/>
        <w:widowControl/>
        <w:spacing w:line="198" w:lineRule="exact" w:before="358" w:after="0"/>
        <w:ind w:left="716" w:right="0" w:firstLine="0"/>
        <w:jc w:val="left"/>
      </w:pPr>
      <w:r>
        <w:rPr>
          <w:rFonts w:ascii="宋体" w:hAnsi="宋体" w:eastAsia="宋体"/>
          <w:b w:val="0"/>
          <w:i w:val="0"/>
          <w:color w:val="000000"/>
          <w:sz w:val="18"/>
        </w:rPr>
        <w:t xml:space="preserve">□适用 </w:t>
      </w:r>
      <w:r>
        <w:rPr>
          <w:rFonts w:ascii="Times New Roman" w:hAnsi="Times New Roman" w:eastAsia="Times New Roman"/>
          <w:b w:val="0"/>
          <w:i w:val="0"/>
          <w:color w:val="000000"/>
          <w:sz w:val="18"/>
        </w:rPr>
        <w:t>√</w:t>
      </w:r>
      <w:r>
        <w:rPr>
          <w:rFonts w:ascii="宋体" w:hAnsi="宋体" w:eastAsia="宋体"/>
          <w:b w:val="0"/>
          <w:i w:val="0"/>
          <w:color w:val="000000"/>
          <w:sz w:val="18"/>
        </w:rPr>
        <w:t xml:space="preserve">不适用 </w:t>
      </w:r>
    </w:p>
    <w:p>
      <w:pPr>
        <w:autoSpaceDN w:val="0"/>
        <w:autoSpaceDE w:val="0"/>
        <w:widowControl/>
        <w:spacing w:line="240" w:lineRule="exact" w:before="360" w:after="0"/>
        <w:ind w:left="716" w:right="0" w:firstLine="0"/>
        <w:jc w:val="left"/>
      </w:pPr>
      <w:r>
        <w:rPr>
          <w:rFonts w:ascii="宋体" w:hAnsi="宋体" w:eastAsia="宋体"/>
          <w:b w:val="0"/>
          <w:i w:val="0"/>
          <w:color w:val="000000"/>
          <w:sz w:val="24"/>
        </w:rPr>
        <w:t xml:space="preserve">二、控股股东及其他关联方对上市公司的非经营性占用资金情况 </w:t>
      </w:r>
    </w:p>
    <w:p>
      <w:pPr>
        <w:autoSpaceDN w:val="0"/>
        <w:autoSpaceDE w:val="0"/>
        <w:widowControl/>
        <w:spacing w:line="180" w:lineRule="exact" w:before="366" w:after="0"/>
        <w:ind w:left="716"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716" w:right="0" w:firstLine="0"/>
        <w:jc w:val="left"/>
      </w:pPr>
      <w:r>
        <w:rPr>
          <w:rFonts w:ascii="宋体" w:hAnsi="宋体" w:eastAsia="宋体"/>
          <w:b w:val="0"/>
          <w:i w:val="0"/>
          <w:color w:val="000000"/>
          <w:sz w:val="24"/>
        </w:rPr>
        <w:t xml:space="preserve">三、违规对外担保情况 </w:t>
      </w:r>
    </w:p>
    <w:p>
      <w:pPr>
        <w:autoSpaceDN w:val="0"/>
        <w:autoSpaceDE w:val="0"/>
        <w:widowControl/>
        <w:spacing w:line="180" w:lineRule="exact" w:before="364" w:after="0"/>
        <w:ind w:left="716"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716" w:right="0" w:firstLine="0"/>
        <w:jc w:val="left"/>
      </w:pPr>
      <w:r>
        <w:rPr>
          <w:rFonts w:ascii="宋体" w:hAnsi="宋体" w:eastAsia="宋体"/>
          <w:b w:val="0"/>
          <w:i w:val="0"/>
          <w:color w:val="000000"/>
          <w:sz w:val="24"/>
        </w:rPr>
        <w:t xml:space="preserve">四、董事会对最近一期“非标准审计报告”相关情况的说明 </w:t>
      </w:r>
    </w:p>
    <w:p>
      <w:pPr>
        <w:autoSpaceDN w:val="0"/>
        <w:autoSpaceDE w:val="0"/>
        <w:widowControl/>
        <w:spacing w:line="180" w:lineRule="exact" w:before="366" w:after="0"/>
        <w:ind w:left="716"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716" w:right="0" w:firstLine="0"/>
        <w:jc w:val="left"/>
      </w:pPr>
      <w:r>
        <w:rPr>
          <w:rFonts w:ascii="宋体" w:hAnsi="宋体" w:eastAsia="宋体"/>
          <w:b w:val="0"/>
          <w:i w:val="0"/>
          <w:color w:val="000000"/>
          <w:sz w:val="24"/>
        </w:rPr>
        <w:t>五、董事会、监事会、独立董事（如有）对会计师事务所本报告期“非标准审计报告”的</w:t>
      </w:r>
    </w:p>
    <w:p>
      <w:pPr>
        <w:autoSpaceDN w:val="0"/>
        <w:autoSpaceDE w:val="0"/>
        <w:widowControl/>
        <w:spacing w:line="240" w:lineRule="exact" w:before="82" w:after="0"/>
        <w:ind w:left="716" w:right="0" w:firstLine="0"/>
        <w:jc w:val="left"/>
      </w:pPr>
      <w:r>
        <w:rPr>
          <w:rFonts w:ascii="宋体" w:hAnsi="宋体" w:eastAsia="宋体"/>
          <w:b w:val="0"/>
          <w:i w:val="0"/>
          <w:color w:val="000000"/>
          <w:sz w:val="24"/>
        </w:rPr>
        <w:t xml:space="preserve">说明 </w:t>
      </w:r>
    </w:p>
    <w:p>
      <w:pPr>
        <w:autoSpaceDN w:val="0"/>
        <w:autoSpaceDE w:val="0"/>
        <w:widowControl/>
        <w:spacing w:line="180" w:lineRule="exact" w:before="362" w:after="0"/>
        <w:ind w:left="716"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990" w:after="0"/>
        <w:ind w:left="0" w:right="0" w:firstLine="0"/>
        <w:jc w:val="center"/>
      </w:pPr>
      <w:r>
        <w:rPr>
          <w:rFonts w:ascii="Calibri" w:hAnsi="Calibri" w:eastAsia="Calibri"/>
          <w:b w:val="0"/>
          <w:i w:val="0"/>
          <w:color w:val="000000"/>
          <w:sz w:val="18"/>
        </w:rPr>
        <w:t xml:space="preserve">109 </w:t>
      </w:r>
    </w:p>
    <w:p>
      <w:pPr>
        <w:sectPr>
          <w:type w:val="continuous"/>
          <w:pgSz w:w="11904" w:h="16841"/>
          <w:pgMar w:top="424" w:right="398" w:bottom="446" w:left="418"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12" name="Picture 11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40" w:lineRule="exact" w:before="62" w:after="0"/>
        <w:ind w:left="30" w:right="0" w:firstLine="0"/>
        <w:jc w:val="left"/>
      </w:pPr>
      <w:r>
        <w:rPr>
          <w:rFonts w:ascii="宋体" w:hAnsi="宋体" w:eastAsia="宋体"/>
          <w:b w:val="0"/>
          <w:i w:val="0"/>
          <w:color w:val="000000"/>
          <w:sz w:val="24"/>
        </w:rPr>
        <w:t xml:space="preserve">六、与上年度财务报告相比，会计政策、会计估计变更或重大会计差错更正的情况说明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0"/>
        <w:ind w:left="30" w:right="0" w:firstLine="0"/>
        <w:jc w:val="left"/>
      </w:pPr>
      <w:r>
        <w:rPr>
          <w:rFonts w:ascii="宋体" w:hAnsi="宋体" w:eastAsia="宋体"/>
          <w:b w:val="0"/>
          <w:i w:val="0"/>
          <w:color w:val="000000"/>
          <w:sz w:val="18"/>
        </w:rPr>
        <w:t xml:space="preserve">公司报告期无会计政策、会计估计变更或重大会计差错更正的情况。 </w:t>
      </w:r>
    </w:p>
    <w:p>
      <w:pPr>
        <w:autoSpaceDN w:val="0"/>
        <w:autoSpaceDE w:val="0"/>
        <w:widowControl/>
        <w:spacing w:line="240" w:lineRule="exact" w:before="374" w:after="0"/>
        <w:ind w:left="30" w:right="0" w:firstLine="0"/>
        <w:jc w:val="left"/>
      </w:pPr>
      <w:r>
        <w:rPr>
          <w:rFonts w:ascii="宋体" w:hAnsi="宋体" w:eastAsia="宋体"/>
          <w:b w:val="0"/>
          <w:i w:val="0"/>
          <w:color w:val="000000"/>
          <w:sz w:val="24"/>
        </w:rPr>
        <w:t xml:space="preserve">七、与上年度财务报告相比，合并报表范围发生变化的情况说明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134" w:after="0"/>
        <w:ind w:left="30" w:right="0" w:firstLine="0"/>
        <w:jc w:val="left"/>
      </w:pPr>
      <w:r>
        <w:rPr>
          <w:rFonts w:ascii="宋体" w:hAnsi="宋体" w:eastAsia="宋体"/>
          <w:b w:val="0"/>
          <w:i w:val="0"/>
          <w:color w:val="000000"/>
          <w:sz w:val="21"/>
        </w:rPr>
        <w:t>详见本报告第十节</w:t>
      </w:r>
      <w:r>
        <w:rPr>
          <w:rFonts w:ascii="宋体" w:hAnsi="宋体" w:eastAsia="宋体"/>
          <w:b w:val="0"/>
          <w:i w:val="0"/>
          <w:color w:val="000000"/>
          <w:sz w:val="21"/>
        </w:rPr>
        <w:t>“财务报告附注‘六、合并范围的变更’及‘七、在其他主体中的权益’”。</w:t>
      </w:r>
    </w:p>
    <w:p>
      <w:pPr>
        <w:autoSpaceDN w:val="0"/>
        <w:autoSpaceDE w:val="0"/>
        <w:widowControl/>
        <w:spacing w:line="240" w:lineRule="exact" w:before="368" w:after="0"/>
        <w:ind w:left="30" w:right="0" w:firstLine="0"/>
        <w:jc w:val="left"/>
      </w:pPr>
      <w:r>
        <w:rPr>
          <w:rFonts w:ascii="宋体" w:hAnsi="宋体" w:eastAsia="宋体"/>
          <w:b w:val="0"/>
          <w:i w:val="0"/>
          <w:color w:val="000000"/>
          <w:sz w:val="24"/>
        </w:rPr>
        <w:t xml:space="preserve">八、聘任、解聘会计师事务所情况 </w:t>
      </w:r>
    </w:p>
    <w:p>
      <w:pPr>
        <w:autoSpaceDN w:val="0"/>
        <w:autoSpaceDE w:val="0"/>
        <w:widowControl/>
        <w:spacing w:line="234" w:lineRule="exact" w:before="462" w:after="194"/>
        <w:ind w:left="452" w:right="0" w:firstLine="0"/>
        <w:jc w:val="left"/>
      </w:pPr>
      <w:r>
        <w:rPr>
          <w:rFonts w:ascii="Times New Roman,Bold" w:hAnsi="Times New Roman,Bold" w:eastAsia="Times New Roman,Bold"/>
          <w:b/>
          <w:i w:val="0"/>
          <w:color w:val="000000"/>
          <w:sz w:val="21"/>
        </w:rPr>
        <w:t>1</w:t>
      </w:r>
      <w:r>
        <w:rPr>
          <w:rFonts w:ascii="宋体" w:hAnsi="宋体" w:eastAsia="宋体"/>
          <w:b w:val="0"/>
          <w:i w:val="0"/>
          <w:color w:val="000000"/>
          <w:sz w:val="21"/>
        </w:rPr>
        <w:t>、现聘任的会计师事务所</w:t>
      </w:r>
    </w:p>
    <w:tbl>
      <w:tblPr>
        <w:tblW w:type="auto" w:w="0"/>
        <w:tblLayout w:type="fixed"/>
        <w:tblLook w:firstColumn="1" w:firstRow="1" w:lastColumn="0" w:lastRow="0" w:noHBand="0" w:noVBand="1" w:val="04A0"/>
        <w:tblInd w:w="27.99999999999997" w:type="dxa"/>
      </w:tblPr>
      <w:tblGrid>
        <w:gridCol w:w="4858"/>
        <w:gridCol w:w="4858"/>
      </w:tblGrid>
      <w:tr>
        <w:trPr>
          <w:trHeight w:hRule="exact" w:val="322"/>
        </w:trPr>
        <w:tc>
          <w:tcPr>
            <w:tcW w:type="dxa" w:w="4256"/>
            <w:tcBorders>
              <w:start w:sz="2.3999999999999773"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境内会计师事务所名称 </w:t>
            </w:r>
          </w:p>
        </w:tc>
        <w:tc>
          <w:tcPr>
            <w:tcW w:type="dxa" w:w="5386"/>
            <w:tcBorders>
              <w:start w:sz="2.400000000000091" w:val="single" w:color="#000000"/>
              <w:top w:sz="2.400000000000091"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安永华明会计师事务所（特殊普通合伙） </w:t>
            </w:r>
          </w:p>
        </w:tc>
      </w:tr>
      <w:tr>
        <w:trPr>
          <w:trHeight w:hRule="exact" w:val="486"/>
        </w:trPr>
        <w:tc>
          <w:tcPr>
            <w:tcW w:type="dxa" w:w="4256"/>
            <w:tcBorders>
              <w:start w:sz="2.3999999999999773" w:val="single" w:color="#000000"/>
              <w:top w:sz="2.400000000000091"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156" w:after="0"/>
              <w:ind w:left="108" w:right="0" w:firstLine="0"/>
              <w:jc w:val="left"/>
            </w:pPr>
            <w:r>
              <w:rPr>
                <w:rFonts w:ascii="宋体" w:hAnsi="宋体" w:eastAsia="宋体"/>
                <w:b w:val="0"/>
                <w:i w:val="0"/>
                <w:color w:val="000000"/>
                <w:sz w:val="18"/>
              </w:rPr>
              <w:t xml:space="preserve">境内会计师事务所报酬（万元） </w:t>
            </w:r>
          </w:p>
        </w:tc>
        <w:tc>
          <w:tcPr>
            <w:tcW w:type="dxa" w:w="5386"/>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28" w:lineRule="exact" w:before="0" w:after="0"/>
              <w:ind w:left="108" w:right="144" w:firstLine="0"/>
              <w:jc w:val="left"/>
            </w:pPr>
            <w:r>
              <w:rPr>
                <w:rFonts w:ascii="宋体" w:hAnsi="宋体" w:eastAsia="宋体"/>
                <w:b w:val="0"/>
                <w:i w:val="0"/>
                <w:color w:val="000000"/>
                <w:sz w:val="18"/>
              </w:rPr>
              <w:t>2024 年度财务报表审计费用100 万元，内部控制审计费用20 万</w:t>
            </w:r>
            <w:r>
              <w:rPr>
                <w:rFonts w:ascii="宋体" w:hAnsi="宋体" w:eastAsia="宋体"/>
                <w:b w:val="0"/>
                <w:i w:val="0"/>
                <w:color w:val="000000"/>
                <w:sz w:val="18"/>
              </w:rPr>
              <w:t xml:space="preserve">元，合计120 万元。 </w:t>
            </w:r>
          </w:p>
        </w:tc>
      </w:tr>
      <w:tr>
        <w:trPr>
          <w:trHeight w:hRule="exact" w:val="326"/>
        </w:trPr>
        <w:tc>
          <w:tcPr>
            <w:tcW w:type="dxa" w:w="4256"/>
            <w:tcBorders>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12" w:right="0" w:firstLine="0"/>
              <w:jc w:val="left"/>
            </w:pPr>
            <w:r>
              <w:rPr>
                <w:rFonts w:ascii="宋体" w:hAnsi="宋体" w:eastAsia="宋体"/>
                <w:b w:val="0"/>
                <w:i w:val="0"/>
                <w:color w:val="000000"/>
                <w:sz w:val="18"/>
              </w:rPr>
              <w:t xml:space="preserve">境内会计师事务所审计服务的连续年限 </w:t>
            </w:r>
          </w:p>
        </w:tc>
        <w:tc>
          <w:tcPr>
            <w:tcW w:type="dxa" w:w="5386"/>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3 年 </w:t>
            </w:r>
          </w:p>
        </w:tc>
      </w:tr>
      <w:tr>
        <w:trPr>
          <w:trHeight w:hRule="exact" w:val="324"/>
        </w:trPr>
        <w:tc>
          <w:tcPr>
            <w:tcW w:type="dxa" w:w="4256"/>
            <w:tcBorders>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12" w:right="0" w:firstLine="0"/>
              <w:jc w:val="left"/>
            </w:pPr>
            <w:r>
              <w:rPr>
                <w:rFonts w:ascii="宋体" w:hAnsi="宋体" w:eastAsia="宋体"/>
                <w:b w:val="0"/>
                <w:i w:val="0"/>
                <w:color w:val="000000"/>
                <w:sz w:val="18"/>
              </w:rPr>
              <w:t xml:space="preserve">境内会计师事务所注册会计师姓名 </w:t>
            </w:r>
          </w:p>
        </w:tc>
        <w:tc>
          <w:tcPr>
            <w:tcW w:type="dxa" w:w="5386"/>
            <w:tcBorders>
              <w:start w:sz="2.400000000000091"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顾珺女士、俞溜女士 </w:t>
            </w:r>
          </w:p>
        </w:tc>
      </w:tr>
      <w:tr>
        <w:trPr>
          <w:trHeight w:hRule="exact" w:val="328"/>
        </w:trPr>
        <w:tc>
          <w:tcPr>
            <w:tcW w:type="dxa" w:w="4256"/>
            <w:tcBorders>
              <w:top w:sz="1.599999999999909"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 xml:space="preserve">境内会计师事务所注册会计师审计服务的连续年限 </w:t>
            </w:r>
          </w:p>
        </w:tc>
        <w:tc>
          <w:tcPr>
            <w:tcW w:type="dxa" w:w="5386"/>
            <w:tcBorders>
              <w:start w:sz="2.400000000000091" w:val="single" w:color="#000000"/>
              <w:top w:sz="1.599999999999909" w:val="single" w:color="#000000"/>
              <w:end w:sz="1.5999999999994543" w:val="single" w:color="#000000"/>
              <w:bottom w:sz="2.399999999999636" w:val="single" w:color="#000000"/>
            </w:tcBorders>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注册会计师均为第三年为公司提供服务。 </w:t>
            </w:r>
          </w:p>
        </w:tc>
      </w:tr>
    </w:tbl>
    <w:p>
      <w:pPr>
        <w:autoSpaceDN w:val="0"/>
        <w:autoSpaceDE w:val="0"/>
        <w:widowControl/>
        <w:spacing w:line="234" w:lineRule="exact" w:before="284" w:after="0"/>
        <w:ind w:left="452" w:right="0" w:firstLine="0"/>
        <w:jc w:val="left"/>
      </w:pPr>
      <w:r>
        <w:rPr>
          <w:rFonts w:ascii="Times New Roman,Bold" w:hAnsi="Times New Roman,Bold" w:eastAsia="Times New Roman,Bold"/>
          <w:b/>
          <w:i w:val="0"/>
          <w:color w:val="000000"/>
          <w:sz w:val="21"/>
        </w:rPr>
        <w:t>2</w:t>
      </w:r>
      <w:r>
        <w:rPr>
          <w:rFonts w:ascii="宋体" w:hAnsi="宋体" w:eastAsia="宋体"/>
          <w:b w:val="0"/>
          <w:i w:val="0"/>
          <w:color w:val="000000"/>
          <w:sz w:val="21"/>
        </w:rPr>
        <w:t>、当期是否改聘会计师事务所</w:t>
      </w:r>
    </w:p>
    <w:p>
      <w:pPr>
        <w:autoSpaceDN w:val="0"/>
        <w:autoSpaceDE w:val="0"/>
        <w:widowControl/>
        <w:spacing w:line="180" w:lineRule="exact" w:before="224" w:after="0"/>
        <w:ind w:left="390" w:right="0" w:firstLine="0"/>
        <w:jc w:val="left"/>
      </w:pPr>
      <w:r>
        <w:rPr>
          <w:rFonts w:ascii="宋体" w:hAnsi="宋体" w:eastAsia="宋体"/>
          <w:b w:val="0"/>
          <w:i w:val="0"/>
          <w:color w:val="000000"/>
          <w:sz w:val="18"/>
        </w:rPr>
        <w:t xml:space="preserve">□是 √否 </w:t>
      </w:r>
    </w:p>
    <w:p>
      <w:pPr>
        <w:autoSpaceDN w:val="0"/>
        <w:autoSpaceDE w:val="0"/>
        <w:widowControl/>
        <w:spacing w:line="234" w:lineRule="exact" w:before="316" w:after="0"/>
        <w:ind w:left="452" w:right="0" w:firstLine="0"/>
        <w:jc w:val="left"/>
      </w:pPr>
      <w:r>
        <w:rPr>
          <w:rFonts w:ascii="Times New Roman,Bold" w:hAnsi="Times New Roman,Bold" w:eastAsia="Times New Roman,Bold"/>
          <w:b/>
          <w:i w:val="0"/>
          <w:color w:val="000000"/>
          <w:sz w:val="21"/>
        </w:rPr>
        <w:t>3</w:t>
      </w:r>
      <w:r>
        <w:rPr>
          <w:rFonts w:ascii="宋体" w:hAnsi="宋体" w:eastAsia="宋体"/>
          <w:b w:val="0"/>
          <w:i w:val="0"/>
          <w:color w:val="000000"/>
          <w:sz w:val="21"/>
        </w:rPr>
        <w:t>、聘请内部控制审计会计师事务所、财务顾问或保荐人情况</w:t>
      </w:r>
    </w:p>
    <w:p>
      <w:pPr>
        <w:autoSpaceDN w:val="0"/>
        <w:autoSpaceDE w:val="0"/>
        <w:widowControl/>
        <w:spacing w:line="212" w:lineRule="exact" w:before="374" w:after="0"/>
        <w:ind w:left="450" w:right="0" w:firstLine="0"/>
        <w:jc w:val="left"/>
      </w:pPr>
      <w:r>
        <w:rPr>
          <w:rFonts w:ascii="宋体" w:hAnsi="宋体" w:eastAsia="宋体"/>
          <w:b w:val="0"/>
          <w:i w:val="0"/>
          <w:color w:val="000000"/>
          <w:sz w:val="21"/>
        </w:rPr>
        <w:t>公司聘请安永华明会计师事务所（特殊普通合伙）担任公司2024 年度内部控制审计机构，内部控</w:t>
      </w:r>
    </w:p>
    <w:p>
      <w:pPr>
        <w:autoSpaceDN w:val="0"/>
        <w:autoSpaceDE w:val="0"/>
        <w:widowControl/>
        <w:spacing w:line="210" w:lineRule="exact" w:before="250" w:after="0"/>
        <w:ind w:left="30" w:right="0" w:firstLine="0"/>
        <w:jc w:val="left"/>
      </w:pPr>
      <w:r>
        <w:rPr>
          <w:rFonts w:ascii="宋体" w:hAnsi="宋体" w:eastAsia="宋体"/>
          <w:b w:val="0"/>
          <w:i w:val="0"/>
          <w:color w:val="000000"/>
          <w:sz w:val="21"/>
        </w:rPr>
        <w:t>制审计费用20 万元。</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九、年度报告披露后面临退市情况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30" w:right="0" w:firstLine="0"/>
        <w:jc w:val="left"/>
      </w:pPr>
      <w:r>
        <w:rPr>
          <w:rFonts w:ascii="宋体" w:hAnsi="宋体" w:eastAsia="宋体"/>
          <w:b w:val="0"/>
          <w:i w:val="0"/>
          <w:color w:val="000000"/>
          <w:sz w:val="24"/>
        </w:rPr>
        <w:t xml:space="preserve">十、公司破产重整，兼并、分立以及子公司、分公司、营业部新设和处置等重大情况 </w:t>
      </w:r>
    </w:p>
    <w:p>
      <w:pPr>
        <w:autoSpaceDN w:val="0"/>
        <w:autoSpaceDE w:val="0"/>
        <w:widowControl/>
        <w:spacing w:line="212" w:lineRule="exact" w:before="372" w:after="0"/>
        <w:ind w:left="30" w:right="0" w:firstLine="0"/>
        <w:jc w:val="left"/>
      </w:pPr>
      <w:r>
        <w:rPr>
          <w:rFonts w:ascii="宋体" w:hAnsi="宋体" w:eastAsia="宋体"/>
          <w:b w:val="0"/>
          <w:i w:val="0"/>
          <w:color w:val="000000"/>
          <w:sz w:val="21"/>
        </w:rPr>
        <w:t xml:space="preserve">1、破产重整相关事项 </w:t>
      </w:r>
    </w:p>
    <w:p>
      <w:pPr>
        <w:autoSpaceDN w:val="0"/>
        <w:autoSpaceDE w:val="0"/>
        <w:widowControl/>
        <w:spacing w:line="180" w:lineRule="exact" w:before="362"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30" w:right="0" w:firstLine="0"/>
        <w:jc w:val="left"/>
      </w:pPr>
      <w:r>
        <w:rPr>
          <w:rFonts w:ascii="宋体" w:hAnsi="宋体" w:eastAsia="宋体"/>
          <w:b w:val="0"/>
          <w:i w:val="0"/>
          <w:color w:val="000000"/>
          <w:sz w:val="21"/>
        </w:rPr>
        <w:t xml:space="preserve">2、公司兼并或分立情况 </w:t>
      </w:r>
    </w:p>
    <w:p>
      <w:pPr>
        <w:autoSpaceDN w:val="0"/>
        <w:autoSpaceDE w:val="0"/>
        <w:widowControl/>
        <w:spacing w:line="180" w:lineRule="exact" w:before="362"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1594" w:after="0"/>
        <w:ind w:left="0" w:right="0" w:firstLine="0"/>
        <w:jc w:val="center"/>
      </w:pPr>
      <w:r>
        <w:rPr>
          <w:rFonts w:ascii="Calibri" w:hAnsi="Calibri" w:eastAsia="Calibri"/>
          <w:b w:val="0"/>
          <w:i w:val="0"/>
          <w:color w:val="000000"/>
          <w:sz w:val="18"/>
        </w:rPr>
        <w:t xml:space="preserve">110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020" w:header="720" w:footer="720" w:gutter="0"/>
          <w:cols/>
          <w:docGrid w:linePitch="360"/>
        </w:sectPr>
      </w:pPr>
    </w:p>
    <w:p>
      <w:pPr>
        <w:autoSpaceDN w:val="0"/>
        <w:autoSpaceDE w:val="0"/>
        <w:widowControl/>
        <w:spacing w:line="240" w:lineRule="auto" w:before="0" w:after="0"/>
        <w:ind w:left="114" w:right="0" w:firstLine="0"/>
        <w:jc w:val="left"/>
      </w:pPr>
      <w:r>
        <w:drawing>
          <wp:inline xmlns:a="http://schemas.openxmlformats.org/drawingml/2006/main" xmlns:pic="http://schemas.openxmlformats.org/drawingml/2006/picture">
            <wp:extent cx="1844039" cy="439419"/>
            <wp:docPr id="113" name="Picture 1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10" w:lineRule="exact" w:before="56" w:after="0"/>
        <w:ind w:left="114" w:right="0" w:firstLine="0"/>
        <w:jc w:val="left"/>
      </w:pPr>
      <w:r>
        <w:rPr>
          <w:rFonts w:ascii="宋体" w:hAnsi="宋体" w:eastAsia="宋体"/>
          <w:b w:val="0"/>
          <w:i w:val="0"/>
          <w:color w:val="000000"/>
          <w:sz w:val="21"/>
        </w:rPr>
        <w:t xml:space="preserve">3、子公司、分公司、营业部新设和处置情况 </w:t>
      </w:r>
    </w:p>
    <w:p>
      <w:pPr>
        <w:autoSpaceDN w:val="0"/>
        <w:autoSpaceDE w:val="0"/>
        <w:widowControl/>
        <w:spacing w:line="212" w:lineRule="exact" w:before="512" w:after="0"/>
        <w:ind w:left="114" w:right="0" w:firstLine="0"/>
        <w:jc w:val="left"/>
      </w:pPr>
      <w:r>
        <w:rPr>
          <w:rFonts w:ascii="宋体" w:hAnsi="宋体" w:eastAsia="宋体"/>
          <w:b w:val="0"/>
          <w:i w:val="0"/>
          <w:color w:val="000000"/>
          <w:sz w:val="21"/>
        </w:rPr>
        <w:t xml:space="preserve">（1）子公司、分公司调整情况 </w:t>
      </w:r>
    </w:p>
    <w:p>
      <w:pPr>
        <w:autoSpaceDN w:val="0"/>
        <w:autoSpaceDE w:val="0"/>
        <w:widowControl/>
        <w:spacing w:line="460" w:lineRule="exact" w:before="240" w:after="0"/>
        <w:ind w:left="114" w:right="0" w:firstLine="420"/>
        <w:jc w:val="left"/>
      </w:pPr>
      <w:r>
        <w:rPr>
          <w:rFonts w:ascii="宋体" w:hAnsi="宋体" w:eastAsia="宋体"/>
          <w:b w:val="0"/>
          <w:i w:val="0"/>
          <w:color w:val="000000"/>
          <w:sz w:val="21"/>
        </w:rPr>
        <w:t>根据中国证监会《关于核准山西证券股份有限公司设立资产管理子公司的批复》（证监许可 〔2021〕</w:t>
      </w:r>
      <w:r>
        <w:rPr>
          <w:rFonts w:ascii="宋体" w:hAnsi="宋体" w:eastAsia="宋体"/>
          <w:b w:val="0"/>
          <w:i w:val="0"/>
          <w:color w:val="000000"/>
          <w:sz w:val="21"/>
        </w:rPr>
        <w:t>1700 号），公司获准设立全资资产管理子公司山证（上海）资产管理有限公司，从事资产管理相关业务。</w:t>
      </w:r>
    </w:p>
    <w:p>
      <w:pPr>
        <w:autoSpaceDN w:val="0"/>
        <w:autoSpaceDE w:val="0"/>
        <w:widowControl/>
        <w:spacing w:line="460" w:lineRule="exact" w:before="0" w:after="0"/>
        <w:ind w:left="114" w:right="316" w:firstLine="0"/>
        <w:jc w:val="both"/>
      </w:pPr>
      <w:r>
        <w:rPr>
          <w:rFonts w:ascii="宋体" w:hAnsi="宋体" w:eastAsia="宋体"/>
          <w:b w:val="0"/>
          <w:i w:val="0"/>
          <w:color w:val="000000"/>
          <w:sz w:val="21"/>
        </w:rPr>
        <w:t>2023 年8 月31 日，山证资管取得中国证监会颁发的《经营证券期货业务许可证》， 并承继公司上海资</w:t>
      </w:r>
      <w:r>
        <w:rPr>
          <w:rFonts w:ascii="宋体" w:hAnsi="宋体" w:eastAsia="宋体"/>
          <w:b w:val="0"/>
          <w:i w:val="0"/>
          <w:color w:val="000000"/>
          <w:sz w:val="21"/>
        </w:rPr>
        <w:t>产管理分公司业务。2024 年10 月 14 日，上海资产管理分公司完成工商注销登记（详见公告：临</w:t>
      </w:r>
      <w:r>
        <w:rPr>
          <w:rFonts w:ascii="宋体" w:hAnsi="宋体" w:eastAsia="宋体"/>
          <w:b w:val="0"/>
          <w:i w:val="0"/>
          <w:color w:val="000000"/>
          <w:sz w:val="21"/>
        </w:rPr>
        <w:t xml:space="preserve">2024-030）。 </w:t>
      </w:r>
    </w:p>
    <w:p>
      <w:pPr>
        <w:autoSpaceDN w:val="0"/>
        <w:tabs>
          <w:tab w:pos="534" w:val="left"/>
        </w:tabs>
        <w:autoSpaceDE w:val="0"/>
        <w:widowControl/>
        <w:spacing w:line="460" w:lineRule="exact" w:before="0" w:after="0"/>
        <w:ind w:left="114" w:right="288" w:firstLine="0"/>
        <w:jc w:val="left"/>
      </w:pPr>
      <w:r>
        <w:tab/>
      </w:r>
      <w:r>
        <w:rPr>
          <w:rFonts w:ascii="宋体" w:hAnsi="宋体" w:eastAsia="宋体"/>
          <w:b w:val="0"/>
          <w:i w:val="0"/>
          <w:color w:val="000000"/>
          <w:sz w:val="21"/>
        </w:rPr>
        <w:t>2024 年7 月，子公司格林大华地址变更为北京市朝阳区建国门外大街8 号楼29 层（实际楼层25</w:t>
      </w:r>
      <w:r>
        <w:rPr>
          <w:rFonts w:ascii="宋体" w:hAnsi="宋体" w:eastAsia="宋体"/>
          <w:b w:val="0"/>
          <w:i w:val="0"/>
          <w:color w:val="000000"/>
          <w:sz w:val="21"/>
        </w:rPr>
        <w:t xml:space="preserve">层）2501 单元。 </w:t>
      </w:r>
    </w:p>
    <w:p>
      <w:pPr>
        <w:autoSpaceDN w:val="0"/>
        <w:autoSpaceDE w:val="0"/>
        <w:widowControl/>
        <w:spacing w:line="210" w:lineRule="exact" w:before="352" w:after="0"/>
        <w:ind w:left="114" w:right="0" w:firstLine="0"/>
        <w:jc w:val="left"/>
      </w:pPr>
      <w:r>
        <w:rPr>
          <w:rFonts w:ascii="宋体" w:hAnsi="宋体" w:eastAsia="宋体"/>
          <w:b w:val="0"/>
          <w:i w:val="0"/>
          <w:color w:val="000000"/>
          <w:sz w:val="21"/>
        </w:rPr>
        <w:t xml:space="preserve">（2）证券分支机构调整情况 </w:t>
      </w:r>
    </w:p>
    <w:p>
      <w:pPr>
        <w:autoSpaceDN w:val="0"/>
        <w:tabs>
          <w:tab w:pos="534" w:val="left"/>
        </w:tabs>
        <w:autoSpaceDE w:val="0"/>
        <w:widowControl/>
        <w:spacing w:line="462" w:lineRule="exact" w:before="236" w:after="220"/>
        <w:ind w:left="114" w:right="0" w:firstLine="0"/>
        <w:jc w:val="left"/>
      </w:pPr>
      <w:r>
        <w:tab/>
      </w:r>
      <w:r>
        <w:rPr>
          <w:rFonts w:ascii="宋体" w:hAnsi="宋体" w:eastAsia="宋体"/>
          <w:b w:val="0"/>
          <w:i w:val="0"/>
          <w:color w:val="000000"/>
          <w:sz w:val="21"/>
        </w:rPr>
        <w:t>公司坚持与业务转型规划相统一，自上而下分类布局，统筹推进证券营业部的优化调整。报告期内，</w:t>
      </w:r>
      <w:r>
        <w:rPr>
          <w:rFonts w:ascii="宋体" w:hAnsi="宋体" w:eastAsia="宋体"/>
          <w:b w:val="0"/>
          <w:i w:val="0"/>
          <w:color w:val="000000"/>
          <w:sz w:val="21"/>
        </w:rPr>
        <w:t xml:space="preserve">公司撤销3 家证券营业部，7 家分支机构更名，14 家分支机构同城迁址。具体情况如下： </w:t>
      </w:r>
    </w:p>
    <w:tbl>
      <w:tblPr>
        <w:tblW w:type="auto" w:w="0"/>
        <w:tblLayout w:type="fixed"/>
        <w:tblLook w:firstColumn="1" w:firstRow="1" w:lastColumn="0" w:lastRow="0" w:noHBand="0" w:noVBand="1" w:val="04A0"/>
        <w:tblInd w:w="4.000000000000057" w:type="dxa"/>
      </w:tblPr>
      <w:tblGrid>
        <w:gridCol w:w="1977"/>
        <w:gridCol w:w="1977"/>
        <w:gridCol w:w="1977"/>
        <w:gridCol w:w="1977"/>
        <w:gridCol w:w="1977"/>
      </w:tblGrid>
      <w:tr>
        <w:trPr>
          <w:trHeight w:hRule="exact" w:val="406"/>
        </w:trPr>
        <w:tc>
          <w:tcPr>
            <w:tcW w:type="dxa" w:w="9856"/>
            <w:gridSpan w:val="5"/>
            <w:tcBorders>
              <w:start w:sz="4.0" w:val="single" w:color="#000000"/>
              <w:top w:sz="4.0" w:val="single" w:color="#000000"/>
              <w:end w:sz="4.0" w:val="single" w:color="#000000"/>
              <w:bottom w:sz="3.20000000000027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 xml:space="preserve">撤销证券营业部情况 </w:t>
            </w:r>
          </w:p>
        </w:tc>
      </w:tr>
      <w:tr>
        <w:trPr>
          <w:trHeight w:hRule="exact" w:val="410"/>
        </w:trPr>
        <w:tc>
          <w:tcPr>
            <w:tcW w:type="dxa" w:w="630"/>
            <w:tcBorders>
              <w:start w:sz="4.0" w:val="single" w:color="#000000"/>
              <w:top w:sz="3.200000000000273"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4" w:after="0"/>
              <w:ind w:left="128" w:right="0" w:firstLine="0"/>
              <w:jc w:val="left"/>
            </w:pPr>
            <w:r>
              <w:rPr>
                <w:rFonts w:ascii="宋体" w:hAnsi="宋体" w:eastAsia="宋体"/>
                <w:b w:val="0"/>
                <w:i w:val="0"/>
                <w:color w:val="000000"/>
                <w:sz w:val="18"/>
              </w:rPr>
              <w:t xml:space="preserve">序号 </w:t>
            </w:r>
          </w:p>
        </w:tc>
        <w:tc>
          <w:tcPr>
            <w:tcW w:type="dxa" w:w="5288"/>
            <w:gridSpan w:val="3"/>
            <w:tcBorders>
              <w:start w:sz="3.2000000000000455" w:val="single" w:color="#000000"/>
              <w:top w:sz="3.200000000000273" w:val="single" w:color="#000000"/>
              <w:end w:sz="4.0"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04" w:after="0"/>
              <w:ind w:left="0" w:right="2366" w:firstLine="0"/>
              <w:jc w:val="right"/>
            </w:pPr>
            <w:r>
              <w:rPr>
                <w:rFonts w:ascii="宋体" w:hAnsi="宋体" w:eastAsia="宋体"/>
                <w:b w:val="0"/>
                <w:i w:val="0"/>
                <w:color w:val="000000"/>
                <w:sz w:val="18"/>
              </w:rPr>
              <w:t xml:space="preserve">名称 </w:t>
            </w:r>
          </w:p>
        </w:tc>
        <w:tc>
          <w:tcPr>
            <w:tcW w:type="dxa" w:w="3938"/>
            <w:tcBorders>
              <w:start w:sz="4.0" w:val="single" w:color="#000000"/>
              <w:top w:sz="3.200000000000273" w:val="single" w:color="#000000"/>
              <w:end w:sz="4.0" w:val="single" w:color="#000000"/>
              <w:bottom w:sz="4.0" w:val="single" w:color="#000000"/>
            </w:tcBorders>
            <w:tcMar>
              <w:start w:w="0" w:type="dxa"/>
              <w:end w:w="0" w:type="dxa"/>
            </w:tcMar>
          </w:tcPr>
          <w:p>
            <w:pPr>
              <w:autoSpaceDN w:val="0"/>
              <w:autoSpaceDE w:val="0"/>
              <w:widowControl/>
              <w:spacing w:line="180" w:lineRule="exact" w:before="104" w:after="0"/>
              <w:ind w:left="0" w:right="1512" w:firstLine="0"/>
              <w:jc w:val="right"/>
            </w:pPr>
            <w:r>
              <w:rPr>
                <w:rFonts w:ascii="宋体" w:hAnsi="宋体" w:eastAsia="宋体"/>
                <w:b w:val="0"/>
                <w:i w:val="0"/>
                <w:color w:val="000000"/>
                <w:sz w:val="18"/>
              </w:rPr>
              <w:t xml:space="preserve">公告索引 </w:t>
            </w:r>
          </w:p>
        </w:tc>
      </w:tr>
      <w:tr>
        <w:trPr>
          <w:trHeight w:hRule="exact" w:val="404"/>
        </w:trPr>
        <w:tc>
          <w:tcPr>
            <w:tcW w:type="dxa" w:w="630"/>
            <w:tcBorders>
              <w:start w:sz="4.0" w:val="single" w:color="#000000"/>
              <w:top w:sz="4.0" w:val="single" w:color="#000000"/>
              <w:end w:sz="3.2000000000000455" w:val="single" w:color="#000000"/>
              <w:bottom w:sz="3.200000000000273"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1 </w:t>
            </w:r>
          </w:p>
        </w:tc>
        <w:tc>
          <w:tcPr>
            <w:tcW w:type="dxa" w:w="5288"/>
            <w:gridSpan w:val="3"/>
            <w:tcBorders>
              <w:start w:sz="3.2000000000000455" w:val="single" w:color="#000000"/>
              <w:top w:sz="4.0" w:val="single" w:color="#000000"/>
              <w:end w:sz="4.0" w:val="single" w:color="#000000"/>
              <w:bottom w:sz="3.200000000000273"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0" w:right="1648" w:firstLine="0"/>
              <w:jc w:val="right"/>
            </w:pPr>
            <w:r>
              <w:rPr>
                <w:rFonts w:ascii="宋体" w:hAnsi="宋体" w:eastAsia="宋体"/>
                <w:b w:val="0"/>
                <w:i w:val="0"/>
                <w:color w:val="000000"/>
                <w:sz w:val="18"/>
              </w:rPr>
              <w:t xml:space="preserve">霍州开元街证券营业部 </w:t>
            </w:r>
          </w:p>
        </w:tc>
        <w:tc>
          <w:tcPr>
            <w:tcW w:type="dxa" w:w="3938"/>
            <w:tcBorders>
              <w:start w:sz="4.0" w:val="single" w:color="#000000"/>
              <w:top w:sz="4.0" w:val="single" w:color="#000000"/>
              <w:end w:sz="4.0" w:val="single" w:color="#000000"/>
              <w:bottom w:sz="3.200000000000273" w:val="single" w:color="#000000"/>
            </w:tcBorders>
            <w:tcMar>
              <w:start w:w="0" w:type="dxa"/>
              <w:end w:w="0" w:type="dxa"/>
            </w:tcMar>
          </w:tcPr>
          <w:p>
            <w:pPr>
              <w:autoSpaceDN w:val="0"/>
              <w:autoSpaceDE w:val="0"/>
              <w:widowControl/>
              <w:spacing w:line="180" w:lineRule="exact" w:before="102" w:after="0"/>
              <w:ind w:left="0" w:right="1400" w:firstLine="0"/>
              <w:jc w:val="right"/>
            </w:pPr>
            <w:r>
              <w:rPr>
                <w:rFonts w:ascii="宋体" w:hAnsi="宋体" w:eastAsia="宋体"/>
                <w:b w:val="0"/>
                <w:i w:val="0"/>
                <w:color w:val="000000"/>
                <w:sz w:val="18"/>
              </w:rPr>
              <w:t xml:space="preserve">临2023-038 </w:t>
            </w:r>
          </w:p>
        </w:tc>
      </w:tr>
      <w:tr>
        <w:trPr>
          <w:trHeight w:hRule="exact" w:val="408"/>
        </w:trPr>
        <w:tc>
          <w:tcPr>
            <w:tcW w:type="dxa" w:w="630"/>
            <w:tcBorders>
              <w:start w:sz="4.0" w:val="single" w:color="#000000"/>
              <w:top w:sz="3.200000000000273"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2 </w:t>
            </w:r>
          </w:p>
        </w:tc>
        <w:tc>
          <w:tcPr>
            <w:tcW w:type="dxa" w:w="5288"/>
            <w:gridSpan w:val="3"/>
            <w:tcBorders>
              <w:start w:sz="3.2000000000000455" w:val="single" w:color="#000000"/>
              <w:top w:sz="3.200000000000273" w:val="single" w:color="#000000"/>
              <w:end w:sz="4.0" w:val="single" w:color="#000000"/>
              <w:bottom w:sz="3.199999999999818"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0" w:right="1558" w:firstLine="0"/>
              <w:jc w:val="right"/>
            </w:pPr>
            <w:r>
              <w:rPr>
                <w:rFonts w:ascii="宋体" w:hAnsi="宋体" w:eastAsia="宋体"/>
                <w:b w:val="0"/>
                <w:i w:val="0"/>
                <w:color w:val="000000"/>
                <w:sz w:val="18"/>
              </w:rPr>
              <w:t xml:space="preserve">常德建设东路证券营业部 </w:t>
            </w:r>
          </w:p>
        </w:tc>
        <w:tc>
          <w:tcPr>
            <w:tcW w:type="dxa" w:w="3938"/>
            <w:tcBorders>
              <w:start w:sz="4.0" w:val="single" w:color="#000000"/>
              <w:top w:sz="3.200000000000273"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02" w:after="0"/>
              <w:ind w:left="0" w:right="1400" w:firstLine="0"/>
              <w:jc w:val="right"/>
            </w:pPr>
            <w:r>
              <w:rPr>
                <w:rFonts w:ascii="宋体" w:hAnsi="宋体" w:eastAsia="宋体"/>
                <w:b w:val="0"/>
                <w:i w:val="0"/>
                <w:color w:val="000000"/>
                <w:sz w:val="18"/>
              </w:rPr>
              <w:t xml:space="preserve">临2023-038 </w:t>
            </w:r>
          </w:p>
        </w:tc>
      </w:tr>
      <w:tr>
        <w:trPr>
          <w:trHeight w:hRule="exact" w:val="404"/>
        </w:trPr>
        <w:tc>
          <w:tcPr>
            <w:tcW w:type="dxa" w:w="63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3 </w:t>
            </w:r>
          </w:p>
        </w:tc>
        <w:tc>
          <w:tcPr>
            <w:tcW w:type="dxa" w:w="5288"/>
            <w:gridSpan w:val="3"/>
            <w:tcBorders>
              <w:start w:sz="3.2000000000000455" w:val="single" w:color="#000000"/>
              <w:top w:sz="3.199999999999818" w:val="single" w:color="#000000"/>
              <w:end w:sz="4.0"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0" w:right="1648" w:firstLine="0"/>
              <w:jc w:val="right"/>
            </w:pPr>
            <w:r>
              <w:rPr>
                <w:rFonts w:ascii="宋体" w:hAnsi="宋体" w:eastAsia="宋体"/>
                <w:b w:val="0"/>
                <w:i w:val="0"/>
                <w:color w:val="000000"/>
                <w:sz w:val="18"/>
              </w:rPr>
              <w:t xml:space="preserve">寿阳朝阳街证券营业部 </w:t>
            </w:r>
          </w:p>
        </w:tc>
        <w:tc>
          <w:tcPr>
            <w:tcW w:type="dxa" w:w="39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02" w:after="0"/>
              <w:ind w:left="0" w:right="1400" w:firstLine="0"/>
              <w:jc w:val="right"/>
            </w:pPr>
            <w:r>
              <w:rPr>
                <w:rFonts w:ascii="宋体" w:hAnsi="宋体" w:eastAsia="宋体"/>
                <w:b w:val="0"/>
                <w:i w:val="0"/>
                <w:color w:val="000000"/>
                <w:sz w:val="18"/>
              </w:rPr>
              <w:t xml:space="preserve">临2023-046 </w:t>
            </w:r>
          </w:p>
        </w:tc>
      </w:tr>
      <w:tr>
        <w:trPr>
          <w:trHeight w:hRule="exact" w:val="408"/>
        </w:trPr>
        <w:tc>
          <w:tcPr>
            <w:tcW w:type="dxa" w:w="9856"/>
            <w:gridSpan w:val="5"/>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06" w:after="0"/>
              <w:ind w:left="104" w:right="0" w:firstLine="0"/>
              <w:jc w:val="left"/>
            </w:pPr>
            <w:r>
              <w:rPr>
                <w:rFonts w:ascii="宋体" w:hAnsi="宋体" w:eastAsia="宋体"/>
                <w:b w:val="0"/>
                <w:i w:val="0"/>
                <w:color w:val="000000"/>
                <w:sz w:val="18"/>
              </w:rPr>
              <w:t xml:space="preserve">证券分支机构更名 </w:t>
            </w:r>
          </w:p>
        </w:tc>
      </w:tr>
      <w:tr>
        <w:trPr>
          <w:trHeight w:hRule="exact" w:val="410"/>
        </w:trPr>
        <w:tc>
          <w:tcPr>
            <w:tcW w:type="dxa" w:w="63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102" w:after="0"/>
              <w:ind w:left="128" w:right="0" w:firstLine="0"/>
              <w:jc w:val="left"/>
            </w:pPr>
            <w:r>
              <w:rPr>
                <w:rFonts w:ascii="宋体" w:hAnsi="宋体" w:eastAsia="宋体"/>
                <w:b w:val="0"/>
                <w:i w:val="0"/>
                <w:color w:val="000000"/>
                <w:sz w:val="18"/>
              </w:rPr>
              <w:t xml:space="preserve">序号 </w:t>
            </w:r>
          </w:p>
        </w:tc>
        <w:tc>
          <w:tcPr>
            <w:tcW w:type="dxa" w:w="4340"/>
            <w:gridSpan w:val="2"/>
            <w:tcBorders>
              <w:start w:sz="3.2000000000000455" w:val="single" w:color="#000000"/>
              <w:top w:sz="4.0" w:val="single" w:color="#000000"/>
              <w:end w:sz="3.199999999999818" w:val="single" w:color="#000000"/>
              <w:bottom w:sz="3.199999999999818" w:val="single" w:color="#000000"/>
            </w:tcBorders>
            <w:tcMar>
              <w:start w:w="0" w:type="dxa"/>
              <w:end w:w="0" w:type="dxa"/>
            </w:tcMar>
            <w:tcMar>
              <w:start w:w="0" w:type="dxa"/>
              <w:end w:w="0" w:type="dxa"/>
            </w:tcMar>
          </w:tcPr>
          <w:p>
            <w:pPr>
              <w:autoSpaceDN w:val="0"/>
              <w:autoSpaceDE w:val="0"/>
              <w:widowControl/>
              <w:spacing w:line="180" w:lineRule="exact" w:before="102" w:after="0"/>
              <w:ind w:left="0" w:right="1802" w:firstLine="0"/>
              <w:jc w:val="right"/>
            </w:pPr>
            <w:r>
              <w:rPr>
                <w:rFonts w:ascii="宋体" w:hAnsi="宋体" w:eastAsia="宋体"/>
                <w:b w:val="0"/>
                <w:i w:val="0"/>
                <w:color w:val="000000"/>
                <w:sz w:val="18"/>
              </w:rPr>
              <w:t xml:space="preserve">原名称 </w:t>
            </w:r>
          </w:p>
        </w:tc>
        <w:tc>
          <w:tcPr>
            <w:tcW w:type="dxa" w:w="4886"/>
            <w:gridSpan w:val="2"/>
            <w:tcBorders>
              <w:start w:sz="3.199999999999818" w:val="single" w:color="#000000"/>
              <w:top w:sz="4.0" w:val="single" w:color="#000000"/>
              <w:end w:sz="4.0" w:val="single" w:color="#000000"/>
              <w:bottom w:sz="3.199999999999818" w:val="single" w:color="#000000"/>
            </w:tcBorders>
            <w:tcMar>
              <w:start w:w="0" w:type="dxa"/>
              <w:end w:w="0" w:type="dxa"/>
            </w:tcMar>
            <w:tcMar>
              <w:start w:w="0" w:type="dxa"/>
              <w:end w:w="0" w:type="dxa"/>
            </w:tcMar>
          </w:tcPr>
          <w:p>
            <w:pPr>
              <w:autoSpaceDN w:val="0"/>
              <w:autoSpaceDE w:val="0"/>
              <w:widowControl/>
              <w:spacing w:line="180" w:lineRule="exact" w:before="102" w:after="0"/>
              <w:ind w:left="0" w:right="2080" w:firstLine="0"/>
              <w:jc w:val="right"/>
            </w:pPr>
            <w:r>
              <w:rPr>
                <w:rFonts w:ascii="宋体" w:hAnsi="宋体" w:eastAsia="宋体"/>
                <w:b w:val="0"/>
                <w:i w:val="0"/>
                <w:color w:val="000000"/>
                <w:sz w:val="18"/>
              </w:rPr>
              <w:t xml:space="preserve">现名称 </w:t>
            </w:r>
          </w:p>
        </w:tc>
      </w:tr>
      <w:tr>
        <w:trPr>
          <w:trHeight w:hRule="exact" w:val="406"/>
        </w:trPr>
        <w:tc>
          <w:tcPr>
            <w:tcW w:type="dxa" w:w="63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1 </w:t>
            </w:r>
          </w:p>
        </w:tc>
        <w:tc>
          <w:tcPr>
            <w:tcW w:type="dxa" w:w="4340"/>
            <w:gridSpan w:val="2"/>
            <w:tcBorders>
              <w:start w:sz="3.2000000000000455" w:val="single" w:color="#000000"/>
              <w:top w:sz="3.199999999999818"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0" w:right="1174" w:firstLine="0"/>
              <w:jc w:val="right"/>
            </w:pPr>
            <w:r>
              <w:rPr>
                <w:rFonts w:ascii="宋体" w:hAnsi="宋体" w:eastAsia="宋体"/>
                <w:b w:val="0"/>
                <w:i w:val="0"/>
                <w:color w:val="000000"/>
                <w:sz w:val="18"/>
              </w:rPr>
              <w:t xml:space="preserve">大同云中路证券营业部 </w:t>
            </w:r>
          </w:p>
        </w:tc>
        <w:tc>
          <w:tcPr>
            <w:tcW w:type="dxa" w:w="4886"/>
            <w:gridSpan w:val="2"/>
            <w:tcBorders>
              <w:start w:sz="3.199999999999818" w:val="single" w:color="#000000"/>
              <w:top w:sz="3.199999999999818"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0" w:right="1360" w:firstLine="0"/>
              <w:jc w:val="right"/>
            </w:pPr>
            <w:r>
              <w:rPr>
                <w:rFonts w:ascii="宋体" w:hAnsi="宋体" w:eastAsia="宋体"/>
                <w:b w:val="0"/>
                <w:i w:val="0"/>
                <w:color w:val="000000"/>
                <w:sz w:val="18"/>
              </w:rPr>
              <w:t xml:space="preserve">大同永泰南路证券营业部 </w:t>
            </w:r>
          </w:p>
        </w:tc>
      </w:tr>
      <w:tr>
        <w:trPr>
          <w:trHeight w:hRule="exact" w:val="408"/>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2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996" w:right="0" w:firstLine="0"/>
              <w:jc w:val="left"/>
            </w:pPr>
            <w:r>
              <w:rPr>
                <w:rFonts w:ascii="宋体" w:hAnsi="宋体" w:eastAsia="宋体"/>
                <w:b w:val="0"/>
                <w:i w:val="0"/>
                <w:color w:val="000000"/>
                <w:sz w:val="18"/>
              </w:rPr>
              <w:t xml:space="preserve">北京建国门外大街证券营业部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0" w:right="1540" w:firstLine="0"/>
              <w:jc w:val="right"/>
            </w:pPr>
            <w:r>
              <w:rPr>
                <w:rFonts w:ascii="宋体" w:hAnsi="宋体" w:eastAsia="宋体"/>
                <w:b w:val="0"/>
                <w:i w:val="0"/>
                <w:color w:val="000000"/>
                <w:sz w:val="18"/>
              </w:rPr>
              <w:t xml:space="preserve">北京丽泽证券营业部 </w:t>
            </w:r>
          </w:p>
        </w:tc>
      </w:tr>
      <w:tr>
        <w:trPr>
          <w:trHeight w:hRule="exact" w:val="404"/>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3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0" w:right="1174" w:firstLine="0"/>
              <w:jc w:val="right"/>
            </w:pPr>
            <w:r>
              <w:rPr>
                <w:rFonts w:ascii="宋体" w:hAnsi="宋体" w:eastAsia="宋体"/>
                <w:b w:val="0"/>
                <w:i w:val="0"/>
                <w:color w:val="000000"/>
                <w:sz w:val="18"/>
              </w:rPr>
              <w:t xml:space="preserve">济南历山路证券营业部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02" w:after="0"/>
              <w:ind w:left="0" w:right="1450" w:firstLine="0"/>
              <w:jc w:val="right"/>
            </w:pPr>
            <w:r>
              <w:rPr>
                <w:rFonts w:ascii="宋体" w:hAnsi="宋体" w:eastAsia="宋体"/>
                <w:b w:val="0"/>
                <w:i w:val="0"/>
                <w:color w:val="000000"/>
                <w:sz w:val="18"/>
              </w:rPr>
              <w:t xml:space="preserve">济南经十路证券营业部 </w:t>
            </w:r>
          </w:p>
        </w:tc>
      </w:tr>
      <w:tr>
        <w:trPr>
          <w:trHeight w:hRule="exact" w:val="410"/>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4" w:after="0"/>
              <w:ind w:left="0" w:right="174" w:firstLine="0"/>
              <w:jc w:val="right"/>
            </w:pPr>
            <w:r>
              <w:rPr>
                <w:rFonts w:ascii="宋体" w:hAnsi="宋体" w:eastAsia="宋体"/>
                <w:b w:val="0"/>
                <w:i w:val="0"/>
                <w:color w:val="000000"/>
                <w:sz w:val="18"/>
              </w:rPr>
              <w:t xml:space="preserve">4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2" w:after="0"/>
              <w:ind w:left="0" w:right="1174" w:firstLine="0"/>
              <w:jc w:val="right"/>
            </w:pPr>
            <w:r>
              <w:rPr>
                <w:rFonts w:ascii="宋体" w:hAnsi="宋体" w:eastAsia="宋体"/>
                <w:b w:val="0"/>
                <w:i w:val="0"/>
                <w:color w:val="000000"/>
                <w:sz w:val="18"/>
              </w:rPr>
              <w:t xml:space="preserve">北京裕丰路证券营业部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2" w:after="0"/>
              <w:ind w:left="0" w:right="1540" w:firstLine="0"/>
              <w:jc w:val="right"/>
            </w:pPr>
            <w:r>
              <w:rPr>
                <w:rFonts w:ascii="宋体" w:hAnsi="宋体" w:eastAsia="宋体"/>
                <w:b w:val="0"/>
                <w:i w:val="0"/>
                <w:color w:val="000000"/>
                <w:sz w:val="18"/>
              </w:rPr>
              <w:t xml:space="preserve">北京国贸证券营业部 </w:t>
            </w:r>
          </w:p>
        </w:tc>
      </w:tr>
      <w:tr>
        <w:trPr>
          <w:trHeight w:hRule="exact" w:val="406"/>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0" w:after="0"/>
              <w:ind w:left="0" w:right="174" w:firstLine="0"/>
              <w:jc w:val="right"/>
            </w:pPr>
            <w:r>
              <w:rPr>
                <w:rFonts w:ascii="宋体" w:hAnsi="宋体" w:eastAsia="宋体"/>
                <w:b w:val="0"/>
                <w:i w:val="0"/>
                <w:color w:val="000000"/>
                <w:sz w:val="18"/>
              </w:rPr>
              <w:t xml:space="preserve">5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38" w:after="0"/>
              <w:ind w:left="0" w:right="994" w:firstLine="0"/>
              <w:jc w:val="right"/>
            </w:pPr>
            <w:r>
              <w:rPr>
                <w:rFonts w:ascii="宋体" w:hAnsi="宋体" w:eastAsia="宋体"/>
                <w:b w:val="0"/>
                <w:i w:val="0"/>
                <w:color w:val="000000"/>
                <w:sz w:val="18"/>
              </w:rPr>
              <w:t xml:space="preserve">石家庄槐安东路证券营业部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38" w:after="0"/>
              <w:ind w:left="0" w:right="1360" w:firstLine="0"/>
              <w:jc w:val="right"/>
            </w:pPr>
            <w:r>
              <w:rPr>
                <w:rFonts w:ascii="宋体" w:hAnsi="宋体" w:eastAsia="宋体"/>
                <w:b w:val="0"/>
                <w:i w:val="0"/>
                <w:color w:val="000000"/>
                <w:sz w:val="18"/>
              </w:rPr>
              <w:t xml:space="preserve">石家庄自强路证券营业部 </w:t>
            </w:r>
          </w:p>
        </w:tc>
      </w:tr>
      <w:tr>
        <w:trPr>
          <w:trHeight w:hRule="exact" w:val="406"/>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4" w:after="0"/>
              <w:ind w:left="0" w:right="174" w:firstLine="0"/>
              <w:jc w:val="right"/>
            </w:pPr>
            <w:r>
              <w:rPr>
                <w:rFonts w:ascii="宋体" w:hAnsi="宋体" w:eastAsia="宋体"/>
                <w:b w:val="0"/>
                <w:i w:val="0"/>
                <w:color w:val="000000"/>
                <w:sz w:val="18"/>
              </w:rPr>
              <w:t xml:space="preserve">6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2" w:after="0"/>
              <w:ind w:left="0" w:right="1174" w:firstLine="0"/>
              <w:jc w:val="right"/>
            </w:pPr>
            <w:r>
              <w:rPr>
                <w:rFonts w:ascii="宋体" w:hAnsi="宋体" w:eastAsia="宋体"/>
                <w:b w:val="0"/>
                <w:i w:val="0"/>
                <w:color w:val="000000"/>
                <w:sz w:val="18"/>
              </w:rPr>
              <w:t xml:space="preserve">上海虹桥路证券营业部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2" w:after="0"/>
              <w:ind w:left="0" w:right="1178" w:firstLine="0"/>
              <w:jc w:val="right"/>
            </w:pPr>
            <w:r>
              <w:rPr>
                <w:rFonts w:ascii="宋体" w:hAnsi="宋体" w:eastAsia="宋体"/>
                <w:b w:val="0"/>
                <w:i w:val="0"/>
                <w:color w:val="000000"/>
                <w:sz w:val="18"/>
              </w:rPr>
              <w:t xml:space="preserve">上海长宁区凯旋路证券营业部 </w:t>
            </w:r>
          </w:p>
        </w:tc>
      </w:tr>
      <w:tr>
        <w:trPr>
          <w:trHeight w:hRule="exact" w:val="408"/>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02" w:after="0"/>
              <w:ind w:left="0" w:right="174" w:firstLine="0"/>
              <w:jc w:val="right"/>
            </w:pPr>
            <w:r>
              <w:rPr>
                <w:rFonts w:ascii="宋体" w:hAnsi="宋体" w:eastAsia="宋体"/>
                <w:b w:val="0"/>
                <w:i w:val="0"/>
                <w:color w:val="000000"/>
                <w:sz w:val="18"/>
              </w:rPr>
              <w:t xml:space="preserve">7 </w:t>
            </w:r>
          </w:p>
        </w:tc>
        <w:tc>
          <w:tcPr>
            <w:tcW w:type="dxa" w:w="4340"/>
            <w:gridSpan w:val="2"/>
            <w:tcBorders>
              <w:start w:sz="3.2000000000000455" w:val="single" w:color="#000000"/>
              <w:top w:sz="4.0" w:val="single" w:color="#000000"/>
              <w:end w:sz="3.199999999999818"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0" w:after="0"/>
              <w:ind w:left="0" w:right="1174" w:firstLine="0"/>
              <w:jc w:val="right"/>
            </w:pPr>
            <w:r>
              <w:rPr>
                <w:rFonts w:ascii="宋体" w:hAnsi="宋体" w:eastAsia="宋体"/>
                <w:b w:val="0"/>
                <w:i w:val="0"/>
                <w:color w:val="000000"/>
                <w:sz w:val="18"/>
              </w:rPr>
              <w:t xml:space="preserve">太谷新建路证券营业部 </w:t>
            </w:r>
          </w:p>
        </w:tc>
        <w:tc>
          <w:tcPr>
            <w:tcW w:type="dxa" w:w="4886"/>
            <w:gridSpan w:val="2"/>
            <w:tcBorders>
              <w:start w:sz="3.199999999999818"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0" w:after="0"/>
              <w:ind w:left="0" w:right="1360" w:firstLine="0"/>
              <w:jc w:val="right"/>
            </w:pPr>
            <w:r>
              <w:rPr>
                <w:rFonts w:ascii="宋体" w:hAnsi="宋体" w:eastAsia="宋体"/>
                <w:b w:val="0"/>
                <w:i w:val="0"/>
                <w:color w:val="000000"/>
                <w:sz w:val="18"/>
              </w:rPr>
              <w:t xml:space="preserve">晋中康源南路证券营业部 </w:t>
            </w:r>
          </w:p>
        </w:tc>
      </w:tr>
      <w:tr>
        <w:trPr>
          <w:trHeight w:hRule="exact" w:val="408"/>
        </w:trPr>
        <w:tc>
          <w:tcPr>
            <w:tcW w:type="dxa" w:w="9856"/>
            <w:gridSpan w:val="5"/>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02" w:after="0"/>
              <w:ind w:left="104" w:right="0" w:firstLine="0"/>
              <w:jc w:val="left"/>
            </w:pPr>
            <w:r>
              <w:rPr>
                <w:rFonts w:ascii="宋体" w:hAnsi="宋体" w:eastAsia="宋体"/>
                <w:b w:val="0"/>
                <w:i w:val="0"/>
                <w:color w:val="000000"/>
                <w:sz w:val="18"/>
              </w:rPr>
              <w:t xml:space="preserve">证券分支机构迁址情况 </w:t>
            </w:r>
          </w:p>
        </w:tc>
      </w:tr>
      <w:tr>
        <w:trPr>
          <w:trHeight w:hRule="exact" w:val="406"/>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140" w:after="0"/>
              <w:ind w:left="128" w:right="0" w:firstLine="0"/>
              <w:jc w:val="left"/>
            </w:pPr>
            <w:r>
              <w:rPr>
                <w:rFonts w:ascii="宋体" w:hAnsi="宋体" w:eastAsia="宋体"/>
                <w:b w:val="0"/>
                <w:i w:val="0"/>
                <w:color w:val="000000"/>
                <w:sz w:val="18"/>
              </w:rPr>
              <w:t xml:space="preserve">序号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960" w:firstLine="0"/>
              <w:jc w:val="right"/>
            </w:pPr>
            <w:r>
              <w:rPr>
                <w:rFonts w:ascii="宋体" w:hAnsi="宋体" w:eastAsia="宋体"/>
                <w:b w:val="0"/>
                <w:i w:val="0"/>
                <w:color w:val="000000"/>
                <w:sz w:val="18"/>
              </w:rPr>
              <w:t xml:space="preserve">原名称 </w:t>
            </w:r>
          </w:p>
        </w:tc>
        <w:tc>
          <w:tcPr>
            <w:tcW w:type="dxa" w:w="2628"/>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40" w:after="0"/>
              <w:ind w:left="0" w:right="950" w:firstLine="0"/>
              <w:jc w:val="right"/>
            </w:pPr>
            <w:r>
              <w:rPr>
                <w:rFonts w:ascii="宋体" w:hAnsi="宋体" w:eastAsia="宋体"/>
                <w:b w:val="0"/>
                <w:i w:val="0"/>
                <w:color w:val="000000"/>
                <w:sz w:val="18"/>
              </w:rPr>
              <w:t xml:space="preserve">现名称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40" w:after="0"/>
              <w:ind w:left="0" w:right="1422" w:firstLine="0"/>
              <w:jc w:val="right"/>
            </w:pPr>
            <w:r>
              <w:rPr>
                <w:rFonts w:ascii="宋体" w:hAnsi="宋体" w:eastAsia="宋体"/>
                <w:b w:val="0"/>
                <w:i w:val="0"/>
                <w:color w:val="000000"/>
                <w:sz w:val="18"/>
              </w:rPr>
              <w:t xml:space="preserve">搬迁后地址 </w:t>
            </w:r>
          </w:p>
        </w:tc>
      </w:tr>
      <w:tr>
        <w:trPr>
          <w:trHeight w:hRule="exact" w:val="652"/>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2" w:after="0"/>
              <w:ind w:left="0" w:right="174" w:firstLine="0"/>
              <w:jc w:val="right"/>
            </w:pPr>
            <w:r>
              <w:rPr>
                <w:rFonts w:ascii="宋体" w:hAnsi="宋体" w:eastAsia="宋体"/>
                <w:b w:val="0"/>
                <w:i w:val="0"/>
                <w:color w:val="000000"/>
                <w:sz w:val="18"/>
              </w:rPr>
              <w:t xml:space="preserve">1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336" w:right="0" w:firstLine="0"/>
              <w:jc w:val="left"/>
            </w:pPr>
            <w:r>
              <w:rPr>
                <w:rFonts w:ascii="宋体" w:hAnsi="宋体" w:eastAsia="宋体"/>
                <w:b w:val="0"/>
                <w:i w:val="0"/>
                <w:color w:val="000000"/>
                <w:sz w:val="18"/>
              </w:rPr>
              <w:t xml:space="preserve">武汉建设大道证券营业部 </w:t>
            </w:r>
          </w:p>
        </w:tc>
        <w:tc>
          <w:tcPr>
            <w:tcW w:type="dxa" w:w="2628"/>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262" w:after="0"/>
              <w:ind w:left="320" w:right="0" w:firstLine="0"/>
              <w:jc w:val="left"/>
            </w:pPr>
            <w:r>
              <w:rPr>
                <w:rFonts w:ascii="宋体" w:hAnsi="宋体" w:eastAsia="宋体"/>
                <w:b w:val="0"/>
                <w:i w:val="0"/>
                <w:color w:val="000000"/>
                <w:sz w:val="18"/>
              </w:rPr>
              <w:t xml:space="preserve">武汉建设大道证券营业部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湖北省武汉市江岸区建设大道700 号武汉香格</w:t>
            </w:r>
            <w:r>
              <w:rPr>
                <w:rFonts w:ascii="宋体" w:hAnsi="宋体" w:eastAsia="宋体"/>
                <w:b w:val="0"/>
                <w:i w:val="0"/>
                <w:color w:val="000000"/>
                <w:sz w:val="18"/>
              </w:rPr>
              <w:t xml:space="preserve">里拉中心1202 室 </w:t>
            </w:r>
          </w:p>
        </w:tc>
      </w:tr>
    </w:tbl>
    <w:p>
      <w:pPr>
        <w:autoSpaceDN w:val="0"/>
        <w:autoSpaceDE w:val="0"/>
        <w:widowControl/>
        <w:spacing w:line="197" w:lineRule="auto" w:before="590" w:after="0"/>
        <w:ind w:left="0" w:right="0" w:firstLine="0"/>
        <w:jc w:val="center"/>
      </w:pPr>
      <w:r>
        <w:rPr>
          <w:rFonts w:ascii="Calibri" w:hAnsi="Calibri" w:eastAsia="Calibri"/>
          <w:b w:val="0"/>
          <w:i w:val="0"/>
          <w:color w:val="000000"/>
          <w:sz w:val="18"/>
        </w:rPr>
        <w:t xml:space="preserve">111 </w:t>
      </w:r>
    </w:p>
    <w:p>
      <w:pPr>
        <w:sectPr>
          <w:type w:val="continuous"/>
          <w:pgSz w:w="11904" w:h="16841"/>
          <w:pgMar w:top="424" w:right="1000" w:bottom="446" w:left="1020" w:header="720" w:footer="720" w:gutter="0"/>
          <w:cols/>
          <w:docGrid w:linePitch="360"/>
        </w:sectPr>
      </w:pPr>
    </w:p>
    <w:p>
      <w:pPr>
        <w:autoSpaceDN w:val="0"/>
        <w:autoSpaceDE w:val="0"/>
        <w:widowControl/>
        <w:spacing w:line="220" w:lineRule="exact" w:before="0" w:after="206"/>
        <w:ind w:left="0" w:right="0"/>
      </w:pPr>
    </w:p>
    <w:p>
      <w:pPr>
        <w:sectPr>
          <w:pgSz w:w="11904" w:h="16841"/>
          <w:pgMar w:top="424" w:right="932" w:bottom="446" w:left="952" w:header="720" w:footer="720" w:gutter="0"/>
          <w:cols/>
          <w:docGrid w:linePitch="360"/>
        </w:sectPr>
      </w:pPr>
    </w:p>
    <w:p>
      <w:pPr>
        <w:autoSpaceDN w:val="0"/>
        <w:autoSpaceDE w:val="0"/>
        <w:widowControl/>
        <w:spacing w:line="240" w:lineRule="auto" w:before="0" w:after="0"/>
        <w:ind w:left="182" w:right="0" w:firstLine="0"/>
        <w:jc w:val="left"/>
      </w:pPr>
      <w:r>
        <w:drawing>
          <wp:inline xmlns:a="http://schemas.openxmlformats.org/drawingml/2006/main" xmlns:pic="http://schemas.openxmlformats.org/drawingml/2006/picture">
            <wp:extent cx="1844039" cy="439419"/>
            <wp:docPr id="114" name="Picture 11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32" w:bottom="446" w:left="952" w:header="720" w:footer="720" w:gutter="0"/>
          <w:cols w:num="2" w:equalWidth="0">
            <w:col w:w="5588" w:space="0"/>
            <w:col w:w="4432" w:space="0"/>
          </w:cols>
          <w:docGrid w:linePitch="360"/>
        </w:sectPr>
      </w:pPr>
    </w:p>
    <w:p>
      <w:pPr>
        <w:autoSpaceDN w:val="0"/>
        <w:autoSpaceDE w:val="0"/>
        <w:widowControl/>
        <w:spacing w:line="200" w:lineRule="exact" w:before="0" w:after="30"/>
        <w:ind w:left="0" w:right="21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32" w:bottom="446" w:left="952" w:header="720" w:footer="720" w:gutter="0"/>
          <w:cols w:num="2" w:equalWidth="0">
            <w:col w:w="5588" w:space="0"/>
            <w:col w:w="443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72.00000000000003" w:type="dxa"/>
      </w:tblPr>
      <w:tblGrid>
        <w:gridCol w:w="2505"/>
        <w:gridCol w:w="2505"/>
        <w:gridCol w:w="2505"/>
        <w:gridCol w:w="2505"/>
      </w:tblGrid>
      <w:tr>
        <w:trPr>
          <w:trHeight w:hRule="exact" w:val="649"/>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2" w:after="0"/>
              <w:ind w:left="0" w:right="174" w:firstLine="0"/>
              <w:jc w:val="right"/>
            </w:pPr>
            <w:r>
              <w:rPr>
                <w:rFonts w:ascii="宋体" w:hAnsi="宋体" w:eastAsia="宋体"/>
                <w:b w:val="0"/>
                <w:i w:val="0"/>
                <w:color w:val="000000"/>
                <w:sz w:val="18"/>
              </w:rPr>
              <w:t xml:space="preserve">2 </w:t>
            </w:r>
          </w:p>
        </w:tc>
        <w:tc>
          <w:tcPr>
            <w:tcW w:type="dxa" w:w="2660"/>
            <w:tcBorders>
              <w:start w:sz="3.2000000000000455"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782" w:firstLine="0"/>
              <w:jc w:val="right"/>
            </w:pPr>
            <w:r>
              <w:rPr>
                <w:rFonts w:ascii="宋体" w:hAnsi="宋体" w:eastAsia="宋体"/>
                <w:b w:val="0"/>
                <w:i w:val="0"/>
                <w:color w:val="000000"/>
                <w:sz w:val="18"/>
              </w:rPr>
              <w:t xml:space="preserve">河南分公司 </w:t>
            </w:r>
          </w:p>
        </w:tc>
        <w:tc>
          <w:tcPr>
            <w:tcW w:type="dxa" w:w="262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258" w:after="0"/>
              <w:ind w:left="0" w:right="770" w:firstLine="0"/>
              <w:jc w:val="right"/>
            </w:pPr>
            <w:r>
              <w:rPr>
                <w:rFonts w:ascii="宋体" w:hAnsi="宋体" w:eastAsia="宋体"/>
                <w:b w:val="0"/>
                <w:i w:val="0"/>
                <w:color w:val="000000"/>
                <w:sz w:val="18"/>
              </w:rPr>
              <w:t xml:space="preserve">河南分公司 </w:t>
            </w:r>
          </w:p>
        </w:tc>
        <w:tc>
          <w:tcPr>
            <w:tcW w:type="dxa" w:w="393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98" w:lineRule="exact" w:before="0" w:after="0"/>
              <w:ind w:left="104" w:right="144" w:firstLine="0"/>
              <w:jc w:val="left"/>
            </w:pPr>
            <w:r>
              <w:rPr>
                <w:rFonts w:ascii="宋体" w:hAnsi="宋体" w:eastAsia="宋体"/>
                <w:b w:val="0"/>
                <w:i w:val="0"/>
                <w:color w:val="000000"/>
                <w:sz w:val="18"/>
              </w:rPr>
              <w:t>河南自贸试验区郑州片区（郑东）商务外环路</w:t>
            </w:r>
            <w:r>
              <w:rPr>
                <w:rFonts w:ascii="宋体" w:hAnsi="宋体" w:eastAsia="宋体"/>
                <w:b w:val="0"/>
                <w:i w:val="0"/>
                <w:color w:val="000000"/>
                <w:sz w:val="18"/>
              </w:rPr>
              <w:t xml:space="preserve">2 号8 层802-805 室 </w:t>
            </w:r>
          </w:p>
        </w:tc>
      </w:tr>
      <w:tr>
        <w:trPr>
          <w:trHeight w:hRule="exact" w:val="650"/>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0" w:after="0"/>
              <w:ind w:left="0" w:right="174" w:firstLine="0"/>
              <w:jc w:val="right"/>
            </w:pPr>
            <w:r>
              <w:rPr>
                <w:rFonts w:ascii="宋体" w:hAnsi="宋体" w:eastAsia="宋体"/>
                <w:b w:val="0"/>
                <w:i w:val="0"/>
                <w:color w:val="000000"/>
                <w:sz w:val="18"/>
              </w:rPr>
              <w:t xml:space="preserve">3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782" w:firstLine="0"/>
              <w:jc w:val="right"/>
            </w:pPr>
            <w:r>
              <w:rPr>
                <w:rFonts w:ascii="宋体" w:hAnsi="宋体" w:eastAsia="宋体"/>
                <w:b w:val="0"/>
                <w:i w:val="0"/>
                <w:color w:val="000000"/>
                <w:sz w:val="18"/>
              </w:rPr>
              <w:t xml:space="preserve">大同分公司 </w:t>
            </w:r>
          </w:p>
        </w:tc>
        <w:tc>
          <w:tcPr>
            <w:tcW w:type="dxa" w:w="26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0" w:right="770" w:firstLine="0"/>
              <w:jc w:val="right"/>
            </w:pPr>
            <w:r>
              <w:rPr>
                <w:rFonts w:ascii="宋体" w:hAnsi="宋体" w:eastAsia="宋体"/>
                <w:b w:val="0"/>
                <w:i w:val="0"/>
                <w:color w:val="000000"/>
                <w:sz w:val="18"/>
              </w:rPr>
              <w:t xml:space="preserve">大同分公司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山西省大同市平城区永泰南路西侧桐城中央二</w:t>
            </w:r>
            <w:r>
              <w:rPr>
                <w:rFonts w:ascii="宋体" w:hAnsi="宋体" w:eastAsia="宋体"/>
                <w:b w:val="0"/>
                <w:i w:val="0"/>
                <w:color w:val="000000"/>
                <w:sz w:val="18"/>
              </w:rPr>
              <w:t xml:space="preserve">期综合商务楼1 层102 号、2 层202 号 </w:t>
            </w:r>
          </w:p>
        </w:tc>
      </w:tr>
      <w:tr>
        <w:trPr>
          <w:trHeight w:hRule="exact" w:val="650"/>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2" w:after="0"/>
              <w:ind w:left="0" w:right="174" w:firstLine="0"/>
              <w:jc w:val="right"/>
            </w:pPr>
            <w:r>
              <w:rPr>
                <w:rFonts w:ascii="宋体" w:hAnsi="宋体" w:eastAsia="宋体"/>
                <w:b w:val="0"/>
                <w:i w:val="0"/>
                <w:color w:val="000000"/>
                <w:sz w:val="18"/>
              </w:rPr>
              <w:t xml:space="preserve">4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428" w:right="0" w:firstLine="0"/>
              <w:jc w:val="left"/>
            </w:pPr>
            <w:r>
              <w:rPr>
                <w:rFonts w:ascii="宋体" w:hAnsi="宋体" w:eastAsia="宋体"/>
                <w:b w:val="0"/>
                <w:i w:val="0"/>
                <w:color w:val="000000"/>
                <w:sz w:val="18"/>
              </w:rPr>
              <w:t xml:space="preserve">大同云中路证券营业部 </w:t>
            </w:r>
          </w:p>
        </w:tc>
        <w:tc>
          <w:tcPr>
            <w:tcW w:type="dxa" w:w="26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320" w:right="0" w:firstLine="0"/>
              <w:jc w:val="left"/>
            </w:pPr>
            <w:r>
              <w:rPr>
                <w:rFonts w:ascii="宋体" w:hAnsi="宋体" w:eastAsia="宋体"/>
                <w:b w:val="0"/>
                <w:i w:val="0"/>
                <w:color w:val="000000"/>
                <w:sz w:val="18"/>
              </w:rPr>
              <w:t xml:space="preserve">大同永泰南路证券营业部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山西省大同市平城区永泰南路西侧桐城中央二</w:t>
            </w:r>
            <w:r>
              <w:rPr>
                <w:rFonts w:ascii="宋体" w:hAnsi="宋体" w:eastAsia="宋体"/>
                <w:b w:val="0"/>
                <w:i w:val="0"/>
                <w:color w:val="000000"/>
                <w:sz w:val="18"/>
              </w:rPr>
              <w:t xml:space="preserve">期综合商务楼1 层102 号、2 层202 号 </w:t>
            </w:r>
          </w:p>
        </w:tc>
      </w:tr>
      <w:tr>
        <w:trPr>
          <w:trHeight w:hRule="exact" w:val="650"/>
        </w:trPr>
        <w:tc>
          <w:tcPr>
            <w:tcW w:type="dxa" w:w="630"/>
            <w:tcBorders>
              <w:start w:sz="4.0" w:val="single" w:color="#000000"/>
              <w:top w:sz="4.0" w:val="single" w:color="#000000"/>
              <w:end w:sz="3.2000000000000455" w:val="single" w:color="#000000"/>
              <w:bottom w:sz="3.2000000000000455" w:val="single" w:color="#000000"/>
            </w:tcBorders>
            <w:tcMar>
              <w:start w:w="0" w:type="dxa"/>
              <w:end w:w="0" w:type="dxa"/>
            </w:tcMar>
          </w:tcPr>
          <w:p>
            <w:pPr>
              <w:autoSpaceDN w:val="0"/>
              <w:autoSpaceDE w:val="0"/>
              <w:widowControl/>
              <w:spacing w:line="180" w:lineRule="exact" w:before="264" w:after="0"/>
              <w:ind w:left="0" w:right="174" w:firstLine="0"/>
              <w:jc w:val="right"/>
            </w:pPr>
            <w:r>
              <w:rPr>
                <w:rFonts w:ascii="宋体" w:hAnsi="宋体" w:eastAsia="宋体"/>
                <w:b w:val="0"/>
                <w:i w:val="0"/>
                <w:color w:val="000000"/>
                <w:sz w:val="18"/>
              </w:rPr>
              <w:t xml:space="preserve">5 </w:t>
            </w:r>
          </w:p>
        </w:tc>
        <w:tc>
          <w:tcPr>
            <w:tcW w:type="dxa" w:w="2660"/>
            <w:tcBorders>
              <w:start w:sz="3.2000000000000455"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64" w:after="0"/>
              <w:ind w:left="428" w:right="0" w:firstLine="0"/>
              <w:jc w:val="left"/>
            </w:pPr>
            <w:r>
              <w:rPr>
                <w:rFonts w:ascii="宋体" w:hAnsi="宋体" w:eastAsia="宋体"/>
                <w:b w:val="0"/>
                <w:i w:val="0"/>
                <w:color w:val="000000"/>
                <w:sz w:val="18"/>
              </w:rPr>
              <w:t xml:space="preserve">天津长江道证券营业部 </w:t>
            </w:r>
          </w:p>
        </w:tc>
        <w:tc>
          <w:tcPr>
            <w:tcW w:type="dxa" w:w="262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264" w:after="0"/>
              <w:ind w:left="408" w:right="0" w:firstLine="0"/>
              <w:jc w:val="left"/>
            </w:pPr>
            <w:r>
              <w:rPr>
                <w:rFonts w:ascii="宋体" w:hAnsi="宋体" w:eastAsia="宋体"/>
                <w:b w:val="0"/>
                <w:i w:val="0"/>
                <w:color w:val="000000"/>
                <w:sz w:val="18"/>
              </w:rPr>
              <w:t xml:space="preserve">天津长江道证券营业部 </w:t>
            </w:r>
          </w:p>
        </w:tc>
        <w:tc>
          <w:tcPr>
            <w:tcW w:type="dxa" w:w="393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天津市南开区长江道与南丰路交口博朗园1 号</w:t>
            </w:r>
            <w:r>
              <w:rPr>
                <w:rFonts w:ascii="宋体" w:hAnsi="宋体" w:eastAsia="宋体"/>
                <w:b w:val="0"/>
                <w:i w:val="0"/>
                <w:color w:val="000000"/>
                <w:sz w:val="18"/>
              </w:rPr>
              <w:t xml:space="preserve">楼26 楼2601-1/2602/2603/2604-1 </w:t>
            </w:r>
          </w:p>
        </w:tc>
      </w:tr>
      <w:tr>
        <w:trPr>
          <w:trHeight w:hRule="exact" w:val="650"/>
        </w:trPr>
        <w:tc>
          <w:tcPr>
            <w:tcW w:type="dxa" w:w="630"/>
            <w:tcBorders>
              <w:start w:sz="4.0" w:val="single" w:color="#000000"/>
              <w:top w:sz="3.2000000000000455"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4" w:after="0"/>
              <w:ind w:left="0" w:right="174" w:firstLine="0"/>
              <w:jc w:val="right"/>
            </w:pPr>
            <w:r>
              <w:rPr>
                <w:rFonts w:ascii="宋体" w:hAnsi="宋体" w:eastAsia="宋体"/>
                <w:b w:val="0"/>
                <w:i w:val="0"/>
                <w:color w:val="000000"/>
                <w:sz w:val="18"/>
              </w:rPr>
              <w:t xml:space="preserve">6 </w:t>
            </w:r>
          </w:p>
        </w:tc>
        <w:tc>
          <w:tcPr>
            <w:tcW w:type="dxa" w:w="2660"/>
            <w:tcBorders>
              <w:start w:sz="3.2000000000000455"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156" w:right="0" w:firstLine="0"/>
              <w:jc w:val="left"/>
            </w:pPr>
            <w:r>
              <w:rPr>
                <w:rFonts w:ascii="宋体" w:hAnsi="宋体" w:eastAsia="宋体"/>
                <w:b w:val="0"/>
                <w:i w:val="0"/>
                <w:color w:val="000000"/>
                <w:sz w:val="18"/>
              </w:rPr>
              <w:t xml:space="preserve">北京建国门外大街证券营业部 </w:t>
            </w:r>
          </w:p>
        </w:tc>
        <w:tc>
          <w:tcPr>
            <w:tcW w:type="dxa" w:w="262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00" w:right="0" w:firstLine="0"/>
              <w:jc w:val="left"/>
            </w:pPr>
            <w:r>
              <w:rPr>
                <w:rFonts w:ascii="宋体" w:hAnsi="宋体" w:eastAsia="宋体"/>
                <w:b w:val="0"/>
                <w:i w:val="0"/>
                <w:color w:val="000000"/>
                <w:sz w:val="18"/>
              </w:rPr>
              <w:t xml:space="preserve">北京丽泽证券营业部 </w:t>
            </w:r>
          </w:p>
        </w:tc>
        <w:tc>
          <w:tcPr>
            <w:tcW w:type="dxa" w:w="393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北京市丰台区金泽西路2 号院1 号楼-4 至42</w:t>
            </w:r>
            <w:r>
              <w:rPr>
                <w:rFonts w:ascii="宋体" w:hAnsi="宋体" w:eastAsia="宋体"/>
                <w:b w:val="0"/>
                <w:i w:val="0"/>
                <w:color w:val="000000"/>
                <w:sz w:val="18"/>
              </w:rPr>
              <w:t xml:space="preserve">层101 内25 层2506 单元 </w:t>
            </w:r>
          </w:p>
        </w:tc>
      </w:tr>
      <w:tr>
        <w:trPr>
          <w:trHeight w:hRule="exact" w:val="652"/>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4" w:after="0"/>
              <w:ind w:left="0" w:right="174" w:firstLine="0"/>
              <w:jc w:val="right"/>
            </w:pPr>
            <w:r>
              <w:rPr>
                <w:rFonts w:ascii="宋体" w:hAnsi="宋体" w:eastAsia="宋体"/>
                <w:b w:val="0"/>
                <w:i w:val="0"/>
                <w:color w:val="000000"/>
                <w:sz w:val="18"/>
              </w:rPr>
              <w:t xml:space="preserve">7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782" w:firstLine="0"/>
              <w:jc w:val="right"/>
            </w:pPr>
            <w:r>
              <w:rPr>
                <w:rFonts w:ascii="宋体" w:hAnsi="宋体" w:eastAsia="宋体"/>
                <w:b w:val="0"/>
                <w:i w:val="0"/>
                <w:color w:val="000000"/>
                <w:sz w:val="18"/>
              </w:rPr>
              <w:t xml:space="preserve">青岛分公司 </w:t>
            </w:r>
          </w:p>
        </w:tc>
        <w:tc>
          <w:tcPr>
            <w:tcW w:type="dxa" w:w="26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0" w:right="770" w:firstLine="0"/>
              <w:jc w:val="right"/>
            </w:pPr>
            <w:r>
              <w:rPr>
                <w:rFonts w:ascii="宋体" w:hAnsi="宋体" w:eastAsia="宋体"/>
                <w:b w:val="0"/>
                <w:i w:val="0"/>
                <w:color w:val="000000"/>
                <w:sz w:val="18"/>
              </w:rPr>
              <w:t xml:space="preserve">青岛分公司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山东省青岛市崂山区香港东路195 号8 号楼</w:t>
            </w:r>
            <w:r>
              <w:rPr>
                <w:rFonts w:ascii="宋体" w:hAnsi="宋体" w:eastAsia="宋体"/>
                <w:b w:val="0"/>
                <w:i w:val="0"/>
                <w:color w:val="000000"/>
                <w:sz w:val="18"/>
              </w:rPr>
              <w:t xml:space="preserve">501 户 </w:t>
            </w:r>
          </w:p>
        </w:tc>
      </w:tr>
      <w:tr>
        <w:trPr>
          <w:trHeight w:hRule="exact" w:val="650"/>
        </w:trPr>
        <w:tc>
          <w:tcPr>
            <w:tcW w:type="dxa" w:w="63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262" w:after="0"/>
              <w:ind w:left="0" w:right="174" w:firstLine="0"/>
              <w:jc w:val="right"/>
            </w:pPr>
            <w:r>
              <w:rPr>
                <w:rFonts w:ascii="宋体" w:hAnsi="宋体" w:eastAsia="宋体"/>
                <w:b w:val="0"/>
                <w:i w:val="0"/>
                <w:color w:val="000000"/>
                <w:sz w:val="18"/>
              </w:rPr>
              <w:t xml:space="preserve">8 </w:t>
            </w:r>
          </w:p>
        </w:tc>
        <w:tc>
          <w:tcPr>
            <w:tcW w:type="dxa" w:w="2660"/>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0" w:right="782" w:firstLine="0"/>
              <w:jc w:val="right"/>
            </w:pPr>
            <w:r>
              <w:rPr>
                <w:rFonts w:ascii="宋体" w:hAnsi="宋体" w:eastAsia="宋体"/>
                <w:b w:val="0"/>
                <w:i w:val="0"/>
                <w:color w:val="000000"/>
                <w:sz w:val="18"/>
              </w:rPr>
              <w:t xml:space="preserve">忻州分公司 </w:t>
            </w:r>
          </w:p>
        </w:tc>
        <w:tc>
          <w:tcPr>
            <w:tcW w:type="dxa" w:w="262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2" w:after="0"/>
              <w:ind w:left="0" w:right="770" w:firstLine="0"/>
              <w:jc w:val="right"/>
            </w:pPr>
            <w:r>
              <w:rPr>
                <w:rFonts w:ascii="宋体" w:hAnsi="宋体" w:eastAsia="宋体"/>
                <w:b w:val="0"/>
                <w:i w:val="0"/>
                <w:color w:val="000000"/>
                <w:sz w:val="18"/>
              </w:rPr>
              <w:t xml:space="preserve">忻州分公司 </w:t>
            </w:r>
          </w:p>
        </w:tc>
        <w:tc>
          <w:tcPr>
            <w:tcW w:type="dxa" w:w="39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0" w:lineRule="exact" w:before="0" w:after="0"/>
              <w:ind w:left="104" w:right="144" w:firstLine="0"/>
              <w:jc w:val="left"/>
            </w:pPr>
            <w:r>
              <w:rPr>
                <w:rFonts w:ascii="宋体" w:hAnsi="宋体" w:eastAsia="宋体"/>
                <w:b w:val="0"/>
                <w:i w:val="0"/>
                <w:color w:val="000000"/>
                <w:sz w:val="18"/>
              </w:rPr>
              <w:t>山西省忻州市忻府区和平西街南华信大厦1 幢</w:t>
            </w:r>
            <w:r>
              <w:rPr>
                <w:rFonts w:ascii="宋体" w:hAnsi="宋体" w:eastAsia="宋体"/>
                <w:b w:val="0"/>
                <w:i w:val="0"/>
                <w:color w:val="000000"/>
                <w:sz w:val="18"/>
              </w:rPr>
              <w:t xml:space="preserve">1 层01 单元 </w:t>
            </w:r>
          </w:p>
        </w:tc>
      </w:tr>
      <w:tr>
        <w:trPr>
          <w:trHeight w:hRule="exact" w:val="646"/>
        </w:trPr>
        <w:tc>
          <w:tcPr>
            <w:tcW w:type="dxa" w:w="63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2" w:after="0"/>
              <w:ind w:left="0" w:right="174" w:firstLine="0"/>
              <w:jc w:val="right"/>
            </w:pPr>
            <w:r>
              <w:rPr>
                <w:rFonts w:ascii="宋体" w:hAnsi="宋体" w:eastAsia="宋体"/>
                <w:b w:val="0"/>
                <w:i w:val="0"/>
                <w:color w:val="000000"/>
                <w:sz w:val="18"/>
              </w:rPr>
              <w:t xml:space="preserve">9 </w:t>
            </w:r>
          </w:p>
        </w:tc>
        <w:tc>
          <w:tcPr>
            <w:tcW w:type="dxa" w:w="2660"/>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336" w:right="0" w:firstLine="0"/>
              <w:jc w:val="left"/>
            </w:pPr>
            <w:r>
              <w:rPr>
                <w:rFonts w:ascii="宋体" w:hAnsi="宋体" w:eastAsia="宋体"/>
                <w:b w:val="0"/>
                <w:i w:val="0"/>
                <w:color w:val="000000"/>
                <w:sz w:val="18"/>
              </w:rPr>
              <w:t xml:space="preserve">忻州和平西街证券营业部 </w:t>
            </w:r>
          </w:p>
        </w:tc>
        <w:tc>
          <w:tcPr>
            <w:tcW w:type="dxa" w:w="262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2" w:after="0"/>
              <w:ind w:left="320" w:right="0" w:firstLine="0"/>
              <w:jc w:val="left"/>
            </w:pPr>
            <w:r>
              <w:rPr>
                <w:rFonts w:ascii="宋体" w:hAnsi="宋体" w:eastAsia="宋体"/>
                <w:b w:val="0"/>
                <w:i w:val="0"/>
                <w:color w:val="000000"/>
                <w:sz w:val="18"/>
              </w:rPr>
              <w:t xml:space="preserve">忻州和平西街证券营业部 </w:t>
            </w:r>
          </w:p>
        </w:tc>
        <w:tc>
          <w:tcPr>
            <w:tcW w:type="dxa" w:w="39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144" w:firstLine="0"/>
              <w:jc w:val="left"/>
            </w:pPr>
            <w:r>
              <w:rPr>
                <w:rFonts w:ascii="宋体" w:hAnsi="宋体" w:eastAsia="宋体"/>
                <w:b w:val="0"/>
                <w:i w:val="0"/>
                <w:color w:val="000000"/>
                <w:sz w:val="18"/>
              </w:rPr>
              <w:t>山西省忻州市忻府区和平西街南华信大厦1 幢</w:t>
            </w:r>
            <w:r>
              <w:rPr>
                <w:rFonts w:ascii="宋体" w:hAnsi="宋体" w:eastAsia="宋体"/>
                <w:b w:val="0"/>
                <w:i w:val="0"/>
                <w:color w:val="000000"/>
                <w:sz w:val="18"/>
              </w:rPr>
              <w:t xml:space="preserve">1 层01 单元 </w:t>
            </w:r>
          </w:p>
        </w:tc>
      </w:tr>
      <w:tr>
        <w:trPr>
          <w:trHeight w:hRule="exact" w:val="652"/>
        </w:trPr>
        <w:tc>
          <w:tcPr>
            <w:tcW w:type="dxa" w:w="63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264" w:after="0"/>
              <w:ind w:left="0" w:right="132" w:firstLine="0"/>
              <w:jc w:val="right"/>
            </w:pPr>
            <w:r>
              <w:rPr>
                <w:rFonts w:ascii="宋体" w:hAnsi="宋体" w:eastAsia="宋体"/>
                <w:b w:val="0"/>
                <w:i w:val="0"/>
                <w:color w:val="000000"/>
                <w:sz w:val="18"/>
              </w:rPr>
              <w:t xml:space="preserve">10 </w:t>
            </w:r>
          </w:p>
        </w:tc>
        <w:tc>
          <w:tcPr>
            <w:tcW w:type="dxa" w:w="2660"/>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428" w:right="0" w:firstLine="0"/>
              <w:jc w:val="left"/>
            </w:pPr>
            <w:r>
              <w:rPr>
                <w:rFonts w:ascii="宋体" w:hAnsi="宋体" w:eastAsia="宋体"/>
                <w:b w:val="0"/>
                <w:i w:val="0"/>
                <w:color w:val="000000"/>
                <w:sz w:val="18"/>
              </w:rPr>
              <w:t xml:space="preserve">济南历山路证券营业部 </w:t>
            </w:r>
          </w:p>
        </w:tc>
        <w:tc>
          <w:tcPr>
            <w:tcW w:type="dxa" w:w="262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4" w:after="0"/>
              <w:ind w:left="408" w:right="0" w:firstLine="0"/>
              <w:jc w:val="left"/>
            </w:pPr>
            <w:r>
              <w:rPr>
                <w:rFonts w:ascii="宋体" w:hAnsi="宋体" w:eastAsia="宋体"/>
                <w:b w:val="0"/>
                <w:i w:val="0"/>
                <w:color w:val="000000"/>
                <w:sz w:val="18"/>
              </w:rPr>
              <w:t xml:space="preserve">济南经十路证券营业部 </w:t>
            </w:r>
          </w:p>
        </w:tc>
        <w:tc>
          <w:tcPr>
            <w:tcW w:type="dxa" w:w="39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山东省济南市历下区经十路9999 号黄金时代广</w:t>
            </w:r>
            <w:r>
              <w:rPr>
                <w:rFonts w:ascii="宋体" w:hAnsi="宋体" w:eastAsia="宋体"/>
                <w:b w:val="0"/>
                <w:i w:val="0"/>
                <w:color w:val="000000"/>
                <w:sz w:val="18"/>
              </w:rPr>
              <w:t xml:space="preserve">场8 号楼（主楼）1801 </w:t>
            </w:r>
          </w:p>
        </w:tc>
      </w:tr>
      <w:tr>
        <w:trPr>
          <w:trHeight w:hRule="exact" w:val="652"/>
        </w:trPr>
        <w:tc>
          <w:tcPr>
            <w:tcW w:type="dxa" w:w="63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4" w:after="0"/>
              <w:ind w:left="0" w:right="132" w:firstLine="0"/>
              <w:jc w:val="right"/>
            </w:pPr>
            <w:r>
              <w:rPr>
                <w:rFonts w:ascii="宋体" w:hAnsi="宋体" w:eastAsia="宋体"/>
                <w:b w:val="0"/>
                <w:i w:val="0"/>
                <w:color w:val="000000"/>
                <w:sz w:val="18"/>
              </w:rPr>
              <w:t xml:space="preserve">11 </w:t>
            </w:r>
          </w:p>
        </w:tc>
        <w:tc>
          <w:tcPr>
            <w:tcW w:type="dxa" w:w="2660"/>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28" w:right="0" w:firstLine="0"/>
              <w:jc w:val="left"/>
            </w:pPr>
            <w:r>
              <w:rPr>
                <w:rFonts w:ascii="宋体" w:hAnsi="宋体" w:eastAsia="宋体"/>
                <w:b w:val="0"/>
                <w:i w:val="0"/>
                <w:color w:val="000000"/>
                <w:sz w:val="18"/>
              </w:rPr>
              <w:t xml:space="preserve">北京裕丰路证券营业部 </w:t>
            </w:r>
          </w:p>
        </w:tc>
        <w:tc>
          <w:tcPr>
            <w:tcW w:type="dxa" w:w="262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500" w:right="0" w:firstLine="0"/>
              <w:jc w:val="left"/>
            </w:pPr>
            <w:r>
              <w:rPr>
                <w:rFonts w:ascii="宋体" w:hAnsi="宋体" w:eastAsia="宋体"/>
                <w:b w:val="0"/>
                <w:i w:val="0"/>
                <w:color w:val="000000"/>
                <w:sz w:val="18"/>
              </w:rPr>
              <w:t xml:space="preserve">北京国贸证券营业部 </w:t>
            </w:r>
          </w:p>
        </w:tc>
        <w:tc>
          <w:tcPr>
            <w:tcW w:type="dxa" w:w="39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4" w:lineRule="exact" w:before="0" w:after="0"/>
              <w:ind w:left="104" w:right="0" w:firstLine="0"/>
              <w:jc w:val="left"/>
            </w:pPr>
            <w:r>
              <w:rPr>
                <w:rFonts w:ascii="宋体" w:hAnsi="宋体" w:eastAsia="宋体"/>
                <w:b w:val="0"/>
                <w:i w:val="0"/>
                <w:color w:val="000000"/>
                <w:sz w:val="18"/>
              </w:rPr>
              <w:t>北京市朝阳区建国门外大街8 号楼29 层（实际</w:t>
            </w:r>
            <w:r>
              <w:rPr>
                <w:rFonts w:ascii="宋体" w:hAnsi="宋体" w:eastAsia="宋体"/>
                <w:b w:val="0"/>
                <w:i w:val="0"/>
                <w:color w:val="000000"/>
                <w:sz w:val="18"/>
              </w:rPr>
              <w:t xml:space="preserve">楼层25 层）2503 单元 </w:t>
            </w:r>
          </w:p>
        </w:tc>
      </w:tr>
      <w:tr>
        <w:trPr>
          <w:trHeight w:hRule="exact" w:val="648"/>
        </w:trPr>
        <w:tc>
          <w:tcPr>
            <w:tcW w:type="dxa" w:w="630"/>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0" w:after="0"/>
              <w:ind w:left="0" w:right="132" w:firstLine="0"/>
              <w:jc w:val="right"/>
            </w:pPr>
            <w:r>
              <w:rPr>
                <w:rFonts w:ascii="宋体" w:hAnsi="宋体" w:eastAsia="宋体"/>
                <w:b w:val="0"/>
                <w:i w:val="0"/>
                <w:color w:val="000000"/>
                <w:sz w:val="18"/>
              </w:rPr>
              <w:t xml:space="preserve">12 </w:t>
            </w:r>
          </w:p>
        </w:tc>
        <w:tc>
          <w:tcPr>
            <w:tcW w:type="dxa" w:w="266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248" w:right="0" w:firstLine="0"/>
              <w:jc w:val="left"/>
            </w:pPr>
            <w:r>
              <w:rPr>
                <w:rFonts w:ascii="宋体" w:hAnsi="宋体" w:eastAsia="宋体"/>
                <w:b w:val="0"/>
                <w:i w:val="0"/>
                <w:color w:val="000000"/>
                <w:sz w:val="18"/>
              </w:rPr>
              <w:t xml:space="preserve">石家庄槐安东路证券营业部 </w:t>
            </w:r>
          </w:p>
        </w:tc>
        <w:tc>
          <w:tcPr>
            <w:tcW w:type="dxa" w:w="262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60" w:after="0"/>
              <w:ind w:left="320" w:right="0" w:firstLine="0"/>
              <w:jc w:val="left"/>
            </w:pPr>
            <w:r>
              <w:rPr>
                <w:rFonts w:ascii="宋体" w:hAnsi="宋体" w:eastAsia="宋体"/>
                <w:b w:val="0"/>
                <w:i w:val="0"/>
                <w:color w:val="000000"/>
                <w:sz w:val="18"/>
              </w:rPr>
              <w:t xml:space="preserve">石家庄自强路证券营业部 </w:t>
            </w:r>
          </w:p>
        </w:tc>
        <w:tc>
          <w:tcPr>
            <w:tcW w:type="dxa" w:w="39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4" w:right="0" w:firstLine="0"/>
              <w:jc w:val="left"/>
            </w:pPr>
            <w:r>
              <w:rPr>
                <w:rFonts w:ascii="宋体" w:hAnsi="宋体" w:eastAsia="宋体"/>
                <w:b w:val="0"/>
                <w:i w:val="0"/>
                <w:color w:val="000000"/>
                <w:sz w:val="18"/>
              </w:rPr>
              <w:t>河北省石家庄市桥西区自强路118 号中交财富</w:t>
            </w:r>
            <w:r>
              <w:rPr>
                <w:rFonts w:ascii="宋体" w:hAnsi="宋体" w:eastAsia="宋体"/>
                <w:b w:val="0"/>
                <w:i w:val="0"/>
                <w:color w:val="000000"/>
                <w:sz w:val="18"/>
              </w:rPr>
              <w:t xml:space="preserve">中心T1、T2 商务办公楼02-1701B、02-17014A </w:t>
            </w:r>
          </w:p>
        </w:tc>
      </w:tr>
      <w:tr>
        <w:trPr>
          <w:trHeight w:hRule="exact" w:val="652"/>
        </w:trPr>
        <w:tc>
          <w:tcPr>
            <w:tcW w:type="dxa" w:w="630"/>
            <w:tcBorders>
              <w:start w:sz="4.0" w:val="single" w:color="#000000"/>
              <w:top w:sz="4.0" w:val="single" w:color="#000000"/>
              <w:end w:sz="3.2000000000000455" w:val="single" w:color="#000000"/>
              <w:bottom w:sz="3.199999999999818" w:val="single" w:color="#000000"/>
            </w:tcBorders>
            <w:tcMar>
              <w:start w:w="0" w:type="dxa"/>
              <w:end w:w="0" w:type="dxa"/>
            </w:tcMar>
          </w:tcPr>
          <w:p>
            <w:pPr>
              <w:autoSpaceDN w:val="0"/>
              <w:autoSpaceDE w:val="0"/>
              <w:widowControl/>
              <w:spacing w:line="180" w:lineRule="exact" w:before="266" w:after="0"/>
              <w:ind w:left="0" w:right="132" w:firstLine="0"/>
              <w:jc w:val="right"/>
            </w:pPr>
            <w:r>
              <w:rPr>
                <w:rFonts w:ascii="宋体" w:hAnsi="宋体" w:eastAsia="宋体"/>
                <w:b w:val="0"/>
                <w:i w:val="0"/>
                <w:color w:val="000000"/>
                <w:sz w:val="18"/>
              </w:rPr>
              <w:t xml:space="preserve">13 </w:t>
            </w:r>
          </w:p>
        </w:tc>
        <w:tc>
          <w:tcPr>
            <w:tcW w:type="dxa" w:w="2660"/>
            <w:tcBorders>
              <w:start w:sz="3.2000000000000455"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428" w:right="0" w:firstLine="0"/>
              <w:jc w:val="left"/>
            </w:pPr>
            <w:r>
              <w:rPr>
                <w:rFonts w:ascii="宋体" w:hAnsi="宋体" w:eastAsia="宋体"/>
                <w:b w:val="0"/>
                <w:i w:val="0"/>
                <w:color w:val="000000"/>
                <w:sz w:val="18"/>
              </w:rPr>
              <w:t xml:space="preserve">上海虹桥路证券营业部 </w:t>
            </w:r>
          </w:p>
        </w:tc>
        <w:tc>
          <w:tcPr>
            <w:tcW w:type="dxa" w:w="262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266" w:after="0"/>
              <w:ind w:left="140" w:right="0" w:firstLine="0"/>
              <w:jc w:val="left"/>
            </w:pPr>
            <w:r>
              <w:rPr>
                <w:rFonts w:ascii="宋体" w:hAnsi="宋体" w:eastAsia="宋体"/>
                <w:b w:val="0"/>
                <w:i w:val="0"/>
                <w:color w:val="000000"/>
                <w:sz w:val="18"/>
              </w:rPr>
              <w:t xml:space="preserve">上海长宁区凯旋路证券营业部 </w:t>
            </w:r>
          </w:p>
        </w:tc>
        <w:tc>
          <w:tcPr>
            <w:tcW w:type="dxa" w:w="393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302" w:lineRule="exact" w:before="0" w:after="0"/>
              <w:ind w:left="104" w:right="288" w:firstLine="0"/>
              <w:jc w:val="left"/>
            </w:pPr>
            <w:r>
              <w:rPr>
                <w:rFonts w:ascii="宋体" w:hAnsi="宋体" w:eastAsia="宋体"/>
                <w:b w:val="0"/>
                <w:i w:val="0"/>
                <w:color w:val="000000"/>
                <w:sz w:val="18"/>
              </w:rPr>
              <w:t>上海市长宁区凯旋路1522 号2605、2606 室</w:t>
            </w:r>
            <w:r>
              <w:rPr>
                <w:rFonts w:ascii="宋体" w:hAnsi="宋体" w:eastAsia="宋体"/>
                <w:b w:val="0"/>
                <w:i w:val="0"/>
                <w:color w:val="000000"/>
                <w:sz w:val="18"/>
              </w:rPr>
              <w:t xml:space="preserve">（实际楼层22 层） </w:t>
            </w:r>
          </w:p>
        </w:tc>
      </w:tr>
      <w:tr>
        <w:trPr>
          <w:trHeight w:hRule="exact" w:val="652"/>
        </w:trPr>
        <w:tc>
          <w:tcPr>
            <w:tcW w:type="dxa" w:w="630"/>
            <w:tcBorders>
              <w:start w:sz="4.0" w:val="single" w:color="#000000"/>
              <w:top w:sz="3.199999999999818" w:val="single" w:color="#000000"/>
              <w:end w:sz="3.2000000000000455" w:val="single" w:color="#000000"/>
              <w:bottom w:sz="4.0" w:val="single" w:color="#000000"/>
            </w:tcBorders>
            <w:tcMar>
              <w:start w:w="0" w:type="dxa"/>
              <w:end w:w="0" w:type="dxa"/>
            </w:tcMar>
          </w:tcPr>
          <w:p>
            <w:pPr>
              <w:autoSpaceDN w:val="0"/>
              <w:autoSpaceDE w:val="0"/>
              <w:widowControl/>
              <w:spacing w:line="180" w:lineRule="exact" w:before="264" w:after="0"/>
              <w:ind w:left="0" w:right="132" w:firstLine="0"/>
              <w:jc w:val="right"/>
            </w:pPr>
            <w:r>
              <w:rPr>
                <w:rFonts w:ascii="宋体" w:hAnsi="宋体" w:eastAsia="宋体"/>
                <w:b w:val="0"/>
                <w:i w:val="0"/>
                <w:color w:val="000000"/>
                <w:sz w:val="18"/>
              </w:rPr>
              <w:t xml:space="preserve">14 </w:t>
            </w:r>
          </w:p>
        </w:tc>
        <w:tc>
          <w:tcPr>
            <w:tcW w:type="dxa" w:w="2660"/>
            <w:tcBorders>
              <w:start w:sz="3.2000000000000455"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428" w:right="0" w:firstLine="0"/>
              <w:jc w:val="left"/>
            </w:pPr>
            <w:r>
              <w:rPr>
                <w:rFonts w:ascii="宋体" w:hAnsi="宋体" w:eastAsia="宋体"/>
                <w:b w:val="0"/>
                <w:i w:val="0"/>
                <w:color w:val="000000"/>
                <w:sz w:val="18"/>
              </w:rPr>
              <w:t xml:space="preserve">太谷新建路证券营业部 </w:t>
            </w:r>
          </w:p>
        </w:tc>
        <w:tc>
          <w:tcPr>
            <w:tcW w:type="dxa" w:w="262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264" w:after="0"/>
              <w:ind w:left="320" w:right="0" w:firstLine="0"/>
              <w:jc w:val="left"/>
            </w:pPr>
            <w:r>
              <w:rPr>
                <w:rFonts w:ascii="宋体" w:hAnsi="宋体" w:eastAsia="宋体"/>
                <w:b w:val="0"/>
                <w:i w:val="0"/>
                <w:color w:val="000000"/>
                <w:sz w:val="18"/>
              </w:rPr>
              <w:t xml:space="preserve">晋中康源南路证券营业部 </w:t>
            </w:r>
          </w:p>
        </w:tc>
        <w:tc>
          <w:tcPr>
            <w:tcW w:type="dxa" w:w="39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302" w:lineRule="exact" w:before="0" w:after="0"/>
              <w:ind w:left="104" w:right="0" w:firstLine="0"/>
              <w:jc w:val="left"/>
            </w:pPr>
            <w:r>
              <w:rPr>
                <w:rFonts w:ascii="宋体" w:hAnsi="宋体" w:eastAsia="宋体"/>
                <w:b w:val="0"/>
                <w:i w:val="0"/>
                <w:color w:val="000000"/>
                <w:sz w:val="18"/>
              </w:rPr>
              <w:t>山西省晋中市太谷区康源南路华星小区20 号楼</w:t>
            </w:r>
            <w:r>
              <w:rPr>
                <w:rFonts w:ascii="宋体" w:hAnsi="宋体" w:eastAsia="宋体"/>
                <w:b w:val="0"/>
                <w:i w:val="0"/>
                <w:color w:val="000000"/>
                <w:sz w:val="18"/>
              </w:rPr>
              <w:t xml:space="preserve">15 号商铺 </w:t>
            </w:r>
          </w:p>
        </w:tc>
      </w:tr>
    </w:tbl>
    <w:p>
      <w:pPr>
        <w:autoSpaceDN w:val="0"/>
        <w:autoSpaceDE w:val="0"/>
        <w:widowControl/>
        <w:spacing w:line="212" w:lineRule="exact" w:before="182" w:after="0"/>
        <w:ind w:left="602" w:right="0" w:firstLine="0"/>
        <w:jc w:val="left"/>
      </w:pPr>
      <w:r>
        <w:rPr>
          <w:rFonts w:ascii="宋体" w:hAnsi="宋体" w:eastAsia="宋体"/>
          <w:b w:val="0"/>
          <w:i w:val="0"/>
          <w:color w:val="000000"/>
          <w:sz w:val="21"/>
        </w:rPr>
        <w:t>对于撤销的营业部网点，公司严格按照相关法律法规，已妥善处理相关客户资产，结清业务，终止</w:t>
      </w:r>
    </w:p>
    <w:p>
      <w:pPr>
        <w:autoSpaceDN w:val="0"/>
        <w:autoSpaceDE w:val="0"/>
        <w:widowControl/>
        <w:spacing w:line="210" w:lineRule="exact" w:before="248" w:after="0"/>
        <w:ind w:left="182" w:right="0" w:firstLine="0"/>
        <w:jc w:val="left"/>
      </w:pPr>
      <w:r>
        <w:rPr>
          <w:rFonts w:ascii="宋体" w:hAnsi="宋体" w:eastAsia="宋体"/>
          <w:b w:val="0"/>
          <w:i w:val="0"/>
          <w:color w:val="000000"/>
          <w:sz w:val="21"/>
        </w:rPr>
        <w:t xml:space="preserve">经营活动，办理工商注销等相关手续，并向证券营业部所在地中国证监会派出机构备案。 </w:t>
      </w:r>
    </w:p>
    <w:p>
      <w:pPr>
        <w:autoSpaceDN w:val="0"/>
        <w:autoSpaceDE w:val="0"/>
        <w:widowControl/>
        <w:spacing w:line="210" w:lineRule="exact" w:before="352" w:after="0"/>
        <w:ind w:left="182" w:right="0" w:firstLine="0"/>
        <w:jc w:val="left"/>
      </w:pPr>
      <w:r>
        <w:rPr>
          <w:rFonts w:ascii="宋体" w:hAnsi="宋体" w:eastAsia="宋体"/>
          <w:b w:val="0"/>
          <w:i w:val="0"/>
          <w:color w:val="000000"/>
          <w:sz w:val="21"/>
        </w:rPr>
        <w:t xml:space="preserve">（3）期货分支机构变更情况 </w:t>
      </w:r>
    </w:p>
    <w:p>
      <w:pPr>
        <w:autoSpaceDN w:val="0"/>
        <w:autoSpaceDE w:val="0"/>
        <w:widowControl/>
        <w:spacing w:line="210" w:lineRule="exact" w:before="488" w:after="184"/>
        <w:ind w:left="602" w:right="0" w:firstLine="0"/>
        <w:jc w:val="left"/>
      </w:pPr>
      <w:r>
        <w:rPr>
          <w:rFonts w:ascii="宋体" w:hAnsi="宋体" w:eastAsia="宋体"/>
          <w:b w:val="0"/>
          <w:i w:val="0"/>
          <w:color w:val="000000"/>
          <w:sz w:val="21"/>
        </w:rPr>
        <w:t xml:space="preserve">报告期内，期货子公司格林大华撤销2 家分支机构，2 家分支机构同城迁址。具体情况如下： </w:t>
      </w:r>
    </w:p>
    <w:tbl>
      <w:tblPr>
        <w:tblW w:type="auto" w:w="0"/>
        <w:tblLayout w:type="fixed"/>
        <w:tblLook w:firstColumn="1" w:firstRow="1" w:lastColumn="0" w:lastRow="0" w:noHBand="0" w:noVBand="1" w:val="04A0"/>
        <w:tblInd w:w="5.999999999999943" w:type="dxa"/>
      </w:tblPr>
      <w:tblGrid>
        <w:gridCol w:w="2004"/>
        <w:gridCol w:w="2004"/>
        <w:gridCol w:w="2004"/>
        <w:gridCol w:w="2004"/>
        <w:gridCol w:w="2004"/>
      </w:tblGrid>
      <w:tr>
        <w:trPr>
          <w:trHeight w:hRule="exact" w:val="454"/>
        </w:trPr>
        <w:tc>
          <w:tcPr>
            <w:tcW w:type="dxa" w:w="9990"/>
            <w:gridSpan w:val="5"/>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64" w:after="0"/>
              <w:ind w:left="106" w:right="0" w:firstLine="0"/>
              <w:jc w:val="left"/>
            </w:pPr>
            <w:r>
              <w:rPr>
                <w:rFonts w:ascii="宋体" w:hAnsi="宋体" w:eastAsia="宋体"/>
                <w:b w:val="0"/>
                <w:i w:val="0"/>
                <w:color w:val="000000"/>
                <w:sz w:val="18"/>
              </w:rPr>
              <w:t xml:space="preserve">撤销分支机构情况 </w:t>
            </w:r>
          </w:p>
        </w:tc>
      </w:tr>
      <w:tr>
        <w:trPr>
          <w:trHeight w:hRule="exact" w:val="452"/>
        </w:trPr>
        <w:tc>
          <w:tcPr>
            <w:tcW w:type="dxa" w:w="6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62" w:after="0"/>
              <w:ind w:left="118" w:right="0" w:firstLine="0"/>
              <w:jc w:val="left"/>
            </w:pPr>
            <w:r>
              <w:rPr>
                <w:rFonts w:ascii="宋体" w:hAnsi="宋体" w:eastAsia="宋体"/>
                <w:b w:val="0"/>
                <w:i w:val="0"/>
                <w:color w:val="000000"/>
                <w:sz w:val="18"/>
              </w:rPr>
              <w:t xml:space="preserve">序号 </w:t>
            </w:r>
          </w:p>
        </w:tc>
        <w:tc>
          <w:tcPr>
            <w:tcW w:type="dxa" w:w="2404"/>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2" w:after="0"/>
              <w:ind w:left="0" w:right="564" w:firstLine="0"/>
              <w:jc w:val="right"/>
            </w:pPr>
            <w:r>
              <w:rPr>
                <w:rFonts w:ascii="宋体" w:hAnsi="宋体" w:eastAsia="宋体"/>
                <w:b w:val="0"/>
                <w:i w:val="0"/>
                <w:color w:val="000000"/>
                <w:sz w:val="18"/>
              </w:rPr>
              <w:t xml:space="preserve">分支机构名称 </w:t>
            </w:r>
          </w:p>
        </w:tc>
        <w:tc>
          <w:tcPr>
            <w:tcW w:type="dxa" w:w="6980"/>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2" w:after="0"/>
              <w:ind w:left="0" w:right="3210" w:firstLine="0"/>
              <w:jc w:val="right"/>
            </w:pPr>
            <w:r>
              <w:rPr>
                <w:rFonts w:ascii="宋体" w:hAnsi="宋体" w:eastAsia="宋体"/>
                <w:b w:val="0"/>
                <w:i w:val="0"/>
                <w:color w:val="000000"/>
                <w:sz w:val="18"/>
              </w:rPr>
              <w:t xml:space="preserve">地址 </w:t>
            </w:r>
          </w:p>
        </w:tc>
      </w:tr>
      <w:tr>
        <w:trPr>
          <w:trHeight w:hRule="exact" w:val="458"/>
        </w:trPr>
        <w:tc>
          <w:tcPr>
            <w:tcW w:type="dxa" w:w="6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64" w:after="0"/>
              <w:ind w:left="0" w:right="162" w:firstLine="0"/>
              <w:jc w:val="right"/>
            </w:pPr>
            <w:r>
              <w:rPr>
                <w:rFonts w:ascii="宋体" w:hAnsi="宋体" w:eastAsia="宋体"/>
                <w:b w:val="0"/>
                <w:i w:val="0"/>
                <w:color w:val="000000"/>
                <w:sz w:val="18"/>
              </w:rPr>
              <w:t xml:space="preserve">1 </w:t>
            </w:r>
          </w:p>
        </w:tc>
        <w:tc>
          <w:tcPr>
            <w:tcW w:type="dxa" w:w="2404"/>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4" w:after="0"/>
              <w:ind w:left="0" w:right="656" w:firstLine="0"/>
              <w:jc w:val="right"/>
            </w:pPr>
            <w:r>
              <w:rPr>
                <w:rFonts w:ascii="宋体" w:hAnsi="宋体" w:eastAsia="宋体"/>
                <w:b w:val="0"/>
                <w:i w:val="0"/>
                <w:color w:val="000000"/>
                <w:sz w:val="18"/>
              </w:rPr>
              <w:t xml:space="preserve">武汉营业部 </w:t>
            </w:r>
          </w:p>
        </w:tc>
        <w:tc>
          <w:tcPr>
            <w:tcW w:type="dxa" w:w="6980"/>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4" w:after="0"/>
              <w:ind w:left="104" w:right="0" w:firstLine="0"/>
              <w:jc w:val="left"/>
            </w:pPr>
            <w:r>
              <w:rPr>
                <w:rFonts w:ascii="宋体" w:hAnsi="宋体" w:eastAsia="宋体"/>
                <w:b w:val="0"/>
                <w:i w:val="0"/>
                <w:color w:val="000000"/>
                <w:sz w:val="18"/>
              </w:rPr>
              <w:t xml:space="preserve">湖北省武汉市建设大道648 号联合大厦A 座雷王金融中心第17 层 </w:t>
            </w:r>
          </w:p>
        </w:tc>
      </w:tr>
      <w:tr>
        <w:trPr>
          <w:trHeight w:hRule="exact" w:val="452"/>
        </w:trPr>
        <w:tc>
          <w:tcPr>
            <w:tcW w:type="dxa" w:w="6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64" w:after="0"/>
              <w:ind w:left="0" w:right="162" w:firstLine="0"/>
              <w:jc w:val="right"/>
            </w:pPr>
            <w:r>
              <w:rPr>
                <w:rFonts w:ascii="宋体" w:hAnsi="宋体" w:eastAsia="宋体"/>
                <w:b w:val="0"/>
                <w:i w:val="0"/>
                <w:color w:val="000000"/>
                <w:sz w:val="18"/>
              </w:rPr>
              <w:t xml:space="preserve">2 </w:t>
            </w:r>
          </w:p>
        </w:tc>
        <w:tc>
          <w:tcPr>
            <w:tcW w:type="dxa" w:w="2404"/>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4" w:after="0"/>
              <w:ind w:left="478" w:right="0" w:firstLine="0"/>
              <w:jc w:val="left"/>
            </w:pPr>
            <w:r>
              <w:rPr>
                <w:rFonts w:ascii="宋体" w:hAnsi="宋体" w:eastAsia="宋体"/>
                <w:b w:val="0"/>
                <w:i w:val="0"/>
                <w:color w:val="000000"/>
                <w:sz w:val="18"/>
              </w:rPr>
              <w:t xml:space="preserve">上海源深路营业部 </w:t>
            </w:r>
          </w:p>
        </w:tc>
        <w:tc>
          <w:tcPr>
            <w:tcW w:type="dxa" w:w="6980"/>
            <w:gridSpan w:val="2"/>
            <w:tcBorders>
              <w:start w:sz="4.0" w:val="single" w:color="#000000"/>
              <w:top w:sz="4.0" w:val="single" w:color="#000000"/>
              <w:end w:sz="4.0" w:val="single" w:color="#000000"/>
              <w:bottom w:sz="4.0" w:val="single" w:color="#000000"/>
            </w:tcBorders>
            <w:tcMar>
              <w:start w:w="0" w:type="dxa"/>
              <w:end w:w="0" w:type="dxa"/>
            </w:tcMar>
            <w:tcMar>
              <w:start w:w="0" w:type="dxa"/>
              <w:end w:w="0" w:type="dxa"/>
            </w:tcMar>
          </w:tcPr>
          <w:p>
            <w:pPr>
              <w:autoSpaceDN w:val="0"/>
              <w:autoSpaceDE w:val="0"/>
              <w:widowControl/>
              <w:spacing w:line="180" w:lineRule="exact" w:before="164" w:after="0"/>
              <w:ind w:left="104" w:right="0" w:firstLine="0"/>
              <w:jc w:val="left"/>
            </w:pPr>
            <w:r>
              <w:rPr>
                <w:rFonts w:ascii="宋体" w:hAnsi="宋体" w:eastAsia="宋体"/>
                <w:b w:val="0"/>
                <w:i w:val="0"/>
                <w:color w:val="000000"/>
                <w:sz w:val="18"/>
              </w:rPr>
              <w:t xml:space="preserve">中国（上海）自由贸易试验区源深路355 号，商城路1418 号B 座7001 单元 </w:t>
            </w:r>
          </w:p>
        </w:tc>
      </w:tr>
      <w:tr>
        <w:trPr>
          <w:trHeight w:hRule="exact" w:val="456"/>
        </w:trPr>
        <w:tc>
          <w:tcPr>
            <w:tcW w:type="dxa" w:w="9990"/>
            <w:gridSpan w:val="5"/>
            <w:tcBorders>
              <w:start w:sz="4.0" w:val="single" w:color="#000000"/>
              <w:top w:sz="4.0" w:val="single" w:color="#000000"/>
              <w:end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64" w:after="0"/>
              <w:ind w:left="106" w:right="0" w:firstLine="0"/>
              <w:jc w:val="left"/>
            </w:pPr>
            <w:r>
              <w:rPr>
                <w:rFonts w:ascii="宋体" w:hAnsi="宋体" w:eastAsia="宋体"/>
                <w:b w:val="0"/>
                <w:i w:val="0"/>
                <w:color w:val="000000"/>
                <w:sz w:val="18"/>
              </w:rPr>
              <w:t xml:space="preserve">分支机构迁址情况 </w:t>
            </w:r>
          </w:p>
        </w:tc>
      </w:tr>
      <w:tr>
        <w:trPr>
          <w:trHeight w:hRule="exact" w:val="452"/>
        </w:trPr>
        <w:tc>
          <w:tcPr>
            <w:tcW w:type="dxa" w:w="60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64" w:after="0"/>
              <w:ind w:left="118" w:right="0" w:firstLine="0"/>
              <w:jc w:val="left"/>
            </w:pPr>
            <w:r>
              <w:rPr>
                <w:rFonts w:ascii="宋体" w:hAnsi="宋体" w:eastAsia="宋体"/>
                <w:b w:val="0"/>
                <w:i w:val="0"/>
                <w:color w:val="000000"/>
                <w:sz w:val="18"/>
              </w:rPr>
              <w:t xml:space="preserve">序号 </w:t>
            </w:r>
          </w:p>
        </w:tc>
        <w:tc>
          <w:tcPr>
            <w:tcW w:type="dxa" w:w="141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64" w:after="0"/>
              <w:ind w:left="0" w:right="340" w:firstLine="0"/>
              <w:jc w:val="right"/>
            </w:pPr>
            <w:r>
              <w:rPr>
                <w:rFonts w:ascii="宋体" w:hAnsi="宋体" w:eastAsia="宋体"/>
                <w:b w:val="0"/>
                <w:i w:val="0"/>
                <w:color w:val="000000"/>
                <w:sz w:val="18"/>
              </w:rPr>
              <w:t xml:space="preserve">原名称 </w:t>
            </w:r>
          </w:p>
        </w:tc>
        <w:tc>
          <w:tcPr>
            <w:tcW w:type="dxa" w:w="1420"/>
            <w:gridSpan w:val="2"/>
            <w:tcBorders>
              <w:start w:sz="4.0" w:val="single" w:color="#000000"/>
              <w:top w:sz="4.0" w:val="single" w:color="#000000"/>
              <w:end w:sz="4.0" w:val="single" w:color="#000000"/>
              <w:bottom w:sz="3.2000000000007276" w:val="single" w:color="#000000"/>
            </w:tcBorders>
            <w:tcMar>
              <w:start w:w="0" w:type="dxa"/>
              <w:end w:w="0" w:type="dxa"/>
            </w:tcMar>
            <w:tcMar>
              <w:start w:w="0" w:type="dxa"/>
              <w:end w:w="0" w:type="dxa"/>
            </w:tcMar>
          </w:tcPr>
          <w:p>
            <w:pPr>
              <w:autoSpaceDN w:val="0"/>
              <w:autoSpaceDE w:val="0"/>
              <w:widowControl/>
              <w:spacing w:line="180" w:lineRule="exact" w:before="164" w:after="0"/>
              <w:ind w:left="0" w:right="346" w:firstLine="0"/>
              <w:jc w:val="right"/>
            </w:pPr>
            <w:r>
              <w:rPr>
                <w:rFonts w:ascii="宋体" w:hAnsi="宋体" w:eastAsia="宋体"/>
                <w:b w:val="0"/>
                <w:i w:val="0"/>
                <w:color w:val="000000"/>
                <w:sz w:val="18"/>
              </w:rPr>
              <w:t xml:space="preserve">现名称 </w:t>
            </w:r>
          </w:p>
        </w:tc>
        <w:tc>
          <w:tcPr>
            <w:tcW w:type="dxa" w:w="655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164" w:after="0"/>
              <w:ind w:left="0" w:right="2730" w:firstLine="0"/>
              <w:jc w:val="right"/>
            </w:pPr>
            <w:r>
              <w:rPr>
                <w:rFonts w:ascii="宋体" w:hAnsi="宋体" w:eastAsia="宋体"/>
                <w:b w:val="0"/>
                <w:i w:val="0"/>
                <w:color w:val="000000"/>
                <w:sz w:val="18"/>
              </w:rPr>
              <w:t xml:space="preserve">搬迁后地址 </w:t>
            </w:r>
          </w:p>
        </w:tc>
      </w:tr>
    </w:tbl>
    <w:p>
      <w:pPr>
        <w:autoSpaceDN w:val="0"/>
        <w:autoSpaceDE w:val="0"/>
        <w:widowControl/>
        <w:spacing w:line="197" w:lineRule="auto" w:before="644" w:after="0"/>
        <w:ind w:left="0" w:right="0" w:firstLine="0"/>
        <w:jc w:val="center"/>
      </w:pPr>
      <w:r>
        <w:rPr>
          <w:rFonts w:ascii="Calibri" w:hAnsi="Calibri" w:eastAsia="Calibri"/>
          <w:b w:val="0"/>
          <w:i w:val="0"/>
          <w:color w:val="000000"/>
          <w:sz w:val="18"/>
        </w:rPr>
        <w:t xml:space="preserve">112 </w:t>
      </w:r>
    </w:p>
    <w:p>
      <w:pPr>
        <w:sectPr>
          <w:type w:val="continuous"/>
          <w:pgSz w:w="11904" w:h="16841"/>
          <w:pgMar w:top="424" w:right="932" w:bottom="446" w:left="952" w:header="720" w:footer="720" w:gutter="0"/>
          <w:cols/>
          <w:docGrid w:linePitch="360"/>
        </w:sectPr>
      </w:pPr>
    </w:p>
    <w:p>
      <w:pPr>
        <w:autoSpaceDN w:val="0"/>
        <w:autoSpaceDE w:val="0"/>
        <w:widowControl/>
        <w:spacing w:line="220" w:lineRule="exact" w:before="0" w:after="206"/>
        <w:ind w:left="0" w:right="0"/>
      </w:pPr>
    </w:p>
    <w:p>
      <w:pPr>
        <w:sectPr>
          <w:pgSz w:w="11904" w:h="16841"/>
          <w:pgMar w:top="424" w:right="932" w:bottom="446" w:left="952" w:header="720" w:footer="720" w:gutter="0"/>
          <w:cols/>
          <w:docGrid w:linePitch="360"/>
        </w:sectPr>
      </w:pPr>
    </w:p>
    <w:p>
      <w:pPr>
        <w:autoSpaceDN w:val="0"/>
        <w:autoSpaceDE w:val="0"/>
        <w:widowControl/>
        <w:spacing w:line="240" w:lineRule="auto" w:before="0" w:after="0"/>
        <w:ind w:left="182" w:right="0" w:firstLine="0"/>
        <w:jc w:val="left"/>
      </w:pPr>
      <w:r>
        <w:drawing>
          <wp:inline xmlns:a="http://schemas.openxmlformats.org/drawingml/2006/main" xmlns:pic="http://schemas.openxmlformats.org/drawingml/2006/picture">
            <wp:extent cx="1844039" cy="439419"/>
            <wp:docPr id="115" name="Picture 11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932" w:bottom="446" w:left="952" w:header="720" w:footer="720" w:gutter="0"/>
          <w:cols w:num="2" w:equalWidth="0">
            <w:col w:w="5588" w:space="0"/>
            <w:col w:w="4432" w:space="0"/>
          </w:cols>
          <w:docGrid w:linePitch="360"/>
        </w:sectPr>
      </w:pPr>
    </w:p>
    <w:p>
      <w:pPr>
        <w:autoSpaceDN w:val="0"/>
        <w:autoSpaceDE w:val="0"/>
        <w:widowControl/>
        <w:spacing w:line="200" w:lineRule="exact" w:before="0" w:after="30"/>
        <w:ind w:left="0" w:right="21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932" w:bottom="446" w:left="952" w:header="720" w:footer="720" w:gutter="0"/>
          <w:cols w:num="2" w:equalWidth="0">
            <w:col w:w="5588" w:space="0"/>
            <w:col w:w="443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5.999999999999943" w:type="dxa"/>
      </w:tblPr>
      <w:tblGrid>
        <w:gridCol w:w="2505"/>
        <w:gridCol w:w="2505"/>
        <w:gridCol w:w="2505"/>
        <w:gridCol w:w="2505"/>
      </w:tblGrid>
      <w:tr>
        <w:trPr>
          <w:trHeight w:hRule="exact" w:val="455"/>
        </w:trPr>
        <w:tc>
          <w:tcPr>
            <w:tcW w:type="dxa" w:w="6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64" w:after="0"/>
              <w:ind w:left="0" w:right="162" w:firstLine="0"/>
              <w:jc w:val="right"/>
            </w:pPr>
            <w:r>
              <w:rPr>
                <w:rFonts w:ascii="宋体" w:hAnsi="宋体" w:eastAsia="宋体"/>
                <w:b w:val="0"/>
                <w:i w:val="0"/>
                <w:color w:val="000000"/>
                <w:sz w:val="18"/>
              </w:rPr>
              <w:t xml:space="preserve">1 </w:t>
            </w:r>
          </w:p>
        </w:tc>
        <w:tc>
          <w:tcPr>
            <w:tcW w:type="dxa" w:w="141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60" w:after="0"/>
              <w:ind w:left="252" w:right="0" w:firstLine="0"/>
              <w:jc w:val="left"/>
            </w:pPr>
            <w:r>
              <w:rPr>
                <w:rFonts w:ascii="宋体" w:hAnsi="宋体" w:eastAsia="宋体"/>
                <w:b w:val="0"/>
                <w:i w:val="0"/>
                <w:color w:val="000000"/>
                <w:sz w:val="18"/>
              </w:rPr>
              <w:t xml:space="preserve">上海分公司 </w:t>
            </w:r>
          </w:p>
        </w:tc>
        <w:tc>
          <w:tcPr>
            <w:tcW w:type="dxa" w:w="142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60" w:after="0"/>
              <w:ind w:left="254" w:right="0" w:firstLine="0"/>
              <w:jc w:val="left"/>
            </w:pPr>
            <w:r>
              <w:rPr>
                <w:rFonts w:ascii="宋体" w:hAnsi="宋体" w:eastAsia="宋体"/>
                <w:b w:val="0"/>
                <w:i w:val="0"/>
                <w:color w:val="000000"/>
                <w:sz w:val="18"/>
              </w:rPr>
              <w:t xml:space="preserve">上海分公司 </w:t>
            </w:r>
          </w:p>
        </w:tc>
        <w:tc>
          <w:tcPr>
            <w:tcW w:type="dxa" w:w="655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60" w:after="0"/>
              <w:ind w:left="102" w:right="0" w:firstLine="0"/>
              <w:jc w:val="left"/>
            </w:pPr>
            <w:r>
              <w:rPr>
                <w:rFonts w:ascii="宋体" w:hAnsi="宋体" w:eastAsia="宋体"/>
                <w:b w:val="0"/>
                <w:i w:val="0"/>
                <w:color w:val="000000"/>
                <w:sz w:val="18"/>
              </w:rPr>
              <w:t xml:space="preserve">中国（上海）自由贸易试验区滨江大道5159 号5 层A 区（实际楼层4 层） </w:t>
            </w:r>
          </w:p>
        </w:tc>
      </w:tr>
      <w:tr>
        <w:trPr>
          <w:trHeight w:hRule="exact" w:val="452"/>
        </w:trPr>
        <w:tc>
          <w:tcPr>
            <w:tcW w:type="dxa" w:w="606"/>
            <w:tcBorders>
              <w:start w:sz="4.0" w:val="single" w:color="#000000"/>
              <w:top w:sz="4.0" w:val="single" w:color="#000000"/>
              <w:end w:sz="4.0" w:val="single" w:color="#000000"/>
              <w:bottom w:sz="3.199999999999932" w:val="single" w:color="#000000"/>
            </w:tcBorders>
            <w:tcMar>
              <w:start w:w="0" w:type="dxa"/>
              <w:end w:w="0" w:type="dxa"/>
            </w:tcMar>
          </w:tcPr>
          <w:p>
            <w:pPr>
              <w:autoSpaceDN w:val="0"/>
              <w:autoSpaceDE w:val="0"/>
              <w:widowControl/>
              <w:spacing w:line="180" w:lineRule="exact" w:before="162" w:after="0"/>
              <w:ind w:left="0" w:right="162" w:firstLine="0"/>
              <w:jc w:val="right"/>
            </w:pPr>
            <w:r>
              <w:rPr>
                <w:rFonts w:ascii="宋体" w:hAnsi="宋体" w:eastAsia="宋体"/>
                <w:b w:val="0"/>
                <w:i w:val="0"/>
                <w:color w:val="000000"/>
                <w:sz w:val="18"/>
              </w:rPr>
              <w:t xml:space="preserve">2 </w:t>
            </w:r>
          </w:p>
        </w:tc>
        <w:tc>
          <w:tcPr>
            <w:tcW w:type="dxa" w:w="1412"/>
            <w:tcBorders>
              <w:start w:sz="4.0" w:val="single" w:color="#000000"/>
              <w:top w:sz="4.0" w:val="single" w:color="#000000"/>
              <w:end w:sz="4.0" w:val="single" w:color="#000000"/>
              <w:bottom w:sz="3.199999999999932" w:val="single" w:color="#000000"/>
            </w:tcBorders>
            <w:tcMar>
              <w:start w:w="0" w:type="dxa"/>
              <w:end w:w="0" w:type="dxa"/>
            </w:tcMar>
          </w:tcPr>
          <w:p>
            <w:pPr>
              <w:autoSpaceDN w:val="0"/>
              <w:autoSpaceDE w:val="0"/>
              <w:widowControl/>
              <w:spacing w:line="198" w:lineRule="exact" w:before="146" w:after="0"/>
              <w:ind w:left="0" w:right="0" w:firstLine="0"/>
              <w:jc w:val="center"/>
            </w:pPr>
            <w:r>
              <w:rPr>
                <w:rFonts w:ascii="宋体" w:hAnsi="宋体" w:eastAsia="宋体"/>
                <w:b w:val="0"/>
                <w:i w:val="0"/>
                <w:color w:val="000000"/>
                <w:sz w:val="20"/>
              </w:rPr>
              <w:t>天津分公司</w:t>
            </w:r>
          </w:p>
        </w:tc>
        <w:tc>
          <w:tcPr>
            <w:tcW w:type="dxa" w:w="1420"/>
            <w:tcBorders>
              <w:start w:sz="4.0" w:val="single" w:color="#000000"/>
              <w:top w:sz="4.0" w:val="single" w:color="#000000"/>
              <w:end w:sz="4.0" w:val="single" w:color="#000000"/>
              <w:bottom w:sz="3.199999999999932" w:val="single" w:color="#000000"/>
            </w:tcBorders>
            <w:tcMar>
              <w:start w:w="0" w:type="dxa"/>
              <w:end w:w="0" w:type="dxa"/>
            </w:tcMar>
          </w:tcPr>
          <w:p>
            <w:pPr>
              <w:autoSpaceDN w:val="0"/>
              <w:autoSpaceDE w:val="0"/>
              <w:widowControl/>
              <w:spacing w:line="198" w:lineRule="exact" w:before="146" w:after="0"/>
              <w:ind w:left="0" w:right="0" w:firstLine="0"/>
              <w:jc w:val="center"/>
            </w:pPr>
            <w:r>
              <w:rPr>
                <w:rFonts w:ascii="宋体" w:hAnsi="宋体" w:eastAsia="宋体"/>
                <w:b w:val="0"/>
                <w:i w:val="0"/>
                <w:color w:val="000000"/>
                <w:sz w:val="20"/>
              </w:rPr>
              <w:t>天津分公司</w:t>
            </w:r>
          </w:p>
        </w:tc>
        <w:tc>
          <w:tcPr>
            <w:tcW w:type="dxa" w:w="6552"/>
            <w:tcBorders>
              <w:start w:sz="4.0" w:val="single" w:color="#000000"/>
              <w:top w:sz="4.0" w:val="single" w:color="#000000"/>
              <w:end w:sz="4.0" w:val="single" w:color="#000000"/>
              <w:bottom w:sz="3.199999999999932" w:val="single" w:color="#000000"/>
            </w:tcBorders>
            <w:tcMar>
              <w:start w:w="0" w:type="dxa"/>
              <w:end w:w="0" w:type="dxa"/>
            </w:tcMar>
          </w:tcPr>
          <w:p>
            <w:pPr>
              <w:autoSpaceDN w:val="0"/>
              <w:autoSpaceDE w:val="0"/>
              <w:widowControl/>
              <w:spacing w:line="198" w:lineRule="exact" w:before="146" w:after="0"/>
              <w:ind w:left="0" w:right="0" w:firstLine="0"/>
              <w:jc w:val="center"/>
            </w:pPr>
            <w:r>
              <w:rPr>
                <w:rFonts w:ascii="宋体" w:hAnsi="宋体" w:eastAsia="宋体"/>
                <w:b w:val="0"/>
                <w:i w:val="0"/>
                <w:color w:val="000000"/>
                <w:sz w:val="20"/>
              </w:rPr>
              <w:t>天津市南开区长江道与南丰路交口博朗园1 号楼26 楼2601-2/2604-2 号</w:t>
            </w:r>
          </w:p>
        </w:tc>
      </w:tr>
    </w:tbl>
    <w:p>
      <w:pPr>
        <w:autoSpaceDN w:val="0"/>
        <w:autoSpaceDE w:val="0"/>
        <w:widowControl/>
        <w:spacing w:line="212" w:lineRule="exact" w:before="342" w:after="0"/>
        <w:ind w:left="182" w:right="0" w:firstLine="0"/>
        <w:jc w:val="left"/>
      </w:pPr>
      <w:r>
        <w:rPr>
          <w:rFonts w:ascii="宋体" w:hAnsi="宋体" w:eastAsia="宋体"/>
          <w:b w:val="0"/>
          <w:i w:val="0"/>
          <w:color w:val="000000"/>
          <w:sz w:val="21"/>
        </w:rPr>
        <w:t xml:space="preserve">4、重大的资产处置、收购、置换、剥离情况 </w:t>
      </w:r>
    </w:p>
    <w:p>
      <w:pPr>
        <w:autoSpaceDN w:val="0"/>
        <w:autoSpaceDE w:val="0"/>
        <w:widowControl/>
        <w:spacing w:line="180" w:lineRule="exact" w:before="362" w:after="0"/>
        <w:ind w:left="18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70" w:after="0"/>
        <w:ind w:left="182" w:right="0" w:firstLine="0"/>
        <w:jc w:val="left"/>
      </w:pPr>
      <w:r>
        <w:rPr>
          <w:rFonts w:ascii="宋体" w:hAnsi="宋体" w:eastAsia="宋体"/>
          <w:b w:val="0"/>
          <w:i w:val="0"/>
          <w:color w:val="000000"/>
          <w:sz w:val="21"/>
        </w:rPr>
        <w:t xml:space="preserve">5、重组其他公司情况 </w:t>
      </w:r>
    </w:p>
    <w:p>
      <w:pPr>
        <w:autoSpaceDN w:val="0"/>
        <w:autoSpaceDE w:val="0"/>
        <w:widowControl/>
        <w:spacing w:line="180" w:lineRule="exact" w:before="362" w:after="0"/>
        <w:ind w:left="182"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182" w:right="0" w:firstLine="0"/>
        <w:jc w:val="left"/>
      </w:pPr>
      <w:r>
        <w:rPr>
          <w:rFonts w:ascii="宋体" w:hAnsi="宋体" w:eastAsia="宋体"/>
          <w:b w:val="0"/>
          <w:i w:val="0"/>
          <w:color w:val="000000"/>
          <w:sz w:val="24"/>
        </w:rPr>
        <w:t xml:space="preserve">十一、重大诉讼、仲裁事项 </w:t>
      </w:r>
    </w:p>
    <w:p>
      <w:pPr>
        <w:autoSpaceDN w:val="0"/>
        <w:tabs>
          <w:tab w:pos="602" w:val="left"/>
        </w:tabs>
        <w:autoSpaceDE w:val="0"/>
        <w:widowControl/>
        <w:spacing w:line="460" w:lineRule="exact" w:before="284" w:after="0"/>
        <w:ind w:left="182" w:right="144" w:firstLine="0"/>
        <w:jc w:val="left"/>
      </w:pPr>
      <w:r>
        <w:tab/>
      </w:r>
      <w:r>
        <w:rPr>
          <w:rFonts w:ascii="Times New Roman" w:hAnsi="Times New Roman" w:eastAsia="Times New Roman"/>
          <w:b w:val="0"/>
          <w:i w:val="0"/>
          <w:color w:val="000000"/>
          <w:sz w:val="21"/>
        </w:rPr>
        <w:t>2022</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w:t>
      </w:r>
      <w:r>
        <w:rPr>
          <w:rFonts w:ascii="宋体" w:hAnsi="宋体" w:eastAsia="宋体"/>
          <w:b w:val="0"/>
          <w:i w:val="0"/>
          <w:color w:val="000000"/>
          <w:sz w:val="21"/>
        </w:rPr>
        <w:t xml:space="preserve"> 月，中德证券收到北京金融法院送达的民事起诉状，案由为涉及乐视网信息技术（北京）</w:t>
      </w:r>
      <w:r>
        <w:rPr>
          <w:rFonts w:ascii="宋体" w:hAnsi="宋体" w:eastAsia="宋体"/>
          <w:b w:val="0"/>
          <w:i w:val="0"/>
          <w:color w:val="000000"/>
          <w:sz w:val="21"/>
        </w:rPr>
        <w:t>股份有限公司</w:t>
      </w:r>
      <w:r>
        <w:rPr>
          <w:rFonts w:ascii="宋体" w:hAnsi="宋体" w:eastAsia="宋体"/>
          <w:b w:val="0"/>
          <w:i w:val="0"/>
          <w:color w:val="000000"/>
          <w:sz w:val="21"/>
        </w:rPr>
        <w:t>（以下简称</w:t>
      </w:r>
      <w:r>
        <w:rPr>
          <w:rFonts w:ascii="Times New Roman" w:hAnsi="Times New Roman" w:eastAsia="Times New Roman"/>
          <w:b w:val="0"/>
          <w:i w:val="0"/>
          <w:color w:val="000000"/>
          <w:sz w:val="21"/>
        </w:rPr>
        <w:t>“</w:t>
      </w:r>
      <w:r>
        <w:rPr>
          <w:rFonts w:ascii="宋体" w:hAnsi="宋体" w:eastAsia="宋体"/>
          <w:b w:val="0"/>
          <w:i w:val="0"/>
          <w:color w:val="000000"/>
          <w:sz w:val="21"/>
        </w:rPr>
        <w:t>乐视网</w:t>
      </w:r>
      <w:r>
        <w:rPr>
          <w:rFonts w:ascii="Times New Roman" w:hAnsi="Times New Roman" w:eastAsia="Times New Roman"/>
          <w:b w:val="0"/>
          <w:i w:val="0"/>
          <w:color w:val="000000"/>
          <w:sz w:val="21"/>
        </w:rPr>
        <w:t>”</w:t>
      </w:r>
      <w:r>
        <w:rPr>
          <w:rFonts w:ascii="宋体" w:hAnsi="宋体" w:eastAsia="宋体"/>
          <w:b w:val="0"/>
          <w:i w:val="0"/>
          <w:color w:val="000000"/>
          <w:sz w:val="21"/>
        </w:rPr>
        <w:t>）</w:t>
      </w:r>
      <w:r>
        <w:rPr>
          <w:rFonts w:ascii="宋体" w:hAnsi="宋体" w:eastAsia="宋体"/>
          <w:b w:val="0"/>
          <w:i w:val="0"/>
          <w:color w:val="000000"/>
          <w:sz w:val="21"/>
        </w:rPr>
        <w:t>证券虚假陈述责任纠纷（详见公司公告：临</w:t>
      </w:r>
      <w:r>
        <w:rPr>
          <w:rFonts w:ascii="Times New Roman" w:hAnsi="Times New Roman" w:eastAsia="Times New Roman"/>
          <w:b w:val="0"/>
          <w:i w:val="0"/>
          <w:color w:val="000000"/>
          <w:sz w:val="21"/>
        </w:rPr>
        <w:t>2022-001</w:t>
      </w:r>
      <w:r>
        <w:rPr>
          <w:rFonts w:ascii="宋体" w:hAnsi="宋体" w:eastAsia="宋体"/>
          <w:b w:val="0"/>
          <w:i w:val="0"/>
          <w:color w:val="000000"/>
          <w:sz w:val="21"/>
        </w:rPr>
        <w:t>）。</w:t>
      </w:r>
    </w:p>
    <w:p>
      <w:pPr>
        <w:autoSpaceDN w:val="0"/>
        <w:tabs>
          <w:tab w:pos="602" w:val="left"/>
        </w:tabs>
        <w:autoSpaceDE w:val="0"/>
        <w:widowControl/>
        <w:spacing w:line="460" w:lineRule="exact" w:before="0" w:after="0"/>
        <w:ind w:left="182" w:right="288" w:firstLine="0"/>
        <w:jc w:val="left"/>
      </w:pPr>
      <w:r>
        <w:tab/>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9</w:t>
      </w:r>
      <w:r>
        <w:rPr>
          <w:rFonts w:ascii="宋体" w:hAnsi="宋体" w:eastAsia="宋体"/>
          <w:b w:val="0"/>
          <w:i w:val="0"/>
          <w:color w:val="000000"/>
          <w:sz w:val="21"/>
        </w:rPr>
        <w:t xml:space="preserve"> 月，中德证券收到北京金融法院《民事判决书》【（</w:t>
      </w:r>
      <w:r>
        <w:rPr>
          <w:rFonts w:ascii="Times New Roman" w:hAnsi="Times New Roman" w:eastAsia="Times New Roman"/>
          <w:b w:val="0"/>
          <w:i w:val="0"/>
          <w:color w:val="000000"/>
          <w:sz w:val="21"/>
        </w:rPr>
        <w:t>2021</w:t>
      </w:r>
      <w:r>
        <w:rPr>
          <w:rFonts w:ascii="宋体" w:hAnsi="宋体" w:eastAsia="宋体"/>
          <w:b w:val="0"/>
          <w:i w:val="0"/>
          <w:color w:val="000000"/>
          <w:sz w:val="21"/>
        </w:rPr>
        <w:t>）京</w:t>
      </w:r>
      <w:r>
        <w:rPr>
          <w:rFonts w:ascii="Times New Roman" w:hAnsi="Times New Roman" w:eastAsia="Times New Roman"/>
          <w:b w:val="0"/>
          <w:i w:val="0"/>
          <w:color w:val="000000"/>
          <w:sz w:val="21"/>
        </w:rPr>
        <w:t>74</w:t>
      </w:r>
      <w:r>
        <w:rPr>
          <w:rFonts w:ascii="宋体" w:hAnsi="宋体" w:eastAsia="宋体"/>
          <w:b w:val="0"/>
          <w:i w:val="0"/>
          <w:color w:val="000000"/>
          <w:sz w:val="21"/>
        </w:rPr>
        <w:t xml:space="preserve"> 民初</w:t>
      </w:r>
      <w:r>
        <w:rPr>
          <w:rFonts w:ascii="Times New Roman" w:hAnsi="Times New Roman" w:eastAsia="Times New Roman"/>
          <w:b w:val="0"/>
          <w:i w:val="0"/>
          <w:color w:val="000000"/>
          <w:sz w:val="21"/>
        </w:rPr>
        <w:t>111</w:t>
      </w:r>
      <w:r>
        <w:rPr>
          <w:rFonts w:ascii="宋体" w:hAnsi="宋体" w:eastAsia="宋体"/>
          <w:b w:val="0"/>
          <w:i w:val="0"/>
          <w:color w:val="000000"/>
          <w:sz w:val="21"/>
        </w:rPr>
        <w:t xml:space="preserve"> 号】，其中涉及中</w:t>
      </w:r>
      <w:r>
        <w:rPr>
          <w:rFonts w:ascii="宋体" w:hAnsi="宋体" w:eastAsia="宋体"/>
          <w:b w:val="0"/>
          <w:i w:val="0"/>
          <w:color w:val="000000"/>
          <w:sz w:val="21"/>
        </w:rPr>
        <w:t>德证券的判决结果为驳回原告投资者对中德证券的诉讼请求（详见公司公告：临</w:t>
      </w:r>
      <w:r>
        <w:rPr>
          <w:rFonts w:ascii="Times New Roman" w:hAnsi="Times New Roman" w:eastAsia="Times New Roman"/>
          <w:b w:val="0"/>
          <w:i w:val="0"/>
          <w:color w:val="000000"/>
          <w:sz w:val="21"/>
        </w:rPr>
        <w:t>2023-031</w:t>
      </w:r>
      <w:r>
        <w:rPr>
          <w:rFonts w:ascii="宋体" w:hAnsi="宋体" w:eastAsia="宋体"/>
          <w:b w:val="0"/>
          <w:i w:val="0"/>
          <w:color w:val="000000"/>
          <w:sz w:val="21"/>
        </w:rPr>
        <w:t>）。</w:t>
      </w:r>
    </w:p>
    <w:p>
      <w:pPr>
        <w:autoSpaceDN w:val="0"/>
        <w:autoSpaceDE w:val="0"/>
        <w:widowControl/>
        <w:spacing w:line="460" w:lineRule="exact" w:before="0" w:after="0"/>
        <w:ind w:left="182" w:right="144" w:firstLine="420"/>
        <w:jc w:val="left"/>
      </w:pP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10</w:t>
      </w:r>
      <w:r>
        <w:rPr>
          <w:rFonts w:ascii="宋体" w:hAnsi="宋体" w:eastAsia="宋体"/>
          <w:b w:val="0"/>
          <w:i w:val="0"/>
          <w:color w:val="000000"/>
          <w:sz w:val="21"/>
        </w:rPr>
        <w:t xml:space="preserve"> 月，中德证券收到北京金融法院送达的《民事上诉状》。上诉人请求改判被上诉人（一</w:t>
      </w:r>
      <w:r>
        <w:rPr>
          <w:rFonts w:ascii="宋体" w:hAnsi="宋体" w:eastAsia="宋体"/>
          <w:b w:val="0"/>
          <w:i w:val="0"/>
          <w:color w:val="000000"/>
          <w:sz w:val="21"/>
        </w:rPr>
        <w:t>审被告中除乐视网及贾跃亭外的二十二名被告）对一审被告一乐视网应支付给全体上诉人</w:t>
      </w:r>
      <w:r>
        <w:rPr>
          <w:rFonts w:ascii="Times New Roman" w:hAnsi="Times New Roman" w:eastAsia="Times New Roman"/>
          <w:b w:val="0"/>
          <w:i w:val="0"/>
          <w:color w:val="000000"/>
          <w:sz w:val="21"/>
        </w:rPr>
        <w:t>(</w:t>
      </w:r>
      <w:r>
        <w:rPr>
          <w:rFonts w:ascii="宋体" w:hAnsi="宋体" w:eastAsia="宋体"/>
          <w:b w:val="0"/>
          <w:i w:val="0"/>
          <w:color w:val="000000"/>
          <w:sz w:val="21"/>
        </w:rPr>
        <w:t>一审原告</w:t>
      </w:r>
      <w:r>
        <w:rPr>
          <w:rFonts w:ascii="Times New Roman" w:hAnsi="Times New Roman" w:eastAsia="Times New Roman"/>
          <w:b w:val="0"/>
          <w:i w:val="0"/>
          <w:color w:val="000000"/>
          <w:sz w:val="21"/>
        </w:rPr>
        <w:t>)</w:t>
      </w:r>
      <w:r>
        <w:rPr>
          <w:rFonts w:ascii="宋体" w:hAnsi="宋体" w:eastAsia="宋体"/>
          <w:b w:val="0"/>
          <w:i w:val="0"/>
          <w:color w:val="000000"/>
          <w:sz w:val="21"/>
        </w:rPr>
        <w:t>的</w:t>
      </w:r>
      <w:r>
        <w:rPr>
          <w:rFonts w:ascii="宋体" w:hAnsi="宋体" w:eastAsia="宋体"/>
          <w:b w:val="0"/>
          <w:i w:val="0"/>
          <w:color w:val="000000"/>
          <w:sz w:val="21"/>
        </w:rPr>
        <w:t>虚假陈述侵权赔偿款项承担全额连带赔偿责任并共同承担本案全部的上诉费用。本次诉讼尚未开庭审理，</w:t>
      </w:r>
      <w:r>
        <w:rPr>
          <w:rFonts w:ascii="宋体" w:hAnsi="宋体" w:eastAsia="宋体"/>
          <w:b w:val="0"/>
          <w:i w:val="0"/>
          <w:color w:val="000000"/>
          <w:sz w:val="21"/>
        </w:rPr>
        <w:t>其对公司本期利润或期后利润的影响存在不确定性（详见公司公告：临</w:t>
      </w:r>
      <w:r>
        <w:rPr>
          <w:rFonts w:ascii="Times New Roman" w:hAnsi="Times New Roman" w:eastAsia="Times New Roman"/>
          <w:b w:val="0"/>
          <w:i w:val="0"/>
          <w:color w:val="000000"/>
          <w:sz w:val="21"/>
        </w:rPr>
        <w:t>2023-032</w:t>
      </w:r>
      <w:r>
        <w:rPr>
          <w:rFonts w:ascii="宋体" w:hAnsi="宋体" w:eastAsia="宋体"/>
          <w:b w:val="0"/>
          <w:i w:val="0"/>
          <w:color w:val="000000"/>
          <w:sz w:val="21"/>
        </w:rPr>
        <w:t>）。</w:t>
      </w:r>
    </w:p>
    <w:p>
      <w:pPr>
        <w:autoSpaceDN w:val="0"/>
        <w:autoSpaceDE w:val="0"/>
        <w:widowControl/>
        <w:spacing w:line="210" w:lineRule="exact" w:before="232" w:after="0"/>
        <w:ind w:left="602" w:right="0" w:firstLine="0"/>
        <w:jc w:val="left"/>
      </w:pPr>
      <w:r>
        <w:rPr>
          <w:rFonts w:ascii="宋体" w:hAnsi="宋体" w:eastAsia="宋体"/>
          <w:b w:val="0"/>
          <w:i w:val="0"/>
          <w:color w:val="000000"/>
          <w:sz w:val="21"/>
        </w:rPr>
        <w:t>公司将密切关注和高度重视后续事项，及时对涉及诉讼事项的进展情况履行信息披露义务，敬请广</w:t>
      </w:r>
    </w:p>
    <w:p>
      <w:pPr>
        <w:autoSpaceDN w:val="0"/>
        <w:autoSpaceDE w:val="0"/>
        <w:widowControl/>
        <w:spacing w:line="212" w:lineRule="exact" w:before="250" w:after="0"/>
        <w:ind w:left="182" w:right="0" w:firstLine="0"/>
        <w:jc w:val="left"/>
      </w:pPr>
      <w:r>
        <w:rPr>
          <w:rFonts w:ascii="宋体" w:hAnsi="宋体" w:eastAsia="宋体"/>
          <w:b w:val="0"/>
          <w:i w:val="0"/>
          <w:color w:val="000000"/>
          <w:sz w:val="21"/>
        </w:rPr>
        <w:t>大投资者注意投资风险。</w:t>
      </w:r>
    </w:p>
    <w:p>
      <w:pPr>
        <w:autoSpaceDN w:val="0"/>
        <w:autoSpaceDE w:val="0"/>
        <w:widowControl/>
        <w:spacing w:line="212" w:lineRule="exact" w:before="350" w:after="0"/>
        <w:ind w:left="602" w:right="0" w:firstLine="0"/>
        <w:jc w:val="left"/>
      </w:pPr>
      <w:r>
        <w:rPr>
          <w:rFonts w:ascii="宋体" w:hAnsi="宋体" w:eastAsia="宋体"/>
          <w:b w:val="0"/>
          <w:i w:val="0"/>
          <w:color w:val="000000"/>
          <w:sz w:val="21"/>
        </w:rPr>
        <w:t>除上述诉讼外，报告期内，公司诉讼、仲裁涉案金额累计未达到监管要求的披露标准。</w:t>
      </w:r>
    </w:p>
    <w:p>
      <w:pPr>
        <w:autoSpaceDN w:val="0"/>
        <w:autoSpaceDE w:val="0"/>
        <w:widowControl/>
        <w:spacing w:line="240" w:lineRule="exact" w:before="412" w:after="0"/>
        <w:ind w:left="182" w:right="0" w:firstLine="0"/>
        <w:jc w:val="left"/>
      </w:pPr>
      <w:r>
        <w:rPr>
          <w:rFonts w:ascii="宋体" w:hAnsi="宋体" w:eastAsia="宋体"/>
          <w:b w:val="0"/>
          <w:i w:val="0"/>
          <w:color w:val="000000"/>
          <w:sz w:val="24"/>
        </w:rPr>
        <w:t xml:space="preserve">十二、处罚及整改情况 </w:t>
      </w:r>
    </w:p>
    <w:p>
      <w:pPr>
        <w:autoSpaceDN w:val="0"/>
        <w:autoSpaceDE w:val="0"/>
        <w:widowControl/>
        <w:spacing w:line="454" w:lineRule="exact" w:before="288" w:after="0"/>
        <w:ind w:left="182" w:right="382" w:firstLine="420"/>
        <w:jc w:val="both"/>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w:t>
      </w:r>
      <w:r>
        <w:rPr>
          <w:rFonts w:ascii="宋体" w:hAnsi="宋体" w:eastAsia="宋体"/>
          <w:b w:val="0"/>
          <w:i w:val="0"/>
          <w:color w:val="000000"/>
          <w:sz w:val="21"/>
        </w:rPr>
        <w:t xml:space="preserve"> 月，中德证券收到中国证监会《关于对中德证券有限责任公司采取出具警示函措施的决</w:t>
      </w:r>
      <w:r>
        <w:rPr>
          <w:rFonts w:ascii="宋体" w:hAnsi="宋体" w:eastAsia="宋体"/>
          <w:b w:val="0"/>
          <w:i w:val="0"/>
          <w:color w:val="000000"/>
          <w:sz w:val="21"/>
        </w:rPr>
        <w:t>定》（</w:t>
      </w:r>
      <w:r>
        <w:rPr>
          <w:rFonts w:ascii="Times New Roman" w:hAnsi="Times New Roman" w:eastAsia="Times New Roman"/>
          <w:b w:val="0"/>
          <w:i w:val="0"/>
          <w:color w:val="000000"/>
          <w:sz w:val="21"/>
        </w:rPr>
        <w:t>[2024]5</w:t>
      </w:r>
      <w:r>
        <w:rPr>
          <w:rFonts w:ascii="宋体" w:hAnsi="宋体" w:eastAsia="宋体"/>
          <w:b w:val="0"/>
          <w:i w:val="0"/>
          <w:color w:val="000000"/>
          <w:sz w:val="21"/>
        </w:rPr>
        <w:t xml:space="preserve"> 号），因中德证券保荐的山西永东化工股份有限公司（简称“发行人”）可转债项目，</w:t>
      </w:r>
      <w:r>
        <w:rPr>
          <w:rFonts w:ascii="宋体" w:hAnsi="宋体" w:eastAsia="宋体"/>
          <w:b w:val="0"/>
          <w:i w:val="0"/>
          <w:color w:val="000000"/>
          <w:sz w:val="21"/>
        </w:rPr>
        <w:t>发行人证券发行上市当年营业利润比上年下滑</w:t>
      </w:r>
      <w:r>
        <w:rPr>
          <w:rFonts w:ascii="Times New Roman" w:hAnsi="Times New Roman" w:eastAsia="Times New Roman"/>
          <w:b w:val="0"/>
          <w:i w:val="0"/>
          <w:color w:val="000000"/>
          <w:sz w:val="21"/>
        </w:rPr>
        <w:t>50%</w:t>
      </w:r>
      <w:r>
        <w:rPr>
          <w:rFonts w:ascii="宋体" w:hAnsi="宋体" w:eastAsia="宋体"/>
          <w:b w:val="0"/>
          <w:i w:val="0"/>
          <w:color w:val="000000"/>
          <w:sz w:val="21"/>
        </w:rPr>
        <w:t>以上，中国证监会决定对中德证券采取出具警示函</w:t>
      </w:r>
      <w:r>
        <w:rPr>
          <w:rFonts w:ascii="宋体" w:hAnsi="宋体" w:eastAsia="宋体"/>
          <w:b w:val="0"/>
          <w:i w:val="0"/>
          <w:color w:val="000000"/>
          <w:sz w:val="21"/>
        </w:rPr>
        <w:t>的行政监管措施。</w:t>
      </w:r>
    </w:p>
    <w:p>
      <w:pPr>
        <w:autoSpaceDN w:val="0"/>
        <w:autoSpaceDE w:val="0"/>
        <w:widowControl/>
        <w:spacing w:line="210" w:lineRule="exact" w:before="250" w:after="0"/>
        <w:ind w:left="602" w:right="0" w:firstLine="0"/>
        <w:jc w:val="left"/>
      </w:pPr>
      <w:r>
        <w:rPr>
          <w:rFonts w:ascii="宋体" w:hAnsi="宋体" w:eastAsia="宋体"/>
          <w:b w:val="0"/>
          <w:i w:val="0"/>
          <w:color w:val="000000"/>
          <w:sz w:val="21"/>
        </w:rPr>
        <w:t>公司及中德证券收到前述行政监管函件后高度重视，对所反映的问题进行认真总结和深刻反思，上</w:t>
      </w:r>
    </w:p>
    <w:p>
      <w:pPr>
        <w:autoSpaceDN w:val="0"/>
        <w:autoSpaceDE w:val="0"/>
        <w:widowControl/>
        <w:spacing w:line="458" w:lineRule="exact" w:before="4" w:after="0"/>
        <w:ind w:left="182" w:right="288" w:firstLine="0"/>
        <w:jc w:val="left"/>
      </w:pPr>
      <w:r>
        <w:rPr>
          <w:rFonts w:ascii="宋体" w:hAnsi="宋体" w:eastAsia="宋体"/>
          <w:b w:val="0"/>
          <w:i w:val="0"/>
          <w:color w:val="000000"/>
          <w:sz w:val="21"/>
        </w:rPr>
        <w:t>述监管措施涉及的事项已完成整改。中德证券将引以为戒，进一步强化投资银行业务内控机制，提高规</w:t>
      </w:r>
      <w:r>
        <w:rPr>
          <w:rFonts w:ascii="宋体" w:hAnsi="宋体" w:eastAsia="宋体"/>
          <w:b w:val="0"/>
          <w:i w:val="0"/>
          <w:color w:val="000000"/>
          <w:sz w:val="21"/>
        </w:rPr>
        <w:t>范运作意识，提升投行执业质量。</w:t>
      </w:r>
    </w:p>
    <w:p>
      <w:pPr>
        <w:autoSpaceDN w:val="0"/>
        <w:autoSpaceDE w:val="0"/>
        <w:widowControl/>
        <w:spacing w:line="197" w:lineRule="auto" w:before="824" w:after="0"/>
        <w:ind w:left="0" w:right="0" w:firstLine="0"/>
        <w:jc w:val="center"/>
      </w:pPr>
      <w:r>
        <w:rPr>
          <w:rFonts w:ascii="Calibri" w:hAnsi="Calibri" w:eastAsia="Calibri"/>
          <w:b w:val="0"/>
          <w:i w:val="0"/>
          <w:color w:val="000000"/>
          <w:sz w:val="18"/>
        </w:rPr>
        <w:t xml:space="preserve">113 </w:t>
      </w:r>
    </w:p>
    <w:p>
      <w:pPr>
        <w:sectPr>
          <w:type w:val="continuous"/>
          <w:pgSz w:w="11904" w:h="16841"/>
          <w:pgMar w:top="424" w:right="932" w:bottom="446" w:left="952"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16" name="Picture 11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40" w:lineRule="exact" w:before="64" w:after="0"/>
        <w:ind w:left="800" w:right="0" w:firstLine="0"/>
        <w:jc w:val="left"/>
      </w:pPr>
      <w:r>
        <w:rPr>
          <w:rFonts w:ascii="宋体" w:hAnsi="宋体" w:eastAsia="宋体"/>
          <w:b w:val="0"/>
          <w:i w:val="0"/>
          <w:color w:val="000000"/>
          <w:sz w:val="24"/>
        </w:rPr>
        <w:t xml:space="preserve">十三、公司及其控股股东、实际控制人的诚信状况 </w:t>
      </w:r>
    </w:p>
    <w:p>
      <w:pPr>
        <w:autoSpaceDN w:val="0"/>
        <w:autoSpaceDE w:val="0"/>
        <w:widowControl/>
        <w:spacing w:line="212" w:lineRule="exact" w:before="514" w:after="0"/>
        <w:ind w:left="1220" w:right="0" w:firstLine="0"/>
        <w:jc w:val="left"/>
      </w:pPr>
      <w:r>
        <w:rPr>
          <w:rFonts w:ascii="宋体" w:hAnsi="宋体" w:eastAsia="宋体"/>
          <w:b w:val="0"/>
          <w:i w:val="0"/>
          <w:color w:val="000000"/>
          <w:sz w:val="21"/>
        </w:rPr>
        <w:t>公司及其控股股东、实际控制人在报告期内诚信状况良好，不存在未履行法院生效判决、不存在所</w:t>
      </w:r>
    </w:p>
    <w:p>
      <w:pPr>
        <w:autoSpaceDN w:val="0"/>
        <w:autoSpaceDE w:val="0"/>
        <w:widowControl/>
        <w:spacing w:line="210" w:lineRule="exact" w:before="250" w:after="0"/>
        <w:ind w:left="800" w:right="0" w:firstLine="0"/>
        <w:jc w:val="left"/>
      </w:pPr>
      <w:r>
        <w:rPr>
          <w:rFonts w:ascii="宋体" w:hAnsi="宋体" w:eastAsia="宋体"/>
          <w:b w:val="0"/>
          <w:i w:val="0"/>
          <w:color w:val="000000"/>
          <w:sz w:val="21"/>
        </w:rPr>
        <w:t>负数额较大的债务到期未清偿等情况。</w:t>
      </w:r>
    </w:p>
    <w:p>
      <w:pPr>
        <w:autoSpaceDN w:val="0"/>
        <w:autoSpaceDE w:val="0"/>
        <w:widowControl/>
        <w:spacing w:line="240" w:lineRule="exact" w:before="414" w:after="0"/>
        <w:ind w:left="800" w:right="0" w:firstLine="0"/>
        <w:jc w:val="left"/>
      </w:pPr>
      <w:r>
        <w:rPr>
          <w:rFonts w:ascii="宋体" w:hAnsi="宋体" w:eastAsia="宋体"/>
          <w:b w:val="0"/>
          <w:i w:val="0"/>
          <w:color w:val="000000"/>
          <w:sz w:val="24"/>
        </w:rPr>
        <w:t xml:space="preserve">十四、重大关联交易 </w:t>
      </w:r>
    </w:p>
    <w:p>
      <w:pPr>
        <w:autoSpaceDN w:val="0"/>
        <w:autoSpaceDE w:val="0"/>
        <w:widowControl/>
        <w:spacing w:line="210" w:lineRule="exact" w:before="372" w:after="0"/>
        <w:ind w:left="800" w:right="0" w:firstLine="0"/>
        <w:jc w:val="left"/>
      </w:pPr>
      <w:r>
        <w:rPr>
          <w:rFonts w:ascii="宋体" w:hAnsi="宋体" w:eastAsia="宋体"/>
          <w:b w:val="0"/>
          <w:i w:val="0"/>
          <w:color w:val="000000"/>
          <w:sz w:val="21"/>
        </w:rPr>
        <w:t xml:space="preserve">1、与日常经营相关的关联交易 </w:t>
      </w:r>
    </w:p>
    <w:p>
      <w:pPr>
        <w:autoSpaceDN w:val="0"/>
        <w:autoSpaceDE w:val="0"/>
        <w:widowControl/>
        <w:spacing w:line="180" w:lineRule="exact" w:before="362" w:after="128"/>
        <w:ind w:left="0" w:right="914"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1176"/>
        </w:trPr>
        <w:tc>
          <w:tcPr>
            <w:tcW w:type="dxa" w:w="1182"/>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490" w:after="0"/>
              <w:ind w:left="138" w:right="0" w:firstLine="0"/>
              <w:jc w:val="left"/>
            </w:pPr>
            <w:r>
              <w:rPr>
                <w:rFonts w:ascii="宋体" w:hAnsi="宋体" w:eastAsia="宋体"/>
                <w:b w:val="0"/>
                <w:i w:val="0"/>
                <w:color w:val="000000"/>
                <w:sz w:val="18"/>
              </w:rPr>
              <w:t xml:space="preserve">关联交易方 </w:t>
            </w:r>
          </w:p>
        </w:tc>
        <w:tc>
          <w:tcPr>
            <w:tcW w:type="dxa" w:w="115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180" w:lineRule="exact" w:before="490" w:after="0"/>
              <w:ind w:left="214" w:right="0" w:firstLine="0"/>
              <w:jc w:val="left"/>
            </w:pPr>
            <w:r>
              <w:rPr>
                <w:rFonts w:ascii="宋体" w:hAnsi="宋体" w:eastAsia="宋体"/>
                <w:b w:val="0"/>
                <w:i w:val="0"/>
                <w:color w:val="000000"/>
                <w:sz w:val="18"/>
              </w:rPr>
              <w:t xml:space="preserve">关联关系 </w:t>
            </w:r>
          </w:p>
        </w:tc>
        <w:tc>
          <w:tcPr>
            <w:tcW w:type="dxa" w:w="822"/>
            <w:tcBorders>
              <w:start w:sz="4.0" w:val="single" w:color="#000000"/>
              <w:top w:sz="4.0" w:val="single" w:color="#000000"/>
              <w:end w:sz="3.199999999999818" w:val="single" w:color="#000000"/>
              <w:bottom w:sz="4.0" w:val="single" w:color="#000000"/>
            </w:tcBorders>
            <w:shd w:fill="d2d2d2"/>
            <w:tcMar>
              <w:start w:w="0" w:type="dxa"/>
              <w:end w:w="0" w:type="dxa"/>
            </w:tcMar>
          </w:tcPr>
          <w:p>
            <w:pPr>
              <w:autoSpaceDN w:val="0"/>
              <w:autoSpaceDE w:val="0"/>
              <w:widowControl/>
              <w:spacing w:line="232" w:lineRule="exact" w:before="322" w:after="0"/>
              <w:ind w:left="136" w:right="0" w:firstLine="0"/>
              <w:jc w:val="left"/>
            </w:pPr>
            <w:r>
              <w:rPr>
                <w:rFonts w:ascii="宋体" w:hAnsi="宋体" w:eastAsia="宋体"/>
                <w:b w:val="0"/>
                <w:i w:val="0"/>
                <w:color w:val="000000"/>
                <w:sz w:val="18"/>
              </w:rPr>
              <w:t>关联交</w:t>
            </w:r>
            <w:r>
              <w:br/>
            </w:r>
            <w:r>
              <w:rPr>
                <w:rFonts w:ascii="宋体" w:hAnsi="宋体" w:eastAsia="宋体"/>
                <w:b w:val="0"/>
                <w:i w:val="0"/>
                <w:color w:val="000000"/>
                <w:sz w:val="18"/>
              </w:rPr>
              <w:t xml:space="preserve">易类型 </w:t>
            </w:r>
          </w:p>
        </w:tc>
        <w:tc>
          <w:tcPr>
            <w:tcW w:type="dxa" w:w="832"/>
            <w:tcBorders>
              <w:start w:sz="3.199999999999818"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2" w:lineRule="exact" w:before="322" w:after="0"/>
              <w:ind w:left="140" w:right="0" w:firstLine="0"/>
              <w:jc w:val="left"/>
            </w:pPr>
            <w:r>
              <w:rPr>
                <w:rFonts w:ascii="宋体" w:hAnsi="宋体" w:eastAsia="宋体"/>
                <w:b w:val="0"/>
                <w:i w:val="0"/>
                <w:color w:val="000000"/>
                <w:sz w:val="18"/>
              </w:rPr>
              <w:t>关联交</w:t>
            </w:r>
            <w:r>
              <w:br/>
            </w:r>
            <w:r>
              <w:rPr>
                <w:rFonts w:ascii="宋体" w:hAnsi="宋体" w:eastAsia="宋体"/>
                <w:b w:val="0"/>
                <w:i w:val="0"/>
                <w:color w:val="000000"/>
                <w:sz w:val="18"/>
              </w:rPr>
              <w:t xml:space="preserve">易内容 </w:t>
            </w:r>
          </w:p>
        </w:tc>
        <w:tc>
          <w:tcPr>
            <w:tcW w:type="dxa" w:w="816"/>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204" w:after="0"/>
              <w:ind w:left="0" w:right="130" w:firstLine="0"/>
              <w:jc w:val="right"/>
            </w:pPr>
            <w:r>
              <w:rPr>
                <w:rFonts w:ascii="宋体" w:hAnsi="宋体" w:eastAsia="宋体"/>
                <w:b w:val="0"/>
                <w:i w:val="0"/>
                <w:color w:val="000000"/>
                <w:sz w:val="18"/>
              </w:rPr>
              <w:t>关联交</w:t>
            </w:r>
            <w:r>
              <w:rPr>
                <w:rFonts w:ascii="宋体" w:hAnsi="宋体" w:eastAsia="宋体"/>
                <w:b w:val="0"/>
                <w:i w:val="0"/>
                <w:color w:val="000000"/>
                <w:sz w:val="18"/>
              </w:rPr>
              <w:t>易定价</w:t>
            </w:r>
            <w:r>
              <w:rPr>
                <w:rFonts w:ascii="宋体" w:hAnsi="宋体" w:eastAsia="宋体"/>
                <w:b w:val="0"/>
                <w:i w:val="0"/>
                <w:color w:val="000000"/>
                <w:sz w:val="18"/>
              </w:rPr>
              <w:t xml:space="preserve">原则 </w:t>
            </w:r>
          </w:p>
        </w:tc>
        <w:tc>
          <w:tcPr>
            <w:tcW w:type="dxa" w:w="694"/>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204" w:after="0"/>
              <w:ind w:left="164" w:right="70" w:firstLine="0"/>
              <w:jc w:val="both"/>
            </w:pPr>
            <w:r>
              <w:rPr>
                <w:rFonts w:ascii="宋体" w:hAnsi="宋体" w:eastAsia="宋体"/>
                <w:b w:val="0"/>
                <w:i w:val="0"/>
                <w:color w:val="000000"/>
                <w:sz w:val="18"/>
              </w:rPr>
              <w:t>关联</w:t>
            </w:r>
            <w:r>
              <w:br/>
            </w:r>
            <w:r>
              <w:rPr>
                <w:rFonts w:ascii="宋体" w:hAnsi="宋体" w:eastAsia="宋体"/>
                <w:b w:val="0"/>
                <w:i w:val="0"/>
                <w:color w:val="000000"/>
                <w:sz w:val="18"/>
              </w:rPr>
              <w:t>交易</w:t>
            </w:r>
            <w:r>
              <w:br/>
            </w:r>
            <w:r>
              <w:rPr>
                <w:rFonts w:ascii="宋体" w:hAnsi="宋体" w:eastAsia="宋体"/>
                <w:b w:val="0"/>
                <w:i w:val="0"/>
                <w:color w:val="000000"/>
                <w:sz w:val="18"/>
              </w:rPr>
              <w:t xml:space="preserve">价格 </w:t>
            </w:r>
          </w:p>
        </w:tc>
        <w:tc>
          <w:tcPr>
            <w:tcW w:type="dxa" w:w="1106"/>
            <w:tcBorders>
              <w:start w:sz="4.0" w:val="single" w:color="#000000"/>
              <w:top w:sz="4.0" w:val="single" w:color="#000000"/>
              <w:end w:sz="4.0" w:val="single" w:color="#000000"/>
              <w:bottom w:sz="4.0" w:val="single" w:color="#000000"/>
            </w:tcBorders>
            <w:shd w:fill="d2d2d2"/>
            <w:tcMar>
              <w:start w:w="0" w:type="dxa"/>
              <w:end w:w="0" w:type="dxa"/>
            </w:tcMar>
          </w:tcPr>
          <w:p>
            <w:pPr>
              <w:autoSpaceDN w:val="0"/>
              <w:tabs>
                <w:tab w:pos="364" w:val="left"/>
              </w:tabs>
              <w:autoSpaceDE w:val="0"/>
              <w:widowControl/>
              <w:spacing w:line="232" w:lineRule="exact" w:before="322" w:after="0"/>
              <w:ind w:left="184" w:right="144" w:firstLine="0"/>
              <w:jc w:val="left"/>
            </w:pPr>
            <w:r>
              <w:rPr>
                <w:rFonts w:ascii="宋体" w:hAnsi="宋体" w:eastAsia="宋体"/>
                <w:b w:val="0"/>
                <w:i w:val="0"/>
                <w:color w:val="000000"/>
                <w:sz w:val="18"/>
              </w:rPr>
              <w:t>关联交易</w:t>
            </w:r>
            <w:r>
              <w:tab/>
            </w:r>
            <w:r>
              <w:rPr>
                <w:rFonts w:ascii="宋体" w:hAnsi="宋体" w:eastAsia="宋体"/>
                <w:b w:val="0"/>
                <w:i w:val="0"/>
                <w:color w:val="000000"/>
                <w:sz w:val="18"/>
              </w:rPr>
              <w:t xml:space="preserve">金额 </w:t>
            </w:r>
          </w:p>
        </w:tc>
        <w:tc>
          <w:tcPr>
            <w:tcW w:type="dxa" w:w="70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28" w:lineRule="exact" w:before="0" w:after="0"/>
              <w:ind w:left="168" w:right="80" w:firstLine="0"/>
              <w:jc w:val="both"/>
            </w:pPr>
            <w:r>
              <w:rPr>
                <w:rFonts w:ascii="宋体" w:hAnsi="宋体" w:eastAsia="宋体"/>
                <w:b w:val="0"/>
                <w:i w:val="0"/>
                <w:color w:val="000000"/>
                <w:sz w:val="18"/>
              </w:rPr>
              <w:t>占同</w:t>
            </w:r>
            <w:r>
              <w:br/>
            </w:r>
            <w:r>
              <w:rPr>
                <w:rFonts w:ascii="宋体" w:hAnsi="宋体" w:eastAsia="宋体"/>
                <w:b w:val="0"/>
                <w:i w:val="0"/>
                <w:color w:val="000000"/>
                <w:sz w:val="18"/>
              </w:rPr>
              <w:t>类交</w:t>
            </w:r>
            <w:r>
              <w:br/>
            </w:r>
            <w:r>
              <w:rPr>
                <w:rFonts w:ascii="宋体" w:hAnsi="宋体" w:eastAsia="宋体"/>
                <w:b w:val="0"/>
                <w:i w:val="0"/>
                <w:color w:val="000000"/>
                <w:sz w:val="18"/>
              </w:rPr>
              <w:t>易金</w:t>
            </w:r>
            <w:r>
              <w:br/>
            </w:r>
            <w:r>
              <w:rPr>
                <w:rFonts w:ascii="宋体" w:hAnsi="宋体" w:eastAsia="宋体"/>
                <w:b w:val="0"/>
                <w:i w:val="0"/>
                <w:color w:val="000000"/>
                <w:sz w:val="18"/>
              </w:rPr>
              <w:t>额的</w:t>
            </w:r>
            <w:r>
              <w:br/>
            </w:r>
            <w:r>
              <w:rPr>
                <w:rFonts w:ascii="宋体" w:hAnsi="宋体" w:eastAsia="宋体"/>
                <w:b w:val="0"/>
                <w:i w:val="0"/>
                <w:color w:val="000000"/>
                <w:sz w:val="18"/>
              </w:rPr>
              <w:t xml:space="preserve">比例 </w:t>
            </w:r>
          </w:p>
        </w:tc>
        <w:tc>
          <w:tcPr>
            <w:tcW w:type="dxa" w:w="710"/>
            <w:tcBorders>
              <w:start w:sz="4.0" w:val="single" w:color="#000000"/>
              <w:top w:sz="4.0" w:val="single" w:color="#000000"/>
              <w:end w:sz="3.199999999999818" w:val="single" w:color="#000000"/>
              <w:bottom w:sz="4.0" w:val="single" w:color="#000000"/>
            </w:tcBorders>
            <w:shd w:fill="d2d2d2"/>
            <w:tcMar>
              <w:start w:w="0" w:type="dxa"/>
              <w:end w:w="0" w:type="dxa"/>
            </w:tcMar>
          </w:tcPr>
          <w:p>
            <w:pPr>
              <w:autoSpaceDN w:val="0"/>
              <w:autoSpaceDE w:val="0"/>
              <w:widowControl/>
              <w:spacing w:line="234" w:lineRule="exact" w:before="86" w:after="0"/>
              <w:ind w:left="144" w:right="168" w:firstLine="0"/>
              <w:jc w:val="right"/>
            </w:pPr>
            <w:r>
              <w:rPr>
                <w:rFonts w:ascii="宋体" w:hAnsi="宋体" w:eastAsia="宋体"/>
                <w:b w:val="0"/>
                <w:i w:val="0"/>
                <w:color w:val="000000"/>
                <w:sz w:val="18"/>
              </w:rPr>
              <w:t>获批</w:t>
            </w:r>
            <w:r>
              <w:rPr>
                <w:rFonts w:ascii="宋体" w:hAnsi="宋体" w:eastAsia="宋体"/>
                <w:b w:val="0"/>
                <w:i w:val="0"/>
                <w:color w:val="000000"/>
                <w:sz w:val="18"/>
              </w:rPr>
              <w:t>的交</w:t>
            </w:r>
            <w:r>
              <w:rPr>
                <w:rFonts w:ascii="宋体" w:hAnsi="宋体" w:eastAsia="宋体"/>
                <w:b w:val="0"/>
                <w:i w:val="0"/>
                <w:color w:val="000000"/>
                <w:sz w:val="18"/>
              </w:rPr>
              <w:t>易额</w:t>
            </w:r>
            <w:r>
              <w:rPr>
                <w:rFonts w:ascii="宋体" w:hAnsi="宋体" w:eastAsia="宋体"/>
                <w:b w:val="0"/>
                <w:i w:val="0"/>
                <w:color w:val="000000"/>
                <w:sz w:val="18"/>
              </w:rPr>
              <w:t xml:space="preserve">度 </w:t>
            </w:r>
          </w:p>
        </w:tc>
        <w:tc>
          <w:tcPr>
            <w:tcW w:type="dxa" w:w="708"/>
            <w:tcBorders>
              <w:start w:sz="3.199999999999818" w:val="single" w:color="#000000"/>
              <w:top w:sz="4.0" w:val="single" w:color="#000000"/>
              <w:end w:sz="3.199999999999818" w:val="single" w:color="#000000"/>
              <w:bottom w:sz="4.0" w:val="single" w:color="#000000"/>
            </w:tcBorders>
            <w:shd w:fill="d2d2d2"/>
            <w:tcMar>
              <w:start w:w="0" w:type="dxa"/>
              <w:end w:w="0" w:type="dxa"/>
            </w:tcMar>
          </w:tcPr>
          <w:p>
            <w:pPr>
              <w:autoSpaceDN w:val="0"/>
              <w:autoSpaceDE w:val="0"/>
              <w:widowControl/>
              <w:spacing w:line="234" w:lineRule="exact" w:before="86" w:after="0"/>
              <w:ind w:left="168" w:right="78" w:firstLine="0"/>
              <w:jc w:val="both"/>
            </w:pPr>
            <w:r>
              <w:rPr>
                <w:rFonts w:ascii="宋体" w:hAnsi="宋体" w:eastAsia="宋体"/>
                <w:b w:val="0"/>
                <w:i w:val="0"/>
                <w:color w:val="000000"/>
                <w:sz w:val="18"/>
              </w:rPr>
              <w:t>是否</w:t>
            </w:r>
            <w:r>
              <w:br/>
            </w:r>
            <w:r>
              <w:rPr>
                <w:rFonts w:ascii="宋体" w:hAnsi="宋体" w:eastAsia="宋体"/>
                <w:b w:val="0"/>
                <w:i w:val="0"/>
                <w:color w:val="000000"/>
                <w:sz w:val="18"/>
              </w:rPr>
              <w:t>超过</w:t>
            </w:r>
            <w:r>
              <w:br/>
            </w:r>
            <w:r>
              <w:rPr>
                <w:rFonts w:ascii="宋体" w:hAnsi="宋体" w:eastAsia="宋体"/>
                <w:b w:val="0"/>
                <w:i w:val="0"/>
                <w:color w:val="000000"/>
                <w:sz w:val="18"/>
              </w:rPr>
              <w:t>获批</w:t>
            </w:r>
            <w:r>
              <w:br/>
            </w:r>
            <w:r>
              <w:rPr>
                <w:rFonts w:ascii="宋体" w:hAnsi="宋体" w:eastAsia="宋体"/>
                <w:b w:val="0"/>
                <w:i w:val="0"/>
                <w:color w:val="000000"/>
                <w:sz w:val="18"/>
              </w:rPr>
              <w:t xml:space="preserve">额度 </w:t>
            </w:r>
          </w:p>
        </w:tc>
        <w:tc>
          <w:tcPr>
            <w:tcW w:type="dxa" w:w="708"/>
            <w:tcBorders>
              <w:start w:sz="3.199999999999818"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86" w:after="0"/>
              <w:ind w:left="168" w:right="78" w:firstLine="0"/>
              <w:jc w:val="both"/>
            </w:pPr>
            <w:r>
              <w:rPr>
                <w:rFonts w:ascii="宋体" w:hAnsi="宋体" w:eastAsia="宋体"/>
                <w:b w:val="0"/>
                <w:i w:val="0"/>
                <w:color w:val="000000"/>
                <w:sz w:val="18"/>
              </w:rPr>
              <w:t>关联</w:t>
            </w:r>
            <w:r>
              <w:br/>
            </w:r>
            <w:r>
              <w:rPr>
                <w:rFonts w:ascii="宋体" w:hAnsi="宋体" w:eastAsia="宋体"/>
                <w:b w:val="0"/>
                <w:i w:val="0"/>
                <w:color w:val="000000"/>
                <w:sz w:val="18"/>
              </w:rPr>
              <w:t>交易</w:t>
            </w:r>
            <w:r>
              <w:br/>
            </w:r>
            <w:r>
              <w:rPr>
                <w:rFonts w:ascii="宋体" w:hAnsi="宋体" w:eastAsia="宋体"/>
                <w:b w:val="0"/>
                <w:i w:val="0"/>
                <w:color w:val="000000"/>
                <w:sz w:val="18"/>
              </w:rPr>
              <w:t>结算</w:t>
            </w:r>
            <w:r>
              <w:br/>
            </w:r>
            <w:r>
              <w:rPr>
                <w:rFonts w:ascii="宋体" w:hAnsi="宋体" w:eastAsia="宋体"/>
                <w:b w:val="0"/>
                <w:i w:val="0"/>
                <w:color w:val="000000"/>
                <w:sz w:val="18"/>
              </w:rPr>
              <w:t xml:space="preserve">方式 </w:t>
            </w:r>
          </w:p>
        </w:tc>
        <w:tc>
          <w:tcPr>
            <w:tcW w:type="dxa" w:w="708"/>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28" w:lineRule="exact" w:before="0" w:after="0"/>
              <w:ind w:left="168" w:right="76" w:firstLine="0"/>
              <w:jc w:val="both"/>
            </w:pPr>
            <w:r>
              <w:rPr>
                <w:rFonts w:ascii="宋体" w:hAnsi="宋体" w:eastAsia="宋体"/>
                <w:b w:val="0"/>
                <w:i w:val="0"/>
                <w:color w:val="000000"/>
                <w:sz w:val="18"/>
              </w:rPr>
              <w:t>可获</w:t>
            </w:r>
            <w:r>
              <w:br/>
            </w:r>
            <w:r>
              <w:rPr>
                <w:rFonts w:ascii="宋体" w:hAnsi="宋体" w:eastAsia="宋体"/>
                <w:b w:val="0"/>
                <w:i w:val="0"/>
                <w:color w:val="000000"/>
                <w:sz w:val="18"/>
              </w:rPr>
              <w:t>得的</w:t>
            </w:r>
            <w:r>
              <w:br/>
            </w:r>
            <w:r>
              <w:rPr>
                <w:rFonts w:ascii="宋体" w:hAnsi="宋体" w:eastAsia="宋体"/>
                <w:b w:val="0"/>
                <w:i w:val="0"/>
                <w:color w:val="000000"/>
                <w:sz w:val="18"/>
              </w:rPr>
              <w:t>同类</w:t>
            </w:r>
            <w:r>
              <w:br/>
            </w:r>
            <w:r>
              <w:rPr>
                <w:rFonts w:ascii="宋体" w:hAnsi="宋体" w:eastAsia="宋体"/>
                <w:b w:val="0"/>
                <w:i w:val="0"/>
                <w:color w:val="000000"/>
                <w:sz w:val="18"/>
              </w:rPr>
              <w:t>交易</w:t>
            </w:r>
            <w:r>
              <w:br/>
            </w:r>
            <w:r>
              <w:rPr>
                <w:rFonts w:ascii="宋体" w:hAnsi="宋体" w:eastAsia="宋体"/>
                <w:b w:val="0"/>
                <w:i w:val="0"/>
                <w:color w:val="000000"/>
                <w:sz w:val="18"/>
              </w:rPr>
              <w:t xml:space="preserve">市价 </w:t>
            </w:r>
          </w:p>
        </w:tc>
        <w:tc>
          <w:tcPr>
            <w:tcW w:type="dxa" w:w="570"/>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86" w:after="0"/>
              <w:ind w:left="188" w:right="102" w:firstLine="0"/>
              <w:jc w:val="both"/>
            </w:pPr>
            <w:r>
              <w:rPr>
                <w:rFonts w:ascii="宋体" w:hAnsi="宋体" w:eastAsia="宋体"/>
                <w:b w:val="0"/>
                <w:i w:val="0"/>
                <w:color w:val="000000"/>
                <w:sz w:val="18"/>
              </w:rPr>
              <w:t>披</w:t>
            </w:r>
            <w:r>
              <w:br/>
            </w:r>
            <w:r>
              <w:rPr>
                <w:rFonts w:ascii="宋体" w:hAnsi="宋体" w:eastAsia="宋体"/>
                <w:b w:val="0"/>
                <w:i w:val="0"/>
                <w:color w:val="000000"/>
                <w:sz w:val="18"/>
              </w:rPr>
              <w:t>露</w:t>
            </w:r>
            <w:r>
              <w:br/>
            </w:r>
            <w:r>
              <w:rPr>
                <w:rFonts w:ascii="宋体" w:hAnsi="宋体" w:eastAsia="宋体"/>
                <w:b w:val="0"/>
                <w:i w:val="0"/>
                <w:color w:val="000000"/>
                <w:sz w:val="18"/>
              </w:rPr>
              <w:t>日</w:t>
            </w:r>
            <w:r>
              <w:br/>
            </w:r>
            <w:r>
              <w:rPr>
                <w:rFonts w:ascii="宋体" w:hAnsi="宋体" w:eastAsia="宋体"/>
                <w:b w:val="0"/>
                <w:i w:val="0"/>
                <w:color w:val="000000"/>
                <w:sz w:val="18"/>
              </w:rPr>
              <w:t xml:space="preserve">期 </w:t>
            </w:r>
          </w:p>
        </w:tc>
        <w:tc>
          <w:tcPr>
            <w:tcW w:type="dxa" w:w="504"/>
            <w:tcBorders>
              <w:start w:sz="4.0" w:val="single" w:color="#000000"/>
              <w:top w:sz="4.0" w:val="single" w:color="#000000"/>
              <w:end w:sz="4.0" w:val="single" w:color="#000000"/>
              <w:bottom w:sz="4.0" w:val="single" w:color="#000000"/>
            </w:tcBorders>
            <w:shd w:fill="d2d2d2"/>
            <w:tcMar>
              <w:start w:w="0" w:type="dxa"/>
              <w:end w:w="0" w:type="dxa"/>
            </w:tcMar>
          </w:tcPr>
          <w:p>
            <w:pPr>
              <w:autoSpaceDN w:val="0"/>
              <w:autoSpaceDE w:val="0"/>
              <w:widowControl/>
              <w:spacing w:line="234" w:lineRule="exact" w:before="86" w:after="0"/>
              <w:ind w:left="158" w:right="68" w:firstLine="0"/>
              <w:jc w:val="both"/>
            </w:pPr>
            <w:r>
              <w:rPr>
                <w:rFonts w:ascii="宋体" w:hAnsi="宋体" w:eastAsia="宋体"/>
                <w:b w:val="0"/>
                <w:i w:val="0"/>
                <w:color w:val="000000"/>
                <w:sz w:val="18"/>
              </w:rPr>
              <w:t>披</w:t>
            </w:r>
            <w:r>
              <w:br/>
            </w:r>
            <w:r>
              <w:rPr>
                <w:rFonts w:ascii="宋体" w:hAnsi="宋体" w:eastAsia="宋体"/>
                <w:b w:val="0"/>
                <w:i w:val="0"/>
                <w:color w:val="000000"/>
                <w:sz w:val="18"/>
              </w:rPr>
              <w:t>露</w:t>
            </w:r>
            <w:r>
              <w:br/>
            </w:r>
            <w:r>
              <w:rPr>
                <w:rFonts w:ascii="宋体" w:hAnsi="宋体" w:eastAsia="宋体"/>
                <w:b w:val="0"/>
                <w:i w:val="0"/>
                <w:color w:val="000000"/>
                <w:sz w:val="18"/>
              </w:rPr>
              <w:t>索</w:t>
            </w:r>
            <w:r>
              <w:br/>
            </w:r>
            <w:r>
              <w:rPr>
                <w:rFonts w:ascii="宋体" w:hAnsi="宋体" w:eastAsia="宋体"/>
                <w:b w:val="0"/>
                <w:i w:val="0"/>
                <w:color w:val="000000"/>
                <w:sz w:val="18"/>
              </w:rPr>
              <w:t xml:space="preserve">引 </w:t>
            </w:r>
          </w:p>
        </w:tc>
      </w:tr>
      <w:tr>
        <w:trPr>
          <w:trHeight w:hRule="exact" w:val="80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34" w:after="0"/>
              <w:ind w:left="106" w:right="0" w:firstLine="0"/>
              <w:jc w:val="left"/>
            </w:pPr>
            <w:r>
              <w:rPr>
                <w:rFonts w:ascii="宋体" w:hAnsi="宋体" w:eastAsia="宋体"/>
                <w:b w:val="0"/>
                <w:i w:val="0"/>
                <w:color w:val="000000"/>
                <w:sz w:val="18"/>
              </w:rPr>
              <w:t>长治市财政</w:t>
            </w:r>
            <w:r>
              <w:rPr>
                <w:rFonts w:ascii="宋体" w:hAnsi="宋体" w:eastAsia="宋体"/>
                <w:b w:val="0"/>
                <w:i w:val="0"/>
                <w:color w:val="000000"/>
                <w:sz w:val="18"/>
              </w:rPr>
              <w:t xml:space="preserve">保障中心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6" w:after="0"/>
              <w:ind w:left="104" w:right="102" w:firstLine="0"/>
              <w:jc w:val="both"/>
            </w:pPr>
            <w:r>
              <w:rPr>
                <w:rFonts w:ascii="宋体" w:hAnsi="宋体" w:eastAsia="宋体"/>
                <w:b w:val="0"/>
                <w:i w:val="0"/>
                <w:color w:val="000000"/>
                <w:sz w:val="18"/>
              </w:rPr>
              <w:t>公司监事任</w:t>
            </w:r>
            <w:r>
              <w:rPr>
                <w:rFonts w:ascii="宋体" w:hAnsi="宋体" w:eastAsia="宋体"/>
                <w:b w:val="0"/>
                <w:i w:val="0"/>
                <w:color w:val="000000"/>
                <w:sz w:val="18"/>
              </w:rPr>
              <w:t>职企业，公</w:t>
            </w:r>
            <w:r>
              <w:rPr>
                <w:rFonts w:ascii="宋体" w:hAnsi="宋体" w:eastAsia="宋体"/>
                <w:b w:val="0"/>
                <w:i w:val="0"/>
                <w:color w:val="000000"/>
                <w:sz w:val="18"/>
              </w:rPr>
              <w:t xml:space="preserve">司股东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6"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34"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28.63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0.04%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6"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8" w:after="0"/>
              <w:ind w:left="0" w:right="0" w:firstLine="0"/>
              <w:jc w:val="center"/>
            </w:pPr>
            <w:r>
              <w:rPr>
                <w:rFonts w:ascii="宋体" w:hAnsi="宋体" w:eastAsia="宋体"/>
                <w:b w:val="0"/>
                <w:i w:val="0"/>
                <w:color w:val="000000"/>
                <w:sz w:val="18"/>
              </w:rPr>
              <w:t>山西信托股</w:t>
            </w:r>
            <w:r>
              <w:rPr>
                <w:rFonts w:ascii="宋体" w:hAnsi="宋体" w:eastAsia="宋体"/>
                <w:b w:val="0"/>
                <w:i w:val="0"/>
                <w:color w:val="000000"/>
                <w:sz w:val="18"/>
              </w:rPr>
              <w:t xml:space="preserve">份有限公司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8"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17.89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0.02%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9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9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0" w:right="0" w:firstLine="0"/>
              <w:jc w:val="center"/>
            </w:pPr>
            <w:r>
              <w:rPr>
                <w:rFonts w:ascii="宋体" w:hAnsi="宋体" w:eastAsia="宋体"/>
                <w:b w:val="0"/>
                <w:i w:val="0"/>
                <w:color w:val="000000"/>
                <w:sz w:val="18"/>
              </w:rPr>
              <w:t>山西太钢投</w:t>
            </w:r>
            <w:r>
              <w:rPr>
                <w:rFonts w:ascii="宋体" w:hAnsi="宋体" w:eastAsia="宋体"/>
                <w:b w:val="0"/>
                <w:i w:val="0"/>
                <w:color w:val="000000"/>
                <w:sz w:val="18"/>
              </w:rPr>
              <w:t xml:space="preserve">资有限公司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104" w:right="0" w:firstLine="0"/>
              <w:jc w:val="left"/>
            </w:pPr>
            <w:r>
              <w:rPr>
                <w:rFonts w:ascii="宋体" w:hAnsi="宋体" w:eastAsia="宋体"/>
                <w:b w:val="0"/>
                <w:i w:val="0"/>
                <w:color w:val="000000"/>
                <w:sz w:val="18"/>
              </w:rPr>
              <w:t>受太钢集团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1.01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9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9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r>
      <w:tr>
        <w:trPr>
          <w:trHeight w:hRule="exact" w:val="71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4" w:lineRule="exact" w:before="0" w:after="0"/>
              <w:ind w:left="106" w:right="100" w:firstLine="0"/>
              <w:jc w:val="both"/>
            </w:pPr>
            <w:r>
              <w:rPr>
                <w:rFonts w:ascii="宋体" w:hAnsi="宋体" w:eastAsia="宋体"/>
                <w:b w:val="0"/>
                <w:i w:val="0"/>
                <w:color w:val="000000"/>
                <w:sz w:val="18"/>
              </w:rPr>
              <w:t>上海万方投</w:t>
            </w:r>
            <w:r>
              <w:rPr>
                <w:rFonts w:ascii="宋体" w:hAnsi="宋体" w:eastAsia="宋体"/>
                <w:b w:val="0"/>
                <w:i w:val="0"/>
                <w:color w:val="000000"/>
                <w:sz w:val="18"/>
              </w:rPr>
              <w:t>资管理有限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8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24" w:lineRule="exact" w:before="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4" w:lineRule="exact" w:before="0"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0.97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6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6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50" w:after="0"/>
              <w:ind w:left="0" w:right="0" w:firstLine="0"/>
              <w:jc w:val="center"/>
            </w:pPr>
            <w:r>
              <w:rPr>
                <w:rFonts w:ascii="Times New Roman" w:hAnsi="Times New Roman" w:eastAsia="Times New Roman"/>
                <w:b w:val="0"/>
                <w:i w:val="0"/>
                <w:color w:val="000000"/>
                <w:sz w:val="18"/>
              </w:rPr>
              <w:t xml:space="preserve">- </w:t>
            </w:r>
          </w:p>
        </w:tc>
      </w:tr>
      <w:tr>
        <w:trPr>
          <w:trHeight w:hRule="exact" w:val="1044"/>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0" w:after="0"/>
              <w:ind w:left="106" w:right="100" w:firstLine="0"/>
              <w:jc w:val="both"/>
            </w:pPr>
            <w:r>
              <w:rPr>
                <w:rFonts w:ascii="宋体" w:hAnsi="宋体" w:eastAsia="宋体"/>
                <w:b w:val="0"/>
                <w:i w:val="0"/>
                <w:color w:val="000000"/>
                <w:sz w:val="18"/>
              </w:rPr>
              <w:t>山西省融资</w:t>
            </w:r>
            <w:r>
              <w:rPr>
                <w:rFonts w:ascii="宋体" w:hAnsi="宋体" w:eastAsia="宋体"/>
                <w:b w:val="0"/>
                <w:i w:val="0"/>
                <w:color w:val="000000"/>
                <w:sz w:val="18"/>
              </w:rPr>
              <w:t>再担保集团</w:t>
            </w:r>
            <w:r>
              <w:rPr>
                <w:rFonts w:ascii="宋体" w:hAnsi="宋体" w:eastAsia="宋体"/>
                <w:b w:val="0"/>
                <w:i w:val="0"/>
                <w:color w:val="000000"/>
                <w:sz w:val="18"/>
              </w:rPr>
              <w:t xml:space="preserve">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56"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4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0"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56"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0.65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2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r>
      <w:tr>
        <w:trPr>
          <w:trHeight w:hRule="exact" w:val="94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6" w:lineRule="exact" w:before="0" w:after="0"/>
              <w:ind w:left="106" w:right="100" w:firstLine="0"/>
              <w:jc w:val="both"/>
            </w:pPr>
            <w:r>
              <w:rPr>
                <w:rFonts w:ascii="宋体" w:hAnsi="宋体" w:eastAsia="宋体"/>
                <w:b w:val="0"/>
                <w:i w:val="0"/>
                <w:color w:val="000000"/>
                <w:sz w:val="18"/>
              </w:rPr>
              <w:t>山西中小企</w:t>
            </w:r>
            <w:r>
              <w:rPr>
                <w:rFonts w:ascii="宋体" w:hAnsi="宋体" w:eastAsia="宋体"/>
                <w:b w:val="0"/>
                <w:i w:val="0"/>
                <w:color w:val="000000"/>
                <w:sz w:val="18"/>
              </w:rPr>
              <w:t>业创业投资</w:t>
            </w:r>
            <w:r>
              <w:rPr>
                <w:rFonts w:ascii="宋体" w:hAnsi="宋体" w:eastAsia="宋体"/>
                <w:b w:val="0"/>
                <w:i w:val="0"/>
                <w:color w:val="000000"/>
                <w:sz w:val="18"/>
              </w:rPr>
              <w:t>基金（有限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2" w:after="0"/>
              <w:ind w:left="104" w:right="146"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2" w:lineRule="exact" w:before="9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92"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4"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0.03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6" w:after="0"/>
              <w:ind w:left="0" w:right="0" w:firstLine="0"/>
              <w:jc w:val="center"/>
            </w:pPr>
            <w:r>
              <w:rPr>
                <w:rFonts w:ascii="Times New Roman" w:hAnsi="Times New Roman" w:eastAsia="Times New Roman"/>
                <w:b w:val="0"/>
                <w:i w:val="0"/>
                <w:color w:val="000000"/>
                <w:sz w:val="18"/>
              </w:rPr>
              <w:t xml:space="preserve">- </w:t>
            </w:r>
          </w:p>
        </w:tc>
      </w:tr>
      <w:tr>
        <w:trPr>
          <w:trHeight w:hRule="exact" w:val="71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 xml:space="preserve">关联自然人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 xml:space="preserve">关联自然人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24" w:lineRule="exact" w:before="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4" w:lineRule="exact" w:before="0" w:after="0"/>
              <w:ind w:left="104" w:right="88" w:firstLine="0"/>
              <w:jc w:val="both"/>
            </w:pPr>
            <w:r>
              <w:rPr>
                <w:rFonts w:ascii="宋体" w:hAnsi="宋体" w:eastAsia="宋体"/>
                <w:b w:val="0"/>
                <w:i w:val="0"/>
                <w:color w:val="000000"/>
                <w:sz w:val="18"/>
              </w:rPr>
              <w:t>经纪业</w:t>
            </w:r>
            <w:r>
              <w:rPr>
                <w:rFonts w:ascii="宋体" w:hAnsi="宋体" w:eastAsia="宋体"/>
                <w:b w:val="0"/>
                <w:i w:val="0"/>
                <w:color w:val="000000"/>
                <w:sz w:val="18"/>
              </w:rPr>
              <w:t>务手续</w:t>
            </w:r>
            <w:r>
              <w:rPr>
                <w:rFonts w:ascii="宋体" w:hAnsi="宋体" w:eastAsia="宋体"/>
                <w:b w:val="0"/>
                <w:i w:val="0"/>
                <w:color w:val="000000"/>
                <w:sz w:val="18"/>
              </w:rPr>
              <w:t xml:space="preserve">费收入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88" w:after="0"/>
              <w:ind w:left="0" w:right="0" w:firstLine="0"/>
              <w:jc w:val="center"/>
            </w:pPr>
            <w:r>
              <w:rPr>
                <w:rFonts w:ascii="宋体" w:hAnsi="宋体" w:eastAsia="宋体"/>
                <w:b w:val="0"/>
                <w:i w:val="0"/>
                <w:color w:val="000000"/>
                <w:sz w:val="18"/>
              </w:rPr>
              <w:t>市场佣</w:t>
            </w:r>
            <w:r>
              <w:rPr>
                <w:rFonts w:ascii="宋体" w:hAnsi="宋体" w:eastAsia="宋体"/>
                <w:b w:val="0"/>
                <w:i w:val="0"/>
                <w:color w:val="000000"/>
                <w:sz w:val="18"/>
              </w:rPr>
              <w:t xml:space="preserve">金水平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1.73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5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5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r>
      <w:tr>
        <w:trPr>
          <w:trHeight w:hRule="exact" w:val="802"/>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 w:after="0"/>
              <w:ind w:left="106" w:right="100" w:firstLine="0"/>
              <w:jc w:val="both"/>
            </w:pPr>
            <w:r>
              <w:rPr>
                <w:rFonts w:ascii="宋体" w:hAnsi="宋体" w:eastAsia="宋体"/>
                <w:b w:val="0"/>
                <w:i w:val="0"/>
                <w:color w:val="000000"/>
                <w:sz w:val="18"/>
              </w:rPr>
              <w:t>山西金控资</w:t>
            </w:r>
            <w:r>
              <w:rPr>
                <w:rFonts w:ascii="宋体" w:hAnsi="宋体" w:eastAsia="宋体"/>
                <w:b w:val="0"/>
                <w:i w:val="0"/>
                <w:color w:val="000000"/>
                <w:sz w:val="18"/>
              </w:rPr>
              <w:t>本管理有限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132"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13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4.02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8"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0" w:right="0" w:firstLine="0"/>
              <w:jc w:val="center"/>
            </w:pPr>
            <w:r>
              <w:rPr>
                <w:rFonts w:ascii="宋体" w:hAnsi="宋体" w:eastAsia="宋体"/>
                <w:b w:val="0"/>
                <w:i w:val="0"/>
                <w:color w:val="000000"/>
                <w:sz w:val="18"/>
              </w:rPr>
              <w:t>山西银行股</w:t>
            </w:r>
            <w:r>
              <w:rPr>
                <w:rFonts w:ascii="宋体" w:hAnsi="宋体" w:eastAsia="宋体"/>
                <w:b w:val="0"/>
                <w:i w:val="0"/>
                <w:color w:val="000000"/>
                <w:sz w:val="18"/>
              </w:rPr>
              <w:t xml:space="preserve">份有限公司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2.75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r>
      <w:tr>
        <w:trPr>
          <w:trHeight w:hRule="exact" w:val="792"/>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4" w:after="0"/>
              <w:ind w:left="0" w:right="0" w:firstLine="0"/>
              <w:jc w:val="center"/>
            </w:pPr>
            <w:r>
              <w:rPr>
                <w:rFonts w:ascii="宋体" w:hAnsi="宋体" w:eastAsia="宋体"/>
                <w:b w:val="0"/>
                <w:i w:val="0"/>
                <w:color w:val="000000"/>
                <w:sz w:val="18"/>
              </w:rPr>
              <w:t>山西信托股</w:t>
            </w:r>
            <w:r>
              <w:rPr>
                <w:rFonts w:ascii="宋体" w:hAnsi="宋体" w:eastAsia="宋体"/>
                <w:b w:val="0"/>
                <w:i w:val="0"/>
                <w:color w:val="000000"/>
                <w:sz w:val="18"/>
              </w:rPr>
              <w:t xml:space="preserve">份有限公司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2.5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294"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0" w:after="0"/>
              <w:ind w:left="106" w:right="100" w:firstLine="0"/>
              <w:jc w:val="both"/>
            </w:pPr>
            <w:r>
              <w:rPr>
                <w:rFonts w:ascii="宋体" w:hAnsi="宋体" w:eastAsia="宋体"/>
                <w:b w:val="0"/>
                <w:i w:val="0"/>
                <w:color w:val="000000"/>
                <w:sz w:val="18"/>
              </w:rPr>
              <w:t>山西国际电</w:t>
            </w:r>
            <w:r>
              <w:rPr>
                <w:rFonts w:ascii="宋体" w:hAnsi="宋体" w:eastAsia="宋体"/>
                <w:b w:val="0"/>
                <w:i w:val="0"/>
                <w:color w:val="000000"/>
                <w:sz w:val="18"/>
              </w:rPr>
              <w:t>力集团有限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0" w:after="0"/>
              <w:ind w:left="0" w:right="0" w:firstLine="0"/>
              <w:jc w:val="center"/>
            </w:pPr>
            <w:r>
              <w:rPr>
                <w:rFonts w:ascii="宋体" w:hAnsi="宋体" w:eastAsia="宋体"/>
                <w:b w:val="0"/>
                <w:i w:val="0"/>
                <w:color w:val="000000"/>
                <w:sz w:val="18"/>
              </w:rPr>
              <w:t>公司持股</w:t>
            </w:r>
            <w:r>
              <w:rPr>
                <w:rFonts w:ascii="宋体" w:hAnsi="宋体" w:eastAsia="宋体"/>
                <w:b w:val="0"/>
                <w:i w:val="0"/>
                <w:color w:val="000000"/>
                <w:sz w:val="18"/>
              </w:rPr>
              <w:t xml:space="preserve">5%以上股东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0"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1.39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602" w:after="0"/>
        <w:ind w:left="0" w:right="0" w:firstLine="0"/>
        <w:jc w:val="center"/>
      </w:pPr>
      <w:r>
        <w:rPr>
          <w:rFonts w:ascii="Calibri" w:hAnsi="Calibri" w:eastAsia="Calibri"/>
          <w:b w:val="0"/>
          <w:i w:val="0"/>
          <w:color w:val="000000"/>
          <w:sz w:val="18"/>
        </w:rPr>
        <w:t xml:space="preserve">114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17" name="Picture 11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1008"/>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4" w:after="0"/>
              <w:ind w:left="106" w:right="100" w:firstLine="0"/>
              <w:jc w:val="both"/>
            </w:pPr>
            <w:r>
              <w:rPr>
                <w:rFonts w:ascii="宋体" w:hAnsi="宋体" w:eastAsia="宋体"/>
                <w:b w:val="0"/>
                <w:i w:val="0"/>
                <w:color w:val="000000"/>
                <w:sz w:val="18"/>
              </w:rPr>
              <w:t>山西中小企</w:t>
            </w:r>
            <w:r>
              <w:rPr>
                <w:rFonts w:ascii="宋体" w:hAnsi="宋体" w:eastAsia="宋体"/>
                <w:b w:val="0"/>
                <w:i w:val="0"/>
                <w:color w:val="000000"/>
                <w:sz w:val="18"/>
              </w:rPr>
              <w:t>业创业投资</w:t>
            </w:r>
            <w:r>
              <w:rPr>
                <w:rFonts w:ascii="宋体" w:hAnsi="宋体" w:eastAsia="宋体"/>
                <w:b w:val="0"/>
                <w:i w:val="0"/>
                <w:color w:val="000000"/>
                <w:sz w:val="18"/>
              </w:rPr>
              <w:t>基金（有限</w:t>
            </w:r>
            <w:r>
              <w:rPr>
                <w:rFonts w:ascii="宋体" w:hAnsi="宋体" w:eastAsia="宋体"/>
                <w:b w:val="0"/>
                <w:i w:val="0"/>
                <w:color w:val="000000"/>
                <w:sz w:val="18"/>
              </w:rPr>
              <w:t xml:space="preserve">合伙） </w:t>
            </w:r>
          </w:p>
        </w:tc>
        <w:tc>
          <w:tcPr>
            <w:tcW w:type="dxa" w:w="115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116" w:after="0"/>
              <w:ind w:left="104" w:right="146"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1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16"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3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0.75 </w:t>
            </w:r>
          </w:p>
        </w:tc>
        <w:tc>
          <w:tcPr>
            <w:tcW w:type="dxa" w:w="70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0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0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98" w:after="0"/>
              <w:ind w:left="0" w:right="0" w:firstLine="0"/>
              <w:jc w:val="center"/>
            </w:pPr>
            <w:r>
              <w:rPr>
                <w:rFonts w:ascii="Times New Roman" w:hAnsi="Times New Roman" w:eastAsia="Times New Roman"/>
                <w:b w:val="0"/>
                <w:i w:val="0"/>
                <w:color w:val="000000"/>
                <w:sz w:val="18"/>
              </w:rPr>
              <w:t xml:space="preserve">- </w:t>
            </w:r>
          </w:p>
        </w:tc>
      </w:tr>
      <w:tr>
        <w:trPr>
          <w:trHeight w:hRule="exact" w:val="792"/>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 w:after="0"/>
              <w:ind w:left="106" w:right="100" w:firstLine="0"/>
              <w:jc w:val="both"/>
            </w:pPr>
            <w:r>
              <w:rPr>
                <w:rFonts w:ascii="宋体" w:hAnsi="宋体" w:eastAsia="宋体"/>
                <w:b w:val="0"/>
                <w:i w:val="0"/>
                <w:color w:val="000000"/>
                <w:sz w:val="18"/>
              </w:rPr>
              <w:t>太原钢铁</w:t>
            </w:r>
            <w:r>
              <w:rPr>
                <w:rFonts w:ascii="宋体" w:hAnsi="宋体" w:eastAsia="宋体"/>
                <w:b w:val="0"/>
                <w:i w:val="0"/>
                <w:color w:val="000000"/>
                <w:sz w:val="18"/>
              </w:rPr>
              <w:t>（集团）有</w:t>
            </w:r>
            <w:r>
              <w:rPr>
                <w:rFonts w:ascii="宋体" w:hAnsi="宋体" w:eastAsia="宋体"/>
                <w:b w:val="0"/>
                <w:i w:val="0"/>
                <w:color w:val="000000"/>
                <w:sz w:val="18"/>
              </w:rPr>
              <w:t xml:space="preserve">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0" w:right="0" w:firstLine="0"/>
              <w:jc w:val="center"/>
            </w:pPr>
            <w:r>
              <w:rPr>
                <w:rFonts w:ascii="宋体" w:hAnsi="宋体" w:eastAsia="宋体"/>
                <w:b w:val="0"/>
                <w:i w:val="0"/>
                <w:color w:val="000000"/>
                <w:sz w:val="18"/>
              </w:rPr>
              <w:t>公司持股</w:t>
            </w:r>
            <w:r>
              <w:rPr>
                <w:rFonts w:ascii="宋体" w:hAnsi="宋体" w:eastAsia="宋体"/>
                <w:b w:val="0"/>
                <w:i w:val="0"/>
                <w:color w:val="000000"/>
                <w:sz w:val="18"/>
              </w:rPr>
              <w:t xml:space="preserve">5%以上股东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3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0.43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0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0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r>
      <w:tr>
        <w:trPr>
          <w:trHeight w:hRule="exact" w:val="788"/>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4" w:after="0"/>
              <w:ind w:left="0" w:right="0" w:firstLine="0"/>
              <w:jc w:val="center"/>
            </w:pPr>
            <w:r>
              <w:rPr>
                <w:rFonts w:ascii="宋体" w:hAnsi="宋体" w:eastAsia="宋体"/>
                <w:b w:val="0"/>
                <w:i w:val="0"/>
                <w:color w:val="000000"/>
                <w:sz w:val="18"/>
              </w:rPr>
              <w:t>山西太钢投</w:t>
            </w:r>
            <w:r>
              <w:rPr>
                <w:rFonts w:ascii="宋体" w:hAnsi="宋体" w:eastAsia="宋体"/>
                <w:b w:val="0"/>
                <w:i w:val="0"/>
                <w:color w:val="000000"/>
                <w:sz w:val="18"/>
              </w:rPr>
              <w:t xml:space="preserve">资有限公司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4" w:after="0"/>
              <w:ind w:left="104" w:right="0" w:firstLine="0"/>
              <w:jc w:val="left"/>
            </w:pPr>
            <w:r>
              <w:rPr>
                <w:rFonts w:ascii="宋体" w:hAnsi="宋体" w:eastAsia="宋体"/>
                <w:b w:val="0"/>
                <w:i w:val="0"/>
                <w:color w:val="000000"/>
                <w:sz w:val="18"/>
              </w:rPr>
              <w:t>受太钢集团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2"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12"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2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0.35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9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9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6" w:after="0"/>
              <w:ind w:left="0" w:right="0" w:firstLine="0"/>
              <w:jc w:val="center"/>
            </w:pPr>
            <w:r>
              <w:rPr>
                <w:rFonts w:ascii="Times New Roman" w:hAnsi="Times New Roman" w:eastAsia="Times New Roman"/>
                <w:b w:val="0"/>
                <w:i w:val="0"/>
                <w:color w:val="000000"/>
                <w:sz w:val="18"/>
              </w:rPr>
              <w:t xml:space="preserve">- </w:t>
            </w:r>
          </w:p>
        </w:tc>
      </w:tr>
      <w:tr>
        <w:trPr>
          <w:trHeight w:hRule="exact" w:val="1178"/>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杭州龙华股</w:t>
            </w:r>
            <w:r>
              <w:rPr>
                <w:rFonts w:ascii="宋体" w:hAnsi="宋体" w:eastAsia="宋体"/>
                <w:b w:val="0"/>
                <w:i w:val="0"/>
                <w:color w:val="000000"/>
                <w:sz w:val="18"/>
              </w:rPr>
              <w:t>融股权投资</w:t>
            </w:r>
            <w:r>
              <w:rPr>
                <w:rFonts w:ascii="宋体" w:hAnsi="宋体" w:eastAsia="宋体"/>
                <w:b w:val="0"/>
                <w:i w:val="0"/>
                <w:color w:val="000000"/>
                <w:sz w:val="18"/>
              </w:rPr>
              <w:t>基金合伙企</w:t>
            </w:r>
            <w:r>
              <w:rPr>
                <w:rFonts w:ascii="宋体" w:hAnsi="宋体" w:eastAsia="宋体"/>
                <w:b w:val="0"/>
                <w:i w:val="0"/>
                <w:color w:val="000000"/>
                <w:sz w:val="18"/>
              </w:rPr>
              <w:t>业（有限合</w:t>
            </w:r>
            <w:r>
              <w:rPr>
                <w:rFonts w:ascii="宋体" w:hAnsi="宋体" w:eastAsia="宋体"/>
                <w:b w:val="0"/>
                <w:i w:val="0"/>
                <w:color w:val="000000"/>
                <w:sz w:val="18"/>
              </w:rPr>
              <w:t xml:space="preserve">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6"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0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6"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32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0.31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9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9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484" w:after="0"/>
              <w:ind w:left="0" w:right="0" w:firstLine="0"/>
              <w:jc w:val="center"/>
            </w:pPr>
            <w:r>
              <w:rPr>
                <w:rFonts w:ascii="Times New Roman" w:hAnsi="Times New Roman" w:eastAsia="Times New Roman"/>
                <w:b w:val="0"/>
                <w:i w:val="0"/>
                <w:color w:val="000000"/>
                <w:sz w:val="18"/>
              </w:rPr>
              <w:t xml:space="preserve">- </w:t>
            </w:r>
          </w:p>
        </w:tc>
      </w:tr>
      <w:tr>
        <w:trPr>
          <w:trHeight w:hRule="exact" w:val="89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62" w:after="0"/>
              <w:ind w:left="106" w:right="100" w:firstLine="0"/>
              <w:jc w:val="both"/>
            </w:pPr>
            <w:r>
              <w:rPr>
                <w:rFonts w:ascii="宋体" w:hAnsi="宋体" w:eastAsia="宋体"/>
                <w:b w:val="0"/>
                <w:i w:val="0"/>
                <w:color w:val="000000"/>
                <w:sz w:val="18"/>
              </w:rPr>
              <w:t>山西省融资</w:t>
            </w:r>
            <w:r>
              <w:rPr>
                <w:rFonts w:ascii="宋体" w:hAnsi="宋体" w:eastAsia="宋体"/>
                <w:b w:val="0"/>
                <w:i w:val="0"/>
                <w:color w:val="000000"/>
                <w:sz w:val="18"/>
              </w:rPr>
              <w:t>再担保集团</w:t>
            </w:r>
            <w:r>
              <w:rPr>
                <w:rFonts w:ascii="宋体" w:hAnsi="宋体" w:eastAsia="宋体"/>
                <w:b w:val="0"/>
                <w:i w:val="0"/>
                <w:color w:val="000000"/>
                <w:sz w:val="18"/>
              </w:rPr>
              <w:t xml:space="preserve">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80"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6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62"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8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0.11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5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5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42"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4" w:lineRule="exact" w:before="12" w:after="0"/>
              <w:ind w:left="106" w:right="100" w:firstLine="0"/>
              <w:jc w:val="both"/>
            </w:pPr>
            <w:r>
              <w:rPr>
                <w:rFonts w:ascii="宋体" w:hAnsi="宋体" w:eastAsia="宋体"/>
                <w:b w:val="0"/>
                <w:i w:val="0"/>
                <w:color w:val="000000"/>
                <w:sz w:val="18"/>
              </w:rPr>
              <w:t>上海万方投</w:t>
            </w:r>
            <w:r>
              <w:rPr>
                <w:rFonts w:ascii="宋体" w:hAnsi="宋体" w:eastAsia="宋体"/>
                <w:b w:val="0"/>
                <w:i w:val="0"/>
                <w:color w:val="000000"/>
                <w:sz w:val="18"/>
              </w:rPr>
              <w:t>资管理有限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4" w:lineRule="exact" w:before="12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4" w:lineRule="exact" w:before="12"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4" w:lineRule="exact" w:before="12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0.08 </w:t>
            </w:r>
          </w:p>
        </w:tc>
        <w:tc>
          <w:tcPr>
            <w:tcW w:type="dxa" w:w="70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180" w:lineRule="exact" w:before="29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29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r>
      <w:tr>
        <w:trPr>
          <w:trHeight w:hRule="exact" w:val="1044"/>
        </w:trPr>
        <w:tc>
          <w:tcPr>
            <w:tcW w:type="dxa" w:w="118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38" w:after="0"/>
              <w:ind w:left="106" w:right="100" w:firstLine="0"/>
              <w:jc w:val="both"/>
            </w:pPr>
            <w:r>
              <w:rPr>
                <w:rFonts w:ascii="宋体" w:hAnsi="宋体" w:eastAsia="宋体"/>
                <w:b w:val="0"/>
                <w:i w:val="0"/>
                <w:color w:val="000000"/>
                <w:sz w:val="18"/>
              </w:rPr>
              <w:t>山西国信物</w:t>
            </w:r>
            <w:r>
              <w:rPr>
                <w:rFonts w:ascii="宋体" w:hAnsi="宋体" w:eastAsia="宋体"/>
                <w:b w:val="0"/>
                <w:i w:val="0"/>
                <w:color w:val="000000"/>
                <w:sz w:val="18"/>
              </w:rPr>
              <w:t>业管理服务</w:t>
            </w:r>
            <w:r>
              <w:rPr>
                <w:rFonts w:ascii="宋体" w:hAnsi="宋体" w:eastAsia="宋体"/>
                <w:b w:val="0"/>
                <w:i w:val="0"/>
                <w:color w:val="000000"/>
                <w:sz w:val="18"/>
              </w:rPr>
              <w:t xml:space="preserve">有限公司 </w:t>
            </w:r>
          </w:p>
        </w:tc>
        <w:tc>
          <w:tcPr>
            <w:tcW w:type="dxa" w:w="115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5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3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38"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5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0.07 </w:t>
            </w:r>
          </w:p>
        </w:tc>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2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2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18"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 w:after="0"/>
              <w:ind w:left="106" w:right="100" w:firstLine="0"/>
              <w:jc w:val="both"/>
            </w:pPr>
            <w:r>
              <w:rPr>
                <w:rFonts w:ascii="宋体" w:hAnsi="宋体" w:eastAsia="宋体"/>
                <w:b w:val="0"/>
                <w:i w:val="0"/>
                <w:color w:val="000000"/>
                <w:sz w:val="18"/>
              </w:rPr>
              <w:t>山西股权交</w:t>
            </w:r>
            <w:r>
              <w:rPr>
                <w:rFonts w:ascii="宋体" w:hAnsi="宋体" w:eastAsia="宋体"/>
                <w:b w:val="0"/>
                <w:i w:val="0"/>
                <w:color w:val="000000"/>
                <w:sz w:val="18"/>
              </w:rPr>
              <w:t>易中心有限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12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1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12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0.05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9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9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88" w:after="0"/>
              <w:ind w:left="0" w:right="0" w:firstLine="0"/>
              <w:jc w:val="center"/>
            </w:pPr>
            <w:r>
              <w:rPr>
                <w:rFonts w:ascii="Times New Roman" w:hAnsi="Times New Roman" w:eastAsia="Times New Roman"/>
                <w:b w:val="0"/>
                <w:i w:val="0"/>
                <w:color w:val="000000"/>
                <w:sz w:val="18"/>
              </w:rPr>
              <w:t xml:space="preserve">- </w:t>
            </w:r>
          </w:p>
        </w:tc>
      </w:tr>
      <w:tr>
        <w:trPr>
          <w:trHeight w:hRule="exact" w:val="790"/>
        </w:trPr>
        <w:tc>
          <w:tcPr>
            <w:tcW w:type="dxa" w:w="1182"/>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6" w:lineRule="exact" w:before="124" w:after="0"/>
              <w:ind w:left="0" w:right="0" w:firstLine="0"/>
              <w:jc w:val="center"/>
            </w:pPr>
            <w:r>
              <w:rPr>
                <w:rFonts w:ascii="宋体" w:hAnsi="宋体" w:eastAsia="宋体"/>
                <w:b w:val="0"/>
                <w:i w:val="0"/>
                <w:color w:val="000000"/>
                <w:sz w:val="18"/>
              </w:rPr>
              <w:t>吕梁国投集</w:t>
            </w:r>
            <w:r>
              <w:rPr>
                <w:rFonts w:ascii="宋体" w:hAnsi="宋体" w:eastAsia="宋体"/>
                <w:b w:val="0"/>
                <w:i w:val="0"/>
                <w:color w:val="000000"/>
                <w:sz w:val="18"/>
              </w:rPr>
              <w:t xml:space="preserve">团有限公司 </w:t>
            </w:r>
          </w:p>
        </w:tc>
        <w:tc>
          <w:tcPr>
            <w:tcW w:type="dxa" w:w="115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2" w:lineRule="exact" w:before="14" w:after="0"/>
              <w:ind w:left="104" w:right="102" w:firstLine="0"/>
              <w:jc w:val="both"/>
            </w:pPr>
            <w:r>
              <w:rPr>
                <w:rFonts w:ascii="宋体" w:hAnsi="宋体" w:eastAsia="宋体"/>
                <w:b w:val="0"/>
                <w:i w:val="0"/>
                <w:color w:val="000000"/>
                <w:sz w:val="18"/>
              </w:rPr>
              <w:t>公司监事任</w:t>
            </w:r>
            <w:r>
              <w:rPr>
                <w:rFonts w:ascii="宋体" w:hAnsi="宋体" w:eastAsia="宋体"/>
                <w:b w:val="0"/>
                <w:i w:val="0"/>
                <w:color w:val="000000"/>
                <w:sz w:val="18"/>
              </w:rPr>
              <w:t>职企业，公</w:t>
            </w:r>
            <w:r>
              <w:rPr>
                <w:rFonts w:ascii="宋体" w:hAnsi="宋体" w:eastAsia="宋体"/>
                <w:b w:val="0"/>
                <w:i w:val="0"/>
                <w:color w:val="000000"/>
                <w:sz w:val="18"/>
              </w:rPr>
              <w:t xml:space="preserve">司股东 </w:t>
            </w:r>
          </w:p>
        </w:tc>
        <w:tc>
          <w:tcPr>
            <w:tcW w:type="dxa" w:w="822"/>
            <w:tcBorders>
              <w:start w:sz="4.0"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232" w:lineRule="exact" w:before="1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2" w:lineRule="exact" w:before="14"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6" w:lineRule="exact" w:before="12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0.01 </w:t>
            </w:r>
          </w:p>
        </w:tc>
        <w:tc>
          <w:tcPr>
            <w:tcW w:type="dxa" w:w="70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200000000000273" w:val="single" w:color="#000000"/>
            </w:tcBorders>
            <w:shd w:fill="ffffff"/>
            <w:tcMar>
              <w:start w:w="0" w:type="dxa"/>
              <w:end w:w="0" w:type="dxa"/>
            </w:tcMar>
          </w:tcPr>
          <w:p>
            <w:pPr>
              <w:autoSpaceDN w:val="0"/>
              <w:autoSpaceDE w:val="0"/>
              <w:widowControl/>
              <w:spacing w:line="180" w:lineRule="exact" w:before="29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180" w:lineRule="exact" w:before="29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273" w:val="single" w:color="#000000"/>
            </w:tcBorders>
            <w:shd w:fill="ffffff"/>
            <w:tcMar>
              <w:start w:w="0" w:type="dxa"/>
              <w:end w:w="0" w:type="dxa"/>
            </w:tcMar>
          </w:tcPr>
          <w:p>
            <w:pPr>
              <w:autoSpaceDN w:val="0"/>
              <w:autoSpaceDE w:val="0"/>
              <w:widowControl/>
              <w:spacing w:line="233" w:lineRule="auto" w:before="290" w:after="0"/>
              <w:ind w:left="0" w:right="0" w:firstLine="0"/>
              <w:jc w:val="center"/>
            </w:pPr>
            <w:r>
              <w:rPr>
                <w:rFonts w:ascii="Times New Roman" w:hAnsi="Times New Roman" w:eastAsia="Times New Roman"/>
                <w:b w:val="0"/>
                <w:i w:val="0"/>
                <w:color w:val="000000"/>
                <w:sz w:val="18"/>
              </w:rPr>
              <w:t xml:space="preserve">- </w:t>
            </w:r>
          </w:p>
        </w:tc>
      </w:tr>
      <w:tr>
        <w:trPr>
          <w:trHeight w:hRule="exact" w:val="710"/>
        </w:trPr>
        <w:tc>
          <w:tcPr>
            <w:tcW w:type="dxa" w:w="1182"/>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62" w:after="0"/>
              <w:ind w:left="0" w:right="0" w:firstLine="0"/>
              <w:jc w:val="center"/>
            </w:pPr>
            <w:r>
              <w:rPr>
                <w:rFonts w:ascii="宋体" w:hAnsi="宋体" w:eastAsia="宋体"/>
                <w:b w:val="0"/>
                <w:i w:val="0"/>
                <w:color w:val="000000"/>
                <w:sz w:val="18"/>
              </w:rPr>
              <w:t xml:space="preserve">关联自然人 </w:t>
            </w:r>
          </w:p>
        </w:tc>
        <w:tc>
          <w:tcPr>
            <w:tcW w:type="dxa" w:w="115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62" w:after="0"/>
              <w:ind w:left="0" w:right="0" w:firstLine="0"/>
              <w:jc w:val="center"/>
            </w:pPr>
            <w:r>
              <w:rPr>
                <w:rFonts w:ascii="宋体" w:hAnsi="宋体" w:eastAsia="宋体"/>
                <w:b w:val="0"/>
                <w:i w:val="0"/>
                <w:color w:val="000000"/>
                <w:sz w:val="18"/>
              </w:rPr>
              <w:t xml:space="preserve">关联自然人 </w:t>
            </w:r>
          </w:p>
        </w:tc>
        <w:tc>
          <w:tcPr>
            <w:tcW w:type="dxa" w:w="822"/>
            <w:tcBorders>
              <w:start w:sz="4.0"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224" w:lineRule="exact" w:before="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24" w:lineRule="exact" w:before="0" w:after="0"/>
              <w:ind w:left="104" w:right="106" w:firstLine="0"/>
              <w:jc w:val="both"/>
            </w:pPr>
            <w:r>
              <w:rPr>
                <w:rFonts w:ascii="宋体" w:hAnsi="宋体" w:eastAsia="宋体"/>
                <w:b w:val="0"/>
                <w:i w:val="0"/>
                <w:color w:val="000000"/>
                <w:sz w:val="18"/>
              </w:rPr>
              <w:t>经纪业</w:t>
            </w:r>
            <w:r>
              <w:rPr>
                <w:rFonts w:ascii="宋体" w:hAnsi="宋体" w:eastAsia="宋体"/>
                <w:b w:val="0"/>
                <w:i w:val="0"/>
                <w:color w:val="000000"/>
                <w:sz w:val="18"/>
              </w:rPr>
              <w:t>务利息</w:t>
            </w:r>
            <w:r>
              <w:rPr>
                <w:rFonts w:ascii="宋体" w:hAnsi="宋体" w:eastAsia="宋体"/>
                <w:b w:val="0"/>
                <w:i w:val="0"/>
                <w:color w:val="000000"/>
                <w:sz w:val="18"/>
              </w:rPr>
              <w:t xml:space="preserve">支出 </w:t>
            </w:r>
          </w:p>
        </w:tc>
        <w:tc>
          <w:tcPr>
            <w:tcW w:type="dxa" w:w="81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9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0.88 </w:t>
            </w:r>
          </w:p>
        </w:tc>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20000000000027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26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26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200000000000273"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250" w:after="0"/>
              <w:ind w:left="0" w:right="0" w:firstLine="0"/>
              <w:jc w:val="center"/>
            </w:pPr>
            <w:r>
              <w:rPr>
                <w:rFonts w:ascii="Times New Roman" w:hAnsi="Times New Roman" w:eastAsia="Times New Roman"/>
                <w:b w:val="0"/>
                <w:i w:val="0"/>
                <w:color w:val="000000"/>
                <w:sz w:val="18"/>
              </w:rPr>
              <w:t xml:space="preserve">- </w:t>
            </w:r>
          </w:p>
        </w:tc>
      </w:tr>
      <w:tr>
        <w:trPr>
          <w:trHeight w:hRule="exact" w:val="944"/>
        </w:trPr>
        <w:tc>
          <w:tcPr>
            <w:tcW w:type="dxa" w:w="1182"/>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88" w:after="0"/>
              <w:ind w:left="106" w:right="100" w:firstLine="0"/>
              <w:jc w:val="both"/>
            </w:pPr>
            <w:r>
              <w:rPr>
                <w:rFonts w:ascii="宋体" w:hAnsi="宋体" w:eastAsia="宋体"/>
                <w:b w:val="0"/>
                <w:i w:val="0"/>
                <w:color w:val="000000"/>
                <w:sz w:val="18"/>
              </w:rPr>
              <w:t>汇安基金管</w:t>
            </w:r>
            <w:r>
              <w:rPr>
                <w:rFonts w:ascii="宋体" w:hAnsi="宋体" w:eastAsia="宋体"/>
                <w:b w:val="0"/>
                <w:i w:val="0"/>
                <w:color w:val="000000"/>
                <w:sz w:val="18"/>
              </w:rPr>
              <w:t>理有限责任</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26" w:lineRule="exact" w:before="0" w:after="0"/>
              <w:ind w:left="104" w:right="102" w:firstLine="0"/>
              <w:jc w:val="both"/>
            </w:pPr>
            <w:r>
              <w:rPr>
                <w:rFonts w:ascii="宋体" w:hAnsi="宋体" w:eastAsia="宋体"/>
                <w:b w:val="0"/>
                <w:i w:val="0"/>
                <w:color w:val="000000"/>
                <w:sz w:val="18"/>
              </w:rPr>
              <w:t>公司独立董</w:t>
            </w:r>
            <w:r>
              <w:rPr>
                <w:rFonts w:ascii="宋体" w:hAnsi="宋体" w:eastAsia="宋体"/>
                <w:b w:val="0"/>
                <w:i w:val="0"/>
                <w:color w:val="000000"/>
                <w:sz w:val="18"/>
              </w:rPr>
              <w:t>事担任其他</w:t>
            </w:r>
            <w:r>
              <w:rPr>
                <w:rFonts w:ascii="宋体" w:hAnsi="宋体" w:eastAsia="宋体"/>
                <w:b w:val="0"/>
                <w:i w:val="0"/>
                <w:color w:val="000000"/>
                <w:sz w:val="18"/>
              </w:rPr>
              <w:t>企业独立董</w:t>
            </w:r>
            <w:r>
              <w:rPr>
                <w:rFonts w:ascii="宋体" w:hAnsi="宋体" w:eastAsia="宋体"/>
                <w:b w:val="0"/>
                <w:i w:val="0"/>
                <w:color w:val="000000"/>
                <w:sz w:val="18"/>
              </w:rPr>
              <w:t xml:space="preserve">事 </w:t>
            </w:r>
          </w:p>
        </w:tc>
        <w:tc>
          <w:tcPr>
            <w:tcW w:type="dxa" w:w="822"/>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4" w:lineRule="exact" w:before="8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208" w:after="0"/>
              <w:ind w:left="0" w:right="0" w:firstLine="0"/>
              <w:jc w:val="center"/>
            </w:pPr>
            <w:r>
              <w:rPr>
                <w:rFonts w:ascii="宋体" w:hAnsi="宋体" w:eastAsia="宋体"/>
                <w:b w:val="0"/>
                <w:i w:val="0"/>
                <w:color w:val="000000"/>
                <w:sz w:val="18"/>
              </w:rPr>
              <w:t>席位佣</w:t>
            </w:r>
            <w:r>
              <w:rPr>
                <w:rFonts w:ascii="宋体" w:hAnsi="宋体" w:eastAsia="宋体"/>
                <w:b w:val="0"/>
                <w:i w:val="0"/>
                <w:color w:val="000000"/>
                <w:sz w:val="18"/>
              </w:rPr>
              <w:t xml:space="preserve">金收入 </w:t>
            </w:r>
          </w:p>
        </w:tc>
        <w:tc>
          <w:tcPr>
            <w:tcW w:type="dxa" w:w="8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20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31.83 </w:t>
            </w:r>
          </w:p>
        </w:tc>
        <w:tc>
          <w:tcPr>
            <w:tcW w:type="dxa" w:w="70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0.04% </w:t>
            </w:r>
          </w:p>
        </w:tc>
        <w:tc>
          <w:tcPr>
            <w:tcW w:type="dxa" w:w="710"/>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792"/>
        </w:trPr>
        <w:tc>
          <w:tcPr>
            <w:tcW w:type="dxa" w:w="1182"/>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2" w:after="0"/>
              <w:ind w:left="106" w:right="100" w:firstLine="0"/>
              <w:jc w:val="both"/>
            </w:pPr>
            <w:r>
              <w:rPr>
                <w:rFonts w:ascii="宋体" w:hAnsi="宋体" w:eastAsia="宋体"/>
                <w:b w:val="0"/>
                <w:i w:val="0"/>
                <w:color w:val="000000"/>
                <w:sz w:val="18"/>
              </w:rPr>
              <w:t>中煤财产保</w:t>
            </w:r>
            <w:r>
              <w:rPr>
                <w:rFonts w:ascii="宋体" w:hAnsi="宋体" w:eastAsia="宋体"/>
                <w:b w:val="0"/>
                <w:i w:val="0"/>
                <w:color w:val="000000"/>
                <w:sz w:val="18"/>
              </w:rPr>
              <w:t>险股份有限</w:t>
            </w:r>
            <w:r>
              <w:rPr>
                <w:rFonts w:ascii="宋体" w:hAnsi="宋体" w:eastAsia="宋体"/>
                <w:b w:val="0"/>
                <w:i w:val="0"/>
                <w:color w:val="000000"/>
                <w:sz w:val="18"/>
              </w:rPr>
              <w:t xml:space="preserve">公司 </w:t>
            </w:r>
          </w:p>
        </w:tc>
        <w:tc>
          <w:tcPr>
            <w:tcW w:type="dxa" w:w="115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30"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4" w:lineRule="exact" w:before="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30" w:after="0"/>
              <w:ind w:left="0" w:right="0" w:firstLine="0"/>
              <w:jc w:val="center"/>
            </w:pPr>
            <w:r>
              <w:rPr>
                <w:rFonts w:ascii="宋体" w:hAnsi="宋体" w:eastAsia="宋体"/>
                <w:b w:val="0"/>
                <w:i w:val="0"/>
                <w:color w:val="000000"/>
                <w:sz w:val="18"/>
              </w:rPr>
              <w:t>席位佣</w:t>
            </w:r>
            <w:r>
              <w:rPr>
                <w:rFonts w:ascii="宋体" w:hAnsi="宋体" w:eastAsia="宋体"/>
                <w:b w:val="0"/>
                <w:i w:val="0"/>
                <w:color w:val="000000"/>
                <w:sz w:val="18"/>
              </w:rPr>
              <w:t xml:space="preserve">金收入 </w:t>
            </w:r>
          </w:p>
        </w:tc>
        <w:tc>
          <w:tcPr>
            <w:tcW w:type="dxa" w:w="8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3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2.59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30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30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292" w:after="0"/>
              <w:ind w:left="0" w:right="0" w:firstLine="0"/>
              <w:jc w:val="center"/>
            </w:pPr>
            <w:r>
              <w:rPr>
                <w:rFonts w:ascii="Times New Roman" w:hAnsi="Times New Roman" w:eastAsia="Times New Roman"/>
                <w:b w:val="0"/>
                <w:i w:val="0"/>
                <w:color w:val="000000"/>
                <w:sz w:val="18"/>
              </w:rPr>
              <w:t xml:space="preserve">- </w:t>
            </w:r>
          </w:p>
        </w:tc>
      </w:tr>
      <w:tr>
        <w:trPr>
          <w:trHeight w:hRule="exact" w:val="804"/>
        </w:trPr>
        <w:tc>
          <w:tcPr>
            <w:tcW w:type="dxa" w:w="1182"/>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138" w:after="0"/>
              <w:ind w:left="0" w:right="0" w:firstLine="0"/>
              <w:jc w:val="center"/>
            </w:pPr>
            <w:r>
              <w:rPr>
                <w:rFonts w:ascii="宋体" w:hAnsi="宋体" w:eastAsia="宋体"/>
                <w:b w:val="0"/>
                <w:i w:val="0"/>
                <w:color w:val="000000"/>
                <w:sz w:val="18"/>
              </w:rPr>
              <w:t>山西信托股</w:t>
            </w:r>
            <w:r>
              <w:rPr>
                <w:rFonts w:ascii="宋体" w:hAnsi="宋体" w:eastAsia="宋体"/>
                <w:b w:val="0"/>
                <w:i w:val="0"/>
                <w:color w:val="000000"/>
                <w:sz w:val="18"/>
              </w:rPr>
              <w:t xml:space="preserve">份有限公司 </w:t>
            </w:r>
          </w:p>
        </w:tc>
        <w:tc>
          <w:tcPr>
            <w:tcW w:type="dxa" w:w="115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13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4" w:lineRule="exact" w:before="2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20" w:after="0"/>
              <w:ind w:left="104" w:right="106" w:firstLine="0"/>
              <w:jc w:val="both"/>
            </w:pPr>
            <w:r>
              <w:rPr>
                <w:rFonts w:ascii="宋体" w:hAnsi="宋体" w:eastAsia="宋体"/>
                <w:b w:val="0"/>
                <w:i w:val="0"/>
                <w:color w:val="000000"/>
                <w:sz w:val="18"/>
              </w:rPr>
              <w:t>代理销</w:t>
            </w:r>
            <w:r>
              <w:rPr>
                <w:rFonts w:ascii="宋体" w:hAnsi="宋体" w:eastAsia="宋体"/>
                <w:b w:val="0"/>
                <w:i w:val="0"/>
                <w:color w:val="000000"/>
                <w:sz w:val="18"/>
              </w:rPr>
              <w:t>售金融</w:t>
            </w:r>
            <w:r>
              <w:rPr>
                <w:rFonts w:ascii="宋体" w:hAnsi="宋体" w:eastAsia="宋体"/>
                <w:b w:val="0"/>
                <w:i w:val="0"/>
                <w:color w:val="000000"/>
                <w:sz w:val="18"/>
              </w:rPr>
              <w:t xml:space="preserve">产品 </w:t>
            </w:r>
          </w:p>
        </w:tc>
        <w:tc>
          <w:tcPr>
            <w:tcW w:type="dxa" w:w="8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13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37.83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0.05% </w:t>
            </w:r>
          </w:p>
        </w:tc>
        <w:tc>
          <w:tcPr>
            <w:tcW w:type="dxa" w:w="710"/>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30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30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296" w:after="0"/>
              <w:ind w:left="0" w:right="0" w:firstLine="0"/>
              <w:jc w:val="center"/>
            </w:pPr>
            <w:r>
              <w:rPr>
                <w:rFonts w:ascii="Times New Roman" w:hAnsi="Times New Roman" w:eastAsia="Times New Roman"/>
                <w:b w:val="0"/>
                <w:i w:val="0"/>
                <w:color w:val="000000"/>
                <w:sz w:val="18"/>
              </w:rPr>
              <w:t xml:space="preserve">- </w:t>
            </w:r>
          </w:p>
        </w:tc>
      </w:tr>
      <w:tr>
        <w:trPr>
          <w:trHeight w:hRule="exact" w:val="942"/>
        </w:trPr>
        <w:tc>
          <w:tcPr>
            <w:tcW w:type="dxa" w:w="118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92" w:after="0"/>
              <w:ind w:left="106" w:right="100" w:firstLine="0"/>
              <w:jc w:val="both"/>
            </w:pPr>
            <w:r>
              <w:rPr>
                <w:rFonts w:ascii="宋体" w:hAnsi="宋体" w:eastAsia="宋体"/>
                <w:b w:val="0"/>
                <w:i w:val="0"/>
                <w:color w:val="000000"/>
                <w:sz w:val="18"/>
              </w:rPr>
              <w:t>汇丰晋信基</w:t>
            </w:r>
            <w:r>
              <w:rPr>
                <w:rFonts w:ascii="宋体" w:hAnsi="宋体" w:eastAsia="宋体"/>
                <w:b w:val="0"/>
                <w:i w:val="0"/>
                <w:color w:val="000000"/>
                <w:sz w:val="18"/>
              </w:rPr>
              <w:t>金管理有限</w:t>
            </w:r>
            <w:r>
              <w:rPr>
                <w:rFonts w:ascii="宋体" w:hAnsi="宋体" w:eastAsia="宋体"/>
                <w:b w:val="0"/>
                <w:i w:val="0"/>
                <w:color w:val="000000"/>
                <w:sz w:val="18"/>
              </w:rPr>
              <w:t xml:space="preserve">公司 </w:t>
            </w:r>
          </w:p>
        </w:tc>
        <w:tc>
          <w:tcPr>
            <w:tcW w:type="dxa" w:w="115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26" w:lineRule="exact" w:before="0" w:after="0"/>
              <w:ind w:left="104" w:right="102" w:firstLine="0"/>
              <w:jc w:val="both"/>
            </w:pPr>
            <w:r>
              <w:rPr>
                <w:rFonts w:ascii="宋体" w:hAnsi="宋体" w:eastAsia="宋体"/>
                <w:b w:val="0"/>
                <w:i w:val="0"/>
                <w:color w:val="000000"/>
                <w:sz w:val="18"/>
              </w:rPr>
              <w:t>受金控集团</w:t>
            </w:r>
            <w:r>
              <w:rPr>
                <w:rFonts w:ascii="宋体" w:hAnsi="宋体" w:eastAsia="宋体"/>
                <w:b w:val="0"/>
                <w:i w:val="0"/>
                <w:color w:val="000000"/>
                <w:sz w:val="18"/>
              </w:rPr>
              <w:t>间接控制、</w:t>
            </w:r>
            <w:r>
              <w:rPr>
                <w:rFonts w:ascii="宋体" w:hAnsi="宋体" w:eastAsia="宋体"/>
                <w:b w:val="0"/>
                <w:i w:val="0"/>
                <w:color w:val="000000"/>
                <w:sz w:val="18"/>
              </w:rPr>
              <w:t>公司监事任</w:t>
            </w:r>
            <w:r>
              <w:rPr>
                <w:rFonts w:ascii="宋体" w:hAnsi="宋体" w:eastAsia="宋体"/>
                <w:b w:val="0"/>
                <w:i w:val="0"/>
                <w:color w:val="000000"/>
                <w:sz w:val="18"/>
              </w:rPr>
              <w:t xml:space="preserve">职企业 </w:t>
            </w:r>
          </w:p>
        </w:tc>
        <w:tc>
          <w:tcPr>
            <w:tcW w:type="dxa" w:w="822"/>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232" w:lineRule="exact" w:before="9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92" w:after="0"/>
              <w:ind w:left="104" w:right="106" w:firstLine="0"/>
              <w:jc w:val="both"/>
            </w:pPr>
            <w:r>
              <w:rPr>
                <w:rFonts w:ascii="宋体" w:hAnsi="宋体" w:eastAsia="宋体"/>
                <w:b w:val="0"/>
                <w:i w:val="0"/>
                <w:color w:val="000000"/>
                <w:sz w:val="18"/>
              </w:rPr>
              <w:t>代理销</w:t>
            </w:r>
            <w:r>
              <w:rPr>
                <w:rFonts w:ascii="宋体" w:hAnsi="宋体" w:eastAsia="宋体"/>
                <w:b w:val="0"/>
                <w:i w:val="0"/>
                <w:color w:val="000000"/>
                <w:sz w:val="18"/>
              </w:rPr>
              <w:t>售金融</w:t>
            </w:r>
            <w:r>
              <w:rPr>
                <w:rFonts w:ascii="宋体" w:hAnsi="宋体" w:eastAsia="宋体"/>
                <w:b w:val="0"/>
                <w:i w:val="0"/>
                <w:color w:val="000000"/>
                <w:sz w:val="18"/>
              </w:rPr>
              <w:t xml:space="preserve">产品 </w:t>
            </w:r>
          </w:p>
        </w:tc>
        <w:tc>
          <w:tcPr>
            <w:tcW w:type="dxa" w:w="8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20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7.1 </w:t>
            </w:r>
          </w:p>
        </w:tc>
        <w:tc>
          <w:tcPr>
            <w:tcW w:type="dxa" w:w="70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94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90" w:after="0"/>
              <w:ind w:left="106" w:right="100" w:firstLine="0"/>
              <w:jc w:val="both"/>
            </w:pPr>
            <w:r>
              <w:rPr>
                <w:rFonts w:ascii="宋体" w:hAnsi="宋体" w:eastAsia="宋体"/>
                <w:b w:val="0"/>
                <w:i w:val="0"/>
                <w:color w:val="000000"/>
                <w:sz w:val="18"/>
              </w:rPr>
              <w:t>汇安基金管</w:t>
            </w:r>
            <w:r>
              <w:rPr>
                <w:rFonts w:ascii="宋体" w:hAnsi="宋体" w:eastAsia="宋体"/>
                <w:b w:val="0"/>
                <w:i w:val="0"/>
                <w:color w:val="000000"/>
                <w:sz w:val="18"/>
              </w:rPr>
              <w:t>理有限责任</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6" w:lineRule="exact" w:before="0" w:after="0"/>
              <w:ind w:left="104" w:right="102" w:firstLine="0"/>
              <w:jc w:val="both"/>
            </w:pPr>
            <w:r>
              <w:rPr>
                <w:rFonts w:ascii="宋体" w:hAnsi="宋体" w:eastAsia="宋体"/>
                <w:b w:val="0"/>
                <w:i w:val="0"/>
                <w:color w:val="000000"/>
                <w:sz w:val="18"/>
              </w:rPr>
              <w:t>公司独立董</w:t>
            </w:r>
            <w:r>
              <w:rPr>
                <w:rFonts w:ascii="宋体" w:hAnsi="宋体" w:eastAsia="宋体"/>
                <w:b w:val="0"/>
                <w:i w:val="0"/>
                <w:color w:val="000000"/>
                <w:sz w:val="18"/>
              </w:rPr>
              <w:t>事担任其他</w:t>
            </w:r>
            <w:r>
              <w:rPr>
                <w:rFonts w:ascii="宋体" w:hAnsi="宋体" w:eastAsia="宋体"/>
                <w:b w:val="0"/>
                <w:i w:val="0"/>
                <w:color w:val="000000"/>
                <w:sz w:val="18"/>
              </w:rPr>
              <w:t>企业独立董</w:t>
            </w:r>
            <w:r>
              <w:rPr>
                <w:rFonts w:ascii="宋体" w:hAnsi="宋体" w:eastAsia="宋体"/>
                <w:b w:val="0"/>
                <w:i w:val="0"/>
                <w:color w:val="000000"/>
                <w:sz w:val="18"/>
              </w:rPr>
              <w:t xml:space="preserve">事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9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90" w:after="0"/>
              <w:ind w:left="104" w:right="106" w:firstLine="0"/>
              <w:jc w:val="both"/>
            </w:pPr>
            <w:r>
              <w:rPr>
                <w:rFonts w:ascii="宋体" w:hAnsi="宋体" w:eastAsia="宋体"/>
                <w:b w:val="0"/>
                <w:i w:val="0"/>
                <w:color w:val="000000"/>
                <w:sz w:val="18"/>
              </w:rPr>
              <w:t>代理销</w:t>
            </w:r>
            <w:r>
              <w:rPr>
                <w:rFonts w:ascii="宋体" w:hAnsi="宋体" w:eastAsia="宋体"/>
                <w:b w:val="0"/>
                <w:i w:val="0"/>
                <w:color w:val="000000"/>
                <w:sz w:val="18"/>
              </w:rPr>
              <w:t>售金融</w:t>
            </w:r>
            <w:r>
              <w:rPr>
                <w:rFonts w:ascii="宋体" w:hAnsi="宋体" w:eastAsia="宋体"/>
                <w:b w:val="0"/>
                <w:i w:val="0"/>
                <w:color w:val="000000"/>
                <w:sz w:val="18"/>
              </w:rPr>
              <w:t xml:space="preserve">产品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0.19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76" w:after="0"/>
              <w:ind w:left="104" w:right="0" w:firstLine="0"/>
              <w:jc w:val="left"/>
            </w:pPr>
            <w:r>
              <w:rPr>
                <w:rFonts w:ascii="宋体" w:hAnsi="宋体" w:eastAsia="宋体"/>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76" w:after="0"/>
              <w:ind w:left="104" w:right="0" w:firstLine="0"/>
              <w:jc w:val="lef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0" w:right="0" w:firstLine="0"/>
              <w:jc w:val="center"/>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02" w:right="0" w:firstLine="0"/>
              <w:jc w:val="left"/>
            </w:pPr>
            <w:r>
              <w:rPr>
                <w:rFonts w:ascii="宋体" w:hAnsi="宋体" w:eastAsia="宋体"/>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04" w:right="0" w:firstLine="0"/>
              <w:jc w:val="left"/>
            </w:pPr>
            <w:r>
              <w:rPr>
                <w:rFonts w:ascii="宋体" w:hAnsi="宋体" w:eastAsia="宋体"/>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04" w:right="0" w:firstLine="0"/>
              <w:jc w:val="left"/>
            </w:pPr>
            <w:r>
              <w:rPr>
                <w:rFonts w:ascii="宋体" w:hAnsi="宋体" w:eastAsia="宋体"/>
                <w:b w:val="0"/>
                <w:i w:val="0"/>
                <w:color w:val="000000"/>
                <w:sz w:val="18"/>
              </w:rPr>
              <w:t xml:space="preserve">- </w:t>
            </w:r>
          </w:p>
        </w:tc>
      </w:tr>
    </w:tbl>
    <w:p>
      <w:pPr>
        <w:autoSpaceDN w:val="0"/>
        <w:autoSpaceDE w:val="0"/>
        <w:widowControl/>
        <w:spacing w:line="197" w:lineRule="auto" w:before="916" w:after="0"/>
        <w:ind w:left="0" w:right="0" w:firstLine="0"/>
        <w:jc w:val="center"/>
      </w:pPr>
      <w:r>
        <w:rPr>
          <w:rFonts w:ascii="Calibri" w:hAnsi="Calibri" w:eastAsia="Calibri"/>
          <w:b w:val="0"/>
          <w:i w:val="0"/>
          <w:color w:val="000000"/>
          <w:sz w:val="18"/>
        </w:rPr>
        <w:t xml:space="preserve">115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18" name="Picture 11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968"/>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00" w:after="0"/>
              <w:ind w:left="106" w:right="100" w:firstLine="0"/>
              <w:jc w:val="both"/>
            </w:pPr>
            <w:r>
              <w:rPr>
                <w:rFonts w:ascii="宋体" w:hAnsi="宋体" w:eastAsia="宋体"/>
                <w:b w:val="0"/>
                <w:i w:val="0"/>
                <w:color w:val="000000"/>
                <w:sz w:val="18"/>
              </w:rPr>
              <w:t>德意志银行</w:t>
            </w:r>
            <w:r>
              <w:rPr>
                <w:rFonts w:ascii="宋体" w:hAnsi="宋体" w:eastAsia="宋体"/>
                <w:b w:val="0"/>
                <w:i w:val="0"/>
                <w:color w:val="000000"/>
                <w:sz w:val="18"/>
              </w:rPr>
              <w:t>（中国）有</w:t>
            </w:r>
            <w:r>
              <w:rPr>
                <w:rFonts w:ascii="宋体" w:hAnsi="宋体" w:eastAsia="宋体"/>
                <w:b w:val="0"/>
                <w:i w:val="0"/>
                <w:color w:val="000000"/>
                <w:sz w:val="18"/>
              </w:rPr>
              <w:t xml:space="preserve">限公司 </w:t>
            </w:r>
          </w:p>
        </w:tc>
        <w:tc>
          <w:tcPr>
            <w:tcW w:type="dxa" w:w="115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96" w:after="0"/>
              <w:ind w:left="104" w:right="102" w:firstLine="0"/>
              <w:jc w:val="both"/>
            </w:pPr>
            <w:r>
              <w:rPr>
                <w:rFonts w:ascii="宋体" w:hAnsi="宋体" w:eastAsia="宋体"/>
                <w:b w:val="0"/>
                <w:i w:val="0"/>
                <w:color w:val="000000"/>
                <w:sz w:val="18"/>
              </w:rPr>
              <w:t>与公司合资</w:t>
            </w:r>
            <w:r>
              <w:rPr>
                <w:rFonts w:ascii="宋体" w:hAnsi="宋体" w:eastAsia="宋体"/>
                <w:b w:val="0"/>
                <w:i w:val="0"/>
                <w:color w:val="000000"/>
                <w:sz w:val="18"/>
              </w:rPr>
              <w:t>设立中德证</w:t>
            </w:r>
            <w:r>
              <w:rPr>
                <w:rFonts w:ascii="宋体" w:hAnsi="宋体" w:eastAsia="宋体"/>
                <w:b w:val="0"/>
                <w:i w:val="0"/>
                <w:color w:val="000000"/>
                <w:sz w:val="18"/>
              </w:rPr>
              <w:t xml:space="preserve">券 </w:t>
            </w:r>
          </w:p>
        </w:tc>
        <w:tc>
          <w:tcPr>
            <w:tcW w:type="dxa" w:w="822"/>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9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216" w:after="0"/>
              <w:ind w:left="0" w:right="0" w:firstLine="0"/>
              <w:jc w:val="center"/>
            </w:pPr>
            <w:r>
              <w:rPr>
                <w:rFonts w:ascii="宋体" w:hAnsi="宋体" w:eastAsia="宋体"/>
                <w:b w:val="0"/>
                <w:i w:val="0"/>
                <w:color w:val="000000"/>
                <w:sz w:val="18"/>
              </w:rPr>
              <w:t>财务顾</w:t>
            </w:r>
            <w:r>
              <w:rPr>
                <w:rFonts w:ascii="宋体" w:hAnsi="宋体" w:eastAsia="宋体"/>
                <w:b w:val="0"/>
                <w:i w:val="0"/>
                <w:color w:val="000000"/>
                <w:sz w:val="18"/>
              </w:rPr>
              <w:t xml:space="preserve">问收入 </w:t>
            </w:r>
          </w:p>
        </w:tc>
        <w:tc>
          <w:tcPr>
            <w:tcW w:type="dxa" w:w="81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1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84" w:after="0"/>
              <w:ind w:left="108" w:right="0" w:firstLine="0"/>
              <w:jc w:val="left"/>
            </w:pPr>
            <w:r>
              <w:rPr>
                <w:rFonts w:ascii="宋体" w:hAnsi="宋体" w:eastAsia="宋体"/>
                <w:b w:val="0"/>
                <w:i w:val="0"/>
                <w:color w:val="000000"/>
                <w:sz w:val="18"/>
              </w:rPr>
              <w:t xml:space="preserve">- </w:t>
            </w:r>
          </w:p>
        </w:tc>
        <w:tc>
          <w:tcPr>
            <w:tcW w:type="dxa" w:w="1106"/>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76" w:after="0"/>
              <w:ind w:left="0" w:right="0" w:firstLine="0"/>
              <w:jc w:val="center"/>
            </w:pPr>
            <w:r>
              <w:rPr>
                <w:rFonts w:ascii="Times New Roman" w:hAnsi="Times New Roman" w:eastAsia="Times New Roman"/>
                <w:b w:val="0"/>
                <w:i w:val="0"/>
                <w:color w:val="000000"/>
                <w:sz w:val="18"/>
              </w:rPr>
              <w:t xml:space="preserve">1576 </w:t>
            </w:r>
          </w:p>
        </w:tc>
        <w:tc>
          <w:tcPr>
            <w:tcW w:type="dxa" w:w="70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76" w:after="0"/>
              <w:ind w:left="0" w:right="0" w:firstLine="0"/>
              <w:jc w:val="center"/>
            </w:pPr>
            <w:r>
              <w:rPr>
                <w:rFonts w:ascii="Times New Roman" w:hAnsi="Times New Roman" w:eastAsia="Times New Roman"/>
                <w:b w:val="0"/>
                <w:i w:val="0"/>
                <w:color w:val="000000"/>
                <w:sz w:val="18"/>
              </w:rPr>
              <w:t xml:space="preserve">3.52% </w:t>
            </w:r>
          </w:p>
        </w:tc>
        <w:tc>
          <w:tcPr>
            <w:tcW w:type="dxa" w:w="710"/>
            <w:tcBorders>
              <w:start w:sz="4.0"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84" w:after="0"/>
              <w:ind w:left="104" w:right="0" w:firstLine="0"/>
              <w:jc w:val="left"/>
            </w:pPr>
            <w:r>
              <w:rPr>
                <w:rFonts w:ascii="宋体" w:hAnsi="宋体" w:eastAsia="宋体"/>
                <w:b w:val="0"/>
                <w:i w:val="0"/>
                <w:color w:val="000000"/>
                <w:sz w:val="18"/>
              </w:rPr>
              <w:t xml:space="preserve">- </w:t>
            </w:r>
          </w:p>
        </w:tc>
        <w:tc>
          <w:tcPr>
            <w:tcW w:type="dxa" w:w="708"/>
            <w:tcBorders>
              <w:start w:sz="3.199999999999818" w:val="single" w:color="#000000"/>
              <w:top w:sz="5.600000000000023"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84" w:after="0"/>
              <w:ind w:left="104" w:right="0" w:firstLine="0"/>
              <w:jc w:val="left"/>
            </w:pPr>
            <w:r>
              <w:rPr>
                <w:rFonts w:ascii="宋体" w:hAnsi="宋体" w:eastAsia="宋体"/>
                <w:b w:val="0"/>
                <w:i w:val="0"/>
                <w:color w:val="000000"/>
                <w:sz w:val="18"/>
              </w:rPr>
              <w:t xml:space="preserve">否 </w:t>
            </w:r>
          </w:p>
        </w:tc>
        <w:tc>
          <w:tcPr>
            <w:tcW w:type="dxa" w:w="708"/>
            <w:tcBorders>
              <w:start w:sz="3.199999999999818"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84" w:after="0"/>
              <w:ind w:left="0" w:right="0" w:firstLine="0"/>
              <w:jc w:val="center"/>
            </w:pPr>
            <w:r>
              <w:rPr>
                <w:rFonts w:ascii="宋体" w:hAnsi="宋体" w:eastAsia="宋体"/>
                <w:b w:val="0"/>
                <w:i w:val="0"/>
                <w:color w:val="000000"/>
                <w:sz w:val="18"/>
              </w:rPr>
              <w:t xml:space="preserve">现金 </w:t>
            </w:r>
          </w:p>
        </w:tc>
        <w:tc>
          <w:tcPr>
            <w:tcW w:type="dxa" w:w="70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84" w:after="0"/>
              <w:ind w:left="102" w:right="0" w:firstLine="0"/>
              <w:jc w:val="left"/>
            </w:pPr>
            <w:r>
              <w:rPr>
                <w:rFonts w:ascii="宋体" w:hAnsi="宋体" w:eastAsia="宋体"/>
                <w:b w:val="0"/>
                <w:i w:val="0"/>
                <w:color w:val="000000"/>
                <w:sz w:val="18"/>
              </w:rPr>
              <w:t xml:space="preserve">- </w:t>
            </w:r>
          </w:p>
        </w:tc>
        <w:tc>
          <w:tcPr>
            <w:tcW w:type="dxa" w:w="570"/>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84" w:after="0"/>
              <w:ind w:left="104" w:right="0" w:firstLine="0"/>
              <w:jc w:val="left"/>
            </w:pPr>
            <w:r>
              <w:rPr>
                <w:rFonts w:ascii="宋体" w:hAnsi="宋体" w:eastAsia="宋体"/>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88" w:after="0"/>
              <w:ind w:left="104" w:right="0" w:firstLine="0"/>
              <w:jc w:val="left"/>
            </w:pPr>
            <w:r>
              <w:rPr>
                <w:rFonts w:ascii="宋体" w:hAnsi="宋体" w:eastAsia="宋体"/>
                <w:b w:val="0"/>
                <w:i w:val="0"/>
                <w:color w:val="000000"/>
                <w:sz w:val="18"/>
              </w:rPr>
              <w:t xml:space="preserve">- </w:t>
            </w:r>
          </w:p>
        </w:tc>
      </w:tr>
      <w:tr>
        <w:trPr>
          <w:trHeight w:hRule="exact" w:val="834"/>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52" w:after="0"/>
              <w:ind w:left="106" w:right="0" w:firstLine="0"/>
              <w:jc w:val="left"/>
            </w:pPr>
            <w:r>
              <w:rPr>
                <w:rFonts w:ascii="宋体" w:hAnsi="宋体" w:eastAsia="宋体"/>
                <w:b w:val="0"/>
                <w:i w:val="0"/>
                <w:color w:val="000000"/>
                <w:sz w:val="18"/>
              </w:rPr>
              <w:t>山西省财政</w:t>
            </w:r>
            <w:r>
              <w:rPr>
                <w:rFonts w:ascii="宋体" w:hAnsi="宋体" w:eastAsia="宋体"/>
                <w:b w:val="0"/>
                <w:i w:val="0"/>
                <w:color w:val="000000"/>
                <w:sz w:val="18"/>
              </w:rPr>
              <w:t xml:space="preserve">厅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52" w:after="0"/>
              <w:ind w:left="104" w:right="0" w:firstLine="0"/>
              <w:jc w:val="left"/>
            </w:pPr>
            <w:r>
              <w:rPr>
                <w:rFonts w:ascii="宋体" w:hAnsi="宋体" w:eastAsia="宋体"/>
                <w:b w:val="0"/>
                <w:i w:val="0"/>
                <w:color w:val="000000"/>
                <w:sz w:val="18"/>
              </w:rPr>
              <w:t>公司实际控</w:t>
            </w:r>
            <w:r>
              <w:rPr>
                <w:rFonts w:ascii="宋体" w:hAnsi="宋体" w:eastAsia="宋体"/>
                <w:b w:val="0"/>
                <w:i w:val="0"/>
                <w:color w:val="000000"/>
                <w:sz w:val="18"/>
              </w:rPr>
              <w:t xml:space="preserve">制人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3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152" w:after="0"/>
              <w:ind w:left="0" w:right="0" w:firstLine="0"/>
              <w:jc w:val="center"/>
            </w:pPr>
            <w:r>
              <w:rPr>
                <w:rFonts w:ascii="宋体" w:hAnsi="宋体" w:eastAsia="宋体"/>
                <w:b w:val="0"/>
                <w:i w:val="0"/>
                <w:color w:val="000000"/>
                <w:sz w:val="18"/>
              </w:rPr>
              <w:t>债券承</w:t>
            </w:r>
            <w:r>
              <w:rPr>
                <w:rFonts w:ascii="宋体" w:hAnsi="宋体" w:eastAsia="宋体"/>
                <w:b w:val="0"/>
                <w:i w:val="0"/>
                <w:color w:val="000000"/>
                <w:sz w:val="18"/>
              </w:rPr>
              <w:t>销收入</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5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224.09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0.50%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2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2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14" w:after="0"/>
              <w:ind w:left="0" w:right="0" w:firstLine="0"/>
              <w:jc w:val="center"/>
            </w:pPr>
            <w:r>
              <w:rPr>
                <w:rFonts w:ascii="Times New Roman" w:hAnsi="Times New Roman" w:eastAsia="Times New Roman"/>
                <w:b w:val="0"/>
                <w:i w:val="0"/>
                <w:color w:val="000000"/>
                <w:sz w:val="18"/>
              </w:rPr>
              <w:t xml:space="preserve">- </w:t>
            </w:r>
          </w:p>
        </w:tc>
      </w:tr>
      <w:tr>
        <w:trPr>
          <w:trHeight w:hRule="exact" w:val="81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4" w:after="0"/>
              <w:ind w:left="106" w:right="100" w:firstLine="0"/>
              <w:jc w:val="both"/>
            </w:pPr>
            <w:r>
              <w:rPr>
                <w:rFonts w:ascii="宋体" w:hAnsi="宋体" w:eastAsia="宋体"/>
                <w:b w:val="0"/>
                <w:i w:val="0"/>
                <w:color w:val="000000"/>
                <w:sz w:val="18"/>
              </w:rPr>
              <w:t>山西金融投</w:t>
            </w:r>
            <w:r>
              <w:rPr>
                <w:rFonts w:ascii="宋体" w:hAnsi="宋体" w:eastAsia="宋体"/>
                <w:b w:val="0"/>
                <w:i w:val="0"/>
                <w:color w:val="000000"/>
                <w:sz w:val="18"/>
              </w:rPr>
              <w:t>资控股集团</w:t>
            </w:r>
            <w:r>
              <w:rPr>
                <w:rFonts w:ascii="宋体" w:hAnsi="宋体" w:eastAsia="宋体"/>
                <w:b w:val="0"/>
                <w:i w:val="0"/>
                <w:color w:val="000000"/>
                <w:sz w:val="18"/>
              </w:rPr>
              <w:t xml:space="preserve">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0" w:after="0"/>
              <w:ind w:left="104" w:right="0" w:firstLine="0"/>
              <w:jc w:val="left"/>
            </w:pPr>
            <w:r>
              <w:rPr>
                <w:rFonts w:ascii="宋体" w:hAnsi="宋体" w:eastAsia="宋体"/>
                <w:b w:val="0"/>
                <w:i w:val="0"/>
                <w:color w:val="000000"/>
                <w:sz w:val="18"/>
              </w:rPr>
              <w:t>公司控股股</w:t>
            </w:r>
            <w:r>
              <w:rPr>
                <w:rFonts w:ascii="宋体" w:hAnsi="宋体" w:eastAsia="宋体"/>
                <w:b w:val="0"/>
                <w:i w:val="0"/>
                <w:color w:val="000000"/>
                <w:sz w:val="18"/>
              </w:rPr>
              <w:t xml:space="preserve">东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0" w:after="0"/>
              <w:ind w:left="0" w:right="0" w:firstLine="0"/>
              <w:jc w:val="center"/>
            </w:pPr>
            <w:r>
              <w:rPr>
                <w:rFonts w:ascii="宋体" w:hAnsi="宋体" w:eastAsia="宋体"/>
                <w:b w:val="0"/>
                <w:i w:val="0"/>
                <w:color w:val="000000"/>
                <w:sz w:val="18"/>
              </w:rPr>
              <w:t>债券承</w:t>
            </w:r>
            <w:r>
              <w:rPr>
                <w:rFonts w:ascii="宋体" w:hAnsi="宋体" w:eastAsia="宋体"/>
                <w:b w:val="0"/>
                <w:i w:val="0"/>
                <w:color w:val="000000"/>
                <w:sz w:val="18"/>
              </w:rPr>
              <w:t xml:space="preserve">销收入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4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58.96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0.13%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1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1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304" w:after="0"/>
              <w:ind w:left="0" w:right="0" w:firstLine="0"/>
              <w:jc w:val="center"/>
            </w:pPr>
            <w:r>
              <w:rPr>
                <w:rFonts w:ascii="Times New Roman" w:hAnsi="Times New Roman" w:eastAsia="Times New Roman"/>
                <w:b w:val="0"/>
                <w:i w:val="0"/>
                <w:color w:val="000000"/>
                <w:sz w:val="18"/>
              </w:rPr>
              <w:t xml:space="preserve">- </w:t>
            </w:r>
          </w:p>
        </w:tc>
      </w:tr>
      <w:tr>
        <w:trPr>
          <w:trHeight w:hRule="exact" w:val="1046"/>
        </w:trPr>
        <w:tc>
          <w:tcPr>
            <w:tcW w:type="dxa" w:w="1182"/>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40" w:after="0"/>
              <w:ind w:left="106" w:right="100" w:firstLine="0"/>
              <w:jc w:val="both"/>
            </w:pPr>
            <w:r>
              <w:rPr>
                <w:rFonts w:ascii="宋体" w:hAnsi="宋体" w:eastAsia="宋体"/>
                <w:b w:val="0"/>
                <w:i w:val="0"/>
                <w:color w:val="000000"/>
                <w:sz w:val="18"/>
              </w:rPr>
              <w:t>德意志银行</w:t>
            </w:r>
            <w:r>
              <w:rPr>
                <w:rFonts w:ascii="宋体" w:hAnsi="宋体" w:eastAsia="宋体"/>
                <w:b w:val="0"/>
                <w:i w:val="0"/>
                <w:color w:val="000000"/>
                <w:sz w:val="18"/>
              </w:rPr>
              <w:t>股份有限公</w:t>
            </w:r>
            <w:r>
              <w:rPr>
                <w:rFonts w:ascii="宋体" w:hAnsi="宋体" w:eastAsia="宋体"/>
                <w:b w:val="0"/>
                <w:i w:val="0"/>
                <w:color w:val="000000"/>
                <w:sz w:val="18"/>
              </w:rPr>
              <w:t xml:space="preserve">司 </w:t>
            </w:r>
          </w:p>
        </w:tc>
        <w:tc>
          <w:tcPr>
            <w:tcW w:type="dxa" w:w="115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4" w:lineRule="exact" w:before="140" w:after="0"/>
              <w:ind w:left="104" w:right="146" w:firstLine="0"/>
              <w:jc w:val="both"/>
            </w:pPr>
            <w:r>
              <w:rPr>
                <w:rFonts w:ascii="宋体" w:hAnsi="宋体" w:eastAsia="宋体"/>
                <w:b w:val="0"/>
                <w:i w:val="0"/>
                <w:color w:val="000000"/>
                <w:sz w:val="18"/>
              </w:rPr>
              <w:t>与公司合资</w:t>
            </w:r>
            <w:r>
              <w:rPr>
                <w:rFonts w:ascii="宋体" w:hAnsi="宋体" w:eastAsia="宋体"/>
                <w:b w:val="0"/>
                <w:i w:val="0"/>
                <w:color w:val="000000"/>
                <w:sz w:val="18"/>
              </w:rPr>
              <w:t>设立中德证</w:t>
            </w:r>
            <w:r>
              <w:rPr>
                <w:rFonts w:ascii="宋体" w:hAnsi="宋体" w:eastAsia="宋体"/>
                <w:b w:val="0"/>
                <w:i w:val="0"/>
                <w:color w:val="000000"/>
                <w:sz w:val="18"/>
              </w:rPr>
              <w:t xml:space="preserve">券 </w:t>
            </w:r>
          </w:p>
        </w:tc>
        <w:tc>
          <w:tcPr>
            <w:tcW w:type="dxa" w:w="822"/>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4" w:lineRule="exact" w:before="14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260" w:after="0"/>
              <w:ind w:left="0" w:right="0" w:firstLine="0"/>
              <w:jc w:val="center"/>
            </w:pPr>
            <w:r>
              <w:rPr>
                <w:rFonts w:ascii="宋体" w:hAnsi="宋体" w:eastAsia="宋体"/>
                <w:b w:val="0"/>
                <w:i w:val="0"/>
                <w:color w:val="000000"/>
                <w:sz w:val="18"/>
              </w:rPr>
              <w:t>债券承</w:t>
            </w:r>
            <w:r>
              <w:rPr>
                <w:rFonts w:ascii="宋体" w:hAnsi="宋体" w:eastAsia="宋体"/>
                <w:b w:val="0"/>
                <w:i w:val="0"/>
                <w:color w:val="000000"/>
                <w:sz w:val="18"/>
              </w:rPr>
              <w:t xml:space="preserve">销收入 </w:t>
            </w:r>
          </w:p>
        </w:tc>
        <w:tc>
          <w:tcPr>
            <w:tcW w:type="dxa" w:w="81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26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10.38 </w:t>
            </w:r>
          </w:p>
        </w:tc>
        <w:tc>
          <w:tcPr>
            <w:tcW w:type="dxa" w:w="70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0.02% </w:t>
            </w:r>
          </w:p>
        </w:tc>
        <w:tc>
          <w:tcPr>
            <w:tcW w:type="dxa" w:w="710"/>
            <w:tcBorders>
              <w:start w:sz="4.0"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43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43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3" w:lineRule="auto" w:before="418" w:after="0"/>
              <w:ind w:left="0" w:right="0" w:firstLine="0"/>
              <w:jc w:val="center"/>
            </w:pPr>
            <w:r>
              <w:rPr>
                <w:rFonts w:ascii="Times New Roman" w:hAnsi="Times New Roman" w:eastAsia="Times New Roman"/>
                <w:b w:val="0"/>
                <w:i w:val="0"/>
                <w:color w:val="000000"/>
                <w:sz w:val="18"/>
              </w:rPr>
              <w:t xml:space="preserve">- </w:t>
            </w:r>
          </w:p>
        </w:tc>
      </w:tr>
      <w:tr>
        <w:trPr>
          <w:trHeight w:hRule="exact" w:val="1044"/>
        </w:trPr>
        <w:tc>
          <w:tcPr>
            <w:tcW w:type="dxa" w:w="1182"/>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256" w:after="0"/>
              <w:ind w:left="0" w:right="0" w:firstLine="0"/>
              <w:jc w:val="center"/>
            </w:pPr>
            <w:r>
              <w:rPr>
                <w:rFonts w:ascii="宋体" w:hAnsi="宋体" w:eastAsia="宋体"/>
                <w:b w:val="0"/>
                <w:i w:val="0"/>
                <w:color w:val="000000"/>
                <w:sz w:val="18"/>
              </w:rPr>
              <w:t>山西银行股</w:t>
            </w:r>
            <w:r>
              <w:rPr>
                <w:rFonts w:ascii="宋体" w:hAnsi="宋体" w:eastAsia="宋体"/>
                <w:b w:val="0"/>
                <w:i w:val="0"/>
                <w:color w:val="000000"/>
                <w:sz w:val="18"/>
              </w:rPr>
              <w:t xml:space="preserve">份有限公司 </w:t>
            </w:r>
          </w:p>
        </w:tc>
        <w:tc>
          <w:tcPr>
            <w:tcW w:type="dxa" w:w="115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256"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4" w:lineRule="exact" w:before="14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140" w:after="0"/>
              <w:ind w:left="104" w:right="106" w:firstLine="0"/>
              <w:jc w:val="both"/>
            </w:pPr>
            <w:r>
              <w:rPr>
                <w:rFonts w:ascii="宋体" w:hAnsi="宋体" w:eastAsia="宋体"/>
                <w:b w:val="0"/>
                <w:i w:val="0"/>
                <w:color w:val="000000"/>
                <w:sz w:val="18"/>
              </w:rPr>
              <w:t>投资咨</w:t>
            </w:r>
            <w:r>
              <w:rPr>
                <w:rFonts w:ascii="宋体" w:hAnsi="宋体" w:eastAsia="宋体"/>
                <w:b w:val="0"/>
                <w:i w:val="0"/>
                <w:color w:val="000000"/>
                <w:sz w:val="18"/>
              </w:rPr>
              <w:t>询业务</w:t>
            </w:r>
            <w:r>
              <w:rPr>
                <w:rFonts w:ascii="宋体" w:hAnsi="宋体" w:eastAsia="宋体"/>
                <w:b w:val="0"/>
                <w:i w:val="0"/>
                <w:color w:val="000000"/>
                <w:sz w:val="18"/>
              </w:rPr>
              <w:t xml:space="preserve">收入 </w:t>
            </w:r>
          </w:p>
        </w:tc>
        <w:tc>
          <w:tcPr>
            <w:tcW w:type="dxa" w:w="81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4" w:lineRule="exact" w:before="25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30.19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0.07% </w:t>
            </w:r>
          </w:p>
        </w:tc>
        <w:tc>
          <w:tcPr>
            <w:tcW w:type="dxa" w:w="710"/>
            <w:tcBorders>
              <w:start w:sz="4.0"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3.199999999999818" w:val="single" w:color="#000000"/>
            </w:tcBorders>
            <w:shd w:fill="ffffff"/>
            <w:tcMar>
              <w:start w:w="0" w:type="dxa"/>
              <w:end w:w="0" w:type="dxa"/>
            </w:tcMar>
          </w:tcPr>
          <w:p>
            <w:pPr>
              <w:autoSpaceDN w:val="0"/>
              <w:autoSpaceDE w:val="0"/>
              <w:widowControl/>
              <w:spacing w:line="180" w:lineRule="exact" w:before="42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180" w:lineRule="exact" w:before="42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3.199999999999818" w:val="single" w:color="#000000"/>
            </w:tcBorders>
            <w:shd w:fill="ffffff"/>
            <w:tcMar>
              <w:start w:w="0" w:type="dxa"/>
              <w:end w:w="0" w:type="dxa"/>
            </w:tcMar>
          </w:tcPr>
          <w:p>
            <w:pPr>
              <w:autoSpaceDN w:val="0"/>
              <w:autoSpaceDE w:val="0"/>
              <w:widowControl/>
              <w:spacing w:line="230" w:lineRule="auto" w:before="420" w:after="0"/>
              <w:ind w:left="0" w:right="0" w:firstLine="0"/>
              <w:jc w:val="center"/>
            </w:pPr>
            <w:r>
              <w:rPr>
                <w:rFonts w:ascii="Times New Roman" w:hAnsi="Times New Roman" w:eastAsia="Times New Roman"/>
                <w:b w:val="0"/>
                <w:i w:val="0"/>
                <w:color w:val="000000"/>
                <w:sz w:val="18"/>
              </w:rPr>
              <w:t xml:space="preserve">- </w:t>
            </w:r>
          </w:p>
        </w:tc>
      </w:tr>
      <w:tr>
        <w:trPr>
          <w:trHeight w:hRule="exact" w:val="944"/>
        </w:trPr>
        <w:tc>
          <w:tcPr>
            <w:tcW w:type="dxa" w:w="1182"/>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90" w:after="0"/>
              <w:ind w:left="106" w:right="100" w:firstLine="0"/>
              <w:jc w:val="both"/>
            </w:pPr>
            <w:r>
              <w:rPr>
                <w:rFonts w:ascii="宋体" w:hAnsi="宋体" w:eastAsia="宋体"/>
                <w:b w:val="0"/>
                <w:i w:val="0"/>
                <w:color w:val="000000"/>
                <w:sz w:val="18"/>
              </w:rPr>
              <w:t>山西国贸物</w:t>
            </w:r>
            <w:r>
              <w:rPr>
                <w:rFonts w:ascii="宋体" w:hAnsi="宋体" w:eastAsia="宋体"/>
                <w:b w:val="0"/>
                <w:i w:val="0"/>
                <w:color w:val="000000"/>
                <w:sz w:val="18"/>
              </w:rPr>
              <w:t>业管理有限</w:t>
            </w:r>
            <w:r>
              <w:rPr>
                <w:rFonts w:ascii="宋体" w:hAnsi="宋体" w:eastAsia="宋体"/>
                <w:b w:val="0"/>
                <w:i w:val="0"/>
                <w:color w:val="000000"/>
                <w:sz w:val="18"/>
              </w:rPr>
              <w:t xml:space="preserve">公司 </w:t>
            </w:r>
          </w:p>
        </w:tc>
        <w:tc>
          <w:tcPr>
            <w:tcW w:type="dxa" w:w="115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10"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9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28" w:lineRule="exact" w:before="0" w:after="0"/>
              <w:ind w:left="104" w:right="178" w:firstLine="0"/>
              <w:jc w:val="both"/>
            </w:pPr>
            <w:r>
              <w:rPr>
                <w:rFonts w:ascii="宋体" w:hAnsi="宋体" w:eastAsia="宋体"/>
                <w:b w:val="0"/>
                <w:i w:val="0"/>
                <w:color w:val="000000"/>
                <w:sz w:val="18"/>
              </w:rPr>
              <w:t>物业管</w:t>
            </w:r>
            <w:r>
              <w:rPr>
                <w:rFonts w:ascii="宋体" w:hAnsi="宋体" w:eastAsia="宋体"/>
                <w:b w:val="0"/>
                <w:i w:val="0"/>
                <w:color w:val="000000"/>
                <w:sz w:val="18"/>
              </w:rPr>
              <w:t>理费及</w:t>
            </w:r>
            <w:r>
              <w:rPr>
                <w:rFonts w:ascii="宋体" w:hAnsi="宋体" w:eastAsia="宋体"/>
                <w:b w:val="0"/>
                <w:i w:val="0"/>
                <w:color w:val="000000"/>
                <w:sz w:val="18"/>
              </w:rPr>
              <w:t>其他支</w:t>
            </w:r>
            <w:r>
              <w:rPr>
                <w:rFonts w:ascii="宋体" w:hAnsi="宋体" w:eastAsia="宋体"/>
                <w:b w:val="0"/>
                <w:i w:val="0"/>
                <w:color w:val="000000"/>
                <w:sz w:val="18"/>
              </w:rPr>
              <w:t xml:space="preserve">出 </w:t>
            </w:r>
          </w:p>
        </w:tc>
        <w:tc>
          <w:tcPr>
            <w:tcW w:type="dxa" w:w="81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1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518.18 </w:t>
            </w:r>
          </w:p>
        </w:tc>
        <w:tc>
          <w:tcPr>
            <w:tcW w:type="dxa" w:w="70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0.25% </w:t>
            </w:r>
          </w:p>
        </w:tc>
        <w:tc>
          <w:tcPr>
            <w:tcW w:type="dxa" w:w="710"/>
            <w:tcBorders>
              <w:start w:sz="4.0"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141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24" w:after="0"/>
              <w:ind w:left="106" w:right="100" w:firstLine="0"/>
              <w:jc w:val="both"/>
            </w:pPr>
            <w:r>
              <w:rPr>
                <w:rFonts w:ascii="宋体" w:hAnsi="宋体" w:eastAsia="宋体"/>
                <w:b w:val="0"/>
                <w:i w:val="0"/>
                <w:color w:val="000000"/>
                <w:sz w:val="18"/>
              </w:rPr>
              <w:t>山西国贸大</w:t>
            </w:r>
            <w:r>
              <w:rPr>
                <w:rFonts w:ascii="宋体" w:hAnsi="宋体" w:eastAsia="宋体"/>
                <w:b w:val="0"/>
                <w:i w:val="0"/>
                <w:color w:val="000000"/>
                <w:sz w:val="18"/>
              </w:rPr>
              <w:t>饭店管理有</w:t>
            </w:r>
            <w:r>
              <w:rPr>
                <w:rFonts w:ascii="宋体" w:hAnsi="宋体" w:eastAsia="宋体"/>
                <w:b w:val="0"/>
                <w:i w:val="0"/>
                <w:color w:val="000000"/>
                <w:sz w:val="18"/>
              </w:rPr>
              <w:t xml:space="preserve">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442"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32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tabs>
                <w:tab w:pos="538" w:val="left"/>
              </w:tabs>
              <w:autoSpaceDE w:val="0"/>
              <w:widowControl/>
              <w:spacing w:line="234" w:lineRule="exact" w:before="90" w:after="0"/>
              <w:ind w:left="104" w:right="0" w:firstLine="0"/>
              <w:jc w:val="left"/>
            </w:pPr>
            <w:r>
              <w:rPr>
                <w:rFonts w:ascii="宋体" w:hAnsi="宋体" w:eastAsia="宋体"/>
                <w:b w:val="0"/>
                <w:i w:val="0"/>
                <w:color w:val="000000"/>
                <w:sz w:val="18"/>
              </w:rPr>
              <w:t>会</w:t>
            </w:r>
            <w:r>
              <w:rPr>
                <w:rFonts w:ascii="宋体" w:hAnsi="宋体" w:eastAsia="宋体"/>
                <w:b w:val="0"/>
                <w:i w:val="0"/>
                <w:color w:val="000000"/>
                <w:sz w:val="18"/>
              </w:rPr>
              <w:t>议</w:t>
            </w:r>
            <w:r>
              <w:rPr>
                <w:rFonts w:ascii="宋体" w:hAnsi="宋体" w:eastAsia="宋体"/>
                <w:b w:val="0"/>
                <w:i w:val="0"/>
                <w:color w:val="000000"/>
                <w:sz w:val="18"/>
              </w:rPr>
              <w:t>费、招</w:t>
            </w:r>
            <w:r>
              <w:rPr>
                <w:rFonts w:ascii="宋体" w:hAnsi="宋体" w:eastAsia="宋体"/>
                <w:b w:val="0"/>
                <w:i w:val="0"/>
                <w:color w:val="000000"/>
                <w:sz w:val="18"/>
              </w:rPr>
              <w:t>待费及</w:t>
            </w:r>
            <w:r>
              <w:rPr>
                <w:rFonts w:ascii="宋体" w:hAnsi="宋体" w:eastAsia="宋体"/>
                <w:b w:val="0"/>
                <w:i w:val="0"/>
                <w:color w:val="000000"/>
                <w:sz w:val="18"/>
              </w:rPr>
              <w:t>其他费</w:t>
            </w:r>
            <w:r>
              <w:rPr>
                <w:rFonts w:ascii="宋体" w:hAnsi="宋体" w:eastAsia="宋体"/>
                <w:b w:val="0"/>
                <w:i w:val="0"/>
                <w:color w:val="000000"/>
                <w:sz w:val="18"/>
              </w:rPr>
              <w:t xml:space="preserve">用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2" w:right="102" w:firstLine="0"/>
              <w:jc w:val="both"/>
            </w:pPr>
            <w:r>
              <w:rPr>
                <w:rFonts w:ascii="宋体" w:hAnsi="宋体" w:eastAsia="宋体"/>
                <w:b w:val="0"/>
                <w:i w:val="0"/>
                <w:color w:val="000000"/>
                <w:sz w:val="18"/>
              </w:rPr>
              <w:t>参照国</w:t>
            </w:r>
            <w:r>
              <w:rPr>
                <w:rFonts w:ascii="宋体" w:hAnsi="宋体" w:eastAsia="宋体"/>
                <w:b w:val="0"/>
                <w:i w:val="0"/>
                <w:color w:val="000000"/>
                <w:sz w:val="18"/>
              </w:rPr>
              <w:t>贸大饭</w:t>
            </w:r>
            <w:r>
              <w:rPr>
                <w:rFonts w:ascii="宋体" w:hAnsi="宋体" w:eastAsia="宋体"/>
                <w:b w:val="0"/>
                <w:i w:val="0"/>
                <w:color w:val="000000"/>
                <w:sz w:val="18"/>
              </w:rPr>
              <w:t>店收费</w:t>
            </w:r>
            <w:r>
              <w:rPr>
                <w:rFonts w:ascii="宋体" w:hAnsi="宋体" w:eastAsia="宋体"/>
                <w:b w:val="0"/>
                <w:i w:val="0"/>
                <w:color w:val="000000"/>
                <w:sz w:val="18"/>
              </w:rPr>
              <w:t>标准的</w:t>
            </w:r>
            <w:r>
              <w:rPr>
                <w:rFonts w:ascii="宋体" w:hAnsi="宋体" w:eastAsia="宋体"/>
                <w:b w:val="0"/>
                <w:i w:val="0"/>
                <w:color w:val="000000"/>
                <w:sz w:val="18"/>
              </w:rPr>
              <w:t>最低折</w:t>
            </w:r>
            <w:r>
              <w:rPr>
                <w:rFonts w:ascii="宋体" w:hAnsi="宋体" w:eastAsia="宋体"/>
                <w:b w:val="0"/>
                <w:i w:val="0"/>
                <w:color w:val="000000"/>
                <w:sz w:val="18"/>
              </w:rPr>
              <w:t xml:space="preserve">扣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397.35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0.19%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61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61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02" w:after="0"/>
              <w:ind w:left="0" w:right="0" w:firstLine="0"/>
              <w:jc w:val="center"/>
            </w:pPr>
            <w:r>
              <w:rPr>
                <w:rFonts w:ascii="Times New Roman" w:hAnsi="Times New Roman" w:eastAsia="Times New Roman"/>
                <w:b w:val="0"/>
                <w:i w:val="0"/>
                <w:color w:val="000000"/>
                <w:sz w:val="18"/>
              </w:rPr>
              <w:t xml:space="preserve">- </w:t>
            </w:r>
          </w:p>
        </w:tc>
      </w:tr>
      <w:tr>
        <w:trPr>
          <w:trHeight w:hRule="exact" w:val="1414"/>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24" w:after="0"/>
              <w:ind w:left="106" w:right="100" w:firstLine="0"/>
              <w:jc w:val="both"/>
            </w:pPr>
            <w:r>
              <w:rPr>
                <w:rFonts w:ascii="宋体" w:hAnsi="宋体" w:eastAsia="宋体"/>
                <w:b w:val="0"/>
                <w:i w:val="0"/>
                <w:color w:val="000000"/>
                <w:sz w:val="18"/>
              </w:rPr>
              <w:t>山西国信投</w:t>
            </w:r>
            <w:r>
              <w:rPr>
                <w:rFonts w:ascii="宋体" w:hAnsi="宋体" w:eastAsia="宋体"/>
                <w:b w:val="0"/>
                <w:i w:val="0"/>
                <w:color w:val="000000"/>
                <w:sz w:val="18"/>
              </w:rPr>
              <w:t>资集团有限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44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32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exact" w:before="0" w:after="0"/>
              <w:ind w:left="104" w:right="106" w:firstLine="0"/>
              <w:jc w:val="both"/>
            </w:pPr>
            <w:r>
              <w:rPr>
                <w:rFonts w:ascii="宋体" w:hAnsi="宋体" w:eastAsia="宋体"/>
                <w:b w:val="0"/>
                <w:i w:val="0"/>
                <w:color w:val="000000"/>
                <w:sz w:val="18"/>
              </w:rPr>
              <w:t>房屋租</w:t>
            </w:r>
            <w:r>
              <w:rPr>
                <w:rFonts w:ascii="宋体" w:hAnsi="宋体" w:eastAsia="宋体"/>
                <w:b w:val="0"/>
                <w:i w:val="0"/>
                <w:color w:val="000000"/>
                <w:sz w:val="18"/>
              </w:rPr>
              <w:t>赁、物</w:t>
            </w:r>
            <w:r>
              <w:rPr>
                <w:rFonts w:ascii="宋体" w:hAnsi="宋体" w:eastAsia="宋体"/>
                <w:b w:val="0"/>
                <w:i w:val="0"/>
                <w:color w:val="000000"/>
                <w:sz w:val="18"/>
              </w:rPr>
              <w:t>业管理</w:t>
            </w:r>
            <w:r>
              <w:rPr>
                <w:rFonts w:ascii="宋体" w:hAnsi="宋体" w:eastAsia="宋体"/>
                <w:b w:val="0"/>
                <w:i w:val="0"/>
                <w:color w:val="000000"/>
                <w:sz w:val="18"/>
              </w:rPr>
              <w:t>费及机</w:t>
            </w:r>
            <w:r>
              <w:rPr>
                <w:rFonts w:ascii="宋体" w:hAnsi="宋体" w:eastAsia="宋体"/>
                <w:b w:val="0"/>
                <w:i w:val="0"/>
                <w:color w:val="000000"/>
                <w:sz w:val="18"/>
              </w:rPr>
              <w:t>房托管</w:t>
            </w:r>
            <w:r>
              <w:rPr>
                <w:rFonts w:ascii="宋体" w:hAnsi="宋体" w:eastAsia="宋体"/>
                <w:b w:val="0"/>
                <w:i w:val="0"/>
                <w:color w:val="000000"/>
                <w:sz w:val="18"/>
              </w:rPr>
              <w:t xml:space="preserve">费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44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278.73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0.13%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61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61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602" w:after="0"/>
              <w:ind w:left="0" w:right="0" w:firstLine="0"/>
              <w:jc w:val="center"/>
            </w:pPr>
            <w:r>
              <w:rPr>
                <w:rFonts w:ascii="Times New Roman" w:hAnsi="Times New Roman" w:eastAsia="Times New Roman"/>
                <w:b w:val="0"/>
                <w:i w:val="0"/>
                <w:color w:val="000000"/>
                <w:sz w:val="18"/>
              </w:rPr>
              <w:t xml:space="preserve">- </w:t>
            </w:r>
          </w:p>
        </w:tc>
      </w:tr>
      <w:tr>
        <w:trPr>
          <w:trHeight w:hRule="exact" w:val="1458"/>
        </w:trPr>
        <w:tc>
          <w:tcPr>
            <w:tcW w:type="dxa" w:w="1182"/>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6" w:lineRule="exact" w:before="342" w:after="0"/>
              <w:ind w:left="106" w:right="100" w:firstLine="0"/>
              <w:jc w:val="both"/>
            </w:pPr>
            <w:r>
              <w:rPr>
                <w:rFonts w:ascii="宋体" w:hAnsi="宋体" w:eastAsia="宋体"/>
                <w:b w:val="0"/>
                <w:i w:val="0"/>
                <w:color w:val="000000"/>
                <w:sz w:val="18"/>
              </w:rPr>
              <w:t>山西省国贸</w:t>
            </w:r>
            <w:r>
              <w:rPr>
                <w:rFonts w:ascii="宋体" w:hAnsi="宋体" w:eastAsia="宋体"/>
                <w:b w:val="0"/>
                <w:i w:val="0"/>
                <w:color w:val="000000"/>
                <w:sz w:val="18"/>
              </w:rPr>
              <w:t>投资集团有</w:t>
            </w:r>
            <w:r>
              <w:rPr>
                <w:rFonts w:ascii="宋体" w:hAnsi="宋体" w:eastAsia="宋体"/>
                <w:b w:val="0"/>
                <w:i w:val="0"/>
                <w:color w:val="000000"/>
                <w:sz w:val="18"/>
              </w:rPr>
              <w:t xml:space="preserve">限公司 </w:t>
            </w:r>
          </w:p>
        </w:tc>
        <w:tc>
          <w:tcPr>
            <w:tcW w:type="dxa" w:w="1158"/>
            <w:tcBorders>
              <w:start w:sz="4.0" w:val="single" w:color="#000000"/>
              <w:top w:sz="4.0" w:val="single" w:color="#000000"/>
              <w:end w:sz="4.0" w:val="single" w:color="#000000"/>
              <w:bottom w:sz="3.2000000000007276" w:val="single" w:color="#000000"/>
            </w:tcBorders>
            <w:shd w:fill="ffffff"/>
            <w:tcMar>
              <w:start w:w="0" w:type="dxa"/>
              <w:end w:w="0" w:type="dxa"/>
            </w:tcMar>
          </w:tcPr>
          <w:p>
            <w:pPr>
              <w:autoSpaceDN w:val="0"/>
              <w:autoSpaceDE w:val="0"/>
              <w:widowControl/>
              <w:spacing w:line="234" w:lineRule="exact" w:before="460"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236" w:lineRule="exact" w:before="34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2000000000007276" w:val="single" w:color="#000000"/>
            </w:tcBorders>
            <w:shd w:fill="ffffff"/>
            <w:tcMar>
              <w:start w:w="0" w:type="dxa"/>
              <w:end w:w="0" w:type="dxa"/>
            </w:tcMar>
          </w:tcPr>
          <w:p>
            <w:pPr>
              <w:autoSpaceDN w:val="0"/>
              <w:autoSpaceDE w:val="0"/>
              <w:widowControl/>
              <w:spacing w:line="232" w:lineRule="exact" w:before="0" w:after="0"/>
              <w:ind w:left="104" w:right="106" w:firstLine="0"/>
              <w:jc w:val="both"/>
            </w:pPr>
            <w:r>
              <w:rPr>
                <w:rFonts w:ascii="宋体" w:hAnsi="宋体" w:eastAsia="宋体"/>
                <w:b w:val="0"/>
                <w:i w:val="0"/>
                <w:color w:val="000000"/>
                <w:sz w:val="18"/>
              </w:rPr>
              <w:t>房屋租</w:t>
            </w:r>
            <w:r>
              <w:rPr>
                <w:rFonts w:ascii="宋体" w:hAnsi="宋体" w:eastAsia="宋体"/>
                <w:b w:val="0"/>
                <w:i w:val="0"/>
                <w:color w:val="000000"/>
                <w:sz w:val="18"/>
              </w:rPr>
              <w:t>赁、物</w:t>
            </w:r>
            <w:r>
              <w:rPr>
                <w:rFonts w:ascii="宋体" w:hAnsi="宋体" w:eastAsia="宋体"/>
                <w:b w:val="0"/>
                <w:i w:val="0"/>
                <w:color w:val="000000"/>
                <w:sz w:val="18"/>
              </w:rPr>
              <w:t>业管理</w:t>
            </w:r>
            <w:r>
              <w:rPr>
                <w:rFonts w:ascii="宋体" w:hAnsi="宋体" w:eastAsia="宋体"/>
                <w:b w:val="0"/>
                <w:i w:val="0"/>
                <w:color w:val="000000"/>
                <w:sz w:val="18"/>
              </w:rPr>
              <w:t>费及机</w:t>
            </w:r>
            <w:r>
              <w:rPr>
                <w:rFonts w:ascii="宋体" w:hAnsi="宋体" w:eastAsia="宋体"/>
                <w:b w:val="0"/>
                <w:i w:val="0"/>
                <w:color w:val="000000"/>
                <w:sz w:val="18"/>
              </w:rPr>
              <w:t>房托管</w:t>
            </w:r>
            <w:r>
              <w:rPr>
                <w:rFonts w:ascii="宋体" w:hAnsi="宋体" w:eastAsia="宋体"/>
                <w:b w:val="0"/>
                <w:i w:val="0"/>
                <w:color w:val="000000"/>
                <w:sz w:val="18"/>
              </w:rPr>
              <w:t xml:space="preserve">费 </w:t>
            </w:r>
          </w:p>
        </w:tc>
        <w:tc>
          <w:tcPr>
            <w:tcW w:type="dxa" w:w="81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4" w:lineRule="exact" w:before="46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280.69 </w:t>
            </w:r>
          </w:p>
        </w:tc>
        <w:tc>
          <w:tcPr>
            <w:tcW w:type="dxa" w:w="70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0.14% </w:t>
            </w:r>
          </w:p>
        </w:tc>
        <w:tc>
          <w:tcPr>
            <w:tcW w:type="dxa" w:w="710"/>
            <w:tcBorders>
              <w:start w:sz="4.0"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2000000000007276" w:val="single" w:color="#000000"/>
            </w:tcBorders>
            <w:tcMar>
              <w:start w:w="0" w:type="dxa"/>
              <w:end w:w="0" w:type="dxa"/>
            </w:tcMar>
          </w:tcPr>
          <w:p>
            <w:pPr>
              <w:autoSpaceDN w:val="0"/>
              <w:autoSpaceDE w:val="0"/>
              <w:widowControl/>
              <w:spacing w:line="180" w:lineRule="exact" w:before="63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180" w:lineRule="exact" w:before="63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7276" w:val="single" w:color="#000000"/>
            </w:tcBorders>
            <w:tcMar>
              <w:start w:w="0" w:type="dxa"/>
              <w:end w:w="0" w:type="dxa"/>
            </w:tcMar>
          </w:tcPr>
          <w:p>
            <w:pPr>
              <w:autoSpaceDN w:val="0"/>
              <w:autoSpaceDE w:val="0"/>
              <w:widowControl/>
              <w:spacing w:line="233" w:lineRule="auto" w:before="622" w:after="0"/>
              <w:ind w:left="0" w:right="0" w:firstLine="0"/>
              <w:jc w:val="center"/>
            </w:pPr>
            <w:r>
              <w:rPr>
                <w:rFonts w:ascii="Times New Roman" w:hAnsi="Times New Roman" w:eastAsia="Times New Roman"/>
                <w:b w:val="0"/>
                <w:i w:val="0"/>
                <w:color w:val="000000"/>
                <w:sz w:val="18"/>
              </w:rPr>
              <w:t xml:space="preserve">- </w:t>
            </w:r>
          </w:p>
        </w:tc>
      </w:tr>
      <w:tr>
        <w:trPr>
          <w:trHeight w:hRule="exact" w:val="946"/>
        </w:trPr>
        <w:tc>
          <w:tcPr>
            <w:tcW w:type="dxa" w:w="1182"/>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4" w:lineRule="exact" w:before="90" w:after="0"/>
              <w:ind w:left="106" w:right="100" w:firstLine="0"/>
              <w:jc w:val="both"/>
            </w:pPr>
            <w:r>
              <w:rPr>
                <w:rFonts w:ascii="宋体" w:hAnsi="宋体" w:eastAsia="宋体"/>
                <w:b w:val="0"/>
                <w:i w:val="0"/>
                <w:color w:val="000000"/>
                <w:sz w:val="18"/>
              </w:rPr>
              <w:t>山西国信物</w:t>
            </w:r>
            <w:r>
              <w:rPr>
                <w:rFonts w:ascii="宋体" w:hAnsi="宋体" w:eastAsia="宋体"/>
                <w:b w:val="0"/>
                <w:i w:val="0"/>
                <w:color w:val="000000"/>
                <w:sz w:val="18"/>
              </w:rPr>
              <w:t>业管理服务</w:t>
            </w:r>
            <w:r>
              <w:rPr>
                <w:rFonts w:ascii="宋体" w:hAnsi="宋体" w:eastAsia="宋体"/>
                <w:b w:val="0"/>
                <w:i w:val="0"/>
                <w:color w:val="000000"/>
                <w:sz w:val="18"/>
              </w:rPr>
              <w:t xml:space="preserve">有限公司 </w:t>
            </w:r>
          </w:p>
        </w:tc>
        <w:tc>
          <w:tcPr>
            <w:tcW w:type="dxa" w:w="1158"/>
            <w:tcBorders>
              <w:start w:sz="4.0" w:val="single" w:color="#000000"/>
              <w:top w:sz="3.2000000000007276"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10"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9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2000000000007276" w:val="single" w:color="#000000"/>
              <w:end w:sz="4.0" w:val="single" w:color="#000000"/>
              <w:bottom w:sz="4.0" w:val="single" w:color="#000000"/>
            </w:tcBorders>
            <w:shd w:fill="ffffff"/>
            <w:tcMar>
              <w:start w:w="0" w:type="dxa"/>
              <w:end w:w="0" w:type="dxa"/>
            </w:tcMar>
          </w:tcPr>
          <w:p>
            <w:pPr>
              <w:autoSpaceDN w:val="0"/>
              <w:autoSpaceDE w:val="0"/>
              <w:widowControl/>
              <w:spacing w:line="226" w:lineRule="exact" w:before="0" w:after="0"/>
              <w:ind w:left="104" w:right="106" w:firstLine="0"/>
              <w:jc w:val="both"/>
            </w:pPr>
            <w:r>
              <w:rPr>
                <w:rFonts w:ascii="宋体" w:hAnsi="宋体" w:eastAsia="宋体"/>
                <w:b w:val="0"/>
                <w:i w:val="0"/>
                <w:color w:val="000000"/>
                <w:sz w:val="18"/>
              </w:rPr>
              <w:t>物业管</w:t>
            </w:r>
            <w:r>
              <w:rPr>
                <w:rFonts w:ascii="宋体" w:hAnsi="宋体" w:eastAsia="宋体"/>
                <w:b w:val="0"/>
                <w:i w:val="0"/>
                <w:color w:val="000000"/>
                <w:sz w:val="18"/>
              </w:rPr>
              <w:t>理费及</w:t>
            </w:r>
            <w:r>
              <w:rPr>
                <w:rFonts w:ascii="宋体" w:hAnsi="宋体" w:eastAsia="宋体"/>
                <w:b w:val="0"/>
                <w:i w:val="0"/>
                <w:color w:val="000000"/>
                <w:sz w:val="18"/>
              </w:rPr>
              <w:t>其他支</w:t>
            </w:r>
            <w:r>
              <w:rPr>
                <w:rFonts w:ascii="宋体" w:hAnsi="宋体" w:eastAsia="宋体"/>
                <w:b w:val="0"/>
                <w:i w:val="0"/>
                <w:color w:val="000000"/>
                <w:sz w:val="18"/>
              </w:rPr>
              <w:t xml:space="preserve">出 </w:t>
            </w:r>
          </w:p>
        </w:tc>
        <w:tc>
          <w:tcPr>
            <w:tcW w:type="dxa" w:w="81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2" w:lineRule="exact" w:before="21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205.88 </w:t>
            </w:r>
          </w:p>
        </w:tc>
        <w:tc>
          <w:tcPr>
            <w:tcW w:type="dxa" w:w="70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0.10% </w:t>
            </w:r>
          </w:p>
        </w:tc>
        <w:tc>
          <w:tcPr>
            <w:tcW w:type="dxa" w:w="710"/>
            <w:tcBorders>
              <w:start w:sz="4.0"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2000000000007276"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2000000000007276"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90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66" w:after="0"/>
              <w:ind w:left="106" w:right="100" w:firstLine="0"/>
              <w:jc w:val="both"/>
            </w:pPr>
            <w:r>
              <w:rPr>
                <w:rFonts w:ascii="宋体" w:hAnsi="宋体" w:eastAsia="宋体"/>
                <w:b w:val="0"/>
                <w:i w:val="0"/>
                <w:color w:val="000000"/>
                <w:sz w:val="18"/>
              </w:rPr>
              <w:t>德意志银行</w:t>
            </w:r>
            <w:r>
              <w:rPr>
                <w:rFonts w:ascii="宋体" w:hAnsi="宋体" w:eastAsia="宋体"/>
                <w:b w:val="0"/>
                <w:i w:val="0"/>
                <w:color w:val="000000"/>
                <w:sz w:val="18"/>
              </w:rPr>
              <w:t>（中国）有</w:t>
            </w:r>
            <w:r>
              <w:rPr>
                <w:rFonts w:ascii="宋体" w:hAnsi="宋体" w:eastAsia="宋体"/>
                <w:b w:val="0"/>
                <w:i w:val="0"/>
                <w:color w:val="000000"/>
                <w:sz w:val="18"/>
              </w:rPr>
              <w:t xml:space="preserve">限公司 </w:t>
            </w:r>
          </w:p>
        </w:tc>
        <w:tc>
          <w:tcPr>
            <w:tcW w:type="dxa" w:w="115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66" w:after="0"/>
              <w:ind w:left="104" w:right="146" w:firstLine="0"/>
              <w:jc w:val="both"/>
            </w:pPr>
            <w:r>
              <w:rPr>
                <w:rFonts w:ascii="宋体" w:hAnsi="宋体" w:eastAsia="宋体"/>
                <w:b w:val="0"/>
                <w:i w:val="0"/>
                <w:color w:val="000000"/>
                <w:sz w:val="18"/>
              </w:rPr>
              <w:t>与公司合资</w:t>
            </w:r>
            <w:r>
              <w:rPr>
                <w:rFonts w:ascii="宋体" w:hAnsi="宋体" w:eastAsia="宋体"/>
                <w:b w:val="0"/>
                <w:i w:val="0"/>
                <w:color w:val="000000"/>
                <w:sz w:val="18"/>
              </w:rPr>
              <w:t>设立中德证</w:t>
            </w:r>
            <w:r>
              <w:rPr>
                <w:rFonts w:ascii="宋体" w:hAnsi="宋体" w:eastAsia="宋体"/>
                <w:b w:val="0"/>
                <w:i w:val="0"/>
                <w:color w:val="000000"/>
                <w:sz w:val="18"/>
              </w:rPr>
              <w:t xml:space="preserve">券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6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66" w:after="0"/>
              <w:ind w:left="104" w:right="88" w:firstLine="0"/>
              <w:jc w:val="both"/>
            </w:pPr>
            <w:r>
              <w:rPr>
                <w:rFonts w:ascii="宋体" w:hAnsi="宋体" w:eastAsia="宋体"/>
                <w:b w:val="0"/>
                <w:i w:val="0"/>
                <w:color w:val="000000"/>
                <w:sz w:val="18"/>
              </w:rPr>
              <w:t>电费及</w:t>
            </w:r>
            <w:r>
              <w:rPr>
                <w:rFonts w:ascii="宋体" w:hAnsi="宋体" w:eastAsia="宋体"/>
                <w:b w:val="0"/>
                <w:i w:val="0"/>
                <w:color w:val="000000"/>
                <w:sz w:val="18"/>
              </w:rPr>
              <w:t>其他管</w:t>
            </w:r>
            <w:r>
              <w:rPr>
                <w:rFonts w:ascii="宋体" w:hAnsi="宋体" w:eastAsia="宋体"/>
                <w:b w:val="0"/>
                <w:i w:val="0"/>
                <w:color w:val="000000"/>
                <w:sz w:val="18"/>
              </w:rPr>
              <w:t xml:space="preserve">理费用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18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59.17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0.03%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5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5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44" w:after="0"/>
              <w:ind w:left="0" w:right="0" w:firstLine="0"/>
              <w:jc w:val="center"/>
            </w:pPr>
            <w:r>
              <w:rPr>
                <w:rFonts w:ascii="Times New Roman" w:hAnsi="Times New Roman" w:eastAsia="Times New Roman"/>
                <w:b w:val="0"/>
                <w:i w:val="0"/>
                <w:color w:val="000000"/>
                <w:sz w:val="18"/>
              </w:rPr>
              <w:t xml:space="preserve">- </w:t>
            </w:r>
          </w:p>
        </w:tc>
      </w:tr>
      <w:tr>
        <w:trPr>
          <w:trHeight w:hRule="exact" w:val="1314"/>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8" w:after="0"/>
              <w:ind w:left="106" w:right="100" w:firstLine="0"/>
              <w:jc w:val="both"/>
            </w:pPr>
            <w:r>
              <w:rPr>
                <w:rFonts w:ascii="宋体" w:hAnsi="宋体" w:eastAsia="宋体"/>
                <w:b w:val="0"/>
                <w:i w:val="0"/>
                <w:color w:val="000000"/>
                <w:sz w:val="18"/>
              </w:rPr>
              <w:t>扬州山证启</w:t>
            </w:r>
            <w:r>
              <w:rPr>
                <w:rFonts w:ascii="宋体" w:hAnsi="宋体" w:eastAsia="宋体"/>
                <w:b w:val="0"/>
                <w:i w:val="0"/>
                <w:color w:val="000000"/>
                <w:sz w:val="18"/>
              </w:rPr>
              <w:t>航股权投资</w:t>
            </w:r>
            <w:r>
              <w:rPr>
                <w:rFonts w:ascii="宋体" w:hAnsi="宋体" w:eastAsia="宋体"/>
                <w:b w:val="0"/>
                <w:i w:val="0"/>
                <w:color w:val="000000"/>
                <w:sz w:val="18"/>
              </w:rPr>
              <w:t>合伙企业</w:t>
            </w:r>
            <w:r>
              <w:rPr>
                <w:rFonts w:ascii="宋体" w:hAnsi="宋体" w:eastAsia="宋体"/>
                <w:b w:val="0"/>
                <w:i w:val="0"/>
                <w:color w:val="000000"/>
                <w:sz w:val="18"/>
              </w:rPr>
              <w:t>（有限合</w:t>
            </w:r>
            <w:r>
              <w:rPr>
                <w:rFonts w:ascii="宋体" w:hAnsi="宋体" w:eastAsia="宋体"/>
                <w:b w:val="0"/>
                <w:i w:val="0"/>
                <w:color w:val="000000"/>
                <w:sz w:val="18"/>
              </w:rPr>
              <w:t xml:space="preserve">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74"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7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74"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9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666.04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5.10%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6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6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50" w:after="0"/>
              <w:ind w:left="0" w:right="0" w:firstLine="0"/>
              <w:jc w:val="center"/>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1036" w:after="0"/>
        <w:ind w:left="0" w:right="0" w:firstLine="0"/>
        <w:jc w:val="center"/>
      </w:pPr>
      <w:r>
        <w:rPr>
          <w:rFonts w:ascii="Calibri" w:hAnsi="Calibri" w:eastAsia="Calibri"/>
          <w:b w:val="0"/>
          <w:i w:val="0"/>
          <w:color w:val="000000"/>
          <w:sz w:val="18"/>
        </w:rPr>
        <w:t xml:space="preserve">116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19" name="Picture 11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1176"/>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山西上市倍</w:t>
            </w:r>
            <w:r>
              <w:rPr>
                <w:rFonts w:ascii="宋体" w:hAnsi="宋体" w:eastAsia="宋体"/>
                <w:b w:val="0"/>
                <w:i w:val="0"/>
                <w:color w:val="000000"/>
                <w:sz w:val="18"/>
              </w:rPr>
              <w:t>增私募股权</w:t>
            </w:r>
            <w:r>
              <w:rPr>
                <w:rFonts w:ascii="宋体" w:hAnsi="宋体" w:eastAsia="宋体"/>
                <w:b w:val="0"/>
                <w:i w:val="0"/>
                <w:color w:val="000000"/>
                <w:sz w:val="18"/>
              </w:rPr>
              <w:t>投资基金合</w:t>
            </w:r>
            <w:r>
              <w:rPr>
                <w:rFonts w:ascii="宋体" w:hAnsi="宋体" w:eastAsia="宋体"/>
                <w:b w:val="0"/>
                <w:i w:val="0"/>
                <w:color w:val="000000"/>
                <w:sz w:val="18"/>
              </w:rPr>
              <w:t>伙企业（有</w:t>
            </w:r>
            <w:r>
              <w:rPr>
                <w:rFonts w:ascii="宋体" w:hAnsi="宋体" w:eastAsia="宋体"/>
                <w:b w:val="0"/>
                <w:i w:val="0"/>
                <w:color w:val="000000"/>
                <w:sz w:val="18"/>
              </w:rPr>
              <w:t xml:space="preserve">限合伙） </w:t>
            </w:r>
          </w:p>
        </w:tc>
        <w:tc>
          <w:tcPr>
            <w:tcW w:type="dxa" w:w="1158"/>
            <w:tcBorders>
              <w:start w:sz="4.0" w:val="single" w:color="#000000"/>
              <w:top w:sz="5.600000000000023"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0"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0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20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32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142.08 </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1.09% </w:t>
            </w:r>
          </w:p>
        </w:tc>
        <w:tc>
          <w:tcPr>
            <w:tcW w:type="dxa" w:w="710"/>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48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48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r>
      <w:tr>
        <w:trPr>
          <w:trHeight w:hRule="exact" w:val="1254"/>
        </w:trPr>
        <w:tc>
          <w:tcPr>
            <w:tcW w:type="dxa" w:w="118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4" w:lineRule="exact" w:before="12" w:after="0"/>
              <w:ind w:left="106" w:right="100" w:firstLine="0"/>
              <w:jc w:val="both"/>
            </w:pPr>
            <w:r>
              <w:rPr>
                <w:rFonts w:ascii="宋体" w:hAnsi="宋体" w:eastAsia="宋体"/>
                <w:b w:val="0"/>
                <w:i w:val="0"/>
                <w:color w:val="000000"/>
                <w:sz w:val="18"/>
              </w:rPr>
              <w:t>杭州龙华股</w:t>
            </w:r>
            <w:r>
              <w:rPr>
                <w:rFonts w:ascii="宋体" w:hAnsi="宋体" w:eastAsia="宋体"/>
                <w:b w:val="0"/>
                <w:i w:val="0"/>
                <w:color w:val="000000"/>
                <w:sz w:val="18"/>
              </w:rPr>
              <w:t>融股权投资</w:t>
            </w:r>
            <w:r>
              <w:rPr>
                <w:rFonts w:ascii="宋体" w:hAnsi="宋体" w:eastAsia="宋体"/>
                <w:b w:val="0"/>
                <w:i w:val="0"/>
                <w:color w:val="000000"/>
                <w:sz w:val="18"/>
              </w:rPr>
              <w:t>基金合伙企</w:t>
            </w:r>
            <w:r>
              <w:rPr>
                <w:rFonts w:ascii="宋体" w:hAnsi="宋体" w:eastAsia="宋体"/>
                <w:b w:val="0"/>
                <w:i w:val="0"/>
                <w:color w:val="000000"/>
                <w:sz w:val="18"/>
              </w:rPr>
              <w:t>业（有限合</w:t>
            </w:r>
            <w:r>
              <w:rPr>
                <w:rFonts w:ascii="宋体" w:hAnsi="宋体" w:eastAsia="宋体"/>
                <w:b w:val="0"/>
                <w:i w:val="0"/>
                <w:color w:val="000000"/>
                <w:sz w:val="18"/>
              </w:rPr>
              <w:t xml:space="preserve">伙） </w:t>
            </w:r>
          </w:p>
        </w:tc>
        <w:tc>
          <w:tcPr>
            <w:tcW w:type="dxa" w:w="115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4" w:lineRule="exact" w:before="244"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234" w:lineRule="exact" w:before="24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4" w:lineRule="exact" w:before="244"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2" w:lineRule="exact" w:before="36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94.34 </w:t>
            </w:r>
          </w:p>
        </w:tc>
        <w:tc>
          <w:tcPr>
            <w:tcW w:type="dxa" w:w="70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0.72% </w:t>
            </w:r>
          </w:p>
        </w:tc>
        <w:tc>
          <w:tcPr>
            <w:tcW w:type="dxa" w:w="710"/>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180" w:lineRule="exact" w:before="53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53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524" w:after="0"/>
              <w:ind w:left="0" w:right="0" w:firstLine="0"/>
              <w:jc w:val="center"/>
            </w:pPr>
            <w:r>
              <w:rPr>
                <w:rFonts w:ascii="Times New Roman" w:hAnsi="Times New Roman" w:eastAsia="Times New Roman"/>
                <w:b w:val="0"/>
                <w:i w:val="0"/>
                <w:color w:val="000000"/>
                <w:sz w:val="18"/>
              </w:rPr>
              <w:t xml:space="preserve">- </w:t>
            </w:r>
          </w:p>
        </w:tc>
      </w:tr>
      <w:tr>
        <w:trPr>
          <w:trHeight w:hRule="exact" w:val="1266"/>
        </w:trPr>
        <w:tc>
          <w:tcPr>
            <w:tcW w:type="dxa" w:w="1182"/>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8" w:after="0"/>
              <w:ind w:left="106" w:right="100" w:firstLine="0"/>
              <w:jc w:val="both"/>
            </w:pPr>
            <w:r>
              <w:rPr>
                <w:rFonts w:ascii="宋体" w:hAnsi="宋体" w:eastAsia="宋体"/>
                <w:b w:val="0"/>
                <w:i w:val="0"/>
                <w:color w:val="000000"/>
                <w:sz w:val="18"/>
              </w:rPr>
              <w:t>共青城山证</w:t>
            </w:r>
            <w:r>
              <w:rPr>
                <w:rFonts w:ascii="宋体" w:hAnsi="宋体" w:eastAsia="宋体"/>
                <w:b w:val="0"/>
                <w:i w:val="0"/>
                <w:color w:val="000000"/>
                <w:sz w:val="18"/>
              </w:rPr>
              <w:t>通奥启航股</w:t>
            </w:r>
            <w:r>
              <w:rPr>
                <w:rFonts w:ascii="宋体" w:hAnsi="宋体" w:eastAsia="宋体"/>
                <w:b w:val="0"/>
                <w:i w:val="0"/>
                <w:color w:val="000000"/>
                <w:sz w:val="18"/>
              </w:rPr>
              <w:t>权投资合伙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50"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5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4" w:lineRule="exact" w:before="25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6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56.08 </w:t>
            </w:r>
          </w:p>
        </w:tc>
        <w:tc>
          <w:tcPr>
            <w:tcW w:type="dxa" w:w="70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0.43% </w:t>
            </w:r>
          </w:p>
        </w:tc>
        <w:tc>
          <w:tcPr>
            <w:tcW w:type="dxa" w:w="710"/>
            <w:tcBorders>
              <w:start w:sz="4.0"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2000000000000455"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53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53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3" w:lineRule="auto" w:before="530" w:after="0"/>
              <w:ind w:left="0" w:right="0" w:firstLine="0"/>
              <w:jc w:val="center"/>
            </w:pPr>
            <w:r>
              <w:rPr>
                <w:rFonts w:ascii="Times New Roman" w:hAnsi="Times New Roman" w:eastAsia="Times New Roman"/>
                <w:b w:val="0"/>
                <w:i w:val="0"/>
                <w:color w:val="000000"/>
                <w:sz w:val="18"/>
              </w:rPr>
              <w:t xml:space="preserve">- </w:t>
            </w:r>
          </w:p>
        </w:tc>
      </w:tr>
      <w:tr>
        <w:trPr>
          <w:trHeight w:hRule="exact" w:val="1176"/>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共青城山证</w:t>
            </w:r>
            <w:r>
              <w:rPr>
                <w:rFonts w:ascii="宋体" w:hAnsi="宋体" w:eastAsia="宋体"/>
                <w:b w:val="0"/>
                <w:i w:val="0"/>
                <w:color w:val="000000"/>
                <w:sz w:val="18"/>
              </w:rPr>
              <w:t>通奥启程股</w:t>
            </w:r>
            <w:r>
              <w:rPr>
                <w:rFonts w:ascii="宋体" w:hAnsi="宋体" w:eastAsia="宋体"/>
                <w:b w:val="0"/>
                <w:i w:val="0"/>
                <w:color w:val="000000"/>
                <w:sz w:val="18"/>
              </w:rPr>
              <w:t>权投资合伙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6"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0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06"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31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20.55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0.16%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9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9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2" w:after="0"/>
              <w:ind w:left="0" w:right="0" w:firstLine="0"/>
              <w:jc w:val="center"/>
            </w:pPr>
            <w:r>
              <w:rPr>
                <w:rFonts w:ascii="Times New Roman" w:hAnsi="Times New Roman" w:eastAsia="Times New Roman"/>
                <w:b w:val="0"/>
                <w:i w:val="0"/>
                <w:color w:val="000000"/>
                <w:sz w:val="18"/>
              </w:rPr>
              <w:t xml:space="preserve">- </w:t>
            </w:r>
          </w:p>
        </w:tc>
      </w:tr>
      <w:tr>
        <w:trPr>
          <w:trHeight w:hRule="exact" w:val="1180"/>
        </w:trPr>
        <w:tc>
          <w:tcPr>
            <w:tcW w:type="dxa" w:w="1182"/>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共青城山证</w:t>
            </w:r>
            <w:r>
              <w:rPr>
                <w:rFonts w:ascii="宋体" w:hAnsi="宋体" w:eastAsia="宋体"/>
                <w:b w:val="0"/>
                <w:i w:val="0"/>
                <w:color w:val="000000"/>
                <w:sz w:val="18"/>
              </w:rPr>
              <w:t>绿菱启元股</w:t>
            </w:r>
            <w:r>
              <w:rPr>
                <w:rFonts w:ascii="宋体" w:hAnsi="宋体" w:eastAsia="宋体"/>
                <w:b w:val="0"/>
                <w:i w:val="0"/>
                <w:color w:val="000000"/>
                <w:sz w:val="18"/>
              </w:rPr>
              <w:t>权投资合伙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6"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4" w:lineRule="exact" w:before="20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06"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2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75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0.57% </w:t>
            </w:r>
          </w:p>
        </w:tc>
        <w:tc>
          <w:tcPr>
            <w:tcW w:type="dxa" w:w="710"/>
            <w:tcBorders>
              <w:start w:sz="4.0"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shd w:fill="ffffff"/>
            <w:tcMar>
              <w:start w:w="0" w:type="dxa"/>
              <w:end w:w="0" w:type="dxa"/>
            </w:tcMar>
          </w:tcPr>
          <w:p>
            <w:pPr>
              <w:autoSpaceDN w:val="0"/>
              <w:autoSpaceDE w:val="0"/>
              <w:widowControl/>
              <w:spacing w:line="180" w:lineRule="exact" w:before="49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180" w:lineRule="exact" w:before="49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0" w:lineRule="auto" w:before="486" w:after="0"/>
              <w:ind w:left="0" w:right="0" w:firstLine="0"/>
              <w:jc w:val="center"/>
            </w:pPr>
            <w:r>
              <w:rPr>
                <w:rFonts w:ascii="Times New Roman" w:hAnsi="Times New Roman" w:eastAsia="Times New Roman"/>
                <w:b w:val="0"/>
                <w:i w:val="0"/>
                <w:color w:val="000000"/>
                <w:sz w:val="18"/>
              </w:rPr>
              <w:t xml:space="preserve">- </w:t>
            </w:r>
          </w:p>
        </w:tc>
      </w:tr>
      <w:tr>
        <w:trPr>
          <w:trHeight w:hRule="exact" w:val="1194"/>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exact" w:before="0" w:after="0"/>
              <w:ind w:left="106" w:right="100" w:firstLine="0"/>
              <w:jc w:val="both"/>
            </w:pPr>
            <w:r>
              <w:rPr>
                <w:rFonts w:ascii="宋体" w:hAnsi="宋体" w:eastAsia="宋体"/>
                <w:b w:val="0"/>
                <w:i w:val="0"/>
                <w:color w:val="000000"/>
                <w:sz w:val="18"/>
              </w:rPr>
              <w:t>共青城山证</w:t>
            </w:r>
            <w:r>
              <w:rPr>
                <w:rFonts w:ascii="宋体" w:hAnsi="宋体" w:eastAsia="宋体"/>
                <w:b w:val="0"/>
                <w:i w:val="0"/>
                <w:color w:val="000000"/>
                <w:sz w:val="18"/>
              </w:rPr>
              <w:t>绿菱启明股</w:t>
            </w:r>
            <w:r>
              <w:rPr>
                <w:rFonts w:ascii="宋体" w:hAnsi="宋体" w:eastAsia="宋体"/>
                <w:b w:val="0"/>
                <w:i w:val="0"/>
                <w:color w:val="000000"/>
                <w:sz w:val="18"/>
              </w:rPr>
              <w:t>权投资合伙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12"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1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12"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3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50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0.38%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0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0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492" w:after="0"/>
              <w:ind w:left="0" w:right="0" w:firstLine="0"/>
              <w:jc w:val="center"/>
            </w:pPr>
            <w:r>
              <w:rPr>
                <w:rFonts w:ascii="Times New Roman" w:hAnsi="Times New Roman" w:eastAsia="Times New Roman"/>
                <w:b w:val="0"/>
                <w:i w:val="0"/>
                <w:color w:val="000000"/>
                <w:sz w:val="18"/>
              </w:rPr>
              <w:t xml:space="preserve">- </w:t>
            </w:r>
          </w:p>
        </w:tc>
      </w:tr>
      <w:tr>
        <w:trPr>
          <w:trHeight w:hRule="exact" w:val="141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山西重器智</w:t>
            </w:r>
            <w:r>
              <w:rPr>
                <w:rFonts w:ascii="宋体" w:hAnsi="宋体" w:eastAsia="宋体"/>
                <w:b w:val="0"/>
                <w:i w:val="0"/>
                <w:color w:val="000000"/>
                <w:sz w:val="18"/>
              </w:rPr>
              <w:t>能高端装备</w:t>
            </w:r>
            <w:r>
              <w:rPr>
                <w:rFonts w:ascii="宋体" w:hAnsi="宋体" w:eastAsia="宋体"/>
                <w:b w:val="0"/>
                <w:i w:val="0"/>
                <w:color w:val="000000"/>
                <w:sz w:val="18"/>
              </w:rPr>
              <w:t>私募股权投</w:t>
            </w:r>
            <w:r>
              <w:rPr>
                <w:rFonts w:ascii="宋体" w:hAnsi="宋体" w:eastAsia="宋体"/>
                <w:b w:val="0"/>
                <w:i w:val="0"/>
                <w:color w:val="000000"/>
                <w:sz w:val="18"/>
              </w:rPr>
              <w:t>资基金合伙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20"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32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2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44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37.74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0.29%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60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60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r>
      <w:tr>
        <w:trPr>
          <w:trHeight w:hRule="exact" w:val="1178"/>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山西信创引</w:t>
            </w:r>
            <w:r>
              <w:rPr>
                <w:rFonts w:ascii="宋体" w:hAnsi="宋体" w:eastAsia="宋体"/>
                <w:b w:val="0"/>
                <w:i w:val="0"/>
                <w:color w:val="000000"/>
                <w:sz w:val="18"/>
              </w:rPr>
              <w:t>导私募股权</w:t>
            </w:r>
            <w:r>
              <w:rPr>
                <w:rFonts w:ascii="宋体" w:hAnsi="宋体" w:eastAsia="宋体"/>
                <w:b w:val="0"/>
                <w:i w:val="0"/>
                <w:color w:val="000000"/>
                <w:sz w:val="18"/>
              </w:rPr>
              <w:t>投资基金合</w:t>
            </w:r>
            <w:r>
              <w:rPr>
                <w:rFonts w:ascii="宋体" w:hAnsi="宋体" w:eastAsia="宋体"/>
                <w:b w:val="0"/>
                <w:i w:val="0"/>
                <w:color w:val="000000"/>
                <w:sz w:val="18"/>
              </w:rPr>
              <w:t>伙企业（有</w:t>
            </w:r>
            <w:r>
              <w:rPr>
                <w:rFonts w:ascii="宋体" w:hAnsi="宋体" w:eastAsia="宋体"/>
                <w:b w:val="0"/>
                <w:i w:val="0"/>
                <w:color w:val="000000"/>
                <w:sz w:val="18"/>
              </w:rPr>
              <w:t xml:space="preserve">限合伙）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04"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0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04"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32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12.45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0.10%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49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49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r>
      <w:tr>
        <w:trPr>
          <w:trHeight w:hRule="exact" w:val="95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安徽省芯屏</w:t>
            </w:r>
            <w:r>
              <w:rPr>
                <w:rFonts w:ascii="宋体" w:hAnsi="宋体" w:eastAsia="宋体"/>
                <w:b w:val="0"/>
                <w:i w:val="0"/>
                <w:color w:val="000000"/>
                <w:sz w:val="18"/>
              </w:rPr>
              <w:t>产业基金合</w:t>
            </w:r>
            <w:r>
              <w:rPr>
                <w:rFonts w:ascii="宋体" w:hAnsi="宋体" w:eastAsia="宋体"/>
                <w:b w:val="0"/>
                <w:i w:val="0"/>
                <w:color w:val="000000"/>
                <w:sz w:val="18"/>
              </w:rPr>
              <w:t>伙企业（有</w:t>
            </w:r>
            <w:r>
              <w:rPr>
                <w:rFonts w:ascii="宋体" w:hAnsi="宋体" w:eastAsia="宋体"/>
                <w:b w:val="0"/>
                <w:i w:val="0"/>
                <w:color w:val="000000"/>
                <w:sz w:val="18"/>
              </w:rPr>
              <w:t xml:space="preserve">限合伙） </w:t>
            </w:r>
          </w:p>
        </w:tc>
        <w:tc>
          <w:tcPr>
            <w:tcW w:type="dxa" w:w="115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4" w:after="0"/>
              <w:ind w:left="104" w:right="146"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2" w:lineRule="exact" w:before="9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94"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0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169.03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1.29%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78"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78"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151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2" w:after="0"/>
              <w:ind w:left="106" w:right="100" w:firstLine="0"/>
              <w:jc w:val="both"/>
            </w:pPr>
            <w:r>
              <w:rPr>
                <w:rFonts w:ascii="宋体" w:hAnsi="宋体" w:eastAsia="宋体"/>
                <w:b w:val="0"/>
                <w:i w:val="0"/>
                <w:color w:val="000000"/>
                <w:sz w:val="18"/>
              </w:rPr>
              <w:t>山西省新引</w:t>
            </w:r>
            <w:r>
              <w:rPr>
                <w:rFonts w:ascii="宋体" w:hAnsi="宋体" w:eastAsia="宋体"/>
                <w:b w:val="0"/>
                <w:i w:val="0"/>
                <w:color w:val="000000"/>
                <w:sz w:val="18"/>
              </w:rPr>
              <w:t>擎专业镇产</w:t>
            </w:r>
            <w:r>
              <w:rPr>
                <w:rFonts w:ascii="宋体" w:hAnsi="宋体" w:eastAsia="宋体"/>
                <w:b w:val="0"/>
                <w:i w:val="0"/>
                <w:color w:val="000000"/>
                <w:sz w:val="18"/>
              </w:rPr>
              <w:t>业投资基金</w:t>
            </w:r>
            <w:r>
              <w:rPr>
                <w:rFonts w:ascii="宋体" w:hAnsi="宋体" w:eastAsia="宋体"/>
                <w:b w:val="0"/>
                <w:i w:val="0"/>
                <w:color w:val="000000"/>
                <w:sz w:val="18"/>
              </w:rPr>
              <w:t>合伙企业</w:t>
            </w:r>
            <w:r>
              <w:rPr>
                <w:rFonts w:ascii="宋体" w:hAnsi="宋体" w:eastAsia="宋体"/>
                <w:b w:val="0"/>
                <w:i w:val="0"/>
                <w:color w:val="000000"/>
                <w:sz w:val="18"/>
              </w:rPr>
              <w:t>（有限合</w:t>
            </w:r>
            <w:r>
              <w:rPr>
                <w:rFonts w:ascii="宋体" w:hAnsi="宋体" w:eastAsia="宋体"/>
                <w:b w:val="0"/>
                <w:i w:val="0"/>
                <w:color w:val="000000"/>
                <w:sz w:val="18"/>
              </w:rPr>
              <w:t xml:space="preserve">伙）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72"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37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72"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49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90.56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0.69%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66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66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652" w:after="0"/>
              <w:ind w:left="0" w:right="0" w:firstLine="0"/>
              <w:jc w:val="center"/>
            </w:pPr>
            <w:r>
              <w:rPr>
                <w:rFonts w:ascii="Times New Roman" w:hAnsi="Times New Roman" w:eastAsia="Times New Roman"/>
                <w:b w:val="0"/>
                <w:i w:val="0"/>
                <w:color w:val="000000"/>
                <w:sz w:val="18"/>
              </w:rPr>
              <w:t xml:space="preserve">- </w:t>
            </w:r>
          </w:p>
        </w:tc>
      </w:tr>
      <w:tr>
        <w:trPr>
          <w:trHeight w:hRule="exact" w:val="1410"/>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山东新引擎</w:t>
            </w:r>
            <w:r>
              <w:rPr>
                <w:rFonts w:ascii="宋体" w:hAnsi="宋体" w:eastAsia="宋体"/>
                <w:b w:val="0"/>
                <w:i w:val="0"/>
                <w:color w:val="000000"/>
                <w:sz w:val="18"/>
              </w:rPr>
              <w:t>文化产业股</w:t>
            </w:r>
            <w:r>
              <w:rPr>
                <w:rFonts w:ascii="宋体" w:hAnsi="宋体" w:eastAsia="宋体"/>
                <w:b w:val="0"/>
                <w:i w:val="0"/>
                <w:color w:val="000000"/>
                <w:sz w:val="18"/>
              </w:rPr>
              <w:t>权投资基金</w:t>
            </w:r>
            <w:r>
              <w:rPr>
                <w:rFonts w:ascii="宋体" w:hAnsi="宋体" w:eastAsia="宋体"/>
                <w:b w:val="0"/>
                <w:i w:val="0"/>
                <w:color w:val="000000"/>
                <w:sz w:val="18"/>
              </w:rPr>
              <w:t>合伙企业</w:t>
            </w:r>
            <w:r>
              <w:rPr>
                <w:rFonts w:ascii="宋体" w:hAnsi="宋体" w:eastAsia="宋体"/>
                <w:b w:val="0"/>
                <w:i w:val="0"/>
                <w:color w:val="000000"/>
                <w:sz w:val="18"/>
              </w:rPr>
              <w:t>（有限合</w:t>
            </w:r>
            <w:r>
              <w:rPr>
                <w:rFonts w:ascii="宋体" w:hAnsi="宋体" w:eastAsia="宋体"/>
                <w:b w:val="0"/>
                <w:i w:val="0"/>
                <w:color w:val="000000"/>
                <w:sz w:val="18"/>
              </w:rPr>
              <w:t xml:space="preserve">伙） </w:t>
            </w:r>
          </w:p>
        </w:tc>
        <w:tc>
          <w:tcPr>
            <w:tcW w:type="dxa" w:w="115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20" w:after="0"/>
              <w:ind w:left="104" w:right="146"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32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2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44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119.08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0.91%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61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61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98" w:after="0"/>
              <w:ind w:left="0" w:right="0" w:firstLine="0"/>
              <w:jc w:val="center"/>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424" w:after="0"/>
        <w:ind w:left="0" w:right="0" w:firstLine="0"/>
        <w:jc w:val="center"/>
      </w:pPr>
      <w:r>
        <w:rPr>
          <w:rFonts w:ascii="Calibri" w:hAnsi="Calibri" w:eastAsia="Calibri"/>
          <w:b w:val="0"/>
          <w:i w:val="0"/>
          <w:color w:val="000000"/>
          <w:sz w:val="18"/>
        </w:rPr>
        <w:t xml:space="preserve">117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20" name="Picture 12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1176"/>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28" w:lineRule="exact" w:before="0" w:after="0"/>
              <w:ind w:left="106" w:right="100" w:firstLine="0"/>
              <w:jc w:val="both"/>
            </w:pPr>
            <w:r>
              <w:rPr>
                <w:rFonts w:ascii="宋体" w:hAnsi="宋体" w:eastAsia="宋体"/>
                <w:b w:val="0"/>
                <w:i w:val="0"/>
                <w:color w:val="000000"/>
                <w:sz w:val="18"/>
              </w:rPr>
              <w:t>山西天使股</w:t>
            </w:r>
            <w:r>
              <w:rPr>
                <w:rFonts w:ascii="宋体" w:hAnsi="宋体" w:eastAsia="宋体"/>
                <w:b w:val="0"/>
                <w:i w:val="0"/>
                <w:color w:val="000000"/>
                <w:sz w:val="18"/>
              </w:rPr>
              <w:t>权投资基金</w:t>
            </w:r>
            <w:r>
              <w:rPr>
                <w:rFonts w:ascii="宋体" w:hAnsi="宋体" w:eastAsia="宋体"/>
                <w:b w:val="0"/>
                <w:i w:val="0"/>
                <w:color w:val="000000"/>
                <w:sz w:val="18"/>
              </w:rPr>
              <w:t>合伙企业</w:t>
            </w:r>
            <w:r>
              <w:rPr>
                <w:rFonts w:ascii="宋体" w:hAnsi="宋体" w:eastAsia="宋体"/>
                <w:b w:val="0"/>
                <w:i w:val="0"/>
                <w:color w:val="000000"/>
                <w:sz w:val="18"/>
              </w:rPr>
              <w:t>（有限合</w:t>
            </w:r>
            <w:r>
              <w:rPr>
                <w:rFonts w:ascii="宋体" w:hAnsi="宋体" w:eastAsia="宋体"/>
                <w:b w:val="0"/>
                <w:i w:val="0"/>
                <w:color w:val="000000"/>
                <w:sz w:val="18"/>
              </w:rPr>
              <w:t xml:space="preserve">伙） </w:t>
            </w:r>
          </w:p>
        </w:tc>
        <w:tc>
          <w:tcPr>
            <w:tcW w:type="dxa" w:w="115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200" w:after="0"/>
              <w:ind w:left="104" w:right="146"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0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4" w:lineRule="exact" w:before="20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320"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3.31 </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0.03% </w:t>
            </w:r>
          </w:p>
        </w:tc>
        <w:tc>
          <w:tcPr>
            <w:tcW w:type="dxa" w:w="710"/>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48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48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47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482" w:after="0"/>
              <w:ind w:left="0" w:right="0" w:firstLine="0"/>
              <w:jc w:val="center"/>
            </w:pPr>
            <w:r>
              <w:rPr>
                <w:rFonts w:ascii="Times New Roman" w:hAnsi="Times New Roman" w:eastAsia="Times New Roman"/>
                <w:b w:val="0"/>
                <w:i w:val="0"/>
                <w:color w:val="000000"/>
                <w:sz w:val="18"/>
              </w:rPr>
              <w:t xml:space="preserve">- </w:t>
            </w:r>
          </w:p>
        </w:tc>
      </w:tr>
      <w:tr>
        <w:trPr>
          <w:trHeight w:hRule="exact" w:val="942"/>
        </w:trPr>
        <w:tc>
          <w:tcPr>
            <w:tcW w:type="dxa" w:w="1182"/>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26" w:lineRule="exact" w:before="0" w:after="0"/>
              <w:ind w:left="106" w:right="100" w:firstLine="0"/>
              <w:jc w:val="both"/>
            </w:pPr>
            <w:r>
              <w:rPr>
                <w:rFonts w:ascii="宋体" w:hAnsi="宋体" w:eastAsia="宋体"/>
                <w:b w:val="0"/>
                <w:i w:val="0"/>
                <w:color w:val="000000"/>
                <w:sz w:val="18"/>
              </w:rPr>
              <w:t>山西交通产</w:t>
            </w:r>
            <w:r>
              <w:rPr>
                <w:rFonts w:ascii="宋体" w:hAnsi="宋体" w:eastAsia="宋体"/>
                <w:b w:val="0"/>
                <w:i w:val="0"/>
                <w:color w:val="000000"/>
                <w:sz w:val="18"/>
              </w:rPr>
              <w:t>业基金合伙</w:t>
            </w:r>
            <w:r>
              <w:rPr>
                <w:rFonts w:ascii="宋体" w:hAnsi="宋体" w:eastAsia="宋体"/>
                <w:b w:val="0"/>
                <w:i w:val="0"/>
                <w:color w:val="000000"/>
                <w:sz w:val="18"/>
              </w:rPr>
              <w:t>企业( 有限</w:t>
            </w:r>
            <w:r>
              <w:rPr>
                <w:rFonts w:ascii="宋体" w:hAnsi="宋体" w:eastAsia="宋体"/>
                <w:b w:val="0"/>
                <w:i w:val="0"/>
                <w:color w:val="000000"/>
                <w:sz w:val="18"/>
              </w:rPr>
              <w:t xml:space="preserve">合伙) </w:t>
            </w:r>
          </w:p>
        </w:tc>
        <w:tc>
          <w:tcPr>
            <w:tcW w:type="dxa" w:w="1158"/>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4" w:lineRule="exact" w:before="88"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234" w:lineRule="exact" w:before="8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4" w:lineRule="exact" w:before="88"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2" w:lineRule="exact" w:before="20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2.6 </w:t>
            </w:r>
          </w:p>
        </w:tc>
        <w:tc>
          <w:tcPr>
            <w:tcW w:type="dxa" w:w="70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0.02% </w:t>
            </w:r>
          </w:p>
        </w:tc>
        <w:tc>
          <w:tcPr>
            <w:tcW w:type="dxa" w:w="710"/>
            <w:tcBorders>
              <w:start w:sz="4.0"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2000000000000455" w:val="single" w:color="#000000"/>
            </w:tcBorders>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0455"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r>
      <w:tr>
        <w:trPr>
          <w:trHeight w:hRule="exact" w:val="1302"/>
        </w:trPr>
        <w:tc>
          <w:tcPr>
            <w:tcW w:type="dxa" w:w="118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4" w:lineRule="exact" w:before="34" w:after="0"/>
              <w:ind w:left="106" w:right="100" w:firstLine="0"/>
              <w:jc w:val="both"/>
            </w:pPr>
            <w:r>
              <w:rPr>
                <w:rFonts w:ascii="宋体" w:hAnsi="宋体" w:eastAsia="宋体"/>
                <w:b w:val="0"/>
                <w:i w:val="0"/>
                <w:color w:val="000000"/>
                <w:sz w:val="18"/>
              </w:rPr>
              <w:t>山西太行煤</w:t>
            </w:r>
            <w:r>
              <w:rPr>
                <w:rFonts w:ascii="宋体" w:hAnsi="宋体" w:eastAsia="宋体"/>
                <w:b w:val="0"/>
                <w:i w:val="0"/>
                <w:color w:val="000000"/>
                <w:sz w:val="18"/>
              </w:rPr>
              <w:t>成气产业投</w:t>
            </w:r>
            <w:r>
              <w:rPr>
                <w:rFonts w:ascii="宋体" w:hAnsi="宋体" w:eastAsia="宋体"/>
                <w:b w:val="0"/>
                <w:i w:val="0"/>
                <w:color w:val="000000"/>
                <w:sz w:val="18"/>
              </w:rPr>
              <w:t>资基金合伙</w:t>
            </w:r>
            <w:r>
              <w:rPr>
                <w:rFonts w:ascii="宋体" w:hAnsi="宋体" w:eastAsia="宋体"/>
                <w:b w:val="0"/>
                <w:i w:val="0"/>
                <w:color w:val="000000"/>
                <w:sz w:val="18"/>
              </w:rPr>
              <w:t>企业（有限</w:t>
            </w:r>
            <w:r>
              <w:rPr>
                <w:rFonts w:ascii="宋体" w:hAnsi="宋体" w:eastAsia="宋体"/>
                <w:b w:val="0"/>
                <w:i w:val="0"/>
                <w:color w:val="000000"/>
                <w:sz w:val="18"/>
              </w:rPr>
              <w:t xml:space="preserve">合伙） </w:t>
            </w:r>
          </w:p>
        </w:tc>
        <w:tc>
          <w:tcPr>
            <w:tcW w:type="dxa" w:w="1158"/>
            <w:tcBorders>
              <w:start w:sz="4.0" w:val="single" w:color="#000000"/>
              <w:top w:sz="3.2000000000000455"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270" w:after="0"/>
              <w:ind w:left="104" w:right="102" w:firstLine="0"/>
              <w:jc w:val="both"/>
            </w:pPr>
            <w:r>
              <w:rPr>
                <w:rFonts w:ascii="宋体" w:hAnsi="宋体" w:eastAsia="宋体"/>
                <w:b w:val="0"/>
                <w:i w:val="0"/>
                <w:color w:val="000000"/>
                <w:sz w:val="18"/>
              </w:rPr>
              <w:t>公司高管担</w:t>
            </w:r>
            <w:r>
              <w:rPr>
                <w:rFonts w:ascii="宋体" w:hAnsi="宋体" w:eastAsia="宋体"/>
                <w:b w:val="0"/>
                <w:i w:val="0"/>
                <w:color w:val="000000"/>
                <w:sz w:val="18"/>
              </w:rPr>
              <w:t>任投决委委</w:t>
            </w:r>
            <w:r>
              <w:rPr>
                <w:rFonts w:ascii="宋体" w:hAnsi="宋体" w:eastAsia="宋体"/>
                <w:b w:val="0"/>
                <w:i w:val="0"/>
                <w:color w:val="000000"/>
                <w:sz w:val="18"/>
              </w:rPr>
              <w:t xml:space="preserve">员 </w:t>
            </w:r>
          </w:p>
        </w:tc>
        <w:tc>
          <w:tcPr>
            <w:tcW w:type="dxa" w:w="822"/>
            <w:tcBorders>
              <w:start w:sz="4.0" w:val="single" w:color="#000000"/>
              <w:top w:sz="3.2000000000000455"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7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4" w:lineRule="exact" w:before="270" w:after="0"/>
              <w:ind w:left="104" w:right="106" w:firstLine="0"/>
              <w:jc w:val="both"/>
            </w:pPr>
            <w:r>
              <w:rPr>
                <w:rFonts w:ascii="宋体" w:hAnsi="宋体" w:eastAsia="宋体"/>
                <w:b w:val="0"/>
                <w:i w:val="0"/>
                <w:color w:val="000000"/>
                <w:sz w:val="18"/>
              </w:rPr>
              <w:t>基金管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4" w:lineRule="exact" w:before="38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0.08 </w:t>
            </w:r>
          </w:p>
        </w:tc>
        <w:tc>
          <w:tcPr>
            <w:tcW w:type="dxa" w:w="70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2000000000000455"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2000000000000455"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0" w:lineRule="exact" w:before="55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r>
      <w:tr>
        <w:trPr>
          <w:trHeight w:hRule="exact" w:val="1302"/>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64" w:after="0"/>
              <w:ind w:left="106" w:right="100" w:firstLine="0"/>
              <w:jc w:val="both"/>
            </w:pPr>
            <w:r>
              <w:rPr>
                <w:rFonts w:ascii="宋体" w:hAnsi="宋体" w:eastAsia="宋体"/>
                <w:b w:val="0"/>
                <w:i w:val="0"/>
                <w:color w:val="000000"/>
                <w:sz w:val="18"/>
              </w:rPr>
              <w:t>山西金控资</w:t>
            </w:r>
            <w:r>
              <w:rPr>
                <w:rFonts w:ascii="宋体" w:hAnsi="宋体" w:eastAsia="宋体"/>
                <w:b w:val="0"/>
                <w:i w:val="0"/>
                <w:color w:val="000000"/>
                <w:sz w:val="18"/>
              </w:rPr>
              <w:t>本管理有限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82"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6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64" w:after="0"/>
              <w:ind w:left="104" w:right="106" w:firstLine="0"/>
              <w:jc w:val="both"/>
            </w:pPr>
            <w:r>
              <w:rPr>
                <w:rFonts w:ascii="宋体" w:hAnsi="宋体" w:eastAsia="宋体"/>
                <w:b w:val="0"/>
                <w:i w:val="0"/>
                <w:color w:val="000000"/>
                <w:sz w:val="18"/>
              </w:rPr>
              <w:t>资产管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8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80.87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0.49%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5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r>
      <w:tr>
        <w:trPr>
          <w:trHeight w:hRule="exact" w:val="1298"/>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268" w:after="0"/>
              <w:ind w:left="106" w:right="100" w:firstLine="0"/>
              <w:jc w:val="both"/>
            </w:pPr>
            <w:r>
              <w:rPr>
                <w:rFonts w:ascii="宋体" w:hAnsi="宋体" w:eastAsia="宋体"/>
                <w:b w:val="0"/>
                <w:i w:val="0"/>
                <w:color w:val="000000"/>
                <w:sz w:val="18"/>
              </w:rPr>
              <w:t>山西股权交</w:t>
            </w:r>
            <w:r>
              <w:rPr>
                <w:rFonts w:ascii="宋体" w:hAnsi="宋体" w:eastAsia="宋体"/>
                <w:b w:val="0"/>
                <w:i w:val="0"/>
                <w:color w:val="000000"/>
                <w:sz w:val="18"/>
              </w:rPr>
              <w:t>易中心有限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6" w:lineRule="exact" w:before="378"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2" w:lineRule="exact" w:before="26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268" w:after="0"/>
              <w:ind w:left="104" w:right="106" w:firstLine="0"/>
              <w:jc w:val="both"/>
            </w:pPr>
            <w:r>
              <w:rPr>
                <w:rFonts w:ascii="宋体" w:hAnsi="宋体" w:eastAsia="宋体"/>
                <w:b w:val="0"/>
                <w:i w:val="0"/>
                <w:color w:val="000000"/>
                <w:sz w:val="18"/>
              </w:rPr>
              <w:t>资产管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6" w:lineRule="exact" w:before="378"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73.26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0.44%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2"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52"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544" w:after="0"/>
              <w:ind w:left="0" w:right="0" w:firstLine="0"/>
              <w:jc w:val="center"/>
            </w:pPr>
            <w:r>
              <w:rPr>
                <w:rFonts w:ascii="Times New Roman" w:hAnsi="Times New Roman" w:eastAsia="Times New Roman"/>
                <w:b w:val="0"/>
                <w:i w:val="0"/>
                <w:color w:val="000000"/>
                <w:sz w:val="18"/>
              </w:rPr>
              <w:t xml:space="preserve">- </w:t>
            </w:r>
          </w:p>
        </w:tc>
      </w:tr>
      <w:tr>
        <w:trPr>
          <w:trHeight w:hRule="exact" w:val="1300"/>
        </w:trPr>
        <w:tc>
          <w:tcPr>
            <w:tcW w:type="dxa" w:w="118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4" w:lineRule="exact" w:before="150" w:after="0"/>
              <w:ind w:left="106" w:right="100" w:firstLine="0"/>
              <w:jc w:val="both"/>
            </w:pPr>
            <w:r>
              <w:rPr>
                <w:rFonts w:ascii="宋体" w:hAnsi="宋体" w:eastAsia="宋体"/>
                <w:b w:val="0"/>
                <w:i w:val="0"/>
                <w:color w:val="000000"/>
                <w:sz w:val="18"/>
              </w:rPr>
              <w:t>山西晋兴资</w:t>
            </w:r>
            <w:r>
              <w:rPr>
                <w:rFonts w:ascii="宋体" w:hAnsi="宋体" w:eastAsia="宋体"/>
                <w:b w:val="0"/>
                <w:i w:val="0"/>
                <w:color w:val="000000"/>
                <w:sz w:val="18"/>
              </w:rPr>
              <w:t>本信用发展</w:t>
            </w:r>
            <w:r>
              <w:rPr>
                <w:rFonts w:ascii="宋体" w:hAnsi="宋体" w:eastAsia="宋体"/>
                <w:b w:val="0"/>
                <w:i w:val="0"/>
                <w:color w:val="000000"/>
                <w:sz w:val="18"/>
              </w:rPr>
              <w:t>服务有限公</w:t>
            </w:r>
            <w:r>
              <w:rPr>
                <w:rFonts w:ascii="宋体" w:hAnsi="宋体" w:eastAsia="宋体"/>
                <w:b w:val="0"/>
                <w:i w:val="0"/>
                <w:color w:val="000000"/>
                <w:sz w:val="18"/>
              </w:rPr>
              <w:t xml:space="preserve">司 </w:t>
            </w:r>
          </w:p>
        </w:tc>
        <w:tc>
          <w:tcPr>
            <w:tcW w:type="dxa" w:w="1158"/>
            <w:tcBorders>
              <w:start w:sz="4.0" w:val="single" w:color="#000000"/>
              <w:top w:sz="4.0" w:val="single" w:color="#000000"/>
              <w:end w:sz="4.0" w:val="single" w:color="#000000"/>
              <w:bottom w:sz="3.199999999999818" w:val="single" w:color="#000000"/>
            </w:tcBorders>
            <w:shd w:fill="ffffff"/>
            <w:tcMar>
              <w:start w:w="0" w:type="dxa"/>
              <w:end w:w="0" w:type="dxa"/>
            </w:tcMar>
          </w:tcPr>
          <w:p>
            <w:pPr>
              <w:autoSpaceDN w:val="0"/>
              <w:autoSpaceDE w:val="0"/>
              <w:widowControl/>
              <w:spacing w:line="232" w:lineRule="exact" w:before="38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232" w:lineRule="exact" w:before="26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2" w:lineRule="exact" w:before="268" w:after="0"/>
              <w:ind w:left="104" w:right="106" w:firstLine="0"/>
              <w:jc w:val="both"/>
            </w:pPr>
            <w:r>
              <w:rPr>
                <w:rFonts w:ascii="宋体" w:hAnsi="宋体" w:eastAsia="宋体"/>
                <w:b w:val="0"/>
                <w:i w:val="0"/>
                <w:color w:val="000000"/>
                <w:sz w:val="18"/>
              </w:rPr>
              <w:t>资产管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2" w:lineRule="exact" w:before="38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2.74 </w:t>
            </w:r>
          </w:p>
        </w:tc>
        <w:tc>
          <w:tcPr>
            <w:tcW w:type="dxa" w:w="70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0.02% </w:t>
            </w:r>
          </w:p>
        </w:tc>
        <w:tc>
          <w:tcPr>
            <w:tcW w:type="dxa" w:w="710"/>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0" w:lineRule="exact" w:before="55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55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230" w:lineRule="auto" w:before="544" w:after="0"/>
              <w:ind w:left="0" w:right="0" w:firstLine="0"/>
              <w:jc w:val="center"/>
            </w:pPr>
            <w:r>
              <w:rPr>
                <w:rFonts w:ascii="Times New Roman" w:hAnsi="Times New Roman" w:eastAsia="Times New Roman"/>
                <w:b w:val="0"/>
                <w:i w:val="0"/>
                <w:color w:val="000000"/>
                <w:sz w:val="18"/>
              </w:rPr>
              <w:t xml:space="preserve">- </w:t>
            </w:r>
          </w:p>
        </w:tc>
      </w:tr>
      <w:tr>
        <w:trPr>
          <w:trHeight w:hRule="exact" w:val="1302"/>
        </w:trPr>
        <w:tc>
          <w:tcPr>
            <w:tcW w:type="dxa" w:w="118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4" w:lineRule="exact" w:before="268" w:after="0"/>
              <w:ind w:left="106" w:right="100" w:firstLine="0"/>
              <w:jc w:val="both"/>
            </w:pPr>
            <w:r>
              <w:rPr>
                <w:rFonts w:ascii="宋体" w:hAnsi="宋体" w:eastAsia="宋体"/>
                <w:b w:val="0"/>
                <w:i w:val="0"/>
                <w:color w:val="000000"/>
                <w:sz w:val="18"/>
              </w:rPr>
              <w:t>山西国信物</w:t>
            </w:r>
            <w:r>
              <w:rPr>
                <w:rFonts w:ascii="宋体" w:hAnsi="宋体" w:eastAsia="宋体"/>
                <w:b w:val="0"/>
                <w:i w:val="0"/>
                <w:color w:val="000000"/>
                <w:sz w:val="18"/>
              </w:rPr>
              <w:t>业管理服务</w:t>
            </w:r>
            <w:r>
              <w:rPr>
                <w:rFonts w:ascii="宋体" w:hAnsi="宋体" w:eastAsia="宋体"/>
                <w:b w:val="0"/>
                <w:i w:val="0"/>
                <w:color w:val="000000"/>
                <w:sz w:val="18"/>
              </w:rPr>
              <w:t xml:space="preserve">有限公司 </w:t>
            </w:r>
          </w:p>
        </w:tc>
        <w:tc>
          <w:tcPr>
            <w:tcW w:type="dxa" w:w="1158"/>
            <w:tcBorders>
              <w:start w:sz="4.0" w:val="single" w:color="#000000"/>
              <w:top w:sz="3.199999999999818"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8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间接控制 </w:t>
            </w:r>
          </w:p>
        </w:tc>
        <w:tc>
          <w:tcPr>
            <w:tcW w:type="dxa" w:w="82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26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4" w:lineRule="exact" w:before="268" w:after="0"/>
              <w:ind w:left="104" w:right="106" w:firstLine="0"/>
              <w:jc w:val="both"/>
            </w:pPr>
            <w:r>
              <w:rPr>
                <w:rFonts w:ascii="宋体" w:hAnsi="宋体" w:eastAsia="宋体"/>
                <w:b w:val="0"/>
                <w:i w:val="0"/>
                <w:color w:val="000000"/>
                <w:sz w:val="18"/>
              </w:rPr>
              <w:t>资产管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4" w:lineRule="exact" w:before="38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2.02 </w:t>
            </w:r>
          </w:p>
        </w:tc>
        <w:tc>
          <w:tcPr>
            <w:tcW w:type="dxa" w:w="70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55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33" w:lineRule="auto" w:before="546" w:after="0"/>
              <w:ind w:left="0" w:right="0" w:firstLine="0"/>
              <w:jc w:val="center"/>
            </w:pPr>
            <w:r>
              <w:rPr>
                <w:rFonts w:ascii="Times New Roman" w:hAnsi="Times New Roman" w:eastAsia="Times New Roman"/>
                <w:b w:val="0"/>
                <w:i w:val="0"/>
                <w:color w:val="000000"/>
                <w:sz w:val="18"/>
              </w:rPr>
              <w:t xml:space="preserve">- </w:t>
            </w:r>
          </w:p>
        </w:tc>
      </w:tr>
      <w:tr>
        <w:trPr>
          <w:trHeight w:hRule="exact" w:val="1298"/>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82" w:after="0"/>
              <w:ind w:left="0" w:right="0" w:firstLine="0"/>
              <w:jc w:val="center"/>
            </w:pPr>
            <w:r>
              <w:rPr>
                <w:rFonts w:ascii="宋体" w:hAnsi="宋体" w:eastAsia="宋体"/>
                <w:b w:val="0"/>
                <w:i w:val="0"/>
                <w:color w:val="000000"/>
                <w:sz w:val="18"/>
              </w:rPr>
              <w:t>山西信托股</w:t>
            </w:r>
            <w:r>
              <w:rPr>
                <w:rFonts w:ascii="宋体" w:hAnsi="宋体" w:eastAsia="宋体"/>
                <w:b w:val="0"/>
                <w:i w:val="0"/>
                <w:color w:val="000000"/>
                <w:sz w:val="18"/>
              </w:rPr>
              <w:t xml:space="preserve">份有限公司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82"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2" w:lineRule="exact" w:before="268"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268" w:after="0"/>
              <w:ind w:left="104" w:right="106" w:firstLine="0"/>
              <w:jc w:val="both"/>
            </w:pPr>
            <w:r>
              <w:rPr>
                <w:rFonts w:ascii="宋体" w:hAnsi="宋体" w:eastAsia="宋体"/>
                <w:b w:val="0"/>
                <w:i w:val="0"/>
                <w:color w:val="000000"/>
                <w:sz w:val="18"/>
              </w:rPr>
              <w:t>资产管</w:t>
            </w:r>
            <w:r>
              <w:rPr>
                <w:rFonts w:ascii="宋体" w:hAnsi="宋体" w:eastAsia="宋体"/>
                <w:b w:val="0"/>
                <w:i w:val="0"/>
                <w:color w:val="000000"/>
                <w:sz w:val="18"/>
              </w:rPr>
              <w:t>理费收</w:t>
            </w:r>
            <w:r>
              <w:rPr>
                <w:rFonts w:ascii="宋体" w:hAnsi="宋体" w:eastAsia="宋体"/>
                <w:b w:val="0"/>
                <w:i w:val="0"/>
                <w:color w:val="000000"/>
                <w:sz w:val="18"/>
              </w:rPr>
              <w:t xml:space="preserve">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82"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1.94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4"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54"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r>
      <w:tr>
        <w:trPr>
          <w:trHeight w:hRule="exact" w:val="1302"/>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152" w:after="0"/>
              <w:ind w:left="106" w:right="100" w:firstLine="0"/>
              <w:jc w:val="both"/>
            </w:pPr>
            <w:r>
              <w:rPr>
                <w:rFonts w:ascii="宋体" w:hAnsi="宋体" w:eastAsia="宋体"/>
                <w:b w:val="0"/>
                <w:i w:val="0"/>
                <w:color w:val="000000"/>
                <w:sz w:val="18"/>
              </w:rPr>
              <w:t>中煤财产保</w:t>
            </w:r>
            <w:r>
              <w:rPr>
                <w:rFonts w:ascii="宋体" w:hAnsi="宋体" w:eastAsia="宋体"/>
                <w:b w:val="0"/>
                <w:i w:val="0"/>
                <w:color w:val="000000"/>
                <w:sz w:val="18"/>
              </w:rPr>
              <w:t>险股份有限</w:t>
            </w:r>
            <w:r>
              <w:rPr>
                <w:rFonts w:ascii="宋体" w:hAnsi="宋体" w:eastAsia="宋体"/>
                <w:b w:val="0"/>
                <w:i w:val="0"/>
                <w:color w:val="000000"/>
                <w:sz w:val="18"/>
              </w:rPr>
              <w:t>公司（山西</w:t>
            </w:r>
            <w:r>
              <w:rPr>
                <w:rFonts w:ascii="宋体" w:hAnsi="宋体" w:eastAsia="宋体"/>
                <w:b w:val="0"/>
                <w:i w:val="0"/>
                <w:color w:val="000000"/>
                <w:sz w:val="18"/>
              </w:rPr>
              <w:t xml:space="preserve">分公司）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38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2" w:lineRule="exact" w:before="272"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tabs>
                <w:tab w:pos="538" w:val="left"/>
              </w:tabs>
              <w:autoSpaceDE w:val="0"/>
              <w:widowControl/>
              <w:spacing w:line="234" w:lineRule="exact" w:before="152" w:after="0"/>
              <w:ind w:left="104" w:right="0" w:firstLine="0"/>
              <w:jc w:val="left"/>
            </w:pPr>
            <w:r>
              <w:rPr>
                <w:rFonts w:ascii="宋体" w:hAnsi="宋体" w:eastAsia="宋体"/>
                <w:b w:val="0"/>
                <w:i w:val="0"/>
                <w:color w:val="000000"/>
                <w:sz w:val="18"/>
              </w:rPr>
              <w:t>购买金</w:t>
            </w:r>
            <w:r>
              <w:rPr>
                <w:rFonts w:ascii="宋体" w:hAnsi="宋体" w:eastAsia="宋体"/>
                <w:b w:val="0"/>
                <w:i w:val="0"/>
                <w:color w:val="000000"/>
                <w:sz w:val="18"/>
              </w:rPr>
              <w:t>融</w:t>
            </w:r>
            <w:r>
              <w:rPr>
                <w:rFonts w:ascii="宋体" w:hAnsi="宋体" w:eastAsia="宋体"/>
                <w:b w:val="0"/>
                <w:i w:val="0"/>
                <w:color w:val="000000"/>
                <w:sz w:val="18"/>
              </w:rPr>
              <w:t>产</w:t>
            </w:r>
            <w:r>
              <w:rPr>
                <w:rFonts w:ascii="宋体" w:hAnsi="宋体" w:eastAsia="宋体"/>
                <w:b w:val="0"/>
                <w:i w:val="0"/>
                <w:color w:val="000000"/>
                <w:sz w:val="18"/>
              </w:rPr>
              <w:t>品、资</w:t>
            </w:r>
            <w:r>
              <w:rPr>
                <w:rFonts w:ascii="宋体" w:hAnsi="宋体" w:eastAsia="宋体"/>
                <w:b w:val="0"/>
                <w:i w:val="0"/>
                <w:color w:val="000000"/>
                <w:sz w:val="18"/>
              </w:rPr>
              <w:t xml:space="preserve">产等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38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12.87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0.00%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55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55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546" w:after="0"/>
              <w:ind w:left="0" w:right="0" w:firstLine="0"/>
              <w:jc w:val="center"/>
            </w:pPr>
            <w:r>
              <w:rPr>
                <w:rFonts w:ascii="Times New Roman" w:hAnsi="Times New Roman" w:eastAsia="Times New Roman"/>
                <w:b w:val="0"/>
                <w:i w:val="0"/>
                <w:color w:val="000000"/>
                <w:sz w:val="18"/>
              </w:rPr>
              <w:t xml:space="preserve">- </w:t>
            </w:r>
          </w:p>
        </w:tc>
      </w:tr>
      <w:tr>
        <w:trPr>
          <w:trHeight w:hRule="exact" w:val="864"/>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50" w:after="0"/>
              <w:ind w:left="106" w:right="100" w:firstLine="0"/>
              <w:jc w:val="both"/>
            </w:pPr>
            <w:r>
              <w:rPr>
                <w:rFonts w:ascii="宋体" w:hAnsi="宋体" w:eastAsia="宋体"/>
                <w:b w:val="0"/>
                <w:i w:val="0"/>
                <w:color w:val="000000"/>
                <w:sz w:val="18"/>
              </w:rPr>
              <w:t>中煤财产保</w:t>
            </w:r>
            <w:r>
              <w:rPr>
                <w:rFonts w:ascii="宋体" w:hAnsi="宋体" w:eastAsia="宋体"/>
                <w:b w:val="0"/>
                <w:i w:val="0"/>
                <w:color w:val="000000"/>
                <w:sz w:val="18"/>
              </w:rPr>
              <w:t>险股份有限</w:t>
            </w:r>
            <w:r>
              <w:rPr>
                <w:rFonts w:ascii="宋体" w:hAnsi="宋体" w:eastAsia="宋体"/>
                <w:b w:val="0"/>
                <w:i w:val="0"/>
                <w:color w:val="000000"/>
                <w:sz w:val="18"/>
              </w:rPr>
              <w:t xml:space="preserve">公司 </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4" w:lineRule="exact" w:before="164"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50"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50" w:after="0"/>
              <w:ind w:left="104" w:right="106" w:firstLine="0"/>
              <w:jc w:val="both"/>
            </w:pPr>
            <w:r>
              <w:rPr>
                <w:rFonts w:ascii="宋体" w:hAnsi="宋体" w:eastAsia="宋体"/>
                <w:b w:val="0"/>
                <w:i w:val="0"/>
                <w:color w:val="000000"/>
                <w:sz w:val="18"/>
              </w:rPr>
              <w:t>场外期</w:t>
            </w:r>
            <w:r>
              <w:rPr>
                <w:rFonts w:ascii="宋体" w:hAnsi="宋体" w:eastAsia="宋体"/>
                <w:b w:val="0"/>
                <w:i w:val="0"/>
                <w:color w:val="000000"/>
                <w:sz w:val="18"/>
              </w:rPr>
              <w:t>权业务</w:t>
            </w:r>
            <w:r>
              <w:rPr>
                <w:rFonts w:ascii="宋体" w:hAnsi="宋体" w:eastAsia="宋体"/>
                <w:b w:val="0"/>
                <w:i w:val="0"/>
                <w:color w:val="000000"/>
                <w:sz w:val="18"/>
              </w:rPr>
              <w:t xml:space="preserve">收入 </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16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1340.89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0.83% </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3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3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r>
      <w:tr>
        <w:trPr>
          <w:trHeight w:hRule="exact" w:val="946"/>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204" w:after="0"/>
              <w:ind w:left="106" w:right="168" w:firstLine="0"/>
              <w:jc w:val="both"/>
            </w:pPr>
            <w:r>
              <w:rPr>
                <w:rFonts w:ascii="宋体" w:hAnsi="宋体" w:eastAsia="宋体"/>
                <w:b w:val="0"/>
                <w:i w:val="0"/>
                <w:color w:val="000000"/>
                <w:sz w:val="18"/>
              </w:rPr>
              <w:t>山西股权交</w:t>
            </w:r>
            <w:r>
              <w:rPr>
                <w:rFonts w:ascii="宋体" w:hAnsi="宋体" w:eastAsia="宋体"/>
                <w:b w:val="0"/>
                <w:i w:val="0"/>
                <w:color w:val="000000"/>
                <w:sz w:val="18"/>
              </w:rPr>
              <w:t>易中心有限</w:t>
            </w:r>
            <w:r>
              <w:rPr>
                <w:rFonts w:ascii="宋体" w:hAnsi="宋体" w:eastAsia="宋体"/>
                <w:b w:val="0"/>
                <w:i w:val="0"/>
                <w:color w:val="000000"/>
                <w:sz w:val="18"/>
              </w:rPr>
              <w:t>公司</w:t>
            </w:r>
          </w:p>
        </w:tc>
        <w:tc>
          <w:tcPr>
            <w:tcW w:type="dxa" w:w="1158"/>
            <w:tcBorders>
              <w:start w:sz="4.0" w:val="single" w:color="#000000"/>
              <w:top w:sz="4.0" w:val="single" w:color="#000000"/>
              <w:end w:sz="4.0" w:val="single" w:color="#000000"/>
              <w:bottom w:sz="4.0" w:val="single" w:color="#000000"/>
            </w:tcBorders>
            <w:shd w:fill="ffffff"/>
            <w:tcMar>
              <w:start w:w="0" w:type="dxa"/>
              <w:end w:w="0" w:type="dxa"/>
            </w:tcMar>
          </w:tcPr>
          <w:p>
            <w:pPr>
              <w:autoSpaceDN w:val="0"/>
              <w:autoSpaceDE w:val="0"/>
              <w:widowControl/>
              <w:spacing w:line="232" w:lineRule="exact" w:before="206" w:after="0"/>
              <w:ind w:left="104" w:right="0" w:firstLine="0"/>
              <w:jc w:val="left"/>
            </w:pPr>
            <w:r>
              <w:rPr>
                <w:rFonts w:ascii="宋体" w:hAnsi="宋体" w:eastAsia="宋体"/>
                <w:b w:val="0"/>
                <w:i w:val="0"/>
                <w:color w:val="000000"/>
                <w:sz w:val="18"/>
              </w:rPr>
              <w:t>受金控集团</w:t>
            </w:r>
            <w:r>
              <w:rPr>
                <w:rFonts w:ascii="宋体" w:hAnsi="宋体" w:eastAsia="宋体"/>
                <w:b w:val="0"/>
                <w:i w:val="0"/>
                <w:color w:val="000000"/>
                <w:sz w:val="18"/>
              </w:rPr>
              <w:t xml:space="preserve">控制 </w:t>
            </w:r>
          </w:p>
        </w:tc>
        <w:tc>
          <w:tcPr>
            <w:tcW w:type="dxa" w:w="82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86"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26" w:lineRule="exact" w:before="0" w:after="0"/>
              <w:ind w:left="104" w:right="144" w:firstLine="0"/>
              <w:jc w:val="left"/>
            </w:pPr>
            <w:r>
              <w:rPr>
                <w:rFonts w:ascii="宋体" w:hAnsi="宋体" w:eastAsia="宋体"/>
                <w:b w:val="0"/>
                <w:i w:val="0"/>
                <w:color w:val="000000"/>
                <w:sz w:val="18"/>
              </w:rPr>
              <w:t>年费及</w:t>
            </w:r>
            <w:r>
              <w:rPr>
                <w:rFonts w:ascii="宋体" w:hAnsi="宋体" w:eastAsia="宋体"/>
                <w:b w:val="0"/>
                <w:i w:val="0"/>
                <w:color w:val="000000"/>
                <w:sz w:val="18"/>
              </w:rPr>
              <w:t>监管</w:t>
            </w:r>
            <w:r>
              <w:br/>
            </w:r>
            <w:r>
              <w:rPr>
                <w:rFonts w:ascii="宋体" w:hAnsi="宋体" w:eastAsia="宋体"/>
                <w:b w:val="0"/>
                <w:i w:val="0"/>
                <w:color w:val="000000"/>
                <w:sz w:val="18"/>
              </w:rPr>
              <w:t>费、培</w:t>
            </w:r>
            <w:r>
              <w:rPr>
                <w:rFonts w:ascii="宋体" w:hAnsi="宋体" w:eastAsia="宋体"/>
                <w:b w:val="0"/>
                <w:i w:val="0"/>
                <w:color w:val="000000"/>
                <w:sz w:val="18"/>
              </w:rPr>
              <w:t>训费</w:t>
            </w:r>
          </w:p>
        </w:tc>
        <w:tc>
          <w:tcPr>
            <w:tcW w:type="dxa" w:w="81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2" w:lineRule="exact" w:before="206"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390" w:after="0"/>
              <w:ind w:left="0" w:right="0" w:firstLine="0"/>
              <w:jc w:val="center"/>
            </w:pPr>
            <w:r>
              <w:rPr>
                <w:rFonts w:ascii="Calibri" w:hAnsi="Calibri" w:eastAsia="Calibri"/>
                <w:b w:val="0"/>
                <w:i w:val="0"/>
                <w:color w:val="000000"/>
                <w:sz w:val="18"/>
              </w:rPr>
              <w:t>-</w:t>
            </w:r>
          </w:p>
        </w:tc>
        <w:tc>
          <w:tcPr>
            <w:tcW w:type="dxa" w:w="110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390" w:after="0"/>
              <w:ind w:left="0" w:right="0" w:firstLine="0"/>
              <w:jc w:val="center"/>
            </w:pPr>
            <w:r>
              <w:rPr>
                <w:rFonts w:ascii="Calibri" w:hAnsi="Calibri" w:eastAsia="Calibri"/>
                <w:b w:val="0"/>
                <w:i w:val="0"/>
                <w:color w:val="000000"/>
                <w:sz w:val="18"/>
              </w:rPr>
              <w:t>38.18</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97" w:lineRule="auto" w:before="390" w:after="0"/>
              <w:ind w:left="0" w:right="0" w:firstLine="0"/>
              <w:jc w:val="center"/>
            </w:pPr>
            <w:r>
              <w:rPr>
                <w:rFonts w:ascii="Calibri" w:hAnsi="Calibri" w:eastAsia="Calibri"/>
                <w:b w:val="0"/>
                <w:i w:val="0"/>
                <w:color w:val="000000"/>
                <w:sz w:val="18"/>
              </w:rPr>
              <w:t>0.02%</w:t>
            </w:r>
          </w:p>
        </w:tc>
        <w:tc>
          <w:tcPr>
            <w:tcW w:type="dxa" w:w="710"/>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30"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76"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376"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366"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0" w:lineRule="auto" w:before="366" w:after="0"/>
              <w:ind w:left="0" w:right="0" w:firstLine="0"/>
              <w:jc w:val="center"/>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1098" w:after="0"/>
        <w:ind w:left="0" w:right="0" w:firstLine="0"/>
        <w:jc w:val="center"/>
      </w:pPr>
      <w:r>
        <w:rPr>
          <w:rFonts w:ascii="Calibri" w:hAnsi="Calibri" w:eastAsia="Calibri"/>
          <w:b w:val="0"/>
          <w:i w:val="0"/>
          <w:color w:val="000000"/>
          <w:sz w:val="18"/>
        </w:rPr>
        <w:t xml:space="preserve">118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314" w:bottom="446" w:left="334" w:header="720" w:footer="720" w:gutter="0"/>
          <w:cols/>
          <w:docGrid w:linePitch="360"/>
        </w:sectPr>
      </w:pPr>
    </w:p>
    <w:p>
      <w:pPr>
        <w:autoSpaceDN w:val="0"/>
        <w:autoSpaceDE w:val="0"/>
        <w:widowControl/>
        <w:spacing w:line="240" w:lineRule="auto" w:before="0" w:after="0"/>
        <w:ind w:left="800" w:right="0" w:firstLine="0"/>
        <w:jc w:val="left"/>
      </w:pPr>
      <w:r>
        <w:drawing>
          <wp:inline xmlns:a="http://schemas.openxmlformats.org/drawingml/2006/main" xmlns:pic="http://schemas.openxmlformats.org/drawingml/2006/picture">
            <wp:extent cx="1844039" cy="439419"/>
            <wp:docPr id="121" name="Picture 12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200" w:lineRule="exact" w:before="0" w:after="30"/>
        <w:ind w:left="0" w:right="83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314" w:bottom="446" w:left="334" w:header="720" w:footer="720" w:gutter="0"/>
          <w:cols w:num="2" w:equalWidth="0">
            <w:col w:w="6206" w:space="0"/>
            <w:col w:w="5050"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999999999999986" w:type="dxa"/>
      </w:tblPr>
      <w:tblGrid>
        <w:gridCol w:w="804"/>
        <w:gridCol w:w="804"/>
        <w:gridCol w:w="804"/>
        <w:gridCol w:w="804"/>
        <w:gridCol w:w="804"/>
        <w:gridCol w:w="804"/>
        <w:gridCol w:w="804"/>
        <w:gridCol w:w="804"/>
        <w:gridCol w:w="804"/>
        <w:gridCol w:w="804"/>
        <w:gridCol w:w="804"/>
        <w:gridCol w:w="804"/>
        <w:gridCol w:w="804"/>
        <w:gridCol w:w="804"/>
      </w:tblGrid>
      <w:tr>
        <w:trPr>
          <w:trHeight w:hRule="exact" w:val="864"/>
        </w:trPr>
        <w:tc>
          <w:tcPr>
            <w:tcW w:type="dxa" w:w="118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4" w:lineRule="exact" w:before="124" w:after="0"/>
              <w:ind w:left="106" w:right="168" w:firstLine="0"/>
              <w:jc w:val="both"/>
            </w:pPr>
            <w:r>
              <w:rPr>
                <w:rFonts w:ascii="宋体" w:hAnsi="宋体" w:eastAsia="宋体"/>
                <w:b w:val="0"/>
                <w:i w:val="0"/>
                <w:color w:val="000000"/>
                <w:sz w:val="18"/>
              </w:rPr>
              <w:t>山西省绿色</w:t>
            </w:r>
            <w:r>
              <w:rPr>
                <w:rFonts w:ascii="宋体" w:hAnsi="宋体" w:eastAsia="宋体"/>
                <w:b w:val="0"/>
                <w:i w:val="0"/>
                <w:color w:val="000000"/>
                <w:sz w:val="18"/>
              </w:rPr>
              <w:t>交易中心有</w:t>
            </w:r>
            <w:r>
              <w:rPr>
                <w:rFonts w:ascii="宋体" w:hAnsi="宋体" w:eastAsia="宋体"/>
                <w:b w:val="0"/>
                <w:i w:val="0"/>
                <w:color w:val="000000"/>
                <w:sz w:val="18"/>
              </w:rPr>
              <w:t>限公司</w:t>
            </w:r>
          </w:p>
        </w:tc>
        <w:tc>
          <w:tcPr>
            <w:tcW w:type="dxa" w:w="115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164" w:after="0"/>
              <w:ind w:left="0" w:right="0" w:firstLine="0"/>
              <w:jc w:val="center"/>
            </w:pPr>
            <w:r>
              <w:rPr>
                <w:rFonts w:ascii="宋体" w:hAnsi="宋体" w:eastAsia="宋体"/>
                <w:b w:val="0"/>
                <w:i w:val="0"/>
                <w:color w:val="000000"/>
                <w:sz w:val="18"/>
              </w:rPr>
              <w:t>受金控集团</w:t>
            </w:r>
            <w:r>
              <w:rPr>
                <w:rFonts w:ascii="宋体" w:hAnsi="宋体" w:eastAsia="宋体"/>
                <w:b w:val="0"/>
                <w:i w:val="0"/>
                <w:color w:val="000000"/>
                <w:sz w:val="18"/>
              </w:rPr>
              <w:t>间接控制</w:t>
            </w:r>
          </w:p>
        </w:tc>
        <w:tc>
          <w:tcPr>
            <w:tcW w:type="dxa" w:w="822"/>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4" w:lineRule="exact" w:before="44" w:after="0"/>
              <w:ind w:left="106" w:right="104" w:firstLine="0"/>
              <w:jc w:val="both"/>
            </w:pPr>
            <w:r>
              <w:rPr>
                <w:rFonts w:ascii="宋体" w:hAnsi="宋体" w:eastAsia="宋体"/>
                <w:b w:val="0"/>
                <w:i w:val="0"/>
                <w:color w:val="000000"/>
                <w:sz w:val="18"/>
              </w:rPr>
              <w:t>提供或</w:t>
            </w:r>
            <w:r>
              <w:rPr>
                <w:rFonts w:ascii="宋体" w:hAnsi="宋体" w:eastAsia="宋体"/>
                <w:b w:val="0"/>
                <w:i w:val="0"/>
                <w:color w:val="000000"/>
                <w:sz w:val="18"/>
              </w:rPr>
              <w:t>接受劳</w:t>
            </w:r>
            <w:r>
              <w:rPr>
                <w:rFonts w:ascii="宋体" w:hAnsi="宋体" w:eastAsia="宋体"/>
                <w:b w:val="0"/>
                <w:i w:val="0"/>
                <w:color w:val="000000"/>
                <w:sz w:val="18"/>
              </w:rPr>
              <w:t xml:space="preserve">务 </w:t>
            </w:r>
          </w:p>
        </w:tc>
        <w:tc>
          <w:tcPr>
            <w:tcW w:type="dxa" w:w="832"/>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330" w:after="0"/>
              <w:ind w:left="0" w:right="0" w:firstLine="0"/>
              <w:jc w:val="center"/>
            </w:pPr>
            <w:r>
              <w:rPr>
                <w:rFonts w:ascii="宋体" w:hAnsi="宋体" w:eastAsia="宋体"/>
                <w:b w:val="0"/>
                <w:i w:val="0"/>
                <w:color w:val="000000"/>
                <w:sz w:val="18"/>
              </w:rPr>
              <w:t xml:space="preserve">培训费 </w:t>
            </w:r>
          </w:p>
        </w:tc>
        <w:tc>
          <w:tcPr>
            <w:tcW w:type="dxa" w:w="81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2" w:lineRule="exact" w:before="164" w:after="0"/>
              <w:ind w:left="102" w:right="0" w:firstLine="0"/>
              <w:jc w:val="left"/>
            </w:pPr>
            <w:r>
              <w:rPr>
                <w:rFonts w:ascii="宋体" w:hAnsi="宋体" w:eastAsia="宋体"/>
                <w:b w:val="0"/>
                <w:i w:val="0"/>
                <w:color w:val="000000"/>
                <w:sz w:val="18"/>
              </w:rPr>
              <w:t>市场原</w:t>
            </w:r>
            <w:r>
              <w:rPr>
                <w:rFonts w:ascii="宋体" w:hAnsi="宋体" w:eastAsia="宋体"/>
                <w:b w:val="0"/>
                <w:i w:val="0"/>
                <w:color w:val="000000"/>
                <w:sz w:val="18"/>
              </w:rPr>
              <w:t xml:space="preserve">则 </w:t>
            </w:r>
          </w:p>
        </w:tc>
        <w:tc>
          <w:tcPr>
            <w:tcW w:type="dxa" w:w="69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97" w:lineRule="auto" w:before="348" w:after="0"/>
              <w:ind w:left="0" w:right="0" w:firstLine="0"/>
              <w:jc w:val="center"/>
            </w:pPr>
            <w:r>
              <w:rPr>
                <w:rFonts w:ascii="Calibri" w:hAnsi="Calibri" w:eastAsia="Calibri"/>
                <w:b w:val="0"/>
                <w:i w:val="0"/>
                <w:color w:val="000000"/>
                <w:sz w:val="18"/>
              </w:rPr>
              <w:t>-</w:t>
            </w:r>
          </w:p>
        </w:tc>
        <w:tc>
          <w:tcPr>
            <w:tcW w:type="dxa" w:w="1106"/>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97" w:lineRule="auto" w:before="348" w:after="0"/>
              <w:ind w:left="0" w:right="0" w:firstLine="0"/>
              <w:jc w:val="center"/>
            </w:pPr>
            <w:r>
              <w:rPr>
                <w:rFonts w:ascii="Calibri" w:hAnsi="Calibri" w:eastAsia="Calibri"/>
                <w:b w:val="0"/>
                <w:i w:val="0"/>
                <w:color w:val="000000"/>
                <w:sz w:val="18"/>
              </w:rPr>
              <w:t>20.75</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97" w:lineRule="auto" w:before="348" w:after="0"/>
              <w:ind w:left="0" w:right="0" w:firstLine="0"/>
              <w:jc w:val="center"/>
            </w:pPr>
            <w:r>
              <w:rPr>
                <w:rFonts w:ascii="Calibri" w:hAnsi="Calibri" w:eastAsia="Calibri"/>
                <w:b w:val="0"/>
                <w:i w:val="0"/>
                <w:color w:val="000000"/>
                <w:sz w:val="18"/>
              </w:rPr>
              <w:t>0.01%</w:t>
            </w:r>
          </w:p>
        </w:tc>
        <w:tc>
          <w:tcPr>
            <w:tcW w:type="dxa" w:w="710"/>
            <w:tcBorders>
              <w:start w:sz="4.0"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5.600000000000023" w:val="single" w:color="#000000"/>
              <w:end w:sz="3.199999999999818" w:val="single" w:color="#000000"/>
              <w:bottom w:sz="4.0" w:val="single" w:color="#000000"/>
            </w:tcBorders>
            <w:tcMar>
              <w:start w:w="0" w:type="dxa"/>
              <w:end w:w="0" w:type="dxa"/>
            </w:tcMar>
          </w:tcPr>
          <w:p>
            <w:pPr>
              <w:autoSpaceDN w:val="0"/>
              <w:autoSpaceDE w:val="0"/>
              <w:widowControl/>
              <w:spacing w:line="180" w:lineRule="exact" w:before="330" w:after="0"/>
              <w:ind w:left="0" w:right="170" w:firstLine="0"/>
              <w:jc w:val="right"/>
            </w:pPr>
            <w:r>
              <w:rPr>
                <w:rFonts w:ascii="宋体" w:hAnsi="宋体" w:eastAsia="宋体"/>
                <w:b w:val="0"/>
                <w:i w:val="0"/>
                <w:color w:val="000000"/>
                <w:sz w:val="18"/>
              </w:rPr>
              <w:t xml:space="preserve">否 </w:t>
            </w:r>
          </w:p>
        </w:tc>
        <w:tc>
          <w:tcPr>
            <w:tcW w:type="dxa" w:w="708"/>
            <w:tcBorders>
              <w:start w:sz="3.199999999999818"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330" w:after="0"/>
              <w:ind w:left="168" w:right="0" w:firstLine="0"/>
              <w:jc w:val="left"/>
            </w:pPr>
            <w:r>
              <w:rPr>
                <w:rFonts w:ascii="宋体" w:hAnsi="宋体" w:eastAsia="宋体"/>
                <w:b w:val="0"/>
                <w:i w:val="0"/>
                <w:color w:val="000000"/>
                <w:sz w:val="18"/>
              </w:rPr>
              <w:t xml:space="preserve">现金 </w:t>
            </w:r>
          </w:p>
        </w:tc>
        <w:tc>
          <w:tcPr>
            <w:tcW w:type="dxa" w:w="708"/>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Times New Roman" w:hAnsi="Times New Roman" w:eastAsia="Times New Roman"/>
                <w:b w:val="0"/>
                <w:i w:val="0"/>
                <w:color w:val="000000"/>
                <w:sz w:val="18"/>
              </w:rPr>
              <w:t xml:space="preserve">- </w:t>
            </w:r>
          </w:p>
        </w:tc>
        <w:tc>
          <w:tcPr>
            <w:tcW w:type="dxa" w:w="570"/>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33" w:lineRule="auto" w:before="326" w:after="0"/>
              <w:ind w:left="0" w:right="0" w:firstLine="0"/>
              <w:jc w:val="center"/>
            </w:pPr>
            <w:r>
              <w:rPr>
                <w:rFonts w:ascii="Times New Roman" w:hAnsi="Times New Roman" w:eastAsia="Times New Roman"/>
                <w:b w:val="0"/>
                <w:i w:val="0"/>
                <w:color w:val="000000"/>
                <w:sz w:val="18"/>
              </w:rPr>
              <w:t xml:space="preserve">- </w:t>
            </w:r>
          </w:p>
        </w:tc>
      </w:tr>
      <w:tr>
        <w:trPr>
          <w:trHeight w:hRule="exact" w:val="534"/>
        </w:trPr>
        <w:tc>
          <w:tcPr>
            <w:tcW w:type="dxa" w:w="3994"/>
            <w:gridSpan w:val="4"/>
            <w:tcBorders>
              <w:start w:sz="4.0" w:val="single" w:color="#000000"/>
              <w:top w:sz="4.0" w:val="single" w:color="#000000"/>
              <w:end w:sz="4.0" w:val="single" w:color="#000000"/>
              <w:bottom w:sz="3.2000000000000455"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72" w:after="0"/>
              <w:ind w:left="106" w:right="0" w:firstLine="0"/>
              <w:jc w:val="left"/>
            </w:pPr>
            <w:r>
              <w:rPr>
                <w:rFonts w:ascii="宋体" w:hAnsi="宋体" w:eastAsia="宋体"/>
                <w:b w:val="0"/>
                <w:i w:val="0"/>
                <w:color w:val="000000"/>
                <w:sz w:val="18"/>
              </w:rPr>
              <w:t xml:space="preserve">合计 </w:t>
            </w:r>
          </w:p>
        </w:tc>
        <w:tc>
          <w:tcPr>
            <w:tcW w:type="dxa" w:w="816"/>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694"/>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1106"/>
            <w:tcBorders>
              <w:start w:sz="4.0" w:val="single" w:color="#000000"/>
              <w:top w:sz="4.0" w:val="single" w:color="#000000"/>
              <w:end w:sz="4.0" w:val="single" w:color="#000000"/>
              <w:bottom w:sz="3.2000000000000455" w:val="single" w:color="#000000"/>
            </w:tcBorders>
            <w:shd w:fill="ffffff"/>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6,896.23 </w:t>
            </w:r>
          </w:p>
        </w:tc>
        <w:tc>
          <w:tcPr>
            <w:tcW w:type="dxa" w:w="708"/>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710"/>
            <w:tcBorders>
              <w:start w:sz="4.0" w:val="single" w:color="#000000"/>
              <w:top w:sz="4.0" w:val="single" w:color="#000000"/>
              <w:end w:sz="3.199999999999818" w:val="single" w:color="#000000"/>
              <w:bottom w:sz="3.2000000000000455" w:val="single" w:color="#000000"/>
            </w:tcBorders>
            <w:shd w:fill="ffffff"/>
            <w:tcMar>
              <w:start w:w="0" w:type="dxa"/>
              <w:end w:w="0" w:type="dxa"/>
            </w:tcMar>
          </w:tcPr>
          <w:p>
            <w:pPr>
              <w:autoSpaceDN w:val="0"/>
              <w:autoSpaceDE w:val="0"/>
              <w:widowControl/>
              <w:spacing w:line="230" w:lineRule="auto" w:before="164" w:after="0"/>
              <w:ind w:left="0" w:right="232" w:firstLine="0"/>
              <w:jc w:val="right"/>
            </w:pPr>
            <w:r>
              <w:rPr>
                <w:rFonts w:ascii="Times New Roman" w:hAnsi="Times New Roman" w:eastAsia="Times New Roman"/>
                <w:b w:val="0"/>
                <w:i w:val="0"/>
                <w:color w:val="000000"/>
                <w:sz w:val="18"/>
              </w:rPr>
              <w:t>-</w:t>
            </w:r>
          </w:p>
        </w:tc>
        <w:tc>
          <w:tcPr>
            <w:tcW w:type="dxa" w:w="708"/>
            <w:tcBorders>
              <w:start w:sz="3.199999999999818" w:val="single" w:color="#000000"/>
              <w:top w:sz="4.0" w:val="single" w:color="#000000"/>
              <w:end w:sz="3.199999999999818"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3.199999999999818"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708"/>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228" w:firstLine="0"/>
              <w:jc w:val="right"/>
            </w:pPr>
            <w:r>
              <w:rPr>
                <w:rFonts w:ascii="Times New Roman" w:hAnsi="Times New Roman" w:eastAsia="Times New Roman"/>
                <w:b w:val="0"/>
                <w:i w:val="0"/>
                <w:color w:val="000000"/>
                <w:sz w:val="18"/>
              </w:rPr>
              <w:t>-</w:t>
            </w:r>
          </w:p>
        </w:tc>
        <w:tc>
          <w:tcPr>
            <w:tcW w:type="dxa" w:w="570"/>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c>
          <w:tcPr>
            <w:tcW w:type="dxa" w:w="504"/>
            <w:tcBorders>
              <w:start w:sz="4.0" w:val="single" w:color="#000000"/>
              <w:top w:sz="4.0" w:val="single" w:color="#000000"/>
              <w:end w:sz="4.0" w:val="single" w:color="#000000"/>
              <w:bottom w:sz="3.2000000000000455" w:val="single" w:color="#000000"/>
            </w:tcBorders>
            <w:shd w:fill="d2d2d2"/>
            <w:tcMar>
              <w:start w:w="0" w:type="dxa"/>
              <w:end w:w="0" w:type="dxa"/>
            </w:tcMar>
          </w:tcPr>
          <w:p>
            <w:pPr>
              <w:autoSpaceDN w:val="0"/>
              <w:autoSpaceDE w:val="0"/>
              <w:widowControl/>
              <w:spacing w:line="230" w:lineRule="auto" w:before="164" w:after="0"/>
              <w:ind w:left="0" w:right="0" w:firstLine="0"/>
              <w:jc w:val="center"/>
            </w:pPr>
            <w:r>
              <w:rPr>
                <w:rFonts w:ascii="Times New Roman" w:hAnsi="Times New Roman" w:eastAsia="Times New Roman"/>
                <w:b w:val="0"/>
                <w:i w:val="0"/>
                <w:color w:val="000000"/>
                <w:sz w:val="18"/>
              </w:rPr>
              <w:t xml:space="preserve">-- </w:t>
            </w:r>
          </w:p>
        </w:tc>
      </w:tr>
      <w:tr>
        <w:trPr>
          <w:trHeight w:hRule="exact" w:val="244"/>
        </w:trPr>
        <w:tc>
          <w:tcPr>
            <w:tcW w:type="dxa" w:w="3994"/>
            <w:gridSpan w:val="4"/>
            <w:tcBorders>
              <w:start w:sz="4.0" w:val="single" w:color="#000000"/>
              <w:top w:sz="3.2000000000000455" w:val="single" w:color="#000000"/>
              <w:end w:sz="4.0" w:val="single" w:color="#000000"/>
              <w:bottom w:sz="4.0"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6" w:after="0"/>
              <w:ind w:left="106" w:right="0" w:firstLine="0"/>
              <w:jc w:val="left"/>
            </w:pPr>
            <w:r>
              <w:rPr>
                <w:rFonts w:ascii="宋体" w:hAnsi="宋体" w:eastAsia="宋体"/>
                <w:b w:val="0"/>
                <w:i w:val="0"/>
                <w:color w:val="000000"/>
                <w:sz w:val="18"/>
              </w:rPr>
              <w:t xml:space="preserve">大额销货退回的详细情况 </w:t>
            </w:r>
          </w:p>
        </w:tc>
        <w:tc>
          <w:tcPr>
            <w:tcW w:type="dxa" w:w="7232"/>
            <w:gridSpan w:val="10"/>
            <w:tcBorders>
              <w:start w:sz="4.0" w:val="single" w:color="#000000"/>
              <w:top w:sz="3.2000000000000455"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6" w:after="0"/>
              <w:ind w:left="0" w:right="3432" w:firstLine="0"/>
              <w:jc w:val="right"/>
            </w:pPr>
            <w:r>
              <w:rPr>
                <w:rFonts w:ascii="宋体" w:hAnsi="宋体" w:eastAsia="宋体"/>
                <w:b w:val="0"/>
                <w:i w:val="0"/>
                <w:color w:val="000000"/>
                <w:sz w:val="18"/>
              </w:rPr>
              <w:t xml:space="preserve">无 </w:t>
            </w:r>
          </w:p>
        </w:tc>
      </w:tr>
      <w:tr>
        <w:trPr>
          <w:trHeight w:hRule="exact" w:val="476"/>
        </w:trPr>
        <w:tc>
          <w:tcPr>
            <w:tcW w:type="dxa" w:w="3994"/>
            <w:gridSpan w:val="4"/>
            <w:tcBorders>
              <w:start w:sz="4.0" w:val="single" w:color="#000000"/>
              <w:top w:sz="4.0" w:val="single" w:color="#000000"/>
              <w:end w:sz="4.0" w:val="single" w:color="#000000"/>
              <w:bottom w:sz="3.2000000000000455"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0" w:after="0"/>
              <w:ind w:left="106" w:right="0" w:firstLine="0"/>
              <w:jc w:val="left"/>
            </w:pPr>
            <w:r>
              <w:rPr>
                <w:rFonts w:ascii="宋体" w:hAnsi="宋体" w:eastAsia="宋体"/>
                <w:b w:val="0"/>
                <w:i w:val="0"/>
                <w:color w:val="000000"/>
                <w:sz w:val="18"/>
              </w:rPr>
              <w:t>按类别对本期将发生的日常关联交易进行总金</w:t>
            </w:r>
            <w:r>
              <w:rPr>
                <w:rFonts w:ascii="宋体" w:hAnsi="宋体" w:eastAsia="宋体"/>
                <w:b w:val="0"/>
                <w:i w:val="0"/>
                <w:color w:val="000000"/>
                <w:sz w:val="18"/>
              </w:rPr>
              <w:t xml:space="preserve">额预计的，在报告期内的实际履行情况 </w:t>
            </w:r>
          </w:p>
        </w:tc>
        <w:tc>
          <w:tcPr>
            <w:tcW w:type="dxa" w:w="7232"/>
            <w:gridSpan w:val="10"/>
            <w:tcBorders>
              <w:start w:sz="4.0" w:val="single" w:color="#000000"/>
              <w:top w:sz="4.0" w:val="single" w:color="#000000"/>
              <w:end w:sz="4.0" w:val="single" w:color="#000000"/>
              <w:bottom w:sz="3.2000000000000455"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0" w:right="3432" w:firstLine="0"/>
              <w:jc w:val="right"/>
            </w:pPr>
            <w:r>
              <w:rPr>
                <w:rFonts w:ascii="宋体" w:hAnsi="宋体" w:eastAsia="宋体"/>
                <w:b w:val="0"/>
                <w:i w:val="0"/>
                <w:color w:val="000000"/>
                <w:sz w:val="18"/>
              </w:rPr>
              <w:t xml:space="preserve">无 </w:t>
            </w:r>
          </w:p>
        </w:tc>
      </w:tr>
      <w:tr>
        <w:trPr>
          <w:trHeight w:hRule="exact" w:val="282"/>
        </w:trPr>
        <w:tc>
          <w:tcPr>
            <w:tcW w:type="dxa" w:w="3994"/>
            <w:gridSpan w:val="4"/>
            <w:tcBorders>
              <w:start w:sz="4.0" w:val="single" w:color="#000000"/>
              <w:top w:sz="3.2000000000000455" w:val="single" w:color="#000000"/>
              <w:end w:sz="4.0" w:val="single" w:color="#000000"/>
              <w:bottom w:sz="4.0"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46" w:after="0"/>
              <w:ind w:left="106" w:right="0" w:firstLine="0"/>
              <w:jc w:val="left"/>
            </w:pPr>
            <w:r>
              <w:rPr>
                <w:rFonts w:ascii="宋体" w:hAnsi="宋体" w:eastAsia="宋体"/>
                <w:b w:val="0"/>
                <w:i w:val="0"/>
                <w:color w:val="000000"/>
                <w:sz w:val="18"/>
              </w:rPr>
              <w:t xml:space="preserve">交易价格与市场参考价格差异较大的原因 </w:t>
            </w:r>
          </w:p>
        </w:tc>
        <w:tc>
          <w:tcPr>
            <w:tcW w:type="dxa" w:w="7232"/>
            <w:gridSpan w:val="10"/>
            <w:tcBorders>
              <w:start w:sz="4.0" w:val="single" w:color="#000000"/>
              <w:top w:sz="3.2000000000000455" w:val="single" w:color="#000000"/>
              <w:end w:sz="4.0" w:val="single" w:color="#000000"/>
              <w:bottom w:sz="4.0" w:val="single" w:color="#000000"/>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46" w:after="0"/>
              <w:ind w:left="0" w:right="3432" w:firstLine="0"/>
              <w:jc w:val="right"/>
            </w:pPr>
            <w:r>
              <w:rPr>
                <w:rFonts w:ascii="宋体" w:hAnsi="宋体" w:eastAsia="宋体"/>
                <w:b w:val="0"/>
                <w:i w:val="0"/>
                <w:color w:val="000000"/>
                <w:sz w:val="18"/>
              </w:rPr>
              <w:t xml:space="preserve">无 </w:t>
            </w:r>
          </w:p>
        </w:tc>
      </w:tr>
    </w:tbl>
    <w:p>
      <w:pPr>
        <w:autoSpaceDN w:val="0"/>
        <w:autoSpaceDE w:val="0"/>
        <w:widowControl/>
        <w:spacing w:line="212" w:lineRule="exact" w:before="340" w:after="0"/>
        <w:ind w:left="800" w:right="0" w:firstLine="0"/>
        <w:jc w:val="left"/>
      </w:pPr>
      <w:r>
        <w:rPr>
          <w:rFonts w:ascii="宋体" w:hAnsi="宋体" w:eastAsia="宋体"/>
          <w:b w:val="0"/>
          <w:i w:val="0"/>
          <w:color w:val="000000"/>
          <w:sz w:val="21"/>
        </w:rPr>
        <w:t xml:space="preserve">2、资产或股权收购、出售发生的关联交易 </w:t>
      </w:r>
    </w:p>
    <w:p>
      <w:pPr>
        <w:autoSpaceDN w:val="0"/>
        <w:autoSpaceDE w:val="0"/>
        <w:widowControl/>
        <w:spacing w:line="180" w:lineRule="exact" w:before="362" w:after="0"/>
        <w:ind w:left="800" w:right="0" w:firstLine="0"/>
        <w:jc w:val="left"/>
      </w:pPr>
      <w:r>
        <w:rPr>
          <w:rFonts w:ascii="宋体" w:hAnsi="宋体" w:eastAsia="宋体"/>
          <w:b w:val="0"/>
          <w:i w:val="0"/>
          <w:color w:val="000000"/>
          <w:sz w:val="18"/>
        </w:rPr>
        <w:t xml:space="preserve">□适用√不适用 </w:t>
      </w:r>
    </w:p>
    <w:p>
      <w:pPr>
        <w:autoSpaceDN w:val="0"/>
        <w:autoSpaceDE w:val="0"/>
        <w:widowControl/>
        <w:spacing w:line="212" w:lineRule="exact" w:before="366" w:after="326"/>
        <w:ind w:left="800" w:right="0" w:firstLine="0"/>
        <w:jc w:val="left"/>
      </w:pPr>
      <w:r>
        <w:rPr>
          <w:rFonts w:ascii="宋体" w:hAnsi="宋体" w:eastAsia="宋体"/>
          <w:b w:val="0"/>
          <w:i w:val="0"/>
          <w:color w:val="000000"/>
          <w:sz w:val="21"/>
        </w:rPr>
        <w:t xml:space="preserve">3、共同对外投资的关联交易 </w:t>
      </w:r>
    </w:p>
    <w:tbl>
      <w:tblPr>
        <w:tblW w:type="auto" w:w="0"/>
        <w:tblLayout w:type="fixed"/>
        <w:tblLook w:firstColumn="1" w:firstRow="1" w:lastColumn="0" w:lastRow="0" w:noHBand="0" w:noVBand="1" w:val="04A0"/>
        <w:tblInd w:w="123.99999999999999" w:type="dxa"/>
      </w:tblPr>
      <w:tblGrid>
        <w:gridCol w:w="1407"/>
        <w:gridCol w:w="1407"/>
        <w:gridCol w:w="1407"/>
        <w:gridCol w:w="1407"/>
        <w:gridCol w:w="1407"/>
        <w:gridCol w:w="1407"/>
        <w:gridCol w:w="1407"/>
        <w:gridCol w:w="1407"/>
      </w:tblGrid>
      <w:tr>
        <w:trPr>
          <w:trHeight w:hRule="exact" w:val="806"/>
        </w:trPr>
        <w:tc>
          <w:tcPr>
            <w:tcW w:type="dxa" w:w="1526"/>
            <w:tcBorders>
              <w:start w:sz="1.5999999999999943"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180" w:lineRule="exact" w:before="316" w:after="0"/>
              <w:ind w:left="310" w:right="0" w:firstLine="0"/>
              <w:jc w:val="left"/>
            </w:pPr>
            <w:r>
              <w:rPr>
                <w:rFonts w:ascii="宋体" w:hAnsi="宋体" w:eastAsia="宋体"/>
                <w:b w:val="0"/>
                <w:i w:val="0"/>
                <w:color w:val="000000"/>
                <w:sz w:val="18"/>
              </w:rPr>
              <w:t xml:space="preserve">共同投资方 </w:t>
            </w:r>
          </w:p>
        </w:tc>
        <w:tc>
          <w:tcPr>
            <w:tcW w:type="dxa" w:w="1134"/>
            <w:tcBorders>
              <w:start w:sz="2.400000000000091"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316" w:after="0"/>
              <w:ind w:left="202" w:right="0" w:firstLine="0"/>
              <w:jc w:val="left"/>
            </w:pPr>
            <w:r>
              <w:rPr>
                <w:rFonts w:ascii="宋体" w:hAnsi="宋体" w:eastAsia="宋体"/>
                <w:b w:val="0"/>
                <w:i w:val="0"/>
                <w:color w:val="000000"/>
                <w:sz w:val="18"/>
              </w:rPr>
              <w:t xml:space="preserve">关联关系 </w:t>
            </w:r>
          </w:p>
        </w:tc>
        <w:tc>
          <w:tcPr>
            <w:tcW w:type="dxa" w:w="1418"/>
            <w:tcBorders>
              <w:start w:sz="1.599999999999909"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tabs>
                <w:tab w:pos="526" w:val="left"/>
              </w:tabs>
              <w:autoSpaceDE w:val="0"/>
              <w:widowControl/>
              <w:spacing w:line="240" w:lineRule="exact" w:before="136" w:after="0"/>
              <w:ind w:left="166" w:right="144" w:firstLine="0"/>
              <w:jc w:val="left"/>
            </w:pPr>
            <w:r>
              <w:rPr>
                <w:rFonts w:ascii="宋体" w:hAnsi="宋体" w:eastAsia="宋体"/>
                <w:b w:val="0"/>
                <w:i w:val="0"/>
                <w:color w:val="000000"/>
                <w:sz w:val="18"/>
              </w:rPr>
              <w:t>被投资企业的</w:t>
            </w:r>
            <w:r>
              <w:tab/>
            </w:r>
            <w:r>
              <w:rPr>
                <w:rFonts w:ascii="宋体" w:hAnsi="宋体" w:eastAsia="宋体"/>
                <w:b w:val="0"/>
                <w:i w:val="0"/>
                <w:color w:val="000000"/>
                <w:sz w:val="18"/>
              </w:rPr>
              <w:t xml:space="preserve">名称 </w:t>
            </w:r>
          </w:p>
        </w:tc>
        <w:tc>
          <w:tcPr>
            <w:tcW w:type="dxa" w:w="2084"/>
            <w:tcBorders>
              <w:start w:sz="2.400000000000091" w:val="single" w:color="#000000"/>
              <w:top w:sz="1.599999999999909" w:val="single" w:color="#000000"/>
              <w:end w:sz="1.6000000000003638" w:val="single" w:color="#000000"/>
              <w:bottom w:sz="1.599999999999909" w:val="single" w:color="#000000"/>
            </w:tcBorders>
            <w:shd w:fill="d2d2d2"/>
            <w:tcMar>
              <w:start w:w="0" w:type="dxa"/>
              <w:end w:w="0" w:type="dxa"/>
            </w:tcMar>
          </w:tcPr>
          <w:p>
            <w:pPr>
              <w:autoSpaceDN w:val="0"/>
              <w:autoSpaceDE w:val="0"/>
              <w:widowControl/>
              <w:spacing w:line="180" w:lineRule="exact" w:before="316" w:after="0"/>
              <w:ind w:left="136" w:right="0" w:firstLine="0"/>
              <w:jc w:val="left"/>
            </w:pPr>
            <w:r>
              <w:rPr>
                <w:rFonts w:ascii="宋体" w:hAnsi="宋体" w:eastAsia="宋体"/>
                <w:b w:val="0"/>
                <w:i w:val="0"/>
                <w:color w:val="000000"/>
                <w:sz w:val="18"/>
              </w:rPr>
              <w:t xml:space="preserve">被投资企业的主营业务 </w:t>
            </w:r>
          </w:p>
        </w:tc>
        <w:tc>
          <w:tcPr>
            <w:tcW w:type="dxa" w:w="1208"/>
            <w:tcBorders>
              <w:start w:sz="1.6000000000003638" w:val="single" w:color="#000000"/>
              <w:top w:sz="1.599999999999909"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240" w:lineRule="exact" w:before="16" w:after="0"/>
              <w:ind w:left="144" w:right="148" w:firstLine="0"/>
              <w:jc w:val="right"/>
            </w:pPr>
            <w:r>
              <w:rPr>
                <w:rFonts w:ascii="宋体" w:hAnsi="宋体" w:eastAsia="宋体"/>
                <w:b w:val="0"/>
                <w:i w:val="0"/>
                <w:color w:val="000000"/>
                <w:sz w:val="18"/>
              </w:rPr>
              <w:t>被投资企业</w:t>
            </w:r>
            <w:r>
              <w:rPr>
                <w:rFonts w:ascii="宋体" w:hAnsi="宋体" w:eastAsia="宋体"/>
                <w:b w:val="0"/>
                <w:i w:val="0"/>
                <w:color w:val="000000"/>
                <w:sz w:val="18"/>
              </w:rPr>
              <w:t>的注册资本</w:t>
            </w:r>
            <w:r>
              <w:rPr>
                <w:rFonts w:ascii="宋体" w:hAnsi="宋体" w:eastAsia="宋体"/>
                <w:b w:val="0"/>
                <w:i w:val="0"/>
                <w:color w:val="000000"/>
                <w:sz w:val="18"/>
              </w:rPr>
              <w:t xml:space="preserve">（万元） </w:t>
            </w:r>
          </w:p>
        </w:tc>
        <w:tc>
          <w:tcPr>
            <w:tcW w:type="dxa" w:w="1204"/>
            <w:tcBorders>
              <w:start w:sz="1.599999999999909" w:val="single" w:color="#000000"/>
              <w:top w:sz="1.599999999999909" w:val="single" w:color="#000000"/>
              <w:end w:sz="2.400000000000091" w:val="single" w:color="#000000"/>
              <w:bottom w:sz="1.599999999999909" w:val="single" w:color="#000000"/>
            </w:tcBorders>
            <w:shd w:fill="d2d2d2"/>
            <w:tcMar>
              <w:start w:w="0" w:type="dxa"/>
              <w:end w:w="0" w:type="dxa"/>
            </w:tcMar>
          </w:tcPr>
          <w:p>
            <w:pPr>
              <w:autoSpaceDN w:val="0"/>
              <w:autoSpaceDE w:val="0"/>
              <w:widowControl/>
              <w:spacing w:line="240" w:lineRule="exact" w:before="16" w:after="0"/>
              <w:ind w:left="240" w:right="144" w:hanging="90"/>
              <w:jc w:val="left"/>
            </w:pPr>
            <w:r>
              <w:rPr>
                <w:rFonts w:ascii="宋体" w:hAnsi="宋体" w:eastAsia="宋体"/>
                <w:b w:val="0"/>
                <w:i w:val="0"/>
                <w:color w:val="000000"/>
                <w:sz w:val="18"/>
              </w:rPr>
              <w:t>被投资企业</w:t>
            </w:r>
            <w:r>
              <w:rPr>
                <w:rFonts w:ascii="宋体" w:hAnsi="宋体" w:eastAsia="宋体"/>
                <w:b w:val="0"/>
                <w:i w:val="0"/>
                <w:color w:val="000000"/>
                <w:sz w:val="18"/>
              </w:rPr>
              <w:t>的总资产</w:t>
            </w:r>
            <w:r>
              <w:br/>
            </w:r>
            <w:r>
              <w:rPr>
                <w:rFonts w:ascii="宋体" w:hAnsi="宋体" w:eastAsia="宋体"/>
                <w:b w:val="0"/>
                <w:i w:val="0"/>
                <w:color w:val="000000"/>
                <w:sz w:val="18"/>
              </w:rPr>
              <w:t xml:space="preserve">（万元） </w:t>
            </w:r>
          </w:p>
        </w:tc>
        <w:tc>
          <w:tcPr>
            <w:tcW w:type="dxa" w:w="1208"/>
            <w:tcBorders>
              <w:start w:sz="2.400000000000091" w:val="single" w:color="#000000"/>
              <w:top w:sz="1.599999999999909" w:val="single" w:color="#000000"/>
              <w:end w:sz="2.4000000000005457" w:val="single" w:color="#000000"/>
              <w:bottom w:sz="1.599999999999909" w:val="single" w:color="#000000"/>
            </w:tcBorders>
            <w:shd w:fill="d2d2d2"/>
            <w:tcMar>
              <w:start w:w="0" w:type="dxa"/>
              <w:end w:w="0" w:type="dxa"/>
            </w:tcMar>
          </w:tcPr>
          <w:p>
            <w:pPr>
              <w:autoSpaceDN w:val="0"/>
              <w:autoSpaceDE w:val="0"/>
              <w:widowControl/>
              <w:spacing w:line="240" w:lineRule="exact" w:before="16" w:after="0"/>
              <w:ind w:left="242" w:right="144" w:hanging="92"/>
              <w:jc w:val="left"/>
            </w:pPr>
            <w:r>
              <w:rPr>
                <w:rFonts w:ascii="宋体" w:hAnsi="宋体" w:eastAsia="宋体"/>
                <w:b w:val="0"/>
                <w:i w:val="0"/>
                <w:color w:val="000000"/>
                <w:sz w:val="18"/>
              </w:rPr>
              <w:t>被投资企业</w:t>
            </w:r>
            <w:r>
              <w:rPr>
                <w:rFonts w:ascii="宋体" w:hAnsi="宋体" w:eastAsia="宋体"/>
                <w:b w:val="0"/>
                <w:i w:val="0"/>
                <w:color w:val="000000"/>
                <w:sz w:val="18"/>
              </w:rPr>
              <w:t>的净资产</w:t>
            </w:r>
            <w:r>
              <w:rPr>
                <w:rFonts w:ascii="宋体" w:hAnsi="宋体" w:eastAsia="宋体"/>
                <w:b w:val="0"/>
                <w:i w:val="0"/>
                <w:color w:val="000000"/>
                <w:sz w:val="18"/>
              </w:rPr>
              <w:t xml:space="preserve">（万元） </w:t>
            </w:r>
          </w:p>
        </w:tc>
        <w:tc>
          <w:tcPr>
            <w:tcW w:type="dxa" w:w="1206"/>
            <w:tcBorders>
              <w:start w:sz="2.4000000000005457" w:val="single" w:color="#000000"/>
              <w:top w:sz="1.599999999999909" w:val="single" w:color="#000000"/>
              <w:end w:sz="1.5999999999994543" w:val="single" w:color="#000000"/>
              <w:bottom w:sz="1.599999999999909" w:val="single" w:color="#000000"/>
            </w:tcBorders>
            <w:shd w:fill="d2d2d2"/>
            <w:tcMar>
              <w:start w:w="0" w:type="dxa"/>
              <w:end w:w="0" w:type="dxa"/>
            </w:tcMar>
          </w:tcPr>
          <w:p>
            <w:pPr>
              <w:autoSpaceDN w:val="0"/>
              <w:autoSpaceDE w:val="0"/>
              <w:widowControl/>
              <w:spacing w:line="240" w:lineRule="exact" w:before="16" w:after="0"/>
              <w:ind w:left="240" w:right="144" w:hanging="92"/>
              <w:jc w:val="left"/>
            </w:pPr>
            <w:r>
              <w:rPr>
                <w:rFonts w:ascii="宋体" w:hAnsi="宋体" w:eastAsia="宋体"/>
                <w:b w:val="0"/>
                <w:i w:val="0"/>
                <w:color w:val="000000"/>
                <w:sz w:val="18"/>
              </w:rPr>
              <w:t>被投资企业</w:t>
            </w:r>
            <w:r>
              <w:rPr>
                <w:rFonts w:ascii="宋体" w:hAnsi="宋体" w:eastAsia="宋体"/>
                <w:b w:val="0"/>
                <w:i w:val="0"/>
                <w:color w:val="000000"/>
                <w:sz w:val="18"/>
              </w:rPr>
              <w:t>的净利润</w:t>
            </w:r>
            <w:r>
              <w:rPr>
                <w:rFonts w:ascii="宋体" w:hAnsi="宋体" w:eastAsia="宋体"/>
                <w:b w:val="0"/>
                <w:i w:val="0"/>
                <w:color w:val="000000"/>
                <w:sz w:val="18"/>
              </w:rPr>
              <w:t xml:space="preserve">（万元） </w:t>
            </w:r>
          </w:p>
        </w:tc>
      </w:tr>
      <w:tr>
        <w:trPr>
          <w:trHeight w:hRule="exact" w:val="966"/>
        </w:trPr>
        <w:tc>
          <w:tcPr>
            <w:tcW w:type="dxa" w:w="1526"/>
            <w:tcBorders>
              <w:start w:sz="1.5999999999999943"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0" w:after="0"/>
              <w:ind w:left="106" w:right="0" w:firstLine="0"/>
              <w:jc w:val="left"/>
            </w:pPr>
            <w:r>
              <w:rPr>
                <w:rFonts w:ascii="宋体" w:hAnsi="宋体" w:eastAsia="宋体"/>
                <w:b w:val="0"/>
                <w:i w:val="0"/>
                <w:color w:val="000000"/>
                <w:sz w:val="18"/>
              </w:rPr>
              <w:t>山西金融投资控</w:t>
            </w:r>
            <w:r>
              <w:rPr>
                <w:rFonts w:ascii="宋体" w:hAnsi="宋体" w:eastAsia="宋体"/>
                <w:b w:val="0"/>
                <w:i w:val="0"/>
                <w:color w:val="000000"/>
                <w:sz w:val="18"/>
              </w:rPr>
              <w:t>股集团有限公</w:t>
            </w:r>
            <w:r>
              <w:br/>
            </w:r>
            <w:r>
              <w:rPr>
                <w:rFonts w:ascii="宋体" w:hAnsi="宋体" w:eastAsia="宋体"/>
                <w:b w:val="0"/>
                <w:i w:val="0"/>
                <w:color w:val="000000"/>
                <w:sz w:val="18"/>
              </w:rPr>
              <w:t>司、山西金控资</w:t>
            </w:r>
            <w:r>
              <w:rPr>
                <w:rFonts w:ascii="宋体" w:hAnsi="宋体" w:eastAsia="宋体"/>
                <w:b w:val="0"/>
                <w:i w:val="0"/>
                <w:color w:val="000000"/>
                <w:sz w:val="18"/>
              </w:rPr>
              <w:t xml:space="preserve">本管理有限公司 </w:t>
            </w:r>
          </w:p>
        </w:tc>
        <w:tc>
          <w:tcPr>
            <w:tcW w:type="dxa" w:w="1134"/>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40" w:lineRule="exact" w:before="218" w:after="0"/>
              <w:ind w:left="106" w:right="0" w:firstLine="0"/>
              <w:jc w:val="left"/>
            </w:pPr>
            <w:r>
              <w:rPr>
                <w:rFonts w:ascii="宋体" w:hAnsi="宋体" w:eastAsia="宋体"/>
                <w:b w:val="0"/>
                <w:i w:val="0"/>
                <w:color w:val="000000"/>
                <w:sz w:val="18"/>
              </w:rPr>
              <w:t>股东、受金</w:t>
            </w:r>
            <w:r>
              <w:rPr>
                <w:rFonts w:ascii="宋体" w:hAnsi="宋体" w:eastAsia="宋体"/>
                <w:b w:val="0"/>
                <w:i w:val="0"/>
                <w:color w:val="000000"/>
                <w:sz w:val="18"/>
              </w:rPr>
              <w:t xml:space="preserve">控集团控制 </w:t>
            </w:r>
          </w:p>
        </w:tc>
        <w:tc>
          <w:tcPr>
            <w:tcW w:type="dxa" w:w="1418"/>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0" w:after="0"/>
              <w:ind w:left="108" w:right="226" w:firstLine="0"/>
              <w:jc w:val="both"/>
            </w:pPr>
            <w:r>
              <w:rPr>
                <w:rFonts w:ascii="宋体" w:hAnsi="宋体" w:eastAsia="宋体"/>
                <w:b w:val="0"/>
                <w:i w:val="0"/>
                <w:color w:val="000000"/>
                <w:sz w:val="18"/>
              </w:rPr>
              <w:t>山西天使股权</w:t>
            </w:r>
            <w:r>
              <w:rPr>
                <w:rFonts w:ascii="宋体" w:hAnsi="宋体" w:eastAsia="宋体"/>
                <w:b w:val="0"/>
                <w:i w:val="0"/>
                <w:color w:val="000000"/>
                <w:sz w:val="18"/>
              </w:rPr>
              <w:t>投资基金合伙</w:t>
            </w:r>
            <w:r>
              <w:rPr>
                <w:rFonts w:ascii="宋体" w:hAnsi="宋体" w:eastAsia="宋体"/>
                <w:b w:val="0"/>
                <w:i w:val="0"/>
                <w:color w:val="000000"/>
                <w:sz w:val="18"/>
              </w:rPr>
              <w:t>企业（有限合</w:t>
            </w:r>
            <w:r>
              <w:rPr>
                <w:rFonts w:ascii="宋体" w:hAnsi="宋体" w:eastAsia="宋体"/>
                <w:b w:val="0"/>
                <w:i w:val="0"/>
                <w:color w:val="000000"/>
                <w:sz w:val="18"/>
              </w:rPr>
              <w:t xml:space="preserve">伙） </w:t>
            </w:r>
          </w:p>
        </w:tc>
        <w:tc>
          <w:tcPr>
            <w:tcW w:type="dxa" w:w="2084"/>
            <w:tcBorders>
              <w:start w:sz="2.400000000000091"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40" w:lineRule="exact" w:before="98" w:after="0"/>
              <w:ind w:left="104" w:right="174" w:firstLine="0"/>
              <w:jc w:val="both"/>
            </w:pPr>
            <w:r>
              <w:rPr>
                <w:rFonts w:ascii="宋体" w:hAnsi="宋体" w:eastAsia="宋体"/>
                <w:b w:val="0"/>
                <w:i w:val="0"/>
                <w:color w:val="000000"/>
                <w:sz w:val="18"/>
              </w:rPr>
              <w:t>以私募基金从事股权投</w:t>
            </w:r>
            <w:r>
              <w:rPr>
                <w:rFonts w:ascii="宋体" w:hAnsi="宋体" w:eastAsia="宋体"/>
                <w:b w:val="0"/>
                <w:i w:val="0"/>
                <w:color w:val="000000"/>
                <w:sz w:val="18"/>
              </w:rPr>
              <w:t>资、投资管理、资产管</w:t>
            </w:r>
            <w:r>
              <w:rPr>
                <w:rFonts w:ascii="宋体" w:hAnsi="宋体" w:eastAsia="宋体"/>
                <w:b w:val="0"/>
                <w:i w:val="0"/>
                <w:color w:val="000000"/>
                <w:sz w:val="18"/>
              </w:rPr>
              <w:t xml:space="preserve">理等活动。 </w:t>
            </w:r>
          </w:p>
        </w:tc>
        <w:tc>
          <w:tcPr>
            <w:tcW w:type="dxa" w:w="1208"/>
            <w:tcBorders>
              <w:start w:sz="1.6000000000003638"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97" w:lineRule="auto" w:before="418" w:after="0"/>
              <w:ind w:left="0" w:right="0" w:firstLine="0"/>
              <w:jc w:val="center"/>
            </w:pPr>
            <w:r>
              <w:rPr>
                <w:rFonts w:ascii="Calibri" w:hAnsi="Calibri" w:eastAsia="Calibri"/>
                <w:b w:val="0"/>
                <w:i w:val="0"/>
                <w:color w:val="000000"/>
                <w:sz w:val="18"/>
              </w:rPr>
              <w:t>1,255</w:t>
            </w:r>
          </w:p>
        </w:tc>
        <w:tc>
          <w:tcPr>
            <w:tcW w:type="dxa" w:w="1204"/>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97" w:lineRule="auto" w:before="418" w:after="0"/>
              <w:ind w:left="0" w:right="0" w:firstLine="0"/>
              <w:jc w:val="center"/>
            </w:pPr>
            <w:r>
              <w:rPr>
                <w:rFonts w:ascii="Calibri" w:hAnsi="Calibri" w:eastAsia="Calibri"/>
                <w:b w:val="0"/>
                <w:i w:val="0"/>
                <w:color w:val="000000"/>
                <w:sz w:val="18"/>
              </w:rPr>
              <w:t>1,255.38</w:t>
            </w:r>
          </w:p>
        </w:tc>
        <w:tc>
          <w:tcPr>
            <w:tcW w:type="dxa" w:w="1208"/>
            <w:tcBorders>
              <w:start w:sz="2.400000000000091" w:val="single" w:color="#000000"/>
              <w:top w:sz="1.599999999999909" w:val="single" w:color="#000000"/>
              <w:end w:sz="2.4000000000005457" w:val="single" w:color="#000000"/>
              <w:bottom w:sz="1.599999999999909" w:val="single" w:color="#000000"/>
            </w:tcBorders>
            <w:tcMar>
              <w:start w:w="0" w:type="dxa"/>
              <w:end w:w="0" w:type="dxa"/>
            </w:tcMar>
          </w:tcPr>
          <w:p>
            <w:pPr>
              <w:autoSpaceDN w:val="0"/>
              <w:autoSpaceDE w:val="0"/>
              <w:widowControl/>
              <w:spacing w:line="197" w:lineRule="auto" w:before="418" w:after="0"/>
              <w:ind w:left="0" w:right="102" w:firstLine="0"/>
              <w:jc w:val="right"/>
            </w:pPr>
            <w:r>
              <w:rPr>
                <w:rFonts w:ascii="Calibri" w:hAnsi="Calibri" w:eastAsia="Calibri"/>
                <w:b w:val="0"/>
                <w:i w:val="0"/>
                <w:color w:val="000000"/>
                <w:sz w:val="18"/>
              </w:rPr>
              <w:t>1,251.88</w:t>
            </w:r>
          </w:p>
        </w:tc>
        <w:tc>
          <w:tcPr>
            <w:tcW w:type="dxa" w:w="1206"/>
            <w:tcBorders>
              <w:start w:sz="2.4000000000005457"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97" w:lineRule="auto" w:before="418" w:after="0"/>
              <w:ind w:left="0" w:right="104" w:firstLine="0"/>
              <w:jc w:val="right"/>
            </w:pPr>
            <w:r>
              <w:rPr>
                <w:rFonts w:ascii="Calibri" w:hAnsi="Calibri" w:eastAsia="Calibri"/>
                <w:b w:val="0"/>
                <w:i w:val="0"/>
                <w:color w:val="000000"/>
                <w:sz w:val="18"/>
              </w:rPr>
              <w:t>-3.12</w:t>
            </w:r>
          </w:p>
        </w:tc>
      </w:tr>
      <w:tr>
        <w:trPr>
          <w:trHeight w:hRule="exact" w:val="564"/>
        </w:trPr>
        <w:tc>
          <w:tcPr>
            <w:tcW w:type="dxa" w:w="2660"/>
            <w:gridSpan w:val="2"/>
            <w:tcBorders>
              <w:start w:sz="1.5999999999999943" w:val="single" w:color="#000000"/>
              <w:top w:sz="1.599999999999909" w:val="single" w:color="#000000"/>
              <w:end w:sz="1.599999999999909" w:val="single" w:color="#000000"/>
              <w:bottom w:sz="1.599999999999909" w:val="single" w:color="#000000"/>
            </w:tcBorders>
            <w:shd w:fill="d2d2d2"/>
            <w:tcMar>
              <w:start w:w="0" w:type="dxa"/>
              <w:end w:w="0" w:type="dxa"/>
            </w:tcMar>
            <w:tcMar>
              <w:start w:w="0" w:type="dxa"/>
              <w:end w:w="0" w:type="dxa"/>
            </w:tcMar>
          </w:tcPr>
          <w:p>
            <w:pPr>
              <w:autoSpaceDN w:val="0"/>
              <w:autoSpaceDE w:val="0"/>
              <w:widowControl/>
              <w:spacing w:line="240" w:lineRule="exact" w:before="16" w:after="0"/>
              <w:ind w:left="106" w:right="144" w:firstLine="0"/>
              <w:jc w:val="left"/>
            </w:pPr>
            <w:r>
              <w:rPr>
                <w:rFonts w:ascii="宋体" w:hAnsi="宋体" w:eastAsia="宋体"/>
                <w:b w:val="0"/>
                <w:i w:val="0"/>
                <w:color w:val="000000"/>
                <w:sz w:val="18"/>
              </w:rPr>
              <w:t>被投资企业的重大在建项目的</w:t>
            </w:r>
            <w:r>
              <w:rPr>
                <w:rFonts w:ascii="宋体" w:hAnsi="宋体" w:eastAsia="宋体"/>
                <w:b w:val="0"/>
                <w:i w:val="0"/>
                <w:color w:val="000000"/>
                <w:sz w:val="18"/>
              </w:rPr>
              <w:t xml:space="preserve">进展情况 </w:t>
            </w:r>
          </w:p>
        </w:tc>
        <w:tc>
          <w:tcPr>
            <w:tcW w:type="dxa" w:w="8328"/>
            <w:gridSpan w:val="6"/>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98" w:after="0"/>
              <w:ind w:left="108" w:right="0" w:firstLine="0"/>
              <w:jc w:val="left"/>
            </w:pPr>
            <w:r>
              <w:rPr>
                <w:rFonts w:ascii="宋体" w:hAnsi="宋体" w:eastAsia="宋体"/>
                <w:b w:val="0"/>
                <w:i w:val="0"/>
                <w:color w:val="000000"/>
                <w:sz w:val="18"/>
              </w:rPr>
              <w:t xml:space="preserve">不适用 </w:t>
            </w:r>
          </w:p>
        </w:tc>
      </w:tr>
    </w:tbl>
    <w:p>
      <w:pPr>
        <w:autoSpaceDN w:val="0"/>
        <w:autoSpaceDE w:val="0"/>
        <w:widowControl/>
        <w:spacing w:line="210" w:lineRule="exact" w:before="342" w:after="0"/>
        <w:ind w:left="800" w:right="0" w:firstLine="0"/>
        <w:jc w:val="left"/>
      </w:pPr>
      <w:r>
        <w:rPr>
          <w:rFonts w:ascii="宋体" w:hAnsi="宋体" w:eastAsia="宋体"/>
          <w:b w:val="0"/>
          <w:i w:val="0"/>
          <w:color w:val="000000"/>
          <w:sz w:val="21"/>
        </w:rPr>
        <w:t xml:space="preserve">4、关联债权债务往来 </w:t>
      </w:r>
    </w:p>
    <w:p>
      <w:pPr>
        <w:autoSpaceDN w:val="0"/>
        <w:autoSpaceDE w:val="0"/>
        <w:widowControl/>
        <w:spacing w:line="180" w:lineRule="exact" w:before="364" w:after="126"/>
        <w:ind w:left="800" w:right="0" w:firstLine="0"/>
        <w:jc w:val="left"/>
      </w:pPr>
      <w:r>
        <w:rPr>
          <w:rFonts w:ascii="宋体" w:hAnsi="宋体" w:eastAsia="宋体"/>
          <w:b w:val="0"/>
          <w:i w:val="0"/>
          <w:color w:val="000000"/>
          <w:sz w:val="18"/>
        </w:rPr>
        <w:t xml:space="preserve">应收关联方债权 </w:t>
      </w:r>
    </w:p>
    <w:tbl>
      <w:tblPr>
        <w:tblW w:type="auto" w:w="0"/>
        <w:tblLayout w:type="fixed"/>
        <w:tblLook w:firstColumn="1" w:firstRow="1" w:lastColumn="0" w:lastRow="0" w:noHBand="0" w:noVBand="1" w:val="04A0"/>
        <w:tblInd w:w="690.0" w:type="dxa"/>
      </w:tblPr>
      <w:tblGrid>
        <w:gridCol w:w="1126"/>
        <w:gridCol w:w="1126"/>
        <w:gridCol w:w="1126"/>
        <w:gridCol w:w="1126"/>
        <w:gridCol w:w="1126"/>
        <w:gridCol w:w="1126"/>
        <w:gridCol w:w="1126"/>
        <w:gridCol w:w="1126"/>
        <w:gridCol w:w="1126"/>
        <w:gridCol w:w="1126"/>
      </w:tblGrid>
      <w:tr>
        <w:trPr>
          <w:trHeight w:hRule="exact" w:val="1044"/>
        </w:trPr>
        <w:tc>
          <w:tcPr>
            <w:tcW w:type="dxa" w:w="1342"/>
            <w:tcBorders>
              <w:start w:sz="2.3999999999999773" w:val="single" w:color="#000000"/>
              <w:top w:sz="1.599999999999909" w:val="single" w:color="#000000"/>
              <w:end w:sz="2.3999999999999773" w:val="single" w:color="#000000"/>
              <w:bottom w:sz="1.6000000000003638" w:val="single" w:color="#000000"/>
            </w:tcBorders>
            <w:shd w:fill="d2d2d2"/>
            <w:tcMar>
              <w:start w:w="0" w:type="dxa"/>
              <w:end w:w="0" w:type="dxa"/>
            </w:tcMar>
          </w:tcPr>
          <w:p>
            <w:pPr>
              <w:autoSpaceDN w:val="0"/>
              <w:autoSpaceDE w:val="0"/>
              <w:widowControl/>
              <w:spacing w:line="180" w:lineRule="exact" w:before="436" w:after="0"/>
              <w:ind w:left="0" w:right="306" w:firstLine="0"/>
              <w:jc w:val="right"/>
            </w:pPr>
            <w:r>
              <w:rPr>
                <w:rFonts w:ascii="宋体" w:hAnsi="宋体" w:eastAsia="宋体"/>
                <w:b w:val="0"/>
                <w:i w:val="0"/>
                <w:color w:val="000000"/>
                <w:sz w:val="18"/>
              </w:rPr>
              <w:t xml:space="preserve">关联方 </w:t>
            </w:r>
          </w:p>
        </w:tc>
        <w:tc>
          <w:tcPr>
            <w:tcW w:type="dxa" w:w="1030"/>
            <w:tcBorders>
              <w:start w:sz="2.3999999999999773" w:val="single" w:color="#000000"/>
              <w:top w:sz="1.599999999999909"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436" w:after="0"/>
              <w:ind w:left="154" w:right="0" w:firstLine="0"/>
              <w:jc w:val="left"/>
            </w:pPr>
            <w:r>
              <w:rPr>
                <w:rFonts w:ascii="宋体" w:hAnsi="宋体" w:eastAsia="宋体"/>
                <w:b w:val="0"/>
                <w:i w:val="0"/>
                <w:color w:val="000000"/>
                <w:sz w:val="18"/>
              </w:rPr>
              <w:t xml:space="preserve">关联关系 </w:t>
            </w:r>
          </w:p>
        </w:tc>
        <w:tc>
          <w:tcPr>
            <w:tcW w:type="dxa" w:w="1392"/>
            <w:tcBorders>
              <w:start w:sz="2.400000000000091" w:val="single" w:color="#000000"/>
              <w:top w:sz="1.599999999999909" w:val="single" w:color="#000000"/>
              <w:end w:sz="2.3999999999998636" w:val="single" w:color="#000000"/>
              <w:bottom w:sz="1.6000000000003638" w:val="single" w:color="#000000"/>
            </w:tcBorders>
            <w:shd w:fill="d2d2d2"/>
            <w:tcMar>
              <w:start w:w="0" w:type="dxa"/>
              <w:end w:w="0" w:type="dxa"/>
            </w:tcMar>
          </w:tcPr>
          <w:p>
            <w:pPr>
              <w:autoSpaceDN w:val="0"/>
              <w:autoSpaceDE w:val="0"/>
              <w:widowControl/>
              <w:spacing w:line="180" w:lineRule="exact" w:before="436" w:after="0"/>
              <w:ind w:left="332" w:right="0" w:firstLine="0"/>
              <w:jc w:val="left"/>
            </w:pPr>
            <w:r>
              <w:rPr>
                <w:rFonts w:ascii="宋体" w:hAnsi="宋体" w:eastAsia="宋体"/>
                <w:b w:val="0"/>
                <w:i w:val="0"/>
                <w:color w:val="000000"/>
                <w:sz w:val="18"/>
              </w:rPr>
              <w:t xml:space="preserve">形成原因 </w:t>
            </w:r>
          </w:p>
        </w:tc>
        <w:tc>
          <w:tcPr>
            <w:tcW w:type="dxa" w:w="1162"/>
            <w:tcBorders>
              <w:start w:sz="2.3999999999998636" w:val="single" w:color="#000000"/>
              <w:top w:sz="1.599999999999909"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238" w:lineRule="exact" w:before="138" w:after="0"/>
              <w:ind w:left="0" w:right="130" w:firstLine="0"/>
              <w:jc w:val="right"/>
            </w:pPr>
            <w:r>
              <w:rPr>
                <w:rFonts w:ascii="宋体" w:hAnsi="宋体" w:eastAsia="宋体"/>
                <w:b w:val="0"/>
                <w:i w:val="0"/>
                <w:color w:val="000000"/>
                <w:sz w:val="18"/>
              </w:rPr>
              <w:t>是否存在非</w:t>
            </w:r>
            <w:r>
              <w:rPr>
                <w:rFonts w:ascii="宋体" w:hAnsi="宋体" w:eastAsia="宋体"/>
                <w:b w:val="0"/>
                <w:i w:val="0"/>
                <w:color w:val="000000"/>
                <w:sz w:val="18"/>
              </w:rPr>
              <w:t>经营性资金</w:t>
            </w:r>
            <w:r>
              <w:rPr>
                <w:rFonts w:ascii="宋体" w:hAnsi="宋体" w:eastAsia="宋体"/>
                <w:b w:val="0"/>
                <w:i w:val="0"/>
                <w:color w:val="000000"/>
                <w:sz w:val="18"/>
              </w:rPr>
              <w:t xml:space="preserve">占用 </w:t>
            </w:r>
          </w:p>
        </w:tc>
        <w:tc>
          <w:tcPr>
            <w:tcW w:type="dxa" w:w="960"/>
            <w:tcBorders>
              <w:start w:sz="2.400000000000091" w:val="single" w:color="#000000"/>
              <w:top w:sz="1.599999999999909"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238" w:lineRule="exact" w:before="258" w:after="0"/>
              <w:ind w:left="116" w:right="0" w:firstLine="0"/>
              <w:jc w:val="left"/>
            </w:pPr>
            <w:r>
              <w:rPr>
                <w:rFonts w:ascii="宋体" w:hAnsi="宋体" w:eastAsia="宋体"/>
                <w:b w:val="0"/>
                <w:i w:val="0"/>
                <w:color w:val="000000"/>
                <w:sz w:val="18"/>
              </w:rPr>
              <w:t>期初余额</w:t>
            </w:r>
            <w:r>
              <w:br/>
            </w:r>
            <w:r>
              <w:rPr>
                <w:rFonts w:ascii="宋体" w:hAnsi="宋体" w:eastAsia="宋体"/>
                <w:b w:val="0"/>
                <w:i w:val="0"/>
                <w:color w:val="000000"/>
                <w:sz w:val="18"/>
              </w:rPr>
              <w:t xml:space="preserve">（万元） </w:t>
            </w:r>
          </w:p>
        </w:tc>
        <w:tc>
          <w:tcPr>
            <w:tcW w:type="dxa" w:w="1070"/>
            <w:tcBorders>
              <w:start w:sz="2.400000000000091"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238" w:lineRule="exact" w:before="138" w:after="0"/>
              <w:ind w:left="144" w:right="174" w:firstLine="0"/>
              <w:jc w:val="right"/>
            </w:pPr>
            <w:r>
              <w:rPr>
                <w:rFonts w:ascii="宋体" w:hAnsi="宋体" w:eastAsia="宋体"/>
                <w:b w:val="0"/>
                <w:i w:val="0"/>
                <w:color w:val="000000"/>
                <w:sz w:val="18"/>
              </w:rPr>
              <w:t>本期新增</w:t>
            </w:r>
            <w:r>
              <w:rPr>
                <w:rFonts w:ascii="宋体" w:hAnsi="宋体" w:eastAsia="宋体"/>
                <w:b w:val="0"/>
                <w:i w:val="0"/>
                <w:color w:val="000000"/>
                <w:sz w:val="18"/>
              </w:rPr>
              <w:t>金额（万</w:t>
            </w:r>
            <w:r>
              <w:rPr>
                <w:rFonts w:ascii="宋体" w:hAnsi="宋体" w:eastAsia="宋体"/>
                <w:b w:val="0"/>
                <w:i w:val="0"/>
                <w:color w:val="000000"/>
                <w:sz w:val="18"/>
              </w:rPr>
              <w:t xml:space="preserve">元） </w:t>
            </w:r>
          </w:p>
        </w:tc>
        <w:tc>
          <w:tcPr>
            <w:tcW w:type="dxa" w:w="950"/>
            <w:tcBorders>
              <w:start w:sz="1.6000000000003638"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238" w:lineRule="exact" w:before="138" w:after="0"/>
              <w:ind w:left="0" w:right="114" w:firstLine="0"/>
              <w:jc w:val="right"/>
            </w:pPr>
            <w:r>
              <w:rPr>
                <w:rFonts w:ascii="宋体" w:hAnsi="宋体" w:eastAsia="宋体"/>
                <w:b w:val="0"/>
                <w:i w:val="0"/>
                <w:color w:val="000000"/>
                <w:sz w:val="18"/>
              </w:rPr>
              <w:t>本期收回</w:t>
            </w:r>
            <w:r>
              <w:rPr>
                <w:rFonts w:ascii="宋体" w:hAnsi="宋体" w:eastAsia="宋体"/>
                <w:b w:val="0"/>
                <w:i w:val="0"/>
                <w:color w:val="000000"/>
                <w:sz w:val="18"/>
              </w:rPr>
              <w:t>金额（万</w:t>
            </w:r>
            <w:r>
              <w:rPr>
                <w:rFonts w:ascii="宋体" w:hAnsi="宋体" w:eastAsia="宋体"/>
                <w:b w:val="0"/>
                <w:i w:val="0"/>
                <w:color w:val="000000"/>
                <w:sz w:val="18"/>
              </w:rPr>
              <w:t xml:space="preserve">元） </w:t>
            </w:r>
          </w:p>
        </w:tc>
        <w:tc>
          <w:tcPr>
            <w:tcW w:type="dxa" w:w="740"/>
            <w:tcBorders>
              <w:start w:sz="1.6000000000003638"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180" w:lineRule="exact" w:before="436" w:after="0"/>
              <w:ind w:left="0" w:right="98" w:firstLine="0"/>
              <w:jc w:val="right"/>
            </w:pPr>
            <w:r>
              <w:rPr>
                <w:rFonts w:ascii="宋体" w:hAnsi="宋体" w:eastAsia="宋体"/>
                <w:b w:val="0"/>
                <w:i w:val="0"/>
                <w:color w:val="000000"/>
                <w:sz w:val="18"/>
              </w:rPr>
              <w:t xml:space="preserve">利率 </w:t>
            </w:r>
          </w:p>
        </w:tc>
        <w:tc>
          <w:tcPr>
            <w:tcW w:type="dxa" w:w="670"/>
            <w:tcBorders>
              <w:start w:sz="1.6000000000003638" w:val="single" w:color="#000000"/>
              <w:top w:sz="1.599999999999909" w:val="single" w:color="#000000"/>
              <w:end w:sz="2.4000000000005457" w:val="single" w:color="#000000"/>
              <w:bottom w:sz="1.6000000000003638" w:val="single" w:color="#000000"/>
            </w:tcBorders>
            <w:shd w:fill="d2d2d2"/>
            <w:tcMar>
              <w:start w:w="0" w:type="dxa"/>
              <w:end w:w="0" w:type="dxa"/>
            </w:tcMar>
          </w:tcPr>
          <w:p>
            <w:pPr>
              <w:autoSpaceDN w:val="0"/>
              <w:autoSpaceDE w:val="0"/>
              <w:widowControl/>
              <w:spacing w:line="240" w:lineRule="exact" w:before="16" w:after="0"/>
              <w:ind w:left="152" w:right="62" w:firstLine="0"/>
              <w:jc w:val="both"/>
            </w:pPr>
            <w:r>
              <w:rPr>
                <w:rFonts w:ascii="宋体" w:hAnsi="宋体" w:eastAsia="宋体"/>
                <w:b w:val="0"/>
                <w:i w:val="0"/>
                <w:color w:val="000000"/>
                <w:sz w:val="18"/>
              </w:rPr>
              <w:t>本期</w:t>
            </w:r>
            <w:r>
              <w:br/>
            </w:r>
            <w:r>
              <w:rPr>
                <w:rFonts w:ascii="宋体" w:hAnsi="宋体" w:eastAsia="宋体"/>
                <w:b w:val="0"/>
                <w:i w:val="0"/>
                <w:color w:val="000000"/>
                <w:sz w:val="18"/>
              </w:rPr>
              <w:t>利息</w:t>
            </w:r>
            <w:r>
              <w:br/>
            </w:r>
            <w:r>
              <w:rPr>
                <w:rFonts w:ascii="宋体" w:hAnsi="宋体" w:eastAsia="宋体"/>
                <w:b w:val="0"/>
                <w:i w:val="0"/>
                <w:color w:val="000000"/>
                <w:sz w:val="18"/>
              </w:rPr>
              <w:t>（万</w:t>
            </w:r>
            <w:r>
              <w:br/>
            </w:r>
            <w:r>
              <w:rPr>
                <w:rFonts w:ascii="宋体" w:hAnsi="宋体" w:eastAsia="宋体"/>
                <w:b w:val="0"/>
                <w:i w:val="0"/>
                <w:color w:val="000000"/>
                <w:sz w:val="18"/>
              </w:rPr>
              <w:t xml:space="preserve">元） </w:t>
            </w:r>
          </w:p>
        </w:tc>
        <w:tc>
          <w:tcPr>
            <w:tcW w:type="dxa" w:w="890"/>
            <w:tcBorders>
              <w:start w:sz="2.4000000000005457"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238" w:lineRule="exact" w:before="138" w:after="0"/>
              <w:ind w:left="144" w:right="172" w:firstLine="0"/>
              <w:jc w:val="right"/>
            </w:pPr>
            <w:r>
              <w:rPr>
                <w:rFonts w:ascii="宋体" w:hAnsi="宋体" w:eastAsia="宋体"/>
                <w:b w:val="0"/>
                <w:i w:val="0"/>
                <w:color w:val="000000"/>
                <w:sz w:val="18"/>
              </w:rPr>
              <w:t>期末余</w:t>
            </w:r>
            <w:r>
              <w:rPr>
                <w:rFonts w:ascii="宋体" w:hAnsi="宋体" w:eastAsia="宋体"/>
                <w:b w:val="0"/>
                <w:i w:val="0"/>
                <w:color w:val="000000"/>
                <w:sz w:val="18"/>
              </w:rPr>
              <w:t>额（万</w:t>
            </w:r>
            <w:r>
              <w:rPr>
                <w:rFonts w:ascii="宋体" w:hAnsi="宋体" w:eastAsia="宋体"/>
                <w:b w:val="0"/>
                <w:i w:val="0"/>
                <w:color w:val="000000"/>
                <w:sz w:val="18"/>
              </w:rPr>
              <w:t xml:space="preserve">元） </w:t>
            </w:r>
          </w:p>
        </w:tc>
      </w:tr>
      <w:tr>
        <w:trPr>
          <w:trHeight w:hRule="exact" w:val="706"/>
        </w:trPr>
        <w:tc>
          <w:tcPr>
            <w:tcW w:type="dxa" w:w="1342"/>
            <w:tcBorders>
              <w:start w:sz="2.3999999999999773" w:val="single" w:color="#000000"/>
              <w:top w:sz="1.6000000000003638" w:val="single" w:color="#000000"/>
              <w:end w:sz="2.3999999999999773" w:val="single" w:color="#000000"/>
              <w:bottom w:sz="1.5999999999994543" w:val="single" w:color="#000000"/>
            </w:tcBorders>
            <w:tcMar>
              <w:start w:w="0" w:type="dxa"/>
              <w:end w:w="0" w:type="dxa"/>
            </w:tcMar>
          </w:tcPr>
          <w:p>
            <w:pPr>
              <w:autoSpaceDN w:val="0"/>
              <w:autoSpaceDE w:val="0"/>
              <w:widowControl/>
              <w:spacing w:line="232" w:lineRule="exact" w:before="92" w:after="0"/>
              <w:ind w:left="108" w:right="0" w:firstLine="0"/>
              <w:jc w:val="left"/>
            </w:pPr>
            <w:r>
              <w:rPr>
                <w:rFonts w:ascii="宋体" w:hAnsi="宋体" w:eastAsia="宋体"/>
                <w:b w:val="0"/>
                <w:i w:val="0"/>
                <w:color w:val="000000"/>
                <w:sz w:val="18"/>
              </w:rPr>
              <w:t>深圳烨华资源</w:t>
            </w:r>
            <w:r>
              <w:rPr>
                <w:rFonts w:ascii="宋体" w:hAnsi="宋体" w:eastAsia="宋体"/>
                <w:b w:val="0"/>
                <w:i w:val="0"/>
                <w:color w:val="000000"/>
                <w:sz w:val="18"/>
              </w:rPr>
              <w:t xml:space="preserve">集团有限公司 </w:t>
            </w:r>
          </w:p>
        </w:tc>
        <w:tc>
          <w:tcPr>
            <w:tcW w:type="dxa" w:w="1030"/>
            <w:tcBorders>
              <w:start w:sz="2.3999999999999773"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24" w:lineRule="exact" w:before="0" w:after="0"/>
              <w:ind w:left="144" w:right="150" w:firstLine="0"/>
              <w:jc w:val="right"/>
            </w:pPr>
            <w:r>
              <w:rPr>
                <w:rFonts w:ascii="宋体" w:hAnsi="宋体" w:eastAsia="宋体"/>
                <w:b w:val="0"/>
                <w:i w:val="0"/>
                <w:color w:val="000000"/>
                <w:sz w:val="18"/>
              </w:rPr>
              <w:t>受本集团</w:t>
            </w:r>
            <w:r>
              <w:rPr>
                <w:rFonts w:ascii="宋体" w:hAnsi="宋体" w:eastAsia="宋体"/>
                <w:b w:val="0"/>
                <w:i w:val="0"/>
                <w:color w:val="000000"/>
                <w:sz w:val="18"/>
              </w:rPr>
              <w:t>子公司重</w:t>
            </w:r>
            <w:r>
              <w:rPr>
                <w:rFonts w:ascii="宋体" w:hAnsi="宋体" w:eastAsia="宋体"/>
                <w:b w:val="0"/>
                <w:i w:val="0"/>
                <w:color w:val="000000"/>
                <w:sz w:val="18"/>
              </w:rPr>
              <w:t xml:space="preserve">大影响 </w:t>
            </w:r>
          </w:p>
        </w:tc>
        <w:tc>
          <w:tcPr>
            <w:tcW w:type="dxa" w:w="1392"/>
            <w:tcBorders>
              <w:start w:sz="2.400000000000091" w:val="single" w:color="#000000"/>
              <w:top w:sz="1.6000000000003638" w:val="single" w:color="#000000"/>
              <w:end w:sz="2.3999999999998636" w:val="single" w:color="#000000"/>
              <w:bottom w:sz="1.5999999999994543" w:val="single" w:color="#000000"/>
            </w:tcBorders>
            <w:tcMar>
              <w:start w:w="0" w:type="dxa"/>
              <w:end w:w="0" w:type="dxa"/>
            </w:tcMar>
          </w:tcPr>
          <w:p>
            <w:pPr>
              <w:autoSpaceDN w:val="0"/>
              <w:autoSpaceDE w:val="0"/>
              <w:widowControl/>
              <w:spacing w:line="232" w:lineRule="exact" w:before="92" w:after="0"/>
              <w:ind w:left="108" w:right="144" w:firstLine="0"/>
              <w:jc w:val="left"/>
            </w:pPr>
            <w:r>
              <w:rPr>
                <w:rFonts w:ascii="宋体" w:hAnsi="宋体" w:eastAsia="宋体"/>
                <w:b w:val="0"/>
                <w:i w:val="0"/>
                <w:color w:val="000000"/>
                <w:sz w:val="18"/>
              </w:rPr>
              <w:t>应收账款及其</w:t>
            </w:r>
            <w:r>
              <w:rPr>
                <w:rFonts w:ascii="宋体" w:hAnsi="宋体" w:eastAsia="宋体"/>
                <w:b w:val="0"/>
                <w:i w:val="0"/>
                <w:color w:val="000000"/>
                <w:sz w:val="18"/>
              </w:rPr>
              <w:t xml:space="preserve">他应收款 </w:t>
            </w:r>
          </w:p>
        </w:tc>
        <w:tc>
          <w:tcPr>
            <w:tcW w:type="dxa" w:w="1162"/>
            <w:tcBorders>
              <w:start w:sz="2.3999999999998636"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180" w:lineRule="exact" w:before="25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250" w:after="0"/>
              <w:ind w:left="218" w:right="0" w:firstLine="0"/>
              <w:jc w:val="left"/>
            </w:pPr>
            <w:r>
              <w:rPr>
                <w:rFonts w:ascii="Times New Roman" w:hAnsi="Times New Roman" w:eastAsia="Times New Roman"/>
                <w:b w:val="0"/>
                <w:i w:val="0"/>
                <w:color w:val="000000"/>
                <w:sz w:val="18"/>
              </w:rPr>
              <w:t xml:space="preserve">5,347.24 </w:t>
            </w:r>
          </w:p>
        </w:tc>
        <w:tc>
          <w:tcPr>
            <w:tcW w:type="dxa" w:w="1070"/>
            <w:tcBorders>
              <w:start w:sz="2.400000000000091"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354"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700.00 </w:t>
            </w:r>
          </w:p>
        </w:tc>
        <w:tc>
          <w:tcPr>
            <w:tcW w:type="dxa" w:w="74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354"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3" w:lineRule="auto" w:before="354" w:after="0"/>
              <w:ind w:left="0" w:right="14"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353" w:lineRule="auto" w:before="250" w:after="0"/>
              <w:ind w:left="0" w:right="0" w:firstLine="0"/>
              <w:jc w:val="left"/>
            </w:pPr>
            <w:r>
              <w:rPr>
                <w:rFonts w:ascii="Times New Roman" w:hAnsi="Times New Roman" w:eastAsia="Times New Roman"/>
                <w:b w:val="0"/>
                <w:i w:val="0"/>
                <w:color w:val="000000"/>
                <w:sz w:val="18"/>
              </w:rPr>
              <w:t xml:space="preserve"> </w:t>
            </w:r>
            <w:r>
              <w:rPr>
                <w:rFonts w:ascii="Times New Roman" w:hAnsi="Times New Roman" w:eastAsia="Times New Roman"/>
                <w:b w:val="0"/>
                <w:i w:val="0"/>
                <w:color w:val="000000"/>
                <w:sz w:val="18"/>
              </w:rPr>
              <w:t xml:space="preserve">4,647.24 </w:t>
            </w:r>
          </w:p>
        </w:tc>
      </w:tr>
      <w:tr>
        <w:trPr>
          <w:trHeight w:hRule="exact" w:val="706"/>
        </w:trPr>
        <w:tc>
          <w:tcPr>
            <w:tcW w:type="dxa" w:w="1342"/>
            <w:tcBorders>
              <w:start w:sz="2.3999999999999773" w:val="single" w:color="#000000"/>
              <w:top w:sz="1.5999999999994543" w:val="single" w:color="#000000"/>
              <w:end w:sz="2.3999999999999773" w:val="single" w:color="#000000"/>
              <w:bottom w:sz="1.6000000000003638" w:val="single" w:color="#000000"/>
            </w:tcBorders>
            <w:tcMar>
              <w:start w:w="0" w:type="dxa"/>
              <w:end w:w="0" w:type="dxa"/>
            </w:tcMar>
          </w:tcPr>
          <w:p>
            <w:pPr>
              <w:autoSpaceDN w:val="0"/>
              <w:autoSpaceDE w:val="0"/>
              <w:widowControl/>
              <w:spacing w:line="224" w:lineRule="exact" w:before="0" w:after="0"/>
              <w:ind w:left="108" w:right="148" w:firstLine="0"/>
              <w:jc w:val="both"/>
            </w:pPr>
            <w:r>
              <w:rPr>
                <w:rFonts w:ascii="宋体" w:hAnsi="宋体" w:eastAsia="宋体"/>
                <w:b w:val="0"/>
                <w:i w:val="0"/>
                <w:color w:val="000000"/>
                <w:sz w:val="18"/>
              </w:rPr>
              <w:t>山西省国贸投</w:t>
            </w:r>
            <w:r>
              <w:rPr>
                <w:rFonts w:ascii="宋体" w:hAnsi="宋体" w:eastAsia="宋体"/>
                <w:b w:val="0"/>
                <w:i w:val="0"/>
                <w:color w:val="000000"/>
                <w:sz w:val="18"/>
              </w:rPr>
              <w:t>资集团有限公</w:t>
            </w:r>
            <w:r>
              <w:rPr>
                <w:rFonts w:ascii="宋体" w:hAnsi="宋体" w:eastAsia="宋体"/>
                <w:b w:val="0"/>
                <w:i w:val="0"/>
                <w:color w:val="000000"/>
                <w:sz w:val="18"/>
              </w:rPr>
              <w:t xml:space="preserve">司 </w:t>
            </w:r>
          </w:p>
        </w:tc>
        <w:tc>
          <w:tcPr>
            <w:tcW w:type="dxa" w:w="1030"/>
            <w:tcBorders>
              <w:start w:sz="2.3999999999999773"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24" w:lineRule="exact" w:before="0" w:after="0"/>
              <w:ind w:left="144" w:right="152" w:firstLine="0"/>
              <w:jc w:val="right"/>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1392"/>
            <w:tcBorders>
              <w:start w:sz="2.400000000000091" w:val="single" w:color="#000000"/>
              <w:top w:sz="1.5999999999994543"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258" w:after="0"/>
              <w:ind w:left="0" w:right="0" w:firstLine="0"/>
              <w:jc w:val="center"/>
            </w:pPr>
            <w:r>
              <w:rPr>
                <w:rFonts w:ascii="宋体" w:hAnsi="宋体" w:eastAsia="宋体"/>
                <w:b w:val="0"/>
                <w:i w:val="0"/>
                <w:color w:val="000000"/>
                <w:sz w:val="18"/>
              </w:rPr>
              <w:t xml:space="preserve">预付租赁押金 </w:t>
            </w:r>
          </w:p>
        </w:tc>
        <w:tc>
          <w:tcPr>
            <w:tcW w:type="dxa" w:w="1162"/>
            <w:tcBorders>
              <w:start w:sz="2.3999999999998636"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5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3.54 </w:t>
            </w:r>
          </w:p>
        </w:tc>
        <w:tc>
          <w:tcPr>
            <w:tcW w:type="dxa" w:w="1070"/>
            <w:tcBorders>
              <w:start w:sz="2.400000000000091"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1.2 </w:t>
            </w:r>
          </w:p>
        </w:tc>
        <w:tc>
          <w:tcPr>
            <w:tcW w:type="dxa" w:w="740"/>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54"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4543" w:val="single" w:color="#000000"/>
              <w:end w:sz="2.4000000000005457" w:val="single" w:color="#000000"/>
              <w:bottom w:sz="1.6000000000003638" w:val="single" w:color="#000000"/>
            </w:tcBorders>
            <w:tcMar>
              <w:start w:w="0" w:type="dxa"/>
              <w:end w:w="0" w:type="dxa"/>
            </w:tcMar>
          </w:tcPr>
          <w:p>
            <w:pPr>
              <w:autoSpaceDN w:val="0"/>
              <w:autoSpaceDE w:val="0"/>
              <w:widowControl/>
              <w:spacing w:line="230" w:lineRule="auto" w:before="354"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250" w:after="0"/>
              <w:ind w:left="0" w:right="58" w:firstLine="0"/>
              <w:jc w:val="right"/>
            </w:pPr>
            <w:r>
              <w:rPr>
                <w:rFonts w:ascii="Times New Roman" w:hAnsi="Times New Roman" w:eastAsia="Times New Roman"/>
                <w:b w:val="0"/>
                <w:i w:val="0"/>
                <w:color w:val="000000"/>
                <w:sz w:val="18"/>
              </w:rPr>
              <w:t xml:space="preserve">2.34 </w:t>
            </w:r>
          </w:p>
        </w:tc>
      </w:tr>
      <w:tr>
        <w:trPr>
          <w:trHeight w:hRule="exact" w:val="816"/>
        </w:trPr>
        <w:tc>
          <w:tcPr>
            <w:tcW w:type="dxa" w:w="1342"/>
            <w:tcBorders>
              <w:start w:sz="2.3999999999999773" w:val="single" w:color="#000000"/>
              <w:top w:sz="1.6000000000003638" w:val="single" w:color="#000000"/>
              <w:end w:sz="2.3999999999999773" w:val="single" w:color="#000000"/>
              <w:bottom w:sz="1.5999999999994543" w:val="single" w:color="#000000"/>
            </w:tcBorders>
            <w:tcMar>
              <w:start w:w="0" w:type="dxa"/>
              <w:end w:w="0" w:type="dxa"/>
            </w:tcMar>
          </w:tcPr>
          <w:p>
            <w:pPr>
              <w:autoSpaceDN w:val="0"/>
              <w:autoSpaceDE w:val="0"/>
              <w:widowControl/>
              <w:spacing w:line="234" w:lineRule="exact" w:before="26" w:after="0"/>
              <w:ind w:left="108" w:right="148" w:firstLine="0"/>
              <w:jc w:val="both"/>
            </w:pPr>
            <w:r>
              <w:rPr>
                <w:rFonts w:ascii="宋体" w:hAnsi="宋体" w:eastAsia="宋体"/>
                <w:b w:val="0"/>
                <w:i w:val="0"/>
                <w:color w:val="000000"/>
                <w:sz w:val="18"/>
              </w:rPr>
              <w:t>山西省国贸投</w:t>
            </w:r>
            <w:r>
              <w:rPr>
                <w:rFonts w:ascii="宋体" w:hAnsi="宋体" w:eastAsia="宋体"/>
                <w:b w:val="0"/>
                <w:i w:val="0"/>
                <w:color w:val="000000"/>
                <w:sz w:val="18"/>
              </w:rPr>
              <w:t>资集团有限公</w:t>
            </w:r>
            <w:r>
              <w:rPr>
                <w:rFonts w:ascii="宋体" w:hAnsi="宋体" w:eastAsia="宋体"/>
                <w:b w:val="0"/>
                <w:i w:val="0"/>
                <w:color w:val="000000"/>
                <w:sz w:val="18"/>
              </w:rPr>
              <w:t xml:space="preserve">司 </w:t>
            </w:r>
          </w:p>
        </w:tc>
        <w:tc>
          <w:tcPr>
            <w:tcW w:type="dxa" w:w="1030"/>
            <w:tcBorders>
              <w:start w:sz="2.3999999999999773"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4" w:lineRule="exact" w:before="26" w:after="0"/>
              <w:ind w:left="144" w:right="152" w:firstLine="0"/>
              <w:jc w:val="right"/>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1392"/>
            <w:tcBorders>
              <w:start w:sz="2.400000000000091" w:val="single" w:color="#000000"/>
              <w:top w:sz="1.6000000000003638" w:val="single" w:color="#000000"/>
              <w:end w:sz="2.3999999999998636" w:val="single" w:color="#000000"/>
              <w:bottom w:sz="1.5999999999994543" w:val="single" w:color="#000000"/>
            </w:tcBorders>
            <w:tcMar>
              <w:start w:w="0" w:type="dxa"/>
              <w:end w:w="0" w:type="dxa"/>
            </w:tcMar>
          </w:tcPr>
          <w:p>
            <w:pPr>
              <w:autoSpaceDN w:val="0"/>
              <w:autoSpaceDE w:val="0"/>
              <w:widowControl/>
              <w:spacing w:line="180" w:lineRule="exact" w:before="314" w:after="0"/>
              <w:ind w:left="108" w:right="0" w:firstLine="0"/>
              <w:jc w:val="left"/>
            </w:pPr>
            <w:r>
              <w:rPr>
                <w:rFonts w:ascii="宋体" w:hAnsi="宋体" w:eastAsia="宋体"/>
                <w:b w:val="0"/>
                <w:i w:val="0"/>
                <w:color w:val="000000"/>
                <w:sz w:val="18"/>
              </w:rPr>
              <w:t xml:space="preserve">房租保证金 </w:t>
            </w:r>
          </w:p>
        </w:tc>
        <w:tc>
          <w:tcPr>
            <w:tcW w:type="dxa" w:w="1162"/>
            <w:tcBorders>
              <w:start w:sz="2.3999999999998636"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180" w:lineRule="exact" w:before="31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0" w:lineRule="auto" w:before="306" w:after="0"/>
              <w:ind w:left="0" w:right="62" w:firstLine="0"/>
              <w:jc w:val="right"/>
            </w:pPr>
            <w:r>
              <w:rPr>
                <w:rFonts w:ascii="Times New Roman" w:hAnsi="Times New Roman" w:eastAsia="Times New Roman"/>
                <w:b w:val="0"/>
                <w:i w:val="0"/>
                <w:color w:val="000000"/>
                <w:sz w:val="18"/>
              </w:rPr>
              <w:t xml:space="preserve">46.16 </w:t>
            </w:r>
          </w:p>
        </w:tc>
        <w:tc>
          <w:tcPr>
            <w:tcW w:type="dxa" w:w="1070"/>
            <w:tcBorders>
              <w:start w:sz="2.400000000000091"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408" w:after="0"/>
              <w:ind w:left="0" w:right="62" w:firstLine="0"/>
              <w:jc w:val="right"/>
            </w:pPr>
            <w:r>
              <w:rPr>
                <w:rFonts w:ascii="Times New Roman" w:hAnsi="Times New Roman" w:eastAsia="Times New Roman"/>
                <w:b w:val="0"/>
                <w:i w:val="0"/>
                <w:color w:val="000000"/>
                <w:sz w:val="18"/>
              </w:rPr>
              <w:t xml:space="preserve"> - </w:t>
            </w:r>
          </w:p>
        </w:tc>
        <w:tc>
          <w:tcPr>
            <w:tcW w:type="dxa" w:w="95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408"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3" w:lineRule="auto" w:before="408"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3638" w:val="single" w:color="#000000"/>
              <w:end w:sz="2.4000000000005457" w:val="single" w:color="#000000"/>
              <w:bottom w:sz="1.5999999999994543" w:val="single" w:color="#000000"/>
            </w:tcBorders>
            <w:tcMar>
              <w:start w:w="0" w:type="dxa"/>
              <w:end w:w="0" w:type="dxa"/>
            </w:tcMar>
          </w:tcPr>
          <w:p>
            <w:pPr>
              <w:autoSpaceDN w:val="0"/>
              <w:autoSpaceDE w:val="0"/>
              <w:widowControl/>
              <w:spacing w:line="233" w:lineRule="auto" w:before="408"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230" w:lineRule="auto" w:before="306" w:after="0"/>
              <w:ind w:left="0" w:right="58" w:firstLine="0"/>
              <w:jc w:val="right"/>
            </w:pPr>
            <w:r>
              <w:rPr>
                <w:rFonts w:ascii="Times New Roman" w:hAnsi="Times New Roman" w:eastAsia="Times New Roman"/>
                <w:b w:val="0"/>
                <w:i w:val="0"/>
                <w:color w:val="000000"/>
                <w:sz w:val="18"/>
              </w:rPr>
              <w:t xml:space="preserve">46.16 </w:t>
            </w:r>
          </w:p>
        </w:tc>
      </w:tr>
      <w:tr>
        <w:trPr>
          <w:trHeight w:hRule="exact" w:val="704"/>
        </w:trPr>
        <w:tc>
          <w:tcPr>
            <w:tcW w:type="dxa" w:w="1342"/>
            <w:tcBorders>
              <w:start w:sz="2.3999999999999773" w:val="single" w:color="#000000"/>
              <w:top w:sz="1.5999999999994543" w:val="single" w:color="#000000"/>
              <w:end w:sz="2.3999999999999773" w:val="single" w:color="#000000"/>
              <w:bottom w:sz="2.4000000000005457" w:val="single" w:color="#000000"/>
            </w:tcBorders>
            <w:tcMar>
              <w:start w:w="0" w:type="dxa"/>
              <w:end w:w="0" w:type="dxa"/>
            </w:tcMar>
          </w:tcPr>
          <w:p>
            <w:pPr>
              <w:autoSpaceDN w:val="0"/>
              <w:autoSpaceDE w:val="0"/>
              <w:widowControl/>
              <w:spacing w:line="224" w:lineRule="exact" w:before="0" w:after="0"/>
              <w:ind w:left="108" w:right="148" w:firstLine="0"/>
              <w:jc w:val="both"/>
            </w:pPr>
            <w:r>
              <w:rPr>
                <w:rFonts w:ascii="宋体" w:hAnsi="宋体" w:eastAsia="宋体"/>
                <w:b w:val="0"/>
                <w:i w:val="0"/>
                <w:color w:val="000000"/>
                <w:sz w:val="18"/>
              </w:rPr>
              <w:t>山西国贸大饭</w:t>
            </w:r>
            <w:r>
              <w:rPr>
                <w:rFonts w:ascii="宋体" w:hAnsi="宋体" w:eastAsia="宋体"/>
                <w:b w:val="0"/>
                <w:i w:val="0"/>
                <w:color w:val="000000"/>
                <w:sz w:val="18"/>
              </w:rPr>
              <w:t>店管理有限公</w:t>
            </w:r>
            <w:r>
              <w:rPr>
                <w:rFonts w:ascii="宋体" w:hAnsi="宋体" w:eastAsia="宋体"/>
                <w:b w:val="0"/>
                <w:i w:val="0"/>
                <w:color w:val="000000"/>
                <w:sz w:val="18"/>
              </w:rPr>
              <w:t xml:space="preserve">司 </w:t>
            </w:r>
          </w:p>
        </w:tc>
        <w:tc>
          <w:tcPr>
            <w:tcW w:type="dxa" w:w="1030"/>
            <w:tcBorders>
              <w:start w:sz="2.3999999999999773"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224" w:lineRule="exact" w:before="0" w:after="0"/>
              <w:ind w:left="144" w:right="152" w:firstLine="0"/>
              <w:jc w:val="right"/>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1392"/>
            <w:tcBorders>
              <w:start w:sz="2.400000000000091" w:val="single" w:color="#000000"/>
              <w:top w:sz="1.5999999999994543" w:val="single" w:color="#000000"/>
              <w:end w:sz="2.3999999999998636" w:val="single" w:color="#000000"/>
              <w:bottom w:sz="2.4000000000005457" w:val="single" w:color="#000000"/>
            </w:tcBorders>
            <w:tcMar>
              <w:start w:w="0" w:type="dxa"/>
              <w:end w:w="0" w:type="dxa"/>
            </w:tcMar>
          </w:tcPr>
          <w:p>
            <w:pPr>
              <w:autoSpaceDN w:val="0"/>
              <w:autoSpaceDE w:val="0"/>
              <w:widowControl/>
              <w:spacing w:line="180" w:lineRule="exact" w:before="258" w:after="0"/>
              <w:ind w:left="108" w:right="0" w:firstLine="0"/>
              <w:jc w:val="left"/>
            </w:pPr>
            <w:r>
              <w:rPr>
                <w:rFonts w:ascii="宋体" w:hAnsi="宋体" w:eastAsia="宋体"/>
                <w:b w:val="0"/>
                <w:i w:val="0"/>
                <w:color w:val="000000"/>
                <w:sz w:val="18"/>
              </w:rPr>
              <w:t xml:space="preserve">房租押金 </w:t>
            </w:r>
          </w:p>
        </w:tc>
        <w:tc>
          <w:tcPr>
            <w:tcW w:type="dxa" w:w="1162"/>
            <w:tcBorders>
              <w:start w:sz="2.3999999999998636"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180" w:lineRule="exact" w:before="25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4543" w:val="single" w:color="#000000"/>
              <w:end w:sz="2.400000000000091" w:val="single" w:color="#000000"/>
              <w:bottom w:sz="2.4000000000005457"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4.85 </w:t>
            </w:r>
          </w:p>
        </w:tc>
        <w:tc>
          <w:tcPr>
            <w:tcW w:type="dxa" w:w="1070"/>
            <w:tcBorders>
              <w:start w:sz="2.400000000000091"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354"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354"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0" w:lineRule="auto" w:before="354"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4543" w:val="single" w:color="#000000"/>
              <w:end w:sz="2.4000000000005457" w:val="single" w:color="#000000"/>
              <w:bottom w:sz="2.4000000000005457" w:val="single" w:color="#000000"/>
            </w:tcBorders>
            <w:tcMar>
              <w:start w:w="0" w:type="dxa"/>
              <w:end w:w="0" w:type="dxa"/>
            </w:tcMar>
          </w:tcPr>
          <w:p>
            <w:pPr>
              <w:autoSpaceDN w:val="0"/>
              <w:autoSpaceDE w:val="0"/>
              <w:widowControl/>
              <w:spacing w:line="230" w:lineRule="auto" w:before="354"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250" w:after="0"/>
              <w:ind w:left="0" w:right="58" w:firstLine="0"/>
              <w:jc w:val="right"/>
            </w:pPr>
            <w:r>
              <w:rPr>
                <w:rFonts w:ascii="Times New Roman" w:hAnsi="Times New Roman" w:eastAsia="Times New Roman"/>
                <w:b w:val="0"/>
                <w:i w:val="0"/>
                <w:color w:val="000000"/>
                <w:sz w:val="18"/>
              </w:rPr>
              <w:t xml:space="preserve">4.85 </w:t>
            </w:r>
          </w:p>
        </w:tc>
      </w:tr>
      <w:tr>
        <w:trPr>
          <w:trHeight w:hRule="exact" w:val="708"/>
        </w:trPr>
        <w:tc>
          <w:tcPr>
            <w:tcW w:type="dxa" w:w="1342"/>
            <w:tcBorders>
              <w:start w:sz="2.3999999999999773" w:val="single" w:color="#000000"/>
              <w:top w:sz="2.4000000000005457" w:val="single" w:color="#000000"/>
              <w:end w:sz="2.3999999999999773" w:val="single" w:color="#000000"/>
              <w:bottom w:sz="2.399999999999636" w:val="single" w:color="#000000"/>
            </w:tcBorders>
            <w:tcMar>
              <w:start w:w="0" w:type="dxa"/>
              <w:end w:w="0" w:type="dxa"/>
            </w:tcMar>
          </w:tcPr>
          <w:p>
            <w:pPr>
              <w:autoSpaceDN w:val="0"/>
              <w:autoSpaceDE w:val="0"/>
              <w:widowControl/>
              <w:spacing w:line="224" w:lineRule="exact" w:before="0" w:after="0"/>
              <w:ind w:left="108" w:right="148" w:firstLine="0"/>
              <w:jc w:val="both"/>
            </w:pPr>
            <w:r>
              <w:rPr>
                <w:rFonts w:ascii="宋体" w:hAnsi="宋体" w:eastAsia="宋体"/>
                <w:b w:val="0"/>
                <w:i w:val="0"/>
                <w:color w:val="000000"/>
                <w:sz w:val="18"/>
              </w:rPr>
              <w:t>山西国贸大饭</w:t>
            </w:r>
            <w:r>
              <w:rPr>
                <w:rFonts w:ascii="宋体" w:hAnsi="宋体" w:eastAsia="宋体"/>
                <w:b w:val="0"/>
                <w:i w:val="0"/>
                <w:color w:val="000000"/>
                <w:sz w:val="18"/>
              </w:rPr>
              <w:t>店管理有限公</w:t>
            </w:r>
            <w:r>
              <w:rPr>
                <w:rFonts w:ascii="宋体" w:hAnsi="宋体" w:eastAsia="宋体"/>
                <w:b w:val="0"/>
                <w:i w:val="0"/>
                <w:color w:val="000000"/>
                <w:sz w:val="18"/>
              </w:rPr>
              <w:t xml:space="preserve">司 </w:t>
            </w:r>
          </w:p>
        </w:tc>
        <w:tc>
          <w:tcPr>
            <w:tcW w:type="dxa" w:w="1030"/>
            <w:tcBorders>
              <w:start w:sz="2.3999999999999773"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24" w:lineRule="exact" w:before="0" w:after="0"/>
              <w:ind w:left="144" w:right="152" w:firstLine="0"/>
              <w:jc w:val="right"/>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1392"/>
            <w:tcBorders>
              <w:start w:sz="2.400000000000091" w:val="single" w:color="#000000"/>
              <w:top w:sz="2.4000000000005457" w:val="single" w:color="#000000"/>
              <w:end w:sz="2.3999999999998636" w:val="single" w:color="#000000"/>
              <w:bottom w:sz="2.399999999999636" w:val="single" w:color="#000000"/>
            </w:tcBorders>
            <w:tcMar>
              <w:start w:w="0" w:type="dxa"/>
              <w:end w:w="0" w:type="dxa"/>
            </w:tcMar>
          </w:tcPr>
          <w:p>
            <w:pPr>
              <w:autoSpaceDN w:val="0"/>
              <w:autoSpaceDE w:val="0"/>
              <w:widowControl/>
              <w:spacing w:line="234" w:lineRule="exact" w:before="88" w:after="0"/>
              <w:ind w:left="108" w:right="144" w:firstLine="0"/>
              <w:jc w:val="left"/>
            </w:pPr>
            <w:r>
              <w:rPr>
                <w:rFonts w:ascii="宋体" w:hAnsi="宋体" w:eastAsia="宋体"/>
                <w:b w:val="0"/>
                <w:i w:val="0"/>
                <w:color w:val="000000"/>
                <w:sz w:val="18"/>
              </w:rPr>
              <w:t>预付物业管理</w:t>
            </w:r>
            <w:r>
              <w:rPr>
                <w:rFonts w:ascii="宋体" w:hAnsi="宋体" w:eastAsia="宋体"/>
                <w:b w:val="0"/>
                <w:i w:val="0"/>
                <w:color w:val="000000"/>
                <w:sz w:val="18"/>
              </w:rPr>
              <w:t xml:space="preserve">费 </w:t>
            </w:r>
          </w:p>
        </w:tc>
        <w:tc>
          <w:tcPr>
            <w:tcW w:type="dxa" w:w="1162"/>
            <w:tcBorders>
              <w:start w:sz="2.3999999999998636"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25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5457"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10.14 </w:t>
            </w:r>
          </w:p>
        </w:tc>
        <w:tc>
          <w:tcPr>
            <w:tcW w:type="dxa" w:w="1070"/>
            <w:tcBorders>
              <w:start w:sz="2.400000000000091"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5457" w:val="single" w:color="#000000"/>
              <w:end w:sz="2.4000000000005457" w:val="single" w:color="#000000"/>
              <w:bottom w:sz="2.399999999999636"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5457"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58" w:firstLine="0"/>
              <w:jc w:val="right"/>
            </w:pPr>
            <w:r>
              <w:rPr>
                <w:rFonts w:ascii="Times New Roman" w:hAnsi="Times New Roman" w:eastAsia="Times New Roman"/>
                <w:b w:val="0"/>
                <w:i w:val="0"/>
                <w:color w:val="000000"/>
                <w:sz w:val="18"/>
              </w:rPr>
              <w:t xml:space="preserve">10.14 </w:t>
            </w:r>
          </w:p>
        </w:tc>
      </w:tr>
      <w:tr>
        <w:trPr>
          <w:trHeight w:hRule="exact" w:val="704"/>
        </w:trPr>
        <w:tc>
          <w:tcPr>
            <w:tcW w:type="dxa" w:w="1342"/>
            <w:tcBorders>
              <w:start w:sz="2.3999999999999773" w:val="single" w:color="#000000"/>
              <w:top w:sz="2.399999999999636" w:val="single" w:color="#000000"/>
              <w:end w:sz="2.3999999999999773" w:val="single" w:color="#000000"/>
              <w:bottom w:sz="2.399999999999636" w:val="single" w:color="#000000"/>
            </w:tcBorders>
            <w:tcMar>
              <w:start w:w="0" w:type="dxa"/>
              <w:end w:w="0" w:type="dxa"/>
            </w:tcMar>
          </w:tcPr>
          <w:p>
            <w:pPr>
              <w:autoSpaceDN w:val="0"/>
              <w:autoSpaceDE w:val="0"/>
              <w:widowControl/>
              <w:spacing w:line="224" w:lineRule="exact" w:before="0" w:after="0"/>
              <w:ind w:left="108" w:right="148" w:firstLine="0"/>
              <w:jc w:val="both"/>
            </w:pPr>
            <w:r>
              <w:rPr>
                <w:rFonts w:ascii="宋体" w:hAnsi="宋体" w:eastAsia="宋体"/>
                <w:b w:val="0"/>
                <w:i w:val="0"/>
                <w:color w:val="000000"/>
                <w:sz w:val="18"/>
              </w:rPr>
              <w:t>山西地方电力</w:t>
            </w:r>
            <w:r>
              <w:rPr>
                <w:rFonts w:ascii="宋体" w:hAnsi="宋体" w:eastAsia="宋体"/>
                <w:b w:val="0"/>
                <w:i w:val="0"/>
                <w:color w:val="000000"/>
                <w:sz w:val="18"/>
              </w:rPr>
              <w:t>有限公司离石</w:t>
            </w:r>
            <w:r>
              <w:rPr>
                <w:rFonts w:ascii="宋体" w:hAnsi="宋体" w:eastAsia="宋体"/>
                <w:b w:val="0"/>
                <w:i w:val="0"/>
                <w:color w:val="000000"/>
                <w:sz w:val="18"/>
              </w:rPr>
              <w:t xml:space="preserve">分公司 </w:t>
            </w:r>
          </w:p>
        </w:tc>
        <w:tc>
          <w:tcPr>
            <w:tcW w:type="dxa" w:w="1030"/>
            <w:tcBorders>
              <w:start w:sz="2.3999999999999773" w:val="single" w:color="#000000"/>
              <w:top w:sz="2.399999999999636" w:val="single" w:color="#000000"/>
              <w:end w:sz="2.400000000000091" w:val="single" w:color="#000000"/>
              <w:bottom w:sz="2.399999999999636" w:val="single" w:color="#000000"/>
            </w:tcBorders>
            <w:tcMar>
              <w:start w:w="0" w:type="dxa"/>
              <w:end w:w="0" w:type="dxa"/>
            </w:tcMar>
          </w:tcPr>
          <w:p>
            <w:pPr>
              <w:autoSpaceDN w:val="0"/>
              <w:autoSpaceDE w:val="0"/>
              <w:widowControl/>
              <w:spacing w:line="224" w:lineRule="exact" w:before="0" w:after="0"/>
              <w:ind w:left="144" w:right="152" w:firstLine="0"/>
              <w:jc w:val="right"/>
            </w:pPr>
            <w:r>
              <w:rPr>
                <w:rFonts w:ascii="宋体" w:hAnsi="宋体" w:eastAsia="宋体"/>
                <w:b w:val="0"/>
                <w:i w:val="0"/>
                <w:color w:val="000000"/>
                <w:sz w:val="18"/>
              </w:rPr>
              <w:t>受山西国</w:t>
            </w:r>
            <w:r>
              <w:rPr>
                <w:rFonts w:ascii="宋体" w:hAnsi="宋体" w:eastAsia="宋体"/>
                <w:b w:val="0"/>
                <w:i w:val="0"/>
                <w:color w:val="000000"/>
                <w:sz w:val="18"/>
              </w:rPr>
              <w:t>电间接控</w:t>
            </w:r>
            <w:r>
              <w:rPr>
                <w:rFonts w:ascii="宋体" w:hAnsi="宋体" w:eastAsia="宋体"/>
                <w:b w:val="0"/>
                <w:i w:val="0"/>
                <w:color w:val="000000"/>
                <w:sz w:val="18"/>
              </w:rPr>
              <w:t xml:space="preserve">制 </w:t>
            </w:r>
          </w:p>
        </w:tc>
        <w:tc>
          <w:tcPr>
            <w:tcW w:type="dxa" w:w="1392"/>
            <w:tcBorders>
              <w:start w:sz="2.400000000000091" w:val="single" w:color="#000000"/>
              <w:top w:sz="2.399999999999636" w:val="single" w:color="#000000"/>
              <w:end w:sz="2.3999999999998636" w:val="single" w:color="#000000"/>
              <w:bottom w:sz="2.399999999999636" w:val="single" w:color="#000000"/>
            </w:tcBorders>
            <w:tcMar>
              <w:start w:w="0" w:type="dxa"/>
              <w:end w:w="0" w:type="dxa"/>
            </w:tcMar>
          </w:tcPr>
          <w:p>
            <w:pPr>
              <w:autoSpaceDN w:val="0"/>
              <w:autoSpaceDE w:val="0"/>
              <w:widowControl/>
              <w:spacing w:line="180" w:lineRule="exact" w:before="258" w:after="0"/>
              <w:ind w:left="108" w:right="0" w:firstLine="0"/>
              <w:jc w:val="left"/>
            </w:pPr>
            <w:r>
              <w:rPr>
                <w:rFonts w:ascii="宋体" w:hAnsi="宋体" w:eastAsia="宋体"/>
                <w:b w:val="0"/>
                <w:i w:val="0"/>
                <w:color w:val="000000"/>
                <w:sz w:val="18"/>
              </w:rPr>
              <w:t xml:space="preserve">押金 </w:t>
            </w:r>
          </w:p>
        </w:tc>
        <w:tc>
          <w:tcPr>
            <w:tcW w:type="dxa" w:w="1162"/>
            <w:tcBorders>
              <w:start w:sz="2.3999999999998636" w:val="single" w:color="#000000"/>
              <w:top w:sz="2.399999999999636"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25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399999999999636"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250" w:after="0"/>
              <w:ind w:left="0" w:right="62" w:firstLine="0"/>
              <w:jc w:val="right"/>
            </w:pPr>
            <w:r>
              <w:rPr>
                <w:rFonts w:ascii="Times New Roman" w:hAnsi="Times New Roman" w:eastAsia="Times New Roman"/>
                <w:b w:val="0"/>
                <w:i w:val="0"/>
                <w:color w:val="000000"/>
                <w:sz w:val="18"/>
              </w:rPr>
              <w:t xml:space="preserve">3 </w:t>
            </w:r>
          </w:p>
        </w:tc>
        <w:tc>
          <w:tcPr>
            <w:tcW w:type="dxa" w:w="1070"/>
            <w:tcBorders>
              <w:start w:sz="2.400000000000091"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352"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352"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352"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399999999999636" w:val="single" w:color="#000000"/>
              <w:end w:sz="2.4000000000005457" w:val="single" w:color="#000000"/>
              <w:bottom w:sz="2.399999999999636" w:val="single" w:color="#000000"/>
            </w:tcBorders>
            <w:tcMar>
              <w:start w:w="0" w:type="dxa"/>
              <w:end w:w="0" w:type="dxa"/>
            </w:tcMar>
          </w:tcPr>
          <w:p>
            <w:pPr>
              <w:autoSpaceDN w:val="0"/>
              <w:autoSpaceDE w:val="0"/>
              <w:widowControl/>
              <w:spacing w:line="233" w:lineRule="auto" w:before="352"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250" w:after="0"/>
              <w:ind w:left="0" w:right="58" w:firstLine="0"/>
              <w:jc w:val="right"/>
            </w:pPr>
            <w:r>
              <w:rPr>
                <w:rFonts w:ascii="Times New Roman" w:hAnsi="Times New Roman" w:eastAsia="Times New Roman"/>
                <w:b w:val="0"/>
                <w:i w:val="0"/>
                <w:color w:val="000000"/>
                <w:sz w:val="18"/>
              </w:rPr>
              <w:t xml:space="preserve">3 </w:t>
            </w:r>
          </w:p>
        </w:tc>
      </w:tr>
      <w:tr>
        <w:trPr>
          <w:trHeight w:hRule="exact" w:val="246"/>
        </w:trPr>
        <w:tc>
          <w:tcPr>
            <w:tcW w:type="dxa" w:w="1342"/>
            <w:tcBorders>
              <w:start w:sz="2.3999999999999773" w:val="single" w:color="#000000"/>
              <w:top w:sz="2.399999999999636" w:val="single" w:color="#000000"/>
              <w:end w:sz="2.3999999999999773" w:val="single" w:color="#000000"/>
              <w:bottom w:sz="1.6000000000003638" w:val="single" w:color="#000000"/>
            </w:tcBorders>
            <w:tcMar>
              <w:start w:w="0" w:type="dxa"/>
              <w:end w:w="0" w:type="dxa"/>
            </w:tcMar>
          </w:tcPr>
          <w:p>
            <w:pPr>
              <w:autoSpaceDN w:val="0"/>
              <w:autoSpaceDE w:val="0"/>
              <w:widowControl/>
              <w:spacing w:line="180" w:lineRule="exact" w:before="26" w:after="0"/>
              <w:ind w:left="0" w:right="0" w:firstLine="0"/>
              <w:jc w:val="center"/>
            </w:pPr>
            <w:r>
              <w:rPr>
                <w:rFonts w:ascii="宋体" w:hAnsi="宋体" w:eastAsia="宋体"/>
                <w:b w:val="0"/>
                <w:i w:val="0"/>
                <w:color w:val="000000"/>
                <w:sz w:val="18"/>
              </w:rPr>
              <w:t>山西国瑞投资</w:t>
            </w:r>
          </w:p>
        </w:tc>
        <w:tc>
          <w:tcPr>
            <w:tcW w:type="dxa" w:w="1030"/>
            <w:tcBorders>
              <w:start w:sz="2.3999999999999773"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6" w:after="0"/>
              <w:ind w:left="0" w:right="0" w:firstLine="0"/>
              <w:jc w:val="center"/>
            </w:pPr>
            <w:r>
              <w:rPr>
                <w:rFonts w:ascii="宋体" w:hAnsi="宋体" w:eastAsia="宋体"/>
                <w:b w:val="0"/>
                <w:i w:val="0"/>
                <w:color w:val="000000"/>
                <w:sz w:val="18"/>
              </w:rPr>
              <w:t>公司监事</w:t>
            </w:r>
          </w:p>
        </w:tc>
        <w:tc>
          <w:tcPr>
            <w:tcW w:type="dxa" w:w="1392"/>
            <w:tcBorders>
              <w:start w:sz="2.400000000000091" w:val="single" w:color="#000000"/>
              <w:top w:sz="2.399999999999636"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26" w:after="0"/>
              <w:ind w:left="108" w:right="0" w:firstLine="0"/>
              <w:jc w:val="left"/>
            </w:pPr>
            <w:r>
              <w:rPr>
                <w:rFonts w:ascii="宋体" w:hAnsi="宋体" w:eastAsia="宋体"/>
                <w:b w:val="0"/>
                <w:i w:val="0"/>
                <w:color w:val="000000"/>
                <w:sz w:val="18"/>
              </w:rPr>
              <w:t xml:space="preserve">押金 </w:t>
            </w:r>
          </w:p>
        </w:tc>
        <w:tc>
          <w:tcPr>
            <w:tcW w:type="dxa" w:w="1162"/>
            <w:tcBorders>
              <w:start w:sz="2.3999999999998636"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8" w:after="0"/>
              <w:ind w:left="0" w:right="62" w:firstLine="0"/>
              <w:jc w:val="right"/>
            </w:pPr>
            <w:r>
              <w:rPr>
                <w:rFonts w:ascii="Times New Roman" w:hAnsi="Times New Roman" w:eastAsia="Times New Roman"/>
                <w:b w:val="0"/>
                <w:i w:val="0"/>
                <w:color w:val="000000"/>
                <w:sz w:val="18"/>
              </w:rPr>
              <w:t xml:space="preserve">2 </w:t>
            </w:r>
          </w:p>
        </w:tc>
        <w:tc>
          <w:tcPr>
            <w:tcW w:type="dxa" w:w="1070"/>
            <w:tcBorders>
              <w:start w:sz="2.400000000000091" w:val="single" w:color="#000000"/>
              <w:top w:sz="2.399999999999636" w:val="single" w:color="#000000"/>
              <w:end w:sz="1.6000000000003638" w:val="single" w:color="#000000"/>
              <w:bottom w:sz="1.6000000000003638" w:val="single" w:color="#000000"/>
            </w:tcBorders>
            <w:tcMar>
              <w:start w:w="0" w:type="dxa"/>
              <w:end w:w="0" w:type="dxa"/>
            </w:tcMar>
          </w:tcPr>
          <w:p/>
        </w:tc>
        <w:tc>
          <w:tcPr>
            <w:tcW w:type="dxa" w:w="950"/>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tc>
        <w:tc>
          <w:tcPr>
            <w:tcW w:type="dxa" w:w="740"/>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tc>
        <w:tc>
          <w:tcPr>
            <w:tcW w:type="dxa" w:w="670"/>
            <w:tcBorders>
              <w:start w:sz="1.6000000000003638" w:val="single" w:color="#000000"/>
              <w:top w:sz="2.399999999999636" w:val="single" w:color="#000000"/>
              <w:end w:sz="2.4000000000005457" w:val="single" w:color="#000000"/>
              <w:bottom w:sz="1.6000000000003638" w:val="single" w:color="#000000"/>
            </w:tcBorders>
            <w:tcMar>
              <w:start w:w="0" w:type="dxa"/>
              <w:end w:w="0" w:type="dxa"/>
            </w:tcMar>
          </w:tcPr>
          <w:p/>
        </w:tc>
        <w:tc>
          <w:tcPr>
            <w:tcW w:type="dxa" w:w="890"/>
            <w:tcBorders>
              <w:start w:sz="2.4000000000005457"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18" w:after="0"/>
              <w:ind w:left="0" w:right="58" w:firstLine="0"/>
              <w:jc w:val="right"/>
            </w:pPr>
            <w:r>
              <w:rPr>
                <w:rFonts w:ascii="Times New Roman" w:hAnsi="Times New Roman" w:eastAsia="Times New Roman"/>
                <w:b w:val="0"/>
                <w:i w:val="0"/>
                <w:color w:val="000000"/>
                <w:sz w:val="18"/>
              </w:rPr>
              <w:t xml:space="preserve">2 </w:t>
            </w:r>
          </w:p>
        </w:tc>
      </w:tr>
    </w:tbl>
    <w:p>
      <w:pPr>
        <w:autoSpaceDN w:val="0"/>
        <w:autoSpaceDE w:val="0"/>
        <w:widowControl/>
        <w:spacing w:line="197" w:lineRule="auto" w:before="530" w:after="0"/>
        <w:ind w:left="0" w:right="0" w:firstLine="0"/>
        <w:jc w:val="center"/>
      </w:pPr>
      <w:r>
        <w:rPr>
          <w:rFonts w:ascii="Calibri" w:hAnsi="Calibri" w:eastAsia="Calibri"/>
          <w:b w:val="0"/>
          <w:i w:val="0"/>
          <w:color w:val="000000"/>
          <w:sz w:val="18"/>
        </w:rPr>
        <w:t xml:space="preserve">119 </w:t>
      </w:r>
    </w:p>
    <w:p>
      <w:pPr>
        <w:sectPr>
          <w:type w:val="continuous"/>
          <w:pgSz w:w="11904" w:h="16841"/>
          <w:pgMar w:top="424" w:right="314" w:bottom="446" w:left="334" w:header="720" w:footer="720" w:gutter="0"/>
          <w:cols/>
          <w:docGrid w:linePitch="360"/>
        </w:sectPr>
      </w:pPr>
    </w:p>
    <w:p>
      <w:pPr>
        <w:autoSpaceDN w:val="0"/>
        <w:autoSpaceDE w:val="0"/>
        <w:widowControl/>
        <w:spacing w:line="220" w:lineRule="exact" w:before="0" w:after="206"/>
        <w:ind w:left="0" w:right="0"/>
      </w:pPr>
    </w:p>
    <w:p>
      <w:pPr>
        <w:sectPr>
          <w:pgSz w:w="11904" w:h="16841"/>
          <w:pgMar w:top="424" w:right="652"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122" name="Picture 12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652" w:bottom="446" w:left="1022" w:header="720" w:footer="720" w:gutter="0"/>
          <w:cols w:num="2" w:equalWidth="0">
            <w:col w:w="5518" w:space="0"/>
            <w:col w:w="4712" w:space="0"/>
          </w:cols>
          <w:docGrid w:linePitch="360"/>
        </w:sectPr>
      </w:pPr>
    </w:p>
    <w:p>
      <w:pPr>
        <w:autoSpaceDN w:val="0"/>
        <w:autoSpaceDE w:val="0"/>
        <w:widowControl/>
        <w:spacing w:line="200" w:lineRule="exact" w:before="0" w:after="30"/>
        <w:ind w:left="0" w:right="49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652" w:bottom="446" w:left="1022" w:header="720" w:footer="720" w:gutter="0"/>
          <w:cols w:num="2" w:equalWidth="0">
            <w:col w:w="5518" w:space="0"/>
            <w:col w:w="471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00000000000284" w:type="dxa"/>
      </w:tblPr>
      <w:tblGrid>
        <w:gridCol w:w="1023"/>
        <w:gridCol w:w="1023"/>
        <w:gridCol w:w="1023"/>
        <w:gridCol w:w="1023"/>
        <w:gridCol w:w="1023"/>
        <w:gridCol w:w="1023"/>
        <w:gridCol w:w="1023"/>
        <w:gridCol w:w="1023"/>
        <w:gridCol w:w="1023"/>
        <w:gridCol w:w="1023"/>
      </w:tblGrid>
      <w:tr>
        <w:trPr>
          <w:trHeight w:hRule="exact" w:val="472"/>
        </w:trPr>
        <w:tc>
          <w:tcPr>
            <w:tcW w:type="dxa" w:w="1342"/>
            <w:tcBorders>
              <w:start w:sz="2.3999999999999773" w:val="single" w:color="#000000"/>
              <w:top w:sz="1.6000000000000227" w:val="single" w:color="#000000"/>
              <w:end w:sz="2.3999999999999773" w:val="single" w:color="#000000"/>
              <w:bottom w:sz="2.3999999999999773" w:val="single" w:color="#000000"/>
            </w:tcBorders>
            <w:tcMar>
              <w:start w:w="0" w:type="dxa"/>
              <w:end w:w="0" w:type="dxa"/>
            </w:tcMar>
          </w:tcPr>
          <w:p>
            <w:pPr>
              <w:autoSpaceDN w:val="0"/>
              <w:autoSpaceDE w:val="0"/>
              <w:widowControl/>
              <w:spacing w:line="180" w:lineRule="exact" w:before="26" w:after="0"/>
              <w:ind w:left="108" w:right="0" w:firstLine="0"/>
              <w:jc w:val="left"/>
            </w:pPr>
            <w:r>
              <w:rPr>
                <w:rFonts w:ascii="宋体" w:hAnsi="宋体" w:eastAsia="宋体"/>
                <w:b w:val="0"/>
                <w:i w:val="0"/>
                <w:color w:val="000000"/>
                <w:sz w:val="18"/>
              </w:rPr>
              <w:t xml:space="preserve">有限公司 </w:t>
            </w:r>
          </w:p>
        </w:tc>
        <w:tc>
          <w:tcPr>
            <w:tcW w:type="dxa" w:w="1030"/>
            <w:tcBorders>
              <w:start w:sz="2.3999999999999773" w:val="single" w:color="#000000"/>
              <w:top w:sz="5.600000000000023" w:val="single" w:color="#000000"/>
              <w:end w:sz="2.400000000000091" w:val="single" w:color="#000000"/>
              <w:bottom w:sz="2.3999999999999773" w:val="single" w:color="#000000"/>
            </w:tcBorders>
            <w:tcMar>
              <w:start w:w="0" w:type="dxa"/>
              <w:end w:w="0" w:type="dxa"/>
            </w:tcMar>
          </w:tcPr>
          <w:p>
            <w:pPr>
              <w:autoSpaceDN w:val="0"/>
              <w:autoSpaceDE w:val="0"/>
              <w:widowControl/>
              <w:spacing w:line="216" w:lineRule="exact" w:before="0" w:after="0"/>
              <w:ind w:left="154" w:right="0" w:firstLine="0"/>
              <w:jc w:val="left"/>
            </w:pPr>
            <w:r>
              <w:rPr>
                <w:rFonts w:ascii="宋体" w:hAnsi="宋体" w:eastAsia="宋体"/>
                <w:b w:val="0"/>
                <w:i w:val="0"/>
                <w:color w:val="000000"/>
                <w:sz w:val="18"/>
              </w:rPr>
              <w:t>担任其他</w:t>
            </w:r>
            <w:r>
              <w:br/>
            </w:r>
            <w:r>
              <w:rPr>
                <w:rFonts w:ascii="宋体" w:hAnsi="宋体" w:eastAsia="宋体"/>
                <w:b w:val="0"/>
                <w:i w:val="0"/>
                <w:color w:val="000000"/>
                <w:sz w:val="18"/>
              </w:rPr>
              <w:t xml:space="preserve">企业董事 </w:t>
            </w:r>
          </w:p>
        </w:tc>
        <w:tc>
          <w:tcPr>
            <w:tcW w:type="dxa" w:w="1392"/>
            <w:tcBorders>
              <w:start w:sz="2.400000000000091" w:val="single" w:color="#000000"/>
              <w:top w:sz="5.600000000000023" w:val="single" w:color="#000000"/>
              <w:end w:sz="2.3999999999998636" w:val="single" w:color="#000000"/>
              <w:bottom w:sz="2.3999999999999773" w:val="single" w:color="#000000"/>
            </w:tcBorders>
            <w:tcMar>
              <w:start w:w="0" w:type="dxa"/>
              <w:end w:w="0" w:type="dxa"/>
            </w:tcMar>
          </w:tcPr>
          <w:p/>
        </w:tc>
        <w:tc>
          <w:tcPr>
            <w:tcW w:type="dxa" w:w="1162"/>
            <w:tcBorders>
              <w:start w:sz="2.3999999999998636" w:val="single" w:color="#000000"/>
              <w:top w:sz="5.600000000000023" w:val="single" w:color="#000000"/>
              <w:end w:sz="2.400000000000091" w:val="single" w:color="#000000"/>
              <w:bottom w:sz="2.3999999999999773" w:val="single" w:color="#000000"/>
            </w:tcBorders>
            <w:tcMar>
              <w:start w:w="0" w:type="dxa"/>
              <w:end w:w="0" w:type="dxa"/>
            </w:tcMar>
          </w:tcPr>
          <w:p/>
        </w:tc>
        <w:tc>
          <w:tcPr>
            <w:tcW w:type="dxa" w:w="960"/>
            <w:tcBorders>
              <w:start w:sz="2.400000000000091" w:val="single" w:color="#000000"/>
              <w:top w:sz="5.600000000000023" w:val="single" w:color="#000000"/>
              <w:end w:sz="2.400000000000091" w:val="single" w:color="#000000"/>
              <w:bottom w:sz="2.3999999999999773" w:val="single" w:color="#000000"/>
            </w:tcBorders>
            <w:tcMar>
              <w:start w:w="0" w:type="dxa"/>
              <w:end w:w="0" w:type="dxa"/>
            </w:tcMar>
          </w:tcPr>
          <w:p/>
        </w:tc>
        <w:tc>
          <w:tcPr>
            <w:tcW w:type="dxa" w:w="1070"/>
            <w:tcBorders>
              <w:start w:sz="2.400000000000091" w:val="single" w:color="#000000"/>
              <w:top w:sz="5.600000000000023" w:val="single" w:color="#000000"/>
              <w:end w:sz="1.6000000000003638" w:val="single" w:color="#000000"/>
              <w:bottom w:sz="2.3999999999999773" w:val="single" w:color="#000000"/>
            </w:tcBorders>
            <w:tcMar>
              <w:start w:w="0" w:type="dxa"/>
              <w:end w:w="0" w:type="dxa"/>
            </w:tcMar>
          </w:tcPr>
          <w:p>
            <w:pPr>
              <w:autoSpaceDN w:val="0"/>
              <w:autoSpaceDE w:val="0"/>
              <w:widowControl/>
              <w:spacing w:line="230" w:lineRule="auto" w:before="0"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5.600000000000023" w:val="single" w:color="#000000"/>
              <w:end w:sz="1.6000000000003638" w:val="single" w:color="#000000"/>
              <w:bottom w:sz="2.3999999999999773" w:val="single" w:color="#000000"/>
            </w:tcBorders>
            <w:tcMar>
              <w:start w:w="0" w:type="dxa"/>
              <w:end w:w="0" w:type="dxa"/>
            </w:tcMar>
          </w:tcPr>
          <w:p>
            <w:pPr>
              <w:autoSpaceDN w:val="0"/>
              <w:autoSpaceDE w:val="0"/>
              <w:widowControl/>
              <w:spacing w:line="230" w:lineRule="auto" w:before="0"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5.600000000000023" w:val="single" w:color="#000000"/>
              <w:end w:sz="1.6000000000003638" w:val="single" w:color="#000000"/>
              <w:bottom w:sz="2.3999999999999773" w:val="single" w:color="#000000"/>
            </w:tcBorders>
            <w:tcMar>
              <w:start w:w="0" w:type="dxa"/>
              <w:end w:w="0" w:type="dxa"/>
            </w:tcMar>
          </w:tcPr>
          <w:p>
            <w:pPr>
              <w:autoSpaceDN w:val="0"/>
              <w:autoSpaceDE w:val="0"/>
              <w:widowControl/>
              <w:spacing w:line="230" w:lineRule="auto" w:before="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5.600000000000023" w:val="single" w:color="#000000"/>
              <w:end w:sz="2.4000000000005457" w:val="single" w:color="#000000"/>
              <w:bottom w:sz="2.3999999999999773" w:val="single" w:color="#000000"/>
            </w:tcBorders>
            <w:tcMar>
              <w:start w:w="0" w:type="dxa"/>
              <w:end w:w="0" w:type="dxa"/>
            </w:tcMar>
          </w:tcPr>
          <w:p>
            <w:pPr>
              <w:autoSpaceDN w:val="0"/>
              <w:autoSpaceDE w:val="0"/>
              <w:widowControl/>
              <w:spacing w:line="230" w:lineRule="auto" w:before="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5.600000000000023" w:val="single" w:color="#000000"/>
              <w:end w:sz="1.6000000000003638" w:val="single" w:color="#000000"/>
              <w:bottom w:sz="2.3999999999999773" w:val="single" w:color="#000000"/>
            </w:tcBorders>
            <w:tcMar>
              <w:start w:w="0" w:type="dxa"/>
              <w:end w:w="0" w:type="dxa"/>
            </w:tcMar>
          </w:tcPr>
          <w:p/>
        </w:tc>
      </w:tr>
      <w:tr>
        <w:trPr>
          <w:trHeight w:hRule="exact" w:val="940"/>
        </w:trPr>
        <w:tc>
          <w:tcPr>
            <w:tcW w:type="dxa" w:w="1342"/>
            <w:tcBorders>
              <w:start w:sz="2.3999999999999773" w:val="single" w:color="#000000"/>
              <w:top w:sz="2.3999999999999773" w:val="single" w:color="#000000"/>
              <w:end w:sz="2.3999999999999773" w:val="single" w:color="#000000"/>
              <w:bottom w:sz="1.6000000000001364" w:val="single" w:color="#000000"/>
            </w:tcBorders>
            <w:tcMar>
              <w:start w:w="0" w:type="dxa"/>
              <w:end w:w="0" w:type="dxa"/>
            </w:tcMar>
          </w:tcPr>
          <w:p>
            <w:pPr>
              <w:autoSpaceDN w:val="0"/>
              <w:autoSpaceDE w:val="0"/>
              <w:widowControl/>
              <w:spacing w:line="226" w:lineRule="exact" w:before="0" w:after="0"/>
              <w:ind w:left="108" w:right="148" w:firstLine="0"/>
              <w:jc w:val="both"/>
            </w:pPr>
            <w:r>
              <w:rPr>
                <w:rFonts w:ascii="宋体" w:hAnsi="宋体" w:eastAsia="宋体"/>
                <w:b w:val="0"/>
                <w:i w:val="0"/>
                <w:color w:val="000000"/>
                <w:sz w:val="18"/>
              </w:rPr>
              <w:t>杭州龙华股融</w:t>
            </w:r>
            <w:r>
              <w:rPr>
                <w:rFonts w:ascii="宋体" w:hAnsi="宋体" w:eastAsia="宋体"/>
                <w:b w:val="0"/>
                <w:i w:val="0"/>
                <w:color w:val="000000"/>
                <w:sz w:val="18"/>
              </w:rPr>
              <w:t>股权投资基金</w:t>
            </w:r>
            <w:r>
              <w:rPr>
                <w:rFonts w:ascii="宋体" w:hAnsi="宋体" w:eastAsia="宋体"/>
                <w:b w:val="0"/>
                <w:i w:val="0"/>
                <w:color w:val="000000"/>
                <w:sz w:val="18"/>
              </w:rPr>
              <w:t>合伙企业（有</w:t>
            </w:r>
            <w:r>
              <w:rPr>
                <w:rFonts w:ascii="宋体" w:hAnsi="宋体" w:eastAsia="宋体"/>
                <w:b w:val="0"/>
                <w:i w:val="0"/>
                <w:color w:val="000000"/>
                <w:sz w:val="18"/>
              </w:rPr>
              <w:t xml:space="preserve">限合伙） </w:t>
            </w:r>
          </w:p>
        </w:tc>
        <w:tc>
          <w:tcPr>
            <w:tcW w:type="dxa" w:w="1030"/>
            <w:tcBorders>
              <w:start w:sz="2.3999999999999773"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234" w:lineRule="exact" w:before="88"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3999999999999773" w:val="single" w:color="#000000"/>
              <w:end w:sz="2.3999999999998636" w:val="single" w:color="#000000"/>
              <w:bottom w:sz="1.6000000000001364" w:val="single" w:color="#000000"/>
            </w:tcBorders>
            <w:tcMar>
              <w:start w:w="0" w:type="dxa"/>
              <w:end w:w="0" w:type="dxa"/>
            </w:tcMar>
          </w:tcPr>
          <w:p>
            <w:pPr>
              <w:autoSpaceDN w:val="0"/>
              <w:autoSpaceDE w:val="0"/>
              <w:widowControl/>
              <w:spacing w:line="180" w:lineRule="exact" w:before="374" w:after="0"/>
              <w:ind w:left="108" w:right="0" w:firstLine="0"/>
              <w:jc w:val="left"/>
            </w:pPr>
            <w:r>
              <w:rPr>
                <w:rFonts w:ascii="宋体" w:hAnsi="宋体" w:eastAsia="宋体"/>
                <w:b w:val="0"/>
                <w:i w:val="0"/>
                <w:color w:val="000000"/>
                <w:sz w:val="18"/>
              </w:rPr>
              <w:t xml:space="preserve">应收借款 </w:t>
            </w:r>
          </w:p>
        </w:tc>
        <w:tc>
          <w:tcPr>
            <w:tcW w:type="dxa" w:w="1162"/>
            <w:tcBorders>
              <w:start w:sz="2.3999999999998636"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180" w:lineRule="exact" w:before="37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5.25 </w:t>
            </w:r>
          </w:p>
        </w:tc>
        <w:tc>
          <w:tcPr>
            <w:tcW w:type="dxa" w:w="1070"/>
            <w:tcBorders>
              <w:start w:sz="2.400000000000091"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3999999999999773" w:val="single" w:color="#000000"/>
              <w:end w:sz="2.4000000000005457" w:val="single" w:color="#000000"/>
              <w:bottom w:sz="1.6000000000001364"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58" w:firstLine="0"/>
              <w:jc w:val="right"/>
            </w:pPr>
            <w:r>
              <w:rPr>
                <w:rFonts w:ascii="Times New Roman" w:hAnsi="Times New Roman" w:eastAsia="Times New Roman"/>
                <w:b w:val="0"/>
                <w:i w:val="0"/>
                <w:color w:val="000000"/>
                <w:sz w:val="18"/>
              </w:rPr>
              <w:t xml:space="preserve">5.25 </w:t>
            </w:r>
          </w:p>
        </w:tc>
      </w:tr>
      <w:tr>
        <w:trPr>
          <w:trHeight w:hRule="exact" w:val="470"/>
        </w:trPr>
        <w:tc>
          <w:tcPr>
            <w:tcW w:type="dxa" w:w="1342"/>
            <w:tcBorders>
              <w:start w:sz="2.3999999999999773" w:val="single" w:color="#000000"/>
              <w:top w:sz="1.6000000000001364" w:val="single" w:color="#000000"/>
              <w:end w:sz="2.3999999999999773" w:val="single" w:color="#000000"/>
              <w:bottom w:sz="1.6000000000001364" w:val="single" w:color="#000000"/>
            </w:tcBorders>
            <w:tcMar>
              <w:start w:w="0" w:type="dxa"/>
              <w:end w:w="0" w:type="dxa"/>
            </w:tcMar>
          </w:tcPr>
          <w:p>
            <w:pPr>
              <w:autoSpaceDN w:val="0"/>
              <w:autoSpaceDE w:val="0"/>
              <w:widowControl/>
              <w:spacing w:line="218" w:lineRule="exact" w:before="0" w:after="0"/>
              <w:ind w:left="108" w:right="144" w:firstLine="0"/>
              <w:jc w:val="left"/>
            </w:pPr>
            <w:r>
              <w:rPr>
                <w:rFonts w:ascii="宋体" w:hAnsi="宋体" w:eastAsia="宋体"/>
                <w:b w:val="0"/>
                <w:i w:val="0"/>
                <w:color w:val="000000"/>
                <w:sz w:val="18"/>
              </w:rPr>
              <w:t>山西信托股份</w:t>
            </w:r>
            <w:r>
              <w:rPr>
                <w:rFonts w:ascii="宋体" w:hAnsi="宋体" w:eastAsia="宋体"/>
                <w:b w:val="0"/>
                <w:i w:val="0"/>
                <w:color w:val="000000"/>
                <w:sz w:val="18"/>
              </w:rPr>
              <w:t xml:space="preserve">有限公司 </w:t>
            </w:r>
          </w:p>
        </w:tc>
        <w:tc>
          <w:tcPr>
            <w:tcW w:type="dxa" w:w="1030"/>
            <w:tcBorders>
              <w:start w:sz="2.3999999999999773" w:val="single" w:color="#000000"/>
              <w:top w:sz="1.6000000000001364" w:val="single" w:color="#000000"/>
              <w:end w:sz="2.400000000000091" w:val="single" w:color="#000000"/>
              <w:bottom w:sz="1.6000000000001364" w:val="single" w:color="#000000"/>
            </w:tcBorders>
            <w:tcMar>
              <w:start w:w="0" w:type="dxa"/>
              <w:end w:w="0" w:type="dxa"/>
            </w:tcMar>
          </w:tcPr>
          <w:p>
            <w:pPr>
              <w:autoSpaceDN w:val="0"/>
              <w:autoSpaceDE w:val="0"/>
              <w:widowControl/>
              <w:spacing w:line="218" w:lineRule="exact" w:before="0" w:after="0"/>
              <w:ind w:left="110" w:right="144" w:firstLine="0"/>
              <w:jc w:val="left"/>
            </w:pPr>
            <w:r>
              <w:rPr>
                <w:rFonts w:ascii="宋体" w:hAnsi="宋体" w:eastAsia="宋体"/>
                <w:b w:val="0"/>
                <w:i w:val="0"/>
                <w:color w:val="000000"/>
                <w:sz w:val="18"/>
              </w:rPr>
              <w:t>受金控集</w:t>
            </w:r>
            <w:r>
              <w:rPr>
                <w:rFonts w:ascii="宋体" w:hAnsi="宋体" w:eastAsia="宋体"/>
                <w:b w:val="0"/>
                <w:i w:val="0"/>
                <w:color w:val="000000"/>
                <w:sz w:val="18"/>
              </w:rPr>
              <w:t xml:space="preserve">团控制 </w:t>
            </w:r>
          </w:p>
        </w:tc>
        <w:tc>
          <w:tcPr>
            <w:tcW w:type="dxa" w:w="1392"/>
            <w:tcBorders>
              <w:start w:sz="2.400000000000091" w:val="single" w:color="#000000"/>
              <w:top w:sz="1.6000000000001364" w:val="single" w:color="#000000"/>
              <w:end w:sz="2.3999999999998636" w:val="single" w:color="#000000"/>
              <w:bottom w:sz="1.6000000000001364" w:val="single" w:color="#000000"/>
            </w:tcBorders>
            <w:tcMar>
              <w:start w:w="0" w:type="dxa"/>
              <w:end w:w="0" w:type="dxa"/>
            </w:tcMar>
          </w:tcPr>
          <w:p>
            <w:pPr>
              <w:autoSpaceDN w:val="0"/>
              <w:autoSpaceDE w:val="0"/>
              <w:widowControl/>
              <w:spacing w:line="180" w:lineRule="exact" w:before="140" w:after="0"/>
              <w:ind w:left="108" w:right="0" w:firstLine="0"/>
              <w:jc w:val="left"/>
            </w:pPr>
            <w:r>
              <w:rPr>
                <w:rFonts w:ascii="宋体" w:hAnsi="宋体" w:eastAsia="宋体"/>
                <w:b w:val="0"/>
                <w:i w:val="0"/>
                <w:color w:val="000000"/>
                <w:sz w:val="18"/>
              </w:rPr>
              <w:t xml:space="preserve">应收手续费 </w:t>
            </w:r>
          </w:p>
        </w:tc>
        <w:tc>
          <w:tcPr>
            <w:tcW w:type="dxa" w:w="1162"/>
            <w:tcBorders>
              <w:start w:sz="2.3999999999998636" w:val="single" w:color="#000000"/>
              <w:top w:sz="1.6000000000001364" w:val="single" w:color="#000000"/>
              <w:end w:sz="2.400000000000091" w:val="single" w:color="#000000"/>
              <w:bottom w:sz="1.6000000000001364" w:val="single" w:color="#000000"/>
            </w:tcBorders>
            <w:tcMar>
              <w:start w:w="0" w:type="dxa"/>
              <w:end w:w="0" w:type="dxa"/>
            </w:tcMar>
          </w:tcPr>
          <w:p>
            <w:pPr>
              <w:autoSpaceDN w:val="0"/>
              <w:autoSpaceDE w:val="0"/>
              <w:widowControl/>
              <w:spacing w:line="180" w:lineRule="exact" w:before="140"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1364" w:val="single" w:color="#000000"/>
              <w:end w:sz="2.400000000000091" w:val="single" w:color="#000000"/>
              <w:bottom w:sz="1.6000000000001364" w:val="single" w:color="#000000"/>
            </w:tcBorders>
            <w:tcMar>
              <w:start w:w="0" w:type="dxa"/>
              <w:end w:w="0" w:type="dxa"/>
            </w:tcMar>
          </w:tcPr>
          <w:p>
            <w:pPr>
              <w:autoSpaceDN w:val="0"/>
              <w:autoSpaceDE w:val="0"/>
              <w:widowControl/>
              <w:spacing w:line="233" w:lineRule="auto" w:before="132" w:after="0"/>
              <w:ind w:left="0" w:right="62" w:firstLine="0"/>
              <w:jc w:val="right"/>
            </w:pPr>
            <w:r>
              <w:rPr>
                <w:rFonts w:ascii="Times New Roman" w:hAnsi="Times New Roman" w:eastAsia="Times New Roman"/>
                <w:b w:val="0"/>
                <w:i w:val="0"/>
                <w:color w:val="000000"/>
                <w:sz w:val="18"/>
              </w:rPr>
              <w:t xml:space="preserve">- </w:t>
            </w:r>
          </w:p>
        </w:tc>
        <w:tc>
          <w:tcPr>
            <w:tcW w:type="dxa" w:w="1070"/>
            <w:tcBorders>
              <w:start w:sz="2.400000000000091" w:val="single" w:color="#000000"/>
              <w:top w:sz="1.6000000000001364"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132" w:after="0"/>
              <w:ind w:left="0" w:right="62" w:firstLine="0"/>
              <w:jc w:val="right"/>
            </w:pPr>
            <w:r>
              <w:rPr>
                <w:rFonts w:ascii="Times New Roman" w:hAnsi="Times New Roman" w:eastAsia="Times New Roman"/>
                <w:b w:val="0"/>
                <w:i w:val="0"/>
                <w:color w:val="000000"/>
                <w:sz w:val="18"/>
              </w:rPr>
              <w:t xml:space="preserve">40.10 </w:t>
            </w:r>
          </w:p>
        </w:tc>
        <w:tc>
          <w:tcPr>
            <w:tcW w:type="dxa" w:w="950"/>
            <w:tcBorders>
              <w:start w:sz="1.6000000000003638" w:val="single" w:color="#000000"/>
              <w:top w:sz="1.6000000000001364"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132"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6000000000001364" w:val="single" w:color="#000000"/>
              <w:end w:sz="1.6000000000003638" w:val="single" w:color="#000000"/>
              <w:bottom w:sz="1.6000000000001364" w:val="single" w:color="#000000"/>
            </w:tcBorders>
            <w:tcMar>
              <w:start w:w="0" w:type="dxa"/>
              <w:end w:w="0" w:type="dxa"/>
            </w:tcMar>
          </w:tcPr>
          <w:p>
            <w:pPr>
              <w:autoSpaceDN w:val="0"/>
              <w:autoSpaceDE w:val="0"/>
              <w:widowControl/>
              <w:spacing w:line="230" w:lineRule="auto" w:before="23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1364" w:val="single" w:color="#000000"/>
              <w:end w:sz="2.4000000000005457" w:val="single" w:color="#000000"/>
              <w:bottom w:sz="1.6000000000001364" w:val="single" w:color="#000000"/>
            </w:tcBorders>
            <w:tcMar>
              <w:start w:w="0" w:type="dxa"/>
              <w:end w:w="0" w:type="dxa"/>
            </w:tcMar>
          </w:tcPr>
          <w:p>
            <w:pPr>
              <w:autoSpaceDN w:val="0"/>
              <w:autoSpaceDE w:val="0"/>
              <w:widowControl/>
              <w:spacing w:line="230" w:lineRule="auto" w:before="23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1364"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132" w:after="0"/>
              <w:ind w:left="0" w:right="58" w:firstLine="0"/>
              <w:jc w:val="right"/>
            </w:pPr>
            <w:r>
              <w:rPr>
                <w:rFonts w:ascii="Times New Roman" w:hAnsi="Times New Roman" w:eastAsia="Times New Roman"/>
                <w:b w:val="0"/>
                <w:i w:val="0"/>
                <w:color w:val="000000"/>
                <w:sz w:val="18"/>
              </w:rPr>
              <w:t xml:space="preserve">40.10 </w:t>
            </w:r>
          </w:p>
        </w:tc>
      </w:tr>
      <w:tr>
        <w:trPr>
          <w:trHeight w:hRule="exact" w:val="472"/>
        </w:trPr>
        <w:tc>
          <w:tcPr>
            <w:tcW w:type="dxa" w:w="1342"/>
            <w:tcBorders>
              <w:start w:sz="2.3999999999999773" w:val="single" w:color="#000000"/>
              <w:top w:sz="1.6000000000001364" w:val="single" w:color="#000000"/>
              <w:end w:sz="2.3999999999999773" w:val="single" w:color="#000000"/>
              <w:bottom w:sz="2.400000000000091" w:val="single" w:color="#000000"/>
            </w:tcBorders>
            <w:tcMar>
              <w:start w:w="0" w:type="dxa"/>
              <w:end w:w="0" w:type="dxa"/>
            </w:tcMar>
          </w:tcPr>
          <w:p>
            <w:pPr>
              <w:autoSpaceDN w:val="0"/>
              <w:autoSpaceDE w:val="0"/>
              <w:widowControl/>
              <w:spacing w:line="218" w:lineRule="exact" w:before="0" w:after="0"/>
              <w:ind w:left="108" w:right="0" w:firstLine="0"/>
              <w:jc w:val="left"/>
            </w:pPr>
            <w:r>
              <w:rPr>
                <w:rFonts w:ascii="宋体" w:hAnsi="宋体" w:eastAsia="宋体"/>
                <w:b w:val="0"/>
                <w:i w:val="0"/>
                <w:color w:val="000000"/>
                <w:sz w:val="18"/>
              </w:rPr>
              <w:t>山西金控资本</w:t>
            </w:r>
            <w:r>
              <w:rPr>
                <w:rFonts w:ascii="宋体" w:hAnsi="宋体" w:eastAsia="宋体"/>
                <w:b w:val="0"/>
                <w:i w:val="0"/>
                <w:color w:val="000000"/>
                <w:sz w:val="18"/>
              </w:rPr>
              <w:t xml:space="preserve">管理有限公司 </w:t>
            </w:r>
          </w:p>
        </w:tc>
        <w:tc>
          <w:tcPr>
            <w:tcW w:type="dxa" w:w="1030"/>
            <w:tcBorders>
              <w:start w:sz="2.3999999999999773"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18" w:lineRule="exact" w:before="0" w:after="0"/>
              <w:ind w:left="110" w:right="144" w:firstLine="0"/>
              <w:jc w:val="left"/>
            </w:pPr>
            <w:r>
              <w:rPr>
                <w:rFonts w:ascii="宋体" w:hAnsi="宋体" w:eastAsia="宋体"/>
                <w:b w:val="0"/>
                <w:i w:val="0"/>
                <w:color w:val="000000"/>
                <w:sz w:val="18"/>
              </w:rPr>
              <w:t>受金控集</w:t>
            </w:r>
            <w:r>
              <w:rPr>
                <w:rFonts w:ascii="宋体" w:hAnsi="宋体" w:eastAsia="宋体"/>
                <w:b w:val="0"/>
                <w:i w:val="0"/>
                <w:color w:val="000000"/>
                <w:sz w:val="18"/>
              </w:rPr>
              <w:t xml:space="preserve">团控制 </w:t>
            </w:r>
          </w:p>
        </w:tc>
        <w:tc>
          <w:tcPr>
            <w:tcW w:type="dxa" w:w="1392"/>
            <w:tcBorders>
              <w:start w:sz="2.400000000000091" w:val="single" w:color="#000000"/>
              <w:top w:sz="1.6000000000001364"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144"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14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132" w:after="0"/>
              <w:ind w:left="0" w:right="62" w:firstLine="0"/>
              <w:jc w:val="right"/>
            </w:pPr>
            <w:r>
              <w:rPr>
                <w:rFonts w:ascii="Times New Roman" w:hAnsi="Times New Roman" w:eastAsia="Times New Roman"/>
                <w:b w:val="0"/>
                <w:i w:val="0"/>
                <w:color w:val="000000"/>
                <w:sz w:val="18"/>
              </w:rPr>
              <w:t xml:space="preserve">0.05 </w:t>
            </w:r>
          </w:p>
        </w:tc>
        <w:tc>
          <w:tcPr>
            <w:tcW w:type="dxa" w:w="1070"/>
            <w:tcBorders>
              <w:start w:sz="2.400000000000091"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132" w:after="0"/>
              <w:ind w:left="0" w:right="62" w:firstLine="0"/>
              <w:jc w:val="right"/>
            </w:pPr>
            <w:r>
              <w:rPr>
                <w:rFonts w:ascii="Times New Roman" w:hAnsi="Times New Roman" w:eastAsia="Times New Roman"/>
                <w:b w:val="0"/>
                <w:i w:val="0"/>
                <w:color w:val="000000"/>
                <w:sz w:val="18"/>
              </w:rPr>
              <w:t xml:space="preserve">4.15 </w:t>
            </w:r>
          </w:p>
        </w:tc>
        <w:tc>
          <w:tcPr>
            <w:tcW w:type="dxa" w:w="950"/>
            <w:tcBorders>
              <w:start w:sz="1.6000000000003638" w:val="single" w:color="#000000"/>
              <w:top w:sz="1.6000000000001364" w:val="single" w:color="#000000"/>
              <w:end w:sz="1.6000000000003638" w:val="single" w:color="#000000"/>
              <w:bottom w:sz="2.400000000000091" w:val="single" w:color="#000000"/>
            </w:tcBorders>
            <w:tcMar>
              <w:start w:w="0" w:type="dxa"/>
              <w:end w:w="0" w:type="dxa"/>
            </w:tcMar>
          </w:tcPr>
          <w:p/>
        </w:tc>
        <w:tc>
          <w:tcPr>
            <w:tcW w:type="dxa" w:w="740"/>
            <w:tcBorders>
              <w:start w:sz="1.6000000000003638"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23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1364" w:val="single" w:color="#000000"/>
              <w:end w:sz="2.4000000000005457" w:val="single" w:color="#000000"/>
              <w:bottom w:sz="2.400000000000091" w:val="single" w:color="#000000"/>
            </w:tcBorders>
            <w:tcMar>
              <w:start w:w="0" w:type="dxa"/>
              <w:end w:w="0" w:type="dxa"/>
            </w:tcMar>
          </w:tcPr>
          <w:p>
            <w:pPr>
              <w:autoSpaceDN w:val="0"/>
              <w:autoSpaceDE w:val="0"/>
              <w:widowControl/>
              <w:spacing w:line="233" w:lineRule="auto" w:before="23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132" w:after="0"/>
              <w:ind w:left="0" w:right="58" w:firstLine="0"/>
              <w:jc w:val="right"/>
            </w:pPr>
            <w:r>
              <w:rPr>
                <w:rFonts w:ascii="Times New Roman" w:hAnsi="Times New Roman" w:eastAsia="Times New Roman"/>
                <w:b w:val="0"/>
                <w:i w:val="0"/>
                <w:color w:val="000000"/>
                <w:sz w:val="18"/>
              </w:rPr>
              <w:t xml:space="preserve">4.2 </w:t>
            </w:r>
          </w:p>
        </w:tc>
      </w:tr>
      <w:tr>
        <w:trPr>
          <w:trHeight w:hRule="exact" w:val="940"/>
        </w:trPr>
        <w:tc>
          <w:tcPr>
            <w:tcW w:type="dxa" w:w="1342"/>
            <w:tcBorders>
              <w:start w:sz="2.3999999999999773" w:val="single" w:color="#000000"/>
              <w:top w:sz="2.400000000000091" w:val="single" w:color="#000000"/>
              <w:end w:sz="2.3999999999999773" w:val="single" w:color="#000000"/>
              <w:bottom w:sz="1.6000000000001364" w:val="single" w:color="#000000"/>
            </w:tcBorders>
            <w:tcMar>
              <w:start w:w="0" w:type="dxa"/>
              <w:end w:w="0" w:type="dxa"/>
            </w:tcMar>
          </w:tcPr>
          <w:p>
            <w:pPr>
              <w:autoSpaceDN w:val="0"/>
              <w:autoSpaceDE w:val="0"/>
              <w:widowControl/>
              <w:spacing w:line="232" w:lineRule="exact" w:before="206" w:after="0"/>
              <w:ind w:left="108" w:right="0" w:firstLine="0"/>
              <w:jc w:val="left"/>
            </w:pPr>
            <w:r>
              <w:rPr>
                <w:rFonts w:ascii="宋体" w:hAnsi="宋体" w:eastAsia="宋体"/>
                <w:b w:val="0"/>
                <w:i w:val="0"/>
                <w:color w:val="000000"/>
                <w:sz w:val="18"/>
              </w:rPr>
              <w:t>汇安基金管理</w:t>
            </w:r>
            <w:r>
              <w:rPr>
                <w:rFonts w:ascii="宋体" w:hAnsi="宋体" w:eastAsia="宋体"/>
                <w:b w:val="0"/>
                <w:i w:val="0"/>
                <w:color w:val="000000"/>
                <w:sz w:val="18"/>
              </w:rPr>
              <w:t xml:space="preserve">有限责任公司 </w:t>
            </w:r>
          </w:p>
        </w:tc>
        <w:tc>
          <w:tcPr>
            <w:tcW w:type="dxa" w:w="1030"/>
            <w:tcBorders>
              <w:start w:sz="2.3999999999999773" w:val="single" w:color="#000000"/>
              <w:top w:sz="2.400000000000091" w:val="single" w:color="#000000"/>
              <w:end w:sz="2.400000000000091" w:val="single" w:color="#000000"/>
              <w:bottom w:sz="1.6000000000001364" w:val="single" w:color="#000000"/>
            </w:tcBorders>
            <w:tcMar>
              <w:start w:w="0" w:type="dxa"/>
              <w:end w:w="0" w:type="dxa"/>
            </w:tcMar>
          </w:tcPr>
          <w:p>
            <w:pPr>
              <w:autoSpaceDN w:val="0"/>
              <w:autoSpaceDE w:val="0"/>
              <w:widowControl/>
              <w:spacing w:line="226" w:lineRule="exact" w:before="0" w:after="0"/>
              <w:ind w:left="154" w:right="60" w:firstLine="0"/>
              <w:jc w:val="both"/>
            </w:pPr>
            <w:r>
              <w:rPr>
                <w:rFonts w:ascii="宋体" w:hAnsi="宋体" w:eastAsia="宋体"/>
                <w:b w:val="0"/>
                <w:i w:val="0"/>
                <w:color w:val="000000"/>
                <w:sz w:val="18"/>
              </w:rPr>
              <w:t>公司独立</w:t>
            </w:r>
            <w:r>
              <w:br/>
            </w:r>
            <w:r>
              <w:rPr>
                <w:rFonts w:ascii="宋体" w:hAnsi="宋体" w:eastAsia="宋体"/>
                <w:b w:val="0"/>
                <w:i w:val="0"/>
                <w:color w:val="000000"/>
                <w:sz w:val="18"/>
              </w:rPr>
              <w:t>董事担任</w:t>
            </w:r>
            <w:r>
              <w:br/>
            </w:r>
            <w:r>
              <w:rPr>
                <w:rFonts w:ascii="宋体" w:hAnsi="宋体" w:eastAsia="宋体"/>
                <w:b w:val="0"/>
                <w:i w:val="0"/>
                <w:color w:val="000000"/>
                <w:sz w:val="18"/>
              </w:rPr>
              <w:t>其他企业</w:t>
            </w:r>
            <w:r>
              <w:br/>
            </w:r>
            <w:r>
              <w:rPr>
                <w:rFonts w:ascii="宋体" w:hAnsi="宋体" w:eastAsia="宋体"/>
                <w:b w:val="0"/>
                <w:i w:val="0"/>
                <w:color w:val="000000"/>
                <w:sz w:val="18"/>
              </w:rPr>
              <w:t xml:space="preserve">独立董事 </w:t>
            </w:r>
          </w:p>
        </w:tc>
        <w:tc>
          <w:tcPr>
            <w:tcW w:type="dxa" w:w="1392"/>
            <w:tcBorders>
              <w:start w:sz="2.400000000000091" w:val="single" w:color="#000000"/>
              <w:top w:sz="2.400000000000091" w:val="single" w:color="#000000"/>
              <w:end w:sz="2.3999999999998636" w:val="single" w:color="#000000"/>
              <w:bottom w:sz="1.6000000000001364" w:val="single" w:color="#000000"/>
            </w:tcBorders>
            <w:tcMar>
              <w:start w:w="0" w:type="dxa"/>
              <w:end w:w="0" w:type="dxa"/>
            </w:tcMar>
          </w:tcPr>
          <w:p>
            <w:pPr>
              <w:autoSpaceDN w:val="0"/>
              <w:autoSpaceDE w:val="0"/>
              <w:widowControl/>
              <w:spacing w:line="180" w:lineRule="exact" w:before="374" w:after="0"/>
              <w:ind w:left="0" w:right="0" w:firstLine="0"/>
              <w:jc w:val="center"/>
            </w:pPr>
            <w:r>
              <w:rPr>
                <w:rFonts w:ascii="宋体" w:hAnsi="宋体" w:eastAsia="宋体"/>
                <w:b w:val="0"/>
                <w:i w:val="0"/>
                <w:color w:val="000000"/>
                <w:sz w:val="18"/>
              </w:rPr>
              <w:t xml:space="preserve">应收席位佣金 </w:t>
            </w:r>
          </w:p>
        </w:tc>
        <w:tc>
          <w:tcPr>
            <w:tcW w:type="dxa" w:w="1162"/>
            <w:tcBorders>
              <w:start w:sz="2.3999999999998636" w:val="single" w:color="#000000"/>
              <w:top w:sz="2.400000000000091" w:val="single" w:color="#000000"/>
              <w:end w:sz="2.400000000000091" w:val="single" w:color="#000000"/>
              <w:bottom w:sz="1.6000000000001364" w:val="single" w:color="#000000"/>
            </w:tcBorders>
            <w:tcMar>
              <w:start w:w="0" w:type="dxa"/>
              <w:end w:w="0" w:type="dxa"/>
            </w:tcMar>
          </w:tcPr>
          <w:p>
            <w:pPr>
              <w:autoSpaceDN w:val="0"/>
              <w:autoSpaceDE w:val="0"/>
              <w:widowControl/>
              <w:spacing w:line="180" w:lineRule="exact" w:before="37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091" w:val="single" w:color="#000000"/>
              <w:end w:sz="2.400000000000091" w:val="single" w:color="#000000"/>
              <w:bottom w:sz="1.6000000000001364" w:val="single" w:color="#000000"/>
            </w:tcBorders>
            <w:tcMar>
              <w:start w:w="0" w:type="dxa"/>
              <w:end w:w="0" w:type="dxa"/>
            </w:tcMar>
          </w:tcPr>
          <w:p>
            <w:pPr>
              <w:autoSpaceDN w:val="0"/>
              <w:autoSpaceDE w:val="0"/>
              <w:widowControl/>
              <w:spacing w:line="233" w:lineRule="auto" w:before="364" w:after="0"/>
              <w:ind w:left="0" w:right="62" w:firstLine="0"/>
              <w:jc w:val="right"/>
            </w:pPr>
            <w:r>
              <w:rPr>
                <w:rFonts w:ascii="Times New Roman" w:hAnsi="Times New Roman" w:eastAsia="Times New Roman"/>
                <w:b w:val="0"/>
                <w:i w:val="0"/>
                <w:color w:val="000000"/>
                <w:sz w:val="18"/>
              </w:rPr>
              <w:t xml:space="preserve">23.45 </w:t>
            </w:r>
          </w:p>
        </w:tc>
        <w:tc>
          <w:tcPr>
            <w:tcW w:type="dxa" w:w="1070"/>
            <w:tcBorders>
              <w:start w:sz="2.400000000000091" w:val="single" w:color="#000000"/>
              <w:top w:sz="2.400000000000091" w:val="single" w:color="#000000"/>
              <w:end w:sz="1.6000000000003638" w:val="single" w:color="#000000"/>
              <w:bottom w:sz="1.6000000000001364" w:val="single" w:color="#000000"/>
            </w:tcBorders>
            <w:tcMar>
              <w:start w:w="0" w:type="dxa"/>
              <w:end w:w="0" w:type="dxa"/>
            </w:tcMar>
          </w:tcPr>
          <w:p/>
        </w:tc>
        <w:tc>
          <w:tcPr>
            <w:tcW w:type="dxa" w:w="950"/>
            <w:tcBorders>
              <w:start w:sz="1.6000000000003638" w:val="single" w:color="#000000"/>
              <w:top w:sz="2.400000000000091"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4" w:after="0"/>
              <w:ind w:left="0" w:right="60" w:firstLine="0"/>
              <w:jc w:val="right"/>
            </w:pPr>
            <w:r>
              <w:rPr>
                <w:rFonts w:ascii="Times New Roman" w:hAnsi="Times New Roman" w:eastAsia="Times New Roman"/>
                <w:b w:val="0"/>
                <w:i w:val="0"/>
                <w:color w:val="000000"/>
                <w:sz w:val="18"/>
              </w:rPr>
              <w:t xml:space="preserve">15.99 </w:t>
            </w:r>
          </w:p>
        </w:tc>
        <w:tc>
          <w:tcPr>
            <w:tcW w:type="dxa" w:w="740"/>
            <w:tcBorders>
              <w:start w:sz="1.6000000000003638" w:val="single" w:color="#000000"/>
              <w:top w:sz="2.400000000000091"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4"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091" w:val="single" w:color="#000000"/>
              <w:end w:sz="2.4000000000005457" w:val="single" w:color="#000000"/>
              <w:bottom w:sz="1.6000000000001364" w:val="single" w:color="#000000"/>
            </w:tcBorders>
            <w:tcMar>
              <w:start w:w="0" w:type="dxa"/>
              <w:end w:w="0" w:type="dxa"/>
            </w:tcMar>
          </w:tcPr>
          <w:p>
            <w:pPr>
              <w:autoSpaceDN w:val="0"/>
              <w:autoSpaceDE w:val="0"/>
              <w:widowControl/>
              <w:spacing w:line="233" w:lineRule="auto" w:before="364"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091"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4" w:after="0"/>
              <w:ind w:left="0" w:right="58" w:firstLine="0"/>
              <w:jc w:val="right"/>
            </w:pPr>
            <w:r>
              <w:rPr>
                <w:rFonts w:ascii="Times New Roman" w:hAnsi="Times New Roman" w:eastAsia="Times New Roman"/>
                <w:b w:val="0"/>
                <w:i w:val="0"/>
                <w:color w:val="000000"/>
                <w:sz w:val="18"/>
              </w:rPr>
              <w:t xml:space="preserve">7.46 </w:t>
            </w:r>
          </w:p>
        </w:tc>
      </w:tr>
      <w:tr>
        <w:trPr>
          <w:trHeight w:hRule="exact" w:val="938"/>
        </w:trPr>
        <w:tc>
          <w:tcPr>
            <w:tcW w:type="dxa" w:w="1342"/>
            <w:tcBorders>
              <w:start w:sz="2.3999999999999773" w:val="single" w:color="#000000"/>
              <w:top w:sz="1.6000000000001364" w:val="single" w:color="#000000"/>
              <w:end w:sz="2.3999999999999773" w:val="single" w:color="#000000"/>
              <w:bottom w:sz="1.599999999999909" w:val="single" w:color="#000000"/>
            </w:tcBorders>
            <w:tcMar>
              <w:start w:w="0" w:type="dxa"/>
              <w:end w:w="0" w:type="dxa"/>
            </w:tcMar>
          </w:tcPr>
          <w:p>
            <w:pPr>
              <w:autoSpaceDN w:val="0"/>
              <w:autoSpaceDE w:val="0"/>
              <w:widowControl/>
              <w:spacing w:line="226" w:lineRule="exact" w:before="0" w:after="0"/>
              <w:ind w:left="108" w:right="148" w:firstLine="0"/>
              <w:jc w:val="both"/>
            </w:pPr>
            <w:r>
              <w:rPr>
                <w:rFonts w:ascii="宋体" w:hAnsi="宋体" w:eastAsia="宋体"/>
                <w:b w:val="0"/>
                <w:i w:val="0"/>
                <w:color w:val="000000"/>
                <w:sz w:val="18"/>
              </w:rPr>
              <w:t>杭州龙华股融</w:t>
            </w:r>
            <w:r>
              <w:rPr>
                <w:rFonts w:ascii="宋体" w:hAnsi="宋体" w:eastAsia="宋体"/>
                <w:b w:val="0"/>
                <w:i w:val="0"/>
                <w:color w:val="000000"/>
                <w:sz w:val="18"/>
              </w:rPr>
              <w:t>股权投资基金</w:t>
            </w:r>
            <w:r>
              <w:rPr>
                <w:rFonts w:ascii="宋体" w:hAnsi="宋体" w:eastAsia="宋体"/>
                <w:b w:val="0"/>
                <w:i w:val="0"/>
                <w:color w:val="000000"/>
                <w:sz w:val="18"/>
              </w:rPr>
              <w:t>合伙企业（有</w:t>
            </w:r>
            <w:r>
              <w:rPr>
                <w:rFonts w:ascii="宋体" w:hAnsi="宋体" w:eastAsia="宋体"/>
                <w:b w:val="0"/>
                <w:i w:val="0"/>
                <w:color w:val="000000"/>
                <w:sz w:val="18"/>
              </w:rPr>
              <w:t xml:space="preserve">限合伙） </w:t>
            </w:r>
          </w:p>
        </w:tc>
        <w:tc>
          <w:tcPr>
            <w:tcW w:type="dxa" w:w="1030"/>
            <w:tcBorders>
              <w:start w:sz="2.3999999999999773" w:val="single" w:color="#000000"/>
              <w:top w:sz="1.6000000000001364" w:val="single" w:color="#000000"/>
              <w:end w:sz="2.400000000000091" w:val="single" w:color="#000000"/>
              <w:bottom w:sz="1.599999999999909" w:val="single" w:color="#000000"/>
            </w:tcBorders>
            <w:tcMar>
              <w:start w:w="0" w:type="dxa"/>
              <w:end w:w="0" w:type="dxa"/>
            </w:tcMar>
          </w:tcPr>
          <w:p>
            <w:pPr>
              <w:autoSpaceDN w:val="0"/>
              <w:autoSpaceDE w:val="0"/>
              <w:widowControl/>
              <w:spacing w:line="232" w:lineRule="exact" w:before="92"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6000000000001364"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1364"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7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1364"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366" w:after="0"/>
              <w:ind w:left="0" w:right="62" w:firstLine="0"/>
              <w:jc w:val="right"/>
            </w:pPr>
            <w:r>
              <w:rPr>
                <w:rFonts w:ascii="Times New Roman" w:hAnsi="Times New Roman" w:eastAsia="Times New Roman"/>
                <w:b w:val="0"/>
                <w:i w:val="0"/>
                <w:color w:val="000000"/>
                <w:sz w:val="18"/>
              </w:rPr>
              <w:t xml:space="preserve">550 </w:t>
            </w:r>
          </w:p>
        </w:tc>
        <w:tc>
          <w:tcPr>
            <w:tcW w:type="dxa" w:w="1070"/>
            <w:tcBorders>
              <w:start w:sz="2.400000000000091"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366" w:after="0"/>
              <w:ind w:left="0" w:right="62" w:firstLine="0"/>
              <w:jc w:val="right"/>
            </w:pPr>
            <w:r>
              <w:rPr>
                <w:rFonts w:ascii="Times New Roman" w:hAnsi="Times New Roman" w:eastAsia="Times New Roman"/>
                <w:b w:val="0"/>
                <w:i w:val="0"/>
                <w:color w:val="000000"/>
                <w:sz w:val="18"/>
              </w:rPr>
              <w:t xml:space="preserve">100 </w:t>
            </w:r>
          </w:p>
        </w:tc>
        <w:tc>
          <w:tcPr>
            <w:tcW w:type="dxa" w:w="950"/>
            <w:tcBorders>
              <w:start w:sz="1.6000000000003638"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366" w:after="0"/>
              <w:ind w:left="0" w:right="60" w:firstLine="0"/>
              <w:jc w:val="right"/>
            </w:pPr>
            <w:r>
              <w:rPr>
                <w:rFonts w:ascii="Times New Roman" w:hAnsi="Times New Roman" w:eastAsia="Times New Roman"/>
                <w:b w:val="0"/>
                <w:i w:val="0"/>
                <w:color w:val="000000"/>
                <w:sz w:val="18"/>
              </w:rPr>
              <w:t xml:space="preserve">100 </w:t>
            </w:r>
          </w:p>
        </w:tc>
        <w:tc>
          <w:tcPr>
            <w:tcW w:type="dxa" w:w="740"/>
            <w:tcBorders>
              <w:start w:sz="1.6000000000003638"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1364" w:val="single" w:color="#000000"/>
              <w:end w:sz="2.4000000000005457" w:val="single" w:color="#000000"/>
              <w:bottom w:sz="1.599999999999909" w:val="single" w:color="#000000"/>
            </w:tcBorders>
            <w:tcMar>
              <w:start w:w="0" w:type="dxa"/>
              <w:end w:w="0" w:type="dxa"/>
            </w:tcMar>
          </w:tcPr>
          <w:p>
            <w:pPr>
              <w:autoSpaceDN w:val="0"/>
              <w:autoSpaceDE w:val="0"/>
              <w:widowControl/>
              <w:spacing w:line="230"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1364"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366" w:after="0"/>
              <w:ind w:left="0" w:right="58" w:firstLine="0"/>
              <w:jc w:val="right"/>
            </w:pPr>
            <w:r>
              <w:rPr>
                <w:rFonts w:ascii="Times New Roman" w:hAnsi="Times New Roman" w:eastAsia="Times New Roman"/>
                <w:b w:val="0"/>
                <w:i w:val="0"/>
                <w:color w:val="000000"/>
                <w:sz w:val="18"/>
              </w:rPr>
              <w:t xml:space="preserve">550 </w:t>
            </w:r>
          </w:p>
        </w:tc>
      </w:tr>
      <w:tr>
        <w:trPr>
          <w:trHeight w:hRule="exact" w:val="938"/>
        </w:trPr>
        <w:tc>
          <w:tcPr>
            <w:tcW w:type="dxa" w:w="1342"/>
            <w:tcBorders>
              <w:start w:sz="2.3999999999999773"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226" w:lineRule="exact" w:before="0" w:after="0"/>
              <w:ind w:left="108" w:right="148" w:firstLine="0"/>
              <w:jc w:val="both"/>
            </w:pPr>
            <w:r>
              <w:rPr>
                <w:rFonts w:ascii="宋体" w:hAnsi="宋体" w:eastAsia="宋体"/>
                <w:b w:val="0"/>
                <w:i w:val="0"/>
                <w:color w:val="000000"/>
                <w:sz w:val="18"/>
              </w:rPr>
              <w:t>山西国投创新</w:t>
            </w:r>
            <w:r>
              <w:rPr>
                <w:rFonts w:ascii="宋体" w:hAnsi="宋体" w:eastAsia="宋体"/>
                <w:b w:val="0"/>
                <w:i w:val="0"/>
                <w:color w:val="000000"/>
                <w:sz w:val="18"/>
              </w:rPr>
              <w:t>绿色能源股权</w:t>
            </w:r>
            <w:r>
              <w:rPr>
                <w:rFonts w:ascii="宋体" w:hAnsi="宋体" w:eastAsia="宋体"/>
                <w:b w:val="0"/>
                <w:i w:val="0"/>
                <w:color w:val="000000"/>
                <w:sz w:val="18"/>
              </w:rPr>
              <w:t>投资合伙企业</w:t>
            </w:r>
            <w:r>
              <w:rPr>
                <w:rFonts w:ascii="宋体" w:hAnsi="宋体" w:eastAsia="宋体"/>
                <w:b w:val="0"/>
                <w:i w:val="0"/>
                <w:color w:val="000000"/>
                <w:sz w:val="18"/>
              </w:rPr>
              <w:t xml:space="preserve">(有限合伙) </w:t>
            </w:r>
          </w:p>
        </w:tc>
        <w:tc>
          <w:tcPr>
            <w:tcW w:type="dxa" w:w="1030"/>
            <w:tcBorders>
              <w:start w:sz="2.3999999999999773"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7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368" w:after="0"/>
              <w:ind w:left="0" w:right="62" w:firstLine="0"/>
              <w:jc w:val="right"/>
            </w:pPr>
            <w:r>
              <w:rPr>
                <w:rFonts w:ascii="Times New Roman" w:hAnsi="Times New Roman" w:eastAsia="Times New Roman"/>
                <w:b w:val="0"/>
                <w:i w:val="0"/>
                <w:color w:val="000000"/>
                <w:sz w:val="18"/>
              </w:rPr>
              <w:t xml:space="preserve">99.6 </w:t>
            </w:r>
          </w:p>
        </w:tc>
        <w:tc>
          <w:tcPr>
            <w:tcW w:type="dxa" w:w="1070"/>
            <w:tcBorders>
              <w:start w:sz="2.400000000000091"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72" w:after="0"/>
              <w:ind w:left="0" w:right="62" w:firstLine="0"/>
              <w:jc w:val="right"/>
            </w:pPr>
            <w:r>
              <w:rPr>
                <w:rFonts w:ascii="Times New Roman" w:hAnsi="Times New Roman" w:eastAsia="Times New Roman"/>
                <w:b w:val="0"/>
                <w:i w:val="0"/>
                <w:color w:val="000000"/>
                <w:sz w:val="18"/>
              </w:rPr>
              <w:t xml:space="preserve">- </w:t>
            </w:r>
          </w:p>
        </w:tc>
        <w:tc>
          <w:tcPr>
            <w:tcW w:type="dxa" w:w="9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72"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72"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909" w:val="single" w:color="#000000"/>
              <w:end w:sz="2.4000000000005457" w:val="single" w:color="#000000"/>
              <w:bottom w:sz="1.599999999999909" w:val="single" w:color="#000000"/>
            </w:tcBorders>
            <w:tcMar>
              <w:start w:w="0" w:type="dxa"/>
              <w:end w:w="0" w:type="dxa"/>
            </w:tcMar>
          </w:tcPr>
          <w:p>
            <w:pPr>
              <w:autoSpaceDN w:val="0"/>
              <w:autoSpaceDE w:val="0"/>
              <w:widowControl/>
              <w:spacing w:line="230" w:lineRule="auto" w:before="472"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368" w:after="0"/>
              <w:ind w:left="0" w:right="58" w:firstLine="0"/>
              <w:jc w:val="right"/>
            </w:pPr>
            <w:r>
              <w:rPr>
                <w:rFonts w:ascii="Times New Roman" w:hAnsi="Times New Roman" w:eastAsia="Times New Roman"/>
                <w:b w:val="0"/>
                <w:i w:val="0"/>
                <w:color w:val="000000"/>
                <w:sz w:val="18"/>
              </w:rPr>
              <w:t xml:space="preserve">99.6 </w:t>
            </w:r>
          </w:p>
        </w:tc>
      </w:tr>
      <w:tr>
        <w:trPr>
          <w:trHeight w:hRule="exact" w:val="1096"/>
        </w:trPr>
        <w:tc>
          <w:tcPr>
            <w:tcW w:type="dxa" w:w="1342"/>
            <w:tcBorders>
              <w:start w:sz="2.3999999999999773"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232" w:lineRule="exact" w:before="54" w:after="0"/>
              <w:ind w:left="108" w:right="0" w:firstLine="0"/>
              <w:jc w:val="left"/>
            </w:pPr>
            <w:r>
              <w:rPr>
                <w:rFonts w:ascii="宋体" w:hAnsi="宋体" w:eastAsia="宋体"/>
                <w:b w:val="0"/>
                <w:i w:val="0"/>
                <w:color w:val="000000"/>
                <w:sz w:val="18"/>
              </w:rPr>
              <w:t>山西太行煤成</w:t>
            </w:r>
            <w:r>
              <w:rPr>
                <w:rFonts w:ascii="宋体" w:hAnsi="宋体" w:eastAsia="宋体"/>
                <w:b w:val="0"/>
                <w:i w:val="0"/>
                <w:color w:val="000000"/>
                <w:sz w:val="18"/>
              </w:rPr>
              <w:t>气产业投资基</w:t>
            </w:r>
            <w:r>
              <w:rPr>
                <w:rFonts w:ascii="宋体" w:hAnsi="宋体" w:eastAsia="宋体"/>
                <w:b w:val="0"/>
                <w:i w:val="0"/>
                <w:color w:val="000000"/>
                <w:sz w:val="18"/>
              </w:rPr>
              <w:t>金合伙企业</w:t>
            </w:r>
            <w:r>
              <w:br/>
            </w:r>
            <w:r>
              <w:rPr>
                <w:rFonts w:ascii="宋体" w:hAnsi="宋体" w:eastAsia="宋体"/>
                <w:b w:val="0"/>
                <w:i w:val="0"/>
                <w:color w:val="000000"/>
                <w:sz w:val="18"/>
              </w:rPr>
              <w:t xml:space="preserve">（有限合伙） </w:t>
            </w:r>
          </w:p>
        </w:tc>
        <w:tc>
          <w:tcPr>
            <w:tcW w:type="dxa" w:w="1030"/>
            <w:tcBorders>
              <w:start w:sz="2.3999999999999773"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64" w:lineRule="exact" w:before="0" w:after="0"/>
              <w:ind w:left="144" w:right="144" w:firstLine="0"/>
              <w:jc w:val="center"/>
            </w:pPr>
            <w:r>
              <w:rPr>
                <w:rFonts w:ascii="宋体" w:hAnsi="宋体" w:eastAsia="宋体"/>
                <w:b w:val="0"/>
                <w:i w:val="0"/>
                <w:color w:val="000000"/>
                <w:sz w:val="21"/>
              </w:rPr>
              <w:t>公司高</w:t>
            </w:r>
            <w:r>
              <w:rPr>
                <w:rFonts w:ascii="宋体" w:hAnsi="宋体" w:eastAsia="宋体"/>
                <w:b w:val="0"/>
                <w:i w:val="0"/>
                <w:color w:val="000000"/>
                <w:sz w:val="21"/>
              </w:rPr>
              <w:t>管担任</w:t>
            </w:r>
            <w:r>
              <w:rPr>
                <w:rFonts w:ascii="宋体" w:hAnsi="宋体" w:eastAsia="宋体"/>
                <w:b w:val="0"/>
                <w:i w:val="0"/>
                <w:color w:val="000000"/>
                <w:sz w:val="21"/>
              </w:rPr>
              <w:t>投决委</w:t>
            </w:r>
            <w:r>
              <w:rPr>
                <w:rFonts w:ascii="宋体" w:hAnsi="宋体" w:eastAsia="宋体"/>
                <w:b w:val="0"/>
                <w:i w:val="0"/>
                <w:color w:val="000000"/>
                <w:sz w:val="21"/>
              </w:rPr>
              <w:t>委员</w:t>
            </w:r>
          </w:p>
        </w:tc>
        <w:tc>
          <w:tcPr>
            <w:tcW w:type="dxa" w:w="1392"/>
            <w:tcBorders>
              <w:start w:sz="2.400000000000091" w:val="single" w:color="#000000"/>
              <w:top w:sz="1.599999999999909"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45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45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46" w:after="0"/>
              <w:ind w:left="0" w:right="62" w:firstLine="0"/>
              <w:jc w:val="right"/>
            </w:pPr>
            <w:r>
              <w:rPr>
                <w:rFonts w:ascii="Times New Roman" w:hAnsi="Times New Roman" w:eastAsia="Times New Roman"/>
                <w:b w:val="0"/>
                <w:i w:val="0"/>
                <w:color w:val="000000"/>
                <w:sz w:val="18"/>
              </w:rPr>
              <w:t xml:space="preserve">60.03 </w:t>
            </w:r>
          </w:p>
        </w:tc>
        <w:tc>
          <w:tcPr>
            <w:tcW w:type="dxa" w:w="1070"/>
            <w:tcBorders>
              <w:start w:sz="2.400000000000091"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46" w:after="0"/>
              <w:ind w:left="0" w:right="62" w:firstLine="0"/>
              <w:jc w:val="right"/>
            </w:pPr>
            <w:r>
              <w:rPr>
                <w:rFonts w:ascii="Times New Roman" w:hAnsi="Times New Roman" w:eastAsia="Times New Roman"/>
                <w:b w:val="0"/>
                <w:i w:val="0"/>
                <w:color w:val="000000"/>
                <w:sz w:val="18"/>
              </w:rPr>
              <w:t xml:space="preserve">0.08 </w:t>
            </w:r>
          </w:p>
        </w:tc>
        <w:tc>
          <w:tcPr>
            <w:tcW w:type="dxa" w:w="95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46" w:after="0"/>
              <w:ind w:left="0" w:right="60" w:firstLine="0"/>
              <w:jc w:val="right"/>
            </w:pPr>
            <w:r>
              <w:rPr>
                <w:rFonts w:ascii="Times New Roman" w:hAnsi="Times New Roman" w:eastAsia="Times New Roman"/>
                <w:b w:val="0"/>
                <w:i w:val="0"/>
                <w:color w:val="000000"/>
                <w:sz w:val="18"/>
              </w:rPr>
              <w:t xml:space="preserve">60.11 </w:t>
            </w:r>
          </w:p>
        </w:tc>
        <w:tc>
          <w:tcPr>
            <w:tcW w:type="dxa" w:w="740"/>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4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909" w:val="single" w:color="#000000"/>
              <w:end w:sz="2.4000000000005457" w:val="single" w:color="#000000"/>
              <w:bottom w:sz="1.599999999999909" w:val="single" w:color="#000000"/>
            </w:tcBorders>
            <w:tcMar>
              <w:start w:w="0" w:type="dxa"/>
              <w:end w:w="0" w:type="dxa"/>
            </w:tcMar>
          </w:tcPr>
          <w:p>
            <w:pPr>
              <w:autoSpaceDN w:val="0"/>
              <w:autoSpaceDE w:val="0"/>
              <w:widowControl/>
              <w:spacing w:line="230" w:lineRule="auto" w:before="44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46" w:after="0"/>
              <w:ind w:left="0" w:right="58" w:firstLine="0"/>
              <w:jc w:val="right"/>
            </w:pPr>
            <w:r>
              <w:rPr>
                <w:rFonts w:ascii="Times New Roman" w:hAnsi="Times New Roman" w:eastAsia="Times New Roman"/>
                <w:b w:val="0"/>
                <w:i w:val="0"/>
                <w:color w:val="000000"/>
                <w:sz w:val="18"/>
              </w:rPr>
              <w:t xml:space="preserve">- </w:t>
            </w:r>
          </w:p>
        </w:tc>
      </w:tr>
      <w:tr>
        <w:trPr>
          <w:trHeight w:hRule="exact" w:val="704"/>
        </w:trPr>
        <w:tc>
          <w:tcPr>
            <w:tcW w:type="dxa" w:w="1342"/>
            <w:tcBorders>
              <w:start w:sz="2.3999999999999773"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224" w:lineRule="exact" w:before="0" w:after="0"/>
              <w:ind w:left="108" w:right="148" w:firstLine="0"/>
              <w:jc w:val="both"/>
            </w:pPr>
            <w:r>
              <w:rPr>
                <w:rFonts w:ascii="宋体" w:hAnsi="宋体" w:eastAsia="宋体"/>
                <w:b w:val="0"/>
                <w:i w:val="0"/>
                <w:color w:val="000000"/>
                <w:sz w:val="18"/>
              </w:rPr>
              <w:t>山西交通产业</w:t>
            </w:r>
            <w:r>
              <w:rPr>
                <w:rFonts w:ascii="宋体" w:hAnsi="宋体" w:eastAsia="宋体"/>
                <w:b w:val="0"/>
                <w:i w:val="0"/>
                <w:color w:val="000000"/>
                <w:sz w:val="18"/>
              </w:rPr>
              <w:t>基金合伙企业</w:t>
            </w:r>
            <w:r>
              <w:rPr>
                <w:rFonts w:ascii="宋体" w:hAnsi="宋体" w:eastAsia="宋体"/>
                <w:b w:val="0"/>
                <w:i w:val="0"/>
                <w:color w:val="000000"/>
                <w:sz w:val="18"/>
              </w:rPr>
              <w:t xml:space="preserve">(有限合伙) </w:t>
            </w:r>
          </w:p>
        </w:tc>
        <w:tc>
          <w:tcPr>
            <w:tcW w:type="dxa" w:w="1030"/>
            <w:tcBorders>
              <w:start w:sz="2.3999999999999773"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24" w:lineRule="exact" w:before="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260"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260"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25.69 </w:t>
            </w:r>
          </w:p>
        </w:tc>
        <w:tc>
          <w:tcPr>
            <w:tcW w:type="dxa" w:w="1070"/>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2.5 </w:t>
            </w:r>
          </w:p>
        </w:tc>
        <w:tc>
          <w:tcPr>
            <w:tcW w:type="dxa" w:w="95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25.69 </w:t>
            </w:r>
          </w:p>
        </w:tc>
        <w:tc>
          <w:tcPr>
            <w:tcW w:type="dxa" w:w="74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909" w:val="single" w:color="#000000"/>
              <w:end w:sz="2.4000000000005457" w:val="single" w:color="#000000"/>
              <w:bottom w:sz="2.400000000000091"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250" w:after="0"/>
              <w:ind w:left="0" w:right="58" w:firstLine="0"/>
              <w:jc w:val="right"/>
            </w:pPr>
            <w:r>
              <w:rPr>
                <w:rFonts w:ascii="Times New Roman" w:hAnsi="Times New Roman" w:eastAsia="Times New Roman"/>
                <w:b w:val="0"/>
                <w:i w:val="0"/>
                <w:color w:val="000000"/>
                <w:sz w:val="18"/>
              </w:rPr>
              <w:t xml:space="preserve">2.5 </w:t>
            </w:r>
          </w:p>
        </w:tc>
      </w:tr>
      <w:tr>
        <w:trPr>
          <w:trHeight w:hRule="exact" w:val="938"/>
        </w:trPr>
        <w:tc>
          <w:tcPr>
            <w:tcW w:type="dxa" w:w="1342"/>
            <w:tcBorders>
              <w:start w:sz="2.3999999999999773" w:val="single" w:color="#000000"/>
              <w:top w:sz="2.400000000000091" w:val="single" w:color="#000000"/>
              <w:end w:sz="2.3999999999999773" w:val="single" w:color="#000000"/>
              <w:bottom w:sz="2.400000000000091" w:val="single" w:color="#000000"/>
            </w:tcBorders>
            <w:tcMar>
              <w:start w:w="0" w:type="dxa"/>
              <w:end w:w="0" w:type="dxa"/>
            </w:tcMar>
          </w:tcPr>
          <w:p>
            <w:pPr>
              <w:autoSpaceDN w:val="0"/>
              <w:autoSpaceDE w:val="0"/>
              <w:widowControl/>
              <w:spacing w:line="228" w:lineRule="exact" w:before="0" w:after="0"/>
              <w:ind w:left="108" w:right="58" w:firstLine="0"/>
              <w:jc w:val="both"/>
            </w:pPr>
            <w:r>
              <w:rPr>
                <w:rFonts w:ascii="宋体" w:hAnsi="宋体" w:eastAsia="宋体"/>
                <w:b w:val="0"/>
                <w:i w:val="0"/>
                <w:color w:val="000000"/>
                <w:sz w:val="18"/>
              </w:rPr>
              <w:t>山西信创引导</w:t>
            </w:r>
            <w:r>
              <w:rPr>
                <w:rFonts w:ascii="宋体" w:hAnsi="宋体" w:eastAsia="宋体"/>
                <w:b w:val="0"/>
                <w:i w:val="0"/>
                <w:color w:val="000000"/>
                <w:sz w:val="18"/>
              </w:rPr>
              <w:t>私募股权投资</w:t>
            </w:r>
            <w:r>
              <w:rPr>
                <w:rFonts w:ascii="宋体" w:hAnsi="宋体" w:eastAsia="宋体"/>
                <w:b w:val="0"/>
                <w:i w:val="0"/>
                <w:color w:val="000000"/>
                <w:sz w:val="18"/>
              </w:rPr>
              <w:t>基金合伙企业</w:t>
            </w:r>
            <w:r>
              <w:rPr>
                <w:rFonts w:ascii="宋体" w:hAnsi="宋体" w:eastAsia="宋体"/>
                <w:b w:val="0"/>
                <w:i w:val="0"/>
                <w:color w:val="000000"/>
                <w:sz w:val="18"/>
              </w:rPr>
              <w:t xml:space="preserve">（有限合伙） </w:t>
            </w:r>
          </w:p>
        </w:tc>
        <w:tc>
          <w:tcPr>
            <w:tcW w:type="dxa" w:w="1030"/>
            <w:tcBorders>
              <w:start w:sz="2.3999999999999773"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400000000000091"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378"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37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091"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20.69 </w:t>
            </w:r>
          </w:p>
        </w:tc>
        <w:tc>
          <w:tcPr>
            <w:tcW w:type="dxa" w:w="1070"/>
            <w:tcBorders>
              <w:start w:sz="2.400000000000091"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13.2 </w:t>
            </w:r>
          </w:p>
        </w:tc>
        <w:tc>
          <w:tcPr>
            <w:tcW w:type="dxa" w:w="95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370"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091" w:val="single" w:color="#000000"/>
              <w:end w:sz="2.4000000000005457" w:val="single" w:color="#000000"/>
              <w:bottom w:sz="2.400000000000091" w:val="single" w:color="#000000"/>
            </w:tcBorders>
            <w:tcMar>
              <w:start w:w="0" w:type="dxa"/>
              <w:end w:w="0" w:type="dxa"/>
            </w:tcMar>
          </w:tcPr>
          <w:p>
            <w:pPr>
              <w:autoSpaceDN w:val="0"/>
              <w:autoSpaceDE w:val="0"/>
              <w:widowControl/>
              <w:spacing w:line="230" w:lineRule="auto" w:before="37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370" w:after="0"/>
              <w:ind w:left="0" w:right="58" w:firstLine="0"/>
              <w:jc w:val="right"/>
            </w:pPr>
            <w:r>
              <w:rPr>
                <w:rFonts w:ascii="Times New Roman" w:hAnsi="Times New Roman" w:eastAsia="Times New Roman"/>
                <w:b w:val="0"/>
                <w:i w:val="0"/>
                <w:color w:val="000000"/>
                <w:sz w:val="18"/>
              </w:rPr>
              <w:t xml:space="preserve">33.89 </w:t>
            </w:r>
          </w:p>
        </w:tc>
      </w:tr>
      <w:tr>
        <w:trPr>
          <w:trHeight w:hRule="exact" w:val="940"/>
        </w:trPr>
        <w:tc>
          <w:tcPr>
            <w:tcW w:type="dxa" w:w="1342"/>
            <w:tcBorders>
              <w:start w:sz="2.3999999999999773" w:val="single" w:color="#000000"/>
              <w:top w:sz="2.400000000000091" w:val="single" w:color="#000000"/>
              <w:end w:sz="2.3999999999999773" w:val="single" w:color="#000000"/>
              <w:bottom w:sz="1.6000000000003638" w:val="single" w:color="#000000"/>
            </w:tcBorders>
            <w:tcMar>
              <w:start w:w="0" w:type="dxa"/>
              <w:end w:w="0" w:type="dxa"/>
            </w:tcMar>
          </w:tcPr>
          <w:p>
            <w:pPr>
              <w:autoSpaceDN w:val="0"/>
              <w:autoSpaceDE w:val="0"/>
              <w:widowControl/>
              <w:spacing w:line="226" w:lineRule="exact" w:before="0" w:after="0"/>
              <w:ind w:left="108" w:right="58" w:firstLine="0"/>
              <w:jc w:val="both"/>
            </w:pPr>
            <w:r>
              <w:rPr>
                <w:rFonts w:ascii="宋体" w:hAnsi="宋体" w:eastAsia="宋体"/>
                <w:b w:val="0"/>
                <w:i w:val="0"/>
                <w:color w:val="000000"/>
                <w:sz w:val="18"/>
              </w:rPr>
              <w:t>山西上市倍增</w:t>
            </w:r>
            <w:r>
              <w:rPr>
                <w:rFonts w:ascii="宋体" w:hAnsi="宋体" w:eastAsia="宋体"/>
                <w:b w:val="0"/>
                <w:i w:val="0"/>
                <w:color w:val="000000"/>
                <w:sz w:val="18"/>
              </w:rPr>
              <w:t>私募股权投资</w:t>
            </w:r>
            <w:r>
              <w:rPr>
                <w:rFonts w:ascii="宋体" w:hAnsi="宋体" w:eastAsia="宋体"/>
                <w:b w:val="0"/>
                <w:i w:val="0"/>
                <w:color w:val="000000"/>
                <w:sz w:val="18"/>
              </w:rPr>
              <w:t>基金合伙企业</w:t>
            </w:r>
            <w:r>
              <w:rPr>
                <w:rFonts w:ascii="宋体" w:hAnsi="宋体" w:eastAsia="宋体"/>
                <w:b w:val="0"/>
                <w:i w:val="0"/>
                <w:color w:val="000000"/>
                <w:sz w:val="18"/>
              </w:rPr>
              <w:t xml:space="preserve">（有限合伙） </w:t>
            </w:r>
          </w:p>
        </w:tc>
        <w:tc>
          <w:tcPr>
            <w:tcW w:type="dxa" w:w="1030"/>
            <w:tcBorders>
              <w:start w:sz="2.3999999999999773" w:val="single" w:color="#000000"/>
              <w:top w:sz="2.400000000000091" w:val="single" w:color="#000000"/>
              <w:end w:sz="2.400000000000091" w:val="single" w:color="#000000"/>
              <w:bottom w:sz="1.6000000000003638"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400000000000091"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378"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400000000000091"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37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091"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155.5 </w:t>
            </w:r>
          </w:p>
        </w:tc>
        <w:tc>
          <w:tcPr>
            <w:tcW w:type="dxa" w:w="1070"/>
            <w:tcBorders>
              <w:start w:sz="2.400000000000091"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150.6 </w:t>
            </w:r>
          </w:p>
        </w:tc>
        <w:tc>
          <w:tcPr>
            <w:tcW w:type="dxa" w:w="950"/>
            <w:tcBorders>
              <w:start w:sz="1.6000000000003638"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70" w:after="0"/>
              <w:ind w:left="0" w:right="60" w:firstLine="0"/>
              <w:jc w:val="right"/>
            </w:pPr>
            <w:r>
              <w:rPr>
                <w:rFonts w:ascii="Times New Roman" w:hAnsi="Times New Roman" w:eastAsia="Times New Roman"/>
                <w:b w:val="0"/>
                <w:i w:val="0"/>
                <w:color w:val="000000"/>
                <w:sz w:val="18"/>
              </w:rPr>
              <w:t xml:space="preserve">155.17 </w:t>
            </w:r>
          </w:p>
        </w:tc>
        <w:tc>
          <w:tcPr>
            <w:tcW w:type="dxa" w:w="740"/>
            <w:tcBorders>
              <w:start w:sz="1.6000000000003638"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7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091" w:val="single" w:color="#000000"/>
              <w:end w:sz="2.4000000000005457" w:val="single" w:color="#000000"/>
              <w:bottom w:sz="1.6000000000003638" w:val="single" w:color="#000000"/>
            </w:tcBorders>
            <w:tcMar>
              <w:start w:w="0" w:type="dxa"/>
              <w:end w:w="0" w:type="dxa"/>
            </w:tcMar>
          </w:tcPr>
          <w:p>
            <w:pPr>
              <w:autoSpaceDN w:val="0"/>
              <w:autoSpaceDE w:val="0"/>
              <w:widowControl/>
              <w:spacing w:line="230" w:lineRule="auto" w:before="37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70" w:after="0"/>
              <w:ind w:left="0" w:right="58" w:firstLine="0"/>
              <w:jc w:val="right"/>
            </w:pPr>
            <w:r>
              <w:rPr>
                <w:rFonts w:ascii="Times New Roman" w:hAnsi="Times New Roman" w:eastAsia="Times New Roman"/>
                <w:b w:val="0"/>
                <w:i w:val="0"/>
                <w:color w:val="000000"/>
                <w:sz w:val="18"/>
              </w:rPr>
              <w:t xml:space="preserve">150.93 </w:t>
            </w:r>
          </w:p>
        </w:tc>
      </w:tr>
      <w:tr>
        <w:trPr>
          <w:trHeight w:hRule="exact" w:val="940"/>
        </w:trPr>
        <w:tc>
          <w:tcPr>
            <w:tcW w:type="dxa" w:w="1342"/>
            <w:tcBorders>
              <w:start w:sz="2.3999999999999773" w:val="single" w:color="#000000"/>
              <w:top w:sz="1.6000000000003638" w:val="single" w:color="#000000"/>
              <w:end w:sz="2.3999999999999773" w:val="single" w:color="#000000"/>
              <w:bottom w:sz="2.4000000000005457" w:val="single" w:color="#000000"/>
            </w:tcBorders>
            <w:tcMar>
              <w:start w:w="0" w:type="dxa"/>
              <w:end w:w="0" w:type="dxa"/>
            </w:tcMar>
          </w:tcPr>
          <w:p>
            <w:pPr>
              <w:autoSpaceDN w:val="0"/>
              <w:autoSpaceDE w:val="0"/>
              <w:widowControl/>
              <w:spacing w:line="226" w:lineRule="exact" w:before="0" w:after="0"/>
              <w:ind w:left="108" w:right="148" w:firstLine="0"/>
              <w:jc w:val="both"/>
            </w:pPr>
            <w:r>
              <w:rPr>
                <w:rFonts w:ascii="宋体" w:hAnsi="宋体" w:eastAsia="宋体"/>
                <w:b w:val="0"/>
                <w:i w:val="0"/>
                <w:color w:val="000000"/>
                <w:sz w:val="18"/>
              </w:rPr>
              <w:t>扬州山证启航</w:t>
            </w:r>
            <w:r>
              <w:rPr>
                <w:rFonts w:ascii="宋体" w:hAnsi="宋体" w:eastAsia="宋体"/>
                <w:b w:val="0"/>
                <w:i w:val="0"/>
                <w:color w:val="000000"/>
                <w:sz w:val="18"/>
              </w:rPr>
              <w:t>股权投资合伙</w:t>
            </w:r>
            <w:r>
              <w:rPr>
                <w:rFonts w:ascii="宋体" w:hAnsi="宋体" w:eastAsia="宋体"/>
                <w:b w:val="0"/>
                <w:i w:val="0"/>
                <w:color w:val="000000"/>
                <w:sz w:val="18"/>
              </w:rPr>
              <w:t>企业（有限合</w:t>
            </w:r>
            <w:r>
              <w:rPr>
                <w:rFonts w:ascii="宋体" w:hAnsi="宋体" w:eastAsia="宋体"/>
                <w:b w:val="0"/>
                <w:i w:val="0"/>
                <w:color w:val="000000"/>
                <w:sz w:val="18"/>
              </w:rPr>
              <w:t xml:space="preserve">伙） </w:t>
            </w:r>
          </w:p>
        </w:tc>
        <w:tc>
          <w:tcPr>
            <w:tcW w:type="dxa" w:w="1030"/>
            <w:tcBorders>
              <w:start w:sz="2.3999999999999773"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6000000000003638" w:val="single" w:color="#000000"/>
              <w:end w:sz="2.3999999999998636" w:val="single" w:color="#000000"/>
              <w:bottom w:sz="2.4000000000005457" w:val="single" w:color="#000000"/>
            </w:tcBorders>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180" w:lineRule="exact" w:before="37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3" w:lineRule="auto" w:before="368" w:after="0"/>
              <w:ind w:left="0" w:right="62" w:firstLine="0"/>
              <w:jc w:val="right"/>
            </w:pPr>
            <w:r>
              <w:rPr>
                <w:rFonts w:ascii="Times New Roman" w:hAnsi="Times New Roman" w:eastAsia="Times New Roman"/>
                <w:b w:val="0"/>
                <w:i w:val="0"/>
                <w:color w:val="000000"/>
                <w:sz w:val="18"/>
              </w:rPr>
              <w:t xml:space="preserve">818.19 </w:t>
            </w:r>
          </w:p>
        </w:tc>
        <w:tc>
          <w:tcPr>
            <w:tcW w:type="dxa" w:w="1070"/>
            <w:tcBorders>
              <w:start w:sz="2.400000000000091"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8" w:after="0"/>
              <w:ind w:left="0" w:right="62" w:firstLine="0"/>
              <w:jc w:val="right"/>
            </w:pPr>
            <w:r>
              <w:rPr>
                <w:rFonts w:ascii="Times New Roman" w:hAnsi="Times New Roman" w:eastAsia="Times New Roman"/>
                <w:b w:val="0"/>
                <w:i w:val="0"/>
                <w:color w:val="000000"/>
                <w:sz w:val="18"/>
              </w:rPr>
              <w:t xml:space="preserve">706 </w:t>
            </w:r>
          </w:p>
        </w:tc>
        <w:tc>
          <w:tcPr>
            <w:tcW w:type="dxa" w:w="950"/>
            <w:tcBorders>
              <w:start w:sz="1.6000000000003638"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8" w:after="0"/>
              <w:ind w:left="0" w:right="60" w:firstLine="0"/>
              <w:jc w:val="right"/>
            </w:pPr>
            <w:r>
              <w:rPr>
                <w:rFonts w:ascii="Times New Roman" w:hAnsi="Times New Roman" w:eastAsia="Times New Roman"/>
                <w:b w:val="0"/>
                <w:i w:val="0"/>
                <w:color w:val="000000"/>
                <w:sz w:val="18"/>
              </w:rPr>
              <w:t xml:space="preserve">812.39 </w:t>
            </w:r>
          </w:p>
        </w:tc>
        <w:tc>
          <w:tcPr>
            <w:tcW w:type="dxa" w:w="740"/>
            <w:tcBorders>
              <w:start w:sz="1.6000000000003638"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8"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3638" w:val="single" w:color="#000000"/>
              <w:end w:sz="2.4000000000005457" w:val="single" w:color="#000000"/>
              <w:bottom w:sz="2.4000000000005457" w:val="single" w:color="#000000"/>
            </w:tcBorders>
            <w:tcMar>
              <w:start w:w="0" w:type="dxa"/>
              <w:end w:w="0" w:type="dxa"/>
            </w:tcMar>
          </w:tcPr>
          <w:p>
            <w:pPr>
              <w:autoSpaceDN w:val="0"/>
              <w:autoSpaceDE w:val="0"/>
              <w:widowControl/>
              <w:spacing w:line="233" w:lineRule="auto" w:before="368"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8" w:after="0"/>
              <w:ind w:left="0" w:right="58" w:firstLine="0"/>
              <w:jc w:val="right"/>
            </w:pPr>
            <w:r>
              <w:rPr>
                <w:rFonts w:ascii="Times New Roman" w:hAnsi="Times New Roman" w:eastAsia="Times New Roman"/>
                <w:b w:val="0"/>
                <w:i w:val="0"/>
                <w:color w:val="000000"/>
                <w:sz w:val="18"/>
              </w:rPr>
              <w:t xml:space="preserve">711.8 </w:t>
            </w:r>
          </w:p>
        </w:tc>
      </w:tr>
      <w:tr>
        <w:trPr>
          <w:trHeight w:hRule="exact" w:val="1172"/>
        </w:trPr>
        <w:tc>
          <w:tcPr>
            <w:tcW w:type="dxa" w:w="1342"/>
            <w:tcBorders>
              <w:start w:sz="2.3999999999999773" w:val="single" w:color="#000000"/>
              <w:top w:sz="2.4000000000005457" w:val="single" w:color="#000000"/>
              <w:end w:sz="2.3999999999999773" w:val="single" w:color="#000000"/>
              <w:bottom w:sz="1.6000000000003638" w:val="single" w:color="#000000"/>
            </w:tcBorders>
            <w:tcMar>
              <w:start w:w="0" w:type="dxa"/>
              <w:end w:w="0" w:type="dxa"/>
            </w:tcMar>
          </w:tcPr>
          <w:p>
            <w:pPr>
              <w:autoSpaceDN w:val="0"/>
              <w:autoSpaceDE w:val="0"/>
              <w:widowControl/>
              <w:spacing w:line="228" w:lineRule="exact" w:before="0" w:after="0"/>
              <w:ind w:left="108" w:right="148" w:firstLine="0"/>
              <w:jc w:val="both"/>
            </w:pPr>
            <w:r>
              <w:rPr>
                <w:rFonts w:ascii="宋体" w:hAnsi="宋体" w:eastAsia="宋体"/>
                <w:b w:val="0"/>
                <w:i w:val="0"/>
                <w:color w:val="000000"/>
                <w:sz w:val="18"/>
              </w:rPr>
              <w:t>山西重器智能</w:t>
            </w:r>
            <w:r>
              <w:rPr>
                <w:rFonts w:ascii="宋体" w:hAnsi="宋体" w:eastAsia="宋体"/>
                <w:b w:val="0"/>
                <w:i w:val="0"/>
                <w:color w:val="000000"/>
                <w:sz w:val="18"/>
              </w:rPr>
              <w:t>高端装备私募</w:t>
            </w:r>
            <w:r>
              <w:rPr>
                <w:rFonts w:ascii="宋体" w:hAnsi="宋体" w:eastAsia="宋体"/>
                <w:b w:val="0"/>
                <w:i w:val="0"/>
                <w:color w:val="000000"/>
                <w:sz w:val="18"/>
              </w:rPr>
              <w:t>股权投资基金</w:t>
            </w:r>
            <w:r>
              <w:rPr>
                <w:rFonts w:ascii="宋体" w:hAnsi="宋体" w:eastAsia="宋体"/>
                <w:b w:val="0"/>
                <w:i w:val="0"/>
                <w:color w:val="000000"/>
                <w:sz w:val="18"/>
              </w:rPr>
              <w:t>合伙企业（有</w:t>
            </w:r>
            <w:r>
              <w:rPr>
                <w:rFonts w:ascii="宋体" w:hAnsi="宋体" w:eastAsia="宋体"/>
                <w:b w:val="0"/>
                <w:i w:val="0"/>
                <w:color w:val="000000"/>
                <w:sz w:val="18"/>
              </w:rPr>
              <w:t xml:space="preserve">限合伙） </w:t>
            </w:r>
          </w:p>
        </w:tc>
        <w:tc>
          <w:tcPr>
            <w:tcW w:type="dxa" w:w="1030"/>
            <w:tcBorders>
              <w:start w:sz="2.3999999999999773"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232" w:lineRule="exact" w:before="204"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4000000000005457"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490"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490"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26.52 </w:t>
            </w:r>
          </w:p>
        </w:tc>
        <w:tc>
          <w:tcPr>
            <w:tcW w:type="dxa" w:w="1070"/>
            <w:tcBorders>
              <w:start w:sz="2.400000000000091"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40 </w:t>
            </w:r>
          </w:p>
        </w:tc>
        <w:tc>
          <w:tcPr>
            <w:tcW w:type="dxa" w:w="950"/>
            <w:tcBorders>
              <w:start w:sz="1.6000000000003638"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482" w:after="0"/>
              <w:ind w:left="0" w:right="60" w:firstLine="0"/>
              <w:jc w:val="right"/>
            </w:pPr>
            <w:r>
              <w:rPr>
                <w:rFonts w:ascii="Times New Roman" w:hAnsi="Times New Roman" w:eastAsia="Times New Roman"/>
                <w:b w:val="0"/>
                <w:i w:val="0"/>
                <w:color w:val="000000"/>
                <w:sz w:val="18"/>
              </w:rPr>
              <w:t xml:space="preserve">66.52 </w:t>
            </w:r>
          </w:p>
        </w:tc>
        <w:tc>
          <w:tcPr>
            <w:tcW w:type="dxa" w:w="740"/>
            <w:tcBorders>
              <w:start w:sz="1.6000000000003638"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5457" w:val="single" w:color="#000000"/>
              <w:end w:sz="2.4000000000005457" w:val="single" w:color="#000000"/>
              <w:bottom w:sz="1.6000000000003638" w:val="single" w:color="#000000"/>
            </w:tcBorders>
            <w:tcMar>
              <w:start w:w="0" w:type="dxa"/>
              <w:end w:w="0" w:type="dxa"/>
            </w:tcMar>
          </w:tcPr>
          <w:p>
            <w:pPr>
              <w:autoSpaceDN w:val="0"/>
              <w:autoSpaceDE w:val="0"/>
              <w:widowControl/>
              <w:spacing w:line="233" w:lineRule="auto" w:before="482"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3" w:lineRule="auto" w:before="482" w:after="0"/>
              <w:ind w:left="0" w:right="58" w:firstLine="0"/>
              <w:jc w:val="right"/>
            </w:pPr>
            <w:r>
              <w:rPr>
                <w:rFonts w:ascii="Times New Roman" w:hAnsi="Times New Roman" w:eastAsia="Times New Roman"/>
                <w:b w:val="0"/>
                <w:i w:val="0"/>
                <w:color w:val="000000"/>
                <w:sz w:val="18"/>
              </w:rPr>
              <w:t xml:space="preserve">- </w:t>
            </w:r>
          </w:p>
        </w:tc>
      </w:tr>
      <w:tr>
        <w:trPr>
          <w:trHeight w:hRule="exact" w:val="938"/>
        </w:trPr>
        <w:tc>
          <w:tcPr>
            <w:tcW w:type="dxa" w:w="1342"/>
            <w:tcBorders>
              <w:start w:sz="2.3999999999999773" w:val="single" w:color="#000000"/>
              <w:top w:sz="1.6000000000003638" w:val="single" w:color="#000000"/>
              <w:end w:sz="2.3999999999999773" w:val="single" w:color="#000000"/>
              <w:bottom w:sz="2.4000000000005457" w:val="single" w:color="#000000"/>
            </w:tcBorders>
            <w:tcMar>
              <w:start w:w="0" w:type="dxa"/>
              <w:end w:w="0" w:type="dxa"/>
            </w:tcMar>
          </w:tcPr>
          <w:p>
            <w:pPr>
              <w:autoSpaceDN w:val="0"/>
              <w:autoSpaceDE w:val="0"/>
              <w:widowControl/>
              <w:spacing w:line="226" w:lineRule="exact" w:before="0" w:after="0"/>
              <w:ind w:left="108" w:right="0" w:firstLine="0"/>
              <w:jc w:val="left"/>
            </w:pPr>
            <w:r>
              <w:rPr>
                <w:rFonts w:ascii="宋体" w:hAnsi="宋体" w:eastAsia="宋体"/>
                <w:b w:val="0"/>
                <w:i w:val="0"/>
                <w:color w:val="000000"/>
                <w:sz w:val="18"/>
              </w:rPr>
              <w:t>共青城山证通</w:t>
            </w:r>
            <w:r>
              <w:rPr>
                <w:rFonts w:ascii="宋体" w:hAnsi="宋体" w:eastAsia="宋体"/>
                <w:b w:val="0"/>
                <w:i w:val="0"/>
                <w:color w:val="000000"/>
                <w:sz w:val="18"/>
              </w:rPr>
              <w:t>奥启程股权投</w:t>
            </w:r>
            <w:r>
              <w:rPr>
                <w:rFonts w:ascii="宋体" w:hAnsi="宋体" w:eastAsia="宋体"/>
                <w:b w:val="0"/>
                <w:i w:val="0"/>
                <w:color w:val="000000"/>
                <w:sz w:val="18"/>
              </w:rPr>
              <w:t>资合伙企业</w:t>
            </w:r>
            <w:r>
              <w:br/>
            </w:r>
            <w:r>
              <w:rPr>
                <w:rFonts w:ascii="宋体" w:hAnsi="宋体" w:eastAsia="宋体"/>
                <w:b w:val="0"/>
                <w:i w:val="0"/>
                <w:color w:val="000000"/>
                <w:sz w:val="18"/>
              </w:rPr>
              <w:t xml:space="preserve">（有限合伙） </w:t>
            </w:r>
          </w:p>
        </w:tc>
        <w:tc>
          <w:tcPr>
            <w:tcW w:type="dxa" w:w="1030"/>
            <w:tcBorders>
              <w:start w:sz="2.3999999999999773"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6000000000003638" w:val="single" w:color="#000000"/>
              <w:end w:sz="2.3999999999998636" w:val="single" w:color="#000000"/>
              <w:bottom w:sz="2.4000000000005457" w:val="single" w:color="#000000"/>
            </w:tcBorders>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180" w:lineRule="exact" w:before="37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3638" w:val="single" w:color="#000000"/>
              <w:end w:sz="2.400000000000091" w:val="single" w:color="#000000"/>
              <w:bottom w:sz="2.4000000000005457"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1.35 </w:t>
            </w:r>
          </w:p>
        </w:tc>
        <w:tc>
          <w:tcPr>
            <w:tcW w:type="dxa" w:w="1070"/>
            <w:tcBorders>
              <w:start w:sz="2.400000000000091"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21.78 </w:t>
            </w:r>
          </w:p>
        </w:tc>
        <w:tc>
          <w:tcPr>
            <w:tcW w:type="dxa" w:w="950"/>
            <w:tcBorders>
              <w:start w:sz="1.6000000000003638"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23.13 </w:t>
            </w:r>
          </w:p>
        </w:tc>
        <w:tc>
          <w:tcPr>
            <w:tcW w:type="dxa" w:w="740"/>
            <w:tcBorders>
              <w:start w:sz="1.6000000000003638"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3638" w:val="single" w:color="#000000"/>
              <w:end w:sz="2.4000000000005457" w:val="single" w:color="#000000"/>
              <w:bottom w:sz="2.4000000000005457"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3638" w:val="single" w:color="#000000"/>
              <w:end w:sz="1.6000000000003638" w:val="single" w:color="#000000"/>
              <w:bottom w:sz="2.4000000000005457" w:val="single" w:color="#000000"/>
            </w:tcBorders>
            <w:tcMar>
              <w:start w:w="0" w:type="dxa"/>
              <w:end w:w="0" w:type="dxa"/>
            </w:tcMar>
          </w:tcPr>
          <w:p>
            <w:pPr>
              <w:autoSpaceDN w:val="0"/>
              <w:autoSpaceDE w:val="0"/>
              <w:widowControl/>
              <w:spacing w:line="233" w:lineRule="auto" w:before="366" w:after="0"/>
              <w:ind w:left="0" w:right="58" w:firstLine="0"/>
              <w:jc w:val="right"/>
            </w:pPr>
            <w:r>
              <w:rPr>
                <w:rFonts w:ascii="Times New Roman" w:hAnsi="Times New Roman" w:eastAsia="Times New Roman"/>
                <w:b w:val="0"/>
                <w:i w:val="0"/>
                <w:color w:val="000000"/>
                <w:sz w:val="18"/>
              </w:rPr>
              <w:t xml:space="preserve">- </w:t>
            </w:r>
          </w:p>
        </w:tc>
      </w:tr>
      <w:tr>
        <w:trPr>
          <w:trHeight w:hRule="exact" w:val="940"/>
        </w:trPr>
        <w:tc>
          <w:tcPr>
            <w:tcW w:type="dxa" w:w="1342"/>
            <w:tcBorders>
              <w:start w:sz="2.3999999999999773" w:val="single" w:color="#000000"/>
              <w:top w:sz="2.4000000000005457" w:val="single" w:color="#000000"/>
              <w:end w:sz="2.3999999999999773" w:val="single" w:color="#000000"/>
              <w:bottom w:sz="1.6000000000003638" w:val="single" w:color="#000000"/>
            </w:tcBorders>
            <w:tcMar>
              <w:start w:w="0" w:type="dxa"/>
              <w:end w:w="0" w:type="dxa"/>
            </w:tcMar>
          </w:tcPr>
          <w:p>
            <w:pPr>
              <w:autoSpaceDN w:val="0"/>
              <w:tabs>
                <w:tab w:pos="220" w:val="left"/>
              </w:tabs>
              <w:autoSpaceDE w:val="0"/>
              <w:widowControl/>
              <w:spacing w:line="226" w:lineRule="exact" w:before="0" w:after="0"/>
              <w:ind w:left="130" w:right="0" w:firstLine="0"/>
              <w:jc w:val="left"/>
            </w:pPr>
            <w:r>
              <w:rPr>
                <w:rFonts w:ascii="宋体" w:hAnsi="宋体" w:eastAsia="宋体"/>
                <w:b w:val="0"/>
                <w:i w:val="0"/>
                <w:color w:val="000000"/>
                <w:sz w:val="18"/>
              </w:rPr>
              <w:t>共青城山证绿</w:t>
            </w:r>
            <w:r>
              <w:rPr>
                <w:rFonts w:ascii="宋体" w:hAnsi="宋体" w:eastAsia="宋体"/>
                <w:b w:val="0"/>
                <w:i w:val="0"/>
                <w:color w:val="000000"/>
                <w:sz w:val="18"/>
              </w:rPr>
              <w:t>菱启元股权投</w:t>
            </w:r>
            <w:r>
              <w:rPr>
                <w:rFonts w:ascii="宋体" w:hAnsi="宋体" w:eastAsia="宋体"/>
                <w:b w:val="0"/>
                <w:i w:val="0"/>
                <w:color w:val="000000"/>
                <w:sz w:val="18"/>
              </w:rPr>
              <w:t>资合伙企业</w:t>
            </w:r>
            <w:r>
              <w:br/>
            </w:r>
            <w:r>
              <w:rPr>
                <w:rFonts w:ascii="宋体" w:hAnsi="宋体" w:eastAsia="宋体"/>
                <w:b w:val="0"/>
                <w:i w:val="0"/>
                <w:color w:val="000000"/>
                <w:sz w:val="18"/>
              </w:rPr>
              <w:t xml:space="preserve">（有限合伙） </w:t>
            </w:r>
          </w:p>
        </w:tc>
        <w:tc>
          <w:tcPr>
            <w:tcW w:type="dxa" w:w="1030"/>
            <w:tcBorders>
              <w:start w:sz="2.3999999999999773"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234" w:lineRule="exact" w:before="88"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4000000000005457" w:val="single" w:color="#000000"/>
              <w:end w:sz="2.3999999999998636" w:val="single" w:color="#000000"/>
              <w:bottom w:sz="1.6000000000003638" w:val="single" w:color="#000000"/>
            </w:tcBorders>
            <w:tcMar>
              <w:start w:w="0" w:type="dxa"/>
              <w:end w:w="0" w:type="dxa"/>
            </w:tcMar>
          </w:tcPr>
          <w:p>
            <w:pPr>
              <w:autoSpaceDN w:val="0"/>
              <w:autoSpaceDE w:val="0"/>
              <w:widowControl/>
              <w:spacing w:line="180" w:lineRule="exact" w:before="376"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376"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5457"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368" w:after="0"/>
              <w:ind w:left="0" w:right="62" w:firstLine="0"/>
              <w:jc w:val="right"/>
            </w:pPr>
            <w:r>
              <w:rPr>
                <w:rFonts w:ascii="Times New Roman" w:hAnsi="Times New Roman" w:eastAsia="Times New Roman"/>
                <w:b w:val="0"/>
                <w:i w:val="0"/>
                <w:color w:val="000000"/>
                <w:sz w:val="18"/>
              </w:rPr>
              <w:t xml:space="preserve">56.07 </w:t>
            </w:r>
          </w:p>
        </w:tc>
        <w:tc>
          <w:tcPr>
            <w:tcW w:type="dxa" w:w="1070"/>
            <w:tcBorders>
              <w:start w:sz="2.400000000000091"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68" w:after="0"/>
              <w:ind w:left="0" w:right="62" w:firstLine="0"/>
              <w:jc w:val="right"/>
            </w:pPr>
            <w:r>
              <w:rPr>
                <w:rFonts w:ascii="Times New Roman" w:hAnsi="Times New Roman" w:eastAsia="Times New Roman"/>
                <w:b w:val="0"/>
                <w:i w:val="0"/>
                <w:color w:val="000000"/>
                <w:sz w:val="18"/>
              </w:rPr>
              <w:t xml:space="preserve">79.5 </w:t>
            </w:r>
          </w:p>
        </w:tc>
        <w:tc>
          <w:tcPr>
            <w:tcW w:type="dxa" w:w="950"/>
            <w:tcBorders>
              <w:start w:sz="1.6000000000003638"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740"/>
            <w:tcBorders>
              <w:start w:sz="1.6000000000003638"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5457" w:val="single" w:color="#000000"/>
              <w:end w:sz="2.4000000000005457" w:val="single" w:color="#000000"/>
              <w:bottom w:sz="1.6000000000003638" w:val="single" w:color="#000000"/>
            </w:tcBorders>
            <w:tcMar>
              <w:start w:w="0" w:type="dxa"/>
              <w:end w:w="0" w:type="dxa"/>
            </w:tcMar>
          </w:tcPr>
          <w:p>
            <w:pPr>
              <w:autoSpaceDN w:val="0"/>
              <w:autoSpaceDE w:val="0"/>
              <w:widowControl/>
              <w:spacing w:line="230" w:lineRule="auto" w:before="368" w:after="0"/>
              <w:ind w:left="0" w:right="0" w:firstLine="0"/>
              <w:jc w:val="center"/>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5457"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auto" w:before="368" w:after="0"/>
              <w:ind w:left="0" w:right="58" w:firstLine="0"/>
              <w:jc w:val="right"/>
            </w:pPr>
            <w:r>
              <w:rPr>
                <w:rFonts w:ascii="Times New Roman" w:hAnsi="Times New Roman" w:eastAsia="Times New Roman"/>
                <w:b w:val="0"/>
                <w:i w:val="0"/>
                <w:color w:val="000000"/>
                <w:sz w:val="18"/>
              </w:rPr>
              <w:t xml:space="preserve">135.57 </w:t>
            </w:r>
          </w:p>
        </w:tc>
      </w:tr>
      <w:tr>
        <w:trPr>
          <w:trHeight w:hRule="exact" w:val="706"/>
        </w:trPr>
        <w:tc>
          <w:tcPr>
            <w:tcW w:type="dxa" w:w="1342"/>
            <w:tcBorders>
              <w:start w:sz="2.3999999999999773" w:val="single" w:color="#000000"/>
              <w:top w:sz="1.6000000000003638" w:val="single" w:color="#000000"/>
              <w:end w:sz="2.3999999999999773" w:val="single" w:color="#000000"/>
              <w:bottom w:sz="2.399999999999636" w:val="single" w:color="#000000"/>
            </w:tcBorders>
            <w:tcMar>
              <w:start w:w="0" w:type="dxa"/>
              <w:end w:w="0" w:type="dxa"/>
            </w:tcMar>
          </w:tcPr>
          <w:p>
            <w:pPr>
              <w:autoSpaceDN w:val="0"/>
              <w:autoSpaceDE w:val="0"/>
              <w:widowControl/>
              <w:spacing w:line="224" w:lineRule="exact" w:before="0" w:after="0"/>
              <w:ind w:left="0" w:right="0" w:firstLine="0"/>
              <w:jc w:val="center"/>
            </w:pPr>
            <w:r>
              <w:rPr>
                <w:rFonts w:ascii="宋体" w:hAnsi="宋体" w:eastAsia="宋体"/>
                <w:b w:val="0"/>
                <w:i w:val="0"/>
                <w:color w:val="000000"/>
                <w:sz w:val="18"/>
              </w:rPr>
              <w:t>共青城山证绿</w:t>
            </w:r>
            <w:r>
              <w:rPr>
                <w:rFonts w:ascii="宋体" w:hAnsi="宋体" w:eastAsia="宋体"/>
                <w:b w:val="0"/>
                <w:i w:val="0"/>
                <w:color w:val="000000"/>
                <w:sz w:val="18"/>
              </w:rPr>
              <w:t>菱启明股权投</w:t>
            </w:r>
            <w:r>
              <w:rPr>
                <w:rFonts w:ascii="宋体" w:hAnsi="宋体" w:eastAsia="宋体"/>
                <w:b w:val="0"/>
                <w:i w:val="0"/>
                <w:color w:val="000000"/>
                <w:sz w:val="18"/>
              </w:rPr>
              <w:t>资合伙企业</w:t>
            </w:r>
          </w:p>
        </w:tc>
        <w:tc>
          <w:tcPr>
            <w:tcW w:type="dxa" w:w="1030"/>
            <w:tcBorders>
              <w:start w:sz="2.3999999999999773"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24" w:lineRule="exact" w:before="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6000000000003638" w:val="single" w:color="#000000"/>
              <w:end w:sz="2.3999999999998636" w:val="single" w:color="#000000"/>
              <w:bottom w:sz="2.399999999999636" w:val="single" w:color="#000000"/>
            </w:tcBorders>
            <w:tcMar>
              <w:start w:w="0" w:type="dxa"/>
              <w:end w:w="0" w:type="dxa"/>
            </w:tcMar>
          </w:tcPr>
          <w:p>
            <w:pPr>
              <w:autoSpaceDN w:val="0"/>
              <w:autoSpaceDE w:val="0"/>
              <w:widowControl/>
              <w:spacing w:line="180" w:lineRule="exact" w:before="260"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260"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37.93 </w:t>
            </w:r>
          </w:p>
        </w:tc>
        <w:tc>
          <w:tcPr>
            <w:tcW w:type="dxa" w:w="1070"/>
            <w:tcBorders>
              <w:start w:sz="2.400000000000091"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53 </w:t>
            </w:r>
          </w:p>
        </w:tc>
        <w:tc>
          <w:tcPr>
            <w:tcW w:type="dxa" w:w="95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3638" w:val="single" w:color="#000000"/>
              <w:end w:sz="2.4000000000005457" w:val="single" w:color="#000000"/>
              <w:bottom w:sz="2.399999999999636" w:val="single" w:color="#000000"/>
            </w:tcBorders>
            <w:tcMar>
              <w:start w:w="0" w:type="dxa"/>
              <w:end w:w="0" w:type="dxa"/>
            </w:tcMar>
          </w:tcPr>
          <w:p>
            <w:pPr>
              <w:autoSpaceDN w:val="0"/>
              <w:autoSpaceDE w:val="0"/>
              <w:widowControl/>
              <w:spacing w:line="233" w:lineRule="auto" w:before="250"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3" w:lineRule="auto" w:before="250" w:after="0"/>
              <w:ind w:left="0" w:right="58" w:firstLine="0"/>
              <w:jc w:val="right"/>
            </w:pPr>
            <w:r>
              <w:rPr>
                <w:rFonts w:ascii="Times New Roman" w:hAnsi="Times New Roman" w:eastAsia="Times New Roman"/>
                <w:b w:val="0"/>
                <w:i w:val="0"/>
                <w:color w:val="000000"/>
                <w:sz w:val="18"/>
              </w:rPr>
              <w:t xml:space="preserve">90.93 </w:t>
            </w:r>
          </w:p>
        </w:tc>
      </w:tr>
    </w:tbl>
    <w:p>
      <w:pPr>
        <w:autoSpaceDN w:val="0"/>
        <w:autoSpaceDE w:val="0"/>
        <w:widowControl/>
        <w:spacing w:line="197" w:lineRule="auto" w:before="592" w:after="0"/>
        <w:ind w:left="0" w:right="5124" w:firstLine="0"/>
        <w:jc w:val="right"/>
      </w:pPr>
      <w:r>
        <w:rPr>
          <w:rFonts w:ascii="Calibri" w:hAnsi="Calibri" w:eastAsia="Calibri"/>
          <w:b w:val="0"/>
          <w:i w:val="0"/>
          <w:color w:val="000000"/>
          <w:sz w:val="18"/>
        </w:rPr>
        <w:t xml:space="preserve">120 </w:t>
      </w:r>
    </w:p>
    <w:p>
      <w:pPr>
        <w:sectPr>
          <w:type w:val="continuous"/>
          <w:pgSz w:w="11904" w:h="16841"/>
          <w:pgMar w:top="424" w:right="652"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652" w:bottom="446" w:left="1022" w:header="720" w:footer="720" w:gutter="0"/>
          <w:cols/>
          <w:docGrid w:linePitch="360"/>
        </w:sectPr>
      </w:pPr>
    </w:p>
    <w:p>
      <w:pPr>
        <w:autoSpaceDN w:val="0"/>
        <w:autoSpaceDE w:val="0"/>
        <w:widowControl/>
        <w:spacing w:line="240" w:lineRule="auto" w:before="0" w:after="0"/>
        <w:ind w:left="112" w:right="0" w:firstLine="0"/>
        <w:jc w:val="left"/>
      </w:pPr>
      <w:r>
        <w:drawing>
          <wp:inline xmlns:a="http://schemas.openxmlformats.org/drawingml/2006/main" xmlns:pic="http://schemas.openxmlformats.org/drawingml/2006/picture">
            <wp:extent cx="1844039" cy="439419"/>
            <wp:docPr id="123" name="Picture 12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652" w:bottom="446" w:left="1022" w:header="720" w:footer="720" w:gutter="0"/>
          <w:cols w:num="2" w:equalWidth="0">
            <w:col w:w="5518" w:space="0"/>
            <w:col w:w="4712" w:space="0"/>
          </w:cols>
          <w:docGrid w:linePitch="360"/>
        </w:sectPr>
      </w:pPr>
    </w:p>
    <w:p>
      <w:pPr>
        <w:autoSpaceDN w:val="0"/>
        <w:autoSpaceDE w:val="0"/>
        <w:widowControl/>
        <w:spacing w:line="200" w:lineRule="exact" w:before="0" w:after="30"/>
        <w:ind w:left="0" w:right="49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652" w:bottom="446" w:left="1022" w:header="720" w:footer="720" w:gutter="0"/>
          <w:cols w:num="2" w:equalWidth="0">
            <w:col w:w="5518" w:space="0"/>
            <w:col w:w="471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00000000000284" w:type="dxa"/>
      </w:tblPr>
      <w:tblGrid>
        <w:gridCol w:w="1023"/>
        <w:gridCol w:w="1023"/>
        <w:gridCol w:w="1023"/>
        <w:gridCol w:w="1023"/>
        <w:gridCol w:w="1023"/>
        <w:gridCol w:w="1023"/>
        <w:gridCol w:w="1023"/>
        <w:gridCol w:w="1023"/>
        <w:gridCol w:w="1023"/>
        <w:gridCol w:w="1023"/>
      </w:tblGrid>
      <w:tr>
        <w:trPr>
          <w:trHeight w:hRule="exact" w:val="244"/>
        </w:trPr>
        <w:tc>
          <w:tcPr>
            <w:tcW w:type="dxa" w:w="1342"/>
            <w:tcBorders>
              <w:start w:sz="2.3999999999999773" w:val="single" w:color="#000000"/>
              <w:top w:sz="1.6000000000000227" w:val="single" w:color="#000000"/>
              <w:end w:sz="2.3999999999999773" w:val="single" w:color="#000000"/>
              <w:bottom w:sz="2.3999999999999773" w:val="single" w:color="#000000"/>
            </w:tcBorders>
            <w:tcMar>
              <w:start w:w="0" w:type="dxa"/>
              <w:end w:w="0" w:type="dxa"/>
            </w:tcMar>
          </w:tcPr>
          <w:p>
            <w:pPr>
              <w:autoSpaceDN w:val="0"/>
              <w:autoSpaceDE w:val="0"/>
              <w:widowControl/>
              <w:spacing w:line="180" w:lineRule="exact" w:before="26" w:after="0"/>
              <w:ind w:left="130" w:right="0" w:firstLine="0"/>
              <w:jc w:val="left"/>
            </w:pPr>
            <w:r>
              <w:rPr>
                <w:rFonts w:ascii="宋体" w:hAnsi="宋体" w:eastAsia="宋体"/>
                <w:b w:val="0"/>
                <w:i w:val="0"/>
                <w:color w:val="000000"/>
                <w:sz w:val="18"/>
              </w:rPr>
              <w:t xml:space="preserve">（有限合伙） </w:t>
            </w:r>
          </w:p>
        </w:tc>
        <w:tc>
          <w:tcPr>
            <w:tcW w:type="dxa" w:w="1030"/>
            <w:tcBorders>
              <w:start w:sz="2.3999999999999773" w:val="single" w:color="#000000"/>
              <w:top w:sz="5.600000000000023" w:val="single" w:color="#000000"/>
              <w:end w:sz="2.400000000000091" w:val="single" w:color="#000000"/>
              <w:bottom w:sz="2.3999999999999773" w:val="single" w:color="#000000"/>
            </w:tcBorders>
            <w:tcMar>
              <w:start w:w="0" w:type="dxa"/>
              <w:end w:w="0" w:type="dxa"/>
            </w:tcMar>
          </w:tcPr>
          <w:p/>
        </w:tc>
        <w:tc>
          <w:tcPr>
            <w:tcW w:type="dxa" w:w="1392"/>
            <w:tcBorders>
              <w:start w:sz="2.400000000000091" w:val="single" w:color="#000000"/>
              <w:top w:sz="5.600000000000023" w:val="single" w:color="#000000"/>
              <w:end w:sz="2.3999999999998636" w:val="single" w:color="#000000"/>
              <w:bottom w:sz="2.3999999999999773" w:val="single" w:color="#000000"/>
            </w:tcBorders>
            <w:tcMar>
              <w:start w:w="0" w:type="dxa"/>
              <w:end w:w="0" w:type="dxa"/>
            </w:tcMar>
          </w:tcPr>
          <w:p/>
        </w:tc>
        <w:tc>
          <w:tcPr>
            <w:tcW w:type="dxa" w:w="1162"/>
            <w:tcBorders>
              <w:start w:sz="2.3999999999998636" w:val="single" w:color="#000000"/>
              <w:top w:sz="5.600000000000023" w:val="single" w:color="#000000"/>
              <w:end w:sz="2.400000000000091" w:val="single" w:color="#000000"/>
              <w:bottom w:sz="2.3999999999999773" w:val="single" w:color="#000000"/>
            </w:tcBorders>
            <w:tcMar>
              <w:start w:w="0" w:type="dxa"/>
              <w:end w:w="0" w:type="dxa"/>
            </w:tcMar>
          </w:tcPr>
          <w:p/>
        </w:tc>
        <w:tc>
          <w:tcPr>
            <w:tcW w:type="dxa" w:w="960"/>
            <w:tcBorders>
              <w:start w:sz="2.400000000000091" w:val="single" w:color="#000000"/>
              <w:top w:sz="5.600000000000023" w:val="single" w:color="#000000"/>
              <w:end w:sz="2.400000000000091" w:val="single" w:color="#000000"/>
              <w:bottom w:sz="2.3999999999999773" w:val="single" w:color="#000000"/>
            </w:tcBorders>
            <w:tcMar>
              <w:start w:w="0" w:type="dxa"/>
              <w:end w:w="0" w:type="dxa"/>
            </w:tcMar>
          </w:tcPr>
          <w:p/>
        </w:tc>
        <w:tc>
          <w:tcPr>
            <w:tcW w:type="dxa" w:w="1070"/>
            <w:tcBorders>
              <w:start w:sz="2.400000000000091" w:val="single" w:color="#000000"/>
              <w:top w:sz="5.600000000000023" w:val="single" w:color="#000000"/>
              <w:end w:sz="1.6000000000003638" w:val="single" w:color="#000000"/>
              <w:bottom w:sz="2.3999999999999773" w:val="single" w:color="#000000"/>
            </w:tcBorders>
            <w:tcMar>
              <w:start w:w="0" w:type="dxa"/>
              <w:end w:w="0" w:type="dxa"/>
            </w:tcMar>
          </w:tcPr>
          <w:p/>
        </w:tc>
        <w:tc>
          <w:tcPr>
            <w:tcW w:type="dxa" w:w="950"/>
            <w:tcBorders>
              <w:start w:sz="1.6000000000003638" w:val="single" w:color="#000000"/>
              <w:top w:sz="5.600000000000023" w:val="single" w:color="#000000"/>
              <w:end w:sz="1.6000000000003638" w:val="single" w:color="#000000"/>
              <w:bottom w:sz="2.3999999999999773" w:val="single" w:color="#000000"/>
            </w:tcBorders>
            <w:tcMar>
              <w:start w:w="0" w:type="dxa"/>
              <w:end w:w="0" w:type="dxa"/>
            </w:tcMar>
          </w:tcPr>
          <w:p/>
        </w:tc>
        <w:tc>
          <w:tcPr>
            <w:tcW w:type="dxa" w:w="740"/>
            <w:tcBorders>
              <w:start w:sz="1.6000000000003638" w:val="single" w:color="#000000"/>
              <w:top w:sz="5.600000000000023" w:val="single" w:color="#000000"/>
              <w:end w:sz="1.6000000000003638" w:val="single" w:color="#000000"/>
              <w:bottom w:sz="2.3999999999999773" w:val="single" w:color="#000000"/>
            </w:tcBorders>
            <w:tcMar>
              <w:start w:w="0" w:type="dxa"/>
              <w:end w:w="0" w:type="dxa"/>
            </w:tcMar>
          </w:tcPr>
          <w:p/>
        </w:tc>
        <w:tc>
          <w:tcPr>
            <w:tcW w:type="dxa" w:w="670"/>
            <w:tcBorders>
              <w:start w:sz="1.6000000000003638" w:val="single" w:color="#000000"/>
              <w:top w:sz="5.600000000000023" w:val="single" w:color="#000000"/>
              <w:end w:sz="2.4000000000005457" w:val="single" w:color="#000000"/>
              <w:bottom w:sz="2.3999999999999773" w:val="single" w:color="#000000"/>
            </w:tcBorders>
            <w:tcMar>
              <w:start w:w="0" w:type="dxa"/>
              <w:end w:w="0" w:type="dxa"/>
            </w:tcMar>
          </w:tcPr>
          <w:p/>
        </w:tc>
        <w:tc>
          <w:tcPr>
            <w:tcW w:type="dxa" w:w="890"/>
            <w:tcBorders>
              <w:start w:sz="2.4000000000005457" w:val="single" w:color="#000000"/>
              <w:top w:sz="5.600000000000023" w:val="single" w:color="#000000"/>
              <w:end w:sz="1.6000000000003638" w:val="single" w:color="#000000"/>
              <w:bottom w:sz="2.3999999999999773" w:val="single" w:color="#000000"/>
            </w:tcBorders>
            <w:tcMar>
              <w:start w:w="0" w:type="dxa"/>
              <w:end w:w="0" w:type="dxa"/>
            </w:tcMar>
          </w:tcPr>
          <w:p/>
        </w:tc>
      </w:tr>
      <w:tr>
        <w:trPr>
          <w:trHeight w:hRule="exact" w:val="940"/>
        </w:trPr>
        <w:tc>
          <w:tcPr>
            <w:tcW w:type="dxa" w:w="1342"/>
            <w:tcBorders>
              <w:start w:sz="2.3999999999999773" w:val="single" w:color="#000000"/>
              <w:top w:sz="2.3999999999999773" w:val="single" w:color="#000000"/>
              <w:end w:sz="2.3999999999999773" w:val="single" w:color="#000000"/>
              <w:bottom w:sz="1.6000000000001364" w:val="single" w:color="#000000"/>
            </w:tcBorders>
            <w:tcMar>
              <w:start w:w="0" w:type="dxa"/>
              <w:end w:w="0" w:type="dxa"/>
            </w:tcMar>
          </w:tcPr>
          <w:p>
            <w:pPr>
              <w:autoSpaceDN w:val="0"/>
              <w:tabs>
                <w:tab w:pos="220" w:val="left"/>
              </w:tabs>
              <w:autoSpaceDE w:val="0"/>
              <w:widowControl/>
              <w:spacing w:line="228" w:lineRule="exact" w:before="0" w:after="0"/>
              <w:ind w:left="130" w:right="0" w:firstLine="0"/>
              <w:jc w:val="left"/>
            </w:pPr>
            <w:r>
              <w:rPr>
                <w:rFonts w:ascii="宋体" w:hAnsi="宋体" w:eastAsia="宋体"/>
                <w:b w:val="0"/>
                <w:i w:val="0"/>
                <w:color w:val="000000"/>
                <w:sz w:val="18"/>
              </w:rPr>
              <w:t>共青城山证通</w:t>
            </w:r>
            <w:r>
              <w:rPr>
                <w:rFonts w:ascii="宋体" w:hAnsi="宋体" w:eastAsia="宋体"/>
                <w:b w:val="0"/>
                <w:i w:val="0"/>
                <w:color w:val="000000"/>
                <w:sz w:val="18"/>
              </w:rPr>
              <w:t>奥启航股权投</w:t>
            </w:r>
            <w:r>
              <w:rPr>
                <w:rFonts w:ascii="宋体" w:hAnsi="宋体" w:eastAsia="宋体"/>
                <w:b w:val="0"/>
                <w:i w:val="0"/>
                <w:color w:val="000000"/>
                <w:sz w:val="18"/>
              </w:rPr>
              <w:t>资合伙企业</w:t>
            </w:r>
            <w:r>
              <w:br/>
            </w:r>
            <w:r>
              <w:rPr>
                <w:rFonts w:ascii="宋体" w:hAnsi="宋体" w:eastAsia="宋体"/>
                <w:b w:val="0"/>
                <w:i w:val="0"/>
                <w:color w:val="000000"/>
                <w:sz w:val="18"/>
              </w:rPr>
              <w:t xml:space="preserve">（有限合伙） </w:t>
            </w:r>
          </w:p>
        </w:tc>
        <w:tc>
          <w:tcPr>
            <w:tcW w:type="dxa" w:w="1030"/>
            <w:tcBorders>
              <w:start w:sz="2.3999999999999773"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234" w:lineRule="exact" w:before="90"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3999999999999773" w:val="single" w:color="#000000"/>
              <w:end w:sz="2.3999999999998636" w:val="single" w:color="#000000"/>
              <w:bottom w:sz="1.6000000000001364" w:val="single" w:color="#000000"/>
            </w:tcBorders>
            <w:tcMar>
              <w:start w:w="0" w:type="dxa"/>
              <w:end w:w="0" w:type="dxa"/>
            </w:tcMar>
          </w:tcPr>
          <w:p>
            <w:pPr>
              <w:autoSpaceDN w:val="0"/>
              <w:autoSpaceDE w:val="0"/>
              <w:widowControl/>
              <w:spacing w:line="180" w:lineRule="exact" w:before="378"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180" w:lineRule="exact" w:before="378"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3999999999999773" w:val="single" w:color="#000000"/>
              <w:end w:sz="2.400000000000091"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18.25 </w:t>
            </w:r>
          </w:p>
        </w:tc>
        <w:tc>
          <w:tcPr>
            <w:tcW w:type="dxa" w:w="1070"/>
            <w:tcBorders>
              <w:start w:sz="2.400000000000091"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59.44 </w:t>
            </w:r>
          </w:p>
        </w:tc>
        <w:tc>
          <w:tcPr>
            <w:tcW w:type="dxa" w:w="950"/>
            <w:tcBorders>
              <w:start w:sz="1.6000000000003638"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77.69 </w:t>
            </w:r>
          </w:p>
        </w:tc>
        <w:tc>
          <w:tcPr>
            <w:tcW w:type="dxa" w:w="740"/>
            <w:tcBorders>
              <w:start w:sz="1.6000000000003638"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3999999999999773" w:val="single" w:color="#000000"/>
              <w:end w:sz="2.4000000000005457" w:val="single" w:color="#000000"/>
              <w:bottom w:sz="1.6000000000001364"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3999999999999773" w:val="single" w:color="#000000"/>
              <w:end w:sz="1.6000000000003638" w:val="single" w:color="#000000"/>
              <w:bottom w:sz="1.6000000000001364" w:val="single" w:color="#000000"/>
            </w:tcBorders>
            <w:tcMar>
              <w:start w:w="0" w:type="dxa"/>
              <w:end w:w="0" w:type="dxa"/>
            </w:tcMar>
          </w:tcPr>
          <w:p>
            <w:pPr>
              <w:autoSpaceDN w:val="0"/>
              <w:autoSpaceDE w:val="0"/>
              <w:widowControl/>
              <w:spacing w:line="233" w:lineRule="auto" w:before="366" w:after="0"/>
              <w:ind w:left="0" w:right="58" w:firstLine="0"/>
              <w:jc w:val="right"/>
            </w:pPr>
            <w:r>
              <w:rPr>
                <w:rFonts w:ascii="Times New Roman" w:hAnsi="Times New Roman" w:eastAsia="Times New Roman"/>
                <w:b w:val="0"/>
                <w:i w:val="0"/>
                <w:color w:val="000000"/>
                <w:sz w:val="18"/>
              </w:rPr>
              <w:t xml:space="preserve">- </w:t>
            </w:r>
          </w:p>
        </w:tc>
      </w:tr>
      <w:tr>
        <w:trPr>
          <w:trHeight w:hRule="exact" w:val="1170"/>
        </w:trPr>
        <w:tc>
          <w:tcPr>
            <w:tcW w:type="dxa" w:w="1342"/>
            <w:tcBorders>
              <w:start w:sz="2.3999999999999773" w:val="single" w:color="#000000"/>
              <w:top w:sz="1.6000000000001364" w:val="single" w:color="#000000"/>
              <w:end w:sz="2.3999999999999773" w:val="single" w:color="#000000"/>
              <w:bottom w:sz="2.400000000000091" w:val="single" w:color="#000000"/>
            </w:tcBorders>
            <w:tcMar>
              <w:start w:w="0" w:type="dxa"/>
              <w:end w:w="0" w:type="dxa"/>
            </w:tcMar>
          </w:tcPr>
          <w:p>
            <w:pPr>
              <w:autoSpaceDN w:val="0"/>
              <w:tabs>
                <w:tab w:pos="220" w:val="left"/>
                <w:tab w:pos="490" w:val="left"/>
              </w:tabs>
              <w:autoSpaceDE w:val="0"/>
              <w:widowControl/>
              <w:spacing w:line="228" w:lineRule="exact" w:before="0" w:after="0"/>
              <w:ind w:left="130" w:right="0" w:firstLine="0"/>
              <w:jc w:val="left"/>
            </w:pPr>
            <w:r>
              <w:rPr>
                <w:rFonts w:ascii="宋体" w:hAnsi="宋体" w:eastAsia="宋体"/>
                <w:b w:val="0"/>
                <w:i w:val="0"/>
                <w:color w:val="000000"/>
                <w:sz w:val="18"/>
              </w:rPr>
              <w:t>山西省新引擎</w:t>
            </w:r>
            <w:r>
              <w:rPr>
                <w:rFonts w:ascii="宋体" w:hAnsi="宋体" w:eastAsia="宋体"/>
                <w:b w:val="0"/>
                <w:i w:val="0"/>
                <w:color w:val="000000"/>
                <w:sz w:val="18"/>
              </w:rPr>
              <w:t>专业镇产业投</w:t>
            </w:r>
            <w:r>
              <w:rPr>
                <w:rFonts w:ascii="宋体" w:hAnsi="宋体" w:eastAsia="宋体"/>
                <w:b w:val="0"/>
                <w:i w:val="0"/>
                <w:color w:val="000000"/>
                <w:sz w:val="18"/>
              </w:rPr>
              <w:t>资基金合伙企</w:t>
            </w:r>
            <w:r>
              <w:rPr>
                <w:rFonts w:ascii="宋体" w:hAnsi="宋体" w:eastAsia="宋体"/>
                <w:b w:val="0"/>
                <w:i w:val="0"/>
                <w:color w:val="000000"/>
                <w:sz w:val="18"/>
              </w:rPr>
              <w:t>业（有限合</w:t>
            </w:r>
            <w:r>
              <w:tab/>
            </w:r>
            <w:r>
              <w:tab/>
            </w:r>
            <w:r>
              <w:rPr>
                <w:rFonts w:ascii="宋体" w:hAnsi="宋体" w:eastAsia="宋体"/>
                <w:b w:val="0"/>
                <w:i w:val="0"/>
                <w:color w:val="000000"/>
                <w:sz w:val="18"/>
              </w:rPr>
              <w:t xml:space="preserve">伙） </w:t>
            </w:r>
          </w:p>
        </w:tc>
        <w:tc>
          <w:tcPr>
            <w:tcW w:type="dxa" w:w="1030"/>
            <w:tcBorders>
              <w:start w:sz="2.3999999999999773"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4" w:lineRule="exact" w:before="204"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1.6000000000001364" w:val="single" w:color="#000000"/>
              <w:end w:sz="2.3999999999998636" w:val="single" w:color="#000000"/>
              <w:bottom w:sz="2.400000000000091" w:val="single" w:color="#000000"/>
            </w:tcBorders>
            <w:tcMar>
              <w:start w:w="0" w:type="dxa"/>
              <w:end w:w="0" w:type="dxa"/>
            </w:tcMar>
          </w:tcPr>
          <w:p>
            <w:pPr>
              <w:autoSpaceDN w:val="0"/>
              <w:autoSpaceDE w:val="0"/>
              <w:widowControl/>
              <w:spacing w:line="180" w:lineRule="exact" w:before="494"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49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43.13 </w:t>
            </w:r>
          </w:p>
        </w:tc>
        <w:tc>
          <w:tcPr>
            <w:tcW w:type="dxa" w:w="1070"/>
            <w:tcBorders>
              <w:start w:sz="2.400000000000091"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96 </w:t>
            </w:r>
          </w:p>
        </w:tc>
        <w:tc>
          <w:tcPr>
            <w:tcW w:type="dxa" w:w="950"/>
            <w:tcBorders>
              <w:start w:sz="1.6000000000003638"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82"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82"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6000000000001364" w:val="single" w:color="#000000"/>
              <w:end w:sz="2.4000000000005457" w:val="single" w:color="#000000"/>
              <w:bottom w:sz="2.400000000000091" w:val="single" w:color="#000000"/>
            </w:tcBorders>
            <w:tcMar>
              <w:start w:w="0" w:type="dxa"/>
              <w:end w:w="0" w:type="dxa"/>
            </w:tcMar>
          </w:tcPr>
          <w:p>
            <w:pPr>
              <w:autoSpaceDN w:val="0"/>
              <w:autoSpaceDE w:val="0"/>
              <w:widowControl/>
              <w:spacing w:line="233" w:lineRule="auto" w:before="482"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82" w:after="0"/>
              <w:ind w:left="0" w:right="58" w:firstLine="0"/>
              <w:jc w:val="right"/>
            </w:pPr>
            <w:r>
              <w:rPr>
                <w:rFonts w:ascii="Times New Roman" w:hAnsi="Times New Roman" w:eastAsia="Times New Roman"/>
                <w:b w:val="0"/>
                <w:i w:val="0"/>
                <w:color w:val="000000"/>
                <w:sz w:val="18"/>
              </w:rPr>
              <w:t xml:space="preserve">139.13 </w:t>
            </w:r>
          </w:p>
        </w:tc>
      </w:tr>
      <w:tr>
        <w:trPr>
          <w:trHeight w:hRule="exact" w:val="942"/>
        </w:trPr>
        <w:tc>
          <w:tcPr>
            <w:tcW w:type="dxa" w:w="1342"/>
            <w:tcBorders>
              <w:start w:sz="2.3999999999999773"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226" w:lineRule="exact" w:before="0" w:after="0"/>
              <w:ind w:left="0" w:right="126" w:firstLine="0"/>
              <w:jc w:val="right"/>
            </w:pPr>
            <w:r>
              <w:rPr>
                <w:rFonts w:ascii="宋体" w:hAnsi="宋体" w:eastAsia="宋体"/>
                <w:b w:val="0"/>
                <w:i w:val="0"/>
                <w:color w:val="000000"/>
                <w:sz w:val="18"/>
              </w:rPr>
              <w:t>山西天使股权</w:t>
            </w:r>
            <w:r>
              <w:rPr>
                <w:rFonts w:ascii="宋体" w:hAnsi="宋体" w:eastAsia="宋体"/>
                <w:b w:val="0"/>
                <w:i w:val="0"/>
                <w:color w:val="000000"/>
                <w:sz w:val="18"/>
              </w:rPr>
              <w:t>投资基金合伙</w:t>
            </w:r>
            <w:r>
              <w:rPr>
                <w:rFonts w:ascii="宋体" w:hAnsi="宋体" w:eastAsia="宋体"/>
                <w:b w:val="0"/>
                <w:i w:val="0"/>
                <w:color w:val="000000"/>
                <w:sz w:val="18"/>
              </w:rPr>
              <w:t>企业（有限合</w:t>
            </w:r>
            <w:r>
              <w:rPr>
                <w:rFonts w:ascii="宋体" w:hAnsi="宋体" w:eastAsia="宋体"/>
                <w:b w:val="0"/>
                <w:i w:val="0"/>
                <w:color w:val="000000"/>
                <w:sz w:val="18"/>
              </w:rPr>
              <w:t xml:space="preserve">伙） </w:t>
            </w:r>
          </w:p>
        </w:tc>
        <w:tc>
          <w:tcPr>
            <w:tcW w:type="dxa" w:w="1030"/>
            <w:tcBorders>
              <w:start w:sz="2.3999999999999773"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88" w:after="0"/>
              <w:ind w:left="144" w:right="150" w:firstLine="0"/>
              <w:jc w:val="right"/>
            </w:pPr>
            <w:r>
              <w:rPr>
                <w:rFonts w:ascii="宋体" w:hAnsi="宋体" w:eastAsia="宋体"/>
                <w:b w:val="0"/>
                <w:i w:val="0"/>
                <w:color w:val="000000"/>
                <w:sz w:val="18"/>
              </w:rPr>
              <w:t>公司高管</w:t>
            </w:r>
            <w:r>
              <w:rPr>
                <w:rFonts w:ascii="宋体" w:hAnsi="宋体" w:eastAsia="宋体"/>
                <w:b w:val="0"/>
                <w:i w:val="0"/>
                <w:color w:val="000000"/>
                <w:sz w:val="18"/>
              </w:rPr>
              <w:t>担任投决</w:t>
            </w:r>
            <w:r>
              <w:rPr>
                <w:rFonts w:ascii="宋体" w:hAnsi="宋体" w:eastAsia="宋体"/>
                <w:b w:val="0"/>
                <w:i w:val="0"/>
                <w:color w:val="000000"/>
                <w:sz w:val="18"/>
              </w:rPr>
              <w:t xml:space="preserve">委委员 </w:t>
            </w:r>
          </w:p>
        </w:tc>
        <w:tc>
          <w:tcPr>
            <w:tcW w:type="dxa" w:w="1392"/>
            <w:tcBorders>
              <w:start w:sz="2.400000000000091"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180" w:lineRule="exact" w:before="374" w:after="0"/>
              <w:ind w:left="108" w:right="0" w:firstLine="0"/>
              <w:jc w:val="left"/>
            </w:pPr>
            <w:r>
              <w:rPr>
                <w:rFonts w:ascii="宋体" w:hAnsi="宋体" w:eastAsia="宋体"/>
                <w:b w:val="0"/>
                <w:i w:val="0"/>
                <w:color w:val="000000"/>
                <w:sz w:val="18"/>
              </w:rPr>
              <w:t xml:space="preserve">应收管理费 </w:t>
            </w:r>
          </w:p>
        </w:tc>
        <w:tc>
          <w:tcPr>
            <w:tcW w:type="dxa" w:w="1162"/>
            <w:tcBorders>
              <w:start w:sz="2.3999999999998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74"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1070"/>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3.51 </w:t>
            </w:r>
          </w:p>
        </w:tc>
        <w:tc>
          <w:tcPr>
            <w:tcW w:type="dxa" w:w="95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74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366"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2.400000000000091" w:val="single" w:color="#000000"/>
              <w:end w:sz="2.4000000000005457" w:val="single" w:color="#000000"/>
              <w:bottom w:sz="1.599999999999909" w:val="single" w:color="#000000"/>
            </w:tcBorders>
            <w:tcMar>
              <w:start w:w="0" w:type="dxa"/>
              <w:end w:w="0" w:type="dxa"/>
            </w:tcMar>
          </w:tcPr>
          <w:p>
            <w:pPr>
              <w:autoSpaceDN w:val="0"/>
              <w:autoSpaceDE w:val="0"/>
              <w:widowControl/>
              <w:spacing w:line="233" w:lineRule="auto" w:before="366"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3" w:lineRule="auto" w:before="366" w:after="0"/>
              <w:ind w:left="0" w:right="58" w:firstLine="0"/>
              <w:jc w:val="right"/>
            </w:pPr>
            <w:r>
              <w:rPr>
                <w:rFonts w:ascii="Times New Roman" w:hAnsi="Times New Roman" w:eastAsia="Times New Roman"/>
                <w:b w:val="0"/>
                <w:i w:val="0"/>
                <w:color w:val="000000"/>
                <w:sz w:val="18"/>
              </w:rPr>
              <w:t xml:space="preserve">3.51 </w:t>
            </w:r>
          </w:p>
        </w:tc>
      </w:tr>
      <w:tr>
        <w:trPr>
          <w:trHeight w:hRule="exact" w:val="472"/>
        </w:trPr>
        <w:tc>
          <w:tcPr>
            <w:tcW w:type="dxa" w:w="1342"/>
            <w:tcBorders>
              <w:start w:sz="2.3999999999999773"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218" w:lineRule="exact" w:before="0" w:after="0"/>
              <w:ind w:left="108" w:right="0" w:firstLine="0"/>
              <w:jc w:val="left"/>
            </w:pPr>
            <w:r>
              <w:rPr>
                <w:rFonts w:ascii="宋体" w:hAnsi="宋体" w:eastAsia="宋体"/>
                <w:b w:val="0"/>
                <w:i w:val="0"/>
                <w:color w:val="000000"/>
                <w:sz w:val="18"/>
              </w:rPr>
              <w:t>中煤财产保险</w:t>
            </w:r>
            <w:r>
              <w:rPr>
                <w:rFonts w:ascii="宋体" w:hAnsi="宋体" w:eastAsia="宋体"/>
                <w:b w:val="0"/>
                <w:i w:val="0"/>
                <w:color w:val="000000"/>
                <w:sz w:val="18"/>
              </w:rPr>
              <w:t xml:space="preserve">股份有限公司 </w:t>
            </w:r>
          </w:p>
        </w:tc>
        <w:tc>
          <w:tcPr>
            <w:tcW w:type="dxa" w:w="1030"/>
            <w:tcBorders>
              <w:start w:sz="2.3999999999999773"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18" w:lineRule="exact" w:before="0" w:after="0"/>
              <w:ind w:left="246" w:right="144" w:hanging="92"/>
              <w:jc w:val="left"/>
            </w:pPr>
            <w:r>
              <w:rPr>
                <w:rFonts w:ascii="宋体" w:hAnsi="宋体" w:eastAsia="宋体"/>
                <w:b w:val="0"/>
                <w:i w:val="0"/>
                <w:color w:val="000000"/>
                <w:sz w:val="18"/>
              </w:rPr>
              <w:t>受金控集</w:t>
            </w:r>
            <w:r>
              <w:rPr>
                <w:rFonts w:ascii="宋体" w:hAnsi="宋体" w:eastAsia="宋体"/>
                <w:b w:val="0"/>
                <w:i w:val="0"/>
                <w:color w:val="000000"/>
                <w:sz w:val="18"/>
              </w:rPr>
              <w:t xml:space="preserve">团控制 </w:t>
            </w:r>
          </w:p>
        </w:tc>
        <w:tc>
          <w:tcPr>
            <w:tcW w:type="dxa" w:w="1392"/>
            <w:tcBorders>
              <w:start w:sz="2.400000000000091" w:val="single" w:color="#000000"/>
              <w:top w:sz="1.599999999999909" w:val="single" w:color="#000000"/>
              <w:end w:sz="2.3999999999998636" w:val="single" w:color="#000000"/>
              <w:bottom w:sz="2.400000000000091" w:val="single" w:color="#000000"/>
            </w:tcBorders>
            <w:tcMar>
              <w:start w:w="0" w:type="dxa"/>
              <w:end w:w="0" w:type="dxa"/>
            </w:tcMar>
          </w:tcPr>
          <w:p>
            <w:pPr>
              <w:autoSpaceDN w:val="0"/>
              <w:autoSpaceDE w:val="0"/>
              <w:widowControl/>
              <w:spacing w:line="218" w:lineRule="exact" w:before="0" w:after="0"/>
              <w:ind w:left="108" w:right="0" w:firstLine="0"/>
              <w:jc w:val="left"/>
            </w:pPr>
            <w:r>
              <w:rPr>
                <w:rFonts w:ascii="宋体" w:hAnsi="宋体" w:eastAsia="宋体"/>
                <w:b w:val="0"/>
                <w:i w:val="0"/>
                <w:color w:val="000000"/>
                <w:sz w:val="18"/>
              </w:rPr>
              <w:t>其他应收场外</w:t>
            </w:r>
            <w:r>
              <w:rPr>
                <w:rFonts w:ascii="宋体" w:hAnsi="宋体" w:eastAsia="宋体"/>
                <w:b w:val="0"/>
                <w:i w:val="0"/>
                <w:color w:val="000000"/>
                <w:sz w:val="18"/>
              </w:rPr>
              <w:t xml:space="preserve">期权业务款项 </w:t>
            </w:r>
          </w:p>
        </w:tc>
        <w:tc>
          <w:tcPr>
            <w:tcW w:type="dxa" w:w="1162"/>
            <w:tcBorders>
              <w:start w:sz="2.3999999999998636"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142" w:after="0"/>
              <w:ind w:left="0" w:right="398" w:firstLine="0"/>
              <w:jc w:val="right"/>
            </w:pPr>
            <w:r>
              <w:rPr>
                <w:rFonts w:ascii="宋体" w:hAnsi="宋体" w:eastAsia="宋体"/>
                <w:b w:val="0"/>
                <w:i w:val="0"/>
                <w:color w:val="000000"/>
                <w:sz w:val="18"/>
              </w:rPr>
              <w:t xml:space="preserve">否 </w:t>
            </w:r>
          </w:p>
        </w:tc>
        <w:tc>
          <w:tcPr>
            <w:tcW w:type="dxa" w:w="960"/>
            <w:tcBorders>
              <w:start w:sz="2.400000000000091"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auto" w:before="134" w:after="0"/>
              <w:ind w:left="218" w:right="0" w:firstLine="0"/>
              <w:jc w:val="left"/>
            </w:pPr>
            <w:r>
              <w:rPr>
                <w:rFonts w:ascii="Times New Roman" w:hAnsi="Times New Roman" w:eastAsia="Times New Roman"/>
                <w:b w:val="0"/>
                <w:i w:val="0"/>
                <w:color w:val="000000"/>
                <w:sz w:val="18"/>
              </w:rPr>
              <w:t xml:space="preserve">1,274.30 </w:t>
            </w:r>
          </w:p>
        </w:tc>
        <w:tc>
          <w:tcPr>
            <w:tcW w:type="dxa" w:w="1070"/>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134" w:after="0"/>
              <w:ind w:left="238" w:right="0" w:firstLine="0"/>
              <w:jc w:val="left"/>
            </w:pPr>
            <w:r>
              <w:rPr>
                <w:rFonts w:ascii="Times New Roman" w:hAnsi="Times New Roman" w:eastAsia="Times New Roman"/>
                <w:b w:val="0"/>
                <w:i w:val="0"/>
                <w:color w:val="000000"/>
                <w:sz w:val="18"/>
              </w:rPr>
              <w:t xml:space="preserve">17,123.36 </w:t>
            </w:r>
          </w:p>
        </w:tc>
        <w:tc>
          <w:tcPr>
            <w:tcW w:type="dxa" w:w="95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134" w:after="0"/>
              <w:ind w:left="0" w:right="0" w:firstLine="0"/>
              <w:jc w:val="center"/>
            </w:pPr>
            <w:r>
              <w:rPr>
                <w:rFonts w:ascii="Times New Roman" w:hAnsi="Times New Roman" w:eastAsia="Times New Roman"/>
                <w:b w:val="0"/>
                <w:i w:val="0"/>
                <w:color w:val="000000"/>
                <w:sz w:val="18"/>
              </w:rPr>
              <w:t xml:space="preserve">18,077.79 </w:t>
            </w:r>
          </w:p>
        </w:tc>
        <w:tc>
          <w:tcPr>
            <w:tcW w:type="dxa" w:w="74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134" w:after="0"/>
              <w:ind w:left="0" w:right="62" w:firstLine="0"/>
              <w:jc w:val="right"/>
            </w:pPr>
            <w:r>
              <w:rPr>
                <w:rFonts w:ascii="Times New Roman" w:hAnsi="Times New Roman" w:eastAsia="Times New Roman"/>
                <w:b w:val="0"/>
                <w:i w:val="0"/>
                <w:color w:val="000000"/>
                <w:sz w:val="18"/>
              </w:rPr>
              <w:t xml:space="preserve">- </w:t>
            </w:r>
          </w:p>
        </w:tc>
        <w:tc>
          <w:tcPr>
            <w:tcW w:type="dxa" w:w="670"/>
            <w:tcBorders>
              <w:start w:sz="1.6000000000003638" w:val="single" w:color="#000000"/>
              <w:top w:sz="1.599999999999909" w:val="single" w:color="#000000"/>
              <w:end w:sz="2.4000000000005457" w:val="single" w:color="#000000"/>
              <w:bottom w:sz="2.400000000000091" w:val="single" w:color="#000000"/>
            </w:tcBorders>
            <w:tcMar>
              <w:start w:w="0" w:type="dxa"/>
              <w:end w:w="0" w:type="dxa"/>
            </w:tcMar>
          </w:tcPr>
          <w:p>
            <w:pPr>
              <w:autoSpaceDN w:val="0"/>
              <w:autoSpaceDE w:val="0"/>
              <w:widowControl/>
              <w:spacing w:line="230" w:lineRule="auto" w:before="134" w:after="0"/>
              <w:ind w:left="0" w:right="60" w:firstLine="0"/>
              <w:jc w:val="right"/>
            </w:pPr>
            <w:r>
              <w:rPr>
                <w:rFonts w:ascii="Times New Roman" w:hAnsi="Times New Roman" w:eastAsia="Times New Roman"/>
                <w:b w:val="0"/>
                <w:i w:val="0"/>
                <w:color w:val="000000"/>
                <w:sz w:val="18"/>
              </w:rPr>
              <w:t xml:space="preserve">- </w:t>
            </w:r>
          </w:p>
        </w:tc>
        <w:tc>
          <w:tcPr>
            <w:tcW w:type="dxa" w:w="890"/>
            <w:tcBorders>
              <w:start w:sz="2.4000000000005457"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auto" w:before="134" w:after="0"/>
              <w:ind w:left="0" w:right="58" w:firstLine="0"/>
              <w:jc w:val="right"/>
            </w:pPr>
            <w:r>
              <w:rPr>
                <w:rFonts w:ascii="Times New Roman" w:hAnsi="Times New Roman" w:eastAsia="Times New Roman"/>
                <w:b w:val="0"/>
                <w:i w:val="0"/>
                <w:color w:val="000000"/>
                <w:sz w:val="18"/>
              </w:rPr>
              <w:t xml:space="preserve">319.87 </w:t>
            </w:r>
          </w:p>
        </w:tc>
      </w:tr>
      <w:tr>
        <w:trPr>
          <w:trHeight w:hRule="exact" w:val="564"/>
        </w:trPr>
        <w:tc>
          <w:tcPr>
            <w:tcW w:type="dxa" w:w="2372"/>
            <w:gridSpan w:val="2"/>
            <w:tcBorders>
              <w:start w:sz="2.3999999999999773" w:val="single" w:color="#000000"/>
              <w:top w:sz="2.400000000000091" w:val="single" w:color="#000000"/>
              <w:end w:sz="2.400000000000091" w:val="single" w:color="#000000"/>
              <w:bottom w:sz="2.399999999999636" w:val="single" w:color="#000000"/>
            </w:tcBorders>
            <w:shd w:fill="d2d2d2"/>
            <w:tcMar>
              <w:start w:w="0" w:type="dxa"/>
              <w:end w:w="0" w:type="dxa"/>
            </w:tcMar>
            <w:tcMar>
              <w:start w:w="0" w:type="dxa"/>
              <w:end w:w="0" w:type="dxa"/>
            </w:tcMar>
          </w:tcPr>
          <w:p>
            <w:pPr>
              <w:autoSpaceDN w:val="0"/>
              <w:autoSpaceDE w:val="0"/>
              <w:widowControl/>
              <w:spacing w:line="240" w:lineRule="exact" w:before="14" w:after="0"/>
              <w:ind w:left="108" w:right="144" w:firstLine="0"/>
              <w:jc w:val="left"/>
            </w:pPr>
            <w:r>
              <w:rPr>
                <w:rFonts w:ascii="宋体" w:hAnsi="宋体" w:eastAsia="宋体"/>
                <w:b w:val="0"/>
                <w:i w:val="0"/>
                <w:color w:val="000000"/>
                <w:sz w:val="18"/>
              </w:rPr>
              <w:t>关联债权对公司经营成果</w:t>
            </w:r>
            <w:r>
              <w:rPr>
                <w:rFonts w:ascii="宋体" w:hAnsi="宋体" w:eastAsia="宋体"/>
                <w:b w:val="0"/>
                <w:i w:val="0"/>
                <w:color w:val="000000"/>
                <w:sz w:val="18"/>
              </w:rPr>
              <w:t xml:space="preserve">及财务状况的影响 </w:t>
            </w:r>
          </w:p>
        </w:tc>
        <w:tc>
          <w:tcPr>
            <w:tcW w:type="dxa" w:w="7834"/>
            <w:gridSpan w:val="8"/>
            <w:tcBorders>
              <w:start w:sz="2.400000000000091" w:val="single" w:color="#000000"/>
              <w:top w:sz="2.400000000000091" w:val="single" w:color="#000000"/>
              <w:end w:sz="1.6000000000003638" w:val="single" w:color="#000000"/>
              <w:bottom w:sz="2.39999999999963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98" w:after="0"/>
              <w:ind w:left="108" w:right="0" w:firstLine="0"/>
              <w:jc w:val="left"/>
            </w:pPr>
            <w:r>
              <w:rPr>
                <w:rFonts w:ascii="宋体" w:hAnsi="宋体" w:eastAsia="宋体"/>
                <w:b w:val="0"/>
                <w:i w:val="0"/>
                <w:color w:val="000000"/>
                <w:sz w:val="18"/>
              </w:rPr>
              <w:t xml:space="preserve">无重大影响 </w:t>
            </w:r>
          </w:p>
        </w:tc>
      </w:tr>
    </w:tbl>
    <w:p>
      <w:pPr>
        <w:autoSpaceDN w:val="0"/>
        <w:autoSpaceDE w:val="0"/>
        <w:widowControl/>
        <w:spacing w:line="180" w:lineRule="exact" w:before="138" w:after="124"/>
        <w:ind w:left="112" w:right="0" w:firstLine="0"/>
        <w:jc w:val="left"/>
      </w:pPr>
      <w:r>
        <w:rPr>
          <w:rFonts w:ascii="宋体" w:hAnsi="宋体" w:eastAsia="宋体"/>
          <w:b w:val="0"/>
          <w:i w:val="0"/>
          <w:color w:val="000000"/>
          <w:sz w:val="18"/>
        </w:rPr>
        <w:t xml:space="preserve">应付关联方债务 </w:t>
      </w:r>
    </w:p>
    <w:tbl>
      <w:tblPr>
        <w:tblW w:type="auto" w:w="0"/>
        <w:tblLayout w:type="fixed"/>
        <w:tblLook w:firstColumn="1" w:firstRow="1" w:lastColumn="0" w:lastRow="0" w:noHBand="0" w:noVBand="1" w:val="04A0"/>
        <w:tblInd w:w="110.0" w:type="dxa"/>
      </w:tblPr>
      <w:tblGrid>
        <w:gridCol w:w="1137"/>
        <w:gridCol w:w="1137"/>
        <w:gridCol w:w="1137"/>
        <w:gridCol w:w="1137"/>
        <w:gridCol w:w="1137"/>
        <w:gridCol w:w="1137"/>
        <w:gridCol w:w="1137"/>
        <w:gridCol w:w="1137"/>
        <w:gridCol w:w="1137"/>
      </w:tblGrid>
      <w:tr>
        <w:trPr>
          <w:trHeight w:hRule="exact" w:val="802"/>
        </w:trPr>
        <w:tc>
          <w:tcPr>
            <w:tcW w:type="dxa" w:w="1256"/>
            <w:tcBorders>
              <w:start w:sz="2.3999999999999773" w:val="single" w:color="#000000"/>
              <w:top w:sz="2.400000000000091" w:val="single" w:color="#000000"/>
              <w:end w:sz="1.6000000000000227" w:val="single" w:color="#000000"/>
              <w:bottom w:sz="2.400000000000091" w:val="single" w:color="#000000"/>
            </w:tcBorders>
            <w:shd w:fill="d2d2d2"/>
            <w:tcMar>
              <w:start w:w="0" w:type="dxa"/>
              <w:end w:w="0" w:type="dxa"/>
            </w:tcMar>
          </w:tcPr>
          <w:p>
            <w:pPr>
              <w:autoSpaceDN w:val="0"/>
              <w:autoSpaceDE w:val="0"/>
              <w:widowControl/>
              <w:spacing w:line="180" w:lineRule="exact" w:before="316" w:after="0"/>
              <w:ind w:left="0" w:right="262" w:firstLine="0"/>
              <w:jc w:val="right"/>
            </w:pPr>
            <w:r>
              <w:rPr>
                <w:rFonts w:ascii="宋体" w:hAnsi="宋体" w:eastAsia="宋体"/>
                <w:b w:val="0"/>
                <w:i w:val="0"/>
                <w:color w:val="000000"/>
                <w:sz w:val="18"/>
              </w:rPr>
              <w:t xml:space="preserve">关联方 </w:t>
            </w:r>
          </w:p>
        </w:tc>
        <w:tc>
          <w:tcPr>
            <w:tcW w:type="dxa" w:w="1030"/>
            <w:tcBorders>
              <w:start w:sz="1.6000000000000227" w:val="single" w:color="#000000"/>
              <w:top w:sz="2.400000000000091" w:val="single" w:color="#000000"/>
              <w:end w:sz="2.3999999999998636" w:val="single" w:color="#000000"/>
              <w:bottom w:sz="2.400000000000091" w:val="single" w:color="#000000"/>
            </w:tcBorders>
            <w:shd w:fill="d2d2d2"/>
            <w:tcMar>
              <w:start w:w="0" w:type="dxa"/>
              <w:end w:w="0" w:type="dxa"/>
            </w:tcMar>
          </w:tcPr>
          <w:p>
            <w:pPr>
              <w:autoSpaceDN w:val="0"/>
              <w:autoSpaceDE w:val="0"/>
              <w:widowControl/>
              <w:spacing w:line="180" w:lineRule="exact" w:before="316" w:after="0"/>
              <w:ind w:left="154" w:right="0" w:firstLine="0"/>
              <w:jc w:val="left"/>
            </w:pPr>
            <w:r>
              <w:rPr>
                <w:rFonts w:ascii="宋体" w:hAnsi="宋体" w:eastAsia="宋体"/>
                <w:b w:val="0"/>
                <w:i w:val="0"/>
                <w:color w:val="000000"/>
                <w:sz w:val="18"/>
              </w:rPr>
              <w:t xml:space="preserve">关联关系 </w:t>
            </w:r>
          </w:p>
        </w:tc>
        <w:tc>
          <w:tcPr>
            <w:tcW w:type="dxa" w:w="928"/>
            <w:tcBorders>
              <w:start w:sz="2.3999999999998636"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tabs>
                <w:tab w:pos="370" w:val="left"/>
              </w:tabs>
              <w:autoSpaceDE w:val="0"/>
              <w:widowControl/>
              <w:spacing w:line="240" w:lineRule="exact" w:before="136" w:after="0"/>
              <w:ind w:left="190" w:right="144" w:firstLine="0"/>
              <w:jc w:val="left"/>
            </w:pPr>
            <w:r>
              <w:rPr>
                <w:rFonts w:ascii="宋体" w:hAnsi="宋体" w:eastAsia="宋体"/>
                <w:b w:val="0"/>
                <w:i w:val="0"/>
                <w:color w:val="000000"/>
                <w:sz w:val="18"/>
              </w:rPr>
              <w:t>形成原</w:t>
            </w:r>
            <w:r>
              <w:tab/>
            </w:r>
            <w:r>
              <w:rPr>
                <w:rFonts w:ascii="宋体" w:hAnsi="宋体" w:eastAsia="宋体"/>
                <w:b w:val="0"/>
                <w:i w:val="0"/>
                <w:color w:val="000000"/>
                <w:sz w:val="18"/>
              </w:rPr>
              <w:t xml:space="preserve">因 </w:t>
            </w:r>
          </w:p>
        </w:tc>
        <w:tc>
          <w:tcPr>
            <w:tcW w:type="dxa" w:w="1072"/>
            <w:tcBorders>
              <w:start w:sz="2.400000000000091"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240" w:lineRule="exact" w:before="136" w:after="0"/>
              <w:ind w:left="172" w:right="0" w:firstLine="0"/>
              <w:jc w:val="left"/>
            </w:pPr>
            <w:r>
              <w:rPr>
                <w:rFonts w:ascii="宋体" w:hAnsi="宋体" w:eastAsia="宋体"/>
                <w:b w:val="0"/>
                <w:i w:val="0"/>
                <w:color w:val="000000"/>
                <w:sz w:val="18"/>
              </w:rPr>
              <w:t>期初余额</w:t>
            </w:r>
            <w:r>
              <w:br/>
            </w:r>
            <w:r>
              <w:rPr>
                <w:rFonts w:ascii="宋体" w:hAnsi="宋体" w:eastAsia="宋体"/>
                <w:b w:val="0"/>
                <w:i w:val="0"/>
                <w:color w:val="000000"/>
                <w:sz w:val="18"/>
              </w:rPr>
              <w:t xml:space="preserve">（万元） </w:t>
            </w:r>
          </w:p>
        </w:tc>
        <w:tc>
          <w:tcPr>
            <w:tcW w:type="dxa" w:w="1072"/>
            <w:tcBorders>
              <w:start w:sz="1.599999999999909"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44" w:right="172" w:firstLine="0"/>
              <w:jc w:val="right"/>
            </w:pPr>
            <w:r>
              <w:rPr>
                <w:rFonts w:ascii="宋体" w:hAnsi="宋体" w:eastAsia="宋体"/>
                <w:b w:val="0"/>
                <w:i w:val="0"/>
                <w:color w:val="000000"/>
                <w:sz w:val="18"/>
              </w:rPr>
              <w:t>本期新增</w:t>
            </w:r>
            <w:r>
              <w:rPr>
                <w:rFonts w:ascii="宋体" w:hAnsi="宋体" w:eastAsia="宋体"/>
                <w:b w:val="0"/>
                <w:i w:val="0"/>
                <w:color w:val="000000"/>
                <w:sz w:val="18"/>
              </w:rPr>
              <w:t>金额（万</w:t>
            </w:r>
            <w:r>
              <w:rPr>
                <w:rFonts w:ascii="宋体" w:hAnsi="宋体" w:eastAsia="宋体"/>
                <w:b w:val="0"/>
                <w:i w:val="0"/>
                <w:color w:val="000000"/>
                <w:sz w:val="18"/>
              </w:rPr>
              <w:t xml:space="preserve">元） </w:t>
            </w:r>
          </w:p>
        </w:tc>
        <w:tc>
          <w:tcPr>
            <w:tcW w:type="dxa" w:w="1072"/>
            <w:tcBorders>
              <w:start w:sz="2.400000000000091"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240" w:lineRule="exact" w:before="16" w:after="0"/>
              <w:ind w:left="144" w:right="174" w:firstLine="0"/>
              <w:jc w:val="right"/>
            </w:pPr>
            <w:r>
              <w:rPr>
                <w:rFonts w:ascii="宋体" w:hAnsi="宋体" w:eastAsia="宋体"/>
                <w:b w:val="0"/>
                <w:i w:val="0"/>
                <w:color w:val="000000"/>
                <w:sz w:val="18"/>
              </w:rPr>
              <w:t>本期归还</w:t>
            </w:r>
            <w:r>
              <w:rPr>
                <w:rFonts w:ascii="宋体" w:hAnsi="宋体" w:eastAsia="宋体"/>
                <w:b w:val="0"/>
                <w:i w:val="0"/>
                <w:color w:val="000000"/>
                <w:sz w:val="18"/>
              </w:rPr>
              <w:t>金额（万</w:t>
            </w:r>
            <w:r>
              <w:rPr>
                <w:rFonts w:ascii="宋体" w:hAnsi="宋体" w:eastAsia="宋体"/>
                <w:b w:val="0"/>
                <w:i w:val="0"/>
                <w:color w:val="000000"/>
                <w:sz w:val="18"/>
              </w:rPr>
              <w:t xml:space="preserve">元） </w:t>
            </w:r>
          </w:p>
        </w:tc>
        <w:tc>
          <w:tcPr>
            <w:tcW w:type="dxa" w:w="1070"/>
            <w:tcBorders>
              <w:start w:sz="1.599999999999909" w:val="single" w:color="#000000"/>
              <w:top w:sz="2.400000000000091"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316" w:after="0"/>
              <w:ind w:left="0" w:right="262" w:firstLine="0"/>
              <w:jc w:val="right"/>
            </w:pPr>
            <w:r>
              <w:rPr>
                <w:rFonts w:ascii="宋体" w:hAnsi="宋体" w:eastAsia="宋体"/>
                <w:b w:val="0"/>
                <w:i w:val="0"/>
                <w:color w:val="000000"/>
                <w:sz w:val="18"/>
              </w:rPr>
              <w:t xml:space="preserve">利率 </w:t>
            </w:r>
          </w:p>
        </w:tc>
        <w:tc>
          <w:tcPr>
            <w:tcW w:type="dxa" w:w="1070"/>
            <w:tcBorders>
              <w:start w:sz="1.599999999999909" w:val="single" w:color="#000000"/>
              <w:top w:sz="2.400000000000091"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240" w:lineRule="exact" w:before="136" w:after="0"/>
              <w:ind w:left="174" w:right="0" w:firstLine="0"/>
              <w:jc w:val="left"/>
            </w:pPr>
            <w:r>
              <w:rPr>
                <w:rFonts w:ascii="宋体" w:hAnsi="宋体" w:eastAsia="宋体"/>
                <w:b w:val="0"/>
                <w:i w:val="0"/>
                <w:color w:val="000000"/>
                <w:sz w:val="18"/>
              </w:rPr>
              <w:t>本期利息</w:t>
            </w:r>
            <w:r>
              <w:br/>
            </w:r>
            <w:r>
              <w:rPr>
                <w:rFonts w:ascii="宋体" w:hAnsi="宋体" w:eastAsia="宋体"/>
                <w:b w:val="0"/>
                <w:i w:val="0"/>
                <w:color w:val="000000"/>
                <w:sz w:val="18"/>
              </w:rPr>
              <w:t xml:space="preserve">（万元） </w:t>
            </w:r>
          </w:p>
        </w:tc>
        <w:tc>
          <w:tcPr>
            <w:tcW w:type="dxa" w:w="1072"/>
            <w:tcBorders>
              <w:start w:sz="2.400000000000091" w:val="single" w:color="#000000"/>
              <w:top w:sz="2.400000000000091"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240" w:lineRule="exact" w:before="136" w:after="0"/>
              <w:ind w:left="176" w:right="0" w:firstLine="0"/>
              <w:jc w:val="left"/>
            </w:pPr>
            <w:r>
              <w:rPr>
                <w:rFonts w:ascii="宋体" w:hAnsi="宋体" w:eastAsia="宋体"/>
                <w:b w:val="0"/>
                <w:i w:val="0"/>
                <w:color w:val="000000"/>
                <w:sz w:val="18"/>
              </w:rPr>
              <w:t>期末余额</w:t>
            </w:r>
            <w:r>
              <w:br/>
            </w:r>
            <w:r>
              <w:rPr>
                <w:rFonts w:ascii="宋体" w:hAnsi="宋体" w:eastAsia="宋体"/>
                <w:b w:val="0"/>
                <w:i w:val="0"/>
                <w:color w:val="000000"/>
                <w:sz w:val="18"/>
              </w:rPr>
              <w:t xml:space="preserve">（万元） </w:t>
            </w:r>
          </w:p>
        </w:tc>
      </w:tr>
      <w:tr>
        <w:trPr>
          <w:trHeight w:hRule="exact" w:val="726"/>
        </w:trPr>
        <w:tc>
          <w:tcPr>
            <w:tcW w:type="dxa" w:w="1256"/>
            <w:tcBorders>
              <w:start w:sz="2.399999999999977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232" w:lineRule="exact" w:before="0" w:after="0"/>
              <w:ind w:left="108" w:right="242" w:firstLine="0"/>
              <w:jc w:val="both"/>
            </w:pPr>
            <w:r>
              <w:rPr>
                <w:rFonts w:ascii="宋体" w:hAnsi="宋体" w:eastAsia="宋体"/>
                <w:b w:val="0"/>
                <w:i w:val="0"/>
                <w:color w:val="000000"/>
                <w:sz w:val="18"/>
              </w:rPr>
              <w:t>山西国贸物</w:t>
            </w:r>
            <w:r>
              <w:rPr>
                <w:rFonts w:ascii="宋体" w:hAnsi="宋体" w:eastAsia="宋体"/>
                <w:b w:val="0"/>
                <w:i w:val="0"/>
                <w:color w:val="000000"/>
                <w:sz w:val="18"/>
              </w:rPr>
              <w:t>业管理有限</w:t>
            </w:r>
            <w:r>
              <w:rPr>
                <w:rFonts w:ascii="宋体" w:hAnsi="宋体" w:eastAsia="宋体"/>
                <w:b w:val="0"/>
                <w:i w:val="0"/>
                <w:color w:val="000000"/>
                <w:sz w:val="18"/>
              </w:rPr>
              <w:t xml:space="preserve">公司 </w:t>
            </w:r>
          </w:p>
        </w:tc>
        <w:tc>
          <w:tcPr>
            <w:tcW w:type="dxa" w:w="1030"/>
            <w:tcBorders>
              <w:start w:sz="1.6000000000000227" w:val="single" w:color="#000000"/>
              <w:top w:sz="2.400000000000091" w:val="single" w:color="#000000"/>
              <w:end w:sz="2.3999999999998636" w:val="single" w:color="#000000"/>
              <w:bottom w:sz="1.599999999999909" w:val="single" w:color="#000000"/>
            </w:tcBorders>
            <w:tcMar>
              <w:start w:w="0" w:type="dxa"/>
              <w:end w:w="0" w:type="dxa"/>
            </w:tcMar>
          </w:tcPr>
          <w:p>
            <w:pPr>
              <w:autoSpaceDN w:val="0"/>
              <w:autoSpaceDE w:val="0"/>
              <w:widowControl/>
              <w:spacing w:line="232" w:lineRule="exact" w:before="0" w:after="0"/>
              <w:ind w:left="108" w:right="198" w:firstLine="0"/>
              <w:jc w:val="both"/>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928"/>
            <w:tcBorders>
              <w:start w:sz="2.3999999999998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42" w:lineRule="exact" w:before="94" w:after="0"/>
              <w:ind w:left="104" w:right="144" w:firstLine="0"/>
              <w:jc w:val="left"/>
            </w:pPr>
            <w:r>
              <w:rPr>
                <w:rFonts w:ascii="宋体" w:hAnsi="宋体" w:eastAsia="宋体"/>
                <w:b w:val="0"/>
                <w:i w:val="0"/>
                <w:color w:val="000000"/>
                <w:sz w:val="18"/>
              </w:rPr>
              <w:t>应付修</w:t>
            </w:r>
            <w:r>
              <w:rPr>
                <w:rFonts w:ascii="宋体" w:hAnsi="宋体" w:eastAsia="宋体"/>
                <w:b w:val="0"/>
                <w:i w:val="0"/>
                <w:color w:val="000000"/>
                <w:sz w:val="18"/>
              </w:rPr>
              <w:t xml:space="preserve">理费 </w:t>
            </w:r>
          </w:p>
        </w:tc>
        <w:tc>
          <w:tcPr>
            <w:tcW w:type="dxa" w:w="107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6" w:after="0"/>
              <w:ind w:left="0" w:right="16" w:firstLine="0"/>
              <w:jc w:val="right"/>
            </w:pPr>
            <w:r>
              <w:rPr>
                <w:rFonts w:ascii="宋体" w:hAnsi="宋体" w:eastAsia="宋体"/>
                <w:b w:val="0"/>
                <w:i w:val="0"/>
                <w:color w:val="000000"/>
                <w:sz w:val="18"/>
              </w:rPr>
              <w:t xml:space="preserve">- </w:t>
            </w:r>
          </w:p>
        </w:tc>
        <w:tc>
          <w:tcPr>
            <w:tcW w:type="dxa" w:w="107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76" w:after="0"/>
              <w:ind w:left="0" w:right="16" w:firstLine="0"/>
              <w:jc w:val="right"/>
            </w:pPr>
            <w:r>
              <w:rPr>
                <w:rFonts w:ascii="宋体" w:hAnsi="宋体" w:eastAsia="宋体"/>
                <w:b w:val="0"/>
                <w:i w:val="0"/>
                <w:color w:val="000000"/>
                <w:sz w:val="18"/>
              </w:rPr>
              <w:t xml:space="preserve">14.47 </w:t>
            </w:r>
          </w:p>
        </w:tc>
        <w:tc>
          <w:tcPr>
            <w:tcW w:type="dxa" w:w="1072"/>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6"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6"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76" w:after="0"/>
              <w:ind w:left="0" w:right="14" w:firstLine="0"/>
              <w:jc w:val="right"/>
            </w:pPr>
            <w:r>
              <w:rPr>
                <w:rFonts w:ascii="宋体" w:hAnsi="宋体" w:eastAsia="宋体"/>
                <w:b w:val="0"/>
                <w:i w:val="0"/>
                <w:color w:val="000000"/>
                <w:sz w:val="18"/>
              </w:rPr>
              <w:t xml:space="preserve">- </w:t>
            </w:r>
          </w:p>
        </w:tc>
        <w:tc>
          <w:tcPr>
            <w:tcW w:type="dxa" w:w="1072"/>
            <w:tcBorders>
              <w:start w:sz="2.400000000000091"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6" w:after="0"/>
              <w:ind w:left="0" w:right="14" w:firstLine="0"/>
              <w:jc w:val="right"/>
            </w:pPr>
            <w:r>
              <w:rPr>
                <w:rFonts w:ascii="宋体" w:hAnsi="宋体" w:eastAsia="宋体"/>
                <w:b w:val="0"/>
                <w:i w:val="0"/>
                <w:color w:val="000000"/>
                <w:sz w:val="18"/>
              </w:rPr>
              <w:t xml:space="preserve">14.47 </w:t>
            </w:r>
          </w:p>
        </w:tc>
      </w:tr>
      <w:tr>
        <w:trPr>
          <w:trHeight w:hRule="exact" w:val="726"/>
        </w:trPr>
        <w:tc>
          <w:tcPr>
            <w:tcW w:type="dxa" w:w="1256"/>
            <w:tcBorders>
              <w:start w:sz="2.3999999999999773" w:val="single" w:color="#000000"/>
              <w:top w:sz="1.599999999999909" w:val="single" w:color="#000000"/>
              <w:end w:sz="1.6000000000000227" w:val="single" w:color="#000000"/>
              <w:bottom w:sz="2.399999999999636" w:val="single" w:color="#000000"/>
            </w:tcBorders>
            <w:tcMar>
              <w:start w:w="0" w:type="dxa"/>
              <w:end w:w="0" w:type="dxa"/>
            </w:tcMar>
          </w:tcPr>
          <w:p>
            <w:pPr>
              <w:autoSpaceDN w:val="0"/>
              <w:autoSpaceDE w:val="0"/>
              <w:widowControl/>
              <w:spacing w:line="234" w:lineRule="exact" w:before="0" w:after="0"/>
              <w:ind w:left="108" w:right="242" w:firstLine="0"/>
              <w:jc w:val="both"/>
            </w:pPr>
            <w:r>
              <w:rPr>
                <w:rFonts w:ascii="宋体" w:hAnsi="宋体" w:eastAsia="宋体"/>
                <w:b w:val="0"/>
                <w:i w:val="0"/>
                <w:color w:val="000000"/>
                <w:sz w:val="18"/>
              </w:rPr>
              <w:t>山西国贸大</w:t>
            </w:r>
            <w:r>
              <w:rPr>
                <w:rFonts w:ascii="宋体" w:hAnsi="宋体" w:eastAsia="宋体"/>
                <w:b w:val="0"/>
                <w:i w:val="0"/>
                <w:color w:val="000000"/>
                <w:sz w:val="18"/>
              </w:rPr>
              <w:t>饭店管理有</w:t>
            </w:r>
            <w:r>
              <w:rPr>
                <w:rFonts w:ascii="宋体" w:hAnsi="宋体" w:eastAsia="宋体"/>
                <w:b w:val="0"/>
                <w:i w:val="0"/>
                <w:color w:val="000000"/>
                <w:sz w:val="18"/>
              </w:rPr>
              <w:t xml:space="preserve">限公司 </w:t>
            </w:r>
          </w:p>
        </w:tc>
        <w:tc>
          <w:tcPr>
            <w:tcW w:type="dxa" w:w="1030"/>
            <w:tcBorders>
              <w:start w:sz="1.6000000000000227" w:val="single" w:color="#000000"/>
              <w:top w:sz="1.599999999999909" w:val="single" w:color="#000000"/>
              <w:end w:sz="2.3999999999998636" w:val="single" w:color="#000000"/>
              <w:bottom w:sz="2.399999999999636" w:val="single" w:color="#000000"/>
            </w:tcBorders>
            <w:tcMar>
              <w:start w:w="0" w:type="dxa"/>
              <w:end w:w="0" w:type="dxa"/>
            </w:tcMar>
          </w:tcPr>
          <w:p>
            <w:pPr>
              <w:autoSpaceDN w:val="0"/>
              <w:autoSpaceDE w:val="0"/>
              <w:widowControl/>
              <w:spacing w:line="234" w:lineRule="exact" w:before="0" w:after="0"/>
              <w:ind w:left="108" w:right="198" w:firstLine="0"/>
              <w:jc w:val="both"/>
            </w:pPr>
            <w:r>
              <w:rPr>
                <w:rFonts w:ascii="宋体" w:hAnsi="宋体" w:eastAsia="宋体"/>
                <w:b w:val="0"/>
                <w:i w:val="0"/>
                <w:color w:val="000000"/>
                <w:sz w:val="18"/>
              </w:rPr>
              <w:t>受金控集</w:t>
            </w:r>
            <w:r>
              <w:rPr>
                <w:rFonts w:ascii="宋体" w:hAnsi="宋体" w:eastAsia="宋体"/>
                <w:b w:val="0"/>
                <w:i w:val="0"/>
                <w:color w:val="000000"/>
                <w:sz w:val="18"/>
              </w:rPr>
              <w:t>团间接控</w:t>
            </w:r>
            <w:r>
              <w:rPr>
                <w:rFonts w:ascii="宋体" w:hAnsi="宋体" w:eastAsia="宋体"/>
                <w:b w:val="0"/>
                <w:i w:val="0"/>
                <w:color w:val="000000"/>
                <w:sz w:val="18"/>
              </w:rPr>
              <w:t xml:space="preserve">制 </w:t>
            </w:r>
          </w:p>
        </w:tc>
        <w:tc>
          <w:tcPr>
            <w:tcW w:type="dxa" w:w="928"/>
            <w:tcBorders>
              <w:start w:sz="2.3999999999998636"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240" w:lineRule="exact" w:before="100" w:after="0"/>
              <w:ind w:left="104" w:right="144" w:firstLine="0"/>
              <w:jc w:val="left"/>
            </w:pPr>
            <w:r>
              <w:rPr>
                <w:rFonts w:ascii="宋体" w:hAnsi="宋体" w:eastAsia="宋体"/>
                <w:b w:val="0"/>
                <w:i w:val="0"/>
                <w:color w:val="000000"/>
                <w:sz w:val="18"/>
              </w:rPr>
              <w:t>其他应</w:t>
            </w:r>
            <w:r>
              <w:rPr>
                <w:rFonts w:ascii="宋体" w:hAnsi="宋体" w:eastAsia="宋体"/>
                <w:b w:val="0"/>
                <w:i w:val="0"/>
                <w:color w:val="000000"/>
                <w:sz w:val="18"/>
              </w:rPr>
              <w:t xml:space="preserve">付款 </w:t>
            </w:r>
          </w:p>
        </w:tc>
        <w:tc>
          <w:tcPr>
            <w:tcW w:type="dxa" w:w="1072"/>
            <w:tcBorders>
              <w:start w:sz="2.400000000000091"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2"/>
            <w:tcBorders>
              <w:start w:sz="1.599999999999909"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1.67 </w:t>
            </w:r>
          </w:p>
        </w:tc>
        <w:tc>
          <w:tcPr>
            <w:tcW w:type="dxa" w:w="1072"/>
            <w:tcBorders>
              <w:start w:sz="2.400000000000091"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280" w:after="0"/>
              <w:ind w:left="0" w:right="14" w:firstLine="0"/>
              <w:jc w:val="right"/>
            </w:pPr>
            <w:r>
              <w:rPr>
                <w:rFonts w:ascii="宋体" w:hAnsi="宋体" w:eastAsia="宋体"/>
                <w:b w:val="0"/>
                <w:i w:val="0"/>
                <w:color w:val="000000"/>
                <w:sz w:val="18"/>
              </w:rPr>
              <w:t xml:space="preserve">- </w:t>
            </w:r>
          </w:p>
        </w:tc>
        <w:tc>
          <w:tcPr>
            <w:tcW w:type="dxa" w:w="1072"/>
            <w:tcBorders>
              <w:start w:sz="2.400000000000091" w:val="single" w:color="#000000"/>
              <w:top w:sz="1.599999999999909" w:val="single" w:color="#000000"/>
              <w:end w:sz="1.5999999999994543" w:val="single" w:color="#000000"/>
              <w:bottom w:sz="2.399999999999636" w:val="single" w:color="#000000"/>
            </w:tcBorders>
            <w:tcMar>
              <w:start w:w="0" w:type="dxa"/>
              <w:end w:w="0" w:type="dxa"/>
            </w:tcMar>
          </w:tcPr>
          <w:p>
            <w:pPr>
              <w:autoSpaceDN w:val="0"/>
              <w:autoSpaceDE w:val="0"/>
              <w:widowControl/>
              <w:spacing w:line="180" w:lineRule="exact" w:before="280" w:after="0"/>
              <w:ind w:left="0" w:right="14" w:firstLine="0"/>
              <w:jc w:val="right"/>
            </w:pPr>
            <w:r>
              <w:rPr>
                <w:rFonts w:ascii="宋体" w:hAnsi="宋体" w:eastAsia="宋体"/>
                <w:b w:val="0"/>
                <w:i w:val="0"/>
                <w:color w:val="000000"/>
                <w:sz w:val="18"/>
              </w:rPr>
              <w:t xml:space="preserve">1.67 </w:t>
            </w:r>
          </w:p>
        </w:tc>
      </w:tr>
      <w:tr>
        <w:trPr>
          <w:trHeight w:hRule="exact" w:val="726"/>
        </w:trPr>
        <w:tc>
          <w:tcPr>
            <w:tcW w:type="dxa" w:w="1256"/>
            <w:tcBorders>
              <w:start w:sz="2.3999999999999773" w:val="single" w:color="#000000"/>
              <w:top w:sz="2.399999999999636" w:val="single" w:color="#000000"/>
              <w:end w:sz="1.6000000000000227" w:val="single" w:color="#000000"/>
              <w:bottom w:sz="1.6000000000003638" w:val="single" w:color="#000000"/>
            </w:tcBorders>
            <w:tcMar>
              <w:start w:w="0" w:type="dxa"/>
              <w:end w:w="0" w:type="dxa"/>
            </w:tcMar>
          </w:tcPr>
          <w:p>
            <w:pPr>
              <w:autoSpaceDN w:val="0"/>
              <w:autoSpaceDE w:val="0"/>
              <w:widowControl/>
              <w:spacing w:line="240" w:lineRule="exact" w:before="100" w:after="0"/>
              <w:ind w:left="108" w:right="144" w:firstLine="0"/>
              <w:jc w:val="left"/>
            </w:pPr>
            <w:r>
              <w:rPr>
                <w:rFonts w:ascii="宋体" w:hAnsi="宋体" w:eastAsia="宋体"/>
                <w:b w:val="0"/>
                <w:i w:val="0"/>
                <w:color w:val="000000"/>
                <w:sz w:val="18"/>
              </w:rPr>
              <w:t>山西焦化集</w:t>
            </w:r>
            <w:r>
              <w:rPr>
                <w:rFonts w:ascii="宋体" w:hAnsi="宋体" w:eastAsia="宋体"/>
                <w:b w:val="0"/>
                <w:i w:val="0"/>
                <w:color w:val="000000"/>
                <w:sz w:val="18"/>
              </w:rPr>
              <w:t xml:space="preserve">团有限公司 </w:t>
            </w:r>
          </w:p>
        </w:tc>
        <w:tc>
          <w:tcPr>
            <w:tcW w:type="dxa" w:w="1030"/>
            <w:tcBorders>
              <w:start w:sz="1.6000000000000227" w:val="single" w:color="#000000"/>
              <w:top w:sz="2.399999999999636" w:val="single" w:color="#000000"/>
              <w:end w:sz="2.3999999999998636" w:val="single" w:color="#000000"/>
              <w:bottom w:sz="1.6000000000003638" w:val="single" w:color="#000000"/>
            </w:tcBorders>
            <w:tcMar>
              <w:start w:w="0" w:type="dxa"/>
              <w:end w:w="0" w:type="dxa"/>
            </w:tcMar>
          </w:tcPr>
          <w:p>
            <w:pPr>
              <w:autoSpaceDN w:val="0"/>
              <w:autoSpaceDE w:val="0"/>
              <w:widowControl/>
              <w:spacing w:line="234" w:lineRule="exact" w:before="0" w:after="0"/>
              <w:ind w:left="108" w:right="0" w:firstLine="0"/>
              <w:jc w:val="left"/>
            </w:pPr>
            <w:r>
              <w:rPr>
                <w:rFonts w:ascii="宋体" w:hAnsi="宋体" w:eastAsia="宋体"/>
                <w:b w:val="0"/>
                <w:i w:val="0"/>
                <w:color w:val="000000"/>
                <w:sz w:val="18"/>
              </w:rPr>
              <w:t>持股5%以</w:t>
            </w:r>
            <w:r>
              <w:rPr>
                <w:rFonts w:ascii="宋体" w:hAnsi="宋体" w:eastAsia="宋体"/>
                <w:b w:val="0"/>
                <w:i w:val="0"/>
                <w:color w:val="000000"/>
                <w:sz w:val="18"/>
              </w:rPr>
              <w:t>上股东一</w:t>
            </w:r>
            <w:r>
              <w:br/>
            </w:r>
            <w:r>
              <w:rPr>
                <w:rFonts w:ascii="宋体" w:hAnsi="宋体" w:eastAsia="宋体"/>
                <w:b w:val="0"/>
                <w:i w:val="0"/>
                <w:color w:val="000000"/>
                <w:sz w:val="18"/>
              </w:rPr>
              <w:t xml:space="preserve">致行动人 </w:t>
            </w:r>
          </w:p>
        </w:tc>
        <w:tc>
          <w:tcPr>
            <w:tcW w:type="dxa" w:w="928"/>
            <w:tcBorders>
              <w:start w:sz="2.3999999999998636"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6" w:lineRule="exact" w:before="96" w:after="0"/>
              <w:ind w:left="104" w:right="144" w:firstLine="0"/>
              <w:jc w:val="left"/>
            </w:pPr>
            <w:r>
              <w:rPr>
                <w:rFonts w:ascii="宋体" w:hAnsi="宋体" w:eastAsia="宋体"/>
                <w:b w:val="0"/>
                <w:i w:val="0"/>
                <w:color w:val="000000"/>
                <w:sz w:val="18"/>
              </w:rPr>
              <w:t>其他应</w:t>
            </w:r>
            <w:r>
              <w:rPr>
                <w:rFonts w:ascii="宋体" w:hAnsi="宋体" w:eastAsia="宋体"/>
                <w:b w:val="0"/>
                <w:i w:val="0"/>
                <w:color w:val="000000"/>
                <w:sz w:val="18"/>
              </w:rPr>
              <w:t>付款</w:t>
            </w:r>
          </w:p>
        </w:tc>
        <w:tc>
          <w:tcPr>
            <w:tcW w:type="dxa" w:w="107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0.69 </w:t>
            </w:r>
          </w:p>
        </w:tc>
        <w:tc>
          <w:tcPr>
            <w:tcW w:type="dxa" w:w="1072"/>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2"/>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280" w:after="0"/>
              <w:ind w:left="0" w:right="16" w:firstLine="0"/>
              <w:jc w:val="right"/>
            </w:pPr>
            <w:r>
              <w:rPr>
                <w:rFonts w:ascii="宋体" w:hAnsi="宋体" w:eastAsia="宋体"/>
                <w:b w:val="0"/>
                <w:i w:val="0"/>
                <w:color w:val="000000"/>
                <w:sz w:val="18"/>
              </w:rPr>
              <w:t xml:space="preserve">- </w:t>
            </w:r>
          </w:p>
        </w:tc>
        <w:tc>
          <w:tcPr>
            <w:tcW w:type="dxa" w:w="1070"/>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280" w:after="0"/>
              <w:ind w:left="0" w:right="14" w:firstLine="0"/>
              <w:jc w:val="right"/>
            </w:pPr>
            <w:r>
              <w:rPr>
                <w:rFonts w:ascii="宋体" w:hAnsi="宋体" w:eastAsia="宋体"/>
                <w:b w:val="0"/>
                <w:i w:val="0"/>
                <w:color w:val="000000"/>
                <w:sz w:val="18"/>
              </w:rPr>
              <w:t xml:space="preserve">- </w:t>
            </w:r>
          </w:p>
        </w:tc>
        <w:tc>
          <w:tcPr>
            <w:tcW w:type="dxa" w:w="1072"/>
            <w:tcBorders>
              <w:start w:sz="2.400000000000091"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180" w:lineRule="exact" w:before="280" w:after="0"/>
              <w:ind w:left="0" w:right="14" w:firstLine="0"/>
              <w:jc w:val="right"/>
            </w:pPr>
            <w:r>
              <w:rPr>
                <w:rFonts w:ascii="宋体" w:hAnsi="宋体" w:eastAsia="宋体"/>
                <w:b w:val="0"/>
                <w:i w:val="0"/>
                <w:color w:val="000000"/>
                <w:sz w:val="18"/>
              </w:rPr>
              <w:t xml:space="preserve">0.69 </w:t>
            </w:r>
          </w:p>
        </w:tc>
      </w:tr>
      <w:tr>
        <w:trPr>
          <w:trHeight w:hRule="exact" w:val="564"/>
        </w:trPr>
        <w:tc>
          <w:tcPr>
            <w:tcW w:type="dxa" w:w="2286"/>
            <w:gridSpan w:val="2"/>
            <w:tcBorders>
              <w:start w:sz="2.3999999999999773" w:val="single" w:color="#000000"/>
              <w:top w:sz="1.6000000000003638" w:val="single" w:color="#000000"/>
              <w:end w:sz="2.3999999999998636" w:val="single" w:color="#000000"/>
              <w:bottom w:sz="1.599999999999909" w:val="single" w:color="#000000"/>
            </w:tcBorders>
            <w:shd w:fill="d2d2d2"/>
            <w:tcMar>
              <w:start w:w="0" w:type="dxa"/>
              <w:end w:w="0" w:type="dxa"/>
            </w:tcMar>
            <w:tcMar>
              <w:start w:w="0" w:type="dxa"/>
              <w:end w:w="0" w:type="dxa"/>
            </w:tcMar>
          </w:tcPr>
          <w:p>
            <w:pPr>
              <w:autoSpaceDN w:val="0"/>
              <w:autoSpaceDE w:val="0"/>
              <w:widowControl/>
              <w:spacing w:line="238" w:lineRule="exact" w:before="18" w:after="0"/>
              <w:ind w:left="108" w:right="144" w:firstLine="0"/>
              <w:jc w:val="left"/>
            </w:pPr>
            <w:r>
              <w:rPr>
                <w:rFonts w:ascii="宋体" w:hAnsi="宋体" w:eastAsia="宋体"/>
                <w:b w:val="0"/>
                <w:i w:val="0"/>
                <w:color w:val="000000"/>
                <w:sz w:val="18"/>
              </w:rPr>
              <w:t>关联债务对公司经营成果</w:t>
            </w:r>
            <w:r>
              <w:rPr>
                <w:rFonts w:ascii="宋体" w:hAnsi="宋体" w:eastAsia="宋体"/>
                <w:b w:val="0"/>
                <w:i w:val="0"/>
                <w:color w:val="000000"/>
                <w:sz w:val="18"/>
              </w:rPr>
              <w:t xml:space="preserve">及财务状况的影响 </w:t>
            </w:r>
          </w:p>
        </w:tc>
        <w:tc>
          <w:tcPr>
            <w:tcW w:type="dxa" w:w="7356"/>
            <w:gridSpan w:val="7"/>
            <w:tcBorders>
              <w:start w:sz="2.3999999999998636" w:val="single" w:color="#000000"/>
              <w:top w:sz="1.6000000000003638" w:val="single" w:color="#000000"/>
              <w:end w:sz="1.5999999999994543"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96" w:after="0"/>
              <w:ind w:left="104" w:right="0" w:firstLine="0"/>
              <w:jc w:val="left"/>
            </w:pPr>
            <w:r>
              <w:rPr>
                <w:rFonts w:ascii="宋体" w:hAnsi="宋体" w:eastAsia="宋体"/>
                <w:b w:val="0"/>
                <w:i w:val="0"/>
                <w:color w:val="000000"/>
                <w:sz w:val="18"/>
              </w:rPr>
              <w:t xml:space="preserve">无重大影响 </w:t>
            </w:r>
          </w:p>
        </w:tc>
      </w:tr>
    </w:tbl>
    <w:p>
      <w:pPr>
        <w:autoSpaceDN w:val="0"/>
        <w:autoSpaceDE w:val="0"/>
        <w:widowControl/>
        <w:spacing w:line="212" w:lineRule="exact" w:before="340" w:after="0"/>
        <w:ind w:left="112" w:right="0" w:firstLine="0"/>
        <w:jc w:val="left"/>
      </w:pPr>
      <w:r>
        <w:rPr>
          <w:rFonts w:ascii="宋体" w:hAnsi="宋体" w:eastAsia="宋体"/>
          <w:b w:val="0"/>
          <w:i w:val="0"/>
          <w:color w:val="000000"/>
          <w:sz w:val="21"/>
        </w:rPr>
        <w:t xml:space="preserve">5、与存在关联关系的财务公司的往来情况 </w:t>
      </w:r>
    </w:p>
    <w:p>
      <w:pPr>
        <w:autoSpaceDN w:val="0"/>
        <w:autoSpaceDE w:val="0"/>
        <w:widowControl/>
        <w:spacing w:line="180" w:lineRule="exact" w:before="362"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112" w:right="0" w:firstLine="0"/>
        <w:jc w:val="left"/>
      </w:pPr>
      <w:r>
        <w:rPr>
          <w:rFonts w:ascii="宋体" w:hAnsi="宋体" w:eastAsia="宋体"/>
          <w:b w:val="0"/>
          <w:i w:val="0"/>
          <w:color w:val="000000"/>
          <w:sz w:val="21"/>
        </w:rPr>
        <w:t xml:space="preserve">6、公司控股的财务公司与关联方的往来情况 </w:t>
      </w:r>
    </w:p>
    <w:p>
      <w:pPr>
        <w:autoSpaceDN w:val="0"/>
        <w:autoSpaceDE w:val="0"/>
        <w:widowControl/>
        <w:spacing w:line="180" w:lineRule="exact" w:before="362"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8" w:after="0"/>
        <w:ind w:left="112" w:right="0" w:firstLine="0"/>
        <w:jc w:val="left"/>
      </w:pPr>
      <w:r>
        <w:rPr>
          <w:rFonts w:ascii="宋体" w:hAnsi="宋体" w:eastAsia="宋体"/>
          <w:b w:val="0"/>
          <w:i w:val="0"/>
          <w:color w:val="000000"/>
          <w:sz w:val="21"/>
        </w:rPr>
        <w:t xml:space="preserve">7、其他重大关联交易 </w:t>
      </w:r>
    </w:p>
    <w:p>
      <w:pPr>
        <w:autoSpaceDN w:val="0"/>
        <w:autoSpaceDE w:val="0"/>
        <w:widowControl/>
        <w:spacing w:line="180" w:lineRule="exact" w:before="360" w:after="0"/>
        <w:ind w:left="112"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2478" w:after="0"/>
        <w:ind w:left="0" w:right="5124" w:firstLine="0"/>
        <w:jc w:val="right"/>
      </w:pPr>
      <w:r>
        <w:rPr>
          <w:rFonts w:ascii="Calibri" w:hAnsi="Calibri" w:eastAsia="Calibri"/>
          <w:b w:val="0"/>
          <w:i w:val="0"/>
          <w:color w:val="000000"/>
          <w:sz w:val="18"/>
        </w:rPr>
        <w:t xml:space="preserve">121 </w:t>
      </w:r>
    </w:p>
    <w:p>
      <w:pPr>
        <w:sectPr>
          <w:type w:val="continuous"/>
          <w:pgSz w:w="11904" w:h="16841"/>
          <w:pgMar w:top="424" w:right="652" w:bottom="446" w:left="102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24" name="Picture 124"/>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40" w:lineRule="exact" w:before="62" w:after="0"/>
        <w:ind w:left="30" w:right="0" w:firstLine="0"/>
        <w:jc w:val="left"/>
      </w:pPr>
      <w:r>
        <w:rPr>
          <w:rFonts w:ascii="宋体" w:hAnsi="宋体" w:eastAsia="宋体"/>
          <w:b w:val="0"/>
          <w:i w:val="0"/>
          <w:color w:val="000000"/>
          <w:sz w:val="24"/>
        </w:rPr>
        <w:t xml:space="preserve">十五、重大合同及其履行情况 </w:t>
      </w:r>
    </w:p>
    <w:p>
      <w:pPr>
        <w:autoSpaceDN w:val="0"/>
        <w:autoSpaceDE w:val="0"/>
        <w:widowControl/>
        <w:spacing w:line="212" w:lineRule="exact" w:before="372" w:after="0"/>
        <w:ind w:left="30" w:right="0" w:firstLine="0"/>
        <w:jc w:val="left"/>
      </w:pPr>
      <w:r>
        <w:rPr>
          <w:rFonts w:ascii="宋体" w:hAnsi="宋体" w:eastAsia="宋体"/>
          <w:b w:val="0"/>
          <w:i w:val="0"/>
          <w:color w:val="000000"/>
          <w:sz w:val="21"/>
        </w:rPr>
        <w:t xml:space="preserve">1、托管、承包、租赁事项情况 </w:t>
      </w:r>
    </w:p>
    <w:p>
      <w:pPr>
        <w:autoSpaceDN w:val="0"/>
        <w:autoSpaceDE w:val="0"/>
        <w:widowControl/>
        <w:spacing w:line="180" w:lineRule="exact" w:before="396" w:after="0"/>
        <w:ind w:left="30" w:right="0" w:firstLine="0"/>
        <w:jc w:val="left"/>
      </w:pPr>
      <w:r>
        <w:rPr>
          <w:rFonts w:ascii="宋体" w:hAnsi="宋体" w:eastAsia="宋体"/>
          <w:b w:val="0"/>
          <w:i w:val="0"/>
          <w:color w:val="000000"/>
          <w:sz w:val="18"/>
        </w:rPr>
        <w:t xml:space="preserve">（1） 托管情况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0"/>
        <w:ind w:left="30" w:right="0" w:firstLine="0"/>
        <w:jc w:val="left"/>
      </w:pPr>
      <w:r>
        <w:rPr>
          <w:rFonts w:ascii="宋体" w:hAnsi="宋体" w:eastAsia="宋体"/>
          <w:b w:val="0"/>
          <w:i w:val="0"/>
          <w:color w:val="000000"/>
          <w:sz w:val="18"/>
        </w:rPr>
        <w:t xml:space="preserve">公司报告期不存在托管情况。 </w:t>
      </w:r>
    </w:p>
    <w:p>
      <w:pPr>
        <w:autoSpaceDN w:val="0"/>
        <w:autoSpaceDE w:val="0"/>
        <w:widowControl/>
        <w:spacing w:line="180" w:lineRule="exact" w:before="396" w:after="0"/>
        <w:ind w:left="30" w:right="0" w:firstLine="0"/>
        <w:jc w:val="left"/>
      </w:pPr>
      <w:r>
        <w:rPr>
          <w:rFonts w:ascii="宋体" w:hAnsi="宋体" w:eastAsia="宋体"/>
          <w:b w:val="0"/>
          <w:i w:val="0"/>
          <w:color w:val="000000"/>
          <w:sz w:val="18"/>
        </w:rPr>
        <w:t xml:space="preserve">（2） 承包情况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58" w:after="0"/>
        <w:ind w:left="30" w:right="0" w:firstLine="0"/>
        <w:jc w:val="left"/>
      </w:pPr>
      <w:r>
        <w:rPr>
          <w:rFonts w:ascii="宋体" w:hAnsi="宋体" w:eastAsia="宋体"/>
          <w:b w:val="0"/>
          <w:i w:val="0"/>
          <w:color w:val="000000"/>
          <w:sz w:val="18"/>
        </w:rPr>
        <w:t xml:space="preserve">公司报告期不存在承包情况。 </w:t>
      </w:r>
    </w:p>
    <w:p>
      <w:pPr>
        <w:autoSpaceDN w:val="0"/>
        <w:autoSpaceDE w:val="0"/>
        <w:widowControl/>
        <w:spacing w:line="180" w:lineRule="exact" w:before="396" w:after="0"/>
        <w:ind w:left="30" w:right="0" w:firstLine="0"/>
        <w:jc w:val="left"/>
      </w:pPr>
      <w:r>
        <w:rPr>
          <w:rFonts w:ascii="宋体" w:hAnsi="宋体" w:eastAsia="宋体"/>
          <w:b w:val="0"/>
          <w:i w:val="0"/>
          <w:color w:val="000000"/>
          <w:sz w:val="18"/>
        </w:rPr>
        <w:t xml:space="preserve">（3） 租赁情况 </w:t>
      </w:r>
    </w:p>
    <w:p>
      <w:pPr>
        <w:autoSpaceDN w:val="0"/>
        <w:autoSpaceDE w:val="0"/>
        <w:widowControl/>
        <w:spacing w:line="210" w:lineRule="exact" w:before="516" w:after="0"/>
        <w:ind w:left="450" w:right="0" w:firstLine="0"/>
        <w:jc w:val="left"/>
      </w:pPr>
      <w:r>
        <w:rPr>
          <w:rFonts w:ascii="宋体" w:hAnsi="宋体" w:eastAsia="宋体"/>
          <w:b w:val="0"/>
          <w:i w:val="0"/>
          <w:color w:val="000000"/>
          <w:sz w:val="21"/>
        </w:rPr>
        <w:t>报告期内，公司不存在带来损益达到报告期利润总额10%以上的租赁项目。公司租赁其他单位资产</w:t>
      </w:r>
    </w:p>
    <w:p>
      <w:pPr>
        <w:autoSpaceDN w:val="0"/>
        <w:autoSpaceDE w:val="0"/>
        <w:widowControl/>
        <w:spacing w:line="212" w:lineRule="exact" w:before="250" w:after="0"/>
        <w:ind w:left="30" w:right="0" w:firstLine="0"/>
        <w:jc w:val="left"/>
      </w:pPr>
      <w:r>
        <w:rPr>
          <w:rFonts w:ascii="宋体" w:hAnsi="宋体" w:eastAsia="宋体"/>
          <w:b w:val="0"/>
          <w:i w:val="0"/>
          <w:color w:val="000000"/>
          <w:sz w:val="21"/>
        </w:rPr>
        <w:t>主要为公司、子公司及分支机构租赁办公场所，其他单位租赁公司资产主要为公司将部分闲置物业对外</w:t>
      </w:r>
    </w:p>
    <w:p>
      <w:pPr>
        <w:autoSpaceDN w:val="0"/>
        <w:autoSpaceDE w:val="0"/>
        <w:widowControl/>
        <w:spacing w:line="212" w:lineRule="exact" w:before="246" w:after="0"/>
        <w:ind w:left="30" w:right="0" w:firstLine="0"/>
        <w:jc w:val="left"/>
      </w:pPr>
      <w:r>
        <w:rPr>
          <w:rFonts w:ascii="宋体" w:hAnsi="宋体" w:eastAsia="宋体"/>
          <w:b w:val="0"/>
          <w:i w:val="0"/>
          <w:color w:val="000000"/>
          <w:sz w:val="21"/>
        </w:rPr>
        <w:t xml:space="preserve">出租。 </w:t>
      </w:r>
    </w:p>
    <w:p>
      <w:pPr>
        <w:autoSpaceDN w:val="0"/>
        <w:autoSpaceDE w:val="0"/>
        <w:widowControl/>
        <w:spacing w:line="180" w:lineRule="exact" w:before="538" w:after="0"/>
        <w:ind w:left="30" w:right="0" w:firstLine="0"/>
        <w:jc w:val="left"/>
      </w:pPr>
      <w:r>
        <w:rPr>
          <w:rFonts w:ascii="宋体" w:hAnsi="宋体" w:eastAsia="宋体"/>
          <w:b w:val="0"/>
          <w:i w:val="0"/>
          <w:color w:val="000000"/>
          <w:sz w:val="18"/>
        </w:rPr>
        <w:t xml:space="preserve">为公司带来的损益达到公司报告期利润总额10%以上的项目 </w:t>
      </w:r>
    </w:p>
    <w:p>
      <w:pPr>
        <w:autoSpaceDN w:val="0"/>
        <w:autoSpaceDE w:val="0"/>
        <w:widowControl/>
        <w:spacing w:line="180" w:lineRule="exact" w:before="162"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0"/>
        <w:ind w:left="30" w:right="0" w:firstLine="0"/>
        <w:jc w:val="left"/>
      </w:pPr>
      <w:r>
        <w:rPr>
          <w:rFonts w:ascii="宋体" w:hAnsi="宋体" w:eastAsia="宋体"/>
          <w:b w:val="0"/>
          <w:i w:val="0"/>
          <w:color w:val="000000"/>
          <w:sz w:val="18"/>
        </w:rPr>
        <w:t xml:space="preserve">公司报告期不存在为公司带来的损益达到公司报告期利润总额10%以上的租赁项目。 </w:t>
      </w:r>
    </w:p>
    <w:p>
      <w:pPr>
        <w:autoSpaceDN w:val="0"/>
        <w:autoSpaceDE w:val="0"/>
        <w:widowControl/>
        <w:spacing w:line="212" w:lineRule="exact" w:before="366" w:after="0"/>
        <w:ind w:left="30" w:right="0" w:firstLine="0"/>
        <w:jc w:val="left"/>
      </w:pPr>
      <w:r>
        <w:rPr>
          <w:rFonts w:ascii="宋体" w:hAnsi="宋体" w:eastAsia="宋体"/>
          <w:b w:val="0"/>
          <w:i w:val="0"/>
          <w:color w:val="000000"/>
          <w:sz w:val="21"/>
        </w:rPr>
        <w:t xml:space="preserve">2、重大担保 </w:t>
      </w:r>
    </w:p>
    <w:p>
      <w:pPr>
        <w:autoSpaceDN w:val="0"/>
        <w:autoSpaceDE w:val="0"/>
        <w:widowControl/>
        <w:spacing w:line="180" w:lineRule="exact" w:before="360"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2" w:after="0"/>
        <w:ind w:left="30" w:right="0" w:firstLine="0"/>
        <w:jc w:val="left"/>
      </w:pPr>
      <w:r>
        <w:rPr>
          <w:rFonts w:ascii="宋体" w:hAnsi="宋体" w:eastAsia="宋体"/>
          <w:b w:val="0"/>
          <w:i w:val="0"/>
          <w:color w:val="000000"/>
          <w:sz w:val="18"/>
        </w:rPr>
        <w:t xml:space="preserve">公司报告期不存在重大担保情况。 </w:t>
      </w:r>
    </w:p>
    <w:p>
      <w:pPr>
        <w:autoSpaceDN w:val="0"/>
        <w:autoSpaceDE w:val="0"/>
        <w:widowControl/>
        <w:spacing w:line="212" w:lineRule="exact" w:before="368" w:after="0"/>
        <w:ind w:left="30" w:right="0" w:firstLine="0"/>
        <w:jc w:val="left"/>
      </w:pPr>
      <w:r>
        <w:rPr>
          <w:rFonts w:ascii="宋体" w:hAnsi="宋体" w:eastAsia="宋体"/>
          <w:b w:val="0"/>
          <w:i w:val="0"/>
          <w:color w:val="000000"/>
          <w:sz w:val="21"/>
        </w:rPr>
        <w:t xml:space="preserve">3、委托他人进行现金资产管理情况 </w:t>
      </w:r>
    </w:p>
    <w:p>
      <w:pPr>
        <w:autoSpaceDN w:val="0"/>
        <w:autoSpaceDE w:val="0"/>
        <w:widowControl/>
        <w:spacing w:line="180" w:lineRule="exact" w:before="394" w:after="0"/>
        <w:ind w:left="30" w:right="0" w:firstLine="0"/>
        <w:jc w:val="left"/>
      </w:pPr>
      <w:r>
        <w:rPr>
          <w:rFonts w:ascii="宋体" w:hAnsi="宋体" w:eastAsia="宋体"/>
          <w:b w:val="0"/>
          <w:i w:val="0"/>
          <w:color w:val="000000"/>
          <w:sz w:val="18"/>
        </w:rPr>
        <w:t xml:space="preserve">（1） 委托理财情况 </w:t>
      </w:r>
    </w:p>
    <w:p>
      <w:pPr>
        <w:autoSpaceDN w:val="0"/>
        <w:autoSpaceDE w:val="0"/>
        <w:widowControl/>
        <w:spacing w:line="180" w:lineRule="exact" w:before="364"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396" w:after="0"/>
        <w:ind w:left="30" w:right="0" w:firstLine="0"/>
        <w:jc w:val="left"/>
      </w:pPr>
      <w:r>
        <w:rPr>
          <w:rFonts w:ascii="宋体" w:hAnsi="宋体" w:eastAsia="宋体"/>
          <w:b w:val="0"/>
          <w:i w:val="0"/>
          <w:color w:val="000000"/>
          <w:sz w:val="18"/>
        </w:rPr>
        <w:t xml:space="preserve">（2） 委托贷款情况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70" w:after="0"/>
        <w:ind w:left="30" w:right="0" w:firstLine="0"/>
        <w:jc w:val="left"/>
      </w:pPr>
      <w:r>
        <w:rPr>
          <w:rFonts w:ascii="宋体" w:hAnsi="宋体" w:eastAsia="宋体"/>
          <w:b w:val="0"/>
          <w:i w:val="0"/>
          <w:color w:val="000000"/>
          <w:sz w:val="21"/>
        </w:rPr>
        <w:t xml:space="preserve">4、其他重大合同 </w:t>
      </w:r>
    </w:p>
    <w:p>
      <w:pPr>
        <w:autoSpaceDN w:val="0"/>
        <w:autoSpaceDE w:val="0"/>
        <w:widowControl/>
        <w:spacing w:line="180" w:lineRule="exact" w:before="360"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1324" w:after="0"/>
        <w:ind w:left="0" w:right="0" w:firstLine="0"/>
        <w:jc w:val="center"/>
      </w:pPr>
      <w:r>
        <w:rPr>
          <w:rFonts w:ascii="Calibri" w:hAnsi="Calibri" w:eastAsia="Calibri"/>
          <w:b w:val="0"/>
          <w:i w:val="0"/>
          <w:color w:val="000000"/>
          <w:sz w:val="18"/>
        </w:rPr>
        <w:t xml:space="preserve">122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25" name="Picture 12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40" w:lineRule="exact" w:before="62" w:after="0"/>
        <w:ind w:left="30" w:right="0" w:firstLine="0"/>
        <w:jc w:val="left"/>
      </w:pPr>
      <w:r>
        <w:rPr>
          <w:rFonts w:ascii="宋体" w:hAnsi="宋体" w:eastAsia="宋体"/>
          <w:b w:val="0"/>
          <w:i w:val="0"/>
          <w:color w:val="000000"/>
          <w:sz w:val="24"/>
        </w:rPr>
        <w:t xml:space="preserve">十六、其他重大事项的说明 </w:t>
      </w:r>
    </w:p>
    <w:p>
      <w:pPr>
        <w:autoSpaceDN w:val="0"/>
        <w:autoSpaceDE w:val="0"/>
        <w:widowControl/>
        <w:spacing w:line="212" w:lineRule="exact" w:before="550" w:after="0"/>
        <w:ind w:left="452" w:right="0" w:firstLine="0"/>
        <w:jc w:val="left"/>
      </w:pPr>
      <w:r>
        <w:rPr>
          <w:rFonts w:ascii="宋体" w:hAnsi="宋体" w:eastAsia="宋体"/>
          <w:b w:val="0"/>
          <w:i w:val="0"/>
          <w:color w:val="000000"/>
          <w:sz w:val="21"/>
        </w:rPr>
        <w:t xml:space="preserve">（一）债券相关事项 </w:t>
      </w:r>
    </w:p>
    <w:p>
      <w:pPr>
        <w:autoSpaceDN w:val="0"/>
        <w:autoSpaceDE w:val="0"/>
        <w:widowControl/>
        <w:spacing w:line="210" w:lineRule="exact" w:before="288" w:after="0"/>
        <w:ind w:left="450" w:right="0" w:firstLine="0"/>
        <w:jc w:val="left"/>
      </w:pPr>
      <w:r>
        <w:rPr>
          <w:rFonts w:ascii="宋体" w:hAnsi="宋体" w:eastAsia="宋体"/>
          <w:b w:val="0"/>
          <w:i w:val="0"/>
          <w:color w:val="000000"/>
          <w:sz w:val="21"/>
        </w:rPr>
        <w:t xml:space="preserve">1、债券付息及兑付情况 </w:t>
      </w:r>
    </w:p>
    <w:p>
      <w:pPr>
        <w:autoSpaceDN w:val="0"/>
        <w:tabs>
          <w:tab w:pos="450" w:val="left"/>
        </w:tabs>
        <w:autoSpaceDE w:val="0"/>
        <w:widowControl/>
        <w:spacing w:line="460" w:lineRule="exact" w:before="24"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2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19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2021</w:t>
      </w:r>
      <w:r>
        <w:rPr>
          <w:rFonts w:ascii="宋体" w:hAnsi="宋体" w:eastAsia="宋体"/>
          <w:b w:val="0"/>
          <w:i w:val="0"/>
          <w:color w:val="000000"/>
          <w:sz w:val="21"/>
        </w:rPr>
        <w:t xml:space="preserve"> 年面向专业投资者公开发行次级债</w:t>
      </w:r>
      <w:r>
        <w:rPr>
          <w:rFonts w:ascii="宋体" w:hAnsi="宋体" w:eastAsia="宋体"/>
          <w:b w:val="0"/>
          <w:i w:val="0"/>
          <w:color w:val="000000"/>
          <w:sz w:val="21"/>
        </w:rPr>
        <w:t>券（第一期）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年兑付兑息暨摘牌工作（详见公司公告：临</w:t>
      </w:r>
      <w:r>
        <w:rPr>
          <w:rFonts w:ascii="Times New Roman" w:hAnsi="Times New Roman" w:eastAsia="Times New Roman"/>
          <w:b w:val="0"/>
          <w:i w:val="0"/>
          <w:color w:val="000000"/>
          <w:sz w:val="21"/>
        </w:rPr>
        <w:t>2024-001</w:t>
      </w:r>
      <w:r>
        <w:rPr>
          <w:rFonts w:ascii="宋体" w:hAnsi="宋体" w:eastAsia="宋体"/>
          <w:b w:val="0"/>
          <w:i w:val="0"/>
          <w:color w:val="000000"/>
          <w:sz w:val="21"/>
        </w:rPr>
        <w:t>）。</w:t>
      </w:r>
    </w:p>
    <w:p>
      <w:pPr>
        <w:autoSpaceDN w:val="0"/>
        <w:tabs>
          <w:tab w:pos="450" w:val="left"/>
        </w:tabs>
        <w:autoSpaceDE w:val="0"/>
        <w:widowControl/>
        <w:spacing w:line="460" w:lineRule="exact" w:before="0"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3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21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2022</w:t>
      </w:r>
      <w:r>
        <w:rPr>
          <w:rFonts w:ascii="宋体" w:hAnsi="宋体" w:eastAsia="宋体"/>
          <w:b w:val="0"/>
          <w:i w:val="0"/>
          <w:color w:val="000000"/>
          <w:sz w:val="21"/>
        </w:rPr>
        <w:t xml:space="preserve"> 年面向专业投资者公开发行次级债</w:t>
      </w:r>
      <w:r>
        <w:rPr>
          <w:rFonts w:ascii="宋体" w:hAnsi="宋体" w:eastAsia="宋体"/>
          <w:b w:val="0"/>
          <w:i w:val="0"/>
          <w:color w:val="000000"/>
          <w:sz w:val="21"/>
        </w:rPr>
        <w:t>券（第一期）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年付息工作（详见公司公告：临</w:t>
      </w:r>
      <w:r>
        <w:rPr>
          <w:rFonts w:ascii="Times New Roman" w:hAnsi="Times New Roman" w:eastAsia="Times New Roman"/>
          <w:b w:val="0"/>
          <w:i w:val="0"/>
          <w:color w:val="000000"/>
          <w:sz w:val="21"/>
        </w:rPr>
        <w:t>2024-002</w:t>
      </w:r>
      <w:r>
        <w:rPr>
          <w:rFonts w:ascii="宋体" w:hAnsi="宋体" w:eastAsia="宋体"/>
          <w:b w:val="0"/>
          <w:i w:val="0"/>
          <w:color w:val="000000"/>
          <w:sz w:val="21"/>
        </w:rPr>
        <w:t>）。</w:t>
      </w:r>
    </w:p>
    <w:p>
      <w:pPr>
        <w:autoSpaceDN w:val="0"/>
        <w:tabs>
          <w:tab w:pos="450" w:val="left"/>
        </w:tabs>
        <w:autoSpaceDE w:val="0"/>
        <w:widowControl/>
        <w:spacing w:line="460" w:lineRule="exact" w:before="0"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6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28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2022</w:t>
      </w:r>
      <w:r>
        <w:rPr>
          <w:rFonts w:ascii="宋体" w:hAnsi="宋体" w:eastAsia="宋体"/>
          <w:b w:val="0"/>
          <w:i w:val="0"/>
          <w:color w:val="000000"/>
          <w:sz w:val="21"/>
        </w:rPr>
        <w:t xml:space="preserve"> 年面向专业投资者公开发行公司债</w:t>
      </w:r>
      <w:r>
        <w:rPr>
          <w:rFonts w:ascii="宋体" w:hAnsi="宋体" w:eastAsia="宋体"/>
          <w:b w:val="0"/>
          <w:i w:val="0"/>
          <w:color w:val="000000"/>
          <w:sz w:val="21"/>
        </w:rPr>
        <w:t>券（第一期）（品种一）</w:t>
      </w:r>
      <w:r>
        <w:rPr>
          <w:rFonts w:ascii="Times New Roman" w:hAnsi="Times New Roman" w:eastAsia="Times New Roman"/>
          <w:b w:val="0"/>
          <w:i w:val="0"/>
          <w:color w:val="000000"/>
          <w:sz w:val="21"/>
        </w:rPr>
        <w:t>”</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年付息工作（详见公司公告：临</w:t>
      </w:r>
      <w:r>
        <w:rPr>
          <w:rFonts w:ascii="Times New Roman" w:hAnsi="Times New Roman" w:eastAsia="Times New Roman"/>
          <w:b w:val="0"/>
          <w:i w:val="0"/>
          <w:color w:val="000000"/>
          <w:sz w:val="21"/>
        </w:rPr>
        <w:t>2024-017</w:t>
      </w:r>
      <w:r>
        <w:rPr>
          <w:rFonts w:ascii="宋体" w:hAnsi="宋体" w:eastAsia="宋体"/>
          <w:b w:val="0"/>
          <w:i w:val="0"/>
          <w:color w:val="000000"/>
          <w:sz w:val="21"/>
        </w:rPr>
        <w:t>）。</w:t>
      </w:r>
    </w:p>
    <w:p>
      <w:pPr>
        <w:autoSpaceDN w:val="0"/>
        <w:tabs>
          <w:tab w:pos="450" w:val="left"/>
        </w:tabs>
        <w:autoSpaceDE w:val="0"/>
        <w:widowControl/>
        <w:spacing w:line="458" w:lineRule="exact" w:before="4"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7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15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2022</w:t>
      </w:r>
      <w:r>
        <w:rPr>
          <w:rFonts w:ascii="宋体" w:hAnsi="宋体" w:eastAsia="宋体"/>
          <w:b w:val="0"/>
          <w:i w:val="0"/>
          <w:color w:val="000000"/>
          <w:sz w:val="21"/>
        </w:rPr>
        <w:t xml:space="preserve"> 年面向专业投资者公开发行公司债</w:t>
      </w:r>
      <w:r>
        <w:rPr>
          <w:rFonts w:ascii="宋体" w:hAnsi="宋体" w:eastAsia="宋体"/>
          <w:b w:val="0"/>
          <w:i w:val="0"/>
          <w:color w:val="000000"/>
          <w:sz w:val="21"/>
        </w:rPr>
        <w:t>券（第二期）（品种一）</w:t>
      </w:r>
      <w:r>
        <w:rPr>
          <w:rFonts w:ascii="Times New Roman" w:hAnsi="Times New Roman" w:eastAsia="Times New Roman"/>
          <w:b w:val="0"/>
          <w:i w:val="0"/>
          <w:color w:val="000000"/>
          <w:sz w:val="21"/>
        </w:rPr>
        <w:t>”</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年付息工作（详见公司公告：临</w:t>
      </w:r>
      <w:r>
        <w:rPr>
          <w:rFonts w:ascii="Times New Roman" w:hAnsi="Times New Roman" w:eastAsia="Times New Roman"/>
          <w:b w:val="0"/>
          <w:i w:val="0"/>
          <w:color w:val="000000"/>
          <w:sz w:val="21"/>
        </w:rPr>
        <w:t>2024-018</w:t>
      </w:r>
      <w:r>
        <w:rPr>
          <w:rFonts w:ascii="宋体" w:hAnsi="宋体" w:eastAsia="宋体"/>
          <w:b w:val="0"/>
          <w:i w:val="0"/>
          <w:color w:val="000000"/>
          <w:sz w:val="21"/>
        </w:rPr>
        <w:t>）。</w:t>
      </w:r>
    </w:p>
    <w:p>
      <w:pPr>
        <w:autoSpaceDN w:val="0"/>
        <w:tabs>
          <w:tab w:pos="450" w:val="left"/>
        </w:tabs>
        <w:autoSpaceDE w:val="0"/>
        <w:widowControl/>
        <w:spacing w:line="460" w:lineRule="exact" w:before="0"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7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25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2022</w:t>
      </w:r>
      <w:r>
        <w:rPr>
          <w:rFonts w:ascii="宋体" w:hAnsi="宋体" w:eastAsia="宋体"/>
          <w:b w:val="0"/>
          <w:i w:val="0"/>
          <w:color w:val="000000"/>
          <w:sz w:val="21"/>
        </w:rPr>
        <w:t xml:space="preserve"> 年面向专业投资者公开发行公司债</w:t>
      </w:r>
      <w:r>
        <w:rPr>
          <w:rFonts w:ascii="宋体" w:hAnsi="宋体" w:eastAsia="宋体"/>
          <w:b w:val="0"/>
          <w:i w:val="0"/>
          <w:color w:val="000000"/>
          <w:sz w:val="21"/>
        </w:rPr>
        <w:t>券（第三期）</w:t>
      </w:r>
      <w:r>
        <w:rPr>
          <w:rFonts w:ascii="Times New Roman" w:hAnsi="Times New Roman" w:eastAsia="Times New Roman"/>
          <w:b w:val="0"/>
          <w:i w:val="0"/>
          <w:color w:val="000000"/>
          <w:sz w:val="21"/>
        </w:rPr>
        <w:t>” 2024</w:t>
      </w:r>
      <w:r>
        <w:rPr>
          <w:rFonts w:ascii="宋体" w:hAnsi="宋体" w:eastAsia="宋体"/>
          <w:b w:val="0"/>
          <w:i w:val="0"/>
          <w:color w:val="000000"/>
          <w:sz w:val="21"/>
        </w:rPr>
        <w:t xml:space="preserve"> 年付息工作（详见公司公告：临</w:t>
      </w:r>
      <w:r>
        <w:rPr>
          <w:rFonts w:ascii="Times New Roman" w:hAnsi="Times New Roman" w:eastAsia="Times New Roman"/>
          <w:b w:val="0"/>
          <w:i w:val="0"/>
          <w:color w:val="000000"/>
          <w:sz w:val="21"/>
        </w:rPr>
        <w:t>2024-019</w:t>
      </w:r>
      <w:r>
        <w:rPr>
          <w:rFonts w:ascii="宋体" w:hAnsi="宋体" w:eastAsia="宋体"/>
          <w:b w:val="0"/>
          <w:i w:val="0"/>
          <w:color w:val="000000"/>
          <w:sz w:val="21"/>
        </w:rPr>
        <w:t>）。</w:t>
      </w:r>
    </w:p>
    <w:p>
      <w:pPr>
        <w:autoSpaceDN w:val="0"/>
        <w:tabs>
          <w:tab w:pos="450" w:val="left"/>
        </w:tabs>
        <w:autoSpaceDE w:val="0"/>
        <w:widowControl/>
        <w:spacing w:line="460" w:lineRule="exact" w:before="0"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8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30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2021</w:t>
      </w:r>
      <w:r>
        <w:rPr>
          <w:rFonts w:ascii="宋体" w:hAnsi="宋体" w:eastAsia="宋体"/>
          <w:b w:val="0"/>
          <w:i w:val="0"/>
          <w:color w:val="000000"/>
          <w:sz w:val="21"/>
        </w:rPr>
        <w:t xml:space="preserve"> 年面向专业投资者公开发行次级债</w:t>
      </w:r>
      <w:r>
        <w:rPr>
          <w:rFonts w:ascii="宋体" w:hAnsi="宋体" w:eastAsia="宋体"/>
          <w:b w:val="0"/>
          <w:i w:val="0"/>
          <w:color w:val="000000"/>
          <w:sz w:val="21"/>
        </w:rPr>
        <w:t>券（第二期）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年兑付兑息暨摘牌工作（详见公司公告：临</w:t>
      </w:r>
      <w:r>
        <w:rPr>
          <w:rFonts w:ascii="Times New Roman" w:hAnsi="Times New Roman" w:eastAsia="Times New Roman"/>
          <w:b w:val="0"/>
          <w:i w:val="0"/>
          <w:color w:val="000000"/>
          <w:sz w:val="21"/>
        </w:rPr>
        <w:t>2024-023</w:t>
      </w:r>
      <w:r>
        <w:rPr>
          <w:rFonts w:ascii="宋体" w:hAnsi="宋体" w:eastAsia="宋体"/>
          <w:b w:val="0"/>
          <w:i w:val="0"/>
          <w:color w:val="000000"/>
          <w:sz w:val="21"/>
        </w:rPr>
        <w:t>）。</w:t>
      </w:r>
    </w:p>
    <w:p>
      <w:pPr>
        <w:autoSpaceDN w:val="0"/>
        <w:tabs>
          <w:tab w:pos="450" w:val="left"/>
        </w:tabs>
        <w:autoSpaceDE w:val="0"/>
        <w:widowControl/>
        <w:spacing w:line="458" w:lineRule="exact" w:before="2"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10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22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2021</w:t>
      </w:r>
      <w:r>
        <w:rPr>
          <w:rFonts w:ascii="宋体" w:hAnsi="宋体" w:eastAsia="宋体"/>
          <w:b w:val="0"/>
          <w:i w:val="0"/>
          <w:color w:val="000000"/>
          <w:sz w:val="21"/>
        </w:rPr>
        <w:t xml:space="preserve"> 年面向专业投资者公开发行公司</w:t>
      </w:r>
      <w:r>
        <w:rPr>
          <w:rFonts w:ascii="宋体" w:hAnsi="宋体" w:eastAsia="宋体"/>
          <w:b w:val="0"/>
          <w:i w:val="0"/>
          <w:color w:val="000000"/>
          <w:sz w:val="21"/>
        </w:rPr>
        <w:t>债券（第一期）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年兑付兑息暨摘牌工作（详见公司公告：临</w:t>
      </w:r>
      <w:r>
        <w:rPr>
          <w:rFonts w:ascii="Times New Roman" w:hAnsi="Times New Roman" w:eastAsia="Times New Roman"/>
          <w:b w:val="0"/>
          <w:i w:val="0"/>
          <w:color w:val="000000"/>
          <w:sz w:val="21"/>
        </w:rPr>
        <w:t>2024-029</w:t>
      </w:r>
      <w:r>
        <w:rPr>
          <w:rFonts w:ascii="宋体" w:hAnsi="宋体" w:eastAsia="宋体"/>
          <w:b w:val="0"/>
          <w:i w:val="0"/>
          <w:color w:val="000000"/>
          <w:sz w:val="21"/>
        </w:rPr>
        <w:t>）。</w:t>
      </w:r>
    </w:p>
    <w:p>
      <w:pPr>
        <w:autoSpaceDN w:val="0"/>
        <w:tabs>
          <w:tab w:pos="450" w:val="left"/>
        </w:tabs>
        <w:autoSpaceDE w:val="0"/>
        <w:widowControl/>
        <w:spacing w:line="460" w:lineRule="exact" w:before="2"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11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11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年面向专业投资者公开发行次级</w:t>
      </w:r>
      <w:r>
        <w:rPr>
          <w:rFonts w:ascii="宋体" w:hAnsi="宋体" w:eastAsia="宋体"/>
          <w:b w:val="0"/>
          <w:i w:val="0"/>
          <w:color w:val="000000"/>
          <w:sz w:val="21"/>
        </w:rPr>
        <w:t>债券（第一期）</w:t>
      </w:r>
      <w:r>
        <w:rPr>
          <w:rFonts w:ascii="Times New Roman" w:hAnsi="Times New Roman" w:eastAsia="Times New Roman"/>
          <w:b w:val="0"/>
          <w:i w:val="0"/>
          <w:color w:val="000000"/>
          <w:sz w:val="21"/>
        </w:rPr>
        <w:t>” 2024</w:t>
      </w:r>
      <w:r>
        <w:rPr>
          <w:rFonts w:ascii="宋体" w:hAnsi="宋体" w:eastAsia="宋体"/>
          <w:b w:val="0"/>
          <w:i w:val="0"/>
          <w:color w:val="000000"/>
          <w:sz w:val="21"/>
        </w:rPr>
        <w:t xml:space="preserve"> 年付息工作（详见公司公告：临</w:t>
      </w:r>
      <w:r>
        <w:rPr>
          <w:rFonts w:ascii="Times New Roman" w:hAnsi="Times New Roman" w:eastAsia="Times New Roman"/>
          <w:b w:val="0"/>
          <w:i w:val="0"/>
          <w:color w:val="000000"/>
          <w:sz w:val="21"/>
        </w:rPr>
        <w:t>2024-035</w:t>
      </w:r>
      <w:r>
        <w:rPr>
          <w:rFonts w:ascii="宋体" w:hAnsi="宋体" w:eastAsia="宋体"/>
          <w:b w:val="0"/>
          <w:i w:val="0"/>
          <w:color w:val="000000"/>
          <w:sz w:val="21"/>
        </w:rPr>
        <w:t>）。</w:t>
      </w:r>
    </w:p>
    <w:p>
      <w:pPr>
        <w:autoSpaceDN w:val="0"/>
        <w:tabs>
          <w:tab w:pos="450" w:val="left"/>
        </w:tabs>
        <w:autoSpaceDE w:val="0"/>
        <w:widowControl/>
        <w:spacing w:line="460" w:lineRule="exact" w:before="0"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11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19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2021</w:t>
      </w:r>
      <w:r>
        <w:rPr>
          <w:rFonts w:ascii="宋体" w:hAnsi="宋体" w:eastAsia="宋体"/>
          <w:b w:val="0"/>
          <w:i w:val="0"/>
          <w:color w:val="000000"/>
          <w:sz w:val="21"/>
        </w:rPr>
        <w:t xml:space="preserve"> 年面向专业投资者公开发行公司</w:t>
      </w:r>
      <w:r>
        <w:rPr>
          <w:rFonts w:ascii="宋体" w:hAnsi="宋体" w:eastAsia="宋体"/>
          <w:b w:val="0"/>
          <w:i w:val="0"/>
          <w:color w:val="000000"/>
          <w:sz w:val="21"/>
        </w:rPr>
        <w:t>债券（第二期）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年兑付兑息暨摘牌工作（详见公司公告：临</w:t>
      </w:r>
      <w:r>
        <w:rPr>
          <w:rFonts w:ascii="Times New Roman" w:hAnsi="Times New Roman" w:eastAsia="Times New Roman"/>
          <w:b w:val="0"/>
          <w:i w:val="0"/>
          <w:color w:val="000000"/>
          <w:sz w:val="21"/>
        </w:rPr>
        <w:t>2024-036</w:t>
      </w:r>
      <w:r>
        <w:rPr>
          <w:rFonts w:ascii="宋体" w:hAnsi="宋体" w:eastAsia="宋体"/>
          <w:b w:val="0"/>
          <w:i w:val="0"/>
          <w:color w:val="000000"/>
          <w:sz w:val="21"/>
        </w:rPr>
        <w:t>）。</w:t>
      </w:r>
    </w:p>
    <w:p>
      <w:pPr>
        <w:autoSpaceDN w:val="0"/>
        <w:tabs>
          <w:tab w:pos="450" w:val="left"/>
        </w:tabs>
        <w:autoSpaceDE w:val="0"/>
        <w:widowControl/>
        <w:spacing w:line="458" w:lineRule="exact" w:before="2" w:after="0"/>
        <w:ind w:left="30" w:right="288" w:firstLine="0"/>
        <w:jc w:val="left"/>
      </w:pP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12 </w:t>
      </w:r>
      <w:r>
        <w:rPr>
          <w:rFonts w:ascii="宋体" w:hAnsi="宋体" w:eastAsia="宋体"/>
          <w:b w:val="0"/>
          <w:i w:val="0"/>
          <w:color w:val="000000"/>
          <w:sz w:val="21"/>
        </w:rPr>
        <w:t>月</w:t>
      </w:r>
      <w:r>
        <w:rPr>
          <w:rFonts w:ascii="Times New Roman" w:hAnsi="Times New Roman" w:eastAsia="Times New Roman"/>
          <w:b w:val="0"/>
          <w:i w:val="0"/>
          <w:color w:val="000000"/>
          <w:sz w:val="21"/>
        </w:rPr>
        <w:t xml:space="preserve"> 24 </w:t>
      </w:r>
      <w:r>
        <w:rPr>
          <w:rFonts w:ascii="宋体" w:hAnsi="宋体" w:eastAsia="宋体"/>
          <w:b w:val="0"/>
          <w:i w:val="0"/>
          <w:color w:val="000000"/>
          <w:sz w:val="21"/>
        </w:rPr>
        <w:t>日，公司按期完成</w:t>
      </w:r>
      <w:r>
        <w:rPr>
          <w:rFonts w:ascii="Times New Roman" w:hAnsi="Times New Roman" w:eastAsia="Times New Roman"/>
          <w:b w:val="0"/>
          <w:i w:val="0"/>
          <w:color w:val="000000"/>
          <w:sz w:val="21"/>
        </w:rPr>
        <w:t>“</w:t>
      </w:r>
      <w:r>
        <w:rPr>
          <w:rFonts w:ascii="宋体" w:hAnsi="宋体" w:eastAsia="宋体"/>
          <w:b w:val="0"/>
          <w:i w:val="0"/>
          <w:color w:val="000000"/>
          <w:sz w:val="21"/>
        </w:rPr>
        <w:t>山西证券股份有限公司</w:t>
      </w:r>
      <w:r>
        <w:rPr>
          <w:rFonts w:ascii="Times New Roman" w:hAnsi="Times New Roman" w:eastAsia="Times New Roman"/>
          <w:b w:val="0"/>
          <w:i w:val="0"/>
          <w:color w:val="000000"/>
          <w:sz w:val="21"/>
        </w:rPr>
        <w:t>2021</w:t>
      </w:r>
      <w:r>
        <w:rPr>
          <w:rFonts w:ascii="宋体" w:hAnsi="宋体" w:eastAsia="宋体"/>
          <w:b w:val="0"/>
          <w:i w:val="0"/>
          <w:color w:val="000000"/>
          <w:sz w:val="21"/>
        </w:rPr>
        <w:t xml:space="preserve"> 年面向专业投资者公开发行次级</w:t>
      </w:r>
      <w:r>
        <w:rPr>
          <w:rFonts w:ascii="宋体" w:hAnsi="宋体" w:eastAsia="宋体"/>
          <w:b w:val="0"/>
          <w:i w:val="0"/>
          <w:color w:val="000000"/>
          <w:sz w:val="21"/>
        </w:rPr>
        <w:t>债券（第三期）</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年兑付兑息暨摘牌工作（详见公司公告：临</w:t>
      </w:r>
      <w:r>
        <w:rPr>
          <w:rFonts w:ascii="Times New Roman" w:hAnsi="Times New Roman" w:eastAsia="Times New Roman"/>
          <w:b w:val="0"/>
          <w:i w:val="0"/>
          <w:color w:val="000000"/>
          <w:sz w:val="21"/>
        </w:rPr>
        <w:t>2024-039</w:t>
      </w:r>
      <w:r>
        <w:rPr>
          <w:rFonts w:ascii="宋体" w:hAnsi="宋体" w:eastAsia="宋体"/>
          <w:b w:val="0"/>
          <w:i w:val="0"/>
          <w:color w:val="000000"/>
          <w:sz w:val="21"/>
        </w:rPr>
        <w:t>）。</w:t>
      </w:r>
    </w:p>
    <w:p>
      <w:pPr>
        <w:autoSpaceDN w:val="0"/>
        <w:tabs>
          <w:tab w:pos="450" w:val="left"/>
        </w:tabs>
        <w:autoSpaceDE w:val="0"/>
        <w:widowControl/>
        <w:spacing w:line="462" w:lineRule="exact" w:before="0" w:after="0"/>
        <w:ind w:left="30" w:right="288" w:firstLine="0"/>
        <w:jc w:val="left"/>
      </w:pPr>
      <w:r>
        <w:tab/>
      </w:r>
      <w:r>
        <w:rPr>
          <w:rFonts w:ascii="Times New Roman" w:hAnsi="Times New Roman" w:eastAsia="Times New Roman"/>
          <w:b w:val="0"/>
          <w:i w:val="0"/>
          <w:color w:val="000000"/>
          <w:sz w:val="21"/>
        </w:rPr>
        <w:t>2</w:t>
      </w:r>
      <w:r>
        <w:rPr>
          <w:rFonts w:ascii="宋体" w:hAnsi="宋体" w:eastAsia="宋体"/>
          <w:b w:val="0"/>
          <w:i w:val="0"/>
          <w:color w:val="000000"/>
          <w:sz w:val="21"/>
        </w:rPr>
        <w:t>、发行债券批复相关情况</w:t>
      </w:r>
      <w:r>
        <w:br/>
      </w:r>
      <w:r>
        <w:tab/>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 xml:space="preserve"> 5 </w:t>
      </w:r>
      <w:r>
        <w:rPr>
          <w:rFonts w:ascii="宋体" w:hAnsi="宋体" w:eastAsia="宋体"/>
          <w:b w:val="0"/>
          <w:i w:val="0"/>
          <w:color w:val="000000"/>
          <w:sz w:val="21"/>
        </w:rPr>
        <w:t>月</w:t>
      </w:r>
      <w:r>
        <w:rPr>
          <w:rFonts w:ascii="Times New Roman" w:hAnsi="Times New Roman" w:eastAsia="Times New Roman"/>
          <w:b w:val="0"/>
          <w:i w:val="0"/>
          <w:color w:val="000000"/>
          <w:sz w:val="21"/>
        </w:rPr>
        <w:t>10</w:t>
      </w:r>
      <w:r>
        <w:rPr>
          <w:rFonts w:ascii="宋体" w:hAnsi="宋体" w:eastAsia="宋体"/>
          <w:b w:val="0"/>
          <w:i w:val="0"/>
          <w:color w:val="000000"/>
          <w:sz w:val="21"/>
        </w:rPr>
        <w:t xml:space="preserve"> 日，公司收到中国证监会《关于同意山西证券股份有限公司向专业投资者公开发行</w:t>
      </w:r>
      <w:r>
        <w:rPr>
          <w:rFonts w:ascii="宋体" w:hAnsi="宋体" w:eastAsia="宋体"/>
          <w:b w:val="0"/>
          <w:i w:val="0"/>
          <w:color w:val="000000"/>
          <w:sz w:val="21"/>
        </w:rPr>
        <w:t>公司债券注册的批复》（证监许可【</w:t>
      </w:r>
      <w:r>
        <w:rPr>
          <w:rFonts w:ascii="Times New Roman" w:hAnsi="Times New Roman" w:eastAsia="Times New Roman"/>
          <w:b w:val="0"/>
          <w:i w:val="0"/>
          <w:color w:val="000000"/>
          <w:sz w:val="21"/>
        </w:rPr>
        <w:t>2024</w:t>
      </w:r>
      <w:r>
        <w:rPr>
          <w:rFonts w:ascii="宋体" w:hAnsi="宋体" w:eastAsia="宋体"/>
          <w:b w:val="0"/>
          <w:i w:val="0"/>
          <w:color w:val="000000"/>
          <w:sz w:val="21"/>
        </w:rPr>
        <w:t>】</w:t>
      </w:r>
      <w:r>
        <w:rPr>
          <w:rFonts w:ascii="Times New Roman" w:hAnsi="Times New Roman" w:eastAsia="Times New Roman"/>
          <w:b w:val="0"/>
          <w:i w:val="0"/>
          <w:color w:val="000000"/>
          <w:sz w:val="21"/>
        </w:rPr>
        <w:t xml:space="preserve">668 </w:t>
      </w:r>
      <w:r>
        <w:rPr>
          <w:rFonts w:ascii="宋体" w:hAnsi="宋体" w:eastAsia="宋体"/>
          <w:b w:val="0"/>
          <w:i w:val="0"/>
          <w:color w:val="000000"/>
          <w:sz w:val="21"/>
        </w:rPr>
        <w:t>号）（详见公司公告：临</w:t>
      </w:r>
      <w:r>
        <w:rPr>
          <w:rFonts w:ascii="Calibri" w:hAnsi="Calibri" w:eastAsia="Calibri"/>
          <w:b w:val="0"/>
          <w:i w:val="0"/>
          <w:color w:val="000000"/>
          <w:sz w:val="21"/>
        </w:rPr>
        <w:t>2024-014</w:t>
      </w:r>
      <w:r>
        <w:rPr>
          <w:rFonts w:ascii="宋体" w:hAnsi="宋体" w:eastAsia="宋体"/>
          <w:b w:val="0"/>
          <w:i w:val="0"/>
          <w:color w:val="000000"/>
          <w:sz w:val="21"/>
        </w:rPr>
        <w:t>）。</w:t>
      </w:r>
    </w:p>
    <w:p>
      <w:pPr>
        <w:autoSpaceDN w:val="0"/>
        <w:autoSpaceDE w:val="0"/>
        <w:widowControl/>
        <w:spacing w:line="212" w:lineRule="exact" w:before="260" w:after="0"/>
        <w:ind w:left="450" w:right="0" w:firstLine="0"/>
        <w:jc w:val="left"/>
      </w:pPr>
      <w:r>
        <w:rPr>
          <w:rFonts w:ascii="宋体" w:hAnsi="宋体" w:eastAsia="宋体"/>
          <w:b w:val="0"/>
          <w:i w:val="0"/>
          <w:color w:val="000000"/>
          <w:sz w:val="21"/>
        </w:rPr>
        <w:t xml:space="preserve">3、债券发行情况 </w:t>
      </w:r>
    </w:p>
    <w:p>
      <w:pPr>
        <w:autoSpaceDN w:val="0"/>
        <w:autoSpaceDE w:val="0"/>
        <w:widowControl/>
        <w:spacing w:line="210" w:lineRule="exact" w:before="288" w:after="0"/>
        <w:ind w:left="450" w:right="0" w:firstLine="0"/>
        <w:jc w:val="left"/>
      </w:pPr>
      <w:r>
        <w:rPr>
          <w:rFonts w:ascii="宋体" w:hAnsi="宋体" w:eastAsia="宋体"/>
          <w:b w:val="0"/>
          <w:i w:val="0"/>
          <w:color w:val="000000"/>
          <w:sz w:val="21"/>
        </w:rPr>
        <w:t>2024 年6 月24 日，公司完成“山西证券股份有限公司2024 年面向专业投资者公开发行公司债券</w:t>
      </w:r>
    </w:p>
    <w:p>
      <w:pPr>
        <w:autoSpaceDN w:val="0"/>
        <w:autoSpaceDE w:val="0"/>
        <w:widowControl/>
        <w:spacing w:line="210" w:lineRule="exact" w:before="292" w:after="0"/>
        <w:ind w:left="30" w:right="0" w:firstLine="0"/>
        <w:jc w:val="left"/>
      </w:pPr>
      <w:r>
        <w:rPr>
          <w:rFonts w:ascii="宋体" w:hAnsi="宋体" w:eastAsia="宋体"/>
          <w:b w:val="0"/>
          <w:i w:val="0"/>
          <w:color w:val="000000"/>
          <w:sz w:val="21"/>
        </w:rPr>
        <w:t>（第一期）”的发行，债券发行期限为3 年期，实际发行规模为18 亿元，票面利率为2.19 %。该债券</w:t>
      </w:r>
    </w:p>
    <w:p>
      <w:pPr>
        <w:autoSpaceDN w:val="0"/>
        <w:autoSpaceDE w:val="0"/>
        <w:widowControl/>
        <w:spacing w:line="197" w:lineRule="auto" w:before="508" w:after="0"/>
        <w:ind w:left="0" w:right="0" w:firstLine="0"/>
        <w:jc w:val="center"/>
      </w:pPr>
      <w:r>
        <w:rPr>
          <w:rFonts w:ascii="Calibri" w:hAnsi="Calibri" w:eastAsia="Calibri"/>
          <w:b w:val="0"/>
          <w:i w:val="0"/>
          <w:color w:val="000000"/>
          <w:sz w:val="18"/>
        </w:rPr>
        <w:t xml:space="preserve">123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26" name="Picture 12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472" w:lineRule="exact" w:before="0" w:after="0"/>
        <w:ind w:left="30" w:right="144" w:firstLine="0"/>
        <w:jc w:val="left"/>
      </w:pPr>
      <w:r>
        <w:rPr>
          <w:rFonts w:ascii="宋体" w:hAnsi="宋体" w:eastAsia="宋体"/>
          <w:b w:val="0"/>
          <w:i w:val="0"/>
          <w:color w:val="000000"/>
          <w:sz w:val="21"/>
        </w:rPr>
        <w:t>于2024 年6 月28 日起在深圳证券交易所上市，并面向专业投资者中的机构投资者交易，交易方式包括</w:t>
      </w:r>
      <w:r>
        <w:rPr>
          <w:rFonts w:ascii="宋体" w:hAnsi="宋体" w:eastAsia="宋体"/>
          <w:b w:val="0"/>
          <w:i w:val="0"/>
          <w:color w:val="000000"/>
          <w:sz w:val="21"/>
        </w:rPr>
        <w:t xml:space="preserve">匹配成交、点击成交、询价成交、竞买成交和协商成交。 </w:t>
      </w:r>
    </w:p>
    <w:p>
      <w:pPr>
        <w:autoSpaceDN w:val="0"/>
        <w:autoSpaceDE w:val="0"/>
        <w:widowControl/>
        <w:spacing w:line="500" w:lineRule="exact" w:before="0" w:after="0"/>
        <w:ind w:left="30" w:right="144" w:firstLine="420"/>
        <w:jc w:val="left"/>
      </w:pPr>
      <w:r>
        <w:rPr>
          <w:rFonts w:ascii="宋体" w:hAnsi="宋体" w:eastAsia="宋体"/>
          <w:b w:val="0"/>
          <w:i w:val="0"/>
          <w:color w:val="000000"/>
          <w:sz w:val="21"/>
        </w:rPr>
        <w:t>2024 年7 月22 日，公司完成“山西证券股份有限公司2024 年面向专业投资者公开发行公司债券</w:t>
      </w:r>
      <w:r>
        <w:rPr>
          <w:rFonts w:ascii="宋体" w:hAnsi="宋体" w:eastAsia="宋体"/>
          <w:b w:val="0"/>
          <w:i w:val="0"/>
          <w:color w:val="000000"/>
          <w:sz w:val="21"/>
        </w:rPr>
        <w:t>（第二期）” 的发行，债券发行期限为3 年期，实际发行规模为17 亿元，票面利率为2.14 %。该债券</w:t>
      </w:r>
      <w:r>
        <w:rPr>
          <w:rFonts w:ascii="宋体" w:hAnsi="宋体" w:eastAsia="宋体"/>
          <w:b w:val="0"/>
          <w:i w:val="0"/>
          <w:color w:val="000000"/>
          <w:sz w:val="21"/>
        </w:rPr>
        <w:t>于2024 年7 月29 日起在深圳证券交易所上市，并面向专业投资者中的机构投资者交易，交易方式包括</w:t>
      </w:r>
      <w:r>
        <w:rPr>
          <w:rFonts w:ascii="宋体" w:hAnsi="宋体" w:eastAsia="宋体"/>
          <w:b w:val="0"/>
          <w:i w:val="0"/>
          <w:color w:val="000000"/>
          <w:sz w:val="21"/>
        </w:rPr>
        <w:t xml:space="preserve">匹配成交、点击成交、询价成交、竞买成交和协商成交。 </w:t>
      </w:r>
    </w:p>
    <w:p>
      <w:pPr>
        <w:autoSpaceDN w:val="0"/>
        <w:autoSpaceDE w:val="0"/>
        <w:widowControl/>
        <w:spacing w:line="500" w:lineRule="exact" w:before="4" w:after="0"/>
        <w:ind w:left="30" w:right="282" w:firstLine="420"/>
        <w:jc w:val="both"/>
      </w:pPr>
      <w:r>
        <w:rPr>
          <w:rFonts w:ascii="宋体" w:hAnsi="宋体" w:eastAsia="宋体"/>
          <w:b w:val="0"/>
          <w:i w:val="0"/>
          <w:color w:val="000000"/>
          <w:sz w:val="21"/>
        </w:rPr>
        <w:t>2024 年10 月17 日，公司完成“山西证券股份有限公司2024 年面向专业投资者公开发行公司债券</w:t>
      </w:r>
      <w:r>
        <w:rPr>
          <w:rFonts w:ascii="宋体" w:hAnsi="宋体" w:eastAsia="宋体"/>
          <w:b w:val="0"/>
          <w:i w:val="0"/>
          <w:color w:val="000000"/>
          <w:sz w:val="21"/>
        </w:rPr>
        <w:t>（第三期）” 的发行，债券发行期限为3 年期，实际发行规模为18 亿元，票面利率为2.25 %。该债券</w:t>
      </w:r>
      <w:r>
        <w:rPr>
          <w:rFonts w:ascii="宋体" w:hAnsi="宋体" w:eastAsia="宋体"/>
          <w:b w:val="0"/>
          <w:i w:val="0"/>
          <w:color w:val="000000"/>
          <w:sz w:val="21"/>
        </w:rPr>
        <w:t>于 2024 年10 月24 日起在深圳证券交易所上市，并面向专业投资者中的机构投资者交易，交易方式包</w:t>
      </w:r>
      <w:r>
        <w:rPr>
          <w:rFonts w:ascii="宋体" w:hAnsi="宋体" w:eastAsia="宋体"/>
          <w:b w:val="0"/>
          <w:i w:val="0"/>
          <w:color w:val="000000"/>
          <w:sz w:val="21"/>
        </w:rPr>
        <w:t xml:space="preserve">括匹配成交、点击成交、询价成交、竞买成交和协商成交。 </w:t>
      </w:r>
    </w:p>
    <w:p>
      <w:pPr>
        <w:autoSpaceDN w:val="0"/>
        <w:autoSpaceDE w:val="0"/>
        <w:widowControl/>
        <w:spacing w:line="500" w:lineRule="exact" w:before="0" w:after="0"/>
        <w:ind w:left="30" w:right="144" w:firstLine="420"/>
        <w:jc w:val="left"/>
      </w:pPr>
      <w:r>
        <w:rPr>
          <w:rFonts w:ascii="宋体" w:hAnsi="宋体" w:eastAsia="宋体"/>
          <w:b w:val="0"/>
          <w:i w:val="0"/>
          <w:color w:val="000000"/>
          <w:sz w:val="21"/>
        </w:rPr>
        <w:t>2024 年12 月5 日，公司完成“山西证券股份有限公司2024 年面向专业投资者公开发行公司债券</w:t>
      </w:r>
      <w:r>
        <w:rPr>
          <w:rFonts w:ascii="宋体" w:hAnsi="宋体" w:eastAsia="宋体"/>
          <w:b w:val="0"/>
          <w:i w:val="0"/>
          <w:color w:val="000000"/>
          <w:sz w:val="21"/>
        </w:rPr>
        <w:t>（第四期）” 的发行，债券发行期限为3 年期，实际发行规模为7 亿元，票面利率为2.03 %。该债券</w:t>
      </w:r>
      <w:r>
        <w:rPr>
          <w:rFonts w:ascii="宋体" w:hAnsi="宋体" w:eastAsia="宋体"/>
          <w:b w:val="0"/>
          <w:i w:val="0"/>
          <w:color w:val="000000"/>
          <w:sz w:val="21"/>
        </w:rPr>
        <w:t>于2024 年12 月 11 日起在深圳证券交易所上市，并面向专业投资者中的机构投资者交易，交易方式包</w:t>
      </w:r>
      <w:r>
        <w:rPr>
          <w:rFonts w:ascii="宋体" w:hAnsi="宋体" w:eastAsia="宋体"/>
          <w:b w:val="0"/>
          <w:i w:val="0"/>
          <w:color w:val="000000"/>
          <w:sz w:val="21"/>
        </w:rPr>
        <w:t xml:space="preserve">括匹配成交、点击成交、询价成交、竞买成交和协商成交。 </w:t>
      </w:r>
    </w:p>
    <w:p>
      <w:pPr>
        <w:autoSpaceDN w:val="0"/>
        <w:tabs>
          <w:tab w:pos="450" w:val="left"/>
          <w:tab w:pos="452" w:val="left"/>
        </w:tabs>
        <w:autoSpaceDE w:val="0"/>
        <w:widowControl/>
        <w:spacing w:line="504" w:lineRule="exact" w:before="0" w:after="0"/>
        <w:ind w:left="30" w:right="144" w:firstLine="0"/>
        <w:jc w:val="left"/>
      </w:pPr>
      <w:r>
        <w:tab/>
      </w:r>
      <w:r>
        <w:rPr>
          <w:rFonts w:ascii="宋体" w:hAnsi="宋体" w:eastAsia="宋体"/>
          <w:b w:val="0"/>
          <w:i w:val="0"/>
          <w:color w:val="000000"/>
          <w:sz w:val="21"/>
        </w:rPr>
        <w:t xml:space="preserve">（二）权益分派相关事项 </w:t>
      </w:r>
      <w:r>
        <w:br/>
      </w:r>
      <w:r>
        <w:tab/>
      </w:r>
      <w:r>
        <w:rPr>
          <w:rFonts w:ascii="宋体" w:hAnsi="宋体" w:eastAsia="宋体"/>
          <w:b w:val="0"/>
          <w:i w:val="0"/>
          <w:color w:val="000000"/>
          <w:sz w:val="21"/>
        </w:rPr>
        <w:t>报告期内，公司根据《公司法》《关于进一步落实上市公司现金分红有关事项的通知》《上市公司</w:t>
      </w:r>
      <w:r>
        <w:rPr>
          <w:rFonts w:ascii="宋体" w:hAnsi="宋体" w:eastAsia="宋体"/>
          <w:b w:val="0"/>
          <w:i w:val="0"/>
          <w:color w:val="000000"/>
          <w:sz w:val="21"/>
        </w:rPr>
        <w:t>监管指引第</w:t>
      </w:r>
      <w:r>
        <w:rPr>
          <w:rFonts w:ascii="Times New Roman" w:hAnsi="Times New Roman" w:eastAsia="Times New Roman"/>
          <w:b w:val="0"/>
          <w:i w:val="0"/>
          <w:color w:val="000000"/>
          <w:sz w:val="21"/>
        </w:rPr>
        <w:t>3</w:t>
      </w:r>
      <w:r>
        <w:rPr>
          <w:rFonts w:ascii="宋体" w:hAnsi="宋体" w:eastAsia="宋体"/>
          <w:b w:val="0"/>
          <w:i w:val="0"/>
          <w:color w:val="000000"/>
          <w:sz w:val="21"/>
        </w:rPr>
        <w:t xml:space="preserve"> 号——上市公司现金分红》及《公司章程》等的规定，制定《股东分红回报规划（</w:t>
      </w:r>
      <w:r>
        <w:rPr>
          <w:rFonts w:ascii="Times New Roman" w:hAnsi="Times New Roman" w:eastAsia="Times New Roman"/>
          <w:b w:val="0"/>
          <w:i w:val="0"/>
          <w:color w:val="000000"/>
          <w:sz w:val="21"/>
        </w:rPr>
        <w:t>2024-</w:t>
      </w:r>
      <w:r>
        <w:rPr>
          <w:rFonts w:ascii="Times New Roman" w:hAnsi="Times New Roman" w:eastAsia="Times New Roman"/>
          <w:b w:val="0"/>
          <w:i w:val="0"/>
          <w:color w:val="000000"/>
          <w:sz w:val="21"/>
        </w:rPr>
        <w:t>2026</w:t>
      </w:r>
      <w:r>
        <w:rPr>
          <w:rFonts w:ascii="宋体" w:hAnsi="宋体" w:eastAsia="宋体"/>
          <w:b w:val="0"/>
          <w:i w:val="0"/>
          <w:color w:val="000000"/>
          <w:sz w:val="21"/>
        </w:rPr>
        <w:t xml:space="preserve"> 年）》（详见公告：《股东分红回报规划（</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-2026</w:t>
      </w:r>
      <w:r>
        <w:rPr>
          <w:rFonts w:ascii="宋体" w:hAnsi="宋体" w:eastAsia="宋体"/>
          <w:b w:val="0"/>
          <w:i w:val="0"/>
          <w:color w:val="000000"/>
          <w:sz w:val="21"/>
        </w:rPr>
        <w:t xml:space="preserve"> 年）》）。 </w:t>
      </w:r>
    </w:p>
    <w:p>
      <w:pPr>
        <w:autoSpaceDN w:val="0"/>
        <w:autoSpaceDE w:val="0"/>
        <w:widowControl/>
        <w:spacing w:line="460" w:lineRule="exact" w:before="8" w:after="0"/>
        <w:ind w:left="30" w:right="232" w:firstLine="420"/>
        <w:jc w:val="both"/>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5</w:t>
      </w:r>
      <w:r>
        <w:rPr>
          <w:rFonts w:ascii="宋体" w:hAnsi="宋体" w:eastAsia="宋体"/>
          <w:b w:val="0"/>
          <w:i w:val="0"/>
          <w:color w:val="000000"/>
          <w:sz w:val="21"/>
        </w:rPr>
        <w:t xml:space="preserve"> 月，公司</w:t>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年度股东大会审议通过了《公司</w:t>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年度利润分配方案》，具体为：以</w:t>
      </w:r>
      <w:r>
        <w:rPr>
          <w:rFonts w:ascii="Times New Roman" w:hAnsi="Times New Roman" w:eastAsia="Times New Roman"/>
          <w:b w:val="0"/>
          <w:i w:val="0"/>
          <w:color w:val="000000"/>
          <w:sz w:val="21"/>
        </w:rPr>
        <w:t>2023</w:t>
      </w:r>
      <w:r>
        <w:rPr>
          <w:rFonts w:ascii="宋体" w:hAnsi="宋体" w:eastAsia="宋体"/>
          <w:b w:val="0"/>
          <w:i w:val="0"/>
          <w:color w:val="000000"/>
          <w:sz w:val="21"/>
        </w:rPr>
        <w:t xml:space="preserve"> 年末总股本</w:t>
      </w:r>
      <w:r>
        <w:rPr>
          <w:rFonts w:ascii="Times New Roman" w:hAnsi="Times New Roman" w:eastAsia="Times New Roman"/>
          <w:b w:val="0"/>
          <w:i w:val="0"/>
          <w:color w:val="000000"/>
          <w:sz w:val="21"/>
        </w:rPr>
        <w:t>3,589,771,547</w:t>
      </w:r>
      <w:r>
        <w:rPr>
          <w:rFonts w:ascii="宋体" w:hAnsi="宋体" w:eastAsia="宋体"/>
          <w:b w:val="0"/>
          <w:i w:val="0"/>
          <w:color w:val="000000"/>
          <w:sz w:val="21"/>
        </w:rPr>
        <w:t xml:space="preserve"> 股为基数，向全体股东每</w:t>
      </w:r>
      <w:r>
        <w:rPr>
          <w:rFonts w:ascii="Times New Roman" w:hAnsi="Times New Roman" w:eastAsia="Times New Roman"/>
          <w:b w:val="0"/>
          <w:i w:val="0"/>
          <w:color w:val="000000"/>
          <w:sz w:val="21"/>
        </w:rPr>
        <w:t xml:space="preserve"> 10 </w:t>
      </w:r>
      <w:r>
        <w:rPr>
          <w:rFonts w:ascii="宋体" w:hAnsi="宋体" w:eastAsia="宋体"/>
          <w:b w:val="0"/>
          <w:i w:val="0"/>
          <w:color w:val="000000"/>
          <w:sz w:val="21"/>
        </w:rPr>
        <w:t>股派发现金红利</w:t>
      </w:r>
      <w:r>
        <w:rPr>
          <w:rFonts w:ascii="Times New Roman" w:hAnsi="Times New Roman" w:eastAsia="Times New Roman"/>
          <w:b w:val="0"/>
          <w:i w:val="0"/>
          <w:color w:val="000000"/>
          <w:sz w:val="21"/>
        </w:rPr>
        <w:t xml:space="preserve"> 0.9 </w:t>
      </w:r>
      <w:r>
        <w:rPr>
          <w:rFonts w:ascii="宋体" w:hAnsi="宋体" w:eastAsia="宋体"/>
          <w:b w:val="0"/>
          <w:i w:val="0"/>
          <w:color w:val="000000"/>
          <w:sz w:val="21"/>
        </w:rPr>
        <w:t>元（含税），共派发现</w:t>
      </w:r>
      <w:r>
        <w:rPr>
          <w:rFonts w:ascii="宋体" w:hAnsi="宋体" w:eastAsia="宋体"/>
          <w:b w:val="0"/>
          <w:i w:val="0"/>
          <w:color w:val="000000"/>
          <w:sz w:val="21"/>
        </w:rPr>
        <w:t>金红利</w:t>
      </w:r>
      <w:r>
        <w:rPr>
          <w:rFonts w:ascii="Times New Roman" w:hAnsi="Times New Roman" w:eastAsia="Times New Roman"/>
          <w:b w:val="0"/>
          <w:i w:val="0"/>
          <w:color w:val="000000"/>
          <w:sz w:val="21"/>
        </w:rPr>
        <w:t>323,079,439</w:t>
      </w:r>
      <w:r>
        <w:rPr>
          <w:rFonts w:ascii="宋体" w:hAnsi="宋体" w:eastAsia="宋体"/>
          <w:b w:val="0"/>
          <w:i w:val="0"/>
          <w:color w:val="000000"/>
          <w:sz w:val="21"/>
        </w:rPr>
        <w:t xml:space="preserve"> 元（含税）,不送红股，不以公积金转增股本。</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6</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 xml:space="preserve">28 </w:t>
      </w:r>
      <w:r>
        <w:rPr>
          <w:rFonts w:ascii="宋体" w:hAnsi="宋体" w:eastAsia="宋体"/>
          <w:b w:val="0"/>
          <w:i w:val="0"/>
          <w:color w:val="000000"/>
          <w:sz w:val="21"/>
        </w:rPr>
        <w:t>日，公司完成</w:t>
      </w:r>
      <w:r>
        <w:rPr>
          <w:rFonts w:ascii="Times New Roman" w:hAnsi="Times New Roman" w:eastAsia="Times New Roman"/>
          <w:b w:val="0"/>
          <w:i w:val="0"/>
          <w:color w:val="000000"/>
          <w:sz w:val="21"/>
        </w:rPr>
        <w:t>2023</w:t>
      </w:r>
      <w:r>
        <w:rPr>
          <w:rFonts w:ascii="宋体" w:hAnsi="宋体" w:eastAsia="宋体"/>
          <w:b w:val="0"/>
          <w:i w:val="0"/>
          <w:color w:val="000000"/>
          <w:sz w:val="21"/>
        </w:rPr>
        <w:t>年度权益分派事项（详见公司公告：临</w:t>
      </w:r>
      <w:r>
        <w:rPr>
          <w:rFonts w:ascii="Times New Roman" w:hAnsi="Times New Roman" w:eastAsia="Times New Roman"/>
          <w:b w:val="0"/>
          <w:i w:val="0"/>
          <w:color w:val="000000"/>
          <w:sz w:val="21"/>
        </w:rPr>
        <w:t>2024-016</w:t>
      </w:r>
      <w:r>
        <w:rPr>
          <w:rFonts w:ascii="宋体" w:hAnsi="宋体" w:eastAsia="宋体"/>
          <w:b w:val="0"/>
          <w:i w:val="0"/>
          <w:color w:val="000000"/>
          <w:sz w:val="21"/>
        </w:rPr>
        <w:t xml:space="preserve">）。 </w:t>
      </w:r>
    </w:p>
    <w:p>
      <w:pPr>
        <w:autoSpaceDN w:val="0"/>
        <w:autoSpaceDE w:val="0"/>
        <w:widowControl/>
        <w:spacing w:line="498" w:lineRule="exact" w:before="0" w:after="0"/>
        <w:ind w:left="30" w:right="0" w:firstLine="420"/>
        <w:jc w:val="left"/>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11</w:t>
      </w:r>
      <w:r>
        <w:rPr>
          <w:rFonts w:ascii="宋体" w:hAnsi="宋体" w:eastAsia="宋体"/>
          <w:b w:val="0"/>
          <w:i w:val="0"/>
          <w:color w:val="000000"/>
          <w:sz w:val="21"/>
        </w:rPr>
        <w:t xml:space="preserve"> 月，公司2024 年第一次临时股东大会审议通过《公司2024 年前三季度利润分配方案》，</w:t>
      </w:r>
      <w:r>
        <w:rPr>
          <w:rFonts w:ascii="宋体" w:hAnsi="宋体" w:eastAsia="宋体"/>
          <w:b w:val="0"/>
          <w:i w:val="0"/>
          <w:color w:val="000000"/>
          <w:sz w:val="21"/>
        </w:rPr>
        <w:t>具体为：以</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9</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30</w:t>
      </w:r>
      <w:r>
        <w:rPr>
          <w:rFonts w:ascii="宋体" w:hAnsi="宋体" w:eastAsia="宋体"/>
          <w:b w:val="0"/>
          <w:i w:val="0"/>
          <w:color w:val="000000"/>
          <w:sz w:val="21"/>
        </w:rPr>
        <w:t xml:space="preserve"> 日总股本</w:t>
      </w:r>
      <w:r>
        <w:rPr>
          <w:rFonts w:ascii="Times New Roman" w:hAnsi="Times New Roman" w:eastAsia="Times New Roman"/>
          <w:b w:val="0"/>
          <w:i w:val="0"/>
          <w:color w:val="000000"/>
          <w:sz w:val="21"/>
        </w:rPr>
        <w:t xml:space="preserve">3,589,771,547 </w:t>
      </w:r>
      <w:r>
        <w:rPr>
          <w:rFonts w:ascii="宋体" w:hAnsi="宋体" w:eastAsia="宋体"/>
          <w:b w:val="0"/>
          <w:i w:val="0"/>
          <w:color w:val="000000"/>
          <w:sz w:val="21"/>
        </w:rPr>
        <w:t>股为基数，向全体股东每</w:t>
      </w:r>
      <w:r>
        <w:rPr>
          <w:rFonts w:ascii="Times New Roman" w:hAnsi="Times New Roman" w:eastAsia="Times New Roman"/>
          <w:b w:val="0"/>
          <w:i w:val="0"/>
          <w:color w:val="000000"/>
          <w:sz w:val="21"/>
        </w:rPr>
        <w:t>10</w:t>
      </w:r>
      <w:r>
        <w:rPr>
          <w:rFonts w:ascii="宋体" w:hAnsi="宋体" w:eastAsia="宋体"/>
          <w:b w:val="0"/>
          <w:i w:val="0"/>
          <w:color w:val="000000"/>
          <w:sz w:val="21"/>
        </w:rPr>
        <w:t xml:space="preserve"> 股派发现金红利</w:t>
      </w:r>
      <w:r>
        <w:rPr>
          <w:rFonts w:ascii="Times New Roman" w:hAnsi="Times New Roman" w:eastAsia="Times New Roman"/>
          <w:b w:val="0"/>
          <w:i w:val="0"/>
          <w:color w:val="000000"/>
          <w:sz w:val="21"/>
        </w:rPr>
        <w:t xml:space="preserve"> 0.5</w:t>
      </w:r>
      <w:r>
        <w:rPr>
          <w:rFonts w:ascii="宋体" w:hAnsi="宋体" w:eastAsia="宋体"/>
          <w:b w:val="0"/>
          <w:i w:val="0"/>
          <w:color w:val="000000"/>
          <w:sz w:val="21"/>
        </w:rPr>
        <w:t xml:space="preserve"> 元</w:t>
      </w:r>
      <w:r>
        <w:rPr>
          <w:rFonts w:ascii="宋体" w:hAnsi="宋体" w:eastAsia="宋体"/>
          <w:b w:val="0"/>
          <w:i w:val="0"/>
          <w:color w:val="000000"/>
          <w:sz w:val="21"/>
        </w:rPr>
        <w:t>（含税），共派发现金红利</w:t>
      </w:r>
      <w:r>
        <w:rPr>
          <w:rFonts w:ascii="Times New Roman" w:hAnsi="Times New Roman" w:eastAsia="Times New Roman"/>
          <w:b w:val="0"/>
          <w:i w:val="0"/>
          <w:color w:val="000000"/>
          <w:sz w:val="21"/>
        </w:rPr>
        <w:t>179,488,577</w:t>
      </w:r>
      <w:r>
        <w:rPr>
          <w:rFonts w:ascii="宋体" w:hAnsi="宋体" w:eastAsia="宋体"/>
          <w:b w:val="0"/>
          <w:i w:val="0"/>
          <w:color w:val="000000"/>
          <w:sz w:val="21"/>
        </w:rPr>
        <w:t xml:space="preserve"> 元（含税）,不送红股，不以公积金转增股本。</w:t>
      </w:r>
      <w:r>
        <w:rPr>
          <w:rFonts w:ascii="Times New Roman" w:hAnsi="Times New Roman" w:eastAsia="Times New Roman"/>
          <w:b w:val="0"/>
          <w:i w:val="0"/>
          <w:color w:val="000000"/>
          <w:sz w:val="21"/>
        </w:rPr>
        <w:t xml:space="preserve">2024 </w:t>
      </w:r>
      <w:r>
        <w:rPr>
          <w:rFonts w:ascii="宋体" w:hAnsi="宋体" w:eastAsia="宋体"/>
          <w:b w:val="0"/>
          <w:i w:val="0"/>
          <w:color w:val="000000"/>
          <w:sz w:val="21"/>
        </w:rPr>
        <w:t>年</w:t>
      </w:r>
      <w:r>
        <w:rPr>
          <w:rFonts w:ascii="Times New Roman" w:hAnsi="Times New Roman" w:eastAsia="Times New Roman"/>
          <w:b w:val="0"/>
          <w:i w:val="0"/>
          <w:color w:val="000000"/>
          <w:sz w:val="21"/>
        </w:rPr>
        <w:t>12</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 xml:space="preserve">27 </w:t>
      </w:r>
      <w:r>
        <w:rPr>
          <w:rFonts w:ascii="宋体" w:hAnsi="宋体" w:eastAsia="宋体"/>
          <w:b w:val="0"/>
          <w:i w:val="0"/>
          <w:color w:val="000000"/>
          <w:sz w:val="21"/>
        </w:rPr>
        <w:t>日，公司完成2024 年前三季度权益分派事项（详见公司公告：临</w:t>
      </w:r>
      <w:r>
        <w:rPr>
          <w:rFonts w:ascii="Times New Roman" w:hAnsi="Times New Roman" w:eastAsia="Times New Roman"/>
          <w:b w:val="0"/>
          <w:i w:val="0"/>
          <w:color w:val="000000"/>
          <w:sz w:val="21"/>
        </w:rPr>
        <w:t>2024-040</w:t>
      </w:r>
      <w:r>
        <w:rPr>
          <w:rFonts w:ascii="宋体" w:hAnsi="宋体" w:eastAsia="宋体"/>
          <w:b w:val="0"/>
          <w:i w:val="0"/>
          <w:color w:val="000000"/>
          <w:sz w:val="21"/>
        </w:rPr>
        <w:t xml:space="preserve">）。 </w:t>
      </w:r>
    </w:p>
    <w:p>
      <w:pPr>
        <w:autoSpaceDN w:val="0"/>
        <w:autoSpaceDE w:val="0"/>
        <w:widowControl/>
        <w:spacing w:line="210" w:lineRule="exact" w:before="432" w:after="0"/>
        <w:ind w:left="452" w:right="0" w:firstLine="0"/>
        <w:jc w:val="left"/>
      </w:pPr>
      <w:r>
        <w:rPr>
          <w:rFonts w:ascii="宋体" w:hAnsi="宋体" w:eastAsia="宋体"/>
          <w:b w:val="0"/>
          <w:i w:val="0"/>
          <w:color w:val="000000"/>
          <w:sz w:val="21"/>
        </w:rPr>
        <w:t xml:space="preserve">（三）行政许可事项 </w:t>
      </w:r>
    </w:p>
    <w:p>
      <w:pPr>
        <w:autoSpaceDN w:val="0"/>
        <w:autoSpaceDE w:val="0"/>
        <w:widowControl/>
        <w:spacing w:line="197" w:lineRule="auto" w:before="712" w:after="0"/>
        <w:ind w:left="0" w:right="0" w:firstLine="0"/>
        <w:jc w:val="center"/>
      </w:pPr>
      <w:r>
        <w:rPr>
          <w:rFonts w:ascii="Calibri" w:hAnsi="Calibri" w:eastAsia="Calibri"/>
          <w:b w:val="0"/>
          <w:i w:val="0"/>
          <w:color w:val="000000"/>
          <w:sz w:val="18"/>
        </w:rPr>
        <w:t xml:space="preserve">124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00" w:bottom="446" w:left="1020" w:header="720" w:footer="720" w:gutter="0"/>
          <w:cols/>
          <w:docGrid w:linePitch="360"/>
        </w:sectPr>
      </w:pPr>
    </w:p>
    <w:p>
      <w:pPr>
        <w:autoSpaceDN w:val="0"/>
        <w:autoSpaceDE w:val="0"/>
        <w:widowControl/>
        <w:spacing w:line="240" w:lineRule="auto" w:before="0" w:after="0"/>
        <w:ind w:left="114" w:right="0" w:firstLine="0"/>
        <w:jc w:val="left"/>
      </w:pPr>
      <w:r>
        <w:drawing>
          <wp:inline xmlns:a="http://schemas.openxmlformats.org/drawingml/2006/main" xmlns:pic="http://schemas.openxmlformats.org/drawingml/2006/picture">
            <wp:extent cx="1844039" cy="439419"/>
            <wp:docPr id="127" name="Picture 12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200" w:lineRule="exact" w:before="0" w:after="30"/>
        <w:ind w:left="0" w:right="14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00" w:bottom="446" w:left="1020" w:header="720" w:footer="720" w:gutter="0"/>
          <w:cols w:num="2" w:equalWidth="0">
            <w:col w:w="5520" w:space="0"/>
            <w:col w:w="436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4.000000000000057" w:type="dxa"/>
      </w:tblPr>
      <w:tblGrid>
        <w:gridCol w:w="1977"/>
        <w:gridCol w:w="1977"/>
        <w:gridCol w:w="1977"/>
        <w:gridCol w:w="1977"/>
        <w:gridCol w:w="1977"/>
      </w:tblGrid>
      <w:tr>
        <w:trPr>
          <w:trHeight w:hRule="exact" w:val="394"/>
        </w:trPr>
        <w:tc>
          <w:tcPr>
            <w:tcW w:type="dxa" w:w="6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152" w:right="0" w:firstLine="0"/>
              <w:jc w:val="left"/>
            </w:pPr>
            <w:r>
              <w:rPr>
                <w:rFonts w:ascii="宋体" w:hAnsi="宋体" w:eastAsia="宋体"/>
                <w:b w:val="0"/>
                <w:i w:val="0"/>
                <w:color w:val="000000"/>
                <w:sz w:val="18"/>
              </w:rPr>
              <w:t xml:space="preserve">序号 </w:t>
            </w:r>
          </w:p>
        </w:tc>
        <w:tc>
          <w:tcPr>
            <w:tcW w:type="dxa" w:w="170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24" w:after="0"/>
              <w:ind w:left="0" w:right="572" w:firstLine="0"/>
              <w:jc w:val="right"/>
            </w:pPr>
            <w:r>
              <w:rPr>
                <w:rFonts w:ascii="宋体" w:hAnsi="宋体" w:eastAsia="宋体"/>
                <w:b w:val="0"/>
                <w:i w:val="0"/>
                <w:color w:val="000000"/>
                <w:sz w:val="18"/>
              </w:rPr>
              <w:t xml:space="preserve">时间 </w:t>
            </w:r>
          </w:p>
        </w:tc>
        <w:tc>
          <w:tcPr>
            <w:tcW w:type="dxa" w:w="1134"/>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24" w:after="0"/>
              <w:ind w:left="200" w:right="0" w:firstLine="0"/>
              <w:jc w:val="left"/>
            </w:pPr>
            <w:r>
              <w:rPr>
                <w:rFonts w:ascii="宋体" w:hAnsi="宋体" w:eastAsia="宋体"/>
                <w:b w:val="0"/>
                <w:i w:val="0"/>
                <w:color w:val="000000"/>
                <w:sz w:val="18"/>
              </w:rPr>
              <w:t xml:space="preserve">发文单位 </w:t>
            </w:r>
          </w:p>
        </w:tc>
        <w:tc>
          <w:tcPr>
            <w:tcW w:type="dxa" w:w="411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24" w:after="0"/>
              <w:ind w:left="0" w:right="1238" w:firstLine="0"/>
              <w:jc w:val="right"/>
            </w:pPr>
            <w:r>
              <w:rPr>
                <w:rFonts w:ascii="宋体" w:hAnsi="宋体" w:eastAsia="宋体"/>
                <w:b w:val="0"/>
                <w:i w:val="0"/>
                <w:color w:val="000000"/>
                <w:sz w:val="18"/>
              </w:rPr>
              <w:t xml:space="preserve">行政许可批复名称 </w:t>
            </w:r>
          </w:p>
        </w:tc>
        <w:tc>
          <w:tcPr>
            <w:tcW w:type="dxa" w:w="2232"/>
            <w:tcBorders>
              <w:start w:sz="4.0" w:val="single" w:color="#000000"/>
              <w:top w:sz="5.600000000000023" w:val="single" w:color="#000000"/>
              <w:end w:sz="4.0" w:val="single" w:color="#000000"/>
              <w:bottom w:sz="4.0" w:val="single" w:color="#000000"/>
            </w:tcBorders>
            <w:tcMar>
              <w:start w:w="0" w:type="dxa"/>
              <w:end w:w="0" w:type="dxa"/>
            </w:tcMar>
          </w:tcPr>
          <w:p>
            <w:pPr>
              <w:autoSpaceDN w:val="0"/>
              <w:autoSpaceDE w:val="0"/>
              <w:widowControl/>
              <w:spacing w:line="180" w:lineRule="exact" w:before="124" w:after="0"/>
              <w:ind w:left="390" w:right="0" w:firstLine="0"/>
              <w:jc w:val="left"/>
            </w:pPr>
            <w:r>
              <w:rPr>
                <w:rFonts w:ascii="宋体" w:hAnsi="宋体" w:eastAsia="宋体"/>
                <w:b w:val="0"/>
                <w:i w:val="0"/>
                <w:color w:val="000000"/>
                <w:sz w:val="18"/>
              </w:rPr>
              <w:t xml:space="preserve">行政许可批复文号 </w:t>
            </w:r>
          </w:p>
        </w:tc>
      </w:tr>
      <w:tr>
        <w:trPr>
          <w:trHeight w:hRule="exact" w:val="684"/>
        </w:trPr>
        <w:tc>
          <w:tcPr>
            <w:tcW w:type="dxa" w:w="676"/>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70" w:after="0"/>
              <w:ind w:left="0" w:right="200" w:firstLine="0"/>
              <w:jc w:val="right"/>
            </w:pPr>
            <w:r>
              <w:rPr>
                <w:rFonts w:ascii="宋体" w:hAnsi="宋体" w:eastAsia="宋体"/>
                <w:b w:val="0"/>
                <w:i w:val="0"/>
                <w:color w:val="000000"/>
                <w:sz w:val="18"/>
              </w:rPr>
              <w:t xml:space="preserve">1 </w:t>
            </w:r>
          </w:p>
        </w:tc>
        <w:tc>
          <w:tcPr>
            <w:tcW w:type="dxa" w:w="170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70" w:after="0"/>
              <w:ind w:left="152" w:right="0" w:firstLine="0"/>
              <w:jc w:val="left"/>
            </w:pPr>
            <w:r>
              <w:rPr>
                <w:rFonts w:ascii="宋体" w:hAnsi="宋体" w:eastAsia="宋体"/>
                <w:b w:val="0"/>
                <w:i w:val="0"/>
                <w:color w:val="000000"/>
                <w:sz w:val="18"/>
              </w:rPr>
              <w:t xml:space="preserve">2024 年5 月10 日 </w:t>
            </w:r>
          </w:p>
        </w:tc>
        <w:tc>
          <w:tcPr>
            <w:tcW w:type="dxa" w:w="113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70" w:after="0"/>
              <w:ind w:left="112" w:right="0" w:firstLine="0"/>
              <w:jc w:val="left"/>
            </w:pPr>
            <w:r>
              <w:rPr>
                <w:rFonts w:ascii="宋体" w:hAnsi="宋体" w:eastAsia="宋体"/>
                <w:b w:val="0"/>
                <w:i w:val="0"/>
                <w:color w:val="000000"/>
                <w:sz w:val="18"/>
              </w:rPr>
              <w:t xml:space="preserve">中国证监会 </w:t>
            </w:r>
          </w:p>
        </w:tc>
        <w:tc>
          <w:tcPr>
            <w:tcW w:type="dxa" w:w="411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300" w:lineRule="exact" w:before="0" w:after="0"/>
              <w:ind w:left="102" w:right="144" w:firstLine="0"/>
              <w:jc w:val="left"/>
            </w:pPr>
            <w:r>
              <w:rPr>
                <w:rFonts w:ascii="宋体" w:hAnsi="宋体" w:eastAsia="宋体"/>
                <w:b w:val="0"/>
                <w:i w:val="0"/>
                <w:color w:val="000000"/>
                <w:sz w:val="18"/>
              </w:rPr>
              <w:t>关于同意山西证券股份有限公司向专业投资者公</w:t>
            </w:r>
            <w:r>
              <w:rPr>
                <w:rFonts w:ascii="宋体" w:hAnsi="宋体" w:eastAsia="宋体"/>
                <w:b w:val="0"/>
                <w:i w:val="0"/>
                <w:color w:val="000000"/>
                <w:sz w:val="18"/>
              </w:rPr>
              <w:t xml:space="preserve">开发行公司债券注册的批复 </w:t>
            </w:r>
          </w:p>
        </w:tc>
        <w:tc>
          <w:tcPr>
            <w:tcW w:type="dxa" w:w="22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270" w:after="0"/>
              <w:ind w:left="146" w:right="0" w:firstLine="0"/>
              <w:jc w:val="left"/>
            </w:pPr>
            <w:r>
              <w:rPr>
                <w:rFonts w:ascii="宋体" w:hAnsi="宋体" w:eastAsia="宋体"/>
                <w:b w:val="0"/>
                <w:i w:val="0"/>
                <w:color w:val="000000"/>
                <w:sz w:val="18"/>
              </w:rPr>
              <w:t xml:space="preserve">证监许可【2024】668 号 </w:t>
            </w:r>
          </w:p>
        </w:tc>
      </w:tr>
    </w:tbl>
    <w:p>
      <w:pPr>
        <w:autoSpaceDN w:val="0"/>
        <w:autoSpaceDE w:val="0"/>
        <w:widowControl/>
        <w:spacing w:line="240" w:lineRule="exact" w:before="850" w:after="0"/>
        <w:ind w:left="114" w:right="0" w:firstLine="0"/>
        <w:jc w:val="left"/>
      </w:pPr>
      <w:r>
        <w:rPr>
          <w:rFonts w:ascii="宋体" w:hAnsi="宋体" w:eastAsia="宋体"/>
          <w:b w:val="0"/>
          <w:i w:val="0"/>
          <w:color w:val="000000"/>
          <w:sz w:val="24"/>
        </w:rPr>
        <w:t xml:space="preserve">十七、公司子公司重大事项 </w:t>
      </w:r>
    </w:p>
    <w:p>
      <w:pPr>
        <w:autoSpaceDN w:val="0"/>
        <w:autoSpaceDE w:val="0"/>
        <w:widowControl/>
        <w:spacing w:line="234" w:lineRule="exact" w:before="514" w:after="0"/>
        <w:ind w:left="536" w:right="0" w:firstLine="0"/>
        <w:jc w:val="left"/>
      </w:pPr>
      <w:r>
        <w:rPr>
          <w:rFonts w:ascii="Calibri" w:hAnsi="Calibri" w:eastAsia="Calibri"/>
          <w:b/>
          <w:i w:val="0"/>
          <w:color w:val="000000"/>
          <w:sz w:val="21"/>
        </w:rPr>
        <w:t>1.</w:t>
      </w:r>
      <w:r>
        <w:rPr>
          <w:rFonts w:ascii="宋体" w:hAnsi="宋体" w:eastAsia="宋体"/>
          <w:b w:val="0"/>
          <w:i w:val="0"/>
          <w:color w:val="000000"/>
          <w:sz w:val="21"/>
        </w:rPr>
        <w:t>资管子公司变更基金管理人并修订基金合同及托管协议</w:t>
      </w:r>
    </w:p>
    <w:p>
      <w:pPr>
        <w:autoSpaceDN w:val="0"/>
        <w:autoSpaceDE w:val="0"/>
        <w:widowControl/>
        <w:spacing w:line="212" w:lineRule="exact" w:before="382" w:after="0"/>
        <w:ind w:left="534" w:right="0" w:firstLine="0"/>
        <w:jc w:val="left"/>
      </w:pPr>
      <w:r>
        <w:rPr>
          <w:rFonts w:ascii="宋体" w:hAnsi="宋体" w:eastAsia="宋体"/>
          <w:b w:val="0"/>
          <w:i w:val="0"/>
          <w:color w:val="000000"/>
          <w:sz w:val="21"/>
        </w:rPr>
        <w:t>根据《中华人民共和国证券投资基金法》《公开募集证券投资基金运作管理办法》《公开募集证券投</w:t>
      </w:r>
    </w:p>
    <w:p>
      <w:pPr>
        <w:autoSpaceDN w:val="0"/>
        <w:autoSpaceDE w:val="0"/>
        <w:widowControl/>
        <w:spacing w:line="460" w:lineRule="exact" w:before="24" w:after="0"/>
        <w:ind w:left="114" w:right="314" w:firstLine="0"/>
        <w:jc w:val="both"/>
      </w:pPr>
      <w:r>
        <w:rPr>
          <w:rFonts w:ascii="宋体" w:hAnsi="宋体" w:eastAsia="宋体"/>
          <w:b w:val="0"/>
          <w:i w:val="0"/>
          <w:color w:val="000000"/>
          <w:sz w:val="21"/>
        </w:rPr>
        <w:t>资基金信息披露管理办法》的有关规定，按照公司旗下山西证券日日添利货币市场基金等</w:t>
      </w:r>
      <w:r>
        <w:rPr>
          <w:rFonts w:ascii="Calibri" w:hAnsi="Calibri" w:eastAsia="Calibri"/>
          <w:b w:val="0"/>
          <w:i w:val="0"/>
          <w:color w:val="000000"/>
          <w:sz w:val="21"/>
        </w:rPr>
        <w:t>20</w:t>
      </w:r>
      <w:r>
        <w:rPr>
          <w:rFonts w:ascii="宋体" w:hAnsi="宋体" w:eastAsia="宋体"/>
          <w:b w:val="0"/>
          <w:i w:val="0"/>
          <w:color w:val="000000"/>
          <w:sz w:val="21"/>
        </w:rPr>
        <w:t xml:space="preserve"> 只基金的</w:t>
      </w:r>
      <w:r>
        <w:rPr>
          <w:rFonts w:ascii="宋体" w:hAnsi="宋体" w:eastAsia="宋体"/>
          <w:b w:val="0"/>
          <w:i w:val="0"/>
          <w:color w:val="000000"/>
          <w:sz w:val="21"/>
        </w:rPr>
        <w:t>基金合同约定或基金份额持有人大会关于同意变更基金管理人的生效决议，自</w:t>
      </w:r>
      <w:r>
        <w:rPr>
          <w:rFonts w:ascii="Calibri" w:hAnsi="Calibri" w:eastAsia="Calibri"/>
          <w:b w:val="0"/>
          <w:i w:val="0"/>
          <w:color w:val="000000"/>
          <w:sz w:val="21"/>
        </w:rPr>
        <w:t>2025</w:t>
      </w:r>
      <w:r>
        <w:rPr>
          <w:rFonts w:ascii="宋体" w:hAnsi="宋体" w:eastAsia="宋体"/>
          <w:b w:val="0"/>
          <w:i w:val="0"/>
          <w:color w:val="000000"/>
          <w:sz w:val="21"/>
        </w:rPr>
        <w:t xml:space="preserve"> 年</w:t>
      </w:r>
      <w:r>
        <w:rPr>
          <w:rFonts w:ascii="Calibri" w:hAnsi="Calibri" w:eastAsia="Calibri"/>
          <w:b w:val="0"/>
          <w:i w:val="0"/>
          <w:color w:val="000000"/>
          <w:sz w:val="21"/>
        </w:rPr>
        <w:t>2</w:t>
      </w:r>
      <w:r>
        <w:rPr>
          <w:rFonts w:ascii="宋体" w:hAnsi="宋体" w:eastAsia="宋体"/>
          <w:b w:val="0"/>
          <w:i w:val="0"/>
          <w:color w:val="000000"/>
          <w:sz w:val="21"/>
        </w:rPr>
        <w:t xml:space="preserve"> 月</w:t>
      </w:r>
      <w:r>
        <w:rPr>
          <w:rFonts w:ascii="Calibri" w:hAnsi="Calibri" w:eastAsia="Calibri"/>
          <w:b w:val="0"/>
          <w:i w:val="0"/>
          <w:color w:val="000000"/>
          <w:sz w:val="21"/>
        </w:rPr>
        <w:t>28</w:t>
      </w:r>
      <w:r>
        <w:rPr>
          <w:rFonts w:ascii="宋体" w:hAnsi="宋体" w:eastAsia="宋体"/>
          <w:b w:val="0"/>
          <w:i w:val="0"/>
          <w:color w:val="000000"/>
          <w:sz w:val="21"/>
        </w:rPr>
        <w:t xml:space="preserve"> 日起，</w:t>
      </w:r>
      <w:r>
        <w:rPr>
          <w:rFonts w:ascii="宋体" w:hAnsi="宋体" w:eastAsia="宋体"/>
          <w:b w:val="0"/>
          <w:i w:val="0"/>
          <w:color w:val="000000"/>
          <w:sz w:val="21"/>
        </w:rPr>
        <w:t>上述</w:t>
      </w:r>
      <w:r>
        <w:rPr>
          <w:rFonts w:ascii="Times New Roman" w:hAnsi="Times New Roman" w:eastAsia="Times New Roman"/>
          <w:b w:val="0"/>
          <w:i w:val="0"/>
          <w:color w:val="000000"/>
          <w:sz w:val="21"/>
        </w:rPr>
        <w:t>20</w:t>
      </w:r>
      <w:r>
        <w:rPr>
          <w:rFonts w:ascii="宋体" w:hAnsi="宋体" w:eastAsia="宋体"/>
          <w:b w:val="0"/>
          <w:i w:val="0"/>
          <w:color w:val="000000"/>
          <w:sz w:val="21"/>
        </w:rPr>
        <w:t xml:space="preserve"> 只基金的基金管理人由公司变更为山证资管，上述基金名称由“山西证券</w:t>
      </w:r>
      <w:r>
        <w:rPr>
          <w:rFonts w:ascii="Calibri" w:hAnsi="Calibri" w:eastAsia="Calibri"/>
          <w:b w:val="0"/>
          <w:i w:val="0"/>
          <w:color w:val="000000"/>
          <w:sz w:val="21"/>
        </w:rPr>
        <w:t>XX</w:t>
      </w:r>
      <w:r>
        <w:rPr>
          <w:rFonts w:ascii="宋体" w:hAnsi="宋体" w:eastAsia="宋体"/>
          <w:b w:val="0"/>
          <w:i w:val="0"/>
          <w:color w:val="000000"/>
          <w:sz w:val="21"/>
        </w:rPr>
        <w:t xml:space="preserve"> 证券投资基金”变</w:t>
      </w:r>
      <w:r>
        <w:rPr>
          <w:rFonts w:ascii="宋体" w:hAnsi="宋体" w:eastAsia="宋体"/>
          <w:b w:val="0"/>
          <w:i w:val="0"/>
          <w:color w:val="000000"/>
          <w:sz w:val="21"/>
        </w:rPr>
        <w:t>更为“山证资管</w:t>
      </w:r>
      <w:r>
        <w:rPr>
          <w:rFonts w:ascii="Calibri" w:hAnsi="Calibri" w:eastAsia="Calibri"/>
          <w:b w:val="0"/>
          <w:i w:val="0"/>
          <w:color w:val="000000"/>
          <w:sz w:val="21"/>
        </w:rPr>
        <w:t>XX</w:t>
      </w:r>
      <w:r>
        <w:rPr>
          <w:rFonts w:ascii="宋体" w:hAnsi="宋体" w:eastAsia="宋体"/>
          <w:b w:val="0"/>
          <w:i w:val="0"/>
          <w:color w:val="000000"/>
          <w:sz w:val="21"/>
        </w:rPr>
        <w:t xml:space="preserve"> 证券投资基金”。</w:t>
      </w:r>
    </w:p>
    <w:p>
      <w:pPr>
        <w:autoSpaceDN w:val="0"/>
        <w:autoSpaceDE w:val="0"/>
        <w:widowControl/>
        <w:spacing w:line="212" w:lineRule="exact" w:before="224" w:after="0"/>
        <w:ind w:left="534" w:right="0" w:firstLine="0"/>
        <w:jc w:val="left"/>
      </w:pPr>
      <w:r>
        <w:rPr>
          <w:rFonts w:ascii="宋体" w:hAnsi="宋体" w:eastAsia="宋体"/>
          <w:b w:val="0"/>
          <w:i w:val="0"/>
          <w:color w:val="000000"/>
          <w:sz w:val="21"/>
        </w:rPr>
        <w:t>经与基金托管人协商一致，据相关法律法规、基金合同或基金份额持有人大会的生效决议，山证资</w:t>
      </w:r>
    </w:p>
    <w:p>
      <w:pPr>
        <w:autoSpaceDN w:val="0"/>
        <w:autoSpaceDE w:val="0"/>
        <w:widowControl/>
        <w:spacing w:line="456" w:lineRule="exact" w:before="28" w:after="0"/>
        <w:ind w:left="114" w:right="0" w:firstLine="0"/>
        <w:jc w:val="left"/>
      </w:pPr>
      <w:r>
        <w:rPr>
          <w:rFonts w:ascii="宋体" w:hAnsi="宋体" w:eastAsia="宋体"/>
          <w:b w:val="0"/>
          <w:i w:val="0"/>
          <w:color w:val="000000"/>
          <w:sz w:val="21"/>
        </w:rPr>
        <w:t>管已对上述</w:t>
      </w:r>
      <w:r>
        <w:rPr>
          <w:rFonts w:ascii="Calibri" w:hAnsi="Calibri" w:eastAsia="Calibri"/>
          <w:b w:val="0"/>
          <w:i w:val="0"/>
          <w:color w:val="000000"/>
          <w:sz w:val="21"/>
        </w:rPr>
        <w:t>20</w:t>
      </w:r>
      <w:r>
        <w:rPr>
          <w:rFonts w:ascii="宋体" w:hAnsi="宋体" w:eastAsia="宋体"/>
          <w:b w:val="0"/>
          <w:i w:val="0"/>
          <w:color w:val="000000"/>
          <w:sz w:val="21"/>
        </w:rPr>
        <w:t xml:space="preserve"> 只基金的基金合同、托管协议等法律文件中涉及基金管理人、基金名称的相关条款完成</w:t>
      </w:r>
      <w:r>
        <w:rPr>
          <w:rFonts w:ascii="宋体" w:hAnsi="宋体" w:eastAsia="宋体"/>
          <w:b w:val="0"/>
          <w:i w:val="0"/>
          <w:color w:val="000000"/>
          <w:sz w:val="21"/>
        </w:rPr>
        <w:t>修改。本次基金合同、托管协议等法律文件的修改内容和程序符合有关法律法规规定及基金合同的约定。</w:t>
      </w:r>
      <w:r>
        <w:rPr>
          <w:rFonts w:ascii="宋体" w:hAnsi="宋体" w:eastAsia="宋体"/>
          <w:b w:val="0"/>
          <w:i w:val="0"/>
          <w:color w:val="000000"/>
          <w:sz w:val="21"/>
        </w:rPr>
        <w:t>修改后的法律文件自</w:t>
      </w:r>
      <w:r>
        <w:rPr>
          <w:rFonts w:ascii="Times New Roman" w:hAnsi="Times New Roman" w:eastAsia="Times New Roman"/>
          <w:b w:val="0"/>
          <w:i w:val="0"/>
          <w:color w:val="000000"/>
          <w:sz w:val="21"/>
        </w:rPr>
        <w:t>2025</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2</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28</w:t>
      </w:r>
      <w:r>
        <w:rPr>
          <w:rFonts w:ascii="宋体" w:hAnsi="宋体" w:eastAsia="宋体"/>
          <w:b w:val="0"/>
          <w:i w:val="0"/>
          <w:color w:val="000000"/>
          <w:sz w:val="21"/>
        </w:rPr>
        <w:t xml:space="preserve"> 日起生效。</w:t>
      </w:r>
    </w:p>
    <w:p>
      <w:pPr>
        <w:autoSpaceDN w:val="0"/>
        <w:autoSpaceDE w:val="0"/>
        <w:widowControl/>
        <w:spacing w:line="234" w:lineRule="exact" w:before="390" w:after="0"/>
        <w:ind w:left="536" w:right="0" w:firstLine="0"/>
        <w:jc w:val="left"/>
      </w:pPr>
      <w:r>
        <w:rPr>
          <w:rFonts w:ascii="Calibri" w:hAnsi="Calibri" w:eastAsia="Calibri"/>
          <w:b/>
          <w:i w:val="0"/>
          <w:color w:val="000000"/>
          <w:sz w:val="21"/>
        </w:rPr>
        <w:t>2.</w:t>
      </w:r>
      <w:r>
        <w:rPr>
          <w:rFonts w:ascii="宋体" w:hAnsi="宋体" w:eastAsia="宋体"/>
          <w:b w:val="0"/>
          <w:i w:val="0"/>
          <w:color w:val="000000"/>
          <w:sz w:val="21"/>
        </w:rPr>
        <w:t>子公司法定代表人变更</w:t>
      </w:r>
    </w:p>
    <w:p>
      <w:pPr>
        <w:autoSpaceDN w:val="0"/>
        <w:autoSpaceDE w:val="0"/>
        <w:widowControl/>
        <w:spacing w:line="234" w:lineRule="exact" w:before="376" w:after="0"/>
        <w:ind w:left="534" w:right="0" w:firstLine="0"/>
        <w:jc w:val="left"/>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8</w:t>
      </w:r>
      <w:r>
        <w:rPr>
          <w:rFonts w:ascii="宋体" w:hAnsi="宋体" w:eastAsia="宋体"/>
          <w:b w:val="0"/>
          <w:i w:val="0"/>
          <w:color w:val="000000"/>
          <w:sz w:val="21"/>
        </w:rPr>
        <w:t xml:space="preserve"> 月，山证国际董事长变更为王怡里。</w:t>
      </w:r>
    </w:p>
    <w:p>
      <w:pPr>
        <w:autoSpaceDN w:val="0"/>
        <w:autoSpaceDE w:val="0"/>
        <w:widowControl/>
        <w:spacing w:line="458" w:lineRule="exact" w:before="0" w:after="0"/>
        <w:ind w:left="534" w:right="4464" w:firstLine="0"/>
        <w:jc w:val="left"/>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10</w:t>
      </w:r>
      <w:r>
        <w:rPr>
          <w:rFonts w:ascii="宋体" w:hAnsi="宋体" w:eastAsia="宋体"/>
          <w:b w:val="0"/>
          <w:i w:val="0"/>
          <w:color w:val="000000"/>
          <w:sz w:val="21"/>
        </w:rPr>
        <w:t xml:space="preserve"> 月，山证创新法定代表人变更为王怡里。</w:t>
      </w:r>
      <w:r>
        <w:br/>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11</w:t>
      </w:r>
      <w:r>
        <w:rPr>
          <w:rFonts w:ascii="宋体" w:hAnsi="宋体" w:eastAsia="宋体"/>
          <w:b w:val="0"/>
          <w:i w:val="0"/>
          <w:color w:val="000000"/>
          <w:sz w:val="21"/>
        </w:rPr>
        <w:t xml:space="preserve"> 月，山证投资法定代表人变更为王怡里。</w:t>
      </w:r>
    </w:p>
    <w:p>
      <w:pPr>
        <w:autoSpaceDN w:val="0"/>
        <w:autoSpaceDE w:val="0"/>
        <w:widowControl/>
        <w:spacing w:line="458" w:lineRule="exact" w:before="4" w:after="0"/>
        <w:ind w:left="534" w:right="4608" w:firstLine="0"/>
        <w:jc w:val="left"/>
      </w:pPr>
      <w:r>
        <w:rPr>
          <w:rFonts w:ascii="Times New Roman" w:hAnsi="Times New Roman" w:eastAsia="Times New Roman"/>
          <w:b w:val="0"/>
          <w:i w:val="0"/>
          <w:color w:val="000000"/>
          <w:sz w:val="21"/>
        </w:rPr>
        <w:t>2025</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2</w:t>
      </w:r>
      <w:r>
        <w:rPr>
          <w:rFonts w:ascii="宋体" w:hAnsi="宋体" w:eastAsia="宋体"/>
          <w:b w:val="0"/>
          <w:i w:val="0"/>
          <w:color w:val="000000"/>
          <w:sz w:val="21"/>
        </w:rPr>
        <w:t xml:space="preserve"> 月，山证资管法定代表人变更为谢卫。</w:t>
      </w:r>
      <w:r>
        <w:br/>
      </w:r>
      <w:r>
        <w:rPr>
          <w:rFonts w:ascii="Times New Roman" w:hAnsi="Times New Roman" w:eastAsia="Times New Roman"/>
          <w:b w:val="0"/>
          <w:i w:val="0"/>
          <w:color w:val="000000"/>
          <w:sz w:val="21"/>
        </w:rPr>
        <w:t>2025</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4</w:t>
      </w:r>
      <w:r>
        <w:rPr>
          <w:rFonts w:ascii="宋体" w:hAnsi="宋体" w:eastAsia="宋体"/>
          <w:b w:val="0"/>
          <w:i w:val="0"/>
          <w:color w:val="000000"/>
          <w:sz w:val="21"/>
        </w:rPr>
        <w:t xml:space="preserve"> 月，山证科技法定代表人变更为汤建雄。</w:t>
      </w:r>
    </w:p>
    <w:p>
      <w:pPr>
        <w:autoSpaceDN w:val="0"/>
        <w:autoSpaceDE w:val="0"/>
        <w:widowControl/>
        <w:spacing w:line="240" w:lineRule="exact" w:before="398" w:after="0"/>
        <w:ind w:left="114" w:right="0" w:firstLine="0"/>
        <w:jc w:val="left"/>
      </w:pPr>
      <w:r>
        <w:rPr>
          <w:rFonts w:ascii="宋体" w:hAnsi="宋体" w:eastAsia="宋体"/>
          <w:b w:val="0"/>
          <w:i w:val="0"/>
          <w:color w:val="000000"/>
          <w:sz w:val="24"/>
        </w:rPr>
        <w:t xml:space="preserve">十八、报告期内各单项业务资格的变化情况 </w:t>
      </w:r>
    </w:p>
    <w:p>
      <w:pPr>
        <w:autoSpaceDN w:val="0"/>
        <w:autoSpaceDE w:val="0"/>
        <w:widowControl/>
        <w:spacing w:line="444" w:lineRule="exact" w:before="298" w:after="0"/>
        <w:ind w:left="114" w:right="288" w:firstLine="420"/>
        <w:jc w:val="left"/>
      </w:pP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12</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30</w:t>
      </w:r>
      <w:r>
        <w:rPr>
          <w:rFonts w:ascii="宋体" w:hAnsi="宋体" w:eastAsia="宋体"/>
          <w:b w:val="0"/>
          <w:i w:val="0"/>
          <w:color w:val="000000"/>
          <w:sz w:val="21"/>
        </w:rPr>
        <w:t xml:space="preserve"> 日，根据中国银行间市场交易商协会《关于</w:t>
      </w:r>
      <w:r>
        <w:rPr>
          <w:rFonts w:ascii="Times New Roman" w:hAnsi="Times New Roman" w:eastAsia="Times New Roman"/>
          <w:b w:val="0"/>
          <w:i w:val="0"/>
          <w:color w:val="000000"/>
          <w:sz w:val="21"/>
        </w:rPr>
        <w:t>2024</w:t>
      </w:r>
      <w:r>
        <w:rPr>
          <w:rFonts w:ascii="宋体" w:hAnsi="宋体" w:eastAsia="宋体"/>
          <w:b w:val="0"/>
          <w:i w:val="0"/>
          <w:color w:val="000000"/>
          <w:sz w:val="21"/>
        </w:rPr>
        <w:t xml:space="preserve"> 年非金融企业债务融资工具承销</w:t>
      </w:r>
      <w:r>
        <w:rPr>
          <w:rFonts w:ascii="宋体" w:hAnsi="宋体" w:eastAsia="宋体"/>
          <w:b w:val="0"/>
          <w:i w:val="0"/>
          <w:color w:val="000000"/>
          <w:sz w:val="21"/>
        </w:rPr>
        <w:t>业务相关会员申请从事承销相关业务市场评价结果的公告》，公司</w:t>
      </w:r>
      <w:r>
        <w:rPr>
          <w:rFonts w:ascii="宋体" w:hAnsi="宋体" w:eastAsia="宋体"/>
          <w:b w:val="0"/>
          <w:i w:val="0"/>
          <w:color w:val="000000"/>
          <w:sz w:val="21"/>
        </w:rPr>
        <w:t>获批</w:t>
      </w:r>
      <w:r>
        <w:rPr>
          <w:rFonts w:ascii="宋体" w:hAnsi="宋体" w:eastAsia="宋体"/>
          <w:b w:val="0"/>
          <w:i w:val="0"/>
          <w:color w:val="000000"/>
          <w:sz w:val="21"/>
        </w:rPr>
        <w:t>科技创新非金融企业债务融资工</w:t>
      </w:r>
    </w:p>
    <w:p>
      <w:pPr>
        <w:autoSpaceDN w:val="0"/>
        <w:autoSpaceDE w:val="0"/>
        <w:widowControl/>
        <w:spacing w:line="212" w:lineRule="exact" w:before="250" w:after="0"/>
        <w:ind w:left="114" w:right="0" w:firstLine="0"/>
        <w:jc w:val="left"/>
      </w:pPr>
      <w:r>
        <w:rPr>
          <w:rFonts w:ascii="宋体" w:hAnsi="宋体" w:eastAsia="宋体"/>
          <w:b w:val="0"/>
          <w:i w:val="0"/>
          <w:color w:val="000000"/>
          <w:sz w:val="21"/>
        </w:rPr>
        <w:t>具主承销资格。</w:t>
      </w:r>
    </w:p>
    <w:p>
      <w:pPr>
        <w:autoSpaceDN w:val="0"/>
        <w:tabs>
          <w:tab w:pos="534" w:val="left"/>
        </w:tabs>
        <w:autoSpaceDE w:val="0"/>
        <w:widowControl/>
        <w:spacing w:line="462" w:lineRule="exact" w:before="12" w:after="0"/>
        <w:ind w:left="114" w:right="288" w:firstLine="0"/>
        <w:jc w:val="left"/>
      </w:pPr>
      <w:r>
        <w:tab/>
      </w:r>
      <w:r>
        <w:rPr>
          <w:rFonts w:ascii="Times New Roman" w:hAnsi="Times New Roman" w:eastAsia="Times New Roman"/>
          <w:b w:val="0"/>
          <w:i w:val="0"/>
          <w:color w:val="000000"/>
          <w:sz w:val="21"/>
        </w:rPr>
        <w:t>2025</w:t>
      </w:r>
      <w:r>
        <w:rPr>
          <w:rFonts w:ascii="宋体" w:hAnsi="宋体" w:eastAsia="宋体"/>
          <w:b w:val="0"/>
          <w:i w:val="0"/>
          <w:color w:val="000000"/>
          <w:sz w:val="21"/>
        </w:rPr>
        <w:t xml:space="preserve"> 年</w:t>
      </w:r>
      <w:r>
        <w:rPr>
          <w:rFonts w:ascii="Times New Roman" w:hAnsi="Times New Roman" w:eastAsia="Times New Roman"/>
          <w:b w:val="0"/>
          <w:i w:val="0"/>
          <w:color w:val="000000"/>
          <w:sz w:val="21"/>
        </w:rPr>
        <w:t>1</w:t>
      </w:r>
      <w:r>
        <w:rPr>
          <w:rFonts w:ascii="宋体" w:hAnsi="宋体" w:eastAsia="宋体"/>
          <w:b w:val="0"/>
          <w:i w:val="0"/>
          <w:color w:val="000000"/>
          <w:sz w:val="21"/>
        </w:rPr>
        <w:t xml:space="preserve"> 月</w:t>
      </w:r>
      <w:r>
        <w:rPr>
          <w:rFonts w:ascii="Times New Roman" w:hAnsi="Times New Roman" w:eastAsia="Times New Roman"/>
          <w:b w:val="0"/>
          <w:i w:val="0"/>
          <w:color w:val="000000"/>
          <w:sz w:val="21"/>
        </w:rPr>
        <w:t>12</w:t>
      </w:r>
      <w:r>
        <w:rPr>
          <w:rFonts w:ascii="宋体" w:hAnsi="宋体" w:eastAsia="宋体"/>
          <w:b w:val="0"/>
          <w:i w:val="0"/>
          <w:color w:val="000000"/>
          <w:sz w:val="21"/>
        </w:rPr>
        <w:t xml:space="preserve"> 日，公司在中国银行间市场交易商协会成功备案信用风险缓释工具一般交易商，获</w:t>
      </w:r>
      <w:r>
        <w:rPr>
          <w:rFonts w:ascii="宋体" w:hAnsi="宋体" w:eastAsia="宋体"/>
          <w:b w:val="0"/>
          <w:i w:val="0"/>
          <w:color w:val="000000"/>
          <w:sz w:val="21"/>
        </w:rPr>
        <w:t>准开展信用联结票据（</w:t>
      </w:r>
      <w:r>
        <w:rPr>
          <w:rFonts w:ascii="Times New Roman" w:hAnsi="Times New Roman" w:eastAsia="Times New Roman"/>
          <w:b w:val="0"/>
          <w:i w:val="0"/>
          <w:color w:val="000000"/>
          <w:sz w:val="21"/>
        </w:rPr>
        <w:t>CLN</w:t>
      </w:r>
      <w:r>
        <w:rPr>
          <w:rFonts w:ascii="宋体" w:hAnsi="宋体" w:eastAsia="宋体"/>
          <w:b w:val="0"/>
          <w:i w:val="0"/>
          <w:color w:val="000000"/>
          <w:sz w:val="21"/>
        </w:rPr>
        <w:t>）业务。</w:t>
      </w:r>
    </w:p>
    <w:p>
      <w:pPr>
        <w:autoSpaceDN w:val="0"/>
        <w:autoSpaceDE w:val="0"/>
        <w:widowControl/>
        <w:spacing w:line="197" w:lineRule="auto" w:before="630" w:after="0"/>
        <w:ind w:left="0" w:right="0" w:firstLine="0"/>
        <w:jc w:val="center"/>
      </w:pPr>
      <w:r>
        <w:rPr>
          <w:rFonts w:ascii="Calibri" w:hAnsi="Calibri" w:eastAsia="Calibri"/>
          <w:b w:val="0"/>
          <w:i w:val="0"/>
          <w:color w:val="000000"/>
          <w:sz w:val="18"/>
        </w:rPr>
        <w:t xml:space="preserve">125 </w:t>
      </w:r>
    </w:p>
    <w:p>
      <w:pPr>
        <w:sectPr>
          <w:type w:val="continuous"/>
          <w:pgSz w:w="11904" w:h="16841"/>
          <w:pgMar w:top="424" w:right="1000" w:bottom="446" w:left="1020" w:header="720" w:footer="720" w:gutter="0"/>
          <w:cols/>
          <w:docGrid w:linePitch="360"/>
        </w:sectPr>
      </w:pPr>
    </w:p>
    <w:p>
      <w:pPr>
        <w:autoSpaceDN w:val="0"/>
        <w:autoSpaceDE w:val="0"/>
        <w:widowControl/>
        <w:spacing w:line="220" w:lineRule="exact" w:before="0" w:after="206"/>
        <w:ind w:left="0" w:right="0"/>
      </w:pPr>
    </w:p>
    <w:p>
      <w:pPr>
        <w:sectPr>
          <w:pgSz w:w="11904" w:h="16841"/>
          <w:pgMar w:top="424" w:right="436" w:bottom="446" w:left="456" w:header="720" w:footer="720" w:gutter="0"/>
          <w:cols/>
          <w:docGrid w:linePitch="360"/>
        </w:sectPr>
      </w:pPr>
    </w:p>
    <w:p>
      <w:pPr>
        <w:autoSpaceDN w:val="0"/>
        <w:autoSpaceDE w:val="0"/>
        <w:widowControl/>
        <w:spacing w:line="240" w:lineRule="auto" w:before="0" w:after="0"/>
        <w:ind w:left="678" w:right="0" w:firstLine="0"/>
        <w:jc w:val="left"/>
      </w:pPr>
      <w:r>
        <w:drawing>
          <wp:inline xmlns:a="http://schemas.openxmlformats.org/drawingml/2006/main" xmlns:pic="http://schemas.openxmlformats.org/drawingml/2006/picture">
            <wp:extent cx="1844039" cy="439419"/>
            <wp:docPr id="128" name="Picture 12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436" w:bottom="446" w:left="456" w:header="720" w:footer="720" w:gutter="0"/>
          <w:cols w:num="2" w:equalWidth="0">
            <w:col w:w="6084" w:space="0"/>
            <w:col w:w="4928" w:space="0"/>
          </w:cols>
          <w:docGrid w:linePitch="360"/>
        </w:sectPr>
      </w:pPr>
    </w:p>
    <w:p>
      <w:pPr>
        <w:autoSpaceDN w:val="0"/>
        <w:autoSpaceDE w:val="0"/>
        <w:widowControl/>
        <w:spacing w:line="200" w:lineRule="exact" w:before="0" w:after="30"/>
        <w:ind w:left="0" w:right="71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436" w:bottom="446" w:left="456" w:header="720" w:footer="720" w:gutter="0"/>
          <w:cols w:num="2" w:equalWidth="0">
            <w:col w:w="6084" w:space="0"/>
            <w:col w:w="4928" w:space="0"/>
          </w:cols>
          <w:docGrid w:linePitch="360"/>
        </w:sectPr>
      </w:pPr>
    </w:p>
    <w:p>
      <w:pPr>
        <w:autoSpaceDN w:val="0"/>
        <w:autoSpaceDE w:val="0"/>
        <w:widowControl/>
        <w:spacing w:line="320" w:lineRule="exact" w:before="356" w:after="0"/>
        <w:ind w:left="0" w:right="0" w:firstLine="0"/>
        <w:jc w:val="center"/>
      </w:pPr>
      <w:r>
        <w:rPr>
          <w:rFonts w:ascii="宋体" w:hAnsi="宋体" w:eastAsia="宋体"/>
          <w:b w:val="0"/>
          <w:i w:val="0"/>
          <w:color w:val="000000"/>
          <w:sz w:val="32"/>
        </w:rPr>
        <w:t xml:space="preserve">第七节 股份变动及股东情况 </w:t>
      </w:r>
    </w:p>
    <w:p>
      <w:pPr>
        <w:autoSpaceDN w:val="0"/>
        <w:autoSpaceDE w:val="0"/>
        <w:widowControl/>
        <w:spacing w:line="240" w:lineRule="exact" w:before="490" w:after="0"/>
        <w:ind w:left="678" w:right="0" w:firstLine="0"/>
        <w:jc w:val="left"/>
      </w:pPr>
      <w:r>
        <w:rPr>
          <w:rFonts w:ascii="宋体" w:hAnsi="宋体" w:eastAsia="宋体"/>
          <w:b w:val="0"/>
          <w:i w:val="0"/>
          <w:color w:val="000000"/>
          <w:sz w:val="24"/>
        </w:rPr>
        <w:t xml:space="preserve">一、股份变动情况 </w:t>
      </w:r>
    </w:p>
    <w:p>
      <w:pPr>
        <w:autoSpaceDN w:val="0"/>
        <w:autoSpaceDE w:val="0"/>
        <w:widowControl/>
        <w:spacing w:line="212" w:lineRule="exact" w:before="372" w:after="0"/>
        <w:ind w:left="678" w:right="0" w:firstLine="0"/>
        <w:jc w:val="left"/>
      </w:pPr>
      <w:r>
        <w:rPr>
          <w:rFonts w:ascii="宋体" w:hAnsi="宋体" w:eastAsia="宋体"/>
          <w:b w:val="0"/>
          <w:i w:val="0"/>
          <w:color w:val="000000"/>
          <w:sz w:val="21"/>
        </w:rPr>
        <w:t xml:space="preserve">1、股份变动情况 </w:t>
      </w:r>
    </w:p>
    <w:p>
      <w:pPr>
        <w:autoSpaceDN w:val="0"/>
        <w:autoSpaceDE w:val="0"/>
        <w:widowControl/>
        <w:spacing w:line="340" w:lineRule="exact" w:before="200" w:after="0"/>
        <w:ind w:left="678" w:right="864" w:firstLine="0"/>
        <w:jc w:val="left"/>
      </w:pPr>
      <w:r>
        <w:rPr>
          <w:rFonts w:ascii="宋体" w:hAnsi="宋体" w:eastAsia="宋体"/>
          <w:b w:val="0"/>
          <w:i w:val="0"/>
          <w:color w:val="000000"/>
          <w:sz w:val="18"/>
        </w:rPr>
        <w:t xml:space="preserve">股份变动的原因 </w:t>
      </w:r>
      <w:r>
        <w:br/>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股份变动的批准情况 </w:t>
      </w:r>
      <w:r>
        <w:br/>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股份变动的过户情况 </w:t>
      </w:r>
      <w:r>
        <w:br/>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股份变动对最近一年和最近一期基本每股收益和稀释每股收益、归属于公司普通股股东的每股净资产等财务指标的影响 </w:t>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公司认为必要或证券监管机构要求披露的其他内容 </w:t>
      </w:r>
      <w:r>
        <w:br/>
      </w:r>
      <w:r>
        <w:rPr>
          <w:rFonts w:ascii="宋体" w:hAnsi="宋体" w:eastAsia="宋体"/>
          <w:b w:val="0"/>
          <w:i w:val="0"/>
          <w:color w:val="000000"/>
          <w:sz w:val="18"/>
        </w:rPr>
        <w:t xml:space="preserve">□适用 √不适用 </w:t>
      </w:r>
    </w:p>
    <w:p>
      <w:pPr>
        <w:autoSpaceDN w:val="0"/>
        <w:autoSpaceDE w:val="0"/>
        <w:widowControl/>
        <w:spacing w:line="212" w:lineRule="exact" w:before="368" w:after="0"/>
        <w:ind w:left="678" w:right="0" w:firstLine="0"/>
        <w:jc w:val="left"/>
      </w:pPr>
      <w:r>
        <w:rPr>
          <w:rFonts w:ascii="宋体" w:hAnsi="宋体" w:eastAsia="宋体"/>
          <w:b w:val="0"/>
          <w:i w:val="0"/>
          <w:color w:val="000000"/>
          <w:sz w:val="21"/>
        </w:rPr>
        <w:t xml:space="preserve">2、限售股份变动情况 </w:t>
      </w:r>
    </w:p>
    <w:p>
      <w:pPr>
        <w:autoSpaceDN w:val="0"/>
        <w:autoSpaceDE w:val="0"/>
        <w:widowControl/>
        <w:spacing w:line="180" w:lineRule="exact" w:before="360" w:after="0"/>
        <w:ind w:left="678"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678" w:right="0" w:firstLine="0"/>
        <w:jc w:val="left"/>
      </w:pPr>
      <w:r>
        <w:rPr>
          <w:rFonts w:ascii="宋体" w:hAnsi="宋体" w:eastAsia="宋体"/>
          <w:b w:val="0"/>
          <w:i w:val="0"/>
          <w:color w:val="000000"/>
          <w:sz w:val="24"/>
        </w:rPr>
        <w:t xml:space="preserve">二、证券发行与上市情况 </w:t>
      </w:r>
    </w:p>
    <w:p>
      <w:pPr>
        <w:autoSpaceDN w:val="0"/>
        <w:autoSpaceDE w:val="0"/>
        <w:widowControl/>
        <w:spacing w:line="212" w:lineRule="exact" w:before="370" w:after="328"/>
        <w:ind w:left="678" w:right="0" w:firstLine="0"/>
        <w:jc w:val="left"/>
      </w:pPr>
      <w:r>
        <w:rPr>
          <w:rFonts w:ascii="宋体" w:hAnsi="宋体" w:eastAsia="宋体"/>
          <w:b w:val="0"/>
          <w:i w:val="0"/>
          <w:color w:val="000000"/>
          <w:sz w:val="21"/>
        </w:rPr>
        <w:t xml:space="preserve">1、报告期内证券发行（不含优先股）情况 </w:t>
      </w:r>
    </w:p>
    <w:tbl>
      <w:tblPr>
        <w:tblW w:type="auto" w:w="0"/>
        <w:tblLayout w:type="fixed"/>
        <w:tblLook w:firstColumn="1" w:firstRow="1" w:lastColumn="0" w:lastRow="0" w:noHBand="0" w:noVBand="1" w:val="04A0"/>
        <w:tblInd w:w="1.9999999999999574" w:type="dxa"/>
      </w:tblPr>
      <w:tblGrid>
        <w:gridCol w:w="1224"/>
        <w:gridCol w:w="1224"/>
        <w:gridCol w:w="1224"/>
        <w:gridCol w:w="1224"/>
        <w:gridCol w:w="1224"/>
        <w:gridCol w:w="1224"/>
        <w:gridCol w:w="1224"/>
        <w:gridCol w:w="1224"/>
        <w:gridCol w:w="1224"/>
      </w:tblGrid>
      <w:tr>
        <w:trPr>
          <w:trHeight w:hRule="exact" w:val="804"/>
        </w:trPr>
        <w:tc>
          <w:tcPr>
            <w:tcW w:type="dxa" w:w="1810"/>
            <w:tcBorders>
              <w:start w:sz="1.5999999999999943" w:val="single" w:color="#000000"/>
              <w:top w:sz="1.599999999999909" w:val="single" w:color="#000000"/>
              <w:end w:sz="1.6000000000000227" w:val="single" w:color="#000000"/>
              <w:bottom w:sz="1.6000000000003638" w:val="single" w:color="#000000"/>
            </w:tcBorders>
            <w:shd w:fill="d2d2d2"/>
            <w:tcMar>
              <w:start w:w="0" w:type="dxa"/>
              <w:end w:w="0" w:type="dxa"/>
            </w:tcMar>
          </w:tcPr>
          <w:p>
            <w:pPr>
              <w:autoSpaceDN w:val="0"/>
              <w:tabs>
                <w:tab w:pos="724" w:val="left"/>
              </w:tabs>
              <w:autoSpaceDE w:val="0"/>
              <w:widowControl/>
              <w:spacing w:line="240" w:lineRule="exact" w:before="136" w:after="0"/>
              <w:ind w:left="180" w:right="144" w:firstLine="0"/>
              <w:jc w:val="left"/>
            </w:pPr>
            <w:r>
              <w:rPr>
                <w:rFonts w:ascii="宋体" w:hAnsi="宋体" w:eastAsia="宋体"/>
                <w:b w:val="0"/>
                <w:i w:val="0"/>
                <w:color w:val="000000"/>
                <w:sz w:val="18"/>
              </w:rPr>
              <w:t>股票及其衍生证券</w:t>
            </w:r>
            <w:r>
              <w:tab/>
            </w:r>
            <w:r>
              <w:rPr>
                <w:rFonts w:ascii="宋体" w:hAnsi="宋体" w:eastAsia="宋体"/>
                <w:b w:val="0"/>
                <w:i w:val="0"/>
                <w:color w:val="000000"/>
                <w:sz w:val="18"/>
              </w:rPr>
              <w:t xml:space="preserve">名称 </w:t>
            </w:r>
          </w:p>
        </w:tc>
        <w:tc>
          <w:tcPr>
            <w:tcW w:type="dxa" w:w="1134"/>
            <w:tcBorders>
              <w:start w:sz="1.6000000000000227" w:val="single" w:color="#000000"/>
              <w:top w:sz="1.599999999999909"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316" w:after="0"/>
              <w:ind w:left="202" w:right="0" w:firstLine="0"/>
              <w:jc w:val="left"/>
            </w:pPr>
            <w:r>
              <w:rPr>
                <w:rFonts w:ascii="宋体" w:hAnsi="宋体" w:eastAsia="宋体"/>
                <w:b w:val="0"/>
                <w:i w:val="0"/>
                <w:color w:val="000000"/>
                <w:sz w:val="18"/>
              </w:rPr>
              <w:t xml:space="preserve">发行日期 </w:t>
            </w:r>
          </w:p>
        </w:tc>
        <w:tc>
          <w:tcPr>
            <w:tcW w:type="dxa" w:w="852"/>
            <w:tcBorders>
              <w:start w:sz="1.599999999999909" w:val="single" w:color="#000000"/>
              <w:top w:sz="1.599999999999909" w:val="single" w:color="#000000"/>
              <w:end w:sz="1.6000000000001364" w:val="single" w:color="#000000"/>
              <w:bottom w:sz="1.6000000000003638" w:val="single" w:color="#000000"/>
            </w:tcBorders>
            <w:shd w:fill="d2d2d2"/>
            <w:tcMar>
              <w:start w:w="0" w:type="dxa"/>
              <w:end w:w="0" w:type="dxa"/>
            </w:tcMar>
          </w:tcPr>
          <w:p>
            <w:pPr>
              <w:autoSpaceDN w:val="0"/>
              <w:autoSpaceDE w:val="0"/>
              <w:widowControl/>
              <w:spacing w:line="240" w:lineRule="exact" w:before="16" w:after="0"/>
              <w:ind w:left="154" w:right="62" w:firstLine="0"/>
              <w:jc w:val="both"/>
            </w:pPr>
            <w:r>
              <w:rPr>
                <w:rFonts w:ascii="宋体" w:hAnsi="宋体" w:eastAsia="宋体"/>
                <w:b w:val="0"/>
                <w:i w:val="0"/>
                <w:color w:val="000000"/>
                <w:sz w:val="18"/>
              </w:rPr>
              <w:t>发行价</w:t>
            </w:r>
            <w:r>
              <w:br/>
            </w:r>
            <w:r>
              <w:rPr>
                <w:rFonts w:ascii="宋体" w:hAnsi="宋体" w:eastAsia="宋体"/>
                <w:b w:val="0"/>
                <w:i w:val="0"/>
                <w:color w:val="000000"/>
                <w:sz w:val="18"/>
              </w:rPr>
              <w:t>格（或</w:t>
            </w:r>
            <w:r>
              <w:br/>
            </w:r>
            <w:r>
              <w:rPr>
                <w:rFonts w:ascii="宋体" w:hAnsi="宋体" w:eastAsia="宋体"/>
                <w:b w:val="0"/>
                <w:i w:val="0"/>
                <w:color w:val="000000"/>
                <w:sz w:val="18"/>
              </w:rPr>
              <w:t xml:space="preserve">利率） </w:t>
            </w:r>
          </w:p>
        </w:tc>
        <w:tc>
          <w:tcPr>
            <w:tcW w:type="dxa" w:w="1416"/>
            <w:tcBorders>
              <w:start w:sz="1.6000000000001364"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180" w:lineRule="exact" w:before="316" w:after="0"/>
              <w:ind w:left="344" w:right="0" w:firstLine="0"/>
              <w:jc w:val="left"/>
            </w:pPr>
            <w:r>
              <w:rPr>
                <w:rFonts w:ascii="宋体" w:hAnsi="宋体" w:eastAsia="宋体"/>
                <w:b w:val="0"/>
                <w:i w:val="0"/>
                <w:color w:val="000000"/>
                <w:sz w:val="18"/>
              </w:rPr>
              <w:t xml:space="preserve">发行数量 </w:t>
            </w:r>
          </w:p>
        </w:tc>
        <w:tc>
          <w:tcPr>
            <w:tcW w:type="dxa" w:w="1134"/>
            <w:tcBorders>
              <w:start w:sz="1.6000000000003638" w:val="single" w:color="#000000"/>
              <w:top w:sz="1.599999999999909"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316" w:after="0"/>
              <w:ind w:left="204" w:right="0" w:firstLine="0"/>
              <w:jc w:val="left"/>
            </w:pPr>
            <w:r>
              <w:rPr>
                <w:rFonts w:ascii="宋体" w:hAnsi="宋体" w:eastAsia="宋体"/>
                <w:b w:val="0"/>
                <w:i w:val="0"/>
                <w:color w:val="000000"/>
                <w:sz w:val="18"/>
              </w:rPr>
              <w:t xml:space="preserve">上市日期 </w:t>
            </w:r>
          </w:p>
        </w:tc>
        <w:tc>
          <w:tcPr>
            <w:tcW w:type="dxa" w:w="1276"/>
            <w:tcBorders>
              <w:start w:sz="2.399999999999636" w:val="single" w:color="#000000"/>
              <w:top w:sz="1.599999999999909" w:val="single" w:color="#000000"/>
              <w:end w:sz="1.6000000000003638" w:val="single" w:color="#000000"/>
              <w:bottom w:sz="1.6000000000003638" w:val="single" w:color="#000000"/>
            </w:tcBorders>
            <w:shd w:fill="d2d2d2"/>
            <w:tcMar>
              <w:start w:w="0" w:type="dxa"/>
              <w:end w:w="0" w:type="dxa"/>
            </w:tcMar>
          </w:tcPr>
          <w:p>
            <w:pPr>
              <w:autoSpaceDN w:val="0"/>
              <w:tabs>
                <w:tab w:pos="366" w:val="left"/>
              </w:tabs>
              <w:autoSpaceDE w:val="0"/>
              <w:widowControl/>
              <w:spacing w:line="240" w:lineRule="exact" w:before="136" w:after="0"/>
              <w:ind w:left="186" w:right="144" w:firstLine="0"/>
              <w:jc w:val="left"/>
            </w:pPr>
            <w:r>
              <w:rPr>
                <w:rFonts w:ascii="宋体" w:hAnsi="宋体" w:eastAsia="宋体"/>
                <w:b w:val="0"/>
                <w:i w:val="0"/>
                <w:color w:val="000000"/>
                <w:sz w:val="18"/>
              </w:rPr>
              <w:t>获准上市交</w:t>
            </w:r>
            <w:r>
              <w:tab/>
            </w:r>
            <w:r>
              <w:rPr>
                <w:rFonts w:ascii="宋体" w:hAnsi="宋体" w:eastAsia="宋体"/>
                <w:b w:val="0"/>
                <w:i w:val="0"/>
                <w:color w:val="000000"/>
                <w:sz w:val="18"/>
              </w:rPr>
              <w:t xml:space="preserve">易数量 </w:t>
            </w:r>
          </w:p>
        </w:tc>
        <w:tc>
          <w:tcPr>
            <w:tcW w:type="dxa" w:w="1136"/>
            <w:tcBorders>
              <w:start w:sz="1.6000000000003638" w:val="single" w:color="#000000"/>
              <w:top w:sz="1.599999999999909" w:val="single" w:color="#000000"/>
              <w:end w:sz="1.599999999999909" w:val="single" w:color="#000000"/>
              <w:bottom w:sz="1.6000000000003638" w:val="single" w:color="#000000"/>
            </w:tcBorders>
            <w:shd w:fill="d2d2d2"/>
            <w:tcMar>
              <w:start w:w="0" w:type="dxa"/>
              <w:end w:w="0" w:type="dxa"/>
            </w:tcMar>
          </w:tcPr>
          <w:p>
            <w:pPr>
              <w:autoSpaceDN w:val="0"/>
              <w:tabs>
                <w:tab w:pos="476" w:val="left"/>
              </w:tabs>
              <w:autoSpaceDE w:val="0"/>
              <w:widowControl/>
              <w:spacing w:line="240" w:lineRule="exact" w:before="136" w:after="0"/>
              <w:ind w:left="116" w:right="0" w:firstLine="0"/>
              <w:jc w:val="left"/>
            </w:pPr>
            <w:r>
              <w:rPr>
                <w:rFonts w:ascii="宋体" w:hAnsi="宋体" w:eastAsia="宋体"/>
                <w:b w:val="0"/>
                <w:i w:val="0"/>
                <w:color w:val="000000"/>
                <w:sz w:val="18"/>
              </w:rPr>
              <w:t>交易终止日</w:t>
            </w:r>
            <w:r>
              <w:tab/>
            </w:r>
            <w:r>
              <w:rPr>
                <w:rFonts w:ascii="宋体" w:hAnsi="宋体" w:eastAsia="宋体"/>
                <w:b w:val="0"/>
                <w:i w:val="0"/>
                <w:color w:val="000000"/>
                <w:sz w:val="18"/>
              </w:rPr>
              <w:t xml:space="preserve">期 </w:t>
            </w:r>
          </w:p>
        </w:tc>
        <w:tc>
          <w:tcPr>
            <w:tcW w:type="dxa" w:w="1160"/>
            <w:tcBorders>
              <w:start w:sz="1.599999999999909" w:val="single" w:color="#000000"/>
              <w:top w:sz="1.599999999999909"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316" w:after="0"/>
              <w:ind w:left="216" w:right="0" w:firstLine="0"/>
              <w:jc w:val="left"/>
            </w:pPr>
            <w:r>
              <w:rPr>
                <w:rFonts w:ascii="宋体" w:hAnsi="宋体" w:eastAsia="宋体"/>
                <w:b w:val="0"/>
                <w:i w:val="0"/>
                <w:color w:val="000000"/>
                <w:sz w:val="18"/>
              </w:rPr>
              <w:t xml:space="preserve">披露索引 </w:t>
            </w:r>
          </w:p>
        </w:tc>
        <w:tc>
          <w:tcPr>
            <w:tcW w:type="dxa" w:w="1070"/>
            <w:tcBorders>
              <w:start w:sz="2.399999999999636" w:val="single" w:color="#000000"/>
              <w:top w:sz="1.599999999999909"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180" w:lineRule="exact" w:before="316" w:after="0"/>
              <w:ind w:left="172" w:right="0" w:firstLine="0"/>
              <w:jc w:val="left"/>
            </w:pPr>
            <w:r>
              <w:rPr>
                <w:rFonts w:ascii="宋体" w:hAnsi="宋体" w:eastAsia="宋体"/>
                <w:b w:val="0"/>
                <w:i w:val="0"/>
                <w:color w:val="000000"/>
                <w:sz w:val="18"/>
              </w:rPr>
              <w:t xml:space="preserve">披露日期 </w:t>
            </w:r>
          </w:p>
        </w:tc>
      </w:tr>
      <w:tr>
        <w:trPr>
          <w:trHeight w:hRule="exact" w:val="328"/>
        </w:trPr>
        <w:tc>
          <w:tcPr>
            <w:tcW w:type="dxa" w:w="10988"/>
            <w:gridSpan w:val="9"/>
            <w:tcBorders>
              <w:start w:sz="1.5999999999999943" w:val="single" w:color="#000000"/>
              <w:top w:sz="1.6000000000003638" w:val="single" w:color="#000000"/>
              <w:end w:sz="1.5999999999994543" w:val="single" w:color="#000000"/>
              <w:bottom w:sz="2.399999999999636"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可转换公司债券、分离交易的可转换公司债券、公司债类 </w:t>
            </w:r>
          </w:p>
        </w:tc>
      </w:tr>
      <w:tr>
        <w:trPr>
          <w:trHeight w:hRule="exact" w:val="964"/>
        </w:trPr>
        <w:tc>
          <w:tcPr>
            <w:tcW w:type="dxa" w:w="1810"/>
            <w:tcBorders>
              <w:start w:sz="1.5999999999999943" w:val="single" w:color="#000000"/>
              <w:top w:sz="2.399999999999636" w:val="single" w:color="#000000"/>
              <w:end w:sz="1.6000000000000227" w:val="single" w:color="#000000"/>
              <w:bottom w:sz="1.6000000000003638" w:val="single" w:color="#000000"/>
            </w:tcBorders>
            <w:tcMar>
              <w:start w:w="0" w:type="dxa"/>
              <w:end w:w="0" w:type="dxa"/>
            </w:tcMar>
          </w:tcPr>
          <w:p>
            <w:pPr>
              <w:autoSpaceDN w:val="0"/>
              <w:autoSpaceDE w:val="0"/>
              <w:widowControl/>
              <w:spacing w:line="234" w:lineRule="exact" w:before="0" w:after="0"/>
              <w:ind w:left="108" w:right="144" w:firstLine="0"/>
              <w:jc w:val="left"/>
            </w:pPr>
            <w:r>
              <w:rPr>
                <w:rFonts w:ascii="宋体" w:hAnsi="宋体" w:eastAsia="宋体"/>
                <w:b w:val="0"/>
                <w:i w:val="0"/>
                <w:color w:val="000000"/>
                <w:sz w:val="18"/>
              </w:rPr>
              <w:t>山西证券股份有限</w:t>
            </w:r>
            <w:r>
              <w:rPr>
                <w:rFonts w:ascii="宋体" w:hAnsi="宋体" w:eastAsia="宋体"/>
                <w:b w:val="0"/>
                <w:i w:val="0"/>
                <w:color w:val="000000"/>
                <w:sz w:val="18"/>
              </w:rPr>
              <w:t>公司2024 年面向专</w:t>
            </w:r>
            <w:r>
              <w:rPr>
                <w:rFonts w:ascii="宋体" w:hAnsi="宋体" w:eastAsia="宋体"/>
                <w:b w:val="0"/>
                <w:i w:val="0"/>
                <w:color w:val="000000"/>
                <w:sz w:val="18"/>
              </w:rPr>
              <w:t>业投资者公开发行</w:t>
            </w:r>
            <w:r>
              <w:rPr>
                <w:rFonts w:ascii="宋体" w:hAnsi="宋体" w:eastAsia="宋体"/>
                <w:b w:val="0"/>
                <w:i w:val="0"/>
                <w:color w:val="000000"/>
                <w:sz w:val="18"/>
              </w:rPr>
              <w:t xml:space="preserve">公司债券(第一期) </w:t>
            </w:r>
          </w:p>
        </w:tc>
        <w:tc>
          <w:tcPr>
            <w:tcW w:type="dxa" w:w="1134"/>
            <w:tcBorders>
              <w:start w:sz="1.6000000000000227"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390" w:after="0"/>
              <w:ind w:left="0" w:right="0" w:firstLine="0"/>
              <w:jc w:val="center"/>
            </w:pPr>
            <w:r>
              <w:rPr>
                <w:rFonts w:ascii="Times New Roman" w:hAnsi="Times New Roman" w:eastAsia="Times New Roman"/>
                <w:b w:val="0"/>
                <w:i w:val="0"/>
                <w:color w:val="000000"/>
                <w:sz w:val="18"/>
              </w:rPr>
              <w:t xml:space="preserve">2024.06.20 </w:t>
            </w:r>
          </w:p>
        </w:tc>
        <w:tc>
          <w:tcPr>
            <w:tcW w:type="dxa" w:w="852"/>
            <w:tcBorders>
              <w:start w:sz="1.599999999999909" w:val="single" w:color="#000000"/>
              <w:top w:sz="2.399999999999636" w:val="single" w:color="#000000"/>
              <w:end w:sz="1.6000000000001364" w:val="single" w:color="#000000"/>
              <w:bottom w:sz="1.6000000000003638" w:val="single" w:color="#000000"/>
            </w:tcBorders>
            <w:tcMar>
              <w:start w:w="0" w:type="dxa"/>
              <w:end w:w="0" w:type="dxa"/>
            </w:tcMar>
          </w:tcPr>
          <w:p>
            <w:pPr>
              <w:autoSpaceDN w:val="0"/>
              <w:autoSpaceDE w:val="0"/>
              <w:widowControl/>
              <w:spacing w:line="233" w:lineRule="auto" w:before="390" w:after="0"/>
              <w:ind w:left="0" w:right="0" w:firstLine="0"/>
              <w:jc w:val="center"/>
            </w:pPr>
            <w:r>
              <w:rPr>
                <w:rFonts w:ascii="Times New Roman" w:hAnsi="Times New Roman" w:eastAsia="Times New Roman"/>
                <w:b w:val="0"/>
                <w:i w:val="0"/>
                <w:color w:val="000000"/>
                <w:sz w:val="18"/>
              </w:rPr>
              <w:t xml:space="preserve">2.19% </w:t>
            </w:r>
          </w:p>
        </w:tc>
        <w:tc>
          <w:tcPr>
            <w:tcW w:type="dxa" w:w="1416"/>
            <w:tcBorders>
              <w:start w:sz="1.6000000000001364"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00" w:lineRule="exact" w:before="390" w:after="0"/>
              <w:ind w:left="0" w:right="0" w:firstLine="0"/>
              <w:jc w:val="center"/>
            </w:pPr>
            <w:r>
              <w:rPr>
                <w:rFonts w:ascii="Times New Roman" w:hAnsi="Times New Roman" w:eastAsia="Times New Roman"/>
                <w:b w:val="0"/>
                <w:i w:val="0"/>
                <w:color w:val="000000"/>
                <w:sz w:val="18"/>
              </w:rPr>
              <w:t>18,000,000</w:t>
            </w:r>
            <w:r>
              <w:rPr>
                <w:rFonts w:ascii="宋体" w:hAnsi="宋体" w:eastAsia="宋体"/>
                <w:b w:val="0"/>
                <w:i w:val="0"/>
                <w:color w:val="000000"/>
                <w:sz w:val="18"/>
              </w:rPr>
              <w:t xml:space="preserve"> 张</w:t>
            </w:r>
          </w:p>
        </w:tc>
        <w:tc>
          <w:tcPr>
            <w:tcW w:type="dxa" w:w="1134"/>
            <w:tcBorders>
              <w:start w:sz="1.6000000000003638"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390" w:after="0"/>
              <w:ind w:left="0" w:right="0" w:firstLine="0"/>
              <w:jc w:val="center"/>
            </w:pPr>
            <w:r>
              <w:rPr>
                <w:rFonts w:ascii="Times New Roman" w:hAnsi="Times New Roman" w:eastAsia="Times New Roman"/>
                <w:b w:val="0"/>
                <w:i w:val="0"/>
                <w:color w:val="000000"/>
                <w:sz w:val="18"/>
              </w:rPr>
              <w:t xml:space="preserve">2024.06.28 </w:t>
            </w:r>
          </w:p>
        </w:tc>
        <w:tc>
          <w:tcPr>
            <w:tcW w:type="dxa" w:w="1276"/>
            <w:tcBorders>
              <w:start w:sz="2.399999999999636"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00" w:lineRule="exact" w:before="390" w:after="0"/>
              <w:ind w:left="0" w:right="0" w:firstLine="0"/>
              <w:jc w:val="center"/>
            </w:pPr>
            <w:r>
              <w:rPr>
                <w:rFonts w:ascii="Times New Roman" w:hAnsi="Times New Roman" w:eastAsia="Times New Roman"/>
                <w:b w:val="0"/>
                <w:i w:val="0"/>
                <w:color w:val="000000"/>
                <w:sz w:val="18"/>
              </w:rPr>
              <w:t>18,000,000</w:t>
            </w:r>
            <w:r>
              <w:rPr>
                <w:rFonts w:ascii="宋体" w:hAnsi="宋体" w:eastAsia="宋体"/>
                <w:b w:val="0"/>
                <w:i w:val="0"/>
                <w:color w:val="000000"/>
                <w:sz w:val="18"/>
              </w:rPr>
              <w:t xml:space="preserve"> 张</w:t>
            </w:r>
          </w:p>
        </w:tc>
        <w:tc>
          <w:tcPr>
            <w:tcW w:type="dxa" w:w="1136"/>
            <w:tcBorders>
              <w:start w:sz="1.6000000000003638"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390" w:after="0"/>
              <w:ind w:left="0" w:right="0" w:firstLine="0"/>
              <w:jc w:val="center"/>
            </w:pPr>
            <w:r>
              <w:rPr>
                <w:rFonts w:ascii="Times New Roman" w:hAnsi="Times New Roman" w:eastAsia="Times New Roman"/>
                <w:b w:val="0"/>
                <w:i w:val="0"/>
                <w:color w:val="000000"/>
                <w:sz w:val="18"/>
              </w:rPr>
              <w:t xml:space="preserve">2027.06.23 </w:t>
            </w:r>
          </w:p>
        </w:tc>
        <w:tc>
          <w:tcPr>
            <w:tcW w:type="dxa" w:w="1160"/>
            <w:tcBorders>
              <w:start w:sz="1.599999999999909"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396" w:after="0"/>
              <w:ind w:left="0" w:right="0" w:firstLine="0"/>
              <w:jc w:val="center"/>
            </w:pPr>
            <w:r>
              <w:rPr>
                <w:rFonts w:ascii="宋体" w:hAnsi="宋体" w:eastAsia="宋体"/>
                <w:b w:val="0"/>
                <w:i w:val="0"/>
                <w:color w:val="000000"/>
                <w:sz w:val="18"/>
              </w:rPr>
              <w:t>巨潮资讯网</w:t>
            </w:r>
          </w:p>
        </w:tc>
        <w:tc>
          <w:tcPr>
            <w:tcW w:type="dxa" w:w="1070"/>
            <w:tcBorders>
              <w:start w:sz="2.399999999999636"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233" w:lineRule="auto" w:before="390" w:after="0"/>
              <w:ind w:left="0" w:right="0" w:firstLine="0"/>
              <w:jc w:val="center"/>
            </w:pPr>
            <w:r>
              <w:rPr>
                <w:rFonts w:ascii="Times New Roman" w:hAnsi="Times New Roman" w:eastAsia="Times New Roman"/>
                <w:b w:val="0"/>
                <w:i w:val="0"/>
                <w:color w:val="000000"/>
                <w:sz w:val="18"/>
              </w:rPr>
              <w:t xml:space="preserve">2024.06.19 </w:t>
            </w:r>
          </w:p>
        </w:tc>
      </w:tr>
      <w:tr>
        <w:trPr>
          <w:trHeight w:hRule="exact" w:val="964"/>
        </w:trPr>
        <w:tc>
          <w:tcPr>
            <w:tcW w:type="dxa" w:w="1810"/>
            <w:tcBorders>
              <w:start w:sz="1.5999999999999943" w:val="single" w:color="#000000"/>
              <w:top w:sz="1.6000000000003638" w:val="single" w:color="#000000"/>
              <w:end w:sz="1.6000000000000227" w:val="single" w:color="#000000"/>
              <w:bottom w:sz="1.5999999999994543" w:val="single" w:color="#000000"/>
            </w:tcBorders>
            <w:tcMar>
              <w:start w:w="0" w:type="dxa"/>
              <w:end w:w="0" w:type="dxa"/>
            </w:tcMar>
          </w:tcPr>
          <w:p>
            <w:pPr>
              <w:autoSpaceDN w:val="0"/>
              <w:autoSpaceDE w:val="0"/>
              <w:widowControl/>
              <w:spacing w:line="234" w:lineRule="exact" w:before="0" w:after="0"/>
              <w:ind w:left="108" w:right="144" w:firstLine="0"/>
              <w:jc w:val="left"/>
            </w:pPr>
            <w:r>
              <w:rPr>
                <w:rFonts w:ascii="宋体" w:hAnsi="宋体" w:eastAsia="宋体"/>
                <w:b w:val="0"/>
                <w:i w:val="0"/>
                <w:color w:val="000000"/>
                <w:sz w:val="18"/>
              </w:rPr>
              <w:t>山西证券股份有限</w:t>
            </w:r>
            <w:r>
              <w:rPr>
                <w:rFonts w:ascii="宋体" w:hAnsi="宋体" w:eastAsia="宋体"/>
                <w:b w:val="0"/>
                <w:i w:val="0"/>
                <w:color w:val="000000"/>
                <w:sz w:val="18"/>
              </w:rPr>
              <w:t>公司2024 年面向专</w:t>
            </w:r>
            <w:r>
              <w:rPr>
                <w:rFonts w:ascii="宋体" w:hAnsi="宋体" w:eastAsia="宋体"/>
                <w:b w:val="0"/>
                <w:i w:val="0"/>
                <w:color w:val="000000"/>
                <w:sz w:val="18"/>
              </w:rPr>
              <w:t>业投资者公开发行</w:t>
            </w:r>
            <w:r>
              <w:rPr>
                <w:rFonts w:ascii="宋体" w:hAnsi="宋体" w:eastAsia="宋体"/>
                <w:b w:val="0"/>
                <w:i w:val="0"/>
                <w:color w:val="000000"/>
                <w:sz w:val="18"/>
              </w:rPr>
              <w:t xml:space="preserve">公司债券(第二期) </w:t>
            </w:r>
          </w:p>
        </w:tc>
        <w:tc>
          <w:tcPr>
            <w:tcW w:type="dxa" w:w="1134"/>
            <w:tcBorders>
              <w:start w:sz="1.6000000000000227"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2024.07.18 </w:t>
            </w:r>
          </w:p>
        </w:tc>
        <w:tc>
          <w:tcPr>
            <w:tcW w:type="dxa" w:w="852"/>
            <w:tcBorders>
              <w:start w:sz="1.599999999999909"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2.14% </w:t>
            </w:r>
          </w:p>
        </w:tc>
        <w:tc>
          <w:tcPr>
            <w:tcW w:type="dxa" w:w="1416"/>
            <w:tcBorders>
              <w:start w:sz="1.6000000000001364"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8" w:lineRule="exact" w:before="392" w:after="0"/>
              <w:ind w:left="0" w:right="0" w:firstLine="0"/>
              <w:jc w:val="center"/>
            </w:pPr>
            <w:r>
              <w:rPr>
                <w:rFonts w:ascii="Times New Roman" w:hAnsi="Times New Roman" w:eastAsia="Times New Roman"/>
                <w:b w:val="0"/>
                <w:i w:val="0"/>
                <w:color w:val="000000"/>
                <w:sz w:val="18"/>
              </w:rPr>
              <w:t>17,000,000</w:t>
            </w:r>
            <w:r>
              <w:rPr>
                <w:rFonts w:ascii="宋体" w:hAnsi="宋体" w:eastAsia="宋体"/>
                <w:b w:val="0"/>
                <w:i w:val="0"/>
                <w:color w:val="000000"/>
                <w:sz w:val="18"/>
              </w:rPr>
              <w:t xml:space="preserve"> 张</w:t>
            </w:r>
          </w:p>
        </w:tc>
        <w:tc>
          <w:tcPr>
            <w:tcW w:type="dxa" w:w="1134"/>
            <w:tcBorders>
              <w:start w:sz="1.6000000000003638"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2024.07.29 </w:t>
            </w:r>
          </w:p>
        </w:tc>
        <w:tc>
          <w:tcPr>
            <w:tcW w:type="dxa" w:w="1276"/>
            <w:tcBorders>
              <w:start w:sz="2.399999999999636"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8" w:lineRule="exact" w:before="392" w:after="0"/>
              <w:ind w:left="0" w:right="0" w:firstLine="0"/>
              <w:jc w:val="center"/>
            </w:pPr>
            <w:r>
              <w:rPr>
                <w:rFonts w:ascii="Times New Roman" w:hAnsi="Times New Roman" w:eastAsia="Times New Roman"/>
                <w:b w:val="0"/>
                <w:i w:val="0"/>
                <w:color w:val="000000"/>
                <w:sz w:val="18"/>
              </w:rPr>
              <w:t>17,000,000</w:t>
            </w:r>
            <w:r>
              <w:rPr>
                <w:rFonts w:ascii="宋体" w:hAnsi="宋体" w:eastAsia="宋体"/>
                <w:b w:val="0"/>
                <w:i w:val="0"/>
                <w:color w:val="000000"/>
                <w:sz w:val="18"/>
              </w:rPr>
              <w:t xml:space="preserve"> 张</w:t>
            </w:r>
          </w:p>
        </w:tc>
        <w:tc>
          <w:tcPr>
            <w:tcW w:type="dxa" w:w="1136"/>
            <w:tcBorders>
              <w:start w:sz="1.6000000000003638"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2027.07.21 </w:t>
            </w:r>
          </w:p>
        </w:tc>
        <w:tc>
          <w:tcPr>
            <w:tcW w:type="dxa" w:w="1160"/>
            <w:tcBorders>
              <w:start w:sz="1.599999999999909"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巨潮资讯网</w:t>
            </w:r>
          </w:p>
        </w:tc>
        <w:tc>
          <w:tcPr>
            <w:tcW w:type="dxa" w:w="1070"/>
            <w:tcBorders>
              <w:start w:sz="2.399999999999636"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2024.07.17 </w:t>
            </w:r>
          </w:p>
        </w:tc>
      </w:tr>
      <w:tr>
        <w:trPr>
          <w:trHeight w:hRule="exact" w:val="1206"/>
        </w:trPr>
        <w:tc>
          <w:tcPr>
            <w:tcW w:type="dxa" w:w="1810"/>
            <w:tcBorders>
              <w:start w:sz="1.5999999999999943" w:val="single" w:color="#000000"/>
              <w:top w:sz="1.5999999999994543" w:val="single" w:color="#000000"/>
              <w:end w:sz="1.6000000000000227" w:val="single" w:color="#000000"/>
              <w:bottom w:sz="1.6000000000003638" w:val="single" w:color="#000000"/>
            </w:tcBorders>
            <w:tcMar>
              <w:start w:w="0" w:type="dxa"/>
              <w:end w:w="0" w:type="dxa"/>
            </w:tcMar>
          </w:tcPr>
          <w:p>
            <w:pPr>
              <w:autoSpaceDN w:val="0"/>
              <w:autoSpaceDE w:val="0"/>
              <w:widowControl/>
              <w:spacing w:line="236" w:lineRule="exact" w:before="0" w:after="0"/>
              <w:ind w:left="108" w:right="144" w:firstLine="0"/>
              <w:jc w:val="left"/>
            </w:pPr>
            <w:r>
              <w:rPr>
                <w:rFonts w:ascii="宋体" w:hAnsi="宋体" w:eastAsia="宋体"/>
                <w:b w:val="0"/>
                <w:i w:val="0"/>
                <w:color w:val="000000"/>
                <w:sz w:val="18"/>
              </w:rPr>
              <w:t>山西证券股份有限</w:t>
            </w:r>
            <w:r>
              <w:rPr>
                <w:rFonts w:ascii="宋体" w:hAnsi="宋体" w:eastAsia="宋体"/>
                <w:b w:val="0"/>
                <w:i w:val="0"/>
                <w:color w:val="000000"/>
                <w:sz w:val="18"/>
              </w:rPr>
              <w:t>公司2024 年面向专</w:t>
            </w:r>
            <w:r>
              <w:rPr>
                <w:rFonts w:ascii="宋体" w:hAnsi="宋体" w:eastAsia="宋体"/>
                <w:b w:val="0"/>
                <w:i w:val="0"/>
                <w:color w:val="000000"/>
                <w:sz w:val="18"/>
              </w:rPr>
              <w:t>业投资者公开发行</w:t>
            </w:r>
            <w:r>
              <w:rPr>
                <w:rFonts w:ascii="宋体" w:hAnsi="宋体" w:eastAsia="宋体"/>
                <w:b w:val="0"/>
                <w:i w:val="0"/>
                <w:color w:val="000000"/>
                <w:sz w:val="18"/>
              </w:rPr>
              <w:t>公司债券(第三</w:t>
            </w:r>
            <w:r>
              <w:br/>
            </w:r>
            <w:r>
              <w:rPr>
                <w:rFonts w:ascii="宋体" w:hAnsi="宋体" w:eastAsia="宋体"/>
                <w:b w:val="0"/>
                <w:i w:val="0"/>
                <w:color w:val="000000"/>
                <w:sz w:val="18"/>
              </w:rPr>
              <w:t xml:space="preserve">期)(品种二) </w:t>
            </w:r>
          </w:p>
        </w:tc>
        <w:tc>
          <w:tcPr>
            <w:tcW w:type="dxa" w:w="1134"/>
            <w:tcBorders>
              <w:start w:sz="1.6000000000000227"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12" w:after="0"/>
              <w:ind w:left="0" w:right="0" w:firstLine="0"/>
              <w:jc w:val="center"/>
            </w:pPr>
            <w:r>
              <w:rPr>
                <w:rFonts w:ascii="Times New Roman" w:hAnsi="Times New Roman" w:eastAsia="Times New Roman"/>
                <w:b w:val="0"/>
                <w:i w:val="0"/>
                <w:color w:val="000000"/>
                <w:sz w:val="18"/>
              </w:rPr>
              <w:t xml:space="preserve">2024.10.15 </w:t>
            </w:r>
          </w:p>
        </w:tc>
        <w:tc>
          <w:tcPr>
            <w:tcW w:type="dxa" w:w="852"/>
            <w:tcBorders>
              <w:start w:sz="1.599999999999909" w:val="single" w:color="#000000"/>
              <w:top w:sz="1.5999999999994543" w:val="single" w:color="#000000"/>
              <w:end w:sz="1.6000000000001364" w:val="single" w:color="#000000"/>
              <w:bottom w:sz="1.6000000000003638" w:val="single" w:color="#000000"/>
            </w:tcBorders>
            <w:tcMar>
              <w:start w:w="0" w:type="dxa"/>
              <w:end w:w="0" w:type="dxa"/>
            </w:tcMar>
          </w:tcPr>
          <w:p>
            <w:pPr>
              <w:autoSpaceDN w:val="0"/>
              <w:autoSpaceDE w:val="0"/>
              <w:widowControl/>
              <w:spacing w:line="233" w:lineRule="auto" w:before="512" w:after="0"/>
              <w:ind w:left="0" w:right="0" w:firstLine="0"/>
              <w:jc w:val="center"/>
            </w:pPr>
            <w:r>
              <w:rPr>
                <w:rFonts w:ascii="Times New Roman" w:hAnsi="Times New Roman" w:eastAsia="Times New Roman"/>
                <w:b w:val="0"/>
                <w:i w:val="0"/>
                <w:color w:val="000000"/>
                <w:sz w:val="18"/>
              </w:rPr>
              <w:t xml:space="preserve">2.25% </w:t>
            </w:r>
          </w:p>
        </w:tc>
        <w:tc>
          <w:tcPr>
            <w:tcW w:type="dxa" w:w="1416"/>
            <w:tcBorders>
              <w:start w:sz="1.6000000000001364"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00" w:lineRule="exact" w:before="512" w:after="0"/>
              <w:ind w:left="0" w:right="0" w:firstLine="0"/>
              <w:jc w:val="center"/>
            </w:pPr>
            <w:r>
              <w:rPr>
                <w:rFonts w:ascii="Times New Roman" w:hAnsi="Times New Roman" w:eastAsia="Times New Roman"/>
                <w:b w:val="0"/>
                <w:i w:val="0"/>
                <w:color w:val="000000"/>
                <w:sz w:val="18"/>
              </w:rPr>
              <w:t>18,000,000</w:t>
            </w:r>
            <w:r>
              <w:rPr>
                <w:rFonts w:ascii="宋体" w:hAnsi="宋体" w:eastAsia="宋体"/>
                <w:b w:val="0"/>
                <w:i w:val="0"/>
                <w:color w:val="000000"/>
                <w:sz w:val="18"/>
              </w:rPr>
              <w:t xml:space="preserve"> 张</w:t>
            </w:r>
          </w:p>
        </w:tc>
        <w:tc>
          <w:tcPr>
            <w:tcW w:type="dxa" w:w="1134"/>
            <w:tcBorders>
              <w:start w:sz="1.6000000000003638"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512" w:after="0"/>
              <w:ind w:left="0" w:right="0" w:firstLine="0"/>
              <w:jc w:val="center"/>
            </w:pPr>
            <w:r>
              <w:rPr>
                <w:rFonts w:ascii="Times New Roman" w:hAnsi="Times New Roman" w:eastAsia="Times New Roman"/>
                <w:b w:val="0"/>
                <w:i w:val="0"/>
                <w:color w:val="000000"/>
                <w:sz w:val="18"/>
              </w:rPr>
              <w:t xml:space="preserve">2024.10.24 </w:t>
            </w:r>
          </w:p>
        </w:tc>
        <w:tc>
          <w:tcPr>
            <w:tcW w:type="dxa" w:w="1276"/>
            <w:tcBorders>
              <w:start w:sz="2.399999999999636" w:val="single" w:color="#000000"/>
              <w:top w:sz="1.5999999999994543" w:val="single" w:color="#000000"/>
              <w:end w:sz="1.6000000000003638" w:val="single" w:color="#000000"/>
              <w:bottom w:sz="1.6000000000003638" w:val="single" w:color="#000000"/>
            </w:tcBorders>
            <w:tcMar>
              <w:start w:w="0" w:type="dxa"/>
              <w:end w:w="0" w:type="dxa"/>
            </w:tcMar>
          </w:tcPr>
          <w:p>
            <w:pPr>
              <w:autoSpaceDN w:val="0"/>
              <w:autoSpaceDE w:val="0"/>
              <w:widowControl/>
              <w:spacing w:line="200" w:lineRule="exact" w:before="512" w:after="0"/>
              <w:ind w:left="0" w:right="0" w:firstLine="0"/>
              <w:jc w:val="center"/>
            </w:pPr>
            <w:r>
              <w:rPr>
                <w:rFonts w:ascii="Times New Roman" w:hAnsi="Times New Roman" w:eastAsia="Times New Roman"/>
                <w:b w:val="0"/>
                <w:i w:val="0"/>
                <w:color w:val="000000"/>
                <w:sz w:val="18"/>
              </w:rPr>
              <w:t>18,000,000</w:t>
            </w:r>
            <w:r>
              <w:rPr>
                <w:rFonts w:ascii="宋体" w:hAnsi="宋体" w:eastAsia="宋体"/>
                <w:b w:val="0"/>
                <w:i w:val="0"/>
                <w:color w:val="000000"/>
                <w:sz w:val="18"/>
              </w:rPr>
              <w:t xml:space="preserve"> 张</w:t>
            </w:r>
          </w:p>
        </w:tc>
        <w:tc>
          <w:tcPr>
            <w:tcW w:type="dxa" w:w="1136"/>
            <w:tcBorders>
              <w:start w:sz="1.6000000000003638"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12" w:after="0"/>
              <w:ind w:left="0" w:right="0" w:firstLine="0"/>
              <w:jc w:val="center"/>
            </w:pPr>
            <w:r>
              <w:rPr>
                <w:rFonts w:ascii="Times New Roman" w:hAnsi="Times New Roman" w:eastAsia="Times New Roman"/>
                <w:b w:val="0"/>
                <w:i w:val="0"/>
                <w:color w:val="000000"/>
                <w:sz w:val="18"/>
              </w:rPr>
              <w:t xml:space="preserve">2027.10.16 </w:t>
            </w:r>
          </w:p>
        </w:tc>
        <w:tc>
          <w:tcPr>
            <w:tcW w:type="dxa" w:w="1160"/>
            <w:tcBorders>
              <w:start w:sz="1.599999999999909" w:val="single" w:color="#000000"/>
              <w:top w:sz="1.5999999999994543" w:val="single" w:color="#000000"/>
              <w:end w:sz="2.399999999999636" w:val="single" w:color="#000000"/>
              <w:bottom w:sz="1.6000000000003638" w:val="single" w:color="#000000"/>
            </w:tcBorders>
            <w:tcMar>
              <w:start w:w="0" w:type="dxa"/>
              <w:end w:w="0" w:type="dxa"/>
            </w:tcMar>
          </w:tcPr>
          <w:p>
            <w:pPr>
              <w:autoSpaceDN w:val="0"/>
              <w:autoSpaceDE w:val="0"/>
              <w:widowControl/>
              <w:spacing w:line="180" w:lineRule="exact" w:before="518" w:after="0"/>
              <w:ind w:left="128" w:right="0" w:firstLine="0"/>
              <w:jc w:val="left"/>
            </w:pPr>
            <w:r>
              <w:rPr>
                <w:rFonts w:ascii="宋体" w:hAnsi="宋体" w:eastAsia="宋体"/>
                <w:b w:val="0"/>
                <w:i w:val="0"/>
                <w:color w:val="000000"/>
                <w:sz w:val="18"/>
              </w:rPr>
              <w:t xml:space="preserve">巨潮资讯网 </w:t>
            </w:r>
          </w:p>
        </w:tc>
        <w:tc>
          <w:tcPr>
            <w:tcW w:type="dxa" w:w="1070"/>
            <w:tcBorders>
              <w:start w:sz="2.399999999999636" w:val="single" w:color="#000000"/>
              <w:top w:sz="1.5999999999994543" w:val="single" w:color="#000000"/>
              <w:end w:sz="1.5999999999994543" w:val="single" w:color="#000000"/>
              <w:bottom w:sz="1.6000000000003638" w:val="single" w:color="#000000"/>
            </w:tcBorders>
            <w:tcMar>
              <w:start w:w="0" w:type="dxa"/>
              <w:end w:w="0" w:type="dxa"/>
            </w:tcMar>
          </w:tcPr>
          <w:p>
            <w:pPr>
              <w:autoSpaceDN w:val="0"/>
              <w:autoSpaceDE w:val="0"/>
              <w:widowControl/>
              <w:spacing w:line="233" w:lineRule="auto" w:before="512" w:after="0"/>
              <w:ind w:left="0" w:right="0" w:firstLine="0"/>
              <w:jc w:val="center"/>
            </w:pPr>
            <w:r>
              <w:rPr>
                <w:rFonts w:ascii="Times New Roman" w:hAnsi="Times New Roman" w:eastAsia="Times New Roman"/>
                <w:b w:val="0"/>
                <w:i w:val="0"/>
                <w:color w:val="000000"/>
                <w:sz w:val="18"/>
              </w:rPr>
              <w:t xml:space="preserve">2024.10.14 </w:t>
            </w:r>
          </w:p>
        </w:tc>
      </w:tr>
      <w:tr>
        <w:trPr>
          <w:trHeight w:hRule="exact" w:val="964"/>
        </w:trPr>
        <w:tc>
          <w:tcPr>
            <w:tcW w:type="dxa" w:w="1810"/>
            <w:tcBorders>
              <w:start w:sz="1.5999999999999943" w:val="single" w:color="#000000"/>
              <w:top w:sz="1.6000000000003638" w:val="single" w:color="#000000"/>
              <w:end w:sz="1.6000000000000227" w:val="single" w:color="#000000"/>
              <w:bottom w:sz="1.5999999999994543" w:val="single" w:color="#000000"/>
            </w:tcBorders>
            <w:tcMar>
              <w:start w:w="0" w:type="dxa"/>
              <w:end w:w="0" w:type="dxa"/>
            </w:tcMar>
          </w:tcPr>
          <w:p>
            <w:pPr>
              <w:autoSpaceDN w:val="0"/>
              <w:autoSpaceDE w:val="0"/>
              <w:widowControl/>
              <w:spacing w:line="234" w:lineRule="exact" w:before="0" w:after="0"/>
              <w:ind w:left="108" w:right="144" w:firstLine="0"/>
              <w:jc w:val="left"/>
            </w:pPr>
            <w:r>
              <w:rPr>
                <w:rFonts w:ascii="宋体" w:hAnsi="宋体" w:eastAsia="宋体"/>
                <w:b w:val="0"/>
                <w:i w:val="0"/>
                <w:color w:val="000000"/>
                <w:sz w:val="18"/>
              </w:rPr>
              <w:t>山西证券股份有限</w:t>
            </w:r>
            <w:r>
              <w:rPr>
                <w:rFonts w:ascii="宋体" w:hAnsi="宋体" w:eastAsia="宋体"/>
                <w:b w:val="0"/>
                <w:i w:val="0"/>
                <w:color w:val="000000"/>
                <w:sz w:val="18"/>
              </w:rPr>
              <w:t>公司2024 年面向专</w:t>
            </w:r>
            <w:r>
              <w:rPr>
                <w:rFonts w:ascii="宋体" w:hAnsi="宋体" w:eastAsia="宋体"/>
                <w:b w:val="0"/>
                <w:i w:val="0"/>
                <w:color w:val="000000"/>
                <w:sz w:val="18"/>
              </w:rPr>
              <w:t>业投资者公开发行</w:t>
            </w:r>
            <w:r>
              <w:rPr>
                <w:rFonts w:ascii="宋体" w:hAnsi="宋体" w:eastAsia="宋体"/>
                <w:b w:val="0"/>
                <w:i w:val="0"/>
                <w:color w:val="000000"/>
                <w:sz w:val="18"/>
              </w:rPr>
              <w:t xml:space="preserve">公司债券(第四期) </w:t>
            </w:r>
          </w:p>
        </w:tc>
        <w:tc>
          <w:tcPr>
            <w:tcW w:type="dxa" w:w="1134"/>
            <w:tcBorders>
              <w:start w:sz="1.6000000000000227"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2024.12.03 </w:t>
            </w:r>
          </w:p>
        </w:tc>
        <w:tc>
          <w:tcPr>
            <w:tcW w:type="dxa" w:w="852"/>
            <w:tcBorders>
              <w:start w:sz="1.599999999999909"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2.03% </w:t>
            </w:r>
          </w:p>
        </w:tc>
        <w:tc>
          <w:tcPr>
            <w:tcW w:type="dxa" w:w="1416"/>
            <w:tcBorders>
              <w:start w:sz="1.6000000000001364"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8" w:lineRule="exact" w:before="392" w:after="0"/>
              <w:ind w:left="0" w:right="0" w:firstLine="0"/>
              <w:jc w:val="center"/>
            </w:pPr>
            <w:r>
              <w:rPr>
                <w:rFonts w:ascii="Times New Roman" w:hAnsi="Times New Roman" w:eastAsia="Times New Roman"/>
                <w:b w:val="0"/>
                <w:i w:val="0"/>
                <w:color w:val="000000"/>
                <w:sz w:val="18"/>
              </w:rPr>
              <w:t>7,000,000</w:t>
            </w:r>
            <w:r>
              <w:rPr>
                <w:rFonts w:ascii="宋体" w:hAnsi="宋体" w:eastAsia="宋体"/>
                <w:b w:val="0"/>
                <w:i w:val="0"/>
                <w:color w:val="000000"/>
                <w:sz w:val="18"/>
              </w:rPr>
              <w:t xml:space="preserve"> 张</w:t>
            </w:r>
          </w:p>
        </w:tc>
        <w:tc>
          <w:tcPr>
            <w:tcW w:type="dxa" w:w="1134"/>
            <w:tcBorders>
              <w:start w:sz="1.6000000000003638"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2024.12.11 </w:t>
            </w:r>
          </w:p>
        </w:tc>
        <w:tc>
          <w:tcPr>
            <w:tcW w:type="dxa" w:w="1276"/>
            <w:tcBorders>
              <w:start w:sz="2.399999999999636"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98" w:lineRule="exact" w:before="392" w:after="0"/>
              <w:ind w:left="0" w:right="0" w:firstLine="0"/>
              <w:jc w:val="center"/>
            </w:pPr>
            <w:r>
              <w:rPr>
                <w:rFonts w:ascii="Times New Roman" w:hAnsi="Times New Roman" w:eastAsia="Times New Roman"/>
                <w:b w:val="0"/>
                <w:i w:val="0"/>
                <w:color w:val="000000"/>
                <w:sz w:val="18"/>
              </w:rPr>
              <w:t>7,000,000</w:t>
            </w:r>
            <w:r>
              <w:rPr>
                <w:rFonts w:ascii="宋体" w:hAnsi="宋体" w:eastAsia="宋体"/>
                <w:b w:val="0"/>
                <w:i w:val="0"/>
                <w:color w:val="000000"/>
                <w:sz w:val="18"/>
              </w:rPr>
              <w:t xml:space="preserve"> 张</w:t>
            </w:r>
          </w:p>
        </w:tc>
        <w:tc>
          <w:tcPr>
            <w:tcW w:type="dxa" w:w="1136"/>
            <w:tcBorders>
              <w:start w:sz="1.6000000000003638"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2027.12.04 </w:t>
            </w:r>
          </w:p>
        </w:tc>
        <w:tc>
          <w:tcPr>
            <w:tcW w:type="dxa" w:w="1160"/>
            <w:tcBorders>
              <w:start w:sz="1.599999999999909" w:val="single" w:color="#000000"/>
              <w:top w:sz="1.6000000000003638"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398" w:after="0"/>
              <w:ind w:left="128" w:right="0" w:firstLine="0"/>
              <w:jc w:val="left"/>
            </w:pPr>
            <w:r>
              <w:rPr>
                <w:rFonts w:ascii="宋体" w:hAnsi="宋体" w:eastAsia="宋体"/>
                <w:b w:val="0"/>
                <w:i w:val="0"/>
                <w:color w:val="000000"/>
                <w:sz w:val="18"/>
              </w:rPr>
              <w:t xml:space="preserve">巨潮资讯网 </w:t>
            </w:r>
          </w:p>
        </w:tc>
        <w:tc>
          <w:tcPr>
            <w:tcW w:type="dxa" w:w="1070"/>
            <w:tcBorders>
              <w:start w:sz="2.399999999999636"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230" w:lineRule="auto" w:before="392" w:after="0"/>
              <w:ind w:left="0" w:right="0" w:firstLine="0"/>
              <w:jc w:val="center"/>
            </w:pPr>
            <w:r>
              <w:rPr>
                <w:rFonts w:ascii="Times New Roman" w:hAnsi="Times New Roman" w:eastAsia="Times New Roman"/>
                <w:b w:val="0"/>
                <w:i w:val="0"/>
                <w:color w:val="000000"/>
                <w:sz w:val="18"/>
              </w:rPr>
              <w:t xml:space="preserve">2024.12.02 </w:t>
            </w:r>
          </w:p>
        </w:tc>
      </w:tr>
    </w:tbl>
    <w:p>
      <w:pPr>
        <w:autoSpaceDN w:val="0"/>
        <w:autoSpaceDE w:val="0"/>
        <w:widowControl/>
        <w:spacing w:line="197" w:lineRule="auto" w:before="682" w:after="0"/>
        <w:ind w:left="0" w:right="0" w:firstLine="0"/>
        <w:jc w:val="center"/>
      </w:pPr>
      <w:r>
        <w:rPr>
          <w:rFonts w:ascii="Calibri" w:hAnsi="Calibri" w:eastAsia="Calibri"/>
          <w:b w:val="0"/>
          <w:i w:val="0"/>
          <w:color w:val="000000"/>
          <w:sz w:val="18"/>
        </w:rPr>
        <w:t xml:space="preserve">126 </w:t>
      </w:r>
    </w:p>
    <w:p>
      <w:pPr>
        <w:sectPr>
          <w:type w:val="continuous"/>
          <w:pgSz w:w="11904" w:h="16841"/>
          <w:pgMar w:top="424" w:right="436" w:bottom="446" w:left="456" w:header="720" w:footer="720" w:gutter="0"/>
          <w:cols/>
          <w:docGrid w:linePitch="360"/>
        </w:sectPr>
      </w:pPr>
    </w:p>
    <w:p>
      <w:pPr>
        <w:autoSpaceDN w:val="0"/>
        <w:autoSpaceDE w:val="0"/>
        <w:widowControl/>
        <w:spacing w:line="220" w:lineRule="exact" w:before="0" w:after="206"/>
        <w:ind w:left="0" w:right="0"/>
      </w:pPr>
    </w:p>
    <w:p>
      <w:pPr>
        <w:sectPr>
          <w:pgSz w:w="11904" w:h="16841"/>
          <w:pgMar w:top="424" w:right="612" w:bottom="446" w:left="634" w:header="720" w:footer="720" w:gutter="0"/>
          <w:cols/>
          <w:docGrid w:linePitch="360"/>
        </w:sectPr>
      </w:pPr>
    </w:p>
    <w:p>
      <w:pPr>
        <w:autoSpaceDN w:val="0"/>
        <w:autoSpaceDE w:val="0"/>
        <w:widowControl/>
        <w:spacing w:line="240" w:lineRule="auto" w:before="0" w:after="0"/>
        <w:ind w:left="500" w:right="0" w:firstLine="0"/>
        <w:jc w:val="left"/>
      </w:pPr>
      <w:r>
        <w:drawing>
          <wp:inline xmlns:a="http://schemas.openxmlformats.org/drawingml/2006/main" xmlns:pic="http://schemas.openxmlformats.org/drawingml/2006/picture">
            <wp:extent cx="1844039" cy="439419"/>
            <wp:docPr id="129" name="Picture 12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612" w:bottom="446" w:left="634" w:header="720" w:footer="720" w:gutter="0"/>
          <w:cols w:num="2" w:equalWidth="0">
            <w:col w:w="5906" w:space="0"/>
            <w:col w:w="4752" w:space="0"/>
          </w:cols>
          <w:docGrid w:linePitch="360"/>
        </w:sectPr>
      </w:pPr>
    </w:p>
    <w:p>
      <w:pPr>
        <w:autoSpaceDN w:val="0"/>
        <w:autoSpaceDE w:val="0"/>
        <w:widowControl/>
        <w:spacing w:line="200" w:lineRule="exact" w:before="0" w:after="30"/>
        <w:ind w:left="0" w:right="53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612" w:bottom="446" w:left="634" w:header="720" w:footer="720" w:gutter="0"/>
          <w:cols w:num="2" w:equalWidth="0">
            <w:col w:w="5906" w:space="0"/>
            <w:col w:w="4752" w:space="0"/>
          </w:cols>
          <w:docGrid w:linePitch="360"/>
        </w:sectPr>
      </w:pPr>
    </w:p>
    <w:p>
      <w:pPr>
        <w:autoSpaceDN w:val="0"/>
        <w:autoSpaceDE w:val="0"/>
        <w:widowControl/>
        <w:spacing w:line="210" w:lineRule="exact" w:before="56" w:after="0"/>
        <w:ind w:left="500" w:right="0" w:firstLine="0"/>
        <w:jc w:val="left"/>
      </w:pPr>
      <w:r>
        <w:rPr>
          <w:rFonts w:ascii="宋体" w:hAnsi="宋体" w:eastAsia="宋体"/>
          <w:b w:val="0"/>
          <w:i w:val="0"/>
          <w:color w:val="000000"/>
          <w:sz w:val="21"/>
        </w:rPr>
        <w:t xml:space="preserve">2、公司股份总数及股东结构的变动、公司资产和负债结构的变动情况说明 </w:t>
      </w:r>
    </w:p>
    <w:p>
      <w:pPr>
        <w:autoSpaceDN w:val="0"/>
        <w:autoSpaceDE w:val="0"/>
        <w:widowControl/>
        <w:spacing w:line="234" w:lineRule="exact" w:before="512" w:after="0"/>
        <w:ind w:left="920" w:right="0" w:firstLine="0"/>
        <w:jc w:val="left"/>
      </w:pPr>
      <w:r>
        <w:rPr>
          <w:rFonts w:ascii="宋体" w:hAnsi="宋体" w:eastAsia="宋体"/>
          <w:b w:val="0"/>
          <w:i w:val="0"/>
          <w:color w:val="000000"/>
          <w:sz w:val="21"/>
        </w:rPr>
        <w:t>报告期内，公司偿还</w:t>
      </w:r>
      <w:r>
        <w:rPr>
          <w:rFonts w:ascii="Calibri" w:hAnsi="Calibri" w:eastAsia="Calibri"/>
          <w:b w:val="0"/>
          <w:i w:val="0"/>
          <w:color w:val="000000"/>
          <w:sz w:val="21"/>
        </w:rPr>
        <w:t>27</w:t>
      </w:r>
      <w:r>
        <w:rPr>
          <w:rFonts w:ascii="宋体" w:hAnsi="宋体" w:eastAsia="宋体"/>
          <w:b w:val="0"/>
          <w:i w:val="0"/>
          <w:color w:val="000000"/>
          <w:sz w:val="21"/>
        </w:rPr>
        <w:t xml:space="preserve"> 亿元次级债、</w:t>
      </w:r>
      <w:r>
        <w:rPr>
          <w:rFonts w:ascii="Calibri" w:hAnsi="Calibri" w:eastAsia="Calibri"/>
          <w:b w:val="0"/>
          <w:i w:val="0"/>
          <w:color w:val="000000"/>
          <w:sz w:val="21"/>
        </w:rPr>
        <w:t>25</w:t>
      </w:r>
      <w:r>
        <w:rPr>
          <w:rFonts w:ascii="宋体" w:hAnsi="宋体" w:eastAsia="宋体"/>
          <w:b w:val="0"/>
          <w:i w:val="0"/>
          <w:color w:val="000000"/>
          <w:sz w:val="21"/>
        </w:rPr>
        <w:t xml:space="preserve"> 亿元公司债、</w:t>
      </w:r>
      <w:r>
        <w:rPr>
          <w:rFonts w:ascii="Calibri" w:hAnsi="Calibri" w:eastAsia="Calibri"/>
          <w:b w:val="0"/>
          <w:i w:val="0"/>
          <w:color w:val="000000"/>
          <w:sz w:val="21"/>
        </w:rPr>
        <w:t>2</w:t>
      </w:r>
      <w:r>
        <w:rPr>
          <w:rFonts w:ascii="宋体" w:hAnsi="宋体" w:eastAsia="宋体"/>
          <w:b w:val="0"/>
          <w:i w:val="0"/>
          <w:color w:val="000000"/>
          <w:sz w:val="21"/>
        </w:rPr>
        <w:t xml:space="preserve"> 亿美元债。</w:t>
      </w:r>
      <w:r>
        <w:rPr>
          <w:rFonts w:ascii="Calibri" w:hAnsi="Calibri" w:eastAsia="Calibri"/>
          <w:b w:val="0"/>
          <w:i w:val="0"/>
          <w:color w:val="000000"/>
          <w:sz w:val="21"/>
        </w:rPr>
        <w:t>2024</w:t>
      </w:r>
      <w:r>
        <w:rPr>
          <w:rFonts w:ascii="宋体" w:hAnsi="宋体" w:eastAsia="宋体"/>
          <w:b w:val="0"/>
          <w:i w:val="0"/>
          <w:color w:val="000000"/>
          <w:sz w:val="21"/>
        </w:rPr>
        <w:t xml:space="preserve"> 年</w:t>
      </w:r>
      <w:r>
        <w:rPr>
          <w:rFonts w:ascii="Calibri" w:hAnsi="Calibri" w:eastAsia="Calibri"/>
          <w:b w:val="0"/>
          <w:i w:val="0"/>
          <w:color w:val="000000"/>
          <w:sz w:val="21"/>
        </w:rPr>
        <w:t>6</w:t>
      </w:r>
      <w:r>
        <w:rPr>
          <w:rFonts w:ascii="宋体" w:hAnsi="宋体" w:eastAsia="宋体"/>
          <w:b w:val="0"/>
          <w:i w:val="0"/>
          <w:color w:val="000000"/>
          <w:sz w:val="21"/>
        </w:rPr>
        <w:t xml:space="preserve"> 月至</w:t>
      </w:r>
      <w:r>
        <w:rPr>
          <w:rFonts w:ascii="Calibri" w:hAnsi="Calibri" w:eastAsia="Calibri"/>
          <w:b w:val="0"/>
          <w:i w:val="0"/>
          <w:color w:val="000000"/>
          <w:sz w:val="21"/>
        </w:rPr>
        <w:t>12</w:t>
      </w:r>
      <w:r>
        <w:rPr>
          <w:rFonts w:ascii="宋体" w:hAnsi="宋体" w:eastAsia="宋体"/>
          <w:b w:val="0"/>
          <w:i w:val="0"/>
          <w:color w:val="000000"/>
          <w:sz w:val="21"/>
        </w:rPr>
        <w:t xml:space="preserve"> 月发行</w:t>
      </w:r>
      <w:r>
        <w:rPr>
          <w:rFonts w:ascii="Calibri" w:hAnsi="Calibri" w:eastAsia="Calibri"/>
          <w:b w:val="0"/>
          <w:i w:val="0"/>
          <w:color w:val="000000"/>
          <w:sz w:val="21"/>
        </w:rPr>
        <w:t>60</w:t>
      </w:r>
      <w:r>
        <w:rPr>
          <w:rFonts w:ascii="宋体" w:hAnsi="宋体" w:eastAsia="宋体"/>
          <w:b w:val="0"/>
          <w:i w:val="0"/>
          <w:color w:val="000000"/>
          <w:sz w:val="21"/>
        </w:rPr>
        <w:t xml:space="preserve"> 亿</w:t>
      </w:r>
    </w:p>
    <w:p>
      <w:pPr>
        <w:autoSpaceDN w:val="0"/>
        <w:autoSpaceDE w:val="0"/>
        <w:widowControl/>
        <w:spacing w:line="236" w:lineRule="exact" w:before="226" w:after="0"/>
        <w:ind w:left="500" w:right="0" w:firstLine="0"/>
        <w:jc w:val="left"/>
      </w:pPr>
      <w:r>
        <w:rPr>
          <w:rFonts w:ascii="宋体" w:hAnsi="宋体" w:eastAsia="宋体"/>
          <w:b w:val="0"/>
          <w:i w:val="0"/>
          <w:color w:val="000000"/>
          <w:sz w:val="21"/>
        </w:rPr>
        <w:t>元公司债。公司资产负债结构变动详见本报告</w:t>
      </w:r>
      <w:r>
        <w:rPr>
          <w:rFonts w:ascii="Calibri" w:hAnsi="Calibri" w:eastAsia="Calibri"/>
          <w:b w:val="0"/>
          <w:i w:val="0"/>
          <w:color w:val="000000"/>
          <w:sz w:val="21"/>
        </w:rPr>
        <w:t>“</w:t>
      </w:r>
      <w:r>
        <w:rPr>
          <w:rFonts w:ascii="宋体" w:hAnsi="宋体" w:eastAsia="宋体"/>
          <w:b w:val="0"/>
          <w:i w:val="0"/>
          <w:color w:val="000000"/>
          <w:sz w:val="21"/>
        </w:rPr>
        <w:t>第三节管理层讨论与分析</w:t>
      </w:r>
      <w:r>
        <w:rPr>
          <w:rFonts w:ascii="Calibri" w:hAnsi="Calibri" w:eastAsia="Calibri"/>
          <w:b w:val="0"/>
          <w:i w:val="0"/>
          <w:color w:val="000000"/>
          <w:sz w:val="21"/>
        </w:rPr>
        <w:t>‘</w:t>
      </w:r>
      <w:r>
        <w:rPr>
          <w:rFonts w:ascii="宋体" w:hAnsi="宋体" w:eastAsia="宋体"/>
          <w:b w:val="0"/>
          <w:i w:val="0"/>
          <w:color w:val="000000"/>
          <w:sz w:val="21"/>
        </w:rPr>
        <w:t>七、资产及负债状况分析</w:t>
      </w:r>
      <w:r>
        <w:rPr>
          <w:rFonts w:ascii="Calibri" w:hAnsi="Calibri" w:eastAsia="Calibri"/>
          <w:b w:val="0"/>
          <w:i w:val="0"/>
          <w:color w:val="000000"/>
          <w:sz w:val="21"/>
        </w:rPr>
        <w:t>’”</w:t>
      </w:r>
      <w:r>
        <w:rPr>
          <w:rFonts w:ascii="宋体" w:hAnsi="宋体" w:eastAsia="宋体"/>
          <w:b w:val="0"/>
          <w:i w:val="0"/>
          <w:color w:val="000000"/>
          <w:sz w:val="21"/>
        </w:rPr>
        <w:t>。</w:t>
      </w:r>
    </w:p>
    <w:p>
      <w:pPr>
        <w:autoSpaceDN w:val="0"/>
        <w:autoSpaceDE w:val="0"/>
        <w:widowControl/>
        <w:spacing w:line="210" w:lineRule="exact" w:before="382" w:after="0"/>
        <w:ind w:left="500" w:right="0" w:firstLine="0"/>
        <w:jc w:val="left"/>
      </w:pPr>
      <w:r>
        <w:rPr>
          <w:rFonts w:ascii="宋体" w:hAnsi="宋体" w:eastAsia="宋体"/>
          <w:b w:val="0"/>
          <w:i w:val="0"/>
          <w:color w:val="000000"/>
          <w:sz w:val="21"/>
        </w:rPr>
        <w:t xml:space="preserve">3、现存的内部职工股情况 </w:t>
      </w:r>
    </w:p>
    <w:p>
      <w:pPr>
        <w:autoSpaceDN w:val="0"/>
        <w:autoSpaceDE w:val="0"/>
        <w:widowControl/>
        <w:spacing w:line="180" w:lineRule="exact" w:before="362" w:after="0"/>
        <w:ind w:left="500"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500" w:right="0" w:firstLine="0"/>
        <w:jc w:val="left"/>
      </w:pPr>
      <w:r>
        <w:rPr>
          <w:rFonts w:ascii="宋体" w:hAnsi="宋体" w:eastAsia="宋体"/>
          <w:b w:val="0"/>
          <w:i w:val="0"/>
          <w:color w:val="000000"/>
          <w:sz w:val="24"/>
        </w:rPr>
        <w:t xml:space="preserve">三、股东和实际控制人情况 </w:t>
      </w:r>
    </w:p>
    <w:p>
      <w:pPr>
        <w:autoSpaceDN w:val="0"/>
        <w:autoSpaceDE w:val="0"/>
        <w:widowControl/>
        <w:spacing w:line="212" w:lineRule="exact" w:before="372" w:after="0"/>
        <w:ind w:left="500" w:right="0" w:firstLine="0"/>
        <w:jc w:val="left"/>
      </w:pPr>
      <w:r>
        <w:rPr>
          <w:rFonts w:ascii="宋体" w:hAnsi="宋体" w:eastAsia="宋体"/>
          <w:b w:val="0"/>
          <w:i w:val="0"/>
          <w:color w:val="000000"/>
          <w:sz w:val="21"/>
        </w:rPr>
        <w:t xml:space="preserve">1、公司股东数量及持股情况 </w:t>
      </w:r>
    </w:p>
    <w:p>
      <w:pPr>
        <w:autoSpaceDN w:val="0"/>
        <w:autoSpaceDE w:val="0"/>
        <w:widowControl/>
        <w:spacing w:line="180" w:lineRule="exact" w:before="362" w:after="142"/>
        <w:ind w:left="0" w:right="616" w:firstLine="0"/>
        <w:jc w:val="right"/>
      </w:pPr>
      <w:r>
        <w:rPr>
          <w:rFonts w:ascii="宋体" w:hAnsi="宋体" w:eastAsia="宋体"/>
          <w:b w:val="0"/>
          <w:i w:val="0"/>
          <w:color w:val="000000"/>
          <w:sz w:val="18"/>
        </w:rPr>
        <w:t xml:space="preserve">单位：股 </w:t>
      </w:r>
    </w:p>
    <w:tbl>
      <w:tblPr>
        <w:tblW w:type="auto" w:w="0"/>
        <w:tblLayout w:type="fixed"/>
        <w:tblLook w:firstColumn="1" w:firstRow="1" w:lastColumn="0" w:lastRow="0" w:noHBand="0" w:noVBand="1" w:val="04A0"/>
        <w:tblInd w:w="2.0000000000000284" w:type="dxa"/>
      </w:tblPr>
      <w:tblGrid>
        <w:gridCol w:w="969"/>
        <w:gridCol w:w="969"/>
        <w:gridCol w:w="969"/>
        <w:gridCol w:w="969"/>
        <w:gridCol w:w="969"/>
        <w:gridCol w:w="969"/>
        <w:gridCol w:w="969"/>
        <w:gridCol w:w="969"/>
        <w:gridCol w:w="969"/>
        <w:gridCol w:w="969"/>
        <w:gridCol w:w="969"/>
      </w:tblGrid>
      <w:tr>
        <w:trPr>
          <w:trHeight w:hRule="exact" w:val="408"/>
        </w:trPr>
        <w:tc>
          <w:tcPr>
            <w:tcW w:type="dxa" w:w="3546"/>
            <w:gridSpan w:val="3"/>
            <w:tcBorders>
              <w:start w:sz="1.5999999999999943" w:val="single" w:color="#000000"/>
              <w:top w:sz="2.400000000000091" w:val="single" w:color="#000000"/>
              <w:end w:sz="1.599999999999909" w:val="single" w:color="#000000"/>
              <w:bottom w:sz="2.400000000000091"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t xml:space="preserve">报告期末普通股股东总数（户） </w:t>
            </w:r>
          </w:p>
        </w:tc>
        <w:tc>
          <w:tcPr>
            <w:tcW w:type="dxa" w:w="1274"/>
            <w:gridSpan w:val="2"/>
            <w:tcBorders>
              <w:start w:sz="1.599999999999909" w:val="single" w:color="#000000"/>
              <w:top w:sz="2.400000000000091" w:val="single" w:color="#000000"/>
              <w:end w:sz="1.599999999999909"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230" w:lineRule="auto" w:before="140" w:after="0"/>
              <w:ind w:left="0" w:right="58" w:firstLine="0"/>
              <w:jc w:val="right"/>
            </w:pPr>
            <w:r>
              <w:rPr>
                <w:rFonts w:ascii="Times New Roman" w:hAnsi="Times New Roman" w:eastAsia="Times New Roman"/>
                <w:b w:val="0"/>
                <w:i w:val="0"/>
                <w:color w:val="000000"/>
                <w:sz w:val="18"/>
              </w:rPr>
              <w:t xml:space="preserve">126,638 </w:t>
            </w:r>
          </w:p>
        </w:tc>
        <w:tc>
          <w:tcPr>
            <w:tcW w:type="dxa" w:w="4538"/>
            <w:gridSpan w:val="4"/>
            <w:tcBorders>
              <w:start w:sz="1.599999999999909" w:val="single" w:color="#000000"/>
              <w:top w:sz="2.400000000000091" w:val="single" w:color="#000000"/>
              <w:end w:sz="1.599999999999909" w:val="single" w:color="#000000"/>
              <w:bottom w:sz="2.400000000000091"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4" w:after="0"/>
              <w:ind w:left="110" w:right="0" w:firstLine="0"/>
              <w:jc w:val="left"/>
            </w:pPr>
            <w:r>
              <w:rPr>
                <w:rFonts w:ascii="宋体" w:hAnsi="宋体" w:eastAsia="宋体"/>
                <w:b w:val="0"/>
                <w:i w:val="0"/>
                <w:color w:val="000000"/>
                <w:sz w:val="18"/>
              </w:rPr>
              <w:t xml:space="preserve">年度报告披露日前上一月末普通股股东总数（户） </w:t>
            </w:r>
          </w:p>
        </w:tc>
        <w:tc>
          <w:tcPr>
            <w:tcW w:type="dxa" w:w="1276"/>
            <w:gridSpan w:val="2"/>
            <w:tcBorders>
              <w:start w:sz="1.599999999999909" w:val="single" w:color="#000000"/>
              <w:top w:sz="2.400000000000091" w:val="single" w:color="#000000"/>
              <w:end w:sz="1.6000000000003638"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230" w:lineRule="auto" w:before="140" w:after="0"/>
              <w:ind w:left="0" w:right="60" w:firstLine="0"/>
              <w:jc w:val="right"/>
            </w:pPr>
            <w:r>
              <w:rPr>
                <w:rFonts w:ascii="Times New Roman" w:hAnsi="Times New Roman" w:eastAsia="Times New Roman"/>
                <w:b w:val="0"/>
                <w:i w:val="0"/>
                <w:color w:val="000000"/>
                <w:sz w:val="18"/>
              </w:rPr>
              <w:t xml:space="preserve">119,071 </w:t>
            </w:r>
          </w:p>
        </w:tc>
      </w:tr>
      <w:tr>
        <w:trPr>
          <w:trHeight w:hRule="exact" w:val="404"/>
        </w:trPr>
        <w:tc>
          <w:tcPr>
            <w:tcW w:type="dxa" w:w="10634"/>
            <w:gridSpan w:val="11"/>
            <w:tcBorders>
              <w:start w:sz="1.5999999999999943" w:val="single" w:color="#000000"/>
              <w:top w:sz="2.400000000000091" w:val="single" w:color="#000000"/>
              <w:end w:sz="1.6000000000003638" w:val="single" w:color="#000000"/>
              <w:bottom w:sz="1.599999999999909"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2456" w:right="0" w:firstLine="0"/>
              <w:jc w:val="left"/>
            </w:pPr>
            <w:r>
              <w:rPr>
                <w:rFonts w:ascii="宋体" w:hAnsi="宋体" w:eastAsia="宋体"/>
                <w:b w:val="0"/>
                <w:i w:val="0"/>
                <w:color w:val="000000"/>
                <w:sz w:val="18"/>
              </w:rPr>
              <w:t xml:space="preserve">持股5%以上的股东或前10 名股东持股情况（不含通过转融通出借股份） </w:t>
            </w:r>
          </w:p>
        </w:tc>
      </w:tr>
      <w:tr>
        <w:trPr>
          <w:trHeight w:hRule="exact" w:val="726"/>
        </w:trPr>
        <w:tc>
          <w:tcPr>
            <w:tcW w:type="dxa" w:w="2058"/>
            <w:vMerge w:val="restart"/>
            <w:tcBorders>
              <w:start w:sz="1.5999999999999943" w:val="single" w:color="#000000"/>
              <w:top w:sz="1.599999999999909" w:val="single" w:color="#000000"/>
              <w:end w:sz="2.400000000000091"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180" w:lineRule="exact" w:before="666" w:after="0"/>
              <w:ind w:left="0" w:right="576" w:firstLine="0"/>
              <w:jc w:val="right"/>
            </w:pPr>
            <w:r>
              <w:rPr>
                <w:rFonts w:ascii="宋体" w:hAnsi="宋体" w:eastAsia="宋体"/>
                <w:b w:val="0"/>
                <w:i w:val="0"/>
                <w:color w:val="000000"/>
                <w:sz w:val="18"/>
              </w:rPr>
              <w:t xml:space="preserve">股东名称 </w:t>
            </w:r>
          </w:p>
        </w:tc>
        <w:tc>
          <w:tcPr>
            <w:tcW w:type="dxa" w:w="1274"/>
            <w:vMerge w:val="restart"/>
            <w:tcBorders>
              <w:start w:sz="2.400000000000091" w:val="single" w:color="#000000"/>
              <w:top w:sz="1.599999999999909" w:val="single" w:color="#000000"/>
              <w:end w:sz="1.599999999999909"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180" w:lineRule="exact" w:before="666" w:after="0"/>
              <w:ind w:left="276" w:right="0" w:firstLine="0"/>
              <w:jc w:val="left"/>
            </w:pPr>
            <w:r>
              <w:rPr>
                <w:rFonts w:ascii="宋体" w:hAnsi="宋体" w:eastAsia="宋体"/>
                <w:b w:val="0"/>
                <w:i w:val="0"/>
                <w:color w:val="000000"/>
                <w:sz w:val="18"/>
              </w:rPr>
              <w:t xml:space="preserve">股东性质 </w:t>
            </w:r>
          </w:p>
        </w:tc>
        <w:tc>
          <w:tcPr>
            <w:tcW w:type="dxa" w:w="994"/>
            <w:gridSpan w:val="2"/>
            <w:vMerge w:val="restart"/>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tabs>
                <w:tab w:pos="272" w:val="left"/>
              </w:tabs>
              <w:autoSpaceDE w:val="0"/>
              <w:widowControl/>
              <w:spacing w:line="320" w:lineRule="exact" w:before="366" w:after="0"/>
              <w:ind w:left="138" w:right="0" w:firstLine="0"/>
              <w:jc w:val="left"/>
            </w:pPr>
            <w:r>
              <w:rPr>
                <w:rFonts w:ascii="宋体" w:hAnsi="宋体" w:eastAsia="宋体"/>
                <w:b w:val="0"/>
                <w:i w:val="0"/>
                <w:color w:val="000000"/>
                <w:sz w:val="18"/>
              </w:rPr>
              <w:t>持股比例</w:t>
            </w:r>
            <w:r>
              <w:rPr>
                <w:rFonts w:ascii="宋体" w:hAnsi="宋体" w:eastAsia="宋体"/>
                <w:b w:val="0"/>
                <w:i w:val="0"/>
                <w:color w:val="000000"/>
                <w:sz w:val="18"/>
              </w:rPr>
              <w:t xml:space="preserve">（%） </w:t>
            </w:r>
          </w:p>
        </w:tc>
        <w:tc>
          <w:tcPr>
            <w:tcW w:type="dxa" w:w="1416"/>
            <w:gridSpan w:val="2"/>
            <w:vMerge w:val="restart"/>
            <w:tcBorders>
              <w:start w:sz="1.599999999999909" w:val="single" w:color="#000000"/>
              <w:top w:sz="1.599999999999909" w:val="single" w:color="#000000"/>
              <w:end w:sz="1.599999999999909" w:val="single" w:color="#000000"/>
              <w:bottom w:sz="2.400000000000091"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tabs>
                <w:tab w:pos="528" w:val="left"/>
              </w:tabs>
              <w:autoSpaceDE w:val="0"/>
              <w:widowControl/>
              <w:spacing w:line="320" w:lineRule="exact" w:before="366" w:after="0"/>
              <w:ind w:left="168" w:right="144" w:firstLine="0"/>
              <w:jc w:val="left"/>
            </w:pPr>
            <w:r>
              <w:rPr>
                <w:rFonts w:ascii="宋体" w:hAnsi="宋体" w:eastAsia="宋体"/>
                <w:b w:val="0"/>
                <w:i w:val="0"/>
                <w:color w:val="000000"/>
                <w:sz w:val="18"/>
              </w:rPr>
              <w:t>报告期末持股</w:t>
            </w:r>
            <w:r>
              <w:tab/>
            </w:r>
            <w:r>
              <w:rPr>
                <w:rFonts w:ascii="宋体" w:hAnsi="宋体" w:eastAsia="宋体"/>
                <w:b w:val="0"/>
                <w:i w:val="0"/>
                <w:color w:val="000000"/>
                <w:sz w:val="18"/>
              </w:rPr>
              <w:t xml:space="preserve">数量 </w:t>
            </w:r>
          </w:p>
        </w:tc>
        <w:tc>
          <w:tcPr>
            <w:tcW w:type="dxa" w:w="1490"/>
            <w:vMerge w:val="restart"/>
            <w:tcBorders>
              <w:start w:sz="1.599999999999909" w:val="single" w:color="#000000"/>
              <w:top w:sz="1.599999999999909" w:val="single" w:color="#000000"/>
              <w:end w:sz="2.400000000000091" w:val="single" w:color="#000000"/>
              <w:bottom w:sz="2.400000000000091" w:val="single" w:color="#000000"/>
            </w:tcBorders>
            <w:shd w:fill="d2d2d2"/>
            <w:tcMar>
              <w:start w:w="0" w:type="dxa"/>
              <w:end w:w="0" w:type="dxa"/>
            </w:tcMar>
            <w:tcMar>
              <w:start w:w="0" w:type="dxa"/>
              <w:end w:w="0" w:type="dxa"/>
            </w:tcMar>
          </w:tcPr>
          <w:p>
            <w:pPr>
              <w:autoSpaceDN w:val="0"/>
              <w:tabs>
                <w:tab w:pos="474" w:val="left"/>
              </w:tabs>
              <w:autoSpaceDE w:val="0"/>
              <w:widowControl/>
              <w:spacing w:line="320" w:lineRule="exact" w:before="366" w:after="0"/>
              <w:ind w:left="114" w:right="0" w:firstLine="0"/>
              <w:jc w:val="left"/>
            </w:pPr>
            <w:r>
              <w:rPr>
                <w:rFonts w:ascii="宋体" w:hAnsi="宋体" w:eastAsia="宋体"/>
                <w:b w:val="0"/>
                <w:i w:val="0"/>
                <w:color w:val="000000"/>
                <w:sz w:val="18"/>
              </w:rPr>
              <w:t>报告期内增减变</w:t>
            </w:r>
            <w:r>
              <w:tab/>
            </w:r>
            <w:r>
              <w:rPr>
                <w:rFonts w:ascii="宋体" w:hAnsi="宋体" w:eastAsia="宋体"/>
                <w:b w:val="0"/>
                <w:i w:val="0"/>
                <w:color w:val="000000"/>
                <w:sz w:val="18"/>
              </w:rPr>
              <w:t xml:space="preserve">动情况 </w:t>
            </w:r>
          </w:p>
        </w:tc>
        <w:tc>
          <w:tcPr>
            <w:tcW w:type="dxa" w:w="852"/>
            <w:vMerge w:val="restart"/>
            <w:tcBorders>
              <w:start w:sz="2.400000000000091" w:val="single" w:color="#000000"/>
              <w:top w:sz="1.599999999999909" w:val="single" w:color="#000000"/>
              <w:end w:sz="2.400000000000091"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320" w:lineRule="exact" w:before="48" w:after="0"/>
              <w:ind w:left="156" w:right="62" w:firstLine="0"/>
              <w:jc w:val="both"/>
            </w:pPr>
            <w:r>
              <w:rPr>
                <w:rFonts w:ascii="宋体" w:hAnsi="宋体" w:eastAsia="宋体"/>
                <w:b w:val="0"/>
                <w:i w:val="0"/>
                <w:color w:val="000000"/>
                <w:sz w:val="18"/>
              </w:rPr>
              <w:t>持有有</w:t>
            </w:r>
            <w:r>
              <w:br/>
            </w:r>
            <w:r>
              <w:rPr>
                <w:rFonts w:ascii="宋体" w:hAnsi="宋体" w:eastAsia="宋体"/>
                <w:b w:val="0"/>
                <w:i w:val="0"/>
                <w:color w:val="000000"/>
                <w:sz w:val="18"/>
              </w:rPr>
              <w:t>限售条</w:t>
            </w:r>
            <w:r>
              <w:br/>
            </w:r>
            <w:r>
              <w:rPr>
                <w:rFonts w:ascii="宋体" w:hAnsi="宋体" w:eastAsia="宋体"/>
                <w:b w:val="0"/>
                <w:i w:val="0"/>
                <w:color w:val="000000"/>
                <w:sz w:val="18"/>
              </w:rPr>
              <w:t>件的股</w:t>
            </w:r>
            <w:r>
              <w:br/>
            </w:r>
            <w:r>
              <w:rPr>
                <w:rFonts w:ascii="宋体" w:hAnsi="宋体" w:eastAsia="宋体"/>
                <w:b w:val="0"/>
                <w:i w:val="0"/>
                <w:color w:val="000000"/>
                <w:sz w:val="18"/>
              </w:rPr>
              <w:t xml:space="preserve">份数量 </w:t>
            </w:r>
          </w:p>
        </w:tc>
        <w:tc>
          <w:tcPr>
            <w:tcW w:type="dxa" w:w="1274"/>
            <w:vMerge w:val="restart"/>
            <w:tcBorders>
              <w:start w:sz="2.400000000000091" w:val="single" w:color="#000000"/>
              <w:top w:sz="1.599999999999909" w:val="single" w:color="#000000"/>
              <w:end w:sz="1.599999999999909"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320" w:lineRule="exact" w:before="206" w:after="0"/>
              <w:ind w:left="144" w:right="186" w:firstLine="0"/>
              <w:jc w:val="right"/>
            </w:pPr>
            <w:r>
              <w:rPr>
                <w:rFonts w:ascii="宋体" w:hAnsi="宋体" w:eastAsia="宋体"/>
                <w:b w:val="0"/>
                <w:i w:val="0"/>
                <w:color w:val="000000"/>
                <w:sz w:val="18"/>
              </w:rPr>
              <w:t>持有无限售</w:t>
            </w:r>
            <w:r>
              <w:rPr>
                <w:rFonts w:ascii="宋体" w:hAnsi="宋体" w:eastAsia="宋体"/>
                <w:b w:val="0"/>
                <w:i w:val="0"/>
                <w:color w:val="000000"/>
                <w:sz w:val="18"/>
              </w:rPr>
              <w:t>条件的股份</w:t>
            </w:r>
            <w:r>
              <w:rPr>
                <w:rFonts w:ascii="宋体" w:hAnsi="宋体" w:eastAsia="宋体"/>
                <w:b w:val="0"/>
                <w:i w:val="0"/>
                <w:color w:val="000000"/>
                <w:sz w:val="18"/>
              </w:rPr>
              <w:t xml:space="preserve">数量 </w:t>
            </w:r>
          </w:p>
        </w:tc>
        <w:tc>
          <w:tcPr>
            <w:tcW w:type="dxa" w:w="1276"/>
            <w:gridSpan w:val="2"/>
            <w:tcBorders>
              <w:start w:sz="1.599999999999909" w:val="single" w:color="#000000"/>
              <w:top w:sz="1.599999999999909" w:val="single" w:color="#000000"/>
              <w:end w:sz="1.6000000000003638" w:val="single" w:color="#000000"/>
              <w:bottom w:sz="2.400000000000091" w:val="single" w:color="#000000"/>
            </w:tcBorders>
            <w:shd w:fill="d2d2d2"/>
            <w:tcMar>
              <w:start w:w="0" w:type="dxa"/>
              <w:end w:w="0" w:type="dxa"/>
            </w:tcMar>
            <w:tcMar>
              <w:start w:w="0" w:type="dxa"/>
              <w:end w:w="0" w:type="dxa"/>
            </w:tcMar>
          </w:tcPr>
          <w:p>
            <w:pPr>
              <w:autoSpaceDN w:val="0"/>
              <w:autoSpaceDE w:val="0"/>
              <w:widowControl/>
              <w:spacing w:line="320" w:lineRule="exact" w:before="4" w:after="0"/>
              <w:ind w:left="188" w:right="0" w:firstLine="0"/>
              <w:jc w:val="left"/>
            </w:pPr>
            <w:r>
              <w:rPr>
                <w:rFonts w:ascii="宋体" w:hAnsi="宋体" w:eastAsia="宋体"/>
                <w:b w:val="0"/>
                <w:i w:val="0"/>
                <w:color w:val="000000"/>
                <w:sz w:val="18"/>
              </w:rPr>
              <w:t>质押、标记</w:t>
            </w:r>
            <w:r>
              <w:rPr>
                <w:rFonts w:ascii="宋体" w:hAnsi="宋体" w:eastAsia="宋体"/>
                <w:b w:val="0"/>
                <w:i w:val="0"/>
                <w:color w:val="000000"/>
                <w:sz w:val="18"/>
              </w:rPr>
              <w:t xml:space="preserve">或冻结情况 </w:t>
            </w:r>
          </w:p>
        </w:tc>
      </w:tr>
      <w:tr>
        <w:trPr>
          <w:trHeight w:hRule="exact" w:val="724"/>
        </w:trPr>
        <w:tc>
          <w:tcPr>
            <w:tcW w:type="dxa" w:w="969"/>
            <w:vMerge/>
            <w:tcBorders>
              <w:start w:sz="1.5999999999999943" w:val="single" w:color="#000000"/>
              <w:top w:sz="1.599999999999909" w:val="single" w:color="#000000"/>
              <w:end w:sz="2.400000000000091" w:val="single" w:color="#000000"/>
              <w:bottom w:sz="2.400000000000091" w:val="single" w:color="#000000"/>
            </w:tcBorders>
          </w:tcPr>
          <w:p/>
        </w:tc>
        <w:tc>
          <w:tcPr>
            <w:tcW w:type="dxa" w:w="969"/>
            <w:vMerge/>
            <w:tcBorders>
              <w:start w:sz="2.400000000000091" w:val="single" w:color="#000000"/>
              <w:top w:sz="1.599999999999909" w:val="single" w:color="#000000"/>
              <w:end w:sz="1.599999999999909" w:val="single" w:color="#000000"/>
              <w:bottom w:sz="2.400000000000091" w:val="single" w:color="#000000"/>
            </w:tcBorders>
          </w:tcPr>
          <w:p/>
        </w:tc>
        <w:tc>
          <w:tcPr>
            <w:tcW w:type="dxa" w:w="1938"/>
            <w:gridSpan w:val="2"/>
            <w:vMerge/>
            <w:tcBorders>
              <w:start w:sz="1.599999999999909" w:val="single" w:color="#000000"/>
              <w:top w:sz="1.599999999999909" w:val="single" w:color="#000000"/>
              <w:end w:sz="1.599999999999909" w:val="single" w:color="#000000"/>
              <w:bottom w:sz="2.400000000000091" w:val="single" w:color="#000000"/>
            </w:tcBorders>
          </w:tcPr>
          <w:p/>
        </w:tc>
        <w:tc>
          <w:tcPr>
            <w:tcW w:type="dxa" w:w="1938"/>
            <w:gridSpan w:val="2"/>
            <w:vMerge/>
            <w:tcBorders>
              <w:start w:sz="1.599999999999909" w:val="single" w:color="#000000"/>
              <w:top w:sz="1.599999999999909" w:val="single" w:color="#000000"/>
              <w:end w:sz="1.599999999999909" w:val="single" w:color="#000000"/>
              <w:bottom w:sz="2.400000000000091" w:val="single" w:color="#000000"/>
            </w:tcBorders>
          </w:tcPr>
          <w:p/>
        </w:tc>
        <w:tc>
          <w:tcPr>
            <w:tcW w:type="dxa" w:w="969"/>
            <w:vMerge/>
            <w:tcBorders>
              <w:start w:sz="1.599999999999909" w:val="single" w:color="#000000"/>
              <w:top w:sz="1.599999999999909" w:val="single" w:color="#000000"/>
              <w:end w:sz="2.400000000000091" w:val="single" w:color="#000000"/>
              <w:bottom w:sz="2.400000000000091" w:val="single" w:color="#000000"/>
            </w:tcBorders>
          </w:tcPr>
          <w:p/>
        </w:tc>
        <w:tc>
          <w:tcPr>
            <w:tcW w:type="dxa" w:w="969"/>
            <w:vMerge/>
            <w:tcBorders>
              <w:start w:sz="2.400000000000091" w:val="single" w:color="#000000"/>
              <w:top w:sz="1.599999999999909" w:val="single" w:color="#000000"/>
              <w:end w:sz="2.400000000000091" w:val="single" w:color="#000000"/>
              <w:bottom w:sz="2.400000000000091" w:val="single" w:color="#000000"/>
            </w:tcBorders>
          </w:tcPr>
          <w:p/>
        </w:tc>
        <w:tc>
          <w:tcPr>
            <w:tcW w:type="dxa" w:w="969"/>
            <w:vMerge/>
            <w:tcBorders>
              <w:start w:sz="2.400000000000091" w:val="single" w:color="#000000"/>
              <w:top w:sz="1.599999999999909" w:val="single" w:color="#000000"/>
              <w:end w:sz="1.599999999999909" w:val="single" w:color="#000000"/>
              <w:bottom w:sz="2.400000000000091" w:val="single" w:color="#000000"/>
            </w:tcBorders>
          </w:tcPr>
          <w:p/>
        </w:tc>
        <w:tc>
          <w:tcPr>
            <w:tcW w:type="dxa" w:w="708"/>
            <w:tcBorders>
              <w:start w:sz="1.599999999999909" w:val="single" w:color="#000000"/>
              <w:top w:sz="2.400000000000091"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318" w:lineRule="exact" w:before="6" w:after="0"/>
              <w:ind w:left="172" w:right="0" w:firstLine="0"/>
              <w:jc w:val="left"/>
            </w:pPr>
            <w:r>
              <w:rPr>
                <w:rFonts w:ascii="宋体" w:hAnsi="宋体" w:eastAsia="宋体"/>
                <w:b w:val="0"/>
                <w:i w:val="0"/>
                <w:color w:val="000000"/>
                <w:sz w:val="18"/>
              </w:rPr>
              <w:t>股份</w:t>
            </w:r>
            <w:r>
              <w:br/>
            </w:r>
            <w:r>
              <w:rPr>
                <w:rFonts w:ascii="宋体" w:hAnsi="宋体" w:eastAsia="宋体"/>
                <w:b w:val="0"/>
                <w:i w:val="0"/>
                <w:color w:val="000000"/>
                <w:sz w:val="18"/>
              </w:rPr>
              <w:t xml:space="preserve">状态 </w:t>
            </w:r>
          </w:p>
        </w:tc>
        <w:tc>
          <w:tcPr>
            <w:tcW w:type="dxa" w:w="568"/>
            <w:tcBorders>
              <w:start w:sz="1.6000000000003638" w:val="single" w:color="#000000"/>
              <w:top w:sz="2.400000000000091"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318" w:lineRule="exact" w:before="6" w:after="0"/>
              <w:ind w:left="192" w:right="0" w:firstLine="0"/>
              <w:jc w:val="left"/>
            </w:pPr>
            <w:r>
              <w:rPr>
                <w:rFonts w:ascii="宋体" w:hAnsi="宋体" w:eastAsia="宋体"/>
                <w:b w:val="0"/>
                <w:i w:val="0"/>
                <w:color w:val="000000"/>
                <w:sz w:val="18"/>
              </w:rPr>
              <w:t>数</w:t>
            </w:r>
            <w:r>
              <w:br/>
            </w:r>
            <w:r>
              <w:rPr>
                <w:rFonts w:ascii="宋体" w:hAnsi="宋体" w:eastAsia="宋体"/>
                <w:b w:val="0"/>
                <w:i w:val="0"/>
                <w:color w:val="000000"/>
                <w:sz w:val="18"/>
              </w:rPr>
              <w:t xml:space="preserve">量 </w:t>
            </w:r>
          </w:p>
        </w:tc>
      </w:tr>
      <w:tr>
        <w:trPr>
          <w:trHeight w:hRule="exact" w:val="646"/>
        </w:trPr>
        <w:tc>
          <w:tcPr>
            <w:tcW w:type="dxa" w:w="2058"/>
            <w:tcBorders>
              <w:start w:sz="1.5999999999999943"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300" w:lineRule="exact" w:before="0" w:after="0"/>
              <w:ind w:left="106" w:right="144" w:firstLine="0"/>
              <w:jc w:val="left"/>
            </w:pPr>
            <w:r>
              <w:rPr>
                <w:rFonts w:ascii="宋体" w:hAnsi="宋体" w:eastAsia="宋体"/>
                <w:b w:val="0"/>
                <w:i w:val="0"/>
                <w:color w:val="000000"/>
                <w:sz w:val="18"/>
              </w:rPr>
              <w:t>山西金融投资控股集团</w:t>
            </w:r>
            <w:r>
              <w:rPr>
                <w:rFonts w:ascii="宋体" w:hAnsi="宋体" w:eastAsia="宋体"/>
                <w:b w:val="0"/>
                <w:i w:val="0"/>
                <w:color w:val="000000"/>
                <w:sz w:val="18"/>
              </w:rPr>
              <w:t xml:space="preserve">有限公司 </w:t>
            </w:r>
          </w:p>
        </w:tc>
        <w:tc>
          <w:tcPr>
            <w:tcW w:type="dxa" w:w="1274"/>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2" w:after="0"/>
              <w:ind w:left="276" w:right="0" w:firstLine="0"/>
              <w:jc w:val="left"/>
            </w:pPr>
            <w:r>
              <w:rPr>
                <w:rFonts w:ascii="宋体" w:hAnsi="宋体" w:eastAsia="宋体"/>
                <w:b w:val="0"/>
                <w:i w:val="0"/>
                <w:color w:val="000000"/>
                <w:sz w:val="18"/>
              </w:rPr>
              <w:t xml:space="preserve">国有法人 </w:t>
            </w:r>
          </w:p>
        </w:tc>
        <w:tc>
          <w:tcPr>
            <w:tcW w:type="dxa" w:w="994"/>
            <w:gridSpan w:val="2"/>
            <w:tcBorders>
              <w:start w:sz="1.599999999999909" w:val="single" w:color="#000000"/>
              <w:top w:sz="2.400000000000091"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233" w:lineRule="auto" w:before="256" w:after="0"/>
              <w:ind w:left="0" w:right="58" w:firstLine="0"/>
              <w:jc w:val="right"/>
            </w:pPr>
            <w:r>
              <w:rPr>
                <w:rFonts w:ascii="Times New Roman" w:hAnsi="Times New Roman" w:eastAsia="Times New Roman"/>
                <w:b w:val="0"/>
                <w:i w:val="0"/>
                <w:color w:val="000000"/>
                <w:sz w:val="18"/>
              </w:rPr>
              <w:t xml:space="preserve">31.77 </w:t>
            </w:r>
          </w:p>
        </w:tc>
        <w:tc>
          <w:tcPr>
            <w:tcW w:type="dxa" w:w="1416"/>
            <w:gridSpan w:val="2"/>
            <w:tcBorders>
              <w:start w:sz="1.599999999999909" w:val="single" w:color="#000000"/>
              <w:top w:sz="2.400000000000091"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233" w:lineRule="auto" w:before="256" w:after="0"/>
              <w:ind w:left="274" w:right="0" w:firstLine="0"/>
              <w:jc w:val="left"/>
            </w:pPr>
            <w:r>
              <w:rPr>
                <w:rFonts w:ascii="Times New Roman" w:hAnsi="Times New Roman" w:eastAsia="Times New Roman"/>
                <w:b w:val="0"/>
                <w:i w:val="0"/>
                <w:color w:val="000000"/>
                <w:sz w:val="18"/>
              </w:rPr>
              <w:t xml:space="preserve">1,140,374,242 </w:t>
            </w:r>
          </w:p>
        </w:tc>
        <w:tc>
          <w:tcPr>
            <w:tcW w:type="dxa" w:w="1490"/>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56" w:after="0"/>
              <w:ind w:left="0" w:right="58" w:firstLine="0"/>
              <w:jc w:val="right"/>
            </w:pPr>
            <w:r>
              <w:rPr>
                <w:rFonts w:ascii="Times New Roman" w:hAnsi="Times New Roman" w:eastAsia="Times New Roman"/>
                <w:b w:val="0"/>
                <w:i w:val="0"/>
                <w:color w:val="000000"/>
                <w:sz w:val="18"/>
              </w:rPr>
              <w:t xml:space="preserve">0 </w:t>
            </w:r>
          </w:p>
        </w:tc>
        <w:tc>
          <w:tcPr>
            <w:tcW w:type="dxa" w:w="852"/>
            <w:tcBorders>
              <w:start w:sz="2.400000000000091"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5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256" w:after="0"/>
              <w:ind w:left="0" w:right="0" w:firstLine="0"/>
              <w:jc w:val="center"/>
            </w:pPr>
            <w:r>
              <w:rPr>
                <w:rFonts w:ascii="Times New Roman" w:hAnsi="Times New Roman" w:eastAsia="Times New Roman"/>
                <w:b w:val="0"/>
                <w:i w:val="0"/>
                <w:color w:val="000000"/>
                <w:sz w:val="18"/>
              </w:rPr>
              <w:t xml:space="preserve">1,140,374,242 </w:t>
            </w:r>
          </w:p>
        </w:tc>
        <w:tc>
          <w:tcPr>
            <w:tcW w:type="dxa" w:w="708"/>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tc>
        <w:tc>
          <w:tcPr>
            <w:tcW w:type="dxa" w:w="568"/>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tc>
      </w:tr>
      <w:tr>
        <w:trPr>
          <w:trHeight w:hRule="exact" w:val="646"/>
        </w:trPr>
        <w:tc>
          <w:tcPr>
            <w:tcW w:type="dxa" w:w="2058"/>
            <w:tcBorders>
              <w:start w:sz="1.5999999999999943"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302" w:lineRule="exact" w:before="0" w:after="0"/>
              <w:ind w:left="106" w:right="144" w:firstLine="0"/>
              <w:jc w:val="left"/>
            </w:pPr>
            <w:r>
              <w:rPr>
                <w:rFonts w:ascii="宋体" w:hAnsi="宋体" w:eastAsia="宋体"/>
                <w:b w:val="0"/>
                <w:i w:val="0"/>
                <w:color w:val="000000"/>
                <w:sz w:val="18"/>
              </w:rPr>
              <w:t>太原钢铁（集团）有限</w:t>
            </w:r>
            <w:r>
              <w:rPr>
                <w:rFonts w:ascii="宋体" w:hAnsi="宋体" w:eastAsia="宋体"/>
                <w:b w:val="0"/>
                <w:i w:val="0"/>
                <w:color w:val="000000"/>
                <w:sz w:val="18"/>
              </w:rPr>
              <w:t xml:space="preserve">公司 </w:t>
            </w:r>
          </w:p>
        </w:tc>
        <w:tc>
          <w:tcPr>
            <w:tcW w:type="dxa" w:w="1274"/>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64" w:after="0"/>
              <w:ind w:left="276" w:right="0" w:firstLine="0"/>
              <w:jc w:val="left"/>
            </w:pPr>
            <w:r>
              <w:rPr>
                <w:rFonts w:ascii="宋体" w:hAnsi="宋体" w:eastAsia="宋体"/>
                <w:b w:val="0"/>
                <w:i w:val="0"/>
                <w:color w:val="000000"/>
                <w:sz w:val="18"/>
              </w:rPr>
              <w:t xml:space="preserve">国有法人 </w:t>
            </w:r>
          </w:p>
        </w:tc>
        <w:tc>
          <w:tcPr>
            <w:tcW w:type="dxa" w:w="994"/>
            <w:gridSpan w:val="2"/>
            <w:tcBorders>
              <w:start w:sz="1.599999999999909" w:val="single" w:color="#000000"/>
              <w:top w:sz="1.599999999999909"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10.23 </w:t>
            </w:r>
          </w:p>
        </w:tc>
        <w:tc>
          <w:tcPr>
            <w:tcW w:type="dxa" w:w="1416"/>
            <w:gridSpan w:val="2"/>
            <w:tcBorders>
              <w:start w:sz="1.599999999999909" w:val="single" w:color="#000000"/>
              <w:top w:sz="1.599999999999909"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367,268,616 </w:t>
            </w:r>
          </w:p>
        </w:tc>
        <w:tc>
          <w:tcPr>
            <w:tcW w:type="dxa" w:w="1490"/>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0 </w:t>
            </w:r>
          </w:p>
        </w:tc>
        <w:tc>
          <w:tcPr>
            <w:tcW w:type="dxa" w:w="852"/>
            <w:tcBorders>
              <w:start w:sz="2.400000000000091"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258"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258" w:after="0"/>
              <w:ind w:left="266" w:right="0" w:firstLine="0"/>
              <w:jc w:val="left"/>
            </w:pPr>
            <w:r>
              <w:rPr>
                <w:rFonts w:ascii="Times New Roman" w:hAnsi="Times New Roman" w:eastAsia="Times New Roman"/>
                <w:b w:val="0"/>
                <w:i w:val="0"/>
                <w:color w:val="000000"/>
                <w:sz w:val="18"/>
              </w:rPr>
              <w:t xml:space="preserve">367,268,616 </w:t>
            </w:r>
          </w:p>
        </w:tc>
        <w:tc>
          <w:tcPr>
            <w:tcW w:type="dxa" w:w="708"/>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tc>
        <w:tc>
          <w:tcPr>
            <w:tcW w:type="dxa" w:w="568"/>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Pr>
          <w:p/>
        </w:tc>
      </w:tr>
      <w:tr>
        <w:trPr>
          <w:trHeight w:hRule="exact" w:val="644"/>
        </w:trPr>
        <w:tc>
          <w:tcPr>
            <w:tcW w:type="dxa" w:w="2058"/>
            <w:tcBorders>
              <w:start w:sz="1.5999999999999943"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300" w:lineRule="exact" w:before="0" w:after="0"/>
              <w:ind w:left="106" w:right="144" w:firstLine="0"/>
              <w:jc w:val="left"/>
            </w:pPr>
            <w:r>
              <w:rPr>
                <w:rFonts w:ascii="宋体" w:hAnsi="宋体" w:eastAsia="宋体"/>
                <w:b w:val="0"/>
                <w:i w:val="0"/>
                <w:color w:val="000000"/>
                <w:sz w:val="18"/>
              </w:rPr>
              <w:t>山西国际电力集团有限</w:t>
            </w:r>
            <w:r>
              <w:rPr>
                <w:rFonts w:ascii="宋体" w:hAnsi="宋体" w:eastAsia="宋体"/>
                <w:b w:val="0"/>
                <w:i w:val="0"/>
                <w:color w:val="000000"/>
                <w:sz w:val="18"/>
              </w:rPr>
              <w:t xml:space="preserve">公司 </w:t>
            </w:r>
          </w:p>
        </w:tc>
        <w:tc>
          <w:tcPr>
            <w:tcW w:type="dxa" w:w="1274"/>
            <w:tcBorders>
              <w:start w:sz="2.400000000000091"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260" w:after="0"/>
              <w:ind w:left="276" w:right="0" w:firstLine="0"/>
              <w:jc w:val="left"/>
            </w:pPr>
            <w:r>
              <w:rPr>
                <w:rFonts w:ascii="宋体" w:hAnsi="宋体" w:eastAsia="宋体"/>
                <w:b w:val="0"/>
                <w:i w:val="0"/>
                <w:color w:val="000000"/>
                <w:sz w:val="18"/>
              </w:rPr>
              <w:t xml:space="preserve">国有法人 </w:t>
            </w:r>
          </w:p>
        </w:tc>
        <w:tc>
          <w:tcPr>
            <w:tcW w:type="dxa" w:w="994"/>
            <w:gridSpan w:val="2"/>
            <w:tcBorders>
              <w:start w:sz="1.599999999999909" w:val="single" w:color="#000000"/>
              <w:top w:sz="1.599999999999909"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256" w:after="0"/>
              <w:ind w:left="0" w:right="58" w:firstLine="0"/>
              <w:jc w:val="right"/>
            </w:pPr>
            <w:r>
              <w:rPr>
                <w:rFonts w:ascii="Times New Roman" w:hAnsi="Times New Roman" w:eastAsia="Times New Roman"/>
                <w:b w:val="0"/>
                <w:i w:val="0"/>
                <w:color w:val="000000"/>
                <w:sz w:val="18"/>
              </w:rPr>
              <w:t xml:space="preserve">5.55 </w:t>
            </w:r>
          </w:p>
        </w:tc>
        <w:tc>
          <w:tcPr>
            <w:tcW w:type="dxa" w:w="1416"/>
            <w:gridSpan w:val="2"/>
            <w:tcBorders>
              <w:start w:sz="1.599999999999909" w:val="single" w:color="#000000"/>
              <w:top w:sz="1.599999999999909"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256" w:after="0"/>
              <w:ind w:left="0" w:right="58" w:firstLine="0"/>
              <w:jc w:val="right"/>
            </w:pPr>
            <w:r>
              <w:rPr>
                <w:rFonts w:ascii="Times New Roman" w:hAnsi="Times New Roman" w:eastAsia="Times New Roman"/>
                <w:b w:val="0"/>
                <w:i w:val="0"/>
                <w:color w:val="000000"/>
                <w:sz w:val="18"/>
              </w:rPr>
              <w:t xml:space="preserve">199,268,856 </w:t>
            </w:r>
          </w:p>
        </w:tc>
        <w:tc>
          <w:tcPr>
            <w:tcW w:type="dxa" w:w="1490"/>
            <w:tcBorders>
              <w:start w:sz="1.599999999999909"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256" w:after="0"/>
              <w:ind w:left="0" w:right="58" w:firstLine="0"/>
              <w:jc w:val="right"/>
            </w:pPr>
            <w:r>
              <w:rPr>
                <w:rFonts w:ascii="Times New Roman" w:hAnsi="Times New Roman" w:eastAsia="Times New Roman"/>
                <w:b w:val="0"/>
                <w:i w:val="0"/>
                <w:color w:val="000000"/>
                <w:sz w:val="18"/>
              </w:rPr>
              <w:t xml:space="preserve">0 </w:t>
            </w:r>
          </w:p>
        </w:tc>
        <w:tc>
          <w:tcPr>
            <w:tcW w:type="dxa" w:w="852"/>
            <w:tcBorders>
              <w:start w:sz="2.400000000000091"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25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256" w:after="0"/>
              <w:ind w:left="266" w:right="0" w:firstLine="0"/>
              <w:jc w:val="left"/>
            </w:pPr>
            <w:r>
              <w:rPr>
                <w:rFonts w:ascii="Times New Roman" w:hAnsi="Times New Roman" w:eastAsia="Times New Roman"/>
                <w:b w:val="0"/>
                <w:i w:val="0"/>
                <w:color w:val="000000"/>
                <w:sz w:val="18"/>
              </w:rPr>
              <w:t xml:space="preserve">199,268,856 </w:t>
            </w:r>
          </w:p>
        </w:tc>
        <w:tc>
          <w:tcPr>
            <w:tcW w:type="dxa" w:w="708"/>
            <w:tcBorders>
              <w:start w:sz="1.599999999999909" w:val="single" w:color="#000000"/>
              <w:top w:sz="1.599999999999909" w:val="single" w:color="#000000"/>
              <w:end w:sz="1.6000000000003638" w:val="single" w:color="#000000"/>
              <w:bottom w:sz="2.399999999999636" w:val="single" w:color="#000000"/>
            </w:tcBorders>
            <w:tcMar>
              <w:start w:w="0" w:type="dxa"/>
              <w:end w:w="0" w:type="dxa"/>
            </w:tcMar>
          </w:tcPr>
          <w:p/>
        </w:tc>
        <w:tc>
          <w:tcPr>
            <w:tcW w:type="dxa" w:w="568"/>
            <w:tcBorders>
              <w:start w:sz="1.6000000000003638" w:val="single" w:color="#000000"/>
              <w:top w:sz="1.599999999999909" w:val="single" w:color="#000000"/>
              <w:end w:sz="1.6000000000003638" w:val="single" w:color="#000000"/>
              <w:bottom w:sz="2.399999999999636" w:val="single" w:color="#000000"/>
            </w:tcBorders>
            <w:tcMar>
              <w:start w:w="0" w:type="dxa"/>
              <w:end w:w="0" w:type="dxa"/>
            </w:tcMar>
          </w:tcPr>
          <w:p/>
        </w:tc>
      </w:tr>
      <w:tr>
        <w:trPr>
          <w:trHeight w:hRule="exact" w:val="402"/>
        </w:trPr>
        <w:tc>
          <w:tcPr>
            <w:tcW w:type="dxa" w:w="2058"/>
            <w:tcBorders>
              <w:start w:sz="1.5999999999999943"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180" w:lineRule="exact" w:before="140" w:after="0"/>
              <w:ind w:left="0" w:right="0" w:firstLine="0"/>
              <w:jc w:val="center"/>
            </w:pPr>
            <w:r>
              <w:rPr>
                <w:rFonts w:ascii="宋体" w:hAnsi="宋体" w:eastAsia="宋体"/>
                <w:b w:val="0"/>
                <w:i w:val="0"/>
                <w:color w:val="000000"/>
                <w:sz w:val="18"/>
              </w:rPr>
              <w:t xml:space="preserve">香港中央结算有限公司 </w:t>
            </w:r>
          </w:p>
        </w:tc>
        <w:tc>
          <w:tcPr>
            <w:tcW w:type="dxa" w:w="1274"/>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140" w:after="0"/>
              <w:ind w:left="276" w:right="0" w:firstLine="0"/>
              <w:jc w:val="left"/>
            </w:pPr>
            <w:r>
              <w:rPr>
                <w:rFonts w:ascii="宋体" w:hAnsi="宋体" w:eastAsia="宋体"/>
                <w:b w:val="0"/>
                <w:i w:val="0"/>
                <w:color w:val="000000"/>
                <w:sz w:val="18"/>
              </w:rPr>
              <w:t xml:space="preserve">境外法人 </w:t>
            </w:r>
          </w:p>
        </w:tc>
        <w:tc>
          <w:tcPr>
            <w:tcW w:type="dxa" w:w="994"/>
            <w:gridSpan w:val="2"/>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134" w:after="0"/>
              <w:ind w:left="0" w:right="58" w:firstLine="0"/>
              <w:jc w:val="right"/>
            </w:pPr>
            <w:r>
              <w:rPr>
                <w:rFonts w:ascii="Times New Roman" w:hAnsi="Times New Roman" w:eastAsia="Times New Roman"/>
                <w:b w:val="0"/>
                <w:i w:val="0"/>
                <w:color w:val="000000"/>
                <w:sz w:val="18"/>
              </w:rPr>
              <w:t xml:space="preserve">1.86 </w:t>
            </w:r>
          </w:p>
        </w:tc>
        <w:tc>
          <w:tcPr>
            <w:tcW w:type="dxa" w:w="1416"/>
            <w:gridSpan w:val="2"/>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134" w:after="0"/>
              <w:ind w:left="0" w:right="58" w:firstLine="0"/>
              <w:jc w:val="right"/>
            </w:pPr>
            <w:r>
              <w:rPr>
                <w:rFonts w:ascii="Times New Roman" w:hAnsi="Times New Roman" w:eastAsia="Times New Roman"/>
                <w:b w:val="0"/>
                <w:i w:val="0"/>
                <w:color w:val="000000"/>
                <w:sz w:val="18"/>
              </w:rPr>
              <w:t xml:space="preserve">66,747,041 </w:t>
            </w:r>
          </w:p>
        </w:tc>
        <w:tc>
          <w:tcPr>
            <w:tcW w:type="dxa" w:w="1490"/>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34" w:after="0"/>
              <w:ind w:left="0" w:right="58" w:firstLine="0"/>
              <w:jc w:val="right"/>
            </w:pPr>
            <w:r>
              <w:rPr>
                <w:rFonts w:ascii="Times New Roman" w:hAnsi="Times New Roman" w:eastAsia="Times New Roman"/>
                <w:b w:val="0"/>
                <w:i w:val="0"/>
                <w:color w:val="000000"/>
                <w:sz w:val="18"/>
              </w:rPr>
              <w:t xml:space="preserve">25,785,433 </w:t>
            </w:r>
          </w:p>
        </w:tc>
        <w:tc>
          <w:tcPr>
            <w:tcW w:type="dxa" w:w="852"/>
            <w:tcBorders>
              <w:start w:sz="2.400000000000091"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134"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134" w:after="0"/>
              <w:ind w:left="0" w:right="60" w:firstLine="0"/>
              <w:jc w:val="right"/>
            </w:pPr>
            <w:r>
              <w:rPr>
                <w:rFonts w:ascii="Times New Roman" w:hAnsi="Times New Roman" w:eastAsia="Times New Roman"/>
                <w:b w:val="0"/>
                <w:i w:val="0"/>
                <w:color w:val="000000"/>
                <w:sz w:val="18"/>
              </w:rPr>
              <w:t xml:space="preserve">66,747,041 </w:t>
            </w:r>
          </w:p>
        </w:tc>
        <w:tc>
          <w:tcPr>
            <w:tcW w:type="dxa" w:w="708"/>
            <w:tcBorders>
              <w:start w:sz="1.599999999999909" w:val="single" w:color="#000000"/>
              <w:top w:sz="2.399999999999636" w:val="single" w:color="#000000"/>
              <w:end w:sz="1.6000000000003638" w:val="single" w:color="#000000"/>
              <w:bottom w:sz="1.6000000000003638" w:val="single" w:color="#000000"/>
            </w:tcBorders>
            <w:tcMar>
              <w:start w:w="0" w:type="dxa"/>
              <w:end w:w="0" w:type="dxa"/>
            </w:tcMar>
          </w:tcPr>
          <w:p/>
        </w:tc>
        <w:tc>
          <w:tcPr>
            <w:tcW w:type="dxa" w:w="568"/>
            <w:tcBorders>
              <w:start w:sz="1.6000000000003638" w:val="single" w:color="#000000"/>
              <w:top w:sz="2.399999999999636" w:val="single" w:color="#000000"/>
              <w:end w:sz="1.6000000000003638" w:val="single" w:color="#000000"/>
              <w:bottom w:sz="1.6000000000003638" w:val="single" w:color="#000000"/>
            </w:tcBorders>
            <w:tcMar>
              <w:start w:w="0" w:type="dxa"/>
              <w:end w:w="0" w:type="dxa"/>
            </w:tcMar>
          </w:tcPr>
          <w:p/>
        </w:tc>
      </w:tr>
      <w:tr>
        <w:trPr>
          <w:trHeight w:hRule="exact" w:val="646"/>
        </w:trPr>
        <w:tc>
          <w:tcPr>
            <w:tcW w:type="dxa" w:w="2058"/>
            <w:tcBorders>
              <w:start w:sz="1.5999999999999943"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302" w:lineRule="exact" w:before="0" w:after="0"/>
              <w:ind w:left="106" w:right="144" w:firstLine="0"/>
              <w:jc w:val="left"/>
            </w:pPr>
            <w:r>
              <w:rPr>
                <w:rFonts w:ascii="宋体" w:hAnsi="宋体" w:eastAsia="宋体"/>
                <w:b w:val="0"/>
                <w:i w:val="0"/>
                <w:color w:val="000000"/>
                <w:sz w:val="18"/>
              </w:rPr>
              <w:t>中央汇金资产管理有限</w:t>
            </w:r>
            <w:r>
              <w:rPr>
                <w:rFonts w:ascii="宋体" w:hAnsi="宋体" w:eastAsia="宋体"/>
                <w:b w:val="0"/>
                <w:i w:val="0"/>
                <w:color w:val="000000"/>
                <w:sz w:val="18"/>
              </w:rPr>
              <w:t xml:space="preserve">责任公司 </w:t>
            </w:r>
          </w:p>
        </w:tc>
        <w:tc>
          <w:tcPr>
            <w:tcW w:type="dxa" w:w="1274"/>
            <w:tcBorders>
              <w:start w:sz="2.400000000000091"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264" w:after="0"/>
              <w:ind w:left="276" w:right="0" w:firstLine="0"/>
              <w:jc w:val="left"/>
            </w:pPr>
            <w:r>
              <w:rPr>
                <w:rFonts w:ascii="宋体" w:hAnsi="宋体" w:eastAsia="宋体"/>
                <w:b w:val="0"/>
                <w:i w:val="0"/>
                <w:color w:val="000000"/>
                <w:sz w:val="18"/>
              </w:rPr>
              <w:t xml:space="preserve">国有法人 </w:t>
            </w:r>
          </w:p>
        </w:tc>
        <w:tc>
          <w:tcPr>
            <w:tcW w:type="dxa" w:w="994"/>
            <w:gridSpan w:val="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1.44 </w:t>
            </w:r>
          </w:p>
        </w:tc>
        <w:tc>
          <w:tcPr>
            <w:tcW w:type="dxa" w:w="1416"/>
            <w:gridSpan w:val="2"/>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51,695,120 </w:t>
            </w:r>
          </w:p>
        </w:tc>
        <w:tc>
          <w:tcPr>
            <w:tcW w:type="dxa" w:w="1490"/>
            <w:tcBorders>
              <w:start w:sz="1.599999999999909"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258" w:after="0"/>
              <w:ind w:left="0" w:right="58" w:firstLine="0"/>
              <w:jc w:val="right"/>
            </w:pPr>
            <w:r>
              <w:rPr>
                <w:rFonts w:ascii="Times New Roman" w:hAnsi="Times New Roman" w:eastAsia="Times New Roman"/>
                <w:b w:val="0"/>
                <w:i w:val="0"/>
                <w:color w:val="000000"/>
                <w:sz w:val="18"/>
              </w:rPr>
              <w:t xml:space="preserve">0 </w:t>
            </w:r>
          </w:p>
        </w:tc>
        <w:tc>
          <w:tcPr>
            <w:tcW w:type="dxa" w:w="852"/>
            <w:tcBorders>
              <w:start w:sz="2.400000000000091"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258"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258" w:after="0"/>
              <w:ind w:left="0" w:right="60" w:firstLine="0"/>
              <w:jc w:val="right"/>
            </w:pPr>
            <w:r>
              <w:rPr>
                <w:rFonts w:ascii="Times New Roman" w:hAnsi="Times New Roman" w:eastAsia="Times New Roman"/>
                <w:b w:val="0"/>
                <w:i w:val="0"/>
                <w:color w:val="000000"/>
                <w:sz w:val="18"/>
              </w:rPr>
              <w:t xml:space="preserve">51,695,120 </w:t>
            </w:r>
          </w:p>
        </w:tc>
        <w:tc>
          <w:tcPr>
            <w:tcW w:type="dxa" w:w="708"/>
            <w:tcBorders>
              <w:start w:sz="1.599999999999909" w:val="single" w:color="#000000"/>
              <w:top w:sz="1.6000000000003638" w:val="single" w:color="#000000"/>
              <w:end w:sz="1.6000000000003638" w:val="single" w:color="#000000"/>
              <w:bottom w:sz="1.5999999999994543" w:val="single" w:color="#000000"/>
            </w:tcBorders>
            <w:tcMar>
              <w:start w:w="0" w:type="dxa"/>
              <w:end w:w="0" w:type="dxa"/>
            </w:tcMar>
          </w:tcPr>
          <w:p/>
        </w:tc>
        <w:tc>
          <w:tcPr>
            <w:tcW w:type="dxa" w:w="568"/>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Pr>
          <w:p/>
        </w:tc>
      </w:tr>
      <w:tr>
        <w:trPr>
          <w:trHeight w:hRule="exact" w:val="402"/>
        </w:trPr>
        <w:tc>
          <w:tcPr>
            <w:tcW w:type="dxa" w:w="2058"/>
            <w:tcBorders>
              <w:start w:sz="1.5999999999999943" w:val="single" w:color="#000000"/>
              <w:top w:sz="1.5999999999994543" w:val="single" w:color="#000000"/>
              <w:end w:sz="2.400000000000091" w:val="single" w:color="#000000"/>
              <w:bottom w:sz="2.399999999999636" w:val="single" w:color="#000000"/>
            </w:tcBorders>
            <w:tcMar>
              <w:start w:w="0" w:type="dxa"/>
              <w:end w:w="0" w:type="dxa"/>
            </w:tcMar>
          </w:tcPr>
          <w:p>
            <w:pPr>
              <w:autoSpaceDN w:val="0"/>
              <w:autoSpaceDE w:val="0"/>
              <w:widowControl/>
              <w:spacing w:line="180" w:lineRule="exact" w:before="142" w:after="0"/>
              <w:ind w:left="0" w:right="0" w:firstLine="0"/>
              <w:jc w:val="center"/>
            </w:pPr>
            <w:r>
              <w:rPr>
                <w:rFonts w:ascii="宋体" w:hAnsi="宋体" w:eastAsia="宋体"/>
                <w:b w:val="0"/>
                <w:i w:val="0"/>
                <w:color w:val="000000"/>
                <w:sz w:val="18"/>
              </w:rPr>
              <w:t xml:space="preserve">郑州热力集团有限公司 </w:t>
            </w:r>
          </w:p>
        </w:tc>
        <w:tc>
          <w:tcPr>
            <w:tcW w:type="dxa" w:w="1274"/>
            <w:tcBorders>
              <w:start w:sz="2.400000000000091" w:val="single" w:color="#000000"/>
              <w:top w:sz="1.5999999999994543"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42" w:after="0"/>
              <w:ind w:left="276" w:right="0" w:firstLine="0"/>
              <w:jc w:val="left"/>
            </w:pPr>
            <w:r>
              <w:rPr>
                <w:rFonts w:ascii="宋体" w:hAnsi="宋体" w:eastAsia="宋体"/>
                <w:b w:val="0"/>
                <w:i w:val="0"/>
                <w:color w:val="000000"/>
                <w:sz w:val="18"/>
              </w:rPr>
              <w:t xml:space="preserve">国有法人 </w:t>
            </w:r>
          </w:p>
        </w:tc>
        <w:tc>
          <w:tcPr>
            <w:tcW w:type="dxa" w:w="994"/>
            <w:gridSpan w:val="2"/>
            <w:tcBorders>
              <w:start w:sz="1.599999999999909" w:val="single" w:color="#000000"/>
              <w:top w:sz="1.5999999999994543"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136" w:after="0"/>
              <w:ind w:left="0" w:right="58" w:firstLine="0"/>
              <w:jc w:val="right"/>
            </w:pPr>
            <w:r>
              <w:rPr>
                <w:rFonts w:ascii="Times New Roman" w:hAnsi="Times New Roman" w:eastAsia="Times New Roman"/>
                <w:b w:val="0"/>
                <w:i w:val="0"/>
                <w:color w:val="000000"/>
                <w:sz w:val="18"/>
              </w:rPr>
              <w:t xml:space="preserve">0.96 </w:t>
            </w:r>
          </w:p>
        </w:tc>
        <w:tc>
          <w:tcPr>
            <w:tcW w:type="dxa" w:w="1416"/>
            <w:gridSpan w:val="2"/>
            <w:tcBorders>
              <w:start w:sz="1.599999999999909" w:val="single" w:color="#000000"/>
              <w:top w:sz="1.5999999999994543"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0" w:lineRule="auto" w:before="136" w:after="0"/>
              <w:ind w:left="0" w:right="58" w:firstLine="0"/>
              <w:jc w:val="right"/>
            </w:pPr>
            <w:r>
              <w:rPr>
                <w:rFonts w:ascii="Times New Roman" w:hAnsi="Times New Roman" w:eastAsia="Times New Roman"/>
                <w:b w:val="0"/>
                <w:i w:val="0"/>
                <w:color w:val="000000"/>
                <w:sz w:val="18"/>
              </w:rPr>
              <w:t xml:space="preserve">34,321,745 </w:t>
            </w:r>
          </w:p>
        </w:tc>
        <w:tc>
          <w:tcPr>
            <w:tcW w:type="dxa" w:w="1490"/>
            <w:tcBorders>
              <w:start w:sz="1.599999999999909" w:val="single" w:color="#000000"/>
              <w:top w:sz="1.5999999999994543"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36" w:after="0"/>
              <w:ind w:left="0" w:right="58" w:firstLine="0"/>
              <w:jc w:val="right"/>
            </w:pPr>
            <w:r>
              <w:rPr>
                <w:rFonts w:ascii="Times New Roman" w:hAnsi="Times New Roman" w:eastAsia="Times New Roman"/>
                <w:b w:val="0"/>
                <w:i w:val="0"/>
                <w:color w:val="000000"/>
                <w:sz w:val="18"/>
              </w:rPr>
              <w:t xml:space="preserve">0 </w:t>
            </w:r>
          </w:p>
        </w:tc>
        <w:tc>
          <w:tcPr>
            <w:tcW w:type="dxa" w:w="852"/>
            <w:tcBorders>
              <w:start w:sz="2.400000000000091" w:val="single" w:color="#000000"/>
              <w:top w:sz="1.5999999999994543"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3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5999999999994543"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136" w:after="0"/>
              <w:ind w:left="0" w:right="60" w:firstLine="0"/>
              <w:jc w:val="right"/>
            </w:pPr>
            <w:r>
              <w:rPr>
                <w:rFonts w:ascii="Times New Roman" w:hAnsi="Times New Roman" w:eastAsia="Times New Roman"/>
                <w:b w:val="0"/>
                <w:i w:val="0"/>
                <w:color w:val="000000"/>
                <w:sz w:val="18"/>
              </w:rPr>
              <w:t xml:space="preserve">34,321,745 </w:t>
            </w:r>
          </w:p>
        </w:tc>
        <w:tc>
          <w:tcPr>
            <w:tcW w:type="dxa" w:w="708"/>
            <w:tcBorders>
              <w:start w:sz="1.599999999999909" w:val="single" w:color="#000000"/>
              <w:top w:sz="1.5999999999994543" w:val="single" w:color="#000000"/>
              <w:end w:sz="1.6000000000003638" w:val="single" w:color="#000000"/>
              <w:bottom w:sz="2.399999999999636" w:val="single" w:color="#000000"/>
            </w:tcBorders>
            <w:tcMar>
              <w:start w:w="0" w:type="dxa"/>
              <w:end w:w="0" w:type="dxa"/>
            </w:tcMar>
          </w:tcPr>
          <w:p/>
        </w:tc>
        <w:tc>
          <w:tcPr>
            <w:tcW w:type="dxa" w:w="568"/>
            <w:tcBorders>
              <w:start w:sz="1.6000000000003638" w:val="single" w:color="#000000"/>
              <w:top w:sz="1.5999999999994543" w:val="single" w:color="#000000"/>
              <w:end w:sz="1.6000000000003638" w:val="single" w:color="#000000"/>
              <w:bottom w:sz="2.399999999999636" w:val="single" w:color="#000000"/>
            </w:tcBorders>
            <w:tcMar>
              <w:start w:w="0" w:type="dxa"/>
              <w:end w:w="0" w:type="dxa"/>
            </w:tcMar>
          </w:tcPr>
          <w:p/>
        </w:tc>
      </w:tr>
      <w:tr>
        <w:trPr>
          <w:trHeight w:hRule="exact" w:val="1286"/>
        </w:trPr>
        <w:tc>
          <w:tcPr>
            <w:tcW w:type="dxa" w:w="2058"/>
            <w:tcBorders>
              <w:start w:sz="1.5999999999999943" w:val="single" w:color="#000000"/>
              <w:top w:sz="2.399999999999636" w:val="single" w:color="#000000"/>
              <w:end w:sz="2.400000000000091" w:val="single" w:color="#000000"/>
              <w:bottom w:sz="1.5999999999994543" w:val="single" w:color="#000000"/>
            </w:tcBorders>
            <w:tcMar>
              <w:start w:w="0" w:type="dxa"/>
              <w:end w:w="0" w:type="dxa"/>
            </w:tcMar>
          </w:tcPr>
          <w:p>
            <w:pPr>
              <w:autoSpaceDN w:val="0"/>
              <w:autoSpaceDE w:val="0"/>
              <w:widowControl/>
              <w:spacing w:line="310" w:lineRule="exact" w:before="0" w:after="0"/>
              <w:ind w:left="106" w:right="146" w:firstLine="0"/>
              <w:jc w:val="both"/>
            </w:pPr>
            <w:r>
              <w:rPr>
                <w:rFonts w:ascii="宋体" w:hAnsi="宋体" w:eastAsia="宋体"/>
                <w:b w:val="0"/>
                <w:i w:val="0"/>
                <w:color w:val="000000"/>
                <w:sz w:val="18"/>
              </w:rPr>
              <w:t>中国建设银行股份有限</w:t>
            </w:r>
            <w:r>
              <w:rPr>
                <w:rFonts w:ascii="宋体" w:hAnsi="宋体" w:eastAsia="宋体"/>
                <w:b w:val="0"/>
                <w:i w:val="0"/>
                <w:color w:val="000000"/>
                <w:sz w:val="18"/>
              </w:rPr>
              <w:t>公司－国泰中证全指证</w:t>
            </w:r>
            <w:r>
              <w:rPr>
                <w:rFonts w:ascii="宋体" w:hAnsi="宋体" w:eastAsia="宋体"/>
                <w:b w:val="0"/>
                <w:i w:val="0"/>
                <w:color w:val="000000"/>
                <w:sz w:val="18"/>
              </w:rPr>
              <w:t>券公司交易型开放式指</w:t>
            </w:r>
            <w:r>
              <w:rPr>
                <w:rFonts w:ascii="宋体" w:hAnsi="宋体" w:eastAsia="宋体"/>
                <w:b w:val="0"/>
                <w:i w:val="0"/>
                <w:color w:val="000000"/>
                <w:sz w:val="18"/>
              </w:rPr>
              <w:t xml:space="preserve">数证券投资基金 </w:t>
            </w:r>
          </w:p>
        </w:tc>
        <w:tc>
          <w:tcPr>
            <w:tcW w:type="dxa" w:w="1274"/>
            <w:tcBorders>
              <w:start w:sz="2.400000000000091" w:val="single" w:color="#000000"/>
              <w:top w:sz="2.399999999999636" w:val="single" w:color="#000000"/>
              <w:end w:sz="1.599999999999909" w:val="single" w:color="#000000"/>
              <w:bottom w:sz="1.5999999999994543" w:val="single" w:color="#000000"/>
            </w:tcBorders>
            <w:tcMar>
              <w:start w:w="0" w:type="dxa"/>
              <w:end w:w="0" w:type="dxa"/>
            </w:tcMar>
          </w:tcPr>
          <w:p>
            <w:pPr>
              <w:autoSpaceDN w:val="0"/>
              <w:tabs>
                <w:tab w:pos="366" w:val="left"/>
              </w:tabs>
              <w:autoSpaceDE w:val="0"/>
              <w:widowControl/>
              <w:spacing w:line="318" w:lineRule="exact" w:before="286" w:after="0"/>
              <w:ind w:left="186" w:right="144" w:firstLine="0"/>
              <w:jc w:val="left"/>
            </w:pPr>
            <w:r>
              <w:rPr>
                <w:rFonts w:ascii="宋体" w:hAnsi="宋体" w:eastAsia="宋体"/>
                <w:b w:val="0"/>
                <w:i w:val="0"/>
                <w:color w:val="000000"/>
                <w:sz w:val="18"/>
              </w:rPr>
              <w:t>基金、理财</w:t>
            </w:r>
            <w:r>
              <w:tab/>
            </w:r>
            <w:r>
              <w:rPr>
                <w:rFonts w:ascii="宋体" w:hAnsi="宋体" w:eastAsia="宋体"/>
                <w:b w:val="0"/>
                <w:i w:val="0"/>
                <w:color w:val="000000"/>
                <w:sz w:val="18"/>
              </w:rPr>
              <w:t xml:space="preserve">产品等 </w:t>
            </w:r>
          </w:p>
        </w:tc>
        <w:tc>
          <w:tcPr>
            <w:tcW w:type="dxa" w:w="994"/>
            <w:gridSpan w:val="2"/>
            <w:tcBorders>
              <w:start w:sz="1.599999999999909" w:val="single" w:color="#000000"/>
              <w:top w:sz="2.399999999999636" w:val="single" w:color="#000000"/>
              <w:end w:sz="1.599999999999909" w:val="single" w:color="#000000"/>
              <w:bottom w:sz="1.5999999999994543" w:val="single" w:color="#000000"/>
            </w:tcBorders>
            <w:tcMar>
              <w:start w:w="0" w:type="dxa"/>
              <w:end w:w="0" w:type="dxa"/>
            </w:tcMar>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0.87 </w:t>
            </w:r>
          </w:p>
        </w:tc>
        <w:tc>
          <w:tcPr>
            <w:tcW w:type="dxa" w:w="1416"/>
            <w:gridSpan w:val="2"/>
            <w:tcBorders>
              <w:start w:sz="1.599999999999909" w:val="single" w:color="#000000"/>
              <w:top w:sz="2.399999999999636" w:val="single" w:color="#000000"/>
              <w:end w:sz="1.599999999999909" w:val="single" w:color="#000000"/>
              <w:bottom w:sz="1.5999999999994543" w:val="single" w:color="#000000"/>
            </w:tcBorders>
            <w:tcMar>
              <w:start w:w="0" w:type="dxa"/>
              <w:end w:w="0" w:type="dxa"/>
            </w:tcMar>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31,399,343 </w:t>
            </w:r>
          </w:p>
        </w:tc>
        <w:tc>
          <w:tcPr>
            <w:tcW w:type="dxa" w:w="1490"/>
            <w:tcBorders>
              <w:start w:sz="1.599999999999909" w:val="single" w:color="#000000"/>
              <w:top w:sz="2.399999999999636"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-14,881,800 </w:t>
            </w:r>
          </w:p>
        </w:tc>
        <w:tc>
          <w:tcPr>
            <w:tcW w:type="dxa" w:w="852"/>
            <w:tcBorders>
              <w:start w:sz="2.400000000000091" w:val="single" w:color="#000000"/>
              <w:top w:sz="2.399999999999636" w:val="single" w:color="#000000"/>
              <w:end w:sz="2.400000000000091" w:val="single" w:color="#000000"/>
              <w:bottom w:sz="1.5999999999994543" w:val="single" w:color="#000000"/>
            </w:tcBorders>
            <w:tcMar>
              <w:start w:w="0" w:type="dxa"/>
              <w:end w:w="0" w:type="dxa"/>
            </w:tcMar>
          </w:tcPr>
          <w:p>
            <w:pPr>
              <w:autoSpaceDN w:val="0"/>
              <w:autoSpaceDE w:val="0"/>
              <w:widowControl/>
              <w:spacing w:line="233" w:lineRule="auto" w:before="57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2.399999999999636"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76" w:after="0"/>
              <w:ind w:left="0" w:right="60" w:firstLine="0"/>
              <w:jc w:val="right"/>
            </w:pPr>
            <w:r>
              <w:rPr>
                <w:rFonts w:ascii="Times New Roman" w:hAnsi="Times New Roman" w:eastAsia="Times New Roman"/>
                <w:b w:val="0"/>
                <w:i w:val="0"/>
                <w:color w:val="000000"/>
                <w:sz w:val="18"/>
              </w:rPr>
              <w:t xml:space="preserve">31,399,343 </w:t>
            </w:r>
          </w:p>
        </w:tc>
        <w:tc>
          <w:tcPr>
            <w:tcW w:type="dxa" w:w="708"/>
            <w:tcBorders>
              <w:start w:sz="1.599999999999909" w:val="single" w:color="#000000"/>
              <w:top w:sz="2.399999999999636" w:val="single" w:color="#000000"/>
              <w:end w:sz="1.6000000000003638" w:val="single" w:color="#000000"/>
              <w:bottom w:sz="1.5999999999994543" w:val="single" w:color="#000000"/>
            </w:tcBorders>
            <w:tcMar>
              <w:start w:w="0" w:type="dxa"/>
              <w:end w:w="0" w:type="dxa"/>
            </w:tcMar>
          </w:tcPr>
          <w:p/>
        </w:tc>
        <w:tc>
          <w:tcPr>
            <w:tcW w:type="dxa" w:w="568"/>
            <w:tcBorders>
              <w:start w:sz="1.6000000000003638" w:val="single" w:color="#000000"/>
              <w:top w:sz="2.399999999999636" w:val="single" w:color="#000000"/>
              <w:end w:sz="1.6000000000003638" w:val="single" w:color="#000000"/>
              <w:bottom w:sz="1.5999999999994543" w:val="single" w:color="#000000"/>
            </w:tcBorders>
            <w:tcMar>
              <w:start w:w="0" w:type="dxa"/>
              <w:end w:w="0" w:type="dxa"/>
            </w:tcMar>
          </w:tcPr>
          <w:p/>
        </w:tc>
      </w:tr>
      <w:tr>
        <w:trPr>
          <w:trHeight w:hRule="exact" w:val="1284"/>
        </w:trPr>
        <w:tc>
          <w:tcPr>
            <w:tcW w:type="dxa" w:w="2058"/>
            <w:tcBorders>
              <w:start w:sz="1.5999999999999943"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310" w:lineRule="exact" w:before="0" w:after="0"/>
              <w:ind w:left="106" w:right="144" w:firstLine="0"/>
              <w:jc w:val="both"/>
            </w:pPr>
            <w:r>
              <w:rPr>
                <w:rFonts w:ascii="宋体" w:hAnsi="宋体" w:eastAsia="宋体"/>
                <w:b w:val="0"/>
                <w:i w:val="0"/>
                <w:color w:val="000000"/>
                <w:sz w:val="18"/>
              </w:rPr>
              <w:t>中国农业银行股份有限</w:t>
            </w:r>
            <w:r>
              <w:rPr>
                <w:rFonts w:ascii="宋体" w:hAnsi="宋体" w:eastAsia="宋体"/>
                <w:b w:val="0"/>
                <w:i w:val="0"/>
                <w:color w:val="000000"/>
                <w:sz w:val="18"/>
              </w:rPr>
              <w:t>公司－中证500 交易型</w:t>
            </w:r>
            <w:r>
              <w:rPr>
                <w:rFonts w:ascii="宋体" w:hAnsi="宋体" w:eastAsia="宋体"/>
                <w:b w:val="0"/>
                <w:i w:val="0"/>
                <w:color w:val="000000"/>
                <w:sz w:val="18"/>
              </w:rPr>
              <w:t>开放式指数证券投资基</w:t>
            </w:r>
            <w:r>
              <w:rPr>
                <w:rFonts w:ascii="宋体" w:hAnsi="宋体" w:eastAsia="宋体"/>
                <w:b w:val="0"/>
                <w:i w:val="0"/>
                <w:color w:val="000000"/>
                <w:sz w:val="18"/>
              </w:rPr>
              <w:t xml:space="preserve">金 </w:t>
            </w:r>
          </w:p>
        </w:tc>
        <w:tc>
          <w:tcPr>
            <w:tcW w:type="dxa" w:w="1274"/>
            <w:tcBorders>
              <w:start w:sz="2.400000000000091" w:val="single" w:color="#000000"/>
              <w:top w:sz="1.5999999999994543" w:val="single" w:color="#000000"/>
              <w:end w:sz="1.599999999999909" w:val="single" w:color="#000000"/>
              <w:bottom w:sz="1.6000000000003638" w:val="single" w:color="#000000"/>
            </w:tcBorders>
            <w:tcMar>
              <w:start w:w="0" w:type="dxa"/>
              <w:end w:w="0" w:type="dxa"/>
            </w:tcMar>
          </w:tcPr>
          <w:p>
            <w:pPr>
              <w:autoSpaceDN w:val="0"/>
              <w:tabs>
                <w:tab w:pos="366" w:val="left"/>
              </w:tabs>
              <w:autoSpaceDE w:val="0"/>
              <w:widowControl/>
              <w:spacing w:line="318" w:lineRule="exact" w:before="284" w:after="0"/>
              <w:ind w:left="186" w:right="144" w:firstLine="0"/>
              <w:jc w:val="left"/>
            </w:pPr>
            <w:r>
              <w:rPr>
                <w:rFonts w:ascii="宋体" w:hAnsi="宋体" w:eastAsia="宋体"/>
                <w:b w:val="0"/>
                <w:i w:val="0"/>
                <w:color w:val="000000"/>
                <w:sz w:val="18"/>
              </w:rPr>
              <w:t>基金、理财</w:t>
            </w:r>
            <w:r>
              <w:tab/>
            </w:r>
            <w:r>
              <w:rPr>
                <w:rFonts w:ascii="宋体" w:hAnsi="宋体" w:eastAsia="宋体"/>
                <w:b w:val="0"/>
                <w:i w:val="0"/>
                <w:color w:val="000000"/>
                <w:sz w:val="18"/>
              </w:rPr>
              <w:t xml:space="preserve">产品等 </w:t>
            </w:r>
          </w:p>
        </w:tc>
        <w:tc>
          <w:tcPr>
            <w:tcW w:type="dxa" w:w="994"/>
            <w:gridSpan w:val="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0.86 </w:t>
            </w:r>
          </w:p>
        </w:tc>
        <w:tc>
          <w:tcPr>
            <w:tcW w:type="dxa" w:w="1416"/>
            <w:gridSpan w:val="2"/>
            <w:tcBorders>
              <w:start w:sz="1.599999999999909" w:val="single" w:color="#000000"/>
              <w:top w:sz="1.5999999999994543" w:val="single" w:color="#000000"/>
              <w:end w:sz="1.599999999999909" w:val="single" w:color="#000000"/>
              <w:bottom w:sz="1.6000000000003638" w:val="single" w:color="#000000"/>
            </w:tcBorders>
            <w:tcMar>
              <w:start w:w="0" w:type="dxa"/>
              <w:end w:w="0" w:type="dxa"/>
            </w:tcMar>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30,742,117 </w:t>
            </w:r>
          </w:p>
        </w:tc>
        <w:tc>
          <w:tcPr>
            <w:tcW w:type="dxa" w:w="1490"/>
            <w:tcBorders>
              <w:start w:sz="1.599999999999909"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576" w:after="0"/>
              <w:ind w:left="0" w:right="58" w:firstLine="0"/>
              <w:jc w:val="right"/>
            </w:pPr>
            <w:r>
              <w:rPr>
                <w:rFonts w:ascii="Times New Roman" w:hAnsi="Times New Roman" w:eastAsia="Times New Roman"/>
                <w:b w:val="0"/>
                <w:i w:val="0"/>
                <w:color w:val="000000"/>
                <w:sz w:val="18"/>
              </w:rPr>
              <w:t xml:space="preserve">18,753,570 </w:t>
            </w:r>
          </w:p>
        </w:tc>
        <w:tc>
          <w:tcPr>
            <w:tcW w:type="dxa" w:w="852"/>
            <w:tcBorders>
              <w:start w:sz="2.400000000000091" w:val="single" w:color="#000000"/>
              <w:top w:sz="1.5999999999994543"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57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5999999999994543"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576" w:after="0"/>
              <w:ind w:left="0" w:right="60" w:firstLine="0"/>
              <w:jc w:val="right"/>
            </w:pPr>
            <w:r>
              <w:rPr>
                <w:rFonts w:ascii="Times New Roman" w:hAnsi="Times New Roman" w:eastAsia="Times New Roman"/>
                <w:b w:val="0"/>
                <w:i w:val="0"/>
                <w:color w:val="000000"/>
                <w:sz w:val="18"/>
              </w:rPr>
              <w:t xml:space="preserve">30,742,117 </w:t>
            </w:r>
          </w:p>
        </w:tc>
        <w:tc>
          <w:tcPr>
            <w:tcW w:type="dxa" w:w="708"/>
            <w:tcBorders>
              <w:start w:sz="1.599999999999909" w:val="single" w:color="#000000"/>
              <w:top w:sz="1.5999999999994543" w:val="single" w:color="#000000"/>
              <w:end w:sz="1.6000000000003638" w:val="single" w:color="#000000"/>
              <w:bottom w:sz="1.6000000000003638" w:val="single" w:color="#000000"/>
            </w:tcBorders>
            <w:tcMar>
              <w:start w:w="0" w:type="dxa"/>
              <w:end w:w="0" w:type="dxa"/>
            </w:tcMar>
          </w:tcPr>
          <w:p/>
        </w:tc>
        <w:tc>
          <w:tcPr>
            <w:tcW w:type="dxa" w:w="568"/>
            <w:tcBorders>
              <w:start w:sz="1.6000000000003638" w:val="single" w:color="#000000"/>
              <w:top w:sz="1.5999999999994543" w:val="single" w:color="#000000"/>
              <w:end w:sz="1.6000000000003638" w:val="single" w:color="#000000"/>
              <w:bottom w:sz="1.6000000000003638" w:val="single" w:color="#000000"/>
            </w:tcBorders>
            <w:tcMar>
              <w:start w:w="0" w:type="dxa"/>
              <w:end w:w="0" w:type="dxa"/>
            </w:tcMar>
          </w:tcPr>
          <w:p/>
        </w:tc>
      </w:tr>
      <w:tr>
        <w:trPr>
          <w:trHeight w:hRule="exact" w:val="964"/>
        </w:trPr>
        <w:tc>
          <w:tcPr>
            <w:tcW w:type="dxa" w:w="2058"/>
            <w:tcBorders>
              <w:start w:sz="1.5999999999999943"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308" w:lineRule="exact" w:before="0" w:after="0"/>
              <w:ind w:left="106" w:right="146" w:firstLine="0"/>
              <w:jc w:val="both"/>
            </w:pPr>
            <w:r>
              <w:rPr>
                <w:rFonts w:ascii="宋体" w:hAnsi="宋体" w:eastAsia="宋体"/>
                <w:b w:val="0"/>
                <w:i w:val="0"/>
                <w:color w:val="000000"/>
                <w:sz w:val="18"/>
              </w:rPr>
              <w:t>中国建设银行股份有限</w:t>
            </w:r>
            <w:r>
              <w:rPr>
                <w:rFonts w:ascii="宋体" w:hAnsi="宋体" w:eastAsia="宋体"/>
                <w:b w:val="0"/>
                <w:i w:val="0"/>
                <w:color w:val="000000"/>
                <w:sz w:val="18"/>
              </w:rPr>
              <w:t>公司－华宝中证全指证</w:t>
            </w:r>
            <w:r>
              <w:rPr>
                <w:rFonts w:ascii="宋体" w:hAnsi="宋体" w:eastAsia="宋体"/>
                <w:b w:val="0"/>
                <w:i w:val="0"/>
                <w:color w:val="000000"/>
                <w:sz w:val="18"/>
              </w:rPr>
              <w:t>券公司交易型开放式指</w:t>
            </w:r>
          </w:p>
        </w:tc>
        <w:tc>
          <w:tcPr>
            <w:tcW w:type="dxa" w:w="1274"/>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tabs>
                <w:tab w:pos="366" w:val="left"/>
              </w:tabs>
              <w:autoSpaceDE w:val="0"/>
              <w:widowControl/>
              <w:spacing w:line="318" w:lineRule="exact" w:before="126" w:after="0"/>
              <w:ind w:left="186" w:right="144" w:firstLine="0"/>
              <w:jc w:val="left"/>
            </w:pPr>
            <w:r>
              <w:rPr>
                <w:rFonts w:ascii="宋体" w:hAnsi="宋体" w:eastAsia="宋体"/>
                <w:b w:val="0"/>
                <w:i w:val="0"/>
                <w:color w:val="000000"/>
                <w:sz w:val="18"/>
              </w:rPr>
              <w:t>基金、理财</w:t>
            </w:r>
            <w:r>
              <w:tab/>
            </w:r>
            <w:r>
              <w:rPr>
                <w:rFonts w:ascii="宋体" w:hAnsi="宋体" w:eastAsia="宋体"/>
                <w:b w:val="0"/>
                <w:i w:val="0"/>
                <w:color w:val="000000"/>
                <w:sz w:val="18"/>
              </w:rPr>
              <w:t xml:space="preserve">产品等 </w:t>
            </w:r>
          </w:p>
        </w:tc>
        <w:tc>
          <w:tcPr>
            <w:tcW w:type="dxa" w:w="994"/>
            <w:gridSpan w:val="2"/>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3" w:lineRule="auto" w:before="416" w:after="0"/>
              <w:ind w:left="0" w:right="58" w:firstLine="0"/>
              <w:jc w:val="right"/>
            </w:pPr>
            <w:r>
              <w:rPr>
                <w:rFonts w:ascii="Times New Roman" w:hAnsi="Times New Roman" w:eastAsia="Times New Roman"/>
                <w:b w:val="0"/>
                <w:i w:val="0"/>
                <w:color w:val="000000"/>
                <w:sz w:val="18"/>
              </w:rPr>
              <w:t xml:space="preserve">0.73 </w:t>
            </w:r>
          </w:p>
        </w:tc>
        <w:tc>
          <w:tcPr>
            <w:tcW w:type="dxa" w:w="1416"/>
            <w:gridSpan w:val="2"/>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Mar>
              <w:start w:w="0" w:type="dxa"/>
              <w:end w:w="0" w:type="dxa"/>
            </w:tcMar>
          </w:tcPr>
          <w:p>
            <w:pPr>
              <w:autoSpaceDN w:val="0"/>
              <w:autoSpaceDE w:val="0"/>
              <w:widowControl/>
              <w:spacing w:line="233" w:lineRule="auto" w:before="416" w:after="0"/>
              <w:ind w:left="0" w:right="58" w:firstLine="0"/>
              <w:jc w:val="right"/>
            </w:pPr>
            <w:r>
              <w:rPr>
                <w:rFonts w:ascii="Times New Roman" w:hAnsi="Times New Roman" w:eastAsia="Times New Roman"/>
                <w:b w:val="0"/>
                <w:i w:val="0"/>
                <w:color w:val="000000"/>
                <w:sz w:val="18"/>
              </w:rPr>
              <w:t xml:space="preserve">26,256,840 </w:t>
            </w:r>
          </w:p>
        </w:tc>
        <w:tc>
          <w:tcPr>
            <w:tcW w:type="dxa" w:w="1490"/>
            <w:tcBorders>
              <w:start w:sz="1.599999999999909"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416" w:after="0"/>
              <w:ind w:left="0" w:right="58" w:firstLine="0"/>
              <w:jc w:val="right"/>
            </w:pPr>
            <w:r>
              <w:rPr>
                <w:rFonts w:ascii="Times New Roman" w:hAnsi="Times New Roman" w:eastAsia="Times New Roman"/>
                <w:b w:val="0"/>
                <w:i w:val="0"/>
                <w:color w:val="000000"/>
                <w:sz w:val="18"/>
              </w:rPr>
              <w:t xml:space="preserve">-5,088,400 </w:t>
            </w:r>
          </w:p>
        </w:tc>
        <w:tc>
          <w:tcPr>
            <w:tcW w:type="dxa" w:w="852"/>
            <w:tcBorders>
              <w:start w:sz="2.400000000000091"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416" w:after="0"/>
              <w:ind w:left="0" w:right="60" w:firstLine="0"/>
              <w:jc w:val="right"/>
            </w:pPr>
            <w:r>
              <w:rPr>
                <w:rFonts w:ascii="Times New Roman" w:hAnsi="Times New Roman" w:eastAsia="Times New Roman"/>
                <w:b w:val="0"/>
                <w:i w:val="0"/>
                <w:color w:val="000000"/>
                <w:sz w:val="18"/>
              </w:rPr>
              <w:t xml:space="preserve">- </w:t>
            </w:r>
          </w:p>
        </w:tc>
        <w:tc>
          <w:tcPr>
            <w:tcW w:type="dxa" w:w="1274"/>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416" w:after="0"/>
              <w:ind w:left="0" w:right="60" w:firstLine="0"/>
              <w:jc w:val="right"/>
            </w:pPr>
            <w:r>
              <w:rPr>
                <w:rFonts w:ascii="Times New Roman" w:hAnsi="Times New Roman" w:eastAsia="Times New Roman"/>
                <w:b w:val="0"/>
                <w:i w:val="0"/>
                <w:color w:val="000000"/>
                <w:sz w:val="18"/>
              </w:rPr>
              <w:t xml:space="preserve">26,256,840 </w:t>
            </w:r>
          </w:p>
        </w:tc>
        <w:tc>
          <w:tcPr>
            <w:tcW w:type="dxa" w:w="708"/>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tc>
        <w:tc>
          <w:tcPr>
            <w:tcW w:type="dxa" w:w="568"/>
            <w:tcBorders>
              <w:start w:sz="1.6000000000003638" w:val="single" w:color="#000000"/>
              <w:top w:sz="1.6000000000003638" w:val="single" w:color="#000000"/>
              <w:end w:sz="1.6000000000003638" w:val="single" w:color="#000000"/>
              <w:bottom w:sz="2.399999999999636" w:val="single" w:color="#000000"/>
            </w:tcBorders>
            <w:tcMar>
              <w:start w:w="0" w:type="dxa"/>
              <w:end w:w="0" w:type="dxa"/>
            </w:tcMar>
          </w:tcPr>
          <w:p/>
        </w:tc>
      </w:tr>
    </w:tbl>
    <w:p>
      <w:pPr>
        <w:autoSpaceDN w:val="0"/>
        <w:autoSpaceDE w:val="0"/>
        <w:widowControl/>
        <w:spacing w:line="197" w:lineRule="auto" w:before="476" w:after="0"/>
        <w:ind w:left="0" w:right="0" w:firstLine="0"/>
        <w:jc w:val="center"/>
      </w:pPr>
      <w:r>
        <w:rPr>
          <w:rFonts w:ascii="Calibri" w:hAnsi="Calibri" w:eastAsia="Calibri"/>
          <w:b w:val="0"/>
          <w:i w:val="0"/>
          <w:color w:val="000000"/>
          <w:sz w:val="18"/>
        </w:rPr>
        <w:t xml:space="preserve">127 </w:t>
      </w:r>
    </w:p>
    <w:p>
      <w:pPr>
        <w:sectPr>
          <w:type w:val="continuous"/>
          <w:pgSz w:w="11904" w:h="16841"/>
          <w:pgMar w:top="424" w:right="612" w:bottom="446" w:left="634" w:header="720" w:footer="720" w:gutter="0"/>
          <w:cols/>
          <w:docGrid w:linePitch="360"/>
        </w:sectPr>
      </w:pPr>
    </w:p>
    <w:p>
      <w:pPr>
        <w:autoSpaceDN w:val="0"/>
        <w:autoSpaceDE w:val="0"/>
        <w:widowControl/>
        <w:spacing w:line="220" w:lineRule="exact" w:before="0" w:after="206"/>
        <w:ind w:left="0" w:right="0"/>
      </w:pPr>
    </w:p>
    <w:p>
      <w:pPr>
        <w:sectPr>
          <w:pgSz w:w="11904" w:h="16841"/>
          <w:pgMar w:top="424" w:right="612" w:bottom="446" w:left="634" w:header="720" w:footer="720" w:gutter="0"/>
          <w:cols/>
          <w:docGrid w:linePitch="360"/>
        </w:sectPr>
      </w:pPr>
    </w:p>
    <w:p>
      <w:pPr>
        <w:autoSpaceDN w:val="0"/>
        <w:autoSpaceDE w:val="0"/>
        <w:widowControl/>
        <w:spacing w:line="240" w:lineRule="auto" w:before="0" w:after="0"/>
        <w:ind w:left="500" w:right="0" w:firstLine="0"/>
        <w:jc w:val="left"/>
      </w:pPr>
      <w:r>
        <w:drawing>
          <wp:inline xmlns:a="http://schemas.openxmlformats.org/drawingml/2006/main" xmlns:pic="http://schemas.openxmlformats.org/drawingml/2006/picture">
            <wp:extent cx="1844039" cy="439419"/>
            <wp:docPr id="130" name="Picture 13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612" w:bottom="446" w:left="634" w:header="720" w:footer="720" w:gutter="0"/>
          <w:cols w:num="2" w:equalWidth="0">
            <w:col w:w="5906" w:space="0"/>
            <w:col w:w="4752" w:space="0"/>
          </w:cols>
          <w:docGrid w:linePitch="360"/>
        </w:sectPr>
      </w:pPr>
    </w:p>
    <w:p>
      <w:pPr>
        <w:autoSpaceDN w:val="0"/>
        <w:autoSpaceDE w:val="0"/>
        <w:widowControl/>
        <w:spacing w:line="200" w:lineRule="exact" w:before="0" w:after="30"/>
        <w:ind w:left="0" w:right="53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612" w:bottom="446" w:left="634" w:header="720" w:footer="720" w:gutter="0"/>
          <w:cols w:num="2" w:equalWidth="0">
            <w:col w:w="5906" w:space="0"/>
            <w:col w:w="475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2.0000000000000284" w:type="dxa"/>
      </w:tblPr>
      <w:tblGrid>
        <w:gridCol w:w="888"/>
        <w:gridCol w:w="888"/>
        <w:gridCol w:w="888"/>
        <w:gridCol w:w="888"/>
        <w:gridCol w:w="888"/>
        <w:gridCol w:w="888"/>
        <w:gridCol w:w="888"/>
        <w:gridCol w:w="888"/>
        <w:gridCol w:w="888"/>
        <w:gridCol w:w="888"/>
        <w:gridCol w:w="888"/>
        <w:gridCol w:w="888"/>
      </w:tblGrid>
      <w:tr>
        <w:trPr>
          <w:trHeight w:hRule="exact" w:val="402"/>
        </w:trPr>
        <w:tc>
          <w:tcPr>
            <w:tcW w:type="dxa" w:w="2058"/>
            <w:tcBorders>
              <w:start w:sz="1.5999999999999943" w:val="single" w:color="#000000"/>
              <w:top w:sz="1.6000000000000227" w:val="single" w:color="#000000"/>
              <w:end w:sz="2.400000000000091" w:val="single" w:color="#000000"/>
              <w:bottom w:sz="2.3999999999999773" w:val="single" w:color="#000000"/>
            </w:tcBorders>
            <w:tcMar>
              <w:start w:w="0" w:type="dxa"/>
              <w:end w:w="0" w:type="dxa"/>
            </w:tcMar>
          </w:tcPr>
          <w:p>
            <w:pPr>
              <w:autoSpaceDN w:val="0"/>
              <w:autoSpaceDE w:val="0"/>
              <w:widowControl/>
              <w:spacing w:line="180" w:lineRule="exact" w:before="102" w:after="0"/>
              <w:ind w:left="106" w:right="0" w:firstLine="0"/>
              <w:jc w:val="left"/>
            </w:pPr>
            <w:r>
              <w:rPr>
                <w:rFonts w:ascii="宋体" w:hAnsi="宋体" w:eastAsia="宋体"/>
                <w:b w:val="0"/>
                <w:i w:val="0"/>
                <w:color w:val="000000"/>
                <w:sz w:val="18"/>
              </w:rPr>
              <w:t xml:space="preserve">数证券投资基金 </w:t>
            </w:r>
          </w:p>
        </w:tc>
        <w:tc>
          <w:tcPr>
            <w:tcW w:type="dxa" w:w="1274"/>
            <w:tcBorders>
              <w:start w:sz="2.400000000000091" w:val="single" w:color="#000000"/>
              <w:top w:sz="5.600000000000023" w:val="single" w:color="#000000"/>
              <w:end w:sz="1.599999999999909" w:val="single" w:color="#000000"/>
              <w:bottom w:sz="2.3999999999999773" w:val="single" w:color="#000000"/>
            </w:tcBorders>
            <w:tcMar>
              <w:start w:w="0" w:type="dxa"/>
              <w:end w:w="0" w:type="dxa"/>
            </w:tcMar>
          </w:tcPr>
          <w:p/>
        </w:tc>
        <w:tc>
          <w:tcPr>
            <w:tcW w:type="dxa" w:w="994"/>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Pr>
          <w:p/>
        </w:tc>
        <w:tc>
          <w:tcPr>
            <w:tcW w:type="dxa" w:w="1416"/>
            <w:gridSpan w:val="2"/>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Mar>
              <w:start w:w="0" w:type="dxa"/>
              <w:end w:w="0" w:type="dxa"/>
            </w:tcMar>
          </w:tcPr>
          <w:p/>
        </w:tc>
        <w:tc>
          <w:tcPr>
            <w:tcW w:type="dxa" w:w="1490"/>
            <w:tcBorders>
              <w:start w:sz="1.599999999999909" w:val="single" w:color="#000000"/>
              <w:top w:sz="5.600000000000023" w:val="single" w:color="#000000"/>
              <w:end w:sz="2.400000000000091" w:val="single" w:color="#000000"/>
              <w:bottom w:sz="2.3999999999999773" w:val="single" w:color="#000000"/>
            </w:tcBorders>
            <w:tcMar>
              <w:start w:w="0" w:type="dxa"/>
              <w:end w:w="0" w:type="dxa"/>
            </w:tcMar>
          </w:tcPr>
          <w:p/>
        </w:tc>
        <w:tc>
          <w:tcPr>
            <w:tcW w:type="dxa" w:w="852"/>
            <w:gridSpan w:val="2"/>
            <w:tcBorders>
              <w:start w:sz="2.400000000000091" w:val="single" w:color="#000000"/>
              <w:top w:sz="5.600000000000023" w:val="single" w:color="#000000"/>
              <w:end w:sz="2.400000000000091" w:val="single" w:color="#000000"/>
              <w:bottom w:sz="2.3999999999999773" w:val="single" w:color="#000000"/>
            </w:tcBorders>
            <w:tcMar>
              <w:start w:w="0" w:type="dxa"/>
              <w:end w:w="0" w:type="dxa"/>
            </w:tcMar>
            <w:tcMar>
              <w:start w:w="0" w:type="dxa"/>
              <w:end w:w="0" w:type="dxa"/>
            </w:tcMar>
          </w:tcPr>
          <w:p/>
        </w:tc>
        <w:tc>
          <w:tcPr>
            <w:tcW w:type="dxa" w:w="1274"/>
            <w:gridSpan w:val="2"/>
            <w:tcBorders>
              <w:start w:sz="2.400000000000091" w:val="single" w:color="#000000"/>
              <w:top w:sz="5.600000000000023" w:val="single" w:color="#000000"/>
              <w:end w:sz="1.599999999999909" w:val="single" w:color="#000000"/>
              <w:bottom w:sz="2.3999999999999773" w:val="single" w:color="#000000"/>
            </w:tcBorders>
            <w:tcMar>
              <w:start w:w="0" w:type="dxa"/>
              <w:end w:w="0" w:type="dxa"/>
            </w:tcMar>
            <w:tcMar>
              <w:start w:w="0" w:type="dxa"/>
              <w:end w:w="0" w:type="dxa"/>
            </w:tcMar>
          </w:tcPr>
          <w:p/>
        </w:tc>
        <w:tc>
          <w:tcPr>
            <w:tcW w:type="dxa" w:w="708"/>
            <w:tcBorders>
              <w:start w:sz="1.599999999999909" w:val="single" w:color="#000000"/>
              <w:top w:sz="5.600000000000023" w:val="single" w:color="#000000"/>
              <w:end w:sz="1.6000000000003638" w:val="single" w:color="#000000"/>
              <w:bottom w:sz="2.3999999999999773" w:val="single" w:color="#000000"/>
            </w:tcBorders>
            <w:tcMar>
              <w:start w:w="0" w:type="dxa"/>
              <w:end w:w="0" w:type="dxa"/>
            </w:tcMar>
          </w:tcPr>
          <w:p/>
        </w:tc>
        <w:tc>
          <w:tcPr>
            <w:tcW w:type="dxa" w:w="568"/>
            <w:tcBorders>
              <w:start w:sz="1.6000000000003638" w:val="single" w:color="#000000"/>
              <w:top w:sz="1.6000000000000227" w:val="single" w:color="#000000"/>
              <w:end w:sz="1.6000000000003638" w:val="single" w:color="#000000"/>
              <w:bottom w:sz="2.3999999999999773" w:val="single" w:color="#000000"/>
            </w:tcBorders>
            <w:tcMar>
              <w:start w:w="0" w:type="dxa"/>
              <w:end w:w="0" w:type="dxa"/>
            </w:tcMar>
          </w:tcPr>
          <w:p/>
        </w:tc>
      </w:tr>
      <w:tr>
        <w:trPr>
          <w:trHeight w:hRule="exact" w:val="644"/>
        </w:trPr>
        <w:tc>
          <w:tcPr>
            <w:tcW w:type="dxa" w:w="2058"/>
            <w:tcBorders>
              <w:start w:sz="1.5999999999999943" w:val="single" w:color="#000000"/>
              <w:top w:sz="2.3999999999999773" w:val="single" w:color="#000000"/>
              <w:end w:sz="2.400000000000091" w:val="single" w:color="#000000"/>
              <w:bottom w:sz="2.3999999999998636" w:val="single" w:color="#000000"/>
            </w:tcBorders>
            <w:tcMar>
              <w:start w:w="0" w:type="dxa"/>
              <w:end w:w="0" w:type="dxa"/>
            </w:tcMar>
          </w:tcPr>
          <w:p>
            <w:pPr>
              <w:autoSpaceDN w:val="0"/>
              <w:autoSpaceDE w:val="0"/>
              <w:widowControl/>
              <w:spacing w:line="302" w:lineRule="exact" w:before="0" w:after="0"/>
              <w:ind w:left="106" w:right="144" w:firstLine="0"/>
              <w:jc w:val="left"/>
            </w:pPr>
            <w:r>
              <w:rPr>
                <w:rFonts w:ascii="宋体" w:hAnsi="宋体" w:eastAsia="宋体"/>
                <w:b w:val="0"/>
                <w:i w:val="0"/>
                <w:color w:val="000000"/>
                <w:sz w:val="18"/>
              </w:rPr>
              <w:t>山西省科技基金发展有</w:t>
            </w:r>
            <w:r>
              <w:rPr>
                <w:rFonts w:ascii="宋体" w:hAnsi="宋体" w:eastAsia="宋体"/>
                <w:b w:val="0"/>
                <w:i w:val="0"/>
                <w:color w:val="000000"/>
                <w:sz w:val="18"/>
              </w:rPr>
              <w:t xml:space="preserve">限公司 </w:t>
            </w:r>
          </w:p>
        </w:tc>
        <w:tc>
          <w:tcPr>
            <w:tcW w:type="dxa" w:w="1274"/>
            <w:tcBorders>
              <w:start w:sz="2.400000000000091" w:val="single" w:color="#000000"/>
              <w:top w:sz="2.3999999999999773" w:val="single" w:color="#000000"/>
              <w:end w:sz="1.599999999999909" w:val="single" w:color="#000000"/>
              <w:bottom w:sz="2.3999999999998636" w:val="single" w:color="#000000"/>
            </w:tcBorders>
            <w:tcMar>
              <w:start w:w="0" w:type="dxa"/>
              <w:end w:w="0" w:type="dxa"/>
            </w:tcMar>
          </w:tcPr>
          <w:p>
            <w:pPr>
              <w:autoSpaceDN w:val="0"/>
              <w:autoSpaceDE w:val="0"/>
              <w:widowControl/>
              <w:spacing w:line="180" w:lineRule="exact" w:before="262" w:after="0"/>
              <w:ind w:left="276" w:right="0" w:firstLine="0"/>
              <w:jc w:val="left"/>
            </w:pPr>
            <w:r>
              <w:rPr>
                <w:rFonts w:ascii="宋体" w:hAnsi="宋体" w:eastAsia="宋体"/>
                <w:b w:val="0"/>
                <w:i w:val="0"/>
                <w:color w:val="000000"/>
                <w:sz w:val="18"/>
              </w:rPr>
              <w:t xml:space="preserve">国有法人 </w:t>
            </w:r>
          </w:p>
        </w:tc>
        <w:tc>
          <w:tcPr>
            <w:tcW w:type="dxa" w:w="994"/>
            <w:tcBorders>
              <w:start w:sz="1.599999999999909" w:val="single" w:color="#000000"/>
              <w:top w:sz="2.3999999999999773" w:val="single" w:color="#000000"/>
              <w:end w:sz="1.599999999999909" w:val="single" w:color="#000000"/>
              <w:bottom w:sz="2.3999999999998636" w:val="single" w:color="#000000"/>
            </w:tcBorders>
            <w:tcMar>
              <w:start w:w="0" w:type="dxa"/>
              <w:end w:w="0" w:type="dxa"/>
            </w:tcMar>
          </w:tcPr>
          <w:p>
            <w:pPr>
              <w:autoSpaceDN w:val="0"/>
              <w:autoSpaceDE w:val="0"/>
              <w:widowControl/>
              <w:spacing w:line="233" w:lineRule="auto" w:before="256" w:after="0"/>
              <w:ind w:left="0" w:right="58" w:firstLine="0"/>
              <w:jc w:val="right"/>
            </w:pPr>
            <w:r>
              <w:rPr>
                <w:rFonts w:ascii="Times New Roman" w:hAnsi="Times New Roman" w:eastAsia="Times New Roman"/>
                <w:b w:val="0"/>
                <w:i w:val="0"/>
                <w:color w:val="000000"/>
                <w:sz w:val="18"/>
              </w:rPr>
              <w:t xml:space="preserve">0.62 </w:t>
            </w:r>
          </w:p>
        </w:tc>
        <w:tc>
          <w:tcPr>
            <w:tcW w:type="dxa" w:w="1416"/>
            <w:gridSpan w:val="2"/>
            <w:tcBorders>
              <w:start w:sz="1.599999999999909" w:val="single" w:color="#000000"/>
              <w:top w:sz="2.3999999999999773" w:val="single" w:color="#000000"/>
              <w:end w:sz="1.599999999999909" w:val="single" w:color="#000000"/>
              <w:bottom w:sz="2.3999999999998636" w:val="single" w:color="#000000"/>
            </w:tcBorders>
            <w:tcMar>
              <w:start w:w="0" w:type="dxa"/>
              <w:end w:w="0" w:type="dxa"/>
            </w:tcMar>
            <w:tcMar>
              <w:start w:w="0" w:type="dxa"/>
              <w:end w:w="0" w:type="dxa"/>
            </w:tcMar>
          </w:tcPr>
          <w:p>
            <w:pPr>
              <w:autoSpaceDN w:val="0"/>
              <w:autoSpaceDE w:val="0"/>
              <w:widowControl/>
              <w:spacing w:line="233" w:lineRule="auto" w:before="256" w:after="0"/>
              <w:ind w:left="0" w:right="58" w:firstLine="0"/>
              <w:jc w:val="right"/>
            </w:pPr>
            <w:r>
              <w:rPr>
                <w:rFonts w:ascii="Times New Roman" w:hAnsi="Times New Roman" w:eastAsia="Times New Roman"/>
                <w:b w:val="0"/>
                <w:i w:val="0"/>
                <w:color w:val="000000"/>
                <w:sz w:val="18"/>
              </w:rPr>
              <w:t xml:space="preserve">22,100,000 </w:t>
            </w:r>
          </w:p>
        </w:tc>
        <w:tc>
          <w:tcPr>
            <w:tcW w:type="dxa" w:w="1490"/>
            <w:tcBorders>
              <w:start w:sz="1.599999999999909" w:val="single" w:color="#000000"/>
              <w:top w:sz="2.3999999999999773" w:val="single" w:color="#000000"/>
              <w:end w:sz="2.400000000000091" w:val="single" w:color="#000000"/>
              <w:bottom w:sz="2.3999999999998636" w:val="single" w:color="#000000"/>
            </w:tcBorders>
            <w:tcMar>
              <w:start w:w="0" w:type="dxa"/>
              <w:end w:w="0" w:type="dxa"/>
            </w:tcMar>
          </w:tcPr>
          <w:p>
            <w:pPr>
              <w:autoSpaceDN w:val="0"/>
              <w:autoSpaceDE w:val="0"/>
              <w:widowControl/>
              <w:spacing w:line="233" w:lineRule="auto" w:before="256" w:after="0"/>
              <w:ind w:left="0" w:right="58" w:firstLine="0"/>
              <w:jc w:val="right"/>
            </w:pPr>
            <w:r>
              <w:rPr>
                <w:rFonts w:ascii="Times New Roman" w:hAnsi="Times New Roman" w:eastAsia="Times New Roman"/>
                <w:b w:val="0"/>
                <w:i w:val="0"/>
                <w:color w:val="000000"/>
                <w:sz w:val="18"/>
              </w:rPr>
              <w:t xml:space="preserve">18,000 </w:t>
            </w:r>
          </w:p>
        </w:tc>
        <w:tc>
          <w:tcPr>
            <w:tcW w:type="dxa" w:w="852"/>
            <w:gridSpan w:val="2"/>
            <w:tcBorders>
              <w:start w:sz="2.400000000000091" w:val="single" w:color="#000000"/>
              <w:top w:sz="2.3999999999999773" w:val="single" w:color="#000000"/>
              <w:end w:sz="2.400000000000091" w:val="single" w:color="#000000"/>
              <w:bottom w:sz="2.3999999999998636" w:val="single" w:color="#000000"/>
            </w:tcBorders>
            <w:tcMar>
              <w:start w:w="0" w:type="dxa"/>
              <w:end w:w="0" w:type="dxa"/>
            </w:tcMar>
            <w:tcMar>
              <w:start w:w="0" w:type="dxa"/>
              <w:end w:w="0" w:type="dxa"/>
            </w:tcMar>
          </w:tcPr>
          <w:p>
            <w:pPr>
              <w:autoSpaceDN w:val="0"/>
              <w:autoSpaceDE w:val="0"/>
              <w:widowControl/>
              <w:spacing w:line="233" w:lineRule="auto" w:before="256" w:after="0"/>
              <w:ind w:left="0" w:right="60" w:firstLine="0"/>
              <w:jc w:val="right"/>
            </w:pPr>
            <w:r>
              <w:rPr>
                <w:rFonts w:ascii="Times New Roman" w:hAnsi="Times New Roman" w:eastAsia="Times New Roman"/>
                <w:b w:val="0"/>
                <w:i w:val="0"/>
                <w:color w:val="000000"/>
                <w:sz w:val="18"/>
              </w:rPr>
              <w:t xml:space="preserve">- </w:t>
            </w:r>
          </w:p>
        </w:tc>
        <w:tc>
          <w:tcPr>
            <w:tcW w:type="dxa" w:w="1274"/>
            <w:gridSpan w:val="2"/>
            <w:tcBorders>
              <w:start w:sz="2.400000000000091" w:val="single" w:color="#000000"/>
              <w:top w:sz="2.3999999999999773" w:val="single" w:color="#000000"/>
              <w:end w:sz="1.599999999999909" w:val="single" w:color="#000000"/>
              <w:bottom w:sz="2.3999999999998636" w:val="single" w:color="#000000"/>
            </w:tcBorders>
            <w:tcMar>
              <w:start w:w="0" w:type="dxa"/>
              <w:end w:w="0" w:type="dxa"/>
            </w:tcMar>
            <w:tcMar>
              <w:start w:w="0" w:type="dxa"/>
              <w:end w:w="0" w:type="dxa"/>
            </w:tcMar>
          </w:tcPr>
          <w:p>
            <w:pPr>
              <w:autoSpaceDN w:val="0"/>
              <w:autoSpaceDE w:val="0"/>
              <w:widowControl/>
              <w:spacing w:line="233" w:lineRule="auto" w:before="256" w:after="0"/>
              <w:ind w:left="0" w:right="60" w:firstLine="0"/>
              <w:jc w:val="right"/>
            </w:pPr>
            <w:r>
              <w:rPr>
                <w:rFonts w:ascii="Times New Roman" w:hAnsi="Times New Roman" w:eastAsia="Times New Roman"/>
                <w:b w:val="0"/>
                <w:i w:val="0"/>
                <w:color w:val="000000"/>
                <w:sz w:val="18"/>
              </w:rPr>
              <w:t xml:space="preserve">22,100,000 </w:t>
            </w:r>
          </w:p>
        </w:tc>
        <w:tc>
          <w:tcPr>
            <w:tcW w:type="dxa" w:w="708"/>
            <w:tcBorders>
              <w:start w:sz="1.599999999999909" w:val="single" w:color="#000000"/>
              <w:top w:sz="2.3999999999999773" w:val="single" w:color="#000000"/>
              <w:end w:sz="1.6000000000003638" w:val="single" w:color="#000000"/>
              <w:bottom w:sz="2.3999999999998636" w:val="single" w:color="#000000"/>
            </w:tcBorders>
            <w:tcMar>
              <w:start w:w="0" w:type="dxa"/>
              <w:end w:w="0" w:type="dxa"/>
            </w:tcMar>
          </w:tcPr>
          <w:p/>
        </w:tc>
        <w:tc>
          <w:tcPr>
            <w:tcW w:type="dxa" w:w="568"/>
            <w:tcBorders>
              <w:start w:sz="1.6000000000003638" w:val="single" w:color="#000000"/>
              <w:top w:sz="2.3999999999999773" w:val="single" w:color="#000000"/>
              <w:end w:sz="1.6000000000003638" w:val="single" w:color="#000000"/>
              <w:bottom w:sz="2.3999999999998636" w:val="single" w:color="#000000"/>
            </w:tcBorders>
            <w:tcMar>
              <w:start w:w="0" w:type="dxa"/>
              <w:end w:w="0" w:type="dxa"/>
            </w:tcMar>
          </w:tcPr>
          <w:p/>
        </w:tc>
      </w:tr>
      <w:tr>
        <w:trPr>
          <w:trHeight w:hRule="exact" w:val="726"/>
        </w:trPr>
        <w:tc>
          <w:tcPr>
            <w:tcW w:type="dxa" w:w="3332"/>
            <w:gridSpan w:val="2"/>
            <w:tcBorders>
              <w:start w:sz="1.5999999999999943" w:val="single" w:color="#000000"/>
              <w:top w:sz="2.3999999999998636" w:val="single" w:color="#000000"/>
              <w:end w:sz="1.599999999999909" w:val="single" w:color="#000000"/>
              <w:bottom w:sz="1.6000000000001364"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6.00000000000009" w:type="dxa"/>
            </w:tblPr>
            <w:tblGrid>
              <w:gridCol w:w="3332"/>
            </w:tblGrid>
            <w:tr>
              <w:trPr>
                <w:trHeight w:hRule="exact" w:val="360"/>
              </w:trPr>
              <w:tc>
                <w:tcPr>
                  <w:tcW w:type="dxa" w:w="3118"/>
                  <w:tcBorders/>
                  <w:shd w:fill="d2d2d2"/>
                  <w:tcMar>
                    <w:start w:w="0" w:type="dxa"/>
                    <w:end w:w="0" w:type="dxa"/>
                  </w:tcMar>
                </w:tcPr>
                <w:p>
                  <w:pPr>
                    <w:autoSpaceDN w:val="0"/>
                    <w:autoSpaceDE w:val="0"/>
                    <w:widowControl/>
                    <w:spacing w:line="180" w:lineRule="exact" w:before="142" w:after="0"/>
                    <w:ind w:left="0" w:right="0" w:firstLine="0"/>
                    <w:jc w:val="center"/>
                  </w:pPr>
                  <w:r>
                    <w:rPr>
                      <w:rFonts w:ascii="宋体" w:hAnsi="宋体" w:eastAsia="宋体"/>
                      <w:b w:val="0"/>
                      <w:i w:val="0"/>
                      <w:color w:val="000000"/>
                      <w:sz w:val="18"/>
                    </w:rPr>
                    <w:t>战略投资者或一般法人因配售新股成为</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6.00000000000009" w:type="dxa"/>
            </w:tblPr>
            <w:tblGrid>
              <w:gridCol w:w="3332"/>
            </w:tblGrid>
            <w:tr>
              <w:trPr>
                <w:trHeight w:hRule="exact" w:val="340"/>
              </w:trPr>
              <w:tc>
                <w:tcPr>
                  <w:tcW w:type="dxa" w:w="3118"/>
                  <w:tcBorders/>
                  <w:shd w:fill="d2d2d2"/>
                  <w:tcMar>
                    <w:start w:w="0" w:type="dxa"/>
                    <w:end w:w="0" w:type="dxa"/>
                  </w:tcMar>
                </w:tcPr>
                <w:p>
                  <w:pPr>
                    <w:autoSpaceDN w:val="0"/>
                    <w:autoSpaceDE w:val="0"/>
                    <w:widowControl/>
                    <w:spacing w:line="180" w:lineRule="exact" w:before="102" w:after="0"/>
                    <w:ind w:left="0" w:right="0" w:firstLine="0"/>
                    <w:jc w:val="left"/>
                  </w:pPr>
                  <w:r>
                    <w:rPr>
                      <w:rFonts w:ascii="宋体" w:hAnsi="宋体" w:eastAsia="宋体"/>
                      <w:b w:val="0"/>
                      <w:i w:val="0"/>
                      <w:color w:val="000000"/>
                      <w:sz w:val="18"/>
                    </w:rPr>
                    <w:t xml:space="preserve">前10 名股东的情况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7302"/>
            <w:gridSpan w:val="10"/>
            <w:tcBorders>
              <w:start w:sz="1.599999999999909" w:val="single" w:color="#000000"/>
              <w:top w:sz="2.3999999999998636" w:val="single" w:color="#000000"/>
              <w:end w:sz="1.6000000000003638" w:val="single" w:color="#000000"/>
              <w:bottom w:sz="1.6000000000001364"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00" w:after="0"/>
              <w:ind w:left="108" w:right="0" w:firstLine="0"/>
              <w:jc w:val="left"/>
            </w:pPr>
            <w:r>
              <w:rPr>
                <w:rFonts w:ascii="宋体" w:hAnsi="宋体" w:eastAsia="宋体"/>
                <w:b w:val="0"/>
                <w:i w:val="0"/>
                <w:color w:val="000000"/>
                <w:sz w:val="18"/>
              </w:rPr>
              <w:t xml:space="preserve">不适用 </w:t>
            </w:r>
          </w:p>
        </w:tc>
      </w:tr>
      <w:tr>
        <w:trPr>
          <w:trHeight w:hRule="exact" w:val="644"/>
        </w:trPr>
        <w:tc>
          <w:tcPr>
            <w:tcW w:type="dxa" w:w="3332"/>
            <w:gridSpan w:val="2"/>
            <w:tcBorders>
              <w:start w:sz="1.5999999999999943" w:val="single" w:color="#000000"/>
              <w:top w:sz="1.6000000000001364" w:val="single" w:color="#000000"/>
              <w:end w:sz="1.599999999999909" w:val="single" w:color="#000000"/>
              <w:bottom w:sz="2.3999999999998636" w:val="single" w:color="#000000"/>
            </w:tcBorders>
            <w:shd w:fill="d2d2d2"/>
            <w:tcMar>
              <w:start w:w="0" w:type="dxa"/>
              <w:end w:w="0" w:type="dxa"/>
            </w:tcMar>
            <w:tcMar>
              <w:start w:w="0" w:type="dxa"/>
              <w:end w:w="0" w:type="dxa"/>
            </w:tcMar>
          </w:tcPr>
          <w:p>
            <w:pPr>
              <w:autoSpaceDN w:val="0"/>
              <w:autoSpaceDE w:val="0"/>
              <w:widowControl/>
              <w:spacing w:line="120" w:lineRule="exact" w:before="0" w:after="0"/>
              <w:ind w:left="0" w:right="0"/>
            </w:pPr>
          </w:p>
          <w:tbl>
            <w:tblPr>
              <w:tblW w:type="auto" w:w="0"/>
              <w:tblLayout w:type="fixed"/>
              <w:tblLook w:firstColumn="1" w:firstRow="1" w:lastColumn="0" w:lastRow="0" w:noHBand="0" w:noVBand="1" w:val="04A0"/>
              <w:tblInd w:w="106.00000000000009" w:type="dxa"/>
            </w:tblPr>
            <w:tblGrid>
              <w:gridCol w:w="3332"/>
            </w:tblGrid>
            <w:tr>
              <w:trPr>
                <w:trHeight w:hRule="exact" w:val="380"/>
              </w:trPr>
              <w:tc>
                <w:tcPr>
                  <w:tcW w:type="dxa" w:w="3118"/>
                  <w:tcBorders/>
                  <w:shd w:fill="d2d2d2"/>
                  <w:tcMar>
                    <w:start w:w="0" w:type="dxa"/>
                    <w:end w:w="0" w:type="dxa"/>
                  </w:tcMar>
                </w:tcPr>
                <w:p>
                  <w:pPr>
                    <w:autoSpaceDN w:val="0"/>
                    <w:autoSpaceDE w:val="0"/>
                    <w:widowControl/>
                    <w:spacing w:line="180" w:lineRule="exact" w:before="140" w:after="0"/>
                    <w:ind w:left="0" w:right="0" w:firstLine="0"/>
                    <w:jc w:val="left"/>
                  </w:pPr>
                  <w:r>
                    <w:rPr>
                      <w:rFonts w:ascii="宋体" w:hAnsi="宋体" w:eastAsia="宋体"/>
                      <w:b w:val="0"/>
                      <w:i w:val="0"/>
                      <w:color w:val="000000"/>
                      <w:sz w:val="18"/>
                    </w:rPr>
                    <w:t xml:space="preserve">上述股东关联关系或一致行动的说明 </w:t>
                  </w:r>
                </w:p>
              </w:tc>
            </w:tr>
          </w:tbl>
          <w:p>
            <w:pPr>
              <w:autoSpaceDN w:val="0"/>
              <w:autoSpaceDE w:val="0"/>
              <w:widowControl/>
              <w:spacing w:line="14" w:lineRule="exact" w:before="0" w:after="0"/>
              <w:ind w:left="0" w:right="0"/>
            </w:pPr>
          </w:p>
        </w:tc>
        <w:tc>
          <w:tcPr>
            <w:tcW w:type="dxa" w:w="7302"/>
            <w:gridSpan w:val="10"/>
            <w:tcBorders>
              <w:start w:sz="1.599999999999909" w:val="single" w:color="#000000"/>
              <w:top w:sz="1.6000000000001364" w:val="single" w:color="#000000"/>
              <w:end w:sz="1.6000000000003638" w:val="single" w:color="#000000"/>
              <w:bottom w:sz="2.399999999999863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2" w:lineRule="exact" w:before="0" w:after="0"/>
              <w:ind w:left="108" w:right="144" w:firstLine="0"/>
              <w:jc w:val="left"/>
            </w:pPr>
            <w:r>
              <w:rPr>
                <w:rFonts w:ascii="宋体" w:hAnsi="宋体" w:eastAsia="宋体"/>
                <w:b w:val="0"/>
                <w:i w:val="0"/>
                <w:color w:val="000000"/>
                <w:sz w:val="18"/>
              </w:rPr>
              <w:t>上述股东中，山西国际电力集团有限公司及山西省科技基金发展有限公司实际控制人同为</w:t>
            </w:r>
            <w:r>
              <w:rPr>
                <w:rFonts w:ascii="宋体" w:hAnsi="宋体" w:eastAsia="宋体"/>
                <w:b w:val="0"/>
                <w:i w:val="0"/>
                <w:color w:val="000000"/>
                <w:sz w:val="18"/>
              </w:rPr>
              <w:t xml:space="preserve">山西省国资委；未知其他股东之间是否存在关联关系或一致行动。 </w:t>
            </w:r>
          </w:p>
        </w:tc>
      </w:tr>
      <w:tr>
        <w:trPr>
          <w:trHeight w:hRule="exact" w:val="726"/>
        </w:trPr>
        <w:tc>
          <w:tcPr>
            <w:tcW w:type="dxa" w:w="3332"/>
            <w:gridSpan w:val="2"/>
            <w:tcBorders>
              <w:start w:sz="1.5999999999999943" w:val="single" w:color="#000000"/>
              <w:top w:sz="2.3999999999998636" w:val="single" w:color="#000000"/>
              <w:end w:sz="1.599999999999909" w:val="single" w:color="#000000"/>
              <w:bottom w:sz="1.6000000000001364"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6.00000000000009" w:type="dxa"/>
            </w:tblPr>
            <w:tblGrid>
              <w:gridCol w:w="3332"/>
            </w:tblGrid>
            <w:tr>
              <w:trPr>
                <w:trHeight w:hRule="exact" w:val="360"/>
              </w:trPr>
              <w:tc>
                <w:tcPr>
                  <w:tcW w:type="dxa" w:w="3118"/>
                  <w:tcBorders/>
                  <w:shd w:fill="d2d2d2"/>
                  <w:tcMar>
                    <w:start w:w="0" w:type="dxa"/>
                    <w:end w:w="0" w:type="dxa"/>
                  </w:tcMar>
                </w:tcPr>
                <w:p>
                  <w:pPr>
                    <w:autoSpaceDN w:val="0"/>
                    <w:autoSpaceDE w:val="0"/>
                    <w:widowControl/>
                    <w:spacing w:line="180" w:lineRule="exact" w:before="142" w:after="0"/>
                    <w:ind w:left="0" w:right="0" w:firstLine="0"/>
                    <w:jc w:val="left"/>
                  </w:pPr>
                  <w:r>
                    <w:rPr>
                      <w:rFonts w:ascii="宋体" w:hAnsi="宋体" w:eastAsia="宋体"/>
                      <w:b w:val="0"/>
                      <w:i w:val="0"/>
                      <w:color w:val="000000"/>
                      <w:sz w:val="18"/>
                    </w:rPr>
                    <w:t>上述股东涉及委托/受托表决权、放弃</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6.00000000000009" w:type="dxa"/>
            </w:tblPr>
            <w:tblGrid>
              <w:gridCol w:w="3332"/>
            </w:tblGrid>
            <w:tr>
              <w:trPr>
                <w:trHeight w:hRule="exact" w:val="340"/>
              </w:trPr>
              <w:tc>
                <w:tcPr>
                  <w:tcW w:type="dxa" w:w="3118"/>
                  <w:tcBorders/>
                  <w:shd w:fill="d2d2d2"/>
                  <w:tcMar>
                    <w:start w:w="0" w:type="dxa"/>
                    <w:end w:w="0" w:type="dxa"/>
                  </w:tcMar>
                </w:tcPr>
                <w:p>
                  <w:pPr>
                    <w:autoSpaceDN w:val="0"/>
                    <w:autoSpaceDE w:val="0"/>
                    <w:widowControl/>
                    <w:spacing w:line="180" w:lineRule="exact" w:before="102" w:after="0"/>
                    <w:ind w:left="0" w:right="0" w:firstLine="0"/>
                    <w:jc w:val="left"/>
                  </w:pPr>
                  <w:r>
                    <w:rPr>
                      <w:rFonts w:ascii="宋体" w:hAnsi="宋体" w:eastAsia="宋体"/>
                      <w:b w:val="0"/>
                      <w:i w:val="0"/>
                      <w:color w:val="000000"/>
                      <w:sz w:val="18"/>
                    </w:rPr>
                    <w:t xml:space="preserve">表决权情况的说明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7302"/>
            <w:gridSpan w:val="10"/>
            <w:tcBorders>
              <w:start w:sz="1.599999999999909" w:val="single" w:color="#000000"/>
              <w:top w:sz="2.3999999999998636" w:val="single" w:color="#000000"/>
              <w:end w:sz="1.6000000000003638" w:val="single" w:color="#000000"/>
              <w:bottom w:sz="1.6000000000001364"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00" w:after="0"/>
              <w:ind w:left="108" w:right="0" w:firstLine="0"/>
              <w:jc w:val="left"/>
            </w:pPr>
            <w:r>
              <w:rPr>
                <w:rFonts w:ascii="宋体" w:hAnsi="宋体" w:eastAsia="宋体"/>
                <w:b w:val="0"/>
                <w:i w:val="0"/>
                <w:color w:val="000000"/>
                <w:sz w:val="18"/>
              </w:rPr>
              <w:t xml:space="preserve">不适用 </w:t>
            </w:r>
          </w:p>
        </w:tc>
      </w:tr>
      <w:tr>
        <w:trPr>
          <w:trHeight w:hRule="exact" w:val="726"/>
        </w:trPr>
        <w:tc>
          <w:tcPr>
            <w:tcW w:type="dxa" w:w="3332"/>
            <w:gridSpan w:val="2"/>
            <w:tcBorders>
              <w:start w:sz="1.5999999999999943" w:val="single" w:color="#000000"/>
              <w:top w:sz="1.6000000000001364" w:val="single" w:color="#000000"/>
              <w:end w:sz="1.599999999999909" w:val="single" w:color="#000000"/>
              <w:bottom w:sz="1.6000000000003638"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6.00000000000009" w:type="dxa"/>
            </w:tblPr>
            <w:tblGrid>
              <w:gridCol w:w="3332"/>
            </w:tblGrid>
            <w:tr>
              <w:trPr>
                <w:trHeight w:hRule="exact" w:val="362"/>
              </w:trPr>
              <w:tc>
                <w:tcPr>
                  <w:tcW w:type="dxa" w:w="3118"/>
                  <w:tcBorders/>
                  <w:shd w:fill="d2d2d2"/>
                  <w:tcMar>
                    <w:start w:w="0" w:type="dxa"/>
                    <w:end w:w="0" w:type="dxa"/>
                  </w:tcMar>
                </w:tcPr>
                <w:p>
                  <w:pPr>
                    <w:autoSpaceDN w:val="0"/>
                    <w:autoSpaceDE w:val="0"/>
                    <w:widowControl/>
                    <w:spacing w:line="180" w:lineRule="exact" w:before="144" w:after="0"/>
                    <w:ind w:left="0" w:right="0" w:firstLine="0"/>
                    <w:jc w:val="left"/>
                  </w:pPr>
                  <w:r>
                    <w:rPr>
                      <w:rFonts w:ascii="宋体" w:hAnsi="宋体" w:eastAsia="宋体"/>
                      <w:b w:val="0"/>
                      <w:i w:val="0"/>
                      <w:color w:val="000000"/>
                      <w:sz w:val="18"/>
                    </w:rPr>
                    <w:t>前10 名股东中存在回购专户的特别说</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06.00000000000009" w:type="dxa"/>
            </w:tblPr>
            <w:tblGrid>
              <w:gridCol w:w="3332"/>
            </w:tblGrid>
            <w:tr>
              <w:trPr>
                <w:trHeight w:hRule="exact" w:val="340"/>
              </w:trPr>
              <w:tc>
                <w:tcPr>
                  <w:tcW w:type="dxa" w:w="3118"/>
                  <w:tcBorders/>
                  <w:shd w:fill="d2d2d2"/>
                  <w:tcMar>
                    <w:start w:w="0" w:type="dxa"/>
                    <w:end w:w="0" w:type="dxa"/>
                  </w:tcMar>
                </w:tcPr>
                <w:p>
                  <w:pPr>
                    <w:autoSpaceDN w:val="0"/>
                    <w:autoSpaceDE w:val="0"/>
                    <w:widowControl/>
                    <w:spacing w:line="180" w:lineRule="exact" w:before="102" w:after="0"/>
                    <w:ind w:left="0" w:right="0" w:firstLine="0"/>
                    <w:jc w:val="left"/>
                  </w:pPr>
                  <w:r>
                    <w:rPr>
                      <w:rFonts w:ascii="宋体" w:hAnsi="宋体" w:eastAsia="宋体"/>
                      <w:b w:val="0"/>
                      <w:i w:val="0"/>
                      <w:color w:val="000000"/>
                      <w:sz w:val="18"/>
                    </w:rPr>
                    <w:t xml:space="preserve">明 </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c>
          <w:tcPr>
            <w:tcW w:type="dxa" w:w="7302"/>
            <w:gridSpan w:val="10"/>
            <w:tcBorders>
              <w:start w:sz="1.599999999999909" w:val="single" w:color="#000000"/>
              <w:top w:sz="1.6000000000001364" w:val="single" w:color="#000000"/>
              <w:end w:sz="1.6000000000003638"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02" w:after="0"/>
              <w:ind w:left="108" w:right="0" w:firstLine="0"/>
              <w:jc w:val="left"/>
            </w:pPr>
            <w:r>
              <w:rPr>
                <w:rFonts w:ascii="宋体" w:hAnsi="宋体" w:eastAsia="宋体"/>
                <w:b w:val="0"/>
                <w:i w:val="0"/>
                <w:color w:val="000000"/>
                <w:sz w:val="18"/>
              </w:rPr>
              <w:t xml:space="preserve">不适用 </w:t>
            </w:r>
          </w:p>
        </w:tc>
      </w:tr>
      <w:tr>
        <w:trPr>
          <w:trHeight w:hRule="exact" w:val="404"/>
        </w:trPr>
        <w:tc>
          <w:tcPr>
            <w:tcW w:type="dxa" w:w="10634"/>
            <w:gridSpan w:val="12"/>
            <w:tcBorders>
              <w:start w:sz="1.5999999999999943" w:val="single" w:color="#000000"/>
              <w:top w:sz="1.6000000000003638" w:val="single" w:color="#000000"/>
              <w:end w:sz="1.6000000000003638" w:val="single" w:color="#000000"/>
              <w:bottom w:sz="2.399999999999636"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106.00000000000009" w:type="dxa"/>
            </w:tblPr>
            <w:tblGrid>
              <w:gridCol w:w="10634"/>
            </w:tblGrid>
            <w:tr>
              <w:trPr>
                <w:trHeight w:hRule="exact" w:val="380"/>
              </w:trPr>
              <w:tc>
                <w:tcPr>
                  <w:tcW w:type="dxa" w:w="10418"/>
                  <w:tcBorders/>
                  <w:shd w:fill="d2d2d2"/>
                  <w:tcMar>
                    <w:start w:w="0" w:type="dxa"/>
                    <w:end w:w="0" w:type="dxa"/>
                  </w:tcMar>
                </w:tcPr>
                <w:p>
                  <w:pPr>
                    <w:autoSpaceDN w:val="0"/>
                    <w:autoSpaceDE w:val="0"/>
                    <w:widowControl/>
                    <w:spacing w:line="180" w:lineRule="exact" w:before="140" w:after="0"/>
                    <w:ind w:left="2192" w:right="0" w:firstLine="0"/>
                    <w:jc w:val="left"/>
                  </w:pPr>
                  <w:r>
                    <w:rPr>
                      <w:rFonts w:ascii="宋体" w:hAnsi="宋体" w:eastAsia="宋体"/>
                      <w:b w:val="0"/>
                      <w:i w:val="0"/>
                      <w:color w:val="000000"/>
                      <w:sz w:val="18"/>
                    </w:rPr>
                    <w:t xml:space="preserve">前10 名无限售条件股东持股情况（不含通过转融通出借股份、高管锁定股） </w:t>
                  </w:r>
                </w:p>
              </w:tc>
            </w:tr>
          </w:tbl>
          <w:p>
            <w:pPr>
              <w:autoSpaceDN w:val="0"/>
              <w:autoSpaceDE w:val="0"/>
              <w:widowControl/>
              <w:spacing w:line="14" w:lineRule="exact" w:before="0" w:after="0"/>
              <w:ind w:left="0" w:right="0"/>
            </w:pPr>
          </w:p>
        </w:tc>
      </w:tr>
      <w:tr>
        <w:trPr>
          <w:trHeight w:hRule="exact" w:val="406"/>
        </w:trPr>
        <w:tc>
          <w:tcPr>
            <w:tcW w:type="dxa" w:w="4536"/>
            <w:gridSpan w:val="4"/>
            <w:vMerge w:val="restart"/>
            <w:tcBorders>
              <w:start w:sz="1.5999999999999943" w:val="single" w:color="#000000"/>
              <w:top w:sz="2.399999999999636" w:val="single" w:color="#000000"/>
              <w:end w:sz="2.400000000000091" w:val="single" w:color="#000000"/>
              <w:bottom w:sz="1.599999999999909"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0" w:lineRule="exact" w:before="0" w:after="0"/>
              <w:ind w:left="0" w:right="0"/>
            </w:pPr>
          </w:p>
          <w:tbl>
            <w:tblPr>
              <w:tblW w:type="auto" w:w="0"/>
              <w:tblLayout w:type="fixed"/>
              <w:tblLook w:firstColumn="1" w:firstRow="1" w:lastColumn="0" w:lastRow="0" w:noHBand="0" w:noVBand="1" w:val="04A0"/>
              <w:tblInd w:w="106.00000000000009" w:type="dxa"/>
            </w:tblPr>
            <w:tblGrid>
              <w:gridCol w:w="4536"/>
            </w:tblGrid>
            <w:tr>
              <w:trPr>
                <w:trHeight w:hRule="exact" w:val="382"/>
              </w:trPr>
              <w:tc>
                <w:tcPr>
                  <w:tcW w:type="dxa" w:w="4320"/>
                  <w:tcBorders/>
                  <w:shd w:fill="d2d2d2"/>
                  <w:tcMar>
                    <w:start w:w="0" w:type="dxa"/>
                    <w:end w:w="0" w:type="dxa"/>
                  </w:tcMar>
                </w:tcPr>
                <w:p>
                  <w:pPr>
                    <w:autoSpaceDN w:val="0"/>
                    <w:autoSpaceDE w:val="0"/>
                    <w:widowControl/>
                    <w:spacing w:line="180" w:lineRule="exact" w:before="142" w:after="0"/>
                    <w:ind w:left="0" w:right="1708" w:firstLine="0"/>
                    <w:jc w:val="right"/>
                  </w:pPr>
                  <w:r>
                    <w:rPr>
                      <w:rFonts w:ascii="宋体" w:hAnsi="宋体" w:eastAsia="宋体"/>
                      <w:b w:val="0"/>
                      <w:i w:val="0"/>
                      <w:color w:val="000000"/>
                      <w:sz w:val="18"/>
                    </w:rPr>
                    <w:t xml:space="preserve">股东名称 </w:t>
                  </w:r>
                </w:p>
              </w:tc>
            </w:tr>
          </w:tbl>
          <w:p>
            <w:pPr>
              <w:autoSpaceDN w:val="0"/>
              <w:autoSpaceDE w:val="0"/>
              <w:widowControl/>
              <w:spacing w:line="14" w:lineRule="exact" w:before="0" w:after="0"/>
              <w:ind w:left="0" w:right="0"/>
            </w:pPr>
          </w:p>
        </w:tc>
        <w:tc>
          <w:tcPr>
            <w:tcW w:type="dxa" w:w="2978"/>
            <w:gridSpan w:val="3"/>
            <w:vMerge w:val="restart"/>
            <w:tcBorders>
              <w:start w:sz="2.400000000000091" w:val="single" w:color="#000000"/>
              <w:top w:sz="2.399999999999636" w:val="single" w:color="#000000"/>
              <w:end w:sz="1.6000000000003638" w:val="single" w:color="#000000"/>
              <w:bottom w:sz="1.599999999999909"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344" w:after="0"/>
              <w:ind w:left="134" w:right="0" w:firstLine="0"/>
              <w:jc w:val="left"/>
            </w:pPr>
            <w:r>
              <w:rPr>
                <w:shd w:val="clear" w:color="auto" w:fill="d2d2d2"/>
                <w:rFonts w:ascii="宋体" w:hAnsi="宋体" w:eastAsia="宋体"/>
                <w:b w:val="0"/>
                <w:i w:val="0"/>
                <w:color w:val="000000"/>
                <w:sz w:val="18"/>
              </w:rPr>
              <w:t>报告期末持有无限售条件股份数量</w:t>
            </w:r>
            <w:r>
              <w:rPr>
                <w:rFonts w:ascii="宋体" w:hAnsi="宋体" w:eastAsia="宋体"/>
                <w:b w:val="0"/>
                <w:i w:val="0"/>
                <w:color w:val="000000"/>
                <w:sz w:val="18"/>
              </w:rPr>
              <w:t xml:space="preserve"> </w:t>
            </w:r>
          </w:p>
        </w:tc>
        <w:tc>
          <w:tcPr>
            <w:tcW w:type="dxa" w:w="3120"/>
            <w:gridSpan w:val="5"/>
            <w:tcBorders>
              <w:start w:sz="1.6000000000003638" w:val="single" w:color="#000000"/>
              <w:top w:sz="2.399999999999636" w:val="single" w:color="#000000"/>
              <w:end w:sz="1.6000000000003638" w:val="single" w:color="#000000"/>
              <w:bottom w:sz="1.6000000000003638"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107.99999999999955" w:type="dxa"/>
            </w:tblPr>
            <w:tblGrid>
              <w:gridCol w:w="3120"/>
            </w:tblGrid>
            <w:tr>
              <w:trPr>
                <w:trHeight w:hRule="exact" w:val="380"/>
              </w:trPr>
              <w:tc>
                <w:tcPr>
                  <w:tcW w:type="dxa" w:w="2902"/>
                  <w:tcBorders/>
                  <w:shd w:fill="d2d2d2"/>
                  <w:tcMar>
                    <w:start w:w="0" w:type="dxa"/>
                    <w:end w:w="0" w:type="dxa"/>
                  </w:tcMar>
                </w:tcPr>
                <w:p>
                  <w:pPr>
                    <w:autoSpaceDN w:val="0"/>
                    <w:autoSpaceDE w:val="0"/>
                    <w:widowControl/>
                    <w:spacing w:line="180" w:lineRule="exact" w:before="140" w:after="0"/>
                    <w:ind w:left="0" w:right="1002" w:firstLine="0"/>
                    <w:jc w:val="right"/>
                  </w:pPr>
                  <w:r>
                    <w:rPr>
                      <w:rFonts w:ascii="宋体" w:hAnsi="宋体" w:eastAsia="宋体"/>
                      <w:b w:val="0"/>
                      <w:i w:val="0"/>
                      <w:color w:val="000000"/>
                      <w:sz w:val="18"/>
                    </w:rPr>
                    <w:t xml:space="preserve">股份种类 </w:t>
                  </w:r>
                </w:p>
              </w:tc>
            </w:tr>
          </w:tbl>
          <w:p>
            <w:pPr>
              <w:autoSpaceDN w:val="0"/>
              <w:autoSpaceDE w:val="0"/>
              <w:widowControl/>
              <w:spacing w:line="14" w:lineRule="exact" w:before="0" w:after="0"/>
              <w:ind w:left="0" w:right="0"/>
            </w:pPr>
          </w:p>
        </w:tc>
      </w:tr>
      <w:tr>
        <w:trPr>
          <w:trHeight w:hRule="exact" w:val="404"/>
        </w:trPr>
        <w:tc>
          <w:tcPr>
            <w:tcW w:type="dxa" w:w="3552"/>
            <w:gridSpan w:val="4"/>
            <w:vMerge/>
            <w:tcBorders>
              <w:start w:sz="1.5999999999999943" w:val="single" w:color="#000000"/>
              <w:top w:sz="2.399999999999636" w:val="single" w:color="#000000"/>
              <w:end w:sz="2.400000000000091" w:val="single" w:color="#000000"/>
              <w:bottom w:sz="1.599999999999909" w:val="single" w:color="#000000"/>
            </w:tcBorders>
          </w:tcPr>
          <w:p/>
        </w:tc>
        <w:tc>
          <w:tcPr>
            <w:tcW w:type="dxa" w:w="2664"/>
            <w:gridSpan w:val="3"/>
            <w:vMerge/>
            <w:tcBorders>
              <w:start w:sz="2.400000000000091" w:val="single" w:color="#000000"/>
              <w:top w:sz="2.399999999999636" w:val="single" w:color="#000000"/>
              <w:end w:sz="1.6000000000003638" w:val="single" w:color="#000000"/>
              <w:bottom w:sz="1.599999999999909" w:val="single" w:color="#000000"/>
            </w:tcBorders>
          </w:tcPr>
          <w:p/>
        </w:tc>
        <w:tc>
          <w:tcPr>
            <w:tcW w:type="dxa" w:w="1560"/>
            <w:gridSpan w:val="2"/>
            <w:tcBorders>
              <w:start w:sz="1.6000000000003638" w:val="single" w:color="#000000"/>
              <w:top w:sz="1.6000000000003638" w:val="single" w:color="#000000"/>
              <w:end w:sz="1.6000000000003638" w:val="single" w:color="#000000"/>
              <w:bottom w:sz="1.599999999999909" w:val="single" w:color="#000000"/>
            </w:tcBorders>
            <w:shd w:fill="d2d2d2"/>
            <w:tcMar>
              <w:start w:w="0" w:type="dxa"/>
              <w:end w:w="0" w:type="dxa"/>
            </w:tcMar>
            <w:tcMar>
              <w:start w:w="0" w:type="dxa"/>
              <w:end w:w="0" w:type="dxa"/>
            </w:tcMar>
          </w:tcPr>
          <w:tbl>
            <w:tblPr>
              <w:tblW w:type="auto" w:w="0"/>
              <w:tblLayout w:type="fixed"/>
              <w:tblLook w:firstColumn="1" w:firstRow="1" w:lastColumn="0" w:lastRow="0" w:noHBand="0" w:noVBand="1" w:val="04A0"/>
              <w:tblInd w:w="107.99999999999955" w:type="dxa"/>
            </w:tblPr>
            <w:tblGrid>
              <w:gridCol w:w="1560"/>
            </w:tblGrid>
            <w:tr>
              <w:trPr>
                <w:trHeight w:hRule="exact" w:val="380"/>
              </w:trPr>
              <w:tc>
                <w:tcPr>
                  <w:tcW w:type="dxa" w:w="1342"/>
                  <w:tcBorders/>
                  <w:shd w:fill="d2d2d2"/>
                  <w:tcMar>
                    <w:start w:w="0" w:type="dxa"/>
                    <w:end w:w="0" w:type="dxa"/>
                  </w:tcMar>
                </w:tcPr>
                <w:p>
                  <w:pPr>
                    <w:autoSpaceDN w:val="0"/>
                    <w:autoSpaceDE w:val="0"/>
                    <w:widowControl/>
                    <w:spacing w:line="180" w:lineRule="exact" w:before="142" w:after="0"/>
                    <w:ind w:left="312" w:right="0" w:firstLine="0"/>
                    <w:jc w:val="left"/>
                  </w:pPr>
                  <w:r>
                    <w:rPr>
                      <w:rFonts w:ascii="宋体" w:hAnsi="宋体" w:eastAsia="宋体"/>
                      <w:b w:val="0"/>
                      <w:i w:val="0"/>
                      <w:color w:val="000000"/>
                      <w:sz w:val="18"/>
                    </w:rPr>
                    <w:t xml:space="preserve">股份种类 </w:t>
                  </w:r>
                </w:p>
              </w:tc>
            </w:tr>
          </w:tbl>
          <w:p>
            <w:pPr>
              <w:autoSpaceDN w:val="0"/>
              <w:autoSpaceDE w:val="0"/>
              <w:widowControl/>
              <w:spacing w:line="14" w:lineRule="exact" w:before="0" w:after="0"/>
              <w:ind w:left="0" w:right="0"/>
            </w:pPr>
          </w:p>
        </w:tc>
        <w:tc>
          <w:tcPr>
            <w:tcW w:type="dxa" w:w="1560"/>
            <w:gridSpan w:val="3"/>
            <w:tcBorders>
              <w:start w:sz="1.6000000000003638" w:val="single" w:color="#000000"/>
              <w:top w:sz="1.6000000000003638" w:val="single" w:color="#000000"/>
              <w:end w:sz="1.6000000000003638" w:val="single" w:color="#000000"/>
              <w:bottom w:sz="1.599999999999909" w:val="single" w:color="#000000"/>
            </w:tcBorders>
            <w:shd w:fill="d2d2d2"/>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105.99999999999909" w:type="dxa"/>
            </w:tblPr>
            <w:tblGrid>
              <w:gridCol w:w="1560"/>
            </w:tblGrid>
            <w:tr>
              <w:trPr>
                <w:trHeight w:hRule="exact" w:val="380"/>
              </w:trPr>
              <w:tc>
                <w:tcPr>
                  <w:tcW w:type="dxa" w:w="1344"/>
                  <w:tcBorders/>
                  <w:shd w:fill="d2d2d2"/>
                  <w:tcMar>
                    <w:start w:w="0" w:type="dxa"/>
                    <w:end w:w="0" w:type="dxa"/>
                  </w:tcMar>
                </w:tcPr>
                <w:p>
                  <w:pPr>
                    <w:autoSpaceDN w:val="0"/>
                    <w:autoSpaceDE w:val="0"/>
                    <w:widowControl/>
                    <w:spacing w:line="180" w:lineRule="exact" w:before="142" w:after="0"/>
                    <w:ind w:left="0" w:right="402" w:firstLine="0"/>
                    <w:jc w:val="right"/>
                  </w:pPr>
                  <w:r>
                    <w:rPr>
                      <w:rFonts w:ascii="宋体" w:hAnsi="宋体" w:eastAsia="宋体"/>
                      <w:b w:val="0"/>
                      <w:i w:val="0"/>
                      <w:color w:val="000000"/>
                      <w:sz w:val="18"/>
                    </w:rPr>
                    <w:t xml:space="preserve">数量 </w:t>
                  </w:r>
                </w:p>
              </w:tc>
            </w:tr>
          </w:tbl>
          <w:p>
            <w:pPr>
              <w:autoSpaceDN w:val="0"/>
              <w:autoSpaceDE w:val="0"/>
              <w:widowControl/>
              <w:spacing w:line="14" w:lineRule="exact" w:before="0" w:after="0"/>
              <w:ind w:left="0" w:right="0"/>
            </w:pPr>
          </w:p>
        </w:tc>
      </w:tr>
      <w:tr>
        <w:trPr>
          <w:trHeight w:hRule="exact" w:val="404"/>
        </w:trPr>
        <w:tc>
          <w:tcPr>
            <w:tcW w:type="dxa" w:w="4536"/>
            <w:gridSpan w:val="4"/>
            <w:tcBorders>
              <w:start w:sz="1.5999999999999943" w:val="single" w:color="#000000"/>
              <w:top w:sz="1.599999999999909" w:val="single" w:color="#000000"/>
              <w:end w:sz="2.400000000000091"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t xml:space="preserve">山西金融投资控股集团有限公司 </w:t>
            </w:r>
          </w:p>
        </w:tc>
        <w:tc>
          <w:tcPr>
            <w:tcW w:type="dxa" w:w="2978"/>
            <w:gridSpan w:val="3"/>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1,140,374,242 </w:t>
            </w:r>
          </w:p>
        </w:tc>
        <w:tc>
          <w:tcPr>
            <w:tcW w:type="dxa" w:w="1560"/>
            <w:gridSpan w:val="2"/>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Pr>
          <w:p>
            <w:pPr>
              <w:autoSpaceDN w:val="0"/>
              <w:autoSpaceDE w:val="0"/>
              <w:widowControl/>
              <w:spacing w:line="180" w:lineRule="exact" w:before="140"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1,140,374,242 </w:t>
            </w:r>
          </w:p>
        </w:tc>
      </w:tr>
      <w:tr>
        <w:trPr>
          <w:trHeight w:hRule="exact" w:val="400"/>
        </w:trPr>
        <w:tc>
          <w:tcPr>
            <w:tcW w:type="dxa" w:w="4536"/>
            <w:gridSpan w:val="4"/>
            <w:tcBorders>
              <w:start w:sz="1.5999999999999943" w:val="single" w:color="#000000"/>
              <w:top w:sz="2.400000000000091" w:val="single" w:color="#000000"/>
              <w:end w:sz="2.400000000000091"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t xml:space="preserve">太原钢铁（集团）有限公司 </w:t>
            </w:r>
          </w:p>
        </w:tc>
        <w:tc>
          <w:tcPr>
            <w:tcW w:type="dxa" w:w="2978"/>
            <w:gridSpan w:val="3"/>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367,268,616 </w:t>
            </w:r>
          </w:p>
        </w:tc>
        <w:tc>
          <w:tcPr>
            <w:tcW w:type="dxa" w:w="1560"/>
            <w:gridSpan w:val="2"/>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140"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367,268,616 </w:t>
            </w:r>
          </w:p>
        </w:tc>
      </w:tr>
      <w:tr>
        <w:trPr>
          <w:trHeight w:hRule="exact" w:val="402"/>
        </w:trPr>
        <w:tc>
          <w:tcPr>
            <w:tcW w:type="dxa" w:w="4536"/>
            <w:gridSpan w:val="4"/>
            <w:tcBorders>
              <w:start w:sz="1.5999999999999943" w:val="single" w:color="#000000"/>
              <w:top w:sz="1.599999999999909" w:val="single" w:color="#000000"/>
              <w:end w:sz="2.400000000000091"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山西国际电力集团有限公司 </w:t>
            </w:r>
          </w:p>
        </w:tc>
        <w:tc>
          <w:tcPr>
            <w:tcW w:type="dxa" w:w="2978"/>
            <w:gridSpan w:val="3"/>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199,268,856 </w:t>
            </w:r>
          </w:p>
        </w:tc>
        <w:tc>
          <w:tcPr>
            <w:tcW w:type="dxa" w:w="1560"/>
            <w:gridSpan w:val="2"/>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Pr>
          <w:p>
            <w:pPr>
              <w:autoSpaceDN w:val="0"/>
              <w:autoSpaceDE w:val="0"/>
              <w:widowControl/>
              <w:spacing w:line="180" w:lineRule="exact" w:before="142"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199,268,856 </w:t>
            </w:r>
          </w:p>
        </w:tc>
      </w:tr>
      <w:tr>
        <w:trPr>
          <w:trHeight w:hRule="exact" w:val="402"/>
        </w:trPr>
        <w:tc>
          <w:tcPr>
            <w:tcW w:type="dxa" w:w="4536"/>
            <w:gridSpan w:val="4"/>
            <w:tcBorders>
              <w:start w:sz="1.5999999999999943" w:val="single" w:color="#000000"/>
              <w:top w:sz="2.400000000000091" w:val="single" w:color="#000000"/>
              <w:end w:sz="2.400000000000091"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香港中央结算有限公司 </w:t>
            </w:r>
          </w:p>
        </w:tc>
        <w:tc>
          <w:tcPr>
            <w:tcW w:type="dxa" w:w="2978"/>
            <w:gridSpan w:val="3"/>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66,747,041 </w:t>
            </w:r>
          </w:p>
        </w:tc>
        <w:tc>
          <w:tcPr>
            <w:tcW w:type="dxa" w:w="1560"/>
            <w:gridSpan w:val="2"/>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142"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66,747,041 </w:t>
            </w:r>
          </w:p>
        </w:tc>
      </w:tr>
      <w:tr>
        <w:trPr>
          <w:trHeight w:hRule="exact" w:val="402"/>
        </w:trPr>
        <w:tc>
          <w:tcPr>
            <w:tcW w:type="dxa" w:w="4536"/>
            <w:gridSpan w:val="4"/>
            <w:tcBorders>
              <w:start w:sz="1.5999999999999943" w:val="single" w:color="#000000"/>
              <w:top w:sz="1.599999999999909" w:val="single" w:color="#000000"/>
              <w:end w:sz="2.400000000000091" w:val="single" w:color="#000000"/>
              <w:bottom w:sz="2.399999999999636"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中央汇金资产管理有限责任公司 </w:t>
            </w:r>
          </w:p>
        </w:tc>
        <w:tc>
          <w:tcPr>
            <w:tcW w:type="dxa" w:w="2978"/>
            <w:gridSpan w:val="3"/>
            <w:tcBorders>
              <w:start w:sz="2.400000000000091" w:val="single" w:color="#000000"/>
              <w:top w:sz="1.599999999999909" w:val="single" w:color="#000000"/>
              <w:end w:sz="1.6000000000003638" w:val="single" w:color="#000000"/>
              <w:bottom w:sz="2.399999999999636"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51,695,120 </w:t>
            </w:r>
          </w:p>
        </w:tc>
        <w:tc>
          <w:tcPr>
            <w:tcW w:type="dxa" w:w="1560"/>
            <w:gridSpan w:val="2"/>
            <w:tcBorders>
              <w:start w:sz="1.6000000000003638" w:val="single" w:color="#000000"/>
              <w:top w:sz="1.599999999999909" w:val="single" w:color="#000000"/>
              <w:end w:sz="1.6000000000003638" w:val="single" w:color="#000000"/>
              <w:bottom w:sz="2.399999999999636" w:val="single" w:color="#000000"/>
            </w:tcBorders>
            <w:tcMar>
              <w:start w:w="0" w:type="dxa"/>
              <w:end w:w="0" w:type="dxa"/>
            </w:tcMar>
            <w:tcMar>
              <w:start w:w="0" w:type="dxa"/>
              <w:end w:w="0" w:type="dxa"/>
            </w:tcMar>
          </w:tcPr>
          <w:p>
            <w:pPr>
              <w:autoSpaceDN w:val="0"/>
              <w:autoSpaceDE w:val="0"/>
              <w:widowControl/>
              <w:spacing w:line="180" w:lineRule="exact" w:before="142"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909" w:val="single" w:color="#000000"/>
              <w:end w:sz="1.6000000000003638" w:val="single" w:color="#000000"/>
              <w:bottom w:sz="2.399999999999636"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136" w:after="0"/>
              <w:ind w:left="0" w:right="0" w:firstLine="0"/>
              <w:jc w:val="center"/>
            </w:pPr>
            <w:r>
              <w:rPr>
                <w:rFonts w:ascii="Times New Roman" w:hAnsi="Times New Roman" w:eastAsia="Times New Roman"/>
                <w:b w:val="0"/>
                <w:i w:val="0"/>
                <w:color w:val="000000"/>
                <w:sz w:val="18"/>
              </w:rPr>
              <w:t xml:space="preserve">51,695,120 </w:t>
            </w:r>
          </w:p>
        </w:tc>
      </w:tr>
      <w:tr>
        <w:trPr>
          <w:trHeight w:hRule="exact" w:val="402"/>
        </w:trPr>
        <w:tc>
          <w:tcPr>
            <w:tcW w:type="dxa" w:w="4536"/>
            <w:gridSpan w:val="4"/>
            <w:tcBorders>
              <w:start w:sz="1.5999999999999943" w:val="single" w:color="#000000"/>
              <w:top w:sz="2.399999999999636" w:val="single" w:color="#000000"/>
              <w:end w:sz="2.400000000000091"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郑州热力集团有限公司 </w:t>
            </w:r>
          </w:p>
        </w:tc>
        <w:tc>
          <w:tcPr>
            <w:tcW w:type="dxa" w:w="2978"/>
            <w:gridSpan w:val="3"/>
            <w:tcBorders>
              <w:start w:sz="2.400000000000091" w:val="single" w:color="#000000"/>
              <w:top w:sz="2.399999999999636"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34,321,745 </w:t>
            </w:r>
          </w:p>
        </w:tc>
        <w:tc>
          <w:tcPr>
            <w:tcW w:type="dxa" w:w="1560"/>
            <w:gridSpan w:val="2"/>
            <w:tcBorders>
              <w:start w:sz="1.6000000000003638" w:val="single" w:color="#000000"/>
              <w:top w:sz="2.399999999999636" w:val="single" w:color="#000000"/>
              <w:end w:sz="1.6000000000003638"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142"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2.399999999999636"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6" w:after="0"/>
              <w:ind w:left="0" w:right="0" w:firstLine="0"/>
              <w:jc w:val="center"/>
            </w:pPr>
            <w:r>
              <w:rPr>
                <w:rFonts w:ascii="Times New Roman" w:hAnsi="Times New Roman" w:eastAsia="Times New Roman"/>
                <w:b w:val="0"/>
                <w:i w:val="0"/>
                <w:color w:val="000000"/>
                <w:sz w:val="18"/>
              </w:rPr>
              <w:t xml:space="preserve">34,321,745 </w:t>
            </w:r>
          </w:p>
        </w:tc>
      </w:tr>
      <w:tr>
        <w:trPr>
          <w:trHeight w:hRule="exact" w:val="646"/>
        </w:trPr>
        <w:tc>
          <w:tcPr>
            <w:tcW w:type="dxa" w:w="4536"/>
            <w:gridSpan w:val="4"/>
            <w:tcBorders>
              <w:start w:sz="1.5999999999999943" w:val="single" w:color="#000000"/>
              <w:top w:sz="1.599999999999909" w:val="single" w:color="#000000"/>
              <w:end w:sz="2.400000000000091"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t>中国建设银行股份有限公司－国泰中证全指证券公司交</w:t>
            </w:r>
            <w:r>
              <w:rPr>
                <w:rFonts w:ascii="宋体" w:hAnsi="宋体" w:eastAsia="宋体"/>
                <w:b w:val="0"/>
                <w:i w:val="0"/>
                <w:color w:val="000000"/>
                <w:sz w:val="18"/>
              </w:rPr>
              <w:t xml:space="preserve">易型开放式指数证券投资基金 </w:t>
            </w:r>
          </w:p>
        </w:tc>
        <w:tc>
          <w:tcPr>
            <w:tcW w:type="dxa" w:w="2978"/>
            <w:gridSpan w:val="3"/>
            <w:tcBorders>
              <w:start w:sz="2.400000000000091" w:val="single" w:color="#000000"/>
              <w:top w:sz="1.599999999999909"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258" w:after="0"/>
              <w:ind w:left="0" w:right="0" w:firstLine="0"/>
              <w:jc w:val="center"/>
            </w:pPr>
            <w:r>
              <w:rPr>
                <w:rFonts w:ascii="Times New Roman" w:hAnsi="Times New Roman" w:eastAsia="Times New Roman"/>
                <w:b w:val="0"/>
                <w:i w:val="0"/>
                <w:color w:val="000000"/>
                <w:sz w:val="18"/>
              </w:rPr>
              <w:t xml:space="preserve">31,399,343 </w:t>
            </w:r>
          </w:p>
        </w:tc>
        <w:tc>
          <w:tcPr>
            <w:tcW w:type="dxa" w:w="1560"/>
            <w:gridSpan w:val="2"/>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264"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909"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258" w:after="0"/>
              <w:ind w:left="0" w:right="0" w:firstLine="0"/>
              <w:jc w:val="center"/>
            </w:pPr>
            <w:r>
              <w:rPr>
                <w:rFonts w:ascii="Times New Roman" w:hAnsi="Times New Roman" w:eastAsia="Times New Roman"/>
                <w:b w:val="0"/>
                <w:i w:val="0"/>
                <w:color w:val="000000"/>
                <w:sz w:val="18"/>
              </w:rPr>
              <w:t xml:space="preserve">31,399,343 </w:t>
            </w:r>
          </w:p>
        </w:tc>
      </w:tr>
      <w:tr>
        <w:trPr>
          <w:trHeight w:hRule="exact" w:val="646"/>
        </w:trPr>
        <w:tc>
          <w:tcPr>
            <w:tcW w:type="dxa" w:w="4536"/>
            <w:gridSpan w:val="4"/>
            <w:tcBorders>
              <w:start w:sz="1.5999999999999943" w:val="single" w:color="#000000"/>
              <w:top w:sz="1.599999999999909" w:val="single" w:color="#000000"/>
              <w:end w:sz="2.400000000000091"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0" w:lineRule="exact" w:before="0" w:after="0"/>
              <w:ind w:left="106" w:right="0" w:firstLine="0"/>
              <w:jc w:val="left"/>
            </w:pPr>
            <w:r>
              <w:rPr>
                <w:rFonts w:ascii="宋体" w:hAnsi="宋体" w:eastAsia="宋体"/>
                <w:b w:val="0"/>
                <w:i w:val="0"/>
                <w:color w:val="000000"/>
                <w:sz w:val="18"/>
              </w:rPr>
              <w:t>中国农业银行股份有限公司－中证500 交易型开放式指</w:t>
            </w:r>
            <w:r>
              <w:rPr>
                <w:rFonts w:ascii="宋体" w:hAnsi="宋体" w:eastAsia="宋体"/>
                <w:b w:val="0"/>
                <w:i w:val="0"/>
                <w:color w:val="000000"/>
                <w:sz w:val="18"/>
              </w:rPr>
              <w:t xml:space="preserve">数证券投资基金 </w:t>
            </w:r>
          </w:p>
        </w:tc>
        <w:tc>
          <w:tcPr>
            <w:tcW w:type="dxa" w:w="2978"/>
            <w:gridSpan w:val="3"/>
            <w:tcBorders>
              <w:start w:sz="2.400000000000091" w:val="single" w:color="#000000"/>
              <w:top w:sz="1.599999999999909" w:val="single" w:color="#000000"/>
              <w:end w:sz="1.6000000000003638" w:val="single" w:color="#000000"/>
              <w:bottom w:sz="1.6000000000003638"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258" w:after="0"/>
              <w:ind w:left="0" w:right="0" w:firstLine="0"/>
              <w:jc w:val="center"/>
            </w:pPr>
            <w:r>
              <w:rPr>
                <w:rFonts w:ascii="Times New Roman" w:hAnsi="Times New Roman" w:eastAsia="Times New Roman"/>
                <w:b w:val="0"/>
                <w:i w:val="0"/>
                <w:color w:val="000000"/>
                <w:sz w:val="18"/>
              </w:rPr>
              <w:t xml:space="preserve">30,742,117 </w:t>
            </w:r>
          </w:p>
        </w:tc>
        <w:tc>
          <w:tcPr>
            <w:tcW w:type="dxa" w:w="1560"/>
            <w:gridSpan w:val="2"/>
            <w:tcBorders>
              <w:start w:sz="1.6000000000003638" w:val="single" w:color="#000000"/>
              <w:top w:sz="1.599999999999909" w:val="single" w:color="#000000"/>
              <w:end w:sz="1.6000000000003638" w:val="single" w:color="#000000"/>
              <w:bottom w:sz="1.6000000000003638" w:val="single" w:color="#000000"/>
            </w:tcBorders>
            <w:tcMar>
              <w:start w:w="0" w:type="dxa"/>
              <w:end w:w="0" w:type="dxa"/>
            </w:tcMar>
            <w:tcMar>
              <w:start w:w="0" w:type="dxa"/>
              <w:end w:w="0" w:type="dxa"/>
            </w:tcMar>
          </w:tcPr>
          <w:p>
            <w:pPr>
              <w:autoSpaceDN w:val="0"/>
              <w:autoSpaceDE w:val="0"/>
              <w:widowControl/>
              <w:spacing w:line="180" w:lineRule="exact" w:before="264"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909" w:val="single" w:color="#000000"/>
              <w:end w:sz="1.6000000000003638" w:val="single" w:color="#000000"/>
              <w:bottom w:sz="1.6000000000003638"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258" w:after="0"/>
              <w:ind w:left="0" w:right="0" w:firstLine="0"/>
              <w:jc w:val="center"/>
            </w:pPr>
            <w:r>
              <w:rPr>
                <w:rFonts w:ascii="Times New Roman" w:hAnsi="Times New Roman" w:eastAsia="Times New Roman"/>
                <w:b w:val="0"/>
                <w:i w:val="0"/>
                <w:color w:val="000000"/>
                <w:sz w:val="18"/>
              </w:rPr>
              <w:t xml:space="preserve">30,742,117 </w:t>
            </w:r>
          </w:p>
        </w:tc>
      </w:tr>
      <w:tr>
        <w:trPr>
          <w:trHeight w:hRule="exact" w:val="646"/>
        </w:trPr>
        <w:tc>
          <w:tcPr>
            <w:tcW w:type="dxa" w:w="4536"/>
            <w:gridSpan w:val="4"/>
            <w:tcBorders>
              <w:start w:sz="1.5999999999999943" w:val="single" w:color="#000000"/>
              <w:top w:sz="1.6000000000003638" w:val="single" w:color="#000000"/>
              <w:end w:sz="2.400000000000091" w:val="single" w:color="#000000"/>
              <w:bottom w:sz="1.599999999999454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2" w:lineRule="exact" w:before="0" w:after="0"/>
              <w:ind w:left="106" w:right="0" w:firstLine="0"/>
              <w:jc w:val="left"/>
            </w:pPr>
            <w:r>
              <w:rPr>
                <w:rFonts w:ascii="宋体" w:hAnsi="宋体" w:eastAsia="宋体"/>
                <w:b w:val="0"/>
                <w:i w:val="0"/>
                <w:color w:val="000000"/>
                <w:sz w:val="18"/>
              </w:rPr>
              <w:t>中国建设银行股份有限公司－华宝中证全指证券公司交</w:t>
            </w:r>
            <w:r>
              <w:rPr>
                <w:rFonts w:ascii="宋体" w:hAnsi="宋体" w:eastAsia="宋体"/>
                <w:b w:val="0"/>
                <w:i w:val="0"/>
                <w:color w:val="000000"/>
                <w:sz w:val="18"/>
              </w:rPr>
              <w:t xml:space="preserve">易型开放式指数证券投资基金 </w:t>
            </w:r>
          </w:p>
        </w:tc>
        <w:tc>
          <w:tcPr>
            <w:tcW w:type="dxa" w:w="2978"/>
            <w:gridSpan w:val="3"/>
            <w:tcBorders>
              <w:start w:sz="2.400000000000091" w:val="single" w:color="#000000"/>
              <w:top w:sz="1.6000000000003638"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258" w:after="0"/>
              <w:ind w:left="0" w:right="0" w:firstLine="0"/>
              <w:jc w:val="center"/>
            </w:pPr>
            <w:r>
              <w:rPr>
                <w:rFonts w:ascii="Times New Roman" w:hAnsi="Times New Roman" w:eastAsia="Times New Roman"/>
                <w:b w:val="0"/>
                <w:i w:val="0"/>
                <w:color w:val="000000"/>
                <w:sz w:val="18"/>
              </w:rPr>
              <w:t xml:space="preserve">26,256,840 </w:t>
            </w:r>
          </w:p>
        </w:tc>
        <w:tc>
          <w:tcPr>
            <w:tcW w:type="dxa" w:w="1560"/>
            <w:gridSpan w:val="2"/>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Mar>
              <w:start w:w="0" w:type="dxa"/>
              <w:end w:w="0" w:type="dxa"/>
            </w:tcMar>
          </w:tcPr>
          <w:p>
            <w:pPr>
              <w:autoSpaceDN w:val="0"/>
              <w:autoSpaceDE w:val="0"/>
              <w:widowControl/>
              <w:spacing w:line="180" w:lineRule="exact" w:before="264"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6000000000003638"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230" w:lineRule="auto" w:before="258" w:after="0"/>
              <w:ind w:left="0" w:right="0" w:firstLine="0"/>
              <w:jc w:val="center"/>
            </w:pPr>
            <w:r>
              <w:rPr>
                <w:rFonts w:ascii="Times New Roman" w:hAnsi="Times New Roman" w:eastAsia="Times New Roman"/>
                <w:b w:val="0"/>
                <w:i w:val="0"/>
                <w:color w:val="000000"/>
                <w:sz w:val="18"/>
              </w:rPr>
              <w:t xml:space="preserve">26,256,840 </w:t>
            </w:r>
          </w:p>
        </w:tc>
      </w:tr>
      <w:tr>
        <w:trPr>
          <w:trHeight w:hRule="exact" w:val="400"/>
        </w:trPr>
        <w:tc>
          <w:tcPr>
            <w:tcW w:type="dxa" w:w="4536"/>
            <w:gridSpan w:val="4"/>
            <w:tcBorders>
              <w:start w:sz="1.5999999999999943" w:val="single" w:color="#000000"/>
              <w:top w:sz="1.5999999999994543" w:val="single" w:color="#000000"/>
              <w:end w:sz="2.400000000000091" w:val="single" w:color="#000000"/>
              <w:bottom w:sz="1.599999999999454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106" w:right="0" w:firstLine="0"/>
              <w:jc w:val="left"/>
            </w:pPr>
            <w:r>
              <w:rPr>
                <w:rFonts w:ascii="宋体" w:hAnsi="宋体" w:eastAsia="宋体"/>
                <w:b w:val="0"/>
                <w:i w:val="0"/>
                <w:color w:val="000000"/>
                <w:sz w:val="18"/>
              </w:rPr>
              <w:t xml:space="preserve">山西省科技基金发展有限公司 </w:t>
            </w:r>
          </w:p>
        </w:tc>
        <w:tc>
          <w:tcPr>
            <w:tcW w:type="dxa" w:w="2978"/>
            <w:gridSpan w:val="3"/>
            <w:tcBorders>
              <w:start w:sz="2.400000000000091" w:val="single" w:color="#000000"/>
              <w:top w:sz="1.5999999999994543"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22,100,000 </w:t>
            </w:r>
          </w:p>
        </w:tc>
        <w:tc>
          <w:tcPr>
            <w:tcW w:type="dxa" w:w="1560"/>
            <w:gridSpan w:val="2"/>
            <w:tcBorders>
              <w:start w:sz="1.6000000000003638" w:val="single" w:color="#000000"/>
              <w:top w:sz="1.5999999999994543" w:val="single" w:color="#000000"/>
              <w:end w:sz="1.6000000000003638" w:val="single" w:color="#000000"/>
              <w:bottom w:sz="1.5999999999994543" w:val="single" w:color="#000000"/>
            </w:tcBorders>
            <w:tcMar>
              <w:start w:w="0" w:type="dxa"/>
              <w:end w:w="0" w:type="dxa"/>
            </w:tcMar>
            <w:tcMar>
              <w:start w:w="0" w:type="dxa"/>
              <w:end w:w="0" w:type="dxa"/>
            </w:tcMar>
          </w:tcPr>
          <w:p>
            <w:pPr>
              <w:autoSpaceDN w:val="0"/>
              <w:autoSpaceDE w:val="0"/>
              <w:widowControl/>
              <w:spacing w:line="180" w:lineRule="exact" w:before="140" w:after="0"/>
              <w:ind w:left="240" w:right="0" w:firstLine="0"/>
              <w:jc w:val="left"/>
            </w:pPr>
            <w:r>
              <w:rPr>
                <w:rFonts w:ascii="宋体" w:hAnsi="宋体" w:eastAsia="宋体"/>
                <w:b w:val="0"/>
                <w:i w:val="0"/>
                <w:color w:val="000000"/>
                <w:sz w:val="18"/>
              </w:rPr>
              <w:t xml:space="preserve">人民币普通股 </w:t>
            </w:r>
          </w:p>
        </w:tc>
        <w:tc>
          <w:tcPr>
            <w:tcW w:type="dxa" w:w="1560"/>
            <w:gridSpan w:val="3"/>
            <w:tcBorders>
              <w:start w:sz="1.6000000000003638" w:val="single" w:color="#000000"/>
              <w:top w:sz="1.5999999999994543"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34" w:after="0"/>
              <w:ind w:left="0" w:right="0" w:firstLine="0"/>
              <w:jc w:val="center"/>
            </w:pPr>
            <w:r>
              <w:rPr>
                <w:rFonts w:ascii="Times New Roman" w:hAnsi="Times New Roman" w:eastAsia="Times New Roman"/>
                <w:b w:val="0"/>
                <w:i w:val="0"/>
                <w:color w:val="000000"/>
                <w:sz w:val="18"/>
              </w:rPr>
              <w:t xml:space="preserve">22,100,000 </w:t>
            </w:r>
          </w:p>
        </w:tc>
      </w:tr>
      <w:tr>
        <w:trPr>
          <w:trHeight w:hRule="exact" w:val="1044"/>
        </w:trPr>
        <w:tc>
          <w:tcPr>
            <w:tcW w:type="dxa" w:w="4536"/>
            <w:gridSpan w:val="4"/>
            <w:tcBorders>
              <w:start w:sz="1.5999999999999943" w:val="single" w:color="#000000"/>
              <w:top w:sz="1.5999999999994543" w:val="single" w:color="#000000"/>
              <w:end w:sz="2.400000000000091" w:val="single" w:color="#000000"/>
              <w:bottom w:sz="1.6000000000003638"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18" w:lineRule="exact" w:before="6" w:after="0"/>
              <w:ind w:left="106" w:right="0" w:firstLine="0"/>
              <w:jc w:val="left"/>
            </w:pPr>
            <w:r>
              <w:rPr>
                <w:rFonts w:ascii="宋体" w:hAnsi="宋体" w:eastAsia="宋体"/>
                <w:b w:val="0"/>
                <w:i w:val="0"/>
                <w:color w:val="000000"/>
                <w:sz w:val="18"/>
              </w:rPr>
              <w:t>前10 名无限售流通股股东之间，以及前10 名无限售流</w:t>
            </w:r>
            <w:r>
              <w:rPr>
                <w:rFonts w:ascii="宋体" w:hAnsi="宋体" w:eastAsia="宋体"/>
                <w:b w:val="0"/>
                <w:i w:val="0"/>
                <w:color w:val="000000"/>
                <w:sz w:val="18"/>
              </w:rPr>
              <w:t>通股股东和前10 名股东之间关联关系或一致行动的说</w:t>
            </w:r>
            <w:r>
              <w:rPr>
                <w:rFonts w:ascii="宋体" w:hAnsi="宋体" w:eastAsia="宋体"/>
                <w:b w:val="0"/>
                <w:i w:val="0"/>
                <w:color w:val="000000"/>
                <w:sz w:val="18"/>
              </w:rPr>
              <w:t xml:space="preserve">明 </w:t>
            </w:r>
          </w:p>
        </w:tc>
        <w:tc>
          <w:tcPr>
            <w:tcW w:type="dxa" w:w="6098"/>
            <w:gridSpan w:val="8"/>
            <w:tcBorders>
              <w:start w:sz="2.400000000000091" w:val="single" w:color="#000000"/>
              <w:top w:sz="1.5999999999994543" w:val="single" w:color="#000000"/>
              <w:end w:sz="1.6000000000003638"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18" w:lineRule="exact" w:before="6" w:after="0"/>
              <w:ind w:left="106" w:right="226" w:firstLine="0"/>
              <w:jc w:val="both"/>
            </w:pPr>
            <w:r>
              <w:rPr>
                <w:rFonts w:ascii="宋体" w:hAnsi="宋体" w:eastAsia="宋体"/>
                <w:b w:val="0"/>
                <w:i w:val="0"/>
                <w:color w:val="000000"/>
                <w:sz w:val="18"/>
              </w:rPr>
              <w:t>上述股东中，山西国际电力集团有限公司及山西省科技基金发展有限公司</w:t>
            </w:r>
            <w:r>
              <w:rPr>
                <w:rFonts w:ascii="宋体" w:hAnsi="宋体" w:eastAsia="宋体"/>
                <w:b w:val="0"/>
                <w:i w:val="0"/>
                <w:color w:val="000000"/>
                <w:sz w:val="18"/>
              </w:rPr>
              <w:t>实际控制人同为山西省国资委；未知其他股东之间是否存在关联关系或一</w:t>
            </w:r>
            <w:r>
              <w:rPr>
                <w:rFonts w:ascii="宋体" w:hAnsi="宋体" w:eastAsia="宋体"/>
                <w:b w:val="0"/>
                <w:i w:val="0"/>
                <w:color w:val="000000"/>
                <w:sz w:val="18"/>
              </w:rPr>
              <w:t xml:space="preserve">致行动。 </w:t>
            </w:r>
          </w:p>
        </w:tc>
      </w:tr>
      <w:tr>
        <w:trPr>
          <w:trHeight w:hRule="exact" w:val="406"/>
        </w:trPr>
        <w:tc>
          <w:tcPr>
            <w:tcW w:type="dxa" w:w="4536"/>
            <w:gridSpan w:val="4"/>
            <w:tcBorders>
              <w:start w:sz="1.5999999999999943" w:val="single" w:color="#000000"/>
              <w:top w:sz="1.6000000000003638" w:val="single" w:color="#000000"/>
              <w:end w:sz="2.400000000000091" w:val="single" w:color="#000000"/>
              <w:bottom w:sz="1.5999999999994543" w:val="single" w:color="#000000"/>
            </w:tcBorders>
            <w:shd w:fill="d2d2d2"/>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t xml:space="preserve">前10 名普通股股东参与融资融券业务情况说明 </w:t>
            </w:r>
          </w:p>
        </w:tc>
        <w:tc>
          <w:tcPr>
            <w:tcW w:type="dxa" w:w="6098"/>
            <w:gridSpan w:val="8"/>
            <w:tcBorders>
              <w:start w:sz="2.400000000000091" w:val="single" w:color="#000000"/>
              <w:top w:sz="1.6000000000003638" w:val="single" w:color="#000000"/>
              <w:end w:sz="1.6000000000003638" w:val="single" w:color="#000000"/>
              <w:bottom w:sz="1.599999999999454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4" w:after="0"/>
              <w:ind w:left="106" w:right="0" w:firstLine="0"/>
              <w:jc w:val="left"/>
            </w:pPr>
            <w:r>
              <w:rPr>
                <w:rFonts w:ascii="宋体" w:hAnsi="宋体" w:eastAsia="宋体"/>
                <w:b w:val="0"/>
                <w:i w:val="0"/>
                <w:color w:val="000000"/>
                <w:sz w:val="18"/>
              </w:rPr>
              <w:t xml:space="preserve">前十名股东参与转融通业务的情况见下表。 </w:t>
            </w:r>
          </w:p>
        </w:tc>
      </w:tr>
    </w:tbl>
    <w:p>
      <w:pPr>
        <w:autoSpaceDN w:val="0"/>
        <w:autoSpaceDE w:val="0"/>
        <w:widowControl/>
        <w:spacing w:line="180" w:lineRule="exact" w:before="476" w:after="0"/>
        <w:ind w:left="500" w:right="0" w:firstLine="0"/>
        <w:jc w:val="left"/>
      </w:pPr>
      <w:r>
        <w:rPr>
          <w:rFonts w:ascii="宋体" w:hAnsi="宋体" w:eastAsia="宋体"/>
          <w:b w:val="0"/>
          <w:i w:val="0"/>
          <w:color w:val="000000"/>
          <w:sz w:val="18"/>
        </w:rPr>
        <w:t xml:space="preserve">持股5%以上股东、前10 名股东及前10 名无限售流通股股东参与转融通业务出借股份情况 </w:t>
      </w:r>
    </w:p>
    <w:p>
      <w:pPr>
        <w:autoSpaceDN w:val="0"/>
        <w:autoSpaceDE w:val="0"/>
        <w:widowControl/>
        <w:spacing w:line="180" w:lineRule="exact" w:before="182" w:after="142"/>
        <w:ind w:left="0" w:right="616" w:firstLine="0"/>
        <w:jc w:val="right"/>
      </w:pPr>
      <w:r>
        <w:rPr>
          <w:rFonts w:ascii="宋体" w:hAnsi="宋体" w:eastAsia="宋体"/>
          <w:b w:val="0"/>
          <w:i w:val="0"/>
          <w:color w:val="000000"/>
          <w:sz w:val="18"/>
        </w:rPr>
        <w:t xml:space="preserve">单位：股 </w:t>
      </w:r>
    </w:p>
    <w:tbl>
      <w:tblPr>
        <w:tblW w:type="auto" w:w="0"/>
        <w:tblLayout w:type="fixed"/>
        <w:tblLook w:firstColumn="1" w:firstRow="1" w:lastColumn="0" w:lastRow="0" w:noHBand="0" w:noVBand="1" w:val="04A0"/>
        <w:tblInd w:w="2.0000000000000284" w:type="dxa"/>
      </w:tblPr>
      <w:tblGrid>
        <w:gridCol w:w="2132"/>
        <w:gridCol w:w="2132"/>
        <w:gridCol w:w="2132"/>
        <w:gridCol w:w="2132"/>
        <w:gridCol w:w="2132"/>
      </w:tblGrid>
      <w:tr>
        <w:trPr>
          <w:trHeight w:hRule="exact" w:val="404"/>
        </w:trPr>
        <w:tc>
          <w:tcPr>
            <w:tcW w:type="dxa" w:w="10632"/>
            <w:gridSpan w:val="5"/>
            <w:tcBorders>
              <w:start w:sz="1.5999999999999943" w:val="single" w:color="#000000"/>
              <w:top w:sz="2.4000000000005457" w:val="single" w:color="#000000"/>
              <w:end w:sz="1.6000000000003638" w:val="single" w:color="#000000"/>
              <w:bottom w:sz="1.5999999999994543" w:val="single" w:color="#000000"/>
            </w:tcBorders>
            <w:shd w:fill="d2d2d2"/>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40" w:after="0"/>
              <w:ind w:left="1780" w:right="0" w:firstLine="0"/>
              <w:jc w:val="left"/>
            </w:pPr>
            <w:r>
              <w:rPr>
                <w:rFonts w:ascii="宋体" w:hAnsi="宋体" w:eastAsia="宋体"/>
                <w:b w:val="0"/>
                <w:i w:val="0"/>
                <w:color w:val="000000"/>
                <w:sz w:val="18"/>
              </w:rPr>
              <w:t xml:space="preserve">持股5%以上股东、前10 名股东及前10 名无限售流通股股东参与转融通业务出借股份情况 </w:t>
            </w:r>
          </w:p>
        </w:tc>
      </w:tr>
      <w:tr>
        <w:trPr>
          <w:trHeight w:hRule="exact" w:val="726"/>
        </w:trPr>
        <w:tc>
          <w:tcPr>
            <w:tcW w:type="dxa" w:w="2766"/>
            <w:tcBorders>
              <w:start w:sz="1.5999999999999943" w:val="single" w:color="#000000"/>
              <w:top w:sz="1.5999999999994543"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180" w:lineRule="exact" w:before="302" w:after="0"/>
              <w:ind w:left="660" w:right="0" w:firstLine="0"/>
              <w:jc w:val="left"/>
            </w:pPr>
            <w:r>
              <w:rPr>
                <w:rFonts w:ascii="宋体" w:hAnsi="宋体" w:eastAsia="宋体"/>
                <w:b w:val="0"/>
                <w:i w:val="0"/>
                <w:color w:val="000000"/>
                <w:sz w:val="18"/>
              </w:rPr>
              <w:t xml:space="preserve">股东名称（全称） </w:t>
            </w:r>
          </w:p>
        </w:tc>
        <w:tc>
          <w:tcPr>
            <w:tcW w:type="dxa" w:w="2054"/>
            <w:tcBorders>
              <w:start w:sz="1.599999999999909" w:val="single" w:color="#000000"/>
              <w:top w:sz="1.5999999999994543" w:val="single" w:color="#000000"/>
              <w:end w:sz="1.599999999999909" w:val="single" w:color="#000000"/>
              <w:bottom w:sz="2.4000000000005457" w:val="single" w:color="#000000"/>
            </w:tcBorders>
            <w:shd w:fill="d2d2d2"/>
            <w:tcMar>
              <w:start w:w="0" w:type="dxa"/>
              <w:end w:w="0" w:type="dxa"/>
            </w:tcMar>
          </w:tcPr>
          <w:p>
            <w:pPr>
              <w:autoSpaceDN w:val="0"/>
              <w:tabs>
                <w:tab w:pos="756" w:val="left"/>
              </w:tabs>
              <w:autoSpaceDE w:val="0"/>
              <w:widowControl/>
              <w:spacing w:line="318" w:lineRule="exact" w:before="6" w:after="0"/>
              <w:ind w:left="128" w:right="0" w:firstLine="0"/>
              <w:jc w:val="left"/>
            </w:pPr>
            <w:r>
              <w:rPr>
                <w:rFonts w:ascii="宋体" w:hAnsi="宋体" w:eastAsia="宋体"/>
                <w:b w:val="0"/>
                <w:i w:val="0"/>
                <w:color w:val="000000"/>
                <w:sz w:val="18"/>
              </w:rPr>
              <w:t>期初普通账户、信用账</w:t>
            </w:r>
            <w:r>
              <w:tab/>
            </w:r>
            <w:r>
              <w:rPr>
                <w:rFonts w:ascii="宋体" w:hAnsi="宋体" w:eastAsia="宋体"/>
                <w:b w:val="0"/>
                <w:i w:val="0"/>
                <w:color w:val="000000"/>
                <w:sz w:val="18"/>
              </w:rPr>
              <w:t xml:space="preserve">户持股 </w:t>
            </w:r>
          </w:p>
        </w:tc>
        <w:tc>
          <w:tcPr>
            <w:tcW w:type="dxa" w:w="1986"/>
            <w:tcBorders>
              <w:start w:sz="1.599999999999909" w:val="single" w:color="#000000"/>
              <w:top w:sz="1.5999999999994543" w:val="single" w:color="#000000"/>
              <w:end w:sz="1.599999999999909" w:val="single" w:color="#000000"/>
              <w:bottom w:sz="2.4000000000005457" w:val="single" w:color="#000000"/>
            </w:tcBorders>
            <w:shd w:fill="d2d2d2"/>
            <w:tcMar>
              <w:start w:w="0" w:type="dxa"/>
              <w:end w:w="0" w:type="dxa"/>
            </w:tcMar>
          </w:tcPr>
          <w:p>
            <w:pPr>
              <w:autoSpaceDN w:val="0"/>
              <w:tabs>
                <w:tab w:pos="542" w:val="left"/>
              </w:tabs>
              <w:autoSpaceDE w:val="0"/>
              <w:widowControl/>
              <w:spacing w:line="318" w:lineRule="exact" w:before="6" w:after="0"/>
              <w:ind w:left="182" w:right="144" w:firstLine="0"/>
              <w:jc w:val="left"/>
            </w:pPr>
            <w:r>
              <w:rPr>
                <w:rFonts w:ascii="宋体" w:hAnsi="宋体" w:eastAsia="宋体"/>
                <w:b w:val="0"/>
                <w:i w:val="0"/>
                <w:color w:val="000000"/>
                <w:sz w:val="18"/>
              </w:rPr>
              <w:t>期初转融通出借股份</w:t>
            </w:r>
            <w:r>
              <w:tab/>
            </w:r>
            <w:r>
              <w:rPr>
                <w:rFonts w:ascii="宋体" w:hAnsi="宋体" w:eastAsia="宋体"/>
                <w:b w:val="0"/>
                <w:i w:val="0"/>
                <w:color w:val="000000"/>
                <w:sz w:val="18"/>
              </w:rPr>
              <w:t xml:space="preserve">且尚未归还 </w:t>
            </w:r>
          </w:p>
        </w:tc>
        <w:tc>
          <w:tcPr>
            <w:tcW w:type="dxa" w:w="1986"/>
            <w:tcBorders>
              <w:start w:sz="1.599999999999909" w:val="single" w:color="#000000"/>
              <w:top w:sz="1.5999999999994543" w:val="single" w:color="#000000"/>
              <w:end w:sz="2.400000000000091" w:val="single" w:color="#000000"/>
              <w:bottom w:sz="2.4000000000005457" w:val="single" w:color="#000000"/>
            </w:tcBorders>
            <w:shd w:fill="d2d2d2"/>
            <w:tcMar>
              <w:start w:w="0" w:type="dxa"/>
              <w:end w:w="0" w:type="dxa"/>
            </w:tcMar>
          </w:tcPr>
          <w:p>
            <w:pPr>
              <w:autoSpaceDN w:val="0"/>
              <w:tabs>
                <w:tab w:pos="630" w:val="left"/>
              </w:tabs>
              <w:autoSpaceDE w:val="0"/>
              <w:widowControl/>
              <w:spacing w:line="318" w:lineRule="exact" w:before="6" w:after="0"/>
              <w:ind w:left="180" w:right="144" w:firstLine="0"/>
              <w:jc w:val="left"/>
            </w:pPr>
            <w:r>
              <w:rPr>
                <w:rFonts w:ascii="宋体" w:hAnsi="宋体" w:eastAsia="宋体"/>
                <w:b w:val="0"/>
                <w:i w:val="0"/>
                <w:color w:val="000000"/>
                <w:sz w:val="18"/>
              </w:rPr>
              <w:t>期末普通账户、信用</w:t>
            </w:r>
            <w:r>
              <w:tab/>
            </w:r>
            <w:r>
              <w:rPr>
                <w:rFonts w:ascii="宋体" w:hAnsi="宋体" w:eastAsia="宋体"/>
                <w:b w:val="0"/>
                <w:i w:val="0"/>
                <w:color w:val="000000"/>
                <w:sz w:val="18"/>
              </w:rPr>
              <w:t xml:space="preserve">账户持股 </w:t>
            </w:r>
          </w:p>
        </w:tc>
        <w:tc>
          <w:tcPr>
            <w:tcW w:type="dxa" w:w="1840"/>
            <w:tcBorders>
              <w:start w:sz="2.400000000000091" w:val="single" w:color="#000000"/>
              <w:top w:sz="1.5999999999994543" w:val="single" w:color="#000000"/>
              <w:end w:sz="1.6000000000003638" w:val="single" w:color="#000000"/>
              <w:bottom w:sz="2.4000000000005457" w:val="single" w:color="#000000"/>
            </w:tcBorders>
            <w:shd w:fill="d2d2d2"/>
            <w:tcMar>
              <w:start w:w="0" w:type="dxa"/>
              <w:end w:w="0" w:type="dxa"/>
            </w:tcMar>
          </w:tcPr>
          <w:p>
            <w:pPr>
              <w:autoSpaceDN w:val="0"/>
              <w:tabs>
                <w:tab w:pos="468" w:val="left"/>
              </w:tabs>
              <w:autoSpaceDE w:val="0"/>
              <w:widowControl/>
              <w:spacing w:line="318" w:lineRule="exact" w:before="6" w:after="0"/>
              <w:ind w:left="108" w:right="0" w:firstLine="0"/>
              <w:jc w:val="left"/>
            </w:pPr>
            <w:r>
              <w:rPr>
                <w:rFonts w:ascii="宋体" w:hAnsi="宋体" w:eastAsia="宋体"/>
                <w:b w:val="0"/>
                <w:i w:val="0"/>
                <w:color w:val="000000"/>
                <w:sz w:val="18"/>
              </w:rPr>
              <w:t>期末转融通出借股份</w:t>
            </w:r>
            <w:r>
              <w:tab/>
            </w:r>
            <w:r>
              <w:rPr>
                <w:rFonts w:ascii="宋体" w:hAnsi="宋体" w:eastAsia="宋体"/>
                <w:b w:val="0"/>
                <w:i w:val="0"/>
                <w:color w:val="000000"/>
                <w:sz w:val="18"/>
              </w:rPr>
              <w:t xml:space="preserve">且尚未归还 </w:t>
            </w:r>
          </w:p>
        </w:tc>
      </w:tr>
    </w:tbl>
    <w:p>
      <w:pPr>
        <w:autoSpaceDN w:val="0"/>
        <w:autoSpaceDE w:val="0"/>
        <w:widowControl/>
        <w:spacing w:line="197" w:lineRule="auto" w:before="556" w:after="0"/>
        <w:ind w:left="0" w:right="0" w:firstLine="0"/>
        <w:jc w:val="center"/>
      </w:pPr>
      <w:r>
        <w:rPr>
          <w:rFonts w:ascii="Calibri" w:hAnsi="Calibri" w:eastAsia="Calibri"/>
          <w:b w:val="0"/>
          <w:i w:val="0"/>
          <w:color w:val="000000"/>
          <w:sz w:val="18"/>
        </w:rPr>
        <w:t xml:space="preserve">128 </w:t>
      </w:r>
    </w:p>
    <w:p>
      <w:pPr>
        <w:sectPr>
          <w:type w:val="continuous"/>
          <w:pgSz w:w="11904" w:h="16841"/>
          <w:pgMar w:top="424" w:right="612" w:bottom="446" w:left="634" w:header="720" w:footer="720" w:gutter="0"/>
          <w:cols/>
          <w:docGrid w:linePitch="360"/>
        </w:sectPr>
      </w:pPr>
    </w:p>
    <w:p>
      <w:pPr>
        <w:autoSpaceDN w:val="0"/>
        <w:autoSpaceDE w:val="0"/>
        <w:widowControl/>
        <w:spacing w:line="220" w:lineRule="exact" w:before="0" w:after="206"/>
        <w:ind w:left="0" w:right="0"/>
      </w:pPr>
    </w:p>
    <w:p>
      <w:pPr>
        <w:sectPr>
          <w:pgSz w:w="11904" w:h="16841"/>
          <w:pgMar w:top="424" w:right="576" w:bottom="446" w:left="596" w:header="720" w:footer="720" w:gutter="0"/>
          <w:cols/>
          <w:docGrid w:linePitch="360"/>
        </w:sectPr>
      </w:pPr>
    </w:p>
    <w:p>
      <w:pPr>
        <w:autoSpaceDN w:val="0"/>
        <w:autoSpaceDE w:val="0"/>
        <w:widowControl/>
        <w:spacing w:line="240" w:lineRule="auto" w:before="0" w:after="0"/>
        <w:ind w:left="538" w:right="0" w:firstLine="0"/>
        <w:jc w:val="left"/>
      </w:pPr>
      <w:r>
        <w:drawing>
          <wp:inline xmlns:a="http://schemas.openxmlformats.org/drawingml/2006/main" xmlns:pic="http://schemas.openxmlformats.org/drawingml/2006/picture">
            <wp:extent cx="1844039" cy="439419"/>
            <wp:docPr id="131" name="Picture 13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576" w:bottom="446" w:left="596" w:header="720" w:footer="720" w:gutter="0"/>
          <w:cols w:num="2" w:equalWidth="0">
            <w:col w:w="5944" w:space="0"/>
            <w:col w:w="4788" w:space="0"/>
          </w:cols>
          <w:docGrid w:linePitch="360"/>
        </w:sectPr>
      </w:pPr>
    </w:p>
    <w:p>
      <w:pPr>
        <w:autoSpaceDN w:val="0"/>
        <w:autoSpaceDE w:val="0"/>
        <w:widowControl/>
        <w:spacing w:line="200" w:lineRule="exact" w:before="0" w:after="30"/>
        <w:ind w:left="0" w:right="572"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576" w:bottom="446" w:left="596" w:header="720" w:footer="720" w:gutter="0"/>
          <w:cols w:num="2" w:equalWidth="0">
            <w:col w:w="5944" w:space="0"/>
            <w:col w:w="4788"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40.0" w:type="dxa"/>
      </w:tblPr>
      <w:tblGrid>
        <w:gridCol w:w="1192"/>
        <w:gridCol w:w="1192"/>
        <w:gridCol w:w="1192"/>
        <w:gridCol w:w="1192"/>
        <w:gridCol w:w="1192"/>
        <w:gridCol w:w="1192"/>
        <w:gridCol w:w="1192"/>
        <w:gridCol w:w="1192"/>
        <w:gridCol w:w="1192"/>
      </w:tblGrid>
      <w:tr>
        <w:trPr>
          <w:trHeight w:hRule="exact" w:val="724"/>
        </w:trPr>
        <w:tc>
          <w:tcPr>
            <w:tcW w:type="dxa" w:w="2766"/>
            <w:tcBorders>
              <w:start w:sz="1.5999999999999943" w:val="single" w:color="#000000"/>
              <w:top w:sz="1.6000000000000227" w:val="single" w:color="#000000"/>
              <w:end w:sz="1.599999999999909" w:val="single" w:color="#000000"/>
              <w:bottom w:sz="2.3999999999999773" w:val="single" w:color="#000000"/>
            </w:tcBorders>
            <w:shd w:fill="d2d2d2"/>
            <w:tcMar>
              <w:start w:w="0" w:type="dxa"/>
              <w:end w:w="0" w:type="dxa"/>
            </w:tcMar>
          </w:tcPr>
          <w:p/>
        </w:tc>
        <w:tc>
          <w:tcPr>
            <w:tcW w:type="dxa" w:w="1202"/>
            <w:tcBorders>
              <w:start w:sz="1.599999999999909" w:val="single" w:color="#000000"/>
              <w:top w:sz="5.600000000000023" w:val="single" w:color="#000000"/>
              <w:end w:sz="1.6000000000001364" w:val="single" w:color="#000000"/>
              <w:bottom w:sz="2.3999999999999773" w:val="single" w:color="#000000"/>
            </w:tcBorders>
            <w:shd w:fill="d2d2d2"/>
            <w:tcMar>
              <w:start w:w="0" w:type="dxa"/>
              <w:end w:w="0" w:type="dxa"/>
            </w:tcMar>
          </w:tcPr>
          <w:p>
            <w:pPr>
              <w:autoSpaceDN w:val="0"/>
              <w:autoSpaceDE w:val="0"/>
              <w:widowControl/>
              <w:spacing w:line="180" w:lineRule="exact" w:before="298" w:after="0"/>
              <w:ind w:left="240" w:right="0" w:firstLine="0"/>
              <w:jc w:val="left"/>
            </w:pPr>
            <w:r>
              <w:rPr>
                <w:rFonts w:ascii="宋体" w:hAnsi="宋体" w:eastAsia="宋体"/>
                <w:b w:val="0"/>
                <w:i w:val="0"/>
                <w:color w:val="000000"/>
                <w:sz w:val="18"/>
              </w:rPr>
              <w:t xml:space="preserve">数量合计 </w:t>
            </w:r>
          </w:p>
        </w:tc>
        <w:tc>
          <w:tcPr>
            <w:tcW w:type="dxa" w:w="852"/>
            <w:tcBorders>
              <w:start w:sz="1.6000000000001364" w:val="single" w:color="#000000"/>
              <w:top w:sz="5.600000000000023" w:val="single" w:color="#000000"/>
              <w:end w:sz="1.599999999999909" w:val="single" w:color="#000000"/>
              <w:bottom w:sz="2.3999999999999773" w:val="single" w:color="#000000"/>
            </w:tcBorders>
            <w:shd w:fill="d2d2d2"/>
            <w:tcMar>
              <w:start w:w="0" w:type="dxa"/>
              <w:end w:w="0" w:type="dxa"/>
            </w:tcMar>
          </w:tcPr>
          <w:p>
            <w:pPr>
              <w:autoSpaceDN w:val="0"/>
              <w:autoSpaceDE w:val="0"/>
              <w:widowControl/>
              <w:spacing w:line="318" w:lineRule="exact" w:before="2" w:after="0"/>
              <w:ind w:left="156" w:right="0" w:firstLine="0"/>
              <w:jc w:val="left"/>
            </w:pPr>
            <w:r>
              <w:rPr>
                <w:rFonts w:ascii="宋体" w:hAnsi="宋体" w:eastAsia="宋体"/>
                <w:b w:val="0"/>
                <w:i w:val="0"/>
                <w:color w:val="000000"/>
                <w:sz w:val="18"/>
              </w:rPr>
              <w:t>占总股</w:t>
            </w:r>
            <w:r>
              <w:br/>
            </w:r>
            <w:r>
              <w:rPr>
                <w:rFonts w:ascii="宋体" w:hAnsi="宋体" w:eastAsia="宋体"/>
                <w:b w:val="0"/>
                <w:i w:val="0"/>
                <w:color w:val="000000"/>
                <w:sz w:val="18"/>
              </w:rPr>
              <w:t xml:space="preserve">本比例 </w:t>
            </w:r>
          </w:p>
        </w:tc>
        <w:tc>
          <w:tcPr>
            <w:tcW w:type="dxa" w:w="1066"/>
            <w:tcBorders>
              <w:start w:sz="1.599999999999909" w:val="single" w:color="#000000"/>
              <w:top w:sz="5.600000000000023" w:val="single" w:color="#000000"/>
              <w:end w:sz="1.599999999999909" w:val="single" w:color="#000000"/>
              <w:bottom w:sz="2.3999999999999773" w:val="single" w:color="#000000"/>
            </w:tcBorders>
            <w:shd w:fill="d2d2d2"/>
            <w:tcMar>
              <w:start w:w="0" w:type="dxa"/>
              <w:end w:w="0" w:type="dxa"/>
            </w:tcMar>
          </w:tcPr>
          <w:p>
            <w:pPr>
              <w:autoSpaceDN w:val="0"/>
              <w:autoSpaceDE w:val="0"/>
              <w:widowControl/>
              <w:spacing w:line="180" w:lineRule="exact" w:before="298" w:after="0"/>
              <w:ind w:left="172" w:right="0" w:firstLine="0"/>
              <w:jc w:val="left"/>
            </w:pPr>
            <w:r>
              <w:rPr>
                <w:rFonts w:ascii="宋体" w:hAnsi="宋体" w:eastAsia="宋体"/>
                <w:b w:val="0"/>
                <w:i w:val="0"/>
                <w:color w:val="000000"/>
                <w:sz w:val="18"/>
              </w:rPr>
              <w:t xml:space="preserve">数量合计 </w:t>
            </w:r>
          </w:p>
        </w:tc>
        <w:tc>
          <w:tcPr>
            <w:tcW w:type="dxa" w:w="920"/>
            <w:tcBorders>
              <w:start w:sz="1.599999999999909" w:val="single" w:color="#000000"/>
              <w:top w:sz="5.600000000000023" w:val="single" w:color="#000000"/>
              <w:end w:sz="1.599999999999909" w:val="single" w:color="#000000"/>
              <w:bottom w:sz="2.3999999999999773" w:val="single" w:color="#000000"/>
            </w:tcBorders>
            <w:shd w:fill="d2d2d2"/>
            <w:tcMar>
              <w:start w:w="0" w:type="dxa"/>
              <w:end w:w="0" w:type="dxa"/>
            </w:tcMar>
          </w:tcPr>
          <w:p>
            <w:pPr>
              <w:autoSpaceDN w:val="0"/>
              <w:autoSpaceDE w:val="0"/>
              <w:widowControl/>
              <w:spacing w:line="318" w:lineRule="exact" w:before="2" w:after="0"/>
              <w:ind w:left="188" w:right="0" w:firstLine="0"/>
              <w:jc w:val="left"/>
            </w:pPr>
            <w:r>
              <w:rPr>
                <w:rFonts w:ascii="宋体" w:hAnsi="宋体" w:eastAsia="宋体"/>
                <w:b w:val="0"/>
                <w:i w:val="0"/>
                <w:color w:val="000000"/>
                <w:sz w:val="18"/>
              </w:rPr>
              <w:t>占总股</w:t>
            </w:r>
            <w:r>
              <w:br/>
            </w:r>
            <w:r>
              <w:rPr>
                <w:rFonts w:ascii="宋体" w:hAnsi="宋体" w:eastAsia="宋体"/>
                <w:b w:val="0"/>
                <w:i w:val="0"/>
                <w:color w:val="000000"/>
                <w:sz w:val="18"/>
              </w:rPr>
              <w:t xml:space="preserve">本比例 </w:t>
            </w:r>
          </w:p>
        </w:tc>
        <w:tc>
          <w:tcPr>
            <w:tcW w:type="dxa" w:w="1134"/>
            <w:tcBorders>
              <w:start w:sz="1.599999999999909" w:val="single" w:color="#000000"/>
              <w:top w:sz="5.600000000000023" w:val="single" w:color="#000000"/>
              <w:end w:sz="2.399999999999636" w:val="single" w:color="#000000"/>
              <w:bottom w:sz="2.3999999999999773" w:val="single" w:color="#000000"/>
            </w:tcBorders>
            <w:shd w:fill="d2d2d2"/>
            <w:tcMar>
              <w:start w:w="0" w:type="dxa"/>
              <w:end w:w="0" w:type="dxa"/>
            </w:tcMar>
          </w:tcPr>
          <w:p>
            <w:pPr>
              <w:autoSpaceDN w:val="0"/>
              <w:autoSpaceDE w:val="0"/>
              <w:widowControl/>
              <w:spacing w:line="180" w:lineRule="exact" w:before="298" w:after="0"/>
              <w:ind w:left="204" w:right="0" w:firstLine="0"/>
              <w:jc w:val="left"/>
            </w:pPr>
            <w:r>
              <w:rPr>
                <w:rFonts w:ascii="宋体" w:hAnsi="宋体" w:eastAsia="宋体"/>
                <w:b w:val="0"/>
                <w:i w:val="0"/>
                <w:color w:val="000000"/>
                <w:sz w:val="18"/>
              </w:rPr>
              <w:t xml:space="preserve">数量合计 </w:t>
            </w:r>
          </w:p>
        </w:tc>
        <w:tc>
          <w:tcPr>
            <w:tcW w:type="dxa" w:w="852"/>
            <w:tcBorders>
              <w:start w:sz="2.399999999999636" w:val="single" w:color="#000000"/>
              <w:top w:sz="5.600000000000023" w:val="single" w:color="#000000"/>
              <w:end w:sz="2.400000000000091" w:val="single" w:color="#000000"/>
              <w:bottom w:sz="2.3999999999999773" w:val="single" w:color="#000000"/>
            </w:tcBorders>
            <w:shd w:fill="d2d2d2"/>
            <w:tcMar>
              <w:start w:w="0" w:type="dxa"/>
              <w:end w:w="0" w:type="dxa"/>
            </w:tcMar>
          </w:tcPr>
          <w:p>
            <w:pPr>
              <w:autoSpaceDN w:val="0"/>
              <w:autoSpaceDE w:val="0"/>
              <w:widowControl/>
              <w:spacing w:line="318" w:lineRule="exact" w:before="2" w:after="0"/>
              <w:ind w:left="156" w:right="0" w:firstLine="0"/>
              <w:jc w:val="left"/>
            </w:pPr>
            <w:r>
              <w:rPr>
                <w:rFonts w:ascii="宋体" w:hAnsi="宋体" w:eastAsia="宋体"/>
                <w:b w:val="0"/>
                <w:i w:val="0"/>
                <w:color w:val="000000"/>
                <w:sz w:val="18"/>
              </w:rPr>
              <w:t>占总股</w:t>
            </w:r>
            <w:r>
              <w:br/>
            </w:r>
            <w:r>
              <w:rPr>
                <w:rFonts w:ascii="宋体" w:hAnsi="宋体" w:eastAsia="宋体"/>
                <w:b w:val="0"/>
                <w:i w:val="0"/>
                <w:color w:val="000000"/>
                <w:sz w:val="18"/>
              </w:rPr>
              <w:t xml:space="preserve">本比例 </w:t>
            </w:r>
          </w:p>
        </w:tc>
        <w:tc>
          <w:tcPr>
            <w:tcW w:type="dxa" w:w="990"/>
            <w:tcBorders>
              <w:start w:sz="2.400000000000091" w:val="single" w:color="#000000"/>
              <w:top w:sz="5.600000000000023" w:val="single" w:color="#000000"/>
              <w:end w:sz="1.6000000000003638" w:val="single" w:color="#000000"/>
              <w:bottom w:sz="2.3999999999999773" w:val="single" w:color="#000000"/>
            </w:tcBorders>
            <w:shd w:fill="d2d2d2"/>
            <w:tcMar>
              <w:start w:w="0" w:type="dxa"/>
              <w:end w:w="0" w:type="dxa"/>
            </w:tcMar>
          </w:tcPr>
          <w:p>
            <w:pPr>
              <w:autoSpaceDN w:val="0"/>
              <w:autoSpaceDE w:val="0"/>
              <w:widowControl/>
              <w:spacing w:line="180" w:lineRule="exact" w:before="298" w:after="0"/>
              <w:ind w:left="132" w:right="0" w:firstLine="0"/>
              <w:jc w:val="left"/>
            </w:pPr>
            <w:r>
              <w:rPr>
                <w:rFonts w:ascii="宋体" w:hAnsi="宋体" w:eastAsia="宋体"/>
                <w:b w:val="0"/>
                <w:i w:val="0"/>
                <w:color w:val="000000"/>
                <w:sz w:val="18"/>
              </w:rPr>
              <w:t xml:space="preserve">数量合计 </w:t>
            </w:r>
          </w:p>
        </w:tc>
        <w:tc>
          <w:tcPr>
            <w:tcW w:type="dxa" w:w="850"/>
            <w:tcBorders>
              <w:start w:sz="1.6000000000003638" w:val="single" w:color="#000000"/>
              <w:top w:sz="5.600000000000023" w:val="single" w:color="#000000"/>
              <w:end w:sz="1.6000000000003638" w:val="single" w:color="#000000"/>
              <w:bottom w:sz="2.3999999999999773" w:val="single" w:color="#000000"/>
            </w:tcBorders>
            <w:shd w:fill="d2d2d2"/>
            <w:tcMar>
              <w:start w:w="0" w:type="dxa"/>
              <w:end w:w="0" w:type="dxa"/>
            </w:tcMar>
          </w:tcPr>
          <w:p>
            <w:pPr>
              <w:autoSpaceDN w:val="0"/>
              <w:autoSpaceDE w:val="0"/>
              <w:widowControl/>
              <w:spacing w:line="318" w:lineRule="exact" w:before="2" w:after="0"/>
              <w:ind w:left="152" w:right="0" w:firstLine="0"/>
              <w:jc w:val="left"/>
            </w:pPr>
            <w:r>
              <w:rPr>
                <w:rFonts w:ascii="宋体" w:hAnsi="宋体" w:eastAsia="宋体"/>
                <w:b w:val="0"/>
                <w:i w:val="0"/>
                <w:color w:val="000000"/>
                <w:sz w:val="18"/>
              </w:rPr>
              <w:t>占总股</w:t>
            </w:r>
            <w:r>
              <w:br/>
            </w:r>
            <w:r>
              <w:rPr>
                <w:rFonts w:ascii="宋体" w:hAnsi="宋体" w:eastAsia="宋体"/>
                <w:b w:val="0"/>
                <w:i w:val="0"/>
                <w:color w:val="000000"/>
                <w:sz w:val="18"/>
              </w:rPr>
              <w:t xml:space="preserve">本比例 </w:t>
            </w:r>
          </w:p>
        </w:tc>
      </w:tr>
      <w:tr>
        <w:trPr>
          <w:trHeight w:hRule="exact" w:val="966"/>
        </w:trPr>
        <w:tc>
          <w:tcPr>
            <w:tcW w:type="dxa" w:w="2766"/>
            <w:tcBorders>
              <w:start w:sz="1.5999999999999943"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308" w:lineRule="exact" w:before="0" w:after="0"/>
              <w:ind w:left="106" w:right="136" w:firstLine="0"/>
              <w:jc w:val="both"/>
            </w:pPr>
            <w:r>
              <w:rPr>
                <w:rFonts w:ascii="宋体" w:hAnsi="宋体" w:eastAsia="宋体"/>
                <w:b w:val="0"/>
                <w:i w:val="0"/>
                <w:color w:val="000000"/>
                <w:sz w:val="18"/>
              </w:rPr>
              <w:t>中国建设银行股份有限公司－国</w:t>
            </w:r>
            <w:r>
              <w:rPr>
                <w:rFonts w:ascii="宋体" w:hAnsi="宋体" w:eastAsia="宋体"/>
                <w:b w:val="0"/>
                <w:i w:val="0"/>
                <w:color w:val="000000"/>
                <w:sz w:val="18"/>
              </w:rPr>
              <w:t>泰中证全指证券公司交易型开放</w:t>
            </w:r>
            <w:r>
              <w:rPr>
                <w:rFonts w:ascii="宋体" w:hAnsi="宋体" w:eastAsia="宋体"/>
                <w:b w:val="0"/>
                <w:i w:val="0"/>
                <w:color w:val="000000"/>
                <w:sz w:val="18"/>
              </w:rPr>
              <w:t xml:space="preserve">式指数证券投资基金 </w:t>
            </w:r>
          </w:p>
        </w:tc>
        <w:tc>
          <w:tcPr>
            <w:tcW w:type="dxa" w:w="1202"/>
            <w:tcBorders>
              <w:start w:sz="1.599999999999909" w:val="single" w:color="#000000"/>
              <w:top w:sz="2.3999999999999773" w:val="single" w:color="#000000"/>
              <w:end w:sz="1.6000000000001364" w:val="single" w:color="#000000"/>
              <w:bottom w:sz="1.599999999999909" w:val="single" w:color="#000000"/>
            </w:tcBorders>
            <w:tcMar>
              <w:start w:w="0" w:type="dxa"/>
              <w:end w:w="0" w:type="dxa"/>
            </w:tcMar>
          </w:tcPr>
          <w:p>
            <w:pPr>
              <w:autoSpaceDN w:val="0"/>
              <w:autoSpaceDE w:val="0"/>
              <w:widowControl/>
              <w:spacing w:line="230" w:lineRule="auto" w:before="418" w:after="0"/>
              <w:ind w:left="284" w:right="0" w:firstLine="0"/>
              <w:jc w:val="left"/>
            </w:pPr>
            <w:r>
              <w:rPr>
                <w:rFonts w:ascii="Times New Roman" w:hAnsi="Times New Roman" w:eastAsia="Times New Roman"/>
                <w:b w:val="0"/>
                <w:i w:val="0"/>
                <w:color w:val="000000"/>
                <w:sz w:val="18"/>
              </w:rPr>
              <w:t xml:space="preserve">46,281,143 </w:t>
            </w:r>
          </w:p>
        </w:tc>
        <w:tc>
          <w:tcPr>
            <w:tcW w:type="dxa" w:w="852"/>
            <w:tcBorders>
              <w:start w:sz="1.6000000000001364"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8" w:after="0"/>
              <w:ind w:left="0" w:right="58" w:firstLine="0"/>
              <w:jc w:val="right"/>
            </w:pPr>
            <w:r>
              <w:rPr>
                <w:rFonts w:ascii="Times New Roman" w:hAnsi="Times New Roman" w:eastAsia="Times New Roman"/>
                <w:b w:val="0"/>
                <w:i w:val="0"/>
                <w:color w:val="000000"/>
                <w:sz w:val="18"/>
              </w:rPr>
              <w:t xml:space="preserve">1.29% </w:t>
            </w:r>
          </w:p>
        </w:tc>
        <w:tc>
          <w:tcPr>
            <w:tcW w:type="dxa" w:w="1066"/>
            <w:tcBorders>
              <w:start w:sz="1.599999999999909"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8" w:after="0"/>
              <w:ind w:left="0" w:right="60" w:firstLine="0"/>
              <w:jc w:val="right"/>
            </w:pPr>
            <w:r>
              <w:rPr>
                <w:rFonts w:ascii="Times New Roman" w:hAnsi="Times New Roman" w:eastAsia="Times New Roman"/>
                <w:b w:val="0"/>
                <w:i w:val="0"/>
                <w:color w:val="000000"/>
                <w:sz w:val="18"/>
              </w:rPr>
              <w:t xml:space="preserve">490,000 </w:t>
            </w:r>
          </w:p>
        </w:tc>
        <w:tc>
          <w:tcPr>
            <w:tcW w:type="dxa" w:w="920"/>
            <w:tcBorders>
              <w:start w:sz="1.599999999999909"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8" w:after="0"/>
              <w:ind w:left="164" w:right="0" w:firstLine="0"/>
              <w:jc w:val="left"/>
            </w:pPr>
            <w:r>
              <w:rPr>
                <w:rFonts w:ascii="Times New Roman" w:hAnsi="Times New Roman" w:eastAsia="Times New Roman"/>
                <w:b w:val="0"/>
                <w:i w:val="0"/>
                <w:color w:val="000000"/>
                <w:sz w:val="18"/>
              </w:rPr>
              <w:t xml:space="preserve">0.0136% </w:t>
            </w:r>
          </w:p>
        </w:tc>
        <w:tc>
          <w:tcPr>
            <w:tcW w:type="dxa" w:w="1134"/>
            <w:tcBorders>
              <w:start w:sz="1.599999999999909" w:val="single" w:color="#000000"/>
              <w:top w:sz="2.3999999999999773"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418" w:after="0"/>
              <w:ind w:left="212" w:right="0" w:firstLine="0"/>
              <w:jc w:val="left"/>
            </w:pPr>
            <w:r>
              <w:rPr>
                <w:rFonts w:ascii="Times New Roman" w:hAnsi="Times New Roman" w:eastAsia="Times New Roman"/>
                <w:b w:val="0"/>
                <w:i w:val="0"/>
                <w:color w:val="000000"/>
                <w:sz w:val="18"/>
              </w:rPr>
              <w:t xml:space="preserve">31,399,343 </w:t>
            </w:r>
          </w:p>
        </w:tc>
        <w:tc>
          <w:tcPr>
            <w:tcW w:type="dxa" w:w="852"/>
            <w:tcBorders>
              <w:start w:sz="2.399999999999636" w:val="single" w:color="#000000"/>
              <w:top w:sz="2.3999999999999773"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18" w:after="0"/>
              <w:ind w:left="0" w:right="58" w:firstLine="0"/>
              <w:jc w:val="right"/>
            </w:pPr>
            <w:r>
              <w:rPr>
                <w:rFonts w:ascii="Times New Roman" w:hAnsi="Times New Roman" w:eastAsia="Times New Roman"/>
                <w:b w:val="0"/>
                <w:i w:val="0"/>
                <w:color w:val="000000"/>
                <w:sz w:val="18"/>
              </w:rPr>
              <w:t xml:space="preserve">0.87% </w:t>
            </w:r>
          </w:p>
        </w:tc>
        <w:tc>
          <w:tcPr>
            <w:tcW w:type="dxa" w:w="990"/>
            <w:tcBorders>
              <w:start w:sz="2.400000000000091" w:val="single" w:color="#000000"/>
              <w:top w:sz="2.3999999999999773"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18" w:after="0"/>
              <w:ind w:left="0" w:right="60" w:firstLine="0"/>
              <w:jc w:val="right"/>
            </w:pPr>
            <w:r>
              <w:rPr>
                <w:rFonts w:ascii="Times New Roman" w:hAnsi="Times New Roman" w:eastAsia="Times New Roman"/>
                <w:b w:val="0"/>
                <w:i w:val="0"/>
                <w:color w:val="000000"/>
                <w:sz w:val="18"/>
              </w:rPr>
              <w:t xml:space="preserve">0 </w:t>
            </w:r>
          </w:p>
        </w:tc>
        <w:tc>
          <w:tcPr>
            <w:tcW w:type="dxa" w:w="850"/>
            <w:tcBorders>
              <w:start w:sz="1.6000000000003638" w:val="single" w:color="#000000"/>
              <w:top w:sz="2.3999999999999773"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18" w:after="0"/>
              <w:ind w:left="0" w:right="62" w:firstLine="0"/>
              <w:jc w:val="right"/>
            </w:pPr>
            <w:r>
              <w:rPr>
                <w:rFonts w:ascii="Times New Roman" w:hAnsi="Times New Roman" w:eastAsia="Times New Roman"/>
                <w:b w:val="0"/>
                <w:i w:val="0"/>
                <w:color w:val="000000"/>
                <w:sz w:val="18"/>
              </w:rPr>
              <w:t xml:space="preserve">0 </w:t>
            </w:r>
          </w:p>
        </w:tc>
      </w:tr>
      <w:tr>
        <w:trPr>
          <w:trHeight w:hRule="exact" w:val="964"/>
        </w:trPr>
        <w:tc>
          <w:tcPr>
            <w:tcW w:type="dxa" w:w="2766"/>
            <w:tcBorders>
              <w:start w:sz="1.599999999999994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8" w:lineRule="exact" w:before="0" w:after="0"/>
              <w:ind w:left="106" w:right="136" w:firstLine="0"/>
              <w:jc w:val="both"/>
            </w:pPr>
            <w:r>
              <w:rPr>
                <w:rFonts w:ascii="宋体" w:hAnsi="宋体" w:eastAsia="宋体"/>
                <w:b w:val="0"/>
                <w:i w:val="0"/>
                <w:color w:val="000000"/>
                <w:sz w:val="18"/>
              </w:rPr>
              <w:t>中国农业银行股份有限公司－中</w:t>
            </w:r>
            <w:r>
              <w:rPr>
                <w:rFonts w:ascii="宋体" w:hAnsi="宋体" w:eastAsia="宋体"/>
                <w:b w:val="0"/>
                <w:i w:val="0"/>
                <w:color w:val="000000"/>
                <w:sz w:val="18"/>
              </w:rPr>
              <w:t>证500 交易型开放式指数证券投</w:t>
            </w:r>
            <w:r>
              <w:rPr>
                <w:rFonts w:ascii="宋体" w:hAnsi="宋体" w:eastAsia="宋体"/>
                <w:b w:val="0"/>
                <w:i w:val="0"/>
                <w:color w:val="000000"/>
                <w:sz w:val="18"/>
              </w:rPr>
              <w:t xml:space="preserve">资基金 </w:t>
            </w:r>
          </w:p>
        </w:tc>
        <w:tc>
          <w:tcPr>
            <w:tcW w:type="dxa" w:w="1202"/>
            <w:tcBorders>
              <w:start w:sz="1.599999999999909" w:val="single" w:color="#000000"/>
              <w:top w:sz="1.599999999999909" w:val="single" w:color="#000000"/>
              <w:end w:sz="1.6000000000001364" w:val="single" w:color="#000000"/>
              <w:bottom w:sz="2.400000000000091" w:val="single" w:color="#000000"/>
            </w:tcBorders>
            <w:tcMar>
              <w:start w:w="0" w:type="dxa"/>
              <w:end w:w="0" w:type="dxa"/>
            </w:tcMar>
          </w:tcPr>
          <w:p>
            <w:pPr>
              <w:autoSpaceDN w:val="0"/>
              <w:autoSpaceDE w:val="0"/>
              <w:widowControl/>
              <w:spacing w:line="233" w:lineRule="auto" w:before="416" w:after="0"/>
              <w:ind w:left="290" w:right="0" w:firstLine="0"/>
              <w:jc w:val="left"/>
            </w:pPr>
            <w:r>
              <w:rPr>
                <w:rFonts w:ascii="Times New Roman" w:hAnsi="Times New Roman" w:eastAsia="Times New Roman"/>
                <w:b w:val="0"/>
                <w:i w:val="0"/>
                <w:color w:val="000000"/>
                <w:sz w:val="18"/>
              </w:rPr>
              <w:t xml:space="preserve">11,988,547 </w:t>
            </w:r>
          </w:p>
        </w:tc>
        <w:tc>
          <w:tcPr>
            <w:tcW w:type="dxa" w:w="852"/>
            <w:tcBorders>
              <w:start w:sz="1.6000000000001364"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416" w:after="0"/>
              <w:ind w:left="0" w:right="58" w:firstLine="0"/>
              <w:jc w:val="right"/>
            </w:pPr>
            <w:r>
              <w:rPr>
                <w:rFonts w:ascii="Times New Roman" w:hAnsi="Times New Roman" w:eastAsia="Times New Roman"/>
                <w:b w:val="0"/>
                <w:i w:val="0"/>
                <w:color w:val="000000"/>
                <w:sz w:val="18"/>
              </w:rPr>
              <w:t xml:space="preserve">0.33% </w:t>
            </w:r>
          </w:p>
        </w:tc>
        <w:tc>
          <w:tcPr>
            <w:tcW w:type="dxa" w:w="1066"/>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416" w:after="0"/>
              <w:ind w:left="236" w:right="0" w:firstLine="0"/>
              <w:jc w:val="left"/>
            </w:pPr>
            <w:r>
              <w:rPr>
                <w:rFonts w:ascii="Times New Roman" w:hAnsi="Times New Roman" w:eastAsia="Times New Roman"/>
                <w:b w:val="0"/>
                <w:i w:val="0"/>
                <w:color w:val="000000"/>
                <w:sz w:val="18"/>
              </w:rPr>
              <w:t xml:space="preserve">3,486,600 </w:t>
            </w:r>
          </w:p>
        </w:tc>
        <w:tc>
          <w:tcPr>
            <w:tcW w:type="dxa" w:w="92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416" w:after="0"/>
              <w:ind w:left="164" w:right="0" w:firstLine="0"/>
              <w:jc w:val="left"/>
            </w:pPr>
            <w:r>
              <w:rPr>
                <w:rFonts w:ascii="Times New Roman" w:hAnsi="Times New Roman" w:eastAsia="Times New Roman"/>
                <w:b w:val="0"/>
                <w:i w:val="0"/>
                <w:color w:val="000000"/>
                <w:sz w:val="18"/>
              </w:rPr>
              <w:t xml:space="preserve">0.0971% </w:t>
            </w:r>
          </w:p>
        </w:tc>
        <w:tc>
          <w:tcPr>
            <w:tcW w:type="dxa" w:w="1134"/>
            <w:tcBorders>
              <w:start w:sz="1.599999999999909"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416" w:after="0"/>
              <w:ind w:left="218" w:right="0" w:firstLine="0"/>
              <w:jc w:val="left"/>
            </w:pPr>
            <w:r>
              <w:rPr>
                <w:rFonts w:ascii="Times New Roman" w:hAnsi="Times New Roman" w:eastAsia="Times New Roman"/>
                <w:b w:val="0"/>
                <w:i w:val="0"/>
                <w:color w:val="000000"/>
                <w:sz w:val="18"/>
              </w:rPr>
              <w:t xml:space="preserve">30,742,117 </w:t>
            </w:r>
          </w:p>
        </w:tc>
        <w:tc>
          <w:tcPr>
            <w:tcW w:type="dxa" w:w="852"/>
            <w:tcBorders>
              <w:start w:sz="2.399999999999636"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416" w:after="0"/>
              <w:ind w:left="0" w:right="58" w:firstLine="0"/>
              <w:jc w:val="right"/>
            </w:pPr>
            <w:r>
              <w:rPr>
                <w:rFonts w:ascii="Times New Roman" w:hAnsi="Times New Roman" w:eastAsia="Times New Roman"/>
                <w:b w:val="0"/>
                <w:i w:val="0"/>
                <w:color w:val="000000"/>
                <w:sz w:val="18"/>
              </w:rPr>
              <w:t xml:space="preserve">0.86% </w:t>
            </w:r>
          </w:p>
        </w:tc>
        <w:tc>
          <w:tcPr>
            <w:tcW w:type="dxa" w:w="990"/>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16" w:after="0"/>
              <w:ind w:left="0" w:right="60" w:firstLine="0"/>
              <w:jc w:val="right"/>
            </w:pPr>
            <w:r>
              <w:rPr>
                <w:rFonts w:ascii="Times New Roman" w:hAnsi="Times New Roman" w:eastAsia="Times New Roman"/>
                <w:b w:val="0"/>
                <w:i w:val="0"/>
                <w:color w:val="000000"/>
                <w:sz w:val="18"/>
              </w:rPr>
              <w:t xml:space="preserve">0 </w:t>
            </w:r>
          </w:p>
        </w:tc>
        <w:tc>
          <w:tcPr>
            <w:tcW w:type="dxa" w:w="850"/>
            <w:tcBorders>
              <w:start w:sz="1.6000000000003638"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3" w:lineRule="auto" w:before="416" w:after="0"/>
              <w:ind w:left="0" w:right="62" w:firstLine="0"/>
              <w:jc w:val="right"/>
            </w:pPr>
            <w:r>
              <w:rPr>
                <w:rFonts w:ascii="Times New Roman" w:hAnsi="Times New Roman" w:eastAsia="Times New Roman"/>
                <w:b w:val="0"/>
                <w:i w:val="0"/>
                <w:color w:val="000000"/>
                <w:sz w:val="18"/>
              </w:rPr>
              <w:t xml:space="preserve">0 </w:t>
            </w:r>
          </w:p>
        </w:tc>
      </w:tr>
      <w:tr>
        <w:trPr>
          <w:trHeight w:hRule="exact" w:val="966"/>
        </w:trPr>
        <w:tc>
          <w:tcPr>
            <w:tcW w:type="dxa" w:w="2766"/>
            <w:tcBorders>
              <w:start w:sz="1.599999999999994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308" w:lineRule="exact" w:before="0" w:after="0"/>
              <w:ind w:left="106" w:right="136" w:firstLine="0"/>
              <w:jc w:val="both"/>
            </w:pPr>
            <w:r>
              <w:rPr>
                <w:rFonts w:ascii="宋体" w:hAnsi="宋体" w:eastAsia="宋体"/>
                <w:b w:val="0"/>
                <w:i w:val="0"/>
                <w:color w:val="000000"/>
                <w:sz w:val="18"/>
              </w:rPr>
              <w:t>中国建设银行股份有限公司－华</w:t>
            </w:r>
            <w:r>
              <w:rPr>
                <w:rFonts w:ascii="宋体" w:hAnsi="宋体" w:eastAsia="宋体"/>
                <w:b w:val="0"/>
                <w:i w:val="0"/>
                <w:color w:val="000000"/>
                <w:sz w:val="18"/>
              </w:rPr>
              <w:t>宝中证全指证券公司交易型开放</w:t>
            </w:r>
            <w:r>
              <w:rPr>
                <w:rFonts w:ascii="宋体" w:hAnsi="宋体" w:eastAsia="宋体"/>
                <w:b w:val="0"/>
                <w:i w:val="0"/>
                <w:color w:val="000000"/>
                <w:sz w:val="18"/>
              </w:rPr>
              <w:t xml:space="preserve">式指数证券投资基金 </w:t>
            </w:r>
          </w:p>
        </w:tc>
        <w:tc>
          <w:tcPr>
            <w:tcW w:type="dxa" w:w="1202"/>
            <w:tcBorders>
              <w:start w:sz="1.599999999999909" w:val="single" w:color="#000000"/>
              <w:top w:sz="2.400000000000091" w:val="single" w:color="#000000"/>
              <w:end w:sz="1.6000000000001364" w:val="single" w:color="#000000"/>
              <w:bottom w:sz="1.599999999999909" w:val="single" w:color="#000000"/>
            </w:tcBorders>
            <w:tcMar>
              <w:start w:w="0" w:type="dxa"/>
              <w:end w:w="0" w:type="dxa"/>
            </w:tcMar>
          </w:tcPr>
          <w:p>
            <w:pPr>
              <w:autoSpaceDN w:val="0"/>
              <w:autoSpaceDE w:val="0"/>
              <w:widowControl/>
              <w:spacing w:line="230" w:lineRule="auto" w:before="416" w:after="0"/>
              <w:ind w:left="284" w:right="0" w:firstLine="0"/>
              <w:jc w:val="left"/>
            </w:pPr>
            <w:r>
              <w:rPr>
                <w:rFonts w:ascii="Times New Roman" w:hAnsi="Times New Roman" w:eastAsia="Times New Roman"/>
                <w:b w:val="0"/>
                <w:i w:val="0"/>
                <w:color w:val="000000"/>
                <w:sz w:val="18"/>
              </w:rPr>
              <w:t xml:space="preserve">31,345,240 </w:t>
            </w:r>
          </w:p>
        </w:tc>
        <w:tc>
          <w:tcPr>
            <w:tcW w:type="dxa" w:w="852"/>
            <w:tcBorders>
              <w:start w:sz="1.6000000000001364"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6" w:after="0"/>
              <w:ind w:left="0" w:right="58" w:firstLine="0"/>
              <w:jc w:val="right"/>
            </w:pPr>
            <w:r>
              <w:rPr>
                <w:rFonts w:ascii="Times New Roman" w:hAnsi="Times New Roman" w:eastAsia="Times New Roman"/>
                <w:b w:val="0"/>
                <w:i w:val="0"/>
                <w:color w:val="000000"/>
                <w:sz w:val="18"/>
              </w:rPr>
              <w:t xml:space="preserve">0.87% </w:t>
            </w:r>
          </w:p>
        </w:tc>
        <w:tc>
          <w:tcPr>
            <w:tcW w:type="dxa" w:w="106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6" w:after="0"/>
              <w:ind w:left="0" w:right="60" w:firstLine="0"/>
              <w:jc w:val="right"/>
            </w:pPr>
            <w:r>
              <w:rPr>
                <w:rFonts w:ascii="Times New Roman" w:hAnsi="Times New Roman" w:eastAsia="Times New Roman"/>
                <w:b w:val="0"/>
                <w:i w:val="0"/>
                <w:color w:val="000000"/>
                <w:sz w:val="18"/>
              </w:rPr>
              <w:t xml:space="preserve">132,900 </w:t>
            </w:r>
          </w:p>
        </w:tc>
        <w:tc>
          <w:tcPr>
            <w:tcW w:type="dxa" w:w="92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416" w:after="0"/>
              <w:ind w:left="164" w:right="0" w:firstLine="0"/>
              <w:jc w:val="left"/>
            </w:pPr>
            <w:r>
              <w:rPr>
                <w:rFonts w:ascii="Times New Roman" w:hAnsi="Times New Roman" w:eastAsia="Times New Roman"/>
                <w:b w:val="0"/>
                <w:i w:val="0"/>
                <w:color w:val="000000"/>
                <w:sz w:val="18"/>
              </w:rPr>
              <w:t xml:space="preserve">0.0037% </w:t>
            </w:r>
          </w:p>
        </w:tc>
        <w:tc>
          <w:tcPr>
            <w:tcW w:type="dxa" w:w="1134"/>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416" w:after="0"/>
              <w:ind w:left="212" w:right="0" w:firstLine="0"/>
              <w:jc w:val="left"/>
            </w:pPr>
            <w:r>
              <w:rPr>
                <w:rFonts w:ascii="Times New Roman" w:hAnsi="Times New Roman" w:eastAsia="Times New Roman"/>
                <w:b w:val="0"/>
                <w:i w:val="0"/>
                <w:color w:val="000000"/>
                <w:sz w:val="18"/>
              </w:rPr>
              <w:t xml:space="preserve">26,256,840 </w:t>
            </w:r>
          </w:p>
        </w:tc>
        <w:tc>
          <w:tcPr>
            <w:tcW w:type="dxa" w:w="852"/>
            <w:tcBorders>
              <w:start w:sz="2.399999999999636"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416" w:after="0"/>
              <w:ind w:left="0" w:right="58" w:firstLine="0"/>
              <w:jc w:val="right"/>
            </w:pPr>
            <w:r>
              <w:rPr>
                <w:rFonts w:ascii="Times New Roman" w:hAnsi="Times New Roman" w:eastAsia="Times New Roman"/>
                <w:b w:val="0"/>
                <w:i w:val="0"/>
                <w:color w:val="000000"/>
                <w:sz w:val="18"/>
              </w:rPr>
              <w:t xml:space="preserve">0.73% </w:t>
            </w:r>
          </w:p>
        </w:tc>
        <w:tc>
          <w:tcPr>
            <w:tcW w:type="dxa" w:w="990"/>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16" w:after="0"/>
              <w:ind w:left="0" w:right="60" w:firstLine="0"/>
              <w:jc w:val="right"/>
            </w:pPr>
            <w:r>
              <w:rPr>
                <w:rFonts w:ascii="Times New Roman" w:hAnsi="Times New Roman" w:eastAsia="Times New Roman"/>
                <w:b w:val="0"/>
                <w:i w:val="0"/>
                <w:color w:val="000000"/>
                <w:sz w:val="18"/>
              </w:rPr>
              <w:t xml:space="preserve">0 </w:t>
            </w:r>
          </w:p>
        </w:tc>
        <w:tc>
          <w:tcPr>
            <w:tcW w:type="dxa" w:w="850"/>
            <w:tcBorders>
              <w:start w:sz="1.6000000000003638"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auto" w:before="416" w:after="0"/>
              <w:ind w:left="0" w:right="62" w:firstLine="0"/>
              <w:jc w:val="right"/>
            </w:pPr>
            <w:r>
              <w:rPr>
                <w:rFonts w:ascii="Times New Roman" w:hAnsi="Times New Roman" w:eastAsia="Times New Roman"/>
                <w:b w:val="0"/>
                <w:i w:val="0"/>
                <w:color w:val="000000"/>
                <w:sz w:val="18"/>
              </w:rPr>
              <w:t xml:space="preserve">0 </w:t>
            </w:r>
          </w:p>
        </w:tc>
      </w:tr>
      <w:tr>
        <w:trPr>
          <w:trHeight w:hRule="exact" w:val="404"/>
        </w:trPr>
        <w:tc>
          <w:tcPr>
            <w:tcW w:type="dxa" w:w="2766"/>
            <w:tcBorders>
              <w:start w:sz="1.5999999999999943"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180" w:lineRule="exact" w:before="142" w:after="0"/>
              <w:ind w:left="106" w:right="0" w:firstLine="0"/>
              <w:jc w:val="left"/>
            </w:pPr>
            <w:r>
              <w:rPr>
                <w:rFonts w:ascii="宋体" w:hAnsi="宋体" w:eastAsia="宋体"/>
                <w:b w:val="0"/>
                <w:i w:val="0"/>
                <w:color w:val="000000"/>
                <w:sz w:val="18"/>
              </w:rPr>
              <w:t xml:space="preserve">山西省科技基金发展有限公司 </w:t>
            </w:r>
          </w:p>
        </w:tc>
        <w:tc>
          <w:tcPr>
            <w:tcW w:type="dxa" w:w="1202"/>
            <w:tcBorders>
              <w:start w:sz="1.599999999999909" w:val="single" w:color="#000000"/>
              <w:top w:sz="1.599999999999909" w:val="single" w:color="#000000"/>
              <w:end w:sz="1.6000000000001364" w:val="single" w:color="#000000"/>
              <w:bottom w:sz="2.399999999999636" w:val="single" w:color="#000000"/>
            </w:tcBorders>
            <w:tcMar>
              <w:start w:w="0" w:type="dxa"/>
              <w:end w:w="0" w:type="dxa"/>
            </w:tcMar>
          </w:tcPr>
          <w:p>
            <w:pPr>
              <w:autoSpaceDN w:val="0"/>
              <w:autoSpaceDE w:val="0"/>
              <w:widowControl/>
              <w:spacing w:line="230" w:lineRule="auto" w:before="136" w:after="0"/>
              <w:ind w:left="284" w:right="0" w:firstLine="0"/>
              <w:jc w:val="left"/>
            </w:pPr>
            <w:r>
              <w:rPr>
                <w:rFonts w:ascii="Times New Roman" w:hAnsi="Times New Roman" w:eastAsia="Times New Roman"/>
                <w:b w:val="0"/>
                <w:i w:val="0"/>
                <w:color w:val="000000"/>
                <w:sz w:val="18"/>
              </w:rPr>
              <w:t xml:space="preserve">22,082,000 </w:t>
            </w:r>
          </w:p>
        </w:tc>
        <w:tc>
          <w:tcPr>
            <w:tcW w:type="dxa" w:w="852"/>
            <w:tcBorders>
              <w:start w:sz="1.6000000000001364"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136" w:after="0"/>
              <w:ind w:left="0" w:right="58" w:firstLine="0"/>
              <w:jc w:val="right"/>
            </w:pPr>
            <w:r>
              <w:rPr>
                <w:rFonts w:ascii="Times New Roman" w:hAnsi="Times New Roman" w:eastAsia="Times New Roman"/>
                <w:b w:val="0"/>
                <w:i w:val="0"/>
                <w:color w:val="000000"/>
                <w:sz w:val="18"/>
              </w:rPr>
              <w:t xml:space="preserve">0.62% </w:t>
            </w:r>
          </w:p>
        </w:tc>
        <w:tc>
          <w:tcPr>
            <w:tcW w:type="dxa" w:w="1066"/>
            <w:tcBorders>
              <w:start w:sz="1.599999999999909"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136" w:after="0"/>
              <w:ind w:left="0" w:right="60" w:firstLine="0"/>
              <w:jc w:val="right"/>
            </w:pPr>
            <w:r>
              <w:rPr>
                <w:rFonts w:ascii="Times New Roman" w:hAnsi="Times New Roman" w:eastAsia="Times New Roman"/>
                <w:b w:val="0"/>
                <w:i w:val="0"/>
                <w:color w:val="000000"/>
                <w:sz w:val="18"/>
              </w:rPr>
              <w:t xml:space="preserve">18,000 </w:t>
            </w:r>
          </w:p>
        </w:tc>
        <w:tc>
          <w:tcPr>
            <w:tcW w:type="dxa" w:w="920"/>
            <w:tcBorders>
              <w:start w:sz="1.599999999999909" w:val="single" w:color="#000000"/>
              <w:top w:sz="1.599999999999909"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136" w:after="0"/>
              <w:ind w:left="164" w:right="0" w:firstLine="0"/>
              <w:jc w:val="left"/>
            </w:pPr>
            <w:r>
              <w:rPr>
                <w:rFonts w:ascii="Times New Roman" w:hAnsi="Times New Roman" w:eastAsia="Times New Roman"/>
                <w:b w:val="0"/>
                <w:i w:val="0"/>
                <w:color w:val="000000"/>
                <w:sz w:val="18"/>
              </w:rPr>
              <w:t xml:space="preserve">0.0005% </w:t>
            </w:r>
          </w:p>
        </w:tc>
        <w:tc>
          <w:tcPr>
            <w:tcW w:type="dxa" w:w="1134"/>
            <w:tcBorders>
              <w:start w:sz="1.599999999999909" w:val="single" w:color="#000000"/>
              <w:top w:sz="1.599999999999909" w:val="single" w:color="#000000"/>
              <w:end w:sz="2.399999999999636" w:val="single" w:color="#000000"/>
              <w:bottom w:sz="2.399999999999636" w:val="single" w:color="#000000"/>
            </w:tcBorders>
            <w:tcMar>
              <w:start w:w="0" w:type="dxa"/>
              <w:end w:w="0" w:type="dxa"/>
            </w:tcMar>
          </w:tcPr>
          <w:p>
            <w:pPr>
              <w:autoSpaceDN w:val="0"/>
              <w:autoSpaceDE w:val="0"/>
              <w:widowControl/>
              <w:spacing w:line="230" w:lineRule="auto" w:before="136" w:after="0"/>
              <w:ind w:left="212" w:right="0" w:firstLine="0"/>
              <w:jc w:val="left"/>
            </w:pPr>
            <w:r>
              <w:rPr>
                <w:rFonts w:ascii="Times New Roman" w:hAnsi="Times New Roman" w:eastAsia="Times New Roman"/>
                <w:b w:val="0"/>
                <w:i w:val="0"/>
                <w:color w:val="000000"/>
                <w:sz w:val="18"/>
              </w:rPr>
              <w:t xml:space="preserve">22,100,000 </w:t>
            </w:r>
          </w:p>
        </w:tc>
        <w:tc>
          <w:tcPr>
            <w:tcW w:type="dxa" w:w="852"/>
            <w:tcBorders>
              <w:start w:sz="2.399999999999636" w:val="single" w:color="#000000"/>
              <w:top w:sz="1.599999999999909" w:val="single" w:color="#000000"/>
              <w:end w:sz="2.400000000000091" w:val="single" w:color="#000000"/>
              <w:bottom w:sz="2.399999999999636" w:val="single" w:color="#000000"/>
            </w:tcBorders>
            <w:tcMar>
              <w:start w:w="0" w:type="dxa"/>
              <w:end w:w="0" w:type="dxa"/>
            </w:tcMar>
          </w:tcPr>
          <w:p>
            <w:pPr>
              <w:autoSpaceDN w:val="0"/>
              <w:autoSpaceDE w:val="0"/>
              <w:widowControl/>
              <w:spacing w:line="230" w:lineRule="auto" w:before="136" w:after="0"/>
              <w:ind w:left="0" w:right="58" w:firstLine="0"/>
              <w:jc w:val="right"/>
            </w:pPr>
            <w:r>
              <w:rPr>
                <w:rFonts w:ascii="Times New Roman" w:hAnsi="Times New Roman" w:eastAsia="Times New Roman"/>
                <w:b w:val="0"/>
                <w:i w:val="0"/>
                <w:color w:val="000000"/>
                <w:sz w:val="18"/>
              </w:rPr>
              <w:t xml:space="preserve">0.62% </w:t>
            </w:r>
          </w:p>
        </w:tc>
        <w:tc>
          <w:tcPr>
            <w:tcW w:type="dxa" w:w="990"/>
            <w:tcBorders>
              <w:start w:sz="2.400000000000091" w:val="single" w:color="#000000"/>
              <w:top w:sz="1.599999999999909"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136" w:after="0"/>
              <w:ind w:left="0" w:right="60" w:firstLine="0"/>
              <w:jc w:val="right"/>
            </w:pPr>
            <w:r>
              <w:rPr>
                <w:rFonts w:ascii="Times New Roman" w:hAnsi="Times New Roman" w:eastAsia="Times New Roman"/>
                <w:b w:val="0"/>
                <w:i w:val="0"/>
                <w:color w:val="000000"/>
                <w:sz w:val="18"/>
              </w:rPr>
              <w:t xml:space="preserve">0 </w:t>
            </w:r>
          </w:p>
        </w:tc>
        <w:tc>
          <w:tcPr>
            <w:tcW w:type="dxa" w:w="850"/>
            <w:tcBorders>
              <w:start w:sz="1.6000000000003638" w:val="single" w:color="#000000"/>
              <w:top w:sz="1.599999999999909"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auto" w:before="136" w:after="0"/>
              <w:ind w:left="0" w:right="62" w:firstLine="0"/>
              <w:jc w:val="right"/>
            </w:pPr>
            <w:r>
              <w:rPr>
                <w:rFonts w:ascii="Times New Roman" w:hAnsi="Times New Roman" w:eastAsia="Times New Roman"/>
                <w:b w:val="0"/>
                <w:i w:val="0"/>
                <w:color w:val="000000"/>
                <w:sz w:val="18"/>
              </w:rPr>
              <w:t xml:space="preserve">0 </w:t>
            </w:r>
          </w:p>
        </w:tc>
      </w:tr>
    </w:tbl>
    <w:p>
      <w:pPr>
        <w:autoSpaceDN w:val="0"/>
        <w:autoSpaceDE w:val="0"/>
        <w:widowControl/>
        <w:spacing w:line="340" w:lineRule="exact" w:before="216" w:after="0"/>
        <w:ind w:left="538" w:right="3312" w:firstLine="0"/>
        <w:jc w:val="left"/>
      </w:pPr>
      <w:r>
        <w:rPr>
          <w:rFonts w:ascii="宋体" w:hAnsi="宋体" w:eastAsia="宋体"/>
          <w:b w:val="0"/>
          <w:i w:val="0"/>
          <w:color w:val="000000"/>
          <w:sz w:val="18"/>
        </w:rPr>
        <w:t xml:space="preserve">前10 名股东及前10 名无限售流通股股东因转融通出借/归还原因导致较上期发生变化 </w:t>
      </w:r>
      <w:r>
        <w:rPr>
          <w:rFonts w:ascii="宋体" w:hAnsi="宋体" w:eastAsia="宋体"/>
          <w:b w:val="0"/>
          <w:i w:val="0"/>
          <w:color w:val="000000"/>
          <w:sz w:val="18"/>
        </w:rPr>
        <w:t xml:space="preserve">□适用 √不适用 </w:t>
      </w:r>
    </w:p>
    <w:p>
      <w:pPr>
        <w:autoSpaceDN w:val="0"/>
        <w:autoSpaceDE w:val="0"/>
        <w:widowControl/>
        <w:spacing w:line="340" w:lineRule="exact" w:before="238" w:after="0"/>
        <w:ind w:left="538" w:right="2880" w:firstLine="0"/>
        <w:jc w:val="left"/>
      </w:pPr>
      <w:r>
        <w:rPr>
          <w:rFonts w:ascii="宋体" w:hAnsi="宋体" w:eastAsia="宋体"/>
          <w:b w:val="0"/>
          <w:i w:val="0"/>
          <w:color w:val="000000"/>
          <w:sz w:val="18"/>
        </w:rPr>
        <w:t xml:space="preserve">公司前10 名普通股股东、前10 名无限售条件普通股股东在报告期内是否进行约定购回交易 </w:t>
      </w:r>
      <w:r>
        <w:rPr>
          <w:rFonts w:ascii="宋体" w:hAnsi="宋体" w:eastAsia="宋体"/>
          <w:b w:val="0"/>
          <w:i w:val="0"/>
          <w:color w:val="000000"/>
          <w:sz w:val="18"/>
        </w:rPr>
        <w:t xml:space="preserve">□是 √否 </w:t>
      </w:r>
      <w:r>
        <w:br/>
      </w:r>
      <w:r>
        <w:rPr>
          <w:rFonts w:ascii="宋体" w:hAnsi="宋体" w:eastAsia="宋体"/>
          <w:b w:val="0"/>
          <w:i w:val="0"/>
          <w:color w:val="000000"/>
          <w:sz w:val="18"/>
        </w:rPr>
        <w:t xml:space="preserve">公司前10 名普通股股东、前10 名无限售条件普通股股东在报告期内未进行约定购回交易。 </w:t>
      </w:r>
    </w:p>
    <w:p>
      <w:pPr>
        <w:autoSpaceDN w:val="0"/>
        <w:autoSpaceDE w:val="0"/>
        <w:widowControl/>
        <w:spacing w:line="210" w:lineRule="exact" w:before="370" w:after="0"/>
        <w:ind w:left="538" w:right="0" w:firstLine="0"/>
        <w:jc w:val="left"/>
      </w:pPr>
      <w:r>
        <w:rPr>
          <w:rFonts w:ascii="宋体" w:hAnsi="宋体" w:eastAsia="宋体"/>
          <w:b w:val="0"/>
          <w:i w:val="0"/>
          <w:color w:val="000000"/>
          <w:sz w:val="21"/>
        </w:rPr>
        <w:t xml:space="preserve">2、持股10%（含10%）以上的前5 名股东情况 </w:t>
      </w:r>
    </w:p>
    <w:p>
      <w:pPr>
        <w:autoSpaceDN w:val="0"/>
        <w:autoSpaceDE w:val="0"/>
        <w:widowControl/>
        <w:spacing w:line="338" w:lineRule="exact" w:before="204" w:after="126"/>
        <w:ind w:left="538" w:right="8640" w:firstLine="0"/>
        <w:jc w:val="left"/>
      </w:pPr>
      <w:r>
        <w:rPr>
          <w:rFonts w:ascii="宋体" w:hAnsi="宋体" w:eastAsia="宋体"/>
          <w:b w:val="0"/>
          <w:i w:val="0"/>
          <w:color w:val="000000"/>
          <w:sz w:val="18"/>
        </w:rPr>
        <w:t xml:space="preserve">法人 </w:t>
      </w:r>
      <w:r>
        <w:br/>
      </w:r>
      <w:r>
        <w:rPr>
          <w:rFonts w:ascii="宋体" w:hAnsi="宋体" w:eastAsia="宋体"/>
          <w:b w:val="0"/>
          <w:i w:val="0"/>
          <w:color w:val="000000"/>
          <w:sz w:val="18"/>
        </w:rPr>
        <w:t xml:space="preserve">√适用 □不适用 </w:t>
      </w:r>
    </w:p>
    <w:tbl>
      <w:tblPr>
        <w:tblW w:type="auto" w:w="0"/>
        <w:tblLayout w:type="fixed"/>
        <w:tblLook w:firstColumn="1" w:firstRow="1" w:lastColumn="0" w:lastRow="0" w:noHBand="0" w:noVBand="1" w:val="04A0"/>
        <w:tblInd w:w="1.9999999999999574" w:type="dxa"/>
      </w:tblPr>
      <w:tblGrid>
        <w:gridCol w:w="1533"/>
        <w:gridCol w:w="1533"/>
        <w:gridCol w:w="1533"/>
        <w:gridCol w:w="1533"/>
        <w:gridCol w:w="1533"/>
        <w:gridCol w:w="1533"/>
        <w:gridCol w:w="1533"/>
      </w:tblGrid>
      <w:tr>
        <w:trPr>
          <w:trHeight w:hRule="exact" w:val="402"/>
        </w:trPr>
        <w:tc>
          <w:tcPr>
            <w:tcW w:type="dxa" w:w="1562"/>
            <w:tcBorders>
              <w:start w:sz="1.5999999999999943" w:val="single" w:color="#000000"/>
              <w:top w:sz="1.6000000000003638"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0" w:right="328" w:firstLine="0"/>
              <w:jc w:val="right"/>
            </w:pPr>
            <w:r>
              <w:rPr>
                <w:rFonts w:ascii="宋体" w:hAnsi="宋体" w:eastAsia="宋体"/>
                <w:b w:val="0"/>
                <w:i w:val="0"/>
                <w:color w:val="000000"/>
                <w:sz w:val="18"/>
              </w:rPr>
              <w:t xml:space="preserve">股东名称 </w:t>
            </w:r>
          </w:p>
        </w:tc>
        <w:tc>
          <w:tcPr>
            <w:tcW w:type="dxa" w:w="1194"/>
            <w:tcBorders>
              <w:start w:sz="1.599999999999909" w:val="single" w:color="#000000"/>
              <w:top w:sz="1.6000000000003638"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142" w:right="0" w:firstLine="0"/>
              <w:jc w:val="left"/>
            </w:pPr>
            <w:r>
              <w:rPr>
                <w:rFonts w:ascii="宋体" w:hAnsi="宋体" w:eastAsia="宋体"/>
                <w:b w:val="0"/>
                <w:i w:val="0"/>
                <w:color w:val="000000"/>
                <w:sz w:val="18"/>
              </w:rPr>
              <w:t xml:space="preserve">法定代表人 </w:t>
            </w:r>
          </w:p>
        </w:tc>
        <w:tc>
          <w:tcPr>
            <w:tcW w:type="dxa" w:w="900"/>
            <w:tcBorders>
              <w:start w:sz="1.6000000000001364" w:val="single" w:color="#000000"/>
              <w:top w:sz="1.6000000000003638"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178" w:right="0" w:firstLine="0"/>
              <w:jc w:val="left"/>
            </w:pPr>
            <w:r>
              <w:rPr>
                <w:rFonts w:ascii="宋体" w:hAnsi="宋体" w:eastAsia="宋体"/>
                <w:b w:val="0"/>
                <w:i w:val="0"/>
                <w:color w:val="000000"/>
                <w:sz w:val="18"/>
              </w:rPr>
              <w:t xml:space="preserve">总经理 </w:t>
            </w:r>
          </w:p>
        </w:tc>
        <w:tc>
          <w:tcPr>
            <w:tcW w:type="dxa" w:w="1166"/>
            <w:tcBorders>
              <w:start w:sz="1.6000000000001364" w:val="single" w:color="#000000"/>
              <w:top w:sz="1.6000000000003638"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218" w:right="0" w:firstLine="0"/>
              <w:jc w:val="left"/>
            </w:pPr>
            <w:r>
              <w:rPr>
                <w:rFonts w:ascii="宋体" w:hAnsi="宋体" w:eastAsia="宋体"/>
                <w:b w:val="0"/>
                <w:i w:val="0"/>
                <w:color w:val="000000"/>
                <w:sz w:val="18"/>
              </w:rPr>
              <w:t xml:space="preserve">成立日期 </w:t>
            </w:r>
          </w:p>
        </w:tc>
        <w:tc>
          <w:tcPr>
            <w:tcW w:type="dxa" w:w="1952"/>
            <w:tcBorders>
              <w:start w:sz="1.6000000000003638" w:val="single" w:color="#000000"/>
              <w:top w:sz="1.6000000000003638"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430" w:right="0" w:firstLine="0"/>
              <w:jc w:val="left"/>
            </w:pPr>
            <w:r>
              <w:rPr>
                <w:rFonts w:ascii="宋体" w:hAnsi="宋体" w:eastAsia="宋体"/>
                <w:b w:val="0"/>
                <w:i w:val="0"/>
                <w:color w:val="000000"/>
                <w:sz w:val="18"/>
              </w:rPr>
              <w:t xml:space="preserve">组织机构代码 </w:t>
            </w:r>
          </w:p>
        </w:tc>
        <w:tc>
          <w:tcPr>
            <w:tcW w:type="dxa" w:w="1168"/>
            <w:tcBorders>
              <w:start w:sz="1.599999999999909" w:val="single" w:color="#000000"/>
              <w:top w:sz="1.6000000000003638" w:val="single" w:color="#000000"/>
              <w:end w:sz="2.400000000000091"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220" w:right="0" w:firstLine="0"/>
              <w:jc w:val="left"/>
            </w:pPr>
            <w:r>
              <w:rPr>
                <w:rFonts w:ascii="宋体" w:hAnsi="宋体" w:eastAsia="宋体"/>
                <w:b w:val="0"/>
                <w:i w:val="0"/>
                <w:color w:val="000000"/>
                <w:sz w:val="18"/>
              </w:rPr>
              <w:t xml:space="preserve">注册资本 </w:t>
            </w:r>
          </w:p>
        </w:tc>
        <w:tc>
          <w:tcPr>
            <w:tcW w:type="dxa" w:w="2766"/>
            <w:tcBorders>
              <w:start w:sz="2.400000000000091" w:val="single" w:color="#000000"/>
              <w:top w:sz="1.6000000000003638" w:val="single" w:color="#000000"/>
              <w:end w:sz="1.5999999999994543" w:val="single" w:color="#000000"/>
              <w:bottom w:sz="2.400000000000091" w:val="single" w:color="#000000"/>
            </w:tcBorders>
            <w:shd w:fill="d2d2d2"/>
            <w:tcMar>
              <w:start w:w="0" w:type="dxa"/>
              <w:end w:w="0" w:type="dxa"/>
            </w:tcMar>
          </w:tcPr>
          <w:p>
            <w:pPr>
              <w:autoSpaceDN w:val="0"/>
              <w:autoSpaceDE w:val="0"/>
              <w:widowControl/>
              <w:spacing w:line="180" w:lineRule="exact" w:before="134" w:after="0"/>
              <w:ind w:left="0" w:right="928" w:firstLine="0"/>
              <w:jc w:val="right"/>
            </w:pPr>
            <w:r>
              <w:rPr>
                <w:rFonts w:ascii="宋体" w:hAnsi="宋体" w:eastAsia="宋体"/>
                <w:b w:val="0"/>
                <w:i w:val="0"/>
                <w:color w:val="000000"/>
                <w:sz w:val="18"/>
              </w:rPr>
              <w:t xml:space="preserve">主营业务 </w:t>
            </w:r>
          </w:p>
        </w:tc>
      </w:tr>
      <w:tr>
        <w:trPr>
          <w:trHeight w:hRule="exact" w:val="1806"/>
        </w:trPr>
        <w:tc>
          <w:tcPr>
            <w:tcW w:type="dxa" w:w="1562"/>
            <w:tcBorders>
              <w:start w:sz="1.5999999999999943"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302" w:lineRule="exact" w:before="564" w:after="0"/>
              <w:ind w:left="108" w:right="0" w:firstLine="0"/>
              <w:jc w:val="left"/>
            </w:pPr>
            <w:r>
              <w:rPr>
                <w:rFonts w:ascii="宋体" w:hAnsi="宋体" w:eastAsia="宋体"/>
                <w:b w:val="0"/>
                <w:i w:val="0"/>
                <w:color w:val="000000"/>
                <w:sz w:val="18"/>
              </w:rPr>
              <w:t>山西金融投资控</w:t>
            </w:r>
            <w:r>
              <w:rPr>
                <w:rFonts w:ascii="宋体" w:hAnsi="宋体" w:eastAsia="宋体"/>
                <w:b w:val="0"/>
                <w:i w:val="0"/>
                <w:color w:val="000000"/>
                <w:sz w:val="18"/>
              </w:rPr>
              <w:t xml:space="preserve">股集团有限公司 </w:t>
            </w:r>
          </w:p>
        </w:tc>
        <w:tc>
          <w:tcPr>
            <w:tcW w:type="dxa" w:w="1194"/>
            <w:tcBorders>
              <w:start w:sz="1.599999999999909" w:val="single" w:color="#000000"/>
              <w:top w:sz="2.400000000000091"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36" w:after="0"/>
              <w:ind w:left="0" w:right="236" w:firstLine="0"/>
              <w:jc w:val="right"/>
            </w:pPr>
            <w:r>
              <w:rPr>
                <w:rFonts w:ascii="宋体" w:hAnsi="宋体" w:eastAsia="宋体"/>
                <w:b w:val="0"/>
                <w:i w:val="0"/>
                <w:color w:val="000000"/>
                <w:sz w:val="18"/>
              </w:rPr>
              <w:t xml:space="preserve">王振宇 </w:t>
            </w:r>
          </w:p>
        </w:tc>
        <w:tc>
          <w:tcPr>
            <w:tcW w:type="dxa" w:w="900"/>
            <w:tcBorders>
              <w:start w:sz="1.6000000000001364" w:val="single" w:color="#000000"/>
              <w:top w:sz="2.400000000000091" w:val="single" w:color="#000000"/>
              <w:end w:sz="1.6000000000001364" w:val="single" w:color="#000000"/>
              <w:bottom w:sz="1.6000000000003638" w:val="single" w:color="#000000"/>
            </w:tcBorders>
            <w:tcMar>
              <w:start w:w="0" w:type="dxa"/>
              <w:end w:w="0" w:type="dxa"/>
            </w:tcMar>
          </w:tcPr>
          <w:p>
            <w:pPr>
              <w:autoSpaceDN w:val="0"/>
              <w:autoSpaceDE w:val="0"/>
              <w:widowControl/>
              <w:spacing w:line="180" w:lineRule="exact" w:before="836" w:after="0"/>
              <w:ind w:left="180" w:right="0" w:firstLine="0"/>
              <w:jc w:val="left"/>
            </w:pPr>
            <w:r>
              <w:rPr>
                <w:rFonts w:ascii="宋体" w:hAnsi="宋体" w:eastAsia="宋体"/>
                <w:b w:val="0"/>
                <w:i w:val="0"/>
                <w:color w:val="000000"/>
                <w:sz w:val="18"/>
              </w:rPr>
              <w:t xml:space="preserve">高向新 </w:t>
            </w:r>
          </w:p>
        </w:tc>
        <w:tc>
          <w:tcPr>
            <w:tcW w:type="dxa" w:w="1166"/>
            <w:tcBorders>
              <w:start w:sz="1.6000000000001364" w:val="single" w:color="#000000"/>
              <w:top w:sz="2.400000000000091" w:val="single" w:color="#000000"/>
              <w:end w:sz="1.6000000000003638" w:val="single" w:color="#000000"/>
              <w:bottom w:sz="1.6000000000003638" w:val="single" w:color="#000000"/>
            </w:tcBorders>
            <w:tcMar>
              <w:start w:w="0" w:type="dxa"/>
              <w:end w:w="0" w:type="dxa"/>
            </w:tcMar>
          </w:tcPr>
          <w:p>
            <w:pPr>
              <w:autoSpaceDN w:val="0"/>
              <w:autoSpaceDE w:val="0"/>
              <w:widowControl/>
              <w:spacing w:line="180" w:lineRule="exact" w:before="836" w:after="0"/>
              <w:ind w:left="264" w:right="0" w:firstLine="0"/>
              <w:jc w:val="left"/>
            </w:pPr>
            <w:r>
              <w:rPr>
                <w:rFonts w:ascii="宋体" w:hAnsi="宋体" w:eastAsia="宋体"/>
                <w:b w:val="0"/>
                <w:i w:val="0"/>
                <w:color w:val="000000"/>
                <w:sz w:val="18"/>
              </w:rPr>
              <w:t xml:space="preserve">2015.12 </w:t>
            </w:r>
          </w:p>
        </w:tc>
        <w:tc>
          <w:tcPr>
            <w:tcW w:type="dxa" w:w="1952"/>
            <w:tcBorders>
              <w:start w:sz="1.6000000000003638" w:val="single" w:color="#000000"/>
              <w:top w:sz="2.400000000000091"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836" w:after="0"/>
              <w:ind w:left="164" w:right="0" w:firstLine="0"/>
              <w:jc w:val="left"/>
            </w:pPr>
            <w:r>
              <w:rPr>
                <w:rFonts w:ascii="宋体" w:hAnsi="宋体" w:eastAsia="宋体"/>
                <w:b w:val="0"/>
                <w:i w:val="0"/>
                <w:color w:val="000000"/>
                <w:sz w:val="18"/>
              </w:rPr>
              <w:t xml:space="preserve">91140000MA0GRMHM7C </w:t>
            </w:r>
          </w:p>
        </w:tc>
        <w:tc>
          <w:tcPr>
            <w:tcW w:type="dxa" w:w="1168"/>
            <w:tcBorders>
              <w:start w:sz="1.599999999999909" w:val="single" w:color="#000000"/>
              <w:top w:sz="2.400000000000091" w:val="single" w:color="#000000"/>
              <w:end w:sz="2.400000000000091" w:val="single" w:color="#000000"/>
              <w:bottom w:sz="1.6000000000003638" w:val="single" w:color="#000000"/>
            </w:tcBorders>
            <w:tcMar>
              <w:start w:w="0" w:type="dxa"/>
              <w:end w:w="0" w:type="dxa"/>
            </w:tcMar>
          </w:tcPr>
          <w:p>
            <w:pPr>
              <w:autoSpaceDN w:val="0"/>
              <w:tabs>
                <w:tab w:pos="402" w:val="left"/>
              </w:tabs>
              <w:autoSpaceDE w:val="0"/>
              <w:widowControl/>
              <w:spacing w:line="302" w:lineRule="exact" w:before="564" w:after="0"/>
              <w:ind w:left="176" w:right="144" w:firstLine="0"/>
              <w:jc w:val="left"/>
            </w:pPr>
            <w:r>
              <w:rPr>
                <w:rFonts w:ascii="宋体" w:hAnsi="宋体" w:eastAsia="宋体"/>
                <w:b w:val="0"/>
                <w:i w:val="0"/>
                <w:color w:val="000000"/>
                <w:sz w:val="18"/>
              </w:rPr>
              <w:t>1,064,670</w:t>
            </w:r>
            <w:r>
              <w:tab/>
            </w:r>
            <w:r>
              <w:rPr>
                <w:rFonts w:ascii="宋体" w:hAnsi="宋体" w:eastAsia="宋体"/>
                <w:b w:val="0"/>
                <w:i w:val="0"/>
                <w:color w:val="000000"/>
                <w:sz w:val="18"/>
              </w:rPr>
              <w:t xml:space="preserve">万元 </w:t>
            </w:r>
          </w:p>
        </w:tc>
        <w:tc>
          <w:tcPr>
            <w:tcW w:type="dxa" w:w="2766"/>
            <w:tcBorders>
              <w:start w:sz="2.400000000000091" w:val="single" w:color="#000000"/>
              <w:top w:sz="2.400000000000091" w:val="single" w:color="#000000"/>
              <w:end w:sz="1.5999999999994543" w:val="single" w:color="#000000"/>
              <w:bottom w:sz="1.6000000000003638" w:val="single" w:color="#000000"/>
            </w:tcBorders>
            <w:tcMar>
              <w:start w:w="0" w:type="dxa"/>
              <w:end w:w="0" w:type="dxa"/>
            </w:tcMar>
          </w:tcPr>
          <w:p>
            <w:pPr>
              <w:autoSpaceDN w:val="0"/>
              <w:autoSpaceDE w:val="0"/>
              <w:widowControl/>
              <w:spacing w:line="294" w:lineRule="exact" w:before="0" w:after="0"/>
              <w:ind w:left="108" w:right="0" w:firstLine="0"/>
              <w:jc w:val="left"/>
            </w:pPr>
            <w:r>
              <w:rPr>
                <w:rFonts w:ascii="宋体" w:hAnsi="宋体" w:eastAsia="宋体"/>
                <w:b w:val="0"/>
                <w:i w:val="0"/>
                <w:color w:val="000000"/>
                <w:sz w:val="18"/>
              </w:rPr>
              <w:t>投资和管理金融业包括银行、证</w:t>
            </w:r>
            <w:r>
              <w:rPr>
                <w:rFonts w:ascii="宋体" w:hAnsi="宋体" w:eastAsia="宋体"/>
                <w:b w:val="0"/>
                <w:i w:val="0"/>
                <w:color w:val="000000"/>
                <w:sz w:val="18"/>
              </w:rPr>
              <w:t>券、保险、基金、信托、期货、</w:t>
            </w:r>
            <w:r>
              <w:rPr>
                <w:rFonts w:ascii="宋体" w:hAnsi="宋体" w:eastAsia="宋体"/>
                <w:b w:val="0"/>
                <w:i w:val="0"/>
                <w:color w:val="000000"/>
                <w:sz w:val="18"/>
              </w:rPr>
              <w:t>租赁；资产管理；投资和管理非</w:t>
            </w:r>
            <w:r>
              <w:rPr>
                <w:rFonts w:ascii="宋体" w:hAnsi="宋体" w:eastAsia="宋体"/>
                <w:b w:val="0"/>
                <w:i w:val="0"/>
                <w:color w:val="000000"/>
                <w:sz w:val="18"/>
              </w:rPr>
              <w:t>金融业。（依法须经批准的项</w:t>
            </w:r>
            <w:r>
              <w:br/>
            </w:r>
            <w:r>
              <w:rPr>
                <w:rFonts w:ascii="宋体" w:hAnsi="宋体" w:eastAsia="宋体"/>
                <w:b w:val="0"/>
                <w:i w:val="0"/>
                <w:color w:val="000000"/>
                <w:sz w:val="18"/>
              </w:rPr>
              <w:t>目，经相关部门批准后方可开展</w:t>
            </w:r>
            <w:r>
              <w:rPr>
                <w:rFonts w:ascii="宋体" w:hAnsi="宋体" w:eastAsia="宋体"/>
                <w:b w:val="0"/>
                <w:i w:val="0"/>
                <w:color w:val="000000"/>
                <w:sz w:val="18"/>
              </w:rPr>
              <w:t xml:space="preserve">经营活动） </w:t>
            </w:r>
          </w:p>
        </w:tc>
      </w:tr>
      <w:tr>
        <w:trPr>
          <w:trHeight w:hRule="exact" w:val="3606"/>
        </w:trPr>
        <w:tc>
          <w:tcPr>
            <w:tcW w:type="dxa" w:w="1562"/>
            <w:tcBorders>
              <w:start w:sz="1.5999999999999943"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300" w:lineRule="exact" w:before="1466" w:after="0"/>
              <w:ind w:left="108" w:right="144" w:firstLine="0"/>
              <w:jc w:val="left"/>
            </w:pPr>
            <w:r>
              <w:rPr>
                <w:rFonts w:ascii="宋体" w:hAnsi="宋体" w:eastAsia="宋体"/>
                <w:b w:val="0"/>
                <w:i w:val="0"/>
                <w:color w:val="000000"/>
                <w:sz w:val="18"/>
              </w:rPr>
              <w:t>太原钢铁（集</w:t>
            </w:r>
            <w:r>
              <w:rPr>
                <w:rFonts w:ascii="宋体" w:hAnsi="宋体" w:eastAsia="宋体"/>
                <w:b w:val="0"/>
                <w:i w:val="0"/>
                <w:color w:val="000000"/>
                <w:sz w:val="18"/>
              </w:rPr>
              <w:t xml:space="preserve">团）有限公司 </w:t>
            </w:r>
          </w:p>
        </w:tc>
        <w:tc>
          <w:tcPr>
            <w:tcW w:type="dxa" w:w="1194"/>
            <w:tcBorders>
              <w:start w:sz="1.599999999999909"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1734" w:after="0"/>
              <w:ind w:left="0" w:right="236" w:firstLine="0"/>
              <w:jc w:val="right"/>
            </w:pPr>
            <w:r>
              <w:rPr>
                <w:rFonts w:ascii="宋体" w:hAnsi="宋体" w:eastAsia="宋体"/>
                <w:b w:val="0"/>
                <w:i w:val="0"/>
                <w:color w:val="000000"/>
                <w:sz w:val="18"/>
              </w:rPr>
              <w:t xml:space="preserve">吴小弟 </w:t>
            </w:r>
          </w:p>
        </w:tc>
        <w:tc>
          <w:tcPr>
            <w:tcW w:type="dxa" w:w="900"/>
            <w:tcBorders>
              <w:start w:sz="1.6000000000001364" w:val="single" w:color="#000000"/>
              <w:top w:sz="1.6000000000003638" w:val="single" w:color="#000000"/>
              <w:end w:sz="1.6000000000001364" w:val="single" w:color="#000000"/>
              <w:bottom w:sz="1.5999999999994543" w:val="single" w:color="#000000"/>
            </w:tcBorders>
            <w:tcMar>
              <w:start w:w="0" w:type="dxa"/>
              <w:end w:w="0" w:type="dxa"/>
            </w:tcMar>
          </w:tcPr>
          <w:p>
            <w:pPr>
              <w:autoSpaceDN w:val="0"/>
              <w:autoSpaceDE w:val="0"/>
              <w:widowControl/>
              <w:spacing w:line="180" w:lineRule="exact" w:before="1734" w:after="0"/>
              <w:ind w:left="0" w:right="132" w:firstLine="0"/>
              <w:jc w:val="right"/>
            </w:pPr>
            <w:r>
              <w:rPr>
                <w:rFonts w:ascii="宋体" w:hAnsi="宋体" w:eastAsia="宋体"/>
                <w:b w:val="0"/>
                <w:i w:val="0"/>
                <w:color w:val="000000"/>
                <w:sz w:val="18"/>
              </w:rPr>
              <w:t xml:space="preserve">李 华 </w:t>
            </w:r>
          </w:p>
        </w:tc>
        <w:tc>
          <w:tcPr>
            <w:tcW w:type="dxa" w:w="1166"/>
            <w:tcBorders>
              <w:start w:sz="1.6000000000001364"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80" w:lineRule="exact" w:before="1734" w:after="0"/>
              <w:ind w:left="264" w:right="0" w:firstLine="0"/>
              <w:jc w:val="left"/>
            </w:pPr>
            <w:r>
              <w:rPr>
                <w:rFonts w:ascii="宋体" w:hAnsi="宋体" w:eastAsia="宋体"/>
                <w:b w:val="0"/>
                <w:i w:val="0"/>
                <w:color w:val="000000"/>
                <w:sz w:val="18"/>
              </w:rPr>
              <w:t xml:space="preserve">1997.12 </w:t>
            </w:r>
          </w:p>
        </w:tc>
        <w:tc>
          <w:tcPr>
            <w:tcW w:type="dxa" w:w="1952"/>
            <w:tcBorders>
              <w:start w:sz="1.6000000000003638"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1734" w:after="0"/>
              <w:ind w:left="164" w:right="0" w:firstLine="0"/>
              <w:jc w:val="left"/>
            </w:pPr>
            <w:r>
              <w:rPr>
                <w:rFonts w:ascii="宋体" w:hAnsi="宋体" w:eastAsia="宋体"/>
                <w:b w:val="0"/>
                <w:i w:val="0"/>
                <w:color w:val="000000"/>
                <w:sz w:val="18"/>
              </w:rPr>
              <w:t xml:space="preserve">91140000110114391W </w:t>
            </w:r>
          </w:p>
        </w:tc>
        <w:tc>
          <w:tcPr>
            <w:tcW w:type="dxa" w:w="1168"/>
            <w:tcBorders>
              <w:start w:sz="1.599999999999909" w:val="single" w:color="#000000"/>
              <w:top w:sz="1.6000000000003638" w:val="single" w:color="#000000"/>
              <w:end w:sz="2.400000000000091" w:val="single" w:color="#000000"/>
              <w:bottom w:sz="1.5999999999994543" w:val="single" w:color="#000000"/>
            </w:tcBorders>
            <w:tcMar>
              <w:start w:w="0" w:type="dxa"/>
              <w:end w:w="0" w:type="dxa"/>
            </w:tcMar>
          </w:tcPr>
          <w:p>
            <w:pPr>
              <w:autoSpaceDN w:val="0"/>
              <w:tabs>
                <w:tab w:pos="490" w:val="left"/>
              </w:tabs>
              <w:autoSpaceDE w:val="0"/>
              <w:widowControl/>
              <w:spacing w:line="300" w:lineRule="exact" w:before="1466" w:after="0"/>
              <w:ind w:left="154" w:right="144" w:firstLine="0"/>
              <w:jc w:val="left"/>
            </w:pPr>
            <w:r>
              <w:rPr>
                <w:rFonts w:ascii="宋体" w:hAnsi="宋体" w:eastAsia="宋体"/>
                <w:b w:val="0"/>
                <w:i w:val="0"/>
                <w:color w:val="000000"/>
                <w:sz w:val="18"/>
              </w:rPr>
              <w:t>667,468 万</w:t>
            </w:r>
            <w:r>
              <w:tab/>
            </w:r>
            <w:r>
              <w:rPr>
                <w:rFonts w:ascii="宋体" w:hAnsi="宋体" w:eastAsia="宋体"/>
                <w:b w:val="0"/>
                <w:i w:val="0"/>
                <w:color w:val="000000"/>
                <w:sz w:val="18"/>
              </w:rPr>
              <w:t xml:space="preserve">元 </w:t>
            </w:r>
          </w:p>
        </w:tc>
        <w:tc>
          <w:tcPr>
            <w:tcW w:type="dxa" w:w="2766"/>
            <w:tcBorders>
              <w:start w:sz="2.400000000000091"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298" w:lineRule="exact" w:before="0" w:after="0"/>
              <w:ind w:left="108" w:right="0" w:firstLine="0"/>
              <w:jc w:val="left"/>
            </w:pPr>
            <w:r>
              <w:rPr>
                <w:rFonts w:ascii="宋体" w:hAnsi="宋体" w:eastAsia="宋体"/>
                <w:b w:val="0"/>
                <w:i w:val="0"/>
                <w:color w:val="000000"/>
                <w:sz w:val="18"/>
              </w:rPr>
              <w:t>冶炼、加工、制造、销售钢材、</w:t>
            </w:r>
            <w:r>
              <w:rPr>
                <w:rFonts w:ascii="宋体" w:hAnsi="宋体" w:eastAsia="宋体"/>
                <w:b w:val="0"/>
                <w:i w:val="0"/>
                <w:color w:val="000000"/>
                <w:sz w:val="18"/>
              </w:rPr>
              <w:t>钢坯、钢锭、生铁、轧辊、铁合</w:t>
            </w:r>
            <w:r>
              <w:rPr>
                <w:rFonts w:ascii="宋体" w:hAnsi="宋体" w:eastAsia="宋体"/>
                <w:b w:val="0"/>
                <w:i w:val="0"/>
                <w:color w:val="000000"/>
                <w:sz w:val="18"/>
              </w:rPr>
              <w:t>金、焦化产品、耐火材料、矿产</w:t>
            </w:r>
            <w:r>
              <w:rPr>
                <w:rFonts w:ascii="宋体" w:hAnsi="宋体" w:eastAsia="宋体"/>
                <w:b w:val="0"/>
                <w:i w:val="0"/>
                <w:color w:val="000000"/>
                <w:sz w:val="18"/>
              </w:rPr>
              <w:t>品、金属制品、钢铁生产所需原</w:t>
            </w:r>
            <w:r>
              <w:rPr>
                <w:rFonts w:ascii="宋体" w:hAnsi="宋体" w:eastAsia="宋体"/>
                <w:b w:val="0"/>
                <w:i w:val="0"/>
                <w:color w:val="000000"/>
                <w:sz w:val="18"/>
              </w:rPr>
              <w:t>材料、建筑材料、电子产品、冶</w:t>
            </w:r>
            <w:r>
              <w:rPr>
                <w:rFonts w:ascii="宋体" w:hAnsi="宋体" w:eastAsia="宋体"/>
                <w:b w:val="0"/>
                <w:i w:val="0"/>
                <w:color w:val="000000"/>
                <w:sz w:val="18"/>
              </w:rPr>
              <w:t>金机电设备、备品备件；技术服</w:t>
            </w:r>
            <w:r>
              <w:rPr>
                <w:rFonts w:ascii="宋体" w:hAnsi="宋体" w:eastAsia="宋体"/>
                <w:b w:val="0"/>
                <w:i w:val="0"/>
                <w:color w:val="000000"/>
                <w:sz w:val="18"/>
              </w:rPr>
              <w:t>务；道路货物运输；建筑工程、</w:t>
            </w:r>
            <w:r>
              <w:rPr>
                <w:rFonts w:ascii="宋体" w:hAnsi="宋体" w:eastAsia="宋体"/>
                <w:b w:val="0"/>
                <w:i w:val="0"/>
                <w:color w:val="000000"/>
                <w:sz w:val="18"/>
              </w:rPr>
              <w:t>建设工程，工程设计、施工；食</w:t>
            </w:r>
            <w:r>
              <w:rPr>
                <w:rFonts w:ascii="宋体" w:hAnsi="宋体" w:eastAsia="宋体"/>
                <w:b w:val="0"/>
                <w:i w:val="0"/>
                <w:color w:val="000000"/>
                <w:sz w:val="18"/>
              </w:rPr>
              <w:t>品经营、住宿服务，餐饮宾馆等</w:t>
            </w:r>
            <w:r>
              <w:rPr>
                <w:rFonts w:ascii="宋体" w:hAnsi="宋体" w:eastAsia="宋体"/>
                <w:b w:val="0"/>
                <w:i w:val="0"/>
                <w:color w:val="000000"/>
                <w:sz w:val="18"/>
              </w:rPr>
              <w:t>服务业；承包本行业境外工程和</w:t>
            </w:r>
            <w:r>
              <w:rPr>
                <w:rFonts w:ascii="宋体" w:hAnsi="宋体" w:eastAsia="宋体"/>
                <w:b w:val="0"/>
                <w:i w:val="0"/>
                <w:color w:val="000000"/>
                <w:sz w:val="18"/>
              </w:rPr>
              <w:t>境内国际招标工程及所需的设</w:t>
            </w:r>
            <w:r>
              <w:rPr>
                <w:rFonts w:ascii="宋体" w:hAnsi="宋体" w:eastAsia="宋体"/>
                <w:b w:val="0"/>
                <w:i w:val="0"/>
                <w:color w:val="000000"/>
                <w:sz w:val="18"/>
              </w:rPr>
              <w:t>备、材料和零配件的进出口；对</w:t>
            </w:r>
          </w:p>
        </w:tc>
      </w:tr>
    </w:tbl>
    <w:p>
      <w:pPr>
        <w:autoSpaceDN w:val="0"/>
        <w:autoSpaceDE w:val="0"/>
        <w:widowControl/>
        <w:spacing w:line="197" w:lineRule="auto" w:before="554" w:after="0"/>
        <w:ind w:left="0" w:right="0" w:firstLine="0"/>
        <w:jc w:val="center"/>
      </w:pPr>
      <w:r>
        <w:rPr>
          <w:rFonts w:ascii="Calibri" w:hAnsi="Calibri" w:eastAsia="Calibri"/>
          <w:b w:val="0"/>
          <w:i w:val="0"/>
          <w:color w:val="000000"/>
          <w:sz w:val="18"/>
        </w:rPr>
        <w:t xml:space="preserve">129 </w:t>
      </w:r>
    </w:p>
    <w:p>
      <w:pPr>
        <w:sectPr>
          <w:type w:val="continuous"/>
          <w:pgSz w:w="11904" w:h="16841"/>
          <w:pgMar w:top="424" w:right="576" w:bottom="446" w:left="596" w:header="720" w:footer="720" w:gutter="0"/>
          <w:cols/>
          <w:docGrid w:linePitch="360"/>
        </w:sectPr>
      </w:pPr>
    </w:p>
    <w:p>
      <w:pPr>
        <w:autoSpaceDN w:val="0"/>
        <w:autoSpaceDE w:val="0"/>
        <w:widowControl/>
        <w:spacing w:line="220" w:lineRule="exact" w:before="0" w:after="206"/>
        <w:ind w:left="0" w:right="0"/>
      </w:pPr>
    </w:p>
    <w:p>
      <w:pPr>
        <w:sectPr>
          <w:pgSz w:w="11904" w:h="16841"/>
          <w:pgMar w:top="424" w:right="542" w:bottom="446" w:left="564" w:header="720" w:footer="720" w:gutter="0"/>
          <w:cols/>
          <w:docGrid w:linePitch="360"/>
        </w:sectPr>
      </w:pPr>
    </w:p>
    <w:p>
      <w:pPr>
        <w:autoSpaceDN w:val="0"/>
        <w:autoSpaceDE w:val="0"/>
        <w:widowControl/>
        <w:spacing w:line="240" w:lineRule="auto" w:before="0" w:after="0"/>
        <w:ind w:left="570" w:right="0" w:firstLine="0"/>
        <w:jc w:val="left"/>
      </w:pPr>
      <w:r>
        <w:drawing>
          <wp:inline xmlns:a="http://schemas.openxmlformats.org/drawingml/2006/main" xmlns:pic="http://schemas.openxmlformats.org/drawingml/2006/picture">
            <wp:extent cx="1844039" cy="439419"/>
            <wp:docPr id="132" name="Picture 13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542" w:bottom="446" w:left="564" w:header="720" w:footer="720" w:gutter="0"/>
          <w:cols w:num="2" w:equalWidth="0">
            <w:col w:w="5976" w:space="0"/>
            <w:col w:w="4822" w:space="0"/>
          </w:cols>
          <w:docGrid w:linePitch="360"/>
        </w:sectPr>
      </w:pPr>
    </w:p>
    <w:p>
      <w:pPr>
        <w:autoSpaceDN w:val="0"/>
        <w:autoSpaceDE w:val="0"/>
        <w:widowControl/>
        <w:spacing w:line="200" w:lineRule="exact" w:before="0" w:after="30"/>
        <w:ind w:left="0" w:right="60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542" w:bottom="446" w:left="564" w:header="720" w:footer="720" w:gutter="0"/>
          <w:cols w:num="2" w:equalWidth="0">
            <w:col w:w="5976" w:space="0"/>
            <w:col w:w="4822"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33.999999999999986" w:type="dxa"/>
      </w:tblPr>
      <w:tblGrid>
        <w:gridCol w:w="1543"/>
        <w:gridCol w:w="1543"/>
        <w:gridCol w:w="1543"/>
        <w:gridCol w:w="1543"/>
        <w:gridCol w:w="1543"/>
        <w:gridCol w:w="1543"/>
        <w:gridCol w:w="1543"/>
      </w:tblGrid>
      <w:tr>
        <w:trPr>
          <w:trHeight w:hRule="exact" w:val="3006"/>
        </w:trPr>
        <w:tc>
          <w:tcPr>
            <w:tcW w:type="dxa" w:w="1562"/>
            <w:tcBorders>
              <w:start w:sz="1.5999999999999943" w:val="single" w:color="#000000"/>
              <w:top w:sz="1.6000000000000227" w:val="single" w:color="#000000"/>
              <w:end w:sz="1.599999999999909" w:val="single" w:color="#000000"/>
              <w:bottom w:sz="1.599999999999909" w:val="single" w:color="#000000"/>
            </w:tcBorders>
            <w:tcMar>
              <w:start w:w="0" w:type="dxa"/>
              <w:end w:w="0" w:type="dxa"/>
            </w:tcMar>
          </w:tcPr>
          <w:p/>
        </w:tc>
        <w:tc>
          <w:tcPr>
            <w:tcW w:type="dxa" w:w="1194"/>
            <w:tcBorders>
              <w:start w:sz="1.599999999999909" w:val="single" w:color="#000000"/>
              <w:top w:sz="5.600000000000023" w:val="single" w:color="#000000"/>
              <w:end w:sz="1.6000000000001364" w:val="single" w:color="#000000"/>
              <w:bottom w:sz="1.599999999999909" w:val="single" w:color="#000000"/>
            </w:tcBorders>
            <w:tcMar>
              <w:start w:w="0" w:type="dxa"/>
              <w:end w:w="0" w:type="dxa"/>
            </w:tcMar>
          </w:tcPr>
          <w:p/>
        </w:tc>
        <w:tc>
          <w:tcPr>
            <w:tcW w:type="dxa" w:w="900"/>
            <w:tcBorders>
              <w:start w:sz="1.6000000000001364" w:val="single" w:color="#000000"/>
              <w:top w:sz="5.600000000000023" w:val="single" w:color="#000000"/>
              <w:end w:sz="1.6000000000001364" w:val="single" w:color="#000000"/>
              <w:bottom w:sz="1.599999999999909" w:val="single" w:color="#000000"/>
            </w:tcBorders>
            <w:tcMar>
              <w:start w:w="0" w:type="dxa"/>
              <w:end w:w="0" w:type="dxa"/>
            </w:tcMar>
          </w:tcPr>
          <w:p/>
        </w:tc>
        <w:tc>
          <w:tcPr>
            <w:tcW w:type="dxa" w:w="1166"/>
            <w:tcBorders>
              <w:start w:sz="1.6000000000001364" w:val="single" w:color="#000000"/>
              <w:top w:sz="5.600000000000023" w:val="single" w:color="#000000"/>
              <w:end w:sz="1.6000000000003638" w:val="single" w:color="#000000"/>
              <w:bottom w:sz="1.599999999999909" w:val="single" w:color="#000000"/>
            </w:tcBorders>
            <w:tcMar>
              <w:start w:w="0" w:type="dxa"/>
              <w:end w:w="0" w:type="dxa"/>
            </w:tcMar>
          </w:tcPr>
          <w:p/>
        </w:tc>
        <w:tc>
          <w:tcPr>
            <w:tcW w:type="dxa" w:w="1952"/>
            <w:tcBorders>
              <w:start w:sz="1.6000000000003638" w:val="single" w:color="#000000"/>
              <w:top w:sz="5.600000000000023" w:val="single" w:color="#000000"/>
              <w:end w:sz="1.599999999999909" w:val="single" w:color="#000000"/>
              <w:bottom w:sz="1.599999999999909" w:val="single" w:color="#000000"/>
            </w:tcBorders>
            <w:tcMar>
              <w:start w:w="0" w:type="dxa"/>
              <w:end w:w="0" w:type="dxa"/>
            </w:tcMar>
          </w:tcPr>
          <w:p/>
        </w:tc>
        <w:tc>
          <w:tcPr>
            <w:tcW w:type="dxa" w:w="1168"/>
            <w:tcBorders>
              <w:start w:sz="1.599999999999909" w:val="single" w:color="#000000"/>
              <w:top w:sz="5.600000000000023" w:val="single" w:color="#000000"/>
              <w:end w:sz="2.400000000000091" w:val="single" w:color="#000000"/>
              <w:bottom w:sz="1.599999999999909" w:val="single" w:color="#000000"/>
            </w:tcBorders>
            <w:tcMar>
              <w:start w:w="0" w:type="dxa"/>
              <w:end w:w="0" w:type="dxa"/>
            </w:tcMar>
          </w:tcPr>
          <w:p/>
        </w:tc>
        <w:tc>
          <w:tcPr>
            <w:tcW w:type="dxa" w:w="2766"/>
            <w:tcBorders>
              <w:start w:sz="2.400000000000091" w:val="single" w:color="#000000"/>
              <w:top w:sz="5.600000000000023" w:val="single" w:color="#000000"/>
              <w:end w:sz="1.5999999999994543" w:val="single" w:color="#000000"/>
              <w:bottom w:sz="1.599999999999909" w:val="single" w:color="#000000"/>
            </w:tcBorders>
            <w:tcMar>
              <w:start w:w="0" w:type="dxa"/>
              <w:end w:w="0" w:type="dxa"/>
            </w:tcMar>
          </w:tcPr>
          <w:p>
            <w:pPr>
              <w:autoSpaceDN w:val="0"/>
              <w:autoSpaceDE w:val="0"/>
              <w:widowControl/>
              <w:spacing w:line="296" w:lineRule="exact" w:before="0" w:after="0"/>
              <w:ind w:left="108" w:right="0" w:firstLine="0"/>
              <w:jc w:val="left"/>
            </w:pPr>
            <w:r>
              <w:rPr>
                <w:rFonts w:ascii="宋体" w:hAnsi="宋体" w:eastAsia="宋体"/>
                <w:b w:val="0"/>
                <w:i w:val="0"/>
                <w:color w:val="000000"/>
                <w:sz w:val="18"/>
              </w:rPr>
              <w:t>外派遣本行业工程生产及服务的</w:t>
            </w:r>
            <w:r>
              <w:rPr>
                <w:rFonts w:ascii="宋体" w:hAnsi="宋体" w:eastAsia="宋体"/>
                <w:b w:val="0"/>
                <w:i w:val="0"/>
                <w:color w:val="000000"/>
                <w:sz w:val="18"/>
              </w:rPr>
              <w:t>劳务人员；（国家实行专项审批</w:t>
            </w:r>
            <w:r>
              <w:rPr>
                <w:rFonts w:ascii="宋体" w:hAnsi="宋体" w:eastAsia="宋体"/>
                <w:b w:val="0"/>
                <w:i w:val="0"/>
                <w:color w:val="000000"/>
                <w:sz w:val="18"/>
              </w:rPr>
              <w:t>的项目除外）对采矿业、制造</w:t>
            </w:r>
            <w:r>
              <w:rPr>
                <w:rFonts w:ascii="宋体" w:hAnsi="宋体" w:eastAsia="宋体"/>
                <w:b w:val="0"/>
                <w:i w:val="0"/>
                <w:color w:val="000000"/>
                <w:sz w:val="18"/>
              </w:rPr>
              <w:t>业、建筑业、房地产、技术服务</w:t>
            </w:r>
            <w:r>
              <w:rPr>
                <w:rFonts w:ascii="宋体" w:hAnsi="宋体" w:eastAsia="宋体"/>
                <w:b w:val="0"/>
                <w:i w:val="0"/>
                <w:color w:val="000000"/>
                <w:sz w:val="18"/>
              </w:rPr>
              <w:t>和地质勘查业、交通运输仓储</w:t>
            </w:r>
            <w:r>
              <w:rPr>
                <w:rFonts w:ascii="宋体" w:hAnsi="宋体" w:eastAsia="宋体"/>
                <w:b w:val="0"/>
                <w:i w:val="0"/>
                <w:color w:val="000000"/>
                <w:sz w:val="18"/>
              </w:rPr>
              <w:t>业、电力、燃气及水的生产和供</w:t>
            </w:r>
            <w:r>
              <w:rPr>
                <w:rFonts w:ascii="宋体" w:hAnsi="宋体" w:eastAsia="宋体"/>
                <w:b w:val="0"/>
                <w:i w:val="0"/>
                <w:color w:val="000000"/>
                <w:sz w:val="18"/>
              </w:rPr>
              <w:t>应业、信息传输计算机软件的投</w:t>
            </w:r>
            <w:r>
              <w:rPr>
                <w:rFonts w:ascii="宋体" w:hAnsi="宋体" w:eastAsia="宋体"/>
                <w:b w:val="0"/>
                <w:i w:val="0"/>
                <w:color w:val="000000"/>
                <w:sz w:val="18"/>
              </w:rPr>
              <w:t>资。（依法须经批准的项目，经</w:t>
            </w:r>
            <w:r>
              <w:rPr>
                <w:rFonts w:ascii="宋体" w:hAnsi="宋体" w:eastAsia="宋体"/>
                <w:b w:val="0"/>
                <w:i w:val="0"/>
                <w:color w:val="000000"/>
                <w:sz w:val="18"/>
              </w:rPr>
              <w:t>相关部门批准后方可开展经营活</w:t>
            </w:r>
            <w:r>
              <w:rPr>
                <w:rFonts w:ascii="宋体" w:hAnsi="宋体" w:eastAsia="宋体"/>
                <w:b w:val="0"/>
                <w:i w:val="0"/>
                <w:color w:val="000000"/>
                <w:sz w:val="18"/>
              </w:rPr>
              <w:t xml:space="preserve">动） </w:t>
            </w:r>
          </w:p>
        </w:tc>
      </w:tr>
    </w:tbl>
    <w:p>
      <w:pPr>
        <w:autoSpaceDN w:val="0"/>
        <w:autoSpaceDE w:val="0"/>
        <w:widowControl/>
        <w:spacing w:line="326" w:lineRule="exact" w:before="0" w:after="0"/>
        <w:ind w:left="570" w:right="8784" w:firstLine="0"/>
        <w:jc w:val="left"/>
      </w:pPr>
      <w:r>
        <w:rPr>
          <w:rFonts w:ascii="宋体" w:hAnsi="宋体" w:eastAsia="宋体"/>
          <w:b w:val="0"/>
          <w:i w:val="0"/>
          <w:color w:val="000000"/>
          <w:sz w:val="18"/>
        </w:rPr>
        <w:t xml:space="preserve">自然人 </w:t>
      </w:r>
      <w:r>
        <w:br/>
      </w:r>
      <w:r>
        <w:rPr>
          <w:rFonts w:ascii="宋体" w:hAnsi="宋体" w:eastAsia="宋体"/>
          <w:b w:val="0"/>
          <w:i w:val="0"/>
          <w:color w:val="000000"/>
          <w:sz w:val="18"/>
        </w:rPr>
        <w:t xml:space="preserve">□适用 √不适用 </w:t>
      </w:r>
    </w:p>
    <w:p>
      <w:pPr>
        <w:autoSpaceDN w:val="0"/>
        <w:autoSpaceDE w:val="0"/>
        <w:widowControl/>
        <w:spacing w:line="210" w:lineRule="exact" w:before="370" w:after="326"/>
        <w:ind w:left="570" w:right="0" w:firstLine="0"/>
        <w:jc w:val="left"/>
      </w:pPr>
      <w:r>
        <w:rPr>
          <w:rFonts w:ascii="宋体" w:hAnsi="宋体" w:eastAsia="宋体"/>
          <w:b w:val="0"/>
          <w:i w:val="0"/>
          <w:color w:val="000000"/>
          <w:sz w:val="21"/>
        </w:rPr>
        <w:t xml:space="preserve">3、公司控股股东情况 </w:t>
      </w:r>
    </w:p>
    <w:tbl>
      <w:tblPr>
        <w:tblW w:type="auto" w:w="0"/>
        <w:tblLayout w:type="fixed"/>
        <w:tblLook w:firstColumn="1" w:firstRow="1" w:lastColumn="0" w:lastRow="0" w:noHBand="0" w:noVBand="1" w:val="04A0"/>
        <w:tblInd w:w="2.0000000000000284" w:type="dxa"/>
      </w:tblPr>
      <w:tblGrid>
        <w:gridCol w:w="2160"/>
        <w:gridCol w:w="2160"/>
        <w:gridCol w:w="2160"/>
        <w:gridCol w:w="2160"/>
        <w:gridCol w:w="2160"/>
      </w:tblGrid>
      <w:tr>
        <w:trPr>
          <w:trHeight w:hRule="exact" w:val="508"/>
        </w:trPr>
        <w:tc>
          <w:tcPr>
            <w:tcW w:type="dxa" w:w="2780"/>
            <w:tcBorders>
              <w:start w:sz="1.5999999999999943"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0" w:right="756" w:firstLine="0"/>
              <w:jc w:val="right"/>
            </w:pPr>
            <w:r>
              <w:rPr>
                <w:rFonts w:ascii="宋体" w:hAnsi="宋体" w:eastAsia="宋体"/>
                <w:b w:val="0"/>
                <w:i w:val="0"/>
                <w:color w:val="000000"/>
                <w:sz w:val="18"/>
              </w:rPr>
              <w:t xml:space="preserve">控股股东名称 </w:t>
            </w:r>
          </w:p>
        </w:tc>
        <w:tc>
          <w:tcPr>
            <w:tcW w:type="dxa" w:w="2552"/>
            <w:tcBorders>
              <w:start w:sz="1.6000000000001364" w:val="single" w:color="#000000"/>
              <w:top w:sz="1.599999999999909" w:val="single" w:color="#000000"/>
              <w:end w:sz="1.599999999999909"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328" w:right="0" w:firstLine="0"/>
              <w:jc w:val="left"/>
            </w:pPr>
            <w:r>
              <w:rPr>
                <w:rFonts w:ascii="宋体" w:hAnsi="宋体" w:eastAsia="宋体"/>
                <w:b w:val="0"/>
                <w:i w:val="0"/>
                <w:color w:val="000000"/>
                <w:sz w:val="18"/>
              </w:rPr>
              <w:t xml:space="preserve">法定代表人/单位负责人 </w:t>
            </w:r>
          </w:p>
        </w:tc>
        <w:tc>
          <w:tcPr>
            <w:tcW w:type="dxa" w:w="992"/>
            <w:tcBorders>
              <w:start w:sz="1.599999999999909" w:val="single" w:color="#000000"/>
              <w:top w:sz="1.599999999999909"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136" w:right="0" w:firstLine="0"/>
              <w:jc w:val="left"/>
            </w:pPr>
            <w:r>
              <w:rPr>
                <w:rFonts w:ascii="宋体" w:hAnsi="宋体" w:eastAsia="宋体"/>
                <w:b w:val="0"/>
                <w:i w:val="0"/>
                <w:color w:val="000000"/>
                <w:sz w:val="18"/>
              </w:rPr>
              <w:t xml:space="preserve">成立日期 </w:t>
            </w:r>
          </w:p>
        </w:tc>
        <w:tc>
          <w:tcPr>
            <w:tcW w:type="dxa" w:w="1986"/>
            <w:tcBorders>
              <w:start w:sz="1.6000000000003638" w:val="single" w:color="#000000"/>
              <w:top w:sz="1.599999999999909" w:val="single" w:color="#000000"/>
              <w:end w:sz="2.399999999999636"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448" w:right="0" w:firstLine="0"/>
              <w:jc w:val="left"/>
            </w:pPr>
            <w:r>
              <w:rPr>
                <w:rFonts w:ascii="宋体" w:hAnsi="宋体" w:eastAsia="宋体"/>
                <w:b w:val="0"/>
                <w:i w:val="0"/>
                <w:color w:val="000000"/>
                <w:sz w:val="18"/>
              </w:rPr>
              <w:t xml:space="preserve">组织机构代码 </w:t>
            </w:r>
          </w:p>
        </w:tc>
        <w:tc>
          <w:tcPr>
            <w:tcW w:type="dxa" w:w="2464"/>
            <w:tcBorders>
              <w:start w:sz="2.399999999999636" w:val="single" w:color="#000000"/>
              <w:top w:sz="1.599999999999909" w:val="single" w:color="#000000"/>
              <w:end w:sz="1.6000000000003638"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0" w:right="596" w:firstLine="0"/>
              <w:jc w:val="right"/>
            </w:pPr>
            <w:r>
              <w:rPr>
                <w:rFonts w:ascii="宋体" w:hAnsi="宋体" w:eastAsia="宋体"/>
                <w:b w:val="0"/>
                <w:i w:val="0"/>
                <w:color w:val="000000"/>
                <w:sz w:val="18"/>
              </w:rPr>
              <w:t xml:space="preserve">主要经营业务 </w:t>
            </w:r>
          </w:p>
        </w:tc>
      </w:tr>
      <w:tr>
        <w:trPr>
          <w:trHeight w:hRule="exact" w:val="1690"/>
        </w:trPr>
        <w:tc>
          <w:tcPr>
            <w:tcW w:type="dxa" w:w="2780"/>
            <w:tcBorders>
              <w:start w:sz="1.5999999999999943" w:val="single" w:color="#000000"/>
              <w:top w:sz="2.400000000000091" w:val="single" w:color="#000000"/>
              <w:end w:sz="1.6000000000001364" w:val="single" w:color="#000000"/>
              <w:bottom w:sz="2.400000000000091" w:val="single" w:color="#000000"/>
            </w:tcBorders>
            <w:tcMar>
              <w:start w:w="0" w:type="dxa"/>
              <w:end w:w="0" w:type="dxa"/>
            </w:tcMar>
          </w:tcPr>
          <w:p>
            <w:pPr>
              <w:autoSpaceDN w:val="0"/>
              <w:autoSpaceDE w:val="0"/>
              <w:widowControl/>
              <w:spacing w:line="180" w:lineRule="exact" w:before="762" w:after="0"/>
              <w:ind w:left="128" w:right="0" w:firstLine="0"/>
              <w:jc w:val="left"/>
            </w:pPr>
            <w:r>
              <w:rPr>
                <w:rFonts w:ascii="宋体" w:hAnsi="宋体" w:eastAsia="宋体"/>
                <w:b w:val="0"/>
                <w:i w:val="0"/>
                <w:color w:val="000000"/>
                <w:sz w:val="18"/>
              </w:rPr>
              <w:t xml:space="preserve">山西金融投资控股集团有限公司 </w:t>
            </w:r>
          </w:p>
        </w:tc>
        <w:tc>
          <w:tcPr>
            <w:tcW w:type="dxa" w:w="2552"/>
            <w:tcBorders>
              <w:start w:sz="1.6000000000001364" w:val="single" w:color="#000000"/>
              <w:top w:sz="2.400000000000091"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762" w:after="0"/>
              <w:ind w:left="0" w:right="912" w:firstLine="0"/>
              <w:jc w:val="right"/>
            </w:pPr>
            <w:r>
              <w:rPr>
                <w:rFonts w:ascii="宋体" w:hAnsi="宋体" w:eastAsia="宋体"/>
                <w:b w:val="0"/>
                <w:i w:val="0"/>
                <w:color w:val="000000"/>
                <w:sz w:val="18"/>
              </w:rPr>
              <w:t xml:space="preserve">王振宇 </w:t>
            </w:r>
          </w:p>
        </w:tc>
        <w:tc>
          <w:tcPr>
            <w:tcW w:type="dxa" w:w="992"/>
            <w:tcBorders>
              <w:start w:sz="1.599999999999909"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762" w:after="0"/>
              <w:ind w:left="180" w:right="0" w:firstLine="0"/>
              <w:jc w:val="left"/>
            </w:pPr>
            <w:r>
              <w:rPr>
                <w:rFonts w:ascii="宋体" w:hAnsi="宋体" w:eastAsia="宋体"/>
                <w:b w:val="0"/>
                <w:i w:val="0"/>
                <w:color w:val="000000"/>
                <w:sz w:val="18"/>
              </w:rPr>
              <w:t xml:space="preserve">2015.12 </w:t>
            </w:r>
          </w:p>
        </w:tc>
        <w:tc>
          <w:tcPr>
            <w:tcW w:type="dxa" w:w="1986"/>
            <w:tcBorders>
              <w:start w:sz="1.6000000000003638" w:val="single" w:color="#000000"/>
              <w:top w:sz="2.400000000000091"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762" w:after="0"/>
              <w:ind w:left="182" w:right="0" w:firstLine="0"/>
              <w:jc w:val="left"/>
            </w:pPr>
            <w:r>
              <w:rPr>
                <w:rFonts w:ascii="宋体" w:hAnsi="宋体" w:eastAsia="宋体"/>
                <w:b w:val="0"/>
                <w:i w:val="0"/>
                <w:color w:val="000000"/>
                <w:sz w:val="18"/>
              </w:rPr>
              <w:t xml:space="preserve">91140000MA0GRMHM7C </w:t>
            </w:r>
          </w:p>
        </w:tc>
        <w:tc>
          <w:tcPr>
            <w:tcW w:type="dxa" w:w="2464"/>
            <w:tcBorders>
              <w:start w:sz="2.399999999999636" w:val="single" w:color="#000000"/>
              <w:top w:sz="2.400000000000091" w:val="single" w:color="#000000"/>
              <w:end w:sz="1.6000000000003638" w:val="single" w:color="#000000"/>
              <w:bottom w:sz="2.400000000000091" w:val="single" w:color="#000000"/>
            </w:tcBorders>
            <w:tcMar>
              <w:start w:w="0" w:type="dxa"/>
              <w:end w:w="0" w:type="dxa"/>
            </w:tcMar>
          </w:tcPr>
          <w:p>
            <w:pPr>
              <w:autoSpaceDN w:val="0"/>
              <w:autoSpaceDE w:val="0"/>
              <w:widowControl/>
              <w:spacing w:line="238" w:lineRule="exact" w:before="0" w:after="0"/>
              <w:ind w:left="108" w:right="144" w:firstLine="0"/>
              <w:jc w:val="left"/>
            </w:pPr>
            <w:r>
              <w:rPr>
                <w:rFonts w:ascii="宋体" w:hAnsi="宋体" w:eastAsia="宋体"/>
                <w:b w:val="0"/>
                <w:i w:val="0"/>
                <w:color w:val="000000"/>
                <w:sz w:val="18"/>
              </w:rPr>
              <w:t>投资和管理金融业包括银</w:t>
            </w:r>
            <w:r>
              <w:rPr>
                <w:rFonts w:ascii="宋体" w:hAnsi="宋体" w:eastAsia="宋体"/>
                <w:b w:val="0"/>
                <w:i w:val="0"/>
                <w:color w:val="000000"/>
                <w:sz w:val="18"/>
              </w:rPr>
              <w:t>行、证券、保险、基金、信</w:t>
            </w:r>
            <w:r>
              <w:rPr>
                <w:rFonts w:ascii="宋体" w:hAnsi="宋体" w:eastAsia="宋体"/>
                <w:b w:val="0"/>
                <w:i w:val="0"/>
                <w:color w:val="000000"/>
                <w:sz w:val="18"/>
              </w:rPr>
              <w:t>托、期货、租赁；资产管</w:t>
            </w:r>
            <w:r>
              <w:rPr>
                <w:rFonts w:ascii="宋体" w:hAnsi="宋体" w:eastAsia="宋体"/>
                <w:b w:val="0"/>
                <w:i w:val="0"/>
                <w:color w:val="000000"/>
                <w:sz w:val="18"/>
              </w:rPr>
              <w:t>理；投资和管理非金融业。</w:t>
            </w:r>
            <w:r>
              <w:rPr>
                <w:rFonts w:ascii="宋体" w:hAnsi="宋体" w:eastAsia="宋体"/>
                <w:b w:val="0"/>
                <w:i w:val="0"/>
                <w:color w:val="000000"/>
                <w:sz w:val="18"/>
              </w:rPr>
              <w:t>（依法须经批准的项目，经</w:t>
            </w:r>
            <w:r>
              <w:rPr>
                <w:rFonts w:ascii="宋体" w:hAnsi="宋体" w:eastAsia="宋体"/>
                <w:b w:val="0"/>
                <w:i w:val="0"/>
                <w:color w:val="000000"/>
                <w:sz w:val="18"/>
              </w:rPr>
              <w:t>相关部门批准后方可开展经</w:t>
            </w:r>
            <w:r>
              <w:rPr>
                <w:rFonts w:ascii="宋体" w:hAnsi="宋体" w:eastAsia="宋体"/>
                <w:b w:val="0"/>
                <w:i w:val="0"/>
                <w:color w:val="000000"/>
                <w:sz w:val="18"/>
              </w:rPr>
              <w:t xml:space="preserve">营活动） </w:t>
            </w:r>
          </w:p>
        </w:tc>
      </w:tr>
      <w:tr>
        <w:trPr>
          <w:trHeight w:hRule="exact" w:val="562"/>
        </w:trPr>
        <w:tc>
          <w:tcPr>
            <w:tcW w:type="dxa" w:w="2780"/>
            <w:tcBorders>
              <w:start w:sz="1.5999999999999943" w:val="single" w:color="#000000"/>
              <w:top w:sz="2.400000000000091"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236" w:lineRule="exact" w:before="20" w:after="0"/>
              <w:ind w:left="106" w:right="0" w:firstLine="0"/>
              <w:jc w:val="left"/>
            </w:pPr>
            <w:r>
              <w:rPr>
                <w:rFonts w:ascii="宋体" w:hAnsi="宋体" w:eastAsia="宋体"/>
                <w:b w:val="0"/>
                <w:i w:val="0"/>
                <w:color w:val="000000"/>
                <w:sz w:val="18"/>
              </w:rPr>
              <w:t>控股股东报告期内控股和参股的</w:t>
            </w:r>
            <w:r>
              <w:rPr>
                <w:rFonts w:ascii="宋体" w:hAnsi="宋体" w:eastAsia="宋体"/>
                <w:b w:val="0"/>
                <w:i w:val="0"/>
                <w:color w:val="000000"/>
                <w:sz w:val="18"/>
              </w:rPr>
              <w:t xml:space="preserve">其他境内外上市公司的股权情况 </w:t>
            </w:r>
          </w:p>
        </w:tc>
        <w:tc>
          <w:tcPr>
            <w:tcW w:type="dxa" w:w="7994"/>
            <w:gridSpan w:val="4"/>
            <w:tcBorders>
              <w:start w:sz="1.6000000000001364" w:val="single" w:color="#000000"/>
              <w:top w:sz="2.400000000000091"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96" w:after="0"/>
              <w:ind w:left="110" w:right="0" w:firstLine="0"/>
              <w:jc w:val="left"/>
            </w:pPr>
            <w:r>
              <w:rPr>
                <w:rFonts w:ascii="宋体" w:hAnsi="宋体" w:eastAsia="宋体"/>
                <w:b w:val="0"/>
                <w:i w:val="0"/>
                <w:color w:val="000000"/>
                <w:sz w:val="18"/>
              </w:rPr>
              <w:t xml:space="preserve">无 </w:t>
            </w:r>
          </w:p>
        </w:tc>
      </w:tr>
      <w:tr>
        <w:trPr>
          <w:trHeight w:hRule="exact" w:val="510"/>
        </w:trPr>
        <w:tc>
          <w:tcPr>
            <w:tcW w:type="dxa" w:w="2780"/>
            <w:tcBorders>
              <w:start w:sz="1.5999999999999943" w:val="single" w:color="#000000"/>
              <w:top w:sz="2.400000000000091" w:val="single" w:color="#000000"/>
              <w:end w:sz="1.6000000000001364" w:val="single" w:color="#000000"/>
              <w:bottom w:sz="1.599999999999909" w:val="single" w:color="#000000"/>
            </w:tcBorders>
            <w:shd w:fill="d2d2d2"/>
            <w:tcMar>
              <w:start w:w="0" w:type="dxa"/>
              <w:end w:w="0" w:type="dxa"/>
            </w:tcMar>
          </w:tcPr>
          <w:p>
            <w:pPr>
              <w:autoSpaceDN w:val="0"/>
              <w:autoSpaceDE w:val="0"/>
              <w:widowControl/>
              <w:spacing w:line="180" w:lineRule="exact" w:before="170" w:after="0"/>
              <w:ind w:left="106" w:right="0" w:firstLine="0"/>
              <w:jc w:val="left"/>
            </w:pPr>
            <w:r>
              <w:rPr>
                <w:rFonts w:ascii="宋体" w:hAnsi="宋体" w:eastAsia="宋体"/>
                <w:b w:val="0"/>
                <w:i w:val="0"/>
                <w:color w:val="000000"/>
                <w:sz w:val="18"/>
              </w:rPr>
              <w:t xml:space="preserve">控股股东性质 </w:t>
            </w:r>
          </w:p>
        </w:tc>
        <w:tc>
          <w:tcPr>
            <w:tcW w:type="dxa" w:w="7994"/>
            <w:gridSpan w:val="4"/>
            <w:tcBorders>
              <w:start w:sz="1.6000000000001364" w:val="single" w:color="#000000"/>
              <w:top w:sz="2.400000000000091" w:val="single" w:color="#000000"/>
              <w:end w:sz="1.6000000000003638"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70" w:after="0"/>
              <w:ind w:left="110" w:right="0" w:firstLine="0"/>
              <w:jc w:val="left"/>
            </w:pPr>
            <w:r>
              <w:rPr>
                <w:rFonts w:ascii="宋体" w:hAnsi="宋体" w:eastAsia="宋体"/>
                <w:b w:val="0"/>
                <w:i w:val="0"/>
                <w:color w:val="000000"/>
                <w:sz w:val="18"/>
              </w:rPr>
              <w:t xml:space="preserve">地方国有控股 </w:t>
            </w:r>
          </w:p>
        </w:tc>
      </w:tr>
      <w:tr>
        <w:trPr>
          <w:trHeight w:hRule="exact" w:val="510"/>
        </w:trPr>
        <w:tc>
          <w:tcPr>
            <w:tcW w:type="dxa" w:w="2780"/>
            <w:tcBorders>
              <w:start w:sz="1.5999999999999943" w:val="single" w:color="#000000"/>
              <w:top w:sz="1.599999999999909" w:val="single" w:color="#000000"/>
              <w:end w:sz="1.6000000000001364" w:val="single" w:color="#000000"/>
              <w:bottom w:sz="2.400000000000091" w:val="single" w:color="#000000"/>
            </w:tcBorders>
            <w:shd w:fill="d2d2d2"/>
            <w:tcMar>
              <w:start w:w="0" w:type="dxa"/>
              <w:end w:w="0" w:type="dxa"/>
            </w:tcMar>
          </w:tcPr>
          <w:p>
            <w:pPr>
              <w:autoSpaceDN w:val="0"/>
              <w:autoSpaceDE w:val="0"/>
              <w:widowControl/>
              <w:spacing w:line="180" w:lineRule="exact" w:before="170" w:after="0"/>
              <w:ind w:left="106" w:right="0" w:firstLine="0"/>
              <w:jc w:val="left"/>
            </w:pPr>
            <w:r>
              <w:rPr>
                <w:rFonts w:ascii="宋体" w:hAnsi="宋体" w:eastAsia="宋体"/>
                <w:b w:val="0"/>
                <w:i w:val="0"/>
                <w:color w:val="000000"/>
                <w:sz w:val="18"/>
              </w:rPr>
              <w:t xml:space="preserve">控股股东类型 </w:t>
            </w:r>
          </w:p>
        </w:tc>
        <w:tc>
          <w:tcPr>
            <w:tcW w:type="dxa" w:w="7994"/>
            <w:gridSpan w:val="4"/>
            <w:tcBorders>
              <w:start w:sz="1.6000000000001364" w:val="single" w:color="#000000"/>
              <w:top w:sz="1.599999999999909" w:val="single" w:color="#000000"/>
              <w:end w:sz="1.6000000000003638"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70" w:after="0"/>
              <w:ind w:left="110" w:right="0" w:firstLine="0"/>
              <w:jc w:val="left"/>
            </w:pPr>
            <w:r>
              <w:rPr>
                <w:rFonts w:ascii="宋体" w:hAnsi="宋体" w:eastAsia="宋体"/>
                <w:b w:val="0"/>
                <w:i w:val="0"/>
                <w:color w:val="000000"/>
                <w:sz w:val="18"/>
              </w:rPr>
              <w:t xml:space="preserve">有限责任公司 </w:t>
            </w:r>
          </w:p>
        </w:tc>
      </w:tr>
    </w:tbl>
    <w:p>
      <w:pPr>
        <w:autoSpaceDN w:val="0"/>
        <w:autoSpaceDE w:val="0"/>
        <w:widowControl/>
        <w:spacing w:line="332" w:lineRule="exact" w:before="0" w:after="0"/>
        <w:ind w:left="570" w:right="7344" w:firstLine="0"/>
        <w:jc w:val="left"/>
      </w:pPr>
      <w:r>
        <w:rPr>
          <w:rFonts w:ascii="宋体" w:hAnsi="宋体" w:eastAsia="宋体"/>
          <w:b w:val="0"/>
          <w:i w:val="0"/>
          <w:color w:val="000000"/>
          <w:sz w:val="18"/>
        </w:rPr>
        <w:t xml:space="preserve">控股股东报告期内变更 </w:t>
      </w:r>
      <w:r>
        <w:br/>
      </w:r>
      <w:r>
        <w:rPr>
          <w:rFonts w:ascii="宋体" w:hAnsi="宋体" w:eastAsia="宋体"/>
          <w:b w:val="0"/>
          <w:i w:val="0"/>
          <w:color w:val="000000"/>
          <w:sz w:val="18"/>
        </w:rPr>
        <w:t xml:space="preserve">□适用 √不适用 </w:t>
      </w:r>
      <w:r>
        <w:br/>
      </w:r>
      <w:r>
        <w:rPr>
          <w:rFonts w:ascii="宋体" w:hAnsi="宋体" w:eastAsia="宋体"/>
          <w:b w:val="0"/>
          <w:i w:val="0"/>
          <w:color w:val="000000"/>
          <w:sz w:val="18"/>
        </w:rPr>
        <w:t xml:space="preserve">公司报告期控股股东未发生变更。 </w:t>
      </w:r>
    </w:p>
    <w:p>
      <w:pPr>
        <w:autoSpaceDN w:val="0"/>
        <w:autoSpaceDE w:val="0"/>
        <w:widowControl/>
        <w:spacing w:line="212" w:lineRule="exact" w:before="370" w:after="322"/>
        <w:ind w:left="570" w:right="0" w:firstLine="0"/>
        <w:jc w:val="left"/>
      </w:pPr>
      <w:r>
        <w:rPr>
          <w:rFonts w:ascii="宋体" w:hAnsi="宋体" w:eastAsia="宋体"/>
          <w:b w:val="0"/>
          <w:i w:val="0"/>
          <w:color w:val="000000"/>
          <w:sz w:val="21"/>
        </w:rPr>
        <w:t xml:space="preserve">4、公司实际控制人及其一致行动人 </w:t>
      </w:r>
    </w:p>
    <w:tbl>
      <w:tblPr>
        <w:tblW w:type="auto" w:w="0"/>
        <w:tblLayout w:type="fixed"/>
        <w:tblLook w:firstColumn="1" w:firstRow="1" w:lastColumn="0" w:lastRow="0" w:noHBand="0" w:noVBand="1" w:val="04A0"/>
        <w:tblInd w:w="33.999999999999986" w:type="dxa"/>
      </w:tblPr>
      <w:tblGrid>
        <w:gridCol w:w="5399"/>
        <w:gridCol w:w="5399"/>
      </w:tblGrid>
      <w:tr>
        <w:trPr>
          <w:trHeight w:hRule="exact" w:val="454"/>
        </w:trPr>
        <w:tc>
          <w:tcPr>
            <w:tcW w:type="dxa" w:w="291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28" w:after="0"/>
              <w:ind w:left="0" w:right="0" w:firstLine="0"/>
              <w:jc w:val="center"/>
            </w:pPr>
            <w:r>
              <w:rPr>
                <w:rFonts w:ascii="宋体" w:hAnsi="宋体" w:eastAsia="宋体"/>
                <w:b w:val="0"/>
                <w:i w:val="0"/>
                <w:color w:val="000000"/>
                <w:sz w:val="18"/>
              </w:rPr>
              <w:t>实际控制人名称</w:t>
            </w:r>
          </w:p>
        </w:tc>
        <w:tc>
          <w:tcPr>
            <w:tcW w:type="dxa" w:w="77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24" w:right="0" w:firstLine="0"/>
              <w:jc w:val="left"/>
            </w:pPr>
            <w:r>
              <w:rPr>
                <w:rFonts w:ascii="宋体" w:hAnsi="宋体" w:eastAsia="宋体"/>
                <w:b w:val="0"/>
                <w:i w:val="0"/>
                <w:color w:val="000000"/>
                <w:sz w:val="18"/>
              </w:rPr>
              <w:t>山西省财政厅</w:t>
            </w:r>
          </w:p>
        </w:tc>
      </w:tr>
      <w:tr>
        <w:trPr>
          <w:trHeight w:hRule="exact" w:val="456"/>
        </w:trPr>
        <w:tc>
          <w:tcPr>
            <w:tcW w:type="dxa" w:w="291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28" w:after="0"/>
              <w:ind w:left="0" w:right="912" w:firstLine="0"/>
              <w:jc w:val="right"/>
            </w:pPr>
            <w:r>
              <w:rPr>
                <w:rFonts w:ascii="宋体" w:hAnsi="宋体" w:eastAsia="宋体"/>
                <w:b w:val="0"/>
                <w:i w:val="0"/>
                <w:color w:val="000000"/>
                <w:sz w:val="18"/>
              </w:rPr>
              <w:t xml:space="preserve">单位负责人 </w:t>
            </w:r>
          </w:p>
        </w:tc>
        <w:tc>
          <w:tcPr>
            <w:tcW w:type="dxa" w:w="77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24" w:right="0" w:firstLine="0"/>
              <w:jc w:val="left"/>
            </w:pPr>
            <w:r>
              <w:rPr>
                <w:rFonts w:ascii="宋体" w:hAnsi="宋体" w:eastAsia="宋体"/>
                <w:b w:val="0"/>
                <w:i w:val="0"/>
                <w:color w:val="000000"/>
                <w:sz w:val="18"/>
              </w:rPr>
              <w:t xml:space="preserve">常国华 </w:t>
            </w:r>
          </w:p>
        </w:tc>
      </w:tr>
      <w:tr>
        <w:trPr>
          <w:trHeight w:hRule="exact" w:val="452"/>
        </w:trPr>
        <w:tc>
          <w:tcPr>
            <w:tcW w:type="dxa" w:w="291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28" w:after="0"/>
              <w:ind w:left="0" w:right="1002" w:firstLine="0"/>
              <w:jc w:val="right"/>
            </w:pPr>
            <w:r>
              <w:rPr>
                <w:rFonts w:ascii="宋体" w:hAnsi="宋体" w:eastAsia="宋体"/>
                <w:b w:val="0"/>
                <w:i w:val="0"/>
                <w:color w:val="000000"/>
                <w:sz w:val="18"/>
              </w:rPr>
              <w:t xml:space="preserve">成立日期 </w:t>
            </w:r>
          </w:p>
        </w:tc>
        <w:tc>
          <w:tcPr>
            <w:tcW w:type="dxa" w:w="77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28" w:after="0"/>
              <w:ind w:left="24" w:right="0" w:firstLine="0"/>
              <w:jc w:val="left"/>
            </w:pPr>
            <w:r>
              <w:rPr>
                <w:rFonts w:ascii="宋体" w:hAnsi="宋体" w:eastAsia="宋体"/>
                <w:b w:val="0"/>
                <w:i w:val="0"/>
                <w:color w:val="000000"/>
                <w:sz w:val="18"/>
              </w:rPr>
              <w:t xml:space="preserve">- </w:t>
            </w:r>
          </w:p>
        </w:tc>
      </w:tr>
      <w:tr>
        <w:trPr>
          <w:trHeight w:hRule="exact" w:val="454"/>
        </w:trPr>
        <w:tc>
          <w:tcPr>
            <w:tcW w:type="dxa" w:w="2918"/>
            <w:tcBorders>
              <w:start w:sz="4.0" w:val="single" w:color="#000000"/>
              <w:top w:sz="4.0" w:val="single" w:color="#000000"/>
              <w:end w:sz="4.0" w:val="single" w:color="#000000"/>
              <w:bottom w:sz="3.199999999999818" w:val="single" w:color="#000000"/>
            </w:tcBorders>
            <w:shd w:fill="d8d9d8"/>
            <w:tcMar>
              <w:start w:w="0" w:type="dxa"/>
              <w:end w:w="0" w:type="dxa"/>
            </w:tcMar>
          </w:tcPr>
          <w:p>
            <w:pPr>
              <w:autoSpaceDN w:val="0"/>
              <w:autoSpaceDE w:val="0"/>
              <w:widowControl/>
              <w:spacing w:line="180" w:lineRule="exact" w:before="130" w:after="0"/>
              <w:ind w:left="0" w:right="820" w:firstLine="0"/>
              <w:jc w:val="right"/>
            </w:pPr>
            <w:r>
              <w:rPr>
                <w:rFonts w:ascii="宋体" w:hAnsi="宋体" w:eastAsia="宋体"/>
                <w:b w:val="0"/>
                <w:i w:val="0"/>
                <w:color w:val="000000"/>
                <w:sz w:val="18"/>
              </w:rPr>
              <w:t xml:space="preserve">组织机构代码 </w:t>
            </w:r>
          </w:p>
        </w:tc>
        <w:tc>
          <w:tcPr>
            <w:tcW w:type="dxa" w:w="77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0" w:lineRule="exact" w:before="130" w:after="0"/>
              <w:ind w:left="24" w:right="0" w:firstLine="0"/>
              <w:jc w:val="left"/>
            </w:pPr>
            <w:r>
              <w:rPr>
                <w:rFonts w:ascii="宋体" w:hAnsi="宋体" w:eastAsia="宋体"/>
                <w:b w:val="0"/>
                <w:i w:val="0"/>
                <w:color w:val="000000"/>
                <w:sz w:val="18"/>
              </w:rPr>
              <w:t xml:space="preserve">11140000012150153Y </w:t>
            </w:r>
          </w:p>
        </w:tc>
      </w:tr>
      <w:tr>
        <w:trPr>
          <w:trHeight w:hRule="exact" w:val="682"/>
        </w:trPr>
        <w:tc>
          <w:tcPr>
            <w:tcW w:type="dxa" w:w="2918"/>
            <w:tcBorders>
              <w:start w:sz="4.0" w:val="single" w:color="#000000"/>
              <w:top w:sz="3.199999999999818" w:val="single" w:color="#000000"/>
              <w:end w:sz="4.0" w:val="single" w:color="#000000"/>
              <w:bottom w:sz="3.199999999999818" w:val="single" w:color="#000000"/>
            </w:tcBorders>
            <w:shd w:fill="d8d9d8"/>
            <w:tcMar>
              <w:start w:w="0" w:type="dxa"/>
              <w:end w:w="0" w:type="dxa"/>
            </w:tcMar>
          </w:tcPr>
          <w:p>
            <w:pPr>
              <w:autoSpaceDN w:val="0"/>
              <w:autoSpaceDE w:val="0"/>
              <w:widowControl/>
              <w:spacing w:line="180" w:lineRule="exact" w:before="274" w:after="0"/>
              <w:ind w:left="0" w:right="0" w:firstLine="0"/>
              <w:jc w:val="center"/>
            </w:pPr>
            <w:r>
              <w:rPr>
                <w:rFonts w:ascii="宋体" w:hAnsi="宋体" w:eastAsia="宋体"/>
                <w:b w:val="0"/>
                <w:i w:val="0"/>
                <w:color w:val="000000"/>
                <w:sz w:val="18"/>
              </w:rPr>
              <w:t>主要经营业务</w:t>
            </w:r>
          </w:p>
        </w:tc>
        <w:tc>
          <w:tcPr>
            <w:tcW w:type="dxa" w:w="7792"/>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300" w:lineRule="exact" w:before="2" w:after="0"/>
              <w:ind w:left="24" w:right="144" w:firstLine="0"/>
              <w:jc w:val="left"/>
            </w:pPr>
            <w:r>
              <w:rPr>
                <w:rFonts w:ascii="宋体" w:hAnsi="宋体" w:eastAsia="宋体"/>
                <w:b w:val="0"/>
                <w:i w:val="0"/>
                <w:color w:val="000000"/>
                <w:sz w:val="18"/>
              </w:rPr>
              <w:t>山西省财政厅对山西金控履行出资人职责，是公司的实际控制人。山西省财政厅为机关法人，办</w:t>
            </w:r>
            <w:r>
              <w:rPr>
                <w:rFonts w:ascii="宋体" w:hAnsi="宋体" w:eastAsia="宋体"/>
                <w:b w:val="0"/>
                <w:i w:val="0"/>
                <w:color w:val="000000"/>
                <w:sz w:val="18"/>
              </w:rPr>
              <w:t>公地址在太原市小店区学府街41 号</w:t>
            </w:r>
          </w:p>
        </w:tc>
      </w:tr>
      <w:tr>
        <w:trPr>
          <w:trHeight w:hRule="exact" w:val="462"/>
        </w:trPr>
        <w:tc>
          <w:tcPr>
            <w:tcW w:type="dxa" w:w="2918"/>
            <w:tcBorders>
              <w:start w:sz="4.0" w:val="single" w:color="#000000"/>
              <w:top w:sz="3.199999999999818"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34" w:after="0"/>
              <w:ind w:left="0" w:right="732" w:firstLine="0"/>
              <w:jc w:val="right"/>
            </w:pPr>
            <w:r>
              <w:rPr>
                <w:rFonts w:ascii="宋体" w:hAnsi="宋体" w:eastAsia="宋体"/>
                <w:b w:val="0"/>
                <w:i w:val="0"/>
                <w:color w:val="000000"/>
                <w:sz w:val="18"/>
              </w:rPr>
              <w:t xml:space="preserve">实际控制人性质 </w:t>
            </w:r>
          </w:p>
        </w:tc>
        <w:tc>
          <w:tcPr>
            <w:tcW w:type="dxa" w:w="7792"/>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24" w:right="0" w:firstLine="0"/>
              <w:jc w:val="left"/>
            </w:pPr>
            <w:r>
              <w:rPr>
                <w:rFonts w:ascii="宋体" w:hAnsi="宋体" w:eastAsia="宋体"/>
                <w:b w:val="0"/>
                <w:i w:val="0"/>
                <w:color w:val="000000"/>
                <w:sz w:val="18"/>
              </w:rPr>
              <w:t xml:space="preserve">地方财政厅 </w:t>
            </w:r>
          </w:p>
        </w:tc>
      </w:tr>
      <w:tr>
        <w:trPr>
          <w:trHeight w:hRule="exact" w:val="468"/>
        </w:trPr>
        <w:tc>
          <w:tcPr>
            <w:tcW w:type="dxa" w:w="2918"/>
            <w:tcBorders>
              <w:start w:sz="4.0" w:val="single" w:color="#000000"/>
              <w:top w:sz="4.0" w:val="single" w:color="#000000"/>
              <w:end w:sz="4.0" w:val="single" w:color="#000000"/>
              <w:bottom w:sz="4.0" w:val="single" w:color="#000000"/>
            </w:tcBorders>
            <w:shd w:fill="d8d9d8"/>
            <w:tcMar>
              <w:start w:w="0" w:type="dxa"/>
              <w:end w:w="0" w:type="dxa"/>
            </w:tcMar>
          </w:tcPr>
          <w:p>
            <w:pPr>
              <w:autoSpaceDN w:val="0"/>
              <w:autoSpaceDE w:val="0"/>
              <w:widowControl/>
              <w:spacing w:line="180" w:lineRule="exact" w:before="134" w:after="0"/>
              <w:ind w:left="0" w:right="732" w:firstLine="0"/>
              <w:jc w:val="right"/>
            </w:pPr>
            <w:r>
              <w:rPr>
                <w:rFonts w:ascii="宋体" w:hAnsi="宋体" w:eastAsia="宋体"/>
                <w:b w:val="0"/>
                <w:i w:val="0"/>
                <w:color w:val="000000"/>
                <w:sz w:val="18"/>
              </w:rPr>
              <w:t xml:space="preserve">实际控制人类型 </w:t>
            </w:r>
          </w:p>
        </w:tc>
        <w:tc>
          <w:tcPr>
            <w:tcW w:type="dxa" w:w="77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0" w:lineRule="exact" w:before="134" w:after="0"/>
              <w:ind w:left="24" w:right="0" w:firstLine="0"/>
              <w:jc w:val="left"/>
            </w:pPr>
            <w:r>
              <w:rPr>
                <w:rFonts w:ascii="宋体" w:hAnsi="宋体" w:eastAsia="宋体"/>
                <w:b w:val="0"/>
                <w:i w:val="0"/>
                <w:color w:val="000000"/>
                <w:sz w:val="18"/>
              </w:rPr>
              <w:t xml:space="preserve">机关法人 </w:t>
            </w:r>
          </w:p>
        </w:tc>
      </w:tr>
    </w:tbl>
    <w:p>
      <w:pPr>
        <w:autoSpaceDN w:val="0"/>
        <w:autoSpaceDE w:val="0"/>
        <w:widowControl/>
        <w:spacing w:line="197" w:lineRule="auto" w:before="448" w:after="0"/>
        <w:ind w:left="0" w:right="0" w:firstLine="0"/>
        <w:jc w:val="center"/>
      </w:pPr>
      <w:r>
        <w:rPr>
          <w:rFonts w:ascii="Calibri" w:hAnsi="Calibri" w:eastAsia="Calibri"/>
          <w:b w:val="0"/>
          <w:i w:val="0"/>
          <w:color w:val="000000"/>
          <w:sz w:val="18"/>
        </w:rPr>
        <w:t xml:space="preserve">130 </w:t>
      </w:r>
    </w:p>
    <w:p>
      <w:pPr>
        <w:sectPr>
          <w:type w:val="continuous"/>
          <w:pgSz w:w="11904" w:h="16841"/>
          <w:pgMar w:top="424" w:right="542" w:bottom="446" w:left="564" w:header="720" w:footer="720" w:gutter="0"/>
          <w:cols/>
          <w:docGrid w:linePitch="360"/>
        </w:sectPr>
      </w:pPr>
    </w:p>
    <w:p>
      <w:pPr>
        <w:autoSpaceDN w:val="0"/>
        <w:autoSpaceDE w:val="0"/>
        <w:widowControl/>
        <w:spacing w:line="220" w:lineRule="exact" w:before="0" w:after="206"/>
        <w:ind w:left="0" w:right="0"/>
      </w:pPr>
    </w:p>
    <w:p>
      <w:pPr>
        <w:sectPr>
          <w:pgSz w:w="11904" w:h="16841"/>
          <w:pgMar w:top="424" w:right="572" w:bottom="446" w:left="592" w:header="720" w:footer="720" w:gutter="0"/>
          <w:cols/>
          <w:docGrid w:linePitch="360"/>
        </w:sectPr>
      </w:pPr>
    </w:p>
    <w:p>
      <w:pPr>
        <w:autoSpaceDN w:val="0"/>
        <w:autoSpaceDE w:val="0"/>
        <w:widowControl/>
        <w:spacing w:line="240" w:lineRule="auto" w:before="0" w:after="0"/>
        <w:ind w:left="542" w:right="0" w:firstLine="0"/>
        <w:jc w:val="left"/>
      </w:pPr>
      <w:r>
        <w:drawing>
          <wp:inline xmlns:a="http://schemas.openxmlformats.org/drawingml/2006/main" xmlns:pic="http://schemas.openxmlformats.org/drawingml/2006/picture">
            <wp:extent cx="1844039" cy="439419"/>
            <wp:docPr id="133" name="Picture 13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572" w:bottom="446" w:left="592" w:header="720" w:footer="720" w:gutter="0"/>
          <w:cols w:num="2" w:equalWidth="0">
            <w:col w:w="5948" w:space="0"/>
            <w:col w:w="4792" w:space="0"/>
          </w:cols>
          <w:docGrid w:linePitch="360"/>
        </w:sectPr>
      </w:pPr>
    </w:p>
    <w:p>
      <w:pPr>
        <w:autoSpaceDN w:val="0"/>
        <w:autoSpaceDE w:val="0"/>
        <w:widowControl/>
        <w:spacing w:line="200" w:lineRule="exact" w:before="0" w:after="30"/>
        <w:ind w:left="0" w:right="576"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572" w:bottom="446" w:left="592" w:header="720" w:footer="720" w:gutter="0"/>
          <w:cols w:num="2" w:equalWidth="0">
            <w:col w:w="5948" w:space="0"/>
            <w:col w:w="4792" w:space="0"/>
          </w:cols>
          <w:docGrid w:linePitch="360"/>
        </w:sectPr>
      </w:pPr>
    </w:p>
    <w:tbl>
      <w:tblPr>
        <w:tblW w:type="auto" w:w="0"/>
        <w:tblLayout w:type="fixed"/>
        <w:tblLook w:firstColumn="1" w:firstRow="1" w:lastColumn="0" w:lastRow="0" w:noHBand="0" w:noVBand="1" w:val="04A0"/>
        <w:tblInd w:w="5.999999999999943" w:type="dxa"/>
      </w:tblPr>
      <w:tblGrid>
        <w:gridCol w:w="5370"/>
        <w:gridCol w:w="5370"/>
      </w:tblGrid>
      <w:tr>
        <w:trPr>
          <w:trHeight w:hRule="exact" w:val="681"/>
        </w:trPr>
        <w:tc>
          <w:tcPr>
            <w:tcW w:type="dxa" w:w="2918"/>
            <w:tcBorders>
              <w:start w:sz="4.0" w:val="single" w:color="#000000"/>
              <w:top w:sz="4.0" w:val="single" w:color="#000000"/>
              <w:end w:sz="4.0" w:val="single" w:color="#000000"/>
              <w:bottom w:sz="3.2000000000000455" w:val="single" w:color="#000000"/>
            </w:tcBorders>
            <w:shd w:fill="d8d9d8"/>
            <w:tcMar>
              <w:start w:w="0" w:type="dxa"/>
              <w:end w:w="0" w:type="dxa"/>
            </w:tcMar>
          </w:tcPr>
          <w:p>
            <w:pPr>
              <w:autoSpaceDN w:val="0"/>
              <w:tabs>
                <w:tab w:pos="464" w:val="left"/>
              </w:tabs>
              <w:autoSpaceDE w:val="0"/>
              <w:widowControl/>
              <w:spacing w:line="300" w:lineRule="exact" w:before="0" w:after="0"/>
              <w:ind w:left="102" w:right="0" w:firstLine="0"/>
              <w:jc w:val="left"/>
            </w:pPr>
            <w:r>
              <w:rPr>
                <w:rFonts w:ascii="宋体" w:hAnsi="宋体" w:eastAsia="宋体"/>
                <w:b w:val="0"/>
                <w:i w:val="0"/>
                <w:color w:val="000000"/>
                <w:sz w:val="18"/>
              </w:rPr>
              <w:t>实际控制人报告期内控制的其他境</w:t>
            </w:r>
            <w:r>
              <w:rPr>
                <w:rFonts w:ascii="宋体" w:hAnsi="宋体" w:eastAsia="宋体"/>
                <w:b w:val="0"/>
                <w:i w:val="0"/>
                <w:color w:val="000000"/>
                <w:sz w:val="18"/>
              </w:rPr>
              <w:t xml:space="preserve">内外上市公司的股权情况 </w:t>
            </w:r>
          </w:p>
        </w:tc>
        <w:tc>
          <w:tcPr>
            <w:tcW w:type="dxa" w:w="7792"/>
            <w:tcBorders>
              <w:start w:sz="4.0" w:val="single" w:color="#000000"/>
              <w:top w:sz="5.600000000000023" w:val="single" w:color="#000000"/>
              <w:end w:sz="4.0" w:val="single" w:color="#000000"/>
              <w:bottom w:sz="3.2000000000000455" w:val="single" w:color="#000000"/>
            </w:tcBorders>
            <w:tcMar>
              <w:start w:w="0" w:type="dxa"/>
              <w:end w:w="0" w:type="dxa"/>
            </w:tcMar>
          </w:tcPr>
          <w:p>
            <w:pPr>
              <w:autoSpaceDN w:val="0"/>
              <w:autoSpaceDE w:val="0"/>
              <w:widowControl/>
              <w:spacing w:line="300" w:lineRule="exact" w:before="0" w:after="0"/>
              <w:ind w:left="24" w:right="144" w:firstLine="0"/>
              <w:jc w:val="left"/>
            </w:pPr>
            <w:r>
              <w:rPr>
                <w:rFonts w:ascii="宋体" w:hAnsi="宋体" w:eastAsia="宋体"/>
                <w:b w:val="0"/>
                <w:i w:val="0"/>
                <w:color w:val="000000"/>
                <w:sz w:val="18"/>
              </w:rPr>
              <w:t>截至报告期末，山西省财政厅持有晋商银行股份有限公司（股份代号：2558）715,109,200 股股</w:t>
            </w:r>
            <w:r>
              <w:rPr>
                <w:rFonts w:ascii="宋体" w:hAnsi="宋体" w:eastAsia="宋体"/>
                <w:b w:val="0"/>
                <w:i w:val="0"/>
                <w:color w:val="000000"/>
                <w:sz w:val="18"/>
              </w:rPr>
              <w:t xml:space="preserve">份，持股比例12.25%。 </w:t>
            </w:r>
          </w:p>
        </w:tc>
      </w:tr>
    </w:tbl>
    <w:p>
      <w:pPr>
        <w:autoSpaceDN w:val="0"/>
        <w:autoSpaceDE w:val="0"/>
        <w:widowControl/>
        <w:spacing w:line="180" w:lineRule="exact" w:before="478" w:after="0"/>
        <w:ind w:left="542" w:right="0" w:firstLine="0"/>
        <w:jc w:val="left"/>
      </w:pPr>
      <w:r>
        <w:rPr>
          <w:rFonts w:ascii="宋体" w:hAnsi="宋体" w:eastAsia="宋体"/>
          <w:b w:val="0"/>
          <w:i w:val="0"/>
          <w:color w:val="000000"/>
          <w:sz w:val="18"/>
        </w:rPr>
        <w:t xml:space="preserve">实际控制人报告期内变更 </w:t>
      </w:r>
    </w:p>
    <w:p>
      <w:pPr>
        <w:autoSpaceDN w:val="0"/>
        <w:autoSpaceDE w:val="0"/>
        <w:widowControl/>
        <w:spacing w:line="180" w:lineRule="exact" w:before="158" w:after="0"/>
        <w:ind w:left="542"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60" w:after="0"/>
        <w:ind w:left="542" w:right="0" w:firstLine="0"/>
        <w:jc w:val="left"/>
      </w:pPr>
      <w:r>
        <w:rPr>
          <w:rFonts w:ascii="宋体" w:hAnsi="宋体" w:eastAsia="宋体"/>
          <w:b w:val="0"/>
          <w:i w:val="0"/>
          <w:color w:val="000000"/>
          <w:sz w:val="18"/>
        </w:rPr>
        <w:t xml:space="preserve">公司报告期实际控制人未发生变更。 </w:t>
      </w:r>
    </w:p>
    <w:p>
      <w:pPr>
        <w:autoSpaceDN w:val="0"/>
        <w:autoSpaceDE w:val="0"/>
        <w:widowControl/>
        <w:spacing w:line="180" w:lineRule="exact" w:before="500" w:after="0"/>
        <w:ind w:left="542" w:right="0" w:firstLine="0"/>
        <w:jc w:val="left"/>
      </w:pPr>
      <w:r>
        <w:rPr>
          <w:rFonts w:ascii="宋体" w:hAnsi="宋体" w:eastAsia="宋体"/>
          <w:b w:val="0"/>
          <w:i w:val="0"/>
          <w:color w:val="000000"/>
          <w:sz w:val="18"/>
        </w:rPr>
        <w:t xml:space="preserve">公司与实际控制人之间的产权及控制关系的方框图 </w:t>
      </w:r>
    </w:p>
    <w:p>
      <w:pPr>
        <w:autoSpaceDN w:val="0"/>
        <w:autoSpaceDE w:val="0"/>
        <w:widowControl/>
        <w:spacing w:line="240" w:lineRule="auto" w:before="596" w:after="0"/>
        <w:ind w:left="552" w:right="0" w:firstLine="0"/>
        <w:jc w:val="left"/>
      </w:pPr>
      <w:r>
        <w:drawing>
          <wp:inline xmlns:a="http://schemas.openxmlformats.org/drawingml/2006/main" xmlns:pic="http://schemas.openxmlformats.org/drawingml/2006/picture">
            <wp:extent cx="5382260" cy="3601720"/>
            <wp:docPr id="134" name="Picture 134"/>
            <wp:cNvGraphicFramePr>
              <a:graphicFrameLocks noChangeAspect="1"/>
            </wp:cNvGraphicFramePr>
            <a:graphic>
              <a:graphicData uri="http://schemas.openxmlformats.org/drawingml/2006/picture">
                <pic:pic>
                  <pic:nvPicPr>
                    <pic:cNvPr id="0" name="image.png"/>
                    <pic:cNvPicPr/>
                  </pic:nvPicPr>
                  <pic:blipFill>
                    <a:blip r:embed="rId130"/>
                    <a:stretch>
                      <a:fillRect/>
                    </a:stretch>
                  </pic:blipFill>
                  <pic:spPr>
                    <a:xfrm>
                      <a:off x="0" y="0"/>
                      <a:ext cx="5382260" cy="3601720"/>
                    </a:xfrm>
                    <a:prstGeom prst="rect"/>
                  </pic:spPr>
                </pic:pic>
              </a:graphicData>
            </a:graphic>
          </wp:inline>
        </w:drawing>
      </w:r>
    </w:p>
    <w:p>
      <w:pPr>
        <w:autoSpaceDN w:val="0"/>
        <w:autoSpaceDE w:val="0"/>
        <w:widowControl/>
        <w:spacing w:line="180" w:lineRule="exact" w:before="696" w:after="0"/>
        <w:ind w:left="542" w:right="0" w:firstLine="0"/>
        <w:jc w:val="left"/>
      </w:pPr>
      <w:r>
        <w:rPr>
          <w:rFonts w:ascii="宋体" w:hAnsi="宋体" w:eastAsia="宋体"/>
          <w:b w:val="0"/>
          <w:i w:val="0"/>
          <w:color w:val="000000"/>
          <w:sz w:val="18"/>
        </w:rPr>
        <w:t xml:space="preserve">实际控制人通过信托或其他资产管理方式控制公司 </w:t>
      </w:r>
    </w:p>
    <w:p>
      <w:pPr>
        <w:autoSpaceDN w:val="0"/>
        <w:autoSpaceDE w:val="0"/>
        <w:widowControl/>
        <w:spacing w:line="180" w:lineRule="exact" w:before="160" w:after="0"/>
        <w:ind w:left="54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542" w:right="0" w:firstLine="0"/>
        <w:jc w:val="left"/>
      </w:pPr>
      <w:r>
        <w:rPr>
          <w:rFonts w:ascii="宋体" w:hAnsi="宋体" w:eastAsia="宋体"/>
          <w:b w:val="0"/>
          <w:i w:val="0"/>
          <w:color w:val="000000"/>
          <w:sz w:val="21"/>
        </w:rPr>
        <w:t xml:space="preserve">5、公司控股股东或第一大股东及其一致行动人累计质押股份数量占其所持公司股份数量比例达到80% </w:t>
      </w:r>
    </w:p>
    <w:p>
      <w:pPr>
        <w:autoSpaceDN w:val="0"/>
        <w:autoSpaceDE w:val="0"/>
        <w:widowControl/>
        <w:spacing w:line="180" w:lineRule="exact" w:before="360" w:after="0"/>
        <w:ind w:left="542"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70" w:after="0"/>
        <w:ind w:left="542" w:right="0" w:firstLine="0"/>
        <w:jc w:val="left"/>
      </w:pPr>
      <w:r>
        <w:rPr>
          <w:rFonts w:ascii="宋体" w:hAnsi="宋体" w:eastAsia="宋体"/>
          <w:b w:val="0"/>
          <w:i w:val="0"/>
          <w:color w:val="000000"/>
          <w:sz w:val="21"/>
        </w:rPr>
        <w:t xml:space="preserve">6、其他持股在10%以上的法人股东 </w:t>
      </w:r>
    </w:p>
    <w:p>
      <w:pPr>
        <w:autoSpaceDN w:val="0"/>
        <w:autoSpaceDE w:val="0"/>
        <w:widowControl/>
        <w:spacing w:line="180" w:lineRule="exact" w:before="360" w:after="0"/>
        <w:ind w:left="542"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70" w:after="0"/>
        <w:ind w:left="542" w:right="0" w:firstLine="0"/>
        <w:jc w:val="left"/>
      </w:pPr>
      <w:r>
        <w:rPr>
          <w:rFonts w:ascii="宋体" w:hAnsi="宋体" w:eastAsia="宋体"/>
          <w:b w:val="0"/>
          <w:i w:val="0"/>
          <w:color w:val="000000"/>
          <w:sz w:val="21"/>
        </w:rPr>
        <w:t xml:space="preserve">7、控股股东、实际控制人、重组方及其他承诺主体股份限制减持情况 </w:t>
      </w:r>
    </w:p>
    <w:p>
      <w:pPr>
        <w:autoSpaceDN w:val="0"/>
        <w:autoSpaceDE w:val="0"/>
        <w:widowControl/>
        <w:spacing w:line="180" w:lineRule="exact" w:before="360" w:after="0"/>
        <w:ind w:left="542" w:right="0" w:firstLine="0"/>
        <w:jc w:val="left"/>
      </w:pPr>
      <w:r>
        <w:rPr>
          <w:rFonts w:ascii="宋体" w:hAnsi="宋体" w:eastAsia="宋体"/>
          <w:b w:val="0"/>
          <w:i w:val="0"/>
          <w:color w:val="000000"/>
          <w:sz w:val="18"/>
        </w:rPr>
        <w:t xml:space="preserve">□适用 √不适用 </w:t>
      </w:r>
    </w:p>
    <w:p>
      <w:pPr>
        <w:autoSpaceDN w:val="0"/>
        <w:autoSpaceDE w:val="0"/>
        <w:widowControl/>
        <w:spacing w:line="197" w:lineRule="auto" w:before="592" w:after="0"/>
        <w:ind w:left="0" w:right="0" w:firstLine="0"/>
        <w:jc w:val="center"/>
      </w:pPr>
      <w:r>
        <w:rPr>
          <w:rFonts w:ascii="Calibri" w:hAnsi="Calibri" w:eastAsia="Calibri"/>
          <w:b w:val="0"/>
          <w:i w:val="0"/>
          <w:color w:val="000000"/>
          <w:sz w:val="18"/>
        </w:rPr>
        <w:t xml:space="preserve">131 </w:t>
      </w:r>
    </w:p>
    <w:p>
      <w:pPr>
        <w:sectPr>
          <w:type w:val="continuous"/>
          <w:pgSz w:w="11904" w:h="16841"/>
          <w:pgMar w:top="424" w:right="572" w:bottom="446" w:left="592"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35" name="Picture 135"/>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40" w:lineRule="exact" w:before="62" w:after="0"/>
        <w:ind w:left="30" w:right="0" w:firstLine="0"/>
        <w:jc w:val="left"/>
      </w:pPr>
      <w:r>
        <w:rPr>
          <w:rFonts w:ascii="宋体" w:hAnsi="宋体" w:eastAsia="宋体"/>
          <w:b w:val="0"/>
          <w:i w:val="0"/>
          <w:color w:val="000000"/>
          <w:sz w:val="24"/>
        </w:rPr>
        <w:t xml:space="preserve">四、股份回购在报告期的具体实施情况 </w:t>
      </w:r>
    </w:p>
    <w:p>
      <w:pPr>
        <w:autoSpaceDN w:val="0"/>
        <w:autoSpaceDE w:val="0"/>
        <w:widowControl/>
        <w:spacing w:line="340" w:lineRule="exact" w:before="206" w:after="0"/>
        <w:ind w:left="30" w:right="7488" w:firstLine="0"/>
        <w:jc w:val="left"/>
      </w:pPr>
      <w:r>
        <w:rPr>
          <w:rFonts w:ascii="宋体" w:hAnsi="宋体" w:eastAsia="宋体"/>
          <w:b w:val="0"/>
          <w:i w:val="0"/>
          <w:color w:val="000000"/>
          <w:sz w:val="18"/>
        </w:rPr>
        <w:t xml:space="preserve">股份回购的实施进展情况 </w:t>
      </w:r>
      <w:r>
        <w:br/>
      </w:r>
      <w:r>
        <w:rPr>
          <w:rFonts w:ascii="宋体" w:hAnsi="宋体" w:eastAsia="宋体"/>
          <w:b w:val="0"/>
          <w:i w:val="0"/>
          <w:color w:val="000000"/>
          <w:sz w:val="18"/>
        </w:rPr>
        <w:t xml:space="preserve">□适用 √不适用 </w:t>
      </w:r>
    </w:p>
    <w:p>
      <w:pPr>
        <w:autoSpaceDN w:val="0"/>
        <w:autoSpaceDE w:val="0"/>
        <w:widowControl/>
        <w:spacing w:line="340" w:lineRule="exact" w:before="340" w:after="0"/>
        <w:ind w:left="30" w:right="5328" w:firstLine="0"/>
        <w:jc w:val="left"/>
      </w:pPr>
      <w:r>
        <w:rPr>
          <w:rFonts w:ascii="宋体" w:hAnsi="宋体" w:eastAsia="宋体"/>
          <w:b w:val="0"/>
          <w:i w:val="0"/>
          <w:color w:val="000000"/>
          <w:sz w:val="18"/>
        </w:rPr>
        <w:t xml:space="preserve">采用集中竞价交易方式减持回购股份的实施进展情况 </w:t>
      </w:r>
      <w:r>
        <w:br/>
      </w:r>
      <w:r>
        <w:rPr>
          <w:rFonts w:ascii="宋体" w:hAnsi="宋体" w:eastAsia="宋体"/>
          <w:b w:val="0"/>
          <w:i w:val="0"/>
          <w:color w:val="000000"/>
          <w:sz w:val="18"/>
        </w:rPr>
        <w:t xml:space="preserve">□适用 √不适用 </w:t>
      </w:r>
    </w:p>
    <w:p>
      <w:pPr>
        <w:autoSpaceDN w:val="0"/>
        <w:autoSpaceDE w:val="0"/>
        <w:widowControl/>
        <w:spacing w:line="197" w:lineRule="auto" w:before="11946" w:after="0"/>
        <w:ind w:left="0" w:right="0" w:firstLine="0"/>
        <w:jc w:val="center"/>
      </w:pPr>
      <w:r>
        <w:rPr>
          <w:rFonts w:ascii="Calibri" w:hAnsi="Calibri" w:eastAsia="Calibri"/>
          <w:b w:val="0"/>
          <w:i w:val="0"/>
          <w:color w:val="000000"/>
          <w:sz w:val="18"/>
        </w:rPr>
        <w:t xml:space="preserve">132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36" name="Picture 136"/>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tabs>
          <w:tab w:pos="3068" w:val="left"/>
        </w:tabs>
        <w:autoSpaceDE w:val="0"/>
        <w:widowControl/>
        <w:spacing w:line="654" w:lineRule="exact" w:before="22" w:after="0"/>
        <w:ind w:left="30" w:right="3024" w:firstLine="0"/>
        <w:jc w:val="left"/>
      </w:pPr>
      <w:r>
        <w:rPr>
          <w:rFonts w:ascii="宋体" w:hAnsi="宋体" w:eastAsia="宋体"/>
          <w:b w:val="0"/>
          <w:i w:val="0"/>
          <w:color w:val="000000"/>
          <w:sz w:val="32"/>
        </w:rPr>
        <w:t xml:space="preserve">第八节 优先股相关情况 </w:t>
      </w:r>
      <w:r>
        <w:rPr>
          <w:rFonts w:ascii="宋体" w:hAnsi="宋体" w:eastAsia="宋体"/>
          <w:b w:val="0"/>
          <w:i w:val="0"/>
          <w:color w:val="000000"/>
          <w:sz w:val="18"/>
        </w:rPr>
        <w:t xml:space="preserve">□适用 √不适用 </w:t>
      </w:r>
    </w:p>
    <w:p>
      <w:pPr>
        <w:autoSpaceDN w:val="0"/>
        <w:autoSpaceDE w:val="0"/>
        <w:widowControl/>
        <w:spacing w:line="197" w:lineRule="auto" w:before="12824" w:after="0"/>
        <w:ind w:left="0" w:right="0" w:firstLine="0"/>
        <w:jc w:val="center"/>
      </w:pPr>
      <w:r>
        <w:rPr>
          <w:rFonts w:ascii="Calibri" w:hAnsi="Calibri" w:eastAsia="Calibri"/>
          <w:b w:val="0"/>
          <w:i w:val="0"/>
          <w:color w:val="000000"/>
          <w:sz w:val="18"/>
        </w:rPr>
        <w:t xml:space="preserve">133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938.0000000000001" w:type="dxa"/>
      </w:tblPr>
      <w:tblGrid>
        <w:gridCol w:w="5796"/>
        <w:gridCol w:w="5796"/>
      </w:tblGrid>
      <w:tr>
        <w:trPr>
          <w:trHeight w:hRule="exact" w:val="774"/>
        </w:trPr>
        <w:tc>
          <w:tcPr>
            <w:tcW w:type="dxa" w:w="5436"/>
            <w:tcBorders>
              <w:bottom w:sz="5.600000000000023" w:val="single" w:color="#000000"/>
            </w:tcBorders>
            <w:tcMar>
              <w:start w:w="0" w:type="dxa"/>
              <w:end w:w="0" w:type="dxa"/>
            </w:tcMar>
          </w:tcPr>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37" name="Picture 137"/>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260"/>
            <w:tcBorders>
              <w:bottom w:sz="5.600000000000023" w:val="single" w:color="#000000"/>
            </w:tcBorders>
            <w:tcMar>
              <w:start w:w="0" w:type="dxa"/>
              <w:end w:w="0" w:type="dxa"/>
            </w:tcMar>
          </w:tcPr>
          <w:p>
            <w:pPr>
              <w:autoSpaceDN w:val="0"/>
              <w:autoSpaceDE w:val="0"/>
              <w:widowControl/>
              <w:spacing w:line="200" w:lineRule="exact" w:before="536" w:after="0"/>
              <w:ind w:left="0" w:right="4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320" w:lineRule="exact" w:before="348" w:after="0"/>
        <w:ind w:left="0" w:right="0" w:firstLine="0"/>
        <w:jc w:val="center"/>
      </w:pPr>
      <w:r>
        <w:rPr>
          <w:rFonts w:ascii="宋体" w:hAnsi="宋体" w:eastAsia="宋体"/>
          <w:b w:val="0"/>
          <w:i w:val="0"/>
          <w:color w:val="000000"/>
          <w:sz w:val="32"/>
        </w:rPr>
        <w:t xml:space="preserve">第九节 债券相关情况 </w:t>
      </w:r>
    </w:p>
    <w:p>
      <w:pPr>
        <w:autoSpaceDN w:val="0"/>
        <w:autoSpaceDE w:val="0"/>
        <w:widowControl/>
        <w:spacing w:line="240" w:lineRule="exact" w:before="490" w:after="0"/>
        <w:ind w:left="968" w:right="0" w:firstLine="0"/>
        <w:jc w:val="left"/>
      </w:pPr>
      <w:r>
        <w:rPr>
          <w:rFonts w:ascii="宋体" w:hAnsi="宋体" w:eastAsia="宋体"/>
          <w:b w:val="0"/>
          <w:i w:val="0"/>
          <w:color w:val="000000"/>
          <w:sz w:val="24"/>
        </w:rPr>
        <w:t xml:space="preserve">一、企业债券 </w:t>
      </w:r>
    </w:p>
    <w:p>
      <w:pPr>
        <w:autoSpaceDN w:val="0"/>
        <w:autoSpaceDE w:val="0"/>
        <w:widowControl/>
        <w:spacing w:line="180" w:lineRule="exact" w:before="366" w:after="0"/>
        <w:ind w:left="968"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58" w:after="0"/>
        <w:ind w:left="968" w:right="0" w:firstLine="0"/>
        <w:jc w:val="left"/>
      </w:pPr>
      <w:r>
        <w:rPr>
          <w:rFonts w:ascii="宋体" w:hAnsi="宋体" w:eastAsia="宋体"/>
          <w:b w:val="0"/>
          <w:i w:val="0"/>
          <w:color w:val="000000"/>
          <w:sz w:val="18"/>
        </w:rPr>
        <w:t xml:space="preserve">报告期公司不存在企业债券。 </w:t>
      </w:r>
    </w:p>
    <w:p>
      <w:pPr>
        <w:autoSpaceDN w:val="0"/>
        <w:autoSpaceDE w:val="0"/>
        <w:widowControl/>
        <w:spacing w:line="240" w:lineRule="exact" w:before="376" w:after="0"/>
        <w:ind w:left="968" w:right="0" w:firstLine="0"/>
        <w:jc w:val="left"/>
      </w:pPr>
      <w:r>
        <w:rPr>
          <w:rFonts w:ascii="宋体" w:hAnsi="宋体" w:eastAsia="宋体"/>
          <w:b w:val="0"/>
          <w:i w:val="0"/>
          <w:color w:val="000000"/>
          <w:sz w:val="24"/>
        </w:rPr>
        <w:t xml:space="preserve">二、公司债券 </w:t>
      </w:r>
    </w:p>
    <w:p>
      <w:pPr>
        <w:autoSpaceDN w:val="0"/>
        <w:autoSpaceDE w:val="0"/>
        <w:widowControl/>
        <w:spacing w:line="180" w:lineRule="exact" w:before="366" w:after="0"/>
        <w:ind w:left="968"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68" w:after="0"/>
        <w:ind w:left="968" w:right="0" w:firstLine="0"/>
        <w:jc w:val="left"/>
      </w:pPr>
      <w:r>
        <w:rPr>
          <w:rFonts w:ascii="宋体" w:hAnsi="宋体" w:eastAsia="宋体"/>
          <w:b w:val="0"/>
          <w:i w:val="0"/>
          <w:color w:val="000000"/>
          <w:sz w:val="21"/>
        </w:rPr>
        <w:t xml:space="preserve">1、公司债券基本信息 </w:t>
      </w:r>
    </w:p>
    <w:p>
      <w:pPr>
        <w:autoSpaceDN w:val="0"/>
        <w:autoSpaceDE w:val="0"/>
        <w:widowControl/>
        <w:spacing w:line="180" w:lineRule="exact" w:before="362" w:after="66"/>
        <w:ind w:left="0" w:right="1082"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1.999999999999993" w:type="dxa"/>
      </w:tblPr>
      <w:tblGrid>
        <w:gridCol w:w="1159"/>
        <w:gridCol w:w="1159"/>
        <w:gridCol w:w="1159"/>
        <w:gridCol w:w="1159"/>
        <w:gridCol w:w="1159"/>
        <w:gridCol w:w="1159"/>
        <w:gridCol w:w="1159"/>
        <w:gridCol w:w="1159"/>
        <w:gridCol w:w="1159"/>
        <w:gridCol w:w="1159"/>
      </w:tblGrid>
      <w:tr>
        <w:trPr>
          <w:trHeight w:hRule="exact" w:val="324"/>
        </w:trPr>
        <w:tc>
          <w:tcPr>
            <w:tcW w:type="dxa" w:w="1846"/>
            <w:tcBorders>
              <w:start w:sz="1.5999999999999943" w:val="single" w:color="#000000"/>
              <w:top w:sz="2.399999999999636" w:val="single" w:color="#000000"/>
              <w:end w:sz="1.6000000000000227"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债券名称</w:t>
            </w:r>
          </w:p>
        </w:tc>
        <w:tc>
          <w:tcPr>
            <w:tcW w:type="dxa" w:w="1106"/>
            <w:tcBorders>
              <w:start w:sz="1.6000000000000227"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债券简称</w:t>
            </w:r>
          </w:p>
        </w:tc>
        <w:tc>
          <w:tcPr>
            <w:tcW w:type="dxa" w:w="992"/>
            <w:tcBorders>
              <w:start w:sz="1.599999999999909"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债券代码</w:t>
            </w:r>
          </w:p>
        </w:tc>
        <w:tc>
          <w:tcPr>
            <w:tcW w:type="dxa" w:w="1132"/>
            <w:tcBorders>
              <w:start w:sz="1.599999999999909" w:val="single" w:color="#000000"/>
              <w:top w:sz="2.399999999999636" w:val="single" w:color="#000000"/>
              <w:end w:sz="2.399999999999636"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发行日</w:t>
            </w:r>
          </w:p>
        </w:tc>
        <w:tc>
          <w:tcPr>
            <w:tcW w:type="dxa" w:w="1134"/>
            <w:tcBorders>
              <w:start w:sz="2.399999999999636"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起息日</w:t>
            </w:r>
          </w:p>
        </w:tc>
        <w:tc>
          <w:tcPr>
            <w:tcW w:type="dxa" w:w="1136"/>
            <w:tcBorders>
              <w:start w:sz="1.599999999999909"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到期日</w:t>
            </w:r>
          </w:p>
        </w:tc>
        <w:tc>
          <w:tcPr>
            <w:tcW w:type="dxa" w:w="1016"/>
            <w:tcBorders>
              <w:start w:sz="1.599999999999909" w:val="single" w:color="#000000"/>
              <w:top w:sz="2.399999999999636" w:val="single" w:color="#000000"/>
              <w:end w:sz="2.400000000000091"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债券余额</w:t>
            </w:r>
          </w:p>
        </w:tc>
        <w:tc>
          <w:tcPr>
            <w:tcW w:type="dxa" w:w="796"/>
            <w:tcBorders>
              <w:start w:sz="2.400000000000091" w:val="single" w:color="#000000"/>
              <w:top w:sz="2.399999999999636" w:val="single" w:color="#000000"/>
              <w:end w:sz="1.599999999999909"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利率</w:t>
            </w:r>
          </w:p>
        </w:tc>
        <w:tc>
          <w:tcPr>
            <w:tcW w:type="dxa" w:w="1416"/>
            <w:tcBorders>
              <w:start w:sz="1.599999999999909" w:val="single" w:color="#000000"/>
              <w:top w:sz="2.399999999999636" w:val="single" w:color="#000000"/>
              <w:end w:sz="1.6000000000003638"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还本付息方式</w:t>
            </w:r>
          </w:p>
        </w:tc>
        <w:tc>
          <w:tcPr>
            <w:tcW w:type="dxa" w:w="994"/>
            <w:tcBorders>
              <w:start w:sz="1.6000000000003638" w:val="single" w:color="#000000"/>
              <w:top w:sz="2.399999999999636" w:val="single" w:color="#000000"/>
              <w:end w:sz="1.5999999999994543" w:val="single" w:color="#000000"/>
              <w:bottom w:sz="1.6000000000003638"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rFonts w:ascii="宋体" w:hAnsi="宋体" w:eastAsia="宋体"/>
                <w:b w:val="0"/>
                <w:i w:val="0"/>
                <w:color w:val="000000"/>
                <w:sz w:val="18"/>
              </w:rPr>
              <w:t>交易场所</w:t>
            </w:r>
          </w:p>
        </w:tc>
      </w:tr>
      <w:tr>
        <w:trPr>
          <w:trHeight w:hRule="exact" w:val="1640"/>
        </w:trPr>
        <w:tc>
          <w:tcPr>
            <w:tcW w:type="dxa" w:w="1846"/>
            <w:tcBorders>
              <w:start w:sz="1.5999999999999943" w:val="single" w:color="#000000"/>
              <w:top w:sz="1.6000000000003638" w:val="single" w:color="#000000"/>
              <w:end w:sz="1.6000000000000227" w:val="single" w:color="#000000"/>
              <w:bottom w:sz="2.400000000000091" w:val="single" w:color="#000000"/>
            </w:tcBorders>
            <w:tcMar>
              <w:start w:w="0" w:type="dxa"/>
              <w:end w:w="0" w:type="dxa"/>
            </w:tcMar>
          </w:tcPr>
          <w:p>
            <w:pPr>
              <w:autoSpaceDN w:val="0"/>
              <w:autoSpaceDE w:val="0"/>
              <w:widowControl/>
              <w:spacing w:line="234" w:lineRule="exact" w:before="206"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2022</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债券（第一期）（品</w:t>
            </w:r>
            <w:r>
              <w:rPr>
                <w:rFonts w:ascii="宋体" w:hAnsi="宋体" w:eastAsia="宋体"/>
                <w:b w:val="0"/>
                <w:i w:val="0"/>
                <w:color w:val="000000"/>
                <w:sz w:val="18"/>
              </w:rPr>
              <w:t>种一）</w:t>
            </w:r>
          </w:p>
        </w:tc>
        <w:tc>
          <w:tcPr>
            <w:tcW w:type="dxa" w:w="1106"/>
            <w:tcBorders>
              <w:start w:sz="1.6000000000000227"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01 </w:t>
            </w:r>
          </w:p>
        </w:tc>
        <w:tc>
          <w:tcPr>
            <w:tcW w:type="dxa" w:w="992"/>
            <w:tcBorders>
              <w:start w:sz="1.599999999999909"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149963 </w:t>
            </w:r>
          </w:p>
        </w:tc>
        <w:tc>
          <w:tcPr>
            <w:tcW w:type="dxa" w:w="1132"/>
            <w:tcBorders>
              <w:start w:sz="1.599999999999909" w:val="single" w:color="#000000"/>
              <w:top w:sz="1.6000000000003638"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2022-06-24 </w:t>
            </w:r>
          </w:p>
        </w:tc>
        <w:tc>
          <w:tcPr>
            <w:tcW w:type="dxa" w:w="1134"/>
            <w:tcBorders>
              <w:start w:sz="2.399999999999636"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2022-06-28 </w:t>
            </w:r>
          </w:p>
        </w:tc>
        <w:tc>
          <w:tcPr>
            <w:tcW w:type="dxa" w:w="1136"/>
            <w:tcBorders>
              <w:start w:sz="1.599999999999909"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2025-06-28 </w:t>
            </w:r>
          </w:p>
        </w:tc>
        <w:tc>
          <w:tcPr>
            <w:tcW w:type="dxa" w:w="1016"/>
            <w:tcBorders>
              <w:start w:sz="1.599999999999909" w:val="single" w:color="#000000"/>
              <w:top w:sz="1.6000000000003638"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190,000 </w:t>
            </w:r>
          </w:p>
        </w:tc>
        <w:tc>
          <w:tcPr>
            <w:tcW w:type="dxa" w:w="796"/>
            <w:tcBorders>
              <w:start w:sz="2.400000000000091" w:val="single" w:color="#000000"/>
              <w:top w:sz="1.6000000000003638"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3.09% </w:t>
            </w:r>
          </w:p>
        </w:tc>
        <w:tc>
          <w:tcPr>
            <w:tcW w:type="dxa" w:w="1416"/>
            <w:tcBorders>
              <w:start w:sz="1.599999999999909" w:val="single" w:color="#000000"/>
              <w:top w:sz="1.6000000000003638"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6000000000003638" w:val="single" w:color="#000000"/>
              <w:end w:sz="1.5999999999994543" w:val="single" w:color="#000000"/>
              <w:bottom w:sz="2.400000000000091" w:val="single" w:color="#000000"/>
            </w:tcBorders>
            <w:tcMar>
              <w:start w:w="0" w:type="dxa"/>
              <w:end w:w="0" w:type="dxa"/>
            </w:tcMar>
          </w:tcPr>
          <w:p>
            <w:pPr>
              <w:autoSpaceDN w:val="0"/>
              <w:autoSpaceDE w:val="0"/>
              <w:widowControl/>
              <w:spacing w:line="234" w:lineRule="exact" w:before="556"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38"/>
        </w:trPr>
        <w:tc>
          <w:tcPr>
            <w:tcW w:type="dxa" w:w="1846"/>
            <w:tcBorders>
              <w:start w:sz="1.599999999999994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234" w:lineRule="exact" w:before="206"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2022</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债券（第二期）（品</w:t>
            </w:r>
            <w:r>
              <w:rPr>
                <w:rFonts w:ascii="宋体" w:hAnsi="宋体" w:eastAsia="宋体"/>
                <w:b w:val="0"/>
                <w:i w:val="0"/>
                <w:color w:val="000000"/>
                <w:sz w:val="18"/>
              </w:rPr>
              <w:t>种一）</w:t>
            </w:r>
          </w:p>
        </w:tc>
        <w:tc>
          <w:tcPr>
            <w:tcW w:type="dxa" w:w="1106"/>
            <w:tcBorders>
              <w:start w:sz="1.6000000000000227"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03 </w:t>
            </w:r>
          </w:p>
        </w:tc>
        <w:tc>
          <w:tcPr>
            <w:tcW w:type="dxa" w:w="992"/>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149985 </w:t>
            </w:r>
          </w:p>
        </w:tc>
        <w:tc>
          <w:tcPr>
            <w:tcW w:type="dxa" w:w="1132"/>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2022-07-11 </w:t>
            </w:r>
          </w:p>
        </w:tc>
        <w:tc>
          <w:tcPr>
            <w:tcW w:type="dxa" w:w="1134"/>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2022-07-13 </w:t>
            </w:r>
          </w:p>
        </w:tc>
        <w:tc>
          <w:tcPr>
            <w:tcW w:type="dxa" w:w="113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2025-07-13 </w:t>
            </w:r>
          </w:p>
        </w:tc>
        <w:tc>
          <w:tcPr>
            <w:tcW w:type="dxa" w:w="101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0" w:lineRule="auto" w:before="718" w:after="0"/>
              <w:ind w:left="106" w:right="0" w:firstLine="0"/>
              <w:jc w:val="left"/>
            </w:pPr>
            <w:r>
              <w:rPr>
                <w:rFonts w:ascii="Times New Roman" w:hAnsi="Times New Roman" w:eastAsia="Times New Roman"/>
                <w:b w:val="0"/>
                <w:i w:val="0"/>
                <w:color w:val="000000"/>
                <w:sz w:val="18"/>
              </w:rPr>
              <w:t xml:space="preserve">200,000 </w:t>
            </w:r>
          </w:p>
        </w:tc>
        <w:tc>
          <w:tcPr>
            <w:tcW w:type="dxa" w:w="796"/>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0" w:lineRule="auto" w:before="718" w:after="0"/>
              <w:ind w:left="0" w:right="0" w:firstLine="0"/>
              <w:jc w:val="center"/>
            </w:pPr>
            <w:r>
              <w:rPr>
                <w:rFonts w:ascii="Times New Roman" w:hAnsi="Times New Roman" w:eastAsia="Times New Roman"/>
                <w:b w:val="0"/>
                <w:i w:val="0"/>
                <w:color w:val="000000"/>
                <w:sz w:val="18"/>
              </w:rPr>
              <w:t xml:space="preserve">3.04% </w:t>
            </w:r>
          </w:p>
        </w:tc>
        <w:tc>
          <w:tcPr>
            <w:tcW w:type="dxa" w:w="1416"/>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34" w:lineRule="exact" w:before="556"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40"/>
        </w:trPr>
        <w:tc>
          <w:tcPr>
            <w:tcW w:type="dxa" w:w="1846"/>
            <w:tcBorders>
              <w:start w:sz="1.5999999999999943" w:val="single" w:color="#000000"/>
              <w:top w:sz="1.599999999999909" w:val="single" w:color="#000000"/>
              <w:end w:sz="1.6000000000000227" w:val="single" w:color="#000000"/>
              <w:bottom w:sz="1.6000000000003638" w:val="single" w:color="#000000"/>
            </w:tcBorders>
            <w:tcMar>
              <w:start w:w="0" w:type="dxa"/>
              <w:end w:w="0" w:type="dxa"/>
            </w:tcMar>
          </w:tcPr>
          <w:p>
            <w:pPr>
              <w:autoSpaceDN w:val="0"/>
              <w:autoSpaceDE w:val="0"/>
              <w:widowControl/>
              <w:spacing w:line="234" w:lineRule="exact" w:before="322"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2022</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债券（第三期）</w:t>
            </w:r>
          </w:p>
        </w:tc>
        <w:tc>
          <w:tcPr>
            <w:tcW w:type="dxa" w:w="1106"/>
            <w:tcBorders>
              <w:start w:sz="1.6000000000000227"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198" w:lineRule="exact" w:before="722" w:after="0"/>
              <w:ind w:left="0" w:right="0" w:firstLine="0"/>
              <w:jc w:val="center"/>
            </w:pPr>
            <w:r>
              <w:rPr>
                <w:rFonts w:ascii="Times New Roman" w:hAnsi="Times New Roman" w:eastAsia="Times New Roman"/>
                <w:b w:val="0"/>
                <w:i w:val="0"/>
                <w:color w:val="000000"/>
                <w:sz w:val="18"/>
              </w:rPr>
              <w:t>22</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05 </w:t>
            </w:r>
          </w:p>
        </w:tc>
        <w:tc>
          <w:tcPr>
            <w:tcW w:type="dxa" w:w="992"/>
            <w:tcBorders>
              <w:start w:sz="1.599999999999909"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148001 </w:t>
            </w:r>
          </w:p>
        </w:tc>
        <w:tc>
          <w:tcPr>
            <w:tcW w:type="dxa" w:w="1132"/>
            <w:tcBorders>
              <w:start w:sz="1.599999999999909" w:val="single" w:color="#000000"/>
              <w:top w:sz="1.599999999999909" w:val="single" w:color="#000000"/>
              <w:end w:sz="2.399999999999636" w:val="single" w:color="#000000"/>
              <w:bottom w:sz="1.6000000000003638"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2022-07-21 </w:t>
            </w:r>
          </w:p>
        </w:tc>
        <w:tc>
          <w:tcPr>
            <w:tcW w:type="dxa" w:w="1134"/>
            <w:tcBorders>
              <w:start w:sz="2.399999999999636"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2022-07-25 </w:t>
            </w:r>
          </w:p>
        </w:tc>
        <w:tc>
          <w:tcPr>
            <w:tcW w:type="dxa" w:w="1136"/>
            <w:tcBorders>
              <w:start w:sz="1.599999999999909"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2025-07-25 </w:t>
            </w:r>
          </w:p>
        </w:tc>
        <w:tc>
          <w:tcPr>
            <w:tcW w:type="dxa" w:w="1016"/>
            <w:tcBorders>
              <w:start w:sz="1.599999999999909" w:val="single" w:color="#000000"/>
              <w:top w:sz="1.599999999999909" w:val="single" w:color="#000000"/>
              <w:end w:sz="2.400000000000091" w:val="single" w:color="#000000"/>
              <w:bottom w:sz="1.6000000000003638"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80,000 </w:t>
            </w:r>
          </w:p>
        </w:tc>
        <w:tc>
          <w:tcPr>
            <w:tcW w:type="dxa" w:w="796"/>
            <w:tcBorders>
              <w:start w:sz="2.400000000000091" w:val="single" w:color="#000000"/>
              <w:top w:sz="1.599999999999909"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2.89% </w:t>
            </w:r>
          </w:p>
        </w:tc>
        <w:tc>
          <w:tcPr>
            <w:tcW w:type="dxa" w:w="1416"/>
            <w:tcBorders>
              <w:start w:sz="1.599999999999909" w:val="single" w:color="#000000"/>
              <w:top w:sz="1.599999999999909" w:val="single" w:color="#000000"/>
              <w:end w:sz="1.6000000000003638" w:val="single" w:color="#000000"/>
              <w:bottom w:sz="1.6000000000003638"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599999999999909" w:val="single" w:color="#000000"/>
              <w:end w:sz="1.5999999999994543" w:val="single" w:color="#000000"/>
              <w:bottom w:sz="1.6000000000003638" w:val="single" w:color="#000000"/>
            </w:tcBorders>
            <w:tcMar>
              <w:start w:w="0" w:type="dxa"/>
              <w:end w:w="0" w:type="dxa"/>
            </w:tcMar>
          </w:tcPr>
          <w:p>
            <w:pPr>
              <w:autoSpaceDN w:val="0"/>
              <w:autoSpaceDE w:val="0"/>
              <w:widowControl/>
              <w:spacing w:line="232" w:lineRule="exact" w:before="560"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40"/>
        </w:trPr>
        <w:tc>
          <w:tcPr>
            <w:tcW w:type="dxa" w:w="1846"/>
            <w:tcBorders>
              <w:start w:sz="1.5999999999999943" w:val="single" w:color="#000000"/>
              <w:top w:sz="1.6000000000003638" w:val="single" w:color="#000000"/>
              <w:end w:sz="1.6000000000000227" w:val="single" w:color="#000000"/>
              <w:bottom w:sz="2.399999999999636" w:val="single" w:color="#000000"/>
            </w:tcBorders>
            <w:tcMar>
              <w:start w:w="0" w:type="dxa"/>
              <w:end w:w="0" w:type="dxa"/>
            </w:tcMar>
          </w:tcPr>
          <w:p>
            <w:pPr>
              <w:autoSpaceDN w:val="0"/>
              <w:autoSpaceDE w:val="0"/>
              <w:widowControl/>
              <w:spacing w:line="234" w:lineRule="exact" w:before="322"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2023</w:t>
            </w:r>
            <w:r>
              <w:rPr>
                <w:rFonts w:ascii="宋体" w:hAnsi="宋体" w:eastAsia="宋体"/>
                <w:b w:val="0"/>
                <w:i w:val="0"/>
                <w:color w:val="000000"/>
                <w:sz w:val="18"/>
              </w:rPr>
              <w:t xml:space="preserve"> 年面向专业</w:t>
            </w:r>
            <w:r>
              <w:rPr>
                <w:rFonts w:ascii="宋体" w:hAnsi="宋体" w:eastAsia="宋体"/>
                <w:b w:val="0"/>
                <w:i w:val="0"/>
                <w:color w:val="000000"/>
                <w:sz w:val="18"/>
              </w:rPr>
              <w:t>投资者非公开发行次</w:t>
            </w:r>
            <w:r>
              <w:rPr>
                <w:rFonts w:ascii="宋体" w:hAnsi="宋体" w:eastAsia="宋体"/>
                <w:b w:val="0"/>
                <w:i w:val="0"/>
                <w:color w:val="000000"/>
                <w:sz w:val="18"/>
              </w:rPr>
              <w:t>级债券（第一期）</w:t>
            </w:r>
          </w:p>
        </w:tc>
        <w:tc>
          <w:tcPr>
            <w:tcW w:type="dxa" w:w="1106"/>
            <w:tcBorders>
              <w:start w:sz="1.6000000000000227"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C1 </w:t>
            </w:r>
          </w:p>
        </w:tc>
        <w:tc>
          <w:tcPr>
            <w:tcW w:type="dxa" w:w="992"/>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115126 </w:t>
            </w:r>
          </w:p>
        </w:tc>
        <w:tc>
          <w:tcPr>
            <w:tcW w:type="dxa" w:w="1132"/>
            <w:tcBorders>
              <w:start w:sz="1.599999999999909" w:val="single" w:color="#000000"/>
              <w:top w:sz="1.6000000000003638"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2023-07-14 </w:t>
            </w:r>
          </w:p>
        </w:tc>
        <w:tc>
          <w:tcPr>
            <w:tcW w:type="dxa" w:w="1134"/>
            <w:tcBorders>
              <w:start w:sz="2.399999999999636"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2023-07-18 </w:t>
            </w:r>
          </w:p>
        </w:tc>
        <w:tc>
          <w:tcPr>
            <w:tcW w:type="dxa" w:w="1136"/>
            <w:tcBorders>
              <w:start w:sz="1.599999999999909"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2026-07-18 </w:t>
            </w:r>
          </w:p>
        </w:tc>
        <w:tc>
          <w:tcPr>
            <w:tcW w:type="dxa" w:w="1016"/>
            <w:tcBorders>
              <w:start w:sz="1.599999999999909" w:val="single" w:color="#000000"/>
              <w:top w:sz="1.6000000000003638"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100,000 </w:t>
            </w:r>
          </w:p>
        </w:tc>
        <w:tc>
          <w:tcPr>
            <w:tcW w:type="dxa" w:w="796"/>
            <w:tcBorders>
              <w:start w:sz="2.400000000000091" w:val="single" w:color="#000000"/>
              <w:top w:sz="1.6000000000003638"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3.45% </w:t>
            </w:r>
          </w:p>
        </w:tc>
        <w:tc>
          <w:tcPr>
            <w:tcW w:type="dxa" w:w="1416"/>
            <w:tcBorders>
              <w:start w:sz="1.599999999999909" w:val="single" w:color="#000000"/>
              <w:top w:sz="1.6000000000003638"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6000000000003638" w:val="single" w:color="#000000"/>
              <w:end w:sz="1.5999999999994543" w:val="single" w:color="#000000"/>
              <w:bottom w:sz="2.399999999999636" w:val="single" w:color="#000000"/>
            </w:tcBorders>
            <w:tcMar>
              <w:start w:w="0" w:type="dxa"/>
              <w:end w:w="0" w:type="dxa"/>
            </w:tcMar>
          </w:tcPr>
          <w:p>
            <w:pPr>
              <w:autoSpaceDN w:val="0"/>
              <w:autoSpaceDE w:val="0"/>
              <w:widowControl/>
              <w:spacing w:line="232" w:lineRule="exact" w:before="560"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40"/>
        </w:trPr>
        <w:tc>
          <w:tcPr>
            <w:tcW w:type="dxa" w:w="1846"/>
            <w:tcBorders>
              <w:start w:sz="1.5999999999999943" w:val="single" w:color="#000000"/>
              <w:top w:sz="2.399999999999636" w:val="single" w:color="#000000"/>
              <w:end w:sz="1.6000000000000227" w:val="single" w:color="#000000"/>
              <w:bottom w:sz="2.399999999999636" w:val="single" w:color="#000000"/>
            </w:tcBorders>
            <w:tcMar>
              <w:start w:w="0" w:type="dxa"/>
              <w:end w:w="0" w:type="dxa"/>
            </w:tcMar>
          </w:tcPr>
          <w:p>
            <w:pPr>
              <w:autoSpaceDN w:val="0"/>
              <w:autoSpaceDE w:val="0"/>
              <w:widowControl/>
              <w:spacing w:line="234" w:lineRule="exact" w:before="322"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2023</w:t>
            </w:r>
            <w:r>
              <w:rPr>
                <w:rFonts w:ascii="宋体" w:hAnsi="宋体" w:eastAsia="宋体"/>
                <w:b w:val="0"/>
                <w:i w:val="0"/>
                <w:color w:val="000000"/>
                <w:sz w:val="18"/>
              </w:rPr>
              <w:t xml:space="preserve"> 年面向专业</w:t>
            </w:r>
            <w:r>
              <w:rPr>
                <w:rFonts w:ascii="宋体" w:hAnsi="宋体" w:eastAsia="宋体"/>
                <w:b w:val="0"/>
                <w:i w:val="0"/>
                <w:color w:val="000000"/>
                <w:sz w:val="18"/>
              </w:rPr>
              <w:t>投资者非公开发行次</w:t>
            </w:r>
            <w:r>
              <w:rPr>
                <w:rFonts w:ascii="宋体" w:hAnsi="宋体" w:eastAsia="宋体"/>
                <w:b w:val="0"/>
                <w:i w:val="0"/>
                <w:color w:val="000000"/>
                <w:sz w:val="18"/>
              </w:rPr>
              <w:t>级债券（第二期）</w:t>
            </w:r>
          </w:p>
        </w:tc>
        <w:tc>
          <w:tcPr>
            <w:tcW w:type="dxa" w:w="1106"/>
            <w:tcBorders>
              <w:start w:sz="1.6000000000000227"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C3 </w:t>
            </w:r>
          </w:p>
        </w:tc>
        <w:tc>
          <w:tcPr>
            <w:tcW w:type="dxa" w:w="992"/>
            <w:tcBorders>
              <w:start w:sz="1.599999999999909"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115127 </w:t>
            </w:r>
          </w:p>
        </w:tc>
        <w:tc>
          <w:tcPr>
            <w:tcW w:type="dxa" w:w="1132"/>
            <w:tcBorders>
              <w:start w:sz="1.599999999999909" w:val="single" w:color="#000000"/>
              <w:top w:sz="2.399999999999636" w:val="single" w:color="#000000"/>
              <w:end w:sz="2.399999999999636" w:val="single" w:color="#000000"/>
              <w:bottom w:sz="2.399999999999636" w:val="single" w:color="#000000"/>
            </w:tcBorders>
            <w:tcMar>
              <w:start w:w="0" w:type="dxa"/>
              <w:end w:w="0" w:type="dxa"/>
            </w:tcMar>
          </w:tcPr>
          <w:p>
            <w:pPr>
              <w:autoSpaceDN w:val="0"/>
              <w:autoSpaceDE w:val="0"/>
              <w:widowControl/>
              <w:spacing w:line="233" w:lineRule="auto" w:before="730" w:after="0"/>
              <w:ind w:left="0" w:right="0" w:firstLine="0"/>
              <w:jc w:val="center"/>
            </w:pPr>
            <w:r>
              <w:rPr>
                <w:rFonts w:ascii="Times New Roman" w:hAnsi="Times New Roman" w:eastAsia="Times New Roman"/>
                <w:b w:val="0"/>
                <w:i w:val="0"/>
                <w:color w:val="000000"/>
                <w:sz w:val="18"/>
              </w:rPr>
              <w:t xml:space="preserve">2023-09-07 </w:t>
            </w:r>
          </w:p>
        </w:tc>
        <w:tc>
          <w:tcPr>
            <w:tcW w:type="dxa" w:w="1134"/>
            <w:tcBorders>
              <w:start w:sz="2.399999999999636"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2023-09-11 </w:t>
            </w:r>
          </w:p>
        </w:tc>
        <w:tc>
          <w:tcPr>
            <w:tcW w:type="dxa" w:w="1136"/>
            <w:tcBorders>
              <w:start w:sz="1.599999999999909"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2026-09-11 </w:t>
            </w:r>
          </w:p>
        </w:tc>
        <w:tc>
          <w:tcPr>
            <w:tcW w:type="dxa" w:w="1016"/>
            <w:tcBorders>
              <w:start w:sz="1.599999999999909" w:val="single" w:color="#000000"/>
              <w:top w:sz="2.399999999999636" w:val="single" w:color="#000000"/>
              <w:end w:sz="2.400000000000091" w:val="single" w:color="#000000"/>
              <w:bottom w:sz="2.399999999999636"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100,000 </w:t>
            </w:r>
          </w:p>
        </w:tc>
        <w:tc>
          <w:tcPr>
            <w:tcW w:type="dxa" w:w="796"/>
            <w:tcBorders>
              <w:start w:sz="2.400000000000091" w:val="single" w:color="#000000"/>
              <w:top w:sz="2.399999999999636" w:val="single" w:color="#000000"/>
              <w:end w:sz="1.599999999999909" w:val="single" w:color="#000000"/>
              <w:bottom w:sz="2.399999999999636"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3.48% </w:t>
            </w:r>
          </w:p>
        </w:tc>
        <w:tc>
          <w:tcPr>
            <w:tcW w:type="dxa" w:w="1416"/>
            <w:tcBorders>
              <w:start w:sz="1.599999999999909" w:val="single" w:color="#000000"/>
              <w:top w:sz="2.399999999999636" w:val="single" w:color="#000000"/>
              <w:end w:sz="1.6000000000003638" w:val="single" w:color="#000000"/>
              <w:bottom w:sz="2.399999999999636"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2.399999999999636" w:val="single" w:color="#000000"/>
              <w:end w:sz="1.5999999999994543" w:val="single" w:color="#000000"/>
              <w:bottom w:sz="2.399999999999636" w:val="single" w:color="#000000"/>
            </w:tcBorders>
            <w:tcMar>
              <w:start w:w="0" w:type="dxa"/>
              <w:end w:w="0" w:type="dxa"/>
            </w:tcMar>
          </w:tcPr>
          <w:p>
            <w:pPr>
              <w:autoSpaceDN w:val="0"/>
              <w:autoSpaceDE w:val="0"/>
              <w:widowControl/>
              <w:spacing w:line="236" w:lineRule="exact" w:before="552"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472"/>
        </w:trPr>
        <w:tc>
          <w:tcPr>
            <w:tcW w:type="dxa" w:w="1846"/>
            <w:tcBorders>
              <w:start w:sz="1.5999999999999943" w:val="single" w:color="#000000"/>
              <w:top w:sz="2.399999999999636" w:val="single" w:color="#000000"/>
              <w:end w:sz="1.6000000000000227" w:val="single" w:color="#000000"/>
              <w:bottom w:sz="1.6000000000003638" w:val="single" w:color="#000000"/>
            </w:tcBorders>
            <w:tcMar>
              <w:start w:w="0" w:type="dxa"/>
              <w:end w:w="0" w:type="dxa"/>
            </w:tcMar>
          </w:tcPr>
          <w:p>
            <w:pPr>
              <w:autoSpaceDN w:val="0"/>
              <w:autoSpaceDE w:val="0"/>
              <w:widowControl/>
              <w:spacing w:line="224" w:lineRule="exact" w:before="0"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2023</w:t>
            </w:r>
            <w:r>
              <w:rPr>
                <w:rFonts w:ascii="宋体" w:hAnsi="宋体" w:eastAsia="宋体"/>
                <w:b w:val="0"/>
                <w:i w:val="0"/>
                <w:color w:val="000000"/>
                <w:sz w:val="18"/>
              </w:rPr>
              <w:t xml:space="preserve"> 年面向专业</w:t>
            </w:r>
          </w:p>
        </w:tc>
        <w:tc>
          <w:tcPr>
            <w:tcW w:type="dxa" w:w="1106"/>
            <w:tcBorders>
              <w:start w:sz="1.6000000000000227"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00" w:lineRule="exact" w:before="136" w:after="0"/>
              <w:ind w:left="0" w:right="0" w:firstLine="0"/>
              <w:jc w:val="center"/>
            </w:pPr>
            <w:r>
              <w:rPr>
                <w:rFonts w:ascii="Times New Roman" w:hAnsi="Times New Roman" w:eastAsia="Times New Roman"/>
                <w:b w:val="0"/>
                <w:i w:val="0"/>
                <w:color w:val="000000"/>
                <w:sz w:val="18"/>
              </w:rPr>
              <w:t>23</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C4 </w:t>
            </w:r>
          </w:p>
        </w:tc>
        <w:tc>
          <w:tcPr>
            <w:tcW w:type="dxa" w:w="992"/>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32" w:after="0"/>
              <w:ind w:left="0" w:right="0" w:firstLine="0"/>
              <w:jc w:val="center"/>
            </w:pPr>
            <w:r>
              <w:rPr>
                <w:rFonts w:ascii="Times New Roman" w:hAnsi="Times New Roman" w:eastAsia="Times New Roman"/>
                <w:b w:val="0"/>
                <w:i w:val="0"/>
                <w:color w:val="000000"/>
                <w:sz w:val="18"/>
              </w:rPr>
              <w:t xml:space="preserve">148498 </w:t>
            </w:r>
          </w:p>
        </w:tc>
        <w:tc>
          <w:tcPr>
            <w:tcW w:type="dxa" w:w="1132"/>
            <w:tcBorders>
              <w:start w:sz="1.599999999999909" w:val="single" w:color="#000000"/>
              <w:top w:sz="2.399999999999636" w:val="single" w:color="#000000"/>
              <w:end w:sz="2.399999999999636" w:val="single" w:color="#000000"/>
              <w:bottom w:sz="1.6000000000003638" w:val="single" w:color="#000000"/>
            </w:tcBorders>
            <w:tcMar>
              <w:start w:w="0" w:type="dxa"/>
              <w:end w:w="0" w:type="dxa"/>
            </w:tcMar>
          </w:tcPr>
          <w:p>
            <w:pPr>
              <w:autoSpaceDN w:val="0"/>
              <w:autoSpaceDE w:val="0"/>
              <w:widowControl/>
              <w:spacing w:line="230" w:lineRule="auto" w:before="144" w:after="0"/>
              <w:ind w:left="0" w:right="0" w:firstLine="0"/>
              <w:jc w:val="center"/>
            </w:pPr>
            <w:r>
              <w:rPr>
                <w:rFonts w:ascii="Times New Roman" w:hAnsi="Times New Roman" w:eastAsia="Times New Roman"/>
                <w:b w:val="0"/>
                <w:i w:val="0"/>
                <w:color w:val="000000"/>
                <w:sz w:val="18"/>
              </w:rPr>
              <w:t xml:space="preserve">2023-11-08 </w:t>
            </w:r>
          </w:p>
        </w:tc>
        <w:tc>
          <w:tcPr>
            <w:tcW w:type="dxa" w:w="1134"/>
            <w:tcBorders>
              <w:start w:sz="2.399999999999636"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32" w:after="0"/>
              <w:ind w:left="0" w:right="0" w:firstLine="0"/>
              <w:jc w:val="center"/>
            </w:pPr>
            <w:r>
              <w:rPr>
                <w:rFonts w:ascii="Times New Roman" w:hAnsi="Times New Roman" w:eastAsia="Times New Roman"/>
                <w:b w:val="0"/>
                <w:i w:val="0"/>
                <w:color w:val="000000"/>
                <w:sz w:val="18"/>
              </w:rPr>
              <w:t xml:space="preserve">2023-11-10 </w:t>
            </w:r>
          </w:p>
        </w:tc>
        <w:tc>
          <w:tcPr>
            <w:tcW w:type="dxa" w:w="1136"/>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32" w:after="0"/>
              <w:ind w:left="0" w:right="0" w:firstLine="0"/>
              <w:jc w:val="center"/>
            </w:pPr>
            <w:r>
              <w:rPr>
                <w:rFonts w:ascii="Times New Roman" w:hAnsi="Times New Roman" w:eastAsia="Times New Roman"/>
                <w:b w:val="0"/>
                <w:i w:val="0"/>
                <w:color w:val="000000"/>
                <w:sz w:val="18"/>
              </w:rPr>
              <w:t xml:space="preserve">2026-11-10 </w:t>
            </w:r>
          </w:p>
        </w:tc>
        <w:tc>
          <w:tcPr>
            <w:tcW w:type="dxa" w:w="1016"/>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auto" w:before="132" w:after="0"/>
              <w:ind w:left="106" w:right="0" w:firstLine="0"/>
              <w:jc w:val="left"/>
            </w:pPr>
            <w:r>
              <w:rPr>
                <w:rFonts w:ascii="Times New Roman" w:hAnsi="Times New Roman" w:eastAsia="Times New Roman"/>
                <w:b w:val="0"/>
                <w:i w:val="0"/>
                <w:color w:val="000000"/>
                <w:sz w:val="18"/>
              </w:rPr>
              <w:t xml:space="preserve">150,000 </w:t>
            </w:r>
          </w:p>
        </w:tc>
        <w:tc>
          <w:tcPr>
            <w:tcW w:type="dxa" w:w="796"/>
            <w:tcBorders>
              <w:start w:sz="2.400000000000091"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auto" w:before="132" w:after="0"/>
              <w:ind w:left="0" w:right="0" w:firstLine="0"/>
              <w:jc w:val="center"/>
            </w:pPr>
            <w:r>
              <w:rPr>
                <w:rFonts w:ascii="Times New Roman" w:hAnsi="Times New Roman" w:eastAsia="Times New Roman"/>
                <w:b w:val="0"/>
                <w:i w:val="0"/>
                <w:color w:val="000000"/>
                <w:sz w:val="18"/>
              </w:rPr>
              <w:t xml:space="preserve">3.45% </w:t>
            </w:r>
          </w:p>
        </w:tc>
        <w:tc>
          <w:tcPr>
            <w:tcW w:type="dxa" w:w="1416"/>
            <w:tcBorders>
              <w:start w:sz="1.599999999999909"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218"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p>
        </w:tc>
        <w:tc>
          <w:tcPr>
            <w:tcW w:type="dxa" w:w="994"/>
            <w:tcBorders>
              <w:start w:sz="1.6000000000003638"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218" w:lineRule="exact" w:before="0"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bl>
    <w:p>
      <w:pPr>
        <w:autoSpaceDN w:val="0"/>
        <w:autoSpaceDE w:val="0"/>
        <w:widowControl/>
        <w:spacing w:line="197" w:lineRule="auto" w:before="518" w:after="0"/>
        <w:ind w:left="0" w:right="0" w:firstLine="0"/>
        <w:jc w:val="center"/>
      </w:pPr>
      <w:r>
        <w:rPr>
          <w:rFonts w:ascii="Calibri" w:hAnsi="Calibri" w:eastAsia="Calibri"/>
          <w:b w:val="0"/>
          <w:i w:val="0"/>
          <w:color w:val="000000"/>
          <w:sz w:val="18"/>
        </w:rPr>
        <w:t xml:space="preserve">134 </w:t>
      </w:r>
    </w:p>
    <w:p>
      <w:pPr>
        <w:sectPr>
          <w:pgSz w:w="11904" w:h="16841"/>
          <w:pgMar w:top="424" w:right="146" w:bottom="446" w:left="166" w:header="720" w:footer="720" w:gutter="0"/>
          <w:cols/>
          <w:docGrid w:linePitch="360"/>
        </w:sectPr>
      </w:pPr>
    </w:p>
    <w:p>
      <w:pPr>
        <w:autoSpaceDN w:val="0"/>
        <w:autoSpaceDE w:val="0"/>
        <w:widowControl/>
        <w:spacing w:line="220" w:lineRule="exact" w:before="0" w:after="206"/>
        <w:ind w:left="0" w:right="0"/>
      </w:pPr>
    </w:p>
    <w:tbl>
      <w:tblPr>
        <w:tblW w:type="auto" w:w="0"/>
        <w:tblLayout w:type="fixed"/>
        <w:tblLook w:firstColumn="1" w:firstRow="1" w:lastColumn="0" w:lastRow="0" w:noHBand="0" w:noVBand="1" w:val="04A0"/>
        <w:tblInd w:w="474.0" w:type="dxa"/>
      </w:tblPr>
      <w:tblGrid>
        <w:gridCol w:w="5796"/>
        <w:gridCol w:w="5796"/>
      </w:tblGrid>
      <w:tr>
        <w:trPr>
          <w:trHeight w:hRule="exact" w:val="796"/>
        </w:trPr>
        <w:tc>
          <w:tcPr>
            <w:tcW w:type="dxa" w:w="5900"/>
            <w:tcBorders/>
            <w:tcMar>
              <w:start w:w="0" w:type="dxa"/>
              <w:end w:w="0" w:type="dxa"/>
            </w:tcMar>
          </w:tcPr>
          <w:p>
            <w:pPr>
              <w:autoSpaceDN w:val="0"/>
              <w:autoSpaceDE w:val="0"/>
              <w:widowControl/>
              <w:spacing w:line="240" w:lineRule="auto" w:before="0" w:after="0"/>
              <w:ind w:left="494" w:right="0" w:firstLine="0"/>
              <w:jc w:val="left"/>
            </w:pPr>
            <w:r>
              <w:drawing>
                <wp:inline xmlns:a="http://schemas.openxmlformats.org/drawingml/2006/main" xmlns:pic="http://schemas.openxmlformats.org/drawingml/2006/picture">
                  <wp:extent cx="1844039" cy="439419"/>
                  <wp:docPr id="138" name="Picture 138"/>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tc>
        <w:tc>
          <w:tcPr>
            <w:tcW w:type="dxa" w:w="4700"/>
            <w:tcBorders/>
            <w:tcMar>
              <w:start w:w="0" w:type="dxa"/>
              <w:end w:w="0" w:type="dxa"/>
            </w:tcMar>
          </w:tcPr>
          <w:p>
            <w:pPr>
              <w:autoSpaceDN w:val="0"/>
              <w:autoSpaceDE w:val="0"/>
              <w:widowControl/>
              <w:spacing w:line="200" w:lineRule="exact" w:before="536" w:after="0"/>
              <w:ind w:left="0" w:right="48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999999999999993" w:type="dxa"/>
      </w:tblPr>
      <w:tblGrid>
        <w:gridCol w:w="1159"/>
        <w:gridCol w:w="1159"/>
        <w:gridCol w:w="1159"/>
        <w:gridCol w:w="1159"/>
        <w:gridCol w:w="1159"/>
        <w:gridCol w:w="1159"/>
        <w:gridCol w:w="1159"/>
        <w:gridCol w:w="1159"/>
        <w:gridCol w:w="1159"/>
        <w:gridCol w:w="1159"/>
      </w:tblGrid>
      <w:tr>
        <w:trPr>
          <w:trHeight w:hRule="exact" w:val="1172"/>
        </w:trPr>
        <w:tc>
          <w:tcPr>
            <w:tcW w:type="dxa" w:w="1846"/>
            <w:tcBorders>
              <w:start w:sz="1.5999999999999943" w:val="single" w:color="#000000"/>
              <w:top w:sz="1.6000000000000227" w:val="single" w:color="#000000"/>
              <w:end w:sz="1.6000000000000227" w:val="single" w:color="#000000"/>
              <w:bottom w:sz="1.6000000000001364" w:val="single" w:color="#000000"/>
            </w:tcBorders>
            <w:tcMar>
              <w:start w:w="0" w:type="dxa"/>
              <w:end w:w="0" w:type="dxa"/>
            </w:tcMar>
          </w:tcPr>
          <w:p>
            <w:pPr>
              <w:autoSpaceDN w:val="0"/>
              <w:autoSpaceDE w:val="0"/>
              <w:widowControl/>
              <w:spacing w:line="226" w:lineRule="exact" w:before="0" w:after="0"/>
              <w:ind w:left="108" w:right="0" w:firstLine="0"/>
              <w:jc w:val="left"/>
            </w:pPr>
            <w:r>
              <w:rPr>
                <w:rFonts w:ascii="宋体" w:hAnsi="宋体" w:eastAsia="宋体"/>
                <w:b w:val="0"/>
                <w:i w:val="0"/>
                <w:color w:val="000000"/>
                <w:sz w:val="18"/>
              </w:rPr>
              <w:t>投资者公开发行次级</w:t>
            </w:r>
            <w:r>
              <w:rPr>
                <w:rFonts w:ascii="宋体" w:hAnsi="宋体" w:eastAsia="宋体"/>
                <w:b w:val="0"/>
                <w:i w:val="0"/>
                <w:color w:val="000000"/>
                <w:sz w:val="18"/>
              </w:rPr>
              <w:t>债券</w:t>
            </w:r>
            <w:r>
              <w:rPr>
                <w:rFonts w:ascii="Times New Roman" w:hAnsi="Times New Roman" w:eastAsia="Times New Roman"/>
                <w:b w:val="0"/>
                <w:i w:val="0"/>
                <w:color w:val="000000"/>
                <w:sz w:val="18"/>
              </w:rPr>
              <w:t>(</w:t>
            </w:r>
            <w:r>
              <w:rPr>
                <w:rFonts w:ascii="宋体" w:hAnsi="宋体" w:eastAsia="宋体"/>
                <w:b w:val="0"/>
                <w:i w:val="0"/>
                <w:color w:val="000000"/>
                <w:sz w:val="18"/>
              </w:rPr>
              <w:t>第一期</w:t>
            </w:r>
            <w:r>
              <w:rPr>
                <w:rFonts w:ascii="Times New Roman" w:hAnsi="Times New Roman" w:eastAsia="Times New Roman"/>
                <w:b w:val="0"/>
                <w:i w:val="0"/>
                <w:color w:val="000000"/>
                <w:sz w:val="18"/>
              </w:rPr>
              <w:t xml:space="preserve">) </w:t>
            </w:r>
          </w:p>
        </w:tc>
        <w:tc>
          <w:tcPr>
            <w:tcW w:type="dxa" w:w="1106"/>
            <w:tcBorders>
              <w:start w:sz="1.6000000000000227" w:val="single" w:color="#000000"/>
              <w:top w:sz="5.600000000000023" w:val="single" w:color="#000000"/>
              <w:end w:sz="1.599999999999909" w:val="single" w:color="#000000"/>
              <w:bottom w:sz="1.6000000000001364" w:val="single" w:color="#000000"/>
            </w:tcBorders>
            <w:tcMar>
              <w:start w:w="0" w:type="dxa"/>
              <w:end w:w="0" w:type="dxa"/>
            </w:tcMar>
          </w:tcPr>
          <w:p/>
        </w:tc>
        <w:tc>
          <w:tcPr>
            <w:tcW w:type="dxa" w:w="992"/>
            <w:tcBorders>
              <w:start w:sz="1.599999999999909" w:val="single" w:color="#000000"/>
              <w:top w:sz="5.600000000000023" w:val="single" w:color="#000000"/>
              <w:end w:sz="1.599999999999909" w:val="single" w:color="#000000"/>
              <w:bottom w:sz="1.6000000000001364" w:val="single" w:color="#000000"/>
            </w:tcBorders>
            <w:tcMar>
              <w:start w:w="0" w:type="dxa"/>
              <w:end w:w="0" w:type="dxa"/>
            </w:tcMar>
          </w:tcPr>
          <w:p/>
        </w:tc>
        <w:tc>
          <w:tcPr>
            <w:tcW w:type="dxa" w:w="1132"/>
            <w:tcBorders>
              <w:start w:sz="1.599999999999909" w:val="single" w:color="#000000"/>
              <w:top w:sz="5.600000000000023" w:val="single" w:color="#000000"/>
              <w:end w:sz="2.399999999999636" w:val="single" w:color="#000000"/>
              <w:bottom w:sz="1.6000000000001364" w:val="single" w:color="#000000"/>
            </w:tcBorders>
            <w:tcMar>
              <w:start w:w="0" w:type="dxa"/>
              <w:end w:w="0" w:type="dxa"/>
            </w:tcMar>
          </w:tcPr>
          <w:p/>
        </w:tc>
        <w:tc>
          <w:tcPr>
            <w:tcW w:type="dxa" w:w="1134"/>
            <w:tcBorders>
              <w:start w:sz="2.399999999999636" w:val="single" w:color="#000000"/>
              <w:top w:sz="5.600000000000023" w:val="single" w:color="#000000"/>
              <w:end w:sz="1.599999999999909" w:val="single" w:color="#000000"/>
              <w:bottom w:sz="1.6000000000001364" w:val="single" w:color="#000000"/>
            </w:tcBorders>
            <w:tcMar>
              <w:start w:w="0" w:type="dxa"/>
              <w:end w:w="0" w:type="dxa"/>
            </w:tcMar>
          </w:tcPr>
          <w:p/>
        </w:tc>
        <w:tc>
          <w:tcPr>
            <w:tcW w:type="dxa" w:w="1136"/>
            <w:tcBorders>
              <w:start w:sz="1.599999999999909" w:val="single" w:color="#000000"/>
              <w:top w:sz="5.600000000000023" w:val="single" w:color="#000000"/>
              <w:end w:sz="1.599999999999909" w:val="single" w:color="#000000"/>
              <w:bottom w:sz="1.6000000000001364" w:val="single" w:color="#000000"/>
            </w:tcBorders>
            <w:tcMar>
              <w:start w:w="0" w:type="dxa"/>
              <w:end w:w="0" w:type="dxa"/>
            </w:tcMar>
          </w:tcPr>
          <w:p/>
        </w:tc>
        <w:tc>
          <w:tcPr>
            <w:tcW w:type="dxa" w:w="1016"/>
            <w:tcBorders>
              <w:start w:sz="1.599999999999909" w:val="single" w:color="#000000"/>
              <w:top w:sz="5.600000000000023" w:val="single" w:color="#000000"/>
              <w:end w:sz="2.400000000000091" w:val="single" w:color="#000000"/>
              <w:bottom w:sz="1.6000000000001364" w:val="single" w:color="#000000"/>
            </w:tcBorders>
            <w:tcMar>
              <w:start w:w="0" w:type="dxa"/>
              <w:end w:w="0" w:type="dxa"/>
            </w:tcMar>
          </w:tcPr>
          <w:p/>
        </w:tc>
        <w:tc>
          <w:tcPr>
            <w:tcW w:type="dxa" w:w="796"/>
            <w:tcBorders>
              <w:start w:sz="2.400000000000091" w:val="single" w:color="#000000"/>
              <w:top w:sz="5.600000000000023" w:val="single" w:color="#000000"/>
              <w:end w:sz="1.599999999999909" w:val="single" w:color="#000000"/>
              <w:bottom w:sz="1.6000000000001364" w:val="single" w:color="#000000"/>
            </w:tcBorders>
            <w:tcMar>
              <w:start w:w="0" w:type="dxa"/>
              <w:end w:w="0" w:type="dxa"/>
            </w:tcMar>
          </w:tcPr>
          <w:p/>
        </w:tc>
        <w:tc>
          <w:tcPr>
            <w:tcW w:type="dxa" w:w="1416"/>
            <w:tcBorders>
              <w:start w:sz="1.599999999999909" w:val="single" w:color="#000000"/>
              <w:top w:sz="5.600000000000023" w:val="single" w:color="#000000"/>
              <w:end w:sz="1.6000000000003638" w:val="single" w:color="#000000"/>
              <w:bottom w:sz="1.6000000000001364" w:val="single" w:color="#000000"/>
            </w:tcBorders>
            <w:tcMar>
              <w:start w:w="0" w:type="dxa"/>
              <w:end w:w="0" w:type="dxa"/>
            </w:tcMar>
          </w:tcPr>
          <w:p>
            <w:pPr>
              <w:autoSpaceDN w:val="0"/>
              <w:autoSpaceDE w:val="0"/>
              <w:widowControl/>
              <w:spacing w:line="228" w:lineRule="exact" w:before="0" w:after="0"/>
              <w:ind w:left="108" w:right="224" w:firstLine="0"/>
              <w:jc w:val="both"/>
            </w:pP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6000000000000227" w:val="single" w:color="#000000"/>
              <w:end w:sz="1.5999999999994543" w:val="single" w:color="#000000"/>
              <w:bottom w:sz="1.6000000000001364" w:val="single" w:color="#000000"/>
            </w:tcBorders>
            <w:tcMar>
              <w:start w:w="0" w:type="dxa"/>
              <w:end w:w="0" w:type="dxa"/>
            </w:tcMar>
          </w:tcPr>
          <w:p/>
        </w:tc>
      </w:tr>
      <w:tr>
        <w:trPr>
          <w:trHeight w:hRule="exact" w:val="1640"/>
        </w:trPr>
        <w:tc>
          <w:tcPr>
            <w:tcW w:type="dxa" w:w="1846"/>
            <w:tcBorders>
              <w:start w:sz="1.5999999999999943" w:val="single" w:color="#000000"/>
              <w:top w:sz="1.6000000000001364" w:val="single" w:color="#000000"/>
              <w:end w:sz="1.6000000000000227" w:val="single" w:color="#000000"/>
              <w:bottom w:sz="2.400000000000091" w:val="single" w:color="#000000"/>
            </w:tcBorders>
            <w:tcMar>
              <w:start w:w="0" w:type="dxa"/>
              <w:end w:w="0" w:type="dxa"/>
            </w:tcMar>
          </w:tcPr>
          <w:p>
            <w:pPr>
              <w:autoSpaceDN w:val="0"/>
              <w:autoSpaceDE w:val="0"/>
              <w:widowControl/>
              <w:spacing w:line="238" w:lineRule="exact" w:before="318"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w:t>
            </w:r>
            <w:r>
              <w:rPr>
                <w:rFonts w:ascii="Times New Roman" w:hAnsi="Times New Roman" w:eastAsia="Times New Roman"/>
                <w:b w:val="0"/>
                <w:i w:val="0"/>
                <w:color w:val="000000"/>
                <w:sz w:val="18"/>
              </w:rPr>
              <w:t>(</w:t>
            </w:r>
            <w:r>
              <w:rPr>
                <w:rFonts w:ascii="宋体" w:hAnsi="宋体" w:eastAsia="宋体"/>
                <w:b w:val="0"/>
                <w:i w:val="0"/>
                <w:color w:val="000000"/>
                <w:sz w:val="18"/>
              </w:rPr>
              <w:t>第一期</w:t>
            </w:r>
            <w:r>
              <w:rPr>
                <w:rFonts w:ascii="Times New Roman" w:hAnsi="Times New Roman" w:eastAsia="Times New Roman"/>
                <w:b w:val="0"/>
                <w:i w:val="0"/>
                <w:color w:val="000000"/>
                <w:sz w:val="18"/>
              </w:rPr>
              <w:t xml:space="preserve">) </w:t>
            </w:r>
          </w:p>
        </w:tc>
        <w:tc>
          <w:tcPr>
            <w:tcW w:type="dxa" w:w="1106"/>
            <w:tcBorders>
              <w:start w:sz="1.6000000000000227"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01 </w:t>
            </w:r>
          </w:p>
        </w:tc>
        <w:tc>
          <w:tcPr>
            <w:tcW w:type="dxa" w:w="992"/>
            <w:tcBorders>
              <w:start w:sz="1.599999999999909"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148788 </w:t>
            </w:r>
          </w:p>
        </w:tc>
        <w:tc>
          <w:tcPr>
            <w:tcW w:type="dxa" w:w="1132"/>
            <w:tcBorders>
              <w:start w:sz="1.599999999999909" w:val="single" w:color="#000000"/>
              <w:top w:sz="1.6000000000001364"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730" w:after="0"/>
              <w:ind w:left="0" w:right="0" w:firstLine="0"/>
              <w:jc w:val="center"/>
            </w:pPr>
            <w:r>
              <w:rPr>
                <w:rFonts w:ascii="Times New Roman" w:hAnsi="Times New Roman" w:eastAsia="Times New Roman"/>
                <w:b w:val="0"/>
                <w:i w:val="0"/>
                <w:color w:val="000000"/>
                <w:sz w:val="18"/>
              </w:rPr>
              <w:t xml:space="preserve">2024-06-20 </w:t>
            </w:r>
          </w:p>
        </w:tc>
        <w:tc>
          <w:tcPr>
            <w:tcW w:type="dxa" w:w="1134"/>
            <w:tcBorders>
              <w:start w:sz="2.399999999999636"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2024-06-24 </w:t>
            </w:r>
          </w:p>
        </w:tc>
        <w:tc>
          <w:tcPr>
            <w:tcW w:type="dxa" w:w="1136"/>
            <w:tcBorders>
              <w:start w:sz="1.599999999999909"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2027-06-24 </w:t>
            </w:r>
          </w:p>
        </w:tc>
        <w:tc>
          <w:tcPr>
            <w:tcW w:type="dxa" w:w="1016"/>
            <w:tcBorders>
              <w:start w:sz="1.599999999999909" w:val="single" w:color="#000000"/>
              <w:top w:sz="1.6000000000001364"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180,000 </w:t>
            </w:r>
          </w:p>
        </w:tc>
        <w:tc>
          <w:tcPr>
            <w:tcW w:type="dxa" w:w="796"/>
            <w:tcBorders>
              <w:start w:sz="2.400000000000091" w:val="single" w:color="#000000"/>
              <w:top w:sz="1.6000000000001364"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2.19% </w:t>
            </w:r>
          </w:p>
        </w:tc>
        <w:tc>
          <w:tcPr>
            <w:tcW w:type="dxa" w:w="1416"/>
            <w:tcBorders>
              <w:start w:sz="1.599999999999909" w:val="single" w:color="#000000"/>
              <w:top w:sz="1.6000000000001364"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6000000000001364" w:val="single" w:color="#000000"/>
              <w:end w:sz="1.5999999999994543" w:val="single" w:color="#000000"/>
              <w:bottom w:sz="2.400000000000091" w:val="single" w:color="#000000"/>
            </w:tcBorders>
            <w:tcMar>
              <w:start w:w="0" w:type="dxa"/>
              <w:end w:w="0" w:type="dxa"/>
            </w:tcMar>
          </w:tcPr>
          <w:p>
            <w:pPr>
              <w:autoSpaceDN w:val="0"/>
              <w:autoSpaceDE w:val="0"/>
              <w:widowControl/>
              <w:spacing w:line="236" w:lineRule="exact" w:before="552"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38"/>
        </w:trPr>
        <w:tc>
          <w:tcPr>
            <w:tcW w:type="dxa" w:w="1846"/>
            <w:tcBorders>
              <w:start w:sz="1.5999999999999943" w:val="single" w:color="#000000"/>
              <w:top w:sz="2.400000000000091" w:val="single" w:color="#000000"/>
              <w:end w:sz="1.6000000000000227" w:val="single" w:color="#000000"/>
              <w:bottom w:sz="1.599999999999909" w:val="single" w:color="#000000"/>
            </w:tcBorders>
            <w:tcMar>
              <w:start w:w="0" w:type="dxa"/>
              <w:end w:w="0" w:type="dxa"/>
            </w:tcMar>
          </w:tcPr>
          <w:p>
            <w:pPr>
              <w:autoSpaceDN w:val="0"/>
              <w:autoSpaceDE w:val="0"/>
              <w:widowControl/>
              <w:spacing w:line="238" w:lineRule="exact" w:before="318"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w:t>
            </w:r>
            <w:r>
              <w:rPr>
                <w:rFonts w:ascii="Times New Roman" w:hAnsi="Times New Roman" w:eastAsia="Times New Roman"/>
                <w:b w:val="0"/>
                <w:i w:val="0"/>
                <w:color w:val="000000"/>
                <w:sz w:val="18"/>
              </w:rPr>
              <w:t>(</w:t>
            </w:r>
            <w:r>
              <w:rPr>
                <w:rFonts w:ascii="宋体" w:hAnsi="宋体" w:eastAsia="宋体"/>
                <w:b w:val="0"/>
                <w:i w:val="0"/>
                <w:color w:val="000000"/>
                <w:sz w:val="18"/>
              </w:rPr>
              <w:t>第二期</w:t>
            </w:r>
            <w:r>
              <w:rPr>
                <w:rFonts w:ascii="Times New Roman" w:hAnsi="Times New Roman" w:eastAsia="Times New Roman"/>
                <w:b w:val="0"/>
                <w:i w:val="0"/>
                <w:color w:val="000000"/>
                <w:sz w:val="18"/>
              </w:rPr>
              <w:t xml:space="preserve">) </w:t>
            </w:r>
          </w:p>
        </w:tc>
        <w:tc>
          <w:tcPr>
            <w:tcW w:type="dxa" w:w="1106"/>
            <w:tcBorders>
              <w:start w:sz="1.6000000000000227"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00" w:lineRule="exact" w:before="720" w:after="0"/>
              <w:ind w:left="0" w:right="0" w:firstLine="0"/>
              <w:jc w:val="center"/>
            </w:pP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02 </w:t>
            </w:r>
          </w:p>
        </w:tc>
        <w:tc>
          <w:tcPr>
            <w:tcW w:type="dxa" w:w="992"/>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148823 </w:t>
            </w:r>
          </w:p>
        </w:tc>
        <w:tc>
          <w:tcPr>
            <w:tcW w:type="dxa" w:w="1132"/>
            <w:tcBorders>
              <w:start w:sz="1.599999999999909"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233" w:lineRule="auto" w:before="730" w:after="0"/>
              <w:ind w:left="0" w:right="0" w:firstLine="0"/>
              <w:jc w:val="center"/>
            </w:pPr>
            <w:r>
              <w:rPr>
                <w:rFonts w:ascii="Times New Roman" w:hAnsi="Times New Roman" w:eastAsia="Times New Roman"/>
                <w:b w:val="0"/>
                <w:i w:val="0"/>
                <w:color w:val="000000"/>
                <w:sz w:val="18"/>
              </w:rPr>
              <w:t xml:space="preserve">2024-07-18 </w:t>
            </w:r>
          </w:p>
        </w:tc>
        <w:tc>
          <w:tcPr>
            <w:tcW w:type="dxa" w:w="1134"/>
            <w:tcBorders>
              <w:start w:sz="2.399999999999636"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2024-07-22 </w:t>
            </w:r>
          </w:p>
        </w:tc>
        <w:tc>
          <w:tcPr>
            <w:tcW w:type="dxa" w:w="113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2027-07-22 </w:t>
            </w:r>
          </w:p>
        </w:tc>
        <w:tc>
          <w:tcPr>
            <w:tcW w:type="dxa" w:w="1016"/>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718" w:after="0"/>
              <w:ind w:left="106" w:right="0" w:firstLine="0"/>
              <w:jc w:val="left"/>
            </w:pPr>
            <w:r>
              <w:rPr>
                <w:rFonts w:ascii="Times New Roman" w:hAnsi="Times New Roman" w:eastAsia="Times New Roman"/>
                <w:b w:val="0"/>
                <w:i w:val="0"/>
                <w:color w:val="000000"/>
                <w:sz w:val="18"/>
              </w:rPr>
              <w:t xml:space="preserve">170,000 </w:t>
            </w:r>
          </w:p>
        </w:tc>
        <w:tc>
          <w:tcPr>
            <w:tcW w:type="dxa" w:w="796"/>
            <w:tcBorders>
              <w:start w:sz="2.400000000000091"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8" w:after="0"/>
              <w:ind w:left="0" w:right="0" w:firstLine="0"/>
              <w:jc w:val="center"/>
            </w:pPr>
            <w:r>
              <w:rPr>
                <w:rFonts w:ascii="Times New Roman" w:hAnsi="Times New Roman" w:eastAsia="Times New Roman"/>
                <w:b w:val="0"/>
                <w:i w:val="0"/>
                <w:color w:val="000000"/>
                <w:sz w:val="18"/>
              </w:rPr>
              <w:t xml:space="preserve">2.14% </w:t>
            </w:r>
          </w:p>
        </w:tc>
        <w:tc>
          <w:tcPr>
            <w:tcW w:type="dxa" w:w="1416"/>
            <w:tcBorders>
              <w:start w:sz="1.599999999999909"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236" w:lineRule="exact" w:before="552"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40"/>
        </w:trPr>
        <w:tc>
          <w:tcPr>
            <w:tcW w:type="dxa" w:w="1846"/>
            <w:tcBorders>
              <w:start w:sz="1.5999999999999943" w:val="single" w:color="#000000"/>
              <w:top w:sz="1.599999999999909" w:val="single" w:color="#000000"/>
              <w:end w:sz="1.6000000000000227" w:val="single" w:color="#000000"/>
              <w:bottom w:sz="1.599999999999909" w:val="single" w:color="#000000"/>
            </w:tcBorders>
            <w:tcMar>
              <w:start w:w="0" w:type="dxa"/>
              <w:end w:w="0" w:type="dxa"/>
            </w:tcMar>
          </w:tcPr>
          <w:p>
            <w:pPr>
              <w:autoSpaceDN w:val="0"/>
              <w:autoSpaceDE w:val="0"/>
              <w:widowControl/>
              <w:spacing w:line="236" w:lineRule="exact" w:before="204"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w:t>
            </w:r>
            <w:r>
              <w:rPr>
                <w:rFonts w:ascii="Times New Roman" w:hAnsi="Times New Roman" w:eastAsia="Times New Roman"/>
                <w:b w:val="0"/>
                <w:i w:val="0"/>
                <w:color w:val="000000"/>
                <w:sz w:val="18"/>
              </w:rPr>
              <w:t>(</w:t>
            </w:r>
            <w:r>
              <w:rPr>
                <w:rFonts w:ascii="宋体" w:hAnsi="宋体" w:eastAsia="宋体"/>
                <w:b w:val="0"/>
                <w:i w:val="0"/>
                <w:color w:val="000000"/>
                <w:sz w:val="18"/>
              </w:rPr>
              <w:t>第三期</w:t>
            </w:r>
            <w:r>
              <w:rPr>
                <w:rFonts w:ascii="Times New Roman" w:hAnsi="Times New Roman" w:eastAsia="Times New Roman"/>
                <w:b w:val="0"/>
                <w:i w:val="0"/>
                <w:color w:val="000000"/>
                <w:sz w:val="18"/>
              </w:rPr>
              <w:t>)(</w:t>
            </w:r>
            <w:r>
              <w:rPr>
                <w:rFonts w:ascii="宋体" w:hAnsi="宋体" w:eastAsia="宋体"/>
                <w:b w:val="0"/>
                <w:i w:val="0"/>
                <w:color w:val="000000"/>
                <w:sz w:val="18"/>
              </w:rPr>
              <w:t>品种</w:t>
            </w:r>
            <w:r>
              <w:br/>
            </w:r>
            <w:r>
              <w:rPr>
                <w:rFonts w:ascii="宋体" w:hAnsi="宋体" w:eastAsia="宋体"/>
                <w:b w:val="0"/>
                <w:i w:val="0"/>
                <w:color w:val="000000"/>
                <w:sz w:val="18"/>
              </w:rPr>
              <w:t>二</w:t>
            </w:r>
            <w:r>
              <w:rPr>
                <w:rFonts w:ascii="Times New Roman" w:hAnsi="Times New Roman" w:eastAsia="Times New Roman"/>
                <w:b w:val="0"/>
                <w:i w:val="0"/>
                <w:color w:val="000000"/>
                <w:sz w:val="18"/>
              </w:rPr>
              <w:t xml:space="preserve">) </w:t>
            </w:r>
          </w:p>
        </w:tc>
        <w:tc>
          <w:tcPr>
            <w:tcW w:type="dxa" w:w="1106"/>
            <w:tcBorders>
              <w:start w:sz="1.6000000000000227"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98" w:lineRule="exact" w:before="722" w:after="0"/>
              <w:ind w:left="0" w:right="0" w:firstLine="0"/>
              <w:jc w:val="center"/>
            </w:pP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04 </w:t>
            </w:r>
          </w:p>
        </w:tc>
        <w:tc>
          <w:tcPr>
            <w:tcW w:type="dxa" w:w="992"/>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148934 </w:t>
            </w:r>
          </w:p>
        </w:tc>
        <w:tc>
          <w:tcPr>
            <w:tcW w:type="dxa" w:w="1132"/>
            <w:tcBorders>
              <w:start w:sz="1.599999999999909"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230" w:lineRule="auto" w:before="732" w:after="0"/>
              <w:ind w:left="0" w:right="0" w:firstLine="0"/>
              <w:jc w:val="center"/>
            </w:pPr>
            <w:r>
              <w:rPr>
                <w:rFonts w:ascii="Times New Roman" w:hAnsi="Times New Roman" w:eastAsia="Times New Roman"/>
                <w:b w:val="0"/>
                <w:i w:val="0"/>
                <w:color w:val="000000"/>
                <w:sz w:val="18"/>
              </w:rPr>
              <w:t xml:space="preserve">2024-10-15 </w:t>
            </w:r>
          </w:p>
        </w:tc>
        <w:tc>
          <w:tcPr>
            <w:tcW w:type="dxa" w:w="1134"/>
            <w:tcBorders>
              <w:start w:sz="2.399999999999636"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2024-10-17 </w:t>
            </w:r>
          </w:p>
        </w:tc>
        <w:tc>
          <w:tcPr>
            <w:tcW w:type="dxa" w:w="113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2027-10-17 </w:t>
            </w:r>
          </w:p>
        </w:tc>
        <w:tc>
          <w:tcPr>
            <w:tcW w:type="dxa" w:w="1016"/>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3" w:lineRule="auto" w:before="716" w:after="0"/>
              <w:ind w:left="106" w:right="0" w:firstLine="0"/>
              <w:jc w:val="left"/>
            </w:pPr>
            <w:r>
              <w:rPr>
                <w:rFonts w:ascii="Times New Roman" w:hAnsi="Times New Roman" w:eastAsia="Times New Roman"/>
                <w:b w:val="0"/>
                <w:i w:val="0"/>
                <w:color w:val="000000"/>
                <w:sz w:val="18"/>
              </w:rPr>
              <w:t xml:space="preserve">180,000 </w:t>
            </w:r>
          </w:p>
        </w:tc>
        <w:tc>
          <w:tcPr>
            <w:tcW w:type="dxa" w:w="796"/>
            <w:tcBorders>
              <w:start w:sz="2.400000000000091"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2.25% </w:t>
            </w:r>
          </w:p>
        </w:tc>
        <w:tc>
          <w:tcPr>
            <w:tcW w:type="dxa" w:w="1416"/>
            <w:tcBorders>
              <w:start w:sz="1.599999999999909"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234" w:lineRule="exact" w:before="556"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1638"/>
        </w:trPr>
        <w:tc>
          <w:tcPr>
            <w:tcW w:type="dxa" w:w="1846"/>
            <w:tcBorders>
              <w:start w:sz="1.5999999999999943" w:val="single" w:color="#000000"/>
              <w:top w:sz="1.599999999999909" w:val="single" w:color="#000000"/>
              <w:end w:sz="1.6000000000000227" w:val="single" w:color="#000000"/>
              <w:bottom w:sz="2.400000000000091" w:val="single" w:color="#000000"/>
            </w:tcBorders>
            <w:tcMar>
              <w:start w:w="0" w:type="dxa"/>
              <w:end w:w="0" w:type="dxa"/>
            </w:tcMar>
          </w:tcPr>
          <w:p>
            <w:pPr>
              <w:autoSpaceDN w:val="0"/>
              <w:autoSpaceDE w:val="0"/>
              <w:widowControl/>
              <w:spacing w:line="238" w:lineRule="exact" w:before="318" w:after="0"/>
              <w:ind w:left="108" w:right="0" w:firstLine="0"/>
              <w:jc w:val="left"/>
            </w:pPr>
            <w:r>
              <w:rPr>
                <w:rFonts w:ascii="宋体" w:hAnsi="宋体" w:eastAsia="宋体"/>
                <w:b w:val="0"/>
                <w:i w:val="0"/>
                <w:color w:val="000000"/>
                <w:sz w:val="18"/>
              </w:rPr>
              <w:t>山西证券股份有限公</w:t>
            </w:r>
            <w:r>
              <w:rPr>
                <w:rFonts w:ascii="宋体" w:hAnsi="宋体" w:eastAsia="宋体"/>
                <w:b w:val="0"/>
                <w:i w:val="0"/>
                <w:color w:val="000000"/>
                <w:sz w:val="18"/>
              </w:rPr>
              <w:t>司</w:t>
            </w:r>
            <w:r>
              <w:rPr>
                <w:rFonts w:ascii="Times New Roman" w:hAnsi="Times New Roman" w:eastAsia="Times New Roman"/>
                <w:b w:val="0"/>
                <w:i w:val="0"/>
                <w:color w:val="000000"/>
                <w:sz w:val="18"/>
              </w:rPr>
              <w:t>2024</w:t>
            </w:r>
            <w:r>
              <w:rPr>
                <w:rFonts w:ascii="宋体" w:hAnsi="宋体" w:eastAsia="宋体"/>
                <w:b w:val="0"/>
                <w:i w:val="0"/>
                <w:color w:val="000000"/>
                <w:sz w:val="18"/>
              </w:rPr>
              <w:t xml:space="preserve"> 年面向专业</w:t>
            </w:r>
            <w:r>
              <w:rPr>
                <w:rFonts w:ascii="宋体" w:hAnsi="宋体" w:eastAsia="宋体"/>
                <w:b w:val="0"/>
                <w:i w:val="0"/>
                <w:color w:val="000000"/>
                <w:sz w:val="18"/>
              </w:rPr>
              <w:t>投资者公开发行公司</w:t>
            </w:r>
            <w:r>
              <w:rPr>
                <w:rFonts w:ascii="宋体" w:hAnsi="宋体" w:eastAsia="宋体"/>
                <w:b w:val="0"/>
                <w:i w:val="0"/>
                <w:color w:val="000000"/>
                <w:sz w:val="18"/>
              </w:rPr>
              <w:t>债券</w:t>
            </w:r>
            <w:r>
              <w:rPr>
                <w:rFonts w:ascii="Times New Roman" w:hAnsi="Times New Roman" w:eastAsia="Times New Roman"/>
                <w:b w:val="0"/>
                <w:i w:val="0"/>
                <w:color w:val="000000"/>
                <w:sz w:val="18"/>
              </w:rPr>
              <w:t>(</w:t>
            </w:r>
            <w:r>
              <w:rPr>
                <w:rFonts w:ascii="宋体" w:hAnsi="宋体" w:eastAsia="宋体"/>
                <w:b w:val="0"/>
                <w:i w:val="0"/>
                <w:color w:val="000000"/>
                <w:sz w:val="18"/>
              </w:rPr>
              <w:t>第四期</w:t>
            </w:r>
            <w:r>
              <w:rPr>
                <w:rFonts w:ascii="Times New Roman" w:hAnsi="Times New Roman" w:eastAsia="Times New Roman"/>
                <w:b w:val="0"/>
                <w:i w:val="0"/>
                <w:color w:val="000000"/>
                <w:sz w:val="18"/>
              </w:rPr>
              <w:t xml:space="preserve">) </w:t>
            </w:r>
          </w:p>
        </w:tc>
        <w:tc>
          <w:tcPr>
            <w:tcW w:type="dxa" w:w="1106"/>
            <w:tcBorders>
              <w:start w:sz="1.6000000000000227"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98" w:lineRule="exact" w:before="722" w:after="0"/>
              <w:ind w:left="0" w:right="0" w:firstLine="0"/>
              <w:jc w:val="center"/>
            </w:pPr>
            <w:r>
              <w:rPr>
                <w:rFonts w:ascii="Times New Roman" w:hAnsi="Times New Roman" w:eastAsia="Times New Roman"/>
                <w:b w:val="0"/>
                <w:i w:val="0"/>
                <w:color w:val="000000"/>
                <w:sz w:val="18"/>
              </w:rPr>
              <w:t>24</w:t>
            </w:r>
            <w:r>
              <w:rPr>
                <w:rFonts w:ascii="宋体" w:hAnsi="宋体" w:eastAsia="宋体"/>
                <w:b w:val="0"/>
                <w:i w:val="0"/>
                <w:color w:val="000000"/>
                <w:sz w:val="18"/>
              </w:rPr>
              <w:t xml:space="preserve"> 山证</w:t>
            </w:r>
            <w:r>
              <w:rPr>
                <w:rFonts w:ascii="Times New Roman" w:hAnsi="Times New Roman" w:eastAsia="Times New Roman"/>
                <w:b w:val="0"/>
                <w:i w:val="0"/>
                <w:color w:val="000000"/>
                <w:sz w:val="18"/>
              </w:rPr>
              <w:t xml:space="preserve">05 </w:t>
            </w:r>
          </w:p>
        </w:tc>
        <w:tc>
          <w:tcPr>
            <w:tcW w:type="dxa" w:w="992"/>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524053 </w:t>
            </w:r>
          </w:p>
        </w:tc>
        <w:tc>
          <w:tcPr>
            <w:tcW w:type="dxa" w:w="1132"/>
            <w:tcBorders>
              <w:start w:sz="1.599999999999909"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233" w:lineRule="auto" w:before="730" w:after="0"/>
              <w:ind w:left="0" w:right="0" w:firstLine="0"/>
              <w:jc w:val="center"/>
            </w:pPr>
            <w:r>
              <w:rPr>
                <w:rFonts w:ascii="Times New Roman" w:hAnsi="Times New Roman" w:eastAsia="Times New Roman"/>
                <w:b w:val="0"/>
                <w:i w:val="0"/>
                <w:color w:val="000000"/>
                <w:sz w:val="18"/>
              </w:rPr>
              <w:t xml:space="preserve">2024-12-03 </w:t>
            </w:r>
          </w:p>
        </w:tc>
        <w:tc>
          <w:tcPr>
            <w:tcW w:type="dxa" w:w="1134"/>
            <w:tcBorders>
              <w:start w:sz="2.399999999999636"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2024-12-05 </w:t>
            </w:r>
          </w:p>
        </w:tc>
        <w:tc>
          <w:tcPr>
            <w:tcW w:type="dxa" w:w="1136"/>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2027-12-05 </w:t>
            </w:r>
          </w:p>
        </w:tc>
        <w:tc>
          <w:tcPr>
            <w:tcW w:type="dxa" w:w="1016"/>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3" w:lineRule="auto" w:before="716" w:after="0"/>
              <w:ind w:left="106" w:right="0" w:firstLine="0"/>
              <w:jc w:val="left"/>
            </w:pPr>
            <w:r>
              <w:rPr>
                <w:rFonts w:ascii="Times New Roman" w:hAnsi="Times New Roman" w:eastAsia="Times New Roman"/>
                <w:b w:val="0"/>
                <w:i w:val="0"/>
                <w:color w:val="000000"/>
                <w:sz w:val="18"/>
              </w:rPr>
              <w:t xml:space="preserve">70,000 </w:t>
            </w:r>
          </w:p>
        </w:tc>
        <w:tc>
          <w:tcPr>
            <w:tcW w:type="dxa" w:w="796"/>
            <w:tcBorders>
              <w:start w:sz="2.400000000000091"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33" w:lineRule="auto" w:before="716" w:after="0"/>
              <w:ind w:left="0" w:right="0" w:firstLine="0"/>
              <w:jc w:val="center"/>
            </w:pPr>
            <w:r>
              <w:rPr>
                <w:rFonts w:ascii="Times New Roman" w:hAnsi="Times New Roman" w:eastAsia="Times New Roman"/>
                <w:b w:val="0"/>
                <w:i w:val="0"/>
                <w:color w:val="000000"/>
                <w:sz w:val="18"/>
              </w:rPr>
              <w:t xml:space="preserve">2.03% </w:t>
            </w:r>
          </w:p>
        </w:tc>
        <w:tc>
          <w:tcPr>
            <w:tcW w:type="dxa" w:w="1416"/>
            <w:tcBorders>
              <w:start w:sz="1.599999999999909"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230" w:lineRule="exact" w:before="0" w:after="0"/>
              <w:ind w:left="108" w:right="144" w:firstLine="0"/>
              <w:jc w:val="left"/>
            </w:pPr>
            <w:r>
              <w:rPr>
                <w:rFonts w:ascii="宋体" w:hAnsi="宋体" w:eastAsia="宋体"/>
                <w:b w:val="0"/>
                <w:i w:val="0"/>
                <w:color w:val="000000"/>
                <w:sz w:val="18"/>
              </w:rPr>
              <w:t>本期债券采用</w:t>
            </w:r>
            <w:r>
              <w:rPr>
                <w:rFonts w:ascii="宋体" w:hAnsi="宋体" w:eastAsia="宋体"/>
                <w:b w:val="0"/>
                <w:i w:val="0"/>
                <w:color w:val="000000"/>
                <w:sz w:val="18"/>
              </w:rPr>
              <w:t>单利按年计</w:t>
            </w:r>
            <w:r>
              <w:br/>
            </w:r>
            <w:r>
              <w:rPr>
                <w:rFonts w:ascii="宋体" w:hAnsi="宋体" w:eastAsia="宋体"/>
                <w:b w:val="0"/>
                <w:i w:val="0"/>
                <w:color w:val="000000"/>
                <w:sz w:val="18"/>
              </w:rPr>
              <w:t>息，每年付息</w:t>
            </w:r>
            <w:r>
              <w:rPr>
                <w:rFonts w:ascii="宋体" w:hAnsi="宋体" w:eastAsia="宋体"/>
                <w:b w:val="0"/>
                <w:i w:val="0"/>
                <w:color w:val="000000"/>
                <w:sz w:val="18"/>
              </w:rPr>
              <w:t>一次，到期一</w:t>
            </w:r>
            <w:r>
              <w:rPr>
                <w:rFonts w:ascii="宋体" w:hAnsi="宋体" w:eastAsia="宋体"/>
                <w:b w:val="0"/>
                <w:i w:val="0"/>
                <w:color w:val="000000"/>
                <w:sz w:val="18"/>
              </w:rPr>
              <w:t>次还本，最后</w:t>
            </w:r>
            <w:r>
              <w:rPr>
                <w:rFonts w:ascii="宋体" w:hAnsi="宋体" w:eastAsia="宋体"/>
                <w:b w:val="0"/>
                <w:i w:val="0"/>
                <w:color w:val="000000"/>
                <w:sz w:val="18"/>
              </w:rPr>
              <w:t>一期利息随本</w:t>
            </w:r>
            <w:r>
              <w:rPr>
                <w:rFonts w:ascii="宋体" w:hAnsi="宋体" w:eastAsia="宋体"/>
                <w:b w:val="0"/>
                <w:i w:val="0"/>
                <w:color w:val="000000"/>
                <w:sz w:val="18"/>
              </w:rPr>
              <w:t>金一起支付。</w:t>
            </w:r>
          </w:p>
        </w:tc>
        <w:tc>
          <w:tcPr>
            <w:tcW w:type="dxa" w:w="994"/>
            <w:tcBorders>
              <w:start w:sz="1.6000000000003638"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234" w:lineRule="exact" w:before="556" w:after="0"/>
              <w:ind w:left="0" w:right="0" w:firstLine="0"/>
              <w:jc w:val="center"/>
            </w:pPr>
            <w:r>
              <w:rPr>
                <w:rFonts w:ascii="宋体" w:hAnsi="宋体" w:eastAsia="宋体"/>
                <w:b w:val="0"/>
                <w:i w:val="0"/>
                <w:color w:val="000000"/>
                <w:sz w:val="18"/>
              </w:rPr>
              <w:t>深圳证券</w:t>
            </w:r>
            <w:r>
              <w:rPr>
                <w:rFonts w:ascii="宋体" w:hAnsi="宋体" w:eastAsia="宋体"/>
                <w:b w:val="0"/>
                <w:i w:val="0"/>
                <w:color w:val="000000"/>
                <w:sz w:val="18"/>
              </w:rPr>
              <w:t>交易所</w:t>
            </w:r>
          </w:p>
        </w:tc>
      </w:tr>
      <w:tr>
        <w:trPr>
          <w:trHeight w:hRule="exact" w:val="324"/>
        </w:trPr>
        <w:tc>
          <w:tcPr>
            <w:tcW w:type="dxa" w:w="3944"/>
            <w:gridSpan w:val="3"/>
            <w:tcBorders>
              <w:start w:sz="1.5999999999999943" w:val="single" w:color="#000000"/>
              <w:top w:sz="2.400000000000091" w:val="single" w:color="#000000"/>
              <w:end w:sz="1.599999999999909" w:val="single" w:color="#000000"/>
              <w:bottom w:sz="2.399999999999636"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80" w:lineRule="exact" w:before="78" w:after="0"/>
              <w:ind w:left="0" w:right="0" w:firstLine="0"/>
              <w:jc w:val="center"/>
            </w:pPr>
            <w:r>
              <w:rPr>
                <w:rFonts w:ascii="宋体" w:hAnsi="宋体" w:eastAsia="宋体"/>
                <w:b w:val="0"/>
                <w:i w:val="0"/>
                <w:color w:val="000000"/>
                <w:sz w:val="18"/>
              </w:rPr>
              <w:t>投资者适当性安排</w:t>
            </w:r>
          </w:p>
        </w:tc>
        <w:tc>
          <w:tcPr>
            <w:tcW w:type="dxa" w:w="7624"/>
            <w:gridSpan w:val="7"/>
            <w:tcBorders>
              <w:start w:sz="1.599999999999909" w:val="single" w:color="#000000"/>
              <w:top w:sz="2.400000000000091" w:val="single" w:color="#000000"/>
              <w:end w:sz="1.5999999999994543" w:val="single" w:color="#000000"/>
              <w:bottom w:sz="2.39999999999963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70" w:after="0"/>
              <w:ind w:left="0" w:right="0" w:firstLine="0"/>
              <w:jc w:val="center"/>
            </w:pPr>
            <w:r>
              <w:rPr>
                <w:rFonts w:ascii="宋体" w:hAnsi="宋体" w:eastAsia="宋体"/>
                <w:b w:val="0"/>
                <w:i w:val="0"/>
                <w:color w:val="000000"/>
                <w:sz w:val="18"/>
              </w:rPr>
              <w:t>面向专业投资者发行</w:t>
            </w:r>
          </w:p>
        </w:tc>
      </w:tr>
      <w:tr>
        <w:trPr>
          <w:trHeight w:hRule="exact" w:val="606"/>
        </w:trPr>
        <w:tc>
          <w:tcPr>
            <w:tcW w:type="dxa" w:w="3944"/>
            <w:gridSpan w:val="3"/>
            <w:tcBorders>
              <w:start w:sz="1.5999999999999943" w:val="single" w:color="#000000"/>
              <w:top w:sz="2.399999999999636" w:val="single" w:color="#000000"/>
              <w:end w:sz="1.599999999999909" w:val="single" w:color="#000000"/>
              <w:bottom w:sz="1.6000000000003638"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180" w:lineRule="exact" w:before="236" w:after="0"/>
              <w:ind w:left="0" w:right="0" w:firstLine="0"/>
              <w:jc w:val="center"/>
            </w:pPr>
            <w:r>
              <w:rPr>
                <w:rFonts w:ascii="宋体" w:hAnsi="宋体" w:eastAsia="宋体"/>
                <w:b w:val="0"/>
                <w:i w:val="0"/>
                <w:color w:val="000000"/>
                <w:sz w:val="18"/>
              </w:rPr>
              <w:t>适用的交易机制</w:t>
            </w:r>
          </w:p>
        </w:tc>
        <w:tc>
          <w:tcPr>
            <w:tcW w:type="dxa" w:w="7624"/>
            <w:gridSpan w:val="7"/>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4" w:lineRule="exact" w:before="0" w:after="0"/>
              <w:ind w:left="0" w:right="0" w:firstLine="0"/>
              <w:jc w:val="center"/>
            </w:pPr>
            <w:r>
              <w:rPr>
                <w:rFonts w:ascii="宋体" w:hAnsi="宋体" w:eastAsia="宋体"/>
                <w:b w:val="0"/>
                <w:i w:val="0"/>
                <w:color w:val="000000"/>
                <w:sz w:val="18"/>
              </w:rPr>
              <w:t>公开发行债券的现券交易可采用匹配成交、点击成交、询价成交、竞买成交及协商成交交易方</w:t>
            </w:r>
            <w:r>
              <w:rPr>
                <w:rFonts w:ascii="宋体" w:hAnsi="宋体" w:eastAsia="宋体"/>
                <w:b w:val="0"/>
                <w:i w:val="0"/>
                <w:color w:val="000000"/>
                <w:sz w:val="18"/>
              </w:rPr>
              <w:t>式；非公开发行债券的现券交易可采用点击成交、询价成交、竞买成交及协商成交交易方式。</w:t>
            </w:r>
          </w:p>
        </w:tc>
      </w:tr>
      <w:tr>
        <w:trPr>
          <w:trHeight w:hRule="exact" w:val="568"/>
        </w:trPr>
        <w:tc>
          <w:tcPr>
            <w:tcW w:type="dxa" w:w="3944"/>
            <w:gridSpan w:val="3"/>
            <w:tcBorders>
              <w:start w:sz="1.5999999999999943" w:val="single" w:color="#000000"/>
              <w:top w:sz="1.6000000000003638" w:val="single" w:color="#000000"/>
              <w:end w:sz="1.599999999999909" w:val="single" w:color="#000000"/>
              <w:bottom w:sz="2.399999999999636" w:val="single" w:color="#000000"/>
            </w:tcBorders>
            <w:shd w:fill="d2d2d2"/>
            <w:tcMar>
              <w:start w:w="0" w:type="dxa"/>
              <w:end w:w="0" w:type="dxa"/>
            </w:tcMar>
            <w:tcMar>
              <w:start w:w="0" w:type="dxa"/>
              <w:end w:w="0" w:type="dxa"/>
            </w:tcMar>
            <w:tcMar>
              <w:start w:w="0" w:type="dxa"/>
              <w:end w:w="0" w:type="dxa"/>
            </w:tcMar>
          </w:tcPr>
          <w:p>
            <w:pPr>
              <w:autoSpaceDN w:val="0"/>
              <w:autoSpaceDE w:val="0"/>
              <w:widowControl/>
              <w:spacing w:line="238" w:lineRule="exact" w:before="20" w:after="0"/>
              <w:ind w:left="144" w:right="144" w:firstLine="0"/>
              <w:jc w:val="center"/>
            </w:pPr>
            <w:r>
              <w:rPr>
                <w:rFonts w:ascii="宋体" w:hAnsi="宋体" w:eastAsia="宋体"/>
                <w:b w:val="0"/>
                <w:i w:val="0"/>
                <w:color w:val="000000"/>
                <w:sz w:val="18"/>
              </w:rPr>
              <w:t>是否存在终止上市交易的风险（如有）和应对</w:t>
            </w:r>
            <w:r>
              <w:rPr>
                <w:rFonts w:ascii="宋体" w:hAnsi="宋体" w:eastAsia="宋体"/>
                <w:b w:val="0"/>
                <w:i w:val="0"/>
                <w:color w:val="000000"/>
                <w:sz w:val="18"/>
              </w:rPr>
              <w:t>措施</w:t>
            </w:r>
          </w:p>
        </w:tc>
        <w:tc>
          <w:tcPr>
            <w:tcW w:type="dxa" w:w="7624"/>
            <w:gridSpan w:val="7"/>
            <w:tcBorders>
              <w:start w:sz="1.599999999999909" w:val="single" w:color="#000000"/>
              <w:top w:sz="1.6000000000003638" w:val="single" w:color="#000000"/>
              <w:end w:sz="1.5999999999994543" w:val="single" w:color="#000000"/>
              <w:bottom w:sz="2.399999999999636"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198" w:after="0"/>
              <w:ind w:left="0" w:right="0" w:firstLine="0"/>
              <w:jc w:val="center"/>
            </w:pPr>
            <w:r>
              <w:rPr>
                <w:rFonts w:ascii="宋体" w:hAnsi="宋体" w:eastAsia="宋体"/>
                <w:b w:val="0"/>
                <w:i w:val="0"/>
                <w:color w:val="000000"/>
                <w:sz w:val="18"/>
              </w:rPr>
              <w:t>不适用</w:t>
            </w:r>
          </w:p>
        </w:tc>
      </w:tr>
    </w:tbl>
    <w:p>
      <w:pPr>
        <w:autoSpaceDN w:val="0"/>
        <w:autoSpaceDE w:val="0"/>
        <w:widowControl/>
        <w:spacing w:line="180" w:lineRule="exact" w:before="136" w:after="0"/>
        <w:ind w:left="968" w:right="0" w:firstLine="0"/>
        <w:jc w:val="left"/>
      </w:pPr>
      <w:r>
        <w:rPr>
          <w:rFonts w:ascii="宋体" w:hAnsi="宋体" w:eastAsia="宋体"/>
          <w:b w:val="0"/>
          <w:i w:val="0"/>
          <w:color w:val="000000"/>
          <w:sz w:val="18"/>
        </w:rPr>
        <w:t xml:space="preserve">逾期未偿还债券 </w:t>
      </w:r>
    </w:p>
    <w:p>
      <w:pPr>
        <w:autoSpaceDN w:val="0"/>
        <w:autoSpaceDE w:val="0"/>
        <w:widowControl/>
        <w:spacing w:line="180" w:lineRule="exact" w:before="158" w:after="0"/>
        <w:ind w:left="968"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8" w:after="0"/>
        <w:ind w:left="968" w:right="0" w:firstLine="0"/>
        <w:jc w:val="left"/>
      </w:pPr>
      <w:r>
        <w:rPr>
          <w:rFonts w:ascii="宋体" w:hAnsi="宋体" w:eastAsia="宋体"/>
          <w:b w:val="0"/>
          <w:i w:val="0"/>
          <w:color w:val="000000"/>
          <w:sz w:val="21"/>
        </w:rPr>
        <w:t xml:space="preserve">2、发行人或投资者选择权条款、投资者保护条款的触发和执行情况 </w:t>
      </w:r>
    </w:p>
    <w:p>
      <w:pPr>
        <w:autoSpaceDN w:val="0"/>
        <w:autoSpaceDE w:val="0"/>
        <w:widowControl/>
        <w:spacing w:line="180" w:lineRule="exact" w:before="360" w:after="0"/>
        <w:ind w:left="968" w:right="0" w:firstLine="0"/>
        <w:jc w:val="left"/>
      </w:pPr>
      <w:r>
        <w:rPr>
          <w:rFonts w:ascii="宋体" w:hAnsi="宋体" w:eastAsia="宋体"/>
          <w:b w:val="0"/>
          <w:i w:val="0"/>
          <w:color w:val="000000"/>
          <w:sz w:val="18"/>
        </w:rPr>
        <w:t xml:space="preserve">□适用 √不适用 </w:t>
      </w:r>
    </w:p>
    <w:p>
      <w:pPr>
        <w:autoSpaceDN w:val="0"/>
        <w:autoSpaceDE w:val="0"/>
        <w:widowControl/>
        <w:spacing w:line="210" w:lineRule="exact" w:before="370" w:after="324"/>
        <w:ind w:left="968" w:right="0" w:firstLine="0"/>
        <w:jc w:val="left"/>
      </w:pPr>
      <w:r>
        <w:rPr>
          <w:rFonts w:ascii="宋体" w:hAnsi="宋体" w:eastAsia="宋体"/>
          <w:b w:val="0"/>
          <w:i w:val="0"/>
          <w:color w:val="000000"/>
          <w:sz w:val="21"/>
        </w:rPr>
        <w:t>3、中介机构的情况</w:t>
      </w:r>
    </w:p>
    <w:tbl>
      <w:tblPr>
        <w:tblW w:type="auto" w:w="0"/>
        <w:tblLayout w:type="fixed"/>
        <w:tblLook w:firstColumn="1" w:firstRow="1" w:lastColumn="0" w:lastRow="0" w:noHBand="0" w:noVBand="1" w:val="04A0"/>
        <w:tblInd w:w="558.0" w:type="dxa"/>
      </w:tblPr>
      <w:tblGrid>
        <w:gridCol w:w="1932"/>
        <w:gridCol w:w="1932"/>
        <w:gridCol w:w="1932"/>
        <w:gridCol w:w="1932"/>
        <w:gridCol w:w="1932"/>
        <w:gridCol w:w="1932"/>
      </w:tblGrid>
      <w:tr>
        <w:trPr>
          <w:trHeight w:hRule="exact" w:val="456"/>
        </w:trPr>
        <w:tc>
          <w:tcPr>
            <w:tcW w:type="dxa" w:w="1490"/>
            <w:tcBorders>
              <w:start w:sz="2.3999999999999773" w:val="single" w:color="#000000"/>
              <w:top w:sz="2.399999999999636" w:val="single" w:color="#000000"/>
              <w:end w:sz="2.3999999999999773"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198" w:right="0" w:firstLine="0"/>
              <w:jc w:val="left"/>
            </w:pPr>
            <w:r>
              <w:rPr>
                <w:rFonts w:ascii="宋体" w:hAnsi="宋体" w:eastAsia="宋体"/>
                <w:b w:val="0"/>
                <w:i w:val="0"/>
                <w:color w:val="000000"/>
                <w:sz w:val="18"/>
              </w:rPr>
              <w:t xml:space="preserve">债券项目名称 </w:t>
            </w:r>
          </w:p>
        </w:tc>
        <w:tc>
          <w:tcPr>
            <w:tcW w:type="dxa" w:w="2124"/>
            <w:tcBorders>
              <w:start w:sz="2.3999999999999773" w:val="single" w:color="#000000"/>
              <w:top w:sz="2.399999999999636"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518" w:right="0" w:firstLine="0"/>
              <w:jc w:val="left"/>
            </w:pPr>
            <w:r>
              <w:rPr>
                <w:rFonts w:ascii="宋体" w:hAnsi="宋体" w:eastAsia="宋体"/>
                <w:b w:val="0"/>
                <w:i w:val="0"/>
                <w:color w:val="000000"/>
                <w:sz w:val="18"/>
              </w:rPr>
              <w:t xml:space="preserve">中介机构名称 </w:t>
            </w:r>
          </w:p>
        </w:tc>
        <w:tc>
          <w:tcPr>
            <w:tcW w:type="dxa" w:w="2410"/>
            <w:tcBorders>
              <w:start w:sz="1.599999999999909" w:val="single" w:color="#000000"/>
              <w:top w:sz="2.399999999999636"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0" w:right="750" w:firstLine="0"/>
              <w:jc w:val="right"/>
            </w:pPr>
            <w:r>
              <w:rPr>
                <w:rFonts w:ascii="宋体" w:hAnsi="宋体" w:eastAsia="宋体"/>
                <w:b w:val="0"/>
                <w:i w:val="0"/>
                <w:color w:val="000000"/>
                <w:sz w:val="18"/>
              </w:rPr>
              <w:t xml:space="preserve">办公地址 </w:t>
            </w:r>
          </w:p>
        </w:tc>
        <w:tc>
          <w:tcPr>
            <w:tcW w:type="dxa" w:w="1560"/>
            <w:tcBorders>
              <w:start w:sz="1.599999999999909" w:val="single" w:color="#000000"/>
              <w:top w:sz="2.399999999999636" w:val="single" w:color="#000000"/>
              <w:end w:sz="1.599999999999909"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146" w:right="0" w:firstLine="0"/>
              <w:jc w:val="left"/>
            </w:pPr>
            <w:r>
              <w:rPr>
                <w:rFonts w:ascii="宋体" w:hAnsi="宋体" w:eastAsia="宋体"/>
                <w:b w:val="0"/>
                <w:i w:val="0"/>
                <w:color w:val="000000"/>
                <w:sz w:val="18"/>
              </w:rPr>
              <w:t xml:space="preserve">签字会计师姓名 </w:t>
            </w:r>
          </w:p>
        </w:tc>
        <w:tc>
          <w:tcPr>
            <w:tcW w:type="dxa" w:w="1562"/>
            <w:tcBorders>
              <w:start w:sz="1.599999999999909" w:val="single" w:color="#000000"/>
              <w:top w:sz="2.399999999999636" w:val="single" w:color="#000000"/>
              <w:end w:sz="2.400000000000091"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148" w:right="0" w:firstLine="0"/>
              <w:jc w:val="left"/>
            </w:pPr>
            <w:r>
              <w:rPr>
                <w:rFonts w:ascii="宋体" w:hAnsi="宋体" w:eastAsia="宋体"/>
                <w:b w:val="0"/>
                <w:i w:val="0"/>
                <w:color w:val="000000"/>
                <w:sz w:val="18"/>
              </w:rPr>
              <w:t xml:space="preserve">中介机构联系人 </w:t>
            </w:r>
          </w:p>
        </w:tc>
        <w:tc>
          <w:tcPr>
            <w:tcW w:type="dxa" w:w="1312"/>
            <w:tcBorders>
              <w:start w:sz="2.400000000000091" w:val="single" w:color="#000000"/>
              <w:top w:sz="2.399999999999636" w:val="single" w:color="#000000"/>
              <w:end w:sz="1.6000000000003638" w:val="single" w:color="#000000"/>
              <w:bottom w:sz="2.399999999999636" w:val="single" w:color="#000000"/>
            </w:tcBorders>
            <w:shd w:fill="d2d2d2"/>
            <w:tcMar>
              <w:start w:w="0" w:type="dxa"/>
              <w:end w:w="0" w:type="dxa"/>
            </w:tcMar>
          </w:tcPr>
          <w:p>
            <w:pPr>
              <w:autoSpaceDN w:val="0"/>
              <w:autoSpaceDE w:val="0"/>
              <w:widowControl/>
              <w:spacing w:line="180" w:lineRule="exact" w:before="158" w:after="0"/>
              <w:ind w:left="292" w:right="0" w:firstLine="0"/>
              <w:jc w:val="left"/>
            </w:pPr>
            <w:r>
              <w:rPr>
                <w:rFonts w:ascii="宋体" w:hAnsi="宋体" w:eastAsia="宋体"/>
                <w:b w:val="0"/>
                <w:i w:val="0"/>
                <w:color w:val="000000"/>
                <w:sz w:val="18"/>
              </w:rPr>
              <w:t xml:space="preserve">联系电话 </w:t>
            </w:r>
          </w:p>
        </w:tc>
      </w:tr>
      <w:tr>
        <w:trPr>
          <w:trHeight w:hRule="exact" w:val="904"/>
        </w:trPr>
        <w:tc>
          <w:tcPr>
            <w:tcW w:type="dxa" w:w="1490"/>
            <w:vMerge w:val="restart"/>
            <w:tcBorders>
              <w:start w:sz="2.3999999999999773" w:val="single" w:color="#000000"/>
              <w:top w:sz="2.399999999999636" w:val="single" w:color="#000000"/>
              <w:end w:sz="2.3999999999999773" w:val="single" w:color="#000000"/>
              <w:bottom w:sz="1.5999999999994543" w:val="single" w:color="#000000"/>
            </w:tcBorders>
            <w:tcMar>
              <w:start w:w="0" w:type="dxa"/>
              <w:end w:w="0" w:type="dxa"/>
            </w:tcMar>
            <w:tcMar>
              <w:start w:w="0" w:type="dxa"/>
              <w:end w:w="0" w:type="dxa"/>
            </w:tcMar>
          </w:tcPr>
          <w:p>
            <w:pPr>
              <w:autoSpaceDN w:val="0"/>
              <w:autoSpaceDE w:val="0"/>
              <w:widowControl/>
              <w:spacing w:line="300" w:lineRule="exact" w:before="116" w:after="0"/>
              <w:ind w:left="336" w:right="248" w:firstLine="0"/>
              <w:jc w:val="both"/>
            </w:pPr>
            <w:r>
              <w:rPr>
                <w:rFonts w:ascii="宋体" w:hAnsi="宋体" w:eastAsia="宋体"/>
                <w:b w:val="0"/>
                <w:i w:val="0"/>
                <w:color w:val="000000"/>
                <w:sz w:val="18"/>
              </w:rPr>
              <w:t xml:space="preserve">22 山证01 </w:t>
            </w:r>
            <w:r>
              <w:rPr>
                <w:rFonts w:ascii="宋体" w:hAnsi="宋体" w:eastAsia="宋体"/>
                <w:b w:val="0"/>
                <w:i w:val="0"/>
                <w:color w:val="000000"/>
                <w:sz w:val="18"/>
              </w:rPr>
              <w:t xml:space="preserve">22 山证03 </w:t>
            </w:r>
            <w:r>
              <w:rPr>
                <w:rFonts w:ascii="宋体" w:hAnsi="宋体" w:eastAsia="宋体"/>
                <w:b w:val="0"/>
                <w:i w:val="0"/>
                <w:color w:val="000000"/>
                <w:sz w:val="18"/>
              </w:rPr>
              <w:t xml:space="preserve">22 山证05 </w:t>
            </w:r>
          </w:p>
        </w:tc>
        <w:tc>
          <w:tcPr>
            <w:tcW w:type="dxa" w:w="2124"/>
            <w:tcBorders>
              <w:start w:sz="2.3999999999999773"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主承销商、受托管理</w:t>
            </w:r>
            <w:r>
              <w:rPr>
                <w:rFonts w:ascii="宋体" w:hAnsi="宋体" w:eastAsia="宋体"/>
                <w:b w:val="0"/>
                <w:i w:val="0"/>
                <w:color w:val="000000"/>
                <w:sz w:val="18"/>
              </w:rPr>
              <w:t>人：中信证券股份有限</w:t>
            </w:r>
            <w:r>
              <w:rPr>
                <w:rFonts w:ascii="宋体" w:hAnsi="宋体" w:eastAsia="宋体"/>
                <w:b w:val="0"/>
                <w:i w:val="0"/>
                <w:color w:val="000000"/>
                <w:sz w:val="18"/>
              </w:rPr>
              <w:t xml:space="preserve">公司 </w:t>
            </w:r>
          </w:p>
        </w:tc>
        <w:tc>
          <w:tcPr>
            <w:tcW w:type="dxa" w:w="241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300" w:lineRule="exact" w:before="114" w:after="0"/>
              <w:ind w:left="108" w:right="144" w:firstLine="0"/>
              <w:jc w:val="left"/>
            </w:pPr>
            <w:r>
              <w:rPr>
                <w:rFonts w:ascii="宋体" w:hAnsi="宋体" w:eastAsia="宋体"/>
                <w:b w:val="0"/>
                <w:i w:val="0"/>
                <w:color w:val="000000"/>
                <w:sz w:val="18"/>
              </w:rPr>
              <w:t>北京市朝阳区亮马桥路48</w:t>
            </w:r>
            <w:r>
              <w:rPr>
                <w:rFonts w:ascii="宋体" w:hAnsi="宋体" w:eastAsia="宋体"/>
                <w:b w:val="0"/>
                <w:i w:val="0"/>
                <w:color w:val="000000"/>
                <w:sz w:val="18"/>
              </w:rPr>
              <w:t xml:space="preserve">号中信证券大厦 </w:t>
            </w:r>
          </w:p>
        </w:tc>
        <w:tc>
          <w:tcPr>
            <w:tcW w:type="dxa" w:w="156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180" w:lineRule="exact" w:before="384"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2.399999999999636" w:val="single" w:color="#000000"/>
              <w:end w:sz="2.400000000000091" w:val="single" w:color="#000000"/>
              <w:bottom w:sz="1.6000000000003638" w:val="single" w:color="#000000"/>
            </w:tcBorders>
            <w:tcMar>
              <w:start w:w="0" w:type="dxa"/>
              <w:end w:w="0" w:type="dxa"/>
            </w:tcMar>
          </w:tcPr>
          <w:p>
            <w:pPr>
              <w:autoSpaceDN w:val="0"/>
              <w:tabs>
                <w:tab w:pos="240" w:val="left"/>
                <w:tab w:pos="330" w:val="left"/>
              </w:tabs>
              <w:autoSpaceDE w:val="0"/>
              <w:widowControl/>
              <w:spacing w:line="288" w:lineRule="exact" w:before="0" w:after="0"/>
              <w:ind w:left="150" w:right="144" w:firstLine="0"/>
              <w:jc w:val="left"/>
            </w:pPr>
            <w:r>
              <w:rPr>
                <w:rFonts w:ascii="宋体" w:hAnsi="宋体" w:eastAsia="宋体"/>
                <w:b w:val="0"/>
                <w:i w:val="0"/>
                <w:color w:val="000000"/>
                <w:sz w:val="18"/>
              </w:rPr>
              <w:t>宋颐岚、寇志</w:t>
            </w:r>
            <w:r>
              <w:rPr>
                <w:rFonts w:ascii="宋体" w:hAnsi="宋体" w:eastAsia="宋体"/>
                <w:b w:val="0"/>
                <w:i w:val="0"/>
                <w:color w:val="000000"/>
                <w:sz w:val="18"/>
              </w:rPr>
              <w:t>博、张宝乐、容</w:t>
            </w:r>
            <w:r>
              <w:tab/>
            </w:r>
            <w:r>
              <w:tab/>
            </w:r>
            <w:r>
              <w:rPr>
                <w:rFonts w:ascii="宋体" w:hAnsi="宋体" w:eastAsia="宋体"/>
                <w:b w:val="0"/>
                <w:i w:val="0"/>
                <w:color w:val="000000"/>
                <w:sz w:val="18"/>
              </w:rPr>
              <w:t xml:space="preserve">畅、黄海博 </w:t>
            </w:r>
          </w:p>
        </w:tc>
        <w:tc>
          <w:tcPr>
            <w:tcW w:type="dxa" w:w="1312"/>
            <w:tcBorders>
              <w:start w:sz="2.400000000000091" w:val="single" w:color="#000000"/>
              <w:top w:sz="2.399999999999636" w:val="single" w:color="#000000"/>
              <w:end w:sz="1.6000000000003638" w:val="single" w:color="#000000"/>
              <w:bottom w:sz="1.6000000000003638" w:val="single" w:color="#000000"/>
            </w:tcBorders>
            <w:tcMar>
              <w:start w:w="0" w:type="dxa"/>
              <w:end w:w="0" w:type="dxa"/>
            </w:tcMar>
          </w:tcPr>
          <w:p>
            <w:pPr>
              <w:autoSpaceDN w:val="0"/>
              <w:autoSpaceDE w:val="0"/>
              <w:widowControl/>
              <w:spacing w:line="180" w:lineRule="exact" w:before="384" w:after="0"/>
              <w:ind w:left="112" w:right="0" w:firstLine="0"/>
              <w:jc w:val="left"/>
            </w:pPr>
            <w:r>
              <w:rPr>
                <w:rFonts w:ascii="宋体" w:hAnsi="宋体" w:eastAsia="宋体"/>
                <w:b w:val="0"/>
                <w:i w:val="0"/>
                <w:color w:val="000000"/>
                <w:sz w:val="18"/>
              </w:rPr>
              <w:t xml:space="preserve">010-60837524 </w:t>
            </w:r>
          </w:p>
        </w:tc>
      </w:tr>
      <w:tr>
        <w:trPr>
          <w:trHeight w:hRule="exact" w:val="304"/>
        </w:trPr>
        <w:tc>
          <w:tcPr>
            <w:tcW w:type="dxa" w:w="1932"/>
            <w:vMerge/>
            <w:tcBorders>
              <w:start w:sz="2.3999999999999773" w:val="single" w:color="#000000"/>
              <w:top w:sz="2.399999999999636" w:val="single" w:color="#000000"/>
              <w:end w:sz="2.3999999999999773" w:val="single" w:color="#000000"/>
              <w:bottom w:sz="1.5999999999994543" w:val="single" w:color="#000000"/>
            </w:tcBorders>
          </w:tcPr>
          <w:p/>
        </w:tc>
        <w:tc>
          <w:tcPr>
            <w:tcW w:type="dxa" w:w="2124"/>
            <w:tcBorders>
              <w:start w:sz="2.3999999999999773"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6" w:after="0"/>
              <w:ind w:left="106" w:right="0" w:firstLine="0"/>
              <w:jc w:val="left"/>
            </w:pPr>
            <w:r>
              <w:rPr>
                <w:rFonts w:ascii="宋体" w:hAnsi="宋体" w:eastAsia="宋体"/>
                <w:b w:val="0"/>
                <w:i w:val="0"/>
                <w:color w:val="000000"/>
                <w:sz w:val="18"/>
              </w:rPr>
              <w:t xml:space="preserve">资信评级机构： </w:t>
            </w:r>
          </w:p>
        </w:tc>
        <w:tc>
          <w:tcPr>
            <w:tcW w:type="dxa" w:w="241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6" w:after="0"/>
              <w:ind w:left="0" w:right="0" w:firstLine="0"/>
              <w:jc w:val="center"/>
            </w:pPr>
            <w:r>
              <w:rPr>
                <w:rFonts w:ascii="宋体" w:hAnsi="宋体" w:eastAsia="宋体"/>
                <w:b w:val="0"/>
                <w:i w:val="0"/>
                <w:color w:val="000000"/>
                <w:sz w:val="18"/>
              </w:rPr>
              <w:t>北京市东城区朝阳门内大街</w:t>
            </w:r>
          </w:p>
        </w:tc>
        <w:tc>
          <w:tcPr>
            <w:tcW w:type="dxa" w:w="156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86"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1.6000000000003638" w:val="single" w:color="#000000"/>
              <w:end w:sz="2.400000000000091" w:val="single" w:color="#000000"/>
              <w:bottom w:sz="1.5999999999994543" w:val="single" w:color="#000000"/>
            </w:tcBorders>
            <w:tcMar>
              <w:start w:w="0" w:type="dxa"/>
              <w:end w:w="0" w:type="dxa"/>
            </w:tcMar>
          </w:tcPr>
          <w:p>
            <w:pPr>
              <w:autoSpaceDN w:val="0"/>
              <w:autoSpaceDE w:val="0"/>
              <w:widowControl/>
              <w:spacing w:line="180" w:lineRule="exact" w:before="86" w:after="0"/>
              <w:ind w:left="0" w:right="508" w:firstLine="0"/>
              <w:jc w:val="right"/>
            </w:pPr>
            <w:r>
              <w:rPr>
                <w:rFonts w:ascii="宋体" w:hAnsi="宋体" w:eastAsia="宋体"/>
                <w:b w:val="0"/>
                <w:i w:val="0"/>
                <w:color w:val="000000"/>
                <w:sz w:val="18"/>
              </w:rPr>
              <w:t xml:space="preserve">苗祺 </w:t>
            </w:r>
          </w:p>
        </w:tc>
        <w:tc>
          <w:tcPr>
            <w:tcW w:type="dxa" w:w="1312"/>
            <w:tcBorders>
              <w:start w:sz="2.400000000000091" w:val="single" w:color="#000000"/>
              <w:top w:sz="1.6000000000003638" w:val="single" w:color="#000000"/>
              <w:end w:sz="1.6000000000003638" w:val="single" w:color="#000000"/>
              <w:bottom w:sz="1.5999999999994543" w:val="single" w:color="#000000"/>
            </w:tcBorders>
            <w:tcMar>
              <w:start w:w="0" w:type="dxa"/>
              <w:end w:w="0" w:type="dxa"/>
            </w:tcMar>
          </w:tcPr>
          <w:p>
            <w:pPr>
              <w:autoSpaceDN w:val="0"/>
              <w:autoSpaceDE w:val="0"/>
              <w:widowControl/>
              <w:spacing w:line="180" w:lineRule="exact" w:before="86" w:after="0"/>
              <w:ind w:left="0" w:right="0" w:firstLine="0"/>
              <w:jc w:val="center"/>
            </w:pPr>
            <w:r>
              <w:rPr>
                <w:rFonts w:ascii="宋体" w:hAnsi="宋体" w:eastAsia="宋体"/>
                <w:b w:val="0"/>
                <w:i w:val="0"/>
                <w:color w:val="000000"/>
                <w:sz w:val="18"/>
              </w:rPr>
              <w:t>010-</w:t>
            </w:r>
          </w:p>
        </w:tc>
      </w:tr>
    </w:tbl>
    <w:p>
      <w:pPr>
        <w:autoSpaceDN w:val="0"/>
        <w:autoSpaceDE w:val="0"/>
        <w:widowControl/>
        <w:spacing w:line="197" w:lineRule="auto" w:before="562" w:after="0"/>
        <w:ind w:left="0" w:right="0" w:firstLine="0"/>
        <w:jc w:val="center"/>
      </w:pPr>
      <w:r>
        <w:rPr>
          <w:rFonts w:ascii="Calibri" w:hAnsi="Calibri" w:eastAsia="Calibri"/>
          <w:b w:val="0"/>
          <w:i w:val="0"/>
          <w:color w:val="000000"/>
          <w:sz w:val="18"/>
        </w:rPr>
        <w:t xml:space="preserve">135 </w:t>
      </w:r>
    </w:p>
    <w:p>
      <w:pPr>
        <w:sectPr>
          <w:pgSz w:w="11904" w:h="16841"/>
          <w:pgMar w:top="424" w:right="146" w:bottom="446" w:left="166" w:header="720" w:footer="720" w:gutter="0"/>
          <w:cols/>
          <w:docGrid w:linePitch="360"/>
        </w:sectPr>
      </w:pPr>
    </w:p>
    <w:p>
      <w:pPr>
        <w:autoSpaceDN w:val="0"/>
        <w:autoSpaceDE w:val="0"/>
        <w:widowControl/>
        <w:spacing w:line="220" w:lineRule="exact" w:before="0" w:after="206"/>
        <w:ind w:left="0" w:right="0"/>
      </w:pPr>
    </w:p>
    <w:p>
      <w:pPr>
        <w:sectPr>
          <w:pgSz w:w="11904" w:h="16841"/>
          <w:pgMar w:top="424" w:right="240" w:bottom="446" w:left="260" w:header="720" w:footer="720" w:gutter="0"/>
          <w:cols/>
          <w:docGrid w:linePitch="360"/>
        </w:sectPr>
      </w:pPr>
    </w:p>
    <w:p>
      <w:pPr>
        <w:autoSpaceDN w:val="0"/>
        <w:autoSpaceDE w:val="0"/>
        <w:widowControl/>
        <w:spacing w:line="240" w:lineRule="auto" w:before="0" w:after="0"/>
        <w:ind w:left="874" w:right="0" w:firstLine="0"/>
        <w:jc w:val="left"/>
      </w:pPr>
      <w:r>
        <w:drawing>
          <wp:inline xmlns:a="http://schemas.openxmlformats.org/drawingml/2006/main" xmlns:pic="http://schemas.openxmlformats.org/drawingml/2006/picture">
            <wp:extent cx="1844039" cy="439419"/>
            <wp:docPr id="139" name="Picture 139"/>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240" w:bottom="446" w:left="260" w:header="720" w:footer="720" w:gutter="0"/>
          <w:cols w:num="2" w:equalWidth="0">
            <w:col w:w="6280" w:space="0"/>
            <w:col w:w="5124" w:space="0"/>
          </w:cols>
          <w:docGrid w:linePitch="360"/>
        </w:sectPr>
      </w:pPr>
    </w:p>
    <w:p>
      <w:pPr>
        <w:autoSpaceDN w:val="0"/>
        <w:autoSpaceDE w:val="0"/>
        <w:widowControl/>
        <w:spacing w:line="200" w:lineRule="exact" w:before="0" w:after="30"/>
        <w:ind w:left="0" w:right="90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240" w:bottom="446" w:left="260" w:header="720" w:footer="720" w:gutter="0"/>
          <w:cols w:num="2" w:equalWidth="0">
            <w:col w:w="6280" w:space="0"/>
            <w:col w:w="512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464.00000000000006" w:type="dxa"/>
      </w:tblPr>
      <w:tblGrid>
        <w:gridCol w:w="1901"/>
        <w:gridCol w:w="1901"/>
        <w:gridCol w:w="1901"/>
        <w:gridCol w:w="1901"/>
        <w:gridCol w:w="1901"/>
        <w:gridCol w:w="1901"/>
      </w:tblGrid>
      <w:tr>
        <w:trPr>
          <w:trHeight w:hRule="exact" w:val="604"/>
        </w:trPr>
        <w:tc>
          <w:tcPr>
            <w:tcW w:type="dxa" w:w="1490"/>
            <w:vMerge w:val="restart"/>
            <w:tcBorders>
              <w:start w:sz="2.3999999999999773" w:val="single" w:color="#000000"/>
              <w:top w:sz="1.6000000000000227" w:val="single" w:color="#000000"/>
              <w:end w:sz="2.3999999999999773" w:val="single" w:color="#000000"/>
              <w:bottom w:sz="2.400000000000091" w:val="single" w:color="#000000"/>
            </w:tcBorders>
            <w:tcMar>
              <w:start w:w="0" w:type="dxa"/>
              <w:end w:w="0" w:type="dxa"/>
            </w:tcMar>
            <w:tcMar>
              <w:start w:w="0" w:type="dxa"/>
              <w:end w:w="0" w:type="dxa"/>
            </w:tcMar>
            <w:tcMar>
              <w:start w:w="0" w:type="dxa"/>
              <w:end w:w="0" w:type="dxa"/>
            </w:tcMar>
          </w:tcPr>
          <w:p/>
        </w:tc>
        <w:tc>
          <w:tcPr>
            <w:tcW w:type="dxa" w:w="2124"/>
            <w:tcBorders>
              <w:start w:sz="2.3999999999999773" w:val="single" w:color="#000000"/>
              <w:top w:sz="5.600000000000023" w:val="single" w:color="#000000"/>
              <w:end w:sz="1.599999999999909" w:val="single" w:color="#000000"/>
              <w:bottom w:sz="2.3999999999999773" w:val="single" w:color="#000000"/>
            </w:tcBorders>
            <w:tcMar>
              <w:start w:w="0" w:type="dxa"/>
              <w:end w:w="0" w:type="dxa"/>
            </w:tcMar>
          </w:tcPr>
          <w:p>
            <w:pPr>
              <w:autoSpaceDN w:val="0"/>
              <w:autoSpaceDE w:val="0"/>
              <w:widowControl/>
              <w:spacing w:line="280" w:lineRule="exact" w:before="0" w:after="0"/>
              <w:ind w:left="106" w:right="144" w:firstLine="0"/>
              <w:jc w:val="left"/>
            </w:pPr>
            <w:r>
              <w:rPr>
                <w:rFonts w:ascii="宋体" w:hAnsi="宋体" w:eastAsia="宋体"/>
                <w:b w:val="0"/>
                <w:i w:val="0"/>
                <w:color w:val="000000"/>
                <w:sz w:val="18"/>
              </w:rPr>
              <w:t>中诚信国际信用评级有</w:t>
            </w:r>
            <w:r>
              <w:rPr>
                <w:rFonts w:ascii="宋体" w:hAnsi="宋体" w:eastAsia="宋体"/>
                <w:b w:val="0"/>
                <w:i w:val="0"/>
                <w:color w:val="000000"/>
                <w:sz w:val="18"/>
              </w:rPr>
              <w:t xml:space="preserve">限责任公司 </w:t>
            </w:r>
          </w:p>
        </w:tc>
        <w:tc>
          <w:tcPr>
            <w:tcW w:type="dxa" w:w="2410"/>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Pr>
          <w:p>
            <w:pPr>
              <w:autoSpaceDN w:val="0"/>
              <w:autoSpaceDE w:val="0"/>
              <w:widowControl/>
              <w:spacing w:line="280" w:lineRule="exact" w:before="0" w:after="0"/>
              <w:ind w:left="108" w:right="144" w:firstLine="0"/>
              <w:jc w:val="left"/>
            </w:pPr>
            <w:r>
              <w:rPr>
                <w:rFonts w:ascii="宋体" w:hAnsi="宋体" w:eastAsia="宋体"/>
                <w:b w:val="0"/>
                <w:i w:val="0"/>
                <w:color w:val="000000"/>
                <w:sz w:val="18"/>
              </w:rPr>
              <w:t xml:space="preserve">南竹杆胡同2 号银河SOHO </w:t>
            </w:r>
            <w:r>
              <w:rPr>
                <w:rFonts w:ascii="宋体" w:hAnsi="宋体" w:eastAsia="宋体"/>
                <w:b w:val="0"/>
                <w:i w:val="0"/>
                <w:color w:val="000000"/>
                <w:sz w:val="18"/>
              </w:rPr>
              <w:t xml:space="preserve">5 号楼 </w:t>
            </w:r>
          </w:p>
        </w:tc>
        <w:tc>
          <w:tcPr>
            <w:tcW w:type="dxa" w:w="1560"/>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Pr>
          <w:p/>
        </w:tc>
        <w:tc>
          <w:tcPr>
            <w:tcW w:type="dxa" w:w="1562"/>
            <w:tcBorders>
              <w:start w:sz="1.599999999999909" w:val="single" w:color="#000000"/>
              <w:top w:sz="5.600000000000023" w:val="single" w:color="#000000"/>
              <w:end w:sz="2.400000000000091" w:val="single" w:color="#000000"/>
              <w:bottom w:sz="2.3999999999999773" w:val="single" w:color="#000000"/>
            </w:tcBorders>
            <w:tcMar>
              <w:start w:w="0" w:type="dxa"/>
              <w:end w:w="0" w:type="dxa"/>
            </w:tcMar>
          </w:tcPr>
          <w:p/>
        </w:tc>
        <w:tc>
          <w:tcPr>
            <w:tcW w:type="dxa" w:w="1312"/>
            <w:tcBorders>
              <w:start w:sz="2.400000000000091" w:val="single" w:color="#000000"/>
              <w:top w:sz="5.600000000000023" w:val="single" w:color="#000000"/>
              <w:end w:sz="1.6000000000003638" w:val="single" w:color="#000000"/>
              <w:bottom w:sz="2.3999999999999773" w:val="single" w:color="#000000"/>
            </w:tcBorders>
            <w:tcMar>
              <w:start w:w="0" w:type="dxa"/>
              <w:end w:w="0" w:type="dxa"/>
            </w:tcMar>
          </w:tcPr>
          <w:p>
            <w:pPr>
              <w:autoSpaceDN w:val="0"/>
              <w:autoSpaceDE w:val="0"/>
              <w:widowControl/>
              <w:spacing w:line="180" w:lineRule="exact" w:before="82" w:after="0"/>
              <w:ind w:left="112" w:right="0" w:firstLine="0"/>
              <w:jc w:val="left"/>
            </w:pPr>
            <w:r>
              <w:rPr>
                <w:rFonts w:ascii="宋体" w:hAnsi="宋体" w:eastAsia="宋体"/>
                <w:b w:val="0"/>
                <w:i w:val="0"/>
                <w:color w:val="000000"/>
                <w:sz w:val="18"/>
              </w:rPr>
              <w:t xml:space="preserve">66428877-597 </w:t>
            </w:r>
          </w:p>
        </w:tc>
      </w:tr>
      <w:tr>
        <w:trPr>
          <w:trHeight w:hRule="exact" w:val="906"/>
        </w:trPr>
        <w:tc>
          <w:tcPr>
            <w:tcW w:type="dxa" w:w="1901"/>
            <w:vMerge/>
            <w:tcBorders>
              <w:start w:sz="2.3999999999999773" w:val="single" w:color="#000000"/>
              <w:top w:sz="1.6000000000000227" w:val="single" w:color="#000000"/>
              <w:end w:sz="2.3999999999999773" w:val="single" w:color="#000000"/>
              <w:bottom w:sz="2.400000000000091" w:val="single" w:color="#000000"/>
            </w:tcBorders>
          </w:tcPr>
          <w:p/>
        </w:tc>
        <w:tc>
          <w:tcPr>
            <w:tcW w:type="dxa" w:w="2124"/>
            <w:tcBorders>
              <w:start w:sz="2.3999999999999773"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 xml:space="preserve">会计师事务所： </w:t>
            </w:r>
            <w:r>
              <w:br/>
            </w:r>
            <w:r>
              <w:rPr>
                <w:rFonts w:ascii="宋体" w:hAnsi="宋体" w:eastAsia="宋体"/>
                <w:b w:val="0"/>
                <w:i w:val="0"/>
                <w:color w:val="000000"/>
                <w:sz w:val="18"/>
              </w:rPr>
              <w:t>毕马威华振会计师事务</w:t>
            </w:r>
            <w:r>
              <w:rPr>
                <w:rFonts w:ascii="宋体" w:hAnsi="宋体" w:eastAsia="宋体"/>
                <w:b w:val="0"/>
                <w:i w:val="0"/>
                <w:color w:val="000000"/>
                <w:sz w:val="18"/>
              </w:rPr>
              <w:t xml:space="preserve">所（特殊普通合伙） </w:t>
            </w:r>
          </w:p>
        </w:tc>
        <w:tc>
          <w:tcPr>
            <w:tcW w:type="dxa" w:w="2410"/>
            <w:tcBorders>
              <w:start w:sz="1.599999999999909"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300" w:lineRule="exact" w:before="116" w:after="0"/>
              <w:ind w:left="108" w:right="0" w:firstLine="0"/>
              <w:jc w:val="left"/>
            </w:pPr>
            <w:r>
              <w:rPr>
                <w:rFonts w:ascii="宋体" w:hAnsi="宋体" w:eastAsia="宋体"/>
                <w:b w:val="0"/>
                <w:i w:val="0"/>
                <w:color w:val="000000"/>
                <w:sz w:val="18"/>
              </w:rPr>
              <w:t>北京市东城区东长安街1 号</w:t>
            </w:r>
            <w:r>
              <w:rPr>
                <w:rFonts w:ascii="宋体" w:hAnsi="宋体" w:eastAsia="宋体"/>
                <w:b w:val="0"/>
                <w:i w:val="0"/>
                <w:color w:val="000000"/>
                <w:sz w:val="18"/>
              </w:rPr>
              <w:t xml:space="preserve">东方广场东2 座办公楼8 层 </w:t>
            </w:r>
          </w:p>
        </w:tc>
        <w:tc>
          <w:tcPr>
            <w:tcW w:type="dxa" w:w="1560"/>
            <w:tcBorders>
              <w:start w:sz="1.599999999999909"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86" w:after="0"/>
              <w:ind w:left="240" w:right="0" w:firstLine="0"/>
              <w:jc w:val="left"/>
            </w:pPr>
            <w:r>
              <w:rPr>
                <w:rFonts w:ascii="宋体" w:hAnsi="宋体" w:eastAsia="宋体"/>
                <w:b w:val="0"/>
                <w:i w:val="0"/>
                <w:color w:val="000000"/>
                <w:sz w:val="18"/>
              </w:rPr>
              <w:t xml:space="preserve">史剑、唐莹慧 </w:t>
            </w:r>
          </w:p>
        </w:tc>
        <w:tc>
          <w:tcPr>
            <w:tcW w:type="dxa" w:w="1562"/>
            <w:tcBorders>
              <w:start w:sz="1.599999999999909" w:val="single" w:color="#000000"/>
              <w:top w:sz="2.3999999999999773"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86" w:after="0"/>
              <w:ind w:left="0" w:right="418" w:firstLine="0"/>
              <w:jc w:val="right"/>
            </w:pPr>
            <w:r>
              <w:rPr>
                <w:rFonts w:ascii="宋体" w:hAnsi="宋体" w:eastAsia="宋体"/>
                <w:b w:val="0"/>
                <w:i w:val="0"/>
                <w:color w:val="000000"/>
                <w:sz w:val="18"/>
              </w:rPr>
              <w:t xml:space="preserve">李树山 </w:t>
            </w:r>
          </w:p>
        </w:tc>
        <w:tc>
          <w:tcPr>
            <w:tcW w:type="dxa" w:w="1312"/>
            <w:tcBorders>
              <w:start w:sz="2.400000000000091" w:val="single" w:color="#000000"/>
              <w:top w:sz="2.3999999999999773"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86" w:after="0"/>
              <w:ind w:left="112" w:right="0" w:firstLine="0"/>
              <w:jc w:val="left"/>
            </w:pPr>
            <w:r>
              <w:rPr>
                <w:rFonts w:ascii="宋体" w:hAnsi="宋体" w:eastAsia="宋体"/>
                <w:b w:val="0"/>
                <w:i w:val="0"/>
                <w:color w:val="000000"/>
                <w:sz w:val="18"/>
              </w:rPr>
              <w:t xml:space="preserve">010-85085000 </w:t>
            </w:r>
          </w:p>
        </w:tc>
      </w:tr>
      <w:tr>
        <w:trPr>
          <w:trHeight w:hRule="exact" w:val="904"/>
        </w:trPr>
        <w:tc>
          <w:tcPr>
            <w:tcW w:type="dxa" w:w="1901"/>
            <w:vMerge/>
            <w:tcBorders>
              <w:start w:sz="2.3999999999999773" w:val="single" w:color="#000000"/>
              <w:top w:sz="1.6000000000000227" w:val="single" w:color="#000000"/>
              <w:end w:sz="2.3999999999999773" w:val="single" w:color="#000000"/>
              <w:bottom w:sz="2.400000000000091" w:val="single" w:color="#000000"/>
            </w:tcBorders>
          </w:tcPr>
          <w:p/>
        </w:tc>
        <w:tc>
          <w:tcPr>
            <w:tcW w:type="dxa" w:w="21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 xml:space="preserve">律师事务所： </w:t>
            </w:r>
            <w:r>
              <w:br/>
            </w:r>
            <w:r>
              <w:rPr>
                <w:rFonts w:ascii="宋体" w:hAnsi="宋体" w:eastAsia="宋体"/>
                <w:b w:val="0"/>
                <w:i w:val="0"/>
                <w:color w:val="000000"/>
                <w:sz w:val="18"/>
              </w:rPr>
              <w:t>国浩律师（上海）事务</w:t>
            </w:r>
            <w:r>
              <w:rPr>
                <w:rFonts w:ascii="宋体" w:hAnsi="宋体" w:eastAsia="宋体"/>
                <w:b w:val="0"/>
                <w:i w:val="0"/>
                <w:color w:val="000000"/>
                <w:sz w:val="18"/>
              </w:rPr>
              <w:t xml:space="preserve">所 </w:t>
            </w:r>
          </w:p>
        </w:tc>
        <w:tc>
          <w:tcPr>
            <w:tcW w:type="dxa" w:w="24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116" w:after="0"/>
              <w:ind w:left="108" w:right="144" w:firstLine="0"/>
              <w:jc w:val="left"/>
            </w:pPr>
            <w:r>
              <w:rPr>
                <w:rFonts w:ascii="宋体" w:hAnsi="宋体" w:eastAsia="宋体"/>
                <w:b w:val="0"/>
                <w:i w:val="0"/>
                <w:color w:val="000000"/>
                <w:sz w:val="18"/>
              </w:rPr>
              <w:t>上海市静安区山西北路99</w:t>
            </w:r>
            <w:r>
              <w:rPr>
                <w:rFonts w:ascii="宋体" w:hAnsi="宋体" w:eastAsia="宋体"/>
                <w:b w:val="0"/>
                <w:i w:val="0"/>
                <w:color w:val="000000"/>
                <w:sz w:val="18"/>
              </w:rPr>
              <w:t xml:space="preserve">号苏河湾中心25-28 层 </w:t>
            </w:r>
          </w:p>
        </w:tc>
        <w:tc>
          <w:tcPr>
            <w:tcW w:type="dxa" w:w="156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86"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386" w:after="0"/>
              <w:ind w:left="150" w:right="0" w:firstLine="0"/>
              <w:jc w:val="left"/>
            </w:pPr>
            <w:r>
              <w:rPr>
                <w:rFonts w:ascii="宋体" w:hAnsi="宋体" w:eastAsia="宋体"/>
                <w:b w:val="0"/>
                <w:i w:val="0"/>
                <w:color w:val="000000"/>
                <w:sz w:val="18"/>
              </w:rPr>
              <w:t xml:space="preserve">林雅娜、徐雪桦 </w:t>
            </w:r>
          </w:p>
        </w:tc>
        <w:tc>
          <w:tcPr>
            <w:tcW w:type="dxa" w:w="1312"/>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386" w:after="0"/>
              <w:ind w:left="112" w:right="0" w:firstLine="0"/>
              <w:jc w:val="left"/>
            </w:pPr>
            <w:r>
              <w:rPr>
                <w:rFonts w:ascii="宋体" w:hAnsi="宋体" w:eastAsia="宋体"/>
                <w:b w:val="0"/>
                <w:i w:val="0"/>
                <w:color w:val="000000"/>
                <w:sz w:val="18"/>
              </w:rPr>
              <w:t xml:space="preserve">021-52341668 </w:t>
            </w:r>
          </w:p>
        </w:tc>
      </w:tr>
      <w:tr>
        <w:trPr>
          <w:trHeight w:hRule="exact" w:val="606"/>
        </w:trPr>
        <w:tc>
          <w:tcPr>
            <w:tcW w:type="dxa" w:w="1490"/>
            <w:vMerge w:val="restart"/>
            <w:tcBorders>
              <w:start w:sz="2.3999999999999773" w:val="single" w:color="#000000"/>
              <w:top w:sz="2.400000000000091" w:val="single" w:color="#000000"/>
              <w:end w:sz="2.3999999999999773" w:val="single" w:color="#000000"/>
              <w:bottom w:sz="2.400000000000091"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00" w:lineRule="exact" w:before="1628" w:after="0"/>
              <w:ind w:left="336" w:right="248" w:firstLine="0"/>
              <w:jc w:val="both"/>
            </w:pPr>
            <w:r>
              <w:rPr>
                <w:rFonts w:ascii="宋体" w:hAnsi="宋体" w:eastAsia="宋体"/>
                <w:b w:val="0"/>
                <w:i w:val="0"/>
                <w:color w:val="000000"/>
                <w:sz w:val="18"/>
              </w:rPr>
              <w:t xml:space="preserve">23 山证C1 </w:t>
            </w:r>
            <w:r>
              <w:rPr>
                <w:rFonts w:ascii="宋体" w:hAnsi="宋体" w:eastAsia="宋体"/>
                <w:b w:val="0"/>
                <w:i w:val="0"/>
                <w:color w:val="000000"/>
                <w:sz w:val="18"/>
              </w:rPr>
              <w:t xml:space="preserve">23 山证C3 </w:t>
            </w:r>
            <w:r>
              <w:rPr>
                <w:rFonts w:ascii="宋体" w:hAnsi="宋体" w:eastAsia="宋体"/>
                <w:b w:val="0"/>
                <w:i w:val="0"/>
                <w:color w:val="000000"/>
                <w:sz w:val="18"/>
              </w:rPr>
              <w:t xml:space="preserve">23 山证C4 </w:t>
            </w:r>
            <w:r>
              <w:rPr>
                <w:rFonts w:ascii="宋体" w:hAnsi="宋体" w:eastAsia="宋体"/>
                <w:b w:val="0"/>
                <w:i w:val="0"/>
                <w:color w:val="000000"/>
                <w:sz w:val="18"/>
              </w:rPr>
              <w:t xml:space="preserve">24 山证01 </w:t>
            </w:r>
            <w:r>
              <w:rPr>
                <w:rFonts w:ascii="宋体" w:hAnsi="宋体" w:eastAsia="宋体"/>
                <w:b w:val="0"/>
                <w:i w:val="0"/>
                <w:color w:val="000000"/>
                <w:sz w:val="18"/>
              </w:rPr>
              <w:t xml:space="preserve">24 山证02 </w:t>
            </w:r>
            <w:r>
              <w:rPr>
                <w:rFonts w:ascii="宋体" w:hAnsi="宋体" w:eastAsia="宋体"/>
                <w:b w:val="0"/>
                <w:i w:val="0"/>
                <w:color w:val="000000"/>
                <w:sz w:val="18"/>
              </w:rPr>
              <w:t xml:space="preserve">24 山证04 </w:t>
            </w:r>
            <w:r>
              <w:rPr>
                <w:rFonts w:ascii="宋体" w:hAnsi="宋体" w:eastAsia="宋体"/>
                <w:b w:val="0"/>
                <w:i w:val="0"/>
                <w:color w:val="000000"/>
                <w:sz w:val="18"/>
              </w:rPr>
              <w:t xml:space="preserve">24 山证05 </w:t>
            </w:r>
          </w:p>
        </w:tc>
        <w:tc>
          <w:tcPr>
            <w:tcW w:type="dxa" w:w="21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84" w:lineRule="exact" w:before="0" w:after="0"/>
              <w:ind w:left="106" w:right="144" w:firstLine="0"/>
              <w:jc w:val="left"/>
            </w:pPr>
            <w:r>
              <w:rPr>
                <w:rFonts w:ascii="宋体" w:hAnsi="宋体" w:eastAsia="宋体"/>
                <w:b w:val="0"/>
                <w:i w:val="0"/>
                <w:color w:val="000000"/>
                <w:sz w:val="18"/>
              </w:rPr>
              <w:t>牵头主承销商：中德证</w:t>
            </w:r>
            <w:r>
              <w:rPr>
                <w:rFonts w:ascii="宋体" w:hAnsi="宋体" w:eastAsia="宋体"/>
                <w:b w:val="0"/>
                <w:i w:val="0"/>
                <w:color w:val="000000"/>
                <w:sz w:val="18"/>
              </w:rPr>
              <w:t xml:space="preserve">券有限责任公司 </w:t>
            </w:r>
          </w:p>
        </w:tc>
        <w:tc>
          <w:tcPr>
            <w:tcW w:type="dxa" w:w="241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84" w:lineRule="exact" w:before="0" w:after="0"/>
              <w:ind w:left="108" w:right="0" w:firstLine="0"/>
              <w:jc w:val="left"/>
            </w:pPr>
            <w:r>
              <w:rPr>
                <w:rFonts w:ascii="宋体" w:hAnsi="宋体" w:eastAsia="宋体"/>
                <w:b w:val="0"/>
                <w:i w:val="0"/>
                <w:color w:val="000000"/>
                <w:sz w:val="18"/>
              </w:rPr>
              <w:t>北京市朝阳区建国路81 号</w:t>
            </w:r>
            <w:r>
              <w:rPr>
                <w:rFonts w:ascii="宋体" w:hAnsi="宋体" w:eastAsia="宋体"/>
                <w:b w:val="0"/>
                <w:i w:val="0"/>
                <w:color w:val="000000"/>
                <w:sz w:val="18"/>
              </w:rPr>
              <w:t xml:space="preserve">华贸中心1 号写字楼22 层 </w:t>
            </w:r>
          </w:p>
        </w:tc>
        <w:tc>
          <w:tcPr>
            <w:tcW w:type="dxa" w:w="156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36"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236" w:after="0"/>
              <w:ind w:left="240" w:right="0" w:firstLine="0"/>
              <w:jc w:val="left"/>
            </w:pPr>
            <w:r>
              <w:rPr>
                <w:rFonts w:ascii="宋体" w:hAnsi="宋体" w:eastAsia="宋体"/>
                <w:b w:val="0"/>
                <w:i w:val="0"/>
                <w:color w:val="000000"/>
                <w:sz w:val="18"/>
              </w:rPr>
              <w:t xml:space="preserve">高杨、钟文超 </w:t>
            </w:r>
          </w:p>
        </w:tc>
        <w:tc>
          <w:tcPr>
            <w:tcW w:type="dxa" w:w="1312"/>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36" w:after="0"/>
              <w:ind w:left="112" w:right="0" w:firstLine="0"/>
              <w:jc w:val="left"/>
            </w:pPr>
            <w:r>
              <w:rPr>
                <w:rFonts w:ascii="宋体" w:hAnsi="宋体" w:eastAsia="宋体"/>
                <w:b w:val="0"/>
                <w:i w:val="0"/>
                <w:color w:val="000000"/>
                <w:sz w:val="18"/>
              </w:rPr>
              <w:t xml:space="preserve">010-59026736 </w:t>
            </w:r>
          </w:p>
        </w:tc>
      </w:tr>
      <w:tr>
        <w:trPr>
          <w:trHeight w:hRule="exact" w:val="1206"/>
        </w:trPr>
        <w:tc>
          <w:tcPr>
            <w:tcW w:type="dxa" w:w="1901"/>
            <w:vMerge/>
            <w:tcBorders>
              <w:start w:sz="2.3999999999999773" w:val="single" w:color="#000000"/>
              <w:top w:sz="2.400000000000091" w:val="single" w:color="#000000"/>
              <w:end w:sz="2.3999999999999773" w:val="single" w:color="#000000"/>
              <w:bottom w:sz="2.400000000000091" w:val="single" w:color="#000000"/>
            </w:tcBorders>
          </w:tcPr>
          <w:p/>
        </w:tc>
        <w:tc>
          <w:tcPr>
            <w:tcW w:type="dxa" w:w="21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118" w:after="0"/>
              <w:ind w:left="106" w:right="214" w:firstLine="0"/>
              <w:jc w:val="both"/>
            </w:pPr>
            <w:r>
              <w:rPr>
                <w:rFonts w:ascii="宋体" w:hAnsi="宋体" w:eastAsia="宋体"/>
                <w:b w:val="0"/>
                <w:i w:val="0"/>
                <w:color w:val="000000"/>
                <w:sz w:val="18"/>
              </w:rPr>
              <w:t>联席主承销商、受托管</w:t>
            </w:r>
            <w:r>
              <w:rPr>
                <w:rFonts w:ascii="宋体" w:hAnsi="宋体" w:eastAsia="宋体"/>
                <w:b w:val="0"/>
                <w:i w:val="0"/>
                <w:color w:val="000000"/>
                <w:sz w:val="18"/>
              </w:rPr>
              <w:t>理人：中信证券股份有</w:t>
            </w:r>
            <w:r>
              <w:rPr>
                <w:rFonts w:ascii="宋体" w:hAnsi="宋体" w:eastAsia="宋体"/>
                <w:b w:val="0"/>
                <w:i w:val="0"/>
                <w:color w:val="000000"/>
                <w:sz w:val="18"/>
              </w:rPr>
              <w:t xml:space="preserve">限公司 </w:t>
            </w:r>
          </w:p>
        </w:tc>
        <w:tc>
          <w:tcPr>
            <w:tcW w:type="dxa" w:w="24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266" w:after="0"/>
              <w:ind w:left="108" w:right="144" w:firstLine="0"/>
              <w:jc w:val="left"/>
            </w:pPr>
            <w:r>
              <w:rPr>
                <w:rFonts w:ascii="宋体" w:hAnsi="宋体" w:eastAsia="宋体"/>
                <w:b w:val="0"/>
                <w:i w:val="0"/>
                <w:color w:val="000000"/>
                <w:sz w:val="18"/>
              </w:rPr>
              <w:t>北京市朝阳区亮马桥路48</w:t>
            </w:r>
            <w:r>
              <w:rPr>
                <w:rFonts w:ascii="宋体" w:hAnsi="宋体" w:eastAsia="宋体"/>
                <w:b w:val="0"/>
                <w:i w:val="0"/>
                <w:color w:val="000000"/>
                <w:sz w:val="18"/>
              </w:rPr>
              <w:t xml:space="preserve">号中信证券大厦 </w:t>
            </w:r>
          </w:p>
        </w:tc>
        <w:tc>
          <w:tcPr>
            <w:tcW w:type="dxa" w:w="156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538"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tabs>
                <w:tab w:pos="240" w:val="left"/>
                <w:tab w:pos="690" w:val="left"/>
              </w:tabs>
              <w:autoSpaceDE w:val="0"/>
              <w:widowControl/>
              <w:spacing w:line="292" w:lineRule="exact" w:before="0" w:after="0"/>
              <w:ind w:left="150" w:right="144" w:firstLine="0"/>
              <w:jc w:val="left"/>
            </w:pPr>
            <w:r>
              <w:rPr>
                <w:rFonts w:ascii="宋体" w:hAnsi="宋体" w:eastAsia="宋体"/>
                <w:b w:val="0"/>
                <w:i w:val="0"/>
                <w:color w:val="000000"/>
                <w:sz w:val="18"/>
              </w:rPr>
              <w:t>宋颐岚、寇志</w:t>
            </w:r>
            <w:r>
              <w:rPr>
                <w:rFonts w:ascii="宋体" w:hAnsi="宋体" w:eastAsia="宋体"/>
                <w:b w:val="0"/>
                <w:i w:val="0"/>
                <w:color w:val="000000"/>
                <w:sz w:val="18"/>
              </w:rPr>
              <w:t>博、张宝乐、容</w:t>
            </w:r>
            <w:r>
              <w:rPr>
                <w:rFonts w:ascii="宋体" w:hAnsi="宋体" w:eastAsia="宋体"/>
                <w:b w:val="0"/>
                <w:i w:val="0"/>
                <w:color w:val="000000"/>
                <w:sz w:val="18"/>
              </w:rPr>
              <w:t>畅、黄海博、刘</w:t>
            </w:r>
            <w:r>
              <w:tab/>
            </w:r>
            <w:r>
              <w:tab/>
            </w:r>
            <w:r>
              <w:rPr>
                <w:rFonts w:ascii="宋体" w:hAnsi="宋体" w:eastAsia="宋体"/>
                <w:b w:val="0"/>
                <w:i w:val="0"/>
                <w:color w:val="000000"/>
                <w:sz w:val="18"/>
              </w:rPr>
              <w:t xml:space="preserve">鑫 </w:t>
            </w:r>
          </w:p>
        </w:tc>
        <w:tc>
          <w:tcPr>
            <w:tcW w:type="dxa" w:w="1312"/>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538" w:after="0"/>
              <w:ind w:left="112" w:right="0" w:firstLine="0"/>
              <w:jc w:val="left"/>
            </w:pPr>
            <w:r>
              <w:rPr>
                <w:rFonts w:ascii="宋体" w:hAnsi="宋体" w:eastAsia="宋体"/>
                <w:b w:val="0"/>
                <w:i w:val="0"/>
                <w:color w:val="000000"/>
                <w:sz w:val="18"/>
              </w:rPr>
              <w:t xml:space="preserve">010-60837524 </w:t>
            </w:r>
          </w:p>
        </w:tc>
      </w:tr>
      <w:tr>
        <w:trPr>
          <w:trHeight w:hRule="exact" w:val="904"/>
        </w:trPr>
        <w:tc>
          <w:tcPr>
            <w:tcW w:type="dxa" w:w="1901"/>
            <w:vMerge/>
            <w:tcBorders>
              <w:start w:sz="2.3999999999999773" w:val="single" w:color="#000000"/>
              <w:top w:sz="2.400000000000091" w:val="single" w:color="#000000"/>
              <w:end w:sz="2.3999999999999773" w:val="single" w:color="#000000"/>
              <w:bottom w:sz="2.400000000000091" w:val="single" w:color="#000000"/>
            </w:tcBorders>
          </w:tcPr>
          <w:p/>
        </w:tc>
        <w:tc>
          <w:tcPr>
            <w:tcW w:type="dxa" w:w="21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 xml:space="preserve">资信评级机构： </w:t>
            </w:r>
            <w:r>
              <w:br/>
            </w:r>
            <w:r>
              <w:rPr>
                <w:rFonts w:ascii="宋体" w:hAnsi="宋体" w:eastAsia="宋体"/>
                <w:b w:val="0"/>
                <w:i w:val="0"/>
                <w:color w:val="000000"/>
                <w:sz w:val="18"/>
              </w:rPr>
              <w:t>中诚信国际信用评级有</w:t>
            </w:r>
            <w:r>
              <w:rPr>
                <w:rFonts w:ascii="宋体" w:hAnsi="宋体" w:eastAsia="宋体"/>
                <w:b w:val="0"/>
                <w:i w:val="0"/>
                <w:color w:val="000000"/>
                <w:sz w:val="18"/>
              </w:rPr>
              <w:t xml:space="preserve">限责任公司 </w:t>
            </w:r>
          </w:p>
        </w:tc>
        <w:tc>
          <w:tcPr>
            <w:tcW w:type="dxa" w:w="241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88" w:lineRule="exact" w:before="0" w:after="0"/>
              <w:ind w:left="108" w:right="0" w:firstLine="0"/>
              <w:jc w:val="left"/>
            </w:pPr>
            <w:r>
              <w:rPr>
                <w:rFonts w:ascii="宋体" w:hAnsi="宋体" w:eastAsia="宋体"/>
                <w:b w:val="0"/>
                <w:i w:val="0"/>
                <w:color w:val="000000"/>
                <w:sz w:val="18"/>
              </w:rPr>
              <w:t>北京市东城区朝阳门内大街</w:t>
            </w:r>
            <w:r>
              <w:rPr>
                <w:rFonts w:ascii="宋体" w:hAnsi="宋体" w:eastAsia="宋体"/>
                <w:b w:val="0"/>
                <w:i w:val="0"/>
                <w:color w:val="000000"/>
                <w:sz w:val="18"/>
              </w:rPr>
              <w:t xml:space="preserve">南竹杆胡同2 号银河SOHO </w:t>
            </w:r>
            <w:r>
              <w:rPr>
                <w:rFonts w:ascii="宋体" w:hAnsi="宋体" w:eastAsia="宋体"/>
                <w:b w:val="0"/>
                <w:i w:val="0"/>
                <w:color w:val="000000"/>
                <w:sz w:val="18"/>
              </w:rPr>
              <w:t xml:space="preserve">5 号楼 </w:t>
            </w:r>
          </w:p>
        </w:tc>
        <w:tc>
          <w:tcPr>
            <w:tcW w:type="dxa" w:w="156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84"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84" w:after="0"/>
              <w:ind w:left="0" w:right="508" w:firstLine="0"/>
              <w:jc w:val="right"/>
            </w:pPr>
            <w:r>
              <w:rPr>
                <w:rFonts w:ascii="宋体" w:hAnsi="宋体" w:eastAsia="宋体"/>
                <w:b w:val="0"/>
                <w:i w:val="0"/>
                <w:color w:val="000000"/>
                <w:sz w:val="18"/>
              </w:rPr>
              <w:t xml:space="preserve">苗祺 </w:t>
            </w:r>
          </w:p>
        </w:tc>
        <w:tc>
          <w:tcPr>
            <w:tcW w:type="dxa" w:w="1312"/>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Pr>
          <w:p>
            <w:pPr>
              <w:autoSpaceDN w:val="0"/>
              <w:tabs>
                <w:tab w:pos="472" w:val="left"/>
              </w:tabs>
              <w:autoSpaceDE w:val="0"/>
              <w:widowControl/>
              <w:spacing w:line="300" w:lineRule="exact" w:before="116" w:after="0"/>
              <w:ind w:left="112" w:right="0" w:firstLine="0"/>
              <w:jc w:val="left"/>
            </w:pPr>
            <w:r>
              <w:tab/>
            </w:r>
            <w:r>
              <w:rPr>
                <w:rFonts w:ascii="宋体" w:hAnsi="宋体" w:eastAsia="宋体"/>
                <w:b w:val="0"/>
                <w:i w:val="0"/>
                <w:color w:val="000000"/>
                <w:sz w:val="18"/>
              </w:rPr>
              <w:t>010-</w:t>
            </w:r>
            <w:r>
              <w:br/>
            </w:r>
            <w:r>
              <w:rPr>
                <w:rFonts w:ascii="宋体" w:hAnsi="宋体" w:eastAsia="宋体"/>
                <w:b w:val="0"/>
                <w:i w:val="0"/>
                <w:color w:val="000000"/>
                <w:sz w:val="18"/>
              </w:rPr>
              <w:t xml:space="preserve">66428877-597 </w:t>
            </w:r>
          </w:p>
        </w:tc>
      </w:tr>
      <w:tr>
        <w:trPr>
          <w:trHeight w:hRule="exact" w:val="906"/>
        </w:trPr>
        <w:tc>
          <w:tcPr>
            <w:tcW w:type="dxa" w:w="1901"/>
            <w:vMerge/>
            <w:tcBorders>
              <w:start w:sz="2.3999999999999773" w:val="single" w:color="#000000"/>
              <w:top w:sz="2.400000000000091" w:val="single" w:color="#000000"/>
              <w:end w:sz="2.3999999999999773" w:val="single" w:color="#000000"/>
              <w:bottom w:sz="2.400000000000091" w:val="single" w:color="#000000"/>
            </w:tcBorders>
          </w:tcPr>
          <w:p/>
        </w:tc>
        <w:tc>
          <w:tcPr>
            <w:tcW w:type="dxa" w:w="21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 xml:space="preserve">会计师事务所： </w:t>
            </w:r>
            <w:r>
              <w:br/>
            </w:r>
            <w:r>
              <w:rPr>
                <w:rFonts w:ascii="宋体" w:hAnsi="宋体" w:eastAsia="宋体"/>
                <w:b w:val="0"/>
                <w:i w:val="0"/>
                <w:color w:val="000000"/>
                <w:sz w:val="18"/>
              </w:rPr>
              <w:t>毕马威华振会计师事务</w:t>
            </w:r>
            <w:r>
              <w:rPr>
                <w:rFonts w:ascii="宋体" w:hAnsi="宋体" w:eastAsia="宋体"/>
                <w:b w:val="0"/>
                <w:i w:val="0"/>
                <w:color w:val="000000"/>
                <w:sz w:val="18"/>
              </w:rPr>
              <w:t xml:space="preserve">所（特殊普通合伙） </w:t>
            </w:r>
          </w:p>
        </w:tc>
        <w:tc>
          <w:tcPr>
            <w:tcW w:type="dxa" w:w="24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116" w:after="0"/>
              <w:ind w:left="108" w:right="0" w:firstLine="0"/>
              <w:jc w:val="left"/>
            </w:pPr>
            <w:r>
              <w:rPr>
                <w:rFonts w:ascii="宋体" w:hAnsi="宋体" w:eastAsia="宋体"/>
                <w:b w:val="0"/>
                <w:i w:val="0"/>
                <w:color w:val="000000"/>
                <w:sz w:val="18"/>
              </w:rPr>
              <w:t>北京市东城区东长安街1 号</w:t>
            </w:r>
            <w:r>
              <w:rPr>
                <w:rFonts w:ascii="宋体" w:hAnsi="宋体" w:eastAsia="宋体"/>
                <w:b w:val="0"/>
                <w:i w:val="0"/>
                <w:color w:val="000000"/>
                <w:sz w:val="18"/>
              </w:rPr>
              <w:t xml:space="preserve">东方广场东2 座办公楼8 层 </w:t>
            </w:r>
          </w:p>
        </w:tc>
        <w:tc>
          <w:tcPr>
            <w:tcW w:type="dxa" w:w="156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86" w:after="0"/>
              <w:ind w:left="240" w:right="0" w:firstLine="0"/>
              <w:jc w:val="left"/>
            </w:pPr>
            <w:r>
              <w:rPr>
                <w:rFonts w:ascii="宋体" w:hAnsi="宋体" w:eastAsia="宋体"/>
                <w:b w:val="0"/>
                <w:i w:val="0"/>
                <w:color w:val="000000"/>
                <w:sz w:val="18"/>
              </w:rPr>
              <w:t xml:space="preserve">史剑、唐莹慧 </w:t>
            </w:r>
          </w:p>
        </w:tc>
        <w:tc>
          <w:tcPr>
            <w:tcW w:type="dxa" w:w="156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386" w:after="0"/>
              <w:ind w:left="0" w:right="418" w:firstLine="0"/>
              <w:jc w:val="right"/>
            </w:pPr>
            <w:r>
              <w:rPr>
                <w:rFonts w:ascii="宋体" w:hAnsi="宋体" w:eastAsia="宋体"/>
                <w:b w:val="0"/>
                <w:i w:val="0"/>
                <w:color w:val="000000"/>
                <w:sz w:val="18"/>
              </w:rPr>
              <w:t xml:space="preserve">李树山 </w:t>
            </w:r>
          </w:p>
        </w:tc>
        <w:tc>
          <w:tcPr>
            <w:tcW w:type="dxa" w:w="1312"/>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386" w:after="0"/>
              <w:ind w:left="112" w:right="0" w:firstLine="0"/>
              <w:jc w:val="left"/>
            </w:pPr>
            <w:r>
              <w:rPr>
                <w:rFonts w:ascii="宋体" w:hAnsi="宋体" w:eastAsia="宋体"/>
                <w:b w:val="0"/>
                <w:i w:val="0"/>
                <w:color w:val="000000"/>
                <w:sz w:val="18"/>
              </w:rPr>
              <w:t xml:space="preserve">010-85085000 </w:t>
            </w:r>
          </w:p>
        </w:tc>
      </w:tr>
      <w:tr>
        <w:trPr>
          <w:trHeight w:hRule="exact" w:val="904"/>
        </w:trPr>
        <w:tc>
          <w:tcPr>
            <w:tcW w:type="dxa" w:w="1901"/>
            <w:vMerge/>
            <w:tcBorders>
              <w:start w:sz="2.3999999999999773" w:val="single" w:color="#000000"/>
              <w:top w:sz="2.400000000000091" w:val="single" w:color="#000000"/>
              <w:end w:sz="2.3999999999999773" w:val="single" w:color="#000000"/>
              <w:bottom w:sz="2.400000000000091" w:val="single" w:color="#000000"/>
            </w:tcBorders>
          </w:tcPr>
          <w:p/>
        </w:tc>
        <w:tc>
          <w:tcPr>
            <w:tcW w:type="dxa" w:w="2124"/>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288" w:lineRule="exact" w:before="0" w:after="0"/>
              <w:ind w:left="106" w:right="144" w:firstLine="0"/>
              <w:jc w:val="left"/>
            </w:pPr>
            <w:r>
              <w:rPr>
                <w:rFonts w:ascii="宋体" w:hAnsi="宋体" w:eastAsia="宋体"/>
                <w:b w:val="0"/>
                <w:i w:val="0"/>
                <w:color w:val="000000"/>
                <w:sz w:val="18"/>
              </w:rPr>
              <w:t xml:space="preserve">会计师事务所： </w:t>
            </w:r>
            <w:r>
              <w:br/>
            </w:r>
            <w:r>
              <w:rPr>
                <w:rFonts w:ascii="宋体" w:hAnsi="宋体" w:eastAsia="宋体"/>
                <w:b w:val="0"/>
                <w:i w:val="0"/>
                <w:color w:val="000000"/>
                <w:sz w:val="18"/>
              </w:rPr>
              <w:t>安永华明会计师事务所</w:t>
            </w:r>
            <w:r>
              <w:rPr>
                <w:rFonts w:ascii="宋体" w:hAnsi="宋体" w:eastAsia="宋体"/>
                <w:b w:val="0"/>
                <w:i w:val="0"/>
                <w:color w:val="000000"/>
                <w:sz w:val="18"/>
              </w:rPr>
              <w:t xml:space="preserve">（特殊普通合伙） </w:t>
            </w:r>
          </w:p>
        </w:tc>
        <w:tc>
          <w:tcPr>
            <w:tcW w:type="dxa" w:w="241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300" w:lineRule="exact" w:before="116" w:after="0"/>
              <w:ind w:left="108" w:right="0" w:firstLine="0"/>
              <w:jc w:val="left"/>
            </w:pPr>
            <w:r>
              <w:rPr>
                <w:rFonts w:ascii="宋体" w:hAnsi="宋体" w:eastAsia="宋体"/>
                <w:b w:val="0"/>
                <w:i w:val="0"/>
                <w:color w:val="000000"/>
                <w:sz w:val="18"/>
              </w:rPr>
              <w:t>北京市东长安街1 号东方广</w:t>
            </w:r>
            <w:r>
              <w:rPr>
                <w:rFonts w:ascii="宋体" w:hAnsi="宋体" w:eastAsia="宋体"/>
                <w:b w:val="0"/>
                <w:i w:val="0"/>
                <w:color w:val="000000"/>
                <w:sz w:val="18"/>
              </w:rPr>
              <w:t xml:space="preserve">场安永大楼17 层 </w:t>
            </w:r>
          </w:p>
        </w:tc>
        <w:tc>
          <w:tcPr>
            <w:tcW w:type="dxa" w:w="1560"/>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84" w:after="0"/>
              <w:ind w:left="330" w:right="0" w:firstLine="0"/>
              <w:jc w:val="left"/>
            </w:pPr>
            <w:r>
              <w:rPr>
                <w:rFonts w:ascii="宋体" w:hAnsi="宋体" w:eastAsia="宋体"/>
                <w:b w:val="0"/>
                <w:i w:val="0"/>
                <w:color w:val="000000"/>
                <w:sz w:val="18"/>
              </w:rPr>
              <w:t xml:space="preserve">顾珺、俞溜 </w:t>
            </w:r>
          </w:p>
        </w:tc>
        <w:tc>
          <w:tcPr>
            <w:tcW w:type="dxa" w:w="156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180" w:lineRule="exact" w:before="384" w:after="0"/>
              <w:ind w:left="0" w:right="418" w:firstLine="0"/>
              <w:jc w:val="right"/>
            </w:pPr>
            <w:r>
              <w:rPr>
                <w:rFonts w:ascii="宋体" w:hAnsi="宋体" w:eastAsia="宋体"/>
                <w:b w:val="0"/>
                <w:i w:val="0"/>
                <w:color w:val="000000"/>
                <w:sz w:val="18"/>
              </w:rPr>
              <w:t xml:space="preserve">马芊寻 </w:t>
            </w:r>
          </w:p>
        </w:tc>
        <w:tc>
          <w:tcPr>
            <w:tcW w:type="dxa" w:w="1312"/>
            <w:tcBorders>
              <w:start w:sz="2.400000000000091"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84" w:after="0"/>
              <w:ind w:left="112" w:right="0" w:firstLine="0"/>
              <w:jc w:val="left"/>
            </w:pPr>
            <w:r>
              <w:rPr>
                <w:rFonts w:ascii="宋体" w:hAnsi="宋体" w:eastAsia="宋体"/>
                <w:b w:val="0"/>
                <w:i w:val="0"/>
                <w:color w:val="000000"/>
                <w:sz w:val="18"/>
              </w:rPr>
              <w:t xml:space="preserve">010-58153000 </w:t>
            </w:r>
          </w:p>
        </w:tc>
      </w:tr>
      <w:tr>
        <w:trPr>
          <w:trHeight w:hRule="exact" w:val="908"/>
        </w:trPr>
        <w:tc>
          <w:tcPr>
            <w:tcW w:type="dxa" w:w="1901"/>
            <w:vMerge/>
            <w:tcBorders>
              <w:start w:sz="2.3999999999999773" w:val="single" w:color="#000000"/>
              <w:top w:sz="2.400000000000091" w:val="single" w:color="#000000"/>
              <w:end w:sz="2.3999999999999773" w:val="single" w:color="#000000"/>
              <w:bottom w:sz="2.400000000000091" w:val="single" w:color="#000000"/>
            </w:tcBorders>
          </w:tcPr>
          <w:p/>
        </w:tc>
        <w:tc>
          <w:tcPr>
            <w:tcW w:type="dxa" w:w="2124"/>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290" w:lineRule="exact" w:before="0" w:after="0"/>
              <w:ind w:left="106" w:right="144" w:firstLine="0"/>
              <w:jc w:val="left"/>
            </w:pPr>
            <w:r>
              <w:rPr>
                <w:rFonts w:ascii="宋体" w:hAnsi="宋体" w:eastAsia="宋体"/>
                <w:b w:val="0"/>
                <w:i w:val="0"/>
                <w:color w:val="000000"/>
                <w:sz w:val="18"/>
              </w:rPr>
              <w:t xml:space="preserve">律师事务所： </w:t>
            </w:r>
            <w:r>
              <w:br/>
            </w:r>
            <w:r>
              <w:rPr>
                <w:rFonts w:ascii="宋体" w:hAnsi="宋体" w:eastAsia="宋体"/>
                <w:b w:val="0"/>
                <w:i w:val="0"/>
                <w:color w:val="000000"/>
                <w:sz w:val="18"/>
              </w:rPr>
              <w:t>国浩律师（上海）事务</w:t>
            </w:r>
            <w:r>
              <w:rPr>
                <w:rFonts w:ascii="宋体" w:hAnsi="宋体" w:eastAsia="宋体"/>
                <w:b w:val="0"/>
                <w:i w:val="0"/>
                <w:color w:val="000000"/>
                <w:sz w:val="18"/>
              </w:rPr>
              <w:t xml:space="preserve">所 </w:t>
            </w:r>
          </w:p>
        </w:tc>
        <w:tc>
          <w:tcPr>
            <w:tcW w:type="dxa" w:w="241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300" w:lineRule="exact" w:before="116" w:after="0"/>
              <w:ind w:left="108" w:right="144" w:firstLine="0"/>
              <w:jc w:val="left"/>
            </w:pPr>
            <w:r>
              <w:rPr>
                <w:rFonts w:ascii="宋体" w:hAnsi="宋体" w:eastAsia="宋体"/>
                <w:b w:val="0"/>
                <w:i w:val="0"/>
                <w:color w:val="000000"/>
                <w:sz w:val="18"/>
              </w:rPr>
              <w:t>上海市静安区山西北路99</w:t>
            </w:r>
            <w:r>
              <w:rPr>
                <w:rFonts w:ascii="宋体" w:hAnsi="宋体" w:eastAsia="宋体"/>
                <w:b w:val="0"/>
                <w:i w:val="0"/>
                <w:color w:val="000000"/>
                <w:sz w:val="18"/>
              </w:rPr>
              <w:t xml:space="preserve">号苏河湾中心25-28 层 </w:t>
            </w:r>
          </w:p>
        </w:tc>
        <w:tc>
          <w:tcPr>
            <w:tcW w:type="dxa" w:w="1560"/>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88" w:after="0"/>
              <w:ind w:left="0" w:right="416" w:firstLine="0"/>
              <w:jc w:val="right"/>
            </w:pPr>
            <w:r>
              <w:rPr>
                <w:rFonts w:ascii="宋体" w:hAnsi="宋体" w:eastAsia="宋体"/>
                <w:b w:val="0"/>
                <w:i w:val="0"/>
                <w:color w:val="000000"/>
                <w:sz w:val="18"/>
              </w:rPr>
              <w:t xml:space="preserve">不适用 </w:t>
            </w:r>
          </w:p>
        </w:tc>
        <w:tc>
          <w:tcPr>
            <w:tcW w:type="dxa" w:w="156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180" w:lineRule="exact" w:before="388" w:after="0"/>
              <w:ind w:left="150" w:right="0" w:firstLine="0"/>
              <w:jc w:val="left"/>
            </w:pPr>
            <w:r>
              <w:rPr>
                <w:rFonts w:ascii="宋体" w:hAnsi="宋体" w:eastAsia="宋体"/>
                <w:b w:val="0"/>
                <w:i w:val="0"/>
                <w:color w:val="000000"/>
                <w:sz w:val="18"/>
              </w:rPr>
              <w:t xml:space="preserve">雷丹丹、徐雪桦 </w:t>
            </w:r>
          </w:p>
        </w:tc>
        <w:tc>
          <w:tcPr>
            <w:tcW w:type="dxa" w:w="1312"/>
            <w:tcBorders>
              <w:start w:sz="2.400000000000091"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388" w:after="0"/>
              <w:ind w:left="112" w:right="0" w:firstLine="0"/>
              <w:jc w:val="left"/>
            </w:pPr>
            <w:r>
              <w:rPr>
                <w:rFonts w:ascii="宋体" w:hAnsi="宋体" w:eastAsia="宋体"/>
                <w:b w:val="0"/>
                <w:i w:val="0"/>
                <w:color w:val="000000"/>
                <w:sz w:val="18"/>
              </w:rPr>
              <w:t xml:space="preserve">021-52341668 </w:t>
            </w:r>
          </w:p>
        </w:tc>
      </w:tr>
    </w:tbl>
    <w:p>
      <w:pPr>
        <w:autoSpaceDN w:val="0"/>
        <w:autoSpaceDE w:val="0"/>
        <w:widowControl/>
        <w:spacing w:line="180" w:lineRule="exact" w:before="136" w:after="0"/>
        <w:ind w:left="874" w:right="0" w:firstLine="0"/>
        <w:jc w:val="left"/>
      </w:pPr>
      <w:r>
        <w:rPr>
          <w:rFonts w:ascii="宋体" w:hAnsi="宋体" w:eastAsia="宋体"/>
          <w:b w:val="0"/>
          <w:i w:val="0"/>
          <w:color w:val="000000"/>
          <w:sz w:val="18"/>
        </w:rPr>
        <w:t xml:space="preserve">注：公司存续期债券在发行阶段未进行债项评级，上述资信评级机构为公司主体评级机构。 </w:t>
      </w:r>
    </w:p>
    <w:p>
      <w:pPr>
        <w:autoSpaceDN w:val="0"/>
        <w:autoSpaceDE w:val="0"/>
        <w:widowControl/>
        <w:spacing w:line="180" w:lineRule="exact" w:before="498" w:after="0"/>
        <w:ind w:left="874" w:right="0" w:firstLine="0"/>
        <w:jc w:val="left"/>
      </w:pPr>
      <w:r>
        <w:rPr>
          <w:rFonts w:ascii="宋体" w:hAnsi="宋体" w:eastAsia="宋体"/>
          <w:b w:val="0"/>
          <w:i w:val="0"/>
          <w:color w:val="000000"/>
          <w:sz w:val="18"/>
        </w:rPr>
        <w:t xml:space="preserve">报告期内上述机构是否发生变化 </w:t>
      </w:r>
    </w:p>
    <w:p>
      <w:pPr>
        <w:autoSpaceDN w:val="0"/>
        <w:tabs>
          <w:tab w:pos="9426" w:val="left"/>
        </w:tabs>
        <w:autoSpaceDE w:val="0"/>
        <w:widowControl/>
        <w:spacing w:line="340" w:lineRule="exact" w:before="0" w:after="64"/>
        <w:ind w:left="874" w:right="864" w:firstLine="0"/>
        <w:jc w:val="left"/>
      </w:pPr>
      <w:r>
        <w:rPr>
          <w:rFonts w:ascii="宋体" w:hAnsi="宋体" w:eastAsia="宋体"/>
          <w:b w:val="0"/>
          <w:i w:val="0"/>
          <w:color w:val="000000"/>
          <w:sz w:val="18"/>
        </w:rPr>
        <w:t xml:space="preserve">□是 √否 </w:t>
      </w:r>
      <w:r>
        <w:br/>
      </w:r>
      <w:r>
        <w:rPr>
          <w:rFonts w:ascii="宋体" w:hAnsi="宋体" w:eastAsia="宋体"/>
          <w:b w:val="0"/>
          <w:i w:val="0"/>
          <w:color w:val="000000"/>
          <w:sz w:val="21"/>
        </w:rPr>
        <w:t xml:space="preserve">4、募集资金使用情况 </w:t>
      </w:r>
      <w:r>
        <w:br/>
      </w:r>
      <w:r>
        <w:tab/>
      </w: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1.999999999999993" w:type="dxa"/>
      </w:tblPr>
      <w:tblGrid>
        <w:gridCol w:w="1037"/>
        <w:gridCol w:w="1037"/>
        <w:gridCol w:w="1037"/>
        <w:gridCol w:w="1037"/>
        <w:gridCol w:w="1037"/>
        <w:gridCol w:w="1037"/>
        <w:gridCol w:w="1037"/>
        <w:gridCol w:w="1037"/>
        <w:gridCol w:w="1037"/>
        <w:gridCol w:w="1037"/>
        <w:gridCol w:w="1037"/>
      </w:tblGrid>
      <w:tr>
        <w:trPr>
          <w:trHeight w:hRule="exact" w:val="2248"/>
        </w:trPr>
        <w:tc>
          <w:tcPr>
            <w:tcW w:type="dxa" w:w="852"/>
            <w:tcBorders>
              <w:start w:sz="1.5999999999999943" w:val="single" w:color="#000000"/>
              <w:top w:sz="2.399999999999636" w:val="single" w:color="#000000"/>
              <w:end w:sz="1.599999999999966" w:val="single" w:color="#000000"/>
              <w:bottom w:sz="2.4000000000005457" w:val="single" w:color="#000000"/>
            </w:tcBorders>
            <w:shd w:fill="d2d2d2"/>
            <w:tcMar>
              <w:start w:w="0" w:type="dxa"/>
              <w:end w:w="0" w:type="dxa"/>
            </w:tcMar>
          </w:tcPr>
          <w:p>
            <w:pPr>
              <w:autoSpaceDN w:val="0"/>
              <w:tabs>
                <w:tab w:pos="336" w:val="left"/>
              </w:tabs>
              <w:autoSpaceDE w:val="0"/>
              <w:widowControl/>
              <w:spacing w:line="240" w:lineRule="exact" w:before="856" w:after="0"/>
              <w:ind w:left="156" w:right="144" w:firstLine="0"/>
              <w:jc w:val="left"/>
            </w:pPr>
            <w:r>
              <w:rPr>
                <w:rFonts w:ascii="宋体" w:hAnsi="宋体" w:eastAsia="宋体"/>
                <w:b w:val="0"/>
                <w:i w:val="0"/>
                <w:color w:val="000000"/>
                <w:sz w:val="18"/>
              </w:rPr>
              <w:t>债券代</w:t>
            </w:r>
            <w:r>
              <w:tab/>
            </w:r>
            <w:r>
              <w:rPr>
                <w:rFonts w:ascii="宋体" w:hAnsi="宋体" w:eastAsia="宋体"/>
                <w:b w:val="0"/>
                <w:i w:val="0"/>
                <w:color w:val="000000"/>
                <w:sz w:val="18"/>
              </w:rPr>
              <w:t xml:space="preserve">码 </w:t>
            </w:r>
          </w:p>
        </w:tc>
        <w:tc>
          <w:tcPr>
            <w:tcW w:type="dxa" w:w="1132"/>
            <w:tcBorders>
              <w:start w:sz="1.599999999999966" w:val="single" w:color="#000000"/>
              <w:top w:sz="2.399999999999636" w:val="single" w:color="#000000"/>
              <w:end w:sz="2.3999999999999773" w:val="single" w:color="#000000"/>
              <w:bottom w:sz="2.4000000000005457" w:val="single" w:color="#000000"/>
            </w:tcBorders>
            <w:shd w:fill="d2d2d2"/>
            <w:tcMar>
              <w:start w:w="0" w:type="dxa"/>
              <w:end w:w="0" w:type="dxa"/>
            </w:tcMar>
          </w:tcPr>
          <w:p>
            <w:pPr>
              <w:autoSpaceDN w:val="0"/>
              <w:autoSpaceDE w:val="0"/>
              <w:widowControl/>
              <w:spacing w:line="180" w:lineRule="exact" w:before="1036" w:after="0"/>
              <w:ind w:left="204" w:right="0" w:firstLine="0"/>
              <w:jc w:val="left"/>
            </w:pPr>
            <w:r>
              <w:rPr>
                <w:rFonts w:ascii="宋体" w:hAnsi="宋体" w:eastAsia="宋体"/>
                <w:b w:val="0"/>
                <w:i w:val="0"/>
                <w:color w:val="000000"/>
                <w:sz w:val="18"/>
              </w:rPr>
              <w:t xml:space="preserve">债券简称 </w:t>
            </w:r>
          </w:p>
        </w:tc>
        <w:tc>
          <w:tcPr>
            <w:tcW w:type="dxa" w:w="1136"/>
            <w:tcBorders>
              <w:start w:sz="2.3999999999999773" w:val="single" w:color="#000000"/>
              <w:top w:sz="2.399999999999636" w:val="single" w:color="#000000"/>
              <w:end w:sz="1.599999999999909" w:val="single" w:color="#000000"/>
              <w:bottom w:sz="2.4000000000005457" w:val="single" w:color="#000000"/>
            </w:tcBorders>
            <w:shd w:fill="d2d2d2"/>
            <w:tcMar>
              <w:start w:w="0" w:type="dxa"/>
              <w:end w:w="0" w:type="dxa"/>
            </w:tcMar>
          </w:tcPr>
          <w:p>
            <w:pPr>
              <w:autoSpaceDN w:val="0"/>
              <w:tabs>
                <w:tab w:pos="388" w:val="left"/>
              </w:tabs>
              <w:autoSpaceDE w:val="0"/>
              <w:widowControl/>
              <w:spacing w:line="240" w:lineRule="exact" w:before="856" w:after="0"/>
              <w:ind w:left="116" w:right="0" w:firstLine="0"/>
              <w:jc w:val="left"/>
            </w:pPr>
            <w:r>
              <w:rPr>
                <w:rFonts w:ascii="宋体" w:hAnsi="宋体" w:eastAsia="宋体"/>
                <w:b w:val="0"/>
                <w:i w:val="0"/>
                <w:color w:val="000000"/>
                <w:sz w:val="18"/>
              </w:rPr>
              <w:t>募集资金总</w:t>
            </w:r>
            <w:r>
              <w:tab/>
            </w:r>
            <w:r>
              <w:rPr>
                <w:rFonts w:ascii="宋体" w:hAnsi="宋体" w:eastAsia="宋体"/>
                <w:b w:val="0"/>
                <w:i w:val="0"/>
                <w:color w:val="000000"/>
                <w:sz w:val="18"/>
              </w:rPr>
              <w:t xml:space="preserve">金额 </w:t>
            </w:r>
          </w:p>
        </w:tc>
        <w:tc>
          <w:tcPr>
            <w:tcW w:type="dxa" w:w="1580"/>
            <w:tcBorders>
              <w:start w:sz="1.599999999999909" w:val="single" w:color="#000000"/>
              <w:top w:sz="2.399999999999636" w:val="single" w:color="#000000"/>
              <w:end w:sz="1.599999999999909" w:val="single" w:color="#000000"/>
              <w:bottom w:sz="2.4000000000005457" w:val="single" w:color="#000000"/>
            </w:tcBorders>
            <w:shd w:fill="d2d2d2"/>
            <w:tcMar>
              <w:start w:w="0" w:type="dxa"/>
              <w:end w:w="0" w:type="dxa"/>
            </w:tcMar>
          </w:tcPr>
          <w:p>
            <w:pPr>
              <w:autoSpaceDN w:val="0"/>
              <w:tabs>
                <w:tab w:pos="698" w:val="left"/>
              </w:tabs>
              <w:autoSpaceDE w:val="0"/>
              <w:widowControl/>
              <w:spacing w:line="240" w:lineRule="exact" w:before="856" w:after="0"/>
              <w:ind w:left="158" w:right="144" w:firstLine="0"/>
              <w:jc w:val="left"/>
            </w:pPr>
            <w:r>
              <w:rPr>
                <w:rFonts w:ascii="宋体" w:hAnsi="宋体" w:eastAsia="宋体"/>
                <w:b w:val="0"/>
                <w:i w:val="0"/>
                <w:color w:val="000000"/>
                <w:sz w:val="18"/>
              </w:rPr>
              <w:t>募集资金约定用</w:t>
            </w:r>
            <w:r>
              <w:tab/>
            </w:r>
            <w:r>
              <w:rPr>
                <w:rFonts w:ascii="宋体" w:hAnsi="宋体" w:eastAsia="宋体"/>
                <w:b w:val="0"/>
                <w:i w:val="0"/>
                <w:color w:val="000000"/>
                <w:sz w:val="18"/>
              </w:rPr>
              <w:t xml:space="preserve">途 </w:t>
            </w:r>
          </w:p>
        </w:tc>
        <w:tc>
          <w:tcPr>
            <w:tcW w:type="dxa" w:w="1136"/>
            <w:tcBorders>
              <w:start w:sz="1.599999999999909" w:val="single" w:color="#000000"/>
              <w:top w:sz="2.399999999999636"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180" w:lineRule="exact" w:before="1036" w:after="0"/>
              <w:ind w:left="116" w:right="0" w:firstLine="0"/>
              <w:jc w:val="left"/>
            </w:pPr>
            <w:r>
              <w:rPr>
                <w:rFonts w:ascii="宋体" w:hAnsi="宋体" w:eastAsia="宋体"/>
                <w:b w:val="0"/>
                <w:i w:val="0"/>
                <w:color w:val="000000"/>
                <w:sz w:val="18"/>
              </w:rPr>
              <w:t xml:space="preserve">已使用金额 </w:t>
            </w:r>
          </w:p>
        </w:tc>
        <w:tc>
          <w:tcPr>
            <w:tcW w:type="dxa" w:w="992"/>
            <w:tcBorders>
              <w:start w:sz="1.599999999999909" w:val="single" w:color="#000000"/>
              <w:top w:sz="2.399999999999636" w:val="single" w:color="#000000"/>
              <w:end w:sz="2.400000000000091" w:val="single" w:color="#000000"/>
              <w:bottom w:sz="2.4000000000005457" w:val="single" w:color="#000000"/>
            </w:tcBorders>
            <w:shd w:fill="d2d2d2"/>
            <w:tcMar>
              <w:start w:w="0" w:type="dxa"/>
              <w:end w:w="0" w:type="dxa"/>
            </w:tcMar>
          </w:tcPr>
          <w:p>
            <w:pPr>
              <w:autoSpaceDN w:val="0"/>
              <w:tabs>
                <w:tab w:pos="222" w:val="left"/>
                <w:tab w:pos="312" w:val="left"/>
              </w:tabs>
              <w:autoSpaceDE w:val="0"/>
              <w:widowControl/>
              <w:spacing w:line="240" w:lineRule="exact" w:before="256" w:after="0"/>
              <w:ind w:left="132" w:right="0" w:firstLine="0"/>
              <w:jc w:val="left"/>
            </w:pPr>
            <w:r>
              <w:rPr>
                <w:rFonts w:ascii="宋体" w:hAnsi="宋体" w:eastAsia="宋体"/>
                <w:b w:val="0"/>
                <w:i w:val="0"/>
                <w:color w:val="000000"/>
                <w:sz w:val="18"/>
              </w:rPr>
              <w:t>募集资金</w:t>
            </w:r>
            <w:r>
              <w:rPr>
                <w:rFonts w:ascii="宋体" w:hAnsi="宋体" w:eastAsia="宋体"/>
                <w:b w:val="0"/>
                <w:i w:val="0"/>
                <w:color w:val="000000"/>
                <w:sz w:val="18"/>
              </w:rPr>
              <w:t>的实际使</w:t>
            </w:r>
            <w:r>
              <w:rPr>
                <w:rFonts w:ascii="宋体" w:hAnsi="宋体" w:eastAsia="宋体"/>
                <w:b w:val="0"/>
                <w:i w:val="0"/>
                <w:color w:val="000000"/>
                <w:sz w:val="18"/>
              </w:rPr>
              <w:t>用情况</w:t>
            </w:r>
            <w:r>
              <w:br/>
            </w:r>
            <w:r>
              <w:rPr>
                <w:rFonts w:ascii="宋体" w:hAnsi="宋体" w:eastAsia="宋体"/>
                <w:b w:val="0"/>
                <w:i w:val="0"/>
                <w:color w:val="000000"/>
                <w:sz w:val="18"/>
              </w:rPr>
              <w:t>（按用途</w:t>
            </w:r>
            <w:r>
              <w:rPr>
                <w:rFonts w:ascii="宋体" w:hAnsi="宋体" w:eastAsia="宋体"/>
                <w:b w:val="0"/>
                <w:i w:val="0"/>
                <w:color w:val="000000"/>
                <w:sz w:val="18"/>
              </w:rPr>
              <w:t>分类，不</w:t>
            </w:r>
            <w:r>
              <w:rPr>
                <w:rFonts w:ascii="宋体" w:hAnsi="宋体" w:eastAsia="宋体"/>
                <w:b w:val="0"/>
                <w:i w:val="0"/>
                <w:color w:val="000000"/>
                <w:sz w:val="18"/>
              </w:rPr>
              <w:t>含临时补</w:t>
            </w:r>
            <w:r>
              <w:tab/>
            </w:r>
            <w:r>
              <w:tab/>
            </w:r>
            <w:r>
              <w:rPr>
                <w:rFonts w:ascii="宋体" w:hAnsi="宋体" w:eastAsia="宋体"/>
                <w:b w:val="0"/>
                <w:i w:val="0"/>
                <w:color w:val="000000"/>
                <w:sz w:val="18"/>
              </w:rPr>
              <w:t xml:space="preserve">流） </w:t>
            </w:r>
          </w:p>
        </w:tc>
        <w:tc>
          <w:tcPr>
            <w:tcW w:type="dxa" w:w="708"/>
            <w:tcBorders>
              <w:start w:sz="2.400000000000091" w:val="single" w:color="#000000"/>
              <w:top w:sz="2.399999999999636" w:val="single" w:color="#000000"/>
              <w:end w:sz="2.400000000000091" w:val="single" w:color="#000000"/>
              <w:bottom w:sz="2.4000000000005457" w:val="single" w:color="#000000"/>
            </w:tcBorders>
            <w:shd w:fill="d2d2d2"/>
            <w:tcMar>
              <w:start w:w="0" w:type="dxa"/>
              <w:end w:w="0" w:type="dxa"/>
            </w:tcMar>
          </w:tcPr>
          <w:p>
            <w:pPr>
              <w:autoSpaceDN w:val="0"/>
              <w:autoSpaceDE w:val="0"/>
              <w:widowControl/>
              <w:spacing w:line="240" w:lineRule="exact" w:before="496" w:after="0"/>
              <w:ind w:left="170" w:right="84" w:firstLine="0"/>
              <w:jc w:val="both"/>
            </w:pPr>
            <w:r>
              <w:rPr>
                <w:rFonts w:ascii="宋体" w:hAnsi="宋体" w:eastAsia="宋体"/>
                <w:b w:val="0"/>
                <w:i w:val="0"/>
                <w:color w:val="000000"/>
                <w:sz w:val="18"/>
              </w:rPr>
              <w:t>每类</w:t>
            </w:r>
            <w:r>
              <w:br/>
            </w:r>
            <w:r>
              <w:rPr>
                <w:rFonts w:ascii="宋体" w:hAnsi="宋体" w:eastAsia="宋体"/>
                <w:b w:val="0"/>
                <w:i w:val="0"/>
                <w:color w:val="000000"/>
                <w:sz w:val="18"/>
              </w:rPr>
              <w:t>实际</w:t>
            </w:r>
            <w:r>
              <w:br/>
            </w:r>
            <w:r>
              <w:rPr>
                <w:rFonts w:ascii="宋体" w:hAnsi="宋体" w:eastAsia="宋体"/>
                <w:b w:val="0"/>
                <w:i w:val="0"/>
                <w:color w:val="000000"/>
                <w:sz w:val="18"/>
              </w:rPr>
              <w:t>使用</w:t>
            </w:r>
            <w:r>
              <w:br/>
            </w:r>
            <w:r>
              <w:rPr>
                <w:rFonts w:ascii="宋体" w:hAnsi="宋体" w:eastAsia="宋体"/>
                <w:b w:val="0"/>
                <w:i w:val="0"/>
                <w:color w:val="000000"/>
                <w:sz w:val="18"/>
              </w:rPr>
              <w:t>资金</w:t>
            </w:r>
            <w:r>
              <w:br/>
            </w:r>
            <w:r>
              <w:rPr>
                <w:rFonts w:ascii="宋体" w:hAnsi="宋体" w:eastAsia="宋体"/>
                <w:b w:val="0"/>
                <w:i w:val="0"/>
                <w:color w:val="000000"/>
                <w:sz w:val="18"/>
              </w:rPr>
              <w:t xml:space="preserve">情况 </w:t>
            </w:r>
          </w:p>
        </w:tc>
        <w:tc>
          <w:tcPr>
            <w:tcW w:type="dxa" w:w="706"/>
            <w:tcBorders>
              <w:start w:sz="2.400000000000091" w:val="single" w:color="#000000"/>
              <w:top w:sz="2.399999999999636" w:val="single" w:color="#000000"/>
              <w:end w:sz="2.399999999999636" w:val="single" w:color="#000000"/>
              <w:bottom w:sz="2.4000000000005457" w:val="single" w:color="#000000"/>
            </w:tcBorders>
            <w:shd w:fill="d2d2d2"/>
            <w:tcMar>
              <w:start w:w="0" w:type="dxa"/>
              <w:end w:w="0" w:type="dxa"/>
            </w:tcMar>
          </w:tcPr>
          <w:p>
            <w:pPr>
              <w:autoSpaceDN w:val="0"/>
              <w:autoSpaceDE w:val="0"/>
              <w:widowControl/>
              <w:spacing w:line="240" w:lineRule="exact" w:before="736" w:after="0"/>
              <w:ind w:left="144" w:right="168" w:firstLine="0"/>
              <w:jc w:val="right"/>
            </w:pPr>
            <w:r>
              <w:rPr>
                <w:rFonts w:ascii="宋体" w:hAnsi="宋体" w:eastAsia="宋体"/>
                <w:b w:val="0"/>
                <w:i w:val="0"/>
                <w:color w:val="000000"/>
                <w:sz w:val="18"/>
              </w:rPr>
              <w:t>未使</w:t>
            </w:r>
            <w:r>
              <w:rPr>
                <w:rFonts w:ascii="宋体" w:hAnsi="宋体" w:eastAsia="宋体"/>
                <w:b w:val="0"/>
                <w:i w:val="0"/>
                <w:color w:val="000000"/>
                <w:sz w:val="18"/>
              </w:rPr>
              <w:t>用金</w:t>
            </w:r>
            <w:r>
              <w:rPr>
                <w:rFonts w:ascii="宋体" w:hAnsi="宋体" w:eastAsia="宋体"/>
                <w:b w:val="0"/>
                <w:i w:val="0"/>
                <w:color w:val="000000"/>
                <w:sz w:val="18"/>
              </w:rPr>
              <w:t xml:space="preserve">额 </w:t>
            </w:r>
          </w:p>
        </w:tc>
        <w:tc>
          <w:tcPr>
            <w:tcW w:type="dxa" w:w="1420"/>
            <w:tcBorders>
              <w:start w:sz="2.399999999999636" w:val="single" w:color="#000000"/>
              <w:top w:sz="2.399999999999636" w:val="single" w:color="#000000"/>
              <w:end w:sz="1.599999999999909" w:val="single" w:color="#000000"/>
              <w:bottom w:sz="2.4000000000005457" w:val="single" w:color="#000000"/>
            </w:tcBorders>
            <w:shd w:fill="d2d2d2"/>
            <w:tcMar>
              <w:start w:w="0" w:type="dxa"/>
              <w:end w:w="0" w:type="dxa"/>
            </w:tcMar>
          </w:tcPr>
          <w:p>
            <w:pPr>
              <w:autoSpaceDN w:val="0"/>
              <w:autoSpaceDE w:val="0"/>
              <w:widowControl/>
              <w:spacing w:line="240" w:lineRule="exact" w:before="856" w:after="0"/>
              <w:ind w:left="170" w:right="0" w:firstLine="0"/>
              <w:jc w:val="left"/>
            </w:pPr>
            <w:r>
              <w:rPr>
                <w:rFonts w:ascii="宋体" w:hAnsi="宋体" w:eastAsia="宋体"/>
                <w:b w:val="0"/>
                <w:i w:val="0"/>
                <w:color w:val="000000"/>
                <w:sz w:val="18"/>
              </w:rPr>
              <w:t>募集资金专项</w:t>
            </w:r>
            <w:r>
              <w:rPr>
                <w:rFonts w:ascii="宋体" w:hAnsi="宋体" w:eastAsia="宋体"/>
                <w:b w:val="0"/>
                <w:i w:val="0"/>
                <w:color w:val="000000"/>
                <w:sz w:val="18"/>
              </w:rPr>
              <w:t xml:space="preserve">账户运作情况 </w:t>
            </w:r>
          </w:p>
        </w:tc>
        <w:tc>
          <w:tcPr>
            <w:tcW w:type="dxa" w:w="850"/>
            <w:tcBorders>
              <w:start w:sz="1.599999999999909" w:val="single" w:color="#000000"/>
              <w:top w:sz="2.399999999999636" w:val="single" w:color="#000000"/>
              <w:end w:sz="1.5999999999994543" w:val="single" w:color="#000000"/>
              <w:bottom w:sz="2.4000000000005457" w:val="single" w:color="#000000"/>
            </w:tcBorders>
            <w:shd w:fill="d2d2d2"/>
            <w:tcMar>
              <w:start w:w="0" w:type="dxa"/>
              <w:end w:w="0" w:type="dxa"/>
            </w:tcMar>
          </w:tcPr>
          <w:p>
            <w:pPr>
              <w:autoSpaceDN w:val="0"/>
              <w:autoSpaceDE w:val="0"/>
              <w:widowControl/>
              <w:spacing w:line="240" w:lineRule="exact" w:before="496" w:after="0"/>
              <w:ind w:left="144" w:right="152" w:firstLine="0"/>
              <w:jc w:val="right"/>
            </w:pPr>
            <w:r>
              <w:rPr>
                <w:rFonts w:ascii="宋体" w:hAnsi="宋体" w:eastAsia="宋体"/>
                <w:b w:val="0"/>
                <w:i w:val="0"/>
                <w:color w:val="000000"/>
                <w:sz w:val="18"/>
              </w:rPr>
              <w:t>募集资</w:t>
            </w:r>
            <w:r>
              <w:rPr>
                <w:rFonts w:ascii="宋体" w:hAnsi="宋体" w:eastAsia="宋体"/>
                <w:b w:val="0"/>
                <w:i w:val="0"/>
                <w:color w:val="000000"/>
                <w:sz w:val="18"/>
              </w:rPr>
              <w:t>金违规</w:t>
            </w:r>
            <w:r>
              <w:rPr>
                <w:rFonts w:ascii="宋体" w:hAnsi="宋体" w:eastAsia="宋体"/>
                <w:b w:val="0"/>
                <w:i w:val="0"/>
                <w:color w:val="000000"/>
                <w:sz w:val="18"/>
              </w:rPr>
              <w:t>使用的</w:t>
            </w:r>
            <w:r>
              <w:rPr>
                <w:rFonts w:ascii="宋体" w:hAnsi="宋体" w:eastAsia="宋体"/>
                <w:b w:val="0"/>
                <w:i w:val="0"/>
                <w:color w:val="000000"/>
                <w:sz w:val="18"/>
              </w:rPr>
              <w:t>整改情</w:t>
            </w:r>
            <w:r>
              <w:rPr>
                <w:rFonts w:ascii="宋体" w:hAnsi="宋体" w:eastAsia="宋体"/>
                <w:b w:val="0"/>
                <w:i w:val="0"/>
                <w:color w:val="000000"/>
                <w:sz w:val="18"/>
              </w:rPr>
              <w:t xml:space="preserve">况 </w:t>
            </w:r>
          </w:p>
        </w:tc>
        <w:tc>
          <w:tcPr>
            <w:tcW w:type="dxa" w:w="868"/>
            <w:tcBorders>
              <w:start w:sz="1.5999999999994543" w:val="single" w:color="#000000"/>
              <w:top w:sz="2.399999999999636" w:val="single" w:color="#000000"/>
              <w:end w:sz="1.6000000000003638" w:val="single" w:color="#000000"/>
              <w:bottom w:sz="2.4000000000005457" w:val="single" w:color="#000000"/>
            </w:tcBorders>
            <w:shd w:fill="d2d2d2"/>
            <w:tcMar>
              <w:start w:w="0" w:type="dxa"/>
              <w:end w:w="0" w:type="dxa"/>
            </w:tcMar>
          </w:tcPr>
          <w:p>
            <w:pPr>
              <w:autoSpaceDN w:val="0"/>
              <w:autoSpaceDE w:val="0"/>
              <w:widowControl/>
              <w:spacing w:line="240" w:lineRule="exact" w:before="16" w:after="0"/>
              <w:ind w:left="144" w:right="160" w:firstLine="0"/>
              <w:jc w:val="right"/>
            </w:pPr>
            <w:r>
              <w:rPr>
                <w:rFonts w:ascii="宋体" w:hAnsi="宋体" w:eastAsia="宋体"/>
                <w:b w:val="0"/>
                <w:i w:val="0"/>
                <w:color w:val="000000"/>
                <w:sz w:val="18"/>
              </w:rPr>
              <w:t>是否与</w:t>
            </w:r>
            <w:r>
              <w:rPr>
                <w:rFonts w:ascii="宋体" w:hAnsi="宋体" w:eastAsia="宋体"/>
                <w:b w:val="0"/>
                <w:i w:val="0"/>
                <w:color w:val="000000"/>
                <w:sz w:val="18"/>
              </w:rPr>
              <w:t>募集说</w:t>
            </w:r>
            <w:r>
              <w:rPr>
                <w:rFonts w:ascii="宋体" w:hAnsi="宋体" w:eastAsia="宋体"/>
                <w:b w:val="0"/>
                <w:i w:val="0"/>
                <w:color w:val="000000"/>
                <w:sz w:val="18"/>
              </w:rPr>
              <w:t>明书承</w:t>
            </w:r>
            <w:r>
              <w:rPr>
                <w:rFonts w:ascii="宋体" w:hAnsi="宋体" w:eastAsia="宋体"/>
                <w:b w:val="0"/>
                <w:i w:val="0"/>
                <w:color w:val="000000"/>
                <w:sz w:val="18"/>
              </w:rPr>
              <w:t>诺的用</w:t>
            </w:r>
            <w:r>
              <w:rPr>
                <w:rFonts w:ascii="宋体" w:hAnsi="宋体" w:eastAsia="宋体"/>
                <w:b w:val="0"/>
                <w:i w:val="0"/>
                <w:color w:val="000000"/>
                <w:sz w:val="18"/>
              </w:rPr>
              <w:t>途、使</w:t>
            </w:r>
            <w:r>
              <w:rPr>
                <w:rFonts w:ascii="宋体" w:hAnsi="宋体" w:eastAsia="宋体"/>
                <w:b w:val="0"/>
                <w:i w:val="0"/>
                <w:color w:val="000000"/>
                <w:sz w:val="18"/>
              </w:rPr>
              <w:t>用计划</w:t>
            </w:r>
            <w:r>
              <w:rPr>
                <w:rFonts w:ascii="宋体" w:hAnsi="宋体" w:eastAsia="宋体"/>
                <w:b w:val="0"/>
                <w:i w:val="0"/>
                <w:color w:val="000000"/>
                <w:sz w:val="18"/>
              </w:rPr>
              <w:t>及其他</w:t>
            </w:r>
            <w:r>
              <w:rPr>
                <w:rFonts w:ascii="宋体" w:hAnsi="宋体" w:eastAsia="宋体"/>
                <w:b w:val="0"/>
                <w:i w:val="0"/>
                <w:color w:val="000000"/>
                <w:sz w:val="18"/>
              </w:rPr>
              <w:t>约定一</w:t>
            </w:r>
            <w:r>
              <w:rPr>
                <w:rFonts w:ascii="宋体" w:hAnsi="宋体" w:eastAsia="宋体"/>
                <w:b w:val="0"/>
                <w:i w:val="0"/>
                <w:color w:val="000000"/>
                <w:sz w:val="18"/>
              </w:rPr>
              <w:t xml:space="preserve">致 </w:t>
            </w:r>
          </w:p>
        </w:tc>
      </w:tr>
      <w:tr>
        <w:trPr>
          <w:trHeight w:hRule="exact" w:val="964"/>
        </w:trPr>
        <w:tc>
          <w:tcPr>
            <w:tcW w:type="dxa" w:w="852"/>
            <w:tcBorders>
              <w:start w:sz="1.5999999999999943" w:val="single" w:color="#000000"/>
              <w:top w:sz="2.4000000000005457" w:val="single" w:color="#000000"/>
              <w:end w:sz="1.599999999999966" w:val="single" w:color="#000000"/>
              <w:bottom w:sz="1.5999999999994543" w:val="single" w:color="#000000"/>
            </w:tcBorders>
            <w:tcMar>
              <w:start w:w="0" w:type="dxa"/>
              <w:end w:w="0" w:type="dxa"/>
            </w:tcMar>
          </w:tcPr>
          <w:p>
            <w:pPr>
              <w:autoSpaceDN w:val="0"/>
              <w:autoSpaceDE w:val="0"/>
              <w:widowControl/>
              <w:spacing w:line="180" w:lineRule="exact" w:before="396" w:after="0"/>
              <w:ind w:left="0" w:right="0" w:firstLine="0"/>
              <w:jc w:val="center"/>
            </w:pPr>
            <w:r>
              <w:rPr>
                <w:rFonts w:ascii="宋体" w:hAnsi="宋体" w:eastAsia="宋体"/>
                <w:b w:val="0"/>
                <w:i w:val="0"/>
                <w:color w:val="000000"/>
                <w:sz w:val="18"/>
              </w:rPr>
              <w:t xml:space="preserve">149963 </w:t>
            </w:r>
          </w:p>
        </w:tc>
        <w:tc>
          <w:tcPr>
            <w:tcW w:type="dxa" w:w="1132"/>
            <w:tcBorders>
              <w:start w:sz="1.599999999999966" w:val="single" w:color="#000000"/>
              <w:top w:sz="2.4000000000005457" w:val="single" w:color="#000000"/>
              <w:end w:sz="2.3999999999999773" w:val="single" w:color="#000000"/>
              <w:bottom w:sz="1.5999999999994543" w:val="single" w:color="#000000"/>
            </w:tcBorders>
            <w:tcMar>
              <w:start w:w="0" w:type="dxa"/>
              <w:end w:w="0" w:type="dxa"/>
            </w:tcMar>
          </w:tcPr>
          <w:p>
            <w:pPr>
              <w:autoSpaceDN w:val="0"/>
              <w:autoSpaceDE w:val="0"/>
              <w:widowControl/>
              <w:spacing w:line="180" w:lineRule="exact" w:before="396" w:after="0"/>
              <w:ind w:left="0" w:right="0" w:firstLine="0"/>
              <w:jc w:val="center"/>
            </w:pPr>
            <w:r>
              <w:rPr>
                <w:rFonts w:ascii="宋体" w:hAnsi="宋体" w:eastAsia="宋体"/>
                <w:b w:val="0"/>
                <w:i w:val="0"/>
                <w:color w:val="000000"/>
                <w:sz w:val="18"/>
              </w:rPr>
              <w:t xml:space="preserve">22 山证01 </w:t>
            </w:r>
          </w:p>
        </w:tc>
        <w:tc>
          <w:tcPr>
            <w:tcW w:type="dxa" w:w="1136"/>
            <w:tcBorders>
              <w:start w:sz="2.3999999999999773"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396" w:after="0"/>
              <w:ind w:left="126" w:right="0" w:firstLine="0"/>
              <w:jc w:val="left"/>
            </w:pPr>
            <w:r>
              <w:rPr>
                <w:rFonts w:ascii="宋体" w:hAnsi="宋体" w:eastAsia="宋体"/>
                <w:b w:val="0"/>
                <w:i w:val="0"/>
                <w:color w:val="000000"/>
                <w:sz w:val="18"/>
              </w:rPr>
              <w:t xml:space="preserve">189,620.00 </w:t>
            </w:r>
          </w:p>
        </w:tc>
        <w:tc>
          <w:tcPr>
            <w:tcW w:type="dxa" w:w="1580"/>
            <w:tcBorders>
              <w:start w:sz="1.599999999999909" w:val="single" w:color="#000000"/>
              <w:top w:sz="2.4000000000005457" w:val="single" w:color="#000000"/>
              <w:end w:sz="1.599999999999909" w:val="single" w:color="#000000"/>
              <w:bottom w:sz="0.8000000000001819" w:val="single" w:color="#000000"/>
            </w:tcBorders>
            <w:tcMar>
              <w:start w:w="0" w:type="dxa"/>
              <w:end w:w="0" w:type="dxa"/>
            </w:tcMar>
          </w:tcPr>
          <w:p>
            <w:pPr>
              <w:autoSpaceDN w:val="0"/>
              <w:autoSpaceDE w:val="0"/>
              <w:widowControl/>
              <w:spacing w:line="240" w:lineRule="exact" w:before="216"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2.4000000000005457" w:val="single" w:color="#000000"/>
              <w:end w:sz="1.599999999999909" w:val="single" w:color="#000000"/>
              <w:bottom w:sz="1.5999999999994543" w:val="single" w:color="#000000"/>
            </w:tcBorders>
            <w:tcMar>
              <w:start w:w="0" w:type="dxa"/>
              <w:end w:w="0" w:type="dxa"/>
            </w:tcMar>
          </w:tcPr>
          <w:p>
            <w:pPr>
              <w:autoSpaceDN w:val="0"/>
              <w:autoSpaceDE w:val="0"/>
              <w:widowControl/>
              <w:spacing w:line="180" w:lineRule="exact" w:before="396" w:after="0"/>
              <w:ind w:left="124" w:right="0" w:firstLine="0"/>
              <w:jc w:val="left"/>
            </w:pPr>
            <w:r>
              <w:rPr>
                <w:rFonts w:ascii="宋体" w:hAnsi="宋体" w:eastAsia="宋体"/>
                <w:b w:val="0"/>
                <w:i w:val="0"/>
                <w:color w:val="000000"/>
                <w:sz w:val="18"/>
              </w:rPr>
              <w:t xml:space="preserve">189,809.24 </w:t>
            </w:r>
          </w:p>
        </w:tc>
        <w:tc>
          <w:tcPr>
            <w:tcW w:type="dxa" w:w="992"/>
            <w:tcBorders>
              <w:start w:sz="1.599999999999909" w:val="single" w:color="#000000"/>
              <w:top w:sz="2.4000000000005457" w:val="single" w:color="#000000"/>
              <w:end w:sz="2.400000000000091" w:val="single" w:color="#000000"/>
              <w:bottom w:sz="0.8000000000001819" w:val="single" w:color="#000000"/>
            </w:tcBorders>
            <w:tcMar>
              <w:start w:w="0" w:type="dxa"/>
              <w:end w:w="0" w:type="dxa"/>
            </w:tcMar>
          </w:tcPr>
          <w:p>
            <w:pPr>
              <w:autoSpaceDN w:val="0"/>
              <w:autoSpaceDE w:val="0"/>
              <w:widowControl/>
              <w:spacing w:line="234"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708"/>
            <w:vMerge w:val="restart"/>
            <w:tcBorders>
              <w:start w:sz="2.400000000000091" w:val="single" w:color="#000000"/>
              <w:top w:sz="2.4000000000005457" w:val="single" w:color="#000000"/>
              <w:end w:sz="2.400000000000091" w:val="single" w:color="#000000"/>
              <w:bottom w:sz="1.6000000000003638" w:val="single" w:color="#000000"/>
            </w:tcBorders>
            <w:tcMar>
              <w:start w:w="0" w:type="dxa"/>
              <w:end w:w="0" w:type="dxa"/>
            </w:tcMar>
            <w:tcMar>
              <w:start w:w="0" w:type="dxa"/>
              <w:end w:w="0" w:type="dxa"/>
            </w:tcMar>
          </w:tcPr>
          <w:p>
            <w:pPr>
              <w:autoSpaceDN w:val="0"/>
              <w:autoSpaceDE w:val="0"/>
              <w:widowControl/>
              <w:spacing w:line="236" w:lineRule="exact" w:before="0" w:after="0"/>
              <w:ind w:left="104" w:right="240" w:firstLine="0"/>
              <w:jc w:val="both"/>
            </w:pPr>
            <w:r>
              <w:rPr>
                <w:rFonts w:ascii="宋体" w:hAnsi="宋体" w:eastAsia="宋体"/>
                <w:b w:val="0"/>
                <w:i w:val="0"/>
                <w:color w:val="000000"/>
                <w:sz w:val="18"/>
              </w:rPr>
              <w:t>全部</w:t>
            </w:r>
            <w:r>
              <w:rPr>
                <w:rFonts w:ascii="宋体" w:hAnsi="宋体" w:eastAsia="宋体"/>
                <w:b w:val="0"/>
                <w:i w:val="0"/>
                <w:color w:val="000000"/>
                <w:sz w:val="18"/>
              </w:rPr>
              <w:t>按照</w:t>
            </w:r>
            <w:r>
              <w:rPr>
                <w:rFonts w:ascii="宋体" w:hAnsi="宋体" w:eastAsia="宋体"/>
                <w:b w:val="0"/>
                <w:i w:val="0"/>
                <w:color w:val="000000"/>
                <w:sz w:val="18"/>
              </w:rPr>
              <w:t>募集</w:t>
            </w:r>
            <w:r>
              <w:rPr>
                <w:rFonts w:ascii="宋体" w:hAnsi="宋体" w:eastAsia="宋体"/>
                <w:b w:val="0"/>
                <w:i w:val="0"/>
                <w:color w:val="000000"/>
                <w:sz w:val="18"/>
              </w:rPr>
              <w:t>说明</w:t>
            </w:r>
            <w:r>
              <w:rPr>
                <w:rFonts w:ascii="宋体" w:hAnsi="宋体" w:eastAsia="宋体"/>
                <w:b w:val="0"/>
                <w:i w:val="0"/>
                <w:color w:val="000000"/>
                <w:sz w:val="18"/>
              </w:rPr>
              <w:t>书约</w:t>
            </w:r>
            <w:r>
              <w:rPr>
                <w:rFonts w:ascii="宋体" w:hAnsi="宋体" w:eastAsia="宋体"/>
                <w:b w:val="0"/>
                <w:i w:val="0"/>
                <w:color w:val="000000"/>
                <w:sz w:val="18"/>
              </w:rPr>
              <w:t>定用</w:t>
            </w:r>
          </w:p>
        </w:tc>
        <w:tc>
          <w:tcPr>
            <w:tcW w:type="dxa" w:w="706"/>
            <w:tcBorders>
              <w:start w:sz="2.400000000000091" w:val="single" w:color="#000000"/>
              <w:top w:sz="2.4000000000005457" w:val="single" w:color="#000000"/>
              <w:end w:sz="2.399999999999636" w:val="single" w:color="#000000"/>
              <w:bottom w:sz="1.5999999999994543" w:val="single" w:color="#000000"/>
            </w:tcBorders>
            <w:tcMar>
              <w:start w:w="0" w:type="dxa"/>
              <w:end w:w="0" w:type="dxa"/>
            </w:tcMar>
          </w:tcPr>
          <w:p>
            <w:pPr>
              <w:autoSpaceDN w:val="0"/>
              <w:autoSpaceDE w:val="0"/>
              <w:widowControl/>
              <w:spacing w:line="180" w:lineRule="exact" w:before="396" w:after="0"/>
              <w:ind w:left="0" w:right="12" w:firstLine="0"/>
              <w:jc w:val="right"/>
            </w:pPr>
            <w:r>
              <w:rPr>
                <w:rFonts w:ascii="宋体" w:hAnsi="宋体" w:eastAsia="宋体"/>
                <w:b w:val="0"/>
                <w:i w:val="0"/>
                <w:color w:val="000000"/>
                <w:sz w:val="18"/>
              </w:rPr>
              <w:t xml:space="preserve">0.00 </w:t>
            </w:r>
          </w:p>
        </w:tc>
        <w:tc>
          <w:tcPr>
            <w:tcW w:type="dxa" w:w="1420"/>
            <w:vMerge w:val="restart"/>
            <w:tcBorders>
              <w:start w:sz="2.399999999999636" w:val="single" w:color="#000000"/>
              <w:top w:sz="2.4000000000005457" w:val="single" w:color="#000000"/>
              <w:end w:sz="1.599999999999909" w:val="single" w:color="#000000"/>
              <w:bottom w:sz="1.6000000000003638" w:val="single" w:color="#000000"/>
            </w:tcBorders>
            <w:tcMar>
              <w:start w:w="0" w:type="dxa"/>
              <w:end w:w="0" w:type="dxa"/>
            </w:tcMar>
            <w:tcMar>
              <w:start w:w="0" w:type="dxa"/>
              <w:end w:w="0" w:type="dxa"/>
            </w:tcMar>
          </w:tcPr>
          <w:p>
            <w:pPr>
              <w:autoSpaceDN w:val="0"/>
              <w:autoSpaceDE w:val="0"/>
              <w:widowControl/>
              <w:spacing w:line="236" w:lineRule="exact" w:before="0" w:after="0"/>
              <w:ind w:left="110" w:right="226" w:firstLine="0"/>
              <w:jc w:val="both"/>
            </w:pPr>
            <w:r>
              <w:rPr>
                <w:rFonts w:ascii="宋体" w:hAnsi="宋体" w:eastAsia="宋体"/>
                <w:b w:val="0"/>
                <w:i w:val="0"/>
                <w:color w:val="000000"/>
                <w:sz w:val="18"/>
              </w:rPr>
              <w:t>公司严格按照</w:t>
            </w:r>
            <w:r>
              <w:rPr>
                <w:rFonts w:ascii="宋体" w:hAnsi="宋体" w:eastAsia="宋体"/>
                <w:b w:val="0"/>
                <w:i w:val="0"/>
                <w:color w:val="000000"/>
                <w:sz w:val="18"/>
              </w:rPr>
              <w:t>相关法律法规</w:t>
            </w:r>
            <w:r>
              <w:rPr>
                <w:rFonts w:ascii="宋体" w:hAnsi="宋体" w:eastAsia="宋体"/>
                <w:b w:val="0"/>
                <w:i w:val="0"/>
                <w:color w:val="000000"/>
                <w:sz w:val="18"/>
              </w:rPr>
              <w:t>和《山西证券</w:t>
            </w:r>
            <w:r>
              <w:rPr>
                <w:rFonts w:ascii="宋体" w:hAnsi="宋体" w:eastAsia="宋体"/>
                <w:b w:val="0"/>
                <w:i w:val="0"/>
                <w:color w:val="000000"/>
                <w:sz w:val="18"/>
              </w:rPr>
              <w:t>股份有限公司</w:t>
            </w:r>
            <w:r>
              <w:rPr>
                <w:rFonts w:ascii="宋体" w:hAnsi="宋体" w:eastAsia="宋体"/>
                <w:b w:val="0"/>
                <w:i w:val="0"/>
                <w:color w:val="000000"/>
                <w:sz w:val="18"/>
              </w:rPr>
              <w:t>募集资金管理</w:t>
            </w:r>
            <w:r>
              <w:rPr>
                <w:rFonts w:ascii="宋体" w:hAnsi="宋体" w:eastAsia="宋体"/>
                <w:b w:val="0"/>
                <w:i w:val="0"/>
                <w:color w:val="000000"/>
                <w:sz w:val="18"/>
              </w:rPr>
              <w:t>制度》的规</w:t>
            </w:r>
          </w:p>
        </w:tc>
        <w:tc>
          <w:tcPr>
            <w:tcW w:type="dxa" w:w="850"/>
            <w:tcBorders>
              <w:start w:sz="1.599999999999909" w:val="single" w:color="#000000"/>
              <w:top w:sz="2.4000000000005457" w:val="single" w:color="#000000"/>
              <w:end w:sz="1.5999999999994543" w:val="single" w:color="#000000"/>
              <w:bottom w:sz="1.5999999999994543" w:val="single" w:color="#000000"/>
            </w:tcBorders>
            <w:tcMar>
              <w:start w:w="0" w:type="dxa"/>
              <w:end w:w="0" w:type="dxa"/>
            </w:tcMar>
          </w:tcPr>
          <w:p>
            <w:pPr>
              <w:autoSpaceDN w:val="0"/>
              <w:autoSpaceDE w:val="0"/>
              <w:widowControl/>
              <w:spacing w:line="180" w:lineRule="exact" w:before="396" w:after="0"/>
              <w:ind w:left="0" w:right="0" w:firstLine="0"/>
              <w:jc w:val="center"/>
            </w:pPr>
            <w:r>
              <w:rPr>
                <w:rFonts w:ascii="宋体" w:hAnsi="宋体" w:eastAsia="宋体"/>
                <w:b w:val="0"/>
                <w:i w:val="0"/>
                <w:color w:val="000000"/>
                <w:sz w:val="18"/>
              </w:rPr>
              <w:t xml:space="preserve">不适用 </w:t>
            </w:r>
          </w:p>
        </w:tc>
        <w:tc>
          <w:tcPr>
            <w:tcW w:type="dxa" w:w="868"/>
            <w:tcBorders>
              <w:start w:sz="1.5999999999994543" w:val="single" w:color="#000000"/>
              <w:top w:sz="2.4000000000005457" w:val="single" w:color="#000000"/>
              <w:end w:sz="1.6000000000003638" w:val="single" w:color="#000000"/>
              <w:bottom w:sz="1.5999999999994543" w:val="single" w:color="#000000"/>
            </w:tcBorders>
            <w:tcMar>
              <w:start w:w="0" w:type="dxa"/>
              <w:end w:w="0" w:type="dxa"/>
            </w:tcMar>
          </w:tcPr>
          <w:p>
            <w:pPr>
              <w:autoSpaceDN w:val="0"/>
              <w:autoSpaceDE w:val="0"/>
              <w:widowControl/>
              <w:spacing w:line="180" w:lineRule="exact" w:before="396" w:after="0"/>
              <w:ind w:left="108" w:right="0" w:firstLine="0"/>
              <w:jc w:val="left"/>
            </w:pPr>
            <w:r>
              <w:rPr>
                <w:rFonts w:ascii="宋体" w:hAnsi="宋体" w:eastAsia="宋体"/>
                <w:b w:val="0"/>
                <w:i w:val="0"/>
                <w:color w:val="000000"/>
                <w:sz w:val="18"/>
              </w:rPr>
              <w:t xml:space="preserve">是 </w:t>
            </w:r>
          </w:p>
        </w:tc>
      </w:tr>
      <w:tr>
        <w:trPr>
          <w:trHeight w:hRule="exact" w:val="486"/>
        </w:trPr>
        <w:tc>
          <w:tcPr>
            <w:tcW w:type="dxa" w:w="852"/>
            <w:tcBorders>
              <w:start w:sz="1.5999999999999943" w:val="single" w:color="#000000"/>
              <w:top w:sz="1.5999999999994543" w:val="single" w:color="#000000"/>
              <w:end w:sz="1.599999999999966" w:val="single" w:color="#000000"/>
              <w:bottom w:sz="2.4000000000005457" w:val="single" w:color="#000000"/>
            </w:tcBorders>
            <w:tcMar>
              <w:start w:w="0" w:type="dxa"/>
              <w:end w:w="0" w:type="dxa"/>
            </w:tcMar>
          </w:tcPr>
          <w:p>
            <w:pPr>
              <w:autoSpaceDN w:val="0"/>
              <w:autoSpaceDE w:val="0"/>
              <w:widowControl/>
              <w:spacing w:line="180" w:lineRule="exact" w:before="158" w:after="0"/>
              <w:ind w:left="0" w:right="0" w:firstLine="0"/>
              <w:jc w:val="center"/>
            </w:pPr>
            <w:r>
              <w:rPr>
                <w:rFonts w:ascii="宋体" w:hAnsi="宋体" w:eastAsia="宋体"/>
                <w:b w:val="0"/>
                <w:i w:val="0"/>
                <w:color w:val="000000"/>
                <w:sz w:val="18"/>
              </w:rPr>
              <w:t xml:space="preserve">149985 </w:t>
            </w:r>
          </w:p>
        </w:tc>
        <w:tc>
          <w:tcPr>
            <w:tcW w:type="dxa" w:w="1132"/>
            <w:tcBorders>
              <w:start w:sz="1.599999999999966" w:val="single" w:color="#000000"/>
              <w:top w:sz="1.5999999999994543" w:val="single" w:color="#000000"/>
              <w:end w:sz="2.3999999999999773" w:val="single" w:color="#000000"/>
              <w:bottom w:sz="2.4000000000005457" w:val="single" w:color="#000000"/>
            </w:tcBorders>
            <w:tcMar>
              <w:start w:w="0" w:type="dxa"/>
              <w:end w:w="0" w:type="dxa"/>
            </w:tcMar>
          </w:tcPr>
          <w:p>
            <w:pPr>
              <w:autoSpaceDN w:val="0"/>
              <w:autoSpaceDE w:val="0"/>
              <w:widowControl/>
              <w:spacing w:line="180" w:lineRule="exact" w:before="158" w:after="0"/>
              <w:ind w:left="0" w:right="0" w:firstLine="0"/>
              <w:jc w:val="center"/>
            </w:pPr>
            <w:r>
              <w:rPr>
                <w:rFonts w:ascii="宋体" w:hAnsi="宋体" w:eastAsia="宋体"/>
                <w:b w:val="0"/>
                <w:i w:val="0"/>
                <w:color w:val="000000"/>
                <w:sz w:val="18"/>
              </w:rPr>
              <w:t xml:space="preserve">22 山证03 </w:t>
            </w:r>
          </w:p>
        </w:tc>
        <w:tc>
          <w:tcPr>
            <w:tcW w:type="dxa" w:w="1136"/>
            <w:tcBorders>
              <w:start w:sz="2.3999999999999773"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158" w:after="0"/>
              <w:ind w:left="126" w:right="0" w:firstLine="0"/>
              <w:jc w:val="left"/>
            </w:pPr>
            <w:r>
              <w:rPr>
                <w:rFonts w:ascii="宋体" w:hAnsi="宋体" w:eastAsia="宋体"/>
                <w:b w:val="0"/>
                <w:i w:val="0"/>
                <w:color w:val="000000"/>
                <w:sz w:val="18"/>
              </w:rPr>
              <w:t xml:space="preserve">199,600.00 </w:t>
            </w:r>
          </w:p>
        </w:tc>
        <w:tc>
          <w:tcPr>
            <w:tcW w:type="dxa" w:w="1580"/>
            <w:tcBorders>
              <w:start w:sz="1.599999999999909" w:val="single" w:color="#000000"/>
              <w:top w:sz="0.8000000000001819" w:val="single" w:color="#000000"/>
              <w:end w:sz="1.599999999999909" w:val="single" w:color="#000000"/>
              <w:bottom w:sz="1.6000000000003638" w:val="single" w:color="#000000"/>
            </w:tcBorders>
            <w:tcMar>
              <w:start w:w="0" w:type="dxa"/>
              <w:end w:w="0" w:type="dxa"/>
            </w:tcMar>
          </w:tcPr>
          <w:p>
            <w:pPr>
              <w:autoSpaceDN w:val="0"/>
              <w:autoSpaceDE w:val="0"/>
              <w:widowControl/>
              <w:spacing w:line="230" w:lineRule="exact" w:before="0"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1.5999999999994543" w:val="single" w:color="#000000"/>
              <w:end w:sz="1.599999999999909" w:val="single" w:color="#000000"/>
              <w:bottom w:sz="2.4000000000005457" w:val="single" w:color="#000000"/>
            </w:tcBorders>
            <w:tcMar>
              <w:start w:w="0" w:type="dxa"/>
              <w:end w:w="0" w:type="dxa"/>
            </w:tcMar>
          </w:tcPr>
          <w:p>
            <w:pPr>
              <w:autoSpaceDN w:val="0"/>
              <w:autoSpaceDE w:val="0"/>
              <w:widowControl/>
              <w:spacing w:line="180" w:lineRule="exact" w:before="158" w:after="0"/>
              <w:ind w:left="124" w:right="0" w:firstLine="0"/>
              <w:jc w:val="left"/>
            </w:pPr>
            <w:r>
              <w:rPr>
                <w:rFonts w:ascii="宋体" w:hAnsi="宋体" w:eastAsia="宋体"/>
                <w:b w:val="0"/>
                <w:i w:val="0"/>
                <w:color w:val="000000"/>
                <w:sz w:val="18"/>
              </w:rPr>
              <w:t xml:space="preserve">199,762.99 </w:t>
            </w:r>
          </w:p>
        </w:tc>
        <w:tc>
          <w:tcPr>
            <w:tcW w:type="dxa" w:w="992"/>
            <w:tcBorders>
              <w:start w:sz="1.599999999999909" w:val="single" w:color="#000000"/>
              <w:top w:sz="0.8000000000001819" w:val="single" w:color="#000000"/>
              <w:end w:sz="2.400000000000091" w:val="single" w:color="#000000"/>
              <w:bottom w:sz="1.6000000000003638" w:val="single" w:color="#000000"/>
            </w:tcBorders>
            <w:tcMar>
              <w:start w:w="0" w:type="dxa"/>
              <w:end w:w="0" w:type="dxa"/>
            </w:tcMar>
          </w:tcPr>
          <w:p>
            <w:pPr>
              <w:autoSpaceDN w:val="0"/>
              <w:autoSpaceDE w:val="0"/>
              <w:widowControl/>
              <w:spacing w:line="230" w:lineRule="exact" w:before="0" w:after="0"/>
              <w:ind w:left="0" w:right="144" w:firstLine="0"/>
              <w:jc w:val="center"/>
            </w:pPr>
            <w:r>
              <w:rPr>
                <w:rFonts w:ascii="宋体" w:hAnsi="宋体" w:eastAsia="宋体"/>
                <w:b w:val="0"/>
                <w:i w:val="0"/>
                <w:color w:val="000000"/>
                <w:sz w:val="18"/>
              </w:rPr>
              <w:t>用于偿还</w:t>
            </w:r>
            <w:r>
              <w:rPr>
                <w:rFonts w:ascii="宋体" w:hAnsi="宋体" w:eastAsia="宋体"/>
                <w:b w:val="0"/>
                <w:i w:val="0"/>
                <w:color w:val="000000"/>
                <w:sz w:val="18"/>
              </w:rPr>
              <w:t>有息负债</w:t>
            </w:r>
          </w:p>
        </w:tc>
        <w:tc>
          <w:tcPr>
            <w:tcW w:type="dxa" w:w="1037"/>
            <w:vMerge/>
            <w:tcBorders>
              <w:start w:sz="2.400000000000091" w:val="single" w:color="#000000"/>
              <w:top w:sz="2.4000000000005457" w:val="single" w:color="#000000"/>
              <w:end w:sz="2.400000000000091" w:val="single" w:color="#000000"/>
              <w:bottom w:sz="1.6000000000003638" w:val="single" w:color="#000000"/>
            </w:tcBorders>
          </w:tcPr>
          <w:p/>
        </w:tc>
        <w:tc>
          <w:tcPr>
            <w:tcW w:type="dxa" w:w="706"/>
            <w:tcBorders>
              <w:start w:sz="2.400000000000091" w:val="single" w:color="#000000"/>
              <w:top w:sz="1.5999999999994543" w:val="single" w:color="#000000"/>
              <w:end w:sz="2.399999999999636" w:val="single" w:color="#000000"/>
              <w:bottom w:sz="2.4000000000005457" w:val="single" w:color="#000000"/>
            </w:tcBorders>
            <w:tcMar>
              <w:start w:w="0" w:type="dxa"/>
              <w:end w:w="0" w:type="dxa"/>
            </w:tcMar>
          </w:tcPr>
          <w:p>
            <w:pPr>
              <w:autoSpaceDN w:val="0"/>
              <w:autoSpaceDE w:val="0"/>
              <w:widowControl/>
              <w:spacing w:line="180" w:lineRule="exact" w:before="15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2.4000000000005457" w:val="single" w:color="#000000"/>
              <w:end w:sz="1.599999999999909" w:val="single" w:color="#000000"/>
              <w:bottom w:sz="1.6000000000003638" w:val="single" w:color="#000000"/>
            </w:tcBorders>
          </w:tcPr>
          <w:p/>
        </w:tc>
        <w:tc>
          <w:tcPr>
            <w:tcW w:type="dxa" w:w="850"/>
            <w:tcBorders>
              <w:start w:sz="1.599999999999909" w:val="single" w:color="#000000"/>
              <w:top w:sz="1.5999999999994543" w:val="single" w:color="#000000"/>
              <w:end w:sz="1.5999999999994543" w:val="single" w:color="#000000"/>
              <w:bottom w:sz="2.4000000000005457" w:val="single" w:color="#000000"/>
            </w:tcBorders>
            <w:tcMar>
              <w:start w:w="0" w:type="dxa"/>
              <w:end w:w="0" w:type="dxa"/>
            </w:tcMar>
          </w:tcPr>
          <w:p>
            <w:pPr>
              <w:autoSpaceDN w:val="0"/>
              <w:autoSpaceDE w:val="0"/>
              <w:widowControl/>
              <w:spacing w:line="180" w:lineRule="exact" w:before="15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4543" w:val="single" w:color="#000000"/>
              <w:end w:sz="1.6000000000003638" w:val="single" w:color="#000000"/>
              <w:bottom w:sz="2.4000000000005457" w:val="single" w:color="#000000"/>
            </w:tcBorders>
            <w:tcMar>
              <w:start w:w="0" w:type="dxa"/>
              <w:end w:w="0" w:type="dxa"/>
            </w:tcMar>
          </w:tcPr>
          <w:p>
            <w:pPr>
              <w:autoSpaceDN w:val="0"/>
              <w:autoSpaceDE w:val="0"/>
              <w:widowControl/>
              <w:spacing w:line="180" w:lineRule="exact" w:before="158" w:after="0"/>
              <w:ind w:left="0" w:right="250" w:firstLine="0"/>
              <w:jc w:val="right"/>
            </w:pPr>
            <w:r>
              <w:rPr>
                <w:rFonts w:ascii="宋体" w:hAnsi="宋体" w:eastAsia="宋体"/>
                <w:b w:val="0"/>
                <w:i w:val="0"/>
                <w:color w:val="000000"/>
                <w:sz w:val="18"/>
              </w:rPr>
              <w:t xml:space="preserve">是 </w:t>
            </w:r>
          </w:p>
        </w:tc>
      </w:tr>
    </w:tbl>
    <w:p>
      <w:pPr>
        <w:autoSpaceDN w:val="0"/>
        <w:autoSpaceDE w:val="0"/>
        <w:widowControl/>
        <w:spacing w:line="197" w:lineRule="auto" w:before="508" w:after="0"/>
        <w:ind w:left="0" w:right="0" w:firstLine="0"/>
        <w:jc w:val="center"/>
      </w:pPr>
      <w:r>
        <w:rPr>
          <w:rFonts w:ascii="Calibri" w:hAnsi="Calibri" w:eastAsia="Calibri"/>
          <w:b w:val="0"/>
          <w:i w:val="0"/>
          <w:color w:val="000000"/>
          <w:sz w:val="18"/>
        </w:rPr>
        <w:t xml:space="preserve">136 </w:t>
      </w:r>
    </w:p>
    <w:p>
      <w:pPr>
        <w:sectPr>
          <w:type w:val="continuous"/>
          <w:pgSz w:w="11904" w:h="16841"/>
          <w:pgMar w:top="424" w:right="240" w:bottom="446" w:left="260" w:header="720" w:footer="720" w:gutter="0"/>
          <w:cols/>
          <w:docGrid w:linePitch="360"/>
        </w:sectPr>
      </w:pPr>
    </w:p>
    <w:p>
      <w:pPr>
        <w:autoSpaceDN w:val="0"/>
        <w:autoSpaceDE w:val="0"/>
        <w:widowControl/>
        <w:spacing w:line="220" w:lineRule="exact" w:before="0" w:after="206"/>
        <w:ind w:left="0" w:right="0"/>
      </w:pPr>
    </w:p>
    <w:p>
      <w:pPr>
        <w:sectPr>
          <w:pgSz w:w="11904" w:h="16841"/>
          <w:pgMar w:top="424" w:right="240" w:bottom="446" w:left="260" w:header="720" w:footer="720" w:gutter="0"/>
          <w:cols/>
          <w:docGrid w:linePitch="360"/>
        </w:sectPr>
      </w:pPr>
    </w:p>
    <w:p>
      <w:pPr>
        <w:autoSpaceDN w:val="0"/>
        <w:autoSpaceDE w:val="0"/>
        <w:widowControl/>
        <w:spacing w:line="240" w:lineRule="auto" w:before="0" w:after="0"/>
        <w:ind w:left="874" w:right="0" w:firstLine="0"/>
        <w:jc w:val="left"/>
      </w:pPr>
      <w:r>
        <w:drawing>
          <wp:inline xmlns:a="http://schemas.openxmlformats.org/drawingml/2006/main" xmlns:pic="http://schemas.openxmlformats.org/drawingml/2006/picture">
            <wp:extent cx="1844039" cy="439419"/>
            <wp:docPr id="140" name="Picture 14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240" w:bottom="446" w:left="260" w:header="720" w:footer="720" w:gutter="0"/>
          <w:cols w:num="2" w:equalWidth="0">
            <w:col w:w="6280" w:space="0"/>
            <w:col w:w="5124" w:space="0"/>
          </w:cols>
          <w:docGrid w:linePitch="360"/>
        </w:sectPr>
      </w:pPr>
    </w:p>
    <w:p>
      <w:pPr>
        <w:autoSpaceDN w:val="0"/>
        <w:autoSpaceDE w:val="0"/>
        <w:widowControl/>
        <w:spacing w:line="200" w:lineRule="exact" w:before="0" w:after="30"/>
        <w:ind w:left="0" w:right="908"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240" w:bottom="446" w:left="260" w:header="720" w:footer="720" w:gutter="0"/>
          <w:cols w:num="2" w:equalWidth="0">
            <w:col w:w="6280" w:space="0"/>
            <w:col w:w="5124" w:space="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1.999999999999993" w:type="dxa"/>
      </w:tblPr>
      <w:tblGrid>
        <w:gridCol w:w="1037"/>
        <w:gridCol w:w="1037"/>
        <w:gridCol w:w="1037"/>
        <w:gridCol w:w="1037"/>
        <w:gridCol w:w="1037"/>
        <w:gridCol w:w="1037"/>
        <w:gridCol w:w="1037"/>
        <w:gridCol w:w="1037"/>
        <w:gridCol w:w="1037"/>
        <w:gridCol w:w="1037"/>
        <w:gridCol w:w="1037"/>
      </w:tblGrid>
      <w:tr>
        <w:trPr>
          <w:trHeight w:hRule="exact" w:val="484"/>
        </w:trPr>
        <w:tc>
          <w:tcPr>
            <w:tcW w:type="dxa" w:w="852"/>
            <w:tcBorders>
              <w:start w:sz="1.5999999999999943" w:val="single" w:color="#000000"/>
              <w:top w:sz="1.6000000000000227" w:val="single" w:color="#000000"/>
              <w:end w:sz="1.599999999999966" w:val="single" w:color="#000000"/>
              <w:bottom w:sz="2.3999999999999773" w:val="single" w:color="#000000"/>
            </w:tcBorders>
            <w:tcMar>
              <w:start w:w="0" w:type="dxa"/>
              <w:end w:w="0" w:type="dxa"/>
            </w:tcMar>
          </w:tcPr>
          <w:p/>
        </w:tc>
        <w:tc>
          <w:tcPr>
            <w:tcW w:type="dxa" w:w="1132"/>
            <w:tcBorders>
              <w:start w:sz="1.599999999999966" w:val="single" w:color="#000000"/>
              <w:top w:sz="5.600000000000023" w:val="single" w:color="#000000"/>
              <w:end w:sz="2.3999999999999773" w:val="single" w:color="#000000"/>
              <w:bottom w:sz="2.3999999999999773" w:val="single" w:color="#000000"/>
            </w:tcBorders>
            <w:tcMar>
              <w:start w:w="0" w:type="dxa"/>
              <w:end w:w="0" w:type="dxa"/>
            </w:tcMar>
          </w:tcPr>
          <w:p/>
        </w:tc>
        <w:tc>
          <w:tcPr>
            <w:tcW w:type="dxa" w:w="1136"/>
            <w:tcBorders>
              <w:start w:sz="2.3999999999999773" w:val="single" w:color="#000000"/>
              <w:top w:sz="5.600000000000023" w:val="single" w:color="#000000"/>
              <w:end w:sz="1.599999999999909" w:val="single" w:color="#000000"/>
              <w:bottom w:sz="2.3999999999999773" w:val="single" w:color="#000000"/>
            </w:tcBorders>
            <w:tcMar>
              <w:start w:w="0" w:type="dxa"/>
              <w:end w:w="0" w:type="dxa"/>
            </w:tcMar>
          </w:tcPr>
          <w:p/>
        </w:tc>
        <w:tc>
          <w:tcPr>
            <w:tcW w:type="dxa" w:w="1580"/>
            <w:tcBorders>
              <w:start w:sz="1.599999999999909" w:val="single" w:color="#000000"/>
              <w:top w:sz="5.600000000000023" w:val="single" w:color="#000000"/>
              <w:end w:sz="1.599999999999909" w:val="single" w:color="#000000"/>
              <w:bottom w:sz="1.6000000000000227" w:val="single" w:color="#000000"/>
            </w:tcBorders>
            <w:tcMar>
              <w:start w:w="0" w:type="dxa"/>
              <w:end w:w="0" w:type="dxa"/>
            </w:tcMar>
          </w:tcPr>
          <w:p/>
        </w:tc>
        <w:tc>
          <w:tcPr>
            <w:tcW w:type="dxa" w:w="1136"/>
            <w:tcBorders>
              <w:start w:sz="1.599999999999909" w:val="single" w:color="#000000"/>
              <w:top w:sz="5.600000000000023" w:val="single" w:color="#000000"/>
              <w:end w:sz="1.599999999999909" w:val="single" w:color="#000000"/>
              <w:bottom w:sz="2.3999999999999773" w:val="single" w:color="#000000"/>
            </w:tcBorders>
            <w:tcMar>
              <w:start w:w="0" w:type="dxa"/>
              <w:end w:w="0" w:type="dxa"/>
            </w:tcMar>
          </w:tcPr>
          <w:p/>
        </w:tc>
        <w:tc>
          <w:tcPr>
            <w:tcW w:type="dxa" w:w="992"/>
            <w:tcBorders>
              <w:start w:sz="1.599999999999909" w:val="single" w:color="#000000"/>
              <w:top w:sz="5.600000000000023" w:val="single" w:color="#000000"/>
              <w:end w:sz="2.400000000000091" w:val="single" w:color="#000000"/>
              <w:bottom w:sz="1.6000000000000227" w:val="single" w:color="#000000"/>
            </w:tcBorders>
            <w:tcMar>
              <w:start w:w="0" w:type="dxa"/>
              <w:end w:w="0" w:type="dxa"/>
            </w:tcMar>
          </w:tcPr>
          <w:p>
            <w:pPr>
              <w:autoSpaceDN w:val="0"/>
              <w:autoSpaceDE w:val="0"/>
              <w:widowControl/>
              <w:spacing w:line="226" w:lineRule="exact" w:before="0" w:after="0"/>
              <w:ind w:left="106" w:right="0" w:firstLine="0"/>
              <w:jc w:val="left"/>
            </w:pP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708"/>
            <w:vMerge w:val="restart"/>
            <w:tcBorders>
              <w:start w:sz="2.400000000000091" w:val="single" w:color="#000000"/>
              <w:top w:sz="5.600000000000023" w:val="single" w:color="#000000"/>
              <w:end w:sz="2.400000000000091"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6" w:lineRule="exact" w:before="0" w:after="0"/>
              <w:ind w:left="104" w:right="144" w:firstLine="0"/>
              <w:jc w:val="left"/>
            </w:pPr>
            <w:r>
              <w:rPr>
                <w:rFonts w:ascii="宋体" w:hAnsi="宋体" w:eastAsia="宋体"/>
                <w:b w:val="0"/>
                <w:i w:val="0"/>
                <w:color w:val="000000"/>
                <w:sz w:val="18"/>
              </w:rPr>
              <w:t>途使</w:t>
            </w:r>
            <w:r>
              <w:br/>
            </w:r>
            <w:r>
              <w:rPr>
                <w:rFonts w:ascii="宋体" w:hAnsi="宋体" w:eastAsia="宋体"/>
                <w:b w:val="0"/>
                <w:i w:val="0"/>
                <w:color w:val="000000"/>
                <w:sz w:val="18"/>
              </w:rPr>
              <w:t xml:space="preserve">用。 </w:t>
            </w:r>
          </w:p>
        </w:tc>
        <w:tc>
          <w:tcPr>
            <w:tcW w:type="dxa" w:w="706"/>
            <w:tcBorders>
              <w:start w:sz="2.400000000000091" w:val="single" w:color="#000000"/>
              <w:top w:sz="5.600000000000023" w:val="single" w:color="#000000"/>
              <w:end w:sz="2.399999999999636" w:val="single" w:color="#000000"/>
              <w:bottom w:sz="2.3999999999999773" w:val="single" w:color="#000000"/>
            </w:tcBorders>
            <w:tcMar>
              <w:start w:w="0" w:type="dxa"/>
              <w:end w:w="0" w:type="dxa"/>
            </w:tcMar>
          </w:tcPr>
          <w:p/>
        </w:tc>
        <w:tc>
          <w:tcPr>
            <w:tcW w:type="dxa" w:w="1420"/>
            <w:vMerge w:val="restart"/>
            <w:tcBorders>
              <w:start w:sz="2.399999999999636" w:val="single" w:color="#000000"/>
              <w:top w:sz="5.600000000000023" w:val="single" w:color="#000000"/>
              <w:end w:sz="1.599999999999909" w:val="single" w:color="#000000"/>
              <w:bottom w:sz="1.599999999999909"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6" w:lineRule="exact" w:before="0" w:after="0"/>
              <w:ind w:left="110" w:right="226" w:firstLine="0"/>
              <w:jc w:val="both"/>
            </w:pPr>
            <w:r>
              <w:rPr>
                <w:rFonts w:ascii="宋体" w:hAnsi="宋体" w:eastAsia="宋体"/>
                <w:b w:val="0"/>
                <w:i w:val="0"/>
                <w:color w:val="000000"/>
                <w:sz w:val="18"/>
              </w:rPr>
              <w:t>定，指定专项</w:t>
            </w:r>
            <w:r>
              <w:rPr>
                <w:rFonts w:ascii="宋体" w:hAnsi="宋体" w:eastAsia="宋体"/>
                <w:b w:val="0"/>
                <w:i w:val="0"/>
                <w:color w:val="000000"/>
                <w:sz w:val="18"/>
              </w:rPr>
              <w:t>账户存放募集</w:t>
            </w:r>
            <w:r>
              <w:rPr>
                <w:rFonts w:ascii="宋体" w:hAnsi="宋体" w:eastAsia="宋体"/>
                <w:b w:val="0"/>
                <w:i w:val="0"/>
                <w:color w:val="000000"/>
                <w:sz w:val="18"/>
              </w:rPr>
              <w:t>资金；公司募</w:t>
            </w:r>
            <w:r>
              <w:rPr>
                <w:rFonts w:ascii="宋体" w:hAnsi="宋体" w:eastAsia="宋体"/>
                <w:b w:val="0"/>
                <w:i w:val="0"/>
                <w:color w:val="000000"/>
                <w:sz w:val="18"/>
              </w:rPr>
              <w:t>集资金专项账</w:t>
            </w:r>
            <w:r>
              <w:rPr>
                <w:rFonts w:ascii="宋体" w:hAnsi="宋体" w:eastAsia="宋体"/>
                <w:b w:val="0"/>
                <w:i w:val="0"/>
                <w:color w:val="000000"/>
                <w:sz w:val="18"/>
              </w:rPr>
              <w:t>户运作符合相</w:t>
            </w:r>
            <w:r>
              <w:rPr>
                <w:rFonts w:ascii="宋体" w:hAnsi="宋体" w:eastAsia="宋体"/>
                <w:b w:val="0"/>
                <w:i w:val="0"/>
                <w:color w:val="000000"/>
                <w:sz w:val="18"/>
              </w:rPr>
              <w:t xml:space="preserve">关规定。 </w:t>
            </w:r>
          </w:p>
        </w:tc>
        <w:tc>
          <w:tcPr>
            <w:tcW w:type="dxa" w:w="850"/>
            <w:tcBorders>
              <w:start w:sz="1.599999999999909" w:val="single" w:color="#000000"/>
              <w:top w:sz="5.600000000000023" w:val="single" w:color="#000000"/>
              <w:end w:sz="1.5999999999994543" w:val="single" w:color="#000000"/>
              <w:bottom w:sz="2.3999999999999773" w:val="single" w:color="#000000"/>
            </w:tcBorders>
            <w:tcMar>
              <w:start w:w="0" w:type="dxa"/>
              <w:end w:w="0" w:type="dxa"/>
            </w:tcMar>
          </w:tcPr>
          <w:p/>
        </w:tc>
        <w:tc>
          <w:tcPr>
            <w:tcW w:type="dxa" w:w="868"/>
            <w:tcBorders>
              <w:start w:sz="1.5999999999994543" w:val="single" w:color="#000000"/>
              <w:top w:sz="1.6000000000000227" w:val="single" w:color="#000000"/>
              <w:end w:sz="1.6000000000003638" w:val="single" w:color="#000000"/>
              <w:bottom w:sz="2.3999999999999773" w:val="single" w:color="#000000"/>
            </w:tcBorders>
            <w:tcMar>
              <w:start w:w="0" w:type="dxa"/>
              <w:end w:w="0" w:type="dxa"/>
            </w:tcMar>
          </w:tcPr>
          <w:p/>
        </w:tc>
      </w:tr>
      <w:tr>
        <w:trPr>
          <w:trHeight w:hRule="exact" w:val="966"/>
        </w:trPr>
        <w:tc>
          <w:tcPr>
            <w:tcW w:type="dxa" w:w="852"/>
            <w:tcBorders>
              <w:start w:sz="1.5999999999999943" w:val="single" w:color="#000000"/>
              <w:top w:sz="2.3999999999999773"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148001 </w:t>
            </w:r>
          </w:p>
        </w:tc>
        <w:tc>
          <w:tcPr>
            <w:tcW w:type="dxa" w:w="1132"/>
            <w:tcBorders>
              <w:start w:sz="1.599999999999966" w:val="single" w:color="#000000"/>
              <w:top w:sz="2.3999999999999773"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22 山证05 </w:t>
            </w:r>
          </w:p>
        </w:tc>
        <w:tc>
          <w:tcPr>
            <w:tcW w:type="dxa" w:w="1136"/>
            <w:tcBorders>
              <w:start w:sz="2.3999999999999773"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79,840.00 </w:t>
            </w:r>
          </w:p>
        </w:tc>
        <w:tc>
          <w:tcPr>
            <w:tcW w:type="dxa" w:w="1580"/>
            <w:tcBorders>
              <w:start w:sz="1.599999999999909" w:val="single" w:color="#000000"/>
              <w:top w:sz="1.6000000000000227" w:val="single" w:color="#000000"/>
              <w:end w:sz="1.599999999999909" w:val="single" w:color="#000000"/>
              <w:bottom w:sz="0.7999999999999545" w:val="single" w:color="#000000"/>
            </w:tcBorders>
            <w:tcMar>
              <w:start w:w="0" w:type="dxa"/>
              <w:end w:w="0" w:type="dxa"/>
            </w:tcMar>
          </w:tcPr>
          <w:p>
            <w:pPr>
              <w:autoSpaceDN w:val="0"/>
              <w:autoSpaceDE w:val="0"/>
              <w:widowControl/>
              <w:spacing w:line="240" w:lineRule="exact" w:before="218"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2.3999999999999773"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79,933.64 </w:t>
            </w:r>
          </w:p>
        </w:tc>
        <w:tc>
          <w:tcPr>
            <w:tcW w:type="dxa" w:w="992"/>
            <w:tcBorders>
              <w:start w:sz="1.599999999999909" w:val="single" w:color="#000000"/>
              <w:top w:sz="1.6000000000000227" w:val="single" w:color="#000000"/>
              <w:end w:sz="2.400000000000091" w:val="single" w:color="#000000"/>
              <w:bottom w:sz="0.7999999999999545" w:val="single" w:color="#000000"/>
            </w:tcBorders>
            <w:tcMar>
              <w:start w:w="0" w:type="dxa"/>
              <w:end w:w="0" w:type="dxa"/>
            </w:tcMar>
          </w:tcPr>
          <w:p>
            <w:pPr>
              <w:autoSpaceDN w:val="0"/>
              <w:autoSpaceDE w:val="0"/>
              <w:widowControl/>
              <w:spacing w:line="234"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2.3999999999999773"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39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2.3999999999999773"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39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2.3999999999999773"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98" w:after="0"/>
              <w:ind w:left="0" w:right="250" w:firstLine="0"/>
              <w:jc w:val="right"/>
            </w:pPr>
            <w:r>
              <w:rPr>
                <w:rFonts w:ascii="宋体" w:hAnsi="宋体" w:eastAsia="宋体"/>
                <w:b w:val="0"/>
                <w:i w:val="0"/>
                <w:color w:val="000000"/>
                <w:sz w:val="18"/>
              </w:rPr>
              <w:t xml:space="preserve">是 </w:t>
            </w:r>
          </w:p>
        </w:tc>
      </w:tr>
      <w:tr>
        <w:trPr>
          <w:trHeight w:hRule="exact" w:val="964"/>
        </w:trPr>
        <w:tc>
          <w:tcPr>
            <w:tcW w:type="dxa" w:w="852"/>
            <w:tcBorders>
              <w:start w:sz="1.5999999999999943" w:val="single" w:color="#000000"/>
              <w:top w:sz="1.599999999999909" w:val="single" w:color="#000000"/>
              <w:end w:sz="1.599999999999966" w:val="single" w:color="#000000"/>
              <w:bottom w:sz="2.400000000000091"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115126 </w:t>
            </w:r>
          </w:p>
        </w:tc>
        <w:tc>
          <w:tcPr>
            <w:tcW w:type="dxa" w:w="1132"/>
            <w:tcBorders>
              <w:start w:sz="1.599999999999966"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23 山证C1 </w:t>
            </w:r>
          </w:p>
        </w:tc>
        <w:tc>
          <w:tcPr>
            <w:tcW w:type="dxa" w:w="1136"/>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99,800.00 </w:t>
            </w:r>
          </w:p>
        </w:tc>
        <w:tc>
          <w:tcPr>
            <w:tcW w:type="dxa" w:w="1580"/>
            <w:tcBorders>
              <w:start w:sz="1.599999999999909" w:val="single" w:color="#000000"/>
              <w:top w:sz="0.7999999999999545" w:val="single" w:color="#000000"/>
              <w:end w:sz="1.599999999999909" w:val="single" w:color="#000000"/>
              <w:bottom w:sz="0.8000000000001819" w:val="single" w:color="#000000"/>
            </w:tcBorders>
            <w:tcMar>
              <w:start w:w="0" w:type="dxa"/>
              <w:end w:w="0" w:type="dxa"/>
            </w:tcMar>
          </w:tcPr>
          <w:p>
            <w:pPr>
              <w:autoSpaceDN w:val="0"/>
              <w:autoSpaceDE w:val="0"/>
              <w:widowControl/>
              <w:spacing w:line="240" w:lineRule="exact" w:before="220"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99,817.26 </w:t>
            </w:r>
          </w:p>
        </w:tc>
        <w:tc>
          <w:tcPr>
            <w:tcW w:type="dxa" w:w="992"/>
            <w:tcBorders>
              <w:start w:sz="1.599999999999909" w:val="single" w:color="#000000"/>
              <w:top w:sz="0.7999999999999545" w:val="single" w:color="#000000"/>
              <w:end w:sz="2.400000000000091" w:val="single" w:color="#000000"/>
              <w:bottom w:sz="0.8000000000001819" w:val="single" w:color="#000000"/>
            </w:tcBorders>
            <w:tcMar>
              <w:start w:w="0" w:type="dxa"/>
              <w:end w:w="0" w:type="dxa"/>
            </w:tcMar>
          </w:tcPr>
          <w:p>
            <w:pPr>
              <w:autoSpaceDN w:val="0"/>
              <w:autoSpaceDE w:val="0"/>
              <w:widowControl/>
              <w:spacing w:line="236"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39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39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398" w:after="0"/>
              <w:ind w:left="0" w:right="250" w:firstLine="0"/>
              <w:jc w:val="right"/>
            </w:pPr>
            <w:r>
              <w:rPr>
                <w:rFonts w:ascii="宋体" w:hAnsi="宋体" w:eastAsia="宋体"/>
                <w:b w:val="0"/>
                <w:i w:val="0"/>
                <w:color w:val="000000"/>
                <w:sz w:val="18"/>
              </w:rPr>
              <w:t xml:space="preserve">是 </w:t>
            </w:r>
          </w:p>
        </w:tc>
      </w:tr>
      <w:tr>
        <w:trPr>
          <w:trHeight w:hRule="exact" w:val="966"/>
        </w:trPr>
        <w:tc>
          <w:tcPr>
            <w:tcW w:type="dxa" w:w="852"/>
            <w:tcBorders>
              <w:start w:sz="1.5999999999999943" w:val="single" w:color="#000000"/>
              <w:top w:sz="2.400000000000091"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115127 </w:t>
            </w:r>
          </w:p>
        </w:tc>
        <w:tc>
          <w:tcPr>
            <w:tcW w:type="dxa" w:w="1132"/>
            <w:tcBorders>
              <w:start w:sz="1.599999999999966"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23 山证C3 </w:t>
            </w:r>
          </w:p>
        </w:tc>
        <w:tc>
          <w:tcPr>
            <w:tcW w:type="dxa" w:w="1136"/>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99,800.00 </w:t>
            </w:r>
          </w:p>
        </w:tc>
        <w:tc>
          <w:tcPr>
            <w:tcW w:type="dxa" w:w="1580"/>
            <w:tcBorders>
              <w:start w:sz="1.599999999999909" w:val="single" w:color="#000000"/>
              <w:top w:sz="0.8000000000001819" w:val="single" w:color="#000000"/>
              <w:end w:sz="1.599999999999909" w:val="single" w:color="#000000"/>
              <w:bottom w:sz="0.7999999999999545" w:val="single" w:color="#000000"/>
            </w:tcBorders>
            <w:tcMar>
              <w:start w:w="0" w:type="dxa"/>
              <w:end w:w="0" w:type="dxa"/>
            </w:tcMar>
          </w:tcPr>
          <w:p>
            <w:pPr>
              <w:autoSpaceDN w:val="0"/>
              <w:autoSpaceDE w:val="0"/>
              <w:widowControl/>
              <w:spacing w:line="242" w:lineRule="exact" w:before="216"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214" w:right="0" w:firstLine="0"/>
              <w:jc w:val="left"/>
            </w:pPr>
            <w:r>
              <w:rPr>
                <w:rFonts w:ascii="宋体" w:hAnsi="宋体" w:eastAsia="宋体"/>
                <w:b w:val="0"/>
                <w:i w:val="0"/>
                <w:color w:val="000000"/>
                <w:sz w:val="18"/>
              </w:rPr>
              <w:t xml:space="preserve">99,909.80 </w:t>
            </w:r>
          </w:p>
        </w:tc>
        <w:tc>
          <w:tcPr>
            <w:tcW w:type="dxa" w:w="992"/>
            <w:tcBorders>
              <w:start w:sz="1.599999999999909" w:val="single" w:color="#000000"/>
              <w:top w:sz="0.8000000000001819" w:val="single" w:color="#000000"/>
              <w:end w:sz="2.400000000000091" w:val="single" w:color="#000000"/>
              <w:bottom w:sz="1.599999999999909" w:val="single" w:color="#000000"/>
            </w:tcBorders>
            <w:tcMar>
              <w:start w:w="0" w:type="dxa"/>
              <w:end w:w="0" w:type="dxa"/>
            </w:tcMar>
          </w:tcPr>
          <w:p>
            <w:pPr>
              <w:autoSpaceDN w:val="0"/>
              <w:autoSpaceDE w:val="0"/>
              <w:widowControl/>
              <w:spacing w:line="236"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39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39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98" w:after="0"/>
              <w:ind w:left="0" w:right="250" w:firstLine="0"/>
              <w:jc w:val="right"/>
            </w:pPr>
            <w:r>
              <w:rPr>
                <w:rFonts w:ascii="宋体" w:hAnsi="宋体" w:eastAsia="宋体"/>
                <w:b w:val="0"/>
                <w:i w:val="0"/>
                <w:color w:val="000000"/>
                <w:sz w:val="18"/>
              </w:rPr>
              <w:t xml:space="preserve">是 </w:t>
            </w:r>
          </w:p>
        </w:tc>
      </w:tr>
      <w:tr>
        <w:trPr>
          <w:trHeight w:hRule="exact" w:val="486"/>
        </w:trPr>
        <w:tc>
          <w:tcPr>
            <w:tcW w:type="dxa" w:w="852"/>
            <w:vMerge w:val="restart"/>
            <w:tcBorders>
              <w:start w:sz="1.5999999999999943" w:val="single" w:color="#000000"/>
              <w:top w:sz="1.599999999999909" w:val="single" w:color="#000000"/>
              <w:end w:sz="1.599999999999966"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640" w:after="0"/>
              <w:ind w:left="0" w:right="0" w:firstLine="0"/>
              <w:jc w:val="center"/>
            </w:pPr>
            <w:r>
              <w:rPr>
                <w:rFonts w:ascii="宋体" w:hAnsi="宋体" w:eastAsia="宋体"/>
                <w:b w:val="0"/>
                <w:i w:val="0"/>
                <w:color w:val="000000"/>
                <w:sz w:val="18"/>
              </w:rPr>
              <w:t xml:space="preserve">148498 </w:t>
            </w:r>
          </w:p>
        </w:tc>
        <w:tc>
          <w:tcPr>
            <w:tcW w:type="dxa" w:w="1132"/>
            <w:vMerge w:val="restart"/>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640" w:after="0"/>
              <w:ind w:left="0" w:right="0" w:firstLine="0"/>
              <w:jc w:val="center"/>
            </w:pPr>
            <w:r>
              <w:rPr>
                <w:rFonts w:ascii="宋体" w:hAnsi="宋体" w:eastAsia="宋体"/>
                <w:b w:val="0"/>
                <w:i w:val="0"/>
                <w:color w:val="000000"/>
                <w:sz w:val="18"/>
              </w:rPr>
              <w:t xml:space="preserve">23 山证C4 </w:t>
            </w:r>
          </w:p>
        </w:tc>
        <w:tc>
          <w:tcPr>
            <w:tcW w:type="dxa" w:w="1136"/>
            <w:vMerge w:val="restart"/>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180" w:lineRule="exact" w:before="640" w:after="0"/>
              <w:ind w:left="126" w:right="0" w:firstLine="0"/>
              <w:jc w:val="left"/>
            </w:pPr>
            <w:r>
              <w:rPr>
                <w:rFonts w:ascii="宋体" w:hAnsi="宋体" w:eastAsia="宋体"/>
                <w:b w:val="0"/>
                <w:i w:val="0"/>
                <w:color w:val="000000"/>
                <w:sz w:val="18"/>
              </w:rPr>
              <w:t xml:space="preserve">149,700.00 </w:t>
            </w:r>
          </w:p>
        </w:tc>
        <w:tc>
          <w:tcPr>
            <w:tcW w:type="dxa" w:w="1580"/>
            <w:vMerge w:val="restart"/>
            <w:tcBorders>
              <w:start w:sz="1.599999999999909" w:val="single" w:color="#000000"/>
              <w:top w:sz="0.7999999999999545" w:val="single" w:color="#000000"/>
              <w:end w:sz="1.599999999999909" w:val="single" w:color="#000000"/>
              <w:bottom w:sz="1.599999999999909" w:val="single" w:color="#000000"/>
            </w:tcBorders>
            <w:tcMar>
              <w:start w:w="0" w:type="dxa"/>
              <w:end w:w="0" w:type="dxa"/>
            </w:tcMar>
            <w:tcMar>
              <w:start w:w="0" w:type="dxa"/>
              <w:end w:w="0" w:type="dxa"/>
            </w:tcMar>
          </w:tcPr>
          <w:p>
            <w:pPr>
              <w:autoSpaceDN w:val="0"/>
              <w:autoSpaceDE w:val="0"/>
              <w:widowControl/>
              <w:spacing w:line="240" w:lineRule="exact" w:before="462"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158" w:after="0"/>
              <w:ind w:left="214" w:right="0" w:firstLine="0"/>
              <w:jc w:val="left"/>
            </w:pPr>
            <w:r>
              <w:rPr>
                <w:rFonts w:ascii="宋体" w:hAnsi="宋体" w:eastAsia="宋体"/>
                <w:b w:val="0"/>
                <w:i w:val="0"/>
                <w:color w:val="000000"/>
                <w:sz w:val="18"/>
              </w:rPr>
              <w:t xml:space="preserve">99,700.00 </w:t>
            </w:r>
          </w:p>
        </w:tc>
        <w:tc>
          <w:tcPr>
            <w:tcW w:type="dxa" w:w="99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30" w:lineRule="exact" w:before="0" w:after="0"/>
              <w:ind w:left="106" w:right="0" w:firstLine="0"/>
              <w:jc w:val="left"/>
            </w:pPr>
            <w:r>
              <w:rPr>
                <w:rFonts w:ascii="宋体" w:hAnsi="宋体" w:eastAsia="宋体"/>
                <w:b w:val="0"/>
                <w:i w:val="0"/>
                <w:color w:val="000000"/>
                <w:sz w:val="18"/>
              </w:rPr>
              <w:t>用于偿还</w:t>
            </w:r>
            <w:r>
              <w:br/>
            </w:r>
            <w:r>
              <w:rPr>
                <w:rFonts w:ascii="宋体" w:hAnsi="宋体" w:eastAsia="宋体"/>
                <w:b w:val="0"/>
                <w:i w:val="0"/>
                <w:color w:val="000000"/>
                <w:sz w:val="18"/>
              </w:rPr>
              <w:t xml:space="preserve">公司债券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15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15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158" w:after="0"/>
              <w:ind w:left="0" w:right="250" w:firstLine="0"/>
              <w:jc w:val="right"/>
            </w:pPr>
            <w:r>
              <w:rPr>
                <w:rFonts w:ascii="宋体" w:hAnsi="宋体" w:eastAsia="宋体"/>
                <w:b w:val="0"/>
                <w:i w:val="0"/>
                <w:color w:val="000000"/>
                <w:sz w:val="18"/>
              </w:rPr>
              <w:t xml:space="preserve">是 </w:t>
            </w:r>
          </w:p>
        </w:tc>
      </w:tr>
      <w:tr>
        <w:trPr>
          <w:trHeight w:hRule="exact" w:val="964"/>
        </w:trPr>
        <w:tc>
          <w:tcPr>
            <w:tcW w:type="dxa" w:w="1037"/>
            <w:vMerge/>
            <w:tcBorders>
              <w:start w:sz="1.5999999999999943" w:val="single" w:color="#000000"/>
              <w:top w:sz="1.599999999999909" w:val="single" w:color="#000000"/>
              <w:end w:sz="1.599999999999966" w:val="single" w:color="#000000"/>
              <w:bottom w:sz="1.599999999999909" w:val="single" w:color="#000000"/>
            </w:tcBorders>
          </w:tcPr>
          <w:p/>
        </w:tc>
        <w:tc>
          <w:tcPr>
            <w:tcW w:type="dxa" w:w="1037"/>
            <w:vMerge/>
            <w:tcBorders>
              <w:start w:sz="1.599999999999966" w:val="single" w:color="#000000"/>
              <w:top w:sz="1.599999999999909" w:val="single" w:color="#000000"/>
              <w:end w:sz="2.3999999999999773" w:val="single" w:color="#000000"/>
              <w:bottom w:sz="1.599999999999909" w:val="single" w:color="#000000"/>
            </w:tcBorders>
          </w:tcPr>
          <w:p/>
        </w:tc>
        <w:tc>
          <w:tcPr>
            <w:tcW w:type="dxa" w:w="1037"/>
            <w:vMerge/>
            <w:tcBorders>
              <w:start w:sz="2.3999999999999773" w:val="single" w:color="#000000"/>
              <w:top w:sz="1.599999999999909" w:val="single" w:color="#000000"/>
              <w:end w:sz="1.599999999999909" w:val="single" w:color="#000000"/>
              <w:bottom w:sz="1.599999999999909" w:val="single" w:color="#000000"/>
            </w:tcBorders>
          </w:tcPr>
          <w:p/>
        </w:tc>
        <w:tc>
          <w:tcPr>
            <w:tcW w:type="dxa" w:w="1037"/>
            <w:vMerge/>
            <w:tcBorders>
              <w:start w:sz="1.599999999999909" w:val="single" w:color="#000000"/>
              <w:top w:sz="0.7999999999999545" w:val="single" w:color="#000000"/>
              <w:end w:sz="1.599999999999909" w:val="single" w:color="#000000"/>
              <w:bottom w:sz="1.599999999999909" w:val="single" w:color="#000000"/>
            </w:tcBorders>
          </w:tcPr>
          <w:p/>
        </w:tc>
        <w:tc>
          <w:tcPr>
            <w:tcW w:type="dxa" w:w="113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6" w:after="0"/>
              <w:ind w:left="214" w:right="0" w:firstLine="0"/>
              <w:jc w:val="left"/>
            </w:pPr>
            <w:r>
              <w:rPr>
                <w:rFonts w:ascii="宋体" w:hAnsi="宋体" w:eastAsia="宋体"/>
                <w:b w:val="0"/>
                <w:i w:val="0"/>
                <w:color w:val="000000"/>
                <w:sz w:val="18"/>
              </w:rPr>
              <w:t xml:space="preserve">50,055.29 </w:t>
            </w:r>
          </w:p>
        </w:tc>
        <w:tc>
          <w:tcPr>
            <w:tcW w:type="dxa" w:w="99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396"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396"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96" w:after="0"/>
              <w:ind w:left="0" w:right="250" w:firstLine="0"/>
              <w:jc w:val="right"/>
            </w:pPr>
            <w:r>
              <w:rPr>
                <w:rFonts w:ascii="宋体" w:hAnsi="宋体" w:eastAsia="宋体"/>
                <w:b w:val="0"/>
                <w:i w:val="0"/>
                <w:color w:val="000000"/>
                <w:sz w:val="18"/>
              </w:rPr>
              <w:t xml:space="preserve">是 </w:t>
            </w:r>
          </w:p>
        </w:tc>
      </w:tr>
      <w:tr>
        <w:trPr>
          <w:trHeight w:hRule="exact" w:val="964"/>
        </w:trPr>
        <w:tc>
          <w:tcPr>
            <w:tcW w:type="dxa" w:w="852"/>
            <w:tcBorders>
              <w:start w:sz="1.5999999999999943"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148788 </w:t>
            </w:r>
          </w:p>
        </w:tc>
        <w:tc>
          <w:tcPr>
            <w:tcW w:type="dxa" w:w="113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398" w:after="0"/>
              <w:ind w:left="0" w:right="0" w:firstLine="0"/>
              <w:jc w:val="center"/>
            </w:pPr>
            <w:r>
              <w:rPr>
                <w:rFonts w:ascii="宋体" w:hAnsi="宋体" w:eastAsia="宋体"/>
                <w:b w:val="0"/>
                <w:i w:val="0"/>
                <w:color w:val="000000"/>
                <w:sz w:val="18"/>
              </w:rPr>
              <w:t xml:space="preserve">24 山证01 </w:t>
            </w:r>
          </w:p>
        </w:tc>
        <w:tc>
          <w:tcPr>
            <w:tcW w:type="dxa" w:w="1136"/>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126" w:right="0" w:firstLine="0"/>
              <w:jc w:val="left"/>
            </w:pPr>
            <w:r>
              <w:rPr>
                <w:rFonts w:ascii="宋体" w:hAnsi="宋体" w:eastAsia="宋体"/>
                <w:b w:val="0"/>
                <w:i w:val="0"/>
                <w:color w:val="000000"/>
                <w:sz w:val="18"/>
              </w:rPr>
              <w:t xml:space="preserve">179,640.00 </w:t>
            </w:r>
          </w:p>
        </w:tc>
        <w:tc>
          <w:tcPr>
            <w:tcW w:type="dxa" w:w="158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40" w:lineRule="exact" w:before="218" w:after="0"/>
              <w:ind w:left="106" w:right="144" w:firstLine="0"/>
              <w:jc w:val="left"/>
            </w:pPr>
            <w:r>
              <w:rPr>
                <w:rFonts w:ascii="宋体" w:hAnsi="宋体" w:eastAsia="宋体"/>
                <w:b w:val="0"/>
                <w:i w:val="0"/>
                <w:color w:val="000000"/>
                <w:sz w:val="18"/>
              </w:rPr>
              <w:t>用于偿还公司有</w:t>
            </w:r>
            <w:r>
              <w:rPr>
                <w:rFonts w:ascii="宋体" w:hAnsi="宋体" w:eastAsia="宋体"/>
                <w:b w:val="0"/>
                <w:i w:val="0"/>
                <w:color w:val="000000"/>
                <w:sz w:val="18"/>
              </w:rPr>
              <w:t xml:space="preserve">息债务。 </w:t>
            </w:r>
          </w:p>
        </w:tc>
        <w:tc>
          <w:tcPr>
            <w:tcW w:type="dxa" w:w="113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398" w:after="0"/>
              <w:ind w:left="124" w:right="0" w:firstLine="0"/>
              <w:jc w:val="left"/>
            </w:pPr>
            <w:r>
              <w:rPr>
                <w:rFonts w:ascii="宋体" w:hAnsi="宋体" w:eastAsia="宋体"/>
                <w:b w:val="0"/>
                <w:i w:val="0"/>
                <w:color w:val="000000"/>
                <w:sz w:val="18"/>
              </w:rPr>
              <w:t xml:space="preserve">179,847.68 </w:t>
            </w:r>
          </w:p>
        </w:tc>
        <w:tc>
          <w:tcPr>
            <w:tcW w:type="dxa" w:w="992"/>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34" w:lineRule="exact" w:before="0" w:after="0"/>
              <w:ind w:left="106" w:right="72" w:firstLine="0"/>
              <w:jc w:val="both"/>
            </w:pPr>
            <w:r>
              <w:rPr>
                <w:rFonts w:ascii="宋体" w:hAnsi="宋体" w:eastAsia="宋体"/>
                <w:b w:val="0"/>
                <w:i w:val="0"/>
                <w:color w:val="000000"/>
                <w:sz w:val="18"/>
              </w:rPr>
              <w:t>用于偿还</w:t>
            </w:r>
            <w:r>
              <w:br/>
            </w:r>
            <w:r>
              <w:rPr>
                <w:rFonts w:ascii="宋体" w:hAnsi="宋体" w:eastAsia="宋体"/>
                <w:b w:val="0"/>
                <w:i w:val="0"/>
                <w:color w:val="000000"/>
                <w:sz w:val="18"/>
              </w:rPr>
              <w:t>有息负债</w:t>
            </w:r>
            <w:r>
              <w:br/>
            </w:r>
            <w:r>
              <w:rPr>
                <w:rFonts w:ascii="宋体" w:hAnsi="宋体" w:eastAsia="宋体"/>
                <w:b w:val="0"/>
                <w:i w:val="0"/>
                <w:color w:val="000000"/>
                <w:sz w:val="18"/>
              </w:rPr>
              <w:t>（不含公</w:t>
            </w:r>
            <w:r>
              <w:br/>
            </w:r>
            <w:r>
              <w:rPr>
                <w:rFonts w:ascii="宋体" w:hAnsi="宋体" w:eastAsia="宋体"/>
                <w:b w:val="0"/>
                <w:i w:val="0"/>
                <w:color w:val="000000"/>
                <w:sz w:val="18"/>
              </w:rPr>
              <w:t xml:space="preserve">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39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39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398" w:after="0"/>
              <w:ind w:left="0" w:right="250" w:firstLine="0"/>
              <w:jc w:val="right"/>
            </w:pPr>
            <w:r>
              <w:rPr>
                <w:rFonts w:ascii="宋体" w:hAnsi="宋体" w:eastAsia="宋体"/>
                <w:b w:val="0"/>
                <w:i w:val="0"/>
                <w:color w:val="000000"/>
                <w:sz w:val="18"/>
              </w:rPr>
              <w:t xml:space="preserve">是 </w:t>
            </w:r>
          </w:p>
        </w:tc>
      </w:tr>
      <w:tr>
        <w:trPr>
          <w:trHeight w:hRule="exact" w:val="726"/>
        </w:trPr>
        <w:tc>
          <w:tcPr>
            <w:tcW w:type="dxa" w:w="852"/>
            <w:tcBorders>
              <w:start w:sz="1.5999999999999943" w:val="single" w:color="#000000"/>
              <w:top w:sz="1.599999999999909"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 xml:space="preserve">148823 </w:t>
            </w:r>
          </w:p>
        </w:tc>
        <w:tc>
          <w:tcPr>
            <w:tcW w:type="dxa" w:w="1132"/>
            <w:tcBorders>
              <w:start w:sz="1.599999999999966" w:val="single" w:color="#000000"/>
              <w:top w:sz="1.599999999999909"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278" w:after="0"/>
              <w:ind w:left="0" w:right="0" w:firstLine="0"/>
              <w:jc w:val="center"/>
            </w:pPr>
            <w:r>
              <w:rPr>
                <w:rFonts w:ascii="宋体" w:hAnsi="宋体" w:eastAsia="宋体"/>
                <w:b w:val="0"/>
                <w:i w:val="0"/>
                <w:color w:val="000000"/>
                <w:sz w:val="18"/>
              </w:rPr>
              <w:t xml:space="preserve">24 山证02 </w:t>
            </w:r>
          </w:p>
        </w:tc>
        <w:tc>
          <w:tcPr>
            <w:tcW w:type="dxa" w:w="1136"/>
            <w:tcBorders>
              <w:start w:sz="2.3999999999999773"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8" w:after="0"/>
              <w:ind w:left="126" w:right="0" w:firstLine="0"/>
              <w:jc w:val="left"/>
            </w:pPr>
            <w:r>
              <w:rPr>
                <w:rFonts w:ascii="宋体" w:hAnsi="宋体" w:eastAsia="宋体"/>
                <w:b w:val="0"/>
                <w:i w:val="0"/>
                <w:color w:val="000000"/>
                <w:sz w:val="18"/>
              </w:rPr>
              <w:t xml:space="preserve">169,660.00 </w:t>
            </w:r>
          </w:p>
        </w:tc>
        <w:tc>
          <w:tcPr>
            <w:tcW w:type="dxa" w:w="1580"/>
            <w:tcBorders>
              <w:start w:sz="1.599999999999909" w:val="single" w:color="#000000"/>
              <w:top w:sz="1.599999999999909" w:val="single" w:color="#000000"/>
              <w:end w:sz="1.599999999999909" w:val="single" w:color="#000000"/>
              <w:bottom w:sz="0.8000000000001819" w:val="single" w:color="#000000"/>
            </w:tcBorders>
            <w:tcMar>
              <w:start w:w="0" w:type="dxa"/>
              <w:end w:w="0" w:type="dxa"/>
            </w:tcMar>
          </w:tcPr>
          <w:p>
            <w:pPr>
              <w:autoSpaceDN w:val="0"/>
              <w:autoSpaceDE w:val="0"/>
              <w:widowControl/>
              <w:spacing w:line="232" w:lineRule="exact" w:before="0" w:after="0"/>
              <w:ind w:left="106" w:right="210" w:firstLine="0"/>
              <w:jc w:val="both"/>
            </w:pPr>
            <w:r>
              <w:rPr>
                <w:rFonts w:ascii="宋体" w:hAnsi="宋体" w:eastAsia="宋体"/>
                <w:b w:val="0"/>
                <w:i w:val="0"/>
                <w:color w:val="000000"/>
                <w:sz w:val="18"/>
              </w:rPr>
              <w:t>用于偿还公司即</w:t>
            </w:r>
            <w:r>
              <w:rPr>
                <w:rFonts w:ascii="宋体" w:hAnsi="宋体" w:eastAsia="宋体"/>
                <w:b w:val="0"/>
                <w:i w:val="0"/>
                <w:color w:val="000000"/>
                <w:sz w:val="18"/>
              </w:rPr>
              <w:t>将到期兑付的公</w:t>
            </w:r>
            <w:r>
              <w:rPr>
                <w:rFonts w:ascii="宋体" w:hAnsi="宋体" w:eastAsia="宋体"/>
                <w:b w:val="0"/>
                <w:i w:val="0"/>
                <w:color w:val="000000"/>
                <w:sz w:val="18"/>
              </w:rPr>
              <w:t xml:space="preserve">司债券。 </w:t>
            </w:r>
          </w:p>
        </w:tc>
        <w:tc>
          <w:tcPr>
            <w:tcW w:type="dxa" w:w="1136"/>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8" w:after="0"/>
              <w:ind w:left="124" w:right="0" w:firstLine="0"/>
              <w:jc w:val="left"/>
            </w:pPr>
            <w:r>
              <w:rPr>
                <w:rFonts w:ascii="宋体" w:hAnsi="宋体" w:eastAsia="宋体"/>
                <w:b w:val="0"/>
                <w:i w:val="0"/>
                <w:color w:val="000000"/>
                <w:sz w:val="18"/>
              </w:rPr>
              <w:t xml:space="preserve">169,876.05 </w:t>
            </w:r>
          </w:p>
        </w:tc>
        <w:tc>
          <w:tcPr>
            <w:tcW w:type="dxa" w:w="992"/>
            <w:tcBorders>
              <w:start w:sz="1.599999999999909" w:val="single" w:color="#000000"/>
              <w:top w:sz="1.599999999999909" w:val="single" w:color="#000000"/>
              <w:end w:sz="2.400000000000091" w:val="single" w:color="#000000"/>
              <w:bottom w:sz="1.599999999999909" w:val="single" w:color="#000000"/>
            </w:tcBorders>
            <w:tcMar>
              <w:start w:w="0" w:type="dxa"/>
              <w:end w:w="0" w:type="dxa"/>
            </w:tcMar>
          </w:tcPr>
          <w:p>
            <w:pPr>
              <w:autoSpaceDN w:val="0"/>
              <w:autoSpaceDE w:val="0"/>
              <w:widowControl/>
              <w:spacing w:line="240" w:lineRule="exact" w:before="98" w:after="0"/>
              <w:ind w:left="106" w:right="0" w:firstLine="0"/>
              <w:jc w:val="left"/>
            </w:pPr>
            <w:r>
              <w:rPr>
                <w:rFonts w:ascii="宋体" w:hAnsi="宋体" w:eastAsia="宋体"/>
                <w:b w:val="0"/>
                <w:i w:val="0"/>
                <w:color w:val="000000"/>
                <w:sz w:val="18"/>
              </w:rPr>
              <w:t>用于偿还</w:t>
            </w:r>
            <w:r>
              <w:br/>
            </w:r>
            <w:r>
              <w:rPr>
                <w:rFonts w:ascii="宋体" w:hAnsi="宋体" w:eastAsia="宋体"/>
                <w:b w:val="0"/>
                <w:i w:val="0"/>
                <w:color w:val="000000"/>
                <w:sz w:val="18"/>
              </w:rPr>
              <w:t xml:space="preserve">公司债券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1.599999999999909"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78"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8"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909"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78" w:after="0"/>
              <w:ind w:left="0" w:right="250" w:firstLine="0"/>
              <w:jc w:val="right"/>
            </w:pPr>
            <w:r>
              <w:rPr>
                <w:rFonts w:ascii="宋体" w:hAnsi="宋体" w:eastAsia="宋体"/>
                <w:b w:val="0"/>
                <w:i w:val="0"/>
                <w:color w:val="000000"/>
                <w:sz w:val="18"/>
              </w:rPr>
              <w:t xml:space="preserve">是 </w:t>
            </w:r>
          </w:p>
        </w:tc>
      </w:tr>
      <w:tr>
        <w:trPr>
          <w:trHeight w:hRule="exact" w:val="728"/>
        </w:trPr>
        <w:tc>
          <w:tcPr>
            <w:tcW w:type="dxa" w:w="852"/>
            <w:tcBorders>
              <w:start w:sz="1.5999999999999943" w:val="single" w:color="#000000"/>
              <w:top w:sz="1.599999999999909" w:val="single" w:color="#000000"/>
              <w:end w:sz="1.599999999999966" w:val="single" w:color="#000000"/>
              <w:bottom w:sz="2.400000000000091" w:val="single" w:color="#000000"/>
            </w:tcBorders>
            <w:tcMar>
              <w:start w:w="0" w:type="dxa"/>
              <w:end w:w="0" w:type="dxa"/>
            </w:tcMar>
          </w:tcPr>
          <w:p>
            <w:pPr>
              <w:autoSpaceDN w:val="0"/>
              <w:autoSpaceDE w:val="0"/>
              <w:widowControl/>
              <w:spacing w:line="180" w:lineRule="exact" w:before="280" w:after="0"/>
              <w:ind w:left="0" w:right="0" w:firstLine="0"/>
              <w:jc w:val="center"/>
            </w:pPr>
            <w:r>
              <w:rPr>
                <w:rFonts w:ascii="宋体" w:hAnsi="宋体" w:eastAsia="宋体"/>
                <w:b w:val="0"/>
                <w:i w:val="0"/>
                <w:color w:val="000000"/>
                <w:sz w:val="18"/>
              </w:rPr>
              <w:t xml:space="preserve">148934 </w:t>
            </w:r>
          </w:p>
        </w:tc>
        <w:tc>
          <w:tcPr>
            <w:tcW w:type="dxa" w:w="1132"/>
            <w:tcBorders>
              <w:start w:sz="1.599999999999966" w:val="single" w:color="#000000"/>
              <w:top w:sz="1.599999999999909" w:val="single" w:color="#000000"/>
              <w:end w:sz="2.3999999999999773" w:val="single" w:color="#000000"/>
              <w:bottom w:sz="2.400000000000091" w:val="single" w:color="#000000"/>
            </w:tcBorders>
            <w:tcMar>
              <w:start w:w="0" w:type="dxa"/>
              <w:end w:w="0" w:type="dxa"/>
            </w:tcMar>
          </w:tcPr>
          <w:p>
            <w:pPr>
              <w:autoSpaceDN w:val="0"/>
              <w:autoSpaceDE w:val="0"/>
              <w:widowControl/>
              <w:spacing w:line="180" w:lineRule="exact" w:before="280" w:after="0"/>
              <w:ind w:left="0" w:right="0" w:firstLine="0"/>
              <w:jc w:val="center"/>
            </w:pPr>
            <w:r>
              <w:rPr>
                <w:rFonts w:ascii="宋体" w:hAnsi="宋体" w:eastAsia="宋体"/>
                <w:b w:val="0"/>
                <w:i w:val="0"/>
                <w:color w:val="000000"/>
                <w:sz w:val="18"/>
              </w:rPr>
              <w:t xml:space="preserve">24 山证04 </w:t>
            </w:r>
          </w:p>
        </w:tc>
        <w:tc>
          <w:tcPr>
            <w:tcW w:type="dxa" w:w="1136"/>
            <w:tcBorders>
              <w:start w:sz="2.3999999999999773"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280" w:after="0"/>
              <w:ind w:left="126" w:right="0" w:firstLine="0"/>
              <w:jc w:val="left"/>
            </w:pPr>
            <w:r>
              <w:rPr>
                <w:rFonts w:ascii="宋体" w:hAnsi="宋体" w:eastAsia="宋体"/>
                <w:b w:val="0"/>
                <w:i w:val="0"/>
                <w:color w:val="000000"/>
                <w:sz w:val="18"/>
              </w:rPr>
              <w:t xml:space="preserve">179,640.00 </w:t>
            </w:r>
          </w:p>
        </w:tc>
        <w:tc>
          <w:tcPr>
            <w:tcW w:type="dxa" w:w="1580"/>
            <w:tcBorders>
              <w:start w:sz="1.599999999999909" w:val="single" w:color="#000000"/>
              <w:top w:sz="0.8000000000001819" w:val="single" w:color="#000000"/>
              <w:end w:sz="1.599999999999909" w:val="single" w:color="#000000"/>
              <w:bottom w:sz="0.7999999999997272" w:val="single" w:color="#000000"/>
            </w:tcBorders>
            <w:tcMar>
              <w:start w:w="0" w:type="dxa"/>
              <w:end w:w="0" w:type="dxa"/>
            </w:tcMar>
          </w:tcPr>
          <w:p>
            <w:pPr>
              <w:autoSpaceDN w:val="0"/>
              <w:autoSpaceDE w:val="0"/>
              <w:widowControl/>
              <w:spacing w:line="234" w:lineRule="exact" w:before="0" w:after="0"/>
              <w:ind w:left="106" w:right="210" w:firstLine="0"/>
              <w:jc w:val="both"/>
            </w:pPr>
            <w:r>
              <w:rPr>
                <w:rFonts w:ascii="宋体" w:hAnsi="宋体" w:eastAsia="宋体"/>
                <w:b w:val="0"/>
                <w:i w:val="0"/>
                <w:color w:val="000000"/>
                <w:sz w:val="18"/>
              </w:rPr>
              <w:t>用于偿还公司即</w:t>
            </w:r>
            <w:r>
              <w:rPr>
                <w:rFonts w:ascii="宋体" w:hAnsi="宋体" w:eastAsia="宋体"/>
                <w:b w:val="0"/>
                <w:i w:val="0"/>
                <w:color w:val="000000"/>
                <w:sz w:val="18"/>
              </w:rPr>
              <w:t>将到期兑付的公</w:t>
            </w:r>
            <w:r>
              <w:rPr>
                <w:rFonts w:ascii="宋体" w:hAnsi="宋体" w:eastAsia="宋体"/>
                <w:b w:val="0"/>
                <w:i w:val="0"/>
                <w:color w:val="000000"/>
                <w:sz w:val="18"/>
              </w:rPr>
              <w:t xml:space="preserve">司债券。 </w:t>
            </w:r>
          </w:p>
        </w:tc>
        <w:tc>
          <w:tcPr>
            <w:tcW w:type="dxa" w:w="1136"/>
            <w:tcBorders>
              <w:start w:sz="1.599999999999909" w:val="single" w:color="#000000"/>
              <w:top w:sz="1.599999999999909" w:val="single" w:color="#000000"/>
              <w:end w:sz="1.599999999999909" w:val="single" w:color="#000000"/>
              <w:bottom w:sz="2.400000000000091" w:val="single" w:color="#000000"/>
            </w:tcBorders>
            <w:tcMar>
              <w:start w:w="0" w:type="dxa"/>
              <w:end w:w="0" w:type="dxa"/>
            </w:tcMar>
          </w:tcPr>
          <w:p>
            <w:pPr>
              <w:autoSpaceDN w:val="0"/>
              <w:autoSpaceDE w:val="0"/>
              <w:widowControl/>
              <w:spacing w:line="180" w:lineRule="exact" w:before="280" w:after="0"/>
              <w:ind w:left="124" w:right="0" w:firstLine="0"/>
              <w:jc w:val="left"/>
            </w:pPr>
            <w:r>
              <w:rPr>
                <w:rFonts w:ascii="宋体" w:hAnsi="宋体" w:eastAsia="宋体"/>
                <w:b w:val="0"/>
                <w:i w:val="0"/>
                <w:color w:val="000000"/>
                <w:sz w:val="18"/>
              </w:rPr>
              <w:t xml:space="preserve">179,640.00 </w:t>
            </w:r>
          </w:p>
        </w:tc>
        <w:tc>
          <w:tcPr>
            <w:tcW w:type="dxa" w:w="992"/>
            <w:tcBorders>
              <w:start w:sz="1.599999999999909" w:val="single" w:color="#000000"/>
              <w:top w:sz="1.599999999999909" w:val="single" w:color="#000000"/>
              <w:end w:sz="2.400000000000091" w:val="single" w:color="#000000"/>
              <w:bottom w:sz="2.400000000000091" w:val="single" w:color="#000000"/>
            </w:tcBorders>
            <w:tcMar>
              <w:start w:w="0" w:type="dxa"/>
              <w:end w:w="0" w:type="dxa"/>
            </w:tcMar>
          </w:tcPr>
          <w:p>
            <w:pPr>
              <w:autoSpaceDN w:val="0"/>
              <w:autoSpaceDE w:val="0"/>
              <w:widowControl/>
              <w:spacing w:line="240" w:lineRule="exact" w:before="100" w:after="0"/>
              <w:ind w:left="106" w:right="0" w:firstLine="0"/>
              <w:jc w:val="left"/>
            </w:pPr>
            <w:r>
              <w:rPr>
                <w:rFonts w:ascii="宋体" w:hAnsi="宋体" w:eastAsia="宋体"/>
                <w:b w:val="0"/>
                <w:i w:val="0"/>
                <w:color w:val="000000"/>
                <w:sz w:val="18"/>
              </w:rPr>
              <w:t>用于偿还</w:t>
            </w:r>
            <w:r>
              <w:br/>
            </w:r>
            <w:r>
              <w:rPr>
                <w:rFonts w:ascii="宋体" w:hAnsi="宋体" w:eastAsia="宋体"/>
                <w:b w:val="0"/>
                <w:i w:val="0"/>
                <w:color w:val="000000"/>
                <w:sz w:val="18"/>
              </w:rPr>
              <w:t xml:space="preserve">公司债券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1.599999999999909" w:val="single" w:color="#000000"/>
              <w:end w:sz="2.399999999999636" w:val="single" w:color="#000000"/>
              <w:bottom w:sz="2.400000000000091" w:val="single" w:color="#000000"/>
            </w:tcBorders>
            <w:tcMar>
              <w:start w:w="0" w:type="dxa"/>
              <w:end w:w="0" w:type="dxa"/>
            </w:tcMar>
          </w:tcPr>
          <w:p>
            <w:pPr>
              <w:autoSpaceDN w:val="0"/>
              <w:autoSpaceDE w:val="0"/>
              <w:widowControl/>
              <w:spacing w:line="180" w:lineRule="exact" w:before="280"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1.599999999999909" w:val="single" w:color="#000000"/>
              <w:end w:sz="1.5999999999994543" w:val="single" w:color="#000000"/>
              <w:bottom w:sz="2.400000000000091" w:val="single" w:color="#000000"/>
            </w:tcBorders>
            <w:tcMar>
              <w:start w:w="0" w:type="dxa"/>
              <w:end w:w="0" w:type="dxa"/>
            </w:tcMar>
          </w:tcPr>
          <w:p>
            <w:pPr>
              <w:autoSpaceDN w:val="0"/>
              <w:autoSpaceDE w:val="0"/>
              <w:widowControl/>
              <w:spacing w:line="180" w:lineRule="exact" w:before="280"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1.599999999999909" w:val="single" w:color="#000000"/>
              <w:end w:sz="1.6000000000003638" w:val="single" w:color="#000000"/>
              <w:bottom w:sz="2.400000000000091" w:val="single" w:color="#000000"/>
            </w:tcBorders>
            <w:tcMar>
              <w:start w:w="0" w:type="dxa"/>
              <w:end w:w="0" w:type="dxa"/>
            </w:tcMar>
          </w:tcPr>
          <w:p>
            <w:pPr>
              <w:autoSpaceDN w:val="0"/>
              <w:autoSpaceDE w:val="0"/>
              <w:widowControl/>
              <w:spacing w:line="180" w:lineRule="exact" w:before="280" w:after="0"/>
              <w:ind w:left="0" w:right="250" w:firstLine="0"/>
              <w:jc w:val="right"/>
            </w:pPr>
            <w:r>
              <w:rPr>
                <w:rFonts w:ascii="宋体" w:hAnsi="宋体" w:eastAsia="宋体"/>
                <w:b w:val="0"/>
                <w:i w:val="0"/>
                <w:color w:val="000000"/>
                <w:sz w:val="18"/>
              </w:rPr>
              <w:t xml:space="preserve">是 </w:t>
            </w:r>
          </w:p>
        </w:tc>
      </w:tr>
      <w:tr>
        <w:trPr>
          <w:trHeight w:hRule="exact" w:val="724"/>
        </w:trPr>
        <w:tc>
          <w:tcPr>
            <w:tcW w:type="dxa" w:w="852"/>
            <w:tcBorders>
              <w:start w:sz="1.5999999999999943" w:val="single" w:color="#000000"/>
              <w:top w:sz="2.400000000000091" w:val="single" w:color="#000000"/>
              <w:end w:sz="1.599999999999966" w:val="single" w:color="#000000"/>
              <w:bottom w:sz="1.599999999999909" w:val="single" w:color="#000000"/>
            </w:tcBorders>
            <w:tcMar>
              <w:start w:w="0" w:type="dxa"/>
              <w:end w:w="0" w:type="dxa"/>
            </w:tcMar>
          </w:tcPr>
          <w:p>
            <w:pPr>
              <w:autoSpaceDN w:val="0"/>
              <w:autoSpaceDE w:val="0"/>
              <w:widowControl/>
              <w:spacing w:line="180" w:lineRule="exact" w:before="276" w:after="0"/>
              <w:ind w:left="0" w:right="0" w:firstLine="0"/>
              <w:jc w:val="center"/>
            </w:pPr>
            <w:r>
              <w:rPr>
                <w:rFonts w:ascii="宋体" w:hAnsi="宋体" w:eastAsia="宋体"/>
                <w:b w:val="0"/>
                <w:i w:val="0"/>
                <w:color w:val="000000"/>
                <w:sz w:val="18"/>
              </w:rPr>
              <w:t xml:space="preserve">524053 </w:t>
            </w:r>
          </w:p>
        </w:tc>
        <w:tc>
          <w:tcPr>
            <w:tcW w:type="dxa" w:w="1132"/>
            <w:tcBorders>
              <w:start w:sz="1.599999999999966" w:val="single" w:color="#000000"/>
              <w:top w:sz="2.400000000000091" w:val="single" w:color="#000000"/>
              <w:end w:sz="2.3999999999999773" w:val="single" w:color="#000000"/>
              <w:bottom w:sz="1.599999999999909" w:val="single" w:color="#000000"/>
            </w:tcBorders>
            <w:tcMar>
              <w:start w:w="0" w:type="dxa"/>
              <w:end w:w="0" w:type="dxa"/>
            </w:tcMar>
          </w:tcPr>
          <w:p>
            <w:pPr>
              <w:autoSpaceDN w:val="0"/>
              <w:autoSpaceDE w:val="0"/>
              <w:widowControl/>
              <w:spacing w:line="180" w:lineRule="exact" w:before="276" w:after="0"/>
              <w:ind w:left="0" w:right="0" w:firstLine="0"/>
              <w:jc w:val="center"/>
            </w:pPr>
            <w:r>
              <w:rPr>
                <w:rFonts w:ascii="宋体" w:hAnsi="宋体" w:eastAsia="宋体"/>
                <w:b w:val="0"/>
                <w:i w:val="0"/>
                <w:color w:val="000000"/>
                <w:sz w:val="18"/>
              </w:rPr>
              <w:t xml:space="preserve">24 山证05 </w:t>
            </w:r>
          </w:p>
        </w:tc>
        <w:tc>
          <w:tcPr>
            <w:tcW w:type="dxa" w:w="1136"/>
            <w:tcBorders>
              <w:start w:sz="2.3999999999999773"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6" w:after="0"/>
              <w:ind w:left="214" w:right="0" w:firstLine="0"/>
              <w:jc w:val="left"/>
            </w:pPr>
            <w:r>
              <w:rPr>
                <w:rFonts w:ascii="宋体" w:hAnsi="宋体" w:eastAsia="宋体"/>
                <w:b w:val="0"/>
                <w:i w:val="0"/>
                <w:color w:val="000000"/>
                <w:sz w:val="18"/>
              </w:rPr>
              <w:t xml:space="preserve">69,860.00 </w:t>
            </w:r>
          </w:p>
        </w:tc>
        <w:tc>
          <w:tcPr>
            <w:tcW w:type="dxa" w:w="1580"/>
            <w:tcBorders>
              <w:start w:sz="1.599999999999909" w:val="single" w:color="#000000"/>
              <w:top w:sz="0.7999999999997272" w:val="single" w:color="#000000"/>
              <w:end w:sz="1.599999999999909" w:val="single" w:color="#000000"/>
              <w:bottom w:sz="1.599999999999909" w:val="single" w:color="#000000"/>
            </w:tcBorders>
            <w:tcMar>
              <w:start w:w="0" w:type="dxa"/>
              <w:end w:w="0" w:type="dxa"/>
            </w:tcMar>
          </w:tcPr>
          <w:p>
            <w:pPr>
              <w:autoSpaceDN w:val="0"/>
              <w:autoSpaceDE w:val="0"/>
              <w:widowControl/>
              <w:spacing w:line="232" w:lineRule="exact" w:before="0" w:after="0"/>
              <w:ind w:left="106" w:right="210" w:firstLine="0"/>
              <w:jc w:val="both"/>
            </w:pPr>
            <w:r>
              <w:rPr>
                <w:rFonts w:ascii="宋体" w:hAnsi="宋体" w:eastAsia="宋体"/>
                <w:b w:val="0"/>
                <w:i w:val="0"/>
                <w:color w:val="000000"/>
                <w:sz w:val="18"/>
              </w:rPr>
              <w:t>用于偿还公司即</w:t>
            </w:r>
            <w:r>
              <w:rPr>
                <w:rFonts w:ascii="宋体" w:hAnsi="宋体" w:eastAsia="宋体"/>
                <w:b w:val="0"/>
                <w:i w:val="0"/>
                <w:color w:val="000000"/>
                <w:sz w:val="18"/>
              </w:rPr>
              <w:t>将到期兑付的公</w:t>
            </w:r>
            <w:r>
              <w:rPr>
                <w:rFonts w:ascii="宋体" w:hAnsi="宋体" w:eastAsia="宋体"/>
                <w:b w:val="0"/>
                <w:i w:val="0"/>
                <w:color w:val="000000"/>
                <w:sz w:val="18"/>
              </w:rPr>
              <w:t xml:space="preserve">司债券。 </w:t>
            </w:r>
          </w:p>
        </w:tc>
        <w:tc>
          <w:tcPr>
            <w:tcW w:type="dxa" w:w="1136"/>
            <w:tcBorders>
              <w:start w:sz="1.599999999999909" w:val="single" w:color="#000000"/>
              <w:top w:sz="2.400000000000091" w:val="single" w:color="#000000"/>
              <w:end w:sz="1.599999999999909" w:val="single" w:color="#000000"/>
              <w:bottom w:sz="1.599999999999909" w:val="single" w:color="#000000"/>
            </w:tcBorders>
            <w:tcMar>
              <w:start w:w="0" w:type="dxa"/>
              <w:end w:w="0" w:type="dxa"/>
            </w:tcMar>
          </w:tcPr>
          <w:p>
            <w:pPr>
              <w:autoSpaceDN w:val="0"/>
              <w:autoSpaceDE w:val="0"/>
              <w:widowControl/>
              <w:spacing w:line="180" w:lineRule="exact" w:before="276" w:after="0"/>
              <w:ind w:left="214" w:right="0" w:firstLine="0"/>
              <w:jc w:val="left"/>
            </w:pPr>
            <w:r>
              <w:rPr>
                <w:rFonts w:ascii="宋体" w:hAnsi="宋体" w:eastAsia="宋体"/>
                <w:b w:val="0"/>
                <w:i w:val="0"/>
                <w:color w:val="000000"/>
                <w:sz w:val="18"/>
              </w:rPr>
              <w:t xml:space="preserve">69,860.00 </w:t>
            </w:r>
          </w:p>
        </w:tc>
        <w:tc>
          <w:tcPr>
            <w:tcW w:type="dxa" w:w="992"/>
            <w:tcBorders>
              <w:start w:sz="1.599999999999909" w:val="single" w:color="#000000"/>
              <w:top w:sz="2.400000000000091" w:val="single" w:color="#000000"/>
              <w:end w:sz="2.400000000000091" w:val="single" w:color="#000000"/>
              <w:bottom w:sz="1.599999999999909" w:val="single" w:color="#000000"/>
            </w:tcBorders>
            <w:tcMar>
              <w:start w:w="0" w:type="dxa"/>
              <w:end w:w="0" w:type="dxa"/>
            </w:tcMar>
          </w:tcPr>
          <w:p>
            <w:pPr>
              <w:autoSpaceDN w:val="0"/>
              <w:autoSpaceDE w:val="0"/>
              <w:widowControl/>
              <w:spacing w:line="240" w:lineRule="exact" w:before="96" w:after="0"/>
              <w:ind w:left="106" w:right="0" w:firstLine="0"/>
              <w:jc w:val="left"/>
            </w:pPr>
            <w:r>
              <w:rPr>
                <w:rFonts w:ascii="宋体" w:hAnsi="宋体" w:eastAsia="宋体"/>
                <w:b w:val="0"/>
                <w:i w:val="0"/>
                <w:color w:val="000000"/>
                <w:sz w:val="18"/>
              </w:rPr>
              <w:t>用于偿还</w:t>
            </w:r>
            <w:r>
              <w:br/>
            </w:r>
            <w:r>
              <w:rPr>
                <w:rFonts w:ascii="宋体" w:hAnsi="宋体" w:eastAsia="宋体"/>
                <w:b w:val="0"/>
                <w:i w:val="0"/>
                <w:color w:val="000000"/>
                <w:sz w:val="18"/>
              </w:rPr>
              <w:t xml:space="preserve">公司债券 </w:t>
            </w:r>
          </w:p>
        </w:tc>
        <w:tc>
          <w:tcPr>
            <w:tcW w:type="dxa" w:w="1037"/>
            <w:vMerge/>
            <w:tcBorders>
              <w:start w:sz="2.400000000000091" w:val="single" w:color="#000000"/>
              <w:top w:sz="5.600000000000023" w:val="single" w:color="#000000"/>
              <w:end w:sz="2.400000000000091" w:val="single" w:color="#000000"/>
              <w:bottom w:sz="1.599999999999909" w:val="single" w:color="#000000"/>
            </w:tcBorders>
          </w:tcPr>
          <w:p/>
        </w:tc>
        <w:tc>
          <w:tcPr>
            <w:tcW w:type="dxa" w:w="706"/>
            <w:tcBorders>
              <w:start w:sz="2.400000000000091" w:val="single" w:color="#000000"/>
              <w:top w:sz="2.400000000000091" w:val="single" w:color="#000000"/>
              <w:end w:sz="2.399999999999636" w:val="single" w:color="#000000"/>
              <w:bottom w:sz="1.599999999999909" w:val="single" w:color="#000000"/>
            </w:tcBorders>
            <w:tcMar>
              <w:start w:w="0" w:type="dxa"/>
              <w:end w:w="0" w:type="dxa"/>
            </w:tcMar>
          </w:tcPr>
          <w:p>
            <w:pPr>
              <w:autoSpaceDN w:val="0"/>
              <w:autoSpaceDE w:val="0"/>
              <w:widowControl/>
              <w:spacing w:line="180" w:lineRule="exact" w:before="276" w:after="0"/>
              <w:ind w:left="0" w:right="12" w:firstLine="0"/>
              <w:jc w:val="right"/>
            </w:pPr>
            <w:r>
              <w:rPr>
                <w:rFonts w:ascii="宋体" w:hAnsi="宋体" w:eastAsia="宋体"/>
                <w:b w:val="0"/>
                <w:i w:val="0"/>
                <w:color w:val="000000"/>
                <w:sz w:val="18"/>
              </w:rPr>
              <w:t xml:space="preserve">0.00 </w:t>
            </w:r>
          </w:p>
        </w:tc>
        <w:tc>
          <w:tcPr>
            <w:tcW w:type="dxa" w:w="1037"/>
            <w:vMerge/>
            <w:tcBorders>
              <w:start w:sz="2.399999999999636" w:val="single" w:color="#000000"/>
              <w:top w:sz="5.600000000000023" w:val="single" w:color="#000000"/>
              <w:end w:sz="1.599999999999909" w:val="single" w:color="#000000"/>
              <w:bottom w:sz="1.599999999999909" w:val="single" w:color="#000000"/>
            </w:tcBorders>
          </w:tcPr>
          <w:p/>
        </w:tc>
        <w:tc>
          <w:tcPr>
            <w:tcW w:type="dxa" w:w="850"/>
            <w:tcBorders>
              <w:start w:sz="1.599999999999909" w:val="single" w:color="#000000"/>
              <w:top w:sz="2.400000000000091" w:val="single" w:color="#000000"/>
              <w:end w:sz="1.5999999999994543" w:val="single" w:color="#000000"/>
              <w:bottom w:sz="1.599999999999909" w:val="single" w:color="#000000"/>
            </w:tcBorders>
            <w:tcMar>
              <w:start w:w="0" w:type="dxa"/>
              <w:end w:w="0" w:type="dxa"/>
            </w:tcMar>
          </w:tcPr>
          <w:p>
            <w:pPr>
              <w:autoSpaceDN w:val="0"/>
              <w:autoSpaceDE w:val="0"/>
              <w:widowControl/>
              <w:spacing w:line="180" w:lineRule="exact" w:before="276" w:after="0"/>
              <w:ind w:left="154" w:right="0" w:firstLine="0"/>
              <w:jc w:val="left"/>
            </w:pPr>
            <w:r>
              <w:rPr>
                <w:rFonts w:ascii="宋体" w:hAnsi="宋体" w:eastAsia="宋体"/>
                <w:b w:val="0"/>
                <w:i w:val="0"/>
                <w:color w:val="000000"/>
                <w:sz w:val="18"/>
              </w:rPr>
              <w:t xml:space="preserve">不适用 </w:t>
            </w:r>
          </w:p>
        </w:tc>
        <w:tc>
          <w:tcPr>
            <w:tcW w:type="dxa" w:w="868"/>
            <w:tcBorders>
              <w:start w:sz="1.5999999999994543" w:val="single" w:color="#000000"/>
              <w:top w:sz="2.400000000000091" w:val="single" w:color="#000000"/>
              <w:end w:sz="1.6000000000003638" w:val="single" w:color="#000000"/>
              <w:bottom w:sz="1.599999999999909" w:val="single" w:color="#000000"/>
            </w:tcBorders>
            <w:tcMar>
              <w:start w:w="0" w:type="dxa"/>
              <w:end w:w="0" w:type="dxa"/>
            </w:tcMar>
          </w:tcPr>
          <w:p>
            <w:pPr>
              <w:autoSpaceDN w:val="0"/>
              <w:autoSpaceDE w:val="0"/>
              <w:widowControl/>
              <w:spacing w:line="180" w:lineRule="exact" w:before="276" w:after="0"/>
              <w:ind w:left="0" w:right="250" w:firstLine="0"/>
              <w:jc w:val="right"/>
            </w:pPr>
            <w:r>
              <w:rPr>
                <w:rFonts w:ascii="宋体" w:hAnsi="宋体" w:eastAsia="宋体"/>
                <w:b w:val="0"/>
                <w:i w:val="0"/>
                <w:color w:val="000000"/>
                <w:sz w:val="18"/>
              </w:rPr>
              <w:t xml:space="preserve">是 </w:t>
            </w:r>
          </w:p>
        </w:tc>
      </w:tr>
    </w:tbl>
    <w:p>
      <w:pPr>
        <w:autoSpaceDN w:val="0"/>
        <w:autoSpaceDE w:val="0"/>
        <w:widowControl/>
        <w:spacing w:line="238" w:lineRule="exact" w:before="78" w:after="0"/>
        <w:ind w:left="874" w:right="1008" w:firstLine="0"/>
        <w:jc w:val="left"/>
      </w:pPr>
      <w:r>
        <w:rPr>
          <w:rFonts w:ascii="宋体" w:hAnsi="宋体" w:eastAsia="宋体"/>
          <w:b w:val="0"/>
          <w:i w:val="0"/>
          <w:color w:val="000000"/>
          <w:sz w:val="18"/>
        </w:rPr>
        <w:t>注：上述募集资金总金额为募集资金扣除发行费用后的净额。截至2024 年12 月31 日，上述债券募集资金账户余额均为</w:t>
      </w:r>
      <w:r>
        <w:rPr>
          <w:rFonts w:ascii="宋体" w:hAnsi="宋体" w:eastAsia="宋体"/>
          <w:b w:val="0"/>
          <w:i w:val="0"/>
          <w:color w:val="000000"/>
          <w:sz w:val="18"/>
        </w:rPr>
        <w:t xml:space="preserve">募集资金专户结息，在募集资金专户内存放。 </w:t>
      </w:r>
    </w:p>
    <w:p>
      <w:pPr>
        <w:autoSpaceDN w:val="0"/>
        <w:autoSpaceDE w:val="0"/>
        <w:widowControl/>
        <w:spacing w:line="338" w:lineRule="exact" w:before="344" w:after="0"/>
        <w:ind w:left="874" w:right="8640" w:firstLine="0"/>
        <w:jc w:val="left"/>
      </w:pPr>
      <w:r>
        <w:rPr>
          <w:rFonts w:ascii="宋体" w:hAnsi="宋体" w:eastAsia="宋体"/>
          <w:b w:val="0"/>
          <w:i w:val="0"/>
          <w:color w:val="000000"/>
          <w:sz w:val="18"/>
        </w:rPr>
        <w:t xml:space="preserve">募集资金用于建设项目 </w:t>
      </w:r>
      <w:r>
        <w:br/>
      </w:r>
      <w:r>
        <w:rPr>
          <w:rFonts w:ascii="宋体" w:hAnsi="宋体" w:eastAsia="宋体"/>
          <w:b w:val="0"/>
          <w:i w:val="0"/>
          <w:color w:val="000000"/>
          <w:sz w:val="18"/>
        </w:rPr>
        <w:t xml:space="preserve">□适用 √不适用 </w:t>
      </w:r>
    </w:p>
    <w:p>
      <w:pPr>
        <w:autoSpaceDN w:val="0"/>
        <w:autoSpaceDE w:val="0"/>
        <w:widowControl/>
        <w:spacing w:line="180" w:lineRule="exact" w:before="160" w:after="0"/>
        <w:ind w:left="874" w:right="0" w:firstLine="0"/>
        <w:jc w:val="left"/>
      </w:pPr>
      <w:r>
        <w:rPr>
          <w:rFonts w:ascii="宋体" w:hAnsi="宋体" w:eastAsia="宋体"/>
          <w:b w:val="0"/>
          <w:i w:val="0"/>
          <w:color w:val="000000"/>
          <w:sz w:val="18"/>
        </w:rPr>
        <w:t xml:space="preserve">公司报告期内变更上述债券募集资金用途 </w:t>
      </w:r>
    </w:p>
    <w:p>
      <w:pPr>
        <w:autoSpaceDN w:val="0"/>
        <w:autoSpaceDE w:val="0"/>
        <w:widowControl/>
        <w:spacing w:line="180" w:lineRule="exact" w:before="162" w:after="0"/>
        <w:ind w:left="874" w:right="0" w:firstLine="0"/>
        <w:jc w:val="left"/>
      </w:pPr>
      <w:r>
        <w:rPr>
          <w:rFonts w:ascii="宋体" w:hAnsi="宋体" w:eastAsia="宋体"/>
          <w:b w:val="0"/>
          <w:i w:val="0"/>
          <w:color w:val="000000"/>
          <w:sz w:val="18"/>
        </w:rPr>
        <w:t xml:space="preserve">□适用 √不适用 </w:t>
      </w:r>
    </w:p>
    <w:p>
      <w:pPr>
        <w:autoSpaceDN w:val="0"/>
        <w:autoSpaceDE w:val="0"/>
        <w:widowControl/>
        <w:spacing w:line="212" w:lineRule="exact" w:before="366" w:after="0"/>
        <w:ind w:left="874" w:right="0" w:firstLine="0"/>
        <w:jc w:val="left"/>
      </w:pPr>
      <w:r>
        <w:rPr>
          <w:rFonts w:ascii="宋体" w:hAnsi="宋体" w:eastAsia="宋体"/>
          <w:b w:val="0"/>
          <w:i w:val="0"/>
          <w:color w:val="000000"/>
          <w:sz w:val="21"/>
        </w:rPr>
        <w:t xml:space="preserve">5、报告期内信用评级结果调整情况 </w:t>
      </w:r>
    </w:p>
    <w:p>
      <w:pPr>
        <w:autoSpaceDN w:val="0"/>
        <w:autoSpaceDE w:val="0"/>
        <w:widowControl/>
        <w:spacing w:line="180" w:lineRule="exact" w:before="360" w:after="0"/>
        <w:ind w:left="874" w:right="0" w:firstLine="0"/>
        <w:jc w:val="left"/>
      </w:pPr>
      <w:r>
        <w:rPr>
          <w:rFonts w:ascii="宋体" w:hAnsi="宋体" w:eastAsia="宋体"/>
          <w:b w:val="0"/>
          <w:i w:val="0"/>
          <w:color w:val="000000"/>
          <w:sz w:val="18"/>
        </w:rPr>
        <w:t xml:space="preserve">□适用 √不适用 </w:t>
      </w:r>
    </w:p>
    <w:p>
      <w:pPr>
        <w:autoSpaceDN w:val="0"/>
        <w:autoSpaceDE w:val="0"/>
        <w:widowControl/>
        <w:spacing w:line="278" w:lineRule="exact" w:before="302" w:after="0"/>
        <w:ind w:left="874" w:right="1008" w:firstLine="0"/>
        <w:jc w:val="left"/>
      </w:pPr>
      <w:r>
        <w:rPr>
          <w:rFonts w:ascii="宋体" w:hAnsi="宋体" w:eastAsia="宋体"/>
          <w:b w:val="0"/>
          <w:i w:val="0"/>
          <w:color w:val="000000"/>
          <w:sz w:val="21"/>
        </w:rPr>
        <w:t>6、担保情况、偿债计划及其他偿债保障措施在报告期内的执行情况和变化情况及对债券投资者权益的</w:t>
      </w:r>
      <w:r>
        <w:rPr>
          <w:rFonts w:ascii="宋体" w:hAnsi="宋体" w:eastAsia="宋体"/>
          <w:b w:val="0"/>
          <w:i w:val="0"/>
          <w:color w:val="000000"/>
          <w:sz w:val="21"/>
        </w:rPr>
        <w:t xml:space="preserve">影响 </w:t>
      </w:r>
    </w:p>
    <w:p>
      <w:pPr>
        <w:autoSpaceDN w:val="0"/>
        <w:autoSpaceDE w:val="0"/>
        <w:widowControl/>
        <w:spacing w:line="234" w:lineRule="exact" w:before="508" w:after="0"/>
        <w:ind w:left="1294" w:right="0" w:firstLine="0"/>
        <w:jc w:val="left"/>
      </w:pPr>
      <w:r>
        <w:rPr>
          <w:rFonts w:ascii="宋体" w:hAnsi="宋体" w:eastAsia="宋体"/>
          <w:b w:val="0"/>
          <w:i w:val="0"/>
          <w:color w:val="000000"/>
          <w:sz w:val="21"/>
        </w:rPr>
        <w:t>公司发行的</w:t>
      </w:r>
      <w:r>
        <w:rPr>
          <w:rFonts w:ascii="Times New Roman" w:hAnsi="Times New Roman" w:eastAsia="Times New Roman"/>
          <w:b w:val="0"/>
          <w:i w:val="0"/>
          <w:color w:val="000000"/>
          <w:sz w:val="21"/>
        </w:rPr>
        <w:t xml:space="preserve"> “22</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01”</w:t>
      </w:r>
      <w:r>
        <w:rPr>
          <w:rFonts w:ascii="宋体" w:hAnsi="宋体" w:eastAsia="宋体"/>
          <w:b w:val="0"/>
          <w:i w:val="0"/>
          <w:color w:val="000000"/>
          <w:sz w:val="21"/>
        </w:rPr>
        <w:t>、</w:t>
      </w:r>
      <w:r>
        <w:rPr>
          <w:rFonts w:ascii="Times New Roman" w:hAnsi="Times New Roman" w:eastAsia="Times New Roman"/>
          <w:b w:val="0"/>
          <w:i w:val="0"/>
          <w:color w:val="000000"/>
          <w:sz w:val="21"/>
        </w:rPr>
        <w:t>“22</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03”</w:t>
      </w:r>
      <w:r>
        <w:rPr>
          <w:rFonts w:ascii="宋体" w:hAnsi="宋体" w:eastAsia="宋体"/>
          <w:b w:val="0"/>
          <w:i w:val="0"/>
          <w:color w:val="000000"/>
          <w:sz w:val="21"/>
        </w:rPr>
        <w:t>、</w:t>
      </w:r>
      <w:r>
        <w:rPr>
          <w:rFonts w:ascii="Times New Roman" w:hAnsi="Times New Roman" w:eastAsia="Times New Roman"/>
          <w:b w:val="0"/>
          <w:i w:val="0"/>
          <w:color w:val="000000"/>
          <w:sz w:val="21"/>
        </w:rPr>
        <w:t>“22</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05”</w:t>
      </w:r>
      <w:r>
        <w:rPr>
          <w:rFonts w:ascii="宋体" w:hAnsi="宋体" w:eastAsia="宋体"/>
          <w:b w:val="0"/>
          <w:i w:val="0"/>
          <w:color w:val="000000"/>
          <w:sz w:val="21"/>
        </w:rPr>
        <w:t>、</w:t>
      </w:r>
      <w:r>
        <w:rPr>
          <w:rFonts w:ascii="Times New Roman" w:hAnsi="Times New Roman" w:eastAsia="Times New Roman"/>
          <w:b w:val="0"/>
          <w:i w:val="0"/>
          <w:color w:val="000000"/>
          <w:sz w:val="21"/>
        </w:rPr>
        <w:t>“23</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C1”</w:t>
      </w:r>
      <w:r>
        <w:rPr>
          <w:rFonts w:ascii="宋体" w:hAnsi="宋体" w:eastAsia="宋体"/>
          <w:b w:val="0"/>
          <w:i w:val="0"/>
          <w:color w:val="000000"/>
          <w:sz w:val="21"/>
        </w:rPr>
        <w:t>、</w:t>
      </w:r>
      <w:r>
        <w:rPr>
          <w:rFonts w:ascii="Times New Roman" w:hAnsi="Times New Roman" w:eastAsia="Times New Roman"/>
          <w:b w:val="0"/>
          <w:i w:val="0"/>
          <w:color w:val="000000"/>
          <w:sz w:val="21"/>
        </w:rPr>
        <w:t>“23</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C3”</w:t>
      </w:r>
      <w:r>
        <w:rPr>
          <w:rFonts w:ascii="宋体" w:hAnsi="宋体" w:eastAsia="宋体"/>
          <w:b w:val="0"/>
          <w:i w:val="0"/>
          <w:color w:val="000000"/>
          <w:sz w:val="21"/>
        </w:rPr>
        <w:t>、</w:t>
      </w:r>
      <w:r>
        <w:rPr>
          <w:rFonts w:ascii="Times New Roman" w:hAnsi="Times New Roman" w:eastAsia="Times New Roman"/>
          <w:b w:val="0"/>
          <w:i w:val="0"/>
          <w:color w:val="000000"/>
          <w:sz w:val="21"/>
        </w:rPr>
        <w:t>“23</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C4”</w:t>
      </w:r>
      <w:r>
        <w:rPr>
          <w:rFonts w:ascii="宋体" w:hAnsi="宋体" w:eastAsia="宋体"/>
          <w:b w:val="0"/>
          <w:i w:val="0"/>
          <w:color w:val="000000"/>
          <w:sz w:val="21"/>
        </w:rPr>
        <w:t>、</w:t>
      </w:r>
    </w:p>
    <w:p>
      <w:pPr>
        <w:autoSpaceDN w:val="0"/>
        <w:autoSpaceDE w:val="0"/>
        <w:widowControl/>
        <w:spacing w:line="234" w:lineRule="exact" w:before="224" w:after="0"/>
        <w:ind w:left="874" w:right="0" w:firstLine="0"/>
        <w:jc w:val="left"/>
      </w:pPr>
      <w:r>
        <w:rPr>
          <w:rFonts w:ascii="Times New Roman" w:hAnsi="Times New Roman" w:eastAsia="Times New Roman"/>
          <w:b w:val="0"/>
          <w:i w:val="0"/>
          <w:color w:val="000000"/>
          <w:sz w:val="21"/>
        </w:rPr>
        <w:t>“24</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01”</w:t>
      </w:r>
      <w:r>
        <w:rPr>
          <w:rFonts w:ascii="宋体" w:hAnsi="宋体" w:eastAsia="宋体"/>
          <w:b w:val="0"/>
          <w:i w:val="0"/>
          <w:color w:val="000000"/>
          <w:sz w:val="21"/>
        </w:rPr>
        <w:t>、</w:t>
      </w:r>
      <w:r>
        <w:rPr>
          <w:rFonts w:ascii="Times New Roman" w:hAnsi="Times New Roman" w:eastAsia="Times New Roman"/>
          <w:b w:val="0"/>
          <w:i w:val="0"/>
          <w:color w:val="000000"/>
          <w:sz w:val="21"/>
        </w:rPr>
        <w:t>“24</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02”</w:t>
      </w:r>
      <w:r>
        <w:rPr>
          <w:rFonts w:ascii="宋体" w:hAnsi="宋体" w:eastAsia="宋体"/>
          <w:b w:val="0"/>
          <w:i w:val="0"/>
          <w:color w:val="000000"/>
          <w:sz w:val="21"/>
        </w:rPr>
        <w:t>、</w:t>
      </w:r>
      <w:r>
        <w:rPr>
          <w:rFonts w:ascii="Times New Roman" w:hAnsi="Times New Roman" w:eastAsia="Times New Roman"/>
          <w:b w:val="0"/>
          <w:i w:val="0"/>
          <w:color w:val="000000"/>
          <w:sz w:val="21"/>
        </w:rPr>
        <w:t>“24</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04”</w:t>
      </w:r>
      <w:r>
        <w:rPr>
          <w:rFonts w:ascii="宋体" w:hAnsi="宋体" w:eastAsia="宋体"/>
          <w:b w:val="0"/>
          <w:i w:val="0"/>
          <w:color w:val="000000"/>
          <w:sz w:val="21"/>
        </w:rPr>
        <w:t>和</w:t>
      </w:r>
      <w:r>
        <w:rPr>
          <w:rFonts w:ascii="Times New Roman" w:hAnsi="Times New Roman" w:eastAsia="Times New Roman"/>
          <w:b w:val="0"/>
          <w:i w:val="0"/>
          <w:color w:val="000000"/>
          <w:sz w:val="21"/>
        </w:rPr>
        <w:t>“24</w:t>
      </w:r>
      <w:r>
        <w:rPr>
          <w:rFonts w:ascii="宋体" w:hAnsi="宋体" w:eastAsia="宋体"/>
          <w:b w:val="0"/>
          <w:i w:val="0"/>
          <w:color w:val="000000"/>
          <w:sz w:val="21"/>
        </w:rPr>
        <w:t xml:space="preserve"> 山证</w:t>
      </w:r>
      <w:r>
        <w:rPr>
          <w:rFonts w:ascii="Times New Roman" w:hAnsi="Times New Roman" w:eastAsia="Times New Roman"/>
          <w:b w:val="0"/>
          <w:i w:val="0"/>
          <w:color w:val="000000"/>
          <w:sz w:val="21"/>
        </w:rPr>
        <w:t>05”</w:t>
      </w:r>
      <w:r>
        <w:rPr>
          <w:rFonts w:ascii="宋体" w:hAnsi="宋体" w:eastAsia="宋体"/>
          <w:b w:val="0"/>
          <w:i w:val="0"/>
          <w:color w:val="000000"/>
          <w:sz w:val="21"/>
        </w:rPr>
        <w:t>均采用无担保的发行方式，偿债计划均为在债券</w:t>
      </w:r>
    </w:p>
    <w:p>
      <w:pPr>
        <w:autoSpaceDN w:val="0"/>
        <w:autoSpaceDE w:val="0"/>
        <w:widowControl/>
        <w:spacing w:line="197" w:lineRule="auto" w:before="732" w:after="0"/>
        <w:ind w:left="0" w:right="0" w:firstLine="0"/>
        <w:jc w:val="center"/>
      </w:pPr>
      <w:r>
        <w:rPr>
          <w:rFonts w:ascii="Calibri" w:hAnsi="Calibri" w:eastAsia="Calibri"/>
          <w:b w:val="0"/>
          <w:i w:val="0"/>
          <w:color w:val="000000"/>
          <w:sz w:val="18"/>
        </w:rPr>
        <w:t xml:space="preserve">137 </w:t>
      </w:r>
    </w:p>
    <w:p>
      <w:pPr>
        <w:sectPr>
          <w:type w:val="continuous"/>
          <w:pgSz w:w="11904" w:h="16841"/>
          <w:pgMar w:top="424" w:right="240" w:bottom="446" w:left="260"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41" name="Picture 141"/>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10" w:lineRule="exact" w:before="200" w:after="0"/>
        <w:ind w:left="30" w:right="0" w:firstLine="0"/>
        <w:jc w:val="left"/>
      </w:pPr>
      <w:r>
        <w:rPr>
          <w:rFonts w:ascii="宋体" w:hAnsi="宋体" w:eastAsia="宋体"/>
          <w:b w:val="0"/>
          <w:i w:val="0"/>
          <w:color w:val="000000"/>
          <w:sz w:val="21"/>
        </w:rPr>
        <w:t>存续期内每年付息一次，最后一期利息随本金的兑付一起支付。</w:t>
      </w:r>
    </w:p>
    <w:p>
      <w:pPr>
        <w:autoSpaceDN w:val="0"/>
        <w:autoSpaceDE w:val="0"/>
        <w:widowControl/>
        <w:spacing w:line="212" w:lineRule="exact" w:before="248" w:after="0"/>
        <w:ind w:left="450" w:right="0" w:firstLine="0"/>
        <w:jc w:val="left"/>
      </w:pPr>
      <w:r>
        <w:rPr>
          <w:rFonts w:ascii="宋体" w:hAnsi="宋体" w:eastAsia="宋体"/>
          <w:b w:val="0"/>
          <w:i w:val="0"/>
          <w:color w:val="000000"/>
          <w:sz w:val="21"/>
        </w:rPr>
        <w:t>公司偿债保障措施包括：成立专项工作小组，切实做到专款专用，制定债券持有人会议规则，充分</w:t>
      </w:r>
    </w:p>
    <w:p>
      <w:pPr>
        <w:autoSpaceDN w:val="0"/>
        <w:autoSpaceDE w:val="0"/>
        <w:widowControl/>
        <w:spacing w:line="212" w:lineRule="exact" w:before="248" w:after="0"/>
        <w:ind w:left="30" w:right="0" w:firstLine="0"/>
        <w:jc w:val="left"/>
      </w:pPr>
      <w:r>
        <w:rPr>
          <w:rFonts w:ascii="宋体" w:hAnsi="宋体" w:eastAsia="宋体"/>
          <w:b w:val="0"/>
          <w:i w:val="0"/>
          <w:color w:val="000000"/>
          <w:sz w:val="21"/>
        </w:rPr>
        <w:t>发挥债券受托管理人的作用，严格的信息披露。此外，股东大会授权董事会在债券存续期间，在公司出</w:t>
      </w:r>
    </w:p>
    <w:p>
      <w:pPr>
        <w:autoSpaceDN w:val="0"/>
        <w:autoSpaceDE w:val="0"/>
        <w:widowControl/>
        <w:spacing w:line="210" w:lineRule="exact" w:before="250" w:after="0"/>
        <w:ind w:left="30" w:right="0" w:firstLine="0"/>
        <w:jc w:val="left"/>
      </w:pPr>
      <w:r>
        <w:rPr>
          <w:rFonts w:ascii="宋体" w:hAnsi="宋体" w:eastAsia="宋体"/>
          <w:b w:val="0"/>
          <w:i w:val="0"/>
          <w:color w:val="000000"/>
          <w:sz w:val="21"/>
        </w:rPr>
        <w:t>现预计不能按期偿付债券本息或者到期未能按期偿付债券本息的情况时，将至少采取如下措施：在债券</w:t>
      </w:r>
    </w:p>
    <w:p>
      <w:pPr>
        <w:autoSpaceDN w:val="0"/>
        <w:autoSpaceDE w:val="0"/>
        <w:widowControl/>
        <w:spacing w:line="212" w:lineRule="exact" w:before="248" w:after="0"/>
        <w:ind w:left="30" w:right="0" w:firstLine="0"/>
        <w:jc w:val="left"/>
      </w:pPr>
      <w:r>
        <w:rPr>
          <w:rFonts w:ascii="宋体" w:hAnsi="宋体" w:eastAsia="宋体"/>
          <w:b w:val="0"/>
          <w:i w:val="0"/>
          <w:color w:val="000000"/>
          <w:sz w:val="21"/>
        </w:rPr>
        <w:t>存续期间提高任意盈余公积金的比例和一般风险准备金的比例，以降低偿付风险；不向公司股东分配利</w:t>
      </w:r>
    </w:p>
    <w:p>
      <w:pPr>
        <w:autoSpaceDN w:val="0"/>
        <w:autoSpaceDE w:val="0"/>
        <w:widowControl/>
        <w:spacing w:line="212" w:lineRule="exact" w:before="248" w:after="0"/>
        <w:ind w:left="30" w:right="0" w:firstLine="0"/>
        <w:jc w:val="left"/>
      </w:pPr>
      <w:r>
        <w:rPr>
          <w:rFonts w:ascii="宋体" w:hAnsi="宋体" w:eastAsia="宋体"/>
          <w:b w:val="0"/>
          <w:i w:val="0"/>
          <w:color w:val="000000"/>
          <w:sz w:val="21"/>
        </w:rPr>
        <w:t>润；暂缓公司重大对外投资、收购兼并等资本性支出项目的实施；调减或停发公司董事和高级管理人员</w:t>
      </w:r>
    </w:p>
    <w:p>
      <w:pPr>
        <w:autoSpaceDN w:val="0"/>
        <w:autoSpaceDE w:val="0"/>
        <w:widowControl/>
        <w:spacing w:line="212" w:lineRule="exact" w:before="250" w:after="0"/>
        <w:ind w:left="30" w:right="0" w:firstLine="0"/>
        <w:jc w:val="left"/>
      </w:pPr>
      <w:r>
        <w:rPr>
          <w:rFonts w:ascii="宋体" w:hAnsi="宋体" w:eastAsia="宋体"/>
          <w:b w:val="0"/>
          <w:i w:val="0"/>
          <w:color w:val="000000"/>
          <w:sz w:val="21"/>
        </w:rPr>
        <w:t xml:space="preserve">的工资和奖金；与公司债券相关的公司主要责任人不得调离。 </w:t>
      </w:r>
    </w:p>
    <w:p>
      <w:pPr>
        <w:autoSpaceDN w:val="0"/>
        <w:autoSpaceDE w:val="0"/>
        <w:widowControl/>
        <w:spacing w:line="212" w:lineRule="exact" w:before="246" w:after="0"/>
        <w:ind w:left="450" w:right="0" w:firstLine="0"/>
        <w:jc w:val="left"/>
      </w:pPr>
      <w:r>
        <w:rPr>
          <w:rFonts w:ascii="宋体" w:hAnsi="宋体" w:eastAsia="宋体"/>
          <w:b w:val="0"/>
          <w:i w:val="0"/>
          <w:color w:val="000000"/>
          <w:sz w:val="21"/>
        </w:rPr>
        <w:t>截至本报告披露日，上述公司债券增信机制、偿债计划及其他偿债保障措施未发生变更，公司严格</w:t>
      </w:r>
    </w:p>
    <w:p>
      <w:pPr>
        <w:autoSpaceDN w:val="0"/>
        <w:autoSpaceDE w:val="0"/>
        <w:widowControl/>
        <w:spacing w:line="210" w:lineRule="exact" w:before="250" w:after="0"/>
        <w:ind w:left="30" w:right="0" w:firstLine="0"/>
        <w:jc w:val="left"/>
      </w:pPr>
      <w:r>
        <w:rPr>
          <w:rFonts w:ascii="宋体" w:hAnsi="宋体" w:eastAsia="宋体"/>
          <w:b w:val="0"/>
          <w:i w:val="0"/>
          <w:color w:val="000000"/>
          <w:sz w:val="21"/>
        </w:rPr>
        <w:t>履行募集说明书中有关偿债计划的约定，按时兑付债券利息，及时披露相关信息，已保障投资者的合法</w:t>
      </w:r>
    </w:p>
    <w:p>
      <w:pPr>
        <w:autoSpaceDN w:val="0"/>
        <w:autoSpaceDE w:val="0"/>
        <w:widowControl/>
        <w:spacing w:line="212" w:lineRule="exact" w:before="250" w:after="0"/>
        <w:ind w:left="30" w:right="0" w:firstLine="0"/>
        <w:jc w:val="left"/>
      </w:pPr>
      <w:r>
        <w:rPr>
          <w:rFonts w:ascii="宋体" w:hAnsi="宋体" w:eastAsia="宋体"/>
          <w:b w:val="0"/>
          <w:i w:val="0"/>
          <w:color w:val="000000"/>
          <w:sz w:val="21"/>
        </w:rPr>
        <w:t xml:space="preserve">权益。 </w:t>
      </w:r>
    </w:p>
    <w:p>
      <w:pPr>
        <w:autoSpaceDN w:val="0"/>
        <w:autoSpaceDE w:val="0"/>
        <w:widowControl/>
        <w:spacing w:line="240" w:lineRule="exact" w:before="412" w:after="0"/>
        <w:ind w:left="30" w:right="0" w:firstLine="0"/>
        <w:jc w:val="left"/>
      </w:pPr>
      <w:r>
        <w:rPr>
          <w:rFonts w:ascii="宋体" w:hAnsi="宋体" w:eastAsia="宋体"/>
          <w:b w:val="0"/>
          <w:i w:val="0"/>
          <w:color w:val="000000"/>
          <w:sz w:val="24"/>
        </w:rPr>
        <w:t xml:space="preserve">三、非金融企业债务融资工具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58" w:after="0"/>
        <w:ind w:left="30" w:right="0" w:firstLine="0"/>
        <w:jc w:val="left"/>
      </w:pPr>
      <w:r>
        <w:rPr>
          <w:rFonts w:ascii="宋体" w:hAnsi="宋体" w:eastAsia="宋体"/>
          <w:b w:val="0"/>
          <w:i w:val="0"/>
          <w:color w:val="000000"/>
          <w:sz w:val="18"/>
        </w:rPr>
        <w:t xml:space="preserve">报告期公司不存在非金融企业债务融资工具。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四、可转换公司债券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180" w:lineRule="exact" w:before="158" w:after="0"/>
        <w:ind w:left="30" w:right="0" w:firstLine="0"/>
        <w:jc w:val="left"/>
      </w:pPr>
      <w:r>
        <w:rPr>
          <w:rFonts w:ascii="宋体" w:hAnsi="宋体" w:eastAsia="宋体"/>
          <w:b w:val="0"/>
          <w:i w:val="0"/>
          <w:color w:val="000000"/>
          <w:sz w:val="18"/>
        </w:rPr>
        <w:t xml:space="preserve">报告期公司不存在可转换公司债券。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五、报告期内合并报表范围亏损超过上年末净资产10%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4" w:after="0"/>
        <w:ind w:left="30" w:right="0" w:firstLine="0"/>
        <w:jc w:val="left"/>
      </w:pPr>
      <w:r>
        <w:rPr>
          <w:rFonts w:ascii="宋体" w:hAnsi="宋体" w:eastAsia="宋体"/>
          <w:b w:val="0"/>
          <w:i w:val="0"/>
          <w:color w:val="000000"/>
          <w:sz w:val="24"/>
        </w:rPr>
        <w:t xml:space="preserve">六、报告期末除债券外的有息债务逾期情况 </w:t>
      </w:r>
    </w:p>
    <w:p>
      <w:pPr>
        <w:autoSpaceDN w:val="0"/>
        <w:autoSpaceDE w:val="0"/>
        <w:widowControl/>
        <w:spacing w:line="180" w:lineRule="exact" w:before="366" w:after="0"/>
        <w:ind w:left="30" w:right="0" w:firstLine="0"/>
        <w:jc w:val="left"/>
      </w:pPr>
      <w:r>
        <w:rPr>
          <w:rFonts w:ascii="宋体" w:hAnsi="宋体" w:eastAsia="宋体"/>
          <w:b w:val="0"/>
          <w:i w:val="0"/>
          <w:color w:val="000000"/>
          <w:sz w:val="18"/>
        </w:rPr>
        <w:t xml:space="preserve">□适用 √不适用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七、报告期内是否有违反规章制度的情况 </w:t>
      </w:r>
    </w:p>
    <w:p>
      <w:pPr>
        <w:autoSpaceDN w:val="0"/>
        <w:autoSpaceDE w:val="0"/>
        <w:widowControl/>
        <w:spacing w:line="180" w:lineRule="exact" w:before="362" w:after="0"/>
        <w:ind w:left="30" w:right="0" w:firstLine="0"/>
        <w:jc w:val="left"/>
      </w:pPr>
      <w:r>
        <w:rPr>
          <w:rFonts w:ascii="宋体" w:hAnsi="宋体" w:eastAsia="宋体"/>
          <w:b w:val="0"/>
          <w:i w:val="0"/>
          <w:color w:val="000000"/>
          <w:sz w:val="18"/>
        </w:rPr>
        <w:t xml:space="preserve">□是 √否 </w:t>
      </w:r>
    </w:p>
    <w:p>
      <w:pPr>
        <w:autoSpaceDN w:val="0"/>
        <w:autoSpaceDE w:val="0"/>
        <w:widowControl/>
        <w:spacing w:line="240" w:lineRule="exact" w:before="376" w:after="0"/>
        <w:ind w:left="30" w:right="0" w:firstLine="0"/>
        <w:jc w:val="left"/>
      </w:pPr>
      <w:r>
        <w:rPr>
          <w:rFonts w:ascii="宋体" w:hAnsi="宋体" w:eastAsia="宋体"/>
          <w:b w:val="0"/>
          <w:i w:val="0"/>
          <w:color w:val="000000"/>
          <w:sz w:val="24"/>
        </w:rPr>
        <w:t xml:space="preserve">八、截至报告期末公司近两年的主要会计数据和财务指标 </w:t>
      </w:r>
    </w:p>
    <w:p>
      <w:pPr>
        <w:autoSpaceDN w:val="0"/>
        <w:autoSpaceDE w:val="0"/>
        <w:widowControl/>
        <w:spacing w:line="180" w:lineRule="exact" w:before="366" w:after="64"/>
        <w:ind w:left="0" w:right="144" w:firstLine="0"/>
        <w:jc w:val="right"/>
      </w:pPr>
      <w:r>
        <w:rPr>
          <w:rFonts w:ascii="宋体" w:hAnsi="宋体" w:eastAsia="宋体"/>
          <w:b w:val="0"/>
          <w:i w:val="0"/>
          <w:color w:val="000000"/>
          <w:sz w:val="18"/>
        </w:rPr>
        <w:t xml:space="preserve">单位：万元 </w:t>
      </w:r>
    </w:p>
    <w:tbl>
      <w:tblPr>
        <w:tblW w:type="auto" w:w="0"/>
        <w:tblLayout w:type="fixed"/>
        <w:tblLook w:firstColumn="1" w:firstRow="1" w:lastColumn="0" w:lastRow="0" w:noHBand="0" w:noVBand="1" w:val="04A0"/>
        <w:tblInd w:w="27.99999999999997" w:type="dxa"/>
      </w:tblPr>
      <w:tblGrid>
        <w:gridCol w:w="2429"/>
        <w:gridCol w:w="2429"/>
        <w:gridCol w:w="2429"/>
        <w:gridCol w:w="2429"/>
      </w:tblGrid>
      <w:tr>
        <w:trPr>
          <w:trHeight w:hRule="exact" w:val="328"/>
        </w:trPr>
        <w:tc>
          <w:tcPr>
            <w:tcW w:type="dxa" w:w="2412"/>
            <w:tcBorders>
              <w:start w:sz="2.3999999999999773" w:val="single" w:color="#000000"/>
              <w:top w:sz="2.399999999999636" w:val="single" w:color="#000000"/>
              <w:end w:sz="1.6000000000001364"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826" w:firstLine="0"/>
                    <w:jc w:val="right"/>
                  </w:pPr>
                  <w:r>
                    <w:rPr>
                      <w:rFonts w:ascii="宋体" w:hAnsi="宋体" w:eastAsia="宋体"/>
                      <w:b w:val="0"/>
                      <w:i w:val="0"/>
                      <w:color w:val="000000"/>
                      <w:sz w:val="18"/>
                    </w:rPr>
                    <w:t xml:space="preserve">项目 </w:t>
                  </w:r>
                </w:p>
              </w:tc>
            </w:tr>
          </w:tbl>
          <w:p>
            <w:pPr>
              <w:autoSpaceDN w:val="0"/>
              <w:autoSpaceDE w:val="0"/>
              <w:widowControl/>
              <w:spacing w:line="14" w:lineRule="exact" w:before="0" w:after="0"/>
              <w:ind w:left="0" w:right="0"/>
            </w:pPr>
          </w:p>
        </w:tc>
        <w:tc>
          <w:tcPr>
            <w:tcW w:type="dxa" w:w="2410"/>
            <w:tcBorders>
              <w:start w:sz="1.6000000000001364" w:val="single" w:color="#000000"/>
              <w:top w:sz="2.399999999999636" w:val="single" w:color="#000000"/>
              <w:end w:sz="1.599999999999909"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5.99999999999966" w:type="dxa"/>
            </w:tblPr>
            <w:tblGrid>
              <w:gridCol w:w="2410"/>
            </w:tblGrid>
            <w:tr>
              <w:trPr>
                <w:trHeight w:hRule="exact" w:val="298"/>
              </w:trPr>
              <w:tc>
                <w:tcPr>
                  <w:tcW w:type="dxa" w:w="2194"/>
                  <w:tcBorders/>
                  <w:shd w:fill="d2d2d2"/>
                  <w:tcMar>
                    <w:start w:w="0" w:type="dxa"/>
                    <w:end w:w="0" w:type="dxa"/>
                  </w:tcMar>
                </w:tcPr>
                <w:p>
                  <w:pPr>
                    <w:autoSpaceDN w:val="0"/>
                    <w:autoSpaceDE w:val="0"/>
                    <w:widowControl/>
                    <w:spacing w:line="180" w:lineRule="exact" w:before="76" w:after="0"/>
                    <w:ind w:left="0" w:right="558" w:firstLine="0"/>
                    <w:jc w:val="right"/>
                  </w:pPr>
                  <w:r>
                    <w:rPr>
                      <w:rFonts w:ascii="宋体" w:hAnsi="宋体" w:eastAsia="宋体"/>
                      <w:b w:val="0"/>
                      <w:i w:val="0"/>
                      <w:color w:val="000000"/>
                      <w:sz w:val="18"/>
                    </w:rPr>
                    <w:t xml:space="preserve">本报告期末 </w:t>
                  </w:r>
                </w:p>
              </w:tc>
            </w:tr>
          </w:tbl>
          <w:p>
            <w:pPr>
              <w:autoSpaceDN w:val="0"/>
              <w:autoSpaceDE w:val="0"/>
              <w:widowControl/>
              <w:spacing w:line="14" w:lineRule="exact" w:before="0" w:after="0"/>
              <w:ind w:left="0" w:right="0"/>
            </w:pPr>
          </w:p>
        </w:tc>
        <w:tc>
          <w:tcPr>
            <w:tcW w:type="dxa" w:w="2410"/>
            <w:tcBorders>
              <w:start w:sz="1.599999999999909" w:val="single" w:color="#000000"/>
              <w:top w:sz="2.399999999999636" w:val="single" w:color="#000000"/>
              <w:end w:sz="1.599999999999909"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2410"/>
            </w:tblGrid>
            <w:tr>
              <w:trPr>
                <w:trHeight w:hRule="exact" w:val="298"/>
              </w:trPr>
              <w:tc>
                <w:tcPr>
                  <w:tcW w:type="dxa" w:w="2196"/>
                  <w:tcBorders/>
                  <w:shd w:fill="d2d2d2"/>
                  <w:tcMar>
                    <w:start w:w="0" w:type="dxa"/>
                    <w:end w:w="0" w:type="dxa"/>
                  </w:tcMar>
                </w:tcPr>
                <w:p>
                  <w:pPr>
                    <w:autoSpaceDN w:val="0"/>
                    <w:autoSpaceDE w:val="0"/>
                    <w:widowControl/>
                    <w:spacing w:line="180" w:lineRule="exact" w:before="76" w:after="0"/>
                    <w:ind w:left="0" w:right="740" w:firstLine="0"/>
                    <w:jc w:val="right"/>
                  </w:pPr>
                  <w:r>
                    <w:rPr>
                      <w:rFonts w:ascii="宋体" w:hAnsi="宋体" w:eastAsia="宋体"/>
                      <w:b w:val="0"/>
                      <w:i w:val="0"/>
                      <w:color w:val="000000"/>
                      <w:sz w:val="18"/>
                    </w:rPr>
                    <w:t xml:space="preserve">上年末 </w:t>
                  </w:r>
                </w:p>
              </w:tc>
            </w:tr>
          </w:tbl>
          <w:p>
            <w:pPr>
              <w:autoSpaceDN w:val="0"/>
              <w:autoSpaceDE w:val="0"/>
              <w:widowControl/>
              <w:spacing w:line="14" w:lineRule="exact" w:before="0" w:after="0"/>
              <w:ind w:left="0" w:right="0"/>
            </w:pPr>
          </w:p>
        </w:tc>
        <w:tc>
          <w:tcPr>
            <w:tcW w:type="dxa" w:w="2410"/>
            <w:tcBorders>
              <w:start w:sz="1.599999999999909" w:val="single" w:color="#000000"/>
              <w:top w:sz="2.399999999999636" w:val="single" w:color="#000000"/>
              <w:end w:sz="1.5999999999994543" w:val="single" w:color="#000000"/>
              <w:bottom w:sz="2.4000000000005457"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2410"/>
            </w:tblGrid>
            <w:tr>
              <w:trPr>
                <w:trHeight w:hRule="exact" w:val="298"/>
              </w:trPr>
              <w:tc>
                <w:tcPr>
                  <w:tcW w:type="dxa" w:w="2194"/>
                  <w:tcBorders/>
                  <w:shd w:fill="d2d2d2"/>
                  <w:tcMar>
                    <w:start w:w="0" w:type="dxa"/>
                    <w:end w:w="0" w:type="dxa"/>
                  </w:tcMar>
                </w:tcPr>
                <w:p>
                  <w:pPr>
                    <w:autoSpaceDN w:val="0"/>
                    <w:autoSpaceDE w:val="0"/>
                    <w:widowControl/>
                    <w:spacing w:line="180" w:lineRule="exact" w:before="76" w:after="0"/>
                    <w:ind w:left="106" w:right="0" w:firstLine="0"/>
                    <w:jc w:val="left"/>
                  </w:pPr>
                  <w:r>
                    <w:rPr>
                      <w:rFonts w:ascii="宋体" w:hAnsi="宋体" w:eastAsia="宋体"/>
                      <w:b w:val="0"/>
                      <w:i w:val="0"/>
                      <w:color w:val="000000"/>
                      <w:sz w:val="18"/>
                    </w:rPr>
                    <w:t xml:space="preserve">本报告期末比上年末增减 </w:t>
                  </w:r>
                </w:p>
              </w:tc>
            </w:tr>
          </w:tbl>
          <w:p>
            <w:pPr>
              <w:autoSpaceDN w:val="0"/>
              <w:autoSpaceDE w:val="0"/>
              <w:widowControl/>
              <w:spacing w:line="14" w:lineRule="exact" w:before="0" w:after="0"/>
              <w:ind w:left="0" w:right="0"/>
            </w:pPr>
          </w:p>
        </w:tc>
      </w:tr>
      <w:tr>
        <w:trPr>
          <w:trHeight w:hRule="exact" w:val="322"/>
        </w:trPr>
        <w:tc>
          <w:tcPr>
            <w:tcW w:type="dxa" w:w="2412"/>
            <w:tcBorders>
              <w:start w:sz="2.3999999999999773" w:val="single" w:color="#000000"/>
              <w:top w:sz="2.4000000000005457" w:val="single" w:color="#000000"/>
              <w:end w:sz="1.6000000000001364" w:val="single" w:color="#000000"/>
              <w:bottom w:sz="2.399999999999636"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流动比率 </w:t>
                  </w:r>
                </w:p>
              </w:tc>
            </w:tr>
          </w:tbl>
          <w:p>
            <w:pPr>
              <w:autoSpaceDN w:val="0"/>
              <w:autoSpaceDE w:val="0"/>
              <w:widowControl/>
              <w:spacing w:line="14" w:lineRule="exact" w:before="0" w:after="0"/>
              <w:ind w:left="0" w:right="0"/>
            </w:pPr>
          </w:p>
        </w:tc>
        <w:tc>
          <w:tcPr>
            <w:tcW w:type="dxa" w:w="2410"/>
            <w:tcBorders>
              <w:start w:sz="1.6000000000001364"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56" w:after="0"/>
              <w:ind w:left="0" w:right="62" w:firstLine="0"/>
              <w:jc w:val="right"/>
            </w:pPr>
            <w:r>
              <w:rPr>
                <w:rFonts w:ascii="Times New Roman" w:hAnsi="Times New Roman" w:eastAsia="Times New Roman"/>
                <w:b w:val="0"/>
                <w:i w:val="0"/>
                <w:color w:val="000000"/>
                <w:sz w:val="18"/>
              </w:rPr>
              <w:t xml:space="preserve">2.13 </w:t>
            </w:r>
          </w:p>
        </w:tc>
        <w:tc>
          <w:tcPr>
            <w:tcW w:type="dxa" w:w="2410"/>
            <w:tcBorders>
              <w:start w:sz="1.599999999999909" w:val="single" w:color="#000000"/>
              <w:top w:sz="2.4000000000005457" w:val="single" w:color="#000000"/>
              <w:end w:sz="1.599999999999909" w:val="single" w:color="#000000"/>
              <w:bottom w:sz="2.399999999999636" w:val="single" w:color="#000000"/>
            </w:tcBorders>
            <w:tcMar>
              <w:start w:w="0" w:type="dxa"/>
              <w:end w:w="0" w:type="dxa"/>
            </w:tcMar>
          </w:tcPr>
          <w:p>
            <w:pPr>
              <w:autoSpaceDN w:val="0"/>
              <w:autoSpaceDE w:val="0"/>
              <w:widowControl/>
              <w:spacing w:line="230" w:lineRule="auto" w:before="56" w:after="0"/>
              <w:ind w:left="0" w:right="62" w:firstLine="0"/>
              <w:jc w:val="right"/>
            </w:pPr>
            <w:r>
              <w:rPr>
                <w:rFonts w:ascii="Times New Roman" w:hAnsi="Times New Roman" w:eastAsia="Times New Roman"/>
                <w:b w:val="0"/>
                <w:i w:val="0"/>
                <w:color w:val="000000"/>
                <w:sz w:val="18"/>
              </w:rPr>
              <w:t xml:space="preserve">2.13 </w:t>
            </w:r>
          </w:p>
        </w:tc>
        <w:tc>
          <w:tcPr>
            <w:tcW w:type="dxa" w:w="2410"/>
            <w:tcBorders>
              <w:start w:sz="1.599999999999909" w:val="single" w:color="#000000"/>
              <w:top w:sz="2.4000000000005457" w:val="single" w:color="#000000"/>
              <w:end w:sz="1.5999999999994543" w:val="single" w:color="#000000"/>
              <w:bottom w:sz="2.399999999999636" w:val="single" w:color="#000000"/>
            </w:tcBorders>
            <w:tcMar>
              <w:start w:w="0" w:type="dxa"/>
              <w:end w:w="0" w:type="dxa"/>
            </w:tcMar>
          </w:tcPr>
          <w:p>
            <w:pPr>
              <w:autoSpaceDN w:val="0"/>
              <w:autoSpaceDE w:val="0"/>
              <w:widowControl/>
              <w:spacing w:line="233" w:lineRule="auto" w:before="70" w:after="0"/>
              <w:ind w:left="0" w:right="58" w:firstLine="0"/>
              <w:jc w:val="right"/>
            </w:pPr>
            <w:r>
              <w:rPr>
                <w:rFonts w:ascii="Times New Roman" w:hAnsi="Times New Roman" w:eastAsia="Times New Roman"/>
                <w:b w:val="0"/>
                <w:i w:val="0"/>
                <w:color w:val="000000"/>
                <w:sz w:val="18"/>
              </w:rPr>
              <w:t xml:space="preserve">- </w:t>
            </w:r>
          </w:p>
        </w:tc>
      </w:tr>
      <w:tr>
        <w:trPr>
          <w:trHeight w:hRule="exact" w:val="328"/>
        </w:trPr>
        <w:tc>
          <w:tcPr>
            <w:tcW w:type="dxa" w:w="2412"/>
            <w:tcBorders>
              <w:start w:sz="2.3999999999999773" w:val="single" w:color="#000000"/>
              <w:top w:sz="2.399999999999636" w:val="single" w:color="#000000"/>
              <w:end w:sz="1.6000000000001364" w:val="single" w:color="#000000"/>
              <w:bottom w:sz="1.6000000000003638"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资产负债率 </w:t>
                  </w:r>
                </w:p>
              </w:tc>
            </w:tr>
          </w:tbl>
          <w:p>
            <w:pPr>
              <w:autoSpaceDN w:val="0"/>
              <w:autoSpaceDE w:val="0"/>
              <w:widowControl/>
              <w:spacing w:line="14" w:lineRule="exact" w:before="0" w:after="0"/>
              <w:ind w:left="0" w:right="0"/>
            </w:pPr>
          </w:p>
        </w:tc>
        <w:tc>
          <w:tcPr>
            <w:tcW w:type="dxa" w:w="2410"/>
            <w:tcBorders>
              <w:start w:sz="1.6000000000001364"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2" w:after="0"/>
              <w:ind w:left="0" w:right="62" w:firstLine="0"/>
              <w:jc w:val="right"/>
            </w:pPr>
            <w:r>
              <w:rPr>
                <w:rFonts w:ascii="Times New Roman" w:hAnsi="Times New Roman" w:eastAsia="Times New Roman"/>
                <w:b w:val="0"/>
                <w:i w:val="0"/>
                <w:color w:val="000000"/>
                <w:sz w:val="18"/>
              </w:rPr>
              <w:t xml:space="preserve">70.57% </w:t>
            </w:r>
          </w:p>
        </w:tc>
        <w:tc>
          <w:tcPr>
            <w:tcW w:type="dxa" w:w="2410"/>
            <w:tcBorders>
              <w:start w:sz="1.599999999999909" w:val="single" w:color="#000000"/>
              <w:top w:sz="2.399999999999636" w:val="single" w:color="#000000"/>
              <w:end w:sz="1.599999999999909" w:val="single" w:color="#000000"/>
              <w:bottom w:sz="1.6000000000003638" w:val="single" w:color="#000000"/>
            </w:tcBorders>
            <w:tcMar>
              <w:start w:w="0" w:type="dxa"/>
              <w:end w:w="0" w:type="dxa"/>
            </w:tcMar>
          </w:tcPr>
          <w:p>
            <w:pPr>
              <w:autoSpaceDN w:val="0"/>
              <w:autoSpaceDE w:val="0"/>
              <w:widowControl/>
              <w:spacing w:line="233" w:lineRule="auto" w:before="62" w:after="0"/>
              <w:ind w:left="0" w:right="62" w:firstLine="0"/>
              <w:jc w:val="right"/>
            </w:pPr>
            <w:r>
              <w:rPr>
                <w:rFonts w:ascii="Times New Roman" w:hAnsi="Times New Roman" w:eastAsia="Times New Roman"/>
                <w:b w:val="0"/>
                <w:i w:val="0"/>
                <w:color w:val="000000"/>
                <w:sz w:val="18"/>
              </w:rPr>
              <w:t xml:space="preserve">71.13% </w:t>
            </w:r>
          </w:p>
        </w:tc>
        <w:tc>
          <w:tcPr>
            <w:tcW w:type="dxa" w:w="2410"/>
            <w:tcBorders>
              <w:start w:sz="1.599999999999909" w:val="single" w:color="#000000"/>
              <w:top w:sz="2.399999999999636" w:val="single" w:color="#000000"/>
              <w:end w:sz="1.5999999999994543" w:val="single" w:color="#000000"/>
              <w:bottom w:sz="1.6000000000003638" w:val="single" w:color="#000000"/>
            </w:tcBorders>
            <w:tcMar>
              <w:start w:w="0" w:type="dxa"/>
              <w:end w:w="0" w:type="dxa"/>
            </w:tcMar>
          </w:tcPr>
          <w:p>
            <w:pPr>
              <w:autoSpaceDN w:val="0"/>
              <w:autoSpaceDE w:val="0"/>
              <w:widowControl/>
              <w:spacing w:line="200" w:lineRule="exact" w:before="64" w:after="0"/>
              <w:ind w:left="0" w:right="102"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0.56</w:t>
            </w:r>
            <w:r>
              <w:rPr>
                <w:rFonts w:ascii="宋体" w:hAnsi="宋体" w:eastAsia="宋体"/>
                <w:b w:val="0"/>
                <w:i w:val="0"/>
                <w:color w:val="000000"/>
                <w:sz w:val="18"/>
              </w:rPr>
              <w:t xml:space="preserve"> 个百分点</w:t>
            </w:r>
          </w:p>
        </w:tc>
      </w:tr>
      <w:tr>
        <w:trPr>
          <w:trHeight w:hRule="exact" w:val="324"/>
        </w:trPr>
        <w:tc>
          <w:tcPr>
            <w:tcW w:type="dxa" w:w="2412"/>
            <w:tcBorders>
              <w:start w:sz="2.3999999999999773" w:val="single" w:color="#000000"/>
              <w:top w:sz="1.6000000000003638" w:val="single" w:color="#000000"/>
              <w:end w:sz="1.6000000000001364" w:val="single" w:color="#000000"/>
              <w:bottom w:sz="1.5999999999994543"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速动比率 </w:t>
                  </w:r>
                </w:p>
              </w:tc>
            </w:tr>
          </w:tbl>
          <w:p>
            <w:pPr>
              <w:autoSpaceDN w:val="0"/>
              <w:autoSpaceDE w:val="0"/>
              <w:widowControl/>
              <w:spacing w:line="14" w:lineRule="exact" w:before="0" w:after="0"/>
              <w:ind w:left="0" w:right="0"/>
            </w:pPr>
          </w:p>
        </w:tc>
        <w:tc>
          <w:tcPr>
            <w:tcW w:type="dxa" w:w="2410"/>
            <w:tcBorders>
              <w:start w:sz="1.6000000000001364"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2.13 </w:t>
            </w:r>
          </w:p>
        </w:tc>
        <w:tc>
          <w:tcPr>
            <w:tcW w:type="dxa" w:w="2410"/>
            <w:tcBorders>
              <w:start w:sz="1.599999999999909" w:val="single" w:color="#000000"/>
              <w:top w:sz="1.6000000000003638" w:val="single" w:color="#000000"/>
              <w:end w:sz="1.599999999999909" w:val="single" w:color="#000000"/>
              <w:bottom w:sz="1.5999999999994543"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2.13 </w:t>
            </w:r>
          </w:p>
        </w:tc>
        <w:tc>
          <w:tcPr>
            <w:tcW w:type="dxa" w:w="2410"/>
            <w:tcBorders>
              <w:start w:sz="1.599999999999909" w:val="single" w:color="#000000"/>
              <w:top w:sz="1.6000000000003638" w:val="single" w:color="#000000"/>
              <w:end w:sz="1.5999999999994543" w:val="single" w:color="#000000"/>
              <w:bottom w:sz="1.5999999999994543"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 </w:t>
            </w:r>
          </w:p>
        </w:tc>
      </w:tr>
    </w:tbl>
    <w:p>
      <w:pPr>
        <w:autoSpaceDN w:val="0"/>
        <w:autoSpaceDE w:val="0"/>
        <w:widowControl/>
        <w:spacing w:line="197" w:lineRule="auto" w:before="552" w:after="0"/>
        <w:ind w:left="0" w:right="0" w:firstLine="0"/>
        <w:jc w:val="center"/>
      </w:pPr>
      <w:r>
        <w:rPr>
          <w:rFonts w:ascii="Calibri" w:hAnsi="Calibri" w:eastAsia="Calibri"/>
          <w:b w:val="0"/>
          <w:i w:val="0"/>
          <w:color w:val="000000"/>
          <w:sz w:val="18"/>
        </w:rPr>
        <w:t xml:space="preserve">138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42" name="Picture 14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tbl>
      <w:tblPr>
        <w:tblW w:type="auto" w:w="0"/>
        <w:tblLayout w:type="fixed"/>
        <w:tblLook w:firstColumn="1" w:firstRow="1" w:lastColumn="0" w:lastRow="0" w:noHBand="0" w:noVBand="1" w:val="04A0"/>
        <w:tblInd w:w="27.99999999999997" w:type="dxa"/>
      </w:tblPr>
      <w:tblGrid>
        <w:gridCol w:w="2429"/>
        <w:gridCol w:w="2429"/>
        <w:gridCol w:w="2429"/>
        <w:gridCol w:w="2429"/>
      </w:tblGrid>
      <w:tr>
        <w:trPr>
          <w:trHeight w:hRule="exact" w:val="324"/>
        </w:trPr>
        <w:tc>
          <w:tcPr>
            <w:tcW w:type="dxa" w:w="2412"/>
            <w:tcBorders>
              <w:start w:sz="2.3999999999999773" w:val="single" w:color="#000000"/>
              <w:top w:sz="5.600000000000023" w:val="single" w:color="#000000"/>
              <w:end w:sz="1.6000000000001364" w:val="single" w:color="#000000"/>
              <w:bottom w:sz="1.6000000000000227" w:val="single" w:color="#000000"/>
            </w:tcBorders>
            <w:shd w:fill="d2d2d2"/>
            <w:tcMar>
              <w:start w:w="0" w:type="dxa"/>
              <w:end w:w="0" w:type="dxa"/>
            </w:tcMar>
          </w:tcPr>
          <w:p/>
        </w:tc>
        <w:tc>
          <w:tcPr>
            <w:tcW w:type="dxa" w:w="2410"/>
            <w:tcBorders>
              <w:start w:sz="1.6000000000001364" w:val="single" w:color="#000000"/>
              <w:top w:sz="5.600000000000023" w:val="single" w:color="#000000"/>
              <w:end w:sz="1.599999999999909" w:val="single" w:color="#000000"/>
              <w:bottom w:sz="1.6000000000000227" w:val="single" w:color="#000000"/>
            </w:tcBorders>
            <w:shd w:fill="d2d2d2"/>
            <w:tcMar>
              <w:start w:w="0" w:type="dxa"/>
              <w:end w:w="0" w:type="dxa"/>
            </w:tcMar>
          </w:tcPr>
          <w:tbl>
            <w:tblPr>
              <w:tblW w:type="auto" w:w="0"/>
              <w:tblLayout w:type="fixed"/>
              <w:tblLook w:firstColumn="1" w:firstRow="1" w:lastColumn="0" w:lastRow="0" w:noHBand="0" w:noVBand="1" w:val="04A0"/>
              <w:tblInd w:w="105.99999999999966" w:type="dxa"/>
            </w:tblPr>
            <w:tblGrid>
              <w:gridCol w:w="2410"/>
            </w:tblGrid>
            <w:tr>
              <w:trPr>
                <w:trHeight w:hRule="exact" w:val="300"/>
              </w:trPr>
              <w:tc>
                <w:tcPr>
                  <w:tcW w:type="dxa" w:w="2194"/>
                  <w:tcBorders/>
                  <w:shd w:fill="d2d2d2"/>
                  <w:tcMar>
                    <w:start w:w="0" w:type="dxa"/>
                    <w:end w:w="0" w:type="dxa"/>
                  </w:tcMar>
                </w:tcPr>
                <w:p>
                  <w:pPr>
                    <w:autoSpaceDN w:val="0"/>
                    <w:autoSpaceDE w:val="0"/>
                    <w:widowControl/>
                    <w:spacing w:line="180" w:lineRule="exact" w:before="76" w:after="0"/>
                    <w:ind w:left="0" w:right="648" w:firstLine="0"/>
                    <w:jc w:val="right"/>
                  </w:pPr>
                  <w:r>
                    <w:rPr>
                      <w:rFonts w:ascii="宋体" w:hAnsi="宋体" w:eastAsia="宋体"/>
                      <w:b w:val="0"/>
                      <w:i w:val="0"/>
                      <w:color w:val="000000"/>
                      <w:sz w:val="18"/>
                    </w:rPr>
                    <w:t xml:space="preserve">本报告期 </w:t>
                  </w:r>
                </w:p>
              </w:tc>
            </w:tr>
          </w:tbl>
          <w:p>
            <w:pPr>
              <w:autoSpaceDN w:val="0"/>
              <w:autoSpaceDE w:val="0"/>
              <w:widowControl/>
              <w:spacing w:line="14" w:lineRule="exact" w:before="0" w:after="0"/>
              <w:ind w:left="0" w:right="0"/>
            </w:pPr>
          </w:p>
        </w:tc>
        <w:tc>
          <w:tcPr>
            <w:tcW w:type="dxa" w:w="2410"/>
            <w:tcBorders>
              <w:start w:sz="1.599999999999909" w:val="single" w:color="#000000"/>
              <w:top w:sz="5.600000000000023" w:val="single" w:color="#000000"/>
              <w:end w:sz="1.599999999999909" w:val="single" w:color="#000000"/>
              <w:bottom w:sz="1.6000000000000227" w:val="single" w:color="#000000"/>
            </w:tcBorders>
            <w:shd w:fill="d2d2d2"/>
            <w:tcMar>
              <w:start w:w="0" w:type="dxa"/>
              <w:end w:w="0" w:type="dxa"/>
            </w:tcMar>
          </w:tcPr>
          <w:tbl>
            <w:tblPr>
              <w:tblW w:type="auto" w:w="0"/>
              <w:tblLayout w:type="fixed"/>
              <w:tblLook w:firstColumn="1" w:firstRow="1" w:lastColumn="0" w:lastRow="0" w:noHBand="0" w:noVBand="1" w:val="04A0"/>
              <w:tblInd w:w="106.00000000000023" w:type="dxa"/>
            </w:tblPr>
            <w:tblGrid>
              <w:gridCol w:w="2410"/>
            </w:tblGrid>
            <w:tr>
              <w:trPr>
                <w:trHeight w:hRule="exact" w:val="300"/>
              </w:trPr>
              <w:tc>
                <w:tcPr>
                  <w:tcW w:type="dxa" w:w="2196"/>
                  <w:tcBorders/>
                  <w:shd w:fill="d2d2d2"/>
                  <w:tcMar>
                    <w:start w:w="0" w:type="dxa"/>
                    <w:end w:w="0" w:type="dxa"/>
                  </w:tcMar>
                </w:tcPr>
                <w:p>
                  <w:pPr>
                    <w:autoSpaceDN w:val="0"/>
                    <w:autoSpaceDE w:val="0"/>
                    <w:widowControl/>
                    <w:spacing w:line="180" w:lineRule="exact" w:before="76" w:after="0"/>
                    <w:ind w:left="0" w:right="650" w:firstLine="0"/>
                    <w:jc w:val="right"/>
                  </w:pPr>
                  <w:r>
                    <w:rPr>
                      <w:rFonts w:ascii="宋体" w:hAnsi="宋体" w:eastAsia="宋体"/>
                      <w:b w:val="0"/>
                      <w:i w:val="0"/>
                      <w:color w:val="000000"/>
                      <w:sz w:val="18"/>
                    </w:rPr>
                    <w:t xml:space="preserve">上年同期 </w:t>
                  </w:r>
                </w:p>
              </w:tc>
            </w:tr>
          </w:tbl>
          <w:p>
            <w:pPr>
              <w:autoSpaceDN w:val="0"/>
              <w:autoSpaceDE w:val="0"/>
              <w:widowControl/>
              <w:spacing w:line="14" w:lineRule="exact" w:before="0" w:after="0"/>
              <w:ind w:left="0" w:right="0"/>
            </w:pPr>
          </w:p>
        </w:tc>
        <w:tc>
          <w:tcPr>
            <w:tcW w:type="dxa" w:w="2410"/>
            <w:tcBorders>
              <w:start w:sz="1.599999999999909" w:val="single" w:color="#000000"/>
              <w:top w:sz="5.600000000000023" w:val="single" w:color="#000000"/>
              <w:end w:sz="1.5999999999994543" w:val="single" w:color="#000000"/>
              <w:bottom w:sz="1.6000000000000227" w:val="single" w:color="#000000"/>
            </w:tcBorders>
            <w:shd w:fill="d2d2d2"/>
            <w:tcMar>
              <w:start w:w="0" w:type="dxa"/>
              <w:end w:w="0" w:type="dxa"/>
            </w:tcMar>
          </w:tcPr>
          <w:tbl>
            <w:tblPr>
              <w:tblW w:type="auto" w:w="0"/>
              <w:tblLayout w:type="fixed"/>
              <w:tblLook w:firstColumn="1" w:firstRow="1" w:lastColumn="0" w:lastRow="0" w:noHBand="0" w:noVBand="1" w:val="04A0"/>
              <w:tblInd w:w="107.99999999999955" w:type="dxa"/>
            </w:tblPr>
            <w:tblGrid>
              <w:gridCol w:w="2410"/>
            </w:tblGrid>
            <w:tr>
              <w:trPr>
                <w:trHeight w:hRule="exact" w:val="300"/>
              </w:trPr>
              <w:tc>
                <w:tcPr>
                  <w:tcW w:type="dxa" w:w="2194"/>
                  <w:tcBorders/>
                  <w:shd w:fill="d2d2d2"/>
                  <w:tcMar>
                    <w:start w:w="0" w:type="dxa"/>
                    <w:end w:w="0" w:type="dxa"/>
                  </w:tcMar>
                </w:tcPr>
                <w:p>
                  <w:pPr>
                    <w:autoSpaceDN w:val="0"/>
                    <w:autoSpaceDE w:val="0"/>
                    <w:widowControl/>
                    <w:spacing w:line="180" w:lineRule="exact" w:before="76" w:after="0"/>
                    <w:ind w:left="106" w:right="0" w:firstLine="0"/>
                    <w:jc w:val="left"/>
                  </w:pPr>
                  <w:r>
                    <w:rPr>
                      <w:rFonts w:ascii="宋体" w:hAnsi="宋体" w:eastAsia="宋体"/>
                      <w:b w:val="0"/>
                      <w:i w:val="0"/>
                      <w:color w:val="000000"/>
                      <w:sz w:val="18"/>
                    </w:rPr>
                    <w:t xml:space="preserve">本报告期比上年同期增减 </w:t>
                  </w:r>
                </w:p>
              </w:tc>
            </w:tr>
          </w:tbl>
          <w:p>
            <w:pPr>
              <w:autoSpaceDN w:val="0"/>
              <w:autoSpaceDE w:val="0"/>
              <w:widowControl/>
              <w:spacing w:line="14" w:lineRule="exact" w:before="0" w:after="0"/>
              <w:ind w:left="0" w:right="0"/>
            </w:pPr>
          </w:p>
        </w:tc>
      </w:tr>
      <w:tr>
        <w:trPr>
          <w:trHeight w:hRule="exact" w:val="328"/>
        </w:trPr>
        <w:tc>
          <w:tcPr>
            <w:tcW w:type="dxa" w:w="2412"/>
            <w:tcBorders>
              <w:start w:sz="2.3999999999999773" w:val="single" w:color="#000000"/>
              <w:top w:sz="1.6000000000000227" w:val="single" w:color="#000000"/>
              <w:end w:sz="1.6000000000001364" w:val="single" w:color="#000000"/>
              <w:bottom w:sz="2.3999999999999773" w:val="single" w:color="#000000"/>
            </w:tcBorders>
            <w:shd w:fill="d2d2d2"/>
            <w:tcMar>
              <w:start w:w="0" w:type="dxa"/>
              <w:end w:w="0" w:type="dxa"/>
            </w:tcMar>
          </w:tcPr>
          <w:p>
            <w:pPr>
              <w:autoSpaceDN w:val="0"/>
              <w:autoSpaceDE w:val="0"/>
              <w:widowControl/>
              <w:spacing w:line="180" w:lineRule="exact" w:before="76" w:after="0"/>
              <w:ind w:left="0" w:right="0" w:firstLine="0"/>
              <w:jc w:val="center"/>
            </w:pPr>
            <w:r>
              <w:rPr>
                <w:shd w:val="clear" w:color="auto" w:fill="d2d2d2"/>
                <w:rFonts w:ascii="宋体" w:hAnsi="宋体" w:eastAsia="宋体"/>
                <w:b w:val="0"/>
                <w:i w:val="0"/>
                <w:color w:val="000000"/>
                <w:sz w:val="18"/>
              </w:rPr>
              <w:t>扣除非经常性损益后净利润</w:t>
            </w:r>
            <w:r>
              <w:rPr>
                <w:rFonts w:ascii="宋体" w:hAnsi="宋体" w:eastAsia="宋体"/>
                <w:b w:val="0"/>
                <w:i w:val="0"/>
                <w:color w:val="000000"/>
                <w:sz w:val="18"/>
              </w:rPr>
              <w:t xml:space="preserve"> </w:t>
            </w:r>
          </w:p>
        </w:tc>
        <w:tc>
          <w:tcPr>
            <w:tcW w:type="dxa" w:w="2410"/>
            <w:tcBorders>
              <w:start w:sz="1.6000000000001364"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0" w:lineRule="auto" w:before="62" w:after="0"/>
              <w:ind w:left="0" w:right="62" w:firstLine="0"/>
              <w:jc w:val="right"/>
            </w:pPr>
            <w:r>
              <w:rPr>
                <w:rFonts w:ascii="Times New Roman" w:hAnsi="Times New Roman" w:eastAsia="Times New Roman"/>
                <w:b w:val="0"/>
                <w:i w:val="0"/>
                <w:color w:val="000000"/>
                <w:sz w:val="18"/>
              </w:rPr>
              <w:t xml:space="preserve">68,001.99 </w:t>
            </w:r>
          </w:p>
        </w:tc>
        <w:tc>
          <w:tcPr>
            <w:tcW w:type="dxa" w:w="2410"/>
            <w:tcBorders>
              <w:start w:sz="1.599999999999909" w:val="single" w:color="#000000"/>
              <w:top w:sz="1.6000000000000227" w:val="single" w:color="#000000"/>
              <w:end w:sz="1.599999999999909" w:val="single" w:color="#000000"/>
              <w:bottom w:sz="2.3999999999999773" w:val="single" w:color="#000000"/>
            </w:tcBorders>
            <w:tcMar>
              <w:start w:w="0" w:type="dxa"/>
              <w:end w:w="0" w:type="dxa"/>
            </w:tcMar>
          </w:tcPr>
          <w:p>
            <w:pPr>
              <w:autoSpaceDN w:val="0"/>
              <w:autoSpaceDE w:val="0"/>
              <w:widowControl/>
              <w:spacing w:line="230" w:lineRule="auto" w:before="62" w:after="0"/>
              <w:ind w:left="0" w:right="62" w:firstLine="0"/>
              <w:jc w:val="right"/>
            </w:pPr>
            <w:r>
              <w:rPr>
                <w:rFonts w:ascii="Times New Roman" w:hAnsi="Times New Roman" w:eastAsia="Times New Roman"/>
                <w:b w:val="0"/>
                <w:i w:val="0"/>
                <w:color w:val="000000"/>
                <w:sz w:val="18"/>
              </w:rPr>
              <w:t xml:space="preserve">57,518.95 </w:t>
            </w:r>
          </w:p>
        </w:tc>
        <w:tc>
          <w:tcPr>
            <w:tcW w:type="dxa" w:w="2410"/>
            <w:tcBorders>
              <w:start w:sz="1.599999999999909" w:val="single" w:color="#000000"/>
              <w:top w:sz="1.6000000000000227" w:val="single" w:color="#000000"/>
              <w:end w:sz="1.5999999999994543" w:val="single" w:color="#000000"/>
              <w:bottom w:sz="2.3999999999999773" w:val="single" w:color="#000000"/>
            </w:tcBorders>
            <w:tcMar>
              <w:start w:w="0" w:type="dxa"/>
              <w:end w:w="0" w:type="dxa"/>
            </w:tcMar>
          </w:tcPr>
          <w:p>
            <w:pPr>
              <w:autoSpaceDN w:val="0"/>
              <w:autoSpaceDE w:val="0"/>
              <w:widowControl/>
              <w:spacing w:line="230" w:lineRule="auto" w:before="62" w:after="0"/>
              <w:ind w:left="0" w:right="58" w:firstLine="0"/>
              <w:jc w:val="right"/>
            </w:pPr>
            <w:r>
              <w:rPr>
                <w:rFonts w:ascii="Times New Roman" w:hAnsi="Times New Roman" w:eastAsia="Times New Roman"/>
                <w:b w:val="0"/>
                <w:i w:val="0"/>
                <w:color w:val="000000"/>
                <w:sz w:val="18"/>
              </w:rPr>
              <w:t xml:space="preserve">18.23% </w:t>
            </w:r>
          </w:p>
        </w:tc>
      </w:tr>
      <w:tr>
        <w:trPr>
          <w:trHeight w:hRule="exact" w:val="322"/>
        </w:trPr>
        <w:tc>
          <w:tcPr>
            <w:tcW w:type="dxa" w:w="2412"/>
            <w:tcBorders>
              <w:start w:sz="2.3999999999999773" w:val="single" w:color="#000000"/>
              <w:top w:sz="2.3999999999999773" w:val="single" w:color="#000000"/>
              <w:end w:sz="1.6000000000001364"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EBITDA 全部债务比 </w:t>
                  </w:r>
                </w:p>
              </w:tc>
            </w:tr>
          </w:tbl>
          <w:p>
            <w:pPr>
              <w:autoSpaceDN w:val="0"/>
              <w:autoSpaceDE w:val="0"/>
              <w:widowControl/>
              <w:spacing w:line="14" w:lineRule="exact" w:before="0" w:after="0"/>
              <w:ind w:left="0" w:right="0"/>
            </w:pPr>
          </w:p>
        </w:tc>
        <w:tc>
          <w:tcPr>
            <w:tcW w:type="dxa" w:w="2410"/>
            <w:tcBorders>
              <w:start w:sz="1.6000000000001364"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5.08% </w:t>
            </w:r>
          </w:p>
        </w:tc>
        <w:tc>
          <w:tcPr>
            <w:tcW w:type="dxa" w:w="2410"/>
            <w:tcBorders>
              <w:start w:sz="1.599999999999909" w:val="single" w:color="#000000"/>
              <w:top w:sz="2.3999999999999773"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5.40% </w:t>
            </w:r>
          </w:p>
        </w:tc>
        <w:tc>
          <w:tcPr>
            <w:tcW w:type="dxa" w:w="2410"/>
            <w:tcBorders>
              <w:start w:sz="1.599999999999909" w:val="single" w:color="#000000"/>
              <w:top w:sz="2.3999999999999773" w:val="single" w:color="#000000"/>
              <w:end w:sz="1.5999999999994543" w:val="single" w:color="#000000"/>
              <w:bottom w:sz="2.400000000000091" w:val="single" w:color="#000000"/>
            </w:tcBorders>
            <w:tcMar>
              <w:start w:w="0" w:type="dxa"/>
              <w:end w:w="0" w:type="dxa"/>
            </w:tcMar>
          </w:tcPr>
          <w:p>
            <w:pPr>
              <w:autoSpaceDN w:val="0"/>
              <w:autoSpaceDE w:val="0"/>
              <w:widowControl/>
              <w:spacing w:line="200" w:lineRule="exact" w:before="62" w:after="0"/>
              <w:ind w:left="0" w:right="102" w:firstLine="0"/>
              <w:jc w:val="right"/>
            </w:pPr>
            <w:r>
              <w:rPr>
                <w:rFonts w:ascii="宋体" w:hAnsi="宋体" w:eastAsia="宋体"/>
                <w:b w:val="0"/>
                <w:i w:val="0"/>
                <w:color w:val="000000"/>
                <w:sz w:val="18"/>
              </w:rPr>
              <w:t>下降</w:t>
            </w:r>
            <w:r>
              <w:rPr>
                <w:rFonts w:ascii="Times New Roman" w:hAnsi="Times New Roman" w:eastAsia="Times New Roman"/>
                <w:b w:val="0"/>
                <w:i w:val="0"/>
                <w:color w:val="000000"/>
                <w:sz w:val="18"/>
              </w:rPr>
              <w:t>0.32</w:t>
            </w:r>
            <w:r>
              <w:rPr>
                <w:rFonts w:ascii="宋体" w:hAnsi="宋体" w:eastAsia="宋体"/>
                <w:b w:val="0"/>
                <w:i w:val="0"/>
                <w:color w:val="000000"/>
                <w:sz w:val="18"/>
              </w:rPr>
              <w:t xml:space="preserve"> 个百分点</w:t>
            </w:r>
          </w:p>
        </w:tc>
      </w:tr>
      <w:tr>
        <w:trPr>
          <w:trHeight w:hRule="exact" w:val="326"/>
        </w:trPr>
        <w:tc>
          <w:tcPr>
            <w:tcW w:type="dxa" w:w="2412"/>
            <w:tcBorders>
              <w:start w:sz="2.3999999999999773" w:val="single" w:color="#000000"/>
              <w:top w:sz="2.400000000000091" w:val="single" w:color="#000000"/>
              <w:end w:sz="1.6000000000001364" w:val="single" w:color="#000000"/>
              <w:bottom w:sz="2.3999999999998636"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4" w:after="0"/>
                    <w:ind w:left="0" w:right="0" w:firstLine="0"/>
                    <w:jc w:val="left"/>
                  </w:pPr>
                  <w:r>
                    <w:rPr>
                      <w:rFonts w:ascii="宋体" w:hAnsi="宋体" w:eastAsia="宋体"/>
                      <w:b w:val="0"/>
                      <w:i w:val="0"/>
                      <w:color w:val="000000"/>
                      <w:sz w:val="18"/>
                    </w:rPr>
                    <w:t xml:space="preserve">利息保障倍数 </w:t>
                  </w:r>
                </w:p>
              </w:tc>
            </w:tr>
          </w:tbl>
          <w:p>
            <w:pPr>
              <w:autoSpaceDN w:val="0"/>
              <w:autoSpaceDE w:val="0"/>
              <w:widowControl/>
              <w:spacing w:line="14" w:lineRule="exact" w:before="0" w:after="0"/>
              <w:ind w:left="0" w:right="0"/>
            </w:pPr>
          </w:p>
        </w:tc>
        <w:tc>
          <w:tcPr>
            <w:tcW w:type="dxa" w:w="2410"/>
            <w:tcBorders>
              <w:start w:sz="1.6000000000001364" w:val="single" w:color="#000000"/>
              <w:top w:sz="2.400000000000091" w:val="single" w:color="#000000"/>
              <w:end w:sz="1.599999999999909" w:val="single" w:color="#000000"/>
              <w:bottom w:sz="2.3999999999998636" w:val="single" w:color="#000000"/>
            </w:tcBorders>
            <w:tcMar>
              <w:start w:w="0" w:type="dxa"/>
              <w:end w:w="0" w:type="dxa"/>
            </w:tcMar>
          </w:tcPr>
          <w:p>
            <w:pPr>
              <w:autoSpaceDN w:val="0"/>
              <w:autoSpaceDE w:val="0"/>
              <w:widowControl/>
              <w:spacing w:line="230" w:lineRule="auto" w:before="60" w:after="0"/>
              <w:ind w:left="0" w:right="62" w:firstLine="0"/>
              <w:jc w:val="right"/>
            </w:pPr>
            <w:r>
              <w:rPr>
                <w:rFonts w:ascii="Times New Roman" w:hAnsi="Times New Roman" w:eastAsia="Times New Roman"/>
                <w:b w:val="0"/>
                <w:i w:val="0"/>
                <w:color w:val="000000"/>
                <w:sz w:val="18"/>
              </w:rPr>
              <w:t xml:space="preserve">1.81 </w:t>
            </w:r>
          </w:p>
        </w:tc>
        <w:tc>
          <w:tcPr>
            <w:tcW w:type="dxa" w:w="2410"/>
            <w:tcBorders>
              <w:start w:sz="1.599999999999909" w:val="single" w:color="#000000"/>
              <w:top w:sz="2.400000000000091" w:val="single" w:color="#000000"/>
              <w:end w:sz="1.599999999999909" w:val="single" w:color="#000000"/>
              <w:bottom w:sz="2.3999999999998636" w:val="single" w:color="#000000"/>
            </w:tcBorders>
            <w:tcMar>
              <w:start w:w="0" w:type="dxa"/>
              <w:end w:w="0" w:type="dxa"/>
            </w:tcMar>
          </w:tcPr>
          <w:p>
            <w:pPr>
              <w:autoSpaceDN w:val="0"/>
              <w:autoSpaceDE w:val="0"/>
              <w:widowControl/>
              <w:spacing w:line="230" w:lineRule="auto" w:before="60" w:after="0"/>
              <w:ind w:left="0" w:right="62" w:firstLine="0"/>
              <w:jc w:val="right"/>
            </w:pPr>
            <w:r>
              <w:rPr>
                <w:rFonts w:ascii="Times New Roman" w:hAnsi="Times New Roman" w:eastAsia="Times New Roman"/>
                <w:b w:val="0"/>
                <w:i w:val="0"/>
                <w:color w:val="000000"/>
                <w:sz w:val="18"/>
              </w:rPr>
              <w:t xml:space="preserve">1.63 </w:t>
            </w:r>
          </w:p>
        </w:tc>
        <w:tc>
          <w:tcPr>
            <w:tcW w:type="dxa" w:w="2410"/>
            <w:tcBorders>
              <w:start w:sz="1.599999999999909" w:val="single" w:color="#000000"/>
              <w:top w:sz="2.400000000000091" w:val="single" w:color="#000000"/>
              <w:end w:sz="1.5999999999994543" w:val="single" w:color="#000000"/>
              <w:bottom w:sz="2.3999999999998636" w:val="single" w:color="#000000"/>
            </w:tcBorders>
            <w:tcMar>
              <w:start w:w="0" w:type="dxa"/>
              <w:end w:w="0" w:type="dxa"/>
            </w:tcMar>
          </w:tcPr>
          <w:p>
            <w:pPr>
              <w:autoSpaceDN w:val="0"/>
              <w:autoSpaceDE w:val="0"/>
              <w:widowControl/>
              <w:spacing w:line="230" w:lineRule="auto" w:before="60" w:after="0"/>
              <w:ind w:left="0" w:right="58" w:firstLine="0"/>
              <w:jc w:val="right"/>
            </w:pPr>
            <w:r>
              <w:rPr>
                <w:rFonts w:ascii="Times New Roman" w:hAnsi="Times New Roman" w:eastAsia="Times New Roman"/>
                <w:b w:val="0"/>
                <w:i w:val="0"/>
                <w:color w:val="000000"/>
                <w:sz w:val="18"/>
              </w:rPr>
              <w:t xml:space="preserve">11.04% </w:t>
            </w:r>
          </w:p>
        </w:tc>
      </w:tr>
      <w:tr>
        <w:trPr>
          <w:trHeight w:hRule="exact" w:val="324"/>
        </w:trPr>
        <w:tc>
          <w:tcPr>
            <w:tcW w:type="dxa" w:w="2412"/>
            <w:tcBorders>
              <w:start w:sz="2.3999999999999773" w:val="single" w:color="#000000"/>
              <w:top w:sz="2.3999999999998636" w:val="single" w:color="#000000"/>
              <w:end w:sz="1.6000000000001364" w:val="single" w:color="#000000"/>
              <w:bottom w:sz="2.400000000000091"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现金利息保障倍数 </w:t>
                  </w:r>
                </w:p>
              </w:tc>
            </w:tr>
          </w:tbl>
          <w:p>
            <w:pPr>
              <w:autoSpaceDN w:val="0"/>
              <w:autoSpaceDE w:val="0"/>
              <w:widowControl/>
              <w:spacing w:line="14" w:lineRule="exact" w:before="0" w:after="0"/>
              <w:ind w:left="0" w:right="0"/>
            </w:pPr>
          </w:p>
        </w:tc>
        <w:tc>
          <w:tcPr>
            <w:tcW w:type="dxa" w:w="2410"/>
            <w:tcBorders>
              <w:start w:sz="1.6000000000001364"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9.11 </w:t>
            </w:r>
          </w:p>
        </w:tc>
        <w:tc>
          <w:tcPr>
            <w:tcW w:type="dxa" w:w="2410"/>
            <w:tcBorders>
              <w:start w:sz="1.599999999999909" w:val="single" w:color="#000000"/>
              <w:top w:sz="2.3999999999998636" w:val="single" w:color="#000000"/>
              <w:end w:sz="1.599999999999909" w:val="single" w:color="#000000"/>
              <w:bottom w:sz="2.400000000000091"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1.85 </w:t>
            </w:r>
          </w:p>
        </w:tc>
        <w:tc>
          <w:tcPr>
            <w:tcW w:type="dxa" w:w="2410"/>
            <w:tcBorders>
              <w:start w:sz="1.599999999999909" w:val="single" w:color="#000000"/>
              <w:top w:sz="2.3999999999998636" w:val="single" w:color="#000000"/>
              <w:end w:sz="1.5999999999994543" w:val="single" w:color="#000000"/>
              <w:bottom w:sz="2.400000000000091" w:val="single" w:color="#000000"/>
            </w:tcBorders>
            <w:tcMar>
              <w:start w:w="0" w:type="dxa"/>
              <w:end w:w="0" w:type="dxa"/>
            </w:tcMar>
          </w:tcPr>
          <w:p>
            <w:pPr>
              <w:autoSpaceDN w:val="0"/>
              <w:autoSpaceDE w:val="0"/>
              <w:widowControl/>
              <w:spacing w:line="230" w:lineRule="auto" w:before="58" w:after="0"/>
              <w:ind w:left="0" w:right="58" w:firstLine="0"/>
              <w:jc w:val="right"/>
            </w:pPr>
            <w:r>
              <w:rPr>
                <w:rFonts w:ascii="Times New Roman" w:hAnsi="Times New Roman" w:eastAsia="Times New Roman"/>
                <w:b w:val="0"/>
                <w:i w:val="0"/>
                <w:color w:val="000000"/>
                <w:sz w:val="18"/>
              </w:rPr>
              <w:t xml:space="preserve">392.43% </w:t>
            </w:r>
          </w:p>
        </w:tc>
      </w:tr>
      <w:tr>
        <w:trPr>
          <w:trHeight w:hRule="exact" w:val="326"/>
        </w:trPr>
        <w:tc>
          <w:tcPr>
            <w:tcW w:type="dxa" w:w="2412"/>
            <w:tcBorders>
              <w:start w:sz="2.3999999999999773" w:val="single" w:color="#000000"/>
              <w:top w:sz="2.400000000000091" w:val="single" w:color="#000000"/>
              <w:end w:sz="1.6000000000001364" w:val="single" w:color="#000000"/>
              <w:bottom w:sz="2.3999999999998636"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298"/>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EBITDA 利息保障倍数 </w:t>
                  </w:r>
                </w:p>
              </w:tc>
            </w:tr>
          </w:tbl>
          <w:p>
            <w:pPr>
              <w:autoSpaceDN w:val="0"/>
              <w:autoSpaceDE w:val="0"/>
              <w:widowControl/>
              <w:spacing w:line="14" w:lineRule="exact" w:before="0" w:after="0"/>
              <w:ind w:left="0" w:right="0"/>
            </w:pPr>
          </w:p>
        </w:tc>
        <w:tc>
          <w:tcPr>
            <w:tcW w:type="dxa" w:w="2410"/>
            <w:tcBorders>
              <w:start w:sz="1.6000000000001364" w:val="single" w:color="#000000"/>
              <w:top w:sz="2.400000000000091" w:val="single" w:color="#000000"/>
              <w:end w:sz="1.599999999999909" w:val="single" w:color="#000000"/>
              <w:bottom w:sz="2.3999999999998636"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2.10 </w:t>
            </w:r>
          </w:p>
        </w:tc>
        <w:tc>
          <w:tcPr>
            <w:tcW w:type="dxa" w:w="2410"/>
            <w:tcBorders>
              <w:start w:sz="1.599999999999909" w:val="single" w:color="#000000"/>
              <w:top w:sz="2.400000000000091" w:val="single" w:color="#000000"/>
              <w:end w:sz="1.599999999999909" w:val="single" w:color="#000000"/>
              <w:bottom w:sz="2.3999999999998636" w:val="single" w:color="#000000"/>
            </w:tcBorders>
            <w:tcMar>
              <w:start w:w="0" w:type="dxa"/>
              <w:end w:w="0" w:type="dxa"/>
            </w:tcMar>
          </w:tcPr>
          <w:p>
            <w:pPr>
              <w:autoSpaceDN w:val="0"/>
              <w:autoSpaceDE w:val="0"/>
              <w:widowControl/>
              <w:spacing w:line="230" w:lineRule="auto" w:before="58" w:after="0"/>
              <w:ind w:left="0" w:right="62" w:firstLine="0"/>
              <w:jc w:val="right"/>
            </w:pPr>
            <w:r>
              <w:rPr>
                <w:rFonts w:ascii="Times New Roman" w:hAnsi="Times New Roman" w:eastAsia="Times New Roman"/>
                <w:b w:val="0"/>
                <w:i w:val="0"/>
                <w:color w:val="000000"/>
                <w:sz w:val="18"/>
              </w:rPr>
              <w:t xml:space="preserve">1.86 </w:t>
            </w:r>
          </w:p>
        </w:tc>
        <w:tc>
          <w:tcPr>
            <w:tcW w:type="dxa" w:w="2410"/>
            <w:tcBorders>
              <w:start w:sz="1.599999999999909" w:val="single" w:color="#000000"/>
              <w:top w:sz="2.400000000000091" w:val="single" w:color="#000000"/>
              <w:end w:sz="1.5999999999994543" w:val="single" w:color="#000000"/>
              <w:bottom w:sz="2.3999999999998636" w:val="single" w:color="#000000"/>
            </w:tcBorders>
            <w:tcMar>
              <w:start w:w="0" w:type="dxa"/>
              <w:end w:w="0" w:type="dxa"/>
            </w:tcMar>
          </w:tcPr>
          <w:p>
            <w:pPr>
              <w:autoSpaceDN w:val="0"/>
              <w:autoSpaceDE w:val="0"/>
              <w:widowControl/>
              <w:spacing w:line="230" w:lineRule="auto" w:before="58" w:after="0"/>
              <w:ind w:left="0" w:right="58" w:firstLine="0"/>
              <w:jc w:val="right"/>
            </w:pPr>
            <w:r>
              <w:rPr>
                <w:rFonts w:ascii="Times New Roman" w:hAnsi="Times New Roman" w:eastAsia="Times New Roman"/>
                <w:b w:val="0"/>
                <w:i w:val="0"/>
                <w:color w:val="000000"/>
                <w:sz w:val="18"/>
              </w:rPr>
              <w:t xml:space="preserve">12.90% </w:t>
            </w:r>
          </w:p>
        </w:tc>
      </w:tr>
      <w:tr>
        <w:trPr>
          <w:trHeight w:hRule="exact" w:val="326"/>
        </w:trPr>
        <w:tc>
          <w:tcPr>
            <w:tcW w:type="dxa" w:w="2412"/>
            <w:tcBorders>
              <w:start w:sz="2.3999999999999773" w:val="single" w:color="#000000"/>
              <w:top w:sz="2.3999999999998636" w:val="single" w:color="#000000"/>
              <w:end w:sz="1.6000000000001364"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2"/>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贷款偿还率 </w:t>
                  </w:r>
                </w:p>
              </w:tc>
            </w:tr>
          </w:tbl>
          <w:p>
            <w:pPr>
              <w:autoSpaceDN w:val="0"/>
              <w:autoSpaceDE w:val="0"/>
              <w:widowControl/>
              <w:spacing w:line="14" w:lineRule="exact" w:before="0" w:after="0"/>
              <w:ind w:left="0" w:right="0"/>
            </w:pPr>
          </w:p>
        </w:tc>
        <w:tc>
          <w:tcPr>
            <w:tcW w:type="dxa" w:w="2410"/>
            <w:tcBorders>
              <w:start w:sz="1.6000000000001364" w:val="single" w:color="#000000"/>
              <w:top w:sz="2.3999999999998636"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100.00% </w:t>
            </w:r>
          </w:p>
        </w:tc>
        <w:tc>
          <w:tcPr>
            <w:tcW w:type="dxa" w:w="2410"/>
            <w:tcBorders>
              <w:start w:sz="1.599999999999909" w:val="single" w:color="#000000"/>
              <w:top w:sz="2.3999999999998636"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60" w:after="0"/>
              <w:ind w:left="0" w:right="62" w:firstLine="0"/>
              <w:jc w:val="right"/>
            </w:pPr>
            <w:r>
              <w:rPr>
                <w:rFonts w:ascii="Times New Roman" w:hAnsi="Times New Roman" w:eastAsia="Times New Roman"/>
                <w:b w:val="0"/>
                <w:i w:val="0"/>
                <w:color w:val="000000"/>
                <w:sz w:val="18"/>
              </w:rPr>
              <w:t xml:space="preserve">100.00% </w:t>
            </w:r>
          </w:p>
        </w:tc>
        <w:tc>
          <w:tcPr>
            <w:tcW w:type="dxa" w:w="2410"/>
            <w:tcBorders>
              <w:start w:sz="1.599999999999909" w:val="single" w:color="#000000"/>
              <w:top w:sz="2.3999999999998636" w:val="single" w:color="#000000"/>
              <w:end w:sz="1.5999999999994543" w:val="single" w:color="#000000"/>
              <w:bottom w:sz="1.599999999999909" w:val="single" w:color="#000000"/>
            </w:tcBorders>
            <w:tcMar>
              <w:start w:w="0" w:type="dxa"/>
              <w:end w:w="0" w:type="dxa"/>
            </w:tcMar>
          </w:tcPr>
          <w:p>
            <w:pPr>
              <w:autoSpaceDN w:val="0"/>
              <w:autoSpaceDE w:val="0"/>
              <w:widowControl/>
              <w:spacing w:line="233" w:lineRule="auto" w:before="60" w:after="0"/>
              <w:ind w:left="0" w:right="58" w:firstLine="0"/>
              <w:jc w:val="right"/>
            </w:pPr>
            <w:r>
              <w:rPr>
                <w:rFonts w:ascii="Times New Roman" w:hAnsi="Times New Roman" w:eastAsia="Times New Roman"/>
                <w:b w:val="0"/>
                <w:i w:val="0"/>
                <w:color w:val="000000"/>
                <w:sz w:val="18"/>
              </w:rPr>
              <w:t xml:space="preserve">- </w:t>
            </w:r>
          </w:p>
        </w:tc>
      </w:tr>
      <w:tr>
        <w:trPr>
          <w:trHeight w:hRule="exact" w:val="324"/>
        </w:trPr>
        <w:tc>
          <w:tcPr>
            <w:tcW w:type="dxa" w:w="2412"/>
            <w:tcBorders>
              <w:start w:sz="2.3999999999999773" w:val="single" w:color="#000000"/>
              <w:top w:sz="1.599999999999909" w:val="single" w:color="#000000"/>
              <w:end w:sz="1.6000000000001364" w:val="single" w:color="#000000"/>
              <w:bottom w:sz="1.599999999999909" w:val="single" w:color="#000000"/>
            </w:tcBorders>
            <w:shd w:fill="d2d2d2"/>
            <w:tcMar>
              <w:start w:w="0" w:type="dxa"/>
              <w:end w:w="0" w:type="dxa"/>
            </w:tcMar>
          </w:tcPr>
          <w:tbl>
            <w:tblPr>
              <w:tblW w:type="auto" w:w="0"/>
              <w:tblLayout w:type="fixed"/>
              <w:tblLook w:firstColumn="1" w:firstRow="1" w:lastColumn="0" w:lastRow="0" w:noHBand="0" w:noVBand="1" w:val="04A0"/>
              <w:tblInd w:w="108.00000000000011" w:type="dxa"/>
            </w:tblPr>
            <w:tblGrid>
              <w:gridCol w:w="2412"/>
            </w:tblGrid>
            <w:tr>
              <w:trPr>
                <w:trHeight w:hRule="exact" w:val="300"/>
              </w:trPr>
              <w:tc>
                <w:tcPr>
                  <w:tcW w:type="dxa" w:w="2192"/>
                  <w:tcBorders/>
                  <w:shd w:fill="d2d2d2"/>
                  <w:tcMar>
                    <w:start w:w="0" w:type="dxa"/>
                    <w:end w:w="0" w:type="dxa"/>
                  </w:tcMar>
                </w:tcPr>
                <w:p>
                  <w:pPr>
                    <w:autoSpaceDN w:val="0"/>
                    <w:autoSpaceDE w:val="0"/>
                    <w:widowControl/>
                    <w:spacing w:line="180" w:lineRule="exact" w:before="76" w:after="0"/>
                    <w:ind w:left="0" w:right="0" w:firstLine="0"/>
                    <w:jc w:val="left"/>
                  </w:pPr>
                  <w:r>
                    <w:rPr>
                      <w:rFonts w:ascii="宋体" w:hAnsi="宋体" w:eastAsia="宋体"/>
                      <w:b w:val="0"/>
                      <w:i w:val="0"/>
                      <w:color w:val="000000"/>
                      <w:sz w:val="18"/>
                    </w:rPr>
                    <w:t xml:space="preserve">利息偿付率 </w:t>
                  </w:r>
                </w:p>
              </w:tc>
            </w:tr>
          </w:tbl>
          <w:p>
            <w:pPr>
              <w:autoSpaceDN w:val="0"/>
              <w:autoSpaceDE w:val="0"/>
              <w:widowControl/>
              <w:spacing w:line="14" w:lineRule="exact" w:before="0" w:after="0"/>
              <w:ind w:left="0" w:right="0"/>
            </w:pPr>
          </w:p>
        </w:tc>
        <w:tc>
          <w:tcPr>
            <w:tcW w:type="dxa" w:w="2410"/>
            <w:tcBorders>
              <w:start w:sz="1.6000000000001364"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100.00% </w:t>
            </w:r>
          </w:p>
        </w:tc>
        <w:tc>
          <w:tcPr>
            <w:tcW w:type="dxa" w:w="2410"/>
            <w:tcBorders>
              <w:start w:sz="1.599999999999909" w:val="single" w:color="#000000"/>
              <w:top w:sz="1.599999999999909" w:val="single" w:color="#000000"/>
              <w:end w:sz="1.599999999999909" w:val="single" w:color="#000000"/>
              <w:bottom w:sz="1.599999999999909" w:val="single" w:color="#000000"/>
            </w:tcBorders>
            <w:tcMar>
              <w:start w:w="0" w:type="dxa"/>
              <w:end w:w="0" w:type="dxa"/>
            </w:tcMar>
          </w:tcPr>
          <w:p>
            <w:pPr>
              <w:autoSpaceDN w:val="0"/>
              <w:autoSpaceDE w:val="0"/>
              <w:widowControl/>
              <w:spacing w:line="233" w:lineRule="auto" w:before="58" w:after="0"/>
              <w:ind w:left="0" w:right="62" w:firstLine="0"/>
              <w:jc w:val="right"/>
            </w:pPr>
            <w:r>
              <w:rPr>
                <w:rFonts w:ascii="Times New Roman" w:hAnsi="Times New Roman" w:eastAsia="Times New Roman"/>
                <w:b w:val="0"/>
                <w:i w:val="0"/>
                <w:color w:val="000000"/>
                <w:sz w:val="18"/>
              </w:rPr>
              <w:t xml:space="preserve">100.00% </w:t>
            </w:r>
          </w:p>
        </w:tc>
        <w:tc>
          <w:tcPr>
            <w:tcW w:type="dxa" w:w="2410"/>
            <w:tcBorders>
              <w:start w:sz="1.599999999999909" w:val="single" w:color="#000000"/>
              <w:top w:sz="1.599999999999909" w:val="single" w:color="#000000"/>
              <w:end w:sz="1.5999999999994543" w:val="single" w:color="#000000"/>
              <w:bottom w:sz="1.599999999999909" w:val="single" w:color="#000000"/>
            </w:tcBorders>
            <w:tcMar>
              <w:start w:w="0" w:type="dxa"/>
              <w:end w:w="0" w:type="dxa"/>
            </w:tcMar>
          </w:tcPr>
          <w:p>
            <w:pPr>
              <w:autoSpaceDN w:val="0"/>
              <w:autoSpaceDE w:val="0"/>
              <w:widowControl/>
              <w:spacing w:line="233" w:lineRule="auto" w:before="58" w:after="0"/>
              <w:ind w:left="0" w:right="58" w:firstLine="0"/>
              <w:jc w:val="right"/>
            </w:pPr>
            <w:r>
              <w:rPr>
                <w:rFonts w:ascii="Times New Roman" w:hAnsi="Times New Roman" w:eastAsia="Times New Roman"/>
                <w:b w:val="0"/>
                <w:i w:val="0"/>
                <w:color w:val="000000"/>
                <w:sz w:val="18"/>
              </w:rPr>
              <w:t xml:space="preserve">- </w:t>
            </w:r>
          </w:p>
        </w:tc>
      </w:tr>
    </w:tbl>
    <w:p>
      <w:pPr>
        <w:autoSpaceDN w:val="0"/>
        <w:autoSpaceDE w:val="0"/>
        <w:widowControl/>
        <w:spacing w:line="180" w:lineRule="exact" w:before="132" w:after="0"/>
        <w:ind w:left="30" w:right="0" w:firstLine="0"/>
        <w:jc w:val="left"/>
      </w:pPr>
      <w:r>
        <w:rPr>
          <w:rFonts w:ascii="宋体" w:hAnsi="宋体" w:eastAsia="宋体"/>
          <w:b w:val="0"/>
          <w:i w:val="0"/>
          <w:color w:val="000000"/>
          <w:sz w:val="18"/>
        </w:rPr>
        <w:t xml:space="preserve">上述会计数据和财务指标同比变动超过30%的主要原因： </w:t>
      </w:r>
    </w:p>
    <w:p>
      <w:pPr>
        <w:autoSpaceDN w:val="0"/>
        <w:autoSpaceDE w:val="0"/>
        <w:widowControl/>
        <w:spacing w:line="180" w:lineRule="exact" w:before="162" w:after="0"/>
        <w:ind w:left="30" w:right="0" w:firstLine="0"/>
        <w:jc w:val="left"/>
      </w:pPr>
      <w:r>
        <w:rPr>
          <w:rFonts w:ascii="宋体" w:hAnsi="宋体" w:eastAsia="宋体"/>
          <w:b w:val="0"/>
          <w:i w:val="0"/>
          <w:color w:val="000000"/>
          <w:sz w:val="18"/>
        </w:rPr>
        <w:t xml:space="preserve">现金利息保障倍数同比增长392.43%，主要是经营活动产生的现金流量净额同比大幅增长所致。 </w:t>
      </w:r>
    </w:p>
    <w:p>
      <w:pPr>
        <w:autoSpaceDN w:val="0"/>
        <w:autoSpaceDE w:val="0"/>
        <w:widowControl/>
        <w:spacing w:line="197" w:lineRule="auto" w:before="10878" w:after="0"/>
        <w:ind w:left="0" w:right="0" w:firstLine="0"/>
        <w:jc w:val="center"/>
      </w:pPr>
      <w:r>
        <w:rPr>
          <w:rFonts w:ascii="Calibri" w:hAnsi="Calibri" w:eastAsia="Calibri"/>
          <w:b w:val="0"/>
          <w:i w:val="0"/>
          <w:color w:val="000000"/>
          <w:sz w:val="18"/>
        </w:rPr>
        <w:t xml:space="preserve">139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206"/>
        <w:ind w:left="0" w:right="0"/>
      </w:pPr>
    </w:p>
    <w:p>
      <w:pPr>
        <w:sectPr>
          <w:pgSz w:w="11904" w:h="16841"/>
          <w:pgMar w:top="424" w:right="1084" w:bottom="446" w:left="1104" w:header="720" w:footer="720" w:gutter="0"/>
          <w:cols/>
          <w:docGrid w:linePitch="360"/>
        </w:sectPr>
      </w:pPr>
    </w:p>
    <w:p>
      <w:pPr>
        <w:autoSpaceDN w:val="0"/>
        <w:autoSpaceDE w:val="0"/>
        <w:widowControl/>
        <w:spacing w:line="240" w:lineRule="auto" w:before="0" w:after="0"/>
        <w:ind w:left="30" w:right="0" w:firstLine="0"/>
        <w:jc w:val="left"/>
      </w:pPr>
      <w:r>
        <w:drawing>
          <wp:inline xmlns:a="http://schemas.openxmlformats.org/drawingml/2006/main" xmlns:pic="http://schemas.openxmlformats.org/drawingml/2006/picture">
            <wp:extent cx="1844039" cy="439419"/>
            <wp:docPr id="143" name="Picture 14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44039" cy="439419"/>
                    </a:xfrm>
                    <a:prstGeom prst="rect"/>
                  </pic:spPr>
                </pic:pic>
              </a:graphicData>
            </a:graphic>
          </wp:inline>
        </w:drawing>
      </w:r>
    </w:p>
    <w:p>
      <w:pPr>
        <w:sectPr>
          <w:type w:val="continuous"/>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200" w:lineRule="exact" w:before="0" w:after="30"/>
        <w:ind w:left="0" w:right="64" w:firstLine="0"/>
        <w:jc w:val="right"/>
      </w:pPr>
      <w:r>
        <w:rPr>
          <w:rFonts w:ascii="Calibri" w:hAnsi="Calibri" w:eastAsia="Calibri"/>
          <w:b w:val="0"/>
          <w:i w:val="0"/>
          <w:color w:val="000000"/>
          <w:sz w:val="18"/>
        </w:rPr>
        <w:t xml:space="preserve"> 2024</w:t>
      </w:r>
      <w:r>
        <w:rPr>
          <w:rFonts w:ascii="宋体" w:hAnsi="宋体" w:eastAsia="宋体"/>
          <w:b w:val="0"/>
          <w:i w:val="0"/>
          <w:color w:val="000000"/>
          <w:sz w:val="18"/>
        </w:rPr>
        <w:t xml:space="preserve"> 年年度报告全文</w:t>
      </w:r>
    </w:p>
    <w:p>
      <w:pPr>
        <w:sectPr>
          <w:type w:val="nextColumn"/>
          <w:pgSz w:w="11904" w:h="16841"/>
          <w:pgMar w:top="424" w:right="1084" w:bottom="446" w:left="1104" w:header="720" w:footer="720" w:gutter="0"/>
          <w:cols w:num="2" w:equalWidth="0">
            <w:col w:w="5436" w:space="0"/>
            <w:col w:w="4280" w:space="0"/>
          </w:cols>
          <w:docGrid w:linePitch="360"/>
        </w:sectPr>
      </w:pPr>
    </w:p>
    <w:p>
      <w:pPr>
        <w:autoSpaceDN w:val="0"/>
        <w:autoSpaceDE w:val="0"/>
        <w:widowControl/>
        <w:spacing w:line="320" w:lineRule="exact" w:before="366" w:after="0"/>
        <w:ind w:left="0" w:right="0" w:firstLine="0"/>
        <w:jc w:val="center"/>
      </w:pPr>
      <w:r>
        <w:rPr>
          <w:rFonts w:ascii="宋体" w:hAnsi="宋体" w:eastAsia="宋体"/>
          <w:b w:val="0"/>
          <w:i w:val="0"/>
          <w:color w:val="000000"/>
          <w:sz w:val="32"/>
        </w:rPr>
        <w:t xml:space="preserve">第十节 财务报告 </w:t>
      </w:r>
    </w:p>
    <w:p>
      <w:pPr>
        <w:autoSpaceDN w:val="0"/>
        <w:autoSpaceDE w:val="0"/>
        <w:widowControl/>
        <w:spacing w:line="240" w:lineRule="exact" w:before="492" w:after="326"/>
        <w:ind w:left="30" w:right="0" w:firstLine="0"/>
        <w:jc w:val="left"/>
      </w:pPr>
      <w:r>
        <w:rPr>
          <w:rFonts w:ascii="宋体" w:hAnsi="宋体" w:eastAsia="宋体"/>
          <w:b w:val="0"/>
          <w:i w:val="0"/>
          <w:color w:val="000000"/>
          <w:sz w:val="24"/>
        </w:rPr>
        <w:t xml:space="preserve">一、审计报告 </w:t>
      </w:r>
    </w:p>
    <w:tbl>
      <w:tblPr>
        <w:tblW w:type="auto" w:w="0"/>
        <w:tblLayout w:type="fixed"/>
        <w:tblLook w:firstColumn="1" w:firstRow="1" w:lastColumn="0" w:lastRow="0" w:noHBand="0" w:noVBand="1" w:val="04A0"/>
        <w:tblInd w:w="27.99999999999997" w:type="dxa"/>
      </w:tblPr>
      <w:tblGrid>
        <w:gridCol w:w="4858"/>
        <w:gridCol w:w="4858"/>
      </w:tblGrid>
      <w:tr>
        <w:trPr>
          <w:trHeight w:hRule="exact" w:val="324"/>
        </w:trPr>
        <w:tc>
          <w:tcPr>
            <w:tcW w:type="dxa" w:w="4824"/>
            <w:tcBorders>
              <w:start w:sz="2.3999999999999773" w:val="single" w:color="#000000"/>
              <w:top w:sz="2.400000000000091" w:val="single" w:color="#000000"/>
              <w:end w:sz="1.599999999999909" w:val="single" w:color="#000000"/>
              <w:bottom w:sz="2.3999999999998636" w:val="single" w:color="#000000"/>
            </w:tcBorders>
            <w:shd w:fill="d2d2d2"/>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审计意见类型 </w:t>
            </w:r>
          </w:p>
        </w:tc>
        <w:tc>
          <w:tcPr>
            <w:tcW w:type="dxa" w:w="4824"/>
            <w:tcBorders>
              <w:start w:sz="1.599999999999909" w:val="single" w:color="#000000"/>
              <w:top w:sz="2.400000000000091" w:val="single" w:color="#000000"/>
              <w:end w:sz="2.4000000000005457" w:val="single" w:color="#000000"/>
              <w:bottom w:sz="2.3999999999998636" w:val="single" w:color="#000000"/>
            </w:tcBorders>
            <w:tcMar>
              <w:start w:w="0" w:type="dxa"/>
              <w:end w:w="0" w:type="dxa"/>
            </w:tcMar>
          </w:tcPr>
          <w:p>
            <w:pPr>
              <w:autoSpaceDN w:val="0"/>
              <w:autoSpaceDE w:val="0"/>
              <w:widowControl/>
              <w:spacing w:line="180" w:lineRule="exact" w:before="80" w:after="0"/>
              <w:ind w:left="108" w:right="0" w:firstLine="0"/>
              <w:jc w:val="left"/>
            </w:pPr>
            <w:r>
              <w:rPr>
                <w:rFonts w:ascii="宋体" w:hAnsi="宋体" w:eastAsia="宋体"/>
                <w:b w:val="0"/>
                <w:i w:val="0"/>
                <w:color w:val="000000"/>
                <w:sz w:val="18"/>
              </w:rPr>
              <w:t xml:space="preserve">标准的无保留意见 </w:t>
            </w:r>
          </w:p>
        </w:tc>
      </w:tr>
      <w:tr>
        <w:trPr>
          <w:trHeight w:hRule="exact" w:val="328"/>
        </w:trPr>
        <w:tc>
          <w:tcPr>
            <w:tcW w:type="dxa" w:w="4824"/>
            <w:tcBorders>
              <w:start w:sz="2.3999999999999773" w:val="single" w:color="#000000"/>
              <w:top w:sz="2.3999999999998636"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审计报告签署日期 </w:t>
            </w:r>
          </w:p>
        </w:tc>
        <w:tc>
          <w:tcPr>
            <w:tcW w:type="dxa" w:w="4824"/>
            <w:tcBorders>
              <w:start w:sz="1.599999999999909" w:val="single" w:color="#000000"/>
              <w:top w:sz="2.3999999999998636" w:val="single" w:color="#000000"/>
              <w:end w:sz="2.4000000000005457" w:val="single" w:color="#000000"/>
              <w:bottom w:sz="1.6000000000001364" w:val="single" w:color="#000000"/>
            </w:tcBorders>
            <w:tcMar>
              <w:start w:w="0" w:type="dxa"/>
              <w:end w:w="0" w:type="dxa"/>
            </w:tcMar>
          </w:tcPr>
          <w:p>
            <w:pPr>
              <w:autoSpaceDN w:val="0"/>
              <w:autoSpaceDE w:val="0"/>
              <w:widowControl/>
              <w:spacing w:line="200" w:lineRule="exact" w:before="72" w:after="0"/>
              <w:ind w:left="108" w:right="0" w:firstLine="0"/>
              <w:jc w:val="left"/>
            </w:pPr>
            <w:r>
              <w:rPr>
                <w:rFonts w:ascii="Times New Roman" w:hAnsi="Times New Roman" w:eastAsia="Times New Roman"/>
                <w:b w:val="0"/>
                <w:i w:val="0"/>
                <w:color w:val="000000"/>
                <w:sz w:val="18"/>
              </w:rPr>
              <w:t>2025</w:t>
            </w:r>
            <w:r>
              <w:rPr>
                <w:rFonts w:ascii="宋体" w:hAnsi="宋体" w:eastAsia="宋体"/>
                <w:b w:val="0"/>
                <w:i w:val="0"/>
                <w:color w:val="000000"/>
                <w:sz w:val="18"/>
              </w:rPr>
              <w:t xml:space="preserve"> 年</w:t>
            </w:r>
            <w:r>
              <w:rPr>
                <w:rFonts w:ascii="Times New Roman" w:hAnsi="Times New Roman" w:eastAsia="Times New Roman"/>
                <w:b w:val="0"/>
                <w:i w:val="0"/>
                <w:color w:val="000000"/>
                <w:sz w:val="18"/>
              </w:rPr>
              <w:t>4</w:t>
            </w:r>
            <w:r>
              <w:rPr>
                <w:rFonts w:ascii="宋体" w:hAnsi="宋体" w:eastAsia="宋体"/>
                <w:b w:val="0"/>
                <w:i w:val="0"/>
                <w:color w:val="000000"/>
                <w:sz w:val="18"/>
              </w:rPr>
              <w:t xml:space="preserve"> 月</w:t>
            </w:r>
            <w:r>
              <w:rPr>
                <w:rFonts w:ascii="Times New Roman" w:hAnsi="Times New Roman" w:eastAsia="Times New Roman"/>
                <w:b w:val="0"/>
                <w:i w:val="0"/>
                <w:color w:val="000000"/>
                <w:sz w:val="18"/>
              </w:rPr>
              <w:t>24</w:t>
            </w:r>
            <w:r>
              <w:rPr>
                <w:rFonts w:ascii="宋体" w:hAnsi="宋体" w:eastAsia="宋体"/>
                <w:b w:val="0"/>
                <w:i w:val="0"/>
                <w:color w:val="000000"/>
                <w:sz w:val="18"/>
              </w:rPr>
              <w:t xml:space="preserve"> 日</w:t>
            </w:r>
          </w:p>
        </w:tc>
      </w:tr>
      <w:tr>
        <w:trPr>
          <w:trHeight w:hRule="exact" w:val="324"/>
        </w:trPr>
        <w:tc>
          <w:tcPr>
            <w:tcW w:type="dxa" w:w="4824"/>
            <w:tcBorders>
              <w:top w:sz="1.6000000000001364" w:val="single" w:color="#000000"/>
              <w:end w:sz="1.599999999999909" w:val="single" w:color="#000000"/>
              <w:bottom w:sz="1.599999999999909" w:val="single" w:color="#000000"/>
            </w:tcBorders>
            <w:shd w:fill="d2d2d2"/>
            <w:tcMar>
              <w:start w:w="0" w:type="dxa"/>
              <w:end w:w="0" w:type="dxa"/>
            </w:tcMar>
          </w:tcPr>
          <w:p>
            <w:pPr>
              <w:autoSpaceDN w:val="0"/>
              <w:autoSpaceDE w:val="0"/>
              <w:widowControl/>
              <w:spacing w:line="180" w:lineRule="exact" w:before="76" w:after="0"/>
              <w:ind w:left="112" w:right="0" w:firstLine="0"/>
              <w:jc w:val="left"/>
            </w:pPr>
            <w:r>
              <w:rPr>
                <w:rFonts w:ascii="宋体" w:hAnsi="宋体" w:eastAsia="宋体"/>
                <w:b w:val="0"/>
                <w:i w:val="0"/>
                <w:color w:val="000000"/>
                <w:sz w:val="18"/>
              </w:rPr>
              <w:t xml:space="preserve">审计机构名称 </w:t>
            </w:r>
          </w:p>
        </w:tc>
        <w:tc>
          <w:tcPr>
            <w:tcW w:type="dxa" w:w="4824"/>
            <w:tcBorders>
              <w:start w:sz="1.599999999999909" w:val="single" w:color="#000000"/>
              <w:top w:sz="1.6000000000001364" w:val="single" w:color="#000000"/>
              <w:end w:sz="2.4000000000005457" w:val="single" w:color="#000000"/>
              <w:bottom w:sz="1.599999999999909" w:val="single" w:color="#000000"/>
            </w:tcBorders>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安永华明会计师事务所（特殊普通合伙） </w:t>
            </w:r>
          </w:p>
        </w:tc>
      </w:tr>
      <w:tr>
        <w:trPr>
          <w:trHeight w:hRule="exact" w:val="326"/>
        </w:trPr>
        <w:tc>
          <w:tcPr>
            <w:tcW w:type="dxa" w:w="4824"/>
            <w:tcBorders>
              <w:top w:sz="1.599999999999909" w:val="single" w:color="#000000"/>
              <w:end w:sz="1.599999999999909" w:val="single" w:color="#000000"/>
              <w:bottom w:sz="1.6000000000001364" w:val="single" w:color="#000000"/>
            </w:tcBorders>
            <w:shd w:fill="d2d2d2"/>
            <w:tcMar>
              <w:start w:w="0" w:type="dxa"/>
              <w:end w:w="0" w:type="dxa"/>
            </w:tcMar>
          </w:tcPr>
          <w:p>
            <w:pPr>
              <w:autoSpaceDN w:val="0"/>
              <w:autoSpaceDE w:val="0"/>
              <w:widowControl/>
              <w:spacing w:line="180" w:lineRule="exact" w:before="76" w:after="0"/>
              <w:ind w:left="112" w:right="0" w:firstLine="0"/>
              <w:jc w:val="left"/>
            </w:pPr>
            <w:r>
              <w:rPr>
                <w:rFonts w:ascii="宋体" w:hAnsi="宋体" w:eastAsia="宋体"/>
                <w:b w:val="0"/>
                <w:i w:val="0"/>
                <w:color w:val="000000"/>
                <w:sz w:val="18"/>
              </w:rPr>
              <w:t xml:space="preserve">审计报告文号 </w:t>
            </w:r>
          </w:p>
        </w:tc>
        <w:tc>
          <w:tcPr>
            <w:tcW w:type="dxa" w:w="4824"/>
            <w:tcBorders>
              <w:start w:sz="1.599999999999909" w:val="single" w:color="#000000"/>
              <w:top w:sz="1.599999999999909" w:val="single" w:color="#000000"/>
              <w:end w:sz="2.4000000000005457" w:val="single" w:color="#000000"/>
              <w:bottom w:sz="1.6000000000001364" w:val="single" w:color="#000000"/>
            </w:tcBorders>
            <w:tcMar>
              <w:start w:w="0" w:type="dxa"/>
              <w:end w:w="0" w:type="dxa"/>
            </w:tcMar>
          </w:tcPr>
          <w:p>
            <w:pPr>
              <w:autoSpaceDN w:val="0"/>
              <w:autoSpaceDE w:val="0"/>
              <w:widowControl/>
              <w:spacing w:line="180" w:lineRule="exact" w:before="78" w:after="0"/>
              <w:ind w:left="108" w:right="0" w:firstLine="0"/>
              <w:jc w:val="left"/>
            </w:pPr>
            <w:r>
              <w:rPr>
                <w:rFonts w:ascii="宋体" w:hAnsi="宋体" w:eastAsia="宋体"/>
                <w:b w:val="0"/>
                <w:i w:val="0"/>
                <w:color w:val="000000"/>
                <w:sz w:val="18"/>
              </w:rPr>
              <w:t xml:space="preserve">安永华明（2025）审字第 70021381_A01 号 </w:t>
            </w:r>
          </w:p>
        </w:tc>
      </w:tr>
      <w:tr>
        <w:trPr>
          <w:trHeight w:hRule="exact" w:val="326"/>
        </w:trPr>
        <w:tc>
          <w:tcPr>
            <w:tcW w:type="dxa" w:w="4824"/>
            <w:tcBorders>
              <w:top w:sz="1.6000000000001364" w:val="single" w:color="#000000"/>
              <w:end w:sz="1.599999999999909" w:val="single" w:color="#000000"/>
              <w:bottom w:sz="2.3999999999998636" w:val="single" w:color="#000000"/>
            </w:tcBorders>
            <w:shd w:fill="d2d2d2"/>
            <w:tcMar>
              <w:start w:w="0" w:type="dxa"/>
              <w:end w:w="0" w:type="dxa"/>
            </w:tcMar>
          </w:tcPr>
          <w:p>
            <w:pPr>
              <w:autoSpaceDN w:val="0"/>
              <w:autoSpaceDE w:val="0"/>
              <w:widowControl/>
              <w:spacing w:line="180" w:lineRule="exact" w:before="76" w:after="0"/>
              <w:ind w:left="112" w:right="0" w:firstLine="0"/>
              <w:jc w:val="left"/>
            </w:pPr>
            <w:r>
              <w:rPr>
                <w:rFonts w:ascii="宋体" w:hAnsi="宋体" w:eastAsia="宋体"/>
                <w:b w:val="0"/>
                <w:i w:val="0"/>
                <w:color w:val="000000"/>
                <w:sz w:val="18"/>
              </w:rPr>
              <w:t xml:space="preserve">注册会计师姓名 </w:t>
            </w:r>
          </w:p>
        </w:tc>
        <w:tc>
          <w:tcPr>
            <w:tcW w:type="dxa" w:w="4824"/>
            <w:tcBorders>
              <w:start w:sz="1.599999999999909" w:val="single" w:color="#000000"/>
              <w:top w:sz="1.6000000000001364" w:val="single" w:color="#000000"/>
              <w:end w:sz="2.4000000000005457" w:val="single" w:color="#000000"/>
              <w:bottom w:sz="2.3999999999998636" w:val="single" w:color="#000000"/>
            </w:tcBorders>
            <w:tcMar>
              <w:start w:w="0" w:type="dxa"/>
              <w:end w:w="0" w:type="dxa"/>
            </w:tcMar>
          </w:tcPr>
          <w:p>
            <w:pPr>
              <w:autoSpaceDN w:val="0"/>
              <w:autoSpaceDE w:val="0"/>
              <w:widowControl/>
              <w:spacing w:line="180" w:lineRule="exact" w:before="76" w:after="0"/>
              <w:ind w:left="108" w:right="0" w:firstLine="0"/>
              <w:jc w:val="left"/>
            </w:pPr>
            <w:r>
              <w:rPr>
                <w:rFonts w:ascii="宋体" w:hAnsi="宋体" w:eastAsia="宋体"/>
                <w:b w:val="0"/>
                <w:i w:val="0"/>
                <w:color w:val="000000"/>
                <w:sz w:val="18"/>
              </w:rPr>
              <w:t xml:space="preserve">顾珺、俞溜 </w:t>
            </w:r>
          </w:p>
        </w:tc>
      </w:tr>
    </w:tbl>
    <w:p>
      <w:pPr>
        <w:autoSpaceDN w:val="0"/>
        <w:autoSpaceDE w:val="0"/>
        <w:widowControl/>
        <w:spacing w:line="220" w:lineRule="exact" w:before="412" w:after="0"/>
        <w:ind w:left="0" w:right="4190" w:firstLine="0"/>
        <w:jc w:val="right"/>
      </w:pPr>
      <w:r>
        <w:rPr>
          <w:rFonts w:ascii="黑体" w:hAnsi="黑体" w:eastAsia="黑体"/>
          <w:b w:val="0"/>
          <w:i w:val="0"/>
          <w:color w:val="000000"/>
          <w:sz w:val="22"/>
        </w:rPr>
        <w:t xml:space="preserve">审计报告正文 </w:t>
      </w:r>
    </w:p>
    <w:p>
      <w:pPr>
        <w:autoSpaceDN w:val="0"/>
        <w:autoSpaceDE w:val="0"/>
        <w:widowControl/>
        <w:spacing w:line="274" w:lineRule="exact" w:before="386" w:after="0"/>
        <w:ind w:left="0" w:right="264"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r>
        <w:br/>
      </w:r>
      <w:r>
        <w:rPr>
          <w:rFonts w:ascii="黑体" w:hAnsi="黑体" w:eastAsia="黑体"/>
          <w:b w:val="0"/>
          <w:i w:val="0"/>
          <w:color w:val="000000"/>
          <w:sz w:val="22"/>
        </w:rPr>
        <w:t>山西证券股份有限公司</w:t>
      </w:r>
      <w:r>
        <w:br/>
      </w:r>
      <w:r>
        <w:rPr>
          <w:rFonts w:ascii="黑体" w:hAnsi="黑体" w:eastAsia="黑体"/>
          <w:b w:val="0"/>
          <w:i w:val="0"/>
          <w:color w:val="000000"/>
          <w:sz w:val="22"/>
        </w:rPr>
        <w:t>山西证券股份有限公司全体股东：</w:t>
      </w:r>
    </w:p>
    <w:p>
      <w:pPr>
        <w:autoSpaceDN w:val="0"/>
        <w:autoSpaceDE w:val="0"/>
        <w:widowControl/>
        <w:spacing w:line="220" w:lineRule="exact" w:before="334" w:after="0"/>
        <w:ind w:left="470" w:right="0" w:firstLine="0"/>
        <w:jc w:val="left"/>
      </w:pPr>
      <w:r>
        <w:rPr>
          <w:rFonts w:ascii="黑体" w:hAnsi="黑体" w:eastAsia="黑体"/>
          <w:b w:val="0"/>
          <w:i w:val="0"/>
          <w:color w:val="000000"/>
          <w:sz w:val="22"/>
        </w:rPr>
        <w:t>一、审计意见</w:t>
      </w:r>
    </w:p>
    <w:p>
      <w:pPr>
        <w:autoSpaceDN w:val="0"/>
        <w:autoSpaceDE w:val="0"/>
        <w:widowControl/>
        <w:spacing w:line="274" w:lineRule="exact" w:before="306" w:after="0"/>
        <w:ind w:left="30" w:right="44" w:firstLine="438"/>
        <w:jc w:val="both"/>
      </w:pPr>
      <w:r>
        <w:rPr>
          <w:rFonts w:ascii="黑体" w:hAnsi="黑体" w:eastAsia="黑体"/>
          <w:b w:val="0"/>
          <w:i w:val="0"/>
          <w:color w:val="000000"/>
          <w:sz w:val="22"/>
        </w:rPr>
        <w:t>我们审计了山西证券股份有限公司（以下简称“山西证券”）的财务报表，包括</w:t>
      </w:r>
      <w:r>
        <w:rPr>
          <w:rFonts w:ascii="Calibri" w:hAnsi="Calibri" w:eastAsia="Calibri"/>
          <w:b w:val="0"/>
          <w:i w:val="0"/>
          <w:color w:val="000000"/>
          <w:sz w:val="22"/>
        </w:rPr>
        <w:t>2024</w:t>
      </w:r>
      <w:r>
        <w:rPr>
          <w:rFonts w:ascii="黑体" w:hAnsi="黑体" w:eastAsia="黑体"/>
          <w:b w:val="0"/>
          <w:i w:val="0"/>
          <w:color w:val="000000"/>
          <w:sz w:val="22"/>
        </w:rPr>
        <w:t>年</w:t>
      </w: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的合并及公司资产负债表，</w:t>
      </w:r>
      <w:r>
        <w:rPr>
          <w:rFonts w:ascii="Calibri" w:hAnsi="Calibri" w:eastAsia="Calibri"/>
          <w:b w:val="0"/>
          <w:i w:val="0"/>
          <w:color w:val="000000"/>
          <w:sz w:val="22"/>
        </w:rPr>
        <w:t>2024</w:t>
      </w:r>
      <w:r>
        <w:rPr>
          <w:rFonts w:ascii="黑体" w:hAnsi="黑体" w:eastAsia="黑体"/>
          <w:b w:val="0"/>
          <w:i w:val="0"/>
          <w:color w:val="000000"/>
          <w:sz w:val="22"/>
        </w:rPr>
        <w:t>年度的合并及公司利润表、股东权益变动表和现金流量表以及相关</w:t>
      </w:r>
      <w:r>
        <w:rPr>
          <w:rFonts w:ascii="黑体" w:hAnsi="黑体" w:eastAsia="黑体"/>
          <w:b w:val="0"/>
          <w:i w:val="0"/>
          <w:color w:val="000000"/>
          <w:sz w:val="22"/>
        </w:rPr>
        <w:t>财务报表附注。</w:t>
      </w:r>
    </w:p>
    <w:p>
      <w:pPr>
        <w:autoSpaceDN w:val="0"/>
        <w:autoSpaceDE w:val="0"/>
        <w:widowControl/>
        <w:spacing w:line="312" w:lineRule="exact" w:before="258" w:after="0"/>
        <w:ind w:left="30" w:right="236" w:firstLine="438"/>
        <w:jc w:val="both"/>
      </w:pPr>
      <w:r>
        <w:rPr>
          <w:rFonts w:ascii="黑体" w:hAnsi="黑体" w:eastAsia="黑体"/>
          <w:b w:val="0"/>
          <w:i w:val="0"/>
          <w:color w:val="000000"/>
          <w:sz w:val="22"/>
        </w:rPr>
        <w:t>我们认为，后附的山西证券的财务报表在所有重大方面按照企业会计准则的规定编制，公允</w:t>
      </w:r>
      <w:r>
        <w:rPr>
          <w:rFonts w:ascii="黑体" w:hAnsi="黑体" w:eastAsia="黑体"/>
          <w:b w:val="0"/>
          <w:i w:val="0"/>
          <w:color w:val="000000"/>
          <w:sz w:val="22"/>
        </w:rPr>
        <w:t>反映了山西证券</w:t>
      </w:r>
      <w:r>
        <w:rPr>
          <w:rFonts w:ascii="Calibri" w:hAnsi="Calibri" w:eastAsia="Calibri"/>
          <w:b w:val="0"/>
          <w:i w:val="0"/>
          <w:color w:val="000000"/>
          <w:sz w:val="22"/>
        </w:rPr>
        <w:t>2024</w:t>
      </w:r>
      <w:r>
        <w:rPr>
          <w:rFonts w:ascii="黑体" w:hAnsi="黑体" w:eastAsia="黑体"/>
          <w:b w:val="0"/>
          <w:i w:val="0"/>
          <w:color w:val="000000"/>
          <w:sz w:val="22"/>
        </w:rPr>
        <w:t>年</w:t>
      </w: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日的合并及公司财务状况以及</w:t>
      </w:r>
      <w:r>
        <w:rPr>
          <w:rFonts w:ascii="Calibri" w:hAnsi="Calibri" w:eastAsia="Calibri"/>
          <w:b w:val="0"/>
          <w:i w:val="0"/>
          <w:color w:val="000000"/>
          <w:sz w:val="22"/>
        </w:rPr>
        <w:t>2024</w:t>
      </w:r>
      <w:r>
        <w:rPr>
          <w:rFonts w:ascii="黑体" w:hAnsi="黑体" w:eastAsia="黑体"/>
          <w:b w:val="0"/>
          <w:i w:val="0"/>
          <w:color w:val="000000"/>
          <w:sz w:val="22"/>
        </w:rPr>
        <w:t>年度的合并及公司经营成果和现</w:t>
      </w:r>
      <w:r>
        <w:rPr>
          <w:rFonts w:ascii="黑体" w:hAnsi="黑体" w:eastAsia="黑体"/>
          <w:b w:val="0"/>
          <w:i w:val="0"/>
          <w:color w:val="000000"/>
          <w:sz w:val="22"/>
        </w:rPr>
        <w:t>金流量。</w:t>
      </w:r>
    </w:p>
    <w:p>
      <w:pPr>
        <w:autoSpaceDN w:val="0"/>
        <w:autoSpaceDE w:val="0"/>
        <w:widowControl/>
        <w:spacing w:line="220" w:lineRule="exact" w:before="404" w:after="0"/>
        <w:ind w:left="470" w:right="0" w:firstLine="0"/>
        <w:jc w:val="left"/>
      </w:pPr>
      <w:r>
        <w:rPr>
          <w:rFonts w:ascii="黑体" w:hAnsi="黑体" w:eastAsia="黑体"/>
          <w:b w:val="0"/>
          <w:i w:val="0"/>
          <w:color w:val="000000"/>
          <w:sz w:val="22"/>
        </w:rPr>
        <w:t>二、形成审计意见的基础</w:t>
      </w:r>
    </w:p>
    <w:p>
      <w:pPr>
        <w:autoSpaceDN w:val="0"/>
        <w:autoSpaceDE w:val="0"/>
        <w:widowControl/>
        <w:spacing w:line="312" w:lineRule="exact" w:before="314" w:after="0"/>
        <w:ind w:left="30" w:right="236" w:firstLine="438"/>
        <w:jc w:val="both"/>
      </w:pPr>
      <w:r>
        <w:rPr>
          <w:rFonts w:ascii="黑体" w:hAnsi="黑体" w:eastAsia="黑体"/>
          <w:b w:val="0"/>
          <w:i w:val="0"/>
          <w:color w:val="000000"/>
          <w:sz w:val="22"/>
        </w:rPr>
        <w:t>我们按照中国注册会计师审计准则的规定执行了审计工作。审计报告的“注册会计师对财务</w:t>
      </w:r>
      <w:r>
        <w:rPr>
          <w:rFonts w:ascii="黑体" w:hAnsi="黑体" w:eastAsia="黑体"/>
          <w:b w:val="0"/>
          <w:i w:val="0"/>
          <w:color w:val="000000"/>
          <w:sz w:val="22"/>
        </w:rPr>
        <w:t>报表审计的责任”部分进一步阐述了我们在这些准则下的责任。按照中国注册会计师职业道德守</w:t>
      </w:r>
      <w:r>
        <w:rPr>
          <w:rFonts w:ascii="黑体" w:hAnsi="黑体" w:eastAsia="黑体"/>
          <w:b w:val="0"/>
          <w:i w:val="0"/>
          <w:color w:val="000000"/>
          <w:sz w:val="22"/>
        </w:rPr>
        <w:t>则，我们独立于山西证券，并履行了职业道德方面的其他责任。我们相信，我们获取的审计证据</w:t>
      </w:r>
      <w:r>
        <w:rPr>
          <w:rFonts w:ascii="黑体" w:hAnsi="黑体" w:eastAsia="黑体"/>
          <w:b w:val="0"/>
          <w:i w:val="0"/>
          <w:color w:val="000000"/>
          <w:sz w:val="22"/>
        </w:rPr>
        <w:t>是充分、适当的，为发表审计意见提供了基础。</w:t>
      </w:r>
    </w:p>
    <w:p>
      <w:pPr>
        <w:autoSpaceDN w:val="0"/>
        <w:autoSpaceDE w:val="0"/>
        <w:widowControl/>
        <w:spacing w:line="222" w:lineRule="exact" w:before="402" w:after="0"/>
        <w:ind w:left="470" w:right="0" w:firstLine="0"/>
        <w:jc w:val="left"/>
      </w:pPr>
      <w:r>
        <w:rPr>
          <w:rFonts w:ascii="黑体" w:hAnsi="黑体" w:eastAsia="黑体"/>
          <w:b w:val="0"/>
          <w:i w:val="0"/>
          <w:color w:val="000000"/>
          <w:sz w:val="22"/>
        </w:rPr>
        <w:t>三、关键审计事项</w:t>
      </w:r>
    </w:p>
    <w:p>
      <w:pPr>
        <w:autoSpaceDN w:val="0"/>
        <w:autoSpaceDE w:val="0"/>
        <w:widowControl/>
        <w:spacing w:line="312" w:lineRule="exact" w:before="312" w:after="0"/>
        <w:ind w:left="30" w:right="236" w:firstLine="438"/>
        <w:jc w:val="both"/>
      </w:pPr>
      <w:r>
        <w:rPr>
          <w:rFonts w:ascii="黑体" w:hAnsi="黑体" w:eastAsia="黑体"/>
          <w:b w:val="0"/>
          <w:i w:val="0"/>
          <w:color w:val="000000"/>
          <w:sz w:val="22"/>
        </w:rPr>
        <w:t>关键审计事项是我们根据职业判断，认为对本期财务报表审计最为重要的事项。这些事项的</w:t>
      </w:r>
      <w:r>
        <w:rPr>
          <w:rFonts w:ascii="黑体" w:hAnsi="黑体" w:eastAsia="黑体"/>
          <w:b w:val="0"/>
          <w:i w:val="0"/>
          <w:color w:val="000000"/>
          <w:sz w:val="22"/>
        </w:rPr>
        <w:t>应对以对财务报表整体进行审计并形成审计意见为背景，我们不对这些事项单独发表意见。我们</w:t>
      </w:r>
      <w:r>
        <w:rPr>
          <w:rFonts w:ascii="黑体" w:hAnsi="黑体" w:eastAsia="黑体"/>
          <w:b w:val="0"/>
          <w:i w:val="0"/>
          <w:color w:val="000000"/>
          <w:sz w:val="22"/>
        </w:rPr>
        <w:t>对下述每一事项在审计中是如何应对的描述也以此为背景。</w:t>
      </w:r>
    </w:p>
    <w:p>
      <w:pPr>
        <w:autoSpaceDN w:val="0"/>
        <w:autoSpaceDE w:val="0"/>
        <w:widowControl/>
        <w:spacing w:line="312" w:lineRule="exact" w:before="312" w:after="0"/>
        <w:ind w:left="30" w:right="446" w:firstLine="438"/>
        <w:jc w:val="both"/>
      </w:pPr>
      <w:r>
        <w:rPr>
          <w:rFonts w:ascii="黑体" w:hAnsi="黑体" w:eastAsia="黑体"/>
          <w:b w:val="0"/>
          <w:i w:val="0"/>
          <w:color w:val="000000"/>
          <w:sz w:val="22"/>
        </w:rPr>
        <w:t>我们已经履行了本报告“注册会计师对财务报表审计的责任”部分阐述的责任，包括与这些</w:t>
      </w:r>
      <w:r>
        <w:rPr>
          <w:rFonts w:ascii="黑体" w:hAnsi="黑体" w:eastAsia="黑体"/>
          <w:b w:val="0"/>
          <w:i w:val="0"/>
          <w:color w:val="000000"/>
          <w:sz w:val="22"/>
        </w:rPr>
        <w:t>关键审计事项相关的责任。相应地，我们的审计工作包括执行为应对评估的财务报表重大错报风</w:t>
      </w:r>
      <w:r>
        <w:rPr>
          <w:rFonts w:ascii="黑体" w:hAnsi="黑体" w:eastAsia="黑体"/>
          <w:b w:val="0"/>
          <w:i w:val="0"/>
          <w:color w:val="000000"/>
          <w:sz w:val="22"/>
        </w:rPr>
        <w:t>险而设计的审计程序。我们执行审计程序的结果，包括应对下述关键审计事项所执行的程序，为</w:t>
      </w:r>
      <w:r>
        <w:rPr>
          <w:rFonts w:ascii="黑体" w:hAnsi="黑体" w:eastAsia="黑体"/>
          <w:b w:val="0"/>
          <w:i w:val="0"/>
          <w:color w:val="000000"/>
          <w:sz w:val="22"/>
        </w:rPr>
        <w:t>财务报表整体发表审计意见提供了基础。</w:t>
      </w:r>
    </w:p>
    <w:p>
      <w:pPr>
        <w:autoSpaceDN w:val="0"/>
        <w:autoSpaceDE w:val="0"/>
        <w:widowControl/>
        <w:spacing w:line="197" w:lineRule="auto" w:before="446" w:after="0"/>
        <w:ind w:left="0" w:right="0" w:firstLine="0"/>
        <w:jc w:val="center"/>
      </w:pPr>
      <w:r>
        <w:rPr>
          <w:rFonts w:ascii="Calibri" w:hAnsi="Calibri" w:eastAsia="Calibri"/>
          <w:b w:val="0"/>
          <w:i w:val="0"/>
          <w:color w:val="000000"/>
          <w:sz w:val="18"/>
        </w:rPr>
        <w:t xml:space="preserve">140 </w:t>
      </w:r>
    </w:p>
    <w:p>
      <w:pPr>
        <w:sectPr>
          <w:type w:val="continuous"/>
          <w:pgSz w:w="11904" w:h="16841"/>
          <w:pgMar w:top="424" w:right="1084" w:bottom="446" w:left="1104"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358"/>
        <w:ind w:left="134" w:right="0" w:firstLine="0"/>
        <w:jc w:val="left"/>
      </w:pPr>
      <w:r>
        <w:rPr>
          <w:rFonts w:ascii="黑体" w:hAnsi="黑体" w:eastAsia="黑体"/>
          <w:b w:val="0"/>
          <w:i w:val="0"/>
          <w:color w:val="000000"/>
          <w:sz w:val="22"/>
        </w:rPr>
        <w:t>三、关键审计事项（续）</w:t>
      </w:r>
    </w:p>
    <w:tbl>
      <w:tblPr>
        <w:tblW w:type="auto" w:w="0"/>
        <w:tblLayout w:type="fixed"/>
        <w:tblLook w:firstColumn="1" w:firstRow="1" w:lastColumn="0" w:lastRow="0" w:noHBand="0" w:noVBand="1" w:val="04A0"/>
        <w:tblInd w:w="330.0" w:type="dxa"/>
      </w:tblPr>
      <w:tblGrid>
        <w:gridCol w:w="4584"/>
        <w:gridCol w:w="4584"/>
      </w:tblGrid>
      <w:tr>
        <w:trPr>
          <w:trHeight w:hRule="exact" w:val="294"/>
        </w:trPr>
        <w:tc>
          <w:tcPr>
            <w:tcW w:type="dxa" w:w="4138"/>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28" w:right="0" w:firstLine="0"/>
              <w:jc w:val="left"/>
            </w:pPr>
            <w:r>
              <w:rPr>
                <w:rFonts w:ascii="黑体" w:hAnsi="黑体" w:eastAsia="黑体"/>
                <w:b w:val="0"/>
                <w:i w:val="0"/>
                <w:color w:val="000000"/>
                <w:sz w:val="22"/>
              </w:rPr>
              <w:t>关键审计事项：</w:t>
            </w:r>
          </w:p>
        </w:tc>
        <w:tc>
          <w:tcPr>
            <w:tcW w:type="dxa" w:w="4224"/>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30" w:right="0" w:firstLine="0"/>
              <w:jc w:val="left"/>
            </w:pPr>
            <w:r>
              <w:rPr>
                <w:rFonts w:ascii="黑体" w:hAnsi="黑体" w:eastAsia="黑体"/>
                <w:b w:val="0"/>
                <w:i w:val="0"/>
                <w:color w:val="000000"/>
                <w:sz w:val="22"/>
              </w:rPr>
              <w:t>该事项在审计中是如何应对：</w:t>
            </w:r>
          </w:p>
        </w:tc>
      </w:tr>
      <w:tr>
        <w:trPr>
          <w:trHeight w:hRule="exact" w:val="296"/>
        </w:trPr>
        <w:tc>
          <w:tcPr>
            <w:tcW w:type="dxa" w:w="8362"/>
            <w:gridSpan w:val="2"/>
            <w:tcBorders>
              <w:start w:sz="4.0" w:val="single" w:color="#000000"/>
              <w:top w:sz="4.0" w:val="single" w:color="#000000"/>
              <w:end w:sz="4.0" w:val="single" w:color="#000000"/>
              <w:bottom w:sz="4.0" w:val="single" w:color="#000000"/>
            </w:tcBorders>
            <w:shd w:fill="cbcccb"/>
            <w:tcMar>
              <w:start w:w="0" w:type="dxa"/>
              <w:end w:w="0" w:type="dxa"/>
            </w:tcMar>
            <w:tcMar>
              <w:start w:w="0" w:type="dxa"/>
              <w:end w:w="0" w:type="dxa"/>
            </w:tcMar>
          </w:tcPr>
          <w:p>
            <w:pPr>
              <w:autoSpaceDN w:val="0"/>
              <w:autoSpaceDE w:val="0"/>
              <w:widowControl/>
              <w:spacing w:line="220" w:lineRule="exact" w:before="28" w:after="0"/>
              <w:ind w:left="428" w:right="0" w:firstLine="0"/>
              <w:jc w:val="left"/>
            </w:pPr>
            <w:r>
              <w:rPr>
                <w:rFonts w:ascii="黑体" w:hAnsi="黑体" w:eastAsia="黑体"/>
                <w:b w:val="0"/>
                <w:i w:val="0"/>
                <w:color w:val="000000"/>
                <w:sz w:val="22"/>
              </w:rPr>
              <w:t>第三层次金融工具公允价值的评估</w:t>
            </w:r>
          </w:p>
        </w:tc>
      </w:tr>
      <w:tr>
        <w:trPr>
          <w:trHeight w:hRule="exact" w:val="6444"/>
        </w:trPr>
        <w:tc>
          <w:tcPr>
            <w:tcW w:type="dxa" w:w="4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36" w:after="0"/>
              <w:ind w:left="428" w:right="98" w:firstLine="0"/>
              <w:jc w:val="both"/>
            </w:pPr>
            <w:r>
              <w:rPr>
                <w:rFonts w:ascii="黑体" w:hAnsi="黑体" w:eastAsia="黑体"/>
                <w:b w:val="0"/>
                <w:i w:val="0"/>
                <w:color w:val="000000"/>
                <w:sz w:val="22"/>
              </w:rPr>
              <w:t>于</w:t>
            </w:r>
            <w:r>
              <w:rPr>
                <w:rFonts w:ascii="Times New Roman" w:hAnsi="Times New Roman" w:eastAsia="Times New Roman"/>
                <w:b w:val="0"/>
                <w:i w:val="0"/>
                <w:color w:val="000000"/>
                <w:sz w:val="22"/>
              </w:rPr>
              <w:t>2024</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日，山西证券以公允</w:t>
            </w:r>
            <w:r>
              <w:rPr>
                <w:rFonts w:ascii="黑体" w:hAnsi="黑体" w:eastAsia="黑体"/>
                <w:b w:val="0"/>
                <w:i w:val="0"/>
                <w:color w:val="000000"/>
                <w:sz w:val="22"/>
              </w:rPr>
              <w:t>价值计量的第三层次金融资产和金融</w:t>
            </w:r>
            <w:r>
              <w:rPr>
                <w:rFonts w:ascii="黑体" w:hAnsi="黑体" w:eastAsia="黑体"/>
                <w:b w:val="0"/>
                <w:i w:val="0"/>
                <w:color w:val="000000"/>
                <w:sz w:val="22"/>
              </w:rPr>
              <w:t>负债的账面金额分别为人民币</w:t>
            </w:r>
            <w:r>
              <w:rPr>
                <w:rFonts w:ascii="Times New Roman" w:hAnsi="Times New Roman" w:eastAsia="Times New Roman"/>
                <w:b w:val="0"/>
                <w:i w:val="0"/>
                <w:color w:val="000000"/>
                <w:sz w:val="22"/>
              </w:rPr>
              <w:t>20.37</w:t>
            </w:r>
            <w:r>
              <w:rPr>
                <w:rFonts w:ascii="黑体" w:hAnsi="黑体" w:eastAsia="黑体"/>
                <w:b w:val="0"/>
                <w:i w:val="0"/>
                <w:color w:val="000000"/>
                <w:sz w:val="22"/>
              </w:rPr>
              <w:t>亿</w:t>
            </w:r>
            <w:r>
              <w:rPr>
                <w:rFonts w:ascii="黑体" w:hAnsi="黑体" w:eastAsia="黑体"/>
                <w:b w:val="0"/>
                <w:i w:val="0"/>
                <w:color w:val="000000"/>
                <w:sz w:val="22"/>
              </w:rPr>
              <w:t>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23.11</w:t>
            </w:r>
            <w:r>
              <w:rPr>
                <w:rFonts w:ascii="黑体" w:hAnsi="黑体" w:eastAsia="黑体"/>
                <w:b w:val="0"/>
                <w:i w:val="0"/>
                <w:color w:val="000000"/>
                <w:sz w:val="22"/>
              </w:rPr>
              <w:t>亿</w:t>
            </w:r>
            <w:r>
              <w:rPr>
                <w:rFonts w:ascii="黑体" w:hAnsi="黑体" w:eastAsia="黑体"/>
                <w:b w:val="0"/>
                <w:i w:val="0"/>
                <w:color w:val="000000"/>
                <w:sz w:val="22"/>
              </w:rPr>
              <w:t>元）和人民币</w:t>
            </w:r>
            <w:r>
              <w:rPr>
                <w:rFonts w:ascii="Times New Roman" w:hAnsi="Times New Roman" w:eastAsia="Times New Roman"/>
                <w:b w:val="0"/>
                <w:i w:val="0"/>
                <w:color w:val="000000"/>
                <w:sz w:val="22"/>
              </w:rPr>
              <w:t>0.85</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2.46</w:t>
            </w:r>
            <w:r>
              <w:rPr>
                <w:rFonts w:ascii="黑体" w:hAnsi="黑体" w:eastAsia="黑体"/>
                <w:b w:val="0"/>
                <w:i w:val="0"/>
                <w:color w:val="000000"/>
                <w:sz w:val="22"/>
              </w:rPr>
              <w:t>亿元）。</w:t>
            </w:r>
          </w:p>
          <w:p>
            <w:pPr>
              <w:autoSpaceDN w:val="0"/>
              <w:autoSpaceDE w:val="0"/>
              <w:widowControl/>
              <w:spacing w:line="220" w:lineRule="exact" w:before="300" w:after="0"/>
              <w:ind w:left="428" w:right="0" w:firstLine="0"/>
              <w:jc w:val="left"/>
            </w:pPr>
            <w:r>
              <w:rPr>
                <w:rFonts w:ascii="黑体" w:hAnsi="黑体" w:eastAsia="黑体"/>
                <w:b w:val="0"/>
                <w:i w:val="0"/>
                <w:color w:val="000000"/>
                <w:sz w:val="22"/>
              </w:rPr>
              <w:t>山西证券管理层采用估值技术对第三</w:t>
            </w:r>
          </w:p>
          <w:p>
            <w:pPr>
              <w:autoSpaceDN w:val="0"/>
              <w:autoSpaceDE w:val="0"/>
              <w:widowControl/>
              <w:spacing w:line="222" w:lineRule="exact" w:before="64" w:after="0"/>
              <w:ind w:left="428" w:right="0" w:firstLine="0"/>
              <w:jc w:val="left"/>
            </w:pPr>
            <w:r>
              <w:rPr>
                <w:rFonts w:ascii="黑体" w:hAnsi="黑体" w:eastAsia="黑体"/>
                <w:b w:val="0"/>
                <w:i w:val="0"/>
                <w:color w:val="000000"/>
                <w:sz w:val="22"/>
              </w:rPr>
              <w:t>层次金融工具的公允价值进行评估，</w:t>
            </w:r>
          </w:p>
          <w:p>
            <w:pPr>
              <w:autoSpaceDN w:val="0"/>
              <w:autoSpaceDE w:val="0"/>
              <w:widowControl/>
              <w:spacing w:line="222" w:lineRule="exact" w:before="64" w:after="0"/>
              <w:ind w:left="428" w:right="0" w:firstLine="0"/>
              <w:jc w:val="left"/>
            </w:pPr>
            <w:r>
              <w:rPr>
                <w:rFonts w:ascii="黑体" w:hAnsi="黑体" w:eastAsia="黑体"/>
                <w:b w:val="0"/>
                <w:i w:val="0"/>
                <w:color w:val="000000"/>
                <w:sz w:val="22"/>
              </w:rPr>
              <w:t>是以市场数据和估值模型相结合为基</w:t>
            </w:r>
          </w:p>
          <w:p>
            <w:pPr>
              <w:autoSpaceDN w:val="0"/>
              <w:autoSpaceDE w:val="0"/>
              <w:widowControl/>
              <w:spacing w:line="220" w:lineRule="exact" w:before="64" w:after="0"/>
              <w:ind w:left="428" w:right="0" w:firstLine="0"/>
              <w:jc w:val="left"/>
            </w:pPr>
            <w:r>
              <w:rPr>
                <w:rFonts w:ascii="黑体" w:hAnsi="黑体" w:eastAsia="黑体"/>
                <w:b w:val="0"/>
                <w:i w:val="0"/>
                <w:color w:val="000000"/>
                <w:sz w:val="22"/>
              </w:rPr>
              <w:t>础，在估值模型中使用的关键假设和</w:t>
            </w:r>
          </w:p>
          <w:p>
            <w:pPr>
              <w:autoSpaceDN w:val="0"/>
              <w:autoSpaceDE w:val="0"/>
              <w:widowControl/>
              <w:spacing w:line="220" w:lineRule="exact" w:before="66" w:after="0"/>
              <w:ind w:left="428" w:right="0" w:firstLine="0"/>
              <w:jc w:val="left"/>
            </w:pPr>
            <w:r>
              <w:rPr>
                <w:rFonts w:ascii="黑体" w:hAnsi="黑体" w:eastAsia="黑体"/>
                <w:b w:val="0"/>
                <w:i w:val="0"/>
                <w:color w:val="000000"/>
                <w:sz w:val="22"/>
              </w:rPr>
              <w:t>输入值无法在活跃市场获取时，都会</w:t>
            </w:r>
          </w:p>
          <w:p>
            <w:pPr>
              <w:autoSpaceDN w:val="0"/>
              <w:autoSpaceDE w:val="0"/>
              <w:widowControl/>
              <w:spacing w:line="220" w:lineRule="exact" w:before="66" w:after="0"/>
              <w:ind w:left="428" w:right="0" w:firstLine="0"/>
              <w:jc w:val="left"/>
            </w:pPr>
            <w:r>
              <w:rPr>
                <w:rFonts w:ascii="黑体" w:hAnsi="黑体" w:eastAsia="黑体"/>
                <w:b w:val="0"/>
                <w:i w:val="0"/>
                <w:color w:val="000000"/>
                <w:sz w:val="22"/>
              </w:rPr>
              <w:t>涉及重大的管理层判断和估计，我们</w:t>
            </w:r>
          </w:p>
          <w:p>
            <w:pPr>
              <w:autoSpaceDN w:val="0"/>
              <w:autoSpaceDE w:val="0"/>
              <w:widowControl/>
              <w:spacing w:line="222" w:lineRule="exact" w:before="64" w:after="0"/>
              <w:ind w:left="428" w:right="0" w:firstLine="0"/>
              <w:jc w:val="left"/>
            </w:pPr>
            <w:r>
              <w:rPr>
                <w:rFonts w:ascii="黑体" w:hAnsi="黑体" w:eastAsia="黑体"/>
                <w:b w:val="0"/>
                <w:i w:val="0"/>
                <w:color w:val="000000"/>
                <w:sz w:val="22"/>
              </w:rPr>
              <w:t>将对第三层次金融工具公允价值的评</w:t>
            </w:r>
          </w:p>
          <w:p>
            <w:pPr>
              <w:autoSpaceDN w:val="0"/>
              <w:autoSpaceDE w:val="0"/>
              <w:widowControl/>
              <w:spacing w:line="222" w:lineRule="exact" w:before="64" w:after="0"/>
              <w:ind w:left="428" w:right="0" w:firstLine="0"/>
              <w:jc w:val="left"/>
            </w:pPr>
            <w:r>
              <w:rPr>
                <w:rFonts w:ascii="黑体" w:hAnsi="黑体" w:eastAsia="黑体"/>
                <w:b w:val="0"/>
                <w:i w:val="0"/>
                <w:color w:val="000000"/>
                <w:sz w:val="22"/>
              </w:rPr>
              <w:t>估识别为关键审计事项。</w:t>
            </w:r>
          </w:p>
          <w:p>
            <w:pPr>
              <w:autoSpaceDN w:val="0"/>
              <w:autoSpaceDE w:val="0"/>
              <w:widowControl/>
              <w:spacing w:line="280" w:lineRule="exact" w:before="274" w:after="0"/>
              <w:ind w:left="428" w:right="98" w:firstLine="0"/>
              <w:jc w:val="both"/>
            </w:pPr>
            <w:r>
              <w:rPr>
                <w:rFonts w:ascii="黑体" w:hAnsi="黑体" w:eastAsia="黑体"/>
                <w:b w:val="0"/>
                <w:i w:val="0"/>
                <w:color w:val="000000"/>
                <w:sz w:val="22"/>
              </w:rPr>
              <w:t>相关披露请参见财务报表附注三、</w:t>
            </w:r>
            <w:r>
              <w:rPr>
                <w:rFonts w:ascii="Times New Roman" w:hAnsi="Times New Roman" w:eastAsia="Times New Roman"/>
                <w:b w:val="0"/>
                <w:i w:val="0"/>
                <w:color w:val="000000"/>
                <w:sz w:val="22"/>
              </w:rPr>
              <w:t>9</w:t>
            </w:r>
            <w:r>
              <w:rPr>
                <w:rFonts w:ascii="黑体" w:hAnsi="黑体" w:eastAsia="黑体"/>
                <w:b w:val="0"/>
                <w:i w:val="0"/>
                <w:color w:val="000000"/>
                <w:sz w:val="22"/>
              </w:rPr>
              <w:t>和附注三、</w:t>
            </w:r>
            <w:r>
              <w:rPr>
                <w:rFonts w:ascii="Times New Roman" w:hAnsi="Times New Roman" w:eastAsia="Times New Roman"/>
                <w:b w:val="0"/>
                <w:i w:val="0"/>
                <w:color w:val="000000"/>
                <w:sz w:val="22"/>
              </w:rPr>
              <w:t>26</w:t>
            </w:r>
            <w:r>
              <w:rPr>
                <w:rFonts w:ascii="黑体" w:hAnsi="黑体" w:eastAsia="黑体"/>
                <w:b w:val="0"/>
                <w:i w:val="0"/>
                <w:color w:val="000000"/>
                <w:sz w:val="22"/>
              </w:rPr>
              <w:t>所述的会计政策及财务</w:t>
            </w:r>
            <w:r>
              <w:rPr>
                <w:rFonts w:ascii="黑体" w:hAnsi="黑体" w:eastAsia="黑体"/>
                <w:b w:val="0"/>
                <w:i w:val="0"/>
                <w:color w:val="000000"/>
                <w:sz w:val="22"/>
              </w:rPr>
              <w:t>报表附注五、</w:t>
            </w:r>
            <w:r>
              <w:rPr>
                <w:rFonts w:ascii="Times New Roman" w:hAnsi="Times New Roman" w:eastAsia="Times New Roman"/>
                <w:b w:val="0"/>
                <w:i w:val="0"/>
                <w:color w:val="000000"/>
                <w:sz w:val="22"/>
              </w:rPr>
              <w:t>4</w:t>
            </w:r>
            <w:r>
              <w:rPr>
                <w:rFonts w:ascii="黑体" w:hAnsi="黑体" w:eastAsia="黑体"/>
                <w:b w:val="0"/>
                <w:i w:val="0"/>
                <w:color w:val="000000"/>
                <w:sz w:val="22"/>
              </w:rPr>
              <w:t>，附注五、</w:t>
            </w:r>
            <w:r>
              <w:rPr>
                <w:rFonts w:ascii="Times New Roman" w:hAnsi="Times New Roman" w:eastAsia="Times New Roman"/>
                <w:b w:val="0"/>
                <w:i w:val="0"/>
                <w:color w:val="000000"/>
                <w:sz w:val="22"/>
              </w:rPr>
              <w:t>8</w:t>
            </w:r>
            <w:r>
              <w:rPr>
                <w:rFonts w:ascii="黑体" w:hAnsi="黑体" w:eastAsia="黑体"/>
                <w:b w:val="0"/>
                <w:i w:val="0"/>
                <w:color w:val="000000"/>
                <w:sz w:val="22"/>
              </w:rPr>
              <w:t>，附注</w:t>
            </w:r>
            <w:r>
              <w:rPr>
                <w:rFonts w:ascii="黑体" w:hAnsi="黑体" w:eastAsia="黑体"/>
                <w:b w:val="0"/>
                <w:i w:val="0"/>
                <w:color w:val="000000"/>
                <w:sz w:val="22"/>
              </w:rPr>
              <w:t>五、</w:t>
            </w:r>
            <w:r>
              <w:rPr>
                <w:rFonts w:ascii="Times New Roman" w:hAnsi="Times New Roman" w:eastAsia="Times New Roman"/>
                <w:b w:val="0"/>
                <w:i w:val="0"/>
                <w:color w:val="000000"/>
                <w:sz w:val="22"/>
              </w:rPr>
              <w:t>10</w:t>
            </w:r>
            <w:r>
              <w:rPr>
                <w:rFonts w:ascii="黑体" w:hAnsi="黑体" w:eastAsia="黑体"/>
                <w:b w:val="0"/>
                <w:i w:val="0"/>
                <w:color w:val="000000"/>
                <w:sz w:val="22"/>
              </w:rPr>
              <w:t>，附注五、</w:t>
            </w:r>
            <w:r>
              <w:rPr>
                <w:rFonts w:ascii="Times New Roman" w:hAnsi="Times New Roman" w:eastAsia="Times New Roman"/>
                <w:b w:val="0"/>
                <w:i w:val="0"/>
                <w:color w:val="000000"/>
                <w:sz w:val="22"/>
              </w:rPr>
              <w:t>11</w:t>
            </w:r>
            <w:r>
              <w:rPr>
                <w:rFonts w:ascii="黑体" w:hAnsi="黑体" w:eastAsia="黑体"/>
                <w:b w:val="0"/>
                <w:i w:val="0"/>
                <w:color w:val="000000"/>
                <w:sz w:val="22"/>
              </w:rPr>
              <w:t>，附注五、</w:t>
            </w:r>
            <w:r>
              <w:rPr>
                <w:rFonts w:ascii="Times New Roman" w:hAnsi="Times New Roman" w:eastAsia="Times New Roman"/>
                <w:b w:val="0"/>
                <w:i w:val="0"/>
                <w:color w:val="000000"/>
                <w:sz w:val="22"/>
              </w:rPr>
              <w:t>23</w:t>
            </w:r>
            <w:r>
              <w:rPr>
                <w:rFonts w:ascii="黑体" w:hAnsi="黑体" w:eastAsia="黑体"/>
                <w:b w:val="0"/>
                <w:i w:val="0"/>
                <w:color w:val="000000"/>
                <w:sz w:val="22"/>
              </w:rPr>
              <w:t>，</w:t>
            </w:r>
            <w:r>
              <w:rPr>
                <w:rFonts w:ascii="黑体" w:hAnsi="黑体" w:eastAsia="黑体"/>
                <w:b w:val="0"/>
                <w:i w:val="0"/>
                <w:color w:val="000000"/>
                <w:sz w:val="22"/>
              </w:rPr>
              <w:t>附注十二。</w:t>
            </w:r>
          </w:p>
        </w:tc>
        <w:tc>
          <w:tcPr>
            <w:tcW w:type="dxa" w:w="42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18" w:after="0"/>
              <w:ind w:left="430" w:right="0" w:firstLine="0"/>
              <w:jc w:val="left"/>
            </w:pPr>
            <w:r>
              <w:rPr>
                <w:rFonts w:ascii="黑体" w:hAnsi="黑体" w:eastAsia="黑体"/>
                <w:b w:val="0"/>
                <w:i w:val="0"/>
                <w:color w:val="000000"/>
                <w:sz w:val="22"/>
              </w:rPr>
              <w:t>我们针对第三层次金融工具的公允价</w:t>
            </w:r>
            <w:r>
              <w:rPr>
                <w:rFonts w:ascii="黑体" w:hAnsi="黑体" w:eastAsia="黑体"/>
                <w:b w:val="0"/>
                <w:i w:val="0"/>
                <w:color w:val="000000"/>
                <w:sz w:val="22"/>
              </w:rPr>
              <w:t>值评估执行的审计程序主要包括：</w:t>
            </w:r>
            <w:r>
              <w:br/>
            </w:r>
            <w:r>
              <w:rPr>
                <w:rFonts w:ascii="宋体" w:hAnsi="宋体" w:eastAsia="宋体"/>
                <w:b w:val="0"/>
                <w:i w:val="0"/>
                <w:color w:val="000000"/>
                <w:sz w:val="22"/>
              </w:rPr>
              <w:t>•</w:t>
            </w:r>
            <w:r>
              <w:rPr>
                <w:rFonts w:ascii="黑体" w:hAnsi="黑体" w:eastAsia="黑体"/>
                <w:b w:val="0"/>
                <w:i w:val="0"/>
                <w:color w:val="000000"/>
                <w:sz w:val="22"/>
              </w:rPr>
              <w:t xml:space="preserve"> 了解和测试估值流程的内部控制的</w:t>
            </w:r>
            <w:r>
              <w:rPr>
                <w:rFonts w:ascii="黑体" w:hAnsi="黑体" w:eastAsia="黑体"/>
                <w:b w:val="0"/>
                <w:i w:val="0"/>
                <w:color w:val="000000"/>
                <w:sz w:val="22"/>
              </w:rPr>
              <w:t>设计和运行有效性；</w:t>
            </w:r>
            <w:r>
              <w:br/>
            </w:r>
            <w:r>
              <w:rPr>
                <w:rFonts w:ascii="宋体" w:hAnsi="宋体" w:eastAsia="宋体"/>
                <w:b w:val="0"/>
                <w:i w:val="0"/>
                <w:color w:val="000000"/>
                <w:sz w:val="22"/>
              </w:rPr>
              <w:t>•</w:t>
            </w:r>
            <w:r>
              <w:rPr>
                <w:rFonts w:ascii="黑体" w:hAnsi="黑体" w:eastAsia="黑体"/>
                <w:b w:val="0"/>
                <w:i w:val="0"/>
                <w:color w:val="000000"/>
                <w:sz w:val="22"/>
              </w:rPr>
              <w:t xml:space="preserve"> 评估管理层在第三层次金融工具估</w:t>
            </w:r>
            <w:r>
              <w:rPr>
                <w:rFonts w:ascii="黑体" w:hAnsi="黑体" w:eastAsia="黑体"/>
                <w:b w:val="0"/>
                <w:i w:val="0"/>
                <w:color w:val="000000"/>
                <w:sz w:val="22"/>
              </w:rPr>
              <w:t>值中采用的估值技术的一贯性；</w:t>
            </w:r>
            <w:r>
              <w:br/>
            </w:r>
            <w:r>
              <w:rPr>
                <w:rFonts w:ascii="宋体" w:hAnsi="宋体" w:eastAsia="宋体"/>
                <w:b w:val="0"/>
                <w:i w:val="0"/>
                <w:color w:val="000000"/>
                <w:sz w:val="22"/>
              </w:rPr>
              <w:t>•</w:t>
            </w:r>
            <w:r>
              <w:rPr>
                <w:rFonts w:ascii="黑体" w:hAnsi="黑体" w:eastAsia="黑体"/>
                <w:b w:val="0"/>
                <w:i w:val="0"/>
                <w:color w:val="000000"/>
                <w:sz w:val="22"/>
              </w:rPr>
              <w:t xml:space="preserve"> 测试和评价估值技术中使用的相关</w:t>
            </w:r>
            <w:r>
              <w:rPr>
                <w:rFonts w:ascii="黑体" w:hAnsi="黑体" w:eastAsia="黑体"/>
                <w:b w:val="0"/>
                <w:i w:val="0"/>
                <w:color w:val="000000"/>
                <w:sz w:val="22"/>
              </w:rPr>
              <w:t>假设、输入值的依据；</w:t>
            </w:r>
            <w:r>
              <w:br/>
            </w:r>
            <w:r>
              <w:rPr>
                <w:rFonts w:ascii="宋体" w:hAnsi="宋体" w:eastAsia="宋体"/>
                <w:b w:val="0"/>
                <w:i w:val="0"/>
                <w:color w:val="000000"/>
                <w:sz w:val="22"/>
              </w:rPr>
              <w:t>•</w:t>
            </w:r>
            <w:r>
              <w:rPr>
                <w:rFonts w:ascii="黑体" w:hAnsi="黑体" w:eastAsia="黑体"/>
                <w:b w:val="0"/>
                <w:i w:val="0"/>
                <w:color w:val="000000"/>
                <w:sz w:val="22"/>
              </w:rPr>
              <w:t xml:space="preserve"> 选取样本，查阅投资协议，了解相</w:t>
            </w:r>
            <w:r>
              <w:rPr>
                <w:rFonts w:ascii="黑体" w:hAnsi="黑体" w:eastAsia="黑体"/>
                <w:b w:val="0"/>
                <w:i w:val="0"/>
                <w:color w:val="000000"/>
                <w:sz w:val="22"/>
              </w:rPr>
              <w:t>关投资条款，并识别与金融工具估值</w:t>
            </w:r>
            <w:r>
              <w:rPr>
                <w:rFonts w:ascii="黑体" w:hAnsi="黑体" w:eastAsia="黑体"/>
                <w:b w:val="0"/>
                <w:i w:val="0"/>
                <w:color w:val="000000"/>
                <w:sz w:val="22"/>
              </w:rPr>
              <w:t>相关的条款；</w:t>
            </w:r>
            <w:r>
              <w:br/>
            </w:r>
            <w:r>
              <w:rPr>
                <w:rFonts w:ascii="宋体" w:hAnsi="宋体" w:eastAsia="宋体"/>
                <w:b w:val="0"/>
                <w:i w:val="0"/>
                <w:color w:val="000000"/>
                <w:sz w:val="22"/>
              </w:rPr>
              <w:t>•</w:t>
            </w:r>
            <w:r>
              <w:rPr>
                <w:rFonts w:ascii="黑体" w:hAnsi="黑体" w:eastAsia="黑体"/>
                <w:b w:val="0"/>
                <w:i w:val="0"/>
                <w:color w:val="000000"/>
                <w:sz w:val="22"/>
              </w:rPr>
              <w:t xml:space="preserve"> 对管理层在估值过程中使用的估值</w:t>
            </w:r>
            <w:r>
              <w:rPr>
                <w:rFonts w:ascii="黑体" w:hAnsi="黑体" w:eastAsia="黑体"/>
                <w:b w:val="0"/>
                <w:i w:val="0"/>
                <w:color w:val="000000"/>
                <w:sz w:val="22"/>
              </w:rPr>
              <w:t>专家的胜任能力进行评估，同时利用</w:t>
            </w:r>
            <w:r>
              <w:rPr>
                <w:rFonts w:ascii="黑体" w:hAnsi="黑体" w:eastAsia="黑体"/>
                <w:b w:val="0"/>
                <w:i w:val="0"/>
                <w:color w:val="000000"/>
                <w:sz w:val="22"/>
              </w:rPr>
              <w:t>内部估值专家对估值模型及估值结果</w:t>
            </w:r>
            <w:r>
              <w:rPr>
                <w:rFonts w:ascii="黑体" w:hAnsi="黑体" w:eastAsia="黑体"/>
                <w:b w:val="0"/>
                <w:i w:val="0"/>
                <w:color w:val="000000"/>
                <w:sz w:val="22"/>
              </w:rPr>
              <w:t>进行复核；</w:t>
            </w:r>
            <w:r>
              <w:br/>
            </w:r>
            <w:r>
              <w:rPr>
                <w:rFonts w:ascii="宋体" w:hAnsi="宋体" w:eastAsia="宋体"/>
                <w:b w:val="0"/>
                <w:i w:val="0"/>
                <w:color w:val="000000"/>
                <w:sz w:val="22"/>
              </w:rPr>
              <w:t>•</w:t>
            </w:r>
            <w:r>
              <w:rPr>
                <w:rFonts w:ascii="黑体" w:hAnsi="黑体" w:eastAsia="黑体"/>
                <w:b w:val="0"/>
                <w:i w:val="0"/>
                <w:color w:val="000000"/>
                <w:sz w:val="22"/>
              </w:rPr>
              <w:t xml:space="preserve"> 评价在财务报表中以公允价值计量</w:t>
            </w:r>
            <w:r>
              <w:rPr>
                <w:rFonts w:ascii="黑体" w:hAnsi="黑体" w:eastAsia="黑体"/>
                <w:b w:val="0"/>
                <w:i w:val="0"/>
                <w:color w:val="000000"/>
                <w:sz w:val="22"/>
              </w:rPr>
              <w:t>且分类为第三层次的金融工具公允价</w:t>
            </w:r>
            <w:r>
              <w:rPr>
                <w:rFonts w:ascii="黑体" w:hAnsi="黑体" w:eastAsia="黑体"/>
                <w:b w:val="0"/>
                <w:i w:val="0"/>
                <w:color w:val="000000"/>
                <w:sz w:val="22"/>
              </w:rPr>
              <w:t>值评估的相关披露是否满足企业会计</w:t>
            </w:r>
            <w:r>
              <w:rPr>
                <w:rFonts w:ascii="黑体" w:hAnsi="黑体" w:eastAsia="黑体"/>
                <w:b w:val="0"/>
                <w:i w:val="0"/>
                <w:color w:val="000000"/>
                <w:sz w:val="22"/>
              </w:rPr>
              <w:t>准则的要求。</w:t>
            </w:r>
          </w:p>
        </w:tc>
      </w:tr>
    </w:tbl>
    <w:p>
      <w:pPr>
        <w:autoSpaceDN w:val="0"/>
        <w:autoSpaceDE w:val="0"/>
        <w:widowControl/>
        <w:spacing w:line="197" w:lineRule="auto" w:before="3542" w:after="0"/>
        <w:ind w:left="0" w:right="4480" w:firstLine="0"/>
        <w:jc w:val="right"/>
      </w:pPr>
      <w:r>
        <w:rPr>
          <w:rFonts w:ascii="Calibri" w:hAnsi="Calibri" w:eastAsia="Calibri"/>
          <w:b w:val="0"/>
          <w:i w:val="0"/>
          <w:color w:val="000000"/>
          <w:sz w:val="18"/>
        </w:rPr>
        <w:t xml:space="preserve">141 </w:t>
      </w:r>
    </w:p>
    <w:p>
      <w:pPr>
        <w:sectPr>
          <w:pgSz w:w="11904" w:h="16841"/>
          <w:pgMar w:top="1404" w:right="1296" w:bottom="446" w:left="1440"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358"/>
        <w:ind w:left="134" w:right="0" w:firstLine="0"/>
        <w:jc w:val="left"/>
      </w:pPr>
      <w:r>
        <w:rPr>
          <w:rFonts w:ascii="黑体" w:hAnsi="黑体" w:eastAsia="黑体"/>
          <w:b w:val="0"/>
          <w:i w:val="0"/>
          <w:color w:val="000000"/>
          <w:sz w:val="22"/>
        </w:rPr>
        <w:t>三、关键审计事项（续）</w:t>
      </w:r>
    </w:p>
    <w:tbl>
      <w:tblPr>
        <w:tblW w:type="auto" w:w="0"/>
        <w:tblLayout w:type="fixed"/>
        <w:tblLook w:firstColumn="1" w:firstRow="1" w:lastColumn="0" w:lastRow="0" w:noHBand="0" w:noVBand="1" w:val="04A0"/>
        <w:tblInd w:w="330.0" w:type="dxa"/>
      </w:tblPr>
      <w:tblGrid>
        <w:gridCol w:w="4584"/>
        <w:gridCol w:w="4584"/>
      </w:tblGrid>
      <w:tr>
        <w:trPr>
          <w:trHeight w:hRule="exact" w:val="294"/>
        </w:trPr>
        <w:tc>
          <w:tcPr>
            <w:tcW w:type="dxa" w:w="4138"/>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28" w:right="0" w:firstLine="0"/>
              <w:jc w:val="left"/>
            </w:pPr>
            <w:r>
              <w:rPr>
                <w:rFonts w:ascii="黑体" w:hAnsi="黑体" w:eastAsia="黑体"/>
                <w:b w:val="0"/>
                <w:i w:val="0"/>
                <w:color w:val="000000"/>
                <w:sz w:val="22"/>
              </w:rPr>
              <w:t>关键审计事项：</w:t>
            </w:r>
          </w:p>
        </w:tc>
        <w:tc>
          <w:tcPr>
            <w:tcW w:type="dxa" w:w="4224"/>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30" w:right="0" w:firstLine="0"/>
              <w:jc w:val="left"/>
            </w:pPr>
            <w:r>
              <w:rPr>
                <w:rFonts w:ascii="黑体" w:hAnsi="黑体" w:eastAsia="黑体"/>
                <w:b w:val="0"/>
                <w:i w:val="0"/>
                <w:color w:val="000000"/>
                <w:sz w:val="22"/>
              </w:rPr>
              <w:t>该事项在审计中是如何应对：</w:t>
            </w:r>
          </w:p>
        </w:tc>
      </w:tr>
      <w:tr>
        <w:trPr>
          <w:trHeight w:hRule="exact" w:val="296"/>
        </w:trPr>
        <w:tc>
          <w:tcPr>
            <w:tcW w:type="dxa" w:w="8362"/>
            <w:gridSpan w:val="2"/>
            <w:tcBorders>
              <w:start w:sz="4.0" w:val="single" w:color="#000000"/>
              <w:top w:sz="4.0" w:val="single" w:color="#000000"/>
              <w:end w:sz="4.0" w:val="single" w:color="#000000"/>
              <w:bottom w:sz="4.0" w:val="single" w:color="#000000"/>
            </w:tcBorders>
            <w:shd w:fill="cbcccb"/>
            <w:tcMar>
              <w:start w:w="0" w:type="dxa"/>
              <w:end w:w="0" w:type="dxa"/>
            </w:tcMar>
            <w:tcMar>
              <w:start w:w="0" w:type="dxa"/>
              <w:end w:w="0" w:type="dxa"/>
            </w:tcMar>
          </w:tcPr>
          <w:p>
            <w:pPr>
              <w:autoSpaceDN w:val="0"/>
              <w:autoSpaceDE w:val="0"/>
              <w:widowControl/>
              <w:spacing w:line="220" w:lineRule="exact" w:before="28" w:after="0"/>
              <w:ind w:left="428" w:right="0" w:firstLine="0"/>
              <w:jc w:val="left"/>
            </w:pPr>
            <w:r>
              <w:rPr>
                <w:rFonts w:ascii="黑体" w:hAnsi="黑体" w:eastAsia="黑体"/>
                <w:b w:val="0"/>
                <w:i w:val="0"/>
                <w:color w:val="000000"/>
                <w:sz w:val="22"/>
              </w:rPr>
              <w:t>结构化主体的合并</w:t>
            </w:r>
          </w:p>
        </w:tc>
      </w:tr>
      <w:tr>
        <w:trPr>
          <w:trHeight w:hRule="exact" w:val="7584"/>
        </w:trPr>
        <w:tc>
          <w:tcPr>
            <w:tcW w:type="dxa" w:w="4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36" w:after="0"/>
              <w:ind w:left="428" w:right="94" w:firstLine="0"/>
              <w:jc w:val="both"/>
            </w:pPr>
            <w:r>
              <w:rPr>
                <w:rFonts w:ascii="黑体" w:hAnsi="黑体" w:eastAsia="黑体"/>
                <w:b w:val="0"/>
                <w:i w:val="0"/>
                <w:color w:val="000000"/>
                <w:sz w:val="22"/>
              </w:rPr>
              <w:t>于</w:t>
            </w:r>
            <w:r>
              <w:rPr>
                <w:rFonts w:ascii="Times New Roman" w:hAnsi="Times New Roman" w:eastAsia="Times New Roman"/>
                <w:b w:val="0"/>
                <w:i w:val="0"/>
                <w:color w:val="000000"/>
                <w:sz w:val="22"/>
              </w:rPr>
              <w:t>2024</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日，山西证券在纳入</w:t>
            </w:r>
            <w:r>
              <w:rPr>
                <w:rFonts w:ascii="黑体" w:hAnsi="黑体" w:eastAsia="黑体"/>
                <w:b w:val="0"/>
                <w:i w:val="0"/>
                <w:color w:val="000000"/>
                <w:sz w:val="22"/>
              </w:rPr>
              <w:t>合并财务报表范围的结构化主体中实</w:t>
            </w:r>
            <w:r>
              <w:rPr>
                <w:rFonts w:ascii="黑体" w:hAnsi="黑体" w:eastAsia="黑体"/>
                <w:b w:val="0"/>
                <w:i w:val="0"/>
                <w:color w:val="000000"/>
                <w:sz w:val="22"/>
              </w:rPr>
              <w:t>际持有的份额为人民币</w:t>
            </w:r>
            <w:r>
              <w:rPr>
                <w:rFonts w:ascii="Times New Roman" w:hAnsi="Times New Roman" w:eastAsia="Times New Roman"/>
                <w:b w:val="0"/>
                <w:i w:val="0"/>
                <w:color w:val="000000"/>
                <w:sz w:val="22"/>
              </w:rPr>
              <w:t>44.56</w:t>
            </w:r>
            <w:r>
              <w:rPr>
                <w:rFonts w:ascii="黑体" w:hAnsi="黑体" w:eastAsia="黑体"/>
                <w:b w:val="0"/>
                <w:i w:val="0"/>
                <w:color w:val="000000"/>
                <w:sz w:val="22"/>
              </w:rPr>
              <w:t xml:space="preserve"> 亿元</w:t>
            </w:r>
            <w:r>
              <w:rPr>
                <w:rFonts w:ascii="黑体" w:hAnsi="黑体" w:eastAsia="黑体"/>
                <w:b w:val="0"/>
                <w:i w:val="0"/>
                <w:color w:val="000000"/>
                <w:sz w:val="22"/>
              </w:rPr>
              <w:t>（</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41.95</w:t>
            </w:r>
            <w:r>
              <w:rPr>
                <w:rFonts w:ascii="黑体" w:hAnsi="黑体" w:eastAsia="黑体"/>
                <w:b w:val="0"/>
                <w:i w:val="0"/>
                <w:color w:val="000000"/>
                <w:sz w:val="22"/>
              </w:rPr>
              <w:t>亿</w:t>
            </w:r>
            <w:r>
              <w:rPr>
                <w:rFonts w:ascii="黑体" w:hAnsi="黑体" w:eastAsia="黑体"/>
                <w:b w:val="0"/>
                <w:i w:val="0"/>
                <w:color w:val="000000"/>
                <w:sz w:val="22"/>
              </w:rPr>
              <w:t>元）；山西证券在第三方机构及山西</w:t>
            </w:r>
            <w:r>
              <w:rPr>
                <w:rFonts w:ascii="黑体" w:hAnsi="黑体" w:eastAsia="黑体"/>
                <w:b w:val="0"/>
                <w:i w:val="0"/>
                <w:color w:val="000000"/>
                <w:sz w:val="22"/>
              </w:rPr>
              <w:t>证券发起设立但未纳入合并财务报表</w:t>
            </w:r>
            <w:r>
              <w:rPr>
                <w:rFonts w:ascii="黑体" w:hAnsi="黑体" w:eastAsia="黑体"/>
                <w:b w:val="0"/>
                <w:i w:val="0"/>
                <w:color w:val="000000"/>
                <w:sz w:val="22"/>
              </w:rPr>
              <w:t>的结构化主体中持有的权益的账面价</w:t>
            </w:r>
            <w:r>
              <w:rPr>
                <w:rFonts w:ascii="黑体" w:hAnsi="黑体" w:eastAsia="黑体"/>
                <w:b w:val="0"/>
                <w:i w:val="0"/>
                <w:color w:val="000000"/>
                <w:sz w:val="22"/>
              </w:rPr>
              <w:t>值分别为人民币</w:t>
            </w:r>
            <w:r>
              <w:rPr>
                <w:rFonts w:ascii="Times New Roman" w:hAnsi="Times New Roman" w:eastAsia="Times New Roman"/>
                <w:b w:val="0"/>
                <w:i w:val="0"/>
                <w:color w:val="000000"/>
                <w:sz w:val="22"/>
              </w:rPr>
              <w:t>59.67</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82.35</w:t>
            </w:r>
            <w:r>
              <w:rPr>
                <w:rFonts w:ascii="黑体" w:hAnsi="黑体" w:eastAsia="黑体"/>
                <w:b w:val="0"/>
                <w:i w:val="0"/>
                <w:color w:val="000000"/>
                <w:sz w:val="22"/>
              </w:rPr>
              <w:t>亿元）及人民币</w:t>
            </w:r>
            <w:r>
              <w:rPr>
                <w:rFonts w:ascii="Times New Roman" w:hAnsi="Times New Roman" w:eastAsia="Times New Roman"/>
                <w:b w:val="0"/>
                <w:i w:val="0"/>
                <w:color w:val="000000"/>
                <w:sz w:val="22"/>
              </w:rPr>
              <w:t>6.56</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6.64</w:t>
            </w:r>
            <w:r>
              <w:rPr>
                <w:rFonts w:ascii="黑体" w:hAnsi="黑体" w:eastAsia="黑体"/>
                <w:b w:val="0"/>
                <w:i w:val="0"/>
                <w:color w:val="000000"/>
                <w:sz w:val="22"/>
              </w:rPr>
              <w:t>亿元）。</w:t>
            </w:r>
          </w:p>
          <w:p>
            <w:pPr>
              <w:autoSpaceDN w:val="0"/>
              <w:autoSpaceDE w:val="0"/>
              <w:widowControl/>
              <w:spacing w:line="284" w:lineRule="exact" w:before="236" w:after="0"/>
              <w:ind w:left="428" w:right="98" w:firstLine="0"/>
              <w:jc w:val="both"/>
            </w:pPr>
            <w:r>
              <w:rPr>
                <w:rFonts w:ascii="黑体" w:hAnsi="黑体" w:eastAsia="黑体"/>
                <w:b w:val="0"/>
                <w:i w:val="0"/>
                <w:color w:val="000000"/>
                <w:sz w:val="22"/>
              </w:rPr>
              <w:t>山西证券可能通过发起设立、持有投</w:t>
            </w:r>
            <w:r>
              <w:rPr>
                <w:rFonts w:ascii="黑体" w:hAnsi="黑体" w:eastAsia="黑体"/>
                <w:b w:val="0"/>
                <w:i w:val="0"/>
                <w:color w:val="000000"/>
                <w:sz w:val="22"/>
              </w:rPr>
              <w:t>资或保留权益份额等方式在结构化主</w:t>
            </w:r>
            <w:r>
              <w:rPr>
                <w:rFonts w:ascii="黑体" w:hAnsi="黑体" w:eastAsia="黑体"/>
                <w:b w:val="0"/>
                <w:i w:val="0"/>
                <w:color w:val="000000"/>
                <w:sz w:val="22"/>
              </w:rPr>
              <w:t>体中享有权益。这些结构化主体主要</w:t>
            </w:r>
            <w:r>
              <w:rPr>
                <w:rFonts w:ascii="黑体" w:hAnsi="黑体" w:eastAsia="黑体"/>
                <w:b w:val="0"/>
                <w:i w:val="0"/>
                <w:color w:val="000000"/>
                <w:sz w:val="22"/>
              </w:rPr>
              <w:t>包括理财产品、投资基金、资产管理</w:t>
            </w:r>
            <w:r>
              <w:rPr>
                <w:rFonts w:ascii="黑体" w:hAnsi="黑体" w:eastAsia="黑体"/>
                <w:b w:val="0"/>
                <w:i w:val="0"/>
                <w:color w:val="000000"/>
                <w:sz w:val="22"/>
              </w:rPr>
              <w:t>计划、信托计划等。</w:t>
            </w:r>
          </w:p>
          <w:p>
            <w:pPr>
              <w:autoSpaceDN w:val="0"/>
              <w:autoSpaceDE w:val="0"/>
              <w:widowControl/>
              <w:spacing w:line="286" w:lineRule="exact" w:before="254" w:after="0"/>
              <w:ind w:left="428" w:right="98" w:firstLine="0"/>
              <w:jc w:val="both"/>
            </w:pPr>
            <w:r>
              <w:rPr>
                <w:rFonts w:ascii="黑体" w:hAnsi="黑体" w:eastAsia="黑体"/>
                <w:b w:val="0"/>
                <w:i w:val="0"/>
                <w:color w:val="000000"/>
                <w:sz w:val="22"/>
              </w:rPr>
              <w:t>在确定结构化主体是否纳入合并财务</w:t>
            </w:r>
            <w:r>
              <w:rPr>
                <w:rFonts w:ascii="黑体" w:hAnsi="黑体" w:eastAsia="黑体"/>
                <w:b w:val="0"/>
                <w:i w:val="0"/>
                <w:color w:val="000000"/>
                <w:sz w:val="22"/>
              </w:rPr>
              <w:t>报表的合并范围时，管理层需要根据</w:t>
            </w:r>
            <w:r>
              <w:rPr>
                <w:rFonts w:ascii="黑体" w:hAnsi="黑体" w:eastAsia="黑体"/>
                <w:b w:val="0"/>
                <w:i w:val="0"/>
                <w:color w:val="000000"/>
                <w:sz w:val="22"/>
              </w:rPr>
              <w:t>相关合同条款，综合考虑山西证券拥</w:t>
            </w:r>
            <w:r>
              <w:rPr>
                <w:rFonts w:ascii="黑体" w:hAnsi="黑体" w:eastAsia="黑体"/>
                <w:b w:val="0"/>
                <w:i w:val="0"/>
                <w:color w:val="000000"/>
                <w:sz w:val="22"/>
              </w:rPr>
              <w:t>有的相关权力、取得的投资收益和管</w:t>
            </w:r>
            <w:r>
              <w:rPr>
                <w:rFonts w:ascii="黑体" w:hAnsi="黑体" w:eastAsia="黑体"/>
                <w:b w:val="0"/>
                <w:i w:val="0"/>
                <w:color w:val="000000"/>
                <w:sz w:val="22"/>
              </w:rPr>
              <w:t>理费收入等全部可变回报，以及作为</w:t>
            </w:r>
            <w:r>
              <w:rPr>
                <w:rFonts w:ascii="黑体" w:hAnsi="黑体" w:eastAsia="黑体"/>
                <w:b w:val="0"/>
                <w:i w:val="0"/>
                <w:color w:val="000000"/>
                <w:sz w:val="22"/>
              </w:rPr>
              <w:t>管理人在何种情况下可以被替换等因</w:t>
            </w:r>
            <w:r>
              <w:rPr>
                <w:rFonts w:ascii="黑体" w:hAnsi="黑体" w:eastAsia="黑体"/>
                <w:b w:val="0"/>
                <w:i w:val="0"/>
                <w:color w:val="000000"/>
                <w:sz w:val="22"/>
              </w:rPr>
              <w:t>素做出综合判断。</w:t>
            </w:r>
          </w:p>
        </w:tc>
        <w:tc>
          <w:tcPr>
            <w:tcW w:type="dxa" w:w="42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18" w:after="0"/>
              <w:ind w:left="430" w:right="0" w:firstLine="0"/>
              <w:jc w:val="left"/>
            </w:pPr>
            <w:r>
              <w:rPr>
                <w:rFonts w:ascii="黑体" w:hAnsi="黑体" w:eastAsia="黑体"/>
                <w:b w:val="0"/>
                <w:i w:val="0"/>
                <w:color w:val="000000"/>
                <w:sz w:val="22"/>
              </w:rPr>
              <w:t>我们针对结构化主体的合并，执行的</w:t>
            </w:r>
            <w:r>
              <w:rPr>
                <w:rFonts w:ascii="黑体" w:hAnsi="黑体" w:eastAsia="黑体"/>
                <w:b w:val="0"/>
                <w:i w:val="0"/>
                <w:color w:val="000000"/>
                <w:sz w:val="22"/>
              </w:rPr>
              <w:t>审计程序主要包括：</w:t>
            </w:r>
            <w:r>
              <w:br/>
            </w:r>
            <w:r>
              <w:rPr>
                <w:rFonts w:ascii="宋体" w:hAnsi="宋体" w:eastAsia="宋体"/>
                <w:b w:val="0"/>
                <w:i w:val="0"/>
                <w:color w:val="000000"/>
                <w:sz w:val="22"/>
              </w:rPr>
              <w:t>•</w:t>
            </w:r>
            <w:r>
              <w:rPr>
                <w:rFonts w:ascii="黑体" w:hAnsi="黑体" w:eastAsia="黑体"/>
                <w:b w:val="0"/>
                <w:i w:val="0"/>
                <w:color w:val="000000"/>
                <w:sz w:val="22"/>
              </w:rPr>
              <w:t xml:space="preserve"> 了解和测试有关结构化主体合并的</w:t>
            </w:r>
            <w:r>
              <w:rPr>
                <w:rFonts w:ascii="黑体" w:hAnsi="黑体" w:eastAsia="黑体"/>
                <w:b w:val="0"/>
                <w:i w:val="0"/>
                <w:color w:val="000000"/>
                <w:sz w:val="22"/>
              </w:rPr>
              <w:t>关键财务报告内部控制的设计和运</w:t>
            </w:r>
            <w:r>
              <w:rPr>
                <w:rFonts w:ascii="黑体" w:hAnsi="黑体" w:eastAsia="黑体"/>
                <w:b w:val="0"/>
                <w:i w:val="0"/>
                <w:color w:val="000000"/>
                <w:sz w:val="22"/>
              </w:rPr>
              <w:t>行；</w:t>
            </w:r>
            <w:r>
              <w:br/>
            </w:r>
            <w:r>
              <w:rPr>
                <w:rFonts w:ascii="宋体" w:hAnsi="宋体" w:eastAsia="宋体"/>
                <w:b w:val="0"/>
                <w:i w:val="0"/>
                <w:color w:val="000000"/>
                <w:sz w:val="22"/>
              </w:rPr>
              <w:t>•</w:t>
            </w:r>
            <w:r>
              <w:rPr>
                <w:rFonts w:ascii="黑体" w:hAnsi="黑体" w:eastAsia="黑体"/>
                <w:b w:val="0"/>
                <w:i w:val="0"/>
                <w:color w:val="000000"/>
                <w:sz w:val="22"/>
              </w:rPr>
              <w:t xml:space="preserve"> 选择各主要产品类型中的结构化主</w:t>
            </w:r>
            <w:r>
              <w:rPr>
                <w:rFonts w:ascii="黑体" w:hAnsi="黑体" w:eastAsia="黑体"/>
                <w:b w:val="0"/>
                <w:i w:val="0"/>
                <w:color w:val="000000"/>
                <w:sz w:val="22"/>
              </w:rPr>
              <w:t>体并对每个所选取的结构化主体执行</w:t>
            </w:r>
            <w:r>
              <w:rPr>
                <w:rFonts w:ascii="黑体" w:hAnsi="黑体" w:eastAsia="黑体"/>
                <w:b w:val="0"/>
                <w:i w:val="0"/>
                <w:color w:val="000000"/>
                <w:sz w:val="22"/>
              </w:rPr>
              <w:t>以下程序：</w:t>
            </w:r>
            <w:r>
              <w:br/>
            </w:r>
            <w:r>
              <w:rPr>
                <w:rFonts w:ascii="Times New Roman" w:hAnsi="Times New Roman" w:eastAsia="Times New Roman"/>
                <w:b w:val="0"/>
                <w:i w:val="0"/>
                <w:color w:val="000000"/>
                <w:sz w:val="22"/>
              </w:rPr>
              <w:t>-</w:t>
            </w:r>
            <w:r>
              <w:rPr>
                <w:rFonts w:ascii="黑体" w:hAnsi="黑体" w:eastAsia="黑体"/>
                <w:b w:val="0"/>
                <w:i w:val="0"/>
                <w:color w:val="000000"/>
                <w:sz w:val="22"/>
              </w:rPr>
              <w:t>复核投资协议、相关合同、内部设立</w:t>
            </w:r>
            <w:r>
              <w:rPr>
                <w:rFonts w:ascii="黑体" w:hAnsi="黑体" w:eastAsia="黑体"/>
                <w:b w:val="0"/>
                <w:i w:val="0"/>
                <w:color w:val="000000"/>
                <w:sz w:val="22"/>
              </w:rPr>
              <w:t>文件及向投资者披露的信息，以了解</w:t>
            </w:r>
            <w:r>
              <w:rPr>
                <w:rFonts w:ascii="黑体" w:hAnsi="黑体" w:eastAsia="黑体"/>
                <w:b w:val="0"/>
                <w:i w:val="0"/>
                <w:color w:val="000000"/>
                <w:sz w:val="22"/>
              </w:rPr>
              <w:t>结构化主体的设立目的和山西证券对</w:t>
            </w:r>
            <w:r>
              <w:rPr>
                <w:rFonts w:ascii="黑体" w:hAnsi="黑体" w:eastAsia="黑体"/>
                <w:b w:val="0"/>
                <w:i w:val="0"/>
                <w:color w:val="000000"/>
                <w:sz w:val="22"/>
              </w:rPr>
              <w:t>结构化主体的参与程度，并评价管理</w:t>
            </w:r>
            <w:r>
              <w:rPr>
                <w:rFonts w:ascii="黑体" w:hAnsi="黑体" w:eastAsia="黑体"/>
                <w:b w:val="0"/>
                <w:i w:val="0"/>
                <w:color w:val="000000"/>
                <w:sz w:val="22"/>
              </w:rPr>
              <w:t>层关于山西证券对结构化主体是否拥</w:t>
            </w:r>
            <w:r>
              <w:rPr>
                <w:rFonts w:ascii="黑体" w:hAnsi="黑体" w:eastAsia="黑体"/>
                <w:b w:val="0"/>
                <w:i w:val="0"/>
                <w:color w:val="000000"/>
                <w:sz w:val="22"/>
              </w:rPr>
              <w:t>有权力的判断；</w:t>
            </w:r>
            <w:r>
              <w:br/>
            </w:r>
            <w:r>
              <w:rPr>
                <w:rFonts w:ascii="Times New Roman" w:hAnsi="Times New Roman" w:eastAsia="Times New Roman"/>
                <w:b w:val="0"/>
                <w:i w:val="0"/>
                <w:color w:val="000000"/>
                <w:sz w:val="22"/>
              </w:rPr>
              <w:t>-</w:t>
            </w:r>
            <w:r>
              <w:rPr>
                <w:rFonts w:ascii="黑体" w:hAnsi="黑体" w:eastAsia="黑体"/>
                <w:b w:val="0"/>
                <w:i w:val="0"/>
                <w:color w:val="000000"/>
                <w:sz w:val="22"/>
              </w:rPr>
              <w:t>检查结构化主体对风险和报酬的结构</w:t>
            </w:r>
            <w:r>
              <w:rPr>
                <w:rFonts w:ascii="黑体" w:hAnsi="黑体" w:eastAsia="黑体"/>
                <w:b w:val="0"/>
                <w:i w:val="0"/>
                <w:color w:val="000000"/>
                <w:sz w:val="22"/>
              </w:rPr>
              <w:t>设计，包括对任何资本或回报的担</w:t>
            </w:r>
            <w:r>
              <w:rPr>
                <w:rFonts w:ascii="黑体" w:hAnsi="黑体" w:eastAsia="黑体"/>
                <w:b w:val="0"/>
                <w:i w:val="0"/>
                <w:color w:val="000000"/>
                <w:sz w:val="22"/>
              </w:rPr>
              <w:t>保、佣金的支付以及收益的分配等，</w:t>
            </w:r>
            <w:r>
              <w:rPr>
                <w:rFonts w:ascii="黑体" w:hAnsi="黑体" w:eastAsia="黑体"/>
                <w:b w:val="0"/>
                <w:i w:val="0"/>
                <w:color w:val="000000"/>
                <w:sz w:val="22"/>
              </w:rPr>
              <w:t>以评价管理层就山西证券因参与结构</w:t>
            </w:r>
            <w:r>
              <w:rPr>
                <w:rFonts w:ascii="黑体" w:hAnsi="黑体" w:eastAsia="黑体"/>
                <w:b w:val="0"/>
                <w:i w:val="0"/>
                <w:color w:val="000000"/>
                <w:sz w:val="22"/>
              </w:rPr>
              <w:t>化主体的相关活动而享有的可变回报</w:t>
            </w:r>
            <w:r>
              <w:rPr>
                <w:rFonts w:ascii="黑体" w:hAnsi="黑体" w:eastAsia="黑体"/>
                <w:b w:val="0"/>
                <w:i w:val="0"/>
                <w:color w:val="000000"/>
                <w:sz w:val="22"/>
              </w:rPr>
              <w:t>所作的判断；</w:t>
            </w:r>
          </w:p>
        </w:tc>
      </w:tr>
    </w:tbl>
    <w:p>
      <w:pPr>
        <w:autoSpaceDN w:val="0"/>
        <w:autoSpaceDE w:val="0"/>
        <w:widowControl/>
        <w:spacing w:line="197" w:lineRule="auto" w:before="2402" w:after="0"/>
        <w:ind w:left="0" w:right="4480" w:firstLine="0"/>
        <w:jc w:val="right"/>
      </w:pPr>
      <w:r>
        <w:rPr>
          <w:rFonts w:ascii="Calibri" w:hAnsi="Calibri" w:eastAsia="Calibri"/>
          <w:b w:val="0"/>
          <w:i w:val="0"/>
          <w:color w:val="000000"/>
          <w:sz w:val="18"/>
        </w:rPr>
        <w:t xml:space="preserve">142 </w:t>
      </w:r>
    </w:p>
    <w:p>
      <w:pPr>
        <w:sectPr>
          <w:pgSz w:w="11904" w:h="16841"/>
          <w:pgMar w:top="1404" w:right="1296" w:bottom="446" w:left="1440"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358"/>
        <w:ind w:left="134" w:right="0" w:firstLine="0"/>
        <w:jc w:val="left"/>
      </w:pPr>
      <w:r>
        <w:rPr>
          <w:rFonts w:ascii="黑体" w:hAnsi="黑体" w:eastAsia="黑体"/>
          <w:b w:val="0"/>
          <w:i w:val="0"/>
          <w:color w:val="000000"/>
          <w:sz w:val="22"/>
        </w:rPr>
        <w:t>三、关键审计事项（续）</w:t>
      </w:r>
    </w:p>
    <w:tbl>
      <w:tblPr>
        <w:tblW w:type="auto" w:w="0"/>
        <w:tblLayout w:type="fixed"/>
        <w:tblLook w:firstColumn="1" w:firstRow="1" w:lastColumn="0" w:lastRow="0" w:noHBand="0" w:noVBand="1" w:val="04A0"/>
        <w:tblInd w:w="330.0" w:type="dxa"/>
      </w:tblPr>
      <w:tblGrid>
        <w:gridCol w:w="4584"/>
        <w:gridCol w:w="4584"/>
      </w:tblGrid>
      <w:tr>
        <w:trPr>
          <w:trHeight w:hRule="exact" w:val="294"/>
        </w:trPr>
        <w:tc>
          <w:tcPr>
            <w:tcW w:type="dxa" w:w="4138"/>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28" w:right="0" w:firstLine="0"/>
              <w:jc w:val="left"/>
            </w:pPr>
            <w:r>
              <w:rPr>
                <w:rFonts w:ascii="黑体" w:hAnsi="黑体" w:eastAsia="黑体"/>
                <w:b w:val="0"/>
                <w:i w:val="0"/>
                <w:color w:val="000000"/>
                <w:sz w:val="22"/>
              </w:rPr>
              <w:t>关键审计事项：</w:t>
            </w:r>
          </w:p>
        </w:tc>
        <w:tc>
          <w:tcPr>
            <w:tcW w:type="dxa" w:w="4224"/>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30" w:right="0" w:firstLine="0"/>
              <w:jc w:val="left"/>
            </w:pPr>
            <w:r>
              <w:rPr>
                <w:rFonts w:ascii="黑体" w:hAnsi="黑体" w:eastAsia="黑体"/>
                <w:b w:val="0"/>
                <w:i w:val="0"/>
                <w:color w:val="000000"/>
                <w:sz w:val="22"/>
              </w:rPr>
              <w:t>该事项在审计中是如何应对：</w:t>
            </w:r>
          </w:p>
        </w:tc>
      </w:tr>
      <w:tr>
        <w:trPr>
          <w:trHeight w:hRule="exact" w:val="296"/>
        </w:trPr>
        <w:tc>
          <w:tcPr>
            <w:tcW w:type="dxa" w:w="8362"/>
            <w:gridSpan w:val="2"/>
            <w:tcBorders>
              <w:start w:sz="4.0" w:val="single" w:color="#000000"/>
              <w:top w:sz="4.0" w:val="single" w:color="#000000"/>
              <w:end w:sz="4.0" w:val="single" w:color="#000000"/>
              <w:bottom w:sz="4.0" w:val="single" w:color="#000000"/>
            </w:tcBorders>
            <w:shd w:fill="cbcccb"/>
            <w:tcMar>
              <w:start w:w="0" w:type="dxa"/>
              <w:end w:w="0" w:type="dxa"/>
            </w:tcMar>
            <w:tcMar>
              <w:start w:w="0" w:type="dxa"/>
              <w:end w:w="0" w:type="dxa"/>
            </w:tcMar>
          </w:tcPr>
          <w:p>
            <w:pPr>
              <w:autoSpaceDN w:val="0"/>
              <w:autoSpaceDE w:val="0"/>
              <w:widowControl/>
              <w:spacing w:line="220" w:lineRule="exact" w:before="28" w:after="0"/>
              <w:ind w:left="428" w:right="0" w:firstLine="0"/>
              <w:jc w:val="left"/>
            </w:pPr>
            <w:r>
              <w:rPr>
                <w:rFonts w:ascii="黑体" w:hAnsi="黑体" w:eastAsia="黑体"/>
                <w:b w:val="0"/>
                <w:i w:val="0"/>
                <w:color w:val="000000"/>
                <w:sz w:val="22"/>
              </w:rPr>
              <w:t>结构化主体的合并（续）</w:t>
            </w:r>
          </w:p>
        </w:tc>
      </w:tr>
      <w:tr>
        <w:trPr>
          <w:trHeight w:hRule="exact" w:val="3940"/>
        </w:trPr>
        <w:tc>
          <w:tcPr>
            <w:tcW w:type="dxa" w:w="4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4" w:lineRule="exact" w:before="218" w:after="0"/>
              <w:ind w:left="428" w:right="98" w:firstLine="0"/>
              <w:jc w:val="both"/>
            </w:pPr>
            <w:r>
              <w:rPr>
                <w:rFonts w:ascii="黑体" w:hAnsi="黑体" w:eastAsia="黑体"/>
                <w:b w:val="0"/>
                <w:i w:val="0"/>
                <w:color w:val="000000"/>
                <w:sz w:val="22"/>
              </w:rPr>
              <w:t>由于在确定是否应将结构化主体纳入</w:t>
            </w:r>
            <w:r>
              <w:rPr>
                <w:rFonts w:ascii="黑体" w:hAnsi="黑体" w:eastAsia="黑体"/>
                <w:b w:val="0"/>
                <w:i w:val="0"/>
                <w:color w:val="000000"/>
                <w:sz w:val="22"/>
              </w:rPr>
              <w:t>山西证券的合并范围时涉及管理层的</w:t>
            </w:r>
            <w:r>
              <w:rPr>
                <w:rFonts w:ascii="黑体" w:hAnsi="黑体" w:eastAsia="黑体"/>
                <w:b w:val="0"/>
                <w:i w:val="0"/>
                <w:color w:val="000000"/>
                <w:sz w:val="22"/>
              </w:rPr>
              <w:t>重大判断，并且结构化主体可能对财</w:t>
            </w:r>
            <w:r>
              <w:rPr>
                <w:rFonts w:ascii="黑体" w:hAnsi="黑体" w:eastAsia="黑体"/>
                <w:b w:val="0"/>
                <w:i w:val="0"/>
                <w:color w:val="000000"/>
                <w:sz w:val="22"/>
              </w:rPr>
              <w:t>务报表产生重大影响，我们将结构化</w:t>
            </w:r>
            <w:r>
              <w:rPr>
                <w:rFonts w:ascii="黑体" w:hAnsi="黑体" w:eastAsia="黑体"/>
                <w:b w:val="0"/>
                <w:i w:val="0"/>
                <w:color w:val="000000"/>
                <w:sz w:val="22"/>
              </w:rPr>
              <w:t>主体的合并识别为关键审计事项。</w:t>
            </w:r>
          </w:p>
          <w:p>
            <w:pPr>
              <w:autoSpaceDN w:val="0"/>
              <w:autoSpaceDE w:val="0"/>
              <w:widowControl/>
              <w:spacing w:line="284" w:lineRule="exact" w:before="274" w:after="0"/>
              <w:ind w:left="428" w:right="144" w:firstLine="0"/>
              <w:jc w:val="left"/>
            </w:pPr>
            <w:r>
              <w:rPr>
                <w:rFonts w:ascii="黑体" w:hAnsi="黑体" w:eastAsia="黑体"/>
                <w:b w:val="0"/>
                <w:i w:val="0"/>
                <w:color w:val="000000"/>
                <w:sz w:val="22"/>
              </w:rPr>
              <w:t>相关披露请参见财务报表附注三、</w:t>
            </w:r>
            <w:r>
              <w:rPr>
                <w:rFonts w:ascii="Times New Roman" w:hAnsi="Times New Roman" w:eastAsia="Times New Roman"/>
                <w:b w:val="0"/>
                <w:i w:val="0"/>
                <w:color w:val="000000"/>
                <w:sz w:val="22"/>
              </w:rPr>
              <w:t>6</w:t>
            </w:r>
            <w:r>
              <w:rPr>
                <w:rFonts w:ascii="黑体" w:hAnsi="黑体" w:eastAsia="黑体"/>
                <w:b w:val="0"/>
                <w:i w:val="0"/>
                <w:color w:val="000000"/>
                <w:sz w:val="22"/>
              </w:rPr>
              <w:t>所述的会计政策及财务报表附注七、</w:t>
            </w:r>
            <w:r>
              <w:rPr>
                <w:rFonts w:ascii="Times New Roman" w:hAnsi="Times New Roman" w:eastAsia="Times New Roman"/>
                <w:b w:val="0"/>
                <w:i w:val="0"/>
                <w:color w:val="000000"/>
                <w:sz w:val="22"/>
              </w:rPr>
              <w:t>2</w:t>
            </w:r>
            <w:r>
              <w:rPr>
                <w:rFonts w:ascii="黑体" w:hAnsi="黑体" w:eastAsia="黑体"/>
                <w:b w:val="0"/>
                <w:i w:val="0"/>
                <w:color w:val="000000"/>
                <w:sz w:val="22"/>
              </w:rPr>
              <w:t>，附注七、</w:t>
            </w:r>
            <w:r>
              <w:rPr>
                <w:rFonts w:ascii="Times New Roman" w:hAnsi="Times New Roman" w:eastAsia="Times New Roman"/>
                <w:b w:val="0"/>
                <w:i w:val="0"/>
                <w:color w:val="000000"/>
                <w:sz w:val="22"/>
              </w:rPr>
              <w:t>4</w:t>
            </w:r>
            <w:r>
              <w:rPr>
                <w:rFonts w:ascii="黑体" w:hAnsi="黑体" w:eastAsia="黑体"/>
                <w:b w:val="0"/>
                <w:i w:val="0"/>
                <w:color w:val="000000"/>
                <w:sz w:val="22"/>
              </w:rPr>
              <w:t>。</w:t>
            </w:r>
          </w:p>
        </w:tc>
        <w:tc>
          <w:tcPr>
            <w:tcW w:type="dxa" w:w="42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4" w:lineRule="exact" w:before="238" w:after="0"/>
              <w:ind w:left="428" w:right="0" w:firstLine="0"/>
              <w:jc w:val="left"/>
            </w:pPr>
            <w:r>
              <w:rPr>
                <w:rFonts w:ascii="Times New Roman" w:hAnsi="Times New Roman" w:eastAsia="Times New Roman"/>
                <w:b w:val="0"/>
                <w:i w:val="0"/>
                <w:color w:val="000000"/>
                <w:sz w:val="22"/>
              </w:rPr>
              <w:t>-</w:t>
            </w:r>
            <w:r>
              <w:rPr>
                <w:rFonts w:ascii="黑体" w:hAnsi="黑体" w:eastAsia="黑体"/>
                <w:b w:val="0"/>
                <w:i w:val="0"/>
                <w:color w:val="000000"/>
                <w:sz w:val="22"/>
              </w:rPr>
              <w:t>检查管理层对结构化主体是否合并的</w:t>
            </w:r>
            <w:r>
              <w:rPr>
                <w:rFonts w:ascii="黑体" w:hAnsi="黑体" w:eastAsia="黑体"/>
                <w:b w:val="0"/>
                <w:i w:val="0"/>
                <w:color w:val="000000"/>
                <w:sz w:val="22"/>
              </w:rPr>
              <w:t>分析，包括定性分析和山西证券对享</w:t>
            </w:r>
            <w:r>
              <w:rPr>
                <w:rFonts w:ascii="黑体" w:hAnsi="黑体" w:eastAsia="黑体"/>
                <w:b w:val="0"/>
                <w:i w:val="0"/>
                <w:color w:val="000000"/>
                <w:sz w:val="22"/>
              </w:rPr>
              <w:t>有结构化主体的经济利益的比重及可</w:t>
            </w:r>
            <w:r>
              <w:rPr>
                <w:rFonts w:ascii="黑体" w:hAnsi="黑体" w:eastAsia="黑体"/>
                <w:b w:val="0"/>
                <w:i w:val="0"/>
                <w:color w:val="000000"/>
                <w:sz w:val="22"/>
              </w:rPr>
              <w:t>变动性的计算；相关结构化主体的管</w:t>
            </w:r>
            <w:r>
              <w:rPr>
                <w:rFonts w:ascii="黑体" w:hAnsi="黑体" w:eastAsia="黑体"/>
                <w:b w:val="0"/>
                <w:i w:val="0"/>
                <w:color w:val="000000"/>
                <w:sz w:val="22"/>
              </w:rPr>
              <w:t>理人在何种情况下可以替换，以评价</w:t>
            </w:r>
            <w:r>
              <w:rPr>
                <w:rFonts w:ascii="黑体" w:hAnsi="黑体" w:eastAsia="黑体"/>
                <w:b w:val="0"/>
                <w:i w:val="0"/>
                <w:color w:val="000000"/>
                <w:sz w:val="22"/>
              </w:rPr>
              <w:t>管理层关于山西证券影响其来自结构</w:t>
            </w:r>
            <w:r>
              <w:rPr>
                <w:rFonts w:ascii="黑体" w:hAnsi="黑体" w:eastAsia="黑体"/>
                <w:b w:val="0"/>
                <w:i w:val="0"/>
                <w:color w:val="000000"/>
                <w:sz w:val="22"/>
              </w:rPr>
              <w:t>化主体可变回报的能力所作的判断；</w:t>
            </w:r>
            <w:r>
              <w:rPr>
                <w:rFonts w:ascii="Times New Roman" w:hAnsi="Times New Roman" w:eastAsia="Times New Roman"/>
                <w:b w:val="0"/>
                <w:i w:val="0"/>
                <w:color w:val="000000"/>
                <w:sz w:val="22"/>
              </w:rPr>
              <w:t>-</w:t>
            </w:r>
            <w:r>
              <w:rPr>
                <w:rFonts w:ascii="黑体" w:hAnsi="黑体" w:eastAsia="黑体"/>
                <w:b w:val="0"/>
                <w:i w:val="0"/>
                <w:color w:val="000000"/>
                <w:sz w:val="22"/>
              </w:rPr>
              <w:t>评价管理层就是否应合并结构化主体</w:t>
            </w:r>
            <w:r>
              <w:rPr>
                <w:rFonts w:ascii="黑体" w:hAnsi="黑体" w:eastAsia="黑体"/>
                <w:b w:val="0"/>
                <w:i w:val="0"/>
                <w:color w:val="000000"/>
                <w:sz w:val="22"/>
              </w:rPr>
              <w:t>所作的判断；</w:t>
            </w:r>
            <w:r>
              <w:br/>
            </w:r>
            <w:r>
              <w:rPr>
                <w:rFonts w:ascii="宋体" w:hAnsi="宋体" w:eastAsia="宋体"/>
                <w:b w:val="0"/>
                <w:i w:val="0"/>
                <w:color w:val="000000"/>
                <w:sz w:val="22"/>
              </w:rPr>
              <w:t>•</w:t>
            </w:r>
            <w:r>
              <w:rPr>
                <w:rFonts w:ascii="黑体" w:hAnsi="黑体" w:eastAsia="黑体"/>
                <w:b w:val="0"/>
                <w:i w:val="0"/>
                <w:color w:val="000000"/>
                <w:sz w:val="22"/>
              </w:rPr>
              <w:t xml:space="preserve"> 评价财务报表中针对结构化主体的</w:t>
            </w:r>
            <w:r>
              <w:rPr>
                <w:rFonts w:ascii="黑体" w:hAnsi="黑体" w:eastAsia="黑体"/>
                <w:b w:val="0"/>
                <w:i w:val="0"/>
                <w:color w:val="000000"/>
                <w:sz w:val="22"/>
              </w:rPr>
              <w:t>相关披露是否符合企业会计准则的要</w:t>
            </w:r>
            <w:r>
              <w:rPr>
                <w:rFonts w:ascii="黑体" w:hAnsi="黑体" w:eastAsia="黑体"/>
                <w:b w:val="0"/>
                <w:i w:val="0"/>
                <w:color w:val="000000"/>
                <w:sz w:val="22"/>
              </w:rPr>
              <w:t>求。</w:t>
            </w:r>
          </w:p>
        </w:tc>
      </w:tr>
      <w:tr>
        <w:trPr>
          <w:trHeight w:hRule="exact" w:val="296"/>
        </w:trPr>
        <w:tc>
          <w:tcPr>
            <w:tcW w:type="dxa" w:w="8362"/>
            <w:gridSpan w:val="2"/>
            <w:tcBorders>
              <w:start w:sz="4.0" w:val="single" w:color="#000000"/>
              <w:top w:sz="4.0" w:val="single" w:color="#000000"/>
              <w:end w:sz="4.0" w:val="single" w:color="#000000"/>
              <w:bottom w:sz="3.199999999999818" w:val="single" w:color="#000000"/>
            </w:tcBorders>
            <w:shd w:fill="cbcccb"/>
            <w:tcMar>
              <w:start w:w="0" w:type="dxa"/>
              <w:end w:w="0" w:type="dxa"/>
            </w:tcMar>
            <w:tcMar>
              <w:start w:w="0" w:type="dxa"/>
              <w:end w:w="0" w:type="dxa"/>
            </w:tcMar>
          </w:tcPr>
          <w:p>
            <w:pPr>
              <w:autoSpaceDN w:val="0"/>
              <w:autoSpaceDE w:val="0"/>
              <w:widowControl/>
              <w:spacing w:line="222" w:lineRule="exact" w:before="30" w:after="0"/>
              <w:ind w:left="428" w:right="0" w:firstLine="0"/>
              <w:jc w:val="left"/>
            </w:pPr>
            <w:r>
              <w:rPr>
                <w:rFonts w:ascii="黑体" w:hAnsi="黑体" w:eastAsia="黑体"/>
                <w:b w:val="0"/>
                <w:i w:val="0"/>
                <w:color w:val="000000"/>
                <w:sz w:val="22"/>
              </w:rPr>
              <w:t>评价商誉的减值</w:t>
            </w:r>
          </w:p>
        </w:tc>
      </w:tr>
      <w:tr>
        <w:trPr>
          <w:trHeight w:hRule="exact" w:val="4226"/>
        </w:trPr>
        <w:tc>
          <w:tcPr>
            <w:tcW w:type="dxa" w:w="413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4" w:lineRule="exact" w:before="236" w:after="0"/>
              <w:ind w:left="428" w:right="96" w:firstLine="0"/>
              <w:jc w:val="both"/>
            </w:pPr>
            <w:r>
              <w:rPr>
                <w:rFonts w:ascii="黑体" w:hAnsi="黑体" w:eastAsia="黑体"/>
                <w:b w:val="0"/>
                <w:i w:val="0"/>
                <w:color w:val="000000"/>
                <w:sz w:val="22"/>
              </w:rPr>
              <w:t>于</w:t>
            </w:r>
            <w:r>
              <w:rPr>
                <w:rFonts w:ascii="Times New Roman" w:hAnsi="Times New Roman" w:eastAsia="Times New Roman"/>
                <w:b w:val="0"/>
                <w:i w:val="0"/>
                <w:color w:val="000000"/>
                <w:sz w:val="22"/>
              </w:rPr>
              <w:t>2024</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日，山西证券商誉的</w:t>
            </w:r>
            <w:r>
              <w:rPr>
                <w:rFonts w:ascii="黑体" w:hAnsi="黑体" w:eastAsia="黑体"/>
                <w:b w:val="0"/>
                <w:i w:val="0"/>
                <w:color w:val="000000"/>
                <w:sz w:val="22"/>
              </w:rPr>
              <w:t>账面价值为人民币</w:t>
            </w:r>
            <w:r>
              <w:rPr>
                <w:rFonts w:ascii="Times New Roman" w:hAnsi="Times New Roman" w:eastAsia="Times New Roman"/>
                <w:b w:val="0"/>
                <w:i w:val="0"/>
                <w:color w:val="000000"/>
                <w:sz w:val="22"/>
              </w:rPr>
              <w:t>4.77</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4.77</w:t>
            </w:r>
            <w:r>
              <w:rPr>
                <w:rFonts w:ascii="黑体" w:hAnsi="黑体" w:eastAsia="黑体"/>
                <w:b w:val="0"/>
                <w:i w:val="0"/>
                <w:color w:val="000000"/>
                <w:sz w:val="22"/>
              </w:rPr>
              <w:t>亿元）。其中：</w:t>
            </w:r>
            <w:r>
              <w:rPr>
                <w:rFonts w:ascii="Times New Roman" w:hAnsi="Times New Roman" w:eastAsia="Times New Roman"/>
                <w:b w:val="0"/>
                <w:i w:val="0"/>
                <w:color w:val="000000"/>
                <w:sz w:val="22"/>
              </w:rPr>
              <w:t>1</w:t>
            </w:r>
            <w:r>
              <w:rPr>
                <w:rFonts w:ascii="黑体" w:hAnsi="黑体" w:eastAsia="黑体"/>
                <w:b w:val="0"/>
                <w:i w:val="0"/>
                <w:color w:val="000000"/>
                <w:sz w:val="22"/>
              </w:rPr>
              <w:t>）山西证券于以前年度收购证券交</w:t>
            </w:r>
            <w:r>
              <w:rPr>
                <w:rFonts w:ascii="黑体" w:hAnsi="黑体" w:eastAsia="黑体"/>
                <w:b w:val="0"/>
                <w:i w:val="0"/>
                <w:color w:val="000000"/>
                <w:sz w:val="22"/>
              </w:rPr>
              <w:t>易营业部及证券类资产合并重组所形</w:t>
            </w:r>
            <w:r>
              <w:rPr>
                <w:rFonts w:ascii="黑体" w:hAnsi="黑体" w:eastAsia="黑体"/>
                <w:b w:val="0"/>
                <w:i w:val="0"/>
                <w:color w:val="000000"/>
                <w:sz w:val="22"/>
              </w:rPr>
              <w:t>成商誉人民币</w:t>
            </w:r>
            <w:r>
              <w:rPr>
                <w:rFonts w:ascii="Times New Roman" w:hAnsi="Times New Roman" w:eastAsia="Times New Roman"/>
                <w:b w:val="0"/>
                <w:i w:val="0"/>
                <w:color w:val="000000"/>
                <w:sz w:val="22"/>
              </w:rPr>
              <w:t>0.49</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0.49</w:t>
            </w:r>
            <w:r>
              <w:rPr>
                <w:rFonts w:ascii="黑体" w:hAnsi="黑体" w:eastAsia="黑体"/>
                <w:b w:val="0"/>
                <w:i w:val="0"/>
                <w:color w:val="000000"/>
                <w:sz w:val="22"/>
              </w:rPr>
              <w:t>亿元）；</w:t>
            </w:r>
            <w:r>
              <w:rPr>
                <w:rFonts w:ascii="Times New Roman" w:hAnsi="Times New Roman" w:eastAsia="Times New Roman"/>
                <w:b w:val="0"/>
                <w:i w:val="0"/>
                <w:color w:val="000000"/>
                <w:sz w:val="22"/>
              </w:rPr>
              <w:t>2</w:t>
            </w:r>
            <w:r>
              <w:rPr>
                <w:rFonts w:ascii="黑体" w:hAnsi="黑体" w:eastAsia="黑体"/>
                <w:b w:val="0"/>
                <w:i w:val="0"/>
                <w:color w:val="000000"/>
                <w:sz w:val="22"/>
              </w:rPr>
              <w:t>）山西证</w:t>
            </w:r>
            <w:r>
              <w:rPr>
                <w:rFonts w:ascii="黑体" w:hAnsi="黑体" w:eastAsia="黑体"/>
                <w:b w:val="0"/>
                <w:i w:val="0"/>
                <w:color w:val="000000"/>
                <w:sz w:val="22"/>
              </w:rPr>
              <w:t>券于以前年度收购格林大华期货有限</w:t>
            </w:r>
            <w:r>
              <w:rPr>
                <w:rFonts w:ascii="黑体" w:hAnsi="黑体" w:eastAsia="黑体"/>
                <w:b w:val="0"/>
                <w:i w:val="0"/>
                <w:color w:val="000000"/>
                <w:sz w:val="22"/>
              </w:rPr>
              <w:t>公司</w:t>
            </w:r>
            <w:r>
              <w:rPr>
                <w:rFonts w:ascii="Times New Roman" w:hAnsi="Times New Roman" w:eastAsia="Times New Roman"/>
                <w:b w:val="0"/>
                <w:i w:val="0"/>
                <w:color w:val="000000"/>
                <w:sz w:val="22"/>
              </w:rPr>
              <w:t>100%</w:t>
            </w:r>
            <w:r>
              <w:rPr>
                <w:rFonts w:ascii="黑体" w:hAnsi="黑体" w:eastAsia="黑体"/>
                <w:b w:val="0"/>
                <w:i w:val="0"/>
                <w:color w:val="000000"/>
                <w:sz w:val="22"/>
              </w:rPr>
              <w:t>股权所形成商誉人民币</w:t>
            </w:r>
            <w:r>
              <w:rPr>
                <w:rFonts w:ascii="Times New Roman" w:hAnsi="Times New Roman" w:eastAsia="Times New Roman"/>
                <w:b w:val="0"/>
                <w:i w:val="0"/>
                <w:color w:val="000000"/>
                <w:sz w:val="22"/>
              </w:rPr>
              <w:t>4.28</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4.28</w:t>
            </w:r>
            <w:r>
              <w:rPr>
                <w:rFonts w:ascii="黑体" w:hAnsi="黑体" w:eastAsia="黑体"/>
                <w:b w:val="0"/>
                <w:i w:val="0"/>
                <w:color w:val="000000"/>
                <w:sz w:val="22"/>
              </w:rPr>
              <w:t>亿元）。</w:t>
            </w:r>
          </w:p>
        </w:tc>
        <w:tc>
          <w:tcPr>
            <w:tcW w:type="dxa" w:w="4224"/>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286" w:lineRule="exact" w:before="216" w:after="0"/>
              <w:ind w:left="430" w:right="0" w:firstLine="0"/>
              <w:jc w:val="left"/>
            </w:pPr>
            <w:r>
              <w:rPr>
                <w:rFonts w:ascii="黑体" w:hAnsi="黑体" w:eastAsia="黑体"/>
                <w:b w:val="0"/>
                <w:i w:val="0"/>
                <w:color w:val="000000"/>
                <w:sz w:val="22"/>
              </w:rPr>
              <w:t>我们针对商誉的减值，执行的审计程</w:t>
            </w:r>
            <w:r>
              <w:rPr>
                <w:rFonts w:ascii="黑体" w:hAnsi="黑体" w:eastAsia="黑体"/>
                <w:b w:val="0"/>
                <w:i w:val="0"/>
                <w:color w:val="000000"/>
                <w:sz w:val="22"/>
              </w:rPr>
              <w:t>序主要包括：</w:t>
            </w:r>
            <w:r>
              <w:br/>
            </w:r>
            <w:r>
              <w:rPr>
                <w:rFonts w:ascii="宋体" w:hAnsi="宋体" w:eastAsia="宋体"/>
                <w:b w:val="0"/>
                <w:i w:val="0"/>
                <w:color w:val="000000"/>
                <w:sz w:val="22"/>
              </w:rPr>
              <w:t>•</w:t>
            </w:r>
            <w:r>
              <w:rPr>
                <w:rFonts w:ascii="黑体" w:hAnsi="黑体" w:eastAsia="黑体"/>
                <w:b w:val="0"/>
                <w:i w:val="0"/>
                <w:color w:val="000000"/>
                <w:sz w:val="22"/>
              </w:rPr>
              <w:t xml:space="preserve"> 了解和测试有关商誉减值的关键财</w:t>
            </w:r>
            <w:r>
              <w:rPr>
                <w:rFonts w:ascii="黑体" w:hAnsi="黑体" w:eastAsia="黑体"/>
                <w:b w:val="0"/>
                <w:i w:val="0"/>
                <w:color w:val="000000"/>
                <w:sz w:val="22"/>
              </w:rPr>
              <w:t>务报告内部控制的设计和运行；</w:t>
            </w:r>
            <w:r>
              <w:br/>
            </w:r>
            <w:r>
              <w:rPr>
                <w:rFonts w:ascii="宋体" w:hAnsi="宋体" w:eastAsia="宋体"/>
                <w:b w:val="0"/>
                <w:i w:val="0"/>
                <w:color w:val="000000"/>
                <w:sz w:val="22"/>
              </w:rPr>
              <w:t>•</w:t>
            </w:r>
            <w:r>
              <w:rPr>
                <w:rFonts w:ascii="黑体" w:hAnsi="黑体" w:eastAsia="黑体"/>
                <w:b w:val="0"/>
                <w:i w:val="0"/>
                <w:color w:val="000000"/>
                <w:sz w:val="22"/>
              </w:rPr>
              <w:t xml:space="preserve"> 复核及评价管理层对相关资产组及</w:t>
            </w:r>
            <w:r>
              <w:rPr>
                <w:rFonts w:ascii="黑体" w:hAnsi="黑体" w:eastAsia="黑体"/>
                <w:b w:val="0"/>
                <w:i w:val="0"/>
                <w:color w:val="000000"/>
                <w:sz w:val="22"/>
              </w:rPr>
              <w:t>资产组组合的识别以及将商誉分摊至</w:t>
            </w:r>
            <w:r>
              <w:rPr>
                <w:rFonts w:ascii="黑体" w:hAnsi="黑体" w:eastAsia="黑体"/>
                <w:b w:val="0"/>
                <w:i w:val="0"/>
                <w:color w:val="000000"/>
                <w:sz w:val="22"/>
              </w:rPr>
              <w:t>相关资产组及资产组组合的方法和依</w:t>
            </w:r>
            <w:r>
              <w:rPr>
                <w:rFonts w:ascii="黑体" w:hAnsi="黑体" w:eastAsia="黑体"/>
                <w:b w:val="0"/>
                <w:i w:val="0"/>
                <w:color w:val="000000"/>
                <w:sz w:val="22"/>
              </w:rPr>
              <w:t>据；</w:t>
            </w:r>
            <w:r>
              <w:br/>
            </w:r>
            <w:r>
              <w:rPr>
                <w:rFonts w:ascii="宋体" w:hAnsi="宋体" w:eastAsia="宋体"/>
                <w:b w:val="0"/>
                <w:i w:val="0"/>
                <w:color w:val="000000"/>
                <w:sz w:val="22"/>
              </w:rPr>
              <w:t>•</w:t>
            </w:r>
            <w:r>
              <w:rPr>
                <w:rFonts w:ascii="黑体" w:hAnsi="黑体" w:eastAsia="黑体"/>
                <w:b w:val="0"/>
                <w:i w:val="0"/>
                <w:color w:val="000000"/>
                <w:sz w:val="22"/>
              </w:rPr>
              <w:t xml:space="preserve"> 复核管理层以前年度对未来现金流</w:t>
            </w:r>
            <w:r>
              <w:rPr>
                <w:rFonts w:ascii="黑体" w:hAnsi="黑体" w:eastAsia="黑体"/>
                <w:b w:val="0"/>
                <w:i w:val="0"/>
                <w:color w:val="000000"/>
                <w:sz w:val="22"/>
              </w:rPr>
              <w:t>量现值的预测和实际经营结果，评价</w:t>
            </w:r>
            <w:r>
              <w:rPr>
                <w:rFonts w:ascii="黑体" w:hAnsi="黑体" w:eastAsia="黑体"/>
                <w:b w:val="0"/>
                <w:i w:val="0"/>
                <w:color w:val="000000"/>
                <w:sz w:val="22"/>
              </w:rPr>
              <w:t>管理层过往预测的准确性；</w:t>
            </w:r>
            <w:r>
              <w:br/>
            </w:r>
            <w:r>
              <w:rPr>
                <w:rFonts w:ascii="宋体" w:hAnsi="宋体" w:eastAsia="宋体"/>
                <w:b w:val="0"/>
                <w:i w:val="0"/>
                <w:color w:val="000000"/>
                <w:sz w:val="22"/>
              </w:rPr>
              <w:t>•</w:t>
            </w:r>
            <w:r>
              <w:rPr>
                <w:rFonts w:ascii="黑体" w:hAnsi="黑体" w:eastAsia="黑体"/>
                <w:b w:val="0"/>
                <w:i w:val="0"/>
                <w:color w:val="000000"/>
                <w:sz w:val="22"/>
              </w:rPr>
              <w:t xml:space="preserve"> 评价山西证券聘请的外部估值专家</w:t>
            </w:r>
            <w:r>
              <w:rPr>
                <w:rFonts w:ascii="黑体" w:hAnsi="黑体" w:eastAsia="黑体"/>
                <w:b w:val="0"/>
                <w:i w:val="0"/>
                <w:color w:val="000000"/>
                <w:sz w:val="22"/>
              </w:rPr>
              <w:t>的胜任能力、专业素质和客观性；</w:t>
            </w:r>
          </w:p>
        </w:tc>
      </w:tr>
    </w:tbl>
    <w:p>
      <w:pPr>
        <w:autoSpaceDN w:val="0"/>
        <w:autoSpaceDE w:val="0"/>
        <w:widowControl/>
        <w:spacing w:line="197" w:lineRule="auto" w:before="1524" w:after="0"/>
        <w:ind w:left="0" w:right="4480" w:firstLine="0"/>
        <w:jc w:val="right"/>
      </w:pPr>
      <w:r>
        <w:rPr>
          <w:rFonts w:ascii="Calibri" w:hAnsi="Calibri" w:eastAsia="Calibri"/>
          <w:b w:val="0"/>
          <w:i w:val="0"/>
          <w:color w:val="000000"/>
          <w:sz w:val="18"/>
        </w:rPr>
        <w:t xml:space="preserve">143 </w:t>
      </w:r>
    </w:p>
    <w:p>
      <w:pPr>
        <w:sectPr>
          <w:pgSz w:w="11904" w:h="16841"/>
          <w:pgMar w:top="1404" w:right="1296" w:bottom="446" w:left="1440"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358"/>
        <w:ind w:left="134" w:right="0" w:firstLine="0"/>
        <w:jc w:val="left"/>
      </w:pPr>
      <w:r>
        <w:rPr>
          <w:rFonts w:ascii="黑体" w:hAnsi="黑体" w:eastAsia="黑体"/>
          <w:b w:val="0"/>
          <w:i w:val="0"/>
          <w:color w:val="000000"/>
          <w:sz w:val="22"/>
        </w:rPr>
        <w:t>三、关键审计事项（续）</w:t>
      </w:r>
    </w:p>
    <w:tbl>
      <w:tblPr>
        <w:tblW w:type="auto" w:w="0"/>
        <w:tblLayout w:type="fixed"/>
        <w:tblLook w:firstColumn="1" w:firstRow="1" w:lastColumn="0" w:lastRow="0" w:noHBand="0" w:noVBand="1" w:val="04A0"/>
        <w:tblInd w:w="330.0" w:type="dxa"/>
      </w:tblPr>
      <w:tblGrid>
        <w:gridCol w:w="4584"/>
        <w:gridCol w:w="4584"/>
      </w:tblGrid>
      <w:tr>
        <w:trPr>
          <w:trHeight w:hRule="exact" w:val="294"/>
        </w:trPr>
        <w:tc>
          <w:tcPr>
            <w:tcW w:type="dxa" w:w="4138"/>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28" w:right="0" w:firstLine="0"/>
              <w:jc w:val="left"/>
            </w:pPr>
            <w:r>
              <w:rPr>
                <w:rFonts w:ascii="黑体" w:hAnsi="黑体" w:eastAsia="黑体"/>
                <w:b w:val="0"/>
                <w:i w:val="0"/>
                <w:color w:val="000000"/>
                <w:sz w:val="22"/>
              </w:rPr>
              <w:t>关键审计事项：</w:t>
            </w:r>
          </w:p>
        </w:tc>
        <w:tc>
          <w:tcPr>
            <w:tcW w:type="dxa" w:w="4224"/>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30" w:right="0" w:firstLine="0"/>
              <w:jc w:val="left"/>
            </w:pPr>
            <w:r>
              <w:rPr>
                <w:rFonts w:ascii="黑体" w:hAnsi="黑体" w:eastAsia="黑体"/>
                <w:b w:val="0"/>
                <w:i w:val="0"/>
                <w:color w:val="000000"/>
                <w:sz w:val="22"/>
              </w:rPr>
              <w:t>该事项在审计中是如何应对：</w:t>
            </w:r>
          </w:p>
        </w:tc>
      </w:tr>
      <w:tr>
        <w:trPr>
          <w:trHeight w:hRule="exact" w:val="296"/>
        </w:trPr>
        <w:tc>
          <w:tcPr>
            <w:tcW w:type="dxa" w:w="8362"/>
            <w:gridSpan w:val="2"/>
            <w:tcBorders>
              <w:start w:sz="4.0" w:val="single" w:color="#000000"/>
              <w:top w:sz="4.0" w:val="single" w:color="#000000"/>
              <w:end w:sz="4.0" w:val="single" w:color="#000000"/>
              <w:bottom w:sz="4.0" w:val="single" w:color="#000000"/>
            </w:tcBorders>
            <w:shd w:fill="cbcccb"/>
            <w:tcMar>
              <w:start w:w="0" w:type="dxa"/>
              <w:end w:w="0" w:type="dxa"/>
            </w:tcMar>
            <w:tcMar>
              <w:start w:w="0" w:type="dxa"/>
              <w:end w:w="0" w:type="dxa"/>
            </w:tcMar>
          </w:tcPr>
          <w:p>
            <w:pPr>
              <w:autoSpaceDN w:val="0"/>
              <w:autoSpaceDE w:val="0"/>
              <w:widowControl/>
              <w:spacing w:line="220" w:lineRule="exact" w:before="28" w:after="0"/>
              <w:ind w:left="428" w:right="0" w:firstLine="0"/>
              <w:jc w:val="left"/>
            </w:pPr>
            <w:r>
              <w:rPr>
                <w:rFonts w:ascii="黑体" w:hAnsi="黑体" w:eastAsia="黑体"/>
                <w:b w:val="0"/>
                <w:i w:val="0"/>
                <w:color w:val="000000"/>
                <w:sz w:val="22"/>
              </w:rPr>
              <w:t>评价商誉的减值（续）</w:t>
            </w:r>
          </w:p>
        </w:tc>
      </w:tr>
      <w:tr>
        <w:trPr>
          <w:trHeight w:hRule="exact" w:val="7620"/>
        </w:trPr>
        <w:tc>
          <w:tcPr>
            <w:tcW w:type="dxa" w:w="4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18" w:after="0"/>
              <w:ind w:left="428" w:right="144" w:firstLine="0"/>
              <w:jc w:val="left"/>
            </w:pPr>
            <w:r>
              <w:rPr>
                <w:rFonts w:ascii="黑体" w:hAnsi="黑体" w:eastAsia="黑体"/>
                <w:b w:val="0"/>
                <w:i w:val="0"/>
                <w:color w:val="000000"/>
                <w:sz w:val="22"/>
              </w:rPr>
              <w:t>减值评估基于山西证券各相关资产组</w:t>
            </w:r>
            <w:r>
              <w:rPr>
                <w:rFonts w:ascii="黑体" w:hAnsi="黑体" w:eastAsia="黑体"/>
                <w:b w:val="0"/>
                <w:i w:val="0"/>
                <w:color w:val="000000"/>
                <w:sz w:val="22"/>
              </w:rPr>
              <w:t>或者资产组组合的可收回金额进行测</w:t>
            </w:r>
            <w:r>
              <w:rPr>
                <w:rFonts w:ascii="黑体" w:hAnsi="黑体" w:eastAsia="黑体"/>
                <w:b w:val="0"/>
                <w:i w:val="0"/>
                <w:color w:val="000000"/>
                <w:sz w:val="22"/>
              </w:rPr>
              <w:t>算。商誉可能存在无法通过使用各相</w:t>
            </w:r>
            <w:r>
              <w:rPr>
                <w:rFonts w:ascii="黑体" w:hAnsi="黑体" w:eastAsia="黑体"/>
                <w:b w:val="0"/>
                <w:i w:val="0"/>
                <w:color w:val="000000"/>
                <w:sz w:val="22"/>
              </w:rPr>
              <w:t>关资产组（即独立产生现金流入的可</w:t>
            </w:r>
            <w:r>
              <w:rPr>
                <w:rFonts w:ascii="黑体" w:hAnsi="黑体" w:eastAsia="黑体"/>
                <w:b w:val="0"/>
                <w:i w:val="0"/>
                <w:color w:val="000000"/>
                <w:sz w:val="22"/>
              </w:rPr>
              <w:t>认定最小资产组合）或资产组组合所</w:t>
            </w:r>
            <w:r>
              <w:rPr>
                <w:rFonts w:ascii="黑体" w:hAnsi="黑体" w:eastAsia="黑体"/>
                <w:b w:val="0"/>
                <w:i w:val="0"/>
                <w:color w:val="000000"/>
                <w:sz w:val="22"/>
              </w:rPr>
              <w:t>产生的预计未来现金流量以全部收回</w:t>
            </w:r>
            <w:r>
              <w:rPr>
                <w:rFonts w:ascii="黑体" w:hAnsi="黑体" w:eastAsia="黑体"/>
                <w:b w:val="0"/>
                <w:i w:val="0"/>
                <w:color w:val="000000"/>
                <w:sz w:val="22"/>
              </w:rPr>
              <w:t>的风险。为评估商誉的可收回金额，</w:t>
            </w:r>
            <w:r>
              <w:rPr>
                <w:rFonts w:ascii="黑体" w:hAnsi="黑体" w:eastAsia="黑体"/>
                <w:b w:val="0"/>
                <w:i w:val="0"/>
                <w:color w:val="000000"/>
                <w:sz w:val="22"/>
              </w:rPr>
              <w:t>管理层委聘外部估值专家对相关资产</w:t>
            </w:r>
            <w:r>
              <w:rPr>
                <w:rFonts w:ascii="黑体" w:hAnsi="黑体" w:eastAsia="黑体"/>
                <w:b w:val="0"/>
                <w:i w:val="0"/>
                <w:color w:val="000000"/>
                <w:sz w:val="22"/>
              </w:rPr>
              <w:t>组或资产组组合的公允价值进行评</w:t>
            </w:r>
            <w:r>
              <w:rPr>
                <w:rFonts w:ascii="黑体" w:hAnsi="黑体" w:eastAsia="黑体"/>
                <w:b w:val="0"/>
                <w:i w:val="0"/>
                <w:color w:val="000000"/>
                <w:sz w:val="22"/>
              </w:rPr>
              <w:t>估，或采用预计未来现金流量折现模</w:t>
            </w:r>
            <w:r>
              <w:rPr>
                <w:rFonts w:ascii="黑体" w:hAnsi="黑体" w:eastAsia="黑体"/>
                <w:b w:val="0"/>
                <w:i w:val="0"/>
                <w:color w:val="000000"/>
                <w:sz w:val="22"/>
              </w:rPr>
              <w:t>型计算各相关资产组及资产组组合的</w:t>
            </w:r>
            <w:r>
              <w:rPr>
                <w:rFonts w:ascii="黑体" w:hAnsi="黑体" w:eastAsia="黑体"/>
                <w:b w:val="0"/>
                <w:i w:val="0"/>
                <w:color w:val="000000"/>
                <w:sz w:val="22"/>
              </w:rPr>
              <w:t>预计未来现金流量现值。</w:t>
            </w:r>
          </w:p>
          <w:p>
            <w:pPr>
              <w:autoSpaceDN w:val="0"/>
              <w:autoSpaceDE w:val="0"/>
              <w:widowControl/>
              <w:spacing w:line="286" w:lineRule="exact" w:before="254" w:after="0"/>
              <w:ind w:left="428" w:right="176" w:firstLine="0"/>
              <w:jc w:val="both"/>
            </w:pPr>
            <w:r>
              <w:rPr>
                <w:rFonts w:ascii="黑体" w:hAnsi="黑体" w:eastAsia="黑体"/>
                <w:b w:val="0"/>
                <w:i w:val="0"/>
                <w:color w:val="000000"/>
                <w:sz w:val="22"/>
              </w:rPr>
              <w:t>由于选取适当的参数进行相关资产组</w:t>
            </w:r>
            <w:r>
              <w:rPr>
                <w:rFonts w:ascii="黑体" w:hAnsi="黑体" w:eastAsia="黑体"/>
                <w:b w:val="0"/>
                <w:i w:val="0"/>
                <w:color w:val="000000"/>
                <w:sz w:val="22"/>
              </w:rPr>
              <w:t>或资产组组合的可收回金额评估以及</w:t>
            </w:r>
            <w:r>
              <w:rPr>
                <w:rFonts w:ascii="黑体" w:hAnsi="黑体" w:eastAsia="黑体"/>
                <w:b w:val="0"/>
                <w:i w:val="0"/>
                <w:color w:val="000000"/>
                <w:sz w:val="22"/>
              </w:rPr>
              <w:t>商誉减值准备的计提涉及管理层的重</w:t>
            </w:r>
            <w:r>
              <w:rPr>
                <w:rFonts w:ascii="黑体" w:hAnsi="黑体" w:eastAsia="黑体"/>
                <w:b w:val="0"/>
                <w:i w:val="0"/>
                <w:color w:val="000000"/>
                <w:sz w:val="22"/>
              </w:rPr>
              <w:t>大判断和估计，包括对公允价值进行</w:t>
            </w:r>
            <w:r>
              <w:rPr>
                <w:rFonts w:ascii="黑体" w:hAnsi="黑体" w:eastAsia="黑体"/>
                <w:b w:val="0"/>
                <w:i w:val="0"/>
                <w:color w:val="000000"/>
                <w:sz w:val="22"/>
              </w:rPr>
              <w:t>评估或预测未来现金流量现值中所涉</w:t>
            </w:r>
            <w:r>
              <w:rPr>
                <w:rFonts w:ascii="黑体" w:hAnsi="黑体" w:eastAsia="黑体"/>
                <w:b w:val="0"/>
                <w:i w:val="0"/>
                <w:color w:val="000000"/>
                <w:sz w:val="22"/>
              </w:rPr>
              <w:t>及的关键假设，这些关键假设具有固</w:t>
            </w:r>
            <w:r>
              <w:rPr>
                <w:rFonts w:ascii="黑体" w:hAnsi="黑体" w:eastAsia="黑体"/>
                <w:b w:val="0"/>
                <w:i w:val="0"/>
                <w:color w:val="000000"/>
                <w:sz w:val="22"/>
              </w:rPr>
              <w:t>有不确定性且可能受到管理层偏向的</w:t>
            </w:r>
            <w:r>
              <w:rPr>
                <w:rFonts w:ascii="黑体" w:hAnsi="黑体" w:eastAsia="黑体"/>
                <w:b w:val="0"/>
                <w:i w:val="0"/>
                <w:color w:val="000000"/>
                <w:sz w:val="22"/>
              </w:rPr>
              <w:t>影响，因此，我们将评价商誉的减值</w:t>
            </w:r>
            <w:r>
              <w:rPr>
                <w:rFonts w:ascii="黑体" w:hAnsi="黑体" w:eastAsia="黑体"/>
                <w:b w:val="0"/>
                <w:i w:val="0"/>
                <w:color w:val="000000"/>
                <w:sz w:val="22"/>
              </w:rPr>
              <w:t>识别为关键审计事项。</w:t>
            </w:r>
          </w:p>
          <w:p>
            <w:pPr>
              <w:autoSpaceDN w:val="0"/>
              <w:autoSpaceDE w:val="0"/>
              <w:widowControl/>
              <w:spacing w:line="286" w:lineRule="exact" w:before="268" w:after="0"/>
              <w:ind w:left="428" w:right="176" w:firstLine="0"/>
              <w:jc w:val="both"/>
            </w:pPr>
            <w:r>
              <w:rPr>
                <w:rFonts w:ascii="黑体" w:hAnsi="黑体" w:eastAsia="黑体"/>
                <w:b w:val="0"/>
                <w:i w:val="0"/>
                <w:color w:val="000000"/>
                <w:sz w:val="22"/>
              </w:rPr>
              <w:t>相关附注请参见财务报表附注三、</w:t>
            </w:r>
            <w:r>
              <w:rPr>
                <w:rFonts w:ascii="Times New Roman" w:hAnsi="Times New Roman" w:eastAsia="Times New Roman"/>
                <w:b w:val="0"/>
                <w:i w:val="0"/>
                <w:color w:val="000000"/>
                <w:sz w:val="22"/>
              </w:rPr>
              <w:t>13</w:t>
            </w:r>
            <w:r>
              <w:rPr>
                <w:rFonts w:ascii="黑体" w:hAnsi="黑体" w:eastAsia="黑体"/>
                <w:b w:val="0"/>
                <w:i w:val="0"/>
                <w:color w:val="000000"/>
                <w:sz w:val="22"/>
              </w:rPr>
              <w:t>所述的会计政策及财务报表附注五、</w:t>
            </w:r>
            <w:r>
              <w:rPr>
                <w:rFonts w:ascii="Times New Roman" w:hAnsi="Times New Roman" w:eastAsia="Times New Roman"/>
                <w:b w:val="0"/>
                <w:i w:val="0"/>
                <w:color w:val="000000"/>
                <w:sz w:val="22"/>
              </w:rPr>
              <w:t>15</w:t>
            </w:r>
            <w:r>
              <w:rPr>
                <w:rFonts w:ascii="黑体" w:hAnsi="黑体" w:eastAsia="黑体"/>
                <w:b w:val="0"/>
                <w:i w:val="0"/>
                <w:color w:val="000000"/>
                <w:sz w:val="22"/>
              </w:rPr>
              <w:t>。</w:t>
            </w:r>
          </w:p>
        </w:tc>
        <w:tc>
          <w:tcPr>
            <w:tcW w:type="dxa" w:w="42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18" w:after="0"/>
              <w:ind w:left="430" w:right="0" w:firstLine="0"/>
              <w:jc w:val="left"/>
            </w:pPr>
            <w:r>
              <w:rPr>
                <w:rFonts w:ascii="宋体" w:hAnsi="宋体" w:eastAsia="宋体"/>
                <w:b w:val="0"/>
                <w:i w:val="0"/>
                <w:color w:val="000000"/>
                <w:sz w:val="22"/>
              </w:rPr>
              <w:t>•</w:t>
            </w:r>
            <w:r>
              <w:rPr>
                <w:rFonts w:ascii="黑体" w:hAnsi="黑体" w:eastAsia="黑体"/>
                <w:b w:val="0"/>
                <w:i w:val="0"/>
                <w:color w:val="000000"/>
                <w:sz w:val="22"/>
              </w:rPr>
              <w:t xml:space="preserve"> 获取并阅读外部估值专家出具的评</w:t>
            </w:r>
            <w:r>
              <w:rPr>
                <w:rFonts w:ascii="黑体" w:hAnsi="黑体" w:eastAsia="黑体"/>
                <w:b w:val="0"/>
                <w:i w:val="0"/>
                <w:color w:val="000000"/>
                <w:sz w:val="22"/>
              </w:rPr>
              <w:t>估报告，对评估报告中所披露的评估</w:t>
            </w:r>
            <w:r>
              <w:rPr>
                <w:rFonts w:ascii="黑体" w:hAnsi="黑体" w:eastAsia="黑体"/>
                <w:b w:val="0"/>
                <w:i w:val="0"/>
                <w:color w:val="000000"/>
                <w:sz w:val="22"/>
              </w:rPr>
              <w:t>依据、评估假设和评估参数进行复</w:t>
            </w:r>
            <w:r>
              <w:rPr>
                <w:rFonts w:ascii="黑体" w:hAnsi="黑体" w:eastAsia="黑体"/>
                <w:b w:val="0"/>
                <w:i w:val="0"/>
                <w:color w:val="000000"/>
                <w:sz w:val="22"/>
              </w:rPr>
              <w:t>核，并在内部估值专家的协助下，评</w:t>
            </w:r>
            <w:r>
              <w:rPr>
                <w:rFonts w:ascii="黑体" w:hAnsi="黑体" w:eastAsia="黑体"/>
                <w:b w:val="0"/>
                <w:i w:val="0"/>
                <w:color w:val="000000"/>
                <w:sz w:val="22"/>
              </w:rPr>
              <w:t>价估值结果的合理性；</w:t>
            </w:r>
            <w:r>
              <w:br/>
            </w:r>
            <w:r>
              <w:rPr>
                <w:rFonts w:ascii="宋体" w:hAnsi="宋体" w:eastAsia="宋体"/>
                <w:b w:val="0"/>
                <w:i w:val="0"/>
                <w:color w:val="000000"/>
                <w:sz w:val="22"/>
              </w:rPr>
              <w:t>•</w:t>
            </w:r>
            <w:r>
              <w:rPr>
                <w:rFonts w:ascii="黑体" w:hAnsi="黑体" w:eastAsia="黑体"/>
                <w:b w:val="0"/>
                <w:i w:val="0"/>
                <w:color w:val="000000"/>
                <w:sz w:val="22"/>
              </w:rPr>
              <w:t xml:space="preserve"> 通过将关键参数，包括预测收入、</w:t>
            </w:r>
            <w:r>
              <w:rPr>
                <w:rFonts w:ascii="黑体" w:hAnsi="黑体" w:eastAsia="黑体"/>
                <w:b w:val="0"/>
                <w:i w:val="0"/>
                <w:color w:val="000000"/>
                <w:sz w:val="22"/>
              </w:rPr>
              <w:t>成本、长期平均增长率与经批准的财</w:t>
            </w:r>
            <w:r>
              <w:rPr>
                <w:rFonts w:ascii="黑体" w:hAnsi="黑体" w:eastAsia="黑体"/>
                <w:b w:val="0"/>
                <w:i w:val="0"/>
                <w:color w:val="000000"/>
                <w:sz w:val="22"/>
              </w:rPr>
              <w:t>务预算及行业统计数据进行比较，评</w:t>
            </w:r>
            <w:r>
              <w:rPr>
                <w:rFonts w:ascii="黑体" w:hAnsi="黑体" w:eastAsia="黑体"/>
                <w:b w:val="0"/>
                <w:i w:val="0"/>
                <w:color w:val="000000"/>
                <w:sz w:val="22"/>
              </w:rPr>
              <w:t>价管理层在预计未来现金流量现值时</w:t>
            </w:r>
            <w:r>
              <w:rPr>
                <w:rFonts w:ascii="黑体" w:hAnsi="黑体" w:eastAsia="黑体"/>
                <w:b w:val="0"/>
                <w:i w:val="0"/>
                <w:color w:val="000000"/>
                <w:sz w:val="22"/>
              </w:rPr>
              <w:t>采用的假设和关键判断；</w:t>
            </w:r>
            <w:r>
              <w:br/>
            </w:r>
            <w:r>
              <w:rPr>
                <w:rFonts w:ascii="宋体" w:hAnsi="宋体" w:eastAsia="宋体"/>
                <w:b w:val="0"/>
                <w:i w:val="0"/>
                <w:color w:val="000000"/>
                <w:sz w:val="22"/>
              </w:rPr>
              <w:t>•</w:t>
            </w:r>
            <w:r>
              <w:rPr>
                <w:rFonts w:ascii="黑体" w:hAnsi="黑体" w:eastAsia="黑体"/>
                <w:b w:val="0"/>
                <w:i w:val="0"/>
                <w:color w:val="000000"/>
                <w:sz w:val="22"/>
              </w:rPr>
              <w:t xml:space="preserve"> 基于同行业可比公司的市场数据，</w:t>
            </w:r>
            <w:r>
              <w:rPr>
                <w:rFonts w:ascii="黑体" w:hAnsi="黑体" w:eastAsia="黑体"/>
                <w:b w:val="0"/>
                <w:i w:val="0"/>
                <w:color w:val="000000"/>
                <w:sz w:val="22"/>
              </w:rPr>
              <w:t>评价管理层计算预计未来现金流量现</w:t>
            </w:r>
            <w:r>
              <w:rPr>
                <w:rFonts w:ascii="黑体" w:hAnsi="黑体" w:eastAsia="黑体"/>
                <w:b w:val="0"/>
                <w:i w:val="0"/>
                <w:color w:val="000000"/>
                <w:sz w:val="22"/>
              </w:rPr>
              <w:t>值时采用的折现率；</w:t>
            </w:r>
            <w:r>
              <w:br/>
            </w:r>
            <w:r>
              <w:rPr>
                <w:rFonts w:ascii="宋体" w:hAnsi="宋体" w:eastAsia="宋体"/>
                <w:b w:val="0"/>
                <w:i w:val="0"/>
                <w:color w:val="000000"/>
                <w:sz w:val="22"/>
              </w:rPr>
              <w:t>•</w:t>
            </w:r>
            <w:r>
              <w:rPr>
                <w:rFonts w:ascii="黑体" w:hAnsi="黑体" w:eastAsia="黑体"/>
                <w:b w:val="0"/>
                <w:i w:val="0"/>
                <w:color w:val="000000"/>
                <w:sz w:val="22"/>
              </w:rPr>
              <w:t xml:space="preserve"> 对管理层采用的折现率和其他关键</w:t>
            </w:r>
            <w:r>
              <w:rPr>
                <w:rFonts w:ascii="黑体" w:hAnsi="黑体" w:eastAsia="黑体"/>
                <w:b w:val="0"/>
                <w:i w:val="0"/>
                <w:color w:val="000000"/>
                <w:sz w:val="22"/>
              </w:rPr>
              <w:t>假设进行敏感性分析，以评价关键假</w:t>
            </w:r>
            <w:r>
              <w:rPr>
                <w:rFonts w:ascii="黑体" w:hAnsi="黑体" w:eastAsia="黑体"/>
                <w:b w:val="0"/>
                <w:i w:val="0"/>
                <w:color w:val="000000"/>
                <w:sz w:val="22"/>
              </w:rPr>
              <w:t>设的变化对减值评估结果的影响以及</w:t>
            </w:r>
            <w:r>
              <w:rPr>
                <w:rFonts w:ascii="黑体" w:hAnsi="黑体" w:eastAsia="黑体"/>
                <w:b w:val="0"/>
                <w:i w:val="0"/>
                <w:color w:val="000000"/>
                <w:sz w:val="22"/>
              </w:rPr>
              <w:t>考虑对关键假设的选择是否存在管理</w:t>
            </w:r>
            <w:r>
              <w:rPr>
                <w:rFonts w:ascii="黑体" w:hAnsi="黑体" w:eastAsia="黑体"/>
                <w:b w:val="0"/>
                <w:i w:val="0"/>
                <w:color w:val="000000"/>
                <w:sz w:val="22"/>
              </w:rPr>
              <w:t>层偏向的迹象；</w:t>
            </w:r>
            <w:r>
              <w:br/>
            </w:r>
            <w:r>
              <w:rPr>
                <w:rFonts w:ascii="宋体" w:hAnsi="宋体" w:eastAsia="宋体"/>
                <w:b w:val="0"/>
                <w:i w:val="0"/>
                <w:color w:val="000000"/>
                <w:sz w:val="22"/>
              </w:rPr>
              <w:t>•</w:t>
            </w:r>
            <w:r>
              <w:rPr>
                <w:rFonts w:ascii="黑体" w:hAnsi="黑体" w:eastAsia="黑体"/>
                <w:b w:val="0"/>
                <w:i w:val="0"/>
                <w:color w:val="000000"/>
                <w:sz w:val="22"/>
              </w:rPr>
              <w:t xml:space="preserve"> 评价财务报表中有关商誉减值评估</w:t>
            </w:r>
            <w:r>
              <w:rPr>
                <w:rFonts w:ascii="黑体" w:hAnsi="黑体" w:eastAsia="黑体"/>
                <w:b w:val="0"/>
                <w:i w:val="0"/>
                <w:color w:val="000000"/>
                <w:sz w:val="22"/>
              </w:rPr>
              <w:t>的相关披露是否符合相关企业会计准</w:t>
            </w:r>
            <w:r>
              <w:rPr>
                <w:rFonts w:ascii="黑体" w:hAnsi="黑体" w:eastAsia="黑体"/>
                <w:b w:val="0"/>
                <w:i w:val="0"/>
                <w:color w:val="000000"/>
                <w:sz w:val="22"/>
              </w:rPr>
              <w:t>则的要求。</w:t>
            </w:r>
          </w:p>
        </w:tc>
      </w:tr>
    </w:tbl>
    <w:p>
      <w:pPr>
        <w:autoSpaceDN w:val="0"/>
        <w:autoSpaceDE w:val="0"/>
        <w:widowControl/>
        <w:spacing w:line="197" w:lineRule="auto" w:before="2368" w:after="0"/>
        <w:ind w:left="0" w:right="4480" w:firstLine="0"/>
        <w:jc w:val="right"/>
      </w:pPr>
      <w:r>
        <w:rPr>
          <w:rFonts w:ascii="Calibri" w:hAnsi="Calibri" w:eastAsia="Calibri"/>
          <w:b w:val="0"/>
          <w:i w:val="0"/>
          <w:color w:val="000000"/>
          <w:sz w:val="18"/>
        </w:rPr>
        <w:t xml:space="preserve">144 </w:t>
      </w:r>
    </w:p>
    <w:p>
      <w:pPr>
        <w:sectPr>
          <w:pgSz w:w="11904" w:h="16841"/>
          <w:pgMar w:top="1404" w:right="1296" w:bottom="446" w:left="1440"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358"/>
        <w:ind w:left="134" w:right="0" w:firstLine="0"/>
        <w:jc w:val="left"/>
      </w:pPr>
      <w:r>
        <w:rPr>
          <w:rFonts w:ascii="黑体" w:hAnsi="黑体" w:eastAsia="黑体"/>
          <w:b w:val="0"/>
          <w:i w:val="0"/>
          <w:color w:val="000000"/>
          <w:sz w:val="22"/>
        </w:rPr>
        <w:t>三、关键审计事项（续）</w:t>
      </w:r>
    </w:p>
    <w:tbl>
      <w:tblPr>
        <w:tblW w:type="auto" w:w="0"/>
        <w:tblLayout w:type="fixed"/>
        <w:tblLook w:firstColumn="1" w:firstRow="1" w:lastColumn="0" w:lastRow="0" w:noHBand="0" w:noVBand="1" w:val="04A0"/>
        <w:tblInd w:w="330.0" w:type="dxa"/>
      </w:tblPr>
      <w:tblGrid>
        <w:gridCol w:w="4584"/>
        <w:gridCol w:w="4584"/>
      </w:tblGrid>
      <w:tr>
        <w:trPr>
          <w:trHeight w:hRule="exact" w:val="294"/>
        </w:trPr>
        <w:tc>
          <w:tcPr>
            <w:tcW w:type="dxa" w:w="4138"/>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28" w:right="0" w:firstLine="0"/>
              <w:jc w:val="left"/>
            </w:pPr>
            <w:r>
              <w:rPr>
                <w:rFonts w:ascii="黑体" w:hAnsi="黑体" w:eastAsia="黑体"/>
                <w:b w:val="0"/>
                <w:i w:val="0"/>
                <w:color w:val="000000"/>
                <w:sz w:val="22"/>
              </w:rPr>
              <w:t>关键审计事项：</w:t>
            </w:r>
          </w:p>
        </w:tc>
        <w:tc>
          <w:tcPr>
            <w:tcW w:type="dxa" w:w="4224"/>
            <w:tcBorders>
              <w:start w:sz="4.0" w:val="single" w:color="#000000"/>
              <w:top w:sz="4.0" w:val="single" w:color="#000000"/>
              <w:end w:sz="4.0" w:val="single" w:color="#000000"/>
              <w:bottom w:sz="4.0" w:val="single" w:color="#000000"/>
            </w:tcBorders>
            <w:shd w:fill="989998"/>
            <w:tcMar>
              <w:start w:w="0" w:type="dxa"/>
              <w:end w:w="0" w:type="dxa"/>
            </w:tcMar>
          </w:tcPr>
          <w:p>
            <w:pPr>
              <w:autoSpaceDN w:val="0"/>
              <w:autoSpaceDE w:val="0"/>
              <w:widowControl/>
              <w:spacing w:line="222" w:lineRule="exact" w:before="28" w:after="0"/>
              <w:ind w:left="430" w:right="0" w:firstLine="0"/>
              <w:jc w:val="left"/>
            </w:pPr>
            <w:r>
              <w:rPr>
                <w:rFonts w:ascii="黑体" w:hAnsi="黑体" w:eastAsia="黑体"/>
                <w:b w:val="0"/>
                <w:i w:val="0"/>
                <w:color w:val="000000"/>
                <w:sz w:val="22"/>
              </w:rPr>
              <w:t>该事项在审计中是如何应对：</w:t>
            </w:r>
          </w:p>
        </w:tc>
      </w:tr>
      <w:tr>
        <w:trPr>
          <w:trHeight w:hRule="exact" w:val="296"/>
        </w:trPr>
        <w:tc>
          <w:tcPr>
            <w:tcW w:type="dxa" w:w="8362"/>
            <w:gridSpan w:val="2"/>
            <w:tcBorders>
              <w:start w:sz="4.0" w:val="single" w:color="#000000"/>
              <w:top w:sz="4.0" w:val="single" w:color="#000000"/>
              <w:end w:sz="4.0" w:val="single" w:color="#000000"/>
              <w:bottom w:sz="4.0" w:val="single" w:color="#000000"/>
            </w:tcBorders>
            <w:shd w:fill="cbcccb"/>
            <w:tcMar>
              <w:start w:w="0" w:type="dxa"/>
              <w:end w:w="0" w:type="dxa"/>
            </w:tcMar>
            <w:tcMar>
              <w:start w:w="0" w:type="dxa"/>
              <w:end w:w="0" w:type="dxa"/>
            </w:tcMar>
          </w:tcPr>
          <w:p>
            <w:pPr>
              <w:autoSpaceDN w:val="0"/>
              <w:autoSpaceDE w:val="0"/>
              <w:widowControl/>
              <w:spacing w:line="220" w:lineRule="exact" w:before="28" w:after="0"/>
              <w:ind w:left="428" w:right="0" w:firstLine="0"/>
              <w:jc w:val="left"/>
            </w:pPr>
            <w:r>
              <w:rPr>
                <w:rFonts w:ascii="黑体" w:hAnsi="黑体" w:eastAsia="黑体"/>
                <w:b w:val="0"/>
                <w:i w:val="0"/>
                <w:color w:val="000000"/>
                <w:sz w:val="22"/>
              </w:rPr>
              <w:t>融出资金、买入返售金融资产和其他债权投资减值准备的确定</w:t>
            </w:r>
          </w:p>
        </w:tc>
      </w:tr>
      <w:tr>
        <w:trPr>
          <w:trHeight w:hRule="exact" w:val="8542"/>
        </w:trPr>
        <w:tc>
          <w:tcPr>
            <w:tcW w:type="dxa" w:w="413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4" w:lineRule="exact" w:before="236" w:after="0"/>
              <w:ind w:left="428" w:right="94" w:firstLine="0"/>
              <w:jc w:val="both"/>
            </w:pPr>
            <w:r>
              <w:rPr>
                <w:rFonts w:ascii="黑体" w:hAnsi="黑体" w:eastAsia="黑体"/>
                <w:b w:val="0"/>
                <w:i w:val="0"/>
                <w:color w:val="000000"/>
                <w:sz w:val="22"/>
              </w:rPr>
              <w:t>于</w:t>
            </w:r>
            <w:r>
              <w:rPr>
                <w:rFonts w:ascii="Times New Roman" w:hAnsi="Times New Roman" w:eastAsia="Times New Roman"/>
                <w:b w:val="0"/>
                <w:i w:val="0"/>
                <w:color w:val="000000"/>
                <w:sz w:val="22"/>
              </w:rPr>
              <w:t>2024</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日，山西证券融出资</w:t>
            </w:r>
            <w:r>
              <w:rPr>
                <w:rFonts w:ascii="黑体" w:hAnsi="黑体" w:eastAsia="黑体"/>
                <w:b w:val="0"/>
                <w:i w:val="0"/>
                <w:color w:val="000000"/>
                <w:sz w:val="22"/>
              </w:rPr>
              <w:t>金、买入返售金融资产和其他债权投</w:t>
            </w:r>
            <w:r>
              <w:rPr>
                <w:rFonts w:ascii="黑体" w:hAnsi="黑体" w:eastAsia="黑体"/>
                <w:b w:val="0"/>
                <w:i w:val="0"/>
                <w:color w:val="000000"/>
                <w:sz w:val="22"/>
              </w:rPr>
              <w:t>资账面余额共计人民币</w:t>
            </w:r>
            <w:r>
              <w:rPr>
                <w:rFonts w:ascii="Times New Roman" w:hAnsi="Times New Roman" w:eastAsia="Times New Roman"/>
                <w:b w:val="0"/>
                <w:i w:val="0"/>
                <w:color w:val="000000"/>
                <w:sz w:val="22"/>
              </w:rPr>
              <w:t>95.98</w:t>
            </w:r>
            <w:r>
              <w:rPr>
                <w:rFonts w:ascii="黑体" w:hAnsi="黑体" w:eastAsia="黑体"/>
                <w:b w:val="0"/>
                <w:i w:val="0"/>
                <w:color w:val="000000"/>
                <w:sz w:val="22"/>
              </w:rPr>
              <w:t xml:space="preserve"> 亿元</w:t>
            </w:r>
            <w:r>
              <w:rPr>
                <w:rFonts w:ascii="黑体" w:hAnsi="黑体" w:eastAsia="黑体"/>
                <w:b w:val="0"/>
                <w:i w:val="0"/>
                <w:color w:val="000000"/>
                <w:sz w:val="22"/>
              </w:rPr>
              <w:t>（</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89.88</w:t>
            </w:r>
            <w:r>
              <w:rPr>
                <w:rFonts w:ascii="黑体" w:hAnsi="黑体" w:eastAsia="黑体"/>
                <w:b w:val="0"/>
                <w:i w:val="0"/>
                <w:color w:val="000000"/>
                <w:sz w:val="22"/>
              </w:rPr>
              <w:t>亿</w:t>
            </w:r>
            <w:r>
              <w:rPr>
                <w:rFonts w:ascii="黑体" w:hAnsi="黑体" w:eastAsia="黑体"/>
                <w:b w:val="0"/>
                <w:i w:val="0"/>
                <w:color w:val="000000"/>
                <w:sz w:val="22"/>
              </w:rPr>
              <w:t>元），已计提的预期信用损失准备余</w:t>
            </w:r>
            <w:r>
              <w:rPr>
                <w:rFonts w:ascii="黑体" w:hAnsi="黑体" w:eastAsia="黑体"/>
                <w:b w:val="0"/>
                <w:i w:val="0"/>
                <w:color w:val="000000"/>
                <w:sz w:val="22"/>
              </w:rPr>
              <w:t>额共计人民币</w:t>
            </w:r>
            <w:r>
              <w:rPr>
                <w:rFonts w:ascii="Times New Roman" w:hAnsi="Times New Roman" w:eastAsia="Times New Roman"/>
                <w:b w:val="0"/>
                <w:i w:val="0"/>
                <w:color w:val="000000"/>
                <w:sz w:val="22"/>
              </w:rPr>
              <w:t>3.75</w:t>
            </w:r>
            <w:r>
              <w:rPr>
                <w:rFonts w:ascii="黑体" w:hAnsi="黑体" w:eastAsia="黑体"/>
                <w:b w:val="0"/>
                <w:i w:val="0"/>
                <w:color w:val="000000"/>
                <w:sz w:val="22"/>
              </w:rPr>
              <w:t>亿元（</w:t>
            </w:r>
            <w:r>
              <w:rPr>
                <w:rFonts w:ascii="Times New Roman" w:hAnsi="Times New Roman" w:eastAsia="Times New Roman"/>
                <w:b w:val="0"/>
                <w:i w:val="0"/>
                <w:color w:val="000000"/>
                <w:sz w:val="22"/>
              </w:rPr>
              <w:t>2023</w:t>
            </w:r>
            <w:r>
              <w:rPr>
                <w:rFonts w:ascii="黑体" w:hAnsi="黑体" w:eastAsia="黑体"/>
                <w:b w:val="0"/>
                <w:i w:val="0"/>
                <w:color w:val="000000"/>
                <w:sz w:val="22"/>
              </w:rPr>
              <w:t>年</w:t>
            </w:r>
            <w:r>
              <w:rPr>
                <w:rFonts w:ascii="Times New Roman" w:hAnsi="Times New Roman" w:eastAsia="Times New Roman"/>
                <w:b w:val="0"/>
                <w:i w:val="0"/>
                <w:color w:val="000000"/>
                <w:sz w:val="22"/>
              </w:rPr>
              <w:t>12</w:t>
            </w:r>
            <w:r>
              <w:rPr>
                <w:rFonts w:ascii="黑体" w:hAnsi="黑体" w:eastAsia="黑体"/>
                <w:b w:val="0"/>
                <w:i w:val="0"/>
                <w:color w:val="000000"/>
                <w:sz w:val="22"/>
              </w:rPr>
              <w:t>月</w:t>
            </w:r>
            <w:r>
              <w:rPr>
                <w:rFonts w:ascii="Times New Roman" w:hAnsi="Times New Roman" w:eastAsia="Times New Roman"/>
                <w:b w:val="0"/>
                <w:i w:val="0"/>
                <w:color w:val="000000"/>
                <w:sz w:val="22"/>
              </w:rPr>
              <w:t>31</w:t>
            </w:r>
            <w:r>
              <w:rPr>
                <w:rFonts w:ascii="黑体" w:hAnsi="黑体" w:eastAsia="黑体"/>
                <w:b w:val="0"/>
                <w:i w:val="0"/>
                <w:color w:val="000000"/>
                <w:sz w:val="22"/>
              </w:rPr>
              <w:t>日：人民币</w:t>
            </w:r>
            <w:r>
              <w:rPr>
                <w:rFonts w:ascii="Times New Roman" w:hAnsi="Times New Roman" w:eastAsia="Times New Roman"/>
                <w:b w:val="0"/>
                <w:i w:val="0"/>
                <w:color w:val="000000"/>
                <w:sz w:val="22"/>
              </w:rPr>
              <w:t>3.53</w:t>
            </w:r>
            <w:r>
              <w:rPr>
                <w:rFonts w:ascii="黑体" w:hAnsi="黑体" w:eastAsia="黑体"/>
                <w:b w:val="0"/>
                <w:i w:val="0"/>
                <w:color w:val="000000"/>
                <w:sz w:val="22"/>
              </w:rPr>
              <w:t>亿元）。</w:t>
            </w:r>
          </w:p>
          <w:p>
            <w:pPr>
              <w:autoSpaceDN w:val="0"/>
              <w:autoSpaceDE w:val="0"/>
              <w:widowControl/>
              <w:spacing w:line="286" w:lineRule="exact" w:before="236" w:after="0"/>
              <w:ind w:left="428" w:right="98" w:firstLine="0"/>
              <w:jc w:val="both"/>
            </w:pPr>
            <w:r>
              <w:rPr>
                <w:rFonts w:ascii="黑体" w:hAnsi="黑体" w:eastAsia="黑体"/>
                <w:b w:val="0"/>
                <w:i w:val="0"/>
                <w:color w:val="000000"/>
                <w:sz w:val="22"/>
              </w:rPr>
              <w:t>山西证券对融出资金、买入返售金融</w:t>
            </w:r>
            <w:r>
              <w:rPr>
                <w:rFonts w:ascii="黑体" w:hAnsi="黑体" w:eastAsia="黑体"/>
                <w:b w:val="0"/>
                <w:i w:val="0"/>
                <w:color w:val="000000"/>
                <w:sz w:val="22"/>
              </w:rPr>
              <w:t>资产和其他债权投资按照预期信用损</w:t>
            </w:r>
            <w:r>
              <w:rPr>
                <w:rFonts w:ascii="黑体" w:hAnsi="黑体" w:eastAsia="黑体"/>
                <w:b w:val="0"/>
                <w:i w:val="0"/>
                <w:color w:val="000000"/>
                <w:sz w:val="22"/>
              </w:rPr>
              <w:t>失模型计量其损失准备，在确定其预</w:t>
            </w:r>
            <w:r>
              <w:rPr>
                <w:rFonts w:ascii="黑体" w:hAnsi="黑体" w:eastAsia="黑体"/>
                <w:b w:val="0"/>
                <w:i w:val="0"/>
                <w:color w:val="000000"/>
                <w:sz w:val="22"/>
              </w:rPr>
              <w:t>期信用损失时，山西证券管理层需要</w:t>
            </w:r>
            <w:r>
              <w:rPr>
                <w:rFonts w:ascii="黑体" w:hAnsi="黑体" w:eastAsia="黑体"/>
                <w:b w:val="0"/>
                <w:i w:val="0"/>
                <w:color w:val="000000"/>
                <w:sz w:val="22"/>
              </w:rPr>
              <w:t>对信用风险是否显著增加、具有共同</w:t>
            </w:r>
            <w:r>
              <w:rPr>
                <w:rFonts w:ascii="黑体" w:hAnsi="黑体" w:eastAsia="黑体"/>
                <w:b w:val="0"/>
                <w:i w:val="0"/>
                <w:color w:val="000000"/>
                <w:sz w:val="22"/>
              </w:rPr>
              <w:t>信用风险特征资产组的划分，违约概</w:t>
            </w:r>
            <w:r>
              <w:rPr>
                <w:rFonts w:ascii="黑体" w:hAnsi="黑体" w:eastAsia="黑体"/>
                <w:b w:val="0"/>
                <w:i w:val="0"/>
                <w:color w:val="000000"/>
                <w:sz w:val="22"/>
              </w:rPr>
              <w:t>率、违约损失率、违约风险暴露、折</w:t>
            </w:r>
            <w:r>
              <w:rPr>
                <w:rFonts w:ascii="黑体" w:hAnsi="黑体" w:eastAsia="黑体"/>
                <w:b w:val="0"/>
                <w:i w:val="0"/>
                <w:color w:val="000000"/>
                <w:sz w:val="22"/>
              </w:rPr>
              <w:t>现率、以及模型中使用的包括未来现</w:t>
            </w:r>
            <w:r>
              <w:rPr>
                <w:rFonts w:ascii="黑体" w:hAnsi="黑体" w:eastAsia="黑体"/>
                <w:b w:val="0"/>
                <w:i w:val="0"/>
                <w:color w:val="000000"/>
                <w:sz w:val="22"/>
              </w:rPr>
              <w:t>金流量预期、前瞻性信息等在内的关</w:t>
            </w:r>
            <w:r>
              <w:rPr>
                <w:rFonts w:ascii="黑体" w:hAnsi="黑体" w:eastAsia="黑体"/>
                <w:b w:val="0"/>
                <w:i w:val="0"/>
                <w:color w:val="000000"/>
                <w:sz w:val="22"/>
              </w:rPr>
              <w:t>键假设及参数作出评估，这涉及管理</w:t>
            </w:r>
            <w:r>
              <w:rPr>
                <w:rFonts w:ascii="黑体" w:hAnsi="黑体" w:eastAsia="黑体"/>
                <w:b w:val="0"/>
                <w:i w:val="0"/>
                <w:color w:val="000000"/>
                <w:sz w:val="22"/>
              </w:rPr>
              <w:t>层运用重大会计估计和判断。</w:t>
            </w:r>
          </w:p>
          <w:p>
            <w:pPr>
              <w:autoSpaceDN w:val="0"/>
              <w:autoSpaceDE w:val="0"/>
              <w:widowControl/>
              <w:spacing w:line="286" w:lineRule="exact" w:before="252" w:after="0"/>
              <w:ind w:left="428" w:right="98" w:firstLine="0"/>
              <w:jc w:val="both"/>
            </w:pPr>
            <w:r>
              <w:rPr>
                <w:rFonts w:ascii="黑体" w:hAnsi="黑体" w:eastAsia="黑体"/>
                <w:b w:val="0"/>
                <w:i w:val="0"/>
                <w:color w:val="000000"/>
                <w:sz w:val="22"/>
              </w:rPr>
              <w:t>由于融出资金、买入返售金融资产和</w:t>
            </w:r>
            <w:r>
              <w:rPr>
                <w:rFonts w:ascii="黑体" w:hAnsi="黑体" w:eastAsia="黑体"/>
                <w:b w:val="0"/>
                <w:i w:val="0"/>
                <w:color w:val="000000"/>
                <w:sz w:val="22"/>
              </w:rPr>
              <w:t>其他债权投资的减值准备的确定存在</w:t>
            </w:r>
            <w:r>
              <w:rPr>
                <w:rFonts w:ascii="黑体" w:hAnsi="黑体" w:eastAsia="黑体"/>
                <w:b w:val="0"/>
                <w:i w:val="0"/>
                <w:color w:val="000000"/>
                <w:sz w:val="22"/>
              </w:rPr>
              <w:t>固有不确定性以及涉及到管理层判断</w:t>
            </w:r>
            <w:r>
              <w:rPr>
                <w:rFonts w:ascii="黑体" w:hAnsi="黑体" w:eastAsia="黑体"/>
                <w:b w:val="0"/>
                <w:i w:val="0"/>
                <w:color w:val="000000"/>
                <w:sz w:val="22"/>
              </w:rPr>
              <w:t>和估计，我们将其识别为关键审计事</w:t>
            </w:r>
            <w:r>
              <w:rPr>
                <w:rFonts w:ascii="黑体" w:hAnsi="黑体" w:eastAsia="黑体"/>
                <w:b w:val="0"/>
                <w:i w:val="0"/>
                <w:color w:val="000000"/>
                <w:sz w:val="22"/>
              </w:rPr>
              <w:t>项。</w:t>
            </w:r>
          </w:p>
          <w:p>
            <w:pPr>
              <w:autoSpaceDN w:val="0"/>
              <w:autoSpaceDE w:val="0"/>
              <w:widowControl/>
              <w:spacing w:line="286" w:lineRule="exact" w:before="268" w:after="0"/>
              <w:ind w:left="428" w:right="98" w:firstLine="0"/>
              <w:jc w:val="both"/>
            </w:pPr>
            <w:r>
              <w:rPr>
                <w:rFonts w:ascii="黑体" w:hAnsi="黑体" w:eastAsia="黑体"/>
                <w:b w:val="0"/>
                <w:i w:val="0"/>
                <w:color w:val="000000"/>
                <w:sz w:val="22"/>
              </w:rPr>
              <w:t>相关附注请参见财务报表附注三、</w:t>
            </w:r>
            <w:r>
              <w:rPr>
                <w:rFonts w:ascii="Times New Roman" w:hAnsi="Times New Roman" w:eastAsia="Times New Roman"/>
                <w:b w:val="0"/>
                <w:i w:val="0"/>
                <w:color w:val="000000"/>
                <w:sz w:val="22"/>
              </w:rPr>
              <w:t>9</w:t>
            </w:r>
            <w:r>
              <w:rPr>
                <w:rFonts w:ascii="黑体" w:hAnsi="黑体" w:eastAsia="黑体"/>
                <w:b w:val="0"/>
                <w:i w:val="0"/>
                <w:color w:val="000000"/>
                <w:sz w:val="22"/>
              </w:rPr>
              <w:t>所述的会计政策及财务报表附注五、</w:t>
            </w:r>
            <w:r>
              <w:rPr>
                <w:rFonts w:ascii="Times New Roman" w:hAnsi="Times New Roman" w:eastAsia="Times New Roman"/>
                <w:b w:val="0"/>
                <w:i w:val="0"/>
                <w:color w:val="000000"/>
                <w:sz w:val="22"/>
              </w:rPr>
              <w:t>3</w:t>
            </w:r>
            <w:r>
              <w:rPr>
                <w:rFonts w:ascii="黑体" w:hAnsi="黑体" w:eastAsia="黑体"/>
                <w:b w:val="0"/>
                <w:i w:val="0"/>
                <w:color w:val="000000"/>
                <w:sz w:val="22"/>
              </w:rPr>
              <w:t>，附注五、</w:t>
            </w:r>
            <w:r>
              <w:rPr>
                <w:rFonts w:ascii="Times New Roman" w:hAnsi="Times New Roman" w:eastAsia="Times New Roman"/>
                <w:b w:val="0"/>
                <w:i w:val="0"/>
                <w:color w:val="000000"/>
                <w:sz w:val="22"/>
              </w:rPr>
              <w:t>5</w:t>
            </w:r>
            <w:r>
              <w:rPr>
                <w:rFonts w:ascii="黑体" w:hAnsi="黑体" w:eastAsia="黑体"/>
                <w:b w:val="0"/>
                <w:i w:val="0"/>
                <w:color w:val="000000"/>
                <w:sz w:val="22"/>
              </w:rPr>
              <w:t>和附注五、</w:t>
            </w:r>
            <w:r>
              <w:rPr>
                <w:rFonts w:ascii="Times New Roman" w:hAnsi="Times New Roman" w:eastAsia="Times New Roman"/>
                <w:b w:val="0"/>
                <w:i w:val="0"/>
                <w:color w:val="000000"/>
                <w:sz w:val="22"/>
              </w:rPr>
              <w:t>10</w:t>
            </w:r>
            <w:r>
              <w:rPr>
                <w:rFonts w:ascii="黑体" w:hAnsi="黑体" w:eastAsia="黑体"/>
                <w:b w:val="0"/>
                <w:i w:val="0"/>
                <w:color w:val="000000"/>
                <w:sz w:val="22"/>
              </w:rPr>
              <w:t>。</w:t>
            </w:r>
          </w:p>
        </w:tc>
        <w:tc>
          <w:tcPr>
            <w:tcW w:type="dxa" w:w="4224"/>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86" w:lineRule="exact" w:before="218" w:after="0"/>
              <w:ind w:left="430" w:right="0" w:firstLine="0"/>
              <w:jc w:val="left"/>
            </w:pPr>
            <w:r>
              <w:rPr>
                <w:rFonts w:ascii="黑体" w:hAnsi="黑体" w:eastAsia="黑体"/>
                <w:b w:val="0"/>
                <w:i w:val="0"/>
                <w:color w:val="000000"/>
                <w:sz w:val="22"/>
              </w:rPr>
              <w:t>我们针对融出资金、买入返售金融资</w:t>
            </w:r>
            <w:r>
              <w:rPr>
                <w:rFonts w:ascii="黑体" w:hAnsi="黑体" w:eastAsia="黑体"/>
                <w:b w:val="0"/>
                <w:i w:val="0"/>
                <w:color w:val="000000"/>
                <w:sz w:val="22"/>
              </w:rPr>
              <w:t>产和其他债权投资减值准备的确定执</w:t>
            </w:r>
            <w:r>
              <w:rPr>
                <w:rFonts w:ascii="黑体" w:hAnsi="黑体" w:eastAsia="黑体"/>
                <w:b w:val="0"/>
                <w:i w:val="0"/>
                <w:color w:val="000000"/>
                <w:sz w:val="22"/>
              </w:rPr>
              <w:t>行的审计程序主要包括：</w:t>
            </w:r>
            <w:r>
              <w:br/>
            </w:r>
            <w:r>
              <w:rPr>
                <w:rFonts w:ascii="宋体" w:hAnsi="宋体" w:eastAsia="宋体"/>
                <w:b w:val="0"/>
                <w:i w:val="0"/>
                <w:color w:val="000000"/>
                <w:sz w:val="22"/>
              </w:rPr>
              <w:t>•</w:t>
            </w:r>
            <w:r>
              <w:rPr>
                <w:rFonts w:ascii="黑体" w:hAnsi="黑体" w:eastAsia="黑体"/>
                <w:b w:val="0"/>
                <w:i w:val="0"/>
                <w:color w:val="000000"/>
                <w:sz w:val="22"/>
              </w:rPr>
              <w:t xml:space="preserve"> 了解和测试与金融资产预期信用损</w:t>
            </w:r>
            <w:r>
              <w:rPr>
                <w:rFonts w:ascii="黑体" w:hAnsi="黑体" w:eastAsia="黑体"/>
                <w:b w:val="0"/>
                <w:i w:val="0"/>
                <w:color w:val="000000"/>
                <w:sz w:val="22"/>
              </w:rPr>
              <w:t>失计量相关的关键财务报告内部控制</w:t>
            </w:r>
            <w:r>
              <w:rPr>
                <w:rFonts w:ascii="黑体" w:hAnsi="黑体" w:eastAsia="黑体"/>
                <w:b w:val="0"/>
                <w:i w:val="0"/>
                <w:color w:val="000000"/>
                <w:sz w:val="22"/>
              </w:rPr>
              <w:t>的设计和运行；</w:t>
            </w:r>
            <w:r>
              <w:br/>
            </w:r>
            <w:r>
              <w:rPr>
                <w:rFonts w:ascii="宋体" w:hAnsi="宋体" w:eastAsia="宋体"/>
                <w:b w:val="0"/>
                <w:i w:val="0"/>
                <w:color w:val="000000"/>
                <w:sz w:val="22"/>
              </w:rPr>
              <w:t>•</w:t>
            </w:r>
            <w:r>
              <w:rPr>
                <w:rFonts w:ascii="黑体" w:hAnsi="黑体" w:eastAsia="黑体"/>
                <w:b w:val="0"/>
                <w:i w:val="0"/>
                <w:color w:val="000000"/>
                <w:sz w:val="22"/>
              </w:rPr>
              <w:t xml:space="preserve"> 复核管理层使用的减值模型的适当</w:t>
            </w:r>
            <w:r>
              <w:rPr>
                <w:rFonts w:ascii="黑体" w:hAnsi="黑体" w:eastAsia="黑体"/>
                <w:b w:val="0"/>
                <w:i w:val="0"/>
                <w:color w:val="000000"/>
                <w:sz w:val="22"/>
              </w:rPr>
              <w:t>性及相关假设的依据及其合理性，包</w:t>
            </w:r>
            <w:r>
              <w:rPr>
                <w:rFonts w:ascii="黑体" w:hAnsi="黑体" w:eastAsia="黑体"/>
                <w:b w:val="0"/>
                <w:i w:val="0"/>
                <w:color w:val="000000"/>
                <w:sz w:val="22"/>
              </w:rPr>
              <w:t>括评价阶段划分、违约概率、违约损</w:t>
            </w:r>
            <w:r>
              <w:rPr>
                <w:rFonts w:ascii="黑体" w:hAnsi="黑体" w:eastAsia="黑体"/>
                <w:b w:val="0"/>
                <w:i w:val="0"/>
                <w:color w:val="000000"/>
                <w:sz w:val="22"/>
              </w:rPr>
              <w:t>失率、违约风险暴露、折现率及前瞻</w:t>
            </w:r>
            <w:r>
              <w:rPr>
                <w:rFonts w:ascii="黑体" w:hAnsi="黑体" w:eastAsia="黑体"/>
                <w:b w:val="0"/>
                <w:i w:val="0"/>
                <w:color w:val="000000"/>
                <w:sz w:val="22"/>
              </w:rPr>
              <w:t>性调整等，并评价其中所涉及的关键</w:t>
            </w:r>
            <w:r>
              <w:rPr>
                <w:rFonts w:ascii="黑体" w:hAnsi="黑体" w:eastAsia="黑体"/>
                <w:b w:val="0"/>
                <w:i w:val="0"/>
                <w:color w:val="000000"/>
                <w:sz w:val="22"/>
              </w:rPr>
              <w:t>管理层判断的合理性；</w:t>
            </w:r>
            <w:r>
              <w:br/>
            </w:r>
            <w:r>
              <w:rPr>
                <w:rFonts w:ascii="宋体" w:hAnsi="宋体" w:eastAsia="宋体"/>
                <w:b w:val="0"/>
                <w:i w:val="0"/>
                <w:color w:val="000000"/>
                <w:sz w:val="22"/>
              </w:rPr>
              <w:t>•</w:t>
            </w:r>
            <w:r>
              <w:rPr>
                <w:rFonts w:ascii="黑体" w:hAnsi="黑体" w:eastAsia="黑体"/>
                <w:b w:val="0"/>
                <w:i w:val="0"/>
                <w:color w:val="000000"/>
                <w:sz w:val="22"/>
              </w:rPr>
              <w:t xml:space="preserve"> 检查管理层在预期信用损失模型中</w:t>
            </w:r>
            <w:r>
              <w:rPr>
                <w:rFonts w:ascii="黑体" w:hAnsi="黑体" w:eastAsia="黑体"/>
                <w:b w:val="0"/>
                <w:i w:val="0"/>
                <w:color w:val="000000"/>
                <w:sz w:val="22"/>
              </w:rPr>
              <w:t>使用的基础数据，包括违约概率、违</w:t>
            </w:r>
            <w:r>
              <w:rPr>
                <w:rFonts w:ascii="黑体" w:hAnsi="黑体" w:eastAsia="黑体"/>
                <w:b w:val="0"/>
                <w:i w:val="0"/>
                <w:color w:val="000000"/>
                <w:sz w:val="22"/>
              </w:rPr>
              <w:t>约损失率、违约敞口等，并复核模型</w:t>
            </w:r>
            <w:r>
              <w:rPr>
                <w:rFonts w:ascii="黑体" w:hAnsi="黑体" w:eastAsia="黑体"/>
                <w:b w:val="0"/>
                <w:i w:val="0"/>
                <w:color w:val="000000"/>
                <w:sz w:val="22"/>
              </w:rPr>
              <w:t>计算的准确性；</w:t>
            </w:r>
            <w:r>
              <w:br/>
            </w:r>
            <w:r>
              <w:rPr>
                <w:rFonts w:ascii="宋体" w:hAnsi="宋体" w:eastAsia="宋体"/>
                <w:b w:val="0"/>
                <w:i w:val="0"/>
                <w:color w:val="000000"/>
                <w:sz w:val="22"/>
              </w:rPr>
              <w:t>•</w:t>
            </w:r>
            <w:r>
              <w:rPr>
                <w:rFonts w:ascii="黑体" w:hAnsi="黑体" w:eastAsia="黑体"/>
                <w:b w:val="0"/>
                <w:i w:val="0"/>
                <w:color w:val="000000"/>
                <w:sz w:val="22"/>
              </w:rPr>
              <w:t xml:space="preserve"> 基于风险导向的方法选取样本，复</w:t>
            </w:r>
            <w:r>
              <w:rPr>
                <w:rFonts w:ascii="黑体" w:hAnsi="黑体" w:eastAsia="黑体"/>
                <w:b w:val="0"/>
                <w:i w:val="0"/>
                <w:color w:val="000000"/>
                <w:sz w:val="22"/>
              </w:rPr>
              <w:t>核管理层发生信用减值的阶段划分结</w:t>
            </w:r>
            <w:r>
              <w:rPr>
                <w:rFonts w:ascii="黑体" w:hAnsi="黑体" w:eastAsia="黑体"/>
                <w:b w:val="0"/>
                <w:i w:val="0"/>
                <w:color w:val="000000"/>
                <w:sz w:val="22"/>
              </w:rPr>
              <w:t>果的合理性；</w:t>
            </w:r>
            <w:r>
              <w:br/>
            </w:r>
            <w:r>
              <w:rPr>
                <w:rFonts w:ascii="宋体" w:hAnsi="宋体" w:eastAsia="宋体"/>
                <w:b w:val="0"/>
                <w:i w:val="0"/>
                <w:color w:val="000000"/>
                <w:sz w:val="22"/>
              </w:rPr>
              <w:t>•</w:t>
            </w:r>
            <w:r>
              <w:rPr>
                <w:rFonts w:ascii="黑体" w:hAnsi="黑体" w:eastAsia="黑体"/>
                <w:b w:val="0"/>
                <w:i w:val="0"/>
                <w:color w:val="000000"/>
                <w:sz w:val="22"/>
              </w:rPr>
              <w:t xml:space="preserve"> 针对已发生信用减值损失的项目，</w:t>
            </w:r>
            <w:r>
              <w:rPr>
                <w:rFonts w:ascii="黑体" w:hAnsi="黑体" w:eastAsia="黑体"/>
                <w:b w:val="0"/>
                <w:i w:val="0"/>
                <w:color w:val="000000"/>
                <w:sz w:val="22"/>
              </w:rPr>
              <w:t>通过检查借款人信息、抵质押物公允</w:t>
            </w:r>
            <w:r>
              <w:rPr>
                <w:rFonts w:ascii="黑体" w:hAnsi="黑体" w:eastAsia="黑体"/>
                <w:b w:val="0"/>
                <w:i w:val="0"/>
                <w:color w:val="000000"/>
                <w:sz w:val="22"/>
              </w:rPr>
              <w:t>价值等信息，评价管理层对预期信用</w:t>
            </w:r>
            <w:r>
              <w:rPr>
                <w:rFonts w:ascii="黑体" w:hAnsi="黑体" w:eastAsia="黑体"/>
                <w:b w:val="0"/>
                <w:i w:val="0"/>
                <w:color w:val="000000"/>
                <w:sz w:val="22"/>
              </w:rPr>
              <w:t>损失计提的依据及其合理性；</w:t>
            </w:r>
            <w:r>
              <w:br/>
            </w:r>
            <w:r>
              <w:rPr>
                <w:rFonts w:ascii="宋体" w:hAnsi="宋体" w:eastAsia="宋体"/>
                <w:b w:val="0"/>
                <w:i w:val="0"/>
                <w:color w:val="000000"/>
                <w:sz w:val="22"/>
              </w:rPr>
              <w:t>•</w:t>
            </w:r>
            <w:r>
              <w:rPr>
                <w:rFonts w:ascii="黑体" w:hAnsi="黑体" w:eastAsia="黑体"/>
                <w:b w:val="0"/>
                <w:i w:val="0"/>
                <w:color w:val="000000"/>
                <w:sz w:val="22"/>
              </w:rPr>
              <w:t xml:space="preserve"> 重新复核融出资金、买入返售金融</w:t>
            </w:r>
            <w:r>
              <w:rPr>
                <w:rFonts w:ascii="黑体" w:hAnsi="黑体" w:eastAsia="黑体"/>
                <w:b w:val="0"/>
                <w:i w:val="0"/>
                <w:color w:val="000000"/>
                <w:sz w:val="22"/>
              </w:rPr>
              <w:t>资产和其他债权投资的减值准备的计</w:t>
            </w:r>
            <w:r>
              <w:rPr>
                <w:rFonts w:ascii="黑体" w:hAnsi="黑体" w:eastAsia="黑体"/>
                <w:b w:val="0"/>
                <w:i w:val="0"/>
                <w:color w:val="000000"/>
                <w:sz w:val="22"/>
              </w:rPr>
              <w:t>算准确性；</w:t>
            </w:r>
            <w:r>
              <w:br/>
            </w:r>
            <w:r>
              <w:rPr>
                <w:rFonts w:ascii="宋体" w:hAnsi="宋体" w:eastAsia="宋体"/>
                <w:b w:val="0"/>
                <w:i w:val="0"/>
                <w:color w:val="000000"/>
                <w:sz w:val="22"/>
              </w:rPr>
              <w:t>•</w:t>
            </w:r>
            <w:r>
              <w:rPr>
                <w:rFonts w:ascii="黑体" w:hAnsi="黑体" w:eastAsia="黑体"/>
                <w:b w:val="0"/>
                <w:i w:val="0"/>
                <w:color w:val="000000"/>
                <w:sz w:val="22"/>
              </w:rPr>
              <w:t xml:space="preserve"> 评价财务报表中针对金融资产预期</w:t>
            </w:r>
            <w:r>
              <w:rPr>
                <w:rFonts w:ascii="黑体" w:hAnsi="黑体" w:eastAsia="黑体"/>
                <w:b w:val="0"/>
                <w:i w:val="0"/>
                <w:color w:val="000000"/>
                <w:sz w:val="22"/>
              </w:rPr>
              <w:t>信用损失的相关披露是否满足企业会</w:t>
            </w:r>
            <w:r>
              <w:rPr>
                <w:rFonts w:ascii="黑体" w:hAnsi="黑体" w:eastAsia="黑体"/>
                <w:b w:val="0"/>
                <w:i w:val="0"/>
                <w:color w:val="000000"/>
                <w:sz w:val="22"/>
              </w:rPr>
              <w:t>计准则的要求。</w:t>
            </w:r>
          </w:p>
        </w:tc>
      </w:tr>
    </w:tbl>
    <w:p>
      <w:pPr>
        <w:autoSpaceDN w:val="0"/>
        <w:autoSpaceDE w:val="0"/>
        <w:widowControl/>
        <w:spacing w:line="197" w:lineRule="auto" w:before="1444" w:after="0"/>
        <w:ind w:left="0" w:right="4480" w:firstLine="0"/>
        <w:jc w:val="right"/>
      </w:pPr>
      <w:r>
        <w:rPr>
          <w:rFonts w:ascii="Calibri" w:hAnsi="Calibri" w:eastAsia="Calibri"/>
          <w:b w:val="0"/>
          <w:i w:val="0"/>
          <w:color w:val="000000"/>
          <w:sz w:val="18"/>
        </w:rPr>
        <w:t xml:space="preserve">145 </w:t>
      </w:r>
    </w:p>
    <w:p>
      <w:pPr>
        <w:sectPr>
          <w:pgSz w:w="11904" w:h="16841"/>
          <w:pgMar w:top="1404" w:right="1296" w:bottom="446" w:left="1440"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4"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52"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0" w:lineRule="exact" w:before="58" w:after="0"/>
        <w:ind w:left="0" w:right="20"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16" w:after="0"/>
        <w:ind w:left="440" w:right="0" w:firstLine="0"/>
        <w:jc w:val="left"/>
      </w:pPr>
      <w:r>
        <w:rPr>
          <w:rFonts w:ascii="黑体" w:hAnsi="黑体" w:eastAsia="黑体"/>
          <w:b w:val="0"/>
          <w:i w:val="0"/>
          <w:color w:val="000000"/>
          <w:sz w:val="22"/>
        </w:rPr>
        <w:t>四、其他信息</w:t>
      </w:r>
    </w:p>
    <w:p>
      <w:pPr>
        <w:autoSpaceDN w:val="0"/>
        <w:autoSpaceDE w:val="0"/>
        <w:widowControl/>
        <w:spacing w:line="220" w:lineRule="exact" w:before="404" w:after="0"/>
        <w:ind w:left="438" w:right="0" w:firstLine="0"/>
        <w:jc w:val="left"/>
      </w:pPr>
      <w:r>
        <w:rPr>
          <w:rFonts w:ascii="黑体" w:hAnsi="黑体" w:eastAsia="黑体"/>
          <w:b w:val="0"/>
          <w:i w:val="0"/>
          <w:color w:val="000000"/>
          <w:sz w:val="22"/>
        </w:rPr>
        <w:t>山西证券管理层对其他信息负责。其他信息包括年度报告中涵盖的信息，但不包括财务报表</w:t>
      </w:r>
    </w:p>
    <w:p>
      <w:pPr>
        <w:autoSpaceDN w:val="0"/>
        <w:autoSpaceDE w:val="0"/>
        <w:widowControl/>
        <w:spacing w:line="220" w:lineRule="exact" w:before="92" w:after="0"/>
        <w:ind w:left="0" w:right="0" w:firstLine="0"/>
        <w:jc w:val="left"/>
      </w:pPr>
      <w:r>
        <w:rPr>
          <w:rFonts w:ascii="黑体" w:hAnsi="黑体" w:eastAsia="黑体"/>
          <w:b w:val="0"/>
          <w:i w:val="0"/>
          <w:color w:val="000000"/>
          <w:sz w:val="22"/>
        </w:rPr>
        <w:t>和我们的审计报告。</w:t>
      </w:r>
    </w:p>
    <w:p>
      <w:pPr>
        <w:autoSpaceDN w:val="0"/>
        <w:autoSpaceDE w:val="0"/>
        <w:widowControl/>
        <w:spacing w:line="220" w:lineRule="exact" w:before="404" w:after="0"/>
        <w:ind w:left="438" w:right="0" w:firstLine="0"/>
        <w:jc w:val="left"/>
      </w:pPr>
      <w:r>
        <w:rPr>
          <w:rFonts w:ascii="黑体" w:hAnsi="黑体" w:eastAsia="黑体"/>
          <w:b w:val="0"/>
          <w:i w:val="0"/>
          <w:color w:val="000000"/>
          <w:sz w:val="22"/>
        </w:rPr>
        <w:t>我们对财务报表发表的审计意见不涵盖其他信息，我们也不对其他信息发表任何形式的鉴证</w:t>
      </w:r>
    </w:p>
    <w:p>
      <w:pPr>
        <w:autoSpaceDN w:val="0"/>
        <w:autoSpaceDE w:val="0"/>
        <w:widowControl/>
        <w:spacing w:line="220" w:lineRule="exact" w:before="92" w:after="0"/>
        <w:ind w:left="0" w:right="0" w:firstLine="0"/>
        <w:jc w:val="left"/>
      </w:pPr>
      <w:r>
        <w:rPr>
          <w:rFonts w:ascii="黑体" w:hAnsi="黑体" w:eastAsia="黑体"/>
          <w:b w:val="0"/>
          <w:i w:val="0"/>
          <w:color w:val="000000"/>
          <w:sz w:val="22"/>
        </w:rPr>
        <w:t>结论。</w:t>
      </w:r>
    </w:p>
    <w:p>
      <w:pPr>
        <w:autoSpaceDN w:val="0"/>
        <w:autoSpaceDE w:val="0"/>
        <w:widowControl/>
        <w:spacing w:line="220" w:lineRule="exact" w:before="404" w:after="0"/>
        <w:ind w:left="438" w:right="0" w:firstLine="0"/>
        <w:jc w:val="left"/>
      </w:pPr>
      <w:r>
        <w:rPr>
          <w:rFonts w:ascii="黑体" w:hAnsi="黑体" w:eastAsia="黑体"/>
          <w:b w:val="0"/>
          <w:i w:val="0"/>
          <w:color w:val="000000"/>
          <w:sz w:val="22"/>
        </w:rPr>
        <w:t>结合我们对财务报表的审计，我们的责任是阅读其他信息，在此过程中，考虑其他信息是否</w:t>
      </w:r>
    </w:p>
    <w:p>
      <w:pPr>
        <w:autoSpaceDN w:val="0"/>
        <w:autoSpaceDE w:val="0"/>
        <w:widowControl/>
        <w:spacing w:line="220" w:lineRule="exact" w:before="92" w:after="0"/>
        <w:ind w:left="0" w:right="0" w:firstLine="0"/>
        <w:jc w:val="left"/>
      </w:pPr>
      <w:r>
        <w:rPr>
          <w:rFonts w:ascii="黑体" w:hAnsi="黑体" w:eastAsia="黑体"/>
          <w:b w:val="0"/>
          <w:i w:val="0"/>
          <w:color w:val="000000"/>
          <w:sz w:val="22"/>
        </w:rPr>
        <w:t>与财务报表或我们在审计过程中了解到的情况存在重大不一致或者似乎存在重大错报。</w:t>
      </w:r>
    </w:p>
    <w:p>
      <w:pPr>
        <w:autoSpaceDN w:val="0"/>
        <w:autoSpaceDE w:val="0"/>
        <w:widowControl/>
        <w:spacing w:line="222" w:lineRule="exact" w:before="404" w:after="0"/>
        <w:ind w:left="438" w:right="0" w:firstLine="0"/>
        <w:jc w:val="left"/>
      </w:pPr>
      <w:r>
        <w:rPr>
          <w:rFonts w:ascii="黑体" w:hAnsi="黑体" w:eastAsia="黑体"/>
          <w:b w:val="0"/>
          <w:i w:val="0"/>
          <w:color w:val="000000"/>
          <w:sz w:val="22"/>
        </w:rPr>
        <w:t>基于我们已执行的工作，如果我们确定其他信息存在重大错报，我们应当报告该事实。在这</w:t>
      </w:r>
    </w:p>
    <w:p>
      <w:pPr>
        <w:autoSpaceDN w:val="0"/>
        <w:autoSpaceDE w:val="0"/>
        <w:widowControl/>
        <w:spacing w:line="222" w:lineRule="exact" w:before="90" w:after="0"/>
        <w:ind w:left="0" w:right="0" w:firstLine="0"/>
        <w:jc w:val="left"/>
      </w:pPr>
      <w:r>
        <w:rPr>
          <w:rFonts w:ascii="黑体" w:hAnsi="黑体" w:eastAsia="黑体"/>
          <w:b w:val="0"/>
          <w:i w:val="0"/>
          <w:color w:val="000000"/>
          <w:sz w:val="22"/>
        </w:rPr>
        <w:t>方面，我们无任何事项需要报告。</w:t>
      </w:r>
    </w:p>
    <w:p>
      <w:pPr>
        <w:autoSpaceDN w:val="0"/>
        <w:autoSpaceDE w:val="0"/>
        <w:widowControl/>
        <w:spacing w:line="222" w:lineRule="exact" w:before="402" w:after="0"/>
        <w:ind w:left="440" w:right="0" w:firstLine="0"/>
        <w:jc w:val="left"/>
      </w:pPr>
      <w:r>
        <w:rPr>
          <w:rFonts w:ascii="黑体" w:hAnsi="黑体" w:eastAsia="黑体"/>
          <w:b w:val="0"/>
          <w:i w:val="0"/>
          <w:color w:val="000000"/>
          <w:sz w:val="22"/>
        </w:rPr>
        <w:t>五、管理层和治理层对财务报表的责任</w:t>
      </w:r>
    </w:p>
    <w:p>
      <w:pPr>
        <w:autoSpaceDN w:val="0"/>
        <w:autoSpaceDE w:val="0"/>
        <w:widowControl/>
        <w:spacing w:line="222" w:lineRule="exact" w:before="402" w:after="0"/>
        <w:ind w:left="438" w:right="0" w:firstLine="0"/>
        <w:jc w:val="left"/>
      </w:pPr>
      <w:r>
        <w:rPr>
          <w:rFonts w:ascii="黑体" w:hAnsi="黑体" w:eastAsia="黑体"/>
          <w:b w:val="0"/>
          <w:i w:val="0"/>
          <w:color w:val="000000"/>
          <w:sz w:val="22"/>
        </w:rPr>
        <w:t>管理层负责按照企业会计准则的规定编制财务报表，使其实现公允反映，并设计、执行和维</w:t>
      </w:r>
    </w:p>
    <w:p>
      <w:pPr>
        <w:autoSpaceDN w:val="0"/>
        <w:autoSpaceDE w:val="0"/>
        <w:widowControl/>
        <w:spacing w:line="222" w:lineRule="exact" w:before="90" w:after="0"/>
        <w:ind w:left="0" w:right="0" w:firstLine="0"/>
        <w:jc w:val="left"/>
      </w:pPr>
      <w:r>
        <w:rPr>
          <w:rFonts w:ascii="黑体" w:hAnsi="黑体" w:eastAsia="黑体"/>
          <w:b w:val="0"/>
          <w:i w:val="0"/>
          <w:color w:val="000000"/>
          <w:sz w:val="22"/>
        </w:rPr>
        <w:t>护必要的内部控制，以使财务报表不存在由于舞弊或错误导致的重大错报。</w:t>
      </w:r>
    </w:p>
    <w:p>
      <w:pPr>
        <w:autoSpaceDN w:val="0"/>
        <w:autoSpaceDE w:val="0"/>
        <w:widowControl/>
        <w:spacing w:line="222" w:lineRule="exact" w:before="402" w:after="0"/>
        <w:ind w:left="438" w:right="0" w:firstLine="0"/>
        <w:jc w:val="left"/>
      </w:pPr>
      <w:r>
        <w:rPr>
          <w:rFonts w:ascii="黑体" w:hAnsi="黑体" w:eastAsia="黑体"/>
          <w:b w:val="0"/>
          <w:i w:val="0"/>
          <w:color w:val="000000"/>
          <w:sz w:val="22"/>
        </w:rPr>
        <w:t>在编制财务报表时，管理层负责评估山西证券的持续经营能力，披露与持续经营相关的事项</w:t>
      </w:r>
    </w:p>
    <w:p>
      <w:pPr>
        <w:autoSpaceDN w:val="0"/>
        <w:autoSpaceDE w:val="0"/>
        <w:widowControl/>
        <w:spacing w:line="220" w:lineRule="exact" w:before="92" w:after="0"/>
        <w:ind w:left="0" w:right="0" w:firstLine="0"/>
        <w:jc w:val="left"/>
      </w:pPr>
      <w:r>
        <w:rPr>
          <w:rFonts w:ascii="黑体" w:hAnsi="黑体" w:eastAsia="黑体"/>
          <w:b w:val="0"/>
          <w:i w:val="0"/>
          <w:color w:val="000000"/>
          <w:sz w:val="22"/>
        </w:rPr>
        <w:t>（如适用），并运用持续经营假设，除非计划进行清算、终止运营或别无其他现实的选择。</w:t>
      </w:r>
    </w:p>
    <w:p>
      <w:pPr>
        <w:autoSpaceDN w:val="0"/>
        <w:autoSpaceDE w:val="0"/>
        <w:widowControl/>
        <w:spacing w:line="220" w:lineRule="exact" w:before="404" w:after="0"/>
        <w:ind w:left="438" w:right="0" w:firstLine="0"/>
        <w:jc w:val="left"/>
      </w:pPr>
      <w:r>
        <w:rPr>
          <w:rFonts w:ascii="黑体" w:hAnsi="黑体" w:eastAsia="黑体"/>
          <w:b w:val="0"/>
          <w:i w:val="0"/>
          <w:color w:val="000000"/>
          <w:sz w:val="22"/>
        </w:rPr>
        <w:t>治理层负责监督山西证券的财务报告过程。</w:t>
      </w:r>
    </w:p>
    <w:p>
      <w:pPr>
        <w:autoSpaceDN w:val="0"/>
        <w:autoSpaceDE w:val="0"/>
        <w:widowControl/>
        <w:spacing w:line="220" w:lineRule="exact" w:before="404" w:after="0"/>
        <w:ind w:left="440" w:right="0" w:firstLine="0"/>
        <w:jc w:val="left"/>
      </w:pPr>
      <w:r>
        <w:rPr>
          <w:rFonts w:ascii="黑体" w:hAnsi="黑体" w:eastAsia="黑体"/>
          <w:b w:val="0"/>
          <w:i w:val="0"/>
          <w:color w:val="000000"/>
          <w:sz w:val="22"/>
        </w:rPr>
        <w:t>六、注册会计师对财务报表审计的责任</w:t>
      </w:r>
    </w:p>
    <w:p>
      <w:pPr>
        <w:autoSpaceDN w:val="0"/>
        <w:autoSpaceDE w:val="0"/>
        <w:widowControl/>
        <w:spacing w:line="220" w:lineRule="exact" w:before="404" w:after="0"/>
        <w:ind w:left="438" w:right="0" w:firstLine="0"/>
        <w:jc w:val="left"/>
      </w:pPr>
      <w:r>
        <w:rPr>
          <w:rFonts w:ascii="黑体" w:hAnsi="黑体" w:eastAsia="黑体"/>
          <w:b w:val="0"/>
          <w:i w:val="0"/>
          <w:color w:val="000000"/>
          <w:sz w:val="22"/>
        </w:rPr>
        <w:t>我们的目标是对财务报表整体是否不存在由于舞弊或错误导致的重大错报获取合理保证，并</w:t>
      </w:r>
    </w:p>
    <w:p>
      <w:pPr>
        <w:autoSpaceDN w:val="0"/>
        <w:autoSpaceDE w:val="0"/>
        <w:widowControl/>
        <w:spacing w:line="220" w:lineRule="exact" w:before="92" w:after="0"/>
        <w:ind w:left="0" w:right="0" w:firstLine="0"/>
        <w:jc w:val="center"/>
      </w:pPr>
      <w:r>
        <w:rPr>
          <w:rFonts w:ascii="黑体" w:hAnsi="黑体" w:eastAsia="黑体"/>
          <w:b w:val="0"/>
          <w:i w:val="0"/>
          <w:color w:val="000000"/>
          <w:sz w:val="22"/>
        </w:rPr>
        <w:t>出具包含审计意见的审计报告。合理保证是高水平的保证，但并不能保证按照审计准则执行的审</w:t>
      </w:r>
    </w:p>
    <w:p>
      <w:pPr>
        <w:autoSpaceDN w:val="0"/>
        <w:autoSpaceDE w:val="0"/>
        <w:widowControl/>
        <w:spacing w:line="220" w:lineRule="exact" w:before="92" w:after="0"/>
        <w:ind w:left="0" w:right="0" w:firstLine="0"/>
        <w:jc w:val="center"/>
      </w:pPr>
      <w:r>
        <w:rPr>
          <w:rFonts w:ascii="黑体" w:hAnsi="黑体" w:eastAsia="黑体"/>
          <w:b w:val="0"/>
          <w:i w:val="0"/>
          <w:color w:val="000000"/>
          <w:sz w:val="22"/>
        </w:rPr>
        <w:t>计在某一重大错报存在时总能发现。错报可能由于舞弊或错误导致，如果合理预期错报单独或汇</w:t>
      </w:r>
    </w:p>
    <w:p>
      <w:pPr>
        <w:autoSpaceDN w:val="0"/>
        <w:autoSpaceDE w:val="0"/>
        <w:widowControl/>
        <w:spacing w:line="220" w:lineRule="exact" w:before="92" w:after="0"/>
        <w:ind w:left="0" w:right="0" w:firstLine="0"/>
        <w:jc w:val="left"/>
      </w:pPr>
      <w:r>
        <w:rPr>
          <w:rFonts w:ascii="黑体" w:hAnsi="黑体" w:eastAsia="黑体"/>
          <w:b w:val="0"/>
          <w:i w:val="0"/>
          <w:color w:val="000000"/>
          <w:sz w:val="22"/>
        </w:rPr>
        <w:t>总起来可能影响财务报表使用者依据财务报表作出的经济决策，则通常认为错报是重大的。</w:t>
      </w:r>
    </w:p>
    <w:p>
      <w:pPr>
        <w:autoSpaceDN w:val="0"/>
        <w:autoSpaceDE w:val="0"/>
        <w:widowControl/>
        <w:spacing w:line="197" w:lineRule="auto" w:before="1896" w:after="0"/>
        <w:ind w:left="0" w:right="4480" w:firstLine="0"/>
        <w:jc w:val="right"/>
      </w:pPr>
      <w:r>
        <w:rPr>
          <w:rFonts w:ascii="Calibri" w:hAnsi="Calibri" w:eastAsia="Calibri"/>
          <w:b w:val="0"/>
          <w:i w:val="0"/>
          <w:color w:val="000000"/>
          <w:sz w:val="18"/>
        </w:rPr>
        <w:t xml:space="preserve">146 </w:t>
      </w:r>
    </w:p>
    <w:p>
      <w:pPr>
        <w:sectPr>
          <w:pgSz w:w="11904" w:h="16841"/>
          <w:pgMar w:top="1404" w:right="1296" w:bottom="446" w:left="1134"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88" w:firstLine="0"/>
        <w:jc w:val="right"/>
      </w:pPr>
      <w:r>
        <w:rPr>
          <w:rFonts w:ascii="黑体" w:hAnsi="黑体" w:eastAsia="黑体"/>
          <w:b w:val="0"/>
          <w:i w:val="0"/>
          <w:color w:val="000000"/>
          <w:sz w:val="22"/>
        </w:rPr>
        <w:t>审计报告（续）</w:t>
      </w:r>
    </w:p>
    <w:p>
      <w:pPr>
        <w:autoSpaceDN w:val="0"/>
        <w:tabs>
          <w:tab w:pos="7252" w:val="left"/>
        </w:tabs>
        <w:autoSpaceDE w:val="0"/>
        <w:widowControl/>
        <w:spacing w:line="278" w:lineRule="exact" w:before="300" w:after="0"/>
        <w:ind w:left="5322" w:right="0" w:firstLine="0"/>
        <w:jc w:val="lef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r>
        <w:br/>
      </w:r>
      <w:r>
        <w:tab/>
      </w:r>
      <w:r>
        <w:rPr>
          <w:rFonts w:ascii="黑体" w:hAnsi="黑体" w:eastAsia="黑体"/>
          <w:b w:val="0"/>
          <w:i w:val="0"/>
          <w:color w:val="000000"/>
          <w:sz w:val="22"/>
        </w:rPr>
        <w:t>山西证券股份有限公司</w:t>
      </w:r>
    </w:p>
    <w:p>
      <w:pPr>
        <w:autoSpaceDN w:val="0"/>
        <w:autoSpaceDE w:val="0"/>
        <w:widowControl/>
        <w:spacing w:line="220" w:lineRule="exact" w:before="716" w:after="0"/>
        <w:ind w:left="440" w:right="0" w:firstLine="0"/>
        <w:jc w:val="left"/>
      </w:pPr>
      <w:r>
        <w:rPr>
          <w:rFonts w:ascii="黑体" w:hAnsi="黑体" w:eastAsia="黑体"/>
          <w:b w:val="0"/>
          <w:i w:val="0"/>
          <w:color w:val="000000"/>
          <w:sz w:val="22"/>
        </w:rPr>
        <w:t>六、注册会计师对财务报表审计的责任（续）</w:t>
      </w:r>
    </w:p>
    <w:p>
      <w:pPr>
        <w:autoSpaceDN w:val="0"/>
        <w:tabs>
          <w:tab w:pos="438" w:val="left"/>
        </w:tabs>
        <w:autoSpaceDE w:val="0"/>
        <w:widowControl/>
        <w:spacing w:line="312" w:lineRule="exact" w:before="312" w:after="0"/>
        <w:ind w:left="0" w:right="0" w:firstLine="0"/>
        <w:jc w:val="left"/>
      </w:pPr>
      <w:r>
        <w:rPr>
          <w:rFonts w:ascii="黑体" w:hAnsi="黑体" w:eastAsia="黑体"/>
          <w:b w:val="0"/>
          <w:i w:val="0"/>
          <w:color w:val="000000"/>
          <w:sz w:val="22"/>
        </w:rPr>
        <w:t>在按照审计准则执行审计工作的过程中，我们运用职业判断，并保持职业怀疑。同时，我们</w:t>
      </w:r>
      <w:r>
        <w:rPr>
          <w:rFonts w:ascii="黑体" w:hAnsi="黑体" w:eastAsia="黑体"/>
          <w:b w:val="0"/>
          <w:i w:val="0"/>
          <w:color w:val="000000"/>
          <w:sz w:val="22"/>
        </w:rPr>
        <w:t>也执行以下工作：</w:t>
      </w:r>
    </w:p>
    <w:p>
      <w:pPr>
        <w:autoSpaceDN w:val="0"/>
        <w:autoSpaceDE w:val="0"/>
        <w:widowControl/>
        <w:spacing w:line="304" w:lineRule="exact" w:before="346" w:after="0"/>
        <w:ind w:left="990" w:right="26" w:hanging="570"/>
        <w:jc w:val="both"/>
      </w:pP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）识别和评估由于舞弊或错误导致的财务报表重大错报风险，设计和实施审计程序以应对</w:t>
      </w:r>
      <w:r>
        <w:rPr>
          <w:rFonts w:ascii="黑体" w:hAnsi="黑体" w:eastAsia="黑体"/>
          <w:b w:val="0"/>
          <w:i w:val="0"/>
          <w:color w:val="000000"/>
          <w:sz w:val="22"/>
        </w:rPr>
        <w:t>这些风险，并获取充分、适当的审计证据，作为发表审计意见的基础。由于舞弊可能涉</w:t>
      </w:r>
      <w:r>
        <w:rPr>
          <w:rFonts w:ascii="黑体" w:hAnsi="黑体" w:eastAsia="黑体"/>
          <w:b w:val="0"/>
          <w:i w:val="0"/>
          <w:color w:val="000000"/>
          <w:sz w:val="22"/>
        </w:rPr>
        <w:t>及串通、伪造、故意遗漏、虚假陈述或凌驾于内部控制之上，未能发现由于舞弊导致的</w:t>
      </w:r>
      <w:r>
        <w:rPr>
          <w:rFonts w:ascii="黑体" w:hAnsi="黑体" w:eastAsia="黑体"/>
          <w:b w:val="0"/>
          <w:i w:val="0"/>
          <w:color w:val="000000"/>
          <w:sz w:val="22"/>
        </w:rPr>
        <w:t>重大错报的风险高于未能发现由于错误导致的重大错报的风险。</w:t>
      </w:r>
    </w:p>
    <w:p>
      <w:pPr>
        <w:autoSpaceDN w:val="0"/>
        <w:autoSpaceDE w:val="0"/>
        <w:widowControl/>
        <w:spacing w:line="244" w:lineRule="exact" w:before="92" w:after="0"/>
        <w:ind w:left="420" w:right="0" w:firstLine="0"/>
        <w:jc w:val="left"/>
      </w:pP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）了解与审计相关的内部控制，以设计恰当的审计程序。</w:t>
      </w:r>
    </w:p>
    <w:p>
      <w:pPr>
        <w:autoSpaceDN w:val="0"/>
        <w:autoSpaceDE w:val="0"/>
        <w:widowControl/>
        <w:spacing w:line="246" w:lineRule="exact" w:before="68" w:after="0"/>
        <w:ind w:left="420" w:right="0" w:firstLine="0"/>
        <w:jc w:val="left"/>
      </w:pPr>
      <w:r>
        <w:rPr>
          <w:rFonts w:ascii="黑体" w:hAnsi="黑体" w:eastAsia="黑体"/>
          <w:b w:val="0"/>
          <w:i w:val="0"/>
          <w:color w:val="000000"/>
          <w:sz w:val="22"/>
        </w:rPr>
        <w:t>（</w:t>
      </w:r>
      <w:r>
        <w:rPr>
          <w:rFonts w:ascii="Calibri" w:hAnsi="Calibri" w:eastAsia="Calibri"/>
          <w:b w:val="0"/>
          <w:i w:val="0"/>
          <w:color w:val="000000"/>
          <w:sz w:val="22"/>
        </w:rPr>
        <w:t>3</w:t>
      </w:r>
      <w:r>
        <w:rPr>
          <w:rFonts w:ascii="黑体" w:hAnsi="黑体" w:eastAsia="黑体"/>
          <w:b w:val="0"/>
          <w:i w:val="0"/>
          <w:color w:val="000000"/>
          <w:sz w:val="22"/>
        </w:rPr>
        <w:t>）评价管理层选用会计政策的恰当性和作出会计估计及相关披露的合理性。</w:t>
      </w:r>
    </w:p>
    <w:p>
      <w:pPr>
        <w:autoSpaceDN w:val="0"/>
        <w:autoSpaceDE w:val="0"/>
        <w:widowControl/>
        <w:spacing w:line="304" w:lineRule="exact" w:before="8" w:after="0"/>
        <w:ind w:left="990" w:right="24" w:hanging="570"/>
        <w:jc w:val="both"/>
      </w:pPr>
      <w:r>
        <w:rPr>
          <w:rFonts w:ascii="黑体" w:hAnsi="黑体" w:eastAsia="黑体"/>
          <w:b w:val="0"/>
          <w:i w:val="0"/>
          <w:color w:val="000000"/>
          <w:sz w:val="22"/>
        </w:rPr>
        <w:t>（</w:t>
      </w:r>
      <w:r>
        <w:rPr>
          <w:rFonts w:ascii="Calibri" w:hAnsi="Calibri" w:eastAsia="Calibri"/>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对管理层使用持续经营假设的恰当性得出结论。同时，根据获取的审计证据，就可能导</w:t>
      </w:r>
      <w:r>
        <w:rPr>
          <w:rFonts w:ascii="黑体" w:hAnsi="黑体" w:eastAsia="黑体"/>
          <w:b w:val="0"/>
          <w:i w:val="0"/>
          <w:color w:val="000000"/>
          <w:sz w:val="22"/>
        </w:rPr>
        <w:t>致对山西证券持续经营能力产生重大疑虑的事项或情况是否存在重大不确定性得出结</w:t>
      </w:r>
      <w:r>
        <w:rPr>
          <w:rFonts w:ascii="黑体" w:hAnsi="黑体" w:eastAsia="黑体"/>
          <w:b w:val="0"/>
          <w:i w:val="0"/>
          <w:color w:val="000000"/>
          <w:sz w:val="22"/>
        </w:rPr>
        <w:t>论。如果我们得出结论认为存在重大不确定性，审计准则要求我们在审计报告中提请报</w:t>
      </w:r>
      <w:r>
        <w:rPr>
          <w:rFonts w:ascii="黑体" w:hAnsi="黑体" w:eastAsia="黑体"/>
          <w:b w:val="0"/>
          <w:i w:val="0"/>
          <w:color w:val="000000"/>
          <w:sz w:val="22"/>
        </w:rPr>
        <w:t>表使用者注意财务报表中的相关披露；如果披露不充分，我们应当发表非无保留意见。</w:t>
      </w:r>
    </w:p>
    <w:p>
      <w:pPr>
        <w:autoSpaceDN w:val="0"/>
        <w:autoSpaceDE w:val="0"/>
        <w:widowControl/>
        <w:spacing w:line="312" w:lineRule="exact" w:before="0" w:after="0"/>
        <w:ind w:left="990" w:right="0" w:firstLine="0"/>
        <w:jc w:val="left"/>
      </w:pPr>
      <w:r>
        <w:rPr>
          <w:rFonts w:ascii="黑体" w:hAnsi="黑体" w:eastAsia="黑体"/>
          <w:b w:val="0"/>
          <w:i w:val="0"/>
          <w:color w:val="000000"/>
          <w:sz w:val="22"/>
        </w:rPr>
        <w:t>我们的结论基于截至审计报告日可获得的信息。然而，未来的事项或情况可能导致山西</w:t>
      </w:r>
      <w:r>
        <w:rPr>
          <w:rFonts w:ascii="黑体" w:hAnsi="黑体" w:eastAsia="黑体"/>
          <w:b w:val="0"/>
          <w:i w:val="0"/>
          <w:color w:val="000000"/>
          <w:sz w:val="22"/>
        </w:rPr>
        <w:t>证券不能持续经营。</w:t>
      </w:r>
    </w:p>
    <w:p>
      <w:pPr>
        <w:autoSpaceDN w:val="0"/>
        <w:tabs>
          <w:tab w:pos="990" w:val="left"/>
        </w:tabs>
        <w:autoSpaceDE w:val="0"/>
        <w:widowControl/>
        <w:spacing w:line="288" w:lineRule="exact" w:before="48" w:after="0"/>
        <w:ind w:left="420" w:right="0" w:firstLine="0"/>
        <w:jc w:val="left"/>
      </w:pPr>
      <w:r>
        <w:rPr>
          <w:rFonts w:ascii="黑体" w:hAnsi="黑体" w:eastAsia="黑体"/>
          <w:b w:val="0"/>
          <w:i w:val="0"/>
          <w:color w:val="000000"/>
          <w:sz w:val="22"/>
        </w:rPr>
        <w:t>（</w:t>
      </w:r>
      <w:r>
        <w:rPr>
          <w:rFonts w:ascii="Calibri" w:hAnsi="Calibri" w:eastAsia="Calibri"/>
          <w:b w:val="0"/>
          <w:i w:val="0"/>
          <w:color w:val="000000"/>
          <w:sz w:val="22"/>
        </w:rPr>
        <w:t>5</w:t>
      </w:r>
      <w:r>
        <w:rPr>
          <w:rFonts w:ascii="黑体" w:hAnsi="黑体" w:eastAsia="黑体"/>
          <w:b w:val="0"/>
          <w:i w:val="0"/>
          <w:color w:val="000000"/>
          <w:sz w:val="22"/>
        </w:rPr>
        <w:t>）评价财务报表的总体列报（包括披露）、结构和内容，并评价财务报表是否公允反映相关</w:t>
      </w:r>
      <w:r>
        <w:tab/>
      </w:r>
      <w:r>
        <w:rPr>
          <w:rFonts w:ascii="黑体" w:hAnsi="黑体" w:eastAsia="黑体"/>
          <w:b w:val="0"/>
          <w:i w:val="0"/>
          <w:color w:val="000000"/>
          <w:sz w:val="22"/>
        </w:rPr>
        <w:t>交易和事项。</w:t>
      </w:r>
    </w:p>
    <w:p>
      <w:pPr>
        <w:autoSpaceDN w:val="0"/>
        <w:autoSpaceDE w:val="0"/>
        <w:widowControl/>
        <w:spacing w:line="288" w:lineRule="exact" w:before="48" w:after="0"/>
        <w:ind w:left="288" w:right="0" w:firstLine="0"/>
        <w:jc w:val="center"/>
      </w:pPr>
      <w:r>
        <w:rPr>
          <w:rFonts w:ascii="黑体" w:hAnsi="黑体" w:eastAsia="黑体"/>
          <w:b w:val="0"/>
          <w:i w:val="0"/>
          <w:color w:val="000000"/>
          <w:sz w:val="22"/>
        </w:rPr>
        <w:t>（</w:t>
      </w:r>
      <w:r>
        <w:rPr>
          <w:rFonts w:ascii="Calibri" w:hAnsi="Calibri" w:eastAsia="Calibri"/>
          <w:b w:val="0"/>
          <w:i w:val="0"/>
          <w:color w:val="000000"/>
          <w:sz w:val="22"/>
        </w:rPr>
        <w:t>6</w:t>
      </w:r>
      <w:r>
        <w:rPr>
          <w:rFonts w:ascii="黑体" w:hAnsi="黑体" w:eastAsia="黑体"/>
          <w:b w:val="0"/>
          <w:i w:val="0"/>
          <w:color w:val="000000"/>
          <w:sz w:val="22"/>
        </w:rPr>
        <w:t>）就山西证券中实体或业务活动的财务信息获取充分、适当的审计证据，以对财务报表发</w:t>
      </w:r>
      <w:r>
        <w:rPr>
          <w:rFonts w:ascii="黑体" w:hAnsi="黑体" w:eastAsia="黑体"/>
          <w:b w:val="0"/>
          <w:i w:val="0"/>
          <w:color w:val="000000"/>
          <w:sz w:val="22"/>
        </w:rPr>
        <w:t>表审计意见。我们负责指导、监督和执行集团审计，并对审计意见承担全部责任。</w:t>
      </w:r>
    </w:p>
    <w:p>
      <w:pPr>
        <w:autoSpaceDN w:val="0"/>
        <w:tabs>
          <w:tab w:pos="438" w:val="left"/>
        </w:tabs>
        <w:autoSpaceDE w:val="0"/>
        <w:widowControl/>
        <w:spacing w:line="312" w:lineRule="exact" w:before="312" w:after="0"/>
        <w:ind w:left="0" w:right="0" w:firstLine="0"/>
        <w:jc w:val="left"/>
      </w:pPr>
      <w:r>
        <w:rPr>
          <w:rFonts w:ascii="黑体" w:hAnsi="黑体" w:eastAsia="黑体"/>
          <w:b w:val="0"/>
          <w:i w:val="0"/>
          <w:color w:val="000000"/>
          <w:sz w:val="22"/>
        </w:rPr>
        <w:t>我们与治理层就计划的审计范围、时间安排和重大审计发现等事项进行沟通，包括沟通我们</w:t>
      </w:r>
      <w:r>
        <w:rPr>
          <w:rFonts w:ascii="黑体" w:hAnsi="黑体" w:eastAsia="黑体"/>
          <w:b w:val="0"/>
          <w:i w:val="0"/>
          <w:color w:val="000000"/>
          <w:sz w:val="22"/>
        </w:rPr>
        <w:t>在审计中识别出的值得关注的内部控制缺陷。</w:t>
      </w:r>
    </w:p>
    <w:p>
      <w:pPr>
        <w:autoSpaceDN w:val="0"/>
        <w:tabs>
          <w:tab w:pos="438" w:val="left"/>
        </w:tabs>
        <w:autoSpaceDE w:val="0"/>
        <w:widowControl/>
        <w:spacing w:line="312" w:lineRule="exact" w:before="312" w:after="0"/>
        <w:ind w:left="0" w:right="0" w:firstLine="0"/>
        <w:jc w:val="left"/>
      </w:pPr>
      <w:r>
        <w:rPr>
          <w:rFonts w:ascii="黑体" w:hAnsi="黑体" w:eastAsia="黑体"/>
          <w:b w:val="0"/>
          <w:i w:val="0"/>
          <w:color w:val="000000"/>
          <w:sz w:val="22"/>
        </w:rPr>
        <w:t>我们还就已遵守与独立性相关的职业道德要求向治理层提供声明，并与治理层沟通可能被合</w:t>
      </w:r>
      <w:r>
        <w:rPr>
          <w:rFonts w:ascii="黑体" w:hAnsi="黑体" w:eastAsia="黑体"/>
          <w:b w:val="0"/>
          <w:i w:val="0"/>
          <w:color w:val="000000"/>
          <w:sz w:val="22"/>
        </w:rPr>
        <w:t>理认为影响我们独立性的所有关系和其他事项，以及相关的防范措施（如适用）。</w:t>
      </w:r>
    </w:p>
    <w:p>
      <w:pPr>
        <w:autoSpaceDN w:val="0"/>
        <w:autoSpaceDE w:val="0"/>
        <w:widowControl/>
        <w:spacing w:line="312" w:lineRule="exact" w:before="312" w:after="0"/>
        <w:ind w:left="0" w:right="26" w:firstLine="438"/>
        <w:jc w:val="both"/>
      </w:pPr>
      <w:r>
        <w:rPr>
          <w:rFonts w:ascii="黑体" w:hAnsi="黑体" w:eastAsia="黑体"/>
          <w:b w:val="0"/>
          <w:i w:val="0"/>
          <w:color w:val="000000"/>
          <w:sz w:val="22"/>
        </w:rPr>
        <w:t>从与治理层沟通过的事项中，我们确定哪些事项对本期财务报表审计最为重要，因而构成关</w:t>
      </w:r>
      <w:r>
        <w:rPr>
          <w:rFonts w:ascii="黑体" w:hAnsi="黑体" w:eastAsia="黑体"/>
          <w:b w:val="0"/>
          <w:i w:val="0"/>
          <w:color w:val="000000"/>
          <w:sz w:val="22"/>
        </w:rPr>
        <w:t>键审计事项。我们在审计报告中描述这些事项，除非法律法规禁止公开披露这些事项，或在极少</w:t>
      </w:r>
      <w:r>
        <w:rPr>
          <w:rFonts w:ascii="黑体" w:hAnsi="黑体" w:eastAsia="黑体"/>
          <w:b w:val="0"/>
          <w:i w:val="0"/>
          <w:color w:val="000000"/>
          <w:sz w:val="22"/>
        </w:rPr>
        <w:t>数情形下，如果合理预期在审计报告中沟通某事项造成的负面后果超过在公众利益方面产生的益</w:t>
      </w:r>
      <w:r>
        <w:rPr>
          <w:rFonts w:ascii="黑体" w:hAnsi="黑体" w:eastAsia="黑体"/>
          <w:b w:val="0"/>
          <w:i w:val="0"/>
          <w:color w:val="000000"/>
          <w:sz w:val="22"/>
        </w:rPr>
        <w:t>处，我们确定不应在审计报告中沟通该事项。</w:t>
      </w:r>
    </w:p>
    <w:p>
      <w:pPr>
        <w:autoSpaceDN w:val="0"/>
        <w:autoSpaceDE w:val="0"/>
        <w:widowControl/>
        <w:spacing w:line="197" w:lineRule="auto" w:before="1272" w:after="0"/>
        <w:ind w:left="0" w:right="4484" w:firstLine="0"/>
        <w:jc w:val="right"/>
      </w:pPr>
      <w:r>
        <w:rPr>
          <w:rFonts w:ascii="Calibri" w:hAnsi="Calibri" w:eastAsia="Calibri"/>
          <w:b w:val="0"/>
          <w:i w:val="0"/>
          <w:color w:val="000000"/>
          <w:sz w:val="18"/>
        </w:rPr>
        <w:t xml:space="preserve">147 </w:t>
      </w:r>
    </w:p>
    <w:p>
      <w:pPr>
        <w:sectPr>
          <w:pgSz w:w="11904" w:h="16841"/>
          <w:pgMar w:top="1404" w:right="1292" w:bottom="446" w:left="1134" w:header="720" w:footer="720" w:gutter="0"/>
          <w:cols/>
          <w:docGrid w:linePitch="360"/>
        </w:sectPr>
      </w:pPr>
    </w:p>
    <w:p>
      <w:pPr>
        <w:autoSpaceDN w:val="0"/>
        <w:autoSpaceDE w:val="0"/>
        <w:widowControl/>
        <w:spacing w:line="220" w:lineRule="exact" w:before="0" w:after="1186"/>
        <w:ind w:left="0" w:right="0"/>
      </w:pPr>
    </w:p>
    <w:p>
      <w:pPr>
        <w:autoSpaceDN w:val="0"/>
        <w:autoSpaceDE w:val="0"/>
        <w:widowControl/>
        <w:spacing w:line="222" w:lineRule="exact" w:before="0" w:after="0"/>
        <w:ind w:left="0" w:right="3852" w:firstLine="0"/>
        <w:jc w:val="right"/>
      </w:pPr>
      <w:r>
        <w:rPr>
          <w:rFonts w:ascii="黑体" w:hAnsi="黑体" w:eastAsia="黑体"/>
          <w:b w:val="0"/>
          <w:i w:val="0"/>
          <w:color w:val="000000"/>
          <w:sz w:val="22"/>
        </w:rPr>
        <w:t>审计报告（续）</w:t>
      </w:r>
    </w:p>
    <w:p>
      <w:pPr>
        <w:autoSpaceDN w:val="0"/>
        <w:autoSpaceDE w:val="0"/>
        <w:widowControl/>
        <w:spacing w:line="244" w:lineRule="exact" w:before="334" w:after="0"/>
        <w:ind w:left="0" w:right="20" w:firstLine="0"/>
        <w:jc w:val="right"/>
      </w:pPr>
      <w:r>
        <w:rPr>
          <w:rFonts w:ascii="黑体" w:hAnsi="黑体" w:eastAsia="黑体"/>
          <w:b w:val="0"/>
          <w:i w:val="0"/>
          <w:color w:val="000000"/>
          <w:sz w:val="22"/>
        </w:rPr>
        <w:t>安永华明（</w:t>
      </w:r>
      <w:r>
        <w:rPr>
          <w:rFonts w:ascii="Calibri" w:hAnsi="Calibri" w:eastAsia="Calibri"/>
          <w:b w:val="0"/>
          <w:i w:val="0"/>
          <w:color w:val="000000"/>
          <w:sz w:val="22"/>
        </w:rPr>
        <w:t>2025</w:t>
      </w:r>
      <w:r>
        <w:rPr>
          <w:rFonts w:ascii="黑体" w:hAnsi="黑体" w:eastAsia="黑体"/>
          <w:b w:val="0"/>
          <w:i w:val="0"/>
          <w:color w:val="000000"/>
          <w:sz w:val="22"/>
        </w:rPr>
        <w:t>）审字第</w:t>
      </w:r>
      <w:r>
        <w:rPr>
          <w:rFonts w:ascii="Calibri" w:hAnsi="Calibri" w:eastAsia="Calibri"/>
          <w:b w:val="0"/>
          <w:i w:val="0"/>
          <w:color w:val="000000"/>
          <w:sz w:val="22"/>
        </w:rPr>
        <w:t xml:space="preserve"> 70021381_A01 </w:t>
      </w:r>
      <w:r>
        <w:rPr>
          <w:rFonts w:ascii="黑体" w:hAnsi="黑体" w:eastAsia="黑体"/>
          <w:b w:val="0"/>
          <w:i w:val="0"/>
          <w:color w:val="000000"/>
          <w:sz w:val="22"/>
        </w:rPr>
        <w:t>号</w:t>
      </w:r>
    </w:p>
    <w:p>
      <w:pPr>
        <w:autoSpaceDN w:val="0"/>
        <w:autoSpaceDE w:val="0"/>
        <w:widowControl/>
        <w:spacing w:line="222" w:lineRule="exact" w:before="40" w:after="0"/>
        <w:ind w:left="0" w:right="22" w:firstLine="0"/>
        <w:jc w:val="right"/>
      </w:pPr>
      <w:r>
        <w:rPr>
          <w:rFonts w:ascii="黑体" w:hAnsi="黑体" w:eastAsia="黑体"/>
          <w:b w:val="0"/>
          <w:i w:val="0"/>
          <w:color w:val="000000"/>
          <w:sz w:val="22"/>
        </w:rPr>
        <w:t>山西证券股份有限公司</w:t>
      </w:r>
    </w:p>
    <w:p>
      <w:pPr>
        <w:autoSpaceDN w:val="0"/>
        <w:autoSpaceDE w:val="0"/>
        <w:widowControl/>
        <w:spacing w:line="220" w:lineRule="exact" w:before="706" w:after="4138"/>
        <w:ind w:left="438" w:right="0" w:firstLine="0"/>
        <w:jc w:val="left"/>
      </w:pPr>
      <w:r>
        <w:rPr>
          <w:rFonts w:ascii="黑体" w:hAnsi="黑体" w:eastAsia="黑体"/>
          <w:b w:val="0"/>
          <w:i w:val="0"/>
          <w:color w:val="000000"/>
          <w:sz w:val="22"/>
        </w:rPr>
        <w:t>（本页无正文）</w:t>
      </w:r>
    </w:p>
    <w:p>
      <w:pPr>
        <w:sectPr>
          <w:pgSz w:w="11904" w:h="16841"/>
          <w:pgMar w:top="1404" w:right="1328" w:bottom="446" w:left="1134" w:header="720" w:footer="720" w:gutter="0"/>
          <w:cols/>
          <w:docGrid w:linePitch="360"/>
        </w:sectPr>
      </w:pPr>
    </w:p>
    <w:p>
      <w:pPr>
        <w:autoSpaceDN w:val="0"/>
        <w:autoSpaceDE w:val="0"/>
        <w:widowControl/>
        <w:spacing w:line="222" w:lineRule="exact" w:before="0" w:after="0"/>
        <w:ind w:left="0" w:right="0" w:firstLine="0"/>
        <w:jc w:val="left"/>
      </w:pPr>
      <w:r>
        <w:rPr>
          <w:rFonts w:ascii="黑体" w:hAnsi="黑体" w:eastAsia="黑体"/>
          <w:b w:val="0"/>
          <w:i w:val="0"/>
          <w:color w:val="000000"/>
          <w:sz w:val="22"/>
        </w:rPr>
        <w:t>安永华明会计师事务所（特殊普通合伙）</w:t>
      </w:r>
    </w:p>
    <w:p>
      <w:pPr>
        <w:sectPr>
          <w:type w:val="continuous"/>
          <w:pgSz w:w="11904" w:h="16841"/>
          <w:pgMar w:top="1404" w:right="1328" w:bottom="446" w:left="1134" w:header="720" w:footer="720" w:gutter="0"/>
          <w:cols w:num="2" w:equalWidth="0">
            <w:col w:w="4928" w:space="0"/>
            <w:col w:w="4513" w:space="0"/>
          </w:cols>
          <w:docGrid w:linePitch="360"/>
        </w:sectPr>
      </w:pPr>
    </w:p>
    <w:p>
      <w:pPr>
        <w:autoSpaceDN w:val="0"/>
        <w:autoSpaceDE w:val="0"/>
        <w:widowControl/>
        <w:spacing w:line="254" w:lineRule="exact" w:before="0" w:after="0"/>
        <w:ind w:left="1846" w:right="1008" w:hanging="880"/>
        <w:jc w:val="left"/>
      </w:pPr>
      <w:r>
        <w:rPr>
          <w:rFonts w:ascii="黑体" w:hAnsi="黑体" w:eastAsia="黑体"/>
          <w:b w:val="0"/>
          <w:i w:val="0"/>
          <w:color w:val="000000"/>
          <w:sz w:val="22"/>
        </w:rPr>
        <w:t>中国注册会计师：顾 珺</w:t>
      </w:r>
      <w:r>
        <w:rPr>
          <w:rFonts w:ascii="黑体" w:hAnsi="黑体" w:eastAsia="黑体"/>
          <w:b w:val="0"/>
          <w:i w:val="0"/>
          <w:color w:val="000000"/>
          <w:sz w:val="22"/>
        </w:rPr>
        <w:t>（项目合伙人）</w:t>
      </w:r>
    </w:p>
    <w:p>
      <w:pPr>
        <w:autoSpaceDN w:val="0"/>
        <w:autoSpaceDE w:val="0"/>
        <w:widowControl/>
        <w:spacing w:line="220" w:lineRule="exact" w:before="1946" w:after="872"/>
        <w:ind w:left="966" w:right="0" w:firstLine="0"/>
        <w:jc w:val="left"/>
      </w:pPr>
      <w:r>
        <w:rPr>
          <w:rFonts w:ascii="黑体" w:hAnsi="黑体" w:eastAsia="黑体"/>
          <w:b w:val="0"/>
          <w:i w:val="0"/>
          <w:color w:val="000000"/>
          <w:sz w:val="22"/>
        </w:rPr>
        <w:t>中国注册会计师：俞 溜</w:t>
      </w:r>
    </w:p>
    <w:p>
      <w:pPr>
        <w:sectPr>
          <w:type w:val="nextColumn"/>
          <w:pgSz w:w="11904" w:h="16841"/>
          <w:pgMar w:top="1404" w:right="1328" w:bottom="446" w:left="1134" w:header="720" w:footer="720" w:gutter="0"/>
          <w:cols w:num="2" w:equalWidth="0">
            <w:col w:w="4928" w:space="0"/>
            <w:col w:w="4513" w:space="0"/>
          </w:cols>
          <w:docGrid w:linePitch="360"/>
        </w:sectPr>
      </w:pPr>
    </w:p>
    <w:p>
      <w:pPr>
        <w:autoSpaceDN w:val="0"/>
        <w:tabs>
          <w:tab w:pos="6874" w:val="left"/>
        </w:tabs>
        <w:autoSpaceDE w:val="0"/>
        <w:widowControl/>
        <w:spacing w:line="220" w:lineRule="exact" w:before="0" w:after="0"/>
        <w:ind w:left="2062" w:right="0" w:firstLine="0"/>
        <w:jc w:val="left"/>
      </w:pPr>
      <w:r>
        <w:rPr>
          <w:rFonts w:ascii="黑体" w:hAnsi="黑体" w:eastAsia="黑体"/>
          <w:b w:val="0"/>
          <w:i w:val="0"/>
          <w:color w:val="000000"/>
          <w:sz w:val="22"/>
        </w:rPr>
        <w:t>中国</w:t>
      </w:r>
      <w:r>
        <w:rPr>
          <w:rFonts w:ascii="黑体" w:hAnsi="黑体" w:eastAsia="黑体"/>
          <w:b w:val="0"/>
          <w:i w:val="0"/>
          <w:color w:val="000000"/>
          <w:sz w:val="22"/>
        </w:rPr>
        <w:t>北京</w:t>
      </w:r>
      <w:r>
        <w:rPr>
          <w:rFonts w:ascii="Calibri" w:hAnsi="Calibri" w:eastAsia="Calibri"/>
          <w:b w:val="0"/>
          <w:i w:val="0"/>
          <w:color w:val="000000"/>
          <w:sz w:val="22"/>
        </w:rPr>
        <w:t>2025</w:t>
      </w:r>
      <w:r>
        <w:rPr>
          <w:rFonts w:ascii="黑体" w:hAnsi="黑体" w:eastAsia="黑体"/>
          <w:b w:val="0"/>
          <w:i w:val="0"/>
          <w:color w:val="000000"/>
          <w:sz w:val="22"/>
        </w:rPr>
        <w:t>年</w:t>
      </w:r>
      <w:r>
        <w:rPr>
          <w:rFonts w:ascii="Calibri" w:hAnsi="Calibri" w:eastAsia="Calibri"/>
          <w:b w:val="0"/>
          <w:i w:val="0"/>
          <w:color w:val="000000"/>
          <w:sz w:val="22"/>
        </w:rPr>
        <w:t>4</w:t>
      </w:r>
      <w:r>
        <w:rPr>
          <w:rFonts w:ascii="黑体" w:hAnsi="黑体" w:eastAsia="黑体"/>
          <w:b w:val="0"/>
          <w:i w:val="0"/>
          <w:color w:val="000000"/>
          <w:sz w:val="22"/>
        </w:rPr>
        <w:t>月</w:t>
      </w:r>
      <w:r>
        <w:rPr>
          <w:rFonts w:ascii="Calibri" w:hAnsi="Calibri" w:eastAsia="Calibri"/>
          <w:b w:val="0"/>
          <w:i w:val="0"/>
          <w:color w:val="000000"/>
          <w:sz w:val="22"/>
        </w:rPr>
        <w:t>24</w:t>
      </w:r>
      <w:r>
        <w:rPr>
          <w:rFonts w:ascii="黑体" w:hAnsi="黑体" w:eastAsia="黑体"/>
          <w:b w:val="0"/>
          <w:i w:val="0"/>
          <w:color w:val="000000"/>
          <w:sz w:val="22"/>
        </w:rPr>
        <w:t>日</w:t>
      </w:r>
    </w:p>
    <w:p>
      <w:pPr>
        <w:autoSpaceDN w:val="0"/>
        <w:autoSpaceDE w:val="0"/>
        <w:widowControl/>
        <w:spacing w:line="197" w:lineRule="auto" w:before="3046" w:after="0"/>
        <w:ind w:left="0" w:right="4448" w:firstLine="0"/>
        <w:jc w:val="right"/>
      </w:pPr>
      <w:r>
        <w:rPr>
          <w:rFonts w:ascii="Calibri" w:hAnsi="Calibri" w:eastAsia="Calibri"/>
          <w:b w:val="0"/>
          <w:i w:val="0"/>
          <w:color w:val="000000"/>
          <w:sz w:val="18"/>
        </w:rPr>
        <w:t xml:space="preserve">148 </w:t>
      </w:r>
    </w:p>
    <w:p>
      <w:pPr>
        <w:sectPr>
          <w:type w:val="continuous"/>
          <w:pgSz w:w="11904" w:h="16841"/>
          <w:pgMar w:top="1404" w:right="1328" w:bottom="446" w:left="1134" w:header="720" w:footer="720" w:gutter="0"/>
          <w:cols/>
          <w:docGrid w:linePitch="360"/>
        </w:sectPr>
      </w:pPr>
    </w:p>
    <w:p>
      <w:pPr>
        <w:autoSpaceDN w:val="0"/>
        <w:autoSpaceDE w:val="0"/>
        <w:widowControl/>
        <w:spacing w:line="220" w:lineRule="exact" w:before="0" w:after="578"/>
        <w:ind w:left="0" w:right="0"/>
      </w:pPr>
    </w:p>
    <w:p>
      <w:pPr>
        <w:autoSpaceDN w:val="0"/>
        <w:autoSpaceDE w:val="0"/>
        <w:widowControl/>
        <w:spacing w:line="184" w:lineRule="exact" w:before="0" w:after="240"/>
        <w:ind w:left="0" w:right="0" w:firstLine="0"/>
        <w:jc w:val="center"/>
      </w:pPr>
      <w:r>
        <w:rPr>
          <w:rFonts w:ascii="黑体" w:hAnsi="黑体" w:eastAsia="黑体"/>
          <w:b w:val="0"/>
          <w:i w:val="0"/>
          <w:color w:val="000000"/>
          <w:sz w:val="16"/>
        </w:rPr>
        <w:t>合并及公司资产负债表</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988.0000000000001" w:type="dxa"/>
      </w:tblPr>
      <w:tblGrid>
        <w:gridCol w:w="1819"/>
        <w:gridCol w:w="1819"/>
        <w:gridCol w:w="1819"/>
        <w:gridCol w:w="1819"/>
        <w:gridCol w:w="1819"/>
      </w:tblGrid>
      <w:tr>
        <w:trPr>
          <w:trHeight w:hRule="exact" w:val="250"/>
        </w:trPr>
        <w:tc>
          <w:tcPr>
            <w:tcW w:type="dxa" w:w="1994"/>
            <w:tcBorders>
              <w:bottom w:sz="4.0" w:val="single" w:color="#000000"/>
            </w:tcBorders>
            <w:tcMar>
              <w:start w:w="0" w:type="dxa"/>
              <w:end w:w="0" w:type="dxa"/>
            </w:tcMar>
          </w:tcPr>
          <w:p/>
        </w:tc>
        <w:tc>
          <w:tcPr>
            <w:tcW w:type="dxa" w:w="1726"/>
            <w:tcBorders>
              <w:bottom w:sz="4.0" w:val="single" w:color="#000000"/>
            </w:tcBorders>
            <w:tcMar>
              <w:start w:w="0" w:type="dxa"/>
              <w:end w:w="0" w:type="dxa"/>
            </w:tcMar>
          </w:tcPr>
          <w:p>
            <w:pPr>
              <w:autoSpaceDN w:val="0"/>
              <w:autoSpaceDE w:val="0"/>
              <w:widowControl/>
              <w:spacing w:line="162" w:lineRule="exact" w:before="60" w:after="0"/>
              <w:ind w:left="0" w:right="48" w:firstLine="0"/>
              <w:jc w:val="right"/>
            </w:pPr>
            <w:r>
              <w:rPr>
                <w:rFonts w:ascii="黑体" w:hAnsi="黑体" w:eastAsia="黑体"/>
                <w:b w:val="0"/>
                <w:i w:val="0"/>
                <w:color w:val="000000"/>
                <w:sz w:val="16"/>
              </w:rPr>
              <w:t>本集团</w:t>
            </w:r>
          </w:p>
        </w:tc>
        <w:tc>
          <w:tcPr>
            <w:tcW w:type="dxa" w:w="1202"/>
            <w:tcBorders>
              <w:bottom w:sz="4.0" w:val="single" w:color="#000000"/>
            </w:tcBorders>
            <w:tcMar>
              <w:start w:w="0" w:type="dxa"/>
              <w:end w:w="0" w:type="dxa"/>
            </w:tcMar>
          </w:tcPr>
          <w:p/>
        </w:tc>
        <w:tc>
          <w:tcPr>
            <w:tcW w:type="dxa" w:w="1918"/>
            <w:tcBorders>
              <w:bottom w:sz="4.0" w:val="single" w:color="#000000"/>
            </w:tcBorders>
            <w:tcMar>
              <w:start w:w="0" w:type="dxa"/>
              <w:end w:w="0" w:type="dxa"/>
            </w:tcMar>
          </w:tcPr>
          <w:p>
            <w:pPr>
              <w:autoSpaceDN w:val="0"/>
              <w:autoSpaceDE w:val="0"/>
              <w:widowControl/>
              <w:spacing w:line="162" w:lineRule="exact" w:before="60" w:after="0"/>
              <w:ind w:left="0" w:right="46" w:firstLine="0"/>
              <w:jc w:val="right"/>
            </w:pPr>
            <w:r>
              <w:rPr>
                <w:rFonts w:ascii="黑体" w:hAnsi="黑体" w:eastAsia="黑体"/>
                <w:b w:val="0"/>
                <w:i w:val="0"/>
                <w:color w:val="000000"/>
                <w:sz w:val="16"/>
              </w:rPr>
              <w:t>本公司</w:t>
            </w:r>
          </w:p>
        </w:tc>
        <w:tc>
          <w:tcPr>
            <w:tcW w:type="dxa" w:w="1214"/>
            <w:tcBorders>
              <w:bottom w:sz="4.0" w:val="single" w:color="#000000"/>
            </w:tcBorders>
            <w:tcMar>
              <w:start w:w="0" w:type="dxa"/>
              <w:end w:w="0" w:type="dxa"/>
            </w:tcMar>
          </w:tcPr>
          <w:p/>
        </w:tc>
      </w:tr>
      <w:tr>
        <w:trPr>
          <w:trHeight w:hRule="exact" w:val="264"/>
        </w:trPr>
        <w:tc>
          <w:tcPr>
            <w:tcW w:type="dxa" w:w="1994"/>
            <w:tcBorders>
              <w:top w:sz="4.0" w:val="single" w:color="#000000"/>
            </w:tcBorders>
            <w:tcMar>
              <w:start w:w="0" w:type="dxa"/>
              <w:end w:w="0" w:type="dxa"/>
            </w:tcMar>
          </w:tcPr>
          <w:p>
            <w:pPr>
              <w:autoSpaceDN w:val="0"/>
              <w:autoSpaceDE w:val="0"/>
              <w:widowControl/>
              <w:spacing w:line="162" w:lineRule="exact" w:before="20" w:after="0"/>
              <w:ind w:left="0" w:right="656" w:firstLine="0"/>
              <w:jc w:val="right"/>
            </w:pPr>
            <w:r>
              <w:rPr>
                <w:rFonts w:ascii="黑体" w:hAnsi="黑体" w:eastAsia="黑体"/>
                <w:b w:val="0"/>
                <w:i w:val="0"/>
                <w:color w:val="000000"/>
                <w:sz w:val="16"/>
              </w:rPr>
              <w:t>附注</w:t>
            </w:r>
          </w:p>
        </w:tc>
        <w:tc>
          <w:tcPr>
            <w:tcW w:type="dxa" w:w="1726"/>
            <w:tcBorders>
              <w:top w:sz="4.0" w:val="single" w:color="#000000"/>
            </w:tcBorders>
            <w:tcMar>
              <w:start w:w="0" w:type="dxa"/>
              <w:end w:w="0" w:type="dxa"/>
            </w:tcMar>
          </w:tcPr>
          <w:p>
            <w:pPr>
              <w:autoSpaceDN w:val="0"/>
              <w:autoSpaceDE w:val="0"/>
              <w:widowControl/>
              <w:spacing w:line="178" w:lineRule="exact" w:before="20" w:after="0"/>
              <w:ind w:left="230" w:right="0" w:firstLine="0"/>
              <w:jc w:val="left"/>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202"/>
            <w:tcBorders>
              <w:top w:sz="4.0" w:val="single" w:color="#000000"/>
            </w:tcBorders>
            <w:tcMar>
              <w:start w:w="0" w:type="dxa"/>
              <w:end w:w="0" w:type="dxa"/>
            </w:tcMar>
          </w:tcPr>
          <w:p>
            <w:pPr>
              <w:autoSpaceDN w:val="0"/>
              <w:autoSpaceDE w:val="0"/>
              <w:widowControl/>
              <w:spacing w:line="178" w:lineRule="exact" w:before="20" w:after="0"/>
              <w:ind w:left="0" w:right="0" w:firstLine="0"/>
              <w:jc w:val="center"/>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918"/>
            <w:tcBorders>
              <w:top w:sz="4.0" w:val="single" w:color="#000000"/>
            </w:tcBorders>
            <w:tcMar>
              <w:start w:w="0" w:type="dxa"/>
              <w:end w:w="0" w:type="dxa"/>
            </w:tcMar>
          </w:tcPr>
          <w:p>
            <w:pPr>
              <w:autoSpaceDN w:val="0"/>
              <w:autoSpaceDE w:val="0"/>
              <w:widowControl/>
              <w:spacing w:line="178" w:lineRule="exact" w:before="20" w:after="0"/>
              <w:ind w:left="436" w:right="0" w:firstLine="0"/>
              <w:jc w:val="left"/>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214"/>
            <w:tcBorders>
              <w:top w:sz="4.0" w:val="single" w:color="#000000"/>
            </w:tcBorders>
            <w:tcMar>
              <w:start w:w="0" w:type="dxa"/>
              <w:end w:w="0" w:type="dxa"/>
            </w:tcMar>
          </w:tcPr>
          <w:p>
            <w:pPr>
              <w:autoSpaceDN w:val="0"/>
              <w:autoSpaceDE w:val="0"/>
              <w:widowControl/>
              <w:spacing w:line="178" w:lineRule="exact" w:before="20" w:after="0"/>
              <w:ind w:left="0" w:right="0" w:firstLine="0"/>
              <w:jc w:val="center"/>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r>
    </w:tbl>
    <w:p>
      <w:pPr>
        <w:autoSpaceDN w:val="0"/>
        <w:autoSpaceDE w:val="0"/>
        <w:widowControl/>
        <w:spacing w:line="160" w:lineRule="exact" w:before="166" w:after="14"/>
        <w:ind w:left="78" w:right="0" w:firstLine="0"/>
        <w:jc w:val="left"/>
      </w:pPr>
      <w:r>
        <w:rPr>
          <w:rFonts w:ascii="黑体" w:hAnsi="黑体" w:eastAsia="黑体"/>
          <w:b w:val="0"/>
          <w:i w:val="0"/>
          <w:color w:val="000000"/>
          <w:sz w:val="16"/>
        </w:rPr>
        <w:t>资产</w:t>
      </w:r>
    </w:p>
    <w:tbl>
      <w:tblPr>
        <w:tblW w:type="auto" w:w="0"/>
        <w:tblLayout w:type="fixed"/>
        <w:tblLook w:firstColumn="1" w:firstRow="1" w:lastColumn="0" w:lastRow="0" w:noHBand="0" w:noVBand="1" w:val="04A0"/>
        <w:tblInd w:w="28.000000000000114" w:type="dxa"/>
      </w:tblPr>
      <w:tblGrid>
        <w:gridCol w:w="1516"/>
        <w:gridCol w:w="1516"/>
        <w:gridCol w:w="1516"/>
        <w:gridCol w:w="1516"/>
        <w:gridCol w:w="1516"/>
        <w:gridCol w:w="1516"/>
      </w:tblGrid>
      <w:tr>
        <w:trPr>
          <w:trHeight w:hRule="exact" w:val="201"/>
        </w:trPr>
        <w:tc>
          <w:tcPr>
            <w:tcW w:type="dxa" w:w="1780"/>
            <w:tcBorders/>
            <w:tcMar>
              <w:start w:w="0" w:type="dxa"/>
              <w:end w:w="0" w:type="dxa"/>
            </w:tcMar>
          </w:tcPr>
          <w:p>
            <w:pPr>
              <w:autoSpaceDN w:val="0"/>
              <w:autoSpaceDE w:val="0"/>
              <w:widowControl/>
              <w:spacing w:line="162" w:lineRule="exact" w:before="34" w:after="0"/>
              <w:ind w:left="196" w:right="0" w:firstLine="0"/>
              <w:jc w:val="left"/>
            </w:pPr>
            <w:r>
              <w:rPr>
                <w:rFonts w:ascii="黑体" w:hAnsi="黑体" w:eastAsia="黑体"/>
                <w:b w:val="0"/>
                <w:i w:val="0"/>
                <w:color w:val="000000"/>
                <w:sz w:val="16"/>
              </w:rPr>
              <w:t>货币资金</w:t>
            </w:r>
          </w:p>
        </w:tc>
        <w:tc>
          <w:tcPr>
            <w:tcW w:type="dxa" w:w="1174"/>
            <w:tcBorders/>
            <w:tcMar>
              <w:start w:w="0" w:type="dxa"/>
              <w:end w:w="0" w:type="dxa"/>
            </w:tcMar>
          </w:tcPr>
          <w:p>
            <w:pPr>
              <w:autoSpaceDN w:val="0"/>
              <w:autoSpaceDE w:val="0"/>
              <w:widowControl/>
              <w:spacing w:line="178" w:lineRule="exact" w:before="24"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 </w:t>
            </w:r>
          </w:p>
        </w:tc>
        <w:tc>
          <w:tcPr>
            <w:tcW w:type="dxa" w:w="1362"/>
            <w:tcBorders/>
            <w:tcMar>
              <w:start w:w="0" w:type="dxa"/>
              <w:end w:w="0" w:type="dxa"/>
            </w:tcMar>
          </w:tcPr>
          <w:p>
            <w:pPr>
              <w:autoSpaceDN w:val="0"/>
              <w:autoSpaceDE w:val="0"/>
              <w:widowControl/>
              <w:spacing w:line="199" w:lineRule="auto" w:before="40" w:after="0"/>
              <w:ind w:left="0" w:right="0" w:firstLine="0"/>
              <w:jc w:val="right"/>
            </w:pPr>
            <w:r>
              <w:rPr>
                <w:rFonts w:ascii="Calibri" w:hAnsi="Calibri" w:eastAsia="Calibri"/>
                <w:b w:val="0"/>
                <w:i w:val="0"/>
                <w:color w:val="000000"/>
                <w:sz w:val="16"/>
              </w:rPr>
              <w:t>25,401,187,834</w:t>
            </w:r>
          </w:p>
        </w:tc>
        <w:tc>
          <w:tcPr>
            <w:tcW w:type="dxa" w:w="1566"/>
            <w:tcBorders/>
            <w:tcMar>
              <w:start w:w="0" w:type="dxa"/>
              <w:end w:w="0" w:type="dxa"/>
            </w:tcMar>
          </w:tcPr>
          <w:p>
            <w:pPr>
              <w:autoSpaceDN w:val="0"/>
              <w:autoSpaceDE w:val="0"/>
              <w:widowControl/>
              <w:spacing w:line="199" w:lineRule="auto" w:before="40" w:after="0"/>
              <w:ind w:left="0" w:right="0" w:firstLine="0"/>
              <w:jc w:val="right"/>
            </w:pPr>
            <w:r>
              <w:rPr>
                <w:rFonts w:ascii="Calibri" w:hAnsi="Calibri" w:eastAsia="Calibri"/>
                <w:b w:val="0"/>
                <w:i w:val="0"/>
                <w:color w:val="000000"/>
                <w:sz w:val="16"/>
              </w:rPr>
              <w:t>22,219,704,728</w:t>
            </w:r>
          </w:p>
        </w:tc>
        <w:tc>
          <w:tcPr>
            <w:tcW w:type="dxa" w:w="1566"/>
            <w:tcBorders/>
            <w:tcMar>
              <w:start w:w="0" w:type="dxa"/>
              <w:end w:w="0" w:type="dxa"/>
            </w:tcMar>
          </w:tcPr>
          <w:p>
            <w:pPr>
              <w:autoSpaceDN w:val="0"/>
              <w:autoSpaceDE w:val="0"/>
              <w:widowControl/>
              <w:spacing w:line="199" w:lineRule="auto" w:before="40" w:after="0"/>
              <w:ind w:left="0" w:right="0" w:firstLine="0"/>
              <w:jc w:val="right"/>
            </w:pPr>
            <w:r>
              <w:rPr>
                <w:rFonts w:ascii="Calibri" w:hAnsi="Calibri" w:eastAsia="Calibri"/>
                <w:b w:val="0"/>
                <w:i w:val="0"/>
                <w:color w:val="000000"/>
                <w:sz w:val="16"/>
              </w:rPr>
              <w:t>16,494,440,454</w:t>
            </w:r>
          </w:p>
        </w:tc>
        <w:tc>
          <w:tcPr>
            <w:tcW w:type="dxa" w:w="1592"/>
            <w:tcBorders/>
            <w:tcMar>
              <w:start w:w="0" w:type="dxa"/>
              <w:end w:w="0" w:type="dxa"/>
            </w:tcMar>
          </w:tcPr>
          <w:p>
            <w:pPr>
              <w:autoSpaceDN w:val="0"/>
              <w:autoSpaceDE w:val="0"/>
              <w:widowControl/>
              <w:spacing w:line="199" w:lineRule="auto" w:before="40" w:after="0"/>
              <w:ind w:left="0" w:right="0" w:firstLine="0"/>
              <w:jc w:val="right"/>
            </w:pPr>
            <w:r>
              <w:rPr>
                <w:rFonts w:ascii="Calibri" w:hAnsi="Calibri" w:eastAsia="Calibri"/>
                <w:b w:val="0"/>
                <w:i w:val="0"/>
                <w:color w:val="000000"/>
                <w:sz w:val="16"/>
              </w:rPr>
              <w:t xml:space="preserve">14,503,216,743 </w:t>
            </w:r>
          </w:p>
        </w:tc>
      </w:tr>
      <w:tr>
        <w:trPr>
          <w:trHeight w:hRule="exact" w:val="243"/>
        </w:trPr>
        <w:tc>
          <w:tcPr>
            <w:tcW w:type="dxa" w:w="1780"/>
            <w:tcBorders/>
            <w:tcMar>
              <w:start w:w="0" w:type="dxa"/>
              <w:end w:w="0" w:type="dxa"/>
            </w:tcMar>
          </w:tcPr>
          <w:p>
            <w:pPr>
              <w:autoSpaceDN w:val="0"/>
              <w:autoSpaceDE w:val="0"/>
              <w:widowControl/>
              <w:spacing w:line="160" w:lineRule="exact" w:before="40" w:after="0"/>
              <w:ind w:left="0" w:right="0" w:firstLine="0"/>
              <w:jc w:val="center"/>
            </w:pPr>
            <w:r>
              <w:rPr>
                <w:rFonts w:ascii="黑体" w:hAnsi="黑体" w:eastAsia="黑体"/>
                <w:b w:val="0"/>
                <w:i w:val="0"/>
                <w:color w:val="000000"/>
                <w:sz w:val="16"/>
              </w:rPr>
              <w:t>其中：客户存款</w:t>
            </w:r>
          </w:p>
        </w:tc>
        <w:tc>
          <w:tcPr>
            <w:tcW w:type="dxa" w:w="1174"/>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78" w:lineRule="exact" w:before="248"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 </w:t>
            </w:r>
          </w:p>
        </w:tc>
        <w:tc>
          <w:tcPr>
            <w:tcW w:type="dxa" w:w="1362"/>
            <w:tcBorders/>
            <w:tcMar>
              <w:start w:w="0" w:type="dxa"/>
              <w:end w:w="0" w:type="dxa"/>
            </w:tcMar>
          </w:tcPr>
          <w:p>
            <w:pPr>
              <w:autoSpaceDN w:val="0"/>
              <w:autoSpaceDE w:val="0"/>
              <w:widowControl/>
              <w:spacing w:line="199" w:lineRule="auto" w:before="58" w:after="0"/>
              <w:ind w:left="0" w:right="0" w:firstLine="0"/>
              <w:jc w:val="right"/>
            </w:pPr>
            <w:r>
              <w:rPr>
                <w:rFonts w:ascii="Calibri" w:hAnsi="Calibri" w:eastAsia="Calibri"/>
                <w:b w:val="0"/>
                <w:i w:val="0"/>
                <w:color w:val="000000"/>
                <w:sz w:val="16"/>
              </w:rPr>
              <w:t>17,371,214,264</w:t>
            </w:r>
          </w:p>
        </w:tc>
        <w:tc>
          <w:tcPr>
            <w:tcW w:type="dxa" w:w="1566"/>
            <w:tcBorders/>
            <w:tcMar>
              <w:start w:w="0" w:type="dxa"/>
              <w:end w:w="0" w:type="dxa"/>
            </w:tcMar>
          </w:tcPr>
          <w:p>
            <w:pPr>
              <w:autoSpaceDN w:val="0"/>
              <w:autoSpaceDE w:val="0"/>
              <w:widowControl/>
              <w:spacing w:line="199" w:lineRule="auto" w:before="58" w:after="0"/>
              <w:ind w:left="0" w:right="0" w:firstLine="0"/>
              <w:jc w:val="right"/>
            </w:pPr>
            <w:r>
              <w:rPr>
                <w:rFonts w:ascii="Calibri" w:hAnsi="Calibri" w:eastAsia="Calibri"/>
                <w:b w:val="0"/>
                <w:i w:val="0"/>
                <w:color w:val="000000"/>
                <w:sz w:val="16"/>
              </w:rPr>
              <w:t>14,074,037,282</w:t>
            </w:r>
          </w:p>
        </w:tc>
        <w:tc>
          <w:tcPr>
            <w:tcW w:type="dxa" w:w="1566"/>
            <w:tcBorders/>
            <w:tcMar>
              <w:start w:w="0" w:type="dxa"/>
              <w:end w:w="0" w:type="dxa"/>
            </w:tcMar>
          </w:tcPr>
          <w:p>
            <w:pPr>
              <w:autoSpaceDN w:val="0"/>
              <w:autoSpaceDE w:val="0"/>
              <w:widowControl/>
              <w:spacing w:line="199" w:lineRule="auto" w:before="58" w:after="0"/>
              <w:ind w:left="0" w:right="0" w:firstLine="0"/>
              <w:jc w:val="right"/>
            </w:pPr>
            <w:r>
              <w:rPr>
                <w:rFonts w:ascii="Calibri" w:hAnsi="Calibri" w:eastAsia="Calibri"/>
                <w:b w:val="0"/>
                <w:i w:val="0"/>
                <w:color w:val="000000"/>
                <w:sz w:val="16"/>
              </w:rPr>
              <w:t>10,909,910,968</w:t>
            </w:r>
          </w:p>
        </w:tc>
        <w:tc>
          <w:tcPr>
            <w:tcW w:type="dxa" w:w="1592"/>
            <w:tcBorders/>
            <w:tcMar>
              <w:start w:w="0" w:type="dxa"/>
              <w:end w:w="0" w:type="dxa"/>
            </w:tcMar>
          </w:tcPr>
          <w:p>
            <w:pPr>
              <w:autoSpaceDN w:val="0"/>
              <w:autoSpaceDE w:val="0"/>
              <w:widowControl/>
              <w:spacing w:line="199" w:lineRule="auto" w:before="58" w:after="0"/>
              <w:ind w:left="0" w:right="0" w:firstLine="0"/>
              <w:jc w:val="right"/>
            </w:pPr>
            <w:r>
              <w:rPr>
                <w:rFonts w:ascii="Calibri" w:hAnsi="Calibri" w:eastAsia="Calibri"/>
                <w:b w:val="0"/>
                <w:i w:val="0"/>
                <w:color w:val="000000"/>
                <w:sz w:val="16"/>
              </w:rPr>
              <w:t xml:space="preserve">9,151,144,727 </w:t>
            </w:r>
          </w:p>
        </w:tc>
      </w:tr>
      <w:tr>
        <w:trPr>
          <w:trHeight w:hRule="exact" w:val="157"/>
        </w:trPr>
        <w:tc>
          <w:tcPr>
            <w:tcW w:type="dxa" w:w="1780"/>
            <w:tcBorders/>
            <w:tcMar>
              <w:start w:w="0" w:type="dxa"/>
              <w:end w:w="0" w:type="dxa"/>
            </w:tcMar>
          </w:tcPr>
          <w:p>
            <w:pPr>
              <w:autoSpaceDN w:val="0"/>
              <w:autoSpaceDE w:val="0"/>
              <w:widowControl/>
              <w:spacing w:line="160" w:lineRule="exact" w:before="0" w:after="0"/>
              <w:ind w:left="196" w:right="0" w:firstLine="0"/>
              <w:jc w:val="left"/>
            </w:pPr>
            <w:r>
              <w:rPr>
                <w:rFonts w:ascii="黑体" w:hAnsi="黑体" w:eastAsia="黑体"/>
                <w:b w:val="0"/>
                <w:i w:val="0"/>
                <w:color w:val="000000"/>
                <w:sz w:val="16"/>
              </w:rPr>
              <w:t>结算备付金</w:t>
            </w:r>
          </w:p>
        </w:tc>
        <w:tc>
          <w:tcPr>
            <w:tcW w:type="dxa" w:w="1516"/>
            <w:vMerge/>
            <w:tcBorders/>
          </w:tcPr>
          <w:p/>
        </w:tc>
        <w:tc>
          <w:tcPr>
            <w:tcW w:type="dxa" w:w="1362"/>
            <w:vMerge w:val="restart"/>
            <w:tcBorders/>
            <w:tcMar>
              <w:start w:w="0" w:type="dxa"/>
              <w:end w:w="0" w:type="dxa"/>
            </w:tcMar>
            <w:tcMar>
              <w:start w:w="0" w:type="dxa"/>
              <w:end w:w="0" w:type="dxa"/>
            </w:tcMar>
          </w:tcPr>
          <w:p>
            <w:pPr>
              <w:autoSpaceDN w:val="0"/>
              <w:autoSpaceDE w:val="0"/>
              <w:widowControl/>
              <w:spacing w:line="197" w:lineRule="auto" w:before="26" w:after="0"/>
              <w:ind w:left="0" w:right="0" w:firstLine="0"/>
              <w:jc w:val="right"/>
            </w:pPr>
            <w:r>
              <w:rPr>
                <w:rFonts w:ascii="Calibri" w:hAnsi="Calibri" w:eastAsia="Calibri"/>
                <w:b w:val="0"/>
                <w:i w:val="0"/>
                <w:color w:val="000000"/>
                <w:sz w:val="16"/>
              </w:rPr>
              <w:t>4,020,926,094</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6" w:after="0"/>
              <w:ind w:left="0" w:right="0" w:firstLine="0"/>
              <w:jc w:val="right"/>
            </w:pPr>
            <w:r>
              <w:rPr>
                <w:rFonts w:ascii="Calibri" w:hAnsi="Calibri" w:eastAsia="Calibri"/>
                <w:b w:val="0"/>
                <w:i w:val="0"/>
                <w:color w:val="000000"/>
                <w:sz w:val="16"/>
              </w:rPr>
              <w:t>2,635,063,238</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6" w:after="0"/>
              <w:ind w:left="0" w:right="0" w:firstLine="0"/>
              <w:jc w:val="right"/>
            </w:pPr>
            <w:r>
              <w:rPr>
                <w:rFonts w:ascii="Calibri" w:hAnsi="Calibri" w:eastAsia="Calibri"/>
                <w:b w:val="0"/>
                <w:i w:val="0"/>
                <w:color w:val="000000"/>
                <w:sz w:val="16"/>
              </w:rPr>
              <w:t>5,082,480,845</w:t>
            </w:r>
          </w:p>
        </w:tc>
        <w:tc>
          <w:tcPr>
            <w:tcW w:type="dxa" w:w="1592"/>
            <w:vMerge w:val="restart"/>
            <w:tcBorders/>
            <w:tcMar>
              <w:start w:w="0" w:type="dxa"/>
              <w:end w:w="0" w:type="dxa"/>
            </w:tcMar>
            <w:tcMar>
              <w:start w:w="0" w:type="dxa"/>
              <w:end w:w="0" w:type="dxa"/>
            </w:tcMar>
          </w:tcPr>
          <w:p>
            <w:pPr>
              <w:autoSpaceDN w:val="0"/>
              <w:autoSpaceDE w:val="0"/>
              <w:widowControl/>
              <w:spacing w:line="197" w:lineRule="auto" w:before="26" w:after="0"/>
              <w:ind w:left="0" w:right="0" w:firstLine="0"/>
              <w:jc w:val="right"/>
            </w:pPr>
            <w:r>
              <w:rPr>
                <w:rFonts w:ascii="Calibri" w:hAnsi="Calibri" w:eastAsia="Calibri"/>
                <w:b w:val="0"/>
                <w:i w:val="0"/>
                <w:color w:val="000000"/>
                <w:sz w:val="16"/>
              </w:rPr>
              <w:t xml:space="preserve">2,628,067,054 </w:t>
            </w:r>
          </w:p>
        </w:tc>
      </w:tr>
      <w:tr>
        <w:trPr>
          <w:trHeight w:hRule="exact" w:val="52"/>
        </w:trPr>
        <w:tc>
          <w:tcPr>
            <w:tcW w:type="dxa" w:w="1780"/>
            <w:vMerge w:val="restart"/>
            <w:tcBorders/>
            <w:tcMar>
              <w:start w:w="0" w:type="dxa"/>
              <w:end w:w="0" w:type="dxa"/>
            </w:tcMar>
            <w:tcMar>
              <w:start w:w="0" w:type="dxa"/>
              <w:end w:w="0" w:type="dxa"/>
            </w:tcMar>
            <w:tcMar>
              <w:start w:w="0" w:type="dxa"/>
              <w:end w:w="0" w:type="dxa"/>
            </w:tcMar>
          </w:tcPr>
          <w:p>
            <w:pPr>
              <w:autoSpaceDN w:val="0"/>
              <w:autoSpaceDE w:val="0"/>
              <w:widowControl/>
              <w:spacing w:line="162" w:lineRule="exact" w:before="54" w:after="0"/>
              <w:ind w:left="334" w:right="0" w:firstLine="0"/>
              <w:jc w:val="left"/>
            </w:pPr>
            <w:r>
              <w:rPr>
                <w:rFonts w:ascii="黑体" w:hAnsi="黑体" w:eastAsia="黑体"/>
                <w:b w:val="0"/>
                <w:i w:val="0"/>
                <w:color w:val="000000"/>
                <w:sz w:val="16"/>
              </w:rPr>
              <w:t>其中：客户备付金</w:t>
            </w:r>
          </w:p>
        </w:tc>
        <w:tc>
          <w:tcPr>
            <w:tcW w:type="dxa" w:w="1516"/>
            <w:vMerge/>
            <w:tcBorders/>
          </w:tcP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92"/>
        </w:trPr>
        <w:tc>
          <w:tcPr>
            <w:tcW w:type="dxa" w:w="1516"/>
            <w:vMerge/>
            <w:tcBorders/>
          </w:tcPr>
          <w:p/>
        </w:tc>
        <w:tc>
          <w:tcPr>
            <w:tcW w:type="dxa" w:w="1516"/>
            <w:vMerge/>
            <w:tcBorders/>
          </w:tcPr>
          <w:p/>
        </w:tc>
        <w:tc>
          <w:tcPr>
            <w:tcW w:type="dxa" w:w="1362"/>
            <w:vMerge w:val="restart"/>
            <w:tcBorders/>
            <w:tcMar>
              <w:start w:w="0" w:type="dxa"/>
              <w:end w:w="0" w:type="dxa"/>
            </w:tcMar>
            <w:tcMar>
              <w:start w:w="0" w:type="dxa"/>
              <w:end w:w="0" w:type="dxa"/>
            </w:tcMar>
          </w:tcPr>
          <w:p>
            <w:pPr>
              <w:autoSpaceDN w:val="0"/>
              <w:autoSpaceDE w:val="0"/>
              <w:widowControl/>
              <w:spacing w:line="197" w:lineRule="auto" w:before="22" w:after="0"/>
              <w:ind w:left="0" w:right="0" w:firstLine="0"/>
              <w:jc w:val="right"/>
            </w:pPr>
            <w:r>
              <w:rPr>
                <w:rFonts w:ascii="Calibri" w:hAnsi="Calibri" w:eastAsia="Calibri"/>
                <w:b w:val="0"/>
                <w:i w:val="0"/>
                <w:color w:val="000000"/>
                <w:sz w:val="16"/>
              </w:rPr>
              <w:t>2,067,871,695</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2" w:after="0"/>
              <w:ind w:left="0" w:right="0" w:firstLine="0"/>
              <w:jc w:val="right"/>
            </w:pPr>
            <w:r>
              <w:rPr>
                <w:rFonts w:ascii="Calibri" w:hAnsi="Calibri" w:eastAsia="Calibri"/>
                <w:b w:val="0"/>
                <w:i w:val="0"/>
                <w:color w:val="000000"/>
                <w:sz w:val="16"/>
              </w:rPr>
              <w:t>572,609,778</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2" w:after="0"/>
              <w:ind w:left="0" w:right="0" w:firstLine="0"/>
              <w:jc w:val="right"/>
            </w:pPr>
            <w:r>
              <w:rPr>
                <w:rFonts w:ascii="Calibri" w:hAnsi="Calibri" w:eastAsia="Calibri"/>
                <w:b w:val="0"/>
                <w:i w:val="0"/>
                <w:color w:val="000000"/>
                <w:sz w:val="16"/>
              </w:rPr>
              <w:t>1,987,603,707</w:t>
            </w:r>
          </w:p>
        </w:tc>
        <w:tc>
          <w:tcPr>
            <w:tcW w:type="dxa" w:w="1592"/>
            <w:vMerge w:val="restart"/>
            <w:tcBorders/>
            <w:tcMar>
              <w:start w:w="0" w:type="dxa"/>
              <w:end w:w="0" w:type="dxa"/>
            </w:tcMar>
            <w:tcMar>
              <w:start w:w="0" w:type="dxa"/>
              <w:end w:w="0" w:type="dxa"/>
            </w:tcMar>
          </w:tcPr>
          <w:p>
            <w:pPr>
              <w:autoSpaceDN w:val="0"/>
              <w:autoSpaceDE w:val="0"/>
              <w:widowControl/>
              <w:spacing w:line="197" w:lineRule="auto" w:before="22" w:after="0"/>
              <w:ind w:left="0" w:right="0" w:firstLine="0"/>
              <w:jc w:val="right"/>
            </w:pPr>
            <w:r>
              <w:rPr>
                <w:rFonts w:ascii="Calibri" w:hAnsi="Calibri" w:eastAsia="Calibri"/>
                <w:b w:val="0"/>
                <w:i w:val="0"/>
                <w:color w:val="000000"/>
                <w:sz w:val="16"/>
              </w:rPr>
              <w:t xml:space="preserve">527,954,274 </w:t>
            </w:r>
          </w:p>
        </w:tc>
      </w:tr>
      <w:tr>
        <w:trPr>
          <w:trHeight w:hRule="exact" w:val="113"/>
        </w:trPr>
        <w:tc>
          <w:tcPr>
            <w:tcW w:type="dxa" w:w="1516"/>
            <w:vMerge/>
            <w:tcBorders/>
          </w:tcPr>
          <w:p/>
        </w:tc>
        <w:tc>
          <w:tcPr>
            <w:tcW w:type="dxa" w:w="1174"/>
            <w:vMerge w:val="restart"/>
            <w:tcBorders/>
            <w:tcMar>
              <w:start w:w="0" w:type="dxa"/>
              <w:end w:w="0" w:type="dxa"/>
            </w:tcMar>
            <w:tcMar>
              <w:start w:w="0" w:type="dxa"/>
              <w:end w:w="0" w:type="dxa"/>
            </w:tcMar>
          </w:tcPr>
          <w:p>
            <w:pPr>
              <w:autoSpaceDN w:val="0"/>
              <w:autoSpaceDE w:val="0"/>
              <w:widowControl/>
              <w:spacing w:line="178" w:lineRule="exact" w:before="98"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 </w:t>
            </w: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163"/>
        </w:trPr>
        <w:tc>
          <w:tcPr>
            <w:tcW w:type="dxa" w:w="1780"/>
            <w:tcBorders/>
            <w:tcMar>
              <w:start w:w="0" w:type="dxa"/>
              <w:end w:w="0" w:type="dxa"/>
            </w:tcMar>
          </w:tcPr>
          <w:p>
            <w:pPr>
              <w:autoSpaceDN w:val="0"/>
              <w:autoSpaceDE w:val="0"/>
              <w:widowControl/>
              <w:spacing w:line="162" w:lineRule="exact" w:before="2" w:after="0"/>
              <w:ind w:left="196" w:right="0" w:firstLine="0"/>
              <w:jc w:val="left"/>
            </w:pPr>
            <w:r>
              <w:rPr>
                <w:rFonts w:ascii="黑体" w:hAnsi="黑体" w:eastAsia="黑体"/>
                <w:b w:val="0"/>
                <w:i w:val="0"/>
                <w:color w:val="000000"/>
                <w:sz w:val="16"/>
              </w:rPr>
              <w:t>融出资金</w:t>
            </w:r>
          </w:p>
        </w:tc>
        <w:tc>
          <w:tcPr>
            <w:tcW w:type="dxa" w:w="1516"/>
            <w:vMerge/>
            <w:tcBorders/>
          </w:tcPr>
          <w:p/>
        </w:tc>
        <w:tc>
          <w:tcPr>
            <w:tcW w:type="dxa" w:w="1362"/>
            <w:vMerge w:val="restart"/>
            <w:tcBorders/>
            <w:tcMar>
              <w:start w:w="0" w:type="dxa"/>
              <w:end w:w="0" w:type="dxa"/>
            </w:tcMar>
            <w:tcMar>
              <w:start w:w="0" w:type="dxa"/>
              <w:end w:w="0" w:type="dxa"/>
            </w:tcMar>
          </w:tcPr>
          <w:p>
            <w:pPr>
              <w:autoSpaceDN w:val="0"/>
              <w:autoSpaceDE w:val="0"/>
              <w:widowControl/>
              <w:spacing w:line="199" w:lineRule="auto" w:before="26" w:after="0"/>
              <w:ind w:left="0" w:right="0" w:firstLine="0"/>
              <w:jc w:val="right"/>
            </w:pPr>
            <w:r>
              <w:rPr>
                <w:rFonts w:ascii="Calibri" w:hAnsi="Calibri" w:eastAsia="Calibri"/>
                <w:b w:val="0"/>
                <w:i w:val="0"/>
                <w:color w:val="000000"/>
                <w:sz w:val="16"/>
              </w:rPr>
              <w:t>7,329,486,640</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6" w:after="0"/>
              <w:ind w:left="0" w:right="0" w:firstLine="0"/>
              <w:jc w:val="right"/>
            </w:pPr>
            <w:r>
              <w:rPr>
                <w:rFonts w:ascii="Calibri" w:hAnsi="Calibri" w:eastAsia="Calibri"/>
                <w:b w:val="0"/>
                <w:i w:val="0"/>
                <w:color w:val="000000"/>
                <w:sz w:val="16"/>
              </w:rPr>
              <w:t>6,764,360,676</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6" w:after="0"/>
              <w:ind w:left="0" w:right="0" w:firstLine="0"/>
              <w:jc w:val="right"/>
            </w:pPr>
            <w:r>
              <w:rPr>
                <w:rFonts w:ascii="Calibri" w:hAnsi="Calibri" w:eastAsia="Calibri"/>
                <w:b w:val="0"/>
                <w:i w:val="0"/>
                <w:color w:val="000000"/>
                <w:sz w:val="16"/>
              </w:rPr>
              <w:t>7,319,303,094</w:t>
            </w:r>
          </w:p>
        </w:tc>
        <w:tc>
          <w:tcPr>
            <w:tcW w:type="dxa" w:w="1592"/>
            <w:vMerge w:val="restart"/>
            <w:tcBorders/>
            <w:tcMar>
              <w:start w:w="0" w:type="dxa"/>
              <w:end w:w="0" w:type="dxa"/>
            </w:tcMar>
            <w:tcMar>
              <w:start w:w="0" w:type="dxa"/>
              <w:end w:w="0" w:type="dxa"/>
            </w:tcMar>
          </w:tcPr>
          <w:p>
            <w:pPr>
              <w:autoSpaceDN w:val="0"/>
              <w:autoSpaceDE w:val="0"/>
              <w:widowControl/>
              <w:spacing w:line="199" w:lineRule="auto" w:before="26" w:after="0"/>
              <w:ind w:left="0" w:right="0" w:firstLine="0"/>
              <w:jc w:val="right"/>
            </w:pPr>
            <w:r>
              <w:rPr>
                <w:rFonts w:ascii="Calibri" w:hAnsi="Calibri" w:eastAsia="Calibri"/>
                <w:b w:val="0"/>
                <w:i w:val="0"/>
                <w:color w:val="000000"/>
                <w:sz w:val="16"/>
              </w:rPr>
              <w:t xml:space="preserve">6,734,948,643 </w:t>
            </w:r>
          </w:p>
        </w:tc>
      </w:tr>
      <w:tr>
        <w:trPr>
          <w:trHeight w:hRule="exact" w:val="46"/>
        </w:trPr>
        <w:tc>
          <w:tcPr>
            <w:tcW w:type="dxa" w:w="1780"/>
            <w:vMerge w:val="restart"/>
            <w:tcBorders/>
            <w:tcMar>
              <w:start w:w="0" w:type="dxa"/>
              <w:end w:w="0" w:type="dxa"/>
            </w:tcMar>
            <w:tcMar>
              <w:start w:w="0" w:type="dxa"/>
              <w:end w:w="0" w:type="dxa"/>
            </w:tcMar>
          </w:tcPr>
          <w:p>
            <w:pPr>
              <w:autoSpaceDN w:val="0"/>
              <w:autoSpaceDE w:val="0"/>
              <w:widowControl/>
              <w:spacing w:line="160" w:lineRule="exact" w:before="40" w:after="0"/>
              <w:ind w:left="196" w:right="0" w:firstLine="0"/>
              <w:jc w:val="left"/>
            </w:pPr>
            <w:r>
              <w:rPr>
                <w:rFonts w:ascii="黑体" w:hAnsi="黑体" w:eastAsia="黑体"/>
                <w:b w:val="0"/>
                <w:i w:val="0"/>
                <w:color w:val="000000"/>
                <w:sz w:val="16"/>
              </w:rPr>
              <w:t>衍生金融资产</w:t>
            </w:r>
          </w:p>
        </w:tc>
        <w:tc>
          <w:tcPr>
            <w:tcW w:type="dxa" w:w="1174"/>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5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4 </w:t>
            </w: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154"/>
        </w:trPr>
        <w:tc>
          <w:tcPr>
            <w:tcW w:type="dxa" w:w="1516"/>
            <w:vMerge/>
            <w:tcBorders/>
          </w:tcPr>
          <w:p/>
        </w:tc>
        <w:tc>
          <w:tcPr>
            <w:tcW w:type="dxa" w:w="1516"/>
            <w:vMerge/>
            <w:tcBorders/>
          </w:tcPr>
          <w:p/>
        </w:tc>
        <w:tc>
          <w:tcPr>
            <w:tcW w:type="dxa" w:w="1362"/>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122,075,207</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171,766,410</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110,716,823</w:t>
            </w:r>
          </w:p>
        </w:tc>
        <w:tc>
          <w:tcPr>
            <w:tcW w:type="dxa" w:w="1592"/>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 xml:space="preserve">149,548,103 </w:t>
            </w:r>
          </w:p>
        </w:tc>
      </w:tr>
      <w:tr>
        <w:trPr>
          <w:trHeight w:hRule="exact" w:val="53"/>
        </w:trPr>
        <w:tc>
          <w:tcPr>
            <w:tcW w:type="dxa" w:w="1780"/>
            <w:vMerge w:val="restart"/>
            <w:tcBorders/>
            <w:tcMar>
              <w:start w:w="0" w:type="dxa"/>
              <w:end w:w="0" w:type="dxa"/>
            </w:tcMar>
            <w:tcMar>
              <w:start w:w="0" w:type="dxa"/>
              <w:end w:w="0" w:type="dxa"/>
            </w:tcMar>
          </w:tcPr>
          <w:p>
            <w:pPr>
              <w:autoSpaceDN w:val="0"/>
              <w:autoSpaceDE w:val="0"/>
              <w:widowControl/>
              <w:spacing w:line="160" w:lineRule="exact" w:before="56" w:after="0"/>
              <w:ind w:left="196" w:right="0" w:firstLine="0"/>
              <w:jc w:val="left"/>
            </w:pPr>
            <w:r>
              <w:rPr>
                <w:rFonts w:ascii="黑体" w:hAnsi="黑体" w:eastAsia="黑体"/>
                <w:b w:val="0"/>
                <w:i w:val="0"/>
                <w:color w:val="000000"/>
                <w:sz w:val="16"/>
              </w:rPr>
              <w:t>买入返售金融资产</w:t>
            </w:r>
          </w:p>
        </w:tc>
        <w:tc>
          <w:tcPr>
            <w:tcW w:type="dxa" w:w="1516"/>
            <w:vMerge/>
            <w:tcBorders/>
          </w:tcP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167"/>
        </w:trPr>
        <w:tc>
          <w:tcPr>
            <w:tcW w:type="dxa" w:w="1516"/>
            <w:vMerge/>
            <w:tcBorders/>
          </w:tcPr>
          <w:p/>
        </w:tc>
        <w:tc>
          <w:tcPr>
            <w:tcW w:type="dxa" w:w="1174"/>
            <w:tcBorders/>
            <w:tcMar>
              <w:start w:w="0" w:type="dxa"/>
              <w:end w:w="0" w:type="dxa"/>
            </w:tcMar>
          </w:tcPr>
          <w:p>
            <w:pPr>
              <w:autoSpaceDN w:val="0"/>
              <w:autoSpaceDE w:val="0"/>
              <w:widowControl/>
              <w:spacing w:line="178" w:lineRule="exact" w:before="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5 </w:t>
            </w:r>
          </w:p>
        </w:tc>
        <w:tc>
          <w:tcPr>
            <w:tcW w:type="dxa" w:w="1362"/>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1,977,533,836</w:t>
            </w:r>
          </w:p>
        </w:tc>
        <w:tc>
          <w:tcPr>
            <w:tcW w:type="dxa" w:w="1566"/>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1,916,241,389</w:t>
            </w:r>
          </w:p>
        </w:tc>
        <w:tc>
          <w:tcPr>
            <w:tcW w:type="dxa" w:w="1566"/>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1,942,522,705</w:t>
            </w:r>
          </w:p>
        </w:tc>
        <w:tc>
          <w:tcPr>
            <w:tcW w:type="dxa" w:w="1592"/>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 xml:space="preserve">1,877,777,871 </w:t>
            </w:r>
          </w:p>
        </w:tc>
      </w:tr>
      <w:tr>
        <w:trPr>
          <w:trHeight w:hRule="exact" w:val="246"/>
        </w:trPr>
        <w:tc>
          <w:tcPr>
            <w:tcW w:type="dxa" w:w="1780"/>
            <w:tcBorders/>
            <w:tcMar>
              <w:start w:w="0" w:type="dxa"/>
              <w:end w:w="0" w:type="dxa"/>
            </w:tcMar>
          </w:tcPr>
          <w:p>
            <w:pPr>
              <w:autoSpaceDN w:val="0"/>
              <w:autoSpaceDE w:val="0"/>
              <w:widowControl/>
              <w:spacing w:line="160" w:lineRule="exact" w:before="46" w:after="0"/>
              <w:ind w:left="196" w:right="0" w:firstLine="0"/>
              <w:jc w:val="left"/>
            </w:pPr>
            <w:r>
              <w:rPr>
                <w:rFonts w:ascii="黑体" w:hAnsi="黑体" w:eastAsia="黑体"/>
                <w:b w:val="0"/>
                <w:i w:val="0"/>
                <w:color w:val="000000"/>
                <w:sz w:val="16"/>
              </w:rPr>
              <w:t>应收款项</w:t>
            </w:r>
          </w:p>
        </w:tc>
        <w:tc>
          <w:tcPr>
            <w:tcW w:type="dxa" w:w="1174"/>
            <w:tcBorders/>
            <w:tcMar>
              <w:start w:w="0" w:type="dxa"/>
              <w:end w:w="0" w:type="dxa"/>
            </w:tcMar>
          </w:tcPr>
          <w:p>
            <w:pPr>
              <w:autoSpaceDN w:val="0"/>
              <w:autoSpaceDE w:val="0"/>
              <w:widowControl/>
              <w:spacing w:line="178" w:lineRule="exact" w:before="46" w:after="0"/>
              <w:ind w:left="0" w:right="0" w:firstLine="0"/>
              <w:jc w:val="center"/>
            </w:pPr>
            <w:r>
              <w:rPr>
                <w:rFonts w:ascii="黑体" w:hAnsi="黑体" w:eastAsia="黑体"/>
                <w:b w:val="0"/>
                <w:i w:val="0"/>
                <w:color w:val="000000"/>
                <w:sz w:val="16"/>
              </w:rPr>
              <w:t>五</w:t>
            </w:r>
            <w:r>
              <w:rPr>
                <w:rFonts w:ascii="Calibri" w:hAnsi="Calibri" w:eastAsia="Calibri"/>
                <w:b w:val="0"/>
                <w:i w:val="0"/>
                <w:color w:val="000000"/>
                <w:sz w:val="16"/>
              </w:rPr>
              <w:t>6</w:t>
            </w:r>
            <w:r>
              <w:rPr>
                <w:rFonts w:ascii="黑体" w:hAnsi="黑体" w:eastAsia="黑体"/>
                <w:b w:val="0"/>
                <w:i w:val="0"/>
                <w:color w:val="000000"/>
                <w:sz w:val="16"/>
              </w:rPr>
              <w:t>，十八</w:t>
            </w:r>
            <w:r>
              <w:rPr>
                <w:rFonts w:ascii="Calibri" w:hAnsi="Calibri" w:eastAsia="Calibri"/>
                <w:b w:val="0"/>
                <w:i w:val="0"/>
                <w:color w:val="000000"/>
                <w:sz w:val="16"/>
              </w:rPr>
              <w:t xml:space="preserve">1 </w:t>
            </w:r>
          </w:p>
        </w:tc>
        <w:tc>
          <w:tcPr>
            <w:tcW w:type="dxa" w:w="1362"/>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140,679,526</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120,309,332</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98,496,467</w:t>
            </w:r>
          </w:p>
        </w:tc>
        <w:tc>
          <w:tcPr>
            <w:tcW w:type="dxa" w:w="1592"/>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 xml:space="preserve">92,600,783 </w:t>
            </w:r>
          </w:p>
        </w:tc>
      </w:tr>
      <w:tr>
        <w:trPr>
          <w:trHeight w:hRule="exact" w:val="174"/>
        </w:trPr>
        <w:tc>
          <w:tcPr>
            <w:tcW w:type="dxa" w:w="1780"/>
            <w:tcBorders/>
            <w:tcMar>
              <w:start w:w="0" w:type="dxa"/>
              <w:end w:w="0" w:type="dxa"/>
            </w:tcMar>
          </w:tcPr>
          <w:p>
            <w:pPr>
              <w:autoSpaceDN w:val="0"/>
              <w:autoSpaceDE w:val="0"/>
              <w:widowControl/>
              <w:spacing w:line="160" w:lineRule="exact" w:before="6" w:after="0"/>
              <w:ind w:left="196" w:right="0" w:firstLine="0"/>
              <w:jc w:val="left"/>
            </w:pPr>
            <w:r>
              <w:rPr>
                <w:rFonts w:ascii="黑体" w:hAnsi="黑体" w:eastAsia="黑体"/>
                <w:b w:val="0"/>
                <w:i w:val="0"/>
                <w:color w:val="000000"/>
                <w:sz w:val="16"/>
              </w:rPr>
              <w:t>存出保证金</w:t>
            </w:r>
          </w:p>
        </w:tc>
        <w:tc>
          <w:tcPr>
            <w:tcW w:type="dxa" w:w="1174"/>
            <w:tcBorders/>
            <w:tcMar>
              <w:start w:w="0" w:type="dxa"/>
              <w:end w:w="0" w:type="dxa"/>
            </w:tcMar>
          </w:tcPr>
          <w:p>
            <w:pPr>
              <w:autoSpaceDN w:val="0"/>
              <w:autoSpaceDE w:val="0"/>
              <w:widowControl/>
              <w:spacing w:line="178" w:lineRule="exact" w:before="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7 </w:t>
            </w:r>
          </w:p>
        </w:tc>
        <w:tc>
          <w:tcPr>
            <w:tcW w:type="dxa" w:w="1362"/>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3,063,399,796</w:t>
            </w:r>
          </w:p>
        </w:tc>
        <w:tc>
          <w:tcPr>
            <w:tcW w:type="dxa" w:w="1566"/>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4,229,434,331</w:t>
            </w:r>
          </w:p>
        </w:tc>
        <w:tc>
          <w:tcPr>
            <w:tcW w:type="dxa" w:w="1566"/>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616,774,097</w:t>
            </w:r>
          </w:p>
        </w:tc>
        <w:tc>
          <w:tcPr>
            <w:tcW w:type="dxa" w:w="1592"/>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 xml:space="preserve">1,405,469,194 </w:t>
            </w:r>
          </w:p>
        </w:tc>
      </w:tr>
      <w:tr>
        <w:trPr>
          <w:trHeight w:hRule="exact" w:val="243"/>
        </w:trPr>
        <w:tc>
          <w:tcPr>
            <w:tcW w:type="dxa" w:w="1780"/>
            <w:tcBorders/>
            <w:tcMar>
              <w:start w:w="0" w:type="dxa"/>
              <w:end w:w="0" w:type="dxa"/>
            </w:tcMar>
          </w:tcPr>
          <w:p>
            <w:pPr>
              <w:autoSpaceDN w:val="0"/>
              <w:autoSpaceDE w:val="0"/>
              <w:widowControl/>
              <w:spacing w:line="162" w:lineRule="exact" w:before="40" w:after="0"/>
              <w:ind w:left="196" w:right="0" w:firstLine="0"/>
              <w:jc w:val="left"/>
            </w:pPr>
            <w:r>
              <w:rPr>
                <w:rFonts w:ascii="黑体" w:hAnsi="黑体" w:eastAsia="黑体"/>
                <w:b w:val="0"/>
                <w:i w:val="0"/>
                <w:color w:val="000000"/>
                <w:sz w:val="16"/>
              </w:rPr>
              <w:t>金融投资：</w:t>
            </w:r>
          </w:p>
        </w:tc>
        <w:tc>
          <w:tcPr>
            <w:tcW w:type="dxa" w:w="1174"/>
            <w:vMerge w:val="restart"/>
            <w:tcBorders/>
            <w:tcMar>
              <w:start w:w="0" w:type="dxa"/>
              <w:end w:w="0" w:type="dxa"/>
            </w:tcMar>
            <w:tcMar>
              <w:start w:w="0" w:type="dxa"/>
              <w:end w:w="0" w:type="dxa"/>
            </w:tcMar>
            <w:tcMar>
              <w:start w:w="0" w:type="dxa"/>
              <w:end w:w="0" w:type="dxa"/>
            </w:tcMar>
          </w:tcPr>
          <w:p>
            <w:pPr>
              <w:autoSpaceDN w:val="0"/>
              <w:autoSpaceDE w:val="0"/>
              <w:widowControl/>
              <w:spacing w:line="180" w:lineRule="exact" w:before="246"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8 </w:t>
            </w:r>
          </w:p>
        </w:tc>
        <w:tc>
          <w:tcPr>
            <w:tcW w:type="dxa" w:w="1362"/>
            <w:tcBorders/>
            <w:tcMar>
              <w:start w:w="0" w:type="dxa"/>
              <w:end w:w="0" w:type="dxa"/>
            </w:tcMar>
          </w:tcPr>
          <w:p>
            <w:pPr>
              <w:autoSpaceDN w:val="0"/>
              <w:autoSpaceDE w:val="0"/>
              <w:widowControl/>
              <w:spacing w:line="199" w:lineRule="auto" w:before="60" w:after="0"/>
              <w:ind w:left="0" w:right="0" w:firstLine="0"/>
              <w:jc w:val="right"/>
            </w:pPr>
            <w:r>
              <w:rPr>
                <w:rFonts w:ascii="Calibri" w:hAnsi="Calibri" w:eastAsia="Calibri"/>
                <w:b w:val="0"/>
                <w:i w:val="0"/>
                <w:color w:val="000000"/>
                <w:sz w:val="16"/>
              </w:rPr>
              <w:t>36,307,012,985</w:t>
            </w:r>
          </w:p>
        </w:tc>
        <w:tc>
          <w:tcPr>
            <w:tcW w:type="dxa" w:w="1566"/>
            <w:tcBorders/>
            <w:tcMar>
              <w:start w:w="0" w:type="dxa"/>
              <w:end w:w="0" w:type="dxa"/>
            </w:tcMar>
          </w:tcPr>
          <w:p>
            <w:pPr>
              <w:autoSpaceDN w:val="0"/>
              <w:autoSpaceDE w:val="0"/>
              <w:widowControl/>
              <w:spacing w:line="199" w:lineRule="auto" w:before="60" w:after="0"/>
              <w:ind w:left="0" w:right="0" w:firstLine="0"/>
              <w:jc w:val="right"/>
            </w:pPr>
            <w:r>
              <w:rPr>
                <w:rFonts w:ascii="Calibri" w:hAnsi="Calibri" w:eastAsia="Calibri"/>
                <w:b w:val="0"/>
                <w:i w:val="0"/>
                <w:color w:val="000000"/>
                <w:sz w:val="16"/>
              </w:rPr>
              <w:t>37,276,438,415</w:t>
            </w:r>
          </w:p>
        </w:tc>
        <w:tc>
          <w:tcPr>
            <w:tcW w:type="dxa" w:w="1566"/>
            <w:tcBorders/>
            <w:tcMar>
              <w:start w:w="0" w:type="dxa"/>
              <w:end w:w="0" w:type="dxa"/>
            </w:tcMar>
          </w:tcPr>
          <w:p>
            <w:pPr>
              <w:autoSpaceDN w:val="0"/>
              <w:autoSpaceDE w:val="0"/>
              <w:widowControl/>
              <w:spacing w:line="199" w:lineRule="auto" w:before="60" w:after="0"/>
              <w:ind w:left="0" w:right="0" w:firstLine="0"/>
              <w:jc w:val="right"/>
            </w:pPr>
            <w:r>
              <w:rPr>
                <w:rFonts w:ascii="Calibri" w:hAnsi="Calibri" w:eastAsia="Calibri"/>
                <w:b w:val="0"/>
                <w:i w:val="0"/>
                <w:color w:val="000000"/>
                <w:sz w:val="16"/>
              </w:rPr>
              <w:t>33,889,279,760</w:t>
            </w:r>
          </w:p>
        </w:tc>
        <w:tc>
          <w:tcPr>
            <w:tcW w:type="dxa" w:w="1592"/>
            <w:tcBorders/>
            <w:tcMar>
              <w:start w:w="0" w:type="dxa"/>
              <w:end w:w="0" w:type="dxa"/>
            </w:tcMar>
          </w:tcPr>
          <w:p>
            <w:pPr>
              <w:autoSpaceDN w:val="0"/>
              <w:autoSpaceDE w:val="0"/>
              <w:widowControl/>
              <w:spacing w:line="199" w:lineRule="auto" w:before="60" w:after="0"/>
              <w:ind w:left="0" w:right="0" w:firstLine="0"/>
              <w:jc w:val="right"/>
            </w:pPr>
            <w:r>
              <w:rPr>
                <w:rFonts w:ascii="Calibri" w:hAnsi="Calibri" w:eastAsia="Calibri"/>
                <w:b w:val="0"/>
                <w:i w:val="0"/>
                <w:color w:val="000000"/>
                <w:sz w:val="16"/>
              </w:rPr>
              <w:t xml:space="preserve">34,976,864,064 </w:t>
            </w:r>
          </w:p>
        </w:tc>
      </w:tr>
      <w:tr>
        <w:trPr>
          <w:trHeight w:hRule="exact" w:val="157"/>
        </w:trPr>
        <w:tc>
          <w:tcPr>
            <w:tcW w:type="dxa" w:w="1780"/>
            <w:tcBorders/>
            <w:tcMar>
              <w:start w:w="0" w:type="dxa"/>
              <w:end w:w="0" w:type="dxa"/>
            </w:tcMar>
          </w:tcPr>
          <w:p>
            <w:pPr>
              <w:autoSpaceDN w:val="0"/>
              <w:autoSpaceDE w:val="0"/>
              <w:widowControl/>
              <w:spacing w:line="162" w:lineRule="exact" w:before="0" w:after="0"/>
              <w:ind w:left="0" w:right="0" w:firstLine="0"/>
              <w:jc w:val="center"/>
            </w:pPr>
            <w:r>
              <w:rPr>
                <w:rFonts w:ascii="黑体" w:hAnsi="黑体" w:eastAsia="黑体"/>
                <w:b w:val="0"/>
                <w:i w:val="0"/>
                <w:color w:val="000000"/>
                <w:sz w:val="16"/>
              </w:rPr>
              <w:t>交易性金融资产</w:t>
            </w:r>
          </w:p>
        </w:tc>
        <w:tc>
          <w:tcPr>
            <w:tcW w:type="dxa" w:w="1516"/>
            <w:vMerge/>
            <w:tcBorders/>
          </w:tcPr>
          <w:p/>
        </w:tc>
        <w:tc>
          <w:tcPr>
            <w:tcW w:type="dxa" w:w="1362"/>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36,008,042,780</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36,922,114,301</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33,627,010,546</w:t>
            </w:r>
          </w:p>
        </w:tc>
        <w:tc>
          <w:tcPr>
            <w:tcW w:type="dxa" w:w="1592"/>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 xml:space="preserve">34,658,175,307 </w:t>
            </w:r>
          </w:p>
        </w:tc>
      </w:tr>
      <w:tr>
        <w:trPr>
          <w:trHeight w:hRule="exact" w:val="51"/>
        </w:trPr>
        <w:tc>
          <w:tcPr>
            <w:tcW w:type="dxa" w:w="1780"/>
            <w:vMerge w:val="restart"/>
            <w:tcBorders/>
            <w:tcMar>
              <w:start w:w="0" w:type="dxa"/>
              <w:end w:w="0" w:type="dxa"/>
            </w:tcMar>
            <w:tcMar>
              <w:start w:w="0" w:type="dxa"/>
              <w:end w:w="0" w:type="dxa"/>
            </w:tcMar>
          </w:tcPr>
          <w:p>
            <w:pPr>
              <w:autoSpaceDN w:val="0"/>
              <w:autoSpaceDE w:val="0"/>
              <w:widowControl/>
              <w:spacing w:line="160" w:lineRule="exact" w:before="56" w:after="0"/>
              <w:ind w:left="334" w:right="0" w:firstLine="0"/>
              <w:jc w:val="left"/>
            </w:pPr>
            <w:r>
              <w:rPr>
                <w:rFonts w:ascii="黑体" w:hAnsi="黑体" w:eastAsia="黑体"/>
                <w:b w:val="0"/>
                <w:i w:val="0"/>
                <w:color w:val="000000"/>
                <w:sz w:val="16"/>
              </w:rPr>
              <w:t>债权投资</w:t>
            </w:r>
          </w:p>
        </w:tc>
        <w:tc>
          <w:tcPr>
            <w:tcW w:type="dxa" w:w="1516"/>
            <w:vMerge/>
            <w:tcBorders/>
          </w:tcP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169"/>
        </w:trPr>
        <w:tc>
          <w:tcPr>
            <w:tcW w:type="dxa" w:w="1516"/>
            <w:vMerge/>
            <w:tcBorders/>
          </w:tcPr>
          <w:p/>
        </w:tc>
        <w:tc>
          <w:tcPr>
            <w:tcW w:type="dxa" w:w="1174"/>
            <w:tcBorders/>
            <w:tcMar>
              <w:start w:w="0" w:type="dxa"/>
              <w:end w:w="0" w:type="dxa"/>
            </w:tcMar>
          </w:tcPr>
          <w:p>
            <w:pPr>
              <w:autoSpaceDN w:val="0"/>
              <w:autoSpaceDE w:val="0"/>
              <w:widowControl/>
              <w:spacing w:line="178" w:lineRule="exact" w:before="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9 </w:t>
            </w:r>
          </w:p>
        </w:tc>
        <w:tc>
          <w:tcPr>
            <w:tcW w:type="dxa" w:w="1362"/>
            <w:tcBorders/>
            <w:tcMar>
              <w:start w:w="0" w:type="dxa"/>
              <w:end w:w="0" w:type="dxa"/>
            </w:tcMar>
          </w:tcPr>
          <w:p>
            <w:pPr>
              <w:autoSpaceDN w:val="0"/>
              <w:autoSpaceDE w:val="0"/>
              <w:widowControl/>
              <w:spacing w:line="197" w:lineRule="auto" w:before="8" w:after="0"/>
              <w:ind w:left="0" w:right="0" w:firstLine="0"/>
              <w:jc w:val="right"/>
            </w:pPr>
            <w:r>
              <w:rPr>
                <w:rFonts w:ascii="Calibri" w:hAnsi="Calibri" w:eastAsia="Calibri"/>
                <w:b w:val="0"/>
                <w:i w:val="0"/>
                <w:color w:val="000000"/>
                <w:sz w:val="16"/>
              </w:rPr>
              <w:t>27,426,901</w:t>
            </w:r>
          </w:p>
        </w:tc>
        <w:tc>
          <w:tcPr>
            <w:tcW w:type="dxa" w:w="1566"/>
            <w:tcBorders/>
            <w:tcMar>
              <w:start w:w="0" w:type="dxa"/>
              <w:end w:w="0" w:type="dxa"/>
            </w:tcMar>
          </w:tcPr>
          <w:p>
            <w:pPr>
              <w:autoSpaceDN w:val="0"/>
              <w:autoSpaceDE w:val="0"/>
              <w:widowControl/>
              <w:spacing w:line="197" w:lineRule="auto" w:before="8" w:after="0"/>
              <w:ind w:left="0" w:right="0" w:firstLine="0"/>
              <w:jc w:val="right"/>
            </w:pPr>
            <w:r>
              <w:rPr>
                <w:rFonts w:ascii="Calibri" w:hAnsi="Calibri" w:eastAsia="Calibri"/>
                <w:b w:val="0"/>
                <w:i w:val="0"/>
                <w:color w:val="000000"/>
                <w:sz w:val="16"/>
              </w:rPr>
              <w:t>29,141,162</w:t>
            </w:r>
          </w:p>
        </w:tc>
        <w:tc>
          <w:tcPr>
            <w:tcW w:type="dxa" w:w="1566"/>
            <w:tcBorders/>
            <w:tcMar>
              <w:start w:w="0" w:type="dxa"/>
              <w:end w:w="0" w:type="dxa"/>
            </w:tcMar>
          </w:tcPr>
          <w:p>
            <w:pPr>
              <w:autoSpaceDN w:val="0"/>
              <w:autoSpaceDE w:val="0"/>
              <w:widowControl/>
              <w:spacing w:line="197" w:lineRule="auto" w:before="8" w:after="0"/>
              <w:ind w:left="0" w:right="0" w:firstLine="0"/>
              <w:jc w:val="right"/>
            </w:pPr>
            <w:r>
              <w:rPr>
                <w:rFonts w:ascii="Calibri" w:hAnsi="Calibri" w:eastAsia="Calibri"/>
                <w:b w:val="0"/>
                <w:i w:val="0"/>
                <w:color w:val="000000"/>
                <w:sz w:val="16"/>
              </w:rPr>
              <w:t>27,426,901</w:t>
            </w:r>
          </w:p>
        </w:tc>
        <w:tc>
          <w:tcPr>
            <w:tcW w:type="dxa" w:w="1592"/>
            <w:tcBorders/>
            <w:tcMar>
              <w:start w:w="0" w:type="dxa"/>
              <w:end w:w="0" w:type="dxa"/>
            </w:tcMar>
          </w:tcPr>
          <w:p>
            <w:pPr>
              <w:autoSpaceDN w:val="0"/>
              <w:autoSpaceDE w:val="0"/>
              <w:widowControl/>
              <w:spacing w:line="197" w:lineRule="auto" w:before="8" w:after="0"/>
              <w:ind w:left="0" w:right="0" w:firstLine="0"/>
              <w:jc w:val="right"/>
            </w:pPr>
            <w:r>
              <w:rPr>
                <w:rFonts w:ascii="Calibri" w:hAnsi="Calibri" w:eastAsia="Calibri"/>
                <w:b w:val="0"/>
                <w:i w:val="0"/>
                <w:color w:val="000000"/>
                <w:sz w:val="16"/>
              </w:rPr>
              <w:t xml:space="preserve">29,141,162 </w:t>
            </w:r>
          </w:p>
        </w:tc>
      </w:tr>
      <w:tr>
        <w:trPr>
          <w:trHeight w:hRule="exact" w:val="200"/>
        </w:trPr>
        <w:tc>
          <w:tcPr>
            <w:tcW w:type="dxa" w:w="1780"/>
            <w:tcBorders/>
            <w:tcMar>
              <w:start w:w="0" w:type="dxa"/>
              <w:end w:w="0" w:type="dxa"/>
            </w:tcMar>
          </w:tcPr>
          <w:p>
            <w:pPr>
              <w:autoSpaceDN w:val="0"/>
              <w:autoSpaceDE w:val="0"/>
              <w:widowControl/>
              <w:spacing w:line="160" w:lineRule="exact" w:before="40" w:after="0"/>
              <w:ind w:left="334" w:right="0" w:firstLine="0"/>
              <w:jc w:val="left"/>
            </w:pPr>
            <w:r>
              <w:rPr>
                <w:rFonts w:ascii="黑体" w:hAnsi="黑体" w:eastAsia="黑体"/>
                <w:b w:val="0"/>
                <w:i w:val="0"/>
                <w:color w:val="000000"/>
                <w:sz w:val="16"/>
              </w:rPr>
              <w:t>其他债权投资</w:t>
            </w:r>
          </w:p>
        </w:tc>
        <w:tc>
          <w:tcPr>
            <w:tcW w:type="dxa" w:w="1174"/>
            <w:tcBorders/>
            <w:tcMar>
              <w:start w:w="0" w:type="dxa"/>
              <w:end w:w="0" w:type="dxa"/>
            </w:tcMar>
          </w:tcPr>
          <w:p>
            <w:pPr>
              <w:autoSpaceDN w:val="0"/>
              <w:autoSpaceDE w:val="0"/>
              <w:widowControl/>
              <w:spacing w:line="178" w:lineRule="exact" w:before="22"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10 </w:t>
            </w:r>
          </w:p>
        </w:tc>
        <w:tc>
          <w:tcPr>
            <w:tcW w:type="dxa" w:w="1362"/>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57,443,663</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89,867,451</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57,443,663</w:t>
            </w:r>
          </w:p>
        </w:tc>
        <w:tc>
          <w:tcPr>
            <w:tcW w:type="dxa" w:w="1592"/>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 xml:space="preserve">89,867,451 </w:t>
            </w:r>
          </w:p>
        </w:tc>
      </w:tr>
      <w:tr>
        <w:trPr>
          <w:trHeight w:hRule="exact" w:val="46"/>
        </w:trPr>
        <w:tc>
          <w:tcPr>
            <w:tcW w:type="dxa" w:w="1780"/>
            <w:vMerge w:val="restart"/>
            <w:tcBorders/>
            <w:tcMar>
              <w:start w:w="0" w:type="dxa"/>
              <w:end w:w="0" w:type="dxa"/>
            </w:tcMar>
            <w:tcMar>
              <w:start w:w="0" w:type="dxa"/>
              <w:end w:w="0" w:type="dxa"/>
            </w:tcMar>
          </w:tcPr>
          <w:p>
            <w:pPr>
              <w:autoSpaceDN w:val="0"/>
              <w:autoSpaceDE w:val="0"/>
              <w:widowControl/>
              <w:spacing w:line="162" w:lineRule="exact" w:before="50" w:after="0"/>
              <w:ind w:left="334" w:right="0" w:firstLine="0"/>
              <w:jc w:val="left"/>
            </w:pPr>
            <w:r>
              <w:rPr>
                <w:rFonts w:ascii="黑体" w:hAnsi="黑体" w:eastAsia="黑体"/>
                <w:b w:val="0"/>
                <w:i w:val="0"/>
                <w:color w:val="000000"/>
                <w:sz w:val="16"/>
              </w:rPr>
              <w:t>其他权益工具投资</w:t>
            </w:r>
          </w:p>
        </w:tc>
        <w:tc>
          <w:tcPr>
            <w:tcW w:type="dxa" w:w="1174"/>
            <w:vMerge w:val="restart"/>
            <w:tcBorders/>
            <w:tcMar>
              <w:start w:w="0" w:type="dxa"/>
              <w:end w:w="0" w:type="dxa"/>
            </w:tcMar>
            <w:tcMar>
              <w:start w:w="0" w:type="dxa"/>
              <w:end w:w="0" w:type="dxa"/>
            </w:tcMar>
          </w:tcPr>
          <w:p>
            <w:pPr>
              <w:autoSpaceDN w:val="0"/>
              <w:autoSpaceDE w:val="0"/>
              <w:widowControl/>
              <w:spacing w:line="180" w:lineRule="exact" w:before="4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11 </w:t>
            </w:r>
          </w:p>
        </w:tc>
        <w:tc>
          <w:tcPr>
            <w:tcW w:type="dxa" w:w="1516"/>
            <w:vMerge/>
            <w:tcBorders/>
          </w:tcPr>
          <w:p/>
        </w:tc>
        <w:tc>
          <w:tcPr>
            <w:tcW w:type="dxa" w:w="1516"/>
            <w:vMerge/>
            <w:tcBorders/>
          </w:tcPr>
          <w:p/>
        </w:tc>
        <w:tc>
          <w:tcPr>
            <w:tcW w:type="dxa" w:w="1516"/>
            <w:vMerge/>
            <w:tcBorders/>
          </w:tcPr>
          <w:p/>
        </w:tc>
        <w:tc>
          <w:tcPr>
            <w:tcW w:type="dxa" w:w="1516"/>
            <w:vMerge/>
            <w:tcBorders/>
          </w:tcPr>
          <w:p/>
        </w:tc>
      </w:tr>
      <w:tr>
        <w:trPr>
          <w:trHeight w:hRule="exact" w:val="174"/>
        </w:trPr>
        <w:tc>
          <w:tcPr>
            <w:tcW w:type="dxa" w:w="1516"/>
            <w:vMerge/>
            <w:tcBorders/>
          </w:tcPr>
          <w:p/>
        </w:tc>
        <w:tc>
          <w:tcPr>
            <w:tcW w:type="dxa" w:w="1516"/>
            <w:vMerge/>
            <w:tcBorders/>
          </w:tcPr>
          <w:p/>
        </w:tc>
        <w:tc>
          <w:tcPr>
            <w:tcW w:type="dxa" w:w="1362"/>
            <w:tcBorders/>
            <w:tcMar>
              <w:start w:w="0" w:type="dxa"/>
              <w:end w:w="0" w:type="dxa"/>
            </w:tcMar>
          </w:tcPr>
          <w:p>
            <w:pPr>
              <w:autoSpaceDN w:val="0"/>
              <w:autoSpaceDE w:val="0"/>
              <w:widowControl/>
              <w:spacing w:line="199" w:lineRule="auto" w:before="12" w:after="0"/>
              <w:ind w:left="0" w:right="0" w:firstLine="0"/>
              <w:jc w:val="right"/>
            </w:pPr>
            <w:r>
              <w:rPr>
                <w:rFonts w:ascii="Calibri" w:hAnsi="Calibri" w:eastAsia="Calibri"/>
                <w:b w:val="0"/>
                <w:i w:val="0"/>
                <w:color w:val="000000"/>
                <w:sz w:val="16"/>
              </w:rPr>
              <w:t>214,099,641</w:t>
            </w:r>
          </w:p>
        </w:tc>
        <w:tc>
          <w:tcPr>
            <w:tcW w:type="dxa" w:w="1566"/>
            <w:tcBorders/>
            <w:tcMar>
              <w:start w:w="0" w:type="dxa"/>
              <w:end w:w="0" w:type="dxa"/>
            </w:tcMar>
          </w:tcPr>
          <w:p>
            <w:pPr>
              <w:autoSpaceDN w:val="0"/>
              <w:autoSpaceDE w:val="0"/>
              <w:widowControl/>
              <w:spacing w:line="199" w:lineRule="auto" w:before="12" w:after="0"/>
              <w:ind w:left="0" w:right="0" w:firstLine="0"/>
              <w:jc w:val="right"/>
            </w:pPr>
            <w:r>
              <w:rPr>
                <w:rFonts w:ascii="Calibri" w:hAnsi="Calibri" w:eastAsia="Calibri"/>
                <w:b w:val="0"/>
                <w:i w:val="0"/>
                <w:color w:val="000000"/>
                <w:sz w:val="16"/>
              </w:rPr>
              <w:t>235,315,501</w:t>
            </w:r>
          </w:p>
        </w:tc>
        <w:tc>
          <w:tcPr>
            <w:tcW w:type="dxa" w:w="1566"/>
            <w:tcBorders/>
            <w:tcMar>
              <w:start w:w="0" w:type="dxa"/>
              <w:end w:w="0" w:type="dxa"/>
            </w:tcMar>
          </w:tcPr>
          <w:p>
            <w:pPr>
              <w:autoSpaceDN w:val="0"/>
              <w:autoSpaceDE w:val="0"/>
              <w:widowControl/>
              <w:spacing w:line="199" w:lineRule="auto" w:before="12" w:after="0"/>
              <w:ind w:left="0" w:right="0" w:firstLine="0"/>
              <w:jc w:val="right"/>
            </w:pPr>
            <w:r>
              <w:rPr>
                <w:rFonts w:ascii="Calibri" w:hAnsi="Calibri" w:eastAsia="Calibri"/>
                <w:b w:val="0"/>
                <w:i w:val="0"/>
                <w:color w:val="000000"/>
                <w:sz w:val="16"/>
              </w:rPr>
              <w:t>177,398,650</w:t>
            </w:r>
          </w:p>
        </w:tc>
        <w:tc>
          <w:tcPr>
            <w:tcW w:type="dxa" w:w="1592"/>
            <w:tcBorders/>
            <w:tcMar>
              <w:start w:w="0" w:type="dxa"/>
              <w:end w:w="0" w:type="dxa"/>
            </w:tcMar>
          </w:tcPr>
          <w:p>
            <w:pPr>
              <w:autoSpaceDN w:val="0"/>
              <w:autoSpaceDE w:val="0"/>
              <w:widowControl/>
              <w:spacing w:line="199" w:lineRule="auto" w:before="12" w:after="0"/>
              <w:ind w:left="0" w:right="0" w:firstLine="0"/>
              <w:jc w:val="right"/>
            </w:pPr>
            <w:r>
              <w:rPr>
                <w:rFonts w:ascii="Calibri" w:hAnsi="Calibri" w:eastAsia="Calibri"/>
                <w:b w:val="0"/>
                <w:i w:val="0"/>
                <w:color w:val="000000"/>
                <w:sz w:val="16"/>
              </w:rPr>
              <w:t xml:space="preserve">199,680,144 </w:t>
            </w:r>
          </w:p>
        </w:tc>
      </w:tr>
      <w:tr>
        <w:trPr>
          <w:trHeight w:hRule="exact" w:val="200"/>
        </w:trPr>
        <w:tc>
          <w:tcPr>
            <w:tcW w:type="dxa" w:w="1780"/>
            <w:tcBorders/>
            <w:tcMar>
              <w:start w:w="0" w:type="dxa"/>
              <w:end w:w="0" w:type="dxa"/>
            </w:tcMar>
          </w:tcPr>
          <w:p>
            <w:pPr>
              <w:autoSpaceDN w:val="0"/>
              <w:autoSpaceDE w:val="0"/>
              <w:widowControl/>
              <w:spacing w:line="160" w:lineRule="exact" w:before="38" w:after="0"/>
              <w:ind w:left="196" w:right="0" w:firstLine="0"/>
              <w:jc w:val="left"/>
            </w:pPr>
            <w:r>
              <w:rPr>
                <w:rFonts w:ascii="黑体" w:hAnsi="黑体" w:eastAsia="黑体"/>
                <w:b w:val="0"/>
                <w:i w:val="0"/>
                <w:color w:val="000000"/>
                <w:sz w:val="16"/>
              </w:rPr>
              <w:t>长期股权投资</w:t>
            </w:r>
          </w:p>
        </w:tc>
        <w:tc>
          <w:tcPr>
            <w:tcW w:type="dxa" w:w="1174"/>
            <w:tcBorders/>
            <w:tcMar>
              <w:start w:w="0" w:type="dxa"/>
              <w:end w:w="0" w:type="dxa"/>
            </w:tcMar>
          </w:tcPr>
          <w:p>
            <w:pPr>
              <w:autoSpaceDN w:val="0"/>
              <w:autoSpaceDE w:val="0"/>
              <w:widowControl/>
              <w:spacing w:line="178" w:lineRule="exact" w:before="22" w:after="0"/>
              <w:ind w:left="0" w:right="0" w:firstLine="0"/>
              <w:jc w:val="center"/>
            </w:pPr>
            <w:r>
              <w:rPr>
                <w:rFonts w:ascii="黑体" w:hAnsi="黑体" w:eastAsia="黑体"/>
                <w:b w:val="0"/>
                <w:i w:val="0"/>
                <w:color w:val="000000"/>
                <w:sz w:val="16"/>
              </w:rPr>
              <w:t>七</w:t>
            </w:r>
            <w:r>
              <w:rPr>
                <w:rFonts w:ascii="Calibri" w:hAnsi="Calibri" w:eastAsia="Calibri"/>
                <w:b w:val="0"/>
                <w:i w:val="0"/>
                <w:color w:val="000000"/>
                <w:sz w:val="16"/>
              </w:rPr>
              <w:t>3</w:t>
            </w:r>
            <w:r>
              <w:rPr>
                <w:rFonts w:ascii="黑体" w:hAnsi="黑体" w:eastAsia="黑体"/>
                <w:b w:val="0"/>
                <w:i w:val="0"/>
                <w:color w:val="000000"/>
                <w:sz w:val="16"/>
              </w:rPr>
              <w:t>，十八</w:t>
            </w:r>
            <w:r>
              <w:rPr>
                <w:rFonts w:ascii="Calibri" w:hAnsi="Calibri" w:eastAsia="Calibri"/>
                <w:b w:val="0"/>
                <w:i w:val="0"/>
                <w:color w:val="000000"/>
                <w:sz w:val="16"/>
              </w:rPr>
              <w:t xml:space="preserve">2 </w:t>
            </w:r>
          </w:p>
        </w:tc>
        <w:tc>
          <w:tcPr>
            <w:tcW w:type="dxa" w:w="136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389,446,061</w:t>
            </w:r>
          </w:p>
        </w:tc>
        <w:tc>
          <w:tcPr>
            <w:tcW w:type="dxa" w:w="1566"/>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324,169,206</w:t>
            </w:r>
          </w:p>
        </w:tc>
        <w:tc>
          <w:tcPr>
            <w:tcW w:type="dxa" w:w="1566"/>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6,478,519,948</w:t>
            </w:r>
          </w:p>
        </w:tc>
        <w:tc>
          <w:tcPr>
            <w:tcW w:type="dxa" w:w="159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 xml:space="preserve">6,478,519,948 </w:t>
            </w:r>
          </w:p>
        </w:tc>
      </w:tr>
      <w:tr>
        <w:trPr>
          <w:trHeight w:hRule="exact" w:val="248"/>
        </w:trPr>
        <w:tc>
          <w:tcPr>
            <w:tcW w:type="dxa" w:w="1780"/>
            <w:tcBorders/>
            <w:tcMar>
              <w:start w:w="0" w:type="dxa"/>
              <w:end w:w="0" w:type="dxa"/>
            </w:tcMar>
          </w:tcPr>
          <w:p>
            <w:pPr>
              <w:autoSpaceDN w:val="0"/>
              <w:autoSpaceDE w:val="0"/>
              <w:widowControl/>
              <w:spacing w:line="160" w:lineRule="exact" w:before="46" w:after="0"/>
              <w:ind w:left="196" w:right="0" w:firstLine="0"/>
              <w:jc w:val="left"/>
            </w:pPr>
            <w:r>
              <w:rPr>
                <w:rFonts w:ascii="黑体" w:hAnsi="黑体" w:eastAsia="黑体"/>
                <w:b w:val="0"/>
                <w:i w:val="0"/>
                <w:color w:val="000000"/>
                <w:sz w:val="16"/>
              </w:rPr>
              <w:t>固定资产</w:t>
            </w:r>
          </w:p>
        </w:tc>
        <w:tc>
          <w:tcPr>
            <w:tcW w:type="dxa" w:w="1174"/>
            <w:tcBorders/>
            <w:tcMar>
              <w:start w:w="0" w:type="dxa"/>
              <w:end w:w="0" w:type="dxa"/>
            </w:tcMar>
          </w:tcPr>
          <w:p>
            <w:pPr>
              <w:autoSpaceDN w:val="0"/>
              <w:autoSpaceDE w:val="0"/>
              <w:widowControl/>
              <w:spacing w:line="178" w:lineRule="exact" w:before="46"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12 </w:t>
            </w:r>
          </w:p>
        </w:tc>
        <w:tc>
          <w:tcPr>
            <w:tcW w:type="dxa" w:w="1362"/>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386,698,487</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386,834,025</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355,055,161</w:t>
            </w:r>
          </w:p>
        </w:tc>
        <w:tc>
          <w:tcPr>
            <w:tcW w:type="dxa" w:w="1592"/>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 xml:space="preserve">350,148,047 </w:t>
            </w:r>
          </w:p>
        </w:tc>
      </w:tr>
      <w:tr>
        <w:trPr>
          <w:trHeight w:hRule="exact" w:val="172"/>
        </w:trPr>
        <w:tc>
          <w:tcPr>
            <w:tcW w:type="dxa" w:w="1780"/>
            <w:tcBorders/>
            <w:tcMar>
              <w:start w:w="0" w:type="dxa"/>
              <w:end w:w="0" w:type="dxa"/>
            </w:tcMar>
          </w:tcPr>
          <w:p>
            <w:pPr>
              <w:autoSpaceDN w:val="0"/>
              <w:autoSpaceDE w:val="0"/>
              <w:widowControl/>
              <w:spacing w:line="162" w:lineRule="exact" w:before="4" w:after="0"/>
              <w:ind w:left="196" w:right="0" w:firstLine="0"/>
              <w:jc w:val="left"/>
            </w:pPr>
            <w:r>
              <w:rPr>
                <w:rFonts w:ascii="黑体" w:hAnsi="黑体" w:eastAsia="黑体"/>
                <w:b w:val="0"/>
                <w:i w:val="0"/>
                <w:color w:val="000000"/>
                <w:sz w:val="16"/>
              </w:rPr>
              <w:t>使用权资产</w:t>
            </w:r>
          </w:p>
        </w:tc>
        <w:tc>
          <w:tcPr>
            <w:tcW w:type="dxa" w:w="1174"/>
            <w:tcBorders/>
            <w:tcMar>
              <w:start w:w="0" w:type="dxa"/>
              <w:end w:w="0" w:type="dxa"/>
            </w:tcMar>
          </w:tcPr>
          <w:p>
            <w:pPr>
              <w:autoSpaceDN w:val="0"/>
              <w:autoSpaceDE w:val="0"/>
              <w:widowControl/>
              <w:spacing w:line="178" w:lineRule="exact" w:before="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13 </w:t>
            </w:r>
          </w:p>
        </w:tc>
        <w:tc>
          <w:tcPr>
            <w:tcW w:type="dxa" w:w="1362"/>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252,534,614</w:t>
            </w:r>
          </w:p>
        </w:tc>
        <w:tc>
          <w:tcPr>
            <w:tcW w:type="dxa" w:w="1566"/>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310,141,621</w:t>
            </w:r>
          </w:p>
        </w:tc>
        <w:tc>
          <w:tcPr>
            <w:tcW w:type="dxa" w:w="1566"/>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165,510,009</w:t>
            </w:r>
          </w:p>
        </w:tc>
        <w:tc>
          <w:tcPr>
            <w:tcW w:type="dxa" w:w="1592"/>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 xml:space="preserve">193,266,471 </w:t>
            </w:r>
          </w:p>
        </w:tc>
      </w:tr>
      <w:tr>
        <w:trPr>
          <w:trHeight w:hRule="exact" w:val="200"/>
        </w:trPr>
        <w:tc>
          <w:tcPr>
            <w:tcW w:type="dxa" w:w="1780"/>
            <w:tcBorders/>
            <w:tcMar>
              <w:start w:w="0" w:type="dxa"/>
              <w:end w:w="0" w:type="dxa"/>
            </w:tcMar>
          </w:tcPr>
          <w:p>
            <w:pPr>
              <w:autoSpaceDN w:val="0"/>
              <w:autoSpaceDE w:val="0"/>
              <w:widowControl/>
              <w:spacing w:line="162" w:lineRule="exact" w:before="38" w:after="0"/>
              <w:ind w:left="196" w:right="0" w:firstLine="0"/>
              <w:jc w:val="left"/>
            </w:pPr>
            <w:r>
              <w:rPr>
                <w:rFonts w:ascii="黑体" w:hAnsi="黑体" w:eastAsia="黑体"/>
                <w:b w:val="0"/>
                <w:i w:val="0"/>
                <w:color w:val="000000"/>
                <w:sz w:val="16"/>
              </w:rPr>
              <w:t>无形资产</w:t>
            </w:r>
          </w:p>
        </w:tc>
        <w:tc>
          <w:tcPr>
            <w:tcW w:type="dxa" w:w="1174"/>
            <w:tcBorders/>
            <w:tcMar>
              <w:start w:w="0" w:type="dxa"/>
              <w:end w:w="0" w:type="dxa"/>
            </w:tcMar>
          </w:tcPr>
          <w:p>
            <w:pPr>
              <w:autoSpaceDN w:val="0"/>
              <w:autoSpaceDE w:val="0"/>
              <w:widowControl/>
              <w:spacing w:line="180" w:lineRule="exact" w:before="2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14 </w:t>
            </w:r>
          </w:p>
        </w:tc>
        <w:tc>
          <w:tcPr>
            <w:tcW w:type="dxa" w:w="1362"/>
            <w:tcBorders/>
            <w:tcMar>
              <w:start w:w="0" w:type="dxa"/>
              <w:end w:w="0" w:type="dxa"/>
            </w:tcMar>
          </w:tcPr>
          <w:p>
            <w:pPr>
              <w:autoSpaceDN w:val="0"/>
              <w:autoSpaceDE w:val="0"/>
              <w:widowControl/>
              <w:spacing w:line="199" w:lineRule="auto" w:before="38" w:after="0"/>
              <w:ind w:left="0" w:right="0" w:firstLine="0"/>
              <w:jc w:val="right"/>
            </w:pPr>
            <w:r>
              <w:rPr>
                <w:rFonts w:ascii="Calibri" w:hAnsi="Calibri" w:eastAsia="Calibri"/>
                <w:b w:val="0"/>
                <w:i w:val="0"/>
                <w:color w:val="000000"/>
                <w:sz w:val="16"/>
              </w:rPr>
              <w:t>248,858,945</w:t>
            </w:r>
          </w:p>
        </w:tc>
        <w:tc>
          <w:tcPr>
            <w:tcW w:type="dxa" w:w="1566"/>
            <w:tcBorders/>
            <w:tcMar>
              <w:start w:w="0" w:type="dxa"/>
              <w:end w:w="0" w:type="dxa"/>
            </w:tcMar>
          </w:tcPr>
          <w:p>
            <w:pPr>
              <w:autoSpaceDN w:val="0"/>
              <w:autoSpaceDE w:val="0"/>
              <w:widowControl/>
              <w:spacing w:line="199" w:lineRule="auto" w:before="38" w:after="0"/>
              <w:ind w:left="0" w:right="0" w:firstLine="0"/>
              <w:jc w:val="right"/>
            </w:pPr>
            <w:r>
              <w:rPr>
                <w:rFonts w:ascii="Calibri" w:hAnsi="Calibri" w:eastAsia="Calibri"/>
                <w:b w:val="0"/>
                <w:i w:val="0"/>
                <w:color w:val="000000"/>
                <w:sz w:val="16"/>
              </w:rPr>
              <w:t>223,741,579</w:t>
            </w:r>
          </w:p>
        </w:tc>
        <w:tc>
          <w:tcPr>
            <w:tcW w:type="dxa" w:w="1566"/>
            <w:tcBorders/>
            <w:tcMar>
              <w:start w:w="0" w:type="dxa"/>
              <w:end w:w="0" w:type="dxa"/>
            </w:tcMar>
          </w:tcPr>
          <w:p>
            <w:pPr>
              <w:autoSpaceDN w:val="0"/>
              <w:autoSpaceDE w:val="0"/>
              <w:widowControl/>
              <w:spacing w:line="199" w:lineRule="auto" w:before="38" w:after="0"/>
              <w:ind w:left="0" w:right="0" w:firstLine="0"/>
              <w:jc w:val="right"/>
            </w:pPr>
            <w:r>
              <w:rPr>
                <w:rFonts w:ascii="Calibri" w:hAnsi="Calibri" w:eastAsia="Calibri"/>
                <w:b w:val="0"/>
                <w:i w:val="0"/>
                <w:color w:val="000000"/>
                <w:sz w:val="16"/>
              </w:rPr>
              <w:t>232,770,106</w:t>
            </w:r>
          </w:p>
        </w:tc>
        <w:tc>
          <w:tcPr>
            <w:tcW w:type="dxa" w:w="1592"/>
            <w:tcBorders/>
            <w:tcMar>
              <w:start w:w="0" w:type="dxa"/>
              <w:end w:w="0" w:type="dxa"/>
            </w:tcMar>
          </w:tcPr>
          <w:p>
            <w:pPr>
              <w:autoSpaceDN w:val="0"/>
              <w:autoSpaceDE w:val="0"/>
              <w:widowControl/>
              <w:spacing w:line="199" w:lineRule="auto" w:before="38" w:after="0"/>
              <w:ind w:left="0" w:right="0" w:firstLine="0"/>
              <w:jc w:val="right"/>
            </w:pPr>
            <w:r>
              <w:rPr>
                <w:rFonts w:ascii="Calibri" w:hAnsi="Calibri" w:eastAsia="Calibri"/>
                <w:b w:val="0"/>
                <w:i w:val="0"/>
                <w:color w:val="000000"/>
                <w:sz w:val="16"/>
              </w:rPr>
              <w:t xml:space="preserve">199,992,985 </w:t>
            </w:r>
          </w:p>
        </w:tc>
      </w:tr>
      <w:tr>
        <w:trPr>
          <w:trHeight w:hRule="exact" w:val="248"/>
        </w:trPr>
        <w:tc>
          <w:tcPr>
            <w:tcW w:type="dxa" w:w="1780"/>
            <w:tcBorders/>
            <w:tcMar>
              <w:start w:w="0" w:type="dxa"/>
              <w:end w:w="0" w:type="dxa"/>
            </w:tcMar>
          </w:tcPr>
          <w:p>
            <w:pPr>
              <w:autoSpaceDN w:val="0"/>
              <w:autoSpaceDE w:val="0"/>
              <w:widowControl/>
              <w:spacing w:line="160" w:lineRule="exact" w:before="48" w:after="0"/>
              <w:ind w:left="196" w:right="0" w:firstLine="0"/>
              <w:jc w:val="left"/>
            </w:pPr>
            <w:r>
              <w:rPr>
                <w:rFonts w:ascii="黑体" w:hAnsi="黑体" w:eastAsia="黑体"/>
                <w:b w:val="0"/>
                <w:i w:val="0"/>
                <w:color w:val="000000"/>
                <w:sz w:val="16"/>
              </w:rPr>
              <w:t>商誉</w:t>
            </w:r>
          </w:p>
        </w:tc>
        <w:tc>
          <w:tcPr>
            <w:tcW w:type="dxa" w:w="1174"/>
            <w:tcBorders/>
            <w:tcMar>
              <w:start w:w="0" w:type="dxa"/>
              <w:end w:w="0" w:type="dxa"/>
            </w:tcMar>
          </w:tcPr>
          <w:p>
            <w:pPr>
              <w:autoSpaceDN w:val="0"/>
              <w:autoSpaceDE w:val="0"/>
              <w:widowControl/>
              <w:spacing w:line="178" w:lineRule="exact" w:before="48"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15 </w:t>
            </w:r>
          </w:p>
        </w:tc>
        <w:tc>
          <w:tcPr>
            <w:tcW w:type="dxa" w:w="1362"/>
            <w:tcBorders/>
            <w:tcMar>
              <w:start w:w="0" w:type="dxa"/>
              <w:end w:w="0" w:type="dxa"/>
            </w:tcMar>
          </w:tcPr>
          <w:p>
            <w:pPr>
              <w:autoSpaceDN w:val="0"/>
              <w:autoSpaceDE w:val="0"/>
              <w:widowControl/>
              <w:spacing w:line="197" w:lineRule="auto" w:before="68" w:after="0"/>
              <w:ind w:left="0" w:right="0" w:firstLine="0"/>
              <w:jc w:val="right"/>
            </w:pPr>
            <w:r>
              <w:rPr>
                <w:rFonts w:ascii="Calibri" w:hAnsi="Calibri" w:eastAsia="Calibri"/>
                <w:b w:val="0"/>
                <w:i w:val="0"/>
                <w:color w:val="000000"/>
                <w:sz w:val="16"/>
              </w:rPr>
              <w:t>476,939,901</w:t>
            </w:r>
          </w:p>
        </w:tc>
        <w:tc>
          <w:tcPr>
            <w:tcW w:type="dxa" w:w="1566"/>
            <w:tcBorders/>
            <w:tcMar>
              <w:start w:w="0" w:type="dxa"/>
              <w:end w:w="0" w:type="dxa"/>
            </w:tcMar>
          </w:tcPr>
          <w:p>
            <w:pPr>
              <w:autoSpaceDN w:val="0"/>
              <w:autoSpaceDE w:val="0"/>
              <w:widowControl/>
              <w:spacing w:line="197" w:lineRule="auto" w:before="68" w:after="0"/>
              <w:ind w:left="0" w:right="0" w:firstLine="0"/>
              <w:jc w:val="right"/>
            </w:pPr>
            <w:r>
              <w:rPr>
                <w:rFonts w:ascii="Calibri" w:hAnsi="Calibri" w:eastAsia="Calibri"/>
                <w:b w:val="0"/>
                <w:i w:val="0"/>
                <w:color w:val="000000"/>
                <w:sz w:val="16"/>
              </w:rPr>
              <w:t>476,939,901</w:t>
            </w:r>
          </w:p>
        </w:tc>
        <w:tc>
          <w:tcPr>
            <w:tcW w:type="dxa" w:w="1566"/>
            <w:tcBorders/>
            <w:tcMar>
              <w:start w:w="0" w:type="dxa"/>
              <w:end w:w="0" w:type="dxa"/>
            </w:tcMar>
          </w:tcPr>
          <w:p>
            <w:pPr>
              <w:autoSpaceDN w:val="0"/>
              <w:autoSpaceDE w:val="0"/>
              <w:widowControl/>
              <w:spacing w:line="197" w:lineRule="auto" w:before="68" w:after="0"/>
              <w:ind w:left="0" w:right="0" w:firstLine="0"/>
              <w:jc w:val="right"/>
            </w:pPr>
            <w:r>
              <w:rPr>
                <w:rFonts w:ascii="Calibri" w:hAnsi="Calibri" w:eastAsia="Calibri"/>
                <w:b w:val="0"/>
                <w:i w:val="0"/>
                <w:color w:val="000000"/>
                <w:sz w:val="16"/>
              </w:rPr>
              <w:t>49,096,844</w:t>
            </w:r>
          </w:p>
        </w:tc>
        <w:tc>
          <w:tcPr>
            <w:tcW w:type="dxa" w:w="1592"/>
            <w:tcBorders/>
            <w:tcMar>
              <w:start w:w="0" w:type="dxa"/>
              <w:end w:w="0" w:type="dxa"/>
            </w:tcMar>
          </w:tcPr>
          <w:p>
            <w:pPr>
              <w:autoSpaceDN w:val="0"/>
              <w:autoSpaceDE w:val="0"/>
              <w:widowControl/>
              <w:spacing w:line="197" w:lineRule="auto" w:before="68" w:after="0"/>
              <w:ind w:left="0" w:right="0" w:firstLine="0"/>
              <w:jc w:val="right"/>
            </w:pPr>
            <w:r>
              <w:rPr>
                <w:rFonts w:ascii="Calibri" w:hAnsi="Calibri" w:eastAsia="Calibri"/>
                <w:b w:val="0"/>
                <w:i w:val="0"/>
                <w:color w:val="000000"/>
                <w:sz w:val="16"/>
              </w:rPr>
              <w:t xml:space="preserve">49,096,844 </w:t>
            </w:r>
          </w:p>
        </w:tc>
      </w:tr>
      <w:tr>
        <w:trPr>
          <w:trHeight w:hRule="exact" w:val="172"/>
        </w:trPr>
        <w:tc>
          <w:tcPr>
            <w:tcW w:type="dxa" w:w="1780"/>
            <w:tcBorders/>
            <w:tcMar>
              <w:start w:w="0" w:type="dxa"/>
              <w:end w:w="0" w:type="dxa"/>
            </w:tcMar>
          </w:tcPr>
          <w:p>
            <w:pPr>
              <w:autoSpaceDN w:val="0"/>
              <w:autoSpaceDE w:val="0"/>
              <w:widowControl/>
              <w:spacing w:line="160" w:lineRule="exact" w:before="6" w:after="0"/>
              <w:ind w:left="196" w:right="0" w:firstLine="0"/>
              <w:jc w:val="left"/>
            </w:pPr>
            <w:r>
              <w:rPr>
                <w:rFonts w:ascii="黑体" w:hAnsi="黑体" w:eastAsia="黑体"/>
                <w:b w:val="0"/>
                <w:i w:val="0"/>
                <w:color w:val="000000"/>
                <w:sz w:val="16"/>
              </w:rPr>
              <w:t>递延所得税资产</w:t>
            </w:r>
          </w:p>
        </w:tc>
        <w:tc>
          <w:tcPr>
            <w:tcW w:type="dxa" w:w="1174"/>
            <w:tcBorders/>
            <w:tcMar>
              <w:start w:w="0" w:type="dxa"/>
              <w:end w:w="0" w:type="dxa"/>
            </w:tcMar>
          </w:tcPr>
          <w:p>
            <w:pPr>
              <w:autoSpaceDN w:val="0"/>
              <w:autoSpaceDE w:val="0"/>
              <w:widowControl/>
              <w:spacing w:line="178" w:lineRule="exact" w:before="0"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17 </w:t>
            </w:r>
          </w:p>
        </w:tc>
        <w:tc>
          <w:tcPr>
            <w:tcW w:type="dxa" w:w="1362"/>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135,143,611</w:t>
            </w:r>
          </w:p>
        </w:tc>
        <w:tc>
          <w:tcPr>
            <w:tcW w:type="dxa" w:w="1566"/>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213,254,141</w:t>
            </w:r>
          </w:p>
        </w:tc>
        <w:tc>
          <w:tcPr>
            <w:tcW w:type="dxa" w:w="1566"/>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4,829,961</w:t>
            </w:r>
          </w:p>
        </w:tc>
        <w:tc>
          <w:tcPr>
            <w:tcW w:type="dxa" w:w="1592"/>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 xml:space="preserve">57,861,590 </w:t>
            </w:r>
          </w:p>
        </w:tc>
      </w:tr>
      <w:tr>
        <w:trPr>
          <w:trHeight w:hRule="exact" w:val="232"/>
        </w:trPr>
        <w:tc>
          <w:tcPr>
            <w:tcW w:type="dxa" w:w="1780"/>
            <w:tcBorders>
              <w:bottom w:sz="4.0" w:val="single" w:color="#000000"/>
            </w:tcBorders>
            <w:tcMar>
              <w:start w:w="0" w:type="dxa"/>
              <w:end w:w="0" w:type="dxa"/>
            </w:tcMar>
          </w:tcPr>
          <w:p>
            <w:pPr>
              <w:autoSpaceDN w:val="0"/>
              <w:autoSpaceDE w:val="0"/>
              <w:widowControl/>
              <w:spacing w:line="162" w:lineRule="exact" w:before="42" w:after="0"/>
              <w:ind w:left="196" w:right="0" w:firstLine="0"/>
              <w:jc w:val="left"/>
            </w:pPr>
            <w:r>
              <w:rPr>
                <w:rFonts w:ascii="黑体" w:hAnsi="黑体" w:eastAsia="黑体"/>
                <w:b w:val="0"/>
                <w:i w:val="0"/>
                <w:color w:val="000000"/>
                <w:sz w:val="16"/>
              </w:rPr>
              <w:t>其他资产</w:t>
            </w:r>
          </w:p>
        </w:tc>
        <w:tc>
          <w:tcPr>
            <w:tcW w:type="dxa" w:w="1174"/>
            <w:tcBorders>
              <w:bottom w:sz="4.0" w:val="single" w:color="#000000"/>
            </w:tcBorders>
            <w:tcMar>
              <w:start w:w="0" w:type="dxa"/>
              <w:end w:w="0" w:type="dxa"/>
            </w:tcMar>
          </w:tcPr>
          <w:p>
            <w:pPr>
              <w:autoSpaceDN w:val="0"/>
              <w:autoSpaceDE w:val="0"/>
              <w:widowControl/>
              <w:spacing w:line="180" w:lineRule="exact" w:before="42" w:after="0"/>
              <w:ind w:left="198" w:right="0" w:firstLine="0"/>
              <w:jc w:val="left"/>
            </w:pPr>
            <w:r>
              <w:rPr>
                <w:rFonts w:ascii="黑体" w:hAnsi="黑体" w:eastAsia="黑体"/>
                <w:b w:val="0"/>
                <w:i w:val="0"/>
                <w:color w:val="000000"/>
                <w:sz w:val="16"/>
              </w:rPr>
              <w:t>五</w:t>
            </w:r>
            <w:r>
              <w:rPr>
                <w:rFonts w:ascii="Calibri" w:hAnsi="Calibri" w:eastAsia="Calibri"/>
                <w:b w:val="0"/>
                <w:i w:val="0"/>
                <w:color w:val="000000"/>
                <w:sz w:val="16"/>
              </w:rPr>
              <w:t>16</w:t>
            </w:r>
            <w:r>
              <w:rPr>
                <w:rFonts w:ascii="黑体" w:hAnsi="黑体" w:eastAsia="黑体"/>
                <w:b w:val="0"/>
                <w:i w:val="0"/>
                <w:color w:val="000000"/>
                <w:sz w:val="16"/>
              </w:rPr>
              <w:t>，十八</w:t>
            </w:r>
            <w:r>
              <w:rPr>
                <w:rFonts w:ascii="Calibri" w:hAnsi="Calibri" w:eastAsia="Calibri"/>
                <w:b w:val="0"/>
                <w:i w:val="0"/>
                <w:color w:val="000000"/>
                <w:sz w:val="16"/>
              </w:rPr>
              <w:t xml:space="preserve">3 </w:t>
            </w:r>
          </w:p>
        </w:tc>
        <w:tc>
          <w:tcPr>
            <w:tcW w:type="dxa" w:w="1362"/>
            <w:tcBorders>
              <w:bottom w:sz="4.0" w:val="single" w:color="#000000"/>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409,420,577</w:t>
            </w:r>
          </w:p>
        </w:tc>
        <w:tc>
          <w:tcPr>
            <w:tcW w:type="dxa" w:w="1566"/>
            <w:tcBorders>
              <w:bottom w:sz="4.0" w:val="single" w:color="#000000"/>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321,830,325</w:t>
            </w:r>
          </w:p>
        </w:tc>
        <w:tc>
          <w:tcPr>
            <w:tcW w:type="dxa" w:w="1566"/>
            <w:tcBorders>
              <w:bottom w:sz="4.0" w:val="single" w:color="#000000"/>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520,247,784</w:t>
            </w:r>
          </w:p>
        </w:tc>
        <w:tc>
          <w:tcPr>
            <w:tcW w:type="dxa" w:w="1592"/>
            <w:tcBorders>
              <w:bottom w:sz="4.0" w:val="single" w:color="#000000"/>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 xml:space="preserve">735,183,954 </w:t>
            </w:r>
          </w:p>
        </w:tc>
      </w:tr>
      <w:tr>
        <w:trPr>
          <w:trHeight w:hRule="exact" w:val="416"/>
        </w:trPr>
        <w:tc>
          <w:tcPr>
            <w:tcW w:type="dxa" w:w="1780"/>
            <w:tcBorders>
              <w:top w:sz="4.0" w:val="single" w:color="#000000"/>
              <w:bottom w:sz="4.0" w:val="single" w:color="#000000"/>
            </w:tcBorders>
            <w:tcMar>
              <w:start w:w="0" w:type="dxa"/>
              <w:end w:w="0" w:type="dxa"/>
            </w:tcMar>
          </w:tcPr>
          <w:p>
            <w:pPr>
              <w:autoSpaceDN w:val="0"/>
              <w:autoSpaceDE w:val="0"/>
              <w:widowControl/>
              <w:spacing w:line="160" w:lineRule="exact" w:before="218" w:after="0"/>
              <w:ind w:left="48" w:right="0" w:firstLine="0"/>
              <w:jc w:val="left"/>
            </w:pPr>
            <w:r>
              <w:rPr>
                <w:rFonts w:ascii="黑体" w:hAnsi="黑体" w:eastAsia="黑体"/>
                <w:b w:val="0"/>
                <w:i w:val="0"/>
                <w:color w:val="000000"/>
                <w:sz w:val="16"/>
              </w:rPr>
              <w:t>资产总计</w:t>
            </w:r>
          </w:p>
        </w:tc>
        <w:tc>
          <w:tcPr>
            <w:tcW w:type="dxa" w:w="1174"/>
            <w:tcBorders>
              <w:top w:sz="4.0" w:val="single" w:color="#000000"/>
              <w:bottom w:sz="4.0" w:val="single" w:color="#000000"/>
            </w:tcBorders>
            <w:tcMar>
              <w:start w:w="0" w:type="dxa"/>
              <w:end w:w="0" w:type="dxa"/>
            </w:tcMar>
          </w:tcPr>
          <w:p/>
        </w:tc>
        <w:tc>
          <w:tcPr>
            <w:tcW w:type="dxa" w:w="1362"/>
            <w:tcBorders>
              <w:top w:sz="4.0" w:val="single" w:color="#000000"/>
              <w:bottom w:sz="4.0" w:val="single" w:color="#000000"/>
            </w:tcBorders>
            <w:tcMar>
              <w:start w:w="0" w:type="dxa"/>
              <w:end w:w="0" w:type="dxa"/>
            </w:tcMar>
          </w:tcPr>
          <w:p>
            <w:pPr>
              <w:autoSpaceDN w:val="0"/>
              <w:autoSpaceDE w:val="0"/>
              <w:widowControl/>
              <w:spacing w:line="197" w:lineRule="auto" w:before="238" w:after="0"/>
              <w:ind w:left="0" w:right="0" w:firstLine="0"/>
              <w:jc w:val="right"/>
            </w:pPr>
            <w:r>
              <w:rPr>
                <w:rFonts w:ascii="Calibri" w:hAnsi="Calibri" w:eastAsia="Calibri"/>
                <w:b w:val="0"/>
                <w:i w:val="0"/>
                <w:color w:val="000000"/>
                <w:sz w:val="16"/>
              </w:rPr>
              <w:t>80,661,344,114</w:t>
            </w:r>
          </w:p>
        </w:tc>
        <w:tc>
          <w:tcPr>
            <w:tcW w:type="dxa" w:w="1566"/>
            <w:tcBorders>
              <w:top w:sz="4.0" w:val="single" w:color="#000000"/>
              <w:bottom w:sz="4.0" w:val="single" w:color="#000000"/>
            </w:tcBorders>
            <w:tcMar>
              <w:start w:w="0" w:type="dxa"/>
              <w:end w:w="0" w:type="dxa"/>
            </w:tcMar>
          </w:tcPr>
          <w:p>
            <w:pPr>
              <w:autoSpaceDN w:val="0"/>
              <w:autoSpaceDE w:val="0"/>
              <w:widowControl/>
              <w:spacing w:line="197" w:lineRule="auto" w:before="238" w:after="0"/>
              <w:ind w:left="0" w:right="0" w:firstLine="0"/>
              <w:jc w:val="right"/>
            </w:pPr>
            <w:r>
              <w:rPr>
                <w:rFonts w:ascii="Calibri" w:hAnsi="Calibri" w:eastAsia="Calibri"/>
                <w:b w:val="0"/>
                <w:i w:val="0"/>
                <w:color w:val="000000"/>
                <w:sz w:val="16"/>
              </w:rPr>
              <w:t>77,590,229,317</w:t>
            </w:r>
          </w:p>
        </w:tc>
        <w:tc>
          <w:tcPr>
            <w:tcW w:type="dxa" w:w="1566"/>
            <w:tcBorders>
              <w:top w:sz="4.0" w:val="single" w:color="#000000"/>
              <w:bottom w:sz="4.0" w:val="single" w:color="#000000"/>
            </w:tcBorders>
            <w:tcMar>
              <w:start w:w="0" w:type="dxa"/>
              <w:end w:w="0" w:type="dxa"/>
            </w:tcMar>
          </w:tcPr>
          <w:p>
            <w:pPr>
              <w:autoSpaceDN w:val="0"/>
              <w:autoSpaceDE w:val="0"/>
              <w:widowControl/>
              <w:spacing w:line="197" w:lineRule="auto" w:before="238" w:after="0"/>
              <w:ind w:left="0" w:right="0" w:firstLine="0"/>
              <w:jc w:val="right"/>
            </w:pPr>
            <w:r>
              <w:rPr>
                <w:rFonts w:ascii="Calibri" w:hAnsi="Calibri" w:eastAsia="Calibri"/>
                <w:b w:val="0"/>
                <w:i w:val="0"/>
                <w:color w:val="000000"/>
                <w:sz w:val="16"/>
              </w:rPr>
              <w:t>73,360,044,058</w:t>
            </w:r>
          </w:p>
        </w:tc>
        <w:tc>
          <w:tcPr>
            <w:tcW w:type="dxa" w:w="1592"/>
            <w:tcBorders>
              <w:top w:sz="4.0" w:val="single" w:color="#000000"/>
              <w:bottom w:sz="4.0" w:val="single" w:color="#000000"/>
            </w:tcBorders>
            <w:tcMar>
              <w:start w:w="0" w:type="dxa"/>
              <w:end w:w="0" w:type="dxa"/>
            </w:tcMar>
          </w:tcPr>
          <w:p>
            <w:pPr>
              <w:autoSpaceDN w:val="0"/>
              <w:autoSpaceDE w:val="0"/>
              <w:widowControl/>
              <w:spacing w:line="197" w:lineRule="auto" w:before="238" w:after="0"/>
              <w:ind w:left="0" w:right="0" w:firstLine="0"/>
              <w:jc w:val="right"/>
            </w:pPr>
            <w:r>
              <w:rPr>
                <w:rFonts w:ascii="Calibri" w:hAnsi="Calibri" w:eastAsia="Calibri"/>
                <w:b w:val="0"/>
                <w:i w:val="0"/>
                <w:color w:val="000000"/>
                <w:sz w:val="16"/>
              </w:rPr>
              <w:t xml:space="preserve">70,432,562,294 </w:t>
            </w:r>
          </w:p>
        </w:tc>
      </w:tr>
      <w:tr>
        <w:trPr>
          <w:trHeight w:hRule="exact" w:val="48"/>
        </w:trPr>
        <w:tc>
          <w:tcPr>
            <w:tcW w:type="dxa" w:w="1780"/>
            <w:tcBorders>
              <w:top w:sz="4.0" w:val="single" w:color="#000000"/>
            </w:tcBorders>
            <w:tcMar>
              <w:start w:w="0" w:type="dxa"/>
              <w:end w:w="0" w:type="dxa"/>
            </w:tcMar>
          </w:tcPr>
          <w:p/>
        </w:tc>
        <w:tc>
          <w:tcPr>
            <w:tcW w:type="dxa" w:w="1174"/>
            <w:tcBorders>
              <w:top w:sz="4.0" w:val="single" w:color="#000000"/>
            </w:tcBorders>
            <w:tcMar>
              <w:start w:w="0" w:type="dxa"/>
              <w:end w:w="0" w:type="dxa"/>
            </w:tcMar>
          </w:tcPr>
          <w:p/>
        </w:tc>
        <w:tc>
          <w:tcPr>
            <w:tcW w:type="dxa" w:w="1362"/>
            <w:tcBorders>
              <w:top w:sz="4.0" w:val="single" w:color="#000000"/>
            </w:tcBorders>
            <w:tcMar>
              <w:start w:w="0" w:type="dxa"/>
              <w:end w:w="0" w:type="dxa"/>
            </w:tcMar>
          </w:tcPr>
          <w:p/>
        </w:tc>
        <w:tc>
          <w:tcPr>
            <w:tcW w:type="dxa" w:w="1566"/>
            <w:tcBorders>
              <w:top w:sz="4.0" w:val="single" w:color="#000000"/>
            </w:tcBorders>
            <w:tcMar>
              <w:start w:w="0" w:type="dxa"/>
              <w:end w:w="0" w:type="dxa"/>
            </w:tcMar>
          </w:tcPr>
          <w:p/>
        </w:tc>
        <w:tc>
          <w:tcPr>
            <w:tcW w:type="dxa" w:w="1566"/>
            <w:tcBorders>
              <w:top w:sz="4.0" w:val="single" w:color="#000000"/>
            </w:tcBorders>
            <w:tcMar>
              <w:start w:w="0" w:type="dxa"/>
              <w:end w:w="0" w:type="dxa"/>
            </w:tcMar>
          </w:tcPr>
          <w:p/>
        </w:tc>
        <w:tc>
          <w:tcPr>
            <w:tcW w:type="dxa" w:w="1592"/>
            <w:tcBorders>
              <w:top w:sz="4.0" w:val="single" w:color="#000000"/>
            </w:tcBorders>
            <w:tcMar>
              <w:start w:w="0" w:type="dxa"/>
              <w:end w:w="0" w:type="dxa"/>
            </w:tcMar>
          </w:tcPr>
          <w:p/>
        </w:tc>
      </w:tr>
    </w:tbl>
    <w:p>
      <w:pPr>
        <w:autoSpaceDN w:val="0"/>
        <w:autoSpaceDE w:val="0"/>
        <w:widowControl/>
        <w:spacing w:line="246" w:lineRule="exact" w:before="3282" w:after="1262"/>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74"/>
        <w:gridCol w:w="2274"/>
        <w:gridCol w:w="2274"/>
        <w:gridCol w:w="2274"/>
      </w:tblGrid>
      <w:tr>
        <w:trPr>
          <w:trHeight w:hRule="exact" w:val="298"/>
        </w:trPr>
        <w:tc>
          <w:tcPr>
            <w:tcW w:type="dxa" w:w="2298"/>
            <w:tcBorders>
              <w:top w:sz="6.400000000000546" w:val="single" w:color="#000000"/>
            </w:tcBorders>
            <w:tcMar>
              <w:start w:w="0" w:type="dxa"/>
              <w:end w:w="0" w:type="dxa"/>
            </w:tcMar>
          </w:tcPr>
          <w:p>
            <w:pPr>
              <w:autoSpaceDN w:val="0"/>
              <w:autoSpaceDE w:val="0"/>
              <w:widowControl/>
              <w:spacing w:line="222" w:lineRule="exact" w:before="36" w:after="0"/>
              <w:ind w:left="0" w:right="0" w:firstLine="0"/>
              <w:jc w:val="left"/>
            </w:pPr>
            <w:r>
              <w:rPr>
                <w:rFonts w:ascii="黑体" w:hAnsi="黑体" w:eastAsia="黑体"/>
                <w:b w:val="0"/>
                <w:i w:val="0"/>
                <w:color w:val="000000"/>
                <w:sz w:val="22"/>
              </w:rPr>
              <w:t>王怡里</w:t>
            </w:r>
          </w:p>
        </w:tc>
        <w:tc>
          <w:tcPr>
            <w:tcW w:type="dxa" w:w="3192"/>
            <w:tcBorders>
              <w:top w:sz="6.400000000000546" w:val="single" w:color="#000000"/>
            </w:tcBorders>
            <w:tcMar>
              <w:start w:w="0" w:type="dxa"/>
              <w:end w:w="0" w:type="dxa"/>
            </w:tcMar>
          </w:tcPr>
          <w:p>
            <w:pPr>
              <w:autoSpaceDN w:val="0"/>
              <w:autoSpaceDE w:val="0"/>
              <w:widowControl/>
              <w:spacing w:line="222" w:lineRule="exact" w:before="36" w:after="0"/>
              <w:ind w:left="224" w:right="0" w:firstLine="0"/>
              <w:jc w:val="left"/>
            </w:pPr>
            <w:r>
              <w:rPr>
                <w:rFonts w:ascii="黑体" w:hAnsi="黑体" w:eastAsia="黑体"/>
                <w:b w:val="0"/>
                <w:i w:val="0"/>
                <w:color w:val="000000"/>
                <w:sz w:val="22"/>
              </w:rPr>
              <w:t>汤建雄</w:t>
            </w:r>
          </w:p>
        </w:tc>
        <w:tc>
          <w:tcPr>
            <w:tcW w:type="dxa" w:w="2156"/>
            <w:tcBorders>
              <w:top w:sz="6.400000000000546" w:val="single" w:color="#000000"/>
            </w:tcBorders>
            <w:tcMar>
              <w:start w:w="0" w:type="dxa"/>
              <w:end w:w="0" w:type="dxa"/>
            </w:tcMar>
          </w:tcPr>
          <w:p>
            <w:pPr>
              <w:autoSpaceDN w:val="0"/>
              <w:autoSpaceDE w:val="0"/>
              <w:widowControl/>
              <w:spacing w:line="222" w:lineRule="exact" w:before="36" w:after="0"/>
              <w:ind w:left="264" w:right="0" w:firstLine="0"/>
              <w:jc w:val="left"/>
            </w:pPr>
            <w:r>
              <w:rPr>
                <w:rFonts w:ascii="黑体" w:hAnsi="黑体" w:eastAsia="黑体"/>
                <w:b w:val="0"/>
                <w:i w:val="0"/>
                <w:color w:val="000000"/>
                <w:sz w:val="22"/>
              </w:rPr>
              <w:t>张立德</w:t>
            </w:r>
          </w:p>
        </w:tc>
        <w:tc>
          <w:tcPr>
            <w:tcW w:type="dxa" w:w="1294"/>
            <w:tcBorders>
              <w:top w:sz="6.400000000000546" w:val="single" w:color="#000000"/>
            </w:tcBorders>
            <w:tcMar>
              <w:start w:w="0" w:type="dxa"/>
              <w:end w:w="0" w:type="dxa"/>
            </w:tcMar>
          </w:tcPr>
          <w:p>
            <w:pPr>
              <w:autoSpaceDN w:val="0"/>
              <w:autoSpaceDE w:val="0"/>
              <w:widowControl/>
              <w:spacing w:line="222" w:lineRule="exact" w:before="36"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32"/>
        <w:gridCol w:w="3032"/>
        <w:gridCol w:w="3032"/>
      </w:tblGrid>
      <w:tr>
        <w:trPr>
          <w:trHeight w:hRule="exact" w:val="314"/>
        </w:trPr>
        <w:tc>
          <w:tcPr>
            <w:tcW w:type="dxa" w:w="1820"/>
            <w:tcBorders/>
            <w:tcMar>
              <w:start w:w="0" w:type="dxa"/>
              <w:end w:w="0" w:type="dxa"/>
            </w:tcMar>
          </w:tcPr>
          <w:p>
            <w:pPr>
              <w:autoSpaceDN w:val="0"/>
              <w:autoSpaceDE w:val="0"/>
              <w:widowControl/>
              <w:spacing w:line="222"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2" w:lineRule="exact" w:before="32" w:after="0"/>
              <w:ind w:left="722" w:right="0" w:firstLine="0"/>
              <w:jc w:val="left"/>
            </w:pPr>
            <w:r>
              <w:rPr>
                <w:rFonts w:ascii="黑体" w:hAnsi="黑体" w:eastAsia="黑体"/>
                <w:b w:val="0"/>
                <w:i w:val="0"/>
                <w:color w:val="000000"/>
                <w:sz w:val="22"/>
              </w:rPr>
              <w:t>主管会计工作的公司负责人</w:t>
            </w:r>
          </w:p>
        </w:tc>
        <w:tc>
          <w:tcPr>
            <w:tcW w:type="dxa" w:w="2740"/>
            <w:tcBorders/>
            <w:tcMar>
              <w:start w:w="0" w:type="dxa"/>
              <w:end w:w="0" w:type="dxa"/>
            </w:tcMar>
          </w:tcPr>
          <w:p>
            <w:pPr>
              <w:autoSpaceDN w:val="0"/>
              <w:autoSpaceDE w:val="0"/>
              <w:widowControl/>
              <w:spacing w:line="222"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958"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434" w:after="0"/>
        <w:ind w:left="0" w:right="0" w:firstLine="0"/>
        <w:jc w:val="center"/>
      </w:pPr>
      <w:r>
        <w:rPr>
          <w:rFonts w:ascii="Arial" w:hAnsi="Arial" w:eastAsia="Arial"/>
          <w:b w:val="0"/>
          <w:i w:val="0"/>
          <w:color w:val="000000"/>
          <w:sz w:val="20"/>
        </w:rPr>
        <w:t xml:space="preserve">149 </w:t>
      </w:r>
    </w:p>
    <w:p>
      <w:pPr>
        <w:sectPr>
          <w:pgSz w:w="11899" w:h="16841"/>
          <w:pgMar w:top="798" w:right="1372" w:bottom="360" w:left="1432"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82" w:lineRule="exact" w:before="0" w:after="240"/>
        <w:ind w:left="0" w:right="0" w:firstLine="0"/>
        <w:jc w:val="center"/>
      </w:pPr>
      <w:r>
        <w:rPr>
          <w:rFonts w:ascii="黑体" w:hAnsi="黑体" w:eastAsia="黑体"/>
          <w:b w:val="0"/>
          <w:i w:val="0"/>
          <w:color w:val="000000"/>
          <w:sz w:val="16"/>
        </w:rPr>
        <w:t>合并及公司资产负债表（续）</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968.0000000000001" w:type="dxa"/>
      </w:tblPr>
      <w:tblGrid>
        <w:gridCol w:w="1811"/>
        <w:gridCol w:w="1811"/>
        <w:gridCol w:w="1811"/>
        <w:gridCol w:w="1811"/>
        <w:gridCol w:w="1811"/>
      </w:tblGrid>
      <w:tr>
        <w:trPr>
          <w:trHeight w:hRule="exact" w:val="250"/>
        </w:trPr>
        <w:tc>
          <w:tcPr>
            <w:tcW w:type="dxa" w:w="2010"/>
            <w:tcBorders>
              <w:bottom w:sz="4.0" w:val="single" w:color="#000000"/>
            </w:tcBorders>
            <w:tcMar>
              <w:start w:w="0" w:type="dxa"/>
              <w:end w:w="0" w:type="dxa"/>
            </w:tcMar>
          </w:tcPr>
          <w:p/>
        </w:tc>
        <w:tc>
          <w:tcPr>
            <w:tcW w:type="dxa" w:w="1730"/>
            <w:tcBorders>
              <w:bottom w:sz="4.0" w:val="single" w:color="#000000"/>
            </w:tcBorders>
            <w:tcMar>
              <w:start w:w="0" w:type="dxa"/>
              <w:end w:w="0" w:type="dxa"/>
            </w:tcMar>
          </w:tcPr>
          <w:p>
            <w:pPr>
              <w:autoSpaceDN w:val="0"/>
              <w:autoSpaceDE w:val="0"/>
              <w:widowControl/>
              <w:spacing w:line="162" w:lineRule="exact" w:before="60" w:after="0"/>
              <w:ind w:left="0" w:right="54" w:firstLine="0"/>
              <w:jc w:val="right"/>
            </w:pPr>
            <w:r>
              <w:rPr>
                <w:rFonts w:ascii="黑体" w:hAnsi="黑体" w:eastAsia="黑体"/>
                <w:b w:val="0"/>
                <w:i w:val="0"/>
                <w:color w:val="000000"/>
                <w:sz w:val="16"/>
              </w:rPr>
              <w:t>本集团</w:t>
            </w:r>
          </w:p>
        </w:tc>
        <w:tc>
          <w:tcPr>
            <w:tcW w:type="dxa" w:w="1194"/>
            <w:tcBorders>
              <w:bottom w:sz="4.0" w:val="single" w:color="#000000"/>
            </w:tcBorders>
            <w:tcMar>
              <w:start w:w="0" w:type="dxa"/>
              <w:end w:w="0" w:type="dxa"/>
            </w:tcMar>
          </w:tcPr>
          <w:p/>
        </w:tc>
        <w:tc>
          <w:tcPr>
            <w:tcW w:type="dxa" w:w="1926"/>
            <w:tcBorders>
              <w:bottom w:sz="4.0" w:val="single" w:color="#000000"/>
            </w:tcBorders>
            <w:tcMar>
              <w:start w:w="0" w:type="dxa"/>
              <w:end w:w="0" w:type="dxa"/>
            </w:tcMar>
          </w:tcPr>
          <w:p>
            <w:pPr>
              <w:autoSpaceDN w:val="0"/>
              <w:autoSpaceDE w:val="0"/>
              <w:widowControl/>
              <w:spacing w:line="162" w:lineRule="exact" w:before="60" w:after="0"/>
              <w:ind w:left="0" w:right="56" w:firstLine="0"/>
              <w:jc w:val="right"/>
            </w:pPr>
            <w:r>
              <w:rPr>
                <w:rFonts w:ascii="黑体" w:hAnsi="黑体" w:eastAsia="黑体"/>
                <w:b w:val="0"/>
                <w:i w:val="0"/>
                <w:color w:val="000000"/>
                <w:sz w:val="16"/>
              </w:rPr>
              <w:t>本公司</w:t>
            </w:r>
          </w:p>
        </w:tc>
        <w:tc>
          <w:tcPr>
            <w:tcW w:type="dxa" w:w="1204"/>
            <w:tcBorders>
              <w:bottom w:sz="4.0" w:val="single" w:color="#000000"/>
            </w:tcBorders>
            <w:tcMar>
              <w:start w:w="0" w:type="dxa"/>
              <w:end w:w="0" w:type="dxa"/>
            </w:tcMar>
          </w:tcPr>
          <w:p/>
        </w:tc>
      </w:tr>
      <w:tr>
        <w:trPr>
          <w:trHeight w:hRule="exact" w:val="220"/>
        </w:trPr>
        <w:tc>
          <w:tcPr>
            <w:tcW w:type="dxa" w:w="2010"/>
            <w:tcBorders>
              <w:top w:sz="4.0" w:val="single" w:color="#000000"/>
            </w:tcBorders>
            <w:tcMar>
              <w:start w:w="0" w:type="dxa"/>
              <w:end w:w="0" w:type="dxa"/>
            </w:tcMar>
          </w:tcPr>
          <w:p>
            <w:pPr>
              <w:autoSpaceDN w:val="0"/>
              <w:autoSpaceDE w:val="0"/>
              <w:widowControl/>
              <w:spacing w:line="162" w:lineRule="exact" w:before="24" w:after="0"/>
              <w:ind w:left="0" w:right="700" w:firstLine="0"/>
              <w:jc w:val="right"/>
            </w:pPr>
            <w:r>
              <w:rPr>
                <w:rFonts w:ascii="黑体" w:hAnsi="黑体" w:eastAsia="黑体"/>
                <w:b w:val="0"/>
                <w:i w:val="0"/>
                <w:color w:val="000000"/>
                <w:sz w:val="16"/>
              </w:rPr>
              <w:t>附注</w:t>
            </w:r>
          </w:p>
        </w:tc>
        <w:tc>
          <w:tcPr>
            <w:tcW w:type="dxa" w:w="1730"/>
            <w:tcBorders>
              <w:top w:sz="4.0" w:val="single" w:color="#000000"/>
            </w:tcBorders>
            <w:tcMar>
              <w:start w:w="0" w:type="dxa"/>
              <w:end w:w="0" w:type="dxa"/>
            </w:tcMar>
          </w:tcPr>
          <w:p>
            <w:pPr>
              <w:autoSpaceDN w:val="0"/>
              <w:autoSpaceDE w:val="0"/>
              <w:widowControl/>
              <w:spacing w:line="178" w:lineRule="exact" w:before="24" w:after="0"/>
              <w:ind w:left="230" w:right="0" w:firstLine="0"/>
              <w:jc w:val="left"/>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194"/>
            <w:tcBorders>
              <w:top w:sz="4.0" w:val="single" w:color="#000000"/>
            </w:tcBorders>
            <w:tcMar>
              <w:start w:w="0" w:type="dxa"/>
              <w:end w:w="0" w:type="dxa"/>
            </w:tcMar>
          </w:tcPr>
          <w:p>
            <w:pPr>
              <w:autoSpaceDN w:val="0"/>
              <w:autoSpaceDE w:val="0"/>
              <w:widowControl/>
              <w:spacing w:line="178" w:lineRule="exact" w:before="24" w:after="0"/>
              <w:ind w:left="0" w:right="0" w:firstLine="0"/>
              <w:jc w:val="center"/>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926"/>
            <w:tcBorders>
              <w:top w:sz="4.0" w:val="single" w:color="#000000"/>
            </w:tcBorders>
            <w:tcMar>
              <w:start w:w="0" w:type="dxa"/>
              <w:end w:w="0" w:type="dxa"/>
            </w:tcMar>
          </w:tcPr>
          <w:p>
            <w:pPr>
              <w:autoSpaceDN w:val="0"/>
              <w:autoSpaceDE w:val="0"/>
              <w:widowControl/>
              <w:spacing w:line="178" w:lineRule="exact" w:before="24" w:after="0"/>
              <w:ind w:left="0" w:right="0" w:firstLine="0"/>
              <w:jc w:val="center"/>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204"/>
            <w:tcBorders>
              <w:top w:sz="4.0" w:val="single" w:color="#000000"/>
            </w:tcBorders>
            <w:tcMar>
              <w:start w:w="0" w:type="dxa"/>
              <w:end w:w="0" w:type="dxa"/>
            </w:tcMar>
          </w:tcPr>
          <w:p>
            <w:pPr>
              <w:autoSpaceDN w:val="0"/>
              <w:autoSpaceDE w:val="0"/>
              <w:widowControl/>
              <w:spacing w:line="178" w:lineRule="exact" w:before="24" w:after="0"/>
              <w:ind w:left="0" w:right="0" w:firstLine="0"/>
              <w:jc w:val="center"/>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r>
    </w:tbl>
    <w:p>
      <w:pPr>
        <w:autoSpaceDN w:val="0"/>
        <w:autoSpaceDE w:val="0"/>
        <w:widowControl/>
        <w:spacing w:line="160" w:lineRule="exact" w:before="16" w:after="0"/>
        <w:ind w:left="8" w:right="0" w:firstLine="0"/>
        <w:jc w:val="left"/>
      </w:pPr>
      <w:r>
        <w:rPr>
          <w:rFonts w:ascii="黑体" w:hAnsi="黑体" w:eastAsia="黑体"/>
          <w:b w:val="0"/>
          <w:i w:val="0"/>
          <w:color w:val="000000"/>
          <w:sz w:val="16"/>
        </w:rPr>
        <w:t>负债及股东权益</w:t>
      </w:r>
    </w:p>
    <w:p>
      <w:pPr>
        <w:autoSpaceDN w:val="0"/>
        <w:autoSpaceDE w:val="0"/>
        <w:widowControl/>
        <w:spacing w:line="162" w:lineRule="exact" w:before="242" w:after="24"/>
        <w:ind w:left="6" w:right="0" w:firstLine="0"/>
        <w:jc w:val="left"/>
      </w:pPr>
      <w:r>
        <w:rPr>
          <w:rFonts w:ascii="黑体" w:hAnsi="黑体" w:eastAsia="黑体"/>
          <w:b w:val="0"/>
          <w:i w:val="0"/>
          <w:color w:val="000000"/>
          <w:sz w:val="16"/>
        </w:rPr>
        <w:t>负债</w:t>
      </w:r>
    </w:p>
    <w:tbl>
      <w:tblPr>
        <w:tblW w:type="auto" w:w="0"/>
        <w:tblLayout w:type="fixed"/>
        <w:tblLook w:firstColumn="1" w:firstRow="1" w:lastColumn="0" w:lastRow="0" w:noHBand="0" w:noVBand="1" w:val="04A0"/>
        <w:tblInd w:w="-11.999999999999886" w:type="dxa"/>
      </w:tblPr>
      <w:tblGrid>
        <w:gridCol w:w="1509"/>
        <w:gridCol w:w="1509"/>
        <w:gridCol w:w="1509"/>
        <w:gridCol w:w="1509"/>
        <w:gridCol w:w="1509"/>
        <w:gridCol w:w="1509"/>
      </w:tblGrid>
      <w:tr>
        <w:trPr>
          <w:trHeight w:hRule="exact" w:val="226"/>
        </w:trPr>
        <w:tc>
          <w:tcPr>
            <w:tcW w:type="dxa" w:w="1780"/>
            <w:tcBorders/>
            <w:tcMar>
              <w:start w:w="0" w:type="dxa"/>
              <w:end w:w="0" w:type="dxa"/>
            </w:tcMar>
          </w:tcPr>
          <w:p>
            <w:pPr>
              <w:autoSpaceDN w:val="0"/>
              <w:autoSpaceDE w:val="0"/>
              <w:widowControl/>
              <w:spacing w:line="160" w:lineRule="exact" w:before="24" w:after="0"/>
              <w:ind w:left="166" w:right="0" w:firstLine="0"/>
              <w:jc w:val="left"/>
            </w:pPr>
            <w:r>
              <w:rPr>
                <w:rFonts w:ascii="黑体" w:hAnsi="黑体" w:eastAsia="黑体"/>
                <w:b w:val="0"/>
                <w:i w:val="0"/>
                <w:color w:val="000000"/>
                <w:sz w:val="16"/>
              </w:rPr>
              <w:t>短期借款</w:t>
            </w:r>
          </w:p>
        </w:tc>
        <w:tc>
          <w:tcPr>
            <w:tcW w:type="dxa" w:w="1210"/>
            <w:tcBorders/>
            <w:tcMar>
              <w:start w:w="0" w:type="dxa"/>
              <w:end w:w="0" w:type="dxa"/>
            </w:tcMar>
          </w:tcPr>
          <w:p>
            <w:pPr>
              <w:autoSpaceDN w:val="0"/>
              <w:autoSpaceDE w:val="0"/>
              <w:widowControl/>
              <w:spacing w:line="178" w:lineRule="exact" w:before="24"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20 </w:t>
            </w:r>
          </w:p>
        </w:tc>
        <w:tc>
          <w:tcPr>
            <w:tcW w:type="dxa" w:w="1358"/>
            <w:tcBorders/>
            <w:tcMar>
              <w:start w:w="0" w:type="dxa"/>
              <w:end w:w="0" w:type="dxa"/>
            </w:tcMar>
          </w:tcPr>
          <w:p>
            <w:pPr>
              <w:autoSpaceDN w:val="0"/>
              <w:autoSpaceDE w:val="0"/>
              <w:widowControl/>
              <w:spacing w:line="197" w:lineRule="auto" w:before="44" w:after="0"/>
              <w:ind w:left="0" w:right="0" w:firstLine="0"/>
              <w:jc w:val="right"/>
            </w:pPr>
            <w:r>
              <w:rPr>
                <w:rFonts w:ascii="Calibri" w:hAnsi="Calibri" w:eastAsia="Calibri"/>
                <w:b w:val="0"/>
                <w:i w:val="0"/>
                <w:color w:val="000000"/>
                <w:sz w:val="16"/>
              </w:rPr>
              <w:t>129,792,354</w:t>
            </w:r>
          </w:p>
        </w:tc>
        <w:tc>
          <w:tcPr>
            <w:tcW w:type="dxa" w:w="1566"/>
            <w:tcBorders/>
            <w:tcMar>
              <w:start w:w="0" w:type="dxa"/>
              <w:end w:w="0" w:type="dxa"/>
            </w:tcMar>
          </w:tcPr>
          <w:p>
            <w:pPr>
              <w:autoSpaceDN w:val="0"/>
              <w:autoSpaceDE w:val="0"/>
              <w:widowControl/>
              <w:spacing w:line="197" w:lineRule="auto" w:before="44" w:after="0"/>
              <w:ind w:left="0" w:right="0" w:firstLine="0"/>
              <w:jc w:val="right"/>
            </w:pPr>
            <w:r>
              <w:rPr>
                <w:rFonts w:ascii="Calibri" w:hAnsi="Calibri" w:eastAsia="Calibri"/>
                <w:b w:val="0"/>
                <w:i w:val="0"/>
                <w:color w:val="000000"/>
                <w:sz w:val="16"/>
              </w:rPr>
              <w:t>137,317,148</w:t>
            </w:r>
          </w:p>
        </w:tc>
        <w:tc>
          <w:tcPr>
            <w:tcW w:type="dxa" w:w="1564"/>
            <w:tcBorders/>
            <w:tcMar>
              <w:start w:w="0" w:type="dxa"/>
              <w:end w:w="0" w:type="dxa"/>
            </w:tcMar>
          </w:tcPr>
          <w:p>
            <w:pPr>
              <w:autoSpaceDN w:val="0"/>
              <w:autoSpaceDE w:val="0"/>
              <w:widowControl/>
              <w:spacing w:line="197" w:lineRule="auto" w:before="44" w:after="0"/>
              <w:ind w:left="0" w:right="0" w:firstLine="0"/>
              <w:jc w:val="right"/>
            </w:pPr>
            <w:r>
              <w:rPr>
                <w:rFonts w:ascii="Calibri" w:hAnsi="Calibri" w:eastAsia="Calibri"/>
                <w:b w:val="0"/>
                <w:i w:val="0"/>
                <w:color w:val="000000"/>
                <w:sz w:val="16"/>
              </w:rPr>
              <w:t>-</w:t>
            </w:r>
          </w:p>
        </w:tc>
        <w:tc>
          <w:tcPr>
            <w:tcW w:type="dxa" w:w="1566"/>
            <w:tcBorders/>
            <w:tcMar>
              <w:start w:w="0" w:type="dxa"/>
              <w:end w:w="0" w:type="dxa"/>
            </w:tcMar>
          </w:tcPr>
          <w:p>
            <w:pPr>
              <w:autoSpaceDN w:val="0"/>
              <w:autoSpaceDE w:val="0"/>
              <w:widowControl/>
              <w:spacing w:line="197" w:lineRule="auto" w:before="44" w:after="0"/>
              <w:ind w:left="0" w:right="0" w:firstLine="0"/>
              <w:jc w:val="right"/>
            </w:pPr>
            <w:r>
              <w:rPr>
                <w:rFonts w:ascii="Calibri" w:hAnsi="Calibri" w:eastAsia="Calibri"/>
                <w:b w:val="0"/>
                <w:i w:val="0"/>
                <w:color w:val="000000"/>
                <w:sz w:val="16"/>
              </w:rPr>
              <w:t>-</w:t>
            </w:r>
          </w:p>
        </w:tc>
      </w:tr>
      <w:tr>
        <w:trPr>
          <w:trHeight w:hRule="exact" w:val="170"/>
        </w:trPr>
        <w:tc>
          <w:tcPr>
            <w:tcW w:type="dxa" w:w="1780"/>
            <w:tcBorders/>
            <w:tcMar>
              <w:start w:w="0" w:type="dxa"/>
              <w:end w:w="0" w:type="dxa"/>
            </w:tcMar>
          </w:tcPr>
          <w:p>
            <w:pPr>
              <w:autoSpaceDN w:val="0"/>
              <w:autoSpaceDE w:val="0"/>
              <w:widowControl/>
              <w:spacing w:line="160" w:lineRule="exact" w:before="4" w:after="0"/>
              <w:ind w:left="166" w:right="0" w:firstLine="0"/>
              <w:jc w:val="left"/>
            </w:pPr>
            <w:r>
              <w:rPr>
                <w:rFonts w:ascii="黑体" w:hAnsi="黑体" w:eastAsia="黑体"/>
                <w:b w:val="0"/>
                <w:i w:val="0"/>
                <w:color w:val="000000"/>
                <w:sz w:val="16"/>
              </w:rPr>
              <w:t>应付短期融资款</w:t>
            </w:r>
          </w:p>
        </w:tc>
        <w:tc>
          <w:tcPr>
            <w:tcW w:type="dxa" w:w="1210"/>
            <w:tcBorders/>
            <w:tcMar>
              <w:start w:w="0" w:type="dxa"/>
              <w:end w:w="0" w:type="dxa"/>
            </w:tcMar>
          </w:tcPr>
          <w:p>
            <w:pPr>
              <w:autoSpaceDN w:val="0"/>
              <w:autoSpaceDE w:val="0"/>
              <w:widowControl/>
              <w:spacing w:line="178" w:lineRule="exact" w:before="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21 </w:t>
            </w:r>
          </w:p>
        </w:tc>
        <w:tc>
          <w:tcPr>
            <w:tcW w:type="dxa" w:w="1358"/>
            <w:tcBorders/>
            <w:tcMar>
              <w:start w:w="0" w:type="dxa"/>
              <w:end w:w="0" w:type="dxa"/>
            </w:tcMar>
          </w:tcPr>
          <w:p>
            <w:pPr>
              <w:autoSpaceDN w:val="0"/>
              <w:autoSpaceDE w:val="0"/>
              <w:widowControl/>
              <w:spacing w:line="197" w:lineRule="auto" w:before="10" w:after="0"/>
              <w:ind w:left="0" w:right="0" w:firstLine="0"/>
              <w:jc w:val="right"/>
            </w:pPr>
            <w:r>
              <w:rPr>
                <w:rFonts w:ascii="Calibri" w:hAnsi="Calibri" w:eastAsia="Calibri"/>
                <w:b w:val="0"/>
                <w:i w:val="0"/>
                <w:color w:val="000000"/>
                <w:sz w:val="16"/>
              </w:rPr>
              <w:t>36,140,651</w:t>
            </w:r>
          </w:p>
        </w:tc>
        <w:tc>
          <w:tcPr>
            <w:tcW w:type="dxa" w:w="1566"/>
            <w:tcBorders/>
            <w:tcMar>
              <w:start w:w="0" w:type="dxa"/>
              <w:end w:w="0" w:type="dxa"/>
            </w:tcMar>
          </w:tcPr>
          <w:p>
            <w:pPr>
              <w:autoSpaceDN w:val="0"/>
              <w:autoSpaceDE w:val="0"/>
              <w:widowControl/>
              <w:spacing w:line="197" w:lineRule="auto" w:before="10" w:after="0"/>
              <w:ind w:left="0" w:right="0" w:firstLine="0"/>
              <w:jc w:val="right"/>
            </w:pPr>
            <w:r>
              <w:rPr>
                <w:rFonts w:ascii="Calibri" w:hAnsi="Calibri" w:eastAsia="Calibri"/>
                <w:b w:val="0"/>
                <w:i w:val="0"/>
                <w:color w:val="000000"/>
                <w:sz w:val="16"/>
              </w:rPr>
              <w:t>872,573,450</w:t>
            </w:r>
          </w:p>
        </w:tc>
        <w:tc>
          <w:tcPr>
            <w:tcW w:type="dxa" w:w="1564"/>
            <w:tcBorders/>
            <w:tcMar>
              <w:start w:w="0" w:type="dxa"/>
              <w:end w:w="0" w:type="dxa"/>
            </w:tcMar>
          </w:tcPr>
          <w:p>
            <w:pPr>
              <w:autoSpaceDN w:val="0"/>
              <w:autoSpaceDE w:val="0"/>
              <w:widowControl/>
              <w:spacing w:line="197" w:lineRule="auto" w:before="10" w:after="0"/>
              <w:ind w:left="0" w:right="0" w:firstLine="0"/>
              <w:jc w:val="right"/>
            </w:pPr>
            <w:r>
              <w:rPr>
                <w:rFonts w:ascii="Calibri" w:hAnsi="Calibri" w:eastAsia="Calibri"/>
                <w:b w:val="0"/>
                <w:i w:val="0"/>
                <w:color w:val="000000"/>
                <w:sz w:val="16"/>
              </w:rPr>
              <w:t>-</w:t>
            </w:r>
          </w:p>
        </w:tc>
        <w:tc>
          <w:tcPr>
            <w:tcW w:type="dxa" w:w="1566"/>
            <w:tcBorders/>
            <w:tcMar>
              <w:start w:w="0" w:type="dxa"/>
              <w:end w:w="0" w:type="dxa"/>
            </w:tcMar>
          </w:tcPr>
          <w:p>
            <w:pPr>
              <w:autoSpaceDN w:val="0"/>
              <w:autoSpaceDE w:val="0"/>
              <w:widowControl/>
              <w:spacing w:line="197" w:lineRule="auto" w:before="10" w:after="0"/>
              <w:ind w:left="0" w:right="0" w:firstLine="0"/>
              <w:jc w:val="right"/>
            </w:pPr>
            <w:r>
              <w:rPr>
                <w:rFonts w:ascii="Calibri" w:hAnsi="Calibri" w:eastAsia="Calibri"/>
                <w:b w:val="0"/>
                <w:i w:val="0"/>
                <w:color w:val="000000"/>
                <w:sz w:val="16"/>
              </w:rPr>
              <w:t>837,208,563</w:t>
            </w:r>
          </w:p>
        </w:tc>
      </w:tr>
      <w:tr>
        <w:trPr>
          <w:trHeight w:hRule="exact" w:val="200"/>
        </w:trPr>
        <w:tc>
          <w:tcPr>
            <w:tcW w:type="dxa" w:w="1780"/>
            <w:tcBorders/>
            <w:tcMar>
              <w:start w:w="0" w:type="dxa"/>
              <w:end w:w="0" w:type="dxa"/>
            </w:tcMar>
          </w:tcPr>
          <w:p>
            <w:pPr>
              <w:autoSpaceDN w:val="0"/>
              <w:autoSpaceDE w:val="0"/>
              <w:widowControl/>
              <w:spacing w:line="162" w:lineRule="exact" w:before="38" w:after="0"/>
              <w:ind w:left="166" w:right="0" w:firstLine="0"/>
              <w:jc w:val="left"/>
            </w:pPr>
            <w:r>
              <w:rPr>
                <w:rFonts w:ascii="黑体" w:hAnsi="黑体" w:eastAsia="黑体"/>
                <w:b w:val="0"/>
                <w:i w:val="0"/>
                <w:color w:val="000000"/>
                <w:sz w:val="16"/>
              </w:rPr>
              <w:t>拆入资金</w:t>
            </w:r>
          </w:p>
        </w:tc>
        <w:tc>
          <w:tcPr>
            <w:tcW w:type="dxa" w:w="1210"/>
            <w:tcBorders/>
            <w:tcMar>
              <w:start w:w="0" w:type="dxa"/>
              <w:end w:w="0" w:type="dxa"/>
            </w:tcMar>
          </w:tcPr>
          <w:p>
            <w:pPr>
              <w:autoSpaceDN w:val="0"/>
              <w:autoSpaceDE w:val="0"/>
              <w:widowControl/>
              <w:spacing w:line="178" w:lineRule="exact" w:before="22"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22 </w:t>
            </w:r>
          </w:p>
        </w:tc>
        <w:tc>
          <w:tcPr>
            <w:tcW w:type="dxa" w:w="1358"/>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10,333,096,752</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12,793,602,454</w:t>
            </w:r>
          </w:p>
        </w:tc>
        <w:tc>
          <w:tcPr>
            <w:tcW w:type="dxa" w:w="1564"/>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10,333,096,752</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12,793,602,454</w:t>
            </w:r>
          </w:p>
        </w:tc>
      </w:tr>
      <w:tr>
        <w:trPr>
          <w:trHeight w:hRule="exact" w:val="44"/>
        </w:trPr>
        <w:tc>
          <w:tcPr>
            <w:tcW w:type="dxa" w:w="1780"/>
            <w:vMerge w:val="restart"/>
            <w:tcBorders/>
            <w:tcMar>
              <w:start w:w="0" w:type="dxa"/>
              <w:end w:w="0" w:type="dxa"/>
            </w:tcMar>
            <w:tcMar>
              <w:start w:w="0" w:type="dxa"/>
              <w:end w:w="0" w:type="dxa"/>
            </w:tcMar>
          </w:tcPr>
          <w:p>
            <w:pPr>
              <w:autoSpaceDN w:val="0"/>
              <w:autoSpaceDE w:val="0"/>
              <w:widowControl/>
              <w:spacing w:line="162" w:lineRule="exact" w:before="38" w:after="0"/>
              <w:ind w:left="166" w:right="0" w:firstLine="0"/>
              <w:jc w:val="left"/>
            </w:pPr>
            <w:r>
              <w:rPr>
                <w:rFonts w:ascii="黑体" w:hAnsi="黑体" w:eastAsia="黑体"/>
                <w:b w:val="0"/>
                <w:i w:val="0"/>
                <w:color w:val="000000"/>
                <w:sz w:val="16"/>
              </w:rPr>
              <w:t>交易性金融负债</w:t>
            </w:r>
          </w:p>
        </w:tc>
        <w:tc>
          <w:tcPr>
            <w:tcW w:type="dxa" w:w="1210"/>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48"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23 </w:t>
            </w:r>
          </w:p>
        </w:tc>
        <w:tc>
          <w:tcPr>
            <w:tcW w:type="dxa" w:w="1509"/>
            <w:vMerge/>
            <w:tcBorders/>
          </w:tcPr>
          <w:p/>
        </w:tc>
        <w:tc>
          <w:tcPr>
            <w:tcW w:type="dxa" w:w="1509"/>
            <w:vMerge/>
            <w:tcBorders/>
          </w:tcPr>
          <w:p/>
        </w:tc>
        <w:tc>
          <w:tcPr>
            <w:tcW w:type="dxa" w:w="1509"/>
            <w:vMerge/>
            <w:tcBorders/>
          </w:tcPr>
          <w:p/>
        </w:tc>
        <w:tc>
          <w:tcPr>
            <w:tcW w:type="dxa" w:w="1509"/>
            <w:vMerge/>
            <w:tcBorders/>
          </w:tcPr>
          <w:p/>
        </w:tc>
      </w:tr>
      <w:tr>
        <w:trPr>
          <w:trHeight w:hRule="exact" w:val="156"/>
        </w:trPr>
        <w:tc>
          <w:tcPr>
            <w:tcW w:type="dxa" w:w="1509"/>
            <w:vMerge/>
            <w:tcBorders/>
          </w:tcPr>
          <w:p/>
        </w:tc>
        <w:tc>
          <w:tcPr>
            <w:tcW w:type="dxa" w:w="1509"/>
            <w:vMerge/>
            <w:tcBorders/>
          </w:tcPr>
          <w:p/>
        </w:tc>
        <w:tc>
          <w:tcPr>
            <w:tcW w:type="dxa" w:w="1358"/>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3,369,245,850</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1,512,007,369</w:t>
            </w:r>
          </w:p>
        </w:tc>
        <w:tc>
          <w:tcPr>
            <w:tcW w:type="dxa" w:w="1564"/>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3,369,245,850</w:t>
            </w:r>
          </w:p>
        </w:tc>
        <w:tc>
          <w:tcPr>
            <w:tcW w:type="dxa" w:w="1566"/>
            <w:vMerge w:val="restart"/>
            <w:tcBorders/>
            <w:tcMar>
              <w:start w:w="0" w:type="dxa"/>
              <w:end w:w="0" w:type="dxa"/>
            </w:tcMar>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1,512,007,369</w:t>
            </w:r>
          </w:p>
        </w:tc>
      </w:tr>
      <w:tr>
        <w:trPr>
          <w:trHeight w:hRule="exact" w:val="53"/>
        </w:trPr>
        <w:tc>
          <w:tcPr>
            <w:tcW w:type="dxa" w:w="1780"/>
            <w:vMerge w:val="restart"/>
            <w:tcBorders/>
            <w:tcMar>
              <w:start w:w="0" w:type="dxa"/>
              <w:end w:w="0" w:type="dxa"/>
            </w:tcMar>
            <w:tcMar>
              <w:start w:w="0" w:type="dxa"/>
              <w:end w:w="0" w:type="dxa"/>
            </w:tcMar>
          </w:tcPr>
          <w:p>
            <w:pPr>
              <w:autoSpaceDN w:val="0"/>
              <w:autoSpaceDE w:val="0"/>
              <w:widowControl/>
              <w:spacing w:line="160" w:lineRule="exact" w:before="58" w:after="0"/>
              <w:ind w:left="166" w:right="0" w:firstLine="0"/>
              <w:jc w:val="left"/>
            </w:pPr>
            <w:r>
              <w:rPr>
                <w:rFonts w:ascii="黑体" w:hAnsi="黑体" w:eastAsia="黑体"/>
                <w:b w:val="0"/>
                <w:i w:val="0"/>
                <w:color w:val="000000"/>
                <w:sz w:val="16"/>
              </w:rPr>
              <w:t>衍生金融负债</w:t>
            </w:r>
          </w:p>
        </w:tc>
        <w:tc>
          <w:tcPr>
            <w:tcW w:type="dxa" w:w="1509"/>
            <w:vMerge/>
            <w:tcBorders/>
          </w:tcPr>
          <w:p/>
        </w:tc>
        <w:tc>
          <w:tcPr>
            <w:tcW w:type="dxa" w:w="1509"/>
            <w:vMerge/>
            <w:tcBorders/>
          </w:tcPr>
          <w:p/>
        </w:tc>
        <w:tc>
          <w:tcPr>
            <w:tcW w:type="dxa" w:w="1509"/>
            <w:vMerge/>
            <w:tcBorders/>
          </w:tcPr>
          <w:p/>
        </w:tc>
        <w:tc>
          <w:tcPr>
            <w:tcW w:type="dxa" w:w="1509"/>
            <w:vMerge/>
            <w:tcBorders/>
          </w:tcPr>
          <w:p/>
        </w:tc>
        <w:tc>
          <w:tcPr>
            <w:tcW w:type="dxa" w:w="1509"/>
            <w:vMerge/>
            <w:tcBorders/>
          </w:tcPr>
          <w:p/>
        </w:tc>
      </w:tr>
      <w:tr>
        <w:trPr>
          <w:trHeight w:hRule="exact" w:val="167"/>
        </w:trPr>
        <w:tc>
          <w:tcPr>
            <w:tcW w:type="dxa" w:w="1509"/>
            <w:vMerge/>
            <w:tcBorders/>
          </w:tcPr>
          <w:p/>
        </w:tc>
        <w:tc>
          <w:tcPr>
            <w:tcW w:type="dxa" w:w="1210"/>
            <w:tcBorders/>
            <w:tcMar>
              <w:start w:w="0" w:type="dxa"/>
              <w:end w:w="0" w:type="dxa"/>
            </w:tcMar>
          </w:tcPr>
          <w:p>
            <w:pPr>
              <w:autoSpaceDN w:val="0"/>
              <w:autoSpaceDE w:val="0"/>
              <w:widowControl/>
              <w:spacing w:line="178" w:lineRule="exact" w:before="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4 </w:t>
            </w:r>
          </w:p>
        </w:tc>
        <w:tc>
          <w:tcPr>
            <w:tcW w:type="dxa" w:w="1358"/>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86,426,912</w:t>
            </w:r>
          </w:p>
        </w:tc>
        <w:tc>
          <w:tcPr>
            <w:tcW w:type="dxa" w:w="1566"/>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131,465,972</w:t>
            </w:r>
          </w:p>
        </w:tc>
        <w:tc>
          <w:tcPr>
            <w:tcW w:type="dxa" w:w="1564"/>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80,519,961</w:t>
            </w:r>
          </w:p>
        </w:tc>
        <w:tc>
          <w:tcPr>
            <w:tcW w:type="dxa" w:w="1566"/>
            <w:tcBorders/>
            <w:tcMar>
              <w:start w:w="0" w:type="dxa"/>
              <w:end w:w="0" w:type="dxa"/>
            </w:tcMar>
          </w:tcPr>
          <w:p>
            <w:pPr>
              <w:autoSpaceDN w:val="0"/>
              <w:autoSpaceDE w:val="0"/>
              <w:widowControl/>
              <w:spacing w:line="197" w:lineRule="auto" w:before="6" w:after="0"/>
              <w:ind w:left="0" w:right="0" w:firstLine="0"/>
              <w:jc w:val="right"/>
            </w:pPr>
            <w:r>
              <w:rPr>
                <w:rFonts w:ascii="Calibri" w:hAnsi="Calibri" w:eastAsia="Calibri"/>
                <w:b w:val="0"/>
                <w:i w:val="0"/>
                <w:color w:val="000000"/>
                <w:sz w:val="16"/>
              </w:rPr>
              <w:t>71,950,030</w:t>
            </w:r>
          </w:p>
        </w:tc>
      </w:tr>
      <w:tr>
        <w:trPr>
          <w:trHeight w:hRule="exact" w:val="246"/>
        </w:trPr>
        <w:tc>
          <w:tcPr>
            <w:tcW w:type="dxa" w:w="1780"/>
            <w:tcBorders/>
            <w:tcMar>
              <w:start w:w="0" w:type="dxa"/>
              <w:end w:w="0" w:type="dxa"/>
            </w:tcMar>
          </w:tcPr>
          <w:p>
            <w:pPr>
              <w:autoSpaceDN w:val="0"/>
              <w:autoSpaceDE w:val="0"/>
              <w:widowControl/>
              <w:spacing w:line="160" w:lineRule="exact" w:before="44" w:after="0"/>
              <w:ind w:left="0" w:right="0" w:firstLine="0"/>
              <w:jc w:val="center"/>
            </w:pPr>
            <w:r>
              <w:rPr>
                <w:rFonts w:ascii="黑体" w:hAnsi="黑体" w:eastAsia="黑体"/>
                <w:b w:val="0"/>
                <w:i w:val="0"/>
                <w:color w:val="000000"/>
                <w:sz w:val="16"/>
              </w:rPr>
              <w:t>卖出回购金融资产款</w:t>
            </w:r>
          </w:p>
        </w:tc>
        <w:tc>
          <w:tcPr>
            <w:tcW w:type="dxa" w:w="1210"/>
            <w:tcBorders/>
            <w:tcMar>
              <w:start w:w="0" w:type="dxa"/>
              <w:end w:w="0" w:type="dxa"/>
            </w:tcMar>
          </w:tcPr>
          <w:p>
            <w:pPr>
              <w:autoSpaceDN w:val="0"/>
              <w:autoSpaceDE w:val="0"/>
              <w:widowControl/>
              <w:spacing w:line="178" w:lineRule="exact" w:before="44"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24 </w:t>
            </w:r>
          </w:p>
        </w:tc>
        <w:tc>
          <w:tcPr>
            <w:tcW w:type="dxa" w:w="1358"/>
            <w:tcBorders/>
            <w:tcMar>
              <w:start w:w="0" w:type="dxa"/>
              <w:end w:w="0" w:type="dxa"/>
            </w:tcMar>
          </w:tcPr>
          <w:p>
            <w:pPr>
              <w:autoSpaceDN w:val="0"/>
              <w:autoSpaceDE w:val="0"/>
              <w:widowControl/>
              <w:spacing w:line="197" w:lineRule="auto" w:before="64" w:after="0"/>
              <w:ind w:left="0" w:right="0" w:firstLine="0"/>
              <w:jc w:val="right"/>
            </w:pPr>
            <w:r>
              <w:rPr>
                <w:rFonts w:ascii="Calibri" w:hAnsi="Calibri" w:eastAsia="Calibri"/>
                <w:b w:val="0"/>
                <w:i w:val="0"/>
                <w:color w:val="000000"/>
                <w:sz w:val="16"/>
              </w:rPr>
              <w:t>12,729,642,678</w:t>
            </w:r>
          </w:p>
        </w:tc>
        <w:tc>
          <w:tcPr>
            <w:tcW w:type="dxa" w:w="1566"/>
            <w:tcBorders/>
            <w:tcMar>
              <w:start w:w="0" w:type="dxa"/>
              <w:end w:w="0" w:type="dxa"/>
            </w:tcMar>
          </w:tcPr>
          <w:p>
            <w:pPr>
              <w:autoSpaceDN w:val="0"/>
              <w:autoSpaceDE w:val="0"/>
              <w:widowControl/>
              <w:spacing w:line="197" w:lineRule="auto" w:before="64" w:after="0"/>
              <w:ind w:left="0" w:right="0" w:firstLine="0"/>
              <w:jc w:val="right"/>
            </w:pPr>
            <w:r>
              <w:rPr>
                <w:rFonts w:ascii="Calibri" w:hAnsi="Calibri" w:eastAsia="Calibri"/>
                <w:b w:val="0"/>
                <w:i w:val="0"/>
                <w:color w:val="000000"/>
                <w:sz w:val="16"/>
              </w:rPr>
              <w:t>10,277,980,209</w:t>
            </w:r>
          </w:p>
        </w:tc>
        <w:tc>
          <w:tcPr>
            <w:tcW w:type="dxa" w:w="1564"/>
            <w:tcBorders/>
            <w:tcMar>
              <w:start w:w="0" w:type="dxa"/>
              <w:end w:w="0" w:type="dxa"/>
            </w:tcMar>
          </w:tcPr>
          <w:p>
            <w:pPr>
              <w:autoSpaceDN w:val="0"/>
              <w:autoSpaceDE w:val="0"/>
              <w:widowControl/>
              <w:spacing w:line="197" w:lineRule="auto" w:before="64" w:after="0"/>
              <w:ind w:left="0" w:right="0" w:firstLine="0"/>
              <w:jc w:val="right"/>
            </w:pPr>
            <w:r>
              <w:rPr>
                <w:rFonts w:ascii="Calibri" w:hAnsi="Calibri" w:eastAsia="Calibri"/>
                <w:b w:val="0"/>
                <w:i w:val="0"/>
                <w:color w:val="000000"/>
                <w:sz w:val="16"/>
              </w:rPr>
              <w:t>12,605,522,054</w:t>
            </w:r>
          </w:p>
        </w:tc>
        <w:tc>
          <w:tcPr>
            <w:tcW w:type="dxa" w:w="1566"/>
            <w:tcBorders/>
            <w:tcMar>
              <w:start w:w="0" w:type="dxa"/>
              <w:end w:w="0" w:type="dxa"/>
            </w:tcMar>
          </w:tcPr>
          <w:p>
            <w:pPr>
              <w:autoSpaceDN w:val="0"/>
              <w:autoSpaceDE w:val="0"/>
              <w:widowControl/>
              <w:spacing w:line="197" w:lineRule="auto" w:before="64" w:after="0"/>
              <w:ind w:left="0" w:right="0" w:firstLine="0"/>
              <w:jc w:val="right"/>
            </w:pPr>
            <w:r>
              <w:rPr>
                <w:rFonts w:ascii="Calibri" w:hAnsi="Calibri" w:eastAsia="Calibri"/>
                <w:b w:val="0"/>
                <w:i w:val="0"/>
                <w:color w:val="000000"/>
                <w:sz w:val="16"/>
              </w:rPr>
              <w:t>10,220,788,787</w:t>
            </w:r>
          </w:p>
        </w:tc>
      </w:tr>
      <w:tr>
        <w:trPr>
          <w:trHeight w:hRule="exact" w:val="174"/>
        </w:trPr>
        <w:tc>
          <w:tcPr>
            <w:tcW w:type="dxa" w:w="1780"/>
            <w:tcBorders/>
            <w:tcMar>
              <w:start w:w="0" w:type="dxa"/>
              <w:end w:w="0" w:type="dxa"/>
            </w:tcMar>
          </w:tcPr>
          <w:p>
            <w:pPr>
              <w:autoSpaceDN w:val="0"/>
              <w:autoSpaceDE w:val="0"/>
              <w:widowControl/>
              <w:spacing w:line="162" w:lineRule="exact" w:before="4" w:after="0"/>
              <w:ind w:left="166" w:right="0" w:firstLine="0"/>
              <w:jc w:val="left"/>
            </w:pPr>
            <w:r>
              <w:rPr>
                <w:rFonts w:ascii="黑体" w:hAnsi="黑体" w:eastAsia="黑体"/>
                <w:b w:val="0"/>
                <w:i w:val="0"/>
                <w:color w:val="000000"/>
                <w:sz w:val="16"/>
              </w:rPr>
              <w:t>代理买卖证券款</w:t>
            </w:r>
          </w:p>
        </w:tc>
        <w:tc>
          <w:tcPr>
            <w:tcW w:type="dxa" w:w="1210"/>
            <w:tcBorders/>
            <w:tcMar>
              <w:start w:w="0" w:type="dxa"/>
              <w:end w:w="0" w:type="dxa"/>
            </w:tcMar>
          </w:tcPr>
          <w:p>
            <w:pPr>
              <w:autoSpaceDN w:val="0"/>
              <w:autoSpaceDE w:val="0"/>
              <w:widowControl/>
              <w:spacing w:line="178" w:lineRule="exact" w:before="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25 </w:t>
            </w:r>
          </w:p>
        </w:tc>
        <w:tc>
          <w:tcPr>
            <w:tcW w:type="dxa" w:w="1358"/>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18,504,762,179</w:t>
            </w:r>
          </w:p>
        </w:tc>
        <w:tc>
          <w:tcPr>
            <w:tcW w:type="dxa" w:w="1566"/>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14,586,617,553</w:t>
            </w:r>
          </w:p>
        </w:tc>
        <w:tc>
          <w:tcPr>
            <w:tcW w:type="dxa" w:w="1564"/>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12,867,884,415</w:t>
            </w:r>
          </w:p>
        </w:tc>
        <w:tc>
          <w:tcPr>
            <w:tcW w:type="dxa" w:w="1566"/>
            <w:tcBorders/>
            <w:tcMar>
              <w:start w:w="0" w:type="dxa"/>
              <w:end w:w="0" w:type="dxa"/>
            </w:tcMar>
          </w:tcPr>
          <w:p>
            <w:pPr>
              <w:autoSpaceDN w:val="0"/>
              <w:autoSpaceDE w:val="0"/>
              <w:widowControl/>
              <w:spacing w:line="197" w:lineRule="auto" w:before="14" w:after="0"/>
              <w:ind w:left="0" w:right="0" w:firstLine="0"/>
              <w:jc w:val="right"/>
            </w:pPr>
            <w:r>
              <w:rPr>
                <w:rFonts w:ascii="Calibri" w:hAnsi="Calibri" w:eastAsia="Calibri"/>
                <w:b w:val="0"/>
                <w:i w:val="0"/>
                <w:color w:val="000000"/>
                <w:sz w:val="16"/>
              </w:rPr>
              <w:t>9,343,466,297</w:t>
            </w:r>
          </w:p>
        </w:tc>
      </w:tr>
      <w:tr>
        <w:trPr>
          <w:trHeight w:hRule="exact" w:val="200"/>
        </w:trPr>
        <w:tc>
          <w:tcPr>
            <w:tcW w:type="dxa" w:w="1780"/>
            <w:tcBorders/>
            <w:tcMar>
              <w:start w:w="0" w:type="dxa"/>
              <w:end w:w="0" w:type="dxa"/>
            </w:tcMar>
          </w:tcPr>
          <w:p>
            <w:pPr>
              <w:autoSpaceDN w:val="0"/>
              <w:autoSpaceDE w:val="0"/>
              <w:widowControl/>
              <w:spacing w:line="160" w:lineRule="exact" w:before="40" w:after="0"/>
              <w:ind w:left="166" w:right="0" w:firstLine="0"/>
              <w:jc w:val="left"/>
            </w:pPr>
            <w:r>
              <w:rPr>
                <w:rFonts w:ascii="黑体" w:hAnsi="黑体" w:eastAsia="黑体"/>
                <w:b w:val="0"/>
                <w:i w:val="0"/>
                <w:color w:val="000000"/>
                <w:sz w:val="16"/>
              </w:rPr>
              <w:t>代理承销证券款</w:t>
            </w:r>
          </w:p>
        </w:tc>
        <w:tc>
          <w:tcPr>
            <w:tcW w:type="dxa" w:w="1210"/>
            <w:tcBorders/>
            <w:tcMar>
              <w:start w:w="0" w:type="dxa"/>
              <w:end w:w="0" w:type="dxa"/>
            </w:tcMar>
          </w:tcPr>
          <w:p>
            <w:pPr>
              <w:autoSpaceDN w:val="0"/>
              <w:autoSpaceDE w:val="0"/>
              <w:widowControl/>
              <w:spacing w:line="178" w:lineRule="exact" w:before="22"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26 </w:t>
            </w:r>
          </w:p>
        </w:tc>
        <w:tc>
          <w:tcPr>
            <w:tcW w:type="dxa" w:w="1358"/>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c>
          <w:tcPr>
            <w:tcW w:type="dxa" w:w="1566"/>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125,599,933</w:t>
            </w:r>
          </w:p>
        </w:tc>
        <w:tc>
          <w:tcPr>
            <w:tcW w:type="dxa" w:w="1564"/>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c>
          <w:tcPr>
            <w:tcW w:type="dxa" w:w="1566"/>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r>
      <w:tr>
        <w:trPr>
          <w:trHeight w:hRule="exact" w:val="248"/>
        </w:trPr>
        <w:tc>
          <w:tcPr>
            <w:tcW w:type="dxa" w:w="1780"/>
            <w:tcBorders/>
            <w:tcMar>
              <w:start w:w="0" w:type="dxa"/>
              <w:end w:w="0" w:type="dxa"/>
            </w:tcMar>
          </w:tcPr>
          <w:p>
            <w:pPr>
              <w:autoSpaceDN w:val="0"/>
              <w:autoSpaceDE w:val="0"/>
              <w:widowControl/>
              <w:spacing w:line="160" w:lineRule="exact" w:before="46" w:after="0"/>
              <w:ind w:left="166" w:right="0" w:firstLine="0"/>
              <w:jc w:val="left"/>
            </w:pPr>
            <w:r>
              <w:rPr>
                <w:rFonts w:ascii="黑体" w:hAnsi="黑体" w:eastAsia="黑体"/>
                <w:b w:val="0"/>
                <w:i w:val="0"/>
                <w:color w:val="000000"/>
                <w:sz w:val="16"/>
              </w:rPr>
              <w:t>应付职工薪酬</w:t>
            </w:r>
          </w:p>
        </w:tc>
        <w:tc>
          <w:tcPr>
            <w:tcW w:type="dxa" w:w="1210"/>
            <w:tcBorders/>
            <w:tcMar>
              <w:start w:w="0" w:type="dxa"/>
              <w:end w:w="0" w:type="dxa"/>
            </w:tcMar>
          </w:tcPr>
          <w:p>
            <w:pPr>
              <w:autoSpaceDN w:val="0"/>
              <w:autoSpaceDE w:val="0"/>
              <w:widowControl/>
              <w:spacing w:line="178" w:lineRule="exact" w:before="46"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27 </w:t>
            </w:r>
          </w:p>
        </w:tc>
        <w:tc>
          <w:tcPr>
            <w:tcW w:type="dxa" w:w="1358"/>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149,427,011</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96,518,278</w:t>
            </w:r>
          </w:p>
        </w:tc>
        <w:tc>
          <w:tcPr>
            <w:tcW w:type="dxa" w:w="1564"/>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93,316,346</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54,338,613</w:t>
            </w:r>
          </w:p>
        </w:tc>
      </w:tr>
      <w:tr>
        <w:trPr>
          <w:trHeight w:hRule="exact" w:val="172"/>
        </w:trPr>
        <w:tc>
          <w:tcPr>
            <w:tcW w:type="dxa" w:w="1780"/>
            <w:tcBorders/>
            <w:tcMar>
              <w:start w:w="0" w:type="dxa"/>
              <w:end w:w="0" w:type="dxa"/>
            </w:tcMar>
          </w:tcPr>
          <w:p>
            <w:pPr>
              <w:autoSpaceDN w:val="0"/>
              <w:autoSpaceDE w:val="0"/>
              <w:widowControl/>
              <w:spacing w:line="162" w:lineRule="exact" w:before="6" w:after="0"/>
              <w:ind w:left="166" w:right="0" w:firstLine="0"/>
              <w:jc w:val="left"/>
            </w:pPr>
            <w:r>
              <w:rPr>
                <w:rFonts w:ascii="黑体" w:hAnsi="黑体" w:eastAsia="黑体"/>
                <w:b w:val="0"/>
                <w:i w:val="0"/>
                <w:color w:val="000000"/>
                <w:sz w:val="16"/>
              </w:rPr>
              <w:t>应交税费</w:t>
            </w:r>
          </w:p>
        </w:tc>
        <w:tc>
          <w:tcPr>
            <w:tcW w:type="dxa" w:w="1210"/>
            <w:tcBorders/>
            <w:tcMar>
              <w:start w:w="0" w:type="dxa"/>
              <w:end w:w="0" w:type="dxa"/>
            </w:tcMar>
          </w:tcPr>
          <w:p>
            <w:pPr>
              <w:autoSpaceDN w:val="0"/>
              <w:autoSpaceDE w:val="0"/>
              <w:widowControl/>
              <w:spacing w:line="180" w:lineRule="exact" w:before="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28 </w:t>
            </w:r>
          </w:p>
        </w:tc>
        <w:tc>
          <w:tcPr>
            <w:tcW w:type="dxa" w:w="1358"/>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83,677,236</w:t>
            </w:r>
          </w:p>
        </w:tc>
        <w:tc>
          <w:tcPr>
            <w:tcW w:type="dxa" w:w="1566"/>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79,650,672</w:t>
            </w:r>
          </w:p>
        </w:tc>
        <w:tc>
          <w:tcPr>
            <w:tcW w:type="dxa" w:w="1564"/>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30,623,891</w:t>
            </w:r>
          </w:p>
        </w:tc>
        <w:tc>
          <w:tcPr>
            <w:tcW w:type="dxa" w:w="1566"/>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35,154,947</w:t>
            </w:r>
          </w:p>
        </w:tc>
      </w:tr>
      <w:tr>
        <w:trPr>
          <w:trHeight w:hRule="exact" w:val="200"/>
        </w:trPr>
        <w:tc>
          <w:tcPr>
            <w:tcW w:type="dxa" w:w="1780"/>
            <w:tcBorders/>
            <w:tcMar>
              <w:start w:w="0" w:type="dxa"/>
              <w:end w:w="0" w:type="dxa"/>
            </w:tcMar>
          </w:tcPr>
          <w:p>
            <w:pPr>
              <w:autoSpaceDN w:val="0"/>
              <w:autoSpaceDE w:val="0"/>
              <w:widowControl/>
              <w:spacing w:line="160" w:lineRule="exact" w:before="40" w:after="0"/>
              <w:ind w:left="166" w:right="0" w:firstLine="0"/>
              <w:jc w:val="left"/>
            </w:pPr>
            <w:r>
              <w:rPr>
                <w:rFonts w:ascii="黑体" w:hAnsi="黑体" w:eastAsia="黑体"/>
                <w:b w:val="0"/>
                <w:i w:val="0"/>
                <w:color w:val="000000"/>
                <w:sz w:val="16"/>
              </w:rPr>
              <w:t>应付款项</w:t>
            </w:r>
          </w:p>
        </w:tc>
        <w:tc>
          <w:tcPr>
            <w:tcW w:type="dxa" w:w="1210"/>
            <w:tcBorders/>
            <w:tcMar>
              <w:start w:w="0" w:type="dxa"/>
              <w:end w:w="0" w:type="dxa"/>
            </w:tcMar>
          </w:tcPr>
          <w:p>
            <w:pPr>
              <w:autoSpaceDN w:val="0"/>
              <w:autoSpaceDE w:val="0"/>
              <w:widowControl/>
              <w:spacing w:line="178" w:lineRule="exact" w:before="22"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29 </w:t>
            </w:r>
          </w:p>
        </w:tc>
        <w:tc>
          <w:tcPr>
            <w:tcW w:type="dxa" w:w="1358"/>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93,168,277</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366,687,841</w:t>
            </w:r>
          </w:p>
        </w:tc>
        <w:tc>
          <w:tcPr>
            <w:tcW w:type="dxa" w:w="1564"/>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89,421,187</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173,091,619</w:t>
            </w:r>
          </w:p>
        </w:tc>
      </w:tr>
      <w:tr>
        <w:trPr>
          <w:trHeight w:hRule="exact" w:val="46"/>
        </w:trPr>
        <w:tc>
          <w:tcPr>
            <w:tcW w:type="dxa" w:w="1780"/>
            <w:vMerge w:val="restart"/>
            <w:tcBorders/>
            <w:tcMar>
              <w:start w:w="0" w:type="dxa"/>
              <w:end w:w="0" w:type="dxa"/>
            </w:tcMar>
            <w:tcMar>
              <w:start w:w="0" w:type="dxa"/>
              <w:end w:w="0" w:type="dxa"/>
            </w:tcMar>
          </w:tcPr>
          <w:p>
            <w:pPr>
              <w:autoSpaceDN w:val="0"/>
              <w:autoSpaceDE w:val="0"/>
              <w:widowControl/>
              <w:spacing w:line="160" w:lineRule="exact" w:before="40" w:after="0"/>
              <w:ind w:left="166" w:right="0" w:firstLine="0"/>
              <w:jc w:val="left"/>
            </w:pPr>
            <w:r>
              <w:rPr>
                <w:rFonts w:ascii="黑体" w:hAnsi="黑体" w:eastAsia="黑体"/>
                <w:b w:val="0"/>
                <w:i w:val="0"/>
                <w:color w:val="000000"/>
                <w:sz w:val="16"/>
              </w:rPr>
              <w:t>应付债券</w:t>
            </w:r>
          </w:p>
        </w:tc>
        <w:tc>
          <w:tcPr>
            <w:tcW w:type="dxa" w:w="1210"/>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5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30 </w:t>
            </w:r>
          </w:p>
        </w:tc>
        <w:tc>
          <w:tcPr>
            <w:tcW w:type="dxa" w:w="1509"/>
            <w:vMerge/>
            <w:tcBorders/>
          </w:tcPr>
          <w:p/>
        </w:tc>
        <w:tc>
          <w:tcPr>
            <w:tcW w:type="dxa" w:w="1509"/>
            <w:vMerge/>
            <w:tcBorders/>
          </w:tcPr>
          <w:p/>
        </w:tc>
        <w:tc>
          <w:tcPr>
            <w:tcW w:type="dxa" w:w="1509"/>
            <w:vMerge/>
            <w:tcBorders/>
          </w:tcPr>
          <w:p/>
        </w:tc>
        <w:tc>
          <w:tcPr>
            <w:tcW w:type="dxa" w:w="1509"/>
            <w:vMerge/>
            <w:tcBorders/>
          </w:tcPr>
          <w:p/>
        </w:tc>
      </w:tr>
      <w:tr>
        <w:trPr>
          <w:trHeight w:hRule="exact" w:val="154"/>
        </w:trPr>
        <w:tc>
          <w:tcPr>
            <w:tcW w:type="dxa" w:w="1509"/>
            <w:vMerge/>
            <w:tcBorders/>
          </w:tcPr>
          <w:p/>
        </w:tc>
        <w:tc>
          <w:tcPr>
            <w:tcW w:type="dxa" w:w="1509"/>
            <w:vMerge/>
            <w:tcBorders/>
          </w:tcPr>
          <w:p/>
        </w:tc>
        <w:tc>
          <w:tcPr>
            <w:tcW w:type="dxa" w:w="1358"/>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15,170,215,285</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15,809,101,530</w:t>
            </w:r>
          </w:p>
        </w:tc>
        <w:tc>
          <w:tcPr>
            <w:tcW w:type="dxa" w:w="1564"/>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15,157,817,458</w:t>
            </w:r>
          </w:p>
        </w:tc>
        <w:tc>
          <w:tcPr>
            <w:tcW w:type="dxa" w:w="1566"/>
            <w:vMerge w:val="restart"/>
            <w:tcBorders/>
            <w:tcMar>
              <w:start w:w="0" w:type="dxa"/>
              <w:end w:w="0" w:type="dxa"/>
            </w:tcMar>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15,802,023,405</w:t>
            </w:r>
          </w:p>
        </w:tc>
      </w:tr>
      <w:tr>
        <w:trPr>
          <w:trHeight w:hRule="exact" w:val="51"/>
        </w:trPr>
        <w:tc>
          <w:tcPr>
            <w:tcW w:type="dxa" w:w="1780"/>
            <w:vMerge w:val="restart"/>
            <w:tcBorders/>
            <w:tcMar>
              <w:start w:w="0" w:type="dxa"/>
              <w:end w:w="0" w:type="dxa"/>
            </w:tcMar>
            <w:tcMar>
              <w:start w:w="0" w:type="dxa"/>
              <w:end w:w="0" w:type="dxa"/>
            </w:tcMar>
          </w:tcPr>
          <w:p>
            <w:pPr>
              <w:autoSpaceDN w:val="0"/>
              <w:autoSpaceDE w:val="0"/>
              <w:widowControl/>
              <w:spacing w:line="162" w:lineRule="exact" w:before="56" w:after="0"/>
              <w:ind w:left="166" w:right="0" w:firstLine="0"/>
              <w:jc w:val="left"/>
            </w:pPr>
            <w:r>
              <w:rPr>
                <w:rFonts w:ascii="黑体" w:hAnsi="黑体" w:eastAsia="黑体"/>
                <w:b w:val="0"/>
                <w:i w:val="0"/>
                <w:color w:val="000000"/>
                <w:sz w:val="16"/>
              </w:rPr>
              <w:t>租赁负债</w:t>
            </w:r>
          </w:p>
        </w:tc>
        <w:tc>
          <w:tcPr>
            <w:tcW w:type="dxa" w:w="1509"/>
            <w:vMerge/>
            <w:tcBorders/>
          </w:tcPr>
          <w:p/>
        </w:tc>
        <w:tc>
          <w:tcPr>
            <w:tcW w:type="dxa" w:w="1509"/>
            <w:vMerge/>
            <w:tcBorders/>
          </w:tcPr>
          <w:p/>
        </w:tc>
        <w:tc>
          <w:tcPr>
            <w:tcW w:type="dxa" w:w="1509"/>
            <w:vMerge/>
            <w:tcBorders/>
          </w:tcPr>
          <w:p/>
        </w:tc>
        <w:tc>
          <w:tcPr>
            <w:tcW w:type="dxa" w:w="1509"/>
            <w:vMerge/>
            <w:tcBorders/>
          </w:tcPr>
          <w:p/>
        </w:tc>
        <w:tc>
          <w:tcPr>
            <w:tcW w:type="dxa" w:w="1509"/>
            <w:vMerge/>
            <w:tcBorders/>
          </w:tcPr>
          <w:p/>
        </w:tc>
      </w:tr>
      <w:tr>
        <w:trPr>
          <w:trHeight w:hRule="exact" w:val="169"/>
        </w:trPr>
        <w:tc>
          <w:tcPr>
            <w:tcW w:type="dxa" w:w="1509"/>
            <w:vMerge/>
            <w:tcBorders/>
          </w:tcPr>
          <w:p/>
        </w:tc>
        <w:tc>
          <w:tcPr>
            <w:tcW w:type="dxa" w:w="1210"/>
            <w:tcBorders/>
            <w:tcMar>
              <w:start w:w="0" w:type="dxa"/>
              <w:end w:w="0" w:type="dxa"/>
            </w:tcMar>
          </w:tcPr>
          <w:p>
            <w:pPr>
              <w:autoSpaceDN w:val="0"/>
              <w:autoSpaceDE w:val="0"/>
              <w:widowControl/>
              <w:spacing w:line="178" w:lineRule="exact" w:before="0"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31 </w:t>
            </w:r>
          </w:p>
        </w:tc>
        <w:tc>
          <w:tcPr>
            <w:tcW w:type="dxa" w:w="1358"/>
            <w:tcBorders/>
            <w:tcMar>
              <w:start w:w="0" w:type="dxa"/>
              <w:end w:w="0" w:type="dxa"/>
            </w:tcMar>
          </w:tcPr>
          <w:p>
            <w:pPr>
              <w:autoSpaceDN w:val="0"/>
              <w:autoSpaceDE w:val="0"/>
              <w:widowControl/>
              <w:spacing w:line="199" w:lineRule="auto" w:before="6" w:after="0"/>
              <w:ind w:left="0" w:right="0" w:firstLine="0"/>
              <w:jc w:val="right"/>
            </w:pPr>
            <w:r>
              <w:rPr>
                <w:rFonts w:ascii="Calibri" w:hAnsi="Calibri" w:eastAsia="Calibri"/>
                <w:b w:val="0"/>
                <w:i w:val="0"/>
                <w:color w:val="000000"/>
                <w:sz w:val="16"/>
              </w:rPr>
              <w:t>264,042,901</w:t>
            </w:r>
          </w:p>
        </w:tc>
        <w:tc>
          <w:tcPr>
            <w:tcW w:type="dxa" w:w="1566"/>
            <w:tcBorders/>
            <w:tcMar>
              <w:start w:w="0" w:type="dxa"/>
              <w:end w:w="0" w:type="dxa"/>
            </w:tcMar>
          </w:tcPr>
          <w:p>
            <w:pPr>
              <w:autoSpaceDN w:val="0"/>
              <w:autoSpaceDE w:val="0"/>
              <w:widowControl/>
              <w:spacing w:line="199" w:lineRule="auto" w:before="6" w:after="0"/>
              <w:ind w:left="0" w:right="0" w:firstLine="0"/>
              <w:jc w:val="right"/>
            </w:pPr>
            <w:r>
              <w:rPr>
                <w:rFonts w:ascii="Calibri" w:hAnsi="Calibri" w:eastAsia="Calibri"/>
                <w:b w:val="0"/>
                <w:i w:val="0"/>
                <w:color w:val="000000"/>
                <w:sz w:val="16"/>
              </w:rPr>
              <w:t>317,169,527</w:t>
            </w:r>
          </w:p>
        </w:tc>
        <w:tc>
          <w:tcPr>
            <w:tcW w:type="dxa" w:w="1564"/>
            <w:tcBorders/>
            <w:tcMar>
              <w:start w:w="0" w:type="dxa"/>
              <w:end w:w="0" w:type="dxa"/>
            </w:tcMar>
          </w:tcPr>
          <w:p>
            <w:pPr>
              <w:autoSpaceDN w:val="0"/>
              <w:autoSpaceDE w:val="0"/>
              <w:widowControl/>
              <w:spacing w:line="199" w:lineRule="auto" w:before="6" w:after="0"/>
              <w:ind w:left="0" w:right="0" w:firstLine="0"/>
              <w:jc w:val="right"/>
            </w:pPr>
            <w:r>
              <w:rPr>
                <w:rFonts w:ascii="Calibri" w:hAnsi="Calibri" w:eastAsia="Calibri"/>
                <w:b w:val="0"/>
                <w:i w:val="0"/>
                <w:color w:val="000000"/>
                <w:sz w:val="16"/>
              </w:rPr>
              <w:t>175,541,755</w:t>
            </w:r>
          </w:p>
        </w:tc>
        <w:tc>
          <w:tcPr>
            <w:tcW w:type="dxa" w:w="1566"/>
            <w:tcBorders/>
            <w:tcMar>
              <w:start w:w="0" w:type="dxa"/>
              <w:end w:w="0" w:type="dxa"/>
            </w:tcMar>
          </w:tcPr>
          <w:p>
            <w:pPr>
              <w:autoSpaceDN w:val="0"/>
              <w:autoSpaceDE w:val="0"/>
              <w:widowControl/>
              <w:spacing w:line="199" w:lineRule="auto" w:before="6" w:after="0"/>
              <w:ind w:left="0" w:right="0" w:firstLine="0"/>
              <w:jc w:val="right"/>
            </w:pPr>
            <w:r>
              <w:rPr>
                <w:rFonts w:ascii="Calibri" w:hAnsi="Calibri" w:eastAsia="Calibri"/>
                <w:b w:val="0"/>
                <w:i w:val="0"/>
                <w:color w:val="000000"/>
                <w:sz w:val="16"/>
              </w:rPr>
              <w:t>204,597,828</w:t>
            </w:r>
          </w:p>
        </w:tc>
      </w:tr>
      <w:tr>
        <w:trPr>
          <w:trHeight w:hRule="exact" w:val="248"/>
        </w:trPr>
        <w:tc>
          <w:tcPr>
            <w:tcW w:type="dxa" w:w="1780"/>
            <w:tcBorders/>
            <w:tcMar>
              <w:start w:w="0" w:type="dxa"/>
              <w:end w:w="0" w:type="dxa"/>
            </w:tcMar>
          </w:tcPr>
          <w:p>
            <w:pPr>
              <w:autoSpaceDN w:val="0"/>
              <w:autoSpaceDE w:val="0"/>
              <w:widowControl/>
              <w:spacing w:line="160" w:lineRule="exact" w:before="46" w:after="0"/>
              <w:ind w:left="166" w:right="0" w:firstLine="0"/>
              <w:jc w:val="left"/>
            </w:pPr>
            <w:r>
              <w:rPr>
                <w:rFonts w:ascii="黑体" w:hAnsi="黑体" w:eastAsia="黑体"/>
                <w:b w:val="0"/>
                <w:i w:val="0"/>
                <w:color w:val="000000"/>
                <w:sz w:val="16"/>
              </w:rPr>
              <w:t>递延所得税负债</w:t>
            </w:r>
          </w:p>
        </w:tc>
        <w:tc>
          <w:tcPr>
            <w:tcW w:type="dxa" w:w="1210"/>
            <w:tcBorders/>
            <w:tcMar>
              <w:start w:w="0" w:type="dxa"/>
              <w:end w:w="0" w:type="dxa"/>
            </w:tcMar>
          </w:tcPr>
          <w:p>
            <w:pPr>
              <w:autoSpaceDN w:val="0"/>
              <w:autoSpaceDE w:val="0"/>
              <w:widowControl/>
              <w:spacing w:line="178" w:lineRule="exact" w:before="46"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17 </w:t>
            </w:r>
          </w:p>
        </w:tc>
        <w:tc>
          <w:tcPr>
            <w:tcW w:type="dxa" w:w="1358"/>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53,668,910</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111,707,421</w:t>
            </w:r>
          </w:p>
        </w:tc>
        <w:tc>
          <w:tcPr>
            <w:tcW w:type="dxa" w:w="1564"/>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w:t>
            </w:r>
          </w:p>
        </w:tc>
        <w:tc>
          <w:tcPr>
            <w:tcW w:type="dxa" w:w="1566"/>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w:t>
            </w:r>
          </w:p>
        </w:tc>
      </w:tr>
      <w:tr>
        <w:trPr>
          <w:trHeight w:hRule="exact" w:val="194"/>
        </w:trPr>
        <w:tc>
          <w:tcPr>
            <w:tcW w:type="dxa" w:w="1780"/>
            <w:tcBorders>
              <w:bottom w:sz="4.0" w:val="single" w:color="#000000"/>
            </w:tcBorders>
            <w:tcMar>
              <w:start w:w="0" w:type="dxa"/>
              <w:end w:w="0" w:type="dxa"/>
            </w:tcMar>
          </w:tcPr>
          <w:p>
            <w:pPr>
              <w:autoSpaceDN w:val="0"/>
              <w:autoSpaceDE w:val="0"/>
              <w:widowControl/>
              <w:spacing w:line="160" w:lineRule="exact" w:before="4" w:after="0"/>
              <w:ind w:left="166" w:right="0" w:firstLine="0"/>
              <w:jc w:val="left"/>
            </w:pPr>
            <w:r>
              <w:rPr>
                <w:rFonts w:ascii="黑体" w:hAnsi="黑体" w:eastAsia="黑体"/>
                <w:b w:val="0"/>
                <w:i w:val="0"/>
                <w:color w:val="000000"/>
                <w:sz w:val="16"/>
              </w:rPr>
              <w:t>其他负债</w:t>
            </w:r>
          </w:p>
        </w:tc>
        <w:tc>
          <w:tcPr>
            <w:tcW w:type="dxa" w:w="1210"/>
            <w:tcBorders>
              <w:bottom w:sz="4.0" w:val="single" w:color="#000000"/>
            </w:tcBorders>
            <w:tcMar>
              <w:start w:w="0" w:type="dxa"/>
              <w:end w:w="0" w:type="dxa"/>
            </w:tcMar>
          </w:tcPr>
          <w:p>
            <w:pPr>
              <w:autoSpaceDN w:val="0"/>
              <w:autoSpaceDE w:val="0"/>
              <w:widowControl/>
              <w:spacing w:line="178" w:lineRule="exact" w:before="4" w:after="0"/>
              <w:ind w:left="196"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32 </w:t>
            </w:r>
          </w:p>
        </w:tc>
        <w:tc>
          <w:tcPr>
            <w:tcW w:type="dxa" w:w="1358"/>
            <w:tcBorders>
              <w:bottom w:sz="4.0" w:val="single" w:color="#000000"/>
            </w:tcBorders>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1,364,567,880</w:t>
            </w:r>
          </w:p>
        </w:tc>
        <w:tc>
          <w:tcPr>
            <w:tcW w:type="dxa" w:w="1566"/>
            <w:tcBorders>
              <w:bottom w:sz="4.0" w:val="single" w:color="#000000"/>
            </w:tcBorders>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2,219,106,081</w:t>
            </w:r>
          </w:p>
        </w:tc>
        <w:tc>
          <w:tcPr>
            <w:tcW w:type="dxa" w:w="1564"/>
            <w:tcBorders>
              <w:bottom w:sz="4.0" w:val="single" w:color="#000000"/>
            </w:tcBorders>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1,015,055,155</w:t>
            </w:r>
          </w:p>
        </w:tc>
        <w:tc>
          <w:tcPr>
            <w:tcW w:type="dxa" w:w="1566"/>
            <w:tcBorders>
              <w:bottom w:sz="4.0" w:val="single" w:color="#000000"/>
            </w:tcBorders>
            <w:tcMar>
              <w:start w:w="0" w:type="dxa"/>
              <w:end w:w="0" w:type="dxa"/>
            </w:tcMar>
          </w:tcPr>
          <w:p>
            <w:pPr>
              <w:autoSpaceDN w:val="0"/>
              <w:autoSpaceDE w:val="0"/>
              <w:widowControl/>
              <w:spacing w:line="197" w:lineRule="auto" w:before="24" w:after="0"/>
              <w:ind w:left="0" w:right="0" w:firstLine="0"/>
              <w:jc w:val="right"/>
            </w:pPr>
            <w:r>
              <w:rPr>
                <w:rFonts w:ascii="Calibri" w:hAnsi="Calibri" w:eastAsia="Calibri"/>
                <w:b w:val="0"/>
                <w:i w:val="0"/>
                <w:color w:val="000000"/>
                <w:sz w:val="16"/>
              </w:rPr>
              <w:t>1,956,348,419</w:t>
            </w:r>
          </w:p>
        </w:tc>
      </w:tr>
      <w:tr>
        <w:trPr>
          <w:trHeight w:hRule="exact" w:val="414"/>
        </w:trPr>
        <w:tc>
          <w:tcPr>
            <w:tcW w:type="dxa" w:w="1780"/>
            <w:tcBorders>
              <w:top w:sz="4.0" w:val="single" w:color="#000000"/>
              <w:bottom w:sz="4.0" w:val="single" w:color="#000000"/>
            </w:tcBorders>
            <w:tcMar>
              <w:start w:w="0" w:type="dxa"/>
              <w:end w:w="0" w:type="dxa"/>
            </w:tcMar>
          </w:tcPr>
          <w:p>
            <w:pPr>
              <w:autoSpaceDN w:val="0"/>
              <w:autoSpaceDE w:val="0"/>
              <w:widowControl/>
              <w:spacing w:line="162" w:lineRule="exact" w:before="216" w:after="0"/>
              <w:ind w:left="18" w:right="0" w:firstLine="0"/>
              <w:jc w:val="left"/>
            </w:pPr>
            <w:r>
              <w:rPr>
                <w:rFonts w:ascii="黑体" w:hAnsi="黑体" w:eastAsia="黑体"/>
                <w:b w:val="0"/>
                <w:i w:val="0"/>
                <w:color w:val="000000"/>
                <w:sz w:val="16"/>
              </w:rPr>
              <w:t>负债合计</w:t>
            </w:r>
          </w:p>
        </w:tc>
        <w:tc>
          <w:tcPr>
            <w:tcW w:type="dxa" w:w="1210"/>
            <w:tcBorders>
              <w:top w:sz="4.0" w:val="single" w:color="#000000"/>
              <w:bottom w:sz="4.0" w:val="single" w:color="#000000"/>
            </w:tcBorders>
            <w:tcMar>
              <w:start w:w="0" w:type="dxa"/>
              <w:end w:w="0" w:type="dxa"/>
            </w:tcMar>
          </w:tcPr>
          <w:p/>
        </w:tc>
        <w:tc>
          <w:tcPr>
            <w:tcW w:type="dxa" w:w="1358"/>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0" w:firstLine="0"/>
              <w:jc w:val="right"/>
            </w:pPr>
            <w:r>
              <w:rPr>
                <w:rFonts w:ascii="Calibri" w:hAnsi="Calibri" w:eastAsia="Calibri"/>
                <w:b w:val="0"/>
                <w:i w:val="0"/>
                <w:color w:val="000000"/>
                <w:sz w:val="16"/>
              </w:rPr>
              <w:t>62,367,874,876</w:t>
            </w:r>
          </w:p>
        </w:tc>
        <w:tc>
          <w:tcPr>
            <w:tcW w:type="dxa" w:w="1566"/>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0" w:firstLine="0"/>
              <w:jc w:val="right"/>
            </w:pPr>
            <w:r>
              <w:rPr>
                <w:rFonts w:ascii="Calibri" w:hAnsi="Calibri" w:eastAsia="Calibri"/>
                <w:b w:val="0"/>
                <w:i w:val="0"/>
                <w:color w:val="000000"/>
                <w:sz w:val="16"/>
              </w:rPr>
              <w:t>59,437,105,438</w:t>
            </w:r>
          </w:p>
        </w:tc>
        <w:tc>
          <w:tcPr>
            <w:tcW w:type="dxa" w:w="1564"/>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0" w:firstLine="0"/>
              <w:jc w:val="right"/>
            </w:pPr>
            <w:r>
              <w:rPr>
                <w:rFonts w:ascii="Calibri" w:hAnsi="Calibri" w:eastAsia="Calibri"/>
                <w:b w:val="0"/>
                <w:i w:val="0"/>
                <w:color w:val="000000"/>
                <w:sz w:val="16"/>
              </w:rPr>
              <w:t>55,818,044,824</w:t>
            </w:r>
          </w:p>
        </w:tc>
        <w:tc>
          <w:tcPr>
            <w:tcW w:type="dxa" w:w="1566"/>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0" w:firstLine="0"/>
              <w:jc w:val="right"/>
            </w:pPr>
            <w:r>
              <w:rPr>
                <w:rFonts w:ascii="Calibri" w:hAnsi="Calibri" w:eastAsia="Calibri"/>
                <w:b w:val="0"/>
                <w:i w:val="0"/>
                <w:color w:val="000000"/>
                <w:sz w:val="16"/>
              </w:rPr>
              <w:t>53,004,578,331</w:t>
            </w:r>
          </w:p>
        </w:tc>
      </w:tr>
      <w:tr>
        <w:trPr>
          <w:trHeight w:hRule="exact" w:val="50"/>
        </w:trPr>
        <w:tc>
          <w:tcPr>
            <w:tcW w:type="dxa" w:w="1780"/>
            <w:tcBorders>
              <w:top w:sz="4.0" w:val="single" w:color="#000000"/>
            </w:tcBorders>
            <w:tcMar>
              <w:start w:w="0" w:type="dxa"/>
              <w:end w:w="0" w:type="dxa"/>
            </w:tcMar>
          </w:tcPr>
          <w:p/>
        </w:tc>
        <w:tc>
          <w:tcPr>
            <w:tcW w:type="dxa" w:w="1210"/>
            <w:tcBorders>
              <w:top w:sz="4.0" w:val="single" w:color="#000000"/>
            </w:tcBorders>
            <w:tcMar>
              <w:start w:w="0" w:type="dxa"/>
              <w:end w:w="0" w:type="dxa"/>
            </w:tcMar>
          </w:tcPr>
          <w:p/>
        </w:tc>
        <w:tc>
          <w:tcPr>
            <w:tcW w:type="dxa" w:w="1358"/>
            <w:tcBorders>
              <w:top w:sz="4.0" w:val="single" w:color="#000000"/>
            </w:tcBorders>
            <w:tcMar>
              <w:start w:w="0" w:type="dxa"/>
              <w:end w:w="0" w:type="dxa"/>
            </w:tcMar>
          </w:tcPr>
          <w:p/>
        </w:tc>
        <w:tc>
          <w:tcPr>
            <w:tcW w:type="dxa" w:w="1566"/>
            <w:tcBorders>
              <w:top w:sz="4.0" w:val="single" w:color="#000000"/>
            </w:tcBorders>
            <w:tcMar>
              <w:start w:w="0" w:type="dxa"/>
              <w:end w:w="0" w:type="dxa"/>
            </w:tcMar>
          </w:tcPr>
          <w:p/>
        </w:tc>
        <w:tc>
          <w:tcPr>
            <w:tcW w:type="dxa" w:w="1564"/>
            <w:tcBorders>
              <w:top w:sz="4.0" w:val="single" w:color="#000000"/>
            </w:tcBorders>
            <w:tcMar>
              <w:start w:w="0" w:type="dxa"/>
              <w:end w:w="0" w:type="dxa"/>
            </w:tcMar>
          </w:tcPr>
          <w:p/>
        </w:tc>
        <w:tc>
          <w:tcPr>
            <w:tcW w:type="dxa" w:w="1566"/>
            <w:tcBorders>
              <w:top w:sz="4.0" w:val="single" w:color="#000000"/>
            </w:tcBorders>
            <w:tcMar>
              <w:start w:w="0" w:type="dxa"/>
              <w:end w:w="0" w:type="dxa"/>
            </w:tcMar>
          </w:tcPr>
          <w:p/>
        </w:tc>
      </w:tr>
    </w:tbl>
    <w:p>
      <w:pPr>
        <w:autoSpaceDN w:val="0"/>
        <w:autoSpaceDE w:val="0"/>
        <w:widowControl/>
        <w:spacing w:line="246" w:lineRule="exact" w:before="4778" w:after="1010"/>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63"/>
        <w:gridCol w:w="2263"/>
        <w:gridCol w:w="2263"/>
        <w:gridCol w:w="2263"/>
      </w:tblGrid>
      <w:tr>
        <w:trPr>
          <w:trHeight w:hRule="exact" w:val="296"/>
        </w:trPr>
        <w:tc>
          <w:tcPr>
            <w:tcW w:type="dxa" w:w="2298"/>
            <w:tcBorders>
              <w:top w:sz="7.199999999999818" w:val="single" w:color="#000000"/>
            </w:tcBorders>
            <w:tcMar>
              <w:start w:w="0" w:type="dxa"/>
              <w:end w:w="0" w:type="dxa"/>
            </w:tcMar>
          </w:tcPr>
          <w:p>
            <w:pPr>
              <w:autoSpaceDN w:val="0"/>
              <w:autoSpaceDE w:val="0"/>
              <w:widowControl/>
              <w:spacing w:line="220" w:lineRule="exact" w:before="34" w:after="0"/>
              <w:ind w:left="0" w:right="0" w:firstLine="0"/>
              <w:jc w:val="left"/>
            </w:pPr>
            <w:r>
              <w:rPr>
                <w:rFonts w:ascii="黑体" w:hAnsi="黑体" w:eastAsia="黑体"/>
                <w:b w:val="0"/>
                <w:i w:val="0"/>
                <w:color w:val="000000"/>
                <w:sz w:val="22"/>
              </w:rPr>
              <w:t>王怡里</w:t>
            </w:r>
          </w:p>
        </w:tc>
        <w:tc>
          <w:tcPr>
            <w:tcW w:type="dxa" w:w="3192"/>
            <w:tcBorders>
              <w:top w:sz="7.199999999999818" w:val="single" w:color="#000000"/>
            </w:tcBorders>
            <w:tcMar>
              <w:start w:w="0" w:type="dxa"/>
              <w:end w:w="0" w:type="dxa"/>
            </w:tcMar>
          </w:tcPr>
          <w:p>
            <w:pPr>
              <w:autoSpaceDN w:val="0"/>
              <w:autoSpaceDE w:val="0"/>
              <w:widowControl/>
              <w:spacing w:line="220" w:lineRule="exact" w:before="34" w:after="0"/>
              <w:ind w:left="224" w:right="0" w:firstLine="0"/>
              <w:jc w:val="left"/>
            </w:pPr>
            <w:r>
              <w:rPr>
                <w:rFonts w:ascii="黑体" w:hAnsi="黑体" w:eastAsia="黑体"/>
                <w:b w:val="0"/>
                <w:i w:val="0"/>
                <w:color w:val="000000"/>
                <w:sz w:val="22"/>
              </w:rPr>
              <w:t>汤建雄</w:t>
            </w:r>
          </w:p>
        </w:tc>
        <w:tc>
          <w:tcPr>
            <w:tcW w:type="dxa" w:w="2156"/>
            <w:tcBorders>
              <w:top w:sz="7.199999999999818" w:val="single" w:color="#000000"/>
            </w:tcBorders>
            <w:tcMar>
              <w:start w:w="0" w:type="dxa"/>
              <w:end w:w="0" w:type="dxa"/>
            </w:tcMar>
          </w:tcPr>
          <w:p>
            <w:pPr>
              <w:autoSpaceDN w:val="0"/>
              <w:autoSpaceDE w:val="0"/>
              <w:widowControl/>
              <w:spacing w:line="220" w:lineRule="exact" w:before="34" w:after="0"/>
              <w:ind w:left="264" w:right="0" w:firstLine="0"/>
              <w:jc w:val="left"/>
            </w:pPr>
            <w:r>
              <w:rPr>
                <w:rFonts w:ascii="黑体" w:hAnsi="黑体" w:eastAsia="黑体"/>
                <w:b w:val="0"/>
                <w:i w:val="0"/>
                <w:color w:val="000000"/>
                <w:sz w:val="22"/>
              </w:rPr>
              <w:t>张立德</w:t>
            </w:r>
          </w:p>
        </w:tc>
        <w:tc>
          <w:tcPr>
            <w:tcW w:type="dxa" w:w="1274"/>
            <w:tcBorders>
              <w:top w:sz="7.199999999999818" w:val="single" w:color="#000000"/>
            </w:tcBorders>
            <w:tcMar>
              <w:start w:w="0" w:type="dxa"/>
              <w:end w:w="0" w:type="dxa"/>
            </w:tcMar>
          </w:tcPr>
          <w:p>
            <w:pPr>
              <w:autoSpaceDN w:val="0"/>
              <w:autoSpaceDE w:val="0"/>
              <w:widowControl/>
              <w:spacing w:line="220" w:lineRule="exact" w:before="34"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18"/>
        <w:gridCol w:w="3018"/>
        <w:gridCol w:w="3018"/>
      </w:tblGrid>
      <w:tr>
        <w:trPr>
          <w:trHeight w:hRule="exact" w:val="314"/>
        </w:trPr>
        <w:tc>
          <w:tcPr>
            <w:tcW w:type="dxa" w:w="1820"/>
            <w:tcBorders/>
            <w:tcMar>
              <w:start w:w="0" w:type="dxa"/>
              <w:end w:w="0" w:type="dxa"/>
            </w:tcMar>
          </w:tcPr>
          <w:p>
            <w:pPr>
              <w:autoSpaceDN w:val="0"/>
              <w:autoSpaceDE w:val="0"/>
              <w:widowControl/>
              <w:spacing w:line="222"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2" w:lineRule="exact" w:before="32" w:after="0"/>
              <w:ind w:left="722" w:right="0" w:firstLine="0"/>
              <w:jc w:val="left"/>
            </w:pPr>
            <w:r>
              <w:rPr>
                <w:rFonts w:ascii="黑体" w:hAnsi="黑体" w:eastAsia="黑体"/>
                <w:b w:val="0"/>
                <w:i w:val="0"/>
                <w:color w:val="000000"/>
                <w:sz w:val="22"/>
              </w:rPr>
              <w:t>主管会计工作的公司负责人</w:t>
            </w:r>
          </w:p>
        </w:tc>
        <w:tc>
          <w:tcPr>
            <w:tcW w:type="dxa" w:w="2720"/>
            <w:tcBorders/>
            <w:tcMar>
              <w:start w:w="0" w:type="dxa"/>
              <w:end w:w="0" w:type="dxa"/>
            </w:tcMar>
          </w:tcPr>
          <w:p>
            <w:pPr>
              <w:autoSpaceDN w:val="0"/>
              <w:autoSpaceDE w:val="0"/>
              <w:widowControl/>
              <w:spacing w:line="222"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198" w:lineRule="exact" w:before="972"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348" w:after="0"/>
        <w:ind w:left="0" w:right="0" w:firstLine="0"/>
        <w:jc w:val="center"/>
      </w:pPr>
      <w:r>
        <w:rPr>
          <w:rFonts w:ascii="Arial" w:hAnsi="Arial" w:eastAsia="Arial"/>
          <w:b w:val="0"/>
          <w:i w:val="0"/>
          <w:color w:val="000000"/>
          <w:sz w:val="20"/>
        </w:rPr>
        <w:t xml:space="preserve">150 </w:t>
      </w:r>
    </w:p>
    <w:p>
      <w:pPr>
        <w:sectPr>
          <w:pgSz w:w="11899" w:h="16841"/>
          <w:pgMar w:top="732" w:right="1414" w:bottom="360" w:left="1432"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82" w:lineRule="exact" w:before="0" w:after="240"/>
        <w:ind w:left="0" w:right="0" w:firstLine="0"/>
        <w:jc w:val="center"/>
      </w:pPr>
      <w:r>
        <w:rPr>
          <w:rFonts w:ascii="黑体" w:hAnsi="黑体" w:eastAsia="黑体"/>
          <w:b w:val="0"/>
          <w:i w:val="0"/>
          <w:color w:val="000000"/>
          <w:sz w:val="16"/>
        </w:rPr>
        <w:t>合并及公司资产负债表（续）</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1008.0000000000001" w:type="dxa"/>
      </w:tblPr>
      <w:tblGrid>
        <w:gridCol w:w="1827"/>
        <w:gridCol w:w="1827"/>
        <w:gridCol w:w="1827"/>
        <w:gridCol w:w="1827"/>
        <w:gridCol w:w="1827"/>
      </w:tblGrid>
      <w:tr>
        <w:trPr>
          <w:trHeight w:hRule="exact" w:val="250"/>
        </w:trPr>
        <w:tc>
          <w:tcPr>
            <w:tcW w:type="dxa" w:w="2006"/>
            <w:tcBorders>
              <w:bottom w:sz="4.0" w:val="single" w:color="#000000"/>
            </w:tcBorders>
            <w:tcMar>
              <w:start w:w="0" w:type="dxa"/>
              <w:end w:w="0" w:type="dxa"/>
            </w:tcMar>
          </w:tcPr>
          <w:p/>
        </w:tc>
        <w:tc>
          <w:tcPr>
            <w:tcW w:type="dxa" w:w="1774"/>
            <w:tcBorders>
              <w:bottom w:sz="4.0" w:val="single" w:color="#000000"/>
            </w:tcBorders>
            <w:tcMar>
              <w:start w:w="0" w:type="dxa"/>
              <w:end w:w="0" w:type="dxa"/>
            </w:tcMar>
          </w:tcPr>
          <w:p>
            <w:pPr>
              <w:autoSpaceDN w:val="0"/>
              <w:autoSpaceDE w:val="0"/>
              <w:widowControl/>
              <w:spacing w:line="162" w:lineRule="exact" w:before="60" w:after="0"/>
              <w:ind w:left="0" w:right="68" w:firstLine="0"/>
              <w:jc w:val="right"/>
            </w:pPr>
            <w:r>
              <w:rPr>
                <w:rFonts w:ascii="黑体" w:hAnsi="黑体" w:eastAsia="黑体"/>
                <w:b w:val="0"/>
                <w:i w:val="0"/>
                <w:color w:val="000000"/>
                <w:sz w:val="16"/>
              </w:rPr>
              <w:t>本集团</w:t>
            </w:r>
          </w:p>
        </w:tc>
        <w:tc>
          <w:tcPr>
            <w:tcW w:type="dxa" w:w="1214"/>
            <w:tcBorders>
              <w:bottom w:sz="4.0" w:val="single" w:color="#000000"/>
            </w:tcBorders>
            <w:tcMar>
              <w:start w:w="0" w:type="dxa"/>
              <w:end w:w="0" w:type="dxa"/>
            </w:tcMar>
          </w:tcPr>
          <w:p/>
        </w:tc>
        <w:tc>
          <w:tcPr>
            <w:tcW w:type="dxa" w:w="1846"/>
            <w:tcBorders>
              <w:bottom w:sz="4.0" w:val="single" w:color="#000000"/>
            </w:tcBorders>
            <w:tcMar>
              <w:start w:w="0" w:type="dxa"/>
              <w:end w:w="0" w:type="dxa"/>
            </w:tcMar>
          </w:tcPr>
          <w:p>
            <w:pPr>
              <w:autoSpaceDN w:val="0"/>
              <w:autoSpaceDE w:val="0"/>
              <w:widowControl/>
              <w:spacing w:line="162" w:lineRule="exact" w:before="60" w:after="0"/>
              <w:ind w:left="0" w:right="54" w:firstLine="0"/>
              <w:jc w:val="right"/>
            </w:pPr>
            <w:r>
              <w:rPr>
                <w:rFonts w:ascii="黑体" w:hAnsi="黑体" w:eastAsia="黑体"/>
                <w:b w:val="0"/>
                <w:i w:val="0"/>
                <w:color w:val="000000"/>
                <w:sz w:val="16"/>
              </w:rPr>
              <w:t>本公司</w:t>
            </w:r>
          </w:p>
        </w:tc>
        <w:tc>
          <w:tcPr>
            <w:tcW w:type="dxa" w:w="1186"/>
            <w:tcBorders>
              <w:bottom w:sz="4.0" w:val="single" w:color="#000000"/>
            </w:tcBorders>
            <w:tcMar>
              <w:start w:w="0" w:type="dxa"/>
              <w:end w:w="0" w:type="dxa"/>
            </w:tcMar>
          </w:tcPr>
          <w:p/>
        </w:tc>
      </w:tr>
      <w:tr>
        <w:trPr>
          <w:trHeight w:hRule="exact" w:val="220"/>
        </w:trPr>
        <w:tc>
          <w:tcPr>
            <w:tcW w:type="dxa" w:w="2006"/>
            <w:tcBorders>
              <w:top w:sz="4.0" w:val="single" w:color="#000000"/>
            </w:tcBorders>
            <w:tcMar>
              <w:start w:w="0" w:type="dxa"/>
              <w:end w:w="0" w:type="dxa"/>
            </w:tcMar>
          </w:tcPr>
          <w:p>
            <w:pPr>
              <w:autoSpaceDN w:val="0"/>
              <w:autoSpaceDE w:val="0"/>
              <w:widowControl/>
              <w:spacing w:line="162" w:lineRule="exact" w:before="24" w:after="0"/>
              <w:ind w:left="0" w:right="652" w:firstLine="0"/>
              <w:jc w:val="right"/>
            </w:pPr>
            <w:r>
              <w:rPr>
                <w:rFonts w:ascii="黑体" w:hAnsi="黑体" w:eastAsia="黑体"/>
                <w:b w:val="0"/>
                <w:i w:val="0"/>
                <w:color w:val="000000"/>
                <w:sz w:val="16"/>
              </w:rPr>
              <w:t>附注</w:t>
            </w:r>
          </w:p>
        </w:tc>
        <w:tc>
          <w:tcPr>
            <w:tcW w:type="dxa" w:w="1774"/>
            <w:tcBorders>
              <w:top w:sz="4.0" w:val="single" w:color="#000000"/>
            </w:tcBorders>
            <w:tcMar>
              <w:start w:w="0" w:type="dxa"/>
              <w:end w:w="0" w:type="dxa"/>
            </w:tcMar>
          </w:tcPr>
          <w:p>
            <w:pPr>
              <w:autoSpaceDN w:val="0"/>
              <w:autoSpaceDE w:val="0"/>
              <w:widowControl/>
              <w:spacing w:line="178" w:lineRule="exact" w:before="24" w:after="0"/>
              <w:ind w:left="256" w:right="0" w:firstLine="0"/>
              <w:jc w:val="left"/>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214"/>
            <w:tcBorders>
              <w:top w:sz="4.0" w:val="single" w:color="#000000"/>
            </w:tcBorders>
            <w:tcMar>
              <w:start w:w="0" w:type="dxa"/>
              <w:end w:w="0" w:type="dxa"/>
            </w:tcMar>
          </w:tcPr>
          <w:p>
            <w:pPr>
              <w:autoSpaceDN w:val="0"/>
              <w:autoSpaceDE w:val="0"/>
              <w:widowControl/>
              <w:spacing w:line="178" w:lineRule="exact" w:before="24" w:after="0"/>
              <w:ind w:left="84" w:right="0" w:firstLine="0"/>
              <w:jc w:val="left"/>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846"/>
            <w:tcBorders>
              <w:top w:sz="4.0" w:val="single" w:color="#000000"/>
            </w:tcBorders>
            <w:tcMar>
              <w:start w:w="0" w:type="dxa"/>
              <w:end w:w="0" w:type="dxa"/>
            </w:tcMar>
          </w:tcPr>
          <w:p>
            <w:pPr>
              <w:autoSpaceDN w:val="0"/>
              <w:autoSpaceDE w:val="0"/>
              <w:widowControl/>
              <w:spacing w:line="178" w:lineRule="exact" w:before="24" w:after="0"/>
              <w:ind w:left="272" w:right="0" w:firstLine="0"/>
              <w:jc w:val="left"/>
            </w:pPr>
            <w:r>
              <w:rPr>
                <w:rFonts w:ascii="Calibri" w:hAnsi="Calibri" w:eastAsia="Calibri"/>
                <w:b/>
                <w:i w:val="0"/>
                <w:color w:val="000000"/>
                <w:sz w:val="16"/>
                <w:u w:val="single"/>
              </w:rPr>
              <w:t>2024</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c>
          <w:tcPr>
            <w:tcW w:type="dxa" w:w="1186"/>
            <w:tcBorders>
              <w:top w:sz="4.0" w:val="single" w:color="#000000"/>
            </w:tcBorders>
            <w:tcMar>
              <w:start w:w="0" w:type="dxa"/>
              <w:end w:w="0" w:type="dxa"/>
            </w:tcMar>
          </w:tcPr>
          <w:p>
            <w:pPr>
              <w:autoSpaceDN w:val="0"/>
              <w:autoSpaceDE w:val="0"/>
              <w:widowControl/>
              <w:spacing w:line="178" w:lineRule="exact" w:before="24" w:after="0"/>
              <w:ind w:left="0" w:right="0" w:firstLine="0"/>
              <w:jc w:val="center"/>
            </w:pPr>
            <w:r>
              <w:rPr>
                <w:rFonts w:ascii="Calibri" w:hAnsi="Calibri" w:eastAsia="Calibri"/>
                <w:b/>
                <w:i w:val="0"/>
                <w:color w:val="000000"/>
                <w:sz w:val="16"/>
                <w:u w:val="single"/>
              </w:rPr>
              <w:t>2023</w:t>
            </w:r>
            <w:r>
              <w:rPr>
                <w:rFonts w:ascii="黑体" w:hAnsi="黑体" w:eastAsia="黑体"/>
                <w:b w:val="0"/>
                <w:i w:val="0"/>
                <w:color w:val="000000"/>
                <w:sz w:val="16"/>
                <w:u w:val="single"/>
              </w:rPr>
              <w:t>年</w:t>
            </w:r>
            <w:r>
              <w:rPr>
                <w:rFonts w:ascii="Calibri" w:hAnsi="Calibri" w:eastAsia="Calibri"/>
                <w:b/>
                <w:i w:val="0"/>
                <w:color w:val="000000"/>
                <w:sz w:val="16"/>
                <w:u w:val="single"/>
              </w:rPr>
              <w:t>12</w:t>
            </w:r>
            <w:r>
              <w:rPr>
                <w:rFonts w:ascii="黑体" w:hAnsi="黑体" w:eastAsia="黑体"/>
                <w:b w:val="0"/>
                <w:i w:val="0"/>
                <w:color w:val="000000"/>
                <w:sz w:val="16"/>
                <w:u w:val="single"/>
              </w:rPr>
              <w:t>月</w:t>
            </w:r>
            <w:r>
              <w:rPr>
                <w:rFonts w:ascii="Calibri" w:hAnsi="Calibri" w:eastAsia="Calibri"/>
                <w:b/>
                <w:i w:val="0"/>
                <w:color w:val="000000"/>
                <w:sz w:val="16"/>
                <w:u w:val="single"/>
              </w:rPr>
              <w:t>31</w:t>
            </w:r>
            <w:r>
              <w:rPr>
                <w:rFonts w:ascii="黑体" w:hAnsi="黑体" w:eastAsia="黑体"/>
                <w:b w:val="0"/>
                <w:i w:val="0"/>
                <w:color w:val="000000"/>
                <w:sz w:val="16"/>
                <w:u w:val="single"/>
              </w:rPr>
              <w:t>日</w:t>
            </w:r>
          </w:p>
        </w:tc>
      </w:tr>
    </w:tbl>
    <w:p>
      <w:pPr>
        <w:autoSpaceDN w:val="0"/>
        <w:autoSpaceDE w:val="0"/>
        <w:widowControl/>
        <w:spacing w:line="160" w:lineRule="exact" w:before="16" w:after="0"/>
        <w:ind w:left="8" w:right="0" w:firstLine="0"/>
        <w:jc w:val="left"/>
      </w:pPr>
      <w:r>
        <w:rPr>
          <w:rFonts w:ascii="黑体" w:hAnsi="黑体" w:eastAsia="黑体"/>
          <w:b w:val="0"/>
          <w:i w:val="0"/>
          <w:color w:val="000000"/>
          <w:sz w:val="16"/>
        </w:rPr>
        <w:t>负债及股东权益（续）</w:t>
      </w:r>
    </w:p>
    <w:p>
      <w:pPr>
        <w:autoSpaceDN w:val="0"/>
        <w:autoSpaceDE w:val="0"/>
        <w:widowControl/>
        <w:spacing w:line="162" w:lineRule="exact" w:before="242" w:after="24"/>
        <w:ind w:left="6" w:right="0" w:firstLine="0"/>
        <w:jc w:val="left"/>
      </w:pPr>
      <w:r>
        <w:rPr>
          <w:rFonts w:ascii="黑体" w:hAnsi="黑体" w:eastAsia="黑体"/>
          <w:b w:val="0"/>
          <w:i w:val="0"/>
          <w:color w:val="000000"/>
          <w:sz w:val="16"/>
        </w:rPr>
        <w:t>股东权益</w:t>
      </w:r>
    </w:p>
    <w:tbl>
      <w:tblPr>
        <w:tblW w:type="auto" w:w="0"/>
        <w:tblLayout w:type="fixed"/>
        <w:tblLook w:firstColumn="1" w:firstRow="1" w:lastColumn="0" w:lastRow="0" w:noHBand="0" w:noVBand="1" w:val="04A0"/>
        <w:tblInd w:w="-11.999999999999886" w:type="dxa"/>
      </w:tblPr>
      <w:tblGrid>
        <w:gridCol w:w="1523"/>
        <w:gridCol w:w="1523"/>
        <w:gridCol w:w="1523"/>
        <w:gridCol w:w="1523"/>
        <w:gridCol w:w="1523"/>
        <w:gridCol w:w="1523"/>
      </w:tblGrid>
      <w:tr>
        <w:trPr>
          <w:trHeight w:hRule="exact" w:val="226"/>
        </w:trPr>
        <w:tc>
          <w:tcPr>
            <w:tcW w:type="dxa" w:w="2000"/>
            <w:tcBorders/>
            <w:tcMar>
              <w:start w:w="0" w:type="dxa"/>
              <w:end w:w="0" w:type="dxa"/>
            </w:tcMar>
          </w:tcPr>
          <w:p>
            <w:pPr>
              <w:autoSpaceDN w:val="0"/>
              <w:autoSpaceDE w:val="0"/>
              <w:widowControl/>
              <w:spacing w:line="160" w:lineRule="exact" w:before="24" w:after="0"/>
              <w:ind w:left="166" w:right="0" w:firstLine="0"/>
              <w:jc w:val="left"/>
            </w:pPr>
            <w:r>
              <w:rPr>
                <w:rFonts w:ascii="黑体" w:hAnsi="黑体" w:eastAsia="黑体"/>
                <w:b w:val="0"/>
                <w:i w:val="0"/>
                <w:color w:val="000000"/>
                <w:sz w:val="16"/>
              </w:rPr>
              <w:t>股本</w:t>
            </w:r>
          </w:p>
        </w:tc>
        <w:tc>
          <w:tcPr>
            <w:tcW w:type="dxa" w:w="1026"/>
            <w:tcBorders/>
            <w:tcMar>
              <w:start w:w="0" w:type="dxa"/>
              <w:end w:w="0" w:type="dxa"/>
            </w:tcMar>
          </w:tcPr>
          <w:p>
            <w:pPr>
              <w:autoSpaceDN w:val="0"/>
              <w:autoSpaceDE w:val="0"/>
              <w:widowControl/>
              <w:spacing w:line="178" w:lineRule="exact" w:before="24"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33 </w:t>
            </w:r>
          </w:p>
        </w:tc>
        <w:tc>
          <w:tcPr>
            <w:tcW w:type="dxa" w:w="1628"/>
            <w:tcBorders/>
            <w:tcMar>
              <w:start w:w="0" w:type="dxa"/>
              <w:end w:w="0" w:type="dxa"/>
            </w:tcMar>
          </w:tcPr>
          <w:p>
            <w:pPr>
              <w:autoSpaceDN w:val="0"/>
              <w:autoSpaceDE w:val="0"/>
              <w:widowControl/>
              <w:spacing w:line="197" w:lineRule="auto" w:before="44" w:after="0"/>
              <w:ind w:left="0" w:right="240" w:firstLine="0"/>
              <w:jc w:val="right"/>
            </w:pPr>
            <w:r>
              <w:rPr>
                <w:rFonts w:ascii="Calibri" w:hAnsi="Calibri" w:eastAsia="Calibri"/>
                <w:b w:val="0"/>
                <w:i w:val="0"/>
                <w:color w:val="000000"/>
                <w:sz w:val="16"/>
              </w:rPr>
              <w:t>3,589,771,547</w:t>
            </w:r>
          </w:p>
        </w:tc>
        <w:tc>
          <w:tcPr>
            <w:tcW w:type="dxa" w:w="1502"/>
            <w:tcBorders/>
            <w:tcMar>
              <w:start w:w="0" w:type="dxa"/>
              <w:end w:w="0" w:type="dxa"/>
            </w:tcMar>
          </w:tcPr>
          <w:p>
            <w:pPr>
              <w:autoSpaceDN w:val="0"/>
              <w:autoSpaceDE w:val="0"/>
              <w:widowControl/>
              <w:spacing w:line="197" w:lineRule="auto" w:before="44" w:after="0"/>
              <w:ind w:left="0" w:right="106" w:firstLine="0"/>
              <w:jc w:val="right"/>
            </w:pPr>
            <w:r>
              <w:rPr>
                <w:rFonts w:ascii="Calibri" w:hAnsi="Calibri" w:eastAsia="Calibri"/>
                <w:b w:val="0"/>
                <w:i w:val="0"/>
                <w:color w:val="000000"/>
                <w:sz w:val="16"/>
              </w:rPr>
              <w:t xml:space="preserve">3,589,771,547 </w:t>
            </w:r>
          </w:p>
        </w:tc>
        <w:tc>
          <w:tcPr>
            <w:tcW w:type="dxa" w:w="1460"/>
            <w:tcBorders/>
            <w:tcMar>
              <w:start w:w="0" w:type="dxa"/>
              <w:end w:w="0" w:type="dxa"/>
            </w:tcMar>
          </w:tcPr>
          <w:p>
            <w:pPr>
              <w:autoSpaceDN w:val="0"/>
              <w:autoSpaceDE w:val="0"/>
              <w:widowControl/>
              <w:spacing w:line="197" w:lineRule="auto" w:before="44" w:after="0"/>
              <w:ind w:left="328" w:right="0" w:firstLine="0"/>
              <w:jc w:val="left"/>
            </w:pPr>
            <w:r>
              <w:rPr>
                <w:rFonts w:ascii="Calibri" w:hAnsi="Calibri" w:eastAsia="Calibri"/>
                <w:b w:val="0"/>
                <w:i w:val="0"/>
                <w:color w:val="000000"/>
                <w:sz w:val="16"/>
              </w:rPr>
              <w:t>3,589,771,547</w:t>
            </w:r>
          </w:p>
        </w:tc>
        <w:tc>
          <w:tcPr>
            <w:tcW w:type="dxa" w:w="1524"/>
            <w:tcBorders/>
            <w:tcMar>
              <w:start w:w="0" w:type="dxa"/>
              <w:end w:w="0" w:type="dxa"/>
            </w:tcMar>
          </w:tcPr>
          <w:p>
            <w:pPr>
              <w:autoSpaceDN w:val="0"/>
              <w:autoSpaceDE w:val="0"/>
              <w:widowControl/>
              <w:spacing w:line="197" w:lineRule="auto" w:before="44" w:after="0"/>
              <w:ind w:left="0" w:right="92" w:firstLine="0"/>
              <w:jc w:val="right"/>
            </w:pPr>
            <w:r>
              <w:rPr>
                <w:rFonts w:ascii="Calibri" w:hAnsi="Calibri" w:eastAsia="Calibri"/>
                <w:b w:val="0"/>
                <w:i w:val="0"/>
                <w:color w:val="000000"/>
                <w:sz w:val="16"/>
              </w:rPr>
              <w:t>3,589,771,547</w:t>
            </w:r>
          </w:p>
        </w:tc>
      </w:tr>
      <w:tr>
        <w:trPr>
          <w:trHeight w:hRule="exact" w:val="170"/>
        </w:trPr>
        <w:tc>
          <w:tcPr>
            <w:tcW w:type="dxa" w:w="2000"/>
            <w:tcBorders/>
            <w:tcMar>
              <w:start w:w="0" w:type="dxa"/>
              <w:end w:w="0" w:type="dxa"/>
            </w:tcMar>
          </w:tcPr>
          <w:p>
            <w:pPr>
              <w:autoSpaceDN w:val="0"/>
              <w:autoSpaceDE w:val="0"/>
              <w:widowControl/>
              <w:spacing w:line="160" w:lineRule="exact" w:before="4" w:after="0"/>
              <w:ind w:left="166" w:right="0" w:firstLine="0"/>
              <w:jc w:val="left"/>
            </w:pPr>
            <w:r>
              <w:rPr>
                <w:rFonts w:ascii="黑体" w:hAnsi="黑体" w:eastAsia="黑体"/>
                <w:b w:val="0"/>
                <w:i w:val="0"/>
                <w:color w:val="000000"/>
                <w:sz w:val="16"/>
              </w:rPr>
              <w:t>资本公积</w:t>
            </w:r>
          </w:p>
        </w:tc>
        <w:tc>
          <w:tcPr>
            <w:tcW w:type="dxa" w:w="1026"/>
            <w:tcBorders/>
            <w:tcMar>
              <w:start w:w="0" w:type="dxa"/>
              <w:end w:w="0" w:type="dxa"/>
            </w:tcMar>
          </w:tcPr>
          <w:p>
            <w:pPr>
              <w:autoSpaceDN w:val="0"/>
              <w:autoSpaceDE w:val="0"/>
              <w:widowControl/>
              <w:spacing w:line="178" w:lineRule="exact" w:before="0"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34 </w:t>
            </w:r>
          </w:p>
        </w:tc>
        <w:tc>
          <w:tcPr>
            <w:tcW w:type="dxa" w:w="1628"/>
            <w:tcBorders/>
            <w:tcMar>
              <w:start w:w="0" w:type="dxa"/>
              <w:end w:w="0" w:type="dxa"/>
            </w:tcMar>
          </w:tcPr>
          <w:p>
            <w:pPr>
              <w:autoSpaceDN w:val="0"/>
              <w:autoSpaceDE w:val="0"/>
              <w:widowControl/>
              <w:spacing w:line="197" w:lineRule="auto" w:before="10" w:after="0"/>
              <w:ind w:left="0" w:right="240" w:firstLine="0"/>
              <w:jc w:val="right"/>
            </w:pPr>
            <w:r>
              <w:rPr>
                <w:rFonts w:ascii="Calibri" w:hAnsi="Calibri" w:eastAsia="Calibri"/>
                <w:b w:val="0"/>
                <w:i w:val="0"/>
                <w:color w:val="000000"/>
                <w:sz w:val="16"/>
              </w:rPr>
              <w:t>9,723,419,390</w:t>
            </w:r>
          </w:p>
        </w:tc>
        <w:tc>
          <w:tcPr>
            <w:tcW w:type="dxa" w:w="1502"/>
            <w:tcBorders/>
            <w:tcMar>
              <w:start w:w="0" w:type="dxa"/>
              <w:end w:w="0" w:type="dxa"/>
            </w:tcMar>
          </w:tcPr>
          <w:p>
            <w:pPr>
              <w:autoSpaceDN w:val="0"/>
              <w:autoSpaceDE w:val="0"/>
              <w:widowControl/>
              <w:spacing w:line="197" w:lineRule="auto" w:before="10" w:after="0"/>
              <w:ind w:left="0" w:right="106" w:firstLine="0"/>
              <w:jc w:val="right"/>
            </w:pPr>
            <w:r>
              <w:rPr>
                <w:rFonts w:ascii="Calibri" w:hAnsi="Calibri" w:eastAsia="Calibri"/>
                <w:b w:val="0"/>
                <w:i w:val="0"/>
                <w:color w:val="000000"/>
                <w:sz w:val="16"/>
              </w:rPr>
              <w:t xml:space="preserve">9,723,419,390 </w:t>
            </w:r>
          </w:p>
        </w:tc>
        <w:tc>
          <w:tcPr>
            <w:tcW w:type="dxa" w:w="1460"/>
            <w:tcBorders/>
            <w:tcMar>
              <w:start w:w="0" w:type="dxa"/>
              <w:end w:w="0" w:type="dxa"/>
            </w:tcMar>
          </w:tcPr>
          <w:p>
            <w:pPr>
              <w:autoSpaceDN w:val="0"/>
              <w:autoSpaceDE w:val="0"/>
              <w:widowControl/>
              <w:spacing w:line="197" w:lineRule="auto" w:before="10" w:after="0"/>
              <w:ind w:left="328" w:right="0" w:firstLine="0"/>
              <w:jc w:val="left"/>
            </w:pPr>
            <w:r>
              <w:rPr>
                <w:rFonts w:ascii="Calibri" w:hAnsi="Calibri" w:eastAsia="Calibri"/>
                <w:b w:val="0"/>
                <w:i w:val="0"/>
                <w:color w:val="000000"/>
                <w:sz w:val="16"/>
              </w:rPr>
              <w:t>9,688,853,085</w:t>
            </w:r>
          </w:p>
        </w:tc>
        <w:tc>
          <w:tcPr>
            <w:tcW w:type="dxa" w:w="1524"/>
            <w:tcBorders/>
            <w:tcMar>
              <w:start w:w="0" w:type="dxa"/>
              <w:end w:w="0" w:type="dxa"/>
            </w:tcMar>
          </w:tcPr>
          <w:p>
            <w:pPr>
              <w:autoSpaceDN w:val="0"/>
              <w:autoSpaceDE w:val="0"/>
              <w:widowControl/>
              <w:spacing w:line="197" w:lineRule="auto" w:before="10" w:after="0"/>
              <w:ind w:left="0" w:right="92" w:firstLine="0"/>
              <w:jc w:val="right"/>
            </w:pPr>
            <w:r>
              <w:rPr>
                <w:rFonts w:ascii="Calibri" w:hAnsi="Calibri" w:eastAsia="Calibri"/>
                <w:b w:val="0"/>
                <w:i w:val="0"/>
                <w:color w:val="000000"/>
                <w:sz w:val="16"/>
              </w:rPr>
              <w:t>9,688,853,085</w:t>
            </w:r>
          </w:p>
        </w:tc>
      </w:tr>
      <w:tr>
        <w:trPr>
          <w:trHeight w:hRule="exact" w:val="200"/>
        </w:trPr>
        <w:tc>
          <w:tcPr>
            <w:tcW w:type="dxa" w:w="2000"/>
            <w:tcBorders/>
            <w:tcMar>
              <w:start w:w="0" w:type="dxa"/>
              <w:end w:w="0" w:type="dxa"/>
            </w:tcMar>
          </w:tcPr>
          <w:p>
            <w:pPr>
              <w:autoSpaceDN w:val="0"/>
              <w:autoSpaceDE w:val="0"/>
              <w:widowControl/>
              <w:spacing w:line="162" w:lineRule="exact" w:before="38" w:after="0"/>
              <w:ind w:left="166" w:right="0" w:firstLine="0"/>
              <w:jc w:val="left"/>
            </w:pPr>
            <w:r>
              <w:rPr>
                <w:rFonts w:ascii="黑体" w:hAnsi="黑体" w:eastAsia="黑体"/>
                <w:b w:val="0"/>
                <w:i w:val="0"/>
                <w:color w:val="000000"/>
                <w:sz w:val="16"/>
              </w:rPr>
              <w:t>其他综合收益</w:t>
            </w:r>
          </w:p>
        </w:tc>
        <w:tc>
          <w:tcPr>
            <w:tcW w:type="dxa" w:w="1026"/>
            <w:tcBorders/>
            <w:tcMar>
              <w:start w:w="0" w:type="dxa"/>
              <w:end w:w="0" w:type="dxa"/>
            </w:tcMar>
          </w:tcPr>
          <w:p>
            <w:pPr>
              <w:autoSpaceDN w:val="0"/>
              <w:autoSpaceDE w:val="0"/>
              <w:widowControl/>
              <w:spacing w:line="178" w:lineRule="exact" w:before="22"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35 </w:t>
            </w:r>
          </w:p>
        </w:tc>
        <w:tc>
          <w:tcPr>
            <w:tcW w:type="dxa" w:w="1628"/>
            <w:vMerge w:val="restart"/>
            <w:tcBorders/>
            <w:tcMar>
              <w:start w:w="0" w:type="dxa"/>
              <w:end w:w="0" w:type="dxa"/>
            </w:tcMar>
            <w:tcMar>
              <w:start w:w="0" w:type="dxa"/>
              <w:end w:w="0" w:type="dxa"/>
            </w:tcMar>
          </w:tcPr>
          <w:p>
            <w:pPr>
              <w:autoSpaceDN w:val="0"/>
              <w:autoSpaceDE w:val="0"/>
              <w:widowControl/>
              <w:spacing w:line="197" w:lineRule="auto" w:before="62" w:after="0"/>
              <w:ind w:left="0" w:right="156" w:firstLine="0"/>
              <w:jc w:val="right"/>
            </w:pPr>
            <w:r>
              <w:rPr>
                <w:rFonts w:ascii="Calibri" w:hAnsi="Calibri" w:eastAsia="Calibri"/>
                <w:b w:val="0"/>
                <w:i w:val="0"/>
                <w:color w:val="000000"/>
                <w:sz w:val="16"/>
              </w:rPr>
              <w:t xml:space="preserve">(65,582,068) </w:t>
            </w:r>
          </w:p>
        </w:tc>
        <w:tc>
          <w:tcPr>
            <w:tcW w:type="dxa" w:w="1502"/>
            <w:vMerge w:val="restart"/>
            <w:tcBorders/>
            <w:tcMar>
              <w:start w:w="0" w:type="dxa"/>
              <w:end w:w="0" w:type="dxa"/>
            </w:tcMar>
            <w:tcMar>
              <w:start w:w="0" w:type="dxa"/>
              <w:end w:w="0" w:type="dxa"/>
            </w:tcMar>
          </w:tcPr>
          <w:p>
            <w:pPr>
              <w:autoSpaceDN w:val="0"/>
              <w:autoSpaceDE w:val="0"/>
              <w:widowControl/>
              <w:spacing w:line="197" w:lineRule="auto" w:before="62" w:after="0"/>
              <w:ind w:left="0" w:right="58" w:firstLine="0"/>
              <w:jc w:val="right"/>
            </w:pPr>
            <w:r>
              <w:rPr>
                <w:rFonts w:ascii="Calibri" w:hAnsi="Calibri" w:eastAsia="Calibri"/>
                <w:b w:val="0"/>
                <w:i w:val="0"/>
                <w:color w:val="000000"/>
                <w:sz w:val="16"/>
              </w:rPr>
              <w:t xml:space="preserve">(79,534,061 ) </w:t>
            </w:r>
          </w:p>
        </w:tc>
        <w:tc>
          <w:tcPr>
            <w:tcW w:type="dxa" w:w="1460"/>
            <w:vMerge w:val="restart"/>
            <w:tcBorders/>
            <w:tcMar>
              <w:start w:w="0" w:type="dxa"/>
              <w:end w:w="0" w:type="dxa"/>
            </w:tcMar>
            <w:tcMar>
              <w:start w:w="0" w:type="dxa"/>
              <w:end w:w="0" w:type="dxa"/>
            </w:tcMar>
          </w:tcPr>
          <w:p>
            <w:pPr>
              <w:autoSpaceDN w:val="0"/>
              <w:autoSpaceDE w:val="0"/>
              <w:widowControl/>
              <w:spacing w:line="197" w:lineRule="auto" w:before="62" w:after="0"/>
              <w:ind w:left="0" w:right="116" w:firstLine="0"/>
              <w:jc w:val="right"/>
            </w:pPr>
            <w:r>
              <w:rPr>
                <w:rFonts w:ascii="Calibri" w:hAnsi="Calibri" w:eastAsia="Calibri"/>
                <w:b w:val="0"/>
                <w:i w:val="0"/>
                <w:color w:val="000000"/>
                <w:sz w:val="16"/>
              </w:rPr>
              <w:t xml:space="preserve">(149,073,633) </w:t>
            </w:r>
          </w:p>
        </w:tc>
        <w:tc>
          <w:tcPr>
            <w:tcW w:type="dxa" w:w="1524"/>
            <w:vMerge w:val="restart"/>
            <w:tcBorders/>
            <w:tcMar>
              <w:start w:w="0" w:type="dxa"/>
              <w:end w:w="0" w:type="dxa"/>
            </w:tcMar>
            <w:tcMar>
              <w:start w:w="0" w:type="dxa"/>
              <w:end w:w="0" w:type="dxa"/>
            </w:tcMar>
          </w:tcPr>
          <w:p>
            <w:pPr>
              <w:autoSpaceDN w:val="0"/>
              <w:autoSpaceDE w:val="0"/>
              <w:widowControl/>
              <w:spacing w:line="197" w:lineRule="auto" w:before="62" w:after="0"/>
              <w:ind w:left="0" w:right="10" w:firstLine="0"/>
              <w:jc w:val="right"/>
            </w:pPr>
            <w:r>
              <w:rPr>
                <w:rFonts w:ascii="Calibri" w:hAnsi="Calibri" w:eastAsia="Calibri"/>
                <w:b w:val="0"/>
                <w:i w:val="0"/>
                <w:color w:val="000000"/>
                <w:sz w:val="16"/>
              </w:rPr>
              <w:t xml:space="preserve">(145,769,934) </w:t>
            </w:r>
          </w:p>
        </w:tc>
      </w:tr>
      <w:tr>
        <w:trPr>
          <w:trHeight w:hRule="exact" w:val="44"/>
        </w:trPr>
        <w:tc>
          <w:tcPr>
            <w:tcW w:type="dxa" w:w="2000"/>
            <w:vMerge w:val="restart"/>
            <w:tcBorders/>
            <w:tcMar>
              <w:start w:w="0" w:type="dxa"/>
              <w:end w:w="0" w:type="dxa"/>
            </w:tcMar>
            <w:tcMar>
              <w:start w:w="0" w:type="dxa"/>
              <w:end w:w="0" w:type="dxa"/>
            </w:tcMar>
          </w:tcPr>
          <w:p>
            <w:pPr>
              <w:autoSpaceDN w:val="0"/>
              <w:autoSpaceDE w:val="0"/>
              <w:widowControl/>
              <w:spacing w:line="162" w:lineRule="exact" w:before="38" w:after="0"/>
              <w:ind w:left="166" w:right="0" w:firstLine="0"/>
              <w:jc w:val="left"/>
            </w:pPr>
            <w:r>
              <w:rPr>
                <w:rFonts w:ascii="黑体" w:hAnsi="黑体" w:eastAsia="黑体"/>
                <w:b w:val="0"/>
                <w:i w:val="0"/>
                <w:color w:val="000000"/>
                <w:sz w:val="16"/>
              </w:rPr>
              <w:t>盈余公积</w:t>
            </w:r>
          </w:p>
        </w:tc>
        <w:tc>
          <w:tcPr>
            <w:tcW w:type="dxa" w:w="1026"/>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48"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36 </w:t>
            </w:r>
          </w:p>
        </w:tc>
        <w:tc>
          <w:tcPr>
            <w:tcW w:type="dxa" w:w="1523"/>
            <w:vMerge/>
            <w:tcBorders/>
          </w:tcPr>
          <w:p/>
        </w:tc>
        <w:tc>
          <w:tcPr>
            <w:tcW w:type="dxa" w:w="1523"/>
            <w:vMerge/>
            <w:tcBorders/>
          </w:tcPr>
          <w:p/>
        </w:tc>
        <w:tc>
          <w:tcPr>
            <w:tcW w:type="dxa" w:w="1523"/>
            <w:vMerge/>
            <w:tcBorders/>
          </w:tcPr>
          <w:p/>
        </w:tc>
        <w:tc>
          <w:tcPr>
            <w:tcW w:type="dxa" w:w="1523"/>
            <w:vMerge/>
            <w:tcBorders/>
          </w:tcPr>
          <w:p/>
        </w:tc>
      </w:tr>
      <w:tr>
        <w:trPr>
          <w:trHeight w:hRule="exact" w:val="156"/>
        </w:trPr>
        <w:tc>
          <w:tcPr>
            <w:tcW w:type="dxa" w:w="1523"/>
            <w:vMerge/>
            <w:tcBorders/>
          </w:tcPr>
          <w:p/>
        </w:tc>
        <w:tc>
          <w:tcPr>
            <w:tcW w:type="dxa" w:w="1523"/>
            <w:vMerge/>
            <w:tcBorders/>
          </w:tcPr>
          <w:p/>
        </w:tc>
        <w:tc>
          <w:tcPr>
            <w:tcW w:type="dxa" w:w="1628"/>
            <w:vMerge w:val="restart"/>
            <w:tcBorders/>
            <w:tcMar>
              <w:start w:w="0" w:type="dxa"/>
              <w:end w:w="0" w:type="dxa"/>
            </w:tcMar>
            <w:tcMar>
              <w:start w:w="0" w:type="dxa"/>
              <w:end w:w="0" w:type="dxa"/>
            </w:tcMar>
          </w:tcPr>
          <w:p>
            <w:pPr>
              <w:autoSpaceDN w:val="0"/>
              <w:autoSpaceDE w:val="0"/>
              <w:widowControl/>
              <w:spacing w:line="199" w:lineRule="auto" w:before="24" w:after="0"/>
              <w:ind w:left="0" w:right="240" w:firstLine="0"/>
              <w:jc w:val="right"/>
            </w:pPr>
            <w:r>
              <w:rPr>
                <w:rFonts w:ascii="Calibri" w:hAnsi="Calibri" w:eastAsia="Calibri"/>
                <w:b w:val="0"/>
                <w:i w:val="0"/>
                <w:color w:val="000000"/>
                <w:sz w:val="16"/>
              </w:rPr>
              <w:t>875,364,199</w:t>
            </w:r>
          </w:p>
        </w:tc>
        <w:tc>
          <w:tcPr>
            <w:tcW w:type="dxa" w:w="1502"/>
            <w:vMerge w:val="restart"/>
            <w:tcBorders/>
            <w:tcMar>
              <w:start w:w="0" w:type="dxa"/>
              <w:end w:w="0" w:type="dxa"/>
            </w:tcMar>
            <w:tcMar>
              <w:start w:w="0" w:type="dxa"/>
              <w:end w:w="0" w:type="dxa"/>
            </w:tcMar>
          </w:tcPr>
          <w:p>
            <w:pPr>
              <w:autoSpaceDN w:val="0"/>
              <w:autoSpaceDE w:val="0"/>
              <w:widowControl/>
              <w:spacing w:line="199" w:lineRule="auto" w:before="24" w:after="0"/>
              <w:ind w:left="0" w:right="106" w:firstLine="0"/>
              <w:jc w:val="right"/>
            </w:pPr>
            <w:r>
              <w:rPr>
                <w:rFonts w:ascii="Calibri" w:hAnsi="Calibri" w:eastAsia="Calibri"/>
                <w:b w:val="0"/>
                <w:i w:val="0"/>
                <w:color w:val="000000"/>
                <w:sz w:val="16"/>
              </w:rPr>
              <w:t xml:space="preserve">813,347,453 </w:t>
            </w:r>
          </w:p>
        </w:tc>
        <w:tc>
          <w:tcPr>
            <w:tcW w:type="dxa" w:w="1460"/>
            <w:vMerge w:val="restart"/>
            <w:tcBorders/>
            <w:tcMar>
              <w:start w:w="0" w:type="dxa"/>
              <w:end w:w="0" w:type="dxa"/>
            </w:tcMar>
            <w:tcMar>
              <w:start w:w="0" w:type="dxa"/>
              <w:end w:w="0" w:type="dxa"/>
            </w:tcMar>
          </w:tcPr>
          <w:p>
            <w:pPr>
              <w:autoSpaceDN w:val="0"/>
              <w:autoSpaceDE w:val="0"/>
              <w:widowControl/>
              <w:spacing w:line="199" w:lineRule="auto" w:before="24" w:after="0"/>
              <w:ind w:left="0" w:right="198" w:firstLine="0"/>
              <w:jc w:val="right"/>
            </w:pPr>
            <w:r>
              <w:rPr>
                <w:rFonts w:ascii="Calibri" w:hAnsi="Calibri" w:eastAsia="Calibri"/>
                <w:b w:val="0"/>
                <w:i w:val="0"/>
                <w:color w:val="000000"/>
                <w:sz w:val="16"/>
              </w:rPr>
              <w:t>875,364,199</w:t>
            </w:r>
          </w:p>
        </w:tc>
        <w:tc>
          <w:tcPr>
            <w:tcW w:type="dxa" w:w="1524"/>
            <w:vMerge w:val="restart"/>
            <w:tcBorders/>
            <w:tcMar>
              <w:start w:w="0" w:type="dxa"/>
              <w:end w:w="0" w:type="dxa"/>
            </w:tcMar>
            <w:tcMar>
              <w:start w:w="0" w:type="dxa"/>
              <w:end w:w="0" w:type="dxa"/>
            </w:tcMar>
          </w:tcPr>
          <w:p>
            <w:pPr>
              <w:autoSpaceDN w:val="0"/>
              <w:autoSpaceDE w:val="0"/>
              <w:widowControl/>
              <w:spacing w:line="199" w:lineRule="auto" w:before="24" w:after="0"/>
              <w:ind w:left="0" w:right="92" w:firstLine="0"/>
              <w:jc w:val="right"/>
            </w:pPr>
            <w:r>
              <w:rPr>
                <w:rFonts w:ascii="Calibri" w:hAnsi="Calibri" w:eastAsia="Calibri"/>
                <w:b w:val="0"/>
                <w:i w:val="0"/>
                <w:color w:val="000000"/>
                <w:sz w:val="16"/>
              </w:rPr>
              <w:t>813,347,453</w:t>
            </w:r>
          </w:p>
        </w:tc>
      </w:tr>
      <w:tr>
        <w:trPr>
          <w:trHeight w:hRule="exact" w:val="53"/>
        </w:trPr>
        <w:tc>
          <w:tcPr>
            <w:tcW w:type="dxa" w:w="2000"/>
            <w:vMerge w:val="restart"/>
            <w:tcBorders/>
            <w:tcMar>
              <w:start w:w="0" w:type="dxa"/>
              <w:end w:w="0" w:type="dxa"/>
            </w:tcMar>
            <w:tcMar>
              <w:start w:w="0" w:type="dxa"/>
              <w:end w:w="0" w:type="dxa"/>
            </w:tcMar>
          </w:tcPr>
          <w:p>
            <w:pPr>
              <w:autoSpaceDN w:val="0"/>
              <w:autoSpaceDE w:val="0"/>
              <w:widowControl/>
              <w:spacing w:line="160" w:lineRule="exact" w:before="58" w:after="0"/>
              <w:ind w:left="166" w:right="0" w:firstLine="0"/>
              <w:jc w:val="left"/>
            </w:pPr>
            <w:r>
              <w:rPr>
                <w:rFonts w:ascii="黑体" w:hAnsi="黑体" w:eastAsia="黑体"/>
                <w:b w:val="0"/>
                <w:i w:val="0"/>
                <w:color w:val="000000"/>
                <w:sz w:val="16"/>
              </w:rPr>
              <w:t>一般风险准备</w:t>
            </w:r>
          </w:p>
        </w:tc>
        <w:tc>
          <w:tcPr>
            <w:tcW w:type="dxa" w:w="1523"/>
            <w:vMerge/>
            <w:tcBorders/>
          </w:tcPr>
          <w:p/>
        </w:tc>
        <w:tc>
          <w:tcPr>
            <w:tcW w:type="dxa" w:w="1523"/>
            <w:vMerge/>
            <w:tcBorders/>
          </w:tcPr>
          <w:p/>
        </w:tc>
        <w:tc>
          <w:tcPr>
            <w:tcW w:type="dxa" w:w="1523"/>
            <w:vMerge/>
            <w:tcBorders/>
          </w:tcPr>
          <w:p/>
        </w:tc>
        <w:tc>
          <w:tcPr>
            <w:tcW w:type="dxa" w:w="1523"/>
            <w:vMerge/>
            <w:tcBorders/>
          </w:tcPr>
          <w:p/>
        </w:tc>
        <w:tc>
          <w:tcPr>
            <w:tcW w:type="dxa" w:w="1523"/>
            <w:vMerge/>
            <w:tcBorders/>
          </w:tcPr>
          <w:p/>
        </w:tc>
      </w:tr>
      <w:tr>
        <w:trPr>
          <w:trHeight w:hRule="exact" w:val="167"/>
        </w:trPr>
        <w:tc>
          <w:tcPr>
            <w:tcW w:type="dxa" w:w="1523"/>
            <w:vMerge/>
            <w:tcBorders/>
          </w:tcPr>
          <w:p/>
        </w:tc>
        <w:tc>
          <w:tcPr>
            <w:tcW w:type="dxa" w:w="1026"/>
            <w:tcBorders/>
            <w:tcMar>
              <w:start w:w="0" w:type="dxa"/>
              <w:end w:w="0" w:type="dxa"/>
            </w:tcMar>
          </w:tcPr>
          <w:p>
            <w:pPr>
              <w:autoSpaceDN w:val="0"/>
              <w:autoSpaceDE w:val="0"/>
              <w:widowControl/>
              <w:spacing w:line="178" w:lineRule="exact" w:before="0"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37 </w:t>
            </w:r>
          </w:p>
        </w:tc>
        <w:tc>
          <w:tcPr>
            <w:tcW w:type="dxa" w:w="1628"/>
            <w:tcBorders/>
            <w:tcMar>
              <w:start w:w="0" w:type="dxa"/>
              <w:end w:w="0" w:type="dxa"/>
            </w:tcMar>
          </w:tcPr>
          <w:p>
            <w:pPr>
              <w:autoSpaceDN w:val="0"/>
              <w:autoSpaceDE w:val="0"/>
              <w:widowControl/>
              <w:spacing w:line="197" w:lineRule="auto" w:before="6" w:after="0"/>
              <w:ind w:left="0" w:right="240" w:firstLine="0"/>
              <w:jc w:val="right"/>
            </w:pPr>
            <w:r>
              <w:rPr>
                <w:rFonts w:ascii="Calibri" w:hAnsi="Calibri" w:eastAsia="Calibri"/>
                <w:b w:val="0"/>
                <w:i w:val="0"/>
                <w:color w:val="000000"/>
                <w:sz w:val="16"/>
              </w:rPr>
              <w:t>990,215,359</w:t>
            </w:r>
          </w:p>
        </w:tc>
        <w:tc>
          <w:tcPr>
            <w:tcW w:type="dxa" w:w="1502"/>
            <w:tcBorders/>
            <w:tcMar>
              <w:start w:w="0" w:type="dxa"/>
              <w:end w:w="0" w:type="dxa"/>
            </w:tcMar>
          </w:tcPr>
          <w:p>
            <w:pPr>
              <w:autoSpaceDN w:val="0"/>
              <w:autoSpaceDE w:val="0"/>
              <w:widowControl/>
              <w:spacing w:line="197" w:lineRule="auto" w:before="6" w:after="0"/>
              <w:ind w:left="0" w:right="106" w:firstLine="0"/>
              <w:jc w:val="right"/>
            </w:pPr>
            <w:r>
              <w:rPr>
                <w:rFonts w:ascii="Calibri" w:hAnsi="Calibri" w:eastAsia="Calibri"/>
                <w:b w:val="0"/>
                <w:i w:val="0"/>
                <w:color w:val="000000"/>
                <w:sz w:val="16"/>
              </w:rPr>
              <w:t xml:space="preserve">922,907,949 </w:t>
            </w:r>
          </w:p>
        </w:tc>
        <w:tc>
          <w:tcPr>
            <w:tcW w:type="dxa" w:w="1460"/>
            <w:tcBorders/>
            <w:tcMar>
              <w:start w:w="0" w:type="dxa"/>
              <w:end w:w="0" w:type="dxa"/>
            </w:tcMar>
          </w:tcPr>
          <w:p>
            <w:pPr>
              <w:autoSpaceDN w:val="0"/>
              <w:autoSpaceDE w:val="0"/>
              <w:widowControl/>
              <w:spacing w:line="197" w:lineRule="auto" w:before="6" w:after="0"/>
              <w:ind w:left="0" w:right="198" w:firstLine="0"/>
              <w:jc w:val="right"/>
            </w:pPr>
            <w:r>
              <w:rPr>
                <w:rFonts w:ascii="Calibri" w:hAnsi="Calibri" w:eastAsia="Calibri"/>
                <w:b w:val="0"/>
                <w:i w:val="0"/>
                <w:color w:val="000000"/>
                <w:sz w:val="16"/>
              </w:rPr>
              <w:t>884,875,888</w:t>
            </w:r>
          </w:p>
        </w:tc>
        <w:tc>
          <w:tcPr>
            <w:tcW w:type="dxa" w:w="1524"/>
            <w:tcBorders/>
            <w:tcMar>
              <w:start w:w="0" w:type="dxa"/>
              <w:end w:w="0" w:type="dxa"/>
            </w:tcMar>
          </w:tcPr>
          <w:p>
            <w:pPr>
              <w:autoSpaceDN w:val="0"/>
              <w:autoSpaceDE w:val="0"/>
              <w:widowControl/>
              <w:spacing w:line="197" w:lineRule="auto" w:before="6" w:after="0"/>
              <w:ind w:left="0" w:right="92" w:firstLine="0"/>
              <w:jc w:val="right"/>
            </w:pPr>
            <w:r>
              <w:rPr>
                <w:rFonts w:ascii="Calibri" w:hAnsi="Calibri" w:eastAsia="Calibri"/>
                <w:b w:val="0"/>
                <w:i w:val="0"/>
                <w:color w:val="000000"/>
                <w:sz w:val="16"/>
              </w:rPr>
              <w:t>822,859,142</w:t>
            </w:r>
          </w:p>
        </w:tc>
      </w:tr>
      <w:tr>
        <w:trPr>
          <w:trHeight w:hRule="exact" w:val="246"/>
        </w:trPr>
        <w:tc>
          <w:tcPr>
            <w:tcW w:type="dxa" w:w="2000"/>
            <w:tcBorders/>
            <w:tcMar>
              <w:start w:w="0" w:type="dxa"/>
              <w:end w:w="0" w:type="dxa"/>
            </w:tcMar>
          </w:tcPr>
          <w:p>
            <w:pPr>
              <w:autoSpaceDN w:val="0"/>
              <w:autoSpaceDE w:val="0"/>
              <w:widowControl/>
              <w:spacing w:line="160" w:lineRule="exact" w:before="44" w:after="0"/>
              <w:ind w:left="166" w:right="0" w:firstLine="0"/>
              <w:jc w:val="left"/>
            </w:pPr>
            <w:r>
              <w:rPr>
                <w:rFonts w:ascii="黑体" w:hAnsi="黑体" w:eastAsia="黑体"/>
                <w:b w:val="0"/>
                <w:i w:val="0"/>
                <w:color w:val="000000"/>
                <w:sz w:val="16"/>
              </w:rPr>
              <w:t>交易风险准备</w:t>
            </w:r>
          </w:p>
        </w:tc>
        <w:tc>
          <w:tcPr>
            <w:tcW w:type="dxa" w:w="1026"/>
            <w:tcBorders/>
            <w:tcMar>
              <w:start w:w="0" w:type="dxa"/>
              <w:end w:w="0" w:type="dxa"/>
            </w:tcMar>
          </w:tcPr>
          <w:p>
            <w:pPr>
              <w:autoSpaceDN w:val="0"/>
              <w:autoSpaceDE w:val="0"/>
              <w:widowControl/>
              <w:spacing w:line="178" w:lineRule="exact" w:before="44"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37 </w:t>
            </w:r>
          </w:p>
        </w:tc>
        <w:tc>
          <w:tcPr>
            <w:tcW w:type="dxa" w:w="1628"/>
            <w:tcBorders/>
            <w:tcMar>
              <w:start w:w="0" w:type="dxa"/>
              <w:end w:w="0" w:type="dxa"/>
            </w:tcMar>
          </w:tcPr>
          <w:p>
            <w:pPr>
              <w:autoSpaceDN w:val="0"/>
              <w:autoSpaceDE w:val="0"/>
              <w:widowControl/>
              <w:spacing w:line="197" w:lineRule="auto" w:before="64" w:after="0"/>
              <w:ind w:left="0" w:right="240" w:firstLine="0"/>
              <w:jc w:val="right"/>
            </w:pPr>
            <w:r>
              <w:rPr>
                <w:rFonts w:ascii="Calibri" w:hAnsi="Calibri" w:eastAsia="Calibri"/>
                <w:b w:val="0"/>
                <w:i w:val="0"/>
                <w:color w:val="000000"/>
                <w:sz w:val="16"/>
              </w:rPr>
              <w:t>921,218,202</w:t>
            </w:r>
          </w:p>
        </w:tc>
        <w:tc>
          <w:tcPr>
            <w:tcW w:type="dxa" w:w="1502"/>
            <w:tcBorders/>
            <w:tcMar>
              <w:start w:w="0" w:type="dxa"/>
              <w:end w:w="0" w:type="dxa"/>
            </w:tcMar>
          </w:tcPr>
          <w:p>
            <w:pPr>
              <w:autoSpaceDN w:val="0"/>
              <w:autoSpaceDE w:val="0"/>
              <w:widowControl/>
              <w:spacing w:line="197" w:lineRule="auto" w:before="64" w:after="0"/>
              <w:ind w:left="0" w:right="106" w:firstLine="0"/>
              <w:jc w:val="right"/>
            </w:pPr>
            <w:r>
              <w:rPr>
                <w:rFonts w:ascii="Calibri" w:hAnsi="Calibri" w:eastAsia="Calibri"/>
                <w:b w:val="0"/>
                <w:i w:val="0"/>
                <w:color w:val="000000"/>
                <w:sz w:val="16"/>
              </w:rPr>
              <w:t xml:space="preserve">859,201,456 </w:t>
            </w:r>
          </w:p>
        </w:tc>
        <w:tc>
          <w:tcPr>
            <w:tcW w:type="dxa" w:w="1460"/>
            <w:tcBorders/>
            <w:tcMar>
              <w:start w:w="0" w:type="dxa"/>
              <w:end w:w="0" w:type="dxa"/>
            </w:tcMar>
          </w:tcPr>
          <w:p>
            <w:pPr>
              <w:autoSpaceDN w:val="0"/>
              <w:autoSpaceDE w:val="0"/>
              <w:widowControl/>
              <w:spacing w:line="197" w:lineRule="auto" w:before="64" w:after="0"/>
              <w:ind w:left="0" w:right="198" w:firstLine="0"/>
              <w:jc w:val="right"/>
            </w:pPr>
            <w:r>
              <w:rPr>
                <w:rFonts w:ascii="Calibri" w:hAnsi="Calibri" w:eastAsia="Calibri"/>
                <w:b w:val="0"/>
                <w:i w:val="0"/>
                <w:color w:val="000000"/>
                <w:sz w:val="16"/>
              </w:rPr>
              <w:t>884,875,888</w:t>
            </w:r>
          </w:p>
        </w:tc>
        <w:tc>
          <w:tcPr>
            <w:tcW w:type="dxa" w:w="1524"/>
            <w:tcBorders/>
            <w:tcMar>
              <w:start w:w="0" w:type="dxa"/>
              <w:end w:w="0" w:type="dxa"/>
            </w:tcMar>
          </w:tcPr>
          <w:p>
            <w:pPr>
              <w:autoSpaceDN w:val="0"/>
              <w:autoSpaceDE w:val="0"/>
              <w:widowControl/>
              <w:spacing w:line="197" w:lineRule="auto" w:before="64" w:after="0"/>
              <w:ind w:left="0" w:right="92" w:firstLine="0"/>
              <w:jc w:val="right"/>
            </w:pPr>
            <w:r>
              <w:rPr>
                <w:rFonts w:ascii="Calibri" w:hAnsi="Calibri" w:eastAsia="Calibri"/>
                <w:b w:val="0"/>
                <w:i w:val="0"/>
                <w:color w:val="000000"/>
                <w:sz w:val="16"/>
              </w:rPr>
              <w:t>822,859,142</w:t>
            </w:r>
          </w:p>
        </w:tc>
      </w:tr>
      <w:tr>
        <w:trPr>
          <w:trHeight w:hRule="exact" w:val="196"/>
        </w:trPr>
        <w:tc>
          <w:tcPr>
            <w:tcW w:type="dxa" w:w="2000"/>
            <w:tcBorders>
              <w:bottom w:sz="4.0" w:val="single" w:color="#000000"/>
            </w:tcBorders>
            <w:tcMar>
              <w:start w:w="0" w:type="dxa"/>
              <w:end w:w="0" w:type="dxa"/>
            </w:tcMar>
          </w:tcPr>
          <w:p>
            <w:pPr>
              <w:autoSpaceDN w:val="0"/>
              <w:autoSpaceDE w:val="0"/>
              <w:widowControl/>
              <w:spacing w:line="162" w:lineRule="exact" w:before="4" w:after="0"/>
              <w:ind w:left="166" w:right="0" w:firstLine="0"/>
              <w:jc w:val="left"/>
            </w:pPr>
            <w:r>
              <w:rPr>
                <w:rFonts w:ascii="黑体" w:hAnsi="黑体" w:eastAsia="黑体"/>
                <w:b w:val="0"/>
                <w:i w:val="0"/>
                <w:color w:val="000000"/>
                <w:sz w:val="16"/>
              </w:rPr>
              <w:t>未分配利润</w:t>
            </w:r>
          </w:p>
        </w:tc>
        <w:tc>
          <w:tcPr>
            <w:tcW w:type="dxa" w:w="1026"/>
            <w:tcBorders>
              <w:bottom w:sz="4.0" w:val="single" w:color="#000000"/>
            </w:tcBorders>
            <w:tcMar>
              <w:start w:w="0" w:type="dxa"/>
              <w:end w:w="0" w:type="dxa"/>
            </w:tcMar>
          </w:tcPr>
          <w:p>
            <w:pPr>
              <w:autoSpaceDN w:val="0"/>
              <w:autoSpaceDE w:val="0"/>
              <w:widowControl/>
              <w:spacing w:line="178" w:lineRule="exact" w:before="4"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38 </w:t>
            </w:r>
          </w:p>
        </w:tc>
        <w:tc>
          <w:tcPr>
            <w:tcW w:type="dxa" w:w="1628"/>
            <w:tcBorders>
              <w:bottom w:sz="4.0" w:val="single" w:color="#000000"/>
            </w:tcBorders>
            <w:tcMar>
              <w:start w:w="0" w:type="dxa"/>
              <w:end w:w="0" w:type="dxa"/>
            </w:tcMar>
          </w:tcPr>
          <w:p>
            <w:pPr>
              <w:autoSpaceDN w:val="0"/>
              <w:autoSpaceDE w:val="0"/>
              <w:widowControl/>
              <w:spacing w:line="197" w:lineRule="auto" w:before="28" w:after="0"/>
              <w:ind w:left="0" w:right="240" w:firstLine="0"/>
              <w:jc w:val="right"/>
            </w:pPr>
            <w:r>
              <w:rPr>
                <w:rFonts w:ascii="Calibri" w:hAnsi="Calibri" w:eastAsia="Calibri"/>
                <w:b w:val="0"/>
                <w:i w:val="0"/>
                <w:color w:val="000000"/>
                <w:sz w:val="16"/>
              </w:rPr>
              <w:t>1,935,706,952</w:t>
            </w:r>
          </w:p>
        </w:tc>
        <w:tc>
          <w:tcPr>
            <w:tcW w:type="dxa" w:w="1502"/>
            <w:tcBorders>
              <w:bottom w:sz="4.0" w:val="single" w:color="#000000"/>
            </w:tcBorders>
            <w:tcMar>
              <w:start w:w="0" w:type="dxa"/>
              <w:end w:w="0" w:type="dxa"/>
            </w:tcMar>
          </w:tcPr>
          <w:p>
            <w:pPr>
              <w:autoSpaceDN w:val="0"/>
              <w:autoSpaceDE w:val="0"/>
              <w:widowControl/>
              <w:spacing w:line="197" w:lineRule="auto" w:before="28" w:after="0"/>
              <w:ind w:left="0" w:right="106" w:firstLine="0"/>
              <w:jc w:val="right"/>
            </w:pPr>
            <w:r>
              <w:rPr>
                <w:rFonts w:ascii="Calibri" w:hAnsi="Calibri" w:eastAsia="Calibri"/>
                <w:b w:val="0"/>
                <w:i w:val="0"/>
                <w:color w:val="000000"/>
                <w:sz w:val="16"/>
              </w:rPr>
              <w:t xml:space="preserve">1,917,718,771 </w:t>
            </w:r>
          </w:p>
        </w:tc>
        <w:tc>
          <w:tcPr>
            <w:tcW w:type="dxa" w:w="1460"/>
            <w:tcBorders>
              <w:bottom w:sz="4.0" w:val="single" w:color="#000000"/>
            </w:tcBorders>
            <w:tcMar>
              <w:start w:w="0" w:type="dxa"/>
              <w:end w:w="0" w:type="dxa"/>
            </w:tcMar>
          </w:tcPr>
          <w:p>
            <w:pPr>
              <w:autoSpaceDN w:val="0"/>
              <w:autoSpaceDE w:val="0"/>
              <w:widowControl/>
              <w:spacing w:line="197" w:lineRule="auto" w:before="28" w:after="0"/>
              <w:ind w:left="328" w:right="0" w:firstLine="0"/>
              <w:jc w:val="left"/>
            </w:pPr>
            <w:r>
              <w:rPr>
                <w:rFonts w:ascii="Calibri" w:hAnsi="Calibri" w:eastAsia="Calibri"/>
                <w:b w:val="0"/>
                <w:i w:val="0"/>
                <w:color w:val="000000"/>
                <w:sz w:val="16"/>
              </w:rPr>
              <w:t>1,767,332,260</w:t>
            </w:r>
          </w:p>
        </w:tc>
        <w:tc>
          <w:tcPr>
            <w:tcW w:type="dxa" w:w="1524"/>
            <w:tcBorders>
              <w:bottom w:sz="4.0" w:val="single" w:color="#000000"/>
            </w:tcBorders>
            <w:tcMar>
              <w:start w:w="0" w:type="dxa"/>
              <w:end w:w="0" w:type="dxa"/>
            </w:tcMar>
          </w:tcPr>
          <w:p>
            <w:pPr>
              <w:autoSpaceDN w:val="0"/>
              <w:autoSpaceDE w:val="0"/>
              <w:widowControl/>
              <w:spacing w:line="197" w:lineRule="auto" w:before="28" w:after="0"/>
              <w:ind w:left="0" w:right="92" w:firstLine="0"/>
              <w:jc w:val="right"/>
            </w:pPr>
            <w:r>
              <w:rPr>
                <w:rFonts w:ascii="Calibri" w:hAnsi="Calibri" w:eastAsia="Calibri"/>
                <w:b w:val="0"/>
                <w:i w:val="0"/>
                <w:color w:val="000000"/>
                <w:sz w:val="16"/>
              </w:rPr>
              <w:t>1,836,063,528</w:t>
            </w:r>
          </w:p>
        </w:tc>
      </w:tr>
      <w:tr>
        <w:trPr>
          <w:trHeight w:hRule="exact" w:val="414"/>
        </w:trPr>
        <w:tc>
          <w:tcPr>
            <w:tcW w:type="dxa" w:w="2000"/>
            <w:tcBorders>
              <w:top w:sz="4.0" w:val="single" w:color="#000000"/>
              <w:bottom w:sz="4.0" w:val="single" w:color="#000000"/>
            </w:tcBorders>
            <w:tcMar>
              <w:start w:w="0" w:type="dxa"/>
              <w:end w:w="0" w:type="dxa"/>
            </w:tcMar>
          </w:tcPr>
          <w:p>
            <w:pPr>
              <w:autoSpaceDN w:val="0"/>
              <w:autoSpaceDE w:val="0"/>
              <w:widowControl/>
              <w:spacing w:line="160" w:lineRule="exact" w:before="218" w:after="0"/>
              <w:ind w:left="0" w:right="0" w:firstLine="0"/>
              <w:jc w:val="center"/>
            </w:pPr>
            <w:r>
              <w:rPr>
                <w:rFonts w:ascii="黑体" w:hAnsi="黑体" w:eastAsia="黑体"/>
                <w:b w:val="0"/>
                <w:i w:val="0"/>
                <w:color w:val="000000"/>
                <w:sz w:val="16"/>
              </w:rPr>
              <w:t>归属于母公司股东权益合计</w:t>
            </w:r>
          </w:p>
        </w:tc>
        <w:tc>
          <w:tcPr>
            <w:tcW w:type="dxa" w:w="1026"/>
            <w:tcBorders>
              <w:top w:sz="4.0" w:val="single" w:color="#000000"/>
              <w:bottom w:sz="4.0" w:val="single" w:color="#000000"/>
            </w:tcBorders>
            <w:tcMar>
              <w:start w:w="0" w:type="dxa"/>
              <w:end w:w="0" w:type="dxa"/>
            </w:tcMar>
          </w:tcPr>
          <w:p/>
        </w:tc>
        <w:tc>
          <w:tcPr>
            <w:tcW w:type="dxa" w:w="1628"/>
            <w:tcBorders>
              <w:top w:sz="4.0" w:val="single" w:color="#000000"/>
              <w:bottom w:sz="4.0" w:val="single" w:color="#000000"/>
            </w:tcBorders>
            <w:tcMar>
              <w:start w:w="0" w:type="dxa"/>
              <w:end w:w="0" w:type="dxa"/>
            </w:tcMar>
          </w:tcPr>
          <w:p>
            <w:pPr>
              <w:autoSpaceDN w:val="0"/>
              <w:autoSpaceDE w:val="0"/>
              <w:widowControl/>
              <w:spacing w:line="197" w:lineRule="auto" w:before="240" w:after="0"/>
              <w:ind w:left="374" w:right="0" w:firstLine="0"/>
              <w:jc w:val="left"/>
            </w:pPr>
            <w:r>
              <w:rPr>
                <w:rFonts w:ascii="Calibri" w:hAnsi="Calibri" w:eastAsia="Calibri"/>
                <w:b w:val="0"/>
                <w:i w:val="0"/>
                <w:color w:val="000000"/>
                <w:sz w:val="16"/>
              </w:rPr>
              <w:t>17,970,113,581</w:t>
            </w:r>
          </w:p>
        </w:tc>
        <w:tc>
          <w:tcPr>
            <w:tcW w:type="dxa" w:w="1502"/>
            <w:tcBorders>
              <w:top w:sz="4.0" w:val="single" w:color="#000000"/>
              <w:bottom w:sz="4.0" w:val="single" w:color="#000000"/>
            </w:tcBorders>
            <w:tcMar>
              <w:start w:w="0" w:type="dxa"/>
              <w:end w:w="0" w:type="dxa"/>
            </w:tcMar>
          </w:tcPr>
          <w:p>
            <w:pPr>
              <w:autoSpaceDN w:val="0"/>
              <w:autoSpaceDE w:val="0"/>
              <w:widowControl/>
              <w:spacing w:line="197" w:lineRule="auto" w:before="240" w:after="0"/>
              <w:ind w:left="348" w:right="0" w:firstLine="0"/>
              <w:jc w:val="left"/>
            </w:pPr>
            <w:r>
              <w:rPr>
                <w:rFonts w:ascii="Calibri" w:hAnsi="Calibri" w:eastAsia="Calibri"/>
                <w:b w:val="0"/>
                <w:i w:val="0"/>
                <w:color w:val="000000"/>
                <w:sz w:val="16"/>
              </w:rPr>
              <w:t xml:space="preserve">17,746,832,505 </w:t>
            </w:r>
          </w:p>
        </w:tc>
        <w:tc>
          <w:tcPr>
            <w:tcW w:type="dxa" w:w="1460"/>
            <w:tcBorders>
              <w:top w:sz="4.0" w:val="single" w:color="#000000"/>
              <w:bottom w:sz="4.0" w:val="single" w:color="#000000"/>
            </w:tcBorders>
            <w:tcMar>
              <w:start w:w="0" w:type="dxa"/>
              <w:end w:w="0" w:type="dxa"/>
            </w:tcMar>
          </w:tcPr>
          <w:p>
            <w:pPr>
              <w:autoSpaceDN w:val="0"/>
              <w:autoSpaceDE w:val="0"/>
              <w:widowControl/>
              <w:spacing w:line="197" w:lineRule="auto" w:before="240" w:after="0"/>
              <w:ind w:left="0" w:right="0" w:firstLine="0"/>
              <w:jc w:val="center"/>
            </w:pPr>
            <w:r>
              <w:rPr>
                <w:rFonts w:ascii="Calibri" w:hAnsi="Calibri" w:eastAsia="Calibri"/>
                <w:b w:val="0"/>
                <w:i w:val="0"/>
                <w:color w:val="000000"/>
                <w:sz w:val="16"/>
              </w:rPr>
              <w:t>17,541,999,234</w:t>
            </w:r>
          </w:p>
        </w:tc>
        <w:tc>
          <w:tcPr>
            <w:tcW w:type="dxa" w:w="1524"/>
            <w:tcBorders>
              <w:top w:sz="4.0" w:val="single" w:color="#000000"/>
              <w:bottom w:sz="4.0" w:val="single" w:color="#000000"/>
            </w:tcBorders>
            <w:tcMar>
              <w:start w:w="0" w:type="dxa"/>
              <w:end w:w="0" w:type="dxa"/>
            </w:tcMar>
          </w:tcPr>
          <w:p>
            <w:pPr>
              <w:autoSpaceDN w:val="0"/>
              <w:autoSpaceDE w:val="0"/>
              <w:widowControl/>
              <w:spacing w:line="197" w:lineRule="auto" w:before="240" w:after="0"/>
              <w:ind w:left="0" w:right="92" w:firstLine="0"/>
              <w:jc w:val="right"/>
            </w:pPr>
            <w:r>
              <w:rPr>
                <w:rFonts w:ascii="Calibri" w:hAnsi="Calibri" w:eastAsia="Calibri"/>
                <w:b w:val="0"/>
                <w:i w:val="0"/>
                <w:color w:val="000000"/>
                <w:sz w:val="16"/>
              </w:rPr>
              <w:t>17,427,983,963</w:t>
            </w:r>
          </w:p>
        </w:tc>
      </w:tr>
      <w:tr>
        <w:trPr>
          <w:trHeight w:hRule="exact" w:val="412"/>
        </w:trPr>
        <w:tc>
          <w:tcPr>
            <w:tcW w:type="dxa" w:w="2000"/>
            <w:tcBorders>
              <w:top w:sz="4.0" w:val="single" w:color="#000000"/>
              <w:bottom w:sz="4.0" w:val="single" w:color="#000000"/>
            </w:tcBorders>
            <w:tcMar>
              <w:start w:w="0" w:type="dxa"/>
              <w:end w:w="0" w:type="dxa"/>
            </w:tcMar>
          </w:tcPr>
          <w:p>
            <w:pPr>
              <w:autoSpaceDN w:val="0"/>
              <w:autoSpaceDE w:val="0"/>
              <w:widowControl/>
              <w:spacing w:line="162" w:lineRule="exact" w:before="214" w:after="0"/>
              <w:ind w:left="18" w:right="0" w:firstLine="0"/>
              <w:jc w:val="left"/>
            </w:pPr>
            <w:r>
              <w:rPr>
                <w:rFonts w:ascii="黑体" w:hAnsi="黑体" w:eastAsia="黑体"/>
                <w:b w:val="0"/>
                <w:i w:val="0"/>
                <w:color w:val="000000"/>
                <w:sz w:val="16"/>
              </w:rPr>
              <w:t>少数股东权益</w:t>
            </w:r>
          </w:p>
        </w:tc>
        <w:tc>
          <w:tcPr>
            <w:tcW w:type="dxa" w:w="1026"/>
            <w:tcBorders>
              <w:top w:sz="4.0" w:val="single" w:color="#000000"/>
              <w:bottom w:sz="4.0" w:val="single" w:color="#000000"/>
            </w:tcBorders>
            <w:tcMar>
              <w:start w:w="0" w:type="dxa"/>
              <w:end w:w="0" w:type="dxa"/>
            </w:tcMar>
          </w:tcPr>
          <w:p>
            <w:pPr>
              <w:autoSpaceDN w:val="0"/>
              <w:autoSpaceDE w:val="0"/>
              <w:widowControl/>
              <w:spacing w:line="178" w:lineRule="exact" w:before="214" w:after="0"/>
              <w:ind w:left="60"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39 </w:t>
            </w:r>
          </w:p>
        </w:tc>
        <w:tc>
          <w:tcPr>
            <w:tcW w:type="dxa" w:w="1628"/>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240" w:firstLine="0"/>
              <w:jc w:val="right"/>
            </w:pPr>
            <w:r>
              <w:rPr>
                <w:rFonts w:ascii="Calibri" w:hAnsi="Calibri" w:eastAsia="Calibri"/>
                <w:b w:val="0"/>
                <w:i w:val="0"/>
                <w:color w:val="000000"/>
                <w:sz w:val="16"/>
              </w:rPr>
              <w:t>323,355,657</w:t>
            </w:r>
          </w:p>
        </w:tc>
        <w:tc>
          <w:tcPr>
            <w:tcW w:type="dxa" w:w="1502"/>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106" w:firstLine="0"/>
              <w:jc w:val="right"/>
            </w:pPr>
            <w:r>
              <w:rPr>
                <w:rFonts w:ascii="Calibri" w:hAnsi="Calibri" w:eastAsia="Calibri"/>
                <w:b w:val="0"/>
                <w:i w:val="0"/>
                <w:color w:val="000000"/>
                <w:sz w:val="16"/>
              </w:rPr>
              <w:t xml:space="preserve">406,291,374 </w:t>
            </w:r>
          </w:p>
        </w:tc>
        <w:tc>
          <w:tcPr>
            <w:tcW w:type="dxa" w:w="1460"/>
            <w:tcBorders>
              <w:top w:sz="4.0" w:val="single" w:color="#000000"/>
              <w:bottom w:sz="4.0" w:val="single" w:color="#000000"/>
            </w:tcBorders>
            <w:tcMar>
              <w:start w:w="0" w:type="dxa"/>
              <w:end w:w="0" w:type="dxa"/>
            </w:tcMar>
          </w:tcPr>
          <w:p>
            <w:pPr>
              <w:autoSpaceDN w:val="0"/>
              <w:autoSpaceDE w:val="0"/>
              <w:widowControl/>
              <w:spacing w:line="162" w:lineRule="exact" w:before="214" w:after="0"/>
              <w:ind w:left="0" w:right="198" w:firstLine="0"/>
              <w:jc w:val="right"/>
            </w:pPr>
            <w:r>
              <w:rPr>
                <w:rFonts w:ascii="黑体" w:hAnsi="黑体" w:eastAsia="黑体"/>
                <w:b w:val="0"/>
                <w:i w:val="0"/>
                <w:color w:val="000000"/>
                <w:sz w:val="16"/>
              </w:rPr>
              <w:t>不适用</w:t>
            </w:r>
          </w:p>
        </w:tc>
        <w:tc>
          <w:tcPr>
            <w:tcW w:type="dxa" w:w="1524"/>
            <w:tcBorders>
              <w:top w:sz="4.0" w:val="single" w:color="#000000"/>
              <w:bottom w:sz="4.0" w:val="single" w:color="#000000"/>
            </w:tcBorders>
            <w:tcMar>
              <w:start w:w="0" w:type="dxa"/>
              <w:end w:w="0" w:type="dxa"/>
            </w:tcMar>
          </w:tcPr>
          <w:p>
            <w:pPr>
              <w:autoSpaceDN w:val="0"/>
              <w:autoSpaceDE w:val="0"/>
              <w:widowControl/>
              <w:spacing w:line="162" w:lineRule="exact" w:before="214" w:after="0"/>
              <w:ind w:left="0" w:right="92" w:firstLine="0"/>
              <w:jc w:val="right"/>
            </w:pPr>
            <w:r>
              <w:rPr>
                <w:rFonts w:ascii="黑体" w:hAnsi="黑体" w:eastAsia="黑体"/>
                <w:b w:val="0"/>
                <w:i w:val="0"/>
                <w:color w:val="000000"/>
                <w:sz w:val="16"/>
              </w:rPr>
              <w:t>不适用</w:t>
            </w:r>
          </w:p>
        </w:tc>
      </w:tr>
      <w:tr>
        <w:trPr>
          <w:trHeight w:hRule="exact" w:val="412"/>
        </w:trPr>
        <w:tc>
          <w:tcPr>
            <w:tcW w:type="dxa" w:w="2000"/>
            <w:tcBorders>
              <w:top w:sz="4.0" w:val="single" w:color="#000000"/>
              <w:bottom w:sz="3.199999999999818" w:val="single" w:color="#000000"/>
            </w:tcBorders>
            <w:tcMar>
              <w:start w:w="0" w:type="dxa"/>
              <w:end w:w="0" w:type="dxa"/>
            </w:tcMar>
          </w:tcPr>
          <w:p>
            <w:pPr>
              <w:autoSpaceDN w:val="0"/>
              <w:autoSpaceDE w:val="0"/>
              <w:widowControl/>
              <w:spacing w:line="160" w:lineRule="exact" w:before="218" w:after="0"/>
              <w:ind w:left="18" w:right="0" w:firstLine="0"/>
              <w:jc w:val="left"/>
            </w:pPr>
            <w:r>
              <w:rPr>
                <w:rFonts w:ascii="黑体" w:hAnsi="黑体" w:eastAsia="黑体"/>
                <w:b w:val="0"/>
                <w:i w:val="0"/>
                <w:color w:val="000000"/>
                <w:sz w:val="16"/>
              </w:rPr>
              <w:t>股东权益合计</w:t>
            </w:r>
          </w:p>
        </w:tc>
        <w:tc>
          <w:tcPr>
            <w:tcW w:type="dxa" w:w="1026"/>
            <w:tcBorders>
              <w:top w:sz="4.0" w:val="single" w:color="#000000"/>
              <w:bottom w:sz="3.199999999999818" w:val="single" w:color="#000000"/>
            </w:tcBorders>
            <w:tcMar>
              <w:start w:w="0" w:type="dxa"/>
              <w:end w:w="0" w:type="dxa"/>
            </w:tcMar>
          </w:tcPr>
          <w:p/>
        </w:tc>
        <w:tc>
          <w:tcPr>
            <w:tcW w:type="dxa" w:w="1628"/>
            <w:tcBorders>
              <w:top w:sz="4.0" w:val="single" w:color="#000000"/>
              <w:bottom w:sz="3.199999999999818" w:val="single" w:color="#000000"/>
            </w:tcBorders>
            <w:tcMar>
              <w:start w:w="0" w:type="dxa"/>
              <w:end w:w="0" w:type="dxa"/>
            </w:tcMar>
          </w:tcPr>
          <w:p>
            <w:pPr>
              <w:autoSpaceDN w:val="0"/>
              <w:autoSpaceDE w:val="0"/>
              <w:widowControl/>
              <w:spacing w:line="197" w:lineRule="auto" w:before="240" w:after="0"/>
              <w:ind w:left="374" w:right="0" w:firstLine="0"/>
              <w:jc w:val="left"/>
            </w:pPr>
            <w:r>
              <w:rPr>
                <w:rFonts w:ascii="Calibri" w:hAnsi="Calibri" w:eastAsia="Calibri"/>
                <w:b w:val="0"/>
                <w:i w:val="0"/>
                <w:color w:val="000000"/>
                <w:sz w:val="16"/>
              </w:rPr>
              <w:t>18,293,469,238</w:t>
            </w:r>
          </w:p>
        </w:tc>
        <w:tc>
          <w:tcPr>
            <w:tcW w:type="dxa" w:w="1502"/>
            <w:tcBorders>
              <w:top w:sz="4.0" w:val="single" w:color="#000000"/>
              <w:bottom w:sz="3.199999999999818" w:val="single" w:color="#000000"/>
            </w:tcBorders>
            <w:tcMar>
              <w:start w:w="0" w:type="dxa"/>
              <w:end w:w="0" w:type="dxa"/>
            </w:tcMar>
          </w:tcPr>
          <w:p>
            <w:pPr>
              <w:autoSpaceDN w:val="0"/>
              <w:autoSpaceDE w:val="0"/>
              <w:widowControl/>
              <w:spacing w:line="197" w:lineRule="auto" w:before="240" w:after="0"/>
              <w:ind w:left="348" w:right="0" w:firstLine="0"/>
              <w:jc w:val="left"/>
            </w:pPr>
            <w:r>
              <w:rPr>
                <w:rFonts w:ascii="Calibri" w:hAnsi="Calibri" w:eastAsia="Calibri"/>
                <w:b w:val="0"/>
                <w:i w:val="0"/>
                <w:color w:val="000000"/>
                <w:sz w:val="16"/>
              </w:rPr>
              <w:t xml:space="preserve">18,153,123,879 </w:t>
            </w:r>
          </w:p>
        </w:tc>
        <w:tc>
          <w:tcPr>
            <w:tcW w:type="dxa" w:w="1460"/>
            <w:tcBorders>
              <w:top w:sz="4.0" w:val="single" w:color="#000000"/>
              <w:bottom w:sz="3.199999999999818" w:val="single" w:color="#000000"/>
            </w:tcBorders>
            <w:tcMar>
              <w:start w:w="0" w:type="dxa"/>
              <w:end w:w="0" w:type="dxa"/>
            </w:tcMar>
          </w:tcPr>
          <w:p>
            <w:pPr>
              <w:autoSpaceDN w:val="0"/>
              <w:autoSpaceDE w:val="0"/>
              <w:widowControl/>
              <w:spacing w:line="197" w:lineRule="auto" w:before="240" w:after="0"/>
              <w:ind w:left="0" w:right="0" w:firstLine="0"/>
              <w:jc w:val="center"/>
            </w:pPr>
            <w:r>
              <w:rPr>
                <w:rFonts w:ascii="Calibri" w:hAnsi="Calibri" w:eastAsia="Calibri"/>
                <w:b w:val="0"/>
                <w:i w:val="0"/>
                <w:color w:val="000000"/>
                <w:sz w:val="16"/>
              </w:rPr>
              <w:t>17,541,999,234</w:t>
            </w:r>
          </w:p>
        </w:tc>
        <w:tc>
          <w:tcPr>
            <w:tcW w:type="dxa" w:w="1524"/>
            <w:tcBorders>
              <w:top w:sz="4.0" w:val="single" w:color="#000000"/>
              <w:bottom w:sz="3.199999999999818" w:val="single" w:color="#000000"/>
            </w:tcBorders>
            <w:tcMar>
              <w:start w:w="0" w:type="dxa"/>
              <w:end w:w="0" w:type="dxa"/>
            </w:tcMar>
          </w:tcPr>
          <w:p>
            <w:pPr>
              <w:autoSpaceDN w:val="0"/>
              <w:autoSpaceDE w:val="0"/>
              <w:widowControl/>
              <w:spacing w:line="197" w:lineRule="auto" w:before="240" w:after="0"/>
              <w:ind w:left="0" w:right="92" w:firstLine="0"/>
              <w:jc w:val="right"/>
            </w:pPr>
            <w:r>
              <w:rPr>
                <w:rFonts w:ascii="Calibri" w:hAnsi="Calibri" w:eastAsia="Calibri"/>
                <w:b w:val="0"/>
                <w:i w:val="0"/>
                <w:color w:val="000000"/>
                <w:sz w:val="16"/>
              </w:rPr>
              <w:t>17,427,983,963</w:t>
            </w:r>
          </w:p>
        </w:tc>
      </w:tr>
      <w:tr>
        <w:trPr>
          <w:trHeight w:hRule="exact" w:val="412"/>
        </w:trPr>
        <w:tc>
          <w:tcPr>
            <w:tcW w:type="dxa" w:w="2000"/>
            <w:tcBorders>
              <w:top w:sz="3.199999999999818" w:val="single" w:color="#000000"/>
              <w:bottom w:sz="4.0" w:val="single" w:color="#000000"/>
            </w:tcBorders>
            <w:tcMar>
              <w:start w:w="0" w:type="dxa"/>
              <w:end w:w="0" w:type="dxa"/>
            </w:tcMar>
          </w:tcPr>
          <w:p>
            <w:pPr>
              <w:autoSpaceDN w:val="0"/>
              <w:autoSpaceDE w:val="0"/>
              <w:widowControl/>
              <w:spacing w:line="160" w:lineRule="exact" w:before="218" w:after="0"/>
              <w:ind w:left="18" w:right="0" w:firstLine="0"/>
              <w:jc w:val="left"/>
            </w:pPr>
            <w:r>
              <w:rPr>
                <w:rFonts w:ascii="黑体" w:hAnsi="黑体" w:eastAsia="黑体"/>
                <w:b w:val="0"/>
                <w:i w:val="0"/>
                <w:color w:val="000000"/>
                <w:sz w:val="16"/>
              </w:rPr>
              <w:t>负债及股东权益总计</w:t>
            </w:r>
          </w:p>
        </w:tc>
        <w:tc>
          <w:tcPr>
            <w:tcW w:type="dxa" w:w="1026"/>
            <w:tcBorders>
              <w:top w:sz="3.199999999999818" w:val="single" w:color="#000000"/>
              <w:bottom w:sz="4.0" w:val="single" w:color="#000000"/>
            </w:tcBorders>
            <w:tcMar>
              <w:start w:w="0" w:type="dxa"/>
              <w:end w:w="0" w:type="dxa"/>
            </w:tcMar>
          </w:tcPr>
          <w:p/>
        </w:tc>
        <w:tc>
          <w:tcPr>
            <w:tcW w:type="dxa" w:w="1628"/>
            <w:tcBorders>
              <w:top w:sz="3.199999999999818" w:val="single" w:color="#000000"/>
              <w:bottom w:sz="4.0" w:val="single" w:color="#000000"/>
            </w:tcBorders>
            <w:tcMar>
              <w:start w:w="0" w:type="dxa"/>
              <w:end w:w="0" w:type="dxa"/>
            </w:tcMar>
          </w:tcPr>
          <w:p>
            <w:pPr>
              <w:autoSpaceDN w:val="0"/>
              <w:autoSpaceDE w:val="0"/>
              <w:widowControl/>
              <w:spacing w:line="199" w:lineRule="auto" w:before="240" w:after="0"/>
              <w:ind w:left="374" w:right="0" w:firstLine="0"/>
              <w:jc w:val="left"/>
            </w:pPr>
            <w:r>
              <w:rPr>
                <w:rFonts w:ascii="Calibri" w:hAnsi="Calibri" w:eastAsia="Calibri"/>
                <w:b w:val="0"/>
                <w:i w:val="0"/>
                <w:color w:val="000000"/>
                <w:sz w:val="16"/>
              </w:rPr>
              <w:t>80,661,344,114</w:t>
            </w:r>
          </w:p>
        </w:tc>
        <w:tc>
          <w:tcPr>
            <w:tcW w:type="dxa" w:w="1502"/>
            <w:tcBorders>
              <w:top w:sz="3.199999999999818" w:val="single" w:color="#000000"/>
              <w:bottom w:sz="4.0" w:val="single" w:color="#000000"/>
            </w:tcBorders>
            <w:tcMar>
              <w:start w:w="0" w:type="dxa"/>
              <w:end w:w="0" w:type="dxa"/>
            </w:tcMar>
          </w:tcPr>
          <w:p>
            <w:pPr>
              <w:autoSpaceDN w:val="0"/>
              <w:autoSpaceDE w:val="0"/>
              <w:widowControl/>
              <w:spacing w:line="199" w:lineRule="auto" w:before="240" w:after="0"/>
              <w:ind w:left="348" w:right="0" w:firstLine="0"/>
              <w:jc w:val="left"/>
            </w:pPr>
            <w:r>
              <w:rPr>
                <w:rFonts w:ascii="Calibri" w:hAnsi="Calibri" w:eastAsia="Calibri"/>
                <w:b w:val="0"/>
                <w:i w:val="0"/>
                <w:color w:val="000000"/>
                <w:sz w:val="16"/>
              </w:rPr>
              <w:t xml:space="preserve">77,590,229,317 </w:t>
            </w:r>
          </w:p>
        </w:tc>
        <w:tc>
          <w:tcPr>
            <w:tcW w:type="dxa" w:w="1460"/>
            <w:tcBorders>
              <w:top w:sz="3.199999999999818" w:val="single" w:color="#000000"/>
              <w:bottom w:sz="4.0" w:val="single" w:color="#000000"/>
            </w:tcBorders>
            <w:tcMar>
              <w:start w:w="0" w:type="dxa"/>
              <w:end w:w="0" w:type="dxa"/>
            </w:tcMar>
          </w:tcPr>
          <w:p>
            <w:pPr>
              <w:autoSpaceDN w:val="0"/>
              <w:autoSpaceDE w:val="0"/>
              <w:widowControl/>
              <w:spacing w:line="199" w:lineRule="auto" w:before="240" w:after="0"/>
              <w:ind w:left="0" w:right="0" w:firstLine="0"/>
              <w:jc w:val="center"/>
            </w:pPr>
            <w:r>
              <w:rPr>
                <w:rFonts w:ascii="Calibri" w:hAnsi="Calibri" w:eastAsia="Calibri"/>
                <w:b w:val="0"/>
                <w:i w:val="0"/>
                <w:color w:val="000000"/>
                <w:sz w:val="16"/>
              </w:rPr>
              <w:t>73,360,044,058</w:t>
            </w:r>
          </w:p>
        </w:tc>
        <w:tc>
          <w:tcPr>
            <w:tcW w:type="dxa" w:w="1524"/>
            <w:tcBorders>
              <w:top w:sz="3.199999999999818" w:val="single" w:color="#000000"/>
              <w:bottom w:sz="4.0" w:val="single" w:color="#000000"/>
            </w:tcBorders>
            <w:tcMar>
              <w:start w:w="0" w:type="dxa"/>
              <w:end w:w="0" w:type="dxa"/>
            </w:tcMar>
          </w:tcPr>
          <w:p>
            <w:pPr>
              <w:autoSpaceDN w:val="0"/>
              <w:autoSpaceDE w:val="0"/>
              <w:widowControl/>
              <w:spacing w:line="199" w:lineRule="auto" w:before="240" w:after="0"/>
              <w:ind w:left="0" w:right="92" w:firstLine="0"/>
              <w:jc w:val="right"/>
            </w:pPr>
            <w:r>
              <w:rPr>
                <w:rFonts w:ascii="Calibri" w:hAnsi="Calibri" w:eastAsia="Calibri"/>
                <w:b w:val="0"/>
                <w:i w:val="0"/>
                <w:color w:val="000000"/>
                <w:sz w:val="16"/>
              </w:rPr>
              <w:t>70,432,562,294</w:t>
            </w:r>
          </w:p>
        </w:tc>
      </w:tr>
      <w:tr>
        <w:trPr>
          <w:trHeight w:hRule="exact" w:val="54"/>
        </w:trPr>
        <w:tc>
          <w:tcPr>
            <w:tcW w:type="dxa" w:w="2000"/>
            <w:tcBorders>
              <w:top w:sz="4.0" w:val="single" w:color="#000000"/>
            </w:tcBorders>
            <w:tcMar>
              <w:start w:w="0" w:type="dxa"/>
              <w:end w:w="0" w:type="dxa"/>
            </w:tcMar>
          </w:tcPr>
          <w:p/>
        </w:tc>
        <w:tc>
          <w:tcPr>
            <w:tcW w:type="dxa" w:w="1026"/>
            <w:tcBorders>
              <w:top w:sz="4.0" w:val="single" w:color="#000000"/>
            </w:tcBorders>
            <w:tcMar>
              <w:start w:w="0" w:type="dxa"/>
              <w:end w:w="0" w:type="dxa"/>
            </w:tcMar>
          </w:tcPr>
          <w:p/>
        </w:tc>
        <w:tc>
          <w:tcPr>
            <w:tcW w:type="dxa" w:w="1628"/>
            <w:tcBorders>
              <w:top w:sz="4.0" w:val="single" w:color="#000000"/>
            </w:tcBorders>
            <w:tcMar>
              <w:start w:w="0" w:type="dxa"/>
              <w:end w:w="0" w:type="dxa"/>
            </w:tcMar>
          </w:tcPr>
          <w:p/>
        </w:tc>
        <w:tc>
          <w:tcPr>
            <w:tcW w:type="dxa" w:w="1502"/>
            <w:tcBorders>
              <w:top w:sz="4.0" w:val="single" w:color="#000000"/>
            </w:tcBorders>
            <w:tcMar>
              <w:start w:w="0" w:type="dxa"/>
              <w:end w:w="0" w:type="dxa"/>
            </w:tcMar>
          </w:tcPr>
          <w:p/>
        </w:tc>
        <w:tc>
          <w:tcPr>
            <w:tcW w:type="dxa" w:w="1460"/>
            <w:tcBorders>
              <w:top w:sz="4.0" w:val="single" w:color="#000000"/>
            </w:tcBorders>
            <w:tcMar>
              <w:start w:w="0" w:type="dxa"/>
              <w:end w:w="0" w:type="dxa"/>
            </w:tcMar>
          </w:tcPr>
          <w:p/>
        </w:tc>
        <w:tc>
          <w:tcPr>
            <w:tcW w:type="dxa" w:w="1524"/>
            <w:tcBorders>
              <w:top w:sz="4.0" w:val="single" w:color="#000000"/>
            </w:tcBorders>
            <w:tcMar>
              <w:start w:w="0" w:type="dxa"/>
              <w:end w:w="0" w:type="dxa"/>
            </w:tcMar>
          </w:tcPr>
          <w:p/>
        </w:tc>
      </w:tr>
    </w:tbl>
    <w:p>
      <w:pPr>
        <w:autoSpaceDN w:val="0"/>
        <w:autoSpaceDE w:val="0"/>
        <w:widowControl/>
        <w:spacing w:line="246" w:lineRule="exact" w:before="5304" w:after="1008"/>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84"/>
        <w:gridCol w:w="2284"/>
        <w:gridCol w:w="2284"/>
        <w:gridCol w:w="2284"/>
      </w:tblGrid>
      <w:tr>
        <w:trPr>
          <w:trHeight w:hRule="exact" w:val="298"/>
        </w:trPr>
        <w:tc>
          <w:tcPr>
            <w:tcW w:type="dxa" w:w="2298"/>
            <w:tcBorders>
              <w:top w:sz="6.399999999999636" w:val="single" w:color="#000000"/>
            </w:tcBorders>
            <w:tcMar>
              <w:start w:w="0" w:type="dxa"/>
              <w:end w:w="0" w:type="dxa"/>
            </w:tcMar>
          </w:tcPr>
          <w:p>
            <w:pPr>
              <w:autoSpaceDN w:val="0"/>
              <w:autoSpaceDE w:val="0"/>
              <w:widowControl/>
              <w:spacing w:line="222" w:lineRule="exact" w:before="38" w:after="0"/>
              <w:ind w:left="0" w:right="0" w:firstLine="0"/>
              <w:jc w:val="left"/>
            </w:pPr>
            <w:r>
              <w:rPr>
                <w:rFonts w:ascii="黑体" w:hAnsi="黑体" w:eastAsia="黑体"/>
                <w:b w:val="0"/>
                <w:i w:val="0"/>
                <w:color w:val="000000"/>
                <w:sz w:val="22"/>
              </w:rPr>
              <w:t>王怡里</w:t>
            </w:r>
          </w:p>
        </w:tc>
        <w:tc>
          <w:tcPr>
            <w:tcW w:type="dxa" w:w="3192"/>
            <w:tcBorders>
              <w:top w:sz="6.399999999999636" w:val="single" w:color="#000000"/>
            </w:tcBorders>
            <w:tcMar>
              <w:start w:w="0" w:type="dxa"/>
              <w:end w:w="0" w:type="dxa"/>
            </w:tcMar>
          </w:tcPr>
          <w:p>
            <w:pPr>
              <w:autoSpaceDN w:val="0"/>
              <w:autoSpaceDE w:val="0"/>
              <w:widowControl/>
              <w:spacing w:line="222" w:lineRule="exact" w:before="38" w:after="0"/>
              <w:ind w:left="224" w:right="0" w:firstLine="0"/>
              <w:jc w:val="left"/>
            </w:pPr>
            <w:r>
              <w:rPr>
                <w:rFonts w:ascii="黑体" w:hAnsi="黑体" w:eastAsia="黑体"/>
                <w:b w:val="0"/>
                <w:i w:val="0"/>
                <w:color w:val="000000"/>
                <w:sz w:val="22"/>
              </w:rPr>
              <w:t>汤建雄</w:t>
            </w:r>
          </w:p>
        </w:tc>
        <w:tc>
          <w:tcPr>
            <w:tcW w:type="dxa" w:w="2156"/>
            <w:tcBorders>
              <w:top w:sz="6.399999999999636" w:val="single" w:color="#000000"/>
            </w:tcBorders>
            <w:tcMar>
              <w:start w:w="0" w:type="dxa"/>
              <w:end w:w="0" w:type="dxa"/>
            </w:tcMar>
          </w:tcPr>
          <w:p>
            <w:pPr>
              <w:autoSpaceDN w:val="0"/>
              <w:autoSpaceDE w:val="0"/>
              <w:widowControl/>
              <w:spacing w:line="222" w:lineRule="exact" w:before="38" w:after="0"/>
              <w:ind w:left="264" w:right="0" w:firstLine="0"/>
              <w:jc w:val="left"/>
            </w:pPr>
            <w:r>
              <w:rPr>
                <w:rFonts w:ascii="黑体" w:hAnsi="黑体" w:eastAsia="黑体"/>
                <w:b w:val="0"/>
                <w:i w:val="0"/>
                <w:color w:val="000000"/>
                <w:sz w:val="22"/>
              </w:rPr>
              <w:t>张立德</w:t>
            </w:r>
          </w:p>
        </w:tc>
        <w:tc>
          <w:tcPr>
            <w:tcW w:type="dxa" w:w="1314"/>
            <w:tcBorders>
              <w:top w:sz="6.399999999999636" w:val="single" w:color="#000000"/>
            </w:tcBorders>
            <w:tcMar>
              <w:start w:w="0" w:type="dxa"/>
              <w:end w:w="0" w:type="dxa"/>
            </w:tcMar>
          </w:tcPr>
          <w:p>
            <w:pPr>
              <w:autoSpaceDN w:val="0"/>
              <w:autoSpaceDE w:val="0"/>
              <w:widowControl/>
              <w:spacing w:line="222" w:lineRule="exact" w:before="38"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46"/>
        <w:gridCol w:w="3046"/>
        <w:gridCol w:w="3046"/>
      </w:tblGrid>
      <w:tr>
        <w:trPr>
          <w:trHeight w:hRule="exact" w:val="312"/>
        </w:trPr>
        <w:tc>
          <w:tcPr>
            <w:tcW w:type="dxa" w:w="1820"/>
            <w:tcBorders/>
            <w:tcMar>
              <w:start w:w="0" w:type="dxa"/>
              <w:end w:w="0" w:type="dxa"/>
            </w:tcMar>
          </w:tcPr>
          <w:p>
            <w:pPr>
              <w:autoSpaceDN w:val="0"/>
              <w:autoSpaceDE w:val="0"/>
              <w:widowControl/>
              <w:spacing w:line="220"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0" w:lineRule="exact" w:before="32" w:after="0"/>
              <w:ind w:left="722" w:right="0" w:firstLine="0"/>
              <w:jc w:val="left"/>
            </w:pPr>
            <w:r>
              <w:rPr>
                <w:rFonts w:ascii="黑体" w:hAnsi="黑体" w:eastAsia="黑体"/>
                <w:b w:val="0"/>
                <w:i w:val="0"/>
                <w:color w:val="000000"/>
                <w:sz w:val="22"/>
              </w:rPr>
              <w:t>主管会计工作的公司负责人</w:t>
            </w:r>
          </w:p>
        </w:tc>
        <w:tc>
          <w:tcPr>
            <w:tcW w:type="dxa" w:w="2760"/>
            <w:tcBorders/>
            <w:tcMar>
              <w:start w:w="0" w:type="dxa"/>
              <w:end w:w="0" w:type="dxa"/>
            </w:tcMar>
          </w:tcPr>
          <w:p>
            <w:pPr>
              <w:autoSpaceDN w:val="0"/>
              <w:autoSpaceDE w:val="0"/>
              <w:widowControl/>
              <w:spacing w:line="220"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1008"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208" w:after="0"/>
        <w:ind w:left="0" w:right="0" w:firstLine="0"/>
        <w:jc w:val="center"/>
      </w:pPr>
      <w:r>
        <w:rPr>
          <w:rFonts w:ascii="Arial" w:hAnsi="Arial" w:eastAsia="Arial"/>
          <w:b w:val="0"/>
          <w:i w:val="0"/>
          <w:color w:val="000000"/>
          <w:sz w:val="20"/>
        </w:rPr>
        <w:t xml:space="preserve">151 </w:t>
      </w:r>
    </w:p>
    <w:p>
      <w:pPr>
        <w:sectPr>
          <w:pgSz w:w="11899" w:h="16841"/>
          <w:pgMar w:top="732" w:right="1330" w:bottom="360" w:left="1432" w:header="720" w:footer="720" w:gutter="0"/>
          <w:cols/>
          <w:docGrid w:linePitch="360"/>
        </w:sectPr>
      </w:pPr>
    </w:p>
    <w:p>
      <w:pPr>
        <w:autoSpaceDN w:val="0"/>
        <w:autoSpaceDE w:val="0"/>
        <w:widowControl/>
        <w:spacing w:line="220" w:lineRule="exact" w:before="0" w:after="578"/>
        <w:ind w:left="0" w:right="0"/>
      </w:pPr>
    </w:p>
    <w:p>
      <w:pPr>
        <w:autoSpaceDN w:val="0"/>
        <w:autoSpaceDE w:val="0"/>
        <w:widowControl/>
        <w:spacing w:line="160" w:lineRule="exact" w:before="0" w:after="0"/>
        <w:ind w:left="0" w:right="3982" w:firstLine="0"/>
        <w:jc w:val="right"/>
      </w:pPr>
      <w:r>
        <w:rPr>
          <w:rFonts w:ascii="黑体" w:hAnsi="黑体" w:eastAsia="黑体"/>
          <w:b w:val="0"/>
          <w:i w:val="0"/>
          <w:color w:val="000000"/>
          <w:sz w:val="16"/>
        </w:rPr>
        <w:t>合并及公司利润表</w:t>
      </w:r>
    </w:p>
    <w:p>
      <w:pPr>
        <w:autoSpaceDN w:val="0"/>
        <w:autoSpaceDE w:val="0"/>
        <w:widowControl/>
        <w:spacing w:line="160" w:lineRule="exact" w:before="48" w:after="240"/>
        <w:ind w:left="8" w:right="0" w:firstLine="0"/>
        <w:jc w:val="left"/>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1128.0" w:type="dxa"/>
      </w:tblPr>
      <w:tblGrid>
        <w:gridCol w:w="1832"/>
        <w:gridCol w:w="1832"/>
        <w:gridCol w:w="1832"/>
        <w:gridCol w:w="1832"/>
        <w:gridCol w:w="1832"/>
      </w:tblGrid>
      <w:tr>
        <w:trPr>
          <w:trHeight w:hRule="exact" w:val="250"/>
        </w:trPr>
        <w:tc>
          <w:tcPr>
            <w:tcW w:type="dxa" w:w="2168"/>
            <w:tcBorders>
              <w:bottom w:sz="4.0" w:val="single" w:color="#000000"/>
            </w:tcBorders>
            <w:tcMar>
              <w:start w:w="0" w:type="dxa"/>
              <w:end w:w="0" w:type="dxa"/>
            </w:tcMar>
          </w:tcPr>
          <w:p/>
        </w:tc>
        <w:tc>
          <w:tcPr>
            <w:tcW w:type="dxa" w:w="1932"/>
            <w:tcBorders>
              <w:bottom w:sz="4.0" w:val="single" w:color="#000000"/>
            </w:tcBorders>
            <w:tcMar>
              <w:start w:w="0" w:type="dxa"/>
              <w:end w:w="0" w:type="dxa"/>
            </w:tcMar>
          </w:tcPr>
          <w:p>
            <w:pPr>
              <w:autoSpaceDN w:val="0"/>
              <w:autoSpaceDE w:val="0"/>
              <w:widowControl/>
              <w:spacing w:line="162" w:lineRule="exact" w:before="60" w:after="0"/>
              <w:ind w:left="0" w:right="328" w:firstLine="0"/>
              <w:jc w:val="right"/>
            </w:pPr>
            <w:r>
              <w:rPr>
                <w:rFonts w:ascii="黑体" w:hAnsi="黑体" w:eastAsia="黑体"/>
                <w:b w:val="0"/>
                <w:i w:val="0"/>
                <w:color w:val="000000"/>
                <w:sz w:val="16"/>
              </w:rPr>
              <w:t>本集团</w:t>
            </w:r>
          </w:p>
        </w:tc>
        <w:tc>
          <w:tcPr>
            <w:tcW w:type="dxa" w:w="848"/>
            <w:tcBorders>
              <w:bottom w:sz="4.0" w:val="single" w:color="#000000"/>
            </w:tcBorders>
            <w:tcMar>
              <w:start w:w="0" w:type="dxa"/>
              <w:end w:w="0" w:type="dxa"/>
            </w:tcMar>
          </w:tcPr>
          <w:p/>
        </w:tc>
        <w:tc>
          <w:tcPr>
            <w:tcW w:type="dxa" w:w="2132"/>
            <w:tcBorders>
              <w:bottom w:sz="4.0" w:val="single" w:color="#000000"/>
            </w:tcBorders>
            <w:tcMar>
              <w:start w:w="0" w:type="dxa"/>
              <w:end w:w="0" w:type="dxa"/>
            </w:tcMar>
          </w:tcPr>
          <w:p>
            <w:pPr>
              <w:autoSpaceDN w:val="0"/>
              <w:autoSpaceDE w:val="0"/>
              <w:widowControl/>
              <w:spacing w:line="162" w:lineRule="exact" w:before="60" w:after="0"/>
              <w:ind w:left="0" w:right="328" w:firstLine="0"/>
              <w:jc w:val="right"/>
            </w:pPr>
            <w:r>
              <w:rPr>
                <w:rFonts w:ascii="黑体" w:hAnsi="黑体" w:eastAsia="黑体"/>
                <w:b w:val="0"/>
                <w:i w:val="0"/>
                <w:color w:val="000000"/>
                <w:sz w:val="16"/>
              </w:rPr>
              <w:t>本公司</w:t>
            </w:r>
          </w:p>
        </w:tc>
        <w:tc>
          <w:tcPr>
            <w:tcW w:type="dxa" w:w="850"/>
            <w:tcBorders>
              <w:bottom w:sz="4.0" w:val="single" w:color="#000000"/>
            </w:tcBorders>
            <w:tcMar>
              <w:start w:w="0" w:type="dxa"/>
              <w:end w:w="0" w:type="dxa"/>
            </w:tcMar>
          </w:tcPr>
          <w:p/>
        </w:tc>
      </w:tr>
      <w:tr>
        <w:trPr>
          <w:trHeight w:hRule="exact" w:val="220"/>
        </w:trPr>
        <w:tc>
          <w:tcPr>
            <w:tcW w:type="dxa" w:w="2168"/>
            <w:tcBorders>
              <w:top w:sz="4.0" w:val="single" w:color="#000000"/>
            </w:tcBorders>
            <w:tcMar>
              <w:start w:w="0" w:type="dxa"/>
              <w:end w:w="0" w:type="dxa"/>
            </w:tcMar>
          </w:tcPr>
          <w:p>
            <w:pPr>
              <w:autoSpaceDN w:val="0"/>
              <w:autoSpaceDE w:val="0"/>
              <w:widowControl/>
              <w:spacing w:line="162" w:lineRule="exact" w:before="20" w:after="0"/>
              <w:ind w:left="0" w:right="704" w:firstLine="0"/>
              <w:jc w:val="right"/>
            </w:pPr>
            <w:r>
              <w:rPr>
                <w:rFonts w:ascii="黑体" w:hAnsi="黑体" w:eastAsia="黑体"/>
                <w:b w:val="0"/>
                <w:i w:val="0"/>
                <w:color w:val="000000"/>
                <w:sz w:val="16"/>
              </w:rPr>
              <w:t>附注</w:t>
            </w:r>
          </w:p>
        </w:tc>
        <w:tc>
          <w:tcPr>
            <w:tcW w:type="dxa" w:w="1932"/>
            <w:tcBorders>
              <w:top w:sz="4.0" w:val="single" w:color="#000000"/>
            </w:tcBorders>
            <w:tcMar>
              <w:start w:w="0" w:type="dxa"/>
              <w:end w:w="0" w:type="dxa"/>
            </w:tcMar>
          </w:tcPr>
          <w:p>
            <w:pPr>
              <w:autoSpaceDN w:val="0"/>
              <w:autoSpaceDE w:val="0"/>
              <w:widowControl/>
              <w:spacing w:line="178" w:lineRule="exact" w:before="20" w:after="0"/>
              <w:ind w:left="0" w:right="652"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848"/>
            <w:tcBorders>
              <w:top w:sz="4.0" w:val="single" w:color="#000000"/>
            </w:tcBorders>
            <w:tcMar>
              <w:start w:w="0" w:type="dxa"/>
              <w:end w:w="0" w:type="dxa"/>
            </w:tcMar>
          </w:tcPr>
          <w:p>
            <w:pPr>
              <w:autoSpaceDN w:val="0"/>
              <w:autoSpaceDE w:val="0"/>
              <w:widowControl/>
              <w:spacing w:line="178" w:lineRule="exact" w:before="20" w:after="0"/>
              <w:ind w:left="0" w:right="0"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c>
          <w:tcPr>
            <w:tcW w:type="dxa" w:w="2132"/>
            <w:tcBorders>
              <w:top w:sz="4.0" w:val="single" w:color="#000000"/>
            </w:tcBorders>
            <w:tcMar>
              <w:start w:w="0" w:type="dxa"/>
              <w:end w:w="0" w:type="dxa"/>
            </w:tcMar>
          </w:tcPr>
          <w:p>
            <w:pPr>
              <w:autoSpaceDN w:val="0"/>
              <w:autoSpaceDE w:val="0"/>
              <w:widowControl/>
              <w:spacing w:line="178" w:lineRule="exact" w:before="20" w:after="0"/>
              <w:ind w:left="0" w:right="634"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850"/>
            <w:tcBorders>
              <w:top w:sz="4.0" w:val="single" w:color="#000000"/>
            </w:tcBorders>
            <w:tcMar>
              <w:start w:w="0" w:type="dxa"/>
              <w:end w:w="0" w:type="dxa"/>
            </w:tcMar>
          </w:tcPr>
          <w:p>
            <w:pPr>
              <w:autoSpaceDN w:val="0"/>
              <w:autoSpaceDE w:val="0"/>
              <w:widowControl/>
              <w:spacing w:line="178" w:lineRule="exact" w:before="20" w:after="0"/>
              <w:ind w:left="0" w:right="0"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r>
    </w:tbl>
    <w:p>
      <w:pPr>
        <w:autoSpaceDN w:val="0"/>
        <w:autoSpaceDE w:val="0"/>
        <w:widowControl/>
        <w:spacing w:line="160" w:lineRule="exact" w:before="16" w:after="24"/>
        <w:ind w:left="8" w:right="0" w:firstLine="0"/>
        <w:jc w:val="left"/>
      </w:pPr>
      <w:r>
        <w:rPr>
          <w:rFonts w:ascii="黑体" w:hAnsi="黑体" w:eastAsia="黑体"/>
          <w:b w:val="0"/>
          <w:i w:val="0"/>
          <w:color w:val="000000"/>
          <w:sz w:val="16"/>
        </w:rPr>
        <w:t>营业总收入</w:t>
      </w:r>
    </w:p>
    <w:tbl>
      <w:tblPr>
        <w:tblW w:type="auto" w:w="0"/>
        <w:tblLayout w:type="fixed"/>
        <w:tblLook w:firstColumn="1" w:firstRow="1" w:lastColumn="0" w:lastRow="0" w:noHBand="0" w:noVBand="1" w:val="04A0"/>
        <w:tblInd w:w="68.00000000000011" w:type="dxa"/>
      </w:tblPr>
      <w:tblGrid>
        <w:gridCol w:w="1527"/>
        <w:gridCol w:w="1527"/>
        <w:gridCol w:w="1527"/>
        <w:gridCol w:w="1527"/>
        <w:gridCol w:w="1527"/>
        <w:gridCol w:w="1527"/>
      </w:tblGrid>
      <w:tr>
        <w:trPr>
          <w:trHeight w:hRule="exact" w:val="216"/>
        </w:trPr>
        <w:tc>
          <w:tcPr>
            <w:tcW w:type="dxa" w:w="1860"/>
            <w:tcBorders/>
            <w:tcMar>
              <w:start w:w="0" w:type="dxa"/>
              <w:end w:w="0" w:type="dxa"/>
            </w:tcMar>
          </w:tcPr>
          <w:p>
            <w:pPr>
              <w:autoSpaceDN w:val="0"/>
              <w:autoSpaceDE w:val="0"/>
              <w:widowControl/>
              <w:spacing w:line="160" w:lineRule="exact" w:before="22" w:after="0"/>
              <w:ind w:left="80" w:right="0" w:firstLine="0"/>
              <w:jc w:val="left"/>
            </w:pPr>
            <w:r>
              <w:rPr>
                <w:rFonts w:ascii="黑体" w:hAnsi="黑体" w:eastAsia="黑体"/>
                <w:b w:val="0"/>
                <w:i w:val="0"/>
                <w:color w:val="000000"/>
                <w:sz w:val="16"/>
              </w:rPr>
              <w:t>手续费及佣金净收入</w:t>
            </w:r>
          </w:p>
        </w:tc>
        <w:tc>
          <w:tcPr>
            <w:tcW w:type="dxa" w:w="1480"/>
            <w:tcBorders/>
            <w:tcMar>
              <w:start w:w="0" w:type="dxa"/>
              <w:end w:w="0" w:type="dxa"/>
            </w:tcMar>
          </w:tcPr>
          <w:p>
            <w:pPr>
              <w:autoSpaceDN w:val="0"/>
              <w:autoSpaceDE w:val="0"/>
              <w:widowControl/>
              <w:spacing w:line="178" w:lineRule="exact" w:before="22" w:after="0"/>
              <w:ind w:left="348" w:right="0" w:firstLine="0"/>
              <w:jc w:val="left"/>
            </w:pPr>
            <w:r>
              <w:rPr>
                <w:rFonts w:ascii="黑体" w:hAnsi="黑体" w:eastAsia="黑体"/>
                <w:b w:val="0"/>
                <w:i w:val="0"/>
                <w:color w:val="000000"/>
                <w:sz w:val="16"/>
              </w:rPr>
              <w:t>五</w:t>
            </w:r>
            <w:r>
              <w:rPr>
                <w:rFonts w:ascii="Calibri" w:hAnsi="Calibri" w:eastAsia="Calibri"/>
                <w:b w:val="0"/>
                <w:i w:val="0"/>
                <w:color w:val="000000"/>
                <w:sz w:val="16"/>
              </w:rPr>
              <w:t>40</w:t>
            </w:r>
            <w:r>
              <w:rPr>
                <w:rFonts w:ascii="黑体" w:hAnsi="黑体" w:eastAsia="黑体"/>
                <w:b w:val="0"/>
                <w:i w:val="0"/>
                <w:color w:val="000000"/>
                <w:sz w:val="16"/>
              </w:rPr>
              <w:t>，十八</w:t>
            </w:r>
            <w:r>
              <w:rPr>
                <w:rFonts w:ascii="Calibri" w:hAnsi="Calibri" w:eastAsia="Calibri"/>
                <w:b w:val="0"/>
                <w:i w:val="0"/>
                <w:color w:val="000000"/>
                <w:sz w:val="16"/>
              </w:rPr>
              <w:t xml:space="preserve">4 </w:t>
            </w:r>
          </w:p>
        </w:tc>
        <w:tc>
          <w:tcPr>
            <w:tcW w:type="dxa" w:w="146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 xml:space="preserve">1,363,894,744 </w:t>
            </w:r>
          </w:p>
        </w:tc>
        <w:tc>
          <w:tcPr>
            <w:tcW w:type="dxa" w:w="154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1,251,128,404</w:t>
            </w:r>
          </w:p>
        </w:tc>
        <w:tc>
          <w:tcPr>
            <w:tcW w:type="dxa" w:w="154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 xml:space="preserve">880,537,206 </w:t>
            </w:r>
          </w:p>
        </w:tc>
        <w:tc>
          <w:tcPr>
            <w:tcW w:type="dxa" w:w="1160"/>
            <w:tcBorders/>
            <w:tcMar>
              <w:start w:w="0" w:type="dxa"/>
              <w:end w:w="0" w:type="dxa"/>
            </w:tcMar>
          </w:tcPr>
          <w:p>
            <w:pPr>
              <w:autoSpaceDN w:val="0"/>
              <w:autoSpaceDE w:val="0"/>
              <w:widowControl/>
              <w:spacing w:line="197" w:lineRule="auto" w:before="42" w:after="0"/>
              <w:ind w:left="0" w:right="48" w:firstLine="0"/>
              <w:jc w:val="right"/>
            </w:pPr>
            <w:r>
              <w:rPr>
                <w:rFonts w:ascii="Calibri" w:hAnsi="Calibri" w:eastAsia="Calibri"/>
                <w:b w:val="0"/>
                <w:i w:val="0"/>
                <w:color w:val="000000"/>
                <w:sz w:val="16"/>
              </w:rPr>
              <w:t>873,427,963</w:t>
            </w:r>
          </w:p>
        </w:tc>
      </w:tr>
    </w:tbl>
    <w:p>
      <w:pPr>
        <w:autoSpaceDN w:val="0"/>
        <w:autoSpaceDE w:val="0"/>
        <w:widowControl/>
        <w:spacing w:line="162" w:lineRule="exact" w:before="14" w:after="22"/>
        <w:ind w:left="304" w:right="0" w:firstLine="0"/>
        <w:jc w:val="left"/>
      </w:pPr>
      <w:r>
        <w:rPr>
          <w:rFonts w:ascii="黑体" w:hAnsi="黑体" w:eastAsia="黑体"/>
          <w:b w:val="0"/>
          <w:i w:val="0"/>
          <w:color w:val="000000"/>
          <w:sz w:val="16"/>
        </w:rPr>
        <w:t>其中：证券经纪业务</w:t>
      </w:r>
    </w:p>
    <w:tbl>
      <w:tblPr>
        <w:tblW w:type="auto" w:w="0"/>
        <w:tblLayout w:type="fixed"/>
        <w:tblLook w:firstColumn="1" w:firstRow="1" w:lastColumn="0" w:lastRow="0" w:noHBand="0" w:noVBand="1" w:val="04A0"/>
        <w:tblInd w:w="388.0000000000001" w:type="dxa"/>
      </w:tblPr>
      <w:tblGrid>
        <w:gridCol w:w="1832"/>
        <w:gridCol w:w="1832"/>
        <w:gridCol w:w="1832"/>
        <w:gridCol w:w="1832"/>
        <w:gridCol w:w="1832"/>
      </w:tblGrid>
      <w:tr>
        <w:trPr>
          <w:trHeight w:hRule="exact" w:val="218"/>
        </w:trPr>
        <w:tc>
          <w:tcPr>
            <w:tcW w:type="dxa" w:w="2360"/>
            <w:tcBorders/>
            <w:tcMar>
              <w:start w:w="0" w:type="dxa"/>
              <w:end w:w="0" w:type="dxa"/>
            </w:tcMar>
          </w:tcPr>
          <w:p>
            <w:pPr>
              <w:autoSpaceDN w:val="0"/>
              <w:autoSpaceDE w:val="0"/>
              <w:widowControl/>
              <w:spacing w:line="160" w:lineRule="exact" w:before="24" w:after="0"/>
              <w:ind w:left="396" w:right="0" w:firstLine="0"/>
              <w:jc w:val="left"/>
            </w:pPr>
            <w:r>
              <w:rPr>
                <w:rFonts w:ascii="黑体" w:hAnsi="黑体" w:eastAsia="黑体"/>
                <w:b w:val="0"/>
                <w:i w:val="0"/>
                <w:color w:val="000000"/>
                <w:sz w:val="16"/>
              </w:rPr>
              <w:t>手续费净收入</w:t>
            </w:r>
          </w:p>
        </w:tc>
        <w:tc>
          <w:tcPr>
            <w:tcW w:type="dxa" w:w="2180"/>
            <w:tcBorders/>
            <w:tcMar>
              <w:start w:w="0" w:type="dxa"/>
              <w:end w:w="0" w:type="dxa"/>
            </w:tcMar>
          </w:tcPr>
          <w:p>
            <w:pPr>
              <w:autoSpaceDN w:val="0"/>
              <w:autoSpaceDE w:val="0"/>
              <w:widowControl/>
              <w:spacing w:line="199" w:lineRule="auto" w:before="42" w:after="0"/>
              <w:ind w:left="0" w:right="316" w:firstLine="0"/>
              <w:jc w:val="right"/>
            </w:pPr>
            <w:r>
              <w:rPr>
                <w:rFonts w:ascii="Calibri" w:hAnsi="Calibri" w:eastAsia="Calibri"/>
                <w:b w:val="0"/>
                <w:i w:val="0"/>
                <w:color w:val="000000"/>
                <w:sz w:val="16"/>
              </w:rPr>
              <w:t xml:space="preserve">596,311,817 </w:t>
            </w:r>
          </w:p>
        </w:tc>
        <w:tc>
          <w:tcPr>
            <w:tcW w:type="dxa" w:w="1480"/>
            <w:tcBorders/>
            <w:tcMar>
              <w:start w:w="0" w:type="dxa"/>
              <w:end w:w="0" w:type="dxa"/>
            </w:tcMar>
          </w:tcPr>
          <w:p>
            <w:pPr>
              <w:autoSpaceDN w:val="0"/>
              <w:autoSpaceDE w:val="0"/>
              <w:widowControl/>
              <w:spacing w:line="199" w:lineRule="auto" w:before="42" w:after="0"/>
              <w:ind w:left="0" w:right="0" w:firstLine="0"/>
              <w:jc w:val="center"/>
            </w:pPr>
            <w:r>
              <w:rPr>
                <w:rFonts w:ascii="Calibri" w:hAnsi="Calibri" w:eastAsia="Calibri"/>
                <w:b w:val="0"/>
                <w:i w:val="0"/>
                <w:color w:val="000000"/>
                <w:sz w:val="16"/>
              </w:rPr>
              <w:t>452,149,883</w:t>
            </w:r>
          </w:p>
        </w:tc>
        <w:tc>
          <w:tcPr>
            <w:tcW w:type="dxa" w:w="1540"/>
            <w:tcBorders/>
            <w:tcMar>
              <w:start w:w="0" w:type="dxa"/>
              <w:end w:w="0" w:type="dxa"/>
            </w:tcMar>
          </w:tcPr>
          <w:p>
            <w:pPr>
              <w:autoSpaceDN w:val="0"/>
              <w:autoSpaceDE w:val="0"/>
              <w:widowControl/>
              <w:spacing w:line="199" w:lineRule="auto" w:before="42" w:after="0"/>
              <w:ind w:left="0" w:right="0" w:firstLine="0"/>
              <w:jc w:val="center"/>
            </w:pPr>
            <w:r>
              <w:rPr>
                <w:rFonts w:ascii="Calibri" w:hAnsi="Calibri" w:eastAsia="Calibri"/>
                <w:b w:val="0"/>
                <w:i w:val="0"/>
                <w:color w:val="000000"/>
                <w:sz w:val="16"/>
              </w:rPr>
              <w:t xml:space="preserve">594,542,310 </w:t>
            </w:r>
          </w:p>
        </w:tc>
        <w:tc>
          <w:tcPr>
            <w:tcW w:type="dxa" w:w="1160"/>
            <w:tcBorders/>
            <w:tcMar>
              <w:start w:w="0" w:type="dxa"/>
              <w:end w:w="0" w:type="dxa"/>
            </w:tcMar>
          </w:tcPr>
          <w:p>
            <w:pPr>
              <w:autoSpaceDN w:val="0"/>
              <w:autoSpaceDE w:val="0"/>
              <w:widowControl/>
              <w:spacing w:line="199" w:lineRule="auto" w:before="42" w:after="0"/>
              <w:ind w:left="0" w:right="48" w:firstLine="0"/>
              <w:jc w:val="right"/>
            </w:pPr>
            <w:r>
              <w:rPr>
                <w:rFonts w:ascii="Calibri" w:hAnsi="Calibri" w:eastAsia="Calibri"/>
                <w:b w:val="0"/>
                <w:i w:val="0"/>
                <w:color w:val="000000"/>
                <w:sz w:val="16"/>
              </w:rPr>
              <w:t>455,878,996</w:t>
            </w:r>
          </w:p>
        </w:tc>
      </w:tr>
    </w:tbl>
    <w:p>
      <w:pPr>
        <w:autoSpaceDN w:val="0"/>
        <w:autoSpaceDE w:val="0"/>
        <w:widowControl/>
        <w:spacing w:line="160" w:lineRule="exact" w:before="14" w:after="24"/>
        <w:ind w:left="796" w:right="0" w:firstLine="0"/>
        <w:jc w:val="left"/>
      </w:pPr>
      <w:r>
        <w:rPr>
          <w:rFonts w:ascii="黑体" w:hAnsi="黑体" w:eastAsia="黑体"/>
          <w:b w:val="0"/>
          <w:i w:val="0"/>
          <w:color w:val="000000"/>
          <w:sz w:val="16"/>
        </w:rPr>
        <w:t>投资银行业务</w:t>
      </w:r>
    </w:p>
    <w:tbl>
      <w:tblPr>
        <w:tblW w:type="auto" w:w="0"/>
        <w:tblLayout w:type="fixed"/>
        <w:tblLook w:firstColumn="1" w:firstRow="1" w:lastColumn="0" w:lastRow="0" w:noHBand="0" w:noVBand="1" w:val="04A0"/>
        <w:tblInd w:w="388.0000000000001" w:type="dxa"/>
      </w:tblPr>
      <w:tblGrid>
        <w:gridCol w:w="1832"/>
        <w:gridCol w:w="1832"/>
        <w:gridCol w:w="1832"/>
        <w:gridCol w:w="1832"/>
        <w:gridCol w:w="1832"/>
      </w:tblGrid>
      <w:tr>
        <w:trPr>
          <w:trHeight w:hRule="exact" w:val="218"/>
        </w:trPr>
        <w:tc>
          <w:tcPr>
            <w:tcW w:type="dxa" w:w="2360"/>
            <w:tcBorders/>
            <w:tcMar>
              <w:start w:w="0" w:type="dxa"/>
              <w:end w:w="0" w:type="dxa"/>
            </w:tcMar>
          </w:tcPr>
          <w:p>
            <w:pPr>
              <w:autoSpaceDN w:val="0"/>
              <w:autoSpaceDE w:val="0"/>
              <w:widowControl/>
              <w:spacing w:line="162" w:lineRule="exact" w:before="22" w:after="0"/>
              <w:ind w:left="408" w:right="0" w:firstLine="0"/>
              <w:jc w:val="left"/>
            </w:pPr>
            <w:r>
              <w:rPr>
                <w:rFonts w:ascii="黑体" w:hAnsi="黑体" w:eastAsia="黑体"/>
                <w:b w:val="0"/>
                <w:i w:val="0"/>
                <w:color w:val="000000"/>
                <w:sz w:val="16"/>
              </w:rPr>
              <w:t>手续费净收入</w:t>
            </w:r>
          </w:p>
        </w:tc>
        <w:tc>
          <w:tcPr>
            <w:tcW w:type="dxa" w:w="2180"/>
            <w:tcBorders/>
            <w:tcMar>
              <w:start w:w="0" w:type="dxa"/>
              <w:end w:w="0" w:type="dxa"/>
            </w:tcMar>
          </w:tcPr>
          <w:p>
            <w:pPr>
              <w:autoSpaceDN w:val="0"/>
              <w:autoSpaceDE w:val="0"/>
              <w:widowControl/>
              <w:spacing w:line="197" w:lineRule="auto" w:before="42" w:after="0"/>
              <w:ind w:left="0" w:right="316" w:firstLine="0"/>
              <w:jc w:val="right"/>
            </w:pPr>
            <w:r>
              <w:rPr>
                <w:rFonts w:ascii="Calibri" w:hAnsi="Calibri" w:eastAsia="Calibri"/>
                <w:b w:val="0"/>
                <w:i w:val="0"/>
                <w:color w:val="000000"/>
                <w:sz w:val="16"/>
              </w:rPr>
              <w:t xml:space="preserve">346,196,830 </w:t>
            </w:r>
          </w:p>
        </w:tc>
        <w:tc>
          <w:tcPr>
            <w:tcW w:type="dxa" w:w="148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394,075,752</w:t>
            </w:r>
          </w:p>
        </w:tc>
        <w:tc>
          <w:tcPr>
            <w:tcW w:type="dxa" w:w="154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 xml:space="preserve">105,176,187 </w:t>
            </w:r>
          </w:p>
        </w:tc>
        <w:tc>
          <w:tcPr>
            <w:tcW w:type="dxa" w:w="1160"/>
            <w:tcBorders/>
            <w:tcMar>
              <w:start w:w="0" w:type="dxa"/>
              <w:end w:w="0" w:type="dxa"/>
            </w:tcMar>
          </w:tcPr>
          <w:p>
            <w:pPr>
              <w:autoSpaceDN w:val="0"/>
              <w:autoSpaceDE w:val="0"/>
              <w:widowControl/>
              <w:spacing w:line="197" w:lineRule="auto" w:before="42" w:after="0"/>
              <w:ind w:left="0" w:right="48" w:firstLine="0"/>
              <w:jc w:val="right"/>
            </w:pPr>
            <w:r>
              <w:rPr>
                <w:rFonts w:ascii="Calibri" w:hAnsi="Calibri" w:eastAsia="Calibri"/>
                <w:b w:val="0"/>
                <w:i w:val="0"/>
                <w:color w:val="000000"/>
                <w:sz w:val="16"/>
              </w:rPr>
              <w:t>218,693,519</w:t>
            </w:r>
          </w:p>
        </w:tc>
      </w:tr>
    </w:tbl>
    <w:p>
      <w:pPr>
        <w:autoSpaceDN w:val="0"/>
        <w:autoSpaceDE w:val="0"/>
        <w:widowControl/>
        <w:spacing w:line="160" w:lineRule="exact" w:before="14" w:after="22"/>
        <w:ind w:left="796" w:right="0" w:firstLine="0"/>
        <w:jc w:val="left"/>
      </w:pPr>
      <w:r>
        <w:rPr>
          <w:rFonts w:ascii="黑体" w:hAnsi="黑体" w:eastAsia="黑体"/>
          <w:b w:val="0"/>
          <w:i w:val="0"/>
          <w:color w:val="000000"/>
          <w:sz w:val="16"/>
        </w:rPr>
        <w:t>资产管理业务</w:t>
      </w:r>
    </w:p>
    <w:tbl>
      <w:tblPr>
        <w:tblW w:type="auto" w:w="0"/>
        <w:tblLayout w:type="fixed"/>
        <w:tblLook w:firstColumn="1" w:firstRow="1" w:lastColumn="0" w:lastRow="0" w:noHBand="0" w:noVBand="1" w:val="04A0"/>
        <w:tblInd w:w="388.0000000000001" w:type="dxa"/>
      </w:tblPr>
      <w:tblGrid>
        <w:gridCol w:w="1832"/>
        <w:gridCol w:w="1832"/>
        <w:gridCol w:w="1832"/>
        <w:gridCol w:w="1832"/>
        <w:gridCol w:w="1832"/>
      </w:tblGrid>
      <w:tr>
        <w:trPr>
          <w:trHeight w:hRule="exact" w:val="218"/>
        </w:trPr>
        <w:tc>
          <w:tcPr>
            <w:tcW w:type="dxa" w:w="2360"/>
            <w:tcBorders/>
            <w:tcMar>
              <w:start w:w="0" w:type="dxa"/>
              <w:end w:w="0" w:type="dxa"/>
            </w:tcMar>
          </w:tcPr>
          <w:p>
            <w:pPr>
              <w:autoSpaceDN w:val="0"/>
              <w:autoSpaceDE w:val="0"/>
              <w:widowControl/>
              <w:spacing w:line="160" w:lineRule="exact" w:before="24" w:after="0"/>
              <w:ind w:left="408" w:right="0" w:firstLine="0"/>
              <w:jc w:val="left"/>
            </w:pPr>
            <w:r>
              <w:rPr>
                <w:rFonts w:ascii="黑体" w:hAnsi="黑体" w:eastAsia="黑体"/>
                <w:b w:val="0"/>
                <w:i w:val="0"/>
                <w:color w:val="000000"/>
                <w:sz w:val="16"/>
              </w:rPr>
              <w:t>手续费净收入</w:t>
            </w:r>
          </w:p>
        </w:tc>
        <w:tc>
          <w:tcPr>
            <w:tcW w:type="dxa" w:w="2180"/>
            <w:tcBorders/>
            <w:tcMar>
              <w:start w:w="0" w:type="dxa"/>
              <w:end w:w="0" w:type="dxa"/>
            </w:tcMar>
          </w:tcPr>
          <w:p>
            <w:pPr>
              <w:autoSpaceDN w:val="0"/>
              <w:autoSpaceDE w:val="0"/>
              <w:widowControl/>
              <w:spacing w:line="197" w:lineRule="auto" w:before="44" w:after="0"/>
              <w:ind w:left="0" w:right="316" w:firstLine="0"/>
              <w:jc w:val="right"/>
            </w:pPr>
            <w:r>
              <w:rPr>
                <w:rFonts w:ascii="Calibri" w:hAnsi="Calibri" w:eastAsia="Calibri"/>
                <w:b w:val="0"/>
                <w:i w:val="0"/>
                <w:color w:val="000000"/>
                <w:sz w:val="16"/>
              </w:rPr>
              <w:t xml:space="preserve">150,291,740 </w:t>
            </w:r>
          </w:p>
        </w:tc>
        <w:tc>
          <w:tcPr>
            <w:tcW w:type="dxa" w:w="1620"/>
            <w:tcBorders/>
            <w:tcMar>
              <w:start w:w="0" w:type="dxa"/>
              <w:end w:w="0" w:type="dxa"/>
            </w:tcMar>
          </w:tcPr>
          <w:p>
            <w:pPr>
              <w:autoSpaceDN w:val="0"/>
              <w:autoSpaceDE w:val="0"/>
              <w:widowControl/>
              <w:spacing w:line="197" w:lineRule="auto" w:before="44" w:after="0"/>
              <w:ind w:left="340" w:right="0" w:firstLine="0"/>
              <w:jc w:val="left"/>
            </w:pPr>
            <w:r>
              <w:rPr>
                <w:rFonts w:ascii="Calibri" w:hAnsi="Calibri" w:eastAsia="Calibri"/>
                <w:b w:val="0"/>
                <w:i w:val="0"/>
                <w:color w:val="000000"/>
                <w:sz w:val="16"/>
              </w:rPr>
              <w:t>147,967,820</w:t>
            </w:r>
          </w:p>
        </w:tc>
        <w:tc>
          <w:tcPr>
            <w:tcW w:type="dxa" w:w="1420"/>
            <w:tcBorders/>
            <w:tcMar>
              <w:start w:w="0" w:type="dxa"/>
              <w:end w:w="0" w:type="dxa"/>
            </w:tcMar>
          </w:tcPr>
          <w:p>
            <w:pPr>
              <w:autoSpaceDN w:val="0"/>
              <w:autoSpaceDE w:val="0"/>
              <w:widowControl/>
              <w:spacing w:line="197" w:lineRule="auto" w:before="44" w:after="0"/>
              <w:ind w:left="0" w:right="322" w:firstLine="0"/>
              <w:jc w:val="right"/>
            </w:pPr>
            <w:r>
              <w:rPr>
                <w:rFonts w:ascii="Calibri" w:hAnsi="Calibri" w:eastAsia="Calibri"/>
                <w:b w:val="0"/>
                <w:i w:val="0"/>
                <w:color w:val="000000"/>
                <w:sz w:val="16"/>
              </w:rPr>
              <w:t xml:space="preserve">188,679 </w:t>
            </w:r>
          </w:p>
        </w:tc>
        <w:tc>
          <w:tcPr>
            <w:tcW w:type="dxa" w:w="1140"/>
            <w:tcBorders/>
            <w:tcMar>
              <w:start w:w="0" w:type="dxa"/>
              <w:end w:w="0" w:type="dxa"/>
            </w:tcMar>
          </w:tcPr>
          <w:p>
            <w:pPr>
              <w:autoSpaceDN w:val="0"/>
              <w:autoSpaceDE w:val="0"/>
              <w:widowControl/>
              <w:spacing w:line="197" w:lineRule="auto" w:before="44" w:after="0"/>
              <w:ind w:left="0" w:right="48" w:firstLine="0"/>
              <w:jc w:val="right"/>
            </w:pPr>
            <w:r>
              <w:rPr>
                <w:rFonts w:ascii="Calibri" w:hAnsi="Calibri" w:eastAsia="Calibri"/>
                <w:b w:val="0"/>
                <w:i w:val="0"/>
                <w:color w:val="000000"/>
                <w:sz w:val="16"/>
              </w:rPr>
              <w:t>72,518,262</w:t>
            </w:r>
          </w:p>
        </w:tc>
      </w:tr>
    </w:tbl>
    <w:p>
      <w:pPr>
        <w:autoSpaceDN w:val="0"/>
        <w:autoSpaceDE w:val="0"/>
        <w:widowControl/>
        <w:spacing w:line="160" w:lineRule="exact" w:before="12" w:after="26"/>
        <w:ind w:left="796" w:right="0" w:firstLine="0"/>
        <w:jc w:val="left"/>
      </w:pPr>
      <w:r>
        <w:rPr>
          <w:rFonts w:ascii="黑体" w:hAnsi="黑体" w:eastAsia="黑体"/>
          <w:b w:val="0"/>
          <w:i w:val="0"/>
          <w:color w:val="000000"/>
          <w:sz w:val="16"/>
        </w:rPr>
        <w:t>期货经纪业务手</w:t>
      </w:r>
    </w:p>
    <w:tbl>
      <w:tblPr>
        <w:tblW w:type="auto" w:w="0"/>
        <w:tblLayout w:type="fixed"/>
        <w:tblLook w:firstColumn="1" w:firstRow="1" w:lastColumn="0" w:lastRow="0" w:noHBand="0" w:noVBand="1" w:val="04A0"/>
        <w:tblInd w:w="388.0000000000001" w:type="dxa"/>
      </w:tblPr>
      <w:tblGrid>
        <w:gridCol w:w="1832"/>
        <w:gridCol w:w="1832"/>
        <w:gridCol w:w="1832"/>
        <w:gridCol w:w="1832"/>
        <w:gridCol w:w="1832"/>
      </w:tblGrid>
      <w:tr>
        <w:trPr>
          <w:trHeight w:hRule="exact" w:val="218"/>
        </w:trPr>
        <w:tc>
          <w:tcPr>
            <w:tcW w:type="dxa" w:w="2320"/>
            <w:tcBorders/>
            <w:tcMar>
              <w:start w:w="0" w:type="dxa"/>
              <w:end w:w="0" w:type="dxa"/>
            </w:tcMar>
          </w:tcPr>
          <w:p>
            <w:pPr>
              <w:autoSpaceDN w:val="0"/>
              <w:autoSpaceDE w:val="0"/>
              <w:widowControl/>
              <w:spacing w:line="160" w:lineRule="exact" w:before="24" w:after="0"/>
              <w:ind w:left="408" w:right="0" w:firstLine="0"/>
              <w:jc w:val="left"/>
            </w:pPr>
            <w:r>
              <w:rPr>
                <w:rFonts w:ascii="黑体" w:hAnsi="黑体" w:eastAsia="黑体"/>
                <w:b w:val="0"/>
                <w:i w:val="0"/>
                <w:color w:val="000000"/>
                <w:sz w:val="16"/>
              </w:rPr>
              <w:t>续费净收入</w:t>
            </w:r>
          </w:p>
        </w:tc>
        <w:tc>
          <w:tcPr>
            <w:tcW w:type="dxa" w:w="2220"/>
            <w:tcBorders/>
            <w:tcMar>
              <w:start w:w="0" w:type="dxa"/>
              <w:end w:w="0" w:type="dxa"/>
            </w:tcMar>
          </w:tcPr>
          <w:p>
            <w:pPr>
              <w:autoSpaceDN w:val="0"/>
              <w:autoSpaceDE w:val="0"/>
              <w:widowControl/>
              <w:spacing w:line="197" w:lineRule="auto" w:before="44" w:after="0"/>
              <w:ind w:left="0" w:right="316" w:firstLine="0"/>
              <w:jc w:val="right"/>
            </w:pPr>
            <w:r>
              <w:rPr>
                <w:rFonts w:ascii="Calibri" w:hAnsi="Calibri" w:eastAsia="Calibri"/>
                <w:b w:val="0"/>
                <w:i w:val="0"/>
                <w:color w:val="000000"/>
                <w:sz w:val="16"/>
              </w:rPr>
              <w:t xml:space="preserve">89,559,006 </w:t>
            </w:r>
          </w:p>
        </w:tc>
        <w:tc>
          <w:tcPr>
            <w:tcW w:type="dxa" w:w="1860"/>
            <w:tcBorders/>
            <w:tcMar>
              <w:start w:w="0" w:type="dxa"/>
              <w:end w:w="0" w:type="dxa"/>
            </w:tcMar>
          </w:tcPr>
          <w:p>
            <w:pPr>
              <w:autoSpaceDN w:val="0"/>
              <w:autoSpaceDE w:val="0"/>
              <w:widowControl/>
              <w:spacing w:line="197" w:lineRule="auto" w:before="44" w:after="0"/>
              <w:ind w:left="340" w:right="0" w:firstLine="0"/>
              <w:jc w:val="left"/>
            </w:pPr>
            <w:r>
              <w:rPr>
                <w:rFonts w:ascii="Calibri" w:hAnsi="Calibri" w:eastAsia="Calibri"/>
                <w:b w:val="0"/>
                <w:i w:val="0"/>
                <w:color w:val="000000"/>
                <w:sz w:val="16"/>
              </w:rPr>
              <w:t>130,649,447</w:t>
            </w:r>
          </w:p>
        </w:tc>
        <w:tc>
          <w:tcPr>
            <w:tcW w:type="dxa" w:w="1540"/>
            <w:tcBorders/>
            <w:tcMar>
              <w:start w:w="0" w:type="dxa"/>
              <w:end w:w="0" w:type="dxa"/>
            </w:tcMar>
          </w:tcPr>
          <w:p>
            <w:pPr>
              <w:autoSpaceDN w:val="0"/>
              <w:autoSpaceDE w:val="0"/>
              <w:widowControl/>
              <w:spacing w:line="197" w:lineRule="auto" w:before="44" w:after="0"/>
              <w:ind w:left="0" w:right="0" w:firstLine="0"/>
              <w:jc w:val="center"/>
            </w:pPr>
            <w:r>
              <w:rPr>
                <w:rFonts w:ascii="Calibri" w:hAnsi="Calibri" w:eastAsia="Calibri"/>
                <w:b w:val="0"/>
                <w:i w:val="0"/>
                <w:color w:val="000000"/>
                <w:sz w:val="16"/>
              </w:rPr>
              <w:t xml:space="preserve">- </w:t>
            </w:r>
          </w:p>
        </w:tc>
        <w:tc>
          <w:tcPr>
            <w:tcW w:type="dxa" w:w="780"/>
            <w:tcBorders/>
            <w:tcMar>
              <w:start w:w="0" w:type="dxa"/>
              <w:end w:w="0" w:type="dxa"/>
            </w:tcMar>
          </w:tcPr>
          <w:p>
            <w:pPr>
              <w:autoSpaceDN w:val="0"/>
              <w:autoSpaceDE w:val="0"/>
              <w:widowControl/>
              <w:spacing w:line="197" w:lineRule="auto" w:before="44" w:after="0"/>
              <w:ind w:left="0" w:right="48" w:firstLine="0"/>
              <w:jc w:val="right"/>
            </w:pPr>
            <w:r>
              <w:rPr>
                <w:rFonts w:ascii="Calibri" w:hAnsi="Calibri" w:eastAsia="Calibri"/>
                <w:b w:val="0"/>
                <w:i w:val="0"/>
                <w:color w:val="000000"/>
                <w:sz w:val="16"/>
              </w:rPr>
              <w:t>-</w:t>
            </w:r>
          </w:p>
        </w:tc>
      </w:tr>
    </w:tbl>
    <w:p>
      <w:pPr>
        <w:autoSpaceDN w:val="0"/>
        <w:autoSpaceDE w:val="0"/>
        <w:widowControl/>
        <w:spacing w:line="160" w:lineRule="exact" w:before="12" w:after="24"/>
        <w:ind w:left="796" w:right="0" w:firstLine="0"/>
        <w:jc w:val="left"/>
      </w:pPr>
      <w:r>
        <w:rPr>
          <w:rFonts w:ascii="黑体" w:hAnsi="黑体" w:eastAsia="黑体"/>
          <w:b w:val="0"/>
          <w:i w:val="0"/>
          <w:color w:val="000000"/>
          <w:sz w:val="16"/>
        </w:rPr>
        <w:t>基金管理业务</w:t>
      </w:r>
    </w:p>
    <w:tbl>
      <w:tblPr>
        <w:tblW w:type="auto" w:w="0"/>
        <w:tblLayout w:type="fixed"/>
        <w:tblLook w:firstColumn="1" w:firstRow="1" w:lastColumn="0" w:lastRow="0" w:noHBand="0" w:noVBand="1" w:val="04A0"/>
        <w:tblInd w:w="388.0000000000001" w:type="dxa"/>
      </w:tblPr>
      <w:tblGrid>
        <w:gridCol w:w="1832"/>
        <w:gridCol w:w="1832"/>
        <w:gridCol w:w="1832"/>
        <w:gridCol w:w="1832"/>
        <w:gridCol w:w="1832"/>
      </w:tblGrid>
      <w:tr>
        <w:trPr>
          <w:trHeight w:hRule="exact" w:val="218"/>
        </w:trPr>
        <w:tc>
          <w:tcPr>
            <w:tcW w:type="dxa" w:w="2360"/>
            <w:tcBorders/>
            <w:tcMar>
              <w:start w:w="0" w:type="dxa"/>
              <w:end w:w="0" w:type="dxa"/>
            </w:tcMar>
          </w:tcPr>
          <w:p>
            <w:pPr>
              <w:autoSpaceDN w:val="0"/>
              <w:autoSpaceDE w:val="0"/>
              <w:widowControl/>
              <w:spacing w:line="162" w:lineRule="exact" w:before="24" w:after="0"/>
              <w:ind w:left="408" w:right="0" w:firstLine="0"/>
              <w:jc w:val="left"/>
            </w:pPr>
            <w:r>
              <w:rPr>
                <w:rFonts w:ascii="黑体" w:hAnsi="黑体" w:eastAsia="黑体"/>
                <w:b w:val="0"/>
                <w:i w:val="0"/>
                <w:color w:val="000000"/>
                <w:sz w:val="16"/>
              </w:rPr>
              <w:t>手续费净收入</w:t>
            </w:r>
          </w:p>
        </w:tc>
        <w:tc>
          <w:tcPr>
            <w:tcW w:type="dxa" w:w="2220"/>
            <w:tcBorders/>
            <w:tcMar>
              <w:start w:w="0" w:type="dxa"/>
              <w:end w:w="0" w:type="dxa"/>
            </w:tcMar>
          </w:tcPr>
          <w:p>
            <w:pPr>
              <w:autoSpaceDN w:val="0"/>
              <w:autoSpaceDE w:val="0"/>
              <w:widowControl/>
              <w:spacing w:line="199" w:lineRule="auto" w:before="44" w:after="0"/>
              <w:ind w:left="0" w:right="356" w:firstLine="0"/>
              <w:jc w:val="right"/>
            </w:pPr>
            <w:r>
              <w:rPr>
                <w:rFonts w:ascii="Calibri" w:hAnsi="Calibri" w:eastAsia="Calibri"/>
                <w:b w:val="0"/>
                <w:i w:val="0"/>
                <w:color w:val="000000"/>
                <w:sz w:val="16"/>
              </w:rPr>
              <w:t xml:space="preserve">111,271,346 </w:t>
            </w:r>
          </w:p>
        </w:tc>
        <w:tc>
          <w:tcPr>
            <w:tcW w:type="dxa" w:w="1440"/>
            <w:tcBorders/>
            <w:tcMar>
              <w:start w:w="0" w:type="dxa"/>
              <w:end w:w="0" w:type="dxa"/>
            </w:tcMar>
          </w:tcPr>
          <w:p>
            <w:pPr>
              <w:autoSpaceDN w:val="0"/>
              <w:autoSpaceDE w:val="0"/>
              <w:widowControl/>
              <w:spacing w:line="199" w:lineRule="auto" w:before="44" w:after="0"/>
              <w:ind w:left="0" w:right="0" w:firstLine="0"/>
              <w:jc w:val="center"/>
            </w:pPr>
            <w:r>
              <w:rPr>
                <w:rFonts w:ascii="Calibri" w:hAnsi="Calibri" w:eastAsia="Calibri"/>
                <w:b w:val="0"/>
                <w:i w:val="0"/>
                <w:color w:val="000000"/>
                <w:sz w:val="16"/>
              </w:rPr>
              <w:t>97,178,696</w:t>
            </w:r>
          </w:p>
        </w:tc>
        <w:tc>
          <w:tcPr>
            <w:tcW w:type="dxa" w:w="1560"/>
            <w:tcBorders/>
            <w:tcMar>
              <w:start w:w="0" w:type="dxa"/>
              <w:end w:w="0" w:type="dxa"/>
            </w:tcMar>
          </w:tcPr>
          <w:p>
            <w:pPr>
              <w:autoSpaceDN w:val="0"/>
              <w:autoSpaceDE w:val="0"/>
              <w:widowControl/>
              <w:spacing w:line="199" w:lineRule="auto" w:before="44" w:after="0"/>
              <w:ind w:left="0" w:right="0" w:firstLine="0"/>
              <w:jc w:val="center"/>
            </w:pPr>
            <w:r>
              <w:rPr>
                <w:rFonts w:ascii="Calibri" w:hAnsi="Calibri" w:eastAsia="Calibri"/>
                <w:b w:val="0"/>
                <w:i w:val="0"/>
                <w:color w:val="000000"/>
                <w:sz w:val="16"/>
              </w:rPr>
              <w:t xml:space="preserve">111,329,172 </w:t>
            </w:r>
          </w:p>
        </w:tc>
        <w:tc>
          <w:tcPr>
            <w:tcW w:type="dxa" w:w="1140"/>
            <w:tcBorders/>
            <w:tcMar>
              <w:start w:w="0" w:type="dxa"/>
              <w:end w:w="0" w:type="dxa"/>
            </w:tcMar>
          </w:tcPr>
          <w:p>
            <w:pPr>
              <w:autoSpaceDN w:val="0"/>
              <w:autoSpaceDE w:val="0"/>
              <w:widowControl/>
              <w:spacing w:line="199" w:lineRule="auto" w:before="44" w:after="0"/>
              <w:ind w:left="0" w:right="48" w:firstLine="0"/>
              <w:jc w:val="right"/>
            </w:pPr>
            <w:r>
              <w:rPr>
                <w:rFonts w:ascii="Calibri" w:hAnsi="Calibri" w:eastAsia="Calibri"/>
                <w:b w:val="0"/>
                <w:i w:val="0"/>
                <w:color w:val="000000"/>
                <w:sz w:val="16"/>
              </w:rPr>
              <w:t>97,518,786</w:t>
            </w:r>
          </w:p>
        </w:tc>
      </w:tr>
    </w:tbl>
    <w:p>
      <w:pPr>
        <w:autoSpaceDN w:val="0"/>
        <w:autoSpaceDE w:val="0"/>
        <w:widowControl/>
        <w:spacing w:line="162" w:lineRule="exact" w:before="12" w:after="24"/>
        <w:ind w:left="796" w:right="0" w:firstLine="0"/>
        <w:jc w:val="left"/>
      </w:pPr>
      <w:r>
        <w:rPr>
          <w:rFonts w:ascii="黑体" w:hAnsi="黑体" w:eastAsia="黑体"/>
          <w:b w:val="0"/>
          <w:i w:val="0"/>
          <w:color w:val="000000"/>
          <w:sz w:val="16"/>
        </w:rPr>
        <w:t>投资咨询业务</w:t>
      </w:r>
    </w:p>
    <w:tbl>
      <w:tblPr>
        <w:tblW w:type="auto" w:w="0"/>
        <w:tblLayout w:type="fixed"/>
        <w:tblLook w:firstColumn="1" w:firstRow="1" w:lastColumn="0" w:lastRow="0" w:noHBand="0" w:noVBand="1" w:val="04A0"/>
        <w:tblInd w:w="68.00000000000011" w:type="dxa"/>
      </w:tblPr>
      <w:tblGrid>
        <w:gridCol w:w="1527"/>
        <w:gridCol w:w="1527"/>
        <w:gridCol w:w="1527"/>
        <w:gridCol w:w="1527"/>
        <w:gridCol w:w="1527"/>
        <w:gridCol w:w="1527"/>
      </w:tblGrid>
      <w:tr>
        <w:trPr>
          <w:trHeight w:hRule="exact" w:val="176"/>
        </w:trPr>
        <w:tc>
          <w:tcPr>
            <w:tcW w:type="dxa" w:w="1940"/>
            <w:tcBorders/>
            <w:tcMar>
              <w:start w:w="0" w:type="dxa"/>
              <w:end w:w="0" w:type="dxa"/>
            </w:tcMar>
          </w:tcPr>
          <w:p>
            <w:pPr>
              <w:autoSpaceDN w:val="0"/>
              <w:autoSpaceDE w:val="0"/>
              <w:widowControl/>
              <w:spacing w:line="160" w:lineRule="exact" w:before="16" w:after="0"/>
              <w:ind w:left="0" w:right="250" w:firstLine="0"/>
              <w:jc w:val="right"/>
            </w:pPr>
            <w:r>
              <w:rPr>
                <w:rFonts w:ascii="黑体" w:hAnsi="黑体" w:eastAsia="黑体"/>
                <w:b w:val="0"/>
                <w:i w:val="0"/>
                <w:color w:val="000000"/>
                <w:sz w:val="16"/>
              </w:rPr>
              <w:t>手续费净收入</w:t>
            </w:r>
          </w:p>
        </w:tc>
        <w:tc>
          <w:tcPr>
            <w:tcW w:type="dxa" w:w="1380"/>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218" w:after="0"/>
              <w:ind w:left="268" w:right="0" w:firstLine="0"/>
              <w:jc w:val="left"/>
            </w:pPr>
            <w:r>
              <w:rPr>
                <w:rFonts w:ascii="黑体" w:hAnsi="黑体" w:eastAsia="黑体"/>
                <w:b w:val="0"/>
                <w:i w:val="0"/>
                <w:color w:val="000000"/>
                <w:sz w:val="16"/>
              </w:rPr>
              <w:t>五</w:t>
            </w:r>
            <w:r>
              <w:rPr>
                <w:rFonts w:ascii="Calibri" w:hAnsi="Calibri" w:eastAsia="Calibri"/>
                <w:b w:val="0"/>
                <w:i w:val="0"/>
                <w:color w:val="000000"/>
                <w:sz w:val="16"/>
              </w:rPr>
              <w:t xml:space="preserve">41 </w:t>
            </w:r>
          </w:p>
        </w:tc>
        <w:tc>
          <w:tcPr>
            <w:tcW w:type="dxa" w:w="1480"/>
            <w:vMerge w:val="restart"/>
            <w:tcBorders/>
            <w:tcMar>
              <w:start w:w="0" w:type="dxa"/>
              <w:end w:w="0" w:type="dxa"/>
            </w:tcMar>
            <w:tcMar>
              <w:start w:w="0" w:type="dxa"/>
              <w:end w:w="0" w:type="dxa"/>
            </w:tcMar>
          </w:tcPr>
          <w:p>
            <w:pPr>
              <w:autoSpaceDN w:val="0"/>
              <w:autoSpaceDE w:val="0"/>
              <w:widowControl/>
              <w:spacing w:line="197" w:lineRule="auto" w:before="44" w:after="0"/>
              <w:ind w:left="0" w:right="256" w:firstLine="0"/>
              <w:jc w:val="right"/>
            </w:pPr>
            <w:r>
              <w:rPr>
                <w:rFonts w:ascii="Calibri" w:hAnsi="Calibri" w:eastAsia="Calibri"/>
                <w:b w:val="0"/>
                <w:i w:val="0"/>
                <w:color w:val="000000"/>
                <w:sz w:val="16"/>
              </w:rPr>
              <w:t xml:space="preserve">70,264,005 </w:t>
            </w:r>
          </w:p>
        </w:tc>
        <w:tc>
          <w:tcPr>
            <w:tcW w:type="dxa" w:w="1500"/>
            <w:vMerge w:val="restart"/>
            <w:tcBorders/>
            <w:tcMar>
              <w:start w:w="0" w:type="dxa"/>
              <w:end w:w="0" w:type="dxa"/>
            </w:tcMar>
            <w:tcMar>
              <w:start w:w="0" w:type="dxa"/>
              <w:end w:w="0" w:type="dxa"/>
            </w:tcMar>
          </w:tcPr>
          <w:p>
            <w:pPr>
              <w:autoSpaceDN w:val="0"/>
              <w:autoSpaceDE w:val="0"/>
              <w:widowControl/>
              <w:spacing w:line="197" w:lineRule="auto" w:before="44" w:after="0"/>
              <w:ind w:left="0" w:right="290" w:firstLine="0"/>
              <w:jc w:val="right"/>
            </w:pPr>
            <w:r>
              <w:rPr>
                <w:rFonts w:ascii="Calibri" w:hAnsi="Calibri" w:eastAsia="Calibri"/>
                <w:b w:val="0"/>
                <w:i w:val="0"/>
                <w:color w:val="000000"/>
                <w:sz w:val="16"/>
              </w:rPr>
              <w:t>29,106,806</w:t>
            </w:r>
          </w:p>
        </w:tc>
        <w:tc>
          <w:tcPr>
            <w:tcW w:type="dxa" w:w="1500"/>
            <w:vMerge w:val="restart"/>
            <w:tcBorders/>
            <w:tcMar>
              <w:start w:w="0" w:type="dxa"/>
              <w:end w:w="0" w:type="dxa"/>
            </w:tcMar>
            <w:tcMar>
              <w:start w:w="0" w:type="dxa"/>
              <w:end w:w="0" w:type="dxa"/>
            </w:tcMar>
          </w:tcPr>
          <w:p>
            <w:pPr>
              <w:autoSpaceDN w:val="0"/>
              <w:autoSpaceDE w:val="0"/>
              <w:widowControl/>
              <w:spacing w:line="197" w:lineRule="auto" w:before="44" w:after="0"/>
              <w:ind w:left="0" w:right="222" w:firstLine="0"/>
              <w:jc w:val="right"/>
            </w:pPr>
            <w:r>
              <w:rPr>
                <w:rFonts w:ascii="Calibri" w:hAnsi="Calibri" w:eastAsia="Calibri"/>
                <w:b w:val="0"/>
                <w:i w:val="0"/>
                <w:color w:val="000000"/>
                <w:sz w:val="16"/>
              </w:rPr>
              <w:t xml:space="preserve">69,300,858 </w:t>
            </w:r>
          </w:p>
        </w:tc>
        <w:tc>
          <w:tcPr>
            <w:tcW w:type="dxa" w:w="1280"/>
            <w:vMerge w:val="restart"/>
            <w:tcBorders/>
            <w:tcMar>
              <w:start w:w="0" w:type="dxa"/>
              <w:end w:w="0" w:type="dxa"/>
            </w:tcMar>
            <w:tcMar>
              <w:start w:w="0" w:type="dxa"/>
              <w:end w:w="0" w:type="dxa"/>
            </w:tcMar>
          </w:tcPr>
          <w:p>
            <w:pPr>
              <w:autoSpaceDN w:val="0"/>
              <w:autoSpaceDE w:val="0"/>
              <w:widowControl/>
              <w:spacing w:line="197" w:lineRule="auto" w:before="44" w:after="0"/>
              <w:ind w:left="0" w:right="88" w:firstLine="0"/>
              <w:jc w:val="right"/>
            </w:pPr>
            <w:r>
              <w:rPr>
                <w:rFonts w:ascii="Calibri" w:hAnsi="Calibri" w:eastAsia="Calibri"/>
                <w:b w:val="0"/>
                <w:i w:val="0"/>
                <w:color w:val="000000"/>
                <w:sz w:val="16"/>
              </w:rPr>
              <w:t>28,818,400</w:t>
            </w:r>
          </w:p>
        </w:tc>
      </w:tr>
      <w:tr>
        <w:trPr>
          <w:trHeight w:hRule="exact" w:val="50"/>
        </w:trPr>
        <w:tc>
          <w:tcPr>
            <w:tcW w:type="dxa" w:w="1940"/>
            <w:vMerge w:val="restart"/>
            <w:tcBorders/>
            <w:tcMar>
              <w:start w:w="0" w:type="dxa"/>
              <w:end w:w="0" w:type="dxa"/>
            </w:tcMar>
            <w:tcMar>
              <w:start w:w="0" w:type="dxa"/>
              <w:end w:w="0" w:type="dxa"/>
            </w:tcMar>
          </w:tcPr>
          <w:p>
            <w:pPr>
              <w:autoSpaceDN w:val="0"/>
              <w:autoSpaceDE w:val="0"/>
              <w:widowControl/>
              <w:spacing w:line="178" w:lineRule="exact" w:before="42" w:after="0"/>
              <w:ind w:left="80" w:right="0" w:firstLine="0"/>
              <w:jc w:val="left"/>
            </w:pPr>
            <w:r>
              <w:rPr>
                <w:rFonts w:ascii="黑体" w:hAnsi="黑体" w:eastAsia="黑体"/>
                <w:b w:val="0"/>
                <w:i w:val="0"/>
                <w:color w:val="000000"/>
                <w:sz w:val="16"/>
              </w:rPr>
              <w:t>利息净（支出）</w:t>
            </w:r>
            <w:r>
              <w:rPr>
                <w:rFonts w:ascii="Calibri" w:hAnsi="Calibri" w:eastAsia="Calibri"/>
                <w:b w:val="0"/>
                <w:i w:val="0"/>
                <w:color w:val="000000"/>
                <w:sz w:val="16"/>
              </w:rPr>
              <w:t>/</w:t>
            </w:r>
            <w:r>
              <w:rPr>
                <w:rFonts w:ascii="黑体" w:hAnsi="黑体" w:eastAsia="黑体"/>
                <w:b w:val="0"/>
                <w:i w:val="0"/>
                <w:color w:val="000000"/>
                <w:sz w:val="16"/>
              </w:rPr>
              <w:t>收入</w:t>
            </w:r>
          </w:p>
        </w:tc>
        <w:tc>
          <w:tcPr>
            <w:tcW w:type="dxa" w:w="1527"/>
            <w:vMerge/>
            <w:tcBorders/>
          </w:tcPr>
          <w:p/>
        </w:tc>
        <w:tc>
          <w:tcPr>
            <w:tcW w:type="dxa" w:w="1527"/>
            <w:vMerge/>
            <w:tcBorders/>
          </w:tcPr>
          <w:p/>
        </w:tc>
        <w:tc>
          <w:tcPr>
            <w:tcW w:type="dxa" w:w="1527"/>
            <w:vMerge/>
            <w:tcBorders/>
          </w:tcPr>
          <w:p/>
        </w:tc>
        <w:tc>
          <w:tcPr>
            <w:tcW w:type="dxa" w:w="1527"/>
            <w:vMerge/>
            <w:tcBorders/>
          </w:tcPr>
          <w:p/>
        </w:tc>
        <w:tc>
          <w:tcPr>
            <w:tcW w:type="dxa" w:w="1527"/>
            <w:vMerge/>
            <w:tcBorders/>
          </w:tcPr>
          <w:p/>
        </w:tc>
      </w:tr>
      <w:tr>
        <w:trPr>
          <w:trHeight w:hRule="exact" w:val="170"/>
        </w:trPr>
        <w:tc>
          <w:tcPr>
            <w:tcW w:type="dxa" w:w="1527"/>
            <w:vMerge/>
            <w:tcBorders/>
          </w:tcPr>
          <w:p/>
        </w:tc>
        <w:tc>
          <w:tcPr>
            <w:tcW w:type="dxa" w:w="1527"/>
            <w:vMerge/>
            <w:tcBorders/>
          </w:tcPr>
          <w:p/>
        </w:tc>
        <w:tc>
          <w:tcPr>
            <w:tcW w:type="dxa" w:w="1480"/>
            <w:tcBorders/>
            <w:tcMar>
              <w:start w:w="0" w:type="dxa"/>
              <w:end w:w="0" w:type="dxa"/>
            </w:tcMar>
          </w:tcPr>
          <w:p>
            <w:pPr>
              <w:autoSpaceDN w:val="0"/>
              <w:autoSpaceDE w:val="0"/>
              <w:widowControl/>
              <w:spacing w:line="197" w:lineRule="auto" w:before="10" w:after="0"/>
              <w:ind w:left="0" w:right="208" w:firstLine="0"/>
              <w:jc w:val="right"/>
            </w:pPr>
            <w:r>
              <w:rPr>
                <w:rFonts w:ascii="Calibri" w:hAnsi="Calibri" w:eastAsia="Calibri"/>
                <w:b w:val="0"/>
                <w:i w:val="0"/>
                <w:color w:val="000000"/>
                <w:sz w:val="16"/>
              </w:rPr>
              <w:t xml:space="preserve">(55,638,756 ) </w:t>
            </w:r>
          </w:p>
        </w:tc>
        <w:tc>
          <w:tcPr>
            <w:tcW w:type="dxa" w:w="1500"/>
            <w:tcBorders/>
            <w:tcMar>
              <w:start w:w="0" w:type="dxa"/>
              <w:end w:w="0" w:type="dxa"/>
            </w:tcMar>
          </w:tcPr>
          <w:p>
            <w:pPr>
              <w:autoSpaceDN w:val="0"/>
              <w:autoSpaceDE w:val="0"/>
              <w:widowControl/>
              <w:spacing w:line="197" w:lineRule="auto" w:before="10" w:after="0"/>
              <w:ind w:left="350" w:right="0" w:firstLine="0"/>
              <w:jc w:val="left"/>
            </w:pPr>
            <w:r>
              <w:rPr>
                <w:rFonts w:ascii="Calibri" w:hAnsi="Calibri" w:eastAsia="Calibri"/>
                <w:b w:val="0"/>
                <w:i w:val="0"/>
                <w:color w:val="000000"/>
                <w:sz w:val="16"/>
              </w:rPr>
              <w:t xml:space="preserve">(137,573,748) </w:t>
            </w:r>
          </w:p>
        </w:tc>
        <w:tc>
          <w:tcPr>
            <w:tcW w:type="dxa" w:w="1500"/>
            <w:tcBorders/>
            <w:tcMar>
              <w:start w:w="0" w:type="dxa"/>
              <w:end w:w="0" w:type="dxa"/>
            </w:tcMar>
          </w:tcPr>
          <w:p>
            <w:pPr>
              <w:autoSpaceDN w:val="0"/>
              <w:autoSpaceDE w:val="0"/>
              <w:widowControl/>
              <w:spacing w:line="197" w:lineRule="auto" w:before="10" w:after="0"/>
              <w:ind w:left="348" w:right="0" w:firstLine="0"/>
              <w:jc w:val="left"/>
            </w:pPr>
            <w:r>
              <w:rPr>
                <w:rFonts w:ascii="Calibri" w:hAnsi="Calibri" w:eastAsia="Calibri"/>
                <w:b w:val="0"/>
                <w:i w:val="0"/>
                <w:color w:val="000000"/>
                <w:sz w:val="16"/>
              </w:rPr>
              <w:t xml:space="preserve">(189,231,595) </w:t>
            </w:r>
          </w:p>
        </w:tc>
        <w:tc>
          <w:tcPr>
            <w:tcW w:type="dxa" w:w="1280"/>
            <w:tcBorders/>
            <w:tcMar>
              <w:start w:w="0" w:type="dxa"/>
              <w:end w:w="0" w:type="dxa"/>
            </w:tcMar>
          </w:tcPr>
          <w:p>
            <w:pPr>
              <w:autoSpaceDN w:val="0"/>
              <w:autoSpaceDE w:val="0"/>
              <w:widowControl/>
              <w:spacing w:line="197" w:lineRule="auto" w:before="10" w:after="0"/>
              <w:ind w:left="0" w:right="6" w:firstLine="0"/>
              <w:jc w:val="right"/>
            </w:pPr>
            <w:r>
              <w:rPr>
                <w:rFonts w:ascii="Calibri" w:hAnsi="Calibri" w:eastAsia="Calibri"/>
                <w:b w:val="0"/>
                <w:i w:val="0"/>
                <w:color w:val="000000"/>
                <w:sz w:val="16"/>
              </w:rPr>
              <w:t xml:space="preserve">(279,965,155) </w:t>
            </w:r>
          </w:p>
        </w:tc>
      </w:tr>
      <w:tr>
        <w:trPr>
          <w:trHeight w:hRule="exact" w:val="247"/>
        </w:trPr>
        <w:tc>
          <w:tcPr>
            <w:tcW w:type="dxa" w:w="1940"/>
            <w:tcBorders/>
            <w:tcMar>
              <w:start w:w="0" w:type="dxa"/>
              <w:end w:w="0" w:type="dxa"/>
            </w:tcMar>
          </w:tcPr>
          <w:p>
            <w:pPr>
              <w:autoSpaceDN w:val="0"/>
              <w:autoSpaceDE w:val="0"/>
              <w:widowControl/>
              <w:spacing w:line="162" w:lineRule="exact" w:before="42" w:after="0"/>
              <w:ind w:left="236" w:right="0" w:firstLine="0"/>
              <w:jc w:val="left"/>
            </w:pPr>
            <w:r>
              <w:rPr>
                <w:rFonts w:ascii="黑体" w:hAnsi="黑体" w:eastAsia="黑体"/>
                <w:b w:val="0"/>
                <w:i w:val="0"/>
                <w:color w:val="000000"/>
                <w:sz w:val="16"/>
              </w:rPr>
              <w:t>其中：利息收入</w:t>
            </w:r>
          </w:p>
        </w:tc>
        <w:tc>
          <w:tcPr>
            <w:tcW w:type="dxa" w:w="1380"/>
            <w:vMerge w:val="restart"/>
            <w:tcBorders/>
            <w:tcMar>
              <w:start w:w="0" w:type="dxa"/>
              <w:end w:w="0" w:type="dxa"/>
            </w:tcMar>
            <w:tcMar>
              <w:start w:w="0" w:type="dxa"/>
              <w:end w:w="0" w:type="dxa"/>
            </w:tcMar>
            <w:tcMar>
              <w:start w:w="0" w:type="dxa"/>
              <w:end w:w="0" w:type="dxa"/>
            </w:tcMar>
          </w:tcPr>
          <w:p>
            <w:pPr>
              <w:autoSpaceDN w:val="0"/>
              <w:autoSpaceDE w:val="0"/>
              <w:widowControl/>
              <w:spacing w:line="178" w:lineRule="exact" w:before="458" w:after="0"/>
              <w:ind w:left="0" w:right="0" w:firstLine="0"/>
              <w:jc w:val="center"/>
            </w:pPr>
            <w:r>
              <w:rPr>
                <w:rFonts w:ascii="黑体" w:hAnsi="黑体" w:eastAsia="黑体"/>
                <w:b w:val="0"/>
                <w:i w:val="0"/>
                <w:color w:val="000000"/>
                <w:sz w:val="16"/>
              </w:rPr>
              <w:t>五</w:t>
            </w:r>
            <w:r>
              <w:rPr>
                <w:rFonts w:ascii="Calibri" w:hAnsi="Calibri" w:eastAsia="Calibri"/>
                <w:b w:val="0"/>
                <w:i w:val="0"/>
                <w:color w:val="000000"/>
                <w:sz w:val="16"/>
              </w:rPr>
              <w:t>42</w:t>
            </w:r>
            <w:r>
              <w:rPr>
                <w:rFonts w:ascii="黑体" w:hAnsi="黑体" w:eastAsia="黑体"/>
                <w:b w:val="0"/>
                <w:i w:val="0"/>
                <w:color w:val="000000"/>
                <w:sz w:val="16"/>
              </w:rPr>
              <w:t>，十八</w:t>
            </w:r>
            <w:r>
              <w:rPr>
                <w:rFonts w:ascii="Calibri" w:hAnsi="Calibri" w:eastAsia="Calibri"/>
                <w:b w:val="0"/>
                <w:i w:val="0"/>
                <w:color w:val="000000"/>
                <w:sz w:val="16"/>
              </w:rPr>
              <w:t xml:space="preserve">5 </w:t>
            </w:r>
          </w:p>
        </w:tc>
        <w:tc>
          <w:tcPr>
            <w:tcW w:type="dxa" w:w="1480"/>
            <w:tcBorders/>
            <w:tcMar>
              <w:start w:w="0" w:type="dxa"/>
              <w:end w:w="0" w:type="dxa"/>
            </w:tcMar>
          </w:tcPr>
          <w:p>
            <w:pPr>
              <w:autoSpaceDN w:val="0"/>
              <w:autoSpaceDE w:val="0"/>
              <w:widowControl/>
              <w:spacing w:line="199" w:lineRule="auto" w:before="62" w:after="0"/>
              <w:ind w:left="0" w:right="256" w:firstLine="0"/>
              <w:jc w:val="right"/>
            </w:pPr>
            <w:r>
              <w:rPr>
                <w:rFonts w:ascii="Calibri" w:hAnsi="Calibri" w:eastAsia="Calibri"/>
                <w:b w:val="0"/>
                <w:i w:val="0"/>
                <w:color w:val="000000"/>
                <w:sz w:val="16"/>
              </w:rPr>
              <w:t xml:space="preserve">978,820,238 </w:t>
            </w:r>
          </w:p>
        </w:tc>
        <w:tc>
          <w:tcPr>
            <w:tcW w:type="dxa" w:w="1500"/>
            <w:tcBorders/>
            <w:tcMar>
              <w:start w:w="0" w:type="dxa"/>
              <w:end w:w="0" w:type="dxa"/>
            </w:tcMar>
          </w:tcPr>
          <w:p>
            <w:pPr>
              <w:autoSpaceDN w:val="0"/>
              <w:autoSpaceDE w:val="0"/>
              <w:widowControl/>
              <w:spacing w:line="199" w:lineRule="auto" w:before="62" w:after="0"/>
              <w:ind w:left="0" w:right="0" w:firstLine="0"/>
              <w:jc w:val="center"/>
            </w:pPr>
            <w:r>
              <w:rPr>
                <w:rFonts w:ascii="Calibri" w:hAnsi="Calibri" w:eastAsia="Calibri"/>
                <w:b w:val="0"/>
                <w:i w:val="0"/>
                <w:color w:val="000000"/>
                <w:sz w:val="16"/>
              </w:rPr>
              <w:t>1,080,835,749</w:t>
            </w:r>
          </w:p>
        </w:tc>
        <w:tc>
          <w:tcPr>
            <w:tcW w:type="dxa" w:w="1500"/>
            <w:tcBorders/>
            <w:tcMar>
              <w:start w:w="0" w:type="dxa"/>
              <w:end w:w="0" w:type="dxa"/>
            </w:tcMar>
          </w:tcPr>
          <w:p>
            <w:pPr>
              <w:autoSpaceDN w:val="0"/>
              <w:autoSpaceDE w:val="0"/>
              <w:widowControl/>
              <w:spacing w:line="199" w:lineRule="auto" w:before="62" w:after="0"/>
              <w:ind w:left="0" w:right="222" w:firstLine="0"/>
              <w:jc w:val="right"/>
            </w:pPr>
            <w:r>
              <w:rPr>
                <w:rFonts w:ascii="Calibri" w:hAnsi="Calibri" w:eastAsia="Calibri"/>
                <w:b w:val="0"/>
                <w:i w:val="0"/>
                <w:color w:val="000000"/>
                <w:sz w:val="16"/>
              </w:rPr>
              <w:t xml:space="preserve">837,793,470 </w:t>
            </w:r>
          </w:p>
        </w:tc>
        <w:tc>
          <w:tcPr>
            <w:tcW w:type="dxa" w:w="1280"/>
            <w:tcBorders/>
            <w:tcMar>
              <w:start w:w="0" w:type="dxa"/>
              <w:end w:w="0" w:type="dxa"/>
            </w:tcMar>
          </w:tcPr>
          <w:p>
            <w:pPr>
              <w:autoSpaceDN w:val="0"/>
              <w:autoSpaceDE w:val="0"/>
              <w:widowControl/>
              <w:spacing w:line="199" w:lineRule="auto" w:before="62" w:after="0"/>
              <w:ind w:left="0" w:right="88" w:firstLine="0"/>
              <w:jc w:val="right"/>
            </w:pPr>
            <w:r>
              <w:rPr>
                <w:rFonts w:ascii="Calibri" w:hAnsi="Calibri" w:eastAsia="Calibri"/>
                <w:b w:val="0"/>
                <w:i w:val="0"/>
                <w:color w:val="000000"/>
                <w:sz w:val="16"/>
              </w:rPr>
              <w:t>926,264,234</w:t>
            </w:r>
          </w:p>
        </w:tc>
      </w:tr>
      <w:tr>
        <w:trPr>
          <w:trHeight w:hRule="exact" w:val="206"/>
        </w:trPr>
        <w:tc>
          <w:tcPr>
            <w:tcW w:type="dxa" w:w="1940"/>
            <w:tcBorders/>
            <w:tcMar>
              <w:start w:w="0" w:type="dxa"/>
              <w:end w:w="0" w:type="dxa"/>
            </w:tcMar>
          </w:tcPr>
          <w:p>
            <w:pPr>
              <w:autoSpaceDN w:val="0"/>
              <w:autoSpaceDE w:val="0"/>
              <w:widowControl/>
              <w:spacing w:line="160" w:lineRule="exact" w:before="4" w:after="0"/>
              <w:ind w:left="0" w:right="576" w:firstLine="0"/>
              <w:jc w:val="right"/>
            </w:pPr>
            <w:r>
              <w:rPr>
                <w:rFonts w:ascii="黑体" w:hAnsi="黑体" w:eastAsia="黑体"/>
                <w:b w:val="0"/>
                <w:i w:val="0"/>
                <w:color w:val="000000"/>
                <w:sz w:val="16"/>
              </w:rPr>
              <w:t>利息支出</w:t>
            </w:r>
          </w:p>
        </w:tc>
        <w:tc>
          <w:tcPr>
            <w:tcW w:type="dxa" w:w="1527"/>
            <w:vMerge/>
            <w:tcBorders/>
          </w:tcPr>
          <w:p/>
        </w:tc>
        <w:tc>
          <w:tcPr>
            <w:tcW w:type="dxa" w:w="1480"/>
            <w:tcBorders/>
            <w:tcMar>
              <w:start w:w="0" w:type="dxa"/>
              <w:end w:w="0" w:type="dxa"/>
            </w:tcMar>
          </w:tcPr>
          <w:p>
            <w:pPr>
              <w:autoSpaceDN w:val="0"/>
              <w:autoSpaceDE w:val="0"/>
              <w:widowControl/>
              <w:spacing w:line="197" w:lineRule="auto" w:before="24" w:after="0"/>
              <w:ind w:left="0" w:right="0" w:firstLine="0"/>
              <w:jc w:val="center"/>
            </w:pPr>
            <w:r>
              <w:rPr>
                <w:rFonts w:ascii="Calibri" w:hAnsi="Calibri" w:eastAsia="Calibri"/>
                <w:b w:val="0"/>
                <w:i w:val="0"/>
                <w:color w:val="000000"/>
                <w:sz w:val="16"/>
              </w:rPr>
              <w:t xml:space="preserve">(1,034,458,994 ) </w:t>
            </w:r>
          </w:p>
        </w:tc>
        <w:tc>
          <w:tcPr>
            <w:tcW w:type="dxa" w:w="1500"/>
            <w:tcBorders/>
            <w:tcMar>
              <w:start w:w="0" w:type="dxa"/>
              <w:end w:w="0" w:type="dxa"/>
            </w:tcMar>
          </w:tcPr>
          <w:p>
            <w:pPr>
              <w:autoSpaceDN w:val="0"/>
              <w:autoSpaceDE w:val="0"/>
              <w:widowControl/>
              <w:spacing w:line="197" w:lineRule="auto" w:before="24" w:after="0"/>
              <w:ind w:left="0" w:right="0" w:firstLine="0"/>
              <w:jc w:val="center"/>
            </w:pPr>
            <w:r>
              <w:rPr>
                <w:rFonts w:ascii="Calibri" w:hAnsi="Calibri" w:eastAsia="Calibri"/>
                <w:b w:val="0"/>
                <w:i w:val="0"/>
                <w:color w:val="000000"/>
                <w:sz w:val="16"/>
              </w:rPr>
              <w:t xml:space="preserve">(1,218,409,497) </w:t>
            </w:r>
          </w:p>
        </w:tc>
        <w:tc>
          <w:tcPr>
            <w:tcW w:type="dxa" w:w="1500"/>
            <w:tcBorders/>
            <w:tcMar>
              <w:start w:w="0" w:type="dxa"/>
              <w:end w:w="0" w:type="dxa"/>
            </w:tcMar>
          </w:tcPr>
          <w:p>
            <w:pPr>
              <w:autoSpaceDN w:val="0"/>
              <w:autoSpaceDE w:val="0"/>
              <w:widowControl/>
              <w:spacing w:line="197" w:lineRule="auto" w:before="24" w:after="0"/>
              <w:ind w:left="0" w:right="0" w:firstLine="0"/>
              <w:jc w:val="center"/>
            </w:pPr>
            <w:r>
              <w:rPr>
                <w:rFonts w:ascii="Calibri" w:hAnsi="Calibri" w:eastAsia="Calibri"/>
                <w:b w:val="0"/>
                <w:i w:val="0"/>
                <w:color w:val="000000"/>
                <w:sz w:val="16"/>
              </w:rPr>
              <w:t xml:space="preserve">(1,027,025,065) </w:t>
            </w:r>
          </w:p>
        </w:tc>
        <w:tc>
          <w:tcPr>
            <w:tcW w:type="dxa" w:w="1280"/>
            <w:tcBorders/>
            <w:tcMar>
              <w:start w:w="0" w:type="dxa"/>
              <w:end w:w="0" w:type="dxa"/>
            </w:tcMar>
          </w:tcPr>
          <w:p>
            <w:pPr>
              <w:autoSpaceDN w:val="0"/>
              <w:autoSpaceDE w:val="0"/>
              <w:widowControl/>
              <w:spacing w:line="197" w:lineRule="auto" w:before="24" w:after="0"/>
              <w:ind w:left="210" w:right="0" w:firstLine="0"/>
              <w:jc w:val="left"/>
            </w:pPr>
            <w:r>
              <w:rPr>
                <w:rFonts w:ascii="Calibri" w:hAnsi="Calibri" w:eastAsia="Calibri"/>
                <w:b w:val="0"/>
                <w:i w:val="0"/>
                <w:color w:val="000000"/>
                <w:sz w:val="16"/>
              </w:rPr>
              <w:t xml:space="preserve">(1,206,229,389) </w:t>
            </w:r>
          </w:p>
        </w:tc>
      </w:tr>
      <w:tr>
        <w:trPr>
          <w:trHeight w:hRule="exact" w:val="197"/>
        </w:trPr>
        <w:tc>
          <w:tcPr>
            <w:tcW w:type="dxa" w:w="1940"/>
            <w:tcBorders/>
            <w:tcMar>
              <w:start w:w="0" w:type="dxa"/>
              <w:end w:w="0" w:type="dxa"/>
            </w:tcMar>
          </w:tcPr>
          <w:p>
            <w:pPr>
              <w:autoSpaceDN w:val="0"/>
              <w:autoSpaceDE w:val="0"/>
              <w:widowControl/>
              <w:spacing w:line="160" w:lineRule="exact" w:before="6" w:after="0"/>
              <w:ind w:left="80" w:right="0" w:firstLine="0"/>
              <w:jc w:val="left"/>
            </w:pPr>
            <w:r>
              <w:rPr>
                <w:rFonts w:ascii="黑体" w:hAnsi="黑体" w:eastAsia="黑体"/>
                <w:b w:val="0"/>
                <w:i w:val="0"/>
                <w:color w:val="000000"/>
                <w:sz w:val="16"/>
              </w:rPr>
              <w:t>投资收益</w:t>
            </w:r>
          </w:p>
        </w:tc>
        <w:tc>
          <w:tcPr>
            <w:tcW w:type="dxa" w:w="1527"/>
            <w:vMerge/>
            <w:tcBorders/>
          </w:tcPr>
          <w:p/>
        </w:tc>
        <w:tc>
          <w:tcPr>
            <w:tcW w:type="dxa" w:w="1480"/>
            <w:tcBorders/>
            <w:tcMar>
              <w:start w:w="0" w:type="dxa"/>
              <w:end w:w="0" w:type="dxa"/>
            </w:tcMar>
          </w:tcPr>
          <w:p>
            <w:pPr>
              <w:autoSpaceDN w:val="0"/>
              <w:autoSpaceDE w:val="0"/>
              <w:widowControl/>
              <w:spacing w:line="197" w:lineRule="auto" w:before="26" w:after="0"/>
              <w:ind w:left="0" w:right="0" w:firstLine="0"/>
              <w:jc w:val="center"/>
            </w:pPr>
            <w:r>
              <w:rPr>
                <w:rFonts w:ascii="Calibri" w:hAnsi="Calibri" w:eastAsia="Calibri"/>
                <w:b w:val="0"/>
                <w:i w:val="0"/>
                <w:color w:val="000000"/>
                <w:sz w:val="16"/>
              </w:rPr>
              <w:t xml:space="preserve">1,509,329,487 </w:t>
            </w:r>
          </w:p>
        </w:tc>
        <w:tc>
          <w:tcPr>
            <w:tcW w:type="dxa" w:w="1500"/>
            <w:tcBorders/>
            <w:tcMar>
              <w:start w:w="0" w:type="dxa"/>
              <w:end w:w="0" w:type="dxa"/>
            </w:tcMar>
          </w:tcPr>
          <w:p>
            <w:pPr>
              <w:autoSpaceDN w:val="0"/>
              <w:autoSpaceDE w:val="0"/>
              <w:widowControl/>
              <w:spacing w:line="197" w:lineRule="auto" w:before="26" w:after="0"/>
              <w:ind w:left="0" w:right="0" w:firstLine="0"/>
              <w:jc w:val="center"/>
            </w:pPr>
            <w:r>
              <w:rPr>
                <w:rFonts w:ascii="Calibri" w:hAnsi="Calibri" w:eastAsia="Calibri"/>
                <w:b w:val="0"/>
                <w:i w:val="0"/>
                <w:color w:val="000000"/>
                <w:sz w:val="16"/>
              </w:rPr>
              <w:t>1,656,016,337</w:t>
            </w:r>
          </w:p>
        </w:tc>
        <w:tc>
          <w:tcPr>
            <w:tcW w:type="dxa" w:w="1500"/>
            <w:tcBorders/>
            <w:tcMar>
              <w:start w:w="0" w:type="dxa"/>
              <w:end w:w="0" w:type="dxa"/>
            </w:tcMar>
          </w:tcPr>
          <w:p>
            <w:pPr>
              <w:autoSpaceDN w:val="0"/>
              <w:autoSpaceDE w:val="0"/>
              <w:widowControl/>
              <w:spacing w:line="197" w:lineRule="auto" w:before="26" w:after="0"/>
              <w:ind w:left="0" w:right="0" w:firstLine="0"/>
              <w:jc w:val="center"/>
            </w:pPr>
            <w:r>
              <w:rPr>
                <w:rFonts w:ascii="Calibri" w:hAnsi="Calibri" w:eastAsia="Calibri"/>
                <w:b w:val="0"/>
                <w:i w:val="0"/>
                <w:color w:val="000000"/>
                <w:sz w:val="16"/>
              </w:rPr>
              <w:t xml:space="preserve">1,116,839,081 </w:t>
            </w:r>
          </w:p>
        </w:tc>
        <w:tc>
          <w:tcPr>
            <w:tcW w:type="dxa" w:w="1280"/>
            <w:tcBorders/>
            <w:tcMar>
              <w:start w:w="0" w:type="dxa"/>
              <w:end w:w="0" w:type="dxa"/>
            </w:tcMar>
          </w:tcPr>
          <w:p>
            <w:pPr>
              <w:autoSpaceDN w:val="0"/>
              <w:autoSpaceDE w:val="0"/>
              <w:widowControl/>
              <w:spacing w:line="197" w:lineRule="auto" w:before="26" w:after="0"/>
              <w:ind w:left="258" w:right="0" w:firstLine="0"/>
              <w:jc w:val="left"/>
            </w:pPr>
            <w:r>
              <w:rPr>
                <w:rFonts w:ascii="Calibri" w:hAnsi="Calibri" w:eastAsia="Calibri"/>
                <w:b w:val="0"/>
                <w:i w:val="0"/>
                <w:color w:val="000000"/>
                <w:sz w:val="16"/>
              </w:rPr>
              <w:t>1,241,958,816</w:t>
            </w:r>
          </w:p>
        </w:tc>
      </w:tr>
    </w:tbl>
    <w:p>
      <w:pPr>
        <w:autoSpaceDN w:val="0"/>
        <w:autoSpaceDE w:val="0"/>
        <w:widowControl/>
        <w:spacing w:line="162" w:lineRule="exact" w:before="14" w:after="22"/>
        <w:ind w:left="326" w:right="0" w:firstLine="0"/>
        <w:jc w:val="left"/>
      </w:pPr>
      <w:r>
        <w:rPr>
          <w:rFonts w:ascii="黑体" w:hAnsi="黑体" w:eastAsia="黑体"/>
          <w:b w:val="0"/>
          <w:i w:val="0"/>
          <w:color w:val="000000"/>
          <w:sz w:val="16"/>
        </w:rPr>
        <w:t>其中：对联营企业和合营企</w:t>
      </w:r>
    </w:p>
    <w:tbl>
      <w:tblPr>
        <w:tblW w:type="auto" w:w="0"/>
        <w:tblLayout w:type="fixed"/>
        <w:tblLook w:firstColumn="1" w:firstRow="1" w:lastColumn="0" w:lastRow="0" w:noHBand="0" w:noVBand="1" w:val="04A0"/>
        <w:tblInd w:w="-11.999999999999886" w:type="dxa"/>
      </w:tblPr>
      <w:tblGrid>
        <w:gridCol w:w="1527"/>
        <w:gridCol w:w="1527"/>
        <w:gridCol w:w="1527"/>
        <w:gridCol w:w="1527"/>
        <w:gridCol w:w="1527"/>
        <w:gridCol w:w="1527"/>
      </w:tblGrid>
      <w:tr>
        <w:trPr>
          <w:trHeight w:hRule="exact" w:val="192"/>
        </w:trPr>
        <w:tc>
          <w:tcPr>
            <w:tcW w:type="dxa" w:w="1860"/>
            <w:tcBorders/>
            <w:tcMar>
              <w:start w:w="0" w:type="dxa"/>
              <w:end w:w="0" w:type="dxa"/>
            </w:tcMar>
          </w:tcPr>
          <w:p>
            <w:pPr>
              <w:autoSpaceDN w:val="0"/>
              <w:autoSpaceDE w:val="0"/>
              <w:widowControl/>
              <w:spacing w:line="162" w:lineRule="exact" w:before="22" w:after="0"/>
              <w:ind w:left="338" w:right="0" w:firstLine="0"/>
              <w:jc w:val="left"/>
            </w:pPr>
            <w:r>
              <w:rPr>
                <w:rFonts w:ascii="黑体" w:hAnsi="黑体" w:eastAsia="黑体"/>
                <w:b w:val="0"/>
                <w:i w:val="0"/>
                <w:color w:val="000000"/>
                <w:sz w:val="16"/>
              </w:rPr>
              <w:t>业的投资收益</w:t>
            </w:r>
          </w:p>
        </w:tc>
        <w:tc>
          <w:tcPr>
            <w:tcW w:type="dxa" w:w="1448"/>
            <w:vMerge w:val="restart"/>
            <w:tcBorders/>
            <w:tcMar>
              <w:start w:w="0" w:type="dxa"/>
              <w:end w:w="0" w:type="dxa"/>
            </w:tcMar>
            <w:tcMar>
              <w:start w:w="0" w:type="dxa"/>
              <w:end w:w="0" w:type="dxa"/>
            </w:tcMar>
          </w:tcPr>
          <w:p>
            <w:pPr>
              <w:autoSpaceDN w:val="0"/>
              <w:autoSpaceDE w:val="0"/>
              <w:widowControl/>
              <w:spacing w:line="178" w:lineRule="exact" w:before="214"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43 </w:t>
            </w:r>
          </w:p>
        </w:tc>
        <w:tc>
          <w:tcPr>
            <w:tcW w:type="dxa" w:w="1496"/>
            <w:tcBorders/>
            <w:tcMar>
              <w:start w:w="0" w:type="dxa"/>
              <w:end w:w="0" w:type="dxa"/>
            </w:tcMar>
          </w:tcPr>
          <w:p>
            <w:pPr>
              <w:autoSpaceDN w:val="0"/>
              <w:autoSpaceDE w:val="0"/>
              <w:widowControl/>
              <w:spacing w:line="197" w:lineRule="auto" w:before="32" w:after="0"/>
              <w:ind w:left="0" w:right="180" w:firstLine="0"/>
              <w:jc w:val="right"/>
            </w:pPr>
            <w:r>
              <w:rPr>
                <w:rFonts w:ascii="Calibri" w:hAnsi="Calibri" w:eastAsia="Calibri"/>
                <w:b w:val="0"/>
                <w:i w:val="0"/>
                <w:color w:val="000000"/>
                <w:sz w:val="16"/>
              </w:rPr>
              <w:t xml:space="preserve">11,055,327 </w:t>
            </w:r>
          </w:p>
        </w:tc>
        <w:tc>
          <w:tcPr>
            <w:tcW w:type="dxa" w:w="1500"/>
            <w:tcBorders/>
            <w:tcMar>
              <w:start w:w="0" w:type="dxa"/>
              <w:end w:w="0" w:type="dxa"/>
            </w:tcMar>
          </w:tcPr>
          <w:p>
            <w:pPr>
              <w:autoSpaceDN w:val="0"/>
              <w:autoSpaceDE w:val="0"/>
              <w:widowControl/>
              <w:spacing w:line="197" w:lineRule="auto" w:before="32" w:after="0"/>
              <w:ind w:left="0" w:right="214" w:firstLine="0"/>
              <w:jc w:val="right"/>
            </w:pPr>
            <w:r>
              <w:rPr>
                <w:rFonts w:ascii="Calibri" w:hAnsi="Calibri" w:eastAsia="Calibri"/>
                <w:b w:val="0"/>
                <w:i w:val="0"/>
                <w:color w:val="000000"/>
                <w:sz w:val="16"/>
              </w:rPr>
              <w:t>27,617,591</w:t>
            </w:r>
          </w:p>
        </w:tc>
        <w:tc>
          <w:tcPr>
            <w:tcW w:type="dxa" w:w="1484"/>
            <w:tcBorders/>
            <w:tcMar>
              <w:start w:w="0" w:type="dxa"/>
              <w:end w:w="0" w:type="dxa"/>
            </w:tcMar>
          </w:tcPr>
          <w:p>
            <w:pPr>
              <w:autoSpaceDN w:val="0"/>
              <w:autoSpaceDE w:val="0"/>
              <w:widowControl/>
              <w:spacing w:line="197" w:lineRule="auto" w:before="32" w:after="0"/>
              <w:ind w:left="0" w:right="136" w:firstLine="0"/>
              <w:jc w:val="right"/>
            </w:pPr>
            <w:r>
              <w:rPr>
                <w:rFonts w:ascii="Calibri" w:hAnsi="Calibri" w:eastAsia="Calibri"/>
                <w:b w:val="0"/>
                <w:i w:val="0"/>
                <w:color w:val="000000"/>
                <w:sz w:val="16"/>
              </w:rPr>
              <w:t xml:space="preserve">- </w:t>
            </w:r>
          </w:p>
        </w:tc>
        <w:tc>
          <w:tcPr>
            <w:tcW w:type="dxa" w:w="1282"/>
            <w:tcBorders/>
            <w:tcMar>
              <w:start w:w="0" w:type="dxa"/>
              <w:end w:w="0" w:type="dxa"/>
            </w:tcMar>
          </w:tcPr>
          <w:p>
            <w:pPr>
              <w:autoSpaceDN w:val="0"/>
              <w:autoSpaceDE w:val="0"/>
              <w:widowControl/>
              <w:spacing w:line="197" w:lineRule="auto" w:before="32" w:after="0"/>
              <w:ind w:left="0" w:right="0" w:firstLine="0"/>
              <w:jc w:val="right"/>
            </w:pPr>
            <w:r>
              <w:rPr>
                <w:rFonts w:ascii="Calibri" w:hAnsi="Calibri" w:eastAsia="Calibri"/>
                <w:b w:val="0"/>
                <w:i w:val="0"/>
                <w:color w:val="000000"/>
                <w:sz w:val="16"/>
              </w:rPr>
              <w:t>-</w:t>
            </w:r>
          </w:p>
        </w:tc>
      </w:tr>
      <w:tr>
        <w:trPr>
          <w:trHeight w:hRule="exact" w:val="200"/>
        </w:trPr>
        <w:tc>
          <w:tcPr>
            <w:tcW w:type="dxa" w:w="1860"/>
            <w:tcBorders/>
            <w:tcMar>
              <w:start w:w="0" w:type="dxa"/>
              <w:end w:w="0" w:type="dxa"/>
            </w:tcMar>
          </w:tcPr>
          <w:p>
            <w:pPr>
              <w:autoSpaceDN w:val="0"/>
              <w:autoSpaceDE w:val="0"/>
              <w:widowControl/>
              <w:spacing w:line="160" w:lineRule="exact" w:before="40" w:after="0"/>
              <w:ind w:left="160" w:right="0" w:firstLine="0"/>
              <w:jc w:val="left"/>
            </w:pPr>
            <w:r>
              <w:rPr>
                <w:rFonts w:ascii="黑体" w:hAnsi="黑体" w:eastAsia="黑体"/>
                <w:b w:val="0"/>
                <w:i w:val="0"/>
                <w:color w:val="000000"/>
                <w:sz w:val="16"/>
              </w:rPr>
              <w:t>公允价值变动损益</w:t>
            </w:r>
          </w:p>
        </w:tc>
        <w:tc>
          <w:tcPr>
            <w:tcW w:type="dxa" w:w="1527"/>
            <w:vMerge/>
            <w:tcBorders/>
          </w:tcPr>
          <w:p/>
        </w:tc>
        <w:tc>
          <w:tcPr>
            <w:tcW w:type="dxa" w:w="1496"/>
            <w:tcBorders/>
            <w:tcMar>
              <w:start w:w="0" w:type="dxa"/>
              <w:end w:w="0" w:type="dxa"/>
            </w:tcMar>
          </w:tcPr>
          <w:p>
            <w:pPr>
              <w:autoSpaceDN w:val="0"/>
              <w:autoSpaceDE w:val="0"/>
              <w:widowControl/>
              <w:spacing w:line="197" w:lineRule="auto" w:before="40" w:after="0"/>
              <w:ind w:left="0" w:right="180" w:firstLine="0"/>
              <w:jc w:val="right"/>
            </w:pPr>
            <w:r>
              <w:rPr>
                <w:rFonts w:ascii="Calibri" w:hAnsi="Calibri" w:eastAsia="Calibri"/>
                <w:b w:val="0"/>
                <w:i w:val="0"/>
                <w:color w:val="000000"/>
                <w:sz w:val="16"/>
              </w:rPr>
              <w:t xml:space="preserve">108,177,437 </w:t>
            </w:r>
          </w:p>
        </w:tc>
        <w:tc>
          <w:tcPr>
            <w:tcW w:type="dxa" w:w="1500"/>
            <w:tcBorders/>
            <w:tcMar>
              <w:start w:w="0" w:type="dxa"/>
              <w:end w:w="0" w:type="dxa"/>
            </w:tcMar>
          </w:tcPr>
          <w:p>
            <w:pPr>
              <w:autoSpaceDN w:val="0"/>
              <w:autoSpaceDE w:val="0"/>
              <w:widowControl/>
              <w:spacing w:line="197" w:lineRule="auto" w:before="40" w:after="0"/>
              <w:ind w:left="0" w:right="214" w:firstLine="0"/>
              <w:jc w:val="right"/>
            </w:pPr>
            <w:r>
              <w:rPr>
                <w:rFonts w:ascii="Calibri" w:hAnsi="Calibri" w:eastAsia="Calibri"/>
                <w:b w:val="0"/>
                <w:i w:val="0"/>
                <w:color w:val="000000"/>
                <w:sz w:val="16"/>
              </w:rPr>
              <w:t>91,820,357</w:t>
            </w:r>
          </w:p>
        </w:tc>
        <w:tc>
          <w:tcPr>
            <w:tcW w:type="dxa" w:w="1484"/>
            <w:tcBorders/>
            <w:tcMar>
              <w:start w:w="0" w:type="dxa"/>
              <w:end w:w="0" w:type="dxa"/>
            </w:tcMar>
          </w:tcPr>
          <w:p>
            <w:pPr>
              <w:autoSpaceDN w:val="0"/>
              <w:autoSpaceDE w:val="0"/>
              <w:widowControl/>
              <w:spacing w:line="197" w:lineRule="auto" w:before="40" w:after="0"/>
              <w:ind w:left="0" w:right="130" w:firstLine="0"/>
              <w:jc w:val="right"/>
            </w:pPr>
            <w:r>
              <w:rPr>
                <w:rFonts w:ascii="Calibri" w:hAnsi="Calibri" w:eastAsia="Calibri"/>
                <w:b w:val="0"/>
                <w:i w:val="0"/>
                <w:color w:val="000000"/>
                <w:sz w:val="16"/>
              </w:rPr>
              <w:t xml:space="preserve">269,359,851 </w:t>
            </w:r>
          </w:p>
        </w:tc>
        <w:tc>
          <w:tcPr>
            <w:tcW w:type="dxa" w:w="128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180,001,538</w:t>
            </w:r>
          </w:p>
        </w:tc>
      </w:tr>
      <w:tr>
        <w:trPr>
          <w:trHeight w:hRule="exact" w:val="249"/>
        </w:trPr>
        <w:tc>
          <w:tcPr>
            <w:tcW w:type="dxa" w:w="1860"/>
            <w:tcBorders/>
            <w:tcMar>
              <w:start w:w="0" w:type="dxa"/>
              <w:end w:w="0" w:type="dxa"/>
            </w:tcMar>
          </w:tcPr>
          <w:p>
            <w:pPr>
              <w:autoSpaceDN w:val="0"/>
              <w:autoSpaceDE w:val="0"/>
              <w:widowControl/>
              <w:spacing w:line="160" w:lineRule="exact" w:before="46" w:after="0"/>
              <w:ind w:left="160" w:right="0" w:firstLine="0"/>
              <w:jc w:val="left"/>
            </w:pPr>
            <w:r>
              <w:rPr>
                <w:rFonts w:ascii="黑体" w:hAnsi="黑体" w:eastAsia="黑体"/>
                <w:b w:val="0"/>
                <w:i w:val="0"/>
                <w:color w:val="000000"/>
                <w:sz w:val="16"/>
              </w:rPr>
              <w:t>汇兑损益</w:t>
            </w:r>
          </w:p>
        </w:tc>
        <w:tc>
          <w:tcPr>
            <w:tcW w:type="dxa" w:w="1448"/>
            <w:vMerge w:val="restart"/>
            <w:tcBorders/>
            <w:tcMar>
              <w:start w:w="0" w:type="dxa"/>
              <w:end w:w="0" w:type="dxa"/>
            </w:tcMar>
            <w:tcMar>
              <w:start w:w="0" w:type="dxa"/>
              <w:end w:w="0" w:type="dxa"/>
            </w:tcMar>
          </w:tcPr>
          <w:p>
            <w:pPr>
              <w:autoSpaceDN w:val="0"/>
              <w:autoSpaceDE w:val="0"/>
              <w:widowControl/>
              <w:spacing w:line="180" w:lineRule="exact" w:before="240"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44 </w:t>
            </w:r>
          </w:p>
        </w:tc>
        <w:tc>
          <w:tcPr>
            <w:tcW w:type="dxa" w:w="1496"/>
            <w:tcBorders/>
            <w:tcMar>
              <w:start w:w="0" w:type="dxa"/>
              <w:end w:w="0" w:type="dxa"/>
            </w:tcMar>
          </w:tcPr>
          <w:p>
            <w:pPr>
              <w:autoSpaceDN w:val="0"/>
              <w:autoSpaceDE w:val="0"/>
              <w:widowControl/>
              <w:spacing w:line="197" w:lineRule="auto" w:before="66" w:after="0"/>
              <w:ind w:left="0" w:right="132" w:firstLine="0"/>
              <w:jc w:val="right"/>
            </w:pPr>
            <w:r>
              <w:rPr>
                <w:rFonts w:ascii="Calibri" w:hAnsi="Calibri" w:eastAsia="Calibri"/>
                <w:b w:val="0"/>
                <w:i w:val="0"/>
                <w:color w:val="000000"/>
                <w:sz w:val="16"/>
              </w:rPr>
              <w:t xml:space="preserve">(13,252,089 ) </w:t>
            </w:r>
          </w:p>
        </w:tc>
        <w:tc>
          <w:tcPr>
            <w:tcW w:type="dxa" w:w="1500"/>
            <w:tcBorders/>
            <w:tcMar>
              <w:start w:w="0" w:type="dxa"/>
              <w:end w:w="0" w:type="dxa"/>
            </w:tcMar>
          </w:tcPr>
          <w:p>
            <w:pPr>
              <w:autoSpaceDN w:val="0"/>
              <w:autoSpaceDE w:val="0"/>
              <w:widowControl/>
              <w:spacing w:line="197" w:lineRule="auto" w:before="66" w:after="0"/>
              <w:ind w:left="0" w:right="132" w:firstLine="0"/>
              <w:jc w:val="right"/>
            </w:pPr>
            <w:r>
              <w:rPr>
                <w:rFonts w:ascii="Calibri" w:hAnsi="Calibri" w:eastAsia="Calibri"/>
                <w:b w:val="0"/>
                <w:i w:val="0"/>
                <w:color w:val="000000"/>
                <w:sz w:val="16"/>
              </w:rPr>
              <w:t xml:space="preserve">(13,583,738) </w:t>
            </w:r>
          </w:p>
        </w:tc>
        <w:tc>
          <w:tcPr>
            <w:tcW w:type="dxa" w:w="1484"/>
            <w:tcBorders/>
            <w:tcMar>
              <w:start w:w="0" w:type="dxa"/>
              <w:end w:w="0" w:type="dxa"/>
            </w:tcMar>
          </w:tcPr>
          <w:p>
            <w:pPr>
              <w:autoSpaceDN w:val="0"/>
              <w:autoSpaceDE w:val="0"/>
              <w:widowControl/>
              <w:spacing w:line="197" w:lineRule="auto" w:before="66" w:after="0"/>
              <w:ind w:left="0" w:right="100" w:firstLine="0"/>
              <w:jc w:val="right"/>
            </w:pPr>
            <w:r>
              <w:rPr>
                <w:rFonts w:ascii="Calibri" w:hAnsi="Calibri" w:eastAsia="Calibri"/>
                <w:b w:val="0"/>
                <w:i w:val="0"/>
                <w:color w:val="000000"/>
                <w:sz w:val="16"/>
              </w:rPr>
              <w:t xml:space="preserve">(2,515,789) </w:t>
            </w:r>
          </w:p>
        </w:tc>
        <w:tc>
          <w:tcPr>
            <w:tcW w:type="dxa" w:w="1282"/>
            <w:tcBorders/>
            <w:tcMar>
              <w:start w:w="0" w:type="dxa"/>
              <w:end w:w="0" w:type="dxa"/>
            </w:tcMar>
          </w:tcPr>
          <w:p>
            <w:pPr>
              <w:autoSpaceDN w:val="0"/>
              <w:autoSpaceDE w:val="0"/>
              <w:widowControl/>
              <w:spacing w:line="197" w:lineRule="auto" w:before="66" w:after="0"/>
              <w:ind w:left="0" w:right="0" w:firstLine="0"/>
              <w:jc w:val="right"/>
            </w:pPr>
            <w:r>
              <w:rPr>
                <w:rFonts w:ascii="Calibri" w:hAnsi="Calibri" w:eastAsia="Calibri"/>
                <w:b w:val="0"/>
                <w:i w:val="0"/>
                <w:color w:val="000000"/>
                <w:sz w:val="16"/>
              </w:rPr>
              <w:t>1,228,588</w:t>
            </w:r>
          </w:p>
        </w:tc>
      </w:tr>
      <w:tr>
        <w:trPr>
          <w:trHeight w:hRule="exact" w:val="171"/>
        </w:trPr>
        <w:tc>
          <w:tcPr>
            <w:tcW w:type="dxa" w:w="1860"/>
            <w:tcBorders/>
            <w:tcMar>
              <w:start w:w="0" w:type="dxa"/>
              <w:end w:w="0" w:type="dxa"/>
            </w:tcMar>
          </w:tcPr>
          <w:p>
            <w:pPr>
              <w:autoSpaceDN w:val="0"/>
              <w:autoSpaceDE w:val="0"/>
              <w:widowControl/>
              <w:spacing w:line="162" w:lineRule="exact" w:before="6" w:after="0"/>
              <w:ind w:left="160" w:right="0" w:firstLine="0"/>
              <w:jc w:val="left"/>
            </w:pPr>
            <w:r>
              <w:rPr>
                <w:rFonts w:ascii="黑体" w:hAnsi="黑体" w:eastAsia="黑体"/>
                <w:b w:val="0"/>
                <w:i w:val="0"/>
                <w:color w:val="000000"/>
                <w:sz w:val="16"/>
              </w:rPr>
              <w:t>其他业务收入</w:t>
            </w:r>
          </w:p>
        </w:tc>
        <w:tc>
          <w:tcPr>
            <w:tcW w:type="dxa" w:w="1527"/>
            <w:vMerge/>
            <w:tcBorders/>
          </w:tcPr>
          <w:p/>
        </w:tc>
        <w:tc>
          <w:tcPr>
            <w:tcW w:type="dxa" w:w="1496"/>
            <w:tcBorders/>
            <w:tcMar>
              <w:start w:w="0" w:type="dxa"/>
              <w:end w:w="0" w:type="dxa"/>
            </w:tcMar>
          </w:tcPr>
          <w:p>
            <w:pPr>
              <w:autoSpaceDN w:val="0"/>
              <w:autoSpaceDE w:val="0"/>
              <w:widowControl/>
              <w:spacing w:line="199" w:lineRule="auto" w:before="10" w:after="0"/>
              <w:ind w:left="0" w:right="180" w:firstLine="0"/>
              <w:jc w:val="right"/>
            </w:pPr>
            <w:r>
              <w:rPr>
                <w:rFonts w:ascii="Calibri" w:hAnsi="Calibri" w:eastAsia="Calibri"/>
                <w:b w:val="0"/>
                <w:i w:val="0"/>
                <w:color w:val="000000"/>
                <w:sz w:val="16"/>
              </w:rPr>
              <w:t xml:space="preserve">220,919,978 </w:t>
            </w:r>
          </w:p>
        </w:tc>
        <w:tc>
          <w:tcPr>
            <w:tcW w:type="dxa" w:w="1500"/>
            <w:tcBorders/>
            <w:tcMar>
              <w:start w:w="0" w:type="dxa"/>
              <w:end w:w="0" w:type="dxa"/>
            </w:tcMar>
          </w:tcPr>
          <w:p>
            <w:pPr>
              <w:autoSpaceDN w:val="0"/>
              <w:autoSpaceDE w:val="0"/>
              <w:widowControl/>
              <w:spacing w:line="199" w:lineRule="auto" w:before="10" w:after="0"/>
              <w:ind w:left="0" w:right="214" w:firstLine="0"/>
              <w:jc w:val="right"/>
            </w:pPr>
            <w:r>
              <w:rPr>
                <w:rFonts w:ascii="Calibri" w:hAnsi="Calibri" w:eastAsia="Calibri"/>
                <w:b w:val="0"/>
                <w:i w:val="0"/>
                <w:color w:val="000000"/>
                <w:sz w:val="16"/>
              </w:rPr>
              <w:t>598,500,556</w:t>
            </w:r>
          </w:p>
        </w:tc>
        <w:tc>
          <w:tcPr>
            <w:tcW w:type="dxa" w:w="1484"/>
            <w:tcBorders/>
            <w:tcMar>
              <w:start w:w="0" w:type="dxa"/>
              <w:end w:w="0" w:type="dxa"/>
            </w:tcMar>
          </w:tcPr>
          <w:p>
            <w:pPr>
              <w:autoSpaceDN w:val="0"/>
              <w:autoSpaceDE w:val="0"/>
              <w:widowControl/>
              <w:spacing w:line="199" w:lineRule="auto" w:before="10" w:after="0"/>
              <w:ind w:left="0" w:right="136" w:firstLine="0"/>
              <w:jc w:val="right"/>
            </w:pPr>
            <w:r>
              <w:rPr>
                <w:rFonts w:ascii="Calibri" w:hAnsi="Calibri" w:eastAsia="Calibri"/>
                <w:b w:val="0"/>
                <w:i w:val="0"/>
                <w:color w:val="000000"/>
                <w:sz w:val="16"/>
              </w:rPr>
              <w:t xml:space="preserve">8,335,570 </w:t>
            </w:r>
          </w:p>
        </w:tc>
        <w:tc>
          <w:tcPr>
            <w:tcW w:type="dxa" w:w="1282"/>
            <w:tcBorders/>
            <w:tcMar>
              <w:start w:w="0" w:type="dxa"/>
              <w:end w:w="0" w:type="dxa"/>
            </w:tcMar>
          </w:tcPr>
          <w:p>
            <w:pPr>
              <w:autoSpaceDN w:val="0"/>
              <w:autoSpaceDE w:val="0"/>
              <w:widowControl/>
              <w:spacing w:line="199" w:lineRule="auto" w:before="10" w:after="0"/>
              <w:ind w:left="0" w:right="0" w:firstLine="0"/>
              <w:jc w:val="right"/>
            </w:pPr>
            <w:r>
              <w:rPr>
                <w:rFonts w:ascii="Calibri" w:hAnsi="Calibri" w:eastAsia="Calibri"/>
                <w:b w:val="0"/>
                <w:i w:val="0"/>
                <w:color w:val="000000"/>
                <w:sz w:val="16"/>
              </w:rPr>
              <w:t>297,741,356</w:t>
            </w:r>
          </w:p>
        </w:tc>
      </w:tr>
      <w:tr>
        <w:trPr>
          <w:trHeight w:hRule="exact" w:val="200"/>
        </w:trPr>
        <w:tc>
          <w:tcPr>
            <w:tcW w:type="dxa" w:w="1860"/>
            <w:tcBorders/>
            <w:tcMar>
              <w:start w:w="0" w:type="dxa"/>
              <w:end w:w="0" w:type="dxa"/>
            </w:tcMar>
          </w:tcPr>
          <w:p>
            <w:pPr>
              <w:autoSpaceDN w:val="0"/>
              <w:autoSpaceDE w:val="0"/>
              <w:widowControl/>
              <w:spacing w:line="160" w:lineRule="exact" w:before="40" w:after="0"/>
              <w:ind w:left="160" w:right="0" w:firstLine="0"/>
              <w:jc w:val="left"/>
            </w:pPr>
            <w:r>
              <w:rPr>
                <w:rFonts w:ascii="黑体" w:hAnsi="黑体" w:eastAsia="黑体"/>
                <w:b w:val="0"/>
                <w:i w:val="0"/>
                <w:color w:val="000000"/>
                <w:sz w:val="16"/>
              </w:rPr>
              <w:t>其他收益</w:t>
            </w:r>
          </w:p>
        </w:tc>
        <w:tc>
          <w:tcPr>
            <w:tcW w:type="dxa" w:w="1448"/>
            <w:tcBorders/>
            <w:tcMar>
              <w:start w:w="0" w:type="dxa"/>
              <w:end w:w="0" w:type="dxa"/>
            </w:tcMar>
          </w:tcPr>
          <w:p>
            <w:pPr>
              <w:autoSpaceDN w:val="0"/>
              <w:autoSpaceDE w:val="0"/>
              <w:widowControl/>
              <w:spacing w:line="178" w:lineRule="exact" w:before="22"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45 </w:t>
            </w:r>
          </w:p>
        </w:tc>
        <w:tc>
          <w:tcPr>
            <w:tcW w:type="dxa" w:w="1496"/>
            <w:vMerge w:val="restart"/>
            <w:tcBorders/>
            <w:tcMar>
              <w:start w:w="0" w:type="dxa"/>
              <w:end w:w="0" w:type="dxa"/>
            </w:tcMar>
            <w:tcMar>
              <w:start w:w="0" w:type="dxa"/>
              <w:end w:w="0" w:type="dxa"/>
            </w:tcMar>
          </w:tcPr>
          <w:p>
            <w:pPr>
              <w:autoSpaceDN w:val="0"/>
              <w:autoSpaceDE w:val="0"/>
              <w:widowControl/>
              <w:spacing w:line="197" w:lineRule="auto" w:before="62" w:after="0"/>
              <w:ind w:left="0" w:right="180" w:firstLine="0"/>
              <w:jc w:val="right"/>
            </w:pPr>
            <w:r>
              <w:rPr>
                <w:rFonts w:ascii="Calibri" w:hAnsi="Calibri" w:eastAsia="Calibri"/>
                <w:b w:val="0"/>
                <w:i w:val="0"/>
                <w:color w:val="000000"/>
                <w:sz w:val="16"/>
              </w:rPr>
              <w:t xml:space="preserve">19,059,202 </w:t>
            </w:r>
          </w:p>
        </w:tc>
        <w:tc>
          <w:tcPr>
            <w:tcW w:type="dxa" w:w="1500"/>
            <w:vMerge w:val="restart"/>
            <w:tcBorders/>
            <w:tcMar>
              <w:start w:w="0" w:type="dxa"/>
              <w:end w:w="0" w:type="dxa"/>
            </w:tcMar>
            <w:tcMar>
              <w:start w:w="0" w:type="dxa"/>
              <w:end w:w="0" w:type="dxa"/>
            </w:tcMar>
          </w:tcPr>
          <w:p>
            <w:pPr>
              <w:autoSpaceDN w:val="0"/>
              <w:autoSpaceDE w:val="0"/>
              <w:widowControl/>
              <w:spacing w:line="197" w:lineRule="auto" w:before="62" w:after="0"/>
              <w:ind w:left="0" w:right="214" w:firstLine="0"/>
              <w:jc w:val="right"/>
            </w:pPr>
            <w:r>
              <w:rPr>
                <w:rFonts w:ascii="Calibri" w:hAnsi="Calibri" w:eastAsia="Calibri"/>
                <w:b w:val="0"/>
                <w:i w:val="0"/>
                <w:color w:val="000000"/>
                <w:sz w:val="16"/>
              </w:rPr>
              <w:t>24,193,184</w:t>
            </w:r>
          </w:p>
        </w:tc>
        <w:tc>
          <w:tcPr>
            <w:tcW w:type="dxa" w:w="1484"/>
            <w:vMerge w:val="restart"/>
            <w:tcBorders/>
            <w:tcMar>
              <w:start w:w="0" w:type="dxa"/>
              <w:end w:w="0" w:type="dxa"/>
            </w:tcMar>
            <w:tcMar>
              <w:start w:w="0" w:type="dxa"/>
              <w:end w:w="0" w:type="dxa"/>
            </w:tcMar>
          </w:tcPr>
          <w:p>
            <w:pPr>
              <w:autoSpaceDN w:val="0"/>
              <w:autoSpaceDE w:val="0"/>
              <w:widowControl/>
              <w:spacing w:line="197" w:lineRule="auto" w:before="62" w:after="0"/>
              <w:ind w:left="0" w:right="136" w:firstLine="0"/>
              <w:jc w:val="right"/>
            </w:pPr>
            <w:r>
              <w:rPr>
                <w:rFonts w:ascii="Calibri" w:hAnsi="Calibri" w:eastAsia="Calibri"/>
                <w:b w:val="0"/>
                <w:i w:val="0"/>
                <w:color w:val="000000"/>
                <w:sz w:val="16"/>
              </w:rPr>
              <w:t xml:space="preserve">6,220,728 </w:t>
            </w:r>
          </w:p>
        </w:tc>
        <w:tc>
          <w:tcPr>
            <w:tcW w:type="dxa" w:w="1282"/>
            <w:vMerge w:val="restart"/>
            <w:tcBorders/>
            <w:tcMar>
              <w:start w:w="0" w:type="dxa"/>
              <w:end w:w="0" w:type="dxa"/>
            </w:tcMar>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14,386,777</w:t>
            </w:r>
          </w:p>
        </w:tc>
      </w:tr>
      <w:tr>
        <w:trPr>
          <w:trHeight w:hRule="exact" w:val="46"/>
        </w:trPr>
        <w:tc>
          <w:tcPr>
            <w:tcW w:type="dxa" w:w="1860"/>
            <w:vMerge w:val="restart"/>
            <w:tcBorders>
              <w:bottom w:sz="4.0" w:val="single" w:color="#000000"/>
            </w:tcBorders>
            <w:tcMar>
              <w:start w:w="0" w:type="dxa"/>
              <w:end w:w="0" w:type="dxa"/>
            </w:tcMar>
            <w:tcMar>
              <w:start w:w="0" w:type="dxa"/>
              <w:end w:w="0" w:type="dxa"/>
            </w:tcMar>
          </w:tcPr>
          <w:p>
            <w:pPr>
              <w:autoSpaceDN w:val="0"/>
              <w:autoSpaceDE w:val="0"/>
              <w:widowControl/>
              <w:spacing w:line="162" w:lineRule="exact" w:before="50" w:after="0"/>
              <w:ind w:left="160" w:right="0" w:firstLine="0"/>
              <w:jc w:val="left"/>
            </w:pPr>
            <w:r>
              <w:rPr>
                <w:rFonts w:ascii="黑体" w:hAnsi="黑体" w:eastAsia="黑体"/>
                <w:b w:val="0"/>
                <w:i w:val="0"/>
                <w:color w:val="000000"/>
                <w:sz w:val="16"/>
              </w:rPr>
              <w:t>资产处置损益</w:t>
            </w:r>
          </w:p>
        </w:tc>
        <w:tc>
          <w:tcPr>
            <w:tcW w:type="dxa" w:w="1448"/>
            <w:vMerge w:val="restart"/>
            <w:tcBorders>
              <w:bottom w:sz="4.0" w:val="single" w:color="#000000"/>
            </w:tcBorders>
            <w:tcMar>
              <w:start w:w="0" w:type="dxa"/>
              <w:end w:w="0" w:type="dxa"/>
            </w:tcMar>
            <w:tcMar>
              <w:start w:w="0" w:type="dxa"/>
              <w:end w:w="0" w:type="dxa"/>
            </w:tcMar>
          </w:tcPr>
          <w:p>
            <w:pPr>
              <w:autoSpaceDN w:val="0"/>
              <w:autoSpaceDE w:val="0"/>
              <w:widowControl/>
              <w:spacing w:line="178" w:lineRule="exact" w:before="50"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46 </w:t>
            </w:r>
          </w:p>
        </w:tc>
        <w:tc>
          <w:tcPr>
            <w:tcW w:type="dxa" w:w="1527"/>
            <w:vMerge/>
            <w:tcBorders/>
          </w:tcPr>
          <w:p/>
        </w:tc>
        <w:tc>
          <w:tcPr>
            <w:tcW w:type="dxa" w:w="1527"/>
            <w:vMerge/>
            <w:tcBorders/>
          </w:tcPr>
          <w:p/>
        </w:tc>
        <w:tc>
          <w:tcPr>
            <w:tcW w:type="dxa" w:w="1527"/>
            <w:vMerge/>
            <w:tcBorders/>
          </w:tcPr>
          <w:p/>
        </w:tc>
        <w:tc>
          <w:tcPr>
            <w:tcW w:type="dxa" w:w="1527"/>
            <w:vMerge/>
            <w:tcBorders/>
          </w:tcPr>
          <w:p/>
        </w:tc>
      </w:tr>
      <w:tr>
        <w:trPr>
          <w:trHeight w:hRule="exact" w:val="192"/>
        </w:trPr>
        <w:tc>
          <w:tcPr>
            <w:tcW w:type="dxa" w:w="1527"/>
            <w:vMerge/>
            <w:tcBorders>
              <w:bottom w:sz="4.0" w:val="single" w:color="#000000"/>
            </w:tcBorders>
          </w:tcPr>
          <w:p/>
        </w:tc>
        <w:tc>
          <w:tcPr>
            <w:tcW w:type="dxa" w:w="1527"/>
            <w:vMerge/>
            <w:tcBorders>
              <w:bottom w:sz="4.0" w:val="single" w:color="#000000"/>
            </w:tcBorders>
          </w:tcPr>
          <w:p/>
        </w:tc>
        <w:tc>
          <w:tcPr>
            <w:tcW w:type="dxa" w:w="1496"/>
            <w:tcBorders>
              <w:bottom w:sz="4.0" w:val="single" w:color="#000000"/>
            </w:tcBorders>
            <w:tcMar>
              <w:start w:w="0" w:type="dxa"/>
              <w:end w:w="0" w:type="dxa"/>
            </w:tcMar>
          </w:tcPr>
          <w:p>
            <w:pPr>
              <w:autoSpaceDN w:val="0"/>
              <w:autoSpaceDE w:val="0"/>
              <w:widowControl/>
              <w:spacing w:line="199" w:lineRule="auto" w:before="24" w:after="0"/>
              <w:ind w:left="0" w:right="132" w:firstLine="0"/>
              <w:jc w:val="right"/>
            </w:pPr>
            <w:r>
              <w:rPr>
                <w:rFonts w:ascii="Calibri" w:hAnsi="Calibri" w:eastAsia="Calibri"/>
                <w:b w:val="0"/>
                <w:i w:val="0"/>
                <w:color w:val="000000"/>
                <w:sz w:val="16"/>
              </w:rPr>
              <w:t xml:space="preserve">(414,796 ) </w:t>
            </w:r>
          </w:p>
        </w:tc>
        <w:tc>
          <w:tcPr>
            <w:tcW w:type="dxa" w:w="1500"/>
            <w:tcBorders>
              <w:bottom w:sz="4.0" w:val="single" w:color="#000000"/>
            </w:tcBorders>
            <w:tcMar>
              <w:start w:w="0" w:type="dxa"/>
              <w:end w:w="0" w:type="dxa"/>
            </w:tcMar>
          </w:tcPr>
          <w:p>
            <w:pPr>
              <w:autoSpaceDN w:val="0"/>
              <w:autoSpaceDE w:val="0"/>
              <w:widowControl/>
              <w:spacing w:line="199" w:lineRule="auto" w:before="24" w:after="0"/>
              <w:ind w:left="0" w:right="214" w:firstLine="0"/>
              <w:jc w:val="right"/>
            </w:pPr>
            <w:r>
              <w:rPr>
                <w:rFonts w:ascii="Calibri" w:hAnsi="Calibri" w:eastAsia="Calibri"/>
                <w:b w:val="0"/>
                <w:i w:val="0"/>
                <w:color w:val="000000"/>
                <w:sz w:val="16"/>
              </w:rPr>
              <w:t>194,809</w:t>
            </w:r>
          </w:p>
        </w:tc>
        <w:tc>
          <w:tcPr>
            <w:tcW w:type="dxa" w:w="1484"/>
            <w:tcBorders>
              <w:bottom w:sz="4.0" w:val="single" w:color="#000000"/>
            </w:tcBorders>
            <w:tcMar>
              <w:start w:w="0" w:type="dxa"/>
              <w:end w:w="0" w:type="dxa"/>
            </w:tcMar>
          </w:tcPr>
          <w:p>
            <w:pPr>
              <w:autoSpaceDN w:val="0"/>
              <w:autoSpaceDE w:val="0"/>
              <w:widowControl/>
              <w:spacing w:line="199" w:lineRule="auto" w:before="24" w:after="0"/>
              <w:ind w:left="0" w:right="100" w:firstLine="0"/>
              <w:jc w:val="right"/>
            </w:pPr>
            <w:r>
              <w:rPr>
                <w:rFonts w:ascii="Calibri" w:hAnsi="Calibri" w:eastAsia="Calibri"/>
                <w:b w:val="0"/>
                <w:i w:val="0"/>
                <w:color w:val="000000"/>
                <w:sz w:val="16"/>
              </w:rPr>
              <w:t xml:space="preserve">(414,482) </w:t>
            </w:r>
          </w:p>
        </w:tc>
        <w:tc>
          <w:tcPr>
            <w:tcW w:type="dxa" w:w="1282"/>
            <w:tcBorders>
              <w:bottom w:sz="4.0" w:val="single" w:color="#000000"/>
            </w:tcBorders>
            <w:tcMar>
              <w:start w:w="0" w:type="dxa"/>
              <w:end w:w="0" w:type="dxa"/>
            </w:tcMar>
          </w:tcPr>
          <w:p>
            <w:pPr>
              <w:autoSpaceDN w:val="0"/>
              <w:autoSpaceDE w:val="0"/>
              <w:widowControl/>
              <w:spacing w:line="199" w:lineRule="auto" w:before="24" w:after="0"/>
              <w:ind w:left="0" w:right="0" w:firstLine="0"/>
              <w:jc w:val="right"/>
            </w:pPr>
            <w:r>
              <w:rPr>
                <w:rFonts w:ascii="Calibri" w:hAnsi="Calibri" w:eastAsia="Calibri"/>
                <w:b w:val="0"/>
                <w:i w:val="0"/>
                <w:color w:val="000000"/>
                <w:sz w:val="16"/>
              </w:rPr>
              <w:t>1,733,047</w:t>
            </w:r>
          </w:p>
        </w:tc>
      </w:tr>
      <w:tr>
        <w:trPr>
          <w:trHeight w:hRule="exact" w:val="414"/>
        </w:trPr>
        <w:tc>
          <w:tcPr>
            <w:tcW w:type="dxa" w:w="1860"/>
            <w:tcBorders>
              <w:top w:sz="4.0" w:val="single" w:color="#000000"/>
              <w:bottom w:sz="3.200000000000273" w:val="single" w:color="#000000"/>
            </w:tcBorders>
            <w:tcMar>
              <w:start w:w="0" w:type="dxa"/>
              <w:end w:w="0" w:type="dxa"/>
            </w:tcMar>
          </w:tcPr>
          <w:p>
            <w:pPr>
              <w:autoSpaceDN w:val="0"/>
              <w:autoSpaceDE w:val="0"/>
              <w:widowControl/>
              <w:spacing w:line="160" w:lineRule="exact" w:before="222" w:after="0"/>
              <w:ind w:left="20" w:right="0" w:firstLine="0"/>
              <w:jc w:val="left"/>
            </w:pPr>
            <w:r>
              <w:rPr>
                <w:rFonts w:ascii="黑体" w:hAnsi="黑体" w:eastAsia="黑体"/>
                <w:b w:val="0"/>
                <w:i w:val="0"/>
                <w:color w:val="000000"/>
                <w:sz w:val="16"/>
              </w:rPr>
              <w:t>营业总收入合计</w:t>
            </w:r>
          </w:p>
        </w:tc>
        <w:tc>
          <w:tcPr>
            <w:tcW w:type="dxa" w:w="1448"/>
            <w:tcBorders>
              <w:top w:sz="4.0" w:val="single" w:color="#000000"/>
              <w:bottom w:sz="3.200000000000273" w:val="single" w:color="#000000"/>
            </w:tcBorders>
            <w:tcMar>
              <w:start w:w="0" w:type="dxa"/>
              <w:end w:w="0" w:type="dxa"/>
            </w:tcMar>
          </w:tcPr>
          <w:p/>
        </w:tc>
        <w:tc>
          <w:tcPr>
            <w:tcW w:type="dxa" w:w="1496"/>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350" w:right="0" w:firstLine="0"/>
              <w:jc w:val="left"/>
            </w:pPr>
            <w:r>
              <w:rPr>
                <w:rFonts w:ascii="Calibri" w:hAnsi="Calibri" w:eastAsia="Calibri"/>
                <w:b w:val="0"/>
                <w:i w:val="0"/>
                <w:color w:val="000000"/>
                <w:sz w:val="16"/>
              </w:rPr>
              <w:t xml:space="preserve">3,152,075,207 </w:t>
            </w:r>
          </w:p>
        </w:tc>
        <w:tc>
          <w:tcPr>
            <w:tcW w:type="dxa" w:w="1500"/>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354" w:right="0" w:firstLine="0"/>
              <w:jc w:val="left"/>
            </w:pPr>
            <w:r>
              <w:rPr>
                <w:rFonts w:ascii="Calibri" w:hAnsi="Calibri" w:eastAsia="Calibri"/>
                <w:b w:val="0"/>
                <w:i w:val="0"/>
                <w:color w:val="000000"/>
                <w:sz w:val="16"/>
              </w:rPr>
              <w:t xml:space="preserve">3,470,696,161 </w:t>
            </w:r>
          </w:p>
        </w:tc>
        <w:tc>
          <w:tcPr>
            <w:tcW w:type="dxa" w:w="1484"/>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352" w:right="0" w:firstLine="0"/>
              <w:jc w:val="left"/>
            </w:pPr>
            <w:r>
              <w:rPr>
                <w:rFonts w:ascii="Calibri" w:hAnsi="Calibri" w:eastAsia="Calibri"/>
                <w:b w:val="0"/>
                <w:i w:val="0"/>
                <w:color w:val="000000"/>
                <w:sz w:val="16"/>
              </w:rPr>
              <w:t xml:space="preserve">2,089,130,570 </w:t>
            </w:r>
          </w:p>
        </w:tc>
        <w:tc>
          <w:tcPr>
            <w:tcW w:type="dxa" w:w="1282"/>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0" w:right="0" w:firstLine="0"/>
              <w:jc w:val="right"/>
            </w:pPr>
            <w:r>
              <w:rPr>
                <w:rFonts w:ascii="Calibri" w:hAnsi="Calibri" w:eastAsia="Calibri"/>
                <w:b w:val="0"/>
                <w:i w:val="0"/>
                <w:color w:val="000000"/>
                <w:sz w:val="16"/>
              </w:rPr>
              <w:t>2,330,512,930</w:t>
            </w:r>
          </w:p>
        </w:tc>
      </w:tr>
      <w:tr>
        <w:trPr>
          <w:trHeight w:hRule="exact" w:val="52"/>
        </w:trPr>
        <w:tc>
          <w:tcPr>
            <w:tcW w:type="dxa" w:w="1860"/>
            <w:tcBorders>
              <w:top w:sz="3.200000000000273" w:val="single" w:color="#000000"/>
            </w:tcBorders>
            <w:tcMar>
              <w:start w:w="0" w:type="dxa"/>
              <w:end w:w="0" w:type="dxa"/>
            </w:tcMar>
          </w:tcPr>
          <w:p/>
        </w:tc>
        <w:tc>
          <w:tcPr>
            <w:tcW w:type="dxa" w:w="1448"/>
            <w:tcBorders>
              <w:top w:sz="3.200000000000273" w:val="single" w:color="#000000"/>
            </w:tcBorders>
            <w:tcMar>
              <w:start w:w="0" w:type="dxa"/>
              <w:end w:w="0" w:type="dxa"/>
            </w:tcMar>
          </w:tcPr>
          <w:p/>
        </w:tc>
        <w:tc>
          <w:tcPr>
            <w:tcW w:type="dxa" w:w="1496"/>
            <w:tcBorders>
              <w:top w:sz="3.200000000000273" w:val="single" w:color="#000000"/>
            </w:tcBorders>
            <w:tcMar>
              <w:start w:w="0" w:type="dxa"/>
              <w:end w:w="0" w:type="dxa"/>
            </w:tcMar>
          </w:tcPr>
          <w:p/>
        </w:tc>
        <w:tc>
          <w:tcPr>
            <w:tcW w:type="dxa" w:w="1500"/>
            <w:tcBorders>
              <w:top w:sz="3.200000000000273" w:val="single" w:color="#000000"/>
            </w:tcBorders>
            <w:tcMar>
              <w:start w:w="0" w:type="dxa"/>
              <w:end w:w="0" w:type="dxa"/>
            </w:tcMar>
          </w:tcPr>
          <w:p/>
        </w:tc>
        <w:tc>
          <w:tcPr>
            <w:tcW w:type="dxa" w:w="1484"/>
            <w:tcBorders>
              <w:top w:sz="3.200000000000273" w:val="single" w:color="#000000"/>
            </w:tcBorders>
            <w:tcMar>
              <w:start w:w="0" w:type="dxa"/>
              <w:end w:w="0" w:type="dxa"/>
            </w:tcMar>
          </w:tcPr>
          <w:p/>
        </w:tc>
        <w:tc>
          <w:tcPr>
            <w:tcW w:type="dxa" w:w="1282"/>
            <w:tcBorders>
              <w:top w:sz="3.200000000000273" w:val="single" w:color="#000000"/>
            </w:tcBorders>
            <w:tcMar>
              <w:start w:w="0" w:type="dxa"/>
              <w:end w:w="0" w:type="dxa"/>
            </w:tcMar>
          </w:tcPr>
          <w:p/>
        </w:tc>
      </w:tr>
    </w:tbl>
    <w:p>
      <w:pPr>
        <w:autoSpaceDN w:val="0"/>
        <w:autoSpaceDE w:val="0"/>
        <w:widowControl/>
        <w:spacing w:line="160" w:lineRule="exact" w:before="172" w:after="24"/>
        <w:ind w:left="6" w:right="0" w:firstLine="0"/>
        <w:jc w:val="left"/>
      </w:pPr>
      <w:r>
        <w:rPr>
          <w:rFonts w:ascii="黑体" w:hAnsi="黑体" w:eastAsia="黑体"/>
          <w:b w:val="0"/>
          <w:i w:val="0"/>
          <w:color w:val="000000"/>
          <w:sz w:val="16"/>
        </w:rPr>
        <w:t>营业总支出</w:t>
      </w:r>
    </w:p>
    <w:tbl>
      <w:tblPr>
        <w:tblW w:type="auto" w:w="0"/>
        <w:tblLayout w:type="fixed"/>
        <w:tblLook w:firstColumn="1" w:firstRow="1" w:lastColumn="0" w:lastRow="0" w:noHBand="0" w:noVBand="1" w:val="04A0"/>
        <w:tblInd w:w="-11.999999999999886" w:type="dxa"/>
      </w:tblPr>
      <w:tblGrid>
        <w:gridCol w:w="1527"/>
        <w:gridCol w:w="1527"/>
        <w:gridCol w:w="1527"/>
        <w:gridCol w:w="1527"/>
        <w:gridCol w:w="1527"/>
        <w:gridCol w:w="1527"/>
      </w:tblGrid>
      <w:tr>
        <w:trPr>
          <w:trHeight w:hRule="exact" w:val="180"/>
        </w:trPr>
        <w:tc>
          <w:tcPr>
            <w:tcW w:type="dxa" w:w="1860"/>
            <w:tcBorders/>
            <w:tcMar>
              <w:start w:w="0" w:type="dxa"/>
              <w:end w:w="0" w:type="dxa"/>
            </w:tcMar>
          </w:tcPr>
          <w:p>
            <w:pPr>
              <w:autoSpaceDN w:val="0"/>
              <w:autoSpaceDE w:val="0"/>
              <w:widowControl/>
              <w:spacing w:line="162" w:lineRule="exact" w:before="18" w:after="0"/>
              <w:ind w:left="160" w:right="0" w:firstLine="0"/>
              <w:jc w:val="left"/>
            </w:pPr>
            <w:r>
              <w:rPr>
                <w:rFonts w:ascii="黑体" w:hAnsi="黑体" w:eastAsia="黑体"/>
                <w:b w:val="0"/>
                <w:i w:val="0"/>
                <w:color w:val="000000"/>
                <w:sz w:val="16"/>
              </w:rPr>
              <w:t>税金及附加</w:t>
            </w:r>
          </w:p>
        </w:tc>
        <w:tc>
          <w:tcPr>
            <w:tcW w:type="dxa" w:w="1448"/>
            <w:tcBorders/>
            <w:tcMar>
              <w:start w:w="0" w:type="dxa"/>
              <w:end w:w="0" w:type="dxa"/>
            </w:tcMar>
          </w:tcPr>
          <w:p>
            <w:pPr>
              <w:autoSpaceDN w:val="0"/>
              <w:autoSpaceDE w:val="0"/>
              <w:widowControl/>
              <w:spacing w:line="178" w:lineRule="exact" w:before="2"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47 </w:t>
            </w:r>
          </w:p>
        </w:tc>
        <w:tc>
          <w:tcPr>
            <w:tcW w:type="dxa" w:w="1496"/>
            <w:vMerge w:val="restart"/>
            <w:tcBorders/>
            <w:tcMar>
              <w:start w:w="0" w:type="dxa"/>
              <w:end w:w="0" w:type="dxa"/>
            </w:tcMar>
            <w:tcMar>
              <w:start w:w="0" w:type="dxa"/>
              <w:end w:w="0" w:type="dxa"/>
            </w:tcMar>
          </w:tcPr>
          <w:p>
            <w:pPr>
              <w:autoSpaceDN w:val="0"/>
              <w:autoSpaceDE w:val="0"/>
              <w:widowControl/>
              <w:spacing w:line="199" w:lineRule="auto" w:before="42" w:after="0"/>
              <w:ind w:left="0" w:right="132" w:firstLine="0"/>
              <w:jc w:val="right"/>
            </w:pPr>
            <w:r>
              <w:rPr>
                <w:rFonts w:ascii="Calibri" w:hAnsi="Calibri" w:eastAsia="Calibri"/>
                <w:b w:val="0"/>
                <w:i w:val="0"/>
                <w:color w:val="000000"/>
                <w:sz w:val="16"/>
              </w:rPr>
              <w:t xml:space="preserve">(17,721,634 ) </w:t>
            </w:r>
          </w:p>
        </w:tc>
        <w:tc>
          <w:tcPr>
            <w:tcW w:type="dxa" w:w="1500"/>
            <w:vMerge w:val="restart"/>
            <w:tcBorders/>
            <w:tcMar>
              <w:start w:w="0" w:type="dxa"/>
              <w:end w:w="0" w:type="dxa"/>
            </w:tcMar>
            <w:tcMar>
              <w:start w:w="0" w:type="dxa"/>
              <w:end w:w="0" w:type="dxa"/>
            </w:tcMar>
          </w:tcPr>
          <w:p>
            <w:pPr>
              <w:autoSpaceDN w:val="0"/>
              <w:autoSpaceDE w:val="0"/>
              <w:widowControl/>
              <w:spacing w:line="199" w:lineRule="auto" w:before="42" w:after="0"/>
              <w:ind w:left="0" w:right="132" w:firstLine="0"/>
              <w:jc w:val="right"/>
            </w:pPr>
            <w:r>
              <w:rPr>
                <w:rFonts w:ascii="Calibri" w:hAnsi="Calibri" w:eastAsia="Calibri"/>
                <w:b w:val="0"/>
                <w:i w:val="0"/>
                <w:color w:val="000000"/>
                <w:sz w:val="16"/>
              </w:rPr>
              <w:t xml:space="preserve">(22,195,522) </w:t>
            </w:r>
          </w:p>
        </w:tc>
        <w:tc>
          <w:tcPr>
            <w:tcW w:type="dxa" w:w="1484"/>
            <w:vMerge w:val="restart"/>
            <w:tcBorders/>
            <w:tcMar>
              <w:start w:w="0" w:type="dxa"/>
              <w:end w:w="0" w:type="dxa"/>
            </w:tcMar>
            <w:tcMar>
              <w:start w:w="0" w:type="dxa"/>
              <w:end w:w="0" w:type="dxa"/>
            </w:tcMar>
          </w:tcPr>
          <w:p>
            <w:pPr>
              <w:autoSpaceDN w:val="0"/>
              <w:autoSpaceDE w:val="0"/>
              <w:widowControl/>
              <w:spacing w:line="199" w:lineRule="auto" w:before="42" w:after="0"/>
              <w:ind w:left="0" w:right="100" w:firstLine="0"/>
              <w:jc w:val="right"/>
            </w:pPr>
            <w:r>
              <w:rPr>
                <w:rFonts w:ascii="Calibri" w:hAnsi="Calibri" w:eastAsia="Calibri"/>
                <w:b w:val="0"/>
                <w:i w:val="0"/>
                <w:color w:val="000000"/>
                <w:sz w:val="16"/>
              </w:rPr>
              <w:t xml:space="preserve">(11,446,817) </w:t>
            </w:r>
          </w:p>
        </w:tc>
        <w:tc>
          <w:tcPr>
            <w:tcW w:type="dxa" w:w="1372"/>
            <w:vMerge w:val="restart"/>
            <w:tcBorders/>
            <w:tcMar>
              <w:start w:w="0" w:type="dxa"/>
              <w:end w:w="0" w:type="dxa"/>
            </w:tcMar>
            <w:tcMar>
              <w:start w:w="0" w:type="dxa"/>
              <w:end w:w="0" w:type="dxa"/>
            </w:tcMar>
          </w:tcPr>
          <w:p>
            <w:pPr>
              <w:autoSpaceDN w:val="0"/>
              <w:autoSpaceDE w:val="0"/>
              <w:widowControl/>
              <w:spacing w:line="199" w:lineRule="auto" w:before="42" w:after="0"/>
              <w:ind w:left="0" w:right="6" w:firstLine="0"/>
              <w:jc w:val="right"/>
            </w:pPr>
            <w:r>
              <w:rPr>
                <w:rFonts w:ascii="Calibri" w:hAnsi="Calibri" w:eastAsia="Calibri"/>
                <w:b w:val="0"/>
                <w:i w:val="0"/>
                <w:color w:val="000000"/>
                <w:sz w:val="16"/>
              </w:rPr>
              <w:t xml:space="preserve">(18,619,909) </w:t>
            </w:r>
          </w:p>
        </w:tc>
      </w:tr>
      <w:tr>
        <w:trPr>
          <w:trHeight w:hRule="exact" w:val="48"/>
        </w:trPr>
        <w:tc>
          <w:tcPr>
            <w:tcW w:type="dxa" w:w="1860"/>
            <w:vMerge w:val="restart"/>
            <w:tcBorders/>
            <w:tcMar>
              <w:start w:w="0" w:type="dxa"/>
              <w:end w:w="0" w:type="dxa"/>
            </w:tcMar>
            <w:tcMar>
              <w:start w:w="0" w:type="dxa"/>
              <w:end w:w="0" w:type="dxa"/>
            </w:tcMar>
          </w:tcPr>
          <w:p>
            <w:pPr>
              <w:autoSpaceDN w:val="0"/>
              <w:autoSpaceDE w:val="0"/>
              <w:widowControl/>
              <w:spacing w:line="160" w:lineRule="exact" w:before="52" w:after="0"/>
              <w:ind w:left="160" w:right="0" w:firstLine="0"/>
              <w:jc w:val="left"/>
            </w:pPr>
            <w:r>
              <w:rPr>
                <w:rFonts w:ascii="黑体" w:hAnsi="黑体" w:eastAsia="黑体"/>
                <w:b w:val="0"/>
                <w:i w:val="0"/>
                <w:color w:val="000000"/>
                <w:sz w:val="16"/>
              </w:rPr>
              <w:t>业务及管理费</w:t>
            </w:r>
          </w:p>
        </w:tc>
        <w:tc>
          <w:tcPr>
            <w:tcW w:type="dxa" w:w="1448"/>
            <w:vMerge w:val="restart"/>
            <w:tcBorders/>
            <w:tcMar>
              <w:start w:w="0" w:type="dxa"/>
              <w:end w:w="0" w:type="dxa"/>
            </w:tcMar>
            <w:tcMar>
              <w:start w:w="0" w:type="dxa"/>
              <w:end w:w="0" w:type="dxa"/>
            </w:tcMar>
          </w:tcPr>
          <w:p>
            <w:pPr>
              <w:autoSpaceDN w:val="0"/>
              <w:autoSpaceDE w:val="0"/>
              <w:widowControl/>
              <w:spacing w:line="178" w:lineRule="exact" w:before="42" w:after="0"/>
              <w:ind w:left="0" w:right="100" w:firstLine="0"/>
              <w:jc w:val="right"/>
            </w:pPr>
            <w:r>
              <w:rPr>
                <w:rFonts w:ascii="黑体" w:hAnsi="黑体" w:eastAsia="黑体"/>
                <w:b w:val="0"/>
                <w:i w:val="0"/>
                <w:color w:val="000000"/>
                <w:sz w:val="16"/>
              </w:rPr>
              <w:t>五</w:t>
            </w:r>
            <w:r>
              <w:rPr>
                <w:rFonts w:ascii="Calibri" w:hAnsi="Calibri" w:eastAsia="Calibri"/>
                <w:b w:val="0"/>
                <w:i w:val="0"/>
                <w:color w:val="000000"/>
                <w:sz w:val="16"/>
              </w:rPr>
              <w:t>48</w:t>
            </w:r>
            <w:r>
              <w:rPr>
                <w:rFonts w:ascii="黑体" w:hAnsi="黑体" w:eastAsia="黑体"/>
                <w:b w:val="0"/>
                <w:i w:val="0"/>
                <w:color w:val="000000"/>
                <w:sz w:val="16"/>
              </w:rPr>
              <w:t>，十八</w:t>
            </w:r>
            <w:r>
              <w:rPr>
                <w:rFonts w:ascii="Calibri" w:hAnsi="Calibri" w:eastAsia="Calibri"/>
                <w:b w:val="0"/>
                <w:i w:val="0"/>
                <w:color w:val="000000"/>
                <w:sz w:val="16"/>
              </w:rPr>
              <w:t xml:space="preserve">6 </w:t>
            </w:r>
          </w:p>
        </w:tc>
        <w:tc>
          <w:tcPr>
            <w:tcW w:type="dxa" w:w="1527"/>
            <w:vMerge/>
            <w:tcBorders/>
          </w:tcPr>
          <w:p/>
        </w:tc>
        <w:tc>
          <w:tcPr>
            <w:tcW w:type="dxa" w:w="1527"/>
            <w:vMerge/>
            <w:tcBorders/>
          </w:tcPr>
          <w:p/>
        </w:tc>
        <w:tc>
          <w:tcPr>
            <w:tcW w:type="dxa" w:w="1527"/>
            <w:vMerge/>
            <w:tcBorders/>
          </w:tcPr>
          <w:p/>
        </w:tc>
        <w:tc>
          <w:tcPr>
            <w:tcW w:type="dxa" w:w="1527"/>
            <w:vMerge/>
            <w:tcBorders/>
          </w:tcPr>
          <w:p/>
        </w:tc>
      </w:tr>
      <w:tr>
        <w:trPr>
          <w:trHeight w:hRule="exact" w:val="172"/>
        </w:trPr>
        <w:tc>
          <w:tcPr>
            <w:tcW w:type="dxa" w:w="1527"/>
            <w:vMerge/>
            <w:tcBorders/>
          </w:tcPr>
          <w:p/>
        </w:tc>
        <w:tc>
          <w:tcPr>
            <w:tcW w:type="dxa" w:w="1527"/>
            <w:vMerge/>
            <w:tcBorders/>
          </w:tcPr>
          <w:p/>
        </w:tc>
        <w:tc>
          <w:tcPr>
            <w:tcW w:type="dxa" w:w="1496"/>
            <w:tcBorders/>
            <w:tcMar>
              <w:start w:w="0" w:type="dxa"/>
              <w:end w:w="0" w:type="dxa"/>
            </w:tcMar>
          </w:tcPr>
          <w:p>
            <w:pPr>
              <w:autoSpaceDN w:val="0"/>
              <w:autoSpaceDE w:val="0"/>
              <w:widowControl/>
              <w:spacing w:line="197" w:lineRule="auto" w:before="12" w:after="0"/>
              <w:ind w:left="300" w:right="0" w:firstLine="0"/>
              <w:jc w:val="left"/>
            </w:pPr>
            <w:r>
              <w:rPr>
                <w:rFonts w:ascii="Calibri" w:hAnsi="Calibri" w:eastAsia="Calibri"/>
                <w:b w:val="0"/>
                <w:i w:val="0"/>
                <w:color w:val="000000"/>
                <w:sz w:val="16"/>
              </w:rPr>
              <w:t xml:space="preserve">(2,078,801,870 ) </w:t>
            </w:r>
          </w:p>
        </w:tc>
        <w:tc>
          <w:tcPr>
            <w:tcW w:type="dxa" w:w="1500"/>
            <w:tcBorders/>
            <w:tcMar>
              <w:start w:w="0" w:type="dxa"/>
              <w:end w:w="0" w:type="dxa"/>
            </w:tcMar>
          </w:tcPr>
          <w:p>
            <w:pPr>
              <w:autoSpaceDN w:val="0"/>
              <w:autoSpaceDE w:val="0"/>
              <w:widowControl/>
              <w:spacing w:line="197" w:lineRule="auto" w:before="12" w:after="0"/>
              <w:ind w:left="306" w:right="0" w:firstLine="0"/>
              <w:jc w:val="left"/>
            </w:pPr>
            <w:r>
              <w:rPr>
                <w:rFonts w:ascii="Calibri" w:hAnsi="Calibri" w:eastAsia="Calibri"/>
                <w:b w:val="0"/>
                <w:i w:val="0"/>
                <w:color w:val="000000"/>
                <w:sz w:val="16"/>
              </w:rPr>
              <w:t xml:space="preserve">(2,048,662,935) </w:t>
            </w:r>
          </w:p>
        </w:tc>
        <w:tc>
          <w:tcPr>
            <w:tcW w:type="dxa" w:w="1484"/>
            <w:tcBorders/>
            <w:tcMar>
              <w:start w:w="0" w:type="dxa"/>
              <w:end w:w="0" w:type="dxa"/>
            </w:tcMar>
          </w:tcPr>
          <w:p>
            <w:pPr>
              <w:autoSpaceDN w:val="0"/>
              <w:autoSpaceDE w:val="0"/>
              <w:widowControl/>
              <w:spacing w:line="197" w:lineRule="auto" w:before="12" w:after="0"/>
              <w:ind w:left="304" w:right="0" w:firstLine="0"/>
              <w:jc w:val="left"/>
            </w:pPr>
            <w:r>
              <w:rPr>
                <w:rFonts w:ascii="Calibri" w:hAnsi="Calibri" w:eastAsia="Calibri"/>
                <w:b w:val="0"/>
                <w:i w:val="0"/>
                <w:color w:val="000000"/>
                <w:sz w:val="16"/>
              </w:rPr>
              <w:t xml:space="preserve">(1,393,603,997) </w:t>
            </w:r>
          </w:p>
        </w:tc>
        <w:tc>
          <w:tcPr>
            <w:tcW w:type="dxa" w:w="1372"/>
            <w:tcBorders/>
            <w:tcMar>
              <w:start w:w="0" w:type="dxa"/>
              <w:end w:w="0" w:type="dxa"/>
            </w:tcMar>
          </w:tcPr>
          <w:p>
            <w:pPr>
              <w:autoSpaceDN w:val="0"/>
              <w:autoSpaceDE w:val="0"/>
              <w:widowControl/>
              <w:spacing w:line="197" w:lineRule="auto" w:before="12" w:after="0"/>
              <w:ind w:left="302" w:right="0" w:firstLine="0"/>
              <w:jc w:val="left"/>
            </w:pPr>
            <w:r>
              <w:rPr>
                <w:rFonts w:ascii="Calibri" w:hAnsi="Calibri" w:eastAsia="Calibri"/>
                <w:b w:val="0"/>
                <w:i w:val="0"/>
                <w:color w:val="000000"/>
                <w:sz w:val="16"/>
              </w:rPr>
              <w:t xml:space="preserve">(1,415,363,829) </w:t>
            </w:r>
          </w:p>
        </w:tc>
      </w:tr>
      <w:tr>
        <w:trPr>
          <w:trHeight w:hRule="exact" w:val="200"/>
        </w:trPr>
        <w:tc>
          <w:tcPr>
            <w:tcW w:type="dxa" w:w="1860"/>
            <w:tcBorders/>
            <w:tcMar>
              <w:start w:w="0" w:type="dxa"/>
              <w:end w:w="0" w:type="dxa"/>
            </w:tcMar>
          </w:tcPr>
          <w:p>
            <w:pPr>
              <w:autoSpaceDN w:val="0"/>
              <w:autoSpaceDE w:val="0"/>
              <w:widowControl/>
              <w:spacing w:line="160" w:lineRule="exact" w:before="38" w:after="0"/>
              <w:ind w:left="160" w:right="0" w:firstLine="0"/>
              <w:jc w:val="left"/>
            </w:pPr>
            <w:r>
              <w:rPr>
                <w:rFonts w:ascii="黑体" w:hAnsi="黑体" w:eastAsia="黑体"/>
                <w:b w:val="0"/>
                <w:i w:val="0"/>
                <w:color w:val="000000"/>
                <w:sz w:val="16"/>
              </w:rPr>
              <w:t>信用减值损失</w:t>
            </w:r>
          </w:p>
        </w:tc>
        <w:tc>
          <w:tcPr>
            <w:tcW w:type="dxa" w:w="1448"/>
            <w:tcBorders/>
            <w:tcMar>
              <w:start w:w="0" w:type="dxa"/>
              <w:end w:w="0" w:type="dxa"/>
            </w:tcMar>
          </w:tcPr>
          <w:p>
            <w:pPr>
              <w:autoSpaceDN w:val="0"/>
              <w:autoSpaceDE w:val="0"/>
              <w:widowControl/>
              <w:spacing w:line="178" w:lineRule="exact" w:before="22"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49 </w:t>
            </w:r>
          </w:p>
        </w:tc>
        <w:tc>
          <w:tcPr>
            <w:tcW w:type="dxa" w:w="1496"/>
            <w:tcBorders/>
            <w:tcMar>
              <w:start w:w="0" w:type="dxa"/>
              <w:end w:w="0" w:type="dxa"/>
            </w:tcMar>
          </w:tcPr>
          <w:p>
            <w:pPr>
              <w:autoSpaceDN w:val="0"/>
              <w:autoSpaceDE w:val="0"/>
              <w:widowControl/>
              <w:spacing w:line="197" w:lineRule="auto" w:before="40" w:after="0"/>
              <w:ind w:left="0" w:right="132" w:firstLine="0"/>
              <w:jc w:val="right"/>
            </w:pPr>
            <w:r>
              <w:rPr>
                <w:rFonts w:ascii="Calibri" w:hAnsi="Calibri" w:eastAsia="Calibri"/>
                <w:b w:val="0"/>
                <w:i w:val="0"/>
                <w:color w:val="000000"/>
                <w:sz w:val="16"/>
              </w:rPr>
              <w:t xml:space="preserve">(25,443,795 ) </w:t>
            </w:r>
          </w:p>
        </w:tc>
        <w:tc>
          <w:tcPr>
            <w:tcW w:type="dxa" w:w="1500"/>
            <w:tcBorders/>
            <w:tcMar>
              <w:start w:w="0" w:type="dxa"/>
              <w:end w:w="0" w:type="dxa"/>
            </w:tcMar>
          </w:tcPr>
          <w:p>
            <w:pPr>
              <w:autoSpaceDN w:val="0"/>
              <w:autoSpaceDE w:val="0"/>
              <w:widowControl/>
              <w:spacing w:line="197" w:lineRule="auto" w:before="40" w:after="0"/>
              <w:ind w:left="0" w:right="132" w:firstLine="0"/>
              <w:jc w:val="right"/>
            </w:pPr>
            <w:r>
              <w:rPr>
                <w:rFonts w:ascii="Calibri" w:hAnsi="Calibri" w:eastAsia="Calibri"/>
                <w:b w:val="0"/>
                <w:i w:val="0"/>
                <w:color w:val="000000"/>
                <w:sz w:val="16"/>
              </w:rPr>
              <w:t xml:space="preserve">(61,371,540) </w:t>
            </w:r>
          </w:p>
        </w:tc>
        <w:tc>
          <w:tcPr>
            <w:tcW w:type="dxa" w:w="1484"/>
            <w:tcBorders/>
            <w:tcMar>
              <w:start w:w="0" w:type="dxa"/>
              <w:end w:w="0" w:type="dxa"/>
            </w:tcMar>
          </w:tcPr>
          <w:p>
            <w:pPr>
              <w:autoSpaceDN w:val="0"/>
              <w:autoSpaceDE w:val="0"/>
              <w:widowControl/>
              <w:spacing w:line="197" w:lineRule="auto" w:before="40" w:after="0"/>
              <w:ind w:left="0" w:right="100" w:firstLine="0"/>
              <w:jc w:val="right"/>
            </w:pPr>
            <w:r>
              <w:rPr>
                <w:rFonts w:ascii="Calibri" w:hAnsi="Calibri" w:eastAsia="Calibri"/>
                <w:b w:val="0"/>
                <w:i w:val="0"/>
                <w:color w:val="000000"/>
                <w:sz w:val="16"/>
              </w:rPr>
              <w:t xml:space="preserve">(7,055,832) </w:t>
            </w:r>
          </w:p>
        </w:tc>
        <w:tc>
          <w:tcPr>
            <w:tcW w:type="dxa" w:w="1372"/>
            <w:tcBorders/>
            <w:tcMar>
              <w:start w:w="0" w:type="dxa"/>
              <w:end w:w="0" w:type="dxa"/>
            </w:tcMar>
          </w:tcPr>
          <w:p>
            <w:pPr>
              <w:autoSpaceDN w:val="0"/>
              <w:autoSpaceDE w:val="0"/>
              <w:widowControl/>
              <w:spacing w:line="197" w:lineRule="auto" w:before="40" w:after="0"/>
              <w:ind w:left="0" w:right="6" w:firstLine="0"/>
              <w:jc w:val="right"/>
            </w:pPr>
            <w:r>
              <w:rPr>
                <w:rFonts w:ascii="Calibri" w:hAnsi="Calibri" w:eastAsia="Calibri"/>
                <w:b w:val="0"/>
                <w:i w:val="0"/>
                <w:color w:val="000000"/>
                <w:sz w:val="16"/>
              </w:rPr>
              <w:t xml:space="preserve">(2,966,402) </w:t>
            </w:r>
          </w:p>
        </w:tc>
      </w:tr>
      <w:tr>
        <w:trPr>
          <w:trHeight w:hRule="exact" w:val="249"/>
        </w:trPr>
        <w:tc>
          <w:tcPr>
            <w:tcW w:type="dxa" w:w="1860"/>
            <w:tcBorders/>
            <w:tcMar>
              <w:start w:w="0" w:type="dxa"/>
              <w:end w:w="0" w:type="dxa"/>
            </w:tcMar>
          </w:tcPr>
          <w:p>
            <w:pPr>
              <w:autoSpaceDN w:val="0"/>
              <w:autoSpaceDE w:val="0"/>
              <w:widowControl/>
              <w:spacing w:line="162" w:lineRule="exact" w:before="46" w:after="0"/>
              <w:ind w:left="160" w:right="0" w:firstLine="0"/>
              <w:jc w:val="left"/>
            </w:pPr>
            <w:r>
              <w:rPr>
                <w:rFonts w:ascii="黑体" w:hAnsi="黑体" w:eastAsia="黑体"/>
                <w:b w:val="0"/>
                <w:i w:val="0"/>
                <w:color w:val="000000"/>
                <w:sz w:val="16"/>
              </w:rPr>
              <w:t>其他资产减值损失</w:t>
            </w:r>
          </w:p>
        </w:tc>
        <w:tc>
          <w:tcPr>
            <w:tcW w:type="dxa" w:w="1448"/>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2" w:after="0"/>
              <w:ind w:left="0" w:right="66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50 </w:t>
            </w:r>
          </w:p>
        </w:tc>
        <w:tc>
          <w:tcPr>
            <w:tcW w:type="dxa" w:w="1496"/>
            <w:tcBorders/>
            <w:tcMar>
              <w:start w:w="0" w:type="dxa"/>
              <w:end w:w="0" w:type="dxa"/>
            </w:tcMar>
          </w:tcPr>
          <w:p>
            <w:pPr>
              <w:autoSpaceDN w:val="0"/>
              <w:autoSpaceDE w:val="0"/>
              <w:widowControl/>
              <w:spacing w:line="199" w:lineRule="auto" w:before="66" w:after="0"/>
              <w:ind w:left="0" w:right="180" w:firstLine="0"/>
              <w:jc w:val="right"/>
            </w:pPr>
            <w:r>
              <w:rPr>
                <w:rFonts w:ascii="Calibri" w:hAnsi="Calibri" w:eastAsia="Calibri"/>
                <w:b w:val="0"/>
                <w:i w:val="0"/>
                <w:color w:val="000000"/>
                <w:sz w:val="16"/>
              </w:rPr>
              <w:t xml:space="preserve">- </w:t>
            </w:r>
          </w:p>
        </w:tc>
        <w:tc>
          <w:tcPr>
            <w:tcW w:type="dxa" w:w="1500"/>
            <w:tcBorders/>
            <w:tcMar>
              <w:start w:w="0" w:type="dxa"/>
              <w:end w:w="0" w:type="dxa"/>
            </w:tcMar>
          </w:tcPr>
          <w:p>
            <w:pPr>
              <w:autoSpaceDN w:val="0"/>
              <w:autoSpaceDE w:val="0"/>
              <w:widowControl/>
              <w:spacing w:line="199" w:lineRule="auto" w:before="66" w:after="0"/>
              <w:ind w:left="0" w:right="214" w:firstLine="0"/>
              <w:jc w:val="right"/>
            </w:pPr>
            <w:r>
              <w:rPr>
                <w:rFonts w:ascii="Calibri" w:hAnsi="Calibri" w:eastAsia="Calibri"/>
                <w:b w:val="0"/>
                <w:i w:val="0"/>
                <w:color w:val="000000"/>
                <w:sz w:val="16"/>
              </w:rPr>
              <w:t>-</w:t>
            </w:r>
          </w:p>
        </w:tc>
        <w:tc>
          <w:tcPr>
            <w:tcW w:type="dxa" w:w="1484"/>
            <w:tcBorders/>
            <w:tcMar>
              <w:start w:w="0" w:type="dxa"/>
              <w:end w:w="0" w:type="dxa"/>
            </w:tcMar>
          </w:tcPr>
          <w:p>
            <w:pPr>
              <w:autoSpaceDN w:val="0"/>
              <w:autoSpaceDE w:val="0"/>
              <w:widowControl/>
              <w:spacing w:line="199" w:lineRule="auto" w:before="66" w:after="0"/>
              <w:ind w:left="0" w:right="136" w:firstLine="0"/>
              <w:jc w:val="right"/>
            </w:pPr>
            <w:r>
              <w:rPr>
                <w:rFonts w:ascii="Calibri" w:hAnsi="Calibri" w:eastAsia="Calibri"/>
                <w:b w:val="0"/>
                <w:i w:val="0"/>
                <w:color w:val="000000"/>
                <w:sz w:val="16"/>
              </w:rPr>
              <w:t xml:space="preserve">- </w:t>
            </w:r>
          </w:p>
        </w:tc>
        <w:tc>
          <w:tcPr>
            <w:tcW w:type="dxa" w:w="1372"/>
            <w:tcBorders/>
            <w:tcMar>
              <w:start w:w="0" w:type="dxa"/>
              <w:end w:w="0" w:type="dxa"/>
            </w:tcMar>
          </w:tcPr>
          <w:p>
            <w:pPr>
              <w:autoSpaceDN w:val="0"/>
              <w:autoSpaceDE w:val="0"/>
              <w:widowControl/>
              <w:spacing w:line="199" w:lineRule="auto" w:before="66" w:after="0"/>
              <w:ind w:left="0" w:right="88" w:firstLine="0"/>
              <w:jc w:val="right"/>
            </w:pPr>
            <w:r>
              <w:rPr>
                <w:rFonts w:ascii="Calibri" w:hAnsi="Calibri" w:eastAsia="Calibri"/>
                <w:b w:val="0"/>
                <w:i w:val="0"/>
                <w:color w:val="000000"/>
                <w:sz w:val="16"/>
              </w:rPr>
              <w:t>20,118,874</w:t>
            </w:r>
          </w:p>
        </w:tc>
      </w:tr>
      <w:tr>
        <w:trPr>
          <w:trHeight w:hRule="exact" w:val="193"/>
        </w:trPr>
        <w:tc>
          <w:tcPr>
            <w:tcW w:type="dxa" w:w="1860"/>
            <w:tcBorders>
              <w:bottom w:sz="4.0" w:val="single" w:color="#000000"/>
            </w:tcBorders>
            <w:tcMar>
              <w:start w:w="0" w:type="dxa"/>
              <w:end w:w="0" w:type="dxa"/>
            </w:tcMar>
          </w:tcPr>
          <w:p>
            <w:pPr>
              <w:autoSpaceDN w:val="0"/>
              <w:autoSpaceDE w:val="0"/>
              <w:widowControl/>
              <w:spacing w:line="162" w:lineRule="exact" w:before="4" w:after="0"/>
              <w:ind w:left="160" w:right="0" w:firstLine="0"/>
              <w:jc w:val="left"/>
            </w:pPr>
            <w:r>
              <w:rPr>
                <w:rFonts w:ascii="黑体" w:hAnsi="黑体" w:eastAsia="黑体"/>
                <w:b w:val="0"/>
                <w:i w:val="0"/>
                <w:color w:val="000000"/>
                <w:sz w:val="16"/>
              </w:rPr>
              <w:t>其他业务成本</w:t>
            </w:r>
          </w:p>
        </w:tc>
        <w:tc>
          <w:tcPr>
            <w:tcW w:type="dxa" w:w="1527"/>
            <w:vMerge/>
            <w:tcBorders>
              <w:bottom w:sz="4.0" w:val="single" w:color="#000000"/>
            </w:tcBorders>
          </w:tcPr>
          <w:p/>
        </w:tc>
        <w:tc>
          <w:tcPr>
            <w:tcW w:type="dxa" w:w="1496"/>
            <w:tcBorders>
              <w:bottom w:sz="4.0" w:val="single" w:color="#000000"/>
            </w:tcBorders>
            <w:tcMar>
              <w:start w:w="0" w:type="dxa"/>
              <w:end w:w="0" w:type="dxa"/>
            </w:tcMar>
          </w:tcPr>
          <w:p>
            <w:pPr>
              <w:autoSpaceDN w:val="0"/>
              <w:autoSpaceDE w:val="0"/>
              <w:widowControl/>
              <w:spacing w:line="199" w:lineRule="auto" w:before="24" w:after="0"/>
              <w:ind w:left="0" w:right="132" w:firstLine="0"/>
              <w:jc w:val="right"/>
            </w:pPr>
            <w:r>
              <w:rPr>
                <w:rFonts w:ascii="Calibri" w:hAnsi="Calibri" w:eastAsia="Calibri"/>
                <w:b w:val="0"/>
                <w:i w:val="0"/>
                <w:color w:val="000000"/>
                <w:sz w:val="16"/>
              </w:rPr>
              <w:t xml:space="preserve">(201,553,048 ) </w:t>
            </w:r>
          </w:p>
        </w:tc>
        <w:tc>
          <w:tcPr>
            <w:tcW w:type="dxa" w:w="1500"/>
            <w:tcBorders>
              <w:bottom w:sz="4.0" w:val="single" w:color="#000000"/>
            </w:tcBorders>
            <w:tcMar>
              <w:start w:w="0" w:type="dxa"/>
              <w:end w:w="0" w:type="dxa"/>
            </w:tcMar>
          </w:tcPr>
          <w:p>
            <w:pPr>
              <w:autoSpaceDN w:val="0"/>
              <w:autoSpaceDE w:val="0"/>
              <w:widowControl/>
              <w:spacing w:line="199" w:lineRule="auto" w:before="24" w:after="0"/>
              <w:ind w:left="0" w:right="132" w:firstLine="0"/>
              <w:jc w:val="right"/>
            </w:pPr>
            <w:r>
              <w:rPr>
                <w:rFonts w:ascii="Calibri" w:hAnsi="Calibri" w:eastAsia="Calibri"/>
                <w:b w:val="0"/>
                <w:i w:val="0"/>
                <w:color w:val="000000"/>
                <w:sz w:val="16"/>
              </w:rPr>
              <w:t xml:space="preserve">(569,280,571) </w:t>
            </w:r>
          </w:p>
        </w:tc>
        <w:tc>
          <w:tcPr>
            <w:tcW w:type="dxa" w:w="1484"/>
            <w:tcBorders>
              <w:bottom w:sz="4.0" w:val="single" w:color="#000000"/>
            </w:tcBorders>
            <w:tcMar>
              <w:start w:w="0" w:type="dxa"/>
              <w:end w:w="0" w:type="dxa"/>
            </w:tcMar>
          </w:tcPr>
          <w:p>
            <w:pPr>
              <w:autoSpaceDN w:val="0"/>
              <w:autoSpaceDE w:val="0"/>
              <w:widowControl/>
              <w:spacing w:line="199" w:lineRule="auto" w:before="24" w:after="0"/>
              <w:ind w:left="0" w:right="136" w:firstLine="0"/>
              <w:jc w:val="right"/>
            </w:pPr>
            <w:r>
              <w:rPr>
                <w:rFonts w:ascii="Calibri" w:hAnsi="Calibri" w:eastAsia="Calibri"/>
                <w:b w:val="0"/>
                <w:i w:val="0"/>
                <w:color w:val="000000"/>
                <w:sz w:val="16"/>
              </w:rPr>
              <w:t xml:space="preserve">- </w:t>
            </w:r>
          </w:p>
        </w:tc>
        <w:tc>
          <w:tcPr>
            <w:tcW w:type="dxa" w:w="1372"/>
            <w:tcBorders>
              <w:bottom w:sz="4.0" w:val="single" w:color="#000000"/>
            </w:tcBorders>
            <w:tcMar>
              <w:start w:w="0" w:type="dxa"/>
              <w:end w:w="0" w:type="dxa"/>
            </w:tcMar>
          </w:tcPr>
          <w:p>
            <w:pPr>
              <w:autoSpaceDN w:val="0"/>
              <w:autoSpaceDE w:val="0"/>
              <w:widowControl/>
              <w:spacing w:line="199" w:lineRule="auto" w:before="24" w:after="0"/>
              <w:ind w:left="0" w:right="6" w:firstLine="0"/>
              <w:jc w:val="right"/>
            </w:pPr>
            <w:r>
              <w:rPr>
                <w:rFonts w:ascii="Calibri" w:hAnsi="Calibri" w:eastAsia="Calibri"/>
                <w:b w:val="0"/>
                <w:i w:val="0"/>
                <w:color w:val="000000"/>
                <w:sz w:val="16"/>
              </w:rPr>
              <w:t xml:space="preserve">(299,388,517) </w:t>
            </w:r>
          </w:p>
        </w:tc>
      </w:tr>
      <w:tr>
        <w:trPr>
          <w:trHeight w:hRule="exact" w:val="416"/>
        </w:trPr>
        <w:tc>
          <w:tcPr>
            <w:tcW w:type="dxa" w:w="1860"/>
            <w:tcBorders>
              <w:top w:sz="4.0" w:val="single" w:color="#000000"/>
              <w:bottom w:sz="4.0" w:val="single" w:color="#000000"/>
            </w:tcBorders>
            <w:tcMar>
              <w:start w:w="0" w:type="dxa"/>
              <w:end w:w="0" w:type="dxa"/>
            </w:tcMar>
          </w:tcPr>
          <w:p>
            <w:pPr>
              <w:autoSpaceDN w:val="0"/>
              <w:autoSpaceDE w:val="0"/>
              <w:widowControl/>
              <w:spacing w:line="160" w:lineRule="exact" w:before="218" w:after="0"/>
              <w:ind w:left="20" w:right="0" w:firstLine="0"/>
              <w:jc w:val="left"/>
            </w:pPr>
            <w:r>
              <w:rPr>
                <w:rFonts w:ascii="黑体" w:hAnsi="黑体" w:eastAsia="黑体"/>
                <w:b w:val="0"/>
                <w:i w:val="0"/>
                <w:color w:val="000000"/>
                <w:sz w:val="16"/>
              </w:rPr>
              <w:t>营业总支出合计</w:t>
            </w:r>
          </w:p>
        </w:tc>
        <w:tc>
          <w:tcPr>
            <w:tcW w:type="dxa" w:w="1448"/>
            <w:tcBorders>
              <w:top w:sz="4.0" w:val="single" w:color="#000000"/>
              <w:bottom w:sz="4.0" w:val="single" w:color="#000000"/>
            </w:tcBorders>
            <w:tcMar>
              <w:start w:w="0" w:type="dxa"/>
              <w:end w:w="0" w:type="dxa"/>
            </w:tcMar>
          </w:tcPr>
          <w:p/>
        </w:tc>
        <w:tc>
          <w:tcPr>
            <w:tcW w:type="dxa" w:w="1496"/>
            <w:tcBorders>
              <w:top w:sz="4.0" w:val="single" w:color="#000000"/>
              <w:bottom w:sz="4.0" w:val="single" w:color="#000000"/>
            </w:tcBorders>
            <w:tcMar>
              <w:start w:w="0" w:type="dxa"/>
              <w:end w:w="0" w:type="dxa"/>
            </w:tcMar>
          </w:tcPr>
          <w:p>
            <w:pPr>
              <w:autoSpaceDN w:val="0"/>
              <w:autoSpaceDE w:val="0"/>
              <w:widowControl/>
              <w:spacing w:line="197" w:lineRule="auto" w:before="238" w:after="0"/>
              <w:ind w:left="300" w:right="0" w:firstLine="0"/>
              <w:jc w:val="left"/>
            </w:pPr>
            <w:r>
              <w:rPr>
                <w:rFonts w:ascii="Calibri" w:hAnsi="Calibri" w:eastAsia="Calibri"/>
                <w:b w:val="0"/>
                <w:i w:val="0"/>
                <w:color w:val="000000"/>
                <w:sz w:val="16"/>
              </w:rPr>
              <w:t xml:space="preserve">(2,323,520,347 ) </w:t>
            </w:r>
          </w:p>
        </w:tc>
        <w:tc>
          <w:tcPr>
            <w:tcW w:type="dxa" w:w="1500"/>
            <w:tcBorders>
              <w:top w:sz="4.0" w:val="single" w:color="#000000"/>
              <w:bottom w:sz="4.0" w:val="single" w:color="#000000"/>
            </w:tcBorders>
            <w:tcMar>
              <w:start w:w="0" w:type="dxa"/>
              <w:end w:w="0" w:type="dxa"/>
            </w:tcMar>
          </w:tcPr>
          <w:p>
            <w:pPr>
              <w:autoSpaceDN w:val="0"/>
              <w:autoSpaceDE w:val="0"/>
              <w:widowControl/>
              <w:spacing w:line="197" w:lineRule="auto" w:before="238" w:after="0"/>
              <w:ind w:left="306" w:right="0" w:firstLine="0"/>
              <w:jc w:val="left"/>
            </w:pPr>
            <w:r>
              <w:rPr>
                <w:rFonts w:ascii="Calibri" w:hAnsi="Calibri" w:eastAsia="Calibri"/>
                <w:b w:val="0"/>
                <w:i w:val="0"/>
                <w:color w:val="000000"/>
                <w:sz w:val="16"/>
              </w:rPr>
              <w:t xml:space="preserve">(2,701,510,568) </w:t>
            </w:r>
          </w:p>
        </w:tc>
        <w:tc>
          <w:tcPr>
            <w:tcW w:type="dxa" w:w="1484"/>
            <w:tcBorders>
              <w:top w:sz="4.0" w:val="single" w:color="#000000"/>
              <w:bottom w:sz="4.0" w:val="single" w:color="#000000"/>
            </w:tcBorders>
            <w:tcMar>
              <w:start w:w="0" w:type="dxa"/>
              <w:end w:w="0" w:type="dxa"/>
            </w:tcMar>
          </w:tcPr>
          <w:p>
            <w:pPr>
              <w:autoSpaceDN w:val="0"/>
              <w:autoSpaceDE w:val="0"/>
              <w:widowControl/>
              <w:spacing w:line="197" w:lineRule="auto" w:before="238" w:after="0"/>
              <w:ind w:left="304" w:right="0" w:firstLine="0"/>
              <w:jc w:val="left"/>
            </w:pPr>
            <w:r>
              <w:rPr>
                <w:rFonts w:ascii="Calibri" w:hAnsi="Calibri" w:eastAsia="Calibri"/>
                <w:b w:val="0"/>
                <w:i w:val="0"/>
                <w:color w:val="000000"/>
                <w:sz w:val="16"/>
              </w:rPr>
              <w:t xml:space="preserve">(1,412,106,646) </w:t>
            </w:r>
          </w:p>
        </w:tc>
        <w:tc>
          <w:tcPr>
            <w:tcW w:type="dxa" w:w="1372"/>
            <w:tcBorders>
              <w:top w:sz="4.0" w:val="single" w:color="#000000"/>
              <w:bottom w:sz="4.0" w:val="single" w:color="#000000"/>
            </w:tcBorders>
            <w:tcMar>
              <w:start w:w="0" w:type="dxa"/>
              <w:end w:w="0" w:type="dxa"/>
            </w:tcMar>
          </w:tcPr>
          <w:p>
            <w:pPr>
              <w:autoSpaceDN w:val="0"/>
              <w:autoSpaceDE w:val="0"/>
              <w:widowControl/>
              <w:spacing w:line="197" w:lineRule="auto" w:before="238" w:after="0"/>
              <w:ind w:left="302" w:right="0" w:firstLine="0"/>
              <w:jc w:val="left"/>
            </w:pPr>
            <w:r>
              <w:rPr>
                <w:rFonts w:ascii="Calibri" w:hAnsi="Calibri" w:eastAsia="Calibri"/>
                <w:b w:val="0"/>
                <w:i w:val="0"/>
                <w:color w:val="000000"/>
                <w:sz w:val="16"/>
              </w:rPr>
              <w:t xml:space="preserve">(1,716,219,783) </w:t>
            </w:r>
          </w:p>
        </w:tc>
      </w:tr>
      <w:tr>
        <w:trPr>
          <w:trHeight w:hRule="exact" w:val="412"/>
        </w:trPr>
        <w:tc>
          <w:tcPr>
            <w:tcW w:type="dxa" w:w="1860"/>
            <w:tcBorders>
              <w:top w:sz="4.0" w:val="single" w:color="#000000"/>
              <w:bottom w:sz="4.0" w:val="single" w:color="#000000"/>
            </w:tcBorders>
            <w:tcMar>
              <w:start w:w="0" w:type="dxa"/>
              <w:end w:w="0" w:type="dxa"/>
            </w:tcMar>
          </w:tcPr>
          <w:p>
            <w:pPr>
              <w:autoSpaceDN w:val="0"/>
              <w:autoSpaceDE w:val="0"/>
              <w:widowControl/>
              <w:spacing w:line="162" w:lineRule="exact" w:before="216" w:after="0"/>
              <w:ind w:left="18" w:right="0" w:firstLine="0"/>
              <w:jc w:val="left"/>
            </w:pPr>
            <w:r>
              <w:rPr>
                <w:rFonts w:ascii="黑体" w:hAnsi="黑体" w:eastAsia="黑体"/>
                <w:b w:val="0"/>
                <w:i w:val="0"/>
                <w:color w:val="000000"/>
                <w:sz w:val="16"/>
              </w:rPr>
              <w:t>营业利润</w:t>
            </w:r>
          </w:p>
        </w:tc>
        <w:tc>
          <w:tcPr>
            <w:tcW w:type="dxa" w:w="1448"/>
            <w:tcBorders>
              <w:top w:sz="4.0" w:val="single" w:color="#000000"/>
              <w:bottom w:sz="4.0" w:val="single" w:color="#000000"/>
            </w:tcBorders>
            <w:tcMar>
              <w:start w:w="0" w:type="dxa"/>
              <w:end w:w="0" w:type="dxa"/>
            </w:tcMar>
          </w:tcPr>
          <w:p/>
        </w:tc>
        <w:tc>
          <w:tcPr>
            <w:tcW w:type="dxa" w:w="1496"/>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180" w:firstLine="0"/>
              <w:jc w:val="right"/>
            </w:pPr>
            <w:r>
              <w:rPr>
                <w:rFonts w:ascii="Calibri" w:hAnsi="Calibri" w:eastAsia="Calibri"/>
                <w:b w:val="0"/>
                <w:i w:val="0"/>
                <w:color w:val="000000"/>
                <w:sz w:val="16"/>
              </w:rPr>
              <w:t xml:space="preserve">828,554,860 </w:t>
            </w:r>
          </w:p>
        </w:tc>
        <w:tc>
          <w:tcPr>
            <w:tcW w:type="dxa" w:w="1500"/>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214" w:firstLine="0"/>
              <w:jc w:val="right"/>
            </w:pPr>
            <w:r>
              <w:rPr>
                <w:rFonts w:ascii="Calibri" w:hAnsi="Calibri" w:eastAsia="Calibri"/>
                <w:b w:val="0"/>
                <w:i w:val="0"/>
                <w:color w:val="000000"/>
                <w:sz w:val="16"/>
              </w:rPr>
              <w:t>769,185,593</w:t>
            </w:r>
          </w:p>
        </w:tc>
        <w:tc>
          <w:tcPr>
            <w:tcW w:type="dxa" w:w="1484"/>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130" w:firstLine="0"/>
              <w:jc w:val="right"/>
            </w:pPr>
            <w:r>
              <w:rPr>
                <w:rFonts w:ascii="Calibri" w:hAnsi="Calibri" w:eastAsia="Calibri"/>
                <w:b w:val="0"/>
                <w:i w:val="0"/>
                <w:color w:val="000000"/>
                <w:sz w:val="16"/>
              </w:rPr>
              <w:t xml:space="preserve">677,023,924 </w:t>
            </w:r>
          </w:p>
        </w:tc>
        <w:tc>
          <w:tcPr>
            <w:tcW w:type="dxa" w:w="1372"/>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88" w:firstLine="0"/>
              <w:jc w:val="right"/>
            </w:pPr>
            <w:r>
              <w:rPr>
                <w:rFonts w:ascii="Calibri" w:hAnsi="Calibri" w:eastAsia="Calibri"/>
                <w:b w:val="0"/>
                <w:i w:val="0"/>
                <w:color w:val="000000"/>
                <w:sz w:val="16"/>
              </w:rPr>
              <w:t>614,293,147</w:t>
            </w:r>
          </w:p>
        </w:tc>
      </w:tr>
      <w:tr>
        <w:trPr>
          <w:trHeight w:hRule="exact" w:val="50"/>
        </w:trPr>
        <w:tc>
          <w:tcPr>
            <w:tcW w:type="dxa" w:w="1860"/>
            <w:tcBorders>
              <w:top w:sz="4.0" w:val="single" w:color="#000000"/>
            </w:tcBorders>
            <w:tcMar>
              <w:start w:w="0" w:type="dxa"/>
              <w:end w:w="0" w:type="dxa"/>
            </w:tcMar>
          </w:tcPr>
          <w:p/>
        </w:tc>
        <w:tc>
          <w:tcPr>
            <w:tcW w:type="dxa" w:w="1448"/>
            <w:tcBorders>
              <w:top w:sz="4.0" w:val="single" w:color="#000000"/>
            </w:tcBorders>
            <w:tcMar>
              <w:start w:w="0" w:type="dxa"/>
              <w:end w:w="0" w:type="dxa"/>
            </w:tcMar>
          </w:tcPr>
          <w:p/>
        </w:tc>
        <w:tc>
          <w:tcPr>
            <w:tcW w:type="dxa" w:w="1496"/>
            <w:tcBorders>
              <w:top w:sz="4.0" w:val="single" w:color="#000000"/>
            </w:tcBorders>
            <w:tcMar>
              <w:start w:w="0" w:type="dxa"/>
              <w:end w:w="0" w:type="dxa"/>
            </w:tcMar>
          </w:tcPr>
          <w:p/>
        </w:tc>
        <w:tc>
          <w:tcPr>
            <w:tcW w:type="dxa" w:w="1500"/>
            <w:tcBorders>
              <w:top w:sz="4.0" w:val="single" w:color="#000000"/>
            </w:tcBorders>
            <w:tcMar>
              <w:start w:w="0" w:type="dxa"/>
              <w:end w:w="0" w:type="dxa"/>
            </w:tcMar>
          </w:tcPr>
          <w:p/>
        </w:tc>
        <w:tc>
          <w:tcPr>
            <w:tcW w:type="dxa" w:w="1484"/>
            <w:tcBorders>
              <w:top w:sz="4.0" w:val="single" w:color="#000000"/>
            </w:tcBorders>
            <w:tcMar>
              <w:start w:w="0" w:type="dxa"/>
              <w:end w:w="0" w:type="dxa"/>
            </w:tcMar>
          </w:tcPr>
          <w:p/>
        </w:tc>
        <w:tc>
          <w:tcPr>
            <w:tcW w:type="dxa" w:w="1372"/>
            <w:tcBorders>
              <w:top w:sz="4.0" w:val="single" w:color="#000000"/>
            </w:tcBorders>
            <w:tcMar>
              <w:start w:w="0" w:type="dxa"/>
              <w:end w:w="0" w:type="dxa"/>
            </w:tcMar>
          </w:tcPr>
          <w:p/>
        </w:tc>
      </w:tr>
    </w:tbl>
    <w:p>
      <w:pPr>
        <w:autoSpaceDN w:val="0"/>
        <w:autoSpaceDE w:val="0"/>
        <w:widowControl/>
        <w:spacing w:line="246" w:lineRule="exact" w:before="1370" w:after="938"/>
        <w:ind w:left="8" w:right="0" w:firstLine="0"/>
        <w:jc w:val="left"/>
      </w:pPr>
      <w:r>
        <w:rPr>
          <w:rFonts w:ascii="黑体" w:hAnsi="黑体" w:eastAsia="黑体"/>
          <w:b w:val="0"/>
          <w:i w:val="0"/>
          <w:color w:val="000000"/>
          <w:sz w:val="22"/>
        </w:rPr>
        <w:t>此财务报表已于</w:t>
      </w:r>
      <w:r>
        <w:rPr>
          <w:rFonts w:ascii="Calibri" w:hAnsi="Calibri" w:eastAsia="Calibri"/>
          <w:b w:val="0"/>
          <w:i w:val="0"/>
          <w:color w:val="000000"/>
          <w:sz w:val="22"/>
        </w:rPr>
        <w:t>2025</w:t>
      </w:r>
      <w:r>
        <w:rPr>
          <w:rFonts w:ascii="黑体" w:hAnsi="黑体" w:eastAsia="黑体"/>
          <w:b w:val="0"/>
          <w:i w:val="0"/>
          <w:color w:val="000000"/>
          <w:sz w:val="22"/>
        </w:rPr>
        <w:t>年</w:t>
      </w:r>
      <w:r>
        <w:rPr>
          <w:rFonts w:ascii="Calibri" w:hAnsi="Calibri" w:eastAsia="Calibri"/>
          <w:b w:val="0"/>
          <w:i w:val="0"/>
          <w:color w:val="000000"/>
          <w:sz w:val="22"/>
        </w:rPr>
        <w:t>4</w:t>
      </w:r>
      <w:r>
        <w:rPr>
          <w:rFonts w:ascii="黑体" w:hAnsi="黑体" w:eastAsia="黑体"/>
          <w:b w:val="0"/>
          <w:i w:val="0"/>
          <w:color w:val="000000"/>
          <w:sz w:val="22"/>
        </w:rPr>
        <w:t>月</w:t>
      </w:r>
      <w:r>
        <w:rPr>
          <w:rFonts w:ascii="Calibri" w:hAnsi="Calibri" w:eastAsia="Calibri"/>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90"/>
        <w:gridCol w:w="2290"/>
        <w:gridCol w:w="2290"/>
        <w:gridCol w:w="2290"/>
      </w:tblGrid>
      <w:tr>
        <w:trPr>
          <w:trHeight w:hRule="exact" w:val="298"/>
        </w:trPr>
        <w:tc>
          <w:tcPr>
            <w:tcW w:type="dxa" w:w="2298"/>
            <w:tcBorders>
              <w:top w:sz="6.399999999999636" w:val="single" w:color="#000000"/>
            </w:tcBorders>
            <w:tcMar>
              <w:start w:w="0" w:type="dxa"/>
              <w:end w:w="0" w:type="dxa"/>
            </w:tcMar>
          </w:tcPr>
          <w:p>
            <w:pPr>
              <w:autoSpaceDN w:val="0"/>
              <w:autoSpaceDE w:val="0"/>
              <w:widowControl/>
              <w:spacing w:line="220" w:lineRule="exact" w:before="40" w:after="0"/>
              <w:ind w:left="0" w:right="0" w:firstLine="0"/>
              <w:jc w:val="left"/>
            </w:pPr>
            <w:r>
              <w:rPr>
                <w:rFonts w:ascii="黑体" w:hAnsi="黑体" w:eastAsia="黑体"/>
                <w:b w:val="0"/>
                <w:i w:val="0"/>
                <w:color w:val="000000"/>
                <w:sz w:val="22"/>
              </w:rPr>
              <w:t>王怡里</w:t>
            </w:r>
          </w:p>
        </w:tc>
        <w:tc>
          <w:tcPr>
            <w:tcW w:type="dxa" w:w="3192"/>
            <w:tcBorders>
              <w:top w:sz="6.399999999999636" w:val="single" w:color="#000000"/>
            </w:tcBorders>
            <w:tcMar>
              <w:start w:w="0" w:type="dxa"/>
              <w:end w:w="0" w:type="dxa"/>
            </w:tcMar>
          </w:tcPr>
          <w:p>
            <w:pPr>
              <w:autoSpaceDN w:val="0"/>
              <w:autoSpaceDE w:val="0"/>
              <w:widowControl/>
              <w:spacing w:line="220" w:lineRule="exact" w:before="40" w:after="0"/>
              <w:ind w:left="224" w:right="0" w:firstLine="0"/>
              <w:jc w:val="left"/>
            </w:pPr>
            <w:r>
              <w:rPr>
                <w:rFonts w:ascii="黑体" w:hAnsi="黑体" w:eastAsia="黑体"/>
                <w:b w:val="0"/>
                <w:i w:val="0"/>
                <w:color w:val="000000"/>
                <w:sz w:val="22"/>
              </w:rPr>
              <w:t>汤建雄</w:t>
            </w:r>
          </w:p>
        </w:tc>
        <w:tc>
          <w:tcPr>
            <w:tcW w:type="dxa" w:w="2156"/>
            <w:tcBorders>
              <w:top w:sz="6.399999999999636" w:val="single" w:color="#000000"/>
            </w:tcBorders>
            <w:tcMar>
              <w:start w:w="0" w:type="dxa"/>
              <w:end w:w="0" w:type="dxa"/>
            </w:tcMar>
          </w:tcPr>
          <w:p>
            <w:pPr>
              <w:autoSpaceDN w:val="0"/>
              <w:autoSpaceDE w:val="0"/>
              <w:widowControl/>
              <w:spacing w:line="220" w:lineRule="exact" w:before="40" w:after="0"/>
              <w:ind w:left="264" w:right="0" w:firstLine="0"/>
              <w:jc w:val="left"/>
            </w:pPr>
            <w:r>
              <w:rPr>
                <w:rFonts w:ascii="黑体" w:hAnsi="黑体" w:eastAsia="黑体"/>
                <w:b w:val="0"/>
                <w:i w:val="0"/>
                <w:color w:val="000000"/>
                <w:sz w:val="22"/>
              </w:rPr>
              <w:t>张立德</w:t>
            </w:r>
          </w:p>
        </w:tc>
        <w:tc>
          <w:tcPr>
            <w:tcW w:type="dxa" w:w="1334"/>
            <w:vMerge w:val="restart"/>
            <w:tcBorders>
              <w:top w:sz="6.399999999999636" w:val="single" w:color="#000000"/>
            </w:tcBorders>
            <w:tcMar>
              <w:start w:w="0" w:type="dxa"/>
              <w:end w:w="0" w:type="dxa"/>
            </w:tcMar>
            <w:tcMar>
              <w:start w:w="0" w:type="dxa"/>
              <w:end w:w="0" w:type="dxa"/>
            </w:tcMar>
          </w:tcPr>
          <w:p>
            <w:pPr>
              <w:autoSpaceDN w:val="0"/>
              <w:autoSpaceDE w:val="0"/>
              <w:widowControl/>
              <w:spacing w:line="220" w:lineRule="exact" w:before="40" w:after="0"/>
              <w:ind w:left="278" w:right="0" w:firstLine="0"/>
              <w:jc w:val="left"/>
            </w:pPr>
            <w:r>
              <w:rPr>
                <w:rFonts w:ascii="黑体" w:hAnsi="黑体" w:eastAsia="黑体"/>
                <w:b w:val="0"/>
                <w:i w:val="0"/>
                <w:color w:val="000000"/>
                <w:sz w:val="22"/>
              </w:rPr>
              <w:t>（盖章）</w:t>
            </w:r>
          </w:p>
        </w:tc>
      </w:tr>
      <w:tr>
        <w:trPr>
          <w:trHeight w:hRule="exact" w:val="316"/>
        </w:trPr>
        <w:tc>
          <w:tcPr>
            <w:tcW w:type="dxa" w:w="2298"/>
            <w:tcBorders/>
            <w:tcMar>
              <w:start w:w="0" w:type="dxa"/>
              <w:end w:w="0" w:type="dxa"/>
            </w:tcMar>
          </w:tcPr>
          <w:p>
            <w:pPr>
              <w:autoSpaceDN w:val="0"/>
              <w:autoSpaceDE w:val="0"/>
              <w:widowControl/>
              <w:spacing w:line="222" w:lineRule="exact" w:before="34" w:after="0"/>
              <w:ind w:left="0" w:right="0" w:firstLine="0"/>
              <w:jc w:val="left"/>
            </w:pPr>
            <w:r>
              <w:rPr>
                <w:rFonts w:ascii="黑体" w:hAnsi="黑体" w:eastAsia="黑体"/>
                <w:b w:val="0"/>
                <w:i w:val="0"/>
                <w:color w:val="000000"/>
                <w:sz w:val="22"/>
              </w:rPr>
              <w:t>法定代表人</w:t>
            </w:r>
          </w:p>
        </w:tc>
        <w:tc>
          <w:tcPr>
            <w:tcW w:type="dxa" w:w="3192"/>
            <w:tcBorders/>
            <w:tcMar>
              <w:start w:w="0" w:type="dxa"/>
              <w:end w:w="0" w:type="dxa"/>
            </w:tcMar>
          </w:tcPr>
          <w:p>
            <w:pPr>
              <w:autoSpaceDN w:val="0"/>
              <w:autoSpaceDE w:val="0"/>
              <w:widowControl/>
              <w:spacing w:line="222" w:lineRule="exact" w:before="34" w:after="0"/>
              <w:ind w:left="224" w:right="0" w:firstLine="0"/>
              <w:jc w:val="left"/>
            </w:pPr>
            <w:r>
              <w:rPr>
                <w:rFonts w:ascii="黑体" w:hAnsi="黑体" w:eastAsia="黑体"/>
                <w:b w:val="0"/>
                <w:i w:val="0"/>
                <w:color w:val="000000"/>
                <w:sz w:val="22"/>
              </w:rPr>
              <w:t>主管会计工作的公司负责人</w:t>
            </w:r>
          </w:p>
        </w:tc>
        <w:tc>
          <w:tcPr>
            <w:tcW w:type="dxa" w:w="2156"/>
            <w:tcBorders/>
            <w:tcMar>
              <w:start w:w="0" w:type="dxa"/>
              <w:end w:w="0" w:type="dxa"/>
            </w:tcMar>
          </w:tcPr>
          <w:p>
            <w:pPr>
              <w:autoSpaceDN w:val="0"/>
              <w:autoSpaceDE w:val="0"/>
              <w:widowControl/>
              <w:spacing w:line="222" w:lineRule="exact" w:before="34" w:after="0"/>
              <w:ind w:left="264" w:right="0" w:firstLine="0"/>
              <w:jc w:val="left"/>
            </w:pPr>
            <w:r>
              <w:rPr>
                <w:rFonts w:ascii="黑体" w:hAnsi="黑体" w:eastAsia="黑体"/>
                <w:b w:val="0"/>
                <w:i w:val="0"/>
                <w:color w:val="000000"/>
                <w:sz w:val="22"/>
              </w:rPr>
              <w:t>会计机构负责人</w:t>
            </w:r>
          </w:p>
        </w:tc>
        <w:tc>
          <w:tcPr>
            <w:tcW w:type="dxa" w:w="2290"/>
            <w:vMerge/>
            <w:tcBorders>
              <w:top w:sz="6.399999999999636" w:val="single" w:color="#000000"/>
            </w:tcBorders>
          </w:tcPr>
          <w:p/>
        </w:tc>
      </w:tr>
    </w:tbl>
    <w:p>
      <w:pPr>
        <w:autoSpaceDN w:val="0"/>
        <w:autoSpaceDE w:val="0"/>
        <w:widowControl/>
        <w:spacing w:line="200" w:lineRule="exact" w:before="888"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026" w:after="0"/>
        <w:ind w:left="0" w:right="0" w:firstLine="0"/>
        <w:jc w:val="center"/>
      </w:pPr>
      <w:r>
        <w:rPr>
          <w:rFonts w:ascii="Arial" w:hAnsi="Arial" w:eastAsia="Arial"/>
          <w:b w:val="0"/>
          <w:i w:val="0"/>
          <w:color w:val="000000"/>
          <w:sz w:val="20"/>
        </w:rPr>
        <w:t xml:space="preserve">152 </w:t>
      </w:r>
    </w:p>
    <w:p>
      <w:pPr>
        <w:sectPr>
          <w:pgSz w:w="11899" w:h="16841"/>
          <w:pgMar w:top="798" w:right="1306" w:bottom="360" w:left="1432"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60" w:lineRule="exact" w:before="0" w:after="0"/>
        <w:ind w:left="0" w:right="0" w:firstLine="0"/>
        <w:jc w:val="center"/>
      </w:pPr>
      <w:r>
        <w:rPr>
          <w:rFonts w:ascii="黑体" w:hAnsi="黑体" w:eastAsia="黑体"/>
          <w:b w:val="0"/>
          <w:i w:val="0"/>
          <w:color w:val="000000"/>
          <w:sz w:val="16"/>
        </w:rPr>
        <w:t>合并及公司利润表（续）</w:t>
      </w:r>
    </w:p>
    <w:p>
      <w:pPr>
        <w:autoSpaceDN w:val="0"/>
        <w:autoSpaceDE w:val="0"/>
        <w:widowControl/>
        <w:spacing w:line="160" w:lineRule="exact" w:before="46" w:after="240"/>
        <w:ind w:left="8" w:right="0" w:firstLine="0"/>
        <w:jc w:val="left"/>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11.999999999999886" w:type="dxa"/>
      </w:tblPr>
      <w:tblGrid>
        <w:gridCol w:w="1522"/>
        <w:gridCol w:w="1522"/>
        <w:gridCol w:w="1522"/>
        <w:gridCol w:w="1522"/>
        <w:gridCol w:w="1522"/>
        <w:gridCol w:w="1522"/>
      </w:tblGrid>
      <w:tr>
        <w:trPr>
          <w:trHeight w:hRule="exact" w:val="250"/>
        </w:trPr>
        <w:tc>
          <w:tcPr>
            <w:tcW w:type="dxa" w:w="1840"/>
            <w:tcBorders>
              <w:bottom w:sz="4.0" w:val="single" w:color="#000000"/>
            </w:tcBorders>
            <w:tcMar>
              <w:start w:w="0" w:type="dxa"/>
              <w:end w:w="0" w:type="dxa"/>
            </w:tcMar>
          </w:tcPr>
          <w:p/>
        </w:tc>
        <w:tc>
          <w:tcPr>
            <w:tcW w:type="dxa" w:w="1482"/>
            <w:tcBorders>
              <w:bottom w:sz="4.0" w:val="single" w:color="#000000"/>
            </w:tcBorders>
            <w:tcMar>
              <w:start w:w="0" w:type="dxa"/>
              <w:end w:w="0" w:type="dxa"/>
            </w:tcMar>
          </w:tcPr>
          <w:p/>
        </w:tc>
        <w:tc>
          <w:tcPr>
            <w:tcW w:type="dxa" w:w="1738"/>
            <w:tcBorders>
              <w:bottom w:sz="4.0" w:val="single" w:color="#000000"/>
            </w:tcBorders>
            <w:tcMar>
              <w:start w:w="0" w:type="dxa"/>
              <w:end w:w="0" w:type="dxa"/>
            </w:tcMar>
          </w:tcPr>
          <w:p>
            <w:pPr>
              <w:autoSpaceDN w:val="0"/>
              <w:autoSpaceDE w:val="0"/>
              <w:widowControl/>
              <w:spacing w:line="162" w:lineRule="exact" w:before="60" w:after="0"/>
              <w:ind w:left="0" w:right="146" w:firstLine="0"/>
              <w:jc w:val="right"/>
            </w:pPr>
            <w:r>
              <w:rPr>
                <w:rFonts w:ascii="黑体" w:hAnsi="黑体" w:eastAsia="黑体"/>
                <w:b w:val="0"/>
                <w:i w:val="0"/>
                <w:color w:val="000000"/>
                <w:sz w:val="16"/>
              </w:rPr>
              <w:t>本集团</w:t>
            </w:r>
          </w:p>
        </w:tc>
        <w:tc>
          <w:tcPr>
            <w:tcW w:type="dxa" w:w="1232"/>
            <w:tcBorders>
              <w:bottom w:sz="4.0" w:val="single" w:color="#000000"/>
            </w:tcBorders>
            <w:tcMar>
              <w:start w:w="0" w:type="dxa"/>
              <w:end w:w="0" w:type="dxa"/>
            </w:tcMar>
          </w:tcPr>
          <w:p/>
        </w:tc>
        <w:tc>
          <w:tcPr>
            <w:tcW w:type="dxa" w:w="1748"/>
            <w:tcBorders>
              <w:bottom w:sz="4.0" w:val="single" w:color="#000000"/>
            </w:tcBorders>
            <w:tcMar>
              <w:start w:w="0" w:type="dxa"/>
              <w:end w:w="0" w:type="dxa"/>
            </w:tcMar>
          </w:tcPr>
          <w:p>
            <w:pPr>
              <w:autoSpaceDN w:val="0"/>
              <w:autoSpaceDE w:val="0"/>
              <w:widowControl/>
              <w:spacing w:line="162" w:lineRule="exact" w:before="60" w:after="0"/>
              <w:ind w:left="0" w:right="170" w:firstLine="0"/>
              <w:jc w:val="right"/>
            </w:pPr>
            <w:r>
              <w:rPr>
                <w:rFonts w:ascii="黑体" w:hAnsi="黑体" w:eastAsia="黑体"/>
                <w:b w:val="0"/>
                <w:i w:val="0"/>
                <w:color w:val="000000"/>
                <w:sz w:val="16"/>
              </w:rPr>
              <w:t>本公司</w:t>
            </w:r>
          </w:p>
        </w:tc>
        <w:tc>
          <w:tcPr>
            <w:tcW w:type="dxa" w:w="1080"/>
            <w:tcBorders>
              <w:bottom w:sz="4.0" w:val="single" w:color="#000000"/>
            </w:tcBorders>
            <w:tcMar>
              <w:start w:w="0" w:type="dxa"/>
              <w:end w:w="0" w:type="dxa"/>
            </w:tcMar>
          </w:tcPr>
          <w:p/>
        </w:tc>
      </w:tr>
      <w:tr>
        <w:trPr>
          <w:trHeight w:hRule="exact" w:val="328"/>
        </w:trPr>
        <w:tc>
          <w:tcPr>
            <w:tcW w:type="dxa" w:w="1840"/>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428" w:after="0"/>
              <w:ind w:left="20" w:right="0" w:firstLine="0"/>
              <w:jc w:val="left"/>
            </w:pPr>
            <w:r>
              <w:rPr>
                <w:rFonts w:ascii="黑体" w:hAnsi="黑体" w:eastAsia="黑体"/>
                <w:b w:val="0"/>
                <w:i w:val="0"/>
                <w:color w:val="000000"/>
                <w:sz w:val="16"/>
              </w:rPr>
              <w:t>营业利润（续）</w:t>
            </w:r>
          </w:p>
        </w:tc>
        <w:tc>
          <w:tcPr>
            <w:tcW w:type="dxa" w:w="1482"/>
            <w:vMerge w:val="restart"/>
            <w:tcBorders>
              <w:top w:sz="4.0" w:val="single" w:color="#000000"/>
            </w:tcBorders>
            <w:tcMar>
              <w:start w:w="0" w:type="dxa"/>
              <w:end w:w="0" w:type="dxa"/>
            </w:tcMar>
            <w:tcMar>
              <w:start w:w="0" w:type="dxa"/>
              <w:end w:w="0" w:type="dxa"/>
            </w:tcMar>
          </w:tcPr>
          <w:p>
            <w:pPr>
              <w:autoSpaceDN w:val="0"/>
              <w:autoSpaceDE w:val="0"/>
              <w:widowControl/>
              <w:spacing w:line="162" w:lineRule="exact" w:before="24" w:after="0"/>
              <w:ind w:left="0" w:right="436" w:firstLine="0"/>
              <w:jc w:val="right"/>
            </w:pPr>
            <w:r>
              <w:rPr>
                <w:rFonts w:ascii="黑体" w:hAnsi="黑体" w:eastAsia="黑体"/>
                <w:b w:val="0"/>
                <w:i w:val="0"/>
                <w:color w:val="000000"/>
                <w:sz w:val="16"/>
              </w:rPr>
              <w:t>附注</w:t>
            </w:r>
          </w:p>
        </w:tc>
        <w:tc>
          <w:tcPr>
            <w:tcW w:type="dxa" w:w="1738"/>
            <w:tcBorders>
              <w:top w:sz="4.0" w:val="single" w:color="#000000"/>
            </w:tcBorders>
            <w:tcMar>
              <w:start w:w="0" w:type="dxa"/>
              <w:end w:w="0" w:type="dxa"/>
            </w:tcMar>
          </w:tcPr>
          <w:p>
            <w:pPr>
              <w:autoSpaceDN w:val="0"/>
              <w:autoSpaceDE w:val="0"/>
              <w:widowControl/>
              <w:spacing w:line="178" w:lineRule="exact" w:before="24" w:after="0"/>
              <w:ind w:left="0" w:right="436"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1232"/>
            <w:tcBorders>
              <w:top w:sz="4.0" w:val="single" w:color="#000000"/>
            </w:tcBorders>
            <w:tcMar>
              <w:start w:w="0" w:type="dxa"/>
              <w:end w:w="0" w:type="dxa"/>
            </w:tcMar>
          </w:tcPr>
          <w:p>
            <w:pPr>
              <w:autoSpaceDN w:val="0"/>
              <w:autoSpaceDE w:val="0"/>
              <w:widowControl/>
              <w:spacing w:line="178" w:lineRule="exact" w:before="24" w:after="0"/>
              <w:ind w:left="0" w:right="208"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c>
          <w:tcPr>
            <w:tcW w:type="dxa" w:w="1748"/>
            <w:tcBorders>
              <w:top w:sz="4.0" w:val="single" w:color="#000000"/>
            </w:tcBorders>
            <w:tcMar>
              <w:start w:w="0" w:type="dxa"/>
              <w:end w:w="0" w:type="dxa"/>
            </w:tcMar>
          </w:tcPr>
          <w:p>
            <w:pPr>
              <w:autoSpaceDN w:val="0"/>
              <w:autoSpaceDE w:val="0"/>
              <w:widowControl/>
              <w:spacing w:line="178" w:lineRule="exact" w:before="24" w:after="0"/>
              <w:ind w:left="0" w:right="444"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1080"/>
            <w:tcBorders>
              <w:top w:sz="4.0" w:val="single" w:color="#000000"/>
            </w:tcBorders>
            <w:tcMar>
              <w:start w:w="0" w:type="dxa"/>
              <w:end w:w="0" w:type="dxa"/>
            </w:tcMar>
          </w:tcPr>
          <w:p>
            <w:pPr>
              <w:autoSpaceDN w:val="0"/>
              <w:autoSpaceDE w:val="0"/>
              <w:widowControl/>
              <w:spacing w:line="178" w:lineRule="exact" w:before="24" w:after="0"/>
              <w:ind w:left="0" w:right="78"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r>
      <w:tr>
        <w:trPr>
          <w:trHeight w:hRule="exact" w:val="272"/>
        </w:trPr>
        <w:tc>
          <w:tcPr>
            <w:tcW w:type="dxa" w:w="1522"/>
            <w:vMerge/>
            <w:tcBorders>
              <w:top w:sz="4.0" w:val="single" w:color="#000000"/>
            </w:tcBorders>
          </w:tcPr>
          <w:p/>
        </w:tc>
        <w:tc>
          <w:tcPr>
            <w:tcW w:type="dxa" w:w="1522"/>
            <w:vMerge/>
            <w:tcBorders>
              <w:top w:sz="4.0" w:val="single" w:color="#000000"/>
            </w:tcBorders>
          </w:tcPr>
          <w:p/>
        </w:tc>
        <w:tc>
          <w:tcPr>
            <w:tcW w:type="dxa" w:w="1738"/>
            <w:tcBorders/>
            <w:tcMar>
              <w:start w:w="0" w:type="dxa"/>
              <w:end w:w="0" w:type="dxa"/>
            </w:tcMar>
          </w:tcPr>
          <w:p>
            <w:pPr>
              <w:autoSpaceDN w:val="0"/>
              <w:autoSpaceDE w:val="0"/>
              <w:widowControl/>
              <w:spacing w:line="197" w:lineRule="auto" w:before="112" w:after="0"/>
              <w:ind w:left="0" w:right="400" w:firstLine="0"/>
              <w:jc w:val="right"/>
            </w:pPr>
            <w:r>
              <w:rPr>
                <w:rFonts w:ascii="Calibri" w:hAnsi="Calibri" w:eastAsia="Calibri"/>
                <w:b w:val="0"/>
                <w:i w:val="0"/>
                <w:color w:val="000000"/>
                <w:sz w:val="16"/>
              </w:rPr>
              <w:t xml:space="preserve">828,554,860 </w:t>
            </w:r>
          </w:p>
        </w:tc>
        <w:tc>
          <w:tcPr>
            <w:tcW w:type="dxa" w:w="1232"/>
            <w:tcBorders/>
            <w:tcMar>
              <w:start w:w="0" w:type="dxa"/>
              <w:end w:w="0" w:type="dxa"/>
            </w:tcMar>
          </w:tcPr>
          <w:p>
            <w:pPr>
              <w:autoSpaceDN w:val="0"/>
              <w:autoSpaceDE w:val="0"/>
              <w:widowControl/>
              <w:spacing w:line="197" w:lineRule="auto" w:before="112" w:after="0"/>
              <w:ind w:left="0" w:right="0" w:firstLine="0"/>
              <w:jc w:val="center"/>
            </w:pPr>
            <w:r>
              <w:rPr>
                <w:rFonts w:ascii="Calibri" w:hAnsi="Calibri" w:eastAsia="Calibri"/>
                <w:b w:val="0"/>
                <w:i w:val="0"/>
                <w:color w:val="000000"/>
                <w:sz w:val="16"/>
              </w:rPr>
              <w:t>769,185,593</w:t>
            </w:r>
          </w:p>
        </w:tc>
        <w:tc>
          <w:tcPr>
            <w:tcW w:type="dxa" w:w="1748"/>
            <w:tcBorders/>
            <w:tcMar>
              <w:start w:w="0" w:type="dxa"/>
              <w:end w:w="0" w:type="dxa"/>
            </w:tcMar>
          </w:tcPr>
          <w:p>
            <w:pPr>
              <w:autoSpaceDN w:val="0"/>
              <w:autoSpaceDE w:val="0"/>
              <w:widowControl/>
              <w:spacing w:line="197" w:lineRule="auto" w:before="112" w:after="0"/>
              <w:ind w:left="0" w:right="408" w:firstLine="0"/>
              <w:jc w:val="right"/>
            </w:pPr>
            <w:r>
              <w:rPr>
                <w:rFonts w:ascii="Calibri" w:hAnsi="Calibri" w:eastAsia="Calibri"/>
                <w:b w:val="0"/>
                <w:i w:val="0"/>
                <w:color w:val="000000"/>
                <w:sz w:val="16"/>
              </w:rPr>
              <w:t xml:space="preserve">677,023,924 </w:t>
            </w:r>
          </w:p>
        </w:tc>
        <w:tc>
          <w:tcPr>
            <w:tcW w:type="dxa" w:w="1080"/>
            <w:tcBorders/>
            <w:tcMar>
              <w:start w:w="0" w:type="dxa"/>
              <w:end w:w="0" w:type="dxa"/>
            </w:tcMar>
          </w:tcPr>
          <w:p>
            <w:pPr>
              <w:autoSpaceDN w:val="0"/>
              <w:autoSpaceDE w:val="0"/>
              <w:widowControl/>
              <w:spacing w:line="197" w:lineRule="auto" w:before="112" w:after="0"/>
              <w:ind w:left="192" w:right="0" w:firstLine="0"/>
              <w:jc w:val="left"/>
            </w:pPr>
            <w:r>
              <w:rPr>
                <w:rFonts w:ascii="Calibri" w:hAnsi="Calibri" w:eastAsia="Calibri"/>
                <w:b w:val="0"/>
                <w:i w:val="0"/>
                <w:color w:val="000000"/>
                <w:sz w:val="16"/>
              </w:rPr>
              <w:t>614,293,147</w:t>
            </w:r>
          </w:p>
        </w:tc>
      </w:tr>
      <w:tr>
        <w:trPr>
          <w:trHeight w:hRule="exact" w:val="400"/>
        </w:trPr>
        <w:tc>
          <w:tcPr>
            <w:tcW w:type="dxa" w:w="1840"/>
            <w:tcBorders/>
            <w:tcMar>
              <w:start w:w="0" w:type="dxa"/>
              <w:end w:w="0" w:type="dxa"/>
            </w:tcMar>
          </w:tcPr>
          <w:p>
            <w:pPr>
              <w:autoSpaceDN w:val="0"/>
              <w:autoSpaceDE w:val="0"/>
              <w:widowControl/>
              <w:spacing w:line="160" w:lineRule="exact" w:before="236" w:after="0"/>
              <w:ind w:left="20" w:right="0" w:firstLine="0"/>
              <w:jc w:val="left"/>
            </w:pPr>
            <w:r>
              <w:rPr>
                <w:rFonts w:ascii="黑体" w:hAnsi="黑体" w:eastAsia="黑体"/>
                <w:b w:val="0"/>
                <w:i w:val="0"/>
                <w:color w:val="000000"/>
                <w:sz w:val="16"/>
              </w:rPr>
              <w:t>加：营业外收入</w:t>
            </w:r>
          </w:p>
        </w:tc>
        <w:tc>
          <w:tcPr>
            <w:tcW w:type="dxa" w:w="1482"/>
            <w:tcBorders/>
            <w:tcMar>
              <w:start w:w="0" w:type="dxa"/>
              <w:end w:w="0" w:type="dxa"/>
            </w:tcMar>
          </w:tcPr>
          <w:p>
            <w:pPr>
              <w:autoSpaceDN w:val="0"/>
              <w:autoSpaceDE w:val="0"/>
              <w:widowControl/>
              <w:spacing w:line="178" w:lineRule="exact" w:before="222" w:after="0"/>
              <w:ind w:left="0" w:right="39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51 </w:t>
            </w:r>
          </w:p>
        </w:tc>
        <w:tc>
          <w:tcPr>
            <w:tcW w:type="dxa" w:w="1738"/>
            <w:tcBorders/>
            <w:tcMar>
              <w:start w:w="0" w:type="dxa"/>
              <w:end w:w="0" w:type="dxa"/>
            </w:tcMar>
          </w:tcPr>
          <w:p>
            <w:pPr>
              <w:autoSpaceDN w:val="0"/>
              <w:autoSpaceDE w:val="0"/>
              <w:widowControl/>
              <w:spacing w:line="199" w:lineRule="auto" w:before="238" w:after="0"/>
              <w:ind w:left="0" w:right="400" w:firstLine="0"/>
              <w:jc w:val="right"/>
            </w:pPr>
            <w:r>
              <w:rPr>
                <w:rFonts w:ascii="Calibri" w:hAnsi="Calibri" w:eastAsia="Calibri"/>
                <w:b w:val="0"/>
                <w:i w:val="0"/>
                <w:color w:val="000000"/>
                <w:sz w:val="16"/>
              </w:rPr>
              <w:t xml:space="preserve">686,790 </w:t>
            </w:r>
          </w:p>
        </w:tc>
        <w:tc>
          <w:tcPr>
            <w:tcW w:type="dxa" w:w="1232"/>
            <w:tcBorders/>
            <w:tcMar>
              <w:start w:w="0" w:type="dxa"/>
              <w:end w:w="0" w:type="dxa"/>
            </w:tcMar>
          </w:tcPr>
          <w:p>
            <w:pPr>
              <w:autoSpaceDN w:val="0"/>
              <w:autoSpaceDE w:val="0"/>
              <w:widowControl/>
              <w:spacing w:line="199" w:lineRule="auto" w:before="238" w:after="0"/>
              <w:ind w:left="0" w:right="206" w:firstLine="0"/>
              <w:jc w:val="right"/>
            </w:pPr>
            <w:r>
              <w:rPr>
                <w:rFonts w:ascii="Calibri" w:hAnsi="Calibri" w:eastAsia="Calibri"/>
                <w:b w:val="0"/>
                <w:i w:val="0"/>
                <w:color w:val="000000"/>
                <w:sz w:val="16"/>
              </w:rPr>
              <w:t>1,988,448</w:t>
            </w:r>
          </w:p>
        </w:tc>
        <w:tc>
          <w:tcPr>
            <w:tcW w:type="dxa" w:w="1748"/>
            <w:tcBorders/>
            <w:tcMar>
              <w:start w:w="0" w:type="dxa"/>
              <w:end w:w="0" w:type="dxa"/>
            </w:tcMar>
          </w:tcPr>
          <w:p>
            <w:pPr>
              <w:autoSpaceDN w:val="0"/>
              <w:autoSpaceDE w:val="0"/>
              <w:widowControl/>
              <w:spacing w:line="199" w:lineRule="auto" w:before="238" w:after="0"/>
              <w:ind w:left="0" w:right="408" w:firstLine="0"/>
              <w:jc w:val="right"/>
            </w:pPr>
            <w:r>
              <w:rPr>
                <w:rFonts w:ascii="Calibri" w:hAnsi="Calibri" w:eastAsia="Calibri"/>
                <w:b w:val="0"/>
                <w:i w:val="0"/>
                <w:color w:val="000000"/>
                <w:sz w:val="16"/>
              </w:rPr>
              <w:t xml:space="preserve">579,624 </w:t>
            </w:r>
          </w:p>
        </w:tc>
        <w:tc>
          <w:tcPr>
            <w:tcW w:type="dxa" w:w="1080"/>
            <w:tcBorders/>
            <w:tcMar>
              <w:start w:w="0" w:type="dxa"/>
              <w:end w:w="0" w:type="dxa"/>
            </w:tcMar>
          </w:tcPr>
          <w:p>
            <w:pPr>
              <w:autoSpaceDN w:val="0"/>
              <w:autoSpaceDE w:val="0"/>
              <w:widowControl/>
              <w:spacing w:line="199" w:lineRule="auto" w:before="238" w:after="0"/>
              <w:ind w:left="0" w:right="78" w:firstLine="0"/>
              <w:jc w:val="right"/>
            </w:pPr>
            <w:r>
              <w:rPr>
                <w:rFonts w:ascii="Calibri" w:hAnsi="Calibri" w:eastAsia="Calibri"/>
                <w:b w:val="0"/>
                <w:i w:val="0"/>
                <w:color w:val="000000"/>
                <w:sz w:val="16"/>
              </w:rPr>
              <w:t>1,692,463</w:t>
            </w:r>
          </w:p>
        </w:tc>
      </w:tr>
      <w:tr>
        <w:trPr>
          <w:trHeight w:hRule="exact" w:val="234"/>
        </w:trPr>
        <w:tc>
          <w:tcPr>
            <w:tcW w:type="dxa" w:w="1840"/>
            <w:tcBorders>
              <w:bottom w:sz="4.0" w:val="single" w:color="#000000"/>
            </w:tcBorders>
            <w:tcMar>
              <w:start w:w="0" w:type="dxa"/>
              <w:end w:w="0" w:type="dxa"/>
            </w:tcMar>
          </w:tcPr>
          <w:p>
            <w:pPr>
              <w:autoSpaceDN w:val="0"/>
              <w:autoSpaceDE w:val="0"/>
              <w:widowControl/>
              <w:spacing w:line="160" w:lineRule="exact" w:before="42" w:after="0"/>
              <w:ind w:left="20" w:right="0" w:firstLine="0"/>
              <w:jc w:val="left"/>
            </w:pPr>
            <w:r>
              <w:rPr>
                <w:rFonts w:ascii="黑体" w:hAnsi="黑体" w:eastAsia="黑体"/>
                <w:b w:val="0"/>
                <w:i w:val="0"/>
                <w:color w:val="000000"/>
                <w:sz w:val="16"/>
              </w:rPr>
              <w:t>减：营业外支出</w:t>
            </w:r>
          </w:p>
        </w:tc>
        <w:tc>
          <w:tcPr>
            <w:tcW w:type="dxa" w:w="1482"/>
            <w:tcBorders>
              <w:bottom w:sz="4.0" w:val="single" w:color="#000000"/>
            </w:tcBorders>
            <w:tcMar>
              <w:start w:w="0" w:type="dxa"/>
              <w:end w:w="0" w:type="dxa"/>
            </w:tcMar>
          </w:tcPr>
          <w:p>
            <w:pPr>
              <w:autoSpaceDN w:val="0"/>
              <w:autoSpaceDE w:val="0"/>
              <w:widowControl/>
              <w:spacing w:line="178" w:lineRule="exact" w:before="42" w:after="0"/>
              <w:ind w:left="0" w:right="39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52 </w:t>
            </w:r>
          </w:p>
        </w:tc>
        <w:tc>
          <w:tcPr>
            <w:tcW w:type="dxa" w:w="1738"/>
            <w:tcBorders>
              <w:bottom w:sz="4.0" w:val="single" w:color="#000000"/>
            </w:tcBorders>
            <w:tcMar>
              <w:start w:w="0" w:type="dxa"/>
              <w:end w:w="0" w:type="dxa"/>
            </w:tcMar>
          </w:tcPr>
          <w:p>
            <w:pPr>
              <w:autoSpaceDN w:val="0"/>
              <w:autoSpaceDE w:val="0"/>
              <w:widowControl/>
              <w:spacing w:line="197" w:lineRule="auto" w:before="62" w:after="0"/>
              <w:ind w:left="0" w:right="348" w:firstLine="0"/>
              <w:jc w:val="right"/>
            </w:pPr>
            <w:r>
              <w:rPr>
                <w:rFonts w:ascii="Calibri" w:hAnsi="Calibri" w:eastAsia="Calibri"/>
                <w:b w:val="0"/>
                <w:i w:val="0"/>
                <w:color w:val="000000"/>
                <w:sz w:val="16"/>
              </w:rPr>
              <w:t xml:space="preserve">(4,122,162 ) </w:t>
            </w:r>
          </w:p>
        </w:tc>
        <w:tc>
          <w:tcPr>
            <w:tcW w:type="dxa" w:w="1232"/>
            <w:tcBorders>
              <w:bottom w:sz="4.0" w:val="single" w:color="#000000"/>
            </w:tcBorders>
            <w:tcMar>
              <w:start w:w="0" w:type="dxa"/>
              <w:end w:w="0" w:type="dxa"/>
            </w:tcMar>
          </w:tcPr>
          <w:p>
            <w:pPr>
              <w:autoSpaceDN w:val="0"/>
              <w:autoSpaceDE w:val="0"/>
              <w:widowControl/>
              <w:spacing w:line="197" w:lineRule="auto" w:before="62" w:after="0"/>
              <w:ind w:left="0" w:right="124" w:firstLine="0"/>
              <w:jc w:val="right"/>
            </w:pPr>
            <w:r>
              <w:rPr>
                <w:rFonts w:ascii="Calibri" w:hAnsi="Calibri" w:eastAsia="Calibri"/>
                <w:b w:val="0"/>
                <w:i w:val="0"/>
                <w:color w:val="000000"/>
                <w:sz w:val="16"/>
              </w:rPr>
              <w:t xml:space="preserve">(3,366,043) </w:t>
            </w:r>
          </w:p>
        </w:tc>
        <w:tc>
          <w:tcPr>
            <w:tcW w:type="dxa" w:w="1748"/>
            <w:tcBorders>
              <w:bottom w:sz="4.0" w:val="single" w:color="#000000"/>
            </w:tcBorders>
            <w:tcMar>
              <w:start w:w="0" w:type="dxa"/>
              <w:end w:w="0" w:type="dxa"/>
            </w:tcMar>
          </w:tcPr>
          <w:p>
            <w:pPr>
              <w:autoSpaceDN w:val="0"/>
              <w:autoSpaceDE w:val="0"/>
              <w:widowControl/>
              <w:spacing w:line="197" w:lineRule="auto" w:before="62" w:after="0"/>
              <w:ind w:left="0" w:right="356" w:firstLine="0"/>
              <w:jc w:val="right"/>
            </w:pPr>
            <w:r>
              <w:rPr>
                <w:rFonts w:ascii="Calibri" w:hAnsi="Calibri" w:eastAsia="Calibri"/>
                <w:b w:val="0"/>
                <w:i w:val="0"/>
                <w:color w:val="000000"/>
                <w:sz w:val="16"/>
              </w:rPr>
              <w:t xml:space="preserve">(2,650,613 ) </w:t>
            </w:r>
          </w:p>
        </w:tc>
        <w:tc>
          <w:tcPr>
            <w:tcW w:type="dxa" w:w="1080"/>
            <w:tcBorders>
              <w:bottom w:sz="4.0" w:val="single" w:color="#000000"/>
            </w:tcBorders>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 xml:space="preserve">(2,511,497) </w:t>
            </w:r>
          </w:p>
        </w:tc>
      </w:tr>
      <w:tr>
        <w:trPr>
          <w:trHeight w:hRule="exact" w:val="386"/>
        </w:trPr>
        <w:tc>
          <w:tcPr>
            <w:tcW w:type="dxa" w:w="1840"/>
            <w:tcBorders>
              <w:top w:sz="4.0" w:val="single" w:color="#000000"/>
            </w:tcBorders>
            <w:tcMar>
              <w:start w:w="0" w:type="dxa"/>
              <w:end w:w="0" w:type="dxa"/>
            </w:tcMar>
          </w:tcPr>
          <w:p>
            <w:pPr>
              <w:autoSpaceDN w:val="0"/>
              <w:autoSpaceDE w:val="0"/>
              <w:widowControl/>
              <w:spacing w:line="162" w:lineRule="exact" w:before="216" w:after="0"/>
              <w:ind w:left="20" w:right="0" w:firstLine="0"/>
              <w:jc w:val="left"/>
            </w:pPr>
            <w:r>
              <w:rPr>
                <w:rFonts w:ascii="黑体" w:hAnsi="黑体" w:eastAsia="黑体"/>
                <w:b w:val="0"/>
                <w:i w:val="0"/>
                <w:color w:val="000000"/>
                <w:sz w:val="16"/>
              </w:rPr>
              <w:t>利润总额</w:t>
            </w:r>
          </w:p>
        </w:tc>
        <w:tc>
          <w:tcPr>
            <w:tcW w:type="dxa" w:w="148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78" w:lineRule="exact" w:before="620" w:after="0"/>
              <w:ind w:left="0" w:right="392"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53 </w:t>
            </w:r>
          </w:p>
        </w:tc>
        <w:tc>
          <w:tcPr>
            <w:tcW w:type="dxa" w:w="1738"/>
            <w:tcBorders>
              <w:top w:sz="4.0" w:val="single" w:color="#000000"/>
            </w:tcBorders>
            <w:tcMar>
              <w:start w:w="0" w:type="dxa"/>
              <w:end w:w="0" w:type="dxa"/>
            </w:tcMar>
          </w:tcPr>
          <w:p>
            <w:pPr>
              <w:autoSpaceDN w:val="0"/>
              <w:autoSpaceDE w:val="0"/>
              <w:widowControl/>
              <w:spacing w:line="197" w:lineRule="auto" w:before="222" w:after="0"/>
              <w:ind w:left="0" w:right="400" w:firstLine="0"/>
              <w:jc w:val="right"/>
            </w:pPr>
            <w:r>
              <w:rPr>
                <w:rFonts w:ascii="Calibri" w:hAnsi="Calibri" w:eastAsia="Calibri"/>
                <w:b w:val="0"/>
                <w:i w:val="0"/>
                <w:color w:val="000000"/>
                <w:sz w:val="16"/>
              </w:rPr>
              <w:t xml:space="preserve">825,119,488 </w:t>
            </w:r>
          </w:p>
        </w:tc>
        <w:tc>
          <w:tcPr>
            <w:tcW w:type="dxa" w:w="1232"/>
            <w:tcBorders>
              <w:top w:sz="4.0" w:val="single" w:color="#000000"/>
            </w:tcBorders>
            <w:tcMar>
              <w:start w:w="0" w:type="dxa"/>
              <w:end w:w="0" w:type="dxa"/>
            </w:tcMar>
          </w:tcPr>
          <w:p>
            <w:pPr>
              <w:autoSpaceDN w:val="0"/>
              <w:autoSpaceDE w:val="0"/>
              <w:widowControl/>
              <w:spacing w:line="197" w:lineRule="auto" w:before="222" w:after="0"/>
              <w:ind w:left="0" w:right="0" w:firstLine="0"/>
              <w:jc w:val="center"/>
            </w:pPr>
            <w:r>
              <w:rPr>
                <w:rFonts w:ascii="Calibri" w:hAnsi="Calibri" w:eastAsia="Calibri"/>
                <w:b w:val="0"/>
                <w:i w:val="0"/>
                <w:color w:val="000000"/>
                <w:sz w:val="16"/>
              </w:rPr>
              <w:t>767,807,998</w:t>
            </w:r>
          </w:p>
        </w:tc>
        <w:tc>
          <w:tcPr>
            <w:tcW w:type="dxa" w:w="1748"/>
            <w:tcBorders>
              <w:top w:sz="4.0" w:val="single" w:color="#000000"/>
            </w:tcBorders>
            <w:tcMar>
              <w:start w:w="0" w:type="dxa"/>
              <w:end w:w="0" w:type="dxa"/>
            </w:tcMar>
          </w:tcPr>
          <w:p>
            <w:pPr>
              <w:autoSpaceDN w:val="0"/>
              <w:autoSpaceDE w:val="0"/>
              <w:widowControl/>
              <w:spacing w:line="197" w:lineRule="auto" w:before="222" w:after="0"/>
              <w:ind w:left="0" w:right="408" w:firstLine="0"/>
              <w:jc w:val="right"/>
            </w:pPr>
            <w:r>
              <w:rPr>
                <w:rFonts w:ascii="Calibri" w:hAnsi="Calibri" w:eastAsia="Calibri"/>
                <w:b w:val="0"/>
                <w:i w:val="0"/>
                <w:color w:val="000000"/>
                <w:sz w:val="16"/>
              </w:rPr>
              <w:t xml:space="preserve">674,952,935 </w:t>
            </w:r>
          </w:p>
        </w:tc>
        <w:tc>
          <w:tcPr>
            <w:tcW w:type="dxa" w:w="1080"/>
            <w:tcBorders>
              <w:top w:sz="4.0" w:val="single" w:color="#000000"/>
            </w:tcBorders>
            <w:tcMar>
              <w:start w:w="0" w:type="dxa"/>
              <w:end w:w="0" w:type="dxa"/>
            </w:tcMar>
          </w:tcPr>
          <w:p>
            <w:pPr>
              <w:autoSpaceDN w:val="0"/>
              <w:autoSpaceDE w:val="0"/>
              <w:widowControl/>
              <w:spacing w:line="197" w:lineRule="auto" w:before="222" w:after="0"/>
              <w:ind w:left="192" w:right="0" w:firstLine="0"/>
              <w:jc w:val="left"/>
            </w:pPr>
            <w:r>
              <w:rPr>
                <w:rFonts w:ascii="Calibri" w:hAnsi="Calibri" w:eastAsia="Calibri"/>
                <w:b w:val="0"/>
                <w:i w:val="0"/>
                <w:color w:val="000000"/>
                <w:sz w:val="16"/>
              </w:rPr>
              <w:t>613,474,113</w:t>
            </w:r>
          </w:p>
        </w:tc>
      </w:tr>
      <w:tr>
        <w:trPr>
          <w:trHeight w:hRule="exact" w:val="426"/>
        </w:trPr>
        <w:tc>
          <w:tcPr>
            <w:tcW w:type="dxa" w:w="1840"/>
            <w:tcBorders>
              <w:bottom w:sz="3.2000000000000455" w:val="single" w:color="#000000"/>
            </w:tcBorders>
            <w:tcMar>
              <w:start w:w="0" w:type="dxa"/>
              <w:end w:w="0" w:type="dxa"/>
            </w:tcMar>
          </w:tcPr>
          <w:p>
            <w:pPr>
              <w:autoSpaceDN w:val="0"/>
              <w:autoSpaceDE w:val="0"/>
              <w:widowControl/>
              <w:spacing w:line="160" w:lineRule="exact" w:before="238" w:after="0"/>
              <w:ind w:left="20" w:right="0" w:firstLine="0"/>
              <w:jc w:val="left"/>
            </w:pPr>
            <w:r>
              <w:rPr>
                <w:rFonts w:ascii="黑体" w:hAnsi="黑体" w:eastAsia="黑体"/>
                <w:b w:val="0"/>
                <w:i w:val="0"/>
                <w:color w:val="000000"/>
                <w:sz w:val="16"/>
              </w:rPr>
              <w:t>减：所得税费用</w:t>
            </w:r>
          </w:p>
        </w:tc>
        <w:tc>
          <w:tcPr>
            <w:tcW w:type="dxa" w:w="1522"/>
            <w:vMerge/>
            <w:tcBorders>
              <w:top w:sz="4.0" w:val="single" w:color="#000000"/>
              <w:bottom w:sz="3.2000000000000455" w:val="single" w:color="#000000"/>
            </w:tcBorders>
          </w:tcPr>
          <w:p/>
        </w:tc>
        <w:tc>
          <w:tcPr>
            <w:tcW w:type="dxa" w:w="1738"/>
            <w:tcBorders>
              <w:bottom w:sz="3.2000000000000455" w:val="single" w:color="#000000"/>
            </w:tcBorders>
            <w:tcMar>
              <w:start w:w="0" w:type="dxa"/>
              <w:end w:w="0" w:type="dxa"/>
            </w:tcMar>
          </w:tcPr>
          <w:p>
            <w:pPr>
              <w:autoSpaceDN w:val="0"/>
              <w:autoSpaceDE w:val="0"/>
              <w:widowControl/>
              <w:spacing w:line="197" w:lineRule="auto" w:before="258" w:after="0"/>
              <w:ind w:left="0" w:right="348" w:firstLine="0"/>
              <w:jc w:val="right"/>
            </w:pPr>
            <w:r>
              <w:rPr>
                <w:rFonts w:ascii="Calibri" w:hAnsi="Calibri" w:eastAsia="Calibri"/>
                <w:b w:val="0"/>
                <w:i w:val="0"/>
                <w:color w:val="000000"/>
                <w:sz w:val="16"/>
              </w:rPr>
              <w:t xml:space="preserve">(134,385,858 ) </w:t>
            </w:r>
          </w:p>
        </w:tc>
        <w:tc>
          <w:tcPr>
            <w:tcW w:type="dxa" w:w="1232"/>
            <w:tcBorders>
              <w:bottom w:sz="3.2000000000000455" w:val="single" w:color="#000000"/>
            </w:tcBorders>
            <w:tcMar>
              <w:start w:w="0" w:type="dxa"/>
              <w:end w:w="0" w:type="dxa"/>
            </w:tcMar>
          </w:tcPr>
          <w:p>
            <w:pPr>
              <w:autoSpaceDN w:val="0"/>
              <w:autoSpaceDE w:val="0"/>
              <w:widowControl/>
              <w:spacing w:line="197" w:lineRule="auto" w:before="258" w:after="0"/>
              <w:ind w:left="0" w:right="0" w:firstLine="0"/>
              <w:jc w:val="center"/>
            </w:pPr>
            <w:r>
              <w:rPr>
                <w:rFonts w:ascii="Calibri" w:hAnsi="Calibri" w:eastAsia="Calibri"/>
                <w:b w:val="0"/>
                <w:i w:val="0"/>
                <w:color w:val="000000"/>
                <w:sz w:val="16"/>
              </w:rPr>
              <w:t xml:space="preserve">(175,783,812) </w:t>
            </w:r>
          </w:p>
        </w:tc>
        <w:tc>
          <w:tcPr>
            <w:tcW w:type="dxa" w:w="1748"/>
            <w:tcBorders>
              <w:bottom w:sz="3.2000000000000455" w:val="single" w:color="#000000"/>
            </w:tcBorders>
            <w:tcMar>
              <w:start w:w="0" w:type="dxa"/>
              <w:end w:w="0" w:type="dxa"/>
            </w:tcMar>
          </w:tcPr>
          <w:p>
            <w:pPr>
              <w:autoSpaceDN w:val="0"/>
              <w:autoSpaceDE w:val="0"/>
              <w:widowControl/>
              <w:spacing w:line="197" w:lineRule="auto" w:before="258" w:after="0"/>
              <w:ind w:left="0" w:right="356" w:firstLine="0"/>
              <w:jc w:val="right"/>
            </w:pPr>
            <w:r>
              <w:rPr>
                <w:rFonts w:ascii="Calibri" w:hAnsi="Calibri" w:eastAsia="Calibri"/>
                <w:b w:val="0"/>
                <w:i w:val="0"/>
                <w:color w:val="000000"/>
                <w:sz w:val="16"/>
              </w:rPr>
              <w:t xml:space="preserve">(54,785,479 ) </w:t>
            </w:r>
          </w:p>
        </w:tc>
        <w:tc>
          <w:tcPr>
            <w:tcW w:type="dxa" w:w="1080"/>
            <w:tcBorders>
              <w:bottom w:sz="3.2000000000000455" w:val="single" w:color="#000000"/>
            </w:tcBorders>
            <w:tcMar>
              <w:start w:w="0" w:type="dxa"/>
              <w:end w:w="0" w:type="dxa"/>
            </w:tcMar>
          </w:tcPr>
          <w:p>
            <w:pPr>
              <w:autoSpaceDN w:val="0"/>
              <w:autoSpaceDE w:val="0"/>
              <w:widowControl/>
              <w:spacing w:line="197" w:lineRule="auto" w:before="258" w:after="0"/>
              <w:ind w:left="224" w:right="0" w:firstLine="0"/>
              <w:jc w:val="left"/>
            </w:pPr>
            <w:r>
              <w:rPr>
                <w:rFonts w:ascii="Calibri" w:hAnsi="Calibri" w:eastAsia="Calibri"/>
                <w:b w:val="0"/>
                <w:i w:val="0"/>
                <w:color w:val="000000"/>
                <w:sz w:val="16"/>
              </w:rPr>
              <w:t xml:space="preserve">(95,508,651) </w:t>
            </w:r>
          </w:p>
        </w:tc>
      </w:tr>
      <w:tr>
        <w:trPr>
          <w:trHeight w:hRule="exact" w:val="412"/>
        </w:trPr>
        <w:tc>
          <w:tcPr>
            <w:tcW w:type="dxa" w:w="1840"/>
            <w:tcBorders>
              <w:top w:sz="3.2000000000000455" w:val="single" w:color="#000000"/>
              <w:bottom w:sz="4.0" w:val="single" w:color="#000000"/>
            </w:tcBorders>
            <w:tcMar>
              <w:start w:w="0" w:type="dxa"/>
              <w:end w:w="0" w:type="dxa"/>
            </w:tcMar>
          </w:tcPr>
          <w:p>
            <w:pPr>
              <w:autoSpaceDN w:val="0"/>
              <w:autoSpaceDE w:val="0"/>
              <w:widowControl/>
              <w:spacing w:line="162" w:lineRule="exact" w:before="220" w:after="0"/>
              <w:ind w:left="20" w:right="0" w:firstLine="0"/>
              <w:jc w:val="left"/>
            </w:pPr>
            <w:r>
              <w:rPr>
                <w:rFonts w:ascii="黑体" w:hAnsi="黑体" w:eastAsia="黑体"/>
                <w:b w:val="0"/>
                <w:i w:val="0"/>
                <w:color w:val="000000"/>
                <w:sz w:val="16"/>
              </w:rPr>
              <w:t>净利润</w:t>
            </w:r>
          </w:p>
        </w:tc>
        <w:tc>
          <w:tcPr>
            <w:tcW w:type="dxa" w:w="1482"/>
            <w:tcBorders>
              <w:top w:sz="3.2000000000000455" w:val="single" w:color="#000000"/>
              <w:bottom w:sz="4.0" w:val="single" w:color="#000000"/>
            </w:tcBorders>
            <w:tcMar>
              <w:start w:w="0" w:type="dxa"/>
              <w:end w:w="0" w:type="dxa"/>
            </w:tcMar>
          </w:tcPr>
          <w:p/>
        </w:tc>
        <w:tc>
          <w:tcPr>
            <w:tcW w:type="dxa" w:w="1738"/>
            <w:tcBorders>
              <w:top w:sz="3.2000000000000455" w:val="single" w:color="#000000"/>
              <w:bottom w:sz="4.0" w:val="single" w:color="#000000"/>
            </w:tcBorders>
            <w:tcMar>
              <w:start w:w="0" w:type="dxa"/>
              <w:end w:w="0" w:type="dxa"/>
            </w:tcMar>
          </w:tcPr>
          <w:p>
            <w:pPr>
              <w:autoSpaceDN w:val="0"/>
              <w:autoSpaceDE w:val="0"/>
              <w:widowControl/>
              <w:spacing w:line="199" w:lineRule="auto" w:before="240" w:after="0"/>
              <w:ind w:left="0" w:right="400" w:firstLine="0"/>
              <w:jc w:val="right"/>
            </w:pPr>
            <w:r>
              <w:rPr>
                <w:rFonts w:ascii="Calibri" w:hAnsi="Calibri" w:eastAsia="Calibri"/>
                <w:b w:val="0"/>
                <w:i w:val="0"/>
                <w:color w:val="000000"/>
                <w:sz w:val="16"/>
              </w:rPr>
              <w:t xml:space="preserve">690,733,630 </w:t>
            </w:r>
          </w:p>
        </w:tc>
        <w:tc>
          <w:tcPr>
            <w:tcW w:type="dxa" w:w="1232"/>
            <w:tcBorders>
              <w:top w:sz="3.2000000000000455" w:val="single" w:color="#000000"/>
              <w:bottom w:sz="4.0" w:val="single" w:color="#000000"/>
            </w:tcBorders>
            <w:tcMar>
              <w:start w:w="0" w:type="dxa"/>
              <w:end w:w="0" w:type="dxa"/>
            </w:tcMar>
          </w:tcPr>
          <w:p>
            <w:pPr>
              <w:autoSpaceDN w:val="0"/>
              <w:autoSpaceDE w:val="0"/>
              <w:widowControl/>
              <w:spacing w:line="199" w:lineRule="auto" w:before="240" w:after="0"/>
              <w:ind w:left="0" w:right="0" w:firstLine="0"/>
              <w:jc w:val="center"/>
            </w:pPr>
            <w:r>
              <w:rPr>
                <w:rFonts w:ascii="Calibri" w:hAnsi="Calibri" w:eastAsia="Calibri"/>
                <w:b w:val="0"/>
                <w:i w:val="0"/>
                <w:color w:val="000000"/>
                <w:sz w:val="16"/>
              </w:rPr>
              <w:t>592,024,186</w:t>
            </w:r>
          </w:p>
        </w:tc>
        <w:tc>
          <w:tcPr>
            <w:tcW w:type="dxa" w:w="1748"/>
            <w:tcBorders>
              <w:top w:sz="3.2000000000000455" w:val="single" w:color="#000000"/>
              <w:bottom w:sz="4.0" w:val="single" w:color="#000000"/>
            </w:tcBorders>
            <w:tcMar>
              <w:start w:w="0" w:type="dxa"/>
              <w:end w:w="0" w:type="dxa"/>
            </w:tcMar>
          </w:tcPr>
          <w:p>
            <w:pPr>
              <w:autoSpaceDN w:val="0"/>
              <w:autoSpaceDE w:val="0"/>
              <w:widowControl/>
              <w:spacing w:line="199" w:lineRule="auto" w:before="240" w:after="0"/>
              <w:ind w:left="0" w:right="408" w:firstLine="0"/>
              <w:jc w:val="right"/>
            </w:pPr>
            <w:r>
              <w:rPr>
                <w:rFonts w:ascii="Calibri" w:hAnsi="Calibri" w:eastAsia="Calibri"/>
                <w:b w:val="0"/>
                <w:i w:val="0"/>
                <w:color w:val="000000"/>
                <w:sz w:val="16"/>
              </w:rPr>
              <w:t xml:space="preserve">620,167,456 </w:t>
            </w:r>
          </w:p>
        </w:tc>
        <w:tc>
          <w:tcPr>
            <w:tcW w:type="dxa" w:w="1080"/>
            <w:tcBorders>
              <w:top w:sz="3.2000000000000455" w:val="single" w:color="#000000"/>
              <w:bottom w:sz="4.0" w:val="single" w:color="#000000"/>
            </w:tcBorders>
            <w:tcMar>
              <w:start w:w="0" w:type="dxa"/>
              <w:end w:w="0" w:type="dxa"/>
            </w:tcMar>
          </w:tcPr>
          <w:p>
            <w:pPr>
              <w:autoSpaceDN w:val="0"/>
              <w:autoSpaceDE w:val="0"/>
              <w:widowControl/>
              <w:spacing w:line="199" w:lineRule="auto" w:before="240" w:after="0"/>
              <w:ind w:left="192" w:right="0" w:firstLine="0"/>
              <w:jc w:val="left"/>
            </w:pPr>
            <w:r>
              <w:rPr>
                <w:rFonts w:ascii="Calibri" w:hAnsi="Calibri" w:eastAsia="Calibri"/>
                <w:b w:val="0"/>
                <w:i w:val="0"/>
                <w:color w:val="000000"/>
                <w:sz w:val="16"/>
              </w:rPr>
              <w:t>517,965,462</w:t>
            </w:r>
          </w:p>
        </w:tc>
      </w:tr>
      <w:tr>
        <w:trPr>
          <w:trHeight w:hRule="exact" w:val="54"/>
        </w:trPr>
        <w:tc>
          <w:tcPr>
            <w:tcW w:type="dxa" w:w="1840"/>
            <w:tcBorders>
              <w:top w:sz="4.0" w:val="single" w:color="#000000"/>
            </w:tcBorders>
            <w:tcMar>
              <w:start w:w="0" w:type="dxa"/>
              <w:end w:w="0" w:type="dxa"/>
            </w:tcMar>
          </w:tcPr>
          <w:p/>
        </w:tc>
        <w:tc>
          <w:tcPr>
            <w:tcW w:type="dxa" w:w="1482"/>
            <w:tcBorders>
              <w:top w:sz="4.0" w:val="single" w:color="#000000"/>
            </w:tcBorders>
            <w:tcMar>
              <w:start w:w="0" w:type="dxa"/>
              <w:end w:w="0" w:type="dxa"/>
            </w:tcMar>
          </w:tcPr>
          <w:p/>
        </w:tc>
        <w:tc>
          <w:tcPr>
            <w:tcW w:type="dxa" w:w="1738"/>
            <w:tcBorders>
              <w:top w:sz="4.0" w:val="single" w:color="#000000"/>
            </w:tcBorders>
            <w:tcMar>
              <w:start w:w="0" w:type="dxa"/>
              <w:end w:w="0" w:type="dxa"/>
            </w:tcMar>
          </w:tcPr>
          <w:p/>
        </w:tc>
        <w:tc>
          <w:tcPr>
            <w:tcW w:type="dxa" w:w="1232"/>
            <w:tcBorders>
              <w:top w:sz="4.0" w:val="single" w:color="#000000"/>
            </w:tcBorders>
            <w:tcMar>
              <w:start w:w="0" w:type="dxa"/>
              <w:end w:w="0" w:type="dxa"/>
            </w:tcMar>
          </w:tcPr>
          <w:p/>
        </w:tc>
        <w:tc>
          <w:tcPr>
            <w:tcW w:type="dxa" w:w="1748"/>
            <w:tcBorders>
              <w:top w:sz="4.0" w:val="single" w:color="#000000"/>
            </w:tcBorders>
            <w:tcMar>
              <w:start w:w="0" w:type="dxa"/>
              <w:end w:w="0" w:type="dxa"/>
            </w:tcMar>
          </w:tcPr>
          <w:p/>
        </w:tc>
        <w:tc>
          <w:tcPr>
            <w:tcW w:type="dxa" w:w="1080"/>
            <w:tcBorders>
              <w:top w:sz="4.0" w:val="single" w:color="#000000"/>
            </w:tcBorders>
            <w:tcMar>
              <w:start w:w="0" w:type="dxa"/>
              <w:end w:w="0" w:type="dxa"/>
            </w:tcMar>
          </w:tcPr>
          <w:p/>
        </w:tc>
      </w:tr>
    </w:tbl>
    <w:p>
      <w:pPr>
        <w:autoSpaceDN w:val="0"/>
        <w:autoSpaceDE w:val="0"/>
        <w:widowControl/>
        <w:spacing w:line="162" w:lineRule="exact" w:before="190" w:after="24"/>
        <w:ind w:left="8" w:right="0" w:firstLine="0"/>
        <w:jc w:val="left"/>
      </w:pPr>
      <w:r>
        <w:rPr>
          <w:rFonts w:ascii="黑体" w:hAnsi="黑体" w:eastAsia="黑体"/>
          <w:b w:val="0"/>
          <w:i w:val="0"/>
          <w:color w:val="000000"/>
          <w:sz w:val="16"/>
        </w:rPr>
        <w:t>按经营持续性分类：</w:t>
      </w:r>
    </w:p>
    <w:tbl>
      <w:tblPr>
        <w:tblW w:type="auto" w:w="0"/>
        <w:tblLayout w:type="fixed"/>
        <w:tblLook w:firstColumn="1" w:firstRow="1" w:lastColumn="0" w:lastRow="0" w:noHBand="0" w:noVBand="1" w:val="04A0"/>
        <w:tblInd w:w="88.00000000000011" w:type="dxa"/>
      </w:tblPr>
      <w:tblGrid>
        <w:gridCol w:w="1827"/>
        <w:gridCol w:w="1827"/>
        <w:gridCol w:w="1827"/>
        <w:gridCol w:w="1827"/>
        <w:gridCol w:w="1827"/>
      </w:tblGrid>
      <w:tr>
        <w:trPr>
          <w:trHeight w:hRule="exact" w:val="264"/>
        </w:trPr>
        <w:tc>
          <w:tcPr>
            <w:tcW w:type="dxa" w:w="2460"/>
            <w:tcBorders/>
            <w:tcMar>
              <w:start w:w="0" w:type="dxa"/>
              <w:end w:w="0" w:type="dxa"/>
            </w:tcMar>
          </w:tcPr>
          <w:p>
            <w:pPr>
              <w:autoSpaceDN w:val="0"/>
              <w:autoSpaceDE w:val="0"/>
              <w:widowControl/>
              <w:spacing w:line="160" w:lineRule="exact" w:before="24" w:after="0"/>
              <w:ind w:left="88" w:right="0" w:firstLine="0"/>
              <w:jc w:val="left"/>
            </w:pPr>
            <w:r>
              <w:rPr>
                <w:rFonts w:ascii="黑体" w:hAnsi="黑体" w:eastAsia="黑体"/>
                <w:b w:val="0"/>
                <w:i w:val="0"/>
                <w:color w:val="000000"/>
                <w:sz w:val="16"/>
              </w:rPr>
              <w:t>持续经营净利润</w:t>
            </w:r>
          </w:p>
        </w:tc>
        <w:tc>
          <w:tcPr>
            <w:tcW w:type="dxa" w:w="2400"/>
            <w:tcBorders/>
            <w:tcMar>
              <w:start w:w="0" w:type="dxa"/>
              <w:end w:w="0" w:type="dxa"/>
            </w:tcMar>
          </w:tcPr>
          <w:p>
            <w:pPr>
              <w:autoSpaceDN w:val="0"/>
              <w:autoSpaceDE w:val="0"/>
              <w:widowControl/>
              <w:spacing w:line="197" w:lineRule="auto" w:before="44" w:after="0"/>
              <w:ind w:left="0" w:right="300" w:firstLine="0"/>
              <w:jc w:val="right"/>
            </w:pPr>
            <w:r>
              <w:rPr>
                <w:rFonts w:ascii="Calibri" w:hAnsi="Calibri" w:eastAsia="Calibri"/>
                <w:b w:val="0"/>
                <w:i w:val="0"/>
                <w:color w:val="000000"/>
                <w:sz w:val="16"/>
              </w:rPr>
              <w:t xml:space="preserve">690,733,630 </w:t>
            </w:r>
          </w:p>
        </w:tc>
        <w:tc>
          <w:tcPr>
            <w:tcW w:type="dxa" w:w="1460"/>
            <w:tcBorders/>
            <w:tcMar>
              <w:start w:w="0" w:type="dxa"/>
              <w:end w:w="0" w:type="dxa"/>
            </w:tcMar>
          </w:tcPr>
          <w:p>
            <w:pPr>
              <w:autoSpaceDN w:val="0"/>
              <w:autoSpaceDE w:val="0"/>
              <w:widowControl/>
              <w:spacing w:line="197" w:lineRule="auto" w:before="44" w:after="0"/>
              <w:ind w:left="0" w:right="0" w:firstLine="0"/>
              <w:jc w:val="center"/>
            </w:pPr>
            <w:r>
              <w:rPr>
                <w:rFonts w:ascii="Calibri" w:hAnsi="Calibri" w:eastAsia="Calibri"/>
                <w:b w:val="0"/>
                <w:i w:val="0"/>
                <w:color w:val="000000"/>
                <w:sz w:val="16"/>
              </w:rPr>
              <w:t>592,024,186</w:t>
            </w:r>
          </w:p>
        </w:tc>
        <w:tc>
          <w:tcPr>
            <w:tcW w:type="dxa" w:w="1500"/>
            <w:tcBorders/>
            <w:tcMar>
              <w:start w:w="0" w:type="dxa"/>
              <w:end w:w="0" w:type="dxa"/>
            </w:tcMar>
          </w:tcPr>
          <w:p>
            <w:pPr>
              <w:autoSpaceDN w:val="0"/>
              <w:autoSpaceDE w:val="0"/>
              <w:widowControl/>
              <w:spacing w:line="197" w:lineRule="auto" w:before="44" w:after="0"/>
              <w:ind w:left="368" w:right="0" w:firstLine="0"/>
              <w:jc w:val="left"/>
            </w:pPr>
            <w:r>
              <w:rPr>
                <w:rFonts w:ascii="Calibri" w:hAnsi="Calibri" w:eastAsia="Calibri"/>
                <w:b w:val="0"/>
                <w:i w:val="0"/>
                <w:color w:val="000000"/>
                <w:sz w:val="16"/>
              </w:rPr>
              <w:t xml:space="preserve">620,167,456 </w:t>
            </w:r>
          </w:p>
        </w:tc>
        <w:tc>
          <w:tcPr>
            <w:tcW w:type="dxa" w:w="1160"/>
            <w:tcBorders/>
            <w:tcMar>
              <w:start w:w="0" w:type="dxa"/>
              <w:end w:w="0" w:type="dxa"/>
            </w:tcMar>
          </w:tcPr>
          <w:p>
            <w:pPr>
              <w:autoSpaceDN w:val="0"/>
              <w:autoSpaceDE w:val="0"/>
              <w:widowControl/>
              <w:spacing w:line="197" w:lineRule="auto" w:before="44" w:after="0"/>
              <w:ind w:left="0" w:right="36" w:firstLine="0"/>
              <w:jc w:val="right"/>
            </w:pPr>
            <w:r>
              <w:rPr>
                <w:rFonts w:ascii="Calibri" w:hAnsi="Calibri" w:eastAsia="Calibri"/>
                <w:b w:val="0"/>
                <w:i w:val="0"/>
                <w:color w:val="000000"/>
                <w:sz w:val="16"/>
              </w:rPr>
              <w:t>517,965,462</w:t>
            </w:r>
          </w:p>
        </w:tc>
      </w:tr>
    </w:tbl>
    <w:p>
      <w:pPr>
        <w:autoSpaceDN w:val="0"/>
        <w:autoSpaceDE w:val="0"/>
        <w:widowControl/>
        <w:spacing w:line="162" w:lineRule="exact" w:before="162" w:after="24"/>
        <w:ind w:left="8" w:right="0" w:firstLine="0"/>
        <w:jc w:val="left"/>
      </w:pPr>
      <w:r>
        <w:rPr>
          <w:rFonts w:ascii="黑体" w:hAnsi="黑体" w:eastAsia="黑体"/>
          <w:b w:val="0"/>
          <w:i w:val="0"/>
          <w:color w:val="000000"/>
          <w:sz w:val="16"/>
        </w:rPr>
        <w:t>按所有权归属分类：</w:t>
      </w:r>
    </w:p>
    <w:tbl>
      <w:tblPr>
        <w:tblW w:type="auto" w:w="0"/>
        <w:tblLayout w:type="fixed"/>
        <w:tblLook w:firstColumn="1" w:firstRow="1" w:lastColumn="0" w:lastRow="0" w:noHBand="0" w:noVBand="1" w:val="04A0"/>
        <w:tblInd w:w="88.00000000000011" w:type="dxa"/>
      </w:tblPr>
      <w:tblGrid>
        <w:gridCol w:w="1827"/>
        <w:gridCol w:w="1827"/>
        <w:gridCol w:w="1827"/>
        <w:gridCol w:w="1827"/>
        <w:gridCol w:w="1827"/>
      </w:tblGrid>
      <w:tr>
        <w:trPr>
          <w:trHeight w:hRule="exact" w:val="221"/>
        </w:trPr>
        <w:tc>
          <w:tcPr>
            <w:tcW w:type="dxa" w:w="2860"/>
            <w:tcBorders/>
            <w:tcMar>
              <w:start w:w="0" w:type="dxa"/>
              <w:end w:w="0" w:type="dxa"/>
            </w:tcMar>
          </w:tcPr>
          <w:p>
            <w:pPr>
              <w:autoSpaceDN w:val="0"/>
              <w:autoSpaceDE w:val="0"/>
              <w:widowControl/>
              <w:spacing w:line="160" w:lineRule="exact" w:before="22" w:after="0"/>
              <w:ind w:left="88" w:right="0" w:firstLine="0"/>
              <w:jc w:val="left"/>
            </w:pPr>
            <w:r>
              <w:rPr>
                <w:rFonts w:ascii="黑体" w:hAnsi="黑体" w:eastAsia="黑体"/>
                <w:b w:val="0"/>
                <w:i w:val="0"/>
                <w:color w:val="000000"/>
                <w:sz w:val="16"/>
              </w:rPr>
              <w:t>归属于母公司股东的净利润</w:t>
            </w:r>
          </w:p>
        </w:tc>
        <w:tc>
          <w:tcPr>
            <w:tcW w:type="dxa" w:w="2020"/>
            <w:tcBorders/>
            <w:tcMar>
              <w:start w:w="0" w:type="dxa"/>
              <w:end w:w="0" w:type="dxa"/>
            </w:tcMar>
          </w:tcPr>
          <w:p>
            <w:pPr>
              <w:autoSpaceDN w:val="0"/>
              <w:autoSpaceDE w:val="0"/>
              <w:widowControl/>
              <w:spacing w:line="197" w:lineRule="auto" w:before="42" w:after="0"/>
              <w:ind w:left="0" w:right="320" w:firstLine="0"/>
              <w:jc w:val="right"/>
            </w:pPr>
            <w:r>
              <w:rPr>
                <w:rFonts w:ascii="Calibri" w:hAnsi="Calibri" w:eastAsia="Calibri"/>
                <w:b w:val="0"/>
                <w:i w:val="0"/>
                <w:color w:val="000000"/>
                <w:sz w:val="16"/>
              </w:rPr>
              <w:t xml:space="preserve">711,831,847 </w:t>
            </w:r>
          </w:p>
        </w:tc>
        <w:tc>
          <w:tcPr>
            <w:tcW w:type="dxa" w:w="148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619,761,504</w:t>
            </w:r>
          </w:p>
        </w:tc>
        <w:tc>
          <w:tcPr>
            <w:tcW w:type="dxa" w:w="1480"/>
            <w:tcBorders/>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 xml:space="preserve">620,167,456 </w:t>
            </w:r>
          </w:p>
        </w:tc>
        <w:tc>
          <w:tcPr>
            <w:tcW w:type="dxa" w:w="1140"/>
            <w:tcBorders/>
            <w:tcMar>
              <w:start w:w="0" w:type="dxa"/>
              <w:end w:w="0" w:type="dxa"/>
            </w:tcMar>
          </w:tcPr>
          <w:p>
            <w:pPr>
              <w:autoSpaceDN w:val="0"/>
              <w:autoSpaceDE w:val="0"/>
              <w:widowControl/>
              <w:spacing w:line="197" w:lineRule="auto" w:before="42" w:after="0"/>
              <w:ind w:left="0" w:right="36" w:firstLine="0"/>
              <w:jc w:val="right"/>
            </w:pPr>
            <w:r>
              <w:rPr>
                <w:rFonts w:ascii="Calibri" w:hAnsi="Calibri" w:eastAsia="Calibri"/>
                <w:b w:val="0"/>
                <w:i w:val="0"/>
                <w:color w:val="000000"/>
                <w:sz w:val="16"/>
              </w:rPr>
              <w:t>517,965,462</w:t>
            </w:r>
          </w:p>
        </w:tc>
      </w:tr>
      <w:tr>
        <w:trPr>
          <w:trHeight w:hRule="exact" w:val="249"/>
        </w:trPr>
        <w:tc>
          <w:tcPr>
            <w:tcW w:type="dxa" w:w="2860"/>
            <w:tcBorders/>
            <w:tcMar>
              <w:start w:w="0" w:type="dxa"/>
              <w:end w:w="0" w:type="dxa"/>
            </w:tcMar>
          </w:tcPr>
          <w:p>
            <w:pPr>
              <w:autoSpaceDN w:val="0"/>
              <w:autoSpaceDE w:val="0"/>
              <w:widowControl/>
              <w:spacing w:line="160" w:lineRule="exact" w:before="6" w:after="0"/>
              <w:ind w:left="88" w:right="0" w:firstLine="0"/>
              <w:jc w:val="left"/>
            </w:pPr>
            <w:r>
              <w:rPr>
                <w:rFonts w:ascii="黑体" w:hAnsi="黑体" w:eastAsia="黑体"/>
                <w:b w:val="0"/>
                <w:i w:val="0"/>
                <w:color w:val="000000"/>
                <w:sz w:val="16"/>
              </w:rPr>
              <w:t>少数股东损益</w:t>
            </w:r>
          </w:p>
        </w:tc>
        <w:tc>
          <w:tcPr>
            <w:tcW w:type="dxa" w:w="2020"/>
            <w:tcBorders/>
            <w:tcMar>
              <w:start w:w="0" w:type="dxa"/>
              <w:end w:w="0" w:type="dxa"/>
            </w:tcMar>
          </w:tcPr>
          <w:p>
            <w:pPr>
              <w:autoSpaceDN w:val="0"/>
              <w:autoSpaceDE w:val="0"/>
              <w:widowControl/>
              <w:spacing w:line="197" w:lineRule="auto" w:before="28" w:after="0"/>
              <w:ind w:left="0" w:right="268" w:firstLine="0"/>
              <w:jc w:val="right"/>
            </w:pPr>
            <w:r>
              <w:rPr>
                <w:rFonts w:ascii="Calibri" w:hAnsi="Calibri" w:eastAsia="Calibri"/>
                <w:b w:val="0"/>
                <w:i w:val="0"/>
                <w:color w:val="000000"/>
                <w:sz w:val="16"/>
              </w:rPr>
              <w:t xml:space="preserve">(21,098,217 ) </w:t>
            </w:r>
          </w:p>
        </w:tc>
        <w:tc>
          <w:tcPr>
            <w:tcW w:type="dxa" w:w="1480"/>
            <w:tcBorders/>
            <w:tcMar>
              <w:start w:w="0" w:type="dxa"/>
              <w:end w:w="0" w:type="dxa"/>
            </w:tcMar>
          </w:tcPr>
          <w:p>
            <w:pPr>
              <w:autoSpaceDN w:val="0"/>
              <w:autoSpaceDE w:val="0"/>
              <w:widowControl/>
              <w:spacing w:line="197" w:lineRule="auto" w:before="28" w:after="0"/>
              <w:ind w:left="0" w:right="0" w:firstLine="0"/>
              <w:jc w:val="center"/>
            </w:pPr>
            <w:r>
              <w:rPr>
                <w:rFonts w:ascii="Calibri" w:hAnsi="Calibri" w:eastAsia="Calibri"/>
                <w:b w:val="0"/>
                <w:i w:val="0"/>
                <w:color w:val="000000"/>
                <w:sz w:val="16"/>
              </w:rPr>
              <w:t xml:space="preserve">(27,737,318) </w:t>
            </w:r>
          </w:p>
        </w:tc>
        <w:tc>
          <w:tcPr>
            <w:tcW w:type="dxa" w:w="1480"/>
            <w:tcBorders/>
            <w:tcMar>
              <w:start w:w="0" w:type="dxa"/>
              <w:end w:w="0" w:type="dxa"/>
            </w:tcMar>
          </w:tcPr>
          <w:p>
            <w:pPr>
              <w:autoSpaceDN w:val="0"/>
              <w:autoSpaceDE w:val="0"/>
              <w:widowControl/>
              <w:spacing w:line="160" w:lineRule="exact" w:before="6" w:after="0"/>
              <w:ind w:left="0" w:right="264" w:firstLine="0"/>
              <w:jc w:val="right"/>
            </w:pPr>
            <w:r>
              <w:rPr>
                <w:rFonts w:ascii="黑体" w:hAnsi="黑体" w:eastAsia="黑体"/>
                <w:b w:val="0"/>
                <w:i w:val="0"/>
                <w:color w:val="000000"/>
                <w:sz w:val="16"/>
              </w:rPr>
              <w:t xml:space="preserve">不适用 </w:t>
            </w:r>
          </w:p>
        </w:tc>
        <w:tc>
          <w:tcPr>
            <w:tcW w:type="dxa" w:w="1140"/>
            <w:tcBorders/>
            <w:tcMar>
              <w:start w:w="0" w:type="dxa"/>
              <w:end w:w="0" w:type="dxa"/>
            </w:tcMar>
          </w:tcPr>
          <w:p>
            <w:pPr>
              <w:autoSpaceDN w:val="0"/>
              <w:autoSpaceDE w:val="0"/>
              <w:widowControl/>
              <w:spacing w:line="160" w:lineRule="exact" w:before="6" w:after="0"/>
              <w:ind w:left="0" w:right="36" w:firstLine="0"/>
              <w:jc w:val="right"/>
            </w:pPr>
            <w:r>
              <w:rPr>
                <w:rFonts w:ascii="黑体" w:hAnsi="黑体" w:eastAsia="黑体"/>
                <w:b w:val="0"/>
                <w:i w:val="0"/>
                <w:color w:val="000000"/>
                <w:sz w:val="16"/>
              </w:rPr>
              <w:t>不适用</w:t>
            </w:r>
          </w:p>
        </w:tc>
      </w:tr>
    </w:tbl>
    <w:p>
      <w:pPr>
        <w:autoSpaceDN w:val="0"/>
        <w:autoSpaceDE w:val="0"/>
        <w:widowControl/>
        <w:spacing w:line="246" w:lineRule="exact" w:before="5534" w:after="1046"/>
        <w:ind w:left="8" w:right="0" w:firstLine="0"/>
        <w:jc w:val="left"/>
      </w:pPr>
      <w:r>
        <w:rPr>
          <w:rFonts w:ascii="黑体" w:hAnsi="黑体" w:eastAsia="黑体"/>
          <w:b w:val="0"/>
          <w:i w:val="0"/>
          <w:color w:val="000000"/>
          <w:sz w:val="22"/>
        </w:rPr>
        <w:t>此财务报表已于</w:t>
      </w:r>
      <w:r>
        <w:rPr>
          <w:rFonts w:ascii="Calibri" w:hAnsi="Calibri" w:eastAsia="Calibri"/>
          <w:b w:val="0"/>
          <w:i w:val="0"/>
          <w:color w:val="000000"/>
          <w:sz w:val="22"/>
        </w:rPr>
        <w:t>2025</w:t>
      </w:r>
      <w:r>
        <w:rPr>
          <w:rFonts w:ascii="黑体" w:hAnsi="黑体" w:eastAsia="黑体"/>
          <w:b w:val="0"/>
          <w:i w:val="0"/>
          <w:color w:val="000000"/>
          <w:sz w:val="22"/>
        </w:rPr>
        <w:t>年</w:t>
      </w:r>
      <w:r>
        <w:rPr>
          <w:rFonts w:ascii="Calibri" w:hAnsi="Calibri" w:eastAsia="Calibri"/>
          <w:b w:val="0"/>
          <w:i w:val="0"/>
          <w:color w:val="000000"/>
          <w:sz w:val="22"/>
        </w:rPr>
        <w:t>4</w:t>
      </w:r>
      <w:r>
        <w:rPr>
          <w:rFonts w:ascii="黑体" w:hAnsi="黑体" w:eastAsia="黑体"/>
          <w:b w:val="0"/>
          <w:i w:val="0"/>
          <w:color w:val="000000"/>
          <w:sz w:val="22"/>
        </w:rPr>
        <w:t>月</w:t>
      </w:r>
      <w:r>
        <w:rPr>
          <w:rFonts w:ascii="Calibri" w:hAnsi="Calibri" w:eastAsia="Calibri"/>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83"/>
        <w:gridCol w:w="2283"/>
        <w:gridCol w:w="2283"/>
        <w:gridCol w:w="2283"/>
      </w:tblGrid>
      <w:tr>
        <w:trPr>
          <w:trHeight w:hRule="exact" w:val="298"/>
        </w:trPr>
        <w:tc>
          <w:tcPr>
            <w:tcW w:type="dxa" w:w="2522"/>
            <w:tcBorders>
              <w:top w:sz="6.400000000000546" w:val="single" w:color="#000000"/>
            </w:tcBorders>
            <w:tcMar>
              <w:start w:w="0" w:type="dxa"/>
              <w:end w:w="0" w:type="dxa"/>
            </w:tcMar>
          </w:tcPr>
          <w:p>
            <w:pPr>
              <w:autoSpaceDN w:val="0"/>
              <w:autoSpaceDE w:val="0"/>
              <w:widowControl/>
              <w:spacing w:line="222" w:lineRule="exact" w:before="36" w:after="0"/>
              <w:ind w:left="0" w:right="0" w:firstLine="0"/>
              <w:jc w:val="left"/>
            </w:pPr>
            <w:r>
              <w:rPr>
                <w:rFonts w:ascii="黑体" w:hAnsi="黑体" w:eastAsia="黑体"/>
                <w:b w:val="0"/>
                <w:i w:val="0"/>
                <w:color w:val="000000"/>
                <w:sz w:val="22"/>
              </w:rPr>
              <w:t>王怡里</w:t>
            </w:r>
          </w:p>
        </w:tc>
        <w:tc>
          <w:tcPr>
            <w:tcW w:type="dxa" w:w="2968"/>
            <w:tcBorders>
              <w:top w:sz="6.400000000000546" w:val="single" w:color="#000000"/>
            </w:tcBorders>
            <w:tcMar>
              <w:start w:w="0" w:type="dxa"/>
              <w:end w:w="0" w:type="dxa"/>
            </w:tcMar>
          </w:tcPr>
          <w:p>
            <w:pPr>
              <w:autoSpaceDN w:val="0"/>
              <w:autoSpaceDE w:val="0"/>
              <w:widowControl/>
              <w:spacing w:line="222" w:lineRule="exact" w:before="36" w:after="0"/>
              <w:ind w:left="0" w:right="0" w:firstLine="0"/>
              <w:jc w:val="left"/>
            </w:pPr>
            <w:r>
              <w:rPr>
                <w:rFonts w:ascii="黑体" w:hAnsi="黑体" w:eastAsia="黑体"/>
                <w:b w:val="0"/>
                <w:i w:val="0"/>
                <w:color w:val="000000"/>
                <w:sz w:val="22"/>
              </w:rPr>
              <w:t>汤建雄</w:t>
            </w:r>
          </w:p>
        </w:tc>
        <w:tc>
          <w:tcPr>
            <w:tcW w:type="dxa" w:w="2156"/>
            <w:tcBorders>
              <w:top w:sz="6.400000000000546" w:val="single" w:color="#000000"/>
            </w:tcBorders>
            <w:tcMar>
              <w:start w:w="0" w:type="dxa"/>
              <w:end w:w="0" w:type="dxa"/>
            </w:tcMar>
          </w:tcPr>
          <w:p>
            <w:pPr>
              <w:autoSpaceDN w:val="0"/>
              <w:autoSpaceDE w:val="0"/>
              <w:widowControl/>
              <w:spacing w:line="222" w:lineRule="exact" w:before="36" w:after="0"/>
              <w:ind w:left="264" w:right="0" w:firstLine="0"/>
              <w:jc w:val="left"/>
            </w:pPr>
            <w:r>
              <w:rPr>
                <w:rFonts w:ascii="黑体" w:hAnsi="黑体" w:eastAsia="黑体"/>
                <w:b w:val="0"/>
                <w:i w:val="0"/>
                <w:color w:val="000000"/>
                <w:sz w:val="22"/>
              </w:rPr>
              <w:t>张立德</w:t>
            </w:r>
          </w:p>
        </w:tc>
        <w:tc>
          <w:tcPr>
            <w:tcW w:type="dxa" w:w="1314"/>
            <w:tcBorders>
              <w:top w:sz="6.400000000000546" w:val="single" w:color="#000000"/>
            </w:tcBorders>
            <w:tcMar>
              <w:start w:w="0" w:type="dxa"/>
              <w:end w:w="0" w:type="dxa"/>
            </w:tcMar>
          </w:tcPr>
          <w:p>
            <w:pPr>
              <w:autoSpaceDN w:val="0"/>
              <w:autoSpaceDE w:val="0"/>
              <w:widowControl/>
              <w:spacing w:line="222" w:lineRule="exact" w:before="36"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44"/>
        <w:gridCol w:w="3044"/>
        <w:gridCol w:w="3044"/>
      </w:tblGrid>
      <w:tr>
        <w:trPr>
          <w:trHeight w:hRule="exact" w:val="312"/>
        </w:trPr>
        <w:tc>
          <w:tcPr>
            <w:tcW w:type="dxa" w:w="1820"/>
            <w:tcBorders/>
            <w:tcMar>
              <w:start w:w="0" w:type="dxa"/>
              <w:end w:w="0" w:type="dxa"/>
            </w:tcMar>
          </w:tcPr>
          <w:p>
            <w:pPr>
              <w:autoSpaceDN w:val="0"/>
              <w:autoSpaceDE w:val="0"/>
              <w:widowControl/>
              <w:spacing w:line="220"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0" w:lineRule="exact" w:before="32" w:after="0"/>
              <w:ind w:left="722" w:right="0" w:firstLine="0"/>
              <w:jc w:val="left"/>
            </w:pPr>
            <w:r>
              <w:rPr>
                <w:rFonts w:ascii="黑体" w:hAnsi="黑体" w:eastAsia="黑体"/>
                <w:b w:val="0"/>
                <w:i w:val="0"/>
                <w:color w:val="000000"/>
                <w:sz w:val="22"/>
              </w:rPr>
              <w:t>主管会计工作的公司负责人</w:t>
            </w:r>
          </w:p>
        </w:tc>
        <w:tc>
          <w:tcPr>
            <w:tcW w:type="dxa" w:w="2760"/>
            <w:tcBorders/>
            <w:tcMar>
              <w:start w:w="0" w:type="dxa"/>
              <w:end w:w="0" w:type="dxa"/>
            </w:tcMar>
          </w:tcPr>
          <w:p>
            <w:pPr>
              <w:autoSpaceDN w:val="0"/>
              <w:autoSpaceDE w:val="0"/>
              <w:widowControl/>
              <w:spacing w:line="220"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782"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182" w:after="0"/>
        <w:ind w:left="0" w:right="0" w:firstLine="0"/>
        <w:jc w:val="center"/>
      </w:pPr>
      <w:r>
        <w:rPr>
          <w:rFonts w:ascii="Arial" w:hAnsi="Arial" w:eastAsia="Arial"/>
          <w:b w:val="0"/>
          <w:i w:val="0"/>
          <w:color w:val="000000"/>
          <w:sz w:val="20"/>
        </w:rPr>
        <w:t xml:space="preserve">153 </w:t>
      </w:r>
    </w:p>
    <w:p>
      <w:pPr>
        <w:sectPr>
          <w:pgSz w:w="11899" w:h="16841"/>
          <w:pgMar w:top="732" w:right="1334" w:bottom="360" w:left="1432"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60" w:lineRule="exact" w:before="0" w:after="0"/>
        <w:ind w:left="0" w:right="0" w:firstLine="0"/>
        <w:jc w:val="center"/>
      </w:pPr>
      <w:r>
        <w:rPr>
          <w:rFonts w:ascii="黑体" w:hAnsi="黑体" w:eastAsia="黑体"/>
          <w:b w:val="0"/>
          <w:i w:val="0"/>
          <w:color w:val="000000"/>
          <w:sz w:val="16"/>
        </w:rPr>
        <w:t>合并及公司利润表（续）</w:t>
      </w:r>
    </w:p>
    <w:p>
      <w:pPr>
        <w:autoSpaceDN w:val="0"/>
        <w:autoSpaceDE w:val="0"/>
        <w:widowControl/>
        <w:spacing w:line="160" w:lineRule="exact" w:before="46" w:after="240"/>
        <w:ind w:left="8" w:right="0" w:firstLine="0"/>
        <w:jc w:val="left"/>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1468.0" w:type="dxa"/>
      </w:tblPr>
      <w:tblGrid>
        <w:gridCol w:w="1825"/>
        <w:gridCol w:w="1825"/>
        <w:gridCol w:w="1825"/>
        <w:gridCol w:w="1825"/>
        <w:gridCol w:w="1825"/>
      </w:tblGrid>
      <w:tr>
        <w:trPr>
          <w:trHeight w:hRule="exact" w:val="250"/>
        </w:trPr>
        <w:tc>
          <w:tcPr>
            <w:tcW w:type="dxa" w:w="2580"/>
            <w:tcBorders>
              <w:bottom w:sz="4.0" w:val="single" w:color="#000000"/>
            </w:tcBorders>
            <w:tcMar>
              <w:start w:w="0" w:type="dxa"/>
              <w:end w:w="0" w:type="dxa"/>
            </w:tcMar>
          </w:tcPr>
          <w:p/>
        </w:tc>
        <w:tc>
          <w:tcPr>
            <w:tcW w:type="dxa" w:w="1680"/>
            <w:tcBorders>
              <w:bottom w:sz="4.0" w:val="single" w:color="#000000"/>
            </w:tcBorders>
            <w:tcMar>
              <w:start w:w="0" w:type="dxa"/>
              <w:end w:w="0" w:type="dxa"/>
            </w:tcMar>
          </w:tcPr>
          <w:p>
            <w:pPr>
              <w:autoSpaceDN w:val="0"/>
              <w:autoSpaceDE w:val="0"/>
              <w:widowControl/>
              <w:spacing w:line="162" w:lineRule="exact" w:before="60" w:after="0"/>
              <w:ind w:left="0" w:right="248" w:firstLine="0"/>
              <w:jc w:val="right"/>
            </w:pPr>
            <w:r>
              <w:rPr>
                <w:rFonts w:ascii="黑体" w:hAnsi="黑体" w:eastAsia="黑体"/>
                <w:b w:val="0"/>
                <w:i w:val="0"/>
                <w:color w:val="000000"/>
                <w:sz w:val="16"/>
              </w:rPr>
              <w:t>本集团</w:t>
            </w:r>
          </w:p>
        </w:tc>
        <w:tc>
          <w:tcPr>
            <w:tcW w:type="dxa" w:w="756"/>
            <w:tcBorders>
              <w:bottom w:sz="4.0" w:val="single" w:color="#000000"/>
            </w:tcBorders>
            <w:tcMar>
              <w:start w:w="0" w:type="dxa"/>
              <w:end w:w="0" w:type="dxa"/>
            </w:tcMar>
          </w:tcPr>
          <w:p/>
        </w:tc>
        <w:tc>
          <w:tcPr>
            <w:tcW w:type="dxa" w:w="1562"/>
            <w:tcBorders>
              <w:bottom w:sz="4.0" w:val="single" w:color="#000000"/>
            </w:tcBorders>
            <w:tcMar>
              <w:start w:w="0" w:type="dxa"/>
              <w:end w:w="0" w:type="dxa"/>
            </w:tcMar>
          </w:tcPr>
          <w:p>
            <w:pPr>
              <w:autoSpaceDN w:val="0"/>
              <w:autoSpaceDE w:val="0"/>
              <w:widowControl/>
              <w:spacing w:line="162" w:lineRule="exact" w:before="60" w:after="0"/>
              <w:ind w:left="0" w:right="0" w:firstLine="0"/>
              <w:jc w:val="right"/>
            </w:pPr>
            <w:r>
              <w:rPr>
                <w:rFonts w:ascii="黑体" w:hAnsi="黑体" w:eastAsia="黑体"/>
                <w:b w:val="0"/>
                <w:i w:val="0"/>
                <w:color w:val="000000"/>
                <w:sz w:val="16"/>
              </w:rPr>
              <w:t>本公司</w:t>
            </w:r>
          </w:p>
        </w:tc>
        <w:tc>
          <w:tcPr>
            <w:tcW w:type="dxa" w:w="978"/>
            <w:tcBorders>
              <w:bottom w:sz="4.0" w:val="single" w:color="#000000"/>
            </w:tcBorders>
            <w:tcMar>
              <w:start w:w="0" w:type="dxa"/>
              <w:end w:w="0" w:type="dxa"/>
            </w:tcMar>
          </w:tcPr>
          <w:p/>
        </w:tc>
      </w:tr>
      <w:tr>
        <w:trPr>
          <w:trHeight w:hRule="exact" w:val="266"/>
        </w:trPr>
        <w:tc>
          <w:tcPr>
            <w:tcW w:type="dxa" w:w="2580"/>
            <w:tcBorders>
              <w:top w:sz="4.0" w:val="single" w:color="#000000"/>
            </w:tcBorders>
            <w:tcMar>
              <w:start w:w="0" w:type="dxa"/>
              <w:end w:w="0" w:type="dxa"/>
            </w:tcMar>
          </w:tcPr>
          <w:p>
            <w:pPr>
              <w:autoSpaceDN w:val="0"/>
              <w:autoSpaceDE w:val="0"/>
              <w:widowControl/>
              <w:spacing w:line="162" w:lineRule="exact" w:before="24" w:after="0"/>
              <w:ind w:left="0" w:right="778" w:firstLine="0"/>
              <w:jc w:val="right"/>
            </w:pPr>
            <w:r>
              <w:rPr>
                <w:rFonts w:ascii="黑体" w:hAnsi="黑体" w:eastAsia="黑体"/>
                <w:b w:val="0"/>
                <w:i w:val="0"/>
                <w:color w:val="000000"/>
                <w:sz w:val="16"/>
              </w:rPr>
              <w:t>附注</w:t>
            </w:r>
          </w:p>
        </w:tc>
        <w:tc>
          <w:tcPr>
            <w:tcW w:type="dxa" w:w="1680"/>
            <w:tcBorders>
              <w:top w:sz="4.0" w:val="single" w:color="#000000"/>
            </w:tcBorders>
            <w:tcMar>
              <w:start w:w="0" w:type="dxa"/>
              <w:end w:w="0" w:type="dxa"/>
            </w:tcMar>
          </w:tcPr>
          <w:p>
            <w:pPr>
              <w:autoSpaceDN w:val="0"/>
              <w:autoSpaceDE w:val="0"/>
              <w:widowControl/>
              <w:spacing w:line="178" w:lineRule="exact" w:before="24" w:after="0"/>
              <w:ind w:left="0" w:right="506"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756"/>
            <w:tcBorders>
              <w:top w:sz="4.0" w:val="single" w:color="#000000"/>
            </w:tcBorders>
            <w:tcMar>
              <w:start w:w="0" w:type="dxa"/>
              <w:end w:w="0" w:type="dxa"/>
            </w:tcMar>
          </w:tcPr>
          <w:p>
            <w:pPr>
              <w:autoSpaceDN w:val="0"/>
              <w:autoSpaceDE w:val="0"/>
              <w:widowControl/>
              <w:spacing w:line="178" w:lineRule="exact" w:before="24" w:after="0"/>
              <w:ind w:left="0" w:right="2"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c>
          <w:tcPr>
            <w:tcW w:type="dxa" w:w="1562"/>
            <w:tcBorders>
              <w:top w:sz="4.0" w:val="single" w:color="#000000"/>
            </w:tcBorders>
            <w:tcMar>
              <w:start w:w="0" w:type="dxa"/>
              <w:end w:w="0" w:type="dxa"/>
            </w:tcMar>
          </w:tcPr>
          <w:p>
            <w:pPr>
              <w:autoSpaceDN w:val="0"/>
              <w:autoSpaceDE w:val="0"/>
              <w:widowControl/>
              <w:spacing w:line="178" w:lineRule="exact" w:before="24" w:after="0"/>
              <w:ind w:left="0" w:right="204" w:firstLine="0"/>
              <w:jc w:val="right"/>
            </w:pPr>
            <w:r>
              <w:rPr>
                <w:rFonts w:ascii="Calibri" w:hAnsi="Calibri" w:eastAsia="Calibri"/>
                <w:b/>
                <w:i w:val="0"/>
                <w:color w:val="000000"/>
                <w:sz w:val="16"/>
                <w:u w:val="single"/>
              </w:rPr>
              <w:t>2024</w:t>
            </w:r>
            <w:r>
              <w:rPr>
                <w:rFonts w:ascii="黑体" w:hAnsi="黑体" w:eastAsia="黑体"/>
                <w:b w:val="0"/>
                <w:i w:val="0"/>
                <w:color w:val="000000"/>
                <w:sz w:val="16"/>
                <w:u w:val="single"/>
              </w:rPr>
              <w:t>年</w:t>
            </w:r>
          </w:p>
        </w:tc>
        <w:tc>
          <w:tcPr>
            <w:tcW w:type="dxa" w:w="978"/>
            <w:tcBorders>
              <w:top w:sz="4.0" w:val="single" w:color="#000000"/>
            </w:tcBorders>
            <w:tcMar>
              <w:start w:w="0" w:type="dxa"/>
              <w:end w:w="0" w:type="dxa"/>
            </w:tcMar>
          </w:tcPr>
          <w:p>
            <w:pPr>
              <w:autoSpaceDN w:val="0"/>
              <w:autoSpaceDE w:val="0"/>
              <w:widowControl/>
              <w:spacing w:line="178" w:lineRule="exact" w:before="24" w:after="0"/>
              <w:ind w:left="0" w:right="0" w:firstLine="0"/>
              <w:jc w:val="right"/>
            </w:pPr>
            <w:r>
              <w:rPr>
                <w:rFonts w:ascii="Calibri" w:hAnsi="Calibri" w:eastAsia="Calibri"/>
                <w:b/>
                <w:i w:val="0"/>
                <w:color w:val="000000"/>
                <w:sz w:val="16"/>
                <w:u w:val="single"/>
              </w:rPr>
              <w:t>2023</w:t>
            </w:r>
            <w:r>
              <w:rPr>
                <w:rFonts w:ascii="黑体" w:hAnsi="黑体" w:eastAsia="黑体"/>
                <w:b w:val="0"/>
                <w:i w:val="0"/>
                <w:color w:val="000000"/>
                <w:sz w:val="16"/>
                <w:u w:val="single"/>
              </w:rPr>
              <w:t>年</w:t>
            </w:r>
          </w:p>
        </w:tc>
      </w:tr>
    </w:tbl>
    <w:p>
      <w:pPr>
        <w:autoSpaceDN w:val="0"/>
        <w:autoSpaceDE w:val="0"/>
        <w:widowControl/>
        <w:spacing w:line="160" w:lineRule="exact" w:before="166" w:after="0"/>
        <w:ind w:left="8" w:right="0" w:firstLine="0"/>
        <w:jc w:val="left"/>
      </w:pPr>
      <w:r>
        <w:rPr>
          <w:rFonts w:ascii="黑体" w:hAnsi="黑体" w:eastAsia="黑体"/>
          <w:b w:val="0"/>
          <w:i w:val="0"/>
          <w:color w:val="000000"/>
          <w:sz w:val="16"/>
        </w:rPr>
        <w:t>其他综合收益的税后净额</w:t>
      </w:r>
    </w:p>
    <w:p>
      <w:pPr>
        <w:autoSpaceDN w:val="0"/>
        <w:autoSpaceDE w:val="0"/>
        <w:widowControl/>
        <w:spacing w:line="162" w:lineRule="exact" w:before="46" w:after="24"/>
        <w:ind w:left="8" w:right="0" w:firstLine="0"/>
        <w:jc w:val="left"/>
      </w:pPr>
      <w:r>
        <w:rPr>
          <w:rFonts w:ascii="黑体" w:hAnsi="黑体" w:eastAsia="黑体"/>
          <w:b w:val="0"/>
          <w:i w:val="0"/>
          <w:color w:val="000000"/>
          <w:sz w:val="16"/>
        </w:rPr>
        <w:t>归属于母公司股东的其他综合收益的</w:t>
      </w:r>
    </w:p>
    <w:tbl>
      <w:tblPr>
        <w:tblW w:type="auto" w:w="0"/>
        <w:tblLayout w:type="fixed"/>
        <w:tblLook w:firstColumn="1" w:firstRow="1" w:lastColumn="0" w:lastRow="0" w:noHBand="0" w:noVBand="1" w:val="04A0"/>
        <w:tblInd w:w="68.00000000000011" w:type="dxa"/>
      </w:tblPr>
      <w:tblGrid>
        <w:gridCol w:w="1825"/>
        <w:gridCol w:w="1825"/>
        <w:gridCol w:w="1825"/>
        <w:gridCol w:w="1825"/>
        <w:gridCol w:w="1825"/>
      </w:tblGrid>
      <w:tr>
        <w:trPr>
          <w:trHeight w:hRule="exact" w:val="264"/>
        </w:trPr>
        <w:tc>
          <w:tcPr>
            <w:tcW w:type="dxa" w:w="2580"/>
            <w:tcBorders/>
            <w:tcMar>
              <w:start w:w="0" w:type="dxa"/>
              <w:end w:w="0" w:type="dxa"/>
            </w:tcMar>
          </w:tcPr>
          <w:p>
            <w:pPr>
              <w:autoSpaceDN w:val="0"/>
              <w:autoSpaceDE w:val="0"/>
              <w:widowControl/>
              <w:spacing w:line="160" w:lineRule="exact" w:before="24" w:after="0"/>
              <w:ind w:left="102" w:right="0" w:firstLine="0"/>
              <w:jc w:val="left"/>
            </w:pPr>
            <w:r>
              <w:rPr>
                <w:rFonts w:ascii="黑体" w:hAnsi="黑体" w:eastAsia="黑体"/>
                <w:b w:val="0"/>
                <w:i w:val="0"/>
                <w:color w:val="000000"/>
                <w:sz w:val="16"/>
              </w:rPr>
              <w:t>税后净额</w:t>
            </w:r>
          </w:p>
        </w:tc>
        <w:tc>
          <w:tcPr>
            <w:tcW w:type="dxa" w:w="2840"/>
            <w:tcBorders/>
            <w:tcMar>
              <w:start w:w="0" w:type="dxa"/>
              <w:end w:w="0" w:type="dxa"/>
            </w:tcMar>
          </w:tcPr>
          <w:p>
            <w:pPr>
              <w:autoSpaceDN w:val="0"/>
              <w:autoSpaceDE w:val="0"/>
              <w:widowControl/>
              <w:spacing w:line="197" w:lineRule="auto" w:before="44" w:after="0"/>
              <w:ind w:left="0" w:right="230" w:firstLine="0"/>
              <w:jc w:val="right"/>
            </w:pPr>
            <w:r>
              <w:rPr>
                <w:rFonts w:ascii="Calibri" w:hAnsi="Calibri" w:eastAsia="Calibri"/>
                <w:b w:val="0"/>
                <w:i w:val="0"/>
                <w:color w:val="000000"/>
                <w:sz w:val="16"/>
              </w:rPr>
              <w:t xml:space="preserve">14,017,245 </w:t>
            </w:r>
          </w:p>
        </w:tc>
        <w:tc>
          <w:tcPr>
            <w:tcW w:type="dxa" w:w="1320"/>
            <w:tcBorders/>
            <w:tcMar>
              <w:start w:w="0" w:type="dxa"/>
              <w:end w:w="0" w:type="dxa"/>
            </w:tcMar>
          </w:tcPr>
          <w:p>
            <w:pPr>
              <w:autoSpaceDN w:val="0"/>
              <w:autoSpaceDE w:val="0"/>
              <w:widowControl/>
              <w:spacing w:line="197" w:lineRule="auto" w:before="44" w:after="0"/>
              <w:ind w:left="0" w:right="0" w:firstLine="0"/>
              <w:jc w:val="center"/>
            </w:pPr>
            <w:r>
              <w:rPr>
                <w:rFonts w:ascii="Calibri" w:hAnsi="Calibri" w:eastAsia="Calibri"/>
                <w:b w:val="0"/>
                <w:i w:val="0"/>
                <w:color w:val="000000"/>
                <w:sz w:val="16"/>
              </w:rPr>
              <w:t>20,459,231</w:t>
            </w:r>
          </w:p>
        </w:tc>
        <w:tc>
          <w:tcPr>
            <w:tcW w:type="dxa" w:w="1340"/>
            <w:tcBorders/>
            <w:tcMar>
              <w:start w:w="0" w:type="dxa"/>
              <w:end w:w="0" w:type="dxa"/>
            </w:tcMar>
          </w:tcPr>
          <w:p>
            <w:pPr>
              <w:autoSpaceDN w:val="0"/>
              <w:autoSpaceDE w:val="0"/>
              <w:widowControl/>
              <w:spacing w:line="197" w:lineRule="auto" w:before="44" w:after="0"/>
              <w:ind w:left="0" w:right="222" w:firstLine="0"/>
              <w:jc w:val="right"/>
            </w:pPr>
            <w:r>
              <w:rPr>
                <w:rFonts w:ascii="Calibri" w:hAnsi="Calibri" w:eastAsia="Calibri"/>
                <w:b w:val="0"/>
                <w:i w:val="0"/>
                <w:color w:val="000000"/>
                <w:sz w:val="16"/>
              </w:rPr>
              <w:t xml:space="preserve">(3,584,169) </w:t>
            </w:r>
          </w:p>
        </w:tc>
        <w:tc>
          <w:tcPr>
            <w:tcW w:type="dxa" w:w="920"/>
            <w:tcBorders/>
            <w:tcMar>
              <w:start w:w="0" w:type="dxa"/>
              <w:end w:w="0" w:type="dxa"/>
            </w:tcMar>
          </w:tcPr>
          <w:p>
            <w:pPr>
              <w:autoSpaceDN w:val="0"/>
              <w:autoSpaceDE w:val="0"/>
              <w:widowControl/>
              <w:spacing w:line="197" w:lineRule="auto" w:before="44" w:after="0"/>
              <w:ind w:left="228" w:right="0" w:firstLine="0"/>
              <w:jc w:val="left"/>
            </w:pPr>
            <w:r>
              <w:rPr>
                <w:rFonts w:ascii="Calibri" w:hAnsi="Calibri" w:eastAsia="Calibri"/>
                <w:b w:val="0"/>
                <w:i w:val="0"/>
                <w:color w:val="000000"/>
                <w:sz w:val="16"/>
              </w:rPr>
              <w:t>8,803,460</w:t>
            </w:r>
          </w:p>
        </w:tc>
      </w:tr>
    </w:tbl>
    <w:p>
      <w:pPr>
        <w:autoSpaceDN w:val="0"/>
        <w:autoSpaceDE w:val="0"/>
        <w:widowControl/>
        <w:spacing w:line="162" w:lineRule="exact" w:before="162" w:after="22"/>
        <w:ind w:left="8" w:right="0" w:firstLine="0"/>
        <w:jc w:val="left"/>
      </w:pPr>
      <w:r>
        <w:rPr>
          <w:rFonts w:ascii="黑体" w:hAnsi="黑体" w:eastAsia="黑体"/>
          <w:b w:val="0"/>
          <w:i w:val="0"/>
          <w:color w:val="000000"/>
          <w:sz w:val="16"/>
        </w:rPr>
        <w:t>不能重分类进损益的其他综合收益：</w:t>
      </w:r>
    </w:p>
    <w:tbl>
      <w:tblPr>
        <w:tblW w:type="auto" w:w="0"/>
        <w:tblLayout w:type="fixed"/>
        <w:tblLook w:firstColumn="1" w:firstRow="1" w:lastColumn="0" w:lastRow="0" w:noHBand="0" w:noVBand="1" w:val="04A0"/>
        <w:tblInd w:w="68.00000000000011" w:type="dxa"/>
      </w:tblPr>
      <w:tblGrid>
        <w:gridCol w:w="1825"/>
        <w:gridCol w:w="1825"/>
        <w:gridCol w:w="1825"/>
        <w:gridCol w:w="1825"/>
        <w:gridCol w:w="1825"/>
      </w:tblGrid>
      <w:tr>
        <w:trPr>
          <w:trHeight w:hRule="exact" w:val="264"/>
        </w:trPr>
        <w:tc>
          <w:tcPr>
            <w:tcW w:type="dxa" w:w="3340"/>
            <w:tcBorders/>
            <w:tcMar>
              <w:start w:w="0" w:type="dxa"/>
              <w:end w:w="0" w:type="dxa"/>
            </w:tcMar>
          </w:tcPr>
          <w:p>
            <w:pPr>
              <w:autoSpaceDN w:val="0"/>
              <w:autoSpaceDE w:val="0"/>
              <w:widowControl/>
              <w:spacing w:line="162" w:lineRule="exact" w:before="22" w:after="0"/>
              <w:ind w:left="102" w:right="0" w:firstLine="0"/>
              <w:jc w:val="left"/>
            </w:pPr>
            <w:r>
              <w:rPr>
                <w:rFonts w:ascii="黑体" w:hAnsi="黑体" w:eastAsia="黑体"/>
                <w:b w:val="0"/>
                <w:i w:val="0"/>
                <w:color w:val="000000"/>
                <w:sz w:val="16"/>
              </w:rPr>
              <w:t>其他权益工具投资公允价值变动</w:t>
            </w:r>
          </w:p>
        </w:tc>
        <w:tc>
          <w:tcPr>
            <w:tcW w:type="dxa" w:w="2120"/>
            <w:tcBorders/>
            <w:tcMar>
              <w:start w:w="0" w:type="dxa"/>
              <w:end w:w="0" w:type="dxa"/>
            </w:tcMar>
          </w:tcPr>
          <w:p>
            <w:pPr>
              <w:autoSpaceDN w:val="0"/>
              <w:autoSpaceDE w:val="0"/>
              <w:widowControl/>
              <w:spacing w:line="199" w:lineRule="auto" w:before="42" w:after="0"/>
              <w:ind w:left="0" w:right="220" w:firstLine="0"/>
              <w:jc w:val="right"/>
            </w:pPr>
            <w:r>
              <w:rPr>
                <w:rFonts w:ascii="Calibri" w:hAnsi="Calibri" w:eastAsia="Calibri"/>
                <w:b w:val="0"/>
                <w:i w:val="0"/>
                <w:color w:val="000000"/>
                <w:sz w:val="16"/>
              </w:rPr>
              <w:t xml:space="preserve">(14,941,252 ) </w:t>
            </w:r>
          </w:p>
        </w:tc>
        <w:tc>
          <w:tcPr>
            <w:tcW w:type="dxa" w:w="1280"/>
            <w:tcBorders/>
            <w:tcMar>
              <w:start w:w="0" w:type="dxa"/>
              <w:end w:w="0" w:type="dxa"/>
            </w:tcMar>
          </w:tcPr>
          <w:p>
            <w:pPr>
              <w:autoSpaceDN w:val="0"/>
              <w:autoSpaceDE w:val="0"/>
              <w:widowControl/>
              <w:spacing w:line="199" w:lineRule="auto" w:before="42" w:after="0"/>
              <w:ind w:left="0" w:right="0" w:firstLine="0"/>
              <w:jc w:val="center"/>
            </w:pPr>
            <w:r>
              <w:rPr>
                <w:rFonts w:ascii="Calibri" w:hAnsi="Calibri" w:eastAsia="Calibri"/>
                <w:b w:val="0"/>
                <w:i w:val="0"/>
                <w:color w:val="000000"/>
                <w:sz w:val="16"/>
              </w:rPr>
              <w:t xml:space="preserve">(8,664,006) </w:t>
            </w:r>
          </w:p>
        </w:tc>
        <w:tc>
          <w:tcPr>
            <w:tcW w:type="dxa" w:w="1300"/>
            <w:tcBorders/>
            <w:tcMar>
              <w:start w:w="0" w:type="dxa"/>
              <w:end w:w="0" w:type="dxa"/>
            </w:tcMar>
          </w:tcPr>
          <w:p>
            <w:pPr>
              <w:autoSpaceDN w:val="0"/>
              <w:autoSpaceDE w:val="0"/>
              <w:widowControl/>
              <w:spacing w:line="199" w:lineRule="auto" w:before="42" w:after="0"/>
              <w:ind w:left="0" w:right="0" w:firstLine="0"/>
              <w:jc w:val="center"/>
            </w:pPr>
            <w:r>
              <w:rPr>
                <w:rFonts w:ascii="Calibri" w:hAnsi="Calibri" w:eastAsia="Calibri"/>
                <w:b w:val="0"/>
                <w:i w:val="0"/>
                <w:color w:val="000000"/>
                <w:sz w:val="16"/>
              </w:rPr>
              <w:t xml:space="preserve">(16,482,431) </w:t>
            </w:r>
          </w:p>
        </w:tc>
        <w:tc>
          <w:tcPr>
            <w:tcW w:type="dxa" w:w="1000"/>
            <w:tcBorders/>
            <w:tcMar>
              <w:start w:w="0" w:type="dxa"/>
              <w:end w:w="0" w:type="dxa"/>
            </w:tcMar>
          </w:tcPr>
          <w:p>
            <w:pPr>
              <w:autoSpaceDN w:val="0"/>
              <w:autoSpaceDE w:val="0"/>
              <w:widowControl/>
              <w:spacing w:line="199" w:lineRule="auto" w:before="42" w:after="0"/>
              <w:ind w:left="220" w:right="0" w:firstLine="0"/>
              <w:jc w:val="left"/>
            </w:pPr>
            <w:r>
              <w:rPr>
                <w:rFonts w:ascii="Calibri" w:hAnsi="Calibri" w:eastAsia="Calibri"/>
                <w:b w:val="0"/>
                <w:i w:val="0"/>
                <w:color w:val="000000"/>
                <w:sz w:val="16"/>
              </w:rPr>
              <w:t xml:space="preserve">(9,986,431) </w:t>
            </w:r>
          </w:p>
        </w:tc>
      </w:tr>
    </w:tbl>
    <w:p>
      <w:pPr>
        <w:autoSpaceDN w:val="0"/>
        <w:autoSpaceDE w:val="0"/>
        <w:widowControl/>
        <w:spacing w:line="160" w:lineRule="exact" w:before="162" w:after="24"/>
        <w:ind w:left="8" w:right="0" w:firstLine="0"/>
        <w:jc w:val="left"/>
      </w:pPr>
      <w:r>
        <w:rPr>
          <w:rFonts w:ascii="黑体" w:hAnsi="黑体" w:eastAsia="黑体"/>
          <w:b w:val="0"/>
          <w:i w:val="0"/>
          <w:color w:val="000000"/>
          <w:sz w:val="16"/>
        </w:rPr>
        <w:t>将重分类进损益的其他综合收益：</w:t>
      </w:r>
    </w:p>
    <w:tbl>
      <w:tblPr>
        <w:tblW w:type="auto" w:w="0"/>
        <w:tblLayout w:type="fixed"/>
        <w:tblLook w:firstColumn="1" w:firstRow="1" w:lastColumn="0" w:lastRow="0" w:noHBand="0" w:noVBand="1" w:val="04A0"/>
        <w:tblInd w:w="68.00000000000011" w:type="dxa"/>
      </w:tblPr>
      <w:tblGrid>
        <w:gridCol w:w="1825"/>
        <w:gridCol w:w="1825"/>
        <w:gridCol w:w="1825"/>
        <w:gridCol w:w="1825"/>
        <w:gridCol w:w="1825"/>
      </w:tblGrid>
      <w:tr>
        <w:trPr>
          <w:trHeight w:hRule="exact" w:val="176"/>
        </w:trPr>
        <w:tc>
          <w:tcPr>
            <w:tcW w:type="dxa" w:w="3200"/>
            <w:tcBorders/>
            <w:tcMar>
              <w:start w:w="0" w:type="dxa"/>
              <w:end w:w="0" w:type="dxa"/>
            </w:tcMar>
          </w:tcPr>
          <w:p>
            <w:pPr>
              <w:autoSpaceDN w:val="0"/>
              <w:autoSpaceDE w:val="0"/>
              <w:widowControl/>
              <w:spacing w:line="162" w:lineRule="exact" w:before="14" w:after="0"/>
              <w:ind w:left="92" w:right="0" w:firstLine="0"/>
              <w:jc w:val="left"/>
            </w:pPr>
            <w:r>
              <w:rPr>
                <w:rFonts w:ascii="黑体" w:hAnsi="黑体" w:eastAsia="黑体"/>
                <w:b w:val="0"/>
                <w:i w:val="0"/>
                <w:color w:val="000000"/>
                <w:sz w:val="16"/>
              </w:rPr>
              <w:t>其他债权投资公允价值变动</w:t>
            </w:r>
          </w:p>
        </w:tc>
        <w:tc>
          <w:tcPr>
            <w:tcW w:type="dxa" w:w="2260"/>
            <w:vMerge w:val="restart"/>
            <w:tcBorders/>
            <w:tcMar>
              <w:start w:w="0" w:type="dxa"/>
              <w:end w:w="0" w:type="dxa"/>
            </w:tcMar>
            <w:tcMar>
              <w:start w:w="0" w:type="dxa"/>
              <w:end w:w="0" w:type="dxa"/>
            </w:tcMar>
          </w:tcPr>
          <w:p>
            <w:pPr>
              <w:autoSpaceDN w:val="0"/>
              <w:autoSpaceDE w:val="0"/>
              <w:widowControl/>
              <w:spacing w:line="197" w:lineRule="auto" w:before="42" w:after="0"/>
              <w:ind w:left="0" w:right="220" w:firstLine="0"/>
              <w:jc w:val="right"/>
            </w:pPr>
            <w:r>
              <w:rPr>
                <w:rFonts w:ascii="Calibri" w:hAnsi="Calibri" w:eastAsia="Calibri"/>
                <w:b w:val="0"/>
                <w:i w:val="0"/>
                <w:color w:val="000000"/>
                <w:sz w:val="16"/>
              </w:rPr>
              <w:t xml:space="preserve">(1,047,835 ) </w:t>
            </w:r>
          </w:p>
        </w:tc>
        <w:tc>
          <w:tcPr>
            <w:tcW w:type="dxa" w:w="1320"/>
            <w:vMerge w:val="restart"/>
            <w:tcBorders/>
            <w:tcMar>
              <w:start w:w="0" w:type="dxa"/>
              <w:end w:w="0" w:type="dxa"/>
            </w:tcMar>
            <w:tcMar>
              <w:start w:w="0" w:type="dxa"/>
              <w:end w:w="0" w:type="dxa"/>
            </w:tcMar>
          </w:tcPr>
          <w:p>
            <w:pPr>
              <w:autoSpaceDN w:val="0"/>
              <w:autoSpaceDE w:val="0"/>
              <w:widowControl/>
              <w:spacing w:line="197" w:lineRule="auto" w:before="42" w:after="0"/>
              <w:ind w:left="0" w:right="0" w:firstLine="0"/>
              <w:jc w:val="center"/>
            </w:pPr>
            <w:r>
              <w:rPr>
                <w:rFonts w:ascii="Calibri" w:hAnsi="Calibri" w:eastAsia="Calibri"/>
                <w:b w:val="0"/>
                <w:i w:val="0"/>
                <w:color w:val="000000"/>
                <w:sz w:val="16"/>
              </w:rPr>
              <w:t xml:space="preserve">(3,518,327) </w:t>
            </w:r>
          </w:p>
        </w:tc>
        <w:tc>
          <w:tcPr>
            <w:tcW w:type="dxa" w:w="1260"/>
            <w:vMerge w:val="restart"/>
            <w:tcBorders/>
            <w:tcMar>
              <w:start w:w="0" w:type="dxa"/>
              <w:end w:w="0" w:type="dxa"/>
            </w:tcMar>
            <w:tcMar>
              <w:start w:w="0" w:type="dxa"/>
              <w:end w:w="0" w:type="dxa"/>
            </w:tcMar>
          </w:tcPr>
          <w:p>
            <w:pPr>
              <w:autoSpaceDN w:val="0"/>
              <w:autoSpaceDE w:val="0"/>
              <w:widowControl/>
              <w:spacing w:line="197" w:lineRule="auto" w:before="42" w:after="0"/>
              <w:ind w:left="298" w:right="0" w:firstLine="0"/>
              <w:jc w:val="left"/>
            </w:pPr>
            <w:r>
              <w:rPr>
                <w:rFonts w:ascii="Calibri" w:hAnsi="Calibri" w:eastAsia="Calibri"/>
                <w:b w:val="0"/>
                <w:i w:val="0"/>
                <w:color w:val="000000"/>
                <w:sz w:val="16"/>
              </w:rPr>
              <w:t xml:space="preserve">(1,047,835) </w:t>
            </w:r>
          </w:p>
        </w:tc>
        <w:tc>
          <w:tcPr>
            <w:tcW w:type="dxa" w:w="1000"/>
            <w:vMerge w:val="restart"/>
            <w:tcBorders/>
            <w:tcMar>
              <w:start w:w="0" w:type="dxa"/>
              <w:end w:w="0" w:type="dxa"/>
            </w:tcMar>
            <w:tcMar>
              <w:start w:w="0" w:type="dxa"/>
              <w:end w:w="0" w:type="dxa"/>
            </w:tcMar>
          </w:tcPr>
          <w:p>
            <w:pPr>
              <w:autoSpaceDN w:val="0"/>
              <w:autoSpaceDE w:val="0"/>
              <w:widowControl/>
              <w:spacing w:line="197" w:lineRule="auto" w:before="42" w:after="0"/>
              <w:ind w:left="220" w:right="0" w:firstLine="0"/>
              <w:jc w:val="left"/>
            </w:pPr>
            <w:r>
              <w:rPr>
                <w:rFonts w:ascii="Calibri" w:hAnsi="Calibri" w:eastAsia="Calibri"/>
                <w:b w:val="0"/>
                <w:i w:val="0"/>
                <w:color w:val="000000"/>
                <w:sz w:val="16"/>
              </w:rPr>
              <w:t xml:space="preserve">(3,518,327) </w:t>
            </w:r>
          </w:p>
        </w:tc>
      </w:tr>
      <w:tr>
        <w:trPr>
          <w:trHeight w:hRule="exact" w:val="52"/>
        </w:trPr>
        <w:tc>
          <w:tcPr>
            <w:tcW w:type="dxa" w:w="3200"/>
            <w:vMerge w:val="restart"/>
            <w:tcBorders/>
            <w:tcMar>
              <w:start w:w="0" w:type="dxa"/>
              <w:end w:w="0" w:type="dxa"/>
            </w:tcMar>
            <w:tcMar>
              <w:start w:w="0" w:type="dxa"/>
              <w:end w:w="0" w:type="dxa"/>
            </w:tcMar>
          </w:tcPr>
          <w:p>
            <w:pPr>
              <w:autoSpaceDN w:val="0"/>
              <w:autoSpaceDE w:val="0"/>
              <w:widowControl/>
              <w:spacing w:line="160" w:lineRule="exact" w:before="56" w:after="0"/>
              <w:ind w:left="92" w:right="0" w:firstLine="0"/>
              <w:jc w:val="left"/>
            </w:pPr>
            <w:r>
              <w:rPr>
                <w:rFonts w:ascii="黑体" w:hAnsi="黑体" w:eastAsia="黑体"/>
                <w:b w:val="0"/>
                <w:i w:val="0"/>
                <w:color w:val="000000"/>
                <w:sz w:val="16"/>
              </w:rPr>
              <w:t>其他债权投资信用损失准备</w:t>
            </w:r>
          </w:p>
        </w:tc>
        <w:tc>
          <w:tcPr>
            <w:tcW w:type="dxa" w:w="1825"/>
            <w:vMerge/>
            <w:tcBorders/>
          </w:tcPr>
          <w:p/>
        </w:tc>
        <w:tc>
          <w:tcPr>
            <w:tcW w:type="dxa" w:w="1825"/>
            <w:vMerge/>
            <w:tcBorders/>
          </w:tcPr>
          <w:p/>
        </w:tc>
        <w:tc>
          <w:tcPr>
            <w:tcW w:type="dxa" w:w="1825"/>
            <w:vMerge/>
            <w:tcBorders/>
          </w:tcPr>
          <w:p/>
        </w:tc>
        <w:tc>
          <w:tcPr>
            <w:tcW w:type="dxa" w:w="1825"/>
            <w:vMerge/>
            <w:tcBorders/>
          </w:tcPr>
          <w:p/>
        </w:tc>
      </w:tr>
      <w:tr>
        <w:trPr>
          <w:trHeight w:hRule="exact" w:val="168"/>
        </w:trPr>
        <w:tc>
          <w:tcPr>
            <w:tcW w:type="dxa" w:w="1825"/>
            <w:vMerge/>
            <w:tcBorders/>
          </w:tcPr>
          <w:p/>
        </w:tc>
        <w:tc>
          <w:tcPr>
            <w:tcW w:type="dxa" w:w="2260"/>
            <w:tcBorders/>
            <w:tcMar>
              <w:start w:w="0" w:type="dxa"/>
              <w:end w:w="0" w:type="dxa"/>
            </w:tcMar>
          </w:tcPr>
          <w:p>
            <w:pPr>
              <w:autoSpaceDN w:val="0"/>
              <w:autoSpaceDE w:val="0"/>
              <w:widowControl/>
              <w:spacing w:line="197" w:lineRule="auto" w:before="8" w:after="0"/>
              <w:ind w:left="0" w:right="270" w:firstLine="0"/>
              <w:jc w:val="right"/>
            </w:pPr>
            <w:r>
              <w:rPr>
                <w:rFonts w:ascii="Calibri" w:hAnsi="Calibri" w:eastAsia="Calibri"/>
                <w:b w:val="0"/>
                <w:i w:val="0"/>
                <w:color w:val="000000"/>
                <w:sz w:val="16"/>
              </w:rPr>
              <w:t xml:space="preserve">5,139,242 </w:t>
            </w:r>
          </w:p>
        </w:tc>
        <w:tc>
          <w:tcPr>
            <w:tcW w:type="dxa" w:w="1320"/>
            <w:tcBorders/>
            <w:tcMar>
              <w:start w:w="0" w:type="dxa"/>
              <w:end w:w="0" w:type="dxa"/>
            </w:tcMar>
          </w:tcPr>
          <w:p>
            <w:pPr>
              <w:autoSpaceDN w:val="0"/>
              <w:autoSpaceDE w:val="0"/>
              <w:widowControl/>
              <w:spacing w:line="197" w:lineRule="auto" w:before="8" w:after="0"/>
              <w:ind w:left="0" w:right="0" w:firstLine="0"/>
              <w:jc w:val="center"/>
            </w:pPr>
            <w:r>
              <w:rPr>
                <w:rFonts w:ascii="Calibri" w:hAnsi="Calibri" w:eastAsia="Calibri"/>
                <w:b w:val="0"/>
                <w:i w:val="0"/>
                <w:color w:val="000000"/>
                <w:sz w:val="16"/>
              </w:rPr>
              <w:t>1,037,259</w:t>
            </w:r>
          </w:p>
        </w:tc>
        <w:tc>
          <w:tcPr>
            <w:tcW w:type="dxa" w:w="1260"/>
            <w:tcBorders/>
            <w:tcMar>
              <w:start w:w="0" w:type="dxa"/>
              <w:end w:w="0" w:type="dxa"/>
            </w:tcMar>
          </w:tcPr>
          <w:p>
            <w:pPr>
              <w:autoSpaceDN w:val="0"/>
              <w:autoSpaceDE w:val="0"/>
              <w:widowControl/>
              <w:spacing w:line="197" w:lineRule="auto" w:before="8" w:after="0"/>
              <w:ind w:left="0" w:right="266" w:firstLine="0"/>
              <w:jc w:val="right"/>
            </w:pPr>
            <w:r>
              <w:rPr>
                <w:rFonts w:ascii="Calibri" w:hAnsi="Calibri" w:eastAsia="Calibri"/>
                <w:b w:val="0"/>
                <w:i w:val="0"/>
                <w:color w:val="000000"/>
                <w:sz w:val="16"/>
              </w:rPr>
              <w:t>5,139,242</w:t>
            </w:r>
          </w:p>
        </w:tc>
        <w:tc>
          <w:tcPr>
            <w:tcW w:type="dxa" w:w="1000"/>
            <w:tcBorders/>
            <w:tcMar>
              <w:start w:w="0" w:type="dxa"/>
              <w:end w:w="0" w:type="dxa"/>
            </w:tcMar>
          </w:tcPr>
          <w:p>
            <w:pPr>
              <w:autoSpaceDN w:val="0"/>
              <w:autoSpaceDE w:val="0"/>
              <w:widowControl/>
              <w:spacing w:line="197" w:lineRule="auto" w:before="8" w:after="0"/>
              <w:ind w:left="0" w:right="82" w:firstLine="0"/>
              <w:jc w:val="right"/>
            </w:pPr>
            <w:r>
              <w:rPr>
                <w:rFonts w:ascii="Calibri" w:hAnsi="Calibri" w:eastAsia="Calibri"/>
                <w:b w:val="0"/>
                <w:i w:val="0"/>
                <w:color w:val="000000"/>
                <w:sz w:val="16"/>
              </w:rPr>
              <w:t>1,037,259</w:t>
            </w:r>
          </w:p>
        </w:tc>
      </w:tr>
      <w:tr>
        <w:trPr>
          <w:trHeight w:hRule="exact" w:val="200"/>
        </w:trPr>
        <w:tc>
          <w:tcPr>
            <w:tcW w:type="dxa" w:w="3200"/>
            <w:tcBorders/>
            <w:tcMar>
              <w:start w:w="0" w:type="dxa"/>
              <w:end w:w="0" w:type="dxa"/>
            </w:tcMar>
          </w:tcPr>
          <w:p>
            <w:pPr>
              <w:autoSpaceDN w:val="0"/>
              <w:autoSpaceDE w:val="0"/>
              <w:widowControl/>
              <w:spacing w:line="160" w:lineRule="exact" w:before="40" w:after="0"/>
              <w:ind w:left="92" w:right="0" w:firstLine="0"/>
              <w:jc w:val="left"/>
            </w:pPr>
            <w:r>
              <w:rPr>
                <w:rFonts w:ascii="黑体" w:hAnsi="黑体" w:eastAsia="黑体"/>
                <w:b w:val="0"/>
                <w:i w:val="0"/>
                <w:color w:val="000000"/>
                <w:sz w:val="16"/>
              </w:rPr>
              <w:t>外币财务报表折算差额</w:t>
            </w:r>
          </w:p>
        </w:tc>
        <w:tc>
          <w:tcPr>
            <w:tcW w:type="dxa" w:w="2260"/>
            <w:vMerge w:val="restart"/>
            <w:tcBorders/>
            <w:tcMar>
              <w:start w:w="0" w:type="dxa"/>
              <w:end w:w="0" w:type="dxa"/>
            </w:tcMar>
            <w:tcMar>
              <w:start w:w="0" w:type="dxa"/>
              <w:end w:w="0" w:type="dxa"/>
            </w:tcMar>
          </w:tcPr>
          <w:p>
            <w:pPr>
              <w:autoSpaceDN w:val="0"/>
              <w:autoSpaceDE w:val="0"/>
              <w:widowControl/>
              <w:spacing w:line="197" w:lineRule="auto" w:before="62" w:after="0"/>
              <w:ind w:left="0" w:right="270" w:firstLine="0"/>
              <w:jc w:val="right"/>
            </w:pPr>
            <w:r>
              <w:rPr>
                <w:rFonts w:ascii="Calibri" w:hAnsi="Calibri" w:eastAsia="Calibri"/>
                <w:b w:val="0"/>
                <w:i w:val="0"/>
                <w:color w:val="000000"/>
                <w:sz w:val="16"/>
              </w:rPr>
              <w:t xml:space="preserve">16,060,235 </w:t>
            </w:r>
          </w:p>
        </w:tc>
        <w:tc>
          <w:tcPr>
            <w:tcW w:type="dxa" w:w="1320"/>
            <w:vMerge w:val="restart"/>
            <w:tcBorders/>
            <w:tcMar>
              <w:start w:w="0" w:type="dxa"/>
              <w:end w:w="0" w:type="dxa"/>
            </w:tcMar>
            <w:tcMar>
              <w:start w:w="0" w:type="dxa"/>
              <w:end w:w="0" w:type="dxa"/>
            </w:tcMar>
          </w:tcPr>
          <w:p>
            <w:pPr>
              <w:autoSpaceDN w:val="0"/>
              <w:autoSpaceDE w:val="0"/>
              <w:widowControl/>
              <w:spacing w:line="197" w:lineRule="auto" w:before="62" w:after="0"/>
              <w:ind w:left="224" w:right="0" w:firstLine="0"/>
              <w:jc w:val="left"/>
            </w:pPr>
            <w:r>
              <w:rPr>
                <w:rFonts w:ascii="Calibri" w:hAnsi="Calibri" w:eastAsia="Calibri"/>
                <w:b w:val="0"/>
                <w:i w:val="0"/>
                <w:color w:val="000000"/>
                <w:sz w:val="16"/>
              </w:rPr>
              <w:t>10,333,346</w:t>
            </w:r>
          </w:p>
        </w:tc>
        <w:tc>
          <w:tcPr>
            <w:tcW w:type="dxa" w:w="1260"/>
            <w:vMerge w:val="restart"/>
            <w:tcBorders/>
            <w:tcMar>
              <w:start w:w="0" w:type="dxa"/>
              <w:end w:w="0" w:type="dxa"/>
            </w:tcMar>
            <w:tcMar>
              <w:start w:w="0" w:type="dxa"/>
              <w:end w:w="0" w:type="dxa"/>
            </w:tcMar>
          </w:tcPr>
          <w:p>
            <w:pPr>
              <w:autoSpaceDN w:val="0"/>
              <w:autoSpaceDE w:val="0"/>
              <w:widowControl/>
              <w:spacing w:line="197" w:lineRule="auto" w:before="62" w:after="0"/>
              <w:ind w:left="0" w:right="266" w:firstLine="0"/>
              <w:jc w:val="right"/>
            </w:pPr>
            <w:r>
              <w:rPr>
                <w:rFonts w:ascii="Calibri" w:hAnsi="Calibri" w:eastAsia="Calibri"/>
                <w:b w:val="0"/>
                <w:i w:val="0"/>
                <w:color w:val="000000"/>
                <w:sz w:val="16"/>
              </w:rPr>
              <w:t>-</w:t>
            </w:r>
          </w:p>
        </w:tc>
        <w:tc>
          <w:tcPr>
            <w:tcW w:type="dxa" w:w="1000"/>
            <w:vMerge w:val="restart"/>
            <w:tcBorders/>
            <w:tcMar>
              <w:start w:w="0" w:type="dxa"/>
              <w:end w:w="0" w:type="dxa"/>
            </w:tcMar>
            <w:tcMar>
              <w:start w:w="0" w:type="dxa"/>
              <w:end w:w="0" w:type="dxa"/>
            </w:tcMar>
          </w:tcPr>
          <w:p>
            <w:pPr>
              <w:autoSpaceDN w:val="0"/>
              <w:autoSpaceDE w:val="0"/>
              <w:widowControl/>
              <w:spacing w:line="197" w:lineRule="auto" w:before="62" w:after="0"/>
              <w:ind w:left="0" w:right="82" w:firstLine="0"/>
              <w:jc w:val="right"/>
            </w:pPr>
            <w:r>
              <w:rPr>
                <w:rFonts w:ascii="Calibri" w:hAnsi="Calibri" w:eastAsia="Calibri"/>
                <w:b w:val="0"/>
                <w:i w:val="0"/>
                <w:color w:val="000000"/>
                <w:sz w:val="16"/>
              </w:rPr>
              <w:t>-</w:t>
            </w:r>
          </w:p>
        </w:tc>
      </w:tr>
      <w:tr>
        <w:trPr>
          <w:trHeight w:hRule="exact" w:val="46"/>
        </w:trPr>
        <w:tc>
          <w:tcPr>
            <w:tcW w:type="dxa" w:w="3200"/>
            <w:vMerge w:val="restart"/>
            <w:tcBorders/>
            <w:tcMar>
              <w:start w:w="0" w:type="dxa"/>
              <w:end w:w="0" w:type="dxa"/>
            </w:tcMar>
            <w:tcMar>
              <w:start w:w="0" w:type="dxa"/>
              <w:end w:w="0" w:type="dxa"/>
            </w:tcMar>
          </w:tcPr>
          <w:p>
            <w:pPr>
              <w:autoSpaceDN w:val="0"/>
              <w:autoSpaceDE w:val="0"/>
              <w:widowControl/>
              <w:spacing w:line="162" w:lineRule="exact" w:before="50" w:after="0"/>
              <w:ind w:left="92" w:right="0" w:firstLine="0"/>
              <w:jc w:val="left"/>
            </w:pPr>
            <w:r>
              <w:rPr>
                <w:rFonts w:ascii="黑体" w:hAnsi="黑体" w:eastAsia="黑体"/>
                <w:b w:val="0"/>
                <w:i w:val="0"/>
                <w:color w:val="000000"/>
                <w:sz w:val="16"/>
              </w:rPr>
              <w:t>现金流量套期储备</w:t>
            </w:r>
          </w:p>
        </w:tc>
        <w:tc>
          <w:tcPr>
            <w:tcW w:type="dxa" w:w="1825"/>
            <w:vMerge/>
            <w:tcBorders/>
          </w:tcPr>
          <w:p/>
        </w:tc>
        <w:tc>
          <w:tcPr>
            <w:tcW w:type="dxa" w:w="1825"/>
            <w:vMerge/>
            <w:tcBorders/>
          </w:tcPr>
          <w:p/>
        </w:tc>
        <w:tc>
          <w:tcPr>
            <w:tcW w:type="dxa" w:w="1825"/>
            <w:vMerge/>
            <w:tcBorders/>
          </w:tcPr>
          <w:p/>
        </w:tc>
        <w:tc>
          <w:tcPr>
            <w:tcW w:type="dxa" w:w="1825"/>
            <w:vMerge/>
            <w:tcBorders/>
          </w:tcPr>
          <w:p/>
        </w:tc>
      </w:tr>
      <w:tr>
        <w:trPr>
          <w:trHeight w:hRule="exact" w:val="246"/>
        </w:trPr>
        <w:tc>
          <w:tcPr>
            <w:tcW w:type="dxa" w:w="1825"/>
            <w:vMerge/>
            <w:tcBorders/>
          </w:tcPr>
          <w:p/>
        </w:tc>
        <w:tc>
          <w:tcPr>
            <w:tcW w:type="dxa" w:w="2260"/>
            <w:tcBorders/>
            <w:tcMar>
              <w:start w:w="0" w:type="dxa"/>
              <w:end w:w="0" w:type="dxa"/>
            </w:tcMar>
          </w:tcPr>
          <w:p>
            <w:pPr>
              <w:autoSpaceDN w:val="0"/>
              <w:autoSpaceDE w:val="0"/>
              <w:widowControl/>
              <w:spacing w:line="199" w:lineRule="auto" w:before="24" w:after="0"/>
              <w:ind w:left="0" w:right="270" w:firstLine="0"/>
              <w:jc w:val="right"/>
            </w:pPr>
            <w:r>
              <w:rPr>
                <w:rFonts w:ascii="Calibri" w:hAnsi="Calibri" w:eastAsia="Calibri"/>
                <w:b w:val="0"/>
                <w:i w:val="0"/>
                <w:color w:val="000000"/>
                <w:sz w:val="16"/>
              </w:rPr>
              <w:t xml:space="preserve">8,806,855 </w:t>
            </w:r>
          </w:p>
        </w:tc>
        <w:tc>
          <w:tcPr>
            <w:tcW w:type="dxa" w:w="1320"/>
            <w:tcBorders/>
            <w:tcMar>
              <w:start w:w="0" w:type="dxa"/>
              <w:end w:w="0" w:type="dxa"/>
            </w:tcMar>
          </w:tcPr>
          <w:p>
            <w:pPr>
              <w:autoSpaceDN w:val="0"/>
              <w:autoSpaceDE w:val="0"/>
              <w:widowControl/>
              <w:spacing w:line="199" w:lineRule="auto" w:before="24" w:after="0"/>
              <w:ind w:left="224" w:right="0" w:firstLine="0"/>
              <w:jc w:val="left"/>
            </w:pPr>
            <w:r>
              <w:rPr>
                <w:rFonts w:ascii="Calibri" w:hAnsi="Calibri" w:eastAsia="Calibri"/>
                <w:b w:val="0"/>
                <w:i w:val="0"/>
                <w:color w:val="000000"/>
                <w:sz w:val="16"/>
              </w:rPr>
              <w:t>21,270,959</w:t>
            </w:r>
          </w:p>
        </w:tc>
        <w:tc>
          <w:tcPr>
            <w:tcW w:type="dxa" w:w="1260"/>
            <w:tcBorders/>
            <w:tcMar>
              <w:start w:w="0" w:type="dxa"/>
              <w:end w:w="0" w:type="dxa"/>
            </w:tcMar>
          </w:tcPr>
          <w:p>
            <w:pPr>
              <w:autoSpaceDN w:val="0"/>
              <w:autoSpaceDE w:val="0"/>
              <w:widowControl/>
              <w:spacing w:line="199" w:lineRule="auto" w:before="24" w:after="0"/>
              <w:ind w:left="0" w:right="266" w:firstLine="0"/>
              <w:jc w:val="right"/>
            </w:pPr>
            <w:r>
              <w:rPr>
                <w:rFonts w:ascii="Calibri" w:hAnsi="Calibri" w:eastAsia="Calibri"/>
                <w:b w:val="0"/>
                <w:i w:val="0"/>
                <w:color w:val="000000"/>
                <w:sz w:val="16"/>
              </w:rPr>
              <w:t>8,806,855</w:t>
            </w:r>
          </w:p>
        </w:tc>
        <w:tc>
          <w:tcPr>
            <w:tcW w:type="dxa" w:w="1000"/>
            <w:tcBorders/>
            <w:tcMar>
              <w:start w:w="0" w:type="dxa"/>
              <w:end w:w="0" w:type="dxa"/>
            </w:tcMar>
          </w:tcPr>
          <w:p>
            <w:pPr>
              <w:autoSpaceDN w:val="0"/>
              <w:autoSpaceDE w:val="0"/>
              <w:widowControl/>
              <w:spacing w:line="199" w:lineRule="auto" w:before="24" w:after="0"/>
              <w:ind w:left="186" w:right="0" w:firstLine="0"/>
              <w:jc w:val="left"/>
            </w:pPr>
            <w:r>
              <w:rPr>
                <w:rFonts w:ascii="Calibri" w:hAnsi="Calibri" w:eastAsia="Calibri"/>
                <w:b w:val="0"/>
                <w:i w:val="0"/>
                <w:color w:val="000000"/>
                <w:sz w:val="16"/>
              </w:rPr>
              <w:t>21,270,959</w:t>
            </w:r>
          </w:p>
        </w:tc>
      </w:tr>
    </w:tbl>
    <w:p>
      <w:pPr>
        <w:autoSpaceDN w:val="0"/>
        <w:autoSpaceDE w:val="0"/>
        <w:widowControl/>
        <w:spacing w:line="160" w:lineRule="exact" w:before="162" w:after="24"/>
        <w:ind w:left="8" w:right="0" w:firstLine="0"/>
        <w:jc w:val="left"/>
      </w:pPr>
      <w:r>
        <w:rPr>
          <w:rFonts w:ascii="黑体" w:hAnsi="黑体" w:eastAsia="黑体"/>
          <w:b w:val="0"/>
          <w:i w:val="0"/>
          <w:color w:val="000000"/>
          <w:sz w:val="16"/>
        </w:rPr>
        <w:t>归属于少数股东的其他综合收益的</w:t>
      </w:r>
    </w:p>
    <w:tbl>
      <w:tblPr>
        <w:tblW w:type="auto" w:w="0"/>
        <w:tblLayout w:type="fixed"/>
        <w:tblLook w:firstColumn="1" w:firstRow="1" w:lastColumn="0" w:lastRow="0" w:noHBand="0" w:noVBand="1" w:val="04A0"/>
        <w:tblInd w:w="-11.999999999999886" w:type="dxa"/>
      </w:tblPr>
      <w:tblGrid>
        <w:gridCol w:w="1521"/>
        <w:gridCol w:w="1521"/>
        <w:gridCol w:w="1521"/>
        <w:gridCol w:w="1521"/>
        <w:gridCol w:w="1521"/>
        <w:gridCol w:w="1521"/>
      </w:tblGrid>
      <w:tr>
        <w:trPr>
          <w:trHeight w:hRule="exact" w:val="210"/>
        </w:trPr>
        <w:tc>
          <w:tcPr>
            <w:tcW w:type="dxa" w:w="2360"/>
            <w:tcBorders>
              <w:bottom w:sz="4.0" w:val="single" w:color="#000000"/>
            </w:tcBorders>
            <w:tcMar>
              <w:start w:w="0" w:type="dxa"/>
              <w:end w:w="0" w:type="dxa"/>
            </w:tcMar>
          </w:tcPr>
          <w:p>
            <w:pPr>
              <w:autoSpaceDN w:val="0"/>
              <w:autoSpaceDE w:val="0"/>
              <w:widowControl/>
              <w:spacing w:line="162" w:lineRule="exact" w:before="22" w:after="0"/>
              <w:ind w:left="174" w:right="0" w:firstLine="0"/>
              <w:jc w:val="left"/>
            </w:pPr>
            <w:r>
              <w:rPr>
                <w:rFonts w:ascii="黑体" w:hAnsi="黑体" w:eastAsia="黑体"/>
                <w:b w:val="0"/>
                <w:i w:val="0"/>
                <w:color w:val="000000"/>
                <w:sz w:val="16"/>
              </w:rPr>
              <w:t>税后净额</w:t>
            </w:r>
          </w:p>
        </w:tc>
        <w:tc>
          <w:tcPr>
            <w:tcW w:type="dxa" w:w="1700"/>
            <w:tcBorders>
              <w:bottom w:sz="4.0" w:val="single" w:color="#000000"/>
            </w:tcBorders>
            <w:tcMar>
              <w:start w:w="0" w:type="dxa"/>
              <w:end w:w="0" w:type="dxa"/>
            </w:tcMar>
          </w:tcPr>
          <w:p/>
        </w:tc>
        <w:tc>
          <w:tcPr>
            <w:tcW w:type="dxa" w:w="1386"/>
            <w:tcBorders>
              <w:bottom w:sz="4.0" w:val="single" w:color="#000000"/>
            </w:tcBorders>
            <w:tcMar>
              <w:start w:w="0" w:type="dxa"/>
              <w:end w:w="0" w:type="dxa"/>
            </w:tcMar>
          </w:tcPr>
          <w:p>
            <w:pPr>
              <w:autoSpaceDN w:val="0"/>
              <w:autoSpaceDE w:val="0"/>
              <w:widowControl/>
              <w:spacing w:line="199" w:lineRule="auto" w:before="42" w:after="0"/>
              <w:ind w:left="0" w:right="176" w:firstLine="0"/>
              <w:jc w:val="right"/>
            </w:pPr>
            <w:r>
              <w:rPr>
                <w:rFonts w:ascii="Calibri" w:hAnsi="Calibri" w:eastAsia="Calibri"/>
                <w:b w:val="0"/>
                <w:i w:val="0"/>
                <w:color w:val="000000"/>
                <w:sz w:val="16"/>
              </w:rPr>
              <w:t xml:space="preserve">- </w:t>
            </w:r>
          </w:p>
        </w:tc>
        <w:tc>
          <w:tcPr>
            <w:tcW w:type="dxa" w:w="1260"/>
            <w:tcBorders>
              <w:bottom w:sz="4.0" w:val="single" w:color="#000000"/>
            </w:tcBorders>
            <w:tcMar>
              <w:start w:w="0" w:type="dxa"/>
              <w:end w:w="0" w:type="dxa"/>
            </w:tcMar>
          </w:tcPr>
          <w:p>
            <w:pPr>
              <w:autoSpaceDN w:val="0"/>
              <w:autoSpaceDE w:val="0"/>
              <w:widowControl/>
              <w:spacing w:line="199" w:lineRule="auto" w:before="42" w:after="0"/>
              <w:ind w:left="0" w:right="128" w:firstLine="0"/>
              <w:jc w:val="right"/>
            </w:pPr>
            <w:r>
              <w:rPr>
                <w:rFonts w:ascii="Calibri" w:hAnsi="Calibri" w:eastAsia="Calibri"/>
                <w:b w:val="0"/>
                <w:i w:val="0"/>
                <w:color w:val="000000"/>
                <w:sz w:val="16"/>
              </w:rPr>
              <w:t xml:space="preserve">(292,667) </w:t>
            </w:r>
          </w:p>
        </w:tc>
        <w:tc>
          <w:tcPr>
            <w:tcW w:type="dxa" w:w="1342"/>
            <w:tcBorders>
              <w:bottom w:sz="4.0" w:val="single" w:color="#000000"/>
            </w:tcBorders>
            <w:tcMar>
              <w:start w:w="0" w:type="dxa"/>
              <w:end w:w="0" w:type="dxa"/>
            </w:tcMar>
          </w:tcPr>
          <w:p>
            <w:pPr>
              <w:autoSpaceDN w:val="0"/>
              <w:autoSpaceDE w:val="0"/>
              <w:widowControl/>
              <w:spacing w:line="162" w:lineRule="exact" w:before="22" w:after="0"/>
              <w:ind w:left="0" w:right="192" w:firstLine="0"/>
              <w:jc w:val="right"/>
            </w:pPr>
            <w:r>
              <w:rPr>
                <w:rFonts w:ascii="黑体" w:hAnsi="黑体" w:eastAsia="黑体"/>
                <w:b w:val="0"/>
                <w:i w:val="0"/>
                <w:color w:val="000000"/>
                <w:sz w:val="16"/>
              </w:rPr>
              <w:t>不适用</w:t>
            </w:r>
          </w:p>
        </w:tc>
        <w:tc>
          <w:tcPr>
            <w:tcW w:type="dxa" w:w="988"/>
            <w:tcBorders>
              <w:bottom w:sz="4.0" w:val="single" w:color="#000000"/>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不适用</w:t>
            </w:r>
          </w:p>
        </w:tc>
      </w:tr>
      <w:tr>
        <w:trPr>
          <w:trHeight w:hRule="exact" w:val="414"/>
        </w:trPr>
        <w:tc>
          <w:tcPr>
            <w:tcW w:type="dxa" w:w="2360"/>
            <w:tcBorders>
              <w:top w:sz="4.0" w:val="single" w:color="#000000"/>
              <w:bottom w:sz="3.200000000000273" w:val="single" w:color="#000000"/>
            </w:tcBorders>
            <w:tcMar>
              <w:start w:w="0" w:type="dxa"/>
              <w:end w:w="0" w:type="dxa"/>
            </w:tcMar>
          </w:tcPr>
          <w:p>
            <w:pPr>
              <w:autoSpaceDN w:val="0"/>
              <w:autoSpaceDE w:val="0"/>
              <w:widowControl/>
              <w:spacing w:line="160" w:lineRule="exact" w:before="222" w:after="0"/>
              <w:ind w:left="20" w:right="0" w:firstLine="0"/>
              <w:jc w:val="left"/>
            </w:pPr>
            <w:r>
              <w:rPr>
                <w:rFonts w:ascii="黑体" w:hAnsi="黑体" w:eastAsia="黑体"/>
                <w:b w:val="0"/>
                <w:i w:val="0"/>
                <w:color w:val="000000"/>
                <w:sz w:val="16"/>
              </w:rPr>
              <w:t>其他综合收益的税后净额</w:t>
            </w:r>
          </w:p>
        </w:tc>
        <w:tc>
          <w:tcPr>
            <w:tcW w:type="dxa" w:w="1700"/>
            <w:tcBorders>
              <w:top w:sz="4.0" w:val="single" w:color="#000000"/>
              <w:bottom w:sz="3.200000000000273" w:val="single" w:color="#000000"/>
            </w:tcBorders>
            <w:tcMar>
              <w:start w:w="0" w:type="dxa"/>
              <w:end w:w="0" w:type="dxa"/>
            </w:tcMar>
          </w:tcPr>
          <w:p>
            <w:pPr>
              <w:autoSpaceDN w:val="0"/>
              <w:autoSpaceDE w:val="0"/>
              <w:widowControl/>
              <w:spacing w:line="178" w:lineRule="exact" w:before="222" w:after="0"/>
              <w:ind w:left="0" w:right="734"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35 </w:t>
            </w:r>
          </w:p>
        </w:tc>
        <w:tc>
          <w:tcPr>
            <w:tcW w:type="dxa" w:w="1386"/>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0" w:right="176" w:firstLine="0"/>
              <w:jc w:val="right"/>
            </w:pPr>
            <w:r>
              <w:rPr>
                <w:rFonts w:ascii="Calibri" w:hAnsi="Calibri" w:eastAsia="Calibri"/>
                <w:b w:val="0"/>
                <w:i w:val="0"/>
                <w:color w:val="000000"/>
                <w:sz w:val="16"/>
              </w:rPr>
              <w:t xml:space="preserve">14,017,245 </w:t>
            </w:r>
          </w:p>
        </w:tc>
        <w:tc>
          <w:tcPr>
            <w:tcW w:type="dxa" w:w="1260"/>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0" w:right="210" w:firstLine="0"/>
              <w:jc w:val="right"/>
            </w:pPr>
            <w:r>
              <w:rPr>
                <w:rFonts w:ascii="Calibri" w:hAnsi="Calibri" w:eastAsia="Calibri"/>
                <w:b w:val="0"/>
                <w:i w:val="0"/>
                <w:color w:val="000000"/>
                <w:sz w:val="16"/>
              </w:rPr>
              <w:t>20,166,564</w:t>
            </w:r>
          </w:p>
        </w:tc>
        <w:tc>
          <w:tcPr>
            <w:tcW w:type="dxa" w:w="1342"/>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0" w:right="110" w:firstLine="0"/>
              <w:jc w:val="right"/>
            </w:pPr>
            <w:r>
              <w:rPr>
                <w:rFonts w:ascii="Calibri" w:hAnsi="Calibri" w:eastAsia="Calibri"/>
                <w:b w:val="0"/>
                <w:i w:val="0"/>
                <w:color w:val="000000"/>
                <w:sz w:val="16"/>
              </w:rPr>
              <w:t xml:space="preserve">(3,584,169) </w:t>
            </w:r>
          </w:p>
        </w:tc>
        <w:tc>
          <w:tcPr>
            <w:tcW w:type="dxa" w:w="988"/>
            <w:tcBorders>
              <w:top w:sz="4.0" w:val="single" w:color="#000000"/>
              <w:bottom w:sz="3.200000000000273" w:val="single" w:color="#000000"/>
            </w:tcBorders>
            <w:tcMar>
              <w:start w:w="0" w:type="dxa"/>
              <w:end w:w="0" w:type="dxa"/>
            </w:tcMar>
          </w:tcPr>
          <w:p>
            <w:pPr>
              <w:autoSpaceDN w:val="0"/>
              <w:autoSpaceDE w:val="0"/>
              <w:widowControl/>
              <w:spacing w:line="197" w:lineRule="auto" w:before="242" w:after="0"/>
              <w:ind w:left="0" w:right="0" w:firstLine="0"/>
              <w:jc w:val="right"/>
            </w:pPr>
            <w:r>
              <w:rPr>
                <w:rFonts w:ascii="Calibri" w:hAnsi="Calibri" w:eastAsia="Calibri"/>
                <w:b w:val="0"/>
                <w:i w:val="0"/>
                <w:color w:val="000000"/>
                <w:sz w:val="16"/>
              </w:rPr>
              <w:t>8,803,460</w:t>
            </w:r>
          </w:p>
        </w:tc>
      </w:tr>
      <w:tr>
        <w:trPr>
          <w:trHeight w:hRule="exact" w:val="424"/>
        </w:trPr>
        <w:tc>
          <w:tcPr>
            <w:tcW w:type="dxa" w:w="2360"/>
            <w:tcBorders>
              <w:top w:sz="3.200000000000273" w:val="single" w:color="#000000"/>
              <w:bottom w:sz="4.0" w:val="single" w:color="#000000"/>
            </w:tcBorders>
            <w:tcMar>
              <w:start w:w="0" w:type="dxa"/>
              <w:end w:w="0" w:type="dxa"/>
            </w:tcMar>
          </w:tcPr>
          <w:p>
            <w:pPr>
              <w:autoSpaceDN w:val="0"/>
              <w:autoSpaceDE w:val="0"/>
              <w:widowControl/>
              <w:spacing w:line="160" w:lineRule="exact" w:before="220" w:after="0"/>
              <w:ind w:left="20" w:right="0" w:firstLine="0"/>
              <w:jc w:val="left"/>
            </w:pPr>
            <w:r>
              <w:rPr>
                <w:rFonts w:ascii="黑体" w:hAnsi="黑体" w:eastAsia="黑体"/>
                <w:b w:val="0"/>
                <w:i w:val="0"/>
                <w:color w:val="000000"/>
                <w:sz w:val="16"/>
              </w:rPr>
              <w:t>综合收益总额</w:t>
            </w:r>
          </w:p>
        </w:tc>
        <w:tc>
          <w:tcPr>
            <w:tcW w:type="dxa" w:w="1700"/>
            <w:tcBorders>
              <w:top w:sz="3.200000000000273" w:val="single" w:color="#000000"/>
            </w:tcBorders>
            <w:tcMar>
              <w:start w:w="0" w:type="dxa"/>
              <w:end w:w="0" w:type="dxa"/>
            </w:tcMar>
          </w:tcPr>
          <w:p/>
        </w:tc>
        <w:tc>
          <w:tcPr>
            <w:tcW w:type="dxa" w:w="1386"/>
            <w:tcBorders>
              <w:top w:sz="3.200000000000273" w:val="single" w:color="#000000"/>
            </w:tcBorders>
            <w:tcMar>
              <w:start w:w="0" w:type="dxa"/>
              <w:end w:w="0" w:type="dxa"/>
            </w:tcMar>
          </w:tcPr>
          <w:p>
            <w:pPr>
              <w:autoSpaceDN w:val="0"/>
              <w:autoSpaceDE w:val="0"/>
              <w:widowControl/>
              <w:spacing w:line="197" w:lineRule="auto" w:before="240" w:after="0"/>
              <w:ind w:left="0" w:right="176" w:firstLine="0"/>
              <w:jc w:val="right"/>
            </w:pPr>
            <w:r>
              <w:rPr>
                <w:rFonts w:ascii="Calibri" w:hAnsi="Calibri" w:eastAsia="Calibri"/>
                <w:b w:val="0"/>
                <w:i w:val="0"/>
                <w:color w:val="000000"/>
                <w:sz w:val="16"/>
              </w:rPr>
              <w:t xml:space="preserve">704,750,875 </w:t>
            </w:r>
          </w:p>
        </w:tc>
        <w:tc>
          <w:tcPr>
            <w:tcW w:type="dxa" w:w="1260"/>
            <w:tcBorders>
              <w:top w:sz="3.200000000000273" w:val="single" w:color="#000000"/>
            </w:tcBorders>
            <w:tcMar>
              <w:start w:w="0" w:type="dxa"/>
              <w:end w:w="0" w:type="dxa"/>
            </w:tcMar>
          </w:tcPr>
          <w:p>
            <w:pPr>
              <w:autoSpaceDN w:val="0"/>
              <w:autoSpaceDE w:val="0"/>
              <w:widowControl/>
              <w:spacing w:line="197" w:lineRule="auto" w:before="240" w:after="0"/>
              <w:ind w:left="0" w:right="0" w:firstLine="0"/>
              <w:jc w:val="center"/>
            </w:pPr>
            <w:r>
              <w:rPr>
                <w:rFonts w:ascii="Calibri" w:hAnsi="Calibri" w:eastAsia="Calibri"/>
                <w:b w:val="0"/>
                <w:i w:val="0"/>
                <w:color w:val="000000"/>
                <w:sz w:val="16"/>
              </w:rPr>
              <w:t>612,190,750</w:t>
            </w:r>
          </w:p>
        </w:tc>
        <w:tc>
          <w:tcPr>
            <w:tcW w:type="dxa" w:w="1342"/>
            <w:tcBorders>
              <w:top w:sz="3.200000000000273" w:val="single" w:color="#000000"/>
            </w:tcBorders>
            <w:tcMar>
              <w:start w:w="0" w:type="dxa"/>
              <w:end w:w="0" w:type="dxa"/>
            </w:tcMar>
          </w:tcPr>
          <w:p>
            <w:pPr>
              <w:autoSpaceDN w:val="0"/>
              <w:autoSpaceDE w:val="0"/>
              <w:widowControl/>
              <w:spacing w:line="197" w:lineRule="auto" w:before="240" w:after="0"/>
              <w:ind w:left="0" w:right="192" w:firstLine="0"/>
              <w:jc w:val="right"/>
            </w:pPr>
            <w:r>
              <w:rPr>
                <w:rFonts w:ascii="Calibri" w:hAnsi="Calibri" w:eastAsia="Calibri"/>
                <w:b w:val="0"/>
                <w:i w:val="0"/>
                <w:color w:val="000000"/>
                <w:sz w:val="16"/>
              </w:rPr>
              <w:t>616,583,287</w:t>
            </w:r>
          </w:p>
        </w:tc>
        <w:tc>
          <w:tcPr>
            <w:tcW w:type="dxa" w:w="988"/>
            <w:tcBorders>
              <w:top w:sz="3.200000000000273" w:val="single" w:color="#000000"/>
            </w:tcBorders>
            <w:tcMar>
              <w:start w:w="0" w:type="dxa"/>
              <w:end w:w="0" w:type="dxa"/>
            </w:tcMar>
          </w:tcPr>
          <w:p>
            <w:pPr>
              <w:autoSpaceDN w:val="0"/>
              <w:autoSpaceDE w:val="0"/>
              <w:widowControl/>
              <w:spacing w:line="197" w:lineRule="auto" w:before="240" w:after="0"/>
              <w:ind w:left="180" w:right="0" w:firstLine="0"/>
              <w:jc w:val="left"/>
            </w:pPr>
            <w:r>
              <w:rPr>
                <w:rFonts w:ascii="Calibri" w:hAnsi="Calibri" w:eastAsia="Calibri"/>
                <w:b w:val="0"/>
                <w:i w:val="0"/>
                <w:color w:val="000000"/>
                <w:sz w:val="16"/>
              </w:rPr>
              <w:t>526,768,922</w:t>
            </w:r>
          </w:p>
        </w:tc>
      </w:tr>
    </w:tbl>
    <w:p>
      <w:pPr>
        <w:autoSpaceDN w:val="0"/>
        <w:autoSpaceDE w:val="0"/>
        <w:widowControl/>
        <w:spacing w:line="160" w:lineRule="exact" w:before="38" w:after="24"/>
        <w:ind w:left="176" w:right="0" w:firstLine="0"/>
        <w:jc w:val="left"/>
      </w:pPr>
      <w:r>
        <w:rPr>
          <w:rFonts w:ascii="黑体" w:hAnsi="黑体" w:eastAsia="黑体"/>
          <w:b w:val="0"/>
          <w:i w:val="0"/>
          <w:color w:val="000000"/>
          <w:sz w:val="16"/>
        </w:rPr>
        <w:t>其中：</w:t>
      </w:r>
    </w:p>
    <w:tbl>
      <w:tblPr>
        <w:tblW w:type="auto" w:w="0"/>
        <w:tblLayout w:type="fixed"/>
        <w:tblLook w:firstColumn="1" w:firstRow="1" w:lastColumn="0" w:lastRow="0" w:noHBand="0" w:noVBand="1" w:val="04A0"/>
        <w:tblInd w:w="168.0000000000001" w:type="dxa"/>
      </w:tblPr>
      <w:tblGrid>
        <w:gridCol w:w="1825"/>
        <w:gridCol w:w="1825"/>
        <w:gridCol w:w="1825"/>
        <w:gridCol w:w="1825"/>
        <w:gridCol w:w="1825"/>
      </w:tblGrid>
      <w:tr>
        <w:trPr>
          <w:trHeight w:hRule="exact" w:val="192"/>
        </w:trPr>
        <w:tc>
          <w:tcPr>
            <w:tcW w:type="dxa" w:w="3400"/>
            <w:tcBorders/>
            <w:tcMar>
              <w:start w:w="0" w:type="dxa"/>
              <w:end w:w="0" w:type="dxa"/>
            </w:tcMar>
          </w:tcPr>
          <w:p>
            <w:pPr>
              <w:autoSpaceDN w:val="0"/>
              <w:autoSpaceDE w:val="0"/>
              <w:widowControl/>
              <w:spacing w:line="160" w:lineRule="exact" w:before="22" w:after="0"/>
              <w:ind w:left="176" w:right="0" w:firstLine="0"/>
              <w:jc w:val="left"/>
            </w:pPr>
            <w:r>
              <w:rPr>
                <w:rFonts w:ascii="黑体" w:hAnsi="黑体" w:eastAsia="黑体"/>
                <w:b w:val="0"/>
                <w:i w:val="0"/>
                <w:color w:val="000000"/>
                <w:sz w:val="16"/>
              </w:rPr>
              <w:t>归属于母公司股东的综合收益总额</w:t>
            </w:r>
          </w:p>
        </w:tc>
        <w:tc>
          <w:tcPr>
            <w:tcW w:type="dxa" w:w="1920"/>
            <w:tcBorders/>
            <w:tcMar>
              <w:start w:w="0" w:type="dxa"/>
              <w:end w:w="0" w:type="dxa"/>
            </w:tcMar>
          </w:tcPr>
          <w:p>
            <w:pPr>
              <w:autoSpaceDN w:val="0"/>
              <w:autoSpaceDE w:val="0"/>
              <w:widowControl/>
              <w:spacing w:line="197" w:lineRule="auto" w:before="32" w:after="0"/>
              <w:ind w:left="0" w:right="230" w:firstLine="0"/>
              <w:jc w:val="right"/>
            </w:pPr>
            <w:r>
              <w:rPr>
                <w:rFonts w:ascii="Calibri" w:hAnsi="Calibri" w:eastAsia="Calibri"/>
                <w:b w:val="0"/>
                <w:i w:val="0"/>
                <w:color w:val="000000"/>
                <w:sz w:val="16"/>
              </w:rPr>
              <w:t xml:space="preserve">725,849,092 </w:t>
            </w:r>
          </w:p>
        </w:tc>
        <w:tc>
          <w:tcPr>
            <w:tcW w:type="dxa" w:w="1300"/>
            <w:tcBorders/>
            <w:tcMar>
              <w:start w:w="0" w:type="dxa"/>
              <w:end w:w="0" w:type="dxa"/>
            </w:tcMar>
          </w:tcPr>
          <w:p>
            <w:pPr>
              <w:autoSpaceDN w:val="0"/>
              <w:autoSpaceDE w:val="0"/>
              <w:widowControl/>
              <w:spacing w:line="197" w:lineRule="auto" w:before="32" w:after="0"/>
              <w:ind w:left="186" w:right="0" w:firstLine="0"/>
              <w:jc w:val="left"/>
            </w:pPr>
            <w:r>
              <w:rPr>
                <w:rFonts w:ascii="Calibri" w:hAnsi="Calibri" w:eastAsia="Calibri"/>
                <w:b w:val="0"/>
                <w:i w:val="0"/>
                <w:color w:val="000000"/>
                <w:sz w:val="16"/>
              </w:rPr>
              <w:t>640,220,735</w:t>
            </w:r>
          </w:p>
        </w:tc>
        <w:tc>
          <w:tcPr>
            <w:tcW w:type="dxa" w:w="1240"/>
            <w:tcBorders/>
            <w:tcMar>
              <w:start w:w="0" w:type="dxa"/>
              <w:end w:w="0" w:type="dxa"/>
            </w:tcMar>
          </w:tcPr>
          <w:p>
            <w:pPr>
              <w:autoSpaceDN w:val="0"/>
              <w:autoSpaceDE w:val="0"/>
              <w:widowControl/>
              <w:spacing w:line="197" w:lineRule="auto" w:before="32" w:after="0"/>
              <w:ind w:left="0" w:right="0" w:firstLine="0"/>
              <w:jc w:val="center"/>
            </w:pPr>
            <w:r>
              <w:rPr>
                <w:rFonts w:ascii="Calibri" w:hAnsi="Calibri" w:eastAsia="Calibri"/>
                <w:b w:val="0"/>
                <w:i w:val="0"/>
                <w:color w:val="000000"/>
                <w:sz w:val="16"/>
              </w:rPr>
              <w:t>616,583,287</w:t>
            </w:r>
          </w:p>
        </w:tc>
        <w:tc>
          <w:tcPr>
            <w:tcW w:type="dxa" w:w="1040"/>
            <w:tcBorders/>
            <w:tcMar>
              <w:start w:w="0" w:type="dxa"/>
              <w:end w:w="0" w:type="dxa"/>
            </w:tcMar>
          </w:tcPr>
          <w:p>
            <w:pPr>
              <w:autoSpaceDN w:val="0"/>
              <w:autoSpaceDE w:val="0"/>
              <w:widowControl/>
              <w:spacing w:line="197" w:lineRule="auto" w:before="32" w:after="0"/>
              <w:ind w:left="188" w:right="0" w:firstLine="0"/>
              <w:jc w:val="left"/>
            </w:pPr>
            <w:r>
              <w:rPr>
                <w:rFonts w:ascii="Calibri" w:hAnsi="Calibri" w:eastAsia="Calibri"/>
                <w:b w:val="0"/>
                <w:i w:val="0"/>
                <w:color w:val="000000"/>
                <w:sz w:val="16"/>
              </w:rPr>
              <w:t>526,768,922</w:t>
            </w:r>
          </w:p>
        </w:tc>
      </w:tr>
      <w:tr>
        <w:trPr>
          <w:trHeight w:hRule="exact" w:val="280"/>
        </w:trPr>
        <w:tc>
          <w:tcPr>
            <w:tcW w:type="dxa" w:w="3400"/>
            <w:tcBorders/>
            <w:tcMar>
              <w:start w:w="0" w:type="dxa"/>
              <w:end w:w="0" w:type="dxa"/>
            </w:tcMar>
          </w:tcPr>
          <w:p>
            <w:pPr>
              <w:autoSpaceDN w:val="0"/>
              <w:autoSpaceDE w:val="0"/>
              <w:widowControl/>
              <w:spacing w:line="162" w:lineRule="exact" w:before="38" w:after="0"/>
              <w:ind w:left="176" w:right="0" w:firstLine="0"/>
              <w:jc w:val="left"/>
            </w:pPr>
            <w:r>
              <w:rPr>
                <w:rFonts w:ascii="黑体" w:hAnsi="黑体" w:eastAsia="黑体"/>
                <w:b w:val="0"/>
                <w:i w:val="0"/>
                <w:color w:val="000000"/>
                <w:sz w:val="16"/>
              </w:rPr>
              <w:t>归属于少数股东的综合收益总额</w:t>
            </w:r>
          </w:p>
        </w:tc>
        <w:tc>
          <w:tcPr>
            <w:tcW w:type="dxa" w:w="1920"/>
            <w:tcBorders/>
            <w:tcMar>
              <w:start w:w="0" w:type="dxa"/>
              <w:end w:w="0" w:type="dxa"/>
            </w:tcMar>
          </w:tcPr>
          <w:p>
            <w:pPr>
              <w:autoSpaceDN w:val="0"/>
              <w:autoSpaceDE w:val="0"/>
              <w:widowControl/>
              <w:spacing w:line="199" w:lineRule="auto" w:before="58" w:after="0"/>
              <w:ind w:left="0" w:right="180" w:firstLine="0"/>
              <w:jc w:val="right"/>
            </w:pPr>
            <w:r>
              <w:rPr>
                <w:rFonts w:ascii="Calibri" w:hAnsi="Calibri" w:eastAsia="Calibri"/>
                <w:b w:val="0"/>
                <w:i w:val="0"/>
                <w:color w:val="000000"/>
                <w:sz w:val="16"/>
              </w:rPr>
              <w:t xml:space="preserve">(21,098,217 ) </w:t>
            </w:r>
          </w:p>
        </w:tc>
        <w:tc>
          <w:tcPr>
            <w:tcW w:type="dxa" w:w="1300"/>
            <w:tcBorders/>
            <w:tcMar>
              <w:start w:w="0" w:type="dxa"/>
              <w:end w:w="0" w:type="dxa"/>
            </w:tcMar>
          </w:tcPr>
          <w:p>
            <w:pPr>
              <w:autoSpaceDN w:val="0"/>
              <w:autoSpaceDE w:val="0"/>
              <w:widowControl/>
              <w:spacing w:line="199" w:lineRule="auto" w:before="58" w:after="0"/>
              <w:ind w:left="0" w:right="0" w:firstLine="0"/>
              <w:jc w:val="center"/>
            </w:pPr>
            <w:r>
              <w:rPr>
                <w:rFonts w:ascii="Calibri" w:hAnsi="Calibri" w:eastAsia="Calibri"/>
                <w:b w:val="0"/>
                <w:i w:val="0"/>
                <w:color w:val="000000"/>
                <w:sz w:val="16"/>
              </w:rPr>
              <w:t xml:space="preserve">(28,029,985) </w:t>
            </w:r>
          </w:p>
        </w:tc>
        <w:tc>
          <w:tcPr>
            <w:tcW w:type="dxa" w:w="1240"/>
            <w:tcBorders/>
            <w:tcMar>
              <w:start w:w="0" w:type="dxa"/>
              <w:end w:w="0" w:type="dxa"/>
            </w:tcMar>
          </w:tcPr>
          <w:p>
            <w:pPr>
              <w:autoSpaceDN w:val="0"/>
              <w:autoSpaceDE w:val="0"/>
              <w:widowControl/>
              <w:spacing w:line="162" w:lineRule="exact" w:before="38" w:after="0"/>
              <w:ind w:left="0" w:right="184" w:firstLine="0"/>
              <w:jc w:val="right"/>
            </w:pPr>
            <w:r>
              <w:rPr>
                <w:rFonts w:ascii="黑体" w:hAnsi="黑体" w:eastAsia="黑体"/>
                <w:b w:val="0"/>
                <w:i w:val="0"/>
                <w:color w:val="000000"/>
                <w:sz w:val="16"/>
              </w:rPr>
              <w:t>不适用</w:t>
            </w:r>
          </w:p>
        </w:tc>
        <w:tc>
          <w:tcPr>
            <w:tcW w:type="dxa" w:w="1040"/>
            <w:tcBorders/>
            <w:tcMar>
              <w:start w:w="0" w:type="dxa"/>
              <w:end w:w="0" w:type="dxa"/>
            </w:tcMar>
          </w:tcPr>
          <w:p>
            <w:pPr>
              <w:autoSpaceDN w:val="0"/>
              <w:autoSpaceDE w:val="0"/>
              <w:widowControl/>
              <w:spacing w:line="162" w:lineRule="exact" w:before="38" w:after="0"/>
              <w:ind w:left="0" w:right="42" w:firstLine="0"/>
              <w:jc w:val="right"/>
            </w:pPr>
            <w:r>
              <w:rPr>
                <w:rFonts w:ascii="黑体" w:hAnsi="黑体" w:eastAsia="黑体"/>
                <w:b w:val="0"/>
                <w:i w:val="0"/>
                <w:color w:val="000000"/>
                <w:sz w:val="16"/>
              </w:rPr>
              <w:t>不适用</w:t>
            </w:r>
          </w:p>
        </w:tc>
      </w:tr>
    </w:tbl>
    <w:p>
      <w:pPr>
        <w:autoSpaceDN w:val="0"/>
        <w:autoSpaceDE w:val="0"/>
        <w:widowControl/>
        <w:spacing w:line="160" w:lineRule="exact" w:before="162" w:after="22"/>
        <w:ind w:left="8" w:right="0" w:firstLine="0"/>
        <w:jc w:val="left"/>
      </w:pPr>
      <w:r>
        <w:rPr>
          <w:rFonts w:ascii="黑体" w:hAnsi="黑体" w:eastAsia="黑体"/>
          <w:b w:val="0"/>
          <w:i w:val="0"/>
          <w:color w:val="000000"/>
          <w:sz w:val="16"/>
        </w:rPr>
        <w:t>每股收益</w:t>
      </w:r>
    </w:p>
    <w:tbl>
      <w:tblPr>
        <w:tblW w:type="auto" w:w="0"/>
        <w:tblLayout w:type="fixed"/>
        <w:tblLook w:firstColumn="1" w:firstRow="1" w:lastColumn="0" w:lastRow="0" w:noHBand="0" w:noVBand="1" w:val="04A0"/>
        <w:tblInd w:w="-11.999999999999886" w:type="dxa"/>
      </w:tblPr>
      <w:tblGrid>
        <w:gridCol w:w="2282"/>
        <w:gridCol w:w="2282"/>
        <w:gridCol w:w="2282"/>
        <w:gridCol w:w="2282"/>
      </w:tblGrid>
      <w:tr>
        <w:trPr>
          <w:trHeight w:hRule="exact" w:val="216"/>
        </w:trPr>
        <w:tc>
          <w:tcPr>
            <w:tcW w:type="dxa" w:w="1960"/>
            <w:tcBorders>
              <w:bottom w:sz="3.199999999999818" w:val="single" w:color="#000000"/>
            </w:tcBorders>
            <w:tcMar>
              <w:start w:w="0" w:type="dxa"/>
              <w:end w:w="0" w:type="dxa"/>
            </w:tcMar>
          </w:tcPr>
          <w:p>
            <w:pPr>
              <w:autoSpaceDN w:val="0"/>
              <w:autoSpaceDE w:val="0"/>
              <w:widowControl/>
              <w:spacing w:line="162" w:lineRule="exact" w:before="24" w:after="0"/>
              <w:ind w:left="20" w:right="0" w:firstLine="0"/>
              <w:jc w:val="left"/>
            </w:pPr>
            <w:r>
              <w:rPr>
                <w:rFonts w:ascii="黑体" w:hAnsi="黑体" w:eastAsia="黑体"/>
                <w:b w:val="0"/>
                <w:i w:val="0"/>
                <w:color w:val="000000"/>
                <w:sz w:val="16"/>
              </w:rPr>
              <w:t>基本每股收益</w:t>
            </w:r>
          </w:p>
        </w:tc>
        <w:tc>
          <w:tcPr>
            <w:tcW w:type="dxa" w:w="2100"/>
            <w:tcBorders>
              <w:bottom w:sz="3.199999999999818" w:val="single" w:color="#000000"/>
            </w:tcBorders>
            <w:tcMar>
              <w:start w:w="0" w:type="dxa"/>
              <w:end w:w="0" w:type="dxa"/>
            </w:tcMar>
          </w:tcPr>
          <w:p>
            <w:pPr>
              <w:autoSpaceDN w:val="0"/>
              <w:autoSpaceDE w:val="0"/>
              <w:widowControl/>
              <w:spacing w:line="180" w:lineRule="exact" w:before="24" w:after="0"/>
              <w:ind w:left="0" w:right="734"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54 </w:t>
            </w:r>
          </w:p>
        </w:tc>
        <w:tc>
          <w:tcPr>
            <w:tcW w:type="dxa" w:w="1386"/>
            <w:tcBorders>
              <w:bottom w:sz="3.199999999999818" w:val="single" w:color="#000000"/>
            </w:tcBorders>
            <w:tcMar>
              <w:start w:w="0" w:type="dxa"/>
              <w:end w:w="0" w:type="dxa"/>
            </w:tcMar>
          </w:tcPr>
          <w:p>
            <w:pPr>
              <w:autoSpaceDN w:val="0"/>
              <w:autoSpaceDE w:val="0"/>
              <w:widowControl/>
              <w:spacing w:line="199" w:lineRule="auto" w:before="44" w:after="0"/>
              <w:ind w:left="0" w:right="176" w:firstLine="0"/>
              <w:jc w:val="right"/>
            </w:pPr>
            <w:r>
              <w:rPr>
                <w:rFonts w:ascii="Calibri" w:hAnsi="Calibri" w:eastAsia="Calibri"/>
                <w:b w:val="0"/>
                <w:i w:val="0"/>
                <w:color w:val="000000"/>
                <w:sz w:val="16"/>
              </w:rPr>
              <w:t xml:space="preserve">0.20 </w:t>
            </w:r>
          </w:p>
        </w:tc>
        <w:tc>
          <w:tcPr>
            <w:tcW w:type="dxa" w:w="1050"/>
            <w:tcBorders>
              <w:bottom w:sz="3.199999999999818" w:val="single" w:color="#000000"/>
            </w:tcBorders>
            <w:tcMar>
              <w:start w:w="0" w:type="dxa"/>
              <w:end w:w="0" w:type="dxa"/>
            </w:tcMar>
          </w:tcPr>
          <w:p>
            <w:pPr>
              <w:autoSpaceDN w:val="0"/>
              <w:autoSpaceDE w:val="0"/>
              <w:widowControl/>
              <w:spacing w:line="199" w:lineRule="auto" w:before="44" w:after="0"/>
              <w:ind w:left="0" w:right="0" w:firstLine="0"/>
              <w:jc w:val="right"/>
            </w:pPr>
            <w:r>
              <w:rPr>
                <w:rFonts w:ascii="Calibri" w:hAnsi="Calibri" w:eastAsia="Calibri"/>
                <w:b w:val="0"/>
                <w:i w:val="0"/>
                <w:color w:val="000000"/>
                <w:sz w:val="16"/>
              </w:rPr>
              <w:t>0.17</w:t>
            </w:r>
          </w:p>
        </w:tc>
      </w:tr>
      <w:tr>
        <w:trPr>
          <w:trHeight w:hRule="exact" w:val="238"/>
        </w:trPr>
        <w:tc>
          <w:tcPr>
            <w:tcW w:type="dxa" w:w="1960"/>
            <w:tcBorders>
              <w:top w:sz="3.199999999999818" w:val="single" w:color="#000000"/>
              <w:bottom w:sz="4.0" w:val="single" w:color="#000000"/>
            </w:tcBorders>
            <w:tcMar>
              <w:start w:w="0" w:type="dxa"/>
              <w:end w:w="0" w:type="dxa"/>
            </w:tcMar>
          </w:tcPr>
          <w:p>
            <w:pPr>
              <w:autoSpaceDN w:val="0"/>
              <w:autoSpaceDE w:val="0"/>
              <w:widowControl/>
              <w:spacing w:line="162" w:lineRule="exact" w:before="42" w:after="0"/>
              <w:ind w:left="20" w:right="0" w:firstLine="0"/>
              <w:jc w:val="left"/>
            </w:pPr>
            <w:r>
              <w:rPr>
                <w:rFonts w:ascii="黑体" w:hAnsi="黑体" w:eastAsia="黑体"/>
                <w:b w:val="0"/>
                <w:i w:val="0"/>
                <w:color w:val="000000"/>
                <w:sz w:val="16"/>
              </w:rPr>
              <w:t>稀释每股收益</w:t>
            </w:r>
          </w:p>
        </w:tc>
        <w:tc>
          <w:tcPr>
            <w:tcW w:type="dxa" w:w="2100"/>
            <w:tcBorders>
              <w:top w:sz="3.199999999999818" w:val="single" w:color="#000000"/>
              <w:bottom w:sz="4.0" w:val="single" w:color="#000000"/>
            </w:tcBorders>
            <w:tcMar>
              <w:start w:w="0" w:type="dxa"/>
              <w:end w:w="0" w:type="dxa"/>
            </w:tcMar>
          </w:tcPr>
          <w:p>
            <w:pPr>
              <w:autoSpaceDN w:val="0"/>
              <w:autoSpaceDE w:val="0"/>
              <w:widowControl/>
              <w:spacing w:line="178" w:lineRule="exact" w:before="42" w:after="0"/>
              <w:ind w:left="0" w:right="734" w:firstLine="0"/>
              <w:jc w:val="right"/>
            </w:pPr>
            <w:r>
              <w:rPr>
                <w:rFonts w:ascii="黑体" w:hAnsi="黑体" w:eastAsia="黑体"/>
                <w:b w:val="0"/>
                <w:i w:val="0"/>
                <w:color w:val="000000"/>
                <w:sz w:val="16"/>
              </w:rPr>
              <w:t>五</w:t>
            </w:r>
            <w:r>
              <w:rPr>
                <w:rFonts w:ascii="Calibri" w:hAnsi="Calibri" w:eastAsia="Calibri"/>
                <w:b w:val="0"/>
                <w:i w:val="0"/>
                <w:color w:val="000000"/>
                <w:sz w:val="16"/>
              </w:rPr>
              <w:t xml:space="preserve">54 </w:t>
            </w:r>
          </w:p>
        </w:tc>
        <w:tc>
          <w:tcPr>
            <w:tcW w:type="dxa" w:w="1386"/>
            <w:tcBorders>
              <w:top w:sz="3.199999999999818" w:val="single" w:color="#000000"/>
              <w:bottom w:sz="4.0" w:val="single" w:color="#000000"/>
            </w:tcBorders>
            <w:tcMar>
              <w:start w:w="0" w:type="dxa"/>
              <w:end w:w="0" w:type="dxa"/>
            </w:tcMar>
          </w:tcPr>
          <w:p>
            <w:pPr>
              <w:autoSpaceDN w:val="0"/>
              <w:autoSpaceDE w:val="0"/>
              <w:widowControl/>
              <w:spacing w:line="199" w:lineRule="auto" w:before="62" w:after="0"/>
              <w:ind w:left="0" w:right="176" w:firstLine="0"/>
              <w:jc w:val="right"/>
            </w:pPr>
            <w:r>
              <w:rPr>
                <w:rFonts w:ascii="Calibri" w:hAnsi="Calibri" w:eastAsia="Calibri"/>
                <w:b w:val="0"/>
                <w:i w:val="0"/>
                <w:color w:val="000000"/>
                <w:sz w:val="16"/>
              </w:rPr>
              <w:t xml:space="preserve">0.20 </w:t>
            </w:r>
          </w:p>
        </w:tc>
        <w:tc>
          <w:tcPr>
            <w:tcW w:type="dxa" w:w="1050"/>
            <w:tcBorders>
              <w:top w:sz="3.199999999999818" w:val="single" w:color="#000000"/>
              <w:bottom w:sz="4.0" w:val="single" w:color="#000000"/>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0.17</w:t>
            </w:r>
          </w:p>
        </w:tc>
      </w:tr>
    </w:tbl>
    <w:p>
      <w:pPr>
        <w:autoSpaceDN w:val="0"/>
        <w:autoSpaceDE w:val="0"/>
        <w:widowControl/>
        <w:spacing w:line="246" w:lineRule="exact" w:before="3470" w:after="1076"/>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82"/>
        <w:gridCol w:w="2282"/>
        <w:gridCol w:w="2282"/>
        <w:gridCol w:w="2282"/>
      </w:tblGrid>
      <w:tr>
        <w:trPr>
          <w:trHeight w:hRule="exact" w:val="298"/>
        </w:trPr>
        <w:tc>
          <w:tcPr>
            <w:tcW w:type="dxa" w:w="2298"/>
            <w:tcBorders>
              <w:top w:sz="7.199999999999818" w:val="single" w:color="#000000"/>
            </w:tcBorders>
            <w:tcMar>
              <w:start w:w="0" w:type="dxa"/>
              <w:end w:w="0" w:type="dxa"/>
            </w:tcMar>
          </w:tcPr>
          <w:p>
            <w:pPr>
              <w:autoSpaceDN w:val="0"/>
              <w:autoSpaceDE w:val="0"/>
              <w:widowControl/>
              <w:spacing w:line="220" w:lineRule="exact" w:before="34" w:after="0"/>
              <w:ind w:left="0" w:right="0" w:firstLine="0"/>
              <w:jc w:val="left"/>
            </w:pPr>
            <w:r>
              <w:rPr>
                <w:rFonts w:ascii="黑体" w:hAnsi="黑体" w:eastAsia="黑体"/>
                <w:b w:val="0"/>
                <w:i w:val="0"/>
                <w:color w:val="000000"/>
                <w:sz w:val="22"/>
              </w:rPr>
              <w:t>王怡里</w:t>
            </w:r>
          </w:p>
        </w:tc>
        <w:tc>
          <w:tcPr>
            <w:tcW w:type="dxa" w:w="3192"/>
            <w:tcBorders>
              <w:top w:sz="7.199999999999818" w:val="single" w:color="#000000"/>
            </w:tcBorders>
            <w:tcMar>
              <w:start w:w="0" w:type="dxa"/>
              <w:end w:w="0" w:type="dxa"/>
            </w:tcMar>
          </w:tcPr>
          <w:p>
            <w:pPr>
              <w:autoSpaceDN w:val="0"/>
              <w:autoSpaceDE w:val="0"/>
              <w:widowControl/>
              <w:spacing w:line="220" w:lineRule="exact" w:before="34" w:after="0"/>
              <w:ind w:left="224" w:right="0" w:firstLine="0"/>
              <w:jc w:val="left"/>
            </w:pPr>
            <w:r>
              <w:rPr>
                <w:rFonts w:ascii="黑体" w:hAnsi="黑体" w:eastAsia="黑体"/>
                <w:b w:val="0"/>
                <w:i w:val="0"/>
                <w:color w:val="000000"/>
                <w:sz w:val="22"/>
              </w:rPr>
              <w:t>汤建雄</w:t>
            </w:r>
          </w:p>
        </w:tc>
        <w:tc>
          <w:tcPr>
            <w:tcW w:type="dxa" w:w="2156"/>
            <w:tcBorders>
              <w:top w:sz="7.199999999999818" w:val="single" w:color="#000000"/>
            </w:tcBorders>
            <w:tcMar>
              <w:start w:w="0" w:type="dxa"/>
              <w:end w:w="0" w:type="dxa"/>
            </w:tcMar>
          </w:tcPr>
          <w:p>
            <w:pPr>
              <w:autoSpaceDN w:val="0"/>
              <w:autoSpaceDE w:val="0"/>
              <w:widowControl/>
              <w:spacing w:line="220" w:lineRule="exact" w:before="34" w:after="0"/>
              <w:ind w:left="264" w:right="0" w:firstLine="0"/>
              <w:jc w:val="left"/>
            </w:pPr>
            <w:r>
              <w:rPr>
                <w:rFonts w:ascii="黑体" w:hAnsi="黑体" w:eastAsia="黑体"/>
                <w:b w:val="0"/>
                <w:i w:val="0"/>
                <w:color w:val="000000"/>
                <w:sz w:val="22"/>
              </w:rPr>
              <w:t>张立德</w:t>
            </w:r>
          </w:p>
        </w:tc>
        <w:tc>
          <w:tcPr>
            <w:tcW w:type="dxa" w:w="1314"/>
            <w:tcBorders>
              <w:top w:sz="7.199999999999818" w:val="single" w:color="#000000"/>
            </w:tcBorders>
            <w:tcMar>
              <w:start w:w="0" w:type="dxa"/>
              <w:end w:w="0" w:type="dxa"/>
            </w:tcMar>
          </w:tcPr>
          <w:p>
            <w:pPr>
              <w:autoSpaceDN w:val="0"/>
              <w:autoSpaceDE w:val="0"/>
              <w:widowControl/>
              <w:spacing w:line="220" w:lineRule="exact" w:before="34"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42"/>
        <w:gridCol w:w="3042"/>
        <w:gridCol w:w="3042"/>
      </w:tblGrid>
      <w:tr>
        <w:trPr>
          <w:trHeight w:hRule="exact" w:val="312"/>
        </w:trPr>
        <w:tc>
          <w:tcPr>
            <w:tcW w:type="dxa" w:w="1820"/>
            <w:tcBorders/>
            <w:tcMar>
              <w:start w:w="0" w:type="dxa"/>
              <w:end w:w="0" w:type="dxa"/>
            </w:tcMar>
          </w:tcPr>
          <w:p>
            <w:pPr>
              <w:autoSpaceDN w:val="0"/>
              <w:autoSpaceDE w:val="0"/>
              <w:widowControl/>
              <w:spacing w:line="220"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0" w:lineRule="exact" w:before="32" w:after="0"/>
              <w:ind w:left="722" w:right="0" w:firstLine="0"/>
              <w:jc w:val="left"/>
            </w:pPr>
            <w:r>
              <w:rPr>
                <w:rFonts w:ascii="黑体" w:hAnsi="黑体" w:eastAsia="黑体"/>
                <w:b w:val="0"/>
                <w:i w:val="0"/>
                <w:color w:val="000000"/>
                <w:sz w:val="22"/>
              </w:rPr>
              <w:t>主管会计工作的公司负责人</w:t>
            </w:r>
          </w:p>
        </w:tc>
        <w:tc>
          <w:tcPr>
            <w:tcW w:type="dxa" w:w="2760"/>
            <w:tcBorders/>
            <w:tcMar>
              <w:start w:w="0" w:type="dxa"/>
              <w:end w:w="0" w:type="dxa"/>
            </w:tcMar>
          </w:tcPr>
          <w:p>
            <w:pPr>
              <w:autoSpaceDN w:val="0"/>
              <w:autoSpaceDE w:val="0"/>
              <w:widowControl/>
              <w:spacing w:line="220"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198" w:lineRule="exact" w:before="1020"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130" w:after="0"/>
        <w:ind w:left="0" w:right="0" w:firstLine="0"/>
        <w:jc w:val="center"/>
      </w:pPr>
      <w:r>
        <w:rPr>
          <w:rFonts w:ascii="Arial" w:hAnsi="Arial" w:eastAsia="Arial"/>
          <w:b w:val="0"/>
          <w:i w:val="0"/>
          <w:color w:val="000000"/>
          <w:sz w:val="20"/>
        </w:rPr>
        <w:t xml:space="preserve">154 </w:t>
      </w:r>
    </w:p>
    <w:p>
      <w:pPr>
        <w:sectPr>
          <w:pgSz w:w="11899" w:h="16841"/>
          <w:pgMar w:top="732" w:right="1340" w:bottom="360" w:left="1432" w:header="720" w:footer="720" w:gutter="0"/>
          <w:cols/>
          <w:docGrid w:linePitch="360"/>
        </w:sectPr>
      </w:pPr>
    </w:p>
    <w:p>
      <w:pPr>
        <w:autoSpaceDN w:val="0"/>
        <w:autoSpaceDE w:val="0"/>
        <w:widowControl/>
        <w:spacing w:line="220" w:lineRule="exact" w:before="0" w:after="578"/>
        <w:ind w:left="0" w:right="0"/>
      </w:pPr>
    </w:p>
    <w:p>
      <w:pPr>
        <w:autoSpaceDN w:val="0"/>
        <w:autoSpaceDE w:val="0"/>
        <w:widowControl/>
        <w:spacing w:line="160" w:lineRule="exact" w:before="0" w:after="0"/>
        <w:ind w:left="0" w:right="0" w:firstLine="0"/>
        <w:jc w:val="center"/>
      </w:pPr>
      <w:r>
        <w:rPr>
          <w:rFonts w:ascii="黑体" w:hAnsi="黑体" w:eastAsia="黑体"/>
          <w:b w:val="0"/>
          <w:i w:val="0"/>
          <w:color w:val="000000"/>
          <w:sz w:val="16"/>
        </w:rPr>
        <w:t>合并股东权益变动表</w:t>
      </w:r>
    </w:p>
    <w:p>
      <w:pPr>
        <w:autoSpaceDN w:val="0"/>
        <w:autoSpaceDE w:val="0"/>
        <w:widowControl/>
        <w:spacing w:line="160" w:lineRule="exact" w:before="48" w:after="0"/>
        <w:ind w:left="0" w:right="0" w:firstLine="0"/>
        <w:jc w:val="center"/>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p>
      <w:pPr>
        <w:autoSpaceDN w:val="0"/>
        <w:autoSpaceDE w:val="0"/>
        <w:widowControl/>
        <w:spacing w:line="246" w:lineRule="exact" w:before="296" w:after="0"/>
        <w:ind w:left="358" w:right="0" w:firstLine="0"/>
        <w:jc w:val="left"/>
      </w:pPr>
      <w:r>
        <w:rPr>
          <w:rFonts w:ascii="Arial,Bold" w:hAnsi="Arial,Bold" w:eastAsia="Arial,Bold"/>
          <w:b/>
          <w:i w:val="0"/>
          <w:color w:val="000000"/>
          <w:sz w:val="22"/>
          <w:u w:val="single"/>
        </w:rPr>
        <w:t>2024</w:t>
      </w:r>
      <w:r>
        <w:rPr>
          <w:rFonts w:ascii="黑体" w:hAnsi="黑体" w:eastAsia="黑体"/>
          <w:b w:val="0"/>
          <w:i w:val="0"/>
          <w:color w:val="000000"/>
          <w:sz w:val="22"/>
          <w:u w:val="single"/>
        </w:rPr>
        <w:t>年度</w:t>
      </w:r>
    </w:p>
    <w:p>
      <w:pPr>
        <w:autoSpaceDN w:val="0"/>
        <w:autoSpaceDE w:val="0"/>
        <w:widowControl/>
        <w:spacing w:line="138" w:lineRule="exact" w:before="42" w:after="20"/>
        <w:ind w:left="0" w:right="6116" w:firstLine="0"/>
        <w:jc w:val="right"/>
      </w:pPr>
      <w:r>
        <w:rPr>
          <w:rFonts w:ascii="黑体" w:hAnsi="黑体" w:eastAsia="黑体"/>
          <w:b w:val="0"/>
          <w:i w:val="0"/>
          <w:color w:val="000000"/>
          <w:sz w:val="14"/>
        </w:rPr>
        <w:t>归属于母公司股东权益</w:t>
      </w:r>
    </w:p>
    <w:tbl>
      <w:tblPr>
        <w:tblW w:type="auto" w:w="0"/>
        <w:tblLayout w:type="fixed"/>
        <w:tblLook w:firstColumn="1" w:firstRow="1" w:lastColumn="0" w:lastRow="0" w:noHBand="0" w:noVBand="1" w:val="04A0"/>
        <w:tblInd w:w="160.0" w:type="dxa"/>
      </w:tblPr>
      <w:tblGrid>
        <w:gridCol w:w="1163"/>
        <w:gridCol w:w="1163"/>
        <w:gridCol w:w="1163"/>
        <w:gridCol w:w="1163"/>
        <w:gridCol w:w="1163"/>
        <w:gridCol w:w="1163"/>
        <w:gridCol w:w="1163"/>
        <w:gridCol w:w="1163"/>
        <w:gridCol w:w="1163"/>
        <w:gridCol w:w="1163"/>
        <w:gridCol w:w="1163"/>
        <w:gridCol w:w="1163"/>
      </w:tblGrid>
      <w:tr>
        <w:trPr>
          <w:trHeight w:hRule="exact" w:val="171"/>
        </w:trPr>
        <w:tc>
          <w:tcPr>
            <w:tcW w:type="dxa" w:w="2318"/>
            <w:tcBorders>
              <w:top w:sz="4.0" w:val="single" w:color="#000000"/>
              <w:bottom w:sz="3.2000000000000455" w:val="single" w:color="#000000"/>
            </w:tcBorders>
            <w:tcMar>
              <w:start w:w="0" w:type="dxa"/>
              <w:end w:w="0" w:type="dxa"/>
            </w:tcMar>
          </w:tcPr>
          <w:p/>
        </w:tc>
        <w:tc>
          <w:tcPr>
            <w:tcW w:type="dxa" w:w="456"/>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left"/>
            </w:pPr>
            <w:r>
              <w:rPr>
                <w:rFonts w:ascii="黑体" w:hAnsi="黑体" w:eastAsia="黑体"/>
                <w:b w:val="0"/>
                <w:i w:val="0"/>
                <w:color w:val="000000"/>
                <w:sz w:val="14"/>
              </w:rPr>
              <w:t>附注</w:t>
            </w:r>
          </w:p>
        </w:tc>
        <w:tc>
          <w:tcPr>
            <w:tcW w:type="dxa" w:w="962"/>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股本</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资本公积</w:t>
            </w:r>
          </w:p>
        </w:tc>
        <w:tc>
          <w:tcPr>
            <w:tcW w:type="dxa" w:w="1136"/>
            <w:tcBorders>
              <w:bottom w:sz="3.2000000000000455" w:val="single" w:color="#000000"/>
            </w:tcBorders>
            <w:tcMar>
              <w:start w:w="0" w:type="dxa"/>
              <w:end w:w="0" w:type="dxa"/>
            </w:tcMar>
          </w:tcPr>
          <w:p>
            <w:pPr>
              <w:autoSpaceDN w:val="0"/>
              <w:autoSpaceDE w:val="0"/>
              <w:widowControl/>
              <w:spacing w:line="140" w:lineRule="exact" w:before="24" w:after="0"/>
              <w:ind w:left="208" w:right="0" w:firstLine="0"/>
              <w:jc w:val="left"/>
            </w:pPr>
            <w:r>
              <w:rPr>
                <w:rFonts w:ascii="黑体" w:hAnsi="黑体" w:eastAsia="黑体"/>
                <w:b w:val="0"/>
                <w:i w:val="0"/>
                <w:color w:val="000000"/>
                <w:sz w:val="14"/>
              </w:rPr>
              <w:t>其他综合收益</w:t>
            </w:r>
          </w:p>
        </w:tc>
        <w:tc>
          <w:tcPr>
            <w:tcW w:type="dxa" w:w="992"/>
            <w:tcBorders>
              <w:bottom w:sz="3.2000000000000455" w:val="single" w:color="#000000"/>
            </w:tcBorders>
            <w:tcMar>
              <w:start w:w="0" w:type="dxa"/>
              <w:end w:w="0" w:type="dxa"/>
            </w:tcMar>
          </w:tcPr>
          <w:p>
            <w:pPr>
              <w:autoSpaceDN w:val="0"/>
              <w:autoSpaceDE w:val="0"/>
              <w:widowControl/>
              <w:spacing w:line="140" w:lineRule="exact" w:before="24" w:after="0"/>
              <w:ind w:left="0" w:right="86" w:firstLine="0"/>
              <w:jc w:val="right"/>
            </w:pPr>
            <w:r>
              <w:rPr>
                <w:rFonts w:ascii="黑体" w:hAnsi="黑体" w:eastAsia="黑体"/>
                <w:b w:val="0"/>
                <w:i w:val="0"/>
                <w:color w:val="000000"/>
                <w:sz w:val="14"/>
              </w:rPr>
              <w:t>盈余公积</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一般风险准备</w:t>
            </w:r>
          </w:p>
        </w:tc>
        <w:tc>
          <w:tcPr>
            <w:tcW w:type="dxa" w:w="966"/>
            <w:tcBorders>
              <w:bottom w:sz="3.2000000000000455" w:val="single" w:color="#000000"/>
            </w:tcBorders>
            <w:tcMar>
              <w:start w:w="0" w:type="dxa"/>
              <w:end w:w="0" w:type="dxa"/>
            </w:tcMar>
          </w:tcPr>
          <w:p>
            <w:pPr>
              <w:autoSpaceDN w:val="0"/>
              <w:autoSpaceDE w:val="0"/>
              <w:widowControl/>
              <w:spacing w:line="140" w:lineRule="exact" w:before="24" w:after="0"/>
              <w:ind w:left="122" w:right="0" w:firstLine="0"/>
              <w:jc w:val="left"/>
            </w:pPr>
            <w:r>
              <w:rPr>
                <w:rFonts w:ascii="黑体" w:hAnsi="黑体" w:eastAsia="黑体"/>
                <w:b w:val="0"/>
                <w:i w:val="0"/>
                <w:color w:val="000000"/>
                <w:sz w:val="14"/>
              </w:rPr>
              <w:t>交易风险准备</w:t>
            </w:r>
          </w:p>
        </w:tc>
        <w:tc>
          <w:tcPr>
            <w:tcW w:type="dxa" w:w="1106"/>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未分配利润</w:t>
            </w:r>
          </w:p>
        </w:tc>
        <w:tc>
          <w:tcPr>
            <w:tcW w:type="dxa" w:w="1162"/>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小计</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206" w:right="0" w:firstLine="0"/>
              <w:jc w:val="left"/>
            </w:pPr>
            <w:r>
              <w:rPr>
                <w:rFonts w:ascii="黑体" w:hAnsi="黑体" w:eastAsia="黑体"/>
                <w:b w:val="0"/>
                <w:i w:val="0"/>
                <w:color w:val="000000"/>
                <w:sz w:val="14"/>
              </w:rPr>
              <w:t>少数股东权益</w:t>
            </w:r>
          </w:p>
        </w:tc>
        <w:tc>
          <w:tcPr>
            <w:tcW w:type="dxa" w:w="1220"/>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股东权益合计</w:t>
            </w:r>
          </w:p>
        </w:tc>
      </w:tr>
      <w:tr>
        <w:trPr>
          <w:trHeight w:hRule="exact" w:val="362"/>
        </w:trPr>
        <w:tc>
          <w:tcPr>
            <w:tcW w:type="dxa" w:w="2318"/>
            <w:tcBorders>
              <w:top w:sz="3.2000000000000455" w:val="single" w:color="#000000"/>
              <w:bottom w:sz="4.0" w:val="single" w:color="#000000"/>
            </w:tcBorders>
            <w:tcMar>
              <w:start w:w="0" w:type="dxa"/>
              <w:end w:w="0" w:type="dxa"/>
            </w:tcMar>
          </w:tcPr>
          <w:p>
            <w:pPr>
              <w:autoSpaceDN w:val="0"/>
              <w:autoSpaceDE w:val="0"/>
              <w:widowControl/>
              <w:spacing w:line="154" w:lineRule="exact" w:before="186" w:after="0"/>
              <w:ind w:left="198"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日余额</w:t>
            </w:r>
          </w:p>
        </w:tc>
        <w:tc>
          <w:tcPr>
            <w:tcW w:type="dxa" w:w="456"/>
            <w:tcBorders>
              <w:top w:sz="3.2000000000000455" w:val="single" w:color="#000000"/>
              <w:bottom w:sz="4.0" w:val="single" w:color="#000000"/>
            </w:tcBorders>
            <w:tcMar>
              <w:start w:w="0" w:type="dxa"/>
              <w:end w:w="0" w:type="dxa"/>
            </w:tcMar>
          </w:tcPr>
          <w:p/>
        </w:tc>
        <w:tc>
          <w:tcPr>
            <w:tcW w:type="dxa" w:w="962"/>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0" w:right="0" w:firstLine="0"/>
              <w:jc w:val="center"/>
            </w:pPr>
            <w:r>
              <w:rPr>
                <w:rFonts w:ascii="Arial" w:hAnsi="Arial" w:eastAsia="Arial"/>
                <w:b w:val="0"/>
                <w:i w:val="0"/>
                <w:color w:val="000000"/>
                <w:sz w:val="14"/>
              </w:rPr>
              <w:t>3,589,771,547</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154" w:right="0" w:firstLine="0"/>
              <w:jc w:val="left"/>
            </w:pPr>
            <w:r>
              <w:rPr>
                <w:rFonts w:ascii="Arial" w:hAnsi="Arial" w:eastAsia="Arial"/>
                <w:b w:val="0"/>
                <w:i w:val="0"/>
                <w:color w:val="000000"/>
                <w:sz w:val="14"/>
              </w:rPr>
              <w:t>9,723,419,390</w:t>
            </w:r>
          </w:p>
        </w:tc>
        <w:tc>
          <w:tcPr>
            <w:tcW w:type="dxa" w:w="1136"/>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0" w:right="2" w:firstLine="0"/>
              <w:jc w:val="right"/>
            </w:pPr>
            <w:r>
              <w:rPr>
                <w:rFonts w:ascii="Arial" w:hAnsi="Arial" w:eastAsia="Arial"/>
                <w:b w:val="0"/>
                <w:i w:val="0"/>
                <w:color w:val="000000"/>
                <w:sz w:val="14"/>
              </w:rPr>
              <w:t xml:space="preserve">(79,534,061) </w:t>
            </w:r>
          </w:p>
        </w:tc>
        <w:tc>
          <w:tcPr>
            <w:tcW w:type="dxa" w:w="992"/>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128" w:right="0" w:firstLine="0"/>
              <w:jc w:val="left"/>
            </w:pPr>
            <w:r>
              <w:rPr>
                <w:rFonts w:ascii="Arial" w:hAnsi="Arial" w:eastAsia="Arial"/>
                <w:b w:val="0"/>
                <w:i w:val="0"/>
                <w:color w:val="000000"/>
                <w:sz w:val="14"/>
              </w:rPr>
              <w:t xml:space="preserve">813,347,453 </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188" w:right="0" w:firstLine="0"/>
              <w:jc w:val="left"/>
            </w:pPr>
            <w:r>
              <w:rPr>
                <w:rFonts w:ascii="Arial" w:hAnsi="Arial" w:eastAsia="Arial"/>
                <w:b w:val="0"/>
                <w:i w:val="0"/>
                <w:color w:val="000000"/>
                <w:sz w:val="14"/>
              </w:rPr>
              <w:t xml:space="preserve">922,907,949 </w:t>
            </w:r>
          </w:p>
        </w:tc>
        <w:tc>
          <w:tcPr>
            <w:tcW w:type="dxa" w:w="966"/>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188" w:right="0" w:firstLine="0"/>
              <w:jc w:val="left"/>
            </w:pPr>
            <w:r>
              <w:rPr>
                <w:rFonts w:ascii="Arial" w:hAnsi="Arial" w:eastAsia="Arial"/>
                <w:b w:val="0"/>
                <w:i w:val="0"/>
                <w:color w:val="000000"/>
                <w:sz w:val="14"/>
              </w:rPr>
              <w:t>859,201,456</w:t>
            </w:r>
          </w:p>
        </w:tc>
        <w:tc>
          <w:tcPr>
            <w:tcW w:type="dxa" w:w="1106"/>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210" w:right="0" w:firstLine="0"/>
              <w:jc w:val="left"/>
            </w:pPr>
            <w:r>
              <w:rPr>
                <w:rFonts w:ascii="Arial" w:hAnsi="Arial" w:eastAsia="Arial"/>
                <w:b w:val="0"/>
                <w:i w:val="0"/>
                <w:color w:val="000000"/>
                <w:sz w:val="14"/>
              </w:rPr>
              <w:t>1,917,718,771</w:t>
            </w:r>
          </w:p>
        </w:tc>
        <w:tc>
          <w:tcPr>
            <w:tcW w:type="dxa" w:w="1162"/>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188" w:right="0" w:firstLine="0"/>
              <w:jc w:val="left"/>
            </w:pPr>
            <w:r>
              <w:rPr>
                <w:rFonts w:ascii="Arial" w:hAnsi="Arial" w:eastAsia="Arial"/>
                <w:b w:val="0"/>
                <w:i w:val="0"/>
                <w:color w:val="000000"/>
                <w:sz w:val="14"/>
              </w:rPr>
              <w:t>17,746,832,505</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0" w:right="2" w:firstLine="0"/>
              <w:jc w:val="right"/>
            </w:pPr>
            <w:r>
              <w:rPr>
                <w:rFonts w:ascii="Arial" w:hAnsi="Arial" w:eastAsia="Arial"/>
                <w:b w:val="0"/>
                <w:i w:val="0"/>
                <w:color w:val="000000"/>
                <w:sz w:val="14"/>
              </w:rPr>
              <w:t>406,291,374</w:t>
            </w:r>
          </w:p>
        </w:tc>
        <w:tc>
          <w:tcPr>
            <w:tcW w:type="dxa" w:w="1220"/>
            <w:tcBorders>
              <w:top w:sz="3.2000000000000455" w:val="single" w:color="#000000"/>
              <w:bottom w:sz="4.0" w:val="single" w:color="#000000"/>
            </w:tcBorders>
            <w:tcMar>
              <w:start w:w="0" w:type="dxa"/>
              <w:end w:w="0" w:type="dxa"/>
            </w:tcMar>
          </w:tcPr>
          <w:p>
            <w:pPr>
              <w:autoSpaceDN w:val="0"/>
              <w:autoSpaceDE w:val="0"/>
              <w:widowControl/>
              <w:spacing w:line="230" w:lineRule="auto" w:before="198" w:after="0"/>
              <w:ind w:left="246" w:right="0" w:firstLine="0"/>
              <w:jc w:val="left"/>
            </w:pPr>
            <w:r>
              <w:rPr>
                <w:rFonts w:ascii="Arial" w:hAnsi="Arial" w:eastAsia="Arial"/>
                <w:b w:val="0"/>
                <w:i w:val="0"/>
                <w:color w:val="000000"/>
                <w:sz w:val="14"/>
              </w:rPr>
              <w:t>18,153,123,879</w:t>
            </w:r>
          </w:p>
        </w:tc>
      </w:tr>
    </w:tbl>
    <w:p>
      <w:pPr>
        <w:autoSpaceDN w:val="0"/>
        <w:autoSpaceDE w:val="0"/>
        <w:widowControl/>
        <w:spacing w:line="138" w:lineRule="exact" w:before="182" w:after="20"/>
        <w:ind w:left="358" w:right="0" w:firstLine="0"/>
        <w:jc w:val="left"/>
      </w:pPr>
      <w:r>
        <w:rPr>
          <w:rFonts w:ascii="黑体" w:hAnsi="黑体" w:eastAsia="黑体"/>
          <w:b w:val="0"/>
          <w:i w:val="0"/>
          <w:color w:val="000000"/>
          <w:sz w:val="14"/>
        </w:rPr>
        <w:t>本年增减变动金额</w:t>
      </w:r>
    </w:p>
    <w:tbl>
      <w:tblPr>
        <w:tblW w:type="auto" w:w="0"/>
        <w:tblLayout w:type="fixed"/>
        <w:tblLook w:firstColumn="1" w:firstRow="1" w:lastColumn="0" w:lastRow="0" w:noHBand="0" w:noVBand="1" w:val="04A0"/>
        <w:tblInd w:w="240.0" w:type="dxa"/>
      </w:tblPr>
      <w:tblGrid>
        <w:gridCol w:w="1269"/>
        <w:gridCol w:w="1269"/>
        <w:gridCol w:w="1269"/>
        <w:gridCol w:w="1269"/>
        <w:gridCol w:w="1269"/>
        <w:gridCol w:w="1269"/>
        <w:gridCol w:w="1269"/>
        <w:gridCol w:w="1269"/>
        <w:gridCol w:w="1269"/>
        <w:gridCol w:w="1269"/>
        <w:gridCol w:w="1269"/>
      </w:tblGrid>
      <w:tr>
        <w:trPr>
          <w:trHeight w:hRule="exact" w:val="190"/>
        </w:trPr>
        <w:tc>
          <w:tcPr>
            <w:tcW w:type="dxa" w:w="2400"/>
            <w:tcBorders/>
            <w:tcMar>
              <w:start w:w="0" w:type="dxa"/>
              <w:end w:w="0" w:type="dxa"/>
            </w:tcMar>
          </w:tcPr>
          <w:p>
            <w:pPr>
              <w:autoSpaceDN w:val="0"/>
              <w:autoSpaceDE w:val="0"/>
              <w:widowControl/>
              <w:spacing w:line="154" w:lineRule="exact" w:before="18" w:after="0"/>
              <w:ind w:left="258" w:right="0" w:firstLine="0"/>
              <w:jc w:val="left"/>
            </w:pPr>
            <w:r>
              <w:rPr>
                <w:rFonts w:ascii="Arial" w:hAnsi="Arial" w:eastAsia="Arial"/>
                <w:b w:val="0"/>
                <w:i w:val="0"/>
                <w:color w:val="000000"/>
                <w:sz w:val="14"/>
              </w:rPr>
              <w:t>1.</w:t>
            </w:r>
            <w:r>
              <w:rPr>
                <w:rFonts w:ascii="黑体" w:hAnsi="黑体" w:eastAsia="黑体"/>
                <w:b w:val="0"/>
                <w:i w:val="0"/>
                <w:color w:val="000000"/>
                <w:sz w:val="14"/>
              </w:rPr>
              <w:t>综合收益总额</w:t>
            </w:r>
          </w:p>
        </w:tc>
        <w:tc>
          <w:tcPr>
            <w:tcW w:type="dxa" w:w="1740"/>
            <w:tcBorders/>
            <w:tcMar>
              <w:start w:w="0" w:type="dxa"/>
              <w:end w:w="0" w:type="dxa"/>
            </w:tcMar>
          </w:tcPr>
          <w:p>
            <w:pPr>
              <w:autoSpaceDN w:val="0"/>
              <w:autoSpaceDE w:val="0"/>
              <w:widowControl/>
              <w:spacing w:line="230" w:lineRule="auto" w:before="28" w:after="0"/>
              <w:ind w:left="0" w:right="484" w:firstLine="0"/>
              <w:jc w:val="right"/>
            </w:pPr>
            <w:r>
              <w:rPr>
                <w:rFonts w:ascii="Arial" w:hAnsi="Arial" w:eastAsia="Arial"/>
                <w:b w:val="0"/>
                <w:i w:val="0"/>
                <w:color w:val="000000"/>
                <w:sz w:val="14"/>
              </w:rPr>
              <w:t>-</w:t>
            </w:r>
          </w:p>
        </w:tc>
        <w:tc>
          <w:tcPr>
            <w:tcW w:type="dxa" w:w="720"/>
            <w:tcBorders/>
            <w:tcMar>
              <w:start w:w="0" w:type="dxa"/>
              <w:end w:w="0" w:type="dxa"/>
            </w:tcMar>
          </w:tcPr>
          <w:p>
            <w:pPr>
              <w:autoSpaceDN w:val="0"/>
              <w:autoSpaceDE w:val="0"/>
              <w:widowControl/>
              <w:spacing w:line="230" w:lineRule="auto" w:before="28" w:after="0"/>
              <w:ind w:left="0" w:right="154" w:firstLine="0"/>
              <w:jc w:val="right"/>
            </w:pPr>
            <w:r>
              <w:rPr>
                <w:rFonts w:ascii="Arial" w:hAnsi="Arial" w:eastAsia="Arial"/>
                <w:b w:val="0"/>
                <w:i w:val="0"/>
                <w:color w:val="000000"/>
                <w:sz w:val="14"/>
              </w:rPr>
              <w:t>-</w:t>
            </w:r>
          </w:p>
        </w:tc>
        <w:tc>
          <w:tcPr>
            <w:tcW w:type="dxa" w:w="1360"/>
            <w:tcBorders/>
            <w:tcMar>
              <w:start w:w="0" w:type="dxa"/>
              <w:end w:w="0" w:type="dxa"/>
            </w:tcMar>
          </w:tcPr>
          <w:p>
            <w:pPr>
              <w:autoSpaceDN w:val="0"/>
              <w:autoSpaceDE w:val="0"/>
              <w:widowControl/>
              <w:spacing w:line="230" w:lineRule="auto" w:before="28" w:after="0"/>
              <w:ind w:left="192" w:right="0" w:firstLine="0"/>
              <w:jc w:val="left"/>
            </w:pPr>
            <w:r>
              <w:rPr>
                <w:rFonts w:ascii="Arial" w:hAnsi="Arial" w:eastAsia="Arial"/>
                <w:b w:val="0"/>
                <w:i w:val="0"/>
                <w:color w:val="000000"/>
                <w:sz w:val="14"/>
              </w:rPr>
              <w:t>14,017,245</w:t>
            </w:r>
          </w:p>
        </w:tc>
        <w:tc>
          <w:tcPr>
            <w:tcW w:type="dxa" w:w="104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 </w:t>
            </w:r>
          </w:p>
        </w:tc>
        <w:tc>
          <w:tcPr>
            <w:tcW w:type="dxa" w:w="700"/>
            <w:tcBorders/>
            <w:tcMar>
              <w:start w:w="0" w:type="dxa"/>
              <w:end w:w="0" w:type="dxa"/>
            </w:tcMar>
          </w:tcPr>
          <w:p>
            <w:pPr>
              <w:autoSpaceDN w:val="0"/>
              <w:autoSpaceDE w:val="0"/>
              <w:widowControl/>
              <w:spacing w:line="230" w:lineRule="auto" w:before="28" w:after="0"/>
              <w:ind w:left="0" w:right="154" w:firstLine="0"/>
              <w:jc w:val="right"/>
            </w:pPr>
            <w:r>
              <w:rPr>
                <w:rFonts w:ascii="Arial" w:hAnsi="Arial" w:eastAsia="Arial"/>
                <w:b w:val="0"/>
                <w:i w:val="0"/>
                <w:color w:val="000000"/>
                <w:sz w:val="14"/>
              </w:rPr>
              <w:t>-</w:t>
            </w:r>
          </w:p>
        </w:tc>
        <w:tc>
          <w:tcPr>
            <w:tcW w:type="dxa" w:w="114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711,831,847</w:t>
            </w:r>
          </w:p>
        </w:tc>
        <w:tc>
          <w:tcPr>
            <w:tcW w:type="dxa" w:w="112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725,849,092</w:t>
            </w:r>
          </w:p>
        </w:tc>
        <w:tc>
          <w:tcPr>
            <w:tcW w:type="dxa" w:w="116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(21,098,217) </w:t>
            </w:r>
          </w:p>
        </w:tc>
        <w:tc>
          <w:tcPr>
            <w:tcW w:type="dxa" w:w="112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704,750,875</w:t>
            </w:r>
          </w:p>
        </w:tc>
      </w:tr>
    </w:tbl>
    <w:p>
      <w:pPr>
        <w:autoSpaceDN w:val="0"/>
        <w:autoSpaceDE w:val="0"/>
        <w:widowControl/>
        <w:spacing w:line="154" w:lineRule="exact" w:before="8" w:after="14"/>
        <w:ind w:left="498" w:right="0" w:firstLine="0"/>
        <w:jc w:val="left"/>
      </w:pPr>
      <w:r>
        <w:rPr>
          <w:rFonts w:ascii="Arial" w:hAnsi="Arial" w:eastAsia="Arial"/>
          <w:b w:val="0"/>
          <w:i w:val="0"/>
          <w:color w:val="000000"/>
          <w:sz w:val="14"/>
        </w:rPr>
        <w:t>2.</w:t>
      </w:r>
      <w:r>
        <w:rPr>
          <w:rFonts w:ascii="黑体" w:hAnsi="黑体" w:eastAsia="黑体"/>
          <w:b w:val="0"/>
          <w:i w:val="0"/>
          <w:color w:val="000000"/>
          <w:sz w:val="14"/>
        </w:rPr>
        <w:t>股东投入和减少资本</w:t>
      </w:r>
    </w:p>
    <w:tbl>
      <w:tblPr>
        <w:tblW w:type="auto" w:w="0"/>
        <w:tblLayout w:type="fixed"/>
        <w:tblLook w:firstColumn="1" w:firstRow="1" w:lastColumn="0" w:lastRow="0" w:noHBand="0" w:noVBand="1" w:val="04A0"/>
        <w:tblInd w:w="320.0" w:type="dxa"/>
      </w:tblPr>
      <w:tblGrid>
        <w:gridCol w:w="1269"/>
        <w:gridCol w:w="1269"/>
        <w:gridCol w:w="1269"/>
        <w:gridCol w:w="1269"/>
        <w:gridCol w:w="1269"/>
        <w:gridCol w:w="1269"/>
        <w:gridCol w:w="1269"/>
        <w:gridCol w:w="1269"/>
        <w:gridCol w:w="1269"/>
        <w:gridCol w:w="1269"/>
        <w:gridCol w:w="1269"/>
      </w:tblGrid>
      <w:tr>
        <w:trPr>
          <w:trHeight w:hRule="exact" w:val="188"/>
        </w:trPr>
        <w:tc>
          <w:tcPr>
            <w:tcW w:type="dxa" w:w="2440"/>
            <w:tcBorders/>
            <w:tcMar>
              <w:start w:w="0" w:type="dxa"/>
              <w:end w:w="0" w:type="dxa"/>
            </w:tcMar>
          </w:tcPr>
          <w:p>
            <w:pPr>
              <w:autoSpaceDN w:val="0"/>
              <w:autoSpaceDE w:val="0"/>
              <w:widowControl/>
              <w:spacing w:line="156" w:lineRule="exact" w:before="14"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向股东返还出资</w:t>
            </w:r>
          </w:p>
        </w:tc>
        <w:tc>
          <w:tcPr>
            <w:tcW w:type="dxa" w:w="1620"/>
            <w:tcBorders/>
            <w:tcMar>
              <w:start w:w="0" w:type="dxa"/>
              <w:end w:w="0" w:type="dxa"/>
            </w:tcMar>
          </w:tcPr>
          <w:p>
            <w:pPr>
              <w:autoSpaceDN w:val="0"/>
              <w:autoSpaceDE w:val="0"/>
              <w:widowControl/>
              <w:spacing w:line="233" w:lineRule="auto" w:before="26" w:after="0"/>
              <w:ind w:left="0" w:right="484"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104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 </w:t>
            </w:r>
          </w:p>
        </w:tc>
        <w:tc>
          <w:tcPr>
            <w:tcW w:type="dxa" w:w="106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114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760"/>
            <w:tcBorders/>
            <w:tcMar>
              <w:start w:w="0" w:type="dxa"/>
              <w:end w:w="0" w:type="dxa"/>
            </w:tcMar>
          </w:tcPr>
          <w:p>
            <w:pPr>
              <w:autoSpaceDN w:val="0"/>
              <w:autoSpaceDE w:val="0"/>
              <w:widowControl/>
              <w:spacing w:line="233" w:lineRule="auto" w:before="26" w:after="0"/>
              <w:ind w:left="0" w:right="14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(61,837,500) </w:t>
            </w:r>
          </w:p>
        </w:tc>
        <w:tc>
          <w:tcPr>
            <w:tcW w:type="dxa" w:w="1140"/>
            <w:tcBorders/>
            <w:tcMar>
              <w:start w:w="0" w:type="dxa"/>
              <w:end w:w="0" w:type="dxa"/>
            </w:tcMar>
          </w:tcPr>
          <w:p>
            <w:pPr>
              <w:autoSpaceDN w:val="0"/>
              <w:autoSpaceDE w:val="0"/>
              <w:widowControl/>
              <w:spacing w:line="233" w:lineRule="auto" w:before="26" w:after="0"/>
              <w:ind w:left="196" w:right="0" w:firstLine="0"/>
              <w:jc w:val="left"/>
            </w:pPr>
            <w:r>
              <w:rPr>
                <w:rFonts w:ascii="Arial" w:hAnsi="Arial" w:eastAsia="Arial"/>
                <w:b w:val="0"/>
                <w:i w:val="0"/>
                <w:color w:val="000000"/>
                <w:sz w:val="14"/>
              </w:rPr>
              <w:t xml:space="preserve">(61,837,500) </w:t>
            </w:r>
          </w:p>
        </w:tc>
      </w:tr>
    </w:tbl>
    <w:p>
      <w:pPr>
        <w:autoSpaceDN w:val="0"/>
        <w:autoSpaceDE w:val="0"/>
        <w:widowControl/>
        <w:spacing w:line="156" w:lineRule="exact" w:before="8" w:after="12"/>
        <w:ind w:left="498" w:right="0" w:firstLine="0"/>
        <w:jc w:val="left"/>
      </w:pPr>
      <w:r>
        <w:rPr>
          <w:rFonts w:ascii="Arial" w:hAnsi="Arial" w:eastAsia="Arial"/>
          <w:b w:val="0"/>
          <w:i w:val="0"/>
          <w:color w:val="000000"/>
          <w:sz w:val="14"/>
        </w:rPr>
        <w:t>3.</w:t>
      </w:r>
      <w:r>
        <w:rPr>
          <w:rFonts w:ascii="黑体" w:hAnsi="黑体" w:eastAsia="黑体"/>
          <w:b w:val="0"/>
          <w:i w:val="0"/>
          <w:color w:val="000000"/>
          <w:sz w:val="14"/>
        </w:rPr>
        <w:t>利润分配</w:t>
      </w:r>
    </w:p>
    <w:tbl>
      <w:tblPr>
        <w:tblW w:type="auto" w:w="0"/>
        <w:tblLayout w:type="fixed"/>
        <w:tblLook w:firstColumn="1" w:firstRow="1" w:lastColumn="0" w:lastRow="0" w:noHBand="0" w:noVBand="1" w:val="04A0"/>
        <w:tblInd w:w="320.0" w:type="dxa"/>
      </w:tblPr>
      <w:tblGrid>
        <w:gridCol w:w="1163"/>
        <w:gridCol w:w="1163"/>
        <w:gridCol w:w="1163"/>
        <w:gridCol w:w="1163"/>
        <w:gridCol w:w="1163"/>
        <w:gridCol w:w="1163"/>
        <w:gridCol w:w="1163"/>
        <w:gridCol w:w="1163"/>
        <w:gridCol w:w="1163"/>
        <w:gridCol w:w="1163"/>
        <w:gridCol w:w="1163"/>
        <w:gridCol w:w="1163"/>
      </w:tblGrid>
      <w:tr>
        <w:trPr>
          <w:trHeight w:hRule="exact" w:val="194"/>
        </w:trPr>
        <w:tc>
          <w:tcPr>
            <w:tcW w:type="dxa" w:w="1820"/>
            <w:tcBorders/>
            <w:tcMar>
              <w:start w:w="0" w:type="dxa"/>
              <w:end w:w="0" w:type="dxa"/>
            </w:tcMar>
          </w:tcPr>
          <w:p>
            <w:pPr>
              <w:autoSpaceDN w:val="0"/>
              <w:autoSpaceDE w:val="0"/>
              <w:widowControl/>
              <w:spacing w:line="156" w:lineRule="exact" w:before="12"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提取盈余公积</w:t>
            </w:r>
          </w:p>
        </w:tc>
        <w:tc>
          <w:tcPr>
            <w:tcW w:type="dxa" w:w="1180"/>
            <w:tcBorders/>
            <w:tcMar>
              <w:start w:w="0" w:type="dxa"/>
              <w:end w:w="0" w:type="dxa"/>
            </w:tcMar>
          </w:tcPr>
          <w:p>
            <w:pPr>
              <w:autoSpaceDN w:val="0"/>
              <w:autoSpaceDE w:val="0"/>
              <w:widowControl/>
              <w:spacing w:line="156" w:lineRule="exact" w:before="12"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36 </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24"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 xml:space="preserve">62,016,746 </w:t>
            </w:r>
          </w:p>
        </w:tc>
        <w:tc>
          <w:tcPr>
            <w:tcW w:type="dxa" w:w="1040"/>
            <w:tcBorders/>
            <w:tcMar>
              <w:start w:w="0" w:type="dxa"/>
              <w:end w:w="0" w:type="dxa"/>
            </w:tcMar>
          </w:tcPr>
          <w:p>
            <w:pPr>
              <w:autoSpaceDN w:val="0"/>
              <w:autoSpaceDE w:val="0"/>
              <w:widowControl/>
              <w:spacing w:line="233" w:lineRule="auto" w:before="24"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3" w:lineRule="auto" w:before="24"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24" w:after="0"/>
              <w:ind w:left="226" w:right="0" w:firstLine="0"/>
              <w:jc w:val="left"/>
            </w:pPr>
            <w:r>
              <w:rPr>
                <w:rFonts w:ascii="Arial" w:hAnsi="Arial" w:eastAsia="Arial"/>
                <w:b w:val="0"/>
                <w:i w:val="0"/>
                <w:color w:val="000000"/>
                <w:sz w:val="14"/>
              </w:rPr>
              <w:t xml:space="preserve">(62,016,746) </w:t>
            </w:r>
          </w:p>
        </w:tc>
        <w:tc>
          <w:tcPr>
            <w:tcW w:type="dxa" w:w="1480"/>
            <w:tcBorders/>
            <w:tcMar>
              <w:start w:w="0" w:type="dxa"/>
              <w:end w:w="0" w:type="dxa"/>
            </w:tcMar>
          </w:tcPr>
          <w:p>
            <w:pPr>
              <w:autoSpaceDN w:val="0"/>
              <w:autoSpaceDE w:val="0"/>
              <w:widowControl/>
              <w:spacing w:line="233" w:lineRule="auto" w:before="24" w:after="0"/>
              <w:ind w:left="0" w:right="526" w:firstLine="0"/>
              <w:jc w:val="right"/>
            </w:pPr>
            <w:r>
              <w:rPr>
                <w:rFonts w:ascii="Arial" w:hAnsi="Arial" w:eastAsia="Arial"/>
                <w:b w:val="0"/>
                <w:i w:val="0"/>
                <w:color w:val="000000"/>
                <w:sz w:val="14"/>
              </w:rPr>
              <w:t>-</w:t>
            </w:r>
          </w:p>
        </w:tc>
        <w:tc>
          <w:tcPr>
            <w:tcW w:type="dxa" w:w="720"/>
            <w:tcBorders/>
            <w:tcMar>
              <w:start w:w="0" w:type="dxa"/>
              <w:end w:w="0" w:type="dxa"/>
            </w:tcMar>
          </w:tcPr>
          <w:p>
            <w:pPr>
              <w:autoSpaceDN w:val="0"/>
              <w:autoSpaceDE w:val="0"/>
              <w:widowControl/>
              <w:spacing w:line="233" w:lineRule="auto" w:before="24" w:after="0"/>
              <w:ind w:left="0" w:right="196"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196" w:firstLine="0"/>
              <w:jc w:val="right"/>
            </w:pPr>
            <w:r>
              <w:rPr>
                <w:rFonts w:ascii="Arial" w:hAnsi="Arial" w:eastAsia="Arial"/>
                <w:b w:val="0"/>
                <w:i w:val="0"/>
                <w:color w:val="000000"/>
                <w:sz w:val="14"/>
              </w:rPr>
              <w:t>-</w:t>
            </w:r>
          </w:p>
        </w:tc>
      </w:tr>
      <w:tr>
        <w:trPr>
          <w:trHeight w:hRule="exact" w:val="180"/>
        </w:trPr>
        <w:tc>
          <w:tcPr>
            <w:tcW w:type="dxa" w:w="1820"/>
            <w:tcBorders/>
            <w:tcMar>
              <w:start w:w="0" w:type="dxa"/>
              <w:end w:w="0" w:type="dxa"/>
            </w:tcMar>
          </w:tcPr>
          <w:p>
            <w:pPr>
              <w:autoSpaceDN w:val="0"/>
              <w:autoSpaceDE w:val="0"/>
              <w:widowControl/>
              <w:spacing w:line="156" w:lineRule="exact" w:before="0" w:after="0"/>
              <w:ind w:left="0" w:right="0" w:firstLine="0"/>
              <w:jc w:val="center"/>
            </w:pPr>
            <w:r>
              <w:rPr>
                <w:rFonts w:ascii="Arial" w:hAnsi="Arial" w:eastAsia="Arial"/>
                <w:b w:val="0"/>
                <w:i w:val="0"/>
                <w:color w:val="000000"/>
                <w:sz w:val="14"/>
              </w:rPr>
              <w:t>-</w:t>
            </w:r>
            <w:r>
              <w:rPr>
                <w:rFonts w:ascii="黑体" w:hAnsi="黑体" w:eastAsia="黑体"/>
                <w:b w:val="0"/>
                <w:i w:val="0"/>
                <w:color w:val="000000"/>
                <w:sz w:val="14"/>
              </w:rPr>
              <w:t>提取一般风险准备</w:t>
            </w:r>
          </w:p>
        </w:tc>
        <w:tc>
          <w:tcPr>
            <w:tcW w:type="dxa" w:w="1180"/>
            <w:tcBorders/>
            <w:tcMar>
              <w:start w:w="0" w:type="dxa"/>
              <w:end w:w="0" w:type="dxa"/>
            </w:tcMar>
          </w:tcPr>
          <w:p>
            <w:pPr>
              <w:autoSpaceDN w:val="0"/>
              <w:autoSpaceDE w:val="0"/>
              <w:widowControl/>
              <w:spacing w:line="156" w:lineRule="exact" w:before="0"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37 </w:t>
            </w:r>
          </w:p>
        </w:tc>
        <w:tc>
          <w:tcPr>
            <w:tcW w:type="dxa" w:w="106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12"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2"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 xml:space="preserve">67,307,410 </w:t>
            </w:r>
          </w:p>
        </w:tc>
        <w:tc>
          <w:tcPr>
            <w:tcW w:type="dxa" w:w="1000"/>
            <w:tcBorders/>
            <w:tcMar>
              <w:start w:w="0" w:type="dxa"/>
              <w:end w:w="0" w:type="dxa"/>
            </w:tcMar>
          </w:tcPr>
          <w:p>
            <w:pPr>
              <w:autoSpaceDN w:val="0"/>
              <w:autoSpaceDE w:val="0"/>
              <w:widowControl/>
              <w:spacing w:line="233" w:lineRule="auto" w:before="12"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12" w:after="0"/>
              <w:ind w:left="226" w:right="0" w:firstLine="0"/>
              <w:jc w:val="left"/>
            </w:pPr>
            <w:r>
              <w:rPr>
                <w:rFonts w:ascii="Arial" w:hAnsi="Arial" w:eastAsia="Arial"/>
                <w:b w:val="0"/>
                <w:i w:val="0"/>
                <w:color w:val="000000"/>
                <w:sz w:val="14"/>
              </w:rPr>
              <w:t xml:space="preserve">(67,307,410) </w:t>
            </w:r>
          </w:p>
        </w:tc>
        <w:tc>
          <w:tcPr>
            <w:tcW w:type="dxa" w:w="1480"/>
            <w:tcBorders/>
            <w:tcMar>
              <w:start w:w="0" w:type="dxa"/>
              <w:end w:w="0" w:type="dxa"/>
            </w:tcMar>
          </w:tcPr>
          <w:p>
            <w:pPr>
              <w:autoSpaceDN w:val="0"/>
              <w:autoSpaceDE w:val="0"/>
              <w:widowControl/>
              <w:spacing w:line="233" w:lineRule="auto" w:before="12" w:after="0"/>
              <w:ind w:left="0" w:right="526" w:firstLine="0"/>
              <w:jc w:val="right"/>
            </w:pPr>
            <w:r>
              <w:rPr>
                <w:rFonts w:ascii="Arial" w:hAnsi="Arial" w:eastAsia="Arial"/>
                <w:b w:val="0"/>
                <w:i w:val="0"/>
                <w:color w:val="000000"/>
                <w:sz w:val="14"/>
              </w:rPr>
              <w:t>-</w:t>
            </w:r>
          </w:p>
        </w:tc>
        <w:tc>
          <w:tcPr>
            <w:tcW w:type="dxa" w:w="720"/>
            <w:tcBorders/>
            <w:tcMar>
              <w:start w:w="0" w:type="dxa"/>
              <w:end w:w="0" w:type="dxa"/>
            </w:tcMar>
          </w:tcPr>
          <w:p>
            <w:pPr>
              <w:autoSpaceDN w:val="0"/>
              <w:autoSpaceDE w:val="0"/>
              <w:widowControl/>
              <w:spacing w:line="233" w:lineRule="auto" w:before="12" w:after="0"/>
              <w:ind w:left="0" w:right="196"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12" w:after="0"/>
              <w:ind w:left="0" w:right="196" w:firstLine="0"/>
              <w:jc w:val="right"/>
            </w:pPr>
            <w:r>
              <w:rPr>
                <w:rFonts w:ascii="Arial" w:hAnsi="Arial" w:eastAsia="Arial"/>
                <w:b w:val="0"/>
                <w:i w:val="0"/>
                <w:color w:val="000000"/>
                <w:sz w:val="14"/>
              </w:rPr>
              <w:t>-</w:t>
            </w:r>
          </w:p>
        </w:tc>
      </w:tr>
      <w:tr>
        <w:trPr>
          <w:trHeight w:hRule="exact" w:val="182"/>
        </w:trPr>
        <w:tc>
          <w:tcPr>
            <w:tcW w:type="dxa" w:w="1820"/>
            <w:tcBorders/>
            <w:tcMar>
              <w:start w:w="0" w:type="dxa"/>
              <w:end w:w="0" w:type="dxa"/>
            </w:tcMar>
          </w:tcPr>
          <w:p>
            <w:pPr>
              <w:autoSpaceDN w:val="0"/>
              <w:autoSpaceDE w:val="0"/>
              <w:widowControl/>
              <w:spacing w:line="154" w:lineRule="exact" w:before="4" w:after="0"/>
              <w:ind w:left="0" w:right="0" w:firstLine="0"/>
              <w:jc w:val="center"/>
            </w:pPr>
            <w:r>
              <w:rPr>
                <w:rFonts w:ascii="Arial" w:hAnsi="Arial" w:eastAsia="Arial"/>
                <w:b w:val="0"/>
                <w:i w:val="0"/>
                <w:color w:val="000000"/>
                <w:sz w:val="14"/>
              </w:rPr>
              <w:t>-</w:t>
            </w:r>
            <w:r>
              <w:rPr>
                <w:rFonts w:ascii="黑体" w:hAnsi="黑体" w:eastAsia="黑体"/>
                <w:b w:val="0"/>
                <w:i w:val="0"/>
                <w:color w:val="000000"/>
                <w:sz w:val="14"/>
              </w:rPr>
              <w:t>提取交易风险准备</w:t>
            </w:r>
          </w:p>
        </w:tc>
        <w:tc>
          <w:tcPr>
            <w:tcW w:type="dxa" w:w="1180"/>
            <w:tcBorders/>
            <w:tcMar>
              <w:start w:w="0" w:type="dxa"/>
              <w:end w:w="0" w:type="dxa"/>
            </w:tcMar>
          </w:tcPr>
          <w:p>
            <w:pPr>
              <w:autoSpaceDN w:val="0"/>
              <w:autoSpaceDE w:val="0"/>
              <w:widowControl/>
              <w:spacing w:line="154" w:lineRule="exact" w:before="4"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37 </w:t>
            </w:r>
          </w:p>
        </w:tc>
        <w:tc>
          <w:tcPr>
            <w:tcW w:type="dxa" w:w="106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12"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2"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12"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4"/>
              </w:rPr>
              <w:t>62,016,746</w:t>
            </w:r>
          </w:p>
        </w:tc>
        <w:tc>
          <w:tcPr>
            <w:tcW w:type="dxa" w:w="1180"/>
            <w:tcBorders/>
            <w:tcMar>
              <w:start w:w="0" w:type="dxa"/>
              <w:end w:w="0" w:type="dxa"/>
            </w:tcMar>
          </w:tcPr>
          <w:p>
            <w:pPr>
              <w:autoSpaceDN w:val="0"/>
              <w:autoSpaceDE w:val="0"/>
              <w:widowControl/>
              <w:spacing w:line="233" w:lineRule="auto" w:before="12" w:after="0"/>
              <w:ind w:left="226" w:right="0" w:firstLine="0"/>
              <w:jc w:val="left"/>
            </w:pPr>
            <w:r>
              <w:rPr>
                <w:rFonts w:ascii="Arial" w:hAnsi="Arial" w:eastAsia="Arial"/>
                <w:b w:val="0"/>
                <w:i w:val="0"/>
                <w:color w:val="000000"/>
                <w:sz w:val="14"/>
              </w:rPr>
              <w:t xml:space="preserve">(62,016,746) </w:t>
            </w:r>
          </w:p>
        </w:tc>
        <w:tc>
          <w:tcPr>
            <w:tcW w:type="dxa" w:w="1480"/>
            <w:tcBorders/>
            <w:tcMar>
              <w:start w:w="0" w:type="dxa"/>
              <w:end w:w="0" w:type="dxa"/>
            </w:tcMar>
          </w:tcPr>
          <w:p>
            <w:pPr>
              <w:autoSpaceDN w:val="0"/>
              <w:autoSpaceDE w:val="0"/>
              <w:widowControl/>
              <w:spacing w:line="233" w:lineRule="auto" w:before="12" w:after="0"/>
              <w:ind w:left="0" w:right="526" w:firstLine="0"/>
              <w:jc w:val="right"/>
            </w:pPr>
            <w:r>
              <w:rPr>
                <w:rFonts w:ascii="Arial" w:hAnsi="Arial" w:eastAsia="Arial"/>
                <w:b w:val="0"/>
                <w:i w:val="0"/>
                <w:color w:val="000000"/>
                <w:sz w:val="14"/>
              </w:rPr>
              <w:t>-</w:t>
            </w:r>
          </w:p>
        </w:tc>
        <w:tc>
          <w:tcPr>
            <w:tcW w:type="dxa" w:w="720"/>
            <w:tcBorders/>
            <w:tcMar>
              <w:start w:w="0" w:type="dxa"/>
              <w:end w:w="0" w:type="dxa"/>
            </w:tcMar>
          </w:tcPr>
          <w:p>
            <w:pPr>
              <w:autoSpaceDN w:val="0"/>
              <w:autoSpaceDE w:val="0"/>
              <w:widowControl/>
              <w:spacing w:line="233" w:lineRule="auto" w:before="12" w:after="0"/>
              <w:ind w:left="0" w:right="196"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12" w:after="0"/>
              <w:ind w:left="0" w:right="196" w:firstLine="0"/>
              <w:jc w:val="right"/>
            </w:pPr>
            <w:r>
              <w:rPr>
                <w:rFonts w:ascii="Arial" w:hAnsi="Arial" w:eastAsia="Arial"/>
                <w:b w:val="0"/>
                <w:i w:val="0"/>
                <w:color w:val="000000"/>
                <w:sz w:val="14"/>
              </w:rPr>
              <w:t>-</w:t>
            </w:r>
          </w:p>
        </w:tc>
      </w:tr>
      <w:tr>
        <w:trPr>
          <w:trHeight w:hRule="exact" w:val="180"/>
        </w:trPr>
        <w:tc>
          <w:tcPr>
            <w:tcW w:type="dxa" w:w="1820"/>
            <w:tcBorders/>
            <w:tcMar>
              <w:start w:w="0" w:type="dxa"/>
              <w:end w:w="0" w:type="dxa"/>
            </w:tcMar>
          </w:tcPr>
          <w:p>
            <w:pPr>
              <w:autoSpaceDN w:val="0"/>
              <w:autoSpaceDE w:val="0"/>
              <w:widowControl/>
              <w:spacing w:line="154" w:lineRule="exact" w:before="2"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对股东的分配</w:t>
            </w:r>
          </w:p>
        </w:tc>
        <w:tc>
          <w:tcPr>
            <w:tcW w:type="dxa" w:w="1180"/>
            <w:tcBorders/>
            <w:tcMar>
              <w:start w:w="0" w:type="dxa"/>
              <w:end w:w="0" w:type="dxa"/>
            </w:tcMar>
          </w:tcPr>
          <w:p>
            <w:pPr>
              <w:autoSpaceDN w:val="0"/>
              <w:autoSpaceDE w:val="0"/>
              <w:widowControl/>
              <w:spacing w:line="154" w:lineRule="exact" w:before="2"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38 </w:t>
            </w:r>
          </w:p>
        </w:tc>
        <w:tc>
          <w:tcPr>
            <w:tcW w:type="dxa" w:w="1060"/>
            <w:tcBorders/>
            <w:tcMar>
              <w:start w:w="0" w:type="dxa"/>
              <w:end w:w="0" w:type="dxa"/>
            </w:tcMar>
          </w:tcPr>
          <w:p>
            <w:pPr>
              <w:autoSpaceDN w:val="0"/>
              <w:autoSpaceDE w:val="0"/>
              <w:widowControl/>
              <w:spacing w:line="230" w:lineRule="auto" w:before="14"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0" w:lineRule="auto" w:before="14"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0" w:lineRule="auto" w:before="14"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0" w:lineRule="auto" w:before="14"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0" w:lineRule="auto" w:before="14"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0" w:lineRule="auto" w:before="14"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0" w:lineRule="auto" w:before="14" w:after="0"/>
              <w:ind w:left="0" w:right="0" w:firstLine="0"/>
              <w:jc w:val="center"/>
            </w:pPr>
            <w:r>
              <w:rPr>
                <w:rFonts w:ascii="Arial" w:hAnsi="Arial" w:eastAsia="Arial"/>
                <w:b w:val="0"/>
                <w:i w:val="0"/>
                <w:color w:val="000000"/>
                <w:sz w:val="14"/>
              </w:rPr>
              <w:t xml:space="preserve">(502,568,016) </w:t>
            </w:r>
          </w:p>
        </w:tc>
        <w:tc>
          <w:tcPr>
            <w:tcW w:type="dxa" w:w="1480"/>
            <w:tcBorders/>
            <w:tcMar>
              <w:start w:w="0" w:type="dxa"/>
              <w:end w:w="0" w:type="dxa"/>
            </w:tcMar>
          </w:tcPr>
          <w:p>
            <w:pPr>
              <w:autoSpaceDN w:val="0"/>
              <w:autoSpaceDE w:val="0"/>
              <w:widowControl/>
              <w:spacing w:line="230" w:lineRule="auto" w:before="14" w:after="0"/>
              <w:ind w:left="128" w:right="0" w:firstLine="0"/>
              <w:jc w:val="left"/>
            </w:pPr>
            <w:r>
              <w:rPr>
                <w:rFonts w:ascii="Arial" w:hAnsi="Arial" w:eastAsia="Arial"/>
                <w:b w:val="0"/>
                <w:i w:val="0"/>
                <w:color w:val="000000"/>
                <w:sz w:val="14"/>
              </w:rPr>
              <w:t xml:space="preserve">(502,568,016) </w:t>
            </w:r>
          </w:p>
        </w:tc>
        <w:tc>
          <w:tcPr>
            <w:tcW w:type="dxa" w:w="720"/>
            <w:tcBorders/>
            <w:tcMar>
              <w:start w:w="0" w:type="dxa"/>
              <w:end w:w="0" w:type="dxa"/>
            </w:tcMar>
          </w:tcPr>
          <w:p>
            <w:pPr>
              <w:autoSpaceDN w:val="0"/>
              <w:autoSpaceDE w:val="0"/>
              <w:widowControl/>
              <w:spacing w:line="230" w:lineRule="auto" w:before="14" w:after="0"/>
              <w:ind w:left="0" w:right="196"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0" w:lineRule="auto" w:before="14" w:after="0"/>
              <w:ind w:left="196" w:right="0" w:firstLine="0"/>
              <w:jc w:val="left"/>
            </w:pPr>
            <w:r>
              <w:rPr>
                <w:rFonts w:ascii="Arial" w:hAnsi="Arial" w:eastAsia="Arial"/>
                <w:b w:val="0"/>
                <w:i w:val="0"/>
                <w:color w:val="000000"/>
                <w:sz w:val="14"/>
              </w:rPr>
              <w:t xml:space="preserve">(502,568,016) </w:t>
            </w:r>
          </w:p>
        </w:tc>
      </w:tr>
    </w:tbl>
    <w:p>
      <w:pPr>
        <w:autoSpaceDN w:val="0"/>
        <w:autoSpaceDE w:val="0"/>
        <w:widowControl/>
        <w:spacing w:line="140" w:lineRule="exact" w:before="10" w:after="20"/>
        <w:ind w:left="498" w:right="0" w:firstLine="0"/>
        <w:jc w:val="left"/>
      </w:pPr>
      <w:r>
        <w:rPr>
          <w:rFonts w:ascii="黑体" w:hAnsi="黑体" w:eastAsia="黑体"/>
          <w:b w:val="0"/>
          <w:i w:val="0"/>
          <w:color w:val="000000"/>
          <w:sz w:val="14"/>
        </w:rPr>
        <w:t>4.所有者权益内部结转</w:t>
      </w:r>
    </w:p>
    <w:tbl>
      <w:tblPr>
        <w:tblW w:type="auto" w:w="0"/>
        <w:tblLayout w:type="fixed"/>
        <w:tblLook w:firstColumn="1" w:firstRow="1" w:lastColumn="0" w:lastRow="0" w:noHBand="0" w:noVBand="1" w:val="04A0"/>
        <w:tblInd w:w="160.0" w:type="dxa"/>
      </w:tblPr>
      <w:tblGrid>
        <w:gridCol w:w="1163"/>
        <w:gridCol w:w="1163"/>
        <w:gridCol w:w="1163"/>
        <w:gridCol w:w="1163"/>
        <w:gridCol w:w="1163"/>
        <w:gridCol w:w="1163"/>
        <w:gridCol w:w="1163"/>
        <w:gridCol w:w="1163"/>
        <w:gridCol w:w="1163"/>
        <w:gridCol w:w="1163"/>
        <w:gridCol w:w="1163"/>
        <w:gridCol w:w="1163"/>
      </w:tblGrid>
      <w:tr>
        <w:trPr>
          <w:trHeight w:hRule="exact" w:val="188"/>
        </w:trPr>
        <w:tc>
          <w:tcPr>
            <w:tcW w:type="dxa" w:w="480"/>
            <w:tcBorders>
              <w:bottom w:sz="4.0" w:val="single" w:color="#000000"/>
            </w:tcBorders>
            <w:tcMar>
              <w:start w:w="0" w:type="dxa"/>
              <w:end w:w="0" w:type="dxa"/>
            </w:tcMar>
          </w:tcPr>
          <w:p/>
        </w:tc>
        <w:tc>
          <w:tcPr>
            <w:tcW w:type="dxa" w:w="2294"/>
            <w:tcBorders>
              <w:bottom w:sz="4.0" w:val="single" w:color="#000000"/>
            </w:tcBorders>
            <w:tcMar>
              <w:start w:w="0" w:type="dxa"/>
              <w:end w:w="0" w:type="dxa"/>
            </w:tcMar>
          </w:tcPr>
          <w:p>
            <w:pPr>
              <w:autoSpaceDN w:val="0"/>
              <w:autoSpaceDE w:val="0"/>
              <w:widowControl/>
              <w:spacing w:line="140" w:lineRule="exact" w:before="22" w:after="0"/>
              <w:ind w:left="26" w:right="0" w:firstLine="0"/>
              <w:jc w:val="left"/>
            </w:pPr>
            <w:r>
              <w:rPr>
                <w:rFonts w:ascii="黑体" w:hAnsi="黑体" w:eastAsia="黑体"/>
                <w:b w:val="0"/>
                <w:i w:val="0"/>
                <w:color w:val="000000"/>
                <w:sz w:val="14"/>
              </w:rPr>
              <w:t>-其他综合收益结转留存收益</w:t>
            </w:r>
          </w:p>
        </w:tc>
        <w:tc>
          <w:tcPr>
            <w:tcW w:type="dxa" w:w="962"/>
            <w:tcBorders>
              <w:bottom w:sz="4.0"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c>
          <w:tcPr>
            <w:tcW w:type="dxa" w:w="1048"/>
            <w:tcBorders>
              <w:bottom w:sz="4.0"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c>
          <w:tcPr>
            <w:tcW w:type="dxa" w:w="1194"/>
            <w:tcBorders>
              <w:bottom w:sz="4.0" w:val="single" w:color="#000000"/>
            </w:tcBorders>
            <w:tcMar>
              <w:start w:w="0" w:type="dxa"/>
              <w:end w:w="0" w:type="dxa"/>
            </w:tcMar>
          </w:tcPr>
          <w:p>
            <w:pPr>
              <w:autoSpaceDN w:val="0"/>
              <w:autoSpaceDE w:val="0"/>
              <w:widowControl/>
              <w:spacing w:line="230" w:lineRule="auto" w:before="26" w:after="0"/>
              <w:ind w:left="0" w:right="60" w:firstLine="0"/>
              <w:jc w:val="right"/>
            </w:pPr>
            <w:r>
              <w:rPr>
                <w:rFonts w:ascii="Arial" w:hAnsi="Arial" w:eastAsia="Arial"/>
                <w:b w:val="0"/>
                <w:i w:val="0"/>
                <w:color w:val="000000"/>
                <w:sz w:val="14"/>
              </w:rPr>
              <w:t xml:space="preserve">(65,252) </w:t>
            </w:r>
          </w:p>
        </w:tc>
        <w:tc>
          <w:tcPr>
            <w:tcW w:type="dxa" w:w="992"/>
            <w:tcBorders>
              <w:bottom w:sz="4.0" w:val="single" w:color="#000000"/>
            </w:tcBorders>
            <w:tcMar>
              <w:start w:w="0" w:type="dxa"/>
              <w:end w:w="0" w:type="dxa"/>
            </w:tcMar>
          </w:tcPr>
          <w:p>
            <w:pPr>
              <w:autoSpaceDN w:val="0"/>
              <w:autoSpaceDE w:val="0"/>
              <w:widowControl/>
              <w:spacing w:line="230" w:lineRule="auto" w:before="26" w:after="0"/>
              <w:ind w:left="0" w:right="106" w:firstLine="0"/>
              <w:jc w:val="right"/>
            </w:pPr>
            <w:r>
              <w:rPr>
                <w:rFonts w:ascii="Arial" w:hAnsi="Arial" w:eastAsia="Arial"/>
                <w:b w:val="0"/>
                <w:i w:val="0"/>
                <w:color w:val="000000"/>
                <w:sz w:val="14"/>
              </w:rPr>
              <w:t xml:space="preserve">- </w:t>
            </w:r>
          </w:p>
        </w:tc>
        <w:tc>
          <w:tcPr>
            <w:tcW w:type="dxa" w:w="1048"/>
            <w:tcBorders>
              <w:bottom w:sz="4.0" w:val="single" w:color="#000000"/>
            </w:tcBorders>
            <w:tcMar>
              <w:start w:w="0" w:type="dxa"/>
              <w:end w:w="0" w:type="dxa"/>
            </w:tcMar>
          </w:tcPr>
          <w:p>
            <w:pPr>
              <w:autoSpaceDN w:val="0"/>
              <w:autoSpaceDE w:val="0"/>
              <w:widowControl/>
              <w:spacing w:line="230" w:lineRule="auto" w:before="26" w:after="0"/>
              <w:ind w:left="0" w:right="102" w:firstLine="0"/>
              <w:jc w:val="right"/>
            </w:pPr>
            <w:r>
              <w:rPr>
                <w:rFonts w:ascii="Arial" w:hAnsi="Arial" w:eastAsia="Arial"/>
                <w:b w:val="0"/>
                <w:i w:val="0"/>
                <w:color w:val="000000"/>
                <w:sz w:val="14"/>
              </w:rPr>
              <w:t xml:space="preserve">- </w:t>
            </w:r>
          </w:p>
        </w:tc>
        <w:tc>
          <w:tcPr>
            <w:tcW w:type="dxa" w:w="1050"/>
            <w:tcBorders>
              <w:bottom w:sz="4.0" w:val="single" w:color="#000000"/>
            </w:tcBorders>
            <w:tcMar>
              <w:start w:w="0" w:type="dxa"/>
              <w:end w:w="0" w:type="dxa"/>
            </w:tcMar>
          </w:tcPr>
          <w:p>
            <w:pPr>
              <w:autoSpaceDN w:val="0"/>
              <w:autoSpaceDE w:val="0"/>
              <w:widowControl/>
              <w:spacing w:line="230" w:lineRule="auto" w:before="26" w:after="0"/>
              <w:ind w:left="0" w:right="142" w:firstLine="0"/>
              <w:jc w:val="right"/>
            </w:pPr>
            <w:r>
              <w:rPr>
                <w:rFonts w:ascii="Arial" w:hAnsi="Arial" w:eastAsia="Arial"/>
                <w:b w:val="0"/>
                <w:i w:val="0"/>
                <w:color w:val="000000"/>
                <w:sz w:val="14"/>
              </w:rPr>
              <w:t>-</w:t>
            </w:r>
          </w:p>
        </w:tc>
        <w:tc>
          <w:tcPr>
            <w:tcW w:type="dxa" w:w="964"/>
            <w:tcBorders>
              <w:bottom w:sz="4.0" w:val="single" w:color="#000000"/>
            </w:tcBorders>
            <w:tcMar>
              <w:start w:w="0" w:type="dxa"/>
              <w:end w:w="0" w:type="dxa"/>
            </w:tcMar>
          </w:tcPr>
          <w:p>
            <w:pPr>
              <w:autoSpaceDN w:val="0"/>
              <w:autoSpaceDE w:val="0"/>
              <w:widowControl/>
              <w:spacing w:line="230" w:lineRule="auto" w:before="26" w:after="0"/>
              <w:ind w:left="0" w:right="2" w:firstLine="0"/>
              <w:jc w:val="right"/>
            </w:pPr>
            <w:r>
              <w:rPr>
                <w:rFonts w:ascii="Arial" w:hAnsi="Arial" w:eastAsia="Arial"/>
                <w:b w:val="0"/>
                <w:i w:val="0"/>
                <w:color w:val="000000"/>
                <w:sz w:val="14"/>
              </w:rPr>
              <w:t>65,252</w:t>
            </w:r>
          </w:p>
        </w:tc>
        <w:tc>
          <w:tcPr>
            <w:tcW w:type="dxa" w:w="1162"/>
            <w:tcBorders>
              <w:bottom w:sz="4.0"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c>
          <w:tcPr>
            <w:tcW w:type="dxa" w:w="1190"/>
            <w:tcBorders>
              <w:bottom w:sz="4.0" w:val="single" w:color="#000000"/>
            </w:tcBorders>
            <w:tcMar>
              <w:start w:w="0" w:type="dxa"/>
              <w:end w:w="0" w:type="dxa"/>
            </w:tcMar>
          </w:tcPr>
          <w:p>
            <w:pPr>
              <w:autoSpaceDN w:val="0"/>
              <w:autoSpaceDE w:val="0"/>
              <w:widowControl/>
              <w:spacing w:line="230" w:lineRule="auto" w:before="26" w:after="0"/>
              <w:ind w:left="0" w:right="140" w:firstLine="0"/>
              <w:jc w:val="right"/>
            </w:pPr>
            <w:r>
              <w:rPr>
                <w:rFonts w:ascii="Arial" w:hAnsi="Arial" w:eastAsia="Arial"/>
                <w:b w:val="0"/>
                <w:i w:val="0"/>
                <w:color w:val="000000"/>
                <w:sz w:val="14"/>
              </w:rPr>
              <w:t>-</w:t>
            </w:r>
          </w:p>
        </w:tc>
        <w:tc>
          <w:tcPr>
            <w:tcW w:type="dxa" w:w="1078"/>
            <w:tcBorders>
              <w:bottom w:sz="4.0"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r>
      <w:tr>
        <w:trPr>
          <w:trHeight w:hRule="exact" w:val="353"/>
        </w:trPr>
        <w:tc>
          <w:tcPr>
            <w:tcW w:type="dxa" w:w="480"/>
            <w:tcBorders>
              <w:top w:sz="4.0" w:val="single" w:color="#000000"/>
              <w:bottom w:sz="3.200000000000273" w:val="single" w:color="#000000"/>
            </w:tcBorders>
            <w:tcMar>
              <w:start w:w="0" w:type="dxa"/>
              <w:end w:w="0" w:type="dxa"/>
            </w:tcMar>
          </w:tcPr>
          <w:p>
            <w:pPr>
              <w:autoSpaceDN w:val="0"/>
              <w:autoSpaceDE w:val="0"/>
              <w:widowControl/>
              <w:spacing w:line="140" w:lineRule="exact" w:before="178" w:after="0"/>
              <w:ind w:left="0" w:right="4" w:firstLine="0"/>
              <w:jc w:val="right"/>
            </w:pPr>
            <w:r>
              <w:rPr>
                <w:rFonts w:ascii="黑体" w:hAnsi="黑体" w:eastAsia="黑体"/>
                <w:b w:val="0"/>
                <w:i w:val="0"/>
                <w:color w:val="000000"/>
                <w:sz w:val="14"/>
              </w:rPr>
              <w:t>小计</w:t>
            </w:r>
          </w:p>
        </w:tc>
        <w:tc>
          <w:tcPr>
            <w:tcW w:type="dxa" w:w="2294"/>
            <w:tcBorders>
              <w:top w:sz="4.0" w:val="single" w:color="#000000"/>
            </w:tcBorders>
            <w:tcMar>
              <w:start w:w="0" w:type="dxa"/>
              <w:end w:w="0" w:type="dxa"/>
            </w:tcMar>
          </w:tcPr>
          <w:p/>
        </w:tc>
        <w:tc>
          <w:tcPr>
            <w:tcW w:type="dxa" w:w="962"/>
            <w:tcBorders>
              <w:top w:sz="4.0" w:val="single" w:color="#000000"/>
            </w:tcBorders>
            <w:tcMar>
              <w:start w:w="0" w:type="dxa"/>
              <w:end w:w="0" w:type="dxa"/>
            </w:tcMar>
          </w:tcPr>
          <w:p>
            <w:pPr>
              <w:autoSpaceDN w:val="0"/>
              <w:autoSpaceDE w:val="0"/>
              <w:widowControl/>
              <w:spacing w:line="233" w:lineRule="auto" w:before="184" w:after="0"/>
              <w:ind w:left="0" w:right="0" w:firstLine="0"/>
              <w:jc w:val="right"/>
            </w:pPr>
            <w:r>
              <w:rPr>
                <w:rFonts w:ascii="Arial" w:hAnsi="Arial" w:eastAsia="Arial"/>
                <w:b w:val="0"/>
                <w:i w:val="0"/>
                <w:color w:val="000000"/>
                <w:sz w:val="14"/>
              </w:rPr>
              <w:t>-</w:t>
            </w:r>
          </w:p>
        </w:tc>
        <w:tc>
          <w:tcPr>
            <w:tcW w:type="dxa" w:w="1048"/>
            <w:tcBorders>
              <w:top w:sz="4.0" w:val="single" w:color="#000000"/>
            </w:tcBorders>
            <w:tcMar>
              <w:start w:w="0" w:type="dxa"/>
              <w:end w:w="0" w:type="dxa"/>
            </w:tcMar>
          </w:tcPr>
          <w:p>
            <w:pPr>
              <w:autoSpaceDN w:val="0"/>
              <w:autoSpaceDE w:val="0"/>
              <w:widowControl/>
              <w:spacing w:line="233" w:lineRule="auto" w:before="184" w:after="0"/>
              <w:ind w:left="0" w:right="0" w:firstLine="0"/>
              <w:jc w:val="right"/>
            </w:pPr>
            <w:r>
              <w:rPr>
                <w:rFonts w:ascii="Arial" w:hAnsi="Arial" w:eastAsia="Arial"/>
                <w:b w:val="0"/>
                <w:i w:val="0"/>
                <w:color w:val="000000"/>
                <w:sz w:val="14"/>
              </w:rPr>
              <w:t>-</w:t>
            </w:r>
          </w:p>
        </w:tc>
        <w:tc>
          <w:tcPr>
            <w:tcW w:type="dxa" w:w="1194"/>
            <w:tcBorders>
              <w:top w:sz="4.0" w:val="single" w:color="#000000"/>
            </w:tcBorders>
            <w:tcMar>
              <w:start w:w="0" w:type="dxa"/>
              <w:end w:w="0" w:type="dxa"/>
            </w:tcMar>
          </w:tcPr>
          <w:p>
            <w:pPr>
              <w:autoSpaceDN w:val="0"/>
              <w:autoSpaceDE w:val="0"/>
              <w:widowControl/>
              <w:spacing w:line="233" w:lineRule="auto" w:before="184" w:after="0"/>
              <w:ind w:left="0" w:right="146" w:firstLine="0"/>
              <w:jc w:val="right"/>
            </w:pPr>
            <w:r>
              <w:rPr>
                <w:rFonts w:ascii="Arial" w:hAnsi="Arial" w:eastAsia="Arial"/>
                <w:b w:val="0"/>
                <w:i w:val="0"/>
                <w:color w:val="000000"/>
                <w:sz w:val="14"/>
              </w:rPr>
              <w:t>13,951,993</w:t>
            </w:r>
          </w:p>
        </w:tc>
        <w:tc>
          <w:tcPr>
            <w:tcW w:type="dxa" w:w="992"/>
            <w:tcBorders>
              <w:top w:sz="4.0" w:val="single" w:color="#000000"/>
            </w:tcBorders>
            <w:tcMar>
              <w:start w:w="0" w:type="dxa"/>
              <w:end w:w="0" w:type="dxa"/>
            </w:tcMar>
          </w:tcPr>
          <w:p>
            <w:pPr>
              <w:autoSpaceDN w:val="0"/>
              <w:autoSpaceDE w:val="0"/>
              <w:widowControl/>
              <w:spacing w:line="233" w:lineRule="auto" w:before="184" w:after="0"/>
              <w:ind w:left="0" w:right="0" w:firstLine="0"/>
              <w:jc w:val="center"/>
            </w:pPr>
            <w:r>
              <w:rPr>
                <w:rFonts w:ascii="Arial" w:hAnsi="Arial" w:eastAsia="Arial"/>
                <w:b w:val="0"/>
                <w:i w:val="0"/>
                <w:color w:val="000000"/>
                <w:sz w:val="14"/>
              </w:rPr>
              <w:t xml:space="preserve">62,016,746 </w:t>
            </w:r>
          </w:p>
        </w:tc>
        <w:tc>
          <w:tcPr>
            <w:tcW w:type="dxa" w:w="1048"/>
            <w:tcBorders>
              <w:top w:sz="4.0" w:val="single" w:color="#000000"/>
            </w:tcBorders>
            <w:tcMar>
              <w:start w:w="0" w:type="dxa"/>
              <w:end w:w="0" w:type="dxa"/>
            </w:tcMar>
          </w:tcPr>
          <w:p>
            <w:pPr>
              <w:autoSpaceDN w:val="0"/>
              <w:autoSpaceDE w:val="0"/>
              <w:widowControl/>
              <w:spacing w:line="233" w:lineRule="auto" w:before="184" w:after="0"/>
              <w:ind w:left="206" w:right="0" w:firstLine="0"/>
              <w:jc w:val="left"/>
            </w:pPr>
            <w:r>
              <w:rPr>
                <w:rFonts w:ascii="Arial" w:hAnsi="Arial" w:eastAsia="Arial"/>
                <w:b w:val="0"/>
                <w:i w:val="0"/>
                <w:color w:val="000000"/>
                <w:sz w:val="14"/>
              </w:rPr>
              <w:t xml:space="preserve">67,307,410 </w:t>
            </w:r>
          </w:p>
        </w:tc>
        <w:tc>
          <w:tcPr>
            <w:tcW w:type="dxa" w:w="1050"/>
            <w:tcBorders>
              <w:top w:sz="4.0" w:val="single" w:color="#000000"/>
            </w:tcBorders>
            <w:tcMar>
              <w:start w:w="0" w:type="dxa"/>
              <w:end w:w="0" w:type="dxa"/>
            </w:tcMar>
          </w:tcPr>
          <w:p>
            <w:pPr>
              <w:autoSpaceDN w:val="0"/>
              <w:autoSpaceDE w:val="0"/>
              <w:widowControl/>
              <w:spacing w:line="233" w:lineRule="auto" w:before="184" w:after="0"/>
              <w:ind w:left="0" w:right="0" w:firstLine="0"/>
              <w:jc w:val="center"/>
            </w:pPr>
            <w:r>
              <w:rPr>
                <w:rFonts w:ascii="Arial" w:hAnsi="Arial" w:eastAsia="Arial"/>
                <w:b w:val="0"/>
                <w:i w:val="0"/>
                <w:color w:val="000000"/>
                <w:sz w:val="14"/>
              </w:rPr>
              <w:t>62,016,746</w:t>
            </w:r>
          </w:p>
        </w:tc>
        <w:tc>
          <w:tcPr>
            <w:tcW w:type="dxa" w:w="964"/>
            <w:tcBorders>
              <w:top w:sz="4.0" w:val="single" w:color="#000000"/>
            </w:tcBorders>
            <w:tcMar>
              <w:start w:w="0" w:type="dxa"/>
              <w:end w:w="0" w:type="dxa"/>
            </w:tcMar>
          </w:tcPr>
          <w:p>
            <w:pPr>
              <w:autoSpaceDN w:val="0"/>
              <w:autoSpaceDE w:val="0"/>
              <w:widowControl/>
              <w:spacing w:line="233" w:lineRule="auto" w:before="184" w:after="0"/>
              <w:ind w:left="0" w:right="2" w:firstLine="0"/>
              <w:jc w:val="right"/>
            </w:pPr>
            <w:r>
              <w:rPr>
                <w:rFonts w:ascii="Arial" w:hAnsi="Arial" w:eastAsia="Arial"/>
                <w:b w:val="0"/>
                <w:i w:val="0"/>
                <w:color w:val="000000"/>
                <w:sz w:val="14"/>
              </w:rPr>
              <w:t>17,988,181</w:t>
            </w:r>
          </w:p>
        </w:tc>
        <w:tc>
          <w:tcPr>
            <w:tcW w:type="dxa" w:w="1162"/>
            <w:tcBorders>
              <w:top w:sz="4.0" w:val="single" w:color="#000000"/>
            </w:tcBorders>
            <w:tcMar>
              <w:start w:w="0" w:type="dxa"/>
              <w:end w:w="0" w:type="dxa"/>
            </w:tcMar>
          </w:tcPr>
          <w:p>
            <w:pPr>
              <w:autoSpaceDN w:val="0"/>
              <w:autoSpaceDE w:val="0"/>
              <w:widowControl/>
              <w:spacing w:line="233" w:lineRule="auto" w:before="184" w:after="0"/>
              <w:ind w:left="0" w:right="2" w:firstLine="0"/>
              <w:jc w:val="right"/>
            </w:pPr>
            <w:r>
              <w:rPr>
                <w:rFonts w:ascii="Arial" w:hAnsi="Arial" w:eastAsia="Arial"/>
                <w:b w:val="0"/>
                <w:i w:val="0"/>
                <w:color w:val="000000"/>
                <w:sz w:val="14"/>
              </w:rPr>
              <w:t>223,281,076</w:t>
            </w:r>
          </w:p>
        </w:tc>
        <w:tc>
          <w:tcPr>
            <w:tcW w:type="dxa" w:w="1190"/>
            <w:tcBorders>
              <w:top w:sz="4.0" w:val="single" w:color="#000000"/>
            </w:tcBorders>
            <w:tcMar>
              <w:start w:w="0" w:type="dxa"/>
              <w:end w:w="0" w:type="dxa"/>
            </w:tcMar>
          </w:tcPr>
          <w:p>
            <w:pPr>
              <w:autoSpaceDN w:val="0"/>
              <w:autoSpaceDE w:val="0"/>
              <w:widowControl/>
              <w:spacing w:line="233" w:lineRule="auto" w:before="184" w:after="0"/>
              <w:ind w:left="0" w:right="56" w:firstLine="0"/>
              <w:jc w:val="right"/>
            </w:pPr>
            <w:r>
              <w:rPr>
                <w:rFonts w:ascii="Arial" w:hAnsi="Arial" w:eastAsia="Arial"/>
                <w:b w:val="0"/>
                <w:i w:val="0"/>
                <w:color w:val="000000"/>
                <w:sz w:val="14"/>
              </w:rPr>
              <w:t xml:space="preserve">(82,935,717) </w:t>
            </w:r>
          </w:p>
        </w:tc>
        <w:tc>
          <w:tcPr>
            <w:tcW w:type="dxa" w:w="1078"/>
            <w:tcBorders>
              <w:top w:sz="4.0" w:val="single" w:color="#000000"/>
            </w:tcBorders>
            <w:tcMar>
              <w:start w:w="0" w:type="dxa"/>
              <w:end w:w="0" w:type="dxa"/>
            </w:tcMar>
          </w:tcPr>
          <w:p>
            <w:pPr>
              <w:autoSpaceDN w:val="0"/>
              <w:autoSpaceDE w:val="0"/>
              <w:widowControl/>
              <w:spacing w:line="233" w:lineRule="auto" w:before="184" w:after="0"/>
              <w:ind w:left="0" w:right="2" w:firstLine="0"/>
              <w:jc w:val="right"/>
            </w:pPr>
            <w:r>
              <w:rPr>
                <w:rFonts w:ascii="Arial" w:hAnsi="Arial" w:eastAsia="Arial"/>
                <w:b w:val="0"/>
                <w:i w:val="0"/>
                <w:color w:val="000000"/>
                <w:sz w:val="14"/>
              </w:rPr>
              <w:t>140,345,359</w:t>
            </w:r>
          </w:p>
        </w:tc>
      </w:tr>
    </w:tbl>
    <w:p>
      <w:pPr>
        <w:autoSpaceDN w:val="0"/>
        <w:autoSpaceDE w:val="0"/>
        <w:widowControl/>
        <w:spacing w:line="230" w:lineRule="auto" w:before="10" w:after="8"/>
        <w:ind w:left="0" w:right="336" w:firstLine="0"/>
        <w:jc w:val="right"/>
      </w:pPr>
      <w:r>
        <w:rPr>
          <w:rFonts w:ascii="Arial" w:hAnsi="Arial" w:eastAsia="Arial"/>
          <w:b w:val="0"/>
          <w:i w:val="0"/>
          <w:color w:val="000000"/>
          <w:sz w:val="14"/>
        </w:rPr>
        <w:t>-</w:t>
      </w:r>
    </w:p>
    <w:tbl>
      <w:tblPr>
        <w:tblW w:type="auto" w:w="0"/>
        <w:tblLayout w:type="fixed"/>
        <w:tblLook w:firstColumn="1" w:firstRow="1" w:lastColumn="0" w:lastRow="0" w:noHBand="0" w:noVBand="1" w:val="04A0"/>
        <w:tblInd w:w="160.0" w:type="dxa"/>
      </w:tblPr>
      <w:tblGrid>
        <w:gridCol w:w="1269"/>
        <w:gridCol w:w="1269"/>
        <w:gridCol w:w="1269"/>
        <w:gridCol w:w="1269"/>
        <w:gridCol w:w="1269"/>
        <w:gridCol w:w="1269"/>
        <w:gridCol w:w="1269"/>
        <w:gridCol w:w="1269"/>
        <w:gridCol w:w="1269"/>
        <w:gridCol w:w="1269"/>
        <w:gridCol w:w="1269"/>
      </w:tblGrid>
      <w:tr>
        <w:trPr>
          <w:trHeight w:hRule="exact" w:val="182"/>
        </w:trPr>
        <w:tc>
          <w:tcPr>
            <w:tcW w:type="dxa" w:w="2758"/>
            <w:tcBorders>
              <w:bottom w:sz="4.0" w:val="single" w:color="#000000"/>
            </w:tcBorders>
            <w:tcMar>
              <w:start w:w="0" w:type="dxa"/>
              <w:end w:w="0" w:type="dxa"/>
            </w:tcMar>
          </w:tcPr>
          <w:p>
            <w:pPr>
              <w:autoSpaceDN w:val="0"/>
              <w:autoSpaceDE w:val="0"/>
              <w:widowControl/>
              <w:spacing w:line="154" w:lineRule="exact" w:before="8" w:after="0"/>
              <w:ind w:left="198" w:right="0" w:firstLine="0"/>
              <w:jc w:val="left"/>
            </w:pPr>
            <w:r>
              <w:rPr>
                <w:rFonts w:ascii="Arial" w:hAnsi="Arial" w:eastAsia="Arial"/>
                <w:b w:val="0"/>
                <w:i w:val="0"/>
                <w:color w:val="000000"/>
                <w:sz w:val="14"/>
              </w:rPr>
              <w:t>2024</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日余额</w:t>
            </w:r>
          </w:p>
        </w:tc>
        <w:tc>
          <w:tcPr>
            <w:tcW w:type="dxa" w:w="978"/>
            <w:tcBorders>
              <w:bottom w:sz="4.0" w:val="single" w:color="#000000"/>
            </w:tcBorders>
            <w:tcMar>
              <w:start w:w="0" w:type="dxa"/>
              <w:end w:w="0" w:type="dxa"/>
            </w:tcMar>
          </w:tcPr>
          <w:p>
            <w:pPr>
              <w:autoSpaceDN w:val="0"/>
              <w:autoSpaceDE w:val="0"/>
              <w:widowControl/>
              <w:spacing w:line="230" w:lineRule="auto" w:before="20" w:after="0"/>
              <w:ind w:left="82" w:right="0" w:firstLine="0"/>
              <w:jc w:val="left"/>
            </w:pPr>
            <w:r>
              <w:rPr>
                <w:rFonts w:ascii="Arial" w:hAnsi="Arial" w:eastAsia="Arial"/>
                <w:b w:val="0"/>
                <w:i w:val="0"/>
                <w:color w:val="000000"/>
                <w:sz w:val="14"/>
              </w:rPr>
              <w:t>3,589,771,547</w:t>
            </w:r>
          </w:p>
        </w:tc>
        <w:tc>
          <w:tcPr>
            <w:tcW w:type="dxa" w:w="1048"/>
            <w:tcBorders>
              <w:bottom w:sz="4.0" w:val="single" w:color="#000000"/>
            </w:tcBorders>
            <w:tcMar>
              <w:start w:w="0" w:type="dxa"/>
              <w:end w:w="0" w:type="dxa"/>
            </w:tcMar>
          </w:tcPr>
          <w:p>
            <w:pPr>
              <w:autoSpaceDN w:val="0"/>
              <w:autoSpaceDE w:val="0"/>
              <w:widowControl/>
              <w:spacing w:line="230" w:lineRule="auto" w:before="20" w:after="0"/>
              <w:ind w:left="154" w:right="0" w:firstLine="0"/>
              <w:jc w:val="left"/>
            </w:pPr>
            <w:r>
              <w:rPr>
                <w:rFonts w:ascii="Arial" w:hAnsi="Arial" w:eastAsia="Arial"/>
                <w:b w:val="0"/>
                <w:i w:val="0"/>
                <w:color w:val="000000"/>
                <w:sz w:val="14"/>
              </w:rPr>
              <w:t>9,723,419,390</w:t>
            </w:r>
          </w:p>
        </w:tc>
        <w:tc>
          <w:tcPr>
            <w:tcW w:type="dxa" w:w="1180"/>
            <w:tcBorders>
              <w:bottom w:sz="4.0" w:val="single" w:color="#000000"/>
            </w:tcBorders>
            <w:tcMar>
              <w:start w:w="0" w:type="dxa"/>
              <w:end w:w="0" w:type="dxa"/>
            </w:tcMar>
          </w:tcPr>
          <w:p>
            <w:pPr>
              <w:autoSpaceDN w:val="0"/>
              <w:autoSpaceDE w:val="0"/>
              <w:widowControl/>
              <w:spacing w:line="230" w:lineRule="auto" w:before="20" w:after="0"/>
              <w:ind w:left="0" w:right="46" w:firstLine="0"/>
              <w:jc w:val="right"/>
            </w:pPr>
            <w:r>
              <w:rPr>
                <w:rFonts w:ascii="Arial" w:hAnsi="Arial" w:eastAsia="Arial"/>
                <w:b w:val="0"/>
                <w:i w:val="0"/>
                <w:color w:val="000000"/>
                <w:sz w:val="14"/>
              </w:rPr>
              <w:t xml:space="preserve">(65,582,068) </w:t>
            </w:r>
          </w:p>
        </w:tc>
        <w:tc>
          <w:tcPr>
            <w:tcW w:type="dxa" w:w="992"/>
            <w:tcBorders>
              <w:bottom w:sz="4.0" w:val="single" w:color="#000000"/>
            </w:tcBorders>
            <w:tcMar>
              <w:start w:w="0" w:type="dxa"/>
              <w:end w:w="0" w:type="dxa"/>
            </w:tcMar>
          </w:tcPr>
          <w:p>
            <w:pPr>
              <w:autoSpaceDN w:val="0"/>
              <w:autoSpaceDE w:val="0"/>
              <w:widowControl/>
              <w:spacing w:line="230" w:lineRule="auto" w:before="20" w:after="0"/>
              <w:ind w:left="0" w:right="0" w:firstLine="0"/>
              <w:jc w:val="center"/>
            </w:pPr>
            <w:r>
              <w:rPr>
                <w:rFonts w:ascii="Arial" w:hAnsi="Arial" w:eastAsia="Arial"/>
                <w:b w:val="0"/>
                <w:i w:val="0"/>
                <w:color w:val="000000"/>
                <w:sz w:val="14"/>
              </w:rPr>
              <w:t xml:space="preserve">875,364,199 </w:t>
            </w:r>
          </w:p>
        </w:tc>
        <w:tc>
          <w:tcPr>
            <w:tcW w:type="dxa" w:w="1048"/>
            <w:tcBorders>
              <w:bottom w:sz="4.0" w:val="single" w:color="#000000"/>
            </w:tcBorders>
            <w:tcMar>
              <w:start w:w="0" w:type="dxa"/>
              <w:end w:w="0" w:type="dxa"/>
            </w:tcMar>
          </w:tcPr>
          <w:p>
            <w:pPr>
              <w:autoSpaceDN w:val="0"/>
              <w:autoSpaceDE w:val="0"/>
              <w:widowControl/>
              <w:spacing w:line="230" w:lineRule="auto" w:before="20" w:after="0"/>
              <w:ind w:left="0" w:right="0" w:firstLine="0"/>
              <w:jc w:val="center"/>
            </w:pPr>
            <w:r>
              <w:rPr>
                <w:rFonts w:ascii="Arial" w:hAnsi="Arial" w:eastAsia="Arial"/>
                <w:b w:val="0"/>
                <w:i w:val="0"/>
                <w:color w:val="000000"/>
                <w:sz w:val="14"/>
              </w:rPr>
              <w:t xml:space="preserve">990,215,359 </w:t>
            </w:r>
          </w:p>
        </w:tc>
        <w:tc>
          <w:tcPr>
            <w:tcW w:type="dxa" w:w="922"/>
            <w:tcBorders>
              <w:bottom w:sz="4.0" w:val="single" w:color="#000000"/>
            </w:tcBorders>
            <w:tcMar>
              <w:start w:w="0" w:type="dxa"/>
              <w:end w:w="0" w:type="dxa"/>
            </w:tcMar>
          </w:tcPr>
          <w:p>
            <w:pPr>
              <w:autoSpaceDN w:val="0"/>
              <w:autoSpaceDE w:val="0"/>
              <w:widowControl/>
              <w:spacing w:line="230" w:lineRule="auto" w:before="20" w:after="0"/>
              <w:ind w:left="144" w:right="0" w:firstLine="0"/>
              <w:jc w:val="left"/>
            </w:pPr>
            <w:r>
              <w:rPr>
                <w:rFonts w:ascii="Arial" w:hAnsi="Arial" w:eastAsia="Arial"/>
                <w:b w:val="0"/>
                <w:i w:val="0"/>
                <w:color w:val="000000"/>
                <w:sz w:val="14"/>
              </w:rPr>
              <w:t>921,218,202</w:t>
            </w:r>
          </w:p>
        </w:tc>
        <w:tc>
          <w:tcPr>
            <w:tcW w:type="dxa" w:w="1106"/>
            <w:tcBorders>
              <w:bottom w:sz="4.0" w:val="single" w:color="#000000"/>
            </w:tcBorders>
            <w:tcMar>
              <w:start w:w="0" w:type="dxa"/>
              <w:end w:w="0" w:type="dxa"/>
            </w:tcMar>
          </w:tcPr>
          <w:p>
            <w:pPr>
              <w:autoSpaceDN w:val="0"/>
              <w:autoSpaceDE w:val="0"/>
              <w:widowControl/>
              <w:spacing w:line="230" w:lineRule="auto" w:before="20" w:after="0"/>
              <w:ind w:left="210" w:right="0" w:firstLine="0"/>
              <w:jc w:val="left"/>
            </w:pPr>
            <w:r>
              <w:rPr>
                <w:rFonts w:ascii="Arial" w:hAnsi="Arial" w:eastAsia="Arial"/>
                <w:b w:val="0"/>
                <w:i w:val="0"/>
                <w:color w:val="000000"/>
                <w:sz w:val="14"/>
              </w:rPr>
              <w:t>1,935,706,952</w:t>
            </w:r>
          </w:p>
        </w:tc>
        <w:tc>
          <w:tcPr>
            <w:tcW w:type="dxa" w:w="1162"/>
            <w:tcBorders>
              <w:bottom w:sz="4.0" w:val="single" w:color="#000000"/>
            </w:tcBorders>
            <w:tcMar>
              <w:start w:w="0" w:type="dxa"/>
              <w:end w:w="0" w:type="dxa"/>
            </w:tcMar>
          </w:tcPr>
          <w:p>
            <w:pPr>
              <w:autoSpaceDN w:val="0"/>
              <w:autoSpaceDE w:val="0"/>
              <w:widowControl/>
              <w:spacing w:line="230" w:lineRule="auto" w:before="20" w:after="0"/>
              <w:ind w:left="188" w:right="0" w:firstLine="0"/>
              <w:jc w:val="left"/>
            </w:pPr>
            <w:r>
              <w:rPr>
                <w:rFonts w:ascii="Arial" w:hAnsi="Arial" w:eastAsia="Arial"/>
                <w:b w:val="0"/>
                <w:i w:val="0"/>
                <w:color w:val="000000"/>
                <w:sz w:val="14"/>
              </w:rPr>
              <w:t>17,970,113,581</w:t>
            </w:r>
          </w:p>
        </w:tc>
        <w:tc>
          <w:tcPr>
            <w:tcW w:type="dxa" w:w="1176"/>
            <w:tcBorders>
              <w:bottom w:sz="4.0" w:val="single" w:color="#000000"/>
            </w:tcBorders>
            <w:tcMar>
              <w:start w:w="0" w:type="dxa"/>
              <w:end w:w="0" w:type="dxa"/>
            </w:tcMar>
          </w:tcPr>
          <w:p>
            <w:pPr>
              <w:autoSpaceDN w:val="0"/>
              <w:autoSpaceDE w:val="0"/>
              <w:widowControl/>
              <w:spacing w:line="230" w:lineRule="auto" w:before="20" w:after="0"/>
              <w:ind w:left="272" w:right="0" w:firstLine="0"/>
              <w:jc w:val="left"/>
            </w:pPr>
            <w:r>
              <w:rPr>
                <w:rFonts w:ascii="Arial" w:hAnsi="Arial" w:eastAsia="Arial"/>
                <w:b w:val="0"/>
                <w:i w:val="0"/>
                <w:color w:val="000000"/>
                <w:sz w:val="14"/>
              </w:rPr>
              <w:t>323,355,657</w:t>
            </w:r>
          </w:p>
        </w:tc>
        <w:tc>
          <w:tcPr>
            <w:tcW w:type="dxa" w:w="1092"/>
            <w:tcBorders>
              <w:bottom w:sz="4.0" w:val="single" w:color="#000000"/>
            </w:tcBorders>
            <w:tcMar>
              <w:start w:w="0" w:type="dxa"/>
              <w:end w:w="0" w:type="dxa"/>
            </w:tcMar>
          </w:tcPr>
          <w:p>
            <w:pPr>
              <w:autoSpaceDN w:val="0"/>
              <w:autoSpaceDE w:val="0"/>
              <w:widowControl/>
              <w:spacing w:line="230" w:lineRule="auto" w:before="20" w:after="0"/>
              <w:ind w:left="118" w:right="0" w:firstLine="0"/>
              <w:jc w:val="left"/>
            </w:pPr>
            <w:r>
              <w:rPr>
                <w:rFonts w:ascii="Arial" w:hAnsi="Arial" w:eastAsia="Arial"/>
                <w:b w:val="0"/>
                <w:i w:val="0"/>
                <w:color w:val="000000"/>
                <w:sz w:val="14"/>
              </w:rPr>
              <w:t>18,293,469,238</w:t>
            </w:r>
          </w:p>
        </w:tc>
      </w:tr>
    </w:tbl>
    <w:p>
      <w:pPr>
        <w:autoSpaceDN w:val="0"/>
        <w:autoSpaceDE w:val="0"/>
        <w:widowControl/>
        <w:spacing w:line="246" w:lineRule="exact" w:before="802" w:after="942"/>
        <w:ind w:left="35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358.0000000000001" w:type="dxa"/>
      </w:tblPr>
      <w:tblGrid>
        <w:gridCol w:w="3490"/>
        <w:gridCol w:w="3490"/>
        <w:gridCol w:w="3490"/>
        <w:gridCol w:w="3490"/>
      </w:tblGrid>
      <w:tr>
        <w:trPr>
          <w:trHeight w:hRule="exact" w:val="280"/>
        </w:trPr>
        <w:tc>
          <w:tcPr>
            <w:tcW w:type="dxa" w:w="3306"/>
            <w:tcBorders>
              <w:top w:sz="5.599999999999909" w:val="single" w:color="#000000"/>
            </w:tcBorders>
            <w:tcMar>
              <w:start w:w="0" w:type="dxa"/>
              <w:end w:w="0" w:type="dxa"/>
            </w:tcMar>
          </w:tcPr>
          <w:p>
            <w:pPr>
              <w:autoSpaceDN w:val="0"/>
              <w:autoSpaceDE w:val="0"/>
              <w:widowControl/>
              <w:spacing w:line="220" w:lineRule="exact" w:before="34" w:after="0"/>
              <w:ind w:left="0" w:right="0" w:firstLine="0"/>
              <w:jc w:val="left"/>
            </w:pPr>
            <w:r>
              <w:rPr>
                <w:rFonts w:ascii="黑体" w:hAnsi="黑体" w:eastAsia="黑体"/>
                <w:b w:val="0"/>
                <w:i w:val="0"/>
                <w:color w:val="000000"/>
                <w:sz w:val="22"/>
              </w:rPr>
              <w:t>王怡里</w:t>
            </w:r>
          </w:p>
        </w:tc>
        <w:tc>
          <w:tcPr>
            <w:tcW w:type="dxa" w:w="3848"/>
            <w:tcBorders>
              <w:top w:sz="5.599999999999909" w:val="single" w:color="#000000"/>
            </w:tcBorders>
            <w:tcMar>
              <w:start w:w="0" w:type="dxa"/>
              <w:end w:w="0" w:type="dxa"/>
            </w:tcMar>
          </w:tcPr>
          <w:p>
            <w:pPr>
              <w:autoSpaceDN w:val="0"/>
              <w:autoSpaceDE w:val="0"/>
              <w:widowControl/>
              <w:spacing w:line="220" w:lineRule="exact" w:before="34" w:after="0"/>
              <w:ind w:left="266" w:right="0" w:firstLine="0"/>
              <w:jc w:val="left"/>
            </w:pPr>
            <w:r>
              <w:rPr>
                <w:rFonts w:ascii="黑体" w:hAnsi="黑体" w:eastAsia="黑体"/>
                <w:b w:val="0"/>
                <w:i w:val="0"/>
                <w:color w:val="000000"/>
                <w:sz w:val="22"/>
              </w:rPr>
              <w:t>汤建雄</w:t>
            </w:r>
          </w:p>
        </w:tc>
        <w:tc>
          <w:tcPr>
            <w:tcW w:type="dxa" w:w="3486"/>
            <w:tcBorders>
              <w:top w:sz="5.599999999999909" w:val="single" w:color="#000000"/>
            </w:tcBorders>
            <w:tcMar>
              <w:start w:w="0" w:type="dxa"/>
              <w:end w:w="0" w:type="dxa"/>
            </w:tcMar>
          </w:tcPr>
          <w:p>
            <w:pPr>
              <w:autoSpaceDN w:val="0"/>
              <w:autoSpaceDE w:val="0"/>
              <w:widowControl/>
              <w:spacing w:line="220" w:lineRule="exact" w:before="34" w:after="0"/>
              <w:ind w:left="308" w:right="0" w:firstLine="0"/>
              <w:jc w:val="left"/>
            </w:pPr>
            <w:r>
              <w:rPr>
                <w:rFonts w:ascii="黑体" w:hAnsi="黑体" w:eastAsia="黑体"/>
                <w:b w:val="0"/>
                <w:i w:val="0"/>
                <w:color w:val="000000"/>
                <w:sz w:val="22"/>
              </w:rPr>
              <w:t>张立德</w:t>
            </w:r>
          </w:p>
        </w:tc>
        <w:tc>
          <w:tcPr>
            <w:tcW w:type="dxa" w:w="2342"/>
            <w:vMerge w:val="restart"/>
            <w:tcBorders>
              <w:top w:sz="5.599999999999909" w:val="single" w:color="#000000"/>
            </w:tcBorders>
            <w:tcMar>
              <w:start w:w="0" w:type="dxa"/>
              <w:end w:w="0" w:type="dxa"/>
            </w:tcMar>
            <w:tcMar>
              <w:start w:w="0" w:type="dxa"/>
              <w:end w:w="0" w:type="dxa"/>
            </w:tcMar>
          </w:tcPr>
          <w:p>
            <w:pPr>
              <w:autoSpaceDN w:val="0"/>
              <w:autoSpaceDE w:val="0"/>
              <w:widowControl/>
              <w:spacing w:line="220" w:lineRule="exact" w:before="34" w:after="0"/>
              <w:ind w:left="0" w:right="620" w:firstLine="0"/>
              <w:jc w:val="right"/>
            </w:pPr>
            <w:r>
              <w:rPr>
                <w:rFonts w:ascii="黑体" w:hAnsi="黑体" w:eastAsia="黑体"/>
                <w:b w:val="0"/>
                <w:i w:val="0"/>
                <w:color w:val="000000"/>
                <w:sz w:val="22"/>
              </w:rPr>
              <w:t>（盖章）</w:t>
            </w:r>
          </w:p>
        </w:tc>
      </w:tr>
      <w:tr>
        <w:trPr>
          <w:trHeight w:hRule="exact" w:val="328"/>
        </w:trPr>
        <w:tc>
          <w:tcPr>
            <w:tcW w:type="dxa" w:w="3306"/>
            <w:tcBorders/>
            <w:tcMar>
              <w:start w:w="0" w:type="dxa"/>
              <w:end w:w="0" w:type="dxa"/>
            </w:tcMar>
          </w:tcPr>
          <w:p>
            <w:pPr>
              <w:autoSpaceDN w:val="0"/>
              <w:autoSpaceDE w:val="0"/>
              <w:widowControl/>
              <w:spacing w:line="220" w:lineRule="exact" w:before="48" w:after="0"/>
              <w:ind w:left="0" w:right="0" w:firstLine="0"/>
              <w:jc w:val="left"/>
            </w:pPr>
            <w:r>
              <w:rPr>
                <w:rFonts w:ascii="黑体" w:hAnsi="黑体" w:eastAsia="黑体"/>
                <w:b w:val="0"/>
                <w:i w:val="0"/>
                <w:color w:val="000000"/>
                <w:sz w:val="22"/>
              </w:rPr>
              <w:t>法定代表人</w:t>
            </w:r>
          </w:p>
        </w:tc>
        <w:tc>
          <w:tcPr>
            <w:tcW w:type="dxa" w:w="3848"/>
            <w:tcBorders/>
            <w:tcMar>
              <w:start w:w="0" w:type="dxa"/>
              <w:end w:w="0" w:type="dxa"/>
            </w:tcMar>
          </w:tcPr>
          <w:p>
            <w:pPr>
              <w:autoSpaceDN w:val="0"/>
              <w:autoSpaceDE w:val="0"/>
              <w:widowControl/>
              <w:spacing w:line="220" w:lineRule="exact" w:before="48" w:after="0"/>
              <w:ind w:left="266" w:right="0" w:firstLine="0"/>
              <w:jc w:val="left"/>
            </w:pPr>
            <w:r>
              <w:rPr>
                <w:rFonts w:ascii="黑体" w:hAnsi="黑体" w:eastAsia="黑体"/>
                <w:b w:val="0"/>
                <w:i w:val="0"/>
                <w:color w:val="000000"/>
                <w:sz w:val="22"/>
              </w:rPr>
              <w:t>主管会计工作的公司负责人</w:t>
            </w:r>
          </w:p>
        </w:tc>
        <w:tc>
          <w:tcPr>
            <w:tcW w:type="dxa" w:w="3486"/>
            <w:tcBorders/>
            <w:tcMar>
              <w:start w:w="0" w:type="dxa"/>
              <w:end w:w="0" w:type="dxa"/>
            </w:tcMar>
          </w:tcPr>
          <w:p>
            <w:pPr>
              <w:autoSpaceDN w:val="0"/>
              <w:autoSpaceDE w:val="0"/>
              <w:widowControl/>
              <w:spacing w:line="220" w:lineRule="exact" w:before="48" w:after="0"/>
              <w:ind w:left="308" w:right="0" w:firstLine="0"/>
              <w:jc w:val="left"/>
            </w:pPr>
            <w:r>
              <w:rPr>
                <w:rFonts w:ascii="黑体" w:hAnsi="黑体" w:eastAsia="黑体"/>
                <w:b w:val="0"/>
                <w:i w:val="0"/>
                <w:color w:val="000000"/>
                <w:sz w:val="22"/>
              </w:rPr>
              <w:t>会计机构负责人</w:t>
            </w:r>
          </w:p>
        </w:tc>
        <w:tc>
          <w:tcPr>
            <w:tcW w:type="dxa" w:w="3490"/>
            <w:vMerge/>
            <w:tcBorders>
              <w:top w:sz="5.599999999999909" w:val="single" w:color="#000000"/>
            </w:tcBorders>
          </w:tcPr>
          <w:p/>
        </w:tc>
      </w:tr>
    </w:tbl>
    <w:p>
      <w:pPr>
        <w:autoSpaceDN w:val="0"/>
        <w:autoSpaceDE w:val="0"/>
        <w:widowControl/>
        <w:spacing w:line="198" w:lineRule="exact" w:before="758" w:after="0"/>
        <w:ind w:left="348"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266" w:after="0"/>
        <w:ind w:left="0" w:right="0" w:firstLine="0"/>
        <w:jc w:val="center"/>
      </w:pPr>
      <w:r>
        <w:rPr>
          <w:rFonts w:ascii="Arial" w:hAnsi="Arial" w:eastAsia="Arial"/>
          <w:b w:val="0"/>
          <w:i w:val="0"/>
          <w:color w:val="000000"/>
          <w:sz w:val="20"/>
        </w:rPr>
        <w:t xml:space="preserve">155 </w:t>
      </w:r>
    </w:p>
    <w:p>
      <w:pPr>
        <w:sectPr>
          <w:pgSz w:w="16841" w:h="11899"/>
          <w:pgMar w:top="798" w:right="1440" w:bottom="360" w:left="1440"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60" w:lineRule="exact" w:before="0" w:after="0"/>
        <w:ind w:left="0" w:right="0" w:firstLine="0"/>
        <w:jc w:val="center"/>
      </w:pPr>
      <w:r>
        <w:rPr>
          <w:rFonts w:ascii="黑体" w:hAnsi="黑体" w:eastAsia="黑体"/>
          <w:b w:val="0"/>
          <w:i w:val="0"/>
          <w:color w:val="000000"/>
          <w:sz w:val="16"/>
        </w:rPr>
        <w:t>合并股东权益变动表（续）</w:t>
      </w:r>
    </w:p>
    <w:p>
      <w:pPr>
        <w:autoSpaceDN w:val="0"/>
        <w:autoSpaceDE w:val="0"/>
        <w:widowControl/>
        <w:spacing w:line="160" w:lineRule="exact" w:before="46" w:after="0"/>
        <w:ind w:left="0" w:right="0" w:firstLine="0"/>
        <w:jc w:val="center"/>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p>
      <w:pPr>
        <w:autoSpaceDN w:val="0"/>
        <w:autoSpaceDE w:val="0"/>
        <w:widowControl/>
        <w:spacing w:line="246" w:lineRule="exact" w:before="296" w:after="0"/>
        <w:ind w:left="358" w:right="0" w:firstLine="0"/>
        <w:jc w:val="left"/>
      </w:pPr>
      <w:r>
        <w:rPr>
          <w:rFonts w:ascii="Arial,Bold" w:hAnsi="Arial,Bold" w:eastAsia="Arial,Bold"/>
          <w:b/>
          <w:i w:val="0"/>
          <w:color w:val="000000"/>
          <w:sz w:val="22"/>
          <w:u w:val="single"/>
        </w:rPr>
        <w:t>2023</w:t>
      </w:r>
      <w:r>
        <w:rPr>
          <w:rFonts w:ascii="黑体" w:hAnsi="黑体" w:eastAsia="黑体"/>
          <w:b w:val="0"/>
          <w:i w:val="0"/>
          <w:color w:val="000000"/>
          <w:sz w:val="22"/>
          <w:u w:val="single"/>
        </w:rPr>
        <w:t>年度</w:t>
      </w:r>
    </w:p>
    <w:p>
      <w:pPr>
        <w:autoSpaceDN w:val="0"/>
        <w:autoSpaceDE w:val="0"/>
        <w:widowControl/>
        <w:spacing w:line="140" w:lineRule="exact" w:before="40" w:after="24"/>
        <w:ind w:left="0" w:right="6116" w:firstLine="0"/>
        <w:jc w:val="right"/>
      </w:pPr>
      <w:r>
        <w:rPr>
          <w:rFonts w:ascii="黑体" w:hAnsi="黑体" w:eastAsia="黑体"/>
          <w:b w:val="0"/>
          <w:i w:val="0"/>
          <w:color w:val="000000"/>
          <w:sz w:val="14"/>
        </w:rPr>
        <w:t>归属于母公司股东权益</w:t>
      </w:r>
    </w:p>
    <w:tbl>
      <w:tblPr>
        <w:tblW w:type="auto" w:w="0"/>
        <w:tblLayout w:type="fixed"/>
        <w:tblLook w:firstColumn="1" w:firstRow="1" w:lastColumn="0" w:lastRow="0" w:noHBand="0" w:noVBand="1" w:val="04A0"/>
        <w:tblInd w:w="160.0" w:type="dxa"/>
      </w:tblPr>
      <w:tblGrid>
        <w:gridCol w:w="1163"/>
        <w:gridCol w:w="1163"/>
        <w:gridCol w:w="1163"/>
        <w:gridCol w:w="1163"/>
        <w:gridCol w:w="1163"/>
        <w:gridCol w:w="1163"/>
        <w:gridCol w:w="1163"/>
        <w:gridCol w:w="1163"/>
        <w:gridCol w:w="1163"/>
        <w:gridCol w:w="1163"/>
        <w:gridCol w:w="1163"/>
        <w:gridCol w:w="1163"/>
      </w:tblGrid>
      <w:tr>
        <w:trPr>
          <w:trHeight w:hRule="exact" w:val="172"/>
        </w:trPr>
        <w:tc>
          <w:tcPr>
            <w:tcW w:type="dxa" w:w="2318"/>
            <w:tcBorders>
              <w:top w:sz="4.0" w:val="single" w:color="#000000"/>
              <w:bottom w:sz="3.2000000000000455" w:val="single" w:color="#000000"/>
            </w:tcBorders>
            <w:tcMar>
              <w:start w:w="0" w:type="dxa"/>
              <w:end w:w="0" w:type="dxa"/>
            </w:tcMar>
          </w:tcPr>
          <w:p/>
        </w:tc>
        <w:tc>
          <w:tcPr>
            <w:tcW w:type="dxa" w:w="456"/>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left"/>
            </w:pPr>
            <w:r>
              <w:rPr>
                <w:rFonts w:ascii="黑体" w:hAnsi="黑体" w:eastAsia="黑体"/>
                <w:b w:val="0"/>
                <w:i w:val="0"/>
                <w:color w:val="000000"/>
                <w:sz w:val="14"/>
              </w:rPr>
              <w:t>附注</w:t>
            </w:r>
          </w:p>
        </w:tc>
        <w:tc>
          <w:tcPr>
            <w:tcW w:type="dxa" w:w="962"/>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股本</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资本公积</w:t>
            </w:r>
          </w:p>
        </w:tc>
        <w:tc>
          <w:tcPr>
            <w:tcW w:type="dxa" w:w="1136"/>
            <w:tcBorders>
              <w:bottom w:sz="3.2000000000000455" w:val="single" w:color="#000000"/>
            </w:tcBorders>
            <w:tcMar>
              <w:start w:w="0" w:type="dxa"/>
              <w:end w:w="0" w:type="dxa"/>
            </w:tcMar>
          </w:tcPr>
          <w:p>
            <w:pPr>
              <w:autoSpaceDN w:val="0"/>
              <w:autoSpaceDE w:val="0"/>
              <w:widowControl/>
              <w:spacing w:line="140" w:lineRule="exact" w:before="24" w:after="0"/>
              <w:ind w:left="208" w:right="0" w:firstLine="0"/>
              <w:jc w:val="left"/>
            </w:pPr>
            <w:r>
              <w:rPr>
                <w:rFonts w:ascii="黑体" w:hAnsi="黑体" w:eastAsia="黑体"/>
                <w:b w:val="0"/>
                <w:i w:val="0"/>
                <w:color w:val="000000"/>
                <w:sz w:val="14"/>
              </w:rPr>
              <w:t>其他综合收益</w:t>
            </w:r>
          </w:p>
        </w:tc>
        <w:tc>
          <w:tcPr>
            <w:tcW w:type="dxa" w:w="992"/>
            <w:tcBorders>
              <w:bottom w:sz="3.2000000000000455" w:val="single" w:color="#000000"/>
            </w:tcBorders>
            <w:tcMar>
              <w:start w:w="0" w:type="dxa"/>
              <w:end w:w="0" w:type="dxa"/>
            </w:tcMar>
          </w:tcPr>
          <w:p>
            <w:pPr>
              <w:autoSpaceDN w:val="0"/>
              <w:autoSpaceDE w:val="0"/>
              <w:widowControl/>
              <w:spacing w:line="140" w:lineRule="exact" w:before="24" w:after="0"/>
              <w:ind w:left="0" w:right="86" w:firstLine="0"/>
              <w:jc w:val="right"/>
            </w:pPr>
            <w:r>
              <w:rPr>
                <w:rFonts w:ascii="黑体" w:hAnsi="黑体" w:eastAsia="黑体"/>
                <w:b w:val="0"/>
                <w:i w:val="0"/>
                <w:color w:val="000000"/>
                <w:sz w:val="14"/>
              </w:rPr>
              <w:t>盈余公积</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一般风险准备</w:t>
            </w:r>
          </w:p>
        </w:tc>
        <w:tc>
          <w:tcPr>
            <w:tcW w:type="dxa" w:w="966"/>
            <w:tcBorders>
              <w:bottom w:sz="3.2000000000000455" w:val="single" w:color="#000000"/>
            </w:tcBorders>
            <w:tcMar>
              <w:start w:w="0" w:type="dxa"/>
              <w:end w:w="0" w:type="dxa"/>
            </w:tcMar>
          </w:tcPr>
          <w:p>
            <w:pPr>
              <w:autoSpaceDN w:val="0"/>
              <w:autoSpaceDE w:val="0"/>
              <w:widowControl/>
              <w:spacing w:line="140" w:lineRule="exact" w:before="24" w:after="0"/>
              <w:ind w:left="122" w:right="0" w:firstLine="0"/>
              <w:jc w:val="left"/>
            </w:pPr>
            <w:r>
              <w:rPr>
                <w:rFonts w:ascii="黑体" w:hAnsi="黑体" w:eastAsia="黑体"/>
                <w:b w:val="0"/>
                <w:i w:val="0"/>
                <w:color w:val="000000"/>
                <w:sz w:val="14"/>
              </w:rPr>
              <w:t>交易风险准备</w:t>
            </w:r>
          </w:p>
        </w:tc>
        <w:tc>
          <w:tcPr>
            <w:tcW w:type="dxa" w:w="1106"/>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未分配利润</w:t>
            </w:r>
          </w:p>
        </w:tc>
        <w:tc>
          <w:tcPr>
            <w:tcW w:type="dxa" w:w="1162"/>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小计</w:t>
            </w:r>
          </w:p>
        </w:tc>
        <w:tc>
          <w:tcPr>
            <w:tcW w:type="dxa" w:w="1048"/>
            <w:tcBorders>
              <w:bottom w:sz="3.2000000000000455" w:val="single" w:color="#000000"/>
            </w:tcBorders>
            <w:tcMar>
              <w:start w:w="0" w:type="dxa"/>
              <w:end w:w="0" w:type="dxa"/>
            </w:tcMar>
          </w:tcPr>
          <w:p>
            <w:pPr>
              <w:autoSpaceDN w:val="0"/>
              <w:autoSpaceDE w:val="0"/>
              <w:widowControl/>
              <w:spacing w:line="140" w:lineRule="exact" w:before="24" w:after="0"/>
              <w:ind w:left="206" w:right="0" w:firstLine="0"/>
              <w:jc w:val="left"/>
            </w:pPr>
            <w:r>
              <w:rPr>
                <w:rFonts w:ascii="黑体" w:hAnsi="黑体" w:eastAsia="黑体"/>
                <w:b w:val="0"/>
                <w:i w:val="0"/>
                <w:color w:val="000000"/>
                <w:sz w:val="14"/>
              </w:rPr>
              <w:t>少数股东权益</w:t>
            </w:r>
          </w:p>
        </w:tc>
        <w:tc>
          <w:tcPr>
            <w:tcW w:type="dxa" w:w="1220"/>
            <w:tcBorders>
              <w:bottom w:sz="3.2000000000000455" w:val="single" w:color="#000000"/>
            </w:tcBorders>
            <w:tcMar>
              <w:start w:w="0" w:type="dxa"/>
              <w:end w:w="0" w:type="dxa"/>
            </w:tcMar>
          </w:tcPr>
          <w:p>
            <w:pPr>
              <w:autoSpaceDN w:val="0"/>
              <w:autoSpaceDE w:val="0"/>
              <w:widowControl/>
              <w:spacing w:line="140" w:lineRule="exact" w:before="24" w:after="0"/>
              <w:ind w:left="0" w:right="0" w:firstLine="0"/>
              <w:jc w:val="right"/>
            </w:pPr>
            <w:r>
              <w:rPr>
                <w:rFonts w:ascii="黑体" w:hAnsi="黑体" w:eastAsia="黑体"/>
                <w:b w:val="0"/>
                <w:i w:val="0"/>
                <w:color w:val="000000"/>
                <w:sz w:val="14"/>
              </w:rPr>
              <w:t>股东权益合计</w:t>
            </w:r>
          </w:p>
        </w:tc>
      </w:tr>
      <w:tr>
        <w:trPr>
          <w:trHeight w:hRule="exact" w:val="362"/>
        </w:trPr>
        <w:tc>
          <w:tcPr>
            <w:tcW w:type="dxa" w:w="2318"/>
            <w:tcBorders>
              <w:top w:sz="3.2000000000000455" w:val="single" w:color="#000000"/>
              <w:bottom w:sz="4.0" w:val="single" w:color="#000000"/>
            </w:tcBorders>
            <w:tcMar>
              <w:start w:w="0" w:type="dxa"/>
              <w:end w:w="0" w:type="dxa"/>
            </w:tcMar>
          </w:tcPr>
          <w:p>
            <w:pPr>
              <w:autoSpaceDN w:val="0"/>
              <w:autoSpaceDE w:val="0"/>
              <w:widowControl/>
              <w:spacing w:line="154" w:lineRule="exact" w:before="186" w:after="0"/>
              <w:ind w:left="198" w:right="0" w:firstLine="0"/>
              <w:jc w:val="left"/>
            </w:pPr>
            <w:r>
              <w:rPr>
                <w:rFonts w:ascii="Arial" w:hAnsi="Arial" w:eastAsia="Arial"/>
                <w:b w:val="0"/>
                <w:i w:val="0"/>
                <w:color w:val="000000"/>
                <w:sz w:val="14"/>
              </w:rPr>
              <w:t>2022</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日余额</w:t>
            </w:r>
          </w:p>
        </w:tc>
        <w:tc>
          <w:tcPr>
            <w:tcW w:type="dxa" w:w="456"/>
            <w:tcBorders>
              <w:top w:sz="3.2000000000000455" w:val="single" w:color="#000000"/>
              <w:bottom w:sz="4.0" w:val="single" w:color="#000000"/>
            </w:tcBorders>
            <w:tcMar>
              <w:start w:w="0" w:type="dxa"/>
              <w:end w:w="0" w:type="dxa"/>
            </w:tcMar>
          </w:tcPr>
          <w:p/>
        </w:tc>
        <w:tc>
          <w:tcPr>
            <w:tcW w:type="dxa" w:w="962"/>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0" w:right="0" w:firstLine="0"/>
              <w:jc w:val="center"/>
            </w:pPr>
            <w:r>
              <w:rPr>
                <w:rFonts w:ascii="Arial" w:hAnsi="Arial" w:eastAsia="Arial"/>
                <w:b w:val="0"/>
                <w:i w:val="0"/>
                <w:color w:val="000000"/>
                <w:sz w:val="14"/>
              </w:rPr>
              <w:t>3,589,771,547</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154" w:right="0" w:firstLine="0"/>
              <w:jc w:val="left"/>
            </w:pPr>
            <w:r>
              <w:rPr>
                <w:rFonts w:ascii="Arial" w:hAnsi="Arial" w:eastAsia="Arial"/>
                <w:b w:val="0"/>
                <w:i w:val="0"/>
                <w:color w:val="000000"/>
                <w:sz w:val="14"/>
              </w:rPr>
              <w:t>9,723,419,390</w:t>
            </w:r>
          </w:p>
        </w:tc>
        <w:tc>
          <w:tcPr>
            <w:tcW w:type="dxa" w:w="1136"/>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224" w:right="0" w:firstLine="0"/>
              <w:jc w:val="left"/>
            </w:pPr>
            <w:r>
              <w:rPr>
                <w:rFonts w:ascii="Arial" w:hAnsi="Arial" w:eastAsia="Arial"/>
                <w:b w:val="0"/>
                <w:i w:val="0"/>
                <w:color w:val="000000"/>
                <w:sz w:val="14"/>
              </w:rPr>
              <w:t xml:space="preserve">(105,136,326) </w:t>
            </w:r>
          </w:p>
        </w:tc>
        <w:tc>
          <w:tcPr>
            <w:tcW w:type="dxa" w:w="992"/>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128" w:right="0" w:firstLine="0"/>
              <w:jc w:val="left"/>
            </w:pPr>
            <w:r>
              <w:rPr>
                <w:rFonts w:ascii="Arial" w:hAnsi="Arial" w:eastAsia="Arial"/>
                <w:b w:val="0"/>
                <w:i w:val="0"/>
                <w:color w:val="000000"/>
                <w:sz w:val="14"/>
              </w:rPr>
              <w:t xml:space="preserve">761,550,907 </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188" w:right="0" w:firstLine="0"/>
              <w:jc w:val="left"/>
            </w:pPr>
            <w:r>
              <w:rPr>
                <w:rFonts w:ascii="Arial" w:hAnsi="Arial" w:eastAsia="Arial"/>
                <w:b w:val="0"/>
                <w:i w:val="0"/>
                <w:color w:val="000000"/>
                <w:sz w:val="14"/>
              </w:rPr>
              <w:t xml:space="preserve">863,852,806 </w:t>
            </w:r>
          </w:p>
        </w:tc>
        <w:tc>
          <w:tcPr>
            <w:tcW w:type="dxa" w:w="966"/>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188" w:right="0" w:firstLine="0"/>
              <w:jc w:val="left"/>
            </w:pPr>
            <w:r>
              <w:rPr>
                <w:rFonts w:ascii="Arial" w:hAnsi="Arial" w:eastAsia="Arial"/>
                <w:b w:val="0"/>
                <w:i w:val="0"/>
                <w:color w:val="000000"/>
                <w:sz w:val="14"/>
              </w:rPr>
              <w:t>807,404,910</w:t>
            </w:r>
          </w:p>
        </w:tc>
        <w:tc>
          <w:tcPr>
            <w:tcW w:type="dxa" w:w="1106"/>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210" w:right="0" w:firstLine="0"/>
              <w:jc w:val="left"/>
            </w:pPr>
            <w:r>
              <w:rPr>
                <w:rFonts w:ascii="Arial" w:hAnsi="Arial" w:eastAsia="Arial"/>
                <w:b w:val="0"/>
                <w:i w:val="0"/>
                <w:color w:val="000000"/>
                <w:sz w:val="14"/>
              </w:rPr>
              <w:t>1,752,930,260</w:t>
            </w:r>
          </w:p>
        </w:tc>
        <w:tc>
          <w:tcPr>
            <w:tcW w:type="dxa" w:w="1162"/>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188" w:right="0" w:firstLine="0"/>
              <w:jc w:val="left"/>
            </w:pPr>
            <w:r>
              <w:rPr>
                <w:rFonts w:ascii="Arial" w:hAnsi="Arial" w:eastAsia="Arial"/>
                <w:b w:val="0"/>
                <w:i w:val="0"/>
                <w:color w:val="000000"/>
                <w:sz w:val="14"/>
              </w:rPr>
              <w:t>17,393,793,494</w:t>
            </w:r>
          </w:p>
        </w:tc>
        <w:tc>
          <w:tcPr>
            <w:tcW w:type="dxa" w:w="1048"/>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0" w:right="2" w:firstLine="0"/>
              <w:jc w:val="right"/>
            </w:pPr>
            <w:r>
              <w:rPr>
                <w:rFonts w:ascii="Arial" w:hAnsi="Arial" w:eastAsia="Arial"/>
                <w:b w:val="0"/>
                <w:i w:val="0"/>
                <w:color w:val="000000"/>
                <w:sz w:val="14"/>
              </w:rPr>
              <w:t>449,246,650</w:t>
            </w:r>
          </w:p>
        </w:tc>
        <w:tc>
          <w:tcPr>
            <w:tcW w:type="dxa" w:w="1220"/>
            <w:tcBorders>
              <w:top w:sz="3.2000000000000455" w:val="single" w:color="#000000"/>
              <w:bottom w:sz="4.0" w:val="single" w:color="#000000"/>
            </w:tcBorders>
            <w:tcMar>
              <w:start w:w="0" w:type="dxa"/>
              <w:end w:w="0" w:type="dxa"/>
            </w:tcMar>
          </w:tcPr>
          <w:p>
            <w:pPr>
              <w:autoSpaceDN w:val="0"/>
              <w:autoSpaceDE w:val="0"/>
              <w:widowControl/>
              <w:spacing w:line="230" w:lineRule="auto" w:before="196" w:after="0"/>
              <w:ind w:left="246" w:right="0" w:firstLine="0"/>
              <w:jc w:val="left"/>
            </w:pPr>
            <w:r>
              <w:rPr>
                <w:rFonts w:ascii="Arial" w:hAnsi="Arial" w:eastAsia="Arial"/>
                <w:b w:val="0"/>
                <w:i w:val="0"/>
                <w:color w:val="000000"/>
                <w:sz w:val="14"/>
              </w:rPr>
              <w:t>17,843,040,144</w:t>
            </w:r>
          </w:p>
        </w:tc>
      </w:tr>
    </w:tbl>
    <w:p>
      <w:pPr>
        <w:autoSpaceDN w:val="0"/>
        <w:autoSpaceDE w:val="0"/>
        <w:widowControl/>
        <w:spacing w:line="140" w:lineRule="exact" w:before="182" w:after="18"/>
        <w:ind w:left="358" w:right="0" w:firstLine="0"/>
        <w:jc w:val="left"/>
      </w:pPr>
      <w:r>
        <w:rPr>
          <w:rFonts w:ascii="黑体" w:hAnsi="黑体" w:eastAsia="黑体"/>
          <w:b w:val="0"/>
          <w:i w:val="0"/>
          <w:color w:val="000000"/>
          <w:sz w:val="14"/>
        </w:rPr>
        <w:t>本年增减变动金额</w:t>
      </w:r>
    </w:p>
    <w:tbl>
      <w:tblPr>
        <w:tblW w:type="auto" w:w="0"/>
        <w:tblLayout w:type="fixed"/>
        <w:tblLook w:firstColumn="1" w:firstRow="1" w:lastColumn="0" w:lastRow="0" w:noHBand="0" w:noVBand="1" w:val="04A0"/>
        <w:tblInd w:w="240.0" w:type="dxa"/>
      </w:tblPr>
      <w:tblGrid>
        <w:gridCol w:w="1269"/>
        <w:gridCol w:w="1269"/>
        <w:gridCol w:w="1269"/>
        <w:gridCol w:w="1269"/>
        <w:gridCol w:w="1269"/>
        <w:gridCol w:w="1269"/>
        <w:gridCol w:w="1269"/>
        <w:gridCol w:w="1269"/>
        <w:gridCol w:w="1269"/>
        <w:gridCol w:w="1269"/>
        <w:gridCol w:w="1269"/>
      </w:tblGrid>
      <w:tr>
        <w:trPr>
          <w:trHeight w:hRule="exact" w:val="192"/>
        </w:trPr>
        <w:tc>
          <w:tcPr>
            <w:tcW w:type="dxa" w:w="2400"/>
            <w:tcBorders/>
            <w:tcMar>
              <w:start w:w="0" w:type="dxa"/>
              <w:end w:w="0" w:type="dxa"/>
            </w:tcMar>
          </w:tcPr>
          <w:p>
            <w:pPr>
              <w:autoSpaceDN w:val="0"/>
              <w:autoSpaceDE w:val="0"/>
              <w:widowControl/>
              <w:spacing w:line="154" w:lineRule="exact" w:before="18" w:after="0"/>
              <w:ind w:left="258" w:right="0" w:firstLine="0"/>
              <w:jc w:val="left"/>
            </w:pPr>
            <w:r>
              <w:rPr>
                <w:rFonts w:ascii="Arial" w:hAnsi="Arial" w:eastAsia="Arial"/>
                <w:b w:val="0"/>
                <w:i w:val="0"/>
                <w:color w:val="000000"/>
                <w:sz w:val="14"/>
              </w:rPr>
              <w:t>1.</w:t>
            </w:r>
            <w:r>
              <w:rPr>
                <w:rFonts w:ascii="黑体" w:hAnsi="黑体" w:eastAsia="黑体"/>
                <w:b w:val="0"/>
                <w:i w:val="0"/>
                <w:color w:val="000000"/>
                <w:sz w:val="14"/>
              </w:rPr>
              <w:t>综合收益总额</w:t>
            </w:r>
          </w:p>
        </w:tc>
        <w:tc>
          <w:tcPr>
            <w:tcW w:type="dxa" w:w="1740"/>
            <w:tcBorders/>
            <w:tcMar>
              <w:start w:w="0" w:type="dxa"/>
              <w:end w:w="0" w:type="dxa"/>
            </w:tcMar>
          </w:tcPr>
          <w:p>
            <w:pPr>
              <w:autoSpaceDN w:val="0"/>
              <w:autoSpaceDE w:val="0"/>
              <w:widowControl/>
              <w:spacing w:line="230" w:lineRule="auto" w:before="30" w:after="0"/>
              <w:ind w:left="0" w:right="484" w:firstLine="0"/>
              <w:jc w:val="right"/>
            </w:pPr>
            <w:r>
              <w:rPr>
                <w:rFonts w:ascii="Arial" w:hAnsi="Arial" w:eastAsia="Arial"/>
                <w:b w:val="0"/>
                <w:i w:val="0"/>
                <w:color w:val="000000"/>
                <w:sz w:val="14"/>
              </w:rPr>
              <w:t>-</w:t>
            </w:r>
          </w:p>
        </w:tc>
        <w:tc>
          <w:tcPr>
            <w:tcW w:type="dxa" w:w="720"/>
            <w:tcBorders/>
            <w:tcMar>
              <w:start w:w="0" w:type="dxa"/>
              <w:end w:w="0" w:type="dxa"/>
            </w:tcMar>
          </w:tcPr>
          <w:p>
            <w:pPr>
              <w:autoSpaceDN w:val="0"/>
              <w:autoSpaceDE w:val="0"/>
              <w:widowControl/>
              <w:spacing w:line="230" w:lineRule="auto" w:before="30" w:after="0"/>
              <w:ind w:left="0" w:right="154" w:firstLine="0"/>
              <w:jc w:val="right"/>
            </w:pPr>
            <w:r>
              <w:rPr>
                <w:rFonts w:ascii="Arial" w:hAnsi="Arial" w:eastAsia="Arial"/>
                <w:b w:val="0"/>
                <w:i w:val="0"/>
                <w:color w:val="000000"/>
                <w:sz w:val="14"/>
              </w:rPr>
              <w:t>-</w:t>
            </w:r>
          </w:p>
        </w:tc>
        <w:tc>
          <w:tcPr>
            <w:tcW w:type="dxa" w:w="1360"/>
            <w:tcBorders/>
            <w:tcMar>
              <w:start w:w="0" w:type="dxa"/>
              <w:end w:w="0" w:type="dxa"/>
            </w:tcMar>
          </w:tcPr>
          <w:p>
            <w:pPr>
              <w:autoSpaceDN w:val="0"/>
              <w:autoSpaceDE w:val="0"/>
              <w:widowControl/>
              <w:spacing w:line="230" w:lineRule="auto" w:before="30" w:after="0"/>
              <w:ind w:left="192" w:right="0" w:firstLine="0"/>
              <w:jc w:val="left"/>
            </w:pPr>
            <w:r>
              <w:rPr>
                <w:rFonts w:ascii="Arial" w:hAnsi="Arial" w:eastAsia="Arial"/>
                <w:b w:val="0"/>
                <w:i w:val="0"/>
                <w:color w:val="000000"/>
                <w:sz w:val="14"/>
              </w:rPr>
              <w:t>20,459,231</w:t>
            </w:r>
          </w:p>
        </w:tc>
        <w:tc>
          <w:tcPr>
            <w:tcW w:type="dxa" w:w="104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 xml:space="preserve">- </w:t>
            </w:r>
          </w:p>
        </w:tc>
        <w:tc>
          <w:tcPr>
            <w:tcW w:type="dxa" w:w="700"/>
            <w:tcBorders/>
            <w:tcMar>
              <w:start w:w="0" w:type="dxa"/>
              <w:end w:w="0" w:type="dxa"/>
            </w:tcMar>
          </w:tcPr>
          <w:p>
            <w:pPr>
              <w:autoSpaceDN w:val="0"/>
              <w:autoSpaceDE w:val="0"/>
              <w:widowControl/>
              <w:spacing w:line="230" w:lineRule="auto" w:before="30" w:after="0"/>
              <w:ind w:left="0" w:right="154" w:firstLine="0"/>
              <w:jc w:val="right"/>
            </w:pPr>
            <w:r>
              <w:rPr>
                <w:rFonts w:ascii="Arial" w:hAnsi="Arial" w:eastAsia="Arial"/>
                <w:b w:val="0"/>
                <w:i w:val="0"/>
                <w:color w:val="000000"/>
                <w:sz w:val="14"/>
              </w:rPr>
              <w:t>-</w:t>
            </w:r>
          </w:p>
        </w:tc>
        <w:tc>
          <w:tcPr>
            <w:tcW w:type="dxa" w:w="114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619,761,504</w:t>
            </w:r>
          </w:p>
        </w:tc>
        <w:tc>
          <w:tcPr>
            <w:tcW w:type="dxa" w:w="112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640,220,735</w:t>
            </w:r>
          </w:p>
        </w:tc>
        <w:tc>
          <w:tcPr>
            <w:tcW w:type="dxa" w:w="116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 xml:space="preserve">(28,029,985) </w:t>
            </w:r>
          </w:p>
        </w:tc>
        <w:tc>
          <w:tcPr>
            <w:tcW w:type="dxa" w:w="112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612,190,750</w:t>
            </w:r>
          </w:p>
        </w:tc>
      </w:tr>
    </w:tbl>
    <w:p>
      <w:pPr>
        <w:autoSpaceDN w:val="0"/>
        <w:autoSpaceDE w:val="0"/>
        <w:widowControl/>
        <w:spacing w:line="154" w:lineRule="exact" w:before="8" w:after="14"/>
        <w:ind w:left="498" w:right="0" w:firstLine="0"/>
        <w:jc w:val="left"/>
      </w:pPr>
      <w:r>
        <w:rPr>
          <w:rFonts w:ascii="Arial" w:hAnsi="Arial" w:eastAsia="Arial"/>
          <w:b w:val="0"/>
          <w:i w:val="0"/>
          <w:color w:val="000000"/>
          <w:sz w:val="14"/>
        </w:rPr>
        <w:t>2.</w:t>
      </w:r>
      <w:r>
        <w:rPr>
          <w:rFonts w:ascii="黑体" w:hAnsi="黑体" w:eastAsia="黑体"/>
          <w:b w:val="0"/>
          <w:i w:val="0"/>
          <w:color w:val="000000"/>
          <w:sz w:val="14"/>
        </w:rPr>
        <w:t>股东投入和减少资本</w:t>
      </w:r>
    </w:p>
    <w:tbl>
      <w:tblPr>
        <w:tblW w:type="auto" w:w="0"/>
        <w:tblLayout w:type="fixed"/>
        <w:tblLook w:firstColumn="1" w:firstRow="1" w:lastColumn="0" w:lastRow="0" w:noHBand="0" w:noVBand="1" w:val="04A0"/>
        <w:tblInd w:w="320.0" w:type="dxa"/>
      </w:tblPr>
      <w:tblGrid>
        <w:gridCol w:w="1269"/>
        <w:gridCol w:w="1269"/>
        <w:gridCol w:w="1269"/>
        <w:gridCol w:w="1269"/>
        <w:gridCol w:w="1269"/>
        <w:gridCol w:w="1269"/>
        <w:gridCol w:w="1269"/>
        <w:gridCol w:w="1269"/>
        <w:gridCol w:w="1269"/>
        <w:gridCol w:w="1269"/>
        <w:gridCol w:w="1269"/>
      </w:tblGrid>
      <w:tr>
        <w:trPr>
          <w:trHeight w:hRule="exact" w:val="186"/>
        </w:trPr>
        <w:tc>
          <w:tcPr>
            <w:tcW w:type="dxa" w:w="2440"/>
            <w:tcBorders/>
            <w:tcMar>
              <w:start w:w="0" w:type="dxa"/>
              <w:end w:w="0" w:type="dxa"/>
            </w:tcMar>
          </w:tcPr>
          <w:p>
            <w:pPr>
              <w:autoSpaceDN w:val="0"/>
              <w:autoSpaceDE w:val="0"/>
              <w:widowControl/>
              <w:spacing w:line="156" w:lineRule="exact" w:before="14"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向股东返还出资</w:t>
            </w:r>
          </w:p>
        </w:tc>
        <w:tc>
          <w:tcPr>
            <w:tcW w:type="dxa" w:w="1620"/>
            <w:tcBorders/>
            <w:tcMar>
              <w:start w:w="0" w:type="dxa"/>
              <w:end w:w="0" w:type="dxa"/>
            </w:tcMar>
          </w:tcPr>
          <w:p>
            <w:pPr>
              <w:autoSpaceDN w:val="0"/>
              <w:autoSpaceDE w:val="0"/>
              <w:widowControl/>
              <w:spacing w:line="230" w:lineRule="auto" w:before="24" w:after="0"/>
              <w:ind w:left="0" w:right="484"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w:t>
            </w:r>
          </w:p>
        </w:tc>
        <w:tc>
          <w:tcPr>
            <w:tcW w:type="dxa" w:w="104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 xml:space="preserve">- </w:t>
            </w:r>
          </w:p>
        </w:tc>
        <w:tc>
          <w:tcPr>
            <w:tcW w:type="dxa" w:w="106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w:t>
            </w:r>
          </w:p>
        </w:tc>
        <w:tc>
          <w:tcPr>
            <w:tcW w:type="dxa" w:w="114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w:t>
            </w:r>
          </w:p>
        </w:tc>
        <w:tc>
          <w:tcPr>
            <w:tcW w:type="dxa" w:w="800"/>
            <w:tcBorders/>
            <w:tcMar>
              <w:start w:w="0" w:type="dxa"/>
              <w:end w:w="0" w:type="dxa"/>
            </w:tcMar>
          </w:tcPr>
          <w:p>
            <w:pPr>
              <w:autoSpaceDN w:val="0"/>
              <w:autoSpaceDE w:val="0"/>
              <w:widowControl/>
              <w:spacing w:line="230" w:lineRule="auto" w:before="24" w:after="0"/>
              <w:ind w:left="0" w:right="18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0" w:lineRule="auto" w:before="24" w:after="0"/>
              <w:ind w:left="0" w:right="0" w:firstLine="0"/>
              <w:jc w:val="center"/>
            </w:pPr>
            <w:r>
              <w:rPr>
                <w:rFonts w:ascii="Arial" w:hAnsi="Arial" w:eastAsia="Arial"/>
                <w:b w:val="0"/>
                <w:i w:val="0"/>
                <w:color w:val="000000"/>
                <w:sz w:val="14"/>
              </w:rPr>
              <w:t xml:space="preserve">(7,357,814) </w:t>
            </w:r>
          </w:p>
        </w:tc>
        <w:tc>
          <w:tcPr>
            <w:tcW w:type="dxa" w:w="1100"/>
            <w:tcBorders/>
            <w:tcMar>
              <w:start w:w="0" w:type="dxa"/>
              <w:end w:w="0" w:type="dxa"/>
            </w:tcMar>
          </w:tcPr>
          <w:p>
            <w:pPr>
              <w:autoSpaceDN w:val="0"/>
              <w:autoSpaceDE w:val="0"/>
              <w:widowControl/>
              <w:spacing w:line="230" w:lineRule="auto" w:before="24" w:after="0"/>
              <w:ind w:left="232" w:right="0" w:firstLine="0"/>
              <w:jc w:val="left"/>
            </w:pPr>
            <w:r>
              <w:rPr>
                <w:rFonts w:ascii="Arial" w:hAnsi="Arial" w:eastAsia="Arial"/>
                <w:b w:val="0"/>
                <w:i w:val="0"/>
                <w:color w:val="000000"/>
                <w:sz w:val="14"/>
              </w:rPr>
              <w:t xml:space="preserve">(7,357,814) </w:t>
            </w:r>
          </w:p>
        </w:tc>
      </w:tr>
    </w:tbl>
    <w:p>
      <w:pPr>
        <w:autoSpaceDN w:val="0"/>
        <w:autoSpaceDE w:val="0"/>
        <w:widowControl/>
        <w:spacing w:line="156" w:lineRule="exact" w:before="8" w:after="12"/>
        <w:ind w:left="498" w:right="0" w:firstLine="0"/>
        <w:jc w:val="left"/>
      </w:pPr>
      <w:r>
        <w:rPr>
          <w:rFonts w:ascii="Arial" w:hAnsi="Arial" w:eastAsia="Arial"/>
          <w:b w:val="0"/>
          <w:i w:val="0"/>
          <w:color w:val="000000"/>
          <w:sz w:val="14"/>
        </w:rPr>
        <w:t>3.</w:t>
      </w:r>
      <w:r>
        <w:rPr>
          <w:rFonts w:ascii="黑体" w:hAnsi="黑体" w:eastAsia="黑体"/>
          <w:b w:val="0"/>
          <w:i w:val="0"/>
          <w:color w:val="000000"/>
          <w:sz w:val="14"/>
        </w:rPr>
        <w:t>利润分配</w:t>
      </w:r>
    </w:p>
    <w:tbl>
      <w:tblPr>
        <w:tblW w:type="auto" w:w="0"/>
        <w:tblLayout w:type="fixed"/>
        <w:tblLook w:firstColumn="1" w:firstRow="1" w:lastColumn="0" w:lastRow="0" w:noHBand="0" w:noVBand="1" w:val="04A0"/>
        <w:tblInd w:w="320.0" w:type="dxa"/>
      </w:tblPr>
      <w:tblGrid>
        <w:gridCol w:w="1163"/>
        <w:gridCol w:w="1163"/>
        <w:gridCol w:w="1163"/>
        <w:gridCol w:w="1163"/>
        <w:gridCol w:w="1163"/>
        <w:gridCol w:w="1163"/>
        <w:gridCol w:w="1163"/>
        <w:gridCol w:w="1163"/>
        <w:gridCol w:w="1163"/>
        <w:gridCol w:w="1163"/>
        <w:gridCol w:w="1163"/>
        <w:gridCol w:w="1163"/>
      </w:tblGrid>
      <w:tr>
        <w:trPr>
          <w:trHeight w:hRule="exact" w:val="172"/>
        </w:trPr>
        <w:tc>
          <w:tcPr>
            <w:tcW w:type="dxa" w:w="1820"/>
            <w:tcBorders/>
            <w:tcMar>
              <w:start w:w="0" w:type="dxa"/>
              <w:end w:w="0" w:type="dxa"/>
            </w:tcMar>
          </w:tcPr>
          <w:p>
            <w:pPr>
              <w:autoSpaceDN w:val="0"/>
              <w:autoSpaceDE w:val="0"/>
              <w:widowControl/>
              <w:spacing w:line="156" w:lineRule="exact" w:before="14"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提取盈余公积</w:t>
            </w:r>
          </w:p>
        </w:tc>
        <w:tc>
          <w:tcPr>
            <w:tcW w:type="dxa" w:w="1180"/>
            <w:tcBorders/>
            <w:tcMar>
              <w:start w:w="0" w:type="dxa"/>
              <w:end w:w="0" w:type="dxa"/>
            </w:tcMar>
          </w:tcPr>
          <w:p>
            <w:pPr>
              <w:autoSpaceDN w:val="0"/>
              <w:autoSpaceDE w:val="0"/>
              <w:widowControl/>
              <w:spacing w:line="156" w:lineRule="exact" w:before="14"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36 </w:t>
            </w:r>
          </w:p>
        </w:tc>
        <w:tc>
          <w:tcPr>
            <w:tcW w:type="dxa" w:w="1060"/>
            <w:tcBorders/>
            <w:tcMar>
              <w:start w:w="0" w:type="dxa"/>
              <w:end w:w="0" w:type="dxa"/>
            </w:tcMar>
          </w:tcPr>
          <w:p>
            <w:pPr>
              <w:autoSpaceDN w:val="0"/>
              <w:autoSpaceDE w:val="0"/>
              <w:widowControl/>
              <w:spacing w:line="233" w:lineRule="auto" w:before="16"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6"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16"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6" w:after="0"/>
              <w:ind w:left="0" w:right="0" w:firstLine="0"/>
              <w:jc w:val="center"/>
            </w:pPr>
            <w:r>
              <w:rPr>
                <w:rFonts w:ascii="Arial" w:hAnsi="Arial" w:eastAsia="Arial"/>
                <w:b w:val="0"/>
                <w:i w:val="0"/>
                <w:color w:val="000000"/>
                <w:sz w:val="14"/>
              </w:rPr>
              <w:t xml:space="preserve">51,796,546 </w:t>
            </w:r>
          </w:p>
        </w:tc>
        <w:tc>
          <w:tcPr>
            <w:tcW w:type="dxa" w:w="1040"/>
            <w:tcBorders/>
            <w:tcMar>
              <w:start w:w="0" w:type="dxa"/>
              <w:end w:w="0" w:type="dxa"/>
            </w:tcMar>
          </w:tcPr>
          <w:p>
            <w:pPr>
              <w:autoSpaceDN w:val="0"/>
              <w:autoSpaceDE w:val="0"/>
              <w:widowControl/>
              <w:spacing w:line="233" w:lineRule="auto" w:before="16"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3" w:lineRule="auto" w:before="16"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16" w:after="0"/>
              <w:ind w:left="226" w:right="0" w:firstLine="0"/>
              <w:jc w:val="left"/>
            </w:pPr>
            <w:r>
              <w:rPr>
                <w:rFonts w:ascii="Arial" w:hAnsi="Arial" w:eastAsia="Arial"/>
                <w:b w:val="0"/>
                <w:i w:val="0"/>
                <w:color w:val="000000"/>
                <w:sz w:val="14"/>
              </w:rPr>
              <w:t xml:space="preserve">(51,796,546) </w:t>
            </w:r>
          </w:p>
        </w:tc>
        <w:tc>
          <w:tcPr>
            <w:tcW w:type="dxa" w:w="1180"/>
            <w:tcBorders/>
            <w:tcMar>
              <w:start w:w="0" w:type="dxa"/>
              <w:end w:w="0" w:type="dxa"/>
            </w:tcMar>
          </w:tcPr>
          <w:p>
            <w:pPr>
              <w:autoSpaceDN w:val="0"/>
              <w:autoSpaceDE w:val="0"/>
              <w:widowControl/>
              <w:spacing w:line="233" w:lineRule="auto" w:before="16" w:after="0"/>
              <w:ind w:left="0" w:right="2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16" w:after="0"/>
              <w:ind w:left="0" w:right="23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16" w:after="0"/>
              <w:ind w:left="0" w:right="196" w:firstLine="0"/>
              <w:jc w:val="right"/>
            </w:pPr>
            <w:r>
              <w:rPr>
                <w:rFonts w:ascii="Arial" w:hAnsi="Arial" w:eastAsia="Arial"/>
                <w:b w:val="0"/>
                <w:i w:val="0"/>
                <w:color w:val="000000"/>
                <w:sz w:val="14"/>
              </w:rPr>
              <w:t>-</w:t>
            </w:r>
          </w:p>
        </w:tc>
      </w:tr>
      <w:tr>
        <w:trPr>
          <w:trHeight w:hRule="exact" w:val="180"/>
        </w:trPr>
        <w:tc>
          <w:tcPr>
            <w:tcW w:type="dxa" w:w="1820"/>
            <w:tcBorders/>
            <w:tcMar>
              <w:start w:w="0" w:type="dxa"/>
              <w:end w:w="0" w:type="dxa"/>
            </w:tcMar>
          </w:tcPr>
          <w:p>
            <w:pPr>
              <w:autoSpaceDN w:val="0"/>
              <w:autoSpaceDE w:val="0"/>
              <w:widowControl/>
              <w:spacing w:line="156" w:lineRule="exact" w:before="24" w:after="0"/>
              <w:ind w:left="0" w:right="0" w:firstLine="0"/>
              <w:jc w:val="center"/>
            </w:pPr>
            <w:r>
              <w:rPr>
                <w:rFonts w:ascii="Arial" w:hAnsi="Arial" w:eastAsia="Arial"/>
                <w:b w:val="0"/>
                <w:i w:val="0"/>
                <w:color w:val="000000"/>
                <w:sz w:val="14"/>
              </w:rPr>
              <w:t>-</w:t>
            </w:r>
            <w:r>
              <w:rPr>
                <w:rFonts w:ascii="黑体" w:hAnsi="黑体" w:eastAsia="黑体"/>
                <w:b w:val="0"/>
                <w:i w:val="0"/>
                <w:color w:val="000000"/>
                <w:sz w:val="14"/>
              </w:rPr>
              <w:t>提取一般风险准备</w:t>
            </w:r>
          </w:p>
        </w:tc>
        <w:tc>
          <w:tcPr>
            <w:tcW w:type="dxa" w:w="1180"/>
            <w:tcBorders/>
            <w:tcMar>
              <w:start w:w="0" w:type="dxa"/>
              <w:end w:w="0" w:type="dxa"/>
            </w:tcMar>
          </w:tcPr>
          <w:p>
            <w:pPr>
              <w:autoSpaceDN w:val="0"/>
              <w:autoSpaceDE w:val="0"/>
              <w:widowControl/>
              <w:spacing w:line="156" w:lineRule="exact" w:before="24"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37 </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24"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 xml:space="preserve">59,055,143 </w:t>
            </w:r>
          </w:p>
        </w:tc>
        <w:tc>
          <w:tcPr>
            <w:tcW w:type="dxa" w:w="1000"/>
            <w:tcBorders/>
            <w:tcMar>
              <w:start w:w="0" w:type="dxa"/>
              <w:end w:w="0" w:type="dxa"/>
            </w:tcMar>
          </w:tcPr>
          <w:p>
            <w:pPr>
              <w:autoSpaceDN w:val="0"/>
              <w:autoSpaceDE w:val="0"/>
              <w:widowControl/>
              <w:spacing w:line="233" w:lineRule="auto" w:before="24"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24" w:after="0"/>
              <w:ind w:left="226" w:right="0" w:firstLine="0"/>
              <w:jc w:val="left"/>
            </w:pPr>
            <w:r>
              <w:rPr>
                <w:rFonts w:ascii="Arial" w:hAnsi="Arial" w:eastAsia="Arial"/>
                <w:b w:val="0"/>
                <w:i w:val="0"/>
                <w:color w:val="000000"/>
                <w:sz w:val="14"/>
              </w:rPr>
              <w:t xml:space="preserve">(59,055,143) </w:t>
            </w:r>
          </w:p>
        </w:tc>
        <w:tc>
          <w:tcPr>
            <w:tcW w:type="dxa" w:w="1180"/>
            <w:tcBorders/>
            <w:tcMar>
              <w:start w:w="0" w:type="dxa"/>
              <w:end w:w="0" w:type="dxa"/>
            </w:tcMar>
          </w:tcPr>
          <w:p>
            <w:pPr>
              <w:autoSpaceDN w:val="0"/>
              <w:autoSpaceDE w:val="0"/>
              <w:widowControl/>
              <w:spacing w:line="233" w:lineRule="auto" w:before="24" w:after="0"/>
              <w:ind w:left="0" w:right="2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23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24" w:after="0"/>
              <w:ind w:left="0" w:right="196" w:firstLine="0"/>
              <w:jc w:val="right"/>
            </w:pPr>
            <w:r>
              <w:rPr>
                <w:rFonts w:ascii="Arial" w:hAnsi="Arial" w:eastAsia="Arial"/>
                <w:b w:val="0"/>
                <w:i w:val="0"/>
                <w:color w:val="000000"/>
                <w:sz w:val="14"/>
              </w:rPr>
              <w:t>-</w:t>
            </w:r>
          </w:p>
        </w:tc>
      </w:tr>
      <w:tr>
        <w:trPr>
          <w:trHeight w:hRule="exact" w:val="180"/>
        </w:trPr>
        <w:tc>
          <w:tcPr>
            <w:tcW w:type="dxa" w:w="1820"/>
            <w:tcBorders/>
            <w:tcMar>
              <w:start w:w="0" w:type="dxa"/>
              <w:end w:w="0" w:type="dxa"/>
            </w:tcMar>
          </w:tcPr>
          <w:p>
            <w:pPr>
              <w:autoSpaceDN w:val="0"/>
              <w:autoSpaceDE w:val="0"/>
              <w:widowControl/>
              <w:spacing w:line="156" w:lineRule="exact" w:before="24" w:after="0"/>
              <w:ind w:left="0" w:right="0" w:firstLine="0"/>
              <w:jc w:val="center"/>
            </w:pPr>
            <w:r>
              <w:rPr>
                <w:rFonts w:ascii="Arial" w:hAnsi="Arial" w:eastAsia="Arial"/>
                <w:b w:val="0"/>
                <w:i w:val="0"/>
                <w:color w:val="000000"/>
                <w:sz w:val="14"/>
              </w:rPr>
              <w:t>-</w:t>
            </w:r>
            <w:r>
              <w:rPr>
                <w:rFonts w:ascii="黑体" w:hAnsi="黑体" w:eastAsia="黑体"/>
                <w:b w:val="0"/>
                <w:i w:val="0"/>
                <w:color w:val="000000"/>
                <w:sz w:val="14"/>
              </w:rPr>
              <w:t>提取交易风险准备</w:t>
            </w:r>
          </w:p>
        </w:tc>
        <w:tc>
          <w:tcPr>
            <w:tcW w:type="dxa" w:w="1180"/>
            <w:tcBorders/>
            <w:tcMar>
              <w:start w:w="0" w:type="dxa"/>
              <w:end w:w="0" w:type="dxa"/>
            </w:tcMar>
          </w:tcPr>
          <w:p>
            <w:pPr>
              <w:autoSpaceDN w:val="0"/>
              <w:autoSpaceDE w:val="0"/>
              <w:widowControl/>
              <w:spacing w:line="156" w:lineRule="exact" w:before="24"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37 </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24"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24"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51,796,546</w:t>
            </w:r>
          </w:p>
        </w:tc>
        <w:tc>
          <w:tcPr>
            <w:tcW w:type="dxa" w:w="1180"/>
            <w:tcBorders/>
            <w:tcMar>
              <w:start w:w="0" w:type="dxa"/>
              <w:end w:w="0" w:type="dxa"/>
            </w:tcMar>
          </w:tcPr>
          <w:p>
            <w:pPr>
              <w:autoSpaceDN w:val="0"/>
              <w:autoSpaceDE w:val="0"/>
              <w:widowControl/>
              <w:spacing w:line="233" w:lineRule="auto" w:before="24" w:after="0"/>
              <w:ind w:left="226" w:right="0" w:firstLine="0"/>
              <w:jc w:val="left"/>
            </w:pPr>
            <w:r>
              <w:rPr>
                <w:rFonts w:ascii="Arial" w:hAnsi="Arial" w:eastAsia="Arial"/>
                <w:b w:val="0"/>
                <w:i w:val="0"/>
                <w:color w:val="000000"/>
                <w:sz w:val="14"/>
              </w:rPr>
              <w:t xml:space="preserve">(51,796,546) </w:t>
            </w:r>
          </w:p>
        </w:tc>
        <w:tc>
          <w:tcPr>
            <w:tcW w:type="dxa" w:w="1180"/>
            <w:tcBorders/>
            <w:tcMar>
              <w:start w:w="0" w:type="dxa"/>
              <w:end w:w="0" w:type="dxa"/>
            </w:tcMar>
          </w:tcPr>
          <w:p>
            <w:pPr>
              <w:autoSpaceDN w:val="0"/>
              <w:autoSpaceDE w:val="0"/>
              <w:widowControl/>
              <w:spacing w:line="233" w:lineRule="auto" w:before="24" w:after="0"/>
              <w:ind w:left="0" w:right="2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24" w:after="0"/>
              <w:ind w:left="0" w:right="23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24" w:after="0"/>
              <w:ind w:left="0" w:right="196" w:firstLine="0"/>
              <w:jc w:val="right"/>
            </w:pPr>
            <w:r>
              <w:rPr>
                <w:rFonts w:ascii="Arial" w:hAnsi="Arial" w:eastAsia="Arial"/>
                <w:b w:val="0"/>
                <w:i w:val="0"/>
                <w:color w:val="000000"/>
                <w:sz w:val="14"/>
              </w:rPr>
              <w:t>-</w:t>
            </w:r>
          </w:p>
        </w:tc>
      </w:tr>
      <w:tr>
        <w:trPr>
          <w:trHeight w:hRule="exact" w:val="204"/>
        </w:trPr>
        <w:tc>
          <w:tcPr>
            <w:tcW w:type="dxa" w:w="1820"/>
            <w:tcBorders/>
            <w:tcMar>
              <w:start w:w="0" w:type="dxa"/>
              <w:end w:w="0" w:type="dxa"/>
            </w:tcMar>
          </w:tcPr>
          <w:p>
            <w:pPr>
              <w:autoSpaceDN w:val="0"/>
              <w:autoSpaceDE w:val="0"/>
              <w:widowControl/>
              <w:spacing w:line="154" w:lineRule="exact" w:before="28" w:after="0"/>
              <w:ind w:left="346" w:right="0" w:firstLine="0"/>
              <w:jc w:val="left"/>
            </w:pPr>
            <w:r>
              <w:rPr>
                <w:rFonts w:ascii="Arial" w:hAnsi="Arial" w:eastAsia="Arial"/>
                <w:b w:val="0"/>
                <w:i w:val="0"/>
                <w:color w:val="000000"/>
                <w:sz w:val="14"/>
              </w:rPr>
              <w:t>-</w:t>
            </w:r>
            <w:r>
              <w:rPr>
                <w:rFonts w:ascii="黑体" w:hAnsi="黑体" w:eastAsia="黑体"/>
                <w:b w:val="0"/>
                <w:i w:val="0"/>
                <w:color w:val="000000"/>
                <w:sz w:val="14"/>
              </w:rPr>
              <w:t>对股东的分配</w:t>
            </w:r>
          </w:p>
        </w:tc>
        <w:tc>
          <w:tcPr>
            <w:tcW w:type="dxa" w:w="1180"/>
            <w:tcBorders/>
            <w:tcMar>
              <w:start w:w="0" w:type="dxa"/>
              <w:end w:w="0" w:type="dxa"/>
            </w:tcMar>
          </w:tcPr>
          <w:p>
            <w:pPr>
              <w:autoSpaceDN w:val="0"/>
              <w:autoSpaceDE w:val="0"/>
              <w:widowControl/>
              <w:spacing w:line="154" w:lineRule="exact" w:before="28" w:after="0"/>
              <w:ind w:left="0" w:right="508" w:firstLine="0"/>
              <w:jc w:val="right"/>
            </w:pPr>
            <w:r>
              <w:rPr>
                <w:rFonts w:ascii="黑体" w:hAnsi="黑体" w:eastAsia="黑体"/>
                <w:b w:val="0"/>
                <w:i w:val="0"/>
                <w:color w:val="000000"/>
                <w:sz w:val="14"/>
              </w:rPr>
              <w:t>五</w:t>
            </w:r>
            <w:r>
              <w:rPr>
                <w:rFonts w:ascii="Arial" w:hAnsi="Arial" w:eastAsia="Arial"/>
                <w:b w:val="0"/>
                <w:i w:val="0"/>
                <w:color w:val="000000"/>
                <w:sz w:val="14"/>
              </w:rPr>
              <w:t xml:space="preserve">38 </w:t>
            </w:r>
          </w:p>
        </w:tc>
        <w:tc>
          <w:tcPr>
            <w:tcW w:type="dxa" w:w="106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36" w:after="0"/>
              <w:ind w:left="0" w:right="126" w:firstLine="0"/>
              <w:jc w:val="right"/>
            </w:pPr>
            <w:r>
              <w:rPr>
                <w:rFonts w:ascii="Arial" w:hAnsi="Arial" w:eastAsia="Arial"/>
                <w:b w:val="0"/>
                <w:i w:val="0"/>
                <w:color w:val="000000"/>
                <w:sz w:val="14"/>
              </w:rPr>
              <w:t>-</w:t>
            </w:r>
          </w:p>
        </w:tc>
        <w:tc>
          <w:tcPr>
            <w:tcW w:type="dxa" w:w="1060"/>
            <w:tcBorders/>
            <w:tcMar>
              <w:start w:w="0" w:type="dxa"/>
              <w:end w:w="0" w:type="dxa"/>
            </w:tcMar>
          </w:tcPr>
          <w:p>
            <w:pPr>
              <w:autoSpaceDN w:val="0"/>
              <w:autoSpaceDE w:val="0"/>
              <w:widowControl/>
              <w:spacing w:line="233" w:lineRule="auto" w:before="36" w:after="0"/>
              <w:ind w:left="0" w:right="156" w:firstLine="0"/>
              <w:jc w:val="right"/>
            </w:pPr>
            <w:r>
              <w:rPr>
                <w:rFonts w:ascii="Arial" w:hAnsi="Arial" w:eastAsia="Arial"/>
                <w:b w:val="0"/>
                <w:i w:val="0"/>
                <w:color w:val="000000"/>
                <w:sz w:val="14"/>
              </w:rPr>
              <w:t xml:space="preserve">- </w:t>
            </w:r>
          </w:p>
        </w:tc>
        <w:tc>
          <w:tcPr>
            <w:tcW w:type="dxa" w:w="1040"/>
            <w:tcBorders/>
            <w:tcMar>
              <w:start w:w="0" w:type="dxa"/>
              <w:end w:w="0" w:type="dxa"/>
            </w:tcMar>
          </w:tcPr>
          <w:p>
            <w:pPr>
              <w:autoSpaceDN w:val="0"/>
              <w:autoSpaceDE w:val="0"/>
              <w:widowControl/>
              <w:spacing w:line="233" w:lineRule="auto" w:before="36" w:after="0"/>
              <w:ind w:left="0" w:right="144" w:firstLine="0"/>
              <w:jc w:val="right"/>
            </w:pPr>
            <w:r>
              <w:rPr>
                <w:rFonts w:ascii="Arial" w:hAnsi="Arial" w:eastAsia="Arial"/>
                <w:b w:val="0"/>
                <w:i w:val="0"/>
                <w:color w:val="000000"/>
                <w:sz w:val="14"/>
              </w:rPr>
              <w:t xml:space="preserve">- </w:t>
            </w:r>
          </w:p>
        </w:tc>
        <w:tc>
          <w:tcPr>
            <w:tcW w:type="dxa" w:w="1000"/>
            <w:tcBorders/>
            <w:tcMar>
              <w:start w:w="0" w:type="dxa"/>
              <w:end w:w="0" w:type="dxa"/>
            </w:tcMar>
          </w:tcPr>
          <w:p>
            <w:pPr>
              <w:autoSpaceDN w:val="0"/>
              <w:autoSpaceDE w:val="0"/>
              <w:widowControl/>
              <w:spacing w:line="233" w:lineRule="auto" w:before="36" w:after="0"/>
              <w:ind w:left="0" w:right="134"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 xml:space="preserve">(287,181,724) </w:t>
            </w:r>
          </w:p>
        </w:tc>
        <w:tc>
          <w:tcPr>
            <w:tcW w:type="dxa" w:w="118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 xml:space="preserve">(287,181,724) </w:t>
            </w:r>
          </w:p>
        </w:tc>
        <w:tc>
          <w:tcPr>
            <w:tcW w:type="dxa" w:w="106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 xml:space="preserve">(7,567,477) </w:t>
            </w:r>
          </w:p>
        </w:tc>
        <w:tc>
          <w:tcPr>
            <w:tcW w:type="dxa" w:w="1180"/>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4"/>
              </w:rPr>
              <w:t xml:space="preserve">(294,749,201) </w:t>
            </w:r>
          </w:p>
        </w:tc>
      </w:tr>
    </w:tbl>
    <w:p>
      <w:pPr>
        <w:autoSpaceDN w:val="0"/>
        <w:autoSpaceDE w:val="0"/>
        <w:widowControl/>
        <w:spacing w:line="140" w:lineRule="exact" w:before="12" w:after="12"/>
        <w:ind w:left="498" w:right="0" w:firstLine="0"/>
        <w:jc w:val="left"/>
      </w:pPr>
      <w:r>
        <w:rPr>
          <w:rFonts w:ascii="黑体" w:hAnsi="黑体" w:eastAsia="黑体"/>
          <w:b w:val="0"/>
          <w:i w:val="0"/>
          <w:color w:val="000000"/>
          <w:sz w:val="14"/>
        </w:rPr>
        <w:t xml:space="preserve">4.所有者权益内部结转 </w:t>
      </w:r>
    </w:p>
    <w:tbl>
      <w:tblPr>
        <w:tblW w:type="auto" w:w="0"/>
        <w:tblLayout w:type="fixed"/>
        <w:tblLook w:firstColumn="1" w:firstRow="1" w:lastColumn="0" w:lastRow="0" w:noHBand="0" w:noVBand="1" w:val="04A0"/>
        <w:tblInd w:w="160.0" w:type="dxa"/>
      </w:tblPr>
      <w:tblGrid>
        <w:gridCol w:w="1269"/>
        <w:gridCol w:w="1269"/>
        <w:gridCol w:w="1269"/>
        <w:gridCol w:w="1269"/>
        <w:gridCol w:w="1269"/>
        <w:gridCol w:w="1269"/>
        <w:gridCol w:w="1269"/>
        <w:gridCol w:w="1269"/>
        <w:gridCol w:w="1269"/>
        <w:gridCol w:w="1269"/>
        <w:gridCol w:w="1269"/>
      </w:tblGrid>
      <w:tr>
        <w:trPr>
          <w:trHeight w:hRule="exact" w:val="194"/>
        </w:trPr>
        <w:tc>
          <w:tcPr>
            <w:tcW w:type="dxa" w:w="2774"/>
            <w:tcBorders>
              <w:bottom w:sz="4.0" w:val="single" w:color="#000000"/>
            </w:tcBorders>
            <w:tcMar>
              <w:start w:w="0" w:type="dxa"/>
              <w:end w:w="0" w:type="dxa"/>
            </w:tcMar>
          </w:tcPr>
          <w:p>
            <w:pPr>
              <w:autoSpaceDN w:val="0"/>
              <w:autoSpaceDE w:val="0"/>
              <w:widowControl/>
              <w:spacing w:line="140" w:lineRule="exact" w:before="28" w:after="0"/>
              <w:ind w:left="0" w:right="0" w:firstLine="0"/>
              <w:jc w:val="center"/>
            </w:pPr>
            <w:r>
              <w:rPr>
                <w:rFonts w:ascii="黑体" w:hAnsi="黑体" w:eastAsia="黑体"/>
                <w:b w:val="0"/>
                <w:i w:val="0"/>
                <w:color w:val="000000"/>
                <w:sz w:val="14"/>
              </w:rPr>
              <w:t xml:space="preserve">-其他综合收益结转留存收益 </w:t>
            </w:r>
          </w:p>
        </w:tc>
        <w:tc>
          <w:tcPr>
            <w:tcW w:type="dxa" w:w="962"/>
            <w:tcBorders>
              <w:bottom w:sz="4.0" w:val="single" w:color="#00000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048"/>
            <w:tcBorders>
              <w:bottom w:sz="4.0" w:val="single" w:color="#000000"/>
            </w:tcBorders>
            <w:tcMar>
              <w:start w:w="0" w:type="dxa"/>
              <w:end w:w="0" w:type="dxa"/>
            </w:tcMar>
          </w:tcPr>
          <w:p>
            <w:pPr>
              <w:autoSpaceDN w:val="0"/>
              <w:autoSpaceDE w:val="0"/>
              <w:widowControl/>
              <w:spacing w:line="230" w:lineRule="auto" w:before="34" w:after="0"/>
              <w:ind w:left="0" w:right="0" w:firstLine="0"/>
              <w:jc w:val="right"/>
            </w:pPr>
            <w:r>
              <w:rPr>
                <w:rFonts w:ascii="Arial" w:hAnsi="Arial" w:eastAsia="Arial"/>
                <w:b w:val="0"/>
                <w:i w:val="0"/>
                <w:color w:val="000000"/>
                <w:sz w:val="14"/>
              </w:rPr>
              <w:t>-</w:t>
            </w:r>
          </w:p>
        </w:tc>
        <w:tc>
          <w:tcPr>
            <w:tcW w:type="dxa" w:w="1194"/>
            <w:tcBorders>
              <w:bottom w:sz="4.0" w:val="single" w:color="#000000"/>
            </w:tcBorders>
            <w:tcMar>
              <w:start w:w="0" w:type="dxa"/>
              <w:end w:w="0" w:type="dxa"/>
            </w:tcMar>
          </w:tcPr>
          <w:p>
            <w:pPr>
              <w:autoSpaceDN w:val="0"/>
              <w:autoSpaceDE w:val="0"/>
              <w:widowControl/>
              <w:spacing w:line="230" w:lineRule="auto" w:before="34" w:after="0"/>
              <w:ind w:left="0" w:right="146" w:firstLine="0"/>
              <w:jc w:val="right"/>
            </w:pPr>
            <w:r>
              <w:rPr>
                <w:rFonts w:ascii="Arial" w:hAnsi="Arial" w:eastAsia="Arial"/>
                <w:b w:val="0"/>
                <w:i w:val="0"/>
                <w:color w:val="000000"/>
                <w:sz w:val="14"/>
              </w:rPr>
              <w:t>5,143,034</w:t>
            </w:r>
          </w:p>
        </w:tc>
        <w:tc>
          <w:tcPr>
            <w:tcW w:type="dxa" w:w="992"/>
            <w:tcBorders>
              <w:bottom w:sz="4.0" w:val="single" w:color="#000000"/>
            </w:tcBorders>
            <w:tcMar>
              <w:start w:w="0" w:type="dxa"/>
              <w:end w:w="0" w:type="dxa"/>
            </w:tcMar>
          </w:tcPr>
          <w:p>
            <w:pPr>
              <w:autoSpaceDN w:val="0"/>
              <w:autoSpaceDE w:val="0"/>
              <w:widowControl/>
              <w:spacing w:line="230" w:lineRule="auto" w:before="34" w:after="0"/>
              <w:ind w:left="0" w:right="106" w:firstLine="0"/>
              <w:jc w:val="right"/>
            </w:pPr>
            <w:r>
              <w:rPr>
                <w:rFonts w:ascii="Arial" w:hAnsi="Arial" w:eastAsia="Arial"/>
                <w:b w:val="0"/>
                <w:i w:val="0"/>
                <w:color w:val="000000"/>
                <w:sz w:val="14"/>
              </w:rPr>
              <w:t xml:space="preserve">- </w:t>
            </w:r>
          </w:p>
        </w:tc>
        <w:tc>
          <w:tcPr>
            <w:tcW w:type="dxa" w:w="1048"/>
            <w:tcBorders>
              <w:bottom w:sz="4.0" w:val="single" w:color="#000000"/>
            </w:tcBorders>
            <w:tcMar>
              <w:start w:w="0" w:type="dxa"/>
              <w:end w:w="0" w:type="dxa"/>
            </w:tcMar>
          </w:tcPr>
          <w:p>
            <w:pPr>
              <w:autoSpaceDN w:val="0"/>
              <w:autoSpaceDE w:val="0"/>
              <w:widowControl/>
              <w:spacing w:line="230" w:lineRule="auto" w:before="34" w:after="0"/>
              <w:ind w:left="0" w:right="102" w:firstLine="0"/>
              <w:jc w:val="right"/>
            </w:pPr>
            <w:r>
              <w:rPr>
                <w:rFonts w:ascii="Arial" w:hAnsi="Arial" w:eastAsia="Arial"/>
                <w:b w:val="0"/>
                <w:i w:val="0"/>
                <w:color w:val="000000"/>
                <w:sz w:val="14"/>
              </w:rPr>
              <w:t xml:space="preserve">- </w:t>
            </w:r>
          </w:p>
        </w:tc>
        <w:tc>
          <w:tcPr>
            <w:tcW w:type="dxa" w:w="908"/>
            <w:tcBorders>
              <w:bottom w:sz="4.0" w:val="single" w:color="#000000"/>
            </w:tcBorders>
            <w:tcMar>
              <w:start w:w="0" w:type="dxa"/>
              <w:end w:w="0" w:type="dxa"/>
            </w:tcMar>
          </w:tcPr>
          <w:p>
            <w:pPr>
              <w:autoSpaceDN w:val="0"/>
              <w:autoSpaceDE w:val="0"/>
              <w:widowControl/>
              <w:spacing w:line="230" w:lineRule="auto" w:before="34" w:after="0"/>
              <w:ind w:left="0" w:right="0" w:firstLine="0"/>
              <w:jc w:val="right"/>
            </w:pPr>
            <w:r>
              <w:rPr>
                <w:rFonts w:ascii="Arial" w:hAnsi="Arial" w:eastAsia="Arial"/>
                <w:b w:val="0"/>
                <w:i w:val="0"/>
                <w:color w:val="000000"/>
                <w:sz w:val="14"/>
              </w:rPr>
              <w:t>-</w:t>
            </w:r>
          </w:p>
        </w:tc>
        <w:tc>
          <w:tcPr>
            <w:tcW w:type="dxa" w:w="1248"/>
            <w:tcBorders>
              <w:bottom w:sz="4.0" w:val="single" w:color="#000000"/>
            </w:tcBorders>
            <w:tcMar>
              <w:start w:w="0" w:type="dxa"/>
              <w:end w:w="0" w:type="dxa"/>
            </w:tcMar>
          </w:tcPr>
          <w:p>
            <w:pPr>
              <w:autoSpaceDN w:val="0"/>
              <w:autoSpaceDE w:val="0"/>
              <w:widowControl/>
              <w:spacing w:line="230" w:lineRule="auto" w:before="34" w:after="0"/>
              <w:ind w:left="0" w:right="60" w:firstLine="0"/>
              <w:jc w:val="right"/>
            </w:pPr>
            <w:r>
              <w:rPr>
                <w:rFonts w:ascii="Arial" w:hAnsi="Arial" w:eastAsia="Arial"/>
                <w:b w:val="0"/>
                <w:i w:val="0"/>
                <w:color w:val="000000"/>
                <w:sz w:val="14"/>
              </w:rPr>
              <w:t xml:space="preserve">(5,143,034) </w:t>
            </w:r>
          </w:p>
        </w:tc>
        <w:tc>
          <w:tcPr>
            <w:tcW w:type="dxa" w:w="1020"/>
            <w:tcBorders>
              <w:bottom w:sz="4.0" w:val="single" w:color="#000000"/>
            </w:tcBorders>
            <w:tcMar>
              <w:start w:w="0" w:type="dxa"/>
              <w:end w:w="0" w:type="dxa"/>
            </w:tcMar>
          </w:tcPr>
          <w:p>
            <w:pPr>
              <w:autoSpaceDN w:val="0"/>
              <w:autoSpaceDE w:val="0"/>
              <w:widowControl/>
              <w:spacing w:line="230" w:lineRule="auto" w:before="34" w:after="0"/>
              <w:ind w:left="0" w:right="0" w:firstLine="0"/>
              <w:jc w:val="right"/>
            </w:pPr>
            <w:r>
              <w:rPr>
                <w:rFonts w:ascii="Arial" w:hAnsi="Arial" w:eastAsia="Arial"/>
                <w:b w:val="0"/>
                <w:i w:val="0"/>
                <w:color w:val="000000"/>
                <w:sz w:val="14"/>
              </w:rPr>
              <w:t>-</w:t>
            </w:r>
          </w:p>
        </w:tc>
        <w:tc>
          <w:tcPr>
            <w:tcW w:type="dxa" w:w="1190"/>
            <w:tcBorders>
              <w:bottom w:sz="4.0" w:val="single" w:color="#000000"/>
            </w:tcBorders>
            <w:tcMar>
              <w:start w:w="0" w:type="dxa"/>
              <w:end w:w="0" w:type="dxa"/>
            </w:tcMar>
          </w:tcPr>
          <w:p>
            <w:pPr>
              <w:autoSpaceDN w:val="0"/>
              <w:autoSpaceDE w:val="0"/>
              <w:widowControl/>
              <w:spacing w:line="233" w:lineRule="auto" w:before="12" w:after="0"/>
              <w:ind w:left="0" w:right="140" w:firstLine="0"/>
              <w:jc w:val="right"/>
            </w:pPr>
            <w:r>
              <w:rPr>
                <w:rFonts w:ascii="Arial" w:hAnsi="Arial" w:eastAsia="Arial"/>
                <w:b w:val="0"/>
                <w:i w:val="0"/>
                <w:color w:val="000000"/>
                <w:sz w:val="14"/>
              </w:rPr>
              <w:t>-</w:t>
            </w:r>
          </w:p>
        </w:tc>
        <w:tc>
          <w:tcPr>
            <w:tcW w:type="dxa" w:w="1078"/>
            <w:tcBorders>
              <w:bottom w:sz="4.0" w:val="single" w:color="#00000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r>
      <w:tr>
        <w:trPr>
          <w:trHeight w:hRule="exact" w:val="356"/>
        </w:trPr>
        <w:tc>
          <w:tcPr>
            <w:tcW w:type="dxa" w:w="2774"/>
            <w:tcBorders>
              <w:top w:sz="4.0" w:val="single" w:color="#000000"/>
              <w:bottom w:sz="4.0" w:val="single" w:color="#000000"/>
            </w:tcBorders>
            <w:tcMar>
              <w:start w:w="0" w:type="dxa"/>
              <w:end w:w="0" w:type="dxa"/>
            </w:tcMar>
          </w:tcPr>
          <w:p>
            <w:pPr>
              <w:autoSpaceDN w:val="0"/>
              <w:autoSpaceDE w:val="0"/>
              <w:widowControl/>
              <w:spacing w:line="140" w:lineRule="exact" w:before="180" w:after="0"/>
              <w:ind w:left="198" w:right="0" w:firstLine="0"/>
              <w:jc w:val="left"/>
            </w:pPr>
            <w:r>
              <w:rPr>
                <w:rFonts w:ascii="黑体" w:hAnsi="黑体" w:eastAsia="黑体"/>
                <w:b w:val="0"/>
                <w:i w:val="0"/>
                <w:color w:val="000000"/>
                <w:sz w:val="14"/>
              </w:rPr>
              <w:t>小计</w:t>
            </w:r>
          </w:p>
        </w:tc>
        <w:tc>
          <w:tcPr>
            <w:tcW w:type="dxa" w:w="962"/>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0" w:firstLine="0"/>
              <w:jc w:val="right"/>
            </w:pPr>
            <w:r>
              <w:rPr>
                <w:rFonts w:ascii="Arial" w:hAnsi="Arial" w:eastAsia="Arial"/>
                <w:b w:val="0"/>
                <w:i w:val="0"/>
                <w:color w:val="000000"/>
                <w:sz w:val="14"/>
              </w:rPr>
              <w:t>-</w:t>
            </w:r>
          </w:p>
        </w:tc>
        <w:tc>
          <w:tcPr>
            <w:tcW w:type="dxa" w:w="1048"/>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0" w:firstLine="0"/>
              <w:jc w:val="right"/>
            </w:pPr>
            <w:r>
              <w:rPr>
                <w:rFonts w:ascii="Arial" w:hAnsi="Arial" w:eastAsia="Arial"/>
                <w:b w:val="0"/>
                <w:i w:val="0"/>
                <w:color w:val="000000"/>
                <w:sz w:val="14"/>
              </w:rPr>
              <w:t>-</w:t>
            </w:r>
          </w:p>
        </w:tc>
        <w:tc>
          <w:tcPr>
            <w:tcW w:type="dxa" w:w="1194"/>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146" w:firstLine="0"/>
              <w:jc w:val="right"/>
            </w:pPr>
            <w:r>
              <w:rPr>
                <w:rFonts w:ascii="Arial" w:hAnsi="Arial" w:eastAsia="Arial"/>
                <w:b w:val="0"/>
                <w:i w:val="0"/>
                <w:color w:val="000000"/>
                <w:sz w:val="14"/>
              </w:rPr>
              <w:t>25,602,265</w:t>
            </w:r>
          </w:p>
        </w:tc>
        <w:tc>
          <w:tcPr>
            <w:tcW w:type="dxa" w:w="992"/>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0" w:firstLine="0"/>
              <w:jc w:val="center"/>
            </w:pPr>
            <w:r>
              <w:rPr>
                <w:rFonts w:ascii="Arial" w:hAnsi="Arial" w:eastAsia="Arial"/>
                <w:b w:val="0"/>
                <w:i w:val="0"/>
                <w:color w:val="000000"/>
                <w:sz w:val="14"/>
              </w:rPr>
              <w:t xml:space="preserve">51,796,546 </w:t>
            </w:r>
          </w:p>
        </w:tc>
        <w:tc>
          <w:tcPr>
            <w:tcW w:type="dxa" w:w="1048"/>
            <w:tcBorders>
              <w:top w:sz="4.0" w:val="single" w:color="#000000"/>
              <w:bottom w:sz="4.0" w:val="single" w:color="#000000"/>
            </w:tcBorders>
            <w:tcMar>
              <w:start w:w="0" w:type="dxa"/>
              <w:end w:w="0" w:type="dxa"/>
            </w:tcMar>
          </w:tcPr>
          <w:p>
            <w:pPr>
              <w:autoSpaceDN w:val="0"/>
              <w:autoSpaceDE w:val="0"/>
              <w:widowControl/>
              <w:spacing w:line="233" w:lineRule="auto" w:before="186" w:after="0"/>
              <w:ind w:left="206" w:right="0" w:firstLine="0"/>
              <w:jc w:val="left"/>
            </w:pPr>
            <w:r>
              <w:rPr>
                <w:rFonts w:ascii="Arial" w:hAnsi="Arial" w:eastAsia="Arial"/>
                <w:b w:val="0"/>
                <w:i w:val="0"/>
                <w:color w:val="000000"/>
                <w:sz w:val="14"/>
              </w:rPr>
              <w:t xml:space="preserve">59,055,143 </w:t>
            </w:r>
          </w:p>
        </w:tc>
        <w:tc>
          <w:tcPr>
            <w:tcW w:type="dxa" w:w="908"/>
            <w:tcBorders>
              <w:top w:sz="4.0" w:val="single" w:color="#000000"/>
              <w:bottom w:sz="4.0" w:val="single" w:color="#000000"/>
            </w:tcBorders>
            <w:tcMar>
              <w:start w:w="0" w:type="dxa"/>
              <w:end w:w="0" w:type="dxa"/>
            </w:tcMar>
          </w:tcPr>
          <w:p>
            <w:pPr>
              <w:autoSpaceDN w:val="0"/>
              <w:autoSpaceDE w:val="0"/>
              <w:widowControl/>
              <w:spacing w:line="233" w:lineRule="auto" w:before="186" w:after="0"/>
              <w:ind w:left="206" w:right="0" w:firstLine="0"/>
              <w:jc w:val="left"/>
            </w:pPr>
            <w:r>
              <w:rPr>
                <w:rFonts w:ascii="Arial" w:hAnsi="Arial" w:eastAsia="Arial"/>
                <w:b w:val="0"/>
                <w:i w:val="0"/>
                <w:color w:val="000000"/>
                <w:sz w:val="14"/>
              </w:rPr>
              <w:t>51,796,546</w:t>
            </w:r>
          </w:p>
        </w:tc>
        <w:tc>
          <w:tcPr>
            <w:tcW w:type="dxa" w:w="1248"/>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144" w:firstLine="0"/>
              <w:jc w:val="right"/>
            </w:pPr>
            <w:r>
              <w:rPr>
                <w:rFonts w:ascii="Arial" w:hAnsi="Arial" w:eastAsia="Arial"/>
                <w:b w:val="0"/>
                <w:i w:val="0"/>
                <w:color w:val="000000"/>
                <w:sz w:val="14"/>
              </w:rPr>
              <w:t>164,788,511</w:t>
            </w:r>
          </w:p>
        </w:tc>
        <w:tc>
          <w:tcPr>
            <w:tcW w:type="dxa" w:w="1020"/>
            <w:tcBorders>
              <w:top w:sz="4.0" w:val="single" w:color="#000000"/>
              <w:bottom w:sz="4.0" w:val="single" w:color="#000000"/>
            </w:tcBorders>
            <w:tcMar>
              <w:start w:w="0" w:type="dxa"/>
              <w:end w:w="0" w:type="dxa"/>
            </w:tcMar>
          </w:tcPr>
          <w:p>
            <w:pPr>
              <w:autoSpaceDN w:val="0"/>
              <w:autoSpaceDE w:val="0"/>
              <w:widowControl/>
              <w:spacing w:line="233" w:lineRule="auto" w:before="186" w:after="0"/>
              <w:ind w:left="242" w:right="0" w:firstLine="0"/>
              <w:jc w:val="left"/>
            </w:pPr>
            <w:r>
              <w:rPr>
                <w:rFonts w:ascii="Arial" w:hAnsi="Arial" w:eastAsia="Arial"/>
                <w:b w:val="0"/>
                <w:i w:val="0"/>
                <w:color w:val="000000"/>
                <w:sz w:val="14"/>
              </w:rPr>
              <w:t>353,039,011</w:t>
            </w:r>
          </w:p>
        </w:tc>
        <w:tc>
          <w:tcPr>
            <w:tcW w:type="dxa" w:w="1190"/>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56" w:firstLine="0"/>
              <w:jc w:val="right"/>
            </w:pPr>
            <w:r>
              <w:rPr>
                <w:rFonts w:ascii="Arial" w:hAnsi="Arial" w:eastAsia="Arial"/>
                <w:b w:val="0"/>
                <w:i w:val="0"/>
                <w:color w:val="000000"/>
                <w:sz w:val="14"/>
              </w:rPr>
              <w:t xml:space="preserve">(42,955,276) </w:t>
            </w:r>
          </w:p>
        </w:tc>
        <w:tc>
          <w:tcPr>
            <w:tcW w:type="dxa" w:w="1078"/>
            <w:tcBorders>
              <w:top w:sz="4.0" w:val="single" w:color="#000000"/>
              <w:bottom w:sz="4.0" w:val="single" w:color="#000000"/>
            </w:tcBorders>
            <w:tcMar>
              <w:start w:w="0" w:type="dxa"/>
              <w:end w:w="0" w:type="dxa"/>
            </w:tcMar>
          </w:tcPr>
          <w:p>
            <w:pPr>
              <w:autoSpaceDN w:val="0"/>
              <w:autoSpaceDE w:val="0"/>
              <w:widowControl/>
              <w:spacing w:line="233" w:lineRule="auto" w:before="186" w:after="0"/>
              <w:ind w:left="0" w:right="2" w:firstLine="0"/>
              <w:jc w:val="right"/>
            </w:pPr>
            <w:r>
              <w:rPr>
                <w:rFonts w:ascii="Arial" w:hAnsi="Arial" w:eastAsia="Arial"/>
                <w:b w:val="0"/>
                <w:i w:val="0"/>
                <w:color w:val="000000"/>
                <w:sz w:val="14"/>
              </w:rPr>
              <w:t>310,083,735</w:t>
            </w:r>
          </w:p>
        </w:tc>
      </w:tr>
      <w:tr>
        <w:trPr>
          <w:trHeight w:hRule="exact" w:val="350"/>
        </w:trPr>
        <w:tc>
          <w:tcPr>
            <w:tcW w:type="dxa" w:w="2774"/>
            <w:tcBorders>
              <w:top w:sz="4.0" w:val="single" w:color="#000000"/>
              <w:bottom w:sz="4.0" w:val="single" w:color="#000000"/>
            </w:tcBorders>
            <w:tcMar>
              <w:start w:w="0" w:type="dxa"/>
              <w:end w:w="0" w:type="dxa"/>
            </w:tcMar>
          </w:tcPr>
          <w:p>
            <w:pPr>
              <w:autoSpaceDN w:val="0"/>
              <w:autoSpaceDE w:val="0"/>
              <w:widowControl/>
              <w:spacing w:line="154" w:lineRule="exact" w:before="174" w:after="0"/>
              <w:ind w:left="198"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日余额</w:t>
            </w:r>
          </w:p>
        </w:tc>
        <w:tc>
          <w:tcPr>
            <w:tcW w:type="dxa" w:w="962"/>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0" w:firstLine="0"/>
              <w:jc w:val="center"/>
            </w:pPr>
            <w:r>
              <w:rPr>
                <w:rFonts w:ascii="Arial" w:hAnsi="Arial" w:eastAsia="Arial"/>
                <w:b w:val="0"/>
                <w:i w:val="0"/>
                <w:color w:val="000000"/>
                <w:sz w:val="14"/>
              </w:rPr>
              <w:t>3,589,771,547</w:t>
            </w:r>
          </w:p>
        </w:tc>
        <w:tc>
          <w:tcPr>
            <w:tcW w:type="dxa" w:w="1048"/>
            <w:tcBorders>
              <w:top w:sz="4.0" w:val="single" w:color="#000000"/>
              <w:bottom w:sz="4.0" w:val="single" w:color="#000000"/>
            </w:tcBorders>
            <w:tcMar>
              <w:start w:w="0" w:type="dxa"/>
              <w:end w:w="0" w:type="dxa"/>
            </w:tcMar>
          </w:tcPr>
          <w:p>
            <w:pPr>
              <w:autoSpaceDN w:val="0"/>
              <w:autoSpaceDE w:val="0"/>
              <w:widowControl/>
              <w:spacing w:line="230" w:lineRule="auto" w:before="186" w:after="0"/>
              <w:ind w:left="154" w:right="0" w:firstLine="0"/>
              <w:jc w:val="left"/>
            </w:pPr>
            <w:r>
              <w:rPr>
                <w:rFonts w:ascii="Arial" w:hAnsi="Arial" w:eastAsia="Arial"/>
                <w:b w:val="0"/>
                <w:i w:val="0"/>
                <w:color w:val="000000"/>
                <w:sz w:val="14"/>
              </w:rPr>
              <w:t>9,723,419,390</w:t>
            </w:r>
          </w:p>
        </w:tc>
        <w:tc>
          <w:tcPr>
            <w:tcW w:type="dxa" w:w="1194"/>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60" w:firstLine="0"/>
              <w:jc w:val="right"/>
            </w:pPr>
            <w:r>
              <w:rPr>
                <w:rFonts w:ascii="Arial" w:hAnsi="Arial" w:eastAsia="Arial"/>
                <w:b w:val="0"/>
                <w:i w:val="0"/>
                <w:color w:val="000000"/>
                <w:sz w:val="14"/>
              </w:rPr>
              <w:t xml:space="preserve">(79,534,061) </w:t>
            </w:r>
          </w:p>
        </w:tc>
        <w:tc>
          <w:tcPr>
            <w:tcW w:type="dxa" w:w="992"/>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0" w:firstLine="0"/>
              <w:jc w:val="center"/>
            </w:pPr>
            <w:r>
              <w:rPr>
                <w:rFonts w:ascii="Arial" w:hAnsi="Arial" w:eastAsia="Arial"/>
                <w:b w:val="0"/>
                <w:i w:val="0"/>
                <w:color w:val="000000"/>
                <w:sz w:val="14"/>
              </w:rPr>
              <w:t xml:space="preserve">813,347,453 </w:t>
            </w:r>
          </w:p>
        </w:tc>
        <w:tc>
          <w:tcPr>
            <w:tcW w:type="dxa" w:w="1048"/>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0" w:firstLine="0"/>
              <w:jc w:val="center"/>
            </w:pPr>
            <w:r>
              <w:rPr>
                <w:rFonts w:ascii="Arial" w:hAnsi="Arial" w:eastAsia="Arial"/>
                <w:b w:val="0"/>
                <w:i w:val="0"/>
                <w:color w:val="000000"/>
                <w:sz w:val="14"/>
              </w:rPr>
              <w:t xml:space="preserve">922,907,949 </w:t>
            </w:r>
          </w:p>
        </w:tc>
        <w:tc>
          <w:tcPr>
            <w:tcW w:type="dxa" w:w="908"/>
            <w:tcBorders>
              <w:top w:sz="4.0" w:val="single" w:color="#000000"/>
              <w:bottom w:sz="4.0" w:val="single" w:color="#000000"/>
            </w:tcBorders>
            <w:tcMar>
              <w:start w:w="0" w:type="dxa"/>
              <w:end w:w="0" w:type="dxa"/>
            </w:tcMar>
          </w:tcPr>
          <w:p>
            <w:pPr>
              <w:autoSpaceDN w:val="0"/>
              <w:autoSpaceDE w:val="0"/>
              <w:widowControl/>
              <w:spacing w:line="230" w:lineRule="auto" w:before="186" w:after="0"/>
              <w:ind w:left="130" w:right="0" w:firstLine="0"/>
              <w:jc w:val="left"/>
            </w:pPr>
            <w:r>
              <w:rPr>
                <w:rFonts w:ascii="Arial" w:hAnsi="Arial" w:eastAsia="Arial"/>
                <w:b w:val="0"/>
                <w:i w:val="0"/>
                <w:color w:val="000000"/>
                <w:sz w:val="14"/>
              </w:rPr>
              <w:t>859,201,456</w:t>
            </w:r>
          </w:p>
        </w:tc>
        <w:tc>
          <w:tcPr>
            <w:tcW w:type="dxa" w:w="1248"/>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0" w:firstLine="0"/>
              <w:jc w:val="center"/>
            </w:pPr>
            <w:r>
              <w:rPr>
                <w:rFonts w:ascii="Arial" w:hAnsi="Arial" w:eastAsia="Arial"/>
                <w:b w:val="0"/>
                <w:i w:val="0"/>
                <w:color w:val="000000"/>
                <w:sz w:val="14"/>
              </w:rPr>
              <w:t>1,917,718,771</w:t>
            </w:r>
          </w:p>
        </w:tc>
        <w:tc>
          <w:tcPr>
            <w:tcW w:type="dxa" w:w="1020"/>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0" w:firstLine="0"/>
              <w:jc w:val="center"/>
            </w:pPr>
            <w:r>
              <w:rPr>
                <w:rFonts w:ascii="Arial" w:hAnsi="Arial" w:eastAsia="Arial"/>
                <w:b w:val="0"/>
                <w:i w:val="0"/>
                <w:color w:val="000000"/>
                <w:sz w:val="14"/>
              </w:rPr>
              <w:t>17,746,832,505</w:t>
            </w:r>
          </w:p>
        </w:tc>
        <w:tc>
          <w:tcPr>
            <w:tcW w:type="dxa" w:w="1190"/>
            <w:tcBorders>
              <w:top w:sz="4.0" w:val="single" w:color="#000000"/>
              <w:bottom w:sz="4.0" w:val="single" w:color="#000000"/>
            </w:tcBorders>
            <w:tcMar>
              <w:start w:w="0" w:type="dxa"/>
              <w:end w:w="0" w:type="dxa"/>
            </w:tcMar>
          </w:tcPr>
          <w:p>
            <w:pPr>
              <w:autoSpaceDN w:val="0"/>
              <w:autoSpaceDE w:val="0"/>
              <w:widowControl/>
              <w:spacing w:line="230" w:lineRule="auto" w:before="186" w:after="0"/>
              <w:ind w:left="272" w:right="0" w:firstLine="0"/>
              <w:jc w:val="left"/>
            </w:pPr>
            <w:r>
              <w:rPr>
                <w:rFonts w:ascii="Arial" w:hAnsi="Arial" w:eastAsia="Arial"/>
                <w:b w:val="0"/>
                <w:i w:val="0"/>
                <w:color w:val="000000"/>
                <w:sz w:val="14"/>
              </w:rPr>
              <w:t>406,291,374</w:t>
            </w:r>
          </w:p>
        </w:tc>
        <w:tc>
          <w:tcPr>
            <w:tcW w:type="dxa" w:w="1078"/>
            <w:tcBorders>
              <w:top w:sz="4.0" w:val="single" w:color="#000000"/>
              <w:bottom w:sz="4.0" w:val="single" w:color="#000000"/>
            </w:tcBorders>
            <w:tcMar>
              <w:start w:w="0" w:type="dxa"/>
              <w:end w:w="0" w:type="dxa"/>
            </w:tcMar>
          </w:tcPr>
          <w:p>
            <w:pPr>
              <w:autoSpaceDN w:val="0"/>
              <w:autoSpaceDE w:val="0"/>
              <w:widowControl/>
              <w:spacing w:line="230" w:lineRule="auto" w:before="186" w:after="0"/>
              <w:ind w:left="104" w:right="0" w:firstLine="0"/>
              <w:jc w:val="left"/>
            </w:pPr>
            <w:r>
              <w:rPr>
                <w:rFonts w:ascii="Arial" w:hAnsi="Arial" w:eastAsia="Arial"/>
                <w:b w:val="0"/>
                <w:i w:val="0"/>
                <w:color w:val="000000"/>
                <w:sz w:val="14"/>
              </w:rPr>
              <w:t>18,153,123,879</w:t>
            </w:r>
          </w:p>
        </w:tc>
      </w:tr>
      <w:tr>
        <w:trPr>
          <w:trHeight w:hRule="exact" w:val="54"/>
        </w:trPr>
        <w:tc>
          <w:tcPr>
            <w:tcW w:type="dxa" w:w="2774"/>
            <w:tcBorders>
              <w:top w:sz="4.0" w:val="single" w:color="#000000"/>
            </w:tcBorders>
            <w:tcMar>
              <w:start w:w="0" w:type="dxa"/>
              <w:end w:w="0" w:type="dxa"/>
            </w:tcMar>
          </w:tcPr>
          <w:p/>
        </w:tc>
        <w:tc>
          <w:tcPr>
            <w:tcW w:type="dxa" w:w="962"/>
            <w:tcBorders>
              <w:top w:sz="4.0" w:val="single" w:color="#000000"/>
            </w:tcBorders>
            <w:tcMar>
              <w:start w:w="0" w:type="dxa"/>
              <w:end w:w="0" w:type="dxa"/>
            </w:tcMar>
          </w:tcPr>
          <w:p/>
        </w:tc>
        <w:tc>
          <w:tcPr>
            <w:tcW w:type="dxa" w:w="1048"/>
            <w:tcBorders>
              <w:top w:sz="4.0" w:val="single" w:color="#000000"/>
            </w:tcBorders>
            <w:tcMar>
              <w:start w:w="0" w:type="dxa"/>
              <w:end w:w="0" w:type="dxa"/>
            </w:tcMar>
          </w:tcPr>
          <w:p/>
        </w:tc>
        <w:tc>
          <w:tcPr>
            <w:tcW w:type="dxa" w:w="1194"/>
            <w:tcBorders>
              <w:top w:sz="4.0" w:val="single" w:color="#000000"/>
            </w:tcBorders>
            <w:tcMar>
              <w:start w:w="0" w:type="dxa"/>
              <w:end w:w="0" w:type="dxa"/>
            </w:tcMar>
          </w:tcPr>
          <w:p/>
        </w:tc>
        <w:tc>
          <w:tcPr>
            <w:tcW w:type="dxa" w:w="992"/>
            <w:tcBorders>
              <w:top w:sz="4.0" w:val="single" w:color="#000000"/>
            </w:tcBorders>
            <w:tcMar>
              <w:start w:w="0" w:type="dxa"/>
              <w:end w:w="0" w:type="dxa"/>
            </w:tcMar>
          </w:tcPr>
          <w:p/>
        </w:tc>
        <w:tc>
          <w:tcPr>
            <w:tcW w:type="dxa" w:w="1048"/>
            <w:tcBorders>
              <w:top w:sz="4.0" w:val="single" w:color="#000000"/>
            </w:tcBorders>
            <w:tcMar>
              <w:start w:w="0" w:type="dxa"/>
              <w:end w:w="0" w:type="dxa"/>
            </w:tcMar>
          </w:tcPr>
          <w:p/>
        </w:tc>
        <w:tc>
          <w:tcPr>
            <w:tcW w:type="dxa" w:w="908"/>
            <w:tcBorders>
              <w:top w:sz="4.0" w:val="single" w:color="#000000"/>
            </w:tcBorders>
            <w:tcMar>
              <w:start w:w="0" w:type="dxa"/>
              <w:end w:w="0" w:type="dxa"/>
            </w:tcMar>
          </w:tcPr>
          <w:p/>
        </w:tc>
        <w:tc>
          <w:tcPr>
            <w:tcW w:type="dxa" w:w="1248"/>
            <w:tcBorders>
              <w:top w:sz="4.0" w:val="single" w:color="#000000"/>
            </w:tcBorders>
            <w:tcMar>
              <w:start w:w="0" w:type="dxa"/>
              <w:end w:w="0" w:type="dxa"/>
            </w:tcMar>
          </w:tcPr>
          <w:p/>
        </w:tc>
        <w:tc>
          <w:tcPr>
            <w:tcW w:type="dxa" w:w="1020"/>
            <w:tcBorders>
              <w:top w:sz="4.0" w:val="single" w:color="#000000"/>
            </w:tcBorders>
            <w:tcMar>
              <w:start w:w="0" w:type="dxa"/>
              <w:end w:w="0" w:type="dxa"/>
            </w:tcMar>
          </w:tcPr>
          <w:p/>
        </w:tc>
        <w:tc>
          <w:tcPr>
            <w:tcW w:type="dxa" w:w="1190"/>
            <w:tcBorders>
              <w:top w:sz="4.0" w:val="single" w:color="#000000"/>
            </w:tcBorders>
            <w:tcMar>
              <w:start w:w="0" w:type="dxa"/>
              <w:end w:w="0" w:type="dxa"/>
            </w:tcMar>
          </w:tcPr>
          <w:p/>
        </w:tc>
        <w:tc>
          <w:tcPr>
            <w:tcW w:type="dxa" w:w="1078"/>
            <w:tcBorders>
              <w:top w:sz="4.0" w:val="single" w:color="#000000"/>
            </w:tcBorders>
            <w:tcMar>
              <w:start w:w="0" w:type="dxa"/>
              <w:end w:w="0" w:type="dxa"/>
            </w:tcMar>
          </w:tcPr>
          <w:p/>
        </w:tc>
      </w:tr>
    </w:tbl>
    <w:p>
      <w:pPr>
        <w:autoSpaceDN w:val="0"/>
        <w:autoSpaceDE w:val="0"/>
        <w:widowControl/>
        <w:spacing w:line="246" w:lineRule="exact" w:before="958" w:after="948"/>
        <w:ind w:left="35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358.0000000000001" w:type="dxa"/>
      </w:tblPr>
      <w:tblGrid>
        <w:gridCol w:w="3490"/>
        <w:gridCol w:w="3490"/>
        <w:gridCol w:w="3490"/>
        <w:gridCol w:w="3490"/>
      </w:tblGrid>
      <w:tr>
        <w:trPr>
          <w:trHeight w:hRule="exact" w:val="300"/>
        </w:trPr>
        <w:tc>
          <w:tcPr>
            <w:tcW w:type="dxa" w:w="3306"/>
            <w:tcBorders>
              <w:top w:sz="5.599999999999909" w:val="single" w:color="#000000"/>
            </w:tcBorders>
            <w:tcMar>
              <w:start w:w="0" w:type="dxa"/>
              <w:end w:w="0" w:type="dxa"/>
            </w:tcMar>
          </w:tcPr>
          <w:p>
            <w:pPr>
              <w:autoSpaceDN w:val="0"/>
              <w:autoSpaceDE w:val="0"/>
              <w:widowControl/>
              <w:spacing w:line="222" w:lineRule="exact" w:before="38" w:after="0"/>
              <w:ind w:left="0" w:right="0" w:firstLine="0"/>
              <w:jc w:val="left"/>
            </w:pPr>
            <w:r>
              <w:rPr>
                <w:rFonts w:ascii="黑体" w:hAnsi="黑体" w:eastAsia="黑体"/>
                <w:b w:val="0"/>
                <w:i w:val="0"/>
                <w:color w:val="000000"/>
                <w:sz w:val="22"/>
              </w:rPr>
              <w:t>王怡里</w:t>
            </w:r>
          </w:p>
        </w:tc>
        <w:tc>
          <w:tcPr>
            <w:tcW w:type="dxa" w:w="3848"/>
            <w:tcBorders>
              <w:top w:sz="5.599999999999909" w:val="single" w:color="#000000"/>
            </w:tcBorders>
            <w:tcMar>
              <w:start w:w="0" w:type="dxa"/>
              <w:end w:w="0" w:type="dxa"/>
            </w:tcMar>
          </w:tcPr>
          <w:p>
            <w:pPr>
              <w:autoSpaceDN w:val="0"/>
              <w:autoSpaceDE w:val="0"/>
              <w:widowControl/>
              <w:spacing w:line="222" w:lineRule="exact" w:before="38" w:after="0"/>
              <w:ind w:left="266" w:right="0" w:firstLine="0"/>
              <w:jc w:val="left"/>
            </w:pPr>
            <w:r>
              <w:rPr>
                <w:rFonts w:ascii="黑体" w:hAnsi="黑体" w:eastAsia="黑体"/>
                <w:b w:val="0"/>
                <w:i w:val="0"/>
                <w:color w:val="000000"/>
                <w:sz w:val="22"/>
              </w:rPr>
              <w:t>汤建雄</w:t>
            </w:r>
          </w:p>
        </w:tc>
        <w:tc>
          <w:tcPr>
            <w:tcW w:type="dxa" w:w="3486"/>
            <w:tcBorders>
              <w:top w:sz="5.599999999999909" w:val="single" w:color="#000000"/>
            </w:tcBorders>
            <w:tcMar>
              <w:start w:w="0" w:type="dxa"/>
              <w:end w:w="0" w:type="dxa"/>
            </w:tcMar>
          </w:tcPr>
          <w:p>
            <w:pPr>
              <w:autoSpaceDN w:val="0"/>
              <w:autoSpaceDE w:val="0"/>
              <w:widowControl/>
              <w:spacing w:line="222" w:lineRule="exact" w:before="38" w:after="0"/>
              <w:ind w:left="308" w:right="0" w:firstLine="0"/>
              <w:jc w:val="left"/>
            </w:pPr>
            <w:r>
              <w:rPr>
                <w:rFonts w:ascii="黑体" w:hAnsi="黑体" w:eastAsia="黑体"/>
                <w:b w:val="0"/>
                <w:i w:val="0"/>
                <w:color w:val="000000"/>
                <w:sz w:val="22"/>
              </w:rPr>
              <w:t>张立德</w:t>
            </w:r>
          </w:p>
        </w:tc>
        <w:tc>
          <w:tcPr>
            <w:tcW w:type="dxa" w:w="2342"/>
            <w:tcBorders>
              <w:top w:sz="5.599999999999909" w:val="single" w:color="#000000"/>
            </w:tcBorders>
            <w:tcMar>
              <w:start w:w="0" w:type="dxa"/>
              <w:end w:w="0" w:type="dxa"/>
            </w:tcMar>
          </w:tcPr>
          <w:p>
            <w:pPr>
              <w:autoSpaceDN w:val="0"/>
              <w:autoSpaceDE w:val="0"/>
              <w:widowControl/>
              <w:spacing w:line="222" w:lineRule="exact" w:before="38" w:after="0"/>
              <w:ind w:left="0" w:right="620" w:firstLine="0"/>
              <w:jc w:val="righ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60.0" w:type="dxa"/>
      </w:tblPr>
      <w:tblGrid>
        <w:gridCol w:w="4654"/>
        <w:gridCol w:w="4654"/>
        <w:gridCol w:w="4654"/>
      </w:tblGrid>
      <w:tr>
        <w:trPr>
          <w:trHeight w:hRule="exact" w:val="312"/>
        </w:trPr>
        <w:tc>
          <w:tcPr>
            <w:tcW w:type="dxa" w:w="2520"/>
            <w:tcBorders/>
            <w:tcMar>
              <w:start w:w="0" w:type="dxa"/>
              <w:end w:w="0" w:type="dxa"/>
            </w:tcMar>
          </w:tcPr>
          <w:p>
            <w:pPr>
              <w:autoSpaceDN w:val="0"/>
              <w:autoSpaceDE w:val="0"/>
              <w:widowControl/>
              <w:spacing w:line="220" w:lineRule="exact" w:before="32" w:after="0"/>
              <w:ind w:left="198" w:right="0" w:firstLine="0"/>
              <w:jc w:val="left"/>
            </w:pPr>
            <w:r>
              <w:rPr>
                <w:rFonts w:ascii="黑体" w:hAnsi="黑体" w:eastAsia="黑体"/>
                <w:b w:val="0"/>
                <w:i w:val="0"/>
                <w:color w:val="000000"/>
                <w:sz w:val="22"/>
              </w:rPr>
              <w:t>法定代表人</w:t>
            </w:r>
          </w:p>
        </w:tc>
        <w:tc>
          <w:tcPr>
            <w:tcW w:type="dxa" w:w="4500"/>
            <w:tcBorders/>
            <w:tcMar>
              <w:start w:w="0" w:type="dxa"/>
              <w:end w:w="0" w:type="dxa"/>
            </w:tcMar>
          </w:tcPr>
          <w:p>
            <w:pPr>
              <w:autoSpaceDN w:val="0"/>
              <w:autoSpaceDE w:val="0"/>
              <w:widowControl/>
              <w:spacing w:line="220" w:lineRule="exact" w:before="32" w:after="0"/>
              <w:ind w:left="0" w:right="610" w:firstLine="0"/>
              <w:jc w:val="right"/>
            </w:pPr>
            <w:r>
              <w:rPr>
                <w:rFonts w:ascii="黑体" w:hAnsi="黑体" w:eastAsia="黑体"/>
                <w:b w:val="0"/>
                <w:i w:val="0"/>
                <w:color w:val="000000"/>
                <w:sz w:val="22"/>
              </w:rPr>
              <w:t>主管会计工作的公司负责人</w:t>
            </w:r>
          </w:p>
        </w:tc>
        <w:tc>
          <w:tcPr>
            <w:tcW w:type="dxa" w:w="4480"/>
            <w:tcBorders/>
            <w:tcMar>
              <w:start w:w="0" w:type="dxa"/>
              <w:end w:w="0" w:type="dxa"/>
            </w:tcMar>
          </w:tcPr>
          <w:p>
            <w:pPr>
              <w:autoSpaceDN w:val="0"/>
              <w:autoSpaceDE w:val="0"/>
              <w:widowControl/>
              <w:spacing w:line="220" w:lineRule="exact" w:before="32" w:after="0"/>
              <w:ind w:left="640"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732" w:after="0"/>
        <w:ind w:left="348"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212" w:after="0"/>
        <w:ind w:left="0" w:right="0" w:firstLine="0"/>
        <w:jc w:val="center"/>
      </w:pPr>
      <w:r>
        <w:rPr>
          <w:rFonts w:ascii="Arial" w:hAnsi="Arial" w:eastAsia="Arial"/>
          <w:b w:val="0"/>
          <w:i w:val="0"/>
          <w:color w:val="000000"/>
          <w:sz w:val="20"/>
        </w:rPr>
        <w:t xml:space="preserve">156 </w:t>
      </w:r>
    </w:p>
    <w:p>
      <w:pPr>
        <w:sectPr>
          <w:pgSz w:w="16841" w:h="11899"/>
          <w:pgMar w:top="732" w:right="1440" w:bottom="360" w:left="1440" w:header="720" w:footer="720" w:gutter="0"/>
          <w:cols/>
          <w:docGrid w:linePitch="360"/>
        </w:sectPr>
      </w:pPr>
    </w:p>
    <w:p>
      <w:pPr>
        <w:autoSpaceDN w:val="0"/>
        <w:autoSpaceDE w:val="0"/>
        <w:widowControl/>
        <w:spacing w:line="220" w:lineRule="exact" w:before="0" w:after="578"/>
        <w:ind w:left="0" w:right="0"/>
      </w:pPr>
    </w:p>
    <w:p>
      <w:pPr>
        <w:autoSpaceDN w:val="0"/>
        <w:autoSpaceDE w:val="0"/>
        <w:widowControl/>
        <w:spacing w:line="184" w:lineRule="exact" w:before="0" w:after="0"/>
        <w:ind w:left="288" w:right="288" w:firstLine="0"/>
        <w:jc w:val="center"/>
      </w:pPr>
      <w:r>
        <w:rPr>
          <w:rFonts w:ascii="黑体" w:hAnsi="黑体" w:eastAsia="黑体"/>
          <w:b w:val="0"/>
          <w:i w:val="0"/>
          <w:color w:val="000000"/>
          <w:sz w:val="16"/>
        </w:rPr>
        <w:t>公司股东权益变动表</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p>
      <w:pPr>
        <w:autoSpaceDN w:val="0"/>
        <w:autoSpaceDE w:val="0"/>
        <w:widowControl/>
        <w:spacing w:line="246" w:lineRule="exact" w:before="296" w:after="22"/>
        <w:ind w:left="358" w:right="0" w:firstLine="0"/>
        <w:jc w:val="left"/>
      </w:pPr>
      <w:r>
        <w:rPr>
          <w:rFonts w:ascii="Arial,Bold" w:hAnsi="Arial,Bold" w:eastAsia="Arial,Bold"/>
          <w:b/>
          <w:i w:val="0"/>
          <w:color w:val="000000"/>
          <w:sz w:val="22"/>
          <w:u w:val="single"/>
        </w:rPr>
        <w:t>2024</w:t>
      </w:r>
      <w:r>
        <w:rPr>
          <w:rFonts w:ascii="黑体" w:hAnsi="黑体" w:eastAsia="黑体"/>
          <w:b w:val="0"/>
          <w:i w:val="0"/>
          <w:color w:val="000000"/>
          <w:sz w:val="22"/>
          <w:u w:val="single"/>
        </w:rPr>
        <w:t>年度</w:t>
      </w:r>
    </w:p>
    <w:tbl>
      <w:tblPr>
        <w:tblW w:type="auto" w:w="0"/>
        <w:tblLayout w:type="fixed"/>
        <w:tblLook w:firstColumn="1" w:firstRow="1" w:lastColumn="0" w:lastRow="0" w:noHBand="0" w:noVBand="1" w:val="04A0"/>
        <w:tblInd w:w="160.0" w:type="dxa"/>
      </w:tblPr>
      <w:tblGrid>
        <w:gridCol w:w="1551"/>
        <w:gridCol w:w="1551"/>
        <w:gridCol w:w="1551"/>
        <w:gridCol w:w="1551"/>
        <w:gridCol w:w="1551"/>
        <w:gridCol w:w="1551"/>
        <w:gridCol w:w="1551"/>
        <w:gridCol w:w="1551"/>
        <w:gridCol w:w="1551"/>
      </w:tblGrid>
      <w:tr>
        <w:trPr>
          <w:trHeight w:hRule="exact" w:val="292"/>
        </w:trPr>
        <w:tc>
          <w:tcPr>
            <w:tcW w:type="dxa" w:w="3034"/>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0" w:lineRule="exact" w:before="406" w:after="0"/>
              <w:ind w:left="198" w:right="0" w:firstLine="0"/>
              <w:jc w:val="lef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日余额</w:t>
            </w:r>
          </w:p>
        </w:tc>
        <w:tc>
          <w:tcPr>
            <w:tcW w:type="dxa" w:w="1164"/>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股本</w:t>
            </w:r>
          </w:p>
        </w:tc>
        <w:tc>
          <w:tcPr>
            <w:tcW w:type="dxa" w:w="1372"/>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资本公积</w:t>
            </w:r>
          </w:p>
        </w:tc>
        <w:tc>
          <w:tcPr>
            <w:tcW w:type="dxa" w:w="1496"/>
            <w:tcBorders/>
            <w:tcMar>
              <w:start w:w="0" w:type="dxa"/>
              <w:end w:w="0" w:type="dxa"/>
            </w:tcMar>
          </w:tcPr>
          <w:p>
            <w:pPr>
              <w:autoSpaceDN w:val="0"/>
              <w:autoSpaceDE w:val="0"/>
              <w:widowControl/>
              <w:spacing w:line="162" w:lineRule="exact" w:before="22" w:after="0"/>
              <w:ind w:left="324" w:right="0" w:firstLine="0"/>
              <w:jc w:val="left"/>
            </w:pPr>
            <w:r>
              <w:rPr>
                <w:rFonts w:ascii="黑体" w:hAnsi="黑体" w:eastAsia="黑体"/>
                <w:b w:val="0"/>
                <w:i w:val="0"/>
                <w:color w:val="000000"/>
                <w:sz w:val="16"/>
              </w:rPr>
              <w:t>其他综合收益</w:t>
            </w:r>
          </w:p>
        </w:tc>
        <w:tc>
          <w:tcPr>
            <w:tcW w:type="dxa" w:w="984"/>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盈余公积</w:t>
            </w:r>
          </w:p>
        </w:tc>
        <w:tc>
          <w:tcPr>
            <w:tcW w:type="dxa" w:w="1286"/>
            <w:tcBorders/>
            <w:tcMar>
              <w:start w:w="0" w:type="dxa"/>
              <w:end w:w="0" w:type="dxa"/>
            </w:tcMar>
          </w:tcPr>
          <w:p>
            <w:pPr>
              <w:autoSpaceDN w:val="0"/>
              <w:autoSpaceDE w:val="0"/>
              <w:widowControl/>
              <w:spacing w:line="162" w:lineRule="exact" w:before="22" w:after="0"/>
              <w:ind w:left="320" w:right="0" w:firstLine="0"/>
              <w:jc w:val="left"/>
            </w:pPr>
            <w:r>
              <w:rPr>
                <w:rFonts w:ascii="黑体" w:hAnsi="黑体" w:eastAsia="黑体"/>
                <w:b w:val="0"/>
                <w:i w:val="0"/>
                <w:color w:val="000000"/>
                <w:sz w:val="16"/>
              </w:rPr>
              <w:t>一般风险准备</w:t>
            </w:r>
          </w:p>
        </w:tc>
        <w:tc>
          <w:tcPr>
            <w:tcW w:type="dxa" w:w="1286"/>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交易风险准备</w:t>
            </w:r>
          </w:p>
        </w:tc>
        <w:tc>
          <w:tcPr>
            <w:tcW w:type="dxa" w:w="1374"/>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未分配利润</w:t>
            </w:r>
          </w:p>
        </w:tc>
        <w:tc>
          <w:tcPr>
            <w:tcW w:type="dxa" w:w="1460"/>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股东权益合计</w:t>
            </w:r>
          </w:p>
        </w:tc>
      </w:tr>
      <w:tr>
        <w:trPr>
          <w:trHeight w:hRule="exact" w:val="310"/>
        </w:trPr>
        <w:tc>
          <w:tcPr>
            <w:tcW w:type="dxa" w:w="1551"/>
            <w:vMerge/>
            <w:tcBorders>
              <w:bottom w:sz="3.199999999999818" w:val="single" w:color="#000000"/>
            </w:tcBorders>
          </w:tcPr>
          <w:p/>
        </w:tc>
        <w:tc>
          <w:tcPr>
            <w:tcW w:type="dxa" w:w="1164"/>
            <w:tcBorders>
              <w:bottom w:sz="3.199999999999818" w:val="single" w:color="#000000"/>
            </w:tcBorders>
            <w:tcMar>
              <w:start w:w="0" w:type="dxa"/>
              <w:end w:w="0" w:type="dxa"/>
            </w:tcMar>
          </w:tcPr>
          <w:p>
            <w:pPr>
              <w:autoSpaceDN w:val="0"/>
              <w:autoSpaceDE w:val="0"/>
              <w:widowControl/>
              <w:spacing w:line="230" w:lineRule="auto" w:before="124" w:after="0"/>
              <w:ind w:left="140" w:right="0" w:firstLine="0"/>
              <w:jc w:val="left"/>
            </w:pPr>
            <w:r>
              <w:rPr>
                <w:rFonts w:ascii="Arial" w:hAnsi="Arial" w:eastAsia="Arial"/>
                <w:b w:val="0"/>
                <w:i w:val="0"/>
                <w:color w:val="000000"/>
                <w:sz w:val="16"/>
              </w:rPr>
              <w:t>3,589,771,547</w:t>
            </w:r>
          </w:p>
        </w:tc>
        <w:tc>
          <w:tcPr>
            <w:tcW w:type="dxa" w:w="1372"/>
            <w:tcBorders>
              <w:bottom w:sz="3.199999999999818" w:val="single" w:color="#000000"/>
            </w:tcBorders>
            <w:tcMar>
              <w:start w:w="0" w:type="dxa"/>
              <w:end w:w="0" w:type="dxa"/>
            </w:tcMar>
          </w:tcPr>
          <w:p>
            <w:pPr>
              <w:autoSpaceDN w:val="0"/>
              <w:autoSpaceDE w:val="0"/>
              <w:widowControl/>
              <w:spacing w:line="230" w:lineRule="auto" w:before="124" w:after="0"/>
              <w:ind w:left="0" w:right="0" w:firstLine="0"/>
              <w:jc w:val="right"/>
            </w:pPr>
            <w:r>
              <w:rPr>
                <w:rFonts w:ascii="Arial" w:hAnsi="Arial" w:eastAsia="Arial"/>
                <w:b w:val="0"/>
                <w:i w:val="0"/>
                <w:color w:val="000000"/>
                <w:sz w:val="16"/>
              </w:rPr>
              <w:t>9,688,853,085</w:t>
            </w:r>
          </w:p>
        </w:tc>
        <w:tc>
          <w:tcPr>
            <w:tcW w:type="dxa" w:w="1496"/>
            <w:tcBorders>
              <w:bottom w:sz="3.199999999999818" w:val="single" w:color="#000000"/>
            </w:tcBorders>
            <w:tcMar>
              <w:start w:w="0" w:type="dxa"/>
              <w:end w:w="0" w:type="dxa"/>
            </w:tcMar>
          </w:tcPr>
          <w:p>
            <w:pPr>
              <w:autoSpaceDN w:val="0"/>
              <w:autoSpaceDE w:val="0"/>
              <w:widowControl/>
              <w:spacing w:line="230" w:lineRule="auto" w:before="124" w:after="0"/>
              <w:ind w:left="346" w:right="0" w:firstLine="0"/>
              <w:jc w:val="left"/>
            </w:pPr>
            <w:r>
              <w:rPr>
                <w:rFonts w:ascii="Arial" w:hAnsi="Arial" w:eastAsia="Arial"/>
                <w:b w:val="0"/>
                <w:i w:val="0"/>
                <w:color w:val="000000"/>
                <w:sz w:val="16"/>
              </w:rPr>
              <w:t xml:space="preserve">(145,769,934) </w:t>
            </w:r>
          </w:p>
        </w:tc>
        <w:tc>
          <w:tcPr>
            <w:tcW w:type="dxa" w:w="984"/>
            <w:tcBorders>
              <w:bottom w:sz="3.199999999999818" w:val="single" w:color="#000000"/>
            </w:tcBorders>
            <w:tcMar>
              <w:start w:w="0" w:type="dxa"/>
              <w:end w:w="0" w:type="dxa"/>
            </w:tcMar>
          </w:tcPr>
          <w:p>
            <w:pPr>
              <w:autoSpaceDN w:val="0"/>
              <w:autoSpaceDE w:val="0"/>
              <w:widowControl/>
              <w:spacing w:line="230" w:lineRule="auto" w:before="124" w:after="0"/>
              <w:ind w:left="94" w:right="0" w:firstLine="0"/>
              <w:jc w:val="left"/>
            </w:pPr>
            <w:r>
              <w:rPr>
                <w:rFonts w:ascii="Arial" w:hAnsi="Arial" w:eastAsia="Arial"/>
                <w:b w:val="0"/>
                <w:i w:val="0"/>
                <w:color w:val="000000"/>
                <w:sz w:val="16"/>
              </w:rPr>
              <w:t>813,347,453</w:t>
            </w:r>
          </w:p>
        </w:tc>
        <w:tc>
          <w:tcPr>
            <w:tcW w:type="dxa" w:w="1286"/>
            <w:tcBorders>
              <w:bottom w:sz="3.199999999999818" w:val="single" w:color="#000000"/>
            </w:tcBorders>
            <w:tcMar>
              <w:start w:w="0" w:type="dxa"/>
              <w:end w:w="0" w:type="dxa"/>
            </w:tcMar>
          </w:tcPr>
          <w:p>
            <w:pPr>
              <w:autoSpaceDN w:val="0"/>
              <w:autoSpaceDE w:val="0"/>
              <w:widowControl/>
              <w:spacing w:line="230" w:lineRule="auto" w:before="124" w:after="0"/>
              <w:ind w:left="0" w:right="0" w:firstLine="0"/>
              <w:jc w:val="right"/>
            </w:pPr>
            <w:r>
              <w:rPr>
                <w:rFonts w:ascii="Arial" w:hAnsi="Arial" w:eastAsia="Arial"/>
                <w:b w:val="0"/>
                <w:i w:val="0"/>
                <w:color w:val="000000"/>
                <w:sz w:val="16"/>
              </w:rPr>
              <w:t>822,859,142</w:t>
            </w:r>
          </w:p>
        </w:tc>
        <w:tc>
          <w:tcPr>
            <w:tcW w:type="dxa" w:w="1286"/>
            <w:tcBorders>
              <w:bottom w:sz="3.199999999999818" w:val="single" w:color="#000000"/>
            </w:tcBorders>
            <w:tcMar>
              <w:start w:w="0" w:type="dxa"/>
              <w:end w:w="0" w:type="dxa"/>
            </w:tcMar>
          </w:tcPr>
          <w:p>
            <w:pPr>
              <w:autoSpaceDN w:val="0"/>
              <w:autoSpaceDE w:val="0"/>
              <w:widowControl/>
              <w:spacing w:line="230" w:lineRule="auto" w:before="124" w:after="0"/>
              <w:ind w:left="0" w:right="0" w:firstLine="0"/>
              <w:jc w:val="right"/>
            </w:pPr>
            <w:r>
              <w:rPr>
                <w:rFonts w:ascii="Arial" w:hAnsi="Arial" w:eastAsia="Arial"/>
                <w:b w:val="0"/>
                <w:i w:val="0"/>
                <w:color w:val="000000"/>
                <w:sz w:val="16"/>
              </w:rPr>
              <w:t>822,859,142</w:t>
            </w:r>
          </w:p>
        </w:tc>
        <w:tc>
          <w:tcPr>
            <w:tcW w:type="dxa" w:w="1374"/>
            <w:tcBorders>
              <w:bottom w:sz="3.199999999999818" w:val="single" w:color="#000000"/>
            </w:tcBorders>
            <w:tcMar>
              <w:start w:w="0" w:type="dxa"/>
              <w:end w:w="0" w:type="dxa"/>
            </w:tcMar>
          </w:tcPr>
          <w:p>
            <w:pPr>
              <w:autoSpaceDN w:val="0"/>
              <w:autoSpaceDE w:val="0"/>
              <w:widowControl/>
              <w:spacing w:line="230" w:lineRule="auto" w:before="124" w:after="0"/>
              <w:ind w:left="322" w:right="0" w:firstLine="0"/>
              <w:jc w:val="left"/>
            </w:pPr>
            <w:r>
              <w:rPr>
                <w:rFonts w:ascii="Arial" w:hAnsi="Arial" w:eastAsia="Arial"/>
                <w:b w:val="0"/>
                <w:i w:val="0"/>
                <w:color w:val="000000"/>
                <w:sz w:val="16"/>
              </w:rPr>
              <w:t xml:space="preserve">1,836,063,528 </w:t>
            </w:r>
          </w:p>
        </w:tc>
        <w:tc>
          <w:tcPr>
            <w:tcW w:type="dxa" w:w="1460"/>
            <w:tcBorders>
              <w:bottom w:sz="3.199999999999818" w:val="single" w:color="#000000"/>
            </w:tcBorders>
            <w:tcMar>
              <w:start w:w="0" w:type="dxa"/>
              <w:end w:w="0" w:type="dxa"/>
            </w:tcMar>
          </w:tcPr>
          <w:p>
            <w:pPr>
              <w:autoSpaceDN w:val="0"/>
              <w:autoSpaceDE w:val="0"/>
              <w:widowControl/>
              <w:spacing w:line="230" w:lineRule="auto" w:before="124" w:after="0"/>
              <w:ind w:left="320" w:right="0" w:firstLine="0"/>
              <w:jc w:val="left"/>
            </w:pPr>
            <w:r>
              <w:rPr>
                <w:rFonts w:ascii="Arial" w:hAnsi="Arial" w:eastAsia="Arial"/>
                <w:b w:val="0"/>
                <w:i w:val="0"/>
                <w:color w:val="000000"/>
                <w:sz w:val="16"/>
              </w:rPr>
              <w:t xml:space="preserve">17,427,983,963 </w:t>
            </w:r>
          </w:p>
        </w:tc>
      </w:tr>
      <w:tr>
        <w:trPr>
          <w:trHeight w:hRule="exact" w:val="52"/>
        </w:trPr>
        <w:tc>
          <w:tcPr>
            <w:tcW w:type="dxa" w:w="3034"/>
            <w:tcBorders>
              <w:top w:sz="3.199999999999818" w:val="single" w:color="#000000"/>
            </w:tcBorders>
            <w:tcMar>
              <w:start w:w="0" w:type="dxa"/>
              <w:end w:w="0" w:type="dxa"/>
            </w:tcMar>
          </w:tcPr>
          <w:p/>
        </w:tc>
        <w:tc>
          <w:tcPr>
            <w:tcW w:type="dxa" w:w="1164"/>
            <w:tcBorders>
              <w:top w:sz="3.199999999999818" w:val="single" w:color="#000000"/>
            </w:tcBorders>
            <w:tcMar>
              <w:start w:w="0" w:type="dxa"/>
              <w:end w:w="0" w:type="dxa"/>
            </w:tcMar>
          </w:tcPr>
          <w:p/>
        </w:tc>
        <w:tc>
          <w:tcPr>
            <w:tcW w:type="dxa" w:w="1372"/>
            <w:tcBorders>
              <w:top w:sz="3.199999999999818" w:val="single" w:color="#000000"/>
            </w:tcBorders>
            <w:tcMar>
              <w:start w:w="0" w:type="dxa"/>
              <w:end w:w="0" w:type="dxa"/>
            </w:tcMar>
          </w:tcPr>
          <w:p/>
        </w:tc>
        <w:tc>
          <w:tcPr>
            <w:tcW w:type="dxa" w:w="1496"/>
            <w:tcBorders>
              <w:top w:sz="3.199999999999818" w:val="single" w:color="#000000"/>
            </w:tcBorders>
            <w:tcMar>
              <w:start w:w="0" w:type="dxa"/>
              <w:end w:w="0" w:type="dxa"/>
            </w:tcMar>
          </w:tcPr>
          <w:p/>
        </w:tc>
        <w:tc>
          <w:tcPr>
            <w:tcW w:type="dxa" w:w="984"/>
            <w:tcBorders>
              <w:top w:sz="3.199999999999818" w:val="single" w:color="#000000"/>
            </w:tcBorders>
            <w:tcMar>
              <w:start w:w="0" w:type="dxa"/>
              <w:end w:w="0" w:type="dxa"/>
            </w:tcMar>
          </w:tcPr>
          <w:p/>
        </w:tc>
        <w:tc>
          <w:tcPr>
            <w:tcW w:type="dxa" w:w="1286"/>
            <w:tcBorders>
              <w:top w:sz="3.199999999999818" w:val="single" w:color="#000000"/>
            </w:tcBorders>
            <w:tcMar>
              <w:start w:w="0" w:type="dxa"/>
              <w:end w:w="0" w:type="dxa"/>
            </w:tcMar>
          </w:tcPr>
          <w:p/>
        </w:tc>
        <w:tc>
          <w:tcPr>
            <w:tcW w:type="dxa" w:w="1286"/>
            <w:tcBorders>
              <w:top w:sz="3.199999999999818" w:val="single" w:color="#000000"/>
            </w:tcBorders>
            <w:tcMar>
              <w:start w:w="0" w:type="dxa"/>
              <w:end w:w="0" w:type="dxa"/>
            </w:tcMar>
          </w:tcPr>
          <w:p/>
        </w:tc>
        <w:tc>
          <w:tcPr>
            <w:tcW w:type="dxa" w:w="1374"/>
            <w:tcBorders>
              <w:top w:sz="3.199999999999818" w:val="single" w:color="#000000"/>
            </w:tcBorders>
            <w:tcMar>
              <w:start w:w="0" w:type="dxa"/>
              <w:end w:w="0" w:type="dxa"/>
            </w:tcMar>
          </w:tcPr>
          <w:p/>
        </w:tc>
        <w:tc>
          <w:tcPr>
            <w:tcW w:type="dxa" w:w="1460"/>
            <w:tcBorders>
              <w:top w:sz="3.199999999999818" w:val="single" w:color="#000000"/>
            </w:tcBorders>
            <w:tcMar>
              <w:start w:w="0" w:type="dxa"/>
              <w:end w:w="0" w:type="dxa"/>
            </w:tcMar>
          </w:tcPr>
          <w:p/>
        </w:tc>
      </w:tr>
    </w:tbl>
    <w:p>
      <w:pPr>
        <w:autoSpaceDN w:val="0"/>
        <w:autoSpaceDE w:val="0"/>
        <w:widowControl/>
        <w:spacing w:line="162" w:lineRule="exact" w:before="160" w:after="18"/>
        <w:ind w:left="358" w:right="0" w:firstLine="0"/>
        <w:jc w:val="left"/>
      </w:pPr>
      <w:r>
        <w:rPr>
          <w:rFonts w:ascii="黑体" w:hAnsi="黑体" w:eastAsia="黑体"/>
          <w:b w:val="0"/>
          <w:i w:val="0"/>
          <w:color w:val="000000"/>
          <w:sz w:val="16"/>
        </w:rPr>
        <w:t>本年增减变动金额</w:t>
      </w:r>
    </w:p>
    <w:tbl>
      <w:tblPr>
        <w:tblW w:type="auto" w:w="0"/>
        <w:tblLayout w:type="fixed"/>
        <w:tblLook w:firstColumn="1" w:firstRow="1" w:lastColumn="0" w:lastRow="0" w:noHBand="0" w:noVBand="1" w:val="04A0"/>
        <w:tblInd w:w="240.0" w:type="dxa"/>
      </w:tblPr>
      <w:tblGrid>
        <w:gridCol w:w="1551"/>
        <w:gridCol w:w="1551"/>
        <w:gridCol w:w="1551"/>
        <w:gridCol w:w="1551"/>
        <w:gridCol w:w="1551"/>
        <w:gridCol w:w="1551"/>
        <w:gridCol w:w="1551"/>
        <w:gridCol w:w="1551"/>
        <w:gridCol w:w="1551"/>
      </w:tblGrid>
      <w:tr>
        <w:trPr>
          <w:trHeight w:hRule="exact" w:val="218"/>
        </w:trPr>
        <w:tc>
          <w:tcPr>
            <w:tcW w:type="dxa" w:w="2720"/>
            <w:tcBorders/>
            <w:tcMar>
              <w:start w:w="0" w:type="dxa"/>
              <w:end w:w="0" w:type="dxa"/>
            </w:tcMar>
          </w:tcPr>
          <w:p>
            <w:pPr>
              <w:autoSpaceDN w:val="0"/>
              <w:autoSpaceDE w:val="0"/>
              <w:widowControl/>
              <w:spacing w:line="180" w:lineRule="exact" w:before="20" w:after="0"/>
              <w:ind w:left="278" w:right="0" w:firstLine="0"/>
              <w:jc w:val="left"/>
            </w:pPr>
            <w:r>
              <w:rPr>
                <w:rFonts w:ascii="Arial" w:hAnsi="Arial" w:eastAsia="Arial"/>
                <w:b w:val="0"/>
                <w:i w:val="0"/>
                <w:color w:val="000000"/>
                <w:sz w:val="16"/>
              </w:rPr>
              <w:t>1.</w:t>
            </w:r>
            <w:r>
              <w:rPr>
                <w:rFonts w:ascii="黑体" w:hAnsi="黑体" w:eastAsia="黑体"/>
                <w:b w:val="0"/>
                <w:i w:val="0"/>
                <w:color w:val="000000"/>
                <w:sz w:val="16"/>
              </w:rPr>
              <w:t>综合收益总额</w:t>
            </w:r>
          </w:p>
        </w:tc>
        <w:tc>
          <w:tcPr>
            <w:tcW w:type="dxa" w:w="2040"/>
            <w:tcBorders/>
            <w:tcMar>
              <w:start w:w="0" w:type="dxa"/>
              <w:end w:w="0" w:type="dxa"/>
            </w:tcMar>
          </w:tcPr>
          <w:p>
            <w:pPr>
              <w:autoSpaceDN w:val="0"/>
              <w:autoSpaceDE w:val="0"/>
              <w:widowControl/>
              <w:spacing w:line="230" w:lineRule="auto" w:before="30" w:after="0"/>
              <w:ind w:left="0" w:right="642" w:firstLine="0"/>
              <w:jc w:val="right"/>
            </w:pPr>
            <w:r>
              <w:rPr>
                <w:rFonts w:ascii="Arial" w:hAnsi="Arial" w:eastAsia="Arial"/>
                <w:b w:val="0"/>
                <w:i w:val="0"/>
                <w:color w:val="000000"/>
                <w:sz w:val="16"/>
              </w:rPr>
              <w:t>-</w:t>
            </w:r>
          </w:p>
        </w:tc>
        <w:tc>
          <w:tcPr>
            <w:tcW w:type="dxa" w:w="960"/>
            <w:tcBorders/>
            <w:tcMar>
              <w:start w:w="0" w:type="dxa"/>
              <w:end w:w="0" w:type="dxa"/>
            </w:tcMar>
          </w:tcPr>
          <w:p>
            <w:pPr>
              <w:autoSpaceDN w:val="0"/>
              <w:autoSpaceDE w:val="0"/>
              <w:widowControl/>
              <w:spacing w:line="230" w:lineRule="auto" w:before="30" w:after="0"/>
              <w:ind w:left="0" w:right="228" w:firstLine="0"/>
              <w:jc w:val="right"/>
            </w:pPr>
            <w:r>
              <w:rPr>
                <w:rFonts w:ascii="Arial" w:hAnsi="Arial" w:eastAsia="Arial"/>
                <w:b w:val="0"/>
                <w:i w:val="0"/>
                <w:color w:val="000000"/>
                <w:sz w:val="16"/>
              </w:rPr>
              <w:t>-</w:t>
            </w:r>
          </w:p>
        </w:tc>
        <w:tc>
          <w:tcPr>
            <w:tcW w:type="dxa" w:w="1660"/>
            <w:tcBorders/>
            <w:tcMar>
              <w:start w:w="0" w:type="dxa"/>
              <w:end w:w="0" w:type="dxa"/>
            </w:tcMar>
          </w:tcPr>
          <w:p>
            <w:pPr>
              <w:autoSpaceDN w:val="0"/>
              <w:autoSpaceDE w:val="0"/>
              <w:widowControl/>
              <w:spacing w:line="230" w:lineRule="auto" w:before="30" w:after="0"/>
              <w:ind w:left="264" w:right="0" w:firstLine="0"/>
              <w:jc w:val="left"/>
            </w:pPr>
            <w:r>
              <w:rPr>
                <w:rFonts w:ascii="Arial" w:hAnsi="Arial" w:eastAsia="Arial"/>
                <w:b w:val="0"/>
                <w:i w:val="0"/>
                <w:color w:val="000000"/>
                <w:sz w:val="16"/>
              </w:rPr>
              <w:t xml:space="preserve">(3,584,169 ) </w:t>
            </w:r>
          </w:p>
        </w:tc>
        <w:tc>
          <w:tcPr>
            <w:tcW w:type="dxa" w:w="120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w:t>
            </w:r>
          </w:p>
        </w:tc>
        <w:tc>
          <w:tcPr>
            <w:tcW w:type="dxa" w:w="128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w:t>
            </w:r>
          </w:p>
        </w:tc>
        <w:tc>
          <w:tcPr>
            <w:tcW w:type="dxa" w:w="900"/>
            <w:tcBorders/>
            <w:tcMar>
              <w:start w:w="0" w:type="dxa"/>
              <w:end w:w="0" w:type="dxa"/>
            </w:tcMar>
          </w:tcPr>
          <w:p>
            <w:pPr>
              <w:autoSpaceDN w:val="0"/>
              <w:autoSpaceDE w:val="0"/>
              <w:widowControl/>
              <w:spacing w:line="230" w:lineRule="auto" w:before="30" w:after="0"/>
              <w:ind w:left="0" w:right="214" w:firstLine="0"/>
              <w:jc w:val="right"/>
            </w:pPr>
            <w:r>
              <w:rPr>
                <w:rFonts w:ascii="Arial" w:hAnsi="Arial" w:eastAsia="Arial"/>
                <w:b w:val="0"/>
                <w:i w:val="0"/>
                <w:color w:val="000000"/>
                <w:sz w:val="16"/>
              </w:rPr>
              <w:t>-</w:t>
            </w:r>
          </w:p>
        </w:tc>
        <w:tc>
          <w:tcPr>
            <w:tcW w:type="dxa" w:w="142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 xml:space="preserve">620,167,456 </w:t>
            </w:r>
          </w:p>
        </w:tc>
        <w:tc>
          <w:tcPr>
            <w:tcW w:type="dxa" w:w="1360"/>
            <w:tcBorders/>
            <w:tcMar>
              <w:start w:w="0" w:type="dxa"/>
              <w:end w:w="0" w:type="dxa"/>
            </w:tcMar>
          </w:tcPr>
          <w:p>
            <w:pPr>
              <w:autoSpaceDN w:val="0"/>
              <w:autoSpaceDE w:val="0"/>
              <w:widowControl/>
              <w:spacing w:line="230" w:lineRule="auto" w:before="30" w:after="0"/>
              <w:ind w:left="276" w:right="0" w:firstLine="0"/>
              <w:jc w:val="left"/>
            </w:pPr>
            <w:r>
              <w:rPr>
                <w:rFonts w:ascii="Arial" w:hAnsi="Arial" w:eastAsia="Arial"/>
                <w:b w:val="0"/>
                <w:i w:val="0"/>
                <w:color w:val="000000"/>
                <w:sz w:val="16"/>
              </w:rPr>
              <w:t xml:space="preserve">616,583,287 </w:t>
            </w:r>
          </w:p>
        </w:tc>
      </w:tr>
    </w:tbl>
    <w:p>
      <w:pPr>
        <w:autoSpaceDN w:val="0"/>
        <w:autoSpaceDE w:val="0"/>
        <w:widowControl/>
        <w:spacing w:line="180" w:lineRule="exact" w:before="10" w:after="14"/>
        <w:ind w:left="518" w:right="0" w:firstLine="0"/>
        <w:jc w:val="left"/>
      </w:pPr>
      <w:r>
        <w:rPr>
          <w:rFonts w:ascii="Arial" w:hAnsi="Arial" w:eastAsia="Arial"/>
          <w:b w:val="0"/>
          <w:i w:val="0"/>
          <w:color w:val="000000"/>
          <w:sz w:val="16"/>
        </w:rPr>
        <w:t>2.</w:t>
      </w:r>
      <w:r>
        <w:rPr>
          <w:rFonts w:ascii="黑体" w:hAnsi="黑体" w:eastAsia="黑体"/>
          <w:b w:val="0"/>
          <w:i w:val="0"/>
          <w:color w:val="000000"/>
          <w:sz w:val="16"/>
        </w:rPr>
        <w:t>利润分配</w:t>
      </w:r>
    </w:p>
    <w:tbl>
      <w:tblPr>
        <w:tblW w:type="auto" w:w="0"/>
        <w:tblLayout w:type="fixed"/>
        <w:tblLook w:firstColumn="1" w:firstRow="1" w:lastColumn="0" w:lastRow="0" w:noHBand="0" w:noVBand="1" w:val="04A0"/>
        <w:tblInd w:w="160.0" w:type="dxa"/>
      </w:tblPr>
      <w:tblGrid>
        <w:gridCol w:w="1551"/>
        <w:gridCol w:w="1551"/>
        <w:gridCol w:w="1551"/>
        <w:gridCol w:w="1551"/>
        <w:gridCol w:w="1551"/>
        <w:gridCol w:w="1551"/>
        <w:gridCol w:w="1551"/>
        <w:gridCol w:w="1551"/>
        <w:gridCol w:w="1551"/>
      </w:tblGrid>
      <w:tr>
        <w:trPr>
          <w:trHeight w:hRule="exact" w:val="196"/>
        </w:trPr>
        <w:tc>
          <w:tcPr>
            <w:tcW w:type="dxa" w:w="3034"/>
            <w:tcBorders/>
            <w:tcMar>
              <w:start w:w="0" w:type="dxa"/>
              <w:end w:w="0" w:type="dxa"/>
            </w:tcMar>
          </w:tcPr>
          <w:p>
            <w:pPr>
              <w:autoSpaceDN w:val="0"/>
              <w:autoSpaceDE w:val="0"/>
              <w:widowControl/>
              <w:spacing w:line="178" w:lineRule="exact" w:before="14"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提取盈余公积</w:t>
            </w:r>
          </w:p>
        </w:tc>
        <w:tc>
          <w:tcPr>
            <w:tcW w:type="dxa" w:w="116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3" w:lineRule="auto" w:before="16" w:after="0"/>
              <w:ind w:left="0" w:right="192" w:firstLine="0"/>
              <w:jc w:val="right"/>
            </w:pPr>
            <w:r>
              <w:rPr>
                <w:rFonts w:ascii="Arial" w:hAnsi="Arial" w:eastAsia="Arial"/>
                <w:b w:val="0"/>
                <w:i w:val="0"/>
                <w:color w:val="000000"/>
                <w:sz w:val="16"/>
              </w:rPr>
              <w:t xml:space="preserve">- </w:t>
            </w:r>
          </w:p>
        </w:tc>
        <w:tc>
          <w:tcPr>
            <w:tcW w:type="dxa" w:w="984"/>
            <w:tcBorders/>
            <w:tcMar>
              <w:start w:w="0" w:type="dxa"/>
              <w:end w:w="0" w:type="dxa"/>
            </w:tcMar>
          </w:tcPr>
          <w:p>
            <w:pPr>
              <w:autoSpaceDN w:val="0"/>
              <w:autoSpaceDE w:val="0"/>
              <w:widowControl/>
              <w:spacing w:line="233" w:lineRule="auto" w:before="16" w:after="0"/>
              <w:ind w:left="182" w:right="0" w:firstLine="0"/>
              <w:jc w:val="left"/>
            </w:pPr>
            <w:r>
              <w:rPr>
                <w:rFonts w:ascii="Arial" w:hAnsi="Arial" w:eastAsia="Arial"/>
                <w:b w:val="0"/>
                <w:i w:val="0"/>
                <w:color w:val="000000"/>
                <w:sz w:val="16"/>
              </w:rPr>
              <w:t>62,016,746</w:t>
            </w:r>
          </w:p>
        </w:tc>
        <w:tc>
          <w:tcPr>
            <w:tcW w:type="dxa" w:w="1286"/>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3" w:lineRule="auto" w:before="16" w:after="0"/>
              <w:ind w:left="0" w:right="112" w:firstLine="0"/>
              <w:jc w:val="right"/>
            </w:pPr>
            <w:r>
              <w:rPr>
                <w:rFonts w:ascii="Arial" w:hAnsi="Arial" w:eastAsia="Arial"/>
                <w:b w:val="0"/>
                <w:i w:val="0"/>
                <w:color w:val="000000"/>
                <w:sz w:val="16"/>
              </w:rPr>
              <w:t xml:space="preserve">(62,016,746) </w:t>
            </w:r>
          </w:p>
        </w:tc>
        <w:tc>
          <w:tcPr>
            <w:tcW w:type="dxa" w:w="1458"/>
            <w:tcBorders/>
            <w:tcMar>
              <w:start w:w="0" w:type="dxa"/>
              <w:end w:w="0" w:type="dxa"/>
            </w:tcMar>
          </w:tcPr>
          <w:p>
            <w:pPr>
              <w:autoSpaceDN w:val="0"/>
              <w:autoSpaceDE w:val="0"/>
              <w:widowControl/>
              <w:spacing w:line="233" w:lineRule="auto" w:before="16" w:after="0"/>
              <w:ind w:left="0" w:right="188" w:firstLine="0"/>
              <w:jc w:val="right"/>
            </w:pPr>
            <w:r>
              <w:rPr>
                <w:rFonts w:ascii="Arial" w:hAnsi="Arial" w:eastAsia="Arial"/>
                <w:b w:val="0"/>
                <w:i w:val="0"/>
                <w:color w:val="000000"/>
                <w:sz w:val="16"/>
              </w:rPr>
              <w:t xml:space="preserve">- </w:t>
            </w:r>
          </w:p>
        </w:tc>
      </w:tr>
      <w:tr>
        <w:trPr>
          <w:trHeight w:hRule="exact" w:val="200"/>
        </w:trPr>
        <w:tc>
          <w:tcPr>
            <w:tcW w:type="dxa" w:w="3034"/>
            <w:tcBorders/>
            <w:tcMar>
              <w:start w:w="0" w:type="dxa"/>
              <w:end w:w="0" w:type="dxa"/>
            </w:tcMar>
          </w:tcPr>
          <w:p>
            <w:pPr>
              <w:autoSpaceDN w:val="0"/>
              <w:autoSpaceDE w:val="0"/>
              <w:widowControl/>
              <w:spacing w:line="180" w:lineRule="exact" w:before="20"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提取一般风险准备</w:t>
            </w:r>
          </w:p>
        </w:tc>
        <w:tc>
          <w:tcPr>
            <w:tcW w:type="dxa" w:w="1164"/>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0" w:lineRule="auto" w:before="22" w:after="0"/>
              <w:ind w:left="0" w:right="192" w:firstLine="0"/>
              <w:jc w:val="right"/>
            </w:pPr>
            <w:r>
              <w:rPr>
                <w:rFonts w:ascii="Arial" w:hAnsi="Arial" w:eastAsia="Arial"/>
                <w:b w:val="0"/>
                <w:i w:val="0"/>
                <w:color w:val="000000"/>
                <w:sz w:val="16"/>
              </w:rPr>
              <w:t xml:space="preserve">- </w:t>
            </w:r>
          </w:p>
        </w:tc>
        <w:tc>
          <w:tcPr>
            <w:tcW w:type="dxa" w:w="984"/>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62,016,746</w:t>
            </w:r>
          </w:p>
        </w:tc>
        <w:tc>
          <w:tcPr>
            <w:tcW w:type="dxa" w:w="1286"/>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0" w:lineRule="auto" w:before="22" w:after="0"/>
              <w:ind w:left="0" w:right="112" w:firstLine="0"/>
              <w:jc w:val="right"/>
            </w:pPr>
            <w:r>
              <w:rPr>
                <w:rFonts w:ascii="Arial" w:hAnsi="Arial" w:eastAsia="Arial"/>
                <w:b w:val="0"/>
                <w:i w:val="0"/>
                <w:color w:val="000000"/>
                <w:sz w:val="16"/>
              </w:rPr>
              <w:t xml:space="preserve">(62,016,746) </w:t>
            </w:r>
          </w:p>
        </w:tc>
        <w:tc>
          <w:tcPr>
            <w:tcW w:type="dxa" w:w="1458"/>
            <w:tcBorders/>
            <w:tcMar>
              <w:start w:w="0" w:type="dxa"/>
              <w:end w:w="0" w:type="dxa"/>
            </w:tcMar>
          </w:tcPr>
          <w:p>
            <w:pPr>
              <w:autoSpaceDN w:val="0"/>
              <w:autoSpaceDE w:val="0"/>
              <w:widowControl/>
              <w:spacing w:line="230" w:lineRule="auto" w:before="22" w:after="0"/>
              <w:ind w:left="0" w:right="188" w:firstLine="0"/>
              <w:jc w:val="right"/>
            </w:pPr>
            <w:r>
              <w:rPr>
                <w:rFonts w:ascii="Arial" w:hAnsi="Arial" w:eastAsia="Arial"/>
                <w:b w:val="0"/>
                <w:i w:val="0"/>
                <w:color w:val="000000"/>
                <w:sz w:val="16"/>
              </w:rPr>
              <w:t xml:space="preserve">- </w:t>
            </w:r>
          </w:p>
        </w:tc>
      </w:tr>
      <w:tr>
        <w:trPr>
          <w:trHeight w:hRule="exact" w:val="236"/>
        </w:trPr>
        <w:tc>
          <w:tcPr>
            <w:tcW w:type="dxa" w:w="3034"/>
            <w:tcBorders/>
            <w:tcMar>
              <w:start w:w="0" w:type="dxa"/>
              <w:end w:w="0" w:type="dxa"/>
            </w:tcMar>
          </w:tcPr>
          <w:p>
            <w:pPr>
              <w:autoSpaceDN w:val="0"/>
              <w:autoSpaceDE w:val="0"/>
              <w:widowControl/>
              <w:spacing w:line="180" w:lineRule="exact" w:before="32"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提取交易风险准备</w:t>
            </w:r>
          </w:p>
        </w:tc>
        <w:tc>
          <w:tcPr>
            <w:tcW w:type="dxa" w:w="1164"/>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3" w:lineRule="auto" w:before="42" w:after="0"/>
              <w:ind w:left="0" w:right="192" w:firstLine="0"/>
              <w:jc w:val="right"/>
            </w:pPr>
            <w:r>
              <w:rPr>
                <w:rFonts w:ascii="Arial" w:hAnsi="Arial" w:eastAsia="Arial"/>
                <w:b w:val="0"/>
                <w:i w:val="0"/>
                <w:color w:val="000000"/>
                <w:sz w:val="16"/>
              </w:rPr>
              <w:t xml:space="preserve">- </w:t>
            </w:r>
          </w:p>
        </w:tc>
        <w:tc>
          <w:tcPr>
            <w:tcW w:type="dxa" w:w="984"/>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62,016,746</w:t>
            </w:r>
          </w:p>
        </w:tc>
        <w:tc>
          <w:tcPr>
            <w:tcW w:type="dxa" w:w="1580"/>
            <w:tcBorders/>
            <w:tcMar>
              <w:start w:w="0" w:type="dxa"/>
              <w:end w:w="0" w:type="dxa"/>
            </w:tcMar>
          </w:tcPr>
          <w:p>
            <w:pPr>
              <w:autoSpaceDN w:val="0"/>
              <w:autoSpaceDE w:val="0"/>
              <w:widowControl/>
              <w:spacing w:line="233" w:lineRule="auto" w:before="42" w:after="0"/>
              <w:ind w:left="0" w:right="112" w:firstLine="0"/>
              <w:jc w:val="right"/>
            </w:pPr>
            <w:r>
              <w:rPr>
                <w:rFonts w:ascii="Arial" w:hAnsi="Arial" w:eastAsia="Arial"/>
                <w:b w:val="0"/>
                <w:i w:val="0"/>
                <w:color w:val="000000"/>
                <w:sz w:val="16"/>
              </w:rPr>
              <w:t xml:space="preserve">(62,016,746) </w:t>
            </w:r>
          </w:p>
        </w:tc>
        <w:tc>
          <w:tcPr>
            <w:tcW w:type="dxa" w:w="1458"/>
            <w:tcBorders/>
            <w:tcMar>
              <w:start w:w="0" w:type="dxa"/>
              <w:end w:w="0" w:type="dxa"/>
            </w:tcMar>
          </w:tcPr>
          <w:p>
            <w:pPr>
              <w:autoSpaceDN w:val="0"/>
              <w:autoSpaceDE w:val="0"/>
              <w:widowControl/>
              <w:spacing w:line="233" w:lineRule="auto" w:before="42" w:after="0"/>
              <w:ind w:left="0" w:right="188" w:firstLine="0"/>
              <w:jc w:val="right"/>
            </w:pPr>
            <w:r>
              <w:rPr>
                <w:rFonts w:ascii="Arial" w:hAnsi="Arial" w:eastAsia="Arial"/>
                <w:b w:val="0"/>
                <w:i w:val="0"/>
                <w:color w:val="000000"/>
                <w:sz w:val="16"/>
              </w:rPr>
              <w:t xml:space="preserve">- </w:t>
            </w:r>
          </w:p>
        </w:tc>
      </w:tr>
      <w:tr>
        <w:trPr>
          <w:trHeight w:hRule="exact" w:val="184"/>
        </w:trPr>
        <w:tc>
          <w:tcPr>
            <w:tcW w:type="dxa" w:w="3034"/>
            <w:tcBorders/>
            <w:tcMar>
              <w:start w:w="0" w:type="dxa"/>
              <w:end w:w="0" w:type="dxa"/>
            </w:tcMar>
          </w:tcPr>
          <w:p>
            <w:pPr>
              <w:autoSpaceDN w:val="0"/>
              <w:autoSpaceDE w:val="0"/>
              <w:widowControl/>
              <w:spacing w:line="178" w:lineRule="exact" w:before="6"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对股东的分配</w:t>
            </w:r>
          </w:p>
        </w:tc>
        <w:tc>
          <w:tcPr>
            <w:tcW w:type="dxa" w:w="1164"/>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3" w:lineRule="auto" w:before="4" w:after="0"/>
              <w:ind w:left="0" w:right="192" w:firstLine="0"/>
              <w:jc w:val="right"/>
            </w:pPr>
            <w:r>
              <w:rPr>
                <w:rFonts w:ascii="Arial" w:hAnsi="Arial" w:eastAsia="Arial"/>
                <w:b w:val="0"/>
                <w:i w:val="0"/>
                <w:color w:val="000000"/>
                <w:sz w:val="16"/>
              </w:rPr>
              <w:t xml:space="preserve">- </w:t>
            </w:r>
          </w:p>
        </w:tc>
        <w:tc>
          <w:tcPr>
            <w:tcW w:type="dxa" w:w="984"/>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3" w:lineRule="auto" w:before="4" w:after="0"/>
              <w:ind w:left="0" w:right="112" w:firstLine="0"/>
              <w:jc w:val="right"/>
            </w:pPr>
            <w:r>
              <w:rPr>
                <w:rFonts w:ascii="Arial" w:hAnsi="Arial" w:eastAsia="Arial"/>
                <w:b w:val="0"/>
                <w:i w:val="0"/>
                <w:color w:val="000000"/>
                <w:sz w:val="16"/>
              </w:rPr>
              <w:t xml:space="preserve">(502,568,016) </w:t>
            </w:r>
          </w:p>
        </w:tc>
        <w:tc>
          <w:tcPr>
            <w:tcW w:type="dxa" w:w="1458"/>
            <w:tcBorders/>
            <w:tcMar>
              <w:start w:w="0" w:type="dxa"/>
              <w:end w:w="0" w:type="dxa"/>
            </w:tcMar>
          </w:tcPr>
          <w:p>
            <w:pPr>
              <w:autoSpaceDN w:val="0"/>
              <w:autoSpaceDE w:val="0"/>
              <w:widowControl/>
              <w:spacing w:line="233" w:lineRule="auto" w:before="4" w:after="0"/>
              <w:ind w:left="310" w:right="0" w:firstLine="0"/>
              <w:jc w:val="left"/>
            </w:pPr>
            <w:r>
              <w:rPr>
                <w:rFonts w:ascii="Arial" w:hAnsi="Arial" w:eastAsia="Arial"/>
                <w:b w:val="0"/>
                <w:i w:val="0"/>
                <w:color w:val="000000"/>
                <w:sz w:val="16"/>
              </w:rPr>
              <w:t xml:space="preserve">(502,568,016) </w:t>
            </w:r>
          </w:p>
        </w:tc>
      </w:tr>
      <w:tr>
        <w:trPr>
          <w:trHeight w:hRule="exact" w:val="226"/>
        </w:trPr>
        <w:tc>
          <w:tcPr>
            <w:tcW w:type="dxa" w:w="3034"/>
            <w:tcBorders>
              <w:bottom w:sz="3.2000000000000455" w:val="single" w:color="#000000"/>
            </w:tcBorders>
            <w:tcMar>
              <w:start w:w="0" w:type="dxa"/>
              <w:end w:w="0" w:type="dxa"/>
            </w:tcMar>
          </w:tcPr>
          <w:p>
            <w:pPr>
              <w:autoSpaceDN w:val="0"/>
              <w:autoSpaceDE w:val="0"/>
              <w:widowControl/>
              <w:spacing w:line="178" w:lineRule="exact" w:before="28" w:after="0"/>
              <w:ind w:left="358" w:right="0" w:firstLine="0"/>
              <w:jc w:val="left"/>
            </w:pPr>
            <w:r>
              <w:rPr>
                <w:rFonts w:ascii="Arial" w:hAnsi="Arial" w:eastAsia="Arial"/>
                <w:b w:val="0"/>
                <w:i w:val="0"/>
                <w:color w:val="000000"/>
                <w:sz w:val="16"/>
              </w:rPr>
              <w:t>3.</w:t>
            </w:r>
            <w:r>
              <w:rPr>
                <w:rFonts w:ascii="黑体" w:hAnsi="黑体" w:eastAsia="黑体"/>
                <w:b w:val="0"/>
                <w:i w:val="0"/>
                <w:color w:val="000000"/>
                <w:sz w:val="16"/>
              </w:rPr>
              <w:t>其他综合收益结转留存收益</w:t>
            </w:r>
          </w:p>
        </w:tc>
        <w:tc>
          <w:tcPr>
            <w:tcW w:type="dxa" w:w="1164"/>
            <w:tcBorders>
              <w:bottom w:sz="3.2000000000000455"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372"/>
            <w:tcBorders>
              <w:bottom w:sz="3.2000000000000455"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496"/>
            <w:tcBorders>
              <w:bottom w:sz="3.2000000000000455" w:val="single" w:color="#000000"/>
            </w:tcBorders>
            <w:tcMar>
              <w:start w:w="0" w:type="dxa"/>
              <w:end w:w="0" w:type="dxa"/>
            </w:tcMar>
          </w:tcPr>
          <w:p>
            <w:pPr>
              <w:autoSpaceDN w:val="0"/>
              <w:autoSpaceDE w:val="0"/>
              <w:widowControl/>
              <w:spacing w:line="230" w:lineRule="auto" w:before="38" w:after="0"/>
              <w:ind w:left="0" w:right="192" w:firstLine="0"/>
              <w:jc w:val="right"/>
            </w:pPr>
            <w:r>
              <w:rPr>
                <w:rFonts w:ascii="Arial" w:hAnsi="Arial" w:eastAsia="Arial"/>
                <w:b w:val="0"/>
                <w:i w:val="0"/>
                <w:color w:val="000000"/>
                <w:sz w:val="16"/>
              </w:rPr>
              <w:t xml:space="preserve">280,470 </w:t>
            </w:r>
          </w:p>
        </w:tc>
        <w:tc>
          <w:tcPr>
            <w:tcW w:type="dxa" w:w="984"/>
            <w:tcBorders>
              <w:bottom w:sz="3.2000000000000455"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286"/>
            <w:tcBorders>
              <w:bottom w:sz="3.2000000000000455"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286"/>
            <w:tcBorders>
              <w:bottom w:sz="3.2000000000000455"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580"/>
            <w:tcBorders>
              <w:bottom w:sz="3.2000000000000455" w:val="single" w:color="#000000"/>
            </w:tcBorders>
            <w:tcMar>
              <w:start w:w="0" w:type="dxa"/>
              <w:end w:w="0" w:type="dxa"/>
            </w:tcMar>
          </w:tcPr>
          <w:p>
            <w:pPr>
              <w:autoSpaceDN w:val="0"/>
              <w:autoSpaceDE w:val="0"/>
              <w:widowControl/>
              <w:spacing w:line="230" w:lineRule="auto" w:before="38" w:after="0"/>
              <w:ind w:left="0" w:right="112" w:firstLine="0"/>
              <w:jc w:val="right"/>
            </w:pPr>
            <w:r>
              <w:rPr>
                <w:rFonts w:ascii="Arial" w:hAnsi="Arial" w:eastAsia="Arial"/>
                <w:b w:val="0"/>
                <w:i w:val="0"/>
                <w:color w:val="000000"/>
                <w:sz w:val="16"/>
              </w:rPr>
              <w:t xml:space="preserve">(280,470) </w:t>
            </w:r>
          </w:p>
        </w:tc>
        <w:tc>
          <w:tcPr>
            <w:tcW w:type="dxa" w:w="1458"/>
            <w:tcBorders>
              <w:bottom w:sz="3.2000000000000455" w:val="single" w:color="#000000"/>
            </w:tcBorders>
            <w:tcMar>
              <w:start w:w="0" w:type="dxa"/>
              <w:end w:w="0" w:type="dxa"/>
            </w:tcMar>
          </w:tcPr>
          <w:p>
            <w:pPr>
              <w:autoSpaceDN w:val="0"/>
              <w:autoSpaceDE w:val="0"/>
              <w:widowControl/>
              <w:spacing w:line="230" w:lineRule="auto" w:before="38" w:after="0"/>
              <w:ind w:left="0" w:right="188" w:firstLine="0"/>
              <w:jc w:val="right"/>
            </w:pPr>
            <w:r>
              <w:rPr>
                <w:rFonts w:ascii="Arial" w:hAnsi="Arial" w:eastAsia="Arial"/>
                <w:b w:val="0"/>
                <w:i w:val="0"/>
                <w:color w:val="000000"/>
                <w:sz w:val="16"/>
              </w:rPr>
              <w:t xml:space="preserve">- </w:t>
            </w:r>
          </w:p>
        </w:tc>
      </w:tr>
      <w:tr>
        <w:trPr>
          <w:trHeight w:hRule="exact" w:val="402"/>
        </w:trPr>
        <w:tc>
          <w:tcPr>
            <w:tcW w:type="dxa" w:w="3034"/>
            <w:tcBorders>
              <w:top w:sz="3.2000000000000455" w:val="single" w:color="#000000"/>
              <w:bottom w:sz="4.0" w:val="single" w:color="#000000"/>
            </w:tcBorders>
            <w:tcMar>
              <w:start w:w="0" w:type="dxa"/>
              <w:end w:w="0" w:type="dxa"/>
            </w:tcMar>
          </w:tcPr>
          <w:p>
            <w:pPr>
              <w:autoSpaceDN w:val="0"/>
              <w:autoSpaceDE w:val="0"/>
              <w:widowControl/>
              <w:spacing w:line="160" w:lineRule="exact" w:before="206" w:after="0"/>
              <w:ind w:left="198" w:right="0" w:firstLine="0"/>
              <w:jc w:val="left"/>
            </w:pPr>
            <w:r>
              <w:rPr>
                <w:rFonts w:ascii="黑体" w:hAnsi="黑体" w:eastAsia="黑体"/>
                <w:b w:val="0"/>
                <w:i w:val="0"/>
                <w:color w:val="000000"/>
                <w:sz w:val="16"/>
              </w:rPr>
              <w:t>小计</w:t>
            </w:r>
          </w:p>
        </w:tc>
        <w:tc>
          <w:tcPr>
            <w:tcW w:type="dxa" w:w="1164"/>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w:t>
            </w:r>
          </w:p>
        </w:tc>
        <w:tc>
          <w:tcPr>
            <w:tcW w:type="dxa" w:w="1372"/>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w:t>
            </w:r>
          </w:p>
        </w:tc>
        <w:tc>
          <w:tcPr>
            <w:tcW w:type="dxa" w:w="1496"/>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112" w:firstLine="0"/>
              <w:jc w:val="right"/>
            </w:pPr>
            <w:r>
              <w:rPr>
                <w:rFonts w:ascii="Arial" w:hAnsi="Arial" w:eastAsia="Arial"/>
                <w:b w:val="0"/>
                <w:i w:val="0"/>
                <w:color w:val="000000"/>
                <w:sz w:val="16"/>
              </w:rPr>
              <w:t xml:space="preserve">(3,303,699 ) </w:t>
            </w:r>
          </w:p>
        </w:tc>
        <w:tc>
          <w:tcPr>
            <w:tcW w:type="dxa" w:w="984"/>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182" w:right="0" w:firstLine="0"/>
              <w:jc w:val="left"/>
            </w:pPr>
            <w:r>
              <w:rPr>
                <w:rFonts w:ascii="Arial" w:hAnsi="Arial" w:eastAsia="Arial"/>
                <w:b w:val="0"/>
                <w:i w:val="0"/>
                <w:color w:val="000000"/>
                <w:sz w:val="16"/>
              </w:rPr>
              <w:t>62,016,746</w:t>
            </w:r>
          </w:p>
        </w:tc>
        <w:tc>
          <w:tcPr>
            <w:tcW w:type="dxa" w:w="1286"/>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62,016,746</w:t>
            </w:r>
          </w:p>
        </w:tc>
        <w:tc>
          <w:tcPr>
            <w:tcW w:type="dxa" w:w="1286"/>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62,016,746</w:t>
            </w:r>
          </w:p>
        </w:tc>
        <w:tc>
          <w:tcPr>
            <w:tcW w:type="dxa" w:w="1580"/>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0" w:right="112" w:firstLine="0"/>
              <w:jc w:val="right"/>
            </w:pPr>
            <w:r>
              <w:rPr>
                <w:rFonts w:ascii="Arial" w:hAnsi="Arial" w:eastAsia="Arial"/>
                <w:b w:val="0"/>
                <w:i w:val="0"/>
                <w:color w:val="000000"/>
                <w:sz w:val="16"/>
              </w:rPr>
              <w:t xml:space="preserve">(68,731,268 ) </w:t>
            </w:r>
          </w:p>
        </w:tc>
        <w:tc>
          <w:tcPr>
            <w:tcW w:type="dxa" w:w="1458"/>
            <w:tcBorders>
              <w:top w:sz="3.2000000000000455" w:val="single" w:color="#000000"/>
              <w:bottom w:sz="4.0" w:val="single" w:color="#000000"/>
            </w:tcBorders>
            <w:tcMar>
              <w:start w:w="0" w:type="dxa"/>
              <w:end w:w="0" w:type="dxa"/>
            </w:tcMar>
          </w:tcPr>
          <w:p>
            <w:pPr>
              <w:autoSpaceDN w:val="0"/>
              <w:autoSpaceDE w:val="0"/>
              <w:widowControl/>
              <w:spacing w:line="233" w:lineRule="auto" w:before="208" w:after="0"/>
              <w:ind w:left="334" w:right="0" w:firstLine="0"/>
              <w:jc w:val="left"/>
            </w:pPr>
            <w:r>
              <w:rPr>
                <w:rFonts w:ascii="Arial" w:hAnsi="Arial" w:eastAsia="Arial"/>
                <w:b w:val="0"/>
                <w:i w:val="0"/>
                <w:color w:val="000000"/>
                <w:sz w:val="16"/>
              </w:rPr>
              <w:t xml:space="preserve">114,015,271 </w:t>
            </w:r>
          </w:p>
        </w:tc>
      </w:tr>
      <w:tr>
        <w:trPr>
          <w:trHeight w:hRule="exact" w:val="400"/>
        </w:trPr>
        <w:tc>
          <w:tcPr>
            <w:tcW w:type="dxa" w:w="3034"/>
            <w:tcBorders>
              <w:top w:sz="4.0" w:val="single" w:color="#000000"/>
              <w:bottom w:sz="4.0" w:val="single" w:color="#000000"/>
            </w:tcBorders>
            <w:tcMar>
              <w:start w:w="0" w:type="dxa"/>
              <w:end w:w="0" w:type="dxa"/>
            </w:tcMar>
          </w:tcPr>
          <w:p>
            <w:pPr>
              <w:autoSpaceDN w:val="0"/>
              <w:autoSpaceDE w:val="0"/>
              <w:widowControl/>
              <w:spacing w:line="178" w:lineRule="exact" w:before="200" w:after="0"/>
              <w:ind w:left="198" w:right="0" w:firstLine="0"/>
              <w:jc w:val="lef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日余额</w:t>
            </w:r>
          </w:p>
        </w:tc>
        <w:tc>
          <w:tcPr>
            <w:tcW w:type="dxa" w:w="1164"/>
            <w:tcBorders>
              <w:top w:sz="4.0" w:val="single" w:color="#000000"/>
              <w:bottom w:sz="4.0" w:val="single" w:color="#000000"/>
            </w:tcBorders>
            <w:tcMar>
              <w:start w:w="0" w:type="dxa"/>
              <w:end w:w="0" w:type="dxa"/>
            </w:tcMar>
          </w:tcPr>
          <w:p>
            <w:pPr>
              <w:autoSpaceDN w:val="0"/>
              <w:autoSpaceDE w:val="0"/>
              <w:widowControl/>
              <w:spacing w:line="230" w:lineRule="auto" w:before="210" w:after="0"/>
              <w:ind w:left="140" w:right="0" w:firstLine="0"/>
              <w:jc w:val="left"/>
            </w:pPr>
            <w:r>
              <w:rPr>
                <w:rFonts w:ascii="Arial" w:hAnsi="Arial" w:eastAsia="Arial"/>
                <w:b w:val="0"/>
                <w:i w:val="0"/>
                <w:color w:val="000000"/>
                <w:sz w:val="16"/>
              </w:rPr>
              <w:t>3,589,771,547</w:t>
            </w:r>
          </w:p>
        </w:tc>
        <w:tc>
          <w:tcPr>
            <w:tcW w:type="dxa" w:w="1372"/>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right"/>
            </w:pPr>
            <w:r>
              <w:rPr>
                <w:rFonts w:ascii="Arial" w:hAnsi="Arial" w:eastAsia="Arial"/>
                <w:b w:val="0"/>
                <w:i w:val="0"/>
                <w:color w:val="000000"/>
                <w:sz w:val="16"/>
              </w:rPr>
              <w:t>9,688,853,085</w:t>
            </w:r>
          </w:p>
        </w:tc>
        <w:tc>
          <w:tcPr>
            <w:tcW w:type="dxa" w:w="1496"/>
            <w:tcBorders>
              <w:top w:sz="4.0" w:val="single" w:color="#000000"/>
              <w:bottom w:sz="4.0" w:val="single" w:color="#000000"/>
            </w:tcBorders>
            <w:tcMar>
              <w:start w:w="0" w:type="dxa"/>
              <w:end w:w="0" w:type="dxa"/>
            </w:tcMar>
          </w:tcPr>
          <w:p>
            <w:pPr>
              <w:autoSpaceDN w:val="0"/>
              <w:autoSpaceDE w:val="0"/>
              <w:widowControl/>
              <w:spacing w:line="230" w:lineRule="auto" w:before="210" w:after="0"/>
              <w:ind w:left="346" w:right="0" w:firstLine="0"/>
              <w:jc w:val="left"/>
            </w:pPr>
            <w:r>
              <w:rPr>
                <w:rFonts w:ascii="Arial" w:hAnsi="Arial" w:eastAsia="Arial"/>
                <w:b w:val="0"/>
                <w:i w:val="0"/>
                <w:color w:val="000000"/>
                <w:sz w:val="16"/>
              </w:rPr>
              <w:t xml:space="preserve">(149,073,633) </w:t>
            </w:r>
          </w:p>
        </w:tc>
        <w:tc>
          <w:tcPr>
            <w:tcW w:type="dxa" w:w="984"/>
            <w:tcBorders>
              <w:top w:sz="4.0" w:val="single" w:color="#000000"/>
              <w:bottom w:sz="4.0" w:val="single" w:color="#000000"/>
            </w:tcBorders>
            <w:tcMar>
              <w:start w:w="0" w:type="dxa"/>
              <w:end w:w="0" w:type="dxa"/>
            </w:tcMar>
          </w:tcPr>
          <w:p>
            <w:pPr>
              <w:autoSpaceDN w:val="0"/>
              <w:autoSpaceDE w:val="0"/>
              <w:widowControl/>
              <w:spacing w:line="230" w:lineRule="auto" w:before="210" w:after="0"/>
              <w:ind w:left="94" w:right="0" w:firstLine="0"/>
              <w:jc w:val="left"/>
            </w:pPr>
            <w:r>
              <w:rPr>
                <w:rFonts w:ascii="Arial" w:hAnsi="Arial" w:eastAsia="Arial"/>
                <w:b w:val="0"/>
                <w:i w:val="0"/>
                <w:color w:val="000000"/>
                <w:sz w:val="16"/>
              </w:rPr>
              <w:t>875,364,199</w:t>
            </w:r>
          </w:p>
        </w:tc>
        <w:tc>
          <w:tcPr>
            <w:tcW w:type="dxa" w:w="1286"/>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right"/>
            </w:pPr>
            <w:r>
              <w:rPr>
                <w:rFonts w:ascii="Arial" w:hAnsi="Arial" w:eastAsia="Arial"/>
                <w:b w:val="0"/>
                <w:i w:val="0"/>
                <w:color w:val="000000"/>
                <w:sz w:val="16"/>
              </w:rPr>
              <w:t>884,875,888</w:t>
            </w:r>
          </w:p>
        </w:tc>
        <w:tc>
          <w:tcPr>
            <w:tcW w:type="dxa" w:w="1286"/>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right"/>
            </w:pPr>
            <w:r>
              <w:rPr>
                <w:rFonts w:ascii="Arial" w:hAnsi="Arial" w:eastAsia="Arial"/>
                <w:b w:val="0"/>
                <w:i w:val="0"/>
                <w:color w:val="000000"/>
                <w:sz w:val="16"/>
              </w:rPr>
              <w:t>884,875,888</w:t>
            </w:r>
          </w:p>
        </w:tc>
        <w:tc>
          <w:tcPr>
            <w:tcW w:type="dxa" w:w="1580"/>
            <w:tcBorders>
              <w:top w:sz="4.0" w:val="single" w:color="#000000"/>
              <w:bottom w:sz="4.0" w:val="single" w:color="#000000"/>
            </w:tcBorders>
            <w:tcMar>
              <w:start w:w="0" w:type="dxa"/>
              <w:end w:w="0" w:type="dxa"/>
            </w:tcMar>
          </w:tcPr>
          <w:p>
            <w:pPr>
              <w:autoSpaceDN w:val="0"/>
              <w:autoSpaceDE w:val="0"/>
              <w:widowControl/>
              <w:spacing w:line="230" w:lineRule="auto" w:before="210" w:after="0"/>
              <w:ind w:left="322" w:right="0" w:firstLine="0"/>
              <w:jc w:val="left"/>
            </w:pPr>
            <w:r>
              <w:rPr>
                <w:rFonts w:ascii="Arial" w:hAnsi="Arial" w:eastAsia="Arial"/>
                <w:b w:val="0"/>
                <w:i w:val="0"/>
                <w:color w:val="000000"/>
                <w:sz w:val="16"/>
              </w:rPr>
              <w:t xml:space="preserve">1,767,332,260 </w:t>
            </w:r>
          </w:p>
        </w:tc>
        <w:tc>
          <w:tcPr>
            <w:tcW w:type="dxa" w:w="1458"/>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center"/>
            </w:pPr>
            <w:r>
              <w:rPr>
                <w:rFonts w:ascii="Arial" w:hAnsi="Arial" w:eastAsia="Arial"/>
                <w:b w:val="0"/>
                <w:i w:val="0"/>
                <w:color w:val="000000"/>
                <w:sz w:val="16"/>
              </w:rPr>
              <w:t xml:space="preserve">17,541,999,234 </w:t>
            </w:r>
          </w:p>
        </w:tc>
      </w:tr>
      <w:tr>
        <w:trPr>
          <w:trHeight w:hRule="exact" w:val="52"/>
        </w:trPr>
        <w:tc>
          <w:tcPr>
            <w:tcW w:type="dxa" w:w="3034"/>
            <w:tcBorders>
              <w:top w:sz="4.0" w:val="single" w:color="#000000"/>
            </w:tcBorders>
            <w:tcMar>
              <w:start w:w="0" w:type="dxa"/>
              <w:end w:w="0" w:type="dxa"/>
            </w:tcMar>
          </w:tcPr>
          <w:p/>
        </w:tc>
        <w:tc>
          <w:tcPr>
            <w:tcW w:type="dxa" w:w="1164"/>
            <w:tcBorders>
              <w:top w:sz="4.0" w:val="single" w:color="#000000"/>
            </w:tcBorders>
            <w:tcMar>
              <w:start w:w="0" w:type="dxa"/>
              <w:end w:w="0" w:type="dxa"/>
            </w:tcMar>
          </w:tcPr>
          <w:p/>
        </w:tc>
        <w:tc>
          <w:tcPr>
            <w:tcW w:type="dxa" w:w="1372"/>
            <w:tcBorders>
              <w:top w:sz="4.0" w:val="single" w:color="#000000"/>
            </w:tcBorders>
            <w:tcMar>
              <w:start w:w="0" w:type="dxa"/>
              <w:end w:w="0" w:type="dxa"/>
            </w:tcMar>
          </w:tcPr>
          <w:p/>
        </w:tc>
        <w:tc>
          <w:tcPr>
            <w:tcW w:type="dxa" w:w="1496"/>
            <w:tcBorders>
              <w:top w:sz="4.0" w:val="single" w:color="#000000"/>
            </w:tcBorders>
            <w:tcMar>
              <w:start w:w="0" w:type="dxa"/>
              <w:end w:w="0" w:type="dxa"/>
            </w:tcMar>
          </w:tcPr>
          <w:p/>
        </w:tc>
        <w:tc>
          <w:tcPr>
            <w:tcW w:type="dxa" w:w="984"/>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580"/>
            <w:tcBorders>
              <w:top w:sz="4.0" w:val="single" w:color="#000000"/>
            </w:tcBorders>
            <w:tcMar>
              <w:start w:w="0" w:type="dxa"/>
              <w:end w:w="0" w:type="dxa"/>
            </w:tcMar>
          </w:tcPr>
          <w:p/>
        </w:tc>
        <w:tc>
          <w:tcPr>
            <w:tcW w:type="dxa" w:w="1458"/>
            <w:tcBorders>
              <w:top w:sz="4.0" w:val="single" w:color="#000000"/>
            </w:tcBorders>
            <w:tcMar>
              <w:start w:w="0" w:type="dxa"/>
              <w:end w:w="0" w:type="dxa"/>
            </w:tcMar>
          </w:tcPr>
          <w:p/>
        </w:tc>
      </w:tr>
    </w:tbl>
    <w:p>
      <w:pPr>
        <w:autoSpaceDN w:val="0"/>
        <w:autoSpaceDE w:val="0"/>
        <w:widowControl/>
        <w:spacing w:line="268" w:lineRule="exact" w:before="1032" w:after="984"/>
        <w:ind w:left="358" w:right="0" w:firstLine="0"/>
        <w:jc w:val="left"/>
      </w:pPr>
      <w:r>
        <w:rPr>
          <w:rFonts w:ascii="黑体" w:hAnsi="黑体" w:eastAsia="黑体"/>
          <w:b w:val="0"/>
          <w:i w:val="0"/>
          <w:color w:val="000000"/>
          <w:sz w:val="24"/>
        </w:rPr>
        <w:t>此财务报表已于</w:t>
      </w:r>
      <w:r>
        <w:rPr>
          <w:rFonts w:ascii="Arial" w:hAnsi="Arial" w:eastAsia="Arial"/>
          <w:b w:val="0"/>
          <w:i w:val="0"/>
          <w:color w:val="000000"/>
          <w:sz w:val="24"/>
        </w:rPr>
        <w:t>2025</w:t>
      </w:r>
      <w:r>
        <w:rPr>
          <w:rFonts w:ascii="黑体" w:hAnsi="黑体" w:eastAsia="黑体"/>
          <w:b w:val="0"/>
          <w:i w:val="0"/>
          <w:color w:val="000000"/>
          <w:sz w:val="24"/>
        </w:rPr>
        <w:t>年</w:t>
      </w:r>
      <w:r>
        <w:rPr>
          <w:rFonts w:ascii="Arial" w:hAnsi="Arial" w:eastAsia="Arial"/>
          <w:b w:val="0"/>
          <w:i w:val="0"/>
          <w:color w:val="000000"/>
          <w:sz w:val="24"/>
        </w:rPr>
        <w:t>4</w:t>
      </w:r>
      <w:r>
        <w:rPr>
          <w:rFonts w:ascii="黑体" w:hAnsi="黑体" w:eastAsia="黑体"/>
          <w:b w:val="0"/>
          <w:i w:val="0"/>
          <w:color w:val="000000"/>
          <w:sz w:val="24"/>
        </w:rPr>
        <w:t>月</w:t>
      </w:r>
      <w:r>
        <w:rPr>
          <w:rFonts w:ascii="Arial" w:hAnsi="Arial" w:eastAsia="Arial"/>
          <w:b w:val="0"/>
          <w:i w:val="0"/>
          <w:color w:val="000000"/>
          <w:sz w:val="24"/>
        </w:rPr>
        <w:t>24</w:t>
      </w:r>
      <w:r>
        <w:rPr>
          <w:rFonts w:ascii="黑体" w:hAnsi="黑体" w:eastAsia="黑体"/>
          <w:b w:val="0"/>
          <w:i w:val="0"/>
          <w:color w:val="000000"/>
          <w:sz w:val="24"/>
        </w:rPr>
        <w:t>日获董事会批准。</w:t>
      </w:r>
    </w:p>
    <w:tbl>
      <w:tblPr>
        <w:tblW w:type="auto" w:w="0"/>
        <w:tblLayout w:type="fixed"/>
        <w:tblLook w:firstColumn="1" w:firstRow="1" w:lastColumn="0" w:lastRow="0" w:noHBand="0" w:noVBand="1" w:val="04A0"/>
        <w:tblInd w:w="358.0000000000001" w:type="dxa"/>
      </w:tblPr>
      <w:tblGrid>
        <w:gridCol w:w="3490"/>
        <w:gridCol w:w="3490"/>
        <w:gridCol w:w="3490"/>
        <w:gridCol w:w="3490"/>
      </w:tblGrid>
      <w:tr>
        <w:trPr>
          <w:trHeight w:hRule="exact" w:val="300"/>
        </w:trPr>
        <w:tc>
          <w:tcPr>
            <w:tcW w:type="dxa" w:w="3306"/>
            <w:tcBorders>
              <w:top w:sz="5.599999999999909" w:val="single" w:color="#000000"/>
            </w:tcBorders>
            <w:tcMar>
              <w:start w:w="0" w:type="dxa"/>
              <w:end w:w="0" w:type="dxa"/>
            </w:tcMar>
          </w:tcPr>
          <w:p>
            <w:pPr>
              <w:autoSpaceDN w:val="0"/>
              <w:autoSpaceDE w:val="0"/>
              <w:widowControl/>
              <w:spacing w:line="222" w:lineRule="exact" w:before="38" w:after="0"/>
              <w:ind w:left="0" w:right="0" w:firstLine="0"/>
              <w:jc w:val="left"/>
            </w:pPr>
            <w:r>
              <w:rPr>
                <w:rFonts w:ascii="黑体" w:hAnsi="黑体" w:eastAsia="黑体"/>
                <w:b w:val="0"/>
                <w:i w:val="0"/>
                <w:color w:val="000000"/>
                <w:sz w:val="22"/>
              </w:rPr>
              <w:t>王怡里</w:t>
            </w:r>
          </w:p>
        </w:tc>
        <w:tc>
          <w:tcPr>
            <w:tcW w:type="dxa" w:w="3848"/>
            <w:tcBorders>
              <w:top w:sz="5.599999999999909" w:val="single" w:color="#000000"/>
            </w:tcBorders>
            <w:tcMar>
              <w:start w:w="0" w:type="dxa"/>
              <w:end w:w="0" w:type="dxa"/>
            </w:tcMar>
          </w:tcPr>
          <w:p>
            <w:pPr>
              <w:autoSpaceDN w:val="0"/>
              <w:autoSpaceDE w:val="0"/>
              <w:widowControl/>
              <w:spacing w:line="222" w:lineRule="exact" w:before="38" w:after="0"/>
              <w:ind w:left="266" w:right="0" w:firstLine="0"/>
              <w:jc w:val="left"/>
            </w:pPr>
            <w:r>
              <w:rPr>
                <w:rFonts w:ascii="黑体" w:hAnsi="黑体" w:eastAsia="黑体"/>
                <w:b w:val="0"/>
                <w:i w:val="0"/>
                <w:color w:val="000000"/>
                <w:sz w:val="22"/>
              </w:rPr>
              <w:t>汤建雄</w:t>
            </w:r>
          </w:p>
        </w:tc>
        <w:tc>
          <w:tcPr>
            <w:tcW w:type="dxa" w:w="3486"/>
            <w:tcBorders>
              <w:top w:sz="5.599999999999909" w:val="single" w:color="#000000"/>
            </w:tcBorders>
            <w:tcMar>
              <w:start w:w="0" w:type="dxa"/>
              <w:end w:w="0" w:type="dxa"/>
            </w:tcMar>
          </w:tcPr>
          <w:p>
            <w:pPr>
              <w:autoSpaceDN w:val="0"/>
              <w:autoSpaceDE w:val="0"/>
              <w:widowControl/>
              <w:spacing w:line="222" w:lineRule="exact" w:before="38" w:after="0"/>
              <w:ind w:left="308" w:right="0" w:firstLine="0"/>
              <w:jc w:val="left"/>
            </w:pPr>
            <w:r>
              <w:rPr>
                <w:rFonts w:ascii="黑体" w:hAnsi="黑体" w:eastAsia="黑体"/>
                <w:b w:val="0"/>
                <w:i w:val="0"/>
                <w:color w:val="000000"/>
                <w:sz w:val="22"/>
              </w:rPr>
              <w:t>张立德</w:t>
            </w:r>
          </w:p>
        </w:tc>
        <w:tc>
          <w:tcPr>
            <w:tcW w:type="dxa" w:w="2342"/>
            <w:tcBorders>
              <w:top w:sz="5.599999999999909" w:val="single" w:color="#000000"/>
            </w:tcBorders>
            <w:tcMar>
              <w:start w:w="0" w:type="dxa"/>
              <w:end w:w="0" w:type="dxa"/>
            </w:tcMar>
          </w:tcPr>
          <w:p>
            <w:pPr>
              <w:autoSpaceDN w:val="0"/>
              <w:autoSpaceDE w:val="0"/>
              <w:widowControl/>
              <w:spacing w:line="222" w:lineRule="exact" w:before="38" w:after="0"/>
              <w:ind w:left="0" w:right="620" w:firstLine="0"/>
              <w:jc w:val="righ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60.0" w:type="dxa"/>
      </w:tblPr>
      <w:tblGrid>
        <w:gridCol w:w="4654"/>
        <w:gridCol w:w="4654"/>
        <w:gridCol w:w="4654"/>
      </w:tblGrid>
      <w:tr>
        <w:trPr>
          <w:trHeight w:hRule="exact" w:val="314"/>
        </w:trPr>
        <w:tc>
          <w:tcPr>
            <w:tcW w:type="dxa" w:w="2520"/>
            <w:tcBorders/>
            <w:tcMar>
              <w:start w:w="0" w:type="dxa"/>
              <w:end w:w="0" w:type="dxa"/>
            </w:tcMar>
          </w:tcPr>
          <w:p>
            <w:pPr>
              <w:autoSpaceDN w:val="0"/>
              <w:autoSpaceDE w:val="0"/>
              <w:widowControl/>
              <w:spacing w:line="222" w:lineRule="exact" w:before="32" w:after="0"/>
              <w:ind w:left="198" w:right="0" w:firstLine="0"/>
              <w:jc w:val="left"/>
            </w:pPr>
            <w:r>
              <w:rPr>
                <w:rFonts w:ascii="黑体" w:hAnsi="黑体" w:eastAsia="黑体"/>
                <w:b w:val="0"/>
                <w:i w:val="0"/>
                <w:color w:val="000000"/>
                <w:sz w:val="22"/>
              </w:rPr>
              <w:t>法定代表人</w:t>
            </w:r>
          </w:p>
        </w:tc>
        <w:tc>
          <w:tcPr>
            <w:tcW w:type="dxa" w:w="4500"/>
            <w:tcBorders/>
            <w:tcMar>
              <w:start w:w="0" w:type="dxa"/>
              <w:end w:w="0" w:type="dxa"/>
            </w:tcMar>
          </w:tcPr>
          <w:p>
            <w:pPr>
              <w:autoSpaceDN w:val="0"/>
              <w:autoSpaceDE w:val="0"/>
              <w:widowControl/>
              <w:spacing w:line="222" w:lineRule="exact" w:before="32" w:after="0"/>
              <w:ind w:left="0" w:right="610" w:firstLine="0"/>
              <w:jc w:val="right"/>
            </w:pPr>
            <w:r>
              <w:rPr>
                <w:rFonts w:ascii="黑体" w:hAnsi="黑体" w:eastAsia="黑体"/>
                <w:b w:val="0"/>
                <w:i w:val="0"/>
                <w:color w:val="000000"/>
                <w:sz w:val="22"/>
              </w:rPr>
              <w:t>主管会计工作的公司负责人</w:t>
            </w:r>
          </w:p>
        </w:tc>
        <w:tc>
          <w:tcPr>
            <w:tcW w:type="dxa" w:w="4480"/>
            <w:tcBorders/>
            <w:tcMar>
              <w:start w:w="0" w:type="dxa"/>
              <w:end w:w="0" w:type="dxa"/>
            </w:tcMar>
          </w:tcPr>
          <w:p>
            <w:pPr>
              <w:autoSpaceDN w:val="0"/>
              <w:autoSpaceDE w:val="0"/>
              <w:widowControl/>
              <w:spacing w:line="222" w:lineRule="exact" w:before="32" w:after="0"/>
              <w:ind w:left="640" w:right="0" w:firstLine="0"/>
              <w:jc w:val="left"/>
            </w:pPr>
            <w:r>
              <w:rPr>
                <w:rFonts w:ascii="黑体" w:hAnsi="黑体" w:eastAsia="黑体"/>
                <w:b w:val="0"/>
                <w:i w:val="0"/>
                <w:color w:val="000000"/>
                <w:sz w:val="22"/>
              </w:rPr>
              <w:t>会计机构负责人</w:t>
            </w:r>
          </w:p>
        </w:tc>
      </w:tr>
    </w:tbl>
    <w:p>
      <w:pPr>
        <w:autoSpaceDN w:val="0"/>
        <w:autoSpaceDE w:val="0"/>
        <w:widowControl/>
        <w:spacing w:line="198" w:lineRule="exact" w:before="786" w:after="0"/>
        <w:ind w:left="348"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228" w:after="0"/>
        <w:ind w:left="0" w:right="0" w:firstLine="0"/>
        <w:jc w:val="center"/>
      </w:pPr>
      <w:r>
        <w:rPr>
          <w:rFonts w:ascii="Arial" w:hAnsi="Arial" w:eastAsia="Arial"/>
          <w:b w:val="0"/>
          <w:i w:val="0"/>
          <w:color w:val="000000"/>
          <w:sz w:val="20"/>
        </w:rPr>
        <w:t xml:space="preserve">157 </w:t>
      </w:r>
    </w:p>
    <w:p>
      <w:pPr>
        <w:sectPr>
          <w:pgSz w:w="16841" w:h="11899"/>
          <w:pgMar w:top="798" w:right="1440" w:bottom="360" w:left="1440"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82" w:lineRule="exact" w:before="0" w:after="0"/>
        <w:ind w:left="288" w:right="288" w:firstLine="0"/>
        <w:jc w:val="center"/>
      </w:pPr>
      <w:r>
        <w:rPr>
          <w:rFonts w:ascii="黑体" w:hAnsi="黑体" w:eastAsia="黑体"/>
          <w:b w:val="0"/>
          <w:i w:val="0"/>
          <w:color w:val="000000"/>
          <w:sz w:val="16"/>
        </w:rPr>
        <w:t>公司股东权益变动表（续）</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p>
      <w:pPr>
        <w:autoSpaceDN w:val="0"/>
        <w:autoSpaceDE w:val="0"/>
        <w:widowControl/>
        <w:spacing w:line="246" w:lineRule="exact" w:before="320" w:after="22"/>
        <w:ind w:left="358" w:right="0" w:firstLine="0"/>
        <w:jc w:val="left"/>
      </w:pPr>
      <w:r>
        <w:rPr>
          <w:rFonts w:ascii="Arial,Bold" w:hAnsi="Arial,Bold" w:eastAsia="Arial,Bold"/>
          <w:b/>
          <w:i w:val="0"/>
          <w:color w:val="000000"/>
          <w:sz w:val="22"/>
          <w:u w:val="single"/>
        </w:rPr>
        <w:t>2023</w:t>
      </w:r>
      <w:r>
        <w:rPr>
          <w:rFonts w:ascii="黑体" w:hAnsi="黑体" w:eastAsia="黑体"/>
          <w:b w:val="0"/>
          <w:i w:val="0"/>
          <w:color w:val="000000"/>
          <w:sz w:val="22"/>
          <w:u w:val="single"/>
        </w:rPr>
        <w:t>年度</w:t>
      </w:r>
    </w:p>
    <w:tbl>
      <w:tblPr>
        <w:tblW w:type="auto" w:w="0"/>
        <w:tblLayout w:type="fixed"/>
        <w:tblLook w:firstColumn="1" w:firstRow="1" w:lastColumn="0" w:lastRow="0" w:noHBand="0" w:noVBand="1" w:val="04A0"/>
        <w:tblInd w:w="160.0" w:type="dxa"/>
      </w:tblPr>
      <w:tblGrid>
        <w:gridCol w:w="1551"/>
        <w:gridCol w:w="1551"/>
        <w:gridCol w:w="1551"/>
        <w:gridCol w:w="1551"/>
        <w:gridCol w:w="1551"/>
        <w:gridCol w:w="1551"/>
        <w:gridCol w:w="1551"/>
        <w:gridCol w:w="1551"/>
        <w:gridCol w:w="1551"/>
      </w:tblGrid>
      <w:tr>
        <w:trPr>
          <w:trHeight w:hRule="exact" w:val="188"/>
        </w:trPr>
        <w:tc>
          <w:tcPr>
            <w:tcW w:type="dxa" w:w="3034"/>
            <w:tcBorders>
              <w:bottom w:sz="3.2000000000000455" w:val="single" w:color="#000000"/>
            </w:tcBorders>
            <w:tcMar>
              <w:start w:w="0" w:type="dxa"/>
              <w:end w:w="0" w:type="dxa"/>
            </w:tcMar>
          </w:tcPr>
          <w:p/>
        </w:tc>
        <w:tc>
          <w:tcPr>
            <w:tcW w:type="dxa" w:w="1164"/>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right"/>
            </w:pPr>
            <w:r>
              <w:rPr>
                <w:rFonts w:ascii="黑体" w:hAnsi="黑体" w:eastAsia="黑体"/>
                <w:b w:val="0"/>
                <w:i w:val="0"/>
                <w:color w:val="000000"/>
                <w:sz w:val="16"/>
              </w:rPr>
              <w:t>股本</w:t>
            </w:r>
          </w:p>
        </w:tc>
        <w:tc>
          <w:tcPr>
            <w:tcW w:type="dxa" w:w="1696"/>
            <w:tcBorders>
              <w:bottom w:sz="3.2000000000000455" w:val="single" w:color="#000000"/>
            </w:tcBorders>
            <w:tcMar>
              <w:start w:w="0" w:type="dxa"/>
              <w:end w:w="0" w:type="dxa"/>
            </w:tcMar>
          </w:tcPr>
          <w:p>
            <w:pPr>
              <w:autoSpaceDN w:val="0"/>
              <w:autoSpaceDE w:val="0"/>
              <w:widowControl/>
              <w:spacing w:line="160" w:lineRule="exact" w:before="22" w:after="0"/>
              <w:ind w:left="0" w:right="322" w:firstLine="0"/>
              <w:jc w:val="right"/>
            </w:pPr>
            <w:r>
              <w:rPr>
                <w:rFonts w:ascii="黑体" w:hAnsi="黑体" w:eastAsia="黑体"/>
                <w:b w:val="0"/>
                <w:i w:val="0"/>
                <w:color w:val="000000"/>
                <w:sz w:val="16"/>
              </w:rPr>
              <w:t>资本公积</w:t>
            </w:r>
          </w:p>
        </w:tc>
        <w:tc>
          <w:tcPr>
            <w:tcW w:type="dxa" w:w="1172"/>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left"/>
            </w:pPr>
            <w:r>
              <w:rPr>
                <w:rFonts w:ascii="黑体" w:hAnsi="黑体" w:eastAsia="黑体"/>
                <w:b w:val="0"/>
                <w:i w:val="0"/>
                <w:color w:val="000000"/>
                <w:sz w:val="16"/>
              </w:rPr>
              <w:t>其他综合收益</w:t>
            </w:r>
          </w:p>
        </w:tc>
        <w:tc>
          <w:tcPr>
            <w:tcW w:type="dxa" w:w="984"/>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right"/>
            </w:pPr>
            <w:r>
              <w:rPr>
                <w:rFonts w:ascii="黑体" w:hAnsi="黑体" w:eastAsia="黑体"/>
                <w:b w:val="0"/>
                <w:i w:val="0"/>
                <w:color w:val="000000"/>
                <w:sz w:val="16"/>
              </w:rPr>
              <w:t>盈余公积</w:t>
            </w:r>
          </w:p>
        </w:tc>
        <w:tc>
          <w:tcPr>
            <w:tcW w:type="dxa" w:w="1286"/>
            <w:tcBorders>
              <w:bottom w:sz="3.2000000000000455" w:val="single" w:color="#000000"/>
            </w:tcBorders>
            <w:tcMar>
              <w:start w:w="0" w:type="dxa"/>
              <w:end w:w="0" w:type="dxa"/>
            </w:tcMar>
          </w:tcPr>
          <w:p>
            <w:pPr>
              <w:autoSpaceDN w:val="0"/>
              <w:autoSpaceDE w:val="0"/>
              <w:widowControl/>
              <w:spacing w:line="160" w:lineRule="exact" w:before="22" w:after="0"/>
              <w:ind w:left="320" w:right="0" w:firstLine="0"/>
              <w:jc w:val="left"/>
            </w:pPr>
            <w:r>
              <w:rPr>
                <w:rFonts w:ascii="黑体" w:hAnsi="黑体" w:eastAsia="黑体"/>
                <w:b w:val="0"/>
                <w:i w:val="0"/>
                <w:color w:val="000000"/>
                <w:sz w:val="16"/>
              </w:rPr>
              <w:t>一般风险准备</w:t>
            </w:r>
          </w:p>
        </w:tc>
        <w:tc>
          <w:tcPr>
            <w:tcW w:type="dxa" w:w="1286"/>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right"/>
            </w:pPr>
            <w:r>
              <w:rPr>
                <w:rFonts w:ascii="黑体" w:hAnsi="黑体" w:eastAsia="黑体"/>
                <w:b w:val="0"/>
                <w:i w:val="0"/>
                <w:color w:val="000000"/>
                <w:sz w:val="16"/>
              </w:rPr>
              <w:t>交易风险准备</w:t>
            </w:r>
          </w:p>
        </w:tc>
        <w:tc>
          <w:tcPr>
            <w:tcW w:type="dxa" w:w="1374"/>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right"/>
            </w:pPr>
            <w:r>
              <w:rPr>
                <w:rFonts w:ascii="黑体" w:hAnsi="黑体" w:eastAsia="黑体"/>
                <w:b w:val="0"/>
                <w:i w:val="0"/>
                <w:color w:val="000000"/>
                <w:sz w:val="16"/>
              </w:rPr>
              <w:t>未分配利润</w:t>
            </w:r>
          </w:p>
        </w:tc>
        <w:tc>
          <w:tcPr>
            <w:tcW w:type="dxa" w:w="1460"/>
            <w:tcBorders>
              <w:bottom w:sz="3.2000000000000455" w:val="single" w:color="#000000"/>
            </w:tcBorders>
            <w:tcMar>
              <w:start w:w="0" w:type="dxa"/>
              <w:end w:w="0" w:type="dxa"/>
            </w:tcMar>
          </w:tcPr>
          <w:p>
            <w:pPr>
              <w:autoSpaceDN w:val="0"/>
              <w:autoSpaceDE w:val="0"/>
              <w:widowControl/>
              <w:spacing w:line="160" w:lineRule="exact" w:before="22" w:after="0"/>
              <w:ind w:left="0" w:right="0" w:firstLine="0"/>
              <w:jc w:val="right"/>
            </w:pPr>
            <w:r>
              <w:rPr>
                <w:rFonts w:ascii="黑体" w:hAnsi="黑体" w:eastAsia="黑体"/>
                <w:b w:val="0"/>
                <w:i w:val="0"/>
                <w:color w:val="000000"/>
                <w:sz w:val="16"/>
              </w:rPr>
              <w:t>股东权益合计</w:t>
            </w:r>
          </w:p>
        </w:tc>
      </w:tr>
      <w:tr>
        <w:trPr>
          <w:trHeight w:hRule="exact" w:val="412"/>
        </w:trPr>
        <w:tc>
          <w:tcPr>
            <w:tcW w:type="dxa" w:w="3034"/>
            <w:tcBorders>
              <w:top w:sz="3.2000000000000455" w:val="single" w:color="#000000"/>
              <w:bottom w:sz="4.0" w:val="single" w:color="#000000"/>
            </w:tcBorders>
            <w:tcMar>
              <w:start w:w="0" w:type="dxa"/>
              <w:end w:w="0" w:type="dxa"/>
            </w:tcMar>
          </w:tcPr>
          <w:p>
            <w:pPr>
              <w:autoSpaceDN w:val="0"/>
              <w:autoSpaceDE w:val="0"/>
              <w:widowControl/>
              <w:spacing w:line="178" w:lineRule="exact" w:before="214" w:after="0"/>
              <w:ind w:left="198" w:right="0" w:firstLine="0"/>
              <w:jc w:val="left"/>
            </w:pPr>
            <w:r>
              <w:rPr>
                <w:rFonts w:ascii="Arial" w:hAnsi="Arial" w:eastAsia="Arial"/>
                <w:b w:val="0"/>
                <w:i w:val="0"/>
                <w:color w:val="000000"/>
                <w:sz w:val="16"/>
              </w:rPr>
              <w:t>2022</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日余额</w:t>
            </w:r>
          </w:p>
        </w:tc>
        <w:tc>
          <w:tcPr>
            <w:tcW w:type="dxa" w:w="1164"/>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140" w:right="0" w:firstLine="0"/>
              <w:jc w:val="left"/>
            </w:pPr>
            <w:r>
              <w:rPr>
                <w:rFonts w:ascii="Arial" w:hAnsi="Arial" w:eastAsia="Arial"/>
                <w:b w:val="0"/>
                <w:i w:val="0"/>
                <w:color w:val="000000"/>
                <w:sz w:val="16"/>
              </w:rPr>
              <w:t>3,589,771,547</w:t>
            </w:r>
          </w:p>
        </w:tc>
        <w:tc>
          <w:tcPr>
            <w:tcW w:type="dxa" w:w="1696"/>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0" w:right="0" w:firstLine="0"/>
              <w:jc w:val="center"/>
            </w:pPr>
            <w:r>
              <w:rPr>
                <w:rFonts w:ascii="Arial" w:hAnsi="Arial" w:eastAsia="Arial"/>
                <w:b w:val="0"/>
                <w:i w:val="0"/>
                <w:color w:val="000000"/>
                <w:sz w:val="16"/>
              </w:rPr>
              <w:t>9,688,853,085</w:t>
            </w:r>
          </w:p>
        </w:tc>
        <w:tc>
          <w:tcPr>
            <w:tcW w:type="dxa" w:w="1172"/>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22" w:right="0" w:firstLine="0"/>
              <w:jc w:val="left"/>
            </w:pPr>
            <w:r>
              <w:rPr>
                <w:rFonts w:ascii="Arial" w:hAnsi="Arial" w:eastAsia="Arial"/>
                <w:b w:val="0"/>
                <w:i w:val="0"/>
                <w:color w:val="000000"/>
                <w:sz w:val="16"/>
              </w:rPr>
              <w:t xml:space="preserve">(154,851,790) </w:t>
            </w:r>
          </w:p>
        </w:tc>
        <w:tc>
          <w:tcPr>
            <w:tcW w:type="dxa" w:w="984"/>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94" w:right="0" w:firstLine="0"/>
              <w:jc w:val="left"/>
            </w:pPr>
            <w:r>
              <w:rPr>
                <w:rFonts w:ascii="Arial" w:hAnsi="Arial" w:eastAsia="Arial"/>
                <w:b w:val="0"/>
                <w:i w:val="0"/>
                <w:color w:val="000000"/>
                <w:sz w:val="16"/>
              </w:rPr>
              <w:t>761,550,907</w:t>
            </w:r>
          </w:p>
        </w:tc>
        <w:tc>
          <w:tcPr>
            <w:tcW w:type="dxa" w:w="1286"/>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0" w:right="0" w:firstLine="0"/>
              <w:jc w:val="right"/>
            </w:pPr>
            <w:r>
              <w:rPr>
                <w:rFonts w:ascii="Arial" w:hAnsi="Arial" w:eastAsia="Arial"/>
                <w:b w:val="0"/>
                <w:i w:val="0"/>
                <w:color w:val="000000"/>
                <w:sz w:val="16"/>
              </w:rPr>
              <w:t>771,062,596</w:t>
            </w:r>
          </w:p>
        </w:tc>
        <w:tc>
          <w:tcPr>
            <w:tcW w:type="dxa" w:w="1286"/>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0" w:right="0" w:firstLine="0"/>
              <w:jc w:val="right"/>
            </w:pPr>
            <w:r>
              <w:rPr>
                <w:rFonts w:ascii="Arial" w:hAnsi="Arial" w:eastAsia="Arial"/>
                <w:b w:val="0"/>
                <w:i w:val="0"/>
                <w:color w:val="000000"/>
                <w:sz w:val="16"/>
              </w:rPr>
              <w:t>771,062,596</w:t>
            </w:r>
          </w:p>
        </w:tc>
        <w:tc>
          <w:tcPr>
            <w:tcW w:type="dxa" w:w="1374"/>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0" w:right="0" w:firstLine="0"/>
              <w:jc w:val="right"/>
            </w:pPr>
            <w:r>
              <w:rPr>
                <w:rFonts w:ascii="Arial" w:hAnsi="Arial" w:eastAsia="Arial"/>
                <w:b w:val="0"/>
                <w:i w:val="0"/>
                <w:color w:val="000000"/>
                <w:sz w:val="16"/>
              </w:rPr>
              <w:t>1,760,947,824</w:t>
            </w:r>
          </w:p>
        </w:tc>
        <w:tc>
          <w:tcPr>
            <w:tcW w:type="dxa" w:w="1460"/>
            <w:tcBorders>
              <w:top w:sz="3.2000000000000455" w:val="single" w:color="#000000"/>
              <w:bottom w:sz="4.0" w:val="single" w:color="#000000"/>
            </w:tcBorders>
            <w:tcMar>
              <w:start w:w="0" w:type="dxa"/>
              <w:end w:w="0" w:type="dxa"/>
            </w:tcMar>
          </w:tcPr>
          <w:p>
            <w:pPr>
              <w:autoSpaceDN w:val="0"/>
              <w:autoSpaceDE w:val="0"/>
              <w:widowControl/>
              <w:spacing w:line="230" w:lineRule="auto" w:before="224" w:after="0"/>
              <w:ind w:left="348" w:right="0" w:firstLine="0"/>
              <w:jc w:val="left"/>
            </w:pPr>
            <w:r>
              <w:rPr>
                <w:rFonts w:ascii="Arial" w:hAnsi="Arial" w:eastAsia="Arial"/>
                <w:b w:val="0"/>
                <w:i w:val="0"/>
                <w:color w:val="000000"/>
                <w:sz w:val="16"/>
              </w:rPr>
              <w:t>17,188,396,765</w:t>
            </w:r>
          </w:p>
        </w:tc>
      </w:tr>
      <w:tr>
        <w:trPr>
          <w:trHeight w:hRule="exact" w:val="54"/>
        </w:trPr>
        <w:tc>
          <w:tcPr>
            <w:tcW w:type="dxa" w:w="3034"/>
            <w:tcBorders>
              <w:top w:sz="4.0" w:val="single" w:color="#000000"/>
            </w:tcBorders>
            <w:tcMar>
              <w:start w:w="0" w:type="dxa"/>
              <w:end w:w="0" w:type="dxa"/>
            </w:tcMar>
          </w:tcPr>
          <w:p/>
        </w:tc>
        <w:tc>
          <w:tcPr>
            <w:tcW w:type="dxa" w:w="1164"/>
            <w:tcBorders>
              <w:top w:sz="4.0" w:val="single" w:color="#000000"/>
            </w:tcBorders>
            <w:tcMar>
              <w:start w:w="0" w:type="dxa"/>
              <w:end w:w="0" w:type="dxa"/>
            </w:tcMar>
          </w:tcPr>
          <w:p/>
        </w:tc>
        <w:tc>
          <w:tcPr>
            <w:tcW w:type="dxa" w:w="1696"/>
            <w:tcBorders>
              <w:top w:sz="4.0" w:val="single" w:color="#000000"/>
            </w:tcBorders>
            <w:tcMar>
              <w:start w:w="0" w:type="dxa"/>
              <w:end w:w="0" w:type="dxa"/>
            </w:tcMar>
          </w:tcPr>
          <w:p/>
        </w:tc>
        <w:tc>
          <w:tcPr>
            <w:tcW w:type="dxa" w:w="1172"/>
            <w:tcBorders>
              <w:top w:sz="4.0" w:val="single" w:color="#000000"/>
            </w:tcBorders>
            <w:tcMar>
              <w:start w:w="0" w:type="dxa"/>
              <w:end w:w="0" w:type="dxa"/>
            </w:tcMar>
          </w:tcPr>
          <w:p/>
        </w:tc>
        <w:tc>
          <w:tcPr>
            <w:tcW w:type="dxa" w:w="984"/>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374"/>
            <w:tcBorders>
              <w:top w:sz="4.0" w:val="single" w:color="#000000"/>
            </w:tcBorders>
            <w:tcMar>
              <w:start w:w="0" w:type="dxa"/>
              <w:end w:w="0" w:type="dxa"/>
            </w:tcMar>
          </w:tcPr>
          <w:p/>
        </w:tc>
        <w:tc>
          <w:tcPr>
            <w:tcW w:type="dxa" w:w="1460"/>
            <w:tcBorders>
              <w:top w:sz="4.0" w:val="single" w:color="#000000"/>
            </w:tcBorders>
            <w:tcMar>
              <w:start w:w="0" w:type="dxa"/>
              <w:end w:w="0" w:type="dxa"/>
            </w:tcMar>
          </w:tcPr>
          <w:p/>
        </w:tc>
      </w:tr>
    </w:tbl>
    <w:p>
      <w:pPr>
        <w:autoSpaceDN w:val="0"/>
        <w:autoSpaceDE w:val="0"/>
        <w:widowControl/>
        <w:spacing w:line="160" w:lineRule="exact" w:before="160" w:after="20"/>
        <w:ind w:left="358" w:right="0" w:firstLine="0"/>
        <w:jc w:val="left"/>
      </w:pPr>
      <w:r>
        <w:rPr>
          <w:rFonts w:ascii="黑体" w:hAnsi="黑体" w:eastAsia="黑体"/>
          <w:b w:val="0"/>
          <w:i w:val="0"/>
          <w:color w:val="000000"/>
          <w:sz w:val="16"/>
        </w:rPr>
        <w:t>本年增减变动金额</w:t>
      </w:r>
    </w:p>
    <w:tbl>
      <w:tblPr>
        <w:tblW w:type="auto" w:w="0"/>
        <w:tblLayout w:type="fixed"/>
        <w:tblLook w:firstColumn="1" w:firstRow="1" w:lastColumn="0" w:lastRow="0" w:noHBand="0" w:noVBand="1" w:val="04A0"/>
        <w:tblInd w:w="240.0" w:type="dxa"/>
      </w:tblPr>
      <w:tblGrid>
        <w:gridCol w:w="1551"/>
        <w:gridCol w:w="1551"/>
        <w:gridCol w:w="1551"/>
        <w:gridCol w:w="1551"/>
        <w:gridCol w:w="1551"/>
        <w:gridCol w:w="1551"/>
        <w:gridCol w:w="1551"/>
        <w:gridCol w:w="1551"/>
        <w:gridCol w:w="1551"/>
      </w:tblGrid>
      <w:tr>
        <w:trPr>
          <w:trHeight w:hRule="exact" w:val="218"/>
        </w:trPr>
        <w:tc>
          <w:tcPr>
            <w:tcW w:type="dxa" w:w="2720"/>
            <w:tcBorders/>
            <w:tcMar>
              <w:start w:w="0" w:type="dxa"/>
              <w:end w:w="0" w:type="dxa"/>
            </w:tcMar>
          </w:tcPr>
          <w:p>
            <w:pPr>
              <w:autoSpaceDN w:val="0"/>
              <w:autoSpaceDE w:val="0"/>
              <w:widowControl/>
              <w:spacing w:line="180" w:lineRule="exact" w:before="22" w:after="0"/>
              <w:ind w:left="278" w:right="0" w:firstLine="0"/>
              <w:jc w:val="left"/>
            </w:pPr>
            <w:r>
              <w:rPr>
                <w:rFonts w:ascii="Arial" w:hAnsi="Arial" w:eastAsia="Arial"/>
                <w:b w:val="0"/>
                <w:i w:val="0"/>
                <w:color w:val="000000"/>
                <w:sz w:val="16"/>
              </w:rPr>
              <w:t>1.</w:t>
            </w:r>
            <w:r>
              <w:rPr>
                <w:rFonts w:ascii="黑体" w:hAnsi="黑体" w:eastAsia="黑体"/>
                <w:b w:val="0"/>
                <w:i w:val="0"/>
                <w:color w:val="000000"/>
                <w:sz w:val="16"/>
              </w:rPr>
              <w:t>综合收益总额</w:t>
            </w:r>
          </w:p>
        </w:tc>
        <w:tc>
          <w:tcPr>
            <w:tcW w:type="dxa" w:w="2040"/>
            <w:tcBorders/>
            <w:tcMar>
              <w:start w:w="0" w:type="dxa"/>
              <w:end w:w="0" w:type="dxa"/>
            </w:tcMar>
          </w:tcPr>
          <w:p>
            <w:pPr>
              <w:autoSpaceDN w:val="0"/>
              <w:autoSpaceDE w:val="0"/>
              <w:widowControl/>
              <w:spacing w:line="230" w:lineRule="auto" w:before="30" w:after="0"/>
              <w:ind w:left="0" w:right="642" w:firstLine="0"/>
              <w:jc w:val="right"/>
            </w:pPr>
            <w:r>
              <w:rPr>
                <w:rFonts w:ascii="Arial" w:hAnsi="Arial" w:eastAsia="Arial"/>
                <w:b w:val="0"/>
                <w:i w:val="0"/>
                <w:color w:val="000000"/>
                <w:sz w:val="16"/>
              </w:rPr>
              <w:t>-</w:t>
            </w:r>
          </w:p>
        </w:tc>
        <w:tc>
          <w:tcPr>
            <w:tcW w:type="dxa" w:w="1000"/>
            <w:tcBorders/>
            <w:tcMar>
              <w:start w:w="0" w:type="dxa"/>
              <w:end w:w="0" w:type="dxa"/>
            </w:tcMar>
          </w:tcPr>
          <w:p>
            <w:pPr>
              <w:autoSpaceDN w:val="0"/>
              <w:autoSpaceDE w:val="0"/>
              <w:widowControl/>
              <w:spacing w:line="230" w:lineRule="auto" w:before="30" w:after="0"/>
              <w:ind w:left="0" w:right="268"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0" w:lineRule="auto" w:before="30" w:after="0"/>
              <w:ind w:left="306" w:right="0" w:firstLine="0"/>
              <w:jc w:val="left"/>
            </w:pPr>
            <w:r>
              <w:rPr>
                <w:rFonts w:ascii="Arial" w:hAnsi="Arial" w:eastAsia="Arial"/>
                <w:b w:val="0"/>
                <w:i w:val="0"/>
                <w:color w:val="000000"/>
                <w:sz w:val="16"/>
              </w:rPr>
              <w:t>8,803,460</w:t>
            </w:r>
          </w:p>
        </w:tc>
        <w:tc>
          <w:tcPr>
            <w:tcW w:type="dxa" w:w="124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w:t>
            </w:r>
          </w:p>
        </w:tc>
        <w:tc>
          <w:tcPr>
            <w:tcW w:type="dxa" w:w="128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w:t>
            </w:r>
          </w:p>
        </w:tc>
        <w:tc>
          <w:tcPr>
            <w:tcW w:type="dxa" w:w="920"/>
            <w:tcBorders/>
            <w:tcMar>
              <w:start w:w="0" w:type="dxa"/>
              <w:end w:w="0" w:type="dxa"/>
            </w:tcMar>
          </w:tcPr>
          <w:p>
            <w:pPr>
              <w:autoSpaceDN w:val="0"/>
              <w:autoSpaceDE w:val="0"/>
              <w:widowControl/>
              <w:spacing w:line="230" w:lineRule="auto" w:before="30" w:after="0"/>
              <w:ind w:left="0" w:right="234" w:firstLine="0"/>
              <w:jc w:val="right"/>
            </w:pPr>
            <w:r>
              <w:rPr>
                <w:rFonts w:ascii="Arial" w:hAnsi="Arial" w:eastAsia="Arial"/>
                <w:b w:val="0"/>
                <w:i w:val="0"/>
                <w:color w:val="000000"/>
                <w:sz w:val="16"/>
              </w:rPr>
              <w:t>-</w:t>
            </w:r>
          </w:p>
        </w:tc>
        <w:tc>
          <w:tcPr>
            <w:tcW w:type="dxa" w:w="142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6"/>
              </w:rPr>
              <w:t>517,965,462</w:t>
            </w:r>
          </w:p>
        </w:tc>
        <w:tc>
          <w:tcPr>
            <w:tcW w:type="dxa" w:w="1340"/>
            <w:tcBorders/>
            <w:tcMar>
              <w:start w:w="0" w:type="dxa"/>
              <w:end w:w="0" w:type="dxa"/>
            </w:tcMar>
          </w:tcPr>
          <w:p>
            <w:pPr>
              <w:autoSpaceDN w:val="0"/>
              <w:autoSpaceDE w:val="0"/>
              <w:widowControl/>
              <w:spacing w:line="230" w:lineRule="auto" w:before="30" w:after="0"/>
              <w:ind w:left="284" w:right="0" w:firstLine="0"/>
              <w:jc w:val="left"/>
            </w:pPr>
            <w:r>
              <w:rPr>
                <w:rFonts w:ascii="Arial" w:hAnsi="Arial" w:eastAsia="Arial"/>
                <w:b w:val="0"/>
                <w:i w:val="0"/>
                <w:color w:val="000000"/>
                <w:sz w:val="16"/>
              </w:rPr>
              <w:t>526,768,922</w:t>
            </w:r>
          </w:p>
        </w:tc>
      </w:tr>
    </w:tbl>
    <w:p>
      <w:pPr>
        <w:autoSpaceDN w:val="0"/>
        <w:autoSpaceDE w:val="0"/>
        <w:widowControl/>
        <w:spacing w:line="180" w:lineRule="exact" w:before="10" w:after="16"/>
        <w:ind w:left="518" w:right="0" w:firstLine="0"/>
        <w:jc w:val="left"/>
      </w:pPr>
      <w:r>
        <w:rPr>
          <w:rFonts w:ascii="Arial" w:hAnsi="Arial" w:eastAsia="Arial"/>
          <w:b w:val="0"/>
          <w:i w:val="0"/>
          <w:color w:val="000000"/>
          <w:sz w:val="16"/>
        </w:rPr>
        <w:t>2.</w:t>
      </w:r>
      <w:r>
        <w:rPr>
          <w:rFonts w:ascii="黑体" w:hAnsi="黑体" w:eastAsia="黑体"/>
          <w:b w:val="0"/>
          <w:i w:val="0"/>
          <w:color w:val="000000"/>
          <w:sz w:val="16"/>
        </w:rPr>
        <w:t>利润分配</w:t>
      </w:r>
    </w:p>
    <w:tbl>
      <w:tblPr>
        <w:tblW w:type="auto" w:w="0"/>
        <w:tblLayout w:type="fixed"/>
        <w:tblLook w:firstColumn="1" w:firstRow="1" w:lastColumn="0" w:lastRow="0" w:noHBand="0" w:noVBand="1" w:val="04A0"/>
        <w:tblInd w:w="160.0" w:type="dxa"/>
      </w:tblPr>
      <w:tblGrid>
        <w:gridCol w:w="1551"/>
        <w:gridCol w:w="1551"/>
        <w:gridCol w:w="1551"/>
        <w:gridCol w:w="1551"/>
        <w:gridCol w:w="1551"/>
        <w:gridCol w:w="1551"/>
        <w:gridCol w:w="1551"/>
        <w:gridCol w:w="1551"/>
        <w:gridCol w:w="1551"/>
      </w:tblGrid>
      <w:tr>
        <w:trPr>
          <w:trHeight w:hRule="exact" w:val="184"/>
        </w:trPr>
        <w:tc>
          <w:tcPr>
            <w:tcW w:type="dxa" w:w="3034"/>
            <w:tcBorders/>
            <w:tcMar>
              <w:start w:w="0" w:type="dxa"/>
              <w:end w:w="0" w:type="dxa"/>
            </w:tcMar>
          </w:tcPr>
          <w:p>
            <w:pPr>
              <w:autoSpaceDN w:val="0"/>
              <w:autoSpaceDE w:val="0"/>
              <w:widowControl/>
              <w:spacing w:line="178" w:lineRule="exact" w:before="6"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提取盈余公积</w:t>
            </w:r>
          </w:p>
        </w:tc>
        <w:tc>
          <w:tcPr>
            <w:tcW w:type="dxa" w:w="1164"/>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3" w:lineRule="auto" w:before="4" w:after="0"/>
              <w:ind w:left="0" w:right="206" w:firstLine="0"/>
              <w:jc w:val="right"/>
            </w:pPr>
            <w:r>
              <w:rPr>
                <w:rFonts w:ascii="Arial" w:hAnsi="Arial" w:eastAsia="Arial"/>
                <w:b w:val="0"/>
                <w:i w:val="0"/>
                <w:color w:val="000000"/>
                <w:sz w:val="16"/>
              </w:rPr>
              <w:t>-</w:t>
            </w:r>
          </w:p>
        </w:tc>
        <w:tc>
          <w:tcPr>
            <w:tcW w:type="dxa" w:w="984"/>
            <w:tcBorders/>
            <w:tcMar>
              <w:start w:w="0" w:type="dxa"/>
              <w:end w:w="0" w:type="dxa"/>
            </w:tcMar>
          </w:tcPr>
          <w:p>
            <w:pPr>
              <w:autoSpaceDN w:val="0"/>
              <w:autoSpaceDE w:val="0"/>
              <w:widowControl/>
              <w:spacing w:line="233" w:lineRule="auto" w:before="4" w:after="0"/>
              <w:ind w:left="182" w:right="0" w:firstLine="0"/>
              <w:jc w:val="left"/>
            </w:pPr>
            <w:r>
              <w:rPr>
                <w:rFonts w:ascii="Arial" w:hAnsi="Arial" w:eastAsia="Arial"/>
                <w:b w:val="0"/>
                <w:i w:val="0"/>
                <w:color w:val="000000"/>
                <w:sz w:val="16"/>
              </w:rPr>
              <w:t>51,796,546</w:t>
            </w:r>
          </w:p>
        </w:tc>
        <w:tc>
          <w:tcPr>
            <w:tcW w:type="dxa" w:w="1286"/>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3" w:lineRule="auto" w:before="4" w:after="0"/>
              <w:ind w:left="0" w:right="112" w:firstLine="0"/>
              <w:jc w:val="right"/>
            </w:pPr>
            <w:r>
              <w:rPr>
                <w:rFonts w:ascii="Arial" w:hAnsi="Arial" w:eastAsia="Arial"/>
                <w:b w:val="0"/>
                <w:i w:val="0"/>
                <w:color w:val="000000"/>
                <w:sz w:val="16"/>
              </w:rPr>
              <w:t xml:space="preserve">(51,796,546) </w:t>
            </w:r>
          </w:p>
        </w:tc>
        <w:tc>
          <w:tcPr>
            <w:tcW w:type="dxa" w:w="1458"/>
            <w:tcBorders/>
            <w:tcMar>
              <w:start w:w="0" w:type="dxa"/>
              <w:end w:w="0" w:type="dxa"/>
            </w:tcMar>
          </w:tcPr>
          <w:p>
            <w:pPr>
              <w:autoSpaceDN w:val="0"/>
              <w:autoSpaceDE w:val="0"/>
              <w:widowControl/>
              <w:spacing w:line="233" w:lineRule="auto" w:before="4" w:after="0"/>
              <w:ind w:left="0" w:right="204" w:firstLine="0"/>
              <w:jc w:val="right"/>
            </w:pPr>
            <w:r>
              <w:rPr>
                <w:rFonts w:ascii="Arial" w:hAnsi="Arial" w:eastAsia="Arial"/>
                <w:b w:val="0"/>
                <w:i w:val="0"/>
                <w:color w:val="000000"/>
                <w:sz w:val="16"/>
              </w:rPr>
              <w:t>-</w:t>
            </w:r>
          </w:p>
        </w:tc>
      </w:tr>
      <w:tr>
        <w:trPr>
          <w:trHeight w:hRule="exact" w:val="238"/>
        </w:trPr>
        <w:tc>
          <w:tcPr>
            <w:tcW w:type="dxa" w:w="3034"/>
            <w:tcBorders/>
            <w:tcMar>
              <w:start w:w="0" w:type="dxa"/>
              <w:end w:w="0" w:type="dxa"/>
            </w:tcMar>
          </w:tcPr>
          <w:p>
            <w:pPr>
              <w:autoSpaceDN w:val="0"/>
              <w:autoSpaceDE w:val="0"/>
              <w:widowControl/>
              <w:spacing w:line="178" w:lineRule="exact" w:before="36"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提取一般风险准备</w:t>
            </w:r>
          </w:p>
        </w:tc>
        <w:tc>
          <w:tcPr>
            <w:tcW w:type="dxa" w:w="1164"/>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0" w:lineRule="auto" w:before="46" w:after="0"/>
              <w:ind w:left="0" w:right="206" w:firstLine="0"/>
              <w:jc w:val="right"/>
            </w:pPr>
            <w:r>
              <w:rPr>
                <w:rFonts w:ascii="Arial" w:hAnsi="Arial" w:eastAsia="Arial"/>
                <w:b w:val="0"/>
                <w:i w:val="0"/>
                <w:color w:val="000000"/>
                <w:sz w:val="16"/>
              </w:rPr>
              <w:t>-</w:t>
            </w:r>
          </w:p>
        </w:tc>
        <w:tc>
          <w:tcPr>
            <w:tcW w:type="dxa" w:w="984"/>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51,796,546</w:t>
            </w:r>
          </w:p>
        </w:tc>
        <w:tc>
          <w:tcPr>
            <w:tcW w:type="dxa" w:w="1286"/>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0" w:lineRule="auto" w:before="46" w:after="0"/>
              <w:ind w:left="0" w:right="112" w:firstLine="0"/>
              <w:jc w:val="right"/>
            </w:pPr>
            <w:r>
              <w:rPr>
                <w:rFonts w:ascii="Arial" w:hAnsi="Arial" w:eastAsia="Arial"/>
                <w:b w:val="0"/>
                <w:i w:val="0"/>
                <w:color w:val="000000"/>
                <w:sz w:val="16"/>
              </w:rPr>
              <w:t xml:space="preserve">(51,796,546) </w:t>
            </w:r>
          </w:p>
        </w:tc>
        <w:tc>
          <w:tcPr>
            <w:tcW w:type="dxa" w:w="1458"/>
            <w:tcBorders/>
            <w:tcMar>
              <w:start w:w="0" w:type="dxa"/>
              <w:end w:w="0" w:type="dxa"/>
            </w:tcMar>
          </w:tcPr>
          <w:p>
            <w:pPr>
              <w:autoSpaceDN w:val="0"/>
              <w:autoSpaceDE w:val="0"/>
              <w:widowControl/>
              <w:spacing w:line="230" w:lineRule="auto" w:before="46" w:after="0"/>
              <w:ind w:left="0" w:right="204" w:firstLine="0"/>
              <w:jc w:val="right"/>
            </w:pPr>
            <w:r>
              <w:rPr>
                <w:rFonts w:ascii="Arial" w:hAnsi="Arial" w:eastAsia="Arial"/>
                <w:b w:val="0"/>
                <w:i w:val="0"/>
                <w:color w:val="000000"/>
                <w:sz w:val="16"/>
              </w:rPr>
              <w:t>-</w:t>
            </w:r>
          </w:p>
        </w:tc>
      </w:tr>
      <w:tr>
        <w:trPr>
          <w:trHeight w:hRule="exact" w:val="182"/>
        </w:trPr>
        <w:tc>
          <w:tcPr>
            <w:tcW w:type="dxa" w:w="3034"/>
            <w:tcBorders/>
            <w:tcMar>
              <w:start w:w="0" w:type="dxa"/>
              <w:end w:w="0" w:type="dxa"/>
            </w:tcMar>
          </w:tcPr>
          <w:p>
            <w:pPr>
              <w:autoSpaceDN w:val="0"/>
              <w:autoSpaceDE w:val="0"/>
              <w:widowControl/>
              <w:spacing w:line="180" w:lineRule="exact" w:before="2"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提取交易风险准备</w:t>
            </w:r>
          </w:p>
        </w:tc>
        <w:tc>
          <w:tcPr>
            <w:tcW w:type="dxa" w:w="1164"/>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0" w:lineRule="auto" w:before="4" w:after="0"/>
              <w:ind w:left="0" w:right="206" w:firstLine="0"/>
              <w:jc w:val="right"/>
            </w:pPr>
            <w:r>
              <w:rPr>
                <w:rFonts w:ascii="Arial" w:hAnsi="Arial" w:eastAsia="Arial"/>
                <w:b w:val="0"/>
                <w:i w:val="0"/>
                <w:color w:val="000000"/>
                <w:sz w:val="16"/>
              </w:rPr>
              <w:t>-</w:t>
            </w:r>
          </w:p>
        </w:tc>
        <w:tc>
          <w:tcPr>
            <w:tcW w:type="dxa" w:w="984"/>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16"/>
              </w:rPr>
              <w:t>51,796,546</w:t>
            </w:r>
          </w:p>
        </w:tc>
        <w:tc>
          <w:tcPr>
            <w:tcW w:type="dxa" w:w="1580"/>
            <w:tcBorders/>
            <w:tcMar>
              <w:start w:w="0" w:type="dxa"/>
              <w:end w:w="0" w:type="dxa"/>
            </w:tcMar>
          </w:tcPr>
          <w:p>
            <w:pPr>
              <w:autoSpaceDN w:val="0"/>
              <w:autoSpaceDE w:val="0"/>
              <w:widowControl/>
              <w:spacing w:line="230" w:lineRule="auto" w:before="4" w:after="0"/>
              <w:ind w:left="0" w:right="112" w:firstLine="0"/>
              <w:jc w:val="right"/>
            </w:pPr>
            <w:r>
              <w:rPr>
                <w:rFonts w:ascii="Arial" w:hAnsi="Arial" w:eastAsia="Arial"/>
                <w:b w:val="0"/>
                <w:i w:val="0"/>
                <w:color w:val="000000"/>
                <w:sz w:val="16"/>
              </w:rPr>
              <w:t xml:space="preserve">(51,796,546) </w:t>
            </w:r>
          </w:p>
        </w:tc>
        <w:tc>
          <w:tcPr>
            <w:tcW w:type="dxa" w:w="1458"/>
            <w:tcBorders/>
            <w:tcMar>
              <w:start w:w="0" w:type="dxa"/>
              <w:end w:w="0" w:type="dxa"/>
            </w:tcMar>
          </w:tcPr>
          <w:p>
            <w:pPr>
              <w:autoSpaceDN w:val="0"/>
              <w:autoSpaceDE w:val="0"/>
              <w:widowControl/>
              <w:spacing w:line="230" w:lineRule="auto" w:before="4" w:after="0"/>
              <w:ind w:left="0" w:right="204" w:firstLine="0"/>
              <w:jc w:val="right"/>
            </w:pPr>
            <w:r>
              <w:rPr>
                <w:rFonts w:ascii="Arial" w:hAnsi="Arial" w:eastAsia="Arial"/>
                <w:b w:val="0"/>
                <w:i w:val="0"/>
                <w:color w:val="000000"/>
                <w:sz w:val="16"/>
              </w:rPr>
              <w:t>-</w:t>
            </w:r>
          </w:p>
        </w:tc>
      </w:tr>
      <w:tr>
        <w:trPr>
          <w:trHeight w:hRule="exact" w:val="200"/>
        </w:trPr>
        <w:tc>
          <w:tcPr>
            <w:tcW w:type="dxa" w:w="3034"/>
            <w:tcBorders/>
            <w:tcMar>
              <w:start w:w="0" w:type="dxa"/>
              <w:end w:w="0" w:type="dxa"/>
            </w:tcMar>
          </w:tcPr>
          <w:p>
            <w:pPr>
              <w:autoSpaceDN w:val="0"/>
              <w:autoSpaceDE w:val="0"/>
              <w:widowControl/>
              <w:spacing w:line="180" w:lineRule="exact" w:before="20" w:after="0"/>
              <w:ind w:left="550" w:right="0" w:firstLine="0"/>
              <w:jc w:val="left"/>
            </w:pPr>
            <w:r>
              <w:rPr>
                <w:rFonts w:ascii="Arial" w:hAnsi="Arial" w:eastAsia="Arial"/>
                <w:b w:val="0"/>
                <w:i w:val="0"/>
                <w:color w:val="000000"/>
                <w:sz w:val="16"/>
              </w:rPr>
              <w:t>-</w:t>
            </w:r>
            <w:r>
              <w:rPr>
                <w:rFonts w:ascii="黑体" w:hAnsi="黑体" w:eastAsia="黑体"/>
                <w:b w:val="0"/>
                <w:i w:val="0"/>
                <w:color w:val="000000"/>
                <w:sz w:val="16"/>
              </w:rPr>
              <w:t>对股东的分配</w:t>
            </w:r>
          </w:p>
        </w:tc>
        <w:tc>
          <w:tcPr>
            <w:tcW w:type="dxa" w:w="1164"/>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372"/>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496"/>
            <w:tcBorders/>
            <w:tcMar>
              <w:start w:w="0" w:type="dxa"/>
              <w:end w:w="0" w:type="dxa"/>
            </w:tcMar>
          </w:tcPr>
          <w:p>
            <w:pPr>
              <w:autoSpaceDN w:val="0"/>
              <w:autoSpaceDE w:val="0"/>
              <w:widowControl/>
              <w:spacing w:line="233" w:lineRule="auto" w:before="20" w:after="0"/>
              <w:ind w:left="0" w:right="206" w:firstLine="0"/>
              <w:jc w:val="right"/>
            </w:pPr>
            <w:r>
              <w:rPr>
                <w:rFonts w:ascii="Arial" w:hAnsi="Arial" w:eastAsia="Arial"/>
                <w:b w:val="0"/>
                <w:i w:val="0"/>
                <w:color w:val="000000"/>
                <w:sz w:val="16"/>
              </w:rPr>
              <w:t>-</w:t>
            </w:r>
          </w:p>
        </w:tc>
        <w:tc>
          <w:tcPr>
            <w:tcW w:type="dxa" w:w="984"/>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286"/>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580"/>
            <w:tcBorders/>
            <w:tcMar>
              <w:start w:w="0" w:type="dxa"/>
              <w:end w:w="0" w:type="dxa"/>
            </w:tcMar>
          </w:tcPr>
          <w:p>
            <w:pPr>
              <w:autoSpaceDN w:val="0"/>
              <w:autoSpaceDE w:val="0"/>
              <w:widowControl/>
              <w:spacing w:line="233" w:lineRule="auto" w:before="20" w:after="0"/>
              <w:ind w:left="0" w:right="112" w:firstLine="0"/>
              <w:jc w:val="right"/>
            </w:pPr>
            <w:r>
              <w:rPr>
                <w:rFonts w:ascii="Arial" w:hAnsi="Arial" w:eastAsia="Arial"/>
                <w:b w:val="0"/>
                <w:i w:val="0"/>
                <w:color w:val="000000"/>
                <w:sz w:val="16"/>
              </w:rPr>
              <w:t xml:space="preserve">(287,181,724) </w:t>
            </w:r>
          </w:p>
        </w:tc>
        <w:tc>
          <w:tcPr>
            <w:tcW w:type="dxa" w:w="1458"/>
            <w:tcBorders/>
            <w:tcMar>
              <w:start w:w="0" w:type="dxa"/>
              <w:end w:w="0" w:type="dxa"/>
            </w:tcMar>
          </w:tcPr>
          <w:p>
            <w:pPr>
              <w:autoSpaceDN w:val="0"/>
              <w:autoSpaceDE w:val="0"/>
              <w:widowControl/>
              <w:spacing w:line="233" w:lineRule="auto" w:before="20" w:after="0"/>
              <w:ind w:left="310" w:right="0" w:firstLine="0"/>
              <w:jc w:val="left"/>
            </w:pPr>
            <w:r>
              <w:rPr>
                <w:rFonts w:ascii="Arial" w:hAnsi="Arial" w:eastAsia="Arial"/>
                <w:b w:val="0"/>
                <w:i w:val="0"/>
                <w:color w:val="000000"/>
                <w:sz w:val="16"/>
              </w:rPr>
              <w:t xml:space="preserve">(287,181,724) </w:t>
            </w:r>
          </w:p>
        </w:tc>
      </w:tr>
      <w:tr>
        <w:trPr>
          <w:trHeight w:hRule="exact" w:val="236"/>
        </w:trPr>
        <w:tc>
          <w:tcPr>
            <w:tcW w:type="dxa" w:w="3034"/>
            <w:tcBorders>
              <w:bottom w:sz="4.0" w:val="single" w:color="#000000"/>
            </w:tcBorders>
            <w:tcMar>
              <w:start w:w="0" w:type="dxa"/>
              <w:end w:w="0" w:type="dxa"/>
            </w:tcMar>
          </w:tcPr>
          <w:p>
            <w:pPr>
              <w:autoSpaceDN w:val="0"/>
              <w:autoSpaceDE w:val="0"/>
              <w:widowControl/>
              <w:spacing w:line="178" w:lineRule="exact" w:before="38" w:after="0"/>
              <w:ind w:left="358" w:right="0" w:firstLine="0"/>
              <w:jc w:val="left"/>
            </w:pPr>
            <w:r>
              <w:rPr>
                <w:rFonts w:ascii="Arial" w:hAnsi="Arial" w:eastAsia="Arial"/>
                <w:b w:val="0"/>
                <w:i w:val="0"/>
                <w:color w:val="000000"/>
                <w:sz w:val="16"/>
              </w:rPr>
              <w:t>3.</w:t>
            </w:r>
            <w:r>
              <w:rPr>
                <w:rFonts w:ascii="黑体" w:hAnsi="黑体" w:eastAsia="黑体"/>
                <w:b w:val="0"/>
                <w:i w:val="0"/>
                <w:color w:val="000000"/>
                <w:sz w:val="16"/>
              </w:rPr>
              <w:t>其他综合收益结转留存收益</w:t>
            </w:r>
          </w:p>
        </w:tc>
        <w:tc>
          <w:tcPr>
            <w:tcW w:type="dxa" w:w="1164"/>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c>
          <w:tcPr>
            <w:tcW w:type="dxa" w:w="1372"/>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c>
          <w:tcPr>
            <w:tcW w:type="dxa" w:w="1496"/>
            <w:tcBorders>
              <w:bottom w:sz="4.0" w:val="single" w:color="#000000"/>
            </w:tcBorders>
            <w:tcMar>
              <w:start w:w="0" w:type="dxa"/>
              <w:end w:w="0" w:type="dxa"/>
            </w:tcMar>
          </w:tcPr>
          <w:p>
            <w:pPr>
              <w:autoSpaceDN w:val="0"/>
              <w:autoSpaceDE w:val="0"/>
              <w:widowControl/>
              <w:spacing w:line="233" w:lineRule="auto" w:before="46" w:after="0"/>
              <w:ind w:left="0" w:right="206" w:firstLine="0"/>
              <w:jc w:val="right"/>
            </w:pPr>
            <w:r>
              <w:rPr>
                <w:rFonts w:ascii="Arial" w:hAnsi="Arial" w:eastAsia="Arial"/>
                <w:b w:val="0"/>
                <w:i w:val="0"/>
                <w:color w:val="000000"/>
                <w:sz w:val="16"/>
              </w:rPr>
              <w:t>278,396</w:t>
            </w:r>
          </w:p>
        </w:tc>
        <w:tc>
          <w:tcPr>
            <w:tcW w:type="dxa" w:w="984"/>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c>
          <w:tcPr>
            <w:tcW w:type="dxa" w:w="1286"/>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c>
          <w:tcPr>
            <w:tcW w:type="dxa" w:w="1286"/>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c>
          <w:tcPr>
            <w:tcW w:type="dxa" w:w="1580"/>
            <w:tcBorders>
              <w:bottom w:sz="4.0" w:val="single" w:color="#000000"/>
            </w:tcBorders>
            <w:tcMar>
              <w:start w:w="0" w:type="dxa"/>
              <w:end w:w="0" w:type="dxa"/>
            </w:tcMar>
          </w:tcPr>
          <w:p>
            <w:pPr>
              <w:autoSpaceDN w:val="0"/>
              <w:autoSpaceDE w:val="0"/>
              <w:widowControl/>
              <w:spacing w:line="264" w:lineRule="auto" w:before="22" w:after="0"/>
              <w:ind w:left="0" w:right="112" w:firstLine="0"/>
              <w:jc w:val="right"/>
            </w:pPr>
            <w:r>
              <w:rPr>
                <w:rFonts w:ascii="Arial" w:hAnsi="Arial" w:eastAsia="Arial"/>
                <w:b w:val="0"/>
                <w:i w:val="0"/>
                <w:color w:val="000000"/>
                <w:sz w:val="16"/>
              </w:rPr>
              <w:t>(278,396</w:t>
            </w:r>
            <w:r>
              <w:rPr>
                <w:rFonts w:ascii="Arial" w:hAnsi="Arial" w:eastAsia="Arial"/>
                <w:b w:val="0"/>
                <w:i w:val="0"/>
                <w:color w:val="000000"/>
                <w:sz w:val="16"/>
              </w:rPr>
              <w:t xml:space="preserve">) </w:t>
            </w:r>
          </w:p>
        </w:tc>
        <w:tc>
          <w:tcPr>
            <w:tcW w:type="dxa" w:w="1458"/>
            <w:tcBorders>
              <w:bottom w:sz="4.0" w:val="single" w:color="#000000"/>
            </w:tcBorders>
            <w:tcMar>
              <w:start w:w="0" w:type="dxa"/>
              <w:end w:w="0" w:type="dxa"/>
            </w:tcMar>
          </w:tcPr>
          <w:p>
            <w:pPr>
              <w:autoSpaceDN w:val="0"/>
              <w:autoSpaceDE w:val="0"/>
              <w:widowControl/>
              <w:spacing w:line="233" w:lineRule="auto" w:before="46" w:after="0"/>
              <w:ind w:left="0" w:right="204" w:firstLine="0"/>
              <w:jc w:val="right"/>
            </w:pPr>
            <w:r>
              <w:rPr>
                <w:rFonts w:ascii="Arial" w:hAnsi="Arial" w:eastAsia="Arial"/>
                <w:b w:val="0"/>
                <w:i w:val="0"/>
                <w:color w:val="000000"/>
                <w:sz w:val="16"/>
              </w:rPr>
              <w:t>-</w:t>
            </w:r>
          </w:p>
        </w:tc>
      </w:tr>
      <w:tr>
        <w:trPr>
          <w:trHeight w:hRule="exact" w:val="402"/>
        </w:trPr>
        <w:tc>
          <w:tcPr>
            <w:tcW w:type="dxa" w:w="3034"/>
            <w:tcBorders>
              <w:top w:sz="4.0" w:val="single" w:color="#000000"/>
              <w:bottom w:sz="4.0" w:val="single" w:color="#000000"/>
            </w:tcBorders>
            <w:tcMar>
              <w:start w:w="0" w:type="dxa"/>
              <w:end w:w="0" w:type="dxa"/>
            </w:tcMar>
          </w:tcPr>
          <w:p>
            <w:pPr>
              <w:autoSpaceDN w:val="0"/>
              <w:autoSpaceDE w:val="0"/>
              <w:widowControl/>
              <w:spacing w:line="160" w:lineRule="exact" w:before="206" w:after="0"/>
              <w:ind w:left="198" w:right="0" w:firstLine="0"/>
              <w:jc w:val="left"/>
            </w:pPr>
            <w:r>
              <w:rPr>
                <w:rFonts w:ascii="黑体" w:hAnsi="黑体" w:eastAsia="黑体"/>
                <w:b w:val="0"/>
                <w:i w:val="0"/>
                <w:color w:val="000000"/>
                <w:sz w:val="16"/>
              </w:rPr>
              <w:t>小计</w:t>
            </w:r>
          </w:p>
        </w:tc>
        <w:tc>
          <w:tcPr>
            <w:tcW w:type="dxa" w:w="1164"/>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0" w:firstLine="0"/>
              <w:jc w:val="right"/>
            </w:pPr>
            <w:r>
              <w:rPr>
                <w:rFonts w:ascii="Arial" w:hAnsi="Arial" w:eastAsia="Arial"/>
                <w:b w:val="0"/>
                <w:i w:val="0"/>
                <w:color w:val="000000"/>
                <w:sz w:val="16"/>
              </w:rPr>
              <w:t>-</w:t>
            </w:r>
          </w:p>
        </w:tc>
        <w:tc>
          <w:tcPr>
            <w:tcW w:type="dxa" w:w="1372"/>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0" w:firstLine="0"/>
              <w:jc w:val="right"/>
            </w:pPr>
            <w:r>
              <w:rPr>
                <w:rFonts w:ascii="Arial" w:hAnsi="Arial" w:eastAsia="Arial"/>
                <w:b w:val="0"/>
                <w:i w:val="0"/>
                <w:color w:val="000000"/>
                <w:sz w:val="16"/>
              </w:rPr>
              <w:t>-</w:t>
            </w:r>
          </w:p>
        </w:tc>
        <w:tc>
          <w:tcPr>
            <w:tcW w:type="dxa" w:w="1496"/>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206" w:firstLine="0"/>
              <w:jc w:val="right"/>
            </w:pPr>
            <w:r>
              <w:rPr>
                <w:rFonts w:ascii="Arial" w:hAnsi="Arial" w:eastAsia="Arial"/>
                <w:b w:val="0"/>
                <w:i w:val="0"/>
                <w:color w:val="000000"/>
                <w:sz w:val="16"/>
              </w:rPr>
              <w:t>9,081,856</w:t>
            </w:r>
          </w:p>
        </w:tc>
        <w:tc>
          <w:tcPr>
            <w:tcW w:type="dxa" w:w="984"/>
            <w:tcBorders>
              <w:top w:sz="4.0" w:val="single" w:color="#000000"/>
              <w:bottom w:sz="4.0" w:val="single" w:color="#000000"/>
            </w:tcBorders>
            <w:tcMar>
              <w:start w:w="0" w:type="dxa"/>
              <w:end w:w="0" w:type="dxa"/>
            </w:tcMar>
          </w:tcPr>
          <w:p>
            <w:pPr>
              <w:autoSpaceDN w:val="0"/>
              <w:autoSpaceDE w:val="0"/>
              <w:widowControl/>
              <w:spacing w:line="230" w:lineRule="auto" w:before="206" w:after="0"/>
              <w:ind w:left="182" w:right="0" w:firstLine="0"/>
              <w:jc w:val="left"/>
            </w:pPr>
            <w:r>
              <w:rPr>
                <w:rFonts w:ascii="Arial" w:hAnsi="Arial" w:eastAsia="Arial"/>
                <w:b w:val="0"/>
                <w:i w:val="0"/>
                <w:color w:val="000000"/>
                <w:sz w:val="16"/>
              </w:rPr>
              <w:t>51,796,546</w:t>
            </w:r>
          </w:p>
        </w:tc>
        <w:tc>
          <w:tcPr>
            <w:tcW w:type="dxa" w:w="1286"/>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0" w:firstLine="0"/>
              <w:jc w:val="right"/>
            </w:pPr>
            <w:r>
              <w:rPr>
                <w:rFonts w:ascii="Arial" w:hAnsi="Arial" w:eastAsia="Arial"/>
                <w:b w:val="0"/>
                <w:i w:val="0"/>
                <w:color w:val="000000"/>
                <w:sz w:val="16"/>
              </w:rPr>
              <w:t>51,796,546</w:t>
            </w:r>
          </w:p>
        </w:tc>
        <w:tc>
          <w:tcPr>
            <w:tcW w:type="dxa" w:w="1286"/>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0" w:firstLine="0"/>
              <w:jc w:val="right"/>
            </w:pPr>
            <w:r>
              <w:rPr>
                <w:rFonts w:ascii="Arial" w:hAnsi="Arial" w:eastAsia="Arial"/>
                <w:b w:val="0"/>
                <w:i w:val="0"/>
                <w:color w:val="000000"/>
                <w:sz w:val="16"/>
              </w:rPr>
              <w:t>51,796,546</w:t>
            </w:r>
          </w:p>
        </w:tc>
        <w:tc>
          <w:tcPr>
            <w:tcW w:type="dxa" w:w="1580"/>
            <w:tcBorders>
              <w:top w:sz="4.0" w:val="single" w:color="#000000"/>
              <w:bottom w:sz="4.0" w:val="single" w:color="#000000"/>
            </w:tcBorders>
            <w:tcMar>
              <w:start w:w="0" w:type="dxa"/>
              <w:end w:w="0" w:type="dxa"/>
            </w:tcMar>
          </w:tcPr>
          <w:p>
            <w:pPr>
              <w:autoSpaceDN w:val="0"/>
              <w:autoSpaceDE w:val="0"/>
              <w:widowControl/>
              <w:spacing w:line="230" w:lineRule="auto" w:before="206" w:after="0"/>
              <w:ind w:left="0" w:right="206" w:firstLine="0"/>
              <w:jc w:val="right"/>
            </w:pPr>
            <w:r>
              <w:rPr>
                <w:rFonts w:ascii="Arial" w:hAnsi="Arial" w:eastAsia="Arial"/>
                <w:b w:val="0"/>
                <w:i w:val="0"/>
                <w:color w:val="000000"/>
                <w:sz w:val="16"/>
              </w:rPr>
              <w:t>75,115,704</w:t>
            </w:r>
          </w:p>
        </w:tc>
        <w:tc>
          <w:tcPr>
            <w:tcW w:type="dxa" w:w="1458"/>
            <w:tcBorders>
              <w:top w:sz="4.0" w:val="single" w:color="#000000"/>
              <w:bottom w:sz="4.0" w:val="single" w:color="#000000"/>
            </w:tcBorders>
            <w:tcMar>
              <w:start w:w="0" w:type="dxa"/>
              <w:end w:w="0" w:type="dxa"/>
            </w:tcMar>
          </w:tcPr>
          <w:p>
            <w:pPr>
              <w:autoSpaceDN w:val="0"/>
              <w:autoSpaceDE w:val="0"/>
              <w:widowControl/>
              <w:spacing w:line="230" w:lineRule="auto" w:before="206" w:after="0"/>
              <w:ind w:left="362" w:right="0" w:firstLine="0"/>
              <w:jc w:val="left"/>
            </w:pPr>
            <w:r>
              <w:rPr>
                <w:rFonts w:ascii="Arial" w:hAnsi="Arial" w:eastAsia="Arial"/>
                <w:b w:val="0"/>
                <w:i w:val="0"/>
                <w:color w:val="000000"/>
                <w:sz w:val="16"/>
              </w:rPr>
              <w:t>239,587,198</w:t>
            </w:r>
          </w:p>
        </w:tc>
      </w:tr>
      <w:tr>
        <w:trPr>
          <w:trHeight w:hRule="exact" w:val="400"/>
        </w:trPr>
        <w:tc>
          <w:tcPr>
            <w:tcW w:type="dxa" w:w="3034"/>
            <w:tcBorders>
              <w:top w:sz="4.0" w:val="single" w:color="#000000"/>
              <w:bottom w:sz="4.0" w:val="single" w:color="#000000"/>
            </w:tcBorders>
            <w:tcMar>
              <w:start w:w="0" w:type="dxa"/>
              <w:end w:w="0" w:type="dxa"/>
            </w:tcMar>
          </w:tcPr>
          <w:p>
            <w:pPr>
              <w:autoSpaceDN w:val="0"/>
              <w:autoSpaceDE w:val="0"/>
              <w:widowControl/>
              <w:spacing w:line="178" w:lineRule="exact" w:before="200" w:after="0"/>
              <w:ind w:left="198" w:right="0" w:firstLine="0"/>
              <w:jc w:val="lef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日余额</w:t>
            </w:r>
          </w:p>
        </w:tc>
        <w:tc>
          <w:tcPr>
            <w:tcW w:type="dxa" w:w="1164"/>
            <w:tcBorders>
              <w:top w:sz="4.0" w:val="single" w:color="#000000"/>
              <w:bottom w:sz="4.0" w:val="single" w:color="#000000"/>
            </w:tcBorders>
            <w:tcMar>
              <w:start w:w="0" w:type="dxa"/>
              <w:end w:w="0" w:type="dxa"/>
            </w:tcMar>
          </w:tcPr>
          <w:p>
            <w:pPr>
              <w:autoSpaceDN w:val="0"/>
              <w:autoSpaceDE w:val="0"/>
              <w:widowControl/>
              <w:spacing w:line="233" w:lineRule="auto" w:before="208" w:after="0"/>
              <w:ind w:left="140" w:right="0" w:firstLine="0"/>
              <w:jc w:val="left"/>
            </w:pPr>
            <w:r>
              <w:rPr>
                <w:rFonts w:ascii="Arial" w:hAnsi="Arial" w:eastAsia="Arial"/>
                <w:b w:val="0"/>
                <w:i w:val="0"/>
                <w:color w:val="000000"/>
                <w:sz w:val="16"/>
              </w:rPr>
              <w:t>3,589,771,547</w:t>
            </w:r>
          </w:p>
        </w:tc>
        <w:tc>
          <w:tcPr>
            <w:tcW w:type="dxa" w:w="137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9,688,853,085</w:t>
            </w:r>
          </w:p>
        </w:tc>
        <w:tc>
          <w:tcPr>
            <w:tcW w:type="dxa" w:w="1496"/>
            <w:tcBorders>
              <w:top w:sz="4.0" w:val="single" w:color="#000000"/>
              <w:bottom w:sz="4.0" w:val="single" w:color="#000000"/>
            </w:tcBorders>
            <w:tcMar>
              <w:start w:w="0" w:type="dxa"/>
              <w:end w:w="0" w:type="dxa"/>
            </w:tcMar>
          </w:tcPr>
          <w:p>
            <w:pPr>
              <w:autoSpaceDN w:val="0"/>
              <w:autoSpaceDE w:val="0"/>
              <w:widowControl/>
              <w:spacing w:line="233" w:lineRule="auto" w:before="208" w:after="0"/>
              <w:ind w:left="346" w:right="0" w:firstLine="0"/>
              <w:jc w:val="left"/>
            </w:pPr>
            <w:r>
              <w:rPr>
                <w:rFonts w:ascii="Arial" w:hAnsi="Arial" w:eastAsia="Arial"/>
                <w:b w:val="0"/>
                <w:i w:val="0"/>
                <w:color w:val="000000"/>
                <w:sz w:val="16"/>
              </w:rPr>
              <w:t xml:space="preserve">(145,769,934) </w:t>
            </w:r>
          </w:p>
        </w:tc>
        <w:tc>
          <w:tcPr>
            <w:tcW w:type="dxa" w:w="984"/>
            <w:tcBorders>
              <w:top w:sz="4.0" w:val="single" w:color="#000000"/>
              <w:bottom w:sz="4.0" w:val="single" w:color="#000000"/>
            </w:tcBorders>
            <w:tcMar>
              <w:start w:w="0" w:type="dxa"/>
              <w:end w:w="0" w:type="dxa"/>
            </w:tcMar>
          </w:tcPr>
          <w:p>
            <w:pPr>
              <w:autoSpaceDN w:val="0"/>
              <w:autoSpaceDE w:val="0"/>
              <w:widowControl/>
              <w:spacing w:line="233" w:lineRule="auto" w:before="208" w:after="0"/>
              <w:ind w:left="94" w:right="0" w:firstLine="0"/>
              <w:jc w:val="left"/>
            </w:pPr>
            <w:r>
              <w:rPr>
                <w:rFonts w:ascii="Arial" w:hAnsi="Arial" w:eastAsia="Arial"/>
                <w:b w:val="0"/>
                <w:i w:val="0"/>
                <w:color w:val="000000"/>
                <w:sz w:val="16"/>
              </w:rPr>
              <w:t>813,347,453</w:t>
            </w:r>
          </w:p>
        </w:tc>
        <w:tc>
          <w:tcPr>
            <w:tcW w:type="dxa" w:w="1286"/>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822,859,142</w:t>
            </w:r>
          </w:p>
        </w:tc>
        <w:tc>
          <w:tcPr>
            <w:tcW w:type="dxa" w:w="1286"/>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822,859,142</w:t>
            </w:r>
          </w:p>
        </w:tc>
        <w:tc>
          <w:tcPr>
            <w:tcW w:type="dxa" w:w="1580"/>
            <w:tcBorders>
              <w:top w:sz="4.0" w:val="single" w:color="#000000"/>
              <w:bottom w:sz="4.0" w:val="single" w:color="#000000"/>
            </w:tcBorders>
            <w:tcMar>
              <w:start w:w="0" w:type="dxa"/>
              <w:end w:w="0" w:type="dxa"/>
            </w:tcMar>
          </w:tcPr>
          <w:p>
            <w:pPr>
              <w:autoSpaceDN w:val="0"/>
              <w:autoSpaceDE w:val="0"/>
              <w:widowControl/>
              <w:spacing w:line="233" w:lineRule="auto" w:before="208" w:after="0"/>
              <w:ind w:left="352" w:right="0" w:firstLine="0"/>
              <w:jc w:val="left"/>
            </w:pPr>
            <w:r>
              <w:rPr>
                <w:rFonts w:ascii="Arial" w:hAnsi="Arial" w:eastAsia="Arial"/>
                <w:b w:val="0"/>
                <w:i w:val="0"/>
                <w:color w:val="000000"/>
                <w:sz w:val="16"/>
              </w:rPr>
              <w:t>1,836,063,528</w:t>
            </w:r>
          </w:p>
        </w:tc>
        <w:tc>
          <w:tcPr>
            <w:tcW w:type="dxa" w:w="1458"/>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center"/>
            </w:pPr>
            <w:r>
              <w:rPr>
                <w:rFonts w:ascii="Arial" w:hAnsi="Arial" w:eastAsia="Arial"/>
                <w:b w:val="0"/>
                <w:i w:val="0"/>
                <w:color w:val="000000"/>
                <w:sz w:val="16"/>
              </w:rPr>
              <w:t>17,427,983,963</w:t>
            </w:r>
          </w:p>
        </w:tc>
      </w:tr>
      <w:tr>
        <w:trPr>
          <w:trHeight w:hRule="exact" w:val="52"/>
        </w:trPr>
        <w:tc>
          <w:tcPr>
            <w:tcW w:type="dxa" w:w="3034"/>
            <w:tcBorders>
              <w:top w:sz="4.0" w:val="single" w:color="#000000"/>
            </w:tcBorders>
            <w:tcMar>
              <w:start w:w="0" w:type="dxa"/>
              <w:end w:w="0" w:type="dxa"/>
            </w:tcMar>
          </w:tcPr>
          <w:p/>
        </w:tc>
        <w:tc>
          <w:tcPr>
            <w:tcW w:type="dxa" w:w="1164"/>
            <w:tcBorders>
              <w:top w:sz="4.0" w:val="single" w:color="#000000"/>
            </w:tcBorders>
            <w:tcMar>
              <w:start w:w="0" w:type="dxa"/>
              <w:end w:w="0" w:type="dxa"/>
            </w:tcMar>
          </w:tcPr>
          <w:p/>
        </w:tc>
        <w:tc>
          <w:tcPr>
            <w:tcW w:type="dxa" w:w="1372"/>
            <w:tcBorders>
              <w:top w:sz="4.0" w:val="single" w:color="#000000"/>
            </w:tcBorders>
            <w:tcMar>
              <w:start w:w="0" w:type="dxa"/>
              <w:end w:w="0" w:type="dxa"/>
            </w:tcMar>
          </w:tcPr>
          <w:p/>
        </w:tc>
        <w:tc>
          <w:tcPr>
            <w:tcW w:type="dxa" w:w="1496"/>
            <w:tcBorders>
              <w:top w:sz="4.0" w:val="single" w:color="#000000"/>
            </w:tcBorders>
            <w:tcMar>
              <w:start w:w="0" w:type="dxa"/>
              <w:end w:w="0" w:type="dxa"/>
            </w:tcMar>
          </w:tcPr>
          <w:p/>
        </w:tc>
        <w:tc>
          <w:tcPr>
            <w:tcW w:type="dxa" w:w="984"/>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286"/>
            <w:tcBorders>
              <w:top w:sz="4.0" w:val="single" w:color="#000000"/>
            </w:tcBorders>
            <w:tcMar>
              <w:start w:w="0" w:type="dxa"/>
              <w:end w:w="0" w:type="dxa"/>
            </w:tcMar>
          </w:tcPr>
          <w:p/>
        </w:tc>
        <w:tc>
          <w:tcPr>
            <w:tcW w:type="dxa" w:w="1580"/>
            <w:tcBorders>
              <w:top w:sz="4.0" w:val="single" w:color="#000000"/>
            </w:tcBorders>
            <w:tcMar>
              <w:start w:w="0" w:type="dxa"/>
              <w:end w:w="0" w:type="dxa"/>
            </w:tcMar>
          </w:tcPr>
          <w:p/>
        </w:tc>
        <w:tc>
          <w:tcPr>
            <w:tcW w:type="dxa" w:w="1458"/>
            <w:tcBorders>
              <w:top w:sz="4.0" w:val="single" w:color="#000000"/>
            </w:tcBorders>
            <w:tcMar>
              <w:start w:w="0" w:type="dxa"/>
              <w:end w:w="0" w:type="dxa"/>
            </w:tcMar>
          </w:tcPr>
          <w:p/>
        </w:tc>
      </w:tr>
    </w:tbl>
    <w:p>
      <w:pPr>
        <w:autoSpaceDN w:val="0"/>
        <w:autoSpaceDE w:val="0"/>
        <w:widowControl/>
        <w:spacing w:line="268" w:lineRule="exact" w:before="1238" w:after="952"/>
        <w:ind w:left="358" w:right="0" w:firstLine="0"/>
        <w:jc w:val="left"/>
      </w:pPr>
      <w:r>
        <w:rPr>
          <w:rFonts w:ascii="黑体" w:hAnsi="黑体" w:eastAsia="黑体"/>
          <w:b w:val="0"/>
          <w:i w:val="0"/>
          <w:color w:val="000000"/>
          <w:sz w:val="24"/>
        </w:rPr>
        <w:t>此财务报表已于</w:t>
      </w:r>
      <w:r>
        <w:rPr>
          <w:rFonts w:ascii="Arial" w:hAnsi="Arial" w:eastAsia="Arial"/>
          <w:b w:val="0"/>
          <w:i w:val="0"/>
          <w:color w:val="000000"/>
          <w:sz w:val="24"/>
        </w:rPr>
        <w:t>2025</w:t>
      </w:r>
      <w:r>
        <w:rPr>
          <w:rFonts w:ascii="黑体" w:hAnsi="黑体" w:eastAsia="黑体"/>
          <w:b w:val="0"/>
          <w:i w:val="0"/>
          <w:color w:val="000000"/>
          <w:sz w:val="24"/>
        </w:rPr>
        <w:t>年</w:t>
      </w:r>
      <w:r>
        <w:rPr>
          <w:rFonts w:ascii="Arial" w:hAnsi="Arial" w:eastAsia="Arial"/>
          <w:b w:val="0"/>
          <w:i w:val="0"/>
          <w:color w:val="000000"/>
          <w:sz w:val="24"/>
        </w:rPr>
        <w:t>4</w:t>
      </w:r>
      <w:r>
        <w:rPr>
          <w:rFonts w:ascii="黑体" w:hAnsi="黑体" w:eastAsia="黑体"/>
          <w:b w:val="0"/>
          <w:i w:val="0"/>
          <w:color w:val="000000"/>
          <w:sz w:val="24"/>
        </w:rPr>
        <w:t>月</w:t>
      </w:r>
      <w:r>
        <w:rPr>
          <w:rFonts w:ascii="Arial" w:hAnsi="Arial" w:eastAsia="Arial"/>
          <w:b w:val="0"/>
          <w:i w:val="0"/>
          <w:color w:val="000000"/>
          <w:sz w:val="24"/>
        </w:rPr>
        <w:t>24</w:t>
      </w:r>
      <w:r>
        <w:rPr>
          <w:rFonts w:ascii="黑体" w:hAnsi="黑体" w:eastAsia="黑体"/>
          <w:b w:val="0"/>
          <w:i w:val="0"/>
          <w:color w:val="000000"/>
          <w:sz w:val="24"/>
        </w:rPr>
        <w:t>日获董事会批准。</w:t>
      </w:r>
    </w:p>
    <w:tbl>
      <w:tblPr>
        <w:tblW w:type="auto" w:w="0"/>
        <w:tblLayout w:type="fixed"/>
        <w:tblLook w:firstColumn="1" w:firstRow="1" w:lastColumn="0" w:lastRow="0" w:noHBand="0" w:noVBand="1" w:val="04A0"/>
        <w:tblInd w:w="358.0000000000001" w:type="dxa"/>
      </w:tblPr>
      <w:tblGrid>
        <w:gridCol w:w="3490"/>
        <w:gridCol w:w="3490"/>
        <w:gridCol w:w="3490"/>
        <w:gridCol w:w="3490"/>
      </w:tblGrid>
      <w:tr>
        <w:trPr>
          <w:trHeight w:hRule="exact" w:val="298"/>
        </w:trPr>
        <w:tc>
          <w:tcPr>
            <w:tcW w:type="dxa" w:w="3306"/>
            <w:tcBorders>
              <w:top w:sz="5.600000000000364" w:val="single" w:color="#000000"/>
            </w:tcBorders>
            <w:tcMar>
              <w:start w:w="0" w:type="dxa"/>
              <w:end w:w="0" w:type="dxa"/>
            </w:tcMar>
          </w:tcPr>
          <w:p>
            <w:pPr>
              <w:autoSpaceDN w:val="0"/>
              <w:autoSpaceDE w:val="0"/>
              <w:widowControl/>
              <w:spacing w:line="220" w:lineRule="exact" w:before="38" w:after="0"/>
              <w:ind w:left="0" w:right="0" w:firstLine="0"/>
              <w:jc w:val="left"/>
            </w:pPr>
            <w:r>
              <w:rPr>
                <w:rFonts w:ascii="黑体" w:hAnsi="黑体" w:eastAsia="黑体"/>
                <w:b w:val="0"/>
                <w:i w:val="0"/>
                <w:color w:val="000000"/>
                <w:sz w:val="22"/>
              </w:rPr>
              <w:t>王怡里</w:t>
            </w:r>
          </w:p>
        </w:tc>
        <w:tc>
          <w:tcPr>
            <w:tcW w:type="dxa" w:w="3848"/>
            <w:tcBorders>
              <w:top w:sz="5.600000000000364" w:val="single" w:color="#000000"/>
            </w:tcBorders>
            <w:tcMar>
              <w:start w:w="0" w:type="dxa"/>
              <w:end w:w="0" w:type="dxa"/>
            </w:tcMar>
          </w:tcPr>
          <w:p>
            <w:pPr>
              <w:autoSpaceDN w:val="0"/>
              <w:autoSpaceDE w:val="0"/>
              <w:widowControl/>
              <w:spacing w:line="220" w:lineRule="exact" w:before="38" w:after="0"/>
              <w:ind w:left="266" w:right="0" w:firstLine="0"/>
              <w:jc w:val="left"/>
            </w:pPr>
            <w:r>
              <w:rPr>
                <w:rFonts w:ascii="黑体" w:hAnsi="黑体" w:eastAsia="黑体"/>
                <w:b w:val="0"/>
                <w:i w:val="0"/>
                <w:color w:val="000000"/>
                <w:sz w:val="22"/>
              </w:rPr>
              <w:t>汤建雄</w:t>
            </w:r>
          </w:p>
        </w:tc>
        <w:tc>
          <w:tcPr>
            <w:tcW w:type="dxa" w:w="3486"/>
            <w:tcBorders>
              <w:top w:sz="5.600000000000364" w:val="single" w:color="#000000"/>
            </w:tcBorders>
            <w:tcMar>
              <w:start w:w="0" w:type="dxa"/>
              <w:end w:w="0" w:type="dxa"/>
            </w:tcMar>
          </w:tcPr>
          <w:p>
            <w:pPr>
              <w:autoSpaceDN w:val="0"/>
              <w:autoSpaceDE w:val="0"/>
              <w:widowControl/>
              <w:spacing w:line="220" w:lineRule="exact" w:before="38" w:after="0"/>
              <w:ind w:left="308" w:right="0" w:firstLine="0"/>
              <w:jc w:val="left"/>
            </w:pPr>
            <w:r>
              <w:rPr>
                <w:rFonts w:ascii="黑体" w:hAnsi="黑体" w:eastAsia="黑体"/>
                <w:b w:val="0"/>
                <w:i w:val="0"/>
                <w:color w:val="000000"/>
                <w:sz w:val="22"/>
              </w:rPr>
              <w:t>张立德</w:t>
            </w:r>
          </w:p>
        </w:tc>
        <w:tc>
          <w:tcPr>
            <w:tcW w:type="dxa" w:w="2342"/>
            <w:tcBorders>
              <w:top w:sz="5.600000000000364" w:val="single" w:color="#000000"/>
            </w:tcBorders>
            <w:tcMar>
              <w:start w:w="0" w:type="dxa"/>
              <w:end w:w="0" w:type="dxa"/>
            </w:tcMar>
          </w:tcPr>
          <w:p>
            <w:pPr>
              <w:autoSpaceDN w:val="0"/>
              <w:autoSpaceDE w:val="0"/>
              <w:widowControl/>
              <w:spacing w:line="220" w:lineRule="exact" w:before="38" w:after="0"/>
              <w:ind w:left="0" w:right="620" w:firstLine="0"/>
              <w:jc w:val="righ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60.0" w:type="dxa"/>
      </w:tblPr>
      <w:tblGrid>
        <w:gridCol w:w="4654"/>
        <w:gridCol w:w="4654"/>
        <w:gridCol w:w="4654"/>
      </w:tblGrid>
      <w:tr>
        <w:trPr>
          <w:trHeight w:hRule="exact" w:val="314"/>
        </w:trPr>
        <w:tc>
          <w:tcPr>
            <w:tcW w:type="dxa" w:w="2520"/>
            <w:tcBorders/>
            <w:tcMar>
              <w:start w:w="0" w:type="dxa"/>
              <w:end w:w="0" w:type="dxa"/>
            </w:tcMar>
          </w:tcPr>
          <w:p>
            <w:pPr>
              <w:autoSpaceDN w:val="0"/>
              <w:autoSpaceDE w:val="0"/>
              <w:widowControl/>
              <w:spacing w:line="222" w:lineRule="exact" w:before="32" w:after="0"/>
              <w:ind w:left="198" w:right="0" w:firstLine="0"/>
              <w:jc w:val="left"/>
            </w:pPr>
            <w:r>
              <w:rPr>
                <w:rFonts w:ascii="黑体" w:hAnsi="黑体" w:eastAsia="黑体"/>
                <w:b w:val="0"/>
                <w:i w:val="0"/>
                <w:color w:val="000000"/>
                <w:sz w:val="22"/>
              </w:rPr>
              <w:t>法定代表人</w:t>
            </w:r>
          </w:p>
        </w:tc>
        <w:tc>
          <w:tcPr>
            <w:tcW w:type="dxa" w:w="4500"/>
            <w:tcBorders/>
            <w:tcMar>
              <w:start w:w="0" w:type="dxa"/>
              <w:end w:w="0" w:type="dxa"/>
            </w:tcMar>
          </w:tcPr>
          <w:p>
            <w:pPr>
              <w:autoSpaceDN w:val="0"/>
              <w:autoSpaceDE w:val="0"/>
              <w:widowControl/>
              <w:spacing w:line="222" w:lineRule="exact" w:before="32" w:after="0"/>
              <w:ind w:left="0" w:right="610" w:firstLine="0"/>
              <w:jc w:val="right"/>
            </w:pPr>
            <w:r>
              <w:rPr>
                <w:rFonts w:ascii="黑体" w:hAnsi="黑体" w:eastAsia="黑体"/>
                <w:b w:val="0"/>
                <w:i w:val="0"/>
                <w:color w:val="000000"/>
                <w:sz w:val="22"/>
              </w:rPr>
              <w:t>主管会计工作的公司负责人</w:t>
            </w:r>
          </w:p>
        </w:tc>
        <w:tc>
          <w:tcPr>
            <w:tcW w:type="dxa" w:w="4480"/>
            <w:tcBorders/>
            <w:tcMar>
              <w:start w:w="0" w:type="dxa"/>
              <w:end w:w="0" w:type="dxa"/>
            </w:tcMar>
          </w:tcPr>
          <w:p>
            <w:pPr>
              <w:autoSpaceDN w:val="0"/>
              <w:autoSpaceDE w:val="0"/>
              <w:widowControl/>
              <w:spacing w:line="222" w:lineRule="exact" w:before="32" w:after="0"/>
              <w:ind w:left="640"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728" w:after="0"/>
        <w:ind w:left="348"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222" w:after="0"/>
        <w:ind w:left="0" w:right="0" w:firstLine="0"/>
        <w:jc w:val="center"/>
      </w:pPr>
      <w:r>
        <w:rPr>
          <w:rFonts w:ascii="Arial" w:hAnsi="Arial" w:eastAsia="Arial"/>
          <w:b w:val="0"/>
          <w:i w:val="0"/>
          <w:color w:val="000000"/>
          <w:sz w:val="20"/>
        </w:rPr>
        <w:t xml:space="preserve">158 </w:t>
      </w:r>
    </w:p>
    <w:p>
      <w:pPr>
        <w:sectPr>
          <w:pgSz w:w="16841" w:h="11899"/>
          <w:pgMar w:top="732" w:right="1440" w:bottom="360" w:left="1440" w:header="720" w:footer="720" w:gutter="0"/>
          <w:cols/>
          <w:docGrid w:linePitch="360"/>
        </w:sectPr>
      </w:pPr>
    </w:p>
    <w:p>
      <w:pPr>
        <w:autoSpaceDN w:val="0"/>
        <w:autoSpaceDE w:val="0"/>
        <w:widowControl/>
        <w:spacing w:line="220" w:lineRule="exact" w:before="0" w:after="578"/>
        <w:ind w:left="0" w:right="0"/>
      </w:pPr>
    </w:p>
    <w:p>
      <w:pPr>
        <w:autoSpaceDN w:val="0"/>
        <w:autoSpaceDE w:val="0"/>
        <w:widowControl/>
        <w:spacing w:line="184" w:lineRule="exact" w:before="0" w:after="240"/>
        <w:ind w:left="0" w:right="0" w:firstLine="0"/>
        <w:jc w:val="center"/>
      </w:pPr>
      <w:r>
        <w:rPr>
          <w:rFonts w:ascii="黑体" w:hAnsi="黑体" w:eastAsia="黑体"/>
          <w:b w:val="0"/>
          <w:i w:val="0"/>
          <w:color w:val="000000"/>
          <w:sz w:val="16"/>
        </w:rPr>
        <w:t>合并及公司现金流量表</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2936.0" w:type="dxa"/>
      </w:tblPr>
      <w:tblGrid>
        <w:gridCol w:w="1831"/>
        <w:gridCol w:w="1831"/>
        <w:gridCol w:w="1831"/>
        <w:gridCol w:w="1831"/>
        <w:gridCol w:w="1831"/>
      </w:tblGrid>
      <w:tr>
        <w:trPr>
          <w:trHeight w:hRule="exact" w:val="236"/>
        </w:trPr>
        <w:tc>
          <w:tcPr>
            <w:tcW w:type="dxa" w:w="906"/>
            <w:tcBorders>
              <w:bottom w:sz="4.0" w:val="single" w:color="#000000"/>
            </w:tcBorders>
            <w:tcMar>
              <w:start w:w="0" w:type="dxa"/>
              <w:end w:w="0" w:type="dxa"/>
            </w:tcMar>
          </w:tcPr>
          <w:p/>
        </w:tc>
        <w:tc>
          <w:tcPr>
            <w:tcW w:type="dxa" w:w="1762"/>
            <w:tcBorders>
              <w:bottom w:sz="4.0" w:val="single" w:color="#000000"/>
            </w:tcBorders>
            <w:tcMar>
              <w:start w:w="0" w:type="dxa"/>
              <w:end w:w="0" w:type="dxa"/>
            </w:tcMar>
          </w:tcPr>
          <w:p>
            <w:pPr>
              <w:autoSpaceDN w:val="0"/>
              <w:autoSpaceDE w:val="0"/>
              <w:widowControl/>
              <w:spacing w:line="150" w:lineRule="exact" w:before="60" w:after="0"/>
              <w:ind w:left="0" w:right="306" w:firstLine="0"/>
              <w:jc w:val="right"/>
            </w:pPr>
            <w:r>
              <w:rPr>
                <w:rFonts w:ascii="黑体" w:hAnsi="黑体" w:eastAsia="黑体"/>
                <w:b w:val="0"/>
                <w:i w:val="0"/>
                <w:color w:val="000000"/>
                <w:sz w:val="15"/>
              </w:rPr>
              <w:t>本集团</w:t>
            </w:r>
          </w:p>
        </w:tc>
        <w:tc>
          <w:tcPr>
            <w:tcW w:type="dxa" w:w="766"/>
            <w:tcBorders>
              <w:bottom w:sz="4.0" w:val="single" w:color="#000000"/>
            </w:tcBorders>
            <w:tcMar>
              <w:start w:w="0" w:type="dxa"/>
              <w:end w:w="0" w:type="dxa"/>
            </w:tcMar>
          </w:tcPr>
          <w:p/>
        </w:tc>
        <w:tc>
          <w:tcPr>
            <w:tcW w:type="dxa" w:w="1894"/>
            <w:tcBorders>
              <w:bottom w:sz="4.0" w:val="single" w:color="#000000"/>
            </w:tcBorders>
            <w:tcMar>
              <w:start w:w="0" w:type="dxa"/>
              <w:end w:w="0" w:type="dxa"/>
            </w:tcMar>
          </w:tcPr>
          <w:p>
            <w:pPr>
              <w:autoSpaceDN w:val="0"/>
              <w:autoSpaceDE w:val="0"/>
              <w:widowControl/>
              <w:spacing w:line="150" w:lineRule="exact" w:before="60" w:after="0"/>
              <w:ind w:left="0" w:right="302" w:firstLine="0"/>
              <w:jc w:val="right"/>
            </w:pPr>
            <w:r>
              <w:rPr>
                <w:rFonts w:ascii="黑体" w:hAnsi="黑体" w:eastAsia="黑体"/>
                <w:b w:val="0"/>
                <w:i w:val="0"/>
                <w:color w:val="000000"/>
                <w:sz w:val="15"/>
              </w:rPr>
              <w:t>本公司</w:t>
            </w:r>
          </w:p>
        </w:tc>
        <w:tc>
          <w:tcPr>
            <w:tcW w:type="dxa" w:w="768"/>
            <w:tcBorders>
              <w:bottom w:sz="4.0" w:val="single" w:color="#000000"/>
            </w:tcBorders>
            <w:tcMar>
              <w:start w:w="0" w:type="dxa"/>
              <w:end w:w="0" w:type="dxa"/>
            </w:tcMar>
          </w:tcPr>
          <w:p/>
        </w:tc>
      </w:tr>
      <w:tr>
        <w:trPr>
          <w:trHeight w:hRule="exact" w:val="184"/>
        </w:trPr>
        <w:tc>
          <w:tcPr>
            <w:tcW w:type="dxa" w:w="906"/>
            <w:tcBorders>
              <w:top w:sz="4.0" w:val="single" w:color="#000000"/>
              <w:bottom w:sz="2.400000000000091" w:val="single" w:color="#000000"/>
            </w:tcBorders>
            <w:tcMar>
              <w:start w:w="0" w:type="dxa"/>
              <w:end w:w="0" w:type="dxa"/>
            </w:tcMar>
          </w:tcPr>
          <w:p>
            <w:pPr>
              <w:autoSpaceDN w:val="0"/>
              <w:autoSpaceDE w:val="0"/>
              <w:widowControl/>
              <w:spacing w:line="150" w:lineRule="exact" w:before="24" w:after="0"/>
              <w:ind w:left="0" w:right="0" w:firstLine="0"/>
              <w:jc w:val="left"/>
            </w:pPr>
            <w:r>
              <w:rPr>
                <w:rFonts w:ascii="黑体" w:hAnsi="黑体" w:eastAsia="黑体"/>
                <w:b w:val="0"/>
                <w:i w:val="0"/>
                <w:color w:val="000000"/>
                <w:sz w:val="15"/>
              </w:rPr>
              <w:t>附注</w:t>
            </w:r>
          </w:p>
        </w:tc>
        <w:tc>
          <w:tcPr>
            <w:tcW w:type="dxa" w:w="1762"/>
            <w:tcBorders>
              <w:top w:sz="4.0" w:val="single" w:color="#000000"/>
              <w:bottom w:sz="2.400000000000091" w:val="single" w:color="#000000"/>
            </w:tcBorders>
            <w:tcMar>
              <w:start w:w="0" w:type="dxa"/>
              <w:end w:w="0" w:type="dxa"/>
            </w:tcMar>
          </w:tcPr>
          <w:p>
            <w:pPr>
              <w:autoSpaceDN w:val="0"/>
              <w:autoSpaceDE w:val="0"/>
              <w:widowControl/>
              <w:spacing w:line="166" w:lineRule="exact" w:before="10" w:after="0"/>
              <w:ind w:left="0" w:right="570" w:firstLine="0"/>
              <w:jc w:val="right"/>
            </w:pPr>
            <w:r>
              <w:rPr>
                <w:rFonts w:ascii="Calibri" w:hAnsi="Calibri" w:eastAsia="Calibri"/>
                <w:b/>
                <w:i w:val="0"/>
                <w:color w:val="000000"/>
                <w:sz w:val="15"/>
              </w:rPr>
              <w:t>2024</w:t>
            </w:r>
            <w:r>
              <w:rPr>
                <w:rFonts w:ascii="黑体" w:hAnsi="黑体" w:eastAsia="黑体"/>
                <w:b w:val="0"/>
                <w:i w:val="0"/>
                <w:color w:val="000000"/>
                <w:sz w:val="15"/>
              </w:rPr>
              <w:t>年</w:t>
            </w:r>
          </w:p>
        </w:tc>
        <w:tc>
          <w:tcPr>
            <w:tcW w:type="dxa" w:w="766"/>
            <w:tcBorders>
              <w:top w:sz="4.0" w:val="single" w:color="#000000"/>
              <w:bottom w:sz="2.400000000000091" w:val="single" w:color="#000000"/>
            </w:tcBorders>
            <w:tcMar>
              <w:start w:w="0" w:type="dxa"/>
              <w:end w:w="0" w:type="dxa"/>
            </w:tcMar>
          </w:tcPr>
          <w:p>
            <w:pPr>
              <w:autoSpaceDN w:val="0"/>
              <w:autoSpaceDE w:val="0"/>
              <w:widowControl/>
              <w:spacing w:line="166" w:lineRule="exact" w:before="10" w:after="0"/>
              <w:ind w:left="0" w:right="2" w:firstLine="0"/>
              <w:jc w:val="right"/>
            </w:pPr>
            <w:r>
              <w:rPr>
                <w:rFonts w:ascii="Calibri" w:hAnsi="Calibri" w:eastAsia="Calibri"/>
                <w:b/>
                <w:i w:val="0"/>
                <w:color w:val="000000"/>
                <w:sz w:val="15"/>
              </w:rPr>
              <w:t>2023</w:t>
            </w:r>
            <w:r>
              <w:rPr>
                <w:rFonts w:ascii="黑体" w:hAnsi="黑体" w:eastAsia="黑体"/>
                <w:b w:val="0"/>
                <w:i w:val="0"/>
                <w:color w:val="000000"/>
                <w:sz w:val="15"/>
              </w:rPr>
              <w:t>年</w:t>
            </w:r>
          </w:p>
        </w:tc>
        <w:tc>
          <w:tcPr>
            <w:tcW w:type="dxa" w:w="1894"/>
            <w:tcBorders>
              <w:top w:sz="4.0" w:val="single" w:color="#000000"/>
              <w:bottom w:sz="2.400000000000091" w:val="single" w:color="#000000"/>
            </w:tcBorders>
            <w:tcMar>
              <w:start w:w="0" w:type="dxa"/>
              <w:end w:w="0" w:type="dxa"/>
            </w:tcMar>
          </w:tcPr>
          <w:p>
            <w:pPr>
              <w:autoSpaceDN w:val="0"/>
              <w:autoSpaceDE w:val="0"/>
              <w:widowControl/>
              <w:spacing w:line="166" w:lineRule="exact" w:before="10" w:after="0"/>
              <w:ind w:left="0" w:right="564" w:firstLine="0"/>
              <w:jc w:val="right"/>
            </w:pPr>
            <w:r>
              <w:rPr>
                <w:rFonts w:ascii="Calibri" w:hAnsi="Calibri" w:eastAsia="Calibri"/>
                <w:b/>
                <w:i w:val="0"/>
                <w:color w:val="000000"/>
                <w:sz w:val="15"/>
              </w:rPr>
              <w:t>2024</w:t>
            </w:r>
            <w:r>
              <w:rPr>
                <w:rFonts w:ascii="黑体" w:hAnsi="黑体" w:eastAsia="黑体"/>
                <w:b w:val="0"/>
                <w:i w:val="0"/>
                <w:color w:val="000000"/>
                <w:sz w:val="15"/>
              </w:rPr>
              <w:t>年</w:t>
            </w:r>
          </w:p>
        </w:tc>
        <w:tc>
          <w:tcPr>
            <w:tcW w:type="dxa" w:w="768"/>
            <w:tcBorders>
              <w:top w:sz="4.0" w:val="single" w:color="#000000"/>
              <w:bottom w:sz="2.400000000000091" w:val="single" w:color="#000000"/>
            </w:tcBorders>
            <w:tcMar>
              <w:start w:w="0" w:type="dxa"/>
              <w:end w:w="0" w:type="dxa"/>
            </w:tcMar>
          </w:tcPr>
          <w:p>
            <w:pPr>
              <w:autoSpaceDN w:val="0"/>
              <w:autoSpaceDE w:val="0"/>
              <w:widowControl/>
              <w:spacing w:line="166" w:lineRule="exact" w:before="10" w:after="0"/>
              <w:ind w:left="0" w:right="0" w:firstLine="0"/>
              <w:jc w:val="right"/>
            </w:pPr>
            <w:r>
              <w:rPr>
                <w:rFonts w:ascii="Calibri" w:hAnsi="Calibri" w:eastAsia="Calibri"/>
                <w:b/>
                <w:i w:val="0"/>
                <w:color w:val="000000"/>
                <w:sz w:val="15"/>
              </w:rPr>
              <w:t>2023</w:t>
            </w:r>
            <w:r>
              <w:rPr>
                <w:rFonts w:ascii="黑体" w:hAnsi="黑体" w:eastAsia="黑体"/>
                <w:b w:val="0"/>
                <w:i w:val="0"/>
                <w:color w:val="000000"/>
                <w:sz w:val="15"/>
              </w:rPr>
              <w:t>年</w:t>
            </w:r>
          </w:p>
        </w:tc>
      </w:tr>
    </w:tbl>
    <w:p>
      <w:pPr>
        <w:autoSpaceDN w:val="0"/>
        <w:autoSpaceDE w:val="0"/>
        <w:widowControl/>
        <w:spacing w:line="152" w:lineRule="exact" w:before="220" w:after="168"/>
        <w:ind w:left="0" w:right="0" w:firstLine="0"/>
        <w:jc w:val="left"/>
      </w:pPr>
      <w:r>
        <w:rPr>
          <w:rFonts w:ascii="黑体" w:hAnsi="黑体" w:eastAsia="黑体"/>
          <w:b w:val="0"/>
          <w:i w:val="0"/>
          <w:color w:val="000000"/>
          <w:sz w:val="15"/>
        </w:rPr>
        <w:t>一、经营活动产生的现金流量</w:t>
      </w:r>
    </w:p>
    <w:tbl>
      <w:tblPr>
        <w:tblW w:type="auto" w:w="0"/>
        <w:tblLayout w:type="fixed"/>
        <w:tblLook w:firstColumn="1" w:firstRow="1" w:lastColumn="0" w:lastRow="0" w:noHBand="0" w:noVBand="1" w:val="04A0"/>
        <w:tblInd w:w="124.00000000000006" w:type="dxa"/>
      </w:tblPr>
      <w:tblGrid>
        <w:gridCol w:w="1526"/>
        <w:gridCol w:w="1526"/>
        <w:gridCol w:w="1526"/>
        <w:gridCol w:w="1526"/>
        <w:gridCol w:w="1526"/>
        <w:gridCol w:w="1526"/>
      </w:tblGrid>
      <w:tr>
        <w:trPr>
          <w:trHeight w:hRule="exact" w:val="216"/>
        </w:trPr>
        <w:tc>
          <w:tcPr>
            <w:tcW w:type="dxa" w:w="2760"/>
            <w:tcBorders/>
            <w:tcMar>
              <w:start w:w="0" w:type="dxa"/>
              <w:end w:w="0" w:type="dxa"/>
            </w:tcMar>
          </w:tcPr>
          <w:p>
            <w:pPr>
              <w:autoSpaceDN w:val="0"/>
              <w:autoSpaceDE w:val="0"/>
              <w:widowControl/>
              <w:spacing w:line="150" w:lineRule="exact" w:before="60" w:after="0"/>
              <w:ind w:left="162" w:right="0" w:firstLine="0"/>
              <w:jc w:val="left"/>
            </w:pPr>
            <w:r>
              <w:rPr>
                <w:rFonts w:ascii="黑体" w:hAnsi="黑体" w:eastAsia="黑体"/>
                <w:b w:val="0"/>
                <w:i w:val="0"/>
                <w:color w:val="000000"/>
                <w:sz w:val="15"/>
              </w:rPr>
              <w:t>代理买卖证券款收到的现金净额</w:t>
            </w:r>
          </w:p>
        </w:tc>
        <w:tc>
          <w:tcPr>
            <w:tcW w:type="dxa" w:w="958"/>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6" w:lineRule="exact" w:before="1032" w:after="0"/>
              <w:ind w:left="52" w:right="0" w:firstLine="0"/>
              <w:jc w:val="left"/>
            </w:pPr>
            <w:r>
              <w:rPr>
                <w:rFonts w:ascii="黑体" w:hAnsi="黑体" w:eastAsia="黑体"/>
                <w:b w:val="0"/>
                <w:i w:val="0"/>
                <w:color w:val="000000"/>
                <w:sz w:val="15"/>
              </w:rPr>
              <w:t>五</w:t>
            </w:r>
            <w:r>
              <w:rPr>
                <w:rFonts w:ascii="Calibri" w:hAnsi="Calibri" w:eastAsia="Calibri"/>
                <w:b w:val="0"/>
                <w:i w:val="0"/>
                <w:color w:val="000000"/>
                <w:sz w:val="15"/>
              </w:rPr>
              <w:t xml:space="preserve"> 55(1) </w:t>
            </w:r>
          </w:p>
        </w:tc>
        <w:tc>
          <w:tcPr>
            <w:tcW w:type="dxa" w:w="1336"/>
            <w:tcBorders/>
            <w:tcMar>
              <w:start w:w="0" w:type="dxa"/>
              <w:end w:w="0" w:type="dxa"/>
            </w:tcMar>
          </w:tcPr>
          <w:p>
            <w:pPr>
              <w:autoSpaceDN w:val="0"/>
              <w:autoSpaceDE w:val="0"/>
              <w:widowControl/>
              <w:spacing w:line="194" w:lineRule="auto" w:before="66" w:after="0"/>
              <w:ind w:left="318" w:right="0" w:firstLine="0"/>
              <w:jc w:val="left"/>
            </w:pPr>
            <w:r>
              <w:rPr>
                <w:rFonts w:ascii="Calibri" w:hAnsi="Calibri" w:eastAsia="Calibri"/>
                <w:b w:val="0"/>
                <w:i w:val="0"/>
                <w:color w:val="000000"/>
                <w:sz w:val="15"/>
              </w:rPr>
              <w:t xml:space="preserve">3,791,923,986 </w:t>
            </w:r>
          </w:p>
        </w:tc>
        <w:tc>
          <w:tcPr>
            <w:tcW w:type="dxa" w:w="1332"/>
            <w:tcBorders/>
            <w:tcMar>
              <w:start w:w="0" w:type="dxa"/>
              <w:end w:w="0" w:type="dxa"/>
            </w:tcMar>
          </w:tcPr>
          <w:p>
            <w:pPr>
              <w:autoSpaceDN w:val="0"/>
              <w:autoSpaceDE w:val="0"/>
              <w:widowControl/>
              <w:spacing w:line="194" w:lineRule="auto" w:before="66" w:after="0"/>
              <w:ind w:left="0" w:right="108" w:firstLine="0"/>
              <w:jc w:val="right"/>
            </w:pPr>
            <w:r>
              <w:rPr>
                <w:rFonts w:ascii="Calibri" w:hAnsi="Calibri" w:eastAsia="Calibri"/>
                <w:b w:val="0"/>
                <w:i w:val="0"/>
                <w:color w:val="000000"/>
                <w:sz w:val="15"/>
              </w:rPr>
              <w:t xml:space="preserve">- </w:t>
            </w:r>
          </w:p>
        </w:tc>
        <w:tc>
          <w:tcPr>
            <w:tcW w:type="dxa" w:w="1332"/>
            <w:tcBorders/>
            <w:tcMar>
              <w:start w:w="0" w:type="dxa"/>
              <w:end w:w="0" w:type="dxa"/>
            </w:tcMar>
          </w:tcPr>
          <w:p>
            <w:pPr>
              <w:autoSpaceDN w:val="0"/>
              <w:autoSpaceDE w:val="0"/>
              <w:widowControl/>
              <w:spacing w:line="194" w:lineRule="auto" w:before="66" w:after="0"/>
              <w:ind w:left="316" w:right="0" w:firstLine="0"/>
              <w:jc w:val="left"/>
            </w:pPr>
            <w:r>
              <w:rPr>
                <w:rFonts w:ascii="Calibri" w:hAnsi="Calibri" w:eastAsia="Calibri"/>
                <w:b w:val="0"/>
                <w:i w:val="0"/>
                <w:color w:val="000000"/>
                <w:sz w:val="15"/>
              </w:rPr>
              <w:t>3,523,797,411</w:t>
            </w:r>
          </w:p>
        </w:tc>
        <w:tc>
          <w:tcPr>
            <w:tcW w:type="dxa" w:w="1282"/>
            <w:tcBorders/>
            <w:tcMar>
              <w:start w:w="0" w:type="dxa"/>
              <w:end w:w="0" w:type="dxa"/>
            </w:tcMar>
          </w:tcPr>
          <w:p>
            <w:pPr>
              <w:autoSpaceDN w:val="0"/>
              <w:autoSpaceDE w:val="0"/>
              <w:widowControl/>
              <w:spacing w:line="194" w:lineRule="auto" w:before="66" w:after="0"/>
              <w:ind w:left="0" w:right="90" w:firstLine="0"/>
              <w:jc w:val="right"/>
            </w:pPr>
            <w:r>
              <w:rPr>
                <w:rFonts w:ascii="Calibri" w:hAnsi="Calibri" w:eastAsia="Calibri"/>
                <w:b w:val="0"/>
                <w:i w:val="0"/>
                <w:color w:val="000000"/>
                <w:sz w:val="15"/>
              </w:rPr>
              <w:t>-</w:t>
            </w:r>
          </w:p>
        </w:tc>
      </w:tr>
      <w:tr>
        <w:trPr>
          <w:trHeight w:hRule="exact" w:val="180"/>
        </w:trPr>
        <w:tc>
          <w:tcPr>
            <w:tcW w:type="dxa" w:w="2760"/>
            <w:tcBorders/>
            <w:tcMar>
              <w:start w:w="0" w:type="dxa"/>
              <w:end w:w="0" w:type="dxa"/>
            </w:tcMar>
          </w:tcPr>
          <w:p>
            <w:pPr>
              <w:autoSpaceDN w:val="0"/>
              <w:autoSpaceDE w:val="0"/>
              <w:widowControl/>
              <w:spacing w:line="150" w:lineRule="exact" w:before="30" w:after="0"/>
              <w:ind w:left="164" w:right="0" w:firstLine="0"/>
              <w:jc w:val="left"/>
            </w:pPr>
            <w:r>
              <w:rPr>
                <w:rFonts w:ascii="黑体" w:hAnsi="黑体" w:eastAsia="黑体"/>
                <w:b w:val="0"/>
                <w:i w:val="0"/>
                <w:color w:val="000000"/>
                <w:sz w:val="15"/>
              </w:rPr>
              <w:t>为交易目的而持有的金融资产净减少额</w:t>
            </w:r>
          </w:p>
        </w:tc>
        <w:tc>
          <w:tcPr>
            <w:tcW w:type="dxa" w:w="1526"/>
            <w:vMerge/>
            <w:tcBorders>
              <w:bottom w:sz="4.0" w:val="single" w:color="#000000"/>
            </w:tcBorders>
          </w:tcPr>
          <w:p/>
        </w:tc>
        <w:tc>
          <w:tcPr>
            <w:tcW w:type="dxa" w:w="1336"/>
            <w:vMerge w:val="restart"/>
            <w:tcBorders/>
            <w:tcMar>
              <w:start w:w="0" w:type="dxa"/>
              <w:end w:w="0" w:type="dxa"/>
            </w:tcMar>
            <w:tcMar>
              <w:start w:w="0" w:type="dxa"/>
              <w:end w:w="0" w:type="dxa"/>
            </w:tcMar>
          </w:tcPr>
          <w:p>
            <w:pPr>
              <w:autoSpaceDN w:val="0"/>
              <w:autoSpaceDE w:val="0"/>
              <w:widowControl/>
              <w:spacing w:line="197" w:lineRule="auto" w:before="54" w:after="0"/>
              <w:ind w:left="318" w:right="0" w:firstLine="0"/>
              <w:jc w:val="left"/>
            </w:pPr>
            <w:r>
              <w:rPr>
                <w:rFonts w:ascii="Calibri" w:hAnsi="Calibri" w:eastAsia="Calibri"/>
                <w:b w:val="0"/>
                <w:i w:val="0"/>
                <w:color w:val="000000"/>
                <w:sz w:val="15"/>
              </w:rPr>
              <w:t xml:space="preserve">2,047,431,160 </w:t>
            </w:r>
          </w:p>
        </w:tc>
        <w:tc>
          <w:tcPr>
            <w:tcW w:type="dxa" w:w="1332"/>
            <w:tcBorders/>
            <w:tcMar>
              <w:start w:w="0" w:type="dxa"/>
              <w:end w:w="0" w:type="dxa"/>
            </w:tcMar>
          </w:tcPr>
          <w:p>
            <w:pPr>
              <w:autoSpaceDN w:val="0"/>
              <w:autoSpaceDE w:val="0"/>
              <w:widowControl/>
              <w:spacing w:line="197" w:lineRule="auto" w:before="28" w:after="0"/>
              <w:ind w:left="0" w:right="108" w:firstLine="0"/>
              <w:jc w:val="right"/>
            </w:pPr>
            <w:r>
              <w:rPr>
                <w:rFonts w:ascii="Calibri" w:hAnsi="Calibri" w:eastAsia="Calibri"/>
                <w:b w:val="0"/>
                <w:i w:val="0"/>
                <w:color w:val="000000"/>
                <w:sz w:val="15"/>
              </w:rPr>
              <w:t xml:space="preserve">- </w:t>
            </w:r>
          </w:p>
        </w:tc>
        <w:tc>
          <w:tcPr>
            <w:tcW w:type="dxa" w:w="1332"/>
            <w:vMerge w:val="restart"/>
            <w:tcBorders/>
            <w:tcMar>
              <w:start w:w="0" w:type="dxa"/>
              <w:end w:w="0" w:type="dxa"/>
            </w:tcMar>
            <w:tcMar>
              <w:start w:w="0" w:type="dxa"/>
              <w:end w:w="0" w:type="dxa"/>
            </w:tcMar>
          </w:tcPr>
          <w:p>
            <w:pPr>
              <w:autoSpaceDN w:val="0"/>
              <w:autoSpaceDE w:val="0"/>
              <w:widowControl/>
              <w:spacing w:line="197" w:lineRule="auto" w:before="54" w:after="0"/>
              <w:ind w:left="316" w:right="0" w:firstLine="0"/>
              <w:jc w:val="left"/>
            </w:pPr>
            <w:r>
              <w:rPr>
                <w:rFonts w:ascii="Calibri" w:hAnsi="Calibri" w:eastAsia="Calibri"/>
                <w:b w:val="0"/>
                <w:i w:val="0"/>
                <w:color w:val="000000"/>
                <w:sz w:val="15"/>
              </w:rPr>
              <w:t>2,034,397,299</w:t>
            </w:r>
          </w:p>
        </w:tc>
        <w:tc>
          <w:tcPr>
            <w:tcW w:type="dxa" w:w="1282"/>
            <w:tcBorders/>
            <w:tcMar>
              <w:start w:w="0" w:type="dxa"/>
              <w:end w:w="0" w:type="dxa"/>
            </w:tcMar>
          </w:tcPr>
          <w:p>
            <w:pPr>
              <w:autoSpaceDN w:val="0"/>
              <w:autoSpaceDE w:val="0"/>
              <w:widowControl/>
              <w:spacing w:line="197" w:lineRule="auto" w:before="28" w:after="0"/>
              <w:ind w:left="0" w:right="90" w:firstLine="0"/>
              <w:jc w:val="right"/>
            </w:pPr>
            <w:r>
              <w:rPr>
                <w:rFonts w:ascii="Calibri" w:hAnsi="Calibri" w:eastAsia="Calibri"/>
                <w:b w:val="0"/>
                <w:i w:val="0"/>
                <w:color w:val="000000"/>
                <w:sz w:val="15"/>
              </w:rPr>
              <w:t>-</w:t>
            </w:r>
          </w:p>
        </w:tc>
      </w:tr>
      <w:tr>
        <w:trPr>
          <w:trHeight w:hRule="exact" w:val="48"/>
        </w:trPr>
        <w:tc>
          <w:tcPr>
            <w:tcW w:type="dxa" w:w="2760"/>
            <w:vMerge w:val="restart"/>
            <w:tcBorders/>
            <w:tcMar>
              <w:start w:w="0" w:type="dxa"/>
              <w:end w:w="0" w:type="dxa"/>
            </w:tcMar>
            <w:tcMar>
              <w:start w:w="0" w:type="dxa"/>
              <w:end w:w="0" w:type="dxa"/>
            </w:tcMar>
          </w:tcPr>
          <w:p>
            <w:pPr>
              <w:autoSpaceDN w:val="0"/>
              <w:autoSpaceDE w:val="0"/>
              <w:widowControl/>
              <w:spacing w:line="152" w:lineRule="exact" w:before="48" w:after="0"/>
              <w:ind w:left="162" w:right="0" w:firstLine="0"/>
              <w:jc w:val="left"/>
            </w:pPr>
            <w:r>
              <w:rPr>
                <w:rFonts w:ascii="黑体" w:hAnsi="黑体" w:eastAsia="黑体"/>
                <w:b w:val="0"/>
                <w:i w:val="0"/>
                <w:color w:val="000000"/>
                <w:sz w:val="15"/>
              </w:rPr>
              <w:t>为交易目的而持有的金融负债净增加额</w:t>
            </w:r>
          </w:p>
        </w:tc>
        <w:tc>
          <w:tcPr>
            <w:tcW w:type="dxa" w:w="1526"/>
            <w:vMerge/>
            <w:tcBorders>
              <w:bottom w:sz="4.0" w:val="single" w:color="#000000"/>
            </w:tcBorders>
          </w:tcPr>
          <w:p/>
        </w:tc>
        <w:tc>
          <w:tcPr>
            <w:tcW w:type="dxa" w:w="1526"/>
            <w:vMerge/>
            <w:tcBorders/>
          </w:tcPr>
          <w:p/>
        </w:tc>
        <w:tc>
          <w:tcPr>
            <w:tcW w:type="dxa" w:w="1332"/>
            <w:vMerge w:val="restart"/>
            <w:tcBorders/>
            <w:tcMar>
              <w:start w:w="0" w:type="dxa"/>
              <w:end w:w="0" w:type="dxa"/>
            </w:tcMar>
            <w:tcMar>
              <w:start w:w="0" w:type="dxa"/>
              <w:end w:w="0" w:type="dxa"/>
            </w:tcMar>
          </w:tcPr>
          <w:p>
            <w:pPr>
              <w:autoSpaceDN w:val="0"/>
              <w:autoSpaceDE w:val="0"/>
              <w:widowControl/>
              <w:spacing w:line="197" w:lineRule="auto" w:before="48" w:after="0"/>
              <w:ind w:left="0" w:right="108" w:firstLine="0"/>
              <w:jc w:val="right"/>
            </w:pPr>
            <w:r>
              <w:rPr>
                <w:rFonts w:ascii="Calibri" w:hAnsi="Calibri" w:eastAsia="Calibri"/>
                <w:b w:val="0"/>
                <w:i w:val="0"/>
                <w:color w:val="000000"/>
                <w:sz w:val="15"/>
              </w:rPr>
              <w:t xml:space="preserve">- </w:t>
            </w:r>
          </w:p>
        </w:tc>
        <w:tc>
          <w:tcPr>
            <w:tcW w:type="dxa" w:w="1526"/>
            <w:vMerge/>
            <w:tcBorders/>
          </w:tcPr>
          <w:p/>
        </w:tc>
        <w:tc>
          <w:tcPr>
            <w:tcW w:type="dxa" w:w="1282"/>
            <w:vMerge w:val="restart"/>
            <w:tcBorders/>
            <w:tcMar>
              <w:start w:w="0" w:type="dxa"/>
              <w:end w:w="0" w:type="dxa"/>
            </w:tcMar>
            <w:tcMar>
              <w:start w:w="0" w:type="dxa"/>
              <w:end w:w="0" w:type="dxa"/>
            </w:tcMar>
          </w:tcPr>
          <w:p>
            <w:pPr>
              <w:autoSpaceDN w:val="0"/>
              <w:autoSpaceDE w:val="0"/>
              <w:widowControl/>
              <w:spacing w:line="197" w:lineRule="auto" w:before="48" w:after="0"/>
              <w:ind w:left="0" w:right="90" w:firstLine="0"/>
              <w:jc w:val="right"/>
            </w:pPr>
            <w:r>
              <w:rPr>
                <w:rFonts w:ascii="Calibri" w:hAnsi="Calibri" w:eastAsia="Calibri"/>
                <w:b w:val="0"/>
                <w:i w:val="0"/>
                <w:color w:val="000000"/>
                <w:sz w:val="15"/>
              </w:rPr>
              <w:t>-</w:t>
            </w:r>
          </w:p>
        </w:tc>
      </w:tr>
      <w:tr>
        <w:trPr>
          <w:trHeight w:hRule="exact" w:val="152"/>
        </w:trPr>
        <w:tc>
          <w:tcPr>
            <w:tcW w:type="dxa" w:w="1526"/>
            <w:vMerge/>
            <w:tcBorders/>
          </w:tcPr>
          <w:p/>
        </w:tc>
        <w:tc>
          <w:tcPr>
            <w:tcW w:type="dxa" w:w="1526"/>
            <w:vMerge/>
            <w:tcBorders>
              <w:bottom w:sz="4.0" w:val="single" w:color="#000000"/>
            </w:tcBorders>
          </w:tcPr>
          <w:p/>
        </w:tc>
        <w:tc>
          <w:tcPr>
            <w:tcW w:type="dxa" w:w="1336"/>
            <w:tcBorders/>
            <w:tcMar>
              <w:start w:w="0" w:type="dxa"/>
              <w:end w:w="0" w:type="dxa"/>
            </w:tcMar>
          </w:tcPr>
          <w:p>
            <w:pPr>
              <w:autoSpaceDN w:val="0"/>
              <w:autoSpaceDE w:val="0"/>
              <w:widowControl/>
              <w:spacing w:line="197" w:lineRule="auto" w:before="0" w:after="0"/>
              <w:ind w:left="318" w:right="0" w:firstLine="0"/>
              <w:jc w:val="left"/>
            </w:pPr>
            <w:r>
              <w:rPr>
                <w:rFonts w:ascii="Calibri" w:hAnsi="Calibri" w:eastAsia="Calibri"/>
                <w:b w:val="0"/>
                <w:i w:val="0"/>
                <w:color w:val="000000"/>
                <w:sz w:val="15"/>
              </w:rPr>
              <w:t xml:space="preserve">1,973,097,756 </w:t>
            </w:r>
          </w:p>
        </w:tc>
        <w:tc>
          <w:tcPr>
            <w:tcW w:type="dxa" w:w="1526"/>
            <w:vMerge/>
            <w:tcBorders/>
          </w:tcPr>
          <w:p/>
        </w:tc>
        <w:tc>
          <w:tcPr>
            <w:tcW w:type="dxa" w:w="1332"/>
            <w:tcBorders/>
            <w:tcMar>
              <w:start w:w="0" w:type="dxa"/>
              <w:end w:w="0" w:type="dxa"/>
            </w:tcMar>
          </w:tcPr>
          <w:p>
            <w:pPr>
              <w:autoSpaceDN w:val="0"/>
              <w:autoSpaceDE w:val="0"/>
              <w:widowControl/>
              <w:spacing w:line="197" w:lineRule="auto" w:before="0" w:after="0"/>
              <w:ind w:left="316" w:right="0" w:firstLine="0"/>
              <w:jc w:val="left"/>
            </w:pPr>
            <w:r>
              <w:rPr>
                <w:rFonts w:ascii="Calibri" w:hAnsi="Calibri" w:eastAsia="Calibri"/>
                <w:b w:val="0"/>
                <w:i w:val="0"/>
                <w:color w:val="000000"/>
                <w:sz w:val="15"/>
              </w:rPr>
              <w:t>1,973,097,756</w:t>
            </w:r>
          </w:p>
        </w:tc>
        <w:tc>
          <w:tcPr>
            <w:tcW w:type="dxa" w:w="1526"/>
            <w:vMerge/>
            <w:tcBorders/>
          </w:tcPr>
          <w:p/>
        </w:tc>
      </w:tr>
      <w:tr>
        <w:trPr>
          <w:trHeight w:hRule="exact" w:val="200"/>
        </w:trPr>
        <w:tc>
          <w:tcPr>
            <w:tcW w:type="dxa" w:w="2760"/>
            <w:tcBorders/>
            <w:tcMar>
              <w:start w:w="0" w:type="dxa"/>
              <w:end w:w="0" w:type="dxa"/>
            </w:tcMar>
          </w:tcPr>
          <w:p>
            <w:pPr>
              <w:autoSpaceDN w:val="0"/>
              <w:autoSpaceDE w:val="0"/>
              <w:widowControl/>
              <w:spacing w:line="152" w:lineRule="exact" w:before="46" w:after="0"/>
              <w:ind w:left="162" w:right="0" w:firstLine="0"/>
              <w:jc w:val="left"/>
            </w:pPr>
            <w:r>
              <w:rPr>
                <w:rFonts w:ascii="黑体" w:hAnsi="黑体" w:eastAsia="黑体"/>
                <w:b w:val="0"/>
                <w:i w:val="0"/>
                <w:color w:val="000000"/>
                <w:sz w:val="15"/>
              </w:rPr>
              <w:t>回购业务资金净增加额</w:t>
            </w:r>
          </w:p>
        </w:tc>
        <w:tc>
          <w:tcPr>
            <w:tcW w:type="dxa" w:w="1526"/>
            <w:vMerge/>
            <w:tcBorders>
              <w:bottom w:sz="4.0" w:val="single" w:color="#000000"/>
            </w:tcBorders>
          </w:tcPr>
          <w:p/>
        </w:tc>
        <w:tc>
          <w:tcPr>
            <w:tcW w:type="dxa" w:w="1336"/>
            <w:tcBorders/>
            <w:tcMar>
              <w:start w:w="0" w:type="dxa"/>
              <w:end w:w="0" w:type="dxa"/>
            </w:tcMar>
          </w:tcPr>
          <w:p>
            <w:pPr>
              <w:autoSpaceDN w:val="0"/>
              <w:autoSpaceDE w:val="0"/>
              <w:widowControl/>
              <w:spacing w:line="194" w:lineRule="auto" w:before="50" w:after="0"/>
              <w:ind w:left="318" w:right="0" w:firstLine="0"/>
              <w:jc w:val="left"/>
            </w:pPr>
            <w:r>
              <w:rPr>
                <w:rFonts w:ascii="Calibri" w:hAnsi="Calibri" w:eastAsia="Calibri"/>
                <w:b w:val="0"/>
                <w:i w:val="0"/>
                <w:color w:val="000000"/>
                <w:sz w:val="15"/>
              </w:rPr>
              <w:t xml:space="preserve">2,400,271,077 </w:t>
            </w:r>
          </w:p>
        </w:tc>
        <w:tc>
          <w:tcPr>
            <w:tcW w:type="dxa" w:w="133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 xml:space="preserve">6,869,613,244 </w:t>
            </w:r>
          </w:p>
        </w:tc>
        <w:tc>
          <w:tcPr>
            <w:tcW w:type="dxa" w:w="133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2,327,482,843</w:t>
            </w:r>
          </w:p>
        </w:tc>
        <w:tc>
          <w:tcPr>
            <w:tcW w:type="dxa" w:w="128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6,788,352,572</w:t>
            </w:r>
          </w:p>
        </w:tc>
      </w:tr>
      <w:tr>
        <w:trPr>
          <w:trHeight w:hRule="exact" w:val="200"/>
        </w:trPr>
        <w:tc>
          <w:tcPr>
            <w:tcW w:type="dxa" w:w="2760"/>
            <w:tcBorders/>
            <w:tcMar>
              <w:start w:w="0" w:type="dxa"/>
              <w:end w:w="0" w:type="dxa"/>
            </w:tcMar>
          </w:tcPr>
          <w:p>
            <w:pPr>
              <w:autoSpaceDN w:val="0"/>
              <w:autoSpaceDE w:val="0"/>
              <w:widowControl/>
              <w:spacing w:line="152" w:lineRule="exact" w:before="40" w:after="0"/>
              <w:ind w:left="162" w:right="0" w:firstLine="0"/>
              <w:jc w:val="left"/>
            </w:pPr>
            <w:r>
              <w:rPr>
                <w:rFonts w:ascii="黑体" w:hAnsi="黑体" w:eastAsia="黑体"/>
                <w:b w:val="0"/>
                <w:i w:val="0"/>
                <w:color w:val="000000"/>
                <w:sz w:val="15"/>
              </w:rPr>
              <w:t>收取利息、手续费及佣金的现金</w:t>
            </w:r>
          </w:p>
        </w:tc>
        <w:tc>
          <w:tcPr>
            <w:tcW w:type="dxa" w:w="1526"/>
            <w:vMerge/>
            <w:tcBorders>
              <w:bottom w:sz="4.0" w:val="single" w:color="#000000"/>
            </w:tcBorders>
          </w:tcPr>
          <w:p/>
        </w:tc>
        <w:tc>
          <w:tcPr>
            <w:tcW w:type="dxa" w:w="1336"/>
            <w:tcBorders/>
            <w:tcMar>
              <w:start w:w="0" w:type="dxa"/>
              <w:end w:w="0" w:type="dxa"/>
            </w:tcMar>
          </w:tcPr>
          <w:p>
            <w:pPr>
              <w:autoSpaceDN w:val="0"/>
              <w:autoSpaceDE w:val="0"/>
              <w:widowControl/>
              <w:spacing w:line="194" w:lineRule="auto" w:before="50" w:after="0"/>
              <w:ind w:left="318" w:right="0" w:firstLine="0"/>
              <w:jc w:val="left"/>
            </w:pPr>
            <w:r>
              <w:rPr>
                <w:rFonts w:ascii="Calibri" w:hAnsi="Calibri" w:eastAsia="Calibri"/>
                <w:b w:val="0"/>
                <w:i w:val="0"/>
                <w:color w:val="000000"/>
                <w:sz w:val="15"/>
              </w:rPr>
              <w:t xml:space="preserve">3,593,838,671 </w:t>
            </w:r>
          </w:p>
        </w:tc>
        <w:tc>
          <w:tcPr>
            <w:tcW w:type="dxa" w:w="133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 xml:space="preserve">4,096,216,928 </w:t>
            </w:r>
          </w:p>
        </w:tc>
        <w:tc>
          <w:tcPr>
            <w:tcW w:type="dxa" w:w="133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2,709,291,983</w:t>
            </w:r>
          </w:p>
        </w:tc>
        <w:tc>
          <w:tcPr>
            <w:tcW w:type="dxa" w:w="1282"/>
            <w:tcBorders/>
            <w:tcMar>
              <w:start w:w="0" w:type="dxa"/>
              <w:end w:w="0" w:type="dxa"/>
            </w:tcMar>
          </w:tcPr>
          <w:p>
            <w:pPr>
              <w:autoSpaceDN w:val="0"/>
              <w:autoSpaceDE w:val="0"/>
              <w:widowControl/>
              <w:spacing w:line="194" w:lineRule="auto" w:before="50" w:after="0"/>
              <w:ind w:left="316" w:right="0" w:firstLine="0"/>
              <w:jc w:val="left"/>
            </w:pPr>
            <w:r>
              <w:rPr>
                <w:rFonts w:ascii="Calibri" w:hAnsi="Calibri" w:eastAsia="Calibri"/>
                <w:b w:val="0"/>
                <w:i w:val="0"/>
                <w:color w:val="000000"/>
                <w:sz w:val="15"/>
              </w:rPr>
              <w:t>3,201,639,843</w:t>
            </w:r>
          </w:p>
        </w:tc>
      </w:tr>
      <w:tr>
        <w:trPr>
          <w:trHeight w:hRule="exact" w:val="214"/>
        </w:trPr>
        <w:tc>
          <w:tcPr>
            <w:tcW w:type="dxa" w:w="2760"/>
            <w:tcBorders>
              <w:bottom w:sz="4.0" w:val="single" w:color="#000000"/>
            </w:tcBorders>
            <w:tcMar>
              <w:start w:w="0" w:type="dxa"/>
              <w:end w:w="0" w:type="dxa"/>
            </w:tcMar>
          </w:tcPr>
          <w:p>
            <w:pPr>
              <w:autoSpaceDN w:val="0"/>
              <w:autoSpaceDE w:val="0"/>
              <w:widowControl/>
              <w:spacing w:line="150" w:lineRule="exact" w:before="36" w:after="0"/>
              <w:ind w:left="162" w:right="0" w:firstLine="0"/>
              <w:jc w:val="left"/>
            </w:pPr>
            <w:r>
              <w:rPr>
                <w:rFonts w:ascii="黑体" w:hAnsi="黑体" w:eastAsia="黑体"/>
                <w:b w:val="0"/>
                <w:i w:val="0"/>
                <w:color w:val="000000"/>
                <w:sz w:val="15"/>
              </w:rPr>
              <w:t>收到其他与经营活动有关的现金</w:t>
            </w:r>
          </w:p>
        </w:tc>
        <w:tc>
          <w:tcPr>
            <w:tcW w:type="dxa" w:w="1526"/>
            <w:vMerge/>
            <w:tcBorders>
              <w:bottom w:sz="4.0" w:val="single" w:color="#000000"/>
            </w:tcBorders>
          </w:tcPr>
          <w:p/>
        </w:tc>
        <w:tc>
          <w:tcPr>
            <w:tcW w:type="dxa" w:w="1336"/>
            <w:tcBorders>
              <w:bottom w:sz="4.0" w:val="single" w:color="#000000"/>
            </w:tcBorders>
            <w:tcMar>
              <w:start w:w="0" w:type="dxa"/>
              <w:end w:w="0" w:type="dxa"/>
            </w:tcMar>
          </w:tcPr>
          <w:p>
            <w:pPr>
              <w:autoSpaceDN w:val="0"/>
              <w:autoSpaceDE w:val="0"/>
              <w:widowControl/>
              <w:spacing w:line="197" w:lineRule="auto" w:before="54" w:after="0"/>
              <w:ind w:left="318" w:right="0" w:firstLine="0"/>
              <w:jc w:val="left"/>
            </w:pPr>
            <w:r>
              <w:rPr>
                <w:rFonts w:ascii="Calibri" w:hAnsi="Calibri" w:eastAsia="Calibri"/>
                <w:b w:val="0"/>
                <w:i w:val="0"/>
                <w:color w:val="000000"/>
                <w:sz w:val="15"/>
              </w:rPr>
              <w:t xml:space="preserve">2,012,329,137 </w:t>
            </w:r>
          </w:p>
        </w:tc>
        <w:tc>
          <w:tcPr>
            <w:tcW w:type="dxa" w:w="1332"/>
            <w:tcBorders>
              <w:bottom w:sz="4.0" w:val="single" w:color="#000000"/>
            </w:tcBorders>
            <w:tcMar>
              <w:start w:w="0" w:type="dxa"/>
              <w:end w:w="0" w:type="dxa"/>
            </w:tcMar>
          </w:tcPr>
          <w:p>
            <w:pPr>
              <w:autoSpaceDN w:val="0"/>
              <w:autoSpaceDE w:val="0"/>
              <w:widowControl/>
              <w:spacing w:line="197" w:lineRule="auto" w:before="54" w:after="0"/>
              <w:ind w:left="316" w:right="0" w:firstLine="0"/>
              <w:jc w:val="left"/>
            </w:pPr>
            <w:r>
              <w:rPr>
                <w:rFonts w:ascii="Calibri" w:hAnsi="Calibri" w:eastAsia="Calibri"/>
                <w:b w:val="0"/>
                <w:i w:val="0"/>
                <w:color w:val="000000"/>
                <w:sz w:val="15"/>
              </w:rPr>
              <w:t xml:space="preserve">4,580,587,187 </w:t>
            </w:r>
          </w:p>
        </w:tc>
        <w:tc>
          <w:tcPr>
            <w:tcW w:type="dxa" w:w="1332"/>
            <w:tcBorders>
              <w:bottom w:sz="4.0" w:val="single" w:color="#000000"/>
            </w:tcBorders>
            <w:tcMar>
              <w:start w:w="0" w:type="dxa"/>
              <w:end w:w="0" w:type="dxa"/>
            </w:tcMar>
          </w:tcPr>
          <w:p>
            <w:pPr>
              <w:autoSpaceDN w:val="0"/>
              <w:autoSpaceDE w:val="0"/>
              <w:widowControl/>
              <w:spacing w:line="197" w:lineRule="auto" w:before="54" w:after="0"/>
              <w:ind w:left="316" w:right="0" w:firstLine="0"/>
              <w:jc w:val="left"/>
            </w:pPr>
            <w:r>
              <w:rPr>
                <w:rFonts w:ascii="Calibri" w:hAnsi="Calibri" w:eastAsia="Calibri"/>
                <w:b w:val="0"/>
                <w:i w:val="0"/>
                <w:color w:val="000000"/>
                <w:sz w:val="15"/>
              </w:rPr>
              <w:t>1,163,748,529</w:t>
            </w:r>
          </w:p>
        </w:tc>
        <w:tc>
          <w:tcPr>
            <w:tcW w:type="dxa" w:w="1282"/>
            <w:tcBorders>
              <w:bottom w:sz="4.0" w:val="single" w:color="#000000"/>
            </w:tcBorders>
            <w:tcMar>
              <w:start w:w="0" w:type="dxa"/>
              <w:end w:w="0" w:type="dxa"/>
            </w:tcMar>
          </w:tcPr>
          <w:p>
            <w:pPr>
              <w:autoSpaceDN w:val="0"/>
              <w:autoSpaceDE w:val="0"/>
              <w:widowControl/>
              <w:spacing w:line="197" w:lineRule="auto" w:before="54" w:after="0"/>
              <w:ind w:left="316" w:right="0" w:firstLine="0"/>
              <w:jc w:val="left"/>
            </w:pPr>
            <w:r>
              <w:rPr>
                <w:rFonts w:ascii="Calibri" w:hAnsi="Calibri" w:eastAsia="Calibri"/>
                <w:b w:val="0"/>
                <w:i w:val="0"/>
                <w:color w:val="000000"/>
                <w:sz w:val="15"/>
              </w:rPr>
              <w:t>3,237,106,904</w:t>
            </w:r>
          </w:p>
        </w:tc>
      </w:tr>
      <w:tr>
        <w:trPr>
          <w:trHeight w:hRule="exact" w:val="386"/>
        </w:trPr>
        <w:tc>
          <w:tcPr>
            <w:tcW w:type="dxa" w:w="2760"/>
            <w:tcBorders>
              <w:top w:sz="4.0" w:val="single" w:color="#000000"/>
              <w:bottom w:sz="3.199999999999818" w:val="single" w:color="#000000"/>
            </w:tcBorders>
            <w:tcMar>
              <w:start w:w="0" w:type="dxa"/>
              <w:end w:w="0" w:type="dxa"/>
            </w:tcMar>
          </w:tcPr>
          <w:p>
            <w:pPr>
              <w:autoSpaceDN w:val="0"/>
              <w:autoSpaceDE w:val="0"/>
              <w:widowControl/>
              <w:spacing w:line="152" w:lineRule="exact" w:before="204" w:after="0"/>
              <w:ind w:left="162" w:right="0" w:firstLine="0"/>
              <w:jc w:val="left"/>
            </w:pPr>
            <w:r>
              <w:rPr>
                <w:rFonts w:ascii="黑体" w:hAnsi="黑体" w:eastAsia="黑体"/>
                <w:b w:val="0"/>
                <w:i w:val="0"/>
                <w:color w:val="000000"/>
                <w:sz w:val="15"/>
              </w:rPr>
              <w:t>经营活动现金流入小计</w:t>
            </w:r>
          </w:p>
        </w:tc>
        <w:tc>
          <w:tcPr>
            <w:tcW w:type="dxa" w:w="958"/>
            <w:tcBorders>
              <w:top w:sz="4.0" w:val="single" w:color="#000000"/>
              <w:bottom w:sz="3.199999999999818" w:val="single" w:color="#000000"/>
            </w:tcBorders>
            <w:tcMar>
              <w:start w:w="0" w:type="dxa"/>
              <w:end w:w="0" w:type="dxa"/>
            </w:tcMar>
          </w:tcPr>
          <w:p/>
        </w:tc>
        <w:tc>
          <w:tcPr>
            <w:tcW w:type="dxa" w:w="1336"/>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240" w:right="0" w:firstLine="0"/>
              <w:jc w:val="left"/>
            </w:pPr>
            <w:r>
              <w:rPr>
                <w:rFonts w:ascii="Calibri" w:hAnsi="Calibri" w:eastAsia="Calibri"/>
                <w:b w:val="0"/>
                <w:i w:val="0"/>
                <w:color w:val="000000"/>
                <w:sz w:val="15"/>
              </w:rPr>
              <w:t xml:space="preserve">15,818,891,787 </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242" w:right="0" w:firstLine="0"/>
              <w:jc w:val="left"/>
            </w:pPr>
            <w:r>
              <w:rPr>
                <w:rFonts w:ascii="Calibri" w:hAnsi="Calibri" w:eastAsia="Calibri"/>
                <w:b w:val="0"/>
                <w:i w:val="0"/>
                <w:color w:val="000000"/>
                <w:sz w:val="15"/>
              </w:rPr>
              <w:t xml:space="preserve">15,546,417,359 </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242" w:right="0" w:firstLine="0"/>
              <w:jc w:val="left"/>
            </w:pPr>
            <w:r>
              <w:rPr>
                <w:rFonts w:ascii="Calibri" w:hAnsi="Calibri" w:eastAsia="Calibri"/>
                <w:b w:val="0"/>
                <w:i w:val="0"/>
                <w:color w:val="000000"/>
                <w:sz w:val="15"/>
              </w:rPr>
              <w:t>13,731,815,821</w:t>
            </w:r>
          </w:p>
        </w:tc>
        <w:tc>
          <w:tcPr>
            <w:tcW w:type="dxa" w:w="1282"/>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242" w:right="0" w:firstLine="0"/>
              <w:jc w:val="left"/>
            </w:pPr>
            <w:r>
              <w:rPr>
                <w:rFonts w:ascii="Calibri" w:hAnsi="Calibri" w:eastAsia="Calibri"/>
                <w:b w:val="0"/>
                <w:i w:val="0"/>
                <w:color w:val="000000"/>
                <w:sz w:val="15"/>
              </w:rPr>
              <w:t>13,227,099,319</w:t>
            </w:r>
          </w:p>
        </w:tc>
      </w:tr>
      <w:tr>
        <w:trPr>
          <w:trHeight w:hRule="exact" w:val="540"/>
        </w:trPr>
        <w:tc>
          <w:tcPr>
            <w:tcW w:type="dxa" w:w="2760"/>
            <w:tcBorders>
              <w:top w:sz="3.199999999999818" w:val="single" w:color="#000000"/>
            </w:tcBorders>
            <w:tcMar>
              <w:start w:w="0" w:type="dxa"/>
              <w:end w:w="0" w:type="dxa"/>
            </w:tcMar>
          </w:tcPr>
          <w:p>
            <w:pPr>
              <w:autoSpaceDN w:val="0"/>
              <w:autoSpaceDE w:val="0"/>
              <w:widowControl/>
              <w:spacing w:line="150" w:lineRule="exact" w:before="386" w:after="0"/>
              <w:ind w:left="162" w:right="0" w:firstLine="0"/>
              <w:jc w:val="left"/>
            </w:pPr>
            <w:r>
              <w:rPr>
                <w:rFonts w:ascii="黑体" w:hAnsi="黑体" w:eastAsia="黑体"/>
                <w:b w:val="0"/>
                <w:i w:val="0"/>
                <w:color w:val="000000"/>
                <w:sz w:val="15"/>
              </w:rPr>
              <w:t>融出资金净增加额</w:t>
            </w:r>
          </w:p>
        </w:tc>
        <w:tc>
          <w:tcPr>
            <w:tcW w:type="dxa" w:w="958"/>
            <w:vMerge w:val="restart"/>
            <w:tcBorders>
              <w:top w:sz="3.199999999999818"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8" w:lineRule="exact" w:before="2142" w:after="0"/>
              <w:ind w:left="52" w:right="0" w:firstLine="0"/>
              <w:jc w:val="left"/>
            </w:pPr>
            <w:r>
              <w:rPr>
                <w:rFonts w:ascii="黑体" w:hAnsi="黑体" w:eastAsia="黑体"/>
                <w:b w:val="0"/>
                <w:i w:val="0"/>
                <w:color w:val="000000"/>
                <w:sz w:val="15"/>
              </w:rPr>
              <w:t>五</w:t>
            </w:r>
            <w:r>
              <w:rPr>
                <w:rFonts w:ascii="Calibri" w:hAnsi="Calibri" w:eastAsia="Calibri"/>
                <w:b w:val="0"/>
                <w:i w:val="0"/>
                <w:color w:val="000000"/>
                <w:sz w:val="15"/>
              </w:rPr>
              <w:t xml:space="preserve"> 55(1) </w:t>
            </w:r>
          </w:p>
        </w:tc>
        <w:tc>
          <w:tcPr>
            <w:tcW w:type="dxa" w:w="1336"/>
            <w:vMerge w:val="restart"/>
            <w:tcBorders>
              <w:top w:sz="3.199999999999818" w:val="single" w:color="#000000"/>
            </w:tcBorders>
            <w:tcMar>
              <w:start w:w="0" w:type="dxa"/>
              <w:end w:w="0" w:type="dxa"/>
            </w:tcMar>
            <w:tcMar>
              <w:start w:w="0" w:type="dxa"/>
              <w:end w:w="0" w:type="dxa"/>
            </w:tcMar>
          </w:tcPr>
          <w:p>
            <w:pPr>
              <w:autoSpaceDN w:val="0"/>
              <w:autoSpaceDE w:val="0"/>
              <w:widowControl/>
              <w:spacing w:line="197" w:lineRule="auto" w:before="408" w:after="0"/>
              <w:ind w:left="0" w:right="64" w:firstLine="0"/>
              <w:jc w:val="right"/>
            </w:pPr>
            <w:r>
              <w:rPr>
                <w:rFonts w:ascii="Calibri" w:hAnsi="Calibri" w:eastAsia="Calibri"/>
                <w:b w:val="0"/>
                <w:i w:val="0"/>
                <w:color w:val="000000"/>
                <w:sz w:val="15"/>
              </w:rPr>
              <w:t xml:space="preserve">(608,089,669 ) </w:t>
            </w:r>
          </w:p>
        </w:tc>
        <w:tc>
          <w:tcPr>
            <w:tcW w:type="dxa" w:w="1332"/>
            <w:vMerge w:val="restart"/>
            <w:tcBorders>
              <w:top w:sz="3.199999999999818" w:val="single" w:color="#000000"/>
            </w:tcBorders>
            <w:tcMar>
              <w:start w:w="0" w:type="dxa"/>
              <w:end w:w="0" w:type="dxa"/>
            </w:tcMar>
            <w:tcMar>
              <w:start w:w="0" w:type="dxa"/>
              <w:end w:w="0" w:type="dxa"/>
            </w:tcMar>
          </w:tcPr>
          <w:p>
            <w:pPr>
              <w:autoSpaceDN w:val="0"/>
              <w:autoSpaceDE w:val="0"/>
              <w:widowControl/>
              <w:spacing w:line="197" w:lineRule="auto" w:before="408" w:after="0"/>
              <w:ind w:left="0" w:right="60" w:firstLine="0"/>
              <w:jc w:val="right"/>
            </w:pPr>
            <w:r>
              <w:rPr>
                <w:rFonts w:ascii="Calibri" w:hAnsi="Calibri" w:eastAsia="Calibri"/>
                <w:b w:val="0"/>
                <w:i w:val="0"/>
                <w:color w:val="000000"/>
                <w:sz w:val="15"/>
              </w:rPr>
              <w:t xml:space="preserve">(362,040,759 ) </w:t>
            </w:r>
          </w:p>
        </w:tc>
        <w:tc>
          <w:tcPr>
            <w:tcW w:type="dxa" w:w="1332"/>
            <w:vMerge w:val="restart"/>
            <w:tcBorders>
              <w:top w:sz="3.199999999999818" w:val="single" w:color="#000000"/>
            </w:tcBorders>
            <w:tcMar>
              <w:start w:w="0" w:type="dxa"/>
              <w:end w:w="0" w:type="dxa"/>
            </w:tcMar>
            <w:tcMar>
              <w:start w:w="0" w:type="dxa"/>
              <w:end w:w="0" w:type="dxa"/>
            </w:tcMar>
          </w:tcPr>
          <w:p>
            <w:pPr>
              <w:autoSpaceDN w:val="0"/>
              <w:autoSpaceDE w:val="0"/>
              <w:widowControl/>
              <w:spacing w:line="197" w:lineRule="auto" w:before="408" w:after="0"/>
              <w:ind w:left="0" w:right="62" w:firstLine="0"/>
              <w:jc w:val="right"/>
            </w:pPr>
            <w:r>
              <w:rPr>
                <w:rFonts w:ascii="Calibri" w:hAnsi="Calibri" w:eastAsia="Calibri"/>
                <w:b w:val="0"/>
                <w:i w:val="0"/>
                <w:color w:val="000000"/>
                <w:sz w:val="15"/>
              </w:rPr>
              <w:t xml:space="preserve">(614,782,567) </w:t>
            </w:r>
          </w:p>
        </w:tc>
        <w:tc>
          <w:tcPr>
            <w:tcW w:type="dxa" w:w="1282"/>
            <w:vMerge w:val="restart"/>
            <w:tcBorders>
              <w:top w:sz="3.199999999999818" w:val="single" w:color="#000000"/>
            </w:tcBorders>
            <w:tcMar>
              <w:start w:w="0" w:type="dxa"/>
              <w:end w:w="0" w:type="dxa"/>
            </w:tcMar>
            <w:tcMar>
              <w:start w:w="0" w:type="dxa"/>
              <w:end w:w="0" w:type="dxa"/>
            </w:tcMar>
          </w:tcPr>
          <w:p>
            <w:pPr>
              <w:autoSpaceDN w:val="0"/>
              <w:autoSpaceDE w:val="0"/>
              <w:widowControl/>
              <w:spacing w:line="197" w:lineRule="auto" w:before="408" w:after="0"/>
              <w:ind w:left="0" w:right="12" w:firstLine="0"/>
              <w:jc w:val="right"/>
            </w:pPr>
            <w:r>
              <w:rPr>
                <w:rFonts w:ascii="Calibri" w:hAnsi="Calibri" w:eastAsia="Calibri"/>
                <w:b w:val="0"/>
                <w:i w:val="0"/>
                <w:color w:val="000000"/>
                <w:sz w:val="15"/>
              </w:rPr>
              <w:t xml:space="preserve">(380,981,026) </w:t>
            </w:r>
          </w:p>
        </w:tc>
      </w:tr>
      <w:tr>
        <w:trPr>
          <w:trHeight w:hRule="exact" w:val="44"/>
        </w:trPr>
        <w:tc>
          <w:tcPr>
            <w:tcW w:type="dxa" w:w="2760"/>
            <w:vMerge w:val="restart"/>
            <w:tcBorders/>
            <w:tcMar>
              <w:start w:w="0" w:type="dxa"/>
              <w:end w:w="0" w:type="dxa"/>
            </w:tcMar>
            <w:tcMar>
              <w:start w:w="0" w:type="dxa"/>
              <w:end w:w="0" w:type="dxa"/>
            </w:tcMar>
          </w:tcPr>
          <w:p>
            <w:pPr>
              <w:autoSpaceDN w:val="0"/>
              <w:autoSpaceDE w:val="0"/>
              <w:widowControl/>
              <w:spacing w:line="152" w:lineRule="exact" w:before="48" w:after="0"/>
              <w:ind w:left="162" w:right="0" w:firstLine="0"/>
              <w:jc w:val="left"/>
            </w:pPr>
            <w:r>
              <w:rPr>
                <w:rFonts w:ascii="黑体" w:hAnsi="黑体" w:eastAsia="黑体"/>
                <w:b w:val="0"/>
                <w:i w:val="0"/>
                <w:color w:val="000000"/>
                <w:sz w:val="15"/>
              </w:rPr>
              <w:t>代理买卖证券款支付的现金净额</w:t>
            </w:r>
          </w:p>
        </w:tc>
        <w:tc>
          <w:tcPr>
            <w:tcW w:type="dxa" w:w="1526"/>
            <w:vMerge/>
            <w:tcBorders>
              <w:top w:sz="3.199999999999818" w:val="single" w:color="#000000"/>
              <w:bottom w:sz="4.0" w:val="single" w:color="#000000"/>
            </w:tcBorders>
          </w:tcPr>
          <w:p/>
        </w:tc>
        <w:tc>
          <w:tcPr>
            <w:tcW w:type="dxa" w:w="1526"/>
            <w:vMerge/>
            <w:tcBorders>
              <w:top w:sz="3.199999999999818" w:val="single" w:color="#000000"/>
            </w:tcBorders>
          </w:tcPr>
          <w:p/>
        </w:tc>
        <w:tc>
          <w:tcPr>
            <w:tcW w:type="dxa" w:w="1526"/>
            <w:vMerge/>
            <w:tcBorders>
              <w:top w:sz="3.199999999999818" w:val="single" w:color="#000000"/>
            </w:tcBorders>
          </w:tcPr>
          <w:p/>
        </w:tc>
        <w:tc>
          <w:tcPr>
            <w:tcW w:type="dxa" w:w="1526"/>
            <w:vMerge/>
            <w:tcBorders>
              <w:top w:sz="3.199999999999818" w:val="single" w:color="#000000"/>
            </w:tcBorders>
          </w:tcPr>
          <w:p/>
        </w:tc>
        <w:tc>
          <w:tcPr>
            <w:tcW w:type="dxa" w:w="1526"/>
            <w:vMerge/>
            <w:tcBorders>
              <w:top w:sz="3.199999999999818" w:val="single" w:color="#000000"/>
            </w:tcBorders>
          </w:tcPr>
          <w:p/>
        </w:tc>
      </w:tr>
      <w:tr>
        <w:trPr>
          <w:trHeight w:hRule="exact" w:val="156"/>
        </w:trPr>
        <w:tc>
          <w:tcPr>
            <w:tcW w:type="dxa" w:w="1526"/>
            <w:vMerge/>
            <w:tcBorders/>
          </w:tcPr>
          <w:p/>
        </w:tc>
        <w:tc>
          <w:tcPr>
            <w:tcW w:type="dxa" w:w="1526"/>
            <w:vMerge/>
            <w:tcBorders>
              <w:top w:sz="3.199999999999818" w:val="single" w:color="#000000"/>
              <w:bottom w:sz="4.0" w:val="single" w:color="#000000"/>
            </w:tcBorders>
          </w:tcPr>
          <w:p/>
        </w:tc>
        <w:tc>
          <w:tcPr>
            <w:tcW w:type="dxa" w:w="1336"/>
            <w:tcBorders/>
            <w:tcMar>
              <w:start w:w="0" w:type="dxa"/>
              <w:end w:w="0" w:type="dxa"/>
            </w:tcMar>
          </w:tcPr>
          <w:p>
            <w:pPr>
              <w:autoSpaceDN w:val="0"/>
              <w:autoSpaceDE w:val="0"/>
              <w:widowControl/>
              <w:spacing w:line="197" w:lineRule="auto" w:before="4" w:after="0"/>
              <w:ind w:left="0" w:right="110" w:firstLine="0"/>
              <w:jc w:val="right"/>
            </w:pPr>
            <w:r>
              <w:rPr>
                <w:rFonts w:ascii="Calibri" w:hAnsi="Calibri" w:eastAsia="Calibri"/>
                <w:b w:val="0"/>
                <w:i w:val="0"/>
                <w:color w:val="000000"/>
                <w:sz w:val="15"/>
              </w:rPr>
              <w:t xml:space="preserve">- </w:t>
            </w:r>
          </w:p>
        </w:tc>
        <w:tc>
          <w:tcPr>
            <w:tcW w:type="dxa" w:w="1332"/>
            <w:tcBorders/>
            <w:tcMar>
              <w:start w:w="0" w:type="dxa"/>
              <w:end w:w="0" w:type="dxa"/>
            </w:tcMar>
          </w:tcPr>
          <w:p>
            <w:pPr>
              <w:autoSpaceDN w:val="0"/>
              <w:autoSpaceDE w:val="0"/>
              <w:widowControl/>
              <w:spacing w:line="197" w:lineRule="auto" w:before="4" w:after="0"/>
              <w:ind w:left="270" w:right="0" w:firstLine="0"/>
              <w:jc w:val="left"/>
            </w:pPr>
            <w:r>
              <w:rPr>
                <w:rFonts w:ascii="Calibri" w:hAnsi="Calibri" w:eastAsia="Calibri"/>
                <w:b w:val="0"/>
                <w:i w:val="0"/>
                <w:color w:val="000000"/>
                <w:sz w:val="15"/>
              </w:rPr>
              <w:t xml:space="preserve">(3,932,407,826 ) </w:t>
            </w:r>
          </w:p>
        </w:tc>
        <w:tc>
          <w:tcPr>
            <w:tcW w:type="dxa" w:w="1332"/>
            <w:tcBorders/>
            <w:tcMar>
              <w:start w:w="0" w:type="dxa"/>
              <w:end w:w="0" w:type="dxa"/>
            </w:tcMar>
          </w:tcPr>
          <w:p>
            <w:pPr>
              <w:autoSpaceDN w:val="0"/>
              <w:autoSpaceDE w:val="0"/>
              <w:widowControl/>
              <w:spacing w:line="197" w:lineRule="auto" w:before="4" w:after="0"/>
              <w:ind w:left="0" w:right="140" w:firstLine="0"/>
              <w:jc w:val="right"/>
            </w:pPr>
            <w:r>
              <w:rPr>
                <w:rFonts w:ascii="Calibri" w:hAnsi="Calibri" w:eastAsia="Calibri"/>
                <w:b w:val="0"/>
                <w:i w:val="0"/>
                <w:color w:val="000000"/>
                <w:sz w:val="15"/>
              </w:rPr>
              <w:t>-</w:t>
            </w:r>
          </w:p>
        </w:tc>
        <w:tc>
          <w:tcPr>
            <w:tcW w:type="dxa" w:w="1282"/>
            <w:tcBorders/>
            <w:tcMar>
              <w:start w:w="0" w:type="dxa"/>
              <w:end w:w="0" w:type="dxa"/>
            </w:tcMar>
          </w:tcPr>
          <w:p>
            <w:pPr>
              <w:autoSpaceDN w:val="0"/>
              <w:autoSpaceDE w:val="0"/>
              <w:widowControl/>
              <w:spacing w:line="197" w:lineRule="auto" w:before="4" w:after="0"/>
              <w:ind w:left="0" w:right="12" w:firstLine="0"/>
              <w:jc w:val="right"/>
            </w:pPr>
            <w:r>
              <w:rPr>
                <w:rFonts w:ascii="Calibri" w:hAnsi="Calibri" w:eastAsia="Calibri"/>
                <w:b w:val="0"/>
                <w:i w:val="0"/>
                <w:color w:val="000000"/>
                <w:sz w:val="15"/>
              </w:rPr>
              <w:t xml:space="preserve">(33,711,800) </w:t>
            </w:r>
          </w:p>
        </w:tc>
      </w:tr>
      <w:tr>
        <w:trPr>
          <w:trHeight w:hRule="exact" w:val="200"/>
        </w:trPr>
        <w:tc>
          <w:tcPr>
            <w:tcW w:type="dxa" w:w="2760"/>
            <w:tcBorders/>
            <w:tcMar>
              <w:start w:w="0" w:type="dxa"/>
              <w:end w:w="0" w:type="dxa"/>
            </w:tcMar>
          </w:tcPr>
          <w:p>
            <w:pPr>
              <w:autoSpaceDN w:val="0"/>
              <w:autoSpaceDE w:val="0"/>
              <w:widowControl/>
              <w:spacing w:line="152" w:lineRule="exact" w:before="42" w:after="0"/>
              <w:ind w:left="162" w:right="0" w:firstLine="0"/>
              <w:jc w:val="left"/>
            </w:pPr>
            <w:r>
              <w:rPr>
                <w:rFonts w:ascii="黑体" w:hAnsi="黑体" w:eastAsia="黑体"/>
                <w:b w:val="0"/>
                <w:i w:val="0"/>
                <w:color w:val="000000"/>
                <w:sz w:val="15"/>
              </w:rPr>
              <w:t>为交易目的而持有的金融资产净增加额</w:t>
            </w:r>
          </w:p>
        </w:tc>
        <w:tc>
          <w:tcPr>
            <w:tcW w:type="dxa" w:w="1526"/>
            <w:vMerge/>
            <w:tcBorders>
              <w:top w:sz="3.199999999999818" w:val="single" w:color="#000000"/>
              <w:bottom w:sz="4.0" w:val="single" w:color="#000000"/>
            </w:tcBorders>
          </w:tcPr>
          <w:p/>
        </w:tc>
        <w:tc>
          <w:tcPr>
            <w:tcW w:type="dxa" w:w="1336"/>
            <w:tcBorders/>
            <w:tcMar>
              <w:start w:w="0" w:type="dxa"/>
              <w:end w:w="0" w:type="dxa"/>
            </w:tcMar>
          </w:tcPr>
          <w:p>
            <w:pPr>
              <w:autoSpaceDN w:val="0"/>
              <w:autoSpaceDE w:val="0"/>
              <w:widowControl/>
              <w:spacing w:line="194" w:lineRule="auto" w:before="50" w:after="0"/>
              <w:ind w:left="0" w:right="110" w:firstLine="0"/>
              <w:jc w:val="right"/>
            </w:pPr>
            <w:r>
              <w:rPr>
                <w:rFonts w:ascii="Calibri" w:hAnsi="Calibri" w:eastAsia="Calibri"/>
                <w:b w:val="0"/>
                <w:i w:val="0"/>
                <w:color w:val="000000"/>
                <w:sz w:val="15"/>
              </w:rPr>
              <w:t xml:space="preserve">- </w:t>
            </w:r>
          </w:p>
        </w:tc>
        <w:tc>
          <w:tcPr>
            <w:tcW w:type="dxa" w:w="1332"/>
            <w:tcBorders/>
            <w:tcMar>
              <w:start w:w="0" w:type="dxa"/>
              <w:end w:w="0" w:type="dxa"/>
            </w:tcMar>
          </w:tcPr>
          <w:p>
            <w:pPr>
              <w:autoSpaceDN w:val="0"/>
              <w:autoSpaceDE w:val="0"/>
              <w:widowControl/>
              <w:spacing w:line="194" w:lineRule="auto" w:before="50" w:after="0"/>
              <w:ind w:left="270" w:right="0" w:firstLine="0"/>
              <w:jc w:val="left"/>
            </w:pPr>
            <w:r>
              <w:rPr>
                <w:rFonts w:ascii="Calibri" w:hAnsi="Calibri" w:eastAsia="Calibri"/>
                <w:b w:val="0"/>
                <w:i w:val="0"/>
                <w:color w:val="000000"/>
                <w:sz w:val="15"/>
              </w:rPr>
              <w:t xml:space="preserve">(2,802,542,947 ) </w:t>
            </w:r>
          </w:p>
        </w:tc>
        <w:tc>
          <w:tcPr>
            <w:tcW w:type="dxa" w:w="1332"/>
            <w:tcBorders/>
            <w:tcMar>
              <w:start w:w="0" w:type="dxa"/>
              <w:end w:w="0" w:type="dxa"/>
            </w:tcMar>
          </w:tcPr>
          <w:p>
            <w:pPr>
              <w:autoSpaceDN w:val="0"/>
              <w:autoSpaceDE w:val="0"/>
              <w:widowControl/>
              <w:spacing w:line="194" w:lineRule="auto" w:before="50" w:after="0"/>
              <w:ind w:left="0" w:right="140" w:firstLine="0"/>
              <w:jc w:val="right"/>
            </w:pPr>
            <w:r>
              <w:rPr>
                <w:rFonts w:ascii="Calibri" w:hAnsi="Calibri" w:eastAsia="Calibri"/>
                <w:b w:val="0"/>
                <w:i w:val="0"/>
                <w:color w:val="000000"/>
                <w:sz w:val="15"/>
              </w:rPr>
              <w:t>-</w:t>
            </w:r>
          </w:p>
        </w:tc>
        <w:tc>
          <w:tcPr>
            <w:tcW w:type="dxa" w:w="1282"/>
            <w:tcBorders/>
            <w:tcMar>
              <w:start w:w="0" w:type="dxa"/>
              <w:end w:w="0" w:type="dxa"/>
            </w:tcMar>
          </w:tcPr>
          <w:p>
            <w:pPr>
              <w:autoSpaceDN w:val="0"/>
              <w:autoSpaceDE w:val="0"/>
              <w:widowControl/>
              <w:spacing w:line="194" w:lineRule="auto" w:before="50" w:after="0"/>
              <w:ind w:left="272" w:right="0" w:firstLine="0"/>
              <w:jc w:val="left"/>
            </w:pPr>
            <w:r>
              <w:rPr>
                <w:rFonts w:ascii="Calibri" w:hAnsi="Calibri" w:eastAsia="Calibri"/>
                <w:b w:val="0"/>
                <w:i w:val="0"/>
                <w:color w:val="000000"/>
                <w:sz w:val="15"/>
              </w:rPr>
              <w:t xml:space="preserve">(3,471,354,659) </w:t>
            </w:r>
          </w:p>
        </w:tc>
      </w:tr>
      <w:tr>
        <w:trPr>
          <w:trHeight w:hRule="exact" w:val="180"/>
        </w:trPr>
        <w:tc>
          <w:tcPr>
            <w:tcW w:type="dxa" w:w="2760"/>
            <w:tcBorders/>
            <w:tcMar>
              <w:start w:w="0" w:type="dxa"/>
              <w:end w:w="0" w:type="dxa"/>
            </w:tcMar>
          </w:tcPr>
          <w:p>
            <w:pPr>
              <w:autoSpaceDN w:val="0"/>
              <w:autoSpaceDE w:val="0"/>
              <w:widowControl/>
              <w:spacing w:line="152" w:lineRule="exact" w:before="28" w:after="0"/>
              <w:ind w:left="162" w:right="0" w:firstLine="0"/>
              <w:jc w:val="left"/>
            </w:pPr>
            <w:r>
              <w:rPr>
                <w:rFonts w:ascii="黑体" w:hAnsi="黑体" w:eastAsia="黑体"/>
                <w:b w:val="0"/>
                <w:i w:val="0"/>
                <w:color w:val="000000"/>
                <w:sz w:val="15"/>
              </w:rPr>
              <w:t>为交易目的而持有的金融负债净减少额</w:t>
            </w:r>
          </w:p>
        </w:tc>
        <w:tc>
          <w:tcPr>
            <w:tcW w:type="dxa" w:w="1526"/>
            <w:vMerge/>
            <w:tcBorders>
              <w:top w:sz="3.199999999999818" w:val="single" w:color="#000000"/>
              <w:bottom w:sz="4.0" w:val="single" w:color="#000000"/>
            </w:tcBorders>
          </w:tcPr>
          <w:p/>
        </w:tc>
        <w:tc>
          <w:tcPr>
            <w:tcW w:type="dxa" w:w="1336"/>
            <w:vMerge w:val="restart"/>
            <w:tcBorders/>
            <w:tcMar>
              <w:start w:w="0" w:type="dxa"/>
              <w:end w:w="0" w:type="dxa"/>
            </w:tcMar>
            <w:tcMar>
              <w:start w:w="0" w:type="dxa"/>
              <w:end w:w="0" w:type="dxa"/>
            </w:tcMar>
          </w:tcPr>
          <w:p>
            <w:pPr>
              <w:autoSpaceDN w:val="0"/>
              <w:autoSpaceDE w:val="0"/>
              <w:widowControl/>
              <w:spacing w:line="194" w:lineRule="auto" w:before="56" w:after="0"/>
              <w:ind w:left="0" w:right="110" w:firstLine="0"/>
              <w:jc w:val="right"/>
            </w:pPr>
            <w:r>
              <w:rPr>
                <w:rFonts w:ascii="Calibri" w:hAnsi="Calibri" w:eastAsia="Calibri"/>
                <w:b w:val="0"/>
                <w:i w:val="0"/>
                <w:color w:val="000000"/>
                <w:sz w:val="15"/>
              </w:rPr>
              <w:t xml:space="preserve">-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56" w:after="0"/>
              <w:ind w:left="270" w:right="0" w:firstLine="0"/>
              <w:jc w:val="left"/>
            </w:pPr>
            <w:r>
              <w:rPr>
                <w:rFonts w:ascii="Calibri" w:hAnsi="Calibri" w:eastAsia="Calibri"/>
                <w:b w:val="0"/>
                <w:i w:val="0"/>
                <w:color w:val="000000"/>
                <w:sz w:val="15"/>
              </w:rPr>
              <w:t xml:space="preserve">(2,710,662,037 )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56" w:after="0"/>
              <w:ind w:left="0" w:right="140" w:firstLine="0"/>
              <w:jc w:val="right"/>
            </w:pPr>
            <w:r>
              <w:rPr>
                <w:rFonts w:ascii="Calibri" w:hAnsi="Calibri" w:eastAsia="Calibri"/>
                <w:b w:val="0"/>
                <w:i w:val="0"/>
                <w:color w:val="000000"/>
                <w:sz w:val="15"/>
              </w:rPr>
              <w:t>-</w:t>
            </w:r>
          </w:p>
        </w:tc>
        <w:tc>
          <w:tcPr>
            <w:tcW w:type="dxa" w:w="1282"/>
            <w:vMerge w:val="restart"/>
            <w:tcBorders/>
            <w:tcMar>
              <w:start w:w="0" w:type="dxa"/>
              <w:end w:w="0" w:type="dxa"/>
            </w:tcMar>
            <w:tcMar>
              <w:start w:w="0" w:type="dxa"/>
              <w:end w:w="0" w:type="dxa"/>
            </w:tcMar>
          </w:tcPr>
          <w:p>
            <w:pPr>
              <w:autoSpaceDN w:val="0"/>
              <w:autoSpaceDE w:val="0"/>
              <w:widowControl/>
              <w:spacing w:line="194" w:lineRule="auto" w:before="56" w:after="0"/>
              <w:ind w:left="272" w:right="0" w:firstLine="0"/>
              <w:jc w:val="left"/>
            </w:pPr>
            <w:r>
              <w:rPr>
                <w:rFonts w:ascii="Calibri" w:hAnsi="Calibri" w:eastAsia="Calibri"/>
                <w:b w:val="0"/>
                <w:i w:val="0"/>
                <w:color w:val="000000"/>
                <w:sz w:val="15"/>
              </w:rPr>
              <w:t xml:space="preserve">(2,705,566,819) </w:t>
            </w:r>
          </w:p>
        </w:tc>
      </w:tr>
      <w:tr>
        <w:trPr>
          <w:trHeight w:hRule="exact" w:val="48"/>
        </w:trPr>
        <w:tc>
          <w:tcPr>
            <w:tcW w:type="dxa" w:w="2760"/>
            <w:vMerge w:val="restart"/>
            <w:tcBorders/>
            <w:tcMar>
              <w:start w:w="0" w:type="dxa"/>
              <w:end w:w="0" w:type="dxa"/>
            </w:tcMar>
            <w:tcMar>
              <w:start w:w="0" w:type="dxa"/>
              <w:end w:w="0" w:type="dxa"/>
            </w:tcMar>
          </w:tcPr>
          <w:p>
            <w:pPr>
              <w:autoSpaceDN w:val="0"/>
              <w:autoSpaceDE w:val="0"/>
              <w:widowControl/>
              <w:spacing w:line="150" w:lineRule="exact" w:before="50" w:after="0"/>
              <w:ind w:left="162" w:right="0" w:firstLine="0"/>
              <w:jc w:val="left"/>
            </w:pPr>
            <w:r>
              <w:rPr>
                <w:rFonts w:ascii="黑体" w:hAnsi="黑体" w:eastAsia="黑体"/>
                <w:b w:val="0"/>
                <w:i w:val="0"/>
                <w:color w:val="000000"/>
                <w:sz w:val="15"/>
              </w:rPr>
              <w:t>拆入资金净减少额</w:t>
            </w:r>
          </w:p>
        </w:tc>
        <w:tc>
          <w:tcPr>
            <w:tcW w:type="dxa" w:w="1526"/>
            <w:vMerge/>
            <w:tcBorders>
              <w:top w:sz="3.199999999999818" w:val="single" w:color="#000000"/>
              <w:bottom w:sz="4.0" w:val="single" w:color="#000000"/>
            </w:tcBorders>
          </w:tcPr>
          <w:p/>
        </w:tc>
        <w:tc>
          <w:tcPr>
            <w:tcW w:type="dxa" w:w="1526"/>
            <w:vMerge/>
            <w:tcBorders/>
          </w:tcPr>
          <w:p/>
        </w:tc>
        <w:tc>
          <w:tcPr>
            <w:tcW w:type="dxa" w:w="1526"/>
            <w:vMerge/>
            <w:tcBorders/>
          </w:tcPr>
          <w:p/>
        </w:tc>
        <w:tc>
          <w:tcPr>
            <w:tcW w:type="dxa" w:w="1526"/>
            <w:vMerge/>
            <w:tcBorders/>
          </w:tcPr>
          <w:p/>
        </w:tc>
        <w:tc>
          <w:tcPr>
            <w:tcW w:type="dxa" w:w="1526"/>
            <w:vMerge/>
            <w:tcBorders/>
          </w:tcPr>
          <w:p/>
        </w:tc>
      </w:tr>
      <w:tr>
        <w:trPr>
          <w:trHeight w:hRule="exact" w:val="152"/>
        </w:trPr>
        <w:tc>
          <w:tcPr>
            <w:tcW w:type="dxa" w:w="1526"/>
            <w:vMerge/>
            <w:tcBorders/>
          </w:tcPr>
          <w:p/>
        </w:tc>
        <w:tc>
          <w:tcPr>
            <w:tcW w:type="dxa" w:w="1526"/>
            <w:vMerge/>
            <w:tcBorders>
              <w:top w:sz="3.199999999999818" w:val="single" w:color="#000000"/>
              <w:bottom w:sz="4.0" w:val="single" w:color="#000000"/>
            </w:tcBorders>
          </w:tcPr>
          <w:p/>
        </w:tc>
        <w:tc>
          <w:tcPr>
            <w:tcW w:type="dxa" w:w="1336"/>
            <w:vMerge w:val="restart"/>
            <w:tcBorders/>
            <w:tcMar>
              <w:start w:w="0" w:type="dxa"/>
              <w:end w:w="0" w:type="dxa"/>
            </w:tcMar>
            <w:tcMar>
              <w:start w:w="0" w:type="dxa"/>
              <w:end w:w="0" w:type="dxa"/>
            </w:tcMar>
          </w:tcPr>
          <w:p>
            <w:pPr>
              <w:autoSpaceDN w:val="0"/>
              <w:autoSpaceDE w:val="0"/>
              <w:widowControl/>
              <w:spacing w:line="197" w:lineRule="auto" w:before="22" w:after="0"/>
              <w:ind w:left="272" w:right="0" w:firstLine="0"/>
              <w:jc w:val="left"/>
            </w:pPr>
            <w:r>
              <w:rPr>
                <w:rFonts w:ascii="Calibri" w:hAnsi="Calibri" w:eastAsia="Calibri"/>
                <w:b w:val="0"/>
                <w:i w:val="0"/>
                <w:color w:val="000000"/>
                <w:sz w:val="15"/>
              </w:rPr>
              <w:t xml:space="preserve">(2,446,006,752 ) </w:t>
            </w:r>
          </w:p>
        </w:tc>
        <w:tc>
          <w:tcPr>
            <w:tcW w:type="dxa" w:w="1332"/>
            <w:vMerge w:val="restart"/>
            <w:tcBorders/>
            <w:tcMar>
              <w:start w:w="0" w:type="dxa"/>
              <w:end w:w="0" w:type="dxa"/>
            </w:tcMar>
            <w:tcMar>
              <w:start w:w="0" w:type="dxa"/>
              <w:end w:w="0" w:type="dxa"/>
            </w:tcMar>
          </w:tcPr>
          <w:p>
            <w:pPr>
              <w:autoSpaceDN w:val="0"/>
              <w:autoSpaceDE w:val="0"/>
              <w:widowControl/>
              <w:spacing w:line="197" w:lineRule="auto" w:before="22" w:after="0"/>
              <w:ind w:left="0" w:right="60" w:firstLine="0"/>
              <w:jc w:val="right"/>
            </w:pPr>
            <w:r>
              <w:rPr>
                <w:rFonts w:ascii="Calibri" w:hAnsi="Calibri" w:eastAsia="Calibri"/>
                <w:b w:val="0"/>
                <w:i w:val="0"/>
                <w:color w:val="000000"/>
                <w:sz w:val="15"/>
              </w:rPr>
              <w:t xml:space="preserve">(655,294,368 ) </w:t>
            </w:r>
          </w:p>
        </w:tc>
        <w:tc>
          <w:tcPr>
            <w:tcW w:type="dxa" w:w="1332"/>
            <w:vMerge w:val="restart"/>
            <w:tcBorders/>
            <w:tcMar>
              <w:start w:w="0" w:type="dxa"/>
              <w:end w:w="0" w:type="dxa"/>
            </w:tcMar>
            <w:tcMar>
              <w:start w:w="0" w:type="dxa"/>
              <w:end w:w="0" w:type="dxa"/>
            </w:tcMar>
          </w:tcPr>
          <w:p>
            <w:pPr>
              <w:autoSpaceDN w:val="0"/>
              <w:autoSpaceDE w:val="0"/>
              <w:widowControl/>
              <w:spacing w:line="197" w:lineRule="auto" w:before="22" w:after="0"/>
              <w:ind w:left="270" w:right="0" w:firstLine="0"/>
              <w:jc w:val="left"/>
            </w:pPr>
            <w:r>
              <w:rPr>
                <w:rFonts w:ascii="Calibri" w:hAnsi="Calibri" w:eastAsia="Calibri"/>
                <w:b w:val="0"/>
                <w:i w:val="0"/>
                <w:color w:val="000000"/>
                <w:sz w:val="15"/>
              </w:rPr>
              <w:t xml:space="preserve">(2,446,006,752) </w:t>
            </w:r>
          </w:p>
        </w:tc>
        <w:tc>
          <w:tcPr>
            <w:tcW w:type="dxa" w:w="1282"/>
            <w:vMerge w:val="restart"/>
            <w:tcBorders/>
            <w:tcMar>
              <w:start w:w="0" w:type="dxa"/>
              <w:end w:w="0" w:type="dxa"/>
            </w:tcMar>
            <w:tcMar>
              <w:start w:w="0" w:type="dxa"/>
              <w:end w:w="0" w:type="dxa"/>
            </w:tcMar>
          </w:tcPr>
          <w:p>
            <w:pPr>
              <w:autoSpaceDN w:val="0"/>
              <w:autoSpaceDE w:val="0"/>
              <w:widowControl/>
              <w:spacing w:line="197" w:lineRule="auto" w:before="22" w:after="0"/>
              <w:ind w:left="0" w:right="12" w:firstLine="0"/>
              <w:jc w:val="right"/>
            </w:pPr>
            <w:r>
              <w:rPr>
                <w:rFonts w:ascii="Calibri" w:hAnsi="Calibri" w:eastAsia="Calibri"/>
                <w:b w:val="0"/>
                <w:i w:val="0"/>
                <w:color w:val="000000"/>
                <w:sz w:val="15"/>
              </w:rPr>
              <w:t xml:space="preserve">(655,294,368) </w:t>
            </w:r>
          </w:p>
        </w:tc>
      </w:tr>
      <w:tr>
        <w:trPr>
          <w:trHeight w:hRule="exact" w:val="42"/>
        </w:trPr>
        <w:tc>
          <w:tcPr>
            <w:tcW w:type="dxa" w:w="2760"/>
            <w:vMerge w:val="restart"/>
            <w:tcBorders/>
            <w:tcMar>
              <w:start w:w="0" w:type="dxa"/>
              <w:end w:w="0" w:type="dxa"/>
            </w:tcMar>
            <w:tcMar>
              <w:start w:w="0" w:type="dxa"/>
              <w:end w:w="0" w:type="dxa"/>
            </w:tcMar>
          </w:tcPr>
          <w:p>
            <w:pPr>
              <w:autoSpaceDN w:val="0"/>
              <w:autoSpaceDE w:val="0"/>
              <w:widowControl/>
              <w:spacing w:line="150" w:lineRule="exact" w:before="46" w:after="0"/>
              <w:ind w:left="162" w:right="0" w:firstLine="0"/>
              <w:jc w:val="left"/>
            </w:pPr>
            <w:r>
              <w:rPr>
                <w:rFonts w:ascii="黑体" w:hAnsi="黑体" w:eastAsia="黑体"/>
                <w:b w:val="0"/>
                <w:i w:val="0"/>
                <w:color w:val="000000"/>
                <w:sz w:val="15"/>
              </w:rPr>
              <w:t>买卖衍生金融工具支付的现金净额</w:t>
            </w:r>
          </w:p>
        </w:tc>
        <w:tc>
          <w:tcPr>
            <w:tcW w:type="dxa" w:w="1526"/>
            <w:vMerge/>
            <w:tcBorders>
              <w:top w:sz="3.199999999999818" w:val="single" w:color="#000000"/>
              <w:bottom w:sz="4.0" w:val="single" w:color="#000000"/>
            </w:tcBorders>
          </w:tcPr>
          <w:p/>
        </w:tc>
        <w:tc>
          <w:tcPr>
            <w:tcW w:type="dxa" w:w="1526"/>
            <w:vMerge/>
            <w:tcBorders/>
          </w:tcPr>
          <w:p/>
        </w:tc>
        <w:tc>
          <w:tcPr>
            <w:tcW w:type="dxa" w:w="1526"/>
            <w:vMerge/>
            <w:tcBorders/>
          </w:tcPr>
          <w:p/>
        </w:tc>
        <w:tc>
          <w:tcPr>
            <w:tcW w:type="dxa" w:w="1526"/>
            <w:vMerge/>
            <w:tcBorders/>
          </w:tcPr>
          <w:p/>
        </w:tc>
        <w:tc>
          <w:tcPr>
            <w:tcW w:type="dxa" w:w="1526"/>
            <w:vMerge/>
            <w:tcBorders/>
          </w:tcPr>
          <w:p/>
        </w:tc>
      </w:tr>
      <w:tr>
        <w:trPr>
          <w:trHeight w:hRule="exact" w:val="158"/>
        </w:trPr>
        <w:tc>
          <w:tcPr>
            <w:tcW w:type="dxa" w:w="1526"/>
            <w:vMerge/>
            <w:tcBorders/>
          </w:tcPr>
          <w:p/>
        </w:tc>
        <w:tc>
          <w:tcPr>
            <w:tcW w:type="dxa" w:w="1526"/>
            <w:vMerge/>
            <w:tcBorders>
              <w:top w:sz="3.199999999999818" w:val="single" w:color="#000000"/>
              <w:bottom w:sz="4.0" w:val="single" w:color="#000000"/>
            </w:tcBorders>
          </w:tcPr>
          <w:p/>
        </w:tc>
        <w:tc>
          <w:tcPr>
            <w:tcW w:type="dxa" w:w="1336"/>
            <w:tcBorders/>
            <w:tcMar>
              <w:start w:w="0" w:type="dxa"/>
              <w:end w:w="0" w:type="dxa"/>
            </w:tcMar>
          </w:tcPr>
          <w:p>
            <w:pPr>
              <w:autoSpaceDN w:val="0"/>
              <w:autoSpaceDE w:val="0"/>
              <w:widowControl/>
              <w:spacing w:line="197" w:lineRule="auto" w:before="6" w:after="0"/>
              <w:ind w:left="0" w:right="64" w:firstLine="0"/>
              <w:jc w:val="right"/>
            </w:pPr>
            <w:r>
              <w:rPr>
                <w:rFonts w:ascii="Calibri" w:hAnsi="Calibri" w:eastAsia="Calibri"/>
                <w:b w:val="0"/>
                <w:i w:val="0"/>
                <w:color w:val="000000"/>
                <w:sz w:val="15"/>
              </w:rPr>
              <w:t xml:space="preserve">(391,226,798 ) </w:t>
            </w:r>
          </w:p>
        </w:tc>
        <w:tc>
          <w:tcPr>
            <w:tcW w:type="dxa" w:w="1332"/>
            <w:tcBorders/>
            <w:tcMar>
              <w:start w:w="0" w:type="dxa"/>
              <w:end w:w="0" w:type="dxa"/>
            </w:tcMar>
          </w:tcPr>
          <w:p>
            <w:pPr>
              <w:autoSpaceDN w:val="0"/>
              <w:autoSpaceDE w:val="0"/>
              <w:widowControl/>
              <w:spacing w:line="197" w:lineRule="auto" w:before="6" w:after="0"/>
              <w:ind w:left="0" w:right="60" w:firstLine="0"/>
              <w:jc w:val="right"/>
            </w:pPr>
            <w:r>
              <w:rPr>
                <w:rFonts w:ascii="Calibri" w:hAnsi="Calibri" w:eastAsia="Calibri"/>
                <w:b w:val="0"/>
                <w:i w:val="0"/>
                <w:color w:val="000000"/>
                <w:sz w:val="15"/>
              </w:rPr>
              <w:t xml:space="preserve">(73,513,773 ) </w:t>
            </w:r>
          </w:p>
        </w:tc>
        <w:tc>
          <w:tcPr>
            <w:tcW w:type="dxa" w:w="1332"/>
            <w:tcBorders/>
            <w:tcMar>
              <w:start w:w="0" w:type="dxa"/>
              <w:end w:w="0" w:type="dxa"/>
            </w:tcMar>
          </w:tcPr>
          <w:p>
            <w:pPr>
              <w:autoSpaceDN w:val="0"/>
              <w:autoSpaceDE w:val="0"/>
              <w:widowControl/>
              <w:spacing w:line="197" w:lineRule="auto" w:before="6" w:after="0"/>
              <w:ind w:left="0" w:right="62" w:firstLine="0"/>
              <w:jc w:val="right"/>
            </w:pPr>
            <w:r>
              <w:rPr>
                <w:rFonts w:ascii="Calibri" w:hAnsi="Calibri" w:eastAsia="Calibri"/>
                <w:b w:val="0"/>
                <w:i w:val="0"/>
                <w:color w:val="000000"/>
                <w:sz w:val="15"/>
              </w:rPr>
              <w:t xml:space="preserve">(395,028,859) </w:t>
            </w:r>
          </w:p>
        </w:tc>
        <w:tc>
          <w:tcPr>
            <w:tcW w:type="dxa" w:w="1282"/>
            <w:tcBorders/>
            <w:tcMar>
              <w:start w:w="0" w:type="dxa"/>
              <w:end w:w="0" w:type="dxa"/>
            </w:tcMar>
          </w:tcPr>
          <w:p>
            <w:pPr>
              <w:autoSpaceDN w:val="0"/>
              <w:autoSpaceDE w:val="0"/>
              <w:widowControl/>
              <w:spacing w:line="197" w:lineRule="auto" w:before="6" w:after="0"/>
              <w:ind w:left="0" w:right="12" w:firstLine="0"/>
              <w:jc w:val="right"/>
            </w:pPr>
            <w:r>
              <w:rPr>
                <w:rFonts w:ascii="Calibri" w:hAnsi="Calibri" w:eastAsia="Calibri"/>
                <w:b w:val="0"/>
                <w:i w:val="0"/>
                <w:color w:val="000000"/>
                <w:sz w:val="15"/>
              </w:rPr>
              <w:t xml:space="preserve">(191,287,049) </w:t>
            </w:r>
          </w:p>
        </w:tc>
      </w:tr>
      <w:tr>
        <w:trPr>
          <w:trHeight w:hRule="exact" w:val="200"/>
        </w:trPr>
        <w:tc>
          <w:tcPr>
            <w:tcW w:type="dxa" w:w="2760"/>
            <w:tcBorders/>
            <w:tcMar>
              <w:start w:w="0" w:type="dxa"/>
              <w:end w:w="0" w:type="dxa"/>
            </w:tcMar>
          </w:tcPr>
          <w:p>
            <w:pPr>
              <w:autoSpaceDN w:val="0"/>
              <w:autoSpaceDE w:val="0"/>
              <w:widowControl/>
              <w:spacing w:line="152" w:lineRule="exact" w:before="42" w:after="0"/>
              <w:ind w:left="162" w:right="0" w:firstLine="0"/>
              <w:jc w:val="left"/>
            </w:pPr>
            <w:r>
              <w:rPr>
                <w:rFonts w:ascii="黑体" w:hAnsi="黑体" w:eastAsia="黑体"/>
                <w:b w:val="0"/>
                <w:i w:val="0"/>
                <w:color w:val="000000"/>
                <w:sz w:val="15"/>
              </w:rPr>
              <w:t>支付利息、手续费及佣金的现金</w:t>
            </w:r>
          </w:p>
        </w:tc>
        <w:tc>
          <w:tcPr>
            <w:tcW w:type="dxa" w:w="1526"/>
            <w:vMerge/>
            <w:tcBorders>
              <w:top w:sz="3.199999999999818" w:val="single" w:color="#000000"/>
              <w:bottom w:sz="4.0" w:val="single" w:color="#000000"/>
            </w:tcBorders>
          </w:tcPr>
          <w:p/>
        </w:tc>
        <w:tc>
          <w:tcPr>
            <w:tcW w:type="dxa" w:w="1336"/>
            <w:tcBorders/>
            <w:tcMar>
              <w:start w:w="0" w:type="dxa"/>
              <w:end w:w="0" w:type="dxa"/>
            </w:tcMar>
          </w:tcPr>
          <w:p>
            <w:pPr>
              <w:autoSpaceDN w:val="0"/>
              <w:autoSpaceDE w:val="0"/>
              <w:widowControl/>
              <w:spacing w:line="197" w:lineRule="auto" w:before="48" w:after="0"/>
              <w:ind w:left="0" w:right="64" w:firstLine="0"/>
              <w:jc w:val="right"/>
            </w:pPr>
            <w:r>
              <w:rPr>
                <w:rFonts w:ascii="Calibri" w:hAnsi="Calibri" w:eastAsia="Calibri"/>
                <w:b w:val="0"/>
                <w:i w:val="0"/>
                <w:color w:val="000000"/>
                <w:sz w:val="15"/>
              </w:rPr>
              <w:t xml:space="preserve">(783,019,461 ) </w:t>
            </w:r>
          </w:p>
        </w:tc>
        <w:tc>
          <w:tcPr>
            <w:tcW w:type="dxa" w:w="1332"/>
            <w:tcBorders/>
            <w:tcMar>
              <w:start w:w="0" w:type="dxa"/>
              <w:end w:w="0" w:type="dxa"/>
            </w:tcMar>
          </w:tcPr>
          <w:p>
            <w:pPr>
              <w:autoSpaceDN w:val="0"/>
              <w:autoSpaceDE w:val="0"/>
              <w:widowControl/>
              <w:spacing w:line="197" w:lineRule="auto" w:before="48" w:after="0"/>
              <w:ind w:left="0" w:right="60" w:firstLine="0"/>
              <w:jc w:val="right"/>
            </w:pPr>
            <w:r>
              <w:rPr>
                <w:rFonts w:ascii="Calibri" w:hAnsi="Calibri" w:eastAsia="Calibri"/>
                <w:b w:val="0"/>
                <w:i w:val="0"/>
                <w:color w:val="000000"/>
                <w:sz w:val="15"/>
              </w:rPr>
              <w:t xml:space="preserve">(851,441,933 ) </w:t>
            </w:r>
          </w:p>
        </w:tc>
        <w:tc>
          <w:tcPr>
            <w:tcW w:type="dxa" w:w="1332"/>
            <w:tcBorders/>
            <w:tcMar>
              <w:start w:w="0" w:type="dxa"/>
              <w:end w:w="0" w:type="dxa"/>
            </w:tcMar>
          </w:tcPr>
          <w:p>
            <w:pPr>
              <w:autoSpaceDN w:val="0"/>
              <w:autoSpaceDE w:val="0"/>
              <w:widowControl/>
              <w:spacing w:line="197" w:lineRule="auto" w:before="48" w:after="0"/>
              <w:ind w:left="0" w:right="62" w:firstLine="0"/>
              <w:jc w:val="right"/>
            </w:pPr>
            <w:r>
              <w:rPr>
                <w:rFonts w:ascii="Calibri" w:hAnsi="Calibri" w:eastAsia="Calibri"/>
                <w:b w:val="0"/>
                <w:i w:val="0"/>
                <w:color w:val="000000"/>
                <w:sz w:val="15"/>
              </w:rPr>
              <w:t xml:space="preserve">(669,296,361) </w:t>
            </w:r>
          </w:p>
        </w:tc>
        <w:tc>
          <w:tcPr>
            <w:tcW w:type="dxa" w:w="1282"/>
            <w:tcBorders/>
            <w:tcMar>
              <w:start w:w="0" w:type="dxa"/>
              <w:end w:w="0" w:type="dxa"/>
            </w:tcMar>
          </w:tcPr>
          <w:p>
            <w:pPr>
              <w:autoSpaceDN w:val="0"/>
              <w:autoSpaceDE w:val="0"/>
              <w:widowControl/>
              <w:spacing w:line="197" w:lineRule="auto" w:before="48" w:after="0"/>
              <w:ind w:left="0" w:right="12" w:firstLine="0"/>
              <w:jc w:val="right"/>
            </w:pPr>
            <w:r>
              <w:rPr>
                <w:rFonts w:ascii="Calibri" w:hAnsi="Calibri" w:eastAsia="Calibri"/>
                <w:b w:val="0"/>
                <w:i w:val="0"/>
                <w:color w:val="000000"/>
                <w:sz w:val="15"/>
              </w:rPr>
              <w:t xml:space="preserve">(747,773,887) </w:t>
            </w:r>
          </w:p>
        </w:tc>
      </w:tr>
      <w:tr>
        <w:trPr>
          <w:trHeight w:hRule="exact" w:val="180"/>
        </w:trPr>
        <w:tc>
          <w:tcPr>
            <w:tcW w:type="dxa" w:w="2760"/>
            <w:tcBorders/>
            <w:tcMar>
              <w:start w:w="0" w:type="dxa"/>
              <w:end w:w="0" w:type="dxa"/>
            </w:tcMar>
          </w:tcPr>
          <w:p>
            <w:pPr>
              <w:autoSpaceDN w:val="0"/>
              <w:autoSpaceDE w:val="0"/>
              <w:widowControl/>
              <w:spacing w:line="152" w:lineRule="exact" w:before="28" w:after="0"/>
              <w:ind w:left="162" w:right="0" w:firstLine="0"/>
              <w:jc w:val="left"/>
            </w:pPr>
            <w:r>
              <w:rPr>
                <w:rFonts w:ascii="黑体" w:hAnsi="黑体" w:eastAsia="黑体"/>
                <w:b w:val="0"/>
                <w:i w:val="0"/>
                <w:color w:val="000000"/>
                <w:sz w:val="15"/>
              </w:rPr>
              <w:t>支付给职工以及为职工支付的现金</w:t>
            </w:r>
          </w:p>
        </w:tc>
        <w:tc>
          <w:tcPr>
            <w:tcW w:type="dxa" w:w="1526"/>
            <w:vMerge/>
            <w:tcBorders>
              <w:top w:sz="3.199999999999818" w:val="single" w:color="#000000"/>
              <w:bottom w:sz="4.0" w:val="single" w:color="#000000"/>
            </w:tcBorders>
          </w:tcPr>
          <w:p/>
        </w:tc>
        <w:tc>
          <w:tcPr>
            <w:tcW w:type="dxa" w:w="1336"/>
            <w:vMerge w:val="restart"/>
            <w:tcBorders/>
            <w:tcMar>
              <w:start w:w="0" w:type="dxa"/>
              <w:end w:w="0" w:type="dxa"/>
            </w:tcMar>
            <w:tcMar>
              <w:start w:w="0" w:type="dxa"/>
              <w:end w:w="0" w:type="dxa"/>
            </w:tcMar>
          </w:tcPr>
          <w:p>
            <w:pPr>
              <w:autoSpaceDN w:val="0"/>
              <w:autoSpaceDE w:val="0"/>
              <w:widowControl/>
              <w:spacing w:line="194" w:lineRule="auto" w:before="54" w:after="0"/>
              <w:ind w:left="270" w:right="0" w:firstLine="0"/>
              <w:jc w:val="left"/>
            </w:pPr>
            <w:r>
              <w:rPr>
                <w:rFonts w:ascii="Calibri" w:hAnsi="Calibri" w:eastAsia="Calibri"/>
                <w:b w:val="0"/>
                <w:i w:val="0"/>
                <w:color w:val="000000"/>
                <w:sz w:val="15"/>
              </w:rPr>
              <w:t xml:space="preserve">(1,272,918,538 )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54" w:after="0"/>
              <w:ind w:left="270" w:right="0" w:firstLine="0"/>
              <w:jc w:val="left"/>
            </w:pPr>
            <w:r>
              <w:rPr>
                <w:rFonts w:ascii="Calibri" w:hAnsi="Calibri" w:eastAsia="Calibri"/>
                <w:b w:val="0"/>
                <w:i w:val="0"/>
                <w:color w:val="000000"/>
                <w:sz w:val="15"/>
              </w:rPr>
              <w:t xml:space="preserve">(1,322,472,400 )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54" w:after="0"/>
              <w:ind w:left="0" w:right="62" w:firstLine="0"/>
              <w:jc w:val="right"/>
            </w:pPr>
            <w:r>
              <w:rPr>
                <w:rFonts w:ascii="Calibri" w:hAnsi="Calibri" w:eastAsia="Calibri"/>
                <w:b w:val="0"/>
                <w:i w:val="0"/>
                <w:color w:val="000000"/>
                <w:sz w:val="15"/>
              </w:rPr>
              <w:t xml:space="preserve">(781,703,664) </w:t>
            </w:r>
          </w:p>
        </w:tc>
        <w:tc>
          <w:tcPr>
            <w:tcW w:type="dxa" w:w="1282"/>
            <w:vMerge w:val="restart"/>
            <w:tcBorders/>
            <w:tcMar>
              <w:start w:w="0" w:type="dxa"/>
              <w:end w:w="0" w:type="dxa"/>
            </w:tcMar>
            <w:tcMar>
              <w:start w:w="0" w:type="dxa"/>
              <w:end w:w="0" w:type="dxa"/>
            </w:tcMar>
          </w:tcPr>
          <w:p>
            <w:pPr>
              <w:autoSpaceDN w:val="0"/>
              <w:autoSpaceDE w:val="0"/>
              <w:widowControl/>
              <w:spacing w:line="194" w:lineRule="auto" w:before="54" w:after="0"/>
              <w:ind w:left="0" w:right="12" w:firstLine="0"/>
              <w:jc w:val="right"/>
            </w:pPr>
            <w:r>
              <w:rPr>
                <w:rFonts w:ascii="Calibri" w:hAnsi="Calibri" w:eastAsia="Calibri"/>
                <w:b w:val="0"/>
                <w:i w:val="0"/>
                <w:color w:val="000000"/>
                <w:sz w:val="15"/>
              </w:rPr>
              <w:t xml:space="preserve">(838,454,260) </w:t>
            </w:r>
          </w:p>
        </w:tc>
      </w:tr>
      <w:tr>
        <w:trPr>
          <w:trHeight w:hRule="exact" w:val="46"/>
        </w:trPr>
        <w:tc>
          <w:tcPr>
            <w:tcW w:type="dxa" w:w="2760"/>
            <w:vMerge w:val="restart"/>
            <w:tcBorders/>
            <w:tcMar>
              <w:start w:w="0" w:type="dxa"/>
              <w:end w:w="0" w:type="dxa"/>
            </w:tcMar>
            <w:tcMar>
              <w:start w:w="0" w:type="dxa"/>
              <w:end w:w="0" w:type="dxa"/>
            </w:tcMar>
          </w:tcPr>
          <w:p>
            <w:pPr>
              <w:autoSpaceDN w:val="0"/>
              <w:autoSpaceDE w:val="0"/>
              <w:widowControl/>
              <w:spacing w:line="150" w:lineRule="exact" w:before="50" w:after="0"/>
              <w:ind w:left="162" w:right="0" w:firstLine="0"/>
              <w:jc w:val="left"/>
            </w:pPr>
            <w:r>
              <w:rPr>
                <w:rFonts w:ascii="黑体" w:hAnsi="黑体" w:eastAsia="黑体"/>
                <w:b w:val="0"/>
                <w:i w:val="0"/>
                <w:color w:val="000000"/>
                <w:sz w:val="15"/>
              </w:rPr>
              <w:t>支付的各项税费</w:t>
            </w:r>
          </w:p>
        </w:tc>
        <w:tc>
          <w:tcPr>
            <w:tcW w:type="dxa" w:w="1526"/>
            <w:vMerge/>
            <w:tcBorders>
              <w:top w:sz="3.199999999999818" w:val="single" w:color="#000000"/>
              <w:bottom w:sz="4.0" w:val="single" w:color="#000000"/>
            </w:tcBorders>
          </w:tcPr>
          <w:p/>
        </w:tc>
        <w:tc>
          <w:tcPr>
            <w:tcW w:type="dxa" w:w="1526"/>
            <w:vMerge/>
            <w:tcBorders/>
          </w:tcPr>
          <w:p/>
        </w:tc>
        <w:tc>
          <w:tcPr>
            <w:tcW w:type="dxa" w:w="1526"/>
            <w:vMerge/>
            <w:tcBorders/>
          </w:tcPr>
          <w:p/>
        </w:tc>
        <w:tc>
          <w:tcPr>
            <w:tcW w:type="dxa" w:w="1526"/>
            <w:vMerge/>
            <w:tcBorders/>
          </w:tcPr>
          <w:p/>
        </w:tc>
        <w:tc>
          <w:tcPr>
            <w:tcW w:type="dxa" w:w="1526"/>
            <w:vMerge/>
            <w:tcBorders/>
          </w:tcPr>
          <w:p/>
        </w:tc>
      </w:tr>
      <w:tr>
        <w:trPr>
          <w:trHeight w:hRule="exact" w:val="154"/>
        </w:trPr>
        <w:tc>
          <w:tcPr>
            <w:tcW w:type="dxa" w:w="1526"/>
            <w:vMerge/>
            <w:tcBorders/>
          </w:tcPr>
          <w:p/>
        </w:tc>
        <w:tc>
          <w:tcPr>
            <w:tcW w:type="dxa" w:w="1526"/>
            <w:vMerge/>
            <w:tcBorders>
              <w:top w:sz="3.199999999999818" w:val="single" w:color="#000000"/>
              <w:bottom w:sz="4.0" w:val="single" w:color="#000000"/>
            </w:tcBorders>
          </w:tcPr>
          <w:p/>
        </w:tc>
        <w:tc>
          <w:tcPr>
            <w:tcW w:type="dxa" w:w="1336"/>
            <w:tcBorders/>
            <w:tcMar>
              <w:start w:w="0" w:type="dxa"/>
              <w:end w:w="0" w:type="dxa"/>
            </w:tcMar>
          </w:tcPr>
          <w:p>
            <w:pPr>
              <w:autoSpaceDN w:val="0"/>
              <w:autoSpaceDE w:val="0"/>
              <w:widowControl/>
              <w:spacing w:line="194" w:lineRule="auto" w:before="4" w:after="0"/>
              <w:ind w:left="0" w:right="64" w:firstLine="0"/>
              <w:jc w:val="right"/>
            </w:pPr>
            <w:r>
              <w:rPr>
                <w:rFonts w:ascii="Calibri" w:hAnsi="Calibri" w:eastAsia="Calibri"/>
                <w:b w:val="0"/>
                <w:i w:val="0"/>
                <w:color w:val="000000"/>
                <w:sz w:val="15"/>
              </w:rPr>
              <w:t xml:space="preserve">(306,191,953 ) </w:t>
            </w:r>
          </w:p>
        </w:tc>
        <w:tc>
          <w:tcPr>
            <w:tcW w:type="dxa" w:w="1332"/>
            <w:tcBorders/>
            <w:tcMar>
              <w:start w:w="0" w:type="dxa"/>
              <w:end w:w="0" w:type="dxa"/>
            </w:tcMar>
          </w:tcPr>
          <w:p>
            <w:pPr>
              <w:autoSpaceDN w:val="0"/>
              <w:autoSpaceDE w:val="0"/>
              <w:widowControl/>
              <w:spacing w:line="194" w:lineRule="auto" w:before="4" w:after="0"/>
              <w:ind w:left="0" w:right="60" w:firstLine="0"/>
              <w:jc w:val="right"/>
            </w:pPr>
            <w:r>
              <w:rPr>
                <w:rFonts w:ascii="Calibri" w:hAnsi="Calibri" w:eastAsia="Calibri"/>
                <w:b w:val="0"/>
                <w:i w:val="0"/>
                <w:color w:val="000000"/>
                <w:sz w:val="15"/>
              </w:rPr>
              <w:t xml:space="preserve">(312,129,135 ) </w:t>
            </w:r>
          </w:p>
        </w:tc>
        <w:tc>
          <w:tcPr>
            <w:tcW w:type="dxa" w:w="1332"/>
            <w:tcBorders/>
            <w:tcMar>
              <w:start w:w="0" w:type="dxa"/>
              <w:end w:w="0" w:type="dxa"/>
            </w:tcMar>
          </w:tcPr>
          <w:p>
            <w:pPr>
              <w:autoSpaceDN w:val="0"/>
              <w:autoSpaceDE w:val="0"/>
              <w:widowControl/>
              <w:spacing w:line="194" w:lineRule="auto" w:before="4" w:after="0"/>
              <w:ind w:left="0" w:right="62" w:firstLine="0"/>
              <w:jc w:val="right"/>
            </w:pPr>
            <w:r>
              <w:rPr>
                <w:rFonts w:ascii="Calibri" w:hAnsi="Calibri" w:eastAsia="Calibri"/>
                <w:b w:val="0"/>
                <w:i w:val="0"/>
                <w:color w:val="000000"/>
                <w:sz w:val="15"/>
              </w:rPr>
              <w:t xml:space="preserve">(147,339,981) </w:t>
            </w:r>
          </w:p>
        </w:tc>
        <w:tc>
          <w:tcPr>
            <w:tcW w:type="dxa" w:w="1282"/>
            <w:tcBorders/>
            <w:tcMar>
              <w:start w:w="0" w:type="dxa"/>
              <w:end w:w="0" w:type="dxa"/>
            </w:tcMar>
          </w:tcPr>
          <w:p>
            <w:pPr>
              <w:autoSpaceDN w:val="0"/>
              <w:autoSpaceDE w:val="0"/>
              <w:widowControl/>
              <w:spacing w:line="194" w:lineRule="auto" w:before="4" w:after="0"/>
              <w:ind w:left="0" w:right="12" w:firstLine="0"/>
              <w:jc w:val="right"/>
            </w:pPr>
            <w:r>
              <w:rPr>
                <w:rFonts w:ascii="Calibri" w:hAnsi="Calibri" w:eastAsia="Calibri"/>
                <w:b w:val="0"/>
                <w:i w:val="0"/>
                <w:color w:val="000000"/>
                <w:sz w:val="15"/>
              </w:rPr>
              <w:t xml:space="preserve">(249,179,089) </w:t>
            </w:r>
          </w:p>
        </w:tc>
      </w:tr>
      <w:tr>
        <w:trPr>
          <w:trHeight w:hRule="exact" w:val="222"/>
        </w:trPr>
        <w:tc>
          <w:tcPr>
            <w:tcW w:type="dxa" w:w="2760"/>
            <w:tcBorders>
              <w:bottom w:sz="4.0" w:val="single" w:color="#000000"/>
            </w:tcBorders>
            <w:tcMar>
              <w:start w:w="0" w:type="dxa"/>
              <w:end w:w="0" w:type="dxa"/>
            </w:tcMar>
          </w:tcPr>
          <w:p>
            <w:pPr>
              <w:autoSpaceDN w:val="0"/>
              <w:autoSpaceDE w:val="0"/>
              <w:widowControl/>
              <w:spacing w:line="150" w:lineRule="exact" w:before="46" w:after="0"/>
              <w:ind w:left="162" w:right="0" w:firstLine="0"/>
              <w:jc w:val="left"/>
            </w:pPr>
            <w:r>
              <w:rPr>
                <w:rFonts w:ascii="黑体" w:hAnsi="黑体" w:eastAsia="黑体"/>
                <w:b w:val="0"/>
                <w:i w:val="0"/>
                <w:color w:val="000000"/>
                <w:sz w:val="15"/>
              </w:rPr>
              <w:t>支付其他与经营活动有关的现金</w:t>
            </w:r>
          </w:p>
        </w:tc>
        <w:tc>
          <w:tcPr>
            <w:tcW w:type="dxa" w:w="1526"/>
            <w:vMerge/>
            <w:tcBorders>
              <w:top w:sz="3.199999999999818" w:val="single" w:color="#000000"/>
              <w:bottom w:sz="4.0" w:val="single" w:color="#000000"/>
            </w:tcBorders>
          </w:tcPr>
          <w:p/>
        </w:tc>
        <w:tc>
          <w:tcPr>
            <w:tcW w:type="dxa" w:w="1336"/>
            <w:tcBorders>
              <w:bottom w:sz="4.0" w:val="single" w:color="#000000"/>
            </w:tcBorders>
            <w:tcMar>
              <w:start w:w="0" w:type="dxa"/>
              <w:end w:w="0" w:type="dxa"/>
            </w:tcMar>
          </w:tcPr>
          <w:p>
            <w:pPr>
              <w:autoSpaceDN w:val="0"/>
              <w:autoSpaceDE w:val="0"/>
              <w:widowControl/>
              <w:spacing w:line="197" w:lineRule="auto" w:before="62" w:after="0"/>
              <w:ind w:left="270" w:right="0" w:firstLine="0"/>
              <w:jc w:val="left"/>
            </w:pPr>
            <w:r>
              <w:rPr>
                <w:rFonts w:ascii="Calibri" w:hAnsi="Calibri" w:eastAsia="Calibri"/>
                <w:b w:val="0"/>
                <w:i w:val="0"/>
                <w:color w:val="000000"/>
                <w:sz w:val="15"/>
              </w:rPr>
              <w:t xml:space="preserve">(1,945,063,034 ) </w:t>
            </w:r>
          </w:p>
        </w:tc>
        <w:tc>
          <w:tcPr>
            <w:tcW w:type="dxa" w:w="1332"/>
            <w:tcBorders>
              <w:bottom w:sz="4.0" w:val="single" w:color="#000000"/>
            </w:tcBorders>
            <w:tcMar>
              <w:start w:w="0" w:type="dxa"/>
              <w:end w:w="0" w:type="dxa"/>
            </w:tcMar>
          </w:tcPr>
          <w:p>
            <w:pPr>
              <w:autoSpaceDN w:val="0"/>
              <w:autoSpaceDE w:val="0"/>
              <w:widowControl/>
              <w:spacing w:line="197" w:lineRule="auto" w:before="62" w:after="0"/>
              <w:ind w:left="270" w:right="0" w:firstLine="0"/>
              <w:jc w:val="left"/>
            </w:pPr>
            <w:r>
              <w:rPr>
                <w:rFonts w:ascii="Calibri" w:hAnsi="Calibri" w:eastAsia="Calibri"/>
                <w:b w:val="0"/>
                <w:i w:val="0"/>
                <w:color w:val="000000"/>
                <w:sz w:val="15"/>
              </w:rPr>
              <w:t xml:space="preserve">(1,598,354,318 ) </w:t>
            </w:r>
          </w:p>
        </w:tc>
        <w:tc>
          <w:tcPr>
            <w:tcW w:type="dxa" w:w="1332"/>
            <w:tcBorders>
              <w:bottom w:sz="4.0" w:val="single" w:color="#000000"/>
            </w:tcBorders>
            <w:tcMar>
              <w:start w:w="0" w:type="dxa"/>
              <w:end w:w="0" w:type="dxa"/>
            </w:tcMar>
          </w:tcPr>
          <w:p>
            <w:pPr>
              <w:autoSpaceDN w:val="0"/>
              <w:autoSpaceDE w:val="0"/>
              <w:widowControl/>
              <w:spacing w:line="197" w:lineRule="auto" w:before="62" w:after="0"/>
              <w:ind w:left="268" w:right="0" w:firstLine="0"/>
              <w:jc w:val="left"/>
            </w:pPr>
            <w:r>
              <w:rPr>
                <w:rFonts w:ascii="Calibri" w:hAnsi="Calibri" w:eastAsia="Calibri"/>
                <w:b w:val="0"/>
                <w:i w:val="0"/>
                <w:color w:val="000000"/>
                <w:sz w:val="15"/>
              </w:rPr>
              <w:t xml:space="preserve">(1,362,992,757 ) </w:t>
            </w:r>
          </w:p>
        </w:tc>
        <w:tc>
          <w:tcPr>
            <w:tcW w:type="dxa" w:w="1282"/>
            <w:tcBorders>
              <w:bottom w:sz="4.0" w:val="single" w:color="#000000"/>
            </w:tcBorders>
            <w:tcMar>
              <w:start w:w="0" w:type="dxa"/>
              <w:end w:w="0" w:type="dxa"/>
            </w:tcMar>
          </w:tcPr>
          <w:p>
            <w:pPr>
              <w:autoSpaceDN w:val="0"/>
              <w:autoSpaceDE w:val="0"/>
              <w:widowControl/>
              <w:spacing w:line="197" w:lineRule="auto" w:before="62" w:after="0"/>
              <w:ind w:left="0" w:right="12" w:firstLine="0"/>
              <w:jc w:val="right"/>
            </w:pPr>
            <w:r>
              <w:rPr>
                <w:rFonts w:ascii="Calibri" w:hAnsi="Calibri" w:eastAsia="Calibri"/>
                <w:b w:val="0"/>
                <w:i w:val="0"/>
                <w:color w:val="000000"/>
                <w:sz w:val="15"/>
              </w:rPr>
              <w:t xml:space="preserve">(887,578,745) </w:t>
            </w:r>
          </w:p>
        </w:tc>
      </w:tr>
      <w:tr>
        <w:trPr>
          <w:trHeight w:hRule="exact" w:val="386"/>
        </w:trPr>
        <w:tc>
          <w:tcPr>
            <w:tcW w:type="dxa" w:w="2760"/>
            <w:tcBorders>
              <w:top w:sz="4.0" w:val="single" w:color="#000000"/>
              <w:bottom w:sz="4.0" w:val="single" w:color="#000000"/>
            </w:tcBorders>
            <w:tcMar>
              <w:start w:w="0" w:type="dxa"/>
              <w:end w:w="0" w:type="dxa"/>
            </w:tcMar>
          </w:tcPr>
          <w:p>
            <w:pPr>
              <w:autoSpaceDN w:val="0"/>
              <w:autoSpaceDE w:val="0"/>
              <w:widowControl/>
              <w:spacing w:line="152" w:lineRule="exact" w:before="204" w:after="0"/>
              <w:ind w:left="162" w:right="0" w:firstLine="0"/>
              <w:jc w:val="left"/>
            </w:pPr>
            <w:r>
              <w:rPr>
                <w:rFonts w:ascii="黑体" w:hAnsi="黑体" w:eastAsia="黑体"/>
                <w:b w:val="0"/>
                <w:i w:val="0"/>
                <w:color w:val="000000"/>
                <w:sz w:val="15"/>
              </w:rPr>
              <w:t>经营活动现金流出小计</w:t>
            </w:r>
          </w:p>
        </w:tc>
        <w:tc>
          <w:tcPr>
            <w:tcW w:type="dxa" w:w="958"/>
            <w:tcBorders>
              <w:top w:sz="4.0" w:val="single" w:color="#000000"/>
              <w:bottom w:sz="4.0" w:val="single" w:color="#000000"/>
            </w:tcBorders>
            <w:tcMar>
              <w:start w:w="0" w:type="dxa"/>
              <w:end w:w="0" w:type="dxa"/>
            </w:tcMar>
          </w:tcPr>
          <w:p/>
        </w:tc>
        <w:tc>
          <w:tcPr>
            <w:tcW w:type="dxa" w:w="1336"/>
            <w:tcBorders>
              <w:top w:sz="4.0" w:val="single" w:color="#000000"/>
              <w:bottom w:sz="4.0" w:val="single" w:color="#000000"/>
            </w:tcBorders>
            <w:tcMar>
              <w:start w:w="0" w:type="dxa"/>
              <w:end w:w="0" w:type="dxa"/>
            </w:tcMar>
          </w:tcPr>
          <w:p>
            <w:pPr>
              <w:autoSpaceDN w:val="0"/>
              <w:autoSpaceDE w:val="0"/>
              <w:widowControl/>
              <w:spacing w:line="197" w:lineRule="auto" w:before="222" w:after="0"/>
              <w:ind w:left="272" w:right="0" w:firstLine="0"/>
              <w:jc w:val="left"/>
            </w:pPr>
            <w:r>
              <w:rPr>
                <w:rFonts w:ascii="Calibri" w:hAnsi="Calibri" w:eastAsia="Calibri"/>
                <w:b w:val="0"/>
                <w:i w:val="0"/>
                <w:color w:val="000000"/>
                <w:sz w:val="15"/>
              </w:rPr>
              <w:t xml:space="preserve">(7,752,516,205 )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2" w:after="0"/>
              <w:ind w:left="196" w:right="0" w:firstLine="0"/>
              <w:jc w:val="left"/>
            </w:pPr>
            <w:r>
              <w:rPr>
                <w:rFonts w:ascii="Calibri" w:hAnsi="Calibri" w:eastAsia="Calibri"/>
                <w:b w:val="0"/>
                <w:i w:val="0"/>
                <w:color w:val="000000"/>
                <w:sz w:val="15"/>
              </w:rPr>
              <w:t xml:space="preserve">(14,620,859,496 )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2" w:after="0"/>
              <w:ind w:left="270" w:right="0" w:firstLine="0"/>
              <w:jc w:val="left"/>
            </w:pPr>
            <w:r>
              <w:rPr>
                <w:rFonts w:ascii="Calibri" w:hAnsi="Calibri" w:eastAsia="Calibri"/>
                <w:b w:val="0"/>
                <w:i w:val="0"/>
                <w:color w:val="000000"/>
                <w:sz w:val="15"/>
              </w:rPr>
              <w:t xml:space="preserve">(6,417,150,941) </w:t>
            </w:r>
          </w:p>
        </w:tc>
        <w:tc>
          <w:tcPr>
            <w:tcW w:type="dxa" w:w="1282"/>
            <w:tcBorders>
              <w:top w:sz="4.0" w:val="single" w:color="#000000"/>
              <w:bottom w:sz="4.0" w:val="single" w:color="#000000"/>
            </w:tcBorders>
            <w:tcMar>
              <w:start w:w="0" w:type="dxa"/>
              <w:end w:w="0" w:type="dxa"/>
            </w:tcMar>
          </w:tcPr>
          <w:p>
            <w:pPr>
              <w:autoSpaceDN w:val="0"/>
              <w:autoSpaceDE w:val="0"/>
              <w:widowControl/>
              <w:spacing w:line="197" w:lineRule="auto" w:before="222" w:after="0"/>
              <w:ind w:left="196" w:right="0" w:firstLine="0"/>
              <w:jc w:val="left"/>
            </w:pPr>
            <w:r>
              <w:rPr>
                <w:rFonts w:ascii="Calibri" w:hAnsi="Calibri" w:eastAsia="Calibri"/>
                <w:b w:val="0"/>
                <w:i w:val="0"/>
                <w:color w:val="000000"/>
                <w:sz w:val="15"/>
              </w:rPr>
              <w:t xml:space="preserve">(10,161,181,702) </w:t>
            </w:r>
          </w:p>
        </w:tc>
      </w:tr>
      <w:tr>
        <w:trPr>
          <w:trHeight w:hRule="exact" w:val="54"/>
        </w:trPr>
        <w:tc>
          <w:tcPr>
            <w:tcW w:type="dxa" w:w="2760"/>
            <w:tcBorders>
              <w:top w:sz="4.0" w:val="single" w:color="#000000"/>
            </w:tcBorders>
            <w:tcMar>
              <w:start w:w="0" w:type="dxa"/>
              <w:end w:w="0" w:type="dxa"/>
            </w:tcMar>
          </w:tcPr>
          <w:p/>
        </w:tc>
        <w:tc>
          <w:tcPr>
            <w:tcW w:type="dxa" w:w="958"/>
            <w:tcBorders>
              <w:top w:sz="4.0" w:val="single" w:color="#000000"/>
            </w:tcBorders>
            <w:tcMar>
              <w:start w:w="0" w:type="dxa"/>
              <w:end w:w="0" w:type="dxa"/>
            </w:tcMar>
          </w:tcPr>
          <w:p/>
        </w:tc>
        <w:tc>
          <w:tcPr>
            <w:tcW w:type="dxa" w:w="1336"/>
            <w:tcBorders>
              <w:top w:sz="4.0" w:val="single" w:color="#000000"/>
            </w:tcBorders>
            <w:tcMar>
              <w:start w:w="0" w:type="dxa"/>
              <w:end w:w="0" w:type="dxa"/>
            </w:tcMar>
          </w:tcPr>
          <w:p/>
        </w:tc>
        <w:tc>
          <w:tcPr>
            <w:tcW w:type="dxa" w:w="1332"/>
            <w:tcBorders>
              <w:top w:sz="4.0" w:val="single" w:color="#000000"/>
            </w:tcBorders>
            <w:tcMar>
              <w:start w:w="0" w:type="dxa"/>
              <w:end w:w="0" w:type="dxa"/>
            </w:tcMar>
          </w:tcPr>
          <w:p/>
        </w:tc>
        <w:tc>
          <w:tcPr>
            <w:tcW w:type="dxa" w:w="1332"/>
            <w:tcBorders>
              <w:top w:sz="4.0" w:val="single" w:color="#000000"/>
            </w:tcBorders>
            <w:tcMar>
              <w:start w:w="0" w:type="dxa"/>
              <w:end w:w="0" w:type="dxa"/>
            </w:tcMar>
          </w:tcPr>
          <w:p/>
        </w:tc>
        <w:tc>
          <w:tcPr>
            <w:tcW w:type="dxa" w:w="1282"/>
            <w:tcBorders>
              <w:top w:sz="4.0" w:val="single" w:color="#000000"/>
            </w:tcBorders>
            <w:tcMar>
              <w:start w:w="0" w:type="dxa"/>
              <w:end w:w="0" w:type="dxa"/>
            </w:tcMar>
          </w:tcPr>
          <w:p/>
        </w:tc>
      </w:tr>
    </w:tbl>
    <w:p>
      <w:pPr>
        <w:autoSpaceDN w:val="0"/>
        <w:autoSpaceDE w:val="0"/>
        <w:widowControl/>
        <w:spacing w:line="166" w:lineRule="exact" w:before="160" w:after="14"/>
        <w:ind w:left="0" w:right="5484" w:firstLine="0"/>
        <w:jc w:val="right"/>
      </w:pPr>
      <w:r>
        <w:rPr>
          <w:rFonts w:ascii="黑体" w:hAnsi="黑体" w:eastAsia="黑体"/>
          <w:b w:val="0"/>
          <w:i w:val="0"/>
          <w:color w:val="000000"/>
          <w:sz w:val="15"/>
        </w:rPr>
        <w:t>五</w:t>
      </w:r>
      <w:r>
        <w:rPr>
          <w:rFonts w:ascii="Calibri" w:hAnsi="Calibri" w:eastAsia="Calibri"/>
          <w:b w:val="0"/>
          <w:i w:val="0"/>
          <w:color w:val="000000"/>
          <w:sz w:val="15"/>
        </w:rPr>
        <w:t xml:space="preserve"> 56(1)(a), </w:t>
      </w:r>
    </w:p>
    <w:tbl>
      <w:tblPr>
        <w:tblW w:type="auto" w:w="0"/>
        <w:tblLayout w:type="fixed"/>
        <w:tblLook w:firstColumn="1" w:firstRow="1" w:lastColumn="0" w:lastRow="0" w:noHBand="0" w:noVBand="1" w:val="04A0"/>
        <w:tblInd w:w="144.00000000000006" w:type="dxa"/>
      </w:tblPr>
      <w:tblGrid>
        <w:gridCol w:w="1526"/>
        <w:gridCol w:w="1526"/>
        <w:gridCol w:w="1526"/>
        <w:gridCol w:w="1526"/>
        <w:gridCol w:w="1526"/>
        <w:gridCol w:w="1526"/>
      </w:tblGrid>
      <w:tr>
        <w:trPr>
          <w:trHeight w:hRule="exact" w:val="190"/>
        </w:trPr>
        <w:tc>
          <w:tcPr>
            <w:tcW w:type="dxa" w:w="2440"/>
            <w:tcBorders>
              <w:bottom w:sz="4.0" w:val="single" w:color="#000000"/>
            </w:tcBorders>
            <w:tcMar>
              <w:start w:w="0" w:type="dxa"/>
              <w:end w:w="0" w:type="dxa"/>
            </w:tcMar>
          </w:tcPr>
          <w:p>
            <w:pPr>
              <w:autoSpaceDN w:val="0"/>
              <w:autoSpaceDE w:val="0"/>
              <w:widowControl/>
              <w:spacing w:line="150" w:lineRule="exact" w:before="14" w:after="0"/>
              <w:ind w:left="144" w:right="0" w:firstLine="0"/>
              <w:jc w:val="left"/>
            </w:pPr>
            <w:r>
              <w:rPr>
                <w:rFonts w:ascii="黑体" w:hAnsi="黑体" w:eastAsia="黑体"/>
                <w:b w:val="0"/>
                <w:i w:val="0"/>
                <w:color w:val="000000"/>
                <w:sz w:val="15"/>
              </w:rPr>
              <w:t>经营活动产生的现金流量净额</w:t>
            </w:r>
          </w:p>
        </w:tc>
        <w:tc>
          <w:tcPr>
            <w:tcW w:type="dxa" w:w="1244"/>
            <w:tcBorders>
              <w:bottom w:sz="4.0" w:val="single" w:color="#000000"/>
            </w:tcBorders>
            <w:tcMar>
              <w:start w:w="0" w:type="dxa"/>
              <w:end w:w="0" w:type="dxa"/>
            </w:tcMar>
          </w:tcPr>
          <w:p>
            <w:pPr>
              <w:autoSpaceDN w:val="0"/>
              <w:autoSpaceDE w:val="0"/>
              <w:widowControl/>
              <w:spacing w:line="168" w:lineRule="exact" w:before="14" w:after="0"/>
              <w:ind w:left="0" w:right="0" w:firstLine="0"/>
              <w:jc w:val="center"/>
            </w:pPr>
            <w:r>
              <w:rPr>
                <w:rFonts w:ascii="黑体" w:hAnsi="黑体" w:eastAsia="黑体"/>
                <w:b w:val="0"/>
                <w:i w:val="0"/>
                <w:color w:val="000000"/>
                <w:sz w:val="15"/>
              </w:rPr>
              <w:t>十八</w:t>
            </w:r>
            <w:r>
              <w:rPr>
                <w:rFonts w:ascii="Calibri" w:hAnsi="Calibri" w:eastAsia="Calibri"/>
                <w:b w:val="0"/>
                <w:i w:val="0"/>
                <w:color w:val="000000"/>
                <w:sz w:val="15"/>
              </w:rPr>
              <w:t xml:space="preserve"> 7(1) </w:t>
            </w:r>
          </w:p>
        </w:tc>
        <w:tc>
          <w:tcPr>
            <w:tcW w:type="dxa" w:w="1334"/>
            <w:tcBorders>
              <w:bottom w:sz="4.0" w:val="single" w:color="#000000"/>
            </w:tcBorders>
            <w:tcMar>
              <w:start w:w="0" w:type="dxa"/>
              <w:end w:w="0" w:type="dxa"/>
            </w:tcMar>
          </w:tcPr>
          <w:p>
            <w:pPr>
              <w:autoSpaceDN w:val="0"/>
              <w:autoSpaceDE w:val="0"/>
              <w:widowControl/>
              <w:spacing w:line="197" w:lineRule="auto" w:before="32" w:after="0"/>
              <w:ind w:left="328" w:right="0" w:firstLine="0"/>
              <w:jc w:val="left"/>
            </w:pPr>
            <w:r>
              <w:rPr>
                <w:rFonts w:ascii="Calibri" w:hAnsi="Calibri" w:eastAsia="Calibri"/>
                <w:b w:val="0"/>
                <w:i w:val="0"/>
                <w:color w:val="000000"/>
                <w:sz w:val="15"/>
              </w:rPr>
              <w:t xml:space="preserve">8,066,375,582 </w:t>
            </w:r>
          </w:p>
        </w:tc>
        <w:tc>
          <w:tcPr>
            <w:tcW w:type="dxa" w:w="1334"/>
            <w:tcBorders>
              <w:bottom w:sz="4.0" w:val="single" w:color="#000000"/>
            </w:tcBorders>
            <w:tcMar>
              <w:start w:w="0" w:type="dxa"/>
              <w:end w:w="0" w:type="dxa"/>
            </w:tcMar>
          </w:tcPr>
          <w:p>
            <w:pPr>
              <w:autoSpaceDN w:val="0"/>
              <w:autoSpaceDE w:val="0"/>
              <w:widowControl/>
              <w:spacing w:line="197" w:lineRule="auto" w:before="32" w:after="0"/>
              <w:ind w:left="0" w:right="94" w:firstLine="0"/>
              <w:jc w:val="right"/>
            </w:pPr>
            <w:r>
              <w:rPr>
                <w:rFonts w:ascii="Calibri" w:hAnsi="Calibri" w:eastAsia="Calibri"/>
                <w:b w:val="0"/>
                <w:i w:val="0"/>
                <w:color w:val="000000"/>
                <w:sz w:val="15"/>
              </w:rPr>
              <w:t xml:space="preserve">925,557,863 </w:t>
            </w:r>
          </w:p>
        </w:tc>
        <w:tc>
          <w:tcPr>
            <w:tcW w:type="dxa" w:w="1204"/>
            <w:tcBorders>
              <w:bottom w:sz="4.0" w:val="single" w:color="#000000"/>
            </w:tcBorders>
            <w:tcMar>
              <w:start w:w="0" w:type="dxa"/>
              <w:end w:w="0" w:type="dxa"/>
            </w:tcMar>
          </w:tcPr>
          <w:p>
            <w:pPr>
              <w:autoSpaceDN w:val="0"/>
              <w:autoSpaceDE w:val="0"/>
              <w:widowControl/>
              <w:spacing w:line="197" w:lineRule="auto" w:before="32" w:after="0"/>
              <w:ind w:left="0" w:right="0" w:firstLine="0"/>
              <w:jc w:val="right"/>
            </w:pPr>
            <w:r>
              <w:rPr>
                <w:rFonts w:ascii="Calibri" w:hAnsi="Calibri" w:eastAsia="Calibri"/>
                <w:b w:val="0"/>
                <w:i w:val="0"/>
                <w:color w:val="000000"/>
                <w:sz w:val="15"/>
              </w:rPr>
              <w:t>7,314,664,880</w:t>
            </w:r>
          </w:p>
        </w:tc>
        <w:tc>
          <w:tcPr>
            <w:tcW w:type="dxa" w:w="1332"/>
            <w:tcBorders>
              <w:bottom w:sz="4.0" w:val="single" w:color="#000000"/>
            </w:tcBorders>
            <w:tcMar>
              <w:start w:w="0" w:type="dxa"/>
              <w:end w:w="0" w:type="dxa"/>
            </w:tcMar>
          </w:tcPr>
          <w:p>
            <w:pPr>
              <w:autoSpaceDN w:val="0"/>
              <w:autoSpaceDE w:val="0"/>
              <w:widowControl/>
              <w:spacing w:line="197" w:lineRule="auto" w:before="32" w:after="0"/>
              <w:ind w:left="0" w:right="0" w:firstLine="0"/>
              <w:jc w:val="right"/>
            </w:pPr>
            <w:r>
              <w:rPr>
                <w:rFonts w:ascii="Calibri" w:hAnsi="Calibri" w:eastAsia="Calibri"/>
                <w:b w:val="0"/>
                <w:i w:val="0"/>
                <w:color w:val="000000"/>
                <w:sz w:val="15"/>
              </w:rPr>
              <w:t>3,065,917,617</w:t>
            </w:r>
          </w:p>
        </w:tc>
      </w:tr>
      <w:tr>
        <w:trPr>
          <w:trHeight w:hRule="exact" w:val="54"/>
        </w:trPr>
        <w:tc>
          <w:tcPr>
            <w:tcW w:type="dxa" w:w="2440"/>
            <w:tcBorders>
              <w:top w:sz="4.0" w:val="single" w:color="#000000"/>
            </w:tcBorders>
            <w:tcMar>
              <w:start w:w="0" w:type="dxa"/>
              <w:end w:w="0" w:type="dxa"/>
            </w:tcMar>
          </w:tcPr>
          <w:p/>
        </w:tc>
        <w:tc>
          <w:tcPr>
            <w:tcW w:type="dxa" w:w="1244"/>
            <w:tcBorders>
              <w:top w:sz="4.0" w:val="single" w:color="#000000"/>
            </w:tcBorders>
            <w:tcMar>
              <w:start w:w="0" w:type="dxa"/>
              <w:end w:w="0" w:type="dxa"/>
            </w:tcMar>
          </w:tcPr>
          <w:p/>
        </w:tc>
        <w:tc>
          <w:tcPr>
            <w:tcW w:type="dxa" w:w="1334"/>
            <w:tcBorders>
              <w:top w:sz="4.0" w:val="single" w:color="#000000"/>
            </w:tcBorders>
            <w:tcMar>
              <w:start w:w="0" w:type="dxa"/>
              <w:end w:w="0" w:type="dxa"/>
            </w:tcMar>
          </w:tcPr>
          <w:p/>
        </w:tc>
        <w:tc>
          <w:tcPr>
            <w:tcW w:type="dxa" w:w="1334"/>
            <w:tcBorders>
              <w:top w:sz="4.0" w:val="single" w:color="#000000"/>
            </w:tcBorders>
            <w:tcMar>
              <w:start w:w="0" w:type="dxa"/>
              <w:end w:w="0" w:type="dxa"/>
            </w:tcMar>
          </w:tcPr>
          <w:p/>
        </w:tc>
        <w:tc>
          <w:tcPr>
            <w:tcW w:type="dxa" w:w="1204"/>
            <w:tcBorders>
              <w:top w:sz="4.0" w:val="single" w:color="#000000"/>
            </w:tcBorders>
            <w:tcMar>
              <w:start w:w="0" w:type="dxa"/>
              <w:end w:w="0" w:type="dxa"/>
            </w:tcMar>
          </w:tcPr>
          <w:p/>
        </w:tc>
        <w:tc>
          <w:tcPr>
            <w:tcW w:type="dxa" w:w="1332"/>
            <w:tcBorders>
              <w:top w:sz="4.0" w:val="single" w:color="#000000"/>
            </w:tcBorders>
            <w:tcMar>
              <w:start w:w="0" w:type="dxa"/>
              <w:end w:w="0" w:type="dxa"/>
            </w:tcMar>
          </w:tcPr>
          <w:p/>
        </w:tc>
      </w:tr>
    </w:tbl>
    <w:p>
      <w:pPr>
        <w:autoSpaceDN w:val="0"/>
        <w:autoSpaceDE w:val="0"/>
        <w:widowControl/>
        <w:spacing w:line="246" w:lineRule="exact" w:before="2926" w:after="1056"/>
        <w:ind w:left="124"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124.00000000000006" w:type="dxa"/>
      </w:tblPr>
      <w:tblGrid>
        <w:gridCol w:w="2289"/>
        <w:gridCol w:w="2289"/>
        <w:gridCol w:w="2289"/>
        <w:gridCol w:w="2289"/>
      </w:tblGrid>
      <w:tr>
        <w:trPr>
          <w:trHeight w:hRule="exact" w:val="298"/>
        </w:trPr>
        <w:tc>
          <w:tcPr>
            <w:tcW w:type="dxa" w:w="2298"/>
            <w:tcBorders>
              <w:top w:sz="6.399999999999636" w:val="single" w:color="#000000"/>
            </w:tcBorders>
            <w:tcMar>
              <w:start w:w="0" w:type="dxa"/>
              <w:end w:w="0" w:type="dxa"/>
            </w:tcMar>
          </w:tcPr>
          <w:p>
            <w:pPr>
              <w:autoSpaceDN w:val="0"/>
              <w:autoSpaceDE w:val="0"/>
              <w:widowControl/>
              <w:spacing w:line="220" w:lineRule="exact" w:before="36" w:after="0"/>
              <w:ind w:left="0" w:right="0" w:firstLine="0"/>
              <w:jc w:val="left"/>
            </w:pPr>
            <w:r>
              <w:rPr>
                <w:rFonts w:ascii="黑体" w:hAnsi="黑体" w:eastAsia="黑体"/>
                <w:b w:val="0"/>
                <w:i w:val="0"/>
                <w:color w:val="000000"/>
                <w:sz w:val="22"/>
              </w:rPr>
              <w:t>王怡里</w:t>
            </w:r>
          </w:p>
        </w:tc>
        <w:tc>
          <w:tcPr>
            <w:tcW w:type="dxa" w:w="3192"/>
            <w:tcBorders>
              <w:top w:sz="6.399999999999636" w:val="single" w:color="#000000"/>
            </w:tcBorders>
            <w:tcMar>
              <w:start w:w="0" w:type="dxa"/>
              <w:end w:w="0" w:type="dxa"/>
            </w:tcMar>
          </w:tcPr>
          <w:p>
            <w:pPr>
              <w:autoSpaceDN w:val="0"/>
              <w:autoSpaceDE w:val="0"/>
              <w:widowControl/>
              <w:spacing w:line="220" w:lineRule="exact" w:before="36" w:after="0"/>
              <w:ind w:left="224" w:right="0" w:firstLine="0"/>
              <w:jc w:val="left"/>
            </w:pPr>
            <w:r>
              <w:rPr>
                <w:rFonts w:ascii="黑体" w:hAnsi="黑体" w:eastAsia="黑体"/>
                <w:b w:val="0"/>
                <w:i w:val="0"/>
                <w:color w:val="000000"/>
                <w:sz w:val="22"/>
              </w:rPr>
              <w:t>汤建雄</w:t>
            </w:r>
          </w:p>
        </w:tc>
        <w:tc>
          <w:tcPr>
            <w:tcW w:type="dxa" w:w="2156"/>
            <w:tcBorders>
              <w:top w:sz="6.399999999999636" w:val="single" w:color="#000000"/>
            </w:tcBorders>
            <w:tcMar>
              <w:start w:w="0" w:type="dxa"/>
              <w:end w:w="0" w:type="dxa"/>
            </w:tcMar>
          </w:tcPr>
          <w:p>
            <w:pPr>
              <w:autoSpaceDN w:val="0"/>
              <w:autoSpaceDE w:val="0"/>
              <w:widowControl/>
              <w:spacing w:line="220" w:lineRule="exact" w:before="36" w:after="0"/>
              <w:ind w:left="264" w:right="0" w:firstLine="0"/>
              <w:jc w:val="left"/>
            </w:pPr>
            <w:r>
              <w:rPr>
                <w:rFonts w:ascii="黑体" w:hAnsi="黑体" w:eastAsia="黑体"/>
                <w:b w:val="0"/>
                <w:i w:val="0"/>
                <w:color w:val="000000"/>
                <w:sz w:val="22"/>
              </w:rPr>
              <w:t>张立德</w:t>
            </w:r>
          </w:p>
        </w:tc>
        <w:tc>
          <w:tcPr>
            <w:tcW w:type="dxa" w:w="1274"/>
            <w:tcBorders>
              <w:top w:sz="6.399999999999636" w:val="single" w:color="#000000"/>
            </w:tcBorders>
            <w:tcMar>
              <w:start w:w="0" w:type="dxa"/>
              <w:end w:w="0" w:type="dxa"/>
            </w:tcMar>
          </w:tcPr>
          <w:p>
            <w:pPr>
              <w:autoSpaceDN w:val="0"/>
              <w:autoSpaceDE w:val="0"/>
              <w:widowControl/>
              <w:spacing w:line="220" w:lineRule="exact" w:before="36"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44.00000000000006" w:type="dxa"/>
      </w:tblPr>
      <w:tblGrid>
        <w:gridCol w:w="3052"/>
        <w:gridCol w:w="3052"/>
        <w:gridCol w:w="3052"/>
      </w:tblGrid>
      <w:tr>
        <w:trPr>
          <w:trHeight w:hRule="exact" w:val="312"/>
        </w:trPr>
        <w:tc>
          <w:tcPr>
            <w:tcW w:type="dxa" w:w="1880"/>
            <w:tcBorders/>
            <w:tcMar>
              <w:start w:w="0" w:type="dxa"/>
              <w:end w:w="0" w:type="dxa"/>
            </w:tcMar>
          </w:tcPr>
          <w:p>
            <w:pPr>
              <w:autoSpaceDN w:val="0"/>
              <w:autoSpaceDE w:val="0"/>
              <w:widowControl/>
              <w:spacing w:line="220" w:lineRule="exact" w:before="32" w:after="0"/>
              <w:ind w:left="8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0" w:lineRule="exact" w:before="32" w:after="0"/>
              <w:ind w:left="722" w:right="0" w:firstLine="0"/>
              <w:jc w:val="left"/>
            </w:pPr>
            <w:r>
              <w:rPr>
                <w:rFonts w:ascii="黑体" w:hAnsi="黑体" w:eastAsia="黑体"/>
                <w:b w:val="0"/>
                <w:i w:val="0"/>
                <w:color w:val="000000"/>
                <w:sz w:val="22"/>
              </w:rPr>
              <w:t>主管会计工作的公司负责人</w:t>
            </w:r>
          </w:p>
        </w:tc>
        <w:tc>
          <w:tcPr>
            <w:tcW w:type="dxa" w:w="2720"/>
            <w:tcBorders/>
            <w:tcMar>
              <w:start w:w="0" w:type="dxa"/>
              <w:end w:w="0" w:type="dxa"/>
            </w:tcMar>
          </w:tcPr>
          <w:p>
            <w:pPr>
              <w:autoSpaceDN w:val="0"/>
              <w:autoSpaceDE w:val="0"/>
              <w:widowControl/>
              <w:spacing w:line="220"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200" w:lineRule="exact" w:before="1008" w:after="0"/>
        <w:ind w:left="116"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738" w:after="0"/>
        <w:ind w:left="0" w:right="4300" w:firstLine="0"/>
        <w:jc w:val="right"/>
      </w:pPr>
      <w:r>
        <w:rPr>
          <w:rFonts w:ascii="Arial" w:hAnsi="Arial" w:eastAsia="Arial"/>
          <w:b w:val="0"/>
          <w:i w:val="0"/>
          <w:color w:val="000000"/>
          <w:sz w:val="20"/>
        </w:rPr>
        <w:t xml:space="preserve">159 </w:t>
      </w:r>
    </w:p>
    <w:p>
      <w:pPr>
        <w:sectPr>
          <w:pgSz w:w="11899" w:h="16841"/>
          <w:pgMar w:top="798" w:right="1428" w:bottom="360" w:left="1316"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60" w:lineRule="exact" w:before="0" w:after="0"/>
        <w:ind w:left="0" w:right="3562" w:firstLine="0"/>
        <w:jc w:val="right"/>
      </w:pPr>
      <w:r>
        <w:rPr>
          <w:rFonts w:ascii="黑体" w:hAnsi="黑体" w:eastAsia="黑体"/>
          <w:b w:val="0"/>
          <w:i w:val="0"/>
          <w:color w:val="000000"/>
          <w:sz w:val="16"/>
        </w:rPr>
        <w:t>合并及公司现金流量表（续）</w:t>
      </w:r>
    </w:p>
    <w:p>
      <w:pPr>
        <w:autoSpaceDN w:val="0"/>
        <w:autoSpaceDE w:val="0"/>
        <w:widowControl/>
        <w:spacing w:line="160" w:lineRule="exact" w:before="46" w:after="238"/>
        <w:ind w:left="8" w:right="0" w:firstLine="0"/>
        <w:jc w:val="left"/>
      </w:pP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2940.0" w:type="dxa"/>
      </w:tblPr>
      <w:tblGrid>
        <w:gridCol w:w="1825"/>
        <w:gridCol w:w="1825"/>
        <w:gridCol w:w="1825"/>
        <w:gridCol w:w="1825"/>
        <w:gridCol w:w="1825"/>
      </w:tblGrid>
      <w:tr>
        <w:trPr>
          <w:trHeight w:hRule="exact" w:val="238"/>
        </w:trPr>
        <w:tc>
          <w:tcPr>
            <w:tcW w:type="dxa" w:w="648"/>
            <w:tcBorders>
              <w:bottom w:sz="4.0" w:val="single" w:color="#000000"/>
            </w:tcBorders>
            <w:tcMar>
              <w:start w:w="0" w:type="dxa"/>
              <w:end w:w="0" w:type="dxa"/>
            </w:tcMar>
          </w:tcPr>
          <w:p/>
        </w:tc>
        <w:tc>
          <w:tcPr>
            <w:tcW w:type="dxa" w:w="1840"/>
            <w:tcBorders>
              <w:bottom w:sz="4.0" w:val="single" w:color="#000000"/>
            </w:tcBorders>
            <w:tcMar>
              <w:start w:w="0" w:type="dxa"/>
              <w:end w:w="0" w:type="dxa"/>
            </w:tcMar>
          </w:tcPr>
          <w:p>
            <w:pPr>
              <w:autoSpaceDN w:val="0"/>
              <w:autoSpaceDE w:val="0"/>
              <w:widowControl/>
              <w:spacing w:line="152" w:lineRule="exact" w:before="60" w:after="0"/>
              <w:ind w:left="0" w:right="332" w:firstLine="0"/>
              <w:jc w:val="right"/>
            </w:pPr>
            <w:r>
              <w:rPr>
                <w:rFonts w:ascii="黑体" w:hAnsi="黑体" w:eastAsia="黑体"/>
                <w:b w:val="0"/>
                <w:i w:val="0"/>
                <w:color w:val="000000"/>
                <w:sz w:val="15"/>
              </w:rPr>
              <w:t>本集团</w:t>
            </w:r>
          </w:p>
        </w:tc>
        <w:tc>
          <w:tcPr>
            <w:tcW w:type="dxa" w:w="796"/>
            <w:tcBorders>
              <w:bottom w:sz="4.0" w:val="single" w:color="#000000"/>
            </w:tcBorders>
            <w:tcMar>
              <w:start w:w="0" w:type="dxa"/>
              <w:end w:w="0" w:type="dxa"/>
            </w:tcMar>
          </w:tcPr>
          <w:p/>
        </w:tc>
        <w:tc>
          <w:tcPr>
            <w:tcW w:type="dxa" w:w="2004"/>
            <w:tcBorders>
              <w:bottom w:sz="4.0" w:val="single" w:color="#000000"/>
            </w:tcBorders>
            <w:tcMar>
              <w:start w:w="0" w:type="dxa"/>
              <w:end w:w="0" w:type="dxa"/>
            </w:tcMar>
          </w:tcPr>
          <w:p>
            <w:pPr>
              <w:autoSpaceDN w:val="0"/>
              <w:autoSpaceDE w:val="0"/>
              <w:widowControl/>
              <w:spacing w:line="152" w:lineRule="exact" w:before="60" w:after="0"/>
              <w:ind w:left="0" w:right="326" w:firstLine="0"/>
              <w:jc w:val="right"/>
            </w:pPr>
            <w:r>
              <w:rPr>
                <w:rFonts w:ascii="黑体" w:hAnsi="黑体" w:eastAsia="黑体"/>
                <w:b w:val="0"/>
                <w:i w:val="0"/>
                <w:color w:val="000000"/>
                <w:sz w:val="15"/>
              </w:rPr>
              <w:t>本公司</w:t>
            </w:r>
          </w:p>
        </w:tc>
        <w:tc>
          <w:tcPr>
            <w:tcW w:type="dxa" w:w="802"/>
            <w:tcBorders>
              <w:bottom w:sz="4.0" w:val="single" w:color="#000000"/>
            </w:tcBorders>
            <w:tcMar>
              <w:start w:w="0" w:type="dxa"/>
              <w:end w:w="0" w:type="dxa"/>
            </w:tcMar>
          </w:tcPr>
          <w:p/>
        </w:tc>
      </w:tr>
      <w:tr>
        <w:trPr>
          <w:trHeight w:hRule="exact" w:val="188"/>
        </w:trPr>
        <w:tc>
          <w:tcPr>
            <w:tcW w:type="dxa" w:w="648"/>
            <w:tcBorders>
              <w:top w:sz="4.0" w:val="single" w:color="#000000"/>
              <w:bottom w:sz="2.3999999999999773" w:val="single" w:color="#000000"/>
            </w:tcBorders>
            <w:tcMar>
              <w:start w:w="0" w:type="dxa"/>
              <w:end w:w="0" w:type="dxa"/>
            </w:tcMar>
          </w:tcPr>
          <w:p>
            <w:pPr>
              <w:autoSpaceDN w:val="0"/>
              <w:autoSpaceDE w:val="0"/>
              <w:widowControl/>
              <w:spacing w:line="150" w:lineRule="exact" w:before="26" w:after="0"/>
              <w:ind w:left="0" w:right="0" w:firstLine="0"/>
              <w:jc w:val="left"/>
            </w:pPr>
            <w:r>
              <w:rPr>
                <w:rFonts w:ascii="黑体" w:hAnsi="黑体" w:eastAsia="黑体"/>
                <w:b w:val="0"/>
                <w:i w:val="0"/>
                <w:color w:val="000000"/>
                <w:sz w:val="15"/>
              </w:rPr>
              <w:t>附注</w:t>
            </w:r>
          </w:p>
        </w:tc>
        <w:tc>
          <w:tcPr>
            <w:tcW w:type="dxa" w:w="1840"/>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592" w:firstLine="0"/>
              <w:jc w:val="right"/>
            </w:pPr>
            <w:r>
              <w:rPr>
                <w:rFonts w:ascii="Calibri" w:hAnsi="Calibri" w:eastAsia="Calibri"/>
                <w:b/>
                <w:i w:val="0"/>
                <w:color w:val="000000"/>
                <w:sz w:val="15"/>
                <w:u w:val="single"/>
              </w:rPr>
              <w:t>2024</w:t>
            </w:r>
            <w:r>
              <w:rPr>
                <w:rFonts w:ascii="黑体" w:hAnsi="黑体" w:eastAsia="黑体"/>
                <w:b w:val="0"/>
                <w:i w:val="0"/>
                <w:color w:val="000000"/>
                <w:sz w:val="15"/>
                <w:u w:val="single"/>
              </w:rPr>
              <w:t>年</w:t>
            </w:r>
          </w:p>
        </w:tc>
        <w:tc>
          <w:tcPr>
            <w:tcW w:type="dxa" w:w="796"/>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0" w:firstLine="0"/>
              <w:jc w:val="right"/>
            </w:pPr>
            <w:r>
              <w:rPr>
                <w:rFonts w:ascii="Calibri" w:hAnsi="Calibri" w:eastAsia="Calibri"/>
                <w:b/>
                <w:i w:val="0"/>
                <w:color w:val="000000"/>
                <w:sz w:val="15"/>
                <w:u w:val="single"/>
              </w:rPr>
              <w:t>2023</w:t>
            </w:r>
            <w:r>
              <w:rPr>
                <w:rFonts w:ascii="黑体" w:hAnsi="黑体" w:eastAsia="黑体"/>
                <w:b w:val="0"/>
                <w:i w:val="0"/>
                <w:color w:val="000000"/>
                <w:sz w:val="15"/>
                <w:u w:val="single"/>
              </w:rPr>
              <w:t>年</w:t>
            </w:r>
          </w:p>
        </w:tc>
        <w:tc>
          <w:tcPr>
            <w:tcW w:type="dxa" w:w="2004"/>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586" w:firstLine="0"/>
              <w:jc w:val="right"/>
            </w:pPr>
            <w:r>
              <w:rPr>
                <w:rFonts w:ascii="Calibri" w:hAnsi="Calibri" w:eastAsia="Calibri"/>
                <w:b/>
                <w:i w:val="0"/>
                <w:color w:val="000000"/>
                <w:sz w:val="15"/>
                <w:u w:val="single"/>
              </w:rPr>
              <w:t>2024</w:t>
            </w:r>
            <w:r>
              <w:rPr>
                <w:rFonts w:ascii="黑体" w:hAnsi="黑体" w:eastAsia="黑体"/>
                <w:b w:val="0"/>
                <w:i w:val="0"/>
                <w:color w:val="000000"/>
                <w:sz w:val="15"/>
                <w:u w:val="single"/>
              </w:rPr>
              <w:t>年</w:t>
            </w:r>
          </w:p>
        </w:tc>
        <w:tc>
          <w:tcPr>
            <w:tcW w:type="dxa" w:w="802"/>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0" w:firstLine="0"/>
              <w:jc w:val="right"/>
            </w:pPr>
            <w:r>
              <w:rPr>
                <w:rFonts w:ascii="Calibri" w:hAnsi="Calibri" w:eastAsia="Calibri"/>
                <w:b/>
                <w:i w:val="0"/>
                <w:color w:val="000000"/>
                <w:sz w:val="15"/>
                <w:u w:val="single"/>
              </w:rPr>
              <w:t>2023</w:t>
            </w:r>
            <w:r>
              <w:rPr>
                <w:rFonts w:ascii="黑体" w:hAnsi="黑体" w:eastAsia="黑体"/>
                <w:b w:val="0"/>
                <w:i w:val="0"/>
                <w:color w:val="000000"/>
                <w:sz w:val="15"/>
                <w:u w:val="single"/>
              </w:rPr>
              <w:t>年</w:t>
            </w:r>
          </w:p>
        </w:tc>
      </w:tr>
    </w:tbl>
    <w:p>
      <w:pPr>
        <w:autoSpaceDN w:val="0"/>
        <w:autoSpaceDE w:val="0"/>
        <w:widowControl/>
        <w:spacing w:line="152" w:lineRule="exact" w:before="218" w:after="164"/>
        <w:ind w:left="8" w:right="0" w:firstLine="0"/>
        <w:jc w:val="left"/>
      </w:pPr>
      <w:r>
        <w:rPr>
          <w:rFonts w:ascii="黑体" w:hAnsi="黑体" w:eastAsia="黑体"/>
          <w:b w:val="0"/>
          <w:i w:val="0"/>
          <w:color w:val="000000"/>
          <w:sz w:val="15"/>
        </w:rPr>
        <w:t>二、投资活动产生的现金流量</w:t>
      </w:r>
    </w:p>
    <w:tbl>
      <w:tblPr>
        <w:tblW w:type="auto" w:w="0"/>
        <w:tblLayout w:type="fixed"/>
        <w:tblLook w:firstColumn="1" w:firstRow="1" w:lastColumn="0" w:lastRow="0" w:noHBand="0" w:noVBand="1" w:val="04A0"/>
        <w:tblInd w:w="128.0000000000001" w:type="dxa"/>
      </w:tblPr>
      <w:tblGrid>
        <w:gridCol w:w="1825"/>
        <w:gridCol w:w="1825"/>
        <w:gridCol w:w="1825"/>
        <w:gridCol w:w="1825"/>
        <w:gridCol w:w="1825"/>
      </w:tblGrid>
      <w:tr>
        <w:trPr>
          <w:trHeight w:hRule="exact" w:val="212"/>
        </w:trPr>
        <w:tc>
          <w:tcPr>
            <w:tcW w:type="dxa" w:w="3200"/>
            <w:tcBorders/>
            <w:tcMar>
              <w:start w:w="0" w:type="dxa"/>
              <w:end w:w="0" w:type="dxa"/>
            </w:tcMar>
          </w:tcPr>
          <w:p>
            <w:pPr>
              <w:autoSpaceDN w:val="0"/>
              <w:autoSpaceDE w:val="0"/>
              <w:widowControl/>
              <w:spacing w:line="152" w:lineRule="exact" w:before="60" w:after="0"/>
              <w:ind w:left="162" w:right="0" w:firstLine="0"/>
              <w:jc w:val="left"/>
            </w:pPr>
            <w:r>
              <w:rPr>
                <w:rFonts w:ascii="黑体" w:hAnsi="黑体" w:eastAsia="黑体"/>
                <w:b w:val="0"/>
                <w:i w:val="0"/>
                <w:color w:val="000000"/>
                <w:sz w:val="15"/>
              </w:rPr>
              <w:t>处置其他权益工具投资收到的现金</w:t>
            </w:r>
          </w:p>
        </w:tc>
        <w:tc>
          <w:tcPr>
            <w:tcW w:type="dxa" w:w="1860"/>
            <w:tcBorders/>
            <w:tcMar>
              <w:start w:w="0" w:type="dxa"/>
              <w:end w:w="0" w:type="dxa"/>
            </w:tcMar>
          </w:tcPr>
          <w:p>
            <w:pPr>
              <w:autoSpaceDN w:val="0"/>
              <w:autoSpaceDE w:val="0"/>
              <w:widowControl/>
              <w:spacing w:line="194" w:lineRule="auto" w:before="62" w:after="0"/>
              <w:ind w:left="0" w:right="350" w:firstLine="0"/>
              <w:jc w:val="right"/>
            </w:pPr>
            <w:r>
              <w:rPr>
                <w:rFonts w:ascii="Calibri" w:hAnsi="Calibri" w:eastAsia="Calibri"/>
                <w:b w:val="0"/>
                <w:i w:val="0"/>
                <w:color w:val="000000"/>
                <w:sz w:val="15"/>
              </w:rPr>
              <w:t>1,552,910</w:t>
            </w:r>
          </w:p>
        </w:tc>
        <w:tc>
          <w:tcPr>
            <w:tcW w:type="dxa" w:w="1400"/>
            <w:tcBorders/>
            <w:shd w:fill="ffffff"/>
            <w:tcMar>
              <w:start w:w="0" w:type="dxa"/>
              <w:end w:w="0" w:type="dxa"/>
            </w:tcMar>
          </w:tcPr>
          <w:p>
            <w:pPr>
              <w:autoSpaceDN w:val="0"/>
              <w:autoSpaceDE w:val="0"/>
              <w:widowControl/>
              <w:spacing w:line="194" w:lineRule="auto" w:before="62" w:after="0"/>
              <w:ind w:left="0" w:right="364" w:firstLine="0"/>
              <w:jc w:val="right"/>
            </w:pPr>
            <w:r>
              <w:rPr>
                <w:rFonts w:ascii="Calibri" w:hAnsi="Calibri" w:eastAsia="Calibri"/>
                <w:b w:val="0"/>
                <w:i w:val="0"/>
                <w:color w:val="000000"/>
                <w:sz w:val="15"/>
              </w:rPr>
              <w:t>290,145</w:t>
            </w:r>
          </w:p>
        </w:tc>
        <w:tc>
          <w:tcPr>
            <w:tcW w:type="dxa" w:w="1400"/>
            <w:tcBorders/>
            <w:tcMar>
              <w:start w:w="0" w:type="dxa"/>
              <w:end w:w="0" w:type="dxa"/>
            </w:tcMar>
          </w:tcPr>
          <w:p>
            <w:pPr>
              <w:autoSpaceDN w:val="0"/>
              <w:autoSpaceDE w:val="0"/>
              <w:widowControl/>
              <w:spacing w:line="194" w:lineRule="auto" w:before="62" w:after="0"/>
              <w:ind w:left="0" w:right="344" w:firstLine="0"/>
              <w:jc w:val="right"/>
            </w:pPr>
            <w:r>
              <w:rPr>
                <w:rFonts w:ascii="Calibri" w:hAnsi="Calibri" w:eastAsia="Calibri"/>
                <w:b w:val="0"/>
                <w:i w:val="0"/>
                <w:color w:val="000000"/>
                <w:sz w:val="15"/>
              </w:rPr>
              <w:t>398,409</w:t>
            </w:r>
          </w:p>
        </w:tc>
        <w:tc>
          <w:tcPr>
            <w:tcW w:type="dxa" w:w="1080"/>
            <w:tcBorders/>
            <w:tcMar>
              <w:start w:w="0" w:type="dxa"/>
              <w:end w:w="0" w:type="dxa"/>
            </w:tcMar>
          </w:tcPr>
          <w:p>
            <w:pPr>
              <w:autoSpaceDN w:val="0"/>
              <w:autoSpaceDE w:val="0"/>
              <w:widowControl/>
              <w:spacing w:line="194" w:lineRule="auto" w:before="62" w:after="0"/>
              <w:ind w:left="0" w:right="36" w:firstLine="0"/>
              <w:jc w:val="right"/>
            </w:pPr>
            <w:r>
              <w:rPr>
                <w:rFonts w:ascii="Calibri" w:hAnsi="Calibri" w:eastAsia="Calibri"/>
                <w:b w:val="0"/>
                <w:i w:val="0"/>
                <w:color w:val="000000"/>
                <w:sz w:val="15"/>
              </w:rPr>
              <w:t>272,598</w:t>
            </w:r>
          </w:p>
        </w:tc>
      </w:tr>
      <w:tr>
        <w:trPr>
          <w:trHeight w:hRule="exact" w:val="200"/>
        </w:trPr>
        <w:tc>
          <w:tcPr>
            <w:tcW w:type="dxa" w:w="3200"/>
            <w:tcBorders/>
            <w:tcMar>
              <w:start w:w="0" w:type="dxa"/>
              <w:end w:w="0" w:type="dxa"/>
            </w:tcMar>
          </w:tcPr>
          <w:p>
            <w:pPr>
              <w:autoSpaceDN w:val="0"/>
              <w:autoSpaceDE w:val="0"/>
              <w:widowControl/>
              <w:spacing w:line="150" w:lineRule="exact" w:before="44" w:after="0"/>
              <w:ind w:left="162" w:right="0" w:firstLine="0"/>
              <w:jc w:val="left"/>
            </w:pPr>
            <w:r>
              <w:rPr>
                <w:rFonts w:ascii="黑体" w:hAnsi="黑体" w:eastAsia="黑体"/>
                <w:b w:val="0"/>
                <w:i w:val="0"/>
                <w:color w:val="000000"/>
                <w:sz w:val="15"/>
              </w:rPr>
              <w:t>取得投资收益收到的现金</w:t>
            </w:r>
          </w:p>
        </w:tc>
        <w:tc>
          <w:tcPr>
            <w:tcW w:type="dxa" w:w="1860"/>
            <w:tcBorders/>
            <w:tcMar>
              <w:start w:w="0" w:type="dxa"/>
              <w:end w:w="0" w:type="dxa"/>
            </w:tcMar>
          </w:tcPr>
          <w:p>
            <w:pPr>
              <w:autoSpaceDN w:val="0"/>
              <w:autoSpaceDE w:val="0"/>
              <w:widowControl/>
              <w:spacing w:line="197" w:lineRule="auto" w:before="48" w:after="0"/>
              <w:ind w:left="0" w:right="350" w:firstLine="0"/>
              <w:jc w:val="right"/>
            </w:pPr>
            <w:r>
              <w:rPr>
                <w:rFonts w:ascii="Calibri" w:hAnsi="Calibri" w:eastAsia="Calibri"/>
                <w:b w:val="0"/>
                <w:i w:val="0"/>
                <w:color w:val="000000"/>
                <w:sz w:val="15"/>
              </w:rPr>
              <w:t>394,692</w:t>
            </w:r>
          </w:p>
        </w:tc>
        <w:tc>
          <w:tcPr>
            <w:tcW w:type="dxa" w:w="1400"/>
            <w:tcBorders/>
            <w:shd w:fill="ffffff"/>
            <w:tcMar>
              <w:start w:w="0" w:type="dxa"/>
              <w:end w:w="0" w:type="dxa"/>
            </w:tcMar>
          </w:tcPr>
          <w:p>
            <w:pPr>
              <w:autoSpaceDN w:val="0"/>
              <w:autoSpaceDE w:val="0"/>
              <w:widowControl/>
              <w:spacing w:line="197" w:lineRule="auto" w:before="48" w:after="0"/>
              <w:ind w:left="0" w:right="364" w:firstLine="0"/>
              <w:jc w:val="right"/>
            </w:pPr>
            <w:r>
              <w:rPr>
                <w:rFonts w:ascii="Calibri" w:hAnsi="Calibri" w:eastAsia="Calibri"/>
                <w:b w:val="0"/>
                <w:i w:val="0"/>
                <w:color w:val="000000"/>
                <w:sz w:val="15"/>
              </w:rPr>
              <w:t>223,979</w:t>
            </w:r>
          </w:p>
        </w:tc>
        <w:tc>
          <w:tcPr>
            <w:tcW w:type="dxa" w:w="1400"/>
            <w:tcBorders/>
            <w:tcMar>
              <w:start w:w="0" w:type="dxa"/>
              <w:end w:w="0" w:type="dxa"/>
            </w:tcMar>
          </w:tcPr>
          <w:p>
            <w:pPr>
              <w:autoSpaceDN w:val="0"/>
              <w:autoSpaceDE w:val="0"/>
              <w:widowControl/>
              <w:spacing w:line="197" w:lineRule="auto" w:before="48" w:after="0"/>
              <w:ind w:left="0" w:right="0" w:firstLine="0"/>
              <w:jc w:val="center"/>
            </w:pPr>
            <w:r>
              <w:rPr>
                <w:rFonts w:ascii="Calibri" w:hAnsi="Calibri" w:eastAsia="Calibri"/>
                <w:b w:val="0"/>
                <w:i w:val="0"/>
                <w:color w:val="000000"/>
                <w:sz w:val="15"/>
              </w:rPr>
              <w:t>50,024,667</w:t>
            </w:r>
          </w:p>
        </w:tc>
        <w:tc>
          <w:tcPr>
            <w:tcW w:type="dxa" w:w="1080"/>
            <w:tcBorders/>
            <w:tcMar>
              <w:start w:w="0" w:type="dxa"/>
              <w:end w:w="0" w:type="dxa"/>
            </w:tcMar>
          </w:tcPr>
          <w:p>
            <w:pPr>
              <w:autoSpaceDN w:val="0"/>
              <w:autoSpaceDE w:val="0"/>
              <w:widowControl/>
              <w:spacing w:line="197" w:lineRule="auto" w:before="48" w:after="0"/>
              <w:ind w:left="0" w:right="36" w:firstLine="0"/>
              <w:jc w:val="right"/>
            </w:pPr>
            <w:r>
              <w:rPr>
                <w:rFonts w:ascii="Calibri" w:hAnsi="Calibri" w:eastAsia="Calibri"/>
                <w:b w:val="0"/>
                <w:i w:val="0"/>
                <w:color w:val="000000"/>
                <w:sz w:val="15"/>
              </w:rPr>
              <w:t>49,745,583</w:t>
            </w:r>
          </w:p>
        </w:tc>
      </w:tr>
      <w:tr>
        <w:trPr>
          <w:trHeight w:hRule="exact" w:val="220"/>
        </w:trPr>
        <w:tc>
          <w:tcPr>
            <w:tcW w:type="dxa" w:w="3200"/>
            <w:tcBorders/>
            <w:tcMar>
              <w:start w:w="0" w:type="dxa"/>
              <w:end w:w="0" w:type="dxa"/>
            </w:tcMar>
          </w:tcPr>
          <w:p>
            <w:pPr>
              <w:autoSpaceDN w:val="0"/>
              <w:autoSpaceDE w:val="0"/>
              <w:widowControl/>
              <w:spacing w:line="150" w:lineRule="exact" w:before="38" w:after="0"/>
              <w:ind w:left="162" w:right="0" w:firstLine="0"/>
              <w:jc w:val="left"/>
            </w:pPr>
            <w:r>
              <w:rPr>
                <w:rFonts w:ascii="黑体" w:hAnsi="黑体" w:eastAsia="黑体"/>
                <w:b w:val="0"/>
                <w:i w:val="0"/>
                <w:color w:val="000000"/>
                <w:sz w:val="15"/>
              </w:rPr>
              <w:t>处置长期股权投资收到的现金</w:t>
            </w:r>
          </w:p>
        </w:tc>
        <w:tc>
          <w:tcPr>
            <w:tcW w:type="dxa" w:w="1860"/>
            <w:tcBorders/>
            <w:tcMar>
              <w:start w:w="0" w:type="dxa"/>
              <w:end w:w="0" w:type="dxa"/>
            </w:tcMar>
          </w:tcPr>
          <w:p>
            <w:pPr>
              <w:autoSpaceDN w:val="0"/>
              <w:autoSpaceDE w:val="0"/>
              <w:widowControl/>
              <w:spacing w:line="197" w:lineRule="auto" w:before="56" w:after="0"/>
              <w:ind w:left="0" w:right="350" w:firstLine="0"/>
              <w:jc w:val="right"/>
            </w:pPr>
            <w:r>
              <w:rPr>
                <w:rFonts w:ascii="Calibri" w:hAnsi="Calibri" w:eastAsia="Calibri"/>
                <w:b w:val="0"/>
                <w:i w:val="0"/>
                <w:color w:val="000000"/>
                <w:sz w:val="15"/>
              </w:rPr>
              <w:t>29,340,905</w:t>
            </w:r>
          </w:p>
        </w:tc>
        <w:tc>
          <w:tcPr>
            <w:tcW w:type="dxa" w:w="1400"/>
            <w:tcBorders/>
            <w:shd w:fill="ffffff"/>
            <w:tcMar>
              <w:start w:w="0" w:type="dxa"/>
              <w:end w:w="0" w:type="dxa"/>
            </w:tcMar>
          </w:tcPr>
          <w:p>
            <w:pPr>
              <w:autoSpaceDN w:val="0"/>
              <w:autoSpaceDE w:val="0"/>
              <w:widowControl/>
              <w:spacing w:line="197" w:lineRule="auto" w:before="56" w:after="0"/>
              <w:ind w:left="0" w:right="0" w:firstLine="0"/>
              <w:jc w:val="center"/>
            </w:pPr>
            <w:r>
              <w:rPr>
                <w:rFonts w:ascii="Calibri" w:hAnsi="Calibri" w:eastAsia="Calibri"/>
                <w:b w:val="0"/>
                <w:i w:val="0"/>
                <w:color w:val="000000"/>
                <w:sz w:val="15"/>
              </w:rPr>
              <w:t>17,165,000</w:t>
            </w:r>
          </w:p>
        </w:tc>
        <w:tc>
          <w:tcPr>
            <w:tcW w:type="dxa" w:w="1400"/>
            <w:tcBorders/>
            <w:tcMar>
              <w:start w:w="0" w:type="dxa"/>
              <w:end w:w="0" w:type="dxa"/>
            </w:tcMar>
          </w:tcPr>
          <w:p>
            <w:pPr>
              <w:autoSpaceDN w:val="0"/>
              <w:autoSpaceDE w:val="0"/>
              <w:widowControl/>
              <w:spacing w:line="197" w:lineRule="auto" w:before="56" w:after="0"/>
              <w:ind w:left="0" w:right="346" w:firstLine="0"/>
              <w:jc w:val="right"/>
            </w:pPr>
            <w:r>
              <w:rPr>
                <w:rFonts w:ascii="Calibri" w:hAnsi="Calibri" w:eastAsia="Calibri"/>
                <w:b w:val="0"/>
                <w:i w:val="0"/>
                <w:color w:val="000000"/>
                <w:sz w:val="15"/>
              </w:rPr>
              <w:t>-</w:t>
            </w:r>
          </w:p>
        </w:tc>
        <w:tc>
          <w:tcPr>
            <w:tcW w:type="dxa" w:w="1080"/>
            <w:tcBorders/>
            <w:tcMar>
              <w:start w:w="0" w:type="dxa"/>
              <w:end w:w="0" w:type="dxa"/>
            </w:tcMar>
          </w:tcPr>
          <w:p>
            <w:pPr>
              <w:autoSpaceDN w:val="0"/>
              <w:autoSpaceDE w:val="0"/>
              <w:widowControl/>
              <w:spacing w:line="197" w:lineRule="auto" w:before="56" w:after="0"/>
              <w:ind w:left="0" w:right="38" w:firstLine="0"/>
              <w:jc w:val="right"/>
            </w:pPr>
            <w:r>
              <w:rPr>
                <w:rFonts w:ascii="Calibri" w:hAnsi="Calibri" w:eastAsia="Calibri"/>
                <w:b w:val="0"/>
                <w:i w:val="0"/>
                <w:color w:val="000000"/>
                <w:sz w:val="15"/>
              </w:rPr>
              <w:t>-</w:t>
            </w:r>
          </w:p>
        </w:tc>
      </w:tr>
    </w:tbl>
    <w:p>
      <w:pPr>
        <w:autoSpaceDN w:val="0"/>
        <w:autoSpaceDE w:val="0"/>
        <w:widowControl/>
        <w:spacing w:line="152" w:lineRule="exact" w:before="12" w:after="20"/>
        <w:ind w:left="290" w:right="0" w:firstLine="0"/>
        <w:jc w:val="left"/>
      </w:pPr>
      <w:r>
        <w:rPr>
          <w:rFonts w:ascii="黑体" w:hAnsi="黑体" w:eastAsia="黑体"/>
          <w:b w:val="0"/>
          <w:i w:val="0"/>
          <w:color w:val="000000"/>
          <w:sz w:val="15"/>
        </w:rPr>
        <w:t>处置固定资产、无形资产和其他长期</w:t>
      </w:r>
    </w:p>
    <w:tbl>
      <w:tblPr>
        <w:tblW w:type="auto" w:w="0"/>
        <w:tblLayout w:type="fixed"/>
        <w:tblLook w:firstColumn="1" w:firstRow="1" w:lastColumn="0" w:lastRow="0" w:noHBand="0" w:noVBand="1" w:val="04A0"/>
        <w:tblInd w:w="128.0000000000001" w:type="dxa"/>
      </w:tblPr>
      <w:tblGrid>
        <w:gridCol w:w="1825"/>
        <w:gridCol w:w="1825"/>
        <w:gridCol w:w="1825"/>
        <w:gridCol w:w="1825"/>
        <w:gridCol w:w="1825"/>
      </w:tblGrid>
      <w:tr>
        <w:trPr>
          <w:trHeight w:hRule="exact" w:val="202"/>
        </w:trPr>
        <w:tc>
          <w:tcPr>
            <w:tcW w:type="dxa" w:w="3460"/>
            <w:tcBorders>
              <w:bottom w:sz="4.0" w:val="single" w:color="#000000"/>
            </w:tcBorders>
            <w:tcMar>
              <w:start w:w="0" w:type="dxa"/>
              <w:end w:w="0" w:type="dxa"/>
            </w:tcMar>
          </w:tcPr>
          <w:p>
            <w:pPr>
              <w:autoSpaceDN w:val="0"/>
              <w:autoSpaceDE w:val="0"/>
              <w:widowControl/>
              <w:spacing w:line="152" w:lineRule="exact" w:before="22" w:after="0"/>
              <w:ind w:left="314" w:right="0" w:firstLine="0"/>
              <w:jc w:val="left"/>
            </w:pPr>
            <w:r>
              <w:rPr>
                <w:rFonts w:ascii="黑体" w:hAnsi="黑体" w:eastAsia="黑体"/>
                <w:b w:val="0"/>
                <w:i w:val="0"/>
                <w:color w:val="000000"/>
                <w:sz w:val="15"/>
              </w:rPr>
              <w:t>资产收到的现金</w:t>
            </w:r>
          </w:p>
        </w:tc>
        <w:tc>
          <w:tcPr>
            <w:tcW w:type="dxa" w:w="1246"/>
            <w:tcBorders>
              <w:bottom w:sz="4.0" w:val="single" w:color="#000000"/>
            </w:tcBorders>
            <w:shd w:fill="ffffff"/>
            <w:tcMar>
              <w:start w:w="0" w:type="dxa"/>
              <w:end w:w="0" w:type="dxa"/>
            </w:tcMar>
          </w:tcPr>
          <w:p>
            <w:pPr>
              <w:autoSpaceDN w:val="0"/>
              <w:autoSpaceDE w:val="0"/>
              <w:widowControl/>
              <w:spacing w:line="194" w:lineRule="auto" w:before="42" w:after="0"/>
              <w:ind w:left="0" w:right="0" w:firstLine="0"/>
              <w:jc w:val="right"/>
            </w:pPr>
            <w:r>
              <w:rPr>
                <w:rFonts w:ascii="Calibri" w:hAnsi="Calibri" w:eastAsia="Calibri"/>
                <w:b w:val="0"/>
                <w:i w:val="0"/>
                <w:color w:val="000000"/>
                <w:sz w:val="15"/>
              </w:rPr>
              <w:t>14,254,089</w:t>
            </w:r>
          </w:p>
        </w:tc>
        <w:tc>
          <w:tcPr>
            <w:tcW w:type="dxa" w:w="1390"/>
            <w:tcBorders>
              <w:bottom w:sz="4.0" w:val="single" w:color="#000000"/>
            </w:tcBorders>
            <w:shd w:fill="ffffff"/>
            <w:tcMar>
              <w:start w:w="0" w:type="dxa"/>
              <w:end w:w="0" w:type="dxa"/>
            </w:tcMar>
          </w:tcPr>
          <w:p>
            <w:pPr>
              <w:autoSpaceDN w:val="0"/>
              <w:autoSpaceDE w:val="0"/>
              <w:widowControl/>
              <w:spacing w:line="194" w:lineRule="auto" w:before="42" w:after="0"/>
              <w:ind w:left="0" w:right="0" w:firstLine="0"/>
              <w:jc w:val="right"/>
            </w:pPr>
            <w:r>
              <w:rPr>
                <w:rFonts w:ascii="Calibri" w:hAnsi="Calibri" w:eastAsia="Calibri"/>
                <w:b w:val="0"/>
                <w:i w:val="0"/>
                <w:color w:val="000000"/>
                <w:sz w:val="15"/>
              </w:rPr>
              <w:t>59,754,940</w:t>
            </w:r>
          </w:p>
        </w:tc>
        <w:tc>
          <w:tcPr>
            <w:tcW w:type="dxa" w:w="1418"/>
            <w:tcBorders>
              <w:bottom w:sz="4.0" w:val="single" w:color="#000000"/>
            </w:tcBorders>
            <w:shd w:fill="ffffff"/>
            <w:tcMar>
              <w:start w:w="0" w:type="dxa"/>
              <w:end w:w="0" w:type="dxa"/>
            </w:tcMar>
          </w:tcPr>
          <w:p>
            <w:pPr>
              <w:autoSpaceDN w:val="0"/>
              <w:autoSpaceDE w:val="0"/>
              <w:widowControl/>
              <w:spacing w:line="194" w:lineRule="auto" w:before="42" w:after="0"/>
              <w:ind w:left="0" w:right="0" w:firstLine="0"/>
              <w:jc w:val="right"/>
            </w:pPr>
            <w:r>
              <w:rPr>
                <w:rFonts w:ascii="Calibri" w:hAnsi="Calibri" w:eastAsia="Calibri"/>
                <w:b w:val="0"/>
                <w:i w:val="0"/>
                <w:color w:val="000000"/>
                <w:sz w:val="15"/>
              </w:rPr>
              <w:t>10,266,949</w:t>
            </w:r>
          </w:p>
        </w:tc>
        <w:tc>
          <w:tcPr>
            <w:tcW w:type="dxa" w:w="1388"/>
            <w:tcBorders>
              <w:bottom w:sz="4.0" w:val="single" w:color="#000000"/>
            </w:tcBorders>
            <w:tcMar>
              <w:start w:w="0" w:type="dxa"/>
              <w:end w:w="0" w:type="dxa"/>
            </w:tcMar>
          </w:tcPr>
          <w:p>
            <w:pPr>
              <w:autoSpaceDN w:val="0"/>
              <w:autoSpaceDE w:val="0"/>
              <w:widowControl/>
              <w:spacing w:line="194" w:lineRule="auto" w:before="42" w:after="0"/>
              <w:ind w:left="0" w:right="0" w:firstLine="0"/>
              <w:jc w:val="right"/>
            </w:pPr>
            <w:r>
              <w:rPr>
                <w:rFonts w:ascii="Calibri" w:hAnsi="Calibri" w:eastAsia="Calibri"/>
                <w:b w:val="0"/>
                <w:i w:val="0"/>
                <w:color w:val="000000"/>
                <w:sz w:val="15"/>
              </w:rPr>
              <w:t>68,490,191</w:t>
            </w:r>
          </w:p>
        </w:tc>
      </w:tr>
      <w:tr>
        <w:trPr>
          <w:trHeight w:hRule="exact" w:val="388"/>
        </w:trPr>
        <w:tc>
          <w:tcPr>
            <w:tcW w:type="dxa" w:w="3460"/>
            <w:tcBorders>
              <w:top w:sz="4.0" w:val="single" w:color="#000000"/>
              <w:bottom w:sz="4.0" w:val="single" w:color="#000000"/>
            </w:tcBorders>
            <w:tcMar>
              <w:start w:w="0" w:type="dxa"/>
              <w:end w:w="0" w:type="dxa"/>
            </w:tcMar>
          </w:tcPr>
          <w:p>
            <w:pPr>
              <w:autoSpaceDN w:val="0"/>
              <w:autoSpaceDE w:val="0"/>
              <w:widowControl/>
              <w:spacing w:line="150" w:lineRule="exact" w:before="204" w:after="0"/>
              <w:ind w:left="162" w:right="0" w:firstLine="0"/>
              <w:jc w:val="left"/>
            </w:pPr>
            <w:r>
              <w:rPr>
                <w:rFonts w:ascii="黑体" w:hAnsi="黑体" w:eastAsia="黑体"/>
                <w:b w:val="0"/>
                <w:i w:val="0"/>
                <w:color w:val="000000"/>
                <w:sz w:val="15"/>
              </w:rPr>
              <w:t>投资活动现金流入小计</w:t>
            </w:r>
          </w:p>
        </w:tc>
        <w:tc>
          <w:tcPr>
            <w:tcW w:type="dxa" w:w="1246"/>
            <w:tcBorders>
              <w:top w:sz="4.0" w:val="single" w:color="#000000"/>
              <w:bottom w:sz="4.0" w:val="single" w:color="#000000"/>
            </w:tcBorders>
            <w:shd w:fill="ffffff"/>
            <w:tcMar>
              <w:start w:w="0" w:type="dxa"/>
              <w:end w:w="0" w:type="dxa"/>
            </w:tcMar>
          </w:tcPr>
          <w:p>
            <w:pPr>
              <w:autoSpaceDN w:val="0"/>
              <w:autoSpaceDE w:val="0"/>
              <w:widowControl/>
              <w:spacing w:line="197" w:lineRule="auto" w:before="222" w:after="0"/>
              <w:ind w:left="0" w:right="0" w:firstLine="0"/>
              <w:jc w:val="right"/>
            </w:pPr>
            <w:r>
              <w:rPr>
                <w:rFonts w:ascii="Calibri" w:hAnsi="Calibri" w:eastAsia="Calibri"/>
                <w:b w:val="0"/>
                <w:i w:val="0"/>
                <w:color w:val="000000"/>
                <w:sz w:val="15"/>
              </w:rPr>
              <w:t>45,542,596</w:t>
            </w:r>
          </w:p>
        </w:tc>
        <w:tc>
          <w:tcPr>
            <w:tcW w:type="dxa" w:w="1390"/>
            <w:tcBorders>
              <w:top w:sz="4.0" w:val="single" w:color="#000000"/>
              <w:bottom w:sz="4.0" w:val="single" w:color="#000000"/>
            </w:tcBorders>
            <w:shd w:fill="ffffff"/>
            <w:tcMar>
              <w:start w:w="0" w:type="dxa"/>
              <w:end w:w="0" w:type="dxa"/>
            </w:tcMar>
          </w:tcPr>
          <w:p>
            <w:pPr>
              <w:autoSpaceDN w:val="0"/>
              <w:autoSpaceDE w:val="0"/>
              <w:widowControl/>
              <w:spacing w:line="197" w:lineRule="auto" w:before="222" w:after="0"/>
              <w:ind w:left="0" w:right="0" w:firstLine="0"/>
              <w:jc w:val="right"/>
            </w:pPr>
            <w:r>
              <w:rPr>
                <w:rFonts w:ascii="Calibri" w:hAnsi="Calibri" w:eastAsia="Calibri"/>
                <w:b w:val="0"/>
                <w:i w:val="0"/>
                <w:color w:val="000000"/>
                <w:sz w:val="15"/>
              </w:rPr>
              <w:t>77,434,064</w:t>
            </w:r>
          </w:p>
        </w:tc>
        <w:tc>
          <w:tcPr>
            <w:tcW w:type="dxa" w:w="1418"/>
            <w:tcBorders>
              <w:top w:sz="4.0" w:val="single" w:color="#000000"/>
              <w:bottom w:sz="4.0" w:val="single" w:color="#000000"/>
            </w:tcBorders>
            <w:shd w:fill="ffffff"/>
            <w:tcMar>
              <w:start w:w="0" w:type="dxa"/>
              <w:end w:w="0" w:type="dxa"/>
            </w:tcMar>
          </w:tcPr>
          <w:p>
            <w:pPr>
              <w:autoSpaceDN w:val="0"/>
              <w:autoSpaceDE w:val="0"/>
              <w:widowControl/>
              <w:spacing w:line="197" w:lineRule="auto" w:before="222" w:after="0"/>
              <w:ind w:left="0" w:right="0" w:firstLine="0"/>
              <w:jc w:val="right"/>
            </w:pPr>
            <w:r>
              <w:rPr>
                <w:rFonts w:ascii="Calibri" w:hAnsi="Calibri" w:eastAsia="Calibri"/>
                <w:b w:val="0"/>
                <w:i w:val="0"/>
                <w:color w:val="000000"/>
                <w:sz w:val="15"/>
              </w:rPr>
              <w:t>60,690,025</w:t>
            </w:r>
          </w:p>
        </w:tc>
        <w:tc>
          <w:tcPr>
            <w:tcW w:type="dxa" w:w="1388"/>
            <w:tcBorders>
              <w:top w:sz="4.0" w:val="single" w:color="#000000"/>
              <w:bottom w:sz="4.0" w:val="single" w:color="#000000"/>
            </w:tcBorders>
            <w:tcMar>
              <w:start w:w="0" w:type="dxa"/>
              <w:end w:w="0" w:type="dxa"/>
            </w:tcMar>
          </w:tcPr>
          <w:p>
            <w:pPr>
              <w:autoSpaceDN w:val="0"/>
              <w:autoSpaceDE w:val="0"/>
              <w:widowControl/>
              <w:spacing w:line="197" w:lineRule="auto" w:before="222" w:after="0"/>
              <w:ind w:left="0" w:right="0" w:firstLine="0"/>
              <w:jc w:val="right"/>
            </w:pPr>
            <w:r>
              <w:rPr>
                <w:rFonts w:ascii="Calibri" w:hAnsi="Calibri" w:eastAsia="Calibri"/>
                <w:b w:val="0"/>
                <w:i w:val="0"/>
                <w:color w:val="000000"/>
                <w:sz w:val="15"/>
              </w:rPr>
              <w:t>118,508,372</w:t>
            </w:r>
          </w:p>
        </w:tc>
      </w:tr>
      <w:tr>
        <w:trPr>
          <w:trHeight w:hRule="exact" w:val="52"/>
        </w:trPr>
        <w:tc>
          <w:tcPr>
            <w:tcW w:type="dxa" w:w="3460"/>
            <w:tcBorders>
              <w:top w:sz="4.0" w:val="single" w:color="#000000"/>
            </w:tcBorders>
            <w:tcMar>
              <w:start w:w="0" w:type="dxa"/>
              <w:end w:w="0" w:type="dxa"/>
            </w:tcMar>
          </w:tcPr>
          <w:p/>
        </w:tc>
        <w:tc>
          <w:tcPr>
            <w:tcW w:type="dxa" w:w="1246"/>
            <w:tcBorders>
              <w:top w:sz="4.0" w:val="single" w:color="#000000"/>
            </w:tcBorders>
            <w:shd w:fill="ffffff"/>
            <w:tcMar>
              <w:start w:w="0" w:type="dxa"/>
              <w:end w:w="0" w:type="dxa"/>
            </w:tcMar>
          </w:tcPr>
          <w:p/>
        </w:tc>
        <w:tc>
          <w:tcPr>
            <w:tcW w:type="dxa" w:w="1390"/>
            <w:tcBorders>
              <w:top w:sz="4.0" w:val="single" w:color="#000000"/>
            </w:tcBorders>
            <w:shd w:fill="ffffff"/>
            <w:tcMar>
              <w:start w:w="0" w:type="dxa"/>
              <w:end w:w="0" w:type="dxa"/>
            </w:tcMar>
          </w:tcPr>
          <w:p/>
        </w:tc>
        <w:tc>
          <w:tcPr>
            <w:tcW w:type="dxa" w:w="1418"/>
            <w:tcBorders>
              <w:top w:sz="4.0" w:val="single" w:color="#000000"/>
            </w:tcBorders>
            <w:shd w:fill="ffffff"/>
            <w:tcMar>
              <w:start w:w="0" w:type="dxa"/>
              <w:end w:w="0" w:type="dxa"/>
            </w:tcMar>
          </w:tcPr>
          <w:p/>
        </w:tc>
        <w:tc>
          <w:tcPr>
            <w:tcW w:type="dxa" w:w="1388"/>
            <w:tcBorders>
              <w:top w:sz="4.0" w:val="single" w:color="#000000"/>
            </w:tcBorders>
            <w:tcMar>
              <w:start w:w="0" w:type="dxa"/>
              <w:end w:w="0" w:type="dxa"/>
            </w:tcMar>
          </w:tcPr>
          <w:p/>
        </w:tc>
      </w:tr>
    </w:tbl>
    <w:p>
      <w:pPr>
        <w:autoSpaceDN w:val="0"/>
        <w:autoSpaceDE w:val="0"/>
        <w:widowControl/>
        <w:spacing w:line="152" w:lineRule="exact" w:before="156" w:after="22"/>
        <w:ind w:left="290" w:right="0" w:firstLine="0"/>
        <w:jc w:val="left"/>
      </w:pPr>
      <w:r>
        <w:rPr>
          <w:rFonts w:ascii="黑体" w:hAnsi="黑体" w:eastAsia="黑体"/>
          <w:b w:val="0"/>
          <w:i w:val="0"/>
          <w:color w:val="000000"/>
          <w:sz w:val="15"/>
        </w:rPr>
        <w:t>取得子公司及其他营业单位支付的现金</w:t>
      </w:r>
    </w:p>
    <w:tbl>
      <w:tblPr>
        <w:tblW w:type="auto" w:w="0"/>
        <w:tblLayout w:type="fixed"/>
        <w:tblLook w:firstColumn="1" w:firstRow="1" w:lastColumn="0" w:lastRow="0" w:noHBand="0" w:noVBand="1" w:val="04A0"/>
        <w:tblInd w:w="208.0000000000001" w:type="dxa"/>
      </w:tblPr>
      <w:tblGrid>
        <w:gridCol w:w="1825"/>
        <w:gridCol w:w="1825"/>
        <w:gridCol w:w="1825"/>
        <w:gridCol w:w="1825"/>
        <w:gridCol w:w="1825"/>
      </w:tblGrid>
      <w:tr>
        <w:trPr>
          <w:trHeight w:hRule="exact" w:val="204"/>
        </w:trPr>
        <w:tc>
          <w:tcPr>
            <w:tcW w:type="dxa" w:w="2200"/>
            <w:tcBorders/>
            <w:tcMar>
              <w:start w:w="0" w:type="dxa"/>
              <w:end w:w="0" w:type="dxa"/>
            </w:tcMar>
          </w:tcPr>
          <w:p>
            <w:pPr>
              <w:autoSpaceDN w:val="0"/>
              <w:autoSpaceDE w:val="0"/>
              <w:widowControl/>
              <w:spacing w:line="150" w:lineRule="exact" w:before="24" w:after="0"/>
              <w:ind w:left="234" w:right="0" w:firstLine="0"/>
              <w:jc w:val="left"/>
            </w:pPr>
            <w:r>
              <w:rPr>
                <w:rFonts w:ascii="黑体" w:hAnsi="黑体" w:eastAsia="黑体"/>
                <w:b w:val="0"/>
                <w:i w:val="0"/>
                <w:color w:val="000000"/>
                <w:sz w:val="15"/>
              </w:rPr>
              <w:t>净额</w:t>
            </w:r>
          </w:p>
        </w:tc>
        <w:tc>
          <w:tcPr>
            <w:tcW w:type="dxa" w:w="2780"/>
            <w:tcBorders/>
            <w:tcMar>
              <w:start w:w="0" w:type="dxa"/>
              <w:end w:w="0" w:type="dxa"/>
            </w:tcMar>
          </w:tcPr>
          <w:p>
            <w:pPr>
              <w:autoSpaceDN w:val="0"/>
              <w:autoSpaceDE w:val="0"/>
              <w:widowControl/>
              <w:spacing w:line="194" w:lineRule="auto" w:before="40" w:after="0"/>
              <w:ind w:left="0" w:right="274" w:firstLine="0"/>
              <w:jc w:val="right"/>
            </w:pPr>
            <w:r>
              <w:rPr>
                <w:rFonts w:ascii="Calibri" w:hAnsi="Calibri" w:eastAsia="Calibri"/>
                <w:b w:val="0"/>
                <w:i w:val="0"/>
                <w:color w:val="000000"/>
                <w:sz w:val="15"/>
              </w:rPr>
              <w:t xml:space="preserve">(90,050,000) </w:t>
            </w:r>
          </w:p>
        </w:tc>
        <w:tc>
          <w:tcPr>
            <w:tcW w:type="dxa" w:w="1760"/>
            <w:tcBorders/>
            <w:tcMar>
              <w:start w:w="0" w:type="dxa"/>
              <w:end w:w="0" w:type="dxa"/>
            </w:tcMar>
          </w:tcPr>
          <w:p>
            <w:pPr>
              <w:autoSpaceDN w:val="0"/>
              <w:autoSpaceDE w:val="0"/>
              <w:widowControl/>
              <w:spacing w:line="194" w:lineRule="auto" w:before="40" w:after="0"/>
              <w:ind w:left="306" w:right="0" w:firstLine="0"/>
              <w:jc w:val="left"/>
            </w:pPr>
            <w:r>
              <w:rPr>
                <w:rFonts w:ascii="Calibri" w:hAnsi="Calibri" w:eastAsia="Calibri"/>
                <w:b w:val="0"/>
                <w:i w:val="0"/>
                <w:color w:val="000000"/>
                <w:sz w:val="15"/>
              </w:rPr>
              <w:t xml:space="preserve">(29,158,000) </w:t>
            </w:r>
          </w:p>
        </w:tc>
        <w:tc>
          <w:tcPr>
            <w:tcW w:type="dxa" w:w="1360"/>
            <w:tcBorders/>
            <w:tcMar>
              <w:start w:w="0" w:type="dxa"/>
              <w:end w:w="0" w:type="dxa"/>
            </w:tcMar>
          </w:tcPr>
          <w:p>
            <w:pPr>
              <w:autoSpaceDN w:val="0"/>
              <w:autoSpaceDE w:val="0"/>
              <w:widowControl/>
              <w:spacing w:line="194" w:lineRule="auto" w:before="40" w:after="0"/>
              <w:ind w:left="0" w:right="0" w:firstLine="0"/>
              <w:jc w:val="center"/>
            </w:pPr>
            <w:r>
              <w:rPr>
                <w:rFonts w:ascii="Calibri" w:hAnsi="Calibri" w:eastAsia="Calibri"/>
                <w:b w:val="0"/>
                <w:i w:val="0"/>
                <w:color w:val="000000"/>
                <w:sz w:val="15"/>
              </w:rPr>
              <w:t>-</w:t>
            </w:r>
          </w:p>
        </w:tc>
        <w:tc>
          <w:tcPr>
            <w:tcW w:type="dxa" w:w="760"/>
            <w:tcBorders/>
            <w:tcMar>
              <w:start w:w="0" w:type="dxa"/>
              <w:end w:w="0" w:type="dxa"/>
            </w:tcMar>
          </w:tcPr>
          <w:p>
            <w:pPr>
              <w:autoSpaceDN w:val="0"/>
              <w:autoSpaceDE w:val="0"/>
              <w:widowControl/>
              <w:spacing w:line="194" w:lineRule="auto" w:before="40" w:after="0"/>
              <w:ind w:left="0" w:right="38" w:firstLine="0"/>
              <w:jc w:val="right"/>
            </w:pPr>
            <w:r>
              <w:rPr>
                <w:rFonts w:ascii="Calibri" w:hAnsi="Calibri" w:eastAsia="Calibri"/>
                <w:b w:val="0"/>
                <w:i w:val="0"/>
                <w:color w:val="000000"/>
                <w:sz w:val="15"/>
              </w:rPr>
              <w:t>-</w:t>
            </w:r>
          </w:p>
        </w:tc>
      </w:tr>
    </w:tbl>
    <w:p>
      <w:pPr>
        <w:autoSpaceDN w:val="0"/>
        <w:autoSpaceDE w:val="0"/>
        <w:widowControl/>
        <w:spacing w:line="150" w:lineRule="exact" w:before="14" w:after="22"/>
        <w:ind w:left="290" w:right="0" w:firstLine="0"/>
        <w:jc w:val="left"/>
      </w:pPr>
      <w:r>
        <w:rPr>
          <w:rFonts w:ascii="黑体" w:hAnsi="黑体" w:eastAsia="黑体"/>
          <w:b w:val="0"/>
          <w:i w:val="0"/>
          <w:color w:val="000000"/>
          <w:sz w:val="15"/>
        </w:rPr>
        <w:t>购建固定资产、无形资产和其他长期</w:t>
      </w:r>
    </w:p>
    <w:tbl>
      <w:tblPr>
        <w:tblW w:type="auto" w:w="0"/>
        <w:tblLayout w:type="fixed"/>
        <w:tblLook w:firstColumn="1" w:firstRow="1" w:lastColumn="0" w:lastRow="0" w:noHBand="0" w:noVBand="1" w:val="04A0"/>
        <w:tblInd w:w="128.0000000000001" w:type="dxa"/>
      </w:tblPr>
      <w:tblGrid>
        <w:gridCol w:w="1825"/>
        <w:gridCol w:w="1825"/>
        <w:gridCol w:w="1825"/>
        <w:gridCol w:w="1825"/>
        <w:gridCol w:w="1825"/>
      </w:tblGrid>
      <w:tr>
        <w:trPr>
          <w:trHeight w:hRule="exact" w:val="174"/>
        </w:trPr>
        <w:tc>
          <w:tcPr>
            <w:tcW w:type="dxa" w:w="3460"/>
            <w:tcBorders/>
            <w:tcMar>
              <w:start w:w="0" w:type="dxa"/>
              <w:end w:w="0" w:type="dxa"/>
            </w:tcMar>
          </w:tcPr>
          <w:p>
            <w:pPr>
              <w:autoSpaceDN w:val="0"/>
              <w:autoSpaceDE w:val="0"/>
              <w:widowControl/>
              <w:spacing w:line="152" w:lineRule="exact" w:before="22" w:after="0"/>
              <w:ind w:left="314" w:right="0" w:firstLine="0"/>
              <w:jc w:val="left"/>
            </w:pPr>
            <w:r>
              <w:rPr>
                <w:rFonts w:ascii="黑体" w:hAnsi="黑体" w:eastAsia="黑体"/>
                <w:b w:val="0"/>
                <w:i w:val="0"/>
                <w:color w:val="000000"/>
                <w:sz w:val="15"/>
              </w:rPr>
              <w:t>资产支付的现金</w:t>
            </w:r>
          </w:p>
        </w:tc>
        <w:tc>
          <w:tcPr>
            <w:tcW w:type="dxa" w:w="1416"/>
            <w:tcBorders/>
            <w:shd w:fill="ffffff"/>
            <w:tcMar>
              <w:start w:w="0" w:type="dxa"/>
              <w:end w:w="0" w:type="dxa"/>
            </w:tcMar>
          </w:tcPr>
          <w:p>
            <w:pPr>
              <w:autoSpaceDN w:val="0"/>
              <w:autoSpaceDE w:val="0"/>
              <w:widowControl/>
              <w:spacing w:line="197" w:lineRule="auto" w:before="22" w:after="0"/>
              <w:ind w:left="0" w:right="90" w:firstLine="0"/>
              <w:jc w:val="right"/>
            </w:pPr>
            <w:r>
              <w:rPr>
                <w:rFonts w:ascii="Calibri" w:hAnsi="Calibri" w:eastAsia="Calibri"/>
                <w:b w:val="0"/>
                <w:i w:val="0"/>
                <w:color w:val="000000"/>
                <w:sz w:val="15"/>
              </w:rPr>
              <w:t xml:space="preserve">(205,384,560) </w:t>
            </w:r>
          </w:p>
        </w:tc>
        <w:tc>
          <w:tcPr>
            <w:tcW w:type="dxa" w:w="1390"/>
            <w:tcBorders/>
            <w:shd w:fill="ffffff"/>
            <w:tcMar>
              <w:start w:w="0" w:type="dxa"/>
              <w:end w:w="0" w:type="dxa"/>
            </w:tcMar>
          </w:tcPr>
          <w:p>
            <w:pPr>
              <w:autoSpaceDN w:val="0"/>
              <w:autoSpaceDE w:val="0"/>
              <w:widowControl/>
              <w:spacing w:line="197" w:lineRule="auto" w:before="22" w:after="0"/>
              <w:ind w:left="0" w:right="92" w:firstLine="0"/>
              <w:jc w:val="right"/>
            </w:pPr>
            <w:r>
              <w:rPr>
                <w:rFonts w:ascii="Calibri" w:hAnsi="Calibri" w:eastAsia="Calibri"/>
                <w:b w:val="0"/>
                <w:i w:val="0"/>
                <w:color w:val="000000"/>
                <w:sz w:val="15"/>
              </w:rPr>
              <w:t xml:space="preserve">(215,140,515) </w:t>
            </w:r>
          </w:p>
        </w:tc>
        <w:tc>
          <w:tcPr>
            <w:tcW w:type="dxa" w:w="1416"/>
            <w:tcBorders/>
            <w:tcMar>
              <w:start w:w="0" w:type="dxa"/>
              <w:end w:w="0" w:type="dxa"/>
            </w:tcMar>
          </w:tcPr>
          <w:p>
            <w:pPr>
              <w:autoSpaceDN w:val="0"/>
              <w:autoSpaceDE w:val="0"/>
              <w:widowControl/>
              <w:spacing w:line="197" w:lineRule="auto" w:before="22" w:after="0"/>
              <w:ind w:left="0" w:right="88" w:firstLine="0"/>
              <w:jc w:val="right"/>
            </w:pPr>
            <w:r>
              <w:rPr>
                <w:rFonts w:ascii="Calibri" w:hAnsi="Calibri" w:eastAsia="Calibri"/>
                <w:b w:val="0"/>
                <w:i w:val="0"/>
                <w:color w:val="000000"/>
                <w:sz w:val="15"/>
              </w:rPr>
              <w:t xml:space="preserve">(201,395,435) </w:t>
            </w:r>
          </w:p>
        </w:tc>
        <w:tc>
          <w:tcPr>
            <w:tcW w:type="dxa" w:w="1298"/>
            <w:tcBorders/>
            <w:tcMar>
              <w:start w:w="0" w:type="dxa"/>
              <w:end w:w="0" w:type="dxa"/>
            </w:tcMar>
          </w:tcPr>
          <w:p>
            <w:pPr>
              <w:autoSpaceDN w:val="0"/>
              <w:autoSpaceDE w:val="0"/>
              <w:widowControl/>
              <w:spacing w:line="197" w:lineRule="auto" w:before="22" w:after="0"/>
              <w:ind w:left="0" w:right="0" w:firstLine="0"/>
              <w:jc w:val="right"/>
            </w:pPr>
            <w:r>
              <w:rPr>
                <w:rFonts w:ascii="Calibri" w:hAnsi="Calibri" w:eastAsia="Calibri"/>
                <w:b w:val="0"/>
                <w:i w:val="0"/>
                <w:color w:val="000000"/>
                <w:sz w:val="15"/>
              </w:rPr>
              <w:t xml:space="preserve">(196,369,254) </w:t>
            </w:r>
          </w:p>
        </w:tc>
      </w:tr>
      <w:tr>
        <w:trPr>
          <w:trHeight w:hRule="exact" w:val="220"/>
        </w:trPr>
        <w:tc>
          <w:tcPr>
            <w:tcW w:type="dxa" w:w="3460"/>
            <w:tcBorders>
              <w:bottom w:sz="3.199999999999818" w:val="single" w:color="#000000"/>
            </w:tcBorders>
            <w:tcMar>
              <w:start w:w="0" w:type="dxa"/>
              <w:end w:w="0" w:type="dxa"/>
            </w:tcMar>
          </w:tcPr>
          <w:p>
            <w:pPr>
              <w:autoSpaceDN w:val="0"/>
              <w:autoSpaceDE w:val="0"/>
              <w:widowControl/>
              <w:spacing w:line="152" w:lineRule="exact" w:before="42" w:after="0"/>
              <w:ind w:left="162" w:right="0" w:firstLine="0"/>
              <w:jc w:val="left"/>
            </w:pPr>
            <w:r>
              <w:rPr>
                <w:rFonts w:ascii="黑体" w:hAnsi="黑体" w:eastAsia="黑体"/>
                <w:b w:val="0"/>
                <w:i w:val="0"/>
                <w:color w:val="000000"/>
                <w:sz w:val="15"/>
              </w:rPr>
              <w:t>取得其他权益工具投资支付的现金</w:t>
            </w:r>
          </w:p>
        </w:tc>
        <w:tc>
          <w:tcPr>
            <w:tcW w:type="dxa" w:w="1416"/>
            <w:tcBorders>
              <w:bottom w:sz="3.199999999999818" w:val="single" w:color="#000000"/>
            </w:tcBorders>
            <w:shd w:fill="ffffff"/>
            <w:tcMar>
              <w:start w:w="0" w:type="dxa"/>
              <w:end w:w="0" w:type="dxa"/>
            </w:tcMar>
          </w:tcPr>
          <w:p>
            <w:pPr>
              <w:autoSpaceDN w:val="0"/>
              <w:autoSpaceDE w:val="0"/>
              <w:widowControl/>
              <w:spacing w:line="197" w:lineRule="auto" w:before="58" w:after="0"/>
              <w:ind w:left="0" w:right="90" w:firstLine="0"/>
              <w:jc w:val="right"/>
            </w:pPr>
            <w:r>
              <w:rPr>
                <w:rFonts w:ascii="Calibri" w:hAnsi="Calibri" w:eastAsia="Calibri"/>
                <w:b w:val="0"/>
                <w:i w:val="0"/>
                <w:color w:val="000000"/>
                <w:sz w:val="15"/>
              </w:rPr>
              <w:t xml:space="preserve">(373,959) </w:t>
            </w:r>
          </w:p>
        </w:tc>
        <w:tc>
          <w:tcPr>
            <w:tcW w:type="dxa" w:w="1390"/>
            <w:tcBorders>
              <w:bottom w:sz="3.199999999999818" w:val="single" w:color="#000000"/>
            </w:tcBorders>
            <w:shd w:fill="ffffff"/>
            <w:tcMar>
              <w:start w:w="0" w:type="dxa"/>
              <w:end w:w="0" w:type="dxa"/>
            </w:tcMar>
          </w:tcPr>
          <w:p>
            <w:pPr>
              <w:autoSpaceDN w:val="0"/>
              <w:autoSpaceDE w:val="0"/>
              <w:widowControl/>
              <w:spacing w:line="197" w:lineRule="auto" w:before="58" w:after="0"/>
              <w:ind w:left="0" w:right="92" w:firstLine="0"/>
              <w:jc w:val="right"/>
            </w:pPr>
            <w:r>
              <w:rPr>
                <w:rFonts w:ascii="Calibri" w:hAnsi="Calibri" w:eastAsia="Calibri"/>
                <w:b w:val="0"/>
                <w:i w:val="0"/>
                <w:color w:val="000000"/>
                <w:sz w:val="15"/>
              </w:rPr>
              <w:t xml:space="preserve">(9,607,576) </w:t>
            </w:r>
          </w:p>
        </w:tc>
        <w:tc>
          <w:tcPr>
            <w:tcW w:type="dxa" w:w="1416"/>
            <w:tcBorders>
              <w:bottom w:sz="3.199999999999818" w:val="single" w:color="#000000"/>
            </w:tcBorders>
            <w:tcMar>
              <w:start w:w="0" w:type="dxa"/>
              <w:end w:w="0" w:type="dxa"/>
            </w:tcMar>
          </w:tcPr>
          <w:p>
            <w:pPr>
              <w:autoSpaceDN w:val="0"/>
              <w:autoSpaceDE w:val="0"/>
              <w:widowControl/>
              <w:spacing w:line="197" w:lineRule="auto" w:before="58" w:after="0"/>
              <w:ind w:left="0" w:right="168" w:firstLine="0"/>
              <w:jc w:val="right"/>
            </w:pPr>
            <w:r>
              <w:rPr>
                <w:rFonts w:ascii="Calibri" w:hAnsi="Calibri" w:eastAsia="Calibri"/>
                <w:b w:val="0"/>
                <w:i w:val="0"/>
                <w:color w:val="000000"/>
                <w:sz w:val="15"/>
              </w:rPr>
              <w:t>-</w:t>
            </w:r>
          </w:p>
        </w:tc>
        <w:tc>
          <w:tcPr>
            <w:tcW w:type="dxa" w:w="1298"/>
            <w:tcBorders>
              <w:bottom w:sz="3.199999999999818" w:val="single" w:color="#000000"/>
            </w:tcBorders>
            <w:tcMar>
              <w:start w:w="0" w:type="dxa"/>
              <w:end w:w="0" w:type="dxa"/>
            </w:tcMar>
          </w:tcPr>
          <w:p>
            <w:pPr>
              <w:autoSpaceDN w:val="0"/>
              <w:autoSpaceDE w:val="0"/>
              <w:widowControl/>
              <w:spacing w:line="197" w:lineRule="auto" w:before="58" w:after="0"/>
              <w:ind w:left="0" w:right="0" w:firstLine="0"/>
              <w:jc w:val="right"/>
            </w:pPr>
            <w:r>
              <w:rPr>
                <w:rFonts w:ascii="Calibri" w:hAnsi="Calibri" w:eastAsia="Calibri"/>
                <w:b w:val="0"/>
                <w:i w:val="0"/>
                <w:color w:val="000000"/>
                <w:sz w:val="15"/>
              </w:rPr>
              <w:t xml:space="preserve">(6,250,000) </w:t>
            </w:r>
          </w:p>
        </w:tc>
      </w:tr>
      <w:tr>
        <w:trPr>
          <w:trHeight w:hRule="exact" w:val="388"/>
        </w:trPr>
        <w:tc>
          <w:tcPr>
            <w:tcW w:type="dxa" w:w="3460"/>
            <w:tcBorders>
              <w:top w:sz="3.199999999999818" w:val="single" w:color="#000000"/>
              <w:bottom w:sz="4.0" w:val="single" w:color="#000000"/>
            </w:tcBorders>
            <w:tcMar>
              <w:start w:w="0" w:type="dxa"/>
              <w:end w:w="0" w:type="dxa"/>
            </w:tcMar>
          </w:tcPr>
          <w:p>
            <w:pPr>
              <w:autoSpaceDN w:val="0"/>
              <w:autoSpaceDE w:val="0"/>
              <w:widowControl/>
              <w:spacing w:line="152" w:lineRule="exact" w:before="204" w:after="0"/>
              <w:ind w:left="162" w:right="0" w:firstLine="0"/>
              <w:jc w:val="left"/>
            </w:pPr>
            <w:r>
              <w:rPr>
                <w:rFonts w:ascii="黑体" w:hAnsi="黑体" w:eastAsia="黑体"/>
                <w:b w:val="0"/>
                <w:i w:val="0"/>
                <w:color w:val="000000"/>
                <w:sz w:val="15"/>
              </w:rPr>
              <w:t>投资活动现金流出小计</w:t>
            </w:r>
          </w:p>
        </w:tc>
        <w:tc>
          <w:tcPr>
            <w:tcW w:type="dxa" w:w="1416"/>
            <w:tcBorders>
              <w:top w:sz="3.199999999999818" w:val="single" w:color="#000000"/>
              <w:bottom w:sz="4.0" w:val="single" w:color="#000000"/>
            </w:tcBorders>
            <w:shd w:fill="ffffff"/>
            <w:tcMar>
              <w:start w:w="0" w:type="dxa"/>
              <w:end w:w="0" w:type="dxa"/>
            </w:tcMar>
          </w:tcPr>
          <w:p>
            <w:pPr>
              <w:autoSpaceDN w:val="0"/>
              <w:autoSpaceDE w:val="0"/>
              <w:widowControl/>
              <w:spacing w:line="194" w:lineRule="auto" w:before="224" w:after="0"/>
              <w:ind w:left="0" w:right="90" w:firstLine="0"/>
              <w:jc w:val="right"/>
            </w:pPr>
            <w:r>
              <w:rPr>
                <w:rFonts w:ascii="Calibri" w:hAnsi="Calibri" w:eastAsia="Calibri"/>
                <w:b w:val="0"/>
                <w:i w:val="0"/>
                <w:color w:val="000000"/>
                <w:sz w:val="15"/>
              </w:rPr>
              <w:t xml:space="preserve">(295,808,519) </w:t>
            </w:r>
          </w:p>
        </w:tc>
        <w:tc>
          <w:tcPr>
            <w:tcW w:type="dxa" w:w="1390"/>
            <w:tcBorders>
              <w:top w:sz="3.199999999999818" w:val="single" w:color="#000000"/>
              <w:bottom w:sz="4.0" w:val="single" w:color="#000000"/>
            </w:tcBorders>
            <w:shd w:fill="ffffff"/>
            <w:tcMar>
              <w:start w:w="0" w:type="dxa"/>
              <w:end w:w="0" w:type="dxa"/>
            </w:tcMar>
          </w:tcPr>
          <w:p>
            <w:pPr>
              <w:autoSpaceDN w:val="0"/>
              <w:autoSpaceDE w:val="0"/>
              <w:widowControl/>
              <w:spacing w:line="194" w:lineRule="auto" w:before="224" w:after="0"/>
              <w:ind w:left="0" w:right="92" w:firstLine="0"/>
              <w:jc w:val="right"/>
            </w:pPr>
            <w:r>
              <w:rPr>
                <w:rFonts w:ascii="Calibri" w:hAnsi="Calibri" w:eastAsia="Calibri"/>
                <w:b w:val="0"/>
                <w:i w:val="0"/>
                <w:color w:val="000000"/>
                <w:sz w:val="15"/>
              </w:rPr>
              <w:t xml:space="preserve">(253,906,091) </w:t>
            </w:r>
          </w:p>
        </w:tc>
        <w:tc>
          <w:tcPr>
            <w:tcW w:type="dxa" w:w="1416"/>
            <w:tcBorders>
              <w:top w:sz="3.199999999999818" w:val="single" w:color="#000000"/>
              <w:bottom w:sz="4.0" w:val="single" w:color="#000000"/>
            </w:tcBorders>
            <w:tcMar>
              <w:start w:w="0" w:type="dxa"/>
              <w:end w:w="0" w:type="dxa"/>
            </w:tcMar>
          </w:tcPr>
          <w:p>
            <w:pPr>
              <w:autoSpaceDN w:val="0"/>
              <w:autoSpaceDE w:val="0"/>
              <w:widowControl/>
              <w:spacing w:line="194" w:lineRule="auto" w:before="224" w:after="0"/>
              <w:ind w:left="0" w:right="88" w:firstLine="0"/>
              <w:jc w:val="right"/>
            </w:pPr>
            <w:r>
              <w:rPr>
                <w:rFonts w:ascii="Calibri" w:hAnsi="Calibri" w:eastAsia="Calibri"/>
                <w:b w:val="0"/>
                <w:i w:val="0"/>
                <w:color w:val="000000"/>
                <w:sz w:val="15"/>
              </w:rPr>
              <w:t xml:space="preserve">(201,395,435) </w:t>
            </w:r>
          </w:p>
        </w:tc>
        <w:tc>
          <w:tcPr>
            <w:tcW w:type="dxa" w:w="1298"/>
            <w:tcBorders>
              <w:top w:sz="3.199999999999818" w:val="single" w:color="#000000"/>
              <w:bottom w:sz="4.0" w:val="single" w:color="#000000"/>
            </w:tcBorders>
            <w:tcMar>
              <w:start w:w="0" w:type="dxa"/>
              <w:end w:w="0" w:type="dxa"/>
            </w:tcMar>
          </w:tcPr>
          <w:p>
            <w:pPr>
              <w:autoSpaceDN w:val="0"/>
              <w:autoSpaceDE w:val="0"/>
              <w:widowControl/>
              <w:spacing w:line="194" w:lineRule="auto" w:before="224" w:after="0"/>
              <w:ind w:left="0" w:right="0" w:firstLine="0"/>
              <w:jc w:val="right"/>
            </w:pPr>
            <w:r>
              <w:rPr>
                <w:rFonts w:ascii="Calibri" w:hAnsi="Calibri" w:eastAsia="Calibri"/>
                <w:b w:val="0"/>
                <w:i w:val="0"/>
                <w:color w:val="000000"/>
                <w:sz w:val="15"/>
              </w:rPr>
              <w:t xml:space="preserve">(202,619,254) </w:t>
            </w:r>
          </w:p>
        </w:tc>
      </w:tr>
      <w:tr>
        <w:trPr>
          <w:trHeight w:hRule="exact" w:val="388"/>
        </w:trPr>
        <w:tc>
          <w:tcPr>
            <w:tcW w:type="dxa" w:w="3460"/>
            <w:tcBorders>
              <w:top w:sz="4.0" w:val="single" w:color="#000000"/>
              <w:bottom w:sz="4.0" w:val="single" w:color="#000000"/>
            </w:tcBorders>
            <w:tcMar>
              <w:start w:w="0" w:type="dxa"/>
              <w:end w:w="0" w:type="dxa"/>
            </w:tcMar>
          </w:tcPr>
          <w:p>
            <w:pPr>
              <w:autoSpaceDN w:val="0"/>
              <w:autoSpaceDE w:val="0"/>
              <w:widowControl/>
              <w:spacing w:line="150" w:lineRule="exact" w:before="206" w:after="0"/>
              <w:ind w:left="162" w:right="0" w:firstLine="0"/>
              <w:jc w:val="left"/>
            </w:pPr>
            <w:r>
              <w:rPr>
                <w:rFonts w:ascii="黑体" w:hAnsi="黑体" w:eastAsia="黑体"/>
                <w:b w:val="0"/>
                <w:i w:val="0"/>
                <w:color w:val="000000"/>
                <w:sz w:val="15"/>
              </w:rPr>
              <w:t>投资活动使用的现金流量净额</w:t>
            </w:r>
          </w:p>
        </w:tc>
        <w:tc>
          <w:tcPr>
            <w:tcW w:type="dxa" w:w="1416"/>
            <w:tcBorders>
              <w:top w:sz="4.0" w:val="single" w:color="#000000"/>
              <w:bottom w:sz="4.0" w:val="single" w:color="#000000"/>
            </w:tcBorders>
            <w:shd w:fill="ffffff"/>
            <w:tcMar>
              <w:start w:w="0" w:type="dxa"/>
              <w:end w:w="0" w:type="dxa"/>
            </w:tcMar>
          </w:tcPr>
          <w:p>
            <w:pPr>
              <w:autoSpaceDN w:val="0"/>
              <w:autoSpaceDE w:val="0"/>
              <w:widowControl/>
              <w:spacing w:line="197" w:lineRule="auto" w:before="224" w:after="0"/>
              <w:ind w:left="0" w:right="90" w:firstLine="0"/>
              <w:jc w:val="right"/>
            </w:pPr>
            <w:r>
              <w:rPr>
                <w:rFonts w:ascii="Calibri" w:hAnsi="Calibri" w:eastAsia="Calibri"/>
                <w:b w:val="0"/>
                <w:i w:val="0"/>
                <w:color w:val="000000"/>
                <w:sz w:val="15"/>
              </w:rPr>
              <w:t xml:space="preserve">(250,265,923) </w:t>
            </w:r>
          </w:p>
        </w:tc>
        <w:tc>
          <w:tcPr>
            <w:tcW w:type="dxa" w:w="1390"/>
            <w:tcBorders>
              <w:top w:sz="4.0" w:val="single" w:color="#000000"/>
              <w:bottom w:sz="4.0" w:val="single" w:color="#000000"/>
            </w:tcBorders>
            <w:shd w:fill="ffffff"/>
            <w:tcMar>
              <w:start w:w="0" w:type="dxa"/>
              <w:end w:w="0" w:type="dxa"/>
            </w:tcMar>
          </w:tcPr>
          <w:p>
            <w:pPr>
              <w:autoSpaceDN w:val="0"/>
              <w:autoSpaceDE w:val="0"/>
              <w:widowControl/>
              <w:spacing w:line="197" w:lineRule="auto" w:before="224" w:after="0"/>
              <w:ind w:left="0" w:right="92" w:firstLine="0"/>
              <w:jc w:val="right"/>
            </w:pPr>
            <w:r>
              <w:rPr>
                <w:rFonts w:ascii="Calibri" w:hAnsi="Calibri" w:eastAsia="Calibri"/>
                <w:b w:val="0"/>
                <w:i w:val="0"/>
                <w:color w:val="000000"/>
                <w:sz w:val="15"/>
              </w:rPr>
              <w:t xml:space="preserve">(176,472,027) </w:t>
            </w:r>
          </w:p>
        </w:tc>
        <w:tc>
          <w:tcPr>
            <w:tcW w:type="dxa" w:w="1416"/>
            <w:tcBorders>
              <w:top w:sz="4.0" w:val="single" w:color="#000000"/>
              <w:bottom w:sz="4.0" w:val="single" w:color="#000000"/>
            </w:tcBorders>
            <w:tcMar>
              <w:start w:w="0" w:type="dxa"/>
              <w:end w:w="0" w:type="dxa"/>
            </w:tcMar>
          </w:tcPr>
          <w:p>
            <w:pPr>
              <w:autoSpaceDN w:val="0"/>
              <w:autoSpaceDE w:val="0"/>
              <w:widowControl/>
              <w:spacing w:line="197" w:lineRule="auto" w:before="224" w:after="0"/>
              <w:ind w:left="0" w:right="88" w:firstLine="0"/>
              <w:jc w:val="right"/>
            </w:pPr>
            <w:r>
              <w:rPr>
                <w:rFonts w:ascii="Calibri" w:hAnsi="Calibri" w:eastAsia="Calibri"/>
                <w:b w:val="0"/>
                <w:i w:val="0"/>
                <w:color w:val="000000"/>
                <w:sz w:val="15"/>
              </w:rPr>
              <w:t xml:space="preserve">(140,705,410) </w:t>
            </w:r>
          </w:p>
        </w:tc>
        <w:tc>
          <w:tcPr>
            <w:tcW w:type="dxa" w:w="1298"/>
            <w:tcBorders>
              <w:top w:sz="4.0" w:val="single" w:color="#000000"/>
              <w:bottom w:sz="4.0" w:val="single" w:color="#000000"/>
            </w:tcBorders>
            <w:tcMar>
              <w:start w:w="0" w:type="dxa"/>
              <w:end w:w="0" w:type="dxa"/>
            </w:tcMar>
          </w:tcPr>
          <w:p>
            <w:pPr>
              <w:autoSpaceDN w:val="0"/>
              <w:autoSpaceDE w:val="0"/>
              <w:widowControl/>
              <w:spacing w:line="197" w:lineRule="auto" w:before="224" w:after="0"/>
              <w:ind w:left="0" w:right="0" w:firstLine="0"/>
              <w:jc w:val="right"/>
            </w:pPr>
            <w:r>
              <w:rPr>
                <w:rFonts w:ascii="Calibri" w:hAnsi="Calibri" w:eastAsia="Calibri"/>
                <w:b w:val="0"/>
                <w:i w:val="0"/>
                <w:color w:val="000000"/>
                <w:sz w:val="15"/>
              </w:rPr>
              <w:t xml:space="preserve">(84,110,882) </w:t>
            </w:r>
          </w:p>
        </w:tc>
      </w:tr>
      <w:tr>
        <w:trPr>
          <w:trHeight w:hRule="exact" w:val="52"/>
        </w:trPr>
        <w:tc>
          <w:tcPr>
            <w:tcW w:type="dxa" w:w="3460"/>
            <w:tcBorders>
              <w:top w:sz="4.0" w:val="single" w:color="#000000"/>
            </w:tcBorders>
            <w:tcMar>
              <w:start w:w="0" w:type="dxa"/>
              <w:end w:w="0" w:type="dxa"/>
            </w:tcMar>
          </w:tcPr>
          <w:p/>
        </w:tc>
        <w:tc>
          <w:tcPr>
            <w:tcW w:type="dxa" w:w="1416"/>
            <w:tcBorders>
              <w:top w:sz="4.0" w:val="single" w:color="#000000"/>
            </w:tcBorders>
            <w:tcMar>
              <w:start w:w="0" w:type="dxa"/>
              <w:end w:w="0" w:type="dxa"/>
            </w:tcMar>
          </w:tcPr>
          <w:p/>
        </w:tc>
        <w:tc>
          <w:tcPr>
            <w:tcW w:type="dxa" w:w="1390"/>
            <w:tcBorders>
              <w:top w:sz="4.0" w:val="single" w:color="#000000"/>
            </w:tcBorders>
            <w:tcMar>
              <w:start w:w="0" w:type="dxa"/>
              <w:end w:w="0" w:type="dxa"/>
            </w:tcMar>
          </w:tcPr>
          <w:p/>
        </w:tc>
        <w:tc>
          <w:tcPr>
            <w:tcW w:type="dxa" w:w="1416"/>
            <w:tcBorders>
              <w:top w:sz="4.0" w:val="single" w:color="#000000"/>
            </w:tcBorders>
            <w:tcMar>
              <w:start w:w="0" w:type="dxa"/>
              <w:end w:w="0" w:type="dxa"/>
            </w:tcMar>
          </w:tcPr>
          <w:p/>
        </w:tc>
        <w:tc>
          <w:tcPr>
            <w:tcW w:type="dxa" w:w="1298"/>
            <w:tcBorders>
              <w:top w:sz="4.0" w:val="single" w:color="#000000"/>
            </w:tcBorders>
            <w:tcMar>
              <w:start w:w="0" w:type="dxa"/>
              <w:end w:w="0" w:type="dxa"/>
            </w:tcMar>
          </w:tcPr>
          <w:p/>
        </w:tc>
      </w:tr>
    </w:tbl>
    <w:p>
      <w:pPr>
        <w:autoSpaceDN w:val="0"/>
        <w:autoSpaceDE w:val="0"/>
        <w:widowControl/>
        <w:spacing w:line="248" w:lineRule="exact" w:before="5030" w:after="1030"/>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82"/>
        <w:gridCol w:w="2282"/>
        <w:gridCol w:w="2282"/>
        <w:gridCol w:w="2282"/>
      </w:tblGrid>
      <w:tr>
        <w:trPr>
          <w:trHeight w:hRule="exact" w:val="298"/>
        </w:trPr>
        <w:tc>
          <w:tcPr>
            <w:tcW w:type="dxa" w:w="2298"/>
            <w:tcBorders>
              <w:top w:sz="7.200000000000728" w:val="single" w:color="#000000"/>
            </w:tcBorders>
            <w:tcMar>
              <w:start w:w="0" w:type="dxa"/>
              <w:end w:w="0" w:type="dxa"/>
            </w:tcMar>
          </w:tcPr>
          <w:p>
            <w:pPr>
              <w:autoSpaceDN w:val="0"/>
              <w:autoSpaceDE w:val="0"/>
              <w:widowControl/>
              <w:spacing w:line="220" w:lineRule="exact" w:before="36" w:after="0"/>
              <w:ind w:left="0" w:right="0" w:firstLine="0"/>
              <w:jc w:val="left"/>
            </w:pPr>
            <w:r>
              <w:rPr>
                <w:rFonts w:ascii="黑体" w:hAnsi="黑体" w:eastAsia="黑体"/>
                <w:b w:val="0"/>
                <w:i w:val="0"/>
                <w:color w:val="000000"/>
                <w:sz w:val="22"/>
              </w:rPr>
              <w:t>王怡里</w:t>
            </w:r>
          </w:p>
        </w:tc>
        <w:tc>
          <w:tcPr>
            <w:tcW w:type="dxa" w:w="3192"/>
            <w:tcBorders>
              <w:top w:sz="7.200000000000728" w:val="single" w:color="#000000"/>
            </w:tcBorders>
            <w:tcMar>
              <w:start w:w="0" w:type="dxa"/>
              <w:end w:w="0" w:type="dxa"/>
            </w:tcMar>
          </w:tcPr>
          <w:p>
            <w:pPr>
              <w:autoSpaceDN w:val="0"/>
              <w:autoSpaceDE w:val="0"/>
              <w:widowControl/>
              <w:spacing w:line="220" w:lineRule="exact" w:before="36" w:after="0"/>
              <w:ind w:left="224" w:right="0" w:firstLine="0"/>
              <w:jc w:val="left"/>
            </w:pPr>
            <w:r>
              <w:rPr>
                <w:rFonts w:ascii="黑体" w:hAnsi="黑体" w:eastAsia="黑体"/>
                <w:b w:val="0"/>
                <w:i w:val="0"/>
                <w:color w:val="000000"/>
                <w:sz w:val="22"/>
              </w:rPr>
              <w:t>汤建雄</w:t>
            </w:r>
          </w:p>
        </w:tc>
        <w:tc>
          <w:tcPr>
            <w:tcW w:type="dxa" w:w="2156"/>
            <w:tcBorders>
              <w:top w:sz="7.200000000000728" w:val="single" w:color="#000000"/>
            </w:tcBorders>
            <w:tcMar>
              <w:start w:w="0" w:type="dxa"/>
              <w:end w:w="0" w:type="dxa"/>
            </w:tcMar>
          </w:tcPr>
          <w:p>
            <w:pPr>
              <w:autoSpaceDN w:val="0"/>
              <w:autoSpaceDE w:val="0"/>
              <w:widowControl/>
              <w:spacing w:line="220" w:lineRule="exact" w:before="36" w:after="0"/>
              <w:ind w:left="264" w:right="0" w:firstLine="0"/>
              <w:jc w:val="left"/>
            </w:pPr>
            <w:r>
              <w:rPr>
                <w:rFonts w:ascii="黑体" w:hAnsi="黑体" w:eastAsia="黑体"/>
                <w:b w:val="0"/>
                <w:i w:val="0"/>
                <w:color w:val="000000"/>
                <w:sz w:val="22"/>
              </w:rPr>
              <w:t>张立德</w:t>
            </w:r>
          </w:p>
        </w:tc>
        <w:tc>
          <w:tcPr>
            <w:tcW w:type="dxa" w:w="1314"/>
            <w:tcBorders>
              <w:top w:sz="7.200000000000728" w:val="single" w:color="#000000"/>
            </w:tcBorders>
            <w:tcMar>
              <w:start w:w="0" w:type="dxa"/>
              <w:end w:w="0" w:type="dxa"/>
            </w:tcMar>
          </w:tcPr>
          <w:p>
            <w:pPr>
              <w:autoSpaceDN w:val="0"/>
              <w:autoSpaceDE w:val="0"/>
              <w:widowControl/>
              <w:spacing w:line="220" w:lineRule="exact" w:before="36"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42"/>
        <w:gridCol w:w="3042"/>
        <w:gridCol w:w="3042"/>
      </w:tblGrid>
      <w:tr>
        <w:trPr>
          <w:trHeight w:hRule="exact" w:val="314"/>
        </w:trPr>
        <w:tc>
          <w:tcPr>
            <w:tcW w:type="dxa" w:w="1820"/>
            <w:tcBorders/>
            <w:tcMar>
              <w:start w:w="0" w:type="dxa"/>
              <w:end w:w="0" w:type="dxa"/>
            </w:tcMar>
          </w:tcPr>
          <w:p>
            <w:pPr>
              <w:autoSpaceDN w:val="0"/>
              <w:autoSpaceDE w:val="0"/>
              <w:widowControl/>
              <w:spacing w:line="222"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2" w:lineRule="exact" w:before="32" w:after="0"/>
              <w:ind w:left="722" w:right="0" w:firstLine="0"/>
              <w:jc w:val="left"/>
            </w:pPr>
            <w:r>
              <w:rPr>
                <w:rFonts w:ascii="黑体" w:hAnsi="黑体" w:eastAsia="黑体"/>
                <w:b w:val="0"/>
                <w:i w:val="0"/>
                <w:color w:val="000000"/>
                <w:sz w:val="22"/>
              </w:rPr>
              <w:t>主管会计工作的公司负责人</w:t>
            </w:r>
          </w:p>
        </w:tc>
        <w:tc>
          <w:tcPr>
            <w:tcW w:type="dxa" w:w="2760"/>
            <w:tcBorders/>
            <w:tcMar>
              <w:start w:w="0" w:type="dxa"/>
              <w:end w:w="0" w:type="dxa"/>
            </w:tcMar>
          </w:tcPr>
          <w:p>
            <w:pPr>
              <w:autoSpaceDN w:val="0"/>
              <w:autoSpaceDE w:val="0"/>
              <w:widowControl/>
              <w:spacing w:line="222"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198" w:lineRule="exact" w:before="1020"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324" w:after="0"/>
        <w:ind w:left="0" w:right="0" w:firstLine="0"/>
        <w:jc w:val="center"/>
      </w:pPr>
      <w:r>
        <w:rPr>
          <w:rFonts w:ascii="Arial" w:hAnsi="Arial" w:eastAsia="Arial"/>
          <w:b w:val="0"/>
          <w:i w:val="0"/>
          <w:color w:val="000000"/>
          <w:sz w:val="20"/>
        </w:rPr>
        <w:t xml:space="preserve">160 </w:t>
      </w:r>
    </w:p>
    <w:p>
      <w:pPr>
        <w:sectPr>
          <w:pgSz w:w="11899" w:h="16841"/>
          <w:pgMar w:top="732" w:right="1340" w:bottom="360" w:left="1432" w:header="720" w:footer="720" w:gutter="0"/>
          <w:cols/>
          <w:docGrid w:linePitch="360"/>
        </w:sectPr>
      </w:pPr>
    </w:p>
    <w:p>
      <w:pPr>
        <w:autoSpaceDN w:val="0"/>
        <w:autoSpaceDE w:val="0"/>
        <w:widowControl/>
        <w:spacing w:line="220" w:lineRule="exact" w:before="0" w:after="512"/>
        <w:ind w:left="0" w:right="0"/>
      </w:pPr>
    </w:p>
    <w:p>
      <w:pPr>
        <w:autoSpaceDN w:val="0"/>
        <w:autoSpaceDE w:val="0"/>
        <w:widowControl/>
        <w:spacing w:line="182" w:lineRule="exact" w:before="0" w:after="238"/>
        <w:ind w:left="0" w:right="0" w:firstLine="0"/>
        <w:jc w:val="center"/>
      </w:pPr>
      <w:r>
        <w:rPr>
          <w:rFonts w:ascii="黑体" w:hAnsi="黑体" w:eastAsia="黑体"/>
          <w:b w:val="0"/>
          <w:i w:val="0"/>
          <w:color w:val="000000"/>
          <w:sz w:val="16"/>
        </w:rPr>
        <w:t>合并及公司现金流量表（续）</w:t>
      </w:r>
      <w:r>
        <w:br/>
      </w:r>
      <w:r>
        <w:rPr>
          <w:rFonts w:ascii="黑体" w:hAnsi="黑体" w:eastAsia="黑体"/>
          <w:b w:val="0"/>
          <w:i w:val="0"/>
          <w:color w:val="000000"/>
          <w:sz w:val="16"/>
        </w:rPr>
        <w:t>编制单位：山西证券股份有限公司</w:t>
      </w:r>
      <w:r>
        <w:rPr>
          <w:rFonts w:ascii="黑体" w:hAnsi="黑体" w:eastAsia="黑体"/>
          <w:b w:val="0"/>
          <w:i w:val="0"/>
          <w:color w:val="000000"/>
          <w:sz w:val="16"/>
        </w:rPr>
        <w:t>金额单位：元</w:t>
      </w:r>
    </w:p>
    <w:tbl>
      <w:tblPr>
        <w:tblW w:type="auto" w:w="0"/>
        <w:tblLayout w:type="fixed"/>
        <w:tblLook w:firstColumn="1" w:firstRow="1" w:lastColumn="0" w:lastRow="0" w:noHBand="0" w:noVBand="1" w:val="04A0"/>
        <w:tblInd w:w="2940.0" w:type="dxa"/>
      </w:tblPr>
      <w:tblGrid>
        <w:gridCol w:w="1829"/>
        <w:gridCol w:w="1829"/>
        <w:gridCol w:w="1829"/>
        <w:gridCol w:w="1829"/>
        <w:gridCol w:w="1829"/>
      </w:tblGrid>
      <w:tr>
        <w:trPr>
          <w:trHeight w:hRule="exact" w:val="238"/>
        </w:trPr>
        <w:tc>
          <w:tcPr>
            <w:tcW w:type="dxa" w:w="918"/>
            <w:tcBorders>
              <w:bottom w:sz="4.0" w:val="single" w:color="#000000"/>
            </w:tcBorders>
            <w:tcMar>
              <w:start w:w="0" w:type="dxa"/>
              <w:end w:w="0" w:type="dxa"/>
            </w:tcMar>
          </w:tcPr>
          <w:p/>
        </w:tc>
        <w:tc>
          <w:tcPr>
            <w:tcW w:type="dxa" w:w="1750"/>
            <w:tcBorders>
              <w:bottom w:sz="4.0" w:val="single" w:color="#000000"/>
            </w:tcBorders>
            <w:tcMar>
              <w:start w:w="0" w:type="dxa"/>
              <w:end w:w="0" w:type="dxa"/>
            </w:tcMar>
          </w:tcPr>
          <w:p>
            <w:pPr>
              <w:autoSpaceDN w:val="0"/>
              <w:autoSpaceDE w:val="0"/>
              <w:widowControl/>
              <w:spacing w:line="152" w:lineRule="exact" w:before="60" w:after="0"/>
              <w:ind w:left="0" w:right="298" w:firstLine="0"/>
              <w:jc w:val="right"/>
            </w:pPr>
            <w:r>
              <w:rPr>
                <w:rFonts w:ascii="黑体" w:hAnsi="黑体" w:eastAsia="黑体"/>
                <w:b w:val="0"/>
                <w:i w:val="0"/>
                <w:color w:val="000000"/>
                <w:sz w:val="15"/>
              </w:rPr>
              <w:t>本集团</w:t>
            </w:r>
          </w:p>
        </w:tc>
        <w:tc>
          <w:tcPr>
            <w:tcW w:type="dxa" w:w="776"/>
            <w:tcBorders>
              <w:bottom w:sz="4.0" w:val="single" w:color="#000000"/>
            </w:tcBorders>
            <w:tcMar>
              <w:start w:w="0" w:type="dxa"/>
              <w:end w:w="0" w:type="dxa"/>
            </w:tcMar>
          </w:tcPr>
          <w:p/>
        </w:tc>
        <w:tc>
          <w:tcPr>
            <w:tcW w:type="dxa" w:w="1884"/>
            <w:tcBorders>
              <w:bottom w:sz="4.0" w:val="single" w:color="#000000"/>
            </w:tcBorders>
            <w:tcMar>
              <w:start w:w="0" w:type="dxa"/>
              <w:end w:w="0" w:type="dxa"/>
            </w:tcMar>
          </w:tcPr>
          <w:p>
            <w:pPr>
              <w:autoSpaceDN w:val="0"/>
              <w:autoSpaceDE w:val="0"/>
              <w:widowControl/>
              <w:spacing w:line="152" w:lineRule="exact" w:before="60" w:after="0"/>
              <w:ind w:left="0" w:right="290" w:firstLine="0"/>
              <w:jc w:val="right"/>
            </w:pPr>
            <w:r>
              <w:rPr>
                <w:rFonts w:ascii="黑体" w:hAnsi="黑体" w:eastAsia="黑体"/>
                <w:b w:val="0"/>
                <w:i w:val="0"/>
                <w:color w:val="000000"/>
                <w:sz w:val="15"/>
              </w:rPr>
              <w:t>本公司</w:t>
            </w:r>
          </w:p>
        </w:tc>
        <w:tc>
          <w:tcPr>
            <w:tcW w:type="dxa" w:w="780"/>
            <w:tcBorders>
              <w:bottom w:sz="4.0" w:val="single" w:color="#000000"/>
            </w:tcBorders>
            <w:tcMar>
              <w:start w:w="0" w:type="dxa"/>
              <w:end w:w="0" w:type="dxa"/>
            </w:tcMar>
          </w:tcPr>
          <w:p/>
        </w:tc>
      </w:tr>
      <w:tr>
        <w:trPr>
          <w:trHeight w:hRule="exact" w:val="188"/>
        </w:trPr>
        <w:tc>
          <w:tcPr>
            <w:tcW w:type="dxa" w:w="918"/>
            <w:tcBorders>
              <w:top w:sz="4.0" w:val="single" w:color="#000000"/>
              <w:bottom w:sz="2.3999999999999773" w:val="single" w:color="#000000"/>
            </w:tcBorders>
            <w:tcMar>
              <w:start w:w="0" w:type="dxa"/>
              <w:end w:w="0" w:type="dxa"/>
            </w:tcMar>
          </w:tcPr>
          <w:p>
            <w:pPr>
              <w:autoSpaceDN w:val="0"/>
              <w:autoSpaceDE w:val="0"/>
              <w:widowControl/>
              <w:spacing w:line="150" w:lineRule="exact" w:before="26" w:after="0"/>
              <w:ind w:left="0" w:right="0" w:firstLine="0"/>
              <w:jc w:val="left"/>
            </w:pPr>
            <w:r>
              <w:rPr>
                <w:rFonts w:ascii="黑体" w:hAnsi="黑体" w:eastAsia="黑体"/>
                <w:b w:val="0"/>
                <w:i w:val="0"/>
                <w:color w:val="000000"/>
                <w:sz w:val="15"/>
              </w:rPr>
              <w:t>附注</w:t>
            </w:r>
          </w:p>
        </w:tc>
        <w:tc>
          <w:tcPr>
            <w:tcW w:type="dxa" w:w="1750"/>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558" w:firstLine="0"/>
              <w:jc w:val="right"/>
            </w:pPr>
            <w:r>
              <w:rPr>
                <w:rFonts w:ascii="Calibri" w:hAnsi="Calibri" w:eastAsia="Calibri"/>
                <w:b/>
                <w:i w:val="0"/>
                <w:color w:val="000000"/>
                <w:sz w:val="15"/>
                <w:u w:val="single"/>
              </w:rPr>
              <w:t>2024</w:t>
            </w:r>
            <w:r>
              <w:rPr>
                <w:rFonts w:ascii="黑体" w:hAnsi="黑体" w:eastAsia="黑体"/>
                <w:b w:val="0"/>
                <w:i w:val="0"/>
                <w:color w:val="000000"/>
                <w:sz w:val="15"/>
                <w:u w:val="single"/>
              </w:rPr>
              <w:t>年</w:t>
            </w:r>
          </w:p>
        </w:tc>
        <w:tc>
          <w:tcPr>
            <w:tcW w:type="dxa" w:w="776"/>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0" w:firstLine="0"/>
              <w:jc w:val="right"/>
            </w:pPr>
            <w:r>
              <w:rPr>
                <w:rFonts w:ascii="Calibri" w:hAnsi="Calibri" w:eastAsia="Calibri"/>
                <w:b/>
                <w:i w:val="0"/>
                <w:color w:val="000000"/>
                <w:sz w:val="15"/>
                <w:u w:val="single"/>
              </w:rPr>
              <w:t>2023</w:t>
            </w:r>
            <w:r>
              <w:rPr>
                <w:rFonts w:ascii="黑体" w:hAnsi="黑体" w:eastAsia="黑体"/>
                <w:b w:val="0"/>
                <w:i w:val="0"/>
                <w:color w:val="000000"/>
                <w:sz w:val="15"/>
                <w:u w:val="single"/>
              </w:rPr>
              <w:t>年</w:t>
            </w:r>
          </w:p>
        </w:tc>
        <w:tc>
          <w:tcPr>
            <w:tcW w:type="dxa" w:w="1884"/>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552" w:firstLine="0"/>
              <w:jc w:val="right"/>
            </w:pPr>
            <w:r>
              <w:rPr>
                <w:rFonts w:ascii="Calibri" w:hAnsi="Calibri" w:eastAsia="Calibri"/>
                <w:b/>
                <w:i w:val="0"/>
                <w:color w:val="000000"/>
                <w:sz w:val="15"/>
                <w:u w:val="single"/>
              </w:rPr>
              <w:t>2024</w:t>
            </w:r>
            <w:r>
              <w:rPr>
                <w:rFonts w:ascii="黑体" w:hAnsi="黑体" w:eastAsia="黑体"/>
                <w:b w:val="0"/>
                <w:i w:val="0"/>
                <w:color w:val="000000"/>
                <w:sz w:val="15"/>
                <w:u w:val="single"/>
              </w:rPr>
              <w:t>年</w:t>
            </w:r>
          </w:p>
        </w:tc>
        <w:tc>
          <w:tcPr>
            <w:tcW w:type="dxa" w:w="780"/>
            <w:tcBorders>
              <w:top w:sz="4.0" w:val="single" w:color="#000000"/>
              <w:bottom w:sz="2.3999999999999773" w:val="single" w:color="#000000"/>
            </w:tcBorders>
            <w:tcMar>
              <w:start w:w="0" w:type="dxa"/>
              <w:end w:w="0" w:type="dxa"/>
            </w:tcMar>
          </w:tcPr>
          <w:p>
            <w:pPr>
              <w:autoSpaceDN w:val="0"/>
              <w:autoSpaceDE w:val="0"/>
              <w:widowControl/>
              <w:spacing w:line="166" w:lineRule="exact" w:before="16" w:after="0"/>
              <w:ind w:left="0" w:right="0" w:firstLine="0"/>
              <w:jc w:val="right"/>
            </w:pPr>
            <w:r>
              <w:rPr>
                <w:rFonts w:ascii="Calibri" w:hAnsi="Calibri" w:eastAsia="Calibri"/>
                <w:b/>
                <w:i w:val="0"/>
                <w:color w:val="000000"/>
                <w:sz w:val="15"/>
                <w:u w:val="single"/>
              </w:rPr>
              <w:t>2023</w:t>
            </w:r>
            <w:r>
              <w:rPr>
                <w:rFonts w:ascii="黑体" w:hAnsi="黑体" w:eastAsia="黑体"/>
                <w:b w:val="0"/>
                <w:i w:val="0"/>
                <w:color w:val="000000"/>
                <w:sz w:val="15"/>
                <w:u w:val="single"/>
              </w:rPr>
              <w:t>年</w:t>
            </w:r>
          </w:p>
        </w:tc>
      </w:tr>
    </w:tbl>
    <w:p>
      <w:pPr>
        <w:autoSpaceDN w:val="0"/>
        <w:autoSpaceDE w:val="0"/>
        <w:widowControl/>
        <w:spacing w:line="152" w:lineRule="exact" w:before="218" w:after="164"/>
        <w:ind w:left="8" w:right="0" w:firstLine="0"/>
        <w:jc w:val="left"/>
      </w:pPr>
      <w:r>
        <w:rPr>
          <w:rFonts w:ascii="黑体" w:hAnsi="黑体" w:eastAsia="黑体"/>
          <w:b w:val="0"/>
          <w:i w:val="0"/>
          <w:color w:val="000000"/>
          <w:sz w:val="15"/>
        </w:rPr>
        <w:t>三、筹资活动产生的现金流量</w:t>
      </w:r>
    </w:p>
    <w:tbl>
      <w:tblPr>
        <w:tblW w:type="auto" w:w="0"/>
        <w:tblLayout w:type="fixed"/>
        <w:tblLook w:firstColumn="1" w:firstRow="1" w:lastColumn="0" w:lastRow="0" w:noHBand="0" w:noVBand="1" w:val="04A0"/>
        <w:tblInd w:w="-11.999999999999886" w:type="dxa"/>
      </w:tblPr>
      <w:tblGrid>
        <w:gridCol w:w="1829"/>
        <w:gridCol w:w="1829"/>
        <w:gridCol w:w="1829"/>
        <w:gridCol w:w="1829"/>
        <w:gridCol w:w="1829"/>
      </w:tblGrid>
      <w:tr>
        <w:trPr>
          <w:trHeight w:hRule="exact" w:val="212"/>
        </w:trPr>
        <w:tc>
          <w:tcPr>
            <w:tcW w:type="dxa" w:w="3870"/>
            <w:tcBorders/>
            <w:tcMar>
              <w:start w:w="0" w:type="dxa"/>
              <w:end w:w="0" w:type="dxa"/>
            </w:tcMar>
          </w:tcPr>
          <w:p>
            <w:pPr>
              <w:autoSpaceDN w:val="0"/>
              <w:autoSpaceDE w:val="0"/>
              <w:widowControl/>
              <w:spacing w:line="152" w:lineRule="exact" w:before="60" w:after="0"/>
              <w:ind w:left="302" w:right="0" w:firstLine="0"/>
              <w:jc w:val="left"/>
            </w:pPr>
            <w:r>
              <w:rPr>
                <w:rFonts w:ascii="黑体" w:hAnsi="黑体" w:eastAsia="黑体"/>
                <w:b w:val="0"/>
                <w:i w:val="0"/>
                <w:color w:val="000000"/>
                <w:sz w:val="15"/>
              </w:rPr>
              <w:t>发行债券收到的现金</w:t>
            </w:r>
          </w:p>
        </w:tc>
        <w:tc>
          <w:tcPr>
            <w:tcW w:type="dxa" w:w="1336"/>
            <w:tcBorders/>
            <w:tcMar>
              <w:start w:w="0" w:type="dxa"/>
              <w:end w:w="0" w:type="dxa"/>
            </w:tcMar>
          </w:tcPr>
          <w:p>
            <w:pPr>
              <w:autoSpaceDN w:val="0"/>
              <w:autoSpaceDE w:val="0"/>
              <w:widowControl/>
              <w:spacing w:line="194" w:lineRule="auto" w:before="62" w:after="0"/>
              <w:ind w:left="318" w:right="0" w:firstLine="0"/>
              <w:jc w:val="left"/>
            </w:pPr>
            <w:r>
              <w:rPr>
                <w:rFonts w:ascii="Calibri" w:hAnsi="Calibri" w:eastAsia="Calibri"/>
                <w:b w:val="0"/>
                <w:i w:val="0"/>
                <w:color w:val="000000"/>
                <w:sz w:val="15"/>
              </w:rPr>
              <w:t xml:space="preserve">5,984,436,801 </w:t>
            </w:r>
          </w:p>
        </w:tc>
        <w:tc>
          <w:tcPr>
            <w:tcW w:type="dxa" w:w="1332"/>
            <w:tcBorders/>
            <w:tcMar>
              <w:start w:w="0" w:type="dxa"/>
              <w:end w:w="0" w:type="dxa"/>
            </w:tcMar>
          </w:tcPr>
          <w:p>
            <w:pPr>
              <w:autoSpaceDN w:val="0"/>
              <w:autoSpaceDE w:val="0"/>
              <w:widowControl/>
              <w:spacing w:line="194" w:lineRule="auto" w:before="62" w:after="0"/>
              <w:ind w:left="316" w:right="0" w:firstLine="0"/>
              <w:jc w:val="left"/>
            </w:pPr>
            <w:r>
              <w:rPr>
                <w:rFonts w:ascii="Calibri" w:hAnsi="Calibri" w:eastAsia="Calibri"/>
                <w:b w:val="0"/>
                <w:i w:val="0"/>
                <w:color w:val="000000"/>
                <w:sz w:val="15"/>
              </w:rPr>
              <w:t>3,492,883,932</w:t>
            </w:r>
          </w:p>
        </w:tc>
        <w:tc>
          <w:tcPr>
            <w:tcW w:type="dxa" w:w="1332"/>
            <w:tcBorders/>
            <w:tcMar>
              <w:start w:w="0" w:type="dxa"/>
              <w:end w:w="0" w:type="dxa"/>
            </w:tcMar>
          </w:tcPr>
          <w:p>
            <w:pPr>
              <w:autoSpaceDN w:val="0"/>
              <w:autoSpaceDE w:val="0"/>
              <w:widowControl/>
              <w:spacing w:line="194" w:lineRule="auto" w:before="62" w:after="0"/>
              <w:ind w:left="316" w:right="0" w:firstLine="0"/>
              <w:jc w:val="left"/>
            </w:pPr>
            <w:r>
              <w:rPr>
                <w:rFonts w:ascii="Calibri" w:hAnsi="Calibri" w:eastAsia="Calibri"/>
                <w:b w:val="0"/>
                <w:i w:val="0"/>
                <w:color w:val="000000"/>
                <w:sz w:val="15"/>
              </w:rPr>
              <w:t>5,984,436,801</w:t>
            </w:r>
          </w:p>
        </w:tc>
        <w:tc>
          <w:tcPr>
            <w:tcW w:type="dxa" w:w="1270"/>
            <w:tcBorders/>
            <w:tcMar>
              <w:start w:w="0" w:type="dxa"/>
              <w:end w:w="0" w:type="dxa"/>
            </w:tcMar>
          </w:tcPr>
          <w:p>
            <w:pPr>
              <w:autoSpaceDN w:val="0"/>
              <w:autoSpaceDE w:val="0"/>
              <w:widowControl/>
              <w:spacing w:line="194" w:lineRule="auto" w:before="62" w:after="0"/>
              <w:ind w:left="316" w:right="0" w:firstLine="0"/>
              <w:jc w:val="left"/>
            </w:pPr>
            <w:r>
              <w:rPr>
                <w:rFonts w:ascii="Calibri" w:hAnsi="Calibri" w:eastAsia="Calibri"/>
                <w:b w:val="0"/>
                <w:i w:val="0"/>
                <w:color w:val="000000"/>
                <w:sz w:val="15"/>
              </w:rPr>
              <w:t>3,491,525,441</w:t>
            </w:r>
          </w:p>
        </w:tc>
      </w:tr>
      <w:tr>
        <w:trPr>
          <w:trHeight w:hRule="exact" w:val="222"/>
        </w:trPr>
        <w:tc>
          <w:tcPr>
            <w:tcW w:type="dxa" w:w="3870"/>
            <w:tcBorders>
              <w:bottom w:sz="4.0" w:val="single" w:color="#000000"/>
            </w:tcBorders>
            <w:tcMar>
              <w:start w:w="0" w:type="dxa"/>
              <w:end w:w="0" w:type="dxa"/>
            </w:tcMar>
          </w:tcPr>
          <w:p>
            <w:pPr>
              <w:autoSpaceDN w:val="0"/>
              <w:autoSpaceDE w:val="0"/>
              <w:widowControl/>
              <w:spacing w:line="150" w:lineRule="exact" w:before="44" w:after="0"/>
              <w:ind w:left="302" w:right="0" w:firstLine="0"/>
              <w:jc w:val="left"/>
            </w:pPr>
            <w:r>
              <w:rPr>
                <w:rFonts w:ascii="黑体" w:hAnsi="黑体" w:eastAsia="黑体"/>
                <w:b w:val="0"/>
                <w:i w:val="0"/>
                <w:color w:val="000000"/>
                <w:sz w:val="15"/>
              </w:rPr>
              <w:t>发行收益凭证收到的现金</w:t>
            </w:r>
          </w:p>
        </w:tc>
        <w:tc>
          <w:tcPr>
            <w:tcW w:type="dxa" w:w="1336"/>
            <w:tcBorders>
              <w:bottom w:sz="4.0" w:val="single" w:color="#000000"/>
            </w:tcBorders>
            <w:tcMar>
              <w:start w:w="0" w:type="dxa"/>
              <w:end w:w="0" w:type="dxa"/>
            </w:tcMar>
          </w:tcPr>
          <w:p>
            <w:pPr>
              <w:autoSpaceDN w:val="0"/>
              <w:autoSpaceDE w:val="0"/>
              <w:widowControl/>
              <w:spacing w:line="197" w:lineRule="auto" w:before="62" w:after="0"/>
              <w:ind w:left="318" w:right="0" w:firstLine="0"/>
              <w:jc w:val="left"/>
            </w:pPr>
            <w:r>
              <w:rPr>
                <w:rFonts w:ascii="Calibri" w:hAnsi="Calibri" w:eastAsia="Calibri"/>
                <w:b w:val="0"/>
                <w:i w:val="0"/>
                <w:color w:val="000000"/>
                <w:sz w:val="15"/>
              </w:rPr>
              <w:t xml:space="preserve">1,289,900,000 </w:t>
            </w:r>
          </w:p>
        </w:tc>
        <w:tc>
          <w:tcPr>
            <w:tcW w:type="dxa" w:w="1332"/>
            <w:tcBorders>
              <w:bottom w:sz="4.0" w:val="single" w:color="#000000"/>
            </w:tcBorders>
            <w:tcMar>
              <w:start w:w="0" w:type="dxa"/>
              <w:end w:w="0" w:type="dxa"/>
            </w:tcMar>
          </w:tcPr>
          <w:p>
            <w:pPr>
              <w:autoSpaceDN w:val="0"/>
              <w:autoSpaceDE w:val="0"/>
              <w:widowControl/>
              <w:spacing w:line="197" w:lineRule="auto" w:before="62" w:after="0"/>
              <w:ind w:left="316" w:right="0" w:firstLine="0"/>
              <w:jc w:val="left"/>
            </w:pPr>
            <w:r>
              <w:rPr>
                <w:rFonts w:ascii="Calibri" w:hAnsi="Calibri" w:eastAsia="Calibri"/>
                <w:b w:val="0"/>
                <w:i w:val="0"/>
                <w:color w:val="000000"/>
                <w:sz w:val="15"/>
              </w:rPr>
              <w:t>1,649,072,580</w:t>
            </w:r>
          </w:p>
        </w:tc>
        <w:tc>
          <w:tcPr>
            <w:tcW w:type="dxa" w:w="1332"/>
            <w:tcBorders>
              <w:bottom w:sz="4.0" w:val="single" w:color="#000000"/>
            </w:tcBorders>
            <w:tcMar>
              <w:start w:w="0" w:type="dxa"/>
              <w:end w:w="0" w:type="dxa"/>
            </w:tcMar>
          </w:tcPr>
          <w:p>
            <w:pPr>
              <w:autoSpaceDN w:val="0"/>
              <w:autoSpaceDE w:val="0"/>
              <w:widowControl/>
              <w:spacing w:line="197" w:lineRule="auto" w:before="62" w:after="0"/>
              <w:ind w:left="316" w:right="0" w:firstLine="0"/>
              <w:jc w:val="left"/>
            </w:pPr>
            <w:r>
              <w:rPr>
                <w:rFonts w:ascii="Calibri" w:hAnsi="Calibri" w:eastAsia="Calibri"/>
                <w:b w:val="0"/>
                <w:i w:val="0"/>
                <w:color w:val="000000"/>
                <w:sz w:val="15"/>
              </w:rPr>
              <w:t>1,289,900,000</w:t>
            </w:r>
          </w:p>
        </w:tc>
        <w:tc>
          <w:tcPr>
            <w:tcW w:type="dxa" w:w="1270"/>
            <w:tcBorders>
              <w:bottom w:sz="4.0" w:val="single" w:color="#000000"/>
            </w:tcBorders>
            <w:tcMar>
              <w:start w:w="0" w:type="dxa"/>
              <w:end w:w="0" w:type="dxa"/>
            </w:tcMar>
          </w:tcPr>
          <w:p>
            <w:pPr>
              <w:autoSpaceDN w:val="0"/>
              <w:autoSpaceDE w:val="0"/>
              <w:widowControl/>
              <w:spacing w:line="197" w:lineRule="auto" w:before="62" w:after="0"/>
              <w:ind w:left="316" w:right="0" w:firstLine="0"/>
              <w:jc w:val="left"/>
            </w:pPr>
            <w:r>
              <w:rPr>
                <w:rFonts w:ascii="Calibri" w:hAnsi="Calibri" w:eastAsia="Calibri"/>
                <w:b w:val="0"/>
                <w:i w:val="0"/>
                <w:color w:val="000000"/>
                <w:sz w:val="15"/>
              </w:rPr>
              <w:t>1,613,730,000</w:t>
            </w:r>
          </w:p>
        </w:tc>
      </w:tr>
      <w:tr>
        <w:trPr>
          <w:trHeight w:hRule="exact" w:val="388"/>
        </w:trPr>
        <w:tc>
          <w:tcPr>
            <w:tcW w:type="dxa" w:w="3870"/>
            <w:tcBorders>
              <w:top w:sz="4.0" w:val="single" w:color="#000000"/>
              <w:bottom w:sz="3.199999999999818" w:val="single" w:color="#000000"/>
            </w:tcBorders>
            <w:tcMar>
              <w:start w:w="0" w:type="dxa"/>
              <w:end w:w="0" w:type="dxa"/>
            </w:tcMar>
          </w:tcPr>
          <w:p>
            <w:pPr>
              <w:autoSpaceDN w:val="0"/>
              <w:autoSpaceDE w:val="0"/>
              <w:widowControl/>
              <w:spacing w:line="152" w:lineRule="exact" w:before="206" w:after="0"/>
              <w:ind w:left="302" w:right="0" w:firstLine="0"/>
              <w:jc w:val="left"/>
            </w:pPr>
            <w:r>
              <w:rPr>
                <w:rFonts w:ascii="黑体" w:hAnsi="黑体" w:eastAsia="黑体"/>
                <w:b w:val="0"/>
                <w:i w:val="0"/>
                <w:color w:val="000000"/>
                <w:sz w:val="15"/>
              </w:rPr>
              <w:t>筹资活动现金流入小计</w:t>
            </w:r>
          </w:p>
        </w:tc>
        <w:tc>
          <w:tcPr>
            <w:tcW w:type="dxa" w:w="1336"/>
            <w:tcBorders>
              <w:top w:sz="4.0" w:val="single" w:color="#000000"/>
              <w:bottom w:sz="3.199999999999818" w:val="single" w:color="#000000"/>
            </w:tcBorders>
            <w:tcMar>
              <w:start w:w="0" w:type="dxa"/>
              <w:end w:w="0" w:type="dxa"/>
            </w:tcMar>
          </w:tcPr>
          <w:p>
            <w:pPr>
              <w:autoSpaceDN w:val="0"/>
              <w:autoSpaceDE w:val="0"/>
              <w:widowControl/>
              <w:spacing w:line="197" w:lineRule="auto" w:before="224" w:after="0"/>
              <w:ind w:left="318" w:right="0" w:firstLine="0"/>
              <w:jc w:val="left"/>
            </w:pPr>
            <w:r>
              <w:rPr>
                <w:rFonts w:ascii="Calibri" w:hAnsi="Calibri" w:eastAsia="Calibri"/>
                <w:b w:val="0"/>
                <w:i w:val="0"/>
                <w:color w:val="000000"/>
                <w:sz w:val="15"/>
              </w:rPr>
              <w:t xml:space="preserve">7,274,336,801 </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7" w:lineRule="auto" w:before="224" w:after="0"/>
              <w:ind w:left="316" w:right="0" w:firstLine="0"/>
              <w:jc w:val="left"/>
            </w:pPr>
            <w:r>
              <w:rPr>
                <w:rFonts w:ascii="Calibri" w:hAnsi="Calibri" w:eastAsia="Calibri"/>
                <w:b w:val="0"/>
                <w:i w:val="0"/>
                <w:color w:val="000000"/>
                <w:sz w:val="15"/>
              </w:rPr>
              <w:t>5,141,956,512</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7" w:lineRule="auto" w:before="224" w:after="0"/>
              <w:ind w:left="316" w:right="0" w:firstLine="0"/>
              <w:jc w:val="left"/>
            </w:pPr>
            <w:r>
              <w:rPr>
                <w:rFonts w:ascii="Calibri" w:hAnsi="Calibri" w:eastAsia="Calibri"/>
                <w:b w:val="0"/>
                <w:i w:val="0"/>
                <w:color w:val="000000"/>
                <w:sz w:val="15"/>
              </w:rPr>
              <w:t>7,274,336,801</w:t>
            </w:r>
          </w:p>
        </w:tc>
        <w:tc>
          <w:tcPr>
            <w:tcW w:type="dxa" w:w="1270"/>
            <w:tcBorders>
              <w:top w:sz="4.0" w:val="single" w:color="#000000"/>
              <w:bottom w:sz="3.199999999999818" w:val="single" w:color="#000000"/>
            </w:tcBorders>
            <w:tcMar>
              <w:start w:w="0" w:type="dxa"/>
              <w:end w:w="0" w:type="dxa"/>
            </w:tcMar>
          </w:tcPr>
          <w:p>
            <w:pPr>
              <w:autoSpaceDN w:val="0"/>
              <w:autoSpaceDE w:val="0"/>
              <w:widowControl/>
              <w:spacing w:line="197" w:lineRule="auto" w:before="224" w:after="0"/>
              <w:ind w:left="316" w:right="0" w:firstLine="0"/>
              <w:jc w:val="left"/>
            </w:pPr>
            <w:r>
              <w:rPr>
                <w:rFonts w:ascii="Calibri" w:hAnsi="Calibri" w:eastAsia="Calibri"/>
                <w:b w:val="0"/>
                <w:i w:val="0"/>
                <w:color w:val="000000"/>
                <w:sz w:val="15"/>
              </w:rPr>
              <w:t>5,105,255,441</w:t>
            </w:r>
          </w:p>
        </w:tc>
      </w:tr>
      <w:tr>
        <w:trPr>
          <w:trHeight w:hRule="exact" w:val="350"/>
        </w:trPr>
        <w:tc>
          <w:tcPr>
            <w:tcW w:type="dxa" w:w="3870"/>
            <w:tcBorders>
              <w:top w:sz="3.199999999999818" w:val="single" w:color="#000000"/>
            </w:tcBorders>
            <w:tcMar>
              <w:start w:w="0" w:type="dxa"/>
              <w:end w:w="0" w:type="dxa"/>
            </w:tcMar>
          </w:tcPr>
          <w:p>
            <w:pPr>
              <w:autoSpaceDN w:val="0"/>
              <w:autoSpaceDE w:val="0"/>
              <w:widowControl/>
              <w:spacing w:line="152" w:lineRule="exact" w:before="194" w:after="0"/>
              <w:ind w:left="302" w:right="0" w:firstLine="0"/>
              <w:jc w:val="left"/>
            </w:pPr>
            <w:r>
              <w:rPr>
                <w:rFonts w:ascii="黑体" w:hAnsi="黑体" w:eastAsia="黑体"/>
                <w:b w:val="0"/>
                <w:i w:val="0"/>
                <w:color w:val="000000"/>
                <w:sz w:val="15"/>
              </w:rPr>
              <w:t>偿还债务支付的现金</w:t>
            </w:r>
          </w:p>
        </w:tc>
        <w:tc>
          <w:tcPr>
            <w:tcW w:type="dxa" w:w="1336"/>
            <w:vMerge w:val="restart"/>
            <w:tcBorders>
              <w:top w:sz="3.199999999999818" w:val="single" w:color="#000000"/>
            </w:tcBorders>
            <w:tcMar>
              <w:start w:w="0" w:type="dxa"/>
              <w:end w:w="0" w:type="dxa"/>
            </w:tcMar>
            <w:tcMar>
              <w:start w:w="0" w:type="dxa"/>
              <w:end w:w="0" w:type="dxa"/>
            </w:tcMar>
          </w:tcPr>
          <w:p>
            <w:pPr>
              <w:autoSpaceDN w:val="0"/>
              <w:autoSpaceDE w:val="0"/>
              <w:widowControl/>
              <w:spacing w:line="194" w:lineRule="auto" w:before="224" w:after="0"/>
              <w:ind w:left="272" w:right="0" w:firstLine="0"/>
              <w:jc w:val="left"/>
            </w:pPr>
            <w:r>
              <w:rPr>
                <w:rFonts w:ascii="Calibri" w:hAnsi="Calibri" w:eastAsia="Calibri"/>
                <w:b w:val="0"/>
                <w:i w:val="0"/>
                <w:color w:val="000000"/>
                <w:sz w:val="15"/>
              </w:rPr>
              <w:t xml:space="preserve">(8,896,457,400 ) </w:t>
            </w:r>
          </w:p>
        </w:tc>
        <w:tc>
          <w:tcPr>
            <w:tcW w:type="dxa" w:w="1332"/>
            <w:vMerge w:val="restart"/>
            <w:tcBorders>
              <w:top w:sz="3.199999999999818" w:val="single" w:color="#000000"/>
            </w:tcBorders>
            <w:tcMar>
              <w:start w:w="0" w:type="dxa"/>
              <w:end w:w="0" w:type="dxa"/>
            </w:tcMar>
            <w:tcMar>
              <w:start w:w="0" w:type="dxa"/>
              <w:end w:w="0" w:type="dxa"/>
            </w:tcMar>
          </w:tcPr>
          <w:p>
            <w:pPr>
              <w:autoSpaceDN w:val="0"/>
              <w:autoSpaceDE w:val="0"/>
              <w:widowControl/>
              <w:spacing w:line="194" w:lineRule="auto" w:before="224" w:after="0"/>
              <w:ind w:left="270" w:right="0" w:firstLine="0"/>
              <w:jc w:val="left"/>
            </w:pPr>
            <w:r>
              <w:rPr>
                <w:rFonts w:ascii="Calibri" w:hAnsi="Calibri" w:eastAsia="Calibri"/>
                <w:b w:val="0"/>
                <w:i w:val="0"/>
                <w:color w:val="000000"/>
                <w:sz w:val="15"/>
              </w:rPr>
              <w:t xml:space="preserve">(7,022,934,176) </w:t>
            </w:r>
          </w:p>
        </w:tc>
        <w:tc>
          <w:tcPr>
            <w:tcW w:type="dxa" w:w="1332"/>
            <w:vMerge w:val="restart"/>
            <w:tcBorders>
              <w:top w:sz="3.199999999999818" w:val="single" w:color="#000000"/>
            </w:tcBorders>
            <w:tcMar>
              <w:start w:w="0" w:type="dxa"/>
              <w:end w:w="0" w:type="dxa"/>
            </w:tcMar>
            <w:tcMar>
              <w:start w:w="0" w:type="dxa"/>
              <w:end w:w="0" w:type="dxa"/>
            </w:tcMar>
          </w:tcPr>
          <w:p>
            <w:pPr>
              <w:autoSpaceDN w:val="0"/>
              <w:autoSpaceDE w:val="0"/>
              <w:widowControl/>
              <w:spacing w:line="194" w:lineRule="auto" w:before="224" w:after="0"/>
              <w:ind w:left="270" w:right="0" w:firstLine="0"/>
              <w:jc w:val="left"/>
            </w:pPr>
            <w:r>
              <w:rPr>
                <w:rFonts w:ascii="Calibri" w:hAnsi="Calibri" w:eastAsia="Calibri"/>
                <w:b w:val="0"/>
                <w:i w:val="0"/>
                <w:color w:val="000000"/>
                <w:sz w:val="15"/>
              </w:rPr>
              <w:t xml:space="preserve">(8,890,170,000) </w:t>
            </w:r>
          </w:p>
        </w:tc>
        <w:tc>
          <w:tcPr>
            <w:tcW w:type="dxa" w:w="1270"/>
            <w:vMerge w:val="restart"/>
            <w:tcBorders>
              <w:top w:sz="3.199999999999818" w:val="single" w:color="#000000"/>
            </w:tcBorders>
            <w:tcMar>
              <w:start w:w="0" w:type="dxa"/>
              <w:end w:w="0" w:type="dxa"/>
            </w:tcMar>
            <w:tcMar>
              <w:start w:w="0" w:type="dxa"/>
              <w:end w:w="0" w:type="dxa"/>
            </w:tcMar>
          </w:tcPr>
          <w:p>
            <w:pPr>
              <w:autoSpaceDN w:val="0"/>
              <w:autoSpaceDE w:val="0"/>
              <w:widowControl/>
              <w:spacing w:line="194" w:lineRule="auto" w:before="224" w:after="0"/>
              <w:ind w:left="272" w:right="0" w:firstLine="0"/>
              <w:jc w:val="left"/>
            </w:pPr>
            <w:r>
              <w:rPr>
                <w:rFonts w:ascii="Calibri" w:hAnsi="Calibri" w:eastAsia="Calibri"/>
                <w:b w:val="0"/>
                <w:i w:val="0"/>
                <w:color w:val="000000"/>
                <w:sz w:val="15"/>
              </w:rPr>
              <w:t xml:space="preserve">(6,137,200,000) </w:t>
            </w:r>
          </w:p>
        </w:tc>
      </w:tr>
      <w:tr>
        <w:trPr>
          <w:trHeight w:hRule="exact" w:val="50"/>
        </w:trPr>
        <w:tc>
          <w:tcPr>
            <w:tcW w:type="dxa" w:w="3870"/>
            <w:vMerge w:val="restart"/>
            <w:tcBorders/>
            <w:tcMar>
              <w:start w:w="0" w:type="dxa"/>
              <w:end w:w="0" w:type="dxa"/>
            </w:tcMar>
            <w:tcMar>
              <w:start w:w="0" w:type="dxa"/>
              <w:end w:w="0" w:type="dxa"/>
            </w:tcMar>
          </w:tcPr>
          <w:p>
            <w:pPr>
              <w:autoSpaceDN w:val="0"/>
              <w:autoSpaceDE w:val="0"/>
              <w:widowControl/>
              <w:spacing w:line="152" w:lineRule="exact" w:before="48" w:after="0"/>
              <w:ind w:left="302" w:right="0" w:firstLine="0"/>
              <w:jc w:val="left"/>
            </w:pPr>
            <w:r>
              <w:rPr>
                <w:rFonts w:ascii="黑体" w:hAnsi="黑体" w:eastAsia="黑体"/>
                <w:b w:val="0"/>
                <w:i w:val="0"/>
                <w:color w:val="000000"/>
                <w:sz w:val="15"/>
              </w:rPr>
              <w:t>分配股利或偿付利息支付的现金</w:t>
            </w:r>
          </w:p>
        </w:tc>
        <w:tc>
          <w:tcPr>
            <w:tcW w:type="dxa" w:w="1829"/>
            <w:vMerge/>
            <w:tcBorders>
              <w:top w:sz="3.199999999999818" w:val="single" w:color="#000000"/>
            </w:tcBorders>
          </w:tcPr>
          <w:p/>
        </w:tc>
        <w:tc>
          <w:tcPr>
            <w:tcW w:type="dxa" w:w="1829"/>
            <w:vMerge/>
            <w:tcBorders>
              <w:top w:sz="3.199999999999818" w:val="single" w:color="#000000"/>
            </w:tcBorders>
          </w:tcPr>
          <w:p/>
        </w:tc>
        <w:tc>
          <w:tcPr>
            <w:tcW w:type="dxa" w:w="1829"/>
            <w:vMerge/>
            <w:tcBorders>
              <w:top w:sz="3.199999999999818" w:val="single" w:color="#000000"/>
            </w:tcBorders>
          </w:tcPr>
          <w:p/>
        </w:tc>
        <w:tc>
          <w:tcPr>
            <w:tcW w:type="dxa" w:w="1829"/>
            <w:vMerge/>
            <w:tcBorders>
              <w:top w:sz="3.199999999999818" w:val="single" w:color="#000000"/>
            </w:tcBorders>
          </w:tcPr>
          <w:p/>
        </w:tc>
      </w:tr>
      <w:tr>
        <w:trPr>
          <w:trHeight w:hRule="exact" w:val="150"/>
        </w:trPr>
        <w:tc>
          <w:tcPr>
            <w:tcW w:type="dxa" w:w="1829"/>
            <w:vMerge/>
            <w:tcBorders/>
          </w:tcPr>
          <w:p/>
        </w:tc>
        <w:tc>
          <w:tcPr>
            <w:tcW w:type="dxa" w:w="1336"/>
            <w:vMerge w:val="restart"/>
            <w:tcBorders/>
            <w:tcMar>
              <w:start w:w="0" w:type="dxa"/>
              <w:end w:w="0" w:type="dxa"/>
            </w:tcMar>
            <w:tcMar>
              <w:start w:w="0" w:type="dxa"/>
              <w:end w:w="0" w:type="dxa"/>
            </w:tcMar>
          </w:tcPr>
          <w:p>
            <w:pPr>
              <w:autoSpaceDN w:val="0"/>
              <w:autoSpaceDE w:val="0"/>
              <w:widowControl/>
              <w:spacing w:line="194" w:lineRule="auto" w:before="22" w:after="0"/>
              <w:ind w:left="272" w:right="0" w:firstLine="0"/>
              <w:jc w:val="left"/>
            </w:pPr>
            <w:r>
              <w:rPr>
                <w:rFonts w:ascii="Calibri" w:hAnsi="Calibri" w:eastAsia="Calibri"/>
                <w:b w:val="0"/>
                <w:i w:val="0"/>
                <w:color w:val="000000"/>
                <w:sz w:val="15"/>
              </w:rPr>
              <w:t xml:space="preserve">(1,045,746,509 )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22" w:after="0"/>
              <w:ind w:left="0" w:right="62" w:firstLine="0"/>
              <w:jc w:val="right"/>
            </w:pPr>
            <w:r>
              <w:rPr>
                <w:rFonts w:ascii="Calibri" w:hAnsi="Calibri" w:eastAsia="Calibri"/>
                <w:b w:val="0"/>
                <w:i w:val="0"/>
                <w:color w:val="000000"/>
                <w:sz w:val="15"/>
              </w:rPr>
              <w:t xml:space="preserve">(942,959,888) </w:t>
            </w:r>
          </w:p>
        </w:tc>
        <w:tc>
          <w:tcPr>
            <w:tcW w:type="dxa" w:w="1332"/>
            <w:vMerge w:val="restart"/>
            <w:tcBorders/>
            <w:tcMar>
              <w:start w:w="0" w:type="dxa"/>
              <w:end w:w="0" w:type="dxa"/>
            </w:tcMar>
            <w:tcMar>
              <w:start w:w="0" w:type="dxa"/>
              <w:end w:w="0" w:type="dxa"/>
            </w:tcMar>
          </w:tcPr>
          <w:p>
            <w:pPr>
              <w:autoSpaceDN w:val="0"/>
              <w:autoSpaceDE w:val="0"/>
              <w:widowControl/>
              <w:spacing w:line="194" w:lineRule="auto" w:before="22" w:after="0"/>
              <w:ind w:left="270" w:right="0" w:firstLine="0"/>
              <w:jc w:val="left"/>
            </w:pPr>
            <w:r>
              <w:rPr>
                <w:rFonts w:ascii="Calibri" w:hAnsi="Calibri" w:eastAsia="Calibri"/>
                <w:b w:val="0"/>
                <w:i w:val="0"/>
                <w:color w:val="000000"/>
                <w:sz w:val="15"/>
              </w:rPr>
              <w:t xml:space="preserve">(1,044,134,901) </w:t>
            </w:r>
          </w:p>
        </w:tc>
        <w:tc>
          <w:tcPr>
            <w:tcW w:type="dxa" w:w="1270"/>
            <w:vMerge w:val="restart"/>
            <w:tcBorders/>
            <w:tcMar>
              <w:start w:w="0" w:type="dxa"/>
              <w:end w:w="0" w:type="dxa"/>
            </w:tcMar>
            <w:tcMar>
              <w:start w:w="0" w:type="dxa"/>
              <w:end w:w="0" w:type="dxa"/>
            </w:tcMar>
          </w:tcPr>
          <w:p>
            <w:pPr>
              <w:autoSpaceDN w:val="0"/>
              <w:autoSpaceDE w:val="0"/>
              <w:widowControl/>
              <w:spacing w:line="194" w:lineRule="auto" w:before="22" w:after="0"/>
              <w:ind w:left="0" w:right="0" w:firstLine="0"/>
              <w:jc w:val="right"/>
            </w:pPr>
            <w:r>
              <w:rPr>
                <w:rFonts w:ascii="Calibri" w:hAnsi="Calibri" w:eastAsia="Calibri"/>
                <w:b w:val="0"/>
                <w:i w:val="0"/>
                <w:color w:val="000000"/>
                <w:sz w:val="15"/>
              </w:rPr>
              <w:t xml:space="preserve">(924,556,311) </w:t>
            </w:r>
          </w:p>
        </w:tc>
      </w:tr>
      <w:tr>
        <w:trPr>
          <w:trHeight w:hRule="exact" w:val="44"/>
        </w:trPr>
        <w:tc>
          <w:tcPr>
            <w:tcW w:type="dxa" w:w="3870"/>
            <w:vMerge w:val="restart"/>
            <w:tcBorders/>
            <w:tcMar>
              <w:start w:w="0" w:type="dxa"/>
              <w:end w:w="0" w:type="dxa"/>
            </w:tcMar>
            <w:tcMar>
              <w:start w:w="0" w:type="dxa"/>
              <w:end w:w="0" w:type="dxa"/>
            </w:tcMar>
          </w:tcPr>
          <w:p>
            <w:pPr>
              <w:autoSpaceDN w:val="0"/>
              <w:autoSpaceDE w:val="0"/>
              <w:widowControl/>
              <w:spacing w:line="152" w:lineRule="exact" w:before="48" w:after="0"/>
              <w:ind w:left="302" w:right="0" w:firstLine="0"/>
              <w:jc w:val="left"/>
            </w:pPr>
            <w:r>
              <w:rPr>
                <w:rFonts w:ascii="黑体" w:hAnsi="黑体" w:eastAsia="黑体"/>
                <w:b w:val="0"/>
                <w:i w:val="0"/>
                <w:color w:val="000000"/>
                <w:sz w:val="15"/>
              </w:rPr>
              <w:t>偿还租赁负债支付的现金</w:t>
            </w:r>
          </w:p>
        </w:tc>
        <w:tc>
          <w:tcPr>
            <w:tcW w:type="dxa" w:w="1829"/>
            <w:vMerge/>
            <w:tcBorders/>
          </w:tcPr>
          <w:p/>
        </w:tc>
        <w:tc>
          <w:tcPr>
            <w:tcW w:type="dxa" w:w="1829"/>
            <w:vMerge/>
            <w:tcBorders/>
          </w:tcPr>
          <w:p/>
        </w:tc>
        <w:tc>
          <w:tcPr>
            <w:tcW w:type="dxa" w:w="1829"/>
            <w:vMerge/>
            <w:tcBorders/>
          </w:tcPr>
          <w:p/>
        </w:tc>
        <w:tc>
          <w:tcPr>
            <w:tcW w:type="dxa" w:w="1829"/>
            <w:vMerge/>
            <w:tcBorders/>
          </w:tcPr>
          <w:p/>
        </w:tc>
      </w:tr>
      <w:tr>
        <w:trPr>
          <w:trHeight w:hRule="exact" w:val="156"/>
        </w:trPr>
        <w:tc>
          <w:tcPr>
            <w:tcW w:type="dxa" w:w="1829"/>
            <w:vMerge/>
            <w:tcBorders/>
          </w:tcPr>
          <w:p/>
        </w:tc>
        <w:tc>
          <w:tcPr>
            <w:tcW w:type="dxa" w:w="1336"/>
            <w:tcBorders/>
            <w:tcMar>
              <w:start w:w="0" w:type="dxa"/>
              <w:end w:w="0" w:type="dxa"/>
            </w:tcMar>
          </w:tcPr>
          <w:p>
            <w:pPr>
              <w:autoSpaceDN w:val="0"/>
              <w:autoSpaceDE w:val="0"/>
              <w:widowControl/>
              <w:spacing w:line="197" w:lineRule="auto" w:before="4" w:after="0"/>
              <w:ind w:left="0" w:right="64" w:firstLine="0"/>
              <w:jc w:val="right"/>
            </w:pPr>
            <w:r>
              <w:rPr>
                <w:rFonts w:ascii="Calibri" w:hAnsi="Calibri" w:eastAsia="Calibri"/>
                <w:b w:val="0"/>
                <w:i w:val="0"/>
                <w:color w:val="000000"/>
                <w:sz w:val="15"/>
              </w:rPr>
              <w:t xml:space="preserve">(133,337,719 ) </w:t>
            </w:r>
          </w:p>
        </w:tc>
        <w:tc>
          <w:tcPr>
            <w:tcW w:type="dxa" w:w="1332"/>
            <w:tcBorders/>
            <w:tcMar>
              <w:start w:w="0" w:type="dxa"/>
              <w:end w:w="0" w:type="dxa"/>
            </w:tcMar>
          </w:tcPr>
          <w:p>
            <w:pPr>
              <w:autoSpaceDN w:val="0"/>
              <w:autoSpaceDE w:val="0"/>
              <w:widowControl/>
              <w:spacing w:line="197" w:lineRule="auto" w:before="4" w:after="0"/>
              <w:ind w:left="0" w:right="62" w:firstLine="0"/>
              <w:jc w:val="right"/>
            </w:pPr>
            <w:r>
              <w:rPr>
                <w:rFonts w:ascii="Calibri" w:hAnsi="Calibri" w:eastAsia="Calibri"/>
                <w:b w:val="0"/>
                <w:i w:val="0"/>
                <w:color w:val="000000"/>
                <w:sz w:val="15"/>
              </w:rPr>
              <w:t xml:space="preserve">(156,341,776) </w:t>
            </w:r>
          </w:p>
        </w:tc>
        <w:tc>
          <w:tcPr>
            <w:tcW w:type="dxa" w:w="1332"/>
            <w:tcBorders/>
            <w:tcMar>
              <w:start w:w="0" w:type="dxa"/>
              <w:end w:w="0" w:type="dxa"/>
            </w:tcMar>
          </w:tcPr>
          <w:p>
            <w:pPr>
              <w:autoSpaceDN w:val="0"/>
              <w:autoSpaceDE w:val="0"/>
              <w:widowControl/>
              <w:spacing w:line="197" w:lineRule="auto" w:before="4" w:after="0"/>
              <w:ind w:left="0" w:right="62" w:firstLine="0"/>
              <w:jc w:val="right"/>
            </w:pPr>
            <w:r>
              <w:rPr>
                <w:rFonts w:ascii="Calibri" w:hAnsi="Calibri" w:eastAsia="Calibri"/>
                <w:b w:val="0"/>
                <w:i w:val="0"/>
                <w:color w:val="000000"/>
                <w:sz w:val="15"/>
              </w:rPr>
              <w:t xml:space="preserve">(86,549,829) </w:t>
            </w:r>
          </w:p>
        </w:tc>
        <w:tc>
          <w:tcPr>
            <w:tcW w:type="dxa" w:w="1270"/>
            <w:tcBorders/>
            <w:tcMar>
              <w:start w:w="0" w:type="dxa"/>
              <w:end w:w="0" w:type="dxa"/>
            </w:tcMar>
          </w:tcPr>
          <w:p>
            <w:pPr>
              <w:autoSpaceDN w:val="0"/>
              <w:autoSpaceDE w:val="0"/>
              <w:widowControl/>
              <w:spacing w:line="197" w:lineRule="auto" w:before="4" w:after="0"/>
              <w:ind w:left="0" w:right="0" w:firstLine="0"/>
              <w:jc w:val="right"/>
            </w:pPr>
            <w:r>
              <w:rPr>
                <w:rFonts w:ascii="Calibri" w:hAnsi="Calibri" w:eastAsia="Calibri"/>
                <w:b w:val="0"/>
                <w:i w:val="0"/>
                <w:color w:val="000000"/>
                <w:sz w:val="15"/>
              </w:rPr>
              <w:t xml:space="preserve">(96,355,068) </w:t>
            </w:r>
          </w:p>
        </w:tc>
      </w:tr>
      <w:tr>
        <w:trPr>
          <w:trHeight w:hRule="exact" w:val="224"/>
        </w:trPr>
        <w:tc>
          <w:tcPr>
            <w:tcW w:type="dxa" w:w="3870"/>
            <w:tcBorders>
              <w:bottom w:sz="4.0" w:val="single" w:color="#000000"/>
            </w:tcBorders>
            <w:tcMar>
              <w:start w:w="0" w:type="dxa"/>
              <w:end w:w="0" w:type="dxa"/>
            </w:tcMar>
          </w:tcPr>
          <w:p>
            <w:pPr>
              <w:autoSpaceDN w:val="0"/>
              <w:autoSpaceDE w:val="0"/>
              <w:widowControl/>
              <w:spacing w:line="152" w:lineRule="exact" w:before="42" w:after="0"/>
              <w:ind w:left="302" w:right="0" w:firstLine="0"/>
              <w:jc w:val="left"/>
            </w:pPr>
            <w:r>
              <w:rPr>
                <w:rFonts w:ascii="黑体" w:hAnsi="黑体" w:eastAsia="黑体"/>
                <w:b w:val="0"/>
                <w:i w:val="0"/>
                <w:color w:val="000000"/>
                <w:sz w:val="15"/>
              </w:rPr>
              <w:t>支付其他与筹资活动有关的现金</w:t>
            </w:r>
          </w:p>
        </w:tc>
        <w:tc>
          <w:tcPr>
            <w:tcW w:type="dxa" w:w="1336"/>
            <w:tcBorders>
              <w:bottom w:sz="4.0" w:val="single" w:color="#000000"/>
            </w:tcBorders>
            <w:tcMar>
              <w:start w:w="0" w:type="dxa"/>
              <w:end w:w="0" w:type="dxa"/>
            </w:tcMar>
          </w:tcPr>
          <w:p>
            <w:pPr>
              <w:autoSpaceDN w:val="0"/>
              <w:autoSpaceDE w:val="0"/>
              <w:widowControl/>
              <w:spacing w:line="194" w:lineRule="auto" w:before="62" w:after="0"/>
              <w:ind w:left="0" w:right="64" w:firstLine="0"/>
              <w:jc w:val="right"/>
            </w:pPr>
            <w:r>
              <w:rPr>
                <w:rFonts w:ascii="Calibri" w:hAnsi="Calibri" w:eastAsia="Calibri"/>
                <w:b w:val="0"/>
                <w:i w:val="0"/>
                <w:color w:val="000000"/>
                <w:sz w:val="15"/>
              </w:rPr>
              <w:t xml:space="preserve">(61,837,500 ) </w:t>
            </w:r>
          </w:p>
        </w:tc>
        <w:tc>
          <w:tcPr>
            <w:tcW w:type="dxa" w:w="1332"/>
            <w:tcBorders>
              <w:bottom w:sz="4.0" w:val="single" w:color="#000000"/>
            </w:tcBorders>
            <w:tcMar>
              <w:start w:w="0" w:type="dxa"/>
              <w:end w:w="0" w:type="dxa"/>
            </w:tcMar>
          </w:tcPr>
          <w:p>
            <w:pPr>
              <w:autoSpaceDN w:val="0"/>
              <w:autoSpaceDE w:val="0"/>
              <w:widowControl/>
              <w:spacing w:line="194" w:lineRule="auto" w:before="62" w:after="0"/>
              <w:ind w:left="0" w:right="62" w:firstLine="0"/>
              <w:jc w:val="right"/>
            </w:pPr>
            <w:r>
              <w:rPr>
                <w:rFonts w:ascii="Calibri" w:hAnsi="Calibri" w:eastAsia="Calibri"/>
                <w:b w:val="0"/>
                <w:i w:val="0"/>
                <w:color w:val="000000"/>
                <w:sz w:val="15"/>
              </w:rPr>
              <w:t xml:space="preserve">(7,357,814) </w:t>
            </w:r>
          </w:p>
        </w:tc>
        <w:tc>
          <w:tcPr>
            <w:tcW w:type="dxa" w:w="1332"/>
            <w:tcBorders>
              <w:bottom w:sz="4.0" w:val="single" w:color="#000000"/>
            </w:tcBorders>
            <w:tcMar>
              <w:start w:w="0" w:type="dxa"/>
              <w:end w:w="0" w:type="dxa"/>
            </w:tcMar>
          </w:tcPr>
          <w:p>
            <w:pPr>
              <w:autoSpaceDN w:val="0"/>
              <w:autoSpaceDE w:val="0"/>
              <w:widowControl/>
              <w:spacing w:line="194" w:lineRule="auto" w:before="62" w:after="0"/>
              <w:ind w:left="0" w:right="140" w:firstLine="0"/>
              <w:jc w:val="right"/>
            </w:pPr>
            <w:r>
              <w:rPr>
                <w:rFonts w:ascii="Calibri" w:hAnsi="Calibri" w:eastAsia="Calibri"/>
                <w:b w:val="0"/>
                <w:i w:val="0"/>
                <w:color w:val="000000"/>
                <w:sz w:val="15"/>
              </w:rPr>
              <w:t>-</w:t>
            </w:r>
          </w:p>
        </w:tc>
        <w:tc>
          <w:tcPr>
            <w:tcW w:type="dxa" w:w="1270"/>
            <w:tcBorders>
              <w:bottom w:sz="4.0" w:val="single" w:color="#000000"/>
            </w:tcBorders>
            <w:tcMar>
              <w:start w:w="0" w:type="dxa"/>
              <w:end w:w="0" w:type="dxa"/>
            </w:tcMar>
          </w:tcPr>
          <w:p>
            <w:pPr>
              <w:autoSpaceDN w:val="0"/>
              <w:autoSpaceDE w:val="0"/>
              <w:widowControl/>
              <w:spacing w:line="194" w:lineRule="auto" w:before="62" w:after="0"/>
              <w:ind w:left="0" w:right="78" w:firstLine="0"/>
              <w:jc w:val="right"/>
            </w:pPr>
            <w:r>
              <w:rPr>
                <w:rFonts w:ascii="Calibri" w:hAnsi="Calibri" w:eastAsia="Calibri"/>
                <w:b w:val="0"/>
                <w:i w:val="0"/>
                <w:color w:val="000000"/>
                <w:sz w:val="15"/>
              </w:rPr>
              <w:t>-</w:t>
            </w:r>
          </w:p>
        </w:tc>
      </w:tr>
      <w:tr>
        <w:trPr>
          <w:trHeight w:hRule="exact" w:val="384"/>
        </w:trPr>
        <w:tc>
          <w:tcPr>
            <w:tcW w:type="dxa" w:w="3870"/>
            <w:tcBorders>
              <w:top w:sz="4.0" w:val="single" w:color="#000000"/>
              <w:bottom w:sz="4.0" w:val="single" w:color="#000000"/>
            </w:tcBorders>
            <w:tcMar>
              <w:start w:w="0" w:type="dxa"/>
              <w:end w:w="0" w:type="dxa"/>
            </w:tcMar>
          </w:tcPr>
          <w:p>
            <w:pPr>
              <w:autoSpaceDN w:val="0"/>
              <w:autoSpaceDE w:val="0"/>
              <w:widowControl/>
              <w:spacing w:line="150" w:lineRule="exact" w:before="204" w:after="0"/>
              <w:ind w:left="302" w:right="0" w:firstLine="0"/>
              <w:jc w:val="left"/>
            </w:pPr>
            <w:r>
              <w:rPr>
                <w:rFonts w:ascii="黑体" w:hAnsi="黑体" w:eastAsia="黑体"/>
                <w:b w:val="0"/>
                <w:i w:val="0"/>
                <w:color w:val="000000"/>
                <w:sz w:val="15"/>
              </w:rPr>
              <w:t>筹资活动现金流出小计</w:t>
            </w:r>
          </w:p>
        </w:tc>
        <w:tc>
          <w:tcPr>
            <w:tcW w:type="dxa" w:w="1336"/>
            <w:tcBorders>
              <w:top w:sz="4.0" w:val="single" w:color="#000000"/>
              <w:bottom w:sz="4.0" w:val="single" w:color="#000000"/>
            </w:tcBorders>
            <w:tcMar>
              <w:start w:w="0" w:type="dxa"/>
              <w:end w:w="0" w:type="dxa"/>
            </w:tcMar>
          </w:tcPr>
          <w:p>
            <w:pPr>
              <w:autoSpaceDN w:val="0"/>
              <w:autoSpaceDE w:val="0"/>
              <w:widowControl/>
              <w:spacing w:line="197" w:lineRule="auto" w:before="222" w:after="0"/>
              <w:ind w:left="198" w:right="0" w:firstLine="0"/>
              <w:jc w:val="left"/>
            </w:pPr>
            <w:r>
              <w:rPr>
                <w:rFonts w:ascii="Calibri" w:hAnsi="Calibri" w:eastAsia="Calibri"/>
                <w:b w:val="0"/>
                <w:i w:val="0"/>
                <w:color w:val="000000"/>
                <w:sz w:val="15"/>
              </w:rPr>
              <w:t xml:space="preserve">(10,137,379,128 )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2" w:after="0"/>
              <w:ind w:left="270" w:right="0" w:firstLine="0"/>
              <w:jc w:val="left"/>
            </w:pPr>
            <w:r>
              <w:rPr>
                <w:rFonts w:ascii="Calibri" w:hAnsi="Calibri" w:eastAsia="Calibri"/>
                <w:b w:val="0"/>
                <w:i w:val="0"/>
                <w:color w:val="000000"/>
                <w:sz w:val="15"/>
              </w:rPr>
              <w:t xml:space="preserve">(8,129,593,654)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2" w:after="0"/>
              <w:ind w:left="196" w:right="0" w:firstLine="0"/>
              <w:jc w:val="left"/>
            </w:pPr>
            <w:r>
              <w:rPr>
                <w:rFonts w:ascii="Calibri" w:hAnsi="Calibri" w:eastAsia="Calibri"/>
                <w:b w:val="0"/>
                <w:i w:val="0"/>
                <w:color w:val="000000"/>
                <w:sz w:val="15"/>
              </w:rPr>
              <w:t xml:space="preserve">(10,020,854,730) </w:t>
            </w:r>
          </w:p>
        </w:tc>
        <w:tc>
          <w:tcPr>
            <w:tcW w:type="dxa" w:w="1270"/>
            <w:tcBorders>
              <w:top w:sz="4.0" w:val="single" w:color="#000000"/>
              <w:bottom w:sz="4.0" w:val="single" w:color="#000000"/>
            </w:tcBorders>
            <w:tcMar>
              <w:start w:w="0" w:type="dxa"/>
              <w:end w:w="0" w:type="dxa"/>
            </w:tcMar>
          </w:tcPr>
          <w:p>
            <w:pPr>
              <w:autoSpaceDN w:val="0"/>
              <w:autoSpaceDE w:val="0"/>
              <w:widowControl/>
              <w:spacing w:line="197" w:lineRule="auto" w:before="222" w:after="0"/>
              <w:ind w:left="272" w:right="0" w:firstLine="0"/>
              <w:jc w:val="left"/>
            </w:pPr>
            <w:r>
              <w:rPr>
                <w:rFonts w:ascii="Calibri" w:hAnsi="Calibri" w:eastAsia="Calibri"/>
                <w:b w:val="0"/>
                <w:i w:val="0"/>
                <w:color w:val="000000"/>
                <w:sz w:val="15"/>
              </w:rPr>
              <w:t xml:space="preserve">(7,158,111,379) </w:t>
            </w:r>
          </w:p>
        </w:tc>
      </w:tr>
      <w:tr>
        <w:trPr>
          <w:trHeight w:hRule="exact" w:val="390"/>
        </w:trPr>
        <w:tc>
          <w:tcPr>
            <w:tcW w:type="dxa" w:w="3870"/>
            <w:tcBorders>
              <w:top w:sz="4.0" w:val="single" w:color="#000000"/>
              <w:bottom w:sz="4.0" w:val="single" w:color="#000000"/>
            </w:tcBorders>
            <w:tcMar>
              <w:start w:w="0" w:type="dxa"/>
              <w:end w:w="0" w:type="dxa"/>
            </w:tcMar>
          </w:tcPr>
          <w:p>
            <w:pPr>
              <w:autoSpaceDN w:val="0"/>
              <w:autoSpaceDE w:val="0"/>
              <w:widowControl/>
              <w:spacing w:line="152" w:lineRule="exact" w:before="208" w:after="0"/>
              <w:ind w:left="302" w:right="0" w:firstLine="0"/>
              <w:jc w:val="left"/>
            </w:pPr>
            <w:r>
              <w:rPr>
                <w:rFonts w:ascii="黑体" w:hAnsi="黑体" w:eastAsia="黑体"/>
                <w:b w:val="0"/>
                <w:i w:val="0"/>
                <w:color w:val="000000"/>
                <w:sz w:val="15"/>
              </w:rPr>
              <w:t>筹资活动使用的现金流量净额</w:t>
            </w:r>
          </w:p>
        </w:tc>
        <w:tc>
          <w:tcPr>
            <w:tcW w:type="dxa" w:w="1336"/>
            <w:tcBorders>
              <w:top w:sz="4.0" w:val="single" w:color="#000000"/>
              <w:bottom w:sz="4.0" w:val="single" w:color="#000000"/>
            </w:tcBorders>
            <w:tcMar>
              <w:start w:w="0" w:type="dxa"/>
              <w:end w:w="0" w:type="dxa"/>
            </w:tcMar>
          </w:tcPr>
          <w:p>
            <w:pPr>
              <w:autoSpaceDN w:val="0"/>
              <w:autoSpaceDE w:val="0"/>
              <w:widowControl/>
              <w:spacing w:line="197" w:lineRule="auto" w:before="224" w:after="0"/>
              <w:ind w:left="272" w:right="0" w:firstLine="0"/>
              <w:jc w:val="left"/>
            </w:pPr>
            <w:r>
              <w:rPr>
                <w:rFonts w:ascii="Calibri" w:hAnsi="Calibri" w:eastAsia="Calibri"/>
                <w:b w:val="0"/>
                <w:i w:val="0"/>
                <w:color w:val="000000"/>
                <w:sz w:val="15"/>
              </w:rPr>
              <w:t xml:space="preserve">(2,863,042,327 )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4" w:after="0"/>
              <w:ind w:left="270" w:right="0" w:firstLine="0"/>
              <w:jc w:val="left"/>
            </w:pPr>
            <w:r>
              <w:rPr>
                <w:rFonts w:ascii="Calibri" w:hAnsi="Calibri" w:eastAsia="Calibri"/>
                <w:b w:val="0"/>
                <w:i w:val="0"/>
                <w:color w:val="000000"/>
                <w:sz w:val="15"/>
              </w:rPr>
              <w:t xml:space="preserve">(2,987,637,142) </w:t>
            </w:r>
          </w:p>
        </w:tc>
        <w:tc>
          <w:tcPr>
            <w:tcW w:type="dxa" w:w="1332"/>
            <w:tcBorders>
              <w:top w:sz="4.0" w:val="single" w:color="#000000"/>
              <w:bottom w:sz="4.0" w:val="single" w:color="#000000"/>
            </w:tcBorders>
            <w:tcMar>
              <w:start w:w="0" w:type="dxa"/>
              <w:end w:w="0" w:type="dxa"/>
            </w:tcMar>
          </w:tcPr>
          <w:p>
            <w:pPr>
              <w:autoSpaceDN w:val="0"/>
              <w:autoSpaceDE w:val="0"/>
              <w:widowControl/>
              <w:spacing w:line="197" w:lineRule="auto" w:before="224" w:after="0"/>
              <w:ind w:left="270" w:right="0" w:firstLine="0"/>
              <w:jc w:val="left"/>
            </w:pPr>
            <w:r>
              <w:rPr>
                <w:rFonts w:ascii="Calibri" w:hAnsi="Calibri" w:eastAsia="Calibri"/>
                <w:b w:val="0"/>
                <w:i w:val="0"/>
                <w:color w:val="000000"/>
                <w:sz w:val="15"/>
              </w:rPr>
              <w:t xml:space="preserve">(2,746,517,929) </w:t>
            </w:r>
          </w:p>
        </w:tc>
        <w:tc>
          <w:tcPr>
            <w:tcW w:type="dxa" w:w="1270"/>
            <w:tcBorders>
              <w:top w:sz="4.0" w:val="single" w:color="#000000"/>
              <w:bottom w:sz="4.0" w:val="single" w:color="#000000"/>
            </w:tcBorders>
            <w:tcMar>
              <w:start w:w="0" w:type="dxa"/>
              <w:end w:w="0" w:type="dxa"/>
            </w:tcMar>
          </w:tcPr>
          <w:p>
            <w:pPr>
              <w:autoSpaceDN w:val="0"/>
              <w:autoSpaceDE w:val="0"/>
              <w:widowControl/>
              <w:spacing w:line="197" w:lineRule="auto" w:before="224" w:after="0"/>
              <w:ind w:left="272" w:right="0" w:firstLine="0"/>
              <w:jc w:val="left"/>
            </w:pPr>
            <w:r>
              <w:rPr>
                <w:rFonts w:ascii="Calibri" w:hAnsi="Calibri" w:eastAsia="Calibri"/>
                <w:b w:val="0"/>
                <w:i w:val="0"/>
                <w:color w:val="000000"/>
                <w:sz w:val="15"/>
              </w:rPr>
              <w:t xml:space="preserve">(2,052,855,938) </w:t>
            </w:r>
          </w:p>
        </w:tc>
      </w:tr>
      <w:tr>
        <w:trPr>
          <w:trHeight w:hRule="exact" w:val="386"/>
        </w:trPr>
        <w:tc>
          <w:tcPr>
            <w:tcW w:type="dxa" w:w="3870"/>
            <w:tcBorders>
              <w:top w:sz="4.0" w:val="single" w:color="#000000"/>
              <w:bottom w:sz="3.199999999999818" w:val="single" w:color="#000000"/>
            </w:tcBorders>
            <w:tcMar>
              <w:start w:w="0" w:type="dxa"/>
              <w:end w:w="0" w:type="dxa"/>
            </w:tcMar>
          </w:tcPr>
          <w:p>
            <w:pPr>
              <w:autoSpaceDN w:val="0"/>
              <w:autoSpaceDE w:val="0"/>
              <w:widowControl/>
              <w:spacing w:line="152" w:lineRule="exact" w:before="204" w:after="0"/>
              <w:ind w:left="20" w:right="0" w:firstLine="0"/>
              <w:jc w:val="left"/>
            </w:pPr>
            <w:r>
              <w:rPr>
                <w:rFonts w:ascii="黑体" w:hAnsi="黑体" w:eastAsia="黑体"/>
                <w:b w:val="0"/>
                <w:i w:val="0"/>
                <w:color w:val="000000"/>
                <w:sz w:val="15"/>
              </w:rPr>
              <w:t>四、汇率变动对现金的影响</w:t>
            </w:r>
          </w:p>
        </w:tc>
        <w:tc>
          <w:tcPr>
            <w:tcW w:type="dxa" w:w="1336"/>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0" w:right="110" w:firstLine="0"/>
              <w:jc w:val="right"/>
            </w:pPr>
            <w:r>
              <w:rPr>
                <w:rFonts w:ascii="Calibri" w:hAnsi="Calibri" w:eastAsia="Calibri"/>
                <w:b w:val="0"/>
                <w:i w:val="0"/>
                <w:color w:val="000000"/>
                <w:sz w:val="15"/>
              </w:rPr>
              <w:t xml:space="preserve">7,897,453 </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0" w:right="140" w:firstLine="0"/>
              <w:jc w:val="right"/>
            </w:pPr>
            <w:r>
              <w:rPr>
                <w:rFonts w:ascii="Calibri" w:hAnsi="Calibri" w:eastAsia="Calibri"/>
                <w:b w:val="0"/>
                <w:i w:val="0"/>
                <w:color w:val="000000"/>
                <w:sz w:val="15"/>
              </w:rPr>
              <w:t>7,125,705</w:t>
            </w:r>
          </w:p>
        </w:tc>
        <w:tc>
          <w:tcPr>
            <w:tcW w:type="dxa" w:w="1332"/>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0" w:right="140" w:firstLine="0"/>
              <w:jc w:val="right"/>
            </w:pPr>
            <w:r>
              <w:rPr>
                <w:rFonts w:ascii="Calibri" w:hAnsi="Calibri" w:eastAsia="Calibri"/>
                <w:b w:val="0"/>
                <w:i w:val="0"/>
                <w:color w:val="000000"/>
                <w:sz w:val="15"/>
              </w:rPr>
              <w:t>1,285,526</w:t>
            </w:r>
          </w:p>
        </w:tc>
        <w:tc>
          <w:tcPr>
            <w:tcW w:type="dxa" w:w="1270"/>
            <w:tcBorders>
              <w:top w:sz="4.0" w:val="single" w:color="#000000"/>
              <w:bottom w:sz="3.199999999999818" w:val="single" w:color="#000000"/>
            </w:tcBorders>
            <w:tcMar>
              <w:start w:w="0" w:type="dxa"/>
              <w:end w:w="0" w:type="dxa"/>
            </w:tcMar>
          </w:tcPr>
          <w:p>
            <w:pPr>
              <w:autoSpaceDN w:val="0"/>
              <w:autoSpaceDE w:val="0"/>
              <w:widowControl/>
              <w:spacing w:line="194" w:lineRule="auto" w:before="224" w:after="0"/>
              <w:ind w:left="0" w:right="78" w:firstLine="0"/>
              <w:jc w:val="right"/>
            </w:pPr>
            <w:r>
              <w:rPr>
                <w:rFonts w:ascii="Calibri" w:hAnsi="Calibri" w:eastAsia="Calibri"/>
                <w:b w:val="0"/>
                <w:i w:val="0"/>
                <w:color w:val="000000"/>
                <w:sz w:val="15"/>
              </w:rPr>
              <w:t>1,836,772</w:t>
            </w:r>
          </w:p>
        </w:tc>
      </w:tr>
      <w:tr>
        <w:trPr>
          <w:trHeight w:hRule="exact" w:val="52"/>
        </w:trPr>
        <w:tc>
          <w:tcPr>
            <w:tcW w:type="dxa" w:w="3870"/>
            <w:tcBorders>
              <w:top w:sz="3.199999999999818" w:val="single" w:color="#000000"/>
            </w:tcBorders>
            <w:tcMar>
              <w:start w:w="0" w:type="dxa"/>
              <w:end w:w="0" w:type="dxa"/>
            </w:tcMar>
          </w:tcPr>
          <w:p/>
        </w:tc>
        <w:tc>
          <w:tcPr>
            <w:tcW w:type="dxa" w:w="1336"/>
            <w:tcBorders>
              <w:top w:sz="3.199999999999818" w:val="single" w:color="#000000"/>
            </w:tcBorders>
            <w:tcMar>
              <w:start w:w="0" w:type="dxa"/>
              <w:end w:w="0" w:type="dxa"/>
            </w:tcMar>
          </w:tcPr>
          <w:p/>
        </w:tc>
        <w:tc>
          <w:tcPr>
            <w:tcW w:type="dxa" w:w="1332"/>
            <w:tcBorders>
              <w:top w:sz="3.199999999999818" w:val="single" w:color="#000000"/>
            </w:tcBorders>
            <w:tcMar>
              <w:start w:w="0" w:type="dxa"/>
              <w:end w:w="0" w:type="dxa"/>
            </w:tcMar>
          </w:tcPr>
          <w:p/>
        </w:tc>
        <w:tc>
          <w:tcPr>
            <w:tcW w:type="dxa" w:w="1332"/>
            <w:tcBorders>
              <w:top w:sz="3.199999999999818" w:val="single" w:color="#000000"/>
            </w:tcBorders>
            <w:tcMar>
              <w:start w:w="0" w:type="dxa"/>
              <w:end w:w="0" w:type="dxa"/>
            </w:tcMar>
          </w:tcPr>
          <w:p/>
        </w:tc>
        <w:tc>
          <w:tcPr>
            <w:tcW w:type="dxa" w:w="1270"/>
            <w:tcBorders>
              <w:top w:sz="3.199999999999818" w:val="single" w:color="#000000"/>
            </w:tcBorders>
            <w:tcMar>
              <w:start w:w="0" w:type="dxa"/>
              <w:end w:w="0" w:type="dxa"/>
            </w:tcMar>
          </w:tcPr>
          <w:p/>
        </w:tc>
      </w:tr>
    </w:tbl>
    <w:p>
      <w:pPr>
        <w:autoSpaceDN w:val="0"/>
        <w:autoSpaceDE w:val="0"/>
        <w:widowControl/>
        <w:spacing w:line="166" w:lineRule="exact" w:before="160" w:after="14"/>
        <w:ind w:left="0" w:right="5464" w:firstLine="0"/>
        <w:jc w:val="right"/>
      </w:pPr>
      <w:r>
        <w:rPr>
          <w:rFonts w:ascii="黑体" w:hAnsi="黑体" w:eastAsia="黑体"/>
          <w:b w:val="0"/>
          <w:i w:val="0"/>
          <w:color w:val="000000"/>
          <w:sz w:val="15"/>
        </w:rPr>
        <w:t>五</w:t>
      </w:r>
      <w:r>
        <w:rPr>
          <w:rFonts w:ascii="Calibri" w:hAnsi="Calibri" w:eastAsia="Calibri"/>
          <w:b w:val="0"/>
          <w:i w:val="0"/>
          <w:color w:val="000000"/>
          <w:sz w:val="15"/>
        </w:rPr>
        <w:t xml:space="preserve"> 56(1)(b), </w:t>
      </w:r>
    </w:p>
    <w:tbl>
      <w:tblPr>
        <w:tblW w:type="auto" w:w="0"/>
        <w:tblLayout w:type="fixed"/>
        <w:tblLook w:firstColumn="1" w:firstRow="1" w:lastColumn="0" w:lastRow="0" w:noHBand="0" w:noVBand="1" w:val="04A0"/>
        <w:tblInd w:w="-11.999999999999886" w:type="dxa"/>
      </w:tblPr>
      <w:tblGrid>
        <w:gridCol w:w="1524"/>
        <w:gridCol w:w="1524"/>
        <w:gridCol w:w="1524"/>
        <w:gridCol w:w="1524"/>
        <w:gridCol w:w="1524"/>
        <w:gridCol w:w="1524"/>
      </w:tblGrid>
      <w:tr>
        <w:trPr>
          <w:trHeight w:hRule="exact" w:val="184"/>
        </w:trPr>
        <w:tc>
          <w:tcPr>
            <w:tcW w:type="dxa" w:w="2840"/>
            <w:tcBorders/>
            <w:tcMar>
              <w:start w:w="0" w:type="dxa"/>
              <w:end w:w="0" w:type="dxa"/>
            </w:tcMar>
          </w:tcPr>
          <w:p>
            <w:pPr>
              <w:autoSpaceDN w:val="0"/>
              <w:autoSpaceDE w:val="0"/>
              <w:widowControl/>
              <w:spacing w:line="168" w:lineRule="exact" w:before="14" w:after="0"/>
              <w:ind w:left="0" w:right="0" w:firstLine="0"/>
              <w:jc w:val="center"/>
            </w:pPr>
            <w:r>
              <w:rPr>
                <w:rFonts w:ascii="黑体" w:hAnsi="黑体" w:eastAsia="黑体"/>
                <w:b w:val="0"/>
                <w:i w:val="0"/>
                <w:color w:val="000000"/>
                <w:sz w:val="15"/>
              </w:rPr>
              <w:t>五、现金及现金等价物净增加</w:t>
            </w:r>
            <w:r>
              <w:rPr>
                <w:rFonts w:ascii="Calibri" w:hAnsi="Calibri" w:eastAsia="Calibri"/>
                <w:b w:val="0"/>
                <w:i w:val="0"/>
                <w:color w:val="000000"/>
                <w:sz w:val="15"/>
              </w:rPr>
              <w:t>/</w:t>
            </w:r>
            <w:r>
              <w:rPr>
                <w:rFonts w:ascii="黑体" w:hAnsi="黑体" w:eastAsia="黑体"/>
                <w:b w:val="0"/>
                <w:i w:val="0"/>
                <w:color w:val="000000"/>
                <w:sz w:val="15"/>
              </w:rPr>
              <w:t>（减少）额</w:t>
            </w:r>
          </w:p>
        </w:tc>
        <w:tc>
          <w:tcPr>
            <w:tcW w:type="dxa" w:w="1030"/>
            <w:vMerge w:val="restart"/>
            <w:tcBorders>
              <w:bottom w:sz="3.200000000000273" w:val="single" w:color="#000000"/>
            </w:tcBorders>
            <w:tcMar>
              <w:start w:w="0" w:type="dxa"/>
              <w:end w:w="0" w:type="dxa"/>
            </w:tcMar>
            <w:tcMar>
              <w:start w:w="0" w:type="dxa"/>
              <w:end w:w="0" w:type="dxa"/>
            </w:tcMar>
          </w:tcPr>
          <w:p>
            <w:pPr>
              <w:autoSpaceDN w:val="0"/>
              <w:autoSpaceDE w:val="0"/>
              <w:widowControl/>
              <w:spacing w:line="168" w:lineRule="exact" w:before="14" w:after="0"/>
              <w:ind w:left="112" w:right="0" w:firstLine="0"/>
              <w:jc w:val="left"/>
            </w:pPr>
            <w:r>
              <w:rPr>
                <w:rFonts w:ascii="黑体" w:hAnsi="黑体" w:eastAsia="黑体"/>
                <w:b w:val="0"/>
                <w:i w:val="0"/>
                <w:color w:val="000000"/>
                <w:sz w:val="15"/>
              </w:rPr>
              <w:t>十八</w:t>
            </w:r>
            <w:r>
              <w:rPr>
                <w:rFonts w:ascii="Calibri" w:hAnsi="Calibri" w:eastAsia="Calibri"/>
                <w:b w:val="0"/>
                <w:i w:val="0"/>
                <w:color w:val="000000"/>
                <w:sz w:val="15"/>
              </w:rPr>
              <w:t xml:space="preserve"> 7(2) </w:t>
            </w:r>
          </w:p>
        </w:tc>
        <w:tc>
          <w:tcPr>
            <w:tcW w:type="dxa" w:w="1336"/>
            <w:tcBorders/>
            <w:tcMar>
              <w:start w:w="0" w:type="dxa"/>
              <w:end w:w="0" w:type="dxa"/>
            </w:tcMar>
          </w:tcPr>
          <w:p>
            <w:pPr>
              <w:autoSpaceDN w:val="0"/>
              <w:autoSpaceDE w:val="0"/>
              <w:widowControl/>
              <w:spacing w:line="197" w:lineRule="auto" w:before="30" w:after="0"/>
              <w:ind w:left="318" w:right="0" w:firstLine="0"/>
              <w:jc w:val="left"/>
            </w:pPr>
            <w:r>
              <w:rPr>
                <w:rFonts w:ascii="Calibri" w:hAnsi="Calibri" w:eastAsia="Calibri"/>
                <w:b w:val="0"/>
                <w:i w:val="0"/>
                <w:color w:val="000000"/>
                <w:sz w:val="15"/>
              </w:rPr>
              <w:t xml:space="preserve">4,960,964,785 </w:t>
            </w:r>
          </w:p>
        </w:tc>
        <w:tc>
          <w:tcPr>
            <w:tcW w:type="dxa" w:w="1332"/>
            <w:tcBorders/>
            <w:tcMar>
              <w:start w:w="0" w:type="dxa"/>
              <w:end w:w="0" w:type="dxa"/>
            </w:tcMar>
          </w:tcPr>
          <w:p>
            <w:pPr>
              <w:autoSpaceDN w:val="0"/>
              <w:autoSpaceDE w:val="0"/>
              <w:widowControl/>
              <w:spacing w:line="197" w:lineRule="auto" w:before="30" w:after="0"/>
              <w:ind w:left="270" w:right="0" w:firstLine="0"/>
              <w:jc w:val="left"/>
            </w:pPr>
            <w:r>
              <w:rPr>
                <w:rFonts w:ascii="Calibri" w:hAnsi="Calibri" w:eastAsia="Calibri"/>
                <w:b w:val="0"/>
                <w:i w:val="0"/>
                <w:color w:val="000000"/>
                <w:sz w:val="15"/>
              </w:rPr>
              <w:t xml:space="preserve">(2,231,425,601) </w:t>
            </w:r>
          </w:p>
        </w:tc>
        <w:tc>
          <w:tcPr>
            <w:tcW w:type="dxa" w:w="1190"/>
            <w:tcBorders/>
            <w:tcMar>
              <w:start w:w="0" w:type="dxa"/>
              <w:end w:w="0" w:type="dxa"/>
            </w:tcMar>
          </w:tcPr>
          <w:p>
            <w:pPr>
              <w:autoSpaceDN w:val="0"/>
              <w:autoSpaceDE w:val="0"/>
              <w:widowControl/>
              <w:spacing w:line="197" w:lineRule="auto" w:before="30" w:after="0"/>
              <w:ind w:left="0" w:right="0" w:firstLine="0"/>
              <w:jc w:val="right"/>
            </w:pPr>
            <w:r>
              <w:rPr>
                <w:rFonts w:ascii="Calibri" w:hAnsi="Calibri" w:eastAsia="Calibri"/>
                <w:b w:val="0"/>
                <w:i w:val="0"/>
                <w:color w:val="000000"/>
                <w:sz w:val="15"/>
              </w:rPr>
              <w:t>4,428,727,067</w:t>
            </w:r>
          </w:p>
        </w:tc>
        <w:tc>
          <w:tcPr>
            <w:tcW w:type="dxa" w:w="1332"/>
            <w:tcBorders/>
            <w:tcMar>
              <w:start w:w="0" w:type="dxa"/>
              <w:end w:w="0" w:type="dxa"/>
            </w:tcMar>
          </w:tcPr>
          <w:p>
            <w:pPr>
              <w:autoSpaceDN w:val="0"/>
              <w:autoSpaceDE w:val="0"/>
              <w:widowControl/>
              <w:spacing w:line="197" w:lineRule="auto" w:before="30" w:after="0"/>
              <w:ind w:left="0" w:right="0" w:firstLine="0"/>
              <w:jc w:val="right"/>
            </w:pPr>
            <w:r>
              <w:rPr>
                <w:rFonts w:ascii="Calibri" w:hAnsi="Calibri" w:eastAsia="Calibri"/>
                <w:b w:val="0"/>
                <w:i w:val="0"/>
                <w:color w:val="000000"/>
                <w:sz w:val="15"/>
              </w:rPr>
              <w:t>930,787,569</w:t>
            </w:r>
          </w:p>
        </w:tc>
      </w:tr>
      <w:tr>
        <w:trPr>
          <w:trHeight w:hRule="exact" w:val="202"/>
        </w:trPr>
        <w:tc>
          <w:tcPr>
            <w:tcW w:type="dxa" w:w="2840"/>
            <w:tcBorders>
              <w:bottom w:sz="3.200000000000273" w:val="single" w:color="#000000"/>
            </w:tcBorders>
            <w:tcMar>
              <w:start w:w="0" w:type="dxa"/>
              <w:end w:w="0" w:type="dxa"/>
            </w:tcMar>
          </w:tcPr>
          <w:p>
            <w:pPr>
              <w:autoSpaceDN w:val="0"/>
              <w:autoSpaceDE w:val="0"/>
              <w:widowControl/>
              <w:spacing w:line="152" w:lineRule="exact" w:before="24" w:after="0"/>
              <w:ind w:left="304" w:right="0" w:firstLine="0"/>
              <w:jc w:val="left"/>
            </w:pPr>
            <w:r>
              <w:rPr>
                <w:rFonts w:ascii="黑体" w:hAnsi="黑体" w:eastAsia="黑体"/>
                <w:b w:val="0"/>
                <w:i w:val="0"/>
                <w:color w:val="000000"/>
                <w:sz w:val="15"/>
              </w:rPr>
              <w:t>加：年初现金及现金等价物余额</w:t>
            </w:r>
          </w:p>
        </w:tc>
        <w:tc>
          <w:tcPr>
            <w:tcW w:type="dxa" w:w="1524"/>
            <w:vMerge/>
            <w:tcBorders>
              <w:bottom w:sz="3.200000000000273" w:val="single" w:color="#000000"/>
            </w:tcBorders>
          </w:tcPr>
          <w:p/>
        </w:tc>
        <w:tc>
          <w:tcPr>
            <w:tcW w:type="dxa" w:w="1336"/>
            <w:tcBorders>
              <w:bottom w:sz="3.200000000000273" w:val="single" w:color="#000000"/>
            </w:tcBorders>
            <w:tcMar>
              <w:start w:w="0" w:type="dxa"/>
              <w:end w:w="0" w:type="dxa"/>
            </w:tcMar>
          </w:tcPr>
          <w:p>
            <w:pPr>
              <w:autoSpaceDN w:val="0"/>
              <w:autoSpaceDE w:val="0"/>
              <w:widowControl/>
              <w:spacing w:line="197" w:lineRule="auto" w:before="40" w:after="0"/>
              <w:ind w:left="242" w:right="0" w:firstLine="0"/>
              <w:jc w:val="left"/>
            </w:pPr>
            <w:r>
              <w:rPr>
                <w:rFonts w:ascii="Calibri" w:hAnsi="Calibri" w:eastAsia="Calibri"/>
                <w:b w:val="0"/>
                <w:i w:val="0"/>
                <w:color w:val="000000"/>
                <w:sz w:val="15"/>
              </w:rPr>
              <w:t xml:space="preserve">23,917,688,703 </w:t>
            </w:r>
          </w:p>
        </w:tc>
        <w:tc>
          <w:tcPr>
            <w:tcW w:type="dxa" w:w="1332"/>
            <w:tcBorders>
              <w:bottom w:sz="3.200000000000273" w:val="single" w:color="#000000"/>
            </w:tcBorders>
            <w:tcMar>
              <w:start w:w="0" w:type="dxa"/>
              <w:end w:w="0" w:type="dxa"/>
            </w:tcMar>
          </w:tcPr>
          <w:p>
            <w:pPr>
              <w:autoSpaceDN w:val="0"/>
              <w:autoSpaceDE w:val="0"/>
              <w:widowControl/>
              <w:spacing w:line="197" w:lineRule="auto" w:before="40" w:after="0"/>
              <w:ind w:left="242" w:right="0" w:firstLine="0"/>
              <w:jc w:val="left"/>
            </w:pPr>
            <w:r>
              <w:rPr>
                <w:rFonts w:ascii="Calibri" w:hAnsi="Calibri" w:eastAsia="Calibri"/>
                <w:b w:val="0"/>
                <w:i w:val="0"/>
                <w:color w:val="000000"/>
                <w:sz w:val="15"/>
              </w:rPr>
              <w:t>26,149,114,304</w:t>
            </w:r>
          </w:p>
        </w:tc>
        <w:tc>
          <w:tcPr>
            <w:tcW w:type="dxa" w:w="1190"/>
            <w:tcBorders>
              <w:bottom w:sz="3.200000000000273" w:val="single" w:color="#000000"/>
            </w:tcBorders>
            <w:tcMar>
              <w:start w:w="0" w:type="dxa"/>
              <w:end w:w="0" w:type="dxa"/>
            </w:tcMar>
          </w:tcPr>
          <w:p>
            <w:pPr>
              <w:autoSpaceDN w:val="0"/>
              <w:autoSpaceDE w:val="0"/>
              <w:widowControl/>
              <w:spacing w:line="197" w:lineRule="auto" w:before="40" w:after="0"/>
              <w:ind w:left="242" w:right="0" w:firstLine="0"/>
              <w:jc w:val="left"/>
            </w:pPr>
            <w:r>
              <w:rPr>
                <w:rFonts w:ascii="Calibri" w:hAnsi="Calibri" w:eastAsia="Calibri"/>
                <w:b w:val="0"/>
                <w:i w:val="0"/>
                <w:color w:val="000000"/>
                <w:sz w:val="15"/>
              </w:rPr>
              <w:t>17,066,220,824</w:t>
            </w:r>
          </w:p>
        </w:tc>
        <w:tc>
          <w:tcPr>
            <w:tcW w:type="dxa" w:w="1332"/>
            <w:tcBorders>
              <w:bottom w:sz="3.200000000000273" w:val="single" w:color="#000000"/>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5"/>
              </w:rPr>
              <w:t>16,135,433,255</w:t>
            </w:r>
          </w:p>
        </w:tc>
      </w:tr>
      <w:tr>
        <w:trPr>
          <w:trHeight w:hRule="exact" w:val="50"/>
        </w:trPr>
        <w:tc>
          <w:tcPr>
            <w:tcW w:type="dxa" w:w="2840"/>
            <w:tcBorders>
              <w:top w:sz="3.200000000000273" w:val="single" w:color="#000000"/>
            </w:tcBorders>
            <w:tcMar>
              <w:start w:w="0" w:type="dxa"/>
              <w:end w:w="0" w:type="dxa"/>
            </w:tcMar>
          </w:tcPr>
          <w:p/>
        </w:tc>
        <w:tc>
          <w:tcPr>
            <w:tcW w:type="dxa" w:w="1030"/>
            <w:tcBorders>
              <w:top w:sz="3.200000000000273" w:val="single" w:color="#000000"/>
            </w:tcBorders>
            <w:tcMar>
              <w:start w:w="0" w:type="dxa"/>
              <w:end w:w="0" w:type="dxa"/>
            </w:tcMar>
          </w:tcPr>
          <w:p/>
        </w:tc>
        <w:tc>
          <w:tcPr>
            <w:tcW w:type="dxa" w:w="1336"/>
            <w:tcBorders>
              <w:top w:sz="3.200000000000273" w:val="single" w:color="#000000"/>
            </w:tcBorders>
            <w:tcMar>
              <w:start w:w="0" w:type="dxa"/>
              <w:end w:w="0" w:type="dxa"/>
            </w:tcMar>
          </w:tcPr>
          <w:p/>
        </w:tc>
        <w:tc>
          <w:tcPr>
            <w:tcW w:type="dxa" w:w="1332"/>
            <w:tcBorders>
              <w:top w:sz="3.200000000000273" w:val="single" w:color="#000000"/>
            </w:tcBorders>
            <w:tcMar>
              <w:start w:w="0" w:type="dxa"/>
              <w:end w:w="0" w:type="dxa"/>
            </w:tcMar>
          </w:tcPr>
          <w:p/>
        </w:tc>
        <w:tc>
          <w:tcPr>
            <w:tcW w:type="dxa" w:w="1190"/>
            <w:tcBorders>
              <w:top w:sz="3.200000000000273" w:val="single" w:color="#000000"/>
            </w:tcBorders>
            <w:tcMar>
              <w:start w:w="0" w:type="dxa"/>
              <w:end w:w="0" w:type="dxa"/>
            </w:tcMar>
          </w:tcPr>
          <w:p/>
        </w:tc>
        <w:tc>
          <w:tcPr>
            <w:tcW w:type="dxa" w:w="1332"/>
            <w:tcBorders>
              <w:top w:sz="3.200000000000273" w:val="single" w:color="#000000"/>
            </w:tcBorders>
            <w:tcMar>
              <w:start w:w="0" w:type="dxa"/>
              <w:end w:w="0" w:type="dxa"/>
            </w:tcMar>
          </w:tcPr>
          <w:p/>
        </w:tc>
      </w:tr>
    </w:tbl>
    <w:p>
      <w:pPr>
        <w:autoSpaceDN w:val="0"/>
        <w:autoSpaceDE w:val="0"/>
        <w:widowControl/>
        <w:spacing w:line="168" w:lineRule="exact" w:before="158" w:after="12"/>
        <w:ind w:left="0" w:right="5634" w:firstLine="0"/>
        <w:jc w:val="right"/>
      </w:pPr>
      <w:r>
        <w:rPr>
          <w:rFonts w:ascii="黑体" w:hAnsi="黑体" w:eastAsia="黑体"/>
          <w:b w:val="0"/>
          <w:i w:val="0"/>
          <w:color w:val="000000"/>
          <w:sz w:val="15"/>
        </w:rPr>
        <w:t>五</w:t>
      </w:r>
      <w:r>
        <w:rPr>
          <w:rFonts w:ascii="Calibri" w:hAnsi="Calibri" w:eastAsia="Calibri"/>
          <w:b w:val="0"/>
          <w:i w:val="0"/>
          <w:color w:val="000000"/>
          <w:sz w:val="15"/>
        </w:rPr>
        <w:t xml:space="preserve"> 56(2), </w:t>
      </w:r>
    </w:p>
    <w:tbl>
      <w:tblPr>
        <w:tblW w:type="auto" w:w="0"/>
        <w:tblLayout w:type="fixed"/>
        <w:tblLook w:firstColumn="1" w:firstRow="1" w:lastColumn="0" w:lastRow="0" w:noHBand="0" w:noVBand="1" w:val="04A0"/>
        <w:tblInd w:w="-11.999999999999886" w:type="dxa"/>
      </w:tblPr>
      <w:tblGrid>
        <w:gridCol w:w="1524"/>
        <w:gridCol w:w="1524"/>
        <w:gridCol w:w="1524"/>
        <w:gridCol w:w="1524"/>
        <w:gridCol w:w="1524"/>
        <w:gridCol w:w="1524"/>
      </w:tblGrid>
      <w:tr>
        <w:trPr>
          <w:trHeight w:hRule="exact" w:val="194"/>
        </w:trPr>
        <w:tc>
          <w:tcPr>
            <w:tcW w:type="dxa" w:w="2520"/>
            <w:tcBorders>
              <w:bottom w:sz="4.0" w:val="single" w:color="#000000"/>
            </w:tcBorders>
            <w:tcMar>
              <w:start w:w="0" w:type="dxa"/>
              <w:end w:w="0" w:type="dxa"/>
            </w:tcMar>
          </w:tcPr>
          <w:p>
            <w:pPr>
              <w:autoSpaceDN w:val="0"/>
              <w:autoSpaceDE w:val="0"/>
              <w:widowControl/>
              <w:spacing w:line="152" w:lineRule="exact" w:before="14" w:after="0"/>
              <w:ind w:left="20" w:right="0" w:firstLine="0"/>
              <w:jc w:val="left"/>
            </w:pPr>
            <w:r>
              <w:rPr>
                <w:rFonts w:ascii="黑体" w:hAnsi="黑体" w:eastAsia="黑体"/>
                <w:b w:val="0"/>
                <w:i w:val="0"/>
                <w:color w:val="000000"/>
                <w:sz w:val="15"/>
              </w:rPr>
              <w:t>六、年末现金及现金等价物余额</w:t>
            </w:r>
          </w:p>
        </w:tc>
        <w:tc>
          <w:tcPr>
            <w:tcW w:type="dxa" w:w="1336"/>
            <w:tcBorders>
              <w:bottom w:sz="4.0" w:val="single" w:color="#000000"/>
            </w:tcBorders>
            <w:tcMar>
              <w:start w:w="0" w:type="dxa"/>
              <w:end w:w="0" w:type="dxa"/>
            </w:tcMar>
          </w:tcPr>
          <w:p>
            <w:pPr>
              <w:autoSpaceDN w:val="0"/>
              <w:autoSpaceDE w:val="0"/>
              <w:widowControl/>
              <w:spacing w:line="168" w:lineRule="exact" w:before="14" w:after="0"/>
              <w:ind w:left="0" w:right="294" w:firstLine="0"/>
              <w:jc w:val="right"/>
            </w:pPr>
            <w:r>
              <w:rPr>
                <w:rFonts w:ascii="黑体" w:hAnsi="黑体" w:eastAsia="黑体"/>
                <w:b w:val="0"/>
                <w:i w:val="0"/>
                <w:color w:val="000000"/>
                <w:sz w:val="15"/>
              </w:rPr>
              <w:t>十八</w:t>
            </w:r>
            <w:r>
              <w:rPr>
                <w:rFonts w:ascii="Calibri" w:hAnsi="Calibri" w:eastAsia="Calibri"/>
                <w:b w:val="0"/>
                <w:i w:val="0"/>
                <w:color w:val="000000"/>
                <w:sz w:val="15"/>
              </w:rPr>
              <w:t xml:space="preserve"> 7(3) </w:t>
            </w:r>
          </w:p>
        </w:tc>
        <w:tc>
          <w:tcPr>
            <w:tcW w:type="dxa" w:w="1336"/>
            <w:tcBorders>
              <w:bottom w:sz="4.0" w:val="single" w:color="#000000"/>
            </w:tcBorders>
            <w:tcMar>
              <w:start w:w="0" w:type="dxa"/>
              <w:end w:w="0" w:type="dxa"/>
            </w:tcMar>
          </w:tcPr>
          <w:p>
            <w:pPr>
              <w:autoSpaceDN w:val="0"/>
              <w:autoSpaceDE w:val="0"/>
              <w:widowControl/>
              <w:spacing w:line="194" w:lineRule="auto" w:before="34" w:after="0"/>
              <w:ind w:left="256" w:right="0" w:firstLine="0"/>
              <w:jc w:val="left"/>
            </w:pPr>
            <w:r>
              <w:rPr>
                <w:rFonts w:ascii="Calibri" w:hAnsi="Calibri" w:eastAsia="Calibri"/>
                <w:b w:val="0"/>
                <w:i w:val="0"/>
                <w:color w:val="000000"/>
                <w:sz w:val="15"/>
              </w:rPr>
              <w:t xml:space="preserve">28,878,653,488 </w:t>
            </w:r>
          </w:p>
        </w:tc>
        <w:tc>
          <w:tcPr>
            <w:tcW w:type="dxa" w:w="1204"/>
            <w:tcBorders>
              <w:bottom w:sz="4.0" w:val="single" w:color="#000000"/>
            </w:tcBorders>
            <w:tcMar>
              <w:start w:w="0" w:type="dxa"/>
              <w:end w:w="0" w:type="dxa"/>
            </w:tcMar>
          </w:tcPr>
          <w:p>
            <w:pPr>
              <w:autoSpaceDN w:val="0"/>
              <w:autoSpaceDE w:val="0"/>
              <w:widowControl/>
              <w:spacing w:line="194" w:lineRule="auto" w:before="34" w:after="0"/>
              <w:ind w:left="256" w:right="0" w:firstLine="0"/>
              <w:jc w:val="left"/>
            </w:pPr>
            <w:r>
              <w:rPr>
                <w:rFonts w:ascii="Calibri" w:hAnsi="Calibri" w:eastAsia="Calibri"/>
                <w:b w:val="0"/>
                <w:i w:val="0"/>
                <w:color w:val="000000"/>
                <w:sz w:val="15"/>
              </w:rPr>
              <w:t>23,917,688,703</w:t>
            </w:r>
          </w:p>
        </w:tc>
        <w:tc>
          <w:tcPr>
            <w:tcW w:type="dxa" w:w="1460"/>
            <w:tcBorders>
              <w:bottom w:sz="4.0" w:val="single" w:color="#000000"/>
            </w:tcBorders>
            <w:tcMar>
              <w:start w:w="0" w:type="dxa"/>
              <w:end w:w="0" w:type="dxa"/>
            </w:tcMar>
          </w:tcPr>
          <w:p>
            <w:pPr>
              <w:autoSpaceDN w:val="0"/>
              <w:autoSpaceDE w:val="0"/>
              <w:widowControl/>
              <w:spacing w:line="194" w:lineRule="auto" w:before="34" w:after="0"/>
              <w:ind w:left="0" w:right="126" w:firstLine="0"/>
              <w:jc w:val="right"/>
            </w:pPr>
            <w:r>
              <w:rPr>
                <w:rFonts w:ascii="Calibri" w:hAnsi="Calibri" w:eastAsia="Calibri"/>
                <w:b w:val="0"/>
                <w:i w:val="0"/>
                <w:color w:val="000000"/>
                <w:sz w:val="15"/>
              </w:rPr>
              <w:t>21,494,947,891</w:t>
            </w:r>
          </w:p>
        </w:tc>
        <w:tc>
          <w:tcPr>
            <w:tcW w:type="dxa" w:w="1204"/>
            <w:tcBorders>
              <w:bottom w:sz="4.0" w:val="single" w:color="#000000"/>
            </w:tcBorders>
            <w:tcMar>
              <w:start w:w="0" w:type="dxa"/>
              <w:end w:w="0" w:type="dxa"/>
            </w:tcMar>
          </w:tcPr>
          <w:p>
            <w:pPr>
              <w:autoSpaceDN w:val="0"/>
              <w:autoSpaceDE w:val="0"/>
              <w:widowControl/>
              <w:spacing w:line="194" w:lineRule="auto" w:before="34" w:after="0"/>
              <w:ind w:left="256" w:right="0" w:firstLine="0"/>
              <w:jc w:val="left"/>
            </w:pPr>
            <w:r>
              <w:rPr>
                <w:rFonts w:ascii="Calibri" w:hAnsi="Calibri" w:eastAsia="Calibri"/>
                <w:b w:val="0"/>
                <w:i w:val="0"/>
                <w:color w:val="000000"/>
                <w:sz w:val="15"/>
              </w:rPr>
              <w:t>17,066,220,824</w:t>
            </w:r>
          </w:p>
        </w:tc>
      </w:tr>
      <w:tr>
        <w:trPr>
          <w:trHeight w:hRule="exact" w:val="50"/>
        </w:trPr>
        <w:tc>
          <w:tcPr>
            <w:tcW w:type="dxa" w:w="2520"/>
            <w:tcBorders>
              <w:top w:sz="4.0" w:val="single" w:color="#000000"/>
            </w:tcBorders>
            <w:tcMar>
              <w:start w:w="0" w:type="dxa"/>
              <w:end w:w="0" w:type="dxa"/>
            </w:tcMar>
          </w:tcPr>
          <w:p/>
        </w:tc>
        <w:tc>
          <w:tcPr>
            <w:tcW w:type="dxa" w:w="1336"/>
            <w:tcBorders>
              <w:top w:sz="4.0" w:val="single" w:color="#000000"/>
            </w:tcBorders>
            <w:tcMar>
              <w:start w:w="0" w:type="dxa"/>
              <w:end w:w="0" w:type="dxa"/>
            </w:tcMar>
          </w:tcPr>
          <w:p/>
        </w:tc>
        <w:tc>
          <w:tcPr>
            <w:tcW w:type="dxa" w:w="1336"/>
            <w:tcBorders>
              <w:top w:sz="4.0" w:val="single" w:color="#000000"/>
            </w:tcBorders>
            <w:tcMar>
              <w:start w:w="0" w:type="dxa"/>
              <w:end w:w="0" w:type="dxa"/>
            </w:tcMar>
          </w:tcPr>
          <w:p/>
        </w:tc>
        <w:tc>
          <w:tcPr>
            <w:tcW w:type="dxa" w:w="1204"/>
            <w:tcBorders>
              <w:top w:sz="4.0" w:val="single" w:color="#000000"/>
            </w:tcBorders>
            <w:tcMar>
              <w:start w:w="0" w:type="dxa"/>
              <w:end w:w="0" w:type="dxa"/>
            </w:tcMar>
          </w:tcPr>
          <w:p/>
        </w:tc>
        <w:tc>
          <w:tcPr>
            <w:tcW w:type="dxa" w:w="1460"/>
            <w:tcBorders>
              <w:top w:sz="4.0" w:val="single" w:color="#000000"/>
            </w:tcBorders>
            <w:tcMar>
              <w:start w:w="0" w:type="dxa"/>
              <w:end w:w="0" w:type="dxa"/>
            </w:tcMar>
          </w:tcPr>
          <w:p/>
        </w:tc>
        <w:tc>
          <w:tcPr>
            <w:tcW w:type="dxa" w:w="1204"/>
            <w:tcBorders>
              <w:top w:sz="4.0" w:val="single" w:color="#000000"/>
            </w:tcBorders>
            <w:tcMar>
              <w:start w:w="0" w:type="dxa"/>
              <w:end w:w="0" w:type="dxa"/>
            </w:tcMar>
          </w:tcPr>
          <w:p/>
        </w:tc>
      </w:tr>
    </w:tbl>
    <w:p>
      <w:pPr>
        <w:autoSpaceDN w:val="0"/>
        <w:autoSpaceDE w:val="0"/>
        <w:widowControl/>
        <w:spacing w:line="248" w:lineRule="exact" w:before="4040" w:after="1052"/>
        <w:ind w:left="8" w:right="0" w:firstLine="0"/>
        <w:jc w:val="left"/>
      </w:pPr>
      <w:r>
        <w:rPr>
          <w:rFonts w:ascii="黑体" w:hAnsi="黑体" w:eastAsia="黑体"/>
          <w:b w:val="0"/>
          <w:i w:val="0"/>
          <w:color w:val="000000"/>
          <w:sz w:val="22"/>
        </w:rPr>
        <w:t>此财务报表已于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日获董事会批准。</w:t>
      </w:r>
    </w:p>
    <w:tbl>
      <w:tblPr>
        <w:tblW w:type="auto" w:w="0"/>
        <w:tblLayout w:type="fixed"/>
        <w:tblLook w:firstColumn="1" w:firstRow="1" w:lastColumn="0" w:lastRow="0" w:noHBand="0" w:noVBand="1" w:val="04A0"/>
        <w:tblInd w:w="8.000000000000114" w:type="dxa"/>
      </w:tblPr>
      <w:tblGrid>
        <w:gridCol w:w="2287"/>
        <w:gridCol w:w="2287"/>
        <w:gridCol w:w="2287"/>
        <w:gridCol w:w="2287"/>
      </w:tblGrid>
      <w:tr>
        <w:trPr>
          <w:trHeight w:hRule="exact" w:val="298"/>
        </w:trPr>
        <w:tc>
          <w:tcPr>
            <w:tcW w:type="dxa" w:w="2298"/>
            <w:tcBorders>
              <w:top w:sz="7.200000000000728" w:val="single" w:color="#000000"/>
            </w:tcBorders>
            <w:tcMar>
              <w:start w:w="0" w:type="dxa"/>
              <w:end w:w="0" w:type="dxa"/>
            </w:tcMar>
          </w:tcPr>
          <w:p>
            <w:pPr>
              <w:autoSpaceDN w:val="0"/>
              <w:autoSpaceDE w:val="0"/>
              <w:widowControl/>
              <w:spacing w:line="220" w:lineRule="exact" w:before="36" w:after="0"/>
              <w:ind w:left="0" w:right="0" w:firstLine="0"/>
              <w:jc w:val="left"/>
            </w:pPr>
            <w:r>
              <w:rPr>
                <w:rFonts w:ascii="黑体" w:hAnsi="黑体" w:eastAsia="黑体"/>
                <w:b w:val="0"/>
                <w:i w:val="0"/>
                <w:color w:val="000000"/>
                <w:sz w:val="22"/>
              </w:rPr>
              <w:t>王怡里</w:t>
            </w:r>
          </w:p>
        </w:tc>
        <w:tc>
          <w:tcPr>
            <w:tcW w:type="dxa" w:w="3192"/>
            <w:tcBorders>
              <w:top w:sz="7.200000000000728" w:val="single" w:color="#000000"/>
            </w:tcBorders>
            <w:tcMar>
              <w:start w:w="0" w:type="dxa"/>
              <w:end w:w="0" w:type="dxa"/>
            </w:tcMar>
          </w:tcPr>
          <w:p>
            <w:pPr>
              <w:autoSpaceDN w:val="0"/>
              <w:autoSpaceDE w:val="0"/>
              <w:widowControl/>
              <w:spacing w:line="220" w:lineRule="exact" w:before="36" w:after="0"/>
              <w:ind w:left="224" w:right="0" w:firstLine="0"/>
              <w:jc w:val="left"/>
            </w:pPr>
            <w:r>
              <w:rPr>
                <w:rFonts w:ascii="黑体" w:hAnsi="黑体" w:eastAsia="黑体"/>
                <w:b w:val="0"/>
                <w:i w:val="0"/>
                <w:color w:val="000000"/>
                <w:sz w:val="22"/>
              </w:rPr>
              <w:t>汤建雄</w:t>
            </w:r>
          </w:p>
        </w:tc>
        <w:tc>
          <w:tcPr>
            <w:tcW w:type="dxa" w:w="2156"/>
            <w:tcBorders>
              <w:top w:sz="7.200000000000728" w:val="single" w:color="#000000"/>
            </w:tcBorders>
            <w:tcMar>
              <w:start w:w="0" w:type="dxa"/>
              <w:end w:w="0" w:type="dxa"/>
            </w:tcMar>
          </w:tcPr>
          <w:p>
            <w:pPr>
              <w:autoSpaceDN w:val="0"/>
              <w:autoSpaceDE w:val="0"/>
              <w:widowControl/>
              <w:spacing w:line="220" w:lineRule="exact" w:before="36" w:after="0"/>
              <w:ind w:left="264" w:right="0" w:firstLine="0"/>
              <w:jc w:val="left"/>
            </w:pPr>
            <w:r>
              <w:rPr>
                <w:rFonts w:ascii="黑体" w:hAnsi="黑体" w:eastAsia="黑体"/>
                <w:b w:val="0"/>
                <w:i w:val="0"/>
                <w:color w:val="000000"/>
                <w:sz w:val="22"/>
              </w:rPr>
              <w:t>张立德</w:t>
            </w:r>
          </w:p>
        </w:tc>
        <w:tc>
          <w:tcPr>
            <w:tcW w:type="dxa" w:w="1314"/>
            <w:tcBorders>
              <w:top w:sz="7.200000000000728" w:val="single" w:color="#000000"/>
            </w:tcBorders>
            <w:tcMar>
              <w:start w:w="0" w:type="dxa"/>
              <w:end w:w="0" w:type="dxa"/>
            </w:tcMar>
          </w:tcPr>
          <w:p>
            <w:pPr>
              <w:autoSpaceDN w:val="0"/>
              <w:autoSpaceDE w:val="0"/>
              <w:widowControl/>
              <w:spacing w:line="220" w:lineRule="exact" w:before="36" w:after="0"/>
              <w:ind w:left="278" w:right="0" w:firstLine="0"/>
              <w:jc w:val="left"/>
            </w:pPr>
            <w:r>
              <w:rPr>
                <w:rFonts w:ascii="黑体" w:hAnsi="黑体" w:eastAsia="黑体"/>
                <w:b w:val="0"/>
                <w:i w:val="0"/>
                <w:color w:val="000000"/>
                <w:sz w:val="22"/>
              </w:rPr>
              <w:t>（盖章）</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1.999999999999886" w:type="dxa"/>
      </w:tblPr>
      <w:tblGrid>
        <w:gridCol w:w="3049"/>
        <w:gridCol w:w="3049"/>
        <w:gridCol w:w="3049"/>
      </w:tblGrid>
      <w:tr>
        <w:trPr>
          <w:trHeight w:hRule="exact" w:val="314"/>
        </w:trPr>
        <w:tc>
          <w:tcPr>
            <w:tcW w:type="dxa" w:w="1820"/>
            <w:tcBorders/>
            <w:tcMar>
              <w:start w:w="0" w:type="dxa"/>
              <w:end w:w="0" w:type="dxa"/>
            </w:tcMar>
          </w:tcPr>
          <w:p>
            <w:pPr>
              <w:autoSpaceDN w:val="0"/>
              <w:autoSpaceDE w:val="0"/>
              <w:widowControl/>
              <w:spacing w:line="222" w:lineRule="exact" w:before="32" w:after="0"/>
              <w:ind w:left="20" w:right="0" w:firstLine="0"/>
              <w:jc w:val="left"/>
            </w:pPr>
            <w:r>
              <w:rPr>
                <w:rFonts w:ascii="黑体" w:hAnsi="黑体" w:eastAsia="黑体"/>
                <w:b w:val="0"/>
                <w:i w:val="0"/>
                <w:color w:val="000000"/>
                <w:sz w:val="22"/>
              </w:rPr>
              <w:t>法定代表人</w:t>
            </w:r>
          </w:p>
        </w:tc>
        <w:tc>
          <w:tcPr>
            <w:tcW w:type="dxa" w:w="3640"/>
            <w:tcBorders/>
            <w:tcMar>
              <w:start w:w="0" w:type="dxa"/>
              <w:end w:w="0" w:type="dxa"/>
            </w:tcMar>
          </w:tcPr>
          <w:p>
            <w:pPr>
              <w:autoSpaceDN w:val="0"/>
              <w:autoSpaceDE w:val="0"/>
              <w:widowControl/>
              <w:spacing w:line="222" w:lineRule="exact" w:before="32" w:after="0"/>
              <w:ind w:left="722" w:right="0" w:firstLine="0"/>
              <w:jc w:val="left"/>
            </w:pPr>
            <w:r>
              <w:rPr>
                <w:rFonts w:ascii="黑体" w:hAnsi="黑体" w:eastAsia="黑体"/>
                <w:b w:val="0"/>
                <w:i w:val="0"/>
                <w:color w:val="000000"/>
                <w:sz w:val="22"/>
              </w:rPr>
              <w:t>主管会计工作的公司负责人</w:t>
            </w:r>
          </w:p>
        </w:tc>
        <w:tc>
          <w:tcPr>
            <w:tcW w:type="dxa" w:w="2760"/>
            <w:tcBorders/>
            <w:tcMar>
              <w:start w:w="0" w:type="dxa"/>
              <w:end w:w="0" w:type="dxa"/>
            </w:tcMar>
          </w:tcPr>
          <w:p>
            <w:pPr>
              <w:autoSpaceDN w:val="0"/>
              <w:autoSpaceDE w:val="0"/>
              <w:widowControl/>
              <w:spacing w:line="222" w:lineRule="exact" w:before="32" w:after="0"/>
              <w:ind w:left="314" w:right="0" w:firstLine="0"/>
              <w:jc w:val="left"/>
            </w:pPr>
            <w:r>
              <w:rPr>
                <w:rFonts w:ascii="黑体" w:hAnsi="黑体" w:eastAsia="黑体"/>
                <w:b w:val="0"/>
                <w:i w:val="0"/>
                <w:color w:val="000000"/>
                <w:sz w:val="22"/>
              </w:rPr>
              <w:t>会计机构负责人</w:t>
            </w:r>
          </w:p>
        </w:tc>
      </w:tr>
    </w:tbl>
    <w:p>
      <w:pPr>
        <w:autoSpaceDN w:val="0"/>
        <w:autoSpaceDE w:val="0"/>
        <w:widowControl/>
        <w:spacing w:line="198" w:lineRule="exact" w:before="972" w:after="0"/>
        <w:ind w:left="0" w:right="0" w:firstLine="0"/>
        <w:jc w:val="left"/>
      </w:pPr>
      <w:r>
        <w:rPr>
          <w:rFonts w:ascii="黑体" w:hAnsi="黑体" w:eastAsia="黑体"/>
          <w:b w:val="0"/>
          <w:i w:val="0"/>
          <w:color w:val="000000"/>
          <w:sz w:val="20"/>
        </w:rPr>
        <w:t>后附财务报表附注为本财务报表的组成部分</w:t>
      </w:r>
    </w:p>
    <w:p>
      <w:pPr>
        <w:autoSpaceDN w:val="0"/>
        <w:autoSpaceDE w:val="0"/>
        <w:widowControl/>
        <w:spacing w:line="233" w:lineRule="auto" w:before="1372" w:after="0"/>
        <w:ind w:left="0" w:right="0" w:firstLine="0"/>
        <w:jc w:val="center"/>
      </w:pPr>
      <w:r>
        <w:rPr>
          <w:rFonts w:ascii="Arial" w:hAnsi="Arial" w:eastAsia="Arial"/>
          <w:b w:val="0"/>
          <w:i w:val="0"/>
          <w:color w:val="000000"/>
          <w:sz w:val="20"/>
        </w:rPr>
        <w:t xml:space="preserve">161 </w:t>
      </w:r>
    </w:p>
    <w:p>
      <w:pPr>
        <w:sectPr>
          <w:pgSz w:w="11899" w:h="16841"/>
          <w:pgMar w:top="732" w:right="1320" w:bottom="360" w:left="1432" w:header="720" w:footer="720" w:gutter="0"/>
          <w:cols/>
          <w:docGrid w:linePitch="360"/>
        </w:sectPr>
      </w:pPr>
    </w:p>
    <w:p>
      <w:pPr>
        <w:autoSpaceDN w:val="0"/>
        <w:autoSpaceDE w:val="0"/>
        <w:widowControl/>
        <w:spacing w:line="220" w:lineRule="exact" w:before="0" w:after="582"/>
        <w:ind w:left="0" w:right="0"/>
      </w:pPr>
    </w:p>
    <w:p>
      <w:pPr>
        <w:autoSpaceDN w:val="0"/>
        <w:autoSpaceDE w:val="0"/>
        <w:widowControl/>
        <w:spacing w:line="220" w:lineRule="exact" w:before="0" w:after="0"/>
        <w:ind w:left="0" w:right="0" w:firstLine="0"/>
        <w:jc w:val="center"/>
      </w:pPr>
      <w:r>
        <w:rPr>
          <w:rFonts w:ascii="黑体" w:hAnsi="黑体" w:eastAsia="黑体"/>
          <w:b w:val="0"/>
          <w:i w:val="0"/>
          <w:color w:val="000000"/>
          <w:sz w:val="22"/>
        </w:rPr>
        <w:t>山西证券股份有限公司财务报表附注</w:t>
      </w:r>
    </w:p>
    <w:p>
      <w:pPr>
        <w:autoSpaceDN w:val="0"/>
        <w:tabs>
          <w:tab w:pos="1044" w:val="left"/>
        </w:tabs>
        <w:autoSpaceDE w:val="0"/>
        <w:widowControl/>
        <w:spacing w:line="220" w:lineRule="exact" w:before="320" w:after="0"/>
        <w:ind w:left="358" w:right="0" w:firstLine="0"/>
        <w:jc w:val="left"/>
      </w:pPr>
      <w:r>
        <w:rPr>
          <w:rFonts w:ascii="黑体" w:hAnsi="黑体" w:eastAsia="黑体"/>
          <w:b w:val="0"/>
          <w:i w:val="0"/>
          <w:color w:val="000000"/>
          <w:sz w:val="22"/>
        </w:rPr>
        <w:t>一、</w:t>
      </w:r>
      <w:r>
        <w:tab/>
      </w:r>
      <w:r>
        <w:rPr>
          <w:rFonts w:ascii="黑体" w:hAnsi="黑体" w:eastAsia="黑体"/>
          <w:b w:val="0"/>
          <w:i w:val="0"/>
          <w:color w:val="000000"/>
          <w:sz w:val="22"/>
        </w:rPr>
        <w:t>基本情况</w:t>
      </w:r>
    </w:p>
    <w:p>
      <w:pPr>
        <w:autoSpaceDN w:val="0"/>
        <w:autoSpaceDE w:val="0"/>
        <w:widowControl/>
        <w:spacing w:line="284" w:lineRule="exact" w:before="284" w:after="0"/>
        <w:ind w:left="394" w:right="354" w:firstLine="0"/>
        <w:jc w:val="both"/>
      </w:pPr>
      <w:r>
        <w:rPr>
          <w:rFonts w:ascii="黑体" w:hAnsi="黑体" w:eastAsia="黑体"/>
          <w:b w:val="0"/>
          <w:i w:val="0"/>
          <w:color w:val="000000"/>
          <w:sz w:val="22"/>
        </w:rPr>
        <w:t>山西省证券公司于</w:t>
      </w:r>
      <w:r>
        <w:rPr>
          <w:rFonts w:ascii="Arial" w:hAnsi="Arial" w:eastAsia="Arial"/>
          <w:b w:val="0"/>
          <w:i w:val="0"/>
          <w:color w:val="000000"/>
          <w:sz w:val="22"/>
        </w:rPr>
        <w:t>1988</w:t>
      </w:r>
      <w:r>
        <w:rPr>
          <w:rFonts w:ascii="黑体" w:hAnsi="黑体" w:eastAsia="黑体"/>
          <w:b w:val="0"/>
          <w:i w:val="0"/>
          <w:color w:val="000000"/>
          <w:sz w:val="22"/>
        </w:rPr>
        <w:t>年</w:t>
      </w:r>
      <w:r>
        <w:rPr>
          <w:rFonts w:ascii="Arial" w:hAnsi="Arial" w:eastAsia="Arial"/>
          <w:b w:val="0"/>
          <w:i w:val="0"/>
          <w:color w:val="000000"/>
          <w:sz w:val="22"/>
        </w:rPr>
        <w:t>7</w:t>
      </w:r>
      <w:r>
        <w:rPr>
          <w:rFonts w:ascii="黑体" w:hAnsi="黑体" w:eastAsia="黑体"/>
          <w:b w:val="0"/>
          <w:i w:val="0"/>
          <w:color w:val="000000"/>
          <w:sz w:val="22"/>
        </w:rPr>
        <w:t>月</w:t>
      </w:r>
      <w:r>
        <w:rPr>
          <w:rFonts w:ascii="Arial" w:hAnsi="Arial" w:eastAsia="Arial"/>
          <w:b w:val="0"/>
          <w:i w:val="0"/>
          <w:color w:val="000000"/>
          <w:sz w:val="22"/>
        </w:rPr>
        <w:t>28</w:t>
      </w:r>
      <w:r>
        <w:rPr>
          <w:rFonts w:ascii="黑体" w:hAnsi="黑体" w:eastAsia="黑体"/>
          <w:b w:val="0"/>
          <w:i w:val="0"/>
          <w:color w:val="000000"/>
          <w:sz w:val="22"/>
        </w:rPr>
        <w:t>日注册成立，于成立日获得山西省工商行政管理局核</w:t>
      </w:r>
      <w:r>
        <w:rPr>
          <w:rFonts w:ascii="黑体" w:hAnsi="黑体" w:eastAsia="黑体"/>
          <w:b w:val="0"/>
          <w:i w:val="0"/>
          <w:color w:val="000000"/>
          <w:sz w:val="22"/>
        </w:rPr>
        <w:t>发的注册号为</w:t>
      </w:r>
      <w:r>
        <w:rPr>
          <w:rFonts w:ascii="Arial" w:hAnsi="Arial" w:eastAsia="Arial"/>
          <w:b w:val="0"/>
          <w:i w:val="0"/>
          <w:color w:val="000000"/>
          <w:sz w:val="22"/>
        </w:rPr>
        <w:t>140000100003883</w:t>
      </w:r>
      <w:r>
        <w:rPr>
          <w:rFonts w:ascii="黑体" w:hAnsi="黑体" w:eastAsia="黑体"/>
          <w:b w:val="0"/>
          <w:i w:val="0"/>
          <w:color w:val="000000"/>
          <w:sz w:val="22"/>
        </w:rPr>
        <w:t>号的企业法人营业执照，并获得中国证券监督管理委</w:t>
      </w:r>
      <w:r>
        <w:rPr>
          <w:rFonts w:ascii="黑体" w:hAnsi="黑体" w:eastAsia="黑体"/>
          <w:b w:val="0"/>
          <w:i w:val="0"/>
          <w:color w:val="000000"/>
          <w:sz w:val="22"/>
        </w:rPr>
        <w:t>员会（以下简称“证监会”）核发的编号为</w:t>
      </w:r>
      <w:r>
        <w:rPr>
          <w:rFonts w:ascii="Arial" w:hAnsi="Arial" w:eastAsia="Arial"/>
          <w:b w:val="0"/>
          <w:i w:val="0"/>
          <w:color w:val="000000"/>
          <w:sz w:val="22"/>
        </w:rPr>
        <w:t>Z20614000</w:t>
      </w:r>
      <w:r>
        <w:rPr>
          <w:rFonts w:ascii="黑体" w:hAnsi="黑体" w:eastAsia="黑体"/>
          <w:b w:val="0"/>
          <w:i w:val="0"/>
          <w:color w:val="000000"/>
          <w:sz w:val="22"/>
        </w:rPr>
        <w:t>号的经营证券业务许可证。</w:t>
      </w:r>
    </w:p>
    <w:p>
      <w:pPr>
        <w:autoSpaceDN w:val="0"/>
        <w:autoSpaceDE w:val="0"/>
        <w:widowControl/>
        <w:spacing w:line="286" w:lineRule="exact" w:before="388" w:after="0"/>
        <w:ind w:left="394" w:right="288" w:firstLine="0"/>
        <w:jc w:val="left"/>
      </w:pPr>
      <w:r>
        <w:rPr>
          <w:rFonts w:ascii="Arial" w:hAnsi="Arial" w:eastAsia="Arial"/>
          <w:b w:val="0"/>
          <w:i w:val="0"/>
          <w:color w:val="000000"/>
          <w:sz w:val="22"/>
        </w:rPr>
        <w:t>1998</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日经证监会批准，山西省证券公司改制为山西证券有限责任公司，注册</w:t>
      </w:r>
      <w:r>
        <w:rPr>
          <w:rFonts w:ascii="黑体" w:hAnsi="黑体" w:eastAsia="黑体"/>
          <w:b w:val="0"/>
          <w:i w:val="0"/>
          <w:color w:val="000000"/>
          <w:sz w:val="22"/>
        </w:rPr>
        <w:t>资本为人民币</w:t>
      </w:r>
      <w:r>
        <w:rPr>
          <w:rFonts w:ascii="Arial" w:hAnsi="Arial" w:eastAsia="Arial"/>
          <w:b w:val="0"/>
          <w:i w:val="0"/>
          <w:color w:val="000000"/>
          <w:sz w:val="22"/>
        </w:rPr>
        <w:t>200,000,000</w:t>
      </w:r>
      <w:r>
        <w:rPr>
          <w:rFonts w:ascii="黑体" w:hAnsi="黑体" w:eastAsia="黑体"/>
          <w:b w:val="0"/>
          <w:i w:val="0"/>
          <w:color w:val="000000"/>
          <w:sz w:val="22"/>
        </w:rPr>
        <w:t>元。</w:t>
      </w:r>
    </w:p>
    <w:p>
      <w:pPr>
        <w:autoSpaceDN w:val="0"/>
        <w:autoSpaceDE w:val="0"/>
        <w:widowControl/>
        <w:spacing w:line="284" w:lineRule="exact" w:before="392" w:after="0"/>
        <w:ind w:left="394" w:right="350" w:firstLine="0"/>
        <w:jc w:val="both"/>
      </w:pPr>
      <w:r>
        <w:rPr>
          <w:rFonts w:ascii="黑体" w:hAnsi="黑体" w:eastAsia="黑体"/>
          <w:b w:val="0"/>
          <w:i w:val="0"/>
          <w:color w:val="000000"/>
          <w:sz w:val="22"/>
        </w:rPr>
        <w:t>经</w:t>
      </w:r>
      <w:r>
        <w:rPr>
          <w:rFonts w:ascii="Arial" w:hAnsi="Arial" w:eastAsia="Arial"/>
          <w:b w:val="0"/>
          <w:i w:val="0"/>
          <w:color w:val="000000"/>
          <w:sz w:val="22"/>
        </w:rPr>
        <w:t>2000</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28</w:t>
      </w:r>
      <w:r>
        <w:rPr>
          <w:rFonts w:ascii="黑体" w:hAnsi="黑体" w:eastAsia="黑体"/>
          <w:b w:val="0"/>
          <w:i w:val="0"/>
          <w:color w:val="000000"/>
          <w:sz w:val="22"/>
        </w:rPr>
        <w:t>日证监会证监机构字</w:t>
      </w:r>
      <w:r>
        <w:rPr>
          <w:rFonts w:ascii="Arial" w:hAnsi="Arial" w:eastAsia="Arial"/>
          <w:b w:val="0"/>
          <w:i w:val="0"/>
          <w:color w:val="000000"/>
          <w:sz w:val="22"/>
        </w:rPr>
        <w:t>[2000]81</w:t>
      </w:r>
      <w:r>
        <w:rPr>
          <w:rFonts w:ascii="黑体" w:hAnsi="黑体" w:eastAsia="黑体"/>
          <w:b w:val="0"/>
          <w:i w:val="0"/>
          <w:color w:val="000000"/>
          <w:sz w:val="22"/>
        </w:rPr>
        <w:t>号《关于山西省证券经营机构合并重组</w:t>
      </w:r>
      <w:r>
        <w:rPr>
          <w:rFonts w:ascii="黑体" w:hAnsi="黑体" w:eastAsia="黑体"/>
          <w:b w:val="0"/>
          <w:i w:val="0"/>
          <w:color w:val="000000"/>
          <w:sz w:val="22"/>
        </w:rPr>
        <w:t>事宜的批复》核准，山西证券有限责任公司于</w:t>
      </w:r>
      <w:r>
        <w:rPr>
          <w:rFonts w:ascii="Arial" w:hAnsi="Arial" w:eastAsia="Arial"/>
          <w:b w:val="0"/>
          <w:i w:val="0"/>
          <w:color w:val="000000"/>
          <w:sz w:val="22"/>
        </w:rPr>
        <w:t>2001</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月与山西省内五家信托公司的</w:t>
      </w:r>
      <w:r>
        <w:rPr>
          <w:rFonts w:ascii="黑体" w:hAnsi="黑体" w:eastAsia="黑体"/>
          <w:b w:val="0"/>
          <w:i w:val="0"/>
          <w:color w:val="000000"/>
          <w:sz w:val="22"/>
        </w:rPr>
        <w:t>证券类资产合并重组，合并重组后新设的公司沿用山西证券有限责任公司的名称，注</w:t>
      </w:r>
      <w:r>
        <w:rPr>
          <w:rFonts w:ascii="黑体" w:hAnsi="黑体" w:eastAsia="黑体"/>
          <w:b w:val="0"/>
          <w:i w:val="0"/>
          <w:color w:val="000000"/>
          <w:sz w:val="22"/>
        </w:rPr>
        <w:t>册资本变更为人民币</w:t>
      </w:r>
      <w:r>
        <w:rPr>
          <w:rFonts w:ascii="Arial" w:hAnsi="Arial" w:eastAsia="Arial"/>
          <w:b w:val="0"/>
          <w:i w:val="0"/>
          <w:color w:val="000000"/>
          <w:sz w:val="22"/>
        </w:rPr>
        <w:t>1,025,000,000</w:t>
      </w:r>
      <w:r>
        <w:rPr>
          <w:rFonts w:ascii="黑体" w:hAnsi="黑体" w:eastAsia="黑体"/>
          <w:b w:val="0"/>
          <w:i w:val="0"/>
          <w:color w:val="000000"/>
          <w:sz w:val="22"/>
        </w:rPr>
        <w:t>元。</w:t>
      </w:r>
    </w:p>
    <w:p>
      <w:pPr>
        <w:autoSpaceDN w:val="0"/>
        <w:autoSpaceDE w:val="0"/>
        <w:widowControl/>
        <w:spacing w:line="286" w:lineRule="exact" w:before="388" w:after="0"/>
        <w:ind w:left="394" w:right="348" w:firstLine="0"/>
        <w:jc w:val="both"/>
      </w:pPr>
      <w:r>
        <w:rPr>
          <w:rFonts w:ascii="黑体" w:hAnsi="黑体" w:eastAsia="黑体"/>
          <w:b w:val="0"/>
          <w:i w:val="0"/>
          <w:color w:val="000000"/>
          <w:sz w:val="22"/>
        </w:rPr>
        <w:t>经</w:t>
      </w:r>
      <w:r>
        <w:rPr>
          <w:rFonts w:ascii="Arial" w:hAnsi="Arial" w:eastAsia="Arial"/>
          <w:b w:val="0"/>
          <w:i w:val="0"/>
          <w:color w:val="000000"/>
          <w:sz w:val="22"/>
        </w:rPr>
        <w:t>2006</w:t>
      </w:r>
      <w:r>
        <w:rPr>
          <w:rFonts w:ascii="黑体" w:hAnsi="黑体" w:eastAsia="黑体"/>
          <w:b w:val="0"/>
          <w:i w:val="0"/>
          <w:color w:val="000000"/>
          <w:sz w:val="22"/>
        </w:rPr>
        <w:t>年</w:t>
      </w:r>
      <w:r>
        <w:rPr>
          <w:rFonts w:ascii="Arial" w:hAnsi="Arial" w:eastAsia="Arial"/>
          <w:b w:val="0"/>
          <w:i w:val="0"/>
          <w:color w:val="000000"/>
          <w:sz w:val="22"/>
        </w:rPr>
        <w:t>7</w:t>
      </w:r>
      <w:r>
        <w:rPr>
          <w:rFonts w:ascii="黑体" w:hAnsi="黑体" w:eastAsia="黑体"/>
          <w:b w:val="0"/>
          <w:i w:val="0"/>
          <w:color w:val="000000"/>
          <w:sz w:val="22"/>
        </w:rPr>
        <w:t>月</w:t>
      </w:r>
      <w:r>
        <w:rPr>
          <w:rFonts w:ascii="Arial" w:hAnsi="Arial" w:eastAsia="Arial"/>
          <w:b w:val="0"/>
          <w:i w:val="0"/>
          <w:color w:val="000000"/>
          <w:sz w:val="22"/>
        </w:rPr>
        <w:t>10</w:t>
      </w:r>
      <w:r>
        <w:rPr>
          <w:rFonts w:ascii="黑体" w:hAnsi="黑体" w:eastAsia="黑体"/>
          <w:b w:val="0"/>
          <w:i w:val="0"/>
          <w:color w:val="000000"/>
          <w:sz w:val="22"/>
        </w:rPr>
        <w:t>日证监会证监机构字</w:t>
      </w:r>
      <w:r>
        <w:rPr>
          <w:rFonts w:ascii="Arial" w:hAnsi="Arial" w:eastAsia="Arial"/>
          <w:b w:val="0"/>
          <w:i w:val="0"/>
          <w:color w:val="000000"/>
          <w:sz w:val="22"/>
        </w:rPr>
        <w:t>[2006]138</w:t>
      </w:r>
      <w:r>
        <w:rPr>
          <w:rFonts w:ascii="黑体" w:hAnsi="黑体" w:eastAsia="黑体"/>
          <w:b w:val="0"/>
          <w:i w:val="0"/>
          <w:color w:val="000000"/>
          <w:sz w:val="22"/>
        </w:rPr>
        <w:t>号《关于山西证券有限责任公司股权变</w:t>
      </w:r>
      <w:r>
        <w:rPr>
          <w:rFonts w:ascii="黑体" w:hAnsi="黑体" w:eastAsia="黑体"/>
          <w:b w:val="0"/>
          <w:i w:val="0"/>
          <w:color w:val="000000"/>
          <w:sz w:val="22"/>
        </w:rPr>
        <w:t>更及增资扩股的批复》核准，根据山西证券有限责任公司</w:t>
      </w:r>
      <w:r>
        <w:rPr>
          <w:rFonts w:ascii="Arial" w:hAnsi="Arial" w:eastAsia="Arial"/>
          <w:b w:val="0"/>
          <w:i w:val="0"/>
          <w:color w:val="000000"/>
          <w:sz w:val="22"/>
        </w:rPr>
        <w:t>2005</w:t>
      </w:r>
      <w:r>
        <w:rPr>
          <w:rFonts w:ascii="黑体" w:hAnsi="黑体" w:eastAsia="黑体"/>
          <w:b w:val="0"/>
          <w:i w:val="0"/>
          <w:color w:val="000000"/>
          <w:sz w:val="22"/>
        </w:rPr>
        <w:t>年</w:t>
      </w:r>
      <w:r>
        <w:rPr>
          <w:rFonts w:ascii="Arial" w:hAnsi="Arial" w:eastAsia="Arial"/>
          <w:b w:val="0"/>
          <w:i w:val="0"/>
          <w:color w:val="000000"/>
          <w:sz w:val="22"/>
        </w:rPr>
        <w:t>6</w:t>
      </w:r>
      <w:r>
        <w:rPr>
          <w:rFonts w:ascii="黑体" w:hAnsi="黑体" w:eastAsia="黑体"/>
          <w:b w:val="0"/>
          <w:i w:val="0"/>
          <w:color w:val="000000"/>
          <w:sz w:val="22"/>
        </w:rPr>
        <w:t>月</w:t>
      </w:r>
      <w:r>
        <w:rPr>
          <w:rFonts w:ascii="Arial" w:hAnsi="Arial" w:eastAsia="Arial"/>
          <w:b w:val="0"/>
          <w:i w:val="0"/>
          <w:color w:val="000000"/>
          <w:sz w:val="22"/>
        </w:rPr>
        <w:t>29</w:t>
      </w:r>
      <w:r>
        <w:rPr>
          <w:rFonts w:ascii="黑体" w:hAnsi="黑体" w:eastAsia="黑体"/>
          <w:b w:val="0"/>
          <w:i w:val="0"/>
          <w:color w:val="000000"/>
          <w:sz w:val="22"/>
        </w:rPr>
        <w:t>日召开的</w:t>
      </w:r>
      <w:r>
        <w:rPr>
          <w:rFonts w:ascii="Arial" w:hAnsi="Arial" w:eastAsia="Arial"/>
          <w:b w:val="0"/>
          <w:i w:val="0"/>
          <w:color w:val="000000"/>
          <w:sz w:val="22"/>
        </w:rPr>
        <w:t>2004</w:t>
      </w:r>
      <w:r>
        <w:rPr>
          <w:rFonts w:ascii="黑体" w:hAnsi="黑体" w:eastAsia="黑体"/>
          <w:b w:val="0"/>
          <w:i w:val="0"/>
          <w:color w:val="000000"/>
          <w:sz w:val="22"/>
        </w:rPr>
        <w:t>年度股东会决议和修改后的公司章程规定，山西证券有限责任公司增加注册资本人民</w:t>
      </w:r>
      <w:r>
        <w:rPr>
          <w:rFonts w:ascii="黑体" w:hAnsi="黑体" w:eastAsia="黑体"/>
          <w:b w:val="0"/>
          <w:i w:val="0"/>
          <w:color w:val="000000"/>
          <w:sz w:val="22"/>
        </w:rPr>
        <w:t>币</w:t>
      </w:r>
      <w:r>
        <w:rPr>
          <w:rFonts w:ascii="Arial" w:hAnsi="Arial" w:eastAsia="Arial"/>
          <w:b w:val="0"/>
          <w:i w:val="0"/>
          <w:color w:val="000000"/>
          <w:sz w:val="22"/>
        </w:rPr>
        <w:t>278,800,000</w:t>
      </w:r>
      <w:r>
        <w:rPr>
          <w:rFonts w:ascii="黑体" w:hAnsi="黑体" w:eastAsia="黑体"/>
          <w:b w:val="0"/>
          <w:i w:val="0"/>
          <w:color w:val="000000"/>
          <w:sz w:val="22"/>
        </w:rPr>
        <w:t>元至人民币</w:t>
      </w:r>
      <w:r>
        <w:rPr>
          <w:rFonts w:ascii="Arial" w:hAnsi="Arial" w:eastAsia="Arial"/>
          <w:b w:val="0"/>
          <w:i w:val="0"/>
          <w:color w:val="000000"/>
          <w:sz w:val="22"/>
        </w:rPr>
        <w:t>1,303,800,000</w:t>
      </w:r>
      <w:r>
        <w:rPr>
          <w:rFonts w:ascii="黑体" w:hAnsi="黑体" w:eastAsia="黑体"/>
          <w:b w:val="0"/>
          <w:i w:val="0"/>
          <w:color w:val="000000"/>
          <w:sz w:val="22"/>
        </w:rPr>
        <w:t>元，由股东山西国信投资集团有限公司（原</w:t>
      </w:r>
      <w:r>
        <w:rPr>
          <w:rFonts w:ascii="黑体" w:hAnsi="黑体" w:eastAsia="黑体"/>
          <w:b w:val="0"/>
          <w:i w:val="0"/>
          <w:color w:val="000000"/>
          <w:sz w:val="22"/>
        </w:rPr>
        <w:t>山西省国信投资（集团）公司，以下简称“山西国信”）于</w:t>
      </w:r>
      <w:r>
        <w:rPr>
          <w:rFonts w:ascii="Arial" w:hAnsi="Arial" w:eastAsia="Arial"/>
          <w:b w:val="0"/>
          <w:i w:val="0"/>
          <w:color w:val="000000"/>
          <w:sz w:val="22"/>
        </w:rPr>
        <w:t>2006</w:t>
      </w:r>
      <w:r>
        <w:rPr>
          <w:rFonts w:ascii="黑体" w:hAnsi="黑体" w:eastAsia="黑体"/>
          <w:b w:val="0"/>
          <w:i w:val="0"/>
          <w:color w:val="000000"/>
          <w:sz w:val="22"/>
        </w:rPr>
        <w:t>年</w:t>
      </w:r>
      <w:r>
        <w:rPr>
          <w:rFonts w:ascii="Arial" w:hAnsi="Arial" w:eastAsia="Arial"/>
          <w:b w:val="0"/>
          <w:i w:val="0"/>
          <w:color w:val="000000"/>
          <w:sz w:val="22"/>
        </w:rPr>
        <w:t>7</w:t>
      </w:r>
      <w:r>
        <w:rPr>
          <w:rFonts w:ascii="黑体" w:hAnsi="黑体" w:eastAsia="黑体"/>
          <w:b w:val="0"/>
          <w:i w:val="0"/>
          <w:color w:val="000000"/>
          <w:sz w:val="22"/>
        </w:rPr>
        <w:t>月</w:t>
      </w:r>
      <w:r>
        <w:rPr>
          <w:rFonts w:ascii="Arial" w:hAnsi="Arial" w:eastAsia="Arial"/>
          <w:b w:val="0"/>
          <w:i w:val="0"/>
          <w:color w:val="000000"/>
          <w:sz w:val="22"/>
        </w:rPr>
        <w:t>18</w:t>
      </w:r>
      <w:r>
        <w:rPr>
          <w:rFonts w:ascii="黑体" w:hAnsi="黑体" w:eastAsia="黑体"/>
          <w:b w:val="0"/>
          <w:i w:val="0"/>
          <w:color w:val="000000"/>
          <w:sz w:val="22"/>
        </w:rPr>
        <w:t>日前缴足。</w:t>
      </w:r>
    </w:p>
    <w:p>
      <w:pPr>
        <w:autoSpaceDN w:val="0"/>
        <w:autoSpaceDE w:val="0"/>
        <w:widowControl/>
        <w:spacing w:line="286" w:lineRule="exact" w:before="386" w:after="0"/>
        <w:ind w:left="394" w:right="350" w:firstLine="0"/>
        <w:jc w:val="both"/>
      </w:pPr>
      <w:r>
        <w:rPr>
          <w:rFonts w:ascii="黑体" w:hAnsi="黑体" w:eastAsia="黑体"/>
          <w:b w:val="0"/>
          <w:i w:val="0"/>
          <w:color w:val="000000"/>
          <w:sz w:val="22"/>
        </w:rPr>
        <w:t>经</w:t>
      </w:r>
      <w:r>
        <w:rPr>
          <w:rFonts w:ascii="Arial" w:hAnsi="Arial" w:eastAsia="Arial"/>
          <w:b w:val="0"/>
          <w:i w:val="0"/>
          <w:color w:val="000000"/>
          <w:sz w:val="22"/>
        </w:rPr>
        <w:t>2008</w:t>
      </w:r>
      <w:r>
        <w:rPr>
          <w:rFonts w:ascii="黑体" w:hAnsi="黑体" w:eastAsia="黑体"/>
          <w:b w:val="0"/>
          <w:i w:val="0"/>
          <w:color w:val="000000"/>
          <w:sz w:val="22"/>
        </w:rPr>
        <w:t>年</w:t>
      </w:r>
      <w:r>
        <w:rPr>
          <w:rFonts w:ascii="Arial" w:hAnsi="Arial" w:eastAsia="Arial"/>
          <w:b w:val="0"/>
          <w:i w:val="0"/>
          <w:color w:val="000000"/>
          <w:sz w:val="22"/>
        </w:rPr>
        <w:t>1</w:t>
      </w:r>
      <w:r>
        <w:rPr>
          <w:rFonts w:ascii="黑体" w:hAnsi="黑体" w:eastAsia="黑体"/>
          <w:b w:val="0"/>
          <w:i w:val="0"/>
          <w:color w:val="000000"/>
          <w:sz w:val="22"/>
        </w:rPr>
        <w:t>月</w:t>
      </w:r>
      <w:r>
        <w:rPr>
          <w:rFonts w:ascii="Arial" w:hAnsi="Arial" w:eastAsia="Arial"/>
          <w:b w:val="0"/>
          <w:i w:val="0"/>
          <w:color w:val="000000"/>
          <w:sz w:val="22"/>
        </w:rPr>
        <w:t>18</w:t>
      </w:r>
      <w:r>
        <w:rPr>
          <w:rFonts w:ascii="黑体" w:hAnsi="黑体" w:eastAsia="黑体"/>
          <w:b w:val="0"/>
          <w:i w:val="0"/>
          <w:color w:val="000000"/>
          <w:sz w:val="22"/>
        </w:rPr>
        <w:t>日证监会证监许可字</w:t>
      </w:r>
      <w:r>
        <w:rPr>
          <w:rFonts w:ascii="Arial" w:hAnsi="Arial" w:eastAsia="Arial"/>
          <w:b w:val="0"/>
          <w:i w:val="0"/>
          <w:color w:val="000000"/>
          <w:sz w:val="22"/>
        </w:rPr>
        <w:t>[2008]100</w:t>
      </w:r>
      <w:r>
        <w:rPr>
          <w:rFonts w:ascii="黑体" w:hAnsi="黑体" w:eastAsia="黑体"/>
          <w:b w:val="0"/>
          <w:i w:val="0"/>
          <w:color w:val="000000"/>
          <w:sz w:val="22"/>
        </w:rPr>
        <w:t>号《关于山西证券有限责任公司变更为</w:t>
      </w:r>
      <w:r>
        <w:rPr>
          <w:rFonts w:ascii="黑体" w:hAnsi="黑体" w:eastAsia="黑体"/>
          <w:b w:val="0"/>
          <w:i w:val="0"/>
          <w:color w:val="000000"/>
          <w:sz w:val="22"/>
        </w:rPr>
        <w:t>股份有限公司的批复》核准，根据山西证券有限责任公司</w:t>
      </w:r>
      <w:r>
        <w:rPr>
          <w:rFonts w:ascii="Arial" w:hAnsi="Arial" w:eastAsia="Arial"/>
          <w:b w:val="0"/>
          <w:i w:val="0"/>
          <w:color w:val="000000"/>
          <w:sz w:val="22"/>
        </w:rPr>
        <w:t>2007</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日召开的</w:t>
      </w:r>
      <w:r>
        <w:rPr>
          <w:rFonts w:ascii="Arial" w:hAnsi="Arial" w:eastAsia="Arial"/>
          <w:b w:val="0"/>
          <w:i w:val="0"/>
          <w:color w:val="000000"/>
          <w:sz w:val="22"/>
        </w:rPr>
        <w:t>2007</w:t>
      </w:r>
      <w:r>
        <w:rPr>
          <w:rFonts w:ascii="黑体" w:hAnsi="黑体" w:eastAsia="黑体"/>
          <w:b w:val="0"/>
          <w:i w:val="0"/>
          <w:color w:val="000000"/>
          <w:sz w:val="22"/>
        </w:rPr>
        <w:t>年度第二次股东会决议和修改后的公司章程规定，山西证券有限责任公司整体变</w:t>
      </w:r>
      <w:r>
        <w:rPr>
          <w:rFonts w:ascii="黑体" w:hAnsi="黑体" w:eastAsia="黑体"/>
          <w:b w:val="0"/>
          <w:i w:val="0"/>
          <w:color w:val="000000"/>
          <w:sz w:val="22"/>
        </w:rPr>
        <w:t>更为股份有限公司，以</w:t>
      </w:r>
      <w:r>
        <w:rPr>
          <w:rFonts w:ascii="Arial" w:hAnsi="Arial" w:eastAsia="Arial"/>
          <w:b w:val="0"/>
          <w:i w:val="0"/>
          <w:color w:val="000000"/>
          <w:sz w:val="22"/>
        </w:rPr>
        <w:t>2007</w:t>
      </w:r>
      <w:r>
        <w:rPr>
          <w:rFonts w:ascii="黑体" w:hAnsi="黑体" w:eastAsia="黑体"/>
          <w:b w:val="0"/>
          <w:i w:val="0"/>
          <w:color w:val="000000"/>
          <w:sz w:val="22"/>
        </w:rPr>
        <w:t xml:space="preserve"> 年</w:t>
      </w:r>
      <w:r>
        <w:rPr>
          <w:rFonts w:ascii="Arial" w:hAnsi="Arial" w:eastAsia="Arial"/>
          <w:b w:val="0"/>
          <w:i w:val="0"/>
          <w:color w:val="000000"/>
          <w:sz w:val="22"/>
        </w:rPr>
        <w:t>9</w:t>
      </w:r>
      <w:r>
        <w:rPr>
          <w:rFonts w:ascii="黑体" w:hAnsi="黑体" w:eastAsia="黑体"/>
          <w:b w:val="0"/>
          <w:i w:val="0"/>
          <w:color w:val="000000"/>
          <w:sz w:val="22"/>
        </w:rPr>
        <w:t xml:space="preserve"> 月</w:t>
      </w:r>
      <w:r>
        <w:rPr>
          <w:rFonts w:ascii="Arial" w:hAnsi="Arial" w:eastAsia="Arial"/>
          <w:b w:val="0"/>
          <w:i w:val="0"/>
          <w:color w:val="000000"/>
          <w:sz w:val="22"/>
        </w:rPr>
        <w:t>30</w:t>
      </w:r>
      <w:r>
        <w:rPr>
          <w:rFonts w:ascii="黑体" w:hAnsi="黑体" w:eastAsia="黑体"/>
          <w:b w:val="0"/>
          <w:i w:val="0"/>
          <w:color w:val="000000"/>
          <w:sz w:val="22"/>
        </w:rPr>
        <w:t xml:space="preserve"> 日为基准日确定的净资产按折股比例</w:t>
      </w:r>
      <w:r>
        <w:rPr>
          <w:rFonts w:ascii="Arial" w:hAnsi="Arial" w:eastAsia="Arial"/>
          <w:b w:val="0"/>
          <w:i w:val="0"/>
          <w:color w:val="000000"/>
          <w:sz w:val="22"/>
        </w:rPr>
        <w:t>99.9246667%</w:t>
      </w:r>
      <w:r>
        <w:rPr>
          <w:rFonts w:ascii="黑体" w:hAnsi="黑体" w:eastAsia="黑体"/>
          <w:b w:val="0"/>
          <w:i w:val="0"/>
          <w:color w:val="000000"/>
          <w:sz w:val="22"/>
        </w:rPr>
        <w:t>折算为股本人民币</w:t>
      </w:r>
      <w:r>
        <w:rPr>
          <w:rFonts w:ascii="Arial" w:hAnsi="Arial" w:eastAsia="Arial"/>
          <w:b w:val="0"/>
          <w:i w:val="0"/>
          <w:color w:val="000000"/>
          <w:sz w:val="22"/>
        </w:rPr>
        <w:t>2,000,000,000</w:t>
      </w:r>
      <w:r>
        <w:rPr>
          <w:rFonts w:ascii="黑体" w:hAnsi="黑体" w:eastAsia="黑体"/>
          <w:b w:val="0"/>
          <w:i w:val="0"/>
          <w:color w:val="000000"/>
          <w:sz w:val="22"/>
        </w:rPr>
        <w:t>元，未折算的部分人民币</w:t>
      </w:r>
      <w:r>
        <w:rPr>
          <w:rFonts w:ascii="Arial" w:hAnsi="Arial" w:eastAsia="Arial"/>
          <w:b w:val="0"/>
          <w:i w:val="0"/>
          <w:color w:val="000000"/>
          <w:sz w:val="22"/>
        </w:rPr>
        <w:t>1,507,802</w:t>
      </w:r>
      <w:r>
        <w:rPr>
          <w:rFonts w:ascii="黑体" w:hAnsi="黑体" w:eastAsia="黑体"/>
          <w:b w:val="0"/>
          <w:i w:val="0"/>
          <w:color w:val="000000"/>
          <w:sz w:val="22"/>
        </w:rPr>
        <w:t>元</w:t>
      </w:r>
      <w:r>
        <w:rPr>
          <w:rFonts w:ascii="黑体" w:hAnsi="黑体" w:eastAsia="黑体"/>
          <w:b w:val="0"/>
          <w:i w:val="0"/>
          <w:color w:val="000000"/>
          <w:sz w:val="22"/>
        </w:rPr>
        <w:t>计入资本公积。整体变更后，公司名称变更为山西证券股份有限公司（以下简称“本</w:t>
      </w:r>
      <w:r>
        <w:rPr>
          <w:rFonts w:ascii="黑体" w:hAnsi="黑体" w:eastAsia="黑体"/>
          <w:b w:val="0"/>
          <w:i w:val="0"/>
          <w:color w:val="000000"/>
          <w:sz w:val="22"/>
        </w:rPr>
        <w:t>公司”），注册资本变更为人民币</w:t>
      </w:r>
      <w:r>
        <w:rPr>
          <w:rFonts w:ascii="Arial" w:hAnsi="Arial" w:eastAsia="Arial"/>
          <w:b w:val="0"/>
          <w:i w:val="0"/>
          <w:color w:val="000000"/>
          <w:sz w:val="22"/>
        </w:rPr>
        <w:t>2,000,000,000</w:t>
      </w:r>
      <w:r>
        <w:rPr>
          <w:rFonts w:ascii="黑体" w:hAnsi="黑体" w:eastAsia="黑体"/>
          <w:b w:val="0"/>
          <w:i w:val="0"/>
          <w:color w:val="000000"/>
          <w:sz w:val="22"/>
        </w:rPr>
        <w:t>元，总股本</w:t>
      </w:r>
      <w:r>
        <w:rPr>
          <w:rFonts w:ascii="Arial" w:hAnsi="Arial" w:eastAsia="Arial"/>
          <w:b w:val="0"/>
          <w:i w:val="0"/>
          <w:color w:val="000000"/>
          <w:sz w:val="22"/>
        </w:rPr>
        <w:t>2,000,000,000</w:t>
      </w:r>
      <w:r>
        <w:rPr>
          <w:rFonts w:ascii="黑体" w:hAnsi="黑体" w:eastAsia="黑体"/>
          <w:b w:val="0"/>
          <w:i w:val="0"/>
          <w:color w:val="000000"/>
          <w:sz w:val="22"/>
        </w:rPr>
        <w:t>股，每股</w:t>
      </w:r>
      <w:r>
        <w:rPr>
          <w:rFonts w:ascii="黑体" w:hAnsi="黑体" w:eastAsia="黑体"/>
          <w:b w:val="0"/>
          <w:i w:val="0"/>
          <w:color w:val="000000"/>
          <w:sz w:val="22"/>
        </w:rPr>
        <w:t>面值人民币</w:t>
      </w:r>
      <w:r>
        <w:rPr>
          <w:rFonts w:ascii="Arial" w:hAnsi="Arial" w:eastAsia="Arial"/>
          <w:b w:val="0"/>
          <w:i w:val="0"/>
          <w:color w:val="000000"/>
          <w:sz w:val="22"/>
        </w:rPr>
        <w:t>1</w:t>
      </w:r>
      <w:r>
        <w:rPr>
          <w:rFonts w:ascii="黑体" w:hAnsi="黑体" w:eastAsia="黑体"/>
          <w:b w:val="0"/>
          <w:i w:val="0"/>
          <w:color w:val="000000"/>
          <w:sz w:val="22"/>
        </w:rPr>
        <w:t>元。</w:t>
      </w:r>
    </w:p>
    <w:p>
      <w:pPr>
        <w:autoSpaceDN w:val="0"/>
        <w:autoSpaceDE w:val="0"/>
        <w:widowControl/>
        <w:spacing w:line="286" w:lineRule="exact" w:before="386" w:after="0"/>
        <w:ind w:left="394" w:right="348" w:firstLine="0"/>
        <w:jc w:val="both"/>
      </w:pPr>
      <w:r>
        <w:rPr>
          <w:rFonts w:ascii="黑体" w:hAnsi="黑体" w:eastAsia="黑体"/>
          <w:b w:val="0"/>
          <w:i w:val="0"/>
          <w:color w:val="000000"/>
          <w:sz w:val="22"/>
        </w:rPr>
        <w:t>经</w:t>
      </w:r>
      <w:r>
        <w:rPr>
          <w:rFonts w:ascii="Arial" w:hAnsi="Arial" w:eastAsia="Arial"/>
          <w:b w:val="0"/>
          <w:i w:val="0"/>
          <w:color w:val="000000"/>
          <w:sz w:val="22"/>
        </w:rPr>
        <w:t>2010</w:t>
      </w:r>
      <w:r>
        <w:rPr>
          <w:rFonts w:ascii="黑体" w:hAnsi="黑体" w:eastAsia="黑体"/>
          <w:b w:val="0"/>
          <w:i w:val="0"/>
          <w:color w:val="000000"/>
          <w:sz w:val="22"/>
        </w:rPr>
        <w:t>年</w:t>
      </w:r>
      <w:r>
        <w:rPr>
          <w:rFonts w:ascii="Arial" w:hAnsi="Arial" w:eastAsia="Arial"/>
          <w:b w:val="0"/>
          <w:i w:val="0"/>
          <w:color w:val="000000"/>
          <w:sz w:val="22"/>
        </w:rPr>
        <w:t>10</w:t>
      </w:r>
      <w:r>
        <w:rPr>
          <w:rFonts w:ascii="黑体" w:hAnsi="黑体" w:eastAsia="黑体"/>
          <w:b w:val="0"/>
          <w:i w:val="0"/>
          <w:color w:val="000000"/>
          <w:sz w:val="22"/>
        </w:rPr>
        <w:t>月</w:t>
      </w:r>
      <w:r>
        <w:rPr>
          <w:rFonts w:ascii="Arial" w:hAnsi="Arial" w:eastAsia="Arial"/>
          <w:b w:val="0"/>
          <w:i w:val="0"/>
          <w:color w:val="000000"/>
          <w:sz w:val="22"/>
        </w:rPr>
        <w:t>19</w:t>
      </w:r>
      <w:r>
        <w:rPr>
          <w:rFonts w:ascii="黑体" w:hAnsi="黑体" w:eastAsia="黑体"/>
          <w:b w:val="0"/>
          <w:i w:val="0"/>
          <w:color w:val="000000"/>
          <w:sz w:val="22"/>
        </w:rPr>
        <w:t>日证监会证监许可</w:t>
      </w:r>
      <w:r>
        <w:rPr>
          <w:rFonts w:ascii="Arial" w:hAnsi="Arial" w:eastAsia="Arial"/>
          <w:b w:val="0"/>
          <w:i w:val="0"/>
          <w:color w:val="000000"/>
          <w:sz w:val="22"/>
        </w:rPr>
        <w:t>[2010]1435</w:t>
      </w:r>
      <w:r>
        <w:rPr>
          <w:rFonts w:ascii="黑体" w:hAnsi="黑体" w:eastAsia="黑体"/>
          <w:b w:val="0"/>
          <w:i w:val="0"/>
          <w:color w:val="000000"/>
          <w:sz w:val="22"/>
        </w:rPr>
        <w:t>号《关于核准山西证券股份有限公司首</w:t>
      </w:r>
      <w:r>
        <w:rPr>
          <w:rFonts w:ascii="黑体" w:hAnsi="黑体" w:eastAsia="黑体"/>
          <w:b w:val="0"/>
          <w:i w:val="0"/>
          <w:color w:val="000000"/>
          <w:sz w:val="22"/>
        </w:rPr>
        <w:t>次公开发行股票的批复》核准，本公司于</w:t>
      </w:r>
      <w:r>
        <w:rPr>
          <w:rFonts w:ascii="Arial" w:hAnsi="Arial" w:eastAsia="Arial"/>
          <w:b w:val="0"/>
          <w:i w:val="0"/>
          <w:color w:val="000000"/>
          <w:sz w:val="22"/>
        </w:rPr>
        <w:t>2010</w:t>
      </w:r>
      <w:r>
        <w:rPr>
          <w:rFonts w:ascii="黑体" w:hAnsi="黑体" w:eastAsia="黑体"/>
          <w:b w:val="0"/>
          <w:i w:val="0"/>
          <w:color w:val="000000"/>
          <w:sz w:val="22"/>
        </w:rPr>
        <w:t>年</w:t>
      </w:r>
      <w:r>
        <w:rPr>
          <w:rFonts w:ascii="Arial" w:hAnsi="Arial" w:eastAsia="Arial"/>
          <w:b w:val="0"/>
          <w:i w:val="0"/>
          <w:color w:val="000000"/>
          <w:sz w:val="22"/>
        </w:rPr>
        <w:t>11</w:t>
      </w:r>
      <w:r>
        <w:rPr>
          <w:rFonts w:ascii="黑体" w:hAnsi="黑体" w:eastAsia="黑体"/>
          <w:b w:val="0"/>
          <w:i w:val="0"/>
          <w:color w:val="000000"/>
          <w:sz w:val="22"/>
        </w:rPr>
        <w:t>月</w:t>
      </w:r>
      <w:r>
        <w:rPr>
          <w:rFonts w:ascii="Arial" w:hAnsi="Arial" w:eastAsia="Arial"/>
          <w:b w:val="0"/>
          <w:i w:val="0"/>
          <w:color w:val="000000"/>
          <w:sz w:val="22"/>
        </w:rPr>
        <w:t>4</w:t>
      </w:r>
      <w:r>
        <w:rPr>
          <w:rFonts w:ascii="黑体" w:hAnsi="黑体" w:eastAsia="黑体"/>
          <w:b w:val="0"/>
          <w:i w:val="0"/>
          <w:color w:val="000000"/>
          <w:sz w:val="22"/>
        </w:rPr>
        <w:t>日完成向境内投资者发行人民</w:t>
      </w:r>
      <w:r>
        <w:rPr>
          <w:rFonts w:ascii="黑体" w:hAnsi="黑体" w:eastAsia="黑体"/>
          <w:b w:val="0"/>
          <w:i w:val="0"/>
          <w:color w:val="000000"/>
          <w:sz w:val="22"/>
        </w:rPr>
        <w:t>币普通股</w:t>
      </w:r>
      <w:r>
        <w:rPr>
          <w:rFonts w:ascii="Arial" w:hAnsi="Arial" w:eastAsia="Arial"/>
          <w:b w:val="0"/>
          <w:i w:val="0"/>
          <w:color w:val="000000"/>
          <w:sz w:val="22"/>
        </w:rPr>
        <w:t>399,800,000</w:t>
      </w:r>
      <w:r>
        <w:rPr>
          <w:rFonts w:ascii="黑体" w:hAnsi="黑体" w:eastAsia="黑体"/>
          <w:b w:val="0"/>
          <w:i w:val="0"/>
          <w:color w:val="000000"/>
          <w:sz w:val="22"/>
        </w:rPr>
        <w:t>股，并于</w:t>
      </w:r>
      <w:r>
        <w:rPr>
          <w:rFonts w:ascii="Arial" w:hAnsi="Arial" w:eastAsia="Arial"/>
          <w:b w:val="0"/>
          <w:i w:val="0"/>
          <w:color w:val="000000"/>
          <w:sz w:val="22"/>
        </w:rPr>
        <w:t>2010</w:t>
      </w:r>
      <w:r>
        <w:rPr>
          <w:rFonts w:ascii="黑体" w:hAnsi="黑体" w:eastAsia="黑体"/>
          <w:b w:val="0"/>
          <w:i w:val="0"/>
          <w:color w:val="000000"/>
          <w:sz w:val="22"/>
        </w:rPr>
        <w:t>年</w:t>
      </w:r>
      <w:r>
        <w:rPr>
          <w:rFonts w:ascii="Arial" w:hAnsi="Arial" w:eastAsia="Arial"/>
          <w:b w:val="0"/>
          <w:i w:val="0"/>
          <w:color w:val="000000"/>
          <w:sz w:val="22"/>
        </w:rPr>
        <w:t>11</w:t>
      </w:r>
      <w:r>
        <w:rPr>
          <w:rFonts w:ascii="黑体" w:hAnsi="黑体" w:eastAsia="黑体"/>
          <w:b w:val="0"/>
          <w:i w:val="0"/>
          <w:color w:val="000000"/>
          <w:sz w:val="22"/>
        </w:rPr>
        <w:t>月</w:t>
      </w:r>
      <w:r>
        <w:rPr>
          <w:rFonts w:ascii="Arial" w:hAnsi="Arial" w:eastAsia="Arial"/>
          <w:b w:val="0"/>
          <w:i w:val="0"/>
          <w:color w:val="000000"/>
          <w:sz w:val="22"/>
        </w:rPr>
        <w:t>15</w:t>
      </w:r>
      <w:r>
        <w:rPr>
          <w:rFonts w:ascii="黑体" w:hAnsi="黑体" w:eastAsia="黑体"/>
          <w:b w:val="0"/>
          <w:i w:val="0"/>
          <w:color w:val="000000"/>
          <w:sz w:val="22"/>
        </w:rPr>
        <w:t>日在深圳证券交易所挂牌交易。于</w:t>
      </w:r>
      <w:r>
        <w:rPr>
          <w:rFonts w:ascii="Arial" w:hAnsi="Arial" w:eastAsia="Arial"/>
          <w:b w:val="0"/>
          <w:i w:val="0"/>
          <w:color w:val="000000"/>
          <w:sz w:val="22"/>
        </w:rPr>
        <w:t>2010</w:t>
      </w:r>
      <w:r>
        <w:rPr>
          <w:rFonts w:ascii="黑体" w:hAnsi="黑体" w:eastAsia="黑体"/>
          <w:b w:val="0"/>
          <w:i w:val="0"/>
          <w:color w:val="000000"/>
          <w:sz w:val="22"/>
        </w:rPr>
        <w:t>年</w:t>
      </w:r>
      <w:r>
        <w:rPr>
          <w:rFonts w:ascii="Arial" w:hAnsi="Arial" w:eastAsia="Arial"/>
          <w:b w:val="0"/>
          <w:i w:val="0"/>
          <w:color w:val="000000"/>
          <w:sz w:val="22"/>
        </w:rPr>
        <w:t>11</w:t>
      </w:r>
      <w:r>
        <w:rPr>
          <w:rFonts w:ascii="黑体" w:hAnsi="黑体" w:eastAsia="黑体"/>
          <w:b w:val="0"/>
          <w:i w:val="0"/>
          <w:color w:val="000000"/>
          <w:sz w:val="22"/>
        </w:rPr>
        <w:t xml:space="preserve"> 月</w:t>
      </w:r>
      <w:r>
        <w:rPr>
          <w:rFonts w:ascii="Arial" w:hAnsi="Arial" w:eastAsia="Arial"/>
          <w:b w:val="0"/>
          <w:i w:val="0"/>
          <w:color w:val="000000"/>
          <w:sz w:val="22"/>
        </w:rPr>
        <w:t>24</w:t>
      </w:r>
      <w:r>
        <w:rPr>
          <w:rFonts w:ascii="黑体" w:hAnsi="黑体" w:eastAsia="黑体"/>
          <w:b w:val="0"/>
          <w:i w:val="0"/>
          <w:color w:val="000000"/>
          <w:sz w:val="22"/>
        </w:rPr>
        <w:t xml:space="preserve"> 日，本公司注册资本变更至人民币</w:t>
      </w:r>
      <w:r>
        <w:rPr>
          <w:rFonts w:ascii="Arial" w:hAnsi="Arial" w:eastAsia="Arial"/>
          <w:b w:val="0"/>
          <w:i w:val="0"/>
          <w:color w:val="000000"/>
          <w:sz w:val="22"/>
        </w:rPr>
        <w:t>2,399,800,000</w:t>
      </w:r>
      <w:r>
        <w:rPr>
          <w:rFonts w:ascii="黑体" w:hAnsi="黑体" w:eastAsia="黑体"/>
          <w:b w:val="0"/>
          <w:i w:val="0"/>
          <w:color w:val="000000"/>
          <w:sz w:val="22"/>
        </w:rPr>
        <w:t xml:space="preserve"> 元，总股本增至</w:t>
      </w:r>
      <w:r>
        <w:rPr>
          <w:rFonts w:ascii="Arial" w:hAnsi="Arial" w:eastAsia="Arial"/>
          <w:b w:val="0"/>
          <w:i w:val="0"/>
          <w:color w:val="000000"/>
          <w:sz w:val="22"/>
        </w:rPr>
        <w:t>2,399,800,000</w:t>
      </w:r>
      <w:r>
        <w:rPr>
          <w:rFonts w:ascii="黑体" w:hAnsi="黑体" w:eastAsia="黑体"/>
          <w:b w:val="0"/>
          <w:i w:val="0"/>
          <w:color w:val="000000"/>
          <w:sz w:val="22"/>
        </w:rPr>
        <w:t>股。</w:t>
      </w:r>
    </w:p>
    <w:p>
      <w:pPr>
        <w:autoSpaceDN w:val="0"/>
        <w:autoSpaceDE w:val="0"/>
        <w:widowControl/>
        <w:spacing w:line="233" w:lineRule="auto" w:before="3604" w:after="0"/>
        <w:ind w:left="0" w:right="0" w:firstLine="0"/>
        <w:jc w:val="center"/>
      </w:pPr>
      <w:r>
        <w:rPr>
          <w:rFonts w:ascii="Arial" w:hAnsi="Arial" w:eastAsia="Arial"/>
          <w:b w:val="0"/>
          <w:i w:val="0"/>
          <w:color w:val="000000"/>
          <w:sz w:val="20"/>
        </w:rPr>
        <w:t xml:space="preserve">162 </w:t>
      </w:r>
    </w:p>
    <w:p>
      <w:pPr>
        <w:sectPr>
          <w:pgSz w:w="11906" w:h="16841"/>
          <w:pgMar w:top="800" w:right="1440" w:bottom="360" w:left="1440" w:header="720" w:footer="720" w:gutter="0"/>
          <w:cols/>
          <w:docGrid w:linePitch="360"/>
        </w:sectPr>
      </w:pPr>
    </w:p>
    <w:p>
      <w:pPr>
        <w:autoSpaceDN w:val="0"/>
        <w:autoSpaceDE w:val="0"/>
        <w:widowControl/>
        <w:spacing w:line="220" w:lineRule="exact" w:before="0" w:after="784"/>
        <w:ind w:left="0" w:right="0"/>
      </w:pPr>
    </w:p>
    <w:p>
      <w:pPr>
        <w:autoSpaceDN w:val="0"/>
        <w:tabs>
          <w:tab w:pos="1044" w:val="left"/>
        </w:tabs>
        <w:autoSpaceDE w:val="0"/>
        <w:widowControl/>
        <w:spacing w:line="222" w:lineRule="exact" w:before="0" w:after="0"/>
        <w:ind w:left="358" w:right="0" w:firstLine="0"/>
        <w:jc w:val="left"/>
      </w:pPr>
      <w:r>
        <w:rPr>
          <w:rFonts w:ascii="黑体" w:hAnsi="黑体" w:eastAsia="黑体"/>
          <w:b w:val="0"/>
          <w:i w:val="0"/>
          <w:color w:val="000000"/>
          <w:sz w:val="22"/>
        </w:rPr>
        <w:t>一、</w:t>
      </w:r>
      <w:r>
        <w:tab/>
      </w:r>
      <w:r>
        <w:rPr>
          <w:rFonts w:ascii="黑体" w:hAnsi="黑体" w:eastAsia="黑体"/>
          <w:b w:val="0"/>
          <w:i w:val="0"/>
          <w:color w:val="000000"/>
          <w:sz w:val="22"/>
        </w:rPr>
        <w:t>基本情况（续）</w:t>
      </w:r>
    </w:p>
    <w:p>
      <w:pPr>
        <w:autoSpaceDN w:val="0"/>
        <w:autoSpaceDE w:val="0"/>
        <w:widowControl/>
        <w:spacing w:line="282" w:lineRule="exact" w:before="288" w:after="0"/>
        <w:ind w:left="358" w:right="350" w:firstLine="0"/>
        <w:jc w:val="both"/>
      </w:pPr>
      <w:r>
        <w:rPr>
          <w:rFonts w:ascii="黑体" w:hAnsi="黑体" w:eastAsia="黑体"/>
          <w:b w:val="0"/>
          <w:i w:val="0"/>
          <w:color w:val="000000"/>
          <w:sz w:val="22"/>
        </w:rPr>
        <w:t>经</w:t>
      </w:r>
      <w:r>
        <w:rPr>
          <w:rFonts w:ascii="Arial" w:hAnsi="Arial" w:eastAsia="Arial"/>
          <w:b w:val="0"/>
          <w:i w:val="0"/>
          <w:color w:val="000000"/>
          <w:sz w:val="22"/>
        </w:rPr>
        <w:t>2013</w:t>
      </w:r>
      <w:r>
        <w:rPr>
          <w:rFonts w:ascii="黑体" w:hAnsi="黑体" w:eastAsia="黑体"/>
          <w:b w:val="0"/>
          <w:i w:val="0"/>
          <w:color w:val="000000"/>
          <w:sz w:val="22"/>
        </w:rPr>
        <w:t>年</w:t>
      </w:r>
      <w:r>
        <w:rPr>
          <w:rFonts w:ascii="Arial" w:hAnsi="Arial" w:eastAsia="Arial"/>
          <w:b w:val="0"/>
          <w:i w:val="0"/>
          <w:color w:val="000000"/>
          <w:sz w:val="22"/>
        </w:rPr>
        <w:t>7</w:t>
      </w:r>
      <w:r>
        <w:rPr>
          <w:rFonts w:ascii="黑体" w:hAnsi="黑体" w:eastAsia="黑体"/>
          <w:b w:val="0"/>
          <w:i w:val="0"/>
          <w:color w:val="000000"/>
          <w:sz w:val="22"/>
        </w:rPr>
        <w:t>月</w:t>
      </w:r>
      <w:r>
        <w:rPr>
          <w:rFonts w:ascii="Arial" w:hAnsi="Arial" w:eastAsia="Arial"/>
          <w:b w:val="0"/>
          <w:i w:val="0"/>
          <w:color w:val="000000"/>
          <w:sz w:val="22"/>
        </w:rPr>
        <w:t>23</w:t>
      </w:r>
      <w:r>
        <w:rPr>
          <w:rFonts w:ascii="黑体" w:hAnsi="黑体" w:eastAsia="黑体"/>
          <w:b w:val="0"/>
          <w:i w:val="0"/>
          <w:color w:val="000000"/>
          <w:sz w:val="22"/>
        </w:rPr>
        <w:t>日证监会证监许可</w:t>
      </w:r>
      <w:r>
        <w:rPr>
          <w:rFonts w:ascii="Arial" w:hAnsi="Arial" w:eastAsia="Arial"/>
          <w:b w:val="0"/>
          <w:i w:val="0"/>
          <w:color w:val="000000"/>
          <w:sz w:val="22"/>
        </w:rPr>
        <w:t>[2013]964</w:t>
      </w:r>
      <w:r>
        <w:rPr>
          <w:rFonts w:ascii="黑体" w:hAnsi="黑体" w:eastAsia="黑体"/>
          <w:b w:val="0"/>
          <w:i w:val="0"/>
          <w:color w:val="000000"/>
          <w:sz w:val="22"/>
        </w:rPr>
        <w:t>号《关于核准山西证券股份有限公司现金</w:t>
      </w:r>
      <w:r>
        <w:rPr>
          <w:rFonts w:ascii="黑体" w:hAnsi="黑体" w:eastAsia="黑体"/>
          <w:b w:val="0"/>
          <w:i w:val="0"/>
          <w:color w:val="000000"/>
          <w:sz w:val="22"/>
        </w:rPr>
        <w:t>和发行股份购买资产、格林期货有限公司吸收合并大华期货有限公司的批复》核准，</w:t>
      </w:r>
      <w:r>
        <w:rPr>
          <w:rFonts w:ascii="黑体" w:hAnsi="黑体" w:eastAsia="黑体"/>
          <w:b w:val="0"/>
          <w:i w:val="0"/>
          <w:color w:val="000000"/>
          <w:sz w:val="22"/>
        </w:rPr>
        <w:t>本公司于</w:t>
      </w:r>
      <w:r>
        <w:rPr>
          <w:rFonts w:ascii="Arial" w:hAnsi="Arial" w:eastAsia="Arial"/>
          <w:b w:val="0"/>
          <w:i w:val="0"/>
          <w:color w:val="000000"/>
          <w:sz w:val="22"/>
        </w:rPr>
        <w:t>2013</w:t>
      </w:r>
      <w:r>
        <w:rPr>
          <w:rFonts w:ascii="黑体" w:hAnsi="黑体" w:eastAsia="黑体"/>
          <w:b w:val="0"/>
          <w:i w:val="0"/>
          <w:color w:val="000000"/>
          <w:sz w:val="22"/>
        </w:rPr>
        <w:t>年</w:t>
      </w:r>
      <w:r>
        <w:rPr>
          <w:rFonts w:ascii="Arial" w:hAnsi="Arial" w:eastAsia="Arial"/>
          <w:b w:val="0"/>
          <w:i w:val="0"/>
          <w:color w:val="000000"/>
          <w:sz w:val="22"/>
        </w:rPr>
        <w:t>11</w:t>
      </w:r>
      <w:r>
        <w:rPr>
          <w:rFonts w:ascii="黑体" w:hAnsi="黑体" w:eastAsia="黑体"/>
          <w:b w:val="0"/>
          <w:i w:val="0"/>
          <w:color w:val="000000"/>
          <w:sz w:val="22"/>
        </w:rPr>
        <w:t>月</w:t>
      </w:r>
      <w:r>
        <w:rPr>
          <w:rFonts w:ascii="Arial" w:hAnsi="Arial" w:eastAsia="Arial"/>
          <w:b w:val="0"/>
          <w:i w:val="0"/>
          <w:color w:val="000000"/>
          <w:sz w:val="22"/>
        </w:rPr>
        <w:t>13</w:t>
      </w:r>
      <w:r>
        <w:rPr>
          <w:rFonts w:ascii="黑体" w:hAnsi="黑体" w:eastAsia="黑体"/>
          <w:b w:val="0"/>
          <w:i w:val="0"/>
          <w:color w:val="000000"/>
          <w:sz w:val="22"/>
        </w:rPr>
        <w:t>日向格林期货有限公司（以下简称“格林期货”）原股东非公</w:t>
      </w:r>
      <w:r>
        <w:rPr>
          <w:rFonts w:ascii="黑体" w:hAnsi="黑体" w:eastAsia="黑体"/>
          <w:b w:val="0"/>
          <w:i w:val="0"/>
          <w:color w:val="000000"/>
          <w:sz w:val="22"/>
        </w:rPr>
        <w:t>开发行股份</w:t>
      </w:r>
      <w:r>
        <w:rPr>
          <w:rFonts w:ascii="Arial" w:hAnsi="Arial" w:eastAsia="Arial"/>
          <w:b w:val="0"/>
          <w:i w:val="0"/>
          <w:color w:val="000000"/>
          <w:sz w:val="22"/>
        </w:rPr>
        <w:t>118,925,153</w:t>
      </w:r>
      <w:r>
        <w:rPr>
          <w:rFonts w:ascii="黑体" w:hAnsi="黑体" w:eastAsia="黑体"/>
          <w:b w:val="0"/>
          <w:i w:val="0"/>
          <w:color w:val="000000"/>
          <w:sz w:val="22"/>
        </w:rPr>
        <w:t>股并支付人民币</w:t>
      </w:r>
      <w:r>
        <w:rPr>
          <w:rFonts w:ascii="Arial" w:hAnsi="Arial" w:eastAsia="Arial"/>
          <w:b w:val="0"/>
          <w:i w:val="0"/>
          <w:color w:val="000000"/>
          <w:sz w:val="22"/>
        </w:rPr>
        <w:t>168,161,700</w:t>
      </w:r>
      <w:r>
        <w:rPr>
          <w:rFonts w:ascii="黑体" w:hAnsi="黑体" w:eastAsia="黑体"/>
          <w:b w:val="0"/>
          <w:i w:val="0"/>
          <w:color w:val="000000"/>
          <w:sz w:val="22"/>
        </w:rPr>
        <w:t>元现金对价的方式购买格林期货</w:t>
      </w:r>
      <w:r>
        <w:rPr>
          <w:rFonts w:ascii="Arial" w:hAnsi="Arial" w:eastAsia="Arial"/>
          <w:b w:val="0"/>
          <w:i w:val="0"/>
          <w:color w:val="000000"/>
          <w:sz w:val="22"/>
        </w:rPr>
        <w:t>100%</w:t>
      </w:r>
      <w:r>
        <w:rPr>
          <w:rFonts w:ascii="黑体" w:hAnsi="黑体" w:eastAsia="黑体"/>
          <w:b w:val="0"/>
          <w:i w:val="0"/>
          <w:color w:val="000000"/>
          <w:sz w:val="22"/>
        </w:rPr>
        <w:t>股权。本次交易完成后，本公司总股本由</w:t>
      </w:r>
      <w:r>
        <w:rPr>
          <w:rFonts w:ascii="Arial" w:hAnsi="Arial" w:eastAsia="Arial"/>
          <w:b w:val="0"/>
          <w:i w:val="0"/>
          <w:color w:val="000000"/>
          <w:sz w:val="22"/>
        </w:rPr>
        <w:t>2,399,800,000</w:t>
      </w:r>
      <w:r>
        <w:rPr>
          <w:rFonts w:ascii="黑体" w:hAnsi="黑体" w:eastAsia="黑体"/>
          <w:b w:val="0"/>
          <w:i w:val="0"/>
          <w:color w:val="000000"/>
          <w:sz w:val="22"/>
        </w:rPr>
        <w:t>股增至</w:t>
      </w:r>
      <w:r>
        <w:rPr>
          <w:rFonts w:ascii="Arial" w:hAnsi="Arial" w:eastAsia="Arial"/>
          <w:b w:val="0"/>
          <w:i w:val="0"/>
          <w:color w:val="000000"/>
          <w:sz w:val="22"/>
        </w:rPr>
        <w:t>2,518,725,153</w:t>
      </w:r>
      <w:r>
        <w:rPr>
          <w:rFonts w:ascii="黑体" w:hAnsi="黑体" w:eastAsia="黑体"/>
          <w:b w:val="0"/>
          <w:i w:val="0"/>
          <w:color w:val="000000"/>
          <w:sz w:val="22"/>
        </w:rPr>
        <w:t>股。</w:t>
      </w:r>
    </w:p>
    <w:p>
      <w:pPr>
        <w:autoSpaceDN w:val="0"/>
        <w:autoSpaceDE w:val="0"/>
        <w:widowControl/>
        <w:spacing w:line="284" w:lineRule="exact" w:before="286" w:after="0"/>
        <w:ind w:left="358" w:right="348" w:firstLine="0"/>
        <w:jc w:val="both"/>
      </w:pPr>
      <w:r>
        <w:rPr>
          <w:rFonts w:ascii="黑体" w:hAnsi="黑体" w:eastAsia="黑体"/>
          <w:b w:val="0"/>
          <w:i w:val="0"/>
          <w:color w:val="000000"/>
          <w:sz w:val="22"/>
        </w:rPr>
        <w:t>经</w:t>
      </w:r>
      <w:r>
        <w:rPr>
          <w:rFonts w:ascii="Arial" w:hAnsi="Arial" w:eastAsia="Arial"/>
          <w:b w:val="0"/>
          <w:i w:val="0"/>
          <w:color w:val="000000"/>
          <w:sz w:val="22"/>
        </w:rPr>
        <w:t>2015</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11</w:t>
      </w:r>
      <w:r>
        <w:rPr>
          <w:rFonts w:ascii="黑体" w:hAnsi="黑体" w:eastAsia="黑体"/>
          <w:b w:val="0"/>
          <w:i w:val="0"/>
          <w:color w:val="000000"/>
          <w:sz w:val="22"/>
        </w:rPr>
        <w:t>日证监会证监许可</w:t>
      </w:r>
      <w:r>
        <w:rPr>
          <w:rFonts w:ascii="Arial" w:hAnsi="Arial" w:eastAsia="Arial"/>
          <w:b w:val="0"/>
          <w:i w:val="0"/>
          <w:color w:val="000000"/>
          <w:sz w:val="22"/>
        </w:rPr>
        <w:t>[2015]2873</w:t>
      </w:r>
      <w:r>
        <w:rPr>
          <w:rFonts w:ascii="黑体" w:hAnsi="黑体" w:eastAsia="黑体"/>
          <w:b w:val="0"/>
          <w:i w:val="0"/>
          <w:color w:val="000000"/>
          <w:sz w:val="22"/>
        </w:rPr>
        <w:t>号《关于核准山西证券股份有限公司非</w:t>
      </w:r>
      <w:r>
        <w:rPr>
          <w:rFonts w:ascii="黑体" w:hAnsi="黑体" w:eastAsia="黑体"/>
          <w:b w:val="0"/>
          <w:i w:val="0"/>
          <w:color w:val="000000"/>
          <w:sz w:val="22"/>
        </w:rPr>
        <w:t>公开发行股票的批复》核准，本公司于</w:t>
      </w:r>
      <w:r>
        <w:rPr>
          <w:rFonts w:ascii="Arial" w:hAnsi="Arial" w:eastAsia="Arial"/>
          <w:b w:val="0"/>
          <w:i w:val="0"/>
          <w:color w:val="000000"/>
          <w:sz w:val="22"/>
        </w:rPr>
        <w:t>2015</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25</w:t>
      </w:r>
      <w:r>
        <w:rPr>
          <w:rFonts w:ascii="黑体" w:hAnsi="黑体" w:eastAsia="黑体"/>
          <w:b w:val="0"/>
          <w:i w:val="0"/>
          <w:color w:val="000000"/>
          <w:sz w:val="22"/>
        </w:rPr>
        <w:t>日完成向境内投资者非公开发行</w:t>
      </w:r>
      <w:r>
        <w:rPr>
          <w:rFonts w:ascii="黑体" w:hAnsi="黑体" w:eastAsia="黑体"/>
          <w:b w:val="0"/>
          <w:i w:val="0"/>
          <w:color w:val="000000"/>
          <w:sz w:val="22"/>
        </w:rPr>
        <w:t>人民币普通股</w:t>
      </w:r>
      <w:r>
        <w:rPr>
          <w:rFonts w:ascii="Arial" w:hAnsi="Arial" w:eastAsia="Arial"/>
          <w:b w:val="0"/>
          <w:i w:val="0"/>
          <w:color w:val="000000"/>
          <w:sz w:val="22"/>
        </w:rPr>
        <w:t>310,000,000</w:t>
      </w:r>
      <w:r>
        <w:rPr>
          <w:rFonts w:ascii="黑体" w:hAnsi="黑体" w:eastAsia="黑体"/>
          <w:b w:val="0"/>
          <w:i w:val="0"/>
          <w:color w:val="000000"/>
          <w:sz w:val="22"/>
        </w:rPr>
        <w:t>股，并于</w:t>
      </w:r>
      <w:r>
        <w:rPr>
          <w:rFonts w:ascii="Arial" w:hAnsi="Arial" w:eastAsia="Arial"/>
          <w:b w:val="0"/>
          <w:i w:val="0"/>
          <w:color w:val="000000"/>
          <w:sz w:val="22"/>
        </w:rPr>
        <w:t>2016</w:t>
      </w:r>
      <w:r>
        <w:rPr>
          <w:rFonts w:ascii="黑体" w:hAnsi="黑体" w:eastAsia="黑体"/>
          <w:b w:val="0"/>
          <w:i w:val="0"/>
          <w:color w:val="000000"/>
          <w:sz w:val="22"/>
        </w:rPr>
        <w:t>年</w:t>
      </w:r>
      <w:r>
        <w:rPr>
          <w:rFonts w:ascii="Arial" w:hAnsi="Arial" w:eastAsia="Arial"/>
          <w:b w:val="0"/>
          <w:i w:val="0"/>
          <w:color w:val="000000"/>
          <w:sz w:val="22"/>
        </w:rPr>
        <w:t>1</w:t>
      </w:r>
      <w:r>
        <w:rPr>
          <w:rFonts w:ascii="黑体" w:hAnsi="黑体" w:eastAsia="黑体"/>
          <w:b w:val="0"/>
          <w:i w:val="0"/>
          <w:color w:val="000000"/>
          <w:sz w:val="22"/>
        </w:rPr>
        <w:t>月</w:t>
      </w:r>
      <w:r>
        <w:rPr>
          <w:rFonts w:ascii="Arial" w:hAnsi="Arial" w:eastAsia="Arial"/>
          <w:b w:val="0"/>
          <w:i w:val="0"/>
          <w:color w:val="000000"/>
          <w:sz w:val="22"/>
        </w:rPr>
        <w:t>20</w:t>
      </w:r>
      <w:r>
        <w:rPr>
          <w:rFonts w:ascii="黑体" w:hAnsi="黑体" w:eastAsia="黑体"/>
          <w:b w:val="0"/>
          <w:i w:val="0"/>
          <w:color w:val="000000"/>
          <w:sz w:val="22"/>
        </w:rPr>
        <w:t>日在深圳证券交易所挂牌。于</w:t>
      </w:r>
      <w:r>
        <w:rPr>
          <w:rFonts w:ascii="Arial" w:hAnsi="Arial" w:eastAsia="Arial"/>
          <w:b w:val="0"/>
          <w:i w:val="0"/>
          <w:color w:val="000000"/>
          <w:sz w:val="22"/>
        </w:rPr>
        <w:t>2016</w:t>
      </w:r>
      <w:r>
        <w:rPr>
          <w:rFonts w:ascii="黑体" w:hAnsi="黑体" w:eastAsia="黑体"/>
          <w:b w:val="0"/>
          <w:i w:val="0"/>
          <w:color w:val="000000"/>
          <w:sz w:val="22"/>
        </w:rPr>
        <w:t>年</w:t>
      </w:r>
      <w:r>
        <w:rPr>
          <w:rFonts w:ascii="Arial" w:hAnsi="Arial" w:eastAsia="Arial"/>
          <w:b w:val="0"/>
          <w:i w:val="0"/>
          <w:color w:val="000000"/>
          <w:sz w:val="22"/>
        </w:rPr>
        <w:t>2</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日，本公司注册资本变更至人民币</w:t>
      </w:r>
      <w:r>
        <w:rPr>
          <w:rFonts w:ascii="Arial" w:hAnsi="Arial" w:eastAsia="Arial"/>
          <w:b w:val="0"/>
          <w:i w:val="0"/>
          <w:color w:val="000000"/>
          <w:sz w:val="22"/>
        </w:rPr>
        <w:t>2,828,725,153</w:t>
      </w:r>
      <w:r>
        <w:rPr>
          <w:rFonts w:ascii="黑体" w:hAnsi="黑体" w:eastAsia="黑体"/>
          <w:b w:val="0"/>
          <w:i w:val="0"/>
          <w:color w:val="000000"/>
          <w:sz w:val="22"/>
        </w:rPr>
        <w:t>元，总股本由</w:t>
      </w:r>
      <w:r>
        <w:rPr>
          <w:rFonts w:ascii="Arial" w:hAnsi="Arial" w:eastAsia="Arial"/>
          <w:b w:val="0"/>
          <w:i w:val="0"/>
          <w:color w:val="000000"/>
          <w:sz w:val="22"/>
        </w:rPr>
        <w:t>2,518,725,153</w:t>
      </w:r>
      <w:r>
        <w:rPr>
          <w:rFonts w:ascii="黑体" w:hAnsi="黑体" w:eastAsia="黑体"/>
          <w:b w:val="0"/>
          <w:i w:val="0"/>
          <w:color w:val="000000"/>
          <w:sz w:val="22"/>
        </w:rPr>
        <w:t>股</w:t>
      </w:r>
      <w:r>
        <w:rPr>
          <w:rFonts w:ascii="黑体" w:hAnsi="黑体" w:eastAsia="黑体"/>
          <w:b w:val="0"/>
          <w:i w:val="0"/>
          <w:color w:val="000000"/>
          <w:sz w:val="22"/>
        </w:rPr>
        <w:t>增至</w:t>
      </w:r>
      <w:r>
        <w:rPr>
          <w:rFonts w:ascii="Arial" w:hAnsi="Arial" w:eastAsia="Arial"/>
          <w:b w:val="0"/>
          <w:i w:val="0"/>
          <w:color w:val="000000"/>
          <w:sz w:val="22"/>
        </w:rPr>
        <w:t>2,828,725,153</w:t>
      </w:r>
      <w:r>
        <w:rPr>
          <w:rFonts w:ascii="黑体" w:hAnsi="黑体" w:eastAsia="黑体"/>
          <w:b w:val="0"/>
          <w:i w:val="0"/>
          <w:color w:val="000000"/>
          <w:sz w:val="22"/>
        </w:rPr>
        <w:t>股。</w:t>
      </w:r>
    </w:p>
    <w:p>
      <w:pPr>
        <w:autoSpaceDN w:val="0"/>
        <w:autoSpaceDE w:val="0"/>
        <w:widowControl/>
        <w:spacing w:line="270" w:lineRule="exact" w:before="284" w:after="0"/>
        <w:ind w:left="288" w:right="288" w:firstLine="0"/>
        <w:jc w:val="center"/>
      </w:pPr>
      <w:r>
        <w:rPr>
          <w:rFonts w:ascii="黑体" w:hAnsi="黑体" w:eastAsia="黑体"/>
          <w:b w:val="0"/>
          <w:i w:val="0"/>
          <w:color w:val="000000"/>
          <w:sz w:val="22"/>
        </w:rPr>
        <w:t>根据</w:t>
      </w:r>
      <w:r>
        <w:rPr>
          <w:rFonts w:ascii="Arial" w:hAnsi="Arial" w:eastAsia="Arial"/>
          <w:b w:val="0"/>
          <w:i w:val="0"/>
          <w:color w:val="000000"/>
          <w:sz w:val="22"/>
        </w:rPr>
        <w:t>2016</w:t>
      </w:r>
      <w:r>
        <w:rPr>
          <w:rFonts w:ascii="黑体" w:hAnsi="黑体" w:eastAsia="黑体"/>
          <w:b w:val="0"/>
          <w:i w:val="0"/>
          <w:color w:val="000000"/>
          <w:sz w:val="22"/>
        </w:rPr>
        <w:t>年</w:t>
      </w:r>
      <w:r>
        <w:rPr>
          <w:rFonts w:ascii="Arial" w:hAnsi="Arial" w:eastAsia="Arial"/>
          <w:b w:val="0"/>
          <w:i w:val="0"/>
          <w:color w:val="000000"/>
          <w:sz w:val="22"/>
        </w:rPr>
        <w:t>2</w:t>
      </w:r>
      <w:r>
        <w:rPr>
          <w:rFonts w:ascii="黑体" w:hAnsi="黑体" w:eastAsia="黑体"/>
          <w:b w:val="0"/>
          <w:i w:val="0"/>
          <w:color w:val="000000"/>
          <w:sz w:val="22"/>
        </w:rPr>
        <w:t>月</w:t>
      </w:r>
      <w:r>
        <w:rPr>
          <w:rFonts w:ascii="Arial" w:hAnsi="Arial" w:eastAsia="Arial"/>
          <w:b w:val="0"/>
          <w:i w:val="0"/>
          <w:color w:val="000000"/>
          <w:sz w:val="22"/>
        </w:rPr>
        <w:t>1</w:t>
      </w:r>
      <w:r>
        <w:rPr>
          <w:rFonts w:ascii="黑体" w:hAnsi="黑体" w:eastAsia="黑体"/>
          <w:b w:val="0"/>
          <w:i w:val="0"/>
          <w:color w:val="000000"/>
          <w:sz w:val="22"/>
        </w:rPr>
        <w:t>日晋财金</w:t>
      </w:r>
      <w:r>
        <w:rPr>
          <w:rFonts w:ascii="Arial" w:hAnsi="Arial" w:eastAsia="Arial"/>
          <w:b w:val="0"/>
          <w:i w:val="0"/>
          <w:color w:val="000000"/>
          <w:sz w:val="22"/>
        </w:rPr>
        <w:t>[2016]8</w:t>
      </w:r>
      <w:r>
        <w:rPr>
          <w:rFonts w:ascii="黑体" w:hAnsi="黑体" w:eastAsia="黑体"/>
          <w:b w:val="0"/>
          <w:i w:val="0"/>
          <w:color w:val="000000"/>
          <w:sz w:val="22"/>
        </w:rPr>
        <w:t>号《山西省财政厅关于将山西国信投资集团有限公司</w:t>
      </w:r>
      <w:r>
        <w:rPr>
          <w:rFonts w:ascii="黑体" w:hAnsi="黑体" w:eastAsia="黑体"/>
          <w:b w:val="0"/>
          <w:i w:val="0"/>
          <w:color w:val="000000"/>
          <w:sz w:val="22"/>
        </w:rPr>
        <w:t>持有的山西证券股份有限公司股权无偿划转至山西金融投资控股集团有限公司的批</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复》，山西国信将其持有本公司的全部股权无偿划转至山西金融投资控股集团有限公</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司（以下简称“山西金控”）。</w:t>
      </w:r>
    </w:p>
    <w:p>
      <w:pPr>
        <w:autoSpaceDN w:val="0"/>
        <w:autoSpaceDE w:val="0"/>
        <w:widowControl/>
        <w:spacing w:line="282" w:lineRule="exact" w:before="286" w:after="0"/>
        <w:ind w:left="358" w:right="350" w:firstLine="0"/>
        <w:jc w:val="both"/>
      </w:pPr>
      <w:r>
        <w:rPr>
          <w:rFonts w:ascii="黑体" w:hAnsi="黑体" w:eastAsia="黑体"/>
          <w:b w:val="0"/>
          <w:i w:val="0"/>
          <w:color w:val="000000"/>
          <w:sz w:val="22"/>
        </w:rPr>
        <w:t>根据</w:t>
      </w:r>
      <w:r>
        <w:rPr>
          <w:rFonts w:ascii="Arial" w:hAnsi="Arial" w:eastAsia="Arial"/>
          <w:b w:val="0"/>
          <w:i w:val="0"/>
          <w:color w:val="000000"/>
          <w:sz w:val="22"/>
        </w:rPr>
        <w:t>2016</w:t>
      </w:r>
      <w:r>
        <w:rPr>
          <w:rFonts w:ascii="黑体" w:hAnsi="黑体" w:eastAsia="黑体"/>
          <w:b w:val="0"/>
          <w:i w:val="0"/>
          <w:color w:val="000000"/>
          <w:sz w:val="22"/>
        </w:rPr>
        <w:t>年</w:t>
      </w:r>
      <w:r>
        <w:rPr>
          <w:rFonts w:ascii="Arial" w:hAnsi="Arial" w:eastAsia="Arial"/>
          <w:b w:val="0"/>
          <w:i w:val="0"/>
          <w:color w:val="000000"/>
          <w:sz w:val="22"/>
        </w:rPr>
        <w:t>8</w:t>
      </w:r>
      <w:r>
        <w:rPr>
          <w:rFonts w:ascii="黑体" w:hAnsi="黑体" w:eastAsia="黑体"/>
          <w:b w:val="0"/>
          <w:i w:val="0"/>
          <w:color w:val="000000"/>
          <w:sz w:val="22"/>
        </w:rPr>
        <w:t>月</w:t>
      </w:r>
      <w:r>
        <w:rPr>
          <w:rFonts w:ascii="Arial" w:hAnsi="Arial" w:eastAsia="Arial"/>
          <w:b w:val="0"/>
          <w:i w:val="0"/>
          <w:color w:val="000000"/>
          <w:sz w:val="22"/>
        </w:rPr>
        <w:t>19</w:t>
      </w:r>
      <w:r>
        <w:rPr>
          <w:rFonts w:ascii="黑体" w:hAnsi="黑体" w:eastAsia="黑体"/>
          <w:b w:val="0"/>
          <w:i w:val="0"/>
          <w:color w:val="000000"/>
          <w:sz w:val="22"/>
        </w:rPr>
        <w:t>日证监会《关于核准山西证券股份有限公司变更</w:t>
      </w:r>
      <w:r>
        <w:rPr>
          <w:rFonts w:ascii="Arial" w:hAnsi="Arial" w:eastAsia="Arial"/>
          <w:b w:val="0"/>
          <w:i w:val="0"/>
          <w:color w:val="000000"/>
          <w:sz w:val="22"/>
        </w:rPr>
        <w:t>5%</w:t>
      </w:r>
      <w:r>
        <w:rPr>
          <w:rFonts w:ascii="黑体" w:hAnsi="黑体" w:eastAsia="黑体"/>
          <w:b w:val="0"/>
          <w:i w:val="0"/>
          <w:color w:val="000000"/>
          <w:sz w:val="22"/>
        </w:rPr>
        <w:t>以上股权股东并</w:t>
      </w:r>
      <w:r>
        <w:rPr>
          <w:rFonts w:ascii="黑体" w:hAnsi="黑体" w:eastAsia="黑体"/>
          <w:b w:val="0"/>
          <w:i w:val="0"/>
          <w:color w:val="000000"/>
          <w:sz w:val="22"/>
        </w:rPr>
        <w:t>豁免山西金融投资控股集团有限公司要约收购山西证券股份有限公司股份义务的批</w:t>
      </w:r>
      <w:r>
        <w:rPr>
          <w:rFonts w:ascii="黑体" w:hAnsi="黑体" w:eastAsia="黑体"/>
          <w:b w:val="0"/>
          <w:i w:val="0"/>
          <w:color w:val="000000"/>
          <w:sz w:val="22"/>
        </w:rPr>
        <w:t>复》（证监许可</w:t>
      </w:r>
      <w:r>
        <w:rPr>
          <w:rFonts w:ascii="Arial" w:hAnsi="Arial" w:eastAsia="Arial"/>
          <w:b w:val="0"/>
          <w:i w:val="0"/>
          <w:color w:val="000000"/>
          <w:sz w:val="22"/>
        </w:rPr>
        <w:t>[2016]1765</w:t>
      </w:r>
      <w:r>
        <w:rPr>
          <w:rFonts w:ascii="黑体" w:hAnsi="黑体" w:eastAsia="黑体"/>
          <w:b w:val="0"/>
          <w:i w:val="0"/>
          <w:color w:val="000000"/>
          <w:sz w:val="22"/>
        </w:rPr>
        <w:t>号），核准山西金控持有山西证券</w:t>
      </w:r>
      <w:r>
        <w:rPr>
          <w:rFonts w:ascii="Arial" w:hAnsi="Arial" w:eastAsia="Arial"/>
          <w:b w:val="0"/>
          <w:i w:val="0"/>
          <w:color w:val="000000"/>
          <w:sz w:val="22"/>
        </w:rPr>
        <w:t>5%</w:t>
      </w:r>
      <w:r>
        <w:rPr>
          <w:rFonts w:ascii="黑体" w:hAnsi="黑体" w:eastAsia="黑体"/>
          <w:b w:val="0"/>
          <w:i w:val="0"/>
          <w:color w:val="000000"/>
          <w:sz w:val="22"/>
        </w:rPr>
        <w:t>以上股权的股东资格</w:t>
      </w:r>
      <w:r>
        <w:rPr>
          <w:rFonts w:ascii="黑体" w:hAnsi="黑体" w:eastAsia="黑体"/>
          <w:b w:val="0"/>
          <w:i w:val="0"/>
          <w:color w:val="000000"/>
          <w:sz w:val="22"/>
        </w:rPr>
        <w:t>并豁免山西金控因国有资产无偿划转而增持山西证券股份（约占山西证券总股本</w:t>
      </w:r>
      <w:r>
        <w:rPr>
          <w:rFonts w:ascii="Arial" w:hAnsi="Arial" w:eastAsia="Arial"/>
          <w:b w:val="0"/>
          <w:i w:val="0"/>
          <w:color w:val="000000"/>
          <w:sz w:val="22"/>
        </w:rPr>
        <w:t>30.84%</w:t>
      </w:r>
      <w:r>
        <w:rPr>
          <w:rFonts w:ascii="黑体" w:hAnsi="黑体" w:eastAsia="黑体"/>
          <w:b w:val="0"/>
          <w:i w:val="0"/>
          <w:color w:val="000000"/>
          <w:sz w:val="22"/>
        </w:rPr>
        <w:t>）而应履行的要约收购义务。本公司于</w:t>
      </w:r>
      <w:r>
        <w:rPr>
          <w:rFonts w:ascii="Arial" w:hAnsi="Arial" w:eastAsia="Arial"/>
          <w:b w:val="0"/>
          <w:i w:val="0"/>
          <w:color w:val="000000"/>
          <w:sz w:val="22"/>
        </w:rPr>
        <w:t>2016</w:t>
      </w:r>
      <w:r>
        <w:rPr>
          <w:rFonts w:ascii="黑体" w:hAnsi="黑体" w:eastAsia="黑体"/>
          <w:b w:val="0"/>
          <w:i w:val="0"/>
          <w:color w:val="000000"/>
          <w:sz w:val="22"/>
        </w:rPr>
        <w:t>年</w:t>
      </w:r>
      <w:r>
        <w:rPr>
          <w:rFonts w:ascii="Arial" w:hAnsi="Arial" w:eastAsia="Arial"/>
          <w:b w:val="0"/>
          <w:i w:val="0"/>
          <w:color w:val="000000"/>
          <w:sz w:val="22"/>
        </w:rPr>
        <w:t>9</w:t>
      </w:r>
      <w:r>
        <w:rPr>
          <w:rFonts w:ascii="黑体" w:hAnsi="黑体" w:eastAsia="黑体"/>
          <w:b w:val="0"/>
          <w:i w:val="0"/>
          <w:color w:val="000000"/>
          <w:sz w:val="22"/>
        </w:rPr>
        <w:t>月</w:t>
      </w:r>
      <w:r>
        <w:rPr>
          <w:rFonts w:ascii="Arial" w:hAnsi="Arial" w:eastAsia="Arial"/>
          <w:b w:val="0"/>
          <w:i w:val="0"/>
          <w:color w:val="000000"/>
          <w:sz w:val="22"/>
        </w:rPr>
        <w:t>2</w:t>
      </w:r>
      <w:r>
        <w:rPr>
          <w:rFonts w:ascii="黑体" w:hAnsi="黑体" w:eastAsia="黑体"/>
          <w:b w:val="0"/>
          <w:i w:val="0"/>
          <w:color w:val="000000"/>
          <w:sz w:val="22"/>
        </w:rPr>
        <w:t>日完成划转手续。本公司的</w:t>
      </w:r>
      <w:r>
        <w:rPr>
          <w:rFonts w:ascii="黑体" w:hAnsi="黑体" w:eastAsia="黑体"/>
          <w:b w:val="0"/>
          <w:i w:val="0"/>
          <w:color w:val="000000"/>
          <w:sz w:val="22"/>
        </w:rPr>
        <w:t>控股股东变更为山西金控，最终控制方仍为山西省财政厅。</w:t>
      </w:r>
    </w:p>
    <w:p>
      <w:pPr>
        <w:autoSpaceDN w:val="0"/>
        <w:autoSpaceDE w:val="0"/>
        <w:widowControl/>
        <w:spacing w:line="286" w:lineRule="exact" w:before="284" w:after="0"/>
        <w:ind w:left="358" w:right="350" w:firstLine="0"/>
        <w:jc w:val="both"/>
      </w:pPr>
      <w:r>
        <w:rPr>
          <w:rFonts w:ascii="黑体" w:hAnsi="黑体" w:eastAsia="黑体"/>
          <w:b w:val="0"/>
          <w:i w:val="0"/>
          <w:color w:val="000000"/>
          <w:sz w:val="22"/>
        </w:rPr>
        <w:t>经</w:t>
      </w:r>
      <w:r>
        <w:rPr>
          <w:rFonts w:ascii="Arial" w:hAnsi="Arial" w:eastAsia="Arial"/>
          <w:b w:val="0"/>
          <w:i w:val="0"/>
          <w:color w:val="000000"/>
          <w:sz w:val="22"/>
        </w:rPr>
        <w:t>2020</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29</w:t>
      </w:r>
      <w:r>
        <w:rPr>
          <w:rFonts w:ascii="黑体" w:hAnsi="黑体" w:eastAsia="黑体"/>
          <w:b w:val="0"/>
          <w:i w:val="0"/>
          <w:color w:val="000000"/>
          <w:sz w:val="22"/>
        </w:rPr>
        <w:t>日证监会证监许可</w:t>
      </w:r>
      <w:r>
        <w:rPr>
          <w:rFonts w:ascii="Arial" w:hAnsi="Arial" w:eastAsia="Arial"/>
          <w:b w:val="0"/>
          <w:i w:val="0"/>
          <w:color w:val="000000"/>
          <w:sz w:val="22"/>
        </w:rPr>
        <w:t>[2020]722</w:t>
      </w:r>
      <w:r>
        <w:rPr>
          <w:rFonts w:ascii="黑体" w:hAnsi="黑体" w:eastAsia="黑体"/>
          <w:b w:val="0"/>
          <w:i w:val="0"/>
          <w:color w:val="000000"/>
          <w:sz w:val="22"/>
        </w:rPr>
        <w:t>号《关于核准山西证券股份有限公司配股</w:t>
      </w:r>
      <w:r>
        <w:rPr>
          <w:rFonts w:ascii="黑体" w:hAnsi="黑体" w:eastAsia="黑体"/>
          <w:b w:val="0"/>
          <w:i w:val="0"/>
          <w:color w:val="000000"/>
          <w:sz w:val="22"/>
        </w:rPr>
        <w:t>的批复》核准，本公司于</w:t>
      </w:r>
      <w:r>
        <w:rPr>
          <w:rFonts w:ascii="Arial" w:hAnsi="Arial" w:eastAsia="Arial"/>
          <w:b w:val="0"/>
          <w:i w:val="0"/>
          <w:color w:val="000000"/>
          <w:sz w:val="22"/>
        </w:rPr>
        <w:t>2020</w:t>
      </w:r>
      <w:r>
        <w:rPr>
          <w:rFonts w:ascii="黑体" w:hAnsi="黑体" w:eastAsia="黑体"/>
          <w:b w:val="0"/>
          <w:i w:val="0"/>
          <w:color w:val="000000"/>
          <w:sz w:val="22"/>
        </w:rPr>
        <w:t xml:space="preserve"> 年</w:t>
      </w:r>
      <w:r>
        <w:rPr>
          <w:rFonts w:ascii="Arial" w:hAnsi="Arial" w:eastAsia="Arial"/>
          <w:b w:val="0"/>
          <w:i w:val="0"/>
          <w:color w:val="000000"/>
          <w:sz w:val="22"/>
        </w:rPr>
        <w:t>6</w:t>
      </w:r>
      <w:r>
        <w:rPr>
          <w:rFonts w:ascii="黑体" w:hAnsi="黑体" w:eastAsia="黑体"/>
          <w:b w:val="0"/>
          <w:i w:val="0"/>
          <w:color w:val="000000"/>
          <w:sz w:val="22"/>
        </w:rPr>
        <w:t xml:space="preserve"> 月</w:t>
      </w:r>
      <w:r>
        <w:rPr>
          <w:rFonts w:ascii="Arial" w:hAnsi="Arial" w:eastAsia="Arial"/>
          <w:b w:val="0"/>
          <w:i w:val="0"/>
          <w:color w:val="000000"/>
          <w:sz w:val="22"/>
        </w:rPr>
        <w:t>29</w:t>
      </w:r>
      <w:r>
        <w:rPr>
          <w:rFonts w:ascii="黑体" w:hAnsi="黑体" w:eastAsia="黑体"/>
          <w:b w:val="0"/>
          <w:i w:val="0"/>
          <w:color w:val="000000"/>
          <w:sz w:val="22"/>
        </w:rPr>
        <w:t xml:space="preserve"> 日完成向全体股东配售人民币普通股</w:t>
      </w:r>
      <w:r>
        <w:rPr>
          <w:rFonts w:ascii="Arial" w:hAnsi="Arial" w:eastAsia="Arial"/>
          <w:b w:val="0"/>
          <w:i w:val="0"/>
          <w:color w:val="000000"/>
          <w:sz w:val="22"/>
        </w:rPr>
        <w:t>761,046,394</w:t>
      </w:r>
      <w:r>
        <w:rPr>
          <w:rFonts w:ascii="黑体" w:hAnsi="黑体" w:eastAsia="黑体"/>
          <w:b w:val="0"/>
          <w:i w:val="0"/>
          <w:color w:val="000000"/>
          <w:sz w:val="22"/>
        </w:rPr>
        <w:t>股，并于</w:t>
      </w:r>
      <w:r>
        <w:rPr>
          <w:rFonts w:ascii="Arial" w:hAnsi="Arial" w:eastAsia="Arial"/>
          <w:b w:val="0"/>
          <w:i w:val="0"/>
          <w:color w:val="000000"/>
          <w:sz w:val="22"/>
        </w:rPr>
        <w:t>2020</w:t>
      </w:r>
      <w:r>
        <w:rPr>
          <w:rFonts w:ascii="黑体" w:hAnsi="黑体" w:eastAsia="黑体"/>
          <w:b w:val="0"/>
          <w:i w:val="0"/>
          <w:color w:val="000000"/>
          <w:sz w:val="22"/>
        </w:rPr>
        <w:t>年</w:t>
      </w:r>
      <w:r>
        <w:rPr>
          <w:rFonts w:ascii="Arial" w:hAnsi="Arial" w:eastAsia="Arial"/>
          <w:b w:val="0"/>
          <w:i w:val="0"/>
          <w:color w:val="000000"/>
          <w:sz w:val="22"/>
        </w:rPr>
        <w:t>7</w:t>
      </w:r>
      <w:r>
        <w:rPr>
          <w:rFonts w:ascii="黑体" w:hAnsi="黑体" w:eastAsia="黑体"/>
          <w:b w:val="0"/>
          <w:i w:val="0"/>
          <w:color w:val="000000"/>
          <w:sz w:val="22"/>
        </w:rPr>
        <w:t>月</w:t>
      </w:r>
      <w:r>
        <w:rPr>
          <w:rFonts w:ascii="Arial" w:hAnsi="Arial" w:eastAsia="Arial"/>
          <w:b w:val="0"/>
          <w:i w:val="0"/>
          <w:color w:val="000000"/>
          <w:sz w:val="22"/>
        </w:rPr>
        <w:t>10</w:t>
      </w:r>
      <w:r>
        <w:rPr>
          <w:rFonts w:ascii="黑体" w:hAnsi="黑体" w:eastAsia="黑体"/>
          <w:b w:val="0"/>
          <w:i w:val="0"/>
          <w:color w:val="000000"/>
          <w:sz w:val="22"/>
        </w:rPr>
        <w:t>日起在深圳证券交易所上市。本次配股完成后，本</w:t>
      </w:r>
      <w:r>
        <w:rPr>
          <w:rFonts w:ascii="黑体" w:hAnsi="黑体" w:eastAsia="黑体"/>
          <w:b w:val="0"/>
          <w:i w:val="0"/>
          <w:color w:val="000000"/>
          <w:sz w:val="22"/>
        </w:rPr>
        <w:t>公司注册资本变更至人民币</w:t>
      </w:r>
      <w:r>
        <w:rPr>
          <w:rFonts w:ascii="Arial" w:hAnsi="Arial" w:eastAsia="Arial"/>
          <w:b w:val="0"/>
          <w:i w:val="0"/>
          <w:color w:val="000000"/>
          <w:sz w:val="22"/>
        </w:rPr>
        <w:t>3,589,771,547</w:t>
      </w:r>
      <w:r>
        <w:rPr>
          <w:rFonts w:ascii="黑体" w:hAnsi="黑体" w:eastAsia="黑体"/>
          <w:b w:val="0"/>
          <w:i w:val="0"/>
          <w:color w:val="000000"/>
          <w:sz w:val="22"/>
        </w:rPr>
        <w:t xml:space="preserve"> 元，总股本由</w:t>
      </w:r>
      <w:r>
        <w:rPr>
          <w:rFonts w:ascii="Arial" w:hAnsi="Arial" w:eastAsia="Arial"/>
          <w:b w:val="0"/>
          <w:i w:val="0"/>
          <w:color w:val="000000"/>
          <w:sz w:val="22"/>
        </w:rPr>
        <w:t>2,828,725,153</w:t>
      </w:r>
      <w:r>
        <w:rPr>
          <w:rFonts w:ascii="黑体" w:hAnsi="黑体" w:eastAsia="黑体"/>
          <w:b w:val="0"/>
          <w:i w:val="0"/>
          <w:color w:val="000000"/>
          <w:sz w:val="22"/>
        </w:rPr>
        <w:t xml:space="preserve"> 股增至</w:t>
      </w:r>
      <w:r>
        <w:rPr>
          <w:rFonts w:ascii="Arial" w:hAnsi="Arial" w:eastAsia="Arial"/>
          <w:b w:val="0"/>
          <w:i w:val="0"/>
          <w:color w:val="000000"/>
          <w:sz w:val="22"/>
        </w:rPr>
        <w:t>3,589,771,547</w:t>
      </w:r>
      <w:r>
        <w:rPr>
          <w:rFonts w:ascii="黑体" w:hAnsi="黑体" w:eastAsia="黑体"/>
          <w:b w:val="0"/>
          <w:i w:val="0"/>
          <w:color w:val="000000"/>
          <w:sz w:val="22"/>
        </w:rPr>
        <w:t>股。</w:t>
      </w:r>
    </w:p>
    <w:p>
      <w:pPr>
        <w:autoSpaceDN w:val="0"/>
        <w:autoSpaceDE w:val="0"/>
        <w:widowControl/>
        <w:spacing w:line="278" w:lineRule="exact" w:before="276" w:after="0"/>
        <w:ind w:left="358" w:right="352" w:firstLine="0"/>
        <w:jc w:val="both"/>
      </w:pPr>
      <w:r>
        <w:rPr>
          <w:rFonts w:ascii="黑体" w:hAnsi="黑体" w:eastAsia="黑体"/>
          <w:b w:val="0"/>
          <w:i w:val="0"/>
          <w:color w:val="000000"/>
          <w:sz w:val="22"/>
        </w:rPr>
        <w:t>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日止，本公司在山西、北京、上海、深圳、西安、宁波、重庆、济</w:t>
      </w:r>
      <w:r>
        <w:rPr>
          <w:rFonts w:ascii="黑体" w:hAnsi="黑体" w:eastAsia="黑体"/>
          <w:b w:val="0"/>
          <w:i w:val="0"/>
          <w:color w:val="000000"/>
          <w:sz w:val="22"/>
        </w:rPr>
        <w:t>南等地共设立</w:t>
      </w:r>
      <w:r>
        <w:rPr>
          <w:rFonts w:ascii="Arial" w:hAnsi="Arial" w:eastAsia="Arial"/>
          <w:b w:val="0"/>
          <w:i w:val="0"/>
          <w:color w:val="000000"/>
          <w:sz w:val="22"/>
        </w:rPr>
        <w:t>101</w:t>
      </w:r>
      <w:r>
        <w:rPr>
          <w:rFonts w:ascii="黑体" w:hAnsi="黑体" w:eastAsia="黑体"/>
          <w:b w:val="0"/>
          <w:i w:val="0"/>
          <w:color w:val="000000"/>
          <w:sz w:val="22"/>
        </w:rPr>
        <w:t>家证券营业部（</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104</w:t>
      </w:r>
      <w:r>
        <w:rPr>
          <w:rFonts w:ascii="黑体" w:hAnsi="黑体" w:eastAsia="黑体"/>
          <w:b w:val="0"/>
          <w:i w:val="0"/>
          <w:color w:val="000000"/>
          <w:sz w:val="22"/>
        </w:rPr>
        <w:t>家）。本公司子公司的相关信</w:t>
      </w:r>
      <w:r>
        <w:rPr>
          <w:rFonts w:ascii="黑体" w:hAnsi="黑体" w:eastAsia="黑体"/>
          <w:b w:val="0"/>
          <w:i w:val="0"/>
          <w:color w:val="000000"/>
          <w:sz w:val="22"/>
        </w:rPr>
        <w:t>息参见附注七。</w:t>
      </w:r>
    </w:p>
    <w:p>
      <w:pPr>
        <w:autoSpaceDN w:val="0"/>
        <w:autoSpaceDE w:val="0"/>
        <w:widowControl/>
        <w:spacing w:line="220" w:lineRule="exact" w:before="318" w:after="0"/>
        <w:ind w:left="0" w:right="0" w:firstLine="0"/>
        <w:jc w:val="center"/>
      </w:pPr>
      <w:r>
        <w:rPr>
          <w:rFonts w:ascii="黑体" w:hAnsi="黑体" w:eastAsia="黑体"/>
          <w:b w:val="0"/>
          <w:i w:val="0"/>
          <w:color w:val="000000"/>
          <w:sz w:val="22"/>
        </w:rPr>
        <w:t>本公司及子公司（以下简称“本集团”）目前主要经营的业务包括证券经纪业务、融</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资融券业务、证券自营业务、证券承销业务、证券投资咨询、与证券交易、证券投资</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活动有关的财务顾问、证券投资基金代销、为期货公司提供中间介绍业务、代销金融</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产品、受托资产管理业务、公开募集证券投资基金管理业务、商品期货经纪业务、金</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融期货经纪业务、期货投资咨询及投资与资产管理业务、大宗商品购买和转售、期货</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套利和套期保值服务等。</w:t>
      </w:r>
    </w:p>
    <w:p>
      <w:pPr>
        <w:autoSpaceDN w:val="0"/>
        <w:autoSpaceDE w:val="0"/>
        <w:widowControl/>
        <w:spacing w:line="233" w:lineRule="auto" w:before="1820" w:after="0"/>
        <w:ind w:left="0" w:right="0" w:firstLine="0"/>
        <w:jc w:val="center"/>
      </w:pPr>
      <w:r>
        <w:rPr>
          <w:rFonts w:ascii="Arial" w:hAnsi="Arial" w:eastAsia="Arial"/>
          <w:b w:val="0"/>
          <w:i w:val="0"/>
          <w:color w:val="000000"/>
          <w:sz w:val="20"/>
        </w:rPr>
        <w:t xml:space="preserve">163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tabs>
          <w:tab w:pos="1044" w:val="left"/>
        </w:tabs>
        <w:autoSpaceDE w:val="0"/>
        <w:widowControl/>
        <w:spacing w:line="222" w:lineRule="exact" w:before="0" w:after="0"/>
        <w:ind w:left="358" w:right="0" w:firstLine="0"/>
        <w:jc w:val="left"/>
      </w:pPr>
      <w:r>
        <w:rPr>
          <w:rFonts w:ascii="黑体" w:hAnsi="黑体" w:eastAsia="黑体"/>
          <w:b w:val="0"/>
          <w:i w:val="0"/>
          <w:color w:val="000000"/>
          <w:sz w:val="22"/>
        </w:rPr>
        <w:t>二、</w:t>
      </w:r>
      <w:r>
        <w:tab/>
      </w:r>
      <w:r>
        <w:rPr>
          <w:rFonts w:ascii="黑体" w:hAnsi="黑体" w:eastAsia="黑体"/>
          <w:b w:val="0"/>
          <w:i w:val="0"/>
          <w:color w:val="000000"/>
          <w:sz w:val="22"/>
        </w:rPr>
        <w:t>财务报表的编制基础</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本财务报表按照中华人民共和国财政部（以下简称“财政部”）颁布的《企业会计准则</w:t>
      </w:r>
    </w:p>
    <w:p>
      <w:pPr>
        <w:autoSpaceDN w:val="0"/>
        <w:autoSpaceDE w:val="0"/>
        <w:widowControl/>
        <w:spacing w:line="240" w:lineRule="exact" w:before="62" w:after="0"/>
        <w:ind w:left="0" w:right="0" w:firstLine="0"/>
        <w:jc w:val="center"/>
      </w:pPr>
      <w:r>
        <w:rPr>
          <w:rFonts w:ascii="Calibri" w:hAnsi="Calibri" w:eastAsia="Calibri"/>
          <w:b w:val="0"/>
          <w:i w:val="0"/>
          <w:color w:val="000000"/>
          <w:sz w:val="22"/>
        </w:rPr>
        <w:t>——</w:t>
      </w:r>
      <w:r>
        <w:rPr>
          <w:rFonts w:ascii="黑体" w:hAnsi="黑体" w:eastAsia="黑体"/>
          <w:b w:val="0"/>
          <w:i w:val="0"/>
          <w:color w:val="000000"/>
          <w:sz w:val="22"/>
        </w:rPr>
        <w:t>基本准则》以及其后颁布及修订的具体会计准则、解释以及其他相关规定（统称</w:t>
      </w:r>
    </w:p>
    <w:p>
      <w:pPr>
        <w:autoSpaceDN w:val="0"/>
        <w:autoSpaceDE w:val="0"/>
        <w:widowControl/>
        <w:spacing w:line="220" w:lineRule="exact" w:before="46" w:after="0"/>
        <w:ind w:left="0" w:right="0" w:firstLine="0"/>
        <w:jc w:val="center"/>
      </w:pPr>
      <w:r>
        <w:rPr>
          <w:rFonts w:ascii="黑体" w:hAnsi="黑体" w:eastAsia="黑体"/>
          <w:b w:val="0"/>
          <w:i w:val="0"/>
          <w:color w:val="000000"/>
          <w:sz w:val="22"/>
        </w:rPr>
        <w:t>“企业会计准则”）、以及中国证券监督管理委员会（以下简称“证监会”）《公开发行</w:t>
      </w:r>
    </w:p>
    <w:p>
      <w:pPr>
        <w:autoSpaceDN w:val="0"/>
        <w:autoSpaceDE w:val="0"/>
        <w:widowControl/>
        <w:spacing w:line="240" w:lineRule="exact" w:before="66" w:after="0"/>
        <w:ind w:left="358" w:right="0" w:firstLine="0"/>
        <w:jc w:val="left"/>
      </w:pPr>
      <w:r>
        <w:rPr>
          <w:rFonts w:ascii="黑体" w:hAnsi="黑体" w:eastAsia="黑体"/>
          <w:b w:val="0"/>
          <w:i w:val="0"/>
          <w:color w:val="000000"/>
          <w:sz w:val="22"/>
        </w:rPr>
        <w:t>证券的公司信息披露编报规则第</w:t>
      </w:r>
      <w:r>
        <w:rPr>
          <w:rFonts w:ascii="Calibri" w:hAnsi="Calibri" w:eastAsia="Calibri"/>
          <w:b w:val="0"/>
          <w:i w:val="0"/>
          <w:color w:val="000000"/>
          <w:sz w:val="22"/>
        </w:rPr>
        <w:t>15</w:t>
      </w:r>
      <w:r>
        <w:rPr>
          <w:rFonts w:ascii="黑体" w:hAnsi="黑体" w:eastAsia="黑体"/>
          <w:b w:val="0"/>
          <w:i w:val="0"/>
          <w:color w:val="000000"/>
          <w:sz w:val="22"/>
        </w:rPr>
        <w:t>号——财务报告的一般规定》的披露规定编制。</w:t>
      </w:r>
    </w:p>
    <w:p>
      <w:pPr>
        <w:autoSpaceDN w:val="0"/>
        <w:autoSpaceDE w:val="0"/>
        <w:widowControl/>
        <w:spacing w:line="220" w:lineRule="exact" w:before="314" w:after="0"/>
        <w:ind w:left="358" w:right="0" w:firstLine="0"/>
        <w:jc w:val="left"/>
      </w:pPr>
      <w:r>
        <w:rPr>
          <w:rFonts w:ascii="黑体" w:hAnsi="黑体" w:eastAsia="黑体"/>
          <w:b w:val="0"/>
          <w:i w:val="0"/>
          <w:color w:val="000000"/>
          <w:sz w:val="22"/>
        </w:rPr>
        <w:t>本财务报表以持续经营为基础列报。</w:t>
      </w:r>
    </w:p>
    <w:p>
      <w:pPr>
        <w:autoSpaceDN w:val="0"/>
        <w:tabs>
          <w:tab w:pos="1044" w:val="left"/>
        </w:tabs>
        <w:autoSpaceDE w:val="0"/>
        <w:widowControl/>
        <w:spacing w:line="222" w:lineRule="exact" w:before="334" w:after="0"/>
        <w:ind w:left="358" w:right="0" w:firstLine="0"/>
        <w:jc w:val="left"/>
      </w:pPr>
      <w:r>
        <w:rPr>
          <w:rFonts w:ascii="黑体" w:hAnsi="黑体" w:eastAsia="黑体"/>
          <w:b w:val="0"/>
          <w:i w:val="0"/>
          <w:color w:val="000000"/>
          <w:sz w:val="22"/>
        </w:rPr>
        <w:t>三、</w:t>
      </w:r>
      <w:r>
        <w:tab/>
      </w:r>
      <w:r>
        <w:rPr>
          <w:rFonts w:ascii="黑体" w:hAnsi="黑体" w:eastAsia="黑体"/>
          <w:b w:val="0"/>
          <w:i w:val="0"/>
          <w:color w:val="000000"/>
          <w:sz w:val="22"/>
        </w:rPr>
        <w:t>重要会计政策及会计估计</w:t>
      </w:r>
    </w:p>
    <w:p>
      <w:pPr>
        <w:autoSpaceDN w:val="0"/>
        <w:tabs>
          <w:tab w:pos="1044"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1. </w:t>
      </w:r>
      <w:r>
        <w:tab/>
      </w:r>
      <w:r>
        <w:rPr>
          <w:rFonts w:ascii="黑体" w:hAnsi="黑体" w:eastAsia="黑体"/>
          <w:b w:val="0"/>
          <w:i w:val="0"/>
          <w:color w:val="000000"/>
          <w:sz w:val="22"/>
        </w:rPr>
        <w:t>遵循企业会计准则的声明</w:t>
      </w:r>
    </w:p>
    <w:p>
      <w:pPr>
        <w:autoSpaceDN w:val="0"/>
        <w:autoSpaceDE w:val="0"/>
        <w:widowControl/>
        <w:spacing w:line="240" w:lineRule="exact" w:before="316" w:after="0"/>
        <w:ind w:left="0" w:right="0" w:firstLine="0"/>
        <w:jc w:val="center"/>
      </w:pPr>
      <w:r>
        <w:rPr>
          <w:rFonts w:ascii="黑体" w:hAnsi="黑体" w:eastAsia="黑体"/>
          <w:b w:val="0"/>
          <w:i w:val="0"/>
          <w:color w:val="000000"/>
          <w:sz w:val="22"/>
        </w:rPr>
        <w:t>本财务报表符合企业会计准则的要求，真实、完整地反映了本公司及本集团于</w:t>
      </w:r>
      <w:r>
        <w:rPr>
          <w:rFonts w:ascii="Calibri" w:hAnsi="Calibri" w:eastAsia="Calibri"/>
          <w:b w:val="0"/>
          <w:i w:val="0"/>
          <w:color w:val="000000"/>
          <w:sz w:val="22"/>
        </w:rPr>
        <w:t>2024</w:t>
      </w:r>
      <w:r>
        <w:rPr>
          <w:rFonts w:ascii="黑体" w:hAnsi="黑体" w:eastAsia="黑体"/>
          <w:b w:val="0"/>
          <w:i w:val="0"/>
          <w:color w:val="000000"/>
          <w:sz w:val="22"/>
        </w:rPr>
        <w:t>年</w:t>
      </w:r>
    </w:p>
    <w:p>
      <w:pPr>
        <w:autoSpaceDN w:val="0"/>
        <w:autoSpaceDE w:val="0"/>
        <w:widowControl/>
        <w:spacing w:line="240" w:lineRule="exact" w:before="44" w:after="0"/>
        <w:ind w:left="358" w:right="0" w:firstLine="0"/>
        <w:jc w:val="left"/>
      </w:pP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日的财务状况以及</w:t>
      </w:r>
      <w:r>
        <w:rPr>
          <w:rFonts w:ascii="Calibri" w:hAnsi="Calibri" w:eastAsia="Calibri"/>
          <w:b w:val="0"/>
          <w:i w:val="0"/>
          <w:color w:val="000000"/>
          <w:sz w:val="22"/>
        </w:rPr>
        <w:t>2024</w:t>
      </w:r>
      <w:r>
        <w:rPr>
          <w:rFonts w:ascii="黑体" w:hAnsi="黑体" w:eastAsia="黑体"/>
          <w:b w:val="0"/>
          <w:i w:val="0"/>
          <w:color w:val="000000"/>
          <w:sz w:val="22"/>
        </w:rPr>
        <w:t>年度的经营成果和现金流量。</w:t>
      </w:r>
    </w:p>
    <w:p>
      <w:pPr>
        <w:autoSpaceDN w:val="0"/>
        <w:tabs>
          <w:tab w:pos="1044" w:val="left"/>
        </w:tabs>
        <w:autoSpaceDE w:val="0"/>
        <w:widowControl/>
        <w:spacing w:line="246" w:lineRule="exact" w:before="306" w:after="0"/>
        <w:ind w:left="358" w:right="0" w:firstLine="0"/>
        <w:jc w:val="left"/>
      </w:pPr>
      <w:r>
        <w:rPr>
          <w:rFonts w:ascii="Arial,Bold" w:hAnsi="Arial,Bold" w:eastAsia="Arial,Bold"/>
          <w:b/>
          <w:i w:val="0"/>
          <w:color w:val="000000"/>
          <w:sz w:val="22"/>
        </w:rPr>
        <w:t xml:space="preserve">2. </w:t>
      </w:r>
      <w:r>
        <w:tab/>
      </w:r>
      <w:r>
        <w:rPr>
          <w:rFonts w:ascii="黑体" w:hAnsi="黑体" w:eastAsia="黑体"/>
          <w:b w:val="0"/>
          <w:i w:val="0"/>
          <w:color w:val="000000"/>
          <w:sz w:val="22"/>
        </w:rPr>
        <w:t>会计期间</w:t>
      </w:r>
    </w:p>
    <w:p>
      <w:pPr>
        <w:autoSpaceDN w:val="0"/>
        <w:autoSpaceDE w:val="0"/>
        <w:widowControl/>
        <w:spacing w:line="240" w:lineRule="exact" w:before="318" w:after="0"/>
        <w:ind w:left="358" w:right="0" w:firstLine="0"/>
        <w:jc w:val="left"/>
      </w:pPr>
      <w:r>
        <w:rPr>
          <w:rFonts w:ascii="黑体" w:hAnsi="黑体" w:eastAsia="黑体"/>
          <w:b w:val="0"/>
          <w:i w:val="0"/>
          <w:color w:val="000000"/>
          <w:sz w:val="22"/>
        </w:rPr>
        <w:t>本集团会计年度采用公历年度，即每年自</w:t>
      </w:r>
      <w:r>
        <w:rPr>
          <w:rFonts w:ascii="Calibri" w:hAnsi="Calibri" w:eastAsia="Calibri"/>
          <w:b w:val="0"/>
          <w:i w:val="0"/>
          <w:color w:val="000000"/>
          <w:sz w:val="22"/>
        </w:rPr>
        <w:t>1</w:t>
      </w:r>
      <w:r>
        <w:rPr>
          <w:rFonts w:ascii="黑体" w:hAnsi="黑体" w:eastAsia="黑体"/>
          <w:b w:val="0"/>
          <w:i w:val="0"/>
          <w:color w:val="000000"/>
          <w:sz w:val="22"/>
        </w:rPr>
        <w:t>月</w:t>
      </w:r>
      <w:r>
        <w:rPr>
          <w:rFonts w:ascii="Calibri" w:hAnsi="Calibri" w:eastAsia="Calibri"/>
          <w:b w:val="0"/>
          <w:i w:val="0"/>
          <w:color w:val="000000"/>
          <w:sz w:val="22"/>
        </w:rPr>
        <w:t>1</w:t>
      </w:r>
      <w:r>
        <w:rPr>
          <w:rFonts w:ascii="黑体" w:hAnsi="黑体" w:eastAsia="黑体"/>
          <w:b w:val="0"/>
          <w:i w:val="0"/>
          <w:color w:val="000000"/>
          <w:sz w:val="22"/>
        </w:rPr>
        <w:t>日起至</w:t>
      </w: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日止。</w:t>
      </w:r>
    </w:p>
    <w:p>
      <w:pPr>
        <w:autoSpaceDN w:val="0"/>
        <w:tabs>
          <w:tab w:pos="1044" w:val="left"/>
        </w:tabs>
        <w:autoSpaceDE w:val="0"/>
        <w:widowControl/>
        <w:spacing w:line="246" w:lineRule="exact" w:before="304" w:after="0"/>
        <w:ind w:left="358" w:right="0" w:firstLine="0"/>
        <w:jc w:val="left"/>
      </w:pPr>
      <w:r>
        <w:rPr>
          <w:rFonts w:ascii="Arial,Bold" w:hAnsi="Arial,Bold" w:eastAsia="Arial,Bold"/>
          <w:b/>
          <w:i w:val="0"/>
          <w:color w:val="000000"/>
          <w:sz w:val="22"/>
        </w:rPr>
        <w:t xml:space="preserve">3. </w:t>
      </w:r>
      <w:r>
        <w:tab/>
      </w:r>
      <w:r>
        <w:rPr>
          <w:rFonts w:ascii="黑体" w:hAnsi="黑体" w:eastAsia="黑体"/>
          <w:b w:val="0"/>
          <w:i w:val="0"/>
          <w:color w:val="000000"/>
          <w:sz w:val="22"/>
        </w:rPr>
        <w:t>记账本位币</w:t>
      </w:r>
    </w:p>
    <w:p>
      <w:pPr>
        <w:autoSpaceDN w:val="0"/>
        <w:autoSpaceDE w:val="0"/>
        <w:widowControl/>
        <w:spacing w:line="222" w:lineRule="exact" w:before="316" w:after="0"/>
        <w:ind w:left="0" w:right="0" w:firstLine="0"/>
        <w:jc w:val="center"/>
      </w:pPr>
      <w:r>
        <w:rPr>
          <w:rFonts w:ascii="黑体" w:hAnsi="黑体" w:eastAsia="黑体"/>
          <w:b w:val="0"/>
          <w:i w:val="0"/>
          <w:color w:val="000000"/>
          <w:sz w:val="22"/>
        </w:rPr>
        <w:t>本公司记账本位币和编制本财务报表所采用的货币均为人民币。除有特别说明外，均</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以人民币元为单位表示。</w:t>
      </w:r>
    </w:p>
    <w:p>
      <w:pPr>
        <w:autoSpaceDN w:val="0"/>
        <w:tabs>
          <w:tab w:pos="1044"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4. </w:t>
      </w:r>
      <w:r>
        <w:tab/>
      </w:r>
      <w:r>
        <w:rPr>
          <w:rFonts w:ascii="黑体" w:hAnsi="黑体" w:eastAsia="黑体"/>
          <w:b w:val="0"/>
          <w:i w:val="0"/>
          <w:color w:val="000000"/>
          <w:sz w:val="22"/>
        </w:rPr>
        <w:t>财务报表披露遵循的重要性标准确定方法和选择依据</w:t>
      </w:r>
    </w:p>
    <w:p>
      <w:pPr>
        <w:autoSpaceDN w:val="0"/>
        <w:autoSpaceDE w:val="0"/>
        <w:widowControl/>
        <w:spacing w:line="160" w:lineRule="exact" w:before="330" w:after="180"/>
        <w:ind w:left="0" w:right="334" w:firstLine="0"/>
        <w:jc w:val="right"/>
      </w:pPr>
      <w:r>
        <w:rPr>
          <w:rFonts w:ascii="黑体" w:hAnsi="黑体" w:eastAsia="黑体"/>
          <w:b w:val="0"/>
          <w:i w:val="0"/>
          <w:color w:val="000000"/>
          <w:sz w:val="16"/>
        </w:rPr>
        <w:t>重要性标准</w:t>
      </w:r>
    </w:p>
    <w:p>
      <w:pPr>
        <w:sectPr>
          <w:pgSz w:w="11906" w:h="16841"/>
          <w:pgMar w:top="1004" w:right="1440" w:bottom="360" w:left="1440" w:header="720" w:footer="720" w:gutter="0"/>
          <w:cols/>
          <w:docGrid w:linePitch="360"/>
        </w:sectPr>
      </w:pPr>
    </w:p>
    <w:p>
      <w:pPr>
        <w:autoSpaceDN w:val="0"/>
        <w:autoSpaceDE w:val="0"/>
        <w:widowControl/>
        <w:spacing w:line="160" w:lineRule="exact" w:before="0" w:after="0"/>
        <w:ind w:left="358" w:right="0" w:firstLine="0"/>
        <w:jc w:val="left"/>
      </w:pPr>
      <w:r>
        <w:rPr>
          <w:rFonts w:ascii="黑体" w:hAnsi="黑体" w:eastAsia="黑体"/>
          <w:b w:val="0"/>
          <w:i w:val="0"/>
          <w:color w:val="000000"/>
          <w:sz w:val="16"/>
        </w:rPr>
        <w:t xml:space="preserve">重要的单项计提坏账准备的应收款项 </w:t>
      </w:r>
    </w:p>
    <w:p>
      <w:pPr>
        <w:autoSpaceDN w:val="0"/>
        <w:autoSpaceDE w:val="0"/>
        <w:widowControl/>
        <w:spacing w:line="162" w:lineRule="exact" w:before="384" w:after="0"/>
        <w:ind w:left="358" w:right="0" w:firstLine="0"/>
        <w:jc w:val="left"/>
      </w:pPr>
      <w:r>
        <w:rPr>
          <w:rFonts w:ascii="黑体" w:hAnsi="黑体" w:eastAsia="黑体"/>
          <w:b w:val="0"/>
          <w:i w:val="0"/>
          <w:color w:val="000000"/>
          <w:sz w:val="16"/>
        </w:rPr>
        <w:t xml:space="preserve">重要的其他应收款 </w:t>
      </w:r>
    </w:p>
    <w:p>
      <w:pPr>
        <w:autoSpaceDN w:val="0"/>
        <w:autoSpaceDE w:val="0"/>
        <w:widowControl/>
        <w:spacing w:line="162" w:lineRule="exact" w:before="384" w:after="0"/>
        <w:ind w:left="358" w:right="0" w:firstLine="0"/>
        <w:jc w:val="left"/>
      </w:pPr>
      <w:r>
        <w:rPr>
          <w:rFonts w:ascii="黑体" w:hAnsi="黑体" w:eastAsia="黑体"/>
          <w:b w:val="0"/>
          <w:i w:val="0"/>
          <w:color w:val="000000"/>
          <w:sz w:val="16"/>
        </w:rPr>
        <w:t xml:space="preserve">重要的债权投资和其他债权投资 </w:t>
      </w:r>
    </w:p>
    <w:p>
      <w:pPr>
        <w:autoSpaceDN w:val="0"/>
        <w:autoSpaceDE w:val="0"/>
        <w:widowControl/>
        <w:spacing w:line="162" w:lineRule="exact" w:before="380" w:after="0"/>
        <w:ind w:left="358" w:right="0" w:firstLine="0"/>
        <w:jc w:val="left"/>
      </w:pPr>
      <w:r>
        <w:rPr>
          <w:rFonts w:ascii="黑体" w:hAnsi="黑体" w:eastAsia="黑体"/>
          <w:b w:val="0"/>
          <w:i w:val="0"/>
          <w:color w:val="000000"/>
          <w:sz w:val="16"/>
        </w:rPr>
        <w:t xml:space="preserve">存在重要少数股东权益的子公司 </w:t>
      </w:r>
    </w:p>
    <w:p>
      <w:pPr>
        <w:sectPr>
          <w:type w:val="continuous"/>
          <w:pgSz w:w="11906" w:h="16841"/>
          <w:pgMar w:top="1004" w:right="1440" w:bottom="360" w:left="1440" w:header="720" w:footer="720" w:gutter="0"/>
          <w:cols w:num="2" w:equalWidth="0">
            <w:col w:w="3586" w:space="0"/>
            <w:col w:w="5439" w:space="0"/>
          </w:cols>
          <w:docGrid w:linePitch="360"/>
        </w:sectPr>
      </w:pPr>
    </w:p>
    <w:p>
      <w:pPr>
        <w:autoSpaceDN w:val="0"/>
        <w:autoSpaceDE w:val="0"/>
        <w:widowControl/>
        <w:spacing w:line="252" w:lineRule="exact" w:before="0" w:after="172"/>
        <w:ind w:left="576" w:right="334" w:firstLine="0"/>
        <w:jc w:val="right"/>
      </w:pPr>
      <w:r>
        <w:rPr>
          <w:rFonts w:ascii="黑体" w:hAnsi="黑体" w:eastAsia="黑体"/>
          <w:b w:val="0"/>
          <w:i w:val="0"/>
          <w:color w:val="000000"/>
          <w:sz w:val="16"/>
        </w:rPr>
        <w:t>单项计提金额占各类应收款项坏账准备</w:t>
      </w:r>
      <w:r>
        <w:br/>
      </w:r>
      <w:r>
        <w:rPr>
          <w:rFonts w:ascii="黑体" w:hAnsi="黑体" w:eastAsia="黑体"/>
          <w:b w:val="0"/>
          <w:i w:val="0"/>
          <w:color w:val="000000"/>
          <w:sz w:val="16"/>
        </w:rPr>
        <w:t>总额的</w:t>
      </w:r>
      <w:r>
        <w:rPr>
          <w:rFonts w:ascii="Calibri" w:hAnsi="Calibri" w:eastAsia="Calibri"/>
          <w:b w:val="0"/>
          <w:i w:val="0"/>
          <w:color w:val="000000"/>
          <w:sz w:val="16"/>
        </w:rPr>
        <w:t>10%</w:t>
      </w:r>
      <w:r>
        <w:rPr>
          <w:rFonts w:ascii="黑体" w:hAnsi="黑体" w:eastAsia="黑体"/>
          <w:b w:val="0"/>
          <w:i w:val="0"/>
          <w:color w:val="000000"/>
          <w:sz w:val="16"/>
        </w:rPr>
        <w:t>以上且金额大于</w:t>
      </w:r>
      <w:r>
        <w:rPr>
          <w:rFonts w:ascii="Calibri" w:hAnsi="Calibri" w:eastAsia="Calibri"/>
          <w:b w:val="0"/>
          <w:i w:val="0"/>
          <w:color w:val="000000"/>
          <w:sz w:val="16"/>
        </w:rPr>
        <w:t>1</w:t>
      </w:r>
      <w:r>
        <w:rPr>
          <w:rFonts w:ascii="黑体" w:hAnsi="黑体" w:eastAsia="黑体"/>
          <w:b w:val="0"/>
          <w:i w:val="0"/>
          <w:color w:val="000000"/>
          <w:sz w:val="16"/>
        </w:rPr>
        <w:t>亿元</w:t>
      </w:r>
      <w:r>
        <w:br/>
      </w:r>
      <w:r>
        <w:rPr>
          <w:rFonts w:ascii="黑体" w:hAnsi="黑体" w:eastAsia="黑体"/>
          <w:b w:val="0"/>
          <w:i w:val="0"/>
          <w:color w:val="000000"/>
          <w:sz w:val="16"/>
        </w:rPr>
        <w:t>单项账龄超过</w:t>
      </w:r>
      <w:r>
        <w:rPr>
          <w:rFonts w:ascii="Calibri" w:hAnsi="Calibri" w:eastAsia="Calibri"/>
          <w:b w:val="0"/>
          <w:i w:val="0"/>
          <w:color w:val="000000"/>
          <w:sz w:val="16"/>
        </w:rPr>
        <w:t>1</w:t>
      </w:r>
      <w:r>
        <w:rPr>
          <w:rFonts w:ascii="黑体" w:hAnsi="黑体" w:eastAsia="黑体"/>
          <w:b w:val="0"/>
          <w:i w:val="0"/>
          <w:color w:val="000000"/>
          <w:sz w:val="16"/>
        </w:rPr>
        <w:t>年的其他应收款占其他应收款</w:t>
      </w:r>
      <w:r>
        <w:br/>
      </w:r>
      <w:r>
        <w:rPr>
          <w:rFonts w:ascii="黑体" w:hAnsi="黑体" w:eastAsia="黑体"/>
          <w:b w:val="0"/>
          <w:i w:val="0"/>
          <w:color w:val="000000"/>
          <w:sz w:val="16"/>
        </w:rPr>
        <w:t>总额的</w:t>
      </w:r>
      <w:r>
        <w:rPr>
          <w:rFonts w:ascii="Calibri" w:hAnsi="Calibri" w:eastAsia="Calibri"/>
          <w:b w:val="0"/>
          <w:i w:val="0"/>
          <w:color w:val="000000"/>
          <w:sz w:val="16"/>
        </w:rPr>
        <w:t>10%</w:t>
      </w:r>
      <w:r>
        <w:rPr>
          <w:rFonts w:ascii="黑体" w:hAnsi="黑体" w:eastAsia="黑体"/>
          <w:b w:val="0"/>
          <w:i w:val="0"/>
          <w:color w:val="000000"/>
          <w:sz w:val="16"/>
        </w:rPr>
        <w:t>以上且金额大于</w:t>
      </w:r>
      <w:r>
        <w:rPr>
          <w:rFonts w:ascii="Calibri" w:hAnsi="Calibri" w:eastAsia="Calibri"/>
          <w:b w:val="0"/>
          <w:i w:val="0"/>
          <w:color w:val="000000"/>
          <w:sz w:val="16"/>
        </w:rPr>
        <w:t>1</w:t>
      </w:r>
      <w:r>
        <w:rPr>
          <w:rFonts w:ascii="黑体" w:hAnsi="黑体" w:eastAsia="黑体"/>
          <w:b w:val="0"/>
          <w:i w:val="0"/>
          <w:color w:val="000000"/>
          <w:sz w:val="16"/>
        </w:rPr>
        <w:t>亿元</w:t>
      </w:r>
      <w:r>
        <w:br/>
      </w:r>
      <w:r>
        <w:rPr>
          <w:rFonts w:ascii="黑体" w:hAnsi="黑体" w:eastAsia="黑体"/>
          <w:b w:val="0"/>
          <w:i w:val="0"/>
          <w:color w:val="000000"/>
          <w:sz w:val="16"/>
        </w:rPr>
        <w:t>单项债权投资</w:t>
      </w:r>
      <w:r>
        <w:rPr>
          <w:rFonts w:ascii="Calibri" w:hAnsi="Calibri" w:eastAsia="Calibri"/>
          <w:b w:val="0"/>
          <w:i w:val="0"/>
          <w:color w:val="000000"/>
          <w:sz w:val="16"/>
        </w:rPr>
        <w:t>/</w:t>
      </w:r>
      <w:r>
        <w:rPr>
          <w:rFonts w:ascii="黑体" w:hAnsi="黑体" w:eastAsia="黑体"/>
          <w:b w:val="0"/>
          <w:i w:val="0"/>
          <w:color w:val="000000"/>
          <w:sz w:val="16"/>
        </w:rPr>
        <w:t>其他债权投资占债权投资</w:t>
      </w:r>
      <w:r>
        <w:rPr>
          <w:rFonts w:ascii="Calibri" w:hAnsi="Calibri" w:eastAsia="Calibri"/>
          <w:b w:val="0"/>
          <w:i w:val="0"/>
          <w:color w:val="000000"/>
          <w:sz w:val="16"/>
        </w:rPr>
        <w:t>/</w:t>
      </w:r>
      <w:r>
        <w:rPr>
          <w:rFonts w:ascii="黑体" w:hAnsi="黑体" w:eastAsia="黑体"/>
          <w:b w:val="0"/>
          <w:i w:val="0"/>
          <w:color w:val="000000"/>
          <w:sz w:val="16"/>
        </w:rPr>
        <w:t>其他债权投资</w:t>
      </w:r>
      <w:r>
        <w:br/>
      </w:r>
      <w:r>
        <w:rPr>
          <w:rFonts w:ascii="黑体" w:hAnsi="黑体" w:eastAsia="黑体"/>
          <w:b w:val="0"/>
          <w:i w:val="0"/>
          <w:color w:val="000000"/>
          <w:sz w:val="16"/>
        </w:rPr>
        <w:t>总额的</w:t>
      </w:r>
      <w:r>
        <w:rPr>
          <w:rFonts w:ascii="Calibri" w:hAnsi="Calibri" w:eastAsia="Calibri"/>
          <w:b w:val="0"/>
          <w:i w:val="0"/>
          <w:color w:val="000000"/>
          <w:sz w:val="16"/>
        </w:rPr>
        <w:t>10%</w:t>
      </w:r>
      <w:r>
        <w:rPr>
          <w:rFonts w:ascii="黑体" w:hAnsi="黑体" w:eastAsia="黑体"/>
          <w:b w:val="0"/>
          <w:i w:val="0"/>
          <w:color w:val="000000"/>
          <w:sz w:val="16"/>
        </w:rPr>
        <w:t>以上且金额大于</w:t>
      </w:r>
      <w:r>
        <w:rPr>
          <w:rFonts w:ascii="Calibri" w:hAnsi="Calibri" w:eastAsia="Calibri"/>
          <w:b w:val="0"/>
          <w:i w:val="0"/>
          <w:color w:val="000000"/>
          <w:sz w:val="16"/>
        </w:rPr>
        <w:t>1</w:t>
      </w:r>
      <w:r>
        <w:rPr>
          <w:rFonts w:ascii="黑体" w:hAnsi="黑体" w:eastAsia="黑体"/>
          <w:b w:val="0"/>
          <w:i w:val="0"/>
          <w:color w:val="000000"/>
          <w:sz w:val="16"/>
        </w:rPr>
        <w:t>亿元</w:t>
      </w:r>
      <w:r>
        <w:br/>
      </w:r>
      <w:r>
        <w:rPr>
          <w:rFonts w:ascii="黑体" w:hAnsi="黑体" w:eastAsia="黑体"/>
          <w:b w:val="0"/>
          <w:i w:val="0"/>
          <w:color w:val="000000"/>
          <w:sz w:val="16"/>
        </w:rPr>
        <w:t>子公司净资产占集团净资产</w:t>
      </w:r>
      <w:r>
        <w:rPr>
          <w:rFonts w:ascii="Calibri" w:hAnsi="Calibri" w:eastAsia="Calibri"/>
          <w:b w:val="0"/>
          <w:i w:val="0"/>
          <w:color w:val="000000"/>
          <w:sz w:val="16"/>
        </w:rPr>
        <w:t>5%</w:t>
      </w:r>
      <w:r>
        <w:rPr>
          <w:rFonts w:ascii="黑体" w:hAnsi="黑体" w:eastAsia="黑体"/>
          <w:b w:val="0"/>
          <w:i w:val="0"/>
          <w:color w:val="000000"/>
          <w:sz w:val="16"/>
        </w:rPr>
        <w:t>以上，或单个子公司少数股东权益</w:t>
      </w:r>
      <w:r>
        <w:rPr>
          <w:rFonts w:ascii="黑体" w:hAnsi="黑体" w:eastAsia="黑体"/>
          <w:b w:val="0"/>
          <w:i w:val="0"/>
          <w:color w:val="000000"/>
          <w:sz w:val="16"/>
        </w:rPr>
        <w:t>占集团净资产的</w:t>
      </w:r>
      <w:r>
        <w:rPr>
          <w:rFonts w:ascii="Calibri" w:hAnsi="Calibri" w:eastAsia="Calibri"/>
          <w:b w:val="0"/>
          <w:i w:val="0"/>
          <w:color w:val="000000"/>
          <w:sz w:val="16"/>
        </w:rPr>
        <w:t>1%</w:t>
      </w:r>
      <w:r>
        <w:rPr>
          <w:rFonts w:ascii="黑体" w:hAnsi="黑体" w:eastAsia="黑体"/>
          <w:b w:val="0"/>
          <w:i w:val="0"/>
          <w:color w:val="000000"/>
          <w:sz w:val="16"/>
        </w:rPr>
        <w:t>以上且金额大于</w:t>
      </w:r>
      <w:r>
        <w:rPr>
          <w:rFonts w:ascii="Calibri" w:hAnsi="Calibri" w:eastAsia="Calibri"/>
          <w:b w:val="0"/>
          <w:i w:val="0"/>
          <w:color w:val="000000"/>
          <w:sz w:val="16"/>
        </w:rPr>
        <w:t>1</w:t>
      </w:r>
      <w:r>
        <w:rPr>
          <w:rFonts w:ascii="黑体" w:hAnsi="黑体" w:eastAsia="黑体"/>
          <w:b w:val="0"/>
          <w:i w:val="0"/>
          <w:color w:val="000000"/>
          <w:sz w:val="16"/>
        </w:rPr>
        <w:t>亿元</w:t>
      </w:r>
    </w:p>
    <w:p>
      <w:pPr>
        <w:sectPr>
          <w:type w:val="nextColumn"/>
          <w:pgSz w:w="11906" w:h="16841"/>
          <w:pgMar w:top="1004" w:right="1440" w:bottom="360" w:left="1440" w:header="720" w:footer="720" w:gutter="0"/>
          <w:cols w:num="2" w:equalWidth="0">
            <w:col w:w="3586" w:space="0"/>
            <w:col w:w="5439" w:space="0"/>
          </w:cols>
          <w:docGrid w:linePitch="360"/>
        </w:sectPr>
      </w:pPr>
    </w:p>
    <w:p>
      <w:pPr>
        <w:autoSpaceDN w:val="0"/>
        <w:tabs>
          <w:tab w:pos="4172" w:val="left"/>
        </w:tabs>
        <w:autoSpaceDE w:val="0"/>
        <w:widowControl/>
        <w:spacing w:line="160" w:lineRule="exact" w:before="0" w:after="0"/>
        <w:ind w:left="358" w:right="0" w:firstLine="0"/>
        <w:jc w:val="left"/>
      </w:pPr>
      <w:r>
        <w:rPr>
          <w:rFonts w:ascii="黑体" w:hAnsi="黑体" w:eastAsia="黑体"/>
          <w:b w:val="0"/>
          <w:i w:val="0"/>
          <w:color w:val="000000"/>
          <w:sz w:val="16"/>
        </w:rPr>
        <w:t xml:space="preserve">重要子公司 </w:t>
      </w:r>
      <w:r>
        <w:tab/>
      </w:r>
      <w:r>
        <w:rPr>
          <w:rFonts w:ascii="黑体" w:hAnsi="黑体" w:eastAsia="黑体"/>
          <w:b w:val="0"/>
          <w:i w:val="0"/>
          <w:color w:val="000000"/>
          <w:sz w:val="16"/>
        </w:rPr>
        <w:t>子公司净资产占集团净资产</w:t>
      </w:r>
      <w:r>
        <w:rPr>
          <w:rFonts w:ascii="Calibri" w:hAnsi="Calibri" w:eastAsia="Calibri"/>
          <w:b w:val="0"/>
          <w:i w:val="0"/>
          <w:color w:val="000000"/>
          <w:sz w:val="16"/>
        </w:rPr>
        <w:t>5%</w:t>
      </w:r>
      <w:r>
        <w:rPr>
          <w:rFonts w:ascii="黑体" w:hAnsi="黑体" w:eastAsia="黑体"/>
          <w:b w:val="0"/>
          <w:i w:val="0"/>
          <w:color w:val="000000"/>
          <w:sz w:val="16"/>
        </w:rPr>
        <w:t>以上，或子公司净利润占集团合并</w:t>
      </w:r>
    </w:p>
    <w:p>
      <w:pPr>
        <w:autoSpaceDN w:val="0"/>
        <w:autoSpaceDE w:val="0"/>
        <w:widowControl/>
        <w:spacing w:line="178" w:lineRule="exact" w:before="28" w:after="160"/>
        <w:ind w:left="0" w:right="334" w:firstLine="0"/>
        <w:jc w:val="right"/>
      </w:pPr>
      <w:r>
        <w:rPr>
          <w:rFonts w:ascii="黑体" w:hAnsi="黑体" w:eastAsia="黑体"/>
          <w:b w:val="0"/>
          <w:i w:val="0"/>
          <w:color w:val="000000"/>
          <w:sz w:val="16"/>
        </w:rPr>
        <w:t>净利润的</w:t>
      </w:r>
      <w:r>
        <w:rPr>
          <w:rFonts w:ascii="Calibri" w:hAnsi="Calibri" w:eastAsia="Calibri"/>
          <w:b w:val="0"/>
          <w:i w:val="0"/>
          <w:color w:val="000000"/>
          <w:sz w:val="16"/>
        </w:rPr>
        <w:t>10%</w:t>
      </w:r>
      <w:r>
        <w:rPr>
          <w:rFonts w:ascii="黑体" w:hAnsi="黑体" w:eastAsia="黑体"/>
          <w:b w:val="0"/>
          <w:i w:val="0"/>
          <w:color w:val="000000"/>
          <w:sz w:val="16"/>
        </w:rPr>
        <w:t>以上</w:t>
      </w:r>
    </w:p>
    <w:p>
      <w:pPr>
        <w:sectPr>
          <w:type w:val="continuous"/>
          <w:pgSz w:w="11906" w:h="16841"/>
          <w:pgMar w:top="1004" w:right="1440" w:bottom="360" w:left="1440" w:header="720" w:footer="720" w:gutter="0"/>
          <w:cols/>
          <w:docGrid w:linePitch="360"/>
        </w:sectPr>
      </w:pPr>
    </w:p>
    <w:p>
      <w:pPr>
        <w:autoSpaceDN w:val="0"/>
        <w:autoSpaceDE w:val="0"/>
        <w:widowControl/>
        <w:spacing w:line="162" w:lineRule="exact" w:before="0" w:after="0"/>
        <w:ind w:left="358" w:right="0" w:firstLine="0"/>
        <w:jc w:val="left"/>
      </w:pPr>
      <w:r>
        <w:rPr>
          <w:rFonts w:ascii="黑体" w:hAnsi="黑体" w:eastAsia="黑体"/>
          <w:b w:val="0"/>
          <w:i w:val="0"/>
          <w:color w:val="000000"/>
          <w:sz w:val="16"/>
        </w:rPr>
        <w:t xml:space="preserve">重要的合营企业或联营企业 </w:t>
      </w:r>
    </w:p>
    <w:p>
      <w:pPr>
        <w:sectPr>
          <w:type w:val="continuous"/>
          <w:pgSz w:w="11906" w:h="16841"/>
          <w:pgMar w:top="1004" w:right="1440" w:bottom="360" w:left="1440" w:header="720" w:footer="720" w:gutter="0"/>
          <w:cols w:num="2" w:equalWidth="0">
            <w:col w:w="3244" w:space="0"/>
            <w:col w:w="5781" w:space="0"/>
          </w:cols>
          <w:docGrid w:linePitch="360"/>
        </w:sectPr>
      </w:pPr>
    </w:p>
    <w:p>
      <w:pPr>
        <w:autoSpaceDN w:val="0"/>
        <w:autoSpaceDE w:val="0"/>
        <w:widowControl/>
        <w:spacing w:line="198" w:lineRule="exact" w:before="0" w:after="158"/>
        <w:ind w:left="864" w:right="334" w:firstLine="0"/>
        <w:jc w:val="right"/>
      </w:pPr>
      <w:r>
        <w:rPr>
          <w:rFonts w:ascii="黑体" w:hAnsi="黑体" w:eastAsia="黑体"/>
          <w:b w:val="0"/>
          <w:i w:val="0"/>
          <w:color w:val="000000"/>
          <w:sz w:val="16"/>
        </w:rPr>
        <w:t>对单个被投资单位的长期股权投资账面价值占集团净资产的</w:t>
      </w:r>
      <w:r>
        <w:rPr>
          <w:rFonts w:ascii="Calibri" w:hAnsi="Calibri" w:eastAsia="Calibri"/>
          <w:b w:val="0"/>
          <w:i w:val="0"/>
          <w:color w:val="000000"/>
          <w:sz w:val="16"/>
        </w:rPr>
        <w:t>5%</w:t>
      </w:r>
      <w:r>
        <w:rPr>
          <w:rFonts w:ascii="黑体" w:hAnsi="黑体" w:eastAsia="黑体"/>
          <w:b w:val="0"/>
          <w:i w:val="0"/>
          <w:color w:val="000000"/>
          <w:sz w:val="16"/>
        </w:rPr>
        <w:t>以</w:t>
      </w:r>
      <w:r>
        <w:rPr>
          <w:rFonts w:ascii="黑体" w:hAnsi="黑体" w:eastAsia="黑体"/>
          <w:b w:val="0"/>
          <w:i w:val="0"/>
          <w:color w:val="000000"/>
          <w:sz w:val="16"/>
        </w:rPr>
        <w:t>上且金额大于</w:t>
      </w:r>
      <w:r>
        <w:rPr>
          <w:rFonts w:ascii="Calibri" w:hAnsi="Calibri" w:eastAsia="Calibri"/>
          <w:b w:val="0"/>
          <w:i w:val="0"/>
          <w:color w:val="000000"/>
          <w:sz w:val="16"/>
        </w:rPr>
        <w:t>1</w:t>
      </w:r>
      <w:r>
        <w:rPr>
          <w:rFonts w:ascii="黑体" w:hAnsi="黑体" w:eastAsia="黑体"/>
          <w:b w:val="0"/>
          <w:i w:val="0"/>
          <w:color w:val="000000"/>
          <w:sz w:val="16"/>
        </w:rPr>
        <w:t>亿元，或长期股权投资权益法下投资损益占集团合</w:t>
      </w:r>
      <w:r>
        <w:rPr>
          <w:rFonts w:ascii="黑体" w:hAnsi="黑体" w:eastAsia="黑体"/>
          <w:b w:val="0"/>
          <w:i w:val="0"/>
          <w:color w:val="000000"/>
          <w:sz w:val="16"/>
        </w:rPr>
        <w:t>并净利润的</w:t>
      </w:r>
      <w:r>
        <w:rPr>
          <w:rFonts w:ascii="Calibri" w:hAnsi="Calibri" w:eastAsia="Calibri"/>
          <w:b w:val="0"/>
          <w:i w:val="0"/>
          <w:color w:val="000000"/>
          <w:sz w:val="16"/>
        </w:rPr>
        <w:t>10%</w:t>
      </w:r>
      <w:r>
        <w:rPr>
          <w:rFonts w:ascii="黑体" w:hAnsi="黑体" w:eastAsia="黑体"/>
          <w:b w:val="0"/>
          <w:i w:val="0"/>
          <w:color w:val="000000"/>
          <w:sz w:val="16"/>
        </w:rPr>
        <w:t>以上</w:t>
      </w:r>
    </w:p>
    <w:p>
      <w:pPr>
        <w:sectPr>
          <w:type w:val="nextColumn"/>
          <w:pgSz w:w="11906" w:h="16841"/>
          <w:pgMar w:top="1004" w:right="1440" w:bottom="360" w:left="1440" w:header="720" w:footer="720" w:gutter="0"/>
          <w:cols w:num="2" w:equalWidth="0">
            <w:col w:w="3244" w:space="0"/>
            <w:col w:w="5781" w:space="0"/>
          </w:cols>
          <w:docGrid w:linePitch="360"/>
        </w:sectPr>
      </w:pPr>
    </w:p>
    <w:p>
      <w:pPr>
        <w:autoSpaceDN w:val="0"/>
        <w:tabs>
          <w:tab w:pos="4050" w:val="left"/>
        </w:tabs>
        <w:autoSpaceDE w:val="0"/>
        <w:widowControl/>
        <w:spacing w:line="160" w:lineRule="exact" w:before="0" w:after="0"/>
        <w:ind w:left="358" w:right="0" w:firstLine="0"/>
        <w:jc w:val="left"/>
      </w:pPr>
      <w:r>
        <w:rPr>
          <w:rFonts w:ascii="黑体" w:hAnsi="黑体" w:eastAsia="黑体"/>
          <w:b w:val="0"/>
          <w:i w:val="0"/>
          <w:color w:val="000000"/>
          <w:sz w:val="16"/>
        </w:rPr>
        <w:t xml:space="preserve">重要投资活动 </w:t>
      </w:r>
      <w:r>
        <w:tab/>
      </w:r>
      <w:r>
        <w:rPr>
          <w:rFonts w:ascii="黑体" w:hAnsi="黑体" w:eastAsia="黑体"/>
          <w:b w:val="0"/>
          <w:i w:val="0"/>
          <w:color w:val="000000"/>
          <w:sz w:val="16"/>
        </w:rPr>
        <w:t>单项投资活动占收到或支付投资活动相关的现金流入或流出总额的</w:t>
      </w:r>
    </w:p>
    <w:p>
      <w:pPr>
        <w:autoSpaceDN w:val="0"/>
        <w:autoSpaceDE w:val="0"/>
        <w:widowControl/>
        <w:spacing w:line="180" w:lineRule="exact" w:before="48" w:after="158"/>
        <w:ind w:left="0" w:right="334" w:firstLine="0"/>
        <w:jc w:val="right"/>
      </w:pPr>
      <w:r>
        <w:rPr>
          <w:rFonts w:ascii="Calibri" w:hAnsi="Calibri" w:eastAsia="Calibri"/>
          <w:b w:val="0"/>
          <w:i w:val="0"/>
          <w:color w:val="000000"/>
          <w:sz w:val="16"/>
        </w:rPr>
        <w:t>10%</w:t>
      </w:r>
      <w:r>
        <w:rPr>
          <w:rFonts w:ascii="黑体" w:hAnsi="黑体" w:eastAsia="黑体"/>
          <w:b w:val="0"/>
          <w:i w:val="0"/>
          <w:color w:val="000000"/>
          <w:sz w:val="16"/>
        </w:rPr>
        <w:t>以上且金额大于</w:t>
      </w:r>
      <w:r>
        <w:rPr>
          <w:rFonts w:ascii="Calibri" w:hAnsi="Calibri" w:eastAsia="Calibri"/>
          <w:b w:val="0"/>
          <w:i w:val="0"/>
          <w:color w:val="000000"/>
          <w:sz w:val="16"/>
        </w:rPr>
        <w:t>1</w:t>
      </w:r>
      <w:r>
        <w:rPr>
          <w:rFonts w:ascii="黑体" w:hAnsi="黑体" w:eastAsia="黑体"/>
          <w:b w:val="0"/>
          <w:i w:val="0"/>
          <w:color w:val="000000"/>
          <w:sz w:val="16"/>
        </w:rPr>
        <w:t>亿元</w:t>
      </w:r>
    </w:p>
    <w:p>
      <w:pPr>
        <w:sectPr>
          <w:type w:val="continuous"/>
          <w:pgSz w:w="11906" w:h="16841"/>
          <w:pgMar w:top="1004" w:right="1440" w:bottom="360" w:left="1440" w:header="720" w:footer="720" w:gutter="0"/>
          <w:cols/>
          <w:docGrid w:linePitch="360"/>
        </w:sectPr>
      </w:pPr>
    </w:p>
    <w:p>
      <w:pPr>
        <w:autoSpaceDN w:val="0"/>
        <w:autoSpaceDE w:val="0"/>
        <w:widowControl/>
        <w:spacing w:line="160" w:lineRule="exact" w:before="0" w:after="0"/>
        <w:ind w:left="358" w:right="0" w:firstLine="0"/>
        <w:jc w:val="left"/>
      </w:pPr>
      <w:r>
        <w:rPr>
          <w:rFonts w:ascii="黑体" w:hAnsi="黑体" w:eastAsia="黑体"/>
          <w:b w:val="0"/>
          <w:i w:val="0"/>
          <w:color w:val="000000"/>
          <w:sz w:val="16"/>
        </w:rPr>
        <w:t xml:space="preserve">不涉及当期现金收支的重大活动 </w:t>
      </w:r>
    </w:p>
    <w:p>
      <w:pPr>
        <w:sectPr>
          <w:type w:val="continuous"/>
          <w:pgSz w:w="11906" w:h="16841"/>
          <w:pgMar w:top="1004" w:right="1440" w:bottom="360" w:left="1440" w:header="720" w:footer="720" w:gutter="0"/>
          <w:cols w:num="2" w:equalWidth="0">
            <w:col w:w="3384" w:space="0"/>
            <w:col w:w="5641" w:space="0"/>
          </w:cols>
          <w:docGrid w:linePitch="360"/>
        </w:sectPr>
      </w:pPr>
    </w:p>
    <w:p>
      <w:pPr>
        <w:autoSpaceDN w:val="0"/>
        <w:autoSpaceDE w:val="0"/>
        <w:widowControl/>
        <w:spacing w:line="192" w:lineRule="exact" w:before="0" w:after="0"/>
        <w:ind w:left="1028" w:right="288" w:hanging="320"/>
        <w:jc w:val="left"/>
      </w:pPr>
      <w:r>
        <w:rPr>
          <w:rFonts w:ascii="黑体" w:hAnsi="黑体" w:eastAsia="黑体"/>
          <w:b w:val="0"/>
          <w:i w:val="0"/>
          <w:color w:val="000000"/>
          <w:sz w:val="16"/>
        </w:rPr>
        <w:t>不涉及当期现金收支，对当期报表影响大于净资产</w:t>
      </w:r>
      <w:r>
        <w:rPr>
          <w:rFonts w:ascii="Calibri" w:hAnsi="Calibri" w:eastAsia="Calibri"/>
          <w:b w:val="0"/>
          <w:i w:val="0"/>
          <w:color w:val="000000"/>
          <w:sz w:val="16"/>
        </w:rPr>
        <w:t>10%</w:t>
      </w:r>
      <w:r>
        <w:rPr>
          <w:rFonts w:ascii="黑体" w:hAnsi="黑体" w:eastAsia="黑体"/>
          <w:b w:val="0"/>
          <w:i w:val="0"/>
          <w:color w:val="000000"/>
          <w:sz w:val="16"/>
        </w:rPr>
        <w:t>，或预计对</w:t>
      </w:r>
      <w:r>
        <w:rPr>
          <w:rFonts w:ascii="黑体" w:hAnsi="黑体" w:eastAsia="黑体"/>
          <w:b w:val="0"/>
          <w:i w:val="0"/>
          <w:color w:val="000000"/>
          <w:sz w:val="16"/>
        </w:rPr>
        <w:t>未来现金流影响大于相对应现金流入或流出总额的</w:t>
      </w:r>
      <w:r>
        <w:rPr>
          <w:rFonts w:ascii="Calibri" w:hAnsi="Calibri" w:eastAsia="Calibri"/>
          <w:b w:val="0"/>
          <w:i w:val="0"/>
          <w:color w:val="000000"/>
          <w:sz w:val="16"/>
        </w:rPr>
        <w:t>10%</w:t>
      </w:r>
      <w:r>
        <w:rPr>
          <w:rFonts w:ascii="黑体" w:hAnsi="黑体" w:eastAsia="黑体"/>
          <w:b w:val="0"/>
          <w:i w:val="0"/>
          <w:color w:val="000000"/>
          <w:sz w:val="16"/>
        </w:rPr>
        <w:t>的活动</w:t>
      </w:r>
    </w:p>
    <w:p>
      <w:pPr>
        <w:autoSpaceDN w:val="0"/>
        <w:autoSpaceDE w:val="0"/>
        <w:widowControl/>
        <w:spacing w:line="233" w:lineRule="auto" w:before="1590" w:after="0"/>
        <w:ind w:left="964" w:right="0" w:firstLine="0"/>
        <w:jc w:val="left"/>
      </w:pPr>
      <w:r>
        <w:rPr>
          <w:rFonts w:ascii="Arial" w:hAnsi="Arial" w:eastAsia="Arial"/>
          <w:b w:val="0"/>
          <w:i w:val="0"/>
          <w:color w:val="000000"/>
          <w:sz w:val="20"/>
        </w:rPr>
        <w:t xml:space="preserve">164 </w:t>
      </w:r>
    </w:p>
    <w:p>
      <w:pPr>
        <w:sectPr>
          <w:type w:val="nextColumn"/>
          <w:pgSz w:w="11906" w:h="16841"/>
          <w:pgMar w:top="1004" w:right="1440" w:bottom="360" w:left="1440" w:header="720" w:footer="720" w:gutter="0"/>
          <w:cols w:num="2" w:equalWidth="0">
            <w:col w:w="3384" w:space="0"/>
            <w:col w:w="5641" w:space="0"/>
          </w:cols>
          <w:docGrid w:linePitch="360"/>
        </w:sectPr>
      </w:pPr>
    </w:p>
    <w:p>
      <w:pPr>
        <w:autoSpaceDN w:val="0"/>
        <w:autoSpaceDE w:val="0"/>
        <w:widowControl/>
        <w:spacing w:line="220" w:lineRule="exact" w:before="0" w:after="792"/>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44"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5. </w:t>
      </w:r>
      <w:r>
        <w:tab/>
      </w:r>
      <w:r>
        <w:rPr>
          <w:rFonts w:ascii="黑体" w:hAnsi="黑体" w:eastAsia="黑体"/>
          <w:b w:val="0"/>
          <w:i w:val="0"/>
          <w:color w:val="000000"/>
          <w:sz w:val="22"/>
        </w:rPr>
        <w:t>企业合并</w:t>
      </w:r>
    </w:p>
    <w:p>
      <w:pPr>
        <w:autoSpaceDN w:val="0"/>
        <w:autoSpaceDE w:val="0"/>
        <w:widowControl/>
        <w:spacing w:line="220" w:lineRule="exact" w:before="318" w:after="0"/>
        <w:ind w:left="358" w:right="0" w:firstLine="0"/>
        <w:jc w:val="left"/>
      </w:pPr>
      <w:r>
        <w:rPr>
          <w:rFonts w:ascii="黑体" w:hAnsi="黑体" w:eastAsia="黑体"/>
          <w:b w:val="0"/>
          <w:i w:val="0"/>
          <w:color w:val="000000"/>
          <w:sz w:val="22"/>
        </w:rPr>
        <w:t>企业合并分为同一控制下企业合并和非同一控制下企业合并。</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参与合并的企业在合并前后均受同一方或相同的多方最终控制，且该控制并非暂时性</w:t>
      </w:r>
      <w:r>
        <w:rPr>
          <w:rFonts w:ascii="黑体" w:hAnsi="黑体" w:eastAsia="黑体"/>
          <w:b w:val="0"/>
          <w:i w:val="0"/>
          <w:color w:val="000000"/>
          <w:sz w:val="22"/>
        </w:rPr>
        <w:t>的，为同一控制下企业合并。合并方在同一控制下企业合并中取得的资产和负债（包</w:t>
      </w:r>
      <w:r>
        <w:rPr>
          <w:rFonts w:ascii="黑体" w:hAnsi="黑体" w:eastAsia="黑体"/>
          <w:b w:val="0"/>
          <w:i w:val="0"/>
          <w:color w:val="000000"/>
          <w:sz w:val="22"/>
        </w:rPr>
        <w:t>括最终控制方收购被合并方而形成的商誉），按合并日在最终控制方财务报表中的账面</w:t>
      </w:r>
      <w:r>
        <w:rPr>
          <w:rFonts w:ascii="黑体" w:hAnsi="黑体" w:eastAsia="黑体"/>
          <w:b w:val="0"/>
          <w:i w:val="0"/>
          <w:color w:val="000000"/>
          <w:sz w:val="22"/>
        </w:rPr>
        <w:t>价值为基础进行相关会计处理。合并方取得的净资产账面价值与支付的合并对价的账</w:t>
      </w:r>
      <w:r>
        <w:rPr>
          <w:rFonts w:ascii="黑体" w:hAnsi="黑体" w:eastAsia="黑体"/>
          <w:b w:val="0"/>
          <w:i w:val="0"/>
          <w:color w:val="000000"/>
          <w:sz w:val="22"/>
        </w:rPr>
        <w:t>面价值（或发行股份面值总额）的差额，调整资本公积中的股本溢价，不足冲减的则</w:t>
      </w:r>
      <w:r>
        <w:rPr>
          <w:rFonts w:ascii="黑体" w:hAnsi="黑体" w:eastAsia="黑体"/>
          <w:b w:val="0"/>
          <w:i w:val="0"/>
          <w:color w:val="000000"/>
          <w:sz w:val="22"/>
        </w:rPr>
        <w:t>调整留存收益。</w:t>
      </w:r>
    </w:p>
    <w:p>
      <w:pPr>
        <w:autoSpaceDN w:val="0"/>
        <w:autoSpaceDE w:val="0"/>
        <w:widowControl/>
        <w:spacing w:line="284" w:lineRule="exact" w:before="272" w:after="0"/>
        <w:ind w:left="358" w:right="348" w:firstLine="0"/>
        <w:jc w:val="both"/>
      </w:pPr>
      <w:r>
        <w:rPr>
          <w:rFonts w:ascii="黑体" w:hAnsi="黑体" w:eastAsia="黑体"/>
          <w:b w:val="0"/>
          <w:i w:val="0"/>
          <w:color w:val="000000"/>
          <w:sz w:val="22"/>
        </w:rPr>
        <w:t>参与合并的企业在合并前后不受同一方或相同的多方最终控制的，为非同一控制下企</w:t>
      </w:r>
      <w:r>
        <w:rPr>
          <w:rFonts w:ascii="黑体" w:hAnsi="黑体" w:eastAsia="黑体"/>
          <w:b w:val="0"/>
          <w:i w:val="0"/>
          <w:color w:val="000000"/>
          <w:sz w:val="22"/>
        </w:rPr>
        <w:t>业合并。非同一控制下企业合并中所取得的被购买方可辨认资产、负债及或有负债在</w:t>
      </w:r>
      <w:r>
        <w:rPr>
          <w:rFonts w:ascii="黑体" w:hAnsi="黑体" w:eastAsia="黑体"/>
          <w:b w:val="0"/>
          <w:i w:val="0"/>
          <w:color w:val="000000"/>
          <w:sz w:val="22"/>
        </w:rPr>
        <w:t>收购日以公允价值计量。合并成本大于合并中取得的被购买方可辨认净资产公允价值</w:t>
      </w:r>
      <w:r>
        <w:rPr>
          <w:rFonts w:ascii="黑体" w:hAnsi="黑体" w:eastAsia="黑体"/>
          <w:b w:val="0"/>
          <w:i w:val="0"/>
          <w:color w:val="000000"/>
          <w:sz w:val="22"/>
        </w:rPr>
        <w:t>份额的差额，确认为商誉，并以成本减去累计减值损失进行后续计量。合并成本小于</w:t>
      </w:r>
      <w:r>
        <w:rPr>
          <w:rFonts w:ascii="黑体" w:hAnsi="黑体" w:eastAsia="黑体"/>
          <w:b w:val="0"/>
          <w:i w:val="0"/>
          <w:color w:val="000000"/>
          <w:sz w:val="22"/>
        </w:rPr>
        <w:t>合并中取得的被购买方可辨认净资产公允价值份额的，对取得的被购买方各项可辨认</w:t>
      </w:r>
      <w:r>
        <w:rPr>
          <w:rFonts w:ascii="黑体" w:hAnsi="黑体" w:eastAsia="黑体"/>
          <w:b w:val="0"/>
          <w:i w:val="0"/>
          <w:color w:val="000000"/>
          <w:sz w:val="22"/>
        </w:rPr>
        <w:t>资产、负债及或有负债的公允价值以及合并成本的计量进行复核，复核后合并成本仍</w:t>
      </w:r>
      <w:r>
        <w:rPr>
          <w:rFonts w:ascii="黑体" w:hAnsi="黑体" w:eastAsia="黑体"/>
          <w:b w:val="0"/>
          <w:i w:val="0"/>
          <w:color w:val="000000"/>
          <w:sz w:val="22"/>
        </w:rPr>
        <w:t>小于合并中取得的被购买方可辨认净资产公允价值份额的，其差额计入当期损益。</w:t>
      </w:r>
    </w:p>
    <w:p>
      <w:pPr>
        <w:autoSpaceDN w:val="0"/>
        <w:tabs>
          <w:tab w:pos="1044"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6. </w:t>
      </w:r>
      <w:r>
        <w:tab/>
      </w:r>
      <w:r>
        <w:rPr>
          <w:rFonts w:ascii="黑体" w:hAnsi="黑体" w:eastAsia="黑体"/>
          <w:b w:val="0"/>
          <w:i w:val="0"/>
          <w:color w:val="000000"/>
          <w:sz w:val="22"/>
        </w:rPr>
        <w:t>合并财务报表</w:t>
      </w:r>
    </w:p>
    <w:p>
      <w:pPr>
        <w:autoSpaceDN w:val="0"/>
        <w:autoSpaceDE w:val="0"/>
        <w:widowControl/>
        <w:spacing w:line="284" w:lineRule="exact" w:before="256" w:after="0"/>
        <w:ind w:left="358" w:right="356" w:firstLine="0"/>
        <w:jc w:val="both"/>
      </w:pPr>
      <w:r>
        <w:rPr>
          <w:rFonts w:ascii="黑体" w:hAnsi="黑体" w:eastAsia="黑体"/>
          <w:b w:val="0"/>
          <w:i w:val="0"/>
          <w:color w:val="000000"/>
          <w:sz w:val="22"/>
        </w:rPr>
        <w:t>合并财务报表的合并范围以控制为基础确定，包括本公司及全部子公司的财务报表。</w:t>
      </w:r>
      <w:r>
        <w:rPr>
          <w:rFonts w:ascii="黑体" w:hAnsi="黑体" w:eastAsia="黑体"/>
          <w:b w:val="0"/>
          <w:i w:val="0"/>
          <w:color w:val="000000"/>
          <w:sz w:val="22"/>
        </w:rPr>
        <w:t>子公司，是指被本公司控制的主体（含企业、被投资单位中可分割的部分，以及本公</w:t>
      </w:r>
      <w:r>
        <w:rPr>
          <w:rFonts w:ascii="黑体" w:hAnsi="黑体" w:eastAsia="黑体"/>
          <w:b w:val="0"/>
          <w:i w:val="0"/>
          <w:color w:val="000000"/>
          <w:sz w:val="22"/>
        </w:rPr>
        <w:t>司所控制的结构化主体等）。当且仅当投资方具备下列三要素时，投资方能够控制被投</w:t>
      </w:r>
      <w:r>
        <w:rPr>
          <w:rFonts w:ascii="黑体" w:hAnsi="黑体" w:eastAsia="黑体"/>
          <w:b w:val="0"/>
          <w:i w:val="0"/>
          <w:color w:val="000000"/>
          <w:sz w:val="22"/>
        </w:rPr>
        <w:t>资方：投资方拥有对被投资方的权力；因参与被投资方的相关活动而享有可变回报；</w:t>
      </w:r>
      <w:r>
        <w:rPr>
          <w:rFonts w:ascii="黑体" w:hAnsi="黑体" w:eastAsia="黑体"/>
          <w:b w:val="0"/>
          <w:i w:val="0"/>
          <w:color w:val="000000"/>
          <w:sz w:val="22"/>
        </w:rPr>
        <w:t>有能力运用对被投资方的权力影响其回报金额。</w:t>
      </w:r>
    </w:p>
    <w:p>
      <w:pPr>
        <w:autoSpaceDN w:val="0"/>
        <w:autoSpaceDE w:val="0"/>
        <w:widowControl/>
        <w:spacing w:line="286" w:lineRule="exact" w:before="268" w:after="0"/>
        <w:ind w:left="358" w:right="350" w:firstLine="0"/>
        <w:jc w:val="both"/>
      </w:pPr>
      <w:r>
        <w:rPr>
          <w:rFonts w:ascii="黑体" w:hAnsi="黑体" w:eastAsia="黑体"/>
          <w:b w:val="0"/>
          <w:i w:val="0"/>
          <w:color w:val="000000"/>
          <w:sz w:val="22"/>
        </w:rPr>
        <w:t>子公司与本公司采用的会计政策或会计期间不一致的，在编制合并财务报表时，按照</w:t>
      </w:r>
      <w:r>
        <w:rPr>
          <w:rFonts w:ascii="黑体" w:hAnsi="黑体" w:eastAsia="黑体"/>
          <w:b w:val="0"/>
          <w:i w:val="0"/>
          <w:color w:val="000000"/>
          <w:sz w:val="22"/>
        </w:rPr>
        <w:t>本公司的会计政策和会计期间对子公司财务报表进行必要的调整。本集团内部各公司</w:t>
      </w:r>
      <w:r>
        <w:rPr>
          <w:rFonts w:ascii="黑体" w:hAnsi="黑体" w:eastAsia="黑体"/>
          <w:b w:val="0"/>
          <w:i w:val="0"/>
          <w:color w:val="000000"/>
          <w:sz w:val="22"/>
        </w:rPr>
        <w:t>之间的所有交易产生的资产、负债、权益、收入、费用和现金流量于合并时全额抵</w:t>
      </w:r>
      <w:r>
        <w:rPr>
          <w:rFonts w:ascii="黑体" w:hAnsi="黑体" w:eastAsia="黑体"/>
          <w:b w:val="0"/>
          <w:i w:val="0"/>
          <w:color w:val="000000"/>
          <w:sz w:val="22"/>
        </w:rPr>
        <w:t>销。</w:t>
      </w:r>
    </w:p>
    <w:p>
      <w:pPr>
        <w:autoSpaceDN w:val="0"/>
        <w:autoSpaceDE w:val="0"/>
        <w:widowControl/>
        <w:spacing w:line="286" w:lineRule="exact" w:before="266" w:after="0"/>
        <w:ind w:left="358" w:right="288" w:firstLine="0"/>
        <w:jc w:val="left"/>
      </w:pPr>
      <w:r>
        <w:rPr>
          <w:rFonts w:ascii="黑体" w:hAnsi="黑体" w:eastAsia="黑体"/>
          <w:b w:val="0"/>
          <w:i w:val="0"/>
          <w:color w:val="000000"/>
          <w:sz w:val="22"/>
        </w:rPr>
        <w:t>子公司少数股东分担的当期亏损超过了少数股东在该子公司期初股东权益中所享有的</w:t>
      </w:r>
      <w:r>
        <w:rPr>
          <w:rFonts w:ascii="黑体" w:hAnsi="黑体" w:eastAsia="黑体"/>
          <w:b w:val="0"/>
          <w:i w:val="0"/>
          <w:color w:val="000000"/>
          <w:sz w:val="22"/>
        </w:rPr>
        <w:t>份额的，其余额仍冲减少数股东权益。</w:t>
      </w:r>
    </w:p>
    <w:p>
      <w:pPr>
        <w:autoSpaceDN w:val="0"/>
        <w:autoSpaceDE w:val="0"/>
        <w:widowControl/>
        <w:spacing w:line="233" w:lineRule="auto" w:before="3816" w:after="0"/>
        <w:ind w:left="0" w:right="0" w:firstLine="0"/>
        <w:jc w:val="center"/>
      </w:pPr>
      <w:r>
        <w:rPr>
          <w:rFonts w:ascii="Arial" w:hAnsi="Arial" w:eastAsia="Arial"/>
          <w:b w:val="0"/>
          <w:i w:val="0"/>
          <w:color w:val="000000"/>
          <w:sz w:val="20"/>
        </w:rPr>
        <w:t xml:space="preserve">165 </w:t>
      </w:r>
    </w:p>
    <w:p>
      <w:pPr>
        <w:sectPr>
          <w:pgSz w:w="11906" w:h="16841"/>
          <w:pgMar w:top="101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6. </w:t>
      </w:r>
      <w:r>
        <w:rPr>
          <w:rFonts w:ascii="黑体" w:hAnsi="黑体" w:eastAsia="黑体"/>
          <w:b w:val="0"/>
          <w:i w:val="0"/>
          <w:color w:val="000000"/>
          <w:sz w:val="22"/>
        </w:rPr>
        <w:t>合并财务报表（续）</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对于通过非同一控制下企业合并取得的子公司，被购买方的经营成果和现金流量自本</w:t>
      </w:r>
      <w:r>
        <w:rPr>
          <w:rFonts w:ascii="黑体" w:hAnsi="黑体" w:eastAsia="黑体"/>
          <w:b w:val="0"/>
          <w:i w:val="0"/>
          <w:color w:val="000000"/>
          <w:sz w:val="22"/>
        </w:rPr>
        <w:t>集团取得控制权之日起纳入合并财务报表，直至本集团对其控制权终止。在编制合并</w:t>
      </w:r>
      <w:r>
        <w:rPr>
          <w:rFonts w:ascii="黑体" w:hAnsi="黑体" w:eastAsia="黑体"/>
          <w:b w:val="0"/>
          <w:i w:val="0"/>
          <w:color w:val="000000"/>
          <w:sz w:val="22"/>
        </w:rPr>
        <w:t>财务报表时，以购买日确定的各项可辨认资产、负债及或有负债的公允价值为基础对</w:t>
      </w:r>
      <w:r>
        <w:rPr>
          <w:rFonts w:ascii="黑体" w:hAnsi="黑体" w:eastAsia="黑体"/>
          <w:b w:val="0"/>
          <w:i w:val="0"/>
          <w:color w:val="000000"/>
          <w:sz w:val="22"/>
        </w:rPr>
        <w:t>子公司的财务报表进行调整。</w:t>
      </w:r>
    </w:p>
    <w:p>
      <w:pPr>
        <w:autoSpaceDN w:val="0"/>
        <w:autoSpaceDE w:val="0"/>
        <w:widowControl/>
        <w:spacing w:line="284" w:lineRule="exact" w:before="272" w:after="0"/>
        <w:ind w:left="358" w:right="348" w:firstLine="0"/>
        <w:jc w:val="both"/>
      </w:pPr>
      <w:r>
        <w:rPr>
          <w:rFonts w:ascii="黑体" w:hAnsi="黑体" w:eastAsia="黑体"/>
          <w:b w:val="0"/>
          <w:i w:val="0"/>
          <w:color w:val="000000"/>
          <w:sz w:val="22"/>
        </w:rPr>
        <w:t>对于通过同一控制下企业合并取得的子公司，被合并方的经营成果和现金流量自合并</w:t>
      </w:r>
      <w:r>
        <w:rPr>
          <w:rFonts w:ascii="黑体" w:hAnsi="黑体" w:eastAsia="黑体"/>
          <w:b w:val="0"/>
          <w:i w:val="0"/>
          <w:color w:val="000000"/>
          <w:sz w:val="22"/>
        </w:rPr>
        <w:t>当期期初纳入合并财务报表。编制比较合并财务报表时，对前期财务报表的相关项目</w:t>
      </w:r>
      <w:r>
        <w:rPr>
          <w:rFonts w:ascii="黑体" w:hAnsi="黑体" w:eastAsia="黑体"/>
          <w:b w:val="0"/>
          <w:i w:val="0"/>
          <w:color w:val="000000"/>
          <w:sz w:val="22"/>
        </w:rPr>
        <w:t>进行调整，视同合并后形成的报告主体自最终控制方开始实施控制时一直存在。</w:t>
      </w:r>
    </w:p>
    <w:p>
      <w:pPr>
        <w:autoSpaceDN w:val="0"/>
        <w:autoSpaceDE w:val="0"/>
        <w:widowControl/>
        <w:spacing w:line="286" w:lineRule="exact" w:before="266" w:after="0"/>
        <w:ind w:left="358" w:right="288" w:firstLine="0"/>
        <w:jc w:val="left"/>
      </w:pPr>
      <w:r>
        <w:rPr>
          <w:rFonts w:ascii="黑体" w:hAnsi="黑体" w:eastAsia="黑体"/>
          <w:b w:val="0"/>
          <w:i w:val="0"/>
          <w:color w:val="000000"/>
          <w:sz w:val="22"/>
        </w:rPr>
        <w:t>如果相关事实和情况的变化导致对控制要素中的一项或多项发生变化的，本集团重新</w:t>
      </w:r>
      <w:r>
        <w:rPr>
          <w:rFonts w:ascii="黑体" w:hAnsi="黑体" w:eastAsia="黑体"/>
          <w:b w:val="0"/>
          <w:i w:val="0"/>
          <w:color w:val="000000"/>
          <w:sz w:val="22"/>
        </w:rPr>
        <w:t>评估是否控制被投资方。</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不丧失控制权情况下，少数股东权益发生变化作为权益性交易。</w:t>
      </w:r>
    </w:p>
    <w:p>
      <w:pPr>
        <w:autoSpaceDN w:val="0"/>
        <w:tabs>
          <w:tab w:pos="1044"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7. </w:t>
      </w:r>
      <w:r>
        <w:tab/>
      </w:r>
      <w:r>
        <w:rPr>
          <w:rFonts w:ascii="黑体" w:hAnsi="黑体" w:eastAsia="黑体"/>
          <w:b w:val="0"/>
          <w:i w:val="0"/>
          <w:color w:val="000000"/>
          <w:sz w:val="22"/>
        </w:rPr>
        <w:t>现金及现金等价物</w:t>
      </w:r>
    </w:p>
    <w:p>
      <w:pPr>
        <w:autoSpaceDN w:val="0"/>
        <w:autoSpaceDE w:val="0"/>
        <w:widowControl/>
        <w:spacing w:line="284" w:lineRule="exact" w:before="256" w:after="0"/>
        <w:ind w:left="358" w:right="356" w:firstLine="0"/>
        <w:jc w:val="both"/>
      </w:pPr>
      <w:r>
        <w:rPr>
          <w:rFonts w:ascii="黑体" w:hAnsi="黑体" w:eastAsia="黑体"/>
          <w:b w:val="0"/>
          <w:i w:val="0"/>
          <w:color w:val="000000"/>
          <w:sz w:val="22"/>
        </w:rPr>
        <w:t>现金，是指本集团的库存现金以及可以随时用于支付的存款；现金等价物，是指本集</w:t>
      </w:r>
      <w:r>
        <w:rPr>
          <w:rFonts w:ascii="黑体" w:hAnsi="黑体" w:eastAsia="黑体"/>
          <w:b w:val="0"/>
          <w:i w:val="0"/>
          <w:color w:val="000000"/>
          <w:sz w:val="22"/>
        </w:rPr>
        <w:t>团持有的期限短、流动性强、易于转换为已知金额的现金、价值变动风险很小的投</w:t>
      </w:r>
      <w:r>
        <w:rPr>
          <w:rFonts w:ascii="黑体" w:hAnsi="黑体" w:eastAsia="黑体"/>
          <w:b w:val="0"/>
          <w:i w:val="0"/>
          <w:color w:val="000000"/>
          <w:sz w:val="22"/>
        </w:rPr>
        <w:t>资。</w:t>
      </w:r>
    </w:p>
    <w:p>
      <w:pPr>
        <w:autoSpaceDN w:val="0"/>
        <w:tabs>
          <w:tab w:pos="1044"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8. </w:t>
      </w:r>
      <w:r>
        <w:tab/>
      </w:r>
      <w:r>
        <w:rPr>
          <w:rFonts w:ascii="黑体" w:hAnsi="黑体" w:eastAsia="黑体"/>
          <w:b w:val="0"/>
          <w:i w:val="0"/>
          <w:color w:val="000000"/>
          <w:sz w:val="22"/>
        </w:rPr>
        <w:t>外币业务和外币报表折算</w:t>
      </w:r>
    </w:p>
    <w:p>
      <w:pPr>
        <w:autoSpaceDN w:val="0"/>
        <w:autoSpaceDE w:val="0"/>
        <w:widowControl/>
        <w:spacing w:line="222" w:lineRule="exact" w:before="318" w:after="0"/>
        <w:ind w:left="358" w:right="0" w:firstLine="0"/>
        <w:jc w:val="left"/>
      </w:pPr>
      <w:r>
        <w:rPr>
          <w:rFonts w:ascii="黑体" w:hAnsi="黑体" w:eastAsia="黑体"/>
          <w:b w:val="0"/>
          <w:i w:val="0"/>
          <w:color w:val="000000"/>
          <w:sz w:val="22"/>
        </w:rPr>
        <w:t>本集团对于发生的外币交易，将外币金额折算为记账本位币金额。</w:t>
      </w:r>
    </w:p>
    <w:p>
      <w:pPr>
        <w:autoSpaceDN w:val="0"/>
        <w:autoSpaceDE w:val="0"/>
        <w:widowControl/>
        <w:spacing w:line="286" w:lineRule="exact" w:before="268" w:after="0"/>
        <w:ind w:left="358" w:right="350" w:firstLine="0"/>
        <w:jc w:val="both"/>
      </w:pPr>
      <w:r>
        <w:rPr>
          <w:rFonts w:ascii="黑体" w:hAnsi="黑体" w:eastAsia="黑体"/>
          <w:b w:val="0"/>
          <w:i w:val="0"/>
          <w:color w:val="000000"/>
          <w:sz w:val="22"/>
        </w:rPr>
        <w:t>外币交易在初始确认时，采用交易发生日的即期汇率将外币金额折算为记账本位币金</w:t>
      </w:r>
      <w:r>
        <w:rPr>
          <w:rFonts w:ascii="黑体" w:hAnsi="黑体" w:eastAsia="黑体"/>
          <w:b w:val="0"/>
          <w:i w:val="0"/>
          <w:color w:val="000000"/>
          <w:sz w:val="22"/>
        </w:rPr>
        <w:t>额。于资产负债表日，对于外币货币性项目采用资产负债表日即期汇率折算。由此产</w:t>
      </w:r>
      <w:r>
        <w:rPr>
          <w:rFonts w:ascii="黑体" w:hAnsi="黑体" w:eastAsia="黑体"/>
          <w:b w:val="0"/>
          <w:i w:val="0"/>
          <w:color w:val="000000"/>
          <w:sz w:val="22"/>
        </w:rPr>
        <w:t>生的结算和货币性项目折算差额，除属于与购建符合资本化条件的资产相关的外币专</w:t>
      </w:r>
      <w:r>
        <w:rPr>
          <w:rFonts w:ascii="黑体" w:hAnsi="黑体" w:eastAsia="黑体"/>
          <w:b w:val="0"/>
          <w:i w:val="0"/>
          <w:color w:val="000000"/>
          <w:sz w:val="22"/>
        </w:rPr>
        <w:t>门借款产生的差额按照借款费用资本化的原则处理之外，均计入当期损益。以历史成</w:t>
      </w:r>
      <w:r>
        <w:rPr>
          <w:rFonts w:ascii="黑体" w:hAnsi="黑体" w:eastAsia="黑体"/>
          <w:b w:val="0"/>
          <w:i w:val="0"/>
          <w:color w:val="000000"/>
          <w:sz w:val="22"/>
        </w:rPr>
        <w:t>本计量的外币非货币性项目，仍采用初始确认时所采用的汇率折算，不改变其记账本</w:t>
      </w:r>
      <w:r>
        <w:rPr>
          <w:rFonts w:ascii="黑体" w:hAnsi="黑体" w:eastAsia="黑体"/>
          <w:b w:val="0"/>
          <w:i w:val="0"/>
          <w:color w:val="000000"/>
          <w:sz w:val="22"/>
        </w:rPr>
        <w:t>位币金额。以公允价值计量的外币非货币性项目，采用公允价值确定日的即期汇率折</w:t>
      </w:r>
      <w:r>
        <w:rPr>
          <w:rFonts w:ascii="黑体" w:hAnsi="黑体" w:eastAsia="黑体"/>
          <w:b w:val="0"/>
          <w:i w:val="0"/>
          <w:color w:val="000000"/>
          <w:sz w:val="22"/>
        </w:rPr>
        <w:t>算，由此产生的差额根据非货币性项目的性质计入当期损益或其他综合收益。</w:t>
      </w:r>
    </w:p>
    <w:p>
      <w:pPr>
        <w:autoSpaceDN w:val="0"/>
        <w:autoSpaceDE w:val="0"/>
        <w:widowControl/>
        <w:spacing w:line="286" w:lineRule="exact" w:before="268" w:after="0"/>
        <w:ind w:left="358" w:right="350" w:firstLine="0"/>
        <w:jc w:val="both"/>
      </w:pPr>
      <w:r>
        <w:rPr>
          <w:rFonts w:ascii="黑体" w:hAnsi="黑体" w:eastAsia="黑体"/>
          <w:b w:val="0"/>
          <w:i w:val="0"/>
          <w:color w:val="000000"/>
          <w:sz w:val="22"/>
        </w:rPr>
        <w:t>对于境外经营，本集团在编制财务报表时将其记账本位币折算为人民币：对资产负债</w:t>
      </w:r>
      <w:r>
        <w:rPr>
          <w:rFonts w:ascii="黑体" w:hAnsi="黑体" w:eastAsia="黑体"/>
          <w:b w:val="0"/>
          <w:i w:val="0"/>
          <w:color w:val="000000"/>
          <w:sz w:val="22"/>
        </w:rPr>
        <w:t>表中的资产和负债项目，采用资产负债表日的即期汇率折算，股东权益项目除“未分</w:t>
      </w:r>
      <w:r>
        <w:rPr>
          <w:rFonts w:ascii="黑体" w:hAnsi="黑体" w:eastAsia="黑体"/>
          <w:b w:val="0"/>
          <w:i w:val="0"/>
          <w:color w:val="000000"/>
          <w:sz w:val="22"/>
        </w:rPr>
        <w:t>配利润”项目外，其他项目采用发生时的即期汇率折算；利润表中的收入和费用项</w:t>
      </w:r>
      <w:r>
        <w:rPr>
          <w:rFonts w:ascii="黑体" w:hAnsi="黑体" w:eastAsia="黑体"/>
          <w:b w:val="0"/>
          <w:i w:val="0"/>
          <w:color w:val="000000"/>
          <w:sz w:val="22"/>
        </w:rPr>
        <w:t>目，采用交易发生当期平均汇率（除非汇率波动使得采用该汇率折算不适当，则采用</w:t>
      </w:r>
      <w:r>
        <w:rPr>
          <w:rFonts w:ascii="黑体" w:hAnsi="黑体" w:eastAsia="黑体"/>
          <w:b w:val="0"/>
          <w:i w:val="0"/>
          <w:color w:val="000000"/>
          <w:sz w:val="22"/>
        </w:rPr>
        <w:t>交易发生日的即期汇率折算）折算。按照上述折算产生的外币财务报表折算差额，确</w:t>
      </w:r>
      <w:r>
        <w:rPr>
          <w:rFonts w:ascii="黑体" w:hAnsi="黑体" w:eastAsia="黑体"/>
          <w:b w:val="0"/>
          <w:i w:val="0"/>
          <w:color w:val="000000"/>
          <w:sz w:val="22"/>
        </w:rPr>
        <w:t>认为其他综合收益。处置境外经营时，将与该境外经营相关的其他综合收益转入处置</w:t>
      </w:r>
      <w:r>
        <w:rPr>
          <w:rFonts w:ascii="黑体" w:hAnsi="黑体" w:eastAsia="黑体"/>
          <w:b w:val="0"/>
          <w:i w:val="0"/>
          <w:color w:val="000000"/>
          <w:sz w:val="22"/>
        </w:rPr>
        <w:t>当期损益，部分处置的按处置比例计算。</w:t>
      </w:r>
    </w:p>
    <w:p>
      <w:pPr>
        <w:autoSpaceDN w:val="0"/>
        <w:autoSpaceDE w:val="0"/>
        <w:widowControl/>
        <w:spacing w:line="233" w:lineRule="auto" w:before="1870" w:after="0"/>
        <w:ind w:left="0" w:right="0" w:firstLine="0"/>
        <w:jc w:val="center"/>
      </w:pPr>
      <w:r>
        <w:rPr>
          <w:rFonts w:ascii="Arial" w:hAnsi="Arial" w:eastAsia="Arial"/>
          <w:b w:val="0"/>
          <w:i w:val="0"/>
          <w:color w:val="000000"/>
          <w:sz w:val="20"/>
        </w:rPr>
        <w:t xml:space="preserve">166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8.</w:t>
      </w:r>
      <w:r>
        <w:rPr>
          <w:rFonts w:ascii="黑体" w:hAnsi="黑体" w:eastAsia="黑体"/>
          <w:b w:val="0"/>
          <w:i w:val="0"/>
          <w:color w:val="000000"/>
          <w:sz w:val="22"/>
        </w:rPr>
        <w:t>外币业务和外币报表折算（续）</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外币现金流量以及境外子公司的现金流量，采用现金流量发生当期平均汇率（除非汇</w:t>
      </w:r>
      <w:r>
        <w:rPr>
          <w:rFonts w:ascii="黑体" w:hAnsi="黑体" w:eastAsia="黑体"/>
          <w:b w:val="0"/>
          <w:i w:val="0"/>
          <w:color w:val="000000"/>
          <w:sz w:val="22"/>
        </w:rPr>
        <w:t>率波动使得采用该汇率折算不适当，则采用现金流量发生日的即期汇率折算）折算。</w:t>
      </w:r>
      <w:r>
        <w:rPr>
          <w:rFonts w:ascii="黑体" w:hAnsi="黑体" w:eastAsia="黑体"/>
          <w:b w:val="0"/>
          <w:i w:val="0"/>
          <w:color w:val="000000"/>
          <w:sz w:val="22"/>
        </w:rPr>
        <w:t>汇率变动对现金的影响额作为调节项目，在现金流量表中单独列报。</w:t>
      </w:r>
    </w:p>
    <w:p>
      <w:pPr>
        <w:autoSpaceDN w:val="0"/>
        <w:tabs>
          <w:tab w:pos="1044" w:val="left"/>
        </w:tabs>
        <w:autoSpaceDE w:val="0"/>
        <w:widowControl/>
        <w:spacing w:line="246" w:lineRule="exact" w:before="322" w:after="0"/>
        <w:ind w:left="358" w:right="0" w:firstLine="0"/>
        <w:jc w:val="left"/>
      </w:pPr>
      <w:r>
        <w:rPr>
          <w:rFonts w:ascii="Arial,Bold" w:hAnsi="Arial,Bold" w:eastAsia="Arial,Bold"/>
          <w:b/>
          <w:i w:val="0"/>
          <w:color w:val="000000"/>
          <w:sz w:val="22"/>
        </w:rPr>
        <w:t xml:space="preserve">9. </w:t>
      </w:r>
      <w:r>
        <w:tab/>
      </w:r>
      <w:r>
        <w:rPr>
          <w:rFonts w:ascii="黑体" w:hAnsi="黑体" w:eastAsia="黑体"/>
          <w:b w:val="0"/>
          <w:i w:val="0"/>
          <w:color w:val="000000"/>
          <w:sz w:val="22"/>
        </w:rPr>
        <w:t>金融工具</w:t>
      </w:r>
    </w:p>
    <w:p>
      <w:pPr>
        <w:autoSpaceDN w:val="0"/>
        <w:autoSpaceDE w:val="0"/>
        <w:widowControl/>
        <w:spacing w:line="286" w:lineRule="exact" w:before="254" w:after="0"/>
        <w:ind w:left="358" w:right="288" w:firstLine="0"/>
        <w:jc w:val="left"/>
      </w:pPr>
      <w:r>
        <w:rPr>
          <w:rFonts w:ascii="黑体" w:hAnsi="黑体" w:eastAsia="黑体"/>
          <w:b w:val="0"/>
          <w:i w:val="0"/>
          <w:color w:val="000000"/>
          <w:sz w:val="22"/>
        </w:rPr>
        <w:t>金融工具，是指形成一个企业的金融资产，并形成其他单位的金融负债或权益工具的</w:t>
      </w:r>
      <w:r>
        <w:rPr>
          <w:rFonts w:ascii="黑体" w:hAnsi="黑体" w:eastAsia="黑体"/>
          <w:b w:val="0"/>
          <w:i w:val="0"/>
          <w:color w:val="000000"/>
          <w:sz w:val="22"/>
        </w:rPr>
        <w:t>合同。</w:t>
      </w:r>
    </w:p>
    <w:p>
      <w:pPr>
        <w:autoSpaceDN w:val="0"/>
        <w:autoSpaceDE w:val="0"/>
        <w:widowControl/>
        <w:spacing w:line="220" w:lineRule="exact" w:before="332" w:after="0"/>
        <w:ind w:left="358" w:right="0" w:firstLine="0"/>
        <w:jc w:val="left"/>
      </w:pPr>
      <w:r>
        <w:rPr>
          <w:rFonts w:ascii="黑体" w:hAnsi="黑体" w:eastAsia="黑体"/>
          <w:b w:val="0"/>
          <w:i w:val="0"/>
          <w:color w:val="000000"/>
          <w:sz w:val="22"/>
        </w:rPr>
        <w:t>金融工具的确认和终止确认</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本集团于成为金融工具合同的一方时确认一项金融资产或金融负债。</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满足下列条件的，终止确认金融资产（或金融资产的一部分，或一组类似金融资产的</w:t>
      </w:r>
      <w:r>
        <w:rPr>
          <w:rFonts w:ascii="黑体" w:hAnsi="黑体" w:eastAsia="黑体"/>
          <w:b w:val="0"/>
          <w:i w:val="0"/>
          <w:color w:val="000000"/>
          <w:sz w:val="22"/>
        </w:rPr>
        <w:t>一部分），即将之前确认的金融资产从资产负债表中予以转出：</w:t>
      </w:r>
    </w:p>
    <w:p>
      <w:pPr>
        <w:autoSpaceDN w:val="0"/>
        <w:tabs>
          <w:tab w:pos="924" w:val="left"/>
        </w:tabs>
        <w:autoSpaceDE w:val="0"/>
        <w:widowControl/>
        <w:spacing w:line="280" w:lineRule="exact" w:before="294" w:after="0"/>
        <w:ind w:left="358" w:right="288" w:firstLine="0"/>
        <w:jc w:val="left"/>
      </w:pP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）收取金融资产现金流量的权利届满；</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）转移了收取金融资产现金流量的权利，或在“过手协议”下承担了及时将收取的</w:t>
      </w:r>
      <w:r>
        <w:rPr>
          <w:rFonts w:ascii="黑体" w:hAnsi="黑体" w:eastAsia="黑体"/>
          <w:b w:val="0"/>
          <w:i w:val="0"/>
          <w:color w:val="000000"/>
          <w:sz w:val="22"/>
        </w:rPr>
        <w:t>现金流量全额支付给第三方的义务；并且实质上转让了金融资产所有权上几乎所</w:t>
      </w:r>
      <w:r>
        <w:rPr>
          <w:rFonts w:ascii="黑体" w:hAnsi="黑体" w:eastAsia="黑体"/>
          <w:b w:val="0"/>
          <w:i w:val="0"/>
          <w:color w:val="000000"/>
          <w:sz w:val="22"/>
        </w:rPr>
        <w:t>有的风险和报酬，或者，虽然实质上既没有转移也没有保留金融资产所有权上几</w:t>
      </w:r>
      <w:r>
        <w:rPr>
          <w:rFonts w:ascii="黑体" w:hAnsi="黑体" w:eastAsia="黑体"/>
          <w:b w:val="0"/>
          <w:i w:val="0"/>
          <w:color w:val="000000"/>
          <w:sz w:val="22"/>
        </w:rPr>
        <w:t>乎所有的风险和报酬，但放弃了对该金融资产的控制。</w:t>
      </w:r>
    </w:p>
    <w:p>
      <w:pPr>
        <w:autoSpaceDN w:val="0"/>
        <w:autoSpaceDE w:val="0"/>
        <w:widowControl/>
        <w:spacing w:line="284" w:lineRule="exact" w:before="270" w:after="0"/>
        <w:ind w:left="358" w:right="356" w:firstLine="0"/>
        <w:jc w:val="both"/>
      </w:pPr>
      <w:r>
        <w:rPr>
          <w:rFonts w:ascii="黑体" w:hAnsi="黑体" w:eastAsia="黑体"/>
          <w:b w:val="0"/>
          <w:i w:val="0"/>
          <w:color w:val="000000"/>
          <w:sz w:val="22"/>
        </w:rPr>
        <w:t>如果金融负债的责任已履行、撤销或届满，则对金融负债进行终止确认。如果现有金</w:t>
      </w:r>
      <w:r>
        <w:rPr>
          <w:rFonts w:ascii="黑体" w:hAnsi="黑体" w:eastAsia="黑体"/>
          <w:b w:val="0"/>
          <w:i w:val="0"/>
          <w:color w:val="000000"/>
          <w:sz w:val="22"/>
        </w:rPr>
        <w:t>融负债被同一债权人以实质上几乎完全不同条款的另一金融负债所取代，或现有负债</w:t>
      </w:r>
      <w:r>
        <w:rPr>
          <w:rFonts w:ascii="黑体" w:hAnsi="黑体" w:eastAsia="黑体"/>
          <w:b w:val="0"/>
          <w:i w:val="0"/>
          <w:color w:val="000000"/>
          <w:sz w:val="22"/>
        </w:rPr>
        <w:t>的条款几乎全部被实质性修改，则此类替换或修改作为终止确认原负债和确认新负债</w:t>
      </w:r>
      <w:r>
        <w:rPr>
          <w:rFonts w:ascii="黑体" w:hAnsi="黑体" w:eastAsia="黑体"/>
          <w:b w:val="0"/>
          <w:i w:val="0"/>
          <w:color w:val="000000"/>
          <w:sz w:val="22"/>
        </w:rPr>
        <w:t>处理，差额计入当期损益。</w:t>
      </w:r>
    </w:p>
    <w:p>
      <w:pPr>
        <w:autoSpaceDN w:val="0"/>
        <w:autoSpaceDE w:val="0"/>
        <w:widowControl/>
        <w:spacing w:line="286" w:lineRule="exact" w:before="270" w:after="0"/>
        <w:ind w:left="358" w:right="350" w:firstLine="0"/>
        <w:jc w:val="both"/>
      </w:pPr>
      <w:r>
        <w:rPr>
          <w:rFonts w:ascii="黑体" w:hAnsi="黑体" w:eastAsia="黑体"/>
          <w:b w:val="0"/>
          <w:i w:val="0"/>
          <w:color w:val="000000"/>
          <w:sz w:val="22"/>
        </w:rPr>
        <w:t>以常规方式买卖金融资产，按交易日会计进行确认和终止确认。以常规方式买卖金融</w:t>
      </w:r>
      <w:r>
        <w:rPr>
          <w:rFonts w:ascii="黑体" w:hAnsi="黑体" w:eastAsia="黑体"/>
          <w:b w:val="0"/>
          <w:i w:val="0"/>
          <w:color w:val="000000"/>
          <w:sz w:val="22"/>
        </w:rPr>
        <w:t>资产，是指按照合同规定购买或出售金融资产，并且该合同条款规定，根据通常由法</w:t>
      </w:r>
      <w:r>
        <w:rPr>
          <w:rFonts w:ascii="黑体" w:hAnsi="黑体" w:eastAsia="黑体"/>
          <w:b w:val="0"/>
          <w:i w:val="0"/>
          <w:color w:val="000000"/>
          <w:sz w:val="22"/>
        </w:rPr>
        <w:t>规或市场惯例所确定的时间安排来交付金融资产。交易日，是指本集团承诺买入或卖</w:t>
      </w:r>
      <w:r>
        <w:rPr>
          <w:rFonts w:ascii="黑体" w:hAnsi="黑体" w:eastAsia="黑体"/>
          <w:b w:val="0"/>
          <w:i w:val="0"/>
          <w:color w:val="000000"/>
          <w:sz w:val="22"/>
        </w:rPr>
        <w:t>出金融资产的日期。</w:t>
      </w:r>
    </w:p>
    <w:p>
      <w:pPr>
        <w:autoSpaceDN w:val="0"/>
        <w:autoSpaceDE w:val="0"/>
        <w:widowControl/>
        <w:spacing w:line="233" w:lineRule="auto" w:before="4136" w:after="0"/>
        <w:ind w:left="0" w:right="0" w:firstLine="0"/>
        <w:jc w:val="center"/>
      </w:pPr>
      <w:r>
        <w:rPr>
          <w:rFonts w:ascii="Arial" w:hAnsi="Arial" w:eastAsia="Arial"/>
          <w:b w:val="0"/>
          <w:i w:val="0"/>
          <w:color w:val="000000"/>
          <w:sz w:val="20"/>
        </w:rPr>
        <w:t xml:space="preserve">167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金融资产分类和计量</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本集团的金融资产于初始确认时根据本集团管理金融资产的业务模式和金融资产的合</w:t>
      </w:r>
      <w:r>
        <w:rPr>
          <w:rFonts w:ascii="黑体" w:hAnsi="黑体" w:eastAsia="黑体"/>
          <w:b w:val="0"/>
          <w:i w:val="0"/>
          <w:color w:val="000000"/>
          <w:sz w:val="22"/>
        </w:rPr>
        <w:t>同现金流量特征分类为：以摊余成本计量的金融资产、以公允价值计量且其变动计入</w:t>
      </w:r>
      <w:r>
        <w:rPr>
          <w:rFonts w:ascii="黑体" w:hAnsi="黑体" w:eastAsia="黑体"/>
          <w:b w:val="0"/>
          <w:i w:val="0"/>
          <w:color w:val="000000"/>
          <w:sz w:val="22"/>
        </w:rPr>
        <w:t>其他综合收益的金融资产、以公允价值计量且其变动计入当期损益的金融资产。</w:t>
      </w:r>
    </w:p>
    <w:p>
      <w:pPr>
        <w:autoSpaceDN w:val="0"/>
        <w:autoSpaceDE w:val="0"/>
        <w:widowControl/>
        <w:spacing w:line="284" w:lineRule="exact" w:before="268" w:after="0"/>
        <w:ind w:left="358" w:right="356" w:firstLine="0"/>
        <w:jc w:val="both"/>
      </w:pPr>
      <w:r>
        <w:rPr>
          <w:rFonts w:ascii="黑体" w:hAnsi="黑体" w:eastAsia="黑体"/>
          <w:b w:val="0"/>
          <w:i w:val="0"/>
          <w:color w:val="000000"/>
          <w:sz w:val="22"/>
        </w:rPr>
        <w:t>金融资产在初始确认时以公允价值计量，但是因销售商品或提供服务等产生的应收账</w:t>
      </w:r>
      <w:r>
        <w:rPr>
          <w:rFonts w:ascii="黑体" w:hAnsi="黑体" w:eastAsia="黑体"/>
          <w:b w:val="0"/>
          <w:i w:val="0"/>
          <w:color w:val="000000"/>
          <w:sz w:val="22"/>
        </w:rPr>
        <w:t>款或应收票据未包含重大融资成分或不考虑不超过一年的融资成分的，按照交易价格</w:t>
      </w:r>
      <w:r>
        <w:rPr>
          <w:rFonts w:ascii="黑体" w:hAnsi="黑体" w:eastAsia="黑体"/>
          <w:b w:val="0"/>
          <w:i w:val="0"/>
          <w:color w:val="000000"/>
          <w:sz w:val="22"/>
        </w:rPr>
        <w:t>进行初始计量。</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对于以公允价值计量且其变动计入当期损益的金融资产，相关交易费用直接计入当期</w:t>
      </w:r>
      <w:r>
        <w:rPr>
          <w:rFonts w:ascii="黑体" w:hAnsi="黑体" w:eastAsia="黑体"/>
          <w:b w:val="0"/>
          <w:i w:val="0"/>
          <w:color w:val="000000"/>
          <w:sz w:val="22"/>
        </w:rPr>
        <w:t>损益，其他类别的金融资产相关交易费用计入其初始确认金额。</w:t>
      </w:r>
    </w:p>
    <w:p>
      <w:pPr>
        <w:autoSpaceDN w:val="0"/>
        <w:autoSpaceDE w:val="0"/>
        <w:widowControl/>
        <w:spacing w:line="222" w:lineRule="exact" w:before="332" w:after="0"/>
        <w:ind w:left="358" w:right="0" w:firstLine="0"/>
        <w:jc w:val="left"/>
      </w:pPr>
      <w:r>
        <w:rPr>
          <w:rFonts w:ascii="黑体" w:hAnsi="黑体" w:eastAsia="黑体"/>
          <w:b w:val="0"/>
          <w:i w:val="0"/>
          <w:color w:val="000000"/>
          <w:sz w:val="22"/>
        </w:rPr>
        <w:t>金融资产的后续计量取决于其分类：</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以摊余成本计量的债务工具投资</w:t>
      </w:r>
      <w:r>
        <w:br/>
      </w:r>
      <w:r>
        <w:rPr>
          <w:rFonts w:ascii="黑体" w:hAnsi="黑体" w:eastAsia="黑体"/>
          <w:b w:val="0"/>
          <w:i w:val="0"/>
          <w:color w:val="000000"/>
          <w:sz w:val="22"/>
        </w:rPr>
        <w:t>金融资产同时符合下列条件的，分类为以摊余成本计量的金融资产：管理该金融资产</w:t>
      </w:r>
      <w:r>
        <w:rPr>
          <w:rFonts w:ascii="黑体" w:hAnsi="黑体" w:eastAsia="黑体"/>
          <w:b w:val="0"/>
          <w:i w:val="0"/>
          <w:color w:val="000000"/>
          <w:sz w:val="22"/>
        </w:rPr>
        <w:t>的业务模式是以收取合同现金流量为目标；该金融资产的合同条款规定，在特定日期</w:t>
      </w:r>
      <w:r>
        <w:rPr>
          <w:rFonts w:ascii="黑体" w:hAnsi="黑体" w:eastAsia="黑体"/>
          <w:b w:val="0"/>
          <w:i w:val="0"/>
          <w:color w:val="000000"/>
          <w:sz w:val="22"/>
        </w:rPr>
        <w:t>产生的现金流量仅为对本金和以未偿付本金金额为基础的利息的支付。此类金融资产</w:t>
      </w:r>
      <w:r>
        <w:rPr>
          <w:rFonts w:ascii="黑体" w:hAnsi="黑体" w:eastAsia="黑体"/>
          <w:b w:val="0"/>
          <w:i w:val="0"/>
          <w:color w:val="000000"/>
          <w:sz w:val="22"/>
        </w:rPr>
        <w:t>采用实际利率法确认利息收入，其终止确认、修改或减值产生的利得或损失，均计入</w:t>
      </w:r>
      <w:r>
        <w:rPr>
          <w:rFonts w:ascii="黑体" w:hAnsi="黑体" w:eastAsia="黑体"/>
          <w:b w:val="0"/>
          <w:i w:val="0"/>
          <w:color w:val="000000"/>
          <w:sz w:val="22"/>
        </w:rPr>
        <w:t>当期损益。</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 xml:space="preserve">以公允价值计量且其变动计入其他综合收益的债务工具投资 </w:t>
      </w:r>
      <w:r>
        <w:br/>
      </w:r>
      <w:r>
        <w:rPr>
          <w:rFonts w:ascii="黑体" w:hAnsi="黑体" w:eastAsia="黑体"/>
          <w:b w:val="0"/>
          <w:i w:val="0"/>
          <w:color w:val="000000"/>
          <w:sz w:val="22"/>
        </w:rPr>
        <w:t>金融资产同时符合下列条件的，分类为以公允价值计量且其变动计入其他综合收益的</w:t>
      </w:r>
      <w:r>
        <w:rPr>
          <w:rFonts w:ascii="黑体" w:hAnsi="黑体" w:eastAsia="黑体"/>
          <w:b w:val="0"/>
          <w:i w:val="0"/>
          <w:color w:val="000000"/>
          <w:sz w:val="22"/>
        </w:rPr>
        <w:t>金融资产：本集团管理该金融资产的业务模式是既以收取合同现金流量为目标又以出</w:t>
      </w:r>
      <w:r>
        <w:rPr>
          <w:rFonts w:ascii="黑体" w:hAnsi="黑体" w:eastAsia="黑体"/>
          <w:b w:val="0"/>
          <w:i w:val="0"/>
          <w:color w:val="000000"/>
          <w:sz w:val="22"/>
        </w:rPr>
        <w:t>售金融资产为目标；该金融资产的合同条款规定，在特定日期产生的现金流量仅为对</w:t>
      </w:r>
      <w:r>
        <w:rPr>
          <w:rFonts w:ascii="黑体" w:hAnsi="黑体" w:eastAsia="黑体"/>
          <w:b w:val="0"/>
          <w:i w:val="0"/>
          <w:color w:val="000000"/>
          <w:sz w:val="22"/>
        </w:rPr>
        <w:t>本金和以未偿付本金金额为基础的利息的支付。此类金融资产采用实际利率法确认利</w:t>
      </w:r>
      <w:r>
        <w:rPr>
          <w:rFonts w:ascii="黑体" w:hAnsi="黑体" w:eastAsia="黑体"/>
          <w:b w:val="0"/>
          <w:i w:val="0"/>
          <w:color w:val="000000"/>
          <w:sz w:val="22"/>
        </w:rPr>
        <w:t>息收入。除利息收入、减值损失及汇兑差额确认为当期损益外，其余公允价值变动计</w:t>
      </w:r>
      <w:r>
        <w:rPr>
          <w:rFonts w:ascii="黑体" w:hAnsi="黑体" w:eastAsia="黑体"/>
          <w:b w:val="0"/>
          <w:i w:val="0"/>
          <w:color w:val="000000"/>
          <w:sz w:val="22"/>
        </w:rPr>
        <w:t>入其他综合收益。当金融资产终止确认时，之前计入其他综合收益的累计利得或损失</w:t>
      </w:r>
      <w:r>
        <w:rPr>
          <w:rFonts w:ascii="黑体" w:hAnsi="黑体" w:eastAsia="黑体"/>
          <w:b w:val="0"/>
          <w:i w:val="0"/>
          <w:color w:val="000000"/>
          <w:sz w:val="22"/>
        </w:rPr>
        <w:t>从其他综合收益转出，计入当期损益。</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 xml:space="preserve">以公允价值计量且其变动计入其他综合收益的权益工具投资 </w:t>
      </w:r>
      <w:r>
        <w:br/>
      </w:r>
      <w:r>
        <w:rPr>
          <w:rFonts w:ascii="黑体" w:hAnsi="黑体" w:eastAsia="黑体"/>
          <w:b w:val="0"/>
          <w:i w:val="0"/>
          <w:color w:val="000000"/>
          <w:sz w:val="22"/>
        </w:rPr>
        <w:t>本集团不可撤销地选择将部分非交易性权益工具投资指定为以公允价值计量且其变动</w:t>
      </w:r>
      <w:r>
        <w:rPr>
          <w:rFonts w:ascii="黑体" w:hAnsi="黑体" w:eastAsia="黑体"/>
          <w:b w:val="0"/>
          <w:i w:val="0"/>
          <w:color w:val="000000"/>
          <w:sz w:val="22"/>
        </w:rPr>
        <w:t>计入其他综合收益的金融资产，仅将相关股利收入（明确作为投资成本部分收回的股</w:t>
      </w:r>
      <w:r>
        <w:rPr>
          <w:rFonts w:ascii="黑体" w:hAnsi="黑体" w:eastAsia="黑体"/>
          <w:b w:val="0"/>
          <w:i w:val="0"/>
          <w:color w:val="000000"/>
          <w:sz w:val="22"/>
        </w:rPr>
        <w:t>利收入除外）计入当期损益，公允价值的后续变动计入其他综合收益，不需计提减值</w:t>
      </w:r>
      <w:r>
        <w:rPr>
          <w:rFonts w:ascii="黑体" w:hAnsi="黑体" w:eastAsia="黑体"/>
          <w:b w:val="0"/>
          <w:i w:val="0"/>
          <w:color w:val="000000"/>
          <w:sz w:val="22"/>
        </w:rPr>
        <w:t>准备。当金融资产终止确认时，之前计入其他综合收益的累计利得或损失从其他综合</w:t>
      </w:r>
      <w:r>
        <w:rPr>
          <w:rFonts w:ascii="黑体" w:hAnsi="黑体" w:eastAsia="黑体"/>
          <w:b w:val="0"/>
          <w:i w:val="0"/>
          <w:color w:val="000000"/>
          <w:sz w:val="22"/>
        </w:rPr>
        <w:t>收益转出，计入留存收益。</w:t>
      </w:r>
    </w:p>
    <w:p>
      <w:pPr>
        <w:autoSpaceDN w:val="0"/>
        <w:autoSpaceDE w:val="0"/>
        <w:widowControl/>
        <w:spacing w:line="233" w:lineRule="auto" w:before="2408" w:after="0"/>
        <w:ind w:left="0" w:right="0" w:firstLine="0"/>
        <w:jc w:val="center"/>
      </w:pPr>
      <w:r>
        <w:rPr>
          <w:rFonts w:ascii="Arial" w:hAnsi="Arial" w:eastAsia="Arial"/>
          <w:b w:val="0"/>
          <w:i w:val="0"/>
          <w:color w:val="000000"/>
          <w:sz w:val="20"/>
        </w:rPr>
        <w:t xml:space="preserve">168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金融资产分类和计量（续）</w:t>
      </w:r>
    </w:p>
    <w:p>
      <w:pPr>
        <w:autoSpaceDN w:val="0"/>
        <w:autoSpaceDE w:val="0"/>
        <w:widowControl/>
        <w:spacing w:line="220" w:lineRule="exact" w:before="298" w:after="0"/>
        <w:ind w:left="358" w:right="0" w:firstLine="0"/>
        <w:jc w:val="left"/>
      </w:pPr>
      <w:r>
        <w:rPr>
          <w:rFonts w:ascii="黑体" w:hAnsi="黑体" w:eastAsia="黑体"/>
          <w:b w:val="0"/>
          <w:i w:val="0"/>
          <w:color w:val="000000"/>
          <w:sz w:val="22"/>
        </w:rPr>
        <w:t>金融资产的后续计量取决于其分类：（续）</w:t>
      </w:r>
    </w:p>
    <w:p>
      <w:pPr>
        <w:autoSpaceDN w:val="0"/>
        <w:autoSpaceDE w:val="0"/>
        <w:widowControl/>
        <w:spacing w:line="284" w:lineRule="exact" w:before="238" w:after="0"/>
        <w:ind w:left="358" w:right="288" w:hanging="10"/>
        <w:jc w:val="left"/>
      </w:pPr>
      <w:r>
        <w:rPr>
          <w:rFonts w:ascii="黑体" w:hAnsi="黑体" w:eastAsia="黑体"/>
          <w:b w:val="0"/>
          <w:i w:val="0"/>
          <w:color w:val="000000"/>
          <w:sz w:val="22"/>
        </w:rPr>
        <w:t xml:space="preserve">以公允价值计量且其变动计入当期损益的金融资产 </w:t>
      </w:r>
      <w:r>
        <w:br/>
      </w:r>
      <w:r>
        <w:rPr>
          <w:rFonts w:ascii="黑体" w:hAnsi="黑体" w:eastAsia="黑体"/>
          <w:b w:val="0"/>
          <w:i w:val="0"/>
          <w:color w:val="000000"/>
          <w:sz w:val="22"/>
        </w:rPr>
        <w:t>上述以摊余成本计量的金融资产和以公允价值计量且其变动计入其他综合收益的金融</w:t>
      </w:r>
      <w:r>
        <w:rPr>
          <w:rFonts w:ascii="黑体" w:hAnsi="黑体" w:eastAsia="黑体"/>
          <w:b w:val="0"/>
          <w:i w:val="0"/>
          <w:color w:val="000000"/>
          <w:sz w:val="22"/>
        </w:rPr>
        <w:t>资产之外的金融资产，分类为以公允价值计量且其变动计入当期损益的金融资产。对</w:t>
      </w:r>
      <w:r>
        <w:rPr>
          <w:rFonts w:ascii="黑体" w:hAnsi="黑体" w:eastAsia="黑体"/>
          <w:b w:val="0"/>
          <w:i w:val="0"/>
          <w:color w:val="000000"/>
          <w:sz w:val="22"/>
        </w:rPr>
        <w:t xml:space="preserve">于此类金融资产，采用公允价值进行后续计量，所有公允价值变动计入当期损益。 </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只有能够消除或显著减少会计错配时，金融资产才可在初始计量时指定为以公允价值</w:t>
      </w:r>
      <w:r>
        <w:rPr>
          <w:rFonts w:ascii="黑体" w:hAnsi="黑体" w:eastAsia="黑体"/>
          <w:b w:val="0"/>
          <w:i w:val="0"/>
          <w:color w:val="000000"/>
          <w:sz w:val="22"/>
        </w:rPr>
        <w:t>计量且其变动计入当期损益的金融资产。</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金融负债分类和计量</w:t>
      </w:r>
    </w:p>
    <w:p>
      <w:pPr>
        <w:autoSpaceDN w:val="0"/>
        <w:autoSpaceDE w:val="0"/>
        <w:widowControl/>
        <w:spacing w:line="286" w:lineRule="exact" w:before="218" w:after="0"/>
        <w:ind w:left="358" w:right="356" w:firstLine="0"/>
        <w:jc w:val="both"/>
      </w:pPr>
      <w:r>
        <w:rPr>
          <w:rFonts w:ascii="黑体" w:hAnsi="黑体" w:eastAsia="黑体"/>
          <w:b w:val="0"/>
          <w:i w:val="0"/>
          <w:color w:val="000000"/>
          <w:sz w:val="22"/>
        </w:rPr>
        <w:t>本集团的金融负债于初始确认时分类为：以公允价值计量且其变动计入当期损益的金</w:t>
      </w:r>
      <w:r>
        <w:rPr>
          <w:rFonts w:ascii="黑体" w:hAnsi="黑体" w:eastAsia="黑体"/>
          <w:b w:val="0"/>
          <w:i w:val="0"/>
          <w:color w:val="000000"/>
          <w:sz w:val="22"/>
        </w:rPr>
        <w:t>融负债、以摊余成本计量的金融负债。对于以公允价值计量且其变动计入当期损益的</w:t>
      </w:r>
      <w:r>
        <w:rPr>
          <w:rFonts w:ascii="黑体" w:hAnsi="黑体" w:eastAsia="黑体"/>
          <w:b w:val="0"/>
          <w:i w:val="0"/>
          <w:color w:val="000000"/>
          <w:sz w:val="22"/>
        </w:rPr>
        <w:t>金融负债，相关交易费用直接计入当期损益，以摊余成本计量的金融负债的相关交易</w:t>
      </w:r>
      <w:r>
        <w:rPr>
          <w:rFonts w:ascii="黑体" w:hAnsi="黑体" w:eastAsia="黑体"/>
          <w:b w:val="0"/>
          <w:i w:val="0"/>
          <w:color w:val="000000"/>
          <w:sz w:val="22"/>
        </w:rPr>
        <w:t>费用计入其初始确认金额。</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金融负债的后续计量取决于其分类：</w:t>
      </w:r>
    </w:p>
    <w:p>
      <w:pPr>
        <w:autoSpaceDN w:val="0"/>
        <w:autoSpaceDE w:val="0"/>
        <w:widowControl/>
        <w:spacing w:line="286" w:lineRule="exact" w:before="218" w:after="0"/>
        <w:ind w:left="358" w:right="288" w:hanging="10"/>
        <w:jc w:val="left"/>
      </w:pPr>
      <w:r>
        <w:rPr>
          <w:rFonts w:ascii="黑体" w:hAnsi="黑体" w:eastAsia="黑体"/>
          <w:b w:val="0"/>
          <w:i w:val="0"/>
          <w:color w:val="000000"/>
          <w:sz w:val="22"/>
        </w:rPr>
        <w:t>以公允价值计量且其变动计入当期损益的金融负债</w:t>
      </w:r>
      <w:r>
        <w:br/>
      </w:r>
      <w:r>
        <w:rPr>
          <w:rFonts w:ascii="黑体" w:hAnsi="黑体" w:eastAsia="黑体"/>
          <w:b w:val="0"/>
          <w:i w:val="0"/>
          <w:color w:val="000000"/>
          <w:sz w:val="22"/>
        </w:rPr>
        <w:t>以公允价值计量且其变动计入当期损益的金融负债，包括交易性金融负债（含属于金</w:t>
      </w:r>
      <w:r>
        <w:rPr>
          <w:rFonts w:ascii="黑体" w:hAnsi="黑体" w:eastAsia="黑体"/>
          <w:b w:val="0"/>
          <w:i w:val="0"/>
          <w:color w:val="000000"/>
          <w:sz w:val="22"/>
        </w:rPr>
        <w:t>融负债的衍生工具）和初始确认时指定为以公允价值计量且其变动计入当期损益的金</w:t>
      </w:r>
      <w:r>
        <w:rPr>
          <w:rFonts w:ascii="黑体" w:hAnsi="黑体" w:eastAsia="黑体"/>
          <w:b w:val="0"/>
          <w:i w:val="0"/>
          <w:color w:val="000000"/>
          <w:sz w:val="22"/>
        </w:rPr>
        <w:t>融负债。交易性金融负债（含属于金融负债的衍生工具），按照公允价值进行后续计</w:t>
      </w:r>
      <w:r>
        <w:rPr>
          <w:rFonts w:ascii="黑体" w:hAnsi="黑体" w:eastAsia="黑体"/>
          <w:b w:val="0"/>
          <w:i w:val="0"/>
          <w:color w:val="000000"/>
          <w:sz w:val="22"/>
        </w:rPr>
        <w:t>量，所有公允价值变动均计入当期损益。对于指定为以公允价值计量且其变动计入当</w:t>
      </w:r>
      <w:r>
        <w:rPr>
          <w:rFonts w:ascii="黑体" w:hAnsi="黑体" w:eastAsia="黑体"/>
          <w:b w:val="0"/>
          <w:i w:val="0"/>
          <w:color w:val="000000"/>
          <w:sz w:val="22"/>
        </w:rPr>
        <w:t>期损益的金融负债，按照公允价值进行后续计量，除由本集团自身信用风险变动引起</w:t>
      </w:r>
      <w:r>
        <w:rPr>
          <w:rFonts w:ascii="黑体" w:hAnsi="黑体" w:eastAsia="黑体"/>
          <w:b w:val="0"/>
          <w:i w:val="0"/>
          <w:color w:val="000000"/>
          <w:sz w:val="22"/>
        </w:rPr>
        <w:t>的公允价值变动计入其他综合收益之外，其他公允价值变动计入当期损益；如果由本</w:t>
      </w:r>
      <w:r>
        <w:rPr>
          <w:rFonts w:ascii="黑体" w:hAnsi="黑体" w:eastAsia="黑体"/>
          <w:b w:val="0"/>
          <w:i w:val="0"/>
          <w:color w:val="000000"/>
          <w:sz w:val="22"/>
        </w:rPr>
        <w:t>集团自身信用风险变动引起的公允价值变动计入其他综合收益会造成或扩大损益中的</w:t>
      </w:r>
      <w:r>
        <w:rPr>
          <w:rFonts w:ascii="黑体" w:hAnsi="黑体" w:eastAsia="黑体"/>
          <w:b w:val="0"/>
          <w:i w:val="0"/>
          <w:color w:val="000000"/>
          <w:sz w:val="22"/>
        </w:rPr>
        <w:t>会计错配，本集团将所有公允价值变动（包括自身信用风险变动的影响金额）计入当</w:t>
      </w:r>
      <w:r>
        <w:rPr>
          <w:rFonts w:ascii="黑体" w:hAnsi="黑体" w:eastAsia="黑体"/>
          <w:b w:val="0"/>
          <w:i w:val="0"/>
          <w:color w:val="000000"/>
          <w:sz w:val="22"/>
        </w:rPr>
        <w:t>期损益。</w:t>
      </w:r>
    </w:p>
    <w:p>
      <w:pPr>
        <w:autoSpaceDN w:val="0"/>
        <w:tabs>
          <w:tab w:pos="924" w:val="left"/>
        </w:tabs>
        <w:autoSpaceDE w:val="0"/>
        <w:widowControl/>
        <w:spacing w:line="286" w:lineRule="exact" w:before="270" w:after="0"/>
        <w:ind w:left="358" w:right="288" w:firstLine="0"/>
        <w:jc w:val="left"/>
      </w:pPr>
      <w:r>
        <w:rPr>
          <w:rFonts w:ascii="黑体" w:hAnsi="黑体" w:eastAsia="黑体"/>
          <w:b w:val="0"/>
          <w:i w:val="0"/>
          <w:color w:val="000000"/>
          <w:sz w:val="22"/>
        </w:rPr>
        <w:t>只有符合以下条件之一，金融负债才可在初始计量时指定为以公允价值计量且其变动</w:t>
      </w:r>
      <w:r>
        <w:rPr>
          <w:rFonts w:ascii="黑体" w:hAnsi="黑体" w:eastAsia="黑体"/>
          <w:b w:val="0"/>
          <w:i w:val="0"/>
          <w:color w:val="000000"/>
          <w:sz w:val="22"/>
        </w:rPr>
        <w:t>计入当期损益的金融负债：</w:t>
      </w:r>
      <w:r>
        <w:br/>
      </w: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）能够消除或显著减少会计错配；</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）风险管理或投资策略的正式书面文件已载明，该金融工具组合以公允价值为基础</w:t>
      </w:r>
      <w:r>
        <w:rPr>
          <w:rFonts w:ascii="黑体" w:hAnsi="黑体" w:eastAsia="黑体"/>
          <w:b w:val="0"/>
          <w:i w:val="0"/>
          <w:color w:val="000000"/>
          <w:sz w:val="22"/>
        </w:rPr>
        <w:t>进行管理、评价并向关键管理人员报告；</w:t>
      </w:r>
      <w:r>
        <w:br/>
      </w:r>
      <w:r>
        <w:rPr>
          <w:rFonts w:ascii="黑体" w:hAnsi="黑体" w:eastAsia="黑体"/>
          <w:b w:val="0"/>
          <w:i w:val="0"/>
          <w:color w:val="000000"/>
          <w:sz w:val="22"/>
        </w:rPr>
        <w:t>（</w:t>
      </w:r>
      <w:r>
        <w:rPr>
          <w:rFonts w:ascii="Calibri" w:hAnsi="Calibri" w:eastAsia="Calibri"/>
          <w:b w:val="0"/>
          <w:i w:val="0"/>
          <w:color w:val="000000"/>
          <w:sz w:val="22"/>
        </w:rPr>
        <w:t>3</w:t>
      </w:r>
      <w:r>
        <w:rPr>
          <w:rFonts w:ascii="黑体" w:hAnsi="黑体" w:eastAsia="黑体"/>
          <w:b w:val="0"/>
          <w:i w:val="0"/>
          <w:color w:val="000000"/>
          <w:sz w:val="22"/>
        </w:rPr>
        <w:t>）包含一项或多项嵌入衍生工具的混合工具，除非嵌入衍生工具对混合工具的现金</w:t>
      </w:r>
      <w:r>
        <w:rPr>
          <w:rFonts w:ascii="黑体" w:hAnsi="黑体" w:eastAsia="黑体"/>
          <w:b w:val="0"/>
          <w:i w:val="0"/>
          <w:color w:val="000000"/>
          <w:sz w:val="22"/>
        </w:rPr>
        <w:t>流量没有重大改变，或所嵌入的衍生工具明显不应当从相关混合工具中分拆；</w:t>
      </w:r>
      <w:r>
        <w:rPr>
          <w:rFonts w:ascii="黑体" w:hAnsi="黑体" w:eastAsia="黑体"/>
          <w:b w:val="0"/>
          <w:i w:val="0"/>
          <w:color w:val="000000"/>
          <w:sz w:val="22"/>
        </w:rPr>
        <w:t>（</w:t>
      </w:r>
      <w:r>
        <w:rPr>
          <w:rFonts w:ascii="Calibri" w:hAnsi="Calibri" w:eastAsia="Calibri"/>
          <w:b w:val="0"/>
          <w:i w:val="0"/>
          <w:color w:val="000000"/>
          <w:sz w:val="22"/>
        </w:rPr>
        <w:t>4</w:t>
      </w:r>
      <w:r>
        <w:rPr>
          <w:rFonts w:ascii="黑体" w:hAnsi="黑体" w:eastAsia="黑体"/>
          <w:b w:val="0"/>
          <w:i w:val="0"/>
          <w:color w:val="000000"/>
          <w:sz w:val="22"/>
        </w:rPr>
        <w:t>）包含需要分拆但无法在取得时或后续的资产负债表日对其进行单独计量的嵌入衍</w:t>
      </w:r>
      <w:r>
        <w:rPr>
          <w:rFonts w:ascii="黑体" w:hAnsi="黑体" w:eastAsia="黑体"/>
          <w:b w:val="0"/>
          <w:i w:val="0"/>
          <w:color w:val="000000"/>
          <w:sz w:val="22"/>
        </w:rPr>
        <w:t>生工具的混合工具。</w:t>
      </w:r>
    </w:p>
    <w:p>
      <w:pPr>
        <w:autoSpaceDN w:val="0"/>
        <w:autoSpaceDE w:val="0"/>
        <w:widowControl/>
        <w:spacing w:line="233" w:lineRule="auto" w:before="1450" w:after="0"/>
        <w:ind w:left="0" w:right="0" w:firstLine="0"/>
        <w:jc w:val="center"/>
      </w:pPr>
      <w:r>
        <w:rPr>
          <w:rFonts w:ascii="Arial" w:hAnsi="Arial" w:eastAsia="Arial"/>
          <w:b w:val="0"/>
          <w:i w:val="0"/>
          <w:color w:val="000000"/>
          <w:sz w:val="20"/>
        </w:rPr>
        <w:t xml:space="preserve">169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金融负债分类和计量（续）</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金融负债的后续计量取决于其分类：（续）</w:t>
      </w:r>
    </w:p>
    <w:p>
      <w:pPr>
        <w:autoSpaceDN w:val="0"/>
        <w:autoSpaceDE w:val="0"/>
        <w:widowControl/>
        <w:spacing w:line="220" w:lineRule="exact" w:before="334" w:after="0"/>
        <w:ind w:left="348" w:right="0" w:firstLine="0"/>
        <w:jc w:val="left"/>
      </w:pPr>
      <w:r>
        <w:rPr>
          <w:rFonts w:ascii="黑体" w:hAnsi="黑体" w:eastAsia="黑体"/>
          <w:b w:val="0"/>
          <w:i w:val="0"/>
          <w:color w:val="000000"/>
          <w:sz w:val="22"/>
        </w:rPr>
        <w:t>以公允价值计量且其变动计入当期损益的金融负债（续）</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企业在初始确认时将某金融负债指定为以公允价值计量且其变动计入当期损益的金融</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负债后，不能重分类为其他类别的金融负债；其他类别的金融负债也不能在初始确认</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后重新指定为以公允价值计量且其变动计入当期损益的金融负债。</w:t>
      </w:r>
    </w:p>
    <w:p>
      <w:pPr>
        <w:autoSpaceDN w:val="0"/>
        <w:autoSpaceDE w:val="0"/>
        <w:widowControl/>
        <w:spacing w:line="220" w:lineRule="exact" w:before="332" w:after="0"/>
        <w:ind w:left="348" w:right="0" w:firstLine="0"/>
        <w:jc w:val="left"/>
      </w:pPr>
      <w:r>
        <w:rPr>
          <w:rFonts w:ascii="黑体" w:hAnsi="黑体" w:eastAsia="黑体"/>
          <w:b w:val="0"/>
          <w:i w:val="0"/>
          <w:color w:val="000000"/>
          <w:sz w:val="22"/>
        </w:rPr>
        <w:t>以摊余成本计量的金融负债</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对于此类金融负债，采用实际利率法，按照摊余成本进行后续计量。</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金融工具减值</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 xml:space="preserve">预期信用损失的确定方法及会计处理方法 </w:t>
      </w:r>
    </w:p>
    <w:p>
      <w:pPr>
        <w:autoSpaceDN w:val="0"/>
        <w:autoSpaceDE w:val="0"/>
        <w:widowControl/>
        <w:spacing w:line="222" w:lineRule="exact" w:before="334" w:after="0"/>
        <w:ind w:left="0" w:right="0" w:firstLine="0"/>
        <w:jc w:val="center"/>
      </w:pPr>
      <w:r>
        <w:rPr>
          <w:rFonts w:ascii="黑体" w:hAnsi="黑体" w:eastAsia="黑体"/>
          <w:b w:val="0"/>
          <w:i w:val="0"/>
          <w:color w:val="000000"/>
          <w:sz w:val="22"/>
        </w:rPr>
        <w:t>本集团以预期信用损失为基础，对以摊余成本计量的金融资产和以公允价值计量且其</w:t>
      </w:r>
    </w:p>
    <w:p>
      <w:pPr>
        <w:autoSpaceDN w:val="0"/>
        <w:autoSpaceDE w:val="0"/>
        <w:widowControl/>
        <w:spacing w:line="220" w:lineRule="exact" w:before="62" w:after="0"/>
        <w:ind w:left="358" w:right="0" w:firstLine="0"/>
        <w:jc w:val="left"/>
      </w:pPr>
      <w:r>
        <w:rPr>
          <w:rFonts w:ascii="黑体" w:hAnsi="黑体" w:eastAsia="黑体"/>
          <w:b w:val="0"/>
          <w:i w:val="0"/>
          <w:color w:val="000000"/>
          <w:sz w:val="22"/>
        </w:rPr>
        <w:t>变动计入其他综合收益的债务工具投资进行减值处理并确认损失准备。</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对于不含重大融资成分的应收款项，本集团运用简化计量方法，按照相当于整个存续</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期内的预期信用损失金额计量损失准备。</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本集团对金额重大的应收款项及其他应收款单独进行减值测试，或者对具有类似信用</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风险特征的应收款项及其他应收款组合采用减值矩阵计提坏账准备。</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除上述采用简化计量方法以外的金融资产，本集团在每个资产负债表日评估其信用风</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险自初始确认后是否已经显著增加，如果信用风险自初始确认后未显著增加，处于第</w:t>
      </w:r>
    </w:p>
    <w:p>
      <w:pPr>
        <w:autoSpaceDN w:val="0"/>
        <w:autoSpaceDE w:val="0"/>
        <w:widowControl/>
        <w:spacing w:line="240" w:lineRule="exact" w:before="66" w:after="0"/>
        <w:ind w:left="0" w:right="0" w:firstLine="0"/>
        <w:jc w:val="center"/>
      </w:pPr>
      <w:r>
        <w:rPr>
          <w:rFonts w:ascii="黑体" w:hAnsi="黑体" w:eastAsia="黑体"/>
          <w:b w:val="0"/>
          <w:i w:val="0"/>
          <w:color w:val="000000"/>
          <w:sz w:val="22"/>
        </w:rPr>
        <w:t>一阶段，本集团按照相当于未来</w:t>
      </w:r>
      <w:r>
        <w:rPr>
          <w:rFonts w:ascii="Calibri" w:hAnsi="Calibri" w:eastAsia="Calibri"/>
          <w:b w:val="0"/>
          <w:i w:val="0"/>
          <w:color w:val="000000"/>
          <w:sz w:val="22"/>
        </w:rPr>
        <w:t>12</w:t>
      </w:r>
      <w:r>
        <w:rPr>
          <w:rFonts w:ascii="黑体" w:hAnsi="黑体" w:eastAsia="黑体"/>
          <w:b w:val="0"/>
          <w:i w:val="0"/>
          <w:color w:val="000000"/>
          <w:sz w:val="22"/>
        </w:rPr>
        <w:t>个月内预期信用损失的金额计量损失准备，并按照</w:t>
      </w:r>
    </w:p>
    <w:p>
      <w:pPr>
        <w:autoSpaceDN w:val="0"/>
        <w:autoSpaceDE w:val="0"/>
        <w:widowControl/>
        <w:spacing w:line="220" w:lineRule="exact" w:before="46" w:after="0"/>
        <w:ind w:left="0" w:right="0" w:firstLine="0"/>
        <w:jc w:val="center"/>
      </w:pPr>
      <w:r>
        <w:rPr>
          <w:rFonts w:ascii="黑体" w:hAnsi="黑体" w:eastAsia="黑体"/>
          <w:b w:val="0"/>
          <w:i w:val="0"/>
          <w:color w:val="000000"/>
          <w:sz w:val="22"/>
        </w:rPr>
        <w:t>账面余额和实际利率计算利息收入；如果信用风险自初始确认后已显著增加但尚未发</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生信用减值的，处于第二阶段，本集团按照相当于整个存续期内预期信用损失的金额</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计量损失准备，并按照账面余额和实际利率计算利息收入；如果初始确认后发生信用</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减值的，处于第三阶段，本集团按照相当于整个存续期内预期信用损失的金额计量损</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失准备，并按照摊余成本和实际利率计算利息收入。对于资产负债表日只具有较低信</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用风险的金融工具，本集团假设其信用风险自初始确认后未显著增加。</w:t>
      </w:r>
    </w:p>
    <w:p>
      <w:pPr>
        <w:autoSpaceDN w:val="0"/>
        <w:autoSpaceDE w:val="0"/>
        <w:widowControl/>
        <w:spacing w:line="233" w:lineRule="auto" w:before="3296" w:after="0"/>
        <w:ind w:left="0" w:right="0" w:firstLine="0"/>
        <w:jc w:val="center"/>
      </w:pPr>
      <w:r>
        <w:rPr>
          <w:rFonts w:ascii="Arial" w:hAnsi="Arial" w:eastAsia="Arial"/>
          <w:b w:val="0"/>
          <w:i w:val="0"/>
          <w:color w:val="000000"/>
          <w:sz w:val="20"/>
        </w:rPr>
        <w:t xml:space="preserve">170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金融工具减值（续）</w:t>
      </w:r>
    </w:p>
    <w:p>
      <w:pPr>
        <w:autoSpaceDN w:val="0"/>
        <w:autoSpaceDE w:val="0"/>
        <w:widowControl/>
        <w:spacing w:line="220" w:lineRule="exact" w:before="320" w:after="0"/>
        <w:ind w:left="358" w:right="0" w:firstLine="0"/>
        <w:jc w:val="left"/>
      </w:pPr>
      <w:r>
        <w:rPr>
          <w:rFonts w:ascii="黑体" w:hAnsi="黑体" w:eastAsia="黑体"/>
          <w:b w:val="0"/>
          <w:i w:val="0"/>
          <w:color w:val="000000"/>
          <w:sz w:val="22"/>
        </w:rPr>
        <w:t>按照信用风险特征组合计提减值准备的组合类别及确定依据</w:t>
      </w:r>
    </w:p>
    <w:p>
      <w:pPr>
        <w:autoSpaceDN w:val="0"/>
        <w:autoSpaceDE w:val="0"/>
        <w:widowControl/>
        <w:spacing w:line="286" w:lineRule="exact" w:before="266" w:after="0"/>
        <w:ind w:left="358" w:right="356" w:firstLine="0"/>
        <w:jc w:val="both"/>
      </w:pPr>
      <w:r>
        <w:rPr>
          <w:rFonts w:ascii="黑体" w:hAnsi="黑体" w:eastAsia="黑体"/>
          <w:b w:val="0"/>
          <w:i w:val="0"/>
          <w:color w:val="000000"/>
          <w:sz w:val="22"/>
        </w:rPr>
        <w:t>本集团基于单项和组合评估金融工具的预期信用损失。本集团考虑了不同客户的信用</w:t>
      </w:r>
      <w:r>
        <w:rPr>
          <w:rFonts w:ascii="黑体" w:hAnsi="黑体" w:eastAsia="黑体"/>
          <w:b w:val="0"/>
          <w:i w:val="0"/>
          <w:color w:val="000000"/>
          <w:sz w:val="22"/>
        </w:rPr>
        <w:t>风险特征，以共同风险特征为依据，以账龄组合为基础评估应收款项及其他应收款的</w:t>
      </w:r>
      <w:r>
        <w:rPr>
          <w:rFonts w:ascii="黑体" w:hAnsi="黑体" w:eastAsia="黑体"/>
          <w:b w:val="0"/>
          <w:i w:val="0"/>
          <w:color w:val="000000"/>
          <w:sz w:val="22"/>
        </w:rPr>
        <w:t xml:space="preserve">预期信用损失。 </w:t>
      </w:r>
    </w:p>
    <w:p>
      <w:pPr>
        <w:autoSpaceDN w:val="0"/>
        <w:autoSpaceDE w:val="0"/>
        <w:widowControl/>
        <w:spacing w:line="220" w:lineRule="exact" w:before="350" w:after="0"/>
        <w:ind w:left="358" w:right="0" w:firstLine="0"/>
        <w:jc w:val="left"/>
      </w:pPr>
      <w:r>
        <w:rPr>
          <w:rFonts w:ascii="黑体" w:hAnsi="黑体" w:eastAsia="黑体"/>
          <w:b w:val="0"/>
          <w:i w:val="0"/>
          <w:color w:val="000000"/>
          <w:sz w:val="22"/>
        </w:rPr>
        <w:t xml:space="preserve">基于账龄确认信用风险特征组合的账龄计算方法 </w:t>
      </w:r>
    </w:p>
    <w:p>
      <w:pPr>
        <w:autoSpaceDN w:val="0"/>
        <w:autoSpaceDE w:val="0"/>
        <w:widowControl/>
        <w:spacing w:line="220" w:lineRule="exact" w:before="352" w:after="0"/>
        <w:ind w:left="358" w:right="0" w:firstLine="0"/>
        <w:jc w:val="left"/>
      </w:pPr>
      <w:r>
        <w:rPr>
          <w:rFonts w:ascii="黑体" w:hAnsi="黑体" w:eastAsia="黑体"/>
          <w:b w:val="0"/>
          <w:i w:val="0"/>
          <w:color w:val="000000"/>
          <w:sz w:val="22"/>
        </w:rPr>
        <w:t xml:space="preserve">本集团根据合同约定收款日计算逾期账龄。 </w:t>
      </w:r>
    </w:p>
    <w:p>
      <w:pPr>
        <w:autoSpaceDN w:val="0"/>
        <w:autoSpaceDE w:val="0"/>
        <w:widowControl/>
        <w:spacing w:line="220" w:lineRule="exact" w:before="348" w:after="0"/>
        <w:ind w:left="358" w:right="0" w:firstLine="0"/>
        <w:jc w:val="left"/>
      </w:pPr>
      <w:r>
        <w:rPr>
          <w:rFonts w:ascii="黑体" w:hAnsi="黑体" w:eastAsia="黑体"/>
          <w:b w:val="0"/>
          <w:i w:val="0"/>
          <w:color w:val="000000"/>
          <w:sz w:val="22"/>
        </w:rPr>
        <w:t xml:space="preserve">按照单项计提坏账减值准备的单项计提判断标准 </w:t>
      </w:r>
    </w:p>
    <w:p>
      <w:pPr>
        <w:autoSpaceDN w:val="0"/>
        <w:autoSpaceDE w:val="0"/>
        <w:widowControl/>
        <w:spacing w:line="286" w:lineRule="exact" w:before="286" w:after="0"/>
        <w:ind w:left="358" w:right="356" w:firstLine="0"/>
        <w:jc w:val="both"/>
      </w:pPr>
      <w:r>
        <w:rPr>
          <w:rFonts w:ascii="黑体" w:hAnsi="黑体" w:eastAsia="黑体"/>
          <w:b w:val="0"/>
          <w:i w:val="0"/>
          <w:color w:val="000000"/>
          <w:sz w:val="22"/>
        </w:rPr>
        <w:t>若某一对手方信用风险特征与组合中其他对手方显著不同，对应收该对手方款项按照</w:t>
      </w:r>
      <w:r>
        <w:rPr>
          <w:rFonts w:ascii="黑体" w:hAnsi="黑体" w:eastAsia="黑体"/>
          <w:b w:val="0"/>
          <w:i w:val="0"/>
          <w:color w:val="000000"/>
          <w:sz w:val="22"/>
        </w:rPr>
        <w:t>单项计提损失准备。除前述组合评估预期信用损失的金融工具外，本集团单项评估其</w:t>
      </w:r>
      <w:r>
        <w:rPr>
          <w:rFonts w:ascii="黑体" w:hAnsi="黑体" w:eastAsia="黑体"/>
          <w:b w:val="0"/>
          <w:i w:val="0"/>
          <w:color w:val="000000"/>
          <w:sz w:val="22"/>
        </w:rPr>
        <w:t>预期信用损失。</w:t>
      </w:r>
    </w:p>
    <w:p>
      <w:pPr>
        <w:autoSpaceDN w:val="0"/>
        <w:autoSpaceDE w:val="0"/>
        <w:widowControl/>
        <w:spacing w:line="278" w:lineRule="exact" w:before="296" w:after="0"/>
        <w:ind w:left="358" w:right="352" w:firstLine="0"/>
        <w:jc w:val="both"/>
      </w:pPr>
      <w:r>
        <w:rPr>
          <w:rFonts w:ascii="黑体" w:hAnsi="黑体" w:eastAsia="黑体"/>
          <w:b w:val="0"/>
          <w:i w:val="0"/>
          <w:color w:val="000000"/>
          <w:sz w:val="22"/>
        </w:rPr>
        <w:t>除应收账款外，本集团对满足下列情形的金融工具按照相当于未来</w:t>
      </w:r>
      <w:r>
        <w:rPr>
          <w:rFonts w:ascii="Calibri" w:hAnsi="Calibri" w:eastAsia="Calibri"/>
          <w:b w:val="0"/>
          <w:i w:val="0"/>
          <w:color w:val="000000"/>
          <w:sz w:val="22"/>
        </w:rPr>
        <w:t>12</w:t>
      </w:r>
      <w:r>
        <w:rPr>
          <w:rFonts w:ascii="黑体" w:hAnsi="黑体" w:eastAsia="黑体"/>
          <w:b w:val="0"/>
          <w:i w:val="0"/>
          <w:color w:val="000000"/>
          <w:sz w:val="22"/>
        </w:rPr>
        <w:t>个月内预期信用</w:t>
      </w:r>
      <w:r>
        <w:rPr>
          <w:rFonts w:ascii="黑体" w:hAnsi="黑体" w:eastAsia="黑体"/>
          <w:b w:val="0"/>
          <w:i w:val="0"/>
          <w:color w:val="000000"/>
          <w:sz w:val="22"/>
        </w:rPr>
        <w:t>损失的金额计量其损失准备，对其他金融工具按照相当于整个存续期内预期信用损失</w:t>
      </w:r>
      <w:r>
        <w:rPr>
          <w:rFonts w:ascii="黑体" w:hAnsi="黑体" w:eastAsia="黑体"/>
          <w:b w:val="0"/>
          <w:i w:val="0"/>
          <w:color w:val="000000"/>
          <w:sz w:val="22"/>
        </w:rPr>
        <w:t>的金额计量其损失准备：该金融工具在资产负债表日只具有较低的信用风险；或该金</w:t>
      </w:r>
      <w:r>
        <w:rPr>
          <w:rFonts w:ascii="黑体" w:hAnsi="黑体" w:eastAsia="黑体"/>
          <w:b w:val="0"/>
          <w:i w:val="0"/>
          <w:color w:val="000000"/>
          <w:sz w:val="22"/>
        </w:rPr>
        <w:t>融工具的信用风险自初始确认后并未显著增加。</w:t>
      </w:r>
    </w:p>
    <w:p>
      <w:pPr>
        <w:autoSpaceDN w:val="0"/>
        <w:autoSpaceDE w:val="0"/>
        <w:widowControl/>
        <w:spacing w:line="233" w:lineRule="auto" w:before="6638" w:after="0"/>
        <w:ind w:left="0" w:right="0" w:firstLine="0"/>
        <w:jc w:val="center"/>
      </w:pPr>
      <w:r>
        <w:rPr>
          <w:rFonts w:ascii="Arial" w:hAnsi="Arial" w:eastAsia="Arial"/>
          <w:b w:val="0"/>
          <w:i w:val="0"/>
          <w:color w:val="000000"/>
          <w:sz w:val="20"/>
        </w:rPr>
        <w:t xml:space="preserve">171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66"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金融工具减值（续）</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 xml:space="preserve">具有较低的信用风险 </w:t>
      </w:r>
      <w:r>
        <w:br/>
      </w:r>
      <w:r>
        <w:rPr>
          <w:rFonts w:ascii="黑体" w:hAnsi="黑体" w:eastAsia="黑体"/>
          <w:b w:val="0"/>
          <w:i w:val="0"/>
          <w:color w:val="000000"/>
          <w:sz w:val="22"/>
        </w:rPr>
        <w:t>如果金融工具的违约风险较低，借款人在短期内履行其合同现金流量义务的能力很</w:t>
      </w:r>
      <w:r>
        <w:rPr>
          <w:rFonts w:ascii="黑体" w:hAnsi="黑体" w:eastAsia="黑体"/>
          <w:b w:val="0"/>
          <w:i w:val="0"/>
          <w:color w:val="000000"/>
          <w:sz w:val="22"/>
        </w:rPr>
        <w:t>强，并且即便较长时期内经济形势和经营环境存在不利变化但未必一定降低借款人履</w:t>
      </w:r>
      <w:r>
        <w:rPr>
          <w:rFonts w:ascii="黑体" w:hAnsi="黑体" w:eastAsia="黑体"/>
          <w:b w:val="0"/>
          <w:i w:val="0"/>
          <w:color w:val="000000"/>
          <w:sz w:val="22"/>
        </w:rPr>
        <w:t>行其合同现金流量义务的能力，该金融工具被视为具有较低的信用风险。</w:t>
      </w:r>
    </w:p>
    <w:p>
      <w:pPr>
        <w:autoSpaceDN w:val="0"/>
        <w:autoSpaceDE w:val="0"/>
        <w:widowControl/>
        <w:spacing w:line="284" w:lineRule="exact" w:before="270" w:after="0"/>
        <w:ind w:left="358" w:right="288" w:hanging="10"/>
        <w:jc w:val="left"/>
      </w:pPr>
      <w:r>
        <w:rPr>
          <w:rFonts w:ascii="黑体" w:hAnsi="黑体" w:eastAsia="黑体"/>
          <w:b w:val="0"/>
          <w:i w:val="0"/>
          <w:color w:val="000000"/>
          <w:sz w:val="22"/>
        </w:rPr>
        <w:t xml:space="preserve">信用风险显著增加 </w:t>
      </w:r>
      <w:r>
        <w:br/>
      </w:r>
      <w:r>
        <w:rPr>
          <w:rFonts w:ascii="黑体" w:hAnsi="黑体" w:eastAsia="黑体"/>
          <w:b w:val="0"/>
          <w:i w:val="0"/>
          <w:color w:val="000000"/>
          <w:sz w:val="22"/>
        </w:rPr>
        <w:t>本集团通过比较金融工具在资产负债表日发生违约的风险与在初始确认日发生违约的</w:t>
      </w:r>
      <w:r>
        <w:rPr>
          <w:rFonts w:ascii="黑体" w:hAnsi="黑体" w:eastAsia="黑体"/>
          <w:b w:val="0"/>
          <w:i w:val="0"/>
          <w:color w:val="000000"/>
          <w:sz w:val="22"/>
        </w:rPr>
        <w:t>风险，以确定金融工具预计存续期内发生违约风险的相对变化，以评估金融工具的信</w:t>
      </w:r>
      <w:r>
        <w:rPr>
          <w:rFonts w:ascii="黑体" w:hAnsi="黑体" w:eastAsia="黑体"/>
          <w:b w:val="0"/>
          <w:i w:val="0"/>
          <w:color w:val="000000"/>
          <w:sz w:val="22"/>
        </w:rPr>
        <w:t>用风险自初始确认后是否已显著增加。</w:t>
      </w:r>
    </w:p>
    <w:p>
      <w:pPr>
        <w:autoSpaceDN w:val="0"/>
        <w:tabs>
          <w:tab w:pos="1078" w:val="left"/>
        </w:tabs>
        <w:autoSpaceDE w:val="0"/>
        <w:widowControl/>
        <w:spacing w:line="286" w:lineRule="exact" w:before="268" w:after="0"/>
        <w:ind w:left="358" w:right="288" w:firstLine="0"/>
        <w:jc w:val="left"/>
      </w:pPr>
      <w:r>
        <w:rPr>
          <w:rFonts w:ascii="黑体" w:hAnsi="黑体" w:eastAsia="黑体"/>
          <w:b w:val="0"/>
          <w:i w:val="0"/>
          <w:color w:val="000000"/>
          <w:sz w:val="22"/>
        </w:rPr>
        <w:t>在确定信用风险自初始确认后是否显著增加时，本集团考虑无须付出不必要的额外成</w:t>
      </w:r>
      <w:r>
        <w:rPr>
          <w:rFonts w:ascii="黑体" w:hAnsi="黑体" w:eastAsia="黑体"/>
          <w:b w:val="0"/>
          <w:i w:val="0"/>
          <w:color w:val="000000"/>
          <w:sz w:val="22"/>
        </w:rPr>
        <w:t>本或努力即可获得的合理且有依据的信息，包括前瞻性信息。本集团考虑的信息包</w:t>
      </w:r>
      <w:r>
        <w:rPr>
          <w:rFonts w:ascii="黑体" w:hAnsi="黑体" w:eastAsia="黑体"/>
          <w:b w:val="0"/>
          <w:i w:val="0"/>
          <w:color w:val="000000"/>
          <w:sz w:val="22"/>
        </w:rPr>
        <w:t>括：</w:t>
      </w:r>
      <w:r>
        <w:br/>
      </w:r>
      <w:r>
        <w:rPr>
          <w:rFonts w:ascii="黑体" w:hAnsi="黑体" w:eastAsia="黑体"/>
          <w:b w:val="0"/>
          <w:i w:val="0"/>
          <w:color w:val="000000"/>
          <w:sz w:val="22"/>
        </w:rPr>
        <w:t>（</w:t>
      </w:r>
      <w:r>
        <w:rPr>
          <w:rFonts w:ascii="Times New Roman" w:hAnsi="Times New Roman" w:eastAsia="Times New Roman"/>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债务人未能按合同到期日支付本金和利息的情况；</w:t>
      </w:r>
      <w:r>
        <w:br/>
      </w:r>
      <w:r>
        <w:rPr>
          <w:rFonts w:ascii="黑体" w:hAnsi="黑体" w:eastAsia="黑体"/>
          <w:b w:val="0"/>
          <w:i w:val="0"/>
          <w:color w:val="000000"/>
          <w:sz w:val="22"/>
        </w:rPr>
        <w:t>（</w:t>
      </w:r>
      <w:r>
        <w:rPr>
          <w:rFonts w:ascii="Times New Roman" w:hAnsi="Times New Roman" w:eastAsia="Times New Roman"/>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已发生的或预期的金融工具的外部或内部信用评级（如有）的严重恶化；</w:t>
      </w:r>
      <w:r>
        <w:rPr>
          <w:rFonts w:ascii="黑体" w:hAnsi="黑体" w:eastAsia="黑体"/>
          <w:b w:val="0"/>
          <w:i w:val="0"/>
          <w:color w:val="000000"/>
          <w:sz w:val="22"/>
        </w:rPr>
        <w:t>（</w:t>
      </w:r>
      <w:r>
        <w:rPr>
          <w:rFonts w:ascii="Times New Roman" w:hAnsi="Times New Roman" w:eastAsia="Times New Roman"/>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已发生的或预期的债务人经营成果的严重恶化；</w:t>
      </w:r>
      <w:r>
        <w:br/>
      </w:r>
      <w:r>
        <w:rPr>
          <w:rFonts w:ascii="黑体" w:hAnsi="黑体" w:eastAsia="黑体"/>
          <w:b w:val="0"/>
          <w:i w:val="0"/>
          <w:color w:val="000000"/>
          <w:sz w:val="22"/>
        </w:rPr>
        <w:t>（</w:t>
      </w:r>
      <w:r>
        <w:rPr>
          <w:rFonts w:ascii="Times New Roman" w:hAnsi="Times New Roman" w:eastAsia="Times New Roman"/>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现存的或预期的技术、市场、经济或法律环境变化，并将对债务人对本集团的</w:t>
      </w:r>
      <w:r>
        <w:tab/>
      </w:r>
      <w:r>
        <w:rPr>
          <w:rFonts w:ascii="黑体" w:hAnsi="黑体" w:eastAsia="黑体"/>
          <w:b w:val="0"/>
          <w:i w:val="0"/>
          <w:color w:val="000000"/>
          <w:sz w:val="22"/>
        </w:rPr>
        <w:t>还款能力产生重大不利影响。</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根据金融工具的性质，本集团以单项金融工具或金融工具组合为基础评估信用风险是</w:t>
      </w:r>
      <w:r>
        <w:rPr>
          <w:rFonts w:ascii="黑体" w:hAnsi="黑体" w:eastAsia="黑体"/>
          <w:b w:val="0"/>
          <w:i w:val="0"/>
          <w:color w:val="000000"/>
          <w:sz w:val="22"/>
        </w:rPr>
        <w:t>否显著增加。以金融工具组合为基础进行评估时，本集团可基于共同信用风险特征对</w:t>
      </w:r>
      <w:r>
        <w:rPr>
          <w:rFonts w:ascii="黑体" w:hAnsi="黑体" w:eastAsia="黑体"/>
          <w:b w:val="0"/>
          <w:i w:val="0"/>
          <w:color w:val="000000"/>
          <w:sz w:val="22"/>
        </w:rPr>
        <w:t>金融工具进行分类，例如逾期信息和信用风险评级。</w:t>
      </w:r>
    </w:p>
    <w:p>
      <w:pPr>
        <w:autoSpaceDN w:val="0"/>
        <w:autoSpaceDE w:val="0"/>
        <w:widowControl/>
        <w:spacing w:line="242" w:lineRule="exact" w:before="330" w:after="0"/>
        <w:ind w:left="358" w:right="0" w:firstLine="0"/>
        <w:jc w:val="left"/>
      </w:pPr>
      <w:r>
        <w:rPr>
          <w:rFonts w:ascii="黑体" w:hAnsi="黑体" w:eastAsia="黑体"/>
          <w:b w:val="0"/>
          <w:i w:val="0"/>
          <w:color w:val="000000"/>
          <w:sz w:val="22"/>
        </w:rPr>
        <w:t>如果逾期超过</w:t>
      </w:r>
      <w:r>
        <w:rPr>
          <w:rFonts w:ascii="Calibri" w:hAnsi="Calibri" w:eastAsia="Calibri"/>
          <w:b w:val="0"/>
          <w:i w:val="0"/>
          <w:color w:val="000000"/>
          <w:sz w:val="22"/>
        </w:rPr>
        <w:t>30</w:t>
      </w:r>
      <w:r>
        <w:rPr>
          <w:rFonts w:ascii="黑体" w:hAnsi="黑体" w:eastAsia="黑体"/>
          <w:b w:val="0"/>
          <w:i w:val="0"/>
          <w:color w:val="000000"/>
          <w:sz w:val="22"/>
        </w:rPr>
        <w:t>日，本集团确定金融工具的信用风险已经显著增加。</w:t>
      </w:r>
    </w:p>
    <w:p>
      <w:pPr>
        <w:autoSpaceDN w:val="0"/>
        <w:tabs>
          <w:tab w:pos="1078" w:val="left"/>
        </w:tabs>
        <w:autoSpaceDE w:val="0"/>
        <w:widowControl/>
        <w:spacing w:line="290" w:lineRule="exact" w:before="244" w:after="0"/>
        <w:ind w:left="358" w:right="288" w:firstLine="0"/>
        <w:jc w:val="left"/>
      </w:pPr>
      <w:r>
        <w:rPr>
          <w:rFonts w:ascii="黑体" w:hAnsi="黑体" w:eastAsia="黑体"/>
          <w:b w:val="0"/>
          <w:i w:val="0"/>
          <w:color w:val="000000"/>
          <w:sz w:val="22"/>
        </w:rPr>
        <w:t>本集团认为金融资产在下列情况发生违约：</w:t>
      </w:r>
      <w:r>
        <w:br/>
      </w:r>
      <w:r>
        <w:rPr>
          <w:rFonts w:ascii="黑体" w:hAnsi="黑体" w:eastAsia="黑体"/>
          <w:b w:val="0"/>
          <w:i w:val="0"/>
          <w:color w:val="000000"/>
          <w:sz w:val="22"/>
        </w:rPr>
        <w:t>（</w:t>
      </w:r>
      <w:r>
        <w:rPr>
          <w:rFonts w:ascii="Times New Roman" w:hAnsi="Times New Roman" w:eastAsia="Times New Roman"/>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借款人不大可能全额支付其对本集团的欠款，该评估不考虑本集团采取例如变</w:t>
      </w:r>
      <w:r>
        <w:tab/>
      </w:r>
      <w:r>
        <w:rPr>
          <w:rFonts w:ascii="黑体" w:hAnsi="黑体" w:eastAsia="黑体"/>
          <w:b w:val="0"/>
          <w:i w:val="0"/>
          <w:color w:val="000000"/>
          <w:sz w:val="22"/>
        </w:rPr>
        <w:t>现抵押品（如果持有）等追索行动；或</w:t>
      </w:r>
      <w:r>
        <w:br/>
      </w:r>
      <w:r>
        <w:rPr>
          <w:rFonts w:ascii="黑体" w:hAnsi="黑体" w:eastAsia="黑体"/>
          <w:b w:val="0"/>
          <w:i w:val="0"/>
          <w:color w:val="000000"/>
          <w:sz w:val="22"/>
        </w:rPr>
        <w:t>（</w:t>
      </w:r>
      <w:r>
        <w:rPr>
          <w:rFonts w:ascii="Times New Roman" w:hAnsi="Times New Roman" w:eastAsia="Times New Roman"/>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金融资产逾期超过</w:t>
      </w:r>
      <w:r>
        <w:rPr>
          <w:rFonts w:ascii="Times New Roman" w:hAnsi="Times New Roman" w:eastAsia="Times New Roman"/>
          <w:b w:val="0"/>
          <w:i w:val="0"/>
          <w:color w:val="000000"/>
          <w:sz w:val="22"/>
        </w:rPr>
        <w:t>90</w:t>
      </w:r>
      <w:r>
        <w:rPr>
          <w:rFonts w:ascii="黑体" w:hAnsi="黑体" w:eastAsia="黑体"/>
          <w:b w:val="0"/>
          <w:i w:val="0"/>
          <w:color w:val="000000"/>
          <w:sz w:val="22"/>
        </w:rPr>
        <w:t>天。</w:t>
      </w:r>
    </w:p>
    <w:p>
      <w:pPr>
        <w:autoSpaceDN w:val="0"/>
        <w:autoSpaceDE w:val="0"/>
        <w:widowControl/>
        <w:spacing w:line="233" w:lineRule="auto" w:before="4088" w:after="0"/>
        <w:ind w:left="0" w:right="0" w:firstLine="0"/>
        <w:jc w:val="center"/>
      </w:pPr>
      <w:r>
        <w:rPr>
          <w:rFonts w:ascii="Arial" w:hAnsi="Arial" w:eastAsia="Arial"/>
          <w:b w:val="0"/>
          <w:i w:val="0"/>
          <w:color w:val="000000"/>
          <w:sz w:val="20"/>
        </w:rPr>
        <w:t xml:space="preserve">172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金融工具减值（续）</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 xml:space="preserve">已发生信用减值的金融资产 </w:t>
      </w:r>
      <w:r>
        <w:br/>
      </w:r>
      <w:r>
        <w:rPr>
          <w:rFonts w:ascii="黑体" w:hAnsi="黑体" w:eastAsia="黑体"/>
          <w:b w:val="0"/>
          <w:i w:val="0"/>
          <w:color w:val="000000"/>
          <w:sz w:val="22"/>
        </w:rPr>
        <w:t>本集团在资产负债表日评估以摊余成本计量的金融资产和以公允价值计量且其变动计</w:t>
      </w:r>
      <w:r>
        <w:rPr>
          <w:rFonts w:ascii="黑体" w:hAnsi="黑体" w:eastAsia="黑体"/>
          <w:b w:val="0"/>
          <w:i w:val="0"/>
          <w:color w:val="000000"/>
          <w:sz w:val="22"/>
        </w:rPr>
        <w:t>入其他综合收益的债权投资是否已发生信用减值。当对金融资产预期未来现金流量具</w:t>
      </w:r>
      <w:r>
        <w:rPr>
          <w:rFonts w:ascii="黑体" w:hAnsi="黑体" w:eastAsia="黑体"/>
          <w:b w:val="0"/>
          <w:i w:val="0"/>
          <w:color w:val="000000"/>
          <w:sz w:val="22"/>
        </w:rPr>
        <w:t>有不利影响的一项或多项事件发生时，该金融资产成为已发生信用减值的金融资产。</w:t>
      </w:r>
    </w:p>
    <w:p>
      <w:pPr>
        <w:autoSpaceDN w:val="0"/>
        <w:tabs>
          <w:tab w:pos="1078" w:val="left"/>
        </w:tabs>
        <w:autoSpaceDE w:val="0"/>
        <w:widowControl/>
        <w:spacing w:line="288" w:lineRule="exact" w:before="0" w:after="0"/>
        <w:ind w:left="358" w:right="288" w:firstLine="0"/>
        <w:jc w:val="left"/>
      </w:pPr>
      <w:r>
        <w:rPr>
          <w:rFonts w:ascii="黑体" w:hAnsi="黑体" w:eastAsia="黑体"/>
          <w:b w:val="0"/>
          <w:i w:val="0"/>
          <w:color w:val="000000"/>
          <w:sz w:val="22"/>
        </w:rPr>
        <w:t>金融资产已发生信用减值的证据包括下列可观察信息：</w:t>
      </w:r>
      <w:r>
        <w:br/>
      </w:r>
      <w:r>
        <w:rPr>
          <w:rFonts w:ascii="黑体" w:hAnsi="黑体" w:eastAsia="黑体"/>
          <w:b w:val="0"/>
          <w:i w:val="0"/>
          <w:color w:val="000000"/>
          <w:sz w:val="22"/>
        </w:rPr>
        <w:t>（</w:t>
      </w:r>
      <w:r>
        <w:rPr>
          <w:rFonts w:ascii="Times New Roman" w:hAnsi="Times New Roman" w:eastAsia="Times New Roman"/>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发行方或债务人发生重大财务困难；</w:t>
      </w:r>
      <w:r>
        <w:br/>
      </w:r>
      <w:r>
        <w:rPr>
          <w:rFonts w:ascii="黑体" w:hAnsi="黑体" w:eastAsia="黑体"/>
          <w:b w:val="0"/>
          <w:i w:val="0"/>
          <w:color w:val="000000"/>
          <w:sz w:val="22"/>
        </w:rPr>
        <w:t>（</w:t>
      </w:r>
      <w:r>
        <w:rPr>
          <w:rFonts w:ascii="Times New Roman" w:hAnsi="Times New Roman" w:eastAsia="Times New Roman"/>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债务人违反合同，如偿付利息或本金违约或逾期等；</w:t>
      </w:r>
      <w:r>
        <w:br/>
      </w:r>
      <w:r>
        <w:rPr>
          <w:rFonts w:ascii="黑体" w:hAnsi="黑体" w:eastAsia="黑体"/>
          <w:b w:val="0"/>
          <w:i w:val="0"/>
          <w:color w:val="000000"/>
          <w:sz w:val="22"/>
        </w:rPr>
        <w:t>（</w:t>
      </w:r>
      <w:r>
        <w:rPr>
          <w:rFonts w:ascii="Times New Roman" w:hAnsi="Times New Roman" w:eastAsia="Times New Roman"/>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本集团出于与债务人财务困难有关的经济或合同考虑，给予债务人在任何其他</w:t>
      </w:r>
      <w:r>
        <w:tab/>
      </w:r>
      <w:r>
        <w:rPr>
          <w:rFonts w:ascii="黑体" w:hAnsi="黑体" w:eastAsia="黑体"/>
          <w:b w:val="0"/>
          <w:i w:val="0"/>
          <w:color w:val="000000"/>
          <w:sz w:val="22"/>
        </w:rPr>
        <w:t>情况下都不会做出的让步；</w:t>
      </w:r>
      <w:r>
        <w:br/>
      </w:r>
      <w:r>
        <w:rPr>
          <w:rFonts w:ascii="黑体" w:hAnsi="黑体" w:eastAsia="黑体"/>
          <w:b w:val="0"/>
          <w:i w:val="0"/>
          <w:color w:val="000000"/>
          <w:sz w:val="22"/>
        </w:rPr>
        <w:t>（</w:t>
      </w:r>
      <w:r>
        <w:rPr>
          <w:rFonts w:ascii="Times New Roman" w:hAnsi="Times New Roman" w:eastAsia="Times New Roman"/>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债务人很可能破产或进行其他财务重组；</w:t>
      </w:r>
      <w:r>
        <w:br/>
      </w:r>
      <w:r>
        <w:rPr>
          <w:rFonts w:ascii="黑体" w:hAnsi="黑体" w:eastAsia="黑体"/>
          <w:b w:val="0"/>
          <w:i w:val="0"/>
          <w:color w:val="000000"/>
          <w:sz w:val="22"/>
        </w:rPr>
        <w:t>（</w:t>
      </w:r>
      <w:r>
        <w:rPr>
          <w:rFonts w:ascii="Times New Roman" w:hAnsi="Times New Roman" w:eastAsia="Times New Roman"/>
          <w:b w:val="0"/>
          <w:i w:val="0"/>
          <w:color w:val="000000"/>
          <w:sz w:val="22"/>
        </w:rPr>
        <w:t>5</w:t>
      </w:r>
      <w:r>
        <w:rPr>
          <w:rFonts w:ascii="黑体" w:hAnsi="黑体" w:eastAsia="黑体"/>
          <w:b w:val="0"/>
          <w:i w:val="0"/>
          <w:color w:val="000000"/>
          <w:sz w:val="22"/>
        </w:rPr>
        <w:t>）</w:t>
      </w:r>
      <w:r>
        <w:rPr>
          <w:rFonts w:ascii="黑体" w:hAnsi="黑体" w:eastAsia="黑体"/>
          <w:b w:val="0"/>
          <w:i w:val="0"/>
          <w:color w:val="000000"/>
          <w:sz w:val="22"/>
        </w:rPr>
        <w:t>发行方或债务人财务困难导致该金融资产的活跃市场消失。</w:t>
      </w:r>
    </w:p>
    <w:p>
      <w:pPr>
        <w:autoSpaceDN w:val="0"/>
        <w:autoSpaceDE w:val="0"/>
        <w:widowControl/>
        <w:spacing w:line="286" w:lineRule="exact" w:before="254" w:after="0"/>
        <w:ind w:left="358" w:right="288" w:hanging="10"/>
        <w:jc w:val="left"/>
      </w:pPr>
      <w:r>
        <w:rPr>
          <w:rFonts w:ascii="黑体" w:hAnsi="黑体" w:eastAsia="黑体"/>
          <w:b w:val="0"/>
          <w:i w:val="0"/>
          <w:color w:val="000000"/>
          <w:sz w:val="22"/>
        </w:rPr>
        <w:t xml:space="preserve">预期信用损失准备的列报 </w:t>
      </w:r>
      <w:r>
        <w:br/>
      </w:r>
      <w:r>
        <w:rPr>
          <w:rFonts w:ascii="黑体" w:hAnsi="黑体" w:eastAsia="黑体"/>
          <w:b w:val="0"/>
          <w:i w:val="0"/>
          <w:color w:val="000000"/>
          <w:sz w:val="22"/>
        </w:rPr>
        <w:t>为反映金融工具的信用风险自初始确认后的变化，本集团在每个资产负债表日重新计</w:t>
      </w:r>
      <w:r>
        <w:rPr>
          <w:rFonts w:ascii="黑体" w:hAnsi="黑体" w:eastAsia="黑体"/>
          <w:b w:val="0"/>
          <w:i w:val="0"/>
          <w:color w:val="000000"/>
          <w:sz w:val="22"/>
        </w:rPr>
        <w:t>量预期信用损失，由此形成的损失准备的增加或转回金额，作为减值损失或利得计入</w:t>
      </w:r>
      <w:r>
        <w:rPr>
          <w:rFonts w:ascii="黑体" w:hAnsi="黑体" w:eastAsia="黑体"/>
          <w:b w:val="0"/>
          <w:i w:val="0"/>
          <w:color w:val="000000"/>
          <w:sz w:val="22"/>
        </w:rPr>
        <w:t>当期损益。对于以摊余成本计量的金融资产，损失准备抵减该金融资产在资产负债表</w:t>
      </w:r>
      <w:r>
        <w:rPr>
          <w:rFonts w:ascii="黑体" w:hAnsi="黑体" w:eastAsia="黑体"/>
          <w:b w:val="0"/>
          <w:i w:val="0"/>
          <w:color w:val="000000"/>
          <w:sz w:val="22"/>
        </w:rPr>
        <w:t>中列示的账面价值；对于以公允价值计量且其变动计入其他综合收益的债权投资，本</w:t>
      </w:r>
      <w:r>
        <w:rPr>
          <w:rFonts w:ascii="黑体" w:hAnsi="黑体" w:eastAsia="黑体"/>
          <w:b w:val="0"/>
          <w:i w:val="0"/>
          <w:color w:val="000000"/>
          <w:sz w:val="22"/>
        </w:rPr>
        <w:t>集团在其他综合收益中确认其损失准备，不抵减该金融资产的账面价值。</w:t>
      </w:r>
    </w:p>
    <w:p>
      <w:pPr>
        <w:autoSpaceDN w:val="0"/>
        <w:autoSpaceDE w:val="0"/>
        <w:widowControl/>
        <w:spacing w:line="286" w:lineRule="exact" w:before="270" w:after="0"/>
        <w:ind w:left="358" w:right="356" w:firstLine="0"/>
        <w:jc w:val="both"/>
      </w:pPr>
      <w:r>
        <w:rPr>
          <w:rFonts w:ascii="黑体" w:hAnsi="黑体" w:eastAsia="黑体"/>
          <w:b w:val="0"/>
          <w:i w:val="0"/>
          <w:color w:val="000000"/>
          <w:sz w:val="22"/>
        </w:rPr>
        <w:t>本集团计量金融工具预期信用损失的方法反映的因素包括：通过评价一系列可能的结</w:t>
      </w:r>
      <w:r>
        <w:rPr>
          <w:rFonts w:ascii="黑体" w:hAnsi="黑体" w:eastAsia="黑体"/>
          <w:b w:val="0"/>
          <w:i w:val="0"/>
          <w:color w:val="000000"/>
          <w:sz w:val="22"/>
        </w:rPr>
        <w:t>果而确定的无偏概率加权平均金额、货币时间价值，以及在资产负债表日无须付出不</w:t>
      </w:r>
      <w:r>
        <w:rPr>
          <w:rFonts w:ascii="黑体" w:hAnsi="黑体" w:eastAsia="黑体"/>
          <w:b w:val="0"/>
          <w:i w:val="0"/>
          <w:color w:val="000000"/>
          <w:sz w:val="22"/>
        </w:rPr>
        <w:t>必要的额外成本或努力即可获得的有关过去事项、当前状况以及未来经济状况预测的</w:t>
      </w:r>
      <w:r>
        <w:rPr>
          <w:rFonts w:ascii="黑体" w:hAnsi="黑体" w:eastAsia="黑体"/>
          <w:b w:val="0"/>
          <w:i w:val="0"/>
          <w:color w:val="000000"/>
          <w:sz w:val="22"/>
        </w:rPr>
        <w:t>合理且有依据的信息。</w:t>
      </w:r>
    </w:p>
    <w:p>
      <w:pPr>
        <w:autoSpaceDN w:val="0"/>
        <w:autoSpaceDE w:val="0"/>
        <w:widowControl/>
        <w:spacing w:line="220" w:lineRule="exact" w:before="332" w:after="0"/>
        <w:ind w:left="358" w:right="0" w:firstLine="0"/>
        <w:jc w:val="left"/>
      </w:pPr>
      <w:r>
        <w:rPr>
          <w:rFonts w:ascii="黑体" w:hAnsi="黑体" w:eastAsia="黑体"/>
          <w:b w:val="0"/>
          <w:i w:val="0"/>
          <w:color w:val="000000"/>
          <w:sz w:val="22"/>
        </w:rPr>
        <w:t>减值准备的核销</w:t>
      </w:r>
    </w:p>
    <w:p>
      <w:pPr>
        <w:autoSpaceDN w:val="0"/>
        <w:autoSpaceDE w:val="0"/>
        <w:widowControl/>
        <w:spacing w:line="286" w:lineRule="exact" w:before="258" w:after="0"/>
        <w:ind w:left="358" w:right="356" w:firstLine="0"/>
        <w:jc w:val="both"/>
      </w:pPr>
      <w:r>
        <w:rPr>
          <w:rFonts w:ascii="黑体" w:hAnsi="黑体" w:eastAsia="黑体"/>
          <w:b w:val="0"/>
          <w:i w:val="0"/>
          <w:color w:val="000000"/>
          <w:sz w:val="22"/>
        </w:rPr>
        <w:t>如果本集团不再合理预期金融资产合同现金流量能够全部或部分收回，则直接减记该</w:t>
      </w:r>
      <w:r>
        <w:rPr>
          <w:rFonts w:ascii="黑体" w:hAnsi="黑体" w:eastAsia="黑体"/>
          <w:b w:val="0"/>
          <w:i w:val="0"/>
          <w:color w:val="000000"/>
          <w:sz w:val="22"/>
        </w:rPr>
        <w:t>金融资产的账面余额。这种减记构成相关金融资产的终止确认。这种情况通常发生在</w:t>
      </w:r>
      <w:r>
        <w:rPr>
          <w:rFonts w:ascii="黑体" w:hAnsi="黑体" w:eastAsia="黑体"/>
          <w:b w:val="0"/>
          <w:i w:val="0"/>
          <w:color w:val="000000"/>
          <w:sz w:val="22"/>
        </w:rPr>
        <w:t>本集团确定债务人没有资产或收入来源可产生足够的现金流量以偿还将被减记的金</w:t>
      </w:r>
      <w:r>
        <w:rPr>
          <w:rFonts w:ascii="黑体" w:hAnsi="黑体" w:eastAsia="黑体"/>
          <w:b w:val="0"/>
          <w:i w:val="0"/>
          <w:color w:val="000000"/>
          <w:sz w:val="22"/>
        </w:rPr>
        <w:t>额。但是，被减记的金融资产仍可能受到本集团催收到期款项相关执行活动的影响。</w:t>
      </w:r>
    </w:p>
    <w:p>
      <w:pPr>
        <w:autoSpaceDN w:val="0"/>
        <w:autoSpaceDE w:val="0"/>
        <w:widowControl/>
        <w:spacing w:line="286" w:lineRule="exact" w:before="266" w:after="0"/>
        <w:ind w:left="358" w:right="356" w:firstLine="0"/>
        <w:jc w:val="both"/>
      </w:pPr>
      <w:r>
        <w:rPr>
          <w:rFonts w:ascii="黑体" w:hAnsi="黑体" w:eastAsia="黑体"/>
          <w:b w:val="0"/>
          <w:i w:val="0"/>
          <w:color w:val="000000"/>
          <w:sz w:val="22"/>
        </w:rPr>
        <w:t>已减记的金融资产以后又收回的，作为减值损失的转回计入收回当期的损益。当本集</w:t>
      </w:r>
      <w:r>
        <w:rPr>
          <w:rFonts w:ascii="黑体" w:hAnsi="黑体" w:eastAsia="黑体"/>
          <w:b w:val="0"/>
          <w:i w:val="0"/>
          <w:color w:val="000000"/>
          <w:sz w:val="22"/>
        </w:rPr>
        <w:t>团不再合理预期能够全部或部分收回金融资产合同现金流量时，本集团直接减记该金</w:t>
      </w:r>
      <w:r>
        <w:rPr>
          <w:rFonts w:ascii="黑体" w:hAnsi="黑体" w:eastAsia="黑体"/>
          <w:b w:val="0"/>
          <w:i w:val="0"/>
          <w:color w:val="000000"/>
          <w:sz w:val="22"/>
        </w:rPr>
        <w:t>融资产的账面余额。</w:t>
      </w:r>
    </w:p>
    <w:p>
      <w:pPr>
        <w:autoSpaceDN w:val="0"/>
        <w:autoSpaceDE w:val="0"/>
        <w:widowControl/>
        <w:spacing w:line="233" w:lineRule="auto" w:before="2688" w:after="0"/>
        <w:ind w:left="0" w:right="0" w:firstLine="0"/>
        <w:jc w:val="center"/>
      </w:pPr>
      <w:r>
        <w:rPr>
          <w:rFonts w:ascii="Arial" w:hAnsi="Arial" w:eastAsia="Arial"/>
          <w:b w:val="0"/>
          <w:i w:val="0"/>
          <w:color w:val="000000"/>
          <w:sz w:val="20"/>
        </w:rPr>
        <w:t xml:space="preserve">173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9.</w:t>
      </w:r>
      <w:r>
        <w:rPr>
          <w:rFonts w:ascii="黑体" w:hAnsi="黑体" w:eastAsia="黑体"/>
          <w:b w:val="0"/>
          <w:i w:val="0"/>
          <w:color w:val="000000"/>
          <w:sz w:val="22"/>
        </w:rPr>
        <w:t>金融工具（续）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金融资产转移</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本集团已将金融资产所有权上几乎所有的风险和报酬转移给转入方的，终止确认该金</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融资产；保留了金融资产所有权上几乎所有的风险和报酬的，不终止确认该金融资</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产。</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本集团既没有转移也没有保留金融资产所有权上几乎所有的风险和报酬的，分别下列</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情况处理：放弃了对该金融资产控制的，终止确认该金融资产并确认产生的资产和负</w:t>
      </w:r>
    </w:p>
    <w:p>
      <w:pPr>
        <w:autoSpaceDN w:val="0"/>
        <w:autoSpaceDE w:val="0"/>
        <w:widowControl/>
        <w:spacing w:line="222" w:lineRule="exact" w:before="62" w:after="0"/>
        <w:ind w:left="0" w:right="0" w:firstLine="0"/>
        <w:jc w:val="center"/>
      </w:pPr>
      <w:r>
        <w:rPr>
          <w:rFonts w:ascii="黑体" w:hAnsi="黑体" w:eastAsia="黑体"/>
          <w:b w:val="0"/>
          <w:i w:val="0"/>
          <w:color w:val="000000"/>
          <w:sz w:val="22"/>
        </w:rPr>
        <w:t>债；未放弃对该金融资产控制的，按照其继续涉入所转移金融资产的程度确认有关金</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融资产，并相应确认有关负债。</w:t>
      </w:r>
    </w:p>
    <w:p>
      <w:pPr>
        <w:autoSpaceDN w:val="0"/>
        <w:autoSpaceDE w:val="0"/>
        <w:widowControl/>
        <w:spacing w:line="222" w:lineRule="exact" w:before="334" w:after="0"/>
        <w:ind w:left="0" w:right="0" w:firstLine="0"/>
        <w:jc w:val="center"/>
      </w:pPr>
      <w:r>
        <w:rPr>
          <w:rFonts w:ascii="黑体" w:hAnsi="黑体" w:eastAsia="黑体"/>
          <w:b w:val="0"/>
          <w:i w:val="0"/>
          <w:color w:val="000000"/>
          <w:sz w:val="22"/>
        </w:rPr>
        <w:t>通过对所转移金融资产提供财务担保方式继续涉入的，按照金融资产的账面价值和财</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务担保金额两者之中的较低者，确认继续涉入形成的资产。财务担保金额，是指所收</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到的对价中，将被要求偿还的最高金额。</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金融工具抵销</w:t>
      </w:r>
    </w:p>
    <w:p>
      <w:pPr>
        <w:autoSpaceDN w:val="0"/>
        <w:autoSpaceDE w:val="0"/>
        <w:widowControl/>
        <w:spacing w:line="222" w:lineRule="exact" w:before="332" w:after="0"/>
        <w:ind w:left="0" w:right="0" w:firstLine="0"/>
        <w:jc w:val="center"/>
      </w:pPr>
      <w:r>
        <w:rPr>
          <w:rFonts w:ascii="黑体" w:hAnsi="黑体" w:eastAsia="黑体"/>
          <w:b w:val="0"/>
          <w:i w:val="0"/>
          <w:color w:val="000000"/>
          <w:sz w:val="22"/>
        </w:rPr>
        <w:t>同时满足下列条件的，金融资产和金融负债以相互抵销后的净额在资产负债表内列</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示：具有抵销已确认金额的法定权利，且该种法定权利是当前可执行的；计划以净额</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结算，或同时变现该金融资产和清偿该金融负债。</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衍生金融工具</w:t>
      </w:r>
    </w:p>
    <w:p>
      <w:pPr>
        <w:autoSpaceDN w:val="0"/>
        <w:autoSpaceDE w:val="0"/>
        <w:widowControl/>
        <w:spacing w:line="222" w:lineRule="exact" w:before="334" w:after="0"/>
        <w:ind w:left="0" w:right="0" w:firstLine="0"/>
        <w:jc w:val="center"/>
      </w:pPr>
      <w:r>
        <w:rPr>
          <w:rFonts w:ascii="黑体" w:hAnsi="黑体" w:eastAsia="黑体"/>
          <w:b w:val="0"/>
          <w:i w:val="0"/>
          <w:color w:val="000000"/>
          <w:sz w:val="22"/>
        </w:rPr>
        <w:t>本集团使用衍生金融工具，例如以外汇远期合同、商品远期合同和利率互换，分别对</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汇率风险、商品价格风险和利率风险进行套期。衍生金融工具初始以衍生交易合同签</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订当日的公允价值进行计量，并以其公允价值进行后续计量。公允价值为正数的衍生</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金融工具确认为一项资产，公允价值为负数的确认为一项负债。</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除与套期会计有关外，衍生工具公允价值变动产生的利得或损失直接计入当期损益。</w:t>
      </w:r>
    </w:p>
    <w:p>
      <w:pPr>
        <w:autoSpaceDN w:val="0"/>
        <w:autoSpaceDE w:val="0"/>
        <w:widowControl/>
        <w:spacing w:line="233" w:lineRule="auto" w:before="4708" w:after="0"/>
        <w:ind w:left="0" w:right="0" w:firstLine="0"/>
        <w:jc w:val="center"/>
      </w:pPr>
      <w:r>
        <w:rPr>
          <w:rFonts w:ascii="Arial" w:hAnsi="Arial" w:eastAsia="Arial"/>
          <w:b w:val="0"/>
          <w:i w:val="0"/>
          <w:color w:val="000000"/>
          <w:sz w:val="20"/>
        </w:rPr>
        <w:t xml:space="preserve">174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8" w:lineRule="exact" w:before="322" w:after="0"/>
        <w:ind w:left="386" w:right="0" w:firstLine="0"/>
        <w:jc w:val="left"/>
      </w:pPr>
      <w:r>
        <w:rPr>
          <w:rFonts w:ascii="Arial,Bold" w:hAnsi="Arial,Bold" w:eastAsia="Arial,Bold"/>
          <w:b/>
          <w:i w:val="0"/>
          <w:color w:val="000000"/>
          <w:sz w:val="22"/>
        </w:rPr>
        <w:t xml:space="preserve">10. </w:t>
      </w:r>
      <w:r>
        <w:tab/>
      </w:r>
      <w:r>
        <w:rPr>
          <w:rFonts w:ascii="黑体" w:hAnsi="黑体" w:eastAsia="黑体"/>
          <w:b w:val="0"/>
          <w:i w:val="0"/>
          <w:color w:val="000000"/>
          <w:sz w:val="22"/>
        </w:rPr>
        <w:t>长期股权投资</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长期股权投资包括对子公司和联营企业的权益性投资。</w:t>
      </w:r>
    </w:p>
    <w:p>
      <w:pPr>
        <w:autoSpaceDN w:val="0"/>
        <w:autoSpaceDE w:val="0"/>
        <w:widowControl/>
        <w:spacing w:line="286" w:lineRule="exact" w:before="268" w:after="0"/>
        <w:ind w:left="358" w:right="354" w:firstLine="0"/>
        <w:jc w:val="both"/>
      </w:pPr>
      <w:r>
        <w:rPr>
          <w:rFonts w:ascii="黑体" w:hAnsi="黑体" w:eastAsia="黑体"/>
          <w:b w:val="0"/>
          <w:i w:val="0"/>
          <w:color w:val="000000"/>
          <w:sz w:val="22"/>
        </w:rPr>
        <w:t>长期股权投资在取得时以初始投资成本进行初始计量。通过同一控制下企业合并取得</w:t>
      </w:r>
      <w:r>
        <w:rPr>
          <w:rFonts w:ascii="黑体" w:hAnsi="黑体" w:eastAsia="黑体"/>
          <w:b w:val="0"/>
          <w:i w:val="0"/>
          <w:color w:val="000000"/>
          <w:sz w:val="22"/>
        </w:rPr>
        <w:t>的长期股权投资，以合并日取得被合并方所有者权益在最终控制方合并财务报表中的</w:t>
      </w:r>
      <w:r>
        <w:rPr>
          <w:rFonts w:ascii="黑体" w:hAnsi="黑体" w:eastAsia="黑体"/>
          <w:b w:val="0"/>
          <w:i w:val="0"/>
          <w:color w:val="000000"/>
          <w:sz w:val="22"/>
        </w:rPr>
        <w:t>账面价值的份额作为初始投资成本；初始投资成本与合并对价账面价值之间差额，调</w:t>
      </w:r>
      <w:r>
        <w:rPr>
          <w:rFonts w:ascii="黑体" w:hAnsi="黑体" w:eastAsia="黑体"/>
          <w:b w:val="0"/>
          <w:i w:val="0"/>
          <w:color w:val="000000"/>
          <w:sz w:val="22"/>
        </w:rPr>
        <w:t>整资本公积（不足冲减的，冲减留存收益）。通过非同一控制下企业合并取得的长期股</w:t>
      </w:r>
      <w:r>
        <w:rPr>
          <w:rFonts w:ascii="黑体" w:hAnsi="黑体" w:eastAsia="黑体"/>
          <w:b w:val="0"/>
          <w:i w:val="0"/>
          <w:color w:val="000000"/>
          <w:sz w:val="22"/>
        </w:rPr>
        <w:t>权投资，以合并成本作为初始投资成本（通过多次交易分步实现非同一控制下企业合</w:t>
      </w:r>
      <w:r>
        <w:rPr>
          <w:rFonts w:ascii="黑体" w:hAnsi="黑体" w:eastAsia="黑体"/>
          <w:b w:val="0"/>
          <w:i w:val="0"/>
          <w:color w:val="000000"/>
          <w:sz w:val="22"/>
        </w:rPr>
        <w:t>并的，以购买日之前所持被购买方的股权投资的账面价值与购买日新增投资成本之和</w:t>
      </w:r>
      <w:r>
        <w:rPr>
          <w:rFonts w:ascii="黑体" w:hAnsi="黑体" w:eastAsia="黑体"/>
          <w:b w:val="0"/>
          <w:i w:val="0"/>
          <w:color w:val="000000"/>
          <w:sz w:val="22"/>
        </w:rPr>
        <w:t>作为初始投资成本）。除企业合并形成的长期股权投资以外方式取得的长期股权投资，</w:t>
      </w:r>
      <w:r>
        <w:rPr>
          <w:rFonts w:ascii="黑体" w:hAnsi="黑体" w:eastAsia="黑体"/>
          <w:b w:val="0"/>
          <w:i w:val="0"/>
          <w:color w:val="000000"/>
          <w:sz w:val="22"/>
        </w:rPr>
        <w:t>按照下列方法确定初始投资成本：支付现金取得的，以实际支付的购买价款及与取得</w:t>
      </w:r>
      <w:r>
        <w:rPr>
          <w:rFonts w:ascii="黑体" w:hAnsi="黑体" w:eastAsia="黑体"/>
          <w:b w:val="0"/>
          <w:i w:val="0"/>
          <w:color w:val="000000"/>
          <w:sz w:val="22"/>
        </w:rPr>
        <w:t>长期股权投资直接相关的费用、税金及其他必要支出作为初始投资成本；发行权益性</w:t>
      </w:r>
      <w:r>
        <w:rPr>
          <w:rFonts w:ascii="黑体" w:hAnsi="黑体" w:eastAsia="黑体"/>
          <w:b w:val="0"/>
          <w:i w:val="0"/>
          <w:color w:val="000000"/>
          <w:sz w:val="22"/>
        </w:rPr>
        <w:t>证券取得的，以发行权益性证券的公允价值作为初始投资成本。</w:t>
      </w:r>
    </w:p>
    <w:p>
      <w:pPr>
        <w:autoSpaceDN w:val="0"/>
        <w:autoSpaceDE w:val="0"/>
        <w:widowControl/>
        <w:spacing w:line="284" w:lineRule="exact" w:before="272" w:after="0"/>
        <w:ind w:left="358" w:right="356" w:firstLine="0"/>
        <w:jc w:val="both"/>
      </w:pPr>
      <w:r>
        <w:rPr>
          <w:rFonts w:ascii="黑体" w:hAnsi="黑体" w:eastAsia="黑体"/>
          <w:b w:val="0"/>
          <w:i w:val="0"/>
          <w:color w:val="000000"/>
          <w:sz w:val="22"/>
        </w:rPr>
        <w:t>本公司能够对被投资单位实施控制的长期股权投资，在本公司个别财务报表中采用成</w:t>
      </w:r>
      <w:r>
        <w:rPr>
          <w:rFonts w:ascii="黑体" w:hAnsi="黑体" w:eastAsia="黑体"/>
          <w:b w:val="0"/>
          <w:i w:val="0"/>
          <w:color w:val="000000"/>
          <w:sz w:val="22"/>
        </w:rPr>
        <w:t>本法核算。控制，是指拥有对被投资方的权力，通过参与被投资方的相关活动而享有</w:t>
      </w:r>
      <w:r>
        <w:rPr>
          <w:rFonts w:ascii="黑体" w:hAnsi="黑体" w:eastAsia="黑体"/>
          <w:b w:val="0"/>
          <w:i w:val="0"/>
          <w:color w:val="000000"/>
          <w:sz w:val="22"/>
        </w:rPr>
        <w:t>可变回报，并且有能力运用对被投资方的权力影响回报金额。</w:t>
      </w:r>
    </w:p>
    <w:p>
      <w:pPr>
        <w:autoSpaceDN w:val="0"/>
        <w:autoSpaceDE w:val="0"/>
        <w:widowControl/>
        <w:spacing w:line="233" w:lineRule="auto" w:before="8316" w:after="0"/>
        <w:ind w:left="0" w:right="0" w:firstLine="0"/>
        <w:jc w:val="center"/>
      </w:pPr>
      <w:r>
        <w:rPr>
          <w:rFonts w:ascii="Arial" w:hAnsi="Arial" w:eastAsia="Arial"/>
          <w:b w:val="0"/>
          <w:i w:val="0"/>
          <w:color w:val="000000"/>
          <w:sz w:val="20"/>
        </w:rPr>
        <w:t xml:space="preserve">175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10.</w:t>
      </w:r>
      <w:r>
        <w:rPr>
          <w:rFonts w:ascii="黑体" w:hAnsi="黑体" w:eastAsia="黑体"/>
          <w:b w:val="0"/>
          <w:i w:val="0"/>
          <w:color w:val="000000"/>
          <w:sz w:val="22"/>
        </w:rPr>
        <w:t>长期股权投资（续）</w:t>
      </w:r>
    </w:p>
    <w:p>
      <w:pPr>
        <w:autoSpaceDN w:val="0"/>
        <w:autoSpaceDE w:val="0"/>
        <w:widowControl/>
        <w:spacing w:line="286" w:lineRule="exact" w:before="250" w:after="0"/>
        <w:ind w:left="358" w:right="288" w:firstLine="0"/>
        <w:jc w:val="left"/>
      </w:pPr>
      <w:r>
        <w:rPr>
          <w:rFonts w:ascii="黑体" w:hAnsi="黑体" w:eastAsia="黑体"/>
          <w:b w:val="0"/>
          <w:i w:val="0"/>
          <w:color w:val="000000"/>
          <w:sz w:val="22"/>
        </w:rPr>
        <w:t>采用成本法时，长期股权投资按初始投资成本计价。追加或收回投资的，调整长期股</w:t>
      </w:r>
      <w:r>
        <w:rPr>
          <w:rFonts w:ascii="黑体" w:hAnsi="黑体" w:eastAsia="黑体"/>
          <w:b w:val="0"/>
          <w:i w:val="0"/>
          <w:color w:val="000000"/>
          <w:sz w:val="22"/>
        </w:rPr>
        <w:t>权投资的成本。被投资单位宣告分派的现金股利或利润，确认为当期投资收益。</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本集团对被投资单位具有共同控制或重大影响的，长期股权投资采用权益法核算。共</w:t>
      </w:r>
      <w:r>
        <w:rPr>
          <w:rFonts w:ascii="黑体" w:hAnsi="黑体" w:eastAsia="黑体"/>
          <w:b w:val="0"/>
          <w:i w:val="0"/>
          <w:color w:val="000000"/>
          <w:sz w:val="22"/>
        </w:rPr>
        <w:t>同控制，是指按照相关约定对某项安排所共有的控制，并且该安排的相关活动必须经</w:t>
      </w:r>
      <w:r>
        <w:rPr>
          <w:rFonts w:ascii="黑体" w:hAnsi="黑体" w:eastAsia="黑体"/>
          <w:b w:val="0"/>
          <w:i w:val="0"/>
          <w:color w:val="000000"/>
          <w:sz w:val="22"/>
        </w:rPr>
        <w:t>过分享控制权的参与方一致同意后才能决策。重大影响，是指对被投资单位的财务和</w:t>
      </w:r>
      <w:r>
        <w:rPr>
          <w:rFonts w:ascii="黑体" w:hAnsi="黑体" w:eastAsia="黑体"/>
          <w:b w:val="0"/>
          <w:i w:val="0"/>
          <w:color w:val="000000"/>
          <w:sz w:val="22"/>
        </w:rPr>
        <w:t>经营政策有参与决策的权力，但并不能够控制或者与其他方一起共同控制这些政策的</w:t>
      </w:r>
      <w:r>
        <w:rPr>
          <w:rFonts w:ascii="黑体" w:hAnsi="黑体" w:eastAsia="黑体"/>
          <w:b w:val="0"/>
          <w:i w:val="0"/>
          <w:color w:val="000000"/>
          <w:sz w:val="22"/>
        </w:rPr>
        <w:t>制定。</w:t>
      </w:r>
    </w:p>
    <w:p>
      <w:pPr>
        <w:autoSpaceDN w:val="0"/>
        <w:autoSpaceDE w:val="0"/>
        <w:widowControl/>
        <w:spacing w:line="286" w:lineRule="exact" w:before="266" w:after="0"/>
        <w:ind w:left="358" w:right="350" w:firstLine="0"/>
        <w:jc w:val="both"/>
      </w:pPr>
      <w:r>
        <w:rPr>
          <w:rFonts w:ascii="黑体" w:hAnsi="黑体" w:eastAsia="黑体"/>
          <w:b w:val="0"/>
          <w:i w:val="0"/>
          <w:color w:val="000000"/>
          <w:sz w:val="22"/>
        </w:rPr>
        <w:t>采用权益法时，长期股权投资的初始投资成本大于投资时应享有被投资单位可辨认净</w:t>
      </w:r>
      <w:r>
        <w:rPr>
          <w:rFonts w:ascii="黑体" w:hAnsi="黑体" w:eastAsia="黑体"/>
          <w:b w:val="0"/>
          <w:i w:val="0"/>
          <w:color w:val="000000"/>
          <w:sz w:val="22"/>
        </w:rPr>
        <w:t>资产公允价值份额的，归入长期股权投资的初始投资成本；长期股权投资的初始投资</w:t>
      </w:r>
      <w:r>
        <w:rPr>
          <w:rFonts w:ascii="黑体" w:hAnsi="黑体" w:eastAsia="黑体"/>
          <w:b w:val="0"/>
          <w:i w:val="0"/>
          <w:color w:val="000000"/>
          <w:sz w:val="22"/>
        </w:rPr>
        <w:t>成本小于投资时应享有被投资单位可辨认净资产公允价值份额的，其差额计入当期损</w:t>
      </w:r>
      <w:r>
        <w:rPr>
          <w:rFonts w:ascii="黑体" w:hAnsi="黑体" w:eastAsia="黑体"/>
          <w:b w:val="0"/>
          <w:i w:val="0"/>
          <w:color w:val="000000"/>
          <w:sz w:val="22"/>
        </w:rPr>
        <w:t>益，同时调整长期股权投资的成本。</w:t>
      </w:r>
    </w:p>
    <w:p>
      <w:pPr>
        <w:autoSpaceDN w:val="0"/>
        <w:autoSpaceDE w:val="0"/>
        <w:widowControl/>
        <w:spacing w:line="286" w:lineRule="exact" w:before="268" w:after="0"/>
        <w:ind w:left="358" w:right="352" w:firstLine="0"/>
        <w:jc w:val="both"/>
      </w:pPr>
      <w:r>
        <w:rPr>
          <w:rFonts w:ascii="黑体" w:hAnsi="黑体" w:eastAsia="黑体"/>
          <w:b w:val="0"/>
          <w:i w:val="0"/>
          <w:color w:val="000000"/>
          <w:sz w:val="22"/>
        </w:rPr>
        <w:t>采用权益法时，取得长期股权投资后，按照应享有或应分担的被投资单位实现的净损</w:t>
      </w:r>
      <w:r>
        <w:rPr>
          <w:rFonts w:ascii="黑体" w:hAnsi="黑体" w:eastAsia="黑体"/>
          <w:b w:val="0"/>
          <w:i w:val="0"/>
          <w:color w:val="000000"/>
          <w:sz w:val="22"/>
        </w:rPr>
        <w:t>益和其他综合收益的份额，分别确认投资损益和其他综合收益并调整长期股权投资的</w:t>
      </w:r>
      <w:r>
        <w:rPr>
          <w:rFonts w:ascii="黑体" w:hAnsi="黑体" w:eastAsia="黑体"/>
          <w:b w:val="0"/>
          <w:i w:val="0"/>
          <w:color w:val="000000"/>
          <w:sz w:val="22"/>
        </w:rPr>
        <w:t>账面价值。在确认应享有被投资单位净损益的份额时，以取得投资时被投资单位可辨</w:t>
      </w:r>
      <w:r>
        <w:rPr>
          <w:rFonts w:ascii="黑体" w:hAnsi="黑体" w:eastAsia="黑体"/>
          <w:b w:val="0"/>
          <w:i w:val="0"/>
          <w:color w:val="000000"/>
          <w:sz w:val="22"/>
        </w:rPr>
        <w:t>认资产等的公允价值为基础，按照本集团的会计政策及会计期间，并抵销与联营企业</w:t>
      </w:r>
      <w:r>
        <w:rPr>
          <w:rFonts w:ascii="黑体" w:hAnsi="黑体" w:eastAsia="黑体"/>
          <w:b w:val="0"/>
          <w:i w:val="0"/>
          <w:color w:val="000000"/>
          <w:sz w:val="22"/>
        </w:rPr>
        <w:t>及合营企业之间发生的内部交易损益按照应享有的比例计算归属于投资方的部分（但</w:t>
      </w:r>
      <w:r>
        <w:rPr>
          <w:rFonts w:ascii="黑体" w:hAnsi="黑体" w:eastAsia="黑体"/>
          <w:b w:val="0"/>
          <w:i w:val="0"/>
          <w:color w:val="000000"/>
          <w:sz w:val="22"/>
        </w:rPr>
        <w:t>内部交易损失属于资产减值损失的，应全额确认），对被投资单位的净利润进行调整后</w:t>
      </w:r>
      <w:r>
        <w:rPr>
          <w:rFonts w:ascii="黑体" w:hAnsi="黑体" w:eastAsia="黑体"/>
          <w:b w:val="0"/>
          <w:i w:val="0"/>
          <w:color w:val="000000"/>
          <w:sz w:val="22"/>
        </w:rPr>
        <w:t>确认，但投出或出售的资产构成业务的除外。按照被投资单位宣告分派的利润或现金</w:t>
      </w:r>
      <w:r>
        <w:rPr>
          <w:rFonts w:ascii="黑体" w:hAnsi="黑体" w:eastAsia="黑体"/>
          <w:b w:val="0"/>
          <w:i w:val="0"/>
          <w:color w:val="000000"/>
          <w:sz w:val="22"/>
        </w:rPr>
        <w:t>股利计算应享有的部分，相应减少长期股权投资的账面价值。本集团确认被投资单位</w:t>
      </w:r>
      <w:r>
        <w:rPr>
          <w:rFonts w:ascii="黑体" w:hAnsi="黑体" w:eastAsia="黑体"/>
          <w:b w:val="0"/>
          <w:i w:val="0"/>
          <w:color w:val="000000"/>
          <w:sz w:val="22"/>
        </w:rPr>
        <w:t>发生的净亏损，以长期股权投资的账面价值以及其他实质上构成对被投资单位净投资</w:t>
      </w:r>
      <w:r>
        <w:rPr>
          <w:rFonts w:ascii="黑体" w:hAnsi="黑体" w:eastAsia="黑体"/>
          <w:b w:val="0"/>
          <w:i w:val="0"/>
          <w:color w:val="000000"/>
          <w:sz w:val="22"/>
        </w:rPr>
        <w:t>的长期权益减记至零为限，本集团负有承担额外损失义务的除外。对于被投资单位除</w:t>
      </w:r>
      <w:r>
        <w:rPr>
          <w:rFonts w:ascii="黑体" w:hAnsi="黑体" w:eastAsia="黑体"/>
          <w:b w:val="0"/>
          <w:i w:val="0"/>
          <w:color w:val="000000"/>
          <w:sz w:val="22"/>
        </w:rPr>
        <w:t>净损益、其他综合收益和利润分配以外股东权益的其他变动，调整长期股权投资的账</w:t>
      </w:r>
      <w:r>
        <w:rPr>
          <w:rFonts w:ascii="黑体" w:hAnsi="黑体" w:eastAsia="黑体"/>
          <w:b w:val="0"/>
          <w:i w:val="0"/>
          <w:color w:val="000000"/>
          <w:sz w:val="22"/>
        </w:rPr>
        <w:t>面价值并计入股东权益。</w:t>
      </w:r>
    </w:p>
    <w:p>
      <w:pPr>
        <w:autoSpaceDN w:val="0"/>
        <w:autoSpaceDE w:val="0"/>
        <w:widowControl/>
        <w:spacing w:line="233" w:lineRule="auto" w:before="5480" w:after="0"/>
        <w:ind w:left="0" w:right="0" w:firstLine="0"/>
        <w:jc w:val="center"/>
      </w:pPr>
      <w:r>
        <w:rPr>
          <w:rFonts w:ascii="Arial" w:hAnsi="Arial" w:eastAsia="Arial"/>
          <w:b w:val="0"/>
          <w:i w:val="0"/>
          <w:color w:val="000000"/>
          <w:sz w:val="20"/>
        </w:rPr>
        <w:t xml:space="preserve">176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11. </w:t>
      </w:r>
      <w:r>
        <w:rPr>
          <w:rFonts w:ascii="黑体" w:hAnsi="黑体" w:eastAsia="黑体"/>
          <w:b w:val="0"/>
          <w:i w:val="0"/>
          <w:color w:val="000000"/>
          <w:sz w:val="22"/>
        </w:rPr>
        <w:t>固定资产</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固定资产仅在与其有关的经济利益很可能流入本集团，且其成本能够可靠地计量时才</w:t>
      </w:r>
      <w:r>
        <w:rPr>
          <w:rFonts w:ascii="黑体" w:hAnsi="黑体" w:eastAsia="黑体"/>
          <w:b w:val="0"/>
          <w:i w:val="0"/>
          <w:color w:val="000000"/>
          <w:sz w:val="22"/>
        </w:rPr>
        <w:t>予以确认。与固定资产有关的后续支出，符合该确认条件的，计入固定资产成本，并</w:t>
      </w:r>
      <w:r>
        <w:rPr>
          <w:rFonts w:ascii="黑体" w:hAnsi="黑体" w:eastAsia="黑体"/>
          <w:b w:val="0"/>
          <w:i w:val="0"/>
          <w:color w:val="000000"/>
          <w:sz w:val="22"/>
        </w:rPr>
        <w:t>终止确认被替换部分的账面价值；否则，在发生时按照受益对象计入当期损益或相关</w:t>
      </w:r>
      <w:r>
        <w:rPr>
          <w:rFonts w:ascii="黑体" w:hAnsi="黑体" w:eastAsia="黑体"/>
          <w:b w:val="0"/>
          <w:i w:val="0"/>
          <w:color w:val="000000"/>
          <w:sz w:val="22"/>
        </w:rPr>
        <w:t>资产成本。</w:t>
      </w:r>
    </w:p>
    <w:p>
      <w:pPr>
        <w:autoSpaceDN w:val="0"/>
        <w:autoSpaceDE w:val="0"/>
        <w:widowControl/>
        <w:spacing w:line="286" w:lineRule="exact" w:before="270" w:after="0"/>
        <w:ind w:left="358" w:right="288" w:firstLine="0"/>
        <w:jc w:val="left"/>
      </w:pPr>
      <w:r>
        <w:rPr>
          <w:rFonts w:ascii="黑体" w:hAnsi="黑体" w:eastAsia="黑体"/>
          <w:b w:val="0"/>
          <w:i w:val="0"/>
          <w:color w:val="000000"/>
          <w:sz w:val="22"/>
        </w:rPr>
        <w:t>固定资产按照成本进行初始计量。购置固定资产的成本包括购买价款、相关税费、使</w:t>
      </w:r>
      <w:r>
        <w:rPr>
          <w:rFonts w:ascii="黑体" w:hAnsi="黑体" w:eastAsia="黑体"/>
          <w:b w:val="0"/>
          <w:i w:val="0"/>
          <w:color w:val="000000"/>
          <w:sz w:val="22"/>
        </w:rPr>
        <w:t>固定资产达到预定可使用状态前所发生的可直接归属于该项资产的其他支出。</w:t>
      </w:r>
    </w:p>
    <w:p>
      <w:pPr>
        <w:autoSpaceDN w:val="0"/>
        <w:autoSpaceDE w:val="0"/>
        <w:widowControl/>
        <w:spacing w:line="284" w:lineRule="exact" w:before="268" w:after="276"/>
        <w:ind w:left="358" w:right="288" w:firstLine="0"/>
        <w:jc w:val="left"/>
      </w:pPr>
      <w:r>
        <w:rPr>
          <w:rFonts w:ascii="黑体" w:hAnsi="黑体" w:eastAsia="黑体"/>
          <w:b w:val="0"/>
          <w:i w:val="0"/>
          <w:color w:val="000000"/>
          <w:sz w:val="22"/>
        </w:rPr>
        <w:t>固定资产的折旧采用年限平均法计提，各类固定资产的使用寿命、预计净残值率及年</w:t>
      </w:r>
      <w:r>
        <w:rPr>
          <w:rFonts w:ascii="黑体" w:hAnsi="黑体" w:eastAsia="黑体"/>
          <w:b w:val="0"/>
          <w:i w:val="0"/>
          <w:color w:val="000000"/>
          <w:sz w:val="22"/>
        </w:rPr>
        <w:t>折旧率如下：</w:t>
      </w:r>
    </w:p>
    <w:tbl>
      <w:tblPr>
        <w:tblW w:type="auto" w:w="0"/>
        <w:tblLayout w:type="fixed"/>
        <w:tblLook w:firstColumn="1" w:firstRow="1" w:lastColumn="0" w:lastRow="0" w:noHBand="0" w:noVBand="1" w:val="04A0"/>
        <w:tblInd w:w="1720.0" w:type="dxa"/>
      </w:tblPr>
      <w:tblGrid>
        <w:gridCol w:w="3009"/>
        <w:gridCol w:w="3009"/>
        <w:gridCol w:w="3009"/>
      </w:tblGrid>
      <w:tr>
        <w:trPr>
          <w:trHeight w:hRule="exact" w:val="290"/>
        </w:trPr>
        <w:tc>
          <w:tcPr>
            <w:tcW w:type="dxa" w:w="3300"/>
            <w:tcBorders/>
            <w:tcMar>
              <w:start w:w="0" w:type="dxa"/>
              <w:end w:w="0" w:type="dxa"/>
            </w:tcMar>
          </w:tcPr>
          <w:p>
            <w:pPr>
              <w:autoSpaceDN w:val="0"/>
              <w:autoSpaceDE w:val="0"/>
              <w:widowControl/>
              <w:spacing w:line="200" w:lineRule="exact" w:before="60" w:after="0"/>
              <w:ind w:left="0" w:right="354" w:firstLine="0"/>
              <w:jc w:val="right"/>
            </w:pPr>
            <w:r>
              <w:rPr>
                <w:rFonts w:ascii="黑体" w:hAnsi="黑体" w:eastAsia="黑体"/>
                <w:b w:val="0"/>
                <w:i w:val="0"/>
                <w:color w:val="000000"/>
                <w:sz w:val="20"/>
              </w:rPr>
              <w:t>预计使用寿命</w:t>
            </w:r>
          </w:p>
        </w:tc>
        <w:tc>
          <w:tcPr>
            <w:tcW w:type="dxa" w:w="2220"/>
            <w:tcBorders/>
            <w:tcMar>
              <w:start w:w="0" w:type="dxa"/>
              <w:end w:w="0" w:type="dxa"/>
            </w:tcMar>
          </w:tcPr>
          <w:p>
            <w:pPr>
              <w:autoSpaceDN w:val="0"/>
              <w:autoSpaceDE w:val="0"/>
              <w:widowControl/>
              <w:spacing w:line="200" w:lineRule="exact" w:before="60" w:after="0"/>
              <w:ind w:left="374" w:right="0" w:firstLine="0"/>
              <w:jc w:val="left"/>
            </w:pPr>
            <w:r>
              <w:rPr>
                <w:rFonts w:ascii="黑体" w:hAnsi="黑体" w:eastAsia="黑体"/>
                <w:b w:val="0"/>
                <w:i w:val="0"/>
                <w:color w:val="000000"/>
                <w:sz w:val="20"/>
              </w:rPr>
              <w:t>预计净残值率</w:t>
            </w:r>
          </w:p>
        </w:tc>
        <w:tc>
          <w:tcPr>
            <w:tcW w:type="dxa" w:w="1600"/>
            <w:tcBorders/>
            <w:tcMar>
              <w:start w:w="0" w:type="dxa"/>
              <w:end w:w="0" w:type="dxa"/>
            </w:tcMar>
          </w:tcPr>
          <w:p>
            <w:pPr>
              <w:autoSpaceDN w:val="0"/>
              <w:autoSpaceDE w:val="0"/>
              <w:widowControl/>
              <w:spacing w:line="200" w:lineRule="exact" w:before="60" w:after="0"/>
              <w:ind w:left="0" w:right="148" w:firstLine="0"/>
              <w:jc w:val="right"/>
            </w:pPr>
            <w:r>
              <w:rPr>
                <w:rFonts w:ascii="黑体" w:hAnsi="黑体" w:eastAsia="黑体"/>
                <w:b w:val="0"/>
                <w:i w:val="0"/>
                <w:color w:val="000000"/>
                <w:sz w:val="20"/>
              </w:rPr>
              <w:t>年折旧率</w:t>
            </w:r>
          </w:p>
        </w:tc>
      </w:tr>
    </w:tbl>
    <w:p>
      <w:pPr>
        <w:autoSpaceDN w:val="0"/>
        <w:autoSpaceDE w:val="0"/>
        <w:widowControl/>
        <w:spacing w:line="198" w:lineRule="exact" w:before="30" w:after="30"/>
        <w:ind w:left="358" w:right="0" w:firstLine="0"/>
        <w:jc w:val="left"/>
      </w:pPr>
      <w:r>
        <w:rPr>
          <w:rFonts w:ascii="黑体" w:hAnsi="黑体" w:eastAsia="黑体"/>
          <w:b w:val="0"/>
          <w:i w:val="0"/>
          <w:color w:val="000000"/>
          <w:sz w:val="20"/>
        </w:rPr>
        <w:t>折旧</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28"/>
        </w:trPr>
        <w:tc>
          <w:tcPr>
            <w:tcW w:type="dxa" w:w="2640"/>
            <w:tcBorders/>
            <w:tcMar>
              <w:start w:w="0" w:type="dxa"/>
              <w:end w:w="0" w:type="dxa"/>
            </w:tcMar>
          </w:tcPr>
          <w:p>
            <w:pPr>
              <w:autoSpaceDN w:val="0"/>
              <w:autoSpaceDE w:val="0"/>
              <w:widowControl/>
              <w:spacing w:line="200" w:lineRule="exact" w:before="28" w:after="0"/>
              <w:ind w:left="198" w:right="0" w:firstLine="0"/>
              <w:jc w:val="left"/>
            </w:pPr>
            <w:r>
              <w:rPr>
                <w:rFonts w:ascii="黑体" w:hAnsi="黑体" w:eastAsia="黑体"/>
                <w:b w:val="0"/>
                <w:i w:val="0"/>
                <w:color w:val="000000"/>
                <w:sz w:val="20"/>
              </w:rPr>
              <w:t>房屋及建筑物</w:t>
            </w:r>
          </w:p>
        </w:tc>
        <w:tc>
          <w:tcPr>
            <w:tcW w:type="dxa" w:w="2480"/>
            <w:vMerge w:val="restart"/>
            <w:tcBorders/>
            <w:tcMar>
              <w:start w:w="0" w:type="dxa"/>
              <w:end w:w="0" w:type="dxa"/>
            </w:tcMar>
            <w:tcMar>
              <w:start w:w="0" w:type="dxa"/>
              <w:end w:w="0" w:type="dxa"/>
            </w:tcMar>
          </w:tcPr>
          <w:p>
            <w:pPr>
              <w:autoSpaceDN w:val="0"/>
              <w:autoSpaceDE w:val="0"/>
              <w:widowControl/>
              <w:spacing w:line="222" w:lineRule="exact" w:before="30" w:after="0"/>
              <w:ind w:left="0" w:right="616" w:firstLine="0"/>
              <w:jc w:val="right"/>
            </w:pPr>
            <w:r>
              <w:rPr>
                <w:rFonts w:ascii="Calibri" w:hAnsi="Calibri" w:eastAsia="Calibri"/>
                <w:b w:val="0"/>
                <w:i w:val="0"/>
                <w:color w:val="000000"/>
                <w:sz w:val="20"/>
              </w:rPr>
              <w:t>20</w:t>
            </w:r>
            <w:r>
              <w:rPr>
                <w:rFonts w:ascii="黑体" w:hAnsi="黑体" w:eastAsia="黑体"/>
                <w:b w:val="0"/>
                <w:i w:val="0"/>
                <w:color w:val="000000"/>
                <w:sz w:val="20"/>
              </w:rPr>
              <w:t>至</w:t>
            </w:r>
            <w:r>
              <w:rPr>
                <w:rFonts w:ascii="Calibri" w:hAnsi="Calibri" w:eastAsia="Calibri"/>
                <w:b w:val="0"/>
                <w:i w:val="0"/>
                <w:color w:val="000000"/>
                <w:sz w:val="20"/>
              </w:rPr>
              <w:t>35</w:t>
            </w:r>
            <w:r>
              <w:rPr>
                <w:rFonts w:ascii="黑体" w:hAnsi="黑体" w:eastAsia="黑体"/>
                <w:b w:val="0"/>
                <w:i w:val="0"/>
                <w:color w:val="000000"/>
                <w:sz w:val="20"/>
              </w:rPr>
              <w:t>年</w:t>
            </w:r>
          </w:p>
        </w:tc>
        <w:tc>
          <w:tcPr>
            <w:tcW w:type="dxa" w:w="1660"/>
            <w:vMerge w:val="restart"/>
            <w:tcBorders/>
            <w:tcMar>
              <w:start w:w="0" w:type="dxa"/>
              <w:end w:w="0" w:type="dxa"/>
            </w:tcMar>
            <w:tcMar>
              <w:start w:w="0" w:type="dxa"/>
              <w:end w:w="0" w:type="dxa"/>
            </w:tcMar>
          </w:tcPr>
          <w:p>
            <w:pPr>
              <w:autoSpaceDN w:val="0"/>
              <w:autoSpaceDE w:val="0"/>
              <w:widowControl/>
              <w:spacing w:line="222" w:lineRule="exact" w:before="30" w:after="0"/>
              <w:ind w:left="0" w:right="348"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4%</w:t>
            </w:r>
          </w:p>
        </w:tc>
        <w:tc>
          <w:tcPr>
            <w:tcW w:type="dxa" w:w="1940"/>
            <w:vMerge w:val="restart"/>
            <w:tcBorders/>
            <w:shd w:fill="ffffff"/>
            <w:tcMar>
              <w:start w:w="0" w:type="dxa"/>
              <w:end w:w="0" w:type="dxa"/>
            </w:tcMar>
            <w:tcMar>
              <w:start w:w="0" w:type="dxa"/>
              <w:end w:w="0" w:type="dxa"/>
            </w:tcMar>
          </w:tcPr>
          <w:p>
            <w:pPr>
              <w:autoSpaceDN w:val="0"/>
              <w:autoSpaceDE w:val="0"/>
              <w:widowControl/>
              <w:spacing w:line="222" w:lineRule="exact" w:before="30" w:after="0"/>
              <w:ind w:left="0" w:right="142" w:firstLine="0"/>
              <w:jc w:val="right"/>
            </w:pPr>
            <w:r>
              <w:rPr>
                <w:rFonts w:ascii="Calibri" w:hAnsi="Calibri" w:eastAsia="Calibri"/>
                <w:b w:val="0"/>
                <w:i w:val="0"/>
                <w:color w:val="000000"/>
                <w:sz w:val="20"/>
              </w:rPr>
              <w:t>2.74%</w:t>
            </w:r>
            <w:r>
              <w:rPr>
                <w:rFonts w:ascii="黑体" w:hAnsi="黑体" w:eastAsia="黑体"/>
                <w:b w:val="0"/>
                <w:i w:val="0"/>
                <w:color w:val="000000"/>
                <w:sz w:val="20"/>
              </w:rPr>
              <w:t>至</w:t>
            </w:r>
            <w:r>
              <w:rPr>
                <w:rFonts w:ascii="Calibri" w:hAnsi="Calibri" w:eastAsia="Calibri"/>
                <w:b w:val="0"/>
                <w:i w:val="0"/>
                <w:color w:val="000000"/>
                <w:sz w:val="20"/>
              </w:rPr>
              <w:t xml:space="preserve">4.85% </w:t>
            </w:r>
          </w:p>
        </w:tc>
      </w:tr>
      <w:tr>
        <w:trPr>
          <w:trHeight w:hRule="exact" w:val="42"/>
        </w:trPr>
        <w:tc>
          <w:tcPr>
            <w:tcW w:type="dxa" w:w="2640"/>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电子计算机</w:t>
            </w:r>
          </w:p>
        </w:tc>
        <w:tc>
          <w:tcPr>
            <w:tcW w:type="dxa" w:w="2256"/>
            <w:vMerge/>
            <w:tcBorders/>
          </w:tcPr>
          <w:p/>
        </w:tc>
        <w:tc>
          <w:tcPr>
            <w:tcW w:type="dxa" w:w="2256"/>
            <w:vMerge/>
            <w:tcBorders/>
          </w:tcPr>
          <w:p/>
        </w:tc>
        <w:tc>
          <w:tcPr>
            <w:tcW w:type="dxa" w:w="2256"/>
            <w:vMerge/>
            <w:tcBorders/>
          </w:tcPr>
          <w:p/>
        </w:tc>
      </w:tr>
      <w:tr>
        <w:trPr>
          <w:trHeight w:hRule="exact" w:val="218"/>
        </w:trPr>
        <w:tc>
          <w:tcPr>
            <w:tcW w:type="dxa" w:w="2256"/>
            <w:vMerge/>
            <w:tcBorders/>
          </w:tcPr>
          <w:p/>
        </w:tc>
        <w:tc>
          <w:tcPr>
            <w:tcW w:type="dxa" w:w="2480"/>
            <w:vMerge w:val="restart"/>
            <w:tcBorders/>
            <w:tcMar>
              <w:start w:w="0" w:type="dxa"/>
              <w:end w:w="0" w:type="dxa"/>
            </w:tcMar>
            <w:tcMar>
              <w:start w:w="0" w:type="dxa"/>
              <w:end w:w="0" w:type="dxa"/>
            </w:tcMar>
          </w:tcPr>
          <w:p>
            <w:pPr>
              <w:autoSpaceDN w:val="0"/>
              <w:autoSpaceDE w:val="0"/>
              <w:widowControl/>
              <w:spacing w:line="220" w:lineRule="exact" w:before="20" w:after="0"/>
              <w:ind w:left="0" w:right="614"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5</w:t>
            </w:r>
            <w:r>
              <w:rPr>
                <w:rFonts w:ascii="黑体" w:hAnsi="黑体" w:eastAsia="黑体"/>
                <w:b w:val="0"/>
                <w:i w:val="0"/>
                <w:color w:val="000000"/>
                <w:sz w:val="20"/>
              </w:rPr>
              <w:t>年</w:t>
            </w:r>
          </w:p>
        </w:tc>
        <w:tc>
          <w:tcPr>
            <w:tcW w:type="dxa" w:w="1660"/>
            <w:vMerge w:val="restart"/>
            <w:tcBorders/>
            <w:tcMar>
              <w:start w:w="0" w:type="dxa"/>
              <w:end w:w="0" w:type="dxa"/>
            </w:tcMar>
            <w:tcMar>
              <w:start w:w="0" w:type="dxa"/>
              <w:end w:w="0" w:type="dxa"/>
            </w:tcMar>
          </w:tcPr>
          <w:p>
            <w:pPr>
              <w:autoSpaceDN w:val="0"/>
              <w:autoSpaceDE w:val="0"/>
              <w:widowControl/>
              <w:spacing w:line="220" w:lineRule="exact" w:before="20" w:after="0"/>
              <w:ind w:left="0" w:right="348"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4%</w:t>
            </w:r>
          </w:p>
        </w:tc>
        <w:tc>
          <w:tcPr>
            <w:tcW w:type="dxa" w:w="1940"/>
            <w:vMerge w:val="restart"/>
            <w:tcBorders/>
            <w:shd w:fill="ffffff"/>
            <w:tcMar>
              <w:start w:w="0" w:type="dxa"/>
              <w:end w:w="0" w:type="dxa"/>
            </w:tcMar>
            <w:tcMar>
              <w:start w:w="0" w:type="dxa"/>
              <w:end w:w="0" w:type="dxa"/>
            </w:tcMar>
          </w:tcPr>
          <w:p>
            <w:pPr>
              <w:autoSpaceDN w:val="0"/>
              <w:autoSpaceDE w:val="0"/>
              <w:widowControl/>
              <w:spacing w:line="220" w:lineRule="exact" w:before="20" w:after="0"/>
              <w:ind w:left="356" w:right="0" w:firstLine="0"/>
              <w:jc w:val="left"/>
            </w:pPr>
            <w:r>
              <w:rPr>
                <w:rFonts w:ascii="Calibri" w:hAnsi="Calibri" w:eastAsia="Calibri"/>
                <w:b w:val="0"/>
                <w:i w:val="0"/>
                <w:color w:val="000000"/>
                <w:sz w:val="20"/>
              </w:rPr>
              <w:t>19.20%</w:t>
            </w:r>
            <w:r>
              <w:rPr>
                <w:rFonts w:ascii="黑体" w:hAnsi="黑体" w:eastAsia="黑体"/>
                <w:b w:val="0"/>
                <w:i w:val="0"/>
                <w:color w:val="000000"/>
                <w:sz w:val="20"/>
              </w:rPr>
              <w:t>至</w:t>
            </w:r>
            <w:r>
              <w:rPr>
                <w:rFonts w:ascii="Calibri" w:hAnsi="Calibri" w:eastAsia="Calibri"/>
                <w:b w:val="0"/>
                <w:i w:val="0"/>
                <w:color w:val="000000"/>
                <w:sz w:val="20"/>
              </w:rPr>
              <w:t xml:space="preserve">32.33% </w:t>
            </w:r>
          </w:p>
        </w:tc>
      </w:tr>
      <w:tr>
        <w:trPr>
          <w:trHeight w:hRule="exact" w:val="42"/>
        </w:trPr>
        <w:tc>
          <w:tcPr>
            <w:tcW w:type="dxa" w:w="2640"/>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交通设备</w:t>
            </w:r>
          </w:p>
        </w:tc>
        <w:tc>
          <w:tcPr>
            <w:tcW w:type="dxa" w:w="2256"/>
            <w:vMerge/>
            <w:tcBorders/>
          </w:tcPr>
          <w:p/>
        </w:tc>
        <w:tc>
          <w:tcPr>
            <w:tcW w:type="dxa" w:w="2256"/>
            <w:vMerge/>
            <w:tcBorders/>
          </w:tcPr>
          <w:p/>
        </w:tc>
        <w:tc>
          <w:tcPr>
            <w:tcW w:type="dxa" w:w="2256"/>
            <w:vMerge/>
            <w:tcBorders/>
          </w:tcPr>
          <w:p/>
        </w:tc>
      </w:tr>
      <w:tr>
        <w:trPr>
          <w:trHeight w:hRule="exact" w:val="218"/>
        </w:trPr>
        <w:tc>
          <w:tcPr>
            <w:tcW w:type="dxa" w:w="2256"/>
            <w:vMerge/>
            <w:tcBorders/>
          </w:tcPr>
          <w:p/>
        </w:tc>
        <w:tc>
          <w:tcPr>
            <w:tcW w:type="dxa" w:w="2480"/>
            <w:vMerge w:val="restart"/>
            <w:tcBorders/>
            <w:tcMar>
              <w:start w:w="0" w:type="dxa"/>
              <w:end w:w="0" w:type="dxa"/>
            </w:tcMar>
            <w:tcMar>
              <w:start w:w="0" w:type="dxa"/>
              <w:end w:w="0" w:type="dxa"/>
            </w:tcMar>
          </w:tcPr>
          <w:p>
            <w:pPr>
              <w:autoSpaceDN w:val="0"/>
              <w:autoSpaceDE w:val="0"/>
              <w:widowControl/>
              <w:spacing w:line="220" w:lineRule="exact" w:before="20" w:after="0"/>
              <w:ind w:left="0" w:right="614" w:firstLine="0"/>
              <w:jc w:val="right"/>
            </w:pPr>
            <w:r>
              <w:rPr>
                <w:rFonts w:ascii="Calibri" w:hAnsi="Calibri" w:eastAsia="Calibri"/>
                <w:b w:val="0"/>
                <w:i w:val="0"/>
                <w:color w:val="000000"/>
                <w:sz w:val="20"/>
              </w:rPr>
              <w:t>4</w:t>
            </w:r>
            <w:r>
              <w:rPr>
                <w:rFonts w:ascii="黑体" w:hAnsi="黑体" w:eastAsia="黑体"/>
                <w:b w:val="0"/>
                <w:i w:val="0"/>
                <w:color w:val="000000"/>
                <w:sz w:val="20"/>
              </w:rPr>
              <w:t>至</w:t>
            </w:r>
            <w:r>
              <w:rPr>
                <w:rFonts w:ascii="Calibri" w:hAnsi="Calibri" w:eastAsia="Calibri"/>
                <w:b w:val="0"/>
                <w:i w:val="0"/>
                <w:color w:val="000000"/>
                <w:sz w:val="20"/>
              </w:rPr>
              <w:t>7</w:t>
            </w:r>
            <w:r>
              <w:rPr>
                <w:rFonts w:ascii="黑体" w:hAnsi="黑体" w:eastAsia="黑体"/>
                <w:b w:val="0"/>
                <w:i w:val="0"/>
                <w:color w:val="000000"/>
                <w:sz w:val="20"/>
              </w:rPr>
              <w:t>年</w:t>
            </w:r>
          </w:p>
        </w:tc>
        <w:tc>
          <w:tcPr>
            <w:tcW w:type="dxa" w:w="1660"/>
            <w:vMerge w:val="restart"/>
            <w:tcBorders/>
            <w:tcMar>
              <w:start w:w="0" w:type="dxa"/>
              <w:end w:w="0" w:type="dxa"/>
            </w:tcMar>
            <w:tcMar>
              <w:start w:w="0" w:type="dxa"/>
              <w:end w:w="0" w:type="dxa"/>
            </w:tcMar>
          </w:tcPr>
          <w:p>
            <w:pPr>
              <w:autoSpaceDN w:val="0"/>
              <w:autoSpaceDE w:val="0"/>
              <w:widowControl/>
              <w:spacing w:line="220" w:lineRule="exact" w:before="20" w:after="0"/>
              <w:ind w:left="0" w:right="348"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4%</w:t>
            </w:r>
          </w:p>
        </w:tc>
        <w:tc>
          <w:tcPr>
            <w:tcW w:type="dxa" w:w="1940"/>
            <w:vMerge w:val="restart"/>
            <w:tcBorders/>
            <w:shd w:fill="ffffff"/>
            <w:tcMar>
              <w:start w:w="0" w:type="dxa"/>
              <w:end w:w="0" w:type="dxa"/>
            </w:tcMar>
            <w:tcMar>
              <w:start w:w="0" w:type="dxa"/>
              <w:end w:w="0" w:type="dxa"/>
            </w:tcMar>
          </w:tcPr>
          <w:p>
            <w:pPr>
              <w:autoSpaceDN w:val="0"/>
              <w:autoSpaceDE w:val="0"/>
              <w:widowControl/>
              <w:spacing w:line="220" w:lineRule="exact" w:before="20" w:after="0"/>
              <w:ind w:left="356" w:right="0" w:firstLine="0"/>
              <w:jc w:val="left"/>
            </w:pPr>
            <w:r>
              <w:rPr>
                <w:rFonts w:ascii="Calibri" w:hAnsi="Calibri" w:eastAsia="Calibri"/>
                <w:b w:val="0"/>
                <w:i w:val="0"/>
                <w:color w:val="000000"/>
                <w:sz w:val="20"/>
              </w:rPr>
              <w:t>13.71%</w:t>
            </w:r>
            <w:r>
              <w:rPr>
                <w:rFonts w:ascii="黑体" w:hAnsi="黑体" w:eastAsia="黑体"/>
                <w:b w:val="0"/>
                <w:i w:val="0"/>
                <w:color w:val="000000"/>
                <w:sz w:val="20"/>
              </w:rPr>
              <w:t>至</w:t>
            </w:r>
            <w:r>
              <w:rPr>
                <w:rFonts w:ascii="Calibri" w:hAnsi="Calibri" w:eastAsia="Calibri"/>
                <w:b w:val="0"/>
                <w:i w:val="0"/>
                <w:color w:val="000000"/>
                <w:sz w:val="20"/>
              </w:rPr>
              <w:t xml:space="preserve">24.25% </w:t>
            </w:r>
          </w:p>
        </w:tc>
      </w:tr>
      <w:tr>
        <w:trPr>
          <w:trHeight w:hRule="exact" w:val="42"/>
        </w:trPr>
        <w:tc>
          <w:tcPr>
            <w:tcW w:type="dxa" w:w="2640"/>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电器及通讯设备</w:t>
            </w:r>
          </w:p>
        </w:tc>
        <w:tc>
          <w:tcPr>
            <w:tcW w:type="dxa" w:w="2256"/>
            <w:vMerge/>
            <w:tcBorders/>
          </w:tcPr>
          <w:p/>
        </w:tc>
        <w:tc>
          <w:tcPr>
            <w:tcW w:type="dxa" w:w="2256"/>
            <w:vMerge/>
            <w:tcBorders/>
          </w:tcPr>
          <w:p/>
        </w:tc>
        <w:tc>
          <w:tcPr>
            <w:tcW w:type="dxa" w:w="2256"/>
            <w:vMerge/>
            <w:tcBorders/>
          </w:tcPr>
          <w:p/>
        </w:tc>
      </w:tr>
      <w:tr>
        <w:trPr>
          <w:trHeight w:hRule="exact" w:val="218"/>
        </w:trPr>
        <w:tc>
          <w:tcPr>
            <w:tcW w:type="dxa" w:w="2256"/>
            <w:vMerge/>
            <w:tcBorders/>
          </w:tcPr>
          <w:p/>
        </w:tc>
        <w:tc>
          <w:tcPr>
            <w:tcW w:type="dxa" w:w="2480"/>
            <w:vMerge w:val="restart"/>
            <w:tcBorders/>
            <w:tcMar>
              <w:start w:w="0" w:type="dxa"/>
              <w:end w:w="0" w:type="dxa"/>
            </w:tcMar>
            <w:tcMar>
              <w:start w:w="0" w:type="dxa"/>
              <w:end w:w="0" w:type="dxa"/>
            </w:tcMar>
          </w:tcPr>
          <w:p>
            <w:pPr>
              <w:autoSpaceDN w:val="0"/>
              <w:autoSpaceDE w:val="0"/>
              <w:widowControl/>
              <w:spacing w:line="222" w:lineRule="exact" w:before="18" w:after="0"/>
              <w:ind w:left="0" w:right="614"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10</w:t>
            </w:r>
            <w:r>
              <w:rPr>
                <w:rFonts w:ascii="黑体" w:hAnsi="黑体" w:eastAsia="黑体"/>
                <w:b w:val="0"/>
                <w:i w:val="0"/>
                <w:color w:val="000000"/>
                <w:sz w:val="20"/>
              </w:rPr>
              <w:t>年</w:t>
            </w:r>
          </w:p>
        </w:tc>
        <w:tc>
          <w:tcPr>
            <w:tcW w:type="dxa" w:w="1660"/>
            <w:vMerge w:val="restart"/>
            <w:tcBorders/>
            <w:tcMar>
              <w:start w:w="0" w:type="dxa"/>
              <w:end w:w="0" w:type="dxa"/>
            </w:tcMar>
            <w:tcMar>
              <w:start w:w="0" w:type="dxa"/>
              <w:end w:w="0" w:type="dxa"/>
            </w:tcMar>
          </w:tcPr>
          <w:p>
            <w:pPr>
              <w:autoSpaceDN w:val="0"/>
              <w:autoSpaceDE w:val="0"/>
              <w:widowControl/>
              <w:spacing w:line="222" w:lineRule="exact" w:before="18" w:after="0"/>
              <w:ind w:left="0" w:right="348"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4%</w:t>
            </w:r>
          </w:p>
        </w:tc>
        <w:tc>
          <w:tcPr>
            <w:tcW w:type="dxa" w:w="1940"/>
            <w:vMerge w:val="restart"/>
            <w:tcBorders/>
            <w:tcMar>
              <w:start w:w="0" w:type="dxa"/>
              <w:end w:w="0" w:type="dxa"/>
            </w:tcMar>
            <w:tcMar>
              <w:start w:w="0" w:type="dxa"/>
              <w:end w:w="0" w:type="dxa"/>
            </w:tcMar>
          </w:tcPr>
          <w:p>
            <w:pPr>
              <w:autoSpaceDN w:val="0"/>
              <w:autoSpaceDE w:val="0"/>
              <w:widowControl/>
              <w:spacing w:line="222" w:lineRule="exact" w:before="18" w:after="0"/>
              <w:ind w:left="456" w:right="0" w:firstLine="0"/>
              <w:jc w:val="left"/>
            </w:pPr>
            <w:r>
              <w:rPr>
                <w:rFonts w:ascii="Calibri" w:hAnsi="Calibri" w:eastAsia="Calibri"/>
                <w:b w:val="0"/>
                <w:i w:val="0"/>
                <w:color w:val="000000"/>
                <w:sz w:val="20"/>
              </w:rPr>
              <w:t>9.60%</w:t>
            </w:r>
            <w:r>
              <w:rPr>
                <w:rFonts w:ascii="黑体" w:hAnsi="黑体" w:eastAsia="黑体"/>
                <w:b w:val="0"/>
                <w:i w:val="0"/>
                <w:color w:val="000000"/>
                <w:sz w:val="20"/>
              </w:rPr>
              <w:t>至</w:t>
            </w:r>
            <w:r>
              <w:rPr>
                <w:rFonts w:ascii="Calibri" w:hAnsi="Calibri" w:eastAsia="Calibri"/>
                <w:b w:val="0"/>
                <w:i w:val="0"/>
                <w:color w:val="000000"/>
                <w:sz w:val="20"/>
              </w:rPr>
              <w:t xml:space="preserve">32.33% </w:t>
            </w:r>
          </w:p>
        </w:tc>
      </w:tr>
      <w:tr>
        <w:trPr>
          <w:trHeight w:hRule="exact" w:val="42"/>
        </w:trPr>
        <w:tc>
          <w:tcPr>
            <w:tcW w:type="dxa" w:w="2640"/>
            <w:vMerge w:val="restart"/>
            <w:tcBorders/>
            <w:tcMar>
              <w:start w:w="0" w:type="dxa"/>
              <w:end w:w="0" w:type="dxa"/>
            </w:tcMar>
            <w:tcMar>
              <w:start w:w="0" w:type="dxa"/>
              <w:end w:w="0" w:type="dxa"/>
            </w:tcMar>
          </w:tcPr>
          <w:p>
            <w:pPr>
              <w:autoSpaceDN w:val="0"/>
              <w:autoSpaceDE w:val="0"/>
              <w:widowControl/>
              <w:spacing w:line="200" w:lineRule="exact" w:before="62" w:after="0"/>
              <w:ind w:left="198" w:right="0" w:firstLine="0"/>
              <w:jc w:val="left"/>
            </w:pPr>
            <w:r>
              <w:rPr>
                <w:rFonts w:ascii="黑体" w:hAnsi="黑体" w:eastAsia="黑体"/>
                <w:b w:val="0"/>
                <w:i w:val="0"/>
                <w:color w:val="000000"/>
                <w:sz w:val="20"/>
              </w:rPr>
              <w:t>办公设备</w:t>
            </w:r>
          </w:p>
        </w:tc>
        <w:tc>
          <w:tcPr>
            <w:tcW w:type="dxa" w:w="2256"/>
            <w:vMerge/>
            <w:tcBorders/>
          </w:tcPr>
          <w:p/>
        </w:tc>
        <w:tc>
          <w:tcPr>
            <w:tcW w:type="dxa" w:w="2256"/>
            <w:vMerge/>
            <w:tcBorders/>
          </w:tcPr>
          <w:p/>
        </w:tc>
        <w:tc>
          <w:tcPr>
            <w:tcW w:type="dxa" w:w="2256"/>
            <w:vMerge/>
            <w:tcBorders/>
          </w:tcPr>
          <w:p/>
        </w:tc>
      </w:tr>
      <w:tr>
        <w:trPr>
          <w:trHeight w:hRule="exact" w:val="302"/>
        </w:trPr>
        <w:tc>
          <w:tcPr>
            <w:tcW w:type="dxa" w:w="2256"/>
            <w:vMerge/>
            <w:tcBorders/>
          </w:tcPr>
          <w:p/>
        </w:tc>
        <w:tc>
          <w:tcPr>
            <w:tcW w:type="dxa" w:w="2480"/>
            <w:tcBorders/>
            <w:tcMar>
              <w:start w:w="0" w:type="dxa"/>
              <w:end w:w="0" w:type="dxa"/>
            </w:tcMar>
          </w:tcPr>
          <w:p>
            <w:pPr>
              <w:autoSpaceDN w:val="0"/>
              <w:autoSpaceDE w:val="0"/>
              <w:widowControl/>
              <w:spacing w:line="222" w:lineRule="exact" w:before="20" w:after="0"/>
              <w:ind w:left="0" w:right="614"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5</w:t>
            </w:r>
            <w:r>
              <w:rPr>
                <w:rFonts w:ascii="黑体" w:hAnsi="黑体" w:eastAsia="黑体"/>
                <w:b w:val="0"/>
                <w:i w:val="0"/>
                <w:color w:val="000000"/>
                <w:sz w:val="20"/>
              </w:rPr>
              <w:t>年</w:t>
            </w:r>
          </w:p>
        </w:tc>
        <w:tc>
          <w:tcPr>
            <w:tcW w:type="dxa" w:w="1660"/>
            <w:tcBorders/>
            <w:tcMar>
              <w:start w:w="0" w:type="dxa"/>
              <w:end w:w="0" w:type="dxa"/>
            </w:tcMar>
          </w:tcPr>
          <w:p>
            <w:pPr>
              <w:autoSpaceDN w:val="0"/>
              <w:autoSpaceDE w:val="0"/>
              <w:widowControl/>
              <w:spacing w:line="222" w:lineRule="exact" w:before="20" w:after="0"/>
              <w:ind w:left="0" w:right="348" w:firstLine="0"/>
              <w:jc w:val="right"/>
            </w:pPr>
            <w:r>
              <w:rPr>
                <w:rFonts w:ascii="Calibri" w:hAnsi="Calibri" w:eastAsia="Calibri"/>
                <w:b w:val="0"/>
                <w:i w:val="0"/>
                <w:color w:val="000000"/>
                <w:sz w:val="20"/>
              </w:rPr>
              <w:t>3%</w:t>
            </w:r>
            <w:r>
              <w:rPr>
                <w:rFonts w:ascii="黑体" w:hAnsi="黑体" w:eastAsia="黑体"/>
                <w:b w:val="0"/>
                <w:i w:val="0"/>
                <w:color w:val="000000"/>
                <w:sz w:val="20"/>
              </w:rPr>
              <w:t>至</w:t>
            </w:r>
            <w:r>
              <w:rPr>
                <w:rFonts w:ascii="Calibri" w:hAnsi="Calibri" w:eastAsia="Calibri"/>
                <w:b w:val="0"/>
                <w:i w:val="0"/>
                <w:color w:val="000000"/>
                <w:sz w:val="20"/>
              </w:rPr>
              <w:t>4%</w:t>
            </w:r>
          </w:p>
        </w:tc>
        <w:tc>
          <w:tcPr>
            <w:tcW w:type="dxa" w:w="1940"/>
            <w:tcBorders/>
            <w:tcMar>
              <w:start w:w="0" w:type="dxa"/>
              <w:end w:w="0" w:type="dxa"/>
            </w:tcMar>
          </w:tcPr>
          <w:p>
            <w:pPr>
              <w:autoSpaceDN w:val="0"/>
              <w:autoSpaceDE w:val="0"/>
              <w:widowControl/>
              <w:spacing w:line="222" w:lineRule="exact" w:before="20" w:after="0"/>
              <w:ind w:left="356" w:right="0" w:firstLine="0"/>
              <w:jc w:val="left"/>
            </w:pPr>
            <w:r>
              <w:rPr>
                <w:rFonts w:ascii="Calibri" w:hAnsi="Calibri" w:eastAsia="Calibri"/>
                <w:b w:val="0"/>
                <w:i w:val="0"/>
                <w:color w:val="000000"/>
                <w:sz w:val="20"/>
              </w:rPr>
              <w:t>19.20%</w:t>
            </w:r>
            <w:r>
              <w:rPr>
                <w:rFonts w:ascii="黑体" w:hAnsi="黑体" w:eastAsia="黑体"/>
                <w:b w:val="0"/>
                <w:i w:val="0"/>
                <w:color w:val="000000"/>
                <w:sz w:val="20"/>
              </w:rPr>
              <w:t>至</w:t>
            </w:r>
            <w:r>
              <w:rPr>
                <w:rFonts w:ascii="Calibri" w:hAnsi="Calibri" w:eastAsia="Calibri"/>
                <w:b w:val="0"/>
                <w:i w:val="0"/>
                <w:color w:val="000000"/>
                <w:sz w:val="20"/>
              </w:rPr>
              <w:t xml:space="preserve">32.33% </w:t>
            </w:r>
          </w:p>
        </w:tc>
      </w:tr>
    </w:tbl>
    <w:p>
      <w:pPr>
        <w:autoSpaceDN w:val="0"/>
        <w:autoSpaceDE w:val="0"/>
        <w:widowControl/>
        <w:spacing w:line="286" w:lineRule="exact" w:before="176" w:after="0"/>
        <w:ind w:left="358" w:right="288" w:firstLine="0"/>
        <w:jc w:val="left"/>
      </w:pPr>
      <w:r>
        <w:rPr>
          <w:rFonts w:ascii="黑体" w:hAnsi="黑体" w:eastAsia="黑体"/>
          <w:b w:val="0"/>
          <w:i w:val="0"/>
          <w:color w:val="000000"/>
          <w:sz w:val="22"/>
        </w:rPr>
        <w:t>固定资产的各组成部分具有不同使用寿命或以不同方式为企业提供经济利益的，适用</w:t>
      </w:r>
      <w:r>
        <w:rPr>
          <w:rFonts w:ascii="黑体" w:hAnsi="黑体" w:eastAsia="黑体"/>
          <w:b w:val="0"/>
          <w:i w:val="0"/>
          <w:color w:val="000000"/>
          <w:sz w:val="22"/>
        </w:rPr>
        <w:t>不同折旧率和折旧方法。</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本集团至少于每年年度终了，对固定资产的使用寿命、预计净残值和折旧方法进行复</w:t>
      </w:r>
      <w:r>
        <w:rPr>
          <w:rFonts w:ascii="黑体" w:hAnsi="黑体" w:eastAsia="黑体"/>
          <w:b w:val="0"/>
          <w:i w:val="0"/>
          <w:color w:val="000000"/>
          <w:sz w:val="22"/>
        </w:rPr>
        <w:t>核，必要时进行调整。</w:t>
      </w:r>
    </w:p>
    <w:p>
      <w:pPr>
        <w:autoSpaceDN w:val="0"/>
        <w:autoSpaceDE w:val="0"/>
        <w:widowControl/>
        <w:spacing w:line="233" w:lineRule="auto" w:before="6266" w:after="0"/>
        <w:ind w:left="0" w:right="0" w:firstLine="0"/>
        <w:jc w:val="center"/>
      </w:pPr>
      <w:r>
        <w:rPr>
          <w:rFonts w:ascii="Arial" w:hAnsi="Arial" w:eastAsia="Arial"/>
          <w:b w:val="0"/>
          <w:i w:val="0"/>
          <w:color w:val="000000"/>
          <w:sz w:val="20"/>
        </w:rPr>
        <w:t xml:space="preserve">177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12. </w:t>
      </w:r>
      <w:r>
        <w:rPr>
          <w:rFonts w:ascii="黑体" w:hAnsi="黑体" w:eastAsia="黑体"/>
          <w:b w:val="0"/>
          <w:i w:val="0"/>
          <w:color w:val="000000"/>
          <w:sz w:val="22"/>
        </w:rPr>
        <w:t>无形资产</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无形资产包括交易席位费、软件及土地使用权。</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交易席位费作为使用寿命不确定的无形资产。此类无形资产不予摊销，无论是否存在</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减值迹象，至少每年进行减值测试；在每个会计期间对其使用寿命进行复核，如果有</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 xml:space="preserve">证据表明使用寿命是有限的，则按使用寿命有限的无形资产的政策进行会计处理。 </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除交易席位费以外的无形资产在使用寿命内采用直线法摊销，其使用寿命如下：</w:t>
      </w:r>
    </w:p>
    <w:p>
      <w:pPr>
        <w:autoSpaceDN w:val="0"/>
        <w:tabs>
          <w:tab w:pos="7894" w:val="left"/>
        </w:tabs>
        <w:autoSpaceDE w:val="0"/>
        <w:widowControl/>
        <w:spacing w:line="198" w:lineRule="exact" w:before="334" w:after="276"/>
        <w:ind w:left="4042" w:right="0" w:firstLine="0"/>
        <w:jc w:val="left"/>
      </w:pPr>
      <w:r>
        <w:rPr>
          <w:rFonts w:ascii="黑体" w:hAnsi="黑体" w:eastAsia="黑体"/>
          <w:b w:val="0"/>
          <w:i w:val="0"/>
          <w:color w:val="000000"/>
          <w:sz w:val="20"/>
        </w:rPr>
        <w:t>使用寿命</w:t>
      </w:r>
      <w:r>
        <w:rPr>
          <w:rFonts w:ascii="黑体" w:hAnsi="黑体" w:eastAsia="黑体"/>
          <w:b w:val="0"/>
          <w:i w:val="0"/>
          <w:color w:val="000000"/>
          <w:sz w:val="20"/>
        </w:rPr>
        <w:t>确定依据</w:t>
      </w:r>
    </w:p>
    <w:p>
      <w:pPr>
        <w:sectPr>
          <w:pgSz w:w="11906" w:h="16841"/>
          <w:pgMar w:top="1004" w:right="1440" w:bottom="360" w:left="1440" w:header="720" w:footer="720" w:gutter="0"/>
          <w:cols/>
          <w:docGrid w:linePitch="360"/>
        </w:sectPr>
      </w:pPr>
    </w:p>
    <w:p>
      <w:pPr>
        <w:autoSpaceDN w:val="0"/>
        <w:autoSpaceDE w:val="0"/>
        <w:widowControl/>
        <w:spacing w:line="14" w:lineRule="exact" w:before="0" w:after="0"/>
        <w:ind w:left="0" w:right="0"/>
      </w:pPr>
    </w:p>
    <w:tbl>
      <w:tblPr>
        <w:tblW w:type="auto" w:w="0"/>
        <w:tblLayout w:type="fixed"/>
        <w:tblLook w:firstColumn="1" w:firstRow="1" w:lastColumn="0" w:lastRow="0" w:noHBand="0" w:noVBand="1" w:val="04A0"/>
        <w:tblInd w:w="160.0" w:type="dxa"/>
      </w:tblPr>
      <w:tblGrid>
        <w:gridCol w:w="4513"/>
        <w:gridCol w:w="4513"/>
      </w:tblGrid>
      <w:tr>
        <w:trPr>
          <w:trHeight w:hRule="exact" w:val="478"/>
        </w:trPr>
        <w:tc>
          <w:tcPr>
            <w:tcW w:type="dxa" w:w="2540"/>
            <w:tcBorders/>
            <w:shd w:fill="ffffff"/>
            <w:tcMar>
              <w:start w:w="0" w:type="dxa"/>
              <w:end w:w="0" w:type="dxa"/>
            </w:tcMar>
          </w:tcPr>
          <w:p>
            <w:pPr>
              <w:autoSpaceDN w:val="0"/>
              <w:autoSpaceDE w:val="0"/>
              <w:widowControl/>
              <w:spacing w:line="236" w:lineRule="exact" w:before="0" w:after="0"/>
              <w:ind w:left="198" w:right="1296" w:firstLine="0"/>
              <w:jc w:val="left"/>
            </w:pPr>
            <w:r>
              <w:rPr>
                <w:rFonts w:ascii="黑体" w:hAnsi="黑体" w:eastAsia="黑体"/>
                <w:b w:val="0"/>
                <w:i w:val="0"/>
                <w:color w:val="000000"/>
                <w:sz w:val="20"/>
              </w:rPr>
              <w:t>土地使用权</w:t>
            </w:r>
            <w:r>
              <w:br/>
            </w:r>
            <w:r>
              <w:rPr>
                <w:rFonts w:ascii="黑体" w:hAnsi="黑体" w:eastAsia="黑体"/>
                <w:b w:val="0"/>
                <w:i w:val="0"/>
                <w:color w:val="000000"/>
                <w:sz w:val="20"/>
              </w:rPr>
              <w:t>软件</w:t>
            </w:r>
          </w:p>
        </w:tc>
        <w:tc>
          <w:tcPr>
            <w:tcW w:type="dxa" w:w="2400"/>
            <w:tcBorders/>
            <w:tcMar>
              <w:start w:w="0" w:type="dxa"/>
              <w:end w:w="0" w:type="dxa"/>
            </w:tcMar>
          </w:tcPr>
          <w:p>
            <w:pPr>
              <w:autoSpaceDN w:val="0"/>
              <w:autoSpaceDE w:val="0"/>
              <w:widowControl/>
              <w:spacing w:line="248" w:lineRule="exact" w:before="0" w:after="0"/>
              <w:ind w:left="1342" w:right="288" w:firstLine="0"/>
              <w:jc w:val="left"/>
            </w:pPr>
            <w:r>
              <w:rPr>
                <w:rFonts w:ascii="Calibri" w:hAnsi="Calibri" w:eastAsia="Calibri"/>
                <w:b w:val="0"/>
                <w:i w:val="0"/>
                <w:color w:val="000000"/>
                <w:sz w:val="20"/>
              </w:rPr>
              <w:t>37-39</w:t>
            </w:r>
            <w:r>
              <w:rPr>
                <w:rFonts w:ascii="黑体" w:hAnsi="黑体" w:eastAsia="黑体"/>
                <w:b w:val="0"/>
                <w:i w:val="0"/>
                <w:color w:val="000000"/>
                <w:sz w:val="20"/>
              </w:rPr>
              <w:t>年</w:t>
            </w:r>
            <w:r>
              <w:br/>
            </w:r>
            <w:r>
              <w:rPr>
                <w:rFonts w:ascii="Calibri" w:hAnsi="Calibri" w:eastAsia="Calibri"/>
                <w:b w:val="0"/>
                <w:i w:val="0"/>
                <w:color w:val="000000"/>
                <w:sz w:val="20"/>
              </w:rPr>
              <w:t>2-10</w:t>
            </w:r>
            <w:r>
              <w:rPr>
                <w:rFonts w:ascii="黑体" w:hAnsi="黑体" w:eastAsia="黑体"/>
                <w:b w:val="0"/>
                <w:i w:val="0"/>
                <w:color w:val="000000"/>
                <w:sz w:val="20"/>
              </w:rPr>
              <w:t>年</w:t>
            </w:r>
          </w:p>
        </w:tc>
      </w:tr>
    </w:tbl>
    <w:p>
      <w:pPr>
        <w:autoSpaceDN w:val="0"/>
        <w:autoSpaceDE w:val="0"/>
        <w:widowControl/>
        <w:spacing w:line="14" w:lineRule="exact" w:before="0" w:after="0"/>
        <w:ind w:left="0" w:right="0"/>
      </w:pPr>
    </w:p>
    <w:p>
      <w:pPr>
        <w:sectPr>
          <w:type w:val="continuous"/>
          <w:pgSz w:w="11906" w:h="16841"/>
          <w:pgMar w:top="1004" w:right="1440" w:bottom="360" w:left="1440" w:header="720" w:footer="720" w:gutter="0"/>
          <w:cols w:num="2" w:equalWidth="0">
            <w:col w:w="5498" w:space="0"/>
            <w:col w:w="3527" w:space="0"/>
          </w:cols>
          <w:docGrid w:linePitch="360"/>
        </w:sectPr>
      </w:pPr>
    </w:p>
    <w:p>
      <w:pPr>
        <w:autoSpaceDN w:val="0"/>
        <w:autoSpaceDE w:val="0"/>
        <w:widowControl/>
        <w:spacing w:line="228" w:lineRule="exact" w:before="0" w:after="326"/>
        <w:ind w:left="794" w:right="288" w:firstLine="1000"/>
        <w:jc w:val="left"/>
      </w:pPr>
      <w:r>
        <w:rPr>
          <w:rFonts w:ascii="黑体" w:hAnsi="黑体" w:eastAsia="黑体"/>
          <w:b w:val="0"/>
          <w:i w:val="0"/>
          <w:color w:val="000000"/>
          <w:sz w:val="20"/>
        </w:rPr>
        <w:t>土地使用权期限</w:t>
      </w:r>
      <w:r>
        <w:rPr>
          <w:rFonts w:ascii="黑体" w:hAnsi="黑体" w:eastAsia="黑体"/>
          <w:b w:val="0"/>
          <w:i w:val="0"/>
          <w:color w:val="000000"/>
          <w:sz w:val="20"/>
        </w:rPr>
        <w:t>结合生命周期预计使用年限</w:t>
      </w:r>
    </w:p>
    <w:p>
      <w:pPr>
        <w:sectPr>
          <w:type w:val="nextColumn"/>
          <w:pgSz w:w="11906" w:h="16841"/>
          <w:pgMar w:top="1004" w:right="1440" w:bottom="360" w:left="1440" w:header="720" w:footer="720" w:gutter="0"/>
          <w:cols w:num="2" w:equalWidth="0">
            <w:col w:w="5498" w:space="0"/>
            <w:col w:w="3527" w:space="0"/>
          </w:cols>
          <w:docGrid w:linePitch="360"/>
        </w:sectPr>
      </w:pPr>
    </w:p>
    <w:p>
      <w:pPr>
        <w:autoSpaceDN w:val="0"/>
        <w:autoSpaceDE w:val="0"/>
        <w:widowControl/>
        <w:spacing w:line="278" w:lineRule="exact" w:before="0" w:after="0"/>
        <w:ind w:left="358" w:right="348" w:firstLine="0"/>
        <w:jc w:val="both"/>
      </w:pPr>
      <w:r>
        <w:rPr>
          <w:rFonts w:ascii="黑体" w:hAnsi="黑体" w:eastAsia="黑体"/>
          <w:b w:val="0"/>
          <w:i w:val="0"/>
          <w:color w:val="000000"/>
          <w:sz w:val="22"/>
        </w:rPr>
        <w:t>本集团将内部研究开发项目的支出，区分为研究阶段支出和开发阶段支出。研究阶段</w:t>
      </w:r>
      <w:r>
        <w:rPr>
          <w:rFonts w:ascii="黑体" w:hAnsi="黑体" w:eastAsia="黑体"/>
          <w:b w:val="0"/>
          <w:i w:val="0"/>
          <w:color w:val="000000"/>
          <w:sz w:val="22"/>
        </w:rPr>
        <w:t>的支出，于发生时计入当期损益。开发阶段的支出，只有在同时满足下列条件时，才</w:t>
      </w:r>
      <w:r>
        <w:rPr>
          <w:rFonts w:ascii="黑体" w:hAnsi="黑体" w:eastAsia="黑体"/>
          <w:b w:val="0"/>
          <w:i w:val="0"/>
          <w:color w:val="000000"/>
          <w:sz w:val="22"/>
        </w:rPr>
        <w:t>能予以资本化，即：完成该无形资产以使其能够使用或出售在技术上具有可行性；具</w:t>
      </w:r>
      <w:r>
        <w:rPr>
          <w:rFonts w:ascii="黑体" w:hAnsi="黑体" w:eastAsia="黑体"/>
          <w:b w:val="0"/>
          <w:i w:val="0"/>
          <w:color w:val="000000"/>
          <w:sz w:val="22"/>
        </w:rPr>
        <w:t>有完成该无形资产并使用或出售的意图；无形资产产生经济利益的方式，包括能够证</w:t>
      </w:r>
      <w:r>
        <w:rPr>
          <w:rFonts w:ascii="黑体" w:hAnsi="黑体" w:eastAsia="黑体"/>
          <w:b w:val="0"/>
          <w:i w:val="0"/>
          <w:color w:val="000000"/>
          <w:sz w:val="22"/>
        </w:rPr>
        <w:t>明运用该无形资产生产的产品存在市场或无形资产自身存在市场，无形资产将在内部</w:t>
      </w:r>
      <w:r>
        <w:rPr>
          <w:rFonts w:ascii="黑体" w:hAnsi="黑体" w:eastAsia="黑体"/>
          <w:b w:val="0"/>
          <w:i w:val="0"/>
          <w:color w:val="000000"/>
          <w:sz w:val="22"/>
        </w:rPr>
        <w:t>使用的，能够证明其有用性；有足够的技术、财务资源和其他资源支持，以完成该无</w:t>
      </w:r>
      <w:r>
        <w:rPr>
          <w:rFonts w:ascii="黑体" w:hAnsi="黑体" w:eastAsia="黑体"/>
          <w:b w:val="0"/>
          <w:i w:val="0"/>
          <w:color w:val="000000"/>
          <w:sz w:val="22"/>
        </w:rPr>
        <w:t>形资产的开发，并有能力使用或出售该无形资产；归属于该无形资产开发阶段的支出</w:t>
      </w:r>
      <w:r>
        <w:rPr>
          <w:rFonts w:ascii="黑体" w:hAnsi="黑体" w:eastAsia="黑体"/>
          <w:b w:val="0"/>
          <w:i w:val="0"/>
          <w:color w:val="000000"/>
          <w:sz w:val="22"/>
        </w:rPr>
        <w:t>能够可靠地计量。不满足上述条件的开发支出，于发生时计入当期损益。</w:t>
      </w:r>
    </w:p>
    <w:p>
      <w:pPr>
        <w:autoSpaceDN w:val="0"/>
        <w:autoSpaceDE w:val="0"/>
        <w:widowControl/>
        <w:spacing w:line="233" w:lineRule="auto" w:before="7044" w:after="0"/>
        <w:ind w:left="0" w:right="0" w:firstLine="0"/>
        <w:jc w:val="center"/>
      </w:pPr>
      <w:r>
        <w:rPr>
          <w:rFonts w:ascii="Arial" w:hAnsi="Arial" w:eastAsia="Arial"/>
          <w:b w:val="0"/>
          <w:i w:val="0"/>
          <w:color w:val="000000"/>
          <w:sz w:val="20"/>
        </w:rPr>
        <w:t xml:space="preserve">178 </w:t>
      </w:r>
    </w:p>
    <w:p>
      <w:pPr>
        <w:sectPr>
          <w:type w:val="continuous"/>
          <w:pgSz w:w="11906" w:h="16841"/>
          <w:pgMar w:top="1004"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13. </w:t>
      </w:r>
      <w:r>
        <w:rPr>
          <w:rFonts w:ascii="黑体" w:hAnsi="黑体" w:eastAsia="黑体"/>
          <w:b w:val="0"/>
          <w:i w:val="0"/>
          <w:color w:val="000000"/>
          <w:sz w:val="22"/>
        </w:rPr>
        <w:t>资产减值</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对除递延所得税、金融资产及存货外的资产减值，按以下方法确定：于资产负债表日</w:t>
      </w:r>
      <w:r>
        <w:rPr>
          <w:rFonts w:ascii="黑体" w:hAnsi="黑体" w:eastAsia="黑体"/>
          <w:b w:val="0"/>
          <w:i w:val="0"/>
          <w:color w:val="000000"/>
          <w:sz w:val="22"/>
        </w:rPr>
        <w:t>判断资产是否存在可能发生减值的迹象，存在减值迹象的，本集团将估计其可收回金</w:t>
      </w:r>
      <w:r>
        <w:rPr>
          <w:rFonts w:ascii="黑体" w:hAnsi="黑体" w:eastAsia="黑体"/>
          <w:b w:val="0"/>
          <w:i w:val="0"/>
          <w:color w:val="000000"/>
          <w:sz w:val="22"/>
        </w:rPr>
        <w:t>额，进行减值测试；对因企业合并所形成的商誉、使用寿命不确定的无形资产和尚未</w:t>
      </w:r>
      <w:r>
        <w:rPr>
          <w:rFonts w:ascii="黑体" w:hAnsi="黑体" w:eastAsia="黑体"/>
          <w:b w:val="0"/>
          <w:i w:val="0"/>
          <w:color w:val="000000"/>
          <w:sz w:val="22"/>
        </w:rPr>
        <w:t>达到可使用状态的无形资产，无论是否存在减值迹象，至少于每年末进行减值测试。</w:t>
      </w:r>
    </w:p>
    <w:p>
      <w:pPr>
        <w:autoSpaceDN w:val="0"/>
        <w:autoSpaceDE w:val="0"/>
        <w:widowControl/>
        <w:spacing w:line="284" w:lineRule="exact" w:before="272" w:after="0"/>
        <w:ind w:left="358" w:right="356" w:firstLine="0"/>
        <w:jc w:val="both"/>
      </w:pPr>
      <w:r>
        <w:rPr>
          <w:rFonts w:ascii="黑体" w:hAnsi="黑体" w:eastAsia="黑体"/>
          <w:b w:val="0"/>
          <w:i w:val="0"/>
          <w:color w:val="000000"/>
          <w:sz w:val="22"/>
        </w:rPr>
        <w:t>可收回金额根据资产的公允价值减去处置费用后的净额与资产预计未来现金流量的现</w:t>
      </w:r>
      <w:r>
        <w:rPr>
          <w:rFonts w:ascii="黑体" w:hAnsi="黑体" w:eastAsia="黑体"/>
          <w:b w:val="0"/>
          <w:i w:val="0"/>
          <w:color w:val="000000"/>
          <w:sz w:val="22"/>
        </w:rPr>
        <w:t>值两者之间较高者确定。本集团以单项资产为基础估计其可收回金额；难以对单项资</w:t>
      </w:r>
      <w:r>
        <w:rPr>
          <w:rFonts w:ascii="黑体" w:hAnsi="黑体" w:eastAsia="黑体"/>
          <w:b w:val="0"/>
          <w:i w:val="0"/>
          <w:color w:val="000000"/>
          <w:sz w:val="22"/>
        </w:rPr>
        <w:t>产的可收回金额进行估计的，以该资产所属的资产组为基础确定资产组的可收回金</w:t>
      </w:r>
      <w:r>
        <w:rPr>
          <w:rFonts w:ascii="黑体" w:hAnsi="黑体" w:eastAsia="黑体"/>
          <w:b w:val="0"/>
          <w:i w:val="0"/>
          <w:color w:val="000000"/>
          <w:sz w:val="22"/>
        </w:rPr>
        <w:t>额。资产组的认定，以资产组产生的主要现金流入是否独立于其他资产或者资产组的</w:t>
      </w:r>
      <w:r>
        <w:rPr>
          <w:rFonts w:ascii="黑体" w:hAnsi="黑体" w:eastAsia="黑体"/>
          <w:b w:val="0"/>
          <w:i w:val="0"/>
          <w:color w:val="000000"/>
          <w:sz w:val="22"/>
        </w:rPr>
        <w:t>现金流入为依据。</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当资产或者资产组的可收回金额低于其账面价值时，本集团将其账面价值减记至可收</w:t>
      </w:r>
      <w:r>
        <w:rPr>
          <w:rFonts w:ascii="黑体" w:hAnsi="黑体" w:eastAsia="黑体"/>
          <w:b w:val="0"/>
          <w:i w:val="0"/>
          <w:color w:val="000000"/>
          <w:sz w:val="22"/>
        </w:rPr>
        <w:t>回金额，减记的金额计入当期损益，同时计提相应的资产减值准备。</w:t>
      </w:r>
    </w:p>
    <w:p>
      <w:pPr>
        <w:autoSpaceDN w:val="0"/>
        <w:autoSpaceDE w:val="0"/>
        <w:widowControl/>
        <w:spacing w:line="284" w:lineRule="exact" w:before="268" w:after="0"/>
        <w:ind w:left="358" w:right="350" w:firstLine="0"/>
        <w:jc w:val="both"/>
      </w:pPr>
      <w:r>
        <w:rPr>
          <w:rFonts w:ascii="黑体" w:hAnsi="黑体" w:eastAsia="黑体"/>
          <w:b w:val="0"/>
          <w:i w:val="0"/>
          <w:color w:val="000000"/>
          <w:sz w:val="22"/>
        </w:rPr>
        <w:t>就商誉的减值测试而言，对于商誉的账面价值，自购买日起按照合理的方法分摊至相</w:t>
      </w:r>
      <w:r>
        <w:rPr>
          <w:rFonts w:ascii="黑体" w:hAnsi="黑体" w:eastAsia="黑体"/>
          <w:b w:val="0"/>
          <w:i w:val="0"/>
          <w:color w:val="000000"/>
          <w:sz w:val="22"/>
        </w:rPr>
        <w:t>关的资产组或者资产组组合。相关的资产组或者资产组组合，是能够从企业合并的协</w:t>
      </w:r>
      <w:r>
        <w:rPr>
          <w:rFonts w:ascii="黑体" w:hAnsi="黑体" w:eastAsia="黑体"/>
          <w:b w:val="0"/>
          <w:i w:val="0"/>
          <w:color w:val="000000"/>
          <w:sz w:val="22"/>
        </w:rPr>
        <w:t>同效应中受益的资产组或者资产组组合，且不大于本集团确定的经营分部。</w:t>
      </w:r>
    </w:p>
    <w:p>
      <w:pPr>
        <w:autoSpaceDN w:val="0"/>
        <w:autoSpaceDE w:val="0"/>
        <w:widowControl/>
        <w:spacing w:line="286" w:lineRule="exact" w:before="268" w:after="0"/>
        <w:ind w:left="358" w:right="352" w:firstLine="0"/>
        <w:jc w:val="both"/>
      </w:pPr>
      <w:r>
        <w:rPr>
          <w:rFonts w:ascii="黑体" w:hAnsi="黑体" w:eastAsia="黑体"/>
          <w:b w:val="0"/>
          <w:i w:val="0"/>
          <w:color w:val="000000"/>
          <w:sz w:val="22"/>
        </w:rPr>
        <w:t>比较包含商誉的资产组或者资产组组合的账面价值与可收回金额，如可收回金额低于</w:t>
      </w:r>
      <w:r>
        <w:rPr>
          <w:rFonts w:ascii="黑体" w:hAnsi="黑体" w:eastAsia="黑体"/>
          <w:b w:val="0"/>
          <w:i w:val="0"/>
          <w:color w:val="000000"/>
          <w:sz w:val="22"/>
        </w:rPr>
        <w:t>账面价值的，减值损失金额首先抵减分摊至资产组或者资产组组合中商誉的账面价</w:t>
      </w:r>
      <w:r>
        <w:rPr>
          <w:rFonts w:ascii="黑体" w:hAnsi="黑体" w:eastAsia="黑体"/>
          <w:b w:val="0"/>
          <w:i w:val="0"/>
          <w:color w:val="000000"/>
          <w:sz w:val="22"/>
        </w:rPr>
        <w:t>值，再根据资产组或者资产组组合中除商誉之外的其他各项资产的账面价值所占比</w:t>
      </w:r>
      <w:r>
        <w:rPr>
          <w:rFonts w:ascii="黑体" w:hAnsi="黑体" w:eastAsia="黑体"/>
          <w:b w:val="0"/>
          <w:i w:val="0"/>
          <w:color w:val="000000"/>
          <w:sz w:val="22"/>
        </w:rPr>
        <w:t>重，按比例抵减其他各项资产的账面价值。</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上述资产减值损失一经确认，在以后会计期间不再转回。</w:t>
      </w:r>
    </w:p>
    <w:p>
      <w:pPr>
        <w:autoSpaceDN w:val="0"/>
        <w:autoSpaceDE w:val="0"/>
        <w:widowControl/>
        <w:spacing w:line="233" w:lineRule="auto" w:before="6084" w:after="0"/>
        <w:ind w:left="0" w:right="0" w:firstLine="0"/>
        <w:jc w:val="center"/>
      </w:pPr>
      <w:r>
        <w:rPr>
          <w:rFonts w:ascii="Arial" w:hAnsi="Arial" w:eastAsia="Arial"/>
          <w:b w:val="0"/>
          <w:i w:val="0"/>
          <w:color w:val="000000"/>
          <w:sz w:val="20"/>
        </w:rPr>
        <w:t xml:space="preserve">179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14. </w:t>
      </w:r>
      <w:r>
        <w:rPr>
          <w:rFonts w:ascii="黑体" w:hAnsi="黑体" w:eastAsia="黑体"/>
          <w:b w:val="0"/>
          <w:i w:val="0"/>
          <w:color w:val="000000"/>
          <w:sz w:val="22"/>
        </w:rPr>
        <w:t>存货</w:t>
      </w:r>
    </w:p>
    <w:p>
      <w:pPr>
        <w:autoSpaceDN w:val="0"/>
        <w:autoSpaceDE w:val="0"/>
        <w:widowControl/>
        <w:spacing w:line="220" w:lineRule="exact" w:before="316" w:after="0"/>
        <w:ind w:left="0" w:right="0" w:firstLine="0"/>
        <w:jc w:val="center"/>
      </w:pPr>
      <w:r>
        <w:rPr>
          <w:rFonts w:ascii="黑体" w:hAnsi="黑体" w:eastAsia="黑体"/>
          <w:b w:val="0"/>
          <w:i w:val="0"/>
          <w:color w:val="000000"/>
          <w:sz w:val="22"/>
        </w:rPr>
        <w:t>存货包括库存商品。存货按照成本进行初始计量。存货成本包括采购成本、加工成本</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和其他成本。发出存货，采用个别计价法确定其实际成本。存货的盘存制度采用永续</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盘存制。</w:t>
      </w:r>
    </w:p>
    <w:p>
      <w:pPr>
        <w:autoSpaceDN w:val="0"/>
        <w:autoSpaceDE w:val="0"/>
        <w:widowControl/>
        <w:spacing w:line="222" w:lineRule="exact" w:before="332" w:after="0"/>
        <w:ind w:left="0" w:right="0" w:firstLine="0"/>
        <w:jc w:val="center"/>
      </w:pPr>
      <w:r>
        <w:rPr>
          <w:rFonts w:ascii="黑体" w:hAnsi="黑体" w:eastAsia="黑体"/>
          <w:b w:val="0"/>
          <w:i w:val="0"/>
          <w:color w:val="000000"/>
          <w:sz w:val="22"/>
        </w:rPr>
        <w:t>于资产负债表日，存货按照成本与可变现净值孰低计量，对成本高于可变现净值的，</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计提存货跌价准备，计入当期损益。可变现净值，是指在日常活动中，存货的估计售</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价减去至完工时估计将要发生的成本、估计的销售费用以及相关税费后的金额。计提</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存货跌价准备时，按单个存货项目计算的成本高于其可变现净值的差额。</w:t>
      </w:r>
    </w:p>
    <w:p>
      <w:pPr>
        <w:autoSpaceDN w:val="0"/>
        <w:tabs>
          <w:tab w:pos="1086" w:val="left"/>
        </w:tabs>
        <w:autoSpaceDE w:val="0"/>
        <w:widowControl/>
        <w:spacing w:line="246" w:lineRule="exact" w:before="322" w:after="0"/>
        <w:ind w:left="358" w:right="0" w:firstLine="0"/>
        <w:jc w:val="left"/>
      </w:pPr>
      <w:r>
        <w:rPr>
          <w:rFonts w:ascii="Arial,Bold" w:hAnsi="Arial,Bold" w:eastAsia="Arial,Bold"/>
          <w:b/>
          <w:i w:val="0"/>
          <w:color w:val="000000"/>
          <w:sz w:val="22"/>
        </w:rPr>
        <w:t xml:space="preserve">15. </w:t>
      </w:r>
      <w:r>
        <w:rPr>
          <w:rFonts w:ascii="黑体" w:hAnsi="黑体" w:eastAsia="黑体"/>
          <w:b w:val="0"/>
          <w:i w:val="0"/>
          <w:color w:val="000000"/>
          <w:sz w:val="22"/>
        </w:rPr>
        <w:t>长期待摊费用</w:t>
      </w:r>
    </w:p>
    <w:p>
      <w:pPr>
        <w:autoSpaceDN w:val="0"/>
        <w:autoSpaceDE w:val="0"/>
        <w:widowControl/>
        <w:spacing w:line="222" w:lineRule="exact" w:before="318" w:after="0"/>
        <w:ind w:left="0" w:right="0" w:firstLine="0"/>
        <w:jc w:val="center"/>
      </w:pPr>
      <w:r>
        <w:rPr>
          <w:rFonts w:ascii="黑体" w:hAnsi="黑体" w:eastAsia="黑体"/>
          <w:b w:val="0"/>
          <w:i w:val="0"/>
          <w:color w:val="000000"/>
          <w:sz w:val="22"/>
        </w:rPr>
        <w:t>长期待摊费用包括经营租入固定资产改良及其他已经发生但应由本期和以后各期负担</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的、分摊期限在一年以上的各项费用，按预计受益期间分期平均摊销。</w:t>
      </w:r>
    </w:p>
    <w:p>
      <w:pPr>
        <w:autoSpaceDN w:val="0"/>
        <w:tabs>
          <w:tab w:pos="1086"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16. </w:t>
      </w:r>
      <w:r>
        <w:rPr>
          <w:rFonts w:ascii="黑体" w:hAnsi="黑体" w:eastAsia="黑体"/>
          <w:b w:val="0"/>
          <w:i w:val="0"/>
          <w:color w:val="000000"/>
          <w:sz w:val="22"/>
        </w:rPr>
        <w:t>职工薪酬</w:t>
      </w:r>
    </w:p>
    <w:p>
      <w:pPr>
        <w:autoSpaceDN w:val="0"/>
        <w:autoSpaceDE w:val="0"/>
        <w:widowControl/>
        <w:spacing w:line="240" w:lineRule="exact" w:before="320" w:after="0"/>
        <w:ind w:left="0" w:right="0" w:firstLine="0"/>
        <w:jc w:val="center"/>
      </w:pPr>
      <w:r>
        <w:rPr>
          <w:rFonts w:ascii="黑体" w:hAnsi="黑体" w:eastAsia="黑体"/>
          <w:b w:val="0"/>
          <w:i w:val="0"/>
          <w:color w:val="000000"/>
          <w:sz w:val="22"/>
        </w:rPr>
        <w:t>职工薪酬，是指本集团为获得职工提供的服务或解除劳动关系而给予的</w:t>
      </w:r>
      <w:r>
        <w:rPr>
          <w:rFonts w:ascii="Calibri" w:hAnsi="Calibri" w:eastAsia="Calibri"/>
          <w:b w:val="0"/>
          <w:i w:val="0"/>
          <w:color w:val="000000"/>
          <w:sz w:val="22"/>
        </w:rPr>
        <w:t>[</w:t>
      </w:r>
      <w:r>
        <w:rPr>
          <w:rFonts w:ascii="黑体" w:hAnsi="黑体" w:eastAsia="黑体"/>
          <w:b w:val="0"/>
          <w:i w:val="0"/>
          <w:color w:val="000000"/>
          <w:sz w:val="22"/>
        </w:rPr>
        <w:t>除股份支付以</w:t>
      </w:r>
    </w:p>
    <w:p>
      <w:pPr>
        <w:autoSpaceDN w:val="0"/>
        <w:autoSpaceDE w:val="0"/>
        <w:widowControl/>
        <w:spacing w:line="240" w:lineRule="exact" w:before="42" w:after="0"/>
        <w:ind w:left="0" w:right="0" w:firstLine="0"/>
        <w:jc w:val="center"/>
      </w:pPr>
      <w:r>
        <w:rPr>
          <w:rFonts w:ascii="黑体" w:hAnsi="黑体" w:eastAsia="黑体"/>
          <w:b w:val="0"/>
          <w:i w:val="0"/>
          <w:color w:val="000000"/>
          <w:sz w:val="22"/>
        </w:rPr>
        <w:t>外</w:t>
      </w:r>
      <w:r>
        <w:rPr>
          <w:rFonts w:ascii="Calibri" w:hAnsi="Calibri" w:eastAsia="Calibri"/>
          <w:b w:val="0"/>
          <w:i w:val="0"/>
          <w:color w:val="000000"/>
          <w:sz w:val="22"/>
        </w:rPr>
        <w:t>]</w:t>
      </w:r>
      <w:r>
        <w:rPr>
          <w:rFonts w:ascii="黑体" w:hAnsi="黑体" w:eastAsia="黑体"/>
          <w:b w:val="0"/>
          <w:i w:val="0"/>
          <w:color w:val="000000"/>
          <w:sz w:val="22"/>
        </w:rPr>
        <w:t>各种形式的报酬或补偿。职工薪酬包括短期薪酬、离职后福利、辞退福利和其他长</w:t>
      </w:r>
    </w:p>
    <w:p>
      <w:pPr>
        <w:autoSpaceDN w:val="0"/>
        <w:autoSpaceDE w:val="0"/>
        <w:widowControl/>
        <w:spacing w:line="220" w:lineRule="exact" w:before="46" w:after="0"/>
        <w:ind w:left="358" w:right="0" w:firstLine="0"/>
        <w:jc w:val="left"/>
      </w:pPr>
      <w:r>
        <w:rPr>
          <w:rFonts w:ascii="黑体" w:hAnsi="黑体" w:eastAsia="黑体"/>
          <w:b w:val="0"/>
          <w:i w:val="0"/>
          <w:color w:val="000000"/>
          <w:sz w:val="22"/>
        </w:rPr>
        <w:t>期职工福利。</w:t>
      </w:r>
    </w:p>
    <w:p>
      <w:pPr>
        <w:autoSpaceDN w:val="0"/>
        <w:autoSpaceDE w:val="0"/>
        <w:widowControl/>
        <w:spacing w:line="222" w:lineRule="exact" w:before="334" w:after="0"/>
        <w:ind w:left="358" w:right="0" w:firstLine="0"/>
        <w:jc w:val="left"/>
      </w:pPr>
      <w:r>
        <w:rPr>
          <w:rFonts w:ascii="黑体" w:hAnsi="黑体" w:eastAsia="黑体"/>
          <w:b w:val="0"/>
          <w:i w:val="0"/>
          <w:color w:val="000000"/>
          <w:sz w:val="22"/>
        </w:rPr>
        <w:t>短期薪酬</w:t>
      </w:r>
    </w:p>
    <w:p>
      <w:pPr>
        <w:autoSpaceDN w:val="0"/>
        <w:autoSpaceDE w:val="0"/>
        <w:widowControl/>
        <w:spacing w:line="222" w:lineRule="exact" w:before="332" w:after="0"/>
        <w:ind w:left="0" w:right="0" w:firstLine="0"/>
        <w:jc w:val="center"/>
      </w:pPr>
      <w:r>
        <w:rPr>
          <w:rFonts w:ascii="黑体" w:hAnsi="黑体" w:eastAsia="黑体"/>
          <w:b w:val="0"/>
          <w:i w:val="0"/>
          <w:color w:val="000000"/>
          <w:sz w:val="22"/>
        </w:rPr>
        <w:t>在职工提供服务的会计期间，将实际发生的短期薪酬确认为负债，并计入当期损益或</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相关资产成本。</w:t>
      </w:r>
    </w:p>
    <w:p>
      <w:pPr>
        <w:autoSpaceDN w:val="0"/>
        <w:autoSpaceDE w:val="0"/>
        <w:widowControl/>
        <w:spacing w:line="222" w:lineRule="exact" w:before="330" w:after="0"/>
        <w:ind w:left="358" w:right="0" w:firstLine="0"/>
        <w:jc w:val="left"/>
      </w:pPr>
      <w:r>
        <w:rPr>
          <w:rFonts w:ascii="黑体" w:hAnsi="黑体" w:eastAsia="黑体"/>
          <w:b w:val="0"/>
          <w:i w:val="0"/>
          <w:color w:val="000000"/>
          <w:sz w:val="22"/>
        </w:rPr>
        <w:t>离职后福利（设定提存计划）</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本集团的职工参加由当地政府管理的养老保险和失业保险，还参加了企业年金，相应</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支出在发生时计入相关资产成本或当期损益。</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辞退福利</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本集团向职工提供辞退福利的，在下列两者孰早日确认辞退福利产生的职工薪酬负</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债，并计入当期损益：企业不能单方面撤回因解除劳动关系计划或裁减建议所提供的</w:t>
      </w:r>
    </w:p>
    <w:p>
      <w:pPr>
        <w:autoSpaceDN w:val="0"/>
        <w:autoSpaceDE w:val="0"/>
        <w:widowControl/>
        <w:spacing w:line="222" w:lineRule="exact" w:before="62" w:after="0"/>
        <w:ind w:left="358" w:right="0" w:firstLine="0"/>
        <w:jc w:val="left"/>
      </w:pPr>
      <w:r>
        <w:rPr>
          <w:rFonts w:ascii="黑体" w:hAnsi="黑体" w:eastAsia="黑体"/>
          <w:b w:val="0"/>
          <w:i w:val="0"/>
          <w:color w:val="000000"/>
          <w:sz w:val="22"/>
        </w:rPr>
        <w:t>辞退福利时；企业确认与涉及支付辞退福利的重组相关的成本或费用时。</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其他长期职工福利</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向职工提供的其他长期职工福利，适用离职后福利的有关规定确认和计量其他长期职</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工福利净负债或净资产，变动均计入当期损益或相关资产成本。</w:t>
      </w:r>
    </w:p>
    <w:p>
      <w:pPr>
        <w:autoSpaceDN w:val="0"/>
        <w:autoSpaceDE w:val="0"/>
        <w:widowControl/>
        <w:spacing w:line="233" w:lineRule="auto" w:before="1652" w:after="0"/>
        <w:ind w:left="0" w:right="0" w:firstLine="0"/>
        <w:jc w:val="center"/>
      </w:pPr>
      <w:r>
        <w:rPr>
          <w:rFonts w:ascii="Arial" w:hAnsi="Arial" w:eastAsia="Arial"/>
          <w:b w:val="0"/>
          <w:i w:val="0"/>
          <w:color w:val="000000"/>
          <w:sz w:val="20"/>
        </w:rPr>
        <w:t xml:space="preserve">180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17. </w:t>
      </w:r>
      <w:r>
        <w:rPr>
          <w:rFonts w:ascii="黑体" w:hAnsi="黑体" w:eastAsia="黑体"/>
          <w:b w:val="0"/>
          <w:i w:val="0"/>
          <w:color w:val="000000"/>
          <w:sz w:val="22"/>
        </w:rPr>
        <w:t>预计负债</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除了非同一控制下企业合并中的或有对价及承担的或有负债之外，与或有事项相关的</w:t>
      </w:r>
      <w:r>
        <w:rPr>
          <w:rFonts w:ascii="黑体" w:hAnsi="黑体" w:eastAsia="黑体"/>
          <w:b w:val="0"/>
          <w:i w:val="0"/>
          <w:color w:val="000000"/>
          <w:sz w:val="22"/>
        </w:rPr>
        <w:t>义务是本集团承担的现时义务且该义务的履行很可能会导致经济利益流出本集团，同</w:t>
      </w:r>
      <w:r>
        <w:rPr>
          <w:rFonts w:ascii="黑体" w:hAnsi="黑体" w:eastAsia="黑体"/>
          <w:b w:val="0"/>
          <w:i w:val="0"/>
          <w:color w:val="000000"/>
          <w:sz w:val="22"/>
        </w:rPr>
        <w:t>时有关金额能够可靠地计量的，本集团将其确认为预计负债。</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预计负债按照履行相关现时义务所需支出的最佳估计数进行初始计量，并综合考虑与</w:t>
      </w:r>
      <w:r>
        <w:rPr>
          <w:rFonts w:ascii="黑体" w:hAnsi="黑体" w:eastAsia="黑体"/>
          <w:b w:val="0"/>
          <w:i w:val="0"/>
          <w:color w:val="000000"/>
          <w:sz w:val="22"/>
        </w:rPr>
        <w:t>或有事项有关的风险、不确定性和货币时间价值等因素。于资产负债表日对预计负债</w:t>
      </w:r>
      <w:r>
        <w:rPr>
          <w:rFonts w:ascii="黑体" w:hAnsi="黑体" w:eastAsia="黑体"/>
          <w:b w:val="0"/>
          <w:i w:val="0"/>
          <w:color w:val="000000"/>
          <w:sz w:val="22"/>
        </w:rPr>
        <w:t>的账面价值进行复核并进行适当调整以反映当前最佳估计数。</w:t>
      </w:r>
    </w:p>
    <w:p>
      <w:pPr>
        <w:autoSpaceDN w:val="0"/>
        <w:autoSpaceDE w:val="0"/>
        <w:widowControl/>
        <w:spacing w:line="284" w:lineRule="exact" w:before="266" w:after="0"/>
        <w:ind w:left="358" w:right="356" w:firstLine="0"/>
        <w:jc w:val="both"/>
      </w:pPr>
      <w:r>
        <w:rPr>
          <w:rFonts w:ascii="黑体" w:hAnsi="黑体" w:eastAsia="黑体"/>
          <w:b w:val="0"/>
          <w:i w:val="0"/>
          <w:color w:val="000000"/>
          <w:sz w:val="22"/>
        </w:rPr>
        <w:t>非同一控制下企业合并中取得的被购买方或有负债在初始确认时按照公允价值计量，</w:t>
      </w:r>
      <w:r>
        <w:rPr>
          <w:rFonts w:ascii="黑体" w:hAnsi="黑体" w:eastAsia="黑体"/>
          <w:b w:val="0"/>
          <w:i w:val="0"/>
          <w:color w:val="000000"/>
          <w:sz w:val="22"/>
        </w:rPr>
        <w:t>在初始确认后，按照预计负债确认的金额，和初始确认金额扣除收入确认原则确定的</w:t>
      </w:r>
      <w:r>
        <w:rPr>
          <w:rFonts w:ascii="黑体" w:hAnsi="黑体" w:eastAsia="黑体"/>
          <w:b w:val="0"/>
          <w:i w:val="0"/>
          <w:color w:val="000000"/>
          <w:sz w:val="22"/>
        </w:rPr>
        <w:t>累计摊销额后的余额，以两者之中的较高者进行后续计量。</w:t>
      </w:r>
    </w:p>
    <w:p>
      <w:pPr>
        <w:autoSpaceDN w:val="0"/>
        <w:tabs>
          <w:tab w:pos="1086"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18. </w:t>
      </w:r>
      <w:r>
        <w:rPr>
          <w:rFonts w:ascii="黑体" w:hAnsi="黑体" w:eastAsia="黑体"/>
          <w:b w:val="0"/>
          <w:i w:val="0"/>
          <w:color w:val="000000"/>
          <w:sz w:val="22"/>
        </w:rPr>
        <w:t>收入</w:t>
      </w:r>
    </w:p>
    <w:p>
      <w:pPr>
        <w:autoSpaceDN w:val="0"/>
        <w:autoSpaceDE w:val="0"/>
        <w:widowControl/>
        <w:spacing w:line="284" w:lineRule="exact" w:before="256" w:after="0"/>
        <w:ind w:left="358" w:right="288" w:firstLine="0"/>
        <w:jc w:val="left"/>
      </w:pPr>
      <w:r>
        <w:rPr>
          <w:rFonts w:ascii="黑体" w:hAnsi="黑体" w:eastAsia="黑体"/>
          <w:b w:val="0"/>
          <w:i w:val="0"/>
          <w:color w:val="000000"/>
          <w:sz w:val="22"/>
        </w:rPr>
        <w:t>本集团的收入主要来源于经纪业务、投资银行业务、咨询服务业务和资产管理及基金</w:t>
      </w:r>
      <w:r>
        <w:rPr>
          <w:rFonts w:ascii="黑体" w:hAnsi="黑体" w:eastAsia="黑体"/>
          <w:b w:val="0"/>
          <w:i w:val="0"/>
          <w:color w:val="000000"/>
          <w:sz w:val="22"/>
        </w:rPr>
        <w:t>管理业务收入。</w:t>
      </w:r>
    </w:p>
    <w:p>
      <w:pPr>
        <w:autoSpaceDN w:val="0"/>
        <w:autoSpaceDE w:val="0"/>
        <w:widowControl/>
        <w:spacing w:line="284" w:lineRule="exact" w:before="270" w:after="0"/>
        <w:ind w:left="358" w:right="356" w:firstLine="0"/>
        <w:jc w:val="both"/>
      </w:pPr>
      <w:r>
        <w:rPr>
          <w:rFonts w:ascii="黑体" w:hAnsi="黑体" w:eastAsia="黑体"/>
          <w:b w:val="0"/>
          <w:i w:val="0"/>
          <w:color w:val="000000"/>
          <w:sz w:val="22"/>
        </w:rPr>
        <w:t>本集团在履行了合同中的履约义务，即在客户取得相关商品或服务控制权时确认收</w:t>
      </w:r>
      <w:r>
        <w:rPr>
          <w:rFonts w:ascii="黑体" w:hAnsi="黑体" w:eastAsia="黑体"/>
          <w:b w:val="0"/>
          <w:i w:val="0"/>
          <w:color w:val="000000"/>
          <w:sz w:val="22"/>
        </w:rPr>
        <w:t>入。取得相关商品或服务的控制权，是指能够主导该商品的使用或该服务的提供并从</w:t>
      </w:r>
      <w:r>
        <w:rPr>
          <w:rFonts w:ascii="黑体" w:hAnsi="黑体" w:eastAsia="黑体"/>
          <w:b w:val="0"/>
          <w:i w:val="0"/>
          <w:color w:val="000000"/>
          <w:sz w:val="22"/>
        </w:rPr>
        <w:t>中获得几乎全部的经济利益。</w:t>
      </w:r>
    </w:p>
    <w:p>
      <w:pPr>
        <w:autoSpaceDN w:val="0"/>
        <w:autoSpaceDE w:val="0"/>
        <w:widowControl/>
        <w:spacing w:line="284" w:lineRule="exact" w:before="270" w:after="0"/>
        <w:ind w:left="358" w:right="356" w:firstLine="0"/>
        <w:jc w:val="both"/>
      </w:pPr>
      <w:r>
        <w:rPr>
          <w:rFonts w:ascii="黑体" w:hAnsi="黑体" w:eastAsia="黑体"/>
          <w:b w:val="0"/>
          <w:i w:val="0"/>
          <w:color w:val="000000"/>
          <w:sz w:val="22"/>
        </w:rPr>
        <w:t>合同中包含两项或多项履约义务的，本集团在合同开始日，按照各单项履约义务所承</w:t>
      </w:r>
      <w:r>
        <w:rPr>
          <w:rFonts w:ascii="黑体" w:hAnsi="黑体" w:eastAsia="黑体"/>
          <w:b w:val="0"/>
          <w:i w:val="0"/>
          <w:color w:val="000000"/>
          <w:sz w:val="22"/>
        </w:rPr>
        <w:t>诺商品或服务的单独售价的相对比例，将交易价格分摊至各单项履约义务，按照分摊</w:t>
      </w:r>
      <w:r>
        <w:rPr>
          <w:rFonts w:ascii="黑体" w:hAnsi="黑体" w:eastAsia="黑体"/>
          <w:b w:val="0"/>
          <w:i w:val="0"/>
          <w:color w:val="000000"/>
          <w:sz w:val="22"/>
        </w:rPr>
        <w:t>至各单项履约义务的交易价格计量收入。单独售价，是指本集团向客户单独销售商品</w:t>
      </w:r>
      <w:r>
        <w:rPr>
          <w:rFonts w:ascii="黑体" w:hAnsi="黑体" w:eastAsia="黑体"/>
          <w:b w:val="0"/>
          <w:i w:val="0"/>
          <w:color w:val="000000"/>
          <w:sz w:val="22"/>
        </w:rPr>
        <w:t>或提供服务的价格。单独售价无法直接观察的，本集团综合考虑能够合理取得的全部</w:t>
      </w:r>
      <w:r>
        <w:rPr>
          <w:rFonts w:ascii="黑体" w:hAnsi="黑体" w:eastAsia="黑体"/>
          <w:b w:val="0"/>
          <w:i w:val="0"/>
          <w:color w:val="000000"/>
          <w:sz w:val="22"/>
        </w:rPr>
        <w:t>相关信息，并最大限度地采用可观察的输入值估计单独售价。</w:t>
      </w:r>
    </w:p>
    <w:p>
      <w:pPr>
        <w:autoSpaceDN w:val="0"/>
        <w:autoSpaceDE w:val="0"/>
        <w:widowControl/>
        <w:spacing w:line="286" w:lineRule="exact" w:before="270" w:after="0"/>
        <w:ind w:left="358" w:right="354" w:firstLine="0"/>
        <w:jc w:val="both"/>
      </w:pPr>
      <w:r>
        <w:rPr>
          <w:rFonts w:ascii="黑体" w:hAnsi="黑体" w:eastAsia="黑体"/>
          <w:b w:val="0"/>
          <w:i w:val="0"/>
          <w:color w:val="000000"/>
          <w:sz w:val="22"/>
        </w:rPr>
        <w:t>交易价格是本集团因向客户转让商品或服务而预期有权收取的对价金额，不包括代第</w:t>
      </w:r>
      <w:r>
        <w:rPr>
          <w:rFonts w:ascii="黑体" w:hAnsi="黑体" w:eastAsia="黑体"/>
          <w:b w:val="0"/>
          <w:i w:val="0"/>
          <w:color w:val="000000"/>
          <w:sz w:val="22"/>
        </w:rPr>
        <w:t>三方收取的款项。本集团确认的交易价格不超过在相关不确定性消除时累计已确认收</w:t>
      </w:r>
      <w:r>
        <w:rPr>
          <w:rFonts w:ascii="黑体" w:hAnsi="黑体" w:eastAsia="黑体"/>
          <w:b w:val="0"/>
          <w:i w:val="0"/>
          <w:color w:val="000000"/>
          <w:sz w:val="22"/>
        </w:rPr>
        <w:t>入极可能不会发生重大转回的金额。有权收取的对价是非现金形式时，本集团按照非</w:t>
      </w:r>
      <w:r>
        <w:rPr>
          <w:rFonts w:ascii="黑体" w:hAnsi="黑体" w:eastAsia="黑体"/>
          <w:b w:val="0"/>
          <w:i w:val="0"/>
          <w:color w:val="000000"/>
          <w:sz w:val="22"/>
        </w:rPr>
        <w:t>现金对价的公允价值确定交易价格。非现金对价的公允价值不能合理估计的，本集团</w:t>
      </w:r>
      <w:r>
        <w:rPr>
          <w:rFonts w:ascii="黑体" w:hAnsi="黑体" w:eastAsia="黑体"/>
          <w:b w:val="0"/>
          <w:i w:val="0"/>
          <w:color w:val="000000"/>
          <w:sz w:val="22"/>
        </w:rPr>
        <w:t>参照承诺向客户转让商品或提供服务的单独售价间接确定交易价格。合同中存在重大</w:t>
      </w:r>
      <w:r>
        <w:rPr>
          <w:rFonts w:ascii="黑体" w:hAnsi="黑体" w:eastAsia="黑体"/>
          <w:b w:val="0"/>
          <w:i w:val="0"/>
          <w:color w:val="000000"/>
          <w:sz w:val="22"/>
        </w:rPr>
        <w:t>融资成分的，本集团按照假定客户在取得商品或服务控制权时即以现金支付的应付金</w:t>
      </w:r>
      <w:r>
        <w:rPr>
          <w:rFonts w:ascii="黑体" w:hAnsi="黑体" w:eastAsia="黑体"/>
          <w:b w:val="0"/>
          <w:i w:val="0"/>
          <w:color w:val="000000"/>
          <w:sz w:val="22"/>
        </w:rPr>
        <w:t>额确定交易价格。该交易价格与合同对价之间的差额，在合同期间内采用实际利率法</w:t>
      </w:r>
      <w:r>
        <w:rPr>
          <w:rFonts w:ascii="黑体" w:hAnsi="黑体" w:eastAsia="黑体"/>
          <w:b w:val="0"/>
          <w:i w:val="0"/>
          <w:color w:val="000000"/>
          <w:sz w:val="22"/>
        </w:rPr>
        <w:t>摊销。合同开始日，本集团预计客户取得商品或服务控制权与客户支付价款间隔不超</w:t>
      </w:r>
      <w:r>
        <w:rPr>
          <w:rFonts w:ascii="黑体" w:hAnsi="黑体" w:eastAsia="黑体"/>
          <w:b w:val="0"/>
          <w:i w:val="0"/>
          <w:color w:val="000000"/>
          <w:sz w:val="22"/>
        </w:rPr>
        <w:t>过一年的，不考虑合同中存在的重大融资成分。</w:t>
      </w:r>
    </w:p>
    <w:p>
      <w:pPr>
        <w:autoSpaceDN w:val="0"/>
        <w:autoSpaceDE w:val="0"/>
        <w:widowControl/>
        <w:spacing w:line="233" w:lineRule="auto" w:before="2694" w:after="0"/>
        <w:ind w:left="0" w:right="0" w:firstLine="0"/>
        <w:jc w:val="center"/>
      </w:pPr>
      <w:r>
        <w:rPr>
          <w:rFonts w:ascii="Arial" w:hAnsi="Arial" w:eastAsia="Arial"/>
          <w:b w:val="0"/>
          <w:i w:val="0"/>
          <w:color w:val="000000"/>
          <w:sz w:val="20"/>
        </w:rPr>
        <w:t xml:space="preserve">181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18.</w:t>
      </w:r>
      <w:r>
        <w:rPr>
          <w:rFonts w:ascii="黑体" w:hAnsi="黑体" w:eastAsia="黑体"/>
          <w:b w:val="0"/>
          <w:i w:val="0"/>
          <w:color w:val="000000"/>
          <w:sz w:val="22"/>
        </w:rPr>
        <w:t>收入（续）</w:t>
      </w:r>
    </w:p>
    <w:p>
      <w:pPr>
        <w:autoSpaceDN w:val="0"/>
        <w:tabs>
          <w:tab w:pos="922" w:val="left"/>
        </w:tabs>
        <w:autoSpaceDE w:val="0"/>
        <w:widowControl/>
        <w:spacing w:line="286" w:lineRule="exact" w:before="250" w:after="0"/>
        <w:ind w:left="358" w:right="288" w:firstLine="0"/>
        <w:jc w:val="left"/>
      </w:pPr>
      <w:r>
        <w:rPr>
          <w:rFonts w:ascii="黑体" w:hAnsi="黑体" w:eastAsia="黑体"/>
          <w:b w:val="0"/>
          <w:i w:val="0"/>
          <w:color w:val="000000"/>
          <w:sz w:val="22"/>
        </w:rPr>
        <w:t>满足下列条件之一时，本集团属于在某一时段内履行履约义务，否则，属于在某一时</w:t>
      </w:r>
      <w:r>
        <w:rPr>
          <w:rFonts w:ascii="黑体" w:hAnsi="黑体" w:eastAsia="黑体"/>
          <w:b w:val="0"/>
          <w:i w:val="0"/>
          <w:color w:val="000000"/>
          <w:sz w:val="22"/>
        </w:rPr>
        <w:t>点履行履约义务：</w:t>
      </w:r>
      <w:r>
        <w:br/>
      </w: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）客户在本集团履约的同时即取得并消耗本集团履约所带来的经济利益；</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）客户能够控制本集团履约过程中在建的商品；</w:t>
      </w:r>
      <w:r>
        <w:br/>
      </w:r>
      <w:r>
        <w:rPr>
          <w:rFonts w:ascii="黑体" w:hAnsi="黑体" w:eastAsia="黑体"/>
          <w:b w:val="0"/>
          <w:i w:val="0"/>
          <w:color w:val="000000"/>
          <w:sz w:val="22"/>
        </w:rPr>
        <w:t>（</w:t>
      </w:r>
      <w:r>
        <w:rPr>
          <w:rFonts w:ascii="Calibri" w:hAnsi="Calibri" w:eastAsia="Calibri"/>
          <w:b w:val="0"/>
          <w:i w:val="0"/>
          <w:color w:val="000000"/>
          <w:sz w:val="22"/>
        </w:rPr>
        <w:t>3</w:t>
      </w:r>
      <w:r>
        <w:rPr>
          <w:rFonts w:ascii="黑体" w:hAnsi="黑体" w:eastAsia="黑体"/>
          <w:b w:val="0"/>
          <w:i w:val="0"/>
          <w:color w:val="000000"/>
          <w:sz w:val="22"/>
        </w:rPr>
        <w:t>）本集团履约过程中所产出的商品具有不可替代用途，且本集团在整个合同期间内</w:t>
      </w:r>
      <w:r>
        <w:rPr>
          <w:rFonts w:ascii="黑体" w:hAnsi="黑体" w:eastAsia="黑体"/>
          <w:b w:val="0"/>
          <w:i w:val="0"/>
          <w:color w:val="000000"/>
          <w:sz w:val="22"/>
        </w:rPr>
        <w:t>有权就累计至今已完成的履约部分收取款项。</w:t>
      </w:r>
    </w:p>
    <w:p>
      <w:pPr>
        <w:autoSpaceDN w:val="0"/>
        <w:autoSpaceDE w:val="0"/>
        <w:widowControl/>
        <w:spacing w:line="284" w:lineRule="exact" w:before="270" w:after="0"/>
        <w:ind w:left="358" w:right="356" w:firstLine="0"/>
        <w:jc w:val="both"/>
      </w:pPr>
      <w:r>
        <w:rPr>
          <w:rFonts w:ascii="黑体" w:hAnsi="黑体" w:eastAsia="黑体"/>
          <w:b w:val="0"/>
          <w:i w:val="0"/>
          <w:color w:val="000000"/>
          <w:sz w:val="22"/>
        </w:rPr>
        <w:t>对于在某一时段内履行的履约义务，本集团在该段时间内按照履约进度确认收入。履</w:t>
      </w:r>
      <w:r>
        <w:rPr>
          <w:rFonts w:ascii="黑体" w:hAnsi="黑体" w:eastAsia="黑体"/>
          <w:b w:val="0"/>
          <w:i w:val="0"/>
          <w:color w:val="000000"/>
          <w:sz w:val="22"/>
        </w:rPr>
        <w:t>约进度不能合理确定时，本集团已经发生的成本预计能够得到补偿的，按照已经发生</w:t>
      </w:r>
      <w:r>
        <w:rPr>
          <w:rFonts w:ascii="黑体" w:hAnsi="黑体" w:eastAsia="黑体"/>
          <w:b w:val="0"/>
          <w:i w:val="0"/>
          <w:color w:val="000000"/>
          <w:sz w:val="22"/>
        </w:rPr>
        <w:t>的成本金额确认收入，直到履约进度能够合理确定为止。</w:t>
      </w:r>
    </w:p>
    <w:p>
      <w:pPr>
        <w:autoSpaceDN w:val="0"/>
        <w:autoSpaceDE w:val="0"/>
        <w:widowControl/>
        <w:spacing w:line="288" w:lineRule="exact" w:before="266" w:after="0"/>
        <w:ind w:left="358" w:right="288" w:firstLine="0"/>
        <w:jc w:val="left"/>
      </w:pPr>
      <w:r>
        <w:rPr>
          <w:rFonts w:ascii="黑体" w:hAnsi="黑体" w:eastAsia="黑体"/>
          <w:b w:val="0"/>
          <w:i w:val="0"/>
          <w:color w:val="000000"/>
          <w:sz w:val="22"/>
        </w:rPr>
        <w:t>对于在某一时点履行的履约义务，本集团在客户取得相关商品或服务控制权时点确认</w:t>
      </w:r>
      <w:r>
        <w:rPr>
          <w:rFonts w:ascii="黑体" w:hAnsi="黑体" w:eastAsia="黑体"/>
          <w:b w:val="0"/>
          <w:i w:val="0"/>
          <w:color w:val="000000"/>
          <w:sz w:val="22"/>
        </w:rPr>
        <w:t>收入。在判断客户是否已取得商品或服务控制权时，本集团会考虑下列迹象：</w:t>
      </w:r>
      <w:r>
        <w:br/>
      </w:r>
      <w:r>
        <w:rPr>
          <w:rFonts w:ascii="黑体" w:hAnsi="黑体" w:eastAsia="黑体"/>
          <w:b w:val="0"/>
          <w:i w:val="0"/>
          <w:color w:val="000000"/>
          <w:sz w:val="22"/>
        </w:rPr>
        <w:t>（</w:t>
      </w:r>
      <w:r>
        <w:rPr>
          <w:rFonts w:ascii="Times New Roman" w:hAnsi="Times New Roman" w:eastAsia="Times New Roman"/>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本集团就该商品或服务享有现时收款权利；</w:t>
      </w:r>
      <w:r>
        <w:br/>
      </w:r>
      <w:r>
        <w:rPr>
          <w:rFonts w:ascii="黑体" w:hAnsi="黑体" w:eastAsia="黑体"/>
          <w:b w:val="0"/>
          <w:i w:val="0"/>
          <w:color w:val="000000"/>
          <w:sz w:val="22"/>
        </w:rPr>
        <w:t>（</w:t>
      </w:r>
      <w:r>
        <w:rPr>
          <w:rFonts w:ascii="Times New Roman" w:hAnsi="Times New Roman" w:eastAsia="Times New Roman"/>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本集团已将该商品的实物转移给客户；</w:t>
      </w:r>
      <w:r>
        <w:br/>
      </w:r>
      <w:r>
        <w:rPr>
          <w:rFonts w:ascii="黑体" w:hAnsi="黑体" w:eastAsia="黑体"/>
          <w:b w:val="0"/>
          <w:i w:val="0"/>
          <w:color w:val="000000"/>
          <w:sz w:val="22"/>
        </w:rPr>
        <w:t>（</w:t>
      </w:r>
      <w:r>
        <w:rPr>
          <w:rFonts w:ascii="Times New Roman" w:hAnsi="Times New Roman" w:eastAsia="Times New Roman"/>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本集团已将该商品的法定所有权或所有权上的主要风险和报酬转移给客户；</w:t>
      </w:r>
      <w:r>
        <w:rPr>
          <w:rFonts w:ascii="黑体" w:hAnsi="黑体" w:eastAsia="黑体"/>
          <w:b w:val="0"/>
          <w:i w:val="0"/>
          <w:color w:val="000000"/>
          <w:sz w:val="22"/>
        </w:rPr>
        <w:t>（</w:t>
      </w:r>
      <w:r>
        <w:rPr>
          <w:rFonts w:ascii="Times New Roman" w:hAnsi="Times New Roman" w:eastAsia="Times New Roman"/>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客户已接受该商品或服务等。</w:t>
      </w:r>
    </w:p>
    <w:p>
      <w:pPr>
        <w:autoSpaceDN w:val="0"/>
        <w:autoSpaceDE w:val="0"/>
        <w:widowControl/>
        <w:spacing w:line="286" w:lineRule="exact" w:before="254" w:after="0"/>
        <w:ind w:left="358" w:right="356" w:firstLine="0"/>
        <w:jc w:val="both"/>
      </w:pPr>
      <w:r>
        <w:rPr>
          <w:rFonts w:ascii="黑体" w:hAnsi="黑体" w:eastAsia="黑体"/>
          <w:b w:val="0"/>
          <w:i w:val="0"/>
          <w:color w:val="000000"/>
          <w:sz w:val="22"/>
        </w:rPr>
        <w:t>本集团根据在向客户转让商品或服务前是否拥有对该商品或服务的控制权，来判断本</w:t>
      </w:r>
      <w:r>
        <w:rPr>
          <w:rFonts w:ascii="黑体" w:hAnsi="黑体" w:eastAsia="黑体"/>
          <w:b w:val="0"/>
          <w:i w:val="0"/>
          <w:color w:val="000000"/>
          <w:sz w:val="22"/>
        </w:rPr>
        <w:t>集团从事交易时的身份是主要责任人还是代理人。本集团在向客户转让商品或服务前</w:t>
      </w:r>
      <w:r>
        <w:rPr>
          <w:rFonts w:ascii="黑体" w:hAnsi="黑体" w:eastAsia="黑体"/>
          <w:b w:val="0"/>
          <w:i w:val="0"/>
          <w:color w:val="000000"/>
          <w:sz w:val="22"/>
        </w:rPr>
        <w:t>能够控制该商品或服务的，本集团为主要责任人，按照已收或应收对价总额确认收</w:t>
      </w:r>
      <w:r>
        <w:rPr>
          <w:rFonts w:ascii="黑体" w:hAnsi="黑体" w:eastAsia="黑体"/>
          <w:b w:val="0"/>
          <w:i w:val="0"/>
          <w:color w:val="000000"/>
          <w:sz w:val="22"/>
        </w:rPr>
        <w:t>入；否则，本集团为代理人，按照预期有权收取的佣金或手续费的金额确认收入，该</w:t>
      </w:r>
      <w:r>
        <w:rPr>
          <w:rFonts w:ascii="黑体" w:hAnsi="黑体" w:eastAsia="黑体"/>
          <w:b w:val="0"/>
          <w:i w:val="0"/>
          <w:color w:val="000000"/>
          <w:sz w:val="22"/>
        </w:rPr>
        <w:t>金额按照已收或应收对价总额扣除应支付给其他相关方的价款后的净额，或者按照既</w:t>
      </w:r>
      <w:r>
        <w:rPr>
          <w:rFonts w:ascii="黑体" w:hAnsi="黑体" w:eastAsia="黑体"/>
          <w:b w:val="0"/>
          <w:i w:val="0"/>
          <w:color w:val="000000"/>
          <w:sz w:val="22"/>
        </w:rPr>
        <w:t>定的佣金金额或比例等确定。</w:t>
      </w:r>
    </w:p>
    <w:p>
      <w:pPr>
        <w:autoSpaceDN w:val="0"/>
        <w:autoSpaceDE w:val="0"/>
        <w:widowControl/>
        <w:spacing w:line="286" w:lineRule="exact" w:before="266" w:after="0"/>
        <w:ind w:left="358" w:right="354" w:firstLine="0"/>
        <w:jc w:val="both"/>
      </w:pPr>
      <w:r>
        <w:rPr>
          <w:rFonts w:ascii="黑体" w:hAnsi="黑体" w:eastAsia="黑体"/>
          <w:b w:val="0"/>
          <w:i w:val="0"/>
          <w:color w:val="000000"/>
          <w:sz w:val="22"/>
        </w:rPr>
        <w:t>本集团已向客户转让商品或服务而有权收取对价的权利（且该权利取决于时间流逝之</w:t>
      </w:r>
      <w:r>
        <w:rPr>
          <w:rFonts w:ascii="黑体" w:hAnsi="黑体" w:eastAsia="黑体"/>
          <w:b w:val="0"/>
          <w:i w:val="0"/>
          <w:color w:val="000000"/>
          <w:sz w:val="22"/>
        </w:rPr>
        <w:t>外的其他因素）作为合同资产列示。本集团拥有的、无条件（仅取决于时间流逝）向</w:t>
      </w:r>
      <w:r>
        <w:rPr>
          <w:rFonts w:ascii="黑体" w:hAnsi="黑体" w:eastAsia="黑体"/>
          <w:b w:val="0"/>
          <w:i w:val="0"/>
          <w:color w:val="000000"/>
          <w:sz w:val="22"/>
        </w:rPr>
        <w:t>客户收取对价的权利作为应收款项列示。本集团已收或应收客户对价而应向客户转让</w:t>
      </w:r>
      <w:r>
        <w:rPr>
          <w:rFonts w:ascii="黑体" w:hAnsi="黑体" w:eastAsia="黑体"/>
          <w:b w:val="0"/>
          <w:i w:val="0"/>
          <w:color w:val="000000"/>
          <w:sz w:val="22"/>
        </w:rPr>
        <w:t>商品或服务的义务作为合同负债列示。</w:t>
      </w:r>
    </w:p>
    <w:p>
      <w:pPr>
        <w:autoSpaceDN w:val="0"/>
        <w:autoSpaceDE w:val="0"/>
        <w:widowControl/>
        <w:spacing w:line="233" w:lineRule="auto" w:before="4640" w:after="0"/>
        <w:ind w:left="0" w:right="0" w:firstLine="0"/>
        <w:jc w:val="center"/>
      </w:pPr>
      <w:r>
        <w:rPr>
          <w:rFonts w:ascii="Arial" w:hAnsi="Arial" w:eastAsia="Arial"/>
          <w:b w:val="0"/>
          <w:i w:val="0"/>
          <w:color w:val="000000"/>
          <w:sz w:val="20"/>
        </w:rPr>
        <w:t xml:space="preserve">182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tabs>
          <w:tab w:pos="1086" w:val="left"/>
        </w:tabs>
        <w:autoSpaceDE w:val="0"/>
        <w:widowControl/>
        <w:spacing w:line="396" w:lineRule="exact" w:before="0" w:after="0"/>
        <w:ind w:left="358" w:right="4608" w:firstLine="0"/>
        <w:jc w:val="left"/>
      </w:pPr>
      <w:r>
        <w:rPr>
          <w:rFonts w:ascii="黑体" w:hAnsi="黑体" w:eastAsia="黑体"/>
          <w:b w:val="0"/>
          <w:i w:val="0"/>
          <w:color w:val="000000"/>
          <w:sz w:val="22"/>
        </w:rPr>
        <w:t xml:space="preserve">三、 重要会计政策及会计估计（续） </w:t>
      </w:r>
      <w:r>
        <w:br/>
      </w:r>
      <w:r>
        <w:rPr>
          <w:rFonts w:ascii="Times New Roman,Bold" w:hAnsi="Times New Roman,Bold" w:eastAsia="Times New Roman,Bold"/>
          <w:b/>
          <w:i w:val="0"/>
          <w:color w:val="000000"/>
          <w:sz w:val="22"/>
        </w:rPr>
        <w:t>18.</w:t>
      </w:r>
      <w:r>
        <w:rPr>
          <w:rFonts w:ascii="黑体" w:hAnsi="黑体" w:eastAsia="黑体"/>
          <w:b w:val="0"/>
          <w:i w:val="0"/>
          <w:color w:val="000000"/>
          <w:sz w:val="22"/>
        </w:rPr>
        <w:t>收入（续）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与本集团取得收入的主要活动相关的具体会计政策描述如下：</w:t>
      </w:r>
    </w:p>
    <w:p>
      <w:pPr>
        <w:autoSpaceDN w:val="0"/>
        <w:autoSpaceDE w:val="0"/>
        <w:widowControl/>
        <w:spacing w:line="220" w:lineRule="exact" w:before="334" w:after="0"/>
        <w:ind w:left="348" w:right="0" w:firstLine="0"/>
        <w:jc w:val="left"/>
      </w:pPr>
      <w:r>
        <w:rPr>
          <w:rFonts w:ascii="黑体" w:hAnsi="黑体" w:eastAsia="黑体"/>
          <w:b w:val="0"/>
          <w:i w:val="0"/>
          <w:color w:val="000000"/>
          <w:sz w:val="22"/>
        </w:rPr>
        <w:t>手续费及佣金收入</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手续费及佣金收入的金额按照本集团在日常经营活动中提供劳务时，已收或应收合同</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或协议价款的公允价值确定。</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本集团履行了合同中的履约义务，客户取得相关商品或服务的控制权时，确认相关的</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手续费及佣金收入：</w:t>
      </w:r>
    </w:p>
    <w:p>
      <w:pPr>
        <w:autoSpaceDN w:val="0"/>
        <w:autoSpaceDE w:val="0"/>
        <w:widowControl/>
        <w:spacing w:line="240" w:lineRule="exact" w:before="332" w:after="0"/>
        <w:ind w:left="358" w:right="0" w:firstLine="0"/>
        <w:jc w:val="left"/>
      </w:pP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）经纪业务收入</w:t>
      </w:r>
    </w:p>
    <w:p>
      <w:pPr>
        <w:autoSpaceDN w:val="0"/>
        <w:autoSpaceDE w:val="0"/>
        <w:widowControl/>
        <w:spacing w:line="420" w:lineRule="exact" w:before="0" w:after="0"/>
        <w:ind w:left="358" w:right="864" w:firstLine="0"/>
        <w:jc w:val="left"/>
      </w:pPr>
      <w:r>
        <w:rPr>
          <w:rFonts w:ascii="黑体" w:hAnsi="黑体" w:eastAsia="黑体"/>
          <w:b w:val="0"/>
          <w:i w:val="0"/>
          <w:color w:val="000000"/>
          <w:sz w:val="22"/>
        </w:rPr>
        <w:t>代理买卖证券业务手续费收入及期货经纪业务手续费收入在交易日确认为收入。</w:t>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）投资银行业务收入</w:t>
      </w:r>
    </w:p>
    <w:p>
      <w:pPr>
        <w:autoSpaceDN w:val="0"/>
        <w:autoSpaceDE w:val="0"/>
        <w:widowControl/>
        <w:spacing w:line="222" w:lineRule="exact" w:before="44" w:after="0"/>
        <w:ind w:left="358" w:right="0" w:firstLine="0"/>
        <w:jc w:val="left"/>
      </w:pPr>
      <w:r>
        <w:rPr>
          <w:rFonts w:ascii="黑体" w:hAnsi="黑体" w:eastAsia="黑体"/>
          <w:b w:val="0"/>
          <w:i w:val="0"/>
          <w:color w:val="000000"/>
          <w:sz w:val="22"/>
        </w:rPr>
        <w:t>承销收入于本集团完成承销合同中的履约义务时确认收入。</w:t>
      </w:r>
    </w:p>
    <w:p>
      <w:pPr>
        <w:autoSpaceDN w:val="0"/>
        <w:autoSpaceDE w:val="0"/>
        <w:widowControl/>
        <w:spacing w:line="220" w:lineRule="exact" w:before="334" w:after="0"/>
        <w:ind w:left="0" w:right="0" w:firstLine="0"/>
        <w:jc w:val="center"/>
      </w:pPr>
      <w:r>
        <w:rPr>
          <w:rFonts w:ascii="黑体" w:hAnsi="黑体" w:eastAsia="黑体"/>
          <w:b w:val="0"/>
          <w:i w:val="0"/>
          <w:color w:val="000000"/>
          <w:sz w:val="22"/>
        </w:rPr>
        <w:t>根据合约条款，保荐收入在本集团履行履约义务的过程中确认收入，或于履约义务完</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成的时点确认。</w:t>
      </w:r>
    </w:p>
    <w:p>
      <w:pPr>
        <w:autoSpaceDN w:val="0"/>
        <w:autoSpaceDE w:val="0"/>
        <w:widowControl/>
        <w:spacing w:line="240" w:lineRule="exact" w:before="332" w:after="0"/>
        <w:ind w:left="358" w:right="0" w:firstLine="0"/>
        <w:jc w:val="left"/>
      </w:pPr>
      <w:r>
        <w:rPr>
          <w:rFonts w:ascii="黑体" w:hAnsi="黑体" w:eastAsia="黑体"/>
          <w:b w:val="0"/>
          <w:i w:val="0"/>
          <w:color w:val="000000"/>
          <w:sz w:val="22"/>
        </w:rPr>
        <w:t>（</w:t>
      </w:r>
      <w:r>
        <w:rPr>
          <w:rFonts w:ascii="Calibri" w:hAnsi="Calibri" w:eastAsia="Calibri"/>
          <w:b w:val="0"/>
          <w:i w:val="0"/>
          <w:color w:val="000000"/>
          <w:sz w:val="22"/>
        </w:rPr>
        <w:t>3</w:t>
      </w:r>
      <w:r>
        <w:rPr>
          <w:rFonts w:ascii="黑体" w:hAnsi="黑体" w:eastAsia="黑体"/>
          <w:b w:val="0"/>
          <w:i w:val="0"/>
          <w:color w:val="000000"/>
          <w:sz w:val="22"/>
        </w:rPr>
        <w:t>）咨询服务业务收入</w:t>
      </w:r>
    </w:p>
    <w:p>
      <w:pPr>
        <w:autoSpaceDN w:val="0"/>
        <w:autoSpaceDE w:val="0"/>
        <w:widowControl/>
        <w:spacing w:line="276" w:lineRule="exact" w:before="0" w:after="0"/>
        <w:ind w:left="358" w:right="288" w:firstLine="0"/>
        <w:jc w:val="left"/>
      </w:pPr>
      <w:r>
        <w:rPr>
          <w:rFonts w:ascii="黑体" w:hAnsi="黑体" w:eastAsia="黑体"/>
          <w:b w:val="0"/>
          <w:i w:val="0"/>
          <w:color w:val="000000"/>
          <w:sz w:val="22"/>
        </w:rPr>
        <w:t>根据咨询服务的性质及合约条款，咨询服务业务收入在本集团履行履约义务的过程中</w:t>
      </w:r>
      <w:r>
        <w:rPr>
          <w:rFonts w:ascii="黑体" w:hAnsi="黑体" w:eastAsia="黑体"/>
          <w:b w:val="0"/>
          <w:i w:val="0"/>
          <w:color w:val="000000"/>
          <w:sz w:val="22"/>
        </w:rPr>
        <w:t>确认收入，或于履约义务完成的时点确认。</w:t>
      </w:r>
    </w:p>
    <w:p>
      <w:pPr>
        <w:autoSpaceDN w:val="0"/>
        <w:autoSpaceDE w:val="0"/>
        <w:widowControl/>
        <w:spacing w:line="276" w:lineRule="exact" w:before="298" w:after="0"/>
        <w:ind w:left="358" w:right="288" w:firstLine="0"/>
        <w:jc w:val="left"/>
      </w:pPr>
      <w:r>
        <w:rPr>
          <w:rFonts w:ascii="黑体" w:hAnsi="黑体" w:eastAsia="黑体"/>
          <w:b w:val="0"/>
          <w:i w:val="0"/>
          <w:color w:val="000000"/>
          <w:sz w:val="22"/>
        </w:rPr>
        <w:t>（</w:t>
      </w:r>
      <w:r>
        <w:rPr>
          <w:rFonts w:ascii="Calibri" w:hAnsi="Calibri" w:eastAsia="Calibri"/>
          <w:b w:val="0"/>
          <w:i w:val="0"/>
          <w:color w:val="000000"/>
          <w:sz w:val="22"/>
        </w:rPr>
        <w:t>4</w:t>
      </w:r>
      <w:r>
        <w:rPr>
          <w:rFonts w:ascii="黑体" w:hAnsi="黑体" w:eastAsia="黑体"/>
          <w:b w:val="0"/>
          <w:i w:val="0"/>
          <w:color w:val="000000"/>
          <w:sz w:val="22"/>
        </w:rPr>
        <w:t>）资产管理及基金管理业务收入</w:t>
      </w:r>
      <w:r>
        <w:br/>
      </w:r>
      <w:r>
        <w:rPr>
          <w:rFonts w:ascii="黑体" w:hAnsi="黑体" w:eastAsia="黑体"/>
          <w:b w:val="0"/>
          <w:i w:val="0"/>
          <w:color w:val="000000"/>
          <w:sz w:val="22"/>
        </w:rPr>
        <w:t>根据合同条款，受托客户资产管理业务收入和基金管理费收入在本集团履行履约义务</w:t>
      </w:r>
      <w:r>
        <w:rPr>
          <w:rFonts w:ascii="黑体" w:hAnsi="黑体" w:eastAsia="黑体"/>
          <w:b w:val="0"/>
          <w:i w:val="0"/>
          <w:color w:val="000000"/>
          <w:sz w:val="22"/>
        </w:rPr>
        <w:t>的过程中，根据合同或协议约定的收入计算方法，且已确认的累计收入金额很可能不</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会发生重大转回时，确认为当期收入。</w:t>
      </w:r>
    </w:p>
    <w:p>
      <w:pPr>
        <w:autoSpaceDN w:val="0"/>
        <w:autoSpaceDE w:val="0"/>
        <w:widowControl/>
        <w:spacing w:line="233" w:lineRule="auto" w:before="5548" w:after="0"/>
        <w:ind w:left="0" w:right="0" w:firstLine="0"/>
        <w:jc w:val="center"/>
      </w:pPr>
      <w:r>
        <w:rPr>
          <w:rFonts w:ascii="Arial" w:hAnsi="Arial" w:eastAsia="Arial"/>
          <w:b w:val="0"/>
          <w:i w:val="0"/>
          <w:color w:val="000000"/>
          <w:sz w:val="20"/>
        </w:rPr>
        <w:t xml:space="preserve">183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19. </w:t>
      </w:r>
      <w:r>
        <w:rPr>
          <w:rFonts w:ascii="黑体" w:hAnsi="黑体" w:eastAsia="黑体"/>
          <w:b w:val="0"/>
          <w:i w:val="0"/>
          <w:color w:val="000000"/>
          <w:sz w:val="22"/>
        </w:rPr>
        <w:t>合同成本</w:t>
      </w:r>
    </w:p>
    <w:p>
      <w:pPr>
        <w:autoSpaceDN w:val="0"/>
        <w:autoSpaceDE w:val="0"/>
        <w:widowControl/>
        <w:spacing w:line="286" w:lineRule="exact" w:before="518" w:after="0"/>
        <w:ind w:left="358" w:right="288" w:firstLine="0"/>
        <w:jc w:val="left"/>
      </w:pPr>
      <w:r>
        <w:rPr>
          <w:rFonts w:ascii="黑体" w:hAnsi="黑体" w:eastAsia="黑体"/>
          <w:b w:val="0"/>
          <w:i w:val="0"/>
          <w:color w:val="000000"/>
          <w:sz w:val="22"/>
        </w:rPr>
        <w:t>本集团与合同成本有关的资产包括合同取得成本和合同履约成本。根据其流动性，分</w:t>
      </w:r>
      <w:r>
        <w:rPr>
          <w:rFonts w:ascii="黑体" w:hAnsi="黑体" w:eastAsia="黑体"/>
          <w:b w:val="0"/>
          <w:i w:val="0"/>
          <w:color w:val="000000"/>
          <w:sz w:val="22"/>
        </w:rPr>
        <w:t>别列报在存货、其他流动资产和其他非流动资产中。</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本集团为取得合同发生的增量成本预期能够收回的，作为合同取得成本确认为一项资</w:t>
      </w:r>
      <w:r>
        <w:rPr>
          <w:rFonts w:ascii="黑体" w:hAnsi="黑体" w:eastAsia="黑体"/>
          <w:b w:val="0"/>
          <w:i w:val="0"/>
          <w:color w:val="000000"/>
          <w:sz w:val="22"/>
        </w:rPr>
        <w:t>产。</w:t>
      </w:r>
    </w:p>
    <w:p>
      <w:pPr>
        <w:autoSpaceDN w:val="0"/>
        <w:tabs>
          <w:tab w:pos="924" w:val="left"/>
        </w:tabs>
        <w:autoSpaceDE w:val="0"/>
        <w:widowControl/>
        <w:spacing w:line="288" w:lineRule="exact" w:before="268" w:after="0"/>
        <w:ind w:left="346" w:right="288" w:firstLine="0"/>
        <w:jc w:val="left"/>
      </w:pPr>
      <w:r>
        <w:rPr>
          <w:rFonts w:ascii="黑体" w:hAnsi="黑体" w:eastAsia="黑体"/>
          <w:b w:val="0"/>
          <w:i w:val="0"/>
          <w:color w:val="000000"/>
          <w:sz w:val="22"/>
        </w:rPr>
        <w:t>本集团为履行合同发生的成本，不适用存货、固定资产或无形资产等相关准则的规范</w:t>
      </w:r>
      <w:r>
        <w:rPr>
          <w:rFonts w:ascii="黑体" w:hAnsi="黑体" w:eastAsia="黑体"/>
          <w:b w:val="0"/>
          <w:i w:val="0"/>
          <w:color w:val="000000"/>
          <w:sz w:val="22"/>
        </w:rPr>
        <w:t>范围的，且同时满足下列条件的，作为合同履约成本确认为一项资产：</w:t>
      </w:r>
      <w:r>
        <w:br/>
      </w: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）该成本与一份当前或预期取得的合同直接相关，包括直接人工、直接材料、制造</w:t>
      </w:r>
      <w:r>
        <w:tab/>
      </w:r>
      <w:r>
        <w:rPr>
          <w:rFonts w:ascii="黑体" w:hAnsi="黑体" w:eastAsia="黑体"/>
          <w:b w:val="0"/>
          <w:i w:val="0"/>
          <w:color w:val="000000"/>
          <w:sz w:val="22"/>
        </w:rPr>
        <w:t>费用（或类似费用）、明确由客户承担的成本以及仅因该合同而发生的其他成</w:t>
      </w:r>
      <w:r>
        <w:tab/>
      </w:r>
      <w:r>
        <w:rPr>
          <w:rFonts w:ascii="黑体" w:hAnsi="黑体" w:eastAsia="黑体"/>
          <w:b w:val="0"/>
          <w:i w:val="0"/>
          <w:color w:val="000000"/>
          <w:sz w:val="22"/>
        </w:rPr>
        <w:t>本；</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）该成本增加了企业未来用于履行履约义务的资源；</w:t>
      </w:r>
      <w:r>
        <w:br/>
      </w:r>
      <w:r>
        <w:rPr>
          <w:rFonts w:ascii="黑体" w:hAnsi="黑体" w:eastAsia="黑体"/>
          <w:b w:val="0"/>
          <w:i w:val="0"/>
          <w:color w:val="000000"/>
          <w:sz w:val="22"/>
        </w:rPr>
        <w:t>（</w:t>
      </w:r>
      <w:r>
        <w:rPr>
          <w:rFonts w:ascii="Calibri" w:hAnsi="Calibri" w:eastAsia="Calibri"/>
          <w:b w:val="0"/>
          <w:i w:val="0"/>
          <w:color w:val="000000"/>
          <w:sz w:val="22"/>
        </w:rPr>
        <w:t>3</w:t>
      </w:r>
      <w:r>
        <w:rPr>
          <w:rFonts w:ascii="黑体" w:hAnsi="黑体" w:eastAsia="黑体"/>
          <w:b w:val="0"/>
          <w:i w:val="0"/>
          <w:color w:val="000000"/>
          <w:sz w:val="22"/>
        </w:rPr>
        <w:t>）该成本预期能够收回。</w:t>
      </w:r>
    </w:p>
    <w:p>
      <w:pPr>
        <w:autoSpaceDN w:val="0"/>
        <w:autoSpaceDE w:val="0"/>
        <w:widowControl/>
        <w:spacing w:line="286" w:lineRule="exact" w:before="248" w:after="0"/>
        <w:ind w:left="358" w:right="288" w:firstLine="0"/>
        <w:jc w:val="left"/>
      </w:pPr>
      <w:r>
        <w:rPr>
          <w:rFonts w:ascii="黑体" w:hAnsi="黑体" w:eastAsia="黑体"/>
          <w:b w:val="0"/>
          <w:i w:val="0"/>
          <w:color w:val="000000"/>
          <w:sz w:val="22"/>
        </w:rPr>
        <w:t>本集团对与合同成本有关的资产采用与该资产相关的收入确认相同的基础进行摊销，</w:t>
      </w:r>
      <w:r>
        <w:rPr>
          <w:rFonts w:ascii="黑体" w:hAnsi="黑体" w:eastAsia="黑体"/>
          <w:b w:val="0"/>
          <w:i w:val="0"/>
          <w:color w:val="000000"/>
          <w:sz w:val="22"/>
        </w:rPr>
        <w:t>计入当期损益。</w:t>
      </w:r>
    </w:p>
    <w:p>
      <w:pPr>
        <w:autoSpaceDN w:val="0"/>
        <w:autoSpaceDE w:val="0"/>
        <w:widowControl/>
        <w:spacing w:line="286" w:lineRule="exact" w:before="266" w:after="0"/>
        <w:ind w:left="358" w:right="288" w:firstLine="0"/>
        <w:jc w:val="left"/>
      </w:pPr>
      <w:r>
        <w:rPr>
          <w:rFonts w:ascii="黑体" w:hAnsi="黑体" w:eastAsia="黑体"/>
          <w:b w:val="0"/>
          <w:i w:val="0"/>
          <w:color w:val="000000"/>
          <w:sz w:val="22"/>
        </w:rPr>
        <w:t>与合同成本有关的资产，其账面价值高于下列两项差额的，本集团将超出部分计提减</w:t>
      </w:r>
      <w:r>
        <w:rPr>
          <w:rFonts w:ascii="黑体" w:hAnsi="黑体" w:eastAsia="黑体"/>
          <w:b w:val="0"/>
          <w:i w:val="0"/>
          <w:color w:val="000000"/>
          <w:sz w:val="22"/>
        </w:rPr>
        <w:t>值准备，并确认为资产减值损失：</w:t>
      </w:r>
    </w:p>
    <w:p>
      <w:pPr>
        <w:autoSpaceDN w:val="0"/>
        <w:autoSpaceDE w:val="0"/>
        <w:widowControl/>
        <w:spacing w:line="286" w:lineRule="exact" w:before="288" w:after="0"/>
        <w:ind w:left="358" w:right="2160" w:firstLine="0"/>
        <w:jc w:val="left"/>
      </w:pP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）因转让与该资产相关的商品或服务预期能够取得的剩余对价；</w:t>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）为转让该相关商品或服务估计将要发生的成本。</w:t>
      </w:r>
    </w:p>
    <w:p>
      <w:pPr>
        <w:autoSpaceDN w:val="0"/>
        <w:tabs>
          <w:tab w:pos="1086" w:val="left"/>
        </w:tabs>
        <w:autoSpaceDE w:val="0"/>
        <w:widowControl/>
        <w:spacing w:line="246" w:lineRule="exact" w:before="304" w:after="0"/>
        <w:ind w:left="358" w:right="0" w:firstLine="0"/>
        <w:jc w:val="left"/>
      </w:pPr>
      <w:r>
        <w:rPr>
          <w:rFonts w:ascii="Arial,Bold" w:hAnsi="Arial,Bold" w:eastAsia="Arial,Bold"/>
          <w:b/>
          <w:i w:val="0"/>
          <w:color w:val="000000"/>
          <w:sz w:val="22"/>
        </w:rPr>
        <w:t xml:space="preserve">20. </w:t>
      </w:r>
      <w:r>
        <w:rPr>
          <w:rFonts w:ascii="黑体" w:hAnsi="黑体" w:eastAsia="黑体"/>
          <w:b w:val="0"/>
          <w:i w:val="0"/>
          <w:color w:val="000000"/>
          <w:sz w:val="22"/>
        </w:rPr>
        <w:t>政府补助</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政府补助在能够满足其所附的条件并且能够收到时，予以确认。政府补助为货币性资</w:t>
      </w:r>
      <w:r>
        <w:rPr>
          <w:rFonts w:ascii="黑体" w:hAnsi="黑体" w:eastAsia="黑体"/>
          <w:b w:val="0"/>
          <w:i w:val="0"/>
          <w:color w:val="000000"/>
          <w:sz w:val="22"/>
        </w:rPr>
        <w:t>产的，按照收到或应收的金额计量。政府补助为非货币性资产的，按照公允价值计</w:t>
      </w:r>
      <w:r>
        <w:rPr>
          <w:rFonts w:ascii="黑体" w:hAnsi="黑体" w:eastAsia="黑体"/>
          <w:b w:val="0"/>
          <w:i w:val="0"/>
          <w:color w:val="000000"/>
          <w:sz w:val="22"/>
        </w:rPr>
        <w:t>量；公允价值不能可靠取得的，按照名义金额计量。</w:t>
      </w:r>
    </w:p>
    <w:p>
      <w:pPr>
        <w:autoSpaceDN w:val="0"/>
        <w:autoSpaceDE w:val="0"/>
        <w:widowControl/>
        <w:spacing w:line="286" w:lineRule="exact" w:before="270" w:after="0"/>
        <w:ind w:left="358" w:right="356" w:firstLine="0"/>
        <w:jc w:val="both"/>
      </w:pPr>
      <w:r>
        <w:rPr>
          <w:rFonts w:ascii="黑体" w:hAnsi="黑体" w:eastAsia="黑体"/>
          <w:b w:val="0"/>
          <w:i w:val="0"/>
          <w:color w:val="000000"/>
          <w:sz w:val="22"/>
        </w:rPr>
        <w:t>政府文件规定用于购建或以其他方式形成长期资产的，作为与资产相关的政府补助；</w:t>
      </w:r>
      <w:r>
        <w:rPr>
          <w:rFonts w:ascii="黑体" w:hAnsi="黑体" w:eastAsia="黑体"/>
          <w:b w:val="0"/>
          <w:i w:val="0"/>
          <w:color w:val="000000"/>
          <w:sz w:val="22"/>
        </w:rPr>
        <w:t>政府文件不明确的，以取得该补助必须具备的基本条件为基础进行判断，以购建或其</w:t>
      </w:r>
      <w:r>
        <w:rPr>
          <w:rFonts w:ascii="黑体" w:hAnsi="黑体" w:eastAsia="黑体"/>
          <w:b w:val="0"/>
          <w:i w:val="0"/>
          <w:color w:val="000000"/>
          <w:sz w:val="22"/>
        </w:rPr>
        <w:t>他方式形成长期资产为基本条件的作为与资产相关的政府补助，除此之外的作为与收</w:t>
      </w:r>
      <w:r>
        <w:rPr>
          <w:rFonts w:ascii="黑体" w:hAnsi="黑体" w:eastAsia="黑体"/>
          <w:b w:val="0"/>
          <w:i w:val="0"/>
          <w:color w:val="000000"/>
          <w:sz w:val="22"/>
        </w:rPr>
        <w:t>益相关的政府补助。</w:t>
      </w:r>
    </w:p>
    <w:p>
      <w:pPr>
        <w:autoSpaceDN w:val="0"/>
        <w:autoSpaceDE w:val="0"/>
        <w:widowControl/>
        <w:spacing w:line="286" w:lineRule="exact" w:before="266" w:after="0"/>
        <w:ind w:left="358" w:right="356" w:firstLine="0"/>
        <w:jc w:val="both"/>
      </w:pPr>
      <w:r>
        <w:rPr>
          <w:rFonts w:ascii="黑体" w:hAnsi="黑体" w:eastAsia="黑体"/>
          <w:b w:val="0"/>
          <w:i w:val="0"/>
          <w:color w:val="000000"/>
          <w:sz w:val="22"/>
        </w:rPr>
        <w:t>与收益相关的政府补助，用于补偿以后期间的相关成本费用或损失的，确认为递延收</w:t>
      </w:r>
      <w:r>
        <w:rPr>
          <w:rFonts w:ascii="黑体" w:hAnsi="黑体" w:eastAsia="黑体"/>
          <w:b w:val="0"/>
          <w:i w:val="0"/>
          <w:color w:val="000000"/>
          <w:sz w:val="22"/>
        </w:rPr>
        <w:t>益，并在确认相关成本费用或损失的期间计入当期损益；用于补偿已发生的相关成本</w:t>
      </w:r>
      <w:r>
        <w:rPr>
          <w:rFonts w:ascii="黑体" w:hAnsi="黑体" w:eastAsia="黑体"/>
          <w:b w:val="0"/>
          <w:i w:val="0"/>
          <w:color w:val="000000"/>
          <w:sz w:val="22"/>
        </w:rPr>
        <w:t>费用或损失的，直接计入当期损益或冲减相关成本。</w:t>
      </w:r>
    </w:p>
    <w:p>
      <w:pPr>
        <w:autoSpaceDN w:val="0"/>
        <w:autoSpaceDE w:val="0"/>
        <w:widowControl/>
        <w:spacing w:line="233" w:lineRule="auto" w:before="2172" w:after="0"/>
        <w:ind w:left="0" w:right="0" w:firstLine="0"/>
        <w:jc w:val="center"/>
      </w:pPr>
      <w:r>
        <w:rPr>
          <w:rFonts w:ascii="Arial" w:hAnsi="Arial" w:eastAsia="Arial"/>
          <w:b w:val="0"/>
          <w:i w:val="0"/>
          <w:color w:val="000000"/>
          <w:sz w:val="20"/>
        </w:rPr>
        <w:t xml:space="preserve">184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21. </w:t>
      </w:r>
      <w:r>
        <w:rPr>
          <w:rFonts w:ascii="黑体" w:hAnsi="黑体" w:eastAsia="黑体"/>
          <w:b w:val="0"/>
          <w:i w:val="0"/>
          <w:color w:val="000000"/>
          <w:sz w:val="22"/>
        </w:rPr>
        <w:t>所得税</w:t>
      </w:r>
    </w:p>
    <w:p>
      <w:pPr>
        <w:autoSpaceDN w:val="0"/>
        <w:autoSpaceDE w:val="0"/>
        <w:widowControl/>
        <w:spacing w:line="286" w:lineRule="exact" w:before="250" w:after="0"/>
        <w:ind w:left="358" w:right="288" w:firstLine="0"/>
        <w:jc w:val="left"/>
      </w:pPr>
      <w:r>
        <w:rPr>
          <w:rFonts w:ascii="黑体" w:hAnsi="黑体" w:eastAsia="黑体"/>
          <w:b w:val="0"/>
          <w:i w:val="0"/>
          <w:color w:val="000000"/>
          <w:sz w:val="22"/>
        </w:rPr>
        <w:t>除因企业合并和直接计入所有者权益（包括其他综合收益）的交易或者事项产生的所</w:t>
      </w:r>
      <w:r>
        <w:rPr>
          <w:rFonts w:ascii="黑体" w:hAnsi="黑体" w:eastAsia="黑体"/>
          <w:b w:val="0"/>
          <w:i w:val="0"/>
          <w:color w:val="000000"/>
          <w:sz w:val="22"/>
        </w:rPr>
        <w:t>得税外，本集团将当期所得税和递延所得税计入当期损益。</w:t>
      </w:r>
    </w:p>
    <w:p>
      <w:pPr>
        <w:autoSpaceDN w:val="0"/>
        <w:autoSpaceDE w:val="0"/>
        <w:widowControl/>
        <w:spacing w:line="286" w:lineRule="exact" w:before="268" w:after="0"/>
        <w:ind w:left="358" w:right="350" w:firstLine="0"/>
        <w:jc w:val="both"/>
      </w:pPr>
      <w:r>
        <w:rPr>
          <w:rFonts w:ascii="黑体" w:hAnsi="黑体" w:eastAsia="黑体"/>
          <w:b w:val="0"/>
          <w:i w:val="0"/>
          <w:color w:val="000000"/>
          <w:sz w:val="22"/>
        </w:rPr>
        <w:t>当期所得税是按本期应税所得额，根据税法规定的税率计算的预期应交所得税，加上</w:t>
      </w:r>
      <w:r>
        <w:rPr>
          <w:rFonts w:ascii="黑体" w:hAnsi="黑体" w:eastAsia="黑体"/>
          <w:b w:val="0"/>
          <w:i w:val="0"/>
          <w:color w:val="000000"/>
          <w:sz w:val="22"/>
        </w:rPr>
        <w:t>以往年度应付所得税的调整。本集团根据资产与负债于资产负债表日的账面价值与计</w:t>
      </w:r>
      <w:r>
        <w:rPr>
          <w:rFonts w:ascii="黑体" w:hAnsi="黑体" w:eastAsia="黑体"/>
          <w:b w:val="0"/>
          <w:i w:val="0"/>
          <w:color w:val="000000"/>
          <w:sz w:val="22"/>
        </w:rPr>
        <w:t>税基础之间的暂时性差异，以及未作为资产和负债确认但按照税法规定可以确定其计</w:t>
      </w:r>
      <w:r>
        <w:rPr>
          <w:rFonts w:ascii="黑体" w:hAnsi="黑体" w:eastAsia="黑体"/>
          <w:b w:val="0"/>
          <w:i w:val="0"/>
          <w:color w:val="000000"/>
          <w:sz w:val="22"/>
        </w:rPr>
        <w:t>税基础的项目的账面价值与计税基础之间的差额产生的暂时性差异，采用资产负债表</w:t>
      </w:r>
      <w:r>
        <w:rPr>
          <w:rFonts w:ascii="黑体" w:hAnsi="黑体" w:eastAsia="黑体"/>
          <w:b w:val="0"/>
          <w:i w:val="0"/>
          <w:color w:val="000000"/>
          <w:sz w:val="22"/>
        </w:rPr>
        <w:t>债务法计提递延所得税。</w:t>
      </w:r>
    </w:p>
    <w:p>
      <w:pPr>
        <w:autoSpaceDN w:val="0"/>
        <w:tabs>
          <w:tab w:pos="924" w:val="left"/>
        </w:tabs>
        <w:autoSpaceDE w:val="0"/>
        <w:widowControl/>
        <w:spacing w:line="286" w:lineRule="exact" w:before="266" w:after="0"/>
        <w:ind w:left="358" w:right="288" w:firstLine="0"/>
        <w:jc w:val="left"/>
      </w:pPr>
      <w:r>
        <w:rPr>
          <w:rFonts w:ascii="黑体" w:hAnsi="黑体" w:eastAsia="黑体"/>
          <w:b w:val="0"/>
          <w:i w:val="0"/>
          <w:color w:val="000000"/>
          <w:sz w:val="22"/>
        </w:rPr>
        <w:t>各种应纳税暂时性差异均据以确认递延所得税负债，除非：</w:t>
      </w:r>
      <w:r>
        <w:br/>
      </w: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）应纳税暂时性差异是在以下交易中产生的：商誉的初始确认，或者具有以下特征</w:t>
      </w:r>
      <w:r>
        <w:rPr>
          <w:rFonts w:ascii="黑体" w:hAnsi="黑体" w:eastAsia="黑体"/>
          <w:b w:val="0"/>
          <w:i w:val="0"/>
          <w:color w:val="000000"/>
          <w:sz w:val="22"/>
        </w:rPr>
        <w:t>的单项交易中产生的资产或负债的初始确认：该交易不是企业合并、交易发生时</w:t>
      </w:r>
      <w:r>
        <w:rPr>
          <w:rFonts w:ascii="黑体" w:hAnsi="黑体" w:eastAsia="黑体"/>
          <w:b w:val="0"/>
          <w:i w:val="0"/>
          <w:color w:val="000000"/>
          <w:sz w:val="22"/>
        </w:rPr>
        <w:t>既不影响会计利润也不影响应纳税所得额或可抵扣亏损、且初始确认的资产和负</w:t>
      </w:r>
      <w:r>
        <w:rPr>
          <w:rFonts w:ascii="黑体" w:hAnsi="黑体" w:eastAsia="黑体"/>
          <w:b w:val="0"/>
          <w:i w:val="0"/>
          <w:color w:val="000000"/>
          <w:sz w:val="22"/>
        </w:rPr>
        <w:t>债未导致产生等额应纳税暂时性差异和可抵扣暂时性差异；</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）对于与子公司、合营企业及联营企业投资相关的应纳税暂时性差异，该暂时性差</w:t>
      </w:r>
      <w:r>
        <w:rPr>
          <w:rFonts w:ascii="黑体" w:hAnsi="黑体" w:eastAsia="黑体"/>
          <w:b w:val="0"/>
          <w:i w:val="0"/>
          <w:color w:val="000000"/>
          <w:sz w:val="22"/>
        </w:rPr>
        <w:t>异转回的时间能够控制并且该暂时性差异在可预见的未来很可能不会转回。</w:t>
      </w:r>
    </w:p>
    <w:p>
      <w:pPr>
        <w:autoSpaceDN w:val="0"/>
        <w:tabs>
          <w:tab w:pos="924" w:val="left"/>
        </w:tabs>
        <w:autoSpaceDE w:val="0"/>
        <w:widowControl/>
        <w:spacing w:line="286" w:lineRule="exact" w:before="266" w:after="0"/>
        <w:ind w:left="358" w:right="288" w:firstLine="0"/>
        <w:jc w:val="left"/>
      </w:pPr>
      <w:r>
        <w:rPr>
          <w:rFonts w:ascii="黑体" w:hAnsi="黑体" w:eastAsia="黑体"/>
          <w:b w:val="0"/>
          <w:i w:val="0"/>
          <w:color w:val="000000"/>
          <w:sz w:val="22"/>
        </w:rPr>
        <w:t>对于可抵扣暂时性差异、能够结转以后年度的可抵扣亏损和税款抵减，本集团以很可</w:t>
      </w:r>
      <w:r>
        <w:rPr>
          <w:rFonts w:ascii="黑体" w:hAnsi="黑体" w:eastAsia="黑体"/>
          <w:b w:val="0"/>
          <w:i w:val="0"/>
          <w:color w:val="000000"/>
          <w:sz w:val="22"/>
        </w:rPr>
        <w:t>能取得用来抵扣可抵扣暂时性差异、可抵扣亏损和税款抵减的未来应纳税所得额为</w:t>
      </w:r>
      <w:r>
        <w:rPr>
          <w:rFonts w:ascii="黑体" w:hAnsi="黑体" w:eastAsia="黑体"/>
          <w:b w:val="0"/>
          <w:i w:val="0"/>
          <w:color w:val="000000"/>
          <w:sz w:val="22"/>
        </w:rPr>
        <w:t>限，确认由此产生的递延所得税资产，除非：</w:t>
      </w:r>
      <w:r>
        <w:br/>
      </w:r>
      <w:r>
        <w:rPr>
          <w:rFonts w:ascii="黑体" w:hAnsi="黑体" w:eastAsia="黑体"/>
          <w:b w:val="0"/>
          <w:i w:val="0"/>
          <w:color w:val="000000"/>
          <w:sz w:val="22"/>
        </w:rPr>
        <w:t>（</w:t>
      </w:r>
      <w:r>
        <w:rPr>
          <w:rFonts w:ascii="Calibri" w:hAnsi="Calibri" w:eastAsia="Calibri"/>
          <w:b w:val="0"/>
          <w:i w:val="0"/>
          <w:color w:val="000000"/>
          <w:sz w:val="22"/>
        </w:rPr>
        <w:t>1</w:t>
      </w:r>
      <w:r>
        <w:rPr>
          <w:rFonts w:ascii="黑体" w:hAnsi="黑体" w:eastAsia="黑体"/>
          <w:b w:val="0"/>
          <w:i w:val="0"/>
          <w:color w:val="000000"/>
          <w:sz w:val="22"/>
        </w:rPr>
        <w:t>）可抵扣暂时性差异是在以下单项交易中产生的：该交易不是企业合并、交易发生</w:t>
      </w:r>
      <w:r>
        <w:rPr>
          <w:rFonts w:ascii="黑体" w:hAnsi="黑体" w:eastAsia="黑体"/>
          <w:b w:val="0"/>
          <w:i w:val="0"/>
          <w:color w:val="000000"/>
          <w:sz w:val="22"/>
        </w:rPr>
        <w:t>时既不影响会计利润也不影响应纳税所得额或可抵扣亏损、且初始确认的资产和</w:t>
      </w:r>
      <w:r>
        <w:rPr>
          <w:rFonts w:ascii="黑体" w:hAnsi="黑体" w:eastAsia="黑体"/>
          <w:b w:val="0"/>
          <w:i w:val="0"/>
          <w:color w:val="000000"/>
          <w:sz w:val="22"/>
        </w:rPr>
        <w:t>负债未导致产生等额应纳税暂时性差异和可抵扣暂时性差异；</w:t>
      </w:r>
      <w:r>
        <w:br/>
      </w:r>
      <w:r>
        <w:rPr>
          <w:rFonts w:ascii="黑体" w:hAnsi="黑体" w:eastAsia="黑体"/>
          <w:b w:val="0"/>
          <w:i w:val="0"/>
          <w:color w:val="000000"/>
          <w:sz w:val="22"/>
        </w:rPr>
        <w:t>（</w:t>
      </w:r>
      <w:r>
        <w:rPr>
          <w:rFonts w:ascii="Calibri" w:hAnsi="Calibri" w:eastAsia="Calibri"/>
          <w:b w:val="0"/>
          <w:i w:val="0"/>
          <w:color w:val="000000"/>
          <w:sz w:val="22"/>
        </w:rPr>
        <w:t>2</w:t>
      </w:r>
      <w:r>
        <w:rPr>
          <w:rFonts w:ascii="黑体" w:hAnsi="黑体" w:eastAsia="黑体"/>
          <w:b w:val="0"/>
          <w:i w:val="0"/>
          <w:color w:val="000000"/>
          <w:sz w:val="22"/>
        </w:rPr>
        <w:t>）对于与子公司、合营企业及联营企业投资相关的可抵扣暂时性差异，该暂时性差</w:t>
      </w:r>
      <w:r>
        <w:rPr>
          <w:rFonts w:ascii="黑体" w:hAnsi="黑体" w:eastAsia="黑体"/>
          <w:b w:val="0"/>
          <w:i w:val="0"/>
          <w:color w:val="000000"/>
          <w:sz w:val="22"/>
        </w:rPr>
        <w:t>异在可预见的未来很可能转回并且未来很可能获得用来抵扣该暂时性差异的应纳</w:t>
      </w:r>
      <w:r>
        <w:rPr>
          <w:rFonts w:ascii="黑体" w:hAnsi="黑体" w:eastAsia="黑体"/>
          <w:b w:val="0"/>
          <w:i w:val="0"/>
          <w:color w:val="000000"/>
          <w:sz w:val="22"/>
        </w:rPr>
        <w:t>税所得额。</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本集团于资产负债表日，对于递延所得税资产和递延所得税负债，依据税法规定，按</w:t>
      </w:r>
      <w:r>
        <w:rPr>
          <w:rFonts w:ascii="黑体" w:hAnsi="黑体" w:eastAsia="黑体"/>
          <w:b w:val="0"/>
          <w:i w:val="0"/>
          <w:color w:val="000000"/>
          <w:sz w:val="22"/>
        </w:rPr>
        <w:t>照预期收回该资产或清偿该负债期间的适用税率计量，并反映资产负债表日预期收回</w:t>
      </w:r>
      <w:r>
        <w:rPr>
          <w:rFonts w:ascii="黑体" w:hAnsi="黑体" w:eastAsia="黑体"/>
          <w:b w:val="0"/>
          <w:i w:val="0"/>
          <w:color w:val="000000"/>
          <w:sz w:val="22"/>
        </w:rPr>
        <w:t>资产或清偿负债方式的所得税影响。</w:t>
      </w:r>
    </w:p>
    <w:p>
      <w:pPr>
        <w:autoSpaceDN w:val="0"/>
        <w:autoSpaceDE w:val="0"/>
        <w:widowControl/>
        <w:spacing w:line="233" w:lineRule="auto" w:before="4354" w:after="0"/>
        <w:ind w:left="0" w:right="0" w:firstLine="0"/>
        <w:jc w:val="center"/>
      </w:pPr>
      <w:r>
        <w:rPr>
          <w:rFonts w:ascii="Arial" w:hAnsi="Arial" w:eastAsia="Arial"/>
          <w:b w:val="0"/>
          <w:i w:val="0"/>
          <w:color w:val="000000"/>
          <w:sz w:val="20"/>
        </w:rPr>
        <w:t xml:space="preserve">185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21. </w:t>
      </w:r>
      <w:r>
        <w:rPr>
          <w:rFonts w:ascii="黑体" w:hAnsi="黑体" w:eastAsia="黑体"/>
          <w:b w:val="0"/>
          <w:i w:val="0"/>
          <w:color w:val="000000"/>
          <w:sz w:val="22"/>
        </w:rPr>
        <w:t>所得税（续）</w:t>
      </w:r>
    </w:p>
    <w:p>
      <w:pPr>
        <w:autoSpaceDN w:val="0"/>
        <w:autoSpaceDE w:val="0"/>
        <w:widowControl/>
        <w:spacing w:line="286" w:lineRule="exact" w:before="250" w:after="0"/>
        <w:ind w:left="358" w:right="350" w:firstLine="0"/>
        <w:jc w:val="both"/>
      </w:pPr>
      <w:r>
        <w:rPr>
          <w:rFonts w:ascii="黑体" w:hAnsi="黑体" w:eastAsia="黑体"/>
          <w:b w:val="0"/>
          <w:i w:val="0"/>
          <w:color w:val="000000"/>
          <w:sz w:val="22"/>
        </w:rPr>
        <w:t>于资产负债表日，本集团对递延所得税资产的账面价值进行复核，如果未来期间很可</w:t>
      </w:r>
      <w:r>
        <w:rPr>
          <w:rFonts w:ascii="黑体" w:hAnsi="黑体" w:eastAsia="黑体"/>
          <w:b w:val="0"/>
          <w:i w:val="0"/>
          <w:color w:val="000000"/>
          <w:sz w:val="22"/>
        </w:rPr>
        <w:t>能无法获得足够的应纳税所得额用以抵扣递延所得税资产的利益，减记递延所得税资</w:t>
      </w:r>
      <w:r>
        <w:rPr>
          <w:rFonts w:ascii="黑体" w:hAnsi="黑体" w:eastAsia="黑体"/>
          <w:b w:val="0"/>
          <w:i w:val="0"/>
          <w:color w:val="000000"/>
          <w:sz w:val="22"/>
        </w:rPr>
        <w:t>产的账面价值。于资产负债表日，本集团重新评估未确认的递延所得税资产，在很可</w:t>
      </w:r>
      <w:r>
        <w:rPr>
          <w:rFonts w:ascii="黑体" w:hAnsi="黑体" w:eastAsia="黑体"/>
          <w:b w:val="0"/>
          <w:i w:val="0"/>
          <w:color w:val="000000"/>
          <w:sz w:val="22"/>
        </w:rPr>
        <w:t>能获得足够的应纳税所得额可供所有或部分递延所得税资产转回的限度内，确认递延</w:t>
      </w:r>
      <w:r>
        <w:rPr>
          <w:rFonts w:ascii="黑体" w:hAnsi="黑体" w:eastAsia="黑体"/>
          <w:b w:val="0"/>
          <w:i w:val="0"/>
          <w:color w:val="000000"/>
          <w:sz w:val="22"/>
        </w:rPr>
        <w:t>所得税资产。</w:t>
      </w:r>
    </w:p>
    <w:p>
      <w:pPr>
        <w:autoSpaceDN w:val="0"/>
        <w:autoSpaceDE w:val="0"/>
        <w:widowControl/>
        <w:spacing w:line="284" w:lineRule="exact" w:before="272" w:after="0"/>
        <w:ind w:left="358" w:right="356" w:firstLine="0"/>
        <w:jc w:val="both"/>
      </w:pPr>
      <w:r>
        <w:rPr>
          <w:rFonts w:ascii="黑体" w:hAnsi="黑体" w:eastAsia="黑体"/>
          <w:b w:val="0"/>
          <w:i w:val="0"/>
          <w:color w:val="000000"/>
          <w:sz w:val="22"/>
        </w:rPr>
        <w:t>同时满足下列条件时，递延所得税资产和递延所得税负债以抵销后的净额列示：拥有</w:t>
      </w:r>
      <w:r>
        <w:rPr>
          <w:rFonts w:ascii="黑体" w:hAnsi="黑体" w:eastAsia="黑体"/>
          <w:b w:val="0"/>
          <w:i w:val="0"/>
          <w:color w:val="000000"/>
          <w:sz w:val="22"/>
        </w:rPr>
        <w:t>以净额结算当期所得税资产及当期所得税负债的法定权利；递延所得税资产和递延所</w:t>
      </w:r>
      <w:r>
        <w:rPr>
          <w:rFonts w:ascii="黑体" w:hAnsi="黑体" w:eastAsia="黑体"/>
          <w:b w:val="0"/>
          <w:i w:val="0"/>
          <w:color w:val="000000"/>
          <w:sz w:val="22"/>
        </w:rPr>
        <w:t>得税负债是与同一税收征管部门对同一应纳税主体征收的所得税相关或者对不同的纳</w:t>
      </w:r>
      <w:r>
        <w:rPr>
          <w:rFonts w:ascii="黑体" w:hAnsi="黑体" w:eastAsia="黑体"/>
          <w:b w:val="0"/>
          <w:i w:val="0"/>
          <w:color w:val="000000"/>
          <w:sz w:val="22"/>
        </w:rPr>
        <w:t>税主体相关，但在未来每一具有重要性的递延所得税资产和递延所得税负债转回的期</w:t>
      </w:r>
      <w:r>
        <w:rPr>
          <w:rFonts w:ascii="黑体" w:hAnsi="黑体" w:eastAsia="黑体"/>
          <w:b w:val="0"/>
          <w:i w:val="0"/>
          <w:color w:val="000000"/>
          <w:sz w:val="22"/>
        </w:rPr>
        <w:t>间内，涉及的纳税主体意图以净额结算当期所得税资产及当期所得税负债或是同时取</w:t>
      </w:r>
      <w:r>
        <w:rPr>
          <w:rFonts w:ascii="黑体" w:hAnsi="黑体" w:eastAsia="黑体"/>
          <w:b w:val="0"/>
          <w:i w:val="0"/>
          <w:color w:val="000000"/>
          <w:sz w:val="22"/>
        </w:rPr>
        <w:t>得资产、清偿债务。</w:t>
      </w:r>
    </w:p>
    <w:p>
      <w:pPr>
        <w:autoSpaceDN w:val="0"/>
        <w:autoSpaceDE w:val="0"/>
        <w:widowControl/>
        <w:spacing w:line="233" w:lineRule="auto" w:before="9442" w:after="0"/>
        <w:ind w:left="0" w:right="0" w:firstLine="0"/>
        <w:jc w:val="center"/>
      </w:pPr>
      <w:r>
        <w:rPr>
          <w:rFonts w:ascii="Arial" w:hAnsi="Arial" w:eastAsia="Arial"/>
          <w:b w:val="0"/>
          <w:i w:val="0"/>
          <w:color w:val="000000"/>
          <w:sz w:val="20"/>
        </w:rPr>
        <w:t xml:space="preserve">186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22. </w:t>
      </w:r>
      <w:r>
        <w:rPr>
          <w:rFonts w:ascii="黑体" w:hAnsi="黑体" w:eastAsia="黑体"/>
          <w:b w:val="0"/>
          <w:i w:val="0"/>
          <w:color w:val="000000"/>
          <w:sz w:val="22"/>
        </w:rPr>
        <w:t>套期会计</w:t>
      </w:r>
    </w:p>
    <w:p>
      <w:pPr>
        <w:autoSpaceDN w:val="0"/>
        <w:autoSpaceDE w:val="0"/>
        <w:widowControl/>
        <w:spacing w:line="286" w:lineRule="exact" w:before="238" w:after="0"/>
        <w:ind w:left="358" w:right="356" w:firstLine="0"/>
        <w:jc w:val="both"/>
      </w:pPr>
      <w:r>
        <w:rPr>
          <w:rFonts w:ascii="黑体" w:hAnsi="黑体" w:eastAsia="黑体"/>
          <w:b w:val="0"/>
          <w:i w:val="0"/>
          <w:color w:val="000000"/>
          <w:sz w:val="22"/>
        </w:rPr>
        <w:t>就套期会计方法而言，本集团的套期为现金流量套期，是指对现金流量变动风险进行</w:t>
      </w:r>
      <w:r>
        <w:rPr>
          <w:rFonts w:ascii="黑体" w:hAnsi="黑体" w:eastAsia="黑体"/>
          <w:b w:val="0"/>
          <w:i w:val="0"/>
          <w:color w:val="000000"/>
          <w:sz w:val="22"/>
        </w:rPr>
        <w:t>的套期，此现金流量变动源于与已确认资产或负债、很可能发生的预期交易有关的某</w:t>
      </w:r>
      <w:r>
        <w:rPr>
          <w:rFonts w:ascii="黑体" w:hAnsi="黑体" w:eastAsia="黑体"/>
          <w:b w:val="0"/>
          <w:i w:val="0"/>
          <w:color w:val="000000"/>
          <w:sz w:val="22"/>
        </w:rPr>
        <w:t xml:space="preserve">类特定风险，或一项未确认的确定承诺包含的汇率风险。 </w:t>
      </w:r>
    </w:p>
    <w:p>
      <w:pPr>
        <w:autoSpaceDN w:val="0"/>
        <w:autoSpaceDE w:val="0"/>
        <w:widowControl/>
        <w:spacing w:line="284" w:lineRule="exact" w:before="284" w:after="0"/>
        <w:ind w:left="358" w:right="356" w:firstLine="0"/>
        <w:jc w:val="both"/>
      </w:pPr>
      <w:r>
        <w:rPr>
          <w:rFonts w:ascii="黑体" w:hAnsi="黑体" w:eastAsia="黑体"/>
          <w:b w:val="0"/>
          <w:i w:val="0"/>
          <w:color w:val="000000"/>
          <w:sz w:val="22"/>
        </w:rPr>
        <w:t>在套期关系开始时，本集团对套期关系有正式指定，并准备了关于套期关系、风险管</w:t>
      </w:r>
      <w:r>
        <w:rPr>
          <w:rFonts w:ascii="黑体" w:hAnsi="黑体" w:eastAsia="黑体"/>
          <w:b w:val="0"/>
          <w:i w:val="0"/>
          <w:color w:val="000000"/>
          <w:sz w:val="22"/>
        </w:rPr>
        <w:t>理目标和风险管理策略的正式书面文件。该文件载明了套期工具、被套期项目，被套</w:t>
      </w:r>
      <w:r>
        <w:rPr>
          <w:rFonts w:ascii="黑体" w:hAnsi="黑体" w:eastAsia="黑体"/>
          <w:b w:val="0"/>
          <w:i w:val="0"/>
          <w:color w:val="000000"/>
          <w:sz w:val="22"/>
        </w:rPr>
        <w:t>期风险的性质，以及本集团对套期有效性评估方法。套期有效性，是指套期工具的公</w:t>
      </w:r>
      <w:r>
        <w:rPr>
          <w:rFonts w:ascii="黑体" w:hAnsi="黑体" w:eastAsia="黑体"/>
          <w:b w:val="0"/>
          <w:i w:val="0"/>
          <w:color w:val="000000"/>
          <w:sz w:val="22"/>
        </w:rPr>
        <w:t>允价值或现金流量变动能够抵销被套期风险引起的被套期项目公允价值或现金流量的</w:t>
      </w:r>
      <w:r>
        <w:rPr>
          <w:rFonts w:ascii="黑体" w:hAnsi="黑体" w:eastAsia="黑体"/>
          <w:b w:val="0"/>
          <w:i w:val="0"/>
          <w:color w:val="000000"/>
          <w:sz w:val="22"/>
        </w:rPr>
        <w:t xml:space="preserve">程度。此类套期在初始指定日及以后期间被持续评价符合套期有效性要求。 </w:t>
      </w:r>
    </w:p>
    <w:p>
      <w:pPr>
        <w:autoSpaceDN w:val="0"/>
        <w:autoSpaceDE w:val="0"/>
        <w:widowControl/>
        <w:spacing w:line="286" w:lineRule="exact" w:before="286" w:after="0"/>
        <w:ind w:left="358" w:right="356" w:firstLine="0"/>
        <w:jc w:val="both"/>
      </w:pPr>
      <w:r>
        <w:rPr>
          <w:rFonts w:ascii="黑体" w:hAnsi="黑体" w:eastAsia="黑体"/>
          <w:b w:val="0"/>
          <w:i w:val="0"/>
          <w:color w:val="000000"/>
          <w:sz w:val="22"/>
        </w:rPr>
        <w:t>如果套期工具已到期、被出售、合同终止或已行使（但作为套期策略组成部分的展期</w:t>
      </w:r>
      <w:r>
        <w:rPr>
          <w:rFonts w:ascii="黑体" w:hAnsi="黑体" w:eastAsia="黑体"/>
          <w:b w:val="0"/>
          <w:i w:val="0"/>
          <w:color w:val="000000"/>
          <w:sz w:val="22"/>
        </w:rPr>
        <w:t>或替换不作为已到期或合同终止处理），或因风险管理目标发生变化，导致套期关系不</w:t>
      </w:r>
      <w:r>
        <w:rPr>
          <w:rFonts w:ascii="黑体" w:hAnsi="黑体" w:eastAsia="黑体"/>
          <w:b w:val="0"/>
          <w:i w:val="0"/>
          <w:color w:val="000000"/>
          <w:sz w:val="22"/>
        </w:rPr>
        <w:t>再满足风险管理目标，或者该套期不再满足套期会计方法的其他条件时，本集团终止</w:t>
      </w:r>
      <w:r>
        <w:rPr>
          <w:rFonts w:ascii="黑体" w:hAnsi="黑体" w:eastAsia="黑体"/>
          <w:b w:val="0"/>
          <w:i w:val="0"/>
          <w:color w:val="000000"/>
          <w:sz w:val="22"/>
        </w:rPr>
        <w:t xml:space="preserve">运用套期会计。 </w:t>
      </w:r>
    </w:p>
    <w:p>
      <w:pPr>
        <w:autoSpaceDN w:val="0"/>
        <w:autoSpaceDE w:val="0"/>
        <w:widowControl/>
        <w:spacing w:line="286" w:lineRule="exact" w:before="284" w:after="0"/>
        <w:ind w:left="358" w:right="288" w:firstLine="0"/>
        <w:jc w:val="left"/>
      </w:pPr>
      <w:r>
        <w:rPr>
          <w:rFonts w:ascii="黑体" w:hAnsi="黑体" w:eastAsia="黑体"/>
          <w:b w:val="0"/>
          <w:i w:val="0"/>
          <w:color w:val="000000"/>
          <w:sz w:val="22"/>
        </w:rPr>
        <w:t>套期关系由于套期比率的原因不再符合套期有效性要求的，但指定该套期关系的风险</w:t>
      </w:r>
      <w:r>
        <w:rPr>
          <w:rFonts w:ascii="黑体" w:hAnsi="黑体" w:eastAsia="黑体"/>
          <w:b w:val="0"/>
          <w:i w:val="0"/>
          <w:color w:val="000000"/>
          <w:sz w:val="22"/>
        </w:rPr>
        <w:t xml:space="preserve">管理目标没有改变的，本集团对套期关系进行再平衡。 </w:t>
      </w:r>
    </w:p>
    <w:p>
      <w:pPr>
        <w:autoSpaceDN w:val="0"/>
        <w:autoSpaceDE w:val="0"/>
        <w:widowControl/>
        <w:spacing w:line="220" w:lineRule="exact" w:before="350" w:after="0"/>
        <w:ind w:left="358" w:right="0" w:firstLine="0"/>
        <w:jc w:val="left"/>
      </w:pPr>
      <w:r>
        <w:rPr>
          <w:rFonts w:ascii="黑体" w:hAnsi="黑体" w:eastAsia="黑体"/>
          <w:b w:val="0"/>
          <w:i w:val="0"/>
          <w:color w:val="000000"/>
          <w:sz w:val="22"/>
        </w:rPr>
        <w:t xml:space="preserve">现金流量套期 </w:t>
      </w:r>
    </w:p>
    <w:p>
      <w:pPr>
        <w:autoSpaceDN w:val="0"/>
        <w:autoSpaceDE w:val="0"/>
        <w:widowControl/>
        <w:spacing w:line="286" w:lineRule="exact" w:before="286" w:after="0"/>
        <w:ind w:left="358" w:right="288" w:firstLine="0"/>
        <w:jc w:val="left"/>
      </w:pPr>
      <w:r>
        <w:rPr>
          <w:rFonts w:ascii="黑体" w:hAnsi="黑体" w:eastAsia="黑体"/>
          <w:b w:val="0"/>
          <w:i w:val="0"/>
          <w:color w:val="000000"/>
          <w:sz w:val="22"/>
        </w:rPr>
        <w:t>套期工具利得或损失中属于套期有效的部分，直接确认为其他综合收益，属于套期无</w:t>
      </w:r>
      <w:r>
        <w:rPr>
          <w:rFonts w:ascii="黑体" w:hAnsi="黑体" w:eastAsia="黑体"/>
          <w:b w:val="0"/>
          <w:i w:val="0"/>
          <w:color w:val="000000"/>
          <w:sz w:val="22"/>
        </w:rPr>
        <w:t xml:space="preserve">效的部分，计入当期损益。 </w:t>
      </w:r>
    </w:p>
    <w:p>
      <w:pPr>
        <w:autoSpaceDN w:val="0"/>
        <w:autoSpaceDE w:val="0"/>
        <w:widowControl/>
        <w:spacing w:line="286" w:lineRule="exact" w:before="284" w:after="0"/>
        <w:ind w:left="358" w:right="356" w:firstLine="0"/>
        <w:jc w:val="both"/>
      </w:pPr>
      <w:r>
        <w:rPr>
          <w:rFonts w:ascii="黑体" w:hAnsi="黑体" w:eastAsia="黑体"/>
          <w:b w:val="0"/>
          <w:i w:val="0"/>
          <w:color w:val="000000"/>
          <w:sz w:val="22"/>
        </w:rPr>
        <w:t>如果被套期的预期交易随后确认为非金融资产或非金融负债，或非金融资产或非金融</w:t>
      </w:r>
      <w:r>
        <w:rPr>
          <w:rFonts w:ascii="黑体" w:hAnsi="黑体" w:eastAsia="黑体"/>
          <w:b w:val="0"/>
          <w:i w:val="0"/>
          <w:color w:val="000000"/>
          <w:sz w:val="22"/>
        </w:rPr>
        <w:t>负债的预期交易形成适用公允价值套期的确定承诺时，则原在其他综合收益中确认的</w:t>
      </w:r>
      <w:r>
        <w:rPr>
          <w:rFonts w:ascii="黑体" w:hAnsi="黑体" w:eastAsia="黑体"/>
          <w:b w:val="0"/>
          <w:i w:val="0"/>
          <w:color w:val="000000"/>
          <w:sz w:val="22"/>
        </w:rPr>
        <w:t>现金流量套期储备金额转出，计入该资产或负债的初始确认金额。其余现金流量套期</w:t>
      </w:r>
      <w:r>
        <w:rPr>
          <w:rFonts w:ascii="黑体" w:hAnsi="黑体" w:eastAsia="黑体"/>
          <w:b w:val="0"/>
          <w:i w:val="0"/>
          <w:color w:val="000000"/>
          <w:sz w:val="22"/>
        </w:rPr>
        <w:t>在被套期的预期现金流量影响损益的相同期间，如预期销售发生时，将其他综合收益</w:t>
      </w:r>
      <w:r>
        <w:rPr>
          <w:rFonts w:ascii="黑体" w:hAnsi="黑体" w:eastAsia="黑体"/>
          <w:b w:val="0"/>
          <w:i w:val="0"/>
          <w:color w:val="000000"/>
          <w:sz w:val="22"/>
        </w:rPr>
        <w:t xml:space="preserve">中确认的现金流量套期储备转出，计入当期损益。 </w:t>
      </w:r>
    </w:p>
    <w:p>
      <w:pPr>
        <w:autoSpaceDN w:val="0"/>
        <w:autoSpaceDE w:val="0"/>
        <w:widowControl/>
        <w:spacing w:line="284" w:lineRule="exact" w:before="270" w:after="0"/>
        <w:ind w:left="358" w:right="356" w:firstLine="0"/>
        <w:jc w:val="both"/>
      </w:pPr>
      <w:r>
        <w:rPr>
          <w:rFonts w:ascii="黑体" w:hAnsi="黑体" w:eastAsia="黑体"/>
          <w:b w:val="0"/>
          <w:i w:val="0"/>
          <w:color w:val="000000"/>
          <w:sz w:val="22"/>
        </w:rPr>
        <w:t>本集团对现金流量套期终止运用套期会计时，如果被套期的未来现金流量预期仍然会</w:t>
      </w:r>
      <w:r>
        <w:rPr>
          <w:rFonts w:ascii="黑体" w:hAnsi="黑体" w:eastAsia="黑体"/>
          <w:b w:val="0"/>
          <w:i w:val="0"/>
          <w:color w:val="000000"/>
          <w:sz w:val="22"/>
        </w:rPr>
        <w:t>发生的，则以前计入其他综合收益的金额不转出，直至预期交易实际发生或确定承诺</w:t>
      </w:r>
      <w:r>
        <w:rPr>
          <w:rFonts w:ascii="黑体" w:hAnsi="黑体" w:eastAsia="黑体"/>
          <w:b w:val="0"/>
          <w:i w:val="0"/>
          <w:color w:val="000000"/>
          <w:sz w:val="22"/>
        </w:rPr>
        <w:t>履行；如果被套期的未来现金流量预期不再发生的，则累计现金流量套期储备的金额</w:t>
      </w:r>
      <w:r>
        <w:rPr>
          <w:rFonts w:ascii="黑体" w:hAnsi="黑体" w:eastAsia="黑体"/>
          <w:b w:val="0"/>
          <w:i w:val="0"/>
          <w:color w:val="000000"/>
          <w:sz w:val="22"/>
        </w:rPr>
        <w:t xml:space="preserve">应当从其他综合收益中转出，计入当期损益。 </w:t>
      </w:r>
    </w:p>
    <w:p>
      <w:pPr>
        <w:autoSpaceDN w:val="0"/>
        <w:autoSpaceDE w:val="0"/>
        <w:widowControl/>
        <w:spacing w:line="233" w:lineRule="auto" w:before="3462" w:after="0"/>
        <w:ind w:left="0" w:right="0" w:firstLine="0"/>
        <w:jc w:val="center"/>
      </w:pPr>
      <w:r>
        <w:rPr>
          <w:rFonts w:ascii="Arial" w:hAnsi="Arial" w:eastAsia="Arial"/>
          <w:b w:val="0"/>
          <w:i w:val="0"/>
          <w:color w:val="000000"/>
          <w:sz w:val="20"/>
        </w:rPr>
        <w:t xml:space="preserve">187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22. </w:t>
      </w:r>
      <w:r>
        <w:rPr>
          <w:rFonts w:ascii="黑体" w:hAnsi="黑体" w:eastAsia="黑体"/>
          <w:b w:val="0"/>
          <w:i w:val="0"/>
          <w:color w:val="000000"/>
          <w:sz w:val="22"/>
        </w:rPr>
        <w:t>套期会计（续）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 xml:space="preserve">套期成本 </w:t>
      </w:r>
    </w:p>
    <w:p>
      <w:pPr>
        <w:autoSpaceDN w:val="0"/>
        <w:autoSpaceDE w:val="0"/>
        <w:widowControl/>
        <w:spacing w:line="284" w:lineRule="exact" w:before="288" w:after="0"/>
        <w:ind w:left="358" w:right="356" w:firstLine="0"/>
        <w:jc w:val="both"/>
      </w:pPr>
      <w:r>
        <w:rPr>
          <w:rFonts w:ascii="黑体" w:hAnsi="黑体" w:eastAsia="黑体"/>
          <w:b w:val="0"/>
          <w:i w:val="0"/>
          <w:color w:val="000000"/>
          <w:sz w:val="22"/>
        </w:rPr>
        <w:t>本集团将远期合同的远期要素和即期要素分开，只将即期要素的价值变动指定为套期</w:t>
      </w:r>
      <w:r>
        <w:rPr>
          <w:rFonts w:ascii="黑体" w:hAnsi="黑体" w:eastAsia="黑体"/>
          <w:b w:val="0"/>
          <w:i w:val="0"/>
          <w:color w:val="000000"/>
          <w:sz w:val="22"/>
        </w:rPr>
        <w:t>工具；或将金融工具的外汇基差单独分拆、只将排除外汇基差后的金融工具指定为套</w:t>
      </w:r>
      <w:r>
        <w:rPr>
          <w:rFonts w:ascii="黑体" w:hAnsi="黑体" w:eastAsia="黑体"/>
          <w:b w:val="0"/>
          <w:i w:val="0"/>
          <w:color w:val="000000"/>
          <w:sz w:val="22"/>
        </w:rPr>
        <w:t>期工具的，本集团将远期合同的远期要素以及金融工具的外汇基差的公允价值变动中</w:t>
      </w:r>
      <w:r>
        <w:rPr>
          <w:rFonts w:ascii="黑体" w:hAnsi="黑体" w:eastAsia="黑体"/>
          <w:b w:val="0"/>
          <w:i w:val="0"/>
          <w:color w:val="000000"/>
          <w:sz w:val="22"/>
        </w:rPr>
        <w:t>与被套期项目相关的部分计入其他综合收益，如果被套期项目的性质与交易相关，则</w:t>
      </w:r>
      <w:r>
        <w:rPr>
          <w:rFonts w:ascii="黑体" w:hAnsi="黑体" w:eastAsia="黑体"/>
          <w:b w:val="0"/>
          <w:i w:val="0"/>
          <w:color w:val="000000"/>
          <w:sz w:val="22"/>
        </w:rPr>
        <w:t>按照与现金流量套期储备的金额相同的会计方法进行处理，如果被套期项目的性质与</w:t>
      </w:r>
      <w:r>
        <w:rPr>
          <w:rFonts w:ascii="黑体" w:hAnsi="黑体" w:eastAsia="黑体"/>
          <w:b w:val="0"/>
          <w:i w:val="0"/>
          <w:color w:val="000000"/>
          <w:sz w:val="22"/>
        </w:rPr>
        <w:t>时间段相关，则将上述公允价值变动按照系统、合理的方法在被套期项目影响损益或</w:t>
      </w:r>
      <w:r>
        <w:rPr>
          <w:rFonts w:ascii="黑体" w:hAnsi="黑体" w:eastAsia="黑体"/>
          <w:b w:val="0"/>
          <w:i w:val="0"/>
          <w:color w:val="000000"/>
          <w:sz w:val="22"/>
        </w:rPr>
        <w:t>其他综合收益的期间内摊销，从其他综合收益转出，计入当期损益。</w:t>
      </w:r>
    </w:p>
    <w:p>
      <w:pPr>
        <w:autoSpaceDN w:val="0"/>
        <w:tabs>
          <w:tab w:pos="1086"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23. </w:t>
      </w:r>
      <w:r>
        <w:rPr>
          <w:rFonts w:ascii="黑体" w:hAnsi="黑体" w:eastAsia="黑体"/>
          <w:b w:val="0"/>
          <w:i w:val="0"/>
          <w:color w:val="000000"/>
          <w:sz w:val="22"/>
        </w:rPr>
        <w:t>租赁</w:t>
      </w:r>
    </w:p>
    <w:p>
      <w:pPr>
        <w:autoSpaceDN w:val="0"/>
        <w:autoSpaceDE w:val="0"/>
        <w:widowControl/>
        <w:spacing w:line="284" w:lineRule="exact" w:before="256" w:after="0"/>
        <w:ind w:left="358" w:right="356" w:firstLine="0"/>
        <w:jc w:val="both"/>
      </w:pPr>
      <w:r>
        <w:rPr>
          <w:rFonts w:ascii="黑体" w:hAnsi="黑体" w:eastAsia="黑体"/>
          <w:b w:val="0"/>
          <w:i w:val="0"/>
          <w:color w:val="000000"/>
          <w:sz w:val="22"/>
        </w:rPr>
        <w:t>在合同开始日，本集团评估合同是否为租赁或者包含租赁，如果合同中一方让渡了在</w:t>
      </w:r>
      <w:r>
        <w:rPr>
          <w:rFonts w:ascii="黑体" w:hAnsi="黑体" w:eastAsia="黑体"/>
          <w:b w:val="0"/>
          <w:i w:val="0"/>
          <w:color w:val="000000"/>
          <w:sz w:val="22"/>
        </w:rPr>
        <w:t>一定期间内控制一项或多项已识别资产使用的权利以换取对价，则该合同为租赁或者</w:t>
      </w:r>
      <w:r>
        <w:rPr>
          <w:rFonts w:ascii="黑体" w:hAnsi="黑体" w:eastAsia="黑体"/>
          <w:b w:val="0"/>
          <w:i w:val="0"/>
          <w:color w:val="000000"/>
          <w:sz w:val="22"/>
        </w:rPr>
        <w:t>包含租赁。</w:t>
      </w:r>
    </w:p>
    <w:p>
      <w:pPr>
        <w:autoSpaceDN w:val="0"/>
        <w:autoSpaceDE w:val="0"/>
        <w:widowControl/>
        <w:spacing w:line="222" w:lineRule="exact" w:before="332" w:after="0"/>
        <w:ind w:left="358" w:right="0" w:firstLine="0"/>
        <w:jc w:val="left"/>
      </w:pPr>
      <w:r>
        <w:rPr>
          <w:rFonts w:ascii="黑体" w:hAnsi="黑体" w:eastAsia="黑体"/>
          <w:b w:val="0"/>
          <w:i w:val="0"/>
          <w:color w:val="000000"/>
          <w:sz w:val="22"/>
        </w:rPr>
        <w:t>作为承租人</w:t>
      </w:r>
    </w:p>
    <w:p>
      <w:pPr>
        <w:autoSpaceDN w:val="0"/>
        <w:autoSpaceDE w:val="0"/>
        <w:widowControl/>
        <w:spacing w:line="280" w:lineRule="exact" w:before="292" w:after="0"/>
        <w:ind w:left="358" w:right="354" w:firstLine="0"/>
        <w:jc w:val="both"/>
      </w:pPr>
      <w:r>
        <w:rPr>
          <w:rFonts w:ascii="黑体" w:hAnsi="黑体" w:eastAsia="黑体"/>
          <w:b w:val="0"/>
          <w:i w:val="0"/>
          <w:color w:val="000000"/>
          <w:sz w:val="22"/>
        </w:rPr>
        <w:t>本集团已选择对短期租赁（租赁期不超过</w:t>
      </w:r>
      <w:r>
        <w:rPr>
          <w:rFonts w:ascii="Calibri" w:hAnsi="Calibri" w:eastAsia="Calibri"/>
          <w:b w:val="0"/>
          <w:i w:val="0"/>
          <w:color w:val="000000"/>
          <w:sz w:val="22"/>
        </w:rPr>
        <w:t>12</w:t>
      </w:r>
      <w:r>
        <w:rPr>
          <w:rFonts w:ascii="黑体" w:hAnsi="黑体" w:eastAsia="黑体"/>
          <w:b w:val="0"/>
          <w:i w:val="0"/>
          <w:color w:val="000000"/>
          <w:sz w:val="22"/>
        </w:rPr>
        <w:t>个月的租赁）和低价值资产租赁不确认使</w:t>
      </w:r>
      <w:r>
        <w:rPr>
          <w:rFonts w:ascii="黑体" w:hAnsi="黑体" w:eastAsia="黑体"/>
          <w:b w:val="0"/>
          <w:i w:val="0"/>
          <w:color w:val="000000"/>
          <w:sz w:val="22"/>
        </w:rPr>
        <w:t>用权资产和租赁负债，并将相关的租赁付款额在租赁期内各个期间按照直线法计入当</w:t>
      </w:r>
      <w:r>
        <w:rPr>
          <w:rFonts w:ascii="黑体" w:hAnsi="黑体" w:eastAsia="黑体"/>
          <w:b w:val="0"/>
          <w:i w:val="0"/>
          <w:color w:val="000000"/>
          <w:sz w:val="22"/>
        </w:rPr>
        <w:t>期损益或相关资产成本。除了短期租赁和低价值资产租赁，本集团对租赁确认使用权</w:t>
      </w:r>
      <w:r>
        <w:rPr>
          <w:rFonts w:ascii="黑体" w:hAnsi="黑体" w:eastAsia="黑体"/>
          <w:b w:val="0"/>
          <w:i w:val="0"/>
          <w:color w:val="000000"/>
          <w:sz w:val="22"/>
        </w:rPr>
        <w:t>资产和租赁负债。</w:t>
      </w:r>
    </w:p>
    <w:p>
      <w:pPr>
        <w:autoSpaceDN w:val="0"/>
        <w:autoSpaceDE w:val="0"/>
        <w:widowControl/>
        <w:spacing w:line="286" w:lineRule="exact" w:before="268" w:after="0"/>
        <w:ind w:left="358" w:right="348" w:firstLine="0"/>
        <w:jc w:val="both"/>
      </w:pPr>
      <w:r>
        <w:rPr>
          <w:rFonts w:ascii="黑体" w:hAnsi="黑体" w:eastAsia="黑体"/>
          <w:b w:val="0"/>
          <w:i w:val="0"/>
          <w:color w:val="000000"/>
          <w:sz w:val="22"/>
        </w:rPr>
        <w:t>在租赁期开始日，本集团将其可在租赁期内使用租赁资产的权利确认为使用权资产，</w:t>
      </w:r>
      <w:r>
        <w:rPr>
          <w:rFonts w:ascii="黑体" w:hAnsi="黑体" w:eastAsia="黑体"/>
          <w:b w:val="0"/>
          <w:i w:val="0"/>
          <w:color w:val="000000"/>
          <w:sz w:val="22"/>
        </w:rPr>
        <w:t>按照成本进行初始计量。使用权资产成本包括：租赁负债的初始计量金额；在租赁期</w:t>
      </w:r>
      <w:r>
        <w:rPr>
          <w:rFonts w:ascii="黑体" w:hAnsi="黑体" w:eastAsia="黑体"/>
          <w:b w:val="0"/>
          <w:i w:val="0"/>
          <w:color w:val="000000"/>
          <w:sz w:val="22"/>
        </w:rPr>
        <w:t>开始日或之前支付的租赁付款额，扣除已享受的租赁激励相关金额；承租人发生的初</w:t>
      </w:r>
      <w:r>
        <w:rPr>
          <w:rFonts w:ascii="黑体" w:hAnsi="黑体" w:eastAsia="黑体"/>
          <w:b w:val="0"/>
          <w:i w:val="0"/>
          <w:color w:val="000000"/>
          <w:sz w:val="22"/>
        </w:rPr>
        <w:t>始直接费用；承租人为拆卸及移除租赁资产、复原租赁资产所在场地或将租赁资产恢</w:t>
      </w:r>
      <w:r>
        <w:rPr>
          <w:rFonts w:ascii="黑体" w:hAnsi="黑体" w:eastAsia="黑体"/>
          <w:b w:val="0"/>
          <w:i w:val="0"/>
          <w:color w:val="000000"/>
          <w:sz w:val="22"/>
        </w:rPr>
        <w:t>复至租赁条款约定状态预计将发生的成本。本集团因租赁付款额变动重新计量租赁负</w:t>
      </w:r>
      <w:r>
        <w:rPr>
          <w:rFonts w:ascii="黑体" w:hAnsi="黑体" w:eastAsia="黑体"/>
          <w:b w:val="0"/>
          <w:i w:val="0"/>
          <w:color w:val="000000"/>
          <w:sz w:val="22"/>
        </w:rPr>
        <w:t>债的，相应调整使用权资产的账面价值。本集团后续采用年限平均法对使用权资产计</w:t>
      </w:r>
      <w:r>
        <w:rPr>
          <w:rFonts w:ascii="黑体" w:hAnsi="黑体" w:eastAsia="黑体"/>
          <w:b w:val="0"/>
          <w:i w:val="0"/>
          <w:color w:val="000000"/>
          <w:sz w:val="22"/>
        </w:rPr>
        <w:t>提折旧。能够合理确定租赁期届满时取得租赁资产所有权的，本集团在租赁资产剩余</w:t>
      </w:r>
      <w:r>
        <w:rPr>
          <w:rFonts w:ascii="黑体" w:hAnsi="黑体" w:eastAsia="黑体"/>
          <w:b w:val="0"/>
          <w:i w:val="0"/>
          <w:color w:val="000000"/>
          <w:sz w:val="22"/>
        </w:rPr>
        <w:t>使用寿命内计提折旧。无法合理确定租赁期届满时能够取得租赁资产所有权的，本集</w:t>
      </w:r>
      <w:r>
        <w:rPr>
          <w:rFonts w:ascii="黑体" w:hAnsi="黑体" w:eastAsia="黑体"/>
          <w:b w:val="0"/>
          <w:i w:val="0"/>
          <w:color w:val="000000"/>
          <w:sz w:val="22"/>
        </w:rPr>
        <w:t>团在租赁期与租赁资产剩余使用寿命两者孰短的期间内计提折旧。</w:t>
      </w:r>
    </w:p>
    <w:p>
      <w:pPr>
        <w:autoSpaceDN w:val="0"/>
        <w:autoSpaceDE w:val="0"/>
        <w:widowControl/>
        <w:spacing w:line="233" w:lineRule="auto" w:before="3800" w:after="0"/>
        <w:ind w:left="0" w:right="0" w:firstLine="0"/>
        <w:jc w:val="center"/>
      </w:pPr>
      <w:r>
        <w:rPr>
          <w:rFonts w:ascii="Arial" w:hAnsi="Arial" w:eastAsia="Arial"/>
          <w:b w:val="0"/>
          <w:i w:val="0"/>
          <w:color w:val="000000"/>
          <w:sz w:val="20"/>
        </w:rPr>
        <w:t xml:space="preserve">188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23. </w:t>
      </w:r>
      <w:r>
        <w:rPr>
          <w:rFonts w:ascii="黑体" w:hAnsi="黑体" w:eastAsia="黑体"/>
          <w:b w:val="0"/>
          <w:i w:val="0"/>
          <w:color w:val="000000"/>
          <w:sz w:val="22"/>
        </w:rPr>
        <w:t>租赁（续）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作为承租人（续）</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在租赁期开始日，本集团将尚未支付的租赁付款额的现值确认为租赁负债，短期租赁</w:t>
      </w:r>
      <w:r>
        <w:rPr>
          <w:rFonts w:ascii="黑体" w:hAnsi="黑体" w:eastAsia="黑体"/>
          <w:b w:val="0"/>
          <w:i w:val="0"/>
          <w:color w:val="000000"/>
          <w:sz w:val="22"/>
        </w:rPr>
        <w:t>和低价值资产租赁除外。租赁付款额包括固定付款额及实质固定付款额扣除租赁激励</w:t>
      </w:r>
      <w:r>
        <w:rPr>
          <w:rFonts w:ascii="黑体" w:hAnsi="黑体" w:eastAsia="黑体"/>
          <w:b w:val="0"/>
          <w:i w:val="0"/>
          <w:color w:val="000000"/>
          <w:sz w:val="22"/>
        </w:rPr>
        <w:t>后的金额、取决于指数或比率的可变租赁付款额、根据担保余值预计应支付的款项，</w:t>
      </w:r>
      <w:r>
        <w:rPr>
          <w:rFonts w:ascii="黑体" w:hAnsi="黑体" w:eastAsia="黑体"/>
          <w:b w:val="0"/>
          <w:i w:val="0"/>
          <w:color w:val="000000"/>
          <w:sz w:val="22"/>
        </w:rPr>
        <w:t>还包括购买选择权的行权价格或行使终止租赁选择权需支付的款项，前提是本集团合</w:t>
      </w:r>
      <w:r>
        <w:rPr>
          <w:rFonts w:ascii="黑体" w:hAnsi="黑体" w:eastAsia="黑体"/>
          <w:b w:val="0"/>
          <w:i w:val="0"/>
          <w:color w:val="000000"/>
          <w:sz w:val="22"/>
        </w:rPr>
        <w:t>理确定将行使该选择权或租赁期反映出本集团将行使终止租赁选择权。</w:t>
      </w:r>
    </w:p>
    <w:p>
      <w:pPr>
        <w:autoSpaceDN w:val="0"/>
        <w:autoSpaceDE w:val="0"/>
        <w:widowControl/>
        <w:spacing w:line="284" w:lineRule="exact" w:before="268" w:after="0"/>
        <w:ind w:left="358" w:right="288" w:firstLine="0"/>
        <w:jc w:val="left"/>
      </w:pPr>
      <w:r>
        <w:rPr>
          <w:rFonts w:ascii="黑体" w:hAnsi="黑体" w:eastAsia="黑体"/>
          <w:b w:val="0"/>
          <w:i w:val="0"/>
          <w:color w:val="000000"/>
          <w:sz w:val="22"/>
        </w:rPr>
        <w:t>未纳入租赁负债计量的可变租赁付款额于实际发生时计入当期损益，但另有规定计入</w:t>
      </w:r>
      <w:r>
        <w:rPr>
          <w:rFonts w:ascii="黑体" w:hAnsi="黑体" w:eastAsia="黑体"/>
          <w:b w:val="0"/>
          <w:i w:val="0"/>
          <w:color w:val="000000"/>
          <w:sz w:val="22"/>
        </w:rPr>
        <w:t>相关资产成本的除外。</w:t>
      </w:r>
    </w:p>
    <w:p>
      <w:pPr>
        <w:autoSpaceDN w:val="0"/>
        <w:autoSpaceDE w:val="0"/>
        <w:widowControl/>
        <w:spacing w:line="284" w:lineRule="exact" w:before="272" w:after="0"/>
        <w:ind w:left="358" w:right="350" w:firstLine="0"/>
        <w:jc w:val="both"/>
      </w:pPr>
      <w:r>
        <w:rPr>
          <w:rFonts w:ascii="黑体" w:hAnsi="黑体" w:eastAsia="黑体"/>
          <w:b w:val="0"/>
          <w:i w:val="0"/>
          <w:color w:val="000000"/>
          <w:sz w:val="22"/>
        </w:rPr>
        <w:t>当实质固定付款额发生变动、担保余值预计的应付金额发生变化、用于确定租赁付款</w:t>
      </w:r>
      <w:r>
        <w:rPr>
          <w:rFonts w:ascii="黑体" w:hAnsi="黑体" w:eastAsia="黑体"/>
          <w:b w:val="0"/>
          <w:i w:val="0"/>
          <w:color w:val="000000"/>
          <w:sz w:val="22"/>
        </w:rPr>
        <w:t>额的指数或比率发生变动、购买选择权、续租选择权或终止选择权的评估结果或实际</w:t>
      </w:r>
      <w:r>
        <w:rPr>
          <w:rFonts w:ascii="黑体" w:hAnsi="黑体" w:eastAsia="黑体"/>
          <w:b w:val="0"/>
          <w:i w:val="0"/>
          <w:color w:val="000000"/>
          <w:sz w:val="22"/>
        </w:rPr>
        <w:t>行权情况发生变化时，本集团按照变动后的租赁付款额的现值重新计量租赁负债。</w:t>
      </w:r>
    </w:p>
    <w:p>
      <w:pPr>
        <w:autoSpaceDN w:val="0"/>
        <w:autoSpaceDE w:val="0"/>
        <w:widowControl/>
        <w:spacing w:line="286" w:lineRule="exact" w:before="268" w:after="0"/>
        <w:ind w:left="358" w:right="356" w:firstLine="0"/>
        <w:jc w:val="both"/>
      </w:pPr>
      <w:r>
        <w:rPr>
          <w:rFonts w:ascii="黑体" w:hAnsi="黑体" w:eastAsia="黑体"/>
          <w:b w:val="0"/>
          <w:i w:val="0"/>
          <w:color w:val="000000"/>
          <w:sz w:val="22"/>
        </w:rPr>
        <w:t>租赁开始日实质上转移了与租赁资产所有权有关的几乎全部风险和报酬的租赁为融资</w:t>
      </w:r>
      <w:r>
        <w:rPr>
          <w:rFonts w:ascii="黑体" w:hAnsi="黑体" w:eastAsia="黑体"/>
          <w:b w:val="0"/>
          <w:i w:val="0"/>
          <w:color w:val="000000"/>
          <w:sz w:val="22"/>
        </w:rPr>
        <w:t>租赁，除此之外的均为经营租赁。本集团作为转租出租人时，基于原租赁产生的使用</w:t>
      </w:r>
      <w:r>
        <w:rPr>
          <w:rFonts w:ascii="黑体" w:hAnsi="黑体" w:eastAsia="黑体"/>
          <w:b w:val="0"/>
          <w:i w:val="0"/>
          <w:color w:val="000000"/>
          <w:sz w:val="22"/>
        </w:rPr>
        <w:t>权资产对转租赁进行分类。合同中同时包含租赁和非租赁部分的，本集团按照各部分</w:t>
      </w:r>
      <w:r>
        <w:rPr>
          <w:rFonts w:ascii="黑体" w:hAnsi="黑体" w:eastAsia="黑体"/>
          <w:b w:val="0"/>
          <w:i w:val="0"/>
          <w:color w:val="000000"/>
          <w:sz w:val="22"/>
        </w:rPr>
        <w:t>单独价格的相对比例分摊合同对价。</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作为出租人</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租赁开始日实质上转移了与租赁资产所有权有关的几乎全部风险和报酬的租赁为融资</w:t>
      </w:r>
      <w:r>
        <w:rPr>
          <w:rFonts w:ascii="黑体" w:hAnsi="黑体" w:eastAsia="黑体"/>
          <w:b w:val="0"/>
          <w:i w:val="0"/>
          <w:color w:val="000000"/>
          <w:sz w:val="22"/>
        </w:rPr>
        <w:t>租赁，除此之外的均为经营租赁。</w:t>
      </w:r>
    </w:p>
    <w:p>
      <w:pPr>
        <w:autoSpaceDN w:val="0"/>
        <w:autoSpaceDE w:val="0"/>
        <w:widowControl/>
        <w:spacing w:line="286" w:lineRule="exact" w:before="266" w:after="0"/>
        <w:ind w:left="358" w:right="356" w:firstLine="0"/>
        <w:jc w:val="both"/>
      </w:pPr>
      <w:r>
        <w:rPr>
          <w:rFonts w:ascii="黑体" w:hAnsi="黑体" w:eastAsia="黑体"/>
          <w:b w:val="0"/>
          <w:i w:val="0"/>
          <w:color w:val="000000"/>
          <w:sz w:val="22"/>
        </w:rPr>
        <w:t>经营租赁的租金收入在租赁期内各个期间按直线法确认为当期损益，未计入租赁收款</w:t>
      </w:r>
      <w:r>
        <w:rPr>
          <w:rFonts w:ascii="黑体" w:hAnsi="黑体" w:eastAsia="黑体"/>
          <w:b w:val="0"/>
          <w:i w:val="0"/>
          <w:color w:val="000000"/>
          <w:sz w:val="22"/>
        </w:rPr>
        <w:t>额的可变租赁付款额在实际发生时计入当期损益。初始直接费用资本化，在租赁期内</w:t>
      </w:r>
      <w:r>
        <w:rPr>
          <w:rFonts w:ascii="黑体" w:hAnsi="黑体" w:eastAsia="黑体"/>
          <w:b w:val="0"/>
          <w:i w:val="0"/>
          <w:color w:val="000000"/>
          <w:sz w:val="22"/>
        </w:rPr>
        <w:t>按照与租金收入确认相同的基础进行分摊，分期计入当期损益。</w:t>
      </w:r>
    </w:p>
    <w:p>
      <w:pPr>
        <w:autoSpaceDN w:val="0"/>
        <w:autoSpaceDE w:val="0"/>
        <w:widowControl/>
        <w:spacing w:line="233" w:lineRule="auto" w:before="4976" w:after="0"/>
        <w:ind w:left="0" w:right="0" w:firstLine="0"/>
        <w:jc w:val="center"/>
      </w:pPr>
      <w:r>
        <w:rPr>
          <w:rFonts w:ascii="Arial" w:hAnsi="Arial" w:eastAsia="Arial"/>
          <w:b w:val="0"/>
          <w:i w:val="0"/>
          <w:color w:val="000000"/>
          <w:sz w:val="20"/>
        </w:rPr>
        <w:t xml:space="preserve">189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24. </w:t>
      </w:r>
      <w:r>
        <w:rPr>
          <w:rFonts w:ascii="黑体" w:hAnsi="黑体" w:eastAsia="黑体"/>
          <w:b w:val="0"/>
          <w:i w:val="0"/>
          <w:color w:val="000000"/>
          <w:sz w:val="22"/>
        </w:rPr>
        <w:t>一般风险准备</w:t>
      </w:r>
    </w:p>
    <w:p>
      <w:pPr>
        <w:autoSpaceDN w:val="0"/>
        <w:autoSpaceDE w:val="0"/>
        <w:widowControl/>
        <w:spacing w:line="220" w:lineRule="exact" w:before="316" w:after="0"/>
        <w:ind w:left="0" w:right="0" w:firstLine="0"/>
        <w:jc w:val="center"/>
      </w:pPr>
      <w:r>
        <w:rPr>
          <w:rFonts w:ascii="黑体" w:hAnsi="黑体" w:eastAsia="黑体"/>
          <w:b w:val="0"/>
          <w:i w:val="0"/>
          <w:color w:val="000000"/>
          <w:sz w:val="22"/>
        </w:rPr>
        <w:t>本公司及下属子公司中德证券有限责任公司（以下简称“中德证券”）根据财政部颁布</w:t>
      </w:r>
    </w:p>
    <w:p>
      <w:pPr>
        <w:autoSpaceDN w:val="0"/>
        <w:autoSpaceDE w:val="0"/>
        <w:widowControl/>
        <w:spacing w:line="278" w:lineRule="exact" w:before="32" w:after="0"/>
        <w:ind w:left="358" w:right="354" w:firstLine="0"/>
        <w:jc w:val="both"/>
      </w:pPr>
      <w:r>
        <w:rPr>
          <w:rFonts w:ascii="黑体" w:hAnsi="黑体" w:eastAsia="黑体"/>
          <w:b w:val="0"/>
          <w:i w:val="0"/>
          <w:color w:val="000000"/>
          <w:sz w:val="22"/>
        </w:rPr>
        <w:t>的《金融企业财务规则》（中华人民共和国财政部令第</w:t>
      </w:r>
      <w:r>
        <w:rPr>
          <w:rFonts w:ascii="Calibri" w:hAnsi="Calibri" w:eastAsia="Calibri"/>
          <w:b w:val="0"/>
          <w:i w:val="0"/>
          <w:color w:val="000000"/>
          <w:sz w:val="22"/>
        </w:rPr>
        <w:t>42</w:t>
      </w:r>
      <w:r>
        <w:rPr>
          <w:rFonts w:ascii="黑体" w:hAnsi="黑体" w:eastAsia="黑体"/>
          <w:b w:val="0"/>
          <w:i w:val="0"/>
          <w:color w:val="000000"/>
          <w:sz w:val="22"/>
        </w:rPr>
        <w:t>号）及其实施指南（财金</w:t>
      </w:r>
      <w:r>
        <w:rPr>
          <w:rFonts w:ascii="Calibri" w:hAnsi="Calibri" w:eastAsia="Calibri"/>
          <w:b w:val="0"/>
          <w:i w:val="0"/>
          <w:color w:val="000000"/>
          <w:sz w:val="22"/>
        </w:rPr>
        <w:t>[2007]23</w:t>
      </w:r>
      <w:r>
        <w:rPr>
          <w:rFonts w:ascii="黑体" w:hAnsi="黑体" w:eastAsia="黑体"/>
          <w:b w:val="0"/>
          <w:i w:val="0"/>
          <w:color w:val="000000"/>
          <w:sz w:val="22"/>
        </w:rPr>
        <w:t>号）的规定，以及证监会制定的《证券公司年报监管工作指引》的要求，按当</w:t>
      </w:r>
      <w:r>
        <w:rPr>
          <w:rFonts w:ascii="黑体" w:hAnsi="黑体" w:eastAsia="黑体"/>
          <w:b w:val="0"/>
          <w:i w:val="0"/>
          <w:color w:val="000000"/>
          <w:sz w:val="22"/>
        </w:rPr>
        <w:t>年税后利润的</w:t>
      </w:r>
      <w:r>
        <w:rPr>
          <w:rFonts w:ascii="Calibri" w:hAnsi="Calibri" w:eastAsia="Calibri"/>
          <w:b w:val="0"/>
          <w:i w:val="0"/>
          <w:color w:val="000000"/>
          <w:sz w:val="22"/>
        </w:rPr>
        <w:t>10%</w:t>
      </w:r>
      <w:r>
        <w:rPr>
          <w:rFonts w:ascii="黑体" w:hAnsi="黑体" w:eastAsia="黑体"/>
          <w:b w:val="0"/>
          <w:i w:val="0"/>
          <w:color w:val="000000"/>
          <w:sz w:val="22"/>
        </w:rPr>
        <w:t>提取一般风险准备。当年税后利润弥补以前年度亏损后仍为亏损状</w:t>
      </w:r>
      <w:r>
        <w:rPr>
          <w:rFonts w:ascii="黑体" w:hAnsi="黑体" w:eastAsia="黑体"/>
          <w:b w:val="0"/>
          <w:i w:val="0"/>
          <w:color w:val="000000"/>
          <w:sz w:val="22"/>
        </w:rPr>
        <w:t>态，可不予提取一般风险准备。</w:t>
      </w:r>
    </w:p>
    <w:p>
      <w:pPr>
        <w:autoSpaceDN w:val="0"/>
        <w:autoSpaceDE w:val="0"/>
        <w:widowControl/>
        <w:spacing w:line="276" w:lineRule="exact" w:before="304" w:after="0"/>
        <w:ind w:left="358" w:right="352" w:firstLine="0"/>
        <w:jc w:val="both"/>
      </w:pPr>
      <w:r>
        <w:rPr>
          <w:rFonts w:ascii="黑体" w:hAnsi="黑体" w:eastAsia="黑体"/>
          <w:b w:val="0"/>
          <w:i w:val="0"/>
          <w:color w:val="000000"/>
          <w:sz w:val="22"/>
        </w:rPr>
        <w:t>本公司下属子公司格林大华期货有限公司（以下简称“格林大华</w:t>
      </w:r>
      <w:r>
        <w:rPr>
          <w:rFonts w:ascii="Calibri" w:hAnsi="Calibri" w:eastAsia="Calibri"/>
          <w:b w:val="0"/>
          <w:i w:val="0"/>
          <w:color w:val="000000"/>
          <w:sz w:val="22"/>
        </w:rPr>
        <w:t>”</w:t>
      </w:r>
      <w:r>
        <w:rPr>
          <w:rFonts w:ascii="黑体" w:hAnsi="黑体" w:eastAsia="黑体"/>
          <w:b w:val="0"/>
          <w:i w:val="0"/>
          <w:color w:val="000000"/>
          <w:sz w:val="22"/>
        </w:rPr>
        <w:t>）根据财政部颁布的</w:t>
      </w:r>
      <w:r>
        <w:rPr>
          <w:rFonts w:ascii="黑体" w:hAnsi="黑体" w:eastAsia="黑体"/>
          <w:b w:val="0"/>
          <w:i w:val="0"/>
          <w:color w:val="000000"/>
          <w:sz w:val="22"/>
        </w:rPr>
        <w:t>《金融企业财务规则》（中华人民共和国财政部令第</w:t>
      </w:r>
      <w:r>
        <w:rPr>
          <w:rFonts w:ascii="Calibri" w:hAnsi="Calibri" w:eastAsia="Calibri"/>
          <w:b w:val="0"/>
          <w:i w:val="0"/>
          <w:color w:val="000000"/>
          <w:sz w:val="22"/>
        </w:rPr>
        <w:t>42</w:t>
      </w:r>
      <w:r>
        <w:rPr>
          <w:rFonts w:ascii="黑体" w:hAnsi="黑体" w:eastAsia="黑体"/>
          <w:b w:val="0"/>
          <w:i w:val="0"/>
          <w:color w:val="000000"/>
          <w:sz w:val="22"/>
        </w:rPr>
        <w:t>号）及其实施指南（财金</w:t>
      </w:r>
      <w:r>
        <w:rPr>
          <w:rFonts w:ascii="Calibri" w:hAnsi="Calibri" w:eastAsia="Calibri"/>
          <w:b w:val="0"/>
          <w:i w:val="0"/>
          <w:color w:val="000000"/>
          <w:sz w:val="22"/>
        </w:rPr>
        <w:t>[2007]23</w:t>
      </w:r>
      <w:r>
        <w:rPr>
          <w:rFonts w:ascii="黑体" w:hAnsi="黑体" w:eastAsia="黑体"/>
          <w:b w:val="0"/>
          <w:i w:val="0"/>
          <w:color w:val="000000"/>
          <w:sz w:val="22"/>
        </w:rPr>
        <w:t>号）的规定，按当年税后利润的</w:t>
      </w:r>
      <w:r>
        <w:rPr>
          <w:rFonts w:ascii="Calibri" w:hAnsi="Calibri" w:eastAsia="Calibri"/>
          <w:b w:val="0"/>
          <w:i w:val="0"/>
          <w:color w:val="000000"/>
          <w:sz w:val="22"/>
        </w:rPr>
        <w:t>10%</w:t>
      </w:r>
      <w:r>
        <w:rPr>
          <w:rFonts w:ascii="黑体" w:hAnsi="黑体" w:eastAsia="黑体"/>
          <w:b w:val="0"/>
          <w:i w:val="0"/>
          <w:color w:val="000000"/>
          <w:sz w:val="22"/>
        </w:rPr>
        <w:t>提取一般风险准备。当年税后利润弥补以</w:t>
      </w:r>
      <w:r>
        <w:rPr>
          <w:rFonts w:ascii="黑体" w:hAnsi="黑体" w:eastAsia="黑体"/>
          <w:b w:val="0"/>
          <w:i w:val="0"/>
          <w:color w:val="000000"/>
          <w:sz w:val="22"/>
        </w:rPr>
        <w:t>前年度亏损后仍为亏损状态，可不予提取一般风险准备。</w:t>
      </w:r>
    </w:p>
    <w:p>
      <w:pPr>
        <w:autoSpaceDN w:val="0"/>
        <w:tabs>
          <w:tab w:pos="1086"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25. </w:t>
      </w:r>
      <w:r>
        <w:rPr>
          <w:rFonts w:ascii="黑体" w:hAnsi="黑体" w:eastAsia="黑体"/>
          <w:b w:val="0"/>
          <w:i w:val="0"/>
          <w:color w:val="000000"/>
          <w:sz w:val="22"/>
        </w:rPr>
        <w:t>交易风险准备</w:t>
      </w:r>
    </w:p>
    <w:p>
      <w:pPr>
        <w:autoSpaceDN w:val="0"/>
        <w:autoSpaceDE w:val="0"/>
        <w:widowControl/>
        <w:spacing w:line="220" w:lineRule="exact" w:before="318" w:after="0"/>
        <w:ind w:left="0" w:right="0" w:firstLine="0"/>
        <w:jc w:val="center"/>
      </w:pPr>
      <w:r>
        <w:rPr>
          <w:rFonts w:ascii="黑体" w:hAnsi="黑体" w:eastAsia="黑体"/>
          <w:b w:val="0"/>
          <w:i w:val="0"/>
          <w:color w:val="000000"/>
          <w:sz w:val="22"/>
        </w:rPr>
        <w:t>本公司及下属子公司中德证券根据《中华人民共和国证券法》的规定及证监会制定的</w:t>
      </w:r>
    </w:p>
    <w:p>
      <w:pPr>
        <w:autoSpaceDN w:val="0"/>
        <w:autoSpaceDE w:val="0"/>
        <w:widowControl/>
        <w:spacing w:line="262" w:lineRule="exact" w:before="48" w:after="0"/>
        <w:ind w:left="288" w:right="288" w:firstLine="0"/>
        <w:jc w:val="center"/>
      </w:pPr>
      <w:r>
        <w:rPr>
          <w:rFonts w:ascii="黑体" w:hAnsi="黑体" w:eastAsia="黑体"/>
          <w:b w:val="0"/>
          <w:i w:val="0"/>
          <w:color w:val="000000"/>
          <w:sz w:val="22"/>
        </w:rPr>
        <w:t>《证券公司年报监管工作指引》的要求，按当年税后利润的</w:t>
      </w:r>
      <w:r>
        <w:rPr>
          <w:rFonts w:ascii="Calibri" w:hAnsi="Calibri" w:eastAsia="Calibri"/>
          <w:b w:val="0"/>
          <w:i w:val="0"/>
          <w:color w:val="000000"/>
          <w:sz w:val="22"/>
        </w:rPr>
        <w:t>10%</w:t>
      </w:r>
      <w:r>
        <w:rPr>
          <w:rFonts w:ascii="黑体" w:hAnsi="黑体" w:eastAsia="黑体"/>
          <w:b w:val="0"/>
          <w:i w:val="0"/>
          <w:color w:val="000000"/>
          <w:sz w:val="22"/>
        </w:rPr>
        <w:t>提取交易风险准备用于</w:t>
      </w:r>
      <w:r>
        <w:rPr>
          <w:rFonts w:ascii="黑体" w:hAnsi="黑体" w:eastAsia="黑体"/>
          <w:b w:val="0"/>
          <w:i w:val="0"/>
          <w:color w:val="000000"/>
          <w:sz w:val="22"/>
        </w:rPr>
        <w:t>弥补证券交易的损失。当年税后利润弥补以前年度亏损后仍为亏损状态，可不予提取</w:t>
      </w:r>
    </w:p>
    <w:p>
      <w:pPr>
        <w:autoSpaceDN w:val="0"/>
        <w:autoSpaceDE w:val="0"/>
        <w:widowControl/>
        <w:spacing w:line="222" w:lineRule="exact" w:before="62" w:after="0"/>
        <w:ind w:left="358" w:right="0" w:firstLine="0"/>
        <w:jc w:val="left"/>
      </w:pPr>
      <w:r>
        <w:rPr>
          <w:rFonts w:ascii="黑体" w:hAnsi="黑体" w:eastAsia="黑体"/>
          <w:b w:val="0"/>
          <w:i w:val="0"/>
          <w:color w:val="000000"/>
          <w:sz w:val="22"/>
        </w:rPr>
        <w:t>交易风险准备。</w:t>
      </w:r>
    </w:p>
    <w:p>
      <w:pPr>
        <w:autoSpaceDN w:val="0"/>
        <w:tabs>
          <w:tab w:pos="1086" w:val="left"/>
        </w:tabs>
        <w:autoSpaceDE w:val="0"/>
        <w:widowControl/>
        <w:spacing w:line="246" w:lineRule="exact" w:before="322" w:after="0"/>
        <w:ind w:left="358" w:right="0" w:firstLine="0"/>
        <w:jc w:val="left"/>
      </w:pPr>
      <w:r>
        <w:rPr>
          <w:rFonts w:ascii="Arial,Bold" w:hAnsi="Arial,Bold" w:eastAsia="Arial,Bold"/>
          <w:b/>
          <w:i w:val="0"/>
          <w:color w:val="000000"/>
          <w:sz w:val="22"/>
        </w:rPr>
        <w:t xml:space="preserve">26. </w:t>
      </w:r>
      <w:r>
        <w:rPr>
          <w:rFonts w:ascii="黑体" w:hAnsi="黑体" w:eastAsia="黑体"/>
          <w:b w:val="0"/>
          <w:i w:val="0"/>
          <w:color w:val="000000"/>
          <w:sz w:val="22"/>
        </w:rPr>
        <w:t>公允价值计量</w:t>
      </w:r>
    </w:p>
    <w:p>
      <w:pPr>
        <w:autoSpaceDN w:val="0"/>
        <w:autoSpaceDE w:val="0"/>
        <w:widowControl/>
        <w:spacing w:line="220" w:lineRule="exact" w:before="320" w:after="0"/>
        <w:ind w:left="0" w:right="0" w:firstLine="0"/>
        <w:jc w:val="center"/>
      </w:pPr>
      <w:r>
        <w:rPr>
          <w:rFonts w:ascii="黑体" w:hAnsi="黑体" w:eastAsia="黑体"/>
          <w:b w:val="0"/>
          <w:i w:val="0"/>
          <w:color w:val="000000"/>
          <w:sz w:val="22"/>
        </w:rPr>
        <w:t>在财务报表中以公允价值计量或披露的资产和负债，根据对公允价值计量整体而言具</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有重要意义的最低层次输入值，确定所属的公允价值层次：第一层次输入值，在计量</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日能够取得的相同资产或负债在活跃市场上未经调整的报价；第二层次输入值，除第</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一层次输入值外相关资产或负债直接或间接可观察的输入值；第三层次输入值，相关</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资产或负债的不可观察输入值。</w:t>
      </w:r>
    </w:p>
    <w:p>
      <w:pPr>
        <w:autoSpaceDN w:val="0"/>
        <w:autoSpaceDE w:val="0"/>
        <w:widowControl/>
        <w:spacing w:line="220" w:lineRule="exact" w:before="332" w:after="0"/>
        <w:ind w:left="0" w:right="0" w:firstLine="0"/>
        <w:jc w:val="center"/>
      </w:pPr>
      <w:r>
        <w:rPr>
          <w:rFonts w:ascii="黑体" w:hAnsi="黑体" w:eastAsia="黑体"/>
          <w:b w:val="0"/>
          <w:i w:val="0"/>
          <w:color w:val="000000"/>
          <w:sz w:val="22"/>
        </w:rPr>
        <w:t>每个资产负债表日，本集团对在财务报表中确认的持续以公允价值计量的资产和负债</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进行重新评估，以确定是否在公允价值计量层次之间发生转换。</w:t>
      </w:r>
    </w:p>
    <w:p>
      <w:pPr>
        <w:autoSpaceDN w:val="0"/>
        <w:autoSpaceDE w:val="0"/>
        <w:widowControl/>
        <w:spacing w:line="222" w:lineRule="exact" w:before="334" w:after="0"/>
        <w:ind w:left="0" w:right="0" w:firstLine="0"/>
        <w:jc w:val="center"/>
      </w:pPr>
      <w:r>
        <w:rPr>
          <w:rFonts w:ascii="黑体" w:hAnsi="黑体" w:eastAsia="黑体"/>
          <w:b w:val="0"/>
          <w:i w:val="0"/>
          <w:color w:val="000000"/>
          <w:sz w:val="22"/>
        </w:rPr>
        <w:t>本集团估计公允价值时，考虑市场参与者在计量日对相关资产或负债进行定价时考虑</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的特征（包括资产状况及所在位置、对资产出售或者使用的限制等），并采用在当前情</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况下适用并且有足够可利用数据和其他信息支持的估值技术。使用的估值技术主要包</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括市场法、收益法和成本法。</w:t>
      </w:r>
    </w:p>
    <w:p>
      <w:pPr>
        <w:autoSpaceDN w:val="0"/>
        <w:autoSpaceDE w:val="0"/>
        <w:widowControl/>
        <w:spacing w:line="233" w:lineRule="auto" w:before="3548" w:after="0"/>
        <w:ind w:left="0" w:right="0" w:firstLine="0"/>
        <w:jc w:val="center"/>
      </w:pPr>
      <w:r>
        <w:rPr>
          <w:rFonts w:ascii="Arial" w:hAnsi="Arial" w:eastAsia="Arial"/>
          <w:b w:val="0"/>
          <w:i w:val="0"/>
          <w:color w:val="000000"/>
          <w:sz w:val="20"/>
        </w:rPr>
        <w:t xml:space="preserve">190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4"/>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27. </w:t>
      </w:r>
      <w:r>
        <w:rPr>
          <w:rFonts w:ascii="黑体" w:hAnsi="黑体" w:eastAsia="黑体"/>
          <w:b w:val="0"/>
          <w:i w:val="0"/>
          <w:color w:val="000000"/>
          <w:sz w:val="22"/>
        </w:rPr>
        <w:t>关联方</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一方控制、共同控制另一方或对另一方施加重大影响，以及两方或两方以上同受一方</w:t>
      </w:r>
      <w:r>
        <w:rPr>
          <w:rFonts w:ascii="黑体" w:hAnsi="黑体" w:eastAsia="黑体"/>
          <w:b w:val="0"/>
          <w:i w:val="0"/>
          <w:color w:val="000000"/>
          <w:sz w:val="22"/>
        </w:rPr>
        <w:t>控制、共同控制的，构成关联方。关联方可为个人或企业。仅仅同受国家控制而不存</w:t>
      </w:r>
      <w:r>
        <w:rPr>
          <w:rFonts w:ascii="黑体" w:hAnsi="黑体" w:eastAsia="黑体"/>
          <w:b w:val="0"/>
          <w:i w:val="0"/>
          <w:color w:val="000000"/>
          <w:sz w:val="22"/>
        </w:rPr>
        <w:t>在其他关联方关系的企业，不构成关联方。</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此外，本公司同时根据证监会颁布的《上市公司信息披露管理办法》确定本集团或本</w:t>
      </w:r>
      <w:r>
        <w:rPr>
          <w:rFonts w:ascii="黑体" w:hAnsi="黑体" w:eastAsia="黑体"/>
          <w:b w:val="0"/>
          <w:i w:val="0"/>
          <w:color w:val="000000"/>
          <w:sz w:val="22"/>
        </w:rPr>
        <w:t>公司的关联方。</w:t>
      </w:r>
    </w:p>
    <w:p>
      <w:pPr>
        <w:autoSpaceDN w:val="0"/>
        <w:tabs>
          <w:tab w:pos="1086" w:val="left"/>
        </w:tabs>
        <w:autoSpaceDE w:val="0"/>
        <w:widowControl/>
        <w:spacing w:line="246" w:lineRule="exact" w:before="324" w:after="0"/>
        <w:ind w:left="358" w:right="0" w:firstLine="0"/>
        <w:jc w:val="left"/>
      </w:pPr>
      <w:r>
        <w:rPr>
          <w:rFonts w:ascii="Arial,Bold" w:hAnsi="Arial,Bold" w:eastAsia="Arial,Bold"/>
          <w:b/>
          <w:i w:val="0"/>
          <w:color w:val="000000"/>
          <w:sz w:val="22"/>
        </w:rPr>
        <w:t xml:space="preserve">28. </w:t>
      </w:r>
      <w:r>
        <w:rPr>
          <w:rFonts w:ascii="黑体" w:hAnsi="黑体" w:eastAsia="黑体"/>
          <w:b w:val="0"/>
          <w:i w:val="0"/>
          <w:color w:val="000000"/>
          <w:sz w:val="22"/>
        </w:rPr>
        <w:t>融资融券业务</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融资融券业务，是指本集团向客户出借资金供其买入证券或者出借证券供其卖出，并</w:t>
      </w:r>
      <w:r>
        <w:rPr>
          <w:rFonts w:ascii="黑体" w:hAnsi="黑体" w:eastAsia="黑体"/>
          <w:b w:val="0"/>
          <w:i w:val="0"/>
          <w:color w:val="000000"/>
          <w:sz w:val="22"/>
        </w:rPr>
        <w:t>由客户交存相应担保物的经营活动。本集团发生的融资融券业务，分为融资业务和融</w:t>
      </w:r>
      <w:r>
        <w:rPr>
          <w:rFonts w:ascii="黑体" w:hAnsi="黑体" w:eastAsia="黑体"/>
          <w:b w:val="0"/>
          <w:i w:val="0"/>
          <w:color w:val="000000"/>
          <w:sz w:val="22"/>
        </w:rPr>
        <w:t>券业务两类。</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本集团对于融出的资金，确认应收债权；本集团对于融出的证券，不终止确认该证</w:t>
      </w:r>
      <w:r>
        <w:rPr>
          <w:rFonts w:ascii="黑体" w:hAnsi="黑体" w:eastAsia="黑体"/>
          <w:b w:val="0"/>
          <w:i w:val="0"/>
          <w:color w:val="000000"/>
          <w:sz w:val="22"/>
        </w:rPr>
        <w:t>券；对于融出的资金和证券均按照实际利率法确认相应利息收入。</w:t>
      </w:r>
    </w:p>
    <w:p>
      <w:pPr>
        <w:autoSpaceDN w:val="0"/>
        <w:autoSpaceDE w:val="0"/>
        <w:widowControl/>
        <w:spacing w:line="308" w:lineRule="exact" w:before="246" w:after="0"/>
        <w:ind w:left="358" w:right="288" w:firstLine="0"/>
        <w:jc w:val="left"/>
      </w:pPr>
      <w:r>
        <w:rPr>
          <w:rFonts w:ascii="黑体" w:hAnsi="黑体" w:eastAsia="黑体"/>
          <w:b w:val="0"/>
          <w:i w:val="0"/>
          <w:color w:val="000000"/>
          <w:sz w:val="22"/>
        </w:rPr>
        <w:t>本集团对融出的资金定期进行减值评估。融出资金减值相关的会计政策详见附注三、</w:t>
      </w:r>
      <w:r>
        <w:rPr>
          <w:rFonts w:ascii="Calibri" w:hAnsi="Calibri" w:eastAsia="Calibri"/>
          <w:b w:val="0"/>
          <w:i w:val="0"/>
          <w:color w:val="000000"/>
          <w:sz w:val="22"/>
        </w:rPr>
        <w:t>9</w:t>
      </w:r>
      <w:r>
        <w:rPr>
          <w:rFonts w:ascii="黑体" w:hAnsi="黑体" w:eastAsia="黑体"/>
          <w:b w:val="0"/>
          <w:i w:val="0"/>
          <w:color w:val="000000"/>
          <w:sz w:val="22"/>
        </w:rPr>
        <w:t>。</w:t>
      </w:r>
    </w:p>
    <w:p>
      <w:pPr>
        <w:autoSpaceDN w:val="0"/>
        <w:tabs>
          <w:tab w:pos="1086" w:val="left"/>
        </w:tabs>
        <w:autoSpaceDE w:val="0"/>
        <w:widowControl/>
        <w:spacing w:line="246" w:lineRule="exact" w:before="298" w:after="0"/>
        <w:ind w:left="358" w:right="0" w:firstLine="0"/>
        <w:jc w:val="left"/>
      </w:pPr>
      <w:r>
        <w:rPr>
          <w:rFonts w:ascii="Arial,Bold" w:hAnsi="Arial,Bold" w:eastAsia="Arial,Bold"/>
          <w:b/>
          <w:i w:val="0"/>
          <w:color w:val="000000"/>
          <w:sz w:val="22"/>
        </w:rPr>
        <w:t xml:space="preserve">29. </w:t>
      </w:r>
      <w:r>
        <w:rPr>
          <w:rFonts w:ascii="黑体" w:hAnsi="黑体" w:eastAsia="黑体"/>
          <w:b w:val="0"/>
          <w:i w:val="0"/>
          <w:color w:val="000000"/>
          <w:sz w:val="22"/>
        </w:rPr>
        <w:t>转融通业务</w:t>
      </w:r>
    </w:p>
    <w:p>
      <w:pPr>
        <w:autoSpaceDN w:val="0"/>
        <w:autoSpaceDE w:val="0"/>
        <w:widowControl/>
        <w:spacing w:line="286" w:lineRule="exact" w:before="254" w:after="0"/>
        <w:ind w:left="358" w:right="356" w:firstLine="0"/>
        <w:jc w:val="both"/>
      </w:pPr>
      <w:r>
        <w:rPr>
          <w:rFonts w:ascii="黑体" w:hAnsi="黑体" w:eastAsia="黑体"/>
          <w:b w:val="0"/>
          <w:i w:val="0"/>
          <w:color w:val="000000"/>
          <w:sz w:val="22"/>
        </w:rPr>
        <w:t>转融通业务是指中国证券金融股份有限公司（以下简称“证金公司”）将自有或者依法</w:t>
      </w:r>
      <w:r>
        <w:rPr>
          <w:rFonts w:ascii="黑体" w:hAnsi="黑体" w:eastAsia="黑体"/>
          <w:b w:val="0"/>
          <w:i w:val="0"/>
          <w:color w:val="000000"/>
          <w:sz w:val="22"/>
        </w:rPr>
        <w:t>筹集的资金或证券出借给本集团，供本集团办理融资融券业务的经营活动。本集团发</w:t>
      </w:r>
      <w:r>
        <w:rPr>
          <w:rFonts w:ascii="黑体" w:hAnsi="黑体" w:eastAsia="黑体"/>
          <w:b w:val="0"/>
          <w:i w:val="0"/>
          <w:color w:val="000000"/>
          <w:sz w:val="22"/>
        </w:rPr>
        <w:t>生的转融通业务包括转融券业务。</w:t>
      </w:r>
    </w:p>
    <w:p>
      <w:pPr>
        <w:autoSpaceDN w:val="0"/>
        <w:autoSpaceDE w:val="0"/>
        <w:widowControl/>
        <w:spacing w:line="286" w:lineRule="exact" w:before="266" w:after="0"/>
        <w:ind w:left="358" w:right="356" w:firstLine="0"/>
        <w:jc w:val="both"/>
      </w:pPr>
      <w:r>
        <w:rPr>
          <w:rFonts w:ascii="黑体" w:hAnsi="黑体" w:eastAsia="黑体"/>
          <w:b w:val="0"/>
          <w:i w:val="0"/>
          <w:color w:val="000000"/>
          <w:sz w:val="22"/>
        </w:rPr>
        <w:t>本集团对于融入的资金，确认对出借方的负债，并确认相应利息支出。本集团对于融</w:t>
      </w:r>
      <w:r>
        <w:rPr>
          <w:rFonts w:ascii="黑体" w:hAnsi="黑体" w:eastAsia="黑体"/>
          <w:b w:val="0"/>
          <w:i w:val="0"/>
          <w:color w:val="000000"/>
          <w:sz w:val="22"/>
        </w:rPr>
        <w:t>入的证券，由于其主要收益或风险不由本集团享有或承担，不确认该证券，确认相应</w:t>
      </w:r>
      <w:r>
        <w:rPr>
          <w:rFonts w:ascii="黑体" w:hAnsi="黑体" w:eastAsia="黑体"/>
          <w:b w:val="0"/>
          <w:i w:val="0"/>
          <w:color w:val="000000"/>
          <w:sz w:val="22"/>
        </w:rPr>
        <w:t>利息支出。</w:t>
      </w:r>
    </w:p>
    <w:p>
      <w:pPr>
        <w:autoSpaceDN w:val="0"/>
        <w:autoSpaceDE w:val="0"/>
        <w:widowControl/>
        <w:spacing w:line="233" w:lineRule="auto" w:before="4992" w:after="0"/>
        <w:ind w:left="0" w:right="0" w:firstLine="0"/>
        <w:jc w:val="center"/>
      </w:pPr>
      <w:r>
        <w:rPr>
          <w:rFonts w:ascii="Arial" w:hAnsi="Arial" w:eastAsia="Arial"/>
          <w:b w:val="0"/>
          <w:i w:val="0"/>
          <w:color w:val="000000"/>
          <w:sz w:val="20"/>
        </w:rPr>
        <w:t xml:space="preserve">191 </w:t>
      </w:r>
    </w:p>
    <w:p>
      <w:pPr>
        <w:sectPr>
          <w:pgSz w:w="11906" w:h="16841"/>
          <w:pgMar w:top="1002"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86"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30. </w:t>
      </w:r>
      <w:r>
        <w:rPr>
          <w:rFonts w:ascii="黑体" w:hAnsi="黑体" w:eastAsia="黑体"/>
          <w:b w:val="0"/>
          <w:i w:val="0"/>
          <w:color w:val="000000"/>
          <w:sz w:val="22"/>
        </w:rPr>
        <w:t>分部报告</w:t>
      </w:r>
    </w:p>
    <w:p>
      <w:pPr>
        <w:autoSpaceDN w:val="0"/>
        <w:autoSpaceDE w:val="0"/>
        <w:widowControl/>
        <w:spacing w:line="286" w:lineRule="exact" w:before="250" w:after="0"/>
        <w:ind w:left="358" w:right="356" w:firstLine="0"/>
        <w:jc w:val="both"/>
      </w:pPr>
      <w:r>
        <w:rPr>
          <w:rFonts w:ascii="黑体" w:hAnsi="黑体" w:eastAsia="黑体"/>
          <w:b w:val="0"/>
          <w:i w:val="0"/>
          <w:color w:val="000000"/>
          <w:sz w:val="22"/>
        </w:rPr>
        <w:t>本集团以内部组织结构、管理要求、内部报告制度为依据确定经营分部。如果两个或</w:t>
      </w:r>
      <w:r>
        <w:rPr>
          <w:rFonts w:ascii="黑体" w:hAnsi="黑体" w:eastAsia="黑体"/>
          <w:b w:val="0"/>
          <w:i w:val="0"/>
          <w:color w:val="000000"/>
          <w:sz w:val="22"/>
        </w:rPr>
        <w:t>多个经营分部存在相似经济特征且同时在各单项产品或劳务的性质、生产过程的性</w:t>
      </w:r>
      <w:r>
        <w:rPr>
          <w:rFonts w:ascii="黑体" w:hAnsi="黑体" w:eastAsia="黑体"/>
          <w:b w:val="0"/>
          <w:i w:val="0"/>
          <w:color w:val="000000"/>
          <w:sz w:val="22"/>
        </w:rPr>
        <w:t>质、产品或劳务的客户类型、销售产品或提供劳务的方式、生产产品及提供劳务受法</w:t>
      </w:r>
      <w:r>
        <w:rPr>
          <w:rFonts w:ascii="黑体" w:hAnsi="黑体" w:eastAsia="黑体"/>
          <w:b w:val="0"/>
          <w:i w:val="0"/>
          <w:color w:val="000000"/>
          <w:sz w:val="22"/>
        </w:rPr>
        <w:t>律及行政法规的影响等方面具有相同或相似性的，可以合并为一个经营分部。本集团</w:t>
      </w:r>
      <w:r>
        <w:rPr>
          <w:rFonts w:ascii="黑体" w:hAnsi="黑体" w:eastAsia="黑体"/>
          <w:b w:val="0"/>
          <w:i w:val="0"/>
          <w:color w:val="000000"/>
          <w:sz w:val="22"/>
        </w:rPr>
        <w:t>以经营分部为基础考虑重要性原则后确定报告分部。</w:t>
      </w:r>
    </w:p>
    <w:p>
      <w:pPr>
        <w:autoSpaceDN w:val="0"/>
        <w:autoSpaceDE w:val="0"/>
        <w:widowControl/>
        <w:spacing w:line="284" w:lineRule="exact" w:before="272" w:after="0"/>
        <w:ind w:left="358" w:right="288" w:firstLine="0"/>
        <w:jc w:val="left"/>
      </w:pPr>
      <w:r>
        <w:rPr>
          <w:rFonts w:ascii="黑体" w:hAnsi="黑体" w:eastAsia="黑体"/>
          <w:b w:val="0"/>
          <w:i w:val="0"/>
          <w:color w:val="000000"/>
          <w:sz w:val="22"/>
        </w:rPr>
        <w:t>本集团在编制分部报告时，分部间交易收入按实际交易价格为基础计量。编制分部报</w:t>
      </w:r>
      <w:r>
        <w:rPr>
          <w:rFonts w:ascii="黑体" w:hAnsi="黑体" w:eastAsia="黑体"/>
          <w:b w:val="0"/>
          <w:i w:val="0"/>
          <w:color w:val="000000"/>
          <w:sz w:val="22"/>
        </w:rPr>
        <w:t>告所采用的会计政策与编制本集团财务报表所采用的会计政策一致。</w:t>
      </w:r>
    </w:p>
    <w:p>
      <w:pPr>
        <w:autoSpaceDN w:val="0"/>
        <w:tabs>
          <w:tab w:pos="1086" w:val="left"/>
        </w:tabs>
        <w:autoSpaceDE w:val="0"/>
        <w:widowControl/>
        <w:spacing w:line="246" w:lineRule="exact" w:before="322" w:after="0"/>
        <w:ind w:left="358" w:right="0" w:firstLine="0"/>
        <w:jc w:val="left"/>
      </w:pPr>
      <w:r>
        <w:rPr>
          <w:rFonts w:ascii="Arial,Bold" w:hAnsi="Arial,Bold" w:eastAsia="Arial,Bold"/>
          <w:b/>
          <w:i w:val="0"/>
          <w:color w:val="000000"/>
          <w:sz w:val="22"/>
        </w:rPr>
        <w:t xml:space="preserve">31. </w:t>
      </w:r>
      <w:r>
        <w:rPr>
          <w:rFonts w:ascii="黑体" w:hAnsi="黑体" w:eastAsia="黑体"/>
          <w:b w:val="0"/>
          <w:i w:val="0"/>
          <w:color w:val="000000"/>
          <w:sz w:val="22"/>
        </w:rPr>
        <w:t>重大会计判断和估计</w:t>
      </w:r>
    </w:p>
    <w:p>
      <w:pPr>
        <w:autoSpaceDN w:val="0"/>
        <w:autoSpaceDE w:val="0"/>
        <w:widowControl/>
        <w:spacing w:line="286" w:lineRule="exact" w:before="254" w:after="0"/>
        <w:ind w:left="358" w:right="356" w:firstLine="0"/>
        <w:jc w:val="both"/>
      </w:pPr>
      <w:r>
        <w:rPr>
          <w:rFonts w:ascii="黑体" w:hAnsi="黑体" w:eastAsia="黑体"/>
          <w:b w:val="0"/>
          <w:i w:val="0"/>
          <w:color w:val="000000"/>
          <w:sz w:val="22"/>
        </w:rPr>
        <w:t>编制财务报表要求管理层作出判断、估计和假设，这些判断、估计和假设会影响收</w:t>
      </w:r>
      <w:r>
        <w:rPr>
          <w:rFonts w:ascii="黑体" w:hAnsi="黑体" w:eastAsia="黑体"/>
          <w:b w:val="0"/>
          <w:i w:val="0"/>
          <w:color w:val="000000"/>
          <w:sz w:val="22"/>
        </w:rPr>
        <w:t>入、费用、资产和负债的列报金额及其披露，以及资产负债表日或有负债的披露。这</w:t>
      </w:r>
      <w:r>
        <w:rPr>
          <w:rFonts w:ascii="黑体" w:hAnsi="黑体" w:eastAsia="黑体"/>
          <w:b w:val="0"/>
          <w:i w:val="0"/>
          <w:color w:val="000000"/>
          <w:sz w:val="22"/>
        </w:rPr>
        <w:t>些假设和估计的不确定性所导致的结果可能造成对未来受影响的资产或负债的账面价</w:t>
      </w:r>
      <w:r>
        <w:rPr>
          <w:rFonts w:ascii="黑体" w:hAnsi="黑体" w:eastAsia="黑体"/>
          <w:b w:val="0"/>
          <w:i w:val="0"/>
          <w:color w:val="000000"/>
          <w:sz w:val="22"/>
        </w:rPr>
        <w:t xml:space="preserve">值进行重大调整。 </w:t>
      </w:r>
    </w:p>
    <w:p>
      <w:pPr>
        <w:autoSpaceDN w:val="0"/>
        <w:autoSpaceDE w:val="0"/>
        <w:widowControl/>
        <w:spacing w:line="220" w:lineRule="exact" w:before="334" w:after="0"/>
        <w:ind w:left="358" w:right="0" w:firstLine="0"/>
        <w:jc w:val="left"/>
      </w:pPr>
      <w:r>
        <w:rPr>
          <w:rFonts w:ascii="黑体" w:hAnsi="黑体" w:eastAsia="黑体"/>
          <w:b w:val="0"/>
          <w:i w:val="0"/>
          <w:color w:val="000000"/>
          <w:sz w:val="22"/>
        </w:rPr>
        <w:t>判断</w:t>
      </w:r>
    </w:p>
    <w:p>
      <w:pPr>
        <w:autoSpaceDN w:val="0"/>
        <w:autoSpaceDE w:val="0"/>
        <w:widowControl/>
        <w:spacing w:line="286" w:lineRule="exact" w:before="266" w:after="0"/>
        <w:ind w:left="358" w:right="288" w:firstLine="0"/>
        <w:jc w:val="left"/>
      </w:pPr>
      <w:r>
        <w:rPr>
          <w:rFonts w:ascii="黑体" w:hAnsi="黑体" w:eastAsia="黑体"/>
          <w:b w:val="0"/>
          <w:i w:val="0"/>
          <w:color w:val="000000"/>
          <w:sz w:val="22"/>
        </w:rPr>
        <w:t>在应用本集团的会计政策的过程中，管理层作出了以下对财务报表所确认的金额具有</w:t>
      </w:r>
      <w:r>
        <w:rPr>
          <w:rFonts w:ascii="黑体" w:hAnsi="黑体" w:eastAsia="黑体"/>
          <w:b w:val="0"/>
          <w:i w:val="0"/>
          <w:color w:val="000000"/>
          <w:sz w:val="22"/>
        </w:rPr>
        <w:t>重大影响的判断：</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对结构化主体的合并</w:t>
      </w:r>
      <w:r>
        <w:br/>
      </w:r>
      <w:r>
        <w:rPr>
          <w:rFonts w:ascii="黑体" w:hAnsi="黑体" w:eastAsia="黑体"/>
          <w:b w:val="0"/>
          <w:i w:val="0"/>
          <w:color w:val="000000"/>
          <w:sz w:val="22"/>
        </w:rPr>
        <w:t>在确定是否合并结构化主体时，本集团主要考虑对这些主体（包括私募基金和资产管</w:t>
      </w:r>
      <w:r>
        <w:rPr>
          <w:rFonts w:ascii="黑体" w:hAnsi="黑体" w:eastAsia="黑体"/>
          <w:b w:val="0"/>
          <w:i w:val="0"/>
          <w:color w:val="000000"/>
          <w:sz w:val="22"/>
        </w:rPr>
        <w:t>理计划）是否具有控制权。本集团作为私募基金、资产管理计划的管理人或通过合同</w:t>
      </w:r>
      <w:r>
        <w:rPr>
          <w:rFonts w:ascii="黑体" w:hAnsi="黑体" w:eastAsia="黑体"/>
          <w:b w:val="0"/>
          <w:i w:val="0"/>
          <w:color w:val="000000"/>
          <w:sz w:val="22"/>
        </w:rPr>
        <w:t>协议拥有对该结构化主体的权力时，本集团将综合考虑其在结构化主体中拥有的相关</w:t>
      </w:r>
      <w:r>
        <w:rPr>
          <w:rFonts w:ascii="黑体" w:hAnsi="黑体" w:eastAsia="黑体"/>
          <w:b w:val="0"/>
          <w:i w:val="0"/>
          <w:color w:val="000000"/>
          <w:sz w:val="22"/>
        </w:rPr>
        <w:t>权力、取得的投资收益和管理费收入等全部可变回报，以及作为结构化主体的管理人</w:t>
      </w:r>
      <w:r>
        <w:rPr>
          <w:rFonts w:ascii="黑体" w:hAnsi="黑体" w:eastAsia="黑体"/>
          <w:b w:val="0"/>
          <w:i w:val="0"/>
          <w:color w:val="000000"/>
          <w:sz w:val="22"/>
        </w:rPr>
        <w:t>在何种情况下可以被替换等因素对本集团是否控制结构化主体作出综合判断。如果本</w:t>
      </w:r>
      <w:r>
        <w:rPr>
          <w:rFonts w:ascii="黑体" w:hAnsi="黑体" w:eastAsia="黑体"/>
          <w:b w:val="0"/>
          <w:i w:val="0"/>
          <w:color w:val="000000"/>
          <w:sz w:val="22"/>
        </w:rPr>
        <w:t>集团面临的可变回报的风险重大并且本集团对于结构化主体的权力将影响本集团取得</w:t>
      </w:r>
      <w:r>
        <w:rPr>
          <w:rFonts w:ascii="黑体" w:hAnsi="黑体" w:eastAsia="黑体"/>
          <w:b w:val="0"/>
          <w:i w:val="0"/>
          <w:color w:val="000000"/>
          <w:sz w:val="22"/>
        </w:rPr>
        <w:t>的可变回报时，本集团合并该等结构化主体。</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金融资产的分类</w:t>
      </w:r>
      <w:r>
        <w:br/>
      </w:r>
      <w:r>
        <w:rPr>
          <w:rFonts w:ascii="黑体" w:hAnsi="黑体" w:eastAsia="黑体"/>
          <w:b w:val="0"/>
          <w:i w:val="0"/>
          <w:color w:val="000000"/>
          <w:sz w:val="22"/>
        </w:rPr>
        <w:t>在确定金融资产的分类时，本集团主要考虑金融资产的业务模式和合同现金流量特</w:t>
      </w:r>
      <w:r>
        <w:rPr>
          <w:rFonts w:ascii="黑体" w:hAnsi="黑体" w:eastAsia="黑体"/>
          <w:b w:val="0"/>
          <w:i w:val="0"/>
          <w:color w:val="000000"/>
          <w:sz w:val="22"/>
        </w:rPr>
        <w:t>征。本集团判断管理金融资产的业务模式时主要考虑评价和向关键管理人员报告金融</w:t>
      </w:r>
      <w:r>
        <w:rPr>
          <w:rFonts w:ascii="黑体" w:hAnsi="黑体" w:eastAsia="黑体"/>
          <w:b w:val="0"/>
          <w:i w:val="0"/>
          <w:color w:val="000000"/>
          <w:sz w:val="22"/>
        </w:rPr>
        <w:t>资产业绩的方式、影响金融资产业绩的风险及其管理方式以及相关业务管理人员获得</w:t>
      </w:r>
      <w:r>
        <w:rPr>
          <w:rFonts w:ascii="黑体" w:hAnsi="黑体" w:eastAsia="黑体"/>
          <w:b w:val="0"/>
          <w:i w:val="0"/>
          <w:color w:val="000000"/>
          <w:sz w:val="22"/>
        </w:rPr>
        <w:t>报酬的方式；评估合同现金流量特征与基本借贷安排是否一致时，本集团主要考虑本</w:t>
      </w:r>
      <w:r>
        <w:rPr>
          <w:rFonts w:ascii="黑体" w:hAnsi="黑体" w:eastAsia="黑体"/>
          <w:b w:val="0"/>
          <w:i w:val="0"/>
          <w:color w:val="000000"/>
          <w:sz w:val="22"/>
        </w:rPr>
        <w:t>金金额在金融资产存续期内是否发生变动，利息是否包括对货币时间价值、与特定时</w:t>
      </w:r>
      <w:r>
        <w:rPr>
          <w:rFonts w:ascii="黑体" w:hAnsi="黑体" w:eastAsia="黑体"/>
          <w:b w:val="0"/>
          <w:i w:val="0"/>
          <w:color w:val="000000"/>
          <w:sz w:val="22"/>
        </w:rPr>
        <w:t>期未偿付本金金额相关的信用风险、以及其他基本借贷风险、成本和利润的对价。</w:t>
      </w:r>
    </w:p>
    <w:p>
      <w:pPr>
        <w:autoSpaceDN w:val="0"/>
        <w:autoSpaceDE w:val="0"/>
        <w:widowControl/>
        <w:spacing w:line="233" w:lineRule="auto" w:before="2408" w:after="0"/>
        <w:ind w:left="0" w:right="0" w:firstLine="0"/>
        <w:jc w:val="center"/>
      </w:pPr>
      <w:r>
        <w:rPr>
          <w:rFonts w:ascii="Arial" w:hAnsi="Arial" w:eastAsia="Arial"/>
          <w:b w:val="0"/>
          <w:i w:val="0"/>
          <w:color w:val="000000"/>
          <w:sz w:val="20"/>
        </w:rPr>
        <w:t xml:space="preserve">192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31.</w:t>
      </w:r>
      <w:r>
        <w:rPr>
          <w:rFonts w:ascii="黑体" w:hAnsi="黑体" w:eastAsia="黑体"/>
          <w:b w:val="0"/>
          <w:i w:val="0"/>
          <w:color w:val="000000"/>
          <w:sz w:val="22"/>
        </w:rPr>
        <w:t>重大会计判断和估计（续）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判断（续）</w:t>
      </w:r>
    </w:p>
    <w:p>
      <w:pPr>
        <w:autoSpaceDN w:val="0"/>
        <w:autoSpaceDE w:val="0"/>
        <w:widowControl/>
        <w:spacing w:line="286" w:lineRule="exact" w:before="268" w:after="0"/>
        <w:ind w:left="358" w:right="2592" w:hanging="10"/>
        <w:jc w:val="left"/>
      </w:pPr>
      <w:r>
        <w:rPr>
          <w:rFonts w:ascii="黑体" w:hAnsi="黑体" w:eastAsia="黑体"/>
          <w:b w:val="0"/>
          <w:i w:val="0"/>
          <w:color w:val="000000"/>
          <w:sz w:val="22"/>
        </w:rPr>
        <w:t>预期信用损失的计量</w:t>
      </w:r>
      <w:r>
        <w:br/>
      </w:r>
      <w:r>
        <w:rPr>
          <w:rFonts w:ascii="黑体" w:hAnsi="黑体" w:eastAsia="黑体"/>
          <w:b w:val="0"/>
          <w:i w:val="0"/>
          <w:color w:val="000000"/>
          <w:sz w:val="22"/>
        </w:rPr>
        <w:t>在对预期信用损失进行计量的过程中需要运用如下重要判断：</w:t>
      </w:r>
    </w:p>
    <w:p>
      <w:pPr>
        <w:autoSpaceDN w:val="0"/>
        <w:tabs>
          <w:tab w:pos="778" w:val="left"/>
        </w:tabs>
        <w:autoSpaceDE w:val="0"/>
        <w:widowControl/>
        <w:spacing w:line="286" w:lineRule="exact" w:before="284"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对信用风险是否显著增加的判断</w:t>
      </w:r>
      <w:r>
        <w:br/>
      </w:r>
      <w:r>
        <w:rPr>
          <w:rFonts w:ascii="黑体" w:hAnsi="黑体" w:eastAsia="黑体"/>
          <w:b w:val="0"/>
          <w:i w:val="0"/>
          <w:color w:val="000000"/>
          <w:sz w:val="22"/>
        </w:rPr>
        <w:t>本集团根据金融工具初始确认后信用风险的变化使用三阶段减值模型对金融工具的预</w:t>
      </w:r>
      <w:r>
        <w:rPr>
          <w:rFonts w:ascii="黑体" w:hAnsi="黑体" w:eastAsia="黑体"/>
          <w:b w:val="0"/>
          <w:i w:val="0"/>
          <w:color w:val="000000"/>
          <w:sz w:val="22"/>
        </w:rPr>
        <w:t>期信用损失进行计量。本集团对处于第一阶段的金融工具按照相当于该金融工具未来</w:t>
      </w:r>
      <w:r>
        <w:rPr>
          <w:rFonts w:ascii="Calibri" w:hAnsi="Calibri" w:eastAsia="Calibri"/>
          <w:b w:val="0"/>
          <w:i w:val="0"/>
          <w:color w:val="000000"/>
          <w:sz w:val="22"/>
        </w:rPr>
        <w:t>12</w:t>
      </w:r>
      <w:r>
        <w:rPr>
          <w:rFonts w:ascii="黑体" w:hAnsi="黑体" w:eastAsia="黑体"/>
          <w:b w:val="0"/>
          <w:i w:val="0"/>
          <w:color w:val="000000"/>
          <w:sz w:val="22"/>
        </w:rPr>
        <w:t>个月内预期信用损失的金额计量损失准备，对处于第二阶段和第三阶段的金融工具</w:t>
      </w:r>
      <w:r>
        <w:rPr>
          <w:rFonts w:ascii="黑体" w:hAnsi="黑体" w:eastAsia="黑体"/>
          <w:b w:val="0"/>
          <w:i w:val="0"/>
          <w:color w:val="000000"/>
          <w:sz w:val="22"/>
        </w:rPr>
        <w:t>按照相当于该金融工具整个存续期内预期信用损失的金额计量损失准备。在评估金融</w:t>
      </w:r>
      <w:r>
        <w:rPr>
          <w:rFonts w:ascii="黑体" w:hAnsi="黑体" w:eastAsia="黑体"/>
          <w:b w:val="0"/>
          <w:i w:val="0"/>
          <w:color w:val="000000"/>
          <w:sz w:val="22"/>
        </w:rPr>
        <w:t>工具的信用风险是否显著增加时，本集团充分考虑反映金融工具的信用风险是否发生</w:t>
      </w:r>
      <w:r>
        <w:rPr>
          <w:rFonts w:ascii="黑体" w:hAnsi="黑体" w:eastAsia="黑体"/>
          <w:b w:val="0"/>
          <w:i w:val="0"/>
          <w:color w:val="000000"/>
          <w:sz w:val="22"/>
        </w:rPr>
        <w:t>显著变化的各种合理且有依据的信息，包括前瞻性信息。当触发一个或多个定量和定</w:t>
      </w:r>
      <w:r>
        <w:rPr>
          <w:rFonts w:ascii="黑体" w:hAnsi="黑体" w:eastAsia="黑体"/>
          <w:b w:val="0"/>
          <w:i w:val="0"/>
          <w:color w:val="000000"/>
          <w:sz w:val="22"/>
        </w:rPr>
        <w:t>性指标时，本集团认为金融工具的信用风险已发生显著增加。本集团在评估信用风险</w:t>
      </w:r>
      <w:r>
        <w:rPr>
          <w:rFonts w:ascii="黑体" w:hAnsi="黑体" w:eastAsia="黑体"/>
          <w:b w:val="0"/>
          <w:i w:val="0"/>
          <w:color w:val="000000"/>
          <w:sz w:val="22"/>
        </w:rPr>
        <w:t>是否显著增加时考虑的因素的详细信息已于附注三、</w:t>
      </w:r>
      <w:r>
        <w:rPr>
          <w:rFonts w:ascii="Calibri" w:hAnsi="Calibri" w:eastAsia="Calibri"/>
          <w:b w:val="0"/>
          <w:i w:val="0"/>
          <w:color w:val="000000"/>
          <w:sz w:val="22"/>
        </w:rPr>
        <w:t>9</w:t>
      </w:r>
      <w:r>
        <w:rPr>
          <w:rFonts w:ascii="黑体" w:hAnsi="黑体" w:eastAsia="黑体"/>
          <w:b w:val="0"/>
          <w:i w:val="0"/>
          <w:color w:val="000000"/>
          <w:sz w:val="22"/>
        </w:rPr>
        <w:t>披露。</w:t>
      </w:r>
    </w:p>
    <w:p>
      <w:pPr>
        <w:autoSpaceDN w:val="0"/>
        <w:tabs>
          <w:tab w:pos="778" w:val="left"/>
        </w:tabs>
        <w:autoSpaceDE w:val="0"/>
        <w:widowControl/>
        <w:spacing w:line="282" w:lineRule="exact" w:before="268"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建立具有类似信用风险特征的资产组</w:t>
      </w:r>
      <w:r>
        <w:br/>
      </w:r>
      <w:r>
        <w:rPr>
          <w:rFonts w:ascii="黑体" w:hAnsi="黑体" w:eastAsia="黑体"/>
          <w:b w:val="0"/>
          <w:i w:val="0"/>
          <w:color w:val="000000"/>
          <w:sz w:val="22"/>
        </w:rPr>
        <w:t>在组合基础上对预期信用损失进行评估时，本集团以共同风险特征为依据，将金融工</w:t>
      </w:r>
      <w:r>
        <w:rPr>
          <w:rFonts w:ascii="黑体" w:hAnsi="黑体" w:eastAsia="黑体"/>
          <w:b w:val="0"/>
          <w:i w:val="0"/>
          <w:color w:val="000000"/>
          <w:sz w:val="22"/>
        </w:rPr>
        <w:t>具划分为不同组别。同时，本集团通过对同一组别内金融工具是否仍具有共同风险特</w:t>
      </w:r>
      <w:r>
        <w:rPr>
          <w:rFonts w:ascii="黑体" w:hAnsi="黑体" w:eastAsia="黑体"/>
          <w:b w:val="0"/>
          <w:i w:val="0"/>
          <w:color w:val="000000"/>
          <w:sz w:val="22"/>
        </w:rPr>
        <w:t>征进行持续评估，以确保信用风险特征发生变化时对金融工具资产组合进行重新划</w:t>
      </w:r>
      <w:r>
        <w:rPr>
          <w:rFonts w:ascii="黑体" w:hAnsi="黑体" w:eastAsia="黑体"/>
          <w:b w:val="0"/>
          <w:i w:val="0"/>
          <w:color w:val="000000"/>
          <w:sz w:val="22"/>
        </w:rPr>
        <w:t>分。金融资产在信用风险显著增加的情况下将由按照</w:t>
      </w:r>
      <w:r>
        <w:rPr>
          <w:rFonts w:ascii="Calibri" w:hAnsi="Calibri" w:eastAsia="Calibri"/>
          <w:b w:val="0"/>
          <w:i w:val="0"/>
          <w:color w:val="000000"/>
          <w:sz w:val="22"/>
        </w:rPr>
        <w:t>12</w:t>
      </w:r>
      <w:r>
        <w:rPr>
          <w:rFonts w:ascii="黑体" w:hAnsi="黑体" w:eastAsia="黑体"/>
          <w:b w:val="0"/>
          <w:i w:val="0"/>
          <w:color w:val="000000"/>
          <w:sz w:val="22"/>
        </w:rPr>
        <w:t>个月内预期信用损失转移至按</w:t>
      </w:r>
      <w:r>
        <w:rPr>
          <w:rFonts w:ascii="黑体" w:hAnsi="黑体" w:eastAsia="黑体"/>
          <w:b w:val="0"/>
          <w:i w:val="0"/>
          <w:color w:val="000000"/>
          <w:sz w:val="22"/>
        </w:rPr>
        <w:t>照整个存续期内的预期信用损失确认损失准备，同时信用风险的变化也可能导致同一</w:t>
      </w:r>
      <w:r>
        <w:rPr>
          <w:rFonts w:ascii="黑体" w:hAnsi="黑体" w:eastAsia="黑体"/>
          <w:b w:val="0"/>
          <w:i w:val="0"/>
          <w:color w:val="000000"/>
          <w:sz w:val="22"/>
        </w:rPr>
        <w:t>预期信用损失计量方式下损失准备金额的变化。</w:t>
      </w:r>
    </w:p>
    <w:p>
      <w:pPr>
        <w:autoSpaceDN w:val="0"/>
        <w:tabs>
          <w:tab w:pos="778" w:val="left"/>
        </w:tabs>
        <w:autoSpaceDE w:val="0"/>
        <w:widowControl/>
        <w:spacing w:line="286" w:lineRule="exact" w:before="282"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使用的模型和假设</w:t>
      </w:r>
      <w:r>
        <w:br/>
      </w:r>
      <w:r>
        <w:rPr>
          <w:rFonts w:ascii="黑体" w:hAnsi="黑体" w:eastAsia="黑体"/>
          <w:b w:val="0"/>
          <w:i w:val="0"/>
          <w:color w:val="000000"/>
          <w:sz w:val="22"/>
        </w:rPr>
        <w:t>本集团根据会计准则的要求在预期信用损失计量中运用的判断还涉及根据金融资产类</w:t>
      </w:r>
      <w:r>
        <w:rPr>
          <w:rFonts w:ascii="黑体" w:hAnsi="黑体" w:eastAsia="黑体"/>
          <w:b w:val="0"/>
          <w:i w:val="0"/>
          <w:color w:val="000000"/>
          <w:sz w:val="22"/>
        </w:rPr>
        <w:t>型选择适当的模型和假设，包括与关键信用风险因素相关的假设。相关模型及假设的</w:t>
      </w:r>
      <w:r>
        <w:rPr>
          <w:rFonts w:ascii="黑体" w:hAnsi="黑体" w:eastAsia="黑体"/>
          <w:b w:val="0"/>
          <w:i w:val="0"/>
          <w:color w:val="000000"/>
          <w:sz w:val="22"/>
        </w:rPr>
        <w:t>详细信息已于附注三、</w:t>
      </w:r>
      <w:r>
        <w:rPr>
          <w:rFonts w:ascii="Calibri" w:hAnsi="Calibri" w:eastAsia="Calibri"/>
          <w:b w:val="0"/>
          <w:i w:val="0"/>
          <w:color w:val="000000"/>
          <w:sz w:val="22"/>
        </w:rPr>
        <w:t>9</w:t>
      </w:r>
      <w:r>
        <w:rPr>
          <w:rFonts w:ascii="黑体" w:hAnsi="黑体" w:eastAsia="黑体"/>
          <w:b w:val="0"/>
          <w:i w:val="0"/>
          <w:color w:val="000000"/>
          <w:sz w:val="22"/>
        </w:rPr>
        <w:t>披露。</w:t>
      </w:r>
    </w:p>
    <w:p>
      <w:pPr>
        <w:autoSpaceDN w:val="0"/>
        <w:autoSpaceDE w:val="0"/>
        <w:widowControl/>
        <w:spacing w:line="233" w:lineRule="auto" w:before="5192" w:after="0"/>
        <w:ind w:left="0" w:right="0" w:firstLine="0"/>
        <w:jc w:val="center"/>
      </w:pPr>
      <w:r>
        <w:rPr>
          <w:rFonts w:ascii="Arial" w:hAnsi="Arial" w:eastAsia="Arial"/>
          <w:b w:val="0"/>
          <w:i w:val="0"/>
          <w:color w:val="000000"/>
          <w:sz w:val="20"/>
        </w:rPr>
        <w:t xml:space="preserve">193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31.</w:t>
      </w:r>
      <w:r>
        <w:rPr>
          <w:rFonts w:ascii="黑体" w:hAnsi="黑体" w:eastAsia="黑体"/>
          <w:b w:val="0"/>
          <w:i w:val="0"/>
          <w:color w:val="000000"/>
          <w:sz w:val="22"/>
        </w:rPr>
        <w:t>重大会计判断和估计（续）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估计的不确定性</w:t>
      </w:r>
    </w:p>
    <w:p>
      <w:pPr>
        <w:autoSpaceDN w:val="0"/>
        <w:autoSpaceDE w:val="0"/>
        <w:widowControl/>
        <w:spacing w:line="286" w:lineRule="exact" w:before="268" w:after="0"/>
        <w:ind w:left="358" w:right="288" w:firstLine="0"/>
        <w:jc w:val="left"/>
      </w:pPr>
      <w:r>
        <w:rPr>
          <w:rFonts w:ascii="黑体" w:hAnsi="黑体" w:eastAsia="黑体"/>
          <w:b w:val="0"/>
          <w:i w:val="0"/>
          <w:color w:val="000000"/>
          <w:sz w:val="22"/>
        </w:rPr>
        <w:t>以下为于资产负债表日有关未来的关键假设以及估计不确定性的其他关键来源，可能</w:t>
      </w:r>
      <w:r>
        <w:rPr>
          <w:rFonts w:ascii="黑体" w:hAnsi="黑体" w:eastAsia="黑体"/>
          <w:b w:val="0"/>
          <w:i w:val="0"/>
          <w:color w:val="000000"/>
          <w:sz w:val="22"/>
        </w:rPr>
        <w:t>会导致未来会计期间资产和负债账面价值重大调整。</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金融资产的公允价值计量</w:t>
      </w:r>
      <w:r>
        <w:br/>
      </w:r>
      <w:r>
        <w:rPr>
          <w:rFonts w:ascii="黑体" w:hAnsi="黑体" w:eastAsia="黑体"/>
          <w:b w:val="0"/>
          <w:i w:val="0"/>
          <w:color w:val="000000"/>
          <w:sz w:val="22"/>
        </w:rPr>
        <w:t>针对本集团持有的以公允价值计量的金融资产和金融负债，本集团首先选用可观察输</w:t>
      </w:r>
      <w:r>
        <w:rPr>
          <w:rFonts w:ascii="黑体" w:hAnsi="黑体" w:eastAsia="黑体"/>
          <w:b w:val="0"/>
          <w:i w:val="0"/>
          <w:color w:val="000000"/>
          <w:sz w:val="22"/>
        </w:rPr>
        <w:t>入值对公允价值进行评估，在没有可直接取得的第一层次的输入值情况下，本集团对</w:t>
      </w:r>
      <w:r>
        <w:rPr>
          <w:rFonts w:ascii="黑体" w:hAnsi="黑体" w:eastAsia="黑体"/>
          <w:b w:val="0"/>
          <w:i w:val="0"/>
          <w:color w:val="000000"/>
          <w:sz w:val="22"/>
        </w:rPr>
        <w:t>相关金融资产和金融负债进行公允价值估值，针对估值模型确定适当的估值方法及输</w:t>
      </w:r>
      <w:r>
        <w:rPr>
          <w:rFonts w:ascii="黑体" w:hAnsi="黑体" w:eastAsia="黑体"/>
          <w:b w:val="0"/>
          <w:i w:val="0"/>
          <w:color w:val="000000"/>
          <w:sz w:val="22"/>
        </w:rPr>
        <w:t>入值。在确定各类资产和负债的公允价值的过程中所采用的估值技术和输入值的相关</w:t>
      </w:r>
      <w:r>
        <w:rPr>
          <w:rFonts w:ascii="黑体" w:hAnsi="黑体" w:eastAsia="黑体"/>
          <w:b w:val="0"/>
          <w:i w:val="0"/>
          <w:color w:val="000000"/>
          <w:sz w:val="22"/>
        </w:rPr>
        <w:t>信息已于附注十二中披露。</w:t>
      </w:r>
    </w:p>
    <w:p>
      <w:pPr>
        <w:autoSpaceDN w:val="0"/>
        <w:autoSpaceDE w:val="0"/>
        <w:widowControl/>
        <w:spacing w:line="292" w:lineRule="exact" w:before="262" w:after="0"/>
        <w:ind w:left="358" w:right="288" w:hanging="10"/>
        <w:jc w:val="left"/>
      </w:pPr>
      <w:r>
        <w:rPr>
          <w:rFonts w:ascii="黑体" w:hAnsi="黑体" w:eastAsia="黑体"/>
          <w:b w:val="0"/>
          <w:i w:val="0"/>
          <w:color w:val="000000"/>
          <w:sz w:val="22"/>
        </w:rPr>
        <w:t>预期信用损失的计量</w:t>
      </w:r>
      <w:r>
        <w:br/>
      </w:r>
      <w:r>
        <w:rPr>
          <w:rFonts w:ascii="黑体" w:hAnsi="黑体" w:eastAsia="黑体"/>
          <w:b w:val="0"/>
          <w:i w:val="0"/>
          <w:color w:val="000000"/>
          <w:sz w:val="22"/>
        </w:rPr>
        <w:t>本集团对预期信用损失的计量是基于违约概率、违约损失率和违约风险暴露的概率加</w:t>
      </w:r>
      <w:r>
        <w:rPr>
          <w:rFonts w:ascii="黑体" w:hAnsi="黑体" w:eastAsia="黑体"/>
          <w:b w:val="0"/>
          <w:i w:val="0"/>
          <w:color w:val="000000"/>
          <w:sz w:val="22"/>
        </w:rPr>
        <w:t>权结果。违约概率基于前瞻性信息对历史数据进行调整，以反映当前的状况和未来预</w:t>
      </w:r>
      <w:r>
        <w:rPr>
          <w:rFonts w:ascii="黑体" w:hAnsi="黑体" w:eastAsia="黑体"/>
          <w:b w:val="0"/>
          <w:i w:val="0"/>
          <w:color w:val="000000"/>
          <w:sz w:val="22"/>
        </w:rPr>
        <w:t>测的影响。金融资产减值的详细信息已于附注三、</w:t>
      </w:r>
      <w:r>
        <w:rPr>
          <w:rFonts w:ascii="Calibri" w:hAnsi="Calibri" w:eastAsia="Calibri"/>
          <w:b w:val="0"/>
          <w:i w:val="0"/>
          <w:color w:val="000000"/>
          <w:sz w:val="22"/>
        </w:rPr>
        <w:t>9</w:t>
      </w:r>
      <w:r>
        <w:rPr>
          <w:rFonts w:ascii="黑体" w:hAnsi="黑体" w:eastAsia="黑体"/>
          <w:b w:val="0"/>
          <w:i w:val="0"/>
          <w:color w:val="000000"/>
          <w:sz w:val="22"/>
        </w:rPr>
        <w:t>披露。</w:t>
      </w:r>
    </w:p>
    <w:p>
      <w:pPr>
        <w:autoSpaceDN w:val="0"/>
        <w:tabs>
          <w:tab w:pos="778" w:val="left"/>
        </w:tabs>
        <w:autoSpaceDE w:val="0"/>
        <w:widowControl/>
        <w:spacing w:line="282" w:lineRule="exact" w:before="266"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前瞻性信息</w:t>
      </w:r>
      <w:r>
        <w:br/>
      </w:r>
      <w:r>
        <w:rPr>
          <w:rFonts w:ascii="黑体" w:hAnsi="黑体" w:eastAsia="黑体"/>
          <w:b w:val="0"/>
          <w:i w:val="0"/>
          <w:color w:val="000000"/>
          <w:sz w:val="22"/>
        </w:rPr>
        <w:t>本集团在预期信用损失的计量中使用合理且有依据的前瞻性信息。本集团通过历史数</w:t>
      </w:r>
      <w:r>
        <w:rPr>
          <w:rFonts w:ascii="黑体" w:hAnsi="黑体" w:eastAsia="黑体"/>
          <w:b w:val="0"/>
          <w:i w:val="0"/>
          <w:color w:val="000000"/>
          <w:sz w:val="22"/>
        </w:rPr>
        <w:t>据分析，识别出影响各资产组合的信用风险及预期信用损失的关键经济指标，并通过</w:t>
      </w:r>
      <w:r>
        <w:rPr>
          <w:rFonts w:ascii="黑体" w:hAnsi="黑体" w:eastAsia="黑体"/>
          <w:b w:val="0"/>
          <w:i w:val="0"/>
          <w:color w:val="000000"/>
          <w:sz w:val="22"/>
        </w:rPr>
        <w:t>对以上关键经济指标的未来变动以及互相影响的预测对金融资产的预期损失进行前瞻</w:t>
      </w:r>
      <w:r>
        <w:rPr>
          <w:rFonts w:ascii="黑体" w:hAnsi="黑体" w:eastAsia="黑体"/>
          <w:b w:val="0"/>
          <w:i w:val="0"/>
          <w:color w:val="000000"/>
          <w:sz w:val="22"/>
        </w:rPr>
        <w:t>性调整。</w:t>
      </w:r>
    </w:p>
    <w:p>
      <w:pPr>
        <w:autoSpaceDN w:val="0"/>
        <w:tabs>
          <w:tab w:pos="778" w:val="left"/>
        </w:tabs>
        <w:autoSpaceDE w:val="0"/>
        <w:widowControl/>
        <w:spacing w:line="280" w:lineRule="exact" w:before="290"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违约概率</w:t>
      </w:r>
      <w:r>
        <w:br/>
      </w:r>
      <w:r>
        <w:rPr>
          <w:rFonts w:ascii="黑体" w:hAnsi="黑体" w:eastAsia="黑体"/>
          <w:b w:val="0"/>
          <w:i w:val="0"/>
          <w:color w:val="000000"/>
          <w:sz w:val="22"/>
        </w:rPr>
        <w:t>违约概率为预期信用风险计量中的关键参数。违约概率是指借款人在未来</w:t>
      </w:r>
      <w:r>
        <w:rPr>
          <w:rFonts w:ascii="Calibri" w:hAnsi="Calibri" w:eastAsia="Calibri"/>
          <w:b w:val="0"/>
          <w:i w:val="0"/>
          <w:color w:val="000000"/>
          <w:sz w:val="22"/>
        </w:rPr>
        <w:t>12</w:t>
      </w:r>
      <w:r>
        <w:rPr>
          <w:rFonts w:ascii="黑体" w:hAnsi="黑体" w:eastAsia="黑体"/>
          <w:b w:val="0"/>
          <w:i w:val="0"/>
          <w:color w:val="000000"/>
          <w:sz w:val="22"/>
        </w:rPr>
        <w:t>个月或在</w:t>
      </w:r>
      <w:r>
        <w:rPr>
          <w:rFonts w:ascii="黑体" w:hAnsi="黑体" w:eastAsia="黑体"/>
          <w:b w:val="0"/>
          <w:i w:val="0"/>
          <w:color w:val="000000"/>
          <w:sz w:val="22"/>
        </w:rPr>
        <w:t>整个剩余存续期无法履行其偿付义务的可能性。本集团计算违约概率时考虑的因素包</w:t>
      </w:r>
      <w:r>
        <w:rPr>
          <w:rFonts w:ascii="黑体" w:hAnsi="黑体" w:eastAsia="黑体"/>
          <w:b w:val="0"/>
          <w:i w:val="0"/>
          <w:color w:val="000000"/>
          <w:sz w:val="22"/>
        </w:rPr>
        <w:t>括历史数据、假设以及对未来情况的预期。</w:t>
      </w:r>
    </w:p>
    <w:p>
      <w:pPr>
        <w:autoSpaceDN w:val="0"/>
        <w:tabs>
          <w:tab w:pos="778" w:val="left"/>
        </w:tabs>
        <w:autoSpaceDE w:val="0"/>
        <w:widowControl/>
        <w:spacing w:line="282" w:lineRule="exact" w:before="286"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违约损失率</w:t>
      </w:r>
      <w:r>
        <w:br/>
      </w:r>
      <w:r>
        <w:rPr>
          <w:rFonts w:ascii="黑体" w:hAnsi="黑体" w:eastAsia="黑体"/>
          <w:b w:val="0"/>
          <w:i w:val="0"/>
          <w:color w:val="000000"/>
          <w:sz w:val="22"/>
        </w:rPr>
        <w:t>违约损失率为本集团对违约造成的损失作出的预期。本集团在考虑担保措施带来的现</w:t>
      </w:r>
      <w:r>
        <w:rPr>
          <w:rFonts w:ascii="黑体" w:hAnsi="黑体" w:eastAsia="黑体"/>
          <w:b w:val="0"/>
          <w:i w:val="0"/>
          <w:color w:val="000000"/>
          <w:sz w:val="22"/>
        </w:rPr>
        <w:t>金流以及整体信用增级的基础上，基于应收取的合同现金流量与预期收取的现金流量</w:t>
      </w:r>
      <w:r>
        <w:rPr>
          <w:rFonts w:ascii="黑体" w:hAnsi="黑体" w:eastAsia="黑体"/>
          <w:b w:val="0"/>
          <w:i w:val="0"/>
          <w:color w:val="000000"/>
          <w:sz w:val="22"/>
        </w:rPr>
        <w:t>之间的差额确定违约损失率。</w:t>
      </w:r>
    </w:p>
    <w:p>
      <w:pPr>
        <w:autoSpaceDN w:val="0"/>
        <w:tabs>
          <w:tab w:pos="778" w:val="left"/>
        </w:tabs>
        <w:autoSpaceDE w:val="0"/>
        <w:widowControl/>
        <w:spacing w:line="282" w:lineRule="exact" w:before="286" w:after="0"/>
        <w:ind w:left="358" w:right="288" w:firstLine="0"/>
        <w:jc w:val="left"/>
      </w:pPr>
      <w:r>
        <w:rPr>
          <w:rFonts w:ascii="Times New Roman" w:hAnsi="Times New Roman" w:eastAsia="Times New Roman"/>
          <w:b w:val="0"/>
          <w:i w:val="0"/>
          <w:color w:val="000000"/>
          <w:sz w:val="22"/>
        </w:rPr>
        <w:t>-</w:t>
      </w:r>
      <w:r>
        <w:tab/>
      </w:r>
      <w:r>
        <w:rPr>
          <w:rFonts w:ascii="黑体" w:hAnsi="黑体" w:eastAsia="黑体"/>
          <w:b w:val="0"/>
          <w:i w:val="0"/>
          <w:color w:val="000000"/>
          <w:sz w:val="22"/>
        </w:rPr>
        <w:t>对应收款项和其他应收款预期信用损失的计量</w:t>
      </w:r>
      <w:r>
        <w:br/>
      </w:r>
      <w:r>
        <w:rPr>
          <w:rFonts w:ascii="黑体" w:hAnsi="黑体" w:eastAsia="黑体"/>
          <w:b w:val="0"/>
          <w:i w:val="0"/>
          <w:color w:val="000000"/>
          <w:sz w:val="22"/>
        </w:rPr>
        <w:t>本集团使用减值矩阵对具有类似风险特征的各类应收款项及其他应收款的预期信用损</w:t>
      </w:r>
      <w:r>
        <w:rPr>
          <w:rFonts w:ascii="黑体" w:hAnsi="黑体" w:eastAsia="黑体"/>
          <w:b w:val="0"/>
          <w:i w:val="0"/>
          <w:color w:val="000000"/>
          <w:sz w:val="22"/>
        </w:rPr>
        <w:t>失进行计量，减值矩阵基于本集团的历史逾期比例，考虑无须付出不必要的额外成本</w:t>
      </w:r>
      <w:r>
        <w:rPr>
          <w:rFonts w:ascii="黑体" w:hAnsi="黑体" w:eastAsia="黑体"/>
          <w:b w:val="0"/>
          <w:i w:val="0"/>
          <w:color w:val="000000"/>
          <w:sz w:val="22"/>
        </w:rPr>
        <w:t>或努力即可获得的合理且有依据的前瞻性信息确定。本集团于资产负债表日对历史可</w:t>
      </w:r>
      <w:r>
        <w:rPr>
          <w:rFonts w:ascii="黑体" w:hAnsi="黑体" w:eastAsia="黑体"/>
          <w:b w:val="0"/>
          <w:i w:val="0"/>
          <w:color w:val="000000"/>
          <w:sz w:val="22"/>
        </w:rPr>
        <w:t>观察的逾期比例以及前瞻性信息的变化进行评估。本集团对已发生信用减值的应收款</w:t>
      </w:r>
      <w:r>
        <w:rPr>
          <w:rFonts w:ascii="黑体" w:hAnsi="黑体" w:eastAsia="黑体"/>
          <w:b w:val="0"/>
          <w:i w:val="0"/>
          <w:color w:val="000000"/>
          <w:sz w:val="22"/>
        </w:rPr>
        <w:t>项和其他应收款的预期信用损失进行单项评估。</w:t>
      </w:r>
    </w:p>
    <w:p>
      <w:pPr>
        <w:autoSpaceDN w:val="0"/>
        <w:autoSpaceDE w:val="0"/>
        <w:widowControl/>
        <w:spacing w:line="233" w:lineRule="auto" w:before="1836" w:after="0"/>
        <w:ind w:left="0" w:right="0" w:firstLine="0"/>
        <w:jc w:val="center"/>
      </w:pPr>
      <w:r>
        <w:rPr>
          <w:rFonts w:ascii="Arial" w:hAnsi="Arial" w:eastAsia="Arial"/>
          <w:b w:val="0"/>
          <w:i w:val="0"/>
          <w:color w:val="000000"/>
          <w:sz w:val="20"/>
        </w:rPr>
        <w:t xml:space="preserve">194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31.</w:t>
      </w:r>
      <w:r>
        <w:rPr>
          <w:rFonts w:ascii="黑体" w:hAnsi="黑体" w:eastAsia="黑体"/>
          <w:b w:val="0"/>
          <w:i w:val="0"/>
          <w:color w:val="000000"/>
          <w:sz w:val="22"/>
        </w:rPr>
        <w:t>重大会计判断和估计（续）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估计的不确定性（续）</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递延所得税资产</w:t>
      </w:r>
      <w:r>
        <w:br/>
      </w:r>
      <w:r>
        <w:rPr>
          <w:rFonts w:ascii="黑体" w:hAnsi="黑体" w:eastAsia="黑体"/>
          <w:b w:val="0"/>
          <w:i w:val="0"/>
          <w:color w:val="000000"/>
          <w:sz w:val="22"/>
        </w:rPr>
        <w:t>在很可能有足够的应纳税所得额用以抵扣可抵扣亏损的限度内，应就所有尚未利用的</w:t>
      </w:r>
      <w:r>
        <w:rPr>
          <w:rFonts w:ascii="黑体" w:hAnsi="黑体" w:eastAsia="黑体"/>
          <w:b w:val="0"/>
          <w:i w:val="0"/>
          <w:color w:val="000000"/>
          <w:sz w:val="22"/>
        </w:rPr>
        <w:t>可抵扣亏损确认递延所得税资产。这需要管理层运用大量的判断来估计未来取得应纳</w:t>
      </w:r>
      <w:r>
        <w:rPr>
          <w:rFonts w:ascii="黑体" w:hAnsi="黑体" w:eastAsia="黑体"/>
          <w:b w:val="0"/>
          <w:i w:val="0"/>
          <w:color w:val="000000"/>
          <w:sz w:val="22"/>
        </w:rPr>
        <w:t>税所得额的时间和金额，结合纳税筹划策略，以决定应确认的递延所得税资产的金</w:t>
      </w:r>
      <w:r>
        <w:rPr>
          <w:rFonts w:ascii="黑体" w:hAnsi="黑体" w:eastAsia="黑体"/>
          <w:b w:val="0"/>
          <w:i w:val="0"/>
          <w:color w:val="000000"/>
          <w:sz w:val="22"/>
        </w:rPr>
        <w:t>额。</w:t>
      </w:r>
    </w:p>
    <w:p>
      <w:pPr>
        <w:autoSpaceDN w:val="0"/>
        <w:autoSpaceDE w:val="0"/>
        <w:widowControl/>
        <w:spacing w:line="288" w:lineRule="exact" w:before="264" w:after="0"/>
        <w:ind w:left="358" w:right="288" w:hanging="10"/>
        <w:jc w:val="left"/>
      </w:pPr>
      <w:r>
        <w:rPr>
          <w:rFonts w:ascii="黑体" w:hAnsi="黑体" w:eastAsia="黑体"/>
          <w:b w:val="0"/>
          <w:i w:val="0"/>
          <w:color w:val="000000"/>
          <w:sz w:val="22"/>
        </w:rPr>
        <w:t>商誉减值</w:t>
      </w:r>
      <w:r>
        <w:br/>
      </w:r>
      <w:r>
        <w:rPr>
          <w:rFonts w:ascii="黑体" w:hAnsi="黑体" w:eastAsia="黑体"/>
          <w:b w:val="0"/>
          <w:i w:val="0"/>
          <w:color w:val="000000"/>
          <w:sz w:val="22"/>
        </w:rPr>
        <w:t>本集团在每个报告期末对商誉是否发生减值进行测试。确定商誉是否发生减值涉及将</w:t>
      </w:r>
      <w:r>
        <w:rPr>
          <w:rFonts w:ascii="黑体" w:hAnsi="黑体" w:eastAsia="黑体"/>
          <w:b w:val="0"/>
          <w:i w:val="0"/>
          <w:color w:val="000000"/>
          <w:sz w:val="22"/>
        </w:rPr>
        <w:t>商誉分摊至相应的资产组，并对相应资产组的可回收金额进行评估。资产组的可回收</w:t>
      </w:r>
      <w:r>
        <w:rPr>
          <w:rFonts w:ascii="黑体" w:hAnsi="黑体" w:eastAsia="黑体"/>
          <w:b w:val="0"/>
          <w:i w:val="0"/>
          <w:color w:val="000000"/>
          <w:sz w:val="22"/>
        </w:rPr>
        <w:t>金额根据资产组预计未来现金流量现值与资产组的公允价值减去处置费用后的净额两</w:t>
      </w:r>
      <w:r>
        <w:rPr>
          <w:rFonts w:ascii="黑体" w:hAnsi="黑体" w:eastAsia="黑体"/>
          <w:b w:val="0"/>
          <w:i w:val="0"/>
          <w:color w:val="000000"/>
          <w:sz w:val="22"/>
        </w:rPr>
        <w:t>者之间较高者确定。其中，资产组预计未来现金流量现值的计算需要本集团对资产组</w:t>
      </w:r>
      <w:r>
        <w:rPr>
          <w:rFonts w:ascii="黑体" w:hAnsi="黑体" w:eastAsia="黑体"/>
          <w:b w:val="0"/>
          <w:i w:val="0"/>
          <w:color w:val="000000"/>
          <w:sz w:val="22"/>
        </w:rPr>
        <w:t>的未来现金流量进行预估并选择适当的折现率对预计的未来现金流进行折现。当资产</w:t>
      </w:r>
      <w:r>
        <w:rPr>
          <w:rFonts w:ascii="黑体" w:hAnsi="黑体" w:eastAsia="黑体"/>
          <w:b w:val="0"/>
          <w:i w:val="0"/>
          <w:color w:val="000000"/>
          <w:sz w:val="22"/>
        </w:rPr>
        <w:t>组产生的实际现金流量低于预期或者情况变化导致预期未来现金流量减少时可能发生</w:t>
      </w:r>
      <w:r>
        <w:rPr>
          <w:rFonts w:ascii="黑体" w:hAnsi="黑体" w:eastAsia="黑体"/>
          <w:b w:val="0"/>
          <w:i w:val="0"/>
          <w:color w:val="000000"/>
          <w:sz w:val="22"/>
        </w:rPr>
        <w:t>商誉减值。商誉减值相关的详细信息已于附注五、</w:t>
      </w:r>
      <w:r>
        <w:rPr>
          <w:rFonts w:ascii="Calibri" w:hAnsi="Calibri" w:eastAsia="Calibri"/>
          <w:b w:val="0"/>
          <w:i w:val="0"/>
          <w:color w:val="000000"/>
          <w:sz w:val="22"/>
        </w:rPr>
        <w:t>15</w:t>
      </w:r>
      <w:r>
        <w:rPr>
          <w:rFonts w:ascii="黑体" w:hAnsi="黑体" w:eastAsia="黑体"/>
          <w:b w:val="0"/>
          <w:i w:val="0"/>
          <w:color w:val="000000"/>
          <w:sz w:val="22"/>
        </w:rPr>
        <w:t>披露。</w:t>
      </w:r>
    </w:p>
    <w:p>
      <w:pPr>
        <w:autoSpaceDN w:val="0"/>
        <w:autoSpaceDE w:val="0"/>
        <w:widowControl/>
        <w:spacing w:line="286" w:lineRule="exact" w:before="246" w:after="0"/>
        <w:ind w:left="358" w:right="432" w:hanging="10"/>
        <w:jc w:val="left"/>
      </w:pPr>
      <w:r>
        <w:rPr>
          <w:rFonts w:ascii="黑体" w:hAnsi="黑体" w:eastAsia="黑体"/>
          <w:b w:val="0"/>
          <w:i w:val="0"/>
          <w:color w:val="000000"/>
          <w:sz w:val="22"/>
        </w:rPr>
        <w:t>除金融资产之外的非流动资产减值（除商誉外）</w:t>
      </w:r>
      <w:r>
        <w:br/>
      </w:r>
      <w:r>
        <w:rPr>
          <w:rFonts w:ascii="黑体" w:hAnsi="黑体" w:eastAsia="黑体"/>
          <w:b w:val="0"/>
          <w:i w:val="0"/>
          <w:color w:val="000000"/>
          <w:sz w:val="22"/>
        </w:rPr>
        <w:t>本集团于资产负债表日对除金融资产之外的非流动资产判断是否存在可能发生减值的</w:t>
      </w:r>
      <w:r>
        <w:rPr>
          <w:rFonts w:ascii="黑体" w:hAnsi="黑体" w:eastAsia="黑体"/>
          <w:b w:val="0"/>
          <w:i w:val="0"/>
          <w:color w:val="000000"/>
          <w:sz w:val="22"/>
        </w:rPr>
        <w:t>迹象。对使用寿命不确定的无形资产，除每年进行的减值测试外，当其存在减值迹象</w:t>
      </w:r>
      <w:r>
        <w:rPr>
          <w:rFonts w:ascii="黑体" w:hAnsi="黑体" w:eastAsia="黑体"/>
          <w:b w:val="0"/>
          <w:i w:val="0"/>
          <w:color w:val="000000"/>
          <w:sz w:val="22"/>
        </w:rPr>
        <w:t>时，也进行减值测试。其他除金融资产之外的非流动资产，当存在迹象表明其账面价</w:t>
      </w:r>
      <w:r>
        <w:rPr>
          <w:rFonts w:ascii="黑体" w:hAnsi="黑体" w:eastAsia="黑体"/>
          <w:b w:val="0"/>
          <w:i w:val="0"/>
          <w:color w:val="000000"/>
          <w:sz w:val="22"/>
        </w:rPr>
        <w:t>值不可收回时，进行减值测试。当资产或资产组的账面价值高于可收回金额，即公允</w:t>
      </w:r>
      <w:r>
        <w:rPr>
          <w:rFonts w:ascii="黑体" w:hAnsi="黑体" w:eastAsia="黑体"/>
          <w:b w:val="0"/>
          <w:i w:val="0"/>
          <w:color w:val="000000"/>
          <w:sz w:val="22"/>
        </w:rPr>
        <w:t>价值减去处置费用后的净额和预计未来现金流量的现值中的较高者，表明发生了减</w:t>
      </w:r>
      <w:r>
        <w:rPr>
          <w:rFonts w:ascii="黑体" w:hAnsi="黑体" w:eastAsia="黑体"/>
          <w:b w:val="0"/>
          <w:i w:val="0"/>
          <w:color w:val="000000"/>
          <w:sz w:val="22"/>
        </w:rPr>
        <w:t>值。公允价值减去处置费用后的净额，参考公平交易中类似资产的销售协议价格或可</w:t>
      </w:r>
      <w:r>
        <w:rPr>
          <w:rFonts w:ascii="黑体" w:hAnsi="黑体" w:eastAsia="黑体"/>
          <w:b w:val="0"/>
          <w:i w:val="0"/>
          <w:color w:val="000000"/>
          <w:sz w:val="22"/>
        </w:rPr>
        <w:t>观察到的市场价格，减去可直接归属于该资产处置的增量成本确定。预计未来现金流</w:t>
      </w:r>
      <w:r>
        <w:rPr>
          <w:rFonts w:ascii="黑体" w:hAnsi="黑体" w:eastAsia="黑体"/>
          <w:b w:val="0"/>
          <w:i w:val="0"/>
          <w:color w:val="000000"/>
          <w:sz w:val="22"/>
        </w:rPr>
        <w:t>量现值时，管理层必须估计该项资产或资产组的预计未来现金流量，并选择恰当的折</w:t>
      </w:r>
      <w:r>
        <w:rPr>
          <w:rFonts w:ascii="黑体" w:hAnsi="黑体" w:eastAsia="黑体"/>
          <w:b w:val="0"/>
          <w:i w:val="0"/>
          <w:color w:val="000000"/>
          <w:sz w:val="22"/>
        </w:rPr>
        <w:t>现率确定未来现金流量的现值。</w:t>
      </w:r>
    </w:p>
    <w:p>
      <w:pPr>
        <w:autoSpaceDN w:val="0"/>
        <w:autoSpaceDE w:val="0"/>
        <w:widowControl/>
        <w:spacing w:line="286" w:lineRule="exact" w:before="270" w:after="0"/>
        <w:ind w:left="358" w:right="432" w:hanging="10"/>
        <w:jc w:val="left"/>
      </w:pPr>
      <w:r>
        <w:rPr>
          <w:rFonts w:ascii="黑体" w:hAnsi="黑体" w:eastAsia="黑体"/>
          <w:b w:val="0"/>
          <w:i w:val="0"/>
          <w:color w:val="000000"/>
          <w:sz w:val="22"/>
        </w:rPr>
        <w:t>租赁期——包含续租选择权的租赁合同</w:t>
      </w:r>
      <w:r>
        <w:br/>
      </w:r>
      <w:r>
        <w:rPr>
          <w:rFonts w:ascii="黑体" w:hAnsi="黑体" w:eastAsia="黑体"/>
          <w:b w:val="0"/>
          <w:i w:val="0"/>
          <w:color w:val="000000"/>
          <w:sz w:val="22"/>
        </w:rPr>
        <w:t>租赁期是本集团有权使用租赁资产且不可撤销的期间，有续租选择权，且合理确定将</w:t>
      </w:r>
      <w:r>
        <w:rPr>
          <w:rFonts w:ascii="黑体" w:hAnsi="黑体" w:eastAsia="黑体"/>
          <w:b w:val="0"/>
          <w:i w:val="0"/>
          <w:color w:val="000000"/>
          <w:sz w:val="22"/>
        </w:rPr>
        <w:t>行使该选择权的，租赁期还包含续租选择权涵盖的期间。本集团部分租赁合同拥有续</w:t>
      </w:r>
      <w:r>
        <w:rPr>
          <w:rFonts w:ascii="黑体" w:hAnsi="黑体" w:eastAsia="黑体"/>
          <w:b w:val="0"/>
          <w:i w:val="0"/>
          <w:color w:val="000000"/>
          <w:sz w:val="22"/>
        </w:rPr>
        <w:t>租选择权。本集团在评估是否合理确定将行使续租选择权时，综合考虑与本集团行使</w:t>
      </w:r>
      <w:r>
        <w:rPr>
          <w:rFonts w:ascii="黑体" w:hAnsi="黑体" w:eastAsia="黑体"/>
          <w:b w:val="0"/>
          <w:i w:val="0"/>
          <w:color w:val="000000"/>
          <w:sz w:val="22"/>
        </w:rPr>
        <w:t>续租选择权带来经济利益的所有相关事实和情况，包括自租赁期开始日至选择权行使</w:t>
      </w:r>
      <w:r>
        <w:rPr>
          <w:rFonts w:ascii="黑体" w:hAnsi="黑体" w:eastAsia="黑体"/>
          <w:b w:val="0"/>
          <w:i w:val="0"/>
          <w:color w:val="000000"/>
          <w:sz w:val="22"/>
        </w:rPr>
        <w:t>日之间的事实和情况的预期变化。本集团认为，由于终止租赁相关成本重大，租赁资</w:t>
      </w:r>
      <w:r>
        <w:rPr>
          <w:rFonts w:ascii="黑体" w:hAnsi="黑体" w:eastAsia="黑体"/>
          <w:b w:val="0"/>
          <w:i w:val="0"/>
          <w:color w:val="000000"/>
          <w:sz w:val="22"/>
        </w:rPr>
        <w:t>产对本集团的运营重要，且不易获取合适的替换资产且与行使选择权相关的条件及满</w:t>
      </w:r>
      <w:r>
        <w:rPr>
          <w:rFonts w:ascii="黑体" w:hAnsi="黑体" w:eastAsia="黑体"/>
          <w:b w:val="0"/>
          <w:i w:val="0"/>
          <w:color w:val="000000"/>
          <w:sz w:val="22"/>
        </w:rPr>
        <w:t>足相关条件的可能性较大，本集团能够合理确定将行使续租选择权，因此，租赁期中</w:t>
      </w:r>
      <w:r>
        <w:rPr>
          <w:rFonts w:ascii="黑体" w:hAnsi="黑体" w:eastAsia="黑体"/>
          <w:b w:val="0"/>
          <w:i w:val="0"/>
          <w:color w:val="000000"/>
          <w:sz w:val="22"/>
        </w:rPr>
        <w:t>包含续租选择权涵盖的期间。</w:t>
      </w:r>
    </w:p>
    <w:p>
      <w:pPr>
        <w:autoSpaceDN w:val="0"/>
        <w:autoSpaceDE w:val="0"/>
        <w:widowControl/>
        <w:spacing w:line="233" w:lineRule="auto" w:before="2358" w:after="0"/>
        <w:ind w:left="0" w:right="0" w:firstLine="0"/>
        <w:jc w:val="center"/>
      </w:pPr>
      <w:r>
        <w:rPr>
          <w:rFonts w:ascii="Arial" w:hAnsi="Arial" w:eastAsia="Arial"/>
          <w:b w:val="0"/>
          <w:i w:val="0"/>
          <w:color w:val="000000"/>
          <w:sz w:val="20"/>
        </w:rPr>
        <w:t xml:space="preserve">195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autoSpaceDE w:val="0"/>
        <w:widowControl/>
        <w:spacing w:line="222" w:lineRule="exact" w:before="0" w:after="0"/>
        <w:ind w:left="358" w:right="0" w:firstLine="0"/>
        <w:jc w:val="left"/>
      </w:pPr>
      <w:r>
        <w:rPr>
          <w:rFonts w:ascii="黑体" w:hAnsi="黑体" w:eastAsia="黑体"/>
          <w:b w:val="0"/>
          <w:i w:val="0"/>
          <w:color w:val="000000"/>
          <w:sz w:val="22"/>
        </w:rPr>
        <w:t xml:space="preserve">三、 重要会计政策及会计估计（续） </w:t>
      </w:r>
    </w:p>
    <w:p>
      <w:pPr>
        <w:autoSpaceDN w:val="0"/>
        <w:tabs>
          <w:tab w:pos="1070" w:val="left"/>
        </w:tabs>
        <w:autoSpaceDE w:val="0"/>
        <w:widowControl/>
        <w:spacing w:line="244" w:lineRule="exact" w:before="326" w:after="0"/>
        <w:ind w:left="358" w:right="0" w:firstLine="0"/>
        <w:jc w:val="left"/>
      </w:pPr>
      <w:r>
        <w:rPr>
          <w:rFonts w:ascii="Times New Roman,Bold" w:hAnsi="Times New Roman,Bold" w:eastAsia="Times New Roman,Bold"/>
          <w:b/>
          <w:i w:val="0"/>
          <w:color w:val="000000"/>
          <w:sz w:val="22"/>
        </w:rPr>
        <w:t>31.</w:t>
      </w:r>
      <w:r>
        <w:rPr>
          <w:rFonts w:ascii="黑体" w:hAnsi="黑体" w:eastAsia="黑体"/>
          <w:b w:val="0"/>
          <w:i w:val="0"/>
          <w:color w:val="000000"/>
          <w:sz w:val="22"/>
        </w:rPr>
        <w:t>重大会计判断和估计（续）</w:t>
      </w:r>
    </w:p>
    <w:p>
      <w:pPr>
        <w:autoSpaceDN w:val="0"/>
        <w:autoSpaceDE w:val="0"/>
        <w:widowControl/>
        <w:spacing w:line="220" w:lineRule="exact" w:before="316" w:after="0"/>
        <w:ind w:left="358" w:right="0" w:firstLine="0"/>
        <w:jc w:val="left"/>
      </w:pPr>
      <w:r>
        <w:rPr>
          <w:rFonts w:ascii="黑体" w:hAnsi="黑体" w:eastAsia="黑体"/>
          <w:b w:val="0"/>
          <w:i w:val="0"/>
          <w:color w:val="000000"/>
          <w:sz w:val="22"/>
        </w:rPr>
        <w:t>估计的不确定性（续）</w:t>
      </w:r>
    </w:p>
    <w:p>
      <w:pPr>
        <w:autoSpaceDN w:val="0"/>
        <w:autoSpaceDE w:val="0"/>
        <w:widowControl/>
        <w:spacing w:line="286" w:lineRule="exact" w:before="268" w:after="0"/>
        <w:ind w:left="358" w:right="288" w:hanging="10"/>
        <w:jc w:val="left"/>
      </w:pPr>
      <w:r>
        <w:rPr>
          <w:rFonts w:ascii="黑体" w:hAnsi="黑体" w:eastAsia="黑体"/>
          <w:b w:val="0"/>
          <w:i w:val="0"/>
          <w:color w:val="000000"/>
          <w:sz w:val="22"/>
        </w:rPr>
        <w:t>承租人增量借款利率</w:t>
      </w:r>
      <w:r>
        <w:br/>
      </w:r>
      <w:r>
        <w:rPr>
          <w:rFonts w:ascii="黑体" w:hAnsi="黑体" w:eastAsia="黑体"/>
          <w:b w:val="0"/>
          <w:i w:val="0"/>
          <w:color w:val="000000"/>
          <w:sz w:val="22"/>
        </w:rPr>
        <w:t>对于无法确定租赁内含利率的租赁，本集团采用承租人增量借款利率作为折现率计算</w:t>
      </w:r>
      <w:r>
        <w:rPr>
          <w:rFonts w:ascii="黑体" w:hAnsi="黑体" w:eastAsia="黑体"/>
          <w:b w:val="0"/>
          <w:i w:val="0"/>
          <w:color w:val="000000"/>
          <w:sz w:val="22"/>
        </w:rPr>
        <w:t>租赁付款额的现值。确定增量借款利率时，本集团根据所处经济环境，以可观察的利</w:t>
      </w:r>
      <w:r>
        <w:rPr>
          <w:rFonts w:ascii="黑体" w:hAnsi="黑体" w:eastAsia="黑体"/>
          <w:b w:val="0"/>
          <w:i w:val="0"/>
          <w:color w:val="000000"/>
          <w:sz w:val="22"/>
        </w:rPr>
        <w:t>率作为确定增量借款利率的参考基础，在此基础上，根据自身情况、标的资产情况、</w:t>
      </w:r>
      <w:r>
        <w:rPr>
          <w:rFonts w:ascii="黑体" w:hAnsi="黑体" w:eastAsia="黑体"/>
          <w:b w:val="0"/>
          <w:i w:val="0"/>
          <w:color w:val="000000"/>
          <w:sz w:val="22"/>
        </w:rPr>
        <w:t>租赁期和租赁负债金额等租赁业务具体情况对参考利率进行调整以得出适用的增量借</w:t>
      </w:r>
      <w:r>
        <w:rPr>
          <w:rFonts w:ascii="黑体" w:hAnsi="黑体" w:eastAsia="黑体"/>
          <w:b w:val="0"/>
          <w:i w:val="0"/>
          <w:color w:val="000000"/>
          <w:sz w:val="22"/>
        </w:rPr>
        <w:t>款利率。</w:t>
      </w:r>
    </w:p>
    <w:p>
      <w:pPr>
        <w:autoSpaceDN w:val="0"/>
        <w:autoSpaceDE w:val="0"/>
        <w:widowControl/>
        <w:spacing w:line="233" w:lineRule="auto" w:before="10582" w:after="0"/>
        <w:ind w:left="0" w:right="0" w:firstLine="0"/>
        <w:jc w:val="center"/>
      </w:pPr>
      <w:r>
        <w:rPr>
          <w:rFonts w:ascii="Arial" w:hAnsi="Arial" w:eastAsia="Arial"/>
          <w:b w:val="0"/>
          <w:i w:val="0"/>
          <w:color w:val="000000"/>
          <w:sz w:val="20"/>
        </w:rPr>
        <w:t xml:space="preserve">196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tabs>
          <w:tab w:pos="1086" w:val="left"/>
        </w:tabs>
        <w:autoSpaceDE w:val="0"/>
        <w:widowControl/>
        <w:spacing w:line="222" w:lineRule="exact" w:before="0" w:after="0"/>
        <w:ind w:left="358" w:right="0" w:firstLine="0"/>
        <w:jc w:val="left"/>
      </w:pPr>
      <w:r>
        <w:rPr>
          <w:rFonts w:ascii="黑体" w:hAnsi="黑体" w:eastAsia="黑体"/>
          <w:b w:val="0"/>
          <w:i w:val="0"/>
          <w:color w:val="000000"/>
          <w:sz w:val="22"/>
        </w:rPr>
        <w:t>四、</w:t>
      </w:r>
      <w:r>
        <w:rPr>
          <w:rFonts w:ascii="黑体" w:hAnsi="黑体" w:eastAsia="黑体"/>
          <w:b w:val="0"/>
          <w:i w:val="0"/>
          <w:color w:val="000000"/>
          <w:sz w:val="22"/>
        </w:rPr>
        <w:t>税项</w:t>
      </w:r>
    </w:p>
    <w:p>
      <w:pPr>
        <w:autoSpaceDN w:val="0"/>
        <w:autoSpaceDE w:val="0"/>
        <w:widowControl/>
        <w:spacing w:line="222" w:lineRule="exact" w:before="316" w:after="256"/>
        <w:ind w:left="358" w:right="0" w:firstLine="0"/>
        <w:jc w:val="left"/>
      </w:pPr>
      <w:r>
        <w:rPr>
          <w:rFonts w:ascii="黑体" w:hAnsi="黑体" w:eastAsia="黑体"/>
          <w:b w:val="0"/>
          <w:i w:val="0"/>
          <w:color w:val="000000"/>
          <w:sz w:val="22"/>
        </w:rPr>
        <w:t>本集团适用的主要税种及税率如下：</w:t>
      </w:r>
    </w:p>
    <w:tbl>
      <w:tblPr>
        <w:tblW w:type="auto" w:w="0"/>
        <w:tblLayout w:type="fixed"/>
        <w:tblLook w:firstColumn="1" w:firstRow="1" w:lastColumn="0" w:lastRow="0" w:noHBand="0" w:noVBand="1" w:val="04A0"/>
        <w:tblInd w:w="358.0000000000001" w:type="dxa"/>
      </w:tblPr>
      <w:tblGrid>
        <w:gridCol w:w="2256"/>
        <w:gridCol w:w="2256"/>
        <w:gridCol w:w="2256"/>
        <w:gridCol w:w="2256"/>
      </w:tblGrid>
      <w:tr>
        <w:trPr>
          <w:trHeight w:hRule="exact" w:val="322"/>
        </w:trPr>
        <w:tc>
          <w:tcPr>
            <w:tcW w:type="dxa" w:w="1756"/>
            <w:tcBorders>
              <w:bottom w:sz="4.0" w:val="single" w:color="#000000"/>
            </w:tcBorders>
            <w:tcMar>
              <w:start w:w="0" w:type="dxa"/>
              <w:end w:w="0" w:type="dxa"/>
            </w:tcMar>
          </w:tcPr>
          <w:p>
            <w:pPr>
              <w:autoSpaceDN w:val="0"/>
              <w:autoSpaceDE w:val="0"/>
              <w:widowControl/>
              <w:spacing w:line="220" w:lineRule="exact" w:before="60" w:after="0"/>
              <w:ind w:left="0" w:right="0" w:firstLine="0"/>
              <w:jc w:val="center"/>
            </w:pPr>
            <w:r>
              <w:rPr>
                <w:rFonts w:ascii="黑体" w:hAnsi="黑体" w:eastAsia="黑体"/>
                <w:b w:val="0"/>
                <w:i w:val="0"/>
                <w:color w:val="000000"/>
                <w:sz w:val="22"/>
              </w:rPr>
              <w:t>税种</w:t>
            </w:r>
          </w:p>
        </w:tc>
        <w:tc>
          <w:tcPr>
            <w:tcW w:type="dxa" w:w="1766"/>
            <w:tcBorders>
              <w:bottom w:sz="4.0" w:val="single" w:color="#000000"/>
            </w:tcBorders>
            <w:tcMar>
              <w:start w:w="0" w:type="dxa"/>
              <w:end w:w="0" w:type="dxa"/>
            </w:tcMar>
          </w:tcPr>
          <w:p/>
        </w:tc>
        <w:tc>
          <w:tcPr>
            <w:tcW w:type="dxa" w:w="3226"/>
            <w:tcBorders>
              <w:bottom w:sz="4.0" w:val="single" w:color="#000000"/>
            </w:tcBorders>
            <w:tcMar>
              <w:start w:w="0" w:type="dxa"/>
              <w:end w:w="0" w:type="dxa"/>
            </w:tcMar>
          </w:tcPr>
          <w:p>
            <w:pPr>
              <w:autoSpaceDN w:val="0"/>
              <w:autoSpaceDE w:val="0"/>
              <w:widowControl/>
              <w:spacing w:line="220" w:lineRule="exact" w:before="60" w:after="0"/>
              <w:ind w:left="344" w:right="0" w:firstLine="0"/>
              <w:jc w:val="left"/>
            </w:pPr>
            <w:r>
              <w:rPr>
                <w:rFonts w:ascii="黑体" w:hAnsi="黑体" w:eastAsia="黑体"/>
                <w:b w:val="0"/>
                <w:i w:val="0"/>
                <w:color w:val="000000"/>
                <w:sz w:val="22"/>
              </w:rPr>
              <w:t>计税依据</w:t>
            </w:r>
          </w:p>
        </w:tc>
        <w:tc>
          <w:tcPr>
            <w:tcW w:type="dxa" w:w="1582"/>
            <w:tcBorders>
              <w:bottom w:sz="4.0" w:val="single" w:color="#000000"/>
            </w:tcBorders>
            <w:tcMar>
              <w:start w:w="0" w:type="dxa"/>
              <w:end w:w="0" w:type="dxa"/>
            </w:tcMar>
          </w:tcPr>
          <w:p>
            <w:pPr>
              <w:autoSpaceDN w:val="0"/>
              <w:autoSpaceDE w:val="0"/>
              <w:widowControl/>
              <w:spacing w:line="220" w:lineRule="exact" w:before="60" w:after="0"/>
              <w:ind w:left="186" w:right="0" w:firstLine="0"/>
              <w:jc w:val="left"/>
            </w:pPr>
            <w:r>
              <w:rPr>
                <w:rFonts w:ascii="黑体" w:hAnsi="黑体" w:eastAsia="黑体"/>
                <w:b w:val="0"/>
                <w:i w:val="0"/>
                <w:color w:val="000000"/>
                <w:sz w:val="22"/>
              </w:rPr>
              <w:t>税率及征收率</w:t>
            </w:r>
          </w:p>
        </w:tc>
      </w:tr>
      <w:tr>
        <w:trPr>
          <w:trHeight w:hRule="exact" w:val="542"/>
        </w:trPr>
        <w:tc>
          <w:tcPr>
            <w:tcW w:type="dxa" w:w="1756"/>
            <w:tcBorders>
              <w:top w:sz="4.0" w:val="single" w:color="#000000"/>
            </w:tcBorders>
            <w:tcMar>
              <w:start w:w="0" w:type="dxa"/>
              <w:end w:w="0" w:type="dxa"/>
            </w:tcMar>
          </w:tcPr>
          <w:p>
            <w:pPr>
              <w:autoSpaceDN w:val="0"/>
              <w:autoSpaceDE w:val="0"/>
              <w:widowControl/>
              <w:spacing w:line="220" w:lineRule="exact" w:before="284" w:after="0"/>
              <w:ind w:left="136" w:right="0" w:firstLine="0"/>
              <w:jc w:val="left"/>
            </w:pPr>
            <w:r>
              <w:rPr>
                <w:rFonts w:ascii="黑体" w:hAnsi="黑体" w:eastAsia="黑体"/>
                <w:b w:val="0"/>
                <w:i w:val="0"/>
                <w:color w:val="000000"/>
                <w:sz w:val="22"/>
              </w:rPr>
              <w:t>企业所得税</w:t>
            </w:r>
          </w:p>
        </w:tc>
        <w:tc>
          <w:tcPr>
            <w:tcW w:type="dxa" w:w="1766"/>
            <w:tcBorders>
              <w:top w:sz="4.0" w:val="single" w:color="#000000"/>
            </w:tcBorders>
            <w:tcMar>
              <w:start w:w="0" w:type="dxa"/>
              <w:end w:w="0" w:type="dxa"/>
            </w:tcMar>
          </w:tcPr>
          <w:p>
            <w:pPr>
              <w:autoSpaceDN w:val="0"/>
              <w:autoSpaceDE w:val="0"/>
              <w:widowControl/>
              <w:spacing w:line="220" w:lineRule="exact" w:before="284" w:after="0"/>
              <w:ind w:left="114" w:right="0" w:firstLine="0"/>
              <w:jc w:val="left"/>
            </w:pPr>
            <w:r>
              <w:rPr>
                <w:rFonts w:ascii="黑体" w:hAnsi="黑体" w:eastAsia="黑体"/>
                <w:b w:val="0"/>
                <w:i w:val="0"/>
                <w:color w:val="000000"/>
                <w:sz w:val="22"/>
              </w:rPr>
              <w:t>应纳税所得额</w:t>
            </w:r>
          </w:p>
        </w:tc>
        <w:tc>
          <w:tcPr>
            <w:tcW w:type="dxa" w:w="3226"/>
            <w:tcBorders>
              <w:top w:sz="4.0" w:val="single" w:color="#000000"/>
            </w:tcBorders>
            <w:tcMar>
              <w:start w:w="0" w:type="dxa"/>
              <w:end w:w="0" w:type="dxa"/>
            </w:tcMar>
          </w:tcPr>
          <w:p/>
        </w:tc>
        <w:tc>
          <w:tcPr>
            <w:tcW w:type="dxa" w:w="1582"/>
            <w:tcBorders>
              <w:top w:sz="4.0" w:val="single" w:color="#000000"/>
            </w:tcBorders>
            <w:tcMar>
              <w:start w:w="0" w:type="dxa"/>
              <w:end w:w="0" w:type="dxa"/>
            </w:tcMar>
          </w:tcPr>
          <w:p/>
        </w:tc>
      </w:tr>
    </w:tbl>
    <w:p>
      <w:pPr>
        <w:autoSpaceDN w:val="0"/>
        <w:autoSpaceDE w:val="0"/>
        <w:widowControl/>
        <w:spacing w:line="230" w:lineRule="auto" w:before="36" w:after="0"/>
        <w:ind w:left="0" w:right="336" w:firstLine="0"/>
        <w:jc w:val="right"/>
      </w:pPr>
      <w:r>
        <w:rPr>
          <w:rFonts w:ascii="Times New Roman" w:hAnsi="Times New Roman" w:eastAsia="Times New Roman"/>
          <w:b w:val="0"/>
          <w:i w:val="0"/>
          <w:color w:val="000000"/>
          <w:sz w:val="22"/>
        </w:rPr>
        <w:t>16.5%~25%</w:t>
      </w:r>
    </w:p>
    <w:p>
      <w:pPr>
        <w:autoSpaceDN w:val="0"/>
        <w:tabs>
          <w:tab w:pos="2228" w:val="left"/>
        </w:tabs>
        <w:autoSpaceDE w:val="0"/>
        <w:widowControl/>
        <w:spacing w:line="222" w:lineRule="exact" w:before="36" w:after="0"/>
        <w:ind w:left="494" w:right="0" w:firstLine="0"/>
        <w:jc w:val="left"/>
      </w:pPr>
      <w:r>
        <w:rPr>
          <w:rFonts w:ascii="黑体" w:hAnsi="黑体" w:eastAsia="黑体"/>
          <w:b w:val="0"/>
          <w:i w:val="0"/>
          <w:color w:val="000000"/>
          <w:sz w:val="22"/>
        </w:rPr>
        <w:t>增值税</w:t>
      </w:r>
      <w:r>
        <w:tab/>
      </w:r>
      <w:r>
        <w:rPr>
          <w:rFonts w:ascii="黑体" w:hAnsi="黑体" w:eastAsia="黑体"/>
          <w:b w:val="0"/>
          <w:i w:val="0"/>
          <w:color w:val="000000"/>
          <w:sz w:val="22"/>
        </w:rPr>
        <w:t>按税法规定计算的应税收入为基础计算销项税额，</w:t>
      </w:r>
    </w:p>
    <w:p>
      <w:pPr>
        <w:autoSpaceDN w:val="0"/>
        <w:autoSpaceDE w:val="0"/>
        <w:widowControl/>
        <w:spacing w:line="222" w:lineRule="exact" w:before="62" w:after="0"/>
        <w:ind w:left="2228" w:right="0" w:firstLine="0"/>
        <w:jc w:val="left"/>
      </w:pPr>
      <w:r>
        <w:rPr>
          <w:rFonts w:ascii="黑体" w:hAnsi="黑体" w:eastAsia="黑体"/>
          <w:b w:val="0"/>
          <w:i w:val="0"/>
          <w:color w:val="000000"/>
          <w:sz w:val="22"/>
        </w:rPr>
        <w:t>在扣除当期准予抵扣的进项税额后，差额部分为应</w:t>
      </w:r>
    </w:p>
    <w:p>
      <w:pPr>
        <w:autoSpaceDN w:val="0"/>
        <w:tabs>
          <w:tab w:pos="7872" w:val="left"/>
        </w:tabs>
        <w:autoSpaceDE w:val="0"/>
        <w:widowControl/>
        <w:spacing w:line="252" w:lineRule="exact" w:before="32" w:after="0"/>
        <w:ind w:left="2228" w:right="0" w:firstLine="0"/>
        <w:jc w:val="left"/>
      </w:pPr>
      <w:r>
        <w:rPr>
          <w:rFonts w:ascii="黑体" w:hAnsi="黑体" w:eastAsia="黑体"/>
          <w:b w:val="0"/>
          <w:i w:val="0"/>
          <w:color w:val="000000"/>
          <w:sz w:val="22"/>
        </w:rPr>
        <w:t>交增值税</w:t>
      </w:r>
      <w:r>
        <w:tab/>
      </w:r>
      <w:r>
        <w:rPr>
          <w:rFonts w:ascii="Times New Roman" w:hAnsi="Times New Roman" w:eastAsia="Times New Roman"/>
          <w:b w:val="0"/>
          <w:i w:val="0"/>
          <w:color w:val="000000"/>
          <w:sz w:val="22"/>
        </w:rPr>
        <w:t>3%~13%</w:t>
      </w:r>
    </w:p>
    <w:p>
      <w:pPr>
        <w:autoSpaceDN w:val="0"/>
        <w:tabs>
          <w:tab w:pos="7882" w:val="left"/>
        </w:tabs>
        <w:autoSpaceDE w:val="0"/>
        <w:widowControl/>
        <w:spacing w:line="246" w:lineRule="exact" w:before="0" w:after="0"/>
        <w:ind w:left="494" w:right="0" w:firstLine="0"/>
        <w:jc w:val="left"/>
      </w:pPr>
      <w:r>
        <w:rPr>
          <w:rFonts w:ascii="黑体" w:hAnsi="黑体" w:eastAsia="黑体"/>
          <w:b w:val="0"/>
          <w:i w:val="0"/>
          <w:color w:val="000000"/>
          <w:sz w:val="22"/>
        </w:rPr>
        <w:t>城市维护建设税</w:t>
      </w:r>
      <w:r>
        <w:rPr>
          <w:rFonts w:ascii="黑体" w:hAnsi="黑体" w:eastAsia="黑体"/>
          <w:b w:val="0"/>
          <w:i w:val="0"/>
          <w:color w:val="000000"/>
          <w:sz w:val="22"/>
        </w:rPr>
        <w:t>实际缴纳的增值税税额</w:t>
      </w:r>
      <w:r>
        <w:tab/>
      </w:r>
      <w:r>
        <w:rPr>
          <w:rFonts w:ascii="Times New Roman" w:hAnsi="Times New Roman" w:eastAsia="Times New Roman"/>
          <w:b w:val="0"/>
          <w:i w:val="0"/>
          <w:color w:val="000000"/>
          <w:sz w:val="22"/>
        </w:rPr>
        <w:t>5%</w:t>
      </w:r>
      <w:r>
        <w:rPr>
          <w:rFonts w:ascii="黑体" w:hAnsi="黑体" w:eastAsia="黑体"/>
          <w:b w:val="0"/>
          <w:i w:val="0"/>
          <w:color w:val="000000"/>
          <w:sz w:val="22"/>
        </w:rPr>
        <w:t>或</w:t>
      </w:r>
      <w:r>
        <w:rPr>
          <w:rFonts w:ascii="Times New Roman" w:hAnsi="Times New Roman" w:eastAsia="Times New Roman"/>
          <w:b w:val="0"/>
          <w:i w:val="0"/>
          <w:color w:val="000000"/>
          <w:sz w:val="22"/>
        </w:rPr>
        <w:t>7%</w:t>
      </w:r>
    </w:p>
    <w:p>
      <w:pPr>
        <w:autoSpaceDN w:val="0"/>
        <w:tabs>
          <w:tab w:pos="2228" w:val="left"/>
          <w:tab w:pos="8394" w:val="left"/>
        </w:tabs>
        <w:autoSpaceDE w:val="0"/>
        <w:widowControl/>
        <w:spacing w:line="252" w:lineRule="exact" w:before="16" w:after="0"/>
        <w:ind w:left="494" w:right="0" w:firstLine="0"/>
        <w:jc w:val="left"/>
      </w:pPr>
      <w:r>
        <w:rPr>
          <w:rFonts w:ascii="黑体" w:hAnsi="黑体" w:eastAsia="黑体"/>
          <w:b w:val="0"/>
          <w:i w:val="0"/>
          <w:color w:val="000000"/>
          <w:sz w:val="22"/>
        </w:rPr>
        <w:t>教育费附加</w:t>
      </w:r>
      <w:r>
        <w:tab/>
      </w:r>
      <w:r>
        <w:rPr>
          <w:rFonts w:ascii="黑体" w:hAnsi="黑体" w:eastAsia="黑体"/>
          <w:b w:val="0"/>
          <w:i w:val="0"/>
          <w:color w:val="000000"/>
          <w:sz w:val="22"/>
        </w:rPr>
        <w:t>实际缴纳的增值税税额</w:t>
      </w:r>
      <w:r>
        <w:tab/>
      </w:r>
      <w:r>
        <w:rPr>
          <w:rFonts w:ascii="Times New Roman" w:hAnsi="Times New Roman" w:eastAsia="Times New Roman"/>
          <w:b w:val="0"/>
          <w:i w:val="0"/>
          <w:color w:val="000000"/>
          <w:sz w:val="22"/>
        </w:rPr>
        <w:t>3%</w:t>
      </w:r>
    </w:p>
    <w:p>
      <w:pPr>
        <w:autoSpaceDN w:val="0"/>
        <w:tabs>
          <w:tab w:pos="8394" w:val="left"/>
        </w:tabs>
        <w:autoSpaceDE w:val="0"/>
        <w:widowControl/>
        <w:spacing w:line="250" w:lineRule="exact" w:before="4" w:after="0"/>
        <w:ind w:left="494" w:right="0" w:firstLine="0"/>
        <w:jc w:val="left"/>
      </w:pPr>
      <w:r>
        <w:rPr>
          <w:rFonts w:ascii="黑体" w:hAnsi="黑体" w:eastAsia="黑体"/>
          <w:b w:val="0"/>
          <w:i w:val="0"/>
          <w:color w:val="000000"/>
          <w:sz w:val="22"/>
        </w:rPr>
        <w:t>地方教育费附加</w:t>
      </w:r>
      <w:r>
        <w:rPr>
          <w:rFonts w:ascii="黑体" w:hAnsi="黑体" w:eastAsia="黑体"/>
          <w:b w:val="0"/>
          <w:i w:val="0"/>
          <w:color w:val="000000"/>
          <w:sz w:val="22"/>
        </w:rPr>
        <w:t>实际缴纳的增值税税额</w:t>
      </w:r>
      <w:r>
        <w:tab/>
      </w:r>
      <w:r>
        <w:rPr>
          <w:rFonts w:ascii="Times New Roman" w:hAnsi="Times New Roman" w:eastAsia="Times New Roman"/>
          <w:b w:val="0"/>
          <w:i w:val="0"/>
          <w:color w:val="000000"/>
          <w:sz w:val="22"/>
        </w:rPr>
        <w:t>2%</w:t>
      </w:r>
    </w:p>
    <w:p>
      <w:pPr>
        <w:autoSpaceDN w:val="0"/>
        <w:autoSpaceDE w:val="0"/>
        <w:widowControl/>
        <w:spacing w:line="246" w:lineRule="exact" w:before="278"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企业所得税</w:t>
      </w:r>
    </w:p>
    <w:p>
      <w:pPr>
        <w:autoSpaceDN w:val="0"/>
        <w:autoSpaceDE w:val="0"/>
        <w:widowControl/>
        <w:spacing w:line="246" w:lineRule="exact" w:before="294" w:after="0"/>
        <w:ind w:left="0" w:right="0" w:firstLine="0"/>
        <w:jc w:val="center"/>
      </w:pPr>
      <w:r>
        <w:rPr>
          <w:rFonts w:ascii="黑体" w:hAnsi="黑体" w:eastAsia="黑体"/>
          <w:b w:val="0"/>
          <w:i w:val="0"/>
          <w:color w:val="000000"/>
          <w:sz w:val="22"/>
        </w:rPr>
        <w:t>本公司及境内子公司企业所得税税率为</w:t>
      </w:r>
      <w:r>
        <w:rPr>
          <w:rFonts w:ascii="Arial" w:hAnsi="Arial" w:eastAsia="Arial"/>
          <w:b w:val="0"/>
          <w:i w:val="0"/>
          <w:color w:val="000000"/>
          <w:sz w:val="22"/>
        </w:rPr>
        <w:t>25%</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25%</w:t>
      </w:r>
      <w:r>
        <w:rPr>
          <w:rFonts w:ascii="黑体" w:hAnsi="黑体" w:eastAsia="黑体"/>
          <w:b w:val="0"/>
          <w:i w:val="0"/>
          <w:color w:val="000000"/>
          <w:sz w:val="22"/>
        </w:rPr>
        <w:t>），本公司位于香港的子</w:t>
      </w:r>
    </w:p>
    <w:p>
      <w:pPr>
        <w:autoSpaceDN w:val="0"/>
        <w:autoSpaceDE w:val="0"/>
        <w:widowControl/>
        <w:spacing w:line="246" w:lineRule="exact" w:before="38" w:after="0"/>
        <w:ind w:left="0" w:right="0" w:firstLine="0"/>
        <w:jc w:val="center"/>
      </w:pPr>
      <w:r>
        <w:rPr>
          <w:rFonts w:ascii="黑体" w:hAnsi="黑体" w:eastAsia="黑体"/>
          <w:b w:val="0"/>
          <w:i w:val="0"/>
          <w:color w:val="000000"/>
          <w:sz w:val="22"/>
        </w:rPr>
        <w:t>公司（参见附注七、</w:t>
      </w:r>
      <w:r>
        <w:rPr>
          <w:rFonts w:ascii="Arial" w:hAnsi="Arial" w:eastAsia="Arial"/>
          <w:b w:val="0"/>
          <w:i w:val="0"/>
          <w:color w:val="000000"/>
          <w:sz w:val="22"/>
        </w:rPr>
        <w:t>1</w:t>
      </w:r>
      <w:r>
        <w:rPr>
          <w:rFonts w:ascii="黑体" w:hAnsi="黑体" w:eastAsia="黑体"/>
          <w:b w:val="0"/>
          <w:i w:val="0"/>
          <w:color w:val="000000"/>
          <w:sz w:val="22"/>
        </w:rPr>
        <w:t>）企业所得税（即“利得税”）税率为</w:t>
      </w:r>
      <w:r>
        <w:rPr>
          <w:rFonts w:ascii="Arial" w:hAnsi="Arial" w:eastAsia="Arial"/>
          <w:b w:val="0"/>
          <w:i w:val="0"/>
          <w:color w:val="000000"/>
          <w:sz w:val="22"/>
        </w:rPr>
        <w:t>16.5%</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p>
    <w:p>
      <w:pPr>
        <w:autoSpaceDN w:val="0"/>
        <w:autoSpaceDE w:val="0"/>
        <w:widowControl/>
        <w:spacing w:line="246" w:lineRule="exact" w:before="40" w:after="0"/>
        <w:ind w:left="358" w:right="0" w:firstLine="0"/>
        <w:jc w:val="left"/>
      </w:pPr>
      <w:r>
        <w:rPr>
          <w:rFonts w:ascii="Arial" w:hAnsi="Arial" w:eastAsia="Arial"/>
          <w:b w:val="0"/>
          <w:i w:val="0"/>
          <w:color w:val="000000"/>
          <w:sz w:val="22"/>
        </w:rPr>
        <w:t>16.5%</w:t>
      </w:r>
      <w:r>
        <w:rPr>
          <w:rFonts w:ascii="黑体" w:hAnsi="黑体" w:eastAsia="黑体"/>
          <w:b w:val="0"/>
          <w:i w:val="0"/>
          <w:color w:val="000000"/>
          <w:sz w:val="22"/>
        </w:rPr>
        <w:t>）。</w:t>
      </w:r>
    </w:p>
    <w:p>
      <w:pPr>
        <w:autoSpaceDN w:val="0"/>
        <w:autoSpaceDE w:val="0"/>
        <w:widowControl/>
        <w:spacing w:line="233" w:lineRule="auto" w:before="8386" w:after="0"/>
        <w:ind w:left="0" w:right="0" w:firstLine="0"/>
        <w:jc w:val="center"/>
      </w:pPr>
      <w:r>
        <w:rPr>
          <w:rFonts w:ascii="Arial" w:hAnsi="Arial" w:eastAsia="Arial"/>
          <w:b w:val="0"/>
          <w:i w:val="0"/>
          <w:color w:val="000000"/>
          <w:sz w:val="20"/>
        </w:rPr>
        <w:t xml:space="preserve">197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86" w:val="left"/>
        </w:tabs>
        <w:autoSpaceDE w:val="0"/>
        <w:widowControl/>
        <w:spacing w:line="436" w:lineRule="exact" w:before="0" w:after="234"/>
        <w:ind w:left="358" w:right="5184"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w:t>
      </w:r>
      <w:r>
        <w:br/>
      </w:r>
      <w:r>
        <w:rPr>
          <w:rFonts w:ascii="Arial,Bold" w:hAnsi="Arial,Bold" w:eastAsia="Arial,Bold"/>
          <w:b/>
          <w:i w:val="0"/>
          <w:color w:val="000000"/>
          <w:sz w:val="22"/>
        </w:rPr>
        <w:t xml:space="preserve">1. </w:t>
      </w:r>
      <w:r>
        <w:rPr>
          <w:rFonts w:ascii="黑体" w:hAnsi="黑体" w:eastAsia="黑体"/>
          <w:b w:val="0"/>
          <w:i w:val="0"/>
          <w:color w:val="000000"/>
          <w:sz w:val="22"/>
        </w:rPr>
        <w:t>货币资金</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按类别列示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80"/>
        </w:trPr>
        <w:tc>
          <w:tcPr>
            <w:tcW w:type="dxa" w:w="4564"/>
            <w:tcBorders/>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项目</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60"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8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328" w:after="0"/>
              <w:ind w:left="198" w:right="0" w:firstLine="0"/>
              <w:jc w:val="left"/>
            </w:pPr>
            <w:r>
              <w:rPr>
                <w:rFonts w:ascii="黑体" w:hAnsi="黑体" w:eastAsia="黑体"/>
                <w:b w:val="0"/>
                <w:i w:val="0"/>
                <w:color w:val="000000"/>
                <w:sz w:val="22"/>
              </w:rPr>
              <w:t>库存现金</w:t>
            </w:r>
          </w:p>
        </w:tc>
        <w:tc>
          <w:tcPr>
            <w:tcW w:type="dxa" w:w="3009"/>
            <w:vMerge/>
            <w:tcBorders/>
          </w:tcPr>
          <w:p/>
        </w:tc>
        <w:tc>
          <w:tcPr>
            <w:tcW w:type="dxa" w:w="3009"/>
            <w:vMerge/>
            <w:tcBorders/>
          </w:tcPr>
          <w:p/>
        </w:tc>
      </w:tr>
      <w:tr>
        <w:trPr>
          <w:trHeight w:hRule="exact" w:val="38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154" w:after="0"/>
              <w:ind w:left="0" w:right="0" w:firstLine="0"/>
              <w:jc w:val="right"/>
            </w:pPr>
            <w:r>
              <w:rPr>
                <w:rFonts w:ascii="Arial" w:hAnsi="Arial" w:eastAsia="Arial"/>
                <w:b w:val="0"/>
                <w:i w:val="0"/>
                <w:color w:val="000000"/>
                <w:sz w:val="22"/>
              </w:rPr>
              <w:t>3,009</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54" w:after="0"/>
              <w:ind w:left="0" w:right="0" w:firstLine="0"/>
              <w:jc w:val="right"/>
            </w:pPr>
            <w:r>
              <w:rPr>
                <w:rFonts w:ascii="Arial" w:hAnsi="Arial" w:eastAsia="Arial"/>
                <w:b w:val="0"/>
                <w:i w:val="0"/>
                <w:color w:val="000000"/>
                <w:sz w:val="22"/>
              </w:rPr>
              <w:t>3,917</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银行存款</w:t>
            </w:r>
          </w:p>
        </w:tc>
        <w:tc>
          <w:tcPr>
            <w:tcW w:type="dxa" w:w="3009"/>
            <w:vMerge/>
            <w:tcBorders/>
          </w:tcPr>
          <w:p/>
        </w:tc>
        <w:tc>
          <w:tcPr>
            <w:tcW w:type="dxa" w:w="3009"/>
            <w:vMerge/>
            <w:tcBorders/>
          </w:tcPr>
          <w:p/>
        </w:tc>
      </w:tr>
      <w:tr>
        <w:trPr>
          <w:trHeight w:hRule="exact" w:val="238"/>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344" w:right="0" w:firstLine="0"/>
              <w:jc w:val="left"/>
            </w:pPr>
            <w:r>
              <w:rPr>
                <w:rFonts w:ascii="Arial" w:hAnsi="Arial" w:eastAsia="Arial"/>
                <w:b w:val="0"/>
                <w:i w:val="0"/>
                <w:color w:val="000000"/>
                <w:sz w:val="22"/>
              </w:rPr>
              <w:t>25,349,558,828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22,193,515,893</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398" w:right="0" w:firstLine="0"/>
              <w:jc w:val="left"/>
            </w:pPr>
            <w:r>
              <w:rPr>
                <w:rFonts w:ascii="黑体" w:hAnsi="黑体" w:eastAsia="黑体"/>
                <w:b w:val="0"/>
                <w:i w:val="0"/>
                <w:color w:val="000000"/>
                <w:sz w:val="22"/>
              </w:rPr>
              <w:t>其中：客户资金存款</w:t>
            </w:r>
          </w:p>
        </w:tc>
        <w:tc>
          <w:tcPr>
            <w:tcW w:type="dxa" w:w="3009"/>
            <w:vMerge/>
            <w:tcBorders/>
          </w:tcPr>
          <w:p/>
        </w:tc>
        <w:tc>
          <w:tcPr>
            <w:tcW w:type="dxa" w:w="3009"/>
            <w:vMerge/>
            <w:tcBorders/>
          </w:tcPr>
          <w:p/>
        </w:tc>
      </w:tr>
      <w:tr>
        <w:trPr>
          <w:trHeight w:hRule="exact" w:val="232"/>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344" w:right="0" w:firstLine="0"/>
              <w:jc w:val="left"/>
            </w:pPr>
            <w:r>
              <w:rPr>
                <w:rFonts w:ascii="Arial" w:hAnsi="Arial" w:eastAsia="Arial"/>
                <w:b w:val="0"/>
                <w:i w:val="0"/>
                <w:color w:val="000000"/>
                <w:sz w:val="22"/>
              </w:rPr>
              <w:t>17,371,214,264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14,074,037,282</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976" w:right="0" w:firstLine="0"/>
              <w:jc w:val="left"/>
            </w:pPr>
            <w:r>
              <w:rPr>
                <w:rFonts w:ascii="黑体" w:hAnsi="黑体" w:eastAsia="黑体"/>
                <w:b w:val="0"/>
                <w:i w:val="0"/>
                <w:color w:val="000000"/>
                <w:sz w:val="22"/>
              </w:rPr>
              <w:t>自有资金</w:t>
            </w:r>
          </w:p>
        </w:tc>
        <w:tc>
          <w:tcPr>
            <w:tcW w:type="dxa" w:w="3009"/>
            <w:vMerge/>
            <w:tcBorders/>
          </w:tcPr>
          <w:p/>
        </w:tc>
        <w:tc>
          <w:tcPr>
            <w:tcW w:type="dxa" w:w="3009"/>
            <w:vMerge/>
            <w:tcBorders/>
          </w:tcPr>
          <w:p/>
        </w:tc>
      </w:tr>
      <w:tr>
        <w:trPr>
          <w:trHeight w:hRule="exact" w:val="248"/>
        </w:trPr>
        <w:tc>
          <w:tcPr>
            <w:tcW w:type="dxa" w:w="3009"/>
            <w:vMerge/>
            <w:tcBorders/>
          </w:tcPr>
          <w:p/>
        </w:tc>
        <w:tc>
          <w:tcPr>
            <w:tcW w:type="dxa" w:w="1870"/>
            <w:tcBorders/>
            <w:tcMar>
              <w:start w:w="0" w:type="dxa"/>
              <w:end w:w="0" w:type="dxa"/>
            </w:tcMar>
          </w:tcPr>
          <w:p>
            <w:pPr>
              <w:autoSpaceDN w:val="0"/>
              <w:autoSpaceDE w:val="0"/>
              <w:widowControl/>
              <w:spacing w:line="233" w:lineRule="auto" w:before="2" w:after="0"/>
              <w:ind w:left="466" w:right="0" w:firstLine="0"/>
              <w:jc w:val="left"/>
            </w:pPr>
            <w:r>
              <w:rPr>
                <w:rFonts w:ascii="Arial" w:hAnsi="Arial" w:eastAsia="Arial"/>
                <w:b w:val="0"/>
                <w:i w:val="0"/>
                <w:color w:val="000000"/>
                <w:sz w:val="22"/>
              </w:rPr>
              <w:t>7,445,202,173</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7,880,967,406</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0" w:right="0" w:firstLine="0"/>
              <w:jc w:val="center"/>
            </w:pPr>
            <w:r>
              <w:rPr>
                <w:rFonts w:ascii="黑体" w:hAnsi="黑体" w:eastAsia="黑体"/>
                <w:b w:val="0"/>
                <w:i w:val="0"/>
                <w:color w:val="000000"/>
                <w:sz w:val="22"/>
              </w:rPr>
              <w:t>结构化主体持有的银行存款</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533,142,391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238,511,205</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其他货币资金</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51,625,997</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26,184,918</w:t>
            </w:r>
          </w:p>
        </w:tc>
      </w:tr>
      <w:tr>
        <w:trPr>
          <w:trHeight w:hRule="exact" w:val="548"/>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344" w:right="0" w:firstLine="0"/>
              <w:jc w:val="left"/>
            </w:pPr>
            <w:r>
              <w:rPr>
                <w:rFonts w:ascii="Arial" w:hAnsi="Arial" w:eastAsia="Arial"/>
                <w:b w:val="0"/>
                <w:i w:val="0"/>
                <w:color w:val="000000"/>
                <w:sz w:val="22"/>
              </w:rPr>
              <w:t>25,401,187,834</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22,219,704,728</w:t>
            </w:r>
          </w:p>
        </w:tc>
      </w:tr>
      <w:tr>
        <w:trPr>
          <w:trHeight w:hRule="exact" w:val="368"/>
        </w:trPr>
        <w:tc>
          <w:tcPr>
            <w:tcW w:type="dxa" w:w="4564"/>
            <w:tcBorders>
              <w:top w:sz="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
                <w:rFonts w:ascii="黑体" w:hAnsi="黑体" w:eastAsia="黑体"/>
                <w:b w:val="0"/>
                <w:i w:val="0"/>
                <w:color w:val="000000"/>
                <w:sz w:val="22"/>
              </w:rPr>
              <w:t>其中：存放在境外的款项总额</w:t>
            </w:r>
          </w:p>
        </w:tc>
        <w:tc>
          <w:tcPr>
            <w:tcW w:type="dxa" w:w="1870"/>
            <w:tcBorders>
              <w:top w:sz="3.199999999999818"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347,105,463</w:t>
            </w:r>
          </w:p>
        </w:tc>
        <w:tc>
          <w:tcPr>
            <w:tcW w:type="dxa" w:w="2098"/>
            <w:tcBorders>
              <w:top w:sz="3.199999999999818"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309,332,501</w:t>
            </w:r>
          </w:p>
        </w:tc>
      </w:tr>
    </w:tbl>
    <w:p>
      <w:pPr>
        <w:autoSpaceDN w:val="0"/>
        <w:autoSpaceDE w:val="0"/>
        <w:widowControl/>
        <w:spacing w:line="233" w:lineRule="auto" w:before="9164" w:after="0"/>
        <w:ind w:left="0" w:right="0" w:firstLine="0"/>
        <w:jc w:val="center"/>
      </w:pPr>
      <w:r>
        <w:rPr>
          <w:rFonts w:ascii="Arial" w:hAnsi="Arial" w:eastAsia="Arial"/>
          <w:b w:val="0"/>
          <w:i w:val="0"/>
          <w:color w:val="000000"/>
          <w:sz w:val="20"/>
        </w:rPr>
        <w:t xml:space="preserve">198 </w:t>
      </w:r>
    </w:p>
    <w:p>
      <w:pPr>
        <w:sectPr>
          <w:pgSz w:w="11906" w:h="16841"/>
          <w:pgMar w:top="988" w:right="1440" w:bottom="360" w:left="1440" w:header="720" w:footer="720" w:gutter="0"/>
          <w:cols/>
          <w:docGrid w:linePitch="360"/>
        </w:sectPr>
      </w:pPr>
    </w:p>
    <w:p>
      <w:pPr>
        <w:autoSpaceDN w:val="0"/>
        <w:autoSpaceDE w:val="0"/>
        <w:widowControl/>
        <w:spacing w:line="220" w:lineRule="exact" w:before="0" w:after="60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6" w:lineRule="exact" w:before="238"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货币资金（续）</w:t>
      </w:r>
    </w:p>
    <w:p>
      <w:pPr>
        <w:autoSpaceDN w:val="0"/>
        <w:autoSpaceDE w:val="0"/>
        <w:widowControl/>
        <w:spacing w:line="246" w:lineRule="exact" w:before="212" w:after="18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按币种列示</w:t>
      </w:r>
    </w:p>
    <w:tbl>
      <w:tblPr>
        <w:tblW w:type="auto" w:w="0"/>
        <w:tblLayout w:type="fixed"/>
        <w:tblLook w:firstColumn="1" w:firstRow="1" w:lastColumn="0" w:lastRow="0" w:noHBand="0" w:noVBand="1" w:val="04A0"/>
        <w:tblInd w:w="2396.0" w:type="dxa"/>
      </w:tblPr>
      <w:tblGrid>
        <w:gridCol w:w="1504"/>
        <w:gridCol w:w="1504"/>
        <w:gridCol w:w="1504"/>
        <w:gridCol w:w="1504"/>
        <w:gridCol w:w="1504"/>
        <w:gridCol w:w="1504"/>
      </w:tblGrid>
      <w:tr>
        <w:trPr>
          <w:trHeight w:hRule="exact" w:val="258"/>
        </w:trPr>
        <w:tc>
          <w:tcPr>
            <w:tcW w:type="dxa" w:w="2224"/>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60" w:after="0"/>
              <w:ind w:left="0" w:right="68"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894"/>
            <w:tcBorders>
              <w:bottom w:sz="4.0" w:val="single" w:color="#000000"/>
            </w:tcBorders>
            <w:tcMar>
              <w:start w:w="0" w:type="dxa"/>
              <w:end w:w="0" w:type="dxa"/>
            </w:tcMar>
          </w:tcPr>
          <w:p/>
        </w:tc>
        <w:tc>
          <w:tcPr>
            <w:tcW w:type="dxa" w:w="2306"/>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60" w:after="0"/>
              <w:ind w:left="0" w:right="64"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872"/>
            <w:tcBorders>
              <w:bottom w:sz="4.0" w:val="single" w:color="#000000"/>
            </w:tcBorders>
            <w:tcMar>
              <w:start w:w="0" w:type="dxa"/>
              <w:end w:w="0" w:type="dxa"/>
            </w:tcMar>
          </w:tcPr>
          <w:p/>
        </w:tc>
      </w:tr>
      <w:tr>
        <w:trPr>
          <w:trHeight w:hRule="exact" w:val="250"/>
        </w:trPr>
        <w:tc>
          <w:tcPr>
            <w:tcW w:type="dxa" w:w="1088"/>
            <w:tcBorders>
              <w:top w:sz="4.0" w:val="single" w:color="#000000"/>
            </w:tcBorders>
            <w:tcMar>
              <w:start w:w="0" w:type="dxa"/>
              <w:end w:w="0" w:type="dxa"/>
            </w:tcMar>
          </w:tcPr>
          <w:p>
            <w:pPr>
              <w:autoSpaceDN w:val="0"/>
              <w:autoSpaceDE w:val="0"/>
              <w:widowControl/>
              <w:spacing w:line="162" w:lineRule="exact" w:before="22" w:after="0"/>
              <w:ind w:left="0" w:right="120" w:firstLine="0"/>
              <w:jc w:val="right"/>
            </w:pPr>
            <w:r>
              <w:rPr>
                <w:rFonts w:ascii="黑体" w:hAnsi="黑体" w:eastAsia="黑体"/>
                <w:b w:val="0"/>
                <w:i w:val="0"/>
                <w:color w:val="000000"/>
                <w:sz w:val="16"/>
              </w:rPr>
              <w:t>外币金额</w:t>
            </w:r>
          </w:p>
        </w:tc>
        <w:tc>
          <w:tcPr>
            <w:tcW w:type="dxa" w:w="1136"/>
            <w:tcBorders>
              <w:top w:sz="4.0" w:val="single" w:color="#000000"/>
            </w:tcBorders>
            <w:tcMar>
              <w:start w:w="0" w:type="dxa"/>
              <w:end w:w="0" w:type="dxa"/>
            </w:tcMar>
          </w:tcPr>
          <w:p>
            <w:pPr>
              <w:autoSpaceDN w:val="0"/>
              <w:autoSpaceDE w:val="0"/>
              <w:widowControl/>
              <w:spacing w:line="162" w:lineRule="exact" w:before="22" w:after="0"/>
              <w:ind w:left="188" w:right="0" w:firstLine="0"/>
              <w:jc w:val="left"/>
            </w:pPr>
            <w:r>
              <w:rPr>
                <w:rFonts w:ascii="黑体" w:hAnsi="黑体" w:eastAsia="黑体"/>
                <w:b w:val="0"/>
                <w:i w:val="0"/>
                <w:color w:val="000000"/>
                <w:sz w:val="16"/>
              </w:rPr>
              <w:t>折算率</w:t>
            </w:r>
          </w:p>
        </w:tc>
        <w:tc>
          <w:tcPr>
            <w:tcW w:type="dxa" w:w="894"/>
            <w:tcBorders>
              <w:top w:sz="4.0" w:val="single" w:color="#000000"/>
            </w:tcBorders>
            <w:tcMar>
              <w:start w:w="0" w:type="dxa"/>
              <w:end w:w="0" w:type="dxa"/>
            </w:tcMar>
          </w:tcPr>
          <w:p>
            <w:pPr>
              <w:autoSpaceDN w:val="0"/>
              <w:autoSpaceDE w:val="0"/>
              <w:widowControl/>
              <w:spacing w:line="162" w:lineRule="exact" w:before="22" w:after="0"/>
              <w:ind w:left="98" w:right="0" w:firstLine="0"/>
              <w:jc w:val="left"/>
            </w:pPr>
            <w:r>
              <w:rPr>
                <w:rFonts w:ascii="黑体" w:hAnsi="黑体" w:eastAsia="黑体"/>
                <w:b w:val="0"/>
                <w:i w:val="0"/>
                <w:color w:val="000000"/>
                <w:sz w:val="16"/>
              </w:rPr>
              <w:t>人民币金额</w:t>
            </w:r>
          </w:p>
        </w:tc>
        <w:tc>
          <w:tcPr>
            <w:tcW w:type="dxa" w:w="1080"/>
            <w:tcBorders>
              <w:top w:sz="4.0" w:val="single" w:color="#000000"/>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外币金额</w:t>
            </w:r>
          </w:p>
        </w:tc>
        <w:tc>
          <w:tcPr>
            <w:tcW w:type="dxa" w:w="1226"/>
            <w:tcBorders>
              <w:top w:sz="4.0" w:val="single" w:color="#000000"/>
            </w:tcBorders>
            <w:tcMar>
              <w:start w:w="0" w:type="dxa"/>
              <w:end w:w="0" w:type="dxa"/>
            </w:tcMar>
          </w:tcPr>
          <w:p>
            <w:pPr>
              <w:autoSpaceDN w:val="0"/>
              <w:autoSpaceDE w:val="0"/>
              <w:widowControl/>
              <w:spacing w:line="162" w:lineRule="exact" w:before="22" w:after="0"/>
              <w:ind w:left="0" w:right="432" w:firstLine="0"/>
              <w:jc w:val="right"/>
            </w:pPr>
            <w:r>
              <w:rPr>
                <w:rFonts w:ascii="黑体" w:hAnsi="黑体" w:eastAsia="黑体"/>
                <w:b w:val="0"/>
                <w:i w:val="0"/>
                <w:color w:val="000000"/>
                <w:sz w:val="16"/>
              </w:rPr>
              <w:t>折算率</w:t>
            </w:r>
          </w:p>
        </w:tc>
        <w:tc>
          <w:tcPr>
            <w:tcW w:type="dxa" w:w="872"/>
            <w:tcBorders>
              <w:top w:sz="4.0" w:val="single" w:color="#000000"/>
            </w:tcBorders>
            <w:tcMar>
              <w:start w:w="0" w:type="dxa"/>
              <w:end w:w="0" w:type="dxa"/>
            </w:tcMar>
          </w:tcPr>
          <w:p>
            <w:pPr>
              <w:autoSpaceDN w:val="0"/>
              <w:autoSpaceDE w:val="0"/>
              <w:widowControl/>
              <w:spacing w:line="162" w:lineRule="exact" w:before="22" w:after="0"/>
              <w:ind w:left="0" w:right="0" w:firstLine="0"/>
              <w:jc w:val="center"/>
            </w:pPr>
            <w:r>
              <w:rPr>
                <w:rFonts w:ascii="黑体" w:hAnsi="黑体" w:eastAsia="黑体"/>
                <w:b w:val="0"/>
                <w:i w:val="0"/>
                <w:color w:val="000000"/>
                <w:sz w:val="16"/>
              </w:rPr>
              <w:t>人民币金额</w:t>
            </w:r>
          </w:p>
        </w:tc>
      </w:tr>
    </w:tbl>
    <w:p>
      <w:pPr>
        <w:autoSpaceDN w:val="0"/>
        <w:autoSpaceDE w:val="0"/>
        <w:widowControl/>
        <w:spacing w:line="160" w:lineRule="exact" w:before="170" w:after="22"/>
        <w:ind w:left="358" w:right="0" w:firstLine="0"/>
        <w:jc w:val="left"/>
      </w:pPr>
      <w:r>
        <w:rPr>
          <w:rFonts w:ascii="黑体" w:hAnsi="黑体" w:eastAsia="黑体"/>
          <w:b w:val="0"/>
          <w:i w:val="0"/>
          <w:color w:val="000000"/>
          <w:sz w:val="16"/>
        </w:rPr>
        <w:t>库存现金</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16"/>
        </w:trPr>
        <w:tc>
          <w:tcPr>
            <w:tcW w:type="dxa" w:w="1980"/>
            <w:tcBorders>
              <w:bottom w:sz="4.0" w:val="single" w:color="#000000"/>
            </w:tcBorders>
            <w:tcMar>
              <w:start w:w="0" w:type="dxa"/>
              <w:end w:w="0" w:type="dxa"/>
            </w:tcMar>
          </w:tcPr>
          <w:p>
            <w:pPr>
              <w:autoSpaceDN w:val="0"/>
              <w:autoSpaceDE w:val="0"/>
              <w:widowControl/>
              <w:spacing w:line="162" w:lineRule="exact" w:before="24" w:after="0"/>
              <w:ind w:left="352" w:right="0" w:firstLine="0"/>
              <w:jc w:val="left"/>
            </w:pPr>
            <w:r>
              <w:rPr>
                <w:rFonts w:ascii="黑体" w:hAnsi="黑体" w:eastAsia="黑体"/>
                <w:b w:val="0"/>
                <w:i w:val="0"/>
                <w:color w:val="000000"/>
                <w:sz w:val="16"/>
              </w:rPr>
              <w:t>港币</w:t>
            </w:r>
          </w:p>
        </w:tc>
        <w:tc>
          <w:tcPr>
            <w:tcW w:type="dxa" w:w="1360"/>
            <w:tcBorders>
              <w:bottom w:sz="4.0" w:val="single" w:color="#000000"/>
            </w:tcBorders>
            <w:tcMar>
              <w:start w:w="0" w:type="dxa"/>
              <w:end w:w="0" w:type="dxa"/>
            </w:tcMar>
          </w:tcPr>
          <w:p>
            <w:pPr>
              <w:autoSpaceDN w:val="0"/>
              <w:autoSpaceDE w:val="0"/>
              <w:widowControl/>
              <w:spacing w:line="233" w:lineRule="auto" w:before="26" w:after="0"/>
              <w:ind w:left="0" w:right="138" w:firstLine="0"/>
              <w:jc w:val="right"/>
            </w:pPr>
            <w:r>
              <w:rPr>
                <w:rFonts w:ascii="Arial" w:hAnsi="Arial" w:eastAsia="Arial"/>
                <w:b w:val="0"/>
                <w:i w:val="0"/>
                <w:color w:val="000000"/>
                <w:sz w:val="16"/>
              </w:rPr>
              <w:t>3,249</w:t>
            </w:r>
          </w:p>
        </w:tc>
        <w:tc>
          <w:tcPr>
            <w:tcW w:type="dxa" w:w="768"/>
            <w:tcBorders>
              <w:bottom w:sz="4.0" w:val="single" w:color="#0000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0.9260</w:t>
            </w:r>
          </w:p>
        </w:tc>
        <w:tc>
          <w:tcPr>
            <w:tcW w:type="dxa" w:w="1246"/>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3,009</w:t>
            </w:r>
          </w:p>
        </w:tc>
        <w:tc>
          <w:tcPr>
            <w:tcW w:type="dxa" w:w="1226"/>
            <w:tcBorders>
              <w:bottom w:sz="4.0" w:val="single" w:color="#000000"/>
            </w:tcBorders>
            <w:tcMar>
              <w:start w:w="0" w:type="dxa"/>
              <w:end w:w="0" w:type="dxa"/>
            </w:tcMar>
          </w:tcPr>
          <w:p>
            <w:pPr>
              <w:autoSpaceDN w:val="0"/>
              <w:autoSpaceDE w:val="0"/>
              <w:widowControl/>
              <w:spacing w:line="233" w:lineRule="auto" w:before="26" w:after="0"/>
              <w:ind w:left="0" w:right="146" w:firstLine="0"/>
              <w:jc w:val="right"/>
            </w:pPr>
            <w:r>
              <w:rPr>
                <w:rFonts w:ascii="Arial" w:hAnsi="Arial" w:eastAsia="Arial"/>
                <w:b w:val="0"/>
                <w:i w:val="0"/>
                <w:color w:val="000000"/>
                <w:sz w:val="16"/>
              </w:rPr>
              <w:t>4,322</w:t>
            </w:r>
          </w:p>
        </w:tc>
        <w:tc>
          <w:tcPr>
            <w:tcW w:type="dxa" w:w="762"/>
            <w:tcBorders>
              <w:bottom w:sz="4.0" w:val="single" w:color="#0000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0.9062</w:t>
            </w:r>
          </w:p>
        </w:tc>
        <w:tc>
          <w:tcPr>
            <w:tcW w:type="dxa" w:w="1190"/>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3,917</w:t>
            </w:r>
          </w:p>
        </w:tc>
      </w:tr>
      <w:tr>
        <w:trPr>
          <w:trHeight w:hRule="exact" w:val="400"/>
        </w:trPr>
        <w:tc>
          <w:tcPr>
            <w:tcW w:type="dxa" w:w="1980"/>
            <w:tcBorders>
              <w:top w:sz="4.0" w:val="single" w:color="#000000"/>
              <w:bottom w:sz="3.2000000000000455" w:val="single" w:color="#000000"/>
            </w:tcBorders>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库存现金小计</w:t>
            </w:r>
          </w:p>
        </w:tc>
        <w:tc>
          <w:tcPr>
            <w:tcW w:type="dxa" w:w="1360"/>
            <w:tcBorders>
              <w:top w:sz="4.0" w:val="single" w:color="#000000"/>
              <w:bottom w:sz="3.2000000000000455" w:val="single" w:color="#000000"/>
            </w:tcBorders>
            <w:tcMar>
              <w:start w:w="0" w:type="dxa"/>
              <w:end w:w="0" w:type="dxa"/>
            </w:tcMar>
          </w:tcPr>
          <w:p/>
        </w:tc>
        <w:tc>
          <w:tcPr>
            <w:tcW w:type="dxa" w:w="768"/>
            <w:tcBorders>
              <w:top w:sz="4.0" w:val="single" w:color="#000000"/>
              <w:bottom w:sz="3.2000000000000455" w:val="single" w:color="#000000"/>
            </w:tcBorders>
            <w:tcMar>
              <w:start w:w="0" w:type="dxa"/>
              <w:end w:w="0" w:type="dxa"/>
            </w:tcMar>
          </w:tcPr>
          <w:p/>
        </w:tc>
        <w:tc>
          <w:tcPr>
            <w:tcW w:type="dxa" w:w="1246"/>
            <w:tcBorders>
              <w:top w:sz="4.0" w:val="single" w:color="#000000"/>
              <w:bottom w:sz="3.2000000000000455" w:val="single" w:color="#000000"/>
            </w:tcBorders>
            <w:tcMar>
              <w:start w:w="0" w:type="dxa"/>
              <w:end w:w="0" w:type="dxa"/>
            </w:tcMar>
          </w:tcPr>
          <w:p>
            <w:pPr>
              <w:autoSpaceDN w:val="0"/>
              <w:autoSpaceDE w:val="0"/>
              <w:widowControl/>
              <w:spacing w:line="230" w:lineRule="auto" w:before="208" w:after="0"/>
              <w:ind w:left="0" w:right="0" w:firstLine="0"/>
              <w:jc w:val="right"/>
            </w:pPr>
            <w:r>
              <w:rPr>
                <w:rFonts w:ascii="Arial" w:hAnsi="Arial" w:eastAsia="Arial"/>
                <w:b w:val="0"/>
                <w:i w:val="0"/>
                <w:color w:val="000000"/>
                <w:sz w:val="16"/>
              </w:rPr>
              <w:t>3,009</w:t>
            </w:r>
          </w:p>
        </w:tc>
        <w:tc>
          <w:tcPr>
            <w:tcW w:type="dxa" w:w="1226"/>
            <w:tcBorders>
              <w:top w:sz="4.0" w:val="single" w:color="#000000"/>
              <w:bottom w:sz="3.2000000000000455" w:val="single" w:color="#000000"/>
            </w:tcBorders>
            <w:tcMar>
              <w:start w:w="0" w:type="dxa"/>
              <w:end w:w="0" w:type="dxa"/>
            </w:tcMar>
          </w:tcPr>
          <w:p/>
        </w:tc>
        <w:tc>
          <w:tcPr>
            <w:tcW w:type="dxa" w:w="762"/>
            <w:tcBorders>
              <w:top w:sz="4.0" w:val="single" w:color="#000000"/>
              <w:bottom w:sz="3.2000000000000455" w:val="single" w:color="#000000"/>
            </w:tcBorders>
            <w:tcMar>
              <w:start w:w="0" w:type="dxa"/>
              <w:end w:w="0" w:type="dxa"/>
            </w:tcMar>
          </w:tcPr>
          <w:p/>
        </w:tc>
        <w:tc>
          <w:tcPr>
            <w:tcW w:type="dxa" w:w="1190"/>
            <w:tcBorders>
              <w:top w:sz="4.0" w:val="single" w:color="#000000"/>
              <w:bottom w:sz="3.2000000000000455" w:val="single" w:color="#000000"/>
            </w:tcBorders>
            <w:tcMar>
              <w:start w:w="0" w:type="dxa"/>
              <w:end w:w="0" w:type="dxa"/>
            </w:tcMar>
          </w:tcPr>
          <w:p>
            <w:pPr>
              <w:autoSpaceDN w:val="0"/>
              <w:autoSpaceDE w:val="0"/>
              <w:widowControl/>
              <w:spacing w:line="230" w:lineRule="auto" w:before="208" w:after="0"/>
              <w:ind w:left="0" w:right="0" w:firstLine="0"/>
              <w:jc w:val="right"/>
            </w:pPr>
            <w:r>
              <w:rPr>
                <w:rFonts w:ascii="Arial" w:hAnsi="Arial" w:eastAsia="Arial"/>
                <w:b w:val="0"/>
                <w:i w:val="0"/>
                <w:color w:val="000000"/>
                <w:sz w:val="16"/>
              </w:rPr>
              <w:t>3,917</w:t>
            </w:r>
          </w:p>
        </w:tc>
      </w:tr>
    </w:tbl>
    <w:p>
      <w:pPr>
        <w:autoSpaceDN w:val="0"/>
        <w:autoSpaceDE w:val="0"/>
        <w:widowControl/>
        <w:spacing w:line="162" w:lineRule="exact" w:before="212" w:after="24"/>
        <w:ind w:left="358" w:right="0" w:firstLine="0"/>
        <w:jc w:val="left"/>
      </w:pPr>
      <w:r>
        <w:rPr>
          <w:rFonts w:ascii="黑体" w:hAnsi="黑体" w:eastAsia="黑体"/>
          <w:b w:val="0"/>
          <w:i w:val="0"/>
          <w:color w:val="000000"/>
          <w:sz w:val="16"/>
        </w:rPr>
        <w:t>客户非信用资金存款</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188"/>
        </w:trPr>
        <w:tc>
          <w:tcPr>
            <w:tcW w:type="dxa" w:w="1900"/>
            <w:tcBorders/>
            <w:tcMar>
              <w:start w:w="0" w:type="dxa"/>
              <w:end w:w="0" w:type="dxa"/>
            </w:tcMar>
          </w:tcPr>
          <w:p>
            <w:pPr>
              <w:autoSpaceDN w:val="0"/>
              <w:autoSpaceDE w:val="0"/>
              <w:widowControl/>
              <w:spacing w:line="160" w:lineRule="exact" w:before="22" w:after="0"/>
              <w:ind w:left="272" w:right="0" w:firstLine="0"/>
              <w:jc w:val="left"/>
            </w:pPr>
            <w:r>
              <w:rPr>
                <w:rFonts w:ascii="黑体" w:hAnsi="黑体" w:eastAsia="黑体"/>
                <w:b w:val="0"/>
                <w:i w:val="0"/>
                <w:color w:val="000000"/>
                <w:sz w:val="16"/>
              </w:rPr>
              <w:t>人民币</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232" w:after="0"/>
              <w:ind w:left="0" w:right="138" w:firstLine="0"/>
              <w:jc w:val="right"/>
            </w:pPr>
            <w:r>
              <w:rPr>
                <w:rFonts w:ascii="Arial" w:hAnsi="Arial" w:eastAsia="Arial"/>
                <w:b w:val="0"/>
                <w:i w:val="0"/>
                <w:color w:val="000000"/>
                <w:sz w:val="16"/>
              </w:rPr>
              <w:t>6,091,809</w:t>
            </w:r>
          </w:p>
        </w:tc>
        <w:tc>
          <w:tcPr>
            <w:tcW w:type="dxa" w:w="768"/>
            <w:vMerge w:val="restart"/>
            <w:tcBorders/>
            <w:tcMar>
              <w:start w:w="0" w:type="dxa"/>
              <w:end w:w="0" w:type="dxa"/>
            </w:tcMar>
            <w:tcMar>
              <w:start w:w="0" w:type="dxa"/>
              <w:end w:w="0" w:type="dxa"/>
            </w:tcMar>
          </w:tcPr>
          <w:p>
            <w:pPr>
              <w:autoSpaceDN w:val="0"/>
              <w:autoSpaceDE w:val="0"/>
              <w:widowControl/>
              <w:spacing w:line="233" w:lineRule="auto" w:before="232" w:after="0"/>
              <w:ind w:left="0" w:right="0" w:firstLine="0"/>
              <w:jc w:val="center"/>
            </w:pPr>
            <w:r>
              <w:rPr>
                <w:rFonts w:ascii="Arial" w:hAnsi="Arial" w:eastAsia="Arial"/>
                <w:b w:val="0"/>
                <w:i w:val="0"/>
                <w:color w:val="000000"/>
                <w:sz w:val="16"/>
              </w:rPr>
              <w:t>7.1884</w:t>
            </w:r>
          </w:p>
        </w:tc>
        <w:tc>
          <w:tcPr>
            <w:tcW w:type="dxa" w:w="1246"/>
            <w:tcBorders/>
            <w:tcMar>
              <w:start w:w="0" w:type="dxa"/>
              <w:end w:w="0" w:type="dxa"/>
            </w:tcMar>
          </w:tcPr>
          <w:p>
            <w:pPr>
              <w:autoSpaceDN w:val="0"/>
              <w:autoSpaceDE w:val="0"/>
              <w:widowControl/>
              <w:spacing w:line="230" w:lineRule="auto" w:before="10" w:after="0"/>
              <w:ind w:left="136" w:right="0" w:firstLine="0"/>
              <w:jc w:val="left"/>
            </w:pPr>
            <w:r>
              <w:rPr>
                <w:rFonts w:ascii="Arial" w:hAnsi="Arial" w:eastAsia="Arial"/>
                <w:b w:val="0"/>
                <w:i w:val="0"/>
                <w:color w:val="000000"/>
                <w:sz w:val="16"/>
              </w:rPr>
              <w:t>16,418,449,624</w:t>
            </w:r>
          </w:p>
        </w:tc>
        <w:tc>
          <w:tcPr>
            <w:tcW w:type="dxa" w:w="1226"/>
            <w:vMerge w:val="restart"/>
            <w:tcBorders/>
            <w:tcMar>
              <w:start w:w="0" w:type="dxa"/>
              <w:end w:w="0" w:type="dxa"/>
            </w:tcMar>
            <w:tcMar>
              <w:start w:w="0" w:type="dxa"/>
              <w:end w:w="0" w:type="dxa"/>
            </w:tcMar>
          </w:tcPr>
          <w:p>
            <w:pPr>
              <w:autoSpaceDN w:val="0"/>
              <w:autoSpaceDE w:val="0"/>
              <w:widowControl/>
              <w:spacing w:line="233" w:lineRule="auto" w:before="232" w:after="0"/>
              <w:ind w:left="278" w:right="0" w:firstLine="0"/>
              <w:jc w:val="left"/>
            </w:pPr>
            <w:r>
              <w:rPr>
                <w:rFonts w:ascii="Arial" w:hAnsi="Arial" w:eastAsia="Arial"/>
                <w:b w:val="0"/>
                <w:i w:val="0"/>
                <w:color w:val="000000"/>
                <w:sz w:val="16"/>
              </w:rPr>
              <w:t>17,758,519</w:t>
            </w:r>
          </w:p>
        </w:tc>
        <w:tc>
          <w:tcPr>
            <w:tcW w:type="dxa" w:w="762"/>
            <w:vMerge w:val="restart"/>
            <w:tcBorders/>
            <w:tcMar>
              <w:start w:w="0" w:type="dxa"/>
              <w:end w:w="0" w:type="dxa"/>
            </w:tcMar>
            <w:tcMar>
              <w:start w:w="0" w:type="dxa"/>
              <w:end w:w="0" w:type="dxa"/>
            </w:tcMar>
          </w:tcPr>
          <w:p>
            <w:pPr>
              <w:autoSpaceDN w:val="0"/>
              <w:autoSpaceDE w:val="0"/>
              <w:widowControl/>
              <w:spacing w:line="233" w:lineRule="auto" w:before="232" w:after="0"/>
              <w:ind w:left="0" w:right="0" w:firstLine="0"/>
              <w:jc w:val="center"/>
            </w:pPr>
            <w:r>
              <w:rPr>
                <w:rFonts w:ascii="Arial" w:hAnsi="Arial" w:eastAsia="Arial"/>
                <w:b w:val="0"/>
                <w:i w:val="0"/>
                <w:color w:val="000000"/>
                <w:sz w:val="16"/>
              </w:rPr>
              <w:t>7.0827</w:t>
            </w:r>
          </w:p>
        </w:tc>
        <w:tc>
          <w:tcPr>
            <w:tcW w:type="dxa" w:w="1190"/>
            <w:tcBorders/>
            <w:tcMar>
              <w:start w:w="0" w:type="dxa"/>
              <w:end w:w="0" w:type="dxa"/>
            </w:tcMar>
          </w:tcPr>
          <w:p>
            <w:pPr>
              <w:autoSpaceDN w:val="0"/>
              <w:autoSpaceDE w:val="0"/>
              <w:widowControl/>
              <w:spacing w:line="230" w:lineRule="auto" w:before="10" w:after="0"/>
              <w:ind w:left="80" w:right="0" w:firstLine="0"/>
              <w:jc w:val="left"/>
            </w:pPr>
            <w:r>
              <w:rPr>
                <w:rFonts w:ascii="Arial" w:hAnsi="Arial" w:eastAsia="Arial"/>
                <w:b w:val="0"/>
                <w:i w:val="0"/>
                <w:color w:val="000000"/>
                <w:sz w:val="16"/>
              </w:rPr>
              <w:t>13,329,941,082</w:t>
            </w:r>
          </w:p>
        </w:tc>
      </w:tr>
      <w:tr>
        <w:trPr>
          <w:trHeight w:hRule="exact" w:val="237"/>
        </w:trPr>
        <w:tc>
          <w:tcPr>
            <w:tcW w:type="dxa" w:w="1900"/>
            <w:tcBorders/>
            <w:tcMar>
              <w:start w:w="0" w:type="dxa"/>
              <w:end w:w="0" w:type="dxa"/>
            </w:tcMar>
          </w:tcPr>
          <w:p>
            <w:pPr>
              <w:autoSpaceDN w:val="0"/>
              <w:autoSpaceDE w:val="0"/>
              <w:widowControl/>
              <w:spacing w:line="160" w:lineRule="exact" w:before="42" w:after="0"/>
              <w:ind w:left="272" w:right="0" w:firstLine="0"/>
              <w:jc w:val="left"/>
            </w:pPr>
            <w:r>
              <w:rPr>
                <w:rFonts w:ascii="黑体" w:hAnsi="黑体" w:eastAsia="黑体"/>
                <w:b w:val="0"/>
                <w:i w:val="0"/>
                <w:color w:val="000000"/>
                <w:sz w:val="16"/>
              </w:rPr>
              <w:t>美元</w:t>
            </w:r>
          </w:p>
        </w:tc>
        <w:tc>
          <w:tcPr>
            <w:tcW w:type="dxa" w:w="1289"/>
            <w:vMerge/>
            <w:tcBorders/>
          </w:tcPr>
          <w:p/>
        </w:tc>
        <w:tc>
          <w:tcPr>
            <w:tcW w:type="dxa" w:w="1289"/>
            <w:vMerge/>
            <w:tcBorders/>
          </w:tcPr>
          <w:p/>
        </w:tc>
        <w:tc>
          <w:tcPr>
            <w:tcW w:type="dxa" w:w="1246"/>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6"/>
              </w:rPr>
              <w:t>43,790,358</w:t>
            </w:r>
          </w:p>
        </w:tc>
        <w:tc>
          <w:tcPr>
            <w:tcW w:type="dxa" w:w="1289"/>
            <w:vMerge/>
            <w:tcBorders/>
          </w:tcPr>
          <w:p/>
        </w:tc>
        <w:tc>
          <w:tcPr>
            <w:tcW w:type="dxa" w:w="1289"/>
            <w:vMerge/>
            <w:tcBorders/>
          </w:tcPr>
          <w:p/>
        </w:tc>
        <w:tc>
          <w:tcPr>
            <w:tcW w:type="dxa" w:w="1190"/>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6"/>
              </w:rPr>
              <w:t>125,778,265</w:t>
            </w:r>
          </w:p>
        </w:tc>
      </w:tr>
      <w:tr>
        <w:trPr>
          <w:trHeight w:hRule="exact" w:val="183"/>
        </w:trPr>
        <w:tc>
          <w:tcPr>
            <w:tcW w:type="dxa" w:w="1900"/>
            <w:tcBorders/>
            <w:tcMar>
              <w:start w:w="0" w:type="dxa"/>
              <w:end w:w="0" w:type="dxa"/>
            </w:tcMar>
          </w:tcPr>
          <w:p>
            <w:pPr>
              <w:autoSpaceDN w:val="0"/>
              <w:autoSpaceDE w:val="0"/>
              <w:widowControl/>
              <w:spacing w:line="162" w:lineRule="exact" w:before="10" w:after="0"/>
              <w:ind w:left="272" w:right="0" w:firstLine="0"/>
              <w:jc w:val="left"/>
            </w:pPr>
            <w:r>
              <w:rPr>
                <w:rFonts w:ascii="黑体" w:hAnsi="黑体" w:eastAsia="黑体"/>
                <w:b w:val="0"/>
                <w:i w:val="0"/>
                <w:color w:val="000000"/>
                <w:sz w:val="16"/>
              </w:rPr>
              <w:t>港币</w:t>
            </w:r>
          </w:p>
        </w:tc>
        <w:tc>
          <w:tcPr>
            <w:tcW w:type="dxa" w:w="136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33" w:lineRule="auto" w:before="12" w:after="0"/>
              <w:ind w:left="0" w:right="138" w:firstLine="0"/>
              <w:jc w:val="right"/>
            </w:pPr>
            <w:r>
              <w:rPr>
                <w:rFonts w:ascii="Arial" w:hAnsi="Arial" w:eastAsia="Arial"/>
                <w:b w:val="0"/>
                <w:i w:val="0"/>
                <w:color w:val="000000"/>
                <w:sz w:val="16"/>
              </w:rPr>
              <w:t>81,961,755</w:t>
            </w:r>
          </w:p>
        </w:tc>
        <w:tc>
          <w:tcPr>
            <w:tcW w:type="dxa" w:w="768"/>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6"/>
              </w:rPr>
              <w:t>0.9260</w:t>
            </w:r>
          </w:p>
        </w:tc>
        <w:tc>
          <w:tcPr>
            <w:tcW w:type="dxa" w:w="1246"/>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6"/>
              </w:rPr>
              <w:t>75,896,585</w:t>
            </w:r>
          </w:p>
        </w:tc>
        <w:tc>
          <w:tcPr>
            <w:tcW w:type="dxa" w:w="1226"/>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33" w:lineRule="auto" w:before="12" w:after="0"/>
              <w:ind w:left="278" w:right="0" w:firstLine="0"/>
              <w:jc w:val="left"/>
            </w:pPr>
            <w:r>
              <w:rPr>
                <w:rFonts w:ascii="Arial" w:hAnsi="Arial" w:eastAsia="Arial"/>
                <w:b w:val="0"/>
                <w:i w:val="0"/>
                <w:color w:val="000000"/>
                <w:sz w:val="16"/>
              </w:rPr>
              <w:t>68,370,085</w:t>
            </w:r>
          </w:p>
        </w:tc>
        <w:tc>
          <w:tcPr>
            <w:tcW w:type="dxa" w:w="762"/>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33" w:lineRule="auto" w:before="12" w:after="0"/>
              <w:ind w:left="0" w:right="0" w:firstLine="0"/>
              <w:jc w:val="center"/>
            </w:pPr>
            <w:r>
              <w:rPr>
                <w:rFonts w:ascii="Arial" w:hAnsi="Arial" w:eastAsia="Arial"/>
                <w:b w:val="0"/>
                <w:i w:val="0"/>
                <w:color w:val="000000"/>
                <w:sz w:val="16"/>
              </w:rPr>
              <w:t>0.9062</w:t>
            </w:r>
          </w:p>
        </w:tc>
        <w:tc>
          <w:tcPr>
            <w:tcW w:type="dxa" w:w="119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6"/>
              </w:rPr>
              <w:t>61,958,338</w:t>
            </w:r>
          </w:p>
        </w:tc>
      </w:tr>
      <w:tr>
        <w:trPr>
          <w:trHeight w:hRule="exact" w:val="226"/>
        </w:trPr>
        <w:tc>
          <w:tcPr>
            <w:tcW w:type="dxa" w:w="1900"/>
            <w:tcBorders>
              <w:bottom w:sz="3.199999999999818" w:val="single" w:color="#000000"/>
            </w:tcBorders>
            <w:tcMar>
              <w:start w:w="0" w:type="dxa"/>
              <w:end w:w="0" w:type="dxa"/>
            </w:tcMar>
          </w:tcPr>
          <w:p>
            <w:pPr>
              <w:autoSpaceDN w:val="0"/>
              <w:autoSpaceDE w:val="0"/>
              <w:widowControl/>
              <w:spacing w:line="180" w:lineRule="exact" w:before="30" w:after="0"/>
              <w:ind w:left="272" w:right="0" w:firstLine="0"/>
              <w:jc w:val="left"/>
            </w:pPr>
            <w:r>
              <w:rPr>
                <w:rFonts w:ascii="黑体" w:hAnsi="黑体" w:eastAsia="黑体"/>
                <w:b w:val="0"/>
                <w:i w:val="0"/>
                <w:color w:val="000000"/>
                <w:sz w:val="16"/>
              </w:rPr>
              <w:t>其他币种（注</w:t>
            </w:r>
            <w:r>
              <w:rPr>
                <w:rFonts w:ascii="Arial" w:hAnsi="Arial" w:eastAsia="Arial"/>
                <w:b w:val="0"/>
                <w:i w:val="0"/>
                <w:color w:val="000000"/>
                <w:sz w:val="16"/>
              </w:rPr>
              <w:t>1</w:t>
            </w:r>
            <w:r>
              <w:rPr>
                <w:rFonts w:ascii="黑体" w:hAnsi="黑体" w:eastAsia="黑体"/>
                <w:b w:val="0"/>
                <w:i w:val="0"/>
                <w:color w:val="000000"/>
                <w:sz w:val="16"/>
              </w:rPr>
              <w:t>）</w:t>
            </w:r>
          </w:p>
        </w:tc>
        <w:tc>
          <w:tcPr>
            <w:tcW w:type="dxa" w:w="1289"/>
            <w:vMerge/>
            <w:tcBorders>
              <w:bottom w:sz="3.199999999999818" w:val="single" w:color="#000000"/>
            </w:tcBorders>
          </w:tcPr>
          <w:p/>
        </w:tc>
        <w:tc>
          <w:tcPr>
            <w:tcW w:type="dxa" w:w="1289"/>
            <w:vMerge/>
            <w:tcBorders>
              <w:bottom w:sz="3.199999999999818" w:val="single" w:color="#000000"/>
            </w:tcBorders>
          </w:tcPr>
          <w:p/>
        </w:tc>
        <w:tc>
          <w:tcPr>
            <w:tcW w:type="dxa" w:w="1246"/>
            <w:tcBorders>
              <w:bottom w:sz="3.199999999999818"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101,024</w:t>
            </w:r>
          </w:p>
        </w:tc>
        <w:tc>
          <w:tcPr>
            <w:tcW w:type="dxa" w:w="1289"/>
            <w:vMerge/>
            <w:tcBorders>
              <w:bottom w:sz="3.199999999999818" w:val="single" w:color="#000000"/>
            </w:tcBorders>
          </w:tcPr>
          <w:p/>
        </w:tc>
        <w:tc>
          <w:tcPr>
            <w:tcW w:type="dxa" w:w="1289"/>
            <w:vMerge/>
            <w:tcBorders>
              <w:bottom w:sz="3.199999999999818" w:val="single" w:color="#000000"/>
            </w:tcBorders>
          </w:tcPr>
          <w:p/>
        </w:tc>
        <w:tc>
          <w:tcPr>
            <w:tcW w:type="dxa" w:w="1190"/>
            <w:tcBorders>
              <w:bottom w:sz="3.199999999999818" w:val="single" w:color="#000000"/>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171,030</w:t>
            </w:r>
          </w:p>
        </w:tc>
      </w:tr>
      <w:tr>
        <w:trPr>
          <w:trHeight w:hRule="exact" w:val="402"/>
        </w:trPr>
        <w:tc>
          <w:tcPr>
            <w:tcW w:type="dxa" w:w="1900"/>
            <w:tcBorders>
              <w:top w:sz="3.199999999999818" w:val="single" w:color="#000000"/>
              <w:bottom w:sz="4.0" w:val="single" w:color="#000000"/>
            </w:tcBorders>
            <w:tcMar>
              <w:start w:w="0" w:type="dxa"/>
              <w:end w:w="0" w:type="dxa"/>
            </w:tcMar>
          </w:tcPr>
          <w:p>
            <w:pPr>
              <w:autoSpaceDN w:val="0"/>
              <w:autoSpaceDE w:val="0"/>
              <w:widowControl/>
              <w:spacing w:line="160" w:lineRule="exact" w:before="208" w:after="0"/>
              <w:ind w:left="272" w:right="0" w:firstLine="0"/>
              <w:jc w:val="left"/>
            </w:pPr>
            <w:r>
              <w:rPr>
                <w:rFonts w:ascii="黑体" w:hAnsi="黑体" w:eastAsia="黑体"/>
                <w:b w:val="0"/>
                <w:i w:val="0"/>
                <w:color w:val="000000"/>
                <w:sz w:val="16"/>
              </w:rPr>
              <w:t>小计</w:t>
            </w:r>
          </w:p>
        </w:tc>
        <w:tc>
          <w:tcPr>
            <w:tcW w:type="dxa" w:w="1360"/>
            <w:tcBorders>
              <w:top w:sz="3.199999999999818" w:val="single" w:color="#000000"/>
              <w:bottom w:sz="4.0" w:val="single" w:color="#000000"/>
            </w:tcBorders>
            <w:tcMar>
              <w:start w:w="0" w:type="dxa"/>
              <w:end w:w="0" w:type="dxa"/>
            </w:tcMar>
          </w:tcPr>
          <w:p/>
        </w:tc>
        <w:tc>
          <w:tcPr>
            <w:tcW w:type="dxa" w:w="768"/>
            <w:tcBorders>
              <w:top w:sz="3.199999999999818" w:val="single" w:color="#000000"/>
              <w:bottom w:sz="4.0" w:val="single" w:color="#000000"/>
            </w:tcBorders>
            <w:tcMar>
              <w:start w:w="0" w:type="dxa"/>
              <w:end w:w="0" w:type="dxa"/>
            </w:tcMar>
          </w:tcPr>
          <w:p/>
        </w:tc>
        <w:tc>
          <w:tcPr>
            <w:tcW w:type="dxa" w:w="1246"/>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136" w:right="0" w:firstLine="0"/>
              <w:jc w:val="left"/>
            </w:pPr>
            <w:r>
              <w:rPr>
                <w:rFonts w:ascii="Arial" w:hAnsi="Arial" w:eastAsia="Arial"/>
                <w:b w:val="0"/>
                <w:i w:val="0"/>
                <w:color w:val="000000"/>
                <w:sz w:val="16"/>
              </w:rPr>
              <w:t>16,538,237,591</w:t>
            </w:r>
          </w:p>
        </w:tc>
        <w:tc>
          <w:tcPr>
            <w:tcW w:type="dxa" w:w="1226"/>
            <w:tcBorders>
              <w:top w:sz="3.199999999999818" w:val="single" w:color="#000000"/>
              <w:bottom w:sz="4.0" w:val="single" w:color="#000000"/>
            </w:tcBorders>
            <w:tcMar>
              <w:start w:w="0" w:type="dxa"/>
              <w:end w:w="0" w:type="dxa"/>
            </w:tcMar>
          </w:tcPr>
          <w:p/>
        </w:tc>
        <w:tc>
          <w:tcPr>
            <w:tcW w:type="dxa" w:w="762"/>
            <w:tcBorders>
              <w:top w:sz="3.199999999999818" w:val="single" w:color="#000000"/>
              <w:bottom w:sz="4.0" w:val="single" w:color="#000000"/>
            </w:tcBorders>
            <w:tcMar>
              <w:start w:w="0" w:type="dxa"/>
              <w:end w:w="0" w:type="dxa"/>
            </w:tcMar>
          </w:tcPr>
          <w:p/>
        </w:tc>
        <w:tc>
          <w:tcPr>
            <w:tcW w:type="dxa" w:w="1190"/>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80" w:right="0" w:firstLine="0"/>
              <w:jc w:val="left"/>
            </w:pPr>
            <w:r>
              <w:rPr>
                <w:rFonts w:ascii="Arial" w:hAnsi="Arial" w:eastAsia="Arial"/>
                <w:b w:val="0"/>
                <w:i w:val="0"/>
                <w:color w:val="000000"/>
                <w:sz w:val="16"/>
              </w:rPr>
              <w:t>13,517,848,715</w:t>
            </w:r>
          </w:p>
        </w:tc>
      </w:tr>
      <w:tr>
        <w:trPr>
          <w:trHeight w:hRule="exact" w:val="52"/>
        </w:trPr>
        <w:tc>
          <w:tcPr>
            <w:tcW w:type="dxa" w:w="1900"/>
            <w:tcBorders>
              <w:top w:sz="4.0" w:val="single" w:color="#000000"/>
            </w:tcBorders>
            <w:tcMar>
              <w:start w:w="0" w:type="dxa"/>
              <w:end w:w="0" w:type="dxa"/>
            </w:tcMar>
          </w:tcPr>
          <w:p/>
        </w:tc>
        <w:tc>
          <w:tcPr>
            <w:tcW w:type="dxa" w:w="1360"/>
            <w:tcBorders>
              <w:top w:sz="4.0" w:val="single" w:color="#000000"/>
            </w:tcBorders>
            <w:tcMar>
              <w:start w:w="0" w:type="dxa"/>
              <w:end w:w="0" w:type="dxa"/>
            </w:tcMar>
          </w:tcPr>
          <w:p/>
        </w:tc>
        <w:tc>
          <w:tcPr>
            <w:tcW w:type="dxa" w:w="768"/>
            <w:tcBorders>
              <w:top w:sz="4.0" w:val="single" w:color="#000000"/>
            </w:tcBorders>
            <w:tcMar>
              <w:start w:w="0" w:type="dxa"/>
              <w:end w:w="0" w:type="dxa"/>
            </w:tcMar>
          </w:tcPr>
          <w:p/>
        </w:tc>
        <w:tc>
          <w:tcPr>
            <w:tcW w:type="dxa" w:w="1246"/>
            <w:tcBorders>
              <w:top w:sz="4.0" w:val="single" w:color="#000000"/>
            </w:tcBorders>
            <w:tcMar>
              <w:start w:w="0" w:type="dxa"/>
              <w:end w:w="0" w:type="dxa"/>
            </w:tcMar>
          </w:tcPr>
          <w:p/>
        </w:tc>
        <w:tc>
          <w:tcPr>
            <w:tcW w:type="dxa" w:w="1226"/>
            <w:tcBorders>
              <w:top w:sz="4.0" w:val="single" w:color="#000000"/>
            </w:tcBorders>
            <w:tcMar>
              <w:start w:w="0" w:type="dxa"/>
              <w:end w:w="0" w:type="dxa"/>
            </w:tcMar>
          </w:tcPr>
          <w:p/>
        </w:tc>
        <w:tc>
          <w:tcPr>
            <w:tcW w:type="dxa" w:w="762"/>
            <w:tcBorders>
              <w:top w:sz="4.0" w:val="single" w:color="#000000"/>
            </w:tcBorders>
            <w:tcMar>
              <w:start w:w="0" w:type="dxa"/>
              <w:end w:w="0" w:type="dxa"/>
            </w:tcMar>
          </w:tcPr>
          <w:p/>
        </w:tc>
        <w:tc>
          <w:tcPr>
            <w:tcW w:type="dxa" w:w="1190"/>
            <w:tcBorders>
              <w:top w:sz="4.0" w:val="single" w:color="#000000"/>
            </w:tcBorders>
            <w:tcMar>
              <w:start w:w="0" w:type="dxa"/>
              <w:end w:w="0" w:type="dxa"/>
            </w:tcMar>
          </w:tcPr>
          <w:p/>
        </w:tc>
      </w:tr>
    </w:tbl>
    <w:p>
      <w:pPr>
        <w:autoSpaceDN w:val="0"/>
        <w:autoSpaceDE w:val="0"/>
        <w:widowControl/>
        <w:spacing w:line="162" w:lineRule="exact" w:before="158" w:after="24"/>
        <w:ind w:left="358" w:right="0" w:firstLine="0"/>
        <w:jc w:val="left"/>
      </w:pPr>
      <w:r>
        <w:rPr>
          <w:rFonts w:ascii="黑体" w:hAnsi="黑体" w:eastAsia="黑体"/>
          <w:b w:val="0"/>
          <w:i w:val="0"/>
          <w:color w:val="000000"/>
          <w:sz w:val="16"/>
        </w:rPr>
        <w:t>客户信用资金存款</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4"/>
        </w:trPr>
        <w:tc>
          <w:tcPr>
            <w:tcW w:type="dxa" w:w="4108"/>
            <w:tcBorders>
              <w:bottom w:sz="4.0" w:val="single" w:color="#000000"/>
            </w:tcBorders>
            <w:tcMar>
              <w:start w:w="0" w:type="dxa"/>
              <w:end w:w="0" w:type="dxa"/>
            </w:tcMar>
          </w:tcPr>
          <w:p>
            <w:pPr>
              <w:autoSpaceDN w:val="0"/>
              <w:autoSpaceDE w:val="0"/>
              <w:widowControl/>
              <w:spacing w:line="160" w:lineRule="exact" w:before="24" w:after="0"/>
              <w:ind w:left="352" w:right="0" w:firstLine="0"/>
              <w:jc w:val="left"/>
            </w:pPr>
            <w:r>
              <w:rPr>
                <w:rFonts w:ascii="黑体" w:hAnsi="黑体" w:eastAsia="黑体"/>
                <w:b w:val="0"/>
                <w:i w:val="0"/>
                <w:color w:val="000000"/>
                <w:sz w:val="16"/>
              </w:rPr>
              <w:t>人民币</w:t>
            </w:r>
          </w:p>
        </w:tc>
        <w:tc>
          <w:tcPr>
            <w:tcW w:type="dxa" w:w="1246"/>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832,976,673</w:t>
            </w:r>
          </w:p>
        </w:tc>
        <w:tc>
          <w:tcPr>
            <w:tcW w:type="dxa" w:w="317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556,188,567</w:t>
            </w:r>
          </w:p>
        </w:tc>
      </w:tr>
      <w:tr>
        <w:trPr>
          <w:trHeight w:hRule="exact" w:val="400"/>
        </w:trPr>
        <w:tc>
          <w:tcPr>
            <w:tcW w:type="dxa" w:w="4108"/>
            <w:tcBorders>
              <w:top w:sz="4.0" w:val="single" w:color="#000000"/>
              <w:bottom w:sz="4.0" w:val="single" w:color="#000000"/>
            </w:tcBorders>
            <w:tcMar>
              <w:start w:w="0" w:type="dxa"/>
              <w:end w:w="0" w:type="dxa"/>
            </w:tcMar>
          </w:tcPr>
          <w:p>
            <w:pPr>
              <w:autoSpaceDN w:val="0"/>
              <w:autoSpaceDE w:val="0"/>
              <w:widowControl/>
              <w:spacing w:line="162" w:lineRule="exact" w:before="206" w:after="0"/>
              <w:ind w:left="352" w:right="0" w:firstLine="0"/>
              <w:jc w:val="left"/>
            </w:pPr>
            <w:r>
              <w:rPr>
                <w:rFonts w:ascii="黑体" w:hAnsi="黑体" w:eastAsia="黑体"/>
                <w:b w:val="0"/>
                <w:i w:val="0"/>
                <w:color w:val="000000"/>
                <w:sz w:val="16"/>
              </w:rPr>
              <w:t>小计</w:t>
            </w:r>
          </w:p>
        </w:tc>
        <w:tc>
          <w:tcPr>
            <w:tcW w:type="dxa" w:w="1246"/>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832,976,673</w:t>
            </w:r>
          </w:p>
        </w:tc>
        <w:tc>
          <w:tcPr>
            <w:tcW w:type="dxa" w:w="3178"/>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556,188,567</w:t>
            </w:r>
          </w:p>
        </w:tc>
      </w:tr>
      <w:tr>
        <w:trPr>
          <w:trHeight w:hRule="exact" w:val="402"/>
        </w:trPr>
        <w:tc>
          <w:tcPr>
            <w:tcW w:type="dxa" w:w="4108"/>
            <w:tcBorders>
              <w:top w:sz="4.0" w:val="single" w:color="#000000"/>
              <w:bottom w:sz="3.199999999999818" w:val="single" w:color="#000000"/>
            </w:tcBorders>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客户存款小计</w:t>
            </w:r>
          </w:p>
        </w:tc>
        <w:tc>
          <w:tcPr>
            <w:tcW w:type="dxa" w:w="1246"/>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136" w:right="0" w:firstLine="0"/>
              <w:jc w:val="left"/>
            </w:pPr>
            <w:r>
              <w:rPr>
                <w:rFonts w:ascii="Arial" w:hAnsi="Arial" w:eastAsia="Arial"/>
                <w:b w:val="0"/>
                <w:i w:val="0"/>
                <w:color w:val="000000"/>
                <w:sz w:val="16"/>
              </w:rPr>
              <w:t>17,371,214,264</w:t>
            </w:r>
          </w:p>
        </w:tc>
        <w:tc>
          <w:tcPr>
            <w:tcW w:type="dxa" w:w="3178"/>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0" w:right="0" w:firstLine="0"/>
              <w:jc w:val="right"/>
            </w:pPr>
            <w:r>
              <w:rPr>
                <w:rFonts w:ascii="Arial" w:hAnsi="Arial" w:eastAsia="Arial"/>
                <w:b w:val="0"/>
                <w:i w:val="0"/>
                <w:color w:val="000000"/>
                <w:sz w:val="16"/>
              </w:rPr>
              <w:t>14,074,037,282</w:t>
            </w:r>
          </w:p>
        </w:tc>
      </w:tr>
      <w:tr>
        <w:trPr>
          <w:trHeight w:hRule="exact" w:val="50"/>
        </w:trPr>
        <w:tc>
          <w:tcPr>
            <w:tcW w:type="dxa" w:w="4108"/>
            <w:tcBorders>
              <w:top w:sz="3.199999999999818" w:val="single" w:color="#000000"/>
            </w:tcBorders>
            <w:tcMar>
              <w:start w:w="0" w:type="dxa"/>
              <w:end w:w="0" w:type="dxa"/>
            </w:tcMar>
          </w:tcPr>
          <w:p/>
        </w:tc>
        <w:tc>
          <w:tcPr>
            <w:tcW w:type="dxa" w:w="1246"/>
            <w:tcBorders>
              <w:top w:sz="3.199999999999818" w:val="single" w:color="#000000"/>
            </w:tcBorders>
            <w:tcMar>
              <w:start w:w="0" w:type="dxa"/>
              <w:end w:w="0" w:type="dxa"/>
            </w:tcMar>
          </w:tcPr>
          <w:p/>
        </w:tc>
        <w:tc>
          <w:tcPr>
            <w:tcW w:type="dxa" w:w="3178"/>
            <w:tcBorders>
              <w:top w:sz="3.199999999999818" w:val="single" w:color="#000000"/>
            </w:tcBorders>
            <w:tcMar>
              <w:start w:w="0" w:type="dxa"/>
              <w:end w:w="0" w:type="dxa"/>
            </w:tcMar>
          </w:tcPr>
          <w:p/>
        </w:tc>
      </w:tr>
    </w:tbl>
    <w:p>
      <w:pPr>
        <w:autoSpaceDN w:val="0"/>
        <w:autoSpaceDE w:val="0"/>
        <w:widowControl/>
        <w:spacing w:line="162" w:lineRule="exact" w:before="162" w:after="24"/>
        <w:ind w:left="358" w:right="0" w:firstLine="0"/>
        <w:jc w:val="left"/>
      </w:pPr>
      <w:r>
        <w:rPr>
          <w:rFonts w:ascii="黑体" w:hAnsi="黑体" w:eastAsia="黑体"/>
          <w:b w:val="0"/>
          <w:i w:val="0"/>
          <w:color w:val="000000"/>
          <w:sz w:val="16"/>
        </w:rPr>
        <w:t>公司自有资金存款</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182"/>
        </w:trPr>
        <w:tc>
          <w:tcPr>
            <w:tcW w:type="dxa" w:w="1900"/>
            <w:tcBorders/>
            <w:tcMar>
              <w:start w:w="0" w:type="dxa"/>
              <w:end w:w="0" w:type="dxa"/>
            </w:tcMar>
          </w:tcPr>
          <w:p>
            <w:pPr>
              <w:autoSpaceDN w:val="0"/>
              <w:autoSpaceDE w:val="0"/>
              <w:widowControl/>
              <w:spacing w:line="160" w:lineRule="exact" w:before="22" w:after="0"/>
              <w:ind w:left="272" w:right="0" w:firstLine="0"/>
              <w:jc w:val="left"/>
            </w:pPr>
            <w:r>
              <w:rPr>
                <w:rFonts w:ascii="黑体" w:hAnsi="黑体" w:eastAsia="黑体"/>
                <w:b w:val="0"/>
                <w:i w:val="0"/>
                <w:color w:val="000000"/>
                <w:sz w:val="16"/>
              </w:rPr>
              <w:t>人民币</w:t>
            </w:r>
          </w:p>
        </w:tc>
        <w:tc>
          <w:tcPr>
            <w:tcW w:type="dxa" w:w="136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0" w:after="0"/>
              <w:ind w:left="0" w:right="138" w:firstLine="0"/>
              <w:jc w:val="right"/>
            </w:pPr>
            <w:r>
              <w:rPr>
                <w:rFonts w:ascii="Arial" w:hAnsi="Arial" w:eastAsia="Arial"/>
                <w:b w:val="0"/>
                <w:i w:val="0"/>
                <w:color w:val="000000"/>
                <w:sz w:val="16"/>
              </w:rPr>
              <w:t>22,439,608</w:t>
            </w:r>
          </w:p>
        </w:tc>
        <w:tc>
          <w:tcPr>
            <w:tcW w:type="dxa" w:w="76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0" w:after="0"/>
              <w:ind w:left="0" w:right="0" w:firstLine="0"/>
              <w:jc w:val="center"/>
            </w:pPr>
            <w:r>
              <w:rPr>
                <w:rFonts w:ascii="Arial" w:hAnsi="Arial" w:eastAsia="Arial"/>
                <w:b w:val="0"/>
                <w:i w:val="0"/>
                <w:color w:val="000000"/>
                <w:sz w:val="16"/>
              </w:rPr>
              <w:t>7.1884</w:t>
            </w:r>
          </w:p>
        </w:tc>
        <w:tc>
          <w:tcPr>
            <w:tcW w:type="dxa" w:w="1246"/>
            <w:tcBorders/>
            <w:tcMar>
              <w:start w:w="0" w:type="dxa"/>
              <w:end w:w="0" w:type="dxa"/>
            </w:tcMar>
          </w:tcPr>
          <w:p>
            <w:pPr>
              <w:autoSpaceDN w:val="0"/>
              <w:autoSpaceDE w:val="0"/>
              <w:widowControl/>
              <w:spacing w:line="230" w:lineRule="auto" w:before="4" w:after="0"/>
              <w:ind w:left="226" w:right="0" w:firstLine="0"/>
              <w:jc w:val="left"/>
            </w:pPr>
            <w:r>
              <w:rPr>
                <w:rFonts w:ascii="Arial" w:hAnsi="Arial" w:eastAsia="Arial"/>
                <w:b w:val="0"/>
                <w:i w:val="0"/>
                <w:color w:val="000000"/>
                <w:sz w:val="16"/>
              </w:rPr>
              <w:t>6,835,842,984</w:t>
            </w:r>
          </w:p>
        </w:tc>
        <w:tc>
          <w:tcPr>
            <w:tcW w:type="dxa" w:w="1226"/>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0" w:after="0"/>
              <w:ind w:left="0" w:right="146" w:firstLine="0"/>
              <w:jc w:val="right"/>
            </w:pPr>
            <w:r>
              <w:rPr>
                <w:rFonts w:ascii="Arial" w:hAnsi="Arial" w:eastAsia="Arial"/>
                <w:b w:val="0"/>
                <w:i w:val="0"/>
                <w:color w:val="000000"/>
                <w:sz w:val="16"/>
              </w:rPr>
              <w:t>7,302,758</w:t>
            </w:r>
          </w:p>
        </w:tc>
        <w:tc>
          <w:tcPr>
            <w:tcW w:type="dxa" w:w="762"/>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0" w:after="0"/>
              <w:ind w:left="0" w:right="0" w:firstLine="0"/>
              <w:jc w:val="center"/>
            </w:pPr>
            <w:r>
              <w:rPr>
                <w:rFonts w:ascii="Arial" w:hAnsi="Arial" w:eastAsia="Arial"/>
                <w:b w:val="0"/>
                <w:i w:val="0"/>
                <w:color w:val="000000"/>
                <w:sz w:val="16"/>
              </w:rPr>
              <w:t>7.0827</w:t>
            </w:r>
          </w:p>
        </w:tc>
        <w:tc>
          <w:tcPr>
            <w:tcW w:type="dxa" w:w="1190"/>
            <w:tcBorders/>
            <w:tcMar>
              <w:start w:w="0" w:type="dxa"/>
              <w:end w:w="0" w:type="dxa"/>
            </w:tcMar>
          </w:tcPr>
          <w:p>
            <w:pPr>
              <w:autoSpaceDN w:val="0"/>
              <w:autoSpaceDE w:val="0"/>
              <w:widowControl/>
              <w:spacing w:line="230" w:lineRule="auto" w:before="4" w:after="0"/>
              <w:ind w:left="168" w:right="0" w:firstLine="0"/>
              <w:jc w:val="left"/>
            </w:pPr>
            <w:r>
              <w:rPr>
                <w:rFonts w:ascii="Arial" w:hAnsi="Arial" w:eastAsia="Arial"/>
                <w:b w:val="0"/>
                <w:i w:val="0"/>
                <w:color w:val="000000"/>
                <w:sz w:val="16"/>
              </w:rPr>
              <w:t>7,429,389,835</w:t>
            </w:r>
          </w:p>
        </w:tc>
      </w:tr>
      <w:tr>
        <w:trPr>
          <w:trHeight w:hRule="exact" w:val="200"/>
        </w:trPr>
        <w:tc>
          <w:tcPr>
            <w:tcW w:type="dxa" w:w="1900"/>
            <w:tcBorders/>
            <w:tcMar>
              <w:start w:w="0" w:type="dxa"/>
              <w:end w:w="0" w:type="dxa"/>
            </w:tcMar>
          </w:tcPr>
          <w:p>
            <w:pPr>
              <w:autoSpaceDN w:val="0"/>
              <w:autoSpaceDE w:val="0"/>
              <w:widowControl/>
              <w:spacing w:line="160" w:lineRule="exact" w:before="40" w:after="0"/>
              <w:ind w:left="272" w:right="0" w:firstLine="0"/>
              <w:jc w:val="left"/>
            </w:pPr>
            <w:r>
              <w:rPr>
                <w:rFonts w:ascii="黑体" w:hAnsi="黑体" w:eastAsia="黑体"/>
                <w:b w:val="0"/>
                <w:i w:val="0"/>
                <w:color w:val="000000"/>
                <w:sz w:val="16"/>
              </w:rPr>
              <w:t>美元</w:t>
            </w:r>
          </w:p>
        </w:tc>
        <w:tc>
          <w:tcPr>
            <w:tcW w:type="dxa" w:w="1289"/>
            <w:vMerge/>
            <w:tcBorders/>
          </w:tcPr>
          <w:p/>
        </w:tc>
        <w:tc>
          <w:tcPr>
            <w:tcW w:type="dxa" w:w="1289"/>
            <w:vMerge/>
            <w:tcBorders/>
          </w:tcPr>
          <w:p/>
        </w:tc>
        <w:tc>
          <w:tcPr>
            <w:tcW w:type="dxa" w:w="1246"/>
            <w:vMerge w:val="restart"/>
            <w:tcBorders/>
            <w:tcMar>
              <w:start w:w="0" w:type="dxa"/>
              <w:end w:w="0" w:type="dxa"/>
            </w:tcMar>
            <w:tcMar>
              <w:start w:w="0" w:type="dxa"/>
              <w:end w:w="0" w:type="dxa"/>
            </w:tcMar>
          </w:tcPr>
          <w:p>
            <w:pPr>
              <w:autoSpaceDN w:val="0"/>
              <w:autoSpaceDE w:val="0"/>
              <w:widowControl/>
              <w:spacing w:line="233" w:lineRule="auto" w:before="48" w:after="0"/>
              <w:ind w:left="0" w:right="0" w:firstLine="0"/>
              <w:jc w:val="right"/>
            </w:pPr>
            <w:r>
              <w:rPr>
                <w:rFonts w:ascii="Arial" w:hAnsi="Arial" w:eastAsia="Arial"/>
                <w:b w:val="0"/>
                <w:i w:val="0"/>
                <w:color w:val="000000"/>
                <w:sz w:val="16"/>
              </w:rPr>
              <w:t>161,304,876</w:t>
            </w:r>
          </w:p>
        </w:tc>
        <w:tc>
          <w:tcPr>
            <w:tcW w:type="dxa" w:w="1289"/>
            <w:vMerge/>
            <w:tcBorders/>
          </w:tcPr>
          <w:p/>
        </w:tc>
        <w:tc>
          <w:tcPr>
            <w:tcW w:type="dxa" w:w="1289"/>
            <w:vMerge/>
            <w:tcBorders/>
          </w:tcPr>
          <w:p/>
        </w:tc>
        <w:tc>
          <w:tcPr>
            <w:tcW w:type="dxa" w:w="1190"/>
            <w:vMerge w:val="restart"/>
            <w:tcBorders/>
            <w:tcMar>
              <w:start w:w="0" w:type="dxa"/>
              <w:end w:w="0" w:type="dxa"/>
            </w:tcMar>
            <w:tcMar>
              <w:start w:w="0" w:type="dxa"/>
              <w:end w:w="0" w:type="dxa"/>
            </w:tcMar>
          </w:tcPr>
          <w:p>
            <w:pPr>
              <w:autoSpaceDN w:val="0"/>
              <w:autoSpaceDE w:val="0"/>
              <w:widowControl/>
              <w:spacing w:line="233" w:lineRule="auto" w:before="48" w:after="0"/>
              <w:ind w:left="0" w:right="0" w:firstLine="0"/>
              <w:jc w:val="right"/>
            </w:pPr>
            <w:r>
              <w:rPr>
                <w:rFonts w:ascii="Arial" w:hAnsi="Arial" w:eastAsia="Arial"/>
                <w:b w:val="0"/>
                <w:i w:val="0"/>
                <w:color w:val="000000"/>
                <w:sz w:val="16"/>
              </w:rPr>
              <w:t>51,723,246</w:t>
            </w:r>
          </w:p>
        </w:tc>
      </w:tr>
      <w:tr>
        <w:trPr>
          <w:trHeight w:hRule="exact" w:val="42"/>
        </w:trPr>
        <w:tc>
          <w:tcPr>
            <w:tcW w:type="dxa" w:w="1900"/>
            <w:vMerge w:val="restart"/>
            <w:tcBorders/>
            <w:tcMar>
              <w:start w:w="0" w:type="dxa"/>
              <w:end w:w="0" w:type="dxa"/>
            </w:tcMar>
            <w:tcMar>
              <w:start w:w="0" w:type="dxa"/>
              <w:end w:w="0" w:type="dxa"/>
            </w:tcMar>
          </w:tcPr>
          <w:p>
            <w:pPr>
              <w:autoSpaceDN w:val="0"/>
              <w:autoSpaceDE w:val="0"/>
              <w:widowControl/>
              <w:spacing w:line="162" w:lineRule="exact" w:before="54" w:after="0"/>
              <w:ind w:left="272" w:right="0" w:firstLine="0"/>
              <w:jc w:val="left"/>
            </w:pPr>
            <w:r>
              <w:rPr>
                <w:rFonts w:ascii="黑体" w:hAnsi="黑体" w:eastAsia="黑体"/>
                <w:b w:val="0"/>
                <w:i w:val="0"/>
                <w:color w:val="000000"/>
                <w:sz w:val="16"/>
              </w:rPr>
              <w:t>港币</w:t>
            </w: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r>
      <w:tr>
        <w:trPr>
          <w:trHeight w:hRule="exact" w:val="178"/>
        </w:trPr>
        <w:tc>
          <w:tcPr>
            <w:tcW w:type="dxa" w:w="1289"/>
            <w:vMerge/>
            <w:tcBorders/>
          </w:tcPr>
          <w:p/>
        </w:tc>
        <w:tc>
          <w:tcPr>
            <w:tcW w:type="dxa" w:w="1360"/>
            <w:vMerge w:val="restart"/>
            <w:tcBorders>
              <w:bottom w:sz="3.200000000000273" w:val="single" w:color="#000000"/>
            </w:tcBorders>
            <w:tcMar>
              <w:start w:w="0" w:type="dxa"/>
              <w:end w:w="0" w:type="dxa"/>
            </w:tcMar>
            <w:tcMar>
              <w:start w:w="0" w:type="dxa"/>
              <w:end w:w="0" w:type="dxa"/>
            </w:tcMar>
          </w:tcPr>
          <w:p>
            <w:pPr>
              <w:autoSpaceDN w:val="0"/>
              <w:autoSpaceDE w:val="0"/>
              <w:widowControl/>
              <w:spacing w:line="233" w:lineRule="auto" w:before="14" w:after="0"/>
              <w:ind w:left="0" w:right="138" w:firstLine="0"/>
              <w:jc w:val="right"/>
            </w:pPr>
            <w:r>
              <w:rPr>
                <w:rFonts w:ascii="Arial" w:hAnsi="Arial" w:eastAsia="Arial"/>
                <w:b w:val="0"/>
                <w:i w:val="0"/>
                <w:color w:val="000000"/>
                <w:sz w:val="16"/>
              </w:rPr>
              <w:t>84,129,053</w:t>
            </w:r>
          </w:p>
        </w:tc>
        <w:tc>
          <w:tcPr>
            <w:tcW w:type="dxa" w:w="768"/>
            <w:vMerge w:val="restart"/>
            <w:tcBorders>
              <w:bottom w:sz="3.200000000000273" w:val="single" w:color="#000000"/>
            </w:tcBorders>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0.9260</w:t>
            </w:r>
          </w:p>
        </w:tc>
        <w:tc>
          <w:tcPr>
            <w:tcW w:type="dxa" w:w="1246"/>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77,903,503</w:t>
            </w:r>
          </w:p>
        </w:tc>
        <w:tc>
          <w:tcPr>
            <w:tcW w:type="dxa" w:w="1226"/>
            <w:vMerge w:val="restart"/>
            <w:tcBorders>
              <w:bottom w:sz="3.200000000000273" w:val="single" w:color="#000000"/>
            </w:tcBorders>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143,544,089</w:t>
            </w:r>
          </w:p>
        </w:tc>
        <w:tc>
          <w:tcPr>
            <w:tcW w:type="dxa" w:w="762"/>
            <w:vMerge w:val="restart"/>
            <w:tcBorders>
              <w:bottom w:sz="3.200000000000273" w:val="single" w:color="#000000"/>
            </w:tcBorders>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0.9062</w:t>
            </w:r>
          </w:p>
        </w:tc>
        <w:tc>
          <w:tcPr>
            <w:tcW w:type="dxa" w:w="119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130,082,524</w:t>
            </w:r>
          </w:p>
        </w:tc>
      </w:tr>
      <w:tr>
        <w:trPr>
          <w:trHeight w:hRule="exact" w:val="232"/>
        </w:trPr>
        <w:tc>
          <w:tcPr>
            <w:tcW w:type="dxa" w:w="1900"/>
            <w:tcBorders>
              <w:bottom w:sz="3.200000000000273" w:val="single" w:color="#000000"/>
            </w:tcBorders>
            <w:tcMar>
              <w:start w:w="0" w:type="dxa"/>
              <w:end w:w="0" w:type="dxa"/>
            </w:tcMar>
          </w:tcPr>
          <w:p>
            <w:pPr>
              <w:autoSpaceDN w:val="0"/>
              <w:autoSpaceDE w:val="0"/>
              <w:widowControl/>
              <w:spacing w:line="178" w:lineRule="exact" w:before="34" w:after="0"/>
              <w:ind w:left="272" w:right="0" w:firstLine="0"/>
              <w:jc w:val="left"/>
            </w:pPr>
            <w:r>
              <w:rPr>
                <w:rFonts w:ascii="黑体" w:hAnsi="黑体" w:eastAsia="黑体"/>
                <w:b w:val="0"/>
                <w:i w:val="0"/>
                <w:color w:val="000000"/>
                <w:sz w:val="16"/>
              </w:rPr>
              <w:t>其他币种（注</w:t>
            </w:r>
            <w:r>
              <w:rPr>
                <w:rFonts w:ascii="Arial" w:hAnsi="Arial" w:eastAsia="Arial"/>
                <w:b w:val="0"/>
                <w:i w:val="0"/>
                <w:color w:val="000000"/>
                <w:sz w:val="16"/>
              </w:rPr>
              <w:t>1</w:t>
            </w:r>
            <w:r>
              <w:rPr>
                <w:rFonts w:ascii="黑体" w:hAnsi="黑体" w:eastAsia="黑体"/>
                <w:b w:val="0"/>
                <w:i w:val="0"/>
                <w:color w:val="000000"/>
                <w:sz w:val="16"/>
              </w:rPr>
              <w:t>）</w:t>
            </w:r>
          </w:p>
        </w:tc>
        <w:tc>
          <w:tcPr>
            <w:tcW w:type="dxa" w:w="1289"/>
            <w:vMerge/>
            <w:tcBorders>
              <w:bottom w:sz="3.200000000000273" w:val="single" w:color="#000000"/>
            </w:tcBorders>
          </w:tcPr>
          <w:p/>
        </w:tc>
        <w:tc>
          <w:tcPr>
            <w:tcW w:type="dxa" w:w="1289"/>
            <w:vMerge/>
            <w:tcBorders>
              <w:bottom w:sz="3.200000000000273" w:val="single" w:color="#000000"/>
            </w:tcBorders>
          </w:tcPr>
          <w:p/>
        </w:tc>
        <w:tc>
          <w:tcPr>
            <w:tcW w:type="dxa" w:w="1246"/>
            <w:tcBorders>
              <w:bottom w:sz="3.200000000000273" w:val="single" w:color="#000000"/>
            </w:tcBorders>
            <w:tcMar>
              <w:start w:w="0" w:type="dxa"/>
              <w:end w:w="0" w:type="dxa"/>
            </w:tcMar>
          </w:tcPr>
          <w:p>
            <w:pPr>
              <w:autoSpaceDN w:val="0"/>
              <w:autoSpaceDE w:val="0"/>
              <w:widowControl/>
              <w:spacing w:line="230" w:lineRule="auto" w:before="44" w:after="0"/>
              <w:ind w:left="0" w:right="0" w:firstLine="0"/>
              <w:jc w:val="right"/>
            </w:pPr>
            <w:r>
              <w:rPr>
                <w:rFonts w:ascii="Arial" w:hAnsi="Arial" w:eastAsia="Arial"/>
                <w:b w:val="0"/>
                <w:i w:val="0"/>
                <w:color w:val="000000"/>
                <w:sz w:val="16"/>
              </w:rPr>
              <w:t>804,855</w:t>
            </w:r>
          </w:p>
        </w:tc>
        <w:tc>
          <w:tcPr>
            <w:tcW w:type="dxa" w:w="1289"/>
            <w:vMerge/>
            <w:tcBorders>
              <w:bottom w:sz="3.200000000000273" w:val="single" w:color="#000000"/>
            </w:tcBorders>
          </w:tcPr>
          <w:p/>
        </w:tc>
        <w:tc>
          <w:tcPr>
            <w:tcW w:type="dxa" w:w="1289"/>
            <w:vMerge/>
            <w:tcBorders>
              <w:bottom w:sz="3.200000000000273" w:val="single" w:color="#000000"/>
            </w:tcBorders>
          </w:tcPr>
          <w:p/>
        </w:tc>
        <w:tc>
          <w:tcPr>
            <w:tcW w:type="dxa" w:w="1190"/>
            <w:tcBorders>
              <w:bottom w:sz="3.200000000000273" w:val="single" w:color="#000000"/>
            </w:tcBorders>
            <w:tcMar>
              <w:start w:w="0" w:type="dxa"/>
              <w:end w:w="0" w:type="dxa"/>
            </w:tcMar>
          </w:tcPr>
          <w:p>
            <w:pPr>
              <w:autoSpaceDN w:val="0"/>
              <w:autoSpaceDE w:val="0"/>
              <w:widowControl/>
              <w:spacing w:line="230" w:lineRule="auto" w:before="44" w:after="0"/>
              <w:ind w:left="0" w:right="0" w:firstLine="0"/>
              <w:jc w:val="right"/>
            </w:pPr>
            <w:r>
              <w:rPr>
                <w:rFonts w:ascii="Arial" w:hAnsi="Arial" w:eastAsia="Arial"/>
                <w:b w:val="0"/>
                <w:i w:val="0"/>
                <w:color w:val="000000"/>
                <w:sz w:val="16"/>
              </w:rPr>
              <w:t>973,992</w:t>
            </w:r>
          </w:p>
        </w:tc>
      </w:tr>
      <w:tr>
        <w:trPr>
          <w:trHeight w:hRule="exact" w:val="400"/>
        </w:trPr>
        <w:tc>
          <w:tcPr>
            <w:tcW w:type="dxa" w:w="1900"/>
            <w:tcBorders>
              <w:top w:sz="3.200000000000273" w:val="single" w:color="#000000"/>
              <w:bottom w:sz="4.0" w:val="single" w:color="#000000"/>
            </w:tcBorders>
            <w:tcMar>
              <w:start w:w="0" w:type="dxa"/>
              <w:end w:w="0" w:type="dxa"/>
            </w:tcMar>
          </w:tcPr>
          <w:p>
            <w:pPr>
              <w:autoSpaceDN w:val="0"/>
              <w:autoSpaceDE w:val="0"/>
              <w:widowControl/>
              <w:spacing w:line="160" w:lineRule="exact" w:before="208" w:after="0"/>
              <w:ind w:left="272" w:right="0" w:firstLine="0"/>
              <w:jc w:val="left"/>
            </w:pPr>
            <w:r>
              <w:rPr>
                <w:rFonts w:ascii="黑体" w:hAnsi="黑体" w:eastAsia="黑体"/>
                <w:b w:val="0"/>
                <w:i w:val="0"/>
                <w:color w:val="000000"/>
                <w:sz w:val="16"/>
              </w:rPr>
              <w:t>小计</w:t>
            </w:r>
          </w:p>
        </w:tc>
        <w:tc>
          <w:tcPr>
            <w:tcW w:type="dxa" w:w="1360"/>
            <w:tcBorders>
              <w:top w:sz="3.200000000000273" w:val="single" w:color="#000000"/>
              <w:bottom w:sz="4.0" w:val="single" w:color="#000000"/>
            </w:tcBorders>
            <w:tcMar>
              <w:start w:w="0" w:type="dxa"/>
              <w:end w:w="0" w:type="dxa"/>
            </w:tcMar>
          </w:tcPr>
          <w:p/>
        </w:tc>
        <w:tc>
          <w:tcPr>
            <w:tcW w:type="dxa" w:w="768"/>
            <w:tcBorders>
              <w:top w:sz="3.200000000000273" w:val="single" w:color="#000000"/>
              <w:bottom w:sz="4.0" w:val="single" w:color="#000000"/>
            </w:tcBorders>
            <w:tcMar>
              <w:start w:w="0" w:type="dxa"/>
              <w:end w:w="0" w:type="dxa"/>
            </w:tcMar>
          </w:tcPr>
          <w:p/>
        </w:tc>
        <w:tc>
          <w:tcPr>
            <w:tcW w:type="dxa" w:w="1246"/>
            <w:tcBorders>
              <w:top w:sz="3.200000000000273" w:val="single" w:color="#000000"/>
              <w:bottom w:sz="4.0" w:val="single" w:color="#000000"/>
            </w:tcBorders>
            <w:tcMar>
              <w:start w:w="0" w:type="dxa"/>
              <w:end w:w="0" w:type="dxa"/>
            </w:tcMar>
          </w:tcPr>
          <w:p>
            <w:pPr>
              <w:autoSpaceDN w:val="0"/>
              <w:autoSpaceDE w:val="0"/>
              <w:widowControl/>
              <w:spacing w:line="233" w:lineRule="auto" w:before="208" w:after="0"/>
              <w:ind w:left="226" w:right="0" w:firstLine="0"/>
              <w:jc w:val="left"/>
            </w:pPr>
            <w:r>
              <w:rPr>
                <w:rFonts w:ascii="Arial" w:hAnsi="Arial" w:eastAsia="Arial"/>
                <w:b w:val="0"/>
                <w:i w:val="0"/>
                <w:color w:val="000000"/>
                <w:sz w:val="16"/>
              </w:rPr>
              <w:t>7,075,856,218</w:t>
            </w:r>
          </w:p>
        </w:tc>
        <w:tc>
          <w:tcPr>
            <w:tcW w:type="dxa" w:w="1226"/>
            <w:tcBorders>
              <w:top w:sz="3.200000000000273" w:val="single" w:color="#000000"/>
              <w:bottom w:sz="4.0" w:val="single" w:color="#000000"/>
            </w:tcBorders>
            <w:tcMar>
              <w:start w:w="0" w:type="dxa"/>
              <w:end w:w="0" w:type="dxa"/>
            </w:tcMar>
          </w:tcPr>
          <w:p/>
        </w:tc>
        <w:tc>
          <w:tcPr>
            <w:tcW w:type="dxa" w:w="762"/>
            <w:tcBorders>
              <w:top w:sz="3.200000000000273" w:val="single" w:color="#000000"/>
              <w:bottom w:sz="4.0" w:val="single" w:color="#000000"/>
            </w:tcBorders>
            <w:tcMar>
              <w:start w:w="0" w:type="dxa"/>
              <w:end w:w="0" w:type="dxa"/>
            </w:tcMar>
          </w:tcPr>
          <w:p/>
        </w:tc>
        <w:tc>
          <w:tcPr>
            <w:tcW w:type="dxa" w:w="1190"/>
            <w:tcBorders>
              <w:top w:sz="3.200000000000273" w:val="single" w:color="#000000"/>
              <w:bottom w:sz="4.0" w:val="single" w:color="#000000"/>
            </w:tcBorders>
            <w:tcMar>
              <w:start w:w="0" w:type="dxa"/>
              <w:end w:w="0" w:type="dxa"/>
            </w:tcMar>
          </w:tcPr>
          <w:p>
            <w:pPr>
              <w:autoSpaceDN w:val="0"/>
              <w:autoSpaceDE w:val="0"/>
              <w:widowControl/>
              <w:spacing w:line="233" w:lineRule="auto" w:before="208" w:after="0"/>
              <w:ind w:left="168" w:right="0" w:firstLine="0"/>
              <w:jc w:val="left"/>
            </w:pPr>
            <w:r>
              <w:rPr>
                <w:rFonts w:ascii="Arial" w:hAnsi="Arial" w:eastAsia="Arial"/>
                <w:b w:val="0"/>
                <w:i w:val="0"/>
                <w:color w:val="000000"/>
                <w:sz w:val="16"/>
              </w:rPr>
              <w:t>7,612,169,597</w:t>
            </w:r>
          </w:p>
        </w:tc>
      </w:tr>
      <w:tr>
        <w:trPr>
          <w:trHeight w:hRule="exact" w:val="52"/>
        </w:trPr>
        <w:tc>
          <w:tcPr>
            <w:tcW w:type="dxa" w:w="1900"/>
            <w:tcBorders>
              <w:top w:sz="4.0" w:val="single" w:color="#000000"/>
            </w:tcBorders>
            <w:tcMar>
              <w:start w:w="0" w:type="dxa"/>
              <w:end w:w="0" w:type="dxa"/>
            </w:tcMar>
          </w:tcPr>
          <w:p/>
        </w:tc>
        <w:tc>
          <w:tcPr>
            <w:tcW w:type="dxa" w:w="1360"/>
            <w:tcBorders>
              <w:top w:sz="4.0" w:val="single" w:color="#000000"/>
            </w:tcBorders>
            <w:tcMar>
              <w:start w:w="0" w:type="dxa"/>
              <w:end w:w="0" w:type="dxa"/>
            </w:tcMar>
          </w:tcPr>
          <w:p/>
        </w:tc>
        <w:tc>
          <w:tcPr>
            <w:tcW w:type="dxa" w:w="768"/>
            <w:tcBorders>
              <w:top w:sz="4.0" w:val="single" w:color="#000000"/>
            </w:tcBorders>
            <w:tcMar>
              <w:start w:w="0" w:type="dxa"/>
              <w:end w:w="0" w:type="dxa"/>
            </w:tcMar>
          </w:tcPr>
          <w:p/>
        </w:tc>
        <w:tc>
          <w:tcPr>
            <w:tcW w:type="dxa" w:w="1246"/>
            <w:tcBorders>
              <w:top w:sz="4.0" w:val="single" w:color="#000000"/>
            </w:tcBorders>
            <w:tcMar>
              <w:start w:w="0" w:type="dxa"/>
              <w:end w:w="0" w:type="dxa"/>
            </w:tcMar>
          </w:tcPr>
          <w:p/>
        </w:tc>
        <w:tc>
          <w:tcPr>
            <w:tcW w:type="dxa" w:w="1226"/>
            <w:tcBorders>
              <w:top w:sz="4.0" w:val="single" w:color="#000000"/>
            </w:tcBorders>
            <w:tcMar>
              <w:start w:w="0" w:type="dxa"/>
              <w:end w:w="0" w:type="dxa"/>
            </w:tcMar>
          </w:tcPr>
          <w:p/>
        </w:tc>
        <w:tc>
          <w:tcPr>
            <w:tcW w:type="dxa" w:w="762"/>
            <w:tcBorders>
              <w:top w:sz="4.0" w:val="single" w:color="#000000"/>
            </w:tcBorders>
            <w:tcMar>
              <w:start w:w="0" w:type="dxa"/>
              <w:end w:w="0" w:type="dxa"/>
            </w:tcMar>
          </w:tcPr>
          <w:p/>
        </w:tc>
        <w:tc>
          <w:tcPr>
            <w:tcW w:type="dxa" w:w="1190"/>
            <w:tcBorders>
              <w:top w:sz="4.0" w:val="single" w:color="#000000"/>
            </w:tcBorders>
            <w:tcMar>
              <w:start w:w="0" w:type="dxa"/>
              <w:end w:w="0" w:type="dxa"/>
            </w:tcMar>
          </w:tcPr>
          <w:p/>
        </w:tc>
      </w:tr>
    </w:tbl>
    <w:p>
      <w:pPr>
        <w:autoSpaceDN w:val="0"/>
        <w:autoSpaceDE w:val="0"/>
        <w:widowControl/>
        <w:spacing w:line="162" w:lineRule="exact" w:before="160" w:after="24"/>
        <w:ind w:left="358" w:right="0" w:firstLine="0"/>
        <w:jc w:val="left"/>
      </w:pPr>
      <w:r>
        <w:rPr>
          <w:rFonts w:ascii="黑体" w:hAnsi="黑体" w:eastAsia="黑体"/>
          <w:b w:val="0"/>
          <w:i w:val="0"/>
          <w:color w:val="000000"/>
          <w:sz w:val="16"/>
        </w:rPr>
        <w:t>公司信用资金存款</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2"/>
        </w:trPr>
        <w:tc>
          <w:tcPr>
            <w:tcW w:type="dxa" w:w="4108"/>
            <w:tcBorders>
              <w:bottom w:sz="4.0" w:val="single" w:color="#000000"/>
            </w:tcBorders>
            <w:tcMar>
              <w:start w:w="0" w:type="dxa"/>
              <w:end w:w="0" w:type="dxa"/>
            </w:tcMar>
          </w:tcPr>
          <w:p>
            <w:pPr>
              <w:autoSpaceDN w:val="0"/>
              <w:autoSpaceDE w:val="0"/>
              <w:widowControl/>
              <w:spacing w:line="160" w:lineRule="exact" w:before="22" w:after="0"/>
              <w:ind w:left="352" w:right="0" w:firstLine="0"/>
              <w:jc w:val="left"/>
            </w:pPr>
            <w:r>
              <w:rPr>
                <w:rFonts w:ascii="黑体" w:hAnsi="黑体" w:eastAsia="黑体"/>
                <w:b w:val="0"/>
                <w:i w:val="0"/>
                <w:color w:val="000000"/>
                <w:sz w:val="16"/>
              </w:rPr>
              <w:t>人民币</w:t>
            </w:r>
          </w:p>
        </w:tc>
        <w:tc>
          <w:tcPr>
            <w:tcW w:type="dxa" w:w="1246"/>
            <w:tcBorders>
              <w:bottom w:sz="4.0" w:val="single" w:color="#000000"/>
            </w:tcBorders>
            <w:tcMar>
              <w:start w:w="0" w:type="dxa"/>
              <w:end w:w="0" w:type="dxa"/>
            </w:tcMar>
          </w:tcPr>
          <w:p>
            <w:pPr>
              <w:autoSpaceDN w:val="0"/>
              <w:autoSpaceDE w:val="0"/>
              <w:widowControl/>
              <w:spacing w:line="230" w:lineRule="auto" w:before="24" w:after="0"/>
              <w:ind w:left="0" w:right="0" w:firstLine="0"/>
              <w:jc w:val="right"/>
            </w:pPr>
            <w:r>
              <w:rPr>
                <w:rFonts w:ascii="Arial" w:hAnsi="Arial" w:eastAsia="Arial"/>
                <w:b w:val="0"/>
                <w:i w:val="0"/>
                <w:color w:val="000000"/>
                <w:sz w:val="16"/>
              </w:rPr>
              <w:t>369,345,955</w:t>
            </w:r>
          </w:p>
        </w:tc>
        <w:tc>
          <w:tcPr>
            <w:tcW w:type="dxa" w:w="3178"/>
            <w:tcBorders>
              <w:bottom w:sz="4.0" w:val="single" w:color="#000000"/>
            </w:tcBorders>
            <w:tcMar>
              <w:start w:w="0" w:type="dxa"/>
              <w:end w:w="0" w:type="dxa"/>
            </w:tcMar>
          </w:tcPr>
          <w:p>
            <w:pPr>
              <w:autoSpaceDN w:val="0"/>
              <w:autoSpaceDE w:val="0"/>
              <w:widowControl/>
              <w:spacing w:line="230" w:lineRule="auto" w:before="24" w:after="0"/>
              <w:ind w:left="0" w:right="0" w:firstLine="0"/>
              <w:jc w:val="right"/>
            </w:pPr>
            <w:r>
              <w:rPr>
                <w:rFonts w:ascii="Arial" w:hAnsi="Arial" w:eastAsia="Arial"/>
                <w:b w:val="0"/>
                <w:i w:val="0"/>
                <w:color w:val="000000"/>
                <w:sz w:val="16"/>
              </w:rPr>
              <w:t>268,797,809</w:t>
            </w:r>
          </w:p>
        </w:tc>
      </w:tr>
      <w:tr>
        <w:trPr>
          <w:trHeight w:hRule="exact" w:val="400"/>
        </w:trPr>
        <w:tc>
          <w:tcPr>
            <w:tcW w:type="dxa" w:w="4108"/>
            <w:tcBorders>
              <w:top w:sz="4.0" w:val="single" w:color="#000000"/>
              <w:bottom w:sz="4.0" w:val="single" w:color="#000000"/>
            </w:tcBorders>
            <w:tcMar>
              <w:start w:w="0" w:type="dxa"/>
              <w:end w:w="0" w:type="dxa"/>
            </w:tcMar>
          </w:tcPr>
          <w:p>
            <w:pPr>
              <w:autoSpaceDN w:val="0"/>
              <w:autoSpaceDE w:val="0"/>
              <w:widowControl/>
              <w:spacing w:line="162" w:lineRule="exact" w:before="206" w:after="0"/>
              <w:ind w:left="352" w:right="0" w:firstLine="0"/>
              <w:jc w:val="left"/>
            </w:pPr>
            <w:r>
              <w:rPr>
                <w:rFonts w:ascii="黑体" w:hAnsi="黑体" w:eastAsia="黑体"/>
                <w:b w:val="0"/>
                <w:i w:val="0"/>
                <w:color w:val="000000"/>
                <w:sz w:val="16"/>
              </w:rPr>
              <w:t>小计</w:t>
            </w:r>
          </w:p>
        </w:tc>
        <w:tc>
          <w:tcPr>
            <w:tcW w:type="dxa" w:w="1246"/>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369,345,955</w:t>
            </w:r>
          </w:p>
        </w:tc>
        <w:tc>
          <w:tcPr>
            <w:tcW w:type="dxa" w:w="3178"/>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268,797,809</w:t>
            </w:r>
          </w:p>
        </w:tc>
      </w:tr>
      <w:tr>
        <w:trPr>
          <w:trHeight w:hRule="exact" w:val="402"/>
        </w:trPr>
        <w:tc>
          <w:tcPr>
            <w:tcW w:type="dxa" w:w="4108"/>
            <w:tcBorders>
              <w:top w:sz="4.0" w:val="single" w:color="#000000"/>
              <w:bottom w:sz="3.199999999999818" w:val="single" w:color="#000000"/>
            </w:tcBorders>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公司存款小计</w:t>
            </w:r>
          </w:p>
        </w:tc>
        <w:tc>
          <w:tcPr>
            <w:tcW w:type="dxa" w:w="1246"/>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226" w:right="0" w:firstLine="0"/>
              <w:jc w:val="left"/>
            </w:pPr>
            <w:r>
              <w:rPr>
                <w:rFonts w:ascii="Arial" w:hAnsi="Arial" w:eastAsia="Arial"/>
                <w:b w:val="0"/>
                <w:i w:val="0"/>
                <w:color w:val="000000"/>
                <w:sz w:val="16"/>
              </w:rPr>
              <w:t>7,445,202,173</w:t>
            </w:r>
          </w:p>
        </w:tc>
        <w:tc>
          <w:tcPr>
            <w:tcW w:type="dxa" w:w="3178"/>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0" w:right="0" w:firstLine="0"/>
              <w:jc w:val="right"/>
            </w:pPr>
            <w:r>
              <w:rPr>
                <w:rFonts w:ascii="Arial" w:hAnsi="Arial" w:eastAsia="Arial"/>
                <w:b w:val="0"/>
                <w:i w:val="0"/>
                <w:color w:val="000000"/>
                <w:sz w:val="16"/>
              </w:rPr>
              <w:t>7,880,967,406</w:t>
            </w:r>
          </w:p>
        </w:tc>
      </w:tr>
      <w:tr>
        <w:trPr>
          <w:trHeight w:hRule="exact" w:val="52"/>
        </w:trPr>
        <w:tc>
          <w:tcPr>
            <w:tcW w:type="dxa" w:w="4108"/>
            <w:tcBorders>
              <w:top w:sz="3.199999999999818" w:val="single" w:color="#000000"/>
            </w:tcBorders>
            <w:tcMar>
              <w:start w:w="0" w:type="dxa"/>
              <w:end w:w="0" w:type="dxa"/>
            </w:tcMar>
          </w:tcPr>
          <w:p/>
        </w:tc>
        <w:tc>
          <w:tcPr>
            <w:tcW w:type="dxa" w:w="1246"/>
            <w:tcBorders>
              <w:top w:sz="3.199999999999818" w:val="single" w:color="#000000"/>
            </w:tcBorders>
            <w:tcMar>
              <w:start w:w="0" w:type="dxa"/>
              <w:end w:w="0" w:type="dxa"/>
            </w:tcMar>
          </w:tcPr>
          <w:p/>
        </w:tc>
        <w:tc>
          <w:tcPr>
            <w:tcW w:type="dxa" w:w="3178"/>
            <w:tcBorders>
              <w:top w:sz="3.199999999999818" w:val="single" w:color="#000000"/>
            </w:tcBorders>
            <w:tcMar>
              <w:start w:w="0" w:type="dxa"/>
              <w:end w:w="0" w:type="dxa"/>
            </w:tcMar>
          </w:tcPr>
          <w:p/>
        </w:tc>
      </w:tr>
    </w:tbl>
    <w:p>
      <w:pPr>
        <w:autoSpaceDN w:val="0"/>
        <w:autoSpaceDE w:val="0"/>
        <w:widowControl/>
        <w:spacing w:line="162" w:lineRule="exact" w:before="160" w:after="24"/>
        <w:ind w:left="358" w:right="0" w:firstLine="0"/>
        <w:jc w:val="left"/>
      </w:pPr>
      <w:r>
        <w:rPr>
          <w:rFonts w:ascii="黑体" w:hAnsi="黑体" w:eastAsia="黑体"/>
          <w:b w:val="0"/>
          <w:i w:val="0"/>
          <w:color w:val="000000"/>
          <w:sz w:val="16"/>
        </w:rPr>
        <w:t>结构化主体持有的银行存款</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208"/>
        </w:trPr>
        <w:tc>
          <w:tcPr>
            <w:tcW w:type="dxa" w:w="1580"/>
            <w:tcBorders/>
            <w:tcMar>
              <w:start w:w="0" w:type="dxa"/>
              <w:end w:w="0" w:type="dxa"/>
            </w:tcMar>
          </w:tcPr>
          <w:p>
            <w:pPr>
              <w:autoSpaceDN w:val="0"/>
              <w:autoSpaceDE w:val="0"/>
              <w:widowControl/>
              <w:spacing w:line="160" w:lineRule="exact" w:before="24" w:after="0"/>
              <w:ind w:left="272" w:right="0" w:firstLine="0"/>
              <w:jc w:val="left"/>
            </w:pPr>
            <w:r>
              <w:rPr>
                <w:rFonts w:ascii="黑体" w:hAnsi="黑体" w:eastAsia="黑体"/>
                <w:b w:val="0"/>
                <w:i w:val="0"/>
                <w:color w:val="000000"/>
                <w:sz w:val="16"/>
              </w:rPr>
              <w:t>人民币</w:t>
            </w:r>
          </w:p>
        </w:tc>
        <w:tc>
          <w:tcPr>
            <w:tcW w:type="dxa" w:w="1680"/>
            <w:vMerge w:val="restart"/>
            <w:tcBorders/>
            <w:tcMar>
              <w:start w:w="0" w:type="dxa"/>
              <w:end w:w="0" w:type="dxa"/>
            </w:tcMar>
            <w:tcMar>
              <w:start w:w="0" w:type="dxa"/>
              <w:end w:w="0" w:type="dxa"/>
            </w:tcMar>
          </w:tcPr>
          <w:p>
            <w:pPr>
              <w:autoSpaceDN w:val="0"/>
              <w:autoSpaceDE w:val="0"/>
              <w:widowControl/>
              <w:spacing w:line="233" w:lineRule="auto" w:before="218" w:after="0"/>
              <w:ind w:left="0" w:right="138" w:firstLine="0"/>
              <w:jc w:val="right"/>
            </w:pPr>
            <w:r>
              <w:rPr>
                <w:rFonts w:ascii="Arial" w:hAnsi="Arial" w:eastAsia="Arial"/>
                <w:b w:val="0"/>
                <w:i w:val="0"/>
                <w:color w:val="000000"/>
                <w:sz w:val="16"/>
              </w:rPr>
              <w:t>1,707,869</w:t>
            </w:r>
          </w:p>
        </w:tc>
        <w:tc>
          <w:tcPr>
            <w:tcW w:type="dxa" w:w="768"/>
            <w:vMerge w:val="restart"/>
            <w:tcBorders/>
            <w:tcMar>
              <w:start w:w="0" w:type="dxa"/>
              <w:end w:w="0" w:type="dxa"/>
            </w:tcMar>
            <w:tcMar>
              <w:start w:w="0" w:type="dxa"/>
              <w:end w:w="0" w:type="dxa"/>
            </w:tcMar>
          </w:tcPr>
          <w:p>
            <w:pPr>
              <w:autoSpaceDN w:val="0"/>
              <w:autoSpaceDE w:val="0"/>
              <w:widowControl/>
              <w:spacing w:line="233" w:lineRule="auto" w:before="218" w:after="0"/>
              <w:ind w:left="0" w:right="0" w:firstLine="0"/>
              <w:jc w:val="center"/>
            </w:pPr>
            <w:r>
              <w:rPr>
                <w:rFonts w:ascii="Arial" w:hAnsi="Arial" w:eastAsia="Arial"/>
                <w:b w:val="0"/>
                <w:i w:val="0"/>
                <w:color w:val="000000"/>
                <w:sz w:val="16"/>
              </w:rPr>
              <w:t>7.1884</w:t>
            </w:r>
          </w:p>
        </w:tc>
        <w:tc>
          <w:tcPr>
            <w:tcW w:type="dxa" w:w="1246"/>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520,696,210</w:t>
            </w:r>
          </w:p>
        </w:tc>
        <w:tc>
          <w:tcPr>
            <w:tcW w:type="dxa" w:w="1226"/>
            <w:vMerge w:val="restart"/>
            <w:tcBorders/>
            <w:tcMar>
              <w:start w:w="0" w:type="dxa"/>
              <w:end w:w="0" w:type="dxa"/>
            </w:tcMar>
            <w:tcMar>
              <w:start w:w="0" w:type="dxa"/>
              <w:end w:w="0" w:type="dxa"/>
            </w:tcMar>
          </w:tcPr>
          <w:p>
            <w:pPr>
              <w:autoSpaceDN w:val="0"/>
              <w:autoSpaceDE w:val="0"/>
              <w:widowControl/>
              <w:spacing w:line="233" w:lineRule="auto" w:before="218" w:after="0"/>
              <w:ind w:left="0" w:right="146" w:firstLine="0"/>
              <w:jc w:val="right"/>
            </w:pPr>
            <w:r>
              <w:rPr>
                <w:rFonts w:ascii="Arial" w:hAnsi="Arial" w:eastAsia="Arial"/>
                <w:b w:val="0"/>
                <w:i w:val="0"/>
                <w:color w:val="000000"/>
                <w:sz w:val="16"/>
              </w:rPr>
              <w:t>648,493</w:t>
            </w:r>
          </w:p>
        </w:tc>
        <w:tc>
          <w:tcPr>
            <w:tcW w:type="dxa" w:w="762"/>
            <w:vMerge w:val="restart"/>
            <w:tcBorders/>
            <w:tcMar>
              <w:start w:w="0" w:type="dxa"/>
              <w:end w:w="0" w:type="dxa"/>
            </w:tcMar>
            <w:tcMar>
              <w:start w:w="0" w:type="dxa"/>
              <w:end w:w="0" w:type="dxa"/>
            </w:tcMar>
          </w:tcPr>
          <w:p>
            <w:pPr>
              <w:autoSpaceDN w:val="0"/>
              <w:autoSpaceDE w:val="0"/>
              <w:widowControl/>
              <w:spacing w:line="233" w:lineRule="auto" w:before="218" w:after="0"/>
              <w:ind w:left="0" w:right="0" w:firstLine="0"/>
              <w:jc w:val="center"/>
            </w:pPr>
            <w:r>
              <w:rPr>
                <w:rFonts w:ascii="Arial" w:hAnsi="Arial" w:eastAsia="Arial"/>
                <w:b w:val="0"/>
                <w:i w:val="0"/>
                <w:color w:val="000000"/>
                <w:sz w:val="16"/>
              </w:rPr>
              <w:t>7.0827</w:t>
            </w:r>
          </w:p>
        </w:tc>
        <w:tc>
          <w:tcPr>
            <w:tcW w:type="dxa" w:w="119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233,235,883</w:t>
            </w:r>
          </w:p>
        </w:tc>
      </w:tr>
      <w:tr>
        <w:trPr>
          <w:trHeight w:hRule="exact" w:val="190"/>
        </w:trPr>
        <w:tc>
          <w:tcPr>
            <w:tcW w:type="dxa" w:w="1580"/>
            <w:tcBorders/>
            <w:tcMar>
              <w:start w:w="0" w:type="dxa"/>
              <w:end w:w="0" w:type="dxa"/>
            </w:tcMar>
          </w:tcPr>
          <w:p>
            <w:pPr>
              <w:autoSpaceDN w:val="0"/>
              <w:autoSpaceDE w:val="0"/>
              <w:widowControl/>
              <w:spacing w:line="160" w:lineRule="exact" w:before="22" w:after="0"/>
              <w:ind w:left="272" w:right="0" w:firstLine="0"/>
              <w:jc w:val="left"/>
            </w:pPr>
            <w:r>
              <w:rPr>
                <w:rFonts w:ascii="黑体" w:hAnsi="黑体" w:eastAsia="黑体"/>
                <w:b w:val="0"/>
                <w:i w:val="0"/>
                <w:color w:val="000000"/>
                <w:sz w:val="16"/>
              </w:rPr>
              <w:t>美元</w:t>
            </w:r>
          </w:p>
        </w:tc>
        <w:tc>
          <w:tcPr>
            <w:tcW w:type="dxa" w:w="1289"/>
            <w:vMerge/>
            <w:tcBorders/>
          </w:tcPr>
          <w:p/>
        </w:tc>
        <w:tc>
          <w:tcPr>
            <w:tcW w:type="dxa" w:w="1289"/>
            <w:vMerge/>
            <w:tcBorders/>
          </w:tcPr>
          <w:p/>
        </w:tc>
        <w:tc>
          <w:tcPr>
            <w:tcW w:type="dxa" w:w="1246"/>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12,276,843</w:t>
            </w:r>
          </w:p>
        </w:tc>
        <w:tc>
          <w:tcPr>
            <w:tcW w:type="dxa" w:w="1289"/>
            <w:vMerge/>
            <w:tcBorders/>
          </w:tcPr>
          <w:p/>
        </w:tc>
        <w:tc>
          <w:tcPr>
            <w:tcW w:type="dxa" w:w="1289"/>
            <w:vMerge/>
            <w:tcBorders/>
          </w:tcPr>
          <w:p/>
        </w:tc>
        <w:tc>
          <w:tcPr>
            <w:tcW w:type="dxa" w:w="119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4,593,083</w:t>
            </w:r>
          </w:p>
        </w:tc>
      </w:tr>
      <w:tr>
        <w:trPr>
          <w:trHeight w:hRule="exact" w:val="230"/>
        </w:trPr>
        <w:tc>
          <w:tcPr>
            <w:tcW w:type="dxa" w:w="1580"/>
            <w:tcBorders>
              <w:bottom w:sz="4.0" w:val="single" w:color="#000000"/>
            </w:tcBorders>
            <w:tcMar>
              <w:start w:w="0" w:type="dxa"/>
              <w:end w:w="0" w:type="dxa"/>
            </w:tcMar>
          </w:tcPr>
          <w:p>
            <w:pPr>
              <w:autoSpaceDN w:val="0"/>
              <w:autoSpaceDE w:val="0"/>
              <w:widowControl/>
              <w:spacing w:line="162" w:lineRule="exact" w:before="40" w:after="0"/>
              <w:ind w:left="272" w:right="0" w:firstLine="0"/>
              <w:jc w:val="left"/>
            </w:pPr>
            <w:r>
              <w:rPr>
                <w:rFonts w:ascii="黑体" w:hAnsi="黑体" w:eastAsia="黑体"/>
                <w:b w:val="0"/>
                <w:i w:val="0"/>
                <w:color w:val="000000"/>
                <w:sz w:val="16"/>
              </w:rPr>
              <w:t>港币</w:t>
            </w:r>
          </w:p>
        </w:tc>
        <w:tc>
          <w:tcPr>
            <w:tcW w:type="dxa" w:w="1680"/>
            <w:tcBorders>
              <w:bottom w:sz="4.0" w:val="single" w:color="#000000"/>
            </w:tcBorders>
            <w:tcMar>
              <w:start w:w="0" w:type="dxa"/>
              <w:end w:w="0" w:type="dxa"/>
            </w:tcMar>
          </w:tcPr>
          <w:p>
            <w:pPr>
              <w:autoSpaceDN w:val="0"/>
              <w:autoSpaceDE w:val="0"/>
              <w:widowControl/>
              <w:spacing w:line="233" w:lineRule="auto" w:before="40" w:after="0"/>
              <w:ind w:left="0" w:right="138" w:firstLine="0"/>
              <w:jc w:val="right"/>
            </w:pPr>
            <w:r>
              <w:rPr>
                <w:rFonts w:ascii="Arial" w:hAnsi="Arial" w:eastAsia="Arial"/>
                <w:b w:val="0"/>
                <w:i w:val="0"/>
                <w:color w:val="000000"/>
                <w:sz w:val="16"/>
              </w:rPr>
              <w:t>182,870</w:t>
            </w:r>
          </w:p>
        </w:tc>
        <w:tc>
          <w:tcPr>
            <w:tcW w:type="dxa" w:w="768"/>
            <w:tcBorders>
              <w:bottom w:sz="4.0" w:val="single" w:color="#000000"/>
            </w:tcBorders>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16"/>
              </w:rPr>
              <w:t>0.9260</w:t>
            </w:r>
          </w:p>
        </w:tc>
        <w:tc>
          <w:tcPr>
            <w:tcW w:type="dxa" w:w="1246"/>
            <w:tcBorders>
              <w:bottom w:sz="4.0" w:val="single" w:color="#000000"/>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16"/>
              </w:rPr>
              <w:t>169,338</w:t>
            </w:r>
          </w:p>
        </w:tc>
        <w:tc>
          <w:tcPr>
            <w:tcW w:type="dxa" w:w="1226"/>
            <w:tcBorders>
              <w:bottom w:sz="4.0" w:val="single" w:color="#000000"/>
            </w:tcBorders>
            <w:tcMar>
              <w:start w:w="0" w:type="dxa"/>
              <w:end w:w="0" w:type="dxa"/>
            </w:tcMar>
          </w:tcPr>
          <w:p>
            <w:pPr>
              <w:autoSpaceDN w:val="0"/>
              <w:autoSpaceDE w:val="0"/>
              <w:widowControl/>
              <w:spacing w:line="233" w:lineRule="auto" w:before="40" w:after="0"/>
              <w:ind w:left="0" w:right="146" w:firstLine="0"/>
              <w:jc w:val="right"/>
            </w:pPr>
            <w:r>
              <w:rPr>
                <w:rFonts w:ascii="Arial" w:hAnsi="Arial" w:eastAsia="Arial"/>
                <w:b w:val="0"/>
                <w:i w:val="0"/>
                <w:color w:val="000000"/>
                <w:sz w:val="16"/>
              </w:rPr>
              <w:t>752,840</w:t>
            </w:r>
          </w:p>
        </w:tc>
        <w:tc>
          <w:tcPr>
            <w:tcW w:type="dxa" w:w="762"/>
            <w:tcBorders>
              <w:bottom w:sz="4.0" w:val="single" w:color="#000000"/>
            </w:tcBorders>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16"/>
              </w:rPr>
              <w:t>0.9062</w:t>
            </w:r>
          </w:p>
        </w:tc>
        <w:tc>
          <w:tcPr>
            <w:tcW w:type="dxa" w:w="1190"/>
            <w:tcBorders>
              <w:bottom w:sz="4.0" w:val="single" w:color="#000000"/>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16"/>
              </w:rPr>
              <w:t>682,239</w:t>
            </w:r>
          </w:p>
        </w:tc>
      </w:tr>
    </w:tbl>
    <w:p>
      <w:pPr>
        <w:autoSpaceDN w:val="0"/>
        <w:autoSpaceDE w:val="0"/>
        <w:widowControl/>
        <w:spacing w:line="160" w:lineRule="exact" w:before="212" w:after="22"/>
        <w:ind w:left="358" w:right="0" w:firstLine="0"/>
        <w:jc w:val="left"/>
      </w:pPr>
      <w:r>
        <w:rPr>
          <w:rFonts w:ascii="黑体" w:hAnsi="黑体" w:eastAsia="黑体"/>
          <w:b w:val="0"/>
          <w:i w:val="0"/>
          <w:color w:val="000000"/>
          <w:sz w:val="16"/>
        </w:rPr>
        <w:t>结构化主体持有的银行存款</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6"/>
        </w:trPr>
        <w:tc>
          <w:tcPr>
            <w:tcW w:type="dxa" w:w="4108"/>
            <w:tcBorders>
              <w:bottom w:sz="4.0" w:val="single" w:color="#000000"/>
            </w:tcBorders>
            <w:tcMar>
              <w:start w:w="0" w:type="dxa"/>
              <w:end w:w="0" w:type="dxa"/>
            </w:tcMar>
          </w:tcPr>
          <w:p>
            <w:pPr>
              <w:autoSpaceDN w:val="0"/>
              <w:autoSpaceDE w:val="0"/>
              <w:widowControl/>
              <w:spacing w:line="160" w:lineRule="exact" w:before="24" w:after="0"/>
              <w:ind w:left="358" w:right="0" w:firstLine="0"/>
              <w:jc w:val="left"/>
            </w:pPr>
            <w:r>
              <w:rPr>
                <w:rFonts w:ascii="黑体" w:hAnsi="黑体" w:eastAsia="黑体"/>
                <w:b w:val="0"/>
                <w:i w:val="0"/>
                <w:color w:val="000000"/>
                <w:sz w:val="16"/>
              </w:rPr>
              <w:t>小计</w:t>
            </w:r>
          </w:p>
        </w:tc>
        <w:tc>
          <w:tcPr>
            <w:tcW w:type="dxa" w:w="1246"/>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533,142,391</w:t>
            </w:r>
          </w:p>
        </w:tc>
        <w:tc>
          <w:tcPr>
            <w:tcW w:type="dxa" w:w="317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238,511,205</w:t>
            </w:r>
          </w:p>
        </w:tc>
      </w:tr>
      <w:tr>
        <w:trPr>
          <w:trHeight w:hRule="exact" w:val="400"/>
        </w:trPr>
        <w:tc>
          <w:tcPr>
            <w:tcW w:type="dxa" w:w="4108"/>
            <w:tcBorders>
              <w:top w:sz="4.0" w:val="single" w:color="#000000"/>
              <w:bottom w:sz="4.0" w:val="single" w:color="#000000"/>
            </w:tcBorders>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银行存款小计</w:t>
            </w:r>
          </w:p>
        </w:tc>
        <w:tc>
          <w:tcPr>
            <w:tcW w:type="dxa" w:w="1246"/>
            <w:tcBorders>
              <w:top w:sz="4.0" w:val="single" w:color="#000000"/>
              <w:bottom w:sz="4.0" w:val="single" w:color="#000000"/>
            </w:tcBorders>
            <w:tcMar>
              <w:start w:w="0" w:type="dxa"/>
              <w:end w:w="0" w:type="dxa"/>
            </w:tcMar>
          </w:tcPr>
          <w:p>
            <w:pPr>
              <w:autoSpaceDN w:val="0"/>
              <w:autoSpaceDE w:val="0"/>
              <w:widowControl/>
              <w:spacing w:line="233" w:lineRule="auto" w:before="206" w:after="0"/>
              <w:ind w:left="136" w:right="0" w:firstLine="0"/>
              <w:jc w:val="left"/>
            </w:pPr>
            <w:r>
              <w:rPr>
                <w:rFonts w:ascii="Arial" w:hAnsi="Arial" w:eastAsia="Arial"/>
                <w:b w:val="0"/>
                <w:i w:val="0"/>
                <w:color w:val="000000"/>
                <w:sz w:val="16"/>
              </w:rPr>
              <w:t>25,349,558,828</w:t>
            </w:r>
          </w:p>
        </w:tc>
        <w:tc>
          <w:tcPr>
            <w:tcW w:type="dxa" w:w="3178"/>
            <w:tcBorders>
              <w:top w:sz="4.0" w:val="single" w:color="#000000"/>
              <w:bottom w:sz="4.0" w:val="single" w:color="#000000"/>
            </w:tcBorders>
            <w:tcMar>
              <w:start w:w="0" w:type="dxa"/>
              <w:end w:w="0" w:type="dxa"/>
            </w:tcMar>
          </w:tcPr>
          <w:p>
            <w:pPr>
              <w:autoSpaceDN w:val="0"/>
              <w:autoSpaceDE w:val="0"/>
              <w:widowControl/>
              <w:spacing w:line="233" w:lineRule="auto" w:before="206" w:after="0"/>
              <w:ind w:left="0" w:right="0" w:firstLine="0"/>
              <w:jc w:val="right"/>
            </w:pPr>
            <w:r>
              <w:rPr>
                <w:rFonts w:ascii="Arial" w:hAnsi="Arial" w:eastAsia="Arial"/>
                <w:b w:val="0"/>
                <w:i w:val="0"/>
                <w:color w:val="000000"/>
                <w:sz w:val="16"/>
              </w:rPr>
              <w:t>22,193,515,893</w:t>
            </w:r>
          </w:p>
        </w:tc>
      </w:tr>
      <w:tr>
        <w:trPr>
          <w:trHeight w:hRule="exact" w:val="50"/>
        </w:trPr>
        <w:tc>
          <w:tcPr>
            <w:tcW w:type="dxa" w:w="4108"/>
            <w:tcBorders>
              <w:top w:sz="4.0" w:val="single" w:color="#000000"/>
            </w:tcBorders>
            <w:tcMar>
              <w:start w:w="0" w:type="dxa"/>
              <w:end w:w="0" w:type="dxa"/>
            </w:tcMar>
          </w:tcPr>
          <w:p/>
        </w:tc>
        <w:tc>
          <w:tcPr>
            <w:tcW w:type="dxa" w:w="1246"/>
            <w:tcBorders>
              <w:top w:sz="4.0" w:val="single" w:color="#000000"/>
            </w:tcBorders>
            <w:tcMar>
              <w:start w:w="0" w:type="dxa"/>
              <w:end w:w="0" w:type="dxa"/>
            </w:tcMar>
          </w:tcPr>
          <w:p/>
        </w:tc>
        <w:tc>
          <w:tcPr>
            <w:tcW w:type="dxa" w:w="3178"/>
            <w:tcBorders>
              <w:top w:sz="4.0" w:val="single" w:color="#000000"/>
            </w:tcBorders>
            <w:tcMar>
              <w:start w:w="0" w:type="dxa"/>
              <w:end w:w="0" w:type="dxa"/>
            </w:tcMar>
          </w:tcPr>
          <w:p/>
        </w:tc>
      </w:tr>
    </w:tbl>
    <w:p>
      <w:pPr>
        <w:autoSpaceDN w:val="0"/>
        <w:autoSpaceDE w:val="0"/>
        <w:widowControl/>
        <w:spacing w:line="160" w:lineRule="exact" w:before="162" w:after="24"/>
        <w:ind w:left="358" w:right="0" w:firstLine="0"/>
        <w:jc w:val="left"/>
      </w:pPr>
      <w:r>
        <w:rPr>
          <w:rFonts w:ascii="黑体" w:hAnsi="黑体" w:eastAsia="黑体"/>
          <w:b w:val="0"/>
          <w:i w:val="0"/>
          <w:color w:val="000000"/>
          <w:sz w:val="16"/>
        </w:rPr>
        <w:t>其他货币资金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4"/>
        </w:trPr>
        <w:tc>
          <w:tcPr>
            <w:tcW w:type="dxa" w:w="4108"/>
            <w:tcBorders>
              <w:bottom w:sz="4.0" w:val="single" w:color="#000000"/>
            </w:tcBorders>
            <w:tcMar>
              <w:start w:w="0" w:type="dxa"/>
              <w:end w:w="0" w:type="dxa"/>
            </w:tcMar>
          </w:tcPr>
          <w:p>
            <w:pPr>
              <w:autoSpaceDN w:val="0"/>
              <w:autoSpaceDE w:val="0"/>
              <w:widowControl/>
              <w:spacing w:line="162" w:lineRule="exact" w:before="22" w:after="0"/>
              <w:ind w:left="352" w:right="0" w:firstLine="0"/>
              <w:jc w:val="left"/>
            </w:pPr>
            <w:r>
              <w:rPr>
                <w:rFonts w:ascii="黑体" w:hAnsi="黑体" w:eastAsia="黑体"/>
                <w:b w:val="0"/>
                <w:i w:val="0"/>
                <w:color w:val="000000"/>
                <w:sz w:val="16"/>
              </w:rPr>
              <w:t>人民币</w:t>
            </w:r>
          </w:p>
        </w:tc>
        <w:tc>
          <w:tcPr>
            <w:tcW w:type="dxa" w:w="3234"/>
            <w:tcBorders>
              <w:bottom w:sz="4.0" w:val="single" w:color="#000000"/>
            </w:tcBorders>
            <w:tcMar>
              <w:start w:w="0" w:type="dxa"/>
              <w:end w:w="0" w:type="dxa"/>
            </w:tcMar>
          </w:tcPr>
          <w:p>
            <w:pPr>
              <w:autoSpaceDN w:val="0"/>
              <w:autoSpaceDE w:val="0"/>
              <w:widowControl/>
              <w:spacing w:line="233" w:lineRule="auto" w:before="24" w:after="0"/>
              <w:ind w:left="446" w:right="0" w:firstLine="0"/>
              <w:jc w:val="left"/>
            </w:pPr>
            <w:r>
              <w:rPr>
                <w:rFonts w:ascii="Arial" w:hAnsi="Arial" w:eastAsia="Arial"/>
                <w:b w:val="0"/>
                <w:i w:val="0"/>
                <w:color w:val="000000"/>
                <w:sz w:val="16"/>
              </w:rPr>
              <w:t>51,625,997</w:t>
            </w:r>
          </w:p>
        </w:tc>
        <w:tc>
          <w:tcPr>
            <w:tcW w:type="dxa" w:w="1190"/>
            <w:tcBorders>
              <w:bottom w:sz="4.0" w:val="single" w:color="#00000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6"/>
              </w:rPr>
              <w:t>26,184,918</w:t>
            </w:r>
          </w:p>
        </w:tc>
      </w:tr>
      <w:tr>
        <w:trPr>
          <w:trHeight w:hRule="exact" w:val="402"/>
        </w:trPr>
        <w:tc>
          <w:tcPr>
            <w:tcW w:type="dxa" w:w="4108"/>
            <w:tcBorders>
              <w:top w:sz="4.0" w:val="single" w:color="#000000"/>
              <w:bottom w:sz="4.0" w:val="single" w:color="#000000"/>
            </w:tcBorders>
            <w:tcMar>
              <w:start w:w="0" w:type="dxa"/>
              <w:end w:w="0" w:type="dxa"/>
            </w:tcMar>
          </w:tcPr>
          <w:p>
            <w:pPr>
              <w:autoSpaceDN w:val="0"/>
              <w:autoSpaceDE w:val="0"/>
              <w:widowControl/>
              <w:spacing w:line="160" w:lineRule="exact" w:before="206" w:after="0"/>
              <w:ind w:left="198" w:right="0" w:firstLine="0"/>
              <w:jc w:val="left"/>
            </w:pPr>
            <w:r>
              <w:rPr>
                <w:rFonts w:ascii="黑体" w:hAnsi="黑体" w:eastAsia="黑体"/>
                <w:b w:val="0"/>
                <w:i w:val="0"/>
                <w:color w:val="000000"/>
                <w:sz w:val="16"/>
              </w:rPr>
              <w:t>合计</w:t>
            </w:r>
          </w:p>
        </w:tc>
        <w:tc>
          <w:tcPr>
            <w:tcW w:type="dxa" w:w="3234"/>
            <w:tcBorders>
              <w:top w:sz="4.0" w:val="single" w:color="#000000"/>
              <w:bottom w:sz="4.0" w:val="single" w:color="#000000"/>
            </w:tcBorders>
            <w:tcMar>
              <w:start w:w="0" w:type="dxa"/>
              <w:end w:w="0" w:type="dxa"/>
            </w:tcMar>
          </w:tcPr>
          <w:p>
            <w:pPr>
              <w:autoSpaceDN w:val="0"/>
              <w:autoSpaceDE w:val="0"/>
              <w:widowControl/>
              <w:spacing w:line="230" w:lineRule="auto" w:before="208" w:after="0"/>
              <w:ind w:left="136" w:right="0" w:firstLine="0"/>
              <w:jc w:val="left"/>
            </w:pPr>
            <w:r>
              <w:rPr>
                <w:rFonts w:ascii="Arial" w:hAnsi="Arial" w:eastAsia="Arial"/>
                <w:b w:val="0"/>
                <w:i w:val="0"/>
                <w:color w:val="000000"/>
                <w:sz w:val="16"/>
              </w:rPr>
              <w:t>25,401,187,834</w:t>
            </w:r>
          </w:p>
        </w:tc>
        <w:tc>
          <w:tcPr>
            <w:tcW w:type="dxa" w:w="1190"/>
            <w:tcBorders>
              <w:top w:sz="4.0" w:val="single" w:color="#000000"/>
              <w:bottom w:sz="4.0" w:val="single" w:color="#000000"/>
            </w:tcBorders>
            <w:tcMar>
              <w:start w:w="0" w:type="dxa"/>
              <w:end w:w="0" w:type="dxa"/>
            </w:tcMar>
          </w:tcPr>
          <w:p>
            <w:pPr>
              <w:autoSpaceDN w:val="0"/>
              <w:autoSpaceDE w:val="0"/>
              <w:widowControl/>
              <w:spacing w:line="230" w:lineRule="auto" w:before="208" w:after="0"/>
              <w:ind w:left="80" w:right="0" w:firstLine="0"/>
              <w:jc w:val="left"/>
            </w:pPr>
            <w:r>
              <w:rPr>
                <w:rFonts w:ascii="Arial" w:hAnsi="Arial" w:eastAsia="Arial"/>
                <w:b w:val="0"/>
                <w:i w:val="0"/>
                <w:color w:val="000000"/>
                <w:sz w:val="16"/>
              </w:rPr>
              <w:t>22,219,704,728</w:t>
            </w:r>
          </w:p>
        </w:tc>
      </w:tr>
      <w:tr>
        <w:trPr>
          <w:trHeight w:hRule="exact" w:val="50"/>
        </w:trPr>
        <w:tc>
          <w:tcPr>
            <w:tcW w:type="dxa" w:w="4108"/>
            <w:tcBorders>
              <w:top w:sz="4.0" w:val="single" w:color="#000000"/>
            </w:tcBorders>
            <w:tcMar>
              <w:start w:w="0" w:type="dxa"/>
              <w:end w:w="0" w:type="dxa"/>
            </w:tcMar>
          </w:tcPr>
          <w:p/>
        </w:tc>
        <w:tc>
          <w:tcPr>
            <w:tcW w:type="dxa" w:w="3234"/>
            <w:tcBorders>
              <w:top w:sz="4.0" w:val="single" w:color="#000000"/>
            </w:tcBorders>
            <w:tcMar>
              <w:start w:w="0" w:type="dxa"/>
              <w:end w:w="0" w:type="dxa"/>
            </w:tcMar>
          </w:tcPr>
          <w:p/>
        </w:tc>
        <w:tc>
          <w:tcPr>
            <w:tcW w:type="dxa" w:w="1190"/>
            <w:tcBorders>
              <w:top w:sz="4.0" w:val="single" w:color="#000000"/>
            </w:tcBorders>
            <w:tcMar>
              <w:start w:w="0" w:type="dxa"/>
              <w:end w:w="0" w:type="dxa"/>
            </w:tcMar>
          </w:tcPr>
          <w:p/>
        </w:tc>
      </w:tr>
    </w:tbl>
    <w:p>
      <w:pPr>
        <w:autoSpaceDN w:val="0"/>
        <w:autoSpaceDE w:val="0"/>
        <w:widowControl/>
        <w:spacing w:line="246" w:lineRule="exact" w:before="246" w:after="0"/>
        <w:ind w:left="0" w:right="0" w:firstLine="0"/>
        <w:jc w:val="center"/>
      </w:pPr>
      <w:r>
        <w:rPr>
          <w:rFonts w:ascii="黑体" w:hAnsi="黑体" w:eastAsia="黑体"/>
          <w:b w:val="0"/>
          <w:i w:val="0"/>
          <w:color w:val="000000"/>
          <w:sz w:val="22"/>
        </w:rPr>
        <w:t>注</w:t>
      </w:r>
      <w:r>
        <w:rPr>
          <w:rFonts w:ascii="Arial" w:hAnsi="Arial" w:eastAsia="Arial"/>
          <w:b w:val="0"/>
          <w:i w:val="0"/>
          <w:color w:val="000000"/>
          <w:sz w:val="22"/>
        </w:rPr>
        <w:t>1</w:t>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日和</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日，本集团其他外币包括欧元、英镑、日</w:t>
      </w:r>
    </w:p>
    <w:p>
      <w:pPr>
        <w:autoSpaceDN w:val="0"/>
        <w:autoSpaceDE w:val="0"/>
        <w:widowControl/>
        <w:spacing w:line="220" w:lineRule="exact" w:before="50" w:after="0"/>
        <w:ind w:left="922" w:right="0" w:firstLine="0"/>
        <w:jc w:val="left"/>
      </w:pPr>
      <w:r>
        <w:rPr>
          <w:rFonts w:ascii="黑体" w:hAnsi="黑体" w:eastAsia="黑体"/>
          <w:b w:val="0"/>
          <w:i w:val="0"/>
          <w:color w:val="000000"/>
          <w:sz w:val="22"/>
        </w:rPr>
        <w:t xml:space="preserve">元、新加坡元等。 </w:t>
      </w:r>
    </w:p>
    <w:p>
      <w:pPr>
        <w:autoSpaceDN w:val="0"/>
        <w:autoSpaceDE w:val="0"/>
        <w:widowControl/>
        <w:spacing w:line="233" w:lineRule="auto" w:before="1474" w:after="0"/>
        <w:ind w:left="0" w:right="0" w:firstLine="0"/>
        <w:jc w:val="center"/>
      </w:pPr>
      <w:r>
        <w:rPr>
          <w:rFonts w:ascii="Arial" w:hAnsi="Arial" w:eastAsia="Arial"/>
          <w:b w:val="0"/>
          <w:i w:val="0"/>
          <w:color w:val="000000"/>
          <w:sz w:val="20"/>
        </w:rPr>
        <w:t xml:space="preserve">199 </w:t>
      </w:r>
    </w:p>
    <w:p>
      <w:pPr>
        <w:sectPr>
          <w:pgSz w:w="11906" w:h="16841"/>
          <w:pgMar w:top="826"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4958" w:val="left"/>
          <w:tab w:pos="7052" w:val="left"/>
        </w:tabs>
        <w:autoSpaceDE w:val="0"/>
        <w:widowControl/>
        <w:spacing w:line="486" w:lineRule="exact" w:before="0" w:after="32"/>
        <w:ind w:left="358" w:right="28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1. </w:t>
      </w:r>
      <w:r>
        <w:rPr>
          <w:rFonts w:ascii="黑体" w:hAnsi="黑体" w:eastAsia="黑体"/>
          <w:b w:val="0"/>
          <w:i w:val="0"/>
          <w:color w:val="000000"/>
          <w:sz w:val="22"/>
        </w:rPr>
        <w:t>货币资金（续）</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按币种列示（续）</w:t>
      </w:r>
      <w:r>
        <w:br/>
      </w:r>
      <w:r>
        <w:rPr>
          <w:rFonts w:ascii="黑体" w:hAnsi="黑体" w:eastAsia="黑体"/>
          <w:b w:val="0"/>
          <w:i w:val="0"/>
          <w:color w:val="000000"/>
          <w:sz w:val="22"/>
        </w:rPr>
        <w:t>其中，融资融券业务：</w:t>
      </w:r>
      <w:r>
        <w:br/>
      </w:r>
      <w:r>
        <w:tab/>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tab/>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自有信用资金</w:t>
      </w:r>
    </w:p>
    <w:tbl>
      <w:tblPr>
        <w:tblW w:type="auto" w:w="0"/>
        <w:tblLayout w:type="fixed"/>
        <w:tblLook w:firstColumn="1" w:firstRow="1" w:lastColumn="0" w:lastRow="0" w:noHBand="0" w:noVBand="1" w:val="04A0"/>
        <w:tblInd w:w="260.0" w:type="dxa"/>
      </w:tblPr>
      <w:tblGrid>
        <w:gridCol w:w="3009"/>
        <w:gridCol w:w="3009"/>
        <w:gridCol w:w="3009"/>
      </w:tblGrid>
      <w:tr>
        <w:trPr>
          <w:trHeight w:hRule="exact" w:val="348"/>
        </w:trPr>
        <w:tc>
          <w:tcPr>
            <w:tcW w:type="dxa" w:w="3360"/>
            <w:tcBorders/>
            <w:tcMar>
              <w:start w:w="0" w:type="dxa"/>
              <w:end w:w="0" w:type="dxa"/>
            </w:tcMar>
          </w:tcPr>
          <w:p>
            <w:pPr>
              <w:autoSpaceDN w:val="0"/>
              <w:autoSpaceDE w:val="0"/>
              <w:widowControl/>
              <w:spacing w:line="220" w:lineRule="exact" w:before="32" w:after="0"/>
              <w:ind w:left="292" w:right="0" w:firstLine="0"/>
              <w:jc w:val="left"/>
            </w:pPr>
            <w:r>
              <w:rPr>
                <w:rFonts w:ascii="黑体" w:hAnsi="黑体" w:eastAsia="黑体"/>
                <w:b w:val="0"/>
                <w:i w:val="0"/>
                <w:color w:val="000000"/>
                <w:sz w:val="22"/>
              </w:rPr>
              <w:t>其中：人民币</w:t>
            </w:r>
          </w:p>
        </w:tc>
        <w:tc>
          <w:tcPr>
            <w:tcW w:type="dxa" w:w="3440"/>
            <w:tcBorders/>
            <w:tcMar>
              <w:start w:w="0" w:type="dxa"/>
              <w:end w:w="0" w:type="dxa"/>
            </w:tcMar>
          </w:tcPr>
          <w:p>
            <w:pPr>
              <w:autoSpaceDN w:val="0"/>
              <w:autoSpaceDE w:val="0"/>
              <w:widowControl/>
              <w:spacing w:line="233" w:lineRule="auto" w:before="42" w:after="0"/>
              <w:ind w:left="0" w:right="402" w:firstLine="0"/>
              <w:jc w:val="right"/>
            </w:pPr>
            <w:r>
              <w:rPr>
                <w:rFonts w:ascii="Arial" w:hAnsi="Arial" w:eastAsia="Arial"/>
                <w:b w:val="0"/>
                <w:i w:val="0"/>
                <w:color w:val="000000"/>
                <w:sz w:val="22"/>
              </w:rPr>
              <w:t xml:space="preserve">369,345,955 </w:t>
            </w:r>
          </w:p>
        </w:tc>
        <w:tc>
          <w:tcPr>
            <w:tcW w:type="dxa" w:w="1800"/>
            <w:tcBorders/>
            <w:tcMar>
              <w:start w:w="0" w:type="dxa"/>
              <w:end w:w="0" w:type="dxa"/>
            </w:tcMar>
          </w:tcPr>
          <w:p>
            <w:pPr>
              <w:autoSpaceDN w:val="0"/>
              <w:autoSpaceDE w:val="0"/>
              <w:widowControl/>
              <w:spacing w:line="233" w:lineRule="auto" w:before="42" w:after="0"/>
              <w:ind w:left="408" w:right="0" w:firstLine="0"/>
              <w:jc w:val="left"/>
            </w:pPr>
            <w:r>
              <w:rPr>
                <w:rFonts w:ascii="Arial" w:hAnsi="Arial" w:eastAsia="Arial"/>
                <w:b w:val="0"/>
                <w:i w:val="0"/>
                <w:color w:val="000000"/>
                <w:sz w:val="22"/>
              </w:rPr>
              <w:t>268,797,809</w:t>
            </w:r>
          </w:p>
        </w:tc>
      </w:tr>
    </w:tbl>
    <w:p>
      <w:pPr>
        <w:autoSpaceDN w:val="0"/>
        <w:autoSpaceDE w:val="0"/>
        <w:widowControl/>
        <w:spacing w:line="220" w:lineRule="exact" w:before="222" w:after="32"/>
        <w:ind w:left="358" w:right="0" w:firstLine="0"/>
        <w:jc w:val="left"/>
      </w:pPr>
      <w:r>
        <w:rPr>
          <w:rFonts w:ascii="黑体" w:hAnsi="黑体" w:eastAsia="黑体"/>
          <w:b w:val="0"/>
          <w:i w:val="0"/>
          <w:color w:val="000000"/>
          <w:sz w:val="22"/>
        </w:rPr>
        <w:t>客户信用资金</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96"/>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0" w:lineRule="exact" w:before="34" w:after="0"/>
              <w:ind w:left="392" w:right="0" w:firstLine="0"/>
              <w:jc w:val="left"/>
            </w:pPr>
            <w:r>
              <w:rPr>
                <w:rFonts w:ascii="黑体" w:hAnsi="黑体" w:eastAsia="黑体"/>
                <w:b w:val="0"/>
                <w:i w:val="0"/>
                <w:color w:val="000000"/>
                <w:sz w:val="22"/>
              </w:rPr>
              <w:t>其中：人民币</w:t>
            </w:r>
          </w:p>
        </w:tc>
        <w:tc>
          <w:tcPr>
            <w:tcW w:type="dxa" w:w="2098"/>
            <w:tcBorders>
              <w:bottom w:sz="4.0" w:val="single" w:color="#000000"/>
            </w:tcBorders>
            <w:tcMar>
              <w:start w:w="0" w:type="dxa"/>
              <w:end w:w="0" w:type="dxa"/>
            </w:tcMar>
          </w:tcPr>
          <w:p>
            <w:pPr>
              <w:autoSpaceDN w:val="0"/>
              <w:autoSpaceDE w:val="0"/>
              <w:widowControl/>
              <w:spacing w:line="233" w:lineRule="auto" w:before="42" w:after="0"/>
              <w:ind w:left="0" w:right="164" w:firstLine="0"/>
              <w:jc w:val="right"/>
            </w:pPr>
            <w:r>
              <w:rPr>
                <w:rFonts w:ascii="Arial" w:hAnsi="Arial" w:eastAsia="Arial"/>
                <w:b w:val="0"/>
                <w:i w:val="0"/>
                <w:color w:val="000000"/>
                <w:sz w:val="22"/>
              </w:rPr>
              <w:t xml:space="preserve">832,976,673 </w:t>
            </w:r>
          </w:p>
        </w:tc>
        <w:tc>
          <w:tcPr>
            <w:tcW w:type="dxa" w:w="1870"/>
            <w:tcBorders>
              <w:bottom w:sz="4.0"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22"/>
              </w:rPr>
              <w:t>556,188,567</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 xml:space="preserve">1,202,322,628 </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824,986,376</w:t>
            </w:r>
          </w:p>
        </w:tc>
      </w:tr>
      <w:tr>
        <w:trPr>
          <w:trHeight w:hRule="exact" w:val="602"/>
        </w:trPr>
        <w:tc>
          <w:tcPr>
            <w:tcW w:type="dxa" w:w="68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2. </w:t>
            </w:r>
          </w:p>
        </w:tc>
        <w:tc>
          <w:tcPr>
            <w:tcW w:type="dxa" w:w="3884"/>
            <w:tcBorders>
              <w:top w:sz="4.0" w:val="single" w:color="#000000"/>
            </w:tcBorders>
            <w:tcMar>
              <w:start w:w="0" w:type="dxa"/>
              <w:end w:w="0" w:type="dxa"/>
            </w:tcMar>
          </w:tcPr>
          <w:p>
            <w:pPr>
              <w:autoSpaceDN w:val="0"/>
              <w:autoSpaceDE w:val="0"/>
              <w:widowControl/>
              <w:spacing w:line="220" w:lineRule="exact" w:before="302" w:after="0"/>
              <w:ind w:left="246" w:right="0" w:firstLine="0"/>
              <w:jc w:val="left"/>
            </w:pPr>
            <w:r>
              <w:rPr>
                <w:rFonts w:ascii="黑体" w:hAnsi="黑体" w:eastAsia="黑体"/>
                <w:b w:val="0"/>
                <w:i w:val="0"/>
                <w:color w:val="000000"/>
                <w:sz w:val="22"/>
              </w:rPr>
              <w:t>结算备付金</w:t>
            </w:r>
          </w:p>
        </w:tc>
        <w:tc>
          <w:tcPr>
            <w:tcW w:type="dxa" w:w="2098"/>
            <w:tcBorders>
              <w:top w:sz="4.0" w:val="single" w:color="#000000"/>
            </w:tcBorders>
            <w:tcMar>
              <w:start w:w="0" w:type="dxa"/>
              <w:end w:w="0" w:type="dxa"/>
            </w:tcMar>
          </w:tcPr>
          <w:p/>
        </w:tc>
        <w:tc>
          <w:tcPr>
            <w:tcW w:type="dxa" w:w="1870"/>
            <w:tcBorders>
              <w:top w:sz="4.0" w:val="single" w:color="#000000"/>
            </w:tcBorders>
            <w:tcMar>
              <w:start w:w="0" w:type="dxa"/>
              <w:end w:w="0" w:type="dxa"/>
            </w:tcMar>
          </w:tcPr>
          <w:p/>
        </w:tc>
      </w:tr>
    </w:tbl>
    <w:p>
      <w:pPr>
        <w:autoSpaceDN w:val="0"/>
        <w:autoSpaceDE w:val="0"/>
        <w:widowControl/>
        <w:spacing w:line="246" w:lineRule="exact" w:before="232"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按类别列示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6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客户备付金</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466" w:right="0" w:firstLine="0"/>
              <w:jc w:val="left"/>
            </w:pPr>
            <w:r>
              <w:rPr>
                <w:rFonts w:ascii="Arial" w:hAnsi="Arial" w:eastAsia="Arial"/>
                <w:b w:val="0"/>
                <w:i w:val="0"/>
                <w:color w:val="000000"/>
                <w:sz w:val="22"/>
              </w:rPr>
              <w:t>2,067,871,695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572,609,778</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2" w:after="0"/>
              <w:ind w:left="198" w:right="0" w:firstLine="0"/>
              <w:jc w:val="left"/>
            </w:pPr>
            <w:r>
              <w:rPr>
                <w:rFonts w:ascii="黑体" w:hAnsi="黑体" w:eastAsia="黑体"/>
                <w:b w:val="0"/>
                <w:i w:val="0"/>
                <w:color w:val="000000"/>
                <w:sz w:val="22"/>
              </w:rPr>
              <w:t>公司备付金</w:t>
            </w:r>
          </w:p>
        </w:tc>
        <w:tc>
          <w:tcPr>
            <w:tcW w:type="dxa" w:w="3009"/>
            <w:vMerge/>
            <w:tcBorders/>
          </w:tcPr>
          <w:p/>
        </w:tc>
        <w:tc>
          <w:tcPr>
            <w:tcW w:type="dxa" w:w="3009"/>
            <w:vMerge/>
            <w:tcBorders/>
          </w:tcPr>
          <w:p/>
        </w:tc>
      </w:tr>
      <w:tr>
        <w:trPr>
          <w:trHeight w:hRule="exact" w:val="238"/>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1,867,572,842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1,969,706,634</w:t>
            </w:r>
          </w:p>
        </w:tc>
      </w:tr>
      <w:tr>
        <w:trPr>
          <w:trHeight w:hRule="exact" w:val="48"/>
        </w:trPr>
        <w:tc>
          <w:tcPr>
            <w:tcW w:type="dxa" w:w="4564"/>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结构化主体持有的结算备付金</w:t>
            </w:r>
          </w:p>
        </w:tc>
        <w:tc>
          <w:tcPr>
            <w:tcW w:type="dxa" w:w="3009"/>
            <w:vMerge/>
            <w:tcBorders/>
          </w:tcPr>
          <w:p/>
        </w:tc>
        <w:tc>
          <w:tcPr>
            <w:tcW w:type="dxa" w:w="3009"/>
            <w:vMerge/>
            <w:tcBorders/>
          </w:tcPr>
          <w:p/>
        </w:tc>
      </w:tr>
      <w:tr>
        <w:trPr>
          <w:trHeight w:hRule="exact" w:val="272"/>
        </w:trPr>
        <w:tc>
          <w:tcPr>
            <w:tcW w:type="dxa" w:w="3009"/>
            <w:vMerge/>
            <w:tcBorders>
              <w:bottom w:sz="3.199999999999818" w:val="single" w:color="#000000"/>
            </w:tcBorders>
          </w:tcPr>
          <w:p/>
        </w:tc>
        <w:tc>
          <w:tcPr>
            <w:tcW w:type="dxa" w:w="1870"/>
            <w:tcBorders>
              <w:bottom w:sz="3.199999999999818"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85,481,557</w:t>
            </w:r>
          </w:p>
        </w:tc>
        <w:tc>
          <w:tcPr>
            <w:tcW w:type="dxa" w:w="2098"/>
            <w:tcBorders>
              <w:bottom w:sz="3.199999999999818"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92,746,826</w:t>
            </w:r>
          </w:p>
        </w:tc>
      </w:tr>
      <w:tr>
        <w:trPr>
          <w:trHeight w:hRule="exact" w:val="548"/>
        </w:trPr>
        <w:tc>
          <w:tcPr>
            <w:tcW w:type="dxa" w:w="4564"/>
            <w:tcBorders>
              <w:top w:sz="3.199999999999818"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4,020,926,094</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2,635,063,238</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5958" w:after="0"/>
        <w:ind w:left="0" w:right="0" w:firstLine="0"/>
        <w:jc w:val="center"/>
      </w:pPr>
      <w:r>
        <w:rPr>
          <w:rFonts w:ascii="Arial" w:hAnsi="Arial" w:eastAsia="Arial"/>
          <w:b w:val="0"/>
          <w:i w:val="0"/>
          <w:color w:val="000000"/>
          <w:sz w:val="20"/>
        </w:rPr>
        <w:t xml:space="preserve">200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7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2. </w:t>
      </w:r>
      <w:r>
        <w:rPr>
          <w:rFonts w:ascii="黑体" w:hAnsi="黑体" w:eastAsia="黑体"/>
          <w:b w:val="0"/>
          <w:i w:val="0"/>
          <w:color w:val="000000"/>
          <w:sz w:val="22"/>
        </w:rPr>
        <w:t>结算备付金（续）</w:t>
      </w:r>
    </w:p>
    <w:p>
      <w:pPr>
        <w:autoSpaceDN w:val="0"/>
        <w:autoSpaceDE w:val="0"/>
        <w:widowControl/>
        <w:spacing w:line="246" w:lineRule="exact" w:before="290"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按币种列示</w:t>
      </w:r>
    </w:p>
    <w:tbl>
      <w:tblPr>
        <w:tblW w:type="auto" w:w="0"/>
        <w:tblLayout w:type="fixed"/>
        <w:tblLook w:firstColumn="1" w:firstRow="1" w:lastColumn="0" w:lastRow="0" w:noHBand="0" w:noVBand="1" w:val="04A0"/>
        <w:tblInd w:w="2098.0" w:type="dxa"/>
      </w:tblPr>
      <w:tblGrid>
        <w:gridCol w:w="1504"/>
        <w:gridCol w:w="1504"/>
        <w:gridCol w:w="1504"/>
        <w:gridCol w:w="1504"/>
        <w:gridCol w:w="1504"/>
        <w:gridCol w:w="1504"/>
      </w:tblGrid>
      <w:tr>
        <w:trPr>
          <w:trHeight w:hRule="exact" w:val="256"/>
        </w:trPr>
        <w:tc>
          <w:tcPr>
            <w:tcW w:type="dxa" w:w="908"/>
            <w:tcBorders>
              <w:bottom w:sz="4.0" w:val="single" w:color="#000000"/>
            </w:tcBorders>
            <w:tcMar>
              <w:start w:w="0" w:type="dxa"/>
              <w:end w:w="0" w:type="dxa"/>
            </w:tcMar>
          </w:tcPr>
          <w:p/>
        </w:tc>
        <w:tc>
          <w:tcPr>
            <w:tcW w:type="dxa" w:w="1414"/>
            <w:tcBorders>
              <w:bottom w:sz="4.0" w:val="single" w:color="#000000"/>
            </w:tcBorders>
            <w:tcMar>
              <w:start w:w="0" w:type="dxa"/>
              <w:end w:w="0" w:type="dxa"/>
            </w:tcMar>
          </w:tcPr>
          <w:p>
            <w:pPr>
              <w:autoSpaceDN w:val="0"/>
              <w:autoSpaceDE w:val="0"/>
              <w:widowControl/>
              <w:spacing w:line="178" w:lineRule="exact" w:before="60" w:after="0"/>
              <w:ind w:left="0" w:right="0" w:firstLine="0"/>
              <w:jc w:val="center"/>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912"/>
            <w:tcBorders>
              <w:bottom w:sz="4.0" w:val="single" w:color="#000000"/>
            </w:tcBorders>
            <w:tcMar>
              <w:start w:w="0" w:type="dxa"/>
              <w:end w:w="0" w:type="dxa"/>
            </w:tcMar>
          </w:tcPr>
          <w:p/>
        </w:tc>
        <w:tc>
          <w:tcPr>
            <w:tcW w:type="dxa" w:w="1048"/>
            <w:tcBorders>
              <w:bottom w:sz="4.0" w:val="single" w:color="#000000"/>
            </w:tcBorders>
            <w:tcMar>
              <w:start w:w="0" w:type="dxa"/>
              <w:end w:w="0" w:type="dxa"/>
            </w:tcMar>
          </w:tcPr>
          <w:p/>
        </w:tc>
        <w:tc>
          <w:tcPr>
            <w:tcW w:type="dxa" w:w="1400"/>
            <w:tcBorders>
              <w:bottom w:sz="4.0" w:val="single" w:color="#000000"/>
            </w:tcBorders>
            <w:tcMar>
              <w:start w:w="0" w:type="dxa"/>
              <w:end w:w="0" w:type="dxa"/>
            </w:tcMar>
          </w:tcPr>
          <w:p>
            <w:pPr>
              <w:autoSpaceDN w:val="0"/>
              <w:autoSpaceDE w:val="0"/>
              <w:widowControl/>
              <w:spacing w:line="178" w:lineRule="exact" w:before="60" w:after="0"/>
              <w:ind w:left="0" w:right="0" w:firstLine="0"/>
              <w:jc w:val="center"/>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926"/>
            <w:tcBorders>
              <w:bottom w:sz="4.0" w:val="single" w:color="#000000"/>
            </w:tcBorders>
            <w:tcMar>
              <w:start w:w="0" w:type="dxa"/>
              <w:end w:w="0" w:type="dxa"/>
            </w:tcMar>
          </w:tcPr>
          <w:p/>
        </w:tc>
      </w:tr>
      <w:tr>
        <w:trPr>
          <w:trHeight w:hRule="exact" w:val="248"/>
        </w:trPr>
        <w:tc>
          <w:tcPr>
            <w:tcW w:type="dxa" w:w="908"/>
            <w:tcBorders>
              <w:top w:sz="4.0" w:val="single" w:color="#000000"/>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外币金额</w:t>
            </w:r>
          </w:p>
        </w:tc>
        <w:tc>
          <w:tcPr>
            <w:tcW w:type="dxa" w:w="1414"/>
            <w:tcBorders>
              <w:top w:sz="4.0" w:val="single" w:color="#000000"/>
            </w:tcBorders>
            <w:tcMar>
              <w:start w:w="0" w:type="dxa"/>
              <w:end w:w="0" w:type="dxa"/>
            </w:tcMar>
          </w:tcPr>
          <w:p>
            <w:pPr>
              <w:autoSpaceDN w:val="0"/>
              <w:autoSpaceDE w:val="0"/>
              <w:widowControl/>
              <w:spacing w:line="162" w:lineRule="exact" w:before="22" w:after="0"/>
              <w:ind w:left="0" w:right="420" w:firstLine="0"/>
              <w:jc w:val="right"/>
            </w:pPr>
            <w:r>
              <w:rPr>
                <w:rFonts w:ascii="黑体" w:hAnsi="黑体" w:eastAsia="黑体"/>
                <w:b w:val="0"/>
                <w:i w:val="0"/>
                <w:color w:val="000000"/>
                <w:sz w:val="16"/>
              </w:rPr>
              <w:t>折算率</w:t>
            </w:r>
          </w:p>
        </w:tc>
        <w:tc>
          <w:tcPr>
            <w:tcW w:type="dxa" w:w="912"/>
            <w:tcBorders>
              <w:top w:sz="4.0" w:val="single" w:color="#000000"/>
            </w:tcBorders>
            <w:tcMar>
              <w:start w:w="0" w:type="dxa"/>
              <w:end w:w="0" w:type="dxa"/>
            </w:tcMar>
          </w:tcPr>
          <w:p>
            <w:pPr>
              <w:autoSpaceDN w:val="0"/>
              <w:autoSpaceDE w:val="0"/>
              <w:widowControl/>
              <w:spacing w:line="162" w:lineRule="exact" w:before="22" w:after="0"/>
              <w:ind w:left="110" w:right="0" w:firstLine="0"/>
              <w:jc w:val="left"/>
            </w:pPr>
            <w:r>
              <w:rPr>
                <w:rFonts w:ascii="黑体" w:hAnsi="黑体" w:eastAsia="黑体"/>
                <w:b w:val="0"/>
                <w:i w:val="0"/>
                <w:color w:val="000000"/>
                <w:sz w:val="16"/>
              </w:rPr>
              <w:t>人民币金额</w:t>
            </w:r>
          </w:p>
        </w:tc>
        <w:tc>
          <w:tcPr>
            <w:tcW w:type="dxa" w:w="1048"/>
            <w:tcBorders>
              <w:top w:sz="4.0" w:val="single" w:color="#000000"/>
            </w:tcBorders>
            <w:tcMar>
              <w:start w:w="0" w:type="dxa"/>
              <w:end w:w="0" w:type="dxa"/>
            </w:tcMar>
          </w:tcPr>
          <w:p>
            <w:pPr>
              <w:autoSpaceDN w:val="0"/>
              <w:autoSpaceDE w:val="0"/>
              <w:widowControl/>
              <w:spacing w:line="162" w:lineRule="exact" w:before="22" w:after="0"/>
              <w:ind w:left="0" w:right="0" w:firstLine="0"/>
              <w:jc w:val="right"/>
            </w:pPr>
            <w:r>
              <w:rPr>
                <w:rFonts w:ascii="黑体" w:hAnsi="黑体" w:eastAsia="黑体"/>
                <w:b w:val="0"/>
                <w:i w:val="0"/>
                <w:color w:val="000000"/>
                <w:sz w:val="16"/>
              </w:rPr>
              <w:t>外币金额</w:t>
            </w:r>
          </w:p>
        </w:tc>
        <w:tc>
          <w:tcPr>
            <w:tcW w:type="dxa" w:w="1400"/>
            <w:tcBorders>
              <w:top w:sz="4.0" w:val="single" w:color="#000000"/>
            </w:tcBorders>
            <w:tcMar>
              <w:start w:w="0" w:type="dxa"/>
              <w:end w:w="0" w:type="dxa"/>
            </w:tcMar>
          </w:tcPr>
          <w:p>
            <w:pPr>
              <w:autoSpaceDN w:val="0"/>
              <w:autoSpaceDE w:val="0"/>
              <w:widowControl/>
              <w:spacing w:line="162" w:lineRule="exact" w:before="22" w:after="0"/>
              <w:ind w:left="0" w:right="406" w:firstLine="0"/>
              <w:jc w:val="right"/>
            </w:pPr>
            <w:r>
              <w:rPr>
                <w:rFonts w:ascii="黑体" w:hAnsi="黑体" w:eastAsia="黑体"/>
                <w:b w:val="0"/>
                <w:i w:val="0"/>
                <w:color w:val="000000"/>
                <w:sz w:val="16"/>
              </w:rPr>
              <w:t>折算率</w:t>
            </w:r>
          </w:p>
        </w:tc>
        <w:tc>
          <w:tcPr>
            <w:tcW w:type="dxa" w:w="926"/>
            <w:tcBorders>
              <w:top w:sz="4.0" w:val="single" w:color="#000000"/>
            </w:tcBorders>
            <w:tcMar>
              <w:start w:w="0" w:type="dxa"/>
              <w:end w:w="0" w:type="dxa"/>
            </w:tcMar>
          </w:tcPr>
          <w:p>
            <w:pPr>
              <w:autoSpaceDN w:val="0"/>
              <w:autoSpaceDE w:val="0"/>
              <w:widowControl/>
              <w:spacing w:line="162" w:lineRule="exact" w:before="22" w:after="0"/>
              <w:ind w:left="126" w:right="0" w:firstLine="0"/>
              <w:jc w:val="left"/>
            </w:pPr>
            <w:r>
              <w:rPr>
                <w:rFonts w:ascii="黑体" w:hAnsi="黑体" w:eastAsia="黑体"/>
                <w:b w:val="0"/>
                <w:i w:val="0"/>
                <w:color w:val="000000"/>
                <w:sz w:val="16"/>
              </w:rPr>
              <w:t>人民币金额</w:t>
            </w:r>
          </w:p>
        </w:tc>
      </w:tr>
    </w:tbl>
    <w:p>
      <w:pPr>
        <w:autoSpaceDN w:val="0"/>
        <w:autoSpaceDE w:val="0"/>
        <w:widowControl/>
        <w:spacing w:line="160" w:lineRule="exact" w:before="170" w:after="24"/>
        <w:ind w:left="358" w:right="0" w:firstLine="0"/>
        <w:jc w:val="left"/>
      </w:pPr>
      <w:r>
        <w:rPr>
          <w:rFonts w:ascii="黑体" w:hAnsi="黑体" w:eastAsia="黑体"/>
          <w:b w:val="0"/>
          <w:i w:val="0"/>
          <w:color w:val="000000"/>
          <w:sz w:val="16"/>
        </w:rPr>
        <w:t>客户普通备付金</w:t>
      </w:r>
    </w:p>
    <w:tbl>
      <w:tblPr>
        <w:tblW w:type="auto" w:w="0"/>
        <w:tblLayout w:type="fixed"/>
        <w:tblLook w:firstColumn="1" w:firstRow="1" w:lastColumn="0" w:lastRow="0" w:noHBand="0" w:noVBand="1" w:val="04A0"/>
        <w:tblInd w:w="260.0" w:type="dxa"/>
      </w:tblPr>
      <w:tblGrid>
        <w:gridCol w:w="1289"/>
        <w:gridCol w:w="1289"/>
        <w:gridCol w:w="1289"/>
        <w:gridCol w:w="1289"/>
        <w:gridCol w:w="1289"/>
        <w:gridCol w:w="1289"/>
        <w:gridCol w:w="1289"/>
      </w:tblGrid>
      <w:tr>
        <w:trPr>
          <w:trHeight w:hRule="exact" w:val="211"/>
        </w:trPr>
        <w:tc>
          <w:tcPr>
            <w:tcW w:type="dxa" w:w="1380"/>
            <w:tcBorders/>
            <w:tcMar>
              <w:start w:w="0" w:type="dxa"/>
              <w:end w:w="0" w:type="dxa"/>
            </w:tcMar>
          </w:tcPr>
          <w:p>
            <w:pPr>
              <w:autoSpaceDN w:val="0"/>
              <w:autoSpaceDE w:val="0"/>
              <w:widowControl/>
              <w:spacing w:line="162" w:lineRule="exact" w:before="24" w:after="0"/>
              <w:ind w:left="278" w:right="0" w:firstLine="0"/>
              <w:jc w:val="left"/>
            </w:pPr>
            <w:r>
              <w:rPr>
                <w:rFonts w:ascii="黑体" w:hAnsi="黑体" w:eastAsia="黑体"/>
                <w:b w:val="0"/>
                <w:i w:val="0"/>
                <w:color w:val="000000"/>
                <w:sz w:val="16"/>
              </w:rPr>
              <w:t>人民币</w:t>
            </w:r>
          </w:p>
        </w:tc>
        <w:tc>
          <w:tcPr>
            <w:tcW w:type="dxa" w:w="158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4" w:after="0"/>
              <w:ind w:left="0" w:right="214" w:firstLine="0"/>
              <w:jc w:val="right"/>
            </w:pPr>
            <w:r>
              <w:rPr>
                <w:rFonts w:ascii="Arial" w:hAnsi="Arial" w:eastAsia="Arial"/>
                <w:b w:val="0"/>
                <w:i w:val="0"/>
                <w:color w:val="000000"/>
                <w:sz w:val="16"/>
              </w:rPr>
              <w:t>3,673,478</w:t>
            </w:r>
          </w:p>
        </w:tc>
        <w:tc>
          <w:tcPr>
            <w:tcW w:type="dxa" w:w="91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4" w:after="0"/>
              <w:ind w:left="0" w:right="138" w:firstLine="0"/>
              <w:jc w:val="right"/>
            </w:pPr>
            <w:r>
              <w:rPr>
                <w:rFonts w:ascii="Arial" w:hAnsi="Arial" w:eastAsia="Arial"/>
                <w:b w:val="0"/>
                <w:i w:val="0"/>
                <w:color w:val="000000"/>
                <w:sz w:val="16"/>
              </w:rPr>
              <w:t xml:space="preserve"> 7.1884</w:t>
            </w:r>
          </w:p>
        </w:tc>
        <w:tc>
          <w:tcPr>
            <w:tcW w:type="dxa" w:w="1382"/>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 xml:space="preserve">1,758,368,942 </w:t>
            </w:r>
          </w:p>
        </w:tc>
        <w:tc>
          <w:tcPr>
            <w:tcW w:type="dxa" w:w="11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4" w:after="0"/>
              <w:ind w:left="0" w:right="0" w:firstLine="0"/>
              <w:jc w:val="center"/>
            </w:pPr>
            <w:r>
              <w:rPr>
                <w:rFonts w:ascii="Arial" w:hAnsi="Arial" w:eastAsia="Arial"/>
                <w:b w:val="0"/>
                <w:i w:val="0"/>
                <w:color w:val="000000"/>
                <w:sz w:val="16"/>
              </w:rPr>
              <w:t xml:space="preserve">4,287,297 </w:t>
            </w:r>
          </w:p>
        </w:tc>
        <w:tc>
          <w:tcPr>
            <w:tcW w:type="dxa" w:w="874"/>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4" w:after="0"/>
              <w:ind w:left="0" w:right="142" w:firstLine="0"/>
              <w:jc w:val="right"/>
            </w:pPr>
            <w:r>
              <w:rPr>
                <w:rFonts w:ascii="Arial" w:hAnsi="Arial" w:eastAsia="Arial"/>
                <w:b w:val="0"/>
                <w:i w:val="0"/>
                <w:color w:val="000000"/>
                <w:sz w:val="16"/>
              </w:rPr>
              <w:t>7.0827</w:t>
            </w:r>
          </w:p>
        </w:tc>
        <w:tc>
          <w:tcPr>
            <w:tcW w:type="dxa" w:w="1192"/>
            <w:tcBorders/>
            <w:tcMar>
              <w:start w:w="0" w:type="dxa"/>
              <w:end w:w="0" w:type="dxa"/>
            </w:tcMar>
          </w:tcPr>
          <w:p>
            <w:pPr>
              <w:autoSpaceDN w:val="0"/>
              <w:autoSpaceDE w:val="0"/>
              <w:widowControl/>
              <w:spacing w:line="233" w:lineRule="auto" w:before="26" w:after="0"/>
              <w:ind w:left="0" w:right="2" w:firstLine="0"/>
              <w:jc w:val="right"/>
            </w:pPr>
            <w:r>
              <w:rPr>
                <w:rFonts w:ascii="Arial" w:hAnsi="Arial" w:eastAsia="Arial"/>
                <w:b w:val="0"/>
                <w:i w:val="0"/>
                <w:color w:val="000000"/>
                <w:sz w:val="16"/>
              </w:rPr>
              <w:t>414,198,314</w:t>
            </w:r>
          </w:p>
        </w:tc>
      </w:tr>
      <w:tr>
        <w:trPr>
          <w:trHeight w:hRule="exact" w:val="173"/>
        </w:trPr>
        <w:tc>
          <w:tcPr>
            <w:tcW w:type="dxa" w:w="1380"/>
            <w:tcBorders/>
            <w:tcMar>
              <w:start w:w="0" w:type="dxa"/>
              <w:end w:w="0" w:type="dxa"/>
            </w:tcMar>
          </w:tcPr>
          <w:p>
            <w:pPr>
              <w:autoSpaceDN w:val="0"/>
              <w:autoSpaceDE w:val="0"/>
              <w:widowControl/>
              <w:spacing w:line="160" w:lineRule="exact" w:before="12" w:after="0"/>
              <w:ind w:left="278" w:right="0" w:firstLine="0"/>
              <w:jc w:val="left"/>
            </w:pPr>
            <w:r>
              <w:rPr>
                <w:rFonts w:ascii="黑体" w:hAnsi="黑体" w:eastAsia="黑体"/>
                <w:b w:val="0"/>
                <w:i w:val="0"/>
                <w:color w:val="000000"/>
                <w:sz w:val="16"/>
              </w:rPr>
              <w:t>美元</w:t>
            </w:r>
          </w:p>
        </w:tc>
        <w:tc>
          <w:tcPr>
            <w:tcW w:type="dxa" w:w="1289"/>
            <w:vMerge/>
            <w:tcBorders/>
          </w:tcPr>
          <w:p/>
        </w:tc>
        <w:tc>
          <w:tcPr>
            <w:tcW w:type="dxa" w:w="1289"/>
            <w:vMerge/>
            <w:tcBorders/>
          </w:tcPr>
          <w:p/>
        </w:tc>
        <w:tc>
          <w:tcPr>
            <w:tcW w:type="dxa" w:w="1382"/>
            <w:vMerge w:val="restart"/>
            <w:tcBorders/>
            <w:tcMar>
              <w:start w:w="0" w:type="dxa"/>
              <w:end w:w="0" w:type="dxa"/>
            </w:tcMar>
            <w:tcMar>
              <w:start w:w="0" w:type="dxa"/>
              <w:end w:w="0" w:type="dxa"/>
            </w:tcMar>
          </w:tcPr>
          <w:p>
            <w:pPr>
              <w:autoSpaceDN w:val="0"/>
              <w:autoSpaceDE w:val="0"/>
              <w:widowControl/>
              <w:spacing w:line="233" w:lineRule="auto" w:before="22" w:after="0"/>
              <w:ind w:left="0" w:right="146" w:firstLine="0"/>
              <w:jc w:val="right"/>
            </w:pPr>
            <w:r>
              <w:rPr>
                <w:rFonts w:ascii="Arial" w:hAnsi="Arial" w:eastAsia="Arial"/>
                <w:b w:val="0"/>
                <w:i w:val="0"/>
                <w:color w:val="000000"/>
                <w:sz w:val="16"/>
              </w:rPr>
              <w:t xml:space="preserve">26,406,426 </w:t>
            </w:r>
          </w:p>
        </w:tc>
        <w:tc>
          <w:tcPr>
            <w:tcW w:type="dxa" w:w="1289"/>
            <w:vMerge/>
            <w:tcBorders/>
          </w:tcPr>
          <w:p/>
        </w:tc>
        <w:tc>
          <w:tcPr>
            <w:tcW w:type="dxa" w:w="1289"/>
            <w:vMerge/>
            <w:tcBorders/>
          </w:tcPr>
          <w:p/>
        </w:tc>
        <w:tc>
          <w:tcPr>
            <w:tcW w:type="dxa" w:w="1192"/>
            <w:vMerge w:val="restart"/>
            <w:tcBorders/>
            <w:tcMar>
              <w:start w:w="0" w:type="dxa"/>
              <w:end w:w="0" w:type="dxa"/>
            </w:tcMar>
            <w:tcMar>
              <w:start w:w="0" w:type="dxa"/>
              <w:end w:w="0" w:type="dxa"/>
            </w:tcMar>
          </w:tcPr>
          <w:p>
            <w:pPr>
              <w:autoSpaceDN w:val="0"/>
              <w:autoSpaceDE w:val="0"/>
              <w:widowControl/>
              <w:spacing w:line="233" w:lineRule="auto" w:before="22" w:after="0"/>
              <w:ind w:left="0" w:right="2" w:firstLine="0"/>
              <w:jc w:val="right"/>
            </w:pPr>
            <w:r>
              <w:rPr>
                <w:rFonts w:ascii="Arial" w:hAnsi="Arial" w:eastAsia="Arial"/>
                <w:b w:val="0"/>
                <w:i w:val="0"/>
                <w:color w:val="000000"/>
                <w:sz w:val="16"/>
              </w:rPr>
              <w:t>30,365,641</w:t>
            </w:r>
          </w:p>
        </w:tc>
      </w:tr>
      <w:tr>
        <w:trPr>
          <w:trHeight w:hRule="exact" w:val="44"/>
        </w:trPr>
        <w:tc>
          <w:tcPr>
            <w:tcW w:type="dxa" w:w="1380"/>
            <w:vMerge w:val="restart"/>
            <w:tcBorders>
              <w:bottom w:sz="4.0" w:val="single" w:color="#000000"/>
            </w:tcBorders>
            <w:tcMar>
              <w:start w:w="0" w:type="dxa"/>
              <w:end w:w="0" w:type="dxa"/>
            </w:tcMar>
            <w:tcMar>
              <w:start w:w="0" w:type="dxa"/>
              <w:end w:w="0" w:type="dxa"/>
            </w:tcMar>
          </w:tcPr>
          <w:p>
            <w:pPr>
              <w:autoSpaceDN w:val="0"/>
              <w:autoSpaceDE w:val="0"/>
              <w:widowControl/>
              <w:spacing w:line="162" w:lineRule="exact" w:before="56" w:after="0"/>
              <w:ind w:left="278" w:right="0" w:firstLine="0"/>
              <w:jc w:val="left"/>
            </w:pPr>
            <w:r>
              <w:rPr>
                <w:rFonts w:ascii="黑体" w:hAnsi="黑体" w:eastAsia="黑体"/>
                <w:b w:val="0"/>
                <w:i w:val="0"/>
                <w:color w:val="000000"/>
                <w:sz w:val="16"/>
              </w:rPr>
              <w:t>港币</w:t>
            </w: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r>
      <w:tr>
        <w:trPr>
          <w:trHeight w:hRule="exact" w:val="200"/>
        </w:trPr>
        <w:tc>
          <w:tcPr>
            <w:tcW w:type="dxa" w:w="1289"/>
            <w:vMerge/>
            <w:tcBorders>
              <w:bottom w:sz="4.0" w:val="single" w:color="#000000"/>
            </w:tcBorders>
          </w:tcPr>
          <w:p/>
        </w:tc>
        <w:tc>
          <w:tcPr>
            <w:tcW w:type="dxa" w:w="1580"/>
            <w:tcBorders>
              <w:bottom w:sz="4.0" w:val="single" w:color="#000000"/>
            </w:tcBorders>
            <w:tcMar>
              <w:start w:w="0" w:type="dxa"/>
              <w:end w:w="0" w:type="dxa"/>
            </w:tcMar>
          </w:tcPr>
          <w:p>
            <w:pPr>
              <w:autoSpaceDN w:val="0"/>
              <w:autoSpaceDE w:val="0"/>
              <w:widowControl/>
              <w:spacing w:line="233" w:lineRule="auto" w:before="14" w:after="0"/>
              <w:ind w:left="0" w:right="214" w:firstLine="0"/>
              <w:jc w:val="right"/>
            </w:pPr>
            <w:r>
              <w:rPr>
                <w:rFonts w:ascii="Arial" w:hAnsi="Arial" w:eastAsia="Arial"/>
                <w:b w:val="0"/>
                <w:i w:val="0"/>
                <w:color w:val="000000"/>
                <w:sz w:val="16"/>
              </w:rPr>
              <w:t>9,202,477</w:t>
            </w:r>
          </w:p>
        </w:tc>
        <w:tc>
          <w:tcPr>
            <w:tcW w:type="dxa" w:w="918"/>
            <w:tcBorders>
              <w:bottom w:sz="4.0" w:val="single" w:color="#000000"/>
            </w:tcBorders>
            <w:tcMar>
              <w:start w:w="0" w:type="dxa"/>
              <w:end w:w="0" w:type="dxa"/>
            </w:tcMar>
          </w:tcPr>
          <w:p>
            <w:pPr>
              <w:autoSpaceDN w:val="0"/>
              <w:autoSpaceDE w:val="0"/>
              <w:widowControl/>
              <w:spacing w:line="233" w:lineRule="auto" w:before="14" w:after="0"/>
              <w:ind w:left="0" w:right="138" w:firstLine="0"/>
              <w:jc w:val="right"/>
            </w:pPr>
            <w:r>
              <w:rPr>
                <w:rFonts w:ascii="Arial" w:hAnsi="Arial" w:eastAsia="Arial"/>
                <w:b w:val="0"/>
                <w:i w:val="0"/>
                <w:color w:val="000000"/>
                <w:sz w:val="16"/>
              </w:rPr>
              <w:t xml:space="preserve"> 0.9260</w:t>
            </w:r>
          </w:p>
        </w:tc>
        <w:tc>
          <w:tcPr>
            <w:tcW w:type="dxa" w:w="1382"/>
            <w:tcBorders>
              <w:bottom w:sz="4.0" w:val="single" w:color="#000000"/>
            </w:tcBorders>
            <w:tcMar>
              <w:start w:w="0" w:type="dxa"/>
              <w:end w:w="0" w:type="dxa"/>
            </w:tcMar>
          </w:tcPr>
          <w:p>
            <w:pPr>
              <w:autoSpaceDN w:val="0"/>
              <w:autoSpaceDE w:val="0"/>
              <w:widowControl/>
              <w:spacing w:line="233" w:lineRule="auto" w:before="14" w:after="0"/>
              <w:ind w:left="0" w:right="146" w:firstLine="0"/>
              <w:jc w:val="right"/>
            </w:pPr>
            <w:r>
              <w:rPr>
                <w:rFonts w:ascii="Arial" w:hAnsi="Arial" w:eastAsia="Arial"/>
                <w:b w:val="0"/>
                <w:i w:val="0"/>
                <w:color w:val="000000"/>
                <w:sz w:val="16"/>
              </w:rPr>
              <w:t xml:space="preserve">8,521,494 </w:t>
            </w:r>
          </w:p>
        </w:tc>
        <w:tc>
          <w:tcPr>
            <w:tcW w:type="dxa" w:w="1120"/>
            <w:tcBorders>
              <w:bottom w:sz="4.0" w:val="single" w:color="#000000"/>
            </w:tcBorders>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 xml:space="preserve">7,832,237 </w:t>
            </w:r>
          </w:p>
        </w:tc>
        <w:tc>
          <w:tcPr>
            <w:tcW w:type="dxa" w:w="874"/>
            <w:tcBorders>
              <w:bottom w:sz="4.0" w:val="single" w:color="#000000"/>
            </w:tcBorders>
            <w:tcMar>
              <w:start w:w="0" w:type="dxa"/>
              <w:end w:w="0" w:type="dxa"/>
            </w:tcMar>
          </w:tcPr>
          <w:p>
            <w:pPr>
              <w:autoSpaceDN w:val="0"/>
              <w:autoSpaceDE w:val="0"/>
              <w:widowControl/>
              <w:spacing w:line="233" w:lineRule="auto" w:before="14" w:after="0"/>
              <w:ind w:left="0" w:right="142" w:firstLine="0"/>
              <w:jc w:val="right"/>
            </w:pPr>
            <w:r>
              <w:rPr>
                <w:rFonts w:ascii="Arial" w:hAnsi="Arial" w:eastAsia="Arial"/>
                <w:b w:val="0"/>
                <w:i w:val="0"/>
                <w:color w:val="000000"/>
                <w:sz w:val="16"/>
              </w:rPr>
              <w:t>0.9062</w:t>
            </w:r>
          </w:p>
        </w:tc>
        <w:tc>
          <w:tcPr>
            <w:tcW w:type="dxa" w:w="1192"/>
            <w:tcBorders>
              <w:bottom w:sz="4.0" w:val="single" w:color="#000000"/>
            </w:tcBorders>
            <w:tcMar>
              <w:start w:w="0" w:type="dxa"/>
              <w:end w:w="0" w:type="dxa"/>
            </w:tcMar>
          </w:tcPr>
          <w:p>
            <w:pPr>
              <w:autoSpaceDN w:val="0"/>
              <w:autoSpaceDE w:val="0"/>
              <w:widowControl/>
              <w:spacing w:line="233" w:lineRule="auto" w:before="14" w:after="0"/>
              <w:ind w:left="0" w:right="2" w:firstLine="0"/>
              <w:jc w:val="right"/>
            </w:pPr>
            <w:r>
              <w:rPr>
                <w:rFonts w:ascii="Arial" w:hAnsi="Arial" w:eastAsia="Arial"/>
                <w:b w:val="0"/>
                <w:i w:val="0"/>
                <w:color w:val="000000"/>
                <w:sz w:val="16"/>
              </w:rPr>
              <w:t>7,097,730</w:t>
            </w:r>
          </w:p>
        </w:tc>
      </w:tr>
      <w:tr>
        <w:trPr>
          <w:trHeight w:hRule="exact" w:val="404"/>
        </w:trPr>
        <w:tc>
          <w:tcPr>
            <w:tcW w:type="dxa" w:w="1380"/>
            <w:tcBorders>
              <w:top w:sz="4.0" w:val="single" w:color="#000000"/>
              <w:bottom w:sz="3.200000000000273" w:val="single" w:color="#000000"/>
            </w:tcBorders>
            <w:tcMar>
              <w:start w:w="0" w:type="dxa"/>
              <w:end w:w="0" w:type="dxa"/>
            </w:tcMar>
          </w:tcPr>
          <w:p>
            <w:pPr>
              <w:autoSpaceDN w:val="0"/>
              <w:autoSpaceDE w:val="0"/>
              <w:widowControl/>
              <w:spacing w:line="160" w:lineRule="exact" w:before="210" w:after="0"/>
              <w:ind w:left="278" w:right="0" w:firstLine="0"/>
              <w:jc w:val="left"/>
            </w:pPr>
            <w:r>
              <w:rPr>
                <w:rFonts w:ascii="黑体" w:hAnsi="黑体" w:eastAsia="黑体"/>
                <w:b w:val="0"/>
                <w:i w:val="0"/>
                <w:color w:val="000000"/>
                <w:sz w:val="16"/>
              </w:rPr>
              <w:t>小计</w:t>
            </w:r>
          </w:p>
        </w:tc>
        <w:tc>
          <w:tcPr>
            <w:tcW w:type="dxa" w:w="1580"/>
            <w:tcBorders>
              <w:top w:sz="4.0" w:val="single" w:color="#000000"/>
              <w:bottom w:sz="3.200000000000273" w:val="single" w:color="#000000"/>
            </w:tcBorders>
            <w:tcMar>
              <w:start w:w="0" w:type="dxa"/>
              <w:end w:w="0" w:type="dxa"/>
            </w:tcMar>
          </w:tcPr>
          <w:p/>
        </w:tc>
        <w:tc>
          <w:tcPr>
            <w:tcW w:type="dxa" w:w="918"/>
            <w:tcBorders>
              <w:top w:sz="4.0" w:val="single" w:color="#000000"/>
              <w:bottom w:sz="3.200000000000273" w:val="single" w:color="#000000"/>
            </w:tcBorders>
            <w:tcMar>
              <w:start w:w="0" w:type="dxa"/>
              <w:end w:w="0" w:type="dxa"/>
            </w:tcMar>
          </w:tcPr>
          <w:p/>
        </w:tc>
        <w:tc>
          <w:tcPr>
            <w:tcW w:type="dxa" w:w="1382"/>
            <w:tcBorders>
              <w:top w:sz="4.0" w:val="single" w:color="#000000"/>
              <w:bottom w:sz="3.200000000000273" w:val="single" w:color="#000000"/>
            </w:tcBorders>
            <w:tcMar>
              <w:start w:w="0" w:type="dxa"/>
              <w:end w:w="0" w:type="dxa"/>
            </w:tcMar>
          </w:tcPr>
          <w:p>
            <w:pPr>
              <w:autoSpaceDN w:val="0"/>
              <w:autoSpaceDE w:val="0"/>
              <w:widowControl/>
              <w:spacing w:line="230" w:lineRule="auto" w:before="212" w:after="0"/>
              <w:ind w:left="0" w:right="0" w:firstLine="0"/>
              <w:jc w:val="center"/>
            </w:pPr>
            <w:r>
              <w:rPr>
                <w:rFonts w:ascii="Arial" w:hAnsi="Arial" w:eastAsia="Arial"/>
                <w:b w:val="0"/>
                <w:i w:val="0"/>
                <w:color w:val="000000"/>
                <w:sz w:val="16"/>
              </w:rPr>
              <w:t xml:space="preserve">1,793,296,862 </w:t>
            </w:r>
          </w:p>
        </w:tc>
        <w:tc>
          <w:tcPr>
            <w:tcW w:type="dxa" w:w="1120"/>
            <w:tcBorders>
              <w:top w:sz="4.0" w:val="single" w:color="#000000"/>
              <w:bottom w:sz="3.200000000000273" w:val="single" w:color="#000000"/>
            </w:tcBorders>
            <w:tcMar>
              <w:start w:w="0" w:type="dxa"/>
              <w:end w:w="0" w:type="dxa"/>
            </w:tcMar>
          </w:tcPr>
          <w:p/>
        </w:tc>
        <w:tc>
          <w:tcPr>
            <w:tcW w:type="dxa" w:w="874"/>
            <w:tcBorders>
              <w:top w:sz="4.0" w:val="single" w:color="#000000"/>
              <w:bottom w:sz="3.200000000000273" w:val="single" w:color="#000000"/>
            </w:tcBorders>
            <w:tcMar>
              <w:start w:w="0" w:type="dxa"/>
              <w:end w:w="0" w:type="dxa"/>
            </w:tcMar>
          </w:tcPr>
          <w:p/>
        </w:tc>
        <w:tc>
          <w:tcPr>
            <w:tcW w:type="dxa" w:w="1192"/>
            <w:tcBorders>
              <w:top w:sz="4.0" w:val="single" w:color="#000000"/>
              <w:bottom w:sz="3.200000000000273" w:val="single" w:color="#000000"/>
            </w:tcBorders>
            <w:tcMar>
              <w:start w:w="0" w:type="dxa"/>
              <w:end w:w="0" w:type="dxa"/>
            </w:tcMar>
          </w:tcPr>
          <w:p>
            <w:pPr>
              <w:autoSpaceDN w:val="0"/>
              <w:autoSpaceDE w:val="0"/>
              <w:widowControl/>
              <w:spacing w:line="230" w:lineRule="auto" w:before="212" w:after="0"/>
              <w:ind w:left="0" w:right="2" w:firstLine="0"/>
              <w:jc w:val="right"/>
            </w:pPr>
            <w:r>
              <w:rPr>
                <w:rFonts w:ascii="Arial" w:hAnsi="Arial" w:eastAsia="Arial"/>
                <w:b w:val="0"/>
                <w:i w:val="0"/>
                <w:color w:val="000000"/>
                <w:sz w:val="16"/>
              </w:rPr>
              <w:t>451,661,685</w:t>
            </w:r>
          </w:p>
        </w:tc>
      </w:tr>
    </w:tbl>
    <w:p>
      <w:pPr>
        <w:autoSpaceDN w:val="0"/>
        <w:autoSpaceDE w:val="0"/>
        <w:widowControl/>
        <w:spacing w:line="160" w:lineRule="exact" w:before="210" w:after="24"/>
        <w:ind w:left="358" w:right="0" w:firstLine="0"/>
        <w:jc w:val="left"/>
      </w:pPr>
      <w:r>
        <w:rPr>
          <w:rFonts w:ascii="黑体" w:hAnsi="黑体" w:eastAsia="黑体"/>
          <w:b w:val="0"/>
          <w:i w:val="0"/>
          <w:color w:val="000000"/>
          <w:sz w:val="16"/>
        </w:rPr>
        <w:t>客户信用备付金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4"/>
        </w:trPr>
        <w:tc>
          <w:tcPr>
            <w:tcW w:type="dxa" w:w="3978"/>
            <w:tcBorders>
              <w:bottom w:sz="4.0" w:val="single" w:color="#000000"/>
            </w:tcBorders>
            <w:tcMar>
              <w:start w:w="0" w:type="dxa"/>
              <w:end w:w="0" w:type="dxa"/>
            </w:tcMar>
          </w:tcPr>
          <w:p>
            <w:pPr>
              <w:autoSpaceDN w:val="0"/>
              <w:autoSpaceDE w:val="0"/>
              <w:widowControl/>
              <w:spacing w:line="162" w:lineRule="exact" w:before="24" w:after="0"/>
              <w:ind w:left="378" w:right="0" w:firstLine="0"/>
              <w:jc w:val="left"/>
            </w:pPr>
            <w:r>
              <w:rPr>
                <w:rFonts w:ascii="黑体" w:hAnsi="黑体" w:eastAsia="黑体"/>
                <w:b w:val="0"/>
                <w:i w:val="0"/>
                <w:color w:val="000000"/>
                <w:sz w:val="16"/>
              </w:rPr>
              <w:t>人民币</w:t>
            </w:r>
          </w:p>
        </w:tc>
        <w:tc>
          <w:tcPr>
            <w:tcW w:type="dxa" w:w="3376"/>
            <w:tcBorders>
              <w:bottom w:sz="4.0" w:val="single" w:color="#000000"/>
            </w:tcBorders>
            <w:tcMar>
              <w:start w:w="0" w:type="dxa"/>
              <w:end w:w="0" w:type="dxa"/>
            </w:tcMar>
          </w:tcPr>
          <w:p>
            <w:pPr>
              <w:autoSpaceDN w:val="0"/>
              <w:autoSpaceDE w:val="0"/>
              <w:widowControl/>
              <w:spacing w:line="230" w:lineRule="auto" w:before="28" w:after="0"/>
              <w:ind w:left="300" w:right="0" w:firstLine="0"/>
              <w:jc w:val="left"/>
            </w:pPr>
            <w:r>
              <w:rPr>
                <w:rFonts w:ascii="Arial" w:hAnsi="Arial" w:eastAsia="Arial"/>
                <w:b w:val="0"/>
                <w:i w:val="0"/>
                <w:color w:val="000000"/>
                <w:sz w:val="16"/>
              </w:rPr>
              <w:t xml:space="preserve">274,574,833 </w:t>
            </w:r>
          </w:p>
        </w:tc>
        <w:tc>
          <w:tcPr>
            <w:tcW w:type="dxa" w:w="1192"/>
            <w:tcBorders>
              <w:bottom w:sz="4.0" w:val="single" w:color="#000000"/>
            </w:tcBorders>
            <w:tcMar>
              <w:start w:w="0" w:type="dxa"/>
              <w:end w:w="0" w:type="dxa"/>
            </w:tcMar>
          </w:tcPr>
          <w:p>
            <w:pPr>
              <w:autoSpaceDN w:val="0"/>
              <w:autoSpaceDE w:val="0"/>
              <w:widowControl/>
              <w:spacing w:line="230" w:lineRule="auto" w:before="28" w:after="0"/>
              <w:ind w:left="0" w:right="2" w:firstLine="0"/>
              <w:jc w:val="right"/>
            </w:pPr>
            <w:r>
              <w:rPr>
                <w:rFonts w:ascii="Arial" w:hAnsi="Arial" w:eastAsia="Arial"/>
                <w:b w:val="0"/>
                <w:i w:val="0"/>
                <w:color w:val="000000"/>
                <w:sz w:val="16"/>
              </w:rPr>
              <w:t>120,948,093</w:t>
            </w:r>
          </w:p>
        </w:tc>
      </w:tr>
      <w:tr>
        <w:trPr>
          <w:trHeight w:hRule="exact" w:val="402"/>
        </w:trPr>
        <w:tc>
          <w:tcPr>
            <w:tcW w:type="dxa" w:w="3978"/>
            <w:tcBorders>
              <w:top w:sz="4.0" w:val="single" w:color="#000000"/>
              <w:bottom w:sz="4.0" w:val="single" w:color="#000000"/>
            </w:tcBorders>
            <w:tcMar>
              <w:start w:w="0" w:type="dxa"/>
              <w:end w:w="0" w:type="dxa"/>
            </w:tcMar>
          </w:tcPr>
          <w:p>
            <w:pPr>
              <w:autoSpaceDN w:val="0"/>
              <w:autoSpaceDE w:val="0"/>
              <w:widowControl/>
              <w:spacing w:line="160" w:lineRule="exact" w:before="206" w:after="0"/>
              <w:ind w:left="378" w:right="0" w:firstLine="0"/>
              <w:jc w:val="left"/>
            </w:pPr>
            <w:r>
              <w:rPr>
                <w:rFonts w:ascii="黑体" w:hAnsi="黑体" w:eastAsia="黑体"/>
                <w:b w:val="0"/>
                <w:i w:val="0"/>
                <w:color w:val="000000"/>
                <w:sz w:val="16"/>
              </w:rPr>
              <w:t>小计</w:t>
            </w:r>
          </w:p>
        </w:tc>
        <w:tc>
          <w:tcPr>
            <w:tcW w:type="dxa" w:w="3376"/>
            <w:tcBorders>
              <w:top w:sz="4.0" w:val="single" w:color="#000000"/>
              <w:bottom w:sz="4.0" w:val="single" w:color="#000000"/>
            </w:tcBorders>
            <w:tcMar>
              <w:start w:w="0" w:type="dxa"/>
              <w:end w:w="0" w:type="dxa"/>
            </w:tcMar>
          </w:tcPr>
          <w:p>
            <w:pPr>
              <w:autoSpaceDN w:val="0"/>
              <w:autoSpaceDE w:val="0"/>
              <w:widowControl/>
              <w:spacing w:line="233" w:lineRule="auto" w:before="208" w:after="0"/>
              <w:ind w:left="300" w:right="0" w:firstLine="0"/>
              <w:jc w:val="left"/>
            </w:pPr>
            <w:r>
              <w:rPr>
                <w:rFonts w:ascii="Arial" w:hAnsi="Arial" w:eastAsia="Arial"/>
                <w:b w:val="0"/>
                <w:i w:val="0"/>
                <w:color w:val="000000"/>
                <w:sz w:val="16"/>
              </w:rPr>
              <w:t xml:space="preserve">274,574,833 </w:t>
            </w:r>
          </w:p>
        </w:tc>
        <w:tc>
          <w:tcPr>
            <w:tcW w:type="dxa" w:w="119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2" w:firstLine="0"/>
              <w:jc w:val="right"/>
            </w:pPr>
            <w:r>
              <w:rPr>
                <w:rFonts w:ascii="Arial" w:hAnsi="Arial" w:eastAsia="Arial"/>
                <w:b w:val="0"/>
                <w:i w:val="0"/>
                <w:color w:val="000000"/>
                <w:sz w:val="16"/>
              </w:rPr>
              <w:t>120,948,093</w:t>
            </w:r>
          </w:p>
        </w:tc>
      </w:tr>
      <w:tr>
        <w:trPr>
          <w:trHeight w:hRule="exact" w:val="400"/>
        </w:trPr>
        <w:tc>
          <w:tcPr>
            <w:tcW w:type="dxa" w:w="3978"/>
            <w:tcBorders>
              <w:top w:sz="4.0" w:val="single" w:color="#000000"/>
              <w:bottom w:sz="4.0" w:val="single" w:color="#000000"/>
            </w:tcBorders>
            <w:tcMar>
              <w:start w:w="0" w:type="dxa"/>
              <w:end w:w="0" w:type="dxa"/>
            </w:tcMar>
          </w:tcPr>
          <w:p>
            <w:pPr>
              <w:autoSpaceDN w:val="0"/>
              <w:autoSpaceDE w:val="0"/>
              <w:widowControl/>
              <w:spacing w:line="162" w:lineRule="exact" w:before="206" w:after="0"/>
              <w:ind w:left="198" w:right="0" w:firstLine="0"/>
              <w:jc w:val="left"/>
            </w:pPr>
            <w:r>
              <w:rPr>
                <w:rFonts w:ascii="黑体" w:hAnsi="黑体" w:eastAsia="黑体"/>
                <w:b w:val="0"/>
                <w:i w:val="0"/>
                <w:color w:val="000000"/>
                <w:sz w:val="16"/>
              </w:rPr>
              <w:t>客户备付金小计</w:t>
            </w:r>
          </w:p>
        </w:tc>
        <w:tc>
          <w:tcPr>
            <w:tcW w:type="dxa" w:w="3376"/>
            <w:tcBorders>
              <w:top w:sz="4.0" w:val="single" w:color="#000000"/>
              <w:bottom w:sz="4.0" w:val="single" w:color="#000000"/>
            </w:tcBorders>
            <w:tcMar>
              <w:start w:w="0" w:type="dxa"/>
              <w:end w:w="0" w:type="dxa"/>
            </w:tcMar>
          </w:tcPr>
          <w:p>
            <w:pPr>
              <w:autoSpaceDN w:val="0"/>
              <w:autoSpaceDE w:val="0"/>
              <w:widowControl/>
              <w:spacing w:line="233" w:lineRule="auto" w:before="208" w:after="0"/>
              <w:ind w:left="168" w:right="0" w:firstLine="0"/>
              <w:jc w:val="left"/>
            </w:pPr>
            <w:r>
              <w:rPr>
                <w:rFonts w:ascii="Arial" w:hAnsi="Arial" w:eastAsia="Arial"/>
                <w:b w:val="0"/>
                <w:i w:val="0"/>
                <w:color w:val="000000"/>
                <w:sz w:val="16"/>
              </w:rPr>
              <w:t xml:space="preserve">2,067,871,695 </w:t>
            </w:r>
          </w:p>
        </w:tc>
        <w:tc>
          <w:tcPr>
            <w:tcW w:type="dxa" w:w="119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2" w:firstLine="0"/>
              <w:jc w:val="right"/>
            </w:pPr>
            <w:r>
              <w:rPr>
                <w:rFonts w:ascii="Arial" w:hAnsi="Arial" w:eastAsia="Arial"/>
                <w:b w:val="0"/>
                <w:i w:val="0"/>
                <w:color w:val="000000"/>
                <w:sz w:val="16"/>
              </w:rPr>
              <w:t>572,609,778</w:t>
            </w:r>
          </w:p>
        </w:tc>
      </w:tr>
    </w:tbl>
    <w:p>
      <w:pPr>
        <w:autoSpaceDN w:val="0"/>
        <w:autoSpaceDE w:val="0"/>
        <w:widowControl/>
        <w:spacing w:line="160" w:lineRule="exact" w:before="214" w:after="24"/>
        <w:ind w:left="358" w:right="0" w:firstLine="0"/>
        <w:jc w:val="left"/>
      </w:pPr>
      <w:r>
        <w:rPr>
          <w:rFonts w:ascii="黑体" w:hAnsi="黑体" w:eastAsia="黑体"/>
          <w:b w:val="0"/>
          <w:i w:val="0"/>
          <w:color w:val="000000"/>
          <w:sz w:val="16"/>
        </w:rPr>
        <w:t>公司自有备付金</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184"/>
        </w:trPr>
        <w:tc>
          <w:tcPr>
            <w:tcW w:type="dxa" w:w="1780"/>
            <w:tcBorders/>
            <w:tcMar>
              <w:start w:w="0" w:type="dxa"/>
              <w:end w:w="0" w:type="dxa"/>
            </w:tcMar>
          </w:tcPr>
          <w:p>
            <w:pPr>
              <w:autoSpaceDN w:val="0"/>
              <w:autoSpaceDE w:val="0"/>
              <w:widowControl/>
              <w:spacing w:line="160" w:lineRule="exact" w:before="22" w:after="0"/>
              <w:ind w:left="378" w:right="0" w:firstLine="0"/>
              <w:jc w:val="left"/>
            </w:pPr>
            <w:r>
              <w:rPr>
                <w:rFonts w:ascii="黑体" w:hAnsi="黑体" w:eastAsia="黑体"/>
                <w:b w:val="0"/>
                <w:i w:val="0"/>
                <w:color w:val="000000"/>
                <w:sz w:val="16"/>
              </w:rPr>
              <w:t>人民币</w:t>
            </w:r>
          </w:p>
        </w:tc>
        <w:tc>
          <w:tcPr>
            <w:tcW w:type="dxa" w:w="1300"/>
            <w:vMerge w:val="restart"/>
            <w:tcBorders>
              <w:bottom w:sz="4.0" w:val="single" w:color="#000000"/>
            </w:tcBorders>
            <w:tcMar>
              <w:start w:w="0" w:type="dxa"/>
              <w:end w:w="0" w:type="dxa"/>
            </w:tcMar>
            <w:tcMar>
              <w:start w:w="0" w:type="dxa"/>
              <w:end w:w="0" w:type="dxa"/>
            </w:tcMar>
          </w:tcPr>
          <w:p>
            <w:pPr>
              <w:autoSpaceDN w:val="0"/>
              <w:autoSpaceDE w:val="0"/>
              <w:widowControl/>
              <w:spacing w:line="233" w:lineRule="auto" w:before="230" w:after="0"/>
              <w:ind w:left="0" w:right="234" w:firstLine="0"/>
              <w:jc w:val="right"/>
            </w:pPr>
            <w:r>
              <w:rPr>
                <w:rFonts w:ascii="Arial" w:hAnsi="Arial" w:eastAsia="Arial"/>
                <w:b w:val="0"/>
                <w:i w:val="0"/>
                <w:color w:val="000000"/>
                <w:sz w:val="16"/>
              </w:rPr>
              <w:t>205,009</w:t>
            </w:r>
          </w:p>
        </w:tc>
        <w:tc>
          <w:tcPr>
            <w:tcW w:type="dxa" w:w="898"/>
            <w:vMerge w:val="restart"/>
            <w:tcBorders>
              <w:bottom w:sz="4.0" w:val="single" w:color="#000000"/>
            </w:tcBorders>
            <w:tcMar>
              <w:start w:w="0" w:type="dxa"/>
              <w:end w:w="0" w:type="dxa"/>
            </w:tcMar>
            <w:tcMar>
              <w:start w:w="0" w:type="dxa"/>
              <w:end w:w="0" w:type="dxa"/>
            </w:tcMar>
          </w:tcPr>
          <w:p>
            <w:pPr>
              <w:autoSpaceDN w:val="0"/>
              <w:autoSpaceDE w:val="0"/>
              <w:widowControl/>
              <w:spacing w:line="233" w:lineRule="auto" w:before="230" w:after="0"/>
              <w:ind w:left="0" w:right="140" w:firstLine="0"/>
              <w:jc w:val="right"/>
            </w:pPr>
            <w:r>
              <w:rPr>
                <w:rFonts w:ascii="Arial" w:hAnsi="Arial" w:eastAsia="Arial"/>
                <w:b w:val="0"/>
                <w:i w:val="0"/>
                <w:color w:val="000000"/>
                <w:sz w:val="16"/>
              </w:rPr>
              <w:t>0.9260</w:t>
            </w:r>
          </w:p>
        </w:tc>
        <w:tc>
          <w:tcPr>
            <w:tcW w:type="dxa" w:w="1442"/>
            <w:tcBorders/>
            <w:tcMar>
              <w:start w:w="0" w:type="dxa"/>
              <w:end w:w="0" w:type="dxa"/>
            </w:tcMar>
          </w:tcPr>
          <w:p>
            <w:pPr>
              <w:autoSpaceDN w:val="0"/>
              <w:autoSpaceDE w:val="0"/>
              <w:widowControl/>
              <w:spacing w:line="233" w:lineRule="auto" w:before="4" w:after="0"/>
              <w:ind w:left="0" w:right="0" w:firstLine="0"/>
              <w:jc w:val="center"/>
            </w:pPr>
            <w:r>
              <w:rPr>
                <w:rFonts w:ascii="Arial" w:hAnsi="Arial" w:eastAsia="Arial"/>
                <w:b w:val="0"/>
                <w:i w:val="0"/>
                <w:color w:val="000000"/>
                <w:sz w:val="16"/>
              </w:rPr>
              <w:t xml:space="preserve">1,867,383,004 </w:t>
            </w:r>
          </w:p>
        </w:tc>
        <w:tc>
          <w:tcPr>
            <w:tcW w:type="dxa" w:w="1060"/>
            <w:vMerge w:val="restart"/>
            <w:tcBorders>
              <w:bottom w:sz="4.0" w:val="single" w:color="#000000"/>
            </w:tcBorders>
            <w:tcMar>
              <w:start w:w="0" w:type="dxa"/>
              <w:end w:w="0" w:type="dxa"/>
            </w:tcMar>
            <w:tcMar>
              <w:start w:w="0" w:type="dxa"/>
              <w:end w:w="0" w:type="dxa"/>
            </w:tcMar>
          </w:tcPr>
          <w:p>
            <w:pPr>
              <w:autoSpaceDN w:val="0"/>
              <w:autoSpaceDE w:val="0"/>
              <w:widowControl/>
              <w:spacing w:line="233" w:lineRule="auto" w:before="230" w:after="0"/>
              <w:ind w:left="0" w:right="0" w:firstLine="0"/>
              <w:jc w:val="center"/>
            </w:pPr>
            <w:r>
              <w:rPr>
                <w:rFonts w:ascii="Arial" w:hAnsi="Arial" w:eastAsia="Arial"/>
                <w:b w:val="0"/>
                <w:i w:val="0"/>
                <w:color w:val="000000"/>
                <w:sz w:val="16"/>
              </w:rPr>
              <w:t xml:space="preserve">204,508 </w:t>
            </w:r>
          </w:p>
        </w:tc>
        <w:tc>
          <w:tcPr>
            <w:tcW w:type="dxa" w:w="874"/>
            <w:vMerge w:val="restart"/>
            <w:tcBorders>
              <w:bottom w:sz="4.0" w:val="single" w:color="#000000"/>
            </w:tcBorders>
            <w:tcMar>
              <w:start w:w="0" w:type="dxa"/>
              <w:end w:w="0" w:type="dxa"/>
            </w:tcMar>
            <w:tcMar>
              <w:start w:w="0" w:type="dxa"/>
              <w:end w:w="0" w:type="dxa"/>
            </w:tcMar>
          </w:tcPr>
          <w:p>
            <w:pPr>
              <w:autoSpaceDN w:val="0"/>
              <w:autoSpaceDE w:val="0"/>
              <w:widowControl/>
              <w:spacing w:line="233" w:lineRule="auto" w:before="230" w:after="0"/>
              <w:ind w:left="0" w:right="142" w:firstLine="0"/>
              <w:jc w:val="right"/>
            </w:pPr>
            <w:r>
              <w:rPr>
                <w:rFonts w:ascii="Arial" w:hAnsi="Arial" w:eastAsia="Arial"/>
                <w:b w:val="0"/>
                <w:i w:val="0"/>
                <w:color w:val="000000"/>
                <w:sz w:val="16"/>
              </w:rPr>
              <w:t>0.9062</w:t>
            </w:r>
          </w:p>
        </w:tc>
        <w:tc>
          <w:tcPr>
            <w:tcW w:type="dxa" w:w="1192"/>
            <w:tcBorders/>
            <w:tcMar>
              <w:start w:w="0" w:type="dxa"/>
              <w:end w:w="0" w:type="dxa"/>
            </w:tcMar>
          </w:tcPr>
          <w:p>
            <w:pPr>
              <w:autoSpaceDN w:val="0"/>
              <w:autoSpaceDE w:val="0"/>
              <w:widowControl/>
              <w:spacing w:line="233" w:lineRule="auto" w:before="4" w:after="0"/>
              <w:ind w:left="168" w:right="0" w:firstLine="0"/>
              <w:jc w:val="left"/>
            </w:pPr>
            <w:r>
              <w:rPr>
                <w:rFonts w:ascii="Arial" w:hAnsi="Arial" w:eastAsia="Arial"/>
                <w:b w:val="0"/>
                <w:i w:val="0"/>
                <w:color w:val="000000"/>
                <w:sz w:val="16"/>
              </w:rPr>
              <w:t>1,969,521,305</w:t>
            </w:r>
          </w:p>
        </w:tc>
      </w:tr>
      <w:tr>
        <w:trPr>
          <w:trHeight w:hRule="exact" w:val="236"/>
        </w:trPr>
        <w:tc>
          <w:tcPr>
            <w:tcW w:type="dxa" w:w="1780"/>
            <w:tcBorders>
              <w:bottom w:sz="4.0" w:val="single" w:color="#000000"/>
            </w:tcBorders>
            <w:tcMar>
              <w:start w:w="0" w:type="dxa"/>
              <w:end w:w="0" w:type="dxa"/>
            </w:tcMar>
          </w:tcPr>
          <w:p>
            <w:pPr>
              <w:autoSpaceDN w:val="0"/>
              <w:autoSpaceDE w:val="0"/>
              <w:widowControl/>
              <w:spacing w:line="162" w:lineRule="exact" w:before="46" w:after="0"/>
              <w:ind w:left="378" w:right="0" w:firstLine="0"/>
              <w:jc w:val="left"/>
            </w:pPr>
            <w:r>
              <w:rPr>
                <w:rFonts w:ascii="黑体" w:hAnsi="黑体" w:eastAsia="黑体"/>
                <w:b w:val="0"/>
                <w:i w:val="0"/>
                <w:color w:val="000000"/>
                <w:sz w:val="16"/>
              </w:rPr>
              <w:t>港币</w:t>
            </w:r>
          </w:p>
        </w:tc>
        <w:tc>
          <w:tcPr>
            <w:tcW w:type="dxa" w:w="1289"/>
            <w:vMerge/>
            <w:tcBorders>
              <w:bottom w:sz="4.0" w:val="single" w:color="#000000"/>
            </w:tcBorders>
          </w:tcPr>
          <w:p/>
        </w:tc>
        <w:tc>
          <w:tcPr>
            <w:tcW w:type="dxa" w:w="1289"/>
            <w:vMerge/>
            <w:tcBorders>
              <w:bottom w:sz="4.0" w:val="single" w:color="#000000"/>
            </w:tcBorders>
          </w:tcPr>
          <w:p/>
        </w:tc>
        <w:tc>
          <w:tcPr>
            <w:tcW w:type="dxa" w:w="1442"/>
            <w:tcBorders>
              <w:bottom w:sz="4.0" w:val="single" w:color="#000000"/>
            </w:tcBorders>
            <w:tcMar>
              <w:start w:w="0" w:type="dxa"/>
              <w:end w:w="0" w:type="dxa"/>
            </w:tcMar>
          </w:tcPr>
          <w:p>
            <w:pPr>
              <w:autoSpaceDN w:val="0"/>
              <w:autoSpaceDE w:val="0"/>
              <w:widowControl/>
              <w:spacing w:line="233" w:lineRule="auto" w:before="46" w:after="0"/>
              <w:ind w:left="0" w:right="206" w:firstLine="0"/>
              <w:jc w:val="right"/>
            </w:pPr>
            <w:r>
              <w:rPr>
                <w:rFonts w:ascii="Arial" w:hAnsi="Arial" w:eastAsia="Arial"/>
                <w:b w:val="0"/>
                <w:i w:val="0"/>
                <w:color w:val="000000"/>
                <w:sz w:val="16"/>
              </w:rPr>
              <w:t xml:space="preserve">189,838 </w:t>
            </w:r>
          </w:p>
        </w:tc>
        <w:tc>
          <w:tcPr>
            <w:tcW w:type="dxa" w:w="1289"/>
            <w:vMerge/>
            <w:tcBorders>
              <w:bottom w:sz="4.0" w:val="single" w:color="#000000"/>
            </w:tcBorders>
          </w:tcPr>
          <w:p/>
        </w:tc>
        <w:tc>
          <w:tcPr>
            <w:tcW w:type="dxa" w:w="1289"/>
            <w:vMerge/>
            <w:tcBorders>
              <w:bottom w:sz="4.0" w:val="single" w:color="#000000"/>
            </w:tcBorders>
          </w:tcPr>
          <w:p/>
        </w:tc>
        <w:tc>
          <w:tcPr>
            <w:tcW w:type="dxa" w:w="1192"/>
            <w:tcBorders>
              <w:bottom w:sz="4.0" w:val="single" w:color="#000000"/>
            </w:tcBorders>
            <w:tcMar>
              <w:start w:w="0" w:type="dxa"/>
              <w:end w:w="0" w:type="dxa"/>
            </w:tcMar>
          </w:tcPr>
          <w:p>
            <w:pPr>
              <w:autoSpaceDN w:val="0"/>
              <w:autoSpaceDE w:val="0"/>
              <w:widowControl/>
              <w:spacing w:line="233" w:lineRule="auto" w:before="46" w:after="0"/>
              <w:ind w:left="0" w:right="2" w:firstLine="0"/>
              <w:jc w:val="right"/>
            </w:pPr>
            <w:r>
              <w:rPr>
                <w:rFonts w:ascii="Arial" w:hAnsi="Arial" w:eastAsia="Arial"/>
                <w:b w:val="0"/>
                <w:i w:val="0"/>
                <w:color w:val="000000"/>
                <w:sz w:val="16"/>
              </w:rPr>
              <w:t>185,329</w:t>
            </w:r>
          </w:p>
        </w:tc>
      </w:tr>
      <w:tr>
        <w:trPr>
          <w:trHeight w:hRule="exact" w:val="402"/>
        </w:trPr>
        <w:tc>
          <w:tcPr>
            <w:tcW w:type="dxa" w:w="1780"/>
            <w:tcBorders>
              <w:top w:sz="4.0" w:val="single" w:color="#000000"/>
              <w:bottom w:sz="4.0" w:val="single" w:color="#000000"/>
            </w:tcBorders>
            <w:tcMar>
              <w:start w:w="0" w:type="dxa"/>
              <w:end w:w="0" w:type="dxa"/>
            </w:tcMar>
          </w:tcPr>
          <w:p>
            <w:pPr>
              <w:autoSpaceDN w:val="0"/>
              <w:autoSpaceDE w:val="0"/>
              <w:widowControl/>
              <w:spacing w:line="160" w:lineRule="exact" w:before="206" w:after="0"/>
              <w:ind w:left="378" w:right="0" w:firstLine="0"/>
              <w:jc w:val="left"/>
            </w:pPr>
            <w:r>
              <w:rPr>
                <w:rFonts w:ascii="黑体" w:hAnsi="黑体" w:eastAsia="黑体"/>
                <w:b w:val="0"/>
                <w:i w:val="0"/>
                <w:color w:val="000000"/>
                <w:sz w:val="16"/>
              </w:rPr>
              <w:t>小计</w:t>
            </w:r>
          </w:p>
        </w:tc>
        <w:tc>
          <w:tcPr>
            <w:tcW w:type="dxa" w:w="1300"/>
            <w:tcBorders>
              <w:top w:sz="4.0" w:val="single" w:color="#000000"/>
              <w:bottom w:sz="4.0" w:val="single" w:color="#000000"/>
            </w:tcBorders>
            <w:tcMar>
              <w:start w:w="0" w:type="dxa"/>
              <w:end w:w="0" w:type="dxa"/>
            </w:tcMar>
          </w:tcPr>
          <w:p/>
        </w:tc>
        <w:tc>
          <w:tcPr>
            <w:tcW w:type="dxa" w:w="898"/>
            <w:tcBorders>
              <w:top w:sz="4.0" w:val="single" w:color="#000000"/>
              <w:bottom w:sz="4.0" w:val="single" w:color="#000000"/>
            </w:tcBorders>
            <w:tcMar>
              <w:start w:w="0" w:type="dxa"/>
              <w:end w:w="0" w:type="dxa"/>
            </w:tcMar>
          </w:tcPr>
          <w:p/>
        </w:tc>
        <w:tc>
          <w:tcPr>
            <w:tcW w:type="dxa" w:w="144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center"/>
            </w:pPr>
            <w:r>
              <w:rPr>
                <w:rFonts w:ascii="Arial" w:hAnsi="Arial" w:eastAsia="Arial"/>
                <w:b w:val="0"/>
                <w:i w:val="0"/>
                <w:color w:val="000000"/>
                <w:sz w:val="16"/>
              </w:rPr>
              <w:t xml:space="preserve">1,867,572,842 </w:t>
            </w:r>
          </w:p>
        </w:tc>
        <w:tc>
          <w:tcPr>
            <w:tcW w:type="dxa" w:w="1060"/>
            <w:tcBorders>
              <w:top w:sz="4.0" w:val="single" w:color="#000000"/>
              <w:bottom w:sz="4.0" w:val="single" w:color="#000000"/>
            </w:tcBorders>
            <w:tcMar>
              <w:start w:w="0" w:type="dxa"/>
              <w:end w:w="0" w:type="dxa"/>
            </w:tcMar>
          </w:tcPr>
          <w:p/>
        </w:tc>
        <w:tc>
          <w:tcPr>
            <w:tcW w:type="dxa" w:w="874"/>
            <w:tcBorders>
              <w:top w:sz="4.0" w:val="single" w:color="#000000"/>
              <w:bottom w:sz="4.0" w:val="single" w:color="#000000"/>
            </w:tcBorders>
            <w:tcMar>
              <w:start w:w="0" w:type="dxa"/>
              <w:end w:w="0" w:type="dxa"/>
            </w:tcMar>
          </w:tcPr>
          <w:p/>
        </w:tc>
        <w:tc>
          <w:tcPr>
            <w:tcW w:type="dxa" w:w="1192"/>
            <w:tcBorders>
              <w:top w:sz="4.0" w:val="single" w:color="#000000"/>
              <w:bottom w:sz="4.0" w:val="single" w:color="#000000"/>
            </w:tcBorders>
            <w:tcMar>
              <w:start w:w="0" w:type="dxa"/>
              <w:end w:w="0" w:type="dxa"/>
            </w:tcMar>
          </w:tcPr>
          <w:p>
            <w:pPr>
              <w:autoSpaceDN w:val="0"/>
              <w:autoSpaceDE w:val="0"/>
              <w:widowControl/>
              <w:spacing w:line="233" w:lineRule="auto" w:before="208" w:after="0"/>
              <w:ind w:left="168" w:right="0" w:firstLine="0"/>
              <w:jc w:val="left"/>
            </w:pPr>
            <w:r>
              <w:rPr>
                <w:rFonts w:ascii="Arial" w:hAnsi="Arial" w:eastAsia="Arial"/>
                <w:b w:val="0"/>
                <w:i w:val="0"/>
                <w:color w:val="000000"/>
                <w:sz w:val="16"/>
              </w:rPr>
              <w:t>1,969,706,634</w:t>
            </w:r>
          </w:p>
        </w:tc>
      </w:tr>
      <w:tr>
        <w:trPr>
          <w:trHeight w:hRule="exact" w:val="402"/>
        </w:trPr>
        <w:tc>
          <w:tcPr>
            <w:tcW w:type="dxa" w:w="1780"/>
            <w:tcBorders>
              <w:top w:sz="4.0" w:val="single" w:color="#000000"/>
              <w:bottom w:sz="3.199999999999818" w:val="single" w:color="#000000"/>
            </w:tcBorders>
            <w:tcMar>
              <w:start w:w="0" w:type="dxa"/>
              <w:end w:w="0" w:type="dxa"/>
            </w:tcMar>
          </w:tcPr>
          <w:p>
            <w:pPr>
              <w:autoSpaceDN w:val="0"/>
              <w:autoSpaceDE w:val="0"/>
              <w:widowControl/>
              <w:spacing w:line="162" w:lineRule="exact" w:before="206" w:after="0"/>
              <w:ind w:left="198" w:right="0" w:firstLine="0"/>
              <w:jc w:val="left"/>
            </w:pPr>
            <w:r>
              <w:rPr>
                <w:rFonts w:ascii="黑体" w:hAnsi="黑体" w:eastAsia="黑体"/>
                <w:b w:val="0"/>
                <w:i w:val="0"/>
                <w:color w:val="000000"/>
                <w:sz w:val="16"/>
              </w:rPr>
              <w:t>公司备付金小计</w:t>
            </w:r>
          </w:p>
        </w:tc>
        <w:tc>
          <w:tcPr>
            <w:tcW w:type="dxa" w:w="1300"/>
            <w:tcBorders>
              <w:top w:sz="4.0" w:val="single" w:color="#000000"/>
              <w:bottom w:sz="3.199999999999818" w:val="single" w:color="#000000"/>
            </w:tcBorders>
            <w:tcMar>
              <w:start w:w="0" w:type="dxa"/>
              <w:end w:w="0" w:type="dxa"/>
            </w:tcMar>
          </w:tcPr>
          <w:p/>
        </w:tc>
        <w:tc>
          <w:tcPr>
            <w:tcW w:type="dxa" w:w="898"/>
            <w:tcBorders>
              <w:top w:sz="4.0" w:val="single" w:color="#000000"/>
              <w:bottom w:sz="3.199999999999818" w:val="single" w:color="#000000"/>
            </w:tcBorders>
            <w:tcMar>
              <w:start w:w="0" w:type="dxa"/>
              <w:end w:w="0" w:type="dxa"/>
            </w:tcMar>
          </w:tcPr>
          <w:p/>
        </w:tc>
        <w:tc>
          <w:tcPr>
            <w:tcW w:type="dxa" w:w="1442"/>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0" w:right="0" w:firstLine="0"/>
              <w:jc w:val="center"/>
            </w:pPr>
            <w:r>
              <w:rPr>
                <w:rFonts w:ascii="Arial" w:hAnsi="Arial" w:eastAsia="Arial"/>
                <w:b w:val="0"/>
                <w:i w:val="0"/>
                <w:color w:val="000000"/>
                <w:sz w:val="16"/>
              </w:rPr>
              <w:t xml:space="preserve">1,867,572,842 </w:t>
            </w:r>
          </w:p>
        </w:tc>
        <w:tc>
          <w:tcPr>
            <w:tcW w:type="dxa" w:w="1060"/>
            <w:tcBorders>
              <w:top w:sz="4.0" w:val="single" w:color="#000000"/>
              <w:bottom w:sz="3.199999999999818" w:val="single" w:color="#000000"/>
            </w:tcBorders>
            <w:tcMar>
              <w:start w:w="0" w:type="dxa"/>
              <w:end w:w="0" w:type="dxa"/>
            </w:tcMar>
          </w:tcPr>
          <w:p/>
        </w:tc>
        <w:tc>
          <w:tcPr>
            <w:tcW w:type="dxa" w:w="874"/>
            <w:tcBorders>
              <w:top w:sz="4.0" w:val="single" w:color="#000000"/>
              <w:bottom w:sz="3.199999999999818" w:val="single" w:color="#000000"/>
            </w:tcBorders>
            <w:tcMar>
              <w:start w:w="0" w:type="dxa"/>
              <w:end w:w="0" w:type="dxa"/>
            </w:tcMar>
          </w:tcPr>
          <w:p/>
        </w:tc>
        <w:tc>
          <w:tcPr>
            <w:tcW w:type="dxa" w:w="1192"/>
            <w:tcBorders>
              <w:top w:sz="4.0" w:val="single" w:color="#000000"/>
              <w:bottom w:sz="3.199999999999818" w:val="single" w:color="#000000"/>
            </w:tcBorders>
            <w:tcMar>
              <w:start w:w="0" w:type="dxa"/>
              <w:end w:w="0" w:type="dxa"/>
            </w:tcMar>
          </w:tcPr>
          <w:p>
            <w:pPr>
              <w:autoSpaceDN w:val="0"/>
              <w:autoSpaceDE w:val="0"/>
              <w:widowControl/>
              <w:spacing w:line="230" w:lineRule="auto" w:before="210" w:after="0"/>
              <w:ind w:left="168" w:right="0" w:firstLine="0"/>
              <w:jc w:val="left"/>
            </w:pPr>
            <w:r>
              <w:rPr>
                <w:rFonts w:ascii="Arial" w:hAnsi="Arial" w:eastAsia="Arial"/>
                <w:b w:val="0"/>
                <w:i w:val="0"/>
                <w:color w:val="000000"/>
                <w:sz w:val="16"/>
              </w:rPr>
              <w:t>1,969,706,634</w:t>
            </w:r>
          </w:p>
        </w:tc>
      </w:tr>
    </w:tbl>
    <w:p>
      <w:pPr>
        <w:autoSpaceDN w:val="0"/>
        <w:autoSpaceDE w:val="0"/>
        <w:widowControl/>
        <w:spacing w:line="160" w:lineRule="exact" w:before="210" w:after="0"/>
        <w:ind w:left="370" w:right="0" w:firstLine="0"/>
        <w:jc w:val="left"/>
      </w:pPr>
      <w:r>
        <w:rPr>
          <w:rFonts w:ascii="黑体" w:hAnsi="黑体" w:eastAsia="黑体"/>
          <w:b w:val="0"/>
          <w:i w:val="0"/>
          <w:color w:val="000000"/>
          <w:sz w:val="16"/>
        </w:rPr>
        <w:t>结构化主体持有的结算</w:t>
      </w:r>
    </w:p>
    <w:p>
      <w:pPr>
        <w:autoSpaceDN w:val="0"/>
        <w:autoSpaceDE w:val="0"/>
        <w:widowControl/>
        <w:spacing w:line="162" w:lineRule="exact" w:before="48" w:after="22"/>
        <w:ind w:left="536" w:right="0" w:firstLine="0"/>
        <w:jc w:val="left"/>
      </w:pPr>
      <w:r>
        <w:rPr>
          <w:rFonts w:ascii="黑体" w:hAnsi="黑体" w:eastAsia="黑体"/>
          <w:b w:val="0"/>
          <w:i w:val="0"/>
          <w:color w:val="000000"/>
          <w:sz w:val="16"/>
        </w:rPr>
        <w:t>备付金</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14"/>
        </w:trPr>
        <w:tc>
          <w:tcPr>
            <w:tcW w:type="dxa" w:w="3978"/>
            <w:gridSpan w:val="2"/>
            <w:tcBorders>
              <w:bottom w:sz="3.199999999999818" w:val="single" w:color="#000000"/>
            </w:tcBorders>
            <w:tcMar>
              <w:start w:w="0" w:type="dxa"/>
              <w:end w:w="0" w:type="dxa"/>
            </w:tcMar>
            <w:tcMar>
              <w:start w:w="0" w:type="dxa"/>
              <w:end w:w="0" w:type="dxa"/>
            </w:tcMar>
          </w:tcPr>
          <w:p>
            <w:pPr>
              <w:autoSpaceDN w:val="0"/>
              <w:autoSpaceDE w:val="0"/>
              <w:widowControl/>
              <w:spacing w:line="162" w:lineRule="exact" w:before="22" w:after="0"/>
              <w:ind w:left="378" w:right="0" w:firstLine="0"/>
              <w:jc w:val="left"/>
            </w:pPr>
            <w:r>
              <w:rPr>
                <w:rFonts w:ascii="黑体" w:hAnsi="黑体" w:eastAsia="黑体"/>
                <w:b w:val="0"/>
                <w:i w:val="0"/>
                <w:color w:val="000000"/>
                <w:sz w:val="16"/>
              </w:rPr>
              <w:t>人民币</w:t>
            </w:r>
          </w:p>
        </w:tc>
        <w:tc>
          <w:tcPr>
            <w:tcW w:type="dxa" w:w="2684"/>
            <w:tcBorders>
              <w:bottom w:sz="3.199999999999818" w:val="single" w:color="#000000"/>
            </w:tcBorders>
            <w:tcMar>
              <w:start w:w="0" w:type="dxa"/>
              <w:end w:w="0" w:type="dxa"/>
            </w:tcMar>
          </w:tcPr>
          <w:p>
            <w:pPr>
              <w:autoSpaceDN w:val="0"/>
              <w:autoSpaceDE w:val="0"/>
              <w:widowControl/>
              <w:spacing w:line="230" w:lineRule="auto" w:before="26" w:after="0"/>
              <w:ind w:left="390" w:right="0" w:firstLine="0"/>
              <w:jc w:val="left"/>
            </w:pPr>
            <w:r>
              <w:rPr>
                <w:rFonts w:ascii="Arial" w:hAnsi="Arial" w:eastAsia="Arial"/>
                <w:b w:val="0"/>
                <w:i w:val="0"/>
                <w:color w:val="000000"/>
                <w:sz w:val="16"/>
              </w:rPr>
              <w:t xml:space="preserve">85,481,557 </w:t>
            </w:r>
          </w:p>
        </w:tc>
        <w:tc>
          <w:tcPr>
            <w:tcW w:type="dxa" w:w="2098"/>
            <w:tcBorders>
              <w:bottom w:sz="3.199999999999818" w:val="single" w:color="#000000"/>
            </w:tcBorders>
            <w:tcMar>
              <w:start w:w="0" w:type="dxa"/>
              <w:end w:w="0" w:type="dxa"/>
            </w:tcMar>
          </w:tcPr>
          <w:p>
            <w:pPr>
              <w:autoSpaceDN w:val="0"/>
              <w:autoSpaceDE w:val="0"/>
              <w:widowControl/>
              <w:spacing w:line="230" w:lineRule="auto" w:before="26" w:after="0"/>
              <w:ind w:left="0" w:right="216" w:firstLine="0"/>
              <w:jc w:val="right"/>
            </w:pPr>
            <w:r>
              <w:rPr>
                <w:rFonts w:ascii="Arial" w:hAnsi="Arial" w:eastAsia="Arial"/>
                <w:b w:val="0"/>
                <w:i w:val="0"/>
                <w:color w:val="000000"/>
                <w:sz w:val="16"/>
              </w:rPr>
              <w:t>92,746,826</w:t>
            </w:r>
          </w:p>
        </w:tc>
      </w:tr>
      <w:tr>
        <w:trPr>
          <w:trHeight w:hRule="exact" w:val="402"/>
        </w:trPr>
        <w:tc>
          <w:tcPr>
            <w:tcW w:type="dxa" w:w="3978"/>
            <w:gridSpan w:val="2"/>
            <w:tcBorders>
              <w:top w:sz="3.199999999999818" w:val="single" w:color="#000000"/>
              <w:bottom w:sz="4.0" w:val="single" w:color="#000000"/>
            </w:tcBorders>
            <w:tcMar>
              <w:start w:w="0" w:type="dxa"/>
              <w:end w:w="0" w:type="dxa"/>
            </w:tcMar>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合计</w:t>
            </w:r>
          </w:p>
        </w:tc>
        <w:tc>
          <w:tcPr>
            <w:tcW w:type="dxa" w:w="2684"/>
            <w:tcBorders>
              <w:top w:sz="3.199999999999818" w:val="single" w:color="#000000"/>
              <w:bottom w:sz="4.0" w:val="single" w:color="#000000"/>
            </w:tcBorders>
            <w:tcMar>
              <w:start w:w="0" w:type="dxa"/>
              <w:end w:w="0" w:type="dxa"/>
            </w:tcMar>
          </w:tcPr>
          <w:p>
            <w:pPr>
              <w:autoSpaceDN w:val="0"/>
              <w:autoSpaceDE w:val="0"/>
              <w:widowControl/>
              <w:spacing w:line="233" w:lineRule="auto" w:before="208" w:after="0"/>
              <w:ind w:left="168" w:right="0" w:firstLine="0"/>
              <w:jc w:val="left"/>
            </w:pPr>
            <w:r>
              <w:rPr>
                <w:rFonts w:ascii="Arial" w:hAnsi="Arial" w:eastAsia="Arial"/>
                <w:b w:val="0"/>
                <w:i w:val="0"/>
                <w:color w:val="000000"/>
                <w:sz w:val="16"/>
              </w:rPr>
              <w:t xml:space="preserve">4,020,926,094 </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08" w:after="0"/>
              <w:ind w:left="0" w:right="214" w:firstLine="0"/>
              <w:jc w:val="right"/>
            </w:pPr>
            <w:r>
              <w:rPr>
                <w:rFonts w:ascii="Arial" w:hAnsi="Arial" w:eastAsia="Arial"/>
                <w:b w:val="0"/>
                <w:i w:val="0"/>
                <w:color w:val="000000"/>
                <w:sz w:val="16"/>
              </w:rPr>
              <w:t>2,635,063,238</w:t>
            </w:r>
          </w:p>
        </w:tc>
      </w:tr>
      <w:tr>
        <w:trPr>
          <w:trHeight w:hRule="exact" w:val="1222"/>
        </w:trPr>
        <w:tc>
          <w:tcPr>
            <w:tcW w:type="dxa" w:w="68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3. </w:t>
            </w:r>
          </w:p>
        </w:tc>
        <w:tc>
          <w:tcPr>
            <w:tcW w:type="dxa" w:w="3298"/>
            <w:tcBorders>
              <w:top w:sz="4.0" w:val="single" w:color="#000000"/>
            </w:tcBorders>
            <w:tcMar>
              <w:start w:w="0" w:type="dxa"/>
              <w:end w:w="0" w:type="dxa"/>
            </w:tcMar>
          </w:tcPr>
          <w:p>
            <w:pPr>
              <w:autoSpaceDN w:val="0"/>
              <w:autoSpaceDE w:val="0"/>
              <w:widowControl/>
              <w:spacing w:line="220" w:lineRule="exact" w:before="302" w:after="0"/>
              <w:ind w:left="246" w:right="0" w:firstLine="0"/>
              <w:jc w:val="left"/>
            </w:pPr>
            <w:r>
              <w:rPr>
                <w:rFonts w:ascii="黑体" w:hAnsi="黑体" w:eastAsia="黑体"/>
                <w:b w:val="0"/>
                <w:i w:val="0"/>
                <w:color w:val="000000"/>
                <w:sz w:val="22"/>
              </w:rPr>
              <w:t>融出资金</w:t>
            </w:r>
          </w:p>
        </w:tc>
        <w:tc>
          <w:tcPr>
            <w:tcW w:type="dxa" w:w="2684"/>
            <w:tcBorders>
              <w:top w:sz="4.0" w:val="single" w:color="#000000"/>
            </w:tcBorders>
            <w:tcMar>
              <w:start w:w="0" w:type="dxa"/>
              <w:end w:w="0" w:type="dxa"/>
            </w:tcMar>
          </w:tcPr>
          <w:p>
            <w:pPr>
              <w:autoSpaceDN w:val="0"/>
              <w:autoSpaceDE w:val="0"/>
              <w:widowControl/>
              <w:spacing w:line="246" w:lineRule="exact" w:before="830" w:after="0"/>
              <w:ind w:left="0" w:right="222" w:firstLine="0"/>
              <w:jc w:val="righ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4.0" w:val="single" w:color="#000000"/>
            </w:tcBorders>
            <w:tcMar>
              <w:start w:w="0" w:type="dxa"/>
              <w:end w:w="0" w:type="dxa"/>
            </w:tcMar>
          </w:tcPr>
          <w:p>
            <w:pPr>
              <w:autoSpaceDN w:val="0"/>
              <w:autoSpaceDE w:val="0"/>
              <w:widowControl/>
              <w:spacing w:line="246" w:lineRule="exact" w:before="83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978"/>
            <w:gridSpan w:val="2"/>
            <w:tcBorders/>
            <w:tcMar>
              <w:start w:w="0" w:type="dxa"/>
              <w:end w:w="0" w:type="dxa"/>
            </w:tcMar>
            <w:tcMar>
              <w:start w:w="0" w:type="dxa"/>
              <w:end w:w="0" w:type="dxa"/>
            </w:tcMar>
          </w:tcPr>
          <w:p>
            <w:pPr>
              <w:autoSpaceDN w:val="0"/>
              <w:autoSpaceDE w:val="0"/>
              <w:widowControl/>
              <w:spacing w:line="220" w:lineRule="exact" w:before="160" w:after="0"/>
              <w:ind w:left="198" w:right="0" w:firstLine="0"/>
              <w:jc w:val="left"/>
            </w:pPr>
            <w:r>
              <w:rPr>
                <w:rFonts w:ascii="黑体" w:hAnsi="黑体" w:eastAsia="黑体"/>
                <w:b w:val="0"/>
                <w:i w:val="0"/>
                <w:color w:val="000000"/>
                <w:sz w:val="22"/>
              </w:rPr>
              <w:t>融资融券业务融出资金</w:t>
            </w:r>
          </w:p>
        </w:tc>
        <w:tc>
          <w:tcPr>
            <w:tcW w:type="dxa" w:w="2684"/>
            <w:vMerge w:val="restart"/>
            <w:tcBorders/>
            <w:tcMar>
              <w:start w:w="0" w:type="dxa"/>
              <w:end w:w="0" w:type="dxa"/>
            </w:tcMar>
            <w:tcMar>
              <w:start w:w="0" w:type="dxa"/>
              <w:end w:w="0" w:type="dxa"/>
            </w:tcMar>
          </w:tcPr>
          <w:p>
            <w:pPr>
              <w:autoSpaceDN w:val="0"/>
              <w:autoSpaceDE w:val="0"/>
              <w:widowControl/>
              <w:spacing w:line="233" w:lineRule="auto" w:before="168" w:after="0"/>
              <w:ind w:left="0" w:right="222" w:firstLine="0"/>
              <w:jc w:val="right"/>
            </w:pPr>
            <w:r>
              <w:rPr>
                <w:rFonts w:ascii="Arial" w:hAnsi="Arial" w:eastAsia="Arial"/>
                <w:b w:val="0"/>
                <w:i w:val="0"/>
                <w:color w:val="000000"/>
                <w:sz w:val="22"/>
              </w:rPr>
              <w:t>7,360,958,428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8" w:after="0"/>
              <w:ind w:left="464" w:right="0" w:firstLine="0"/>
              <w:jc w:val="left"/>
            </w:pPr>
            <w:r>
              <w:rPr>
                <w:rFonts w:ascii="Arial" w:hAnsi="Arial" w:eastAsia="Arial"/>
                <w:b w:val="0"/>
                <w:i w:val="0"/>
                <w:color w:val="000000"/>
                <w:sz w:val="22"/>
              </w:rPr>
              <w:t>6,774,173,241</w:t>
            </w:r>
          </w:p>
        </w:tc>
      </w:tr>
      <w:tr>
        <w:trPr>
          <w:trHeight w:hRule="exact" w:val="54"/>
        </w:trPr>
        <w:tc>
          <w:tcPr>
            <w:tcW w:type="dxa" w:w="3978"/>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孖展业务融资</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2684"/>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192,846,029</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195,935,219</w:t>
            </w:r>
          </w:p>
        </w:tc>
      </w:tr>
      <w:tr>
        <w:trPr>
          <w:trHeight w:hRule="exact" w:val="550"/>
        </w:trPr>
        <w:tc>
          <w:tcPr>
            <w:tcW w:type="dxa" w:w="3978"/>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小计</w:t>
            </w:r>
          </w:p>
        </w:tc>
        <w:tc>
          <w:tcPr>
            <w:tcW w:type="dxa" w:w="2684"/>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7,553,804,457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464" w:right="0" w:firstLine="0"/>
              <w:jc w:val="left"/>
            </w:pPr>
            <w:r>
              <w:rPr>
                <w:rFonts w:ascii="Arial" w:hAnsi="Arial" w:eastAsia="Arial"/>
                <w:b w:val="0"/>
                <w:i w:val="0"/>
                <w:color w:val="000000"/>
                <w:sz w:val="22"/>
              </w:rPr>
              <w:t>6,970,108,460</w:t>
            </w:r>
          </w:p>
        </w:tc>
      </w:tr>
      <w:tr>
        <w:trPr>
          <w:trHeight w:hRule="exact" w:val="544"/>
        </w:trPr>
        <w:tc>
          <w:tcPr>
            <w:tcW w:type="dxa" w:w="3978"/>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减：减值准备</w:t>
            </w:r>
          </w:p>
        </w:tc>
        <w:tc>
          <w:tcPr>
            <w:tcW w:type="dxa" w:w="2684"/>
            <w:tcBorders>
              <w:top w:sz="4.0" w:val="single" w:color="#000000"/>
              <w:bottom w:sz="4.0" w:val="single" w:color="#000000"/>
            </w:tcBorders>
            <w:tcMar>
              <w:start w:w="0" w:type="dxa"/>
              <w:end w:w="0" w:type="dxa"/>
            </w:tcMar>
          </w:tcPr>
          <w:p>
            <w:pPr>
              <w:autoSpaceDN w:val="0"/>
              <w:autoSpaceDE w:val="0"/>
              <w:widowControl/>
              <w:spacing w:line="235" w:lineRule="auto" w:before="288" w:after="0"/>
              <w:ind w:left="0" w:right="92" w:firstLine="0"/>
              <w:jc w:val="right"/>
            </w:pPr>
            <w:r>
              <w:rPr>
                <w:rFonts w:ascii="Arial" w:hAnsi="Arial" w:eastAsia="Arial"/>
                <w:b w:val="0"/>
                <w:i w:val="0"/>
                <w:color w:val="000000"/>
                <w:sz w:val="22"/>
              </w:rPr>
              <w:t xml:space="preserve">(224,317,817) </w:t>
            </w:r>
          </w:p>
        </w:tc>
        <w:tc>
          <w:tcPr>
            <w:tcW w:type="dxa" w:w="2098"/>
            <w:tcBorders>
              <w:top w:sz="4.0" w:val="single" w:color="#000000"/>
              <w:bottom w:sz="4.0" w:val="single" w:color="#000000"/>
            </w:tcBorders>
            <w:tcMar>
              <w:start w:w="0" w:type="dxa"/>
              <w:end w:w="0" w:type="dxa"/>
            </w:tcMar>
          </w:tcPr>
          <w:p>
            <w:pPr>
              <w:autoSpaceDN w:val="0"/>
              <w:autoSpaceDE w:val="0"/>
              <w:widowControl/>
              <w:spacing w:line="235" w:lineRule="auto" w:before="288" w:after="0"/>
              <w:ind w:left="0" w:right="92" w:firstLine="0"/>
              <w:jc w:val="right"/>
            </w:pPr>
            <w:r>
              <w:rPr>
                <w:rFonts w:ascii="Arial" w:hAnsi="Arial" w:eastAsia="Arial"/>
                <w:b w:val="0"/>
                <w:i w:val="0"/>
                <w:color w:val="000000"/>
                <w:sz w:val="22"/>
              </w:rPr>
              <w:t xml:space="preserve">(205,747,784) </w:t>
            </w:r>
          </w:p>
        </w:tc>
      </w:tr>
      <w:tr>
        <w:trPr>
          <w:trHeight w:hRule="exact" w:val="550"/>
        </w:trPr>
        <w:tc>
          <w:tcPr>
            <w:tcW w:type="dxa" w:w="3978"/>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融出资金净值</w:t>
            </w:r>
          </w:p>
        </w:tc>
        <w:tc>
          <w:tcPr>
            <w:tcW w:type="dxa" w:w="2684"/>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7,329,486,640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464" w:right="0" w:firstLine="0"/>
              <w:jc w:val="left"/>
            </w:pPr>
            <w:r>
              <w:rPr>
                <w:rFonts w:ascii="Arial" w:hAnsi="Arial" w:eastAsia="Arial"/>
                <w:b w:val="0"/>
                <w:i w:val="0"/>
                <w:color w:val="000000"/>
                <w:sz w:val="22"/>
              </w:rPr>
              <w:t>6,764,360,676</w:t>
            </w:r>
          </w:p>
        </w:tc>
      </w:tr>
      <w:tr>
        <w:trPr>
          <w:trHeight w:hRule="exact" w:val="52"/>
        </w:trPr>
        <w:tc>
          <w:tcPr>
            <w:tcW w:type="dxa" w:w="4512"/>
            <w:gridSpan w:val="2"/>
            <w:vMerge/>
            <w:tcBorders>
              <w:top w:sz="4.0" w:val="single" w:color="#000000"/>
            </w:tcBorders>
          </w:tcPr>
          <w:p/>
        </w:tc>
        <w:tc>
          <w:tcPr>
            <w:tcW w:type="dxa" w:w="26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2614" w:after="0"/>
        <w:ind w:left="0" w:right="0" w:firstLine="0"/>
        <w:jc w:val="center"/>
      </w:pPr>
      <w:r>
        <w:rPr>
          <w:rFonts w:ascii="Arial" w:hAnsi="Arial" w:eastAsia="Arial"/>
          <w:b w:val="0"/>
          <w:i w:val="0"/>
          <w:color w:val="000000"/>
          <w:sz w:val="20"/>
        </w:rPr>
        <w:t xml:space="preserve">201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4958" w:val="left"/>
          <w:tab w:pos="7052" w:val="left"/>
        </w:tabs>
        <w:autoSpaceDE w:val="0"/>
        <w:widowControl/>
        <w:spacing w:line="474" w:lineRule="exact" w:before="0" w:after="32"/>
        <w:ind w:left="358" w:right="28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3. </w:t>
      </w:r>
      <w:r>
        <w:rPr>
          <w:rFonts w:ascii="黑体" w:hAnsi="黑体" w:eastAsia="黑体"/>
          <w:b w:val="0"/>
          <w:i w:val="0"/>
          <w:color w:val="000000"/>
          <w:sz w:val="22"/>
        </w:rPr>
        <w:t>融出资金（续）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按交易对手分析</w:t>
      </w:r>
      <w:r>
        <w:br/>
      </w:r>
      <w:r>
        <w:tab/>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tab/>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境内</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58"/>
        </w:trPr>
        <w:tc>
          <w:tcPr>
            <w:tcW w:type="dxa" w:w="4564"/>
            <w:tcBorders/>
            <w:tcMar>
              <w:start w:w="0" w:type="dxa"/>
              <w:end w:w="0" w:type="dxa"/>
            </w:tcMar>
          </w:tcPr>
          <w:p>
            <w:pPr>
              <w:autoSpaceDN w:val="0"/>
              <w:autoSpaceDE w:val="0"/>
              <w:widowControl/>
              <w:spacing w:line="222" w:lineRule="exact" w:before="32" w:after="0"/>
              <w:ind w:left="398" w:right="0" w:firstLine="0"/>
              <w:jc w:val="left"/>
            </w:pPr>
            <w:r>
              <w:rPr>
                <w:rFonts w:ascii="黑体" w:hAnsi="黑体" w:eastAsia="黑体"/>
                <w:b w:val="0"/>
                <w:i w:val="0"/>
                <w:color w:val="000000"/>
                <w:sz w:val="22"/>
              </w:rPr>
              <w:t>其中：个人</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40" w:after="0"/>
              <w:ind w:left="466" w:right="0" w:firstLine="0"/>
              <w:jc w:val="left"/>
            </w:pPr>
            <w:r>
              <w:rPr>
                <w:rFonts w:ascii="Arial" w:hAnsi="Arial" w:eastAsia="Arial"/>
                <w:b w:val="0"/>
                <w:i w:val="0"/>
                <w:color w:val="000000"/>
                <w:sz w:val="22"/>
              </w:rPr>
              <w:t>7,102,720,375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40" w:after="0"/>
              <w:ind w:left="464" w:right="0" w:firstLine="0"/>
              <w:jc w:val="left"/>
            </w:pPr>
            <w:r>
              <w:rPr>
                <w:rFonts w:ascii="Arial" w:hAnsi="Arial" w:eastAsia="Arial"/>
                <w:b w:val="0"/>
                <w:i w:val="0"/>
                <w:color w:val="000000"/>
                <w:sz w:val="22"/>
              </w:rPr>
              <w:t>6,545,727,680</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094" w:right="0" w:firstLine="0"/>
              <w:jc w:val="left"/>
            </w:pPr>
            <w:r>
              <w:rPr>
                <w:rFonts w:ascii="黑体" w:hAnsi="黑体" w:eastAsia="黑体"/>
                <w:b w:val="0"/>
                <w:i w:val="0"/>
                <w:color w:val="000000"/>
                <w:sz w:val="22"/>
              </w:rPr>
              <w:t>机构</w:t>
            </w:r>
          </w:p>
        </w:tc>
        <w:tc>
          <w:tcPr>
            <w:tcW w:type="dxa" w:w="3009"/>
            <w:vMerge/>
            <w:tcBorders/>
          </w:tcPr>
          <w:p/>
        </w:tc>
        <w:tc>
          <w:tcPr>
            <w:tcW w:type="dxa" w:w="3009"/>
            <w:vMerge/>
            <w:tcBorders/>
          </w:tcPr>
          <w:p/>
        </w:tc>
      </w:tr>
      <w:tr>
        <w:trPr>
          <w:trHeight w:hRule="exact" w:val="232"/>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277,443,691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4" w:firstLine="0"/>
              <w:jc w:val="right"/>
            </w:pPr>
            <w:r>
              <w:rPr>
                <w:rFonts w:ascii="Arial" w:hAnsi="Arial" w:eastAsia="Arial"/>
                <w:b w:val="0"/>
                <w:i w:val="0"/>
                <w:color w:val="000000"/>
                <w:sz w:val="22"/>
              </w:rPr>
              <w:t>250,359,415</w:t>
            </w:r>
          </w:p>
        </w:tc>
      </w:tr>
      <w:tr>
        <w:trPr>
          <w:trHeight w:hRule="exact" w:val="5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6" w:after="0"/>
              <w:ind w:left="450" w:right="0" w:firstLine="0"/>
              <w:jc w:val="left"/>
            </w:pPr>
            <w:r>
              <w:rPr>
                <w:rFonts w:ascii="黑体" w:hAnsi="黑体" w:eastAsia="黑体"/>
                <w:b w:val="0"/>
                <w:i w:val="0"/>
                <w:color w:val="000000"/>
                <w:sz w:val="22"/>
              </w:rPr>
              <w:t>减：减值准备</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(59,854,421)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(55,434,522) </w:t>
            </w:r>
          </w:p>
        </w:tc>
      </w:tr>
      <w:tr>
        <w:trPr>
          <w:trHeight w:hRule="exact" w:val="552"/>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小计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4" w:after="0"/>
              <w:ind w:left="466" w:right="0" w:firstLine="0"/>
              <w:jc w:val="left"/>
            </w:pPr>
            <w:r>
              <w:rPr>
                <w:rFonts w:ascii="Arial" w:hAnsi="Arial" w:eastAsia="Arial"/>
                <w:b w:val="0"/>
                <w:i w:val="0"/>
                <w:color w:val="000000"/>
                <w:sz w:val="22"/>
              </w:rPr>
              <w:t>7,320,309,645</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4" w:after="0"/>
              <w:ind w:left="464" w:right="0" w:firstLine="0"/>
              <w:jc w:val="left"/>
            </w:pPr>
            <w:r>
              <w:rPr>
                <w:rFonts w:ascii="Arial" w:hAnsi="Arial" w:eastAsia="Arial"/>
                <w:b w:val="0"/>
                <w:i w:val="0"/>
                <w:color w:val="000000"/>
                <w:sz w:val="22"/>
              </w:rPr>
              <w:t>6,740,652,573</w:t>
            </w:r>
          </w:p>
        </w:tc>
      </w:tr>
      <w:tr>
        <w:trPr>
          <w:trHeight w:hRule="exact" w:val="52"/>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22" w:lineRule="exact" w:before="234" w:after="32"/>
        <w:ind w:left="358" w:right="0" w:firstLine="0"/>
        <w:jc w:val="left"/>
      </w:pPr>
      <w:r>
        <w:rPr>
          <w:rFonts w:ascii="黑体" w:hAnsi="黑体" w:eastAsia="黑体"/>
          <w:b w:val="0"/>
          <w:i w:val="0"/>
          <w:color w:val="000000"/>
          <w:sz w:val="22"/>
        </w:rPr>
        <w:t>境外</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64"/>
        </w:trPr>
        <w:tc>
          <w:tcPr>
            <w:tcW w:type="dxa" w:w="4564"/>
            <w:tcBorders/>
            <w:tcMar>
              <w:start w:w="0" w:type="dxa"/>
              <w:end w:w="0" w:type="dxa"/>
            </w:tcMar>
          </w:tcPr>
          <w:p>
            <w:pPr>
              <w:autoSpaceDN w:val="0"/>
              <w:autoSpaceDE w:val="0"/>
              <w:widowControl/>
              <w:spacing w:line="220" w:lineRule="exact" w:before="30" w:after="0"/>
              <w:ind w:left="436" w:right="0" w:firstLine="0"/>
              <w:jc w:val="left"/>
            </w:pPr>
            <w:r>
              <w:rPr>
                <w:rFonts w:ascii="黑体" w:hAnsi="黑体" w:eastAsia="黑体"/>
                <w:b w:val="0"/>
                <w:i w:val="0"/>
                <w:color w:val="000000"/>
                <w:sz w:val="22"/>
              </w:rPr>
              <w:t>其中：个人</w:t>
            </w:r>
          </w:p>
        </w:tc>
        <w:tc>
          <w:tcPr>
            <w:tcW w:type="dxa" w:w="2098"/>
            <w:tcBorders/>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2,720,187</w:t>
            </w:r>
          </w:p>
        </w:tc>
        <w:tc>
          <w:tcPr>
            <w:tcW w:type="dxa" w:w="2098"/>
            <w:tcBorders/>
            <w:tcMar>
              <w:start w:w="0" w:type="dxa"/>
              <w:end w:w="0" w:type="dxa"/>
            </w:tcMar>
          </w:tcPr>
          <w:p>
            <w:pPr>
              <w:autoSpaceDN w:val="0"/>
              <w:autoSpaceDE w:val="0"/>
              <w:widowControl/>
              <w:spacing w:line="233" w:lineRule="auto" w:before="18" w:after="0"/>
              <w:ind w:left="0" w:right="224" w:firstLine="0"/>
              <w:jc w:val="right"/>
            </w:pPr>
            <w:r>
              <w:rPr>
                <w:rFonts w:ascii="Arial" w:hAnsi="Arial" w:eastAsia="Arial"/>
                <w:b w:val="0"/>
                <w:i w:val="0"/>
                <w:color w:val="000000"/>
                <w:sz w:val="22"/>
              </w:rPr>
              <w:t>66,252,731</w:t>
            </w:r>
          </w:p>
        </w:tc>
      </w:tr>
      <w:tr>
        <w:trPr>
          <w:trHeight w:hRule="exact" w:val="280"/>
        </w:trPr>
        <w:tc>
          <w:tcPr>
            <w:tcW w:type="dxa" w:w="4564"/>
            <w:tcBorders/>
            <w:tcMar>
              <w:start w:w="0" w:type="dxa"/>
              <w:end w:w="0" w:type="dxa"/>
            </w:tcMar>
          </w:tcPr>
          <w:p>
            <w:pPr>
              <w:autoSpaceDN w:val="0"/>
              <w:autoSpaceDE w:val="0"/>
              <w:widowControl/>
              <w:spacing w:line="220" w:lineRule="exact" w:before="52" w:after="0"/>
              <w:ind w:left="1094" w:right="0" w:firstLine="0"/>
              <w:jc w:val="left"/>
            </w:pPr>
            <w:r>
              <w:rPr>
                <w:rFonts w:ascii="黑体" w:hAnsi="黑体" w:eastAsia="黑体"/>
                <w:b w:val="0"/>
                <w:i w:val="0"/>
                <w:color w:val="000000"/>
                <w:sz w:val="22"/>
              </w:rPr>
              <w:t>机构</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170,920,204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4" w:firstLine="0"/>
              <w:jc w:val="right"/>
            </w:pPr>
            <w:r>
              <w:rPr>
                <w:rFonts w:ascii="Arial" w:hAnsi="Arial" w:eastAsia="Arial"/>
                <w:b w:val="0"/>
                <w:i w:val="0"/>
                <w:color w:val="000000"/>
                <w:sz w:val="22"/>
              </w:rPr>
              <w:t>107,768,634</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6" w:after="0"/>
              <w:ind w:left="436" w:right="0" w:firstLine="0"/>
              <w:jc w:val="left"/>
            </w:pPr>
            <w:r>
              <w:rPr>
                <w:rFonts w:ascii="黑体" w:hAnsi="黑体" w:eastAsia="黑体"/>
                <w:b w:val="0"/>
                <w:i w:val="0"/>
                <w:color w:val="000000"/>
                <w:sz w:val="22"/>
              </w:rPr>
              <w:t>减：减值准备</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(164,463,396)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(150,313,262)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小计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222" w:firstLine="0"/>
              <w:jc w:val="right"/>
            </w:pPr>
            <w:r>
              <w:rPr>
                <w:rFonts w:ascii="Arial" w:hAnsi="Arial" w:eastAsia="Arial"/>
                <w:b w:val="0"/>
                <w:i w:val="0"/>
                <w:color w:val="000000"/>
                <w:sz w:val="22"/>
              </w:rPr>
              <w:t>9,176,995</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224" w:firstLine="0"/>
              <w:jc w:val="right"/>
            </w:pPr>
            <w:r>
              <w:rPr>
                <w:rFonts w:ascii="Arial" w:hAnsi="Arial" w:eastAsia="Arial"/>
                <w:b w:val="0"/>
                <w:i w:val="0"/>
                <w:color w:val="000000"/>
                <w:sz w:val="22"/>
              </w:rPr>
              <w:t>23,708,103</w:t>
            </w:r>
          </w:p>
        </w:tc>
      </w:tr>
      <w:tr>
        <w:trPr>
          <w:trHeight w:hRule="exact" w:val="548"/>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账面价值合计</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466" w:right="0" w:firstLine="0"/>
              <w:jc w:val="left"/>
            </w:pPr>
            <w:r>
              <w:rPr>
                <w:rFonts w:ascii="Arial" w:hAnsi="Arial" w:eastAsia="Arial"/>
                <w:b w:val="0"/>
                <w:i w:val="0"/>
                <w:color w:val="000000"/>
                <w:sz w:val="22"/>
              </w:rPr>
              <w:t>7,329,486,640</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464" w:right="0" w:firstLine="0"/>
              <w:jc w:val="left"/>
            </w:pPr>
            <w:r>
              <w:rPr>
                <w:rFonts w:ascii="Arial" w:hAnsi="Arial" w:eastAsia="Arial"/>
                <w:b w:val="0"/>
                <w:i w:val="0"/>
                <w:color w:val="000000"/>
                <w:sz w:val="22"/>
              </w:rPr>
              <w:t>6,764,360,676</w:t>
            </w:r>
          </w:p>
        </w:tc>
      </w:tr>
      <w:tr>
        <w:trPr>
          <w:trHeight w:hRule="exact" w:val="54"/>
        </w:trPr>
        <w:tc>
          <w:tcPr>
            <w:tcW w:type="dxa" w:w="4564"/>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tabs>
          <w:tab w:pos="5936" w:val="left"/>
        </w:tabs>
        <w:autoSpaceDE w:val="0"/>
        <w:widowControl/>
        <w:spacing w:line="516" w:lineRule="exact" w:before="0" w:after="36"/>
        <w:ind w:left="358" w:right="1440" w:firstLine="0"/>
        <w:jc w:val="left"/>
      </w:pPr>
      <w:r>
        <w:rPr>
          <w:rFonts w:ascii="黑体" w:hAnsi="黑体" w:eastAsia="黑体"/>
          <w:b w:val="0"/>
          <w:i w:val="0"/>
          <w:color w:val="000000"/>
          <w:sz w:val="22"/>
        </w:rPr>
        <w:t>以上融资融券减值准备的变动情况参见附注五、</w:t>
      </w:r>
      <w:r>
        <w:rPr>
          <w:rFonts w:ascii="Arial" w:hAnsi="Arial" w:eastAsia="Arial"/>
          <w:b w:val="0"/>
          <w:i w:val="0"/>
          <w:color w:val="000000"/>
          <w:sz w:val="22"/>
        </w:rPr>
        <w:t>18</w:t>
      </w:r>
      <w:r>
        <w:rPr>
          <w:rFonts w:ascii="黑体" w:hAnsi="黑体" w:eastAsia="黑体"/>
          <w:b w:val="0"/>
          <w:i w:val="0"/>
          <w:color w:val="000000"/>
          <w:sz w:val="22"/>
        </w:rPr>
        <w:t>。</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担保物信息</w:t>
      </w:r>
      <w:r>
        <w:br/>
      </w:r>
      <w:r>
        <w:tab/>
      </w:r>
      <w:r>
        <w:rPr>
          <w:rFonts w:ascii="黑体" w:hAnsi="黑体" w:eastAsia="黑体"/>
          <w:b w:val="0"/>
          <w:i w:val="0"/>
          <w:color w:val="000000"/>
          <w:sz w:val="22"/>
        </w:rPr>
        <w:t>担保物公允价值</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61"/>
        </w:trPr>
        <w:tc>
          <w:tcPr>
            <w:tcW w:type="dxa" w:w="4564"/>
            <w:tcBorders>
              <w:top w:sz="3.199999999999818" w:val="single" w:color="#000000"/>
            </w:tcBorders>
            <w:tcMar>
              <w:start w:w="0" w:type="dxa"/>
              <w:end w:w="0" w:type="dxa"/>
            </w:tcMar>
          </w:tcPr>
          <w:p>
            <w:pPr>
              <w:autoSpaceDN w:val="0"/>
              <w:autoSpaceDE w:val="0"/>
              <w:widowControl/>
              <w:spacing w:line="220" w:lineRule="exact" w:before="32" w:after="0"/>
              <w:ind w:left="198" w:right="0" w:firstLine="0"/>
              <w:jc w:val="left"/>
            </w:pPr>
            <w:r>
              <w:rPr>
                <w:rFonts w:ascii="黑体" w:hAnsi="黑体" w:eastAsia="黑体"/>
                <w:b w:val="0"/>
                <w:i w:val="0"/>
                <w:color w:val="000000"/>
                <w:sz w:val="22"/>
              </w:rPr>
              <w:t>担保物类别</w:t>
            </w:r>
          </w:p>
        </w:tc>
        <w:tc>
          <w:tcPr>
            <w:tcW w:type="dxa" w:w="1870"/>
            <w:tcBorders/>
            <w:tcMar>
              <w:start w:w="0" w:type="dxa"/>
              <w:end w:w="0" w:type="dxa"/>
            </w:tcMar>
          </w:tcPr>
          <w:p>
            <w:pPr>
              <w:autoSpaceDN w:val="0"/>
              <w:autoSpaceDE w:val="0"/>
              <w:widowControl/>
              <w:spacing w:line="246" w:lineRule="exact" w:before="16"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16"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40"/>
        </w:trPr>
        <w:tc>
          <w:tcPr>
            <w:tcW w:type="dxa" w:w="4564"/>
            <w:tcBorders/>
            <w:tcMar>
              <w:start w:w="0" w:type="dxa"/>
              <w:end w:w="0" w:type="dxa"/>
            </w:tcMar>
          </w:tcPr>
          <w:p>
            <w:pPr>
              <w:autoSpaceDN w:val="0"/>
              <w:autoSpaceDE w:val="0"/>
              <w:widowControl/>
              <w:spacing w:line="220" w:lineRule="exact" w:before="314" w:after="0"/>
              <w:ind w:left="198" w:right="0" w:firstLine="0"/>
              <w:jc w:val="left"/>
            </w:pPr>
            <w:r>
              <w:rPr>
                <w:rFonts w:ascii="黑体" w:hAnsi="黑体" w:eastAsia="黑体"/>
                <w:b w:val="0"/>
                <w:i w:val="0"/>
                <w:color w:val="000000"/>
                <w:sz w:val="22"/>
              </w:rPr>
              <w:t>股票</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20" w:after="0"/>
              <w:ind w:left="344" w:right="0" w:firstLine="0"/>
              <w:jc w:val="left"/>
            </w:pPr>
            <w:r>
              <w:rPr>
                <w:rFonts w:ascii="Arial" w:hAnsi="Arial" w:eastAsia="Arial"/>
                <w:b w:val="0"/>
                <w:i w:val="0"/>
                <w:color w:val="000000"/>
                <w:sz w:val="22"/>
              </w:rPr>
              <w:t>22,571,285,695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20" w:after="0"/>
              <w:ind w:left="0" w:right="0" w:firstLine="0"/>
              <w:jc w:val="right"/>
            </w:pPr>
            <w:r>
              <w:rPr>
                <w:rFonts w:ascii="Arial" w:hAnsi="Arial" w:eastAsia="Arial"/>
                <w:b w:val="0"/>
                <w:i w:val="0"/>
                <w:color w:val="000000"/>
                <w:sz w:val="22"/>
              </w:rPr>
              <w:t>19,146,719,771</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资金</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1,115,262,733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684,774,306</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344" w:right="0" w:firstLine="0"/>
              <w:jc w:val="left"/>
            </w:pPr>
            <w:r>
              <w:rPr>
                <w:rFonts w:ascii="Arial" w:hAnsi="Arial" w:eastAsia="Arial"/>
                <w:b w:val="0"/>
                <w:i w:val="0"/>
                <w:color w:val="000000"/>
                <w:sz w:val="22"/>
              </w:rPr>
              <w:t>23,686,548,428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19,831,494,077</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tabs>
          <w:tab w:pos="482" w:val="left"/>
        </w:tabs>
        <w:autoSpaceDE w:val="0"/>
        <w:widowControl/>
        <w:spacing w:line="512" w:lineRule="exact" w:before="0" w:after="0"/>
        <w:ind w:left="358" w:right="432" w:firstLine="0"/>
        <w:jc w:val="left"/>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融出资金的剩余期限</w:t>
      </w:r>
      <w:r>
        <w:br/>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日及</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日，本集团融出资金的剩余期限均为</w:t>
      </w:r>
      <w:r>
        <w:rPr>
          <w:rFonts w:ascii="Arial" w:hAnsi="Arial" w:eastAsia="Arial"/>
          <w:b w:val="0"/>
          <w:i w:val="0"/>
          <w:color w:val="000000"/>
          <w:sz w:val="22"/>
        </w:rPr>
        <w:t>1</w:t>
      </w:r>
      <w:r>
        <w:rPr>
          <w:rFonts w:ascii="黑体" w:hAnsi="黑体" w:eastAsia="黑体"/>
          <w:b w:val="0"/>
          <w:i w:val="0"/>
          <w:color w:val="000000"/>
          <w:sz w:val="22"/>
        </w:rPr>
        <w:t>年以内。</w:t>
      </w:r>
    </w:p>
    <w:p>
      <w:pPr>
        <w:autoSpaceDN w:val="0"/>
        <w:autoSpaceDE w:val="0"/>
        <w:widowControl/>
        <w:spacing w:line="233" w:lineRule="auto" w:before="3208" w:after="0"/>
        <w:ind w:left="0" w:right="0" w:firstLine="0"/>
        <w:jc w:val="center"/>
      </w:pPr>
      <w:r>
        <w:rPr>
          <w:rFonts w:ascii="Arial" w:hAnsi="Arial" w:eastAsia="Arial"/>
          <w:b w:val="0"/>
          <w:i w:val="0"/>
          <w:color w:val="000000"/>
          <w:sz w:val="20"/>
        </w:rPr>
        <w:t xml:space="preserve">202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660"/>
            <w:gridSpan w:val="2"/>
            <w:tcBorders/>
            <w:tcMar>
              <w:start w:w="0" w:type="dxa"/>
              <w:end w:w="0" w:type="dxa"/>
            </w:tcMar>
            <w:tcMar>
              <w:start w:w="0" w:type="dxa"/>
              <w:end w:w="0" w:type="dxa"/>
            </w:tcMar>
          </w:tcPr>
          <w:p>
            <w:pPr>
              <w:autoSpaceDN w:val="0"/>
              <w:autoSpaceDE w:val="0"/>
              <w:widowControl/>
              <w:spacing w:line="220" w:lineRule="exact" w:before="0" w:after="0"/>
              <w:ind w:left="0" w:right="0" w:firstLine="0"/>
              <w:jc w:val="center"/>
            </w:pPr>
            <w:r>
              <w:rPr>
                <w:rFonts w:ascii="黑体" w:hAnsi="黑体" w:eastAsia="黑体"/>
                <w:b w:val="0"/>
                <w:i w:val="0"/>
                <w:color w:val="000000"/>
                <w:sz w:val="22"/>
              </w:rPr>
              <w:t>合并财务报表主要项目注释（续）</w:t>
            </w:r>
          </w:p>
        </w:tc>
        <w:tc>
          <w:tcPr>
            <w:tcW w:type="dxa" w:w="540"/>
            <w:vMerge w:val="restart"/>
            <w:tcBorders>
              <w:bottom w:sz="4.0" w:val="single" w:color="#000000"/>
            </w:tcBorders>
            <w:tcMar>
              <w:start w:w="0" w:type="dxa"/>
              <w:end w:w="0" w:type="dxa"/>
            </w:tcMar>
            <w:tcMar>
              <w:start w:w="0" w:type="dxa"/>
              <w:end w:w="0" w:type="dxa"/>
            </w:tcMar>
            <w:tcMar>
              <w:start w:w="0" w:type="dxa"/>
              <w:end w:w="0" w:type="dxa"/>
            </w:tcMar>
          </w:tcPr>
          <w:p/>
        </w:tc>
        <w:tc>
          <w:tcPr>
            <w:tcW w:type="dxa" w:w="3040"/>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78" w:lineRule="exact" w:before="1062" w:after="0"/>
              <w:ind w:left="0" w:right="572"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534"/>
            <w:vMerge w:val="restart"/>
            <w:tcBorders>
              <w:bottom w:sz="4.0" w:val="single" w:color="#000000"/>
            </w:tcBorders>
            <w:tcMar>
              <w:start w:w="0" w:type="dxa"/>
              <w:end w:w="0" w:type="dxa"/>
            </w:tcMar>
            <w:tcMar>
              <w:start w:w="0" w:type="dxa"/>
              <w:end w:w="0" w:type="dxa"/>
            </w:tcMar>
            <w:tcMar>
              <w:start w:w="0" w:type="dxa"/>
              <w:end w:w="0" w:type="dxa"/>
            </w:tcMar>
          </w:tcPr>
          <w:p/>
        </w:tc>
      </w:tr>
      <w:tr>
        <w:trPr>
          <w:trHeight w:hRule="exact" w:val="540"/>
        </w:trPr>
        <w:tc>
          <w:tcPr>
            <w:tcW w:type="dxa" w:w="760"/>
            <w:vMerge w:val="restart"/>
            <w:tcBorders>
              <w:bottom w:sz="4.0" w:val="single" w:color="#000000"/>
            </w:tcBorders>
            <w:tcMar>
              <w:start w:w="0" w:type="dxa"/>
              <w:end w:w="0" w:type="dxa"/>
            </w:tcMar>
            <w:tcMar>
              <w:start w:w="0" w:type="dxa"/>
              <w:end w:w="0" w:type="dxa"/>
            </w:tcMar>
          </w:tcPr>
          <w:p>
            <w:pPr>
              <w:autoSpaceDN w:val="0"/>
              <w:autoSpaceDE w:val="0"/>
              <w:widowControl/>
              <w:spacing w:line="248" w:lineRule="exact" w:before="162" w:after="0"/>
              <w:ind w:left="0" w:right="318" w:firstLine="0"/>
              <w:jc w:val="right"/>
            </w:pPr>
            <w:r>
              <w:rPr>
                <w:rFonts w:ascii="Arial,Bold" w:hAnsi="Arial,Bold" w:eastAsia="Arial,Bold"/>
                <w:b/>
                <w:i w:val="0"/>
                <w:color w:val="000000"/>
                <w:sz w:val="22"/>
              </w:rPr>
              <w:t xml:space="preserve">4. </w:t>
            </w:r>
          </w:p>
        </w:tc>
        <w:tc>
          <w:tcPr>
            <w:tcW w:type="dxa" w:w="3660"/>
            <w:gridSpan w:val="2"/>
            <w:tcBorders/>
            <w:tcMar>
              <w:start w:w="0" w:type="dxa"/>
              <w:end w:w="0" w:type="dxa"/>
            </w:tcMar>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衍生金融工具</w:t>
            </w:r>
          </w:p>
        </w:tc>
        <w:tc>
          <w:tcPr>
            <w:tcW w:type="dxa" w:w="1289"/>
            <w:vMerge/>
            <w:tcBorders>
              <w:bottom w:sz="4.0" w:val="single" w:color="#000000"/>
            </w:tcBorders>
          </w:tcPr>
          <w:p/>
        </w:tc>
        <w:tc>
          <w:tcPr>
            <w:tcW w:type="dxa" w:w="2578"/>
            <w:gridSpan w:val="2"/>
            <w:vMerge/>
            <w:tcBorders>
              <w:bottom w:sz="4.0" w:val="single" w:color="#000000"/>
            </w:tcBorders>
          </w:tcPr>
          <w:p/>
        </w:tc>
        <w:tc>
          <w:tcPr>
            <w:tcW w:type="dxa" w:w="1289"/>
            <w:vMerge/>
            <w:tcBorders>
              <w:bottom w:sz="4.0" w:val="single" w:color="#000000"/>
            </w:tcBorders>
          </w:tcPr>
          <w:p/>
        </w:tc>
      </w:tr>
      <w:tr>
        <w:trPr>
          <w:trHeight w:hRule="exact" w:val="356"/>
        </w:trPr>
        <w:tc>
          <w:tcPr>
            <w:tcW w:type="dxa" w:w="1289"/>
            <w:vMerge/>
            <w:tcBorders>
              <w:bottom w:sz="4.0" w:val="single" w:color="#000000"/>
            </w:tcBorders>
          </w:tcPr>
          <w:p/>
        </w:tc>
        <w:tc>
          <w:tcPr>
            <w:tcW w:type="dxa" w:w="3660"/>
            <w:gridSpan w:val="2"/>
            <w:tcBorders>
              <w:bottom w:sz="4.0" w:val="single" w:color="#000000"/>
            </w:tcBorders>
            <w:tcMar>
              <w:start w:w="0" w:type="dxa"/>
              <w:end w:w="0" w:type="dxa"/>
            </w:tcMar>
            <w:tcMar>
              <w:start w:w="0" w:type="dxa"/>
              <w:end w:w="0" w:type="dxa"/>
            </w:tcMar>
          </w:tcPr>
          <w:p>
            <w:pPr>
              <w:autoSpaceDN w:val="0"/>
              <w:autoSpaceDE w:val="0"/>
              <w:widowControl/>
              <w:spacing w:line="178" w:lineRule="exact" w:before="158" w:after="0"/>
              <w:ind w:left="0" w:right="566"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1289"/>
            <w:vMerge/>
            <w:tcBorders>
              <w:bottom w:sz="4.0" w:val="single" w:color="#000000"/>
            </w:tcBorders>
          </w:tcPr>
          <w:p/>
        </w:tc>
        <w:tc>
          <w:tcPr>
            <w:tcW w:type="dxa" w:w="2578"/>
            <w:gridSpan w:val="2"/>
            <w:vMerge/>
            <w:tcBorders>
              <w:bottom w:sz="4.0" w:val="single" w:color="#000000"/>
            </w:tcBorders>
          </w:tcPr>
          <w:p/>
        </w:tc>
        <w:tc>
          <w:tcPr>
            <w:tcW w:type="dxa" w:w="1289"/>
            <w:vMerge/>
            <w:tcBorders>
              <w:bottom w:sz="4.0" w:val="single" w:color="#000000"/>
            </w:tcBorders>
          </w:tcPr>
          <w:p/>
        </w:tc>
      </w:tr>
      <w:tr>
        <w:trPr>
          <w:trHeight w:hRule="exact" w:val="216"/>
        </w:trPr>
        <w:tc>
          <w:tcPr>
            <w:tcW w:type="dxa" w:w="760"/>
            <w:tcBorders>
              <w:top w:sz="4.0" w:val="single" w:color="#000000"/>
              <w:bottom w:sz="4.0" w:val="single" w:color="#000000"/>
            </w:tcBorders>
            <w:tcMar>
              <w:start w:w="0" w:type="dxa"/>
              <w:end w:w="0" w:type="dxa"/>
            </w:tcMar>
          </w:tcPr>
          <w:p/>
        </w:tc>
        <w:tc>
          <w:tcPr>
            <w:tcW w:type="dxa" w:w="3660"/>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160" w:lineRule="exact" w:before="22" w:after="0"/>
              <w:ind w:left="0" w:right="760" w:firstLine="0"/>
              <w:jc w:val="right"/>
            </w:pPr>
            <w:r>
              <w:rPr>
                <w:rFonts w:ascii="黑体" w:hAnsi="黑体" w:eastAsia="黑体"/>
                <w:b w:val="0"/>
                <w:i w:val="0"/>
                <w:color w:val="000000"/>
                <w:sz w:val="16"/>
              </w:rPr>
              <w:t>非套期工具</w:t>
            </w:r>
          </w:p>
        </w:tc>
        <w:tc>
          <w:tcPr>
            <w:tcW w:type="dxa" w:w="540"/>
            <w:tcBorders>
              <w:top w:sz="4.0" w:val="single" w:color="#000000"/>
              <w:bottom w:sz="4.0" w:val="single" w:color="#000000"/>
            </w:tcBorders>
            <w:tcMar>
              <w:start w:w="0" w:type="dxa"/>
              <w:end w:w="0" w:type="dxa"/>
            </w:tcMar>
          </w:tcPr>
          <w:p/>
        </w:tc>
        <w:tc>
          <w:tcPr>
            <w:tcW w:type="dxa" w:w="3040"/>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160" w:lineRule="exact" w:before="22" w:after="0"/>
              <w:ind w:left="0" w:right="766" w:firstLine="0"/>
              <w:jc w:val="right"/>
            </w:pPr>
            <w:r>
              <w:rPr>
                <w:rFonts w:ascii="黑体" w:hAnsi="黑体" w:eastAsia="黑体"/>
                <w:b w:val="0"/>
                <w:i w:val="0"/>
                <w:color w:val="000000"/>
                <w:sz w:val="16"/>
              </w:rPr>
              <w:t>非套期工具</w:t>
            </w:r>
          </w:p>
        </w:tc>
        <w:tc>
          <w:tcPr>
            <w:tcW w:type="dxa" w:w="534"/>
            <w:tcBorders>
              <w:top w:sz="4.0" w:val="single" w:color="#000000"/>
              <w:bottom w:sz="4.0" w:val="single" w:color="#000000"/>
            </w:tcBorders>
            <w:tcMar>
              <w:start w:w="0" w:type="dxa"/>
              <w:end w:w="0" w:type="dxa"/>
            </w:tcMar>
          </w:tcPr>
          <w:p/>
        </w:tc>
      </w:tr>
      <w:tr>
        <w:trPr>
          <w:trHeight w:hRule="exact" w:val="218"/>
        </w:trPr>
        <w:tc>
          <w:tcPr>
            <w:tcW w:type="dxa" w:w="760"/>
            <w:tcBorders>
              <w:top w:sz="4.0" w:val="single" w:color="#000000"/>
              <w:bottom w:sz="3.199999999999818" w:val="single" w:color="#000000"/>
            </w:tcBorders>
            <w:tcMar>
              <w:start w:w="0" w:type="dxa"/>
              <w:end w:w="0" w:type="dxa"/>
            </w:tcMar>
          </w:tcPr>
          <w:p/>
        </w:tc>
        <w:tc>
          <w:tcPr>
            <w:tcW w:type="dxa" w:w="3660"/>
            <w:gridSpan w:val="2"/>
            <w:tcBorders>
              <w:top w:sz="4.0" w:val="single" w:color="#000000"/>
              <w:bottom w:sz="3.199999999999818" w:val="single" w:color="#000000"/>
            </w:tcBorders>
            <w:tcMar>
              <w:start w:w="0" w:type="dxa"/>
              <w:end w:w="0" w:type="dxa"/>
            </w:tcMar>
            <w:tcMar>
              <w:start w:w="0" w:type="dxa"/>
              <w:end w:w="0" w:type="dxa"/>
            </w:tcMar>
          </w:tcPr>
          <w:p>
            <w:pPr>
              <w:autoSpaceDN w:val="0"/>
              <w:autoSpaceDE w:val="0"/>
              <w:widowControl/>
              <w:spacing w:line="160" w:lineRule="exact" w:before="26" w:after="0"/>
              <w:ind w:left="0" w:right="186" w:firstLine="0"/>
              <w:jc w:val="right"/>
            </w:pPr>
            <w:r>
              <w:rPr>
                <w:rFonts w:ascii="黑体" w:hAnsi="黑体" w:eastAsia="黑体"/>
                <w:b w:val="0"/>
                <w:i w:val="0"/>
                <w:color w:val="000000"/>
                <w:sz w:val="16"/>
              </w:rPr>
              <w:t>公允价值</w:t>
            </w:r>
          </w:p>
        </w:tc>
        <w:tc>
          <w:tcPr>
            <w:tcW w:type="dxa" w:w="540"/>
            <w:tcBorders>
              <w:top w:sz="4.0" w:val="single" w:color="#000000"/>
              <w:bottom w:sz="3.199999999999818" w:val="single" w:color="#000000"/>
            </w:tcBorders>
            <w:tcMar>
              <w:start w:w="0" w:type="dxa"/>
              <w:end w:w="0" w:type="dxa"/>
            </w:tcMar>
          </w:tcPr>
          <w:p/>
        </w:tc>
        <w:tc>
          <w:tcPr>
            <w:tcW w:type="dxa" w:w="3040"/>
            <w:gridSpan w:val="2"/>
            <w:tcBorders>
              <w:top w:sz="4.0" w:val="single" w:color="#000000"/>
              <w:bottom w:sz="3.199999999999818" w:val="single" w:color="#000000"/>
            </w:tcBorders>
            <w:tcMar>
              <w:start w:w="0" w:type="dxa"/>
              <w:end w:w="0" w:type="dxa"/>
            </w:tcMar>
            <w:tcMar>
              <w:start w:w="0" w:type="dxa"/>
              <w:end w:w="0" w:type="dxa"/>
            </w:tcMar>
          </w:tcPr>
          <w:p>
            <w:pPr>
              <w:autoSpaceDN w:val="0"/>
              <w:autoSpaceDE w:val="0"/>
              <w:widowControl/>
              <w:spacing w:line="160" w:lineRule="exact" w:before="26" w:after="0"/>
              <w:ind w:left="0" w:right="196" w:firstLine="0"/>
              <w:jc w:val="right"/>
            </w:pPr>
            <w:r>
              <w:rPr>
                <w:rFonts w:ascii="黑体" w:hAnsi="黑体" w:eastAsia="黑体"/>
                <w:b w:val="0"/>
                <w:i w:val="0"/>
                <w:color w:val="000000"/>
                <w:sz w:val="16"/>
              </w:rPr>
              <w:t>公允价值</w:t>
            </w:r>
          </w:p>
        </w:tc>
        <w:tc>
          <w:tcPr>
            <w:tcW w:type="dxa" w:w="534"/>
            <w:tcBorders>
              <w:top w:sz="4.0" w:val="single" w:color="#000000"/>
              <w:bottom w:sz="3.199999999999818" w:val="single" w:color="#000000"/>
            </w:tcBorders>
            <w:tcMar>
              <w:start w:w="0" w:type="dxa"/>
              <w:end w:w="0" w:type="dxa"/>
            </w:tcMar>
          </w:tcPr>
          <w:p/>
        </w:tc>
      </w:tr>
      <w:tr>
        <w:trPr>
          <w:trHeight w:hRule="exact" w:val="248"/>
        </w:trPr>
        <w:tc>
          <w:tcPr>
            <w:tcW w:type="dxa" w:w="760"/>
            <w:tcBorders>
              <w:top w:sz="3.199999999999818" w:val="single" w:color="#000000"/>
            </w:tcBorders>
            <w:tcMar>
              <w:start w:w="0" w:type="dxa"/>
              <w:end w:w="0" w:type="dxa"/>
            </w:tcMar>
          </w:tcPr>
          <w:p/>
        </w:tc>
        <w:tc>
          <w:tcPr>
            <w:tcW w:type="dxa" w:w="2102"/>
            <w:tcBorders>
              <w:top w:sz="3.199999999999818" w:val="single" w:color="#000000"/>
            </w:tcBorders>
            <w:tcMar>
              <w:start w:w="0" w:type="dxa"/>
              <w:end w:w="0" w:type="dxa"/>
            </w:tcMar>
          </w:tcPr>
          <w:p>
            <w:pPr>
              <w:autoSpaceDN w:val="0"/>
              <w:autoSpaceDE w:val="0"/>
              <w:widowControl/>
              <w:spacing w:line="160" w:lineRule="exact" w:before="24" w:after="0"/>
              <w:ind w:left="0" w:right="170" w:firstLine="0"/>
              <w:jc w:val="right"/>
            </w:pPr>
            <w:r>
              <w:rPr>
                <w:rFonts w:ascii="黑体" w:hAnsi="黑体" w:eastAsia="黑体"/>
                <w:b w:val="0"/>
                <w:i w:val="0"/>
                <w:color w:val="000000"/>
                <w:sz w:val="16"/>
              </w:rPr>
              <w:t>名义金额</w:t>
            </w:r>
          </w:p>
        </w:tc>
        <w:tc>
          <w:tcPr>
            <w:tcW w:type="dxa" w:w="1558"/>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资产</w:t>
            </w:r>
          </w:p>
        </w:tc>
        <w:tc>
          <w:tcPr>
            <w:tcW w:type="dxa" w:w="540"/>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right"/>
            </w:pPr>
            <w:r>
              <w:rPr>
                <w:rFonts w:ascii="黑体" w:hAnsi="黑体" w:eastAsia="黑体"/>
                <w:b w:val="0"/>
                <w:i w:val="0"/>
                <w:color w:val="000000"/>
                <w:sz w:val="16"/>
              </w:rPr>
              <w:t>负债</w:t>
            </w:r>
          </w:p>
        </w:tc>
        <w:tc>
          <w:tcPr>
            <w:tcW w:type="dxa" w:w="1474"/>
            <w:tcBorders>
              <w:top w:sz="3.199999999999818" w:val="single" w:color="#000000"/>
            </w:tcBorders>
            <w:tcMar>
              <w:start w:w="0" w:type="dxa"/>
              <w:end w:w="0" w:type="dxa"/>
            </w:tcMar>
          </w:tcPr>
          <w:p>
            <w:pPr>
              <w:autoSpaceDN w:val="0"/>
              <w:autoSpaceDE w:val="0"/>
              <w:widowControl/>
              <w:spacing w:line="160" w:lineRule="exact" w:before="24" w:after="0"/>
              <w:ind w:left="0" w:right="168" w:firstLine="0"/>
              <w:jc w:val="right"/>
            </w:pPr>
            <w:r>
              <w:rPr>
                <w:rFonts w:ascii="黑体" w:hAnsi="黑体" w:eastAsia="黑体"/>
                <w:b w:val="0"/>
                <w:i w:val="0"/>
                <w:color w:val="000000"/>
                <w:sz w:val="16"/>
              </w:rPr>
              <w:t>名义金额</w:t>
            </w:r>
          </w:p>
        </w:tc>
        <w:tc>
          <w:tcPr>
            <w:tcW w:type="dxa" w:w="1566"/>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资产</w:t>
            </w:r>
          </w:p>
        </w:tc>
        <w:tc>
          <w:tcPr>
            <w:tcW w:type="dxa" w:w="534"/>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right"/>
            </w:pPr>
            <w:r>
              <w:rPr>
                <w:rFonts w:ascii="黑体" w:hAnsi="黑体" w:eastAsia="黑体"/>
                <w:b w:val="0"/>
                <w:i w:val="0"/>
                <w:color w:val="000000"/>
                <w:sz w:val="16"/>
              </w:rPr>
              <w:t>负债</w:t>
            </w:r>
          </w:p>
        </w:tc>
      </w:tr>
    </w:tbl>
    <w:p>
      <w:pPr>
        <w:autoSpaceDN w:val="0"/>
        <w:autoSpaceDE w:val="0"/>
        <w:widowControl/>
        <w:spacing w:line="162" w:lineRule="exact" w:before="170" w:after="24"/>
        <w:ind w:left="358" w:right="0" w:firstLine="0"/>
        <w:jc w:val="left"/>
      </w:pPr>
      <w:r>
        <w:rPr>
          <w:rFonts w:ascii="黑体" w:hAnsi="黑体" w:eastAsia="黑体"/>
          <w:b w:val="0"/>
          <w:i w:val="0"/>
          <w:color w:val="000000"/>
          <w:sz w:val="16"/>
        </w:rPr>
        <w:t>利率衍生工具</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186"/>
        </w:trPr>
        <w:tc>
          <w:tcPr>
            <w:tcW w:type="dxa" w:w="132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利率互换</w:t>
            </w:r>
          </w:p>
        </w:tc>
        <w:tc>
          <w:tcPr>
            <w:tcW w:type="dxa" w:w="1560"/>
            <w:tcBorders/>
            <w:tcMar>
              <w:start w:w="0" w:type="dxa"/>
              <w:end w:w="0" w:type="dxa"/>
            </w:tcMar>
          </w:tcPr>
          <w:p>
            <w:pPr>
              <w:autoSpaceDN w:val="0"/>
              <w:autoSpaceDE w:val="0"/>
              <w:widowControl/>
              <w:spacing w:line="230" w:lineRule="auto" w:before="8" w:after="0"/>
              <w:ind w:left="0" w:right="0" w:firstLine="0"/>
              <w:jc w:val="center"/>
            </w:pPr>
            <w:r>
              <w:rPr>
                <w:rFonts w:ascii="Arial" w:hAnsi="Arial" w:eastAsia="Arial"/>
                <w:b w:val="0"/>
                <w:i w:val="0"/>
                <w:color w:val="000000"/>
                <w:sz w:val="16"/>
              </w:rPr>
              <w:t xml:space="preserve"> 24,930,000,000 </w:t>
            </w:r>
          </w:p>
        </w:tc>
        <w:tc>
          <w:tcPr>
            <w:tcW w:type="dxa" w:w="1160"/>
            <w:tcBorders/>
            <w:tcMar>
              <w:start w:w="0" w:type="dxa"/>
              <w:end w:w="0" w:type="dxa"/>
            </w:tcMar>
          </w:tcPr>
          <w:p>
            <w:pPr>
              <w:autoSpaceDN w:val="0"/>
              <w:autoSpaceDE w:val="0"/>
              <w:widowControl/>
              <w:spacing w:line="230" w:lineRule="auto" w:before="8" w:after="0"/>
              <w:ind w:left="0" w:right="272" w:firstLine="0"/>
              <w:jc w:val="right"/>
            </w:pPr>
            <w:r>
              <w:rPr>
                <w:rFonts w:ascii="Arial" w:hAnsi="Arial" w:eastAsia="Arial"/>
                <w:b w:val="0"/>
                <w:i w:val="0"/>
                <w:color w:val="000000"/>
                <w:sz w:val="16"/>
              </w:rPr>
              <w:t>-</w:t>
            </w:r>
          </w:p>
        </w:tc>
        <w:tc>
          <w:tcPr>
            <w:tcW w:type="dxa" w:w="2460"/>
            <w:gridSpan w:val="2"/>
            <w:tcBorders/>
            <w:tcMar>
              <w:start w:w="0" w:type="dxa"/>
              <w:end w:w="0" w:type="dxa"/>
            </w:tcMar>
            <w:tcMar>
              <w:start w:w="0" w:type="dxa"/>
              <w:end w:w="0" w:type="dxa"/>
            </w:tcMar>
          </w:tcPr>
          <w:p>
            <w:pPr>
              <w:autoSpaceDN w:val="0"/>
              <w:autoSpaceDE w:val="0"/>
              <w:widowControl/>
              <w:spacing w:line="230" w:lineRule="auto" w:before="8" w:after="0"/>
              <w:ind w:left="0" w:right="0" w:firstLine="0"/>
              <w:jc w:val="center"/>
            </w:pPr>
            <w:r>
              <w:rPr>
                <w:rFonts w:ascii="Arial" w:hAnsi="Arial" w:eastAsia="Arial"/>
                <w:b w:val="0"/>
                <w:i w:val="0"/>
                <w:color w:val="000000"/>
                <w:sz w:val="16"/>
              </w:rPr>
              <w:t>(245,062 )  30,540,000,000</w:t>
            </w:r>
          </w:p>
        </w:tc>
        <w:tc>
          <w:tcPr>
            <w:tcW w:type="dxa" w:w="1040"/>
            <w:tcBorders/>
            <w:tcMar>
              <w:start w:w="0" w:type="dxa"/>
              <w:end w:w="0" w:type="dxa"/>
            </w:tcMar>
          </w:tcPr>
          <w:p>
            <w:pPr>
              <w:autoSpaceDN w:val="0"/>
              <w:autoSpaceDE w:val="0"/>
              <w:widowControl/>
              <w:spacing w:line="230" w:lineRule="auto" w:before="8" w:after="0"/>
              <w:ind w:left="0" w:right="198" w:firstLine="0"/>
              <w:jc w:val="right"/>
            </w:pPr>
            <w:r>
              <w:rPr>
                <w:rFonts w:ascii="Arial" w:hAnsi="Arial" w:eastAsia="Arial"/>
                <w:b w:val="0"/>
                <w:i w:val="0"/>
                <w:color w:val="000000"/>
                <w:sz w:val="16"/>
              </w:rPr>
              <w:t>-</w:t>
            </w:r>
          </w:p>
        </w:tc>
        <w:tc>
          <w:tcPr>
            <w:tcW w:type="dxa" w:w="1180"/>
            <w:tcBorders/>
            <w:tcMar>
              <w:start w:w="0" w:type="dxa"/>
              <w:end w:w="0" w:type="dxa"/>
            </w:tcMar>
          </w:tcPr>
          <w:p>
            <w:pPr>
              <w:autoSpaceDN w:val="0"/>
              <w:autoSpaceDE w:val="0"/>
              <w:widowControl/>
              <w:spacing w:line="230" w:lineRule="auto" w:before="8" w:after="0"/>
              <w:ind w:left="0" w:right="134" w:firstLine="0"/>
              <w:jc w:val="right"/>
            </w:pPr>
            <w:r>
              <w:rPr>
                <w:rFonts w:ascii="Arial" w:hAnsi="Arial" w:eastAsia="Arial"/>
                <w:b w:val="0"/>
                <w:i w:val="0"/>
                <w:color w:val="000000"/>
                <w:sz w:val="16"/>
              </w:rPr>
              <w:t>(937,782)</w:t>
            </w:r>
          </w:p>
        </w:tc>
      </w:tr>
      <w:tr>
        <w:trPr>
          <w:trHeight w:hRule="exact" w:val="200"/>
        </w:trPr>
        <w:tc>
          <w:tcPr>
            <w:tcW w:type="dxa" w:w="1320"/>
            <w:tcBorders/>
            <w:tcMar>
              <w:start w:w="0" w:type="dxa"/>
              <w:end w:w="0" w:type="dxa"/>
            </w:tcMar>
          </w:tcPr>
          <w:p>
            <w:pPr>
              <w:autoSpaceDN w:val="0"/>
              <w:autoSpaceDE w:val="0"/>
              <w:widowControl/>
              <w:spacing w:line="162" w:lineRule="exact" w:before="38" w:after="0"/>
              <w:ind w:left="0" w:right="0" w:firstLine="0"/>
              <w:jc w:val="center"/>
            </w:pPr>
            <w:r>
              <w:rPr>
                <w:rFonts w:ascii="黑体" w:hAnsi="黑体" w:eastAsia="黑体"/>
                <w:b w:val="0"/>
                <w:i w:val="0"/>
                <w:color w:val="000000"/>
                <w:sz w:val="16"/>
              </w:rPr>
              <w:t>国债期货</w:t>
            </w:r>
          </w:p>
        </w:tc>
        <w:tc>
          <w:tcPr>
            <w:tcW w:type="dxa" w:w="1560"/>
            <w:vMerge w:val="restart"/>
            <w:tcBorders/>
            <w:tcMar>
              <w:start w:w="0" w:type="dxa"/>
              <w:end w:w="0" w:type="dxa"/>
            </w:tcMar>
            <w:tcMar>
              <w:start w:w="0" w:type="dxa"/>
              <w:end w:w="0" w:type="dxa"/>
            </w:tcMar>
          </w:tcPr>
          <w:p>
            <w:pPr>
              <w:autoSpaceDN w:val="0"/>
              <w:autoSpaceDE w:val="0"/>
              <w:widowControl/>
              <w:spacing w:line="233" w:lineRule="auto" w:before="46" w:after="0"/>
              <w:ind w:left="0" w:right="0" w:firstLine="0"/>
              <w:jc w:val="center"/>
            </w:pPr>
            <w:r>
              <w:rPr>
                <w:rFonts w:ascii="Arial" w:hAnsi="Arial" w:eastAsia="Arial"/>
                <w:b w:val="0"/>
                <w:i w:val="0"/>
                <w:color w:val="000000"/>
                <w:sz w:val="16"/>
              </w:rPr>
              <w:t xml:space="preserve"> 1,450,916,400 </w:t>
            </w:r>
          </w:p>
        </w:tc>
        <w:tc>
          <w:tcPr>
            <w:tcW w:type="dxa" w:w="1160"/>
            <w:vMerge w:val="restart"/>
            <w:tcBorders/>
            <w:tcMar>
              <w:start w:w="0" w:type="dxa"/>
              <w:end w:w="0" w:type="dxa"/>
            </w:tcMar>
            <w:tcMar>
              <w:start w:w="0" w:type="dxa"/>
              <w:end w:w="0" w:type="dxa"/>
            </w:tcMar>
          </w:tcPr>
          <w:p>
            <w:pPr>
              <w:autoSpaceDN w:val="0"/>
              <w:autoSpaceDE w:val="0"/>
              <w:widowControl/>
              <w:spacing w:line="233" w:lineRule="auto" w:before="46" w:after="0"/>
              <w:ind w:left="0" w:right="272" w:firstLine="0"/>
              <w:jc w:val="right"/>
            </w:pPr>
            <w:r>
              <w:rPr>
                <w:rFonts w:ascii="Arial" w:hAnsi="Arial" w:eastAsia="Arial"/>
                <w:b w:val="0"/>
                <w:i w:val="0"/>
                <w:color w:val="000000"/>
                <w:sz w:val="16"/>
              </w:rPr>
              <w:t>-</w:t>
            </w:r>
          </w:p>
        </w:tc>
        <w:tc>
          <w:tcPr>
            <w:tcW w:type="dxa" w:w="246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46" w:after="0"/>
              <w:ind w:left="0" w:right="234" w:firstLine="0"/>
              <w:jc w:val="right"/>
            </w:pPr>
            <w:r>
              <w:rPr>
                <w:rFonts w:ascii="Arial" w:hAnsi="Arial" w:eastAsia="Arial"/>
                <w:b w:val="0"/>
                <w:i w:val="0"/>
                <w:color w:val="000000"/>
                <w:sz w:val="16"/>
              </w:rPr>
              <w:t>-  8,718,083,708</w:t>
            </w:r>
          </w:p>
        </w:tc>
        <w:tc>
          <w:tcPr>
            <w:tcW w:type="dxa" w:w="1040"/>
            <w:vMerge w:val="restart"/>
            <w:tcBorders/>
            <w:tcMar>
              <w:start w:w="0" w:type="dxa"/>
              <w:end w:w="0" w:type="dxa"/>
            </w:tcMar>
            <w:tcMar>
              <w:start w:w="0" w:type="dxa"/>
              <w:end w:w="0" w:type="dxa"/>
            </w:tcMar>
          </w:tcPr>
          <w:p>
            <w:pPr>
              <w:autoSpaceDN w:val="0"/>
              <w:autoSpaceDE w:val="0"/>
              <w:widowControl/>
              <w:spacing w:line="233" w:lineRule="auto" w:before="46" w:after="0"/>
              <w:ind w:left="0" w:right="0" w:firstLine="0"/>
              <w:jc w:val="center"/>
            </w:pPr>
            <w:r>
              <w:rPr>
                <w:rFonts w:ascii="Arial" w:hAnsi="Arial" w:eastAsia="Arial"/>
                <w:b w:val="0"/>
                <w:i w:val="0"/>
                <w:color w:val="000000"/>
                <w:sz w:val="16"/>
              </w:rPr>
              <w:t>373,732</w:t>
            </w:r>
          </w:p>
        </w:tc>
        <w:tc>
          <w:tcPr>
            <w:tcW w:type="dxa" w:w="1180"/>
            <w:vMerge w:val="restart"/>
            <w:tcBorders/>
            <w:tcMar>
              <w:start w:w="0" w:type="dxa"/>
              <w:end w:w="0" w:type="dxa"/>
            </w:tcMar>
            <w:tcMar>
              <w:start w:w="0" w:type="dxa"/>
              <w:end w:w="0" w:type="dxa"/>
            </w:tcMar>
          </w:tcPr>
          <w:p>
            <w:pPr>
              <w:autoSpaceDN w:val="0"/>
              <w:autoSpaceDE w:val="0"/>
              <w:widowControl/>
              <w:spacing w:line="233" w:lineRule="auto" w:before="46" w:after="0"/>
              <w:ind w:left="0" w:right="134" w:firstLine="0"/>
              <w:jc w:val="right"/>
            </w:pPr>
            <w:r>
              <w:rPr>
                <w:rFonts w:ascii="Arial" w:hAnsi="Arial" w:eastAsia="Arial"/>
                <w:b w:val="0"/>
                <w:i w:val="0"/>
                <w:color w:val="000000"/>
                <w:sz w:val="16"/>
              </w:rPr>
              <w:t>(271,623)</w:t>
            </w:r>
          </w:p>
        </w:tc>
      </w:tr>
      <w:tr>
        <w:trPr>
          <w:trHeight w:hRule="exact" w:val="42"/>
        </w:trPr>
        <w:tc>
          <w:tcPr>
            <w:tcW w:type="dxa" w:w="1320"/>
            <w:vMerge w:val="restart"/>
            <w:tcBorders/>
            <w:tcMar>
              <w:start w:w="0" w:type="dxa"/>
              <w:end w:w="0" w:type="dxa"/>
            </w:tcMar>
            <w:tcMar>
              <w:start w:w="0" w:type="dxa"/>
              <w:end w:w="0" w:type="dxa"/>
            </w:tcMar>
          </w:tcPr>
          <w:p>
            <w:pPr>
              <w:autoSpaceDN w:val="0"/>
              <w:autoSpaceDE w:val="0"/>
              <w:widowControl/>
              <w:spacing w:line="160" w:lineRule="exact" w:before="54" w:after="0"/>
              <w:ind w:left="0" w:right="0" w:firstLine="0"/>
              <w:jc w:val="center"/>
            </w:pPr>
            <w:r>
              <w:rPr>
                <w:rFonts w:ascii="黑体" w:hAnsi="黑体" w:eastAsia="黑体"/>
                <w:b w:val="0"/>
                <w:i w:val="0"/>
                <w:color w:val="000000"/>
                <w:sz w:val="16"/>
              </w:rPr>
              <w:t>收益互换</w:t>
            </w:r>
          </w:p>
        </w:tc>
        <w:tc>
          <w:tcPr>
            <w:tcW w:type="dxa" w:w="1289"/>
            <w:vMerge/>
            <w:tcBorders/>
          </w:tcPr>
          <w:p/>
        </w:tc>
        <w:tc>
          <w:tcPr>
            <w:tcW w:type="dxa" w:w="1289"/>
            <w:vMerge/>
            <w:tcBorders/>
          </w:tcPr>
          <w:p/>
        </w:tc>
        <w:tc>
          <w:tcPr>
            <w:tcW w:type="dxa" w:w="2578"/>
            <w:gridSpan w:val="2"/>
            <w:vMerge/>
            <w:tcBorders/>
          </w:tcPr>
          <w:p/>
        </w:tc>
        <w:tc>
          <w:tcPr>
            <w:tcW w:type="dxa" w:w="1289"/>
            <w:vMerge/>
            <w:tcBorders/>
          </w:tcPr>
          <w:p/>
        </w:tc>
        <w:tc>
          <w:tcPr>
            <w:tcW w:type="dxa" w:w="1289"/>
            <w:vMerge/>
            <w:tcBorders/>
          </w:tcPr>
          <w:p/>
        </w:tc>
      </w:tr>
      <w:tr>
        <w:trPr>
          <w:trHeight w:hRule="exact" w:val="178"/>
        </w:trPr>
        <w:tc>
          <w:tcPr>
            <w:tcW w:type="dxa" w:w="1289"/>
            <w:vMerge/>
            <w:tcBorders/>
          </w:tcPr>
          <w:p/>
        </w:tc>
        <w:tc>
          <w:tcPr>
            <w:tcW w:type="dxa" w:w="1560"/>
            <w:tcBorders/>
            <w:tcMar>
              <w:start w:w="0" w:type="dxa"/>
              <w:end w:w="0" w:type="dxa"/>
            </w:tcMar>
          </w:tcPr>
          <w:p>
            <w:pPr>
              <w:autoSpaceDN w:val="0"/>
              <w:autoSpaceDE w:val="0"/>
              <w:widowControl/>
              <w:spacing w:line="230" w:lineRule="auto" w:before="0" w:after="0"/>
              <w:ind w:left="0" w:right="146" w:firstLine="0"/>
              <w:jc w:val="right"/>
            </w:pPr>
            <w:r>
              <w:rPr>
                <w:rFonts w:ascii="Arial" w:hAnsi="Arial" w:eastAsia="Arial"/>
                <w:b w:val="0"/>
                <w:i w:val="0"/>
                <w:color w:val="000000"/>
                <w:sz w:val="16"/>
              </w:rPr>
              <w:t xml:space="preserve">285,569,848 </w:t>
            </w:r>
          </w:p>
        </w:tc>
        <w:tc>
          <w:tcPr>
            <w:tcW w:type="dxa" w:w="1160"/>
            <w:tcBorders/>
            <w:tcMar>
              <w:start w:w="0" w:type="dxa"/>
              <w:end w:w="0" w:type="dxa"/>
            </w:tcMar>
          </w:tcPr>
          <w:p>
            <w:pPr>
              <w:autoSpaceDN w:val="0"/>
              <w:autoSpaceDE w:val="0"/>
              <w:widowControl/>
              <w:spacing w:line="230" w:lineRule="auto" w:before="0" w:after="0"/>
              <w:ind w:left="174" w:right="0" w:firstLine="0"/>
              <w:jc w:val="left"/>
            </w:pPr>
            <w:r>
              <w:rPr>
                <w:rFonts w:ascii="Arial" w:hAnsi="Arial" w:eastAsia="Arial"/>
                <w:b w:val="0"/>
                <w:i w:val="0"/>
                <w:color w:val="000000"/>
                <w:sz w:val="16"/>
              </w:rPr>
              <w:t>9,517,027</w:t>
            </w:r>
          </w:p>
        </w:tc>
        <w:tc>
          <w:tcPr>
            <w:tcW w:type="dxa" w:w="1140"/>
            <w:tcBorders/>
            <w:tcMar>
              <w:start w:w="0" w:type="dxa"/>
              <w:end w:w="0" w:type="dxa"/>
            </w:tcMar>
          </w:tcPr>
          <w:p>
            <w:pPr>
              <w:autoSpaceDN w:val="0"/>
              <w:autoSpaceDE w:val="0"/>
              <w:widowControl/>
              <w:spacing w:line="230" w:lineRule="auto" w:before="0" w:after="0"/>
              <w:ind w:left="0" w:right="17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0" w:lineRule="auto" w:before="0" w:after="0"/>
              <w:ind w:left="0" w:right="236" w:firstLine="0"/>
              <w:jc w:val="right"/>
            </w:pPr>
            <w:r>
              <w:rPr>
                <w:rFonts w:ascii="Arial" w:hAnsi="Arial" w:eastAsia="Arial"/>
                <w:b w:val="0"/>
                <w:i w:val="0"/>
                <w:color w:val="000000"/>
                <w:sz w:val="16"/>
              </w:rPr>
              <w:t>-</w:t>
            </w:r>
          </w:p>
        </w:tc>
        <w:tc>
          <w:tcPr>
            <w:tcW w:type="dxa" w:w="1040"/>
            <w:tcBorders/>
            <w:tcMar>
              <w:start w:w="0" w:type="dxa"/>
              <w:end w:w="0" w:type="dxa"/>
            </w:tcMar>
          </w:tcPr>
          <w:p>
            <w:pPr>
              <w:autoSpaceDN w:val="0"/>
              <w:autoSpaceDE w:val="0"/>
              <w:widowControl/>
              <w:spacing w:line="230" w:lineRule="auto" w:before="0" w:after="0"/>
              <w:ind w:left="0" w:right="198" w:firstLine="0"/>
              <w:jc w:val="right"/>
            </w:pPr>
            <w:r>
              <w:rPr>
                <w:rFonts w:ascii="Arial" w:hAnsi="Arial" w:eastAsia="Arial"/>
                <w:b w:val="0"/>
                <w:i w:val="0"/>
                <w:color w:val="000000"/>
                <w:sz w:val="16"/>
              </w:rPr>
              <w:t>-</w:t>
            </w:r>
          </w:p>
        </w:tc>
        <w:tc>
          <w:tcPr>
            <w:tcW w:type="dxa" w:w="1180"/>
            <w:tcBorders/>
            <w:tcMar>
              <w:start w:w="0" w:type="dxa"/>
              <w:end w:w="0" w:type="dxa"/>
            </w:tcMar>
          </w:tcPr>
          <w:p>
            <w:pPr>
              <w:autoSpaceDN w:val="0"/>
              <w:autoSpaceDE w:val="0"/>
              <w:widowControl/>
              <w:spacing w:line="230" w:lineRule="auto" w:before="0" w:after="0"/>
              <w:ind w:left="0" w:right="186" w:firstLine="0"/>
              <w:jc w:val="right"/>
            </w:pPr>
            <w:r>
              <w:rPr>
                <w:rFonts w:ascii="Arial" w:hAnsi="Arial" w:eastAsia="Arial"/>
                <w:b w:val="0"/>
                <w:i w:val="0"/>
                <w:color w:val="000000"/>
                <w:sz w:val="16"/>
              </w:rPr>
              <w:t>-</w:t>
            </w:r>
          </w:p>
        </w:tc>
      </w:tr>
      <w:tr>
        <w:trPr>
          <w:trHeight w:hRule="exact" w:val="236"/>
        </w:trPr>
        <w:tc>
          <w:tcPr>
            <w:tcW w:type="dxa" w:w="1320"/>
            <w:tcBorders/>
            <w:tcMar>
              <w:start w:w="0" w:type="dxa"/>
              <w:end w:w="0" w:type="dxa"/>
            </w:tcMar>
          </w:tcPr>
          <w:p>
            <w:pPr>
              <w:autoSpaceDN w:val="0"/>
              <w:autoSpaceDE w:val="0"/>
              <w:widowControl/>
              <w:spacing w:line="160" w:lineRule="exact" w:before="40" w:after="0"/>
              <w:ind w:left="0" w:right="0" w:firstLine="0"/>
              <w:jc w:val="center"/>
            </w:pPr>
            <w:r>
              <w:rPr>
                <w:rFonts w:ascii="黑体" w:hAnsi="黑体" w:eastAsia="黑体"/>
                <w:b w:val="0"/>
                <w:i w:val="0"/>
                <w:color w:val="000000"/>
                <w:sz w:val="16"/>
              </w:rPr>
              <w:t>货币衍生工具</w:t>
            </w:r>
          </w:p>
        </w:tc>
        <w:tc>
          <w:tcPr>
            <w:tcW w:type="dxa" w:w="1560"/>
            <w:tcBorders/>
            <w:tcMar>
              <w:start w:w="0" w:type="dxa"/>
              <w:end w:w="0" w:type="dxa"/>
            </w:tcMar>
          </w:tcPr>
          <w:p>
            <w:pPr>
              <w:autoSpaceDN w:val="0"/>
              <w:autoSpaceDE w:val="0"/>
              <w:widowControl/>
              <w:spacing w:line="233" w:lineRule="auto" w:before="42" w:after="0"/>
              <w:ind w:left="0" w:right="146" w:firstLine="0"/>
              <w:jc w:val="right"/>
            </w:pPr>
            <w:r>
              <w:rPr>
                <w:rFonts w:ascii="Arial" w:hAnsi="Arial" w:eastAsia="Arial"/>
                <w:b w:val="0"/>
                <w:i w:val="0"/>
                <w:color w:val="000000"/>
                <w:sz w:val="16"/>
              </w:rPr>
              <w:t xml:space="preserve">112,736,571 </w:t>
            </w:r>
          </w:p>
        </w:tc>
        <w:tc>
          <w:tcPr>
            <w:tcW w:type="dxa" w:w="1160"/>
            <w:tcBorders/>
            <w:tcMar>
              <w:start w:w="0" w:type="dxa"/>
              <w:end w:w="0" w:type="dxa"/>
            </w:tcMar>
          </w:tcPr>
          <w:p>
            <w:pPr>
              <w:autoSpaceDN w:val="0"/>
              <w:autoSpaceDE w:val="0"/>
              <w:widowControl/>
              <w:spacing w:line="233" w:lineRule="auto" w:before="42" w:after="0"/>
              <w:ind w:left="174" w:right="0" w:firstLine="0"/>
              <w:jc w:val="left"/>
            </w:pPr>
            <w:r>
              <w:rPr>
                <w:rFonts w:ascii="Arial" w:hAnsi="Arial" w:eastAsia="Arial"/>
                <w:b w:val="0"/>
                <w:i w:val="0"/>
                <w:color w:val="000000"/>
                <w:sz w:val="16"/>
              </w:rPr>
              <w:t>1,226,280</w:t>
            </w:r>
          </w:p>
        </w:tc>
        <w:tc>
          <w:tcPr>
            <w:tcW w:type="dxa" w:w="1140"/>
            <w:tcBorders/>
            <w:tcMar>
              <w:start w:w="0" w:type="dxa"/>
              <w:end w:w="0" w:type="dxa"/>
            </w:tcMar>
          </w:tcPr>
          <w:p>
            <w:pPr>
              <w:autoSpaceDN w:val="0"/>
              <w:autoSpaceDE w:val="0"/>
              <w:widowControl/>
              <w:spacing w:line="233" w:lineRule="auto" w:before="42" w:after="0"/>
              <w:ind w:left="0" w:right="17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3" w:lineRule="auto" w:before="42" w:after="0"/>
              <w:ind w:left="0" w:right="0" w:firstLine="0"/>
              <w:jc w:val="center"/>
            </w:pPr>
            <w:r>
              <w:rPr>
                <w:rFonts w:ascii="Arial" w:hAnsi="Arial" w:eastAsia="Arial"/>
                <w:b w:val="0"/>
                <w:i w:val="0"/>
                <w:color w:val="000000"/>
                <w:sz w:val="16"/>
              </w:rPr>
              <w:t>152,169,576</w:t>
            </w:r>
          </w:p>
        </w:tc>
        <w:tc>
          <w:tcPr>
            <w:tcW w:type="dxa" w:w="1040"/>
            <w:tcBorders/>
            <w:tcMar>
              <w:start w:w="0" w:type="dxa"/>
              <w:end w:w="0" w:type="dxa"/>
            </w:tcMar>
          </w:tcPr>
          <w:p>
            <w:pPr>
              <w:autoSpaceDN w:val="0"/>
              <w:autoSpaceDE w:val="0"/>
              <w:widowControl/>
              <w:spacing w:line="233" w:lineRule="auto" w:before="42" w:after="0"/>
              <w:ind w:left="0" w:right="198" w:firstLine="0"/>
              <w:jc w:val="right"/>
            </w:pPr>
            <w:r>
              <w:rPr>
                <w:rFonts w:ascii="Arial" w:hAnsi="Arial" w:eastAsia="Arial"/>
                <w:b w:val="0"/>
                <w:i w:val="0"/>
                <w:color w:val="000000"/>
                <w:sz w:val="16"/>
              </w:rPr>
              <w:t>51,854</w:t>
            </w:r>
          </w:p>
        </w:tc>
        <w:tc>
          <w:tcPr>
            <w:tcW w:type="dxa" w:w="1180"/>
            <w:tcBorders/>
            <w:tcMar>
              <w:start w:w="0" w:type="dxa"/>
              <w:end w:w="0" w:type="dxa"/>
            </w:tcMar>
          </w:tcPr>
          <w:p>
            <w:pPr>
              <w:autoSpaceDN w:val="0"/>
              <w:autoSpaceDE w:val="0"/>
              <w:widowControl/>
              <w:spacing w:line="233" w:lineRule="auto" w:before="42" w:after="0"/>
              <w:ind w:left="226" w:right="0" w:firstLine="0"/>
              <w:jc w:val="left"/>
            </w:pPr>
            <w:r>
              <w:rPr>
                <w:rFonts w:ascii="Arial" w:hAnsi="Arial" w:eastAsia="Arial"/>
                <w:b w:val="0"/>
                <w:i w:val="0"/>
                <w:color w:val="000000"/>
                <w:sz w:val="16"/>
              </w:rPr>
              <w:t>(1,085,527)</w:t>
            </w:r>
          </w:p>
        </w:tc>
      </w:tr>
    </w:tbl>
    <w:p>
      <w:pPr>
        <w:autoSpaceDN w:val="0"/>
        <w:autoSpaceDE w:val="0"/>
        <w:widowControl/>
        <w:spacing w:line="162" w:lineRule="exact" w:before="12" w:after="22"/>
        <w:ind w:left="358" w:right="0" w:firstLine="0"/>
        <w:jc w:val="left"/>
      </w:pPr>
      <w:r>
        <w:rPr>
          <w:rFonts w:ascii="黑体" w:hAnsi="黑体" w:eastAsia="黑体"/>
          <w:b w:val="0"/>
          <w:i w:val="0"/>
          <w:color w:val="000000"/>
          <w:sz w:val="16"/>
        </w:rPr>
        <w:t>权益衍生工具</w:t>
      </w:r>
    </w:p>
    <w:tbl>
      <w:tblPr>
        <w:tblW w:type="auto" w:w="0"/>
        <w:tblLayout w:type="fixed"/>
        <w:tblLook w:firstColumn="1" w:firstRow="1" w:lastColumn="0" w:lastRow="0" w:noHBand="0" w:noVBand="1" w:val="04A0"/>
        <w:tblInd w:w="240.0" w:type="dxa"/>
      </w:tblPr>
      <w:tblGrid>
        <w:gridCol w:w="1504"/>
        <w:gridCol w:w="1504"/>
        <w:gridCol w:w="1504"/>
        <w:gridCol w:w="1504"/>
        <w:gridCol w:w="1504"/>
        <w:gridCol w:w="1504"/>
      </w:tblGrid>
      <w:tr>
        <w:trPr>
          <w:trHeight w:hRule="exact" w:val="188"/>
        </w:trPr>
        <w:tc>
          <w:tcPr>
            <w:tcW w:type="dxa" w:w="1160"/>
            <w:tcBorders/>
            <w:tcMar>
              <w:start w:w="0" w:type="dxa"/>
              <w:end w:w="0" w:type="dxa"/>
            </w:tcMar>
          </w:tcPr>
          <w:p>
            <w:pPr>
              <w:autoSpaceDN w:val="0"/>
              <w:autoSpaceDE w:val="0"/>
              <w:widowControl/>
              <w:spacing w:line="162" w:lineRule="exact" w:before="22" w:after="0"/>
              <w:ind w:left="0" w:right="0" w:firstLine="0"/>
              <w:jc w:val="center"/>
            </w:pPr>
            <w:r>
              <w:rPr>
                <w:rFonts w:ascii="黑体" w:hAnsi="黑体" w:eastAsia="黑体"/>
                <w:b w:val="0"/>
                <w:i w:val="0"/>
                <w:color w:val="000000"/>
                <w:sz w:val="16"/>
              </w:rPr>
              <w:t>股指期货</w:t>
            </w:r>
          </w:p>
        </w:tc>
        <w:tc>
          <w:tcPr>
            <w:tcW w:type="dxa" w:w="1600"/>
            <w:tcBorders/>
            <w:tcMar>
              <w:start w:w="0" w:type="dxa"/>
              <w:end w:w="0" w:type="dxa"/>
            </w:tcMar>
          </w:tcPr>
          <w:p>
            <w:pPr>
              <w:autoSpaceDN w:val="0"/>
              <w:autoSpaceDE w:val="0"/>
              <w:widowControl/>
              <w:spacing w:line="230" w:lineRule="auto" w:before="10" w:after="0"/>
              <w:ind w:left="0" w:right="106" w:firstLine="0"/>
              <w:jc w:val="right"/>
            </w:pPr>
            <w:r>
              <w:rPr>
                <w:rFonts w:ascii="Arial" w:hAnsi="Arial" w:eastAsia="Arial"/>
                <w:b w:val="0"/>
                <w:i w:val="0"/>
                <w:color w:val="000000"/>
                <w:sz w:val="16"/>
              </w:rPr>
              <w:t xml:space="preserve">631,503,520 </w:t>
            </w:r>
          </w:p>
        </w:tc>
        <w:tc>
          <w:tcPr>
            <w:tcW w:type="dxa" w:w="1080"/>
            <w:tcBorders/>
            <w:tcMar>
              <w:start w:w="0" w:type="dxa"/>
              <w:end w:w="0" w:type="dxa"/>
            </w:tcMar>
          </w:tcPr>
          <w:p>
            <w:pPr>
              <w:autoSpaceDN w:val="0"/>
              <w:autoSpaceDE w:val="0"/>
              <w:widowControl/>
              <w:spacing w:line="230" w:lineRule="auto" w:before="10" w:after="0"/>
              <w:ind w:left="0" w:right="152" w:firstLine="0"/>
              <w:jc w:val="right"/>
            </w:pPr>
            <w:r>
              <w:rPr>
                <w:rFonts w:ascii="Arial" w:hAnsi="Arial" w:eastAsia="Arial"/>
                <w:b w:val="0"/>
                <w:i w:val="0"/>
                <w:color w:val="000000"/>
                <w:sz w:val="16"/>
              </w:rPr>
              <w:t>-</w:t>
            </w:r>
          </w:p>
        </w:tc>
        <w:tc>
          <w:tcPr>
            <w:tcW w:type="dxa" w:w="2420"/>
            <w:tcBorders/>
            <w:tcMar>
              <w:start w:w="0" w:type="dxa"/>
              <w:end w:w="0" w:type="dxa"/>
            </w:tcMar>
          </w:tcPr>
          <w:p>
            <w:pPr>
              <w:autoSpaceDN w:val="0"/>
              <w:autoSpaceDE w:val="0"/>
              <w:widowControl/>
              <w:spacing w:line="230" w:lineRule="auto" w:before="10" w:after="0"/>
              <w:ind w:left="0" w:right="74" w:firstLine="0"/>
              <w:jc w:val="right"/>
            </w:pPr>
            <w:r>
              <w:rPr>
                <w:rFonts w:ascii="Arial" w:hAnsi="Arial" w:eastAsia="Arial"/>
                <w:b w:val="0"/>
                <w:i w:val="0"/>
                <w:color w:val="000000"/>
                <w:sz w:val="16"/>
              </w:rPr>
              <w:t>-  1,375,028,548</w:t>
            </w:r>
          </w:p>
        </w:tc>
        <w:tc>
          <w:tcPr>
            <w:tcW w:type="dxa" w:w="1160"/>
            <w:tcBorders/>
            <w:tcMar>
              <w:start w:w="0" w:type="dxa"/>
              <w:end w:w="0" w:type="dxa"/>
            </w:tcMar>
          </w:tcPr>
          <w:p>
            <w:pPr>
              <w:autoSpaceDN w:val="0"/>
              <w:autoSpaceDE w:val="0"/>
              <w:widowControl/>
              <w:spacing w:line="230" w:lineRule="auto" w:before="10" w:after="0"/>
              <w:ind w:left="288" w:right="0" w:firstLine="0"/>
              <w:jc w:val="left"/>
            </w:pPr>
            <w:r>
              <w:rPr>
                <w:rFonts w:ascii="Arial" w:hAnsi="Arial" w:eastAsia="Arial"/>
                <w:b w:val="0"/>
                <w:i w:val="0"/>
                <w:color w:val="000000"/>
                <w:sz w:val="16"/>
              </w:rPr>
              <w:t>1,184,372</w:t>
            </w:r>
          </w:p>
        </w:tc>
        <w:tc>
          <w:tcPr>
            <w:tcW w:type="dxa" w:w="1240"/>
            <w:tcBorders/>
            <w:tcMar>
              <w:start w:w="0" w:type="dxa"/>
              <w:end w:w="0" w:type="dxa"/>
            </w:tcMar>
          </w:tcPr>
          <w:p>
            <w:pPr>
              <w:autoSpaceDN w:val="0"/>
              <w:autoSpaceDE w:val="0"/>
              <w:widowControl/>
              <w:spacing w:line="230" w:lineRule="auto" w:before="10" w:after="0"/>
              <w:ind w:left="266" w:right="0" w:firstLine="0"/>
              <w:jc w:val="left"/>
            </w:pPr>
            <w:r>
              <w:rPr>
                <w:rFonts w:ascii="Arial" w:hAnsi="Arial" w:eastAsia="Arial"/>
                <w:b w:val="0"/>
                <w:i w:val="0"/>
                <w:color w:val="000000"/>
                <w:sz w:val="16"/>
              </w:rPr>
              <w:t xml:space="preserve">(8,920,813) </w:t>
            </w:r>
          </w:p>
        </w:tc>
      </w:tr>
      <w:tr>
        <w:trPr>
          <w:trHeight w:hRule="exact" w:val="237"/>
        </w:trPr>
        <w:tc>
          <w:tcPr>
            <w:tcW w:type="dxa" w:w="1160"/>
            <w:tcBorders/>
            <w:tcMar>
              <w:start w:w="0" w:type="dxa"/>
              <w:end w:w="0" w:type="dxa"/>
            </w:tcMar>
          </w:tcPr>
          <w:p>
            <w:pPr>
              <w:autoSpaceDN w:val="0"/>
              <w:autoSpaceDE w:val="0"/>
              <w:widowControl/>
              <w:spacing w:line="160" w:lineRule="exact" w:before="44" w:after="0"/>
              <w:ind w:left="0" w:right="0" w:firstLine="0"/>
              <w:jc w:val="center"/>
            </w:pPr>
            <w:r>
              <w:rPr>
                <w:rFonts w:ascii="黑体" w:hAnsi="黑体" w:eastAsia="黑体"/>
                <w:b w:val="0"/>
                <w:i w:val="0"/>
                <w:color w:val="000000"/>
                <w:sz w:val="16"/>
              </w:rPr>
              <w:t>股票期权</w:t>
            </w:r>
          </w:p>
        </w:tc>
        <w:tc>
          <w:tcPr>
            <w:tcW w:type="dxa" w:w="1600"/>
            <w:tcBorders/>
            <w:tcMar>
              <w:start w:w="0" w:type="dxa"/>
              <w:end w:w="0" w:type="dxa"/>
            </w:tcMar>
          </w:tcPr>
          <w:p>
            <w:pPr>
              <w:autoSpaceDN w:val="0"/>
              <w:autoSpaceDE w:val="0"/>
              <w:widowControl/>
              <w:spacing w:line="230" w:lineRule="auto" w:before="44" w:after="0"/>
              <w:ind w:left="0" w:right="106" w:firstLine="0"/>
              <w:jc w:val="right"/>
            </w:pPr>
            <w:r>
              <w:rPr>
                <w:rFonts w:ascii="Arial" w:hAnsi="Arial" w:eastAsia="Arial"/>
                <w:b w:val="0"/>
                <w:i w:val="0"/>
                <w:color w:val="000000"/>
                <w:sz w:val="16"/>
              </w:rPr>
              <w:t xml:space="preserve">637,020,000 </w:t>
            </w:r>
          </w:p>
        </w:tc>
        <w:tc>
          <w:tcPr>
            <w:tcW w:type="dxa" w:w="1080"/>
            <w:tcBorders/>
            <w:tcMar>
              <w:start w:w="0" w:type="dxa"/>
              <w:end w:w="0" w:type="dxa"/>
            </w:tcMar>
          </w:tcPr>
          <w:p>
            <w:pPr>
              <w:autoSpaceDN w:val="0"/>
              <w:autoSpaceDE w:val="0"/>
              <w:widowControl/>
              <w:spacing w:line="230" w:lineRule="auto" w:before="44" w:after="0"/>
              <w:ind w:left="0" w:right="0" w:firstLine="0"/>
              <w:jc w:val="center"/>
            </w:pPr>
            <w:r>
              <w:rPr>
                <w:rFonts w:ascii="Arial" w:hAnsi="Arial" w:eastAsia="Arial"/>
                <w:b w:val="0"/>
                <w:i w:val="0"/>
                <w:color w:val="000000"/>
                <w:sz w:val="16"/>
              </w:rPr>
              <w:t>39,956,426</w:t>
            </w:r>
          </w:p>
        </w:tc>
        <w:tc>
          <w:tcPr>
            <w:tcW w:type="dxa" w:w="2420"/>
            <w:tcBorders/>
            <w:tcMar>
              <w:start w:w="0" w:type="dxa"/>
              <w:end w:w="0" w:type="dxa"/>
            </w:tcMar>
          </w:tcPr>
          <w:p>
            <w:pPr>
              <w:autoSpaceDN w:val="0"/>
              <w:autoSpaceDE w:val="0"/>
              <w:widowControl/>
              <w:spacing w:line="230" w:lineRule="auto" w:before="44" w:after="0"/>
              <w:ind w:left="274" w:right="0" w:firstLine="0"/>
              <w:jc w:val="left"/>
            </w:pPr>
            <w:r>
              <w:rPr>
                <w:rFonts w:ascii="Arial" w:hAnsi="Arial" w:eastAsia="Arial"/>
                <w:b w:val="0"/>
                <w:i w:val="0"/>
                <w:color w:val="000000"/>
                <w:sz w:val="16"/>
              </w:rPr>
              <w:t>(2,954,292 )  2,407,320,450</w:t>
            </w:r>
          </w:p>
        </w:tc>
        <w:tc>
          <w:tcPr>
            <w:tcW w:type="dxa" w:w="1160"/>
            <w:tcBorders/>
            <w:tcMar>
              <w:start w:w="0" w:type="dxa"/>
              <w:end w:w="0" w:type="dxa"/>
            </w:tcMar>
          </w:tcPr>
          <w:p>
            <w:pPr>
              <w:autoSpaceDN w:val="0"/>
              <w:autoSpaceDE w:val="0"/>
              <w:widowControl/>
              <w:spacing w:line="230" w:lineRule="auto" w:before="44" w:after="0"/>
              <w:ind w:left="0" w:right="0" w:firstLine="0"/>
              <w:jc w:val="center"/>
            </w:pPr>
            <w:r>
              <w:rPr>
                <w:rFonts w:ascii="Arial" w:hAnsi="Arial" w:eastAsia="Arial"/>
                <w:b w:val="0"/>
                <w:i w:val="0"/>
                <w:color w:val="000000"/>
                <w:sz w:val="16"/>
              </w:rPr>
              <w:t>101,348,139</w:t>
            </w:r>
          </w:p>
        </w:tc>
        <w:tc>
          <w:tcPr>
            <w:tcW w:type="dxa" w:w="1240"/>
            <w:tcBorders/>
            <w:tcMar>
              <w:start w:w="0" w:type="dxa"/>
              <w:end w:w="0" w:type="dxa"/>
            </w:tcMar>
          </w:tcPr>
          <w:p>
            <w:pPr>
              <w:autoSpaceDN w:val="0"/>
              <w:autoSpaceDE w:val="0"/>
              <w:widowControl/>
              <w:spacing w:line="230" w:lineRule="auto" w:before="44" w:after="0"/>
              <w:ind w:left="0" w:right="0" w:firstLine="0"/>
              <w:jc w:val="center"/>
            </w:pPr>
            <w:r>
              <w:rPr>
                <w:rFonts w:ascii="Arial" w:hAnsi="Arial" w:eastAsia="Arial"/>
                <w:b w:val="0"/>
                <w:i w:val="0"/>
                <w:color w:val="000000"/>
                <w:sz w:val="16"/>
              </w:rPr>
              <w:t xml:space="preserve">(40,920,059) </w:t>
            </w:r>
          </w:p>
        </w:tc>
      </w:tr>
      <w:tr>
        <w:trPr>
          <w:trHeight w:hRule="exact" w:val="207"/>
        </w:trPr>
        <w:tc>
          <w:tcPr>
            <w:tcW w:type="dxa" w:w="1160"/>
            <w:tcBorders/>
            <w:tcMar>
              <w:start w:w="0" w:type="dxa"/>
              <w:end w:w="0" w:type="dxa"/>
            </w:tcMar>
          </w:tcPr>
          <w:p>
            <w:pPr>
              <w:autoSpaceDN w:val="0"/>
              <w:autoSpaceDE w:val="0"/>
              <w:widowControl/>
              <w:spacing w:line="160" w:lineRule="exact" w:before="14" w:after="0"/>
              <w:ind w:left="0" w:right="0" w:firstLine="0"/>
              <w:jc w:val="center"/>
            </w:pPr>
            <w:r>
              <w:rPr>
                <w:rFonts w:ascii="黑体" w:hAnsi="黑体" w:eastAsia="黑体"/>
                <w:b w:val="0"/>
                <w:i w:val="0"/>
                <w:color w:val="000000"/>
                <w:sz w:val="16"/>
              </w:rPr>
              <w:t>权益互换</w:t>
            </w:r>
          </w:p>
        </w:tc>
        <w:tc>
          <w:tcPr>
            <w:tcW w:type="dxa" w:w="1600"/>
            <w:tcBorders/>
            <w:tcMar>
              <w:start w:w="0" w:type="dxa"/>
              <w:end w:w="0" w:type="dxa"/>
            </w:tcMar>
          </w:tcPr>
          <w:p>
            <w:pPr>
              <w:autoSpaceDN w:val="0"/>
              <w:autoSpaceDE w:val="0"/>
              <w:widowControl/>
              <w:spacing w:line="233" w:lineRule="auto" w:before="16" w:after="0"/>
              <w:ind w:left="258" w:right="0" w:firstLine="0"/>
              <w:jc w:val="left"/>
            </w:pPr>
            <w:r>
              <w:rPr>
                <w:rFonts w:ascii="Arial" w:hAnsi="Arial" w:eastAsia="Arial"/>
                <w:b w:val="0"/>
                <w:i w:val="0"/>
                <w:color w:val="000000"/>
                <w:sz w:val="16"/>
              </w:rPr>
              <w:t xml:space="preserve"> 9,982,451,067 </w:t>
            </w:r>
          </w:p>
        </w:tc>
        <w:tc>
          <w:tcPr>
            <w:tcW w:type="dxa" w:w="1080"/>
            <w:tcBorders/>
            <w:tcMar>
              <w:start w:w="0" w:type="dxa"/>
              <w:end w:w="0" w:type="dxa"/>
            </w:tcMar>
          </w:tcPr>
          <w:p>
            <w:pPr>
              <w:autoSpaceDN w:val="0"/>
              <w:autoSpaceDE w:val="0"/>
              <w:widowControl/>
              <w:spacing w:line="233" w:lineRule="auto" w:before="16" w:after="0"/>
              <w:ind w:left="0" w:right="0" w:firstLine="0"/>
              <w:jc w:val="center"/>
            </w:pPr>
            <w:r>
              <w:rPr>
                <w:rFonts w:ascii="Arial" w:hAnsi="Arial" w:eastAsia="Arial"/>
                <w:b w:val="0"/>
                <w:i w:val="0"/>
                <w:color w:val="000000"/>
                <w:sz w:val="16"/>
              </w:rPr>
              <w:t>70,760,397</w:t>
            </w:r>
          </w:p>
        </w:tc>
        <w:tc>
          <w:tcPr>
            <w:tcW w:type="dxa" w:w="2420"/>
            <w:tcBorders/>
            <w:tcMar>
              <w:start w:w="0" w:type="dxa"/>
              <w:end w:w="0" w:type="dxa"/>
            </w:tcMar>
          </w:tcPr>
          <w:p>
            <w:pPr>
              <w:autoSpaceDN w:val="0"/>
              <w:autoSpaceDE w:val="0"/>
              <w:widowControl/>
              <w:spacing w:line="233" w:lineRule="auto" w:before="16" w:after="0"/>
              <w:ind w:left="186" w:right="0" w:firstLine="0"/>
              <w:jc w:val="left"/>
            </w:pPr>
            <w:r>
              <w:rPr>
                <w:rFonts w:ascii="Arial" w:hAnsi="Arial" w:eastAsia="Arial"/>
                <w:b w:val="0"/>
                <w:i w:val="0"/>
                <w:color w:val="000000"/>
                <w:sz w:val="16"/>
              </w:rPr>
              <w:t>(77,320,607 )  3,110,698,929</w:t>
            </w:r>
          </w:p>
        </w:tc>
        <w:tc>
          <w:tcPr>
            <w:tcW w:type="dxa" w:w="1160"/>
            <w:tcBorders/>
            <w:tcMar>
              <w:start w:w="0" w:type="dxa"/>
              <w:end w:w="0" w:type="dxa"/>
            </w:tcMar>
          </w:tcPr>
          <w:p>
            <w:pPr>
              <w:autoSpaceDN w:val="0"/>
              <w:autoSpaceDE w:val="0"/>
              <w:widowControl/>
              <w:spacing w:line="233" w:lineRule="auto" w:before="16" w:after="0"/>
              <w:ind w:left="288" w:right="0" w:firstLine="0"/>
              <w:jc w:val="left"/>
            </w:pPr>
            <w:r>
              <w:rPr>
                <w:rFonts w:ascii="Arial" w:hAnsi="Arial" w:eastAsia="Arial"/>
                <w:b w:val="0"/>
                <w:i w:val="0"/>
                <w:color w:val="000000"/>
                <w:sz w:val="16"/>
              </w:rPr>
              <w:t>8,515,886</w:t>
            </w:r>
          </w:p>
        </w:tc>
        <w:tc>
          <w:tcPr>
            <w:tcW w:type="dxa" w:w="1240"/>
            <w:tcBorders/>
            <w:tcMar>
              <w:start w:w="0" w:type="dxa"/>
              <w:end w:w="0" w:type="dxa"/>
            </w:tcMar>
          </w:tcPr>
          <w:p>
            <w:pPr>
              <w:autoSpaceDN w:val="0"/>
              <w:autoSpaceDE w:val="0"/>
              <w:widowControl/>
              <w:spacing w:line="233" w:lineRule="auto" w:before="16" w:after="0"/>
              <w:ind w:left="0" w:right="0" w:firstLine="0"/>
              <w:jc w:val="center"/>
            </w:pPr>
            <w:r>
              <w:rPr>
                <w:rFonts w:ascii="Arial" w:hAnsi="Arial" w:eastAsia="Arial"/>
                <w:b w:val="0"/>
                <w:i w:val="0"/>
                <w:color w:val="000000"/>
                <w:sz w:val="16"/>
              </w:rPr>
              <w:t>(28,905,344)</w:t>
            </w:r>
          </w:p>
        </w:tc>
      </w:tr>
    </w:tbl>
    <w:p>
      <w:pPr>
        <w:autoSpaceDN w:val="0"/>
        <w:autoSpaceDE w:val="0"/>
        <w:widowControl/>
        <w:spacing w:line="162" w:lineRule="exact" w:before="14" w:after="22"/>
        <w:ind w:left="358" w:right="0" w:firstLine="0"/>
        <w:jc w:val="left"/>
      </w:pPr>
      <w:r>
        <w:rPr>
          <w:rFonts w:ascii="黑体" w:hAnsi="黑体" w:eastAsia="黑体"/>
          <w:b w:val="0"/>
          <w:i w:val="0"/>
          <w:color w:val="000000"/>
          <w:sz w:val="16"/>
        </w:rPr>
        <w:t>其他衍生工具</w:t>
      </w:r>
    </w:p>
    <w:tbl>
      <w:tblPr>
        <w:tblW w:type="auto" w:w="0"/>
        <w:tblLayout w:type="fixed"/>
        <w:tblLook w:firstColumn="1" w:firstRow="1" w:lastColumn="0" w:lastRow="0" w:noHBand="0" w:noVBand="1" w:val="04A0"/>
        <w:tblInd w:w="160.0" w:type="dxa"/>
      </w:tblPr>
      <w:tblGrid>
        <w:gridCol w:w="501"/>
        <w:gridCol w:w="501"/>
        <w:gridCol w:w="501"/>
        <w:gridCol w:w="501"/>
        <w:gridCol w:w="501"/>
        <w:gridCol w:w="501"/>
        <w:gridCol w:w="501"/>
        <w:gridCol w:w="501"/>
        <w:gridCol w:w="501"/>
        <w:gridCol w:w="501"/>
        <w:gridCol w:w="501"/>
        <w:gridCol w:w="501"/>
        <w:gridCol w:w="501"/>
        <w:gridCol w:w="501"/>
        <w:gridCol w:w="501"/>
        <w:gridCol w:w="501"/>
        <w:gridCol w:w="501"/>
        <w:gridCol w:w="501"/>
      </w:tblGrid>
      <w:tr>
        <w:trPr>
          <w:trHeight w:hRule="exact" w:val="218"/>
        </w:trPr>
        <w:tc>
          <w:tcPr>
            <w:tcW w:type="dxa" w:w="1460"/>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2" w:lineRule="exact" w:before="0" w:after="0"/>
              <w:ind w:left="352" w:right="466" w:firstLine="0"/>
              <w:jc w:val="both"/>
            </w:pPr>
            <w:r>
              <w:rPr>
                <w:rFonts w:ascii="黑体" w:hAnsi="黑体" w:eastAsia="黑体"/>
                <w:b w:val="0"/>
                <w:i w:val="0"/>
                <w:color w:val="000000"/>
                <w:sz w:val="16"/>
              </w:rPr>
              <w:t>商品期货</w:t>
            </w:r>
            <w:r>
              <w:br/>
            </w:r>
            <w:r>
              <w:rPr>
                <w:rFonts w:ascii="黑体" w:hAnsi="黑体" w:eastAsia="黑体"/>
                <w:b w:val="0"/>
                <w:i w:val="0"/>
                <w:color w:val="000000"/>
                <w:sz w:val="16"/>
              </w:rPr>
              <w:t>场外期权</w:t>
            </w:r>
            <w:r>
              <w:br/>
            </w:r>
            <w:r>
              <w:rPr>
                <w:rFonts w:ascii="黑体" w:hAnsi="黑体" w:eastAsia="黑体"/>
                <w:b w:val="0"/>
                <w:i w:val="0"/>
                <w:color w:val="000000"/>
                <w:sz w:val="16"/>
              </w:rPr>
              <w:t>远期合同</w:t>
            </w:r>
            <w:r>
              <w:br/>
            </w:r>
            <w:r>
              <w:rPr>
                <w:rFonts w:ascii="黑体" w:hAnsi="黑体" w:eastAsia="黑体"/>
                <w:b w:val="0"/>
                <w:i w:val="0"/>
                <w:color w:val="000000"/>
                <w:sz w:val="16"/>
              </w:rPr>
              <w:t>其他</w:t>
            </w:r>
          </w:p>
        </w:tc>
        <w:tc>
          <w:tcPr>
            <w:tcW w:type="dxa" w:w="1500"/>
            <w:tcBorders/>
            <w:tcMar>
              <w:start w:w="0" w:type="dxa"/>
              <w:end w:w="0" w:type="dxa"/>
            </w:tcMar>
          </w:tcPr>
          <w:p>
            <w:pPr>
              <w:autoSpaceDN w:val="0"/>
              <w:autoSpaceDE w:val="0"/>
              <w:widowControl/>
              <w:spacing w:line="230" w:lineRule="auto" w:before="26" w:after="0"/>
              <w:ind w:left="38" w:right="0" w:firstLine="0"/>
              <w:jc w:val="left"/>
            </w:pPr>
            <w:r>
              <w:rPr>
                <w:rFonts w:ascii="Arial" w:hAnsi="Arial" w:eastAsia="Arial"/>
                <w:b w:val="0"/>
                <w:i w:val="0"/>
                <w:color w:val="000000"/>
                <w:sz w:val="16"/>
              </w:rPr>
              <w:t xml:space="preserve"> 4,728,116,913 </w:t>
            </w:r>
          </w:p>
        </w:tc>
        <w:tc>
          <w:tcPr>
            <w:tcW w:type="dxa" w:w="1088"/>
            <w:gridSpan w:val="3"/>
            <w:tcBorders/>
            <w:tcMar>
              <w:start w:w="0" w:type="dxa"/>
              <w:end w:w="0" w:type="dxa"/>
            </w:tcMar>
            <w:tcMar>
              <w:start w:w="0" w:type="dxa"/>
              <w:end w:w="0" w:type="dxa"/>
            </w:tcMar>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6"/>
              </w:rPr>
              <w:t>220,590</w:t>
            </w:r>
          </w:p>
        </w:tc>
        <w:tc>
          <w:tcPr>
            <w:tcW w:type="dxa" w:w="2354"/>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6" w:after="0"/>
              <w:ind w:left="282" w:right="0" w:firstLine="0"/>
              <w:jc w:val="left"/>
            </w:pPr>
            <w:r>
              <w:rPr>
                <w:rFonts w:ascii="Arial" w:hAnsi="Arial" w:eastAsia="Arial"/>
                <w:b w:val="0"/>
                <w:i w:val="0"/>
                <w:color w:val="000000"/>
                <w:sz w:val="16"/>
              </w:rPr>
              <w:t>(698,637 )  5,330,683,397</w:t>
            </w:r>
          </w:p>
        </w:tc>
        <w:tc>
          <w:tcPr>
            <w:tcW w:type="dxa" w:w="93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6" w:after="0"/>
              <w:ind w:left="138" w:right="0" w:firstLine="0"/>
              <w:jc w:val="left"/>
            </w:pPr>
            <w:r>
              <w:rPr>
                <w:rFonts w:ascii="Arial" w:hAnsi="Arial" w:eastAsia="Arial"/>
                <w:b w:val="0"/>
                <w:i w:val="0"/>
                <w:color w:val="000000"/>
                <w:sz w:val="16"/>
              </w:rPr>
              <w:t>12,921,187</w:t>
            </w:r>
          </w:p>
        </w:tc>
        <w:tc>
          <w:tcPr>
            <w:tcW w:type="dxa" w:w="1400"/>
            <w:gridSpan w:val="2"/>
            <w:tcBorders/>
            <w:tcMar>
              <w:start w:w="0" w:type="dxa"/>
              <w:end w:w="0" w:type="dxa"/>
            </w:tcMar>
            <w:tcMar>
              <w:start w:w="0" w:type="dxa"/>
              <w:end w:w="0" w:type="dxa"/>
            </w:tcMar>
          </w:tcPr>
          <w:p>
            <w:pPr>
              <w:autoSpaceDN w:val="0"/>
              <w:autoSpaceDE w:val="0"/>
              <w:widowControl/>
              <w:spacing w:line="230" w:lineRule="auto" w:before="26" w:after="0"/>
              <w:ind w:left="338" w:right="0" w:firstLine="0"/>
              <w:jc w:val="left"/>
            </w:pPr>
            <w:r>
              <w:rPr>
                <w:rFonts w:ascii="Arial" w:hAnsi="Arial" w:eastAsia="Arial"/>
                <w:b w:val="0"/>
                <w:i w:val="0"/>
                <w:color w:val="000000"/>
                <w:sz w:val="16"/>
              </w:rPr>
              <w:t xml:space="preserve">(23,061,169) </w:t>
            </w:r>
          </w:p>
        </w:tc>
      </w:tr>
      <w:tr>
        <w:trPr>
          <w:trHeight w:hRule="exact" w:val="200"/>
        </w:trPr>
        <w:tc>
          <w:tcPr>
            <w:tcW w:type="dxa" w:w="501"/>
            <w:vMerge/>
            <w:tcBorders>
              <w:bottom w:sz="4.0" w:val="single" w:color="#000000"/>
            </w:tcBorders>
          </w:tcPr>
          <w:p/>
        </w:tc>
        <w:tc>
          <w:tcPr>
            <w:tcW w:type="dxa" w:w="1500"/>
            <w:tcBorders/>
            <w:tcMar>
              <w:start w:w="0" w:type="dxa"/>
              <w:end w:w="0" w:type="dxa"/>
            </w:tcMar>
          </w:tcPr>
          <w:p>
            <w:pPr>
              <w:autoSpaceDN w:val="0"/>
              <w:autoSpaceDE w:val="0"/>
              <w:widowControl/>
              <w:spacing w:line="233" w:lineRule="auto" w:before="14" w:after="0"/>
              <w:ind w:left="38" w:right="0" w:firstLine="0"/>
              <w:jc w:val="left"/>
            </w:pPr>
            <w:r>
              <w:rPr>
                <w:rFonts w:ascii="Arial" w:hAnsi="Arial" w:eastAsia="Arial"/>
                <w:b w:val="0"/>
                <w:i w:val="0"/>
                <w:color w:val="000000"/>
                <w:sz w:val="16"/>
              </w:rPr>
              <w:t xml:space="preserve"> 1,334,826,167 </w:t>
            </w:r>
          </w:p>
        </w:tc>
        <w:tc>
          <w:tcPr>
            <w:tcW w:type="dxa" w:w="1020"/>
            <w:gridSpan w:val="2"/>
            <w:tcBorders/>
            <w:tcMar>
              <w:start w:w="0" w:type="dxa"/>
              <w:end w:w="0" w:type="dxa"/>
            </w:tcMar>
            <w:tcMar>
              <w:start w:w="0" w:type="dxa"/>
              <w:end w:w="0" w:type="dxa"/>
            </w:tcMar>
          </w:tcPr>
          <w:p>
            <w:pPr>
              <w:autoSpaceDN w:val="0"/>
              <w:autoSpaceDE w:val="0"/>
              <w:widowControl/>
              <w:spacing w:line="233" w:lineRule="auto" w:before="14" w:after="0"/>
              <w:ind w:left="0" w:right="212" w:firstLine="0"/>
              <w:jc w:val="right"/>
            </w:pPr>
            <w:r>
              <w:rPr>
                <w:rFonts w:ascii="Arial" w:hAnsi="Arial" w:eastAsia="Arial"/>
                <w:b w:val="0"/>
                <w:i w:val="0"/>
                <w:color w:val="000000"/>
                <w:sz w:val="16"/>
              </w:rPr>
              <w:t>73,354</w:t>
            </w:r>
          </w:p>
        </w:tc>
        <w:tc>
          <w:tcPr>
            <w:tcW w:type="dxa" w:w="1236"/>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 xml:space="preserve">(4,753,551 ) </w:t>
            </w:r>
          </w:p>
        </w:tc>
        <w:tc>
          <w:tcPr>
            <w:tcW w:type="dxa" w:w="1232"/>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564,896,039</w:t>
            </w:r>
          </w:p>
        </w:tc>
        <w:tc>
          <w:tcPr>
            <w:tcW w:type="dxa" w:w="892"/>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14" w:after="0"/>
              <w:ind w:left="180" w:right="0" w:firstLine="0"/>
              <w:jc w:val="left"/>
            </w:pPr>
            <w:r>
              <w:rPr>
                <w:rFonts w:ascii="Arial" w:hAnsi="Arial" w:eastAsia="Arial"/>
                <w:b w:val="0"/>
                <w:i w:val="0"/>
                <w:color w:val="000000"/>
                <w:sz w:val="16"/>
              </w:rPr>
              <w:t>1,957,265</w:t>
            </w:r>
          </w:p>
        </w:tc>
        <w:tc>
          <w:tcPr>
            <w:tcW w:type="dxa" w:w="1400"/>
            <w:gridSpan w:val="2"/>
            <w:tcBorders/>
            <w:tcMar>
              <w:start w:w="0" w:type="dxa"/>
              <w:end w:w="0" w:type="dxa"/>
            </w:tcMar>
            <w:tcMar>
              <w:start w:w="0" w:type="dxa"/>
              <w:end w:w="0" w:type="dxa"/>
            </w:tcMar>
          </w:tcPr>
          <w:p>
            <w:pPr>
              <w:autoSpaceDN w:val="0"/>
              <w:autoSpaceDE w:val="0"/>
              <w:widowControl/>
              <w:spacing w:line="233" w:lineRule="auto" w:before="14" w:after="0"/>
              <w:ind w:left="338" w:right="0" w:firstLine="0"/>
              <w:jc w:val="left"/>
            </w:pPr>
            <w:r>
              <w:rPr>
                <w:rFonts w:ascii="Arial" w:hAnsi="Arial" w:eastAsia="Arial"/>
                <w:b w:val="0"/>
                <w:i w:val="0"/>
                <w:color w:val="000000"/>
                <w:sz w:val="16"/>
              </w:rPr>
              <w:t xml:space="preserve">(17,115,606) </w:t>
            </w:r>
          </w:p>
        </w:tc>
      </w:tr>
      <w:tr>
        <w:trPr>
          <w:trHeight w:hRule="exact" w:val="200"/>
        </w:trPr>
        <w:tc>
          <w:tcPr>
            <w:tcW w:type="dxa" w:w="501"/>
            <w:vMerge/>
            <w:tcBorders>
              <w:bottom w:sz="4.0" w:val="single" w:color="#000000"/>
            </w:tcBorders>
          </w:tcPr>
          <w:p/>
        </w:tc>
        <w:tc>
          <w:tcPr>
            <w:tcW w:type="dxa" w:w="1500"/>
            <w:tcBorders/>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16"/>
              </w:rPr>
              <w:t xml:space="preserve">13,063,680 </w:t>
            </w:r>
          </w:p>
        </w:tc>
        <w:tc>
          <w:tcPr>
            <w:tcW w:type="dxa" w:w="1132"/>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0" w:after="0"/>
              <w:ind w:left="228" w:right="0" w:firstLine="0"/>
              <w:jc w:val="left"/>
            </w:pPr>
            <w:r>
              <w:rPr>
                <w:rFonts w:ascii="Arial" w:hAnsi="Arial" w:eastAsia="Arial"/>
                <w:b w:val="0"/>
                <w:i w:val="0"/>
                <w:color w:val="000000"/>
                <w:sz w:val="16"/>
              </w:rPr>
              <w:t>321,133</w:t>
            </w:r>
          </w:p>
        </w:tc>
        <w:tc>
          <w:tcPr>
            <w:tcW w:type="dxa" w:w="1206"/>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0" w:after="0"/>
              <w:ind w:left="0" w:right="240" w:firstLine="0"/>
              <w:jc w:val="right"/>
            </w:pPr>
            <w:r>
              <w:rPr>
                <w:rFonts w:ascii="Arial" w:hAnsi="Arial" w:eastAsia="Arial"/>
                <w:b w:val="0"/>
                <w:i w:val="0"/>
                <w:color w:val="000000"/>
                <w:sz w:val="16"/>
              </w:rPr>
              <w:t xml:space="preserve">(71,363 ) </w:t>
            </w:r>
          </w:p>
        </w:tc>
        <w:tc>
          <w:tcPr>
            <w:tcW w:type="dxa" w:w="1214"/>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8,310,000</w:t>
            </w:r>
          </w:p>
        </w:tc>
        <w:tc>
          <w:tcPr>
            <w:tcW w:type="dxa" w:w="828"/>
            <w:gridSpan w:val="2"/>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712,847</w:t>
            </w:r>
          </w:p>
        </w:tc>
        <w:tc>
          <w:tcPr>
            <w:tcW w:type="dxa" w:w="1400"/>
            <w:gridSpan w:val="2"/>
            <w:tcBorders/>
            <w:tcMar>
              <w:start w:w="0" w:type="dxa"/>
              <w:end w:w="0" w:type="dxa"/>
            </w:tcMar>
            <w:tcMar>
              <w:start w:w="0" w:type="dxa"/>
              <w:end w:w="0" w:type="dxa"/>
            </w:tcMar>
          </w:tcPr>
          <w:p>
            <w:pPr>
              <w:autoSpaceDN w:val="0"/>
              <w:autoSpaceDE w:val="0"/>
              <w:widowControl/>
              <w:spacing w:line="233" w:lineRule="auto" w:before="20" w:after="0"/>
              <w:ind w:left="0" w:right="206" w:firstLine="0"/>
              <w:jc w:val="right"/>
            </w:pPr>
            <w:r>
              <w:rPr>
                <w:rFonts w:ascii="Arial" w:hAnsi="Arial" w:eastAsia="Arial"/>
                <w:b w:val="0"/>
                <w:i w:val="0"/>
                <w:color w:val="000000"/>
                <w:sz w:val="16"/>
              </w:rPr>
              <w:t>-</w:t>
            </w:r>
          </w:p>
        </w:tc>
      </w:tr>
      <w:tr>
        <w:trPr>
          <w:trHeight w:hRule="exact" w:val="218"/>
        </w:trPr>
        <w:tc>
          <w:tcPr>
            <w:tcW w:type="dxa" w:w="501"/>
            <w:vMerge/>
            <w:tcBorders>
              <w:bottom w:sz="4.0" w:val="single" w:color="#000000"/>
            </w:tcBorders>
          </w:tcPr>
          <w:p/>
        </w:tc>
        <w:tc>
          <w:tcPr>
            <w:tcW w:type="dxa" w:w="1500"/>
            <w:vMerge w:val="restart"/>
            <w:tcBorders/>
            <w:tcMar>
              <w:start w:w="0" w:type="dxa"/>
              <w:end w:w="0" w:type="dxa"/>
            </w:tcMar>
            <w:tcMar>
              <w:start w:w="0" w:type="dxa"/>
              <w:end w:w="0" w:type="dxa"/>
            </w:tcMar>
          </w:tcPr>
          <w:p>
            <w:pPr>
              <w:autoSpaceDN w:val="0"/>
              <w:autoSpaceDE w:val="0"/>
              <w:widowControl/>
              <w:spacing w:line="230" w:lineRule="auto" w:before="30" w:after="0"/>
              <w:ind w:left="0" w:right="226" w:firstLine="0"/>
              <w:jc w:val="right"/>
            </w:pPr>
            <w:r>
              <w:rPr>
                <w:rFonts w:ascii="Arial" w:hAnsi="Arial" w:eastAsia="Arial"/>
                <w:b w:val="0"/>
                <w:i w:val="0"/>
                <w:color w:val="000000"/>
                <w:sz w:val="16"/>
              </w:rPr>
              <w:t xml:space="preserve">45,287,500 </w:t>
            </w:r>
          </w:p>
        </w:tc>
        <w:tc>
          <w:tcPr>
            <w:tcW w:type="dxa" w:w="1088"/>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0" w:after="0"/>
              <w:ind w:left="0" w:right="280" w:firstLine="0"/>
              <w:jc w:val="right"/>
            </w:pPr>
            <w:r>
              <w:rPr>
                <w:rFonts w:ascii="Arial" w:hAnsi="Arial" w:eastAsia="Arial"/>
                <w:b w:val="0"/>
                <w:i w:val="0"/>
                <w:color w:val="000000"/>
                <w:sz w:val="16"/>
              </w:rPr>
              <w:t>-</w:t>
            </w:r>
          </w:p>
        </w:tc>
        <w:tc>
          <w:tcPr>
            <w:tcW w:type="dxa" w:w="2400"/>
            <w:gridSpan w:val="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0" w:after="0"/>
              <w:ind w:left="282" w:right="0" w:firstLine="0"/>
              <w:jc w:val="left"/>
            </w:pPr>
            <w:r>
              <w:rPr>
                <w:rFonts w:ascii="Arial" w:hAnsi="Arial" w:eastAsia="Arial"/>
                <w:b w:val="0"/>
                <w:i w:val="0"/>
                <w:color w:val="000000"/>
                <w:sz w:val="16"/>
              </w:rPr>
              <w:t>(383,400 )  1,556,738,000</w:t>
            </w:r>
          </w:p>
        </w:tc>
        <w:tc>
          <w:tcPr>
            <w:tcW w:type="dxa" w:w="892"/>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0" w:after="0"/>
              <w:ind w:left="180" w:right="0" w:firstLine="0"/>
              <w:jc w:val="left"/>
            </w:pPr>
            <w:r>
              <w:rPr>
                <w:rFonts w:ascii="Arial" w:hAnsi="Arial" w:eastAsia="Arial"/>
                <w:b w:val="0"/>
                <w:i w:val="0"/>
                <w:color w:val="000000"/>
                <w:sz w:val="16"/>
              </w:rPr>
              <w:t>5,982,265</w:t>
            </w:r>
          </w:p>
        </w:tc>
        <w:tc>
          <w:tcPr>
            <w:tcW w:type="dxa" w:w="140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0" w:after="0"/>
              <w:ind w:left="338" w:right="0" w:firstLine="0"/>
              <w:jc w:val="left"/>
            </w:pPr>
            <w:r>
              <w:rPr>
                <w:rFonts w:ascii="Arial" w:hAnsi="Arial" w:eastAsia="Arial"/>
                <w:b w:val="0"/>
                <w:i w:val="0"/>
                <w:color w:val="000000"/>
                <w:sz w:val="16"/>
              </w:rPr>
              <w:t>(10,248,049)</w:t>
            </w:r>
          </w:p>
        </w:tc>
      </w:tr>
      <w:tr>
        <w:trPr>
          <w:trHeight w:hRule="exact" w:val="82"/>
        </w:trPr>
        <w:tc>
          <w:tcPr>
            <w:tcW w:type="dxa" w:w="1460"/>
            <w:vMerge w:val="restart"/>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160" w:lineRule="exact" w:before="208" w:after="0"/>
              <w:ind w:left="198" w:right="0" w:firstLine="0"/>
              <w:jc w:val="left"/>
            </w:pPr>
            <w:r>
              <w:rPr>
                <w:rFonts w:ascii="黑体" w:hAnsi="黑体" w:eastAsia="黑体"/>
                <w:b w:val="0"/>
                <w:i w:val="0"/>
                <w:color w:val="000000"/>
                <w:sz w:val="16"/>
              </w:rPr>
              <w:t>合计</w:t>
            </w:r>
          </w:p>
        </w:tc>
        <w:tc>
          <w:tcPr>
            <w:tcW w:type="dxa" w:w="501"/>
            <w:vMerge/>
            <w:tcBorders/>
          </w:tcPr>
          <w:p/>
        </w:tc>
        <w:tc>
          <w:tcPr>
            <w:tcW w:type="dxa" w:w="1503"/>
            <w:gridSpan w:val="3"/>
            <w:vMerge/>
            <w:tcBorders/>
          </w:tcPr>
          <w:p/>
        </w:tc>
        <w:tc>
          <w:tcPr>
            <w:tcW w:type="dxa" w:w="4008"/>
            <w:gridSpan w:val="8"/>
            <w:vMerge/>
            <w:tcBorders/>
          </w:tcPr>
          <w:p/>
        </w:tc>
        <w:tc>
          <w:tcPr>
            <w:tcW w:type="dxa" w:w="1503"/>
            <w:gridSpan w:val="3"/>
            <w:vMerge/>
            <w:tcBorders/>
          </w:tcPr>
          <w:p/>
        </w:tc>
        <w:tc>
          <w:tcPr>
            <w:tcW w:type="dxa" w:w="1002"/>
            <w:gridSpan w:val="2"/>
            <w:vMerge/>
            <w:tcBorders/>
          </w:tcPr>
          <w:p/>
        </w:tc>
      </w:tr>
      <w:tr>
        <w:trPr>
          <w:trHeight w:hRule="exact" w:val="322"/>
        </w:trPr>
        <w:tc>
          <w:tcPr>
            <w:tcW w:type="dxa" w:w="501"/>
            <w:vMerge/>
            <w:tcBorders>
              <w:top w:sz="4.0" w:val="single" w:color="#000000"/>
              <w:bottom w:sz="4.0" w:val="single" w:color="#000000"/>
            </w:tcBorders>
          </w:tcPr>
          <w:p/>
        </w:tc>
        <w:tc>
          <w:tcPr>
            <w:tcW w:type="dxa" w:w="24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30" w:after="0"/>
              <w:ind w:left="0" w:right="170" w:firstLine="0"/>
              <w:jc w:val="right"/>
            </w:pPr>
            <w:r>
              <w:rPr>
                <w:rFonts w:ascii="Arial" w:hAnsi="Arial" w:eastAsia="Arial"/>
                <w:b w:val="0"/>
                <w:i w:val="0"/>
                <w:color w:val="000000"/>
                <w:sz w:val="16"/>
              </w:rPr>
              <w:t>122,075,207</w:t>
            </w:r>
          </w:p>
        </w:tc>
        <w:tc>
          <w:tcPr>
            <w:tcW w:type="dxa" w:w="2302"/>
            <w:gridSpan w:val="8"/>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30" w:after="0"/>
              <w:ind w:left="168" w:right="0" w:firstLine="0"/>
              <w:jc w:val="left"/>
            </w:pPr>
            <w:r>
              <w:rPr>
                <w:rFonts w:ascii="Arial" w:hAnsi="Arial" w:eastAsia="Arial"/>
                <w:b w:val="0"/>
                <w:i w:val="0"/>
                <w:color w:val="000000"/>
                <w:sz w:val="16"/>
              </w:rPr>
              <w:t xml:space="preserve">(86,426,912 ) </w:t>
            </w:r>
          </w:p>
        </w:tc>
        <w:tc>
          <w:tcPr>
            <w:tcW w:type="dxa" w:w="1100"/>
            <w:gridSpan w:val="5"/>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30" w:after="0"/>
              <w:ind w:left="210" w:right="0" w:firstLine="0"/>
              <w:jc w:val="left"/>
            </w:pPr>
            <w:r>
              <w:rPr>
                <w:rFonts w:ascii="Arial" w:hAnsi="Arial" w:eastAsia="Arial"/>
                <w:b w:val="0"/>
                <w:i w:val="0"/>
                <w:color w:val="000000"/>
                <w:sz w:val="16"/>
              </w:rPr>
              <w:t>133,047,547</w:t>
            </w:r>
          </w:p>
        </w:tc>
        <w:tc>
          <w:tcPr>
            <w:tcW w:type="dxa" w:w="140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30" w:after="0"/>
              <w:ind w:left="250" w:right="0" w:firstLine="0"/>
              <w:jc w:val="left"/>
            </w:pPr>
            <w:r>
              <w:rPr>
                <w:rFonts w:ascii="Arial" w:hAnsi="Arial" w:eastAsia="Arial"/>
                <w:b w:val="0"/>
                <w:i w:val="0"/>
                <w:color w:val="000000"/>
                <w:sz w:val="16"/>
              </w:rPr>
              <w:t>(131,465,972)</w:t>
            </w:r>
          </w:p>
        </w:tc>
      </w:tr>
      <w:tr>
        <w:trPr>
          <w:trHeight w:hRule="exact" w:val="218"/>
        </w:trPr>
        <w:tc>
          <w:tcPr>
            <w:tcW w:type="dxa" w:w="1460"/>
            <w:vMerge w:val="restart"/>
            <w:tcBorders>
              <w:top w:sz="4.0" w:val="single" w:color="#000000"/>
              <w:bottom w:sz="4.0" w:val="single" w:color="#000000"/>
            </w:tcBorders>
            <w:tcMar>
              <w:start w:w="0" w:type="dxa"/>
              <w:end w:w="0" w:type="dxa"/>
            </w:tcMar>
            <w:tcMar>
              <w:start w:w="0" w:type="dxa"/>
              <w:end w:w="0" w:type="dxa"/>
            </w:tcMar>
          </w:tcPr>
          <w:p/>
        </w:tc>
        <w:tc>
          <w:tcPr>
            <w:tcW w:type="dxa" w:w="1002"/>
            <w:gridSpan w:val="2"/>
            <w:vMerge/>
            <w:tcBorders/>
          </w:tcPr>
          <w:p/>
        </w:tc>
        <w:tc>
          <w:tcPr>
            <w:tcW w:type="dxa" w:w="4008"/>
            <w:gridSpan w:val="8"/>
            <w:vMerge/>
            <w:tcBorders/>
          </w:tcPr>
          <w:p/>
        </w:tc>
        <w:tc>
          <w:tcPr>
            <w:tcW w:type="dxa" w:w="2505"/>
            <w:gridSpan w:val="5"/>
            <w:vMerge/>
            <w:tcBorders/>
          </w:tcPr>
          <w:p/>
        </w:tc>
        <w:tc>
          <w:tcPr>
            <w:tcW w:type="dxa" w:w="1002"/>
            <w:gridSpan w:val="2"/>
            <w:vMerge/>
            <w:tcBorders/>
          </w:tcPr>
          <w:p/>
        </w:tc>
      </w:tr>
      <w:tr>
        <w:trPr>
          <w:trHeight w:hRule="exact" w:val="424"/>
        </w:trPr>
        <w:tc>
          <w:tcPr>
            <w:tcW w:type="dxa" w:w="501"/>
            <w:vMerge/>
            <w:tcBorders>
              <w:top w:sz="4.0" w:val="single" w:color="#000000"/>
              <w:bottom w:sz="4.0" w:val="single" w:color="#000000"/>
            </w:tcBorders>
          </w:tcPr>
          <w:p/>
        </w:tc>
        <w:tc>
          <w:tcPr>
            <w:tcW w:type="dxa" w:w="4780"/>
            <w:gridSpan w:val="1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78" w:lineRule="exact" w:before="234" w:after="0"/>
              <w:ind w:left="0" w:right="2386"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2500"/>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78" w:lineRule="exact" w:before="234" w:after="0"/>
              <w:ind w:left="0" w:right="0" w:firstLine="0"/>
              <w:jc w:val="lef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r>
      <w:tr>
        <w:trPr>
          <w:trHeight w:hRule="exact" w:val="220"/>
        </w:trPr>
        <w:tc>
          <w:tcPr>
            <w:tcW w:type="dxa" w:w="1460"/>
            <w:tcBorders>
              <w:top w:sz="4.0" w:val="single" w:color="#000000"/>
              <w:bottom w:sz="4.0" w:val="single" w:color="#000000"/>
            </w:tcBorders>
            <w:tcMar>
              <w:start w:w="0" w:type="dxa"/>
              <w:end w:w="0" w:type="dxa"/>
            </w:tcMar>
          </w:tcPr>
          <w:p/>
        </w:tc>
        <w:tc>
          <w:tcPr>
            <w:tcW w:type="dxa" w:w="4780"/>
            <w:gridSpan w:val="1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2" w:lineRule="exact" w:before="32" w:after="0"/>
              <w:ind w:left="0" w:right="2660" w:firstLine="0"/>
              <w:jc w:val="right"/>
            </w:pPr>
            <w:r>
              <w:rPr>
                <w:rFonts w:ascii="黑体" w:hAnsi="黑体" w:eastAsia="黑体"/>
                <w:b w:val="0"/>
                <w:i w:val="0"/>
                <w:color w:val="000000"/>
                <w:sz w:val="16"/>
              </w:rPr>
              <w:t>套期工具</w:t>
            </w:r>
          </w:p>
        </w:tc>
        <w:tc>
          <w:tcPr>
            <w:tcW w:type="dxa" w:w="2500"/>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2" w:lineRule="exact" w:before="32" w:after="0"/>
              <w:ind w:left="270" w:right="0" w:firstLine="0"/>
              <w:jc w:val="left"/>
            </w:pPr>
            <w:r>
              <w:rPr>
                <w:rFonts w:ascii="黑体" w:hAnsi="黑体" w:eastAsia="黑体"/>
                <w:b w:val="0"/>
                <w:i w:val="0"/>
                <w:color w:val="000000"/>
                <w:sz w:val="16"/>
              </w:rPr>
              <w:t>套期工具</w:t>
            </w:r>
          </w:p>
        </w:tc>
      </w:tr>
      <w:tr>
        <w:trPr>
          <w:trHeight w:hRule="exact" w:val="220"/>
        </w:trPr>
        <w:tc>
          <w:tcPr>
            <w:tcW w:type="dxa" w:w="1460"/>
            <w:tcBorders>
              <w:top w:sz="4.0" w:val="single" w:color="#000000"/>
              <w:bottom w:sz="4.0" w:val="single" w:color="#000000"/>
            </w:tcBorders>
            <w:tcMar>
              <w:start w:w="0" w:type="dxa"/>
              <w:end w:w="0" w:type="dxa"/>
            </w:tcMar>
          </w:tcPr>
          <w:p/>
        </w:tc>
        <w:tc>
          <w:tcPr>
            <w:tcW w:type="dxa" w:w="4780"/>
            <w:gridSpan w:val="1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0" w:lineRule="exact" w:before="32" w:after="0"/>
              <w:ind w:left="0" w:right="2006" w:firstLine="0"/>
              <w:jc w:val="right"/>
            </w:pPr>
            <w:r>
              <w:rPr>
                <w:rFonts w:ascii="黑体" w:hAnsi="黑体" w:eastAsia="黑体"/>
                <w:b w:val="0"/>
                <w:i w:val="0"/>
                <w:color w:val="000000"/>
                <w:sz w:val="16"/>
              </w:rPr>
              <w:t>公允价值</w:t>
            </w:r>
          </w:p>
        </w:tc>
        <w:tc>
          <w:tcPr>
            <w:tcW w:type="dxa" w:w="2500"/>
            <w:gridSpan w:val="7"/>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0" w:lineRule="exact" w:before="32" w:after="0"/>
              <w:ind w:left="0" w:right="0" w:firstLine="0"/>
              <w:jc w:val="center"/>
            </w:pPr>
            <w:r>
              <w:rPr>
                <w:rFonts w:ascii="黑体" w:hAnsi="黑体" w:eastAsia="黑体"/>
                <w:b w:val="0"/>
                <w:i w:val="0"/>
                <w:color w:val="000000"/>
                <w:sz w:val="16"/>
              </w:rPr>
              <w:t>公允价值</w:t>
            </w:r>
          </w:p>
        </w:tc>
      </w:tr>
      <w:tr>
        <w:trPr>
          <w:trHeight w:hRule="exact" w:val="296"/>
        </w:trPr>
        <w:tc>
          <w:tcPr>
            <w:tcW w:type="dxa" w:w="1460"/>
            <w:vMerge w:val="restart"/>
            <w:tcBorders>
              <w:top w:sz="4.0" w:val="single" w:color="#000000"/>
            </w:tcBorders>
            <w:tcMar>
              <w:start w:w="0" w:type="dxa"/>
              <w:end w:w="0" w:type="dxa"/>
            </w:tcMar>
            <w:tcMar>
              <w:start w:w="0" w:type="dxa"/>
              <w:end w:w="0" w:type="dxa"/>
            </w:tcMar>
          </w:tcPr>
          <w:p>
            <w:pPr>
              <w:autoSpaceDN w:val="0"/>
              <w:autoSpaceDE w:val="0"/>
              <w:widowControl/>
              <w:spacing w:line="178" w:lineRule="exact" w:before="410" w:after="0"/>
              <w:ind w:left="198" w:right="0" w:firstLine="0"/>
              <w:jc w:val="left"/>
            </w:pPr>
            <w:r>
              <w:rPr>
                <w:rFonts w:ascii="黑体" w:hAnsi="黑体" w:eastAsia="黑体"/>
                <w:b w:val="0"/>
                <w:i w:val="0"/>
                <w:color w:val="000000"/>
                <w:sz w:val="16"/>
              </w:rPr>
              <w:t>外汇远期合约</w:t>
            </w:r>
            <w:r>
              <w:rPr>
                <w:rFonts w:ascii="Arial" w:hAnsi="Arial" w:eastAsia="Arial"/>
                <w:b w:val="0"/>
                <w:i w:val="0"/>
                <w:color w:val="000000"/>
                <w:sz w:val="16"/>
              </w:rPr>
              <w:t xml:space="preserve"> (1) </w:t>
            </w:r>
          </w:p>
        </w:tc>
        <w:tc>
          <w:tcPr>
            <w:tcW w:type="dxa" w:w="1500"/>
            <w:tcBorders/>
            <w:tcMar>
              <w:start w:w="0" w:type="dxa"/>
              <w:end w:w="0" w:type="dxa"/>
            </w:tcMar>
          </w:tcPr>
          <w:p>
            <w:pPr>
              <w:autoSpaceDN w:val="0"/>
              <w:autoSpaceDE w:val="0"/>
              <w:widowControl/>
              <w:spacing w:line="160" w:lineRule="exact" w:before="30" w:after="0"/>
              <w:ind w:left="0" w:right="268" w:firstLine="0"/>
              <w:jc w:val="right"/>
            </w:pPr>
            <w:r>
              <w:rPr>
                <w:rFonts w:ascii="黑体" w:hAnsi="黑体" w:eastAsia="黑体"/>
                <w:b w:val="0"/>
                <w:i w:val="0"/>
                <w:color w:val="000000"/>
                <w:sz w:val="16"/>
              </w:rPr>
              <w:t>名义金额</w:t>
            </w:r>
          </w:p>
        </w:tc>
        <w:tc>
          <w:tcPr>
            <w:tcW w:type="dxa" w:w="1244"/>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0" w:lineRule="exact" w:before="30" w:after="0"/>
              <w:ind w:left="0" w:right="0" w:firstLine="0"/>
              <w:jc w:val="center"/>
            </w:pPr>
            <w:r>
              <w:rPr>
                <w:rFonts w:ascii="黑体" w:hAnsi="黑体" w:eastAsia="黑体"/>
                <w:b w:val="0"/>
                <w:i w:val="0"/>
                <w:color w:val="000000"/>
                <w:sz w:val="16"/>
              </w:rPr>
              <w:t>资产</w:t>
            </w:r>
          </w:p>
        </w:tc>
        <w:tc>
          <w:tcPr>
            <w:tcW w:type="dxa" w:w="1094"/>
            <w:gridSpan w:val="3"/>
            <w:tcBorders/>
            <w:tcMar>
              <w:start w:w="0" w:type="dxa"/>
              <w:end w:w="0" w:type="dxa"/>
            </w:tcMar>
            <w:tcMar>
              <w:start w:w="0" w:type="dxa"/>
              <w:end w:w="0" w:type="dxa"/>
            </w:tcMar>
            <w:tcMar>
              <w:start w:w="0" w:type="dxa"/>
              <w:end w:w="0" w:type="dxa"/>
            </w:tcMar>
          </w:tcPr>
          <w:p>
            <w:pPr>
              <w:autoSpaceDN w:val="0"/>
              <w:autoSpaceDE w:val="0"/>
              <w:widowControl/>
              <w:spacing w:line="160" w:lineRule="exact" w:before="30" w:after="0"/>
              <w:ind w:left="0" w:right="336" w:firstLine="0"/>
              <w:jc w:val="right"/>
            </w:pPr>
            <w:r>
              <w:rPr>
                <w:rFonts w:ascii="黑体" w:hAnsi="黑体" w:eastAsia="黑体"/>
                <w:b w:val="0"/>
                <w:i w:val="0"/>
                <w:color w:val="000000"/>
                <w:sz w:val="16"/>
              </w:rPr>
              <w:t>负债</w:t>
            </w:r>
          </w:p>
        </w:tc>
        <w:tc>
          <w:tcPr>
            <w:tcW w:type="dxa" w:w="1346"/>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0" w:lineRule="exact" w:before="30" w:after="0"/>
              <w:ind w:left="0" w:right="0" w:firstLine="0"/>
              <w:jc w:val="center"/>
            </w:pPr>
            <w:r>
              <w:rPr>
                <w:rFonts w:ascii="黑体" w:hAnsi="黑体" w:eastAsia="黑体"/>
                <w:b w:val="0"/>
                <w:i w:val="0"/>
                <w:color w:val="000000"/>
                <w:sz w:val="16"/>
              </w:rPr>
              <w:t>名义金额</w:t>
            </w:r>
          </w:p>
        </w:tc>
        <w:tc>
          <w:tcPr>
            <w:tcW w:type="dxa" w:w="696"/>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资产</w:t>
            </w:r>
          </w:p>
        </w:tc>
        <w:tc>
          <w:tcPr>
            <w:tcW w:type="dxa" w:w="1400"/>
            <w:gridSpan w:val="2"/>
            <w:tcBorders/>
            <w:tcMar>
              <w:start w:w="0" w:type="dxa"/>
              <w:end w:w="0" w:type="dxa"/>
            </w:tcMar>
            <w:tcMar>
              <w:start w:w="0" w:type="dxa"/>
              <w:end w:w="0" w:type="dxa"/>
            </w:tcMar>
          </w:tcPr>
          <w:p>
            <w:pPr>
              <w:autoSpaceDN w:val="0"/>
              <w:autoSpaceDE w:val="0"/>
              <w:widowControl/>
              <w:spacing w:line="160" w:lineRule="exact" w:before="30" w:after="0"/>
              <w:ind w:left="0" w:right="206" w:firstLine="0"/>
              <w:jc w:val="right"/>
            </w:pPr>
            <w:r>
              <w:rPr>
                <w:rFonts w:ascii="黑体" w:hAnsi="黑体" w:eastAsia="黑体"/>
                <w:b w:val="0"/>
                <w:i w:val="0"/>
                <w:color w:val="000000"/>
                <w:sz w:val="16"/>
              </w:rPr>
              <w:t>负债</w:t>
            </w:r>
          </w:p>
        </w:tc>
      </w:tr>
      <w:tr>
        <w:trPr>
          <w:trHeight w:hRule="exact" w:val="366"/>
        </w:trPr>
        <w:tc>
          <w:tcPr>
            <w:tcW w:type="dxa" w:w="501"/>
            <w:vMerge/>
            <w:tcBorders>
              <w:top w:sz="4.0" w:val="single" w:color="#000000"/>
            </w:tcBorders>
          </w:tcPr>
          <w:p/>
        </w:tc>
        <w:tc>
          <w:tcPr>
            <w:tcW w:type="dxa" w:w="1500"/>
            <w:tcBorders/>
            <w:tcMar>
              <w:start w:w="0" w:type="dxa"/>
              <w:end w:w="0" w:type="dxa"/>
            </w:tcMar>
          </w:tcPr>
          <w:p>
            <w:pPr>
              <w:autoSpaceDN w:val="0"/>
              <w:autoSpaceDE w:val="0"/>
              <w:widowControl/>
              <w:spacing w:line="230" w:lineRule="auto" w:before="128" w:after="0"/>
              <w:ind w:left="0" w:right="226" w:firstLine="0"/>
              <w:jc w:val="right"/>
            </w:pPr>
            <w:r>
              <w:rPr>
                <w:rFonts w:ascii="Arial" w:hAnsi="Arial" w:eastAsia="Arial"/>
                <w:b w:val="0"/>
                <w:i w:val="0"/>
                <w:color w:val="000000"/>
                <w:sz w:val="16"/>
              </w:rPr>
              <w:t xml:space="preserve">- </w:t>
            </w:r>
          </w:p>
        </w:tc>
        <w:tc>
          <w:tcPr>
            <w:tcW w:type="dxa" w:w="1378"/>
            <w:gridSpan w:val="6"/>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128" w:after="0"/>
              <w:ind w:left="0" w:right="570" w:firstLine="0"/>
              <w:jc w:val="right"/>
            </w:pPr>
            <w:r>
              <w:rPr>
                <w:rFonts w:ascii="Arial" w:hAnsi="Arial" w:eastAsia="Arial"/>
                <w:b w:val="0"/>
                <w:i w:val="0"/>
                <w:color w:val="000000"/>
                <w:sz w:val="16"/>
              </w:rPr>
              <w:t>-</w:t>
            </w:r>
          </w:p>
        </w:tc>
        <w:tc>
          <w:tcPr>
            <w:tcW w:type="dxa" w:w="2064"/>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128" w:after="0"/>
              <w:ind w:left="0" w:right="136" w:firstLine="0"/>
              <w:jc w:val="right"/>
            </w:pPr>
            <w:r>
              <w:rPr>
                <w:rFonts w:ascii="Arial" w:hAnsi="Arial" w:eastAsia="Arial"/>
                <w:b w:val="0"/>
                <w:i w:val="0"/>
                <w:color w:val="000000"/>
                <w:sz w:val="16"/>
              </w:rPr>
              <w:t>-  1,238,039,607</w:t>
            </w:r>
          </w:p>
        </w:tc>
        <w:tc>
          <w:tcPr>
            <w:tcW w:type="dxa" w:w="1098"/>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128" w:after="0"/>
              <w:ind w:left="0" w:right="0" w:firstLine="0"/>
              <w:jc w:val="center"/>
            </w:pPr>
            <w:r>
              <w:rPr>
                <w:rFonts w:ascii="Arial" w:hAnsi="Arial" w:eastAsia="Arial"/>
                <w:b w:val="0"/>
                <w:i w:val="0"/>
                <w:color w:val="000000"/>
                <w:sz w:val="16"/>
              </w:rPr>
              <w:t>38,718,863</w:t>
            </w:r>
          </w:p>
        </w:tc>
        <w:tc>
          <w:tcPr>
            <w:tcW w:type="dxa" w:w="1240"/>
            <w:tcBorders/>
            <w:tcMar>
              <w:start w:w="0" w:type="dxa"/>
              <w:end w:w="0" w:type="dxa"/>
            </w:tcMar>
          </w:tcPr>
          <w:p>
            <w:pPr>
              <w:autoSpaceDN w:val="0"/>
              <w:autoSpaceDE w:val="0"/>
              <w:widowControl/>
              <w:spacing w:line="230" w:lineRule="auto" w:before="128" w:after="0"/>
              <w:ind w:left="0" w:right="206" w:firstLine="0"/>
              <w:jc w:val="right"/>
            </w:pPr>
            <w:r>
              <w:rPr>
                <w:rFonts w:ascii="Arial" w:hAnsi="Arial" w:eastAsia="Arial"/>
                <w:b w:val="0"/>
                <w:i w:val="0"/>
                <w:color w:val="000000"/>
                <w:sz w:val="16"/>
              </w:rPr>
              <w:t>-</w:t>
            </w:r>
          </w:p>
        </w:tc>
      </w:tr>
    </w:tbl>
    <w:p>
      <w:pPr>
        <w:autoSpaceDN w:val="0"/>
        <w:autoSpaceDE w:val="0"/>
        <w:widowControl/>
        <w:spacing w:line="220" w:lineRule="exact" w:before="226" w:after="0"/>
        <w:ind w:left="0" w:right="0" w:firstLine="0"/>
        <w:jc w:val="center"/>
      </w:pPr>
      <w:r>
        <w:rPr>
          <w:rFonts w:ascii="黑体" w:hAnsi="黑体" w:eastAsia="黑体"/>
          <w:b w:val="0"/>
          <w:i w:val="0"/>
          <w:color w:val="000000"/>
          <w:sz w:val="22"/>
        </w:rPr>
        <w:t>在当日无负债结算制度下，结算备付金已包括本集团所持有的国债期货、债券远期、</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利率互换、股指期货和商品期货产生的公允价值变动金额。因此，衍生金融资产和衍</w:t>
      </w:r>
    </w:p>
    <w:p>
      <w:pPr>
        <w:autoSpaceDN w:val="0"/>
        <w:autoSpaceDE w:val="0"/>
        <w:widowControl/>
        <w:spacing w:line="222" w:lineRule="exact" w:before="62" w:after="0"/>
        <w:ind w:left="0" w:right="0" w:firstLine="0"/>
        <w:jc w:val="center"/>
      </w:pPr>
      <w:r>
        <w:rPr>
          <w:rFonts w:ascii="黑体" w:hAnsi="黑体" w:eastAsia="黑体"/>
          <w:b w:val="0"/>
          <w:i w:val="0"/>
          <w:color w:val="000000"/>
          <w:sz w:val="22"/>
        </w:rPr>
        <w:t>生金融负债项下的国债期货、债券远期、利率互换、股指期货和商品期货投资的持仓</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损益并未反映在上述衍生金融工具科目中。</w:t>
      </w:r>
    </w:p>
    <w:p>
      <w:pPr>
        <w:autoSpaceDN w:val="0"/>
        <w:autoSpaceDE w:val="0"/>
        <w:widowControl/>
        <w:spacing w:line="233" w:lineRule="auto" w:before="5472" w:after="0"/>
        <w:ind w:left="0" w:right="0" w:firstLine="0"/>
        <w:jc w:val="center"/>
      </w:pPr>
      <w:r>
        <w:rPr>
          <w:rFonts w:ascii="Arial" w:hAnsi="Arial" w:eastAsia="Arial"/>
          <w:b w:val="0"/>
          <w:i w:val="0"/>
          <w:color w:val="000000"/>
          <w:sz w:val="20"/>
        </w:rPr>
        <w:t xml:space="preserve">203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30" w:lineRule="exact" w:before="0" w:after="0"/>
        <w:ind w:left="358" w:right="28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4. </w:t>
      </w:r>
      <w:r>
        <w:rPr>
          <w:rFonts w:ascii="黑体" w:hAnsi="黑体" w:eastAsia="黑体"/>
          <w:b w:val="0"/>
          <w:i w:val="0"/>
          <w:color w:val="000000"/>
          <w:sz w:val="22"/>
        </w:rPr>
        <w:t>衍生金融工具（续）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现金流量套期</w:t>
      </w:r>
      <w:r>
        <w:br/>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日，本集团无套期工具。于</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日，本集团的现金流量套</w:t>
      </w:r>
      <w:r>
        <w:rPr>
          <w:rFonts w:ascii="黑体" w:hAnsi="黑体" w:eastAsia="黑体"/>
          <w:b w:val="0"/>
          <w:i w:val="0"/>
          <w:color w:val="000000"/>
          <w:sz w:val="22"/>
        </w:rPr>
        <w:t>期工具包括货币掉期，主要用于对外币借款的现金流量波动进行套期。</w:t>
      </w:r>
    </w:p>
    <w:p>
      <w:pPr>
        <w:autoSpaceDN w:val="0"/>
        <w:tabs>
          <w:tab w:pos="4458" w:val="left"/>
        </w:tabs>
        <w:autoSpaceDE w:val="0"/>
        <w:widowControl/>
        <w:spacing w:line="438" w:lineRule="exact" w:before="100" w:after="14"/>
        <w:ind w:left="358" w:right="2016" w:firstLine="0"/>
        <w:jc w:val="left"/>
      </w:pPr>
      <w:r>
        <w:rPr>
          <w:rFonts w:ascii="黑体" w:hAnsi="黑体" w:eastAsia="黑体"/>
          <w:b w:val="0"/>
          <w:i w:val="0"/>
          <w:color w:val="000000"/>
          <w:sz w:val="22"/>
        </w:rPr>
        <w:t>上述衍生金融工具中，本集团认定为现金流量套期的套期工具如下：</w:t>
      </w: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1433.9999999999998" w:type="dxa"/>
      </w:tblPr>
      <w:tblGrid>
        <w:gridCol w:w="4513"/>
        <w:gridCol w:w="4513"/>
      </w:tblGrid>
      <w:tr>
        <w:trPr>
          <w:trHeight w:hRule="exact" w:val="240"/>
        </w:trPr>
        <w:tc>
          <w:tcPr>
            <w:tcW w:type="dxa" w:w="5426"/>
            <w:tcBorders>
              <w:top w:sz="3.9999999999997726" w:val="single" w:color="#000000"/>
              <w:bottom w:sz="4.0" w:val="single" w:color="#000000"/>
            </w:tcBorders>
            <w:tcMar>
              <w:start w:w="0" w:type="dxa"/>
              <w:end w:w="0" w:type="dxa"/>
            </w:tcMar>
          </w:tcPr>
          <w:p>
            <w:pPr>
              <w:autoSpaceDN w:val="0"/>
              <w:autoSpaceDE w:val="0"/>
              <w:widowControl/>
              <w:spacing w:line="160" w:lineRule="exact" w:before="44" w:after="0"/>
              <w:ind w:left="0" w:right="2312" w:firstLine="0"/>
              <w:jc w:val="right"/>
            </w:pPr>
            <w:r>
              <w:rPr>
                <w:rFonts w:ascii="黑体" w:hAnsi="黑体" w:eastAsia="黑体"/>
                <w:b w:val="0"/>
                <w:i w:val="0"/>
                <w:color w:val="000000"/>
                <w:sz w:val="16"/>
              </w:rPr>
              <w:t xml:space="preserve">名义金额 </w:t>
            </w:r>
          </w:p>
        </w:tc>
        <w:tc>
          <w:tcPr>
            <w:tcW w:type="dxa" w:w="1818"/>
            <w:tcBorders>
              <w:top w:sz="3.9999999999997726" w:val="single" w:color="#000000"/>
              <w:bottom w:sz="4.0" w:val="single" w:color="#000000"/>
            </w:tcBorders>
            <w:tcMar>
              <w:start w:w="0" w:type="dxa"/>
              <w:end w:w="0" w:type="dxa"/>
            </w:tcMar>
          </w:tcPr>
          <w:p>
            <w:pPr>
              <w:autoSpaceDN w:val="0"/>
              <w:autoSpaceDE w:val="0"/>
              <w:widowControl/>
              <w:spacing w:line="160" w:lineRule="exact" w:before="44" w:after="0"/>
              <w:ind w:left="0" w:right="452" w:firstLine="0"/>
              <w:jc w:val="right"/>
            </w:pPr>
            <w:r>
              <w:rPr>
                <w:rFonts w:ascii="黑体" w:hAnsi="黑体" w:eastAsia="黑体"/>
                <w:b w:val="0"/>
                <w:i w:val="0"/>
                <w:color w:val="000000"/>
                <w:sz w:val="16"/>
              </w:rPr>
              <w:t xml:space="preserve">公允价值 </w:t>
            </w:r>
          </w:p>
        </w:tc>
      </w:tr>
    </w:tbl>
    <w:p>
      <w:pPr>
        <w:autoSpaceDN w:val="0"/>
        <w:autoSpaceDE w:val="0"/>
        <w:widowControl/>
        <w:spacing w:line="160" w:lineRule="exact" w:before="22" w:after="22"/>
        <w:ind w:left="2160" w:right="0" w:firstLine="0"/>
        <w:jc w:val="left"/>
      </w:pPr>
      <w:r>
        <w:rPr>
          <w:rFonts w:ascii="黑体" w:hAnsi="黑体" w:eastAsia="黑体"/>
          <w:b w:val="0"/>
          <w:i w:val="0"/>
          <w:color w:val="000000"/>
          <w:sz w:val="16"/>
        </w:rPr>
        <w:t>1个月至</w:t>
      </w:r>
    </w:p>
    <w:tbl>
      <w:tblPr>
        <w:tblW w:type="auto" w:w="0"/>
        <w:tblLayout w:type="fixed"/>
        <w:tblLook w:firstColumn="1" w:firstRow="1" w:lastColumn="0" w:lastRow="0" w:noHBand="0" w:noVBand="1" w:val="04A0"/>
        <w:tblInd w:w="160.0" w:type="dxa"/>
      </w:tblPr>
      <w:tblGrid>
        <w:gridCol w:w="1003"/>
        <w:gridCol w:w="1003"/>
        <w:gridCol w:w="1003"/>
        <w:gridCol w:w="1003"/>
        <w:gridCol w:w="1003"/>
        <w:gridCol w:w="1003"/>
        <w:gridCol w:w="1003"/>
        <w:gridCol w:w="1003"/>
        <w:gridCol w:w="1003"/>
      </w:tblGrid>
      <w:tr>
        <w:trPr>
          <w:trHeight w:hRule="exact" w:val="308"/>
        </w:trPr>
        <w:tc>
          <w:tcPr>
            <w:tcW w:type="dxa" w:w="1240"/>
            <w:vMerge w:val="restart"/>
            <w:tcBorders/>
            <w:tcMar>
              <w:start w:w="0" w:type="dxa"/>
              <w:end w:w="0" w:type="dxa"/>
            </w:tcMar>
            <w:tcMar>
              <w:start w:w="0" w:type="dxa"/>
              <w:end w:w="0" w:type="dxa"/>
            </w:tcMar>
          </w:tcPr>
          <w:p>
            <w:pPr>
              <w:autoSpaceDN w:val="0"/>
              <w:autoSpaceDE w:val="0"/>
              <w:widowControl/>
              <w:spacing w:line="160" w:lineRule="exact" w:before="440" w:after="0"/>
              <w:ind w:left="198" w:right="0" w:firstLine="0"/>
              <w:jc w:val="left"/>
            </w:pPr>
            <w:r>
              <w:rPr>
                <w:rFonts w:ascii="黑体" w:hAnsi="黑体" w:eastAsia="黑体"/>
                <w:b w:val="0"/>
                <w:i w:val="0"/>
                <w:color w:val="000000"/>
                <w:sz w:val="16"/>
              </w:rPr>
              <w:t xml:space="preserve">外汇远期合约 </w:t>
            </w:r>
          </w:p>
        </w:tc>
        <w:tc>
          <w:tcPr>
            <w:tcW w:type="dxa" w:w="780"/>
            <w:tcBorders/>
            <w:tcMar>
              <w:start w:w="0" w:type="dxa"/>
              <w:end w:w="0" w:type="dxa"/>
            </w:tcMar>
          </w:tcPr>
          <w:p>
            <w:pPr>
              <w:autoSpaceDN w:val="0"/>
              <w:autoSpaceDE w:val="0"/>
              <w:widowControl/>
              <w:spacing w:line="162" w:lineRule="exact" w:before="24" w:after="0"/>
              <w:ind w:left="30" w:right="0" w:firstLine="0"/>
              <w:jc w:val="left"/>
            </w:pPr>
            <w:r>
              <w:rPr>
                <w:rFonts w:ascii="黑体" w:hAnsi="黑体" w:eastAsia="黑体"/>
                <w:b w:val="0"/>
                <w:i w:val="0"/>
                <w:color w:val="000000"/>
                <w:sz w:val="16"/>
              </w:rPr>
              <w:t xml:space="preserve"> 1个月内</w:t>
            </w:r>
          </w:p>
        </w:tc>
        <w:tc>
          <w:tcPr>
            <w:tcW w:type="dxa" w:w="620"/>
            <w:tcBorders/>
            <w:tcMar>
              <w:start w:w="0" w:type="dxa"/>
              <w:end w:w="0" w:type="dxa"/>
            </w:tcMar>
          </w:tcPr>
          <w:p>
            <w:pPr>
              <w:autoSpaceDN w:val="0"/>
              <w:autoSpaceDE w:val="0"/>
              <w:widowControl/>
              <w:spacing w:line="162" w:lineRule="exact" w:before="24" w:after="0"/>
              <w:ind w:left="0" w:right="0" w:firstLine="0"/>
              <w:jc w:val="center"/>
            </w:pPr>
            <w:r>
              <w:rPr>
                <w:rFonts w:ascii="黑体" w:hAnsi="黑体" w:eastAsia="黑体"/>
                <w:b w:val="0"/>
                <w:i w:val="0"/>
                <w:color w:val="000000"/>
                <w:sz w:val="16"/>
              </w:rPr>
              <w:t>3个月</w:t>
            </w:r>
          </w:p>
        </w:tc>
        <w:tc>
          <w:tcPr>
            <w:tcW w:type="dxa" w:w="1260"/>
            <w:tcBorders/>
            <w:tcMar>
              <w:start w:w="0" w:type="dxa"/>
              <w:end w:w="0" w:type="dxa"/>
            </w:tcMar>
          </w:tcPr>
          <w:p>
            <w:pPr>
              <w:autoSpaceDN w:val="0"/>
              <w:autoSpaceDE w:val="0"/>
              <w:widowControl/>
              <w:spacing w:line="162" w:lineRule="exact" w:before="24" w:after="0"/>
              <w:ind w:left="312" w:right="0" w:firstLine="0"/>
              <w:jc w:val="left"/>
            </w:pPr>
            <w:r>
              <w:rPr>
                <w:rFonts w:ascii="黑体" w:hAnsi="黑体" w:eastAsia="黑体"/>
                <w:b w:val="0"/>
                <w:i w:val="0"/>
                <w:color w:val="000000"/>
                <w:sz w:val="16"/>
              </w:rPr>
              <w:t>3个月至1年</w:t>
            </w:r>
          </w:p>
        </w:tc>
        <w:tc>
          <w:tcPr>
            <w:tcW w:type="dxa" w:w="960"/>
            <w:tcBorders/>
            <w:tcMar>
              <w:start w:w="0" w:type="dxa"/>
              <w:end w:w="0" w:type="dxa"/>
            </w:tcMar>
          </w:tcPr>
          <w:p>
            <w:pPr>
              <w:autoSpaceDN w:val="0"/>
              <w:autoSpaceDE w:val="0"/>
              <w:widowControl/>
              <w:spacing w:line="162" w:lineRule="exact" w:before="24" w:after="0"/>
              <w:ind w:left="174" w:right="0" w:firstLine="0"/>
              <w:jc w:val="left"/>
            </w:pPr>
            <w:r>
              <w:rPr>
                <w:rFonts w:ascii="黑体" w:hAnsi="黑体" w:eastAsia="黑体"/>
                <w:b w:val="0"/>
                <w:i w:val="0"/>
                <w:color w:val="000000"/>
                <w:sz w:val="16"/>
              </w:rPr>
              <w:t xml:space="preserve">1年至5年 </w:t>
            </w:r>
          </w:p>
        </w:tc>
        <w:tc>
          <w:tcPr>
            <w:tcW w:type="dxa" w:w="1120"/>
            <w:tcBorders/>
            <w:tcMar>
              <w:start w:w="0" w:type="dxa"/>
              <w:end w:w="0" w:type="dxa"/>
            </w:tcMar>
          </w:tcPr>
          <w:p>
            <w:pPr>
              <w:autoSpaceDN w:val="0"/>
              <w:autoSpaceDE w:val="0"/>
              <w:widowControl/>
              <w:spacing w:line="162" w:lineRule="exact" w:before="24" w:after="0"/>
              <w:ind w:left="88" w:right="0" w:firstLine="0"/>
              <w:jc w:val="left"/>
            </w:pPr>
            <w:r>
              <w:rPr>
                <w:rFonts w:ascii="黑体" w:hAnsi="黑体" w:eastAsia="黑体"/>
                <w:b w:val="0"/>
                <w:i w:val="0"/>
                <w:color w:val="000000"/>
                <w:sz w:val="16"/>
              </w:rPr>
              <w:t xml:space="preserve">5年以上 </w:t>
            </w:r>
          </w:p>
        </w:tc>
        <w:tc>
          <w:tcPr>
            <w:tcW w:type="dxa" w:w="800"/>
            <w:tcBorders/>
            <w:tcMar>
              <w:start w:w="0" w:type="dxa"/>
              <w:end w:w="0" w:type="dxa"/>
            </w:tcMar>
          </w:tcPr>
          <w:p>
            <w:pPr>
              <w:autoSpaceDN w:val="0"/>
              <w:autoSpaceDE w:val="0"/>
              <w:widowControl/>
              <w:spacing w:line="162" w:lineRule="exact" w:before="24" w:after="0"/>
              <w:ind w:left="0" w:right="76" w:firstLine="0"/>
              <w:jc w:val="right"/>
            </w:pPr>
            <w:r>
              <w:rPr>
                <w:rFonts w:ascii="黑体" w:hAnsi="黑体" w:eastAsia="黑体"/>
                <w:b w:val="0"/>
                <w:i w:val="0"/>
                <w:color w:val="000000"/>
                <w:sz w:val="16"/>
              </w:rPr>
              <w:t>合计</w:t>
            </w:r>
          </w:p>
        </w:tc>
        <w:tc>
          <w:tcPr>
            <w:tcW w:type="dxa" w:w="1180"/>
            <w:tcBorders/>
            <w:tcMar>
              <w:start w:w="0" w:type="dxa"/>
              <w:end w:w="0" w:type="dxa"/>
            </w:tcMar>
          </w:tcPr>
          <w:p>
            <w:pPr>
              <w:autoSpaceDN w:val="0"/>
              <w:autoSpaceDE w:val="0"/>
              <w:widowControl/>
              <w:spacing w:line="162" w:lineRule="exact" w:before="24" w:after="0"/>
              <w:ind w:left="0" w:right="216" w:firstLine="0"/>
              <w:jc w:val="right"/>
            </w:pPr>
            <w:r>
              <w:rPr>
                <w:rFonts w:ascii="黑体" w:hAnsi="黑体" w:eastAsia="黑体"/>
                <w:b w:val="0"/>
                <w:i w:val="0"/>
                <w:color w:val="000000"/>
                <w:sz w:val="16"/>
              </w:rPr>
              <w:t xml:space="preserve">资产 </w:t>
            </w:r>
          </w:p>
        </w:tc>
        <w:tc>
          <w:tcPr>
            <w:tcW w:type="dxa" w:w="760"/>
            <w:tcBorders/>
            <w:tcMar>
              <w:start w:w="0" w:type="dxa"/>
              <w:end w:w="0" w:type="dxa"/>
            </w:tcMar>
          </w:tcPr>
          <w:p>
            <w:pPr>
              <w:autoSpaceDN w:val="0"/>
              <w:autoSpaceDE w:val="0"/>
              <w:widowControl/>
              <w:spacing w:line="162" w:lineRule="exact" w:before="24" w:after="0"/>
              <w:ind w:left="0" w:right="124" w:firstLine="0"/>
              <w:jc w:val="right"/>
            </w:pPr>
            <w:r>
              <w:rPr>
                <w:rFonts w:ascii="黑体" w:hAnsi="黑体" w:eastAsia="黑体"/>
                <w:b w:val="0"/>
                <w:i w:val="0"/>
                <w:color w:val="000000"/>
                <w:sz w:val="16"/>
              </w:rPr>
              <w:t xml:space="preserve">负债 </w:t>
            </w:r>
          </w:p>
        </w:tc>
      </w:tr>
      <w:tr>
        <w:trPr>
          <w:trHeight w:hRule="exact" w:val="374"/>
        </w:trPr>
        <w:tc>
          <w:tcPr>
            <w:tcW w:type="dxa" w:w="1003"/>
            <w:vMerge/>
            <w:tcBorders/>
          </w:tcPr>
          <w:p/>
        </w:tc>
        <w:tc>
          <w:tcPr>
            <w:tcW w:type="dxa" w:w="780"/>
            <w:tcBorders/>
            <w:tcMar>
              <w:start w:w="0" w:type="dxa"/>
              <w:end w:w="0" w:type="dxa"/>
            </w:tcMar>
          </w:tcPr>
          <w:p>
            <w:pPr>
              <w:autoSpaceDN w:val="0"/>
              <w:autoSpaceDE w:val="0"/>
              <w:widowControl/>
              <w:spacing w:line="233" w:lineRule="auto" w:before="134" w:after="0"/>
              <w:ind w:left="0" w:right="138" w:firstLine="0"/>
              <w:jc w:val="right"/>
            </w:pPr>
            <w:r>
              <w:rPr>
                <w:rFonts w:ascii="Arial" w:hAnsi="Arial" w:eastAsia="Arial"/>
                <w:b w:val="0"/>
                <w:i w:val="0"/>
                <w:color w:val="000000"/>
                <w:sz w:val="16"/>
              </w:rPr>
              <w:t>-</w:t>
            </w:r>
          </w:p>
        </w:tc>
        <w:tc>
          <w:tcPr>
            <w:tcW w:type="dxa" w:w="620"/>
            <w:tcBorders/>
            <w:tcMar>
              <w:start w:w="0" w:type="dxa"/>
              <w:end w:w="0" w:type="dxa"/>
            </w:tcMar>
          </w:tcPr>
          <w:p>
            <w:pPr>
              <w:autoSpaceDN w:val="0"/>
              <w:autoSpaceDE w:val="0"/>
              <w:widowControl/>
              <w:spacing w:line="233" w:lineRule="auto" w:before="134" w:after="0"/>
              <w:ind w:left="0" w:right="80" w:firstLine="0"/>
              <w:jc w:val="right"/>
            </w:pPr>
            <w:r>
              <w:rPr>
                <w:rFonts w:ascii="Arial" w:hAnsi="Arial" w:eastAsia="Arial"/>
                <w:b w:val="0"/>
                <w:i w:val="0"/>
                <w:color w:val="000000"/>
                <w:sz w:val="16"/>
              </w:rPr>
              <w:t>-</w:t>
            </w:r>
          </w:p>
        </w:tc>
        <w:tc>
          <w:tcPr>
            <w:tcW w:type="dxa" w:w="1260"/>
            <w:tcBorders/>
            <w:tcMar>
              <w:start w:w="0" w:type="dxa"/>
              <w:end w:w="0" w:type="dxa"/>
            </w:tcMar>
          </w:tcPr>
          <w:p>
            <w:pPr>
              <w:autoSpaceDN w:val="0"/>
              <w:autoSpaceDE w:val="0"/>
              <w:widowControl/>
              <w:spacing w:line="233" w:lineRule="auto" w:before="134" w:after="0"/>
              <w:ind w:left="0" w:right="0" w:firstLine="0"/>
              <w:jc w:val="center"/>
            </w:pPr>
            <w:r>
              <w:rPr>
                <w:rFonts w:ascii="Arial" w:hAnsi="Arial" w:eastAsia="Arial"/>
                <w:b w:val="0"/>
                <w:i w:val="0"/>
                <w:color w:val="000000"/>
                <w:sz w:val="16"/>
              </w:rPr>
              <w:t>1,238,039,607</w:t>
            </w:r>
          </w:p>
        </w:tc>
        <w:tc>
          <w:tcPr>
            <w:tcW w:type="dxa" w:w="960"/>
            <w:tcBorders/>
            <w:tcMar>
              <w:start w:w="0" w:type="dxa"/>
              <w:end w:w="0" w:type="dxa"/>
            </w:tcMar>
          </w:tcPr>
          <w:p>
            <w:pPr>
              <w:autoSpaceDN w:val="0"/>
              <w:autoSpaceDE w:val="0"/>
              <w:widowControl/>
              <w:spacing w:line="233" w:lineRule="auto" w:before="134" w:after="0"/>
              <w:ind w:left="0" w:right="100" w:firstLine="0"/>
              <w:jc w:val="right"/>
            </w:pPr>
            <w:r>
              <w:rPr>
                <w:rFonts w:ascii="Arial" w:hAnsi="Arial" w:eastAsia="Arial"/>
                <w:b w:val="0"/>
                <w:i w:val="0"/>
                <w:color w:val="000000"/>
                <w:sz w:val="16"/>
              </w:rPr>
              <w:t xml:space="preserve">- </w:t>
            </w:r>
          </w:p>
        </w:tc>
        <w:tc>
          <w:tcPr>
            <w:tcW w:type="dxa" w:w="1920"/>
            <w:gridSpan w:val="2"/>
            <w:tcBorders/>
            <w:tcMar>
              <w:start w:w="0" w:type="dxa"/>
              <w:end w:w="0" w:type="dxa"/>
            </w:tcMar>
            <w:tcMar>
              <w:start w:w="0" w:type="dxa"/>
              <w:end w:w="0" w:type="dxa"/>
            </w:tcMar>
          </w:tcPr>
          <w:p>
            <w:pPr>
              <w:autoSpaceDN w:val="0"/>
              <w:autoSpaceDE w:val="0"/>
              <w:widowControl/>
              <w:spacing w:line="233" w:lineRule="auto" w:before="134" w:after="0"/>
              <w:ind w:left="0" w:right="78" w:firstLine="0"/>
              <w:jc w:val="right"/>
            </w:pPr>
            <w:r>
              <w:rPr>
                <w:rFonts w:ascii="Arial" w:hAnsi="Arial" w:eastAsia="Arial"/>
                <w:b w:val="0"/>
                <w:i w:val="0"/>
                <w:color w:val="000000"/>
                <w:sz w:val="16"/>
              </w:rPr>
              <w:t>- 1,238,039,607</w:t>
            </w:r>
          </w:p>
        </w:tc>
        <w:tc>
          <w:tcPr>
            <w:tcW w:type="dxa" w:w="1180"/>
            <w:tcBorders/>
            <w:tcMar>
              <w:start w:w="0" w:type="dxa"/>
              <w:end w:w="0" w:type="dxa"/>
            </w:tcMar>
          </w:tcPr>
          <w:p>
            <w:pPr>
              <w:autoSpaceDN w:val="0"/>
              <w:autoSpaceDE w:val="0"/>
              <w:widowControl/>
              <w:spacing w:line="233" w:lineRule="auto" w:before="134" w:after="0"/>
              <w:ind w:left="82" w:right="0" w:firstLine="0"/>
              <w:jc w:val="left"/>
            </w:pPr>
            <w:r>
              <w:rPr>
                <w:rFonts w:ascii="Arial" w:hAnsi="Arial" w:eastAsia="Arial"/>
                <w:b w:val="0"/>
                <w:i w:val="0"/>
                <w:color w:val="000000"/>
                <w:sz w:val="16"/>
              </w:rPr>
              <w:t xml:space="preserve">38,718,863 </w:t>
            </w:r>
          </w:p>
        </w:tc>
        <w:tc>
          <w:tcPr>
            <w:tcW w:type="dxa" w:w="760"/>
            <w:tcBorders/>
            <w:tcMar>
              <w:start w:w="0" w:type="dxa"/>
              <w:end w:w="0" w:type="dxa"/>
            </w:tcMar>
          </w:tcPr>
          <w:p>
            <w:pPr>
              <w:autoSpaceDN w:val="0"/>
              <w:autoSpaceDE w:val="0"/>
              <w:widowControl/>
              <w:spacing w:line="233" w:lineRule="auto" w:before="134" w:after="0"/>
              <w:ind w:left="0" w:right="160" w:firstLine="0"/>
              <w:jc w:val="right"/>
            </w:pPr>
            <w:r>
              <w:rPr>
                <w:rFonts w:ascii="Arial" w:hAnsi="Arial" w:eastAsia="Arial"/>
                <w:b w:val="0"/>
                <w:i w:val="0"/>
                <w:color w:val="000000"/>
                <w:sz w:val="16"/>
              </w:rPr>
              <w:t xml:space="preserve">- </w:t>
            </w:r>
          </w:p>
        </w:tc>
      </w:tr>
    </w:tbl>
    <w:p>
      <w:pPr>
        <w:autoSpaceDN w:val="0"/>
        <w:tabs>
          <w:tab w:pos="4692" w:val="left"/>
        </w:tabs>
        <w:autoSpaceDE w:val="0"/>
        <w:widowControl/>
        <w:spacing w:line="464" w:lineRule="exact" w:before="0" w:after="16"/>
        <w:ind w:left="358" w:right="432" w:firstLine="0"/>
        <w:jc w:val="left"/>
      </w:pPr>
      <w:r>
        <w:rPr>
          <w:rFonts w:ascii="黑体" w:hAnsi="黑体" w:eastAsia="黑体"/>
          <w:b w:val="0"/>
          <w:i w:val="0"/>
          <w:color w:val="000000"/>
          <w:sz w:val="22"/>
        </w:rPr>
        <w:t>本集团在现金流量套期策略中被套期风险敞口及对权益的影响的具体信息列示如下：</w:t>
      </w:r>
      <w:r>
        <w:tab/>
      </w: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215"/>
        </w:trPr>
        <w:tc>
          <w:tcPr>
            <w:tcW w:type="dxa" w:w="1758"/>
            <w:tcBorders>
              <w:top w:sz="4.0" w:val="single" w:color="#000000"/>
              <w:bottom w:sz="4.0" w:val="single" w:color="#000000"/>
            </w:tcBorders>
            <w:tcMar>
              <w:start w:w="0" w:type="dxa"/>
              <w:end w:w="0" w:type="dxa"/>
            </w:tcMar>
          </w:tcPr>
          <w:p/>
        </w:tc>
        <w:tc>
          <w:tcPr>
            <w:tcW w:type="dxa" w:w="2022"/>
            <w:tcBorders>
              <w:bottom w:sz="4.0" w:val="single" w:color="#000000"/>
            </w:tcBorders>
            <w:tcMar>
              <w:start w:w="0" w:type="dxa"/>
              <w:end w:w="0" w:type="dxa"/>
            </w:tcMar>
          </w:tcPr>
          <w:p>
            <w:pPr>
              <w:autoSpaceDN w:val="0"/>
              <w:autoSpaceDE w:val="0"/>
              <w:widowControl/>
              <w:spacing w:line="162" w:lineRule="exact" w:before="26" w:after="0"/>
              <w:ind w:left="498" w:right="0" w:firstLine="0"/>
              <w:jc w:val="left"/>
            </w:pPr>
            <w:r>
              <w:rPr>
                <w:rFonts w:ascii="黑体" w:hAnsi="黑体" w:eastAsia="黑体"/>
                <w:b w:val="0"/>
                <w:i w:val="0"/>
                <w:color w:val="000000"/>
                <w:sz w:val="16"/>
              </w:rPr>
              <w:t>被套期项目账面价值</w:t>
            </w:r>
          </w:p>
        </w:tc>
        <w:tc>
          <w:tcPr>
            <w:tcW w:type="dxa" w:w="414"/>
            <w:tcBorders>
              <w:bottom w:sz="4.0" w:val="single" w:color="#000000"/>
            </w:tcBorders>
            <w:tcMar>
              <w:start w:w="0" w:type="dxa"/>
              <w:end w:w="0" w:type="dxa"/>
            </w:tcMar>
          </w:tcPr>
          <w:p/>
        </w:tc>
        <w:tc>
          <w:tcPr>
            <w:tcW w:type="dxa" w:w="1532"/>
            <w:tcBorders>
              <w:bottom w:sz="4.0" w:val="single" w:color="#000000"/>
            </w:tcBorders>
            <w:tcMar>
              <w:start w:w="0" w:type="dxa"/>
              <w:end w:w="0" w:type="dxa"/>
            </w:tcMar>
          </w:tcPr>
          <w:p>
            <w:pPr>
              <w:autoSpaceDN w:val="0"/>
              <w:autoSpaceDE w:val="0"/>
              <w:widowControl/>
              <w:spacing w:line="162" w:lineRule="exact" w:before="26" w:after="0"/>
              <w:ind w:left="0" w:right="0" w:firstLine="0"/>
              <w:jc w:val="center"/>
            </w:pPr>
            <w:r>
              <w:rPr>
                <w:rFonts w:ascii="黑体" w:hAnsi="黑体" w:eastAsia="黑体"/>
                <w:b w:val="0"/>
                <w:i w:val="0"/>
                <w:color w:val="000000"/>
                <w:sz w:val="16"/>
              </w:rPr>
              <w:t>套期工具本年对</w:t>
            </w:r>
          </w:p>
        </w:tc>
        <w:tc>
          <w:tcPr>
            <w:tcW w:type="dxa" w:w="1434"/>
            <w:tcBorders>
              <w:bottom w:sz="4.0" w:val="single" w:color="#000000"/>
            </w:tcBorders>
            <w:tcMar>
              <w:start w:w="0" w:type="dxa"/>
              <w:end w:w="0" w:type="dxa"/>
            </w:tcMar>
          </w:tcPr>
          <w:p>
            <w:pPr>
              <w:autoSpaceDN w:val="0"/>
              <w:autoSpaceDE w:val="0"/>
              <w:widowControl/>
              <w:spacing w:line="162" w:lineRule="exact" w:before="26" w:after="0"/>
              <w:ind w:left="56" w:right="0" w:firstLine="0"/>
              <w:jc w:val="left"/>
            </w:pPr>
            <w:r>
              <w:rPr>
                <w:rFonts w:ascii="黑体" w:hAnsi="黑体" w:eastAsia="黑体"/>
                <w:b w:val="0"/>
                <w:i w:val="0"/>
                <w:color w:val="000000"/>
                <w:sz w:val="16"/>
              </w:rPr>
              <w:t>套期工具累计计</w:t>
            </w:r>
          </w:p>
        </w:tc>
        <w:tc>
          <w:tcPr>
            <w:tcW w:type="dxa" w:w="1344"/>
            <w:tcBorders>
              <w:bottom w:sz="4.0" w:val="single" w:color="#000000"/>
            </w:tcBorders>
            <w:tcMar>
              <w:start w:w="0" w:type="dxa"/>
              <w:end w:w="0" w:type="dxa"/>
            </w:tcMar>
          </w:tcPr>
          <w:p/>
        </w:tc>
      </w:tr>
      <w:tr>
        <w:trPr>
          <w:trHeight w:hRule="exact" w:val="202"/>
        </w:trPr>
        <w:tc>
          <w:tcPr>
            <w:tcW w:type="dxa" w:w="1758"/>
            <w:vMerge w:val="restart"/>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0" w:lineRule="exact" w:before="614" w:after="0"/>
              <w:ind w:left="198" w:right="0" w:firstLine="0"/>
              <w:jc w:val="left"/>
            </w:pPr>
            <w:r>
              <w:rPr>
                <w:rFonts w:ascii="黑体" w:hAnsi="黑体" w:eastAsia="黑体"/>
                <w:b w:val="0"/>
                <w:i w:val="0"/>
                <w:color w:val="000000"/>
                <w:sz w:val="16"/>
              </w:rPr>
              <w:t>债券</w:t>
            </w:r>
          </w:p>
        </w:tc>
        <w:tc>
          <w:tcPr>
            <w:tcW w:type="dxa" w:w="2022"/>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0" w:right="0" w:firstLine="0"/>
              <w:jc w:val="center"/>
            </w:pPr>
            <w:r>
              <w:rPr>
                <w:rFonts w:ascii="黑体" w:hAnsi="黑体" w:eastAsia="黑体"/>
                <w:b w:val="0"/>
                <w:i w:val="0"/>
                <w:color w:val="000000"/>
                <w:sz w:val="16"/>
              </w:rPr>
              <w:t>资产</w:t>
            </w:r>
          </w:p>
        </w:tc>
        <w:tc>
          <w:tcPr>
            <w:tcW w:type="dxa" w:w="414"/>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96" w:right="0" w:firstLine="0"/>
              <w:jc w:val="left"/>
            </w:pPr>
            <w:r>
              <w:rPr>
                <w:rFonts w:ascii="黑体" w:hAnsi="黑体" w:eastAsia="黑体"/>
                <w:b w:val="0"/>
                <w:i w:val="0"/>
                <w:color w:val="000000"/>
                <w:sz w:val="16"/>
              </w:rPr>
              <w:t>负债</w:t>
            </w:r>
          </w:p>
        </w:tc>
        <w:tc>
          <w:tcPr>
            <w:tcW w:type="dxa" w:w="1532"/>
            <w:tcBorders>
              <w:top w:sz="4.0" w:val="single" w:color="#000000"/>
            </w:tcBorders>
            <w:tcMar>
              <w:start w:w="0" w:type="dxa"/>
              <w:end w:w="0" w:type="dxa"/>
            </w:tcMar>
          </w:tcPr>
          <w:p>
            <w:pPr>
              <w:autoSpaceDN w:val="0"/>
              <w:autoSpaceDE w:val="0"/>
              <w:widowControl/>
              <w:spacing w:line="162" w:lineRule="exact" w:before="12" w:after="0"/>
              <w:ind w:left="0" w:right="0" w:firstLine="0"/>
              <w:jc w:val="center"/>
            </w:pPr>
            <w:r>
              <w:rPr>
                <w:rFonts w:ascii="黑体" w:hAnsi="黑体" w:eastAsia="黑体"/>
                <w:b w:val="0"/>
                <w:i w:val="0"/>
                <w:color w:val="000000"/>
                <w:sz w:val="16"/>
              </w:rPr>
              <w:t>其他综合收益影</w:t>
            </w:r>
          </w:p>
        </w:tc>
        <w:tc>
          <w:tcPr>
            <w:tcW w:type="dxa" w:w="1434"/>
            <w:tcBorders>
              <w:top w:sz="4.0" w:val="single" w:color="#000000"/>
            </w:tcBorders>
            <w:tcMar>
              <w:start w:w="0" w:type="dxa"/>
              <w:end w:w="0" w:type="dxa"/>
            </w:tcMar>
          </w:tcPr>
          <w:p>
            <w:pPr>
              <w:autoSpaceDN w:val="0"/>
              <w:autoSpaceDE w:val="0"/>
              <w:widowControl/>
              <w:spacing w:line="162" w:lineRule="exact" w:before="12" w:after="0"/>
              <w:ind w:left="56" w:right="0" w:firstLine="0"/>
              <w:jc w:val="left"/>
            </w:pPr>
            <w:r>
              <w:rPr>
                <w:rFonts w:ascii="黑体" w:hAnsi="黑体" w:eastAsia="黑体"/>
                <w:b w:val="0"/>
                <w:i w:val="0"/>
                <w:color w:val="000000"/>
                <w:sz w:val="16"/>
              </w:rPr>
              <w:t>入其他综合收益</w:t>
            </w:r>
          </w:p>
        </w:tc>
        <w:tc>
          <w:tcPr>
            <w:tcW w:type="dxa" w:w="1344"/>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222" w:right="0" w:firstLine="0"/>
              <w:jc w:val="left"/>
            </w:pPr>
            <w:r>
              <w:rPr>
                <w:rFonts w:ascii="黑体" w:hAnsi="黑体" w:eastAsia="黑体"/>
                <w:b w:val="0"/>
                <w:i w:val="0"/>
                <w:color w:val="000000"/>
                <w:sz w:val="16"/>
              </w:rPr>
              <w:t>资产负债表项目</w:t>
            </w:r>
          </w:p>
        </w:tc>
      </w:tr>
      <w:tr>
        <w:trPr>
          <w:trHeight w:hRule="exact" w:val="300"/>
        </w:trPr>
        <w:tc>
          <w:tcPr>
            <w:tcW w:type="dxa" w:w="1504"/>
            <w:vMerge/>
            <w:tcBorders>
              <w:top w:sz="4.0" w:val="single" w:color="#000000"/>
            </w:tcBorders>
          </w:tcPr>
          <w:p/>
        </w:tc>
        <w:tc>
          <w:tcPr>
            <w:tcW w:type="dxa" w:w="1504"/>
            <w:vMerge/>
            <w:tcBorders>
              <w:top w:sz="4.0" w:val="single" w:color="#000000"/>
            </w:tcBorders>
          </w:tcPr>
          <w:p/>
        </w:tc>
        <w:tc>
          <w:tcPr>
            <w:tcW w:type="dxa" w:w="1504"/>
            <w:vMerge/>
            <w:tcBorders>
              <w:top w:sz="4.0" w:val="single" w:color="#000000"/>
            </w:tcBorders>
          </w:tcPr>
          <w:p/>
        </w:tc>
        <w:tc>
          <w:tcPr>
            <w:tcW w:type="dxa" w:w="1532"/>
            <w:tcBorders/>
            <w:tcMar>
              <w:start w:w="0" w:type="dxa"/>
              <w:end w:w="0" w:type="dxa"/>
            </w:tcMar>
          </w:tcPr>
          <w:p>
            <w:pPr>
              <w:autoSpaceDN w:val="0"/>
              <w:autoSpaceDE w:val="0"/>
              <w:widowControl/>
              <w:spacing w:line="160" w:lineRule="exact" w:before="24" w:after="0"/>
              <w:ind w:left="170" w:right="0" w:firstLine="0"/>
              <w:jc w:val="left"/>
            </w:pPr>
            <w:r>
              <w:rPr>
                <w:rFonts w:ascii="黑体" w:hAnsi="黑体" w:eastAsia="黑体"/>
                <w:b w:val="0"/>
                <w:i w:val="0"/>
                <w:color w:val="000000"/>
                <w:sz w:val="16"/>
              </w:rPr>
              <w:t>响的金额</w:t>
            </w:r>
          </w:p>
        </w:tc>
        <w:tc>
          <w:tcPr>
            <w:tcW w:type="dxa" w:w="1434"/>
            <w:tcBorders/>
            <w:tcMar>
              <w:start w:w="0" w:type="dxa"/>
              <w:end w:w="0" w:type="dxa"/>
            </w:tcMar>
          </w:tcPr>
          <w:p>
            <w:pPr>
              <w:autoSpaceDN w:val="0"/>
              <w:autoSpaceDE w:val="0"/>
              <w:widowControl/>
              <w:spacing w:line="160" w:lineRule="exact" w:before="24" w:after="0"/>
              <w:ind w:left="56" w:right="0" w:firstLine="0"/>
              <w:jc w:val="left"/>
            </w:pPr>
            <w:r>
              <w:rPr>
                <w:rFonts w:ascii="黑体" w:hAnsi="黑体" w:eastAsia="黑体"/>
                <w:b w:val="0"/>
                <w:i w:val="0"/>
                <w:color w:val="000000"/>
                <w:sz w:val="16"/>
              </w:rPr>
              <w:t>的金额</w:t>
            </w:r>
          </w:p>
        </w:tc>
        <w:tc>
          <w:tcPr>
            <w:tcW w:type="dxa" w:w="1504"/>
            <w:vMerge/>
            <w:tcBorders>
              <w:top w:sz="4.0" w:val="single" w:color="#000000"/>
            </w:tcBorders>
          </w:tcPr>
          <w:p/>
        </w:tc>
      </w:tr>
      <w:tr>
        <w:trPr>
          <w:trHeight w:hRule="exact" w:val="356"/>
        </w:trPr>
        <w:tc>
          <w:tcPr>
            <w:tcW w:type="dxa" w:w="1504"/>
            <w:vMerge/>
            <w:tcBorders>
              <w:top w:sz="4.0" w:val="single" w:color="#000000"/>
            </w:tcBorders>
          </w:tcPr>
          <w:p/>
        </w:tc>
        <w:tc>
          <w:tcPr>
            <w:tcW w:type="dxa" w:w="2022"/>
            <w:tcBorders/>
            <w:tcMar>
              <w:start w:w="0" w:type="dxa"/>
              <w:end w:w="0" w:type="dxa"/>
            </w:tcMar>
          </w:tcPr>
          <w:p>
            <w:pPr>
              <w:autoSpaceDN w:val="0"/>
              <w:autoSpaceDE w:val="0"/>
              <w:widowControl/>
              <w:spacing w:line="230" w:lineRule="auto" w:before="118" w:after="0"/>
              <w:ind w:left="0" w:right="846" w:firstLine="0"/>
              <w:jc w:val="right"/>
            </w:pPr>
            <w:r>
              <w:rPr>
                <w:rFonts w:ascii="Arial" w:hAnsi="Arial" w:eastAsia="Arial"/>
                <w:b w:val="0"/>
                <w:i w:val="0"/>
                <w:color w:val="000000"/>
                <w:sz w:val="16"/>
              </w:rPr>
              <w:t xml:space="preserve">- </w:t>
            </w:r>
          </w:p>
        </w:tc>
        <w:tc>
          <w:tcPr>
            <w:tcW w:type="dxa" w:w="414"/>
            <w:tcBorders/>
            <w:tcMar>
              <w:start w:w="0" w:type="dxa"/>
              <w:end w:w="0" w:type="dxa"/>
            </w:tcMar>
          </w:tcPr>
          <w:p>
            <w:pPr>
              <w:autoSpaceDN w:val="0"/>
              <w:autoSpaceDE w:val="0"/>
              <w:widowControl/>
              <w:spacing w:line="230" w:lineRule="auto" w:before="118" w:after="0"/>
              <w:ind w:left="0" w:right="0" w:firstLine="0"/>
              <w:jc w:val="right"/>
            </w:pPr>
            <w:r>
              <w:rPr>
                <w:rFonts w:ascii="Arial" w:hAnsi="Arial" w:eastAsia="Arial"/>
                <w:b w:val="0"/>
                <w:i w:val="0"/>
                <w:color w:val="000000"/>
                <w:sz w:val="16"/>
              </w:rPr>
              <w:t>-</w:t>
            </w:r>
          </w:p>
        </w:tc>
        <w:tc>
          <w:tcPr>
            <w:tcW w:type="dxa" w:w="1532"/>
            <w:tcBorders/>
            <w:tcMar>
              <w:start w:w="0" w:type="dxa"/>
              <w:end w:w="0" w:type="dxa"/>
            </w:tcMar>
          </w:tcPr>
          <w:p>
            <w:pPr>
              <w:autoSpaceDN w:val="0"/>
              <w:autoSpaceDE w:val="0"/>
              <w:widowControl/>
              <w:spacing w:line="230" w:lineRule="auto" w:before="118" w:after="0"/>
              <w:ind w:left="0" w:right="68" w:firstLine="0"/>
              <w:jc w:val="right"/>
            </w:pPr>
            <w:r>
              <w:rPr>
                <w:rFonts w:ascii="Arial" w:hAnsi="Arial" w:eastAsia="Arial"/>
                <w:b w:val="0"/>
                <w:i w:val="0"/>
                <w:color w:val="000000"/>
                <w:sz w:val="16"/>
              </w:rPr>
              <w:t xml:space="preserve">8,806,855 </w:t>
            </w:r>
          </w:p>
        </w:tc>
        <w:tc>
          <w:tcPr>
            <w:tcW w:type="dxa" w:w="1434"/>
            <w:tcBorders/>
            <w:tcMar>
              <w:start w:w="0" w:type="dxa"/>
              <w:end w:w="0" w:type="dxa"/>
            </w:tcMar>
          </w:tcPr>
          <w:p>
            <w:pPr>
              <w:autoSpaceDN w:val="0"/>
              <w:autoSpaceDE w:val="0"/>
              <w:widowControl/>
              <w:spacing w:line="230" w:lineRule="auto" w:before="118" w:after="0"/>
              <w:ind w:left="0" w:right="202" w:firstLine="0"/>
              <w:jc w:val="right"/>
            </w:pPr>
            <w:r>
              <w:rPr>
                <w:rFonts w:ascii="Arial" w:hAnsi="Arial" w:eastAsia="Arial"/>
                <w:b w:val="0"/>
                <w:i w:val="0"/>
                <w:color w:val="000000"/>
                <w:sz w:val="16"/>
              </w:rPr>
              <w:t xml:space="preserve">- </w:t>
            </w:r>
          </w:p>
        </w:tc>
        <w:tc>
          <w:tcPr>
            <w:tcW w:type="dxa" w:w="1344"/>
            <w:tcBorders/>
            <w:tcMar>
              <w:start w:w="0" w:type="dxa"/>
              <w:end w:w="0" w:type="dxa"/>
            </w:tcMar>
          </w:tcPr>
          <w:p>
            <w:pPr>
              <w:autoSpaceDN w:val="0"/>
              <w:autoSpaceDE w:val="0"/>
              <w:widowControl/>
              <w:spacing w:line="160" w:lineRule="exact" w:before="116" w:after="0"/>
              <w:ind w:left="0" w:right="0" w:firstLine="0"/>
              <w:jc w:val="right"/>
            </w:pPr>
            <w:r>
              <w:rPr>
                <w:rFonts w:ascii="黑体" w:hAnsi="黑体" w:eastAsia="黑体"/>
                <w:b w:val="0"/>
                <w:i w:val="0"/>
                <w:color w:val="000000"/>
                <w:sz w:val="16"/>
              </w:rPr>
              <w:t>应付债券</w:t>
            </w:r>
          </w:p>
        </w:tc>
      </w:tr>
    </w:tbl>
    <w:p>
      <w:pPr>
        <w:autoSpaceDN w:val="0"/>
        <w:autoSpaceDE w:val="0"/>
        <w:widowControl/>
        <w:spacing w:line="178" w:lineRule="exact" w:before="138" w:after="16"/>
        <w:ind w:left="0" w:right="3140"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213"/>
        </w:trPr>
        <w:tc>
          <w:tcPr>
            <w:tcW w:type="dxa" w:w="1758"/>
            <w:tcBorders>
              <w:top w:sz="4.0" w:val="single" w:color="#000000"/>
              <w:bottom w:sz="4.0" w:val="single" w:color="#000000"/>
            </w:tcBorders>
            <w:tcMar>
              <w:start w:w="0" w:type="dxa"/>
              <w:end w:w="0" w:type="dxa"/>
            </w:tcMar>
          </w:tcPr>
          <w:p/>
        </w:tc>
        <w:tc>
          <w:tcPr>
            <w:tcW w:type="dxa" w:w="2446"/>
            <w:gridSpan w:val="2"/>
            <w:tcBorders>
              <w:bottom w:sz="4.0" w:val="single" w:color="#000000"/>
            </w:tcBorders>
            <w:tcMar>
              <w:start w:w="0" w:type="dxa"/>
              <w:end w:w="0" w:type="dxa"/>
            </w:tcMar>
            <w:tcMar>
              <w:start w:w="0" w:type="dxa"/>
              <w:end w:w="0" w:type="dxa"/>
            </w:tcMar>
          </w:tcPr>
          <w:p>
            <w:pPr>
              <w:autoSpaceDN w:val="0"/>
              <w:autoSpaceDE w:val="0"/>
              <w:widowControl/>
              <w:spacing w:line="162" w:lineRule="exact" w:before="26" w:after="0"/>
              <w:ind w:left="0" w:right="0" w:firstLine="0"/>
              <w:jc w:val="center"/>
            </w:pPr>
            <w:r>
              <w:rPr>
                <w:rFonts w:ascii="黑体" w:hAnsi="黑体" w:eastAsia="黑体"/>
                <w:b w:val="0"/>
                <w:i w:val="0"/>
                <w:color w:val="000000"/>
                <w:sz w:val="16"/>
              </w:rPr>
              <w:t>被套期项目账面价值</w:t>
            </w:r>
          </w:p>
        </w:tc>
        <w:tc>
          <w:tcPr>
            <w:tcW w:type="dxa" w:w="1522"/>
            <w:tcBorders>
              <w:bottom w:sz="4.0" w:val="single" w:color="#000000"/>
            </w:tcBorders>
            <w:tcMar>
              <w:start w:w="0" w:type="dxa"/>
              <w:end w:w="0" w:type="dxa"/>
            </w:tcMar>
          </w:tcPr>
          <w:p>
            <w:pPr>
              <w:autoSpaceDN w:val="0"/>
              <w:autoSpaceDE w:val="0"/>
              <w:widowControl/>
              <w:spacing w:line="162" w:lineRule="exact" w:before="26" w:after="0"/>
              <w:ind w:left="0" w:right="0" w:firstLine="0"/>
              <w:jc w:val="center"/>
            </w:pPr>
            <w:r>
              <w:rPr>
                <w:rFonts w:ascii="黑体" w:hAnsi="黑体" w:eastAsia="黑体"/>
                <w:b w:val="0"/>
                <w:i w:val="0"/>
                <w:color w:val="000000"/>
                <w:sz w:val="16"/>
              </w:rPr>
              <w:t>套期工具本年对</w:t>
            </w:r>
          </w:p>
        </w:tc>
        <w:tc>
          <w:tcPr>
            <w:tcW w:type="dxa" w:w="1454"/>
            <w:tcBorders>
              <w:bottom w:sz="4.0" w:val="single" w:color="#000000"/>
            </w:tcBorders>
            <w:tcMar>
              <w:start w:w="0" w:type="dxa"/>
              <w:end w:w="0" w:type="dxa"/>
            </w:tcMar>
          </w:tcPr>
          <w:p>
            <w:pPr>
              <w:autoSpaceDN w:val="0"/>
              <w:autoSpaceDE w:val="0"/>
              <w:widowControl/>
              <w:spacing w:line="162" w:lineRule="exact" w:before="26" w:after="0"/>
              <w:ind w:left="56" w:right="0" w:firstLine="0"/>
              <w:jc w:val="left"/>
            </w:pPr>
            <w:r>
              <w:rPr>
                <w:rFonts w:ascii="黑体" w:hAnsi="黑体" w:eastAsia="黑体"/>
                <w:b w:val="0"/>
                <w:i w:val="0"/>
                <w:color w:val="000000"/>
                <w:sz w:val="16"/>
              </w:rPr>
              <w:t>套期工具累计计</w:t>
            </w:r>
          </w:p>
        </w:tc>
        <w:tc>
          <w:tcPr>
            <w:tcW w:type="dxa" w:w="1324"/>
            <w:tcBorders>
              <w:bottom w:sz="4.0" w:val="single" w:color="#000000"/>
            </w:tcBorders>
            <w:tcMar>
              <w:start w:w="0" w:type="dxa"/>
              <w:end w:w="0" w:type="dxa"/>
            </w:tcMar>
          </w:tcPr>
          <w:p/>
        </w:tc>
      </w:tr>
      <w:tr>
        <w:trPr>
          <w:trHeight w:hRule="exact" w:val="188"/>
        </w:trPr>
        <w:tc>
          <w:tcPr>
            <w:tcW w:type="dxa" w:w="1758"/>
            <w:vMerge w:val="restart"/>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0" w:lineRule="exact" w:before="614" w:after="0"/>
              <w:ind w:left="198" w:right="0" w:firstLine="0"/>
              <w:jc w:val="left"/>
            </w:pPr>
            <w:r>
              <w:rPr>
                <w:rFonts w:ascii="黑体" w:hAnsi="黑体" w:eastAsia="黑体"/>
                <w:b w:val="0"/>
                <w:i w:val="0"/>
                <w:color w:val="000000"/>
                <w:sz w:val="16"/>
              </w:rPr>
              <w:t>债券</w:t>
            </w:r>
          </w:p>
        </w:tc>
        <w:tc>
          <w:tcPr>
            <w:tcW w:type="dxa" w:w="1282"/>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0" w:right="148" w:firstLine="0"/>
              <w:jc w:val="right"/>
            </w:pPr>
            <w:r>
              <w:rPr>
                <w:rFonts w:ascii="黑体" w:hAnsi="黑体" w:eastAsia="黑体"/>
                <w:b w:val="0"/>
                <w:i w:val="0"/>
                <w:color w:val="000000"/>
                <w:sz w:val="16"/>
              </w:rPr>
              <w:t>资产</w:t>
            </w:r>
          </w:p>
        </w:tc>
        <w:tc>
          <w:tcPr>
            <w:tcW w:type="dxa" w:w="1164"/>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0" w:right="6" w:firstLine="0"/>
              <w:jc w:val="right"/>
            </w:pPr>
            <w:r>
              <w:rPr>
                <w:rFonts w:ascii="黑体" w:hAnsi="黑体" w:eastAsia="黑体"/>
                <w:b w:val="0"/>
                <w:i w:val="0"/>
                <w:color w:val="000000"/>
                <w:sz w:val="16"/>
              </w:rPr>
              <w:t>负债</w:t>
            </w:r>
          </w:p>
        </w:tc>
        <w:tc>
          <w:tcPr>
            <w:tcW w:type="dxa" w:w="1522"/>
            <w:tcBorders>
              <w:top w:sz="4.0" w:val="single" w:color="#000000"/>
            </w:tcBorders>
            <w:tcMar>
              <w:start w:w="0" w:type="dxa"/>
              <w:end w:w="0" w:type="dxa"/>
            </w:tcMar>
          </w:tcPr>
          <w:p>
            <w:pPr>
              <w:autoSpaceDN w:val="0"/>
              <w:autoSpaceDE w:val="0"/>
              <w:widowControl/>
              <w:spacing w:line="160" w:lineRule="exact" w:before="14" w:after="0"/>
              <w:ind w:left="0" w:right="0" w:firstLine="0"/>
              <w:jc w:val="center"/>
            </w:pPr>
            <w:r>
              <w:rPr>
                <w:rFonts w:ascii="黑体" w:hAnsi="黑体" w:eastAsia="黑体"/>
                <w:b w:val="0"/>
                <w:i w:val="0"/>
                <w:color w:val="000000"/>
                <w:sz w:val="16"/>
              </w:rPr>
              <w:t>其他综合收益影</w:t>
            </w:r>
          </w:p>
        </w:tc>
        <w:tc>
          <w:tcPr>
            <w:tcW w:type="dxa" w:w="1454"/>
            <w:tcBorders>
              <w:top w:sz="4.0" w:val="single" w:color="#000000"/>
            </w:tcBorders>
            <w:tcMar>
              <w:start w:w="0" w:type="dxa"/>
              <w:end w:w="0" w:type="dxa"/>
            </w:tcMar>
          </w:tcPr>
          <w:p>
            <w:pPr>
              <w:autoSpaceDN w:val="0"/>
              <w:autoSpaceDE w:val="0"/>
              <w:widowControl/>
              <w:spacing w:line="160" w:lineRule="exact" w:before="14" w:after="0"/>
              <w:ind w:left="56" w:right="0" w:firstLine="0"/>
              <w:jc w:val="left"/>
            </w:pPr>
            <w:r>
              <w:rPr>
                <w:rFonts w:ascii="黑体" w:hAnsi="黑体" w:eastAsia="黑体"/>
                <w:b w:val="0"/>
                <w:i w:val="0"/>
                <w:color w:val="000000"/>
                <w:sz w:val="16"/>
              </w:rPr>
              <w:t>入其他综合收益</w:t>
            </w:r>
          </w:p>
        </w:tc>
        <w:tc>
          <w:tcPr>
            <w:tcW w:type="dxa" w:w="1324"/>
            <w:vMerge w:val="restart"/>
            <w:tcBorders>
              <w:top w:sz="4.0" w:val="single" w:color="#000000"/>
            </w:tcBorders>
            <w:tcMar>
              <w:start w:w="0" w:type="dxa"/>
              <w:end w:w="0" w:type="dxa"/>
            </w:tcMar>
            <w:tcMar>
              <w:start w:w="0" w:type="dxa"/>
              <w:end w:w="0" w:type="dxa"/>
            </w:tcMar>
          </w:tcPr>
          <w:p>
            <w:pPr>
              <w:autoSpaceDN w:val="0"/>
              <w:autoSpaceDE w:val="0"/>
              <w:widowControl/>
              <w:spacing w:line="160" w:lineRule="exact" w:before="222" w:after="0"/>
              <w:ind w:left="202" w:right="0" w:firstLine="0"/>
              <w:jc w:val="left"/>
            </w:pPr>
            <w:r>
              <w:rPr>
                <w:rFonts w:ascii="黑体" w:hAnsi="黑体" w:eastAsia="黑体"/>
                <w:b w:val="0"/>
                <w:i w:val="0"/>
                <w:color w:val="000000"/>
                <w:sz w:val="16"/>
              </w:rPr>
              <w:t>资产负债表项目</w:t>
            </w:r>
          </w:p>
        </w:tc>
      </w:tr>
      <w:tr>
        <w:trPr>
          <w:trHeight w:hRule="exact" w:val="300"/>
        </w:trPr>
        <w:tc>
          <w:tcPr>
            <w:tcW w:type="dxa" w:w="1504"/>
            <w:vMerge/>
            <w:tcBorders>
              <w:top w:sz="4.0" w:val="single" w:color="#000000"/>
            </w:tcBorders>
          </w:tcPr>
          <w:p/>
        </w:tc>
        <w:tc>
          <w:tcPr>
            <w:tcW w:type="dxa" w:w="1504"/>
            <w:vMerge/>
            <w:tcBorders>
              <w:top w:sz="4.0" w:val="single" w:color="#000000"/>
            </w:tcBorders>
          </w:tcPr>
          <w:p/>
        </w:tc>
        <w:tc>
          <w:tcPr>
            <w:tcW w:type="dxa" w:w="1504"/>
            <w:vMerge/>
            <w:tcBorders>
              <w:top w:sz="4.0" w:val="single" w:color="#000000"/>
            </w:tcBorders>
          </w:tcPr>
          <w:p/>
        </w:tc>
        <w:tc>
          <w:tcPr>
            <w:tcW w:type="dxa" w:w="1522"/>
            <w:tcBorders/>
            <w:tcMar>
              <w:start w:w="0" w:type="dxa"/>
              <w:end w:w="0" w:type="dxa"/>
            </w:tcMar>
          </w:tcPr>
          <w:p>
            <w:pPr>
              <w:autoSpaceDN w:val="0"/>
              <w:autoSpaceDE w:val="0"/>
              <w:widowControl/>
              <w:spacing w:line="160" w:lineRule="exact" w:before="40" w:after="0"/>
              <w:ind w:left="160" w:right="0" w:firstLine="0"/>
              <w:jc w:val="left"/>
            </w:pPr>
            <w:r>
              <w:rPr>
                <w:rFonts w:ascii="黑体" w:hAnsi="黑体" w:eastAsia="黑体"/>
                <w:b w:val="0"/>
                <w:i w:val="0"/>
                <w:color w:val="000000"/>
                <w:sz w:val="16"/>
              </w:rPr>
              <w:t>响的金额</w:t>
            </w:r>
          </w:p>
        </w:tc>
        <w:tc>
          <w:tcPr>
            <w:tcW w:type="dxa" w:w="1454"/>
            <w:tcBorders/>
            <w:tcMar>
              <w:start w:w="0" w:type="dxa"/>
              <w:end w:w="0" w:type="dxa"/>
            </w:tcMar>
          </w:tcPr>
          <w:p>
            <w:pPr>
              <w:autoSpaceDN w:val="0"/>
              <w:autoSpaceDE w:val="0"/>
              <w:widowControl/>
              <w:spacing w:line="160" w:lineRule="exact" w:before="40" w:after="0"/>
              <w:ind w:left="56" w:right="0" w:firstLine="0"/>
              <w:jc w:val="left"/>
            </w:pPr>
            <w:r>
              <w:rPr>
                <w:rFonts w:ascii="黑体" w:hAnsi="黑体" w:eastAsia="黑体"/>
                <w:b w:val="0"/>
                <w:i w:val="0"/>
                <w:color w:val="000000"/>
                <w:sz w:val="16"/>
              </w:rPr>
              <w:t>的金额</w:t>
            </w:r>
          </w:p>
        </w:tc>
        <w:tc>
          <w:tcPr>
            <w:tcW w:type="dxa" w:w="1504"/>
            <w:vMerge/>
            <w:tcBorders>
              <w:top w:sz="4.0" w:val="single" w:color="#000000"/>
            </w:tcBorders>
          </w:tcPr>
          <w:p/>
        </w:tc>
      </w:tr>
      <w:tr>
        <w:trPr>
          <w:trHeight w:hRule="exact" w:val="372"/>
        </w:trPr>
        <w:tc>
          <w:tcPr>
            <w:tcW w:type="dxa" w:w="1504"/>
            <w:vMerge/>
            <w:tcBorders>
              <w:top w:sz="4.0" w:val="single" w:color="#000000"/>
            </w:tcBorders>
          </w:tcPr>
          <w:p/>
        </w:tc>
        <w:tc>
          <w:tcPr>
            <w:tcW w:type="dxa" w:w="1282"/>
            <w:tcBorders/>
            <w:tcMar>
              <w:start w:w="0" w:type="dxa"/>
              <w:end w:w="0" w:type="dxa"/>
            </w:tcMar>
          </w:tcPr>
          <w:p>
            <w:pPr>
              <w:autoSpaceDN w:val="0"/>
              <w:autoSpaceDE w:val="0"/>
              <w:widowControl/>
              <w:spacing w:line="230" w:lineRule="auto" w:before="134" w:after="0"/>
              <w:ind w:left="0" w:right="106" w:firstLine="0"/>
              <w:jc w:val="right"/>
            </w:pPr>
            <w:r>
              <w:rPr>
                <w:rFonts w:ascii="Arial" w:hAnsi="Arial" w:eastAsia="Arial"/>
                <w:b w:val="0"/>
                <w:i w:val="0"/>
                <w:color w:val="000000"/>
                <w:sz w:val="16"/>
              </w:rPr>
              <w:t xml:space="preserve">- </w:t>
            </w:r>
          </w:p>
        </w:tc>
        <w:tc>
          <w:tcPr>
            <w:tcW w:type="dxa" w:w="1164"/>
            <w:tcBorders/>
            <w:tcMar>
              <w:start w:w="0" w:type="dxa"/>
              <w:end w:w="0" w:type="dxa"/>
            </w:tcMar>
          </w:tcPr>
          <w:p>
            <w:pPr>
              <w:autoSpaceDN w:val="0"/>
              <w:autoSpaceDE w:val="0"/>
              <w:widowControl/>
              <w:spacing w:line="230" w:lineRule="auto" w:before="134" w:after="0"/>
              <w:ind w:left="132" w:right="0" w:firstLine="0"/>
              <w:jc w:val="left"/>
            </w:pPr>
            <w:r>
              <w:rPr>
                <w:rFonts w:ascii="Arial" w:hAnsi="Arial" w:eastAsia="Arial"/>
                <w:b w:val="0"/>
                <w:i w:val="0"/>
                <w:color w:val="000000"/>
                <w:sz w:val="16"/>
              </w:rPr>
              <w:t>1,238,039,607</w:t>
            </w:r>
          </w:p>
        </w:tc>
        <w:tc>
          <w:tcPr>
            <w:tcW w:type="dxa" w:w="1522"/>
            <w:tcBorders/>
            <w:tcMar>
              <w:start w:w="0" w:type="dxa"/>
              <w:end w:w="0" w:type="dxa"/>
            </w:tcMar>
          </w:tcPr>
          <w:p>
            <w:pPr>
              <w:autoSpaceDN w:val="0"/>
              <w:autoSpaceDE w:val="0"/>
              <w:widowControl/>
              <w:spacing w:line="230" w:lineRule="auto" w:before="134" w:after="0"/>
              <w:ind w:left="0" w:right="68" w:firstLine="0"/>
              <w:jc w:val="right"/>
            </w:pPr>
            <w:r>
              <w:rPr>
                <w:rFonts w:ascii="Arial" w:hAnsi="Arial" w:eastAsia="Arial"/>
                <w:b w:val="0"/>
                <w:i w:val="0"/>
                <w:color w:val="000000"/>
                <w:sz w:val="16"/>
              </w:rPr>
              <w:t xml:space="preserve">21,270,959 </w:t>
            </w:r>
          </w:p>
        </w:tc>
        <w:tc>
          <w:tcPr>
            <w:tcW w:type="dxa" w:w="1454"/>
            <w:tcBorders/>
            <w:tcMar>
              <w:start w:w="0" w:type="dxa"/>
              <w:end w:w="0" w:type="dxa"/>
            </w:tcMar>
          </w:tcPr>
          <w:p>
            <w:pPr>
              <w:autoSpaceDN w:val="0"/>
              <w:autoSpaceDE w:val="0"/>
              <w:widowControl/>
              <w:spacing w:line="230" w:lineRule="auto" w:before="134" w:after="0"/>
              <w:ind w:left="0" w:right="166" w:firstLine="0"/>
              <w:jc w:val="right"/>
            </w:pPr>
            <w:r>
              <w:rPr>
                <w:rFonts w:ascii="Arial" w:hAnsi="Arial" w:eastAsia="Arial"/>
                <w:b w:val="0"/>
                <w:i w:val="0"/>
                <w:color w:val="000000"/>
                <w:sz w:val="16"/>
              </w:rPr>
              <w:t xml:space="preserve">(8,806,855 ) </w:t>
            </w:r>
          </w:p>
        </w:tc>
        <w:tc>
          <w:tcPr>
            <w:tcW w:type="dxa" w:w="1324"/>
            <w:tcBorders/>
            <w:tcMar>
              <w:start w:w="0" w:type="dxa"/>
              <w:end w:w="0" w:type="dxa"/>
            </w:tcMar>
          </w:tcPr>
          <w:p>
            <w:pPr>
              <w:autoSpaceDN w:val="0"/>
              <w:autoSpaceDE w:val="0"/>
              <w:widowControl/>
              <w:spacing w:line="160" w:lineRule="exact" w:before="132" w:after="0"/>
              <w:ind w:left="0" w:right="0" w:firstLine="0"/>
              <w:jc w:val="right"/>
            </w:pPr>
            <w:r>
              <w:rPr>
                <w:rFonts w:ascii="黑体" w:hAnsi="黑体" w:eastAsia="黑体"/>
                <w:b w:val="0"/>
                <w:i w:val="0"/>
                <w:color w:val="000000"/>
                <w:sz w:val="16"/>
              </w:rPr>
              <w:t>应付债券</w:t>
            </w:r>
          </w:p>
        </w:tc>
      </w:tr>
    </w:tbl>
    <w:p>
      <w:pPr>
        <w:autoSpaceDN w:val="0"/>
        <w:autoSpaceDE w:val="0"/>
        <w:widowControl/>
        <w:spacing w:line="233" w:lineRule="auto" w:before="6200" w:after="0"/>
        <w:ind w:left="0" w:right="0" w:firstLine="0"/>
        <w:jc w:val="center"/>
      </w:pPr>
      <w:r>
        <w:rPr>
          <w:rFonts w:ascii="Arial" w:hAnsi="Arial" w:eastAsia="Arial"/>
          <w:b w:val="0"/>
          <w:i w:val="0"/>
          <w:color w:val="000000"/>
          <w:sz w:val="20"/>
        </w:rPr>
        <w:t xml:space="preserve">204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36" w:lineRule="exact" w:before="0" w:after="234"/>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5. </w:t>
      </w:r>
      <w:r>
        <w:tab/>
      </w:r>
      <w:r>
        <w:rPr>
          <w:rFonts w:ascii="黑体" w:hAnsi="黑体" w:eastAsia="黑体"/>
          <w:b w:val="0"/>
          <w:i w:val="0"/>
          <w:color w:val="000000"/>
          <w:sz w:val="22"/>
        </w:rPr>
        <w:t>买入返售金融资产</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按金融资产种类列示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300"/>
        </w:trPr>
        <w:tc>
          <w:tcPr>
            <w:tcW w:type="dxa" w:w="4564"/>
            <w:vMerge w:val="restart"/>
            <w:tcBorders/>
            <w:tcMar>
              <w:start w:w="0" w:type="dxa"/>
              <w:end w:w="0" w:type="dxa"/>
            </w:tcMar>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债券</w:t>
            </w:r>
          </w:p>
        </w:tc>
        <w:tc>
          <w:tcPr>
            <w:tcW w:type="dxa" w:w="2084"/>
            <w:tcBorders/>
            <w:tcMar>
              <w:start w:w="0" w:type="dxa"/>
              <w:end w:w="0" w:type="dxa"/>
            </w:tcMar>
          </w:tcPr>
          <w:p>
            <w:pPr>
              <w:autoSpaceDN w:val="0"/>
              <w:autoSpaceDE w:val="0"/>
              <w:widowControl/>
              <w:spacing w:line="246" w:lineRule="exact" w:before="54"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112"/>
            <w:vMerge w:val="restart"/>
            <w:tcBorders/>
            <w:tcMar>
              <w:start w:w="0" w:type="dxa"/>
              <w:end w:w="0" w:type="dxa"/>
            </w:tcMar>
            <w:tcMar>
              <w:start w:w="0" w:type="dxa"/>
              <w:end w:w="0" w:type="dxa"/>
            </w:tcMar>
          </w:tcPr>
          <w:p>
            <w:pPr>
              <w:autoSpaceDN w:val="0"/>
              <w:autoSpaceDE w:val="0"/>
              <w:widowControl/>
              <w:spacing w:line="264" w:lineRule="exact" w:before="60" w:after="0"/>
              <w:ind w:left="12"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68"/>
        </w:trPr>
        <w:tc>
          <w:tcPr>
            <w:tcW w:type="dxa" w:w="3009"/>
            <w:vMerge/>
            <w:tcBorders/>
          </w:tcPr>
          <w:p/>
        </w:tc>
        <w:tc>
          <w:tcPr>
            <w:tcW w:type="dxa" w:w="2084"/>
            <w:vMerge w:val="restart"/>
            <w:tcBorders/>
            <w:tcMar>
              <w:start w:w="0" w:type="dxa"/>
              <w:end w:w="0" w:type="dxa"/>
            </w:tcMar>
            <w:tcMar>
              <w:start w:w="0" w:type="dxa"/>
              <w:end w:w="0" w:type="dxa"/>
            </w:tcMar>
            <w:tcMar>
              <w:start w:w="0" w:type="dxa"/>
              <w:end w:w="0" w:type="dxa"/>
            </w:tcMar>
          </w:tcPr>
          <w:p>
            <w:pPr>
              <w:autoSpaceDN w:val="0"/>
              <w:autoSpaceDE w:val="0"/>
              <w:widowControl/>
              <w:spacing w:line="235" w:lineRule="auto" w:before="314" w:after="0"/>
              <w:ind w:left="466" w:right="0" w:firstLine="0"/>
              <w:jc w:val="left"/>
            </w:pPr>
            <w:r>
              <w:rPr>
                <w:rFonts w:ascii="Arial" w:hAnsi="Arial" w:eastAsia="Arial"/>
                <w:b w:val="0"/>
                <w:i w:val="0"/>
                <w:color w:val="000000"/>
                <w:sz w:val="22"/>
              </w:rPr>
              <w:t>1,306,989,843</w:t>
            </w:r>
          </w:p>
        </w:tc>
        <w:tc>
          <w:tcPr>
            <w:tcW w:type="dxa" w:w="3009"/>
            <w:vMerge/>
            <w:tcBorders/>
          </w:tcPr>
          <w:p/>
        </w:tc>
      </w:tr>
      <w:tr>
        <w:trPr>
          <w:trHeight w:hRule="exact" w:val="372"/>
        </w:trPr>
        <w:tc>
          <w:tcPr>
            <w:tcW w:type="dxa" w:w="3009"/>
            <w:vMerge/>
            <w:tcBorders/>
          </w:tcPr>
          <w:p/>
        </w:tc>
        <w:tc>
          <w:tcPr>
            <w:tcW w:type="dxa" w:w="3009"/>
            <w:vMerge/>
            <w:tcBorders/>
          </w:tcPr>
          <w:p/>
        </w:tc>
        <w:tc>
          <w:tcPr>
            <w:tcW w:type="dxa" w:w="2112"/>
            <w:vMerge w:val="restart"/>
            <w:tcBorders/>
            <w:tcMar>
              <w:start w:w="0" w:type="dxa"/>
              <w:end w:w="0" w:type="dxa"/>
            </w:tcMar>
            <w:tcMar>
              <w:start w:w="0" w:type="dxa"/>
              <w:end w:w="0" w:type="dxa"/>
            </w:tcMar>
          </w:tcPr>
          <w:p>
            <w:pPr>
              <w:autoSpaceDN w:val="0"/>
              <w:autoSpaceDE w:val="0"/>
              <w:widowControl/>
              <w:spacing w:line="235" w:lineRule="auto" w:before="146" w:after="0"/>
              <w:ind w:left="0" w:right="224" w:firstLine="0"/>
              <w:jc w:val="right"/>
            </w:pPr>
            <w:r>
              <w:rPr>
                <w:rFonts w:ascii="Arial" w:hAnsi="Arial" w:eastAsia="Arial"/>
                <w:b w:val="0"/>
                <w:i w:val="0"/>
                <w:color w:val="000000"/>
                <w:sz w:val="22"/>
              </w:rPr>
              <w:t>773,639,898</w:t>
            </w:r>
          </w:p>
        </w:tc>
      </w:tr>
      <w:tr>
        <w:trPr>
          <w:trHeight w:hRule="exact" w:val="4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股票</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2084"/>
            <w:tcBorders>
              <w:bottom w:sz="4.0" w:val="single" w:color="#000000"/>
            </w:tcBorders>
            <w:tcMar>
              <w:start w:w="0" w:type="dxa"/>
              <w:end w:w="0" w:type="dxa"/>
            </w:tcMar>
          </w:tcPr>
          <w:p>
            <w:pPr>
              <w:autoSpaceDN w:val="0"/>
              <w:autoSpaceDE w:val="0"/>
              <w:widowControl/>
              <w:spacing w:line="233" w:lineRule="auto" w:before="20" w:after="0"/>
              <w:ind w:left="0" w:right="208" w:firstLine="0"/>
              <w:jc w:val="right"/>
            </w:pPr>
            <w:r>
              <w:rPr>
                <w:rFonts w:ascii="Arial" w:hAnsi="Arial" w:eastAsia="Arial"/>
                <w:b w:val="0"/>
                <w:i w:val="0"/>
                <w:color w:val="000000"/>
                <w:sz w:val="22"/>
              </w:rPr>
              <w:t>679,341,075</w:t>
            </w:r>
          </w:p>
        </w:tc>
        <w:tc>
          <w:tcPr>
            <w:tcW w:type="dxa" w:w="2112"/>
            <w:tcBorders>
              <w:bottom w:sz="4.0" w:val="single" w:color="#000000"/>
            </w:tcBorders>
            <w:tcMar>
              <w:start w:w="0" w:type="dxa"/>
              <w:end w:w="0" w:type="dxa"/>
            </w:tcMar>
          </w:tcPr>
          <w:p>
            <w:pPr>
              <w:autoSpaceDN w:val="0"/>
              <w:autoSpaceDE w:val="0"/>
              <w:widowControl/>
              <w:spacing w:line="233" w:lineRule="auto" w:before="20" w:after="0"/>
              <w:ind w:left="478" w:right="0" w:firstLine="0"/>
              <w:jc w:val="left"/>
            </w:pPr>
            <w:r>
              <w:rPr>
                <w:rFonts w:ascii="Arial" w:hAnsi="Arial" w:eastAsia="Arial"/>
                <w:b w:val="0"/>
                <w:i w:val="0"/>
                <w:color w:val="000000"/>
                <w:sz w:val="22"/>
              </w:rPr>
              <w:t>1,154,142,920</w:t>
            </w:r>
          </w:p>
        </w:tc>
      </w:tr>
      <w:tr>
        <w:trPr>
          <w:trHeight w:hRule="exact" w:val="546"/>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小计</w:t>
            </w:r>
          </w:p>
        </w:tc>
        <w:tc>
          <w:tcPr>
            <w:tcW w:type="dxa" w:w="2084"/>
            <w:tcBorders>
              <w:top w:sz="4.0" w:val="single" w:color="#000000"/>
              <w:bottom w:sz="4.0" w:val="single" w:color="#000000"/>
            </w:tcBorders>
            <w:tcMar>
              <w:start w:w="0" w:type="dxa"/>
              <w:end w:w="0" w:type="dxa"/>
            </w:tcMar>
          </w:tcPr>
          <w:p>
            <w:pPr>
              <w:autoSpaceDN w:val="0"/>
              <w:autoSpaceDE w:val="0"/>
              <w:widowControl/>
              <w:spacing w:line="233" w:lineRule="auto" w:before="288" w:after="0"/>
              <w:ind w:left="466" w:right="0" w:firstLine="0"/>
              <w:jc w:val="left"/>
            </w:pPr>
            <w:r>
              <w:rPr>
                <w:rFonts w:ascii="Arial" w:hAnsi="Arial" w:eastAsia="Arial"/>
                <w:b w:val="0"/>
                <w:i w:val="0"/>
                <w:color w:val="000000"/>
                <w:sz w:val="22"/>
              </w:rPr>
              <w:t>1,986,330,918</w:t>
            </w:r>
          </w:p>
        </w:tc>
        <w:tc>
          <w:tcPr>
            <w:tcW w:type="dxa" w:w="2112"/>
            <w:tcBorders>
              <w:top w:sz="4.0" w:val="single" w:color="#000000"/>
              <w:bottom w:sz="4.0" w:val="single" w:color="#000000"/>
            </w:tcBorders>
            <w:tcMar>
              <w:start w:w="0" w:type="dxa"/>
              <w:end w:w="0" w:type="dxa"/>
            </w:tcMar>
          </w:tcPr>
          <w:p>
            <w:pPr>
              <w:autoSpaceDN w:val="0"/>
              <w:autoSpaceDE w:val="0"/>
              <w:widowControl/>
              <w:spacing w:line="233" w:lineRule="auto" w:before="288" w:after="0"/>
              <w:ind w:left="478" w:right="0" w:firstLine="0"/>
              <w:jc w:val="left"/>
            </w:pPr>
            <w:r>
              <w:rPr>
                <w:rFonts w:ascii="Arial" w:hAnsi="Arial" w:eastAsia="Arial"/>
                <w:b w:val="0"/>
                <w:i w:val="0"/>
                <w:color w:val="000000"/>
                <w:sz w:val="22"/>
              </w:rPr>
              <w:t>1,927,782,818</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减：减值准备</w:t>
            </w:r>
          </w:p>
        </w:tc>
        <w:tc>
          <w:tcPr>
            <w:tcW w:type="dxa" w:w="2084"/>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78" w:firstLine="0"/>
              <w:jc w:val="right"/>
            </w:pPr>
            <w:r>
              <w:rPr>
                <w:rFonts w:ascii="Arial" w:hAnsi="Arial" w:eastAsia="Arial"/>
                <w:b w:val="0"/>
                <w:i w:val="0"/>
                <w:color w:val="000000"/>
                <w:sz w:val="22"/>
              </w:rPr>
              <w:t xml:space="preserve">(8,797,082) </w:t>
            </w:r>
          </w:p>
        </w:tc>
        <w:tc>
          <w:tcPr>
            <w:tcW w:type="dxa" w:w="2112"/>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92" w:firstLine="0"/>
              <w:jc w:val="right"/>
            </w:pPr>
            <w:r>
              <w:rPr>
                <w:rFonts w:ascii="Arial" w:hAnsi="Arial" w:eastAsia="Arial"/>
                <w:b w:val="0"/>
                <w:i w:val="0"/>
                <w:color w:val="000000"/>
                <w:sz w:val="22"/>
              </w:rPr>
              <w:t xml:space="preserve">(11,541,429)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2084"/>
            <w:tcBorders>
              <w:top w:sz="4.0"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1,977,533,836</w:t>
            </w:r>
          </w:p>
        </w:tc>
        <w:tc>
          <w:tcPr>
            <w:tcW w:type="dxa" w:w="2112"/>
            <w:tcBorders>
              <w:top w:sz="4.0" w:val="single" w:color="#000000"/>
              <w:bottom w:sz="4.0" w:val="single" w:color="#000000"/>
            </w:tcBorders>
            <w:tcMar>
              <w:start w:w="0" w:type="dxa"/>
              <w:end w:w="0" w:type="dxa"/>
            </w:tcMar>
          </w:tcPr>
          <w:p>
            <w:pPr>
              <w:autoSpaceDN w:val="0"/>
              <w:autoSpaceDE w:val="0"/>
              <w:widowControl/>
              <w:spacing w:line="233" w:lineRule="auto" w:before="290" w:after="0"/>
              <w:ind w:left="478" w:right="0" w:firstLine="0"/>
              <w:jc w:val="left"/>
            </w:pPr>
            <w:r>
              <w:rPr>
                <w:rFonts w:ascii="Arial" w:hAnsi="Arial" w:eastAsia="Arial"/>
                <w:b w:val="0"/>
                <w:i w:val="0"/>
                <w:color w:val="000000"/>
                <w:sz w:val="22"/>
              </w:rPr>
              <w:t>1,916,241,389</w:t>
            </w:r>
          </w:p>
        </w:tc>
      </w:tr>
      <w:tr>
        <w:trPr>
          <w:trHeight w:hRule="exact" w:val="52"/>
        </w:trPr>
        <w:tc>
          <w:tcPr>
            <w:tcW w:type="dxa" w:w="4564"/>
            <w:tcBorders>
              <w:top w:sz="4.0" w:val="single" w:color="#000000"/>
            </w:tcBorders>
            <w:tcMar>
              <w:start w:w="0" w:type="dxa"/>
              <w:end w:w="0" w:type="dxa"/>
            </w:tcMar>
          </w:tcPr>
          <w:p/>
        </w:tc>
        <w:tc>
          <w:tcPr>
            <w:tcW w:type="dxa" w:w="2084"/>
            <w:tcBorders>
              <w:top w:sz="4.0" w:val="single" w:color="#000000"/>
            </w:tcBorders>
            <w:tcMar>
              <w:start w:w="0" w:type="dxa"/>
              <w:end w:w="0" w:type="dxa"/>
            </w:tcMar>
          </w:tcPr>
          <w:p/>
        </w:tc>
        <w:tc>
          <w:tcPr>
            <w:tcW w:type="dxa" w:w="2112"/>
            <w:tcBorders>
              <w:top w:sz="4.0" w:val="single" w:color="#000000"/>
            </w:tcBorders>
            <w:tcMar>
              <w:start w:w="0" w:type="dxa"/>
              <w:end w:w="0" w:type="dxa"/>
            </w:tcMar>
          </w:tcPr>
          <w:p/>
        </w:tc>
      </w:tr>
    </w:tbl>
    <w:p>
      <w:pPr>
        <w:autoSpaceDN w:val="0"/>
        <w:autoSpaceDE w:val="0"/>
        <w:widowControl/>
        <w:spacing w:line="246" w:lineRule="exact" w:before="244"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按业务类别列示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4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12" w:after="0"/>
              <w:ind w:left="198" w:right="0" w:firstLine="0"/>
              <w:jc w:val="left"/>
            </w:pPr>
            <w:r>
              <w:rPr>
                <w:rFonts w:ascii="黑体" w:hAnsi="黑体" w:eastAsia="黑体"/>
                <w:b w:val="0"/>
                <w:i w:val="0"/>
                <w:color w:val="000000"/>
                <w:sz w:val="22"/>
              </w:rPr>
              <w:t>债券质押式回购</w:t>
            </w:r>
          </w:p>
        </w:tc>
        <w:tc>
          <w:tcPr>
            <w:tcW w:type="dxa" w:w="2098"/>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3009"/>
            <w:vMerge/>
            <w:tcBorders/>
          </w:tcPr>
          <w:p/>
        </w:tc>
        <w:tc>
          <w:tcPr>
            <w:tcW w:type="dxa" w:w="2098"/>
            <w:tcBorders/>
            <w:tcMar>
              <w:start w:w="0" w:type="dxa"/>
              <w:end w:w="0" w:type="dxa"/>
            </w:tcMar>
          </w:tcPr>
          <w:p>
            <w:pPr>
              <w:autoSpaceDN w:val="0"/>
              <w:autoSpaceDE w:val="0"/>
              <w:widowControl/>
              <w:spacing w:line="233" w:lineRule="auto" w:before="154" w:after="0"/>
              <w:ind w:left="466" w:right="0" w:firstLine="0"/>
              <w:jc w:val="left"/>
            </w:pPr>
            <w:r>
              <w:rPr>
                <w:rFonts w:ascii="Arial" w:hAnsi="Arial" w:eastAsia="Arial"/>
                <w:b w:val="0"/>
                <w:i w:val="0"/>
                <w:color w:val="000000"/>
                <w:sz w:val="22"/>
              </w:rPr>
              <w:t>1,306,989,843</w:t>
            </w:r>
          </w:p>
        </w:tc>
        <w:tc>
          <w:tcPr>
            <w:tcW w:type="dxa" w:w="2098"/>
            <w:tcBorders/>
            <w:tcMar>
              <w:start w:w="0" w:type="dxa"/>
              <w:end w:w="0" w:type="dxa"/>
            </w:tcMar>
          </w:tcPr>
          <w:p>
            <w:pPr>
              <w:autoSpaceDN w:val="0"/>
              <w:autoSpaceDE w:val="0"/>
              <w:widowControl/>
              <w:spacing w:line="233" w:lineRule="auto" w:before="154" w:after="0"/>
              <w:ind w:left="0" w:right="224" w:firstLine="0"/>
              <w:jc w:val="right"/>
            </w:pPr>
            <w:r>
              <w:rPr>
                <w:rFonts w:ascii="Arial" w:hAnsi="Arial" w:eastAsia="Arial"/>
                <w:b w:val="0"/>
                <w:i w:val="0"/>
                <w:color w:val="000000"/>
                <w:sz w:val="22"/>
              </w:rPr>
              <w:t>763,567,923</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股票质押式回购</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222" w:firstLine="0"/>
              <w:jc w:val="right"/>
            </w:pPr>
            <w:r>
              <w:rPr>
                <w:rFonts w:ascii="Arial" w:hAnsi="Arial" w:eastAsia="Arial"/>
                <w:b w:val="0"/>
                <w:i w:val="0"/>
                <w:color w:val="000000"/>
                <w:sz w:val="22"/>
              </w:rPr>
              <w:t>679,341,075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464" w:right="0" w:firstLine="0"/>
              <w:jc w:val="left"/>
            </w:pPr>
            <w:r>
              <w:rPr>
                <w:rFonts w:ascii="Arial" w:hAnsi="Arial" w:eastAsia="Arial"/>
                <w:b w:val="0"/>
                <w:i w:val="0"/>
                <w:color w:val="000000"/>
                <w:sz w:val="22"/>
              </w:rPr>
              <w:t>1,151,528,460</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债券买断式回购</w:t>
            </w:r>
          </w:p>
        </w:tc>
        <w:tc>
          <w:tcPr>
            <w:tcW w:type="dxa" w:w="3009"/>
            <w:vMerge/>
            <w:tcBorders/>
          </w:tcPr>
          <w:p/>
        </w:tc>
        <w:tc>
          <w:tcPr>
            <w:tcW w:type="dxa" w:w="3009"/>
            <w:vMerge/>
            <w:tcBorders/>
          </w:tcPr>
          <w:p/>
        </w:tc>
      </w:tr>
      <w:tr>
        <w:trPr>
          <w:trHeight w:hRule="exact" w:val="236"/>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10,071,975</w:t>
            </w:r>
          </w:p>
        </w:tc>
      </w:tr>
      <w:tr>
        <w:trPr>
          <w:trHeight w:hRule="exact" w:val="4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约定购回式证券交易</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2,614,460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小计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6" w:right="0" w:firstLine="0"/>
              <w:jc w:val="left"/>
            </w:pPr>
            <w:r>
              <w:rPr>
                <w:rFonts w:ascii="Arial" w:hAnsi="Arial" w:eastAsia="Arial"/>
                <w:b w:val="0"/>
                <w:i w:val="0"/>
                <w:color w:val="000000"/>
                <w:sz w:val="22"/>
              </w:rPr>
              <w:t>1,986,330,918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4" w:right="0" w:firstLine="0"/>
              <w:jc w:val="left"/>
            </w:pPr>
            <w:r>
              <w:rPr>
                <w:rFonts w:ascii="Arial" w:hAnsi="Arial" w:eastAsia="Arial"/>
                <w:b w:val="0"/>
                <w:i w:val="0"/>
                <w:color w:val="000000"/>
                <w:sz w:val="22"/>
              </w:rPr>
              <w:t>1,927,782,818</w:t>
            </w:r>
          </w:p>
        </w:tc>
      </w:tr>
      <w:tr>
        <w:trPr>
          <w:trHeight w:hRule="exact" w:val="546"/>
        </w:trPr>
        <w:tc>
          <w:tcPr>
            <w:tcW w:type="dxa" w:w="4564"/>
            <w:tcBorders>
              <w:top w:sz="4.0" w:val="single" w:color="#000000"/>
              <w:bottom w:sz="3.200000000000273" w:val="single" w:color="#000000"/>
            </w:tcBorders>
            <w:tcMar>
              <w:start w:w="0" w:type="dxa"/>
              <w:end w:w="0" w:type="dxa"/>
            </w:tcMar>
          </w:tcPr>
          <w:p>
            <w:pPr>
              <w:autoSpaceDN w:val="0"/>
              <w:autoSpaceDE w:val="0"/>
              <w:widowControl/>
              <w:spacing w:line="222" w:lineRule="exact" w:before="278" w:after="0"/>
              <w:ind w:left="198" w:right="0" w:firstLine="0"/>
              <w:jc w:val="left"/>
            </w:pPr>
            <w:r>
              <w:rPr>
                <w:rFonts w:ascii="黑体" w:hAnsi="黑体" w:eastAsia="黑体"/>
                <w:b w:val="0"/>
                <w:i w:val="0"/>
                <w:color w:val="000000"/>
                <w:sz w:val="22"/>
              </w:rPr>
              <w:t>减：减值准备</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0" w:right="92" w:firstLine="0"/>
              <w:jc w:val="right"/>
            </w:pPr>
            <w:r>
              <w:rPr>
                <w:rFonts w:ascii="Arial" w:hAnsi="Arial" w:eastAsia="Arial"/>
                <w:b w:val="0"/>
                <w:i w:val="0"/>
                <w:color w:val="000000"/>
                <w:sz w:val="22"/>
              </w:rPr>
              <w:t xml:space="preserve">(8,797,082) </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0" w:right="92" w:firstLine="0"/>
              <w:jc w:val="right"/>
            </w:pPr>
            <w:r>
              <w:rPr>
                <w:rFonts w:ascii="Arial" w:hAnsi="Arial" w:eastAsia="Arial"/>
                <w:b w:val="0"/>
                <w:i w:val="0"/>
                <w:color w:val="000000"/>
                <w:sz w:val="22"/>
              </w:rPr>
              <w:t xml:space="preserve">(11,541,429) </w:t>
            </w:r>
          </w:p>
        </w:tc>
      </w:tr>
      <w:tr>
        <w:trPr>
          <w:trHeight w:hRule="exact" w:val="550"/>
        </w:trPr>
        <w:tc>
          <w:tcPr>
            <w:tcW w:type="dxa" w:w="4564"/>
            <w:tcBorders>
              <w:top w:sz="3.200000000000273"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2098"/>
            <w:tcBorders>
              <w:top w:sz="3.200000000000273"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1,977,533,836</w:t>
            </w:r>
          </w:p>
        </w:tc>
        <w:tc>
          <w:tcPr>
            <w:tcW w:type="dxa" w:w="2098"/>
            <w:tcBorders>
              <w:top w:sz="3.200000000000273" w:val="single" w:color="#000000"/>
              <w:bottom w:sz="4.0" w:val="single" w:color="#000000"/>
            </w:tcBorders>
            <w:tcMar>
              <w:start w:w="0" w:type="dxa"/>
              <w:end w:w="0" w:type="dxa"/>
            </w:tcMar>
          </w:tcPr>
          <w:p>
            <w:pPr>
              <w:autoSpaceDN w:val="0"/>
              <w:autoSpaceDE w:val="0"/>
              <w:widowControl/>
              <w:spacing w:line="233" w:lineRule="auto" w:before="290" w:after="0"/>
              <w:ind w:left="464" w:right="0" w:firstLine="0"/>
              <w:jc w:val="left"/>
            </w:pPr>
            <w:r>
              <w:rPr>
                <w:rFonts w:ascii="Arial" w:hAnsi="Arial" w:eastAsia="Arial"/>
                <w:b w:val="0"/>
                <w:i w:val="0"/>
                <w:color w:val="000000"/>
                <w:sz w:val="22"/>
              </w:rPr>
              <w:t>1,916,241,389</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5380" w:after="0"/>
        <w:ind w:left="0" w:right="0" w:firstLine="0"/>
        <w:jc w:val="center"/>
      </w:pPr>
      <w:r>
        <w:rPr>
          <w:rFonts w:ascii="Arial" w:hAnsi="Arial" w:eastAsia="Arial"/>
          <w:b w:val="0"/>
          <w:i w:val="0"/>
          <w:color w:val="000000"/>
          <w:sz w:val="20"/>
        </w:rPr>
        <w:t xml:space="preserve">205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36" w:lineRule="exact" w:before="0" w:after="188"/>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5. </w:t>
      </w:r>
      <w:r>
        <w:rPr>
          <w:rFonts w:ascii="黑体" w:hAnsi="黑体" w:eastAsia="黑体"/>
          <w:b w:val="0"/>
          <w:i w:val="0"/>
          <w:color w:val="000000"/>
          <w:sz w:val="22"/>
        </w:rPr>
        <w:t>买入返售金融资产（续）</w:t>
      </w:r>
      <w:r>
        <w:br/>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股票质押按剩余期限分析</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46"/>
        </w:trPr>
        <w:tc>
          <w:tcPr>
            <w:tcW w:type="dxa" w:w="4564"/>
            <w:vMerge w:val="restart"/>
            <w:tcBorders/>
            <w:tcMar>
              <w:start w:w="0" w:type="dxa"/>
              <w:end w:w="0" w:type="dxa"/>
            </w:tcMar>
            <w:tcMar>
              <w:start w:w="0" w:type="dxa"/>
              <w:end w:w="0" w:type="dxa"/>
            </w:tcMar>
          </w:tcPr>
          <w:p>
            <w:pPr>
              <w:autoSpaceDN w:val="0"/>
              <w:autoSpaceDE w:val="0"/>
              <w:widowControl/>
              <w:spacing w:line="246" w:lineRule="exact" w:before="598" w:after="0"/>
              <w:ind w:left="198" w:right="0" w:firstLine="0"/>
              <w:jc w:val="left"/>
            </w:pPr>
            <w:r>
              <w:rPr>
                <w:rFonts w:ascii="Arial" w:hAnsi="Arial" w:eastAsia="Arial"/>
                <w:b w:val="0"/>
                <w:i w:val="0"/>
                <w:color w:val="000000"/>
                <w:sz w:val="22"/>
              </w:rPr>
              <w:t>1</w:t>
            </w:r>
            <w:r>
              <w:rPr>
                <w:rFonts w:ascii="黑体" w:hAnsi="黑体" w:eastAsia="黑体"/>
                <w:b w:val="0"/>
                <w:i w:val="0"/>
                <w:color w:val="000000"/>
                <w:sz w:val="22"/>
              </w:rPr>
              <w:t>个月内（含）</w:t>
            </w:r>
          </w:p>
        </w:tc>
        <w:tc>
          <w:tcPr>
            <w:tcW w:type="dxa" w:w="2098"/>
            <w:tcBorders/>
            <w:tcMar>
              <w:start w:w="0" w:type="dxa"/>
              <w:end w:w="0" w:type="dxa"/>
            </w:tcMar>
          </w:tcPr>
          <w:p>
            <w:pPr>
              <w:autoSpaceDN w:val="0"/>
              <w:autoSpaceDE w:val="0"/>
              <w:widowControl/>
              <w:spacing w:line="248" w:lineRule="exact" w:before="6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8" w:lineRule="exact" w:before="6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3009"/>
            <w:vMerge/>
            <w:tcBorders/>
          </w:tcPr>
          <w:p/>
        </w:tc>
        <w:tc>
          <w:tcPr>
            <w:tcW w:type="dxa" w:w="2098"/>
            <w:tcBorders/>
            <w:tcMar>
              <w:start w:w="0" w:type="dxa"/>
              <w:end w:w="0" w:type="dxa"/>
            </w:tcMar>
          </w:tcPr>
          <w:p>
            <w:pPr>
              <w:autoSpaceDN w:val="0"/>
              <w:autoSpaceDE w:val="0"/>
              <w:widowControl/>
              <w:spacing w:line="233" w:lineRule="auto" w:before="154" w:after="0"/>
              <w:ind w:left="0" w:right="222" w:firstLine="0"/>
              <w:jc w:val="right"/>
            </w:pPr>
            <w:r>
              <w:rPr>
                <w:rFonts w:ascii="Arial" w:hAnsi="Arial" w:eastAsia="Arial"/>
                <w:b w:val="0"/>
                <w:i w:val="0"/>
                <w:color w:val="000000"/>
                <w:sz w:val="22"/>
              </w:rPr>
              <w:t>22,263,015</w:t>
            </w:r>
          </w:p>
        </w:tc>
        <w:tc>
          <w:tcPr>
            <w:tcW w:type="dxa" w:w="2098"/>
            <w:tcBorders/>
            <w:tcMar>
              <w:start w:w="0" w:type="dxa"/>
              <w:end w:w="0" w:type="dxa"/>
            </w:tcMar>
          </w:tcPr>
          <w:p>
            <w:pPr>
              <w:autoSpaceDN w:val="0"/>
              <w:autoSpaceDE w:val="0"/>
              <w:widowControl/>
              <w:spacing w:line="233" w:lineRule="auto" w:before="154" w:after="0"/>
              <w:ind w:left="0" w:right="224" w:firstLine="0"/>
              <w:jc w:val="right"/>
            </w:pPr>
            <w:r>
              <w:rPr>
                <w:rFonts w:ascii="Arial" w:hAnsi="Arial" w:eastAsia="Arial"/>
                <w:b w:val="0"/>
                <w:i w:val="0"/>
                <w:color w:val="000000"/>
                <w:sz w:val="22"/>
              </w:rPr>
              <w:t>50,123,288</w:t>
            </w:r>
          </w:p>
        </w:tc>
      </w:tr>
      <w:tr>
        <w:trPr>
          <w:trHeight w:hRule="exact" w:val="280"/>
        </w:trPr>
        <w:tc>
          <w:tcPr>
            <w:tcW w:type="dxa" w:w="4564"/>
            <w:tcBorders/>
            <w:tcMar>
              <w:start w:w="0" w:type="dxa"/>
              <w:end w:w="0" w:type="dxa"/>
            </w:tcMar>
          </w:tcPr>
          <w:p>
            <w:pPr>
              <w:autoSpaceDN w:val="0"/>
              <w:autoSpaceDE w:val="0"/>
              <w:widowControl/>
              <w:spacing w:line="246" w:lineRule="exact" w:before="34" w:after="0"/>
              <w:ind w:left="198" w:right="0" w:firstLine="0"/>
              <w:jc w:val="left"/>
            </w:pPr>
            <w:r>
              <w:rPr>
                <w:rFonts w:ascii="Arial" w:hAnsi="Arial" w:eastAsia="Arial"/>
                <w:b w:val="0"/>
                <w:i w:val="0"/>
                <w:color w:val="000000"/>
                <w:sz w:val="22"/>
              </w:rPr>
              <w:t>1</w:t>
            </w:r>
            <w:r>
              <w:rPr>
                <w:rFonts w:ascii="黑体" w:hAnsi="黑体" w:eastAsia="黑体"/>
                <w:b w:val="0"/>
                <w:i w:val="0"/>
                <w:color w:val="000000"/>
                <w:sz w:val="22"/>
              </w:rPr>
              <w:t>个月至</w:t>
            </w:r>
            <w:r>
              <w:rPr>
                <w:rFonts w:ascii="Arial" w:hAnsi="Arial" w:eastAsia="Arial"/>
                <w:b w:val="0"/>
                <w:i w:val="0"/>
                <w:color w:val="000000"/>
                <w:sz w:val="22"/>
              </w:rPr>
              <w:t>3</w:t>
            </w:r>
            <w:r>
              <w:rPr>
                <w:rFonts w:ascii="黑体" w:hAnsi="黑体" w:eastAsia="黑体"/>
                <w:b w:val="0"/>
                <w:i w:val="0"/>
                <w:color w:val="000000"/>
                <w:sz w:val="22"/>
              </w:rPr>
              <w:t>个月内（含）</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222" w:firstLine="0"/>
              <w:jc w:val="right"/>
            </w:pPr>
            <w:r>
              <w:rPr>
                <w:rFonts w:ascii="Arial" w:hAnsi="Arial" w:eastAsia="Arial"/>
                <w:b w:val="0"/>
                <w:i w:val="0"/>
                <w:color w:val="000000"/>
                <w:sz w:val="22"/>
              </w:rPr>
              <w:t>167,281,474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224" w:firstLine="0"/>
              <w:jc w:val="right"/>
            </w:pPr>
            <w:r>
              <w:rPr>
                <w:rFonts w:ascii="Arial" w:hAnsi="Arial" w:eastAsia="Arial"/>
                <w:b w:val="0"/>
                <w:i w:val="0"/>
                <w:color w:val="000000"/>
                <w:sz w:val="22"/>
              </w:rPr>
              <w:t>125,258,247</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46" w:lineRule="exact" w:before="34" w:after="0"/>
              <w:ind w:left="198" w:right="0" w:firstLine="0"/>
              <w:jc w:val="left"/>
            </w:pPr>
            <w:r>
              <w:rPr>
                <w:rFonts w:ascii="Arial" w:hAnsi="Arial" w:eastAsia="Arial"/>
                <w:b w:val="0"/>
                <w:i w:val="0"/>
                <w:color w:val="000000"/>
                <w:sz w:val="22"/>
              </w:rPr>
              <w:t>3</w:t>
            </w:r>
            <w:r>
              <w:rPr>
                <w:rFonts w:ascii="黑体" w:hAnsi="黑体" w:eastAsia="黑体"/>
                <w:b w:val="0"/>
                <w:i w:val="0"/>
                <w:color w:val="000000"/>
                <w:sz w:val="22"/>
              </w:rPr>
              <w:t>个月至</w:t>
            </w:r>
            <w:r>
              <w:rPr>
                <w:rFonts w:ascii="Arial" w:hAnsi="Arial" w:eastAsia="Arial"/>
                <w:b w:val="0"/>
                <w:i w:val="0"/>
                <w:color w:val="000000"/>
                <w:sz w:val="22"/>
              </w:rPr>
              <w:t>1</w:t>
            </w:r>
            <w:r>
              <w:rPr>
                <w:rFonts w:ascii="黑体" w:hAnsi="黑体" w:eastAsia="黑体"/>
                <w:b w:val="0"/>
                <w:i w:val="0"/>
                <w:color w:val="000000"/>
                <w:sz w:val="22"/>
              </w:rPr>
              <w:t>年内（含）</w:t>
            </w:r>
          </w:p>
        </w:tc>
        <w:tc>
          <w:tcPr>
            <w:tcW w:type="dxa" w:w="3009"/>
            <w:vMerge/>
            <w:tcBorders/>
          </w:tcPr>
          <w:p/>
        </w:tc>
        <w:tc>
          <w:tcPr>
            <w:tcW w:type="dxa" w:w="3009"/>
            <w:vMerge/>
            <w:tcBorders/>
          </w:tcPr>
          <w:p/>
        </w:tc>
      </w:tr>
      <w:tr>
        <w:trPr>
          <w:trHeight w:hRule="exact" w:val="238"/>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489,796,586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976,146,925</w:t>
            </w:r>
          </w:p>
        </w:tc>
      </w:tr>
      <w:tr>
        <w:trPr>
          <w:trHeight w:hRule="exact" w:val="17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312" w:after="0"/>
              <w:ind w:left="198" w:right="0" w:firstLine="0"/>
              <w:jc w:val="left"/>
            </w:pPr>
            <w:r>
              <w:rPr>
                <w:rFonts w:ascii="黑体" w:hAnsi="黑体" w:eastAsia="黑体"/>
                <w:b w:val="0"/>
                <w:i w:val="0"/>
                <w:color w:val="000000"/>
                <w:sz w:val="22"/>
              </w:rPr>
              <w:t>小计</w:t>
            </w:r>
          </w:p>
        </w:tc>
        <w:tc>
          <w:tcPr>
            <w:tcW w:type="dxa" w:w="3009"/>
            <w:vMerge/>
            <w:tcBorders/>
          </w:tcPr>
          <w:p/>
        </w:tc>
        <w:tc>
          <w:tcPr>
            <w:tcW w:type="dxa" w:w="3009"/>
            <w:vMerge/>
            <w:tcBorders/>
          </w:tcPr>
          <w:p/>
        </w:tc>
      </w:tr>
      <w:tr>
        <w:trPr>
          <w:trHeight w:hRule="exact" w:val="400"/>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146" w:after="0"/>
              <w:ind w:left="0" w:right="222" w:firstLine="0"/>
              <w:jc w:val="right"/>
            </w:pPr>
            <w:r>
              <w:rPr>
                <w:rFonts w:ascii="Arial" w:hAnsi="Arial" w:eastAsia="Arial"/>
                <w:b w:val="0"/>
                <w:i w:val="0"/>
                <w:color w:val="000000"/>
                <w:sz w:val="22"/>
              </w:rPr>
              <w:t>679,341,075</w:t>
            </w:r>
          </w:p>
        </w:tc>
        <w:tc>
          <w:tcPr>
            <w:tcW w:type="dxa" w:w="2098"/>
            <w:tcBorders>
              <w:bottom w:sz="4.0" w:val="single" w:color="#000000"/>
            </w:tcBorders>
            <w:tcMar>
              <w:start w:w="0" w:type="dxa"/>
              <w:end w:w="0" w:type="dxa"/>
            </w:tcMar>
          </w:tcPr>
          <w:p>
            <w:pPr>
              <w:autoSpaceDN w:val="0"/>
              <w:autoSpaceDE w:val="0"/>
              <w:widowControl/>
              <w:spacing w:line="233" w:lineRule="auto" w:before="146" w:after="0"/>
              <w:ind w:left="464" w:right="0" w:firstLine="0"/>
              <w:jc w:val="left"/>
            </w:pPr>
            <w:r>
              <w:rPr>
                <w:rFonts w:ascii="Arial" w:hAnsi="Arial" w:eastAsia="Arial"/>
                <w:b w:val="0"/>
                <w:i w:val="0"/>
                <w:color w:val="000000"/>
                <w:sz w:val="22"/>
              </w:rPr>
              <w:t>1,151,528,460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减：减值准备</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92" w:firstLine="0"/>
              <w:jc w:val="right"/>
            </w:pPr>
            <w:r>
              <w:rPr>
                <w:rFonts w:ascii="Arial" w:hAnsi="Arial" w:eastAsia="Arial"/>
                <w:b w:val="0"/>
                <w:i w:val="0"/>
                <w:color w:val="000000"/>
                <w:sz w:val="22"/>
              </w:rPr>
              <w:t xml:space="preserve">(8,797,082) </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92" w:firstLine="0"/>
              <w:jc w:val="right"/>
            </w:pPr>
            <w:r>
              <w:rPr>
                <w:rFonts w:ascii="Arial" w:hAnsi="Arial" w:eastAsia="Arial"/>
                <w:b w:val="0"/>
                <w:i w:val="0"/>
                <w:color w:val="000000"/>
                <w:sz w:val="22"/>
              </w:rPr>
              <w:t xml:space="preserve">(11,515,284)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222" w:firstLine="0"/>
              <w:jc w:val="right"/>
            </w:pPr>
            <w:r>
              <w:rPr>
                <w:rFonts w:ascii="Arial" w:hAnsi="Arial" w:eastAsia="Arial"/>
                <w:b w:val="0"/>
                <w:i w:val="0"/>
                <w:color w:val="000000"/>
                <w:sz w:val="22"/>
              </w:rPr>
              <w:t>670,543,993</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4" w:right="0" w:firstLine="0"/>
              <w:jc w:val="left"/>
            </w:pPr>
            <w:r>
              <w:rPr>
                <w:rFonts w:ascii="Arial" w:hAnsi="Arial" w:eastAsia="Arial"/>
                <w:b w:val="0"/>
                <w:i w:val="0"/>
                <w:color w:val="000000"/>
                <w:sz w:val="22"/>
              </w:rPr>
              <w:t>1,140,013,176</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198" w:after="188"/>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约定购回按剩余期限分析</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46" w:lineRule="exact" w:before="598" w:after="0"/>
              <w:ind w:left="198" w:right="0" w:firstLine="0"/>
              <w:jc w:val="left"/>
            </w:pPr>
            <w:r>
              <w:rPr>
                <w:rFonts w:ascii="Arial" w:hAnsi="Arial" w:eastAsia="Arial"/>
                <w:b w:val="0"/>
                <w:i w:val="0"/>
                <w:color w:val="000000"/>
                <w:sz w:val="22"/>
              </w:rPr>
              <w:t>3</w:t>
            </w:r>
            <w:r>
              <w:rPr>
                <w:rFonts w:ascii="黑体" w:hAnsi="黑体" w:eastAsia="黑体"/>
                <w:b w:val="0"/>
                <w:i w:val="0"/>
                <w:color w:val="000000"/>
                <w:sz w:val="22"/>
              </w:rPr>
              <w:t>个月至</w:t>
            </w:r>
            <w:r>
              <w:rPr>
                <w:rFonts w:ascii="Arial" w:hAnsi="Arial" w:eastAsia="Arial"/>
                <w:b w:val="0"/>
                <w:i w:val="0"/>
                <w:color w:val="000000"/>
                <w:sz w:val="22"/>
              </w:rPr>
              <w:t>1</w:t>
            </w:r>
            <w:r>
              <w:rPr>
                <w:rFonts w:ascii="黑体" w:hAnsi="黑体" w:eastAsia="黑体"/>
                <w:b w:val="0"/>
                <w:i w:val="0"/>
                <w:color w:val="000000"/>
                <w:sz w:val="22"/>
              </w:rPr>
              <w:t>年内（含）</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326"/>
            <w:tcBorders/>
            <w:tcMar>
              <w:start w:w="0" w:type="dxa"/>
              <w:end w:w="0" w:type="dxa"/>
            </w:tcMar>
          </w:tcPr>
          <w:p>
            <w:pPr>
              <w:autoSpaceDN w:val="0"/>
              <w:autoSpaceDE w:val="0"/>
              <w:widowControl/>
              <w:spacing w:line="246" w:lineRule="exact" w:before="60"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22"/>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w:t>
            </w:r>
          </w:p>
        </w:tc>
        <w:tc>
          <w:tcPr>
            <w:tcW w:type="dxa" w:w="2326"/>
            <w:tcBorders>
              <w:bottom w:sz="4.0" w:val="single" w:color="#000000"/>
            </w:tcBorders>
            <w:tcMar>
              <w:start w:w="0" w:type="dxa"/>
              <w:end w:w="0" w:type="dxa"/>
            </w:tcMar>
          </w:tcPr>
          <w:p>
            <w:pPr>
              <w:autoSpaceDN w:val="0"/>
              <w:autoSpaceDE w:val="0"/>
              <w:widowControl/>
              <w:spacing w:line="233" w:lineRule="auto" w:before="168" w:after="0"/>
              <w:ind w:left="0" w:right="224" w:firstLine="0"/>
              <w:jc w:val="right"/>
            </w:pPr>
            <w:r>
              <w:rPr>
                <w:rFonts w:ascii="Arial" w:hAnsi="Arial" w:eastAsia="Arial"/>
                <w:b w:val="0"/>
                <w:i w:val="0"/>
                <w:color w:val="000000"/>
                <w:sz w:val="22"/>
              </w:rPr>
              <w:t>2,614,460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小计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w:t>
            </w:r>
          </w:p>
        </w:tc>
        <w:tc>
          <w:tcPr>
            <w:tcW w:type="dxa" w:w="2326"/>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2,614,460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减：减值准备</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w:t>
            </w:r>
          </w:p>
        </w:tc>
        <w:tc>
          <w:tcPr>
            <w:tcW w:type="dxa" w:w="2326"/>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92" w:firstLine="0"/>
              <w:jc w:val="right"/>
            </w:pPr>
            <w:r>
              <w:rPr>
                <w:rFonts w:ascii="Arial" w:hAnsi="Arial" w:eastAsia="Arial"/>
                <w:b w:val="0"/>
                <w:i w:val="0"/>
                <w:color w:val="000000"/>
                <w:sz w:val="22"/>
              </w:rPr>
              <w:t xml:space="preserve">(26,145)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78"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w:t>
            </w:r>
          </w:p>
        </w:tc>
        <w:tc>
          <w:tcPr>
            <w:tcW w:type="dxa" w:w="2326"/>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224" w:firstLine="0"/>
              <w:jc w:val="right"/>
            </w:pPr>
            <w:r>
              <w:rPr>
                <w:rFonts w:ascii="Arial" w:hAnsi="Arial" w:eastAsia="Arial"/>
                <w:b w:val="0"/>
                <w:i w:val="0"/>
                <w:color w:val="000000"/>
                <w:sz w:val="22"/>
              </w:rPr>
              <w:t>2,588,315</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326"/>
            <w:tcBorders>
              <w:top w:sz="4.0" w:val="single" w:color="#000000"/>
            </w:tcBorders>
            <w:tcMar>
              <w:start w:w="0" w:type="dxa"/>
              <w:end w:w="0" w:type="dxa"/>
            </w:tcMar>
          </w:tcPr>
          <w:p/>
        </w:tc>
      </w:tr>
    </w:tbl>
    <w:p>
      <w:pPr>
        <w:autoSpaceDN w:val="0"/>
        <w:tabs>
          <w:tab w:pos="5936" w:val="left"/>
        </w:tabs>
        <w:autoSpaceDE w:val="0"/>
        <w:widowControl/>
        <w:spacing w:line="460" w:lineRule="exact" w:before="0" w:after="32"/>
        <w:ind w:left="358" w:right="1440" w:firstLine="0"/>
        <w:jc w:val="left"/>
      </w:pPr>
      <w:r>
        <w:rPr>
          <w:rFonts w:ascii="黑体" w:hAnsi="黑体" w:eastAsia="黑体"/>
          <w:b w:val="0"/>
          <w:i w:val="0"/>
          <w:color w:val="000000"/>
          <w:sz w:val="22"/>
        </w:rPr>
        <w:t>（</w:t>
      </w:r>
      <w:r>
        <w:rPr>
          <w:rFonts w:ascii="Arial" w:hAnsi="Arial" w:eastAsia="Arial"/>
          <w:b w:val="0"/>
          <w:i w:val="0"/>
          <w:color w:val="000000"/>
          <w:sz w:val="22"/>
        </w:rPr>
        <w:t>5</w:t>
      </w:r>
      <w:r>
        <w:rPr>
          <w:rFonts w:ascii="黑体" w:hAnsi="黑体" w:eastAsia="黑体"/>
          <w:b w:val="0"/>
          <w:i w:val="0"/>
          <w:color w:val="000000"/>
          <w:sz w:val="22"/>
        </w:rPr>
        <w:t>）</w:t>
      </w:r>
      <w:r>
        <w:rPr>
          <w:rFonts w:ascii="黑体" w:hAnsi="黑体" w:eastAsia="黑体"/>
          <w:b w:val="0"/>
          <w:i w:val="0"/>
          <w:color w:val="000000"/>
          <w:sz w:val="22"/>
        </w:rPr>
        <w:t>买入返售金融资产的担保物信息</w:t>
      </w:r>
      <w:r>
        <w:br/>
      </w:r>
      <w:r>
        <w:tab/>
      </w:r>
      <w:r>
        <w:rPr>
          <w:rFonts w:ascii="黑体" w:hAnsi="黑体" w:eastAsia="黑体"/>
          <w:b w:val="0"/>
          <w:i w:val="0"/>
          <w:color w:val="000000"/>
          <w:sz w:val="22"/>
        </w:rPr>
        <w:t>担保物公允价值</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59"/>
        </w:trPr>
        <w:tc>
          <w:tcPr>
            <w:tcW w:type="dxa" w:w="4564"/>
            <w:tcBorders>
              <w:top w:sz="4.0" w:val="single" w:color="#000000"/>
            </w:tcBorders>
            <w:tcMar>
              <w:start w:w="0" w:type="dxa"/>
              <w:end w:w="0" w:type="dxa"/>
            </w:tcMar>
          </w:tcPr>
          <w:p>
            <w:pPr>
              <w:autoSpaceDN w:val="0"/>
              <w:autoSpaceDE w:val="0"/>
              <w:widowControl/>
              <w:spacing w:line="220" w:lineRule="exact" w:before="34" w:after="0"/>
              <w:ind w:left="198" w:right="0" w:firstLine="0"/>
              <w:jc w:val="left"/>
            </w:pPr>
            <w:r>
              <w:rPr>
                <w:rFonts w:ascii="黑体" w:hAnsi="黑体" w:eastAsia="黑体"/>
                <w:b w:val="0"/>
                <w:i w:val="0"/>
                <w:color w:val="000000"/>
                <w:sz w:val="22"/>
              </w:rPr>
              <w:t>担保物类别</w:t>
            </w:r>
          </w:p>
        </w:tc>
        <w:tc>
          <w:tcPr>
            <w:tcW w:type="dxa" w:w="1870"/>
            <w:tcBorders/>
            <w:tcMar>
              <w:start w:w="0" w:type="dxa"/>
              <w:end w:w="0" w:type="dxa"/>
            </w:tcMar>
          </w:tcPr>
          <w:p>
            <w:pPr>
              <w:autoSpaceDN w:val="0"/>
              <w:autoSpaceDE w:val="0"/>
              <w:widowControl/>
              <w:spacing w:line="248" w:lineRule="exact" w:before="12"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8" w:lineRule="exact" w:before="12"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40"/>
        </w:trPr>
        <w:tc>
          <w:tcPr>
            <w:tcW w:type="dxa" w:w="4564"/>
            <w:tcBorders/>
            <w:tcMar>
              <w:start w:w="0" w:type="dxa"/>
              <w:end w:w="0" w:type="dxa"/>
            </w:tcMar>
          </w:tcPr>
          <w:p>
            <w:pPr>
              <w:autoSpaceDN w:val="0"/>
              <w:autoSpaceDE w:val="0"/>
              <w:widowControl/>
              <w:spacing w:line="222" w:lineRule="exact" w:before="314" w:after="0"/>
              <w:ind w:left="198" w:right="0" w:firstLine="0"/>
              <w:jc w:val="left"/>
            </w:pPr>
            <w:r>
              <w:rPr>
                <w:rFonts w:ascii="黑体" w:hAnsi="黑体" w:eastAsia="黑体"/>
                <w:b w:val="0"/>
                <w:i w:val="0"/>
                <w:color w:val="000000"/>
                <w:sz w:val="22"/>
              </w:rPr>
              <w:t>担保物</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24" w:after="0"/>
              <w:ind w:left="466" w:right="0" w:firstLine="0"/>
              <w:jc w:val="left"/>
            </w:pPr>
            <w:r>
              <w:rPr>
                <w:rFonts w:ascii="Arial" w:hAnsi="Arial" w:eastAsia="Arial"/>
                <w:b w:val="0"/>
                <w:i w:val="0"/>
                <w:color w:val="000000"/>
                <w:sz w:val="22"/>
              </w:rPr>
              <w:t>3,832,077,493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24" w:after="0"/>
              <w:ind w:left="0" w:right="0" w:firstLine="0"/>
              <w:jc w:val="right"/>
            </w:pPr>
            <w:r>
              <w:rPr>
                <w:rFonts w:ascii="Arial" w:hAnsi="Arial" w:eastAsia="Arial"/>
                <w:b w:val="0"/>
                <w:i w:val="0"/>
                <w:color w:val="000000"/>
                <w:sz w:val="22"/>
              </w:rPr>
              <w:t>4,314,189,547</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436" w:right="0" w:firstLine="0"/>
              <w:jc w:val="left"/>
            </w:pPr>
            <w:r>
              <w:rPr>
                <w:rFonts w:ascii="黑体" w:hAnsi="黑体" w:eastAsia="黑体"/>
                <w:b w:val="0"/>
                <w:i w:val="0"/>
                <w:color w:val="000000"/>
                <w:sz w:val="22"/>
              </w:rPr>
              <w:t>其中：可供出售或再次抵押担保物</w:t>
            </w:r>
          </w:p>
        </w:tc>
        <w:tc>
          <w:tcPr>
            <w:tcW w:type="dxa" w:w="3009"/>
            <w:vMerge/>
            <w:tcBorders/>
          </w:tcPr>
          <w:p/>
        </w:tc>
        <w:tc>
          <w:tcPr>
            <w:tcW w:type="dxa" w:w="3009"/>
            <w:vMerge/>
            <w:tcBorders/>
          </w:tcPr>
          <w:p/>
        </w:tc>
      </w:tr>
      <w:tr>
        <w:trPr>
          <w:trHeight w:hRule="exact" w:val="23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10,715,370</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662" w:right="0" w:firstLine="0"/>
              <w:jc w:val="left"/>
            </w:pPr>
            <w:r>
              <w:rPr>
                <w:rFonts w:ascii="黑体" w:hAnsi="黑体" w:eastAsia="黑体"/>
                <w:b w:val="0"/>
                <w:i w:val="0"/>
                <w:color w:val="000000"/>
                <w:sz w:val="22"/>
              </w:rPr>
              <w:t>其中：已出售或再次抵押担保物</w:t>
            </w:r>
          </w:p>
        </w:tc>
        <w:tc>
          <w:tcPr>
            <w:tcW w:type="dxa" w:w="3009"/>
            <w:vMerge/>
            <w:tcBorders/>
          </w:tcPr>
          <w:p/>
        </w:tc>
        <w:tc>
          <w:tcPr>
            <w:tcW w:type="dxa" w:w="3009"/>
            <w:vMerge/>
            <w:tcBorders/>
          </w:tcPr>
          <w:p/>
        </w:tc>
      </w:tr>
      <w:tr>
        <w:trPr>
          <w:trHeight w:hRule="exact" w:val="324"/>
        </w:trPr>
        <w:tc>
          <w:tcPr>
            <w:tcW w:type="dxa" w:w="3009"/>
            <w:vMerge/>
            <w:tcBorders/>
          </w:tcPr>
          <w:p/>
        </w:tc>
        <w:tc>
          <w:tcPr>
            <w:tcW w:type="dxa" w:w="187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w:t>
            </w:r>
          </w:p>
        </w:tc>
        <w:tc>
          <w:tcPr>
            <w:tcW w:type="dxa" w:w="2098"/>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10,715,370</w:t>
            </w:r>
          </w:p>
        </w:tc>
      </w:tr>
    </w:tbl>
    <w:p>
      <w:pPr>
        <w:autoSpaceDN w:val="0"/>
        <w:autoSpaceDE w:val="0"/>
        <w:widowControl/>
        <w:spacing w:line="246" w:lineRule="exact" w:before="420" w:after="0"/>
        <w:ind w:left="358" w:right="0" w:firstLine="0"/>
        <w:jc w:val="left"/>
      </w:pPr>
      <w:r>
        <w:rPr>
          <w:rFonts w:ascii="黑体" w:hAnsi="黑体" w:eastAsia="黑体"/>
          <w:b w:val="0"/>
          <w:i w:val="0"/>
          <w:color w:val="000000"/>
          <w:sz w:val="22"/>
        </w:rPr>
        <w:t>以上买入返售金融资产减值准备的变动情况参见附注五、</w:t>
      </w:r>
      <w:r>
        <w:rPr>
          <w:rFonts w:ascii="Arial" w:hAnsi="Arial" w:eastAsia="Arial"/>
          <w:b w:val="0"/>
          <w:i w:val="0"/>
          <w:color w:val="000000"/>
          <w:sz w:val="22"/>
        </w:rPr>
        <w:t>18</w:t>
      </w:r>
      <w:r>
        <w:rPr>
          <w:rFonts w:ascii="黑体" w:hAnsi="黑体" w:eastAsia="黑体"/>
          <w:b w:val="0"/>
          <w:i w:val="0"/>
          <w:color w:val="000000"/>
          <w:sz w:val="22"/>
        </w:rPr>
        <w:t>。</w:t>
      </w:r>
    </w:p>
    <w:p>
      <w:pPr>
        <w:autoSpaceDN w:val="0"/>
        <w:autoSpaceDE w:val="0"/>
        <w:widowControl/>
        <w:spacing w:line="233" w:lineRule="auto" w:before="3010" w:after="0"/>
        <w:ind w:left="0" w:right="0" w:firstLine="0"/>
        <w:jc w:val="center"/>
      </w:pPr>
      <w:r>
        <w:rPr>
          <w:rFonts w:ascii="Arial" w:hAnsi="Arial" w:eastAsia="Arial"/>
          <w:b w:val="0"/>
          <w:i w:val="0"/>
          <w:color w:val="000000"/>
          <w:sz w:val="20"/>
        </w:rPr>
        <w:t xml:space="preserve">206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318" w:firstLine="0"/>
              <w:jc w:val="right"/>
            </w:pPr>
            <w:r>
              <w:rPr>
                <w:rFonts w:ascii="Arial,Bold" w:hAnsi="Arial,Bold" w:eastAsia="Arial,Bold"/>
                <w:b/>
                <w:i w:val="0"/>
                <w:color w:val="000000"/>
                <w:sz w:val="22"/>
              </w:rPr>
              <w:t xml:space="preserve">6.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应收款项</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应收交易款项</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2" w:firstLine="0"/>
              <w:jc w:val="right"/>
            </w:pPr>
            <w:r>
              <w:rPr>
                <w:rFonts w:ascii="Arial" w:hAnsi="Arial" w:eastAsia="Arial"/>
                <w:b w:val="0"/>
                <w:i w:val="0"/>
                <w:color w:val="000000"/>
                <w:sz w:val="22"/>
              </w:rPr>
              <w:t>46,322,299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4" w:firstLine="0"/>
              <w:jc w:val="right"/>
            </w:pPr>
            <w:r>
              <w:rPr>
                <w:rFonts w:ascii="Arial" w:hAnsi="Arial" w:eastAsia="Arial"/>
                <w:b w:val="0"/>
                <w:i w:val="0"/>
                <w:color w:val="000000"/>
                <w:sz w:val="22"/>
              </w:rPr>
              <w:t>47,534,373</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应收手续费及佣金收入</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2" w:firstLine="0"/>
              <w:jc w:val="right"/>
            </w:pPr>
            <w:r>
              <w:rPr>
                <w:rFonts w:ascii="Arial" w:hAnsi="Arial" w:eastAsia="Arial"/>
                <w:b w:val="0"/>
                <w:i w:val="0"/>
                <w:color w:val="000000"/>
                <w:sz w:val="22"/>
              </w:rPr>
              <w:t>142,659,433</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4" w:firstLine="0"/>
              <w:jc w:val="right"/>
            </w:pPr>
            <w:r>
              <w:rPr>
                <w:rFonts w:ascii="Arial" w:hAnsi="Arial" w:eastAsia="Arial"/>
                <w:b w:val="0"/>
                <w:i w:val="0"/>
                <w:color w:val="000000"/>
                <w:sz w:val="22"/>
              </w:rPr>
              <w:t>117,459,303</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应收仓单销售款</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27,262,569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27,262,569</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2"/>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11,231,336</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12,839,285</w:t>
            </w:r>
          </w:p>
        </w:tc>
      </w:tr>
      <w:tr>
        <w:trPr>
          <w:trHeight w:hRule="exact" w:val="514"/>
        </w:trPr>
        <w:tc>
          <w:tcPr>
            <w:tcW w:type="dxa" w:w="4564"/>
            <w:gridSpan w:val="2"/>
            <w:tcBorders>
              <w:top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小计</w:t>
            </w:r>
          </w:p>
        </w:tc>
        <w:tc>
          <w:tcPr>
            <w:tcW w:type="dxa" w:w="2098"/>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227,475,637</w:t>
            </w:r>
          </w:p>
        </w:tc>
        <w:tc>
          <w:tcPr>
            <w:tcW w:type="dxa" w:w="2098"/>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205,095,530</w:t>
            </w:r>
          </w:p>
        </w:tc>
      </w:tr>
      <w:tr>
        <w:trPr>
          <w:trHeight w:hRule="exact" w:val="176"/>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312" w:after="0"/>
              <w:ind w:left="198" w:right="0" w:firstLine="0"/>
              <w:jc w:val="left"/>
            </w:pPr>
            <w:r>
              <w:rPr>
                <w:rFonts w:ascii="黑体" w:hAnsi="黑体" w:eastAsia="黑体"/>
                <w:b w:val="0"/>
                <w:i w:val="0"/>
                <w:color w:val="000000"/>
                <w:sz w:val="22"/>
              </w:rPr>
              <w:t>减：减值准备</w:t>
            </w:r>
          </w:p>
        </w:tc>
        <w:tc>
          <w:tcPr>
            <w:tcW w:type="dxa" w:w="2256"/>
            <w:vMerge/>
            <w:tcBorders>
              <w:top w:sz="4.0" w:val="single" w:color="#000000"/>
            </w:tcBorders>
          </w:tcPr>
          <w:p/>
        </w:tc>
        <w:tc>
          <w:tcPr>
            <w:tcW w:type="dxa" w:w="2256"/>
            <w:vMerge/>
            <w:tcBorders>
              <w:top w:sz="4.0" w:val="single" w:color="#000000"/>
            </w:tcBorders>
          </w:tcPr>
          <w:p/>
        </w:tc>
      </w:tr>
      <w:tr>
        <w:trPr>
          <w:trHeight w:hRule="exact" w:val="400"/>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146" w:after="0"/>
              <w:ind w:left="0" w:right="92" w:firstLine="0"/>
              <w:jc w:val="right"/>
            </w:pPr>
            <w:r>
              <w:rPr>
                <w:rFonts w:ascii="Arial" w:hAnsi="Arial" w:eastAsia="Arial"/>
                <w:b w:val="0"/>
                <w:i w:val="0"/>
                <w:color w:val="000000"/>
                <w:sz w:val="22"/>
              </w:rPr>
              <w:t xml:space="preserve">(86,796,111) </w:t>
            </w:r>
          </w:p>
        </w:tc>
        <w:tc>
          <w:tcPr>
            <w:tcW w:type="dxa" w:w="2098"/>
            <w:tcBorders>
              <w:bottom w:sz="4.0" w:val="single" w:color="#000000"/>
            </w:tcBorders>
            <w:tcMar>
              <w:start w:w="0" w:type="dxa"/>
              <w:end w:w="0" w:type="dxa"/>
            </w:tcMar>
          </w:tcPr>
          <w:p>
            <w:pPr>
              <w:autoSpaceDN w:val="0"/>
              <w:autoSpaceDE w:val="0"/>
              <w:widowControl/>
              <w:spacing w:line="233" w:lineRule="auto" w:before="146" w:after="0"/>
              <w:ind w:left="0" w:right="92" w:firstLine="0"/>
              <w:jc w:val="right"/>
            </w:pPr>
            <w:r>
              <w:rPr>
                <w:rFonts w:ascii="Arial" w:hAnsi="Arial" w:eastAsia="Arial"/>
                <w:b w:val="0"/>
                <w:i w:val="0"/>
                <w:color w:val="000000"/>
                <w:sz w:val="22"/>
              </w:rPr>
              <w:t xml:space="preserve">(84,786,198) </w:t>
            </w:r>
          </w:p>
        </w:tc>
      </w:tr>
      <w:tr>
        <w:trPr>
          <w:trHeight w:hRule="exact" w:val="548"/>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账面价值合计</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0" w:right="222" w:firstLine="0"/>
              <w:jc w:val="right"/>
            </w:pPr>
            <w:r>
              <w:rPr>
                <w:rFonts w:ascii="Arial" w:hAnsi="Arial" w:eastAsia="Arial"/>
                <w:b w:val="0"/>
                <w:i w:val="0"/>
                <w:color w:val="000000"/>
                <w:sz w:val="22"/>
              </w:rPr>
              <w:t>140,679,526</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0" w:right="224" w:firstLine="0"/>
              <w:jc w:val="right"/>
            </w:pPr>
            <w:r>
              <w:rPr>
                <w:rFonts w:ascii="Arial" w:hAnsi="Arial" w:eastAsia="Arial"/>
                <w:b w:val="0"/>
                <w:i w:val="0"/>
                <w:color w:val="000000"/>
                <w:sz w:val="22"/>
              </w:rPr>
              <w:t>120,309,332</w:t>
            </w:r>
          </w:p>
        </w:tc>
      </w:tr>
      <w:tr>
        <w:trPr>
          <w:trHeight w:hRule="exact" w:val="52"/>
        </w:trPr>
        <w:tc>
          <w:tcPr>
            <w:tcW w:type="dxa" w:w="4512"/>
            <w:gridSpan w:val="2"/>
            <w:vMerge/>
            <w:tcBorders>
              <w:top w:sz="4.0" w:val="single" w:color="#000000"/>
            </w:tcBorders>
          </w:tcPr>
          <w:p/>
        </w:tc>
        <w:tc>
          <w:tcPr>
            <w:tcW w:type="dxa" w:w="2098"/>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286" w:lineRule="exact" w:before="202" w:after="266"/>
        <w:ind w:left="834" w:right="354" w:hanging="464"/>
        <w:jc w:val="both"/>
      </w:pPr>
      <w:r>
        <w:rPr>
          <w:rFonts w:ascii="黑体" w:hAnsi="黑体" w:eastAsia="黑体"/>
          <w:b w:val="0"/>
          <w:i w:val="0"/>
          <w:color w:val="000000"/>
          <w:sz w:val="22"/>
        </w:rPr>
        <w:t>注：上述应收款项中无应收持有本公司</w:t>
      </w:r>
      <w:r>
        <w:rPr>
          <w:rFonts w:ascii="Arial" w:hAnsi="Arial" w:eastAsia="Arial"/>
          <w:b w:val="0"/>
          <w:i w:val="0"/>
          <w:color w:val="000000"/>
          <w:sz w:val="22"/>
        </w:rPr>
        <w:t>5%</w:t>
      </w:r>
      <w:r>
        <w:rPr>
          <w:rFonts w:ascii="黑体" w:hAnsi="黑体" w:eastAsia="黑体"/>
          <w:b w:val="0"/>
          <w:i w:val="0"/>
          <w:color w:val="000000"/>
          <w:sz w:val="22"/>
        </w:rPr>
        <w:t>（含</w:t>
      </w:r>
      <w:r>
        <w:rPr>
          <w:rFonts w:ascii="Arial" w:hAnsi="Arial" w:eastAsia="Arial"/>
          <w:b w:val="0"/>
          <w:i w:val="0"/>
          <w:color w:val="000000"/>
          <w:sz w:val="22"/>
        </w:rPr>
        <w:t>5%</w:t>
      </w:r>
      <w:r>
        <w:rPr>
          <w:rFonts w:ascii="黑体" w:hAnsi="黑体" w:eastAsia="黑体"/>
          <w:b w:val="0"/>
          <w:i w:val="0"/>
          <w:color w:val="000000"/>
          <w:sz w:val="22"/>
        </w:rPr>
        <w:t>）以上表决权股份的股东的款项。</w:t>
      </w:r>
      <w:r>
        <w:rPr>
          <w:rFonts w:ascii="黑体" w:hAnsi="黑体" w:eastAsia="黑体"/>
          <w:b w:val="0"/>
          <w:i w:val="0"/>
          <w:color w:val="000000"/>
          <w:sz w:val="22"/>
        </w:rPr>
        <w:t>上述应收款项中应收关联方款项参见附注十、</w:t>
      </w:r>
      <w:r>
        <w:rPr>
          <w:rFonts w:ascii="Arial" w:hAnsi="Arial" w:eastAsia="Arial"/>
          <w:b w:val="0"/>
          <w:i w:val="0"/>
          <w:color w:val="000000"/>
          <w:sz w:val="22"/>
        </w:rPr>
        <w:t>6</w:t>
      </w:r>
      <w:r>
        <w:rPr>
          <w:rFonts w:ascii="黑体" w:hAnsi="黑体" w:eastAsia="黑体"/>
          <w:b w:val="0"/>
          <w:i w:val="0"/>
          <w:color w:val="000000"/>
          <w:sz w:val="22"/>
        </w:rPr>
        <w:t>。以上应收款项减值准备的变动情</w:t>
      </w:r>
      <w:r>
        <w:rPr>
          <w:rFonts w:ascii="黑体" w:hAnsi="黑体" w:eastAsia="黑体"/>
          <w:b w:val="0"/>
          <w:i w:val="0"/>
          <w:color w:val="000000"/>
          <w:sz w:val="22"/>
        </w:rPr>
        <w:t>况参见附注五、</w:t>
      </w:r>
      <w:r>
        <w:rPr>
          <w:rFonts w:ascii="Arial" w:hAnsi="Arial" w:eastAsia="Arial"/>
          <w:b w:val="0"/>
          <w:i w:val="0"/>
          <w:color w:val="000000"/>
          <w:sz w:val="22"/>
        </w:rPr>
        <w:t>18</w:t>
      </w:r>
      <w:r>
        <w:rPr>
          <w:rFonts w:ascii="黑体" w:hAnsi="黑体" w:eastAsia="黑体"/>
          <w:b w:val="0"/>
          <w:i w:val="0"/>
          <w:color w:val="000000"/>
          <w:sz w:val="22"/>
        </w:rPr>
        <w:t>。</w:t>
      </w:r>
    </w:p>
    <w:tbl>
      <w:tblPr>
        <w:tblW w:type="auto" w:w="0"/>
        <w:tblLayout w:type="fixed"/>
        <w:tblLook w:firstColumn="1" w:firstRow="1" w:lastColumn="0" w:lastRow="0" w:noHBand="0" w:noVBand="1" w:val="04A0"/>
        <w:tblInd w:w="160.0" w:type="dxa"/>
      </w:tblPr>
      <w:tblGrid>
        <w:gridCol w:w="1128"/>
        <w:gridCol w:w="1128"/>
        <w:gridCol w:w="1128"/>
        <w:gridCol w:w="1128"/>
        <w:gridCol w:w="1128"/>
        <w:gridCol w:w="1128"/>
        <w:gridCol w:w="1128"/>
        <w:gridCol w:w="1128"/>
      </w:tblGrid>
      <w:tr>
        <w:trPr>
          <w:trHeight w:hRule="exact" w:val="792"/>
        </w:trPr>
        <w:tc>
          <w:tcPr>
            <w:tcW w:type="dxa" w:w="680"/>
            <w:tcBorders>
              <w:bottom w:sz="3.199999999999818" w:val="single" w:color="#000000"/>
            </w:tcBorders>
            <w:tcMar>
              <w:start w:w="0" w:type="dxa"/>
              <w:end w:w="0" w:type="dxa"/>
            </w:tcMar>
          </w:tcPr>
          <w:p>
            <w:pPr>
              <w:autoSpaceDN w:val="0"/>
              <w:autoSpaceDE w:val="0"/>
              <w:widowControl/>
              <w:spacing w:line="246" w:lineRule="exact" w:before="60" w:after="0"/>
              <w:ind w:left="0" w:right="0" w:firstLine="0"/>
              <w:jc w:val="center"/>
            </w:pPr>
            <w:r>
              <w:rPr>
                <w:rFonts w:ascii="Arial,Bold" w:hAnsi="Arial,Bold" w:eastAsia="Arial,Bold"/>
                <w:b/>
                <w:i w:val="0"/>
                <w:color w:val="000000"/>
                <w:sz w:val="22"/>
              </w:rPr>
              <w:t xml:space="preserve">7. </w:t>
            </w:r>
          </w:p>
        </w:tc>
        <w:tc>
          <w:tcPr>
            <w:tcW w:type="dxa" w:w="1380"/>
            <w:tcBorders>
              <w:bottom w:sz="3.199999999999818" w:val="single" w:color="#000000"/>
            </w:tcBorders>
            <w:tcMar>
              <w:start w:w="0" w:type="dxa"/>
              <w:end w:w="0" w:type="dxa"/>
            </w:tcMar>
          </w:tcPr>
          <w:p>
            <w:pPr>
              <w:autoSpaceDN w:val="0"/>
              <w:autoSpaceDE w:val="0"/>
              <w:widowControl/>
              <w:spacing w:line="220" w:lineRule="exact" w:before="70" w:after="0"/>
              <w:ind w:left="246" w:right="0" w:firstLine="0"/>
              <w:jc w:val="left"/>
            </w:pPr>
            <w:r>
              <w:rPr>
                <w:rFonts w:ascii="黑体" w:hAnsi="黑体" w:eastAsia="黑体"/>
                <w:b w:val="0"/>
                <w:i w:val="0"/>
                <w:color w:val="000000"/>
                <w:sz w:val="22"/>
              </w:rPr>
              <w:t>存出保证金</w:t>
            </w:r>
          </w:p>
        </w:tc>
        <w:tc>
          <w:tcPr>
            <w:tcW w:type="dxa" w:w="742"/>
            <w:tcBorders>
              <w:bottom w:sz="3.199999999999818" w:val="single" w:color="#000000"/>
            </w:tcBorders>
            <w:tcMar>
              <w:start w:w="0" w:type="dxa"/>
              <w:end w:w="0" w:type="dxa"/>
            </w:tcMar>
          </w:tcPr>
          <w:p/>
        </w:tc>
        <w:tc>
          <w:tcPr>
            <w:tcW w:type="dxa" w:w="1238"/>
            <w:tcBorders>
              <w:bottom w:sz="3.199999999999818" w:val="single" w:color="#000000"/>
            </w:tcBorders>
            <w:tcMar>
              <w:start w:w="0" w:type="dxa"/>
              <w:end w:w="0" w:type="dxa"/>
            </w:tcMar>
          </w:tcPr>
          <w:p>
            <w:pPr>
              <w:autoSpaceDN w:val="0"/>
              <w:autoSpaceDE w:val="0"/>
              <w:widowControl/>
              <w:spacing w:line="180" w:lineRule="exact" w:before="594" w:after="0"/>
              <w:ind w:left="0" w:right="0" w:firstLine="0"/>
              <w:jc w:val="center"/>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1032"/>
            <w:tcBorders>
              <w:bottom w:sz="3.199999999999818" w:val="single" w:color="#000000"/>
            </w:tcBorders>
            <w:tcMar>
              <w:start w:w="0" w:type="dxa"/>
              <w:end w:w="0" w:type="dxa"/>
            </w:tcMar>
          </w:tcPr>
          <w:p/>
        </w:tc>
        <w:tc>
          <w:tcPr>
            <w:tcW w:type="dxa" w:w="1134"/>
            <w:tcBorders>
              <w:bottom w:sz="3.199999999999818" w:val="single" w:color="#000000"/>
            </w:tcBorders>
            <w:tcMar>
              <w:start w:w="0" w:type="dxa"/>
              <w:end w:w="0" w:type="dxa"/>
            </w:tcMar>
          </w:tcPr>
          <w:p/>
        </w:tc>
        <w:tc>
          <w:tcPr>
            <w:tcW w:type="dxa" w:w="1294"/>
            <w:tcBorders>
              <w:bottom w:sz="3.199999999999818" w:val="single" w:color="#000000"/>
            </w:tcBorders>
            <w:tcMar>
              <w:start w:w="0" w:type="dxa"/>
              <w:end w:w="0" w:type="dxa"/>
            </w:tcMar>
          </w:tcPr>
          <w:p>
            <w:pPr>
              <w:autoSpaceDN w:val="0"/>
              <w:autoSpaceDE w:val="0"/>
              <w:widowControl/>
              <w:spacing w:line="180" w:lineRule="exact" w:before="594" w:after="0"/>
              <w:ind w:left="0" w:right="0" w:firstLine="0"/>
              <w:jc w:val="center"/>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c>
          <w:tcPr>
            <w:tcW w:type="dxa" w:w="1034"/>
            <w:tcBorders>
              <w:bottom w:sz="3.199999999999818" w:val="single" w:color="#000000"/>
            </w:tcBorders>
            <w:tcMar>
              <w:start w:w="0" w:type="dxa"/>
              <w:end w:w="0" w:type="dxa"/>
            </w:tcMar>
          </w:tcPr>
          <w:p/>
        </w:tc>
      </w:tr>
      <w:tr>
        <w:trPr>
          <w:trHeight w:hRule="exact" w:val="248"/>
        </w:trPr>
        <w:tc>
          <w:tcPr>
            <w:tcW w:type="dxa" w:w="680"/>
            <w:tcBorders>
              <w:top w:sz="3.199999999999818" w:val="single" w:color="#000000"/>
            </w:tcBorders>
            <w:tcMar>
              <w:start w:w="0" w:type="dxa"/>
              <w:end w:w="0" w:type="dxa"/>
            </w:tcMar>
          </w:tcPr>
          <w:p/>
        </w:tc>
        <w:tc>
          <w:tcPr>
            <w:tcW w:type="dxa" w:w="1380"/>
            <w:tcBorders>
              <w:top w:sz="3.199999999999818" w:val="single" w:color="#000000"/>
            </w:tcBorders>
            <w:tcMar>
              <w:start w:w="0" w:type="dxa"/>
              <w:end w:w="0" w:type="dxa"/>
            </w:tcMar>
          </w:tcPr>
          <w:p/>
        </w:tc>
        <w:tc>
          <w:tcPr>
            <w:tcW w:type="dxa" w:w="742"/>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外币金额</w:t>
            </w:r>
          </w:p>
        </w:tc>
        <w:tc>
          <w:tcPr>
            <w:tcW w:type="dxa" w:w="1238"/>
            <w:tcBorders>
              <w:top w:sz="3.199999999999818" w:val="single" w:color="#000000"/>
            </w:tcBorders>
            <w:tcMar>
              <w:start w:w="0" w:type="dxa"/>
              <w:end w:w="0" w:type="dxa"/>
            </w:tcMar>
          </w:tcPr>
          <w:p>
            <w:pPr>
              <w:autoSpaceDN w:val="0"/>
              <w:autoSpaceDE w:val="0"/>
              <w:widowControl/>
              <w:spacing w:line="160" w:lineRule="exact" w:before="24" w:after="0"/>
              <w:ind w:left="0" w:right="328" w:firstLine="0"/>
              <w:jc w:val="right"/>
            </w:pPr>
            <w:r>
              <w:rPr>
                <w:rFonts w:ascii="黑体" w:hAnsi="黑体" w:eastAsia="黑体"/>
                <w:b w:val="0"/>
                <w:i w:val="0"/>
                <w:color w:val="000000"/>
                <w:sz w:val="16"/>
              </w:rPr>
              <w:t>折算率</w:t>
            </w:r>
          </w:p>
        </w:tc>
        <w:tc>
          <w:tcPr>
            <w:tcW w:type="dxa" w:w="1032"/>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折人民币金额</w:t>
            </w:r>
          </w:p>
        </w:tc>
        <w:tc>
          <w:tcPr>
            <w:tcW w:type="dxa" w:w="1134"/>
            <w:tcBorders>
              <w:top w:sz="3.199999999999818" w:val="single" w:color="#000000"/>
            </w:tcBorders>
            <w:tcMar>
              <w:start w:w="0" w:type="dxa"/>
              <w:end w:w="0" w:type="dxa"/>
            </w:tcMar>
          </w:tcPr>
          <w:p>
            <w:pPr>
              <w:autoSpaceDN w:val="0"/>
              <w:autoSpaceDE w:val="0"/>
              <w:widowControl/>
              <w:spacing w:line="160" w:lineRule="exact" w:before="24" w:after="0"/>
              <w:ind w:left="0" w:right="0" w:firstLine="0"/>
              <w:jc w:val="right"/>
            </w:pPr>
            <w:r>
              <w:rPr>
                <w:rFonts w:ascii="黑体" w:hAnsi="黑体" w:eastAsia="黑体"/>
                <w:b w:val="0"/>
                <w:i w:val="0"/>
                <w:color w:val="000000"/>
                <w:sz w:val="16"/>
              </w:rPr>
              <w:t>外币金额</w:t>
            </w:r>
          </w:p>
        </w:tc>
        <w:tc>
          <w:tcPr>
            <w:tcW w:type="dxa" w:w="1294"/>
            <w:tcBorders>
              <w:top w:sz="3.199999999999818" w:val="single" w:color="#000000"/>
            </w:tcBorders>
            <w:tcMar>
              <w:start w:w="0" w:type="dxa"/>
              <w:end w:w="0" w:type="dxa"/>
            </w:tcMar>
          </w:tcPr>
          <w:p>
            <w:pPr>
              <w:autoSpaceDN w:val="0"/>
              <w:autoSpaceDE w:val="0"/>
              <w:widowControl/>
              <w:spacing w:line="160" w:lineRule="exact" w:before="24" w:after="0"/>
              <w:ind w:left="0" w:right="328" w:firstLine="0"/>
              <w:jc w:val="right"/>
            </w:pPr>
            <w:r>
              <w:rPr>
                <w:rFonts w:ascii="黑体" w:hAnsi="黑体" w:eastAsia="黑体"/>
                <w:b w:val="0"/>
                <w:i w:val="0"/>
                <w:color w:val="000000"/>
                <w:sz w:val="16"/>
              </w:rPr>
              <w:t>折算率</w:t>
            </w:r>
          </w:p>
        </w:tc>
        <w:tc>
          <w:tcPr>
            <w:tcW w:type="dxa" w:w="1034"/>
            <w:tcBorders>
              <w:top w:sz="3.199999999999818" w:val="single" w:color="#000000"/>
            </w:tcBorders>
            <w:tcMar>
              <w:start w:w="0" w:type="dxa"/>
              <w:end w:w="0" w:type="dxa"/>
            </w:tcMar>
          </w:tcPr>
          <w:p>
            <w:pPr>
              <w:autoSpaceDN w:val="0"/>
              <w:autoSpaceDE w:val="0"/>
              <w:widowControl/>
              <w:spacing w:line="160" w:lineRule="exact" w:before="24" w:after="0"/>
              <w:ind w:left="74" w:right="0" w:firstLine="0"/>
              <w:jc w:val="left"/>
            </w:pPr>
            <w:r>
              <w:rPr>
                <w:rFonts w:ascii="黑体" w:hAnsi="黑体" w:eastAsia="黑体"/>
                <w:b w:val="0"/>
                <w:i w:val="0"/>
                <w:color w:val="000000"/>
                <w:sz w:val="16"/>
              </w:rPr>
              <w:t>折人民币金额</w:t>
            </w:r>
          </w:p>
        </w:tc>
      </w:tr>
    </w:tbl>
    <w:p>
      <w:pPr>
        <w:autoSpaceDN w:val="0"/>
        <w:autoSpaceDE w:val="0"/>
        <w:widowControl/>
        <w:spacing w:line="162" w:lineRule="exact" w:before="170" w:after="24"/>
        <w:ind w:left="358" w:right="0" w:firstLine="0"/>
        <w:jc w:val="left"/>
      </w:pPr>
      <w:r>
        <w:rPr>
          <w:rFonts w:ascii="黑体" w:hAnsi="黑体" w:eastAsia="黑体"/>
          <w:b w:val="0"/>
          <w:i w:val="0"/>
          <w:color w:val="000000"/>
          <w:sz w:val="16"/>
        </w:rPr>
        <w:t>交易保证金</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182"/>
        </w:trPr>
        <w:tc>
          <w:tcPr>
            <w:tcW w:type="dxa" w:w="1620"/>
            <w:tcBorders/>
            <w:tcMar>
              <w:start w:w="0" w:type="dxa"/>
              <w:end w:w="0" w:type="dxa"/>
            </w:tcMar>
          </w:tcPr>
          <w:p>
            <w:pPr>
              <w:autoSpaceDN w:val="0"/>
              <w:autoSpaceDE w:val="0"/>
              <w:widowControl/>
              <w:spacing w:line="160" w:lineRule="exact" w:before="22" w:after="0"/>
              <w:ind w:left="198" w:right="0" w:firstLine="0"/>
              <w:jc w:val="left"/>
            </w:pPr>
            <w:r>
              <w:rPr>
                <w:rFonts w:ascii="黑体" w:hAnsi="黑体" w:eastAsia="黑体"/>
                <w:b w:val="0"/>
                <w:i w:val="0"/>
                <w:color w:val="000000"/>
                <w:sz w:val="16"/>
              </w:rPr>
              <w:t>其中：人民币</w:t>
            </w:r>
          </w:p>
        </w:tc>
        <w:tc>
          <w:tcPr>
            <w:tcW w:type="dxa" w:w="138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2" w:after="0"/>
              <w:ind w:left="322" w:right="0" w:firstLine="0"/>
              <w:jc w:val="left"/>
            </w:pPr>
            <w:r>
              <w:rPr>
                <w:rFonts w:ascii="Arial" w:hAnsi="Arial" w:eastAsia="Arial"/>
                <w:b w:val="0"/>
                <w:i w:val="0"/>
                <w:color w:val="000000"/>
                <w:sz w:val="16"/>
              </w:rPr>
              <w:t xml:space="preserve">26,869,160 </w:t>
            </w:r>
          </w:p>
        </w:tc>
        <w:tc>
          <w:tcPr>
            <w:tcW w:type="dxa" w:w="90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2" w:after="0"/>
              <w:ind w:left="0" w:right="0" w:firstLine="0"/>
              <w:jc w:val="center"/>
            </w:pPr>
            <w:r>
              <w:rPr>
                <w:rFonts w:ascii="Arial" w:hAnsi="Arial" w:eastAsia="Arial"/>
                <w:b w:val="0"/>
                <w:i w:val="0"/>
                <w:color w:val="000000"/>
                <w:sz w:val="16"/>
              </w:rPr>
              <w:t xml:space="preserve"> 7.1884 </w:t>
            </w:r>
          </w:p>
        </w:tc>
        <w:tc>
          <w:tcPr>
            <w:tcW w:type="dxa" w:w="1340"/>
            <w:tcBorders/>
            <w:tcMar>
              <w:start w:w="0" w:type="dxa"/>
              <w:end w:w="0" w:type="dxa"/>
            </w:tcMar>
          </w:tcPr>
          <w:p>
            <w:pPr>
              <w:autoSpaceDN w:val="0"/>
              <w:autoSpaceDE w:val="0"/>
              <w:widowControl/>
              <w:spacing w:line="230" w:lineRule="auto" w:before="4" w:after="0"/>
              <w:ind w:left="0" w:right="0" w:firstLine="0"/>
              <w:jc w:val="center"/>
            </w:pPr>
            <w:r>
              <w:rPr>
                <w:rFonts w:ascii="Arial" w:hAnsi="Arial" w:eastAsia="Arial"/>
                <w:b w:val="0"/>
                <w:i w:val="0"/>
                <w:color w:val="000000"/>
                <w:sz w:val="16"/>
              </w:rPr>
              <w:t>2,644,142,448</w:t>
            </w:r>
          </w:p>
        </w:tc>
        <w:tc>
          <w:tcPr>
            <w:tcW w:type="dxa" w:w="120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2" w:after="0"/>
              <w:ind w:left="0" w:right="0" w:firstLine="0"/>
              <w:jc w:val="center"/>
            </w:pPr>
            <w:r>
              <w:rPr>
                <w:rFonts w:ascii="Arial" w:hAnsi="Arial" w:eastAsia="Arial"/>
                <w:b w:val="0"/>
                <w:i w:val="0"/>
                <w:color w:val="000000"/>
                <w:sz w:val="16"/>
              </w:rPr>
              <w:t>50,558,106</w:t>
            </w:r>
          </w:p>
        </w:tc>
        <w:tc>
          <w:tcPr>
            <w:tcW w:type="dxa" w:w="9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32" w:after="0"/>
              <w:ind w:left="0" w:right="146" w:firstLine="0"/>
              <w:jc w:val="right"/>
            </w:pPr>
            <w:r>
              <w:rPr>
                <w:rFonts w:ascii="Arial" w:hAnsi="Arial" w:eastAsia="Arial"/>
                <w:b w:val="0"/>
                <w:i w:val="0"/>
                <w:color w:val="000000"/>
                <w:sz w:val="16"/>
              </w:rPr>
              <w:t xml:space="preserve">7.0827 </w:t>
            </w:r>
          </w:p>
        </w:tc>
        <w:tc>
          <w:tcPr>
            <w:tcW w:type="dxa" w:w="1340"/>
            <w:tcBorders/>
            <w:tcMar>
              <w:start w:w="0" w:type="dxa"/>
              <w:end w:w="0" w:type="dxa"/>
            </w:tcMar>
          </w:tcPr>
          <w:p>
            <w:pPr>
              <w:autoSpaceDN w:val="0"/>
              <w:autoSpaceDE w:val="0"/>
              <w:widowControl/>
              <w:spacing w:line="230" w:lineRule="auto" w:before="4" w:after="0"/>
              <w:ind w:left="0" w:right="0" w:firstLine="0"/>
              <w:jc w:val="center"/>
            </w:pPr>
            <w:r>
              <w:rPr>
                <w:rFonts w:ascii="Arial" w:hAnsi="Arial" w:eastAsia="Arial"/>
                <w:b w:val="0"/>
                <w:i w:val="0"/>
                <w:color w:val="000000"/>
                <w:sz w:val="16"/>
              </w:rPr>
              <w:t>3,561,032,527</w:t>
            </w:r>
          </w:p>
        </w:tc>
      </w:tr>
      <w:tr>
        <w:trPr>
          <w:trHeight w:hRule="exact" w:val="200"/>
        </w:trPr>
        <w:tc>
          <w:tcPr>
            <w:tcW w:type="dxa" w:w="1620"/>
            <w:tcBorders/>
            <w:tcMar>
              <w:start w:w="0" w:type="dxa"/>
              <w:end w:w="0" w:type="dxa"/>
            </w:tcMar>
          </w:tcPr>
          <w:p>
            <w:pPr>
              <w:autoSpaceDN w:val="0"/>
              <w:autoSpaceDE w:val="0"/>
              <w:widowControl/>
              <w:spacing w:line="160" w:lineRule="exact" w:before="40" w:after="0"/>
              <w:ind w:left="0" w:right="0" w:firstLine="0"/>
              <w:jc w:val="center"/>
            </w:pPr>
            <w:r>
              <w:rPr>
                <w:rFonts w:ascii="黑体" w:hAnsi="黑体" w:eastAsia="黑体"/>
                <w:b w:val="0"/>
                <w:i w:val="0"/>
                <w:color w:val="000000"/>
                <w:sz w:val="16"/>
              </w:rPr>
              <w:t>美元</w:t>
            </w:r>
          </w:p>
        </w:tc>
        <w:tc>
          <w:tcPr>
            <w:tcW w:type="dxa" w:w="1289"/>
            <w:vMerge/>
            <w:tcBorders/>
          </w:tcPr>
          <w:p/>
        </w:tc>
        <w:tc>
          <w:tcPr>
            <w:tcW w:type="dxa" w:w="1289"/>
            <w:vMerge/>
            <w:tcBorders/>
          </w:tcPr>
          <w:p/>
        </w:tc>
        <w:tc>
          <w:tcPr>
            <w:tcW w:type="dxa" w:w="1340"/>
            <w:vMerge w:val="restart"/>
            <w:tcBorders/>
            <w:tcMar>
              <w:start w:w="0" w:type="dxa"/>
              <w:end w:w="0" w:type="dxa"/>
            </w:tcMar>
            <w:tcMar>
              <w:start w:w="0" w:type="dxa"/>
              <w:end w:w="0" w:type="dxa"/>
            </w:tcMar>
          </w:tcPr>
          <w:p>
            <w:pPr>
              <w:autoSpaceDN w:val="0"/>
              <w:autoSpaceDE w:val="0"/>
              <w:widowControl/>
              <w:spacing w:line="233" w:lineRule="auto" w:before="50" w:after="0"/>
              <w:ind w:left="282" w:right="0" w:firstLine="0"/>
              <w:jc w:val="left"/>
            </w:pPr>
            <w:r>
              <w:rPr>
                <w:rFonts w:ascii="Arial" w:hAnsi="Arial" w:eastAsia="Arial"/>
                <w:b w:val="0"/>
                <w:i w:val="0"/>
                <w:color w:val="000000"/>
                <w:sz w:val="16"/>
              </w:rPr>
              <w:t>193,146,273</w:t>
            </w:r>
          </w:p>
        </w:tc>
        <w:tc>
          <w:tcPr>
            <w:tcW w:type="dxa" w:w="1289"/>
            <w:vMerge/>
            <w:tcBorders/>
          </w:tcPr>
          <w:p/>
        </w:tc>
        <w:tc>
          <w:tcPr>
            <w:tcW w:type="dxa" w:w="1289"/>
            <w:vMerge/>
            <w:tcBorders/>
          </w:tcPr>
          <w:p/>
        </w:tc>
        <w:tc>
          <w:tcPr>
            <w:tcW w:type="dxa" w:w="1340"/>
            <w:vMerge w:val="restart"/>
            <w:tcBorders/>
            <w:tcMar>
              <w:start w:w="0" w:type="dxa"/>
              <w:end w:w="0" w:type="dxa"/>
            </w:tcMar>
            <w:tcMar>
              <w:start w:w="0" w:type="dxa"/>
              <w:end w:w="0" w:type="dxa"/>
            </w:tcMar>
          </w:tcPr>
          <w:p>
            <w:pPr>
              <w:autoSpaceDN w:val="0"/>
              <w:autoSpaceDE w:val="0"/>
              <w:widowControl/>
              <w:spacing w:line="233" w:lineRule="auto" w:before="50" w:after="0"/>
              <w:ind w:left="284" w:right="0" w:firstLine="0"/>
              <w:jc w:val="left"/>
            </w:pPr>
            <w:r>
              <w:rPr>
                <w:rFonts w:ascii="Arial" w:hAnsi="Arial" w:eastAsia="Arial"/>
                <w:b w:val="0"/>
                <w:i w:val="0"/>
                <w:color w:val="000000"/>
                <w:sz w:val="16"/>
              </w:rPr>
              <w:t>358,087,897</w:t>
            </w:r>
          </w:p>
        </w:tc>
      </w:tr>
      <w:tr>
        <w:trPr>
          <w:trHeight w:hRule="exact" w:val="42"/>
        </w:trPr>
        <w:tc>
          <w:tcPr>
            <w:tcW w:type="dxa" w:w="1620"/>
            <w:vMerge w:val="restart"/>
            <w:tcBorders/>
            <w:tcMar>
              <w:start w:w="0" w:type="dxa"/>
              <w:end w:w="0" w:type="dxa"/>
            </w:tcMar>
            <w:tcMar>
              <w:start w:w="0" w:type="dxa"/>
              <w:end w:w="0" w:type="dxa"/>
            </w:tcMar>
          </w:tcPr>
          <w:p>
            <w:pPr>
              <w:autoSpaceDN w:val="0"/>
              <w:autoSpaceDE w:val="0"/>
              <w:widowControl/>
              <w:spacing w:line="162" w:lineRule="exact" w:before="54" w:after="0"/>
              <w:ind w:left="0" w:right="0" w:firstLine="0"/>
              <w:jc w:val="center"/>
            </w:pPr>
            <w:r>
              <w:rPr>
                <w:rFonts w:ascii="黑体" w:hAnsi="黑体" w:eastAsia="黑体"/>
                <w:b w:val="0"/>
                <w:i w:val="0"/>
                <w:color w:val="000000"/>
                <w:sz w:val="16"/>
              </w:rPr>
              <w:t>港币</w:t>
            </w: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c>
          <w:tcPr>
            <w:tcW w:type="dxa" w:w="1289"/>
            <w:vMerge/>
            <w:tcBorders/>
          </w:tcPr>
          <w:p/>
        </w:tc>
      </w:tr>
      <w:tr>
        <w:trPr>
          <w:trHeight w:hRule="exact" w:val="178"/>
        </w:trPr>
        <w:tc>
          <w:tcPr>
            <w:tcW w:type="dxa" w:w="1289"/>
            <w:vMerge/>
            <w:tcBorders/>
          </w:tcPr>
          <w:p/>
        </w:tc>
        <w:tc>
          <w:tcPr>
            <w:tcW w:type="dxa" w:w="1380"/>
            <w:vMerge w:val="restart"/>
            <w:tcBorders/>
            <w:tcMar>
              <w:start w:w="0" w:type="dxa"/>
              <w:end w:w="0" w:type="dxa"/>
            </w:tcMar>
            <w:tcMar>
              <w:start w:w="0" w:type="dxa"/>
              <w:end w:w="0" w:type="dxa"/>
            </w:tcMar>
          </w:tcPr>
          <w:p>
            <w:pPr>
              <w:autoSpaceDN w:val="0"/>
              <w:autoSpaceDE w:val="0"/>
              <w:widowControl/>
              <w:spacing w:line="233" w:lineRule="auto" w:before="14" w:after="0"/>
              <w:ind w:left="0" w:right="140" w:firstLine="0"/>
              <w:jc w:val="right"/>
            </w:pPr>
            <w:r>
              <w:rPr>
                <w:rFonts w:ascii="Arial" w:hAnsi="Arial" w:eastAsia="Arial"/>
                <w:b w:val="0"/>
                <w:i w:val="0"/>
                <w:color w:val="000000"/>
                <w:sz w:val="16"/>
              </w:rPr>
              <w:t xml:space="preserve">4,370,903 </w:t>
            </w:r>
          </w:p>
        </w:tc>
        <w:tc>
          <w:tcPr>
            <w:tcW w:type="dxa" w:w="900"/>
            <w:vMerge w:val="restart"/>
            <w:tcBorders/>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0.9260</w:t>
            </w:r>
          </w:p>
        </w:tc>
        <w:tc>
          <w:tcPr>
            <w:tcW w:type="dxa" w:w="1340"/>
            <w:tcBorders/>
            <w:tcMar>
              <w:start w:w="0" w:type="dxa"/>
              <w:end w:w="0" w:type="dxa"/>
            </w:tcMar>
          </w:tcPr>
          <w:p>
            <w:pPr>
              <w:autoSpaceDN w:val="0"/>
              <w:autoSpaceDE w:val="0"/>
              <w:widowControl/>
              <w:spacing w:line="233" w:lineRule="auto" w:before="0" w:after="0"/>
              <w:ind w:left="0" w:right="166" w:firstLine="0"/>
              <w:jc w:val="right"/>
            </w:pPr>
            <w:r>
              <w:rPr>
                <w:rFonts w:ascii="Arial" w:hAnsi="Arial" w:eastAsia="Arial"/>
                <w:b w:val="0"/>
                <w:i w:val="0"/>
                <w:color w:val="000000"/>
                <w:sz w:val="16"/>
              </w:rPr>
              <w:t>4,047,456</w:t>
            </w:r>
          </w:p>
        </w:tc>
        <w:tc>
          <w:tcPr>
            <w:tcW w:type="dxa" w:w="1200"/>
            <w:vMerge w:val="restart"/>
            <w:tcBorders/>
            <w:tcMar>
              <w:start w:w="0" w:type="dxa"/>
              <w:end w:w="0" w:type="dxa"/>
            </w:tcMar>
            <w:tcMar>
              <w:start w:w="0" w:type="dxa"/>
              <w:end w:w="0" w:type="dxa"/>
            </w:tcMar>
          </w:tcPr>
          <w:p>
            <w:pPr>
              <w:autoSpaceDN w:val="0"/>
              <w:autoSpaceDE w:val="0"/>
              <w:widowControl/>
              <w:spacing w:line="233" w:lineRule="auto" w:before="14" w:after="0"/>
              <w:ind w:left="0" w:right="0" w:firstLine="0"/>
              <w:jc w:val="center"/>
            </w:pPr>
            <w:r>
              <w:rPr>
                <w:rFonts w:ascii="Arial" w:hAnsi="Arial" w:eastAsia="Arial"/>
                <w:b w:val="0"/>
                <w:i w:val="0"/>
                <w:color w:val="000000"/>
                <w:sz w:val="16"/>
              </w:rPr>
              <w:t>3,305,392</w:t>
            </w:r>
          </w:p>
        </w:tc>
        <w:tc>
          <w:tcPr>
            <w:tcW w:type="dxa" w:w="920"/>
            <w:vMerge w:val="restart"/>
            <w:tcBorders/>
            <w:tcMar>
              <w:start w:w="0" w:type="dxa"/>
              <w:end w:w="0" w:type="dxa"/>
            </w:tcMar>
            <w:tcMar>
              <w:start w:w="0" w:type="dxa"/>
              <w:end w:w="0" w:type="dxa"/>
            </w:tcMar>
          </w:tcPr>
          <w:p>
            <w:pPr>
              <w:autoSpaceDN w:val="0"/>
              <w:autoSpaceDE w:val="0"/>
              <w:widowControl/>
              <w:spacing w:line="233" w:lineRule="auto" w:before="14" w:after="0"/>
              <w:ind w:left="0" w:right="146" w:firstLine="0"/>
              <w:jc w:val="right"/>
            </w:pPr>
            <w:r>
              <w:rPr>
                <w:rFonts w:ascii="Arial" w:hAnsi="Arial" w:eastAsia="Arial"/>
                <w:b w:val="0"/>
                <w:i w:val="0"/>
                <w:color w:val="000000"/>
                <w:sz w:val="16"/>
              </w:rPr>
              <w:t xml:space="preserve">0.9062 </w:t>
            </w:r>
          </w:p>
        </w:tc>
        <w:tc>
          <w:tcPr>
            <w:tcW w:type="dxa" w:w="1340"/>
            <w:tcBorders/>
            <w:tcMar>
              <w:start w:w="0" w:type="dxa"/>
              <w:end w:w="0" w:type="dxa"/>
            </w:tcMar>
          </w:tcPr>
          <w:p>
            <w:pPr>
              <w:autoSpaceDN w:val="0"/>
              <w:autoSpaceDE w:val="0"/>
              <w:widowControl/>
              <w:spacing w:line="233" w:lineRule="auto" w:before="0" w:after="0"/>
              <w:ind w:left="0" w:right="166" w:firstLine="0"/>
              <w:jc w:val="right"/>
            </w:pPr>
            <w:r>
              <w:rPr>
                <w:rFonts w:ascii="Arial" w:hAnsi="Arial" w:eastAsia="Arial"/>
                <w:b w:val="0"/>
                <w:i w:val="0"/>
                <w:color w:val="000000"/>
                <w:sz w:val="16"/>
              </w:rPr>
              <w:t>2,995,413</w:t>
            </w:r>
          </w:p>
        </w:tc>
      </w:tr>
      <w:tr>
        <w:trPr>
          <w:trHeight w:hRule="exact" w:val="282"/>
        </w:trPr>
        <w:tc>
          <w:tcPr>
            <w:tcW w:type="dxa" w:w="1620"/>
            <w:tcBorders/>
            <w:tcMar>
              <w:start w:w="0" w:type="dxa"/>
              <w:end w:w="0" w:type="dxa"/>
            </w:tcMar>
          </w:tcPr>
          <w:p>
            <w:pPr>
              <w:autoSpaceDN w:val="0"/>
              <w:autoSpaceDE w:val="0"/>
              <w:widowControl/>
              <w:spacing w:line="160" w:lineRule="exact" w:before="44" w:after="0"/>
              <w:ind w:left="0" w:right="318" w:firstLine="0"/>
              <w:jc w:val="right"/>
            </w:pPr>
            <w:r>
              <w:rPr>
                <w:rFonts w:ascii="黑体" w:hAnsi="黑体" w:eastAsia="黑体"/>
                <w:b w:val="0"/>
                <w:i w:val="0"/>
                <w:color w:val="000000"/>
                <w:sz w:val="16"/>
              </w:rPr>
              <w:t>其他币种</w:t>
            </w:r>
          </w:p>
        </w:tc>
        <w:tc>
          <w:tcPr>
            <w:tcW w:type="dxa" w:w="1289"/>
            <w:vMerge/>
            <w:tcBorders/>
          </w:tcPr>
          <w:p/>
        </w:tc>
        <w:tc>
          <w:tcPr>
            <w:tcW w:type="dxa" w:w="1289"/>
            <w:vMerge/>
            <w:tcBorders/>
          </w:tcPr>
          <w:p/>
        </w:tc>
        <w:tc>
          <w:tcPr>
            <w:tcW w:type="dxa" w:w="1340"/>
            <w:tcBorders/>
            <w:tcMar>
              <w:start w:w="0" w:type="dxa"/>
              <w:end w:w="0" w:type="dxa"/>
            </w:tcMar>
          </w:tcPr>
          <w:p>
            <w:pPr>
              <w:autoSpaceDN w:val="0"/>
              <w:autoSpaceDE w:val="0"/>
              <w:widowControl/>
              <w:spacing w:line="230" w:lineRule="auto" w:before="44" w:after="0"/>
              <w:ind w:left="0" w:right="166" w:firstLine="0"/>
              <w:jc w:val="right"/>
            </w:pPr>
            <w:r>
              <w:rPr>
                <w:rFonts w:ascii="Arial" w:hAnsi="Arial" w:eastAsia="Arial"/>
                <w:b w:val="0"/>
                <w:i w:val="0"/>
                <w:color w:val="000000"/>
                <w:sz w:val="16"/>
              </w:rPr>
              <w:t>280,025</w:t>
            </w:r>
          </w:p>
        </w:tc>
        <w:tc>
          <w:tcPr>
            <w:tcW w:type="dxa" w:w="1289"/>
            <w:vMerge/>
            <w:tcBorders/>
          </w:tcPr>
          <w:p/>
        </w:tc>
        <w:tc>
          <w:tcPr>
            <w:tcW w:type="dxa" w:w="1289"/>
            <w:vMerge/>
            <w:tcBorders/>
          </w:tcPr>
          <w:p/>
        </w:tc>
        <w:tc>
          <w:tcPr>
            <w:tcW w:type="dxa" w:w="1340"/>
            <w:tcBorders/>
            <w:tcMar>
              <w:start w:w="0" w:type="dxa"/>
              <w:end w:w="0" w:type="dxa"/>
            </w:tcMar>
          </w:tcPr>
          <w:p>
            <w:pPr>
              <w:autoSpaceDN w:val="0"/>
              <w:autoSpaceDE w:val="0"/>
              <w:widowControl/>
              <w:spacing w:line="230" w:lineRule="auto" w:before="44" w:after="0"/>
              <w:ind w:left="0" w:right="164" w:firstLine="0"/>
              <w:jc w:val="right"/>
            </w:pPr>
            <w:r>
              <w:rPr>
                <w:rFonts w:ascii="Arial" w:hAnsi="Arial" w:eastAsia="Arial"/>
                <w:b w:val="0"/>
                <w:i w:val="0"/>
                <w:color w:val="000000"/>
                <w:sz w:val="16"/>
              </w:rPr>
              <w:t>179,679</w:t>
            </w:r>
          </w:p>
        </w:tc>
      </w:tr>
    </w:tbl>
    <w:p>
      <w:pPr>
        <w:autoSpaceDN w:val="0"/>
        <w:autoSpaceDE w:val="0"/>
        <w:widowControl/>
        <w:spacing w:line="162" w:lineRule="exact" w:before="152" w:after="22"/>
        <w:ind w:left="358" w:right="0" w:firstLine="0"/>
        <w:jc w:val="left"/>
      </w:pPr>
      <w:r>
        <w:rPr>
          <w:rFonts w:ascii="黑体" w:hAnsi="黑体" w:eastAsia="黑体"/>
          <w:b w:val="0"/>
          <w:i w:val="0"/>
          <w:color w:val="000000"/>
          <w:sz w:val="16"/>
        </w:rPr>
        <w:t>信用保证金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64"/>
        </w:trPr>
        <w:tc>
          <w:tcPr>
            <w:tcW w:type="dxa" w:w="2760"/>
            <w:tcBorders/>
            <w:tcMar>
              <w:start w:w="0" w:type="dxa"/>
              <w:end w:w="0" w:type="dxa"/>
            </w:tcMar>
          </w:tcPr>
          <w:p>
            <w:pPr>
              <w:autoSpaceDN w:val="0"/>
              <w:autoSpaceDE w:val="0"/>
              <w:widowControl/>
              <w:spacing w:line="162" w:lineRule="exact" w:before="22" w:after="0"/>
              <w:ind w:left="198" w:right="0" w:firstLine="0"/>
              <w:jc w:val="left"/>
            </w:pPr>
            <w:r>
              <w:rPr>
                <w:rFonts w:ascii="黑体" w:hAnsi="黑体" w:eastAsia="黑体"/>
                <w:b w:val="0"/>
                <w:i w:val="0"/>
                <w:color w:val="000000"/>
                <w:sz w:val="16"/>
              </w:rPr>
              <w:t>其中：人民币</w:t>
            </w:r>
          </w:p>
        </w:tc>
        <w:tc>
          <w:tcPr>
            <w:tcW w:type="dxa" w:w="3680"/>
            <w:tcBorders/>
            <w:tcMar>
              <w:start w:w="0" w:type="dxa"/>
              <w:end w:w="0" w:type="dxa"/>
            </w:tcMar>
          </w:tcPr>
          <w:p>
            <w:pPr>
              <w:autoSpaceDN w:val="0"/>
              <w:autoSpaceDE w:val="0"/>
              <w:widowControl/>
              <w:spacing w:line="230" w:lineRule="auto" w:before="26" w:after="0"/>
              <w:ind w:left="0" w:right="1366" w:firstLine="0"/>
              <w:jc w:val="right"/>
            </w:pPr>
            <w:r>
              <w:rPr>
                <w:rFonts w:ascii="Arial" w:hAnsi="Arial" w:eastAsia="Arial"/>
                <w:b w:val="0"/>
                <w:i w:val="0"/>
                <w:color w:val="000000"/>
                <w:sz w:val="16"/>
              </w:rPr>
              <w:t>8,206,211</w:t>
            </w:r>
          </w:p>
        </w:tc>
        <w:tc>
          <w:tcPr>
            <w:tcW w:type="dxa" w:w="2260"/>
            <w:tcBorders/>
            <w:tcMar>
              <w:start w:w="0" w:type="dxa"/>
              <w:end w:w="0" w:type="dxa"/>
            </w:tcMar>
          </w:tcPr>
          <w:p>
            <w:pPr>
              <w:autoSpaceDN w:val="0"/>
              <w:autoSpaceDE w:val="0"/>
              <w:widowControl/>
              <w:spacing w:line="230" w:lineRule="auto" w:before="26" w:after="0"/>
              <w:ind w:left="0" w:right="166" w:firstLine="0"/>
              <w:jc w:val="right"/>
            </w:pPr>
            <w:r>
              <w:rPr>
                <w:rFonts w:ascii="Arial" w:hAnsi="Arial" w:eastAsia="Arial"/>
                <w:b w:val="0"/>
                <w:i w:val="0"/>
                <w:color w:val="000000"/>
                <w:sz w:val="16"/>
              </w:rPr>
              <w:t>6,785,551</w:t>
            </w:r>
          </w:p>
        </w:tc>
      </w:tr>
    </w:tbl>
    <w:p>
      <w:pPr>
        <w:autoSpaceDN w:val="0"/>
        <w:autoSpaceDE w:val="0"/>
        <w:widowControl/>
        <w:spacing w:line="162" w:lineRule="exact" w:before="150" w:after="24"/>
        <w:ind w:left="358" w:right="0" w:firstLine="0"/>
        <w:jc w:val="left"/>
      </w:pPr>
      <w:r>
        <w:rPr>
          <w:rFonts w:ascii="黑体" w:hAnsi="黑体" w:eastAsia="黑体"/>
          <w:b w:val="0"/>
          <w:i w:val="0"/>
          <w:color w:val="000000"/>
          <w:sz w:val="16"/>
        </w:rPr>
        <w:t>履约保证金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12"/>
        </w:trPr>
        <w:tc>
          <w:tcPr>
            <w:tcW w:type="dxa" w:w="3824"/>
            <w:tcBorders>
              <w:bottom w:sz="3.2000000000007276" w:val="single" w:color="#000000"/>
            </w:tcBorders>
            <w:tcMar>
              <w:start w:w="0" w:type="dxa"/>
              <w:end w:w="0" w:type="dxa"/>
            </w:tcMar>
          </w:tcPr>
          <w:p>
            <w:pPr>
              <w:autoSpaceDN w:val="0"/>
              <w:autoSpaceDE w:val="0"/>
              <w:widowControl/>
              <w:spacing w:line="160" w:lineRule="exact" w:before="24" w:after="0"/>
              <w:ind w:left="198" w:right="0" w:firstLine="0"/>
              <w:jc w:val="left"/>
            </w:pPr>
            <w:r>
              <w:rPr>
                <w:rFonts w:ascii="黑体" w:hAnsi="黑体" w:eastAsia="黑体"/>
                <w:b w:val="0"/>
                <w:i w:val="0"/>
                <w:color w:val="000000"/>
                <w:sz w:val="16"/>
              </w:rPr>
              <w:t>其中：人民币</w:t>
            </w:r>
          </w:p>
        </w:tc>
        <w:tc>
          <w:tcPr>
            <w:tcW w:type="dxa" w:w="1248"/>
            <w:tcBorders>
              <w:bottom w:sz="3.2000000000007276"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213,577,383</w:t>
            </w:r>
          </w:p>
        </w:tc>
        <w:tc>
          <w:tcPr>
            <w:tcW w:type="dxa" w:w="3462"/>
            <w:tcBorders>
              <w:bottom w:sz="3.2000000000007276" w:val="single" w:color="#0000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300,353,264</w:t>
            </w:r>
          </w:p>
        </w:tc>
      </w:tr>
      <w:tr>
        <w:trPr>
          <w:trHeight w:hRule="exact" w:val="402"/>
        </w:trPr>
        <w:tc>
          <w:tcPr>
            <w:tcW w:type="dxa" w:w="3824"/>
            <w:tcBorders>
              <w:top w:sz="3.2000000000007276" w:val="single" w:color="#000000"/>
              <w:bottom w:sz="4.0" w:val="single" w:color="#000000"/>
            </w:tcBorders>
            <w:tcMar>
              <w:start w:w="0" w:type="dxa"/>
              <w:end w:w="0" w:type="dxa"/>
            </w:tcMar>
          </w:tcPr>
          <w:p>
            <w:pPr>
              <w:autoSpaceDN w:val="0"/>
              <w:autoSpaceDE w:val="0"/>
              <w:widowControl/>
              <w:spacing w:line="162" w:lineRule="exact" w:before="208" w:after="0"/>
              <w:ind w:left="198" w:right="0" w:firstLine="0"/>
              <w:jc w:val="left"/>
            </w:pPr>
            <w:r>
              <w:rPr>
                <w:rFonts w:ascii="黑体" w:hAnsi="黑体" w:eastAsia="黑体"/>
                <w:b w:val="0"/>
                <w:i w:val="0"/>
                <w:color w:val="000000"/>
                <w:sz w:val="16"/>
              </w:rPr>
              <w:t>合计</w:t>
            </w:r>
          </w:p>
        </w:tc>
        <w:tc>
          <w:tcPr>
            <w:tcW w:type="dxa" w:w="1248"/>
            <w:tcBorders>
              <w:top w:sz="3.2000000000007276" w:val="single" w:color="#000000"/>
              <w:bottom w:sz="4.0" w:val="single" w:color="#000000"/>
            </w:tcBorders>
            <w:tcMar>
              <w:start w:w="0" w:type="dxa"/>
              <w:end w:w="0" w:type="dxa"/>
            </w:tcMar>
          </w:tcPr>
          <w:p>
            <w:pPr>
              <w:autoSpaceDN w:val="0"/>
              <w:autoSpaceDE w:val="0"/>
              <w:widowControl/>
              <w:spacing w:line="233" w:lineRule="auto" w:before="210" w:after="0"/>
              <w:ind w:left="226" w:right="0" w:firstLine="0"/>
              <w:jc w:val="left"/>
            </w:pPr>
            <w:r>
              <w:rPr>
                <w:rFonts w:ascii="Arial" w:hAnsi="Arial" w:eastAsia="Arial"/>
                <w:b w:val="0"/>
                <w:i w:val="0"/>
                <w:color w:val="000000"/>
                <w:sz w:val="16"/>
              </w:rPr>
              <w:t>3,063,399,796</w:t>
            </w:r>
          </w:p>
        </w:tc>
        <w:tc>
          <w:tcPr>
            <w:tcW w:type="dxa" w:w="3462"/>
            <w:tcBorders>
              <w:top w:sz="3.2000000000007276" w:val="single" w:color="#000000"/>
              <w:bottom w:sz="4.0" w:val="single" w:color="#000000"/>
            </w:tcBorders>
            <w:tcMar>
              <w:start w:w="0" w:type="dxa"/>
              <w:end w:w="0" w:type="dxa"/>
            </w:tcMar>
          </w:tcPr>
          <w:p>
            <w:pPr>
              <w:autoSpaceDN w:val="0"/>
              <w:autoSpaceDE w:val="0"/>
              <w:widowControl/>
              <w:spacing w:line="233" w:lineRule="auto" w:before="210" w:after="0"/>
              <w:ind w:left="0" w:right="0" w:firstLine="0"/>
              <w:jc w:val="right"/>
            </w:pPr>
            <w:r>
              <w:rPr>
                <w:rFonts w:ascii="Arial" w:hAnsi="Arial" w:eastAsia="Arial"/>
                <w:b w:val="0"/>
                <w:i w:val="0"/>
                <w:color w:val="000000"/>
                <w:sz w:val="16"/>
              </w:rPr>
              <w:t>4,229,434,331</w:t>
            </w:r>
          </w:p>
        </w:tc>
      </w:tr>
      <w:tr>
        <w:trPr>
          <w:trHeight w:hRule="exact" w:val="52"/>
        </w:trPr>
        <w:tc>
          <w:tcPr>
            <w:tcW w:type="dxa" w:w="3824"/>
            <w:tcBorders>
              <w:top w:sz="4.0" w:val="single" w:color="#000000"/>
            </w:tcBorders>
            <w:tcMar>
              <w:start w:w="0" w:type="dxa"/>
              <w:end w:w="0" w:type="dxa"/>
            </w:tcMar>
          </w:tcPr>
          <w:p/>
        </w:tc>
        <w:tc>
          <w:tcPr>
            <w:tcW w:type="dxa" w:w="1248"/>
            <w:tcBorders>
              <w:top w:sz="4.0" w:val="single" w:color="#000000"/>
            </w:tcBorders>
            <w:tcMar>
              <w:start w:w="0" w:type="dxa"/>
              <w:end w:w="0" w:type="dxa"/>
            </w:tcMar>
          </w:tcPr>
          <w:p/>
        </w:tc>
        <w:tc>
          <w:tcPr>
            <w:tcW w:type="dxa" w:w="3462"/>
            <w:tcBorders>
              <w:top w:sz="4.0" w:val="single" w:color="#000000"/>
            </w:tcBorders>
            <w:tcMar>
              <w:start w:w="0" w:type="dxa"/>
              <w:end w:w="0" w:type="dxa"/>
            </w:tcMar>
          </w:tcPr>
          <w:p/>
        </w:tc>
      </w:tr>
    </w:tbl>
    <w:p>
      <w:pPr>
        <w:autoSpaceDN w:val="0"/>
        <w:autoSpaceDE w:val="0"/>
        <w:widowControl/>
        <w:spacing w:line="233" w:lineRule="auto" w:before="4294" w:after="0"/>
        <w:ind w:left="0" w:right="0" w:firstLine="0"/>
        <w:jc w:val="center"/>
      </w:pPr>
      <w:r>
        <w:rPr>
          <w:rFonts w:ascii="Arial" w:hAnsi="Arial" w:eastAsia="Arial"/>
          <w:b w:val="0"/>
          <w:i w:val="0"/>
          <w:color w:val="000000"/>
          <w:sz w:val="20"/>
        </w:rPr>
        <w:t xml:space="preserve">207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8. </w:t>
      </w:r>
      <w:r>
        <w:rPr>
          <w:rFonts w:ascii="黑体" w:hAnsi="黑体" w:eastAsia="黑体"/>
          <w:b w:val="0"/>
          <w:i w:val="0"/>
          <w:color w:val="000000"/>
          <w:sz w:val="22"/>
        </w:rPr>
        <w:t>交易性金融资产</w:t>
      </w:r>
    </w:p>
    <w:p>
      <w:pPr>
        <w:autoSpaceDN w:val="0"/>
        <w:autoSpaceDE w:val="0"/>
        <w:widowControl/>
        <w:spacing w:line="168" w:lineRule="exact" w:before="286" w:after="16"/>
        <w:ind w:left="0" w:right="3430" w:firstLine="0"/>
        <w:jc w:val="right"/>
      </w:pPr>
      <w:r>
        <w:rPr>
          <w:rFonts w:ascii="Arial" w:hAnsi="Arial" w:eastAsia="Arial"/>
          <w:b w:val="0"/>
          <w:i w:val="0"/>
          <w:color w:val="000000"/>
          <w:sz w:val="15"/>
        </w:rPr>
        <w:t>2024</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02"/>
        </w:trPr>
        <w:tc>
          <w:tcPr>
            <w:tcW w:type="dxa" w:w="1246"/>
            <w:tcBorders>
              <w:top w:sz="4.0" w:val="single" w:color="#000000"/>
              <w:bottom w:sz="4.0" w:val="single" w:color="#000000"/>
            </w:tcBorders>
            <w:tcMar>
              <w:start w:w="0" w:type="dxa"/>
              <w:end w:w="0" w:type="dxa"/>
            </w:tcMar>
          </w:tcPr>
          <w:p/>
        </w:tc>
        <w:tc>
          <w:tcPr>
            <w:tcW w:type="dxa" w:w="1136"/>
            <w:tcBorders>
              <w:bottom w:sz="4.0" w:val="single" w:color="#000000"/>
            </w:tcBorders>
            <w:tcMar>
              <w:start w:w="0" w:type="dxa"/>
              <w:end w:w="0" w:type="dxa"/>
            </w:tcMar>
          </w:tcPr>
          <w:p/>
        </w:tc>
        <w:tc>
          <w:tcPr>
            <w:tcW w:type="dxa" w:w="1190"/>
            <w:tcBorders>
              <w:bottom w:sz="4.0" w:val="single" w:color="#000000"/>
            </w:tcBorders>
            <w:tcMar>
              <w:start w:w="0" w:type="dxa"/>
              <w:end w:w="0" w:type="dxa"/>
            </w:tcMar>
          </w:tcPr>
          <w:p>
            <w:pPr>
              <w:autoSpaceDN w:val="0"/>
              <w:autoSpaceDE w:val="0"/>
              <w:widowControl/>
              <w:spacing w:line="150" w:lineRule="exact" w:before="26" w:after="0"/>
              <w:ind w:left="0" w:right="236" w:firstLine="0"/>
              <w:jc w:val="right"/>
            </w:pPr>
            <w:r>
              <w:rPr>
                <w:rFonts w:ascii="黑体" w:hAnsi="黑体" w:eastAsia="黑体"/>
                <w:b w:val="0"/>
                <w:i w:val="0"/>
                <w:color w:val="000000"/>
                <w:sz w:val="15"/>
              </w:rPr>
              <w:t>公允价值</w:t>
            </w:r>
          </w:p>
        </w:tc>
        <w:tc>
          <w:tcPr>
            <w:tcW w:type="dxa" w:w="26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230" w:after="0"/>
              <w:ind w:left="0" w:right="122" w:firstLine="0"/>
              <w:jc w:val="right"/>
            </w:pPr>
            <w:r>
              <w:rPr>
                <w:rFonts w:ascii="黑体" w:hAnsi="黑体" w:eastAsia="黑体"/>
                <w:b w:val="0"/>
                <w:i w:val="0"/>
                <w:color w:val="000000"/>
                <w:sz w:val="15"/>
              </w:rPr>
              <w:t>分类为以公允价</w:t>
            </w:r>
          </w:p>
        </w:tc>
        <w:tc>
          <w:tcPr>
            <w:tcW w:type="dxa" w:w="1068"/>
            <w:tcBorders>
              <w:bottom w:sz="4.0" w:val="single" w:color="#000000"/>
            </w:tcBorders>
            <w:tcMar>
              <w:start w:w="0" w:type="dxa"/>
              <w:end w:w="0" w:type="dxa"/>
            </w:tcMar>
          </w:tcPr>
          <w:p>
            <w:pPr>
              <w:autoSpaceDN w:val="0"/>
              <w:autoSpaceDE w:val="0"/>
              <w:widowControl/>
              <w:spacing w:line="150" w:lineRule="exact" w:before="26" w:after="0"/>
              <w:ind w:left="0" w:right="0" w:firstLine="0"/>
              <w:jc w:val="center"/>
            </w:pPr>
            <w:r>
              <w:rPr>
                <w:rFonts w:ascii="黑体" w:hAnsi="黑体" w:eastAsia="黑体"/>
                <w:b w:val="0"/>
                <w:i w:val="0"/>
                <w:color w:val="000000"/>
                <w:sz w:val="15"/>
              </w:rPr>
              <w:t>初始成本</w:t>
            </w:r>
          </w:p>
        </w:tc>
        <w:tc>
          <w:tcPr>
            <w:tcW w:type="dxa" w:w="1440"/>
            <w:tcBorders>
              <w:bottom w:sz="4.0" w:val="single" w:color="#000000"/>
            </w:tcBorders>
            <w:tcMar>
              <w:start w:w="0" w:type="dxa"/>
              <w:end w:w="0" w:type="dxa"/>
            </w:tcMar>
          </w:tcPr>
          <w:p/>
        </w:tc>
      </w:tr>
      <w:tr>
        <w:trPr>
          <w:trHeight w:hRule="exact" w:val="194"/>
        </w:trPr>
        <w:tc>
          <w:tcPr>
            <w:tcW w:type="dxa" w:w="1246"/>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972" w:after="0"/>
              <w:ind w:left="198" w:right="0" w:firstLine="0"/>
              <w:jc w:val="left"/>
            </w:pPr>
            <w:r>
              <w:rPr>
                <w:rFonts w:ascii="黑体" w:hAnsi="黑体" w:eastAsia="黑体"/>
                <w:b w:val="0"/>
                <w:i w:val="0"/>
                <w:color w:val="000000"/>
                <w:sz w:val="15"/>
              </w:rPr>
              <w:t>债券</w:t>
            </w:r>
          </w:p>
        </w:tc>
        <w:tc>
          <w:tcPr>
            <w:tcW w:type="dxa" w:w="1136"/>
            <w:tcBorders>
              <w:top w:sz="4.0" w:val="single" w:color="#000000"/>
            </w:tcBorders>
            <w:tcMar>
              <w:start w:w="0" w:type="dxa"/>
              <w:end w:w="0" w:type="dxa"/>
            </w:tcMar>
          </w:tcPr>
          <w:p>
            <w:pPr>
              <w:autoSpaceDN w:val="0"/>
              <w:autoSpaceDE w:val="0"/>
              <w:widowControl/>
              <w:spacing w:line="150" w:lineRule="exact" w:before="22" w:after="0"/>
              <w:ind w:left="82" w:right="0" w:firstLine="0"/>
              <w:jc w:val="left"/>
            </w:pPr>
            <w:r>
              <w:rPr>
                <w:rFonts w:ascii="黑体" w:hAnsi="黑体" w:eastAsia="黑体"/>
                <w:b w:val="0"/>
                <w:i w:val="0"/>
                <w:color w:val="000000"/>
                <w:sz w:val="15"/>
              </w:rPr>
              <w:t>分类为以公允价</w:t>
            </w:r>
          </w:p>
        </w:tc>
        <w:tc>
          <w:tcPr>
            <w:tcW w:type="dxa" w:w="1190"/>
            <w:tcBorders>
              <w:top w:sz="4.0" w:val="single" w:color="#000000"/>
            </w:tcBorders>
            <w:tcMar>
              <w:start w:w="0" w:type="dxa"/>
              <w:end w:w="0" w:type="dxa"/>
            </w:tcMar>
          </w:tcPr>
          <w:p>
            <w:pPr>
              <w:autoSpaceDN w:val="0"/>
              <w:autoSpaceDE w:val="0"/>
              <w:widowControl/>
              <w:spacing w:line="150" w:lineRule="exact" w:before="22" w:after="0"/>
              <w:ind w:left="140" w:right="0" w:firstLine="0"/>
              <w:jc w:val="left"/>
            </w:pPr>
            <w:r>
              <w:rPr>
                <w:rFonts w:ascii="黑体" w:hAnsi="黑体" w:eastAsia="黑体"/>
                <w:b w:val="0"/>
                <w:i w:val="0"/>
                <w:color w:val="000000"/>
                <w:sz w:val="15"/>
              </w:rPr>
              <w:t>指定为以公允价</w:t>
            </w:r>
          </w:p>
        </w:tc>
        <w:tc>
          <w:tcPr>
            <w:tcW w:type="dxa" w:w="2578"/>
            <w:gridSpan w:val="2"/>
            <w:vMerge/>
            <w:tcBorders/>
          </w:tcPr>
          <w:p/>
        </w:tc>
        <w:tc>
          <w:tcPr>
            <w:tcW w:type="dxa" w:w="1068"/>
            <w:tcBorders>
              <w:top w:sz="4.0" w:val="single" w:color="#000000"/>
            </w:tcBorders>
            <w:tcMar>
              <w:start w:w="0" w:type="dxa"/>
              <w:end w:w="0" w:type="dxa"/>
            </w:tcMar>
          </w:tcPr>
          <w:p>
            <w:pPr>
              <w:autoSpaceDN w:val="0"/>
              <w:autoSpaceDE w:val="0"/>
              <w:widowControl/>
              <w:spacing w:line="150" w:lineRule="exact" w:before="22" w:after="0"/>
              <w:ind w:left="0" w:right="0" w:firstLine="0"/>
              <w:jc w:val="center"/>
            </w:pPr>
            <w:r>
              <w:rPr>
                <w:rFonts w:ascii="黑体" w:hAnsi="黑体" w:eastAsia="黑体"/>
                <w:b w:val="0"/>
                <w:i w:val="0"/>
                <w:color w:val="000000"/>
                <w:sz w:val="15"/>
              </w:rPr>
              <w:t>指定为以公允价</w:t>
            </w:r>
          </w:p>
        </w:tc>
        <w:tc>
          <w:tcPr>
            <w:tcW w:type="dxa" w:w="1440"/>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604" w:after="0"/>
              <w:ind w:left="346" w:right="0" w:firstLine="0"/>
              <w:jc w:val="left"/>
            </w:pPr>
            <w:r>
              <w:rPr>
                <w:rFonts w:ascii="黑体" w:hAnsi="黑体" w:eastAsia="黑体"/>
                <w:b w:val="0"/>
                <w:i w:val="0"/>
                <w:color w:val="000000"/>
                <w:sz w:val="15"/>
              </w:rPr>
              <w:t>初始成本合计</w:t>
            </w:r>
          </w:p>
        </w:tc>
      </w:tr>
      <w:tr>
        <w:trPr>
          <w:trHeight w:hRule="exact" w:val="20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28" w:after="0"/>
              <w:ind w:left="82" w:right="0" w:firstLine="0"/>
              <w:jc w:val="left"/>
            </w:pPr>
            <w:r>
              <w:rPr>
                <w:rFonts w:ascii="黑体" w:hAnsi="黑体" w:eastAsia="黑体"/>
                <w:b w:val="0"/>
                <w:i w:val="0"/>
                <w:color w:val="000000"/>
                <w:sz w:val="15"/>
              </w:rPr>
              <w:t>值计量且其变动</w:t>
            </w:r>
          </w:p>
        </w:tc>
        <w:tc>
          <w:tcPr>
            <w:tcW w:type="dxa" w:w="1190"/>
            <w:tcBorders/>
            <w:tcMar>
              <w:start w:w="0" w:type="dxa"/>
              <w:end w:w="0" w:type="dxa"/>
            </w:tcMar>
          </w:tcPr>
          <w:p>
            <w:pPr>
              <w:autoSpaceDN w:val="0"/>
              <w:autoSpaceDE w:val="0"/>
              <w:widowControl/>
              <w:spacing w:line="152" w:lineRule="exact" w:before="28" w:after="0"/>
              <w:ind w:left="140" w:right="0" w:firstLine="0"/>
              <w:jc w:val="left"/>
            </w:pPr>
            <w:r>
              <w:rPr>
                <w:rFonts w:ascii="黑体" w:hAnsi="黑体" w:eastAsia="黑体"/>
                <w:b w:val="0"/>
                <w:i w:val="0"/>
                <w:color w:val="000000"/>
                <w:sz w:val="15"/>
              </w:rPr>
              <w:t>值计量且其变动</w:t>
            </w:r>
          </w:p>
        </w:tc>
        <w:tc>
          <w:tcPr>
            <w:tcW w:type="dxa" w:w="2620"/>
            <w:gridSpan w:val="2"/>
            <w:tcBorders/>
            <w:tcMar>
              <w:start w:w="0" w:type="dxa"/>
              <w:end w:w="0" w:type="dxa"/>
            </w:tcMar>
            <w:tcMar>
              <w:start w:w="0" w:type="dxa"/>
              <w:end w:w="0" w:type="dxa"/>
            </w:tcMar>
          </w:tcPr>
          <w:p>
            <w:pPr>
              <w:autoSpaceDN w:val="0"/>
              <w:autoSpaceDE w:val="0"/>
              <w:widowControl/>
              <w:spacing w:line="152" w:lineRule="exact" w:before="28" w:after="0"/>
              <w:ind w:left="0" w:right="122" w:firstLine="0"/>
              <w:jc w:val="right"/>
            </w:pPr>
            <w:r>
              <w:rPr>
                <w:rFonts w:ascii="黑体" w:hAnsi="黑体" w:eastAsia="黑体"/>
                <w:b w:val="0"/>
                <w:i w:val="0"/>
                <w:color w:val="000000"/>
                <w:sz w:val="15"/>
              </w:rPr>
              <w:t>值计量且其变动</w:t>
            </w:r>
          </w:p>
        </w:tc>
        <w:tc>
          <w:tcPr>
            <w:tcW w:type="dxa" w:w="1068"/>
            <w:tcBorders/>
            <w:tcMar>
              <w:start w:w="0" w:type="dxa"/>
              <w:end w:w="0" w:type="dxa"/>
            </w:tcMar>
          </w:tcPr>
          <w:p>
            <w:pPr>
              <w:autoSpaceDN w:val="0"/>
              <w:autoSpaceDE w:val="0"/>
              <w:widowControl/>
              <w:spacing w:line="152" w:lineRule="exact" w:before="28" w:after="0"/>
              <w:ind w:left="0" w:right="0" w:firstLine="0"/>
              <w:jc w:val="center"/>
            </w:pPr>
            <w:r>
              <w:rPr>
                <w:rFonts w:ascii="黑体" w:hAnsi="黑体" w:eastAsia="黑体"/>
                <w:b w:val="0"/>
                <w:i w:val="0"/>
                <w:color w:val="000000"/>
                <w:sz w:val="15"/>
              </w:rPr>
              <w:t>值计量且其变动</w:t>
            </w:r>
          </w:p>
        </w:tc>
        <w:tc>
          <w:tcPr>
            <w:tcW w:type="dxa" w:w="1289"/>
            <w:vMerge/>
            <w:tcBorders>
              <w:top w:sz="4.0" w:val="single" w:color="#000000"/>
            </w:tcBorders>
          </w:tcPr>
          <w:p/>
        </w:tc>
      </w:tr>
      <w:tr>
        <w:trPr>
          <w:trHeight w:hRule="exact" w:val="1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22" w:after="0"/>
              <w:ind w:left="82" w:right="0" w:firstLine="0"/>
              <w:jc w:val="left"/>
            </w:pPr>
            <w:r>
              <w:rPr>
                <w:rFonts w:ascii="黑体" w:hAnsi="黑体" w:eastAsia="黑体"/>
                <w:b w:val="0"/>
                <w:i w:val="0"/>
                <w:color w:val="000000"/>
                <w:sz w:val="15"/>
              </w:rPr>
              <w:t>计入当期损益的</w:t>
            </w:r>
          </w:p>
        </w:tc>
        <w:tc>
          <w:tcPr>
            <w:tcW w:type="dxa" w:w="1190"/>
            <w:tcBorders/>
            <w:tcMar>
              <w:start w:w="0" w:type="dxa"/>
              <w:end w:w="0" w:type="dxa"/>
            </w:tcMar>
          </w:tcPr>
          <w:p>
            <w:pPr>
              <w:autoSpaceDN w:val="0"/>
              <w:autoSpaceDE w:val="0"/>
              <w:widowControl/>
              <w:spacing w:line="152" w:lineRule="exact" w:before="22" w:after="0"/>
              <w:ind w:left="140" w:right="0" w:firstLine="0"/>
              <w:jc w:val="left"/>
            </w:pPr>
            <w:r>
              <w:rPr>
                <w:rFonts w:ascii="黑体" w:hAnsi="黑体" w:eastAsia="黑体"/>
                <w:b w:val="0"/>
                <w:i w:val="0"/>
                <w:color w:val="000000"/>
                <w:sz w:val="15"/>
              </w:rPr>
              <w:t>计入当期损益的</w:t>
            </w:r>
          </w:p>
        </w:tc>
        <w:tc>
          <w:tcPr>
            <w:tcW w:type="dxa" w:w="2620"/>
            <w:gridSpan w:val="2"/>
            <w:tcBorders/>
            <w:tcMar>
              <w:start w:w="0" w:type="dxa"/>
              <w:end w:w="0" w:type="dxa"/>
            </w:tcMar>
            <w:tcMar>
              <w:start w:w="0" w:type="dxa"/>
              <w:end w:w="0" w:type="dxa"/>
            </w:tcMar>
          </w:tcPr>
          <w:p>
            <w:pPr>
              <w:autoSpaceDN w:val="0"/>
              <w:autoSpaceDE w:val="0"/>
              <w:widowControl/>
              <w:spacing w:line="152" w:lineRule="exact" w:before="22" w:after="0"/>
              <w:ind w:left="0" w:right="122" w:firstLine="0"/>
              <w:jc w:val="right"/>
            </w:pPr>
            <w:r>
              <w:rPr>
                <w:rFonts w:ascii="黑体" w:hAnsi="黑体" w:eastAsia="黑体"/>
                <w:b w:val="0"/>
                <w:i w:val="0"/>
                <w:color w:val="000000"/>
                <w:sz w:val="15"/>
              </w:rPr>
              <w:t>计入当期损益的</w:t>
            </w:r>
          </w:p>
        </w:tc>
        <w:tc>
          <w:tcPr>
            <w:tcW w:type="dxa" w:w="1068"/>
            <w:tcBorders/>
            <w:tcMar>
              <w:start w:w="0" w:type="dxa"/>
              <w:end w:w="0" w:type="dxa"/>
            </w:tcMar>
          </w:tcPr>
          <w:p>
            <w:pPr>
              <w:autoSpaceDN w:val="0"/>
              <w:autoSpaceDE w:val="0"/>
              <w:widowControl/>
              <w:spacing w:line="152" w:lineRule="exact" w:before="22" w:after="0"/>
              <w:ind w:left="0" w:right="0" w:firstLine="0"/>
              <w:jc w:val="center"/>
            </w:pPr>
            <w:r>
              <w:rPr>
                <w:rFonts w:ascii="黑体" w:hAnsi="黑体" w:eastAsia="黑体"/>
                <w:b w:val="0"/>
                <w:i w:val="0"/>
                <w:color w:val="000000"/>
                <w:sz w:val="15"/>
              </w:rPr>
              <w:t>计入当期损益的</w:t>
            </w:r>
          </w:p>
        </w:tc>
        <w:tc>
          <w:tcPr>
            <w:tcW w:type="dxa" w:w="1289"/>
            <w:vMerge/>
            <w:tcBorders>
              <w:top w:sz="4.0" w:val="single" w:color="#000000"/>
            </w:tcBorders>
          </w:tcPr>
          <w:p/>
        </w:tc>
      </w:tr>
      <w:tr>
        <w:trPr>
          <w:trHeight w:hRule="exact" w:val="2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36" w:after="0"/>
              <w:ind w:left="0" w:right="0" w:firstLine="0"/>
              <w:jc w:val="right"/>
            </w:pPr>
            <w:r>
              <w:rPr>
                <w:rFonts w:ascii="黑体" w:hAnsi="黑体" w:eastAsia="黑体"/>
                <w:b w:val="0"/>
                <w:i w:val="0"/>
                <w:color w:val="000000"/>
                <w:sz w:val="15"/>
              </w:rPr>
              <w:t>金融资产</w:t>
            </w:r>
          </w:p>
        </w:tc>
        <w:tc>
          <w:tcPr>
            <w:tcW w:type="dxa" w:w="1190"/>
            <w:tcBorders/>
            <w:tcMar>
              <w:start w:w="0" w:type="dxa"/>
              <w:end w:w="0" w:type="dxa"/>
            </w:tcMar>
          </w:tcPr>
          <w:p>
            <w:pPr>
              <w:autoSpaceDN w:val="0"/>
              <w:autoSpaceDE w:val="0"/>
              <w:widowControl/>
              <w:spacing w:line="152" w:lineRule="exact" w:before="36" w:after="0"/>
              <w:ind w:left="0" w:right="0" w:firstLine="0"/>
              <w:jc w:val="right"/>
            </w:pPr>
            <w:r>
              <w:rPr>
                <w:rFonts w:ascii="黑体" w:hAnsi="黑体" w:eastAsia="黑体"/>
                <w:b w:val="0"/>
                <w:i w:val="0"/>
                <w:color w:val="000000"/>
                <w:sz w:val="15"/>
              </w:rPr>
              <w:t>金融资产</w:t>
            </w:r>
          </w:p>
        </w:tc>
        <w:tc>
          <w:tcPr>
            <w:tcW w:type="dxa" w:w="1448"/>
            <w:tcBorders/>
            <w:tcMar>
              <w:start w:w="0" w:type="dxa"/>
              <w:end w:w="0" w:type="dxa"/>
            </w:tcMar>
          </w:tcPr>
          <w:p>
            <w:pPr>
              <w:autoSpaceDN w:val="0"/>
              <w:autoSpaceDE w:val="0"/>
              <w:widowControl/>
              <w:spacing w:line="152" w:lineRule="exact" w:before="36" w:after="0"/>
              <w:ind w:left="346" w:right="0" w:firstLine="0"/>
              <w:jc w:val="left"/>
            </w:pPr>
            <w:r>
              <w:rPr>
                <w:rFonts w:ascii="黑体" w:hAnsi="黑体" w:eastAsia="黑体"/>
                <w:b w:val="0"/>
                <w:i w:val="0"/>
                <w:color w:val="000000"/>
                <w:sz w:val="15"/>
              </w:rPr>
              <w:t>公允价值合计</w:t>
            </w:r>
          </w:p>
        </w:tc>
        <w:tc>
          <w:tcPr>
            <w:tcW w:type="dxa" w:w="1172"/>
            <w:tcBorders/>
            <w:tcMar>
              <w:start w:w="0" w:type="dxa"/>
              <w:end w:w="0" w:type="dxa"/>
            </w:tcMar>
          </w:tcPr>
          <w:p>
            <w:pPr>
              <w:autoSpaceDN w:val="0"/>
              <w:autoSpaceDE w:val="0"/>
              <w:widowControl/>
              <w:spacing w:line="152" w:lineRule="exact" w:before="36" w:after="0"/>
              <w:ind w:left="0" w:right="122" w:firstLine="0"/>
              <w:jc w:val="right"/>
            </w:pPr>
            <w:r>
              <w:rPr>
                <w:rFonts w:ascii="黑体" w:hAnsi="黑体" w:eastAsia="黑体"/>
                <w:b w:val="0"/>
                <w:i w:val="0"/>
                <w:color w:val="000000"/>
                <w:sz w:val="15"/>
              </w:rPr>
              <w:t>金融资产</w:t>
            </w:r>
          </w:p>
        </w:tc>
        <w:tc>
          <w:tcPr>
            <w:tcW w:type="dxa" w:w="1068"/>
            <w:tcBorders/>
            <w:tcMar>
              <w:start w:w="0" w:type="dxa"/>
              <w:end w:w="0" w:type="dxa"/>
            </w:tcMar>
          </w:tcPr>
          <w:p>
            <w:pPr>
              <w:autoSpaceDN w:val="0"/>
              <w:autoSpaceDE w:val="0"/>
              <w:widowControl/>
              <w:spacing w:line="152" w:lineRule="exact" w:before="36" w:after="0"/>
              <w:ind w:left="0" w:right="0" w:firstLine="0"/>
              <w:jc w:val="right"/>
            </w:pPr>
            <w:r>
              <w:rPr>
                <w:rFonts w:ascii="黑体" w:hAnsi="黑体" w:eastAsia="黑体"/>
                <w:b w:val="0"/>
                <w:i w:val="0"/>
                <w:color w:val="000000"/>
                <w:sz w:val="15"/>
              </w:rPr>
              <w:t>金融资产</w:t>
            </w:r>
          </w:p>
        </w:tc>
        <w:tc>
          <w:tcPr>
            <w:tcW w:type="dxa" w:w="1289"/>
            <w:vMerge/>
            <w:tcBorders>
              <w:top w:sz="4.0" w:val="single" w:color="#000000"/>
            </w:tcBorders>
          </w:tcPr>
          <w:p/>
        </w:tc>
      </w:tr>
      <w:tr>
        <w:trPr>
          <w:trHeight w:hRule="exact" w:val="2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26,970,349,901</w:t>
            </w:r>
          </w:p>
        </w:tc>
        <w:tc>
          <w:tcPr>
            <w:tcW w:type="dxa" w:w="1190"/>
            <w:tcBorders/>
            <w:tcMar>
              <w:start w:w="0" w:type="dxa"/>
              <w:end w:w="0" w:type="dxa"/>
            </w:tcMar>
          </w:tcPr>
          <w:p>
            <w:pPr>
              <w:autoSpaceDN w:val="0"/>
              <w:autoSpaceDE w:val="0"/>
              <w:widowControl/>
              <w:spacing w:line="230" w:lineRule="auto" w:before="102"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 xml:space="preserve">26,970,349,901  26,524,613,874 </w:t>
            </w:r>
          </w:p>
        </w:tc>
        <w:tc>
          <w:tcPr>
            <w:tcW w:type="dxa" w:w="1068"/>
            <w:tcBorders/>
            <w:tcMar>
              <w:start w:w="0" w:type="dxa"/>
              <w:end w:w="0" w:type="dxa"/>
            </w:tcMar>
          </w:tcPr>
          <w:p>
            <w:pPr>
              <w:autoSpaceDN w:val="0"/>
              <w:autoSpaceDE w:val="0"/>
              <w:widowControl/>
              <w:spacing w:line="230" w:lineRule="auto" w:before="102"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 xml:space="preserve">26,524,613,874 </w:t>
            </w:r>
          </w:p>
        </w:tc>
      </w:tr>
      <w:tr>
        <w:trPr>
          <w:trHeight w:hRule="exact" w:val="215"/>
        </w:trPr>
        <w:tc>
          <w:tcPr>
            <w:tcW w:type="dxa" w:w="1246"/>
            <w:tcBorders/>
            <w:tcMar>
              <w:start w:w="0" w:type="dxa"/>
              <w:end w:w="0" w:type="dxa"/>
            </w:tcMar>
          </w:tcPr>
          <w:p>
            <w:pPr>
              <w:autoSpaceDN w:val="0"/>
              <w:autoSpaceDE w:val="0"/>
              <w:widowControl/>
              <w:spacing w:line="150" w:lineRule="exact" w:before="40" w:after="0"/>
              <w:ind w:left="198" w:right="0" w:firstLine="0"/>
              <w:jc w:val="left"/>
            </w:pPr>
            <w:r>
              <w:rPr>
                <w:rFonts w:ascii="黑体" w:hAnsi="黑体" w:eastAsia="黑体"/>
                <w:b w:val="0"/>
                <w:i w:val="0"/>
                <w:color w:val="000000"/>
                <w:sz w:val="15"/>
              </w:rPr>
              <w:t>基金</w:t>
            </w:r>
          </w:p>
        </w:tc>
        <w:tc>
          <w:tcPr>
            <w:tcW w:type="dxa" w:w="1136"/>
            <w:tcBorders/>
            <w:tcMar>
              <w:start w:w="0" w:type="dxa"/>
              <w:end w:w="0" w:type="dxa"/>
            </w:tcMar>
          </w:tcPr>
          <w:p>
            <w:pPr>
              <w:autoSpaceDN w:val="0"/>
              <w:autoSpaceDE w:val="0"/>
              <w:widowControl/>
              <w:spacing w:line="233" w:lineRule="auto" w:before="28" w:after="0"/>
              <w:ind w:left="112" w:right="0" w:firstLine="0"/>
              <w:jc w:val="left"/>
            </w:pPr>
            <w:r>
              <w:rPr>
                <w:rFonts w:ascii="Arial" w:hAnsi="Arial" w:eastAsia="Arial"/>
                <w:b w:val="0"/>
                <w:i w:val="0"/>
                <w:color w:val="000000"/>
                <w:sz w:val="16"/>
              </w:rPr>
              <w:t>5,248,579,305</w:t>
            </w:r>
          </w:p>
        </w:tc>
        <w:tc>
          <w:tcPr>
            <w:tcW w:type="dxa" w:w="119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3" w:lineRule="auto" w:before="28" w:after="0"/>
              <w:ind w:left="224" w:right="0" w:firstLine="0"/>
              <w:jc w:val="left"/>
            </w:pPr>
            <w:r>
              <w:rPr>
                <w:rFonts w:ascii="Arial" w:hAnsi="Arial" w:eastAsia="Arial"/>
                <w:b w:val="0"/>
                <w:i w:val="0"/>
                <w:color w:val="000000"/>
                <w:sz w:val="16"/>
              </w:rPr>
              <w:t xml:space="preserve">5,248,579,305  5,178,074,973 </w:t>
            </w:r>
          </w:p>
        </w:tc>
        <w:tc>
          <w:tcPr>
            <w:tcW w:type="dxa" w:w="1068"/>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6"/>
              </w:rPr>
              <w:t xml:space="preserve">5,178,074,973 </w:t>
            </w:r>
          </w:p>
        </w:tc>
      </w:tr>
      <w:tr>
        <w:trPr>
          <w:trHeight w:hRule="exact" w:val="194"/>
        </w:trPr>
        <w:tc>
          <w:tcPr>
            <w:tcW w:type="dxa" w:w="1246"/>
            <w:tcBorders/>
            <w:tcMar>
              <w:start w:w="0" w:type="dxa"/>
              <w:end w:w="0" w:type="dxa"/>
            </w:tcMar>
          </w:tcPr>
          <w:p>
            <w:pPr>
              <w:autoSpaceDN w:val="0"/>
              <w:autoSpaceDE w:val="0"/>
              <w:widowControl/>
              <w:spacing w:line="150" w:lineRule="exact" w:before="20" w:after="0"/>
              <w:ind w:left="198" w:right="0" w:firstLine="0"/>
              <w:jc w:val="left"/>
            </w:pPr>
            <w:r>
              <w:rPr>
                <w:rFonts w:ascii="黑体" w:hAnsi="黑体" w:eastAsia="黑体"/>
                <w:b w:val="0"/>
                <w:i w:val="0"/>
                <w:color w:val="000000"/>
                <w:sz w:val="15"/>
              </w:rPr>
              <w:t>股票</w:t>
            </w:r>
          </w:p>
        </w:tc>
        <w:tc>
          <w:tcPr>
            <w:tcW w:type="dxa" w:w="1136"/>
            <w:tcBorders/>
            <w:tcMar>
              <w:start w:w="0" w:type="dxa"/>
              <w:end w:w="0" w:type="dxa"/>
            </w:tcMar>
          </w:tcPr>
          <w:p>
            <w:pPr>
              <w:autoSpaceDN w:val="0"/>
              <w:autoSpaceDE w:val="0"/>
              <w:widowControl/>
              <w:spacing w:line="233" w:lineRule="auto" w:before="8" w:after="0"/>
              <w:ind w:left="244" w:right="0" w:firstLine="0"/>
              <w:jc w:val="left"/>
            </w:pPr>
            <w:r>
              <w:rPr>
                <w:rFonts w:ascii="Arial" w:hAnsi="Arial" w:eastAsia="Arial"/>
                <w:b w:val="0"/>
                <w:i w:val="0"/>
                <w:color w:val="000000"/>
                <w:sz w:val="16"/>
              </w:rPr>
              <w:t>927,784,872</w:t>
            </w:r>
          </w:p>
        </w:tc>
        <w:tc>
          <w:tcPr>
            <w:tcW w:type="dxa" w:w="119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8" w:after="0"/>
              <w:ind w:left="356" w:right="0" w:firstLine="0"/>
              <w:jc w:val="left"/>
            </w:pPr>
            <w:r>
              <w:rPr>
                <w:rFonts w:ascii="Arial" w:hAnsi="Arial" w:eastAsia="Arial"/>
                <w:b w:val="0"/>
                <w:i w:val="0"/>
                <w:color w:val="000000"/>
                <w:sz w:val="16"/>
              </w:rPr>
              <w:t xml:space="preserve">927,784,872 </w:t>
            </w:r>
          </w:p>
        </w:tc>
        <w:tc>
          <w:tcPr>
            <w:tcW w:type="dxa" w:w="1172"/>
            <w:tcBorders/>
            <w:tcMar>
              <w:start w:w="0" w:type="dxa"/>
              <w:end w:w="0" w:type="dxa"/>
            </w:tcMar>
          </w:tcPr>
          <w:p>
            <w:pPr>
              <w:autoSpaceDN w:val="0"/>
              <w:autoSpaceDE w:val="0"/>
              <w:widowControl/>
              <w:spacing w:line="233" w:lineRule="auto" w:before="8" w:after="0"/>
              <w:ind w:left="0" w:right="0" w:firstLine="0"/>
              <w:jc w:val="center"/>
            </w:pPr>
            <w:r>
              <w:rPr>
                <w:rFonts w:ascii="Arial" w:hAnsi="Arial" w:eastAsia="Arial"/>
                <w:b w:val="0"/>
                <w:i w:val="0"/>
                <w:color w:val="000000"/>
                <w:sz w:val="16"/>
              </w:rPr>
              <w:t xml:space="preserve">805,306,067 </w:t>
            </w:r>
          </w:p>
        </w:tc>
        <w:tc>
          <w:tcPr>
            <w:tcW w:type="dxa" w:w="106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3" w:lineRule="auto" w:before="8" w:after="0"/>
              <w:ind w:left="356" w:right="0" w:firstLine="0"/>
              <w:jc w:val="left"/>
            </w:pPr>
            <w:r>
              <w:rPr>
                <w:rFonts w:ascii="Arial" w:hAnsi="Arial" w:eastAsia="Arial"/>
                <w:b w:val="0"/>
                <w:i w:val="0"/>
                <w:color w:val="000000"/>
                <w:sz w:val="16"/>
              </w:rPr>
              <w:t xml:space="preserve">805,306,067 </w:t>
            </w:r>
          </w:p>
        </w:tc>
      </w:tr>
      <w:tr>
        <w:trPr>
          <w:trHeight w:hRule="exact" w:val="171"/>
        </w:trPr>
        <w:tc>
          <w:tcPr>
            <w:tcW w:type="dxa" w:w="1246"/>
            <w:tcBorders/>
            <w:tcMar>
              <w:start w:w="0" w:type="dxa"/>
              <w:end w:w="0" w:type="dxa"/>
            </w:tcMar>
          </w:tcPr>
          <w:p>
            <w:pPr>
              <w:autoSpaceDN w:val="0"/>
              <w:autoSpaceDE w:val="0"/>
              <w:widowControl/>
              <w:spacing w:line="152" w:lineRule="exact" w:before="18" w:after="0"/>
              <w:ind w:left="198" w:right="0" w:firstLine="0"/>
              <w:jc w:val="left"/>
            </w:pPr>
            <w:r>
              <w:rPr>
                <w:rFonts w:ascii="黑体" w:hAnsi="黑体" w:eastAsia="黑体"/>
                <w:b w:val="0"/>
                <w:i w:val="0"/>
                <w:color w:val="000000"/>
                <w:sz w:val="15"/>
              </w:rPr>
              <w:t>股权</w:t>
            </w:r>
          </w:p>
        </w:tc>
        <w:tc>
          <w:tcPr>
            <w:tcW w:type="dxa" w:w="1136"/>
            <w:tcBorders/>
            <w:tcMar>
              <w:start w:w="0" w:type="dxa"/>
              <w:end w:w="0" w:type="dxa"/>
            </w:tcMar>
          </w:tcPr>
          <w:p>
            <w:pPr>
              <w:autoSpaceDN w:val="0"/>
              <w:autoSpaceDE w:val="0"/>
              <w:widowControl/>
              <w:spacing w:line="230" w:lineRule="auto" w:before="0" w:after="0"/>
              <w:ind w:left="112" w:right="0" w:firstLine="0"/>
              <w:jc w:val="left"/>
            </w:pPr>
            <w:r>
              <w:rPr>
                <w:rFonts w:ascii="Arial" w:hAnsi="Arial" w:eastAsia="Arial"/>
                <w:b w:val="0"/>
                <w:i w:val="0"/>
                <w:color w:val="000000"/>
                <w:sz w:val="16"/>
              </w:rPr>
              <w:t>1,205,912,223</w:t>
            </w:r>
          </w:p>
        </w:tc>
        <w:tc>
          <w:tcPr>
            <w:tcW w:type="dxa" w:w="119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0" w:lineRule="auto" w:before="0" w:after="0"/>
              <w:ind w:left="0" w:right="0" w:firstLine="0"/>
              <w:jc w:val="center"/>
            </w:pPr>
            <w:r>
              <w:rPr>
                <w:rFonts w:ascii="Arial" w:hAnsi="Arial" w:eastAsia="Arial"/>
                <w:b w:val="0"/>
                <w:i w:val="0"/>
                <w:color w:val="000000"/>
                <w:sz w:val="16"/>
              </w:rPr>
              <w:t xml:space="preserve">1,205,912,223 </w:t>
            </w:r>
          </w:p>
        </w:tc>
        <w:tc>
          <w:tcPr>
            <w:tcW w:type="dxa" w:w="1172"/>
            <w:tcBorders/>
            <w:tcMar>
              <w:start w:w="0" w:type="dxa"/>
              <w:end w:w="0" w:type="dxa"/>
            </w:tcMar>
          </w:tcPr>
          <w:p>
            <w:pPr>
              <w:autoSpaceDN w:val="0"/>
              <w:autoSpaceDE w:val="0"/>
              <w:widowControl/>
              <w:spacing w:line="230" w:lineRule="auto" w:before="0" w:after="0"/>
              <w:ind w:left="0" w:right="0" w:firstLine="0"/>
              <w:jc w:val="center"/>
            </w:pPr>
            <w:r>
              <w:rPr>
                <w:rFonts w:ascii="Arial" w:hAnsi="Arial" w:eastAsia="Arial"/>
                <w:b w:val="0"/>
                <w:i w:val="0"/>
                <w:color w:val="000000"/>
                <w:sz w:val="16"/>
              </w:rPr>
              <w:t xml:space="preserve">967,749,043 </w:t>
            </w:r>
          </w:p>
        </w:tc>
        <w:tc>
          <w:tcPr>
            <w:tcW w:type="dxa" w:w="1068"/>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0" w:lineRule="auto" w:before="0" w:after="0"/>
              <w:ind w:left="356" w:right="0" w:firstLine="0"/>
              <w:jc w:val="left"/>
            </w:pPr>
            <w:r>
              <w:rPr>
                <w:rFonts w:ascii="Arial" w:hAnsi="Arial" w:eastAsia="Arial"/>
                <w:b w:val="0"/>
                <w:i w:val="0"/>
                <w:color w:val="000000"/>
                <w:sz w:val="16"/>
              </w:rPr>
              <w:t xml:space="preserve">967,749,043 </w:t>
            </w:r>
          </w:p>
        </w:tc>
      </w:tr>
      <w:tr>
        <w:trPr>
          <w:trHeight w:hRule="exact" w:val="200"/>
        </w:trPr>
        <w:tc>
          <w:tcPr>
            <w:tcW w:type="dxa" w:w="1246"/>
            <w:tcBorders/>
            <w:tcMar>
              <w:start w:w="0" w:type="dxa"/>
              <w:end w:w="0" w:type="dxa"/>
            </w:tcMar>
          </w:tcPr>
          <w:p>
            <w:pPr>
              <w:autoSpaceDN w:val="0"/>
              <w:autoSpaceDE w:val="0"/>
              <w:widowControl/>
              <w:spacing w:line="152" w:lineRule="exact" w:before="42" w:after="0"/>
              <w:ind w:left="198" w:right="0" w:firstLine="0"/>
              <w:jc w:val="left"/>
            </w:pPr>
            <w:r>
              <w:rPr>
                <w:rFonts w:ascii="黑体" w:hAnsi="黑体" w:eastAsia="黑体"/>
                <w:b w:val="0"/>
                <w:i w:val="0"/>
                <w:color w:val="000000"/>
                <w:sz w:val="15"/>
              </w:rPr>
              <w:t>理财产品</w:t>
            </w:r>
          </w:p>
        </w:tc>
        <w:tc>
          <w:tcPr>
            <w:tcW w:type="dxa" w:w="1136"/>
            <w:tcBorders/>
            <w:tcMar>
              <w:start w:w="0" w:type="dxa"/>
              <w:end w:w="0" w:type="dxa"/>
            </w:tcMar>
          </w:tcPr>
          <w:p>
            <w:pPr>
              <w:autoSpaceDN w:val="0"/>
              <w:autoSpaceDE w:val="0"/>
              <w:widowControl/>
              <w:spacing w:line="233" w:lineRule="auto" w:before="20" w:after="0"/>
              <w:ind w:left="112" w:right="0" w:firstLine="0"/>
              <w:jc w:val="left"/>
            </w:pPr>
            <w:r>
              <w:rPr>
                <w:rFonts w:ascii="Arial" w:hAnsi="Arial" w:eastAsia="Arial"/>
                <w:b w:val="0"/>
                <w:i w:val="0"/>
                <w:color w:val="000000"/>
                <w:sz w:val="16"/>
              </w:rPr>
              <w:t>1,277,739,066</w:t>
            </w:r>
          </w:p>
        </w:tc>
        <w:tc>
          <w:tcPr>
            <w:tcW w:type="dxa" w:w="119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3" w:lineRule="auto" w:before="20" w:after="0"/>
              <w:ind w:left="224" w:right="0" w:firstLine="0"/>
              <w:jc w:val="left"/>
            </w:pPr>
            <w:r>
              <w:rPr>
                <w:rFonts w:ascii="Arial" w:hAnsi="Arial" w:eastAsia="Arial"/>
                <w:b w:val="0"/>
                <w:i w:val="0"/>
                <w:color w:val="000000"/>
                <w:sz w:val="16"/>
              </w:rPr>
              <w:t xml:space="preserve">1,277,739,066  1,272,794,284 </w:t>
            </w:r>
          </w:p>
        </w:tc>
        <w:tc>
          <w:tcPr>
            <w:tcW w:type="dxa" w:w="1068"/>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1,272,794,284 </w:t>
            </w:r>
          </w:p>
        </w:tc>
      </w:tr>
      <w:tr>
        <w:trPr>
          <w:trHeight w:hRule="exact" w:val="215"/>
        </w:trPr>
        <w:tc>
          <w:tcPr>
            <w:tcW w:type="dxa" w:w="1246"/>
            <w:tcBorders/>
            <w:tcMar>
              <w:start w:w="0" w:type="dxa"/>
              <w:end w:w="0" w:type="dxa"/>
            </w:tcMar>
          </w:tcPr>
          <w:p>
            <w:pPr>
              <w:autoSpaceDN w:val="0"/>
              <w:autoSpaceDE w:val="0"/>
              <w:widowControl/>
              <w:spacing w:line="152" w:lineRule="exact" w:before="36" w:after="0"/>
              <w:ind w:left="0" w:right="0" w:firstLine="0"/>
              <w:jc w:val="center"/>
            </w:pPr>
            <w:r>
              <w:rPr>
                <w:rFonts w:ascii="黑体" w:hAnsi="黑体" w:eastAsia="黑体"/>
                <w:b w:val="0"/>
                <w:i w:val="0"/>
                <w:color w:val="000000"/>
                <w:sz w:val="15"/>
              </w:rPr>
              <w:t>资产管理计划</w:t>
            </w:r>
          </w:p>
        </w:tc>
        <w:tc>
          <w:tcPr>
            <w:tcW w:type="dxa" w:w="1136"/>
            <w:tcBorders/>
            <w:tcMar>
              <w:start w:w="0" w:type="dxa"/>
              <w:end w:w="0" w:type="dxa"/>
            </w:tcMar>
          </w:tcPr>
          <w:p>
            <w:pPr>
              <w:autoSpaceDN w:val="0"/>
              <w:autoSpaceDE w:val="0"/>
              <w:widowControl/>
              <w:spacing w:line="233" w:lineRule="auto" w:before="28" w:after="0"/>
              <w:ind w:left="244" w:right="0" w:firstLine="0"/>
              <w:jc w:val="left"/>
            </w:pPr>
            <w:r>
              <w:rPr>
                <w:rFonts w:ascii="Arial" w:hAnsi="Arial" w:eastAsia="Arial"/>
                <w:b w:val="0"/>
                <w:i w:val="0"/>
                <w:color w:val="000000"/>
                <w:sz w:val="16"/>
              </w:rPr>
              <w:t>221,790,678</w:t>
            </w:r>
          </w:p>
        </w:tc>
        <w:tc>
          <w:tcPr>
            <w:tcW w:type="dxa" w:w="119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28" w:after="0"/>
              <w:ind w:left="356" w:right="0" w:firstLine="0"/>
              <w:jc w:val="left"/>
            </w:pPr>
            <w:r>
              <w:rPr>
                <w:rFonts w:ascii="Arial" w:hAnsi="Arial" w:eastAsia="Arial"/>
                <w:b w:val="0"/>
                <w:i w:val="0"/>
                <w:color w:val="000000"/>
                <w:sz w:val="16"/>
              </w:rPr>
              <w:t xml:space="preserve">221,790,678 </w:t>
            </w:r>
          </w:p>
        </w:tc>
        <w:tc>
          <w:tcPr>
            <w:tcW w:type="dxa" w:w="1172"/>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6"/>
              </w:rPr>
              <w:t xml:space="preserve">232,238,085 </w:t>
            </w:r>
          </w:p>
        </w:tc>
        <w:tc>
          <w:tcPr>
            <w:tcW w:type="dxa" w:w="1068"/>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3" w:lineRule="auto" w:before="28" w:after="0"/>
              <w:ind w:left="356" w:right="0" w:firstLine="0"/>
              <w:jc w:val="left"/>
            </w:pPr>
            <w:r>
              <w:rPr>
                <w:rFonts w:ascii="Arial" w:hAnsi="Arial" w:eastAsia="Arial"/>
                <w:b w:val="0"/>
                <w:i w:val="0"/>
                <w:color w:val="000000"/>
                <w:sz w:val="16"/>
              </w:rPr>
              <w:t xml:space="preserve">232,238,085 </w:t>
            </w:r>
          </w:p>
        </w:tc>
      </w:tr>
      <w:tr>
        <w:trPr>
          <w:trHeight w:hRule="exact" w:val="194"/>
        </w:trPr>
        <w:tc>
          <w:tcPr>
            <w:tcW w:type="dxa" w:w="1246"/>
            <w:tcBorders/>
            <w:tcMar>
              <w:start w:w="0" w:type="dxa"/>
              <w:end w:w="0" w:type="dxa"/>
            </w:tcMar>
          </w:tcPr>
          <w:p>
            <w:pPr>
              <w:autoSpaceDN w:val="0"/>
              <w:autoSpaceDE w:val="0"/>
              <w:widowControl/>
              <w:spacing w:line="150" w:lineRule="exact" w:before="18" w:after="0"/>
              <w:ind w:left="198" w:right="0" w:firstLine="0"/>
              <w:jc w:val="left"/>
            </w:pPr>
            <w:r>
              <w:rPr>
                <w:rFonts w:ascii="黑体" w:hAnsi="黑体" w:eastAsia="黑体"/>
                <w:b w:val="0"/>
                <w:i w:val="0"/>
                <w:color w:val="000000"/>
                <w:sz w:val="15"/>
              </w:rPr>
              <w:t>债权</w:t>
            </w:r>
          </w:p>
        </w:tc>
        <w:tc>
          <w:tcPr>
            <w:tcW w:type="dxa" w:w="1136"/>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6"/>
              </w:rPr>
              <w:t>9,277,115</w:t>
            </w:r>
          </w:p>
        </w:tc>
        <w:tc>
          <w:tcPr>
            <w:tcW w:type="dxa" w:w="119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8" w:after="0"/>
              <w:ind w:left="0" w:right="156" w:firstLine="0"/>
              <w:jc w:val="right"/>
            </w:pPr>
            <w:r>
              <w:rPr>
                <w:rFonts w:ascii="Arial" w:hAnsi="Arial" w:eastAsia="Arial"/>
                <w:b w:val="0"/>
                <w:i w:val="0"/>
                <w:color w:val="000000"/>
                <w:sz w:val="16"/>
              </w:rPr>
              <w:t xml:space="preserve">9,277,115 </w:t>
            </w:r>
          </w:p>
        </w:tc>
        <w:tc>
          <w:tcPr>
            <w:tcW w:type="dxa" w:w="1172"/>
            <w:tcBorders/>
            <w:tcMar>
              <w:start w:w="0" w:type="dxa"/>
              <w:end w:w="0" w:type="dxa"/>
            </w:tcMar>
          </w:tcPr>
          <w:p>
            <w:pPr>
              <w:autoSpaceDN w:val="0"/>
              <w:autoSpaceDE w:val="0"/>
              <w:widowControl/>
              <w:spacing w:line="233" w:lineRule="auto" w:before="8" w:after="0"/>
              <w:ind w:left="0" w:right="0" w:firstLine="0"/>
              <w:jc w:val="center"/>
            </w:pPr>
            <w:r>
              <w:rPr>
                <w:rFonts w:ascii="Arial" w:hAnsi="Arial" w:eastAsia="Arial"/>
                <w:b w:val="0"/>
                <w:i w:val="0"/>
                <w:color w:val="000000"/>
                <w:sz w:val="16"/>
              </w:rPr>
              <w:t xml:space="preserve">177,054,286 </w:t>
            </w:r>
          </w:p>
        </w:tc>
        <w:tc>
          <w:tcPr>
            <w:tcW w:type="dxa" w:w="106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3" w:lineRule="auto" w:before="8" w:after="0"/>
              <w:ind w:left="356" w:right="0" w:firstLine="0"/>
              <w:jc w:val="left"/>
            </w:pPr>
            <w:r>
              <w:rPr>
                <w:rFonts w:ascii="Arial" w:hAnsi="Arial" w:eastAsia="Arial"/>
                <w:b w:val="0"/>
                <w:i w:val="0"/>
                <w:color w:val="000000"/>
                <w:sz w:val="16"/>
              </w:rPr>
              <w:t xml:space="preserve">177,054,286 </w:t>
            </w:r>
          </w:p>
        </w:tc>
      </w:tr>
      <w:tr>
        <w:trPr>
          <w:trHeight w:hRule="exact" w:val="171"/>
        </w:trPr>
        <w:tc>
          <w:tcPr>
            <w:tcW w:type="dxa" w:w="1246"/>
            <w:tcBorders/>
            <w:tcMar>
              <w:start w:w="0" w:type="dxa"/>
              <w:end w:w="0" w:type="dxa"/>
            </w:tcMar>
          </w:tcPr>
          <w:p>
            <w:pPr>
              <w:autoSpaceDN w:val="0"/>
              <w:autoSpaceDE w:val="0"/>
              <w:widowControl/>
              <w:spacing w:line="150" w:lineRule="exact" w:before="16" w:after="0"/>
              <w:ind w:left="198" w:right="0" w:firstLine="0"/>
              <w:jc w:val="left"/>
            </w:pPr>
            <w:r>
              <w:rPr>
                <w:rFonts w:ascii="黑体" w:hAnsi="黑体" w:eastAsia="黑体"/>
                <w:b w:val="0"/>
                <w:i w:val="0"/>
                <w:color w:val="000000"/>
                <w:sz w:val="15"/>
              </w:rPr>
              <w:t>信托</w:t>
            </w:r>
          </w:p>
        </w:tc>
        <w:tc>
          <w:tcPr>
            <w:tcW w:type="dxa" w:w="1136"/>
            <w:tcBorders/>
            <w:tcMar>
              <w:start w:w="0" w:type="dxa"/>
              <w:end w:w="0" w:type="dxa"/>
            </w:tcMar>
          </w:tcPr>
          <w:p>
            <w:pPr>
              <w:autoSpaceDN w:val="0"/>
              <w:autoSpaceDE w:val="0"/>
              <w:widowControl/>
              <w:spacing w:line="230" w:lineRule="auto" w:before="0" w:after="0"/>
              <w:ind w:left="244" w:right="0" w:firstLine="0"/>
              <w:jc w:val="left"/>
            </w:pPr>
            <w:r>
              <w:rPr>
                <w:rFonts w:ascii="Arial" w:hAnsi="Arial" w:eastAsia="Arial"/>
                <w:b w:val="0"/>
                <w:i w:val="0"/>
                <w:color w:val="000000"/>
                <w:sz w:val="16"/>
              </w:rPr>
              <w:t>146,609,620</w:t>
            </w:r>
          </w:p>
        </w:tc>
        <w:tc>
          <w:tcPr>
            <w:tcW w:type="dxa" w:w="119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0" w:lineRule="auto" w:before="0" w:after="0"/>
              <w:ind w:left="356" w:right="0" w:firstLine="0"/>
              <w:jc w:val="left"/>
            </w:pPr>
            <w:r>
              <w:rPr>
                <w:rFonts w:ascii="Arial" w:hAnsi="Arial" w:eastAsia="Arial"/>
                <w:b w:val="0"/>
                <w:i w:val="0"/>
                <w:color w:val="000000"/>
                <w:sz w:val="16"/>
              </w:rPr>
              <w:t xml:space="preserve">146,609,620 </w:t>
            </w:r>
          </w:p>
        </w:tc>
        <w:tc>
          <w:tcPr>
            <w:tcW w:type="dxa" w:w="1172"/>
            <w:tcBorders/>
            <w:tcMar>
              <w:start w:w="0" w:type="dxa"/>
              <w:end w:w="0" w:type="dxa"/>
            </w:tcMar>
          </w:tcPr>
          <w:p>
            <w:pPr>
              <w:autoSpaceDN w:val="0"/>
              <w:autoSpaceDE w:val="0"/>
              <w:widowControl/>
              <w:spacing w:line="230" w:lineRule="auto" w:before="0" w:after="0"/>
              <w:ind w:left="0" w:right="0" w:firstLine="0"/>
              <w:jc w:val="center"/>
            </w:pPr>
            <w:r>
              <w:rPr>
                <w:rFonts w:ascii="Arial" w:hAnsi="Arial" w:eastAsia="Arial"/>
                <w:b w:val="0"/>
                <w:i w:val="0"/>
                <w:color w:val="000000"/>
                <w:sz w:val="16"/>
              </w:rPr>
              <w:t xml:space="preserve">144,616,380 </w:t>
            </w:r>
          </w:p>
        </w:tc>
        <w:tc>
          <w:tcPr>
            <w:tcW w:type="dxa" w:w="1068"/>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0" w:lineRule="auto" w:before="0" w:after="0"/>
              <w:ind w:left="356" w:right="0" w:firstLine="0"/>
              <w:jc w:val="left"/>
            </w:pPr>
            <w:r>
              <w:rPr>
                <w:rFonts w:ascii="Arial" w:hAnsi="Arial" w:eastAsia="Arial"/>
                <w:b w:val="0"/>
                <w:i w:val="0"/>
                <w:color w:val="000000"/>
                <w:sz w:val="16"/>
              </w:rPr>
              <w:t xml:space="preserve">144,616,380 </w:t>
            </w:r>
          </w:p>
        </w:tc>
      </w:tr>
      <w:tr>
        <w:trPr>
          <w:trHeight w:hRule="exact" w:val="200"/>
        </w:trPr>
        <w:tc>
          <w:tcPr>
            <w:tcW w:type="dxa" w:w="1246"/>
            <w:tcBorders/>
            <w:tcMar>
              <w:start w:w="0" w:type="dxa"/>
              <w:end w:w="0" w:type="dxa"/>
            </w:tcMar>
          </w:tcPr>
          <w:p>
            <w:pPr>
              <w:autoSpaceDN w:val="0"/>
              <w:autoSpaceDE w:val="0"/>
              <w:widowControl/>
              <w:spacing w:line="152" w:lineRule="exact" w:before="40" w:after="0"/>
              <w:ind w:left="198" w:right="0" w:firstLine="0"/>
              <w:jc w:val="left"/>
            </w:pPr>
            <w:r>
              <w:rPr>
                <w:rFonts w:ascii="黑体" w:hAnsi="黑体" w:eastAsia="黑体"/>
                <w:b w:val="0"/>
                <w:i w:val="0"/>
                <w:color w:val="000000"/>
                <w:sz w:val="15"/>
              </w:rPr>
              <w:t>收益权</w:t>
            </w:r>
          </w:p>
        </w:tc>
        <w:tc>
          <w:tcPr>
            <w:tcW w:type="dxa" w:w="1136"/>
            <w:tcBorders/>
            <w:tcMar>
              <w:start w:w="0" w:type="dxa"/>
              <w:end w:w="0" w:type="dxa"/>
            </w:tcMar>
          </w:tcPr>
          <w:p>
            <w:pPr>
              <w:autoSpaceDN w:val="0"/>
              <w:autoSpaceDE w:val="0"/>
              <w:widowControl/>
              <w:spacing w:line="230" w:lineRule="auto" w:before="22" w:after="0"/>
              <w:ind w:left="0" w:right="2" w:firstLine="0"/>
              <w:jc w:val="right"/>
            </w:pPr>
            <w:r>
              <w:rPr>
                <w:rFonts w:ascii="Arial" w:hAnsi="Arial" w:eastAsia="Arial"/>
                <w:b w:val="0"/>
                <w:i w:val="0"/>
                <w:color w:val="000000"/>
                <w:sz w:val="16"/>
              </w:rPr>
              <w:t>-</w:t>
            </w:r>
          </w:p>
        </w:tc>
        <w:tc>
          <w:tcPr>
            <w:tcW w:type="dxa" w:w="1190"/>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0" w:lineRule="auto" w:before="22" w:after="0"/>
              <w:ind w:left="0" w:right="156" w:firstLine="0"/>
              <w:jc w:val="right"/>
            </w:pPr>
            <w:r>
              <w:rPr>
                <w:rFonts w:ascii="Arial" w:hAnsi="Arial" w:eastAsia="Arial"/>
                <w:b w:val="0"/>
                <w:i w:val="0"/>
                <w:color w:val="000000"/>
                <w:sz w:val="16"/>
              </w:rPr>
              <w:t xml:space="preserve">- </w:t>
            </w:r>
          </w:p>
        </w:tc>
        <w:tc>
          <w:tcPr>
            <w:tcW w:type="dxa" w:w="1172"/>
            <w:tcBorders/>
            <w:tcMar>
              <w:start w:w="0" w:type="dxa"/>
              <w:end w:w="0" w:type="dxa"/>
            </w:tcMar>
          </w:tcPr>
          <w:p>
            <w:pPr>
              <w:autoSpaceDN w:val="0"/>
              <w:autoSpaceDE w:val="0"/>
              <w:widowControl/>
              <w:spacing w:line="230" w:lineRule="auto" w:before="22" w:after="0"/>
              <w:ind w:left="246" w:right="0" w:firstLine="0"/>
              <w:jc w:val="left"/>
            </w:pPr>
            <w:r>
              <w:rPr>
                <w:rFonts w:ascii="Arial" w:hAnsi="Arial" w:eastAsia="Arial"/>
                <w:b w:val="0"/>
                <w:i w:val="0"/>
                <w:color w:val="000000"/>
                <w:sz w:val="16"/>
              </w:rPr>
              <w:t xml:space="preserve">37,963,140 </w:t>
            </w:r>
          </w:p>
        </w:tc>
        <w:tc>
          <w:tcPr>
            <w:tcW w:type="dxa" w:w="1068"/>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c>
          <w:tcPr>
            <w:tcW w:type="dxa" w:w="1440"/>
            <w:tcBorders/>
            <w:tcMar>
              <w:start w:w="0" w:type="dxa"/>
              <w:end w:w="0" w:type="dxa"/>
            </w:tcMar>
          </w:tcPr>
          <w:p>
            <w:pPr>
              <w:autoSpaceDN w:val="0"/>
              <w:autoSpaceDE w:val="0"/>
              <w:widowControl/>
              <w:spacing w:line="230" w:lineRule="auto" w:before="22" w:after="0"/>
              <w:ind w:left="0" w:right="150" w:firstLine="0"/>
              <w:jc w:val="right"/>
            </w:pPr>
            <w:r>
              <w:rPr>
                <w:rFonts w:ascii="Arial" w:hAnsi="Arial" w:eastAsia="Arial"/>
                <w:b w:val="0"/>
                <w:i w:val="0"/>
                <w:color w:val="000000"/>
                <w:sz w:val="16"/>
              </w:rPr>
              <w:t xml:space="preserve">37,963,140 </w:t>
            </w:r>
          </w:p>
        </w:tc>
      </w:tr>
      <w:tr>
        <w:trPr>
          <w:trHeight w:hRule="exact" w:val="212"/>
        </w:trPr>
        <w:tc>
          <w:tcPr>
            <w:tcW w:type="dxa" w:w="1246"/>
            <w:tcBorders>
              <w:bottom w:sz="4.0" w:val="single" w:color="#000000"/>
            </w:tcBorders>
            <w:tcMar>
              <w:start w:w="0" w:type="dxa"/>
              <w:end w:w="0" w:type="dxa"/>
            </w:tcMar>
          </w:tcPr>
          <w:p>
            <w:pPr>
              <w:autoSpaceDN w:val="0"/>
              <w:autoSpaceDE w:val="0"/>
              <w:widowControl/>
              <w:spacing w:line="152" w:lineRule="exact" w:before="34" w:after="0"/>
              <w:ind w:left="198" w:right="0" w:firstLine="0"/>
              <w:jc w:val="left"/>
            </w:pPr>
            <w:r>
              <w:rPr>
                <w:rFonts w:ascii="黑体" w:hAnsi="黑体" w:eastAsia="黑体"/>
                <w:b w:val="0"/>
                <w:i w:val="0"/>
                <w:color w:val="000000"/>
                <w:sz w:val="15"/>
              </w:rPr>
              <w:t>其他</w:t>
            </w:r>
          </w:p>
        </w:tc>
        <w:tc>
          <w:tcPr>
            <w:tcW w:type="dxa" w:w="1136"/>
            <w:tcBorders>
              <w:bottom w:sz="4.0" w:val="single" w:color="#000000"/>
            </w:tcBorders>
            <w:tcMar>
              <w:start w:w="0" w:type="dxa"/>
              <w:end w:w="0" w:type="dxa"/>
            </w:tcMar>
          </w:tcPr>
          <w:p>
            <w:pPr>
              <w:autoSpaceDN w:val="0"/>
              <w:autoSpaceDE w:val="0"/>
              <w:widowControl/>
              <w:spacing w:line="233" w:lineRule="auto" w:before="26" w:after="0"/>
              <w:ind w:left="0" w:right="2" w:firstLine="0"/>
              <w:jc w:val="right"/>
            </w:pPr>
            <w:r>
              <w:rPr>
                <w:rFonts w:ascii="Arial" w:hAnsi="Arial" w:eastAsia="Arial"/>
                <w:b w:val="0"/>
                <w:i w:val="0"/>
                <w:color w:val="000000"/>
                <w:sz w:val="16"/>
              </w:rPr>
              <w:t>-</w:t>
            </w:r>
          </w:p>
        </w:tc>
        <w:tc>
          <w:tcPr>
            <w:tcW w:type="dxa" w:w="1190"/>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w:t>
            </w:r>
          </w:p>
        </w:tc>
        <w:tc>
          <w:tcPr>
            <w:tcW w:type="dxa" w:w="1448"/>
            <w:tcBorders>
              <w:bottom w:sz="4.0" w:val="single" w:color="#000000"/>
            </w:tcBorders>
            <w:tcMar>
              <w:start w:w="0" w:type="dxa"/>
              <w:end w:w="0" w:type="dxa"/>
            </w:tcMar>
          </w:tcPr>
          <w:p>
            <w:pPr>
              <w:autoSpaceDN w:val="0"/>
              <w:autoSpaceDE w:val="0"/>
              <w:widowControl/>
              <w:spacing w:line="233" w:lineRule="auto" w:before="26" w:after="0"/>
              <w:ind w:left="0" w:right="156" w:firstLine="0"/>
              <w:jc w:val="right"/>
            </w:pPr>
            <w:r>
              <w:rPr>
                <w:rFonts w:ascii="Arial" w:hAnsi="Arial" w:eastAsia="Arial"/>
                <w:b w:val="0"/>
                <w:i w:val="0"/>
                <w:color w:val="000000"/>
                <w:sz w:val="16"/>
              </w:rPr>
              <w:t xml:space="preserve">- </w:t>
            </w:r>
          </w:p>
        </w:tc>
        <w:tc>
          <w:tcPr>
            <w:tcW w:type="dxa" w:w="1172"/>
            <w:tcBorders>
              <w:bottom w:sz="4.0" w:val="single" w:color="#000000"/>
            </w:tcBorders>
            <w:tcMar>
              <w:start w:w="0" w:type="dxa"/>
              <w:end w:w="0" w:type="dxa"/>
            </w:tcMar>
          </w:tcPr>
          <w:p>
            <w:pPr>
              <w:autoSpaceDN w:val="0"/>
              <w:autoSpaceDE w:val="0"/>
              <w:widowControl/>
              <w:spacing w:line="233" w:lineRule="auto" w:before="26" w:after="0"/>
              <w:ind w:left="0" w:right="80" w:firstLine="0"/>
              <w:jc w:val="right"/>
            </w:pPr>
            <w:r>
              <w:rPr>
                <w:rFonts w:ascii="Arial" w:hAnsi="Arial" w:eastAsia="Arial"/>
                <w:b w:val="0"/>
                <w:i w:val="0"/>
                <w:color w:val="000000"/>
                <w:sz w:val="16"/>
              </w:rPr>
              <w:t xml:space="preserve">8,720,502 </w:t>
            </w:r>
          </w:p>
        </w:tc>
        <w:tc>
          <w:tcPr>
            <w:tcW w:type="dxa" w:w="106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w:t>
            </w:r>
          </w:p>
        </w:tc>
        <w:tc>
          <w:tcPr>
            <w:tcW w:type="dxa" w:w="1440"/>
            <w:tcBorders>
              <w:bottom w:sz="4.0" w:val="single" w:color="#000000"/>
            </w:tcBorders>
            <w:tcMar>
              <w:start w:w="0" w:type="dxa"/>
              <w:end w:w="0" w:type="dxa"/>
            </w:tcMar>
          </w:tcPr>
          <w:p>
            <w:pPr>
              <w:autoSpaceDN w:val="0"/>
              <w:autoSpaceDE w:val="0"/>
              <w:widowControl/>
              <w:spacing w:line="233" w:lineRule="auto" w:before="26" w:after="0"/>
              <w:ind w:left="0" w:right="150" w:firstLine="0"/>
              <w:jc w:val="right"/>
            </w:pPr>
            <w:r>
              <w:rPr>
                <w:rFonts w:ascii="Arial" w:hAnsi="Arial" w:eastAsia="Arial"/>
                <w:b w:val="0"/>
                <w:i w:val="0"/>
                <w:color w:val="000000"/>
                <w:sz w:val="16"/>
              </w:rPr>
              <w:t xml:space="preserve">8,720,502 </w:t>
            </w:r>
          </w:p>
        </w:tc>
      </w:tr>
      <w:tr>
        <w:trPr>
          <w:trHeight w:hRule="exact" w:val="390"/>
        </w:trPr>
        <w:tc>
          <w:tcPr>
            <w:tcW w:type="dxa" w:w="1246"/>
            <w:tcBorders>
              <w:top w:sz="4.0" w:val="single" w:color="#000000"/>
              <w:bottom w:sz="4.0" w:val="single" w:color="#000000"/>
            </w:tcBorders>
            <w:tcMar>
              <w:start w:w="0" w:type="dxa"/>
              <w:end w:w="0" w:type="dxa"/>
            </w:tcMar>
          </w:tcPr>
          <w:p>
            <w:pPr>
              <w:autoSpaceDN w:val="0"/>
              <w:autoSpaceDE w:val="0"/>
              <w:widowControl/>
              <w:spacing w:line="150" w:lineRule="exact" w:before="206" w:after="0"/>
              <w:ind w:left="198" w:right="0" w:firstLine="0"/>
              <w:jc w:val="left"/>
            </w:pPr>
            <w:r>
              <w:rPr>
                <w:rFonts w:ascii="黑体" w:hAnsi="黑体" w:eastAsia="黑体"/>
                <w:b w:val="0"/>
                <w:i w:val="0"/>
                <w:color w:val="000000"/>
                <w:sz w:val="15"/>
              </w:rPr>
              <w:t>合计</w:t>
            </w:r>
          </w:p>
        </w:tc>
        <w:tc>
          <w:tcPr>
            <w:tcW w:type="dxa" w:w="1136"/>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36,008,042,780</w:t>
            </w:r>
          </w:p>
        </w:tc>
        <w:tc>
          <w:tcPr>
            <w:tcW w:type="dxa" w:w="1190"/>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6"/>
              </w:rPr>
              <w:t>-</w:t>
            </w:r>
          </w:p>
        </w:tc>
        <w:tc>
          <w:tcPr>
            <w:tcW w:type="dxa" w:w="2620"/>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 xml:space="preserve">36,008,042,780 35,349,130,634 </w:t>
            </w:r>
          </w:p>
        </w:tc>
        <w:tc>
          <w:tcPr>
            <w:tcW w:type="dxa" w:w="1068"/>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6"/>
              </w:rPr>
              <w:t>-</w:t>
            </w:r>
          </w:p>
        </w:tc>
        <w:tc>
          <w:tcPr>
            <w:tcW w:type="dxa" w:w="1440"/>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 xml:space="preserve">35,349,130,634 </w:t>
            </w:r>
          </w:p>
        </w:tc>
      </w:tr>
      <w:tr>
        <w:trPr>
          <w:trHeight w:hRule="exact" w:val="52"/>
        </w:trPr>
        <w:tc>
          <w:tcPr>
            <w:tcW w:type="dxa" w:w="1246"/>
            <w:tcBorders>
              <w:top w:sz="4.0" w:val="single" w:color="#000000"/>
            </w:tcBorders>
            <w:tcMar>
              <w:start w:w="0" w:type="dxa"/>
              <w:end w:w="0" w:type="dxa"/>
            </w:tcMar>
          </w:tcPr>
          <w:p/>
        </w:tc>
        <w:tc>
          <w:tcPr>
            <w:tcW w:type="dxa" w:w="1136"/>
            <w:tcBorders>
              <w:top w:sz="4.0" w:val="single" w:color="#000000"/>
            </w:tcBorders>
            <w:tcMar>
              <w:start w:w="0" w:type="dxa"/>
              <w:end w:w="0" w:type="dxa"/>
            </w:tcMar>
          </w:tcPr>
          <w:p/>
        </w:tc>
        <w:tc>
          <w:tcPr>
            <w:tcW w:type="dxa" w:w="1190"/>
            <w:tcBorders>
              <w:top w:sz="4.0" w:val="single" w:color="#000000"/>
            </w:tcBorders>
            <w:tcMar>
              <w:start w:w="0" w:type="dxa"/>
              <w:end w:w="0" w:type="dxa"/>
            </w:tcMar>
          </w:tcPr>
          <w:p/>
        </w:tc>
        <w:tc>
          <w:tcPr>
            <w:tcW w:type="dxa" w:w="2578"/>
            <w:gridSpan w:val="2"/>
            <w:vMerge/>
            <w:tcBorders>
              <w:top w:sz="4.0" w:val="single" w:color="#000000"/>
            </w:tcBorders>
          </w:tcPr>
          <w:p/>
        </w:tc>
        <w:tc>
          <w:tcPr>
            <w:tcW w:type="dxa" w:w="1068"/>
            <w:tcBorders>
              <w:top w:sz="4.0" w:val="single" w:color="#000000"/>
            </w:tcBorders>
            <w:tcMar>
              <w:start w:w="0" w:type="dxa"/>
              <w:end w:w="0" w:type="dxa"/>
            </w:tcMar>
          </w:tcPr>
          <w:p/>
        </w:tc>
        <w:tc>
          <w:tcPr>
            <w:tcW w:type="dxa" w:w="1440"/>
            <w:tcBorders>
              <w:top w:sz="4.0" w:val="single" w:color="#000000"/>
            </w:tcBorders>
            <w:tcMar>
              <w:start w:w="0" w:type="dxa"/>
              <w:end w:w="0" w:type="dxa"/>
            </w:tcMar>
          </w:tcPr>
          <w:p/>
        </w:tc>
      </w:tr>
    </w:tbl>
    <w:p>
      <w:pPr>
        <w:autoSpaceDN w:val="0"/>
        <w:autoSpaceDE w:val="0"/>
        <w:widowControl/>
        <w:spacing w:line="168" w:lineRule="exact" w:before="236" w:after="12"/>
        <w:ind w:left="0" w:right="3430" w:firstLine="0"/>
        <w:jc w:val="right"/>
      </w:pPr>
      <w:r>
        <w:rPr>
          <w:rFonts w:ascii="Arial" w:hAnsi="Arial" w:eastAsia="Arial"/>
          <w:b w:val="0"/>
          <w:i w:val="0"/>
          <w:color w:val="000000"/>
          <w:sz w:val="15"/>
        </w:rPr>
        <w:t>2023</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04"/>
        </w:trPr>
        <w:tc>
          <w:tcPr>
            <w:tcW w:type="dxa" w:w="1246"/>
            <w:tcBorders>
              <w:top w:sz="4.0" w:val="single" w:color="#000000"/>
              <w:bottom w:sz="4.0" w:val="single" w:color="#000000"/>
            </w:tcBorders>
            <w:tcMar>
              <w:start w:w="0" w:type="dxa"/>
              <w:end w:w="0" w:type="dxa"/>
            </w:tcMar>
          </w:tcPr>
          <w:p/>
        </w:tc>
        <w:tc>
          <w:tcPr>
            <w:tcW w:type="dxa" w:w="1136"/>
            <w:tcBorders>
              <w:bottom w:sz="4.0" w:val="single" w:color="#000000"/>
            </w:tcBorders>
            <w:tcMar>
              <w:start w:w="0" w:type="dxa"/>
              <w:end w:w="0" w:type="dxa"/>
            </w:tcMar>
          </w:tcPr>
          <w:p/>
        </w:tc>
        <w:tc>
          <w:tcPr>
            <w:tcW w:type="dxa" w:w="1190"/>
            <w:tcBorders>
              <w:bottom w:sz="4.0" w:val="single" w:color="#000000"/>
            </w:tcBorders>
            <w:tcMar>
              <w:start w:w="0" w:type="dxa"/>
              <w:end w:w="0" w:type="dxa"/>
            </w:tcMar>
          </w:tcPr>
          <w:p>
            <w:pPr>
              <w:autoSpaceDN w:val="0"/>
              <w:autoSpaceDE w:val="0"/>
              <w:widowControl/>
              <w:spacing w:line="152" w:lineRule="exact" w:before="24" w:after="0"/>
              <w:ind w:left="0" w:right="236" w:firstLine="0"/>
              <w:jc w:val="right"/>
            </w:pPr>
            <w:r>
              <w:rPr>
                <w:rFonts w:ascii="黑体" w:hAnsi="黑体" w:eastAsia="黑体"/>
                <w:b w:val="0"/>
                <w:i w:val="0"/>
                <w:color w:val="000000"/>
                <w:sz w:val="15"/>
              </w:rPr>
              <w:t>公允价值</w:t>
            </w:r>
          </w:p>
        </w:tc>
        <w:tc>
          <w:tcPr>
            <w:tcW w:type="dxa" w:w="26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232" w:after="0"/>
              <w:ind w:left="0" w:right="122" w:firstLine="0"/>
              <w:jc w:val="right"/>
            </w:pPr>
            <w:r>
              <w:rPr>
                <w:rFonts w:ascii="黑体" w:hAnsi="黑体" w:eastAsia="黑体"/>
                <w:b w:val="0"/>
                <w:i w:val="0"/>
                <w:color w:val="000000"/>
                <w:sz w:val="15"/>
              </w:rPr>
              <w:t>分类为以公允价</w:t>
            </w:r>
          </w:p>
        </w:tc>
        <w:tc>
          <w:tcPr>
            <w:tcW w:type="dxa" w:w="1068"/>
            <w:tcBorders>
              <w:bottom w:sz="4.0" w:val="single" w:color="#000000"/>
            </w:tcBorders>
            <w:tcMar>
              <w:start w:w="0" w:type="dxa"/>
              <w:end w:w="0" w:type="dxa"/>
            </w:tcMar>
          </w:tcPr>
          <w:p>
            <w:pPr>
              <w:autoSpaceDN w:val="0"/>
              <w:autoSpaceDE w:val="0"/>
              <w:widowControl/>
              <w:spacing w:line="152" w:lineRule="exact" w:before="24" w:after="0"/>
              <w:ind w:left="0" w:right="0" w:firstLine="0"/>
              <w:jc w:val="center"/>
            </w:pPr>
            <w:r>
              <w:rPr>
                <w:rFonts w:ascii="黑体" w:hAnsi="黑体" w:eastAsia="黑体"/>
                <w:b w:val="0"/>
                <w:i w:val="0"/>
                <w:color w:val="000000"/>
                <w:sz w:val="15"/>
              </w:rPr>
              <w:t>初始成本</w:t>
            </w:r>
          </w:p>
        </w:tc>
        <w:tc>
          <w:tcPr>
            <w:tcW w:type="dxa" w:w="1362"/>
            <w:tcBorders>
              <w:bottom w:sz="4.0" w:val="single" w:color="#000000"/>
            </w:tcBorders>
            <w:tcMar>
              <w:start w:w="0" w:type="dxa"/>
              <w:end w:w="0" w:type="dxa"/>
            </w:tcMar>
          </w:tcPr>
          <w:p/>
        </w:tc>
      </w:tr>
      <w:tr>
        <w:trPr>
          <w:trHeight w:hRule="exact" w:val="196"/>
        </w:trPr>
        <w:tc>
          <w:tcPr>
            <w:tcW w:type="dxa" w:w="1246"/>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974" w:after="0"/>
              <w:ind w:left="198" w:right="0" w:firstLine="0"/>
              <w:jc w:val="left"/>
            </w:pPr>
            <w:r>
              <w:rPr>
                <w:rFonts w:ascii="黑体" w:hAnsi="黑体" w:eastAsia="黑体"/>
                <w:b w:val="0"/>
                <w:i w:val="0"/>
                <w:color w:val="000000"/>
                <w:sz w:val="15"/>
              </w:rPr>
              <w:t>债券</w:t>
            </w:r>
          </w:p>
        </w:tc>
        <w:tc>
          <w:tcPr>
            <w:tcW w:type="dxa" w:w="1136"/>
            <w:tcBorders>
              <w:top w:sz="4.0" w:val="single" w:color="#000000"/>
            </w:tcBorders>
            <w:tcMar>
              <w:start w:w="0" w:type="dxa"/>
              <w:end w:w="0" w:type="dxa"/>
            </w:tcMar>
          </w:tcPr>
          <w:p>
            <w:pPr>
              <w:autoSpaceDN w:val="0"/>
              <w:autoSpaceDE w:val="0"/>
              <w:widowControl/>
              <w:spacing w:line="150" w:lineRule="exact" w:before="24" w:after="0"/>
              <w:ind w:left="82" w:right="0" w:firstLine="0"/>
              <w:jc w:val="left"/>
            </w:pPr>
            <w:r>
              <w:rPr>
                <w:rFonts w:ascii="黑体" w:hAnsi="黑体" w:eastAsia="黑体"/>
                <w:b w:val="0"/>
                <w:i w:val="0"/>
                <w:color w:val="000000"/>
                <w:sz w:val="15"/>
              </w:rPr>
              <w:t>分类为以公允价</w:t>
            </w:r>
          </w:p>
        </w:tc>
        <w:tc>
          <w:tcPr>
            <w:tcW w:type="dxa" w:w="1190"/>
            <w:tcBorders>
              <w:top w:sz="4.0" w:val="single" w:color="#000000"/>
            </w:tcBorders>
            <w:tcMar>
              <w:start w:w="0" w:type="dxa"/>
              <w:end w:w="0" w:type="dxa"/>
            </w:tcMar>
          </w:tcPr>
          <w:p>
            <w:pPr>
              <w:autoSpaceDN w:val="0"/>
              <w:autoSpaceDE w:val="0"/>
              <w:widowControl/>
              <w:spacing w:line="150" w:lineRule="exact" w:before="24" w:after="0"/>
              <w:ind w:left="140" w:right="0" w:firstLine="0"/>
              <w:jc w:val="left"/>
            </w:pPr>
            <w:r>
              <w:rPr>
                <w:rFonts w:ascii="黑体" w:hAnsi="黑体" w:eastAsia="黑体"/>
                <w:b w:val="0"/>
                <w:i w:val="0"/>
                <w:color w:val="000000"/>
                <w:sz w:val="15"/>
              </w:rPr>
              <w:t>指定为以公允价</w:t>
            </w:r>
          </w:p>
        </w:tc>
        <w:tc>
          <w:tcPr>
            <w:tcW w:type="dxa" w:w="2578"/>
            <w:gridSpan w:val="2"/>
            <w:vMerge/>
            <w:tcBorders/>
          </w:tcPr>
          <w:p/>
        </w:tc>
        <w:tc>
          <w:tcPr>
            <w:tcW w:type="dxa" w:w="1068"/>
            <w:tcBorders>
              <w:top w:sz="4.0" w:val="single" w:color="#000000"/>
            </w:tcBorders>
            <w:tcMar>
              <w:start w:w="0" w:type="dxa"/>
              <w:end w:w="0" w:type="dxa"/>
            </w:tcMar>
          </w:tcPr>
          <w:p>
            <w:pPr>
              <w:autoSpaceDN w:val="0"/>
              <w:autoSpaceDE w:val="0"/>
              <w:widowControl/>
              <w:spacing w:line="150" w:lineRule="exact" w:before="24" w:after="0"/>
              <w:ind w:left="0" w:right="0" w:firstLine="0"/>
              <w:jc w:val="center"/>
            </w:pPr>
            <w:r>
              <w:rPr>
                <w:rFonts w:ascii="黑体" w:hAnsi="黑体" w:eastAsia="黑体"/>
                <w:b w:val="0"/>
                <w:i w:val="0"/>
                <w:color w:val="000000"/>
                <w:sz w:val="15"/>
              </w:rPr>
              <w:t>指定为以公允价</w:t>
            </w:r>
          </w:p>
        </w:tc>
        <w:tc>
          <w:tcPr>
            <w:tcW w:type="dxa" w:w="136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606" w:after="0"/>
              <w:ind w:left="0" w:right="114" w:firstLine="0"/>
              <w:jc w:val="right"/>
            </w:pPr>
            <w:r>
              <w:rPr>
                <w:rFonts w:ascii="黑体" w:hAnsi="黑体" w:eastAsia="黑体"/>
                <w:b w:val="0"/>
                <w:i w:val="0"/>
                <w:color w:val="000000"/>
                <w:sz w:val="15"/>
              </w:rPr>
              <w:t>初始成本合计</w:t>
            </w:r>
          </w:p>
        </w:tc>
      </w:tr>
      <w:tr>
        <w:trPr>
          <w:trHeight w:hRule="exact" w:val="1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26" w:after="0"/>
              <w:ind w:left="82" w:right="0" w:firstLine="0"/>
              <w:jc w:val="left"/>
            </w:pPr>
            <w:r>
              <w:rPr>
                <w:rFonts w:ascii="黑体" w:hAnsi="黑体" w:eastAsia="黑体"/>
                <w:b w:val="0"/>
                <w:i w:val="0"/>
                <w:color w:val="000000"/>
                <w:sz w:val="15"/>
              </w:rPr>
              <w:t>值计量且其变动</w:t>
            </w:r>
          </w:p>
        </w:tc>
        <w:tc>
          <w:tcPr>
            <w:tcW w:type="dxa" w:w="1190"/>
            <w:tcBorders/>
            <w:tcMar>
              <w:start w:w="0" w:type="dxa"/>
              <w:end w:w="0" w:type="dxa"/>
            </w:tcMar>
          </w:tcPr>
          <w:p>
            <w:pPr>
              <w:autoSpaceDN w:val="0"/>
              <w:autoSpaceDE w:val="0"/>
              <w:widowControl/>
              <w:spacing w:line="152" w:lineRule="exact" w:before="26" w:after="0"/>
              <w:ind w:left="140" w:right="0" w:firstLine="0"/>
              <w:jc w:val="left"/>
            </w:pPr>
            <w:r>
              <w:rPr>
                <w:rFonts w:ascii="黑体" w:hAnsi="黑体" w:eastAsia="黑体"/>
                <w:b w:val="0"/>
                <w:i w:val="0"/>
                <w:color w:val="000000"/>
                <w:sz w:val="15"/>
              </w:rPr>
              <w:t>值计量且其变动</w:t>
            </w:r>
          </w:p>
        </w:tc>
        <w:tc>
          <w:tcPr>
            <w:tcW w:type="dxa" w:w="2620"/>
            <w:gridSpan w:val="2"/>
            <w:tcBorders/>
            <w:tcMar>
              <w:start w:w="0" w:type="dxa"/>
              <w:end w:w="0" w:type="dxa"/>
            </w:tcMar>
            <w:tcMar>
              <w:start w:w="0" w:type="dxa"/>
              <w:end w:w="0" w:type="dxa"/>
            </w:tcMar>
          </w:tcPr>
          <w:p>
            <w:pPr>
              <w:autoSpaceDN w:val="0"/>
              <w:autoSpaceDE w:val="0"/>
              <w:widowControl/>
              <w:spacing w:line="152" w:lineRule="exact" w:before="26" w:after="0"/>
              <w:ind w:left="0" w:right="122" w:firstLine="0"/>
              <w:jc w:val="right"/>
            </w:pPr>
            <w:r>
              <w:rPr>
                <w:rFonts w:ascii="黑体" w:hAnsi="黑体" w:eastAsia="黑体"/>
                <w:b w:val="0"/>
                <w:i w:val="0"/>
                <w:color w:val="000000"/>
                <w:sz w:val="15"/>
              </w:rPr>
              <w:t>值计量且其变动</w:t>
            </w:r>
          </w:p>
        </w:tc>
        <w:tc>
          <w:tcPr>
            <w:tcW w:type="dxa" w:w="1068"/>
            <w:tcBorders/>
            <w:tcMar>
              <w:start w:w="0" w:type="dxa"/>
              <w:end w:w="0" w:type="dxa"/>
            </w:tcMar>
          </w:tcPr>
          <w:p>
            <w:pPr>
              <w:autoSpaceDN w:val="0"/>
              <w:autoSpaceDE w:val="0"/>
              <w:widowControl/>
              <w:spacing w:line="152" w:lineRule="exact" w:before="26" w:after="0"/>
              <w:ind w:left="0" w:right="0" w:firstLine="0"/>
              <w:jc w:val="center"/>
            </w:pPr>
            <w:r>
              <w:rPr>
                <w:rFonts w:ascii="黑体" w:hAnsi="黑体" w:eastAsia="黑体"/>
                <w:b w:val="0"/>
                <w:i w:val="0"/>
                <w:color w:val="000000"/>
                <w:sz w:val="15"/>
              </w:rPr>
              <w:t>值计量且其变动</w:t>
            </w:r>
          </w:p>
        </w:tc>
        <w:tc>
          <w:tcPr>
            <w:tcW w:type="dxa" w:w="1289"/>
            <w:vMerge/>
            <w:tcBorders>
              <w:top w:sz="4.0" w:val="single" w:color="#000000"/>
            </w:tcBorders>
          </w:tcPr>
          <w:p/>
        </w:tc>
      </w:tr>
      <w:tr>
        <w:trPr>
          <w:trHeight w:hRule="exact" w:val="20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40" w:after="0"/>
              <w:ind w:left="82" w:right="0" w:firstLine="0"/>
              <w:jc w:val="left"/>
            </w:pPr>
            <w:r>
              <w:rPr>
                <w:rFonts w:ascii="黑体" w:hAnsi="黑体" w:eastAsia="黑体"/>
                <w:b w:val="0"/>
                <w:i w:val="0"/>
                <w:color w:val="000000"/>
                <w:sz w:val="15"/>
              </w:rPr>
              <w:t>计入当期损益的</w:t>
            </w:r>
          </w:p>
        </w:tc>
        <w:tc>
          <w:tcPr>
            <w:tcW w:type="dxa" w:w="1190"/>
            <w:tcBorders/>
            <w:tcMar>
              <w:start w:w="0" w:type="dxa"/>
              <w:end w:w="0" w:type="dxa"/>
            </w:tcMar>
          </w:tcPr>
          <w:p>
            <w:pPr>
              <w:autoSpaceDN w:val="0"/>
              <w:autoSpaceDE w:val="0"/>
              <w:widowControl/>
              <w:spacing w:line="152" w:lineRule="exact" w:before="40" w:after="0"/>
              <w:ind w:left="140" w:right="0" w:firstLine="0"/>
              <w:jc w:val="left"/>
            </w:pPr>
            <w:r>
              <w:rPr>
                <w:rFonts w:ascii="黑体" w:hAnsi="黑体" w:eastAsia="黑体"/>
                <w:b w:val="0"/>
                <w:i w:val="0"/>
                <w:color w:val="000000"/>
                <w:sz w:val="15"/>
              </w:rPr>
              <w:t>计入当期损益的</w:t>
            </w:r>
          </w:p>
        </w:tc>
        <w:tc>
          <w:tcPr>
            <w:tcW w:type="dxa" w:w="2620"/>
            <w:gridSpan w:val="2"/>
            <w:tcBorders/>
            <w:tcMar>
              <w:start w:w="0" w:type="dxa"/>
              <w:end w:w="0" w:type="dxa"/>
            </w:tcMar>
            <w:tcMar>
              <w:start w:w="0" w:type="dxa"/>
              <w:end w:w="0" w:type="dxa"/>
            </w:tcMar>
          </w:tcPr>
          <w:p>
            <w:pPr>
              <w:autoSpaceDN w:val="0"/>
              <w:autoSpaceDE w:val="0"/>
              <w:widowControl/>
              <w:spacing w:line="152" w:lineRule="exact" w:before="40" w:after="0"/>
              <w:ind w:left="0" w:right="122" w:firstLine="0"/>
              <w:jc w:val="right"/>
            </w:pPr>
            <w:r>
              <w:rPr>
                <w:rFonts w:ascii="黑体" w:hAnsi="黑体" w:eastAsia="黑体"/>
                <w:b w:val="0"/>
                <w:i w:val="0"/>
                <w:color w:val="000000"/>
                <w:sz w:val="15"/>
              </w:rPr>
              <w:t>计入当期损益的</w:t>
            </w:r>
          </w:p>
        </w:tc>
        <w:tc>
          <w:tcPr>
            <w:tcW w:type="dxa" w:w="1068"/>
            <w:tcBorders/>
            <w:tcMar>
              <w:start w:w="0" w:type="dxa"/>
              <w:end w:w="0" w:type="dxa"/>
            </w:tcMar>
          </w:tcPr>
          <w:p>
            <w:pPr>
              <w:autoSpaceDN w:val="0"/>
              <w:autoSpaceDE w:val="0"/>
              <w:widowControl/>
              <w:spacing w:line="152" w:lineRule="exact" w:before="40" w:after="0"/>
              <w:ind w:left="0" w:right="0" w:firstLine="0"/>
              <w:jc w:val="center"/>
            </w:pPr>
            <w:r>
              <w:rPr>
                <w:rFonts w:ascii="黑体" w:hAnsi="黑体" w:eastAsia="黑体"/>
                <w:b w:val="0"/>
                <w:i w:val="0"/>
                <w:color w:val="000000"/>
                <w:sz w:val="15"/>
              </w:rPr>
              <w:t>计入当期损益的</w:t>
            </w:r>
          </w:p>
        </w:tc>
        <w:tc>
          <w:tcPr>
            <w:tcW w:type="dxa" w:w="1289"/>
            <w:vMerge/>
            <w:tcBorders>
              <w:top w:sz="4.0" w:val="single" w:color="#000000"/>
            </w:tcBorders>
          </w:tcPr>
          <w:p/>
        </w:tc>
      </w:tr>
      <w:tr>
        <w:trPr>
          <w:trHeight w:hRule="exact" w:val="2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152" w:lineRule="exact" w:before="34" w:after="0"/>
              <w:ind w:left="0" w:right="0" w:firstLine="0"/>
              <w:jc w:val="right"/>
            </w:pPr>
            <w:r>
              <w:rPr>
                <w:rFonts w:ascii="黑体" w:hAnsi="黑体" w:eastAsia="黑体"/>
                <w:b w:val="0"/>
                <w:i w:val="0"/>
                <w:color w:val="000000"/>
                <w:sz w:val="15"/>
              </w:rPr>
              <w:t>金融资产</w:t>
            </w:r>
          </w:p>
        </w:tc>
        <w:tc>
          <w:tcPr>
            <w:tcW w:type="dxa" w:w="1190"/>
            <w:tcBorders/>
            <w:tcMar>
              <w:start w:w="0" w:type="dxa"/>
              <w:end w:w="0" w:type="dxa"/>
            </w:tcMar>
          </w:tcPr>
          <w:p>
            <w:pPr>
              <w:autoSpaceDN w:val="0"/>
              <w:autoSpaceDE w:val="0"/>
              <w:widowControl/>
              <w:spacing w:line="152" w:lineRule="exact" w:before="34" w:after="0"/>
              <w:ind w:left="0" w:right="0" w:firstLine="0"/>
              <w:jc w:val="right"/>
            </w:pPr>
            <w:r>
              <w:rPr>
                <w:rFonts w:ascii="黑体" w:hAnsi="黑体" w:eastAsia="黑体"/>
                <w:b w:val="0"/>
                <w:i w:val="0"/>
                <w:color w:val="000000"/>
                <w:sz w:val="15"/>
              </w:rPr>
              <w:t>金融资产</w:t>
            </w:r>
          </w:p>
        </w:tc>
        <w:tc>
          <w:tcPr>
            <w:tcW w:type="dxa" w:w="1448"/>
            <w:tcBorders/>
            <w:tcMar>
              <w:start w:w="0" w:type="dxa"/>
              <w:end w:w="0" w:type="dxa"/>
            </w:tcMar>
          </w:tcPr>
          <w:p>
            <w:pPr>
              <w:autoSpaceDN w:val="0"/>
              <w:autoSpaceDE w:val="0"/>
              <w:widowControl/>
              <w:spacing w:line="152" w:lineRule="exact" w:before="34" w:after="0"/>
              <w:ind w:left="346" w:right="0" w:firstLine="0"/>
              <w:jc w:val="left"/>
            </w:pPr>
            <w:r>
              <w:rPr>
                <w:rFonts w:ascii="黑体" w:hAnsi="黑体" w:eastAsia="黑体"/>
                <w:b w:val="0"/>
                <w:i w:val="0"/>
                <w:color w:val="000000"/>
                <w:sz w:val="15"/>
              </w:rPr>
              <w:t>公允价值合计</w:t>
            </w:r>
          </w:p>
        </w:tc>
        <w:tc>
          <w:tcPr>
            <w:tcW w:type="dxa" w:w="1172"/>
            <w:tcBorders/>
            <w:tcMar>
              <w:start w:w="0" w:type="dxa"/>
              <w:end w:w="0" w:type="dxa"/>
            </w:tcMar>
          </w:tcPr>
          <w:p>
            <w:pPr>
              <w:autoSpaceDN w:val="0"/>
              <w:autoSpaceDE w:val="0"/>
              <w:widowControl/>
              <w:spacing w:line="152" w:lineRule="exact" w:before="34" w:after="0"/>
              <w:ind w:left="0" w:right="122" w:firstLine="0"/>
              <w:jc w:val="right"/>
            </w:pPr>
            <w:r>
              <w:rPr>
                <w:rFonts w:ascii="黑体" w:hAnsi="黑体" w:eastAsia="黑体"/>
                <w:b w:val="0"/>
                <w:i w:val="0"/>
                <w:color w:val="000000"/>
                <w:sz w:val="15"/>
              </w:rPr>
              <w:t>金融资产</w:t>
            </w:r>
          </w:p>
        </w:tc>
        <w:tc>
          <w:tcPr>
            <w:tcW w:type="dxa" w:w="1068"/>
            <w:tcBorders/>
            <w:tcMar>
              <w:start w:w="0" w:type="dxa"/>
              <w:end w:w="0" w:type="dxa"/>
            </w:tcMar>
          </w:tcPr>
          <w:p>
            <w:pPr>
              <w:autoSpaceDN w:val="0"/>
              <w:autoSpaceDE w:val="0"/>
              <w:widowControl/>
              <w:spacing w:line="152" w:lineRule="exact" w:before="34" w:after="0"/>
              <w:ind w:left="0" w:right="0" w:firstLine="0"/>
              <w:jc w:val="right"/>
            </w:pPr>
            <w:r>
              <w:rPr>
                <w:rFonts w:ascii="黑体" w:hAnsi="黑体" w:eastAsia="黑体"/>
                <w:b w:val="0"/>
                <w:i w:val="0"/>
                <w:color w:val="000000"/>
                <w:sz w:val="15"/>
              </w:rPr>
              <w:t>金融资产</w:t>
            </w:r>
          </w:p>
        </w:tc>
        <w:tc>
          <w:tcPr>
            <w:tcW w:type="dxa" w:w="1289"/>
            <w:vMerge/>
            <w:tcBorders>
              <w:top w:sz="4.0" w:val="single" w:color="#000000"/>
            </w:tcBorders>
          </w:tcPr>
          <w:p/>
        </w:tc>
      </w:tr>
      <w:tr>
        <w:trPr>
          <w:trHeight w:hRule="exact" w:val="280"/>
        </w:trPr>
        <w:tc>
          <w:tcPr>
            <w:tcW w:type="dxa" w:w="1289"/>
            <w:vMerge/>
            <w:tcBorders>
              <w:top w:sz="4.0" w:val="single" w:color="#000000"/>
            </w:tcBorders>
          </w:tcPr>
          <w:p/>
        </w:tc>
        <w:tc>
          <w:tcPr>
            <w:tcW w:type="dxa" w:w="1136"/>
            <w:tcBorders/>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24,700,045,872</w:t>
            </w:r>
          </w:p>
        </w:tc>
        <w:tc>
          <w:tcPr>
            <w:tcW w:type="dxa" w:w="1190"/>
            <w:tcBorders/>
            <w:tcMar>
              <w:start w:w="0" w:type="dxa"/>
              <w:end w:w="0" w:type="dxa"/>
            </w:tcMar>
          </w:tcPr>
          <w:p>
            <w:pPr>
              <w:autoSpaceDN w:val="0"/>
              <w:autoSpaceDE w:val="0"/>
              <w:widowControl/>
              <w:spacing w:line="230" w:lineRule="auto" w:before="102"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 xml:space="preserve">24,700,045,872  24,252,347,186 </w:t>
            </w:r>
          </w:p>
        </w:tc>
        <w:tc>
          <w:tcPr>
            <w:tcW w:type="dxa" w:w="1068"/>
            <w:tcBorders/>
            <w:tcMar>
              <w:start w:w="0" w:type="dxa"/>
              <w:end w:w="0" w:type="dxa"/>
            </w:tcMar>
          </w:tcPr>
          <w:p>
            <w:pPr>
              <w:autoSpaceDN w:val="0"/>
              <w:autoSpaceDE w:val="0"/>
              <w:widowControl/>
              <w:spacing w:line="230" w:lineRule="auto" w:before="102"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0" w:lineRule="auto" w:before="102" w:after="0"/>
              <w:ind w:left="0" w:right="0" w:firstLine="0"/>
              <w:jc w:val="center"/>
            </w:pPr>
            <w:r>
              <w:rPr>
                <w:rFonts w:ascii="Arial" w:hAnsi="Arial" w:eastAsia="Arial"/>
                <w:b w:val="0"/>
                <w:i w:val="0"/>
                <w:color w:val="000000"/>
                <w:sz w:val="16"/>
              </w:rPr>
              <w:t xml:space="preserve">24,252,347,186 </w:t>
            </w:r>
          </w:p>
        </w:tc>
      </w:tr>
      <w:tr>
        <w:trPr>
          <w:trHeight w:hRule="exact" w:val="211"/>
        </w:trPr>
        <w:tc>
          <w:tcPr>
            <w:tcW w:type="dxa" w:w="1246"/>
            <w:tcBorders/>
            <w:tcMar>
              <w:start w:w="0" w:type="dxa"/>
              <w:end w:w="0" w:type="dxa"/>
            </w:tcMar>
          </w:tcPr>
          <w:p>
            <w:pPr>
              <w:autoSpaceDN w:val="0"/>
              <w:autoSpaceDE w:val="0"/>
              <w:widowControl/>
              <w:spacing w:line="152" w:lineRule="exact" w:before="36" w:after="0"/>
              <w:ind w:left="198" w:right="0" w:firstLine="0"/>
              <w:jc w:val="left"/>
            </w:pPr>
            <w:r>
              <w:rPr>
                <w:rFonts w:ascii="黑体" w:hAnsi="黑体" w:eastAsia="黑体"/>
                <w:b w:val="0"/>
                <w:i w:val="0"/>
                <w:color w:val="000000"/>
                <w:sz w:val="15"/>
              </w:rPr>
              <w:t>基金</w:t>
            </w:r>
          </w:p>
        </w:tc>
        <w:tc>
          <w:tcPr>
            <w:tcW w:type="dxa" w:w="1136"/>
            <w:tcBorders/>
            <w:tcMar>
              <w:start w:w="0" w:type="dxa"/>
              <w:end w:w="0" w:type="dxa"/>
            </w:tcMar>
          </w:tcPr>
          <w:p>
            <w:pPr>
              <w:autoSpaceDN w:val="0"/>
              <w:autoSpaceDE w:val="0"/>
              <w:widowControl/>
              <w:spacing w:line="230" w:lineRule="auto" w:before="26" w:after="0"/>
              <w:ind w:left="112" w:right="0" w:firstLine="0"/>
              <w:jc w:val="left"/>
            </w:pPr>
            <w:r>
              <w:rPr>
                <w:rFonts w:ascii="Arial" w:hAnsi="Arial" w:eastAsia="Arial"/>
                <w:b w:val="0"/>
                <w:i w:val="0"/>
                <w:color w:val="000000"/>
                <w:sz w:val="16"/>
              </w:rPr>
              <w:t>7,856,068,243</w:t>
            </w:r>
          </w:p>
        </w:tc>
        <w:tc>
          <w:tcPr>
            <w:tcW w:type="dxa" w:w="119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0" w:lineRule="auto" w:before="26" w:after="0"/>
              <w:ind w:left="224" w:right="0" w:firstLine="0"/>
              <w:jc w:val="left"/>
            </w:pPr>
            <w:r>
              <w:rPr>
                <w:rFonts w:ascii="Arial" w:hAnsi="Arial" w:eastAsia="Arial"/>
                <w:b w:val="0"/>
                <w:i w:val="0"/>
                <w:color w:val="000000"/>
                <w:sz w:val="16"/>
              </w:rPr>
              <w:t xml:space="preserve">7,856,068,243  7,903,705,358 </w:t>
            </w:r>
          </w:p>
        </w:tc>
        <w:tc>
          <w:tcPr>
            <w:tcW w:type="dxa" w:w="1068"/>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0" w:lineRule="auto" w:before="26" w:after="0"/>
              <w:ind w:left="224" w:right="0" w:firstLine="0"/>
              <w:jc w:val="left"/>
            </w:pPr>
            <w:r>
              <w:rPr>
                <w:rFonts w:ascii="Arial" w:hAnsi="Arial" w:eastAsia="Arial"/>
                <w:b w:val="0"/>
                <w:i w:val="0"/>
                <w:color w:val="000000"/>
                <w:sz w:val="16"/>
              </w:rPr>
              <w:t xml:space="preserve">7,903,705,358 </w:t>
            </w:r>
          </w:p>
        </w:tc>
      </w:tr>
      <w:tr>
        <w:trPr>
          <w:trHeight w:hRule="exact" w:val="169"/>
        </w:trPr>
        <w:tc>
          <w:tcPr>
            <w:tcW w:type="dxa" w:w="1246"/>
            <w:tcBorders/>
            <w:tcMar>
              <w:start w:w="0" w:type="dxa"/>
              <w:end w:w="0" w:type="dxa"/>
            </w:tcMar>
          </w:tcPr>
          <w:p>
            <w:pPr>
              <w:autoSpaceDN w:val="0"/>
              <w:autoSpaceDE w:val="0"/>
              <w:widowControl/>
              <w:spacing w:line="152" w:lineRule="exact" w:before="16" w:after="0"/>
              <w:ind w:left="198" w:right="0" w:firstLine="0"/>
              <w:jc w:val="left"/>
            </w:pPr>
            <w:r>
              <w:rPr>
                <w:rFonts w:ascii="黑体" w:hAnsi="黑体" w:eastAsia="黑体"/>
                <w:b w:val="0"/>
                <w:i w:val="0"/>
                <w:color w:val="000000"/>
                <w:sz w:val="15"/>
              </w:rPr>
              <w:t>股票</w:t>
            </w:r>
          </w:p>
        </w:tc>
        <w:tc>
          <w:tcPr>
            <w:tcW w:type="dxa" w:w="1136"/>
            <w:tcBorders/>
            <w:tcMar>
              <w:start w:w="0" w:type="dxa"/>
              <w:end w:w="0" w:type="dxa"/>
            </w:tcMar>
          </w:tcPr>
          <w:p>
            <w:pPr>
              <w:autoSpaceDN w:val="0"/>
              <w:autoSpaceDE w:val="0"/>
              <w:widowControl/>
              <w:spacing w:line="233" w:lineRule="auto" w:before="0" w:after="0"/>
              <w:ind w:left="112" w:right="0" w:firstLine="0"/>
              <w:jc w:val="left"/>
            </w:pPr>
            <w:r>
              <w:rPr>
                <w:rFonts w:ascii="Arial" w:hAnsi="Arial" w:eastAsia="Arial"/>
                <w:b w:val="0"/>
                <w:i w:val="0"/>
                <w:color w:val="000000"/>
                <w:sz w:val="16"/>
              </w:rPr>
              <w:t>1,771,882,821</w:t>
            </w:r>
          </w:p>
        </w:tc>
        <w:tc>
          <w:tcPr>
            <w:tcW w:type="dxa" w:w="119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c>
          <w:tcPr>
            <w:tcW w:type="dxa" w:w="2620"/>
            <w:gridSpan w:val="2"/>
            <w:tcBorders/>
            <w:tcMar>
              <w:start w:w="0" w:type="dxa"/>
              <w:end w:w="0" w:type="dxa"/>
            </w:tcMar>
            <w:tcMar>
              <w:start w:w="0" w:type="dxa"/>
              <w:end w:w="0" w:type="dxa"/>
            </w:tcMar>
          </w:tcPr>
          <w:p>
            <w:pPr>
              <w:autoSpaceDN w:val="0"/>
              <w:autoSpaceDE w:val="0"/>
              <w:widowControl/>
              <w:spacing w:line="233" w:lineRule="auto" w:before="0" w:after="0"/>
              <w:ind w:left="224" w:right="0" w:firstLine="0"/>
              <w:jc w:val="left"/>
            </w:pPr>
            <w:r>
              <w:rPr>
                <w:rFonts w:ascii="Arial" w:hAnsi="Arial" w:eastAsia="Arial"/>
                <w:b w:val="0"/>
                <w:i w:val="0"/>
                <w:color w:val="000000"/>
                <w:sz w:val="16"/>
              </w:rPr>
              <w:t xml:space="preserve">1,771,882,821  1,538,659,736 </w:t>
            </w:r>
          </w:p>
        </w:tc>
        <w:tc>
          <w:tcPr>
            <w:tcW w:type="dxa" w:w="106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0" w:after="0"/>
              <w:ind w:left="224" w:right="0" w:firstLine="0"/>
              <w:jc w:val="left"/>
            </w:pPr>
            <w:r>
              <w:rPr>
                <w:rFonts w:ascii="Arial" w:hAnsi="Arial" w:eastAsia="Arial"/>
                <w:b w:val="0"/>
                <w:i w:val="0"/>
                <w:color w:val="000000"/>
                <w:sz w:val="16"/>
              </w:rPr>
              <w:t xml:space="preserve">1,538,659,736 </w:t>
            </w:r>
          </w:p>
        </w:tc>
      </w:tr>
      <w:tr>
        <w:trPr>
          <w:trHeight w:hRule="exact" w:val="200"/>
        </w:trPr>
        <w:tc>
          <w:tcPr>
            <w:tcW w:type="dxa" w:w="1246"/>
            <w:tcBorders/>
            <w:tcMar>
              <w:start w:w="0" w:type="dxa"/>
              <w:end w:w="0" w:type="dxa"/>
            </w:tcMar>
          </w:tcPr>
          <w:p>
            <w:pPr>
              <w:autoSpaceDN w:val="0"/>
              <w:autoSpaceDE w:val="0"/>
              <w:widowControl/>
              <w:spacing w:line="150" w:lineRule="exact" w:before="46" w:after="0"/>
              <w:ind w:left="198" w:right="0" w:firstLine="0"/>
              <w:jc w:val="left"/>
            </w:pPr>
            <w:r>
              <w:rPr>
                <w:rFonts w:ascii="黑体" w:hAnsi="黑体" w:eastAsia="黑体"/>
                <w:b w:val="0"/>
                <w:i w:val="0"/>
                <w:color w:val="000000"/>
                <w:sz w:val="15"/>
              </w:rPr>
              <w:t>股权</w:t>
            </w:r>
          </w:p>
        </w:tc>
        <w:tc>
          <w:tcPr>
            <w:tcW w:type="dxa" w:w="1136"/>
            <w:tcBorders/>
            <w:tcMar>
              <w:start w:w="0" w:type="dxa"/>
              <w:end w:w="0" w:type="dxa"/>
            </w:tcMar>
          </w:tcPr>
          <w:p>
            <w:pPr>
              <w:autoSpaceDN w:val="0"/>
              <w:autoSpaceDE w:val="0"/>
              <w:widowControl/>
              <w:spacing w:line="233" w:lineRule="auto" w:before="20" w:after="0"/>
              <w:ind w:left="112" w:right="0" w:firstLine="0"/>
              <w:jc w:val="left"/>
            </w:pPr>
            <w:r>
              <w:rPr>
                <w:rFonts w:ascii="Arial" w:hAnsi="Arial" w:eastAsia="Arial"/>
                <w:b w:val="0"/>
                <w:i w:val="0"/>
                <w:color w:val="000000"/>
                <w:sz w:val="16"/>
              </w:rPr>
              <w:t>1,269,237,425</w:t>
            </w:r>
          </w:p>
        </w:tc>
        <w:tc>
          <w:tcPr>
            <w:tcW w:type="dxa" w:w="119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1,269,237,425 </w:t>
            </w:r>
          </w:p>
        </w:tc>
        <w:tc>
          <w:tcPr>
            <w:tcW w:type="dxa" w:w="1172"/>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903,293,052 </w:t>
            </w:r>
          </w:p>
        </w:tc>
        <w:tc>
          <w:tcPr>
            <w:tcW w:type="dxa" w:w="1068"/>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20" w:after="0"/>
              <w:ind w:left="0" w:right="72" w:firstLine="0"/>
              <w:jc w:val="right"/>
            </w:pPr>
            <w:r>
              <w:rPr>
                <w:rFonts w:ascii="Arial" w:hAnsi="Arial" w:eastAsia="Arial"/>
                <w:b w:val="0"/>
                <w:i w:val="0"/>
                <w:color w:val="000000"/>
                <w:sz w:val="16"/>
              </w:rPr>
              <w:t xml:space="preserve">903,293,052 </w:t>
            </w:r>
          </w:p>
        </w:tc>
      </w:tr>
      <w:tr>
        <w:trPr>
          <w:trHeight w:hRule="exact" w:val="215"/>
        </w:trPr>
        <w:tc>
          <w:tcPr>
            <w:tcW w:type="dxa" w:w="1246"/>
            <w:tcBorders/>
            <w:tcMar>
              <w:start w:w="0" w:type="dxa"/>
              <w:end w:w="0" w:type="dxa"/>
            </w:tcMar>
          </w:tcPr>
          <w:p>
            <w:pPr>
              <w:autoSpaceDN w:val="0"/>
              <w:autoSpaceDE w:val="0"/>
              <w:widowControl/>
              <w:spacing w:line="150" w:lineRule="exact" w:before="40" w:after="0"/>
              <w:ind w:left="198" w:right="0" w:firstLine="0"/>
              <w:jc w:val="left"/>
            </w:pPr>
            <w:r>
              <w:rPr>
                <w:rFonts w:ascii="黑体" w:hAnsi="黑体" w:eastAsia="黑体"/>
                <w:b w:val="0"/>
                <w:i w:val="0"/>
                <w:color w:val="000000"/>
                <w:sz w:val="15"/>
              </w:rPr>
              <w:t>理财产品</w:t>
            </w:r>
          </w:p>
        </w:tc>
        <w:tc>
          <w:tcPr>
            <w:tcW w:type="dxa" w:w="1136"/>
            <w:tcBorders/>
            <w:tcMar>
              <w:start w:w="0" w:type="dxa"/>
              <w:end w:w="0" w:type="dxa"/>
            </w:tcMar>
          </w:tcPr>
          <w:p>
            <w:pPr>
              <w:autoSpaceDN w:val="0"/>
              <w:autoSpaceDE w:val="0"/>
              <w:widowControl/>
              <w:spacing w:line="233" w:lineRule="auto" w:before="28" w:after="0"/>
              <w:ind w:left="244" w:right="0" w:firstLine="0"/>
              <w:jc w:val="left"/>
            </w:pPr>
            <w:r>
              <w:rPr>
                <w:rFonts w:ascii="Arial" w:hAnsi="Arial" w:eastAsia="Arial"/>
                <w:b w:val="0"/>
                <w:i w:val="0"/>
                <w:color w:val="000000"/>
                <w:sz w:val="16"/>
              </w:rPr>
              <w:t>706,535,773</w:t>
            </w:r>
          </w:p>
        </w:tc>
        <w:tc>
          <w:tcPr>
            <w:tcW w:type="dxa" w:w="119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28" w:after="0"/>
              <w:ind w:left="356" w:right="0" w:firstLine="0"/>
              <w:jc w:val="left"/>
            </w:pPr>
            <w:r>
              <w:rPr>
                <w:rFonts w:ascii="Arial" w:hAnsi="Arial" w:eastAsia="Arial"/>
                <w:b w:val="0"/>
                <w:i w:val="0"/>
                <w:color w:val="000000"/>
                <w:sz w:val="16"/>
              </w:rPr>
              <w:t xml:space="preserve">706,535,773 </w:t>
            </w:r>
          </w:p>
        </w:tc>
        <w:tc>
          <w:tcPr>
            <w:tcW w:type="dxa" w:w="1172"/>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6"/>
              </w:rPr>
              <w:t xml:space="preserve">706,040,928 </w:t>
            </w:r>
          </w:p>
        </w:tc>
        <w:tc>
          <w:tcPr>
            <w:tcW w:type="dxa" w:w="1068"/>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28" w:after="0"/>
              <w:ind w:left="0" w:right="72" w:firstLine="0"/>
              <w:jc w:val="right"/>
            </w:pPr>
            <w:r>
              <w:rPr>
                <w:rFonts w:ascii="Arial" w:hAnsi="Arial" w:eastAsia="Arial"/>
                <w:b w:val="0"/>
                <w:i w:val="0"/>
                <w:color w:val="000000"/>
                <w:sz w:val="16"/>
              </w:rPr>
              <w:t xml:space="preserve">706,040,928 </w:t>
            </w:r>
          </w:p>
        </w:tc>
      </w:tr>
      <w:tr>
        <w:trPr>
          <w:trHeight w:hRule="exact" w:val="196"/>
        </w:trPr>
        <w:tc>
          <w:tcPr>
            <w:tcW w:type="dxa" w:w="1246"/>
            <w:tcBorders/>
            <w:tcMar>
              <w:start w:w="0" w:type="dxa"/>
              <w:end w:w="0" w:type="dxa"/>
            </w:tcMar>
          </w:tcPr>
          <w:p>
            <w:pPr>
              <w:autoSpaceDN w:val="0"/>
              <w:autoSpaceDE w:val="0"/>
              <w:widowControl/>
              <w:spacing w:line="152" w:lineRule="exact" w:before="20" w:after="0"/>
              <w:ind w:left="0" w:right="0" w:firstLine="0"/>
              <w:jc w:val="center"/>
            </w:pPr>
            <w:r>
              <w:rPr>
                <w:rFonts w:ascii="黑体" w:hAnsi="黑体" w:eastAsia="黑体"/>
                <w:b w:val="0"/>
                <w:i w:val="0"/>
                <w:color w:val="000000"/>
                <w:sz w:val="15"/>
              </w:rPr>
              <w:t>资产管理计划</w:t>
            </w:r>
          </w:p>
        </w:tc>
        <w:tc>
          <w:tcPr>
            <w:tcW w:type="dxa" w:w="1136"/>
            <w:tcBorders/>
            <w:tcMar>
              <w:start w:w="0" w:type="dxa"/>
              <w:end w:w="0" w:type="dxa"/>
            </w:tcMar>
          </w:tcPr>
          <w:p>
            <w:pPr>
              <w:autoSpaceDN w:val="0"/>
              <w:autoSpaceDE w:val="0"/>
              <w:widowControl/>
              <w:spacing w:line="230" w:lineRule="auto" w:before="10" w:after="0"/>
              <w:ind w:left="244" w:right="0" w:firstLine="0"/>
              <w:jc w:val="left"/>
            </w:pPr>
            <w:r>
              <w:rPr>
                <w:rFonts w:ascii="Arial" w:hAnsi="Arial" w:eastAsia="Arial"/>
                <w:b w:val="0"/>
                <w:i w:val="0"/>
                <w:color w:val="000000"/>
                <w:sz w:val="16"/>
              </w:rPr>
              <w:t>164,105,373</w:t>
            </w:r>
          </w:p>
        </w:tc>
        <w:tc>
          <w:tcPr>
            <w:tcW w:type="dxa" w:w="1190"/>
            <w:tcBorders/>
            <w:tcMar>
              <w:start w:w="0" w:type="dxa"/>
              <w:end w:w="0" w:type="dxa"/>
            </w:tcMar>
          </w:tcPr>
          <w:p>
            <w:pPr>
              <w:autoSpaceDN w:val="0"/>
              <w:autoSpaceDE w:val="0"/>
              <w:widowControl/>
              <w:spacing w:line="230" w:lineRule="auto" w:before="1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0" w:lineRule="auto" w:before="10" w:after="0"/>
              <w:ind w:left="356" w:right="0" w:firstLine="0"/>
              <w:jc w:val="left"/>
            </w:pPr>
            <w:r>
              <w:rPr>
                <w:rFonts w:ascii="Arial" w:hAnsi="Arial" w:eastAsia="Arial"/>
                <w:b w:val="0"/>
                <w:i w:val="0"/>
                <w:color w:val="000000"/>
                <w:sz w:val="16"/>
              </w:rPr>
              <w:t xml:space="preserve">164,105,373 </w:t>
            </w:r>
          </w:p>
        </w:tc>
        <w:tc>
          <w:tcPr>
            <w:tcW w:type="dxa" w:w="1172"/>
            <w:tcBorders/>
            <w:tcMar>
              <w:start w:w="0" w:type="dxa"/>
              <w:end w:w="0" w:type="dxa"/>
            </w:tcMar>
          </w:tcPr>
          <w:p>
            <w:pPr>
              <w:autoSpaceDN w:val="0"/>
              <w:autoSpaceDE w:val="0"/>
              <w:widowControl/>
              <w:spacing w:line="230" w:lineRule="auto" w:before="10" w:after="0"/>
              <w:ind w:left="0" w:right="0" w:firstLine="0"/>
              <w:jc w:val="center"/>
            </w:pPr>
            <w:r>
              <w:rPr>
                <w:rFonts w:ascii="Arial" w:hAnsi="Arial" w:eastAsia="Arial"/>
                <w:b w:val="0"/>
                <w:i w:val="0"/>
                <w:color w:val="000000"/>
                <w:sz w:val="16"/>
              </w:rPr>
              <w:t xml:space="preserve">290,772,894 </w:t>
            </w:r>
          </w:p>
        </w:tc>
        <w:tc>
          <w:tcPr>
            <w:tcW w:type="dxa" w:w="1068"/>
            <w:tcBorders/>
            <w:tcMar>
              <w:start w:w="0" w:type="dxa"/>
              <w:end w:w="0" w:type="dxa"/>
            </w:tcMar>
          </w:tcPr>
          <w:p>
            <w:pPr>
              <w:autoSpaceDN w:val="0"/>
              <w:autoSpaceDE w:val="0"/>
              <w:widowControl/>
              <w:spacing w:line="230" w:lineRule="auto" w:before="10"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0" w:lineRule="auto" w:before="10" w:after="0"/>
              <w:ind w:left="0" w:right="72" w:firstLine="0"/>
              <w:jc w:val="right"/>
            </w:pPr>
            <w:r>
              <w:rPr>
                <w:rFonts w:ascii="Arial" w:hAnsi="Arial" w:eastAsia="Arial"/>
                <w:b w:val="0"/>
                <w:i w:val="0"/>
                <w:color w:val="000000"/>
                <w:sz w:val="16"/>
              </w:rPr>
              <w:t xml:space="preserve">290,772,894 </w:t>
            </w:r>
          </w:p>
        </w:tc>
      </w:tr>
      <w:tr>
        <w:trPr>
          <w:trHeight w:hRule="exact" w:val="169"/>
        </w:trPr>
        <w:tc>
          <w:tcPr>
            <w:tcW w:type="dxa" w:w="1246"/>
            <w:tcBorders/>
            <w:tcMar>
              <w:start w:w="0" w:type="dxa"/>
              <w:end w:w="0" w:type="dxa"/>
            </w:tcMar>
          </w:tcPr>
          <w:p>
            <w:pPr>
              <w:autoSpaceDN w:val="0"/>
              <w:autoSpaceDE w:val="0"/>
              <w:widowControl/>
              <w:spacing w:line="152" w:lineRule="exact" w:before="16" w:after="0"/>
              <w:ind w:left="198" w:right="0" w:firstLine="0"/>
              <w:jc w:val="left"/>
            </w:pPr>
            <w:r>
              <w:rPr>
                <w:rFonts w:ascii="黑体" w:hAnsi="黑体" w:eastAsia="黑体"/>
                <w:b w:val="0"/>
                <w:i w:val="0"/>
                <w:color w:val="000000"/>
                <w:sz w:val="15"/>
              </w:rPr>
              <w:t>债权</w:t>
            </w:r>
          </w:p>
        </w:tc>
        <w:tc>
          <w:tcPr>
            <w:tcW w:type="dxa" w:w="1136"/>
            <w:tcBorders/>
            <w:tcMar>
              <w:start w:w="0" w:type="dxa"/>
              <w:end w:w="0" w:type="dxa"/>
            </w:tcMar>
          </w:tcPr>
          <w:p>
            <w:pPr>
              <w:autoSpaceDN w:val="0"/>
              <w:autoSpaceDE w:val="0"/>
              <w:widowControl/>
              <w:spacing w:line="233" w:lineRule="auto" w:before="0" w:after="0"/>
              <w:ind w:left="244" w:right="0" w:firstLine="0"/>
              <w:jc w:val="left"/>
            </w:pPr>
            <w:r>
              <w:rPr>
                <w:rFonts w:ascii="Arial" w:hAnsi="Arial" w:eastAsia="Arial"/>
                <w:b w:val="0"/>
                <w:i w:val="0"/>
                <w:color w:val="000000"/>
                <w:sz w:val="16"/>
              </w:rPr>
              <w:t>169,796,786</w:t>
            </w:r>
          </w:p>
        </w:tc>
        <w:tc>
          <w:tcPr>
            <w:tcW w:type="dxa" w:w="119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0" w:after="0"/>
              <w:ind w:left="356" w:right="0" w:firstLine="0"/>
              <w:jc w:val="left"/>
            </w:pPr>
            <w:r>
              <w:rPr>
                <w:rFonts w:ascii="Arial" w:hAnsi="Arial" w:eastAsia="Arial"/>
                <w:b w:val="0"/>
                <w:i w:val="0"/>
                <w:color w:val="000000"/>
                <w:sz w:val="16"/>
              </w:rPr>
              <w:t xml:space="preserve">169,796,786 </w:t>
            </w:r>
          </w:p>
        </w:tc>
        <w:tc>
          <w:tcPr>
            <w:tcW w:type="dxa" w:w="1172"/>
            <w:tcBorders/>
            <w:tcMar>
              <w:start w:w="0" w:type="dxa"/>
              <w:end w:w="0" w:type="dxa"/>
            </w:tcMar>
          </w:tcPr>
          <w:p>
            <w:pPr>
              <w:autoSpaceDN w:val="0"/>
              <w:autoSpaceDE w:val="0"/>
              <w:widowControl/>
              <w:spacing w:line="233" w:lineRule="auto" w:before="0" w:after="0"/>
              <w:ind w:left="0" w:right="0" w:firstLine="0"/>
              <w:jc w:val="center"/>
            </w:pPr>
            <w:r>
              <w:rPr>
                <w:rFonts w:ascii="Arial" w:hAnsi="Arial" w:eastAsia="Arial"/>
                <w:b w:val="0"/>
                <w:i w:val="0"/>
                <w:color w:val="000000"/>
                <w:sz w:val="16"/>
              </w:rPr>
              <w:t xml:space="preserve">196,274,286 </w:t>
            </w:r>
          </w:p>
        </w:tc>
        <w:tc>
          <w:tcPr>
            <w:tcW w:type="dxa" w:w="106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6"/>
              </w:rPr>
              <w:t xml:space="preserve">196,274,286 </w:t>
            </w:r>
          </w:p>
        </w:tc>
      </w:tr>
      <w:tr>
        <w:trPr>
          <w:trHeight w:hRule="exact" w:val="200"/>
        </w:trPr>
        <w:tc>
          <w:tcPr>
            <w:tcW w:type="dxa" w:w="1246"/>
            <w:tcBorders/>
            <w:tcMar>
              <w:start w:w="0" w:type="dxa"/>
              <w:end w:w="0" w:type="dxa"/>
            </w:tcMar>
          </w:tcPr>
          <w:p>
            <w:pPr>
              <w:autoSpaceDN w:val="0"/>
              <w:autoSpaceDE w:val="0"/>
              <w:widowControl/>
              <w:spacing w:line="152" w:lineRule="exact" w:before="42" w:after="0"/>
              <w:ind w:left="198" w:right="0" w:firstLine="0"/>
              <w:jc w:val="left"/>
            </w:pPr>
            <w:r>
              <w:rPr>
                <w:rFonts w:ascii="黑体" w:hAnsi="黑体" w:eastAsia="黑体"/>
                <w:b w:val="0"/>
                <w:i w:val="0"/>
                <w:color w:val="000000"/>
                <w:sz w:val="15"/>
              </w:rPr>
              <w:t>信托</w:t>
            </w:r>
          </w:p>
        </w:tc>
        <w:tc>
          <w:tcPr>
            <w:tcW w:type="dxa" w:w="1136"/>
            <w:tcBorders/>
            <w:tcMar>
              <w:start w:w="0" w:type="dxa"/>
              <w:end w:w="0" w:type="dxa"/>
            </w:tcMar>
          </w:tcPr>
          <w:p>
            <w:pPr>
              <w:autoSpaceDN w:val="0"/>
              <w:autoSpaceDE w:val="0"/>
              <w:widowControl/>
              <w:spacing w:line="233" w:lineRule="auto" w:before="20" w:after="0"/>
              <w:ind w:left="244" w:right="0" w:firstLine="0"/>
              <w:jc w:val="left"/>
            </w:pPr>
            <w:r>
              <w:rPr>
                <w:rFonts w:ascii="Arial" w:hAnsi="Arial" w:eastAsia="Arial"/>
                <w:b w:val="0"/>
                <w:i w:val="0"/>
                <w:color w:val="000000"/>
                <w:sz w:val="16"/>
              </w:rPr>
              <w:t>275,720,050</w:t>
            </w:r>
          </w:p>
        </w:tc>
        <w:tc>
          <w:tcPr>
            <w:tcW w:type="dxa" w:w="119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20" w:after="0"/>
              <w:ind w:left="356" w:right="0" w:firstLine="0"/>
              <w:jc w:val="left"/>
            </w:pPr>
            <w:r>
              <w:rPr>
                <w:rFonts w:ascii="Arial" w:hAnsi="Arial" w:eastAsia="Arial"/>
                <w:b w:val="0"/>
                <w:i w:val="0"/>
                <w:color w:val="000000"/>
                <w:sz w:val="16"/>
              </w:rPr>
              <w:t xml:space="preserve">275,720,050 </w:t>
            </w:r>
          </w:p>
        </w:tc>
        <w:tc>
          <w:tcPr>
            <w:tcW w:type="dxa" w:w="1172"/>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273,897,296 </w:t>
            </w:r>
          </w:p>
        </w:tc>
        <w:tc>
          <w:tcPr>
            <w:tcW w:type="dxa" w:w="1068"/>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20" w:after="0"/>
              <w:ind w:left="0" w:right="72" w:firstLine="0"/>
              <w:jc w:val="right"/>
            </w:pPr>
            <w:r>
              <w:rPr>
                <w:rFonts w:ascii="Arial" w:hAnsi="Arial" w:eastAsia="Arial"/>
                <w:b w:val="0"/>
                <w:i w:val="0"/>
                <w:color w:val="000000"/>
                <w:sz w:val="16"/>
              </w:rPr>
              <w:t xml:space="preserve">273,897,296 </w:t>
            </w:r>
          </w:p>
        </w:tc>
      </w:tr>
      <w:tr>
        <w:trPr>
          <w:trHeight w:hRule="exact" w:val="215"/>
        </w:trPr>
        <w:tc>
          <w:tcPr>
            <w:tcW w:type="dxa" w:w="1246"/>
            <w:tcBorders/>
            <w:tcMar>
              <w:start w:w="0" w:type="dxa"/>
              <w:end w:w="0" w:type="dxa"/>
            </w:tcMar>
          </w:tcPr>
          <w:p>
            <w:pPr>
              <w:autoSpaceDN w:val="0"/>
              <w:autoSpaceDE w:val="0"/>
              <w:widowControl/>
              <w:spacing w:line="150" w:lineRule="exact" w:before="38" w:after="0"/>
              <w:ind w:left="198" w:right="0" w:firstLine="0"/>
              <w:jc w:val="left"/>
            </w:pPr>
            <w:r>
              <w:rPr>
                <w:rFonts w:ascii="黑体" w:hAnsi="黑体" w:eastAsia="黑体"/>
                <w:b w:val="0"/>
                <w:i w:val="0"/>
                <w:color w:val="000000"/>
                <w:sz w:val="15"/>
              </w:rPr>
              <w:t>收益权</w:t>
            </w:r>
          </w:p>
        </w:tc>
        <w:tc>
          <w:tcPr>
            <w:tcW w:type="dxa" w:w="1136"/>
            <w:tcBorders/>
            <w:tcMar>
              <w:start w:w="0" w:type="dxa"/>
              <w:end w:w="0" w:type="dxa"/>
            </w:tcMar>
          </w:tcPr>
          <w:p>
            <w:pPr>
              <w:autoSpaceDN w:val="0"/>
              <w:autoSpaceDE w:val="0"/>
              <w:widowControl/>
              <w:spacing w:line="233" w:lineRule="auto" w:before="28" w:after="0"/>
              <w:ind w:left="0" w:right="2" w:firstLine="0"/>
              <w:jc w:val="right"/>
            </w:pPr>
            <w:r>
              <w:rPr>
                <w:rFonts w:ascii="Arial" w:hAnsi="Arial" w:eastAsia="Arial"/>
                <w:b w:val="0"/>
                <w:i w:val="0"/>
                <w:color w:val="000000"/>
                <w:sz w:val="16"/>
              </w:rPr>
              <w:t>-</w:t>
            </w:r>
          </w:p>
        </w:tc>
        <w:tc>
          <w:tcPr>
            <w:tcW w:type="dxa" w:w="119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448"/>
            <w:tcBorders/>
            <w:tcMar>
              <w:start w:w="0" w:type="dxa"/>
              <w:end w:w="0" w:type="dxa"/>
            </w:tcMar>
          </w:tcPr>
          <w:p>
            <w:pPr>
              <w:autoSpaceDN w:val="0"/>
              <w:autoSpaceDE w:val="0"/>
              <w:widowControl/>
              <w:spacing w:line="233" w:lineRule="auto" w:before="28" w:after="0"/>
              <w:ind w:left="0" w:right="156" w:firstLine="0"/>
              <w:jc w:val="right"/>
            </w:pPr>
            <w:r>
              <w:rPr>
                <w:rFonts w:ascii="Arial" w:hAnsi="Arial" w:eastAsia="Arial"/>
                <w:b w:val="0"/>
                <w:i w:val="0"/>
                <w:color w:val="000000"/>
                <w:sz w:val="16"/>
              </w:rPr>
              <w:t xml:space="preserve">- </w:t>
            </w:r>
          </w:p>
        </w:tc>
        <w:tc>
          <w:tcPr>
            <w:tcW w:type="dxa" w:w="1172"/>
            <w:tcBorders/>
            <w:tcMar>
              <w:start w:w="0" w:type="dxa"/>
              <w:end w:w="0" w:type="dxa"/>
            </w:tcMar>
          </w:tcPr>
          <w:p>
            <w:pPr>
              <w:autoSpaceDN w:val="0"/>
              <w:autoSpaceDE w:val="0"/>
              <w:widowControl/>
              <w:spacing w:line="233" w:lineRule="auto" w:before="28" w:after="0"/>
              <w:ind w:left="246" w:right="0" w:firstLine="0"/>
              <w:jc w:val="left"/>
            </w:pPr>
            <w:r>
              <w:rPr>
                <w:rFonts w:ascii="Arial" w:hAnsi="Arial" w:eastAsia="Arial"/>
                <w:b w:val="0"/>
                <w:i w:val="0"/>
                <w:color w:val="000000"/>
                <w:sz w:val="16"/>
              </w:rPr>
              <w:t xml:space="preserve">37,963,140 </w:t>
            </w:r>
          </w:p>
        </w:tc>
        <w:tc>
          <w:tcPr>
            <w:tcW w:type="dxa" w:w="1068"/>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6"/>
              </w:rPr>
              <w:t>-</w:t>
            </w:r>
          </w:p>
        </w:tc>
        <w:tc>
          <w:tcPr>
            <w:tcW w:type="dxa" w:w="1362"/>
            <w:tcBorders/>
            <w:tcMar>
              <w:start w:w="0" w:type="dxa"/>
              <w:end w:w="0" w:type="dxa"/>
            </w:tcMar>
          </w:tcPr>
          <w:p>
            <w:pPr>
              <w:autoSpaceDN w:val="0"/>
              <w:autoSpaceDE w:val="0"/>
              <w:widowControl/>
              <w:spacing w:line="233" w:lineRule="auto" w:before="28" w:after="0"/>
              <w:ind w:left="0" w:right="72" w:firstLine="0"/>
              <w:jc w:val="right"/>
            </w:pPr>
            <w:r>
              <w:rPr>
                <w:rFonts w:ascii="Arial" w:hAnsi="Arial" w:eastAsia="Arial"/>
                <w:b w:val="0"/>
                <w:i w:val="0"/>
                <w:color w:val="000000"/>
                <w:sz w:val="16"/>
              </w:rPr>
              <w:t xml:space="preserve">37,963,140 </w:t>
            </w:r>
          </w:p>
        </w:tc>
      </w:tr>
      <w:tr>
        <w:trPr>
          <w:trHeight w:hRule="exact" w:val="195"/>
        </w:trPr>
        <w:tc>
          <w:tcPr>
            <w:tcW w:type="dxa" w:w="1246"/>
            <w:tcBorders>
              <w:bottom w:sz="4.0" w:val="single" w:color="#000000"/>
            </w:tcBorders>
            <w:tcMar>
              <w:start w:w="0" w:type="dxa"/>
              <w:end w:w="0" w:type="dxa"/>
            </w:tcMar>
          </w:tcPr>
          <w:p>
            <w:pPr>
              <w:autoSpaceDN w:val="0"/>
              <w:autoSpaceDE w:val="0"/>
              <w:widowControl/>
              <w:spacing w:line="150" w:lineRule="exact" w:before="18" w:after="0"/>
              <w:ind w:left="198" w:right="0" w:firstLine="0"/>
              <w:jc w:val="left"/>
            </w:pPr>
            <w:r>
              <w:rPr>
                <w:rFonts w:ascii="黑体" w:hAnsi="黑体" w:eastAsia="黑体"/>
                <w:b w:val="0"/>
                <w:i w:val="0"/>
                <w:color w:val="000000"/>
                <w:sz w:val="15"/>
              </w:rPr>
              <w:t>其他</w:t>
            </w:r>
          </w:p>
        </w:tc>
        <w:tc>
          <w:tcPr>
            <w:tcW w:type="dxa" w:w="1136"/>
            <w:tcBorders>
              <w:bottom w:sz="4.0" w:val="single" w:color="#000000"/>
            </w:tcBorders>
            <w:tcMar>
              <w:start w:w="0" w:type="dxa"/>
              <w:end w:w="0" w:type="dxa"/>
            </w:tcMar>
          </w:tcPr>
          <w:p>
            <w:pPr>
              <w:autoSpaceDN w:val="0"/>
              <w:autoSpaceDE w:val="0"/>
              <w:widowControl/>
              <w:spacing w:line="230" w:lineRule="auto" w:before="10" w:after="0"/>
              <w:ind w:left="0" w:right="2" w:firstLine="0"/>
              <w:jc w:val="right"/>
            </w:pPr>
            <w:r>
              <w:rPr>
                <w:rFonts w:ascii="Arial" w:hAnsi="Arial" w:eastAsia="Arial"/>
                <w:b w:val="0"/>
                <w:i w:val="0"/>
                <w:color w:val="000000"/>
                <w:sz w:val="16"/>
              </w:rPr>
              <w:t>8,721,958</w:t>
            </w:r>
          </w:p>
        </w:tc>
        <w:tc>
          <w:tcPr>
            <w:tcW w:type="dxa" w:w="1190"/>
            <w:tcBorders>
              <w:bottom w:sz="4.0" w:val="single" w:color="#000000"/>
            </w:tcBorders>
            <w:tcMar>
              <w:start w:w="0" w:type="dxa"/>
              <w:end w:w="0" w:type="dxa"/>
            </w:tcMar>
          </w:tcPr>
          <w:p>
            <w:pPr>
              <w:autoSpaceDN w:val="0"/>
              <w:autoSpaceDE w:val="0"/>
              <w:widowControl/>
              <w:spacing w:line="230" w:lineRule="auto" w:before="10" w:after="0"/>
              <w:ind w:left="0" w:right="0" w:firstLine="0"/>
              <w:jc w:val="right"/>
            </w:pPr>
            <w:r>
              <w:rPr>
                <w:rFonts w:ascii="Arial" w:hAnsi="Arial" w:eastAsia="Arial"/>
                <w:b w:val="0"/>
                <w:i w:val="0"/>
                <w:color w:val="000000"/>
                <w:sz w:val="16"/>
              </w:rPr>
              <w:t>-</w:t>
            </w:r>
          </w:p>
        </w:tc>
        <w:tc>
          <w:tcPr>
            <w:tcW w:type="dxa" w:w="1448"/>
            <w:tcBorders>
              <w:bottom w:sz="4.0" w:val="single" w:color="#000000"/>
            </w:tcBorders>
            <w:tcMar>
              <w:start w:w="0" w:type="dxa"/>
              <w:end w:w="0" w:type="dxa"/>
            </w:tcMar>
          </w:tcPr>
          <w:p>
            <w:pPr>
              <w:autoSpaceDN w:val="0"/>
              <w:autoSpaceDE w:val="0"/>
              <w:widowControl/>
              <w:spacing w:line="230" w:lineRule="auto" w:before="10" w:after="0"/>
              <w:ind w:left="0" w:right="156" w:firstLine="0"/>
              <w:jc w:val="right"/>
            </w:pPr>
            <w:r>
              <w:rPr>
                <w:rFonts w:ascii="Arial" w:hAnsi="Arial" w:eastAsia="Arial"/>
                <w:b w:val="0"/>
                <w:i w:val="0"/>
                <w:color w:val="000000"/>
                <w:sz w:val="16"/>
              </w:rPr>
              <w:t xml:space="preserve">8,721,958 </w:t>
            </w:r>
          </w:p>
        </w:tc>
        <w:tc>
          <w:tcPr>
            <w:tcW w:type="dxa" w:w="1172"/>
            <w:tcBorders>
              <w:bottom w:sz="4.0" w:val="single" w:color="#000000"/>
            </w:tcBorders>
            <w:tcMar>
              <w:start w:w="0" w:type="dxa"/>
              <w:end w:w="0" w:type="dxa"/>
            </w:tcMar>
          </w:tcPr>
          <w:p>
            <w:pPr>
              <w:autoSpaceDN w:val="0"/>
              <w:autoSpaceDE w:val="0"/>
              <w:widowControl/>
              <w:spacing w:line="230" w:lineRule="auto" w:before="10" w:after="0"/>
              <w:ind w:left="0" w:right="80" w:firstLine="0"/>
              <w:jc w:val="right"/>
            </w:pPr>
            <w:r>
              <w:rPr>
                <w:rFonts w:ascii="Arial" w:hAnsi="Arial" w:eastAsia="Arial"/>
                <w:b w:val="0"/>
                <w:i w:val="0"/>
                <w:color w:val="000000"/>
                <w:sz w:val="16"/>
              </w:rPr>
              <w:t xml:space="preserve">8,721,958 </w:t>
            </w:r>
          </w:p>
        </w:tc>
        <w:tc>
          <w:tcPr>
            <w:tcW w:type="dxa" w:w="1068"/>
            <w:tcBorders>
              <w:bottom w:sz="4.0" w:val="single" w:color="#000000"/>
            </w:tcBorders>
            <w:tcMar>
              <w:start w:w="0" w:type="dxa"/>
              <w:end w:w="0" w:type="dxa"/>
            </w:tcMar>
          </w:tcPr>
          <w:p>
            <w:pPr>
              <w:autoSpaceDN w:val="0"/>
              <w:autoSpaceDE w:val="0"/>
              <w:widowControl/>
              <w:spacing w:line="230" w:lineRule="auto" w:before="10" w:after="0"/>
              <w:ind w:left="0" w:right="0" w:firstLine="0"/>
              <w:jc w:val="right"/>
            </w:pPr>
            <w:r>
              <w:rPr>
                <w:rFonts w:ascii="Arial" w:hAnsi="Arial" w:eastAsia="Arial"/>
                <w:b w:val="0"/>
                <w:i w:val="0"/>
                <w:color w:val="000000"/>
                <w:sz w:val="16"/>
              </w:rPr>
              <w:t>-</w:t>
            </w:r>
          </w:p>
        </w:tc>
        <w:tc>
          <w:tcPr>
            <w:tcW w:type="dxa" w:w="1362"/>
            <w:tcBorders>
              <w:bottom w:sz="4.0" w:val="single" w:color="#000000"/>
            </w:tcBorders>
            <w:tcMar>
              <w:start w:w="0" w:type="dxa"/>
              <w:end w:w="0" w:type="dxa"/>
            </w:tcMar>
          </w:tcPr>
          <w:p>
            <w:pPr>
              <w:autoSpaceDN w:val="0"/>
              <w:autoSpaceDE w:val="0"/>
              <w:widowControl/>
              <w:spacing w:line="230" w:lineRule="auto" w:before="10" w:after="0"/>
              <w:ind w:left="0" w:right="72" w:firstLine="0"/>
              <w:jc w:val="right"/>
            </w:pPr>
            <w:r>
              <w:rPr>
                <w:rFonts w:ascii="Arial" w:hAnsi="Arial" w:eastAsia="Arial"/>
                <w:b w:val="0"/>
                <w:i w:val="0"/>
                <w:color w:val="000000"/>
                <w:sz w:val="16"/>
              </w:rPr>
              <w:t xml:space="preserve">8,721,958 </w:t>
            </w:r>
          </w:p>
        </w:tc>
      </w:tr>
      <w:tr>
        <w:trPr>
          <w:trHeight w:hRule="exact" w:val="390"/>
        </w:trPr>
        <w:tc>
          <w:tcPr>
            <w:tcW w:type="dxa" w:w="1246"/>
            <w:tcBorders>
              <w:top w:sz="4.0" w:val="single" w:color="#000000"/>
              <w:bottom w:sz="4.0" w:val="single" w:color="#000000"/>
            </w:tcBorders>
            <w:tcMar>
              <w:start w:w="0" w:type="dxa"/>
              <w:end w:w="0" w:type="dxa"/>
            </w:tcMar>
          </w:tcPr>
          <w:p>
            <w:pPr>
              <w:autoSpaceDN w:val="0"/>
              <w:autoSpaceDE w:val="0"/>
              <w:widowControl/>
              <w:spacing w:line="152" w:lineRule="exact" w:before="204" w:after="0"/>
              <w:ind w:left="198" w:right="0" w:firstLine="0"/>
              <w:jc w:val="left"/>
            </w:pPr>
            <w:r>
              <w:rPr>
                <w:rFonts w:ascii="黑体" w:hAnsi="黑体" w:eastAsia="黑体"/>
                <w:b w:val="0"/>
                <w:i w:val="0"/>
                <w:color w:val="000000"/>
                <w:sz w:val="15"/>
              </w:rPr>
              <w:t>合计</w:t>
            </w:r>
          </w:p>
        </w:tc>
        <w:tc>
          <w:tcPr>
            <w:tcW w:type="dxa" w:w="1136"/>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36,922,114,301</w:t>
            </w:r>
          </w:p>
        </w:tc>
        <w:tc>
          <w:tcPr>
            <w:tcW w:type="dxa" w:w="1190"/>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6"/>
              </w:rPr>
              <w:t>-</w:t>
            </w:r>
          </w:p>
        </w:tc>
        <w:tc>
          <w:tcPr>
            <w:tcW w:type="dxa" w:w="2620"/>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 xml:space="preserve">36,922,114,301 36,111,675,834 </w:t>
            </w:r>
          </w:p>
        </w:tc>
        <w:tc>
          <w:tcPr>
            <w:tcW w:type="dxa" w:w="1068"/>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6"/>
              </w:rPr>
              <w:t>-</w:t>
            </w:r>
          </w:p>
        </w:tc>
        <w:tc>
          <w:tcPr>
            <w:tcW w:type="dxa" w:w="1362"/>
            <w:tcBorders>
              <w:top w:sz="4.0"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6"/>
              </w:rPr>
              <w:t xml:space="preserve">36,111,675,834 </w:t>
            </w:r>
          </w:p>
        </w:tc>
      </w:tr>
      <w:tr>
        <w:trPr>
          <w:trHeight w:hRule="exact" w:val="52"/>
        </w:trPr>
        <w:tc>
          <w:tcPr>
            <w:tcW w:type="dxa" w:w="1246"/>
            <w:tcBorders>
              <w:top w:sz="4.0" w:val="single" w:color="#000000"/>
            </w:tcBorders>
            <w:tcMar>
              <w:start w:w="0" w:type="dxa"/>
              <w:end w:w="0" w:type="dxa"/>
            </w:tcMar>
          </w:tcPr>
          <w:p/>
        </w:tc>
        <w:tc>
          <w:tcPr>
            <w:tcW w:type="dxa" w:w="1136"/>
            <w:tcBorders>
              <w:top w:sz="4.0" w:val="single" w:color="#000000"/>
            </w:tcBorders>
            <w:tcMar>
              <w:start w:w="0" w:type="dxa"/>
              <w:end w:w="0" w:type="dxa"/>
            </w:tcMar>
          </w:tcPr>
          <w:p/>
        </w:tc>
        <w:tc>
          <w:tcPr>
            <w:tcW w:type="dxa" w:w="1190"/>
            <w:tcBorders>
              <w:top w:sz="4.0" w:val="single" w:color="#000000"/>
            </w:tcBorders>
            <w:tcMar>
              <w:start w:w="0" w:type="dxa"/>
              <w:end w:w="0" w:type="dxa"/>
            </w:tcMar>
          </w:tcPr>
          <w:p/>
        </w:tc>
        <w:tc>
          <w:tcPr>
            <w:tcW w:type="dxa" w:w="2578"/>
            <w:gridSpan w:val="2"/>
            <w:vMerge/>
            <w:tcBorders>
              <w:top w:sz="4.0" w:val="single" w:color="#000000"/>
            </w:tcBorders>
          </w:tcPr>
          <w:p/>
        </w:tc>
        <w:tc>
          <w:tcPr>
            <w:tcW w:type="dxa" w:w="1068"/>
            <w:tcBorders>
              <w:top w:sz="4.0" w:val="single" w:color="#000000"/>
            </w:tcBorders>
            <w:tcMar>
              <w:start w:w="0" w:type="dxa"/>
              <w:end w:w="0" w:type="dxa"/>
            </w:tcMar>
          </w:tcPr>
          <w:p/>
        </w:tc>
        <w:tc>
          <w:tcPr>
            <w:tcW w:type="dxa" w:w="1362"/>
            <w:tcBorders>
              <w:top w:sz="4.0" w:val="single" w:color="#000000"/>
            </w:tcBorders>
            <w:tcMar>
              <w:start w:w="0" w:type="dxa"/>
              <w:end w:w="0" w:type="dxa"/>
            </w:tcMar>
          </w:tcPr>
          <w:p/>
        </w:tc>
      </w:tr>
    </w:tbl>
    <w:p>
      <w:pPr>
        <w:autoSpaceDN w:val="0"/>
        <w:autoSpaceDE w:val="0"/>
        <w:widowControl/>
        <w:spacing w:line="233" w:lineRule="auto" w:before="5140" w:after="0"/>
        <w:ind w:left="0" w:right="0" w:firstLine="0"/>
        <w:jc w:val="center"/>
      </w:pPr>
      <w:r>
        <w:rPr>
          <w:rFonts w:ascii="Arial" w:hAnsi="Arial" w:eastAsia="Arial"/>
          <w:b w:val="0"/>
          <w:i w:val="0"/>
          <w:color w:val="000000"/>
          <w:sz w:val="20"/>
        </w:rPr>
        <w:t xml:space="preserve">208 </w:t>
      </w:r>
    </w:p>
    <w:p>
      <w:pPr>
        <w:sectPr>
          <w:pgSz w:w="11906" w:h="16841"/>
          <w:pgMar w:top="988" w:right="1440" w:bottom="360" w:left="1440" w:header="720" w:footer="720" w:gutter="0"/>
          <w:cols/>
          <w:docGrid w:linePitch="360"/>
        </w:sectPr>
      </w:pPr>
    </w:p>
    <w:p>
      <w:pPr>
        <w:autoSpaceDN w:val="0"/>
        <w:autoSpaceDE w:val="0"/>
        <w:widowControl/>
        <w:spacing w:line="220" w:lineRule="exact" w:before="0" w:after="894"/>
        <w:ind w:left="0" w:right="0"/>
      </w:pPr>
    </w:p>
    <w:tbl>
      <w:tblPr>
        <w:tblW w:type="auto" w:w="0"/>
        <w:tblLayout w:type="fixed"/>
        <w:tblLook w:firstColumn="1" w:firstRow="1" w:lastColumn="0" w:lastRow="0" w:noHBand="0" w:noVBand="1" w:val="04A0"/>
        <w:tblInd w:w="358.0000000000001" w:type="dxa"/>
      </w:tblPr>
      <w:tblGrid>
        <w:gridCol w:w="1805"/>
        <w:gridCol w:w="1805"/>
        <w:gridCol w:w="1805"/>
        <w:gridCol w:w="1805"/>
        <w:gridCol w:w="1805"/>
      </w:tblGrid>
      <w:tr>
        <w:trPr>
          <w:trHeight w:hRule="exact" w:val="372"/>
        </w:trPr>
        <w:tc>
          <w:tcPr>
            <w:tcW w:type="dxa" w:w="682"/>
            <w:tcBorders/>
            <w:tcMar>
              <w:start w:w="0" w:type="dxa"/>
              <w:end w:w="0" w:type="dxa"/>
            </w:tcMar>
          </w:tcPr>
          <w:p>
            <w:pPr>
              <w:autoSpaceDN w:val="0"/>
              <w:autoSpaceDE w:val="0"/>
              <w:widowControl/>
              <w:spacing w:line="220" w:lineRule="exact" w:before="0" w:after="0"/>
              <w:ind w:left="0" w:right="0" w:firstLine="0"/>
              <w:jc w:val="left"/>
            </w:pPr>
            <w:r>
              <w:rPr>
                <w:rFonts w:ascii="黑体" w:hAnsi="黑体" w:eastAsia="黑体"/>
                <w:b w:val="0"/>
                <w:i w:val="0"/>
                <w:color w:val="000000"/>
                <w:sz w:val="22"/>
              </w:rPr>
              <w:t>五、</w:t>
            </w:r>
          </w:p>
        </w:tc>
        <w:tc>
          <w:tcPr>
            <w:tcW w:type="dxa" w:w="6092"/>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0" w:after="0"/>
              <w:ind w:left="30" w:right="0" w:firstLine="0"/>
              <w:jc w:val="left"/>
            </w:pPr>
            <w:r>
              <w:rPr>
                <w:rFonts w:ascii="黑体" w:hAnsi="黑体" w:eastAsia="黑体"/>
                <w:b w:val="0"/>
                <w:i w:val="0"/>
                <w:color w:val="000000"/>
                <w:sz w:val="22"/>
              </w:rPr>
              <w:t>合并财务报表主要项目注释（续）</w:t>
            </w:r>
          </w:p>
        </w:tc>
        <w:tc>
          <w:tcPr>
            <w:tcW w:type="dxa" w:w="1728"/>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tc>
      </w:tr>
      <w:tr>
        <w:trPr>
          <w:trHeight w:hRule="exact" w:val="380"/>
        </w:trPr>
        <w:tc>
          <w:tcPr>
            <w:tcW w:type="dxa" w:w="682"/>
            <w:vMerge w:val="restart"/>
            <w:tcBorders/>
            <w:tcMar>
              <w:start w:w="0" w:type="dxa"/>
              <w:end w:w="0" w:type="dxa"/>
            </w:tcMar>
            <w:tcMar>
              <w:start w:w="0" w:type="dxa"/>
              <w:end w:w="0" w:type="dxa"/>
            </w:tcMar>
          </w:tcPr>
          <w:p>
            <w:pPr>
              <w:autoSpaceDN w:val="0"/>
              <w:autoSpaceDE w:val="0"/>
              <w:widowControl/>
              <w:spacing w:line="246" w:lineRule="exact" w:before="158" w:after="0"/>
              <w:ind w:left="0" w:right="0" w:firstLine="0"/>
              <w:jc w:val="left"/>
            </w:pPr>
            <w:r>
              <w:rPr>
                <w:rFonts w:ascii="Arial,Bold" w:hAnsi="Arial,Bold" w:eastAsia="Arial,Bold"/>
                <w:b/>
                <w:i w:val="0"/>
                <w:color w:val="000000"/>
                <w:sz w:val="22"/>
              </w:rPr>
              <w:t xml:space="preserve">9. </w:t>
            </w:r>
          </w:p>
        </w:tc>
        <w:tc>
          <w:tcPr>
            <w:tcW w:type="dxa" w:w="6092"/>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160" w:after="0"/>
              <w:ind w:left="46" w:right="0" w:firstLine="0"/>
              <w:jc w:val="left"/>
            </w:pPr>
            <w:r>
              <w:rPr>
                <w:rFonts w:ascii="黑体" w:hAnsi="黑体" w:eastAsia="黑体"/>
                <w:b w:val="0"/>
                <w:i w:val="0"/>
                <w:color w:val="000000"/>
                <w:sz w:val="22"/>
              </w:rPr>
              <w:t>债权投资</w:t>
            </w:r>
          </w:p>
        </w:tc>
        <w:tc>
          <w:tcPr>
            <w:tcW w:type="dxa" w:w="1805"/>
            <w:vMerge/>
            <w:tcBorders>
              <w:bottom w:sz="4.0" w:val="single" w:color="#000000"/>
            </w:tcBorders>
          </w:tcPr>
          <w:p/>
        </w:tc>
      </w:tr>
      <w:tr>
        <w:trPr>
          <w:trHeight w:hRule="exact" w:val="176"/>
        </w:trPr>
        <w:tc>
          <w:tcPr>
            <w:tcW w:type="dxa" w:w="1805"/>
            <w:vMerge/>
            <w:tcBorders/>
          </w:tcPr>
          <w:p/>
        </w:tc>
        <w:tc>
          <w:tcPr>
            <w:tcW w:type="dxa" w:w="6092"/>
            <w:gridSpan w:val="3"/>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8" w:lineRule="exact" w:before="314" w:after="0"/>
              <w:ind w:left="0" w:right="908" w:firstLine="0"/>
              <w:jc w:val="righ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805"/>
            <w:vMerge/>
            <w:tcBorders>
              <w:bottom w:sz="4.0" w:val="single" w:color="#000000"/>
            </w:tcBorders>
          </w:tcPr>
          <w:p/>
        </w:tc>
      </w:tr>
      <w:tr>
        <w:trPr>
          <w:trHeight w:hRule="exact" w:val="410"/>
        </w:trPr>
        <w:tc>
          <w:tcPr>
            <w:tcW w:type="dxa" w:w="682"/>
            <w:tcBorders>
              <w:bottom w:sz="4.0" w:val="single" w:color="#000000"/>
            </w:tcBorders>
            <w:tcMar>
              <w:start w:w="0" w:type="dxa"/>
              <w:end w:w="0" w:type="dxa"/>
            </w:tcMar>
          </w:tcPr>
          <w:p>
            <w:pPr>
              <w:autoSpaceDN w:val="0"/>
              <w:autoSpaceDE w:val="0"/>
              <w:widowControl/>
              <w:spacing w:line="220" w:lineRule="exact" w:before="150" w:after="0"/>
              <w:ind w:left="0" w:right="0" w:firstLine="0"/>
              <w:jc w:val="left"/>
            </w:pPr>
            <w:r>
              <w:rPr>
                <w:rFonts w:ascii="黑体" w:hAnsi="黑体" w:eastAsia="黑体"/>
                <w:b w:val="0"/>
                <w:i w:val="0"/>
                <w:color w:val="000000"/>
                <w:sz w:val="22"/>
              </w:rPr>
              <w:t>项目</w:t>
            </w:r>
          </w:p>
        </w:tc>
        <w:tc>
          <w:tcPr>
            <w:tcW w:type="dxa" w:w="5415"/>
            <w:gridSpan w:val="3"/>
            <w:vMerge/>
            <w:tcBorders>
              <w:bottom w:sz="4.0" w:val="single" w:color="#000000"/>
            </w:tcBorders>
          </w:tcPr>
          <w:p/>
        </w:tc>
        <w:tc>
          <w:tcPr>
            <w:tcW w:type="dxa" w:w="1805"/>
            <w:vMerge/>
            <w:tcBorders>
              <w:bottom w:sz="4.0" w:val="single" w:color="#000000"/>
            </w:tcBorders>
          </w:tcPr>
          <w:p/>
        </w:tc>
      </w:tr>
      <w:tr>
        <w:trPr>
          <w:trHeight w:hRule="exact" w:val="414"/>
        </w:trPr>
        <w:tc>
          <w:tcPr>
            <w:tcW w:type="dxa" w:w="682"/>
            <w:vMerge w:val="restart"/>
            <w:tcBorders>
              <w:top w:sz="4.0" w:val="single" w:color="#000000"/>
            </w:tcBorders>
            <w:tcMar>
              <w:start w:w="0" w:type="dxa"/>
              <w:end w:w="0" w:type="dxa"/>
            </w:tcMar>
            <w:tcMar>
              <w:start w:w="0" w:type="dxa"/>
              <w:end w:w="0" w:type="dxa"/>
            </w:tcMar>
          </w:tcPr>
          <w:p>
            <w:pPr>
              <w:autoSpaceDN w:val="0"/>
              <w:autoSpaceDE w:val="0"/>
              <w:widowControl/>
              <w:spacing w:line="220" w:lineRule="exact" w:before="566" w:after="0"/>
              <w:ind w:left="0" w:right="0" w:firstLine="0"/>
              <w:jc w:val="left"/>
            </w:pPr>
            <w:r>
              <w:rPr>
                <w:rFonts w:ascii="黑体" w:hAnsi="黑体" w:eastAsia="黑体"/>
                <w:b w:val="0"/>
                <w:i w:val="0"/>
                <w:color w:val="000000"/>
                <w:sz w:val="22"/>
              </w:rPr>
              <w:t>债权</w:t>
            </w:r>
          </w:p>
        </w:tc>
        <w:tc>
          <w:tcPr>
            <w:tcW w:type="dxa" w:w="2800"/>
            <w:tcBorders>
              <w:top w:sz="4.0" w:val="single" w:color="#000000"/>
            </w:tcBorders>
            <w:tcMar>
              <w:start w:w="0" w:type="dxa"/>
              <w:end w:w="0" w:type="dxa"/>
            </w:tcMar>
          </w:tcPr>
          <w:p>
            <w:pPr>
              <w:autoSpaceDN w:val="0"/>
              <w:autoSpaceDE w:val="0"/>
              <w:widowControl/>
              <w:spacing w:line="222" w:lineRule="exact" w:before="28" w:after="0"/>
              <w:ind w:left="0" w:right="390" w:firstLine="0"/>
              <w:jc w:val="right"/>
            </w:pPr>
            <w:r>
              <w:rPr>
                <w:rFonts w:ascii="黑体" w:hAnsi="黑体" w:eastAsia="黑体"/>
                <w:b w:val="0"/>
                <w:i w:val="0"/>
                <w:color w:val="000000"/>
                <w:sz w:val="22"/>
              </w:rPr>
              <w:t>初始成本</w:t>
            </w:r>
          </w:p>
        </w:tc>
        <w:tc>
          <w:tcPr>
            <w:tcW w:type="dxa" w:w="1540"/>
            <w:tcBorders>
              <w:top w:sz="4.0" w:val="single" w:color="#000000"/>
            </w:tcBorders>
            <w:tcMar>
              <w:start w:w="0" w:type="dxa"/>
              <w:end w:w="0" w:type="dxa"/>
            </w:tcMar>
          </w:tcPr>
          <w:p>
            <w:pPr>
              <w:autoSpaceDN w:val="0"/>
              <w:autoSpaceDE w:val="0"/>
              <w:widowControl/>
              <w:spacing w:line="222" w:lineRule="exact" w:before="28" w:after="0"/>
              <w:ind w:left="256" w:right="0" w:firstLine="0"/>
              <w:jc w:val="left"/>
            </w:pPr>
            <w:r>
              <w:rPr>
                <w:rFonts w:ascii="黑体" w:hAnsi="黑体" w:eastAsia="黑体"/>
                <w:b w:val="0"/>
                <w:i w:val="0"/>
                <w:color w:val="000000"/>
                <w:sz w:val="22"/>
              </w:rPr>
              <w:t>应计利息</w:t>
            </w:r>
          </w:p>
        </w:tc>
        <w:tc>
          <w:tcPr>
            <w:tcW w:type="dxa" w:w="1752"/>
            <w:tcBorders>
              <w:top w:sz="4.0" w:val="single" w:color="#000000"/>
            </w:tcBorders>
            <w:tcMar>
              <w:start w:w="0" w:type="dxa"/>
              <w:end w:w="0" w:type="dxa"/>
            </w:tcMar>
          </w:tcPr>
          <w:p>
            <w:pPr>
              <w:autoSpaceDN w:val="0"/>
              <w:autoSpaceDE w:val="0"/>
              <w:widowControl/>
              <w:spacing w:line="222" w:lineRule="exact" w:before="28" w:after="0"/>
              <w:ind w:left="0" w:right="224" w:firstLine="0"/>
              <w:jc w:val="right"/>
            </w:pPr>
            <w:r>
              <w:rPr>
                <w:rFonts w:ascii="黑体" w:hAnsi="黑体" w:eastAsia="黑体"/>
                <w:b w:val="0"/>
                <w:i w:val="0"/>
                <w:color w:val="000000"/>
                <w:sz w:val="22"/>
              </w:rPr>
              <w:t>减值准备</w:t>
            </w:r>
          </w:p>
        </w:tc>
        <w:tc>
          <w:tcPr>
            <w:tcW w:type="dxa" w:w="1728"/>
            <w:tcBorders>
              <w:top w:sz="4.0" w:val="single" w:color="#000000"/>
            </w:tcBorders>
            <w:tcMar>
              <w:start w:w="0" w:type="dxa"/>
              <w:end w:w="0" w:type="dxa"/>
            </w:tcMar>
          </w:tcPr>
          <w:p>
            <w:pPr>
              <w:autoSpaceDN w:val="0"/>
              <w:autoSpaceDE w:val="0"/>
              <w:widowControl/>
              <w:spacing w:line="222" w:lineRule="exact" w:before="28" w:after="0"/>
              <w:ind w:left="0" w:right="194" w:firstLine="0"/>
              <w:jc w:val="right"/>
            </w:pPr>
            <w:r>
              <w:rPr>
                <w:rFonts w:ascii="黑体" w:hAnsi="黑体" w:eastAsia="黑体"/>
                <w:b w:val="0"/>
                <w:i w:val="0"/>
                <w:color w:val="000000"/>
                <w:sz w:val="22"/>
              </w:rPr>
              <w:t>账面价值</w:t>
            </w:r>
          </w:p>
        </w:tc>
      </w:tr>
      <w:tr>
        <w:trPr>
          <w:trHeight w:hRule="exact" w:val="380"/>
        </w:trPr>
        <w:tc>
          <w:tcPr>
            <w:tcW w:type="dxa" w:w="1805"/>
            <w:vMerge/>
            <w:tcBorders>
              <w:top w:sz="4.0" w:val="single" w:color="#000000"/>
            </w:tcBorders>
          </w:tcPr>
          <w:p/>
        </w:tc>
        <w:tc>
          <w:tcPr>
            <w:tcW w:type="dxa" w:w="2800"/>
            <w:vMerge w:val="restart"/>
            <w:tcBorders/>
            <w:tcMar>
              <w:start w:w="0" w:type="dxa"/>
              <w:end w:w="0" w:type="dxa"/>
            </w:tcMar>
            <w:tcMar>
              <w:start w:w="0" w:type="dxa"/>
              <w:end w:w="0" w:type="dxa"/>
            </w:tcMar>
          </w:tcPr>
          <w:p>
            <w:pPr>
              <w:autoSpaceDN w:val="0"/>
              <w:autoSpaceDE w:val="0"/>
              <w:widowControl/>
              <w:spacing w:line="235" w:lineRule="auto" w:before="166" w:after="0"/>
              <w:ind w:left="0" w:right="224" w:firstLine="0"/>
              <w:jc w:val="right"/>
            </w:pPr>
            <w:r>
              <w:rPr>
                <w:rFonts w:ascii="Arial" w:hAnsi="Arial" w:eastAsia="Arial"/>
                <w:b w:val="0"/>
                <w:i w:val="0"/>
                <w:color w:val="000000"/>
                <w:sz w:val="22"/>
              </w:rPr>
              <w:t xml:space="preserve">27,470,631 </w:t>
            </w:r>
          </w:p>
        </w:tc>
        <w:tc>
          <w:tcPr>
            <w:tcW w:type="dxa" w:w="1540"/>
            <w:vMerge w:val="restart"/>
            <w:tcBorders/>
            <w:tcMar>
              <w:start w:w="0" w:type="dxa"/>
              <w:end w:w="0" w:type="dxa"/>
            </w:tcMar>
            <w:tcMar>
              <w:start w:w="0" w:type="dxa"/>
              <w:end w:w="0" w:type="dxa"/>
            </w:tcMar>
          </w:tcPr>
          <w:p>
            <w:pPr>
              <w:autoSpaceDN w:val="0"/>
              <w:autoSpaceDE w:val="0"/>
              <w:widowControl/>
              <w:spacing w:line="235" w:lineRule="auto" w:before="166" w:after="0"/>
              <w:ind w:left="0" w:right="342" w:firstLine="0"/>
              <w:jc w:val="right"/>
            </w:pPr>
            <w:r>
              <w:rPr>
                <w:rFonts w:ascii="Arial" w:hAnsi="Arial" w:eastAsia="Arial"/>
                <w:b w:val="0"/>
                <w:i w:val="0"/>
                <w:color w:val="000000"/>
                <w:sz w:val="22"/>
              </w:rPr>
              <w:t xml:space="preserve">- </w:t>
            </w:r>
          </w:p>
        </w:tc>
        <w:tc>
          <w:tcPr>
            <w:tcW w:type="dxa" w:w="1752"/>
            <w:vMerge w:val="restart"/>
            <w:tcBorders/>
            <w:tcMar>
              <w:start w:w="0" w:type="dxa"/>
              <w:end w:w="0" w:type="dxa"/>
            </w:tcMar>
            <w:tcMar>
              <w:start w:w="0" w:type="dxa"/>
              <w:end w:w="0" w:type="dxa"/>
            </w:tcMar>
          </w:tcPr>
          <w:p>
            <w:pPr>
              <w:autoSpaceDN w:val="0"/>
              <w:autoSpaceDE w:val="0"/>
              <w:widowControl/>
              <w:spacing w:line="235" w:lineRule="auto" w:before="166" w:after="0"/>
              <w:ind w:left="0" w:right="90" w:firstLine="0"/>
              <w:jc w:val="right"/>
            </w:pPr>
            <w:r>
              <w:rPr>
                <w:rFonts w:ascii="Arial" w:hAnsi="Arial" w:eastAsia="Arial"/>
                <w:b w:val="0"/>
                <w:i w:val="0"/>
                <w:color w:val="000000"/>
                <w:sz w:val="22"/>
              </w:rPr>
              <w:t xml:space="preserve">(43,730) </w:t>
            </w:r>
          </w:p>
        </w:tc>
        <w:tc>
          <w:tcPr>
            <w:tcW w:type="dxa" w:w="1728"/>
            <w:vMerge w:val="restart"/>
            <w:tcBorders/>
            <w:tcMar>
              <w:start w:w="0" w:type="dxa"/>
              <w:end w:w="0" w:type="dxa"/>
            </w:tcMar>
            <w:tcMar>
              <w:start w:w="0" w:type="dxa"/>
              <w:end w:w="0" w:type="dxa"/>
            </w:tcMar>
          </w:tcPr>
          <w:p>
            <w:pPr>
              <w:autoSpaceDN w:val="0"/>
              <w:autoSpaceDE w:val="0"/>
              <w:widowControl/>
              <w:spacing w:line="235" w:lineRule="auto" w:before="166" w:after="0"/>
              <w:ind w:left="430" w:right="0" w:firstLine="0"/>
              <w:jc w:val="left"/>
            </w:pPr>
            <w:r>
              <w:rPr>
                <w:rFonts w:ascii="Arial" w:hAnsi="Arial" w:eastAsia="Arial"/>
                <w:b w:val="0"/>
                <w:i w:val="0"/>
                <w:color w:val="000000"/>
                <w:sz w:val="22"/>
              </w:rPr>
              <w:t>27,426,901</w:t>
            </w:r>
          </w:p>
        </w:tc>
      </w:tr>
      <w:tr>
        <w:trPr>
          <w:trHeight w:hRule="exact" w:val="52"/>
        </w:trPr>
        <w:tc>
          <w:tcPr>
            <w:tcW w:type="dxa" w:w="682"/>
            <w:vMerge w:val="restart"/>
            <w:tcBorders>
              <w:bottom w:sz="3.2000000000000455" w:val="single" w:color="#000000"/>
            </w:tcBorders>
            <w:tcMar>
              <w:start w:w="0" w:type="dxa"/>
              <w:end w:w="0" w:type="dxa"/>
            </w:tcMar>
            <w:tcMar>
              <w:start w:w="0" w:type="dxa"/>
              <w:end w:w="0" w:type="dxa"/>
            </w:tcMar>
          </w:tcPr>
          <w:p>
            <w:pPr>
              <w:autoSpaceDN w:val="0"/>
              <w:autoSpaceDE w:val="0"/>
              <w:widowControl/>
              <w:spacing w:line="220" w:lineRule="exact" w:before="64" w:after="0"/>
              <w:ind w:left="0" w:right="0" w:firstLine="0"/>
              <w:jc w:val="center"/>
            </w:pPr>
            <w:r>
              <w:rPr>
                <w:rFonts w:ascii="黑体" w:hAnsi="黑体" w:eastAsia="黑体"/>
                <w:b w:val="0"/>
                <w:i w:val="0"/>
                <w:color w:val="000000"/>
                <w:sz w:val="22"/>
              </w:rPr>
              <w:t>企业债</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74"/>
        </w:trPr>
        <w:tc>
          <w:tcPr>
            <w:tcW w:type="dxa" w:w="1805"/>
            <w:vMerge/>
            <w:tcBorders>
              <w:bottom w:sz="3.2000000000000455" w:val="single" w:color="#000000"/>
            </w:tcBorders>
          </w:tcPr>
          <w:p/>
        </w:tc>
        <w:tc>
          <w:tcPr>
            <w:tcW w:type="dxa" w:w="2800"/>
            <w:tcBorders>
              <w:bottom w:sz="3.2000000000000455" w:val="single" w:color="#000000"/>
            </w:tcBorders>
            <w:tcMar>
              <w:start w:w="0" w:type="dxa"/>
              <w:end w:w="0" w:type="dxa"/>
            </w:tcMar>
          </w:tcPr>
          <w:p>
            <w:pPr>
              <w:autoSpaceDN w:val="0"/>
              <w:autoSpaceDE w:val="0"/>
              <w:widowControl/>
              <w:spacing w:line="233" w:lineRule="auto" w:before="18" w:after="0"/>
              <w:ind w:left="0" w:right="224" w:firstLine="0"/>
              <w:jc w:val="right"/>
            </w:pPr>
            <w:r>
              <w:rPr>
                <w:rFonts w:ascii="Arial" w:hAnsi="Arial" w:eastAsia="Arial"/>
                <w:b w:val="0"/>
                <w:i w:val="0"/>
                <w:color w:val="000000"/>
                <w:sz w:val="22"/>
              </w:rPr>
              <w:t xml:space="preserve">36,135,536 </w:t>
            </w:r>
          </w:p>
        </w:tc>
        <w:tc>
          <w:tcPr>
            <w:tcW w:type="dxa" w:w="1540"/>
            <w:tcBorders>
              <w:bottom w:sz="3.2000000000000455" w:val="single" w:color="#000000"/>
            </w:tcBorders>
            <w:tcMar>
              <w:start w:w="0" w:type="dxa"/>
              <w:end w:w="0" w:type="dxa"/>
            </w:tcMar>
          </w:tcPr>
          <w:p>
            <w:pPr>
              <w:autoSpaceDN w:val="0"/>
              <w:autoSpaceDE w:val="0"/>
              <w:widowControl/>
              <w:spacing w:line="233" w:lineRule="auto" w:before="18" w:after="0"/>
              <w:ind w:left="0" w:right="0" w:firstLine="0"/>
              <w:jc w:val="center"/>
            </w:pPr>
            <w:r>
              <w:rPr>
                <w:rFonts w:ascii="Arial" w:hAnsi="Arial" w:eastAsia="Arial"/>
                <w:b w:val="0"/>
                <w:i w:val="0"/>
                <w:color w:val="000000"/>
                <w:sz w:val="22"/>
              </w:rPr>
              <w:t xml:space="preserve">664,999 </w:t>
            </w:r>
          </w:p>
        </w:tc>
        <w:tc>
          <w:tcPr>
            <w:tcW w:type="dxa" w:w="1752"/>
            <w:tcBorders>
              <w:bottom w:sz="3.2000000000000455" w:val="single" w:color="#000000"/>
            </w:tcBorders>
            <w:tcMar>
              <w:start w:w="0" w:type="dxa"/>
              <w:end w:w="0" w:type="dxa"/>
            </w:tcMar>
          </w:tcPr>
          <w:p>
            <w:pPr>
              <w:autoSpaceDN w:val="0"/>
              <w:autoSpaceDE w:val="0"/>
              <w:widowControl/>
              <w:spacing w:line="233" w:lineRule="auto" w:before="18" w:after="0"/>
              <w:ind w:left="352" w:right="0" w:firstLine="0"/>
              <w:jc w:val="left"/>
            </w:pPr>
            <w:r>
              <w:rPr>
                <w:rFonts w:ascii="Arial" w:hAnsi="Arial" w:eastAsia="Arial"/>
                <w:b w:val="0"/>
                <w:i w:val="0"/>
                <w:color w:val="000000"/>
                <w:sz w:val="22"/>
              </w:rPr>
              <w:t xml:space="preserve">(36,800,535) </w:t>
            </w:r>
          </w:p>
        </w:tc>
        <w:tc>
          <w:tcPr>
            <w:tcW w:type="dxa" w:w="1728"/>
            <w:tcBorders>
              <w:bottom w:sz="3.2000000000000455" w:val="single" w:color="#000000"/>
            </w:tcBorders>
            <w:tcMar>
              <w:start w:w="0" w:type="dxa"/>
              <w:end w:w="0" w:type="dxa"/>
            </w:tcMar>
          </w:tcPr>
          <w:p>
            <w:pPr>
              <w:autoSpaceDN w:val="0"/>
              <w:autoSpaceDE w:val="0"/>
              <w:widowControl/>
              <w:spacing w:line="233" w:lineRule="auto" w:before="18" w:after="0"/>
              <w:ind w:left="0" w:right="198" w:firstLine="0"/>
              <w:jc w:val="right"/>
            </w:pPr>
            <w:r>
              <w:rPr>
                <w:rFonts w:ascii="Arial" w:hAnsi="Arial" w:eastAsia="Arial"/>
                <w:b w:val="0"/>
                <w:i w:val="0"/>
                <w:color w:val="000000"/>
                <w:sz w:val="22"/>
              </w:rPr>
              <w:t>-</w:t>
            </w:r>
          </w:p>
        </w:tc>
      </w:tr>
      <w:tr>
        <w:trPr>
          <w:trHeight w:hRule="exact" w:val="550"/>
        </w:trPr>
        <w:tc>
          <w:tcPr>
            <w:tcW w:type="dxa" w:w="682"/>
            <w:tcBorders>
              <w:top w:sz="3.2000000000000455" w:val="single" w:color="#000000"/>
              <w:bottom w:sz="4.0" w:val="single" w:color="#000000"/>
            </w:tcBorders>
            <w:tcMar>
              <w:start w:w="0" w:type="dxa"/>
              <w:end w:w="0" w:type="dxa"/>
            </w:tcMar>
          </w:tcPr>
          <w:p>
            <w:pPr>
              <w:autoSpaceDN w:val="0"/>
              <w:autoSpaceDE w:val="0"/>
              <w:widowControl/>
              <w:spacing w:line="220" w:lineRule="exact" w:before="282" w:after="0"/>
              <w:ind w:left="0" w:right="0" w:firstLine="0"/>
              <w:jc w:val="left"/>
            </w:pPr>
            <w:r>
              <w:rPr>
                <w:rFonts w:ascii="黑体" w:hAnsi="黑体" w:eastAsia="黑体"/>
                <w:b w:val="0"/>
                <w:i w:val="0"/>
                <w:color w:val="000000"/>
                <w:sz w:val="22"/>
              </w:rPr>
              <w:t>合计</w:t>
            </w:r>
          </w:p>
        </w:tc>
        <w:tc>
          <w:tcPr>
            <w:tcW w:type="dxa" w:w="2800"/>
            <w:tcBorders>
              <w:top w:sz="3.2000000000000455"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 xml:space="preserve">63,606,167 </w:t>
            </w:r>
          </w:p>
        </w:tc>
        <w:tc>
          <w:tcPr>
            <w:tcW w:type="dxa" w:w="1540"/>
            <w:tcBorders>
              <w:top w:sz="3.2000000000000455"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center"/>
            </w:pPr>
            <w:r>
              <w:rPr>
                <w:rFonts w:ascii="Arial" w:hAnsi="Arial" w:eastAsia="Arial"/>
                <w:b w:val="0"/>
                <w:i w:val="0"/>
                <w:color w:val="000000"/>
                <w:sz w:val="22"/>
              </w:rPr>
              <w:t xml:space="preserve">664,999 </w:t>
            </w:r>
          </w:p>
        </w:tc>
        <w:tc>
          <w:tcPr>
            <w:tcW w:type="dxa" w:w="1752"/>
            <w:tcBorders>
              <w:top w:sz="3.2000000000000455" w:val="single" w:color="#000000"/>
              <w:bottom w:sz="4.0" w:val="single" w:color="#000000"/>
            </w:tcBorders>
            <w:tcMar>
              <w:start w:w="0" w:type="dxa"/>
              <w:end w:w="0" w:type="dxa"/>
            </w:tcMar>
          </w:tcPr>
          <w:p>
            <w:pPr>
              <w:autoSpaceDN w:val="0"/>
              <w:autoSpaceDE w:val="0"/>
              <w:widowControl/>
              <w:spacing w:line="233" w:lineRule="auto" w:before="290" w:after="0"/>
              <w:ind w:left="352" w:right="0" w:firstLine="0"/>
              <w:jc w:val="left"/>
            </w:pPr>
            <w:r>
              <w:rPr>
                <w:rFonts w:ascii="Arial" w:hAnsi="Arial" w:eastAsia="Arial"/>
                <w:b w:val="0"/>
                <w:i w:val="0"/>
                <w:color w:val="000000"/>
                <w:sz w:val="22"/>
              </w:rPr>
              <w:t xml:space="preserve">(36,844,265) </w:t>
            </w:r>
          </w:p>
        </w:tc>
        <w:tc>
          <w:tcPr>
            <w:tcW w:type="dxa" w:w="1728"/>
            <w:tcBorders>
              <w:top w:sz="3.2000000000000455" w:val="single" w:color="#000000"/>
              <w:bottom w:sz="4.0" w:val="single" w:color="#000000"/>
            </w:tcBorders>
            <w:tcMar>
              <w:start w:w="0" w:type="dxa"/>
              <w:end w:w="0" w:type="dxa"/>
            </w:tcMar>
          </w:tcPr>
          <w:p>
            <w:pPr>
              <w:autoSpaceDN w:val="0"/>
              <w:autoSpaceDE w:val="0"/>
              <w:widowControl/>
              <w:spacing w:line="233" w:lineRule="auto" w:before="290" w:after="0"/>
              <w:ind w:left="430" w:right="0" w:firstLine="0"/>
              <w:jc w:val="left"/>
            </w:pPr>
            <w:r>
              <w:rPr>
                <w:rFonts w:ascii="Arial" w:hAnsi="Arial" w:eastAsia="Arial"/>
                <w:b w:val="0"/>
                <w:i w:val="0"/>
                <w:color w:val="000000"/>
                <w:sz w:val="22"/>
              </w:rPr>
              <w:t xml:space="preserve">27,426,901 </w:t>
            </w:r>
          </w:p>
        </w:tc>
      </w:tr>
      <w:tr>
        <w:trPr>
          <w:trHeight w:hRule="exact" w:val="532"/>
        </w:trPr>
        <w:tc>
          <w:tcPr>
            <w:tcW w:type="dxa" w:w="682"/>
            <w:tcBorders>
              <w:top w:sz="4.0" w:val="single" w:color="#000000"/>
              <w:bottom w:sz="4.0" w:val="single" w:color="#000000"/>
            </w:tcBorders>
            <w:tcMar>
              <w:start w:w="0" w:type="dxa"/>
              <w:end w:w="0" w:type="dxa"/>
            </w:tcMar>
          </w:tcPr>
          <w:p>
            <w:pPr>
              <w:autoSpaceDN w:val="0"/>
              <w:autoSpaceDE w:val="0"/>
              <w:widowControl/>
              <w:spacing w:line="220" w:lineRule="exact" w:before="298" w:after="0"/>
              <w:ind w:left="0" w:right="0" w:firstLine="0"/>
              <w:jc w:val="left"/>
            </w:pPr>
            <w:r>
              <w:rPr>
                <w:rFonts w:ascii="黑体" w:hAnsi="黑体" w:eastAsia="黑体"/>
                <w:b w:val="0"/>
                <w:i w:val="0"/>
                <w:color w:val="000000"/>
                <w:sz w:val="22"/>
              </w:rPr>
              <w:t>项目</w:t>
            </w:r>
          </w:p>
        </w:tc>
        <w:tc>
          <w:tcPr>
            <w:tcW w:type="dxa" w:w="6092"/>
            <w:gridSpan w:val="3"/>
            <w:tcBorders>
              <w:top w:sz="4.0"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46" w:lineRule="exact" w:before="274" w:after="0"/>
              <w:ind w:left="0" w:right="908" w:firstLine="0"/>
              <w:jc w:val="righ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728"/>
            <w:tcBorders>
              <w:top w:sz="4.0" w:val="single" w:color="#000000"/>
              <w:bottom w:sz="4.0" w:val="single" w:color="#000000"/>
            </w:tcBorders>
            <w:tcMar>
              <w:start w:w="0" w:type="dxa"/>
              <w:end w:w="0" w:type="dxa"/>
            </w:tcMar>
          </w:tcPr>
          <w:p/>
        </w:tc>
      </w:tr>
      <w:tr>
        <w:trPr>
          <w:trHeight w:hRule="exact" w:val="432"/>
        </w:trPr>
        <w:tc>
          <w:tcPr>
            <w:tcW w:type="dxa" w:w="682"/>
            <w:vMerge w:val="restart"/>
            <w:tcBorders>
              <w:top w:sz="4.0" w:val="single" w:color="#000000"/>
            </w:tcBorders>
            <w:tcMar>
              <w:start w:w="0" w:type="dxa"/>
              <w:end w:w="0" w:type="dxa"/>
            </w:tcMar>
            <w:tcMar>
              <w:start w:w="0" w:type="dxa"/>
              <w:end w:w="0" w:type="dxa"/>
            </w:tcMar>
          </w:tcPr>
          <w:p>
            <w:pPr>
              <w:autoSpaceDN w:val="0"/>
              <w:autoSpaceDE w:val="0"/>
              <w:widowControl/>
              <w:spacing w:line="220" w:lineRule="exact" w:before="604" w:after="0"/>
              <w:ind w:left="0" w:right="0" w:firstLine="0"/>
              <w:jc w:val="left"/>
            </w:pPr>
            <w:r>
              <w:rPr>
                <w:rFonts w:ascii="黑体" w:hAnsi="黑体" w:eastAsia="黑体"/>
                <w:b w:val="0"/>
                <w:i w:val="0"/>
                <w:color w:val="000000"/>
                <w:sz w:val="22"/>
              </w:rPr>
              <w:t>债权</w:t>
            </w:r>
          </w:p>
        </w:tc>
        <w:tc>
          <w:tcPr>
            <w:tcW w:type="dxa" w:w="2800"/>
            <w:tcBorders>
              <w:top w:sz="4.0" w:val="single" w:color="#000000"/>
            </w:tcBorders>
            <w:tcMar>
              <w:start w:w="0" w:type="dxa"/>
              <w:end w:w="0" w:type="dxa"/>
            </w:tcMar>
          </w:tcPr>
          <w:p>
            <w:pPr>
              <w:autoSpaceDN w:val="0"/>
              <w:autoSpaceDE w:val="0"/>
              <w:widowControl/>
              <w:spacing w:line="220" w:lineRule="exact" w:before="64" w:after="0"/>
              <w:ind w:left="0" w:right="390" w:firstLine="0"/>
              <w:jc w:val="right"/>
            </w:pPr>
            <w:r>
              <w:rPr>
                <w:rFonts w:ascii="黑体" w:hAnsi="黑体" w:eastAsia="黑体"/>
                <w:b w:val="0"/>
                <w:i w:val="0"/>
                <w:color w:val="000000"/>
                <w:sz w:val="22"/>
              </w:rPr>
              <w:t>初始成本</w:t>
            </w:r>
          </w:p>
        </w:tc>
        <w:tc>
          <w:tcPr>
            <w:tcW w:type="dxa" w:w="1540"/>
            <w:tcBorders>
              <w:top w:sz="4.0" w:val="single" w:color="#000000"/>
            </w:tcBorders>
            <w:tcMar>
              <w:start w:w="0" w:type="dxa"/>
              <w:end w:w="0" w:type="dxa"/>
            </w:tcMar>
          </w:tcPr>
          <w:p>
            <w:pPr>
              <w:autoSpaceDN w:val="0"/>
              <w:autoSpaceDE w:val="0"/>
              <w:widowControl/>
              <w:spacing w:line="220" w:lineRule="exact" w:before="64" w:after="0"/>
              <w:ind w:left="256" w:right="0" w:firstLine="0"/>
              <w:jc w:val="left"/>
            </w:pPr>
            <w:r>
              <w:rPr>
                <w:rFonts w:ascii="黑体" w:hAnsi="黑体" w:eastAsia="黑体"/>
                <w:b w:val="0"/>
                <w:i w:val="0"/>
                <w:color w:val="000000"/>
                <w:sz w:val="22"/>
              </w:rPr>
              <w:t>应计利息</w:t>
            </w:r>
          </w:p>
        </w:tc>
        <w:tc>
          <w:tcPr>
            <w:tcW w:type="dxa" w:w="1752"/>
            <w:tcBorders>
              <w:top w:sz="4.0" w:val="single" w:color="#000000"/>
            </w:tcBorders>
            <w:tcMar>
              <w:start w:w="0" w:type="dxa"/>
              <w:end w:w="0" w:type="dxa"/>
            </w:tcMar>
          </w:tcPr>
          <w:p>
            <w:pPr>
              <w:autoSpaceDN w:val="0"/>
              <w:autoSpaceDE w:val="0"/>
              <w:widowControl/>
              <w:spacing w:line="220" w:lineRule="exact" w:before="64" w:after="0"/>
              <w:ind w:left="0" w:right="224" w:firstLine="0"/>
              <w:jc w:val="right"/>
            </w:pPr>
            <w:r>
              <w:rPr>
                <w:rFonts w:ascii="黑体" w:hAnsi="黑体" w:eastAsia="黑体"/>
                <w:b w:val="0"/>
                <w:i w:val="0"/>
                <w:color w:val="000000"/>
                <w:sz w:val="22"/>
              </w:rPr>
              <w:t>减值准备</w:t>
            </w:r>
          </w:p>
        </w:tc>
        <w:tc>
          <w:tcPr>
            <w:tcW w:type="dxa" w:w="1728"/>
            <w:tcBorders>
              <w:top w:sz="4.0" w:val="single" w:color="#000000"/>
            </w:tcBorders>
            <w:tcMar>
              <w:start w:w="0" w:type="dxa"/>
              <w:end w:w="0" w:type="dxa"/>
            </w:tcMar>
          </w:tcPr>
          <w:p>
            <w:pPr>
              <w:autoSpaceDN w:val="0"/>
              <w:autoSpaceDE w:val="0"/>
              <w:widowControl/>
              <w:spacing w:line="220" w:lineRule="exact" w:before="64" w:after="0"/>
              <w:ind w:left="0" w:right="194" w:firstLine="0"/>
              <w:jc w:val="right"/>
            </w:pPr>
            <w:r>
              <w:rPr>
                <w:rFonts w:ascii="黑体" w:hAnsi="黑体" w:eastAsia="黑体"/>
                <w:b w:val="0"/>
                <w:i w:val="0"/>
                <w:color w:val="000000"/>
                <w:sz w:val="22"/>
              </w:rPr>
              <w:t>账面价值</w:t>
            </w:r>
          </w:p>
        </w:tc>
      </w:tr>
      <w:tr>
        <w:trPr>
          <w:trHeight w:hRule="exact" w:val="400"/>
        </w:trPr>
        <w:tc>
          <w:tcPr>
            <w:tcW w:type="dxa" w:w="1805"/>
            <w:vMerge/>
            <w:tcBorders>
              <w:top w:sz="4.0" w:val="single" w:color="#000000"/>
            </w:tcBorders>
          </w:tcPr>
          <w:p/>
        </w:tc>
        <w:tc>
          <w:tcPr>
            <w:tcW w:type="dxa" w:w="2800"/>
            <w:vMerge w:val="restart"/>
            <w:tcBorders/>
            <w:tcMar>
              <w:start w:w="0" w:type="dxa"/>
              <w:end w:w="0" w:type="dxa"/>
            </w:tcMar>
            <w:tcMar>
              <w:start w:w="0" w:type="dxa"/>
              <w:end w:w="0" w:type="dxa"/>
            </w:tcMar>
          </w:tcPr>
          <w:p>
            <w:pPr>
              <w:autoSpaceDN w:val="0"/>
              <w:autoSpaceDE w:val="0"/>
              <w:widowControl/>
              <w:spacing w:line="233" w:lineRule="auto" w:before="182" w:after="0"/>
              <w:ind w:left="0" w:right="224" w:firstLine="0"/>
              <w:jc w:val="right"/>
            </w:pPr>
            <w:r>
              <w:rPr>
                <w:rFonts w:ascii="Arial" w:hAnsi="Arial" w:eastAsia="Arial"/>
                <w:b w:val="0"/>
                <w:i w:val="0"/>
                <w:color w:val="000000"/>
                <w:sz w:val="22"/>
              </w:rPr>
              <w:t xml:space="preserve">29,187,545 </w:t>
            </w:r>
          </w:p>
        </w:tc>
        <w:tc>
          <w:tcPr>
            <w:tcW w:type="dxa" w:w="1540"/>
            <w:vMerge w:val="restart"/>
            <w:tcBorders/>
            <w:tcMar>
              <w:start w:w="0" w:type="dxa"/>
              <w:end w:w="0" w:type="dxa"/>
            </w:tcMar>
            <w:tcMar>
              <w:start w:w="0" w:type="dxa"/>
              <w:end w:w="0" w:type="dxa"/>
            </w:tcMar>
          </w:tcPr>
          <w:p>
            <w:pPr>
              <w:autoSpaceDN w:val="0"/>
              <w:autoSpaceDE w:val="0"/>
              <w:widowControl/>
              <w:spacing w:line="233" w:lineRule="auto" w:before="182" w:after="0"/>
              <w:ind w:left="0" w:right="342" w:firstLine="0"/>
              <w:jc w:val="right"/>
            </w:pPr>
            <w:r>
              <w:rPr>
                <w:rFonts w:ascii="Arial" w:hAnsi="Arial" w:eastAsia="Arial"/>
                <w:b w:val="0"/>
                <w:i w:val="0"/>
                <w:color w:val="000000"/>
                <w:sz w:val="22"/>
              </w:rPr>
              <w:t xml:space="preserve">- </w:t>
            </w:r>
          </w:p>
        </w:tc>
        <w:tc>
          <w:tcPr>
            <w:tcW w:type="dxa" w:w="1752"/>
            <w:vMerge w:val="restart"/>
            <w:tcBorders/>
            <w:tcMar>
              <w:start w:w="0" w:type="dxa"/>
              <w:end w:w="0" w:type="dxa"/>
            </w:tcMar>
            <w:tcMar>
              <w:start w:w="0" w:type="dxa"/>
              <w:end w:w="0" w:type="dxa"/>
            </w:tcMar>
          </w:tcPr>
          <w:p>
            <w:pPr>
              <w:autoSpaceDN w:val="0"/>
              <w:autoSpaceDE w:val="0"/>
              <w:widowControl/>
              <w:spacing w:line="233" w:lineRule="auto" w:before="182" w:after="0"/>
              <w:ind w:left="0" w:right="90" w:firstLine="0"/>
              <w:jc w:val="right"/>
            </w:pPr>
            <w:r>
              <w:rPr>
                <w:rFonts w:ascii="Arial" w:hAnsi="Arial" w:eastAsia="Arial"/>
                <w:b w:val="0"/>
                <w:i w:val="0"/>
                <w:color w:val="000000"/>
                <w:sz w:val="22"/>
              </w:rPr>
              <w:t xml:space="preserve">(46,383) </w:t>
            </w:r>
          </w:p>
        </w:tc>
        <w:tc>
          <w:tcPr>
            <w:tcW w:type="dxa" w:w="1728"/>
            <w:vMerge w:val="restart"/>
            <w:tcBorders/>
            <w:tcMar>
              <w:start w:w="0" w:type="dxa"/>
              <w:end w:w="0" w:type="dxa"/>
            </w:tcMar>
            <w:tcMar>
              <w:start w:w="0" w:type="dxa"/>
              <w:end w:w="0" w:type="dxa"/>
            </w:tcMar>
          </w:tcPr>
          <w:p>
            <w:pPr>
              <w:autoSpaceDN w:val="0"/>
              <w:autoSpaceDE w:val="0"/>
              <w:widowControl/>
              <w:spacing w:line="233" w:lineRule="auto" w:before="182" w:after="0"/>
              <w:ind w:left="430" w:right="0" w:firstLine="0"/>
              <w:jc w:val="left"/>
            </w:pPr>
            <w:r>
              <w:rPr>
                <w:rFonts w:ascii="Arial" w:hAnsi="Arial" w:eastAsia="Arial"/>
                <w:b w:val="0"/>
                <w:i w:val="0"/>
                <w:color w:val="000000"/>
                <w:sz w:val="22"/>
              </w:rPr>
              <w:t>29,141,162</w:t>
            </w:r>
          </w:p>
        </w:tc>
      </w:tr>
      <w:tr>
        <w:trPr>
          <w:trHeight w:hRule="exact" w:val="48"/>
        </w:trPr>
        <w:tc>
          <w:tcPr>
            <w:tcW w:type="dxa" w:w="682"/>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58" w:after="0"/>
              <w:ind w:left="0" w:right="0" w:firstLine="0"/>
              <w:jc w:val="center"/>
            </w:pPr>
            <w:r>
              <w:rPr>
                <w:rFonts w:ascii="黑体" w:hAnsi="黑体" w:eastAsia="黑体"/>
                <w:b w:val="0"/>
                <w:i w:val="0"/>
                <w:color w:val="000000"/>
                <w:sz w:val="22"/>
              </w:rPr>
              <w:t>企业债</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72"/>
        </w:trPr>
        <w:tc>
          <w:tcPr>
            <w:tcW w:type="dxa" w:w="1805"/>
            <w:vMerge/>
            <w:tcBorders>
              <w:bottom w:sz="3.199999999999818" w:val="single" w:color="#000000"/>
            </w:tcBorders>
          </w:tcPr>
          <w:p/>
        </w:tc>
        <w:tc>
          <w:tcPr>
            <w:tcW w:type="dxa" w:w="2800"/>
            <w:tcBorders>
              <w:bottom w:sz="3.199999999999818"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 xml:space="preserve">35,334,153 </w:t>
            </w:r>
          </w:p>
        </w:tc>
        <w:tc>
          <w:tcPr>
            <w:tcW w:type="dxa" w:w="1540"/>
            <w:tcBorders>
              <w:bottom w:sz="3.199999999999818" w:val="single" w:color="#000000"/>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2"/>
              </w:rPr>
              <w:t xml:space="preserve">651,550 </w:t>
            </w:r>
          </w:p>
        </w:tc>
        <w:tc>
          <w:tcPr>
            <w:tcW w:type="dxa" w:w="1752"/>
            <w:tcBorders>
              <w:bottom w:sz="3.199999999999818" w:val="single" w:color="#000000"/>
            </w:tcBorders>
            <w:tcMar>
              <w:start w:w="0" w:type="dxa"/>
              <w:end w:w="0" w:type="dxa"/>
            </w:tcMar>
          </w:tcPr>
          <w:p>
            <w:pPr>
              <w:autoSpaceDN w:val="0"/>
              <w:autoSpaceDE w:val="0"/>
              <w:widowControl/>
              <w:spacing w:line="233" w:lineRule="auto" w:before="20" w:after="0"/>
              <w:ind w:left="352" w:right="0" w:firstLine="0"/>
              <w:jc w:val="left"/>
            </w:pPr>
            <w:r>
              <w:rPr>
                <w:rFonts w:ascii="Arial" w:hAnsi="Arial" w:eastAsia="Arial"/>
                <w:b w:val="0"/>
                <w:i w:val="0"/>
                <w:color w:val="000000"/>
                <w:sz w:val="22"/>
              </w:rPr>
              <w:t xml:space="preserve">(35,985,703) </w:t>
            </w:r>
          </w:p>
        </w:tc>
        <w:tc>
          <w:tcPr>
            <w:tcW w:type="dxa" w:w="1728"/>
            <w:tcBorders>
              <w:bottom w:sz="3.199999999999818" w:val="single" w:color="#000000"/>
            </w:tcBorders>
            <w:tcMar>
              <w:start w:w="0" w:type="dxa"/>
              <w:end w:w="0" w:type="dxa"/>
            </w:tcMar>
          </w:tcPr>
          <w:p>
            <w:pPr>
              <w:autoSpaceDN w:val="0"/>
              <w:autoSpaceDE w:val="0"/>
              <w:widowControl/>
              <w:spacing w:line="233" w:lineRule="auto" w:before="20" w:after="0"/>
              <w:ind w:left="0" w:right="198" w:firstLine="0"/>
              <w:jc w:val="right"/>
            </w:pPr>
            <w:r>
              <w:rPr>
                <w:rFonts w:ascii="Arial" w:hAnsi="Arial" w:eastAsia="Arial"/>
                <w:b w:val="0"/>
                <w:i w:val="0"/>
                <w:color w:val="000000"/>
                <w:sz w:val="22"/>
              </w:rPr>
              <w:t>-</w:t>
            </w:r>
          </w:p>
        </w:tc>
      </w:tr>
      <w:tr>
        <w:trPr>
          <w:trHeight w:hRule="exact" w:val="548"/>
        </w:trPr>
        <w:tc>
          <w:tcPr>
            <w:tcW w:type="dxa" w:w="682"/>
            <w:tcBorders>
              <w:top w:sz="3.199999999999818" w:val="single" w:color="#000000"/>
              <w:bottom w:sz="4.0" w:val="single" w:color="#000000"/>
            </w:tcBorders>
            <w:tcMar>
              <w:start w:w="0" w:type="dxa"/>
              <w:end w:w="0" w:type="dxa"/>
            </w:tcMar>
          </w:tcPr>
          <w:p>
            <w:pPr>
              <w:autoSpaceDN w:val="0"/>
              <w:autoSpaceDE w:val="0"/>
              <w:widowControl/>
              <w:spacing w:line="220" w:lineRule="exact" w:before="284" w:after="0"/>
              <w:ind w:left="0" w:right="0" w:firstLine="0"/>
              <w:jc w:val="left"/>
            </w:pPr>
            <w:r>
              <w:rPr>
                <w:rFonts w:ascii="黑体" w:hAnsi="黑体" w:eastAsia="黑体"/>
                <w:b w:val="0"/>
                <w:i w:val="0"/>
                <w:color w:val="000000"/>
                <w:sz w:val="22"/>
              </w:rPr>
              <w:t>合计</w:t>
            </w:r>
          </w:p>
        </w:tc>
        <w:tc>
          <w:tcPr>
            <w:tcW w:type="dxa" w:w="2800"/>
            <w:vMerge w:val="restart"/>
            <w:tcBorders>
              <w:top w:sz="3.199999999999818" w:val="single" w:color="#000000"/>
            </w:tcBorders>
            <w:tcMar>
              <w:start w:w="0" w:type="dxa"/>
              <w:end w:w="0" w:type="dxa"/>
            </w:tcMar>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 xml:space="preserve">64,521,698 </w:t>
            </w:r>
          </w:p>
        </w:tc>
        <w:tc>
          <w:tcPr>
            <w:tcW w:type="dxa" w:w="1540"/>
            <w:vMerge w:val="restart"/>
            <w:tcBorders>
              <w:top w:sz="3.199999999999818" w:val="single" w:color="#000000"/>
            </w:tcBorders>
            <w:tcMar>
              <w:start w:w="0" w:type="dxa"/>
              <w:end w:w="0" w:type="dxa"/>
            </w:tcMar>
            <w:tcMar>
              <w:start w:w="0" w:type="dxa"/>
              <w:end w:w="0" w:type="dxa"/>
            </w:tcMar>
          </w:tcPr>
          <w:p>
            <w:pPr>
              <w:autoSpaceDN w:val="0"/>
              <w:autoSpaceDE w:val="0"/>
              <w:widowControl/>
              <w:spacing w:line="233" w:lineRule="auto" w:before="290" w:after="0"/>
              <w:ind w:left="0" w:right="0" w:firstLine="0"/>
              <w:jc w:val="center"/>
            </w:pPr>
            <w:r>
              <w:rPr>
                <w:rFonts w:ascii="Arial" w:hAnsi="Arial" w:eastAsia="Arial"/>
                <w:b w:val="0"/>
                <w:i w:val="0"/>
                <w:color w:val="000000"/>
                <w:sz w:val="22"/>
              </w:rPr>
              <w:t xml:space="preserve">651,550 </w:t>
            </w:r>
          </w:p>
        </w:tc>
        <w:tc>
          <w:tcPr>
            <w:tcW w:type="dxa" w:w="1752"/>
            <w:vMerge w:val="restart"/>
            <w:tcBorders>
              <w:top w:sz="3.199999999999818" w:val="single" w:color="#000000"/>
            </w:tcBorders>
            <w:tcMar>
              <w:start w:w="0" w:type="dxa"/>
              <w:end w:w="0" w:type="dxa"/>
            </w:tcMar>
            <w:tcMar>
              <w:start w:w="0" w:type="dxa"/>
              <w:end w:w="0" w:type="dxa"/>
            </w:tcMar>
          </w:tcPr>
          <w:p>
            <w:pPr>
              <w:autoSpaceDN w:val="0"/>
              <w:autoSpaceDE w:val="0"/>
              <w:widowControl/>
              <w:spacing w:line="233" w:lineRule="auto" w:before="290" w:after="0"/>
              <w:ind w:left="352" w:right="0" w:firstLine="0"/>
              <w:jc w:val="left"/>
            </w:pPr>
            <w:r>
              <w:rPr>
                <w:rFonts w:ascii="Arial" w:hAnsi="Arial" w:eastAsia="Arial"/>
                <w:b w:val="0"/>
                <w:i w:val="0"/>
                <w:color w:val="000000"/>
                <w:sz w:val="22"/>
              </w:rPr>
              <w:t xml:space="preserve">(36,032,086) </w:t>
            </w:r>
          </w:p>
        </w:tc>
        <w:tc>
          <w:tcPr>
            <w:tcW w:type="dxa" w:w="1728"/>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430" w:right="0" w:firstLine="0"/>
              <w:jc w:val="left"/>
            </w:pPr>
            <w:r>
              <w:rPr>
                <w:rFonts w:ascii="Arial" w:hAnsi="Arial" w:eastAsia="Arial"/>
                <w:b w:val="0"/>
                <w:i w:val="0"/>
                <w:color w:val="000000"/>
                <w:sz w:val="22"/>
              </w:rPr>
              <w:t xml:space="preserve">29,141,162 </w:t>
            </w:r>
          </w:p>
        </w:tc>
      </w:tr>
      <w:tr>
        <w:trPr>
          <w:trHeight w:hRule="exact" w:val="52"/>
        </w:trPr>
        <w:tc>
          <w:tcPr>
            <w:tcW w:type="dxa" w:w="682"/>
            <w:tcBorders>
              <w:top w:sz="4.0" w:val="single" w:color="#000000"/>
            </w:tcBorders>
            <w:tcMar>
              <w:start w:w="0" w:type="dxa"/>
              <w:end w:w="0" w:type="dxa"/>
            </w:tcMar>
          </w:tcPr>
          <w:p/>
        </w:tc>
        <w:tc>
          <w:tcPr>
            <w:tcW w:type="dxa" w:w="1805"/>
            <w:vMerge/>
            <w:tcBorders>
              <w:top w:sz="3.199999999999818" w:val="single" w:color="#000000"/>
            </w:tcBorders>
          </w:tcPr>
          <w:p/>
        </w:tc>
        <w:tc>
          <w:tcPr>
            <w:tcW w:type="dxa" w:w="1805"/>
            <w:vMerge/>
            <w:tcBorders>
              <w:top w:sz="3.199999999999818" w:val="single" w:color="#000000"/>
            </w:tcBorders>
          </w:tcPr>
          <w:p/>
        </w:tc>
        <w:tc>
          <w:tcPr>
            <w:tcW w:type="dxa" w:w="1805"/>
            <w:vMerge/>
            <w:tcBorders>
              <w:top w:sz="3.199999999999818" w:val="single" w:color="#000000"/>
            </w:tcBorders>
          </w:tcPr>
          <w:p/>
        </w:tc>
        <w:tc>
          <w:tcPr>
            <w:tcW w:type="dxa" w:w="1728"/>
            <w:tcBorders>
              <w:top w:sz="4.0" w:val="single" w:color="#000000"/>
            </w:tcBorders>
            <w:tcMar>
              <w:start w:w="0" w:type="dxa"/>
              <w:end w:w="0" w:type="dxa"/>
            </w:tcMar>
          </w:tcPr>
          <w:p/>
        </w:tc>
      </w:tr>
    </w:tbl>
    <w:p>
      <w:pPr>
        <w:autoSpaceDN w:val="0"/>
        <w:autoSpaceDE w:val="0"/>
        <w:widowControl/>
        <w:spacing w:line="286" w:lineRule="exact" w:before="242" w:after="0"/>
        <w:ind w:left="358" w:right="288" w:firstLine="0"/>
        <w:jc w:val="left"/>
      </w:pPr>
      <w:r>
        <w:rPr>
          <w:rFonts w:ascii="黑体" w:hAnsi="黑体" w:eastAsia="黑体"/>
          <w:b w:val="0"/>
          <w:i w:val="0"/>
          <w:color w:val="000000"/>
          <w:sz w:val="22"/>
        </w:rPr>
        <w:t>于</w:t>
      </w:r>
      <w:r>
        <w:rPr>
          <w:rFonts w:ascii="Calibri" w:hAnsi="Calibri" w:eastAsia="Calibri"/>
          <w:b w:val="0"/>
          <w:i w:val="0"/>
          <w:color w:val="000000"/>
          <w:sz w:val="22"/>
        </w:rPr>
        <w:t>2024</w:t>
      </w:r>
      <w:r>
        <w:rPr>
          <w:rFonts w:ascii="黑体" w:hAnsi="黑体" w:eastAsia="黑体"/>
          <w:b w:val="0"/>
          <w:i w:val="0"/>
          <w:color w:val="000000"/>
          <w:sz w:val="22"/>
        </w:rPr>
        <w:t>年</w:t>
      </w: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日，本集团不存在单项金额重要的债权投资（</w:t>
      </w:r>
      <w:r>
        <w:rPr>
          <w:rFonts w:ascii="Calibri" w:hAnsi="Calibri" w:eastAsia="Calibri"/>
          <w:b w:val="0"/>
          <w:i w:val="0"/>
          <w:color w:val="000000"/>
          <w:sz w:val="22"/>
        </w:rPr>
        <w:t>2023</w:t>
      </w:r>
      <w:r>
        <w:rPr>
          <w:rFonts w:ascii="黑体" w:hAnsi="黑体" w:eastAsia="黑体"/>
          <w:b w:val="0"/>
          <w:i w:val="0"/>
          <w:color w:val="000000"/>
          <w:sz w:val="22"/>
        </w:rPr>
        <w:t>年</w:t>
      </w:r>
      <w:r>
        <w:rPr>
          <w:rFonts w:ascii="Calibri" w:hAnsi="Calibri" w:eastAsia="Calibri"/>
          <w:b w:val="0"/>
          <w:i w:val="0"/>
          <w:color w:val="000000"/>
          <w:sz w:val="22"/>
        </w:rPr>
        <w:t>12</w:t>
      </w:r>
      <w:r>
        <w:rPr>
          <w:rFonts w:ascii="黑体" w:hAnsi="黑体" w:eastAsia="黑体"/>
          <w:b w:val="0"/>
          <w:i w:val="0"/>
          <w:color w:val="000000"/>
          <w:sz w:val="22"/>
        </w:rPr>
        <w:t>月</w:t>
      </w:r>
      <w:r>
        <w:rPr>
          <w:rFonts w:ascii="Calibri" w:hAnsi="Calibri" w:eastAsia="Calibri"/>
          <w:b w:val="0"/>
          <w:i w:val="0"/>
          <w:color w:val="000000"/>
          <w:sz w:val="22"/>
        </w:rPr>
        <w:t>31</w:t>
      </w:r>
      <w:r>
        <w:rPr>
          <w:rFonts w:ascii="黑体" w:hAnsi="黑体" w:eastAsia="黑体"/>
          <w:b w:val="0"/>
          <w:i w:val="0"/>
          <w:color w:val="000000"/>
          <w:sz w:val="22"/>
        </w:rPr>
        <w:t>日：无）。</w:t>
      </w:r>
      <w:r>
        <w:rPr>
          <w:rFonts w:ascii="黑体" w:hAnsi="黑体" w:eastAsia="黑体"/>
          <w:b w:val="0"/>
          <w:i w:val="0"/>
          <w:color w:val="000000"/>
          <w:sz w:val="22"/>
        </w:rPr>
        <w:t>以上债权投资减值准备的变动情况参见附注五、</w:t>
      </w:r>
      <w:r>
        <w:rPr>
          <w:rFonts w:ascii="Calibri" w:hAnsi="Calibri" w:eastAsia="Calibri"/>
          <w:b w:val="0"/>
          <w:i w:val="0"/>
          <w:color w:val="000000"/>
          <w:sz w:val="22"/>
        </w:rPr>
        <w:t>18</w:t>
      </w:r>
      <w:r>
        <w:rPr>
          <w:rFonts w:ascii="黑体" w:hAnsi="黑体" w:eastAsia="黑体"/>
          <w:b w:val="0"/>
          <w:i w:val="0"/>
          <w:color w:val="000000"/>
          <w:sz w:val="22"/>
        </w:rPr>
        <w:t>。</w:t>
      </w:r>
    </w:p>
    <w:p>
      <w:pPr>
        <w:autoSpaceDN w:val="0"/>
        <w:tabs>
          <w:tab w:pos="1086" w:val="left"/>
          <w:tab w:pos="4612" w:val="left"/>
        </w:tabs>
        <w:autoSpaceDE w:val="0"/>
        <w:widowControl/>
        <w:spacing w:line="492" w:lineRule="exact" w:before="42" w:after="18"/>
        <w:ind w:left="358" w:right="3024" w:firstLine="0"/>
        <w:jc w:val="left"/>
      </w:pPr>
      <w:r>
        <w:rPr>
          <w:rFonts w:ascii="Arial,Bold" w:hAnsi="Arial,Bold" w:eastAsia="Arial,Bold"/>
          <w:b/>
          <w:i w:val="0"/>
          <w:color w:val="000000"/>
          <w:sz w:val="22"/>
        </w:rPr>
        <w:t xml:space="preserve">10. </w:t>
      </w:r>
      <w:r>
        <w:rPr>
          <w:rFonts w:ascii="黑体" w:hAnsi="黑体" w:eastAsia="黑体"/>
          <w:b w:val="0"/>
          <w:i w:val="0"/>
          <w:color w:val="000000"/>
          <w:sz w:val="22"/>
        </w:rPr>
        <w:t>其他债权投资</w:t>
      </w:r>
      <w:r>
        <w:br/>
      </w:r>
      <w:r>
        <w:tab/>
      </w:r>
      <w:r>
        <w:tab/>
      </w: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337"/>
        </w:trPr>
        <w:tc>
          <w:tcPr>
            <w:tcW w:type="dxa" w:w="1418"/>
            <w:vMerge w:val="restart"/>
            <w:tcBorders>
              <w:top w:sz="4.0" w:val="single" w:color="#000000"/>
            </w:tcBorders>
            <w:tcMar>
              <w:start w:w="0" w:type="dxa"/>
              <w:end w:w="0" w:type="dxa"/>
            </w:tcMar>
            <w:tcMar>
              <w:start w:w="0" w:type="dxa"/>
              <w:end w:w="0" w:type="dxa"/>
            </w:tcMar>
          </w:tcPr>
          <w:p>
            <w:pPr>
              <w:autoSpaceDN w:val="0"/>
              <w:autoSpaceDE w:val="0"/>
              <w:widowControl/>
              <w:spacing w:line="180" w:lineRule="exact" w:before="464" w:after="0"/>
              <w:ind w:left="198" w:right="0" w:firstLine="0"/>
              <w:jc w:val="left"/>
            </w:pPr>
            <w:r>
              <w:rPr>
                <w:rFonts w:ascii="黑体" w:hAnsi="黑体" w:eastAsia="黑体"/>
                <w:b w:val="0"/>
                <w:i w:val="0"/>
                <w:color w:val="000000"/>
                <w:sz w:val="18"/>
              </w:rPr>
              <w:t>公司债</w:t>
            </w:r>
          </w:p>
        </w:tc>
        <w:tc>
          <w:tcPr>
            <w:tcW w:type="dxa" w:w="1248"/>
            <w:tcBorders/>
            <w:tcMar>
              <w:start w:w="0" w:type="dxa"/>
              <w:end w:w="0" w:type="dxa"/>
            </w:tcMar>
          </w:tcPr>
          <w:p>
            <w:pPr>
              <w:autoSpaceDN w:val="0"/>
              <w:autoSpaceDE w:val="0"/>
              <w:widowControl/>
              <w:spacing w:line="180" w:lineRule="exact" w:before="28" w:after="0"/>
              <w:ind w:left="0" w:right="0" w:firstLine="0"/>
              <w:jc w:val="right"/>
            </w:pPr>
            <w:r>
              <w:rPr>
                <w:rFonts w:ascii="黑体" w:hAnsi="黑体" w:eastAsia="黑体"/>
                <w:b w:val="0"/>
                <w:i w:val="0"/>
                <w:color w:val="000000"/>
                <w:sz w:val="18"/>
              </w:rPr>
              <w:t>初始成本</w:t>
            </w:r>
          </w:p>
        </w:tc>
        <w:tc>
          <w:tcPr>
            <w:tcW w:type="dxa" w:w="1584"/>
            <w:tcBorders/>
            <w:tcMar>
              <w:start w:w="0" w:type="dxa"/>
              <w:end w:w="0" w:type="dxa"/>
            </w:tcMar>
          </w:tcPr>
          <w:p>
            <w:pPr>
              <w:autoSpaceDN w:val="0"/>
              <w:autoSpaceDE w:val="0"/>
              <w:widowControl/>
              <w:spacing w:line="180" w:lineRule="exact" w:before="28" w:after="0"/>
              <w:ind w:left="0" w:right="228" w:firstLine="0"/>
              <w:jc w:val="right"/>
            </w:pPr>
            <w:r>
              <w:rPr>
                <w:rFonts w:ascii="黑体" w:hAnsi="黑体" w:eastAsia="黑体"/>
                <w:b w:val="0"/>
                <w:i w:val="0"/>
                <w:color w:val="000000"/>
                <w:sz w:val="18"/>
              </w:rPr>
              <w:t>利息</w:t>
            </w:r>
          </w:p>
        </w:tc>
        <w:tc>
          <w:tcPr>
            <w:tcW w:type="dxa" w:w="1418"/>
            <w:tcBorders/>
            <w:tcMar>
              <w:start w:w="0" w:type="dxa"/>
              <w:end w:w="0" w:type="dxa"/>
            </w:tcMar>
          </w:tcPr>
          <w:p>
            <w:pPr>
              <w:autoSpaceDN w:val="0"/>
              <w:autoSpaceDE w:val="0"/>
              <w:widowControl/>
              <w:spacing w:line="180" w:lineRule="exact" w:before="28" w:after="0"/>
              <w:ind w:left="222" w:right="0" w:firstLine="0"/>
              <w:jc w:val="left"/>
            </w:pPr>
            <w:r>
              <w:rPr>
                <w:rFonts w:ascii="黑体" w:hAnsi="黑体" w:eastAsia="黑体"/>
                <w:b w:val="0"/>
                <w:i w:val="0"/>
                <w:color w:val="000000"/>
                <w:sz w:val="18"/>
              </w:rPr>
              <w:t>公允价值变动</w:t>
            </w:r>
          </w:p>
        </w:tc>
        <w:tc>
          <w:tcPr>
            <w:tcW w:type="dxa" w:w="1416"/>
            <w:tcBorders/>
            <w:tcMar>
              <w:start w:w="0" w:type="dxa"/>
              <w:end w:w="0" w:type="dxa"/>
            </w:tcMar>
          </w:tcPr>
          <w:p>
            <w:pPr>
              <w:autoSpaceDN w:val="0"/>
              <w:autoSpaceDE w:val="0"/>
              <w:widowControl/>
              <w:spacing w:line="180" w:lineRule="exact" w:before="28" w:after="0"/>
              <w:ind w:left="0" w:right="0" w:firstLine="0"/>
              <w:jc w:val="right"/>
            </w:pPr>
            <w:r>
              <w:rPr>
                <w:rFonts w:ascii="黑体" w:hAnsi="黑体" w:eastAsia="黑体"/>
                <w:b w:val="0"/>
                <w:i w:val="0"/>
                <w:color w:val="000000"/>
                <w:sz w:val="18"/>
              </w:rPr>
              <w:t>账面价值</w:t>
            </w:r>
          </w:p>
        </w:tc>
        <w:tc>
          <w:tcPr>
            <w:tcW w:type="dxa" w:w="1636"/>
            <w:gridSpan w:val="2"/>
            <w:tcBorders/>
            <w:tcMar>
              <w:start w:w="0" w:type="dxa"/>
              <w:end w:w="0" w:type="dxa"/>
            </w:tcMar>
            <w:tcMar>
              <w:start w:w="0" w:type="dxa"/>
              <w:end w:w="0" w:type="dxa"/>
            </w:tcMar>
          </w:tcPr>
          <w:p>
            <w:pPr>
              <w:autoSpaceDN w:val="0"/>
              <w:autoSpaceDE w:val="0"/>
              <w:widowControl/>
              <w:spacing w:line="180" w:lineRule="exact" w:before="28" w:after="0"/>
              <w:ind w:left="338" w:right="0" w:firstLine="0"/>
              <w:jc w:val="left"/>
            </w:pPr>
            <w:r>
              <w:rPr>
                <w:rFonts w:ascii="黑体" w:hAnsi="黑体" w:eastAsia="黑体"/>
                <w:b w:val="0"/>
                <w:i w:val="0"/>
                <w:color w:val="000000"/>
                <w:sz w:val="18"/>
              </w:rPr>
              <w:t>累计减值准备</w:t>
            </w:r>
          </w:p>
        </w:tc>
      </w:tr>
      <w:tr>
        <w:trPr>
          <w:trHeight w:hRule="exact" w:val="320"/>
        </w:trPr>
        <w:tc>
          <w:tcPr>
            <w:tcW w:type="dxa" w:w="1289"/>
            <w:vMerge/>
            <w:tcBorders>
              <w:top w:sz="4.0" w:val="single" w:color="#000000"/>
            </w:tcBorders>
          </w:tcPr>
          <w:p/>
        </w:tc>
        <w:tc>
          <w:tcPr>
            <w:tcW w:type="dxa" w:w="1248"/>
            <w:tcBorders/>
            <w:tcMar>
              <w:start w:w="0" w:type="dxa"/>
              <w:end w:w="0" w:type="dxa"/>
            </w:tcMar>
          </w:tcPr>
          <w:p>
            <w:pPr>
              <w:autoSpaceDN w:val="0"/>
              <w:autoSpaceDE w:val="0"/>
              <w:widowControl/>
              <w:spacing w:line="235" w:lineRule="auto" w:before="118" w:after="0"/>
              <w:ind w:left="246" w:right="0" w:firstLine="0"/>
              <w:jc w:val="left"/>
            </w:pPr>
            <w:r>
              <w:rPr>
                <w:rFonts w:ascii="Arial" w:hAnsi="Arial" w:eastAsia="Arial"/>
                <w:b w:val="0"/>
                <w:i w:val="0"/>
                <w:color w:val="000000"/>
                <w:sz w:val="18"/>
              </w:rPr>
              <w:t>154,588,709</w:t>
            </w:r>
          </w:p>
        </w:tc>
        <w:tc>
          <w:tcPr>
            <w:tcW w:type="dxa" w:w="1584"/>
            <w:tcBorders/>
            <w:tcMar>
              <w:start w:w="0" w:type="dxa"/>
              <w:end w:w="0" w:type="dxa"/>
            </w:tcMar>
          </w:tcPr>
          <w:p>
            <w:pPr>
              <w:autoSpaceDN w:val="0"/>
              <w:autoSpaceDE w:val="0"/>
              <w:widowControl/>
              <w:spacing w:line="235" w:lineRule="auto" w:before="118" w:after="0"/>
              <w:ind w:left="0" w:right="178" w:firstLine="0"/>
              <w:jc w:val="right"/>
            </w:pPr>
            <w:r>
              <w:rPr>
                <w:rFonts w:ascii="Arial" w:hAnsi="Arial" w:eastAsia="Arial"/>
                <w:b w:val="0"/>
                <w:i w:val="0"/>
                <w:color w:val="000000"/>
                <w:sz w:val="18"/>
              </w:rPr>
              <w:t xml:space="preserve">2,723,149 </w:t>
            </w:r>
          </w:p>
        </w:tc>
        <w:tc>
          <w:tcPr>
            <w:tcW w:type="dxa" w:w="1418"/>
            <w:tcBorders/>
            <w:tcMar>
              <w:start w:w="0" w:type="dxa"/>
              <w:end w:w="0" w:type="dxa"/>
            </w:tcMar>
          </w:tcPr>
          <w:p>
            <w:pPr>
              <w:autoSpaceDN w:val="0"/>
              <w:autoSpaceDE w:val="0"/>
              <w:widowControl/>
              <w:spacing w:line="235" w:lineRule="auto" w:before="118" w:after="0"/>
              <w:ind w:left="242" w:right="0" w:firstLine="0"/>
              <w:jc w:val="left"/>
            </w:pPr>
            <w:r>
              <w:rPr>
                <w:rFonts w:ascii="Arial" w:hAnsi="Arial" w:eastAsia="Arial"/>
                <w:b w:val="0"/>
                <w:i w:val="0"/>
                <w:color w:val="000000"/>
                <w:sz w:val="18"/>
              </w:rPr>
              <w:t xml:space="preserve">(128,956,279 ) </w:t>
            </w:r>
          </w:p>
        </w:tc>
        <w:tc>
          <w:tcPr>
            <w:tcW w:type="dxa" w:w="3052"/>
            <w:gridSpan w:val="3"/>
            <w:tcBorders/>
            <w:tcMar>
              <w:start w:w="0" w:type="dxa"/>
              <w:end w:w="0" w:type="dxa"/>
            </w:tcMar>
            <w:tcMar>
              <w:start w:w="0" w:type="dxa"/>
              <w:end w:w="0" w:type="dxa"/>
            </w:tcMar>
            <w:tcMar>
              <w:start w:w="0" w:type="dxa"/>
              <w:end w:w="0" w:type="dxa"/>
            </w:tcMar>
          </w:tcPr>
          <w:p>
            <w:pPr>
              <w:autoSpaceDN w:val="0"/>
              <w:autoSpaceDE w:val="0"/>
              <w:widowControl/>
              <w:spacing w:line="235" w:lineRule="auto" w:before="118" w:after="0"/>
              <w:ind w:left="516" w:right="0" w:firstLine="0"/>
              <w:jc w:val="left"/>
            </w:pPr>
            <w:r>
              <w:rPr>
                <w:rFonts w:ascii="Arial" w:hAnsi="Arial" w:eastAsia="Arial"/>
                <w:b w:val="0"/>
                <w:i w:val="0"/>
                <w:color w:val="000000"/>
                <w:sz w:val="18"/>
              </w:rPr>
              <w:t xml:space="preserve">28,355,579   (110,553,571) </w:t>
            </w:r>
          </w:p>
        </w:tc>
      </w:tr>
      <w:tr>
        <w:trPr>
          <w:trHeight w:hRule="exact" w:val="220"/>
        </w:trPr>
        <w:tc>
          <w:tcPr>
            <w:tcW w:type="dxa" w:w="1418"/>
            <w:tcBorders/>
            <w:tcMar>
              <w:start w:w="0" w:type="dxa"/>
              <w:end w:w="0" w:type="dxa"/>
            </w:tcMar>
          </w:tcPr>
          <w:p>
            <w:pPr>
              <w:autoSpaceDN w:val="0"/>
              <w:autoSpaceDE w:val="0"/>
              <w:widowControl/>
              <w:spacing w:line="180" w:lineRule="exact" w:before="40" w:after="0"/>
              <w:ind w:left="198" w:right="0" w:firstLine="0"/>
              <w:jc w:val="left"/>
            </w:pPr>
            <w:r>
              <w:rPr>
                <w:rFonts w:ascii="黑体" w:hAnsi="黑体" w:eastAsia="黑体"/>
                <w:b w:val="0"/>
                <w:i w:val="0"/>
                <w:color w:val="000000"/>
                <w:sz w:val="18"/>
              </w:rPr>
              <w:t>企业债</w:t>
            </w:r>
          </w:p>
        </w:tc>
        <w:tc>
          <w:tcPr>
            <w:tcW w:type="dxa" w:w="1248"/>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18,000,000</w:t>
            </w:r>
          </w:p>
        </w:tc>
        <w:tc>
          <w:tcPr>
            <w:tcW w:type="dxa" w:w="1584"/>
            <w:vMerge w:val="restart"/>
            <w:tcBorders/>
            <w:tcMar>
              <w:start w:w="0" w:type="dxa"/>
              <w:end w:w="0" w:type="dxa"/>
            </w:tcMar>
            <w:tcMar>
              <w:start w:w="0" w:type="dxa"/>
              <w:end w:w="0" w:type="dxa"/>
            </w:tcMar>
          </w:tcPr>
          <w:p>
            <w:pPr>
              <w:autoSpaceDN w:val="0"/>
              <w:autoSpaceDE w:val="0"/>
              <w:widowControl/>
              <w:spacing w:line="233" w:lineRule="auto" w:before="52" w:after="0"/>
              <w:ind w:left="0" w:right="116" w:firstLine="0"/>
              <w:jc w:val="right"/>
            </w:pPr>
            <w:r>
              <w:rPr>
                <w:rFonts w:ascii="Arial" w:hAnsi="Arial" w:eastAsia="Arial"/>
                <w:b w:val="0"/>
                <w:i w:val="0"/>
                <w:color w:val="000000"/>
                <w:sz w:val="18"/>
              </w:rPr>
              <w:t xml:space="preserve">(910,925 ) </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52" w:after="0"/>
              <w:ind w:left="0" w:right="64" w:firstLine="0"/>
              <w:jc w:val="right"/>
            </w:pPr>
            <w:r>
              <w:rPr>
                <w:rFonts w:ascii="Arial" w:hAnsi="Arial" w:eastAsia="Arial"/>
                <w:b w:val="0"/>
                <w:i w:val="0"/>
                <w:color w:val="000000"/>
                <w:sz w:val="18"/>
              </w:rPr>
              <w:t xml:space="preserve">2,600,681 </w:t>
            </w:r>
          </w:p>
        </w:tc>
        <w:tc>
          <w:tcPr>
            <w:tcW w:type="dxa" w:w="161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52" w:after="0"/>
              <w:ind w:left="0" w:right="140" w:firstLine="0"/>
              <w:jc w:val="right"/>
            </w:pPr>
            <w:r>
              <w:rPr>
                <w:rFonts w:ascii="Arial" w:hAnsi="Arial" w:eastAsia="Arial"/>
                <w:b w:val="0"/>
                <w:i w:val="0"/>
                <w:color w:val="000000"/>
                <w:sz w:val="18"/>
              </w:rPr>
              <w:t xml:space="preserve">19,689,756 </w:t>
            </w:r>
          </w:p>
        </w:tc>
        <w:tc>
          <w:tcPr>
            <w:tcW w:type="dxa" w:w="1440"/>
            <w:vMerge w:val="restart"/>
            <w:tcBorders/>
            <w:tcMar>
              <w:start w:w="0" w:type="dxa"/>
              <w:end w:w="0" w:type="dxa"/>
            </w:tcMar>
            <w:tcMar>
              <w:start w:w="0" w:type="dxa"/>
              <w:end w:w="0" w:type="dxa"/>
            </w:tcMar>
          </w:tcPr>
          <w:p>
            <w:pPr>
              <w:autoSpaceDN w:val="0"/>
              <w:autoSpaceDE w:val="0"/>
              <w:widowControl/>
              <w:spacing w:line="233" w:lineRule="auto" w:before="52" w:after="0"/>
              <w:ind w:left="0" w:right="108" w:firstLine="0"/>
              <w:jc w:val="right"/>
            </w:pPr>
            <w:r>
              <w:rPr>
                <w:rFonts w:ascii="Arial" w:hAnsi="Arial" w:eastAsia="Arial"/>
                <w:b w:val="0"/>
                <w:i w:val="0"/>
                <w:color w:val="000000"/>
                <w:sz w:val="18"/>
              </w:rPr>
              <w:t xml:space="preserve">(113,996) </w:t>
            </w:r>
          </w:p>
        </w:tc>
      </w:tr>
      <w:tr>
        <w:trPr>
          <w:trHeight w:hRule="exact" w:val="48"/>
        </w:trPr>
        <w:tc>
          <w:tcPr>
            <w:tcW w:type="dxa" w:w="1418"/>
            <w:vMerge w:val="restart"/>
            <w:tcBorders/>
            <w:tcMar>
              <w:start w:w="0" w:type="dxa"/>
              <w:end w:w="0" w:type="dxa"/>
            </w:tcMar>
            <w:tcMar>
              <w:start w:w="0" w:type="dxa"/>
              <w:end w:w="0" w:type="dxa"/>
            </w:tcMar>
          </w:tcPr>
          <w:p>
            <w:pPr>
              <w:autoSpaceDN w:val="0"/>
              <w:autoSpaceDE w:val="0"/>
              <w:widowControl/>
              <w:spacing w:line="180" w:lineRule="exact" w:before="58" w:after="0"/>
              <w:ind w:left="198" w:right="0" w:firstLine="0"/>
              <w:jc w:val="left"/>
            </w:pPr>
            <w:r>
              <w:rPr>
                <w:rFonts w:ascii="黑体" w:hAnsi="黑体" w:eastAsia="黑体"/>
                <w:b w:val="0"/>
                <w:i w:val="0"/>
                <w:color w:val="000000"/>
                <w:sz w:val="18"/>
              </w:rPr>
              <w:t>中期票据</w:t>
            </w:r>
          </w:p>
        </w:tc>
        <w:tc>
          <w:tcPr>
            <w:tcW w:type="dxa" w:w="1289"/>
            <w:vMerge/>
            <w:tcBorders/>
          </w:tcPr>
          <w:p/>
        </w:tc>
        <w:tc>
          <w:tcPr>
            <w:tcW w:type="dxa" w:w="1289"/>
            <w:vMerge/>
            <w:tcBorders/>
          </w:tcPr>
          <w:p/>
        </w:tc>
        <w:tc>
          <w:tcPr>
            <w:tcW w:type="dxa" w:w="1289"/>
            <w:vMerge/>
            <w:tcBorders/>
          </w:tcPr>
          <w:p/>
        </w:tc>
        <w:tc>
          <w:tcPr>
            <w:tcW w:type="dxa" w:w="2578"/>
            <w:gridSpan w:val="2"/>
            <w:vMerge/>
            <w:tcBorders/>
          </w:tcPr>
          <w:p/>
        </w:tc>
        <w:tc>
          <w:tcPr>
            <w:tcW w:type="dxa" w:w="1289"/>
            <w:vMerge/>
            <w:tcBorders/>
          </w:tcPr>
          <w:p/>
        </w:tc>
      </w:tr>
      <w:tr>
        <w:trPr>
          <w:trHeight w:hRule="exact" w:val="229"/>
        </w:trPr>
        <w:tc>
          <w:tcPr>
            <w:tcW w:type="dxa" w:w="1289"/>
            <w:vMerge/>
            <w:tcBorders/>
          </w:tcPr>
          <w:p/>
        </w:tc>
        <w:tc>
          <w:tcPr>
            <w:tcW w:type="dxa" w:w="1248"/>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30,000,000</w:t>
            </w:r>
          </w:p>
        </w:tc>
        <w:tc>
          <w:tcPr>
            <w:tcW w:type="dxa" w:w="1584"/>
            <w:tcBorders/>
            <w:tcMar>
              <w:start w:w="0" w:type="dxa"/>
              <w:end w:w="0" w:type="dxa"/>
            </w:tcMar>
          </w:tcPr>
          <w:p>
            <w:pPr>
              <w:autoSpaceDN w:val="0"/>
              <w:autoSpaceDE w:val="0"/>
              <w:widowControl/>
              <w:spacing w:line="233" w:lineRule="auto" w:before="16" w:after="0"/>
              <w:ind w:left="0" w:right="178" w:firstLine="0"/>
              <w:jc w:val="right"/>
            </w:pPr>
            <w:r>
              <w:rPr>
                <w:rFonts w:ascii="Arial" w:hAnsi="Arial" w:eastAsia="Arial"/>
                <w:b w:val="0"/>
                <w:i w:val="0"/>
                <w:color w:val="000000"/>
                <w:sz w:val="18"/>
              </w:rPr>
              <w:t xml:space="preserve">1,099,586 </w:t>
            </w:r>
          </w:p>
        </w:tc>
        <w:tc>
          <w:tcPr>
            <w:tcW w:type="dxa" w:w="1418"/>
            <w:tcBorders/>
            <w:tcMar>
              <w:start w:w="0" w:type="dxa"/>
              <w:end w:w="0" w:type="dxa"/>
            </w:tcMar>
          </w:tcPr>
          <w:p>
            <w:pPr>
              <w:autoSpaceDN w:val="0"/>
              <w:autoSpaceDE w:val="0"/>
              <w:widowControl/>
              <w:spacing w:line="233" w:lineRule="auto" w:before="16" w:after="0"/>
              <w:ind w:left="342" w:right="0" w:firstLine="0"/>
              <w:jc w:val="left"/>
            </w:pPr>
            <w:r>
              <w:rPr>
                <w:rFonts w:ascii="Arial" w:hAnsi="Arial" w:eastAsia="Arial"/>
                <w:b w:val="0"/>
                <w:i w:val="0"/>
                <w:color w:val="000000"/>
                <w:sz w:val="18"/>
              </w:rPr>
              <w:t xml:space="preserve">(25,434,326 ) </w:t>
            </w:r>
          </w:p>
        </w:tc>
        <w:tc>
          <w:tcPr>
            <w:tcW w:type="dxa" w:w="1612"/>
            <w:gridSpan w:val="2"/>
            <w:tcBorders/>
            <w:tcMar>
              <w:start w:w="0" w:type="dxa"/>
              <w:end w:w="0" w:type="dxa"/>
            </w:tcMar>
            <w:tcMar>
              <w:start w:w="0" w:type="dxa"/>
              <w:end w:w="0" w:type="dxa"/>
            </w:tcMar>
          </w:tcPr>
          <w:p>
            <w:pPr>
              <w:autoSpaceDN w:val="0"/>
              <w:autoSpaceDE w:val="0"/>
              <w:widowControl/>
              <w:spacing w:line="233" w:lineRule="auto" w:before="16" w:after="0"/>
              <w:ind w:left="0" w:right="140" w:firstLine="0"/>
              <w:jc w:val="right"/>
            </w:pPr>
            <w:r>
              <w:rPr>
                <w:rFonts w:ascii="Arial" w:hAnsi="Arial" w:eastAsia="Arial"/>
                <w:b w:val="0"/>
                <w:i w:val="0"/>
                <w:color w:val="000000"/>
                <w:sz w:val="18"/>
              </w:rPr>
              <w:t xml:space="preserve">5,665,260 </w:t>
            </w:r>
          </w:p>
        </w:tc>
        <w:tc>
          <w:tcPr>
            <w:tcW w:type="dxa" w:w="1440"/>
            <w:tcBorders/>
            <w:tcMar>
              <w:start w:w="0" w:type="dxa"/>
              <w:end w:w="0" w:type="dxa"/>
            </w:tcMar>
          </w:tcPr>
          <w:p>
            <w:pPr>
              <w:autoSpaceDN w:val="0"/>
              <w:autoSpaceDE w:val="0"/>
              <w:widowControl/>
              <w:spacing w:line="233" w:lineRule="auto" w:before="16" w:after="0"/>
              <w:ind w:left="262" w:right="0" w:firstLine="0"/>
              <w:jc w:val="left"/>
            </w:pPr>
            <w:r>
              <w:rPr>
                <w:rFonts w:ascii="Arial" w:hAnsi="Arial" w:eastAsia="Arial"/>
                <w:b w:val="0"/>
                <w:i w:val="0"/>
                <w:color w:val="000000"/>
                <w:sz w:val="18"/>
              </w:rPr>
              <w:t xml:space="preserve">(21,769,711) </w:t>
            </w:r>
          </w:p>
        </w:tc>
      </w:tr>
      <w:tr>
        <w:trPr>
          <w:trHeight w:hRule="exact" w:val="228"/>
        </w:trPr>
        <w:tc>
          <w:tcPr>
            <w:tcW w:type="dxa" w:w="1418"/>
            <w:tcBorders>
              <w:bottom w:sz="3.199999999999818" w:val="single" w:color="#000000"/>
            </w:tcBorders>
            <w:tcMar>
              <w:start w:w="0" w:type="dxa"/>
              <w:end w:w="0" w:type="dxa"/>
            </w:tcMar>
          </w:tcPr>
          <w:p>
            <w:pPr>
              <w:autoSpaceDN w:val="0"/>
              <w:autoSpaceDE w:val="0"/>
              <w:widowControl/>
              <w:spacing w:line="180" w:lineRule="exact" w:before="12" w:after="0"/>
              <w:ind w:left="0" w:right="0" w:firstLine="0"/>
              <w:jc w:val="center"/>
            </w:pPr>
            <w:r>
              <w:rPr>
                <w:rFonts w:ascii="黑体" w:hAnsi="黑体" w:eastAsia="黑体"/>
                <w:b w:val="0"/>
                <w:i w:val="0"/>
                <w:color w:val="000000"/>
                <w:sz w:val="18"/>
              </w:rPr>
              <w:t>资产支持证券</w:t>
            </w:r>
          </w:p>
        </w:tc>
        <w:tc>
          <w:tcPr>
            <w:tcW w:type="dxa" w:w="1248"/>
            <w:tcBorders>
              <w:bottom w:sz="3.199999999999818" w:val="single" w:color="#000000"/>
            </w:tcBorders>
            <w:tcMar>
              <w:start w:w="0" w:type="dxa"/>
              <w:end w:w="0" w:type="dxa"/>
            </w:tcMar>
          </w:tcPr>
          <w:p>
            <w:pPr>
              <w:autoSpaceDN w:val="0"/>
              <w:autoSpaceDE w:val="0"/>
              <w:widowControl/>
              <w:spacing w:line="235" w:lineRule="auto" w:before="18" w:after="0"/>
              <w:ind w:left="0" w:right="0" w:firstLine="0"/>
              <w:jc w:val="right"/>
            </w:pPr>
            <w:r>
              <w:rPr>
                <w:rFonts w:ascii="Arial" w:hAnsi="Arial" w:eastAsia="Arial"/>
                <w:b w:val="0"/>
                <w:i w:val="0"/>
                <w:color w:val="000000"/>
                <w:sz w:val="18"/>
              </w:rPr>
              <w:t>10,834,488</w:t>
            </w:r>
          </w:p>
        </w:tc>
        <w:tc>
          <w:tcPr>
            <w:tcW w:type="dxa" w:w="1584"/>
            <w:tcBorders>
              <w:bottom w:sz="3.199999999999818" w:val="single" w:color="#000000"/>
            </w:tcBorders>
            <w:tcMar>
              <w:start w:w="0" w:type="dxa"/>
              <w:end w:w="0" w:type="dxa"/>
            </w:tcMar>
          </w:tcPr>
          <w:p>
            <w:pPr>
              <w:autoSpaceDN w:val="0"/>
              <w:autoSpaceDE w:val="0"/>
              <w:widowControl/>
              <w:spacing w:line="235" w:lineRule="auto" w:before="18" w:after="0"/>
              <w:ind w:left="0" w:right="178" w:firstLine="0"/>
              <w:jc w:val="right"/>
            </w:pPr>
            <w:r>
              <w:rPr>
                <w:rFonts w:ascii="Arial" w:hAnsi="Arial" w:eastAsia="Arial"/>
                <w:b w:val="0"/>
                <w:i w:val="0"/>
                <w:color w:val="000000"/>
                <w:sz w:val="18"/>
              </w:rPr>
              <w:t xml:space="preserve">- </w:t>
            </w:r>
          </w:p>
        </w:tc>
        <w:tc>
          <w:tcPr>
            <w:tcW w:type="dxa" w:w="1418"/>
            <w:tcBorders>
              <w:bottom w:sz="3.199999999999818" w:val="single" w:color="#000000"/>
            </w:tcBorders>
            <w:tcMar>
              <w:start w:w="0" w:type="dxa"/>
              <w:end w:w="0" w:type="dxa"/>
            </w:tcMar>
          </w:tcPr>
          <w:p>
            <w:pPr>
              <w:autoSpaceDN w:val="0"/>
              <w:autoSpaceDE w:val="0"/>
              <w:widowControl/>
              <w:spacing w:line="235" w:lineRule="auto" w:before="18" w:after="0"/>
              <w:ind w:left="0" w:right="4" w:firstLine="0"/>
              <w:jc w:val="right"/>
            </w:pPr>
            <w:r>
              <w:rPr>
                <w:rFonts w:ascii="Arial" w:hAnsi="Arial" w:eastAsia="Arial"/>
                <w:b w:val="0"/>
                <w:i w:val="0"/>
                <w:color w:val="000000"/>
                <w:sz w:val="18"/>
              </w:rPr>
              <w:t xml:space="preserve">(7,101,420 ) </w:t>
            </w:r>
          </w:p>
        </w:tc>
        <w:tc>
          <w:tcPr>
            <w:tcW w:type="dxa" w:w="1612"/>
            <w:gridSpan w:val="2"/>
            <w:tcBorders>
              <w:bottom w:sz="3.199999999999818" w:val="single" w:color="#000000"/>
            </w:tcBorders>
            <w:tcMar>
              <w:start w:w="0" w:type="dxa"/>
              <w:end w:w="0" w:type="dxa"/>
            </w:tcMar>
            <w:tcMar>
              <w:start w:w="0" w:type="dxa"/>
              <w:end w:w="0" w:type="dxa"/>
            </w:tcMar>
          </w:tcPr>
          <w:p>
            <w:pPr>
              <w:autoSpaceDN w:val="0"/>
              <w:autoSpaceDE w:val="0"/>
              <w:widowControl/>
              <w:spacing w:line="235" w:lineRule="auto" w:before="18" w:after="0"/>
              <w:ind w:left="0" w:right="140" w:firstLine="0"/>
              <w:jc w:val="right"/>
            </w:pPr>
            <w:r>
              <w:rPr>
                <w:rFonts w:ascii="Arial" w:hAnsi="Arial" w:eastAsia="Arial"/>
                <w:b w:val="0"/>
                <w:i w:val="0"/>
                <w:color w:val="000000"/>
                <w:sz w:val="18"/>
              </w:rPr>
              <w:t xml:space="preserve">3,733,068 </w:t>
            </w:r>
          </w:p>
        </w:tc>
        <w:tc>
          <w:tcPr>
            <w:tcW w:type="dxa" w:w="1440"/>
            <w:tcBorders>
              <w:bottom w:sz="3.199999999999818" w:val="single" w:color="#000000"/>
            </w:tcBorders>
            <w:tcMar>
              <w:start w:w="0" w:type="dxa"/>
              <w:end w:w="0" w:type="dxa"/>
            </w:tcMar>
          </w:tcPr>
          <w:p>
            <w:pPr>
              <w:autoSpaceDN w:val="0"/>
              <w:autoSpaceDE w:val="0"/>
              <w:widowControl/>
              <w:spacing w:line="235" w:lineRule="auto" w:before="18" w:after="0"/>
              <w:ind w:left="360" w:right="0" w:firstLine="0"/>
              <w:jc w:val="left"/>
            </w:pPr>
            <w:r>
              <w:rPr>
                <w:rFonts w:ascii="Arial" w:hAnsi="Arial" w:eastAsia="Arial"/>
                <w:b w:val="0"/>
                <w:i w:val="0"/>
                <w:color w:val="000000"/>
                <w:sz w:val="18"/>
              </w:rPr>
              <w:t xml:space="preserve">(9,750,600) </w:t>
            </w:r>
          </w:p>
        </w:tc>
      </w:tr>
      <w:tr>
        <w:trPr>
          <w:trHeight w:hRule="exact" w:val="452"/>
        </w:trPr>
        <w:tc>
          <w:tcPr>
            <w:tcW w:type="dxa" w:w="1418"/>
            <w:tcBorders>
              <w:top w:sz="3.199999999999818" w:val="single" w:color="#000000"/>
              <w:bottom w:sz="4.0"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合计</w:t>
            </w:r>
          </w:p>
        </w:tc>
        <w:tc>
          <w:tcPr>
            <w:tcW w:type="dxa" w:w="1248"/>
            <w:tcBorders>
              <w:top w:sz="3.199999999999818" w:val="single" w:color="#000000"/>
              <w:bottom w:sz="4.0" w:val="single" w:color="#000000"/>
            </w:tcBorders>
            <w:tcMar>
              <w:start w:w="0" w:type="dxa"/>
              <w:end w:w="0" w:type="dxa"/>
            </w:tcMar>
          </w:tcPr>
          <w:p>
            <w:pPr>
              <w:autoSpaceDN w:val="0"/>
              <w:autoSpaceDE w:val="0"/>
              <w:widowControl/>
              <w:spacing w:line="235" w:lineRule="auto" w:before="238" w:after="0"/>
              <w:ind w:left="246" w:right="0" w:firstLine="0"/>
              <w:jc w:val="left"/>
            </w:pPr>
            <w:r>
              <w:rPr>
                <w:rFonts w:ascii="Arial" w:hAnsi="Arial" w:eastAsia="Arial"/>
                <w:b w:val="0"/>
                <w:i w:val="0"/>
                <w:color w:val="000000"/>
                <w:sz w:val="18"/>
              </w:rPr>
              <w:t>213,423,197</w:t>
            </w:r>
          </w:p>
        </w:tc>
        <w:tc>
          <w:tcPr>
            <w:tcW w:type="dxa" w:w="1584"/>
            <w:tcBorders>
              <w:top w:sz="3.199999999999818" w:val="single" w:color="#000000"/>
              <w:bottom w:sz="4.0" w:val="single" w:color="#000000"/>
            </w:tcBorders>
            <w:tcMar>
              <w:start w:w="0" w:type="dxa"/>
              <w:end w:w="0" w:type="dxa"/>
            </w:tcMar>
          </w:tcPr>
          <w:p>
            <w:pPr>
              <w:autoSpaceDN w:val="0"/>
              <w:autoSpaceDE w:val="0"/>
              <w:widowControl/>
              <w:spacing w:line="235" w:lineRule="auto" w:before="238" w:after="0"/>
              <w:ind w:left="0" w:right="178" w:firstLine="0"/>
              <w:jc w:val="right"/>
            </w:pPr>
            <w:r>
              <w:rPr>
                <w:rFonts w:ascii="Arial" w:hAnsi="Arial" w:eastAsia="Arial"/>
                <w:b w:val="0"/>
                <w:i w:val="0"/>
                <w:color w:val="000000"/>
                <w:sz w:val="18"/>
              </w:rPr>
              <w:t xml:space="preserve">2,911,810 </w:t>
            </w:r>
          </w:p>
        </w:tc>
        <w:tc>
          <w:tcPr>
            <w:tcW w:type="dxa" w:w="1418"/>
            <w:tcBorders>
              <w:top w:sz="3.199999999999818" w:val="single" w:color="#000000"/>
              <w:bottom w:sz="4.0" w:val="single" w:color="#000000"/>
            </w:tcBorders>
            <w:tcMar>
              <w:start w:w="0" w:type="dxa"/>
              <w:end w:w="0" w:type="dxa"/>
            </w:tcMar>
          </w:tcPr>
          <w:p>
            <w:pPr>
              <w:autoSpaceDN w:val="0"/>
              <w:autoSpaceDE w:val="0"/>
              <w:widowControl/>
              <w:spacing w:line="235" w:lineRule="auto" w:before="238" w:after="0"/>
              <w:ind w:left="242" w:right="0" w:firstLine="0"/>
              <w:jc w:val="left"/>
            </w:pPr>
            <w:r>
              <w:rPr>
                <w:rFonts w:ascii="Arial" w:hAnsi="Arial" w:eastAsia="Arial"/>
                <w:b w:val="0"/>
                <w:i w:val="0"/>
                <w:color w:val="000000"/>
                <w:sz w:val="18"/>
              </w:rPr>
              <w:t xml:space="preserve">(158,891,344 ) </w:t>
            </w:r>
          </w:p>
        </w:tc>
        <w:tc>
          <w:tcPr>
            <w:tcW w:type="dxa" w:w="1612"/>
            <w:gridSpan w:val="2"/>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5" w:lineRule="auto" w:before="238" w:after="0"/>
              <w:ind w:left="0" w:right="140" w:firstLine="0"/>
              <w:jc w:val="right"/>
            </w:pPr>
            <w:r>
              <w:rPr>
                <w:rFonts w:ascii="Arial" w:hAnsi="Arial" w:eastAsia="Arial"/>
                <w:b w:val="0"/>
                <w:i w:val="0"/>
                <w:color w:val="000000"/>
                <w:sz w:val="18"/>
              </w:rPr>
              <w:t xml:space="preserve">57,443,663 </w:t>
            </w:r>
          </w:p>
        </w:tc>
        <w:tc>
          <w:tcPr>
            <w:tcW w:type="dxa" w:w="1440"/>
            <w:vMerge w:val="restart"/>
            <w:tcBorders>
              <w:top w:sz="3.199999999999818" w:val="single" w:color="#000000"/>
            </w:tcBorders>
            <w:tcMar>
              <w:start w:w="0" w:type="dxa"/>
              <w:end w:w="0" w:type="dxa"/>
            </w:tcMar>
            <w:tcMar>
              <w:start w:w="0" w:type="dxa"/>
              <w:end w:w="0" w:type="dxa"/>
            </w:tcMar>
          </w:tcPr>
          <w:p>
            <w:pPr>
              <w:autoSpaceDN w:val="0"/>
              <w:autoSpaceDE w:val="0"/>
              <w:widowControl/>
              <w:spacing w:line="235" w:lineRule="auto" w:before="238" w:after="0"/>
              <w:ind w:left="0" w:right="0" w:firstLine="0"/>
              <w:jc w:val="center"/>
            </w:pPr>
            <w:r>
              <w:rPr>
                <w:rFonts w:ascii="Arial" w:hAnsi="Arial" w:eastAsia="Arial"/>
                <w:b w:val="0"/>
                <w:i w:val="0"/>
                <w:color w:val="000000"/>
                <w:sz w:val="18"/>
              </w:rPr>
              <w:t xml:space="preserve">(142,187,878) </w:t>
            </w:r>
          </w:p>
        </w:tc>
      </w:tr>
      <w:tr>
        <w:trPr>
          <w:trHeight w:hRule="exact" w:val="52"/>
        </w:trPr>
        <w:tc>
          <w:tcPr>
            <w:tcW w:type="dxa" w:w="1418"/>
            <w:tcBorders>
              <w:top w:sz="4.0" w:val="single" w:color="#000000"/>
            </w:tcBorders>
            <w:tcMar>
              <w:start w:w="0" w:type="dxa"/>
              <w:end w:w="0" w:type="dxa"/>
            </w:tcMar>
          </w:tcPr>
          <w:p/>
        </w:tc>
        <w:tc>
          <w:tcPr>
            <w:tcW w:type="dxa" w:w="1248"/>
            <w:tcBorders>
              <w:top w:sz="4.0" w:val="single" w:color="#000000"/>
            </w:tcBorders>
            <w:tcMar>
              <w:start w:w="0" w:type="dxa"/>
              <w:end w:w="0" w:type="dxa"/>
            </w:tcMar>
          </w:tcPr>
          <w:p/>
        </w:tc>
        <w:tc>
          <w:tcPr>
            <w:tcW w:type="dxa" w:w="1584"/>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2578"/>
            <w:gridSpan w:val="2"/>
            <w:vMerge/>
            <w:tcBorders>
              <w:top w:sz="3.199999999999818" w:val="single" w:color="#000000"/>
            </w:tcBorders>
          </w:tcPr>
          <w:p/>
        </w:tc>
        <w:tc>
          <w:tcPr>
            <w:tcW w:type="dxa" w:w="1289"/>
            <w:vMerge/>
            <w:tcBorders>
              <w:top w:sz="3.199999999999818" w:val="single" w:color="#000000"/>
            </w:tcBorders>
          </w:tcPr>
          <w:p/>
        </w:tc>
      </w:tr>
    </w:tbl>
    <w:p>
      <w:pPr>
        <w:autoSpaceDN w:val="0"/>
        <w:autoSpaceDE w:val="0"/>
        <w:widowControl/>
        <w:spacing w:line="202" w:lineRule="exact" w:before="190" w:after="18"/>
        <w:ind w:left="0" w:right="3072" w:firstLine="0"/>
        <w:jc w:val="righ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333"/>
        </w:trPr>
        <w:tc>
          <w:tcPr>
            <w:tcW w:type="dxa" w:w="1418"/>
            <w:vMerge w:val="restart"/>
            <w:tcBorders>
              <w:top w:sz="4.0" w:val="single" w:color="#000000"/>
            </w:tcBorders>
            <w:tcMar>
              <w:start w:w="0" w:type="dxa"/>
              <w:end w:w="0" w:type="dxa"/>
            </w:tcMar>
            <w:tcMar>
              <w:start w:w="0" w:type="dxa"/>
              <w:end w:w="0" w:type="dxa"/>
            </w:tcMar>
          </w:tcPr>
          <w:p>
            <w:pPr>
              <w:autoSpaceDN w:val="0"/>
              <w:autoSpaceDE w:val="0"/>
              <w:widowControl/>
              <w:spacing w:line="180" w:lineRule="exact" w:before="464" w:after="0"/>
              <w:ind w:left="198" w:right="0" w:firstLine="0"/>
              <w:jc w:val="left"/>
            </w:pPr>
            <w:r>
              <w:rPr>
                <w:rFonts w:ascii="黑体" w:hAnsi="黑体" w:eastAsia="黑体"/>
                <w:b w:val="0"/>
                <w:i w:val="0"/>
                <w:color w:val="000000"/>
                <w:sz w:val="18"/>
              </w:rPr>
              <w:t>公司债</w:t>
            </w:r>
          </w:p>
        </w:tc>
        <w:tc>
          <w:tcPr>
            <w:tcW w:type="dxa" w:w="1248"/>
            <w:tcBorders/>
            <w:tcMar>
              <w:start w:w="0" w:type="dxa"/>
              <w:end w:w="0" w:type="dxa"/>
            </w:tcMar>
          </w:tcPr>
          <w:p>
            <w:pPr>
              <w:autoSpaceDN w:val="0"/>
              <w:autoSpaceDE w:val="0"/>
              <w:widowControl/>
              <w:spacing w:line="180" w:lineRule="exact" w:before="28" w:after="0"/>
              <w:ind w:left="0" w:right="0" w:firstLine="0"/>
              <w:jc w:val="right"/>
            </w:pPr>
            <w:r>
              <w:rPr>
                <w:rFonts w:ascii="黑体" w:hAnsi="黑体" w:eastAsia="黑体"/>
                <w:b w:val="0"/>
                <w:i w:val="0"/>
                <w:color w:val="000000"/>
                <w:sz w:val="18"/>
              </w:rPr>
              <w:t>初始成本</w:t>
            </w:r>
          </w:p>
        </w:tc>
        <w:tc>
          <w:tcPr>
            <w:tcW w:type="dxa" w:w="1584"/>
            <w:tcBorders/>
            <w:tcMar>
              <w:start w:w="0" w:type="dxa"/>
              <w:end w:w="0" w:type="dxa"/>
            </w:tcMar>
          </w:tcPr>
          <w:p>
            <w:pPr>
              <w:autoSpaceDN w:val="0"/>
              <w:autoSpaceDE w:val="0"/>
              <w:widowControl/>
              <w:spacing w:line="180" w:lineRule="exact" w:before="28" w:after="0"/>
              <w:ind w:left="0" w:right="228" w:firstLine="0"/>
              <w:jc w:val="right"/>
            </w:pPr>
            <w:r>
              <w:rPr>
                <w:rFonts w:ascii="黑体" w:hAnsi="黑体" w:eastAsia="黑体"/>
                <w:b w:val="0"/>
                <w:i w:val="0"/>
                <w:color w:val="000000"/>
                <w:sz w:val="18"/>
              </w:rPr>
              <w:t>利息</w:t>
            </w:r>
          </w:p>
        </w:tc>
        <w:tc>
          <w:tcPr>
            <w:tcW w:type="dxa" w:w="1418"/>
            <w:tcBorders/>
            <w:tcMar>
              <w:start w:w="0" w:type="dxa"/>
              <w:end w:w="0" w:type="dxa"/>
            </w:tcMar>
          </w:tcPr>
          <w:p>
            <w:pPr>
              <w:autoSpaceDN w:val="0"/>
              <w:autoSpaceDE w:val="0"/>
              <w:widowControl/>
              <w:spacing w:line="180" w:lineRule="exact" w:before="28" w:after="0"/>
              <w:ind w:left="222" w:right="0" w:firstLine="0"/>
              <w:jc w:val="left"/>
            </w:pPr>
            <w:r>
              <w:rPr>
                <w:rFonts w:ascii="黑体" w:hAnsi="黑体" w:eastAsia="黑体"/>
                <w:b w:val="0"/>
                <w:i w:val="0"/>
                <w:color w:val="000000"/>
                <w:sz w:val="18"/>
              </w:rPr>
              <w:t>公允价值变动</w:t>
            </w:r>
          </w:p>
        </w:tc>
        <w:tc>
          <w:tcPr>
            <w:tcW w:type="dxa" w:w="1416"/>
            <w:tcBorders/>
            <w:tcMar>
              <w:start w:w="0" w:type="dxa"/>
              <w:end w:w="0" w:type="dxa"/>
            </w:tcMar>
          </w:tcPr>
          <w:p>
            <w:pPr>
              <w:autoSpaceDN w:val="0"/>
              <w:autoSpaceDE w:val="0"/>
              <w:widowControl/>
              <w:spacing w:line="180" w:lineRule="exact" w:before="28" w:after="0"/>
              <w:ind w:left="0" w:right="0" w:firstLine="0"/>
              <w:jc w:val="right"/>
            </w:pPr>
            <w:r>
              <w:rPr>
                <w:rFonts w:ascii="黑体" w:hAnsi="黑体" w:eastAsia="黑体"/>
                <w:b w:val="0"/>
                <w:i w:val="0"/>
                <w:color w:val="000000"/>
                <w:sz w:val="18"/>
              </w:rPr>
              <w:t>账面价值</w:t>
            </w:r>
          </w:p>
        </w:tc>
        <w:tc>
          <w:tcPr>
            <w:tcW w:type="dxa" w:w="1636"/>
            <w:gridSpan w:val="2"/>
            <w:tcBorders/>
            <w:tcMar>
              <w:start w:w="0" w:type="dxa"/>
              <w:end w:w="0" w:type="dxa"/>
            </w:tcMar>
            <w:tcMar>
              <w:start w:w="0" w:type="dxa"/>
              <w:end w:w="0" w:type="dxa"/>
            </w:tcMar>
          </w:tcPr>
          <w:p>
            <w:pPr>
              <w:autoSpaceDN w:val="0"/>
              <w:autoSpaceDE w:val="0"/>
              <w:widowControl/>
              <w:spacing w:line="180" w:lineRule="exact" w:before="28" w:after="0"/>
              <w:ind w:left="338" w:right="0" w:firstLine="0"/>
              <w:jc w:val="left"/>
            </w:pPr>
            <w:r>
              <w:rPr>
                <w:rFonts w:ascii="黑体" w:hAnsi="黑体" w:eastAsia="黑体"/>
                <w:b w:val="0"/>
                <w:i w:val="0"/>
                <w:color w:val="000000"/>
                <w:sz w:val="18"/>
              </w:rPr>
              <w:t>累计减值准备</w:t>
            </w:r>
          </w:p>
        </w:tc>
      </w:tr>
      <w:tr>
        <w:trPr>
          <w:trHeight w:hRule="exact" w:val="357"/>
        </w:trPr>
        <w:tc>
          <w:tcPr>
            <w:tcW w:type="dxa" w:w="1289"/>
            <w:vMerge/>
            <w:tcBorders>
              <w:top w:sz="4.0" w:val="single" w:color="#000000"/>
            </w:tcBorders>
          </w:tcPr>
          <w:p/>
        </w:tc>
        <w:tc>
          <w:tcPr>
            <w:tcW w:type="dxa" w:w="1248"/>
            <w:tcBorders/>
            <w:tcMar>
              <w:start w:w="0" w:type="dxa"/>
              <w:end w:w="0" w:type="dxa"/>
            </w:tcMar>
          </w:tcPr>
          <w:p>
            <w:pPr>
              <w:autoSpaceDN w:val="0"/>
              <w:autoSpaceDE w:val="0"/>
              <w:widowControl/>
              <w:spacing w:line="233" w:lineRule="auto" w:before="144" w:after="0"/>
              <w:ind w:left="246" w:right="0" w:firstLine="0"/>
              <w:jc w:val="left"/>
            </w:pPr>
            <w:r>
              <w:rPr>
                <w:rFonts w:ascii="Arial" w:hAnsi="Arial" w:eastAsia="Arial"/>
                <w:b w:val="0"/>
                <w:i w:val="0"/>
                <w:color w:val="000000"/>
                <w:sz w:val="18"/>
              </w:rPr>
              <w:t>179,588,709</w:t>
            </w:r>
          </w:p>
        </w:tc>
        <w:tc>
          <w:tcPr>
            <w:tcW w:type="dxa" w:w="1584"/>
            <w:tcBorders/>
            <w:tcMar>
              <w:start w:w="0" w:type="dxa"/>
              <w:end w:w="0" w:type="dxa"/>
            </w:tcMar>
          </w:tcPr>
          <w:p>
            <w:pPr>
              <w:autoSpaceDN w:val="0"/>
              <w:autoSpaceDE w:val="0"/>
              <w:widowControl/>
              <w:spacing w:line="233" w:lineRule="auto" w:before="144" w:after="0"/>
              <w:ind w:left="0" w:right="178" w:firstLine="0"/>
              <w:jc w:val="right"/>
            </w:pPr>
            <w:r>
              <w:rPr>
                <w:rFonts w:ascii="Arial" w:hAnsi="Arial" w:eastAsia="Arial"/>
                <w:b w:val="0"/>
                <w:i w:val="0"/>
                <w:color w:val="000000"/>
                <w:sz w:val="18"/>
              </w:rPr>
              <w:t xml:space="preserve">3,722,004 </w:t>
            </w:r>
          </w:p>
        </w:tc>
        <w:tc>
          <w:tcPr>
            <w:tcW w:type="dxa" w:w="1418"/>
            <w:tcBorders/>
            <w:tcMar>
              <w:start w:w="0" w:type="dxa"/>
              <w:end w:w="0" w:type="dxa"/>
            </w:tcMar>
          </w:tcPr>
          <w:p>
            <w:pPr>
              <w:autoSpaceDN w:val="0"/>
              <w:autoSpaceDE w:val="0"/>
              <w:widowControl/>
              <w:spacing w:line="233" w:lineRule="auto" w:before="144" w:after="0"/>
              <w:ind w:left="242" w:right="0" w:firstLine="0"/>
              <w:jc w:val="left"/>
            </w:pPr>
            <w:r>
              <w:rPr>
                <w:rFonts w:ascii="Arial" w:hAnsi="Arial" w:eastAsia="Arial"/>
                <w:b w:val="0"/>
                <w:i w:val="0"/>
                <w:color w:val="000000"/>
                <w:sz w:val="18"/>
              </w:rPr>
              <w:t xml:space="preserve">(127,915,918 ) </w:t>
            </w:r>
          </w:p>
        </w:tc>
        <w:tc>
          <w:tcPr>
            <w:tcW w:type="dxa" w:w="3052"/>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144" w:after="0"/>
              <w:ind w:left="516" w:right="0" w:firstLine="0"/>
              <w:jc w:val="left"/>
            </w:pPr>
            <w:r>
              <w:rPr>
                <w:rFonts w:ascii="Arial" w:hAnsi="Arial" w:eastAsia="Arial"/>
                <w:b w:val="0"/>
                <w:i w:val="0"/>
                <w:color w:val="000000"/>
                <w:sz w:val="18"/>
              </w:rPr>
              <w:t xml:space="preserve">55,394,795   (103,669,863) </w:t>
            </w:r>
          </w:p>
        </w:tc>
      </w:tr>
      <w:tr>
        <w:trPr>
          <w:trHeight w:hRule="exact" w:val="202"/>
        </w:trPr>
        <w:tc>
          <w:tcPr>
            <w:tcW w:type="dxa" w:w="1418"/>
            <w:tcBorders/>
            <w:tcMar>
              <w:start w:w="0" w:type="dxa"/>
              <w:end w:w="0" w:type="dxa"/>
            </w:tcMar>
          </w:tcPr>
          <w:p>
            <w:pPr>
              <w:autoSpaceDN w:val="0"/>
              <w:autoSpaceDE w:val="0"/>
              <w:widowControl/>
              <w:spacing w:line="180" w:lineRule="exact" w:before="12" w:after="0"/>
              <w:ind w:left="198" w:right="0" w:firstLine="0"/>
              <w:jc w:val="left"/>
            </w:pPr>
            <w:r>
              <w:rPr>
                <w:rFonts w:ascii="黑体" w:hAnsi="黑体" w:eastAsia="黑体"/>
                <w:b w:val="0"/>
                <w:i w:val="0"/>
                <w:color w:val="000000"/>
                <w:sz w:val="18"/>
              </w:rPr>
              <w:t>企业债</w:t>
            </w:r>
          </w:p>
        </w:tc>
        <w:tc>
          <w:tcPr>
            <w:tcW w:type="dxa" w:w="124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8"/>
              </w:rPr>
              <w:t>24,000,000</w:t>
            </w:r>
          </w:p>
        </w:tc>
        <w:tc>
          <w:tcPr>
            <w:tcW w:type="dxa" w:w="1584"/>
            <w:tcBorders/>
            <w:tcMar>
              <w:start w:w="0" w:type="dxa"/>
              <w:end w:w="0" w:type="dxa"/>
            </w:tcMar>
          </w:tcPr>
          <w:p>
            <w:pPr>
              <w:autoSpaceDN w:val="0"/>
              <w:autoSpaceDE w:val="0"/>
              <w:widowControl/>
              <w:spacing w:line="233" w:lineRule="auto" w:before="2" w:after="0"/>
              <w:ind w:left="0" w:right="116" w:firstLine="0"/>
              <w:jc w:val="right"/>
            </w:pPr>
            <w:r>
              <w:rPr>
                <w:rFonts w:ascii="Arial" w:hAnsi="Arial" w:eastAsia="Arial"/>
                <w:b w:val="0"/>
                <w:i w:val="0"/>
                <w:color w:val="000000"/>
                <w:sz w:val="18"/>
              </w:rPr>
              <w:t xml:space="preserve">(1,883,367 ) </w:t>
            </w:r>
          </w:p>
        </w:tc>
        <w:tc>
          <w:tcPr>
            <w:tcW w:type="dxa" w:w="1418"/>
            <w:tcBorders/>
            <w:tcMar>
              <w:start w:w="0" w:type="dxa"/>
              <w:end w:w="0" w:type="dxa"/>
            </w:tcMar>
          </w:tcPr>
          <w:p>
            <w:pPr>
              <w:autoSpaceDN w:val="0"/>
              <w:autoSpaceDE w:val="0"/>
              <w:widowControl/>
              <w:spacing w:line="233" w:lineRule="auto" w:before="2" w:after="0"/>
              <w:ind w:left="0" w:right="64" w:firstLine="0"/>
              <w:jc w:val="right"/>
            </w:pPr>
            <w:r>
              <w:rPr>
                <w:rFonts w:ascii="Arial" w:hAnsi="Arial" w:eastAsia="Arial"/>
                <w:b w:val="0"/>
                <w:i w:val="0"/>
                <w:color w:val="000000"/>
                <w:sz w:val="18"/>
              </w:rPr>
              <w:t xml:space="preserve">2,957,433 </w:t>
            </w:r>
          </w:p>
        </w:tc>
        <w:tc>
          <w:tcPr>
            <w:tcW w:type="dxa" w:w="1612"/>
            <w:gridSpan w:val="2"/>
            <w:tcBorders/>
            <w:tcMar>
              <w:start w:w="0" w:type="dxa"/>
              <w:end w:w="0" w:type="dxa"/>
            </w:tcMar>
            <w:tcMar>
              <w:start w:w="0" w:type="dxa"/>
              <w:end w:w="0" w:type="dxa"/>
            </w:tcMar>
          </w:tcPr>
          <w:p>
            <w:pPr>
              <w:autoSpaceDN w:val="0"/>
              <w:autoSpaceDE w:val="0"/>
              <w:widowControl/>
              <w:spacing w:line="233" w:lineRule="auto" w:before="2" w:after="0"/>
              <w:ind w:left="0" w:right="140" w:firstLine="0"/>
              <w:jc w:val="right"/>
            </w:pPr>
            <w:r>
              <w:rPr>
                <w:rFonts w:ascii="Arial" w:hAnsi="Arial" w:eastAsia="Arial"/>
                <w:b w:val="0"/>
                <w:i w:val="0"/>
                <w:color w:val="000000"/>
                <w:sz w:val="18"/>
              </w:rPr>
              <w:t xml:space="preserve">25,074,066 </w:t>
            </w:r>
          </w:p>
        </w:tc>
        <w:tc>
          <w:tcPr>
            <w:tcW w:type="dxa" w:w="1440"/>
            <w:tcBorders/>
            <w:tcMar>
              <w:start w:w="0" w:type="dxa"/>
              <w:end w:w="0" w:type="dxa"/>
            </w:tcMar>
          </w:tcPr>
          <w:p>
            <w:pPr>
              <w:autoSpaceDN w:val="0"/>
              <w:autoSpaceDE w:val="0"/>
              <w:widowControl/>
              <w:spacing w:line="233" w:lineRule="auto" w:before="2" w:after="0"/>
              <w:ind w:left="0" w:right="108" w:firstLine="0"/>
              <w:jc w:val="right"/>
            </w:pPr>
            <w:r>
              <w:rPr>
                <w:rFonts w:ascii="Arial" w:hAnsi="Arial" w:eastAsia="Arial"/>
                <w:b w:val="0"/>
                <w:i w:val="0"/>
                <w:color w:val="000000"/>
                <w:sz w:val="18"/>
              </w:rPr>
              <w:t xml:space="preserve">(145,381) </w:t>
            </w:r>
          </w:p>
        </w:tc>
      </w:tr>
      <w:tr>
        <w:trPr>
          <w:trHeight w:hRule="exact" w:val="220"/>
        </w:trPr>
        <w:tc>
          <w:tcPr>
            <w:tcW w:type="dxa" w:w="1418"/>
            <w:tcBorders/>
            <w:tcMar>
              <w:start w:w="0" w:type="dxa"/>
              <w:end w:w="0" w:type="dxa"/>
            </w:tcMar>
          </w:tcPr>
          <w:p>
            <w:pPr>
              <w:autoSpaceDN w:val="0"/>
              <w:autoSpaceDE w:val="0"/>
              <w:widowControl/>
              <w:spacing w:line="180" w:lineRule="exact" w:before="40" w:after="0"/>
              <w:ind w:left="198" w:right="0" w:firstLine="0"/>
              <w:jc w:val="left"/>
            </w:pPr>
            <w:r>
              <w:rPr>
                <w:rFonts w:ascii="黑体" w:hAnsi="黑体" w:eastAsia="黑体"/>
                <w:b w:val="0"/>
                <w:i w:val="0"/>
                <w:color w:val="000000"/>
                <w:sz w:val="18"/>
              </w:rPr>
              <w:t>中期票据</w:t>
            </w:r>
          </w:p>
        </w:tc>
        <w:tc>
          <w:tcPr>
            <w:tcW w:type="dxa" w:w="1248"/>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30,000,000</w:t>
            </w:r>
          </w:p>
        </w:tc>
        <w:tc>
          <w:tcPr>
            <w:tcW w:type="dxa" w:w="1584"/>
            <w:vMerge w:val="restart"/>
            <w:tcBorders/>
            <w:tcMar>
              <w:start w:w="0" w:type="dxa"/>
              <w:end w:w="0" w:type="dxa"/>
            </w:tcMar>
            <w:tcMar>
              <w:start w:w="0" w:type="dxa"/>
              <w:end w:w="0" w:type="dxa"/>
            </w:tcMar>
          </w:tcPr>
          <w:p>
            <w:pPr>
              <w:autoSpaceDN w:val="0"/>
              <w:autoSpaceDE w:val="0"/>
              <w:widowControl/>
              <w:spacing w:line="233" w:lineRule="auto" w:before="52" w:after="0"/>
              <w:ind w:left="0" w:right="178" w:firstLine="0"/>
              <w:jc w:val="right"/>
            </w:pPr>
            <w:r>
              <w:rPr>
                <w:rFonts w:ascii="Arial" w:hAnsi="Arial" w:eastAsia="Arial"/>
                <w:b w:val="0"/>
                <w:i w:val="0"/>
                <w:color w:val="000000"/>
                <w:sz w:val="18"/>
              </w:rPr>
              <w:t xml:space="preserve">1,099,586 </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52" w:after="0"/>
              <w:ind w:left="342" w:right="0" w:firstLine="0"/>
              <w:jc w:val="left"/>
            </w:pPr>
            <w:r>
              <w:rPr>
                <w:rFonts w:ascii="Arial" w:hAnsi="Arial" w:eastAsia="Arial"/>
                <w:b w:val="0"/>
                <w:i w:val="0"/>
                <w:color w:val="000000"/>
                <w:sz w:val="18"/>
              </w:rPr>
              <w:t xml:space="preserve">(25,434,326 ) </w:t>
            </w:r>
          </w:p>
        </w:tc>
        <w:tc>
          <w:tcPr>
            <w:tcW w:type="dxa" w:w="161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52" w:after="0"/>
              <w:ind w:left="0" w:right="140" w:firstLine="0"/>
              <w:jc w:val="right"/>
            </w:pPr>
            <w:r>
              <w:rPr>
                <w:rFonts w:ascii="Arial" w:hAnsi="Arial" w:eastAsia="Arial"/>
                <w:b w:val="0"/>
                <w:i w:val="0"/>
                <w:color w:val="000000"/>
                <w:sz w:val="18"/>
              </w:rPr>
              <w:t xml:space="preserve">5,665,260 </w:t>
            </w:r>
          </w:p>
        </w:tc>
        <w:tc>
          <w:tcPr>
            <w:tcW w:type="dxa" w:w="1440"/>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(21,769,711) </w:t>
            </w:r>
          </w:p>
        </w:tc>
      </w:tr>
      <w:tr>
        <w:trPr>
          <w:trHeight w:hRule="exact" w:val="48"/>
        </w:trPr>
        <w:tc>
          <w:tcPr>
            <w:tcW w:type="dxa" w:w="1418"/>
            <w:vMerge w:val="restart"/>
            <w:tcBorders>
              <w:bottom w:sz="3.2000000000007276" w:val="single" w:color="#000000"/>
            </w:tcBorders>
            <w:tcMar>
              <w:start w:w="0" w:type="dxa"/>
              <w:end w:w="0" w:type="dxa"/>
            </w:tcMar>
            <w:tcMar>
              <w:start w:w="0" w:type="dxa"/>
              <w:end w:w="0" w:type="dxa"/>
            </w:tcMar>
          </w:tcPr>
          <w:p>
            <w:pPr>
              <w:autoSpaceDN w:val="0"/>
              <w:autoSpaceDE w:val="0"/>
              <w:widowControl/>
              <w:spacing w:line="180" w:lineRule="exact" w:before="58" w:after="0"/>
              <w:ind w:left="0" w:right="0" w:firstLine="0"/>
              <w:jc w:val="center"/>
            </w:pPr>
            <w:r>
              <w:rPr>
                <w:rFonts w:ascii="黑体" w:hAnsi="黑体" w:eastAsia="黑体"/>
                <w:b w:val="0"/>
                <w:i w:val="0"/>
                <w:color w:val="000000"/>
                <w:sz w:val="18"/>
              </w:rPr>
              <w:t>资产支持证券</w:t>
            </w:r>
          </w:p>
        </w:tc>
        <w:tc>
          <w:tcPr>
            <w:tcW w:type="dxa" w:w="1289"/>
            <w:vMerge/>
            <w:tcBorders/>
          </w:tcPr>
          <w:p/>
        </w:tc>
        <w:tc>
          <w:tcPr>
            <w:tcW w:type="dxa" w:w="1289"/>
            <w:vMerge/>
            <w:tcBorders/>
          </w:tcPr>
          <w:p/>
        </w:tc>
        <w:tc>
          <w:tcPr>
            <w:tcW w:type="dxa" w:w="1289"/>
            <w:vMerge/>
            <w:tcBorders/>
          </w:tcPr>
          <w:p/>
        </w:tc>
        <w:tc>
          <w:tcPr>
            <w:tcW w:type="dxa" w:w="2578"/>
            <w:gridSpan w:val="2"/>
            <w:vMerge/>
            <w:tcBorders/>
          </w:tcPr>
          <w:p/>
        </w:tc>
        <w:tc>
          <w:tcPr>
            <w:tcW w:type="dxa" w:w="1289"/>
            <w:vMerge/>
            <w:tcBorders/>
          </w:tcPr>
          <w:p/>
        </w:tc>
      </w:tr>
      <w:tr>
        <w:trPr>
          <w:trHeight w:hRule="exact" w:val="222"/>
        </w:trPr>
        <w:tc>
          <w:tcPr>
            <w:tcW w:type="dxa" w:w="1289"/>
            <w:vMerge/>
            <w:tcBorders>
              <w:bottom w:sz="3.2000000000007276" w:val="single" w:color="#000000"/>
            </w:tcBorders>
          </w:tcPr>
          <w:p/>
        </w:tc>
        <w:tc>
          <w:tcPr>
            <w:tcW w:type="dxa" w:w="1248"/>
            <w:tcBorders>
              <w:bottom w:sz="3.2000000000007276" w:val="single" w:color="#000000"/>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10,834,750</w:t>
            </w:r>
          </w:p>
        </w:tc>
        <w:tc>
          <w:tcPr>
            <w:tcW w:type="dxa" w:w="1584"/>
            <w:tcBorders>
              <w:bottom w:sz="3.2000000000007276" w:val="single" w:color="#000000"/>
            </w:tcBorders>
            <w:tcMar>
              <w:start w:w="0" w:type="dxa"/>
              <w:end w:w="0" w:type="dxa"/>
            </w:tcMar>
          </w:tcPr>
          <w:p>
            <w:pPr>
              <w:autoSpaceDN w:val="0"/>
              <w:autoSpaceDE w:val="0"/>
              <w:widowControl/>
              <w:spacing w:line="233" w:lineRule="auto" w:before="16" w:after="0"/>
              <w:ind w:left="0" w:right="178" w:firstLine="0"/>
              <w:jc w:val="right"/>
            </w:pPr>
            <w:r>
              <w:rPr>
                <w:rFonts w:ascii="Arial" w:hAnsi="Arial" w:eastAsia="Arial"/>
                <w:b w:val="0"/>
                <w:i w:val="0"/>
                <w:color w:val="000000"/>
                <w:sz w:val="18"/>
              </w:rPr>
              <w:t xml:space="preserve">- </w:t>
            </w:r>
          </w:p>
        </w:tc>
        <w:tc>
          <w:tcPr>
            <w:tcW w:type="dxa" w:w="1418"/>
            <w:tcBorders>
              <w:bottom w:sz="3.2000000000007276" w:val="single" w:color="#000000"/>
            </w:tcBorders>
            <w:tcMar>
              <w:start w:w="0" w:type="dxa"/>
              <w:end w:w="0" w:type="dxa"/>
            </w:tcMar>
          </w:tcPr>
          <w:p>
            <w:pPr>
              <w:autoSpaceDN w:val="0"/>
              <w:autoSpaceDE w:val="0"/>
              <w:widowControl/>
              <w:spacing w:line="233" w:lineRule="auto" w:before="16" w:after="0"/>
              <w:ind w:left="0" w:right="4" w:firstLine="0"/>
              <w:jc w:val="right"/>
            </w:pPr>
            <w:r>
              <w:rPr>
                <w:rFonts w:ascii="Arial" w:hAnsi="Arial" w:eastAsia="Arial"/>
                <w:b w:val="0"/>
                <w:i w:val="0"/>
                <w:color w:val="000000"/>
                <w:sz w:val="18"/>
              </w:rPr>
              <w:t xml:space="preserve">(7,101,420 ) </w:t>
            </w:r>
          </w:p>
        </w:tc>
        <w:tc>
          <w:tcPr>
            <w:tcW w:type="dxa" w:w="1612"/>
            <w:gridSpan w:val="2"/>
            <w:tcBorders>
              <w:bottom w:sz="3.2000000000007276" w:val="single" w:color="#000000"/>
            </w:tcBorders>
            <w:tcMar>
              <w:start w:w="0" w:type="dxa"/>
              <w:end w:w="0" w:type="dxa"/>
            </w:tcMar>
            <w:tcMar>
              <w:start w:w="0" w:type="dxa"/>
              <w:end w:w="0" w:type="dxa"/>
            </w:tcMar>
          </w:tcPr>
          <w:p>
            <w:pPr>
              <w:autoSpaceDN w:val="0"/>
              <w:autoSpaceDE w:val="0"/>
              <w:widowControl/>
              <w:spacing w:line="233" w:lineRule="auto" w:before="16" w:after="0"/>
              <w:ind w:left="0" w:right="140" w:firstLine="0"/>
              <w:jc w:val="right"/>
            </w:pPr>
            <w:r>
              <w:rPr>
                <w:rFonts w:ascii="Arial" w:hAnsi="Arial" w:eastAsia="Arial"/>
                <w:b w:val="0"/>
                <w:i w:val="0"/>
                <w:color w:val="000000"/>
                <w:sz w:val="18"/>
              </w:rPr>
              <w:t xml:space="preserve">3,733,330 </w:t>
            </w:r>
          </w:p>
        </w:tc>
        <w:tc>
          <w:tcPr>
            <w:tcW w:type="dxa" w:w="1440"/>
            <w:tcBorders>
              <w:bottom w:sz="3.2000000000007276" w:val="single" w:color="#000000"/>
            </w:tcBorders>
            <w:tcMar>
              <w:start w:w="0" w:type="dxa"/>
              <w:end w:w="0" w:type="dxa"/>
            </w:tcMar>
          </w:tcPr>
          <w:p>
            <w:pPr>
              <w:autoSpaceDN w:val="0"/>
              <w:autoSpaceDE w:val="0"/>
              <w:widowControl/>
              <w:spacing w:line="233" w:lineRule="auto" w:before="16" w:after="0"/>
              <w:ind w:left="360" w:right="0" w:firstLine="0"/>
              <w:jc w:val="left"/>
            </w:pPr>
            <w:r>
              <w:rPr>
                <w:rFonts w:ascii="Arial" w:hAnsi="Arial" w:eastAsia="Arial"/>
                <w:b w:val="0"/>
                <w:i w:val="0"/>
                <w:color w:val="000000"/>
                <w:sz w:val="18"/>
              </w:rPr>
              <w:t xml:space="preserve">(9,750,600) </w:t>
            </w:r>
          </w:p>
        </w:tc>
      </w:tr>
      <w:tr>
        <w:trPr>
          <w:trHeight w:hRule="exact" w:val="450"/>
        </w:trPr>
        <w:tc>
          <w:tcPr>
            <w:tcW w:type="dxa" w:w="1418"/>
            <w:tcBorders>
              <w:top w:sz="3.2000000000007276" w:val="single" w:color="#000000"/>
              <w:bottom w:sz="4.0"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合计</w:t>
            </w:r>
          </w:p>
        </w:tc>
        <w:tc>
          <w:tcPr>
            <w:tcW w:type="dxa" w:w="1248"/>
            <w:tcBorders>
              <w:top w:sz="3.2000000000007276" w:val="single" w:color="#000000"/>
              <w:bottom w:sz="4.0" w:val="single" w:color="#000000"/>
            </w:tcBorders>
            <w:tcMar>
              <w:start w:w="0" w:type="dxa"/>
              <w:end w:w="0" w:type="dxa"/>
            </w:tcMar>
          </w:tcPr>
          <w:p>
            <w:pPr>
              <w:autoSpaceDN w:val="0"/>
              <w:autoSpaceDE w:val="0"/>
              <w:widowControl/>
              <w:spacing w:line="235" w:lineRule="auto" w:before="238" w:after="0"/>
              <w:ind w:left="246" w:right="0" w:firstLine="0"/>
              <w:jc w:val="left"/>
            </w:pPr>
            <w:r>
              <w:rPr>
                <w:rFonts w:ascii="Arial" w:hAnsi="Arial" w:eastAsia="Arial"/>
                <w:b w:val="0"/>
                <w:i w:val="0"/>
                <w:color w:val="000000"/>
                <w:sz w:val="18"/>
              </w:rPr>
              <w:t>244,423,459</w:t>
            </w:r>
          </w:p>
        </w:tc>
        <w:tc>
          <w:tcPr>
            <w:tcW w:type="dxa" w:w="1584"/>
            <w:tcBorders>
              <w:top w:sz="3.2000000000007276" w:val="single" w:color="#000000"/>
              <w:bottom w:sz="4.0" w:val="single" w:color="#000000"/>
            </w:tcBorders>
            <w:tcMar>
              <w:start w:w="0" w:type="dxa"/>
              <w:end w:w="0" w:type="dxa"/>
            </w:tcMar>
          </w:tcPr>
          <w:p>
            <w:pPr>
              <w:autoSpaceDN w:val="0"/>
              <w:autoSpaceDE w:val="0"/>
              <w:widowControl/>
              <w:spacing w:line="235" w:lineRule="auto" w:before="238" w:after="0"/>
              <w:ind w:left="0" w:right="178" w:firstLine="0"/>
              <w:jc w:val="right"/>
            </w:pPr>
            <w:r>
              <w:rPr>
                <w:rFonts w:ascii="Arial" w:hAnsi="Arial" w:eastAsia="Arial"/>
                <w:b w:val="0"/>
                <w:i w:val="0"/>
                <w:color w:val="000000"/>
                <w:sz w:val="18"/>
              </w:rPr>
              <w:t xml:space="preserve">2,938,223 </w:t>
            </w:r>
          </w:p>
        </w:tc>
        <w:tc>
          <w:tcPr>
            <w:tcW w:type="dxa" w:w="1418"/>
            <w:tcBorders>
              <w:top w:sz="3.2000000000007276" w:val="single" w:color="#000000"/>
              <w:bottom w:sz="4.0" w:val="single" w:color="#000000"/>
            </w:tcBorders>
            <w:tcMar>
              <w:start w:w="0" w:type="dxa"/>
              <w:end w:w="0" w:type="dxa"/>
            </w:tcMar>
          </w:tcPr>
          <w:p>
            <w:pPr>
              <w:autoSpaceDN w:val="0"/>
              <w:autoSpaceDE w:val="0"/>
              <w:widowControl/>
              <w:spacing w:line="235" w:lineRule="auto" w:before="238" w:after="0"/>
              <w:ind w:left="242" w:right="0" w:firstLine="0"/>
              <w:jc w:val="left"/>
            </w:pPr>
            <w:r>
              <w:rPr>
                <w:rFonts w:ascii="Arial" w:hAnsi="Arial" w:eastAsia="Arial"/>
                <w:b w:val="0"/>
                <w:i w:val="0"/>
                <w:color w:val="000000"/>
                <w:sz w:val="18"/>
              </w:rPr>
              <w:t xml:space="preserve">(157,494,231 ) </w:t>
            </w:r>
          </w:p>
        </w:tc>
        <w:tc>
          <w:tcPr>
            <w:tcW w:type="dxa" w:w="1612"/>
            <w:gridSpan w:val="2"/>
            <w:vMerge w:val="restart"/>
            <w:tcBorders>
              <w:top w:sz="3.2000000000007276"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5" w:lineRule="auto" w:before="238" w:after="0"/>
              <w:ind w:left="0" w:right="140" w:firstLine="0"/>
              <w:jc w:val="right"/>
            </w:pPr>
            <w:r>
              <w:rPr>
                <w:rFonts w:ascii="Arial" w:hAnsi="Arial" w:eastAsia="Arial"/>
                <w:b w:val="0"/>
                <w:i w:val="0"/>
                <w:color w:val="000000"/>
                <w:sz w:val="18"/>
              </w:rPr>
              <w:t xml:space="preserve">89,867,451 </w:t>
            </w:r>
          </w:p>
        </w:tc>
        <w:tc>
          <w:tcPr>
            <w:tcW w:type="dxa" w:w="1440"/>
            <w:vMerge w:val="restart"/>
            <w:tcBorders>
              <w:top w:sz="3.2000000000007276" w:val="single" w:color="#000000"/>
            </w:tcBorders>
            <w:tcMar>
              <w:start w:w="0" w:type="dxa"/>
              <w:end w:w="0" w:type="dxa"/>
            </w:tcMar>
            <w:tcMar>
              <w:start w:w="0" w:type="dxa"/>
              <w:end w:w="0" w:type="dxa"/>
            </w:tcMar>
          </w:tcPr>
          <w:p>
            <w:pPr>
              <w:autoSpaceDN w:val="0"/>
              <w:autoSpaceDE w:val="0"/>
              <w:widowControl/>
              <w:spacing w:line="235" w:lineRule="auto" w:before="238" w:after="0"/>
              <w:ind w:left="0" w:right="0" w:firstLine="0"/>
              <w:jc w:val="center"/>
            </w:pPr>
            <w:r>
              <w:rPr>
                <w:rFonts w:ascii="Arial" w:hAnsi="Arial" w:eastAsia="Arial"/>
                <w:b w:val="0"/>
                <w:i w:val="0"/>
                <w:color w:val="000000"/>
                <w:sz w:val="18"/>
              </w:rPr>
              <w:t xml:space="preserve">(135,335,555) </w:t>
            </w:r>
          </w:p>
        </w:tc>
      </w:tr>
      <w:tr>
        <w:trPr>
          <w:trHeight w:hRule="exact" w:val="54"/>
        </w:trPr>
        <w:tc>
          <w:tcPr>
            <w:tcW w:type="dxa" w:w="1418"/>
            <w:tcBorders>
              <w:top w:sz="4.0" w:val="single" w:color="#000000"/>
            </w:tcBorders>
            <w:tcMar>
              <w:start w:w="0" w:type="dxa"/>
              <w:end w:w="0" w:type="dxa"/>
            </w:tcMar>
          </w:tcPr>
          <w:p/>
        </w:tc>
        <w:tc>
          <w:tcPr>
            <w:tcW w:type="dxa" w:w="1248"/>
            <w:tcBorders>
              <w:top w:sz="4.0" w:val="single" w:color="#000000"/>
            </w:tcBorders>
            <w:tcMar>
              <w:start w:w="0" w:type="dxa"/>
              <w:end w:w="0" w:type="dxa"/>
            </w:tcMar>
          </w:tcPr>
          <w:p/>
        </w:tc>
        <w:tc>
          <w:tcPr>
            <w:tcW w:type="dxa" w:w="1584"/>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2578"/>
            <w:gridSpan w:val="2"/>
            <w:vMerge/>
            <w:tcBorders>
              <w:top w:sz="3.2000000000007276" w:val="single" w:color="#000000"/>
            </w:tcBorders>
          </w:tcPr>
          <w:p/>
        </w:tc>
        <w:tc>
          <w:tcPr>
            <w:tcW w:type="dxa" w:w="1289"/>
            <w:vMerge/>
            <w:tcBorders>
              <w:top w:sz="3.2000000000007276" w:val="single" w:color="#000000"/>
            </w:tcBorders>
          </w:tcPr>
          <w:p/>
        </w:tc>
      </w:tr>
    </w:tbl>
    <w:p>
      <w:pPr>
        <w:autoSpaceDN w:val="0"/>
        <w:autoSpaceDE w:val="0"/>
        <w:widowControl/>
        <w:spacing w:line="286" w:lineRule="exact" w:before="230" w:after="0"/>
        <w:ind w:left="358" w:right="288"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日，本集团不存在单项金额重要的其他债权投资（</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日：无）。以上其他债权投资减值准备的变动情况参见附注五、</w:t>
      </w:r>
      <w:r>
        <w:rPr>
          <w:rFonts w:ascii="Arial" w:hAnsi="Arial" w:eastAsia="Arial"/>
          <w:b w:val="0"/>
          <w:i w:val="0"/>
          <w:color w:val="000000"/>
          <w:sz w:val="22"/>
        </w:rPr>
        <w:t>18</w:t>
      </w:r>
      <w:r>
        <w:rPr>
          <w:rFonts w:ascii="黑体" w:hAnsi="黑体" w:eastAsia="黑体"/>
          <w:b w:val="0"/>
          <w:i w:val="0"/>
          <w:color w:val="000000"/>
          <w:sz w:val="22"/>
        </w:rPr>
        <w:t>。</w:t>
      </w:r>
    </w:p>
    <w:p>
      <w:pPr>
        <w:autoSpaceDN w:val="0"/>
        <w:autoSpaceDE w:val="0"/>
        <w:widowControl/>
        <w:spacing w:line="233" w:lineRule="auto" w:before="1516" w:after="0"/>
        <w:ind w:left="0" w:right="0" w:firstLine="0"/>
        <w:jc w:val="center"/>
      </w:pPr>
      <w:r>
        <w:rPr>
          <w:rFonts w:ascii="Arial" w:hAnsi="Arial" w:eastAsia="Arial"/>
          <w:b w:val="0"/>
          <w:i w:val="0"/>
          <w:color w:val="000000"/>
          <w:sz w:val="20"/>
        </w:rPr>
        <w:t xml:space="preserve">209 </w:t>
      </w:r>
    </w:p>
    <w:p>
      <w:pPr>
        <w:sectPr>
          <w:pgSz w:w="11906" w:h="16841"/>
          <w:pgMar w:top="1114"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11. </w:t>
      </w:r>
      <w:r>
        <w:rPr>
          <w:rFonts w:ascii="黑体" w:hAnsi="黑体" w:eastAsia="黑体"/>
          <w:b w:val="0"/>
          <w:i w:val="0"/>
          <w:color w:val="000000"/>
          <w:sz w:val="22"/>
        </w:rPr>
        <w:t>其他权益工具投资</w:t>
      </w:r>
    </w:p>
    <w:p>
      <w:pPr>
        <w:autoSpaceDN w:val="0"/>
        <w:autoSpaceDE w:val="0"/>
        <w:widowControl/>
        <w:spacing w:line="200" w:lineRule="exact" w:before="290" w:after="0"/>
        <w:ind w:left="0" w:right="2886" w:firstLine="0"/>
        <w:jc w:val="righ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p>
      <w:pPr>
        <w:autoSpaceDN w:val="0"/>
        <w:autoSpaceDE w:val="0"/>
        <w:widowControl/>
        <w:spacing w:line="180" w:lineRule="exact" w:before="52" w:after="0"/>
        <w:ind w:left="0" w:right="256" w:firstLine="0"/>
        <w:jc w:val="right"/>
      </w:pPr>
      <w:r>
        <w:rPr>
          <w:rFonts w:ascii="黑体" w:hAnsi="黑体" w:eastAsia="黑体"/>
          <w:b w:val="0"/>
          <w:i w:val="0"/>
          <w:color w:val="000000"/>
          <w:sz w:val="18"/>
        </w:rPr>
        <w:t>指定为以公允价值计量</w:t>
      </w:r>
    </w:p>
    <w:p>
      <w:pPr>
        <w:autoSpaceDN w:val="0"/>
        <w:autoSpaceDE w:val="0"/>
        <w:widowControl/>
        <w:spacing w:line="180" w:lineRule="exact" w:before="52" w:after="28"/>
        <w:ind w:left="0" w:right="256" w:firstLine="0"/>
        <w:jc w:val="right"/>
      </w:pPr>
      <w:r>
        <w:rPr>
          <w:rFonts w:ascii="黑体" w:hAnsi="黑体" w:eastAsia="黑体"/>
          <w:b w:val="0"/>
          <w:i w:val="0"/>
          <w:color w:val="000000"/>
          <w:sz w:val="18"/>
        </w:rPr>
        <w:t>且其变动计入其他综合</w:t>
      </w:r>
    </w:p>
    <w:tbl>
      <w:tblPr>
        <w:tblW w:type="auto" w:w="0"/>
        <w:tblLayout w:type="fixed"/>
        <w:tblLook w:firstColumn="1" w:firstRow="1" w:lastColumn="0" w:lastRow="0" w:noHBand="0" w:noVBand="1" w:val="04A0"/>
        <w:tblInd w:w="1240.0" w:type="dxa"/>
      </w:tblPr>
      <w:tblGrid>
        <w:gridCol w:w="3009"/>
        <w:gridCol w:w="3009"/>
        <w:gridCol w:w="3009"/>
      </w:tblGrid>
      <w:tr>
        <w:trPr>
          <w:trHeight w:hRule="exact" w:val="266"/>
        </w:trPr>
        <w:tc>
          <w:tcPr>
            <w:tcW w:type="dxa" w:w="2120"/>
            <w:tcBorders/>
            <w:tcMar>
              <w:start w:w="0" w:type="dxa"/>
              <w:end w:w="0" w:type="dxa"/>
            </w:tcMar>
          </w:tcPr>
          <w:p>
            <w:pPr>
              <w:autoSpaceDN w:val="0"/>
              <w:autoSpaceDE w:val="0"/>
              <w:widowControl/>
              <w:spacing w:line="180" w:lineRule="exact" w:before="26" w:after="0"/>
              <w:ind w:left="0" w:right="150" w:firstLine="0"/>
              <w:jc w:val="right"/>
            </w:pPr>
            <w:r>
              <w:rPr>
                <w:rFonts w:ascii="黑体" w:hAnsi="黑体" w:eastAsia="黑体"/>
                <w:b w:val="0"/>
                <w:i w:val="0"/>
                <w:color w:val="000000"/>
                <w:sz w:val="18"/>
              </w:rPr>
              <w:t>初始成本</w:t>
            </w:r>
          </w:p>
        </w:tc>
        <w:tc>
          <w:tcPr>
            <w:tcW w:type="dxa" w:w="3900"/>
            <w:tcBorders/>
            <w:tcMar>
              <w:start w:w="0" w:type="dxa"/>
              <w:end w:w="0" w:type="dxa"/>
            </w:tcMar>
          </w:tcPr>
          <w:p>
            <w:pPr>
              <w:autoSpaceDN w:val="0"/>
              <w:autoSpaceDE w:val="0"/>
              <w:widowControl/>
              <w:spacing w:line="180" w:lineRule="exact" w:before="26" w:after="0"/>
              <w:ind w:left="164" w:right="0" w:firstLine="0"/>
              <w:jc w:val="left"/>
            </w:pPr>
            <w:r>
              <w:rPr>
                <w:rFonts w:ascii="黑体" w:hAnsi="黑体" w:eastAsia="黑体"/>
                <w:b w:val="0"/>
                <w:i w:val="0"/>
                <w:color w:val="000000"/>
                <w:sz w:val="18"/>
              </w:rPr>
              <w:t>本年末公允价值</w:t>
            </w:r>
            <w:r>
              <w:rPr>
                <w:rFonts w:ascii="黑体" w:hAnsi="黑体" w:eastAsia="黑体"/>
                <w:b w:val="0"/>
                <w:i w:val="0"/>
                <w:color w:val="000000"/>
                <w:sz w:val="18"/>
              </w:rPr>
              <w:t>本年确认的股利收入</w:t>
            </w:r>
          </w:p>
        </w:tc>
        <w:tc>
          <w:tcPr>
            <w:tcW w:type="dxa" w:w="1620"/>
            <w:tcBorders/>
            <w:tcMar>
              <w:start w:w="0" w:type="dxa"/>
              <w:end w:w="0" w:type="dxa"/>
            </w:tcMar>
          </w:tcPr>
          <w:p>
            <w:pPr>
              <w:autoSpaceDN w:val="0"/>
              <w:autoSpaceDE w:val="0"/>
              <w:widowControl/>
              <w:spacing w:line="180" w:lineRule="exact" w:before="26" w:after="0"/>
              <w:ind w:left="0" w:right="108" w:firstLine="0"/>
              <w:jc w:val="right"/>
            </w:pPr>
            <w:r>
              <w:rPr>
                <w:rFonts w:ascii="黑体" w:hAnsi="黑体" w:eastAsia="黑体"/>
                <w:b w:val="0"/>
                <w:i w:val="0"/>
                <w:color w:val="000000"/>
                <w:sz w:val="18"/>
              </w:rPr>
              <w:t>收益的原因</w:t>
            </w:r>
          </w:p>
        </w:tc>
      </w:tr>
    </w:tbl>
    <w:p>
      <w:pPr>
        <w:autoSpaceDN w:val="0"/>
        <w:autoSpaceDE w:val="0"/>
        <w:widowControl/>
        <w:spacing w:line="180" w:lineRule="exact" w:before="202" w:after="26"/>
        <w:ind w:left="0" w:right="254" w:firstLine="0"/>
        <w:jc w:val="right"/>
      </w:pPr>
      <w:r>
        <w:rPr>
          <w:rFonts w:ascii="黑体" w:hAnsi="黑体" w:eastAsia="黑体"/>
          <w:b w:val="0"/>
          <w:i w:val="0"/>
          <w:color w:val="000000"/>
          <w:sz w:val="18"/>
        </w:rPr>
        <w:t>拟长期持有的</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38"/>
        </w:trPr>
        <w:tc>
          <w:tcPr>
            <w:tcW w:type="dxa" w:w="2008"/>
            <w:tcBorders>
              <w:bottom w:sz="4.0" w:val="single" w:color="#0000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非交易性权益工具</w:t>
            </w:r>
          </w:p>
        </w:tc>
        <w:tc>
          <w:tcPr>
            <w:tcW w:type="dxa" w:w="1042"/>
            <w:tcBorders>
              <w:bottom w:sz="4.0" w:val="single" w:color="#000000"/>
            </w:tcBorders>
            <w:tcMar>
              <w:start w:w="0" w:type="dxa"/>
              <w:end w:w="0" w:type="dxa"/>
            </w:tcMar>
          </w:tcPr>
          <w:p>
            <w:pPr>
              <w:autoSpaceDN w:val="0"/>
              <w:autoSpaceDE w:val="0"/>
              <w:widowControl/>
              <w:spacing w:line="235" w:lineRule="auto" w:before="30" w:after="0"/>
              <w:ind w:left="0" w:right="0" w:firstLine="0"/>
              <w:jc w:val="center"/>
            </w:pPr>
            <w:r>
              <w:rPr>
                <w:rFonts w:ascii="Arial" w:hAnsi="Arial" w:eastAsia="Arial"/>
                <w:b w:val="0"/>
                <w:i w:val="0"/>
                <w:color w:val="000000"/>
                <w:sz w:val="18"/>
              </w:rPr>
              <w:t>392,644,819</w:t>
            </w:r>
          </w:p>
        </w:tc>
        <w:tc>
          <w:tcPr>
            <w:tcW w:type="dxa" w:w="1574"/>
            <w:tcBorders>
              <w:bottom w:sz="4.0" w:val="single" w:color="#00000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8"/>
              </w:rPr>
              <w:t>214,099,641</w:t>
            </w:r>
          </w:p>
        </w:tc>
        <w:tc>
          <w:tcPr>
            <w:tcW w:type="dxa" w:w="2114"/>
            <w:tcBorders>
              <w:bottom w:sz="4.0" w:val="single" w:color="#000000"/>
            </w:tcBorders>
            <w:tcMar>
              <w:start w:w="0" w:type="dxa"/>
              <w:end w:w="0" w:type="dxa"/>
            </w:tcMar>
          </w:tcPr>
          <w:p>
            <w:pPr>
              <w:autoSpaceDN w:val="0"/>
              <w:autoSpaceDE w:val="0"/>
              <w:widowControl/>
              <w:spacing w:line="235" w:lineRule="auto" w:before="30" w:after="0"/>
              <w:ind w:left="0" w:right="162" w:firstLine="0"/>
              <w:jc w:val="right"/>
            </w:pPr>
            <w:r>
              <w:rPr>
                <w:rFonts w:ascii="Arial" w:hAnsi="Arial" w:eastAsia="Arial"/>
                <w:b w:val="0"/>
                <w:i w:val="0"/>
                <w:color w:val="000000"/>
                <w:sz w:val="18"/>
              </w:rPr>
              <w:t xml:space="preserve">394,692 </w:t>
            </w:r>
          </w:p>
        </w:tc>
        <w:tc>
          <w:tcPr>
            <w:tcW w:type="dxa" w:w="1874"/>
            <w:tcBorders>
              <w:bottom w:sz="4.0" w:val="single" w:color="#00000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战略性投资</w:t>
            </w:r>
          </w:p>
        </w:tc>
      </w:tr>
      <w:tr>
        <w:trPr>
          <w:trHeight w:hRule="exact" w:val="454"/>
        </w:trPr>
        <w:tc>
          <w:tcPr>
            <w:tcW w:type="dxa" w:w="2008"/>
            <w:tcBorders>
              <w:top w:sz="4.0" w:val="single" w:color="#000000"/>
              <w:bottom w:sz="4.0" w:val="single" w:color="#000000"/>
            </w:tcBorders>
            <w:tcMar>
              <w:start w:w="0" w:type="dxa"/>
              <w:end w:w="0" w:type="dxa"/>
            </w:tcMar>
          </w:tcPr>
          <w:p>
            <w:pPr>
              <w:autoSpaceDN w:val="0"/>
              <w:autoSpaceDE w:val="0"/>
              <w:widowControl/>
              <w:spacing w:line="180" w:lineRule="exact" w:before="236" w:after="0"/>
              <w:ind w:left="198" w:right="0" w:firstLine="0"/>
              <w:jc w:val="left"/>
            </w:pPr>
            <w:r>
              <w:rPr>
                <w:rFonts w:ascii="黑体" w:hAnsi="黑体" w:eastAsia="黑体"/>
                <w:b w:val="0"/>
                <w:i w:val="0"/>
                <w:color w:val="000000"/>
                <w:sz w:val="18"/>
              </w:rPr>
              <w:t>合计</w:t>
            </w:r>
          </w:p>
        </w:tc>
        <w:tc>
          <w:tcPr>
            <w:tcW w:type="dxa" w:w="1042"/>
            <w:tcBorders>
              <w:top w:sz="4.0" w:val="single" w:color="#000000"/>
              <w:bottom w:sz="4.0" w:val="single" w:color="#000000"/>
            </w:tcBorders>
            <w:tcMar>
              <w:start w:w="0" w:type="dxa"/>
              <w:end w:w="0" w:type="dxa"/>
            </w:tcMar>
          </w:tcPr>
          <w:p>
            <w:pPr>
              <w:autoSpaceDN w:val="0"/>
              <w:autoSpaceDE w:val="0"/>
              <w:widowControl/>
              <w:spacing w:line="233" w:lineRule="auto" w:before="242" w:after="0"/>
              <w:ind w:left="0" w:right="0" w:firstLine="0"/>
              <w:jc w:val="center"/>
            </w:pPr>
            <w:r>
              <w:rPr>
                <w:rFonts w:ascii="Arial" w:hAnsi="Arial" w:eastAsia="Arial"/>
                <w:b w:val="0"/>
                <w:i w:val="0"/>
                <w:color w:val="000000"/>
                <w:sz w:val="18"/>
              </w:rPr>
              <w:t>392,644,819</w:t>
            </w:r>
          </w:p>
        </w:tc>
        <w:tc>
          <w:tcPr>
            <w:tcW w:type="dxa" w:w="1574"/>
            <w:tcBorders>
              <w:top w:sz="4.0" w:val="single" w:color="#000000"/>
              <w:bottom w:sz="4.0" w:val="single" w:color="#000000"/>
            </w:tcBorders>
            <w:tcMar>
              <w:start w:w="0" w:type="dxa"/>
              <w:end w:w="0" w:type="dxa"/>
            </w:tcMar>
          </w:tcPr>
          <w:p>
            <w:pPr>
              <w:autoSpaceDN w:val="0"/>
              <w:autoSpaceDE w:val="0"/>
              <w:widowControl/>
              <w:spacing w:line="233" w:lineRule="auto" w:before="242" w:after="0"/>
              <w:ind w:left="0" w:right="0" w:firstLine="0"/>
              <w:jc w:val="right"/>
            </w:pPr>
            <w:r>
              <w:rPr>
                <w:rFonts w:ascii="Arial" w:hAnsi="Arial" w:eastAsia="Arial"/>
                <w:b w:val="0"/>
                <w:i w:val="0"/>
                <w:color w:val="000000"/>
                <w:sz w:val="18"/>
              </w:rPr>
              <w:t>214,099,641</w:t>
            </w:r>
          </w:p>
        </w:tc>
        <w:tc>
          <w:tcPr>
            <w:tcW w:type="dxa" w:w="2114"/>
            <w:tcBorders>
              <w:top w:sz="4.0" w:val="single" w:color="#000000"/>
              <w:bottom w:sz="4.0" w:val="single" w:color="#000000"/>
            </w:tcBorders>
            <w:tcMar>
              <w:start w:w="0" w:type="dxa"/>
              <w:end w:w="0" w:type="dxa"/>
            </w:tcMar>
          </w:tcPr>
          <w:p>
            <w:pPr>
              <w:autoSpaceDN w:val="0"/>
              <w:autoSpaceDE w:val="0"/>
              <w:widowControl/>
              <w:spacing w:line="233" w:lineRule="auto" w:before="242" w:after="0"/>
              <w:ind w:left="0" w:right="162" w:firstLine="0"/>
              <w:jc w:val="right"/>
            </w:pPr>
            <w:r>
              <w:rPr>
                <w:rFonts w:ascii="Arial" w:hAnsi="Arial" w:eastAsia="Arial"/>
                <w:b w:val="0"/>
                <w:i w:val="0"/>
                <w:color w:val="000000"/>
                <w:sz w:val="18"/>
              </w:rPr>
              <w:t xml:space="preserve">394,692 </w:t>
            </w:r>
          </w:p>
        </w:tc>
        <w:tc>
          <w:tcPr>
            <w:tcW w:type="dxa" w:w="1874"/>
            <w:tcBorders>
              <w:top w:sz="4.0" w:val="single" w:color="#000000"/>
              <w:bottom w:sz="4.0" w:val="single" w:color="#000000"/>
            </w:tcBorders>
            <w:tcMar>
              <w:start w:w="0" w:type="dxa"/>
              <w:end w:w="0" w:type="dxa"/>
            </w:tcMar>
          </w:tcPr>
          <w:p/>
        </w:tc>
      </w:tr>
      <w:tr>
        <w:trPr>
          <w:trHeight w:hRule="exact" w:val="52"/>
        </w:trPr>
        <w:tc>
          <w:tcPr>
            <w:tcW w:type="dxa" w:w="2008"/>
            <w:tcBorders>
              <w:top w:sz="4.0" w:val="single" w:color="#000000"/>
            </w:tcBorders>
            <w:tcMar>
              <w:start w:w="0" w:type="dxa"/>
              <w:end w:w="0" w:type="dxa"/>
            </w:tcMar>
          </w:tcPr>
          <w:p/>
        </w:tc>
        <w:tc>
          <w:tcPr>
            <w:tcW w:type="dxa" w:w="1042"/>
            <w:tcBorders>
              <w:top w:sz="4.0" w:val="single" w:color="#000000"/>
            </w:tcBorders>
            <w:tcMar>
              <w:start w:w="0" w:type="dxa"/>
              <w:end w:w="0" w:type="dxa"/>
            </w:tcMar>
          </w:tcPr>
          <w:p/>
        </w:tc>
        <w:tc>
          <w:tcPr>
            <w:tcW w:type="dxa" w:w="1574"/>
            <w:tcBorders>
              <w:top w:sz="4.0" w:val="single" w:color="#000000"/>
            </w:tcBorders>
            <w:tcMar>
              <w:start w:w="0" w:type="dxa"/>
              <w:end w:w="0" w:type="dxa"/>
            </w:tcMar>
          </w:tcPr>
          <w:p/>
        </w:tc>
        <w:tc>
          <w:tcPr>
            <w:tcW w:type="dxa" w:w="2114"/>
            <w:tcBorders>
              <w:top w:sz="4.0" w:val="single" w:color="#000000"/>
            </w:tcBorders>
            <w:tcMar>
              <w:start w:w="0" w:type="dxa"/>
              <w:end w:w="0" w:type="dxa"/>
            </w:tcMar>
          </w:tcPr>
          <w:p/>
        </w:tc>
        <w:tc>
          <w:tcPr>
            <w:tcW w:type="dxa" w:w="1874"/>
            <w:tcBorders>
              <w:top w:sz="4.0" w:val="single" w:color="#000000"/>
            </w:tcBorders>
            <w:tcMar>
              <w:start w:w="0" w:type="dxa"/>
              <w:end w:w="0" w:type="dxa"/>
            </w:tcMar>
          </w:tcPr>
          <w:p/>
        </w:tc>
      </w:tr>
    </w:tbl>
    <w:p>
      <w:pPr>
        <w:autoSpaceDN w:val="0"/>
        <w:autoSpaceDE w:val="0"/>
        <w:widowControl/>
        <w:spacing w:line="200" w:lineRule="exact" w:before="242" w:after="0"/>
        <w:ind w:left="0" w:right="2886" w:firstLine="0"/>
        <w:jc w:val="righ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p>
      <w:pPr>
        <w:autoSpaceDN w:val="0"/>
        <w:autoSpaceDE w:val="0"/>
        <w:widowControl/>
        <w:spacing w:line="180" w:lineRule="exact" w:before="50" w:after="0"/>
        <w:ind w:left="0" w:right="256" w:firstLine="0"/>
        <w:jc w:val="right"/>
      </w:pPr>
      <w:r>
        <w:rPr>
          <w:rFonts w:ascii="黑体" w:hAnsi="黑体" w:eastAsia="黑体"/>
          <w:b w:val="0"/>
          <w:i w:val="0"/>
          <w:color w:val="000000"/>
          <w:sz w:val="18"/>
        </w:rPr>
        <w:t>指定为以公允价值计量</w:t>
      </w:r>
    </w:p>
    <w:p>
      <w:pPr>
        <w:autoSpaceDN w:val="0"/>
        <w:autoSpaceDE w:val="0"/>
        <w:widowControl/>
        <w:spacing w:line="180" w:lineRule="exact" w:before="56" w:after="26"/>
        <w:ind w:left="0" w:right="256" w:firstLine="0"/>
        <w:jc w:val="right"/>
      </w:pPr>
      <w:r>
        <w:rPr>
          <w:rFonts w:ascii="黑体" w:hAnsi="黑体" w:eastAsia="黑体"/>
          <w:b w:val="0"/>
          <w:i w:val="0"/>
          <w:color w:val="000000"/>
          <w:sz w:val="18"/>
        </w:rPr>
        <w:t>且其变动计入其他综合</w:t>
      </w:r>
    </w:p>
    <w:tbl>
      <w:tblPr>
        <w:tblW w:type="auto" w:w="0"/>
        <w:tblLayout w:type="fixed"/>
        <w:tblLook w:firstColumn="1" w:firstRow="1" w:lastColumn="0" w:lastRow="0" w:noHBand="0" w:noVBand="1" w:val="04A0"/>
        <w:tblInd w:w="1220.0" w:type="dxa"/>
      </w:tblPr>
      <w:tblGrid>
        <w:gridCol w:w="2256"/>
        <w:gridCol w:w="2256"/>
        <w:gridCol w:w="2256"/>
        <w:gridCol w:w="2256"/>
      </w:tblGrid>
      <w:tr>
        <w:trPr>
          <w:trHeight w:hRule="exact" w:val="266"/>
        </w:trPr>
        <w:tc>
          <w:tcPr>
            <w:tcW w:type="dxa" w:w="2120"/>
            <w:tcBorders/>
            <w:tcMar>
              <w:start w:w="0" w:type="dxa"/>
              <w:end w:w="0" w:type="dxa"/>
            </w:tcMar>
          </w:tcPr>
          <w:p>
            <w:pPr>
              <w:autoSpaceDN w:val="0"/>
              <w:autoSpaceDE w:val="0"/>
              <w:widowControl/>
              <w:spacing w:line="180" w:lineRule="exact" w:before="26" w:after="0"/>
              <w:ind w:left="0" w:right="144" w:firstLine="0"/>
              <w:jc w:val="right"/>
            </w:pPr>
            <w:r>
              <w:rPr>
                <w:rFonts w:ascii="黑体" w:hAnsi="黑体" w:eastAsia="黑体"/>
                <w:b w:val="0"/>
                <w:i w:val="0"/>
                <w:color w:val="000000"/>
                <w:sz w:val="18"/>
              </w:rPr>
              <w:t>初始成本</w:t>
            </w:r>
          </w:p>
        </w:tc>
        <w:tc>
          <w:tcPr>
            <w:tcW w:type="dxa" w:w="156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本年末公允价值</w:t>
            </w:r>
          </w:p>
        </w:tc>
        <w:tc>
          <w:tcPr>
            <w:tcW w:type="dxa" w:w="2360"/>
            <w:tcBorders/>
            <w:tcMar>
              <w:start w:w="0" w:type="dxa"/>
              <w:end w:w="0" w:type="dxa"/>
            </w:tcMar>
          </w:tcPr>
          <w:p>
            <w:pPr>
              <w:autoSpaceDN w:val="0"/>
              <w:autoSpaceDE w:val="0"/>
              <w:widowControl/>
              <w:spacing w:line="180" w:lineRule="exact" w:before="26" w:after="0"/>
              <w:ind w:left="166" w:right="0" w:firstLine="0"/>
              <w:jc w:val="left"/>
            </w:pPr>
            <w:r>
              <w:rPr>
                <w:rFonts w:ascii="黑体" w:hAnsi="黑体" w:eastAsia="黑体"/>
                <w:b w:val="0"/>
                <w:i w:val="0"/>
                <w:color w:val="000000"/>
                <w:sz w:val="18"/>
              </w:rPr>
              <w:t>本年确认的股利收入</w:t>
            </w:r>
          </w:p>
        </w:tc>
        <w:tc>
          <w:tcPr>
            <w:tcW w:type="dxa" w:w="1620"/>
            <w:tcBorders/>
            <w:tcMar>
              <w:start w:w="0" w:type="dxa"/>
              <w:end w:w="0" w:type="dxa"/>
            </w:tcMar>
          </w:tcPr>
          <w:p>
            <w:pPr>
              <w:autoSpaceDN w:val="0"/>
              <w:autoSpaceDE w:val="0"/>
              <w:widowControl/>
              <w:spacing w:line="180" w:lineRule="exact" w:before="26" w:after="0"/>
              <w:ind w:left="0" w:right="108" w:firstLine="0"/>
              <w:jc w:val="right"/>
            </w:pPr>
            <w:r>
              <w:rPr>
                <w:rFonts w:ascii="黑体" w:hAnsi="黑体" w:eastAsia="黑体"/>
                <w:b w:val="0"/>
                <w:i w:val="0"/>
                <w:color w:val="000000"/>
                <w:sz w:val="18"/>
              </w:rPr>
              <w:t>收益的原因</w:t>
            </w:r>
          </w:p>
        </w:tc>
      </w:tr>
    </w:tbl>
    <w:p>
      <w:pPr>
        <w:autoSpaceDN w:val="0"/>
        <w:autoSpaceDE w:val="0"/>
        <w:widowControl/>
        <w:spacing w:line="180" w:lineRule="exact" w:before="200" w:after="28"/>
        <w:ind w:left="0" w:right="254" w:firstLine="0"/>
        <w:jc w:val="right"/>
      </w:pPr>
      <w:r>
        <w:rPr>
          <w:rFonts w:ascii="黑体" w:hAnsi="黑体" w:eastAsia="黑体"/>
          <w:b w:val="0"/>
          <w:i w:val="0"/>
          <w:color w:val="000000"/>
          <w:sz w:val="18"/>
        </w:rPr>
        <w:t>拟长期持有的</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40"/>
        </w:trPr>
        <w:tc>
          <w:tcPr>
            <w:tcW w:type="dxa" w:w="2008"/>
            <w:tcBorders>
              <w:bottom w:sz="4.0" w:val="single" w:color="#0000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非交易性权益工具</w:t>
            </w:r>
          </w:p>
        </w:tc>
        <w:tc>
          <w:tcPr>
            <w:tcW w:type="dxa" w:w="1024"/>
            <w:tcBorders>
              <w:bottom w:sz="4.0" w:val="single" w:color="#000000"/>
            </w:tcBorders>
            <w:tcMar>
              <w:start w:w="0" w:type="dxa"/>
              <w:end w:w="0" w:type="dxa"/>
            </w:tcMar>
          </w:tcPr>
          <w:p>
            <w:pPr>
              <w:autoSpaceDN w:val="0"/>
              <w:autoSpaceDE w:val="0"/>
              <w:widowControl/>
              <w:spacing w:line="235" w:lineRule="auto" w:before="32" w:after="0"/>
              <w:ind w:left="0" w:right="0" w:firstLine="0"/>
              <w:jc w:val="center"/>
            </w:pPr>
            <w:r>
              <w:rPr>
                <w:rFonts w:ascii="Arial" w:hAnsi="Arial" w:eastAsia="Arial"/>
                <w:b w:val="0"/>
                <w:i w:val="0"/>
                <w:color w:val="000000"/>
                <w:sz w:val="18"/>
              </w:rPr>
              <w:t>393,852,007</w:t>
            </w:r>
          </w:p>
        </w:tc>
        <w:tc>
          <w:tcPr>
            <w:tcW w:type="dxa" w:w="1560"/>
            <w:tcBorders>
              <w:bottom w:sz="4.0" w:val="single" w:color="#000000"/>
            </w:tcBorders>
            <w:tcMar>
              <w:start w:w="0" w:type="dxa"/>
              <w:end w:w="0" w:type="dxa"/>
            </w:tcMar>
          </w:tcPr>
          <w:p>
            <w:pPr>
              <w:autoSpaceDN w:val="0"/>
              <w:autoSpaceDE w:val="0"/>
              <w:widowControl/>
              <w:spacing w:line="235" w:lineRule="auto" w:before="32" w:after="0"/>
              <w:ind w:left="0" w:right="0" w:firstLine="0"/>
              <w:jc w:val="right"/>
            </w:pPr>
            <w:r>
              <w:rPr>
                <w:rFonts w:ascii="Arial" w:hAnsi="Arial" w:eastAsia="Arial"/>
                <w:b w:val="0"/>
                <w:i w:val="0"/>
                <w:color w:val="000000"/>
                <w:sz w:val="18"/>
              </w:rPr>
              <w:t>235,315,501</w:t>
            </w:r>
          </w:p>
        </w:tc>
        <w:tc>
          <w:tcPr>
            <w:tcW w:type="dxa" w:w="2146"/>
            <w:tcBorders>
              <w:bottom w:sz="4.0" w:val="single" w:color="#000000"/>
            </w:tcBorders>
            <w:tcMar>
              <w:start w:w="0" w:type="dxa"/>
              <w:end w:w="0" w:type="dxa"/>
            </w:tcMar>
          </w:tcPr>
          <w:p>
            <w:pPr>
              <w:autoSpaceDN w:val="0"/>
              <w:autoSpaceDE w:val="0"/>
              <w:widowControl/>
              <w:spacing w:line="235" w:lineRule="auto" w:before="32" w:after="0"/>
              <w:ind w:left="0" w:right="162" w:firstLine="0"/>
              <w:jc w:val="right"/>
            </w:pPr>
            <w:r>
              <w:rPr>
                <w:rFonts w:ascii="Arial" w:hAnsi="Arial" w:eastAsia="Arial"/>
                <w:b w:val="0"/>
                <w:i w:val="0"/>
                <w:color w:val="000000"/>
                <w:sz w:val="18"/>
              </w:rPr>
              <w:t xml:space="preserve">223,979 </w:t>
            </w:r>
          </w:p>
        </w:tc>
        <w:tc>
          <w:tcPr>
            <w:tcW w:type="dxa" w:w="1874"/>
            <w:tcBorders>
              <w:bottom w:sz="4.0" w:val="single" w:color="#00000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战略性投资</w:t>
            </w:r>
          </w:p>
        </w:tc>
      </w:tr>
      <w:tr>
        <w:trPr>
          <w:trHeight w:hRule="exact" w:val="450"/>
        </w:trPr>
        <w:tc>
          <w:tcPr>
            <w:tcW w:type="dxa" w:w="2008"/>
            <w:tcBorders>
              <w:top w:sz="4.0" w:val="single" w:color="#000000"/>
              <w:bottom w:sz="3.200000000000273"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合计</w:t>
            </w:r>
          </w:p>
        </w:tc>
        <w:tc>
          <w:tcPr>
            <w:tcW w:type="dxa" w:w="1024"/>
            <w:tcBorders>
              <w:top w:sz="4.0" w:val="single" w:color="#000000"/>
              <w:bottom w:sz="3.200000000000273" w:val="single" w:color="#000000"/>
            </w:tcBorders>
            <w:tcMar>
              <w:start w:w="0" w:type="dxa"/>
              <w:end w:w="0" w:type="dxa"/>
            </w:tcMar>
          </w:tcPr>
          <w:p>
            <w:pPr>
              <w:autoSpaceDN w:val="0"/>
              <w:autoSpaceDE w:val="0"/>
              <w:widowControl/>
              <w:spacing w:line="233" w:lineRule="auto" w:before="238" w:after="0"/>
              <w:ind w:left="0" w:right="0" w:firstLine="0"/>
              <w:jc w:val="center"/>
            </w:pPr>
            <w:r>
              <w:rPr>
                <w:rFonts w:ascii="Arial" w:hAnsi="Arial" w:eastAsia="Arial"/>
                <w:b w:val="0"/>
                <w:i w:val="0"/>
                <w:color w:val="000000"/>
                <w:sz w:val="18"/>
              </w:rPr>
              <w:t>393,852,007</w:t>
            </w:r>
          </w:p>
        </w:tc>
        <w:tc>
          <w:tcPr>
            <w:tcW w:type="dxa" w:w="1560"/>
            <w:tcBorders>
              <w:top w:sz="4.0" w:val="single" w:color="#000000"/>
              <w:bottom w:sz="3.200000000000273" w:val="single" w:color="#000000"/>
            </w:tcBorders>
            <w:tcMar>
              <w:start w:w="0" w:type="dxa"/>
              <w:end w:w="0" w:type="dxa"/>
            </w:tcMar>
          </w:tcPr>
          <w:p>
            <w:pPr>
              <w:autoSpaceDN w:val="0"/>
              <w:autoSpaceDE w:val="0"/>
              <w:widowControl/>
              <w:spacing w:line="233" w:lineRule="auto" w:before="238" w:after="0"/>
              <w:ind w:left="0" w:right="0" w:firstLine="0"/>
              <w:jc w:val="right"/>
            </w:pPr>
            <w:r>
              <w:rPr>
                <w:rFonts w:ascii="Arial" w:hAnsi="Arial" w:eastAsia="Arial"/>
                <w:b w:val="0"/>
                <w:i w:val="0"/>
                <w:color w:val="000000"/>
                <w:sz w:val="18"/>
              </w:rPr>
              <w:t>235,315,501</w:t>
            </w:r>
          </w:p>
        </w:tc>
        <w:tc>
          <w:tcPr>
            <w:tcW w:type="dxa" w:w="2146"/>
            <w:tcBorders>
              <w:top w:sz="4.0" w:val="single" w:color="#000000"/>
              <w:bottom w:sz="3.200000000000273" w:val="single" w:color="#000000"/>
            </w:tcBorders>
            <w:tcMar>
              <w:start w:w="0" w:type="dxa"/>
              <w:end w:w="0" w:type="dxa"/>
            </w:tcMar>
          </w:tcPr>
          <w:p>
            <w:pPr>
              <w:autoSpaceDN w:val="0"/>
              <w:autoSpaceDE w:val="0"/>
              <w:widowControl/>
              <w:spacing w:line="233" w:lineRule="auto" w:before="238" w:after="0"/>
              <w:ind w:left="0" w:right="162" w:firstLine="0"/>
              <w:jc w:val="right"/>
            </w:pPr>
            <w:r>
              <w:rPr>
                <w:rFonts w:ascii="Arial" w:hAnsi="Arial" w:eastAsia="Arial"/>
                <w:b w:val="0"/>
                <w:i w:val="0"/>
                <w:color w:val="000000"/>
                <w:sz w:val="18"/>
              </w:rPr>
              <w:t xml:space="preserve">223,979 </w:t>
            </w:r>
          </w:p>
        </w:tc>
        <w:tc>
          <w:tcPr>
            <w:tcW w:type="dxa" w:w="1874"/>
            <w:tcBorders>
              <w:top w:sz="4.0" w:val="single" w:color="#000000"/>
              <w:bottom w:sz="3.200000000000273" w:val="single" w:color="#000000"/>
            </w:tcBorders>
            <w:tcMar>
              <w:start w:w="0" w:type="dxa"/>
              <w:end w:w="0" w:type="dxa"/>
            </w:tcMar>
          </w:tcPr>
          <w:p/>
        </w:tc>
      </w:tr>
      <w:tr>
        <w:trPr>
          <w:trHeight w:hRule="exact" w:val="52"/>
        </w:trPr>
        <w:tc>
          <w:tcPr>
            <w:tcW w:type="dxa" w:w="2008"/>
            <w:tcBorders>
              <w:top w:sz="3.200000000000273" w:val="single" w:color="#000000"/>
            </w:tcBorders>
            <w:tcMar>
              <w:start w:w="0" w:type="dxa"/>
              <w:end w:w="0" w:type="dxa"/>
            </w:tcMar>
          </w:tcPr>
          <w:p/>
        </w:tc>
        <w:tc>
          <w:tcPr>
            <w:tcW w:type="dxa" w:w="1024"/>
            <w:tcBorders>
              <w:top w:sz="3.200000000000273" w:val="single" w:color="#000000"/>
            </w:tcBorders>
            <w:tcMar>
              <w:start w:w="0" w:type="dxa"/>
              <w:end w:w="0" w:type="dxa"/>
            </w:tcMar>
          </w:tcPr>
          <w:p/>
        </w:tc>
        <w:tc>
          <w:tcPr>
            <w:tcW w:type="dxa" w:w="1560"/>
            <w:tcBorders>
              <w:top w:sz="3.200000000000273" w:val="single" w:color="#000000"/>
            </w:tcBorders>
            <w:tcMar>
              <w:start w:w="0" w:type="dxa"/>
              <w:end w:w="0" w:type="dxa"/>
            </w:tcMar>
          </w:tcPr>
          <w:p/>
        </w:tc>
        <w:tc>
          <w:tcPr>
            <w:tcW w:type="dxa" w:w="2146"/>
            <w:tcBorders>
              <w:top w:sz="3.200000000000273" w:val="single" w:color="#000000"/>
            </w:tcBorders>
            <w:tcMar>
              <w:start w:w="0" w:type="dxa"/>
              <w:end w:w="0" w:type="dxa"/>
            </w:tcMar>
          </w:tcPr>
          <w:p/>
        </w:tc>
        <w:tc>
          <w:tcPr>
            <w:tcW w:type="dxa" w:w="1874"/>
            <w:tcBorders>
              <w:top w:sz="3.200000000000273" w:val="single" w:color="#000000"/>
            </w:tcBorders>
            <w:tcMar>
              <w:start w:w="0" w:type="dxa"/>
              <w:end w:w="0" w:type="dxa"/>
            </w:tcMar>
          </w:tcPr>
          <w:p/>
        </w:tc>
      </w:tr>
    </w:tbl>
    <w:p>
      <w:pPr>
        <w:autoSpaceDN w:val="0"/>
        <w:autoSpaceDE w:val="0"/>
        <w:widowControl/>
        <w:spacing w:line="246" w:lineRule="exact" w:before="176"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处置的其他权益工具投资</w:t>
      </w:r>
    </w:p>
    <w:p>
      <w:pPr>
        <w:autoSpaceDN w:val="0"/>
        <w:autoSpaceDE w:val="0"/>
        <w:widowControl/>
        <w:spacing w:line="246" w:lineRule="exact" w:before="292"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年处置的其他权益工具投资</w:t>
      </w:r>
    </w:p>
    <w:p>
      <w:pPr>
        <w:autoSpaceDN w:val="0"/>
        <w:autoSpaceDE w:val="0"/>
        <w:widowControl/>
        <w:spacing w:line="246" w:lineRule="exact" w:before="224" w:after="0"/>
        <w:ind w:left="358" w:right="0"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年度，由于投资策略变更，本集团处置了以下其他权益工具投资：</w:t>
      </w:r>
    </w:p>
    <w:p>
      <w:pPr>
        <w:autoSpaceDN w:val="0"/>
        <w:autoSpaceDE w:val="0"/>
        <w:widowControl/>
        <w:spacing w:line="180" w:lineRule="exact" w:before="232" w:after="26"/>
        <w:ind w:left="0" w:right="2004" w:firstLine="0"/>
        <w:jc w:val="right"/>
      </w:pPr>
      <w:r>
        <w:rPr>
          <w:rFonts w:ascii="黑体" w:hAnsi="黑体" w:eastAsia="黑体"/>
          <w:b w:val="0"/>
          <w:i w:val="0"/>
          <w:color w:val="000000"/>
          <w:sz w:val="18"/>
        </w:rPr>
        <w:t>终止确认时的累计损失</w:t>
      </w:r>
    </w:p>
    <w:tbl>
      <w:tblPr>
        <w:tblW w:type="auto" w:w="0"/>
        <w:tblLayout w:type="fixed"/>
        <w:tblLook w:firstColumn="1" w:firstRow="1" w:lastColumn="0" w:lastRow="0" w:noHBand="0" w:noVBand="1" w:val="04A0"/>
        <w:tblInd w:w="358.0000000000001" w:type="dxa"/>
      </w:tblPr>
      <w:tblGrid>
        <w:gridCol w:w="1805"/>
        <w:gridCol w:w="1805"/>
        <w:gridCol w:w="1805"/>
        <w:gridCol w:w="1805"/>
        <w:gridCol w:w="1805"/>
      </w:tblGrid>
      <w:tr>
        <w:trPr>
          <w:trHeight w:hRule="exact" w:val="232"/>
        </w:trPr>
        <w:tc>
          <w:tcPr>
            <w:tcW w:type="dxa" w:w="72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项目类型</w:t>
            </w:r>
          </w:p>
        </w:tc>
        <w:tc>
          <w:tcPr>
            <w:tcW w:type="dxa" w:w="254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本年终止确认时的</w:t>
            </w:r>
          </w:p>
        </w:tc>
        <w:tc>
          <w:tcPr>
            <w:tcW w:type="dxa" w:w="149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本年股利收入</w:t>
            </w:r>
          </w:p>
        </w:tc>
        <w:tc>
          <w:tcPr>
            <w:tcW w:type="dxa" w:w="2172"/>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本年从其他综合收益</w:t>
            </w:r>
          </w:p>
        </w:tc>
        <w:tc>
          <w:tcPr>
            <w:tcW w:type="dxa" w:w="158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终止确认的原因</w:t>
            </w:r>
          </w:p>
        </w:tc>
      </w:tr>
      <w:tr>
        <w:trPr>
          <w:trHeight w:hRule="exact" w:val="216"/>
        </w:trPr>
        <w:tc>
          <w:tcPr>
            <w:tcW w:type="dxa" w:w="1805"/>
            <w:vMerge/>
            <w:tcBorders>
              <w:bottom w:sz="4.0" w:val="single" w:color="#000000"/>
            </w:tcBorders>
          </w:tcPr>
          <w:p/>
        </w:tc>
        <w:tc>
          <w:tcPr>
            <w:tcW w:type="dxa" w:w="2540"/>
            <w:tcBorders>
              <w:bottom w:sz="4.0" w:val="single" w:color="#00000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公允价值</w:t>
            </w:r>
          </w:p>
        </w:tc>
        <w:tc>
          <w:tcPr>
            <w:tcW w:type="dxa" w:w="1805"/>
            <w:vMerge/>
            <w:tcBorders>
              <w:bottom w:sz="4.0" w:val="single" w:color="#000000"/>
            </w:tcBorders>
          </w:tcPr>
          <w:p/>
        </w:tc>
        <w:tc>
          <w:tcPr>
            <w:tcW w:type="dxa" w:w="2172"/>
            <w:tcBorders>
              <w:bottom w:sz="4.0" w:val="single" w:color="#0000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转入留存收益的金额</w:t>
            </w:r>
          </w:p>
        </w:tc>
        <w:tc>
          <w:tcPr>
            <w:tcW w:type="dxa" w:w="1805"/>
            <w:vMerge/>
            <w:tcBorders>
              <w:bottom w:sz="4.0" w:val="single" w:color="#000000"/>
            </w:tcBorders>
          </w:tcPr>
          <w:p/>
        </w:tc>
      </w:tr>
      <w:tr>
        <w:trPr>
          <w:trHeight w:hRule="exact" w:val="444"/>
        </w:trPr>
        <w:tc>
          <w:tcPr>
            <w:tcW w:type="dxa" w:w="720"/>
            <w:tcBorders>
              <w:top w:sz="4.0" w:val="single" w:color="#000000"/>
            </w:tcBorders>
            <w:tcMar>
              <w:start w:w="0" w:type="dxa"/>
              <w:end w:w="0" w:type="dxa"/>
            </w:tcMar>
          </w:tcPr>
          <w:p>
            <w:pPr>
              <w:autoSpaceDN w:val="0"/>
              <w:autoSpaceDE w:val="0"/>
              <w:widowControl/>
              <w:spacing w:line="180" w:lineRule="exact" w:before="246" w:after="0"/>
              <w:ind w:left="0" w:right="0" w:firstLine="0"/>
              <w:jc w:val="center"/>
            </w:pPr>
            <w:r>
              <w:rPr>
                <w:rFonts w:ascii="黑体" w:hAnsi="黑体" w:eastAsia="黑体"/>
                <w:b w:val="0"/>
                <w:i w:val="0"/>
                <w:color w:val="000000"/>
                <w:sz w:val="18"/>
              </w:rPr>
              <w:t>纳地股份</w:t>
            </w:r>
          </w:p>
        </w:tc>
        <w:tc>
          <w:tcPr>
            <w:tcW w:type="dxa" w:w="2540"/>
            <w:tcBorders>
              <w:top w:sz="4.0" w:val="single" w:color="#000000"/>
            </w:tcBorders>
            <w:tcMar>
              <w:start w:w="0" w:type="dxa"/>
              <w:end w:w="0" w:type="dxa"/>
            </w:tcMar>
          </w:tcPr>
          <w:p>
            <w:pPr>
              <w:autoSpaceDN w:val="0"/>
              <w:autoSpaceDE w:val="0"/>
              <w:widowControl/>
              <w:spacing w:line="235" w:lineRule="auto" w:before="236" w:after="0"/>
              <w:ind w:left="0" w:right="0" w:firstLine="0"/>
              <w:jc w:val="right"/>
            </w:pPr>
            <w:r>
              <w:rPr>
                <w:rFonts w:ascii="Arial" w:hAnsi="Arial" w:eastAsia="Arial"/>
                <w:b w:val="0"/>
                <w:i w:val="0"/>
                <w:color w:val="000000"/>
                <w:sz w:val="18"/>
              </w:rPr>
              <w:t>30,238</w:t>
            </w:r>
          </w:p>
        </w:tc>
        <w:tc>
          <w:tcPr>
            <w:tcW w:type="dxa" w:w="1490"/>
            <w:tcBorders>
              <w:top w:sz="4.0" w:val="single" w:color="#000000"/>
            </w:tcBorders>
            <w:tcMar>
              <w:start w:w="0" w:type="dxa"/>
              <w:end w:w="0" w:type="dxa"/>
            </w:tcMar>
          </w:tcPr>
          <w:p>
            <w:pPr>
              <w:autoSpaceDN w:val="0"/>
              <w:autoSpaceDE w:val="0"/>
              <w:widowControl/>
              <w:spacing w:line="235" w:lineRule="auto" w:before="236" w:after="0"/>
              <w:ind w:left="0" w:right="162" w:firstLine="0"/>
              <w:jc w:val="right"/>
            </w:pPr>
            <w:r>
              <w:rPr>
                <w:rFonts w:ascii="Arial" w:hAnsi="Arial" w:eastAsia="Arial"/>
                <w:b w:val="0"/>
                <w:i w:val="0"/>
                <w:color w:val="000000"/>
                <w:sz w:val="18"/>
              </w:rPr>
              <w:t xml:space="preserve">- </w:t>
            </w:r>
          </w:p>
        </w:tc>
        <w:tc>
          <w:tcPr>
            <w:tcW w:type="dxa" w:w="2172"/>
            <w:tcBorders>
              <w:top w:sz="4.0" w:val="single" w:color="#000000"/>
            </w:tcBorders>
            <w:tcMar>
              <w:start w:w="0" w:type="dxa"/>
              <w:end w:w="0" w:type="dxa"/>
            </w:tcMar>
          </w:tcPr>
          <w:p>
            <w:pPr>
              <w:autoSpaceDN w:val="0"/>
              <w:autoSpaceDE w:val="0"/>
              <w:widowControl/>
              <w:spacing w:line="235" w:lineRule="auto" w:before="236" w:after="0"/>
              <w:ind w:left="0" w:right="148" w:firstLine="0"/>
              <w:jc w:val="right"/>
            </w:pPr>
            <w:r>
              <w:rPr>
                <w:rFonts w:ascii="Arial" w:hAnsi="Arial" w:eastAsia="Arial"/>
                <w:b w:val="0"/>
                <w:i w:val="0"/>
                <w:color w:val="000000"/>
                <w:sz w:val="18"/>
              </w:rPr>
              <w:t xml:space="preserve">(14,829) </w:t>
            </w:r>
          </w:p>
        </w:tc>
        <w:tc>
          <w:tcPr>
            <w:tcW w:type="dxa" w:w="1580"/>
            <w:tcBorders>
              <w:top w:sz="4.0" w:val="single" w:color="#000000"/>
            </w:tcBorders>
            <w:tcMar>
              <w:start w:w="0" w:type="dxa"/>
              <w:end w:w="0" w:type="dxa"/>
            </w:tcMar>
          </w:tcPr>
          <w:p>
            <w:pPr>
              <w:autoSpaceDN w:val="0"/>
              <w:autoSpaceDE w:val="0"/>
              <w:widowControl/>
              <w:spacing w:line="180" w:lineRule="exact" w:before="246" w:after="0"/>
              <w:ind w:left="364" w:right="0" w:firstLine="0"/>
              <w:jc w:val="left"/>
            </w:pPr>
            <w:r>
              <w:rPr>
                <w:rFonts w:ascii="黑体" w:hAnsi="黑体" w:eastAsia="黑体"/>
                <w:b w:val="0"/>
                <w:i w:val="0"/>
                <w:color w:val="000000"/>
                <w:sz w:val="18"/>
              </w:rPr>
              <w:t>投资策略变更</w:t>
            </w:r>
          </w:p>
        </w:tc>
      </w:tr>
      <w:tr>
        <w:trPr>
          <w:trHeight w:hRule="exact" w:val="220"/>
        </w:trPr>
        <w:tc>
          <w:tcPr>
            <w:tcW w:type="dxa" w:w="720"/>
            <w:tcBorders/>
            <w:tcMar>
              <w:start w:w="0" w:type="dxa"/>
              <w:end w:w="0" w:type="dxa"/>
            </w:tcMar>
          </w:tcPr>
          <w:p>
            <w:pPr>
              <w:autoSpaceDN w:val="0"/>
              <w:autoSpaceDE w:val="0"/>
              <w:widowControl/>
              <w:spacing w:line="180" w:lineRule="exact" w:before="40" w:after="0"/>
              <w:ind w:left="0" w:right="0" w:firstLine="0"/>
              <w:jc w:val="center"/>
            </w:pPr>
            <w:r>
              <w:rPr>
                <w:rFonts w:ascii="黑体" w:hAnsi="黑体" w:eastAsia="黑体"/>
                <w:b w:val="0"/>
                <w:i w:val="0"/>
                <w:color w:val="000000"/>
                <w:sz w:val="18"/>
              </w:rPr>
              <w:t>国德股份</w:t>
            </w:r>
          </w:p>
        </w:tc>
        <w:tc>
          <w:tcPr>
            <w:tcW w:type="dxa" w:w="2540"/>
            <w:vMerge w:val="restart"/>
            <w:tcBorders/>
            <w:tcMar>
              <w:start w:w="0" w:type="dxa"/>
              <w:end w:w="0" w:type="dxa"/>
            </w:tcMar>
            <w:tcMar>
              <w:start w:w="0" w:type="dxa"/>
              <w:end w:w="0" w:type="dxa"/>
            </w:tcMar>
          </w:tcPr>
          <w:p>
            <w:pPr>
              <w:autoSpaceDN w:val="0"/>
              <w:autoSpaceDE w:val="0"/>
              <w:widowControl/>
              <w:spacing w:line="233" w:lineRule="auto" w:before="48" w:after="0"/>
              <w:ind w:left="0" w:right="0" w:firstLine="0"/>
              <w:jc w:val="right"/>
            </w:pPr>
            <w:r>
              <w:rPr>
                <w:rFonts w:ascii="Arial" w:hAnsi="Arial" w:eastAsia="Arial"/>
                <w:b w:val="0"/>
                <w:i w:val="0"/>
                <w:color w:val="000000"/>
                <w:sz w:val="18"/>
              </w:rPr>
              <w:t>648,641</w:t>
            </w:r>
          </w:p>
        </w:tc>
        <w:tc>
          <w:tcPr>
            <w:tcW w:type="dxa" w:w="1490"/>
            <w:vMerge w:val="restart"/>
            <w:tcBorders/>
            <w:tcMar>
              <w:start w:w="0" w:type="dxa"/>
              <w:end w:w="0" w:type="dxa"/>
            </w:tcMar>
            <w:tcMar>
              <w:start w:w="0" w:type="dxa"/>
              <w:end w:w="0" w:type="dxa"/>
            </w:tcMar>
          </w:tcPr>
          <w:p>
            <w:pPr>
              <w:autoSpaceDN w:val="0"/>
              <w:autoSpaceDE w:val="0"/>
              <w:widowControl/>
              <w:spacing w:line="233" w:lineRule="auto" w:before="48" w:after="0"/>
              <w:ind w:left="0" w:right="162" w:firstLine="0"/>
              <w:jc w:val="right"/>
            </w:pPr>
            <w:r>
              <w:rPr>
                <w:rFonts w:ascii="Arial" w:hAnsi="Arial" w:eastAsia="Arial"/>
                <w:b w:val="0"/>
                <w:i w:val="0"/>
                <w:color w:val="000000"/>
                <w:sz w:val="18"/>
              </w:rPr>
              <w:t xml:space="preserve">- </w:t>
            </w:r>
          </w:p>
        </w:tc>
        <w:tc>
          <w:tcPr>
            <w:tcW w:type="dxa" w:w="2172"/>
            <w:vMerge w:val="restart"/>
            <w:tcBorders/>
            <w:tcMar>
              <w:start w:w="0" w:type="dxa"/>
              <w:end w:w="0" w:type="dxa"/>
            </w:tcMar>
            <w:tcMar>
              <w:start w:w="0" w:type="dxa"/>
              <w:end w:w="0" w:type="dxa"/>
            </w:tcMar>
          </w:tcPr>
          <w:p>
            <w:pPr>
              <w:autoSpaceDN w:val="0"/>
              <w:autoSpaceDE w:val="0"/>
              <w:widowControl/>
              <w:spacing w:line="233" w:lineRule="auto" w:before="48" w:after="0"/>
              <w:ind w:left="0" w:right="148" w:firstLine="0"/>
              <w:jc w:val="right"/>
            </w:pPr>
            <w:r>
              <w:rPr>
                <w:rFonts w:ascii="Arial" w:hAnsi="Arial" w:eastAsia="Arial"/>
                <w:b w:val="0"/>
                <w:i w:val="0"/>
                <w:color w:val="000000"/>
                <w:sz w:val="18"/>
              </w:rPr>
              <w:t xml:space="preserve">(265,641) </w:t>
            </w:r>
          </w:p>
        </w:tc>
        <w:tc>
          <w:tcPr>
            <w:tcW w:type="dxa" w:w="1580"/>
            <w:tcBorders/>
            <w:tcMar>
              <w:start w:w="0" w:type="dxa"/>
              <w:end w:w="0" w:type="dxa"/>
            </w:tcMar>
          </w:tcPr>
          <w:p>
            <w:pPr>
              <w:autoSpaceDN w:val="0"/>
              <w:autoSpaceDE w:val="0"/>
              <w:widowControl/>
              <w:spacing w:line="180" w:lineRule="exact" w:before="40" w:after="0"/>
              <w:ind w:left="364" w:right="0" w:firstLine="0"/>
              <w:jc w:val="left"/>
            </w:pPr>
            <w:r>
              <w:rPr>
                <w:rFonts w:ascii="黑体" w:hAnsi="黑体" w:eastAsia="黑体"/>
                <w:b w:val="0"/>
                <w:i w:val="0"/>
                <w:color w:val="000000"/>
                <w:sz w:val="18"/>
              </w:rPr>
              <w:t>投资策略变更</w:t>
            </w:r>
          </w:p>
        </w:tc>
      </w:tr>
      <w:tr>
        <w:trPr>
          <w:trHeight w:hRule="exact" w:val="44"/>
        </w:trPr>
        <w:tc>
          <w:tcPr>
            <w:tcW w:type="dxa" w:w="72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4" w:after="0"/>
              <w:ind w:left="0" w:right="0" w:firstLine="0"/>
              <w:jc w:val="center"/>
            </w:pPr>
            <w:r>
              <w:rPr>
                <w:rFonts w:ascii="黑体" w:hAnsi="黑体" w:eastAsia="黑体"/>
                <w:b w:val="0"/>
                <w:i w:val="0"/>
                <w:color w:val="000000"/>
                <w:sz w:val="18"/>
              </w:rPr>
              <w:t>太矿电气</w:t>
            </w:r>
          </w:p>
        </w:tc>
        <w:tc>
          <w:tcPr>
            <w:tcW w:type="dxa" w:w="1805"/>
            <w:vMerge/>
            <w:tcBorders/>
          </w:tcPr>
          <w:p/>
        </w:tc>
        <w:tc>
          <w:tcPr>
            <w:tcW w:type="dxa" w:w="1805"/>
            <w:vMerge/>
            <w:tcBorders/>
          </w:tcPr>
          <w:p/>
        </w:tc>
        <w:tc>
          <w:tcPr>
            <w:tcW w:type="dxa" w:w="1805"/>
            <w:vMerge/>
            <w:tcBorders/>
          </w:tcPr>
          <w:p/>
        </w:tc>
        <w:tc>
          <w:tcPr>
            <w:tcW w:type="dxa" w:w="158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4" w:after="0"/>
              <w:ind w:left="364" w:right="0" w:firstLine="0"/>
              <w:jc w:val="left"/>
            </w:pPr>
            <w:r>
              <w:rPr>
                <w:rFonts w:ascii="黑体" w:hAnsi="黑体" w:eastAsia="黑体"/>
                <w:b w:val="0"/>
                <w:i w:val="0"/>
                <w:color w:val="000000"/>
                <w:sz w:val="18"/>
              </w:rPr>
              <w:t>投资策略变更</w:t>
            </w:r>
          </w:p>
        </w:tc>
      </w:tr>
      <w:tr>
        <w:trPr>
          <w:trHeight w:hRule="exact" w:val="224"/>
        </w:trPr>
        <w:tc>
          <w:tcPr>
            <w:tcW w:type="dxa" w:w="1805"/>
            <w:vMerge/>
            <w:tcBorders>
              <w:bottom w:sz="4.0" w:val="single" w:color="#000000"/>
            </w:tcBorders>
          </w:tcPr>
          <w:p/>
        </w:tc>
        <w:tc>
          <w:tcPr>
            <w:tcW w:type="dxa" w:w="2540"/>
            <w:tcBorders>
              <w:bottom w:sz="4.0" w:val="single" w:color="#000000"/>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874,031</w:t>
            </w:r>
          </w:p>
        </w:tc>
        <w:tc>
          <w:tcPr>
            <w:tcW w:type="dxa" w:w="1490"/>
            <w:tcBorders>
              <w:bottom w:sz="4.0" w:val="single" w:color="#000000"/>
            </w:tcBorders>
            <w:tcMar>
              <w:start w:w="0" w:type="dxa"/>
              <w:end w:w="0" w:type="dxa"/>
            </w:tcMar>
          </w:tcPr>
          <w:p>
            <w:pPr>
              <w:autoSpaceDN w:val="0"/>
              <w:autoSpaceDE w:val="0"/>
              <w:widowControl/>
              <w:spacing w:line="233" w:lineRule="auto" w:before="16" w:after="0"/>
              <w:ind w:left="0" w:right="162" w:firstLine="0"/>
              <w:jc w:val="right"/>
            </w:pPr>
            <w:r>
              <w:rPr>
                <w:rFonts w:ascii="Arial" w:hAnsi="Arial" w:eastAsia="Arial"/>
                <w:b w:val="0"/>
                <w:i w:val="0"/>
                <w:color w:val="000000"/>
                <w:sz w:val="18"/>
              </w:rPr>
              <w:t xml:space="preserve">- </w:t>
            </w:r>
          </w:p>
        </w:tc>
        <w:tc>
          <w:tcPr>
            <w:tcW w:type="dxa" w:w="2172"/>
            <w:tcBorders>
              <w:bottom w:sz="4.0" w:val="single" w:color="#000000"/>
            </w:tcBorders>
            <w:tcMar>
              <w:start w:w="0" w:type="dxa"/>
              <w:end w:w="0" w:type="dxa"/>
            </w:tcMar>
          </w:tcPr>
          <w:p>
            <w:pPr>
              <w:autoSpaceDN w:val="0"/>
              <w:autoSpaceDE w:val="0"/>
              <w:widowControl/>
              <w:spacing w:line="233" w:lineRule="auto" w:before="16" w:after="0"/>
              <w:ind w:left="0" w:right="258" w:firstLine="0"/>
              <w:jc w:val="right"/>
            </w:pPr>
            <w:r>
              <w:rPr>
                <w:rFonts w:ascii="Arial" w:hAnsi="Arial" w:eastAsia="Arial"/>
                <w:b w:val="0"/>
                <w:i w:val="0"/>
                <w:color w:val="000000"/>
                <w:sz w:val="18"/>
              </w:rPr>
              <w:t>345,722</w:t>
            </w:r>
          </w:p>
        </w:tc>
        <w:tc>
          <w:tcPr>
            <w:tcW w:type="dxa" w:w="1805"/>
            <w:vMerge/>
            <w:tcBorders>
              <w:bottom w:sz="4.0" w:val="single" w:color="#000000"/>
            </w:tcBorders>
          </w:tcPr>
          <w:p/>
        </w:tc>
      </w:tr>
      <w:tr>
        <w:trPr>
          <w:trHeight w:hRule="exact" w:val="452"/>
        </w:trPr>
        <w:tc>
          <w:tcPr>
            <w:tcW w:type="dxa" w:w="720"/>
            <w:tcBorders>
              <w:top w:sz="4.0" w:val="single" w:color="#000000"/>
              <w:bottom w:sz="4.0" w:val="single" w:color="#000000"/>
            </w:tcBorders>
            <w:tcMar>
              <w:start w:w="0" w:type="dxa"/>
              <w:end w:w="0" w:type="dxa"/>
            </w:tcMar>
          </w:tcPr>
          <w:p>
            <w:pPr>
              <w:autoSpaceDN w:val="0"/>
              <w:autoSpaceDE w:val="0"/>
              <w:widowControl/>
              <w:spacing w:line="180" w:lineRule="exact" w:before="234" w:after="0"/>
              <w:ind w:left="0" w:right="0" w:firstLine="0"/>
              <w:jc w:val="left"/>
            </w:pPr>
            <w:r>
              <w:rPr>
                <w:rFonts w:ascii="黑体" w:hAnsi="黑体" w:eastAsia="黑体"/>
                <w:b w:val="0"/>
                <w:i w:val="0"/>
                <w:color w:val="000000"/>
                <w:sz w:val="18"/>
              </w:rPr>
              <w:t>合计</w:t>
            </w:r>
          </w:p>
        </w:tc>
        <w:tc>
          <w:tcPr>
            <w:tcW w:type="dxa" w:w="254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0" w:firstLine="0"/>
              <w:jc w:val="right"/>
            </w:pPr>
            <w:r>
              <w:rPr>
                <w:rFonts w:ascii="Arial" w:hAnsi="Arial" w:eastAsia="Arial"/>
                <w:b w:val="0"/>
                <w:i w:val="0"/>
                <w:color w:val="000000"/>
                <w:sz w:val="18"/>
              </w:rPr>
              <w:t>1,552,910</w:t>
            </w:r>
          </w:p>
        </w:tc>
        <w:tc>
          <w:tcPr>
            <w:tcW w:type="dxa" w:w="149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62" w:firstLine="0"/>
              <w:jc w:val="right"/>
            </w:pPr>
            <w:r>
              <w:rPr>
                <w:rFonts w:ascii="Arial" w:hAnsi="Arial" w:eastAsia="Arial"/>
                <w:b w:val="0"/>
                <w:i w:val="0"/>
                <w:color w:val="000000"/>
                <w:sz w:val="18"/>
              </w:rPr>
              <w:t xml:space="preserve">- </w:t>
            </w:r>
          </w:p>
        </w:tc>
        <w:tc>
          <w:tcPr>
            <w:tcW w:type="dxa" w:w="2172"/>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258" w:firstLine="0"/>
              <w:jc w:val="right"/>
            </w:pPr>
            <w:r>
              <w:rPr>
                <w:rFonts w:ascii="Arial" w:hAnsi="Arial" w:eastAsia="Arial"/>
                <w:b w:val="0"/>
                <w:i w:val="0"/>
                <w:color w:val="000000"/>
                <w:sz w:val="18"/>
              </w:rPr>
              <w:t>65,252</w:t>
            </w:r>
          </w:p>
        </w:tc>
        <w:tc>
          <w:tcPr>
            <w:tcW w:type="dxa" w:w="1580"/>
            <w:tcBorders>
              <w:top w:sz="4.0" w:val="single" w:color="#000000"/>
              <w:bottom w:sz="4.0" w:val="single" w:color="#000000"/>
            </w:tcBorders>
            <w:tcMar>
              <w:start w:w="0" w:type="dxa"/>
              <w:end w:w="0" w:type="dxa"/>
            </w:tcMar>
          </w:tcPr>
          <w:p/>
        </w:tc>
      </w:tr>
      <w:tr>
        <w:trPr>
          <w:trHeight w:hRule="exact" w:val="52"/>
        </w:trPr>
        <w:tc>
          <w:tcPr>
            <w:tcW w:type="dxa" w:w="720"/>
            <w:tcBorders>
              <w:top w:sz="4.0" w:val="single" w:color="#000000"/>
            </w:tcBorders>
            <w:tcMar>
              <w:start w:w="0" w:type="dxa"/>
              <w:end w:w="0" w:type="dxa"/>
            </w:tcMar>
          </w:tcPr>
          <w:p/>
        </w:tc>
        <w:tc>
          <w:tcPr>
            <w:tcW w:type="dxa" w:w="2540"/>
            <w:tcBorders>
              <w:top w:sz="4.0" w:val="single" w:color="#000000"/>
            </w:tcBorders>
            <w:tcMar>
              <w:start w:w="0" w:type="dxa"/>
              <w:end w:w="0" w:type="dxa"/>
            </w:tcMar>
          </w:tcPr>
          <w:p/>
        </w:tc>
        <w:tc>
          <w:tcPr>
            <w:tcW w:type="dxa" w:w="1490"/>
            <w:tcBorders>
              <w:top w:sz="4.0" w:val="single" w:color="#000000"/>
            </w:tcBorders>
            <w:tcMar>
              <w:start w:w="0" w:type="dxa"/>
              <w:end w:w="0" w:type="dxa"/>
            </w:tcMar>
          </w:tcPr>
          <w:p/>
        </w:tc>
        <w:tc>
          <w:tcPr>
            <w:tcW w:type="dxa" w:w="2172"/>
            <w:tcBorders>
              <w:top w:sz="4.0" w:val="single" w:color="#000000"/>
            </w:tcBorders>
            <w:tcMar>
              <w:start w:w="0" w:type="dxa"/>
              <w:end w:w="0" w:type="dxa"/>
            </w:tcMar>
          </w:tcPr>
          <w:p/>
        </w:tc>
        <w:tc>
          <w:tcPr>
            <w:tcW w:type="dxa" w:w="1580"/>
            <w:tcBorders>
              <w:top w:sz="4.0" w:val="single" w:color="#000000"/>
            </w:tcBorders>
            <w:tcMar>
              <w:start w:w="0" w:type="dxa"/>
              <w:end w:w="0" w:type="dxa"/>
            </w:tcMar>
          </w:tcPr>
          <w:p/>
        </w:tc>
      </w:tr>
    </w:tbl>
    <w:p>
      <w:pPr>
        <w:autoSpaceDN w:val="0"/>
        <w:autoSpaceDE w:val="0"/>
        <w:widowControl/>
        <w:spacing w:line="248" w:lineRule="exact" w:before="242"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年处置的其他权益工具投资</w:t>
      </w:r>
    </w:p>
    <w:p>
      <w:pPr>
        <w:autoSpaceDN w:val="0"/>
        <w:autoSpaceDE w:val="0"/>
        <w:widowControl/>
        <w:spacing w:line="246" w:lineRule="exact" w:before="224" w:after="0"/>
        <w:ind w:left="358" w:right="0" w:firstLine="0"/>
        <w:jc w:val="left"/>
      </w:pPr>
      <w:r>
        <w:rPr>
          <w:rFonts w:ascii="黑体" w:hAnsi="黑体" w:eastAsia="黑体"/>
          <w:b w:val="0"/>
          <w:i w:val="0"/>
          <w:color w:val="000000"/>
          <w:sz w:val="22"/>
        </w:rPr>
        <w:t>于</w:t>
      </w:r>
      <w:r>
        <w:rPr>
          <w:rFonts w:ascii="Arial" w:hAnsi="Arial" w:eastAsia="Arial"/>
          <w:b w:val="0"/>
          <w:i w:val="0"/>
          <w:color w:val="000000"/>
          <w:sz w:val="22"/>
        </w:rPr>
        <w:t>2023</w:t>
      </w:r>
      <w:r>
        <w:rPr>
          <w:rFonts w:ascii="黑体" w:hAnsi="黑体" w:eastAsia="黑体"/>
          <w:b w:val="0"/>
          <w:i w:val="0"/>
          <w:color w:val="000000"/>
          <w:sz w:val="22"/>
        </w:rPr>
        <w:t>年度，由于投资策略变更，本集团处置了以下其他权益工具投资：</w:t>
      </w:r>
    </w:p>
    <w:p>
      <w:pPr>
        <w:autoSpaceDN w:val="0"/>
        <w:autoSpaceDE w:val="0"/>
        <w:widowControl/>
        <w:spacing w:line="180" w:lineRule="exact" w:before="230" w:after="28"/>
        <w:ind w:left="0" w:right="2004" w:firstLine="0"/>
        <w:jc w:val="right"/>
      </w:pPr>
      <w:r>
        <w:rPr>
          <w:rFonts w:ascii="黑体" w:hAnsi="黑体" w:eastAsia="黑体"/>
          <w:b w:val="0"/>
          <w:i w:val="0"/>
          <w:color w:val="000000"/>
          <w:sz w:val="18"/>
        </w:rPr>
        <w:t>终止确认时的累计损失</w:t>
      </w:r>
    </w:p>
    <w:tbl>
      <w:tblPr>
        <w:tblW w:type="auto" w:w="0"/>
        <w:tblLayout w:type="fixed"/>
        <w:tblLook w:firstColumn="1" w:firstRow="1" w:lastColumn="0" w:lastRow="0" w:noHBand="0" w:noVBand="1" w:val="04A0"/>
        <w:tblInd w:w="358.0000000000001" w:type="dxa"/>
      </w:tblPr>
      <w:tblGrid>
        <w:gridCol w:w="1805"/>
        <w:gridCol w:w="1805"/>
        <w:gridCol w:w="1805"/>
        <w:gridCol w:w="1805"/>
        <w:gridCol w:w="1805"/>
      </w:tblGrid>
      <w:tr>
        <w:trPr>
          <w:trHeight w:hRule="exact" w:val="230"/>
        </w:trPr>
        <w:tc>
          <w:tcPr>
            <w:tcW w:type="dxa" w:w="72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项目类型</w:t>
            </w:r>
          </w:p>
        </w:tc>
        <w:tc>
          <w:tcPr>
            <w:tcW w:type="dxa" w:w="254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本年终止确认时的</w:t>
            </w:r>
          </w:p>
        </w:tc>
        <w:tc>
          <w:tcPr>
            <w:tcW w:type="dxa" w:w="149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本年股利收入</w:t>
            </w:r>
          </w:p>
        </w:tc>
        <w:tc>
          <w:tcPr>
            <w:tcW w:type="dxa" w:w="2172"/>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本年从其他综合收益</w:t>
            </w:r>
          </w:p>
        </w:tc>
        <w:tc>
          <w:tcPr>
            <w:tcW w:type="dxa" w:w="158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258" w:after="0"/>
              <w:ind w:left="0" w:right="0" w:firstLine="0"/>
              <w:jc w:val="center"/>
            </w:pPr>
            <w:r>
              <w:rPr>
                <w:rFonts w:ascii="黑体" w:hAnsi="黑体" w:eastAsia="黑体"/>
                <w:b w:val="0"/>
                <w:i w:val="0"/>
                <w:color w:val="000000"/>
                <w:sz w:val="18"/>
              </w:rPr>
              <w:t>终止确认的原因</w:t>
            </w:r>
          </w:p>
        </w:tc>
      </w:tr>
      <w:tr>
        <w:trPr>
          <w:trHeight w:hRule="exact" w:val="218"/>
        </w:trPr>
        <w:tc>
          <w:tcPr>
            <w:tcW w:type="dxa" w:w="1805"/>
            <w:vMerge/>
            <w:tcBorders>
              <w:bottom w:sz="4.0" w:val="single" w:color="#000000"/>
            </w:tcBorders>
          </w:tcPr>
          <w:p/>
        </w:tc>
        <w:tc>
          <w:tcPr>
            <w:tcW w:type="dxa" w:w="2540"/>
            <w:tcBorders>
              <w:bottom w:sz="4.0" w:val="single" w:color="#000000"/>
            </w:tcBorders>
            <w:tcMar>
              <w:start w:w="0" w:type="dxa"/>
              <w:end w:w="0" w:type="dxa"/>
            </w:tcMar>
          </w:tcPr>
          <w:p>
            <w:pPr>
              <w:autoSpaceDN w:val="0"/>
              <w:autoSpaceDE w:val="0"/>
              <w:widowControl/>
              <w:spacing w:line="180" w:lineRule="exact" w:before="28" w:after="0"/>
              <w:ind w:left="0" w:right="0" w:firstLine="0"/>
              <w:jc w:val="right"/>
            </w:pPr>
            <w:r>
              <w:rPr>
                <w:rFonts w:ascii="黑体" w:hAnsi="黑体" w:eastAsia="黑体"/>
                <w:b w:val="0"/>
                <w:i w:val="0"/>
                <w:color w:val="000000"/>
                <w:sz w:val="18"/>
              </w:rPr>
              <w:t>公允价值</w:t>
            </w:r>
          </w:p>
        </w:tc>
        <w:tc>
          <w:tcPr>
            <w:tcW w:type="dxa" w:w="1805"/>
            <w:vMerge/>
            <w:tcBorders>
              <w:bottom w:sz="4.0" w:val="single" w:color="#000000"/>
            </w:tcBorders>
          </w:tcPr>
          <w:p/>
        </w:tc>
        <w:tc>
          <w:tcPr>
            <w:tcW w:type="dxa" w:w="2172"/>
            <w:tcBorders>
              <w:bottom w:sz="4.0" w:val="single" w:color="#000000"/>
            </w:tcBorders>
            <w:tcMar>
              <w:start w:w="0" w:type="dxa"/>
              <w:end w:w="0" w:type="dxa"/>
            </w:tcMar>
          </w:tcPr>
          <w:p>
            <w:pPr>
              <w:autoSpaceDN w:val="0"/>
              <w:autoSpaceDE w:val="0"/>
              <w:widowControl/>
              <w:spacing w:line="180" w:lineRule="exact" w:before="28" w:after="0"/>
              <w:ind w:left="0" w:right="0" w:firstLine="0"/>
              <w:jc w:val="center"/>
            </w:pPr>
            <w:r>
              <w:rPr>
                <w:rFonts w:ascii="黑体" w:hAnsi="黑体" w:eastAsia="黑体"/>
                <w:b w:val="0"/>
                <w:i w:val="0"/>
                <w:color w:val="000000"/>
                <w:sz w:val="18"/>
              </w:rPr>
              <w:t>转入留存收益的金额</w:t>
            </w:r>
          </w:p>
        </w:tc>
        <w:tc>
          <w:tcPr>
            <w:tcW w:type="dxa" w:w="1805"/>
            <w:vMerge/>
            <w:tcBorders>
              <w:bottom w:sz="4.0" w:val="single" w:color="#000000"/>
            </w:tcBorders>
          </w:tcPr>
          <w:p/>
        </w:tc>
      </w:tr>
      <w:tr>
        <w:trPr>
          <w:trHeight w:hRule="exact" w:val="442"/>
        </w:trPr>
        <w:tc>
          <w:tcPr>
            <w:tcW w:type="dxa" w:w="720"/>
            <w:tcBorders>
              <w:top w:sz="4.0" w:val="single" w:color="#000000"/>
            </w:tcBorders>
            <w:tcMar>
              <w:start w:w="0" w:type="dxa"/>
              <w:end w:w="0" w:type="dxa"/>
            </w:tcMar>
          </w:tcPr>
          <w:p>
            <w:pPr>
              <w:autoSpaceDN w:val="0"/>
              <w:autoSpaceDE w:val="0"/>
              <w:widowControl/>
              <w:spacing w:line="180" w:lineRule="exact" w:before="248" w:after="0"/>
              <w:ind w:left="0" w:right="0" w:firstLine="0"/>
              <w:jc w:val="center"/>
            </w:pPr>
            <w:r>
              <w:rPr>
                <w:rFonts w:ascii="黑体" w:hAnsi="黑体" w:eastAsia="黑体"/>
                <w:b w:val="0"/>
                <w:i w:val="0"/>
                <w:color w:val="000000"/>
                <w:sz w:val="18"/>
              </w:rPr>
              <w:t>纳地股份</w:t>
            </w:r>
          </w:p>
        </w:tc>
        <w:tc>
          <w:tcPr>
            <w:tcW w:type="dxa" w:w="2540"/>
            <w:tcBorders>
              <w:top w:sz="4.0" w:val="single" w:color="#000000"/>
            </w:tcBorders>
            <w:tcMar>
              <w:start w:w="0" w:type="dxa"/>
              <w:end w:w="0" w:type="dxa"/>
            </w:tcMar>
          </w:tcPr>
          <w:p>
            <w:pPr>
              <w:autoSpaceDN w:val="0"/>
              <w:autoSpaceDE w:val="0"/>
              <w:widowControl/>
              <w:spacing w:line="233" w:lineRule="auto" w:before="238" w:after="0"/>
              <w:ind w:left="0" w:right="0" w:firstLine="0"/>
              <w:jc w:val="right"/>
            </w:pPr>
            <w:r>
              <w:rPr>
                <w:rFonts w:ascii="Arial" w:hAnsi="Arial" w:eastAsia="Arial"/>
                <w:b w:val="0"/>
                <w:i w:val="0"/>
                <w:color w:val="000000"/>
                <w:sz w:val="18"/>
              </w:rPr>
              <w:t>567,698</w:t>
            </w:r>
          </w:p>
        </w:tc>
        <w:tc>
          <w:tcPr>
            <w:tcW w:type="dxa" w:w="1490"/>
            <w:tcBorders>
              <w:top w:sz="4.0" w:val="single" w:color="#000000"/>
            </w:tcBorders>
            <w:tcMar>
              <w:start w:w="0" w:type="dxa"/>
              <w:end w:w="0" w:type="dxa"/>
            </w:tcMar>
          </w:tcPr>
          <w:p>
            <w:pPr>
              <w:autoSpaceDN w:val="0"/>
              <w:autoSpaceDE w:val="0"/>
              <w:widowControl/>
              <w:spacing w:line="233" w:lineRule="auto" w:before="238" w:after="0"/>
              <w:ind w:left="0" w:right="162" w:firstLine="0"/>
              <w:jc w:val="right"/>
            </w:pPr>
            <w:r>
              <w:rPr>
                <w:rFonts w:ascii="Arial" w:hAnsi="Arial" w:eastAsia="Arial"/>
                <w:b w:val="0"/>
                <w:i w:val="0"/>
                <w:color w:val="000000"/>
                <w:sz w:val="18"/>
              </w:rPr>
              <w:t xml:space="preserve">- </w:t>
            </w:r>
          </w:p>
        </w:tc>
        <w:tc>
          <w:tcPr>
            <w:tcW w:type="dxa" w:w="2172"/>
            <w:tcBorders>
              <w:top w:sz="4.0" w:val="single" w:color="#000000"/>
            </w:tcBorders>
            <w:tcMar>
              <w:start w:w="0" w:type="dxa"/>
              <w:end w:w="0" w:type="dxa"/>
            </w:tcMar>
          </w:tcPr>
          <w:p>
            <w:pPr>
              <w:autoSpaceDN w:val="0"/>
              <w:autoSpaceDE w:val="0"/>
              <w:widowControl/>
              <w:spacing w:line="233" w:lineRule="auto" w:before="238" w:after="0"/>
              <w:ind w:left="0" w:right="148" w:firstLine="0"/>
              <w:jc w:val="right"/>
            </w:pPr>
            <w:r>
              <w:rPr>
                <w:rFonts w:ascii="Arial" w:hAnsi="Arial" w:eastAsia="Arial"/>
                <w:b w:val="0"/>
                <w:i w:val="0"/>
                <w:color w:val="000000"/>
                <w:sz w:val="18"/>
              </w:rPr>
              <w:t xml:space="preserve">(278,396) </w:t>
            </w:r>
          </w:p>
        </w:tc>
        <w:tc>
          <w:tcPr>
            <w:tcW w:type="dxa" w:w="1580"/>
            <w:tcBorders>
              <w:top w:sz="4.0" w:val="single" w:color="#000000"/>
            </w:tcBorders>
            <w:tcMar>
              <w:start w:w="0" w:type="dxa"/>
              <w:end w:w="0" w:type="dxa"/>
            </w:tcMar>
          </w:tcPr>
          <w:p>
            <w:pPr>
              <w:autoSpaceDN w:val="0"/>
              <w:autoSpaceDE w:val="0"/>
              <w:widowControl/>
              <w:spacing w:line="180" w:lineRule="exact" w:before="248" w:after="0"/>
              <w:ind w:left="364" w:right="0" w:firstLine="0"/>
              <w:jc w:val="left"/>
            </w:pPr>
            <w:r>
              <w:rPr>
                <w:rFonts w:ascii="黑体" w:hAnsi="黑体" w:eastAsia="黑体"/>
                <w:b w:val="0"/>
                <w:i w:val="0"/>
                <w:color w:val="000000"/>
                <w:sz w:val="18"/>
              </w:rPr>
              <w:t>投资策略变更</w:t>
            </w:r>
          </w:p>
        </w:tc>
      </w:tr>
      <w:tr>
        <w:trPr>
          <w:trHeight w:hRule="exact" w:val="256"/>
        </w:trPr>
        <w:tc>
          <w:tcPr>
            <w:tcW w:type="dxa" w:w="720"/>
            <w:tcBorders>
              <w:bottom w:sz="4.0" w:val="single" w:color="#000000"/>
            </w:tcBorders>
            <w:tcMar>
              <w:start w:w="0" w:type="dxa"/>
              <w:end w:w="0" w:type="dxa"/>
            </w:tcMar>
          </w:tcPr>
          <w:p>
            <w:pPr>
              <w:autoSpaceDN w:val="0"/>
              <w:autoSpaceDE w:val="0"/>
              <w:widowControl/>
              <w:spacing w:line="180" w:lineRule="exact" w:before="42" w:after="0"/>
              <w:ind w:left="0" w:right="0" w:firstLine="0"/>
              <w:jc w:val="center"/>
            </w:pPr>
            <w:r>
              <w:rPr>
                <w:rFonts w:ascii="黑体" w:hAnsi="黑体" w:eastAsia="黑体"/>
                <w:b w:val="0"/>
                <w:i w:val="0"/>
                <w:color w:val="000000"/>
                <w:sz w:val="18"/>
              </w:rPr>
              <w:t>国新元创</w:t>
            </w:r>
          </w:p>
        </w:tc>
        <w:tc>
          <w:tcPr>
            <w:tcW w:type="dxa" w:w="2540"/>
            <w:tcBorders>
              <w:bottom w:sz="4.0" w:val="single" w:color="#000000"/>
            </w:tcBorders>
            <w:tcMar>
              <w:start w:w="0" w:type="dxa"/>
              <w:end w:w="0" w:type="dxa"/>
            </w:tcMar>
          </w:tcPr>
          <w:p>
            <w:pPr>
              <w:autoSpaceDN w:val="0"/>
              <w:autoSpaceDE w:val="0"/>
              <w:widowControl/>
              <w:spacing w:line="235" w:lineRule="auto" w:before="48" w:after="0"/>
              <w:ind w:left="0" w:right="0" w:firstLine="0"/>
              <w:jc w:val="right"/>
            </w:pPr>
            <w:r>
              <w:rPr>
                <w:rFonts w:ascii="Arial" w:hAnsi="Arial" w:eastAsia="Arial"/>
                <w:b w:val="0"/>
                <w:i w:val="0"/>
                <w:color w:val="000000"/>
                <w:sz w:val="18"/>
              </w:rPr>
              <w:t>17,547</w:t>
            </w:r>
          </w:p>
        </w:tc>
        <w:tc>
          <w:tcPr>
            <w:tcW w:type="dxa" w:w="1490"/>
            <w:tcBorders>
              <w:bottom w:sz="4.0" w:val="single" w:color="#000000"/>
            </w:tcBorders>
            <w:tcMar>
              <w:start w:w="0" w:type="dxa"/>
              <w:end w:w="0" w:type="dxa"/>
            </w:tcMar>
          </w:tcPr>
          <w:p>
            <w:pPr>
              <w:autoSpaceDN w:val="0"/>
              <w:autoSpaceDE w:val="0"/>
              <w:widowControl/>
              <w:spacing w:line="235" w:lineRule="auto" w:before="48" w:after="0"/>
              <w:ind w:left="0" w:right="162" w:firstLine="0"/>
              <w:jc w:val="right"/>
            </w:pPr>
            <w:r>
              <w:rPr>
                <w:rFonts w:ascii="Arial" w:hAnsi="Arial" w:eastAsia="Arial"/>
                <w:b w:val="0"/>
                <w:i w:val="0"/>
                <w:color w:val="000000"/>
                <w:sz w:val="18"/>
              </w:rPr>
              <w:t xml:space="preserve">- </w:t>
            </w:r>
          </w:p>
        </w:tc>
        <w:tc>
          <w:tcPr>
            <w:tcW w:type="dxa" w:w="2172"/>
            <w:tcBorders>
              <w:bottom w:sz="4.0" w:val="single" w:color="#000000"/>
            </w:tcBorders>
            <w:tcMar>
              <w:start w:w="0" w:type="dxa"/>
              <w:end w:w="0" w:type="dxa"/>
            </w:tcMar>
          </w:tcPr>
          <w:p>
            <w:pPr>
              <w:autoSpaceDN w:val="0"/>
              <w:autoSpaceDE w:val="0"/>
              <w:widowControl/>
              <w:spacing w:line="235" w:lineRule="auto" w:before="48" w:after="0"/>
              <w:ind w:left="0" w:right="148" w:firstLine="0"/>
              <w:jc w:val="right"/>
            </w:pPr>
            <w:r>
              <w:rPr>
                <w:rFonts w:ascii="Arial" w:hAnsi="Arial" w:eastAsia="Arial"/>
                <w:b w:val="0"/>
                <w:i w:val="0"/>
                <w:color w:val="000000"/>
                <w:sz w:val="18"/>
              </w:rPr>
              <w:t xml:space="preserve">(4,864,638) </w:t>
            </w:r>
          </w:p>
        </w:tc>
        <w:tc>
          <w:tcPr>
            <w:tcW w:type="dxa" w:w="1580"/>
            <w:tcBorders>
              <w:bottom w:sz="4.0" w:val="single" w:color="#000000"/>
            </w:tcBorders>
            <w:tcMar>
              <w:start w:w="0" w:type="dxa"/>
              <w:end w:w="0" w:type="dxa"/>
            </w:tcMar>
          </w:tcPr>
          <w:p>
            <w:pPr>
              <w:autoSpaceDN w:val="0"/>
              <w:autoSpaceDE w:val="0"/>
              <w:widowControl/>
              <w:spacing w:line="180" w:lineRule="exact" w:before="42" w:after="0"/>
              <w:ind w:left="364" w:right="0" w:firstLine="0"/>
              <w:jc w:val="left"/>
            </w:pPr>
            <w:r>
              <w:rPr>
                <w:rFonts w:ascii="黑体" w:hAnsi="黑体" w:eastAsia="黑体"/>
                <w:b w:val="0"/>
                <w:i w:val="0"/>
                <w:color w:val="000000"/>
                <w:sz w:val="18"/>
              </w:rPr>
              <w:t>投资策略变更</w:t>
            </w:r>
          </w:p>
        </w:tc>
      </w:tr>
      <w:tr>
        <w:trPr>
          <w:trHeight w:hRule="exact" w:val="452"/>
        </w:trPr>
        <w:tc>
          <w:tcPr>
            <w:tcW w:type="dxa" w:w="720"/>
            <w:tcBorders>
              <w:top w:sz="4.0" w:val="single" w:color="#000000"/>
              <w:bottom w:sz="4.0" w:val="single" w:color="#000000"/>
            </w:tcBorders>
            <w:tcMar>
              <w:start w:w="0" w:type="dxa"/>
              <w:end w:w="0" w:type="dxa"/>
            </w:tcMar>
          </w:tcPr>
          <w:p>
            <w:pPr>
              <w:autoSpaceDN w:val="0"/>
              <w:autoSpaceDE w:val="0"/>
              <w:widowControl/>
              <w:spacing w:line="180" w:lineRule="exact" w:before="232" w:after="0"/>
              <w:ind w:left="0" w:right="0" w:firstLine="0"/>
              <w:jc w:val="left"/>
            </w:pPr>
            <w:r>
              <w:rPr>
                <w:rFonts w:ascii="黑体" w:hAnsi="黑体" w:eastAsia="黑体"/>
                <w:b w:val="0"/>
                <w:i w:val="0"/>
                <w:color w:val="000000"/>
                <w:sz w:val="18"/>
              </w:rPr>
              <w:t>合计</w:t>
            </w:r>
          </w:p>
        </w:tc>
        <w:tc>
          <w:tcPr>
            <w:tcW w:type="dxa" w:w="254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0" w:firstLine="0"/>
              <w:jc w:val="right"/>
            </w:pPr>
            <w:r>
              <w:rPr>
                <w:rFonts w:ascii="Arial" w:hAnsi="Arial" w:eastAsia="Arial"/>
                <w:b w:val="0"/>
                <w:i w:val="0"/>
                <w:color w:val="000000"/>
                <w:sz w:val="18"/>
              </w:rPr>
              <w:t>585,245</w:t>
            </w:r>
          </w:p>
        </w:tc>
        <w:tc>
          <w:tcPr>
            <w:tcW w:type="dxa" w:w="149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62" w:firstLine="0"/>
              <w:jc w:val="right"/>
            </w:pPr>
            <w:r>
              <w:rPr>
                <w:rFonts w:ascii="Arial" w:hAnsi="Arial" w:eastAsia="Arial"/>
                <w:b w:val="0"/>
                <w:i w:val="0"/>
                <w:color w:val="000000"/>
                <w:sz w:val="18"/>
              </w:rPr>
              <w:t xml:space="preserve">- </w:t>
            </w:r>
          </w:p>
        </w:tc>
        <w:tc>
          <w:tcPr>
            <w:tcW w:type="dxa" w:w="2172"/>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48" w:firstLine="0"/>
              <w:jc w:val="right"/>
            </w:pPr>
            <w:r>
              <w:rPr>
                <w:rFonts w:ascii="Arial" w:hAnsi="Arial" w:eastAsia="Arial"/>
                <w:b w:val="0"/>
                <w:i w:val="0"/>
                <w:color w:val="000000"/>
                <w:sz w:val="18"/>
              </w:rPr>
              <w:t xml:space="preserve">(5,143,034) </w:t>
            </w:r>
          </w:p>
        </w:tc>
        <w:tc>
          <w:tcPr>
            <w:tcW w:type="dxa" w:w="1580"/>
            <w:tcBorders>
              <w:top w:sz="4.0" w:val="single" w:color="#000000"/>
              <w:bottom w:sz="4.0" w:val="single" w:color="#000000"/>
            </w:tcBorders>
            <w:tcMar>
              <w:start w:w="0" w:type="dxa"/>
              <w:end w:w="0" w:type="dxa"/>
            </w:tcMar>
          </w:tcPr>
          <w:p/>
        </w:tc>
      </w:tr>
      <w:tr>
        <w:trPr>
          <w:trHeight w:hRule="exact" w:val="52"/>
        </w:trPr>
        <w:tc>
          <w:tcPr>
            <w:tcW w:type="dxa" w:w="720"/>
            <w:tcBorders>
              <w:top w:sz="4.0" w:val="single" w:color="#000000"/>
            </w:tcBorders>
            <w:tcMar>
              <w:start w:w="0" w:type="dxa"/>
              <w:end w:w="0" w:type="dxa"/>
            </w:tcMar>
          </w:tcPr>
          <w:p/>
        </w:tc>
        <w:tc>
          <w:tcPr>
            <w:tcW w:type="dxa" w:w="2540"/>
            <w:tcBorders>
              <w:top w:sz="4.0" w:val="single" w:color="#000000"/>
            </w:tcBorders>
            <w:tcMar>
              <w:start w:w="0" w:type="dxa"/>
              <w:end w:w="0" w:type="dxa"/>
            </w:tcMar>
          </w:tcPr>
          <w:p/>
        </w:tc>
        <w:tc>
          <w:tcPr>
            <w:tcW w:type="dxa" w:w="1490"/>
            <w:tcBorders>
              <w:top w:sz="4.0" w:val="single" w:color="#000000"/>
            </w:tcBorders>
            <w:tcMar>
              <w:start w:w="0" w:type="dxa"/>
              <w:end w:w="0" w:type="dxa"/>
            </w:tcMar>
          </w:tcPr>
          <w:p/>
        </w:tc>
        <w:tc>
          <w:tcPr>
            <w:tcW w:type="dxa" w:w="2172"/>
            <w:tcBorders>
              <w:top w:sz="4.0" w:val="single" w:color="#000000"/>
            </w:tcBorders>
            <w:tcMar>
              <w:start w:w="0" w:type="dxa"/>
              <w:end w:w="0" w:type="dxa"/>
            </w:tcMar>
          </w:tcPr>
          <w:p/>
        </w:tc>
        <w:tc>
          <w:tcPr>
            <w:tcW w:type="dxa" w:w="1580"/>
            <w:tcBorders>
              <w:top w:sz="4.0" w:val="single" w:color="#000000"/>
            </w:tcBorders>
            <w:tcMar>
              <w:start w:w="0" w:type="dxa"/>
              <w:end w:w="0" w:type="dxa"/>
            </w:tcMar>
          </w:tcPr>
          <w:p/>
        </w:tc>
      </w:tr>
    </w:tbl>
    <w:p>
      <w:pPr>
        <w:autoSpaceDN w:val="0"/>
        <w:autoSpaceDE w:val="0"/>
        <w:widowControl/>
        <w:spacing w:line="233" w:lineRule="auto" w:before="1598" w:after="0"/>
        <w:ind w:left="0" w:right="0" w:firstLine="0"/>
        <w:jc w:val="center"/>
      </w:pPr>
      <w:r>
        <w:rPr>
          <w:rFonts w:ascii="Arial" w:hAnsi="Arial" w:eastAsia="Arial"/>
          <w:b w:val="0"/>
          <w:i w:val="0"/>
          <w:color w:val="000000"/>
          <w:sz w:val="20"/>
        </w:rPr>
        <w:t xml:space="preserve">210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12. </w:t>
      </w:r>
      <w:r>
        <w:rPr>
          <w:rFonts w:ascii="黑体" w:hAnsi="黑体" w:eastAsia="黑体"/>
          <w:b w:val="0"/>
          <w:i w:val="0"/>
          <w:color w:val="000000"/>
          <w:sz w:val="22"/>
        </w:rPr>
        <w:t>固定资产</w:t>
      </w:r>
    </w:p>
    <w:p>
      <w:pPr>
        <w:autoSpaceDN w:val="0"/>
        <w:autoSpaceDE w:val="0"/>
        <w:widowControl/>
        <w:spacing w:line="246" w:lineRule="exact" w:before="290" w:after="238"/>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固定资产增减变动表</w:t>
      </w:r>
    </w:p>
    <w:tbl>
      <w:tblPr>
        <w:tblW w:type="auto" w:w="0"/>
        <w:tblLayout w:type="fixed"/>
        <w:tblLook w:firstColumn="1" w:firstRow="1" w:lastColumn="0" w:lastRow="0" w:noHBand="0" w:noVBand="1" w:val="04A0"/>
        <w:tblInd w:w="880.0" w:type="dxa"/>
      </w:tblPr>
      <w:tblGrid>
        <w:gridCol w:w="1504"/>
        <w:gridCol w:w="1504"/>
        <w:gridCol w:w="1504"/>
        <w:gridCol w:w="1504"/>
        <w:gridCol w:w="1504"/>
        <w:gridCol w:w="1504"/>
      </w:tblGrid>
      <w:tr>
        <w:trPr>
          <w:trHeight w:hRule="exact" w:val="282"/>
        </w:trPr>
        <w:tc>
          <w:tcPr>
            <w:tcW w:type="dxa" w:w="2040"/>
            <w:tcBorders/>
            <w:tcMar>
              <w:start w:w="0" w:type="dxa"/>
              <w:end w:w="0" w:type="dxa"/>
            </w:tcMar>
          </w:tcPr>
          <w:p>
            <w:pPr>
              <w:autoSpaceDN w:val="0"/>
              <w:autoSpaceDE w:val="0"/>
              <w:widowControl/>
              <w:spacing w:line="162" w:lineRule="exact" w:before="60" w:after="0"/>
              <w:ind w:left="0" w:right="188" w:firstLine="0"/>
              <w:jc w:val="right"/>
            </w:pPr>
            <w:r>
              <w:rPr>
                <w:rFonts w:ascii="黑体" w:hAnsi="黑体" w:eastAsia="黑体"/>
                <w:b w:val="0"/>
                <w:i w:val="0"/>
                <w:color w:val="000000"/>
                <w:sz w:val="16"/>
              </w:rPr>
              <w:t>房屋及建筑物</w:t>
            </w:r>
          </w:p>
        </w:tc>
        <w:tc>
          <w:tcPr>
            <w:tcW w:type="dxa" w:w="1160"/>
            <w:tcBorders/>
            <w:tcMar>
              <w:start w:w="0" w:type="dxa"/>
              <w:end w:w="0" w:type="dxa"/>
            </w:tcMar>
          </w:tcPr>
          <w:p>
            <w:pPr>
              <w:autoSpaceDN w:val="0"/>
              <w:autoSpaceDE w:val="0"/>
              <w:widowControl/>
              <w:spacing w:line="162" w:lineRule="exact" w:before="60" w:after="0"/>
              <w:ind w:left="0" w:right="0" w:firstLine="0"/>
              <w:jc w:val="center"/>
            </w:pPr>
            <w:r>
              <w:rPr>
                <w:rFonts w:ascii="黑体" w:hAnsi="黑体" w:eastAsia="黑体"/>
                <w:b w:val="0"/>
                <w:i w:val="0"/>
                <w:color w:val="000000"/>
                <w:sz w:val="16"/>
              </w:rPr>
              <w:t>电子计算机</w:t>
            </w:r>
          </w:p>
        </w:tc>
        <w:tc>
          <w:tcPr>
            <w:tcW w:type="dxa" w:w="1000"/>
            <w:tcBorders/>
            <w:tcMar>
              <w:start w:w="0" w:type="dxa"/>
              <w:end w:w="0" w:type="dxa"/>
            </w:tcMar>
          </w:tcPr>
          <w:p>
            <w:pPr>
              <w:autoSpaceDN w:val="0"/>
              <w:autoSpaceDE w:val="0"/>
              <w:widowControl/>
              <w:spacing w:line="162" w:lineRule="exact" w:before="60" w:after="0"/>
              <w:ind w:left="0" w:right="0" w:firstLine="0"/>
              <w:jc w:val="center"/>
            </w:pPr>
            <w:r>
              <w:rPr>
                <w:rFonts w:ascii="黑体" w:hAnsi="黑体" w:eastAsia="黑体"/>
                <w:b w:val="0"/>
                <w:i w:val="0"/>
                <w:color w:val="000000"/>
                <w:sz w:val="16"/>
              </w:rPr>
              <w:t>交通设备</w:t>
            </w:r>
          </w:p>
        </w:tc>
        <w:tc>
          <w:tcPr>
            <w:tcW w:type="dxa" w:w="1500"/>
            <w:tcBorders/>
            <w:tcMar>
              <w:start w:w="0" w:type="dxa"/>
              <w:end w:w="0" w:type="dxa"/>
            </w:tcMar>
          </w:tcPr>
          <w:p>
            <w:pPr>
              <w:autoSpaceDN w:val="0"/>
              <w:autoSpaceDE w:val="0"/>
              <w:widowControl/>
              <w:spacing w:line="162" w:lineRule="exact" w:before="60" w:after="0"/>
              <w:ind w:left="0" w:right="0" w:firstLine="0"/>
              <w:jc w:val="center"/>
            </w:pPr>
            <w:r>
              <w:rPr>
                <w:rFonts w:ascii="黑体" w:hAnsi="黑体" w:eastAsia="黑体"/>
                <w:b w:val="0"/>
                <w:i w:val="0"/>
                <w:color w:val="000000"/>
                <w:sz w:val="16"/>
              </w:rPr>
              <w:t>电器及通讯设备</w:t>
            </w:r>
          </w:p>
        </w:tc>
        <w:tc>
          <w:tcPr>
            <w:tcW w:type="dxa" w:w="1320"/>
            <w:tcBorders/>
            <w:tcMar>
              <w:start w:w="0" w:type="dxa"/>
              <w:end w:w="0" w:type="dxa"/>
            </w:tcMar>
          </w:tcPr>
          <w:p>
            <w:pPr>
              <w:autoSpaceDN w:val="0"/>
              <w:autoSpaceDE w:val="0"/>
              <w:widowControl/>
              <w:spacing w:line="162" w:lineRule="exact" w:before="60" w:after="0"/>
              <w:ind w:left="238" w:right="0" w:firstLine="0"/>
              <w:jc w:val="left"/>
            </w:pPr>
            <w:r>
              <w:rPr>
                <w:rFonts w:ascii="黑体" w:hAnsi="黑体" w:eastAsia="黑体"/>
                <w:b w:val="0"/>
                <w:i w:val="0"/>
                <w:color w:val="000000"/>
                <w:sz w:val="16"/>
              </w:rPr>
              <w:t>办公设备</w:t>
            </w:r>
          </w:p>
        </w:tc>
        <w:tc>
          <w:tcPr>
            <w:tcW w:type="dxa" w:w="940"/>
            <w:tcBorders/>
            <w:tcMar>
              <w:start w:w="0" w:type="dxa"/>
              <w:end w:w="0" w:type="dxa"/>
            </w:tcMar>
          </w:tcPr>
          <w:p>
            <w:pPr>
              <w:autoSpaceDN w:val="0"/>
              <w:autoSpaceDE w:val="0"/>
              <w:widowControl/>
              <w:spacing w:line="162" w:lineRule="exact" w:before="60" w:after="0"/>
              <w:ind w:left="0" w:right="160" w:firstLine="0"/>
              <w:jc w:val="right"/>
            </w:pPr>
            <w:r>
              <w:rPr>
                <w:rFonts w:ascii="黑体" w:hAnsi="黑体" w:eastAsia="黑体"/>
                <w:b w:val="0"/>
                <w:i w:val="0"/>
                <w:color w:val="000000"/>
                <w:sz w:val="16"/>
              </w:rPr>
              <w:t>合计</w:t>
            </w:r>
          </w:p>
        </w:tc>
      </w:tr>
    </w:tbl>
    <w:p>
      <w:pPr>
        <w:autoSpaceDN w:val="0"/>
        <w:autoSpaceDE w:val="0"/>
        <w:widowControl/>
        <w:spacing w:line="160" w:lineRule="exact" w:before="170" w:after="22"/>
        <w:ind w:left="358" w:right="0" w:firstLine="0"/>
        <w:jc w:val="left"/>
      </w:pPr>
      <w:r>
        <w:rPr>
          <w:rFonts w:ascii="黑体" w:hAnsi="黑体" w:eastAsia="黑体"/>
          <w:b w:val="0"/>
          <w:i w:val="0"/>
          <w:color w:val="000000"/>
          <w:sz w:val="16"/>
        </w:rPr>
        <w:t>原值</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19"/>
        </w:trPr>
        <w:tc>
          <w:tcPr>
            <w:tcW w:type="dxa" w:w="1502"/>
            <w:tcBorders/>
            <w:tcMar>
              <w:start w:w="0" w:type="dxa"/>
              <w:end w:w="0" w:type="dxa"/>
            </w:tcMar>
          </w:tcPr>
          <w:p>
            <w:pPr>
              <w:autoSpaceDN w:val="0"/>
              <w:autoSpaceDE w:val="0"/>
              <w:widowControl/>
              <w:spacing w:line="162" w:lineRule="exact" w:before="24" w:after="0"/>
              <w:ind w:left="198" w:right="0" w:firstLine="0"/>
              <w:jc w:val="left"/>
            </w:pPr>
            <w:r>
              <w:rPr>
                <w:rFonts w:ascii="黑体" w:hAnsi="黑体" w:eastAsia="黑体"/>
                <w:b w:val="0"/>
                <w:i w:val="0"/>
                <w:color w:val="000000"/>
                <w:sz w:val="16"/>
              </w:rPr>
              <w:t>年初余额</w:t>
            </w:r>
          </w:p>
        </w:tc>
        <w:tc>
          <w:tcPr>
            <w:tcW w:type="dxa" w:w="1272"/>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 xml:space="preserve">459,469,250 </w:t>
            </w:r>
          </w:p>
        </w:tc>
        <w:tc>
          <w:tcPr>
            <w:tcW w:type="dxa" w:w="1184"/>
            <w:tcBorders/>
            <w:tcMar>
              <w:start w:w="0" w:type="dxa"/>
              <w:end w:w="0" w:type="dxa"/>
            </w:tcMar>
          </w:tcPr>
          <w:p>
            <w:pPr>
              <w:autoSpaceDN w:val="0"/>
              <w:autoSpaceDE w:val="0"/>
              <w:widowControl/>
              <w:spacing w:line="233" w:lineRule="auto" w:before="26" w:after="0"/>
              <w:ind w:left="88" w:right="0" w:firstLine="0"/>
              <w:jc w:val="left"/>
            </w:pPr>
            <w:r>
              <w:rPr>
                <w:rFonts w:ascii="Arial" w:hAnsi="Arial" w:eastAsia="Arial"/>
                <w:b w:val="0"/>
                <w:i w:val="0"/>
                <w:color w:val="000000"/>
                <w:sz w:val="16"/>
              </w:rPr>
              <w:t>362,863,207</w:t>
            </w:r>
          </w:p>
        </w:tc>
        <w:tc>
          <w:tcPr>
            <w:tcW w:type="dxa" w:w="1002"/>
            <w:tcBorders/>
            <w:tcMar>
              <w:start w:w="0" w:type="dxa"/>
              <w:end w:w="0" w:type="dxa"/>
            </w:tcMar>
          </w:tcPr>
          <w:p>
            <w:pPr>
              <w:autoSpaceDN w:val="0"/>
              <w:autoSpaceDE w:val="0"/>
              <w:widowControl/>
              <w:spacing w:line="233" w:lineRule="auto" w:before="26" w:after="0"/>
              <w:ind w:left="88" w:right="0" w:firstLine="0"/>
              <w:jc w:val="left"/>
            </w:pPr>
            <w:r>
              <w:rPr>
                <w:rFonts w:ascii="Arial" w:hAnsi="Arial" w:eastAsia="Arial"/>
                <w:b w:val="0"/>
                <w:i w:val="0"/>
                <w:color w:val="000000"/>
                <w:sz w:val="16"/>
              </w:rPr>
              <w:t>3,266,090</w:t>
            </w:r>
          </w:p>
        </w:tc>
        <w:tc>
          <w:tcPr>
            <w:tcW w:type="dxa" w:w="1450"/>
            <w:tcBorders/>
            <w:tcMar>
              <w:start w:w="0" w:type="dxa"/>
              <w:end w:w="0" w:type="dxa"/>
            </w:tcMar>
          </w:tcPr>
          <w:p>
            <w:pPr>
              <w:autoSpaceDN w:val="0"/>
              <w:autoSpaceDE w:val="0"/>
              <w:widowControl/>
              <w:spacing w:line="233" w:lineRule="auto" w:before="26" w:after="0"/>
              <w:ind w:left="0" w:right="202" w:firstLine="0"/>
              <w:jc w:val="right"/>
            </w:pPr>
            <w:r>
              <w:rPr>
                <w:rFonts w:ascii="Arial" w:hAnsi="Arial" w:eastAsia="Arial"/>
                <w:b w:val="0"/>
                <w:i w:val="0"/>
                <w:color w:val="000000"/>
                <w:sz w:val="16"/>
              </w:rPr>
              <w:t>35,147,357</w:t>
            </w:r>
          </w:p>
        </w:tc>
        <w:tc>
          <w:tcPr>
            <w:tcW w:type="dxa" w:w="1092"/>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 xml:space="preserve">53,622,293 </w:t>
            </w:r>
          </w:p>
        </w:tc>
        <w:tc>
          <w:tcPr>
            <w:tcW w:type="dxa" w:w="1238"/>
            <w:tcBorders/>
            <w:tcMar>
              <w:start w:w="0" w:type="dxa"/>
              <w:end w:w="0" w:type="dxa"/>
            </w:tcMar>
          </w:tcPr>
          <w:p>
            <w:pPr>
              <w:autoSpaceDN w:val="0"/>
              <w:autoSpaceDE w:val="0"/>
              <w:widowControl/>
              <w:spacing w:line="233" w:lineRule="auto" w:before="26" w:after="0"/>
              <w:ind w:left="126" w:right="0" w:firstLine="0"/>
              <w:jc w:val="left"/>
            </w:pPr>
            <w:r>
              <w:rPr>
                <w:rFonts w:ascii="Arial" w:hAnsi="Arial" w:eastAsia="Arial"/>
                <w:b w:val="0"/>
                <w:i w:val="0"/>
                <w:color w:val="000000"/>
                <w:sz w:val="16"/>
              </w:rPr>
              <w:t>914,368,197</w:t>
            </w:r>
          </w:p>
        </w:tc>
      </w:tr>
      <w:tr>
        <w:trPr>
          <w:trHeight w:hRule="exact" w:val="183"/>
        </w:trPr>
        <w:tc>
          <w:tcPr>
            <w:tcW w:type="dxa" w:w="1502"/>
            <w:tcBorders/>
            <w:tcMar>
              <w:start w:w="0" w:type="dxa"/>
              <w:end w:w="0" w:type="dxa"/>
            </w:tcMar>
          </w:tcPr>
          <w:p>
            <w:pPr>
              <w:autoSpaceDN w:val="0"/>
              <w:autoSpaceDE w:val="0"/>
              <w:widowControl/>
              <w:spacing w:line="160" w:lineRule="exact" w:before="14" w:after="0"/>
              <w:ind w:left="198" w:right="0" w:firstLine="0"/>
              <w:jc w:val="left"/>
            </w:pPr>
            <w:r>
              <w:rPr>
                <w:rFonts w:ascii="黑体" w:hAnsi="黑体" w:eastAsia="黑体"/>
                <w:b w:val="0"/>
                <w:i w:val="0"/>
                <w:color w:val="000000"/>
                <w:sz w:val="16"/>
              </w:rPr>
              <w:t>增加</w:t>
            </w:r>
          </w:p>
        </w:tc>
        <w:tc>
          <w:tcPr>
            <w:tcW w:type="dxa" w:w="1272"/>
            <w:tcBorders/>
            <w:tcMar>
              <w:start w:w="0" w:type="dxa"/>
              <w:end w:w="0" w:type="dxa"/>
            </w:tcMar>
          </w:tcPr>
          <w:p>
            <w:pPr>
              <w:autoSpaceDN w:val="0"/>
              <w:autoSpaceDE w:val="0"/>
              <w:widowControl/>
              <w:spacing w:line="230" w:lineRule="auto" w:before="4" w:after="0"/>
              <w:ind w:left="0" w:right="160" w:firstLine="0"/>
              <w:jc w:val="right"/>
            </w:pPr>
            <w:r>
              <w:rPr>
                <w:rFonts w:ascii="Arial" w:hAnsi="Arial" w:eastAsia="Arial"/>
                <w:b w:val="0"/>
                <w:i w:val="0"/>
                <w:color w:val="000000"/>
                <w:sz w:val="16"/>
              </w:rPr>
              <w:t xml:space="preserve">- </w:t>
            </w:r>
          </w:p>
        </w:tc>
        <w:tc>
          <w:tcPr>
            <w:tcW w:type="dxa" w:w="1184"/>
            <w:tcBorders/>
            <w:tcMar>
              <w:start w:w="0" w:type="dxa"/>
              <w:end w:w="0" w:type="dxa"/>
            </w:tcMar>
          </w:tcPr>
          <w:p>
            <w:pPr>
              <w:autoSpaceDN w:val="0"/>
              <w:autoSpaceDE w:val="0"/>
              <w:widowControl/>
              <w:spacing w:line="230" w:lineRule="auto" w:before="4" w:after="0"/>
              <w:ind w:left="0" w:right="0" w:firstLine="0"/>
              <w:jc w:val="center"/>
            </w:pPr>
            <w:r>
              <w:rPr>
                <w:rFonts w:ascii="Arial" w:hAnsi="Arial" w:eastAsia="Arial"/>
                <w:b w:val="0"/>
                <w:i w:val="0"/>
                <w:color w:val="000000"/>
                <w:sz w:val="16"/>
              </w:rPr>
              <w:t>61,073,586</w:t>
            </w:r>
          </w:p>
        </w:tc>
        <w:tc>
          <w:tcPr>
            <w:tcW w:type="dxa" w:w="1002"/>
            <w:tcBorders/>
            <w:tcMar>
              <w:start w:w="0" w:type="dxa"/>
              <w:end w:w="0" w:type="dxa"/>
            </w:tcMar>
          </w:tcPr>
          <w:p>
            <w:pPr>
              <w:autoSpaceDN w:val="0"/>
              <w:autoSpaceDE w:val="0"/>
              <w:widowControl/>
              <w:spacing w:line="230" w:lineRule="auto" w:before="4" w:after="0"/>
              <w:ind w:left="0" w:right="200" w:firstLine="0"/>
              <w:jc w:val="right"/>
            </w:pPr>
            <w:r>
              <w:rPr>
                <w:rFonts w:ascii="Arial" w:hAnsi="Arial" w:eastAsia="Arial"/>
                <w:b w:val="0"/>
                <w:i w:val="0"/>
                <w:color w:val="000000"/>
                <w:sz w:val="16"/>
              </w:rPr>
              <w:t>-</w:t>
            </w:r>
          </w:p>
        </w:tc>
        <w:tc>
          <w:tcPr>
            <w:tcW w:type="dxa" w:w="1450"/>
            <w:tcBorders/>
            <w:tcMar>
              <w:start w:w="0" w:type="dxa"/>
              <w:end w:w="0" w:type="dxa"/>
            </w:tcMar>
          </w:tcPr>
          <w:p>
            <w:pPr>
              <w:autoSpaceDN w:val="0"/>
              <w:autoSpaceDE w:val="0"/>
              <w:widowControl/>
              <w:spacing w:line="230" w:lineRule="auto" w:before="4" w:after="0"/>
              <w:ind w:left="0" w:right="202" w:firstLine="0"/>
              <w:jc w:val="right"/>
            </w:pPr>
            <w:r>
              <w:rPr>
                <w:rFonts w:ascii="Arial" w:hAnsi="Arial" w:eastAsia="Arial"/>
                <w:b w:val="0"/>
                <w:i w:val="0"/>
                <w:color w:val="000000"/>
                <w:sz w:val="16"/>
              </w:rPr>
              <w:t>1,912,384</w:t>
            </w:r>
          </w:p>
        </w:tc>
        <w:tc>
          <w:tcPr>
            <w:tcW w:type="dxa" w:w="1092"/>
            <w:tcBorders/>
            <w:tcMar>
              <w:start w:w="0" w:type="dxa"/>
              <w:end w:w="0" w:type="dxa"/>
            </w:tcMar>
          </w:tcPr>
          <w:p>
            <w:pPr>
              <w:autoSpaceDN w:val="0"/>
              <w:autoSpaceDE w:val="0"/>
              <w:widowControl/>
              <w:spacing w:line="230" w:lineRule="auto" w:before="4" w:after="0"/>
              <w:ind w:left="0" w:right="0" w:firstLine="0"/>
              <w:jc w:val="center"/>
            </w:pPr>
            <w:r>
              <w:rPr>
                <w:rFonts w:ascii="Arial" w:hAnsi="Arial" w:eastAsia="Arial"/>
                <w:b w:val="0"/>
                <w:i w:val="0"/>
                <w:color w:val="000000"/>
                <w:sz w:val="16"/>
              </w:rPr>
              <w:t xml:space="preserve">3,280,205 </w:t>
            </w:r>
          </w:p>
        </w:tc>
        <w:tc>
          <w:tcPr>
            <w:tcW w:type="dxa" w:w="1238"/>
            <w:tcBorders/>
            <w:tcMar>
              <w:start w:w="0" w:type="dxa"/>
              <w:end w:w="0" w:type="dxa"/>
            </w:tcMar>
          </w:tcPr>
          <w:p>
            <w:pPr>
              <w:autoSpaceDN w:val="0"/>
              <w:autoSpaceDE w:val="0"/>
              <w:widowControl/>
              <w:spacing w:line="230" w:lineRule="auto" w:before="4" w:after="0"/>
              <w:ind w:left="0" w:right="0" w:firstLine="0"/>
              <w:jc w:val="center"/>
            </w:pPr>
            <w:r>
              <w:rPr>
                <w:rFonts w:ascii="Arial" w:hAnsi="Arial" w:eastAsia="Arial"/>
                <w:b w:val="0"/>
                <w:i w:val="0"/>
                <w:color w:val="000000"/>
                <w:sz w:val="16"/>
              </w:rPr>
              <w:t>66,266,175</w:t>
            </w:r>
          </w:p>
        </w:tc>
      </w:tr>
      <w:tr>
        <w:trPr>
          <w:trHeight w:hRule="exact" w:val="200"/>
        </w:trPr>
        <w:tc>
          <w:tcPr>
            <w:tcW w:type="dxa" w:w="1502"/>
            <w:tcBorders/>
            <w:tcMar>
              <w:start w:w="0" w:type="dxa"/>
              <w:end w:w="0" w:type="dxa"/>
            </w:tcMar>
          </w:tcPr>
          <w:p>
            <w:pPr>
              <w:autoSpaceDN w:val="0"/>
              <w:autoSpaceDE w:val="0"/>
              <w:widowControl/>
              <w:spacing w:line="180" w:lineRule="exact" w:before="20" w:after="0"/>
              <w:ind w:left="198" w:right="0" w:firstLine="0"/>
              <w:jc w:val="left"/>
            </w:pPr>
            <w:r>
              <w:rPr>
                <w:rFonts w:ascii="黑体" w:hAnsi="黑体" w:eastAsia="黑体"/>
                <w:b w:val="0"/>
                <w:i w:val="0"/>
                <w:color w:val="000000"/>
                <w:sz w:val="16"/>
              </w:rPr>
              <w:t>处置</w:t>
            </w:r>
            <w:r>
              <w:rPr>
                <w:rFonts w:ascii="Arial" w:hAnsi="Arial" w:eastAsia="Arial"/>
                <w:b w:val="0"/>
                <w:i w:val="0"/>
                <w:color w:val="000000"/>
                <w:sz w:val="16"/>
              </w:rPr>
              <w:t>/</w:t>
            </w:r>
            <w:r>
              <w:rPr>
                <w:rFonts w:ascii="黑体" w:hAnsi="黑体" w:eastAsia="黑体"/>
                <w:b w:val="0"/>
                <w:i w:val="0"/>
                <w:color w:val="000000"/>
                <w:sz w:val="16"/>
              </w:rPr>
              <w:t>报废</w:t>
            </w:r>
          </w:p>
        </w:tc>
        <w:tc>
          <w:tcPr>
            <w:tcW w:type="dxa" w:w="1272"/>
            <w:tcBorders/>
            <w:tcMar>
              <w:start w:w="0" w:type="dxa"/>
              <w:end w:w="0" w:type="dxa"/>
            </w:tcMar>
          </w:tcPr>
          <w:p>
            <w:pPr>
              <w:autoSpaceDN w:val="0"/>
              <w:autoSpaceDE w:val="0"/>
              <w:widowControl/>
              <w:spacing w:line="233" w:lineRule="auto" w:before="20" w:after="0"/>
              <w:ind w:left="0" w:right="160" w:firstLine="0"/>
              <w:jc w:val="right"/>
            </w:pPr>
            <w:r>
              <w:rPr>
                <w:rFonts w:ascii="Arial" w:hAnsi="Arial" w:eastAsia="Arial"/>
                <w:b w:val="0"/>
                <w:i w:val="0"/>
                <w:color w:val="000000"/>
                <w:sz w:val="16"/>
              </w:rPr>
              <w:t xml:space="preserve">- </w:t>
            </w:r>
          </w:p>
        </w:tc>
        <w:tc>
          <w:tcPr>
            <w:tcW w:type="dxa" w:w="1184"/>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(10,076,124) </w:t>
            </w:r>
          </w:p>
        </w:tc>
        <w:tc>
          <w:tcPr>
            <w:tcW w:type="dxa" w:w="1002"/>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(3,266,090) </w:t>
            </w:r>
          </w:p>
        </w:tc>
        <w:tc>
          <w:tcPr>
            <w:tcW w:type="dxa" w:w="1450"/>
            <w:tcBorders/>
            <w:tcMar>
              <w:start w:w="0" w:type="dxa"/>
              <w:end w:w="0" w:type="dxa"/>
            </w:tcMar>
          </w:tcPr>
          <w:p>
            <w:pPr>
              <w:autoSpaceDN w:val="0"/>
              <w:autoSpaceDE w:val="0"/>
              <w:widowControl/>
              <w:spacing w:line="233" w:lineRule="auto" w:before="20" w:after="0"/>
              <w:ind w:left="0" w:right="106" w:firstLine="0"/>
              <w:jc w:val="right"/>
            </w:pPr>
            <w:r>
              <w:rPr>
                <w:rFonts w:ascii="Arial" w:hAnsi="Arial" w:eastAsia="Arial"/>
                <w:b w:val="0"/>
                <w:i w:val="0"/>
                <w:color w:val="000000"/>
                <w:sz w:val="16"/>
              </w:rPr>
              <w:t xml:space="preserve">(2,707,320) </w:t>
            </w:r>
          </w:p>
        </w:tc>
        <w:tc>
          <w:tcPr>
            <w:tcW w:type="dxa" w:w="1092"/>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(2,897,855 ) </w:t>
            </w:r>
          </w:p>
        </w:tc>
        <w:tc>
          <w:tcPr>
            <w:tcW w:type="dxa" w:w="1238"/>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16"/>
              </w:rPr>
              <w:t xml:space="preserve">(18,947,389) </w:t>
            </w:r>
          </w:p>
        </w:tc>
      </w:tr>
      <w:tr>
        <w:trPr>
          <w:trHeight w:hRule="exact" w:val="236"/>
        </w:trPr>
        <w:tc>
          <w:tcPr>
            <w:tcW w:type="dxa" w:w="1502"/>
            <w:tcBorders>
              <w:bottom w:sz="4.0" w:val="single" w:color="#000000"/>
            </w:tcBorders>
            <w:tcMar>
              <w:start w:w="0" w:type="dxa"/>
              <w:end w:w="0" w:type="dxa"/>
            </w:tcMar>
          </w:tcPr>
          <w:p>
            <w:pPr>
              <w:autoSpaceDN w:val="0"/>
              <w:autoSpaceDE w:val="0"/>
              <w:widowControl/>
              <w:spacing w:line="162" w:lineRule="exact" w:before="46" w:after="0"/>
              <w:ind w:left="198" w:right="0" w:firstLine="0"/>
              <w:jc w:val="left"/>
            </w:pPr>
            <w:r>
              <w:rPr>
                <w:rFonts w:ascii="黑体" w:hAnsi="黑体" w:eastAsia="黑体"/>
                <w:b w:val="0"/>
                <w:i w:val="0"/>
                <w:color w:val="000000"/>
                <w:sz w:val="16"/>
              </w:rPr>
              <w:t>汇率变动影响</w:t>
            </w:r>
          </w:p>
        </w:tc>
        <w:tc>
          <w:tcPr>
            <w:tcW w:type="dxa" w:w="1272"/>
            <w:tcBorders>
              <w:bottom w:sz="4.0" w:val="single" w:color="#000000"/>
            </w:tcBorders>
            <w:tcMar>
              <w:start w:w="0" w:type="dxa"/>
              <w:end w:w="0" w:type="dxa"/>
            </w:tcMar>
          </w:tcPr>
          <w:p>
            <w:pPr>
              <w:autoSpaceDN w:val="0"/>
              <w:autoSpaceDE w:val="0"/>
              <w:widowControl/>
              <w:spacing w:line="233" w:lineRule="auto" w:before="46" w:after="0"/>
              <w:ind w:left="0" w:right="160" w:firstLine="0"/>
              <w:jc w:val="right"/>
            </w:pPr>
            <w:r>
              <w:rPr>
                <w:rFonts w:ascii="Arial" w:hAnsi="Arial" w:eastAsia="Arial"/>
                <w:b w:val="0"/>
                <w:i w:val="0"/>
                <w:color w:val="000000"/>
                <w:sz w:val="16"/>
              </w:rPr>
              <w:t xml:space="preserve">100,065 </w:t>
            </w:r>
          </w:p>
        </w:tc>
        <w:tc>
          <w:tcPr>
            <w:tcW w:type="dxa" w:w="1184"/>
            <w:tcBorders>
              <w:bottom w:sz="4.0" w:val="single" w:color="#000000"/>
            </w:tcBorders>
            <w:tcMar>
              <w:start w:w="0" w:type="dxa"/>
              <w:end w:w="0" w:type="dxa"/>
            </w:tcMar>
          </w:tcPr>
          <w:p>
            <w:pPr>
              <w:autoSpaceDN w:val="0"/>
              <w:autoSpaceDE w:val="0"/>
              <w:widowControl/>
              <w:spacing w:line="233" w:lineRule="auto" w:before="46" w:after="0"/>
              <w:ind w:left="0" w:right="204" w:firstLine="0"/>
              <w:jc w:val="right"/>
            </w:pPr>
            <w:r>
              <w:rPr>
                <w:rFonts w:ascii="Arial" w:hAnsi="Arial" w:eastAsia="Arial"/>
                <w:b w:val="0"/>
                <w:i w:val="0"/>
                <w:color w:val="000000"/>
                <w:sz w:val="16"/>
              </w:rPr>
              <w:t>-</w:t>
            </w:r>
          </w:p>
        </w:tc>
        <w:tc>
          <w:tcPr>
            <w:tcW w:type="dxa" w:w="1002"/>
            <w:tcBorders>
              <w:bottom w:sz="4.0" w:val="single" w:color="#000000"/>
            </w:tcBorders>
            <w:tcMar>
              <w:start w:w="0" w:type="dxa"/>
              <w:end w:w="0" w:type="dxa"/>
            </w:tcMar>
          </w:tcPr>
          <w:p>
            <w:pPr>
              <w:autoSpaceDN w:val="0"/>
              <w:autoSpaceDE w:val="0"/>
              <w:widowControl/>
              <w:spacing w:line="233" w:lineRule="auto" w:before="46" w:after="0"/>
              <w:ind w:left="0" w:right="200" w:firstLine="0"/>
              <w:jc w:val="right"/>
            </w:pPr>
            <w:r>
              <w:rPr>
                <w:rFonts w:ascii="Arial" w:hAnsi="Arial" w:eastAsia="Arial"/>
                <w:b w:val="0"/>
                <w:i w:val="0"/>
                <w:color w:val="000000"/>
                <w:sz w:val="16"/>
              </w:rPr>
              <w:t>-</w:t>
            </w:r>
          </w:p>
        </w:tc>
        <w:tc>
          <w:tcPr>
            <w:tcW w:type="dxa" w:w="1450"/>
            <w:tcBorders>
              <w:bottom w:sz="4.0" w:val="single" w:color="#000000"/>
            </w:tcBorders>
            <w:tcMar>
              <w:start w:w="0" w:type="dxa"/>
              <w:end w:w="0" w:type="dxa"/>
            </w:tcMar>
          </w:tcPr>
          <w:p>
            <w:pPr>
              <w:autoSpaceDN w:val="0"/>
              <w:autoSpaceDE w:val="0"/>
              <w:widowControl/>
              <w:spacing w:line="233" w:lineRule="auto" w:before="46" w:after="0"/>
              <w:ind w:left="0" w:right="200" w:firstLine="0"/>
              <w:jc w:val="right"/>
            </w:pPr>
            <w:r>
              <w:rPr>
                <w:rFonts w:ascii="Arial" w:hAnsi="Arial" w:eastAsia="Arial"/>
                <w:b w:val="0"/>
                <w:i w:val="0"/>
                <w:color w:val="000000"/>
                <w:sz w:val="16"/>
              </w:rPr>
              <w:t>-</w:t>
            </w:r>
          </w:p>
        </w:tc>
        <w:tc>
          <w:tcPr>
            <w:tcW w:type="dxa" w:w="1092"/>
            <w:tcBorders>
              <w:bottom w:sz="4.0" w:val="single" w:color="#000000"/>
            </w:tcBorders>
            <w:tcMar>
              <w:start w:w="0" w:type="dxa"/>
              <w:end w:w="0" w:type="dxa"/>
            </w:tcMar>
          </w:tcPr>
          <w:p>
            <w:pPr>
              <w:autoSpaceDN w:val="0"/>
              <w:autoSpaceDE w:val="0"/>
              <w:widowControl/>
              <w:spacing w:line="233" w:lineRule="auto" w:before="46" w:after="0"/>
              <w:ind w:left="0" w:right="158" w:firstLine="0"/>
              <w:jc w:val="right"/>
            </w:pPr>
            <w:r>
              <w:rPr>
                <w:rFonts w:ascii="Arial" w:hAnsi="Arial" w:eastAsia="Arial"/>
                <w:b w:val="0"/>
                <w:i w:val="0"/>
                <w:color w:val="000000"/>
                <w:sz w:val="16"/>
              </w:rPr>
              <w:t xml:space="preserve">121,000 </w:t>
            </w:r>
          </w:p>
        </w:tc>
        <w:tc>
          <w:tcPr>
            <w:tcW w:type="dxa" w:w="1238"/>
            <w:tcBorders>
              <w:bottom w:sz="4.0" w:val="single" w:color="#000000"/>
            </w:tcBorders>
            <w:tcMar>
              <w:start w:w="0" w:type="dxa"/>
              <w:end w:w="0" w:type="dxa"/>
            </w:tcMar>
          </w:tcPr>
          <w:p>
            <w:pPr>
              <w:autoSpaceDN w:val="0"/>
              <w:autoSpaceDE w:val="0"/>
              <w:widowControl/>
              <w:spacing w:line="233" w:lineRule="auto" w:before="46" w:after="0"/>
              <w:ind w:left="0" w:right="222" w:firstLine="0"/>
              <w:jc w:val="right"/>
            </w:pPr>
            <w:r>
              <w:rPr>
                <w:rFonts w:ascii="Arial" w:hAnsi="Arial" w:eastAsia="Arial"/>
                <w:b w:val="0"/>
                <w:i w:val="0"/>
                <w:color w:val="000000"/>
                <w:sz w:val="16"/>
              </w:rPr>
              <w:t>221,065</w:t>
            </w:r>
          </w:p>
        </w:tc>
      </w:tr>
      <w:tr>
        <w:trPr>
          <w:trHeight w:hRule="exact" w:val="402"/>
        </w:trPr>
        <w:tc>
          <w:tcPr>
            <w:tcW w:type="dxa" w:w="1502"/>
            <w:tcBorders>
              <w:top w:sz="4.0" w:val="single" w:color="#000000"/>
              <w:bottom w:sz="4.0" w:val="single" w:color="#000000"/>
            </w:tcBorders>
            <w:tcMar>
              <w:start w:w="0" w:type="dxa"/>
              <w:end w:w="0" w:type="dxa"/>
            </w:tcMar>
          </w:tcPr>
          <w:p>
            <w:pPr>
              <w:autoSpaceDN w:val="0"/>
              <w:autoSpaceDE w:val="0"/>
              <w:widowControl/>
              <w:spacing w:line="160" w:lineRule="exact" w:before="206" w:after="0"/>
              <w:ind w:left="198" w:right="0" w:firstLine="0"/>
              <w:jc w:val="left"/>
            </w:pPr>
            <w:r>
              <w:rPr>
                <w:rFonts w:ascii="黑体" w:hAnsi="黑体" w:eastAsia="黑体"/>
                <w:b w:val="0"/>
                <w:i w:val="0"/>
                <w:color w:val="000000"/>
                <w:sz w:val="16"/>
              </w:rPr>
              <w:t>年末余额</w:t>
            </w:r>
          </w:p>
        </w:tc>
        <w:tc>
          <w:tcPr>
            <w:tcW w:type="dxa" w:w="127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center"/>
            </w:pPr>
            <w:r>
              <w:rPr>
                <w:rFonts w:ascii="Arial" w:hAnsi="Arial" w:eastAsia="Arial"/>
                <w:b w:val="0"/>
                <w:i w:val="0"/>
                <w:color w:val="000000"/>
                <w:sz w:val="16"/>
              </w:rPr>
              <w:t xml:space="preserve">459,569,315 </w:t>
            </w:r>
          </w:p>
        </w:tc>
        <w:tc>
          <w:tcPr>
            <w:tcW w:type="dxa" w:w="1184"/>
            <w:tcBorders>
              <w:top w:sz="4.0" w:val="single" w:color="#000000"/>
              <w:bottom w:sz="4.0" w:val="single" w:color="#000000"/>
            </w:tcBorders>
            <w:tcMar>
              <w:start w:w="0" w:type="dxa"/>
              <w:end w:w="0" w:type="dxa"/>
            </w:tcMar>
          </w:tcPr>
          <w:p>
            <w:pPr>
              <w:autoSpaceDN w:val="0"/>
              <w:autoSpaceDE w:val="0"/>
              <w:widowControl/>
              <w:spacing w:line="233" w:lineRule="auto" w:before="208" w:after="0"/>
              <w:ind w:left="88" w:right="0" w:firstLine="0"/>
              <w:jc w:val="left"/>
            </w:pPr>
            <w:r>
              <w:rPr>
                <w:rFonts w:ascii="Arial" w:hAnsi="Arial" w:eastAsia="Arial"/>
                <w:b w:val="0"/>
                <w:i w:val="0"/>
                <w:color w:val="000000"/>
                <w:sz w:val="16"/>
              </w:rPr>
              <w:t>413,860,669</w:t>
            </w:r>
          </w:p>
        </w:tc>
        <w:tc>
          <w:tcPr>
            <w:tcW w:type="dxa" w:w="100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200" w:firstLine="0"/>
              <w:jc w:val="right"/>
            </w:pPr>
            <w:r>
              <w:rPr>
                <w:rFonts w:ascii="Arial" w:hAnsi="Arial" w:eastAsia="Arial"/>
                <w:b w:val="0"/>
                <w:i w:val="0"/>
                <w:color w:val="000000"/>
                <w:sz w:val="16"/>
              </w:rPr>
              <w:t>-</w:t>
            </w:r>
          </w:p>
        </w:tc>
        <w:tc>
          <w:tcPr>
            <w:tcW w:type="dxa" w:w="1450"/>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202" w:firstLine="0"/>
              <w:jc w:val="right"/>
            </w:pPr>
            <w:r>
              <w:rPr>
                <w:rFonts w:ascii="Arial" w:hAnsi="Arial" w:eastAsia="Arial"/>
                <w:b w:val="0"/>
                <w:i w:val="0"/>
                <w:color w:val="000000"/>
                <w:sz w:val="16"/>
              </w:rPr>
              <w:t>34,352,421</w:t>
            </w:r>
          </w:p>
        </w:tc>
        <w:tc>
          <w:tcPr>
            <w:tcW w:type="dxa" w:w="1092"/>
            <w:tcBorders>
              <w:top w:sz="4.0" w:val="single" w:color="#000000"/>
              <w:bottom w:sz="4.0" w:val="single" w:color="#000000"/>
            </w:tcBorders>
            <w:tcMar>
              <w:start w:w="0" w:type="dxa"/>
              <w:end w:w="0" w:type="dxa"/>
            </w:tcMar>
          </w:tcPr>
          <w:p>
            <w:pPr>
              <w:autoSpaceDN w:val="0"/>
              <w:autoSpaceDE w:val="0"/>
              <w:widowControl/>
              <w:spacing w:line="233" w:lineRule="auto" w:before="208" w:after="0"/>
              <w:ind w:left="0" w:right="0" w:firstLine="0"/>
              <w:jc w:val="center"/>
            </w:pPr>
            <w:r>
              <w:rPr>
                <w:rFonts w:ascii="Arial" w:hAnsi="Arial" w:eastAsia="Arial"/>
                <w:b w:val="0"/>
                <w:i w:val="0"/>
                <w:color w:val="000000"/>
                <w:sz w:val="16"/>
              </w:rPr>
              <w:t xml:space="preserve">54,125,643 </w:t>
            </w:r>
          </w:p>
        </w:tc>
        <w:tc>
          <w:tcPr>
            <w:tcW w:type="dxa" w:w="1238"/>
            <w:tcBorders>
              <w:top w:sz="4.0" w:val="single" w:color="#000000"/>
              <w:bottom w:sz="4.0" w:val="single" w:color="#000000"/>
            </w:tcBorders>
            <w:tcMar>
              <w:start w:w="0" w:type="dxa"/>
              <w:end w:w="0" w:type="dxa"/>
            </w:tcMar>
          </w:tcPr>
          <w:p>
            <w:pPr>
              <w:autoSpaceDN w:val="0"/>
              <w:autoSpaceDE w:val="0"/>
              <w:widowControl/>
              <w:spacing w:line="233" w:lineRule="auto" w:before="208" w:after="0"/>
              <w:ind w:left="126" w:right="0" w:firstLine="0"/>
              <w:jc w:val="left"/>
            </w:pPr>
            <w:r>
              <w:rPr>
                <w:rFonts w:ascii="Arial" w:hAnsi="Arial" w:eastAsia="Arial"/>
                <w:b w:val="0"/>
                <w:i w:val="0"/>
                <w:color w:val="000000"/>
                <w:sz w:val="16"/>
              </w:rPr>
              <w:t>961,908,048</w:t>
            </w:r>
          </w:p>
        </w:tc>
      </w:tr>
      <w:tr>
        <w:trPr>
          <w:trHeight w:hRule="exact" w:val="52"/>
        </w:trPr>
        <w:tc>
          <w:tcPr>
            <w:tcW w:type="dxa" w:w="1502"/>
            <w:tcBorders>
              <w:top w:sz="4.0" w:val="single" w:color="#000000"/>
            </w:tcBorders>
            <w:tcMar>
              <w:start w:w="0" w:type="dxa"/>
              <w:end w:w="0" w:type="dxa"/>
            </w:tcMar>
          </w:tcPr>
          <w:p/>
        </w:tc>
        <w:tc>
          <w:tcPr>
            <w:tcW w:type="dxa" w:w="1272"/>
            <w:tcBorders>
              <w:top w:sz="4.0" w:val="single" w:color="#000000"/>
            </w:tcBorders>
            <w:tcMar>
              <w:start w:w="0" w:type="dxa"/>
              <w:end w:w="0" w:type="dxa"/>
            </w:tcMar>
          </w:tcPr>
          <w:p/>
        </w:tc>
        <w:tc>
          <w:tcPr>
            <w:tcW w:type="dxa" w:w="1184"/>
            <w:tcBorders>
              <w:top w:sz="4.0" w:val="single" w:color="#000000"/>
            </w:tcBorders>
            <w:tcMar>
              <w:start w:w="0" w:type="dxa"/>
              <w:end w:w="0" w:type="dxa"/>
            </w:tcMar>
          </w:tcPr>
          <w:p/>
        </w:tc>
        <w:tc>
          <w:tcPr>
            <w:tcW w:type="dxa" w:w="1002"/>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092"/>
            <w:tcBorders>
              <w:top w:sz="4.0" w:val="single" w:color="#000000"/>
            </w:tcBorders>
            <w:tcMar>
              <w:start w:w="0" w:type="dxa"/>
              <w:end w:w="0" w:type="dxa"/>
            </w:tcMar>
          </w:tcPr>
          <w:p/>
        </w:tc>
        <w:tc>
          <w:tcPr>
            <w:tcW w:type="dxa" w:w="1238"/>
            <w:tcBorders>
              <w:top w:sz="4.0" w:val="single" w:color="#000000"/>
            </w:tcBorders>
            <w:tcMar>
              <w:start w:w="0" w:type="dxa"/>
              <w:end w:w="0" w:type="dxa"/>
            </w:tcMar>
          </w:tcPr>
          <w:p/>
        </w:tc>
      </w:tr>
    </w:tbl>
    <w:p>
      <w:pPr>
        <w:autoSpaceDN w:val="0"/>
        <w:autoSpaceDE w:val="0"/>
        <w:widowControl/>
        <w:spacing w:line="160" w:lineRule="exact" w:before="180" w:after="22"/>
        <w:ind w:left="358" w:right="0" w:firstLine="0"/>
        <w:jc w:val="left"/>
      </w:pPr>
      <w:r>
        <w:rPr>
          <w:rFonts w:ascii="黑体" w:hAnsi="黑体" w:eastAsia="黑体"/>
          <w:b w:val="0"/>
          <w:i w:val="0"/>
          <w:color w:val="000000"/>
          <w:sz w:val="16"/>
        </w:rPr>
        <w:t>累计折旧</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188"/>
        </w:trPr>
        <w:tc>
          <w:tcPr>
            <w:tcW w:type="dxa" w:w="1502"/>
            <w:tcBorders/>
            <w:tcMar>
              <w:start w:w="0" w:type="dxa"/>
              <w:end w:w="0" w:type="dxa"/>
            </w:tcMar>
          </w:tcPr>
          <w:p>
            <w:pPr>
              <w:autoSpaceDN w:val="0"/>
              <w:autoSpaceDE w:val="0"/>
              <w:widowControl/>
              <w:spacing w:line="162" w:lineRule="exact" w:before="24" w:after="0"/>
              <w:ind w:left="198" w:right="0" w:firstLine="0"/>
              <w:jc w:val="left"/>
            </w:pPr>
            <w:r>
              <w:rPr>
                <w:rFonts w:ascii="黑体" w:hAnsi="黑体" w:eastAsia="黑体"/>
                <w:b w:val="0"/>
                <w:i w:val="0"/>
                <w:color w:val="000000"/>
                <w:sz w:val="16"/>
              </w:rPr>
              <w:t>年初余额</w:t>
            </w:r>
          </w:p>
        </w:tc>
        <w:tc>
          <w:tcPr>
            <w:tcW w:type="dxa" w:w="1272"/>
            <w:tcBorders/>
            <w:tcMar>
              <w:start w:w="0" w:type="dxa"/>
              <w:end w:w="0" w:type="dxa"/>
            </w:tcMar>
          </w:tcPr>
          <w:p>
            <w:pPr>
              <w:autoSpaceDN w:val="0"/>
              <w:autoSpaceDE w:val="0"/>
              <w:widowControl/>
              <w:spacing w:line="233" w:lineRule="auto" w:before="8" w:after="0"/>
              <w:ind w:left="0" w:right="0" w:firstLine="0"/>
              <w:jc w:val="center"/>
            </w:pPr>
            <w:r>
              <w:rPr>
                <w:rFonts w:ascii="Arial" w:hAnsi="Arial" w:eastAsia="Arial"/>
                <w:b w:val="0"/>
                <w:i w:val="0"/>
                <w:color w:val="000000"/>
                <w:sz w:val="16"/>
              </w:rPr>
              <w:t xml:space="preserve">231,421,685 </w:t>
            </w:r>
          </w:p>
        </w:tc>
        <w:tc>
          <w:tcPr>
            <w:tcW w:type="dxa" w:w="1184"/>
            <w:tcBorders/>
            <w:tcMar>
              <w:start w:w="0" w:type="dxa"/>
              <w:end w:w="0" w:type="dxa"/>
            </w:tcMar>
          </w:tcPr>
          <w:p>
            <w:pPr>
              <w:autoSpaceDN w:val="0"/>
              <w:autoSpaceDE w:val="0"/>
              <w:widowControl/>
              <w:spacing w:line="233" w:lineRule="auto" w:before="8" w:after="0"/>
              <w:ind w:left="88" w:right="0" w:firstLine="0"/>
              <w:jc w:val="left"/>
            </w:pPr>
            <w:r>
              <w:rPr>
                <w:rFonts w:ascii="Arial" w:hAnsi="Arial" w:eastAsia="Arial"/>
                <w:b w:val="0"/>
                <w:i w:val="0"/>
                <w:color w:val="000000"/>
                <w:sz w:val="16"/>
              </w:rPr>
              <w:t>232,545,812</w:t>
            </w:r>
          </w:p>
        </w:tc>
        <w:tc>
          <w:tcPr>
            <w:tcW w:type="dxa" w:w="1002"/>
            <w:tcBorders/>
            <w:tcMar>
              <w:start w:w="0" w:type="dxa"/>
              <w:end w:w="0" w:type="dxa"/>
            </w:tcMar>
          </w:tcPr>
          <w:p>
            <w:pPr>
              <w:autoSpaceDN w:val="0"/>
              <w:autoSpaceDE w:val="0"/>
              <w:widowControl/>
              <w:spacing w:line="233" w:lineRule="auto" w:before="8" w:after="0"/>
              <w:ind w:left="88" w:right="0" w:firstLine="0"/>
              <w:jc w:val="left"/>
            </w:pPr>
            <w:r>
              <w:rPr>
                <w:rFonts w:ascii="Arial" w:hAnsi="Arial" w:eastAsia="Arial"/>
                <w:b w:val="0"/>
                <w:i w:val="0"/>
                <w:color w:val="000000"/>
                <w:sz w:val="16"/>
              </w:rPr>
              <w:t>3,248,329</w:t>
            </w:r>
          </w:p>
        </w:tc>
        <w:tc>
          <w:tcPr>
            <w:tcW w:type="dxa" w:w="1450"/>
            <w:tcBorders/>
            <w:tcMar>
              <w:start w:w="0" w:type="dxa"/>
              <w:end w:w="0" w:type="dxa"/>
            </w:tcMar>
          </w:tcPr>
          <w:p>
            <w:pPr>
              <w:autoSpaceDN w:val="0"/>
              <w:autoSpaceDE w:val="0"/>
              <w:widowControl/>
              <w:spacing w:line="233" w:lineRule="auto" w:before="8" w:after="0"/>
              <w:ind w:left="0" w:right="202" w:firstLine="0"/>
              <w:jc w:val="right"/>
            </w:pPr>
            <w:r>
              <w:rPr>
                <w:rFonts w:ascii="Arial" w:hAnsi="Arial" w:eastAsia="Arial"/>
                <w:b w:val="0"/>
                <w:i w:val="0"/>
                <w:color w:val="000000"/>
                <w:sz w:val="16"/>
              </w:rPr>
              <w:t>23,463,162</w:t>
            </w:r>
          </w:p>
        </w:tc>
        <w:tc>
          <w:tcPr>
            <w:tcW w:type="dxa" w:w="1092"/>
            <w:tcBorders/>
            <w:tcMar>
              <w:start w:w="0" w:type="dxa"/>
              <w:end w:w="0" w:type="dxa"/>
            </w:tcMar>
          </w:tcPr>
          <w:p>
            <w:pPr>
              <w:autoSpaceDN w:val="0"/>
              <w:autoSpaceDE w:val="0"/>
              <w:widowControl/>
              <w:spacing w:line="233" w:lineRule="auto" w:before="8" w:after="0"/>
              <w:ind w:left="0" w:right="0" w:firstLine="0"/>
              <w:jc w:val="center"/>
            </w:pPr>
            <w:r>
              <w:rPr>
                <w:rFonts w:ascii="Arial" w:hAnsi="Arial" w:eastAsia="Arial"/>
                <w:b w:val="0"/>
                <w:i w:val="0"/>
                <w:color w:val="000000"/>
                <w:sz w:val="16"/>
              </w:rPr>
              <w:t xml:space="preserve">36,855,184 </w:t>
            </w:r>
          </w:p>
        </w:tc>
        <w:tc>
          <w:tcPr>
            <w:tcW w:type="dxa" w:w="1238"/>
            <w:tcBorders/>
            <w:tcMar>
              <w:start w:w="0" w:type="dxa"/>
              <w:end w:w="0" w:type="dxa"/>
            </w:tcMar>
          </w:tcPr>
          <w:p>
            <w:pPr>
              <w:autoSpaceDN w:val="0"/>
              <w:autoSpaceDE w:val="0"/>
              <w:widowControl/>
              <w:spacing w:line="233" w:lineRule="auto" w:before="8" w:after="0"/>
              <w:ind w:left="126" w:right="0" w:firstLine="0"/>
              <w:jc w:val="left"/>
            </w:pPr>
            <w:r>
              <w:rPr>
                <w:rFonts w:ascii="Arial" w:hAnsi="Arial" w:eastAsia="Arial"/>
                <w:b w:val="0"/>
                <w:i w:val="0"/>
                <w:color w:val="000000"/>
                <w:sz w:val="16"/>
              </w:rPr>
              <w:t>527,534,172</w:t>
            </w:r>
          </w:p>
        </w:tc>
      </w:tr>
      <w:tr>
        <w:trPr>
          <w:trHeight w:hRule="exact" w:val="237"/>
        </w:trPr>
        <w:tc>
          <w:tcPr>
            <w:tcW w:type="dxa" w:w="1502"/>
            <w:tcBorders/>
            <w:tcMar>
              <w:start w:w="0" w:type="dxa"/>
              <w:end w:w="0" w:type="dxa"/>
            </w:tcMar>
          </w:tcPr>
          <w:p>
            <w:pPr>
              <w:autoSpaceDN w:val="0"/>
              <w:autoSpaceDE w:val="0"/>
              <w:widowControl/>
              <w:spacing w:line="162" w:lineRule="exact" w:before="42" w:after="0"/>
              <w:ind w:left="198" w:right="0" w:firstLine="0"/>
              <w:jc w:val="left"/>
            </w:pPr>
            <w:r>
              <w:rPr>
                <w:rFonts w:ascii="黑体" w:hAnsi="黑体" w:eastAsia="黑体"/>
                <w:b w:val="0"/>
                <w:i w:val="0"/>
                <w:color w:val="000000"/>
                <w:sz w:val="16"/>
              </w:rPr>
              <w:t>计提</w:t>
            </w:r>
          </w:p>
        </w:tc>
        <w:tc>
          <w:tcPr>
            <w:tcW w:type="dxa" w:w="1272"/>
            <w:tcBorders/>
            <w:tcMar>
              <w:start w:w="0" w:type="dxa"/>
              <w:end w:w="0" w:type="dxa"/>
            </w:tcMar>
          </w:tcPr>
          <w:p>
            <w:pPr>
              <w:autoSpaceDN w:val="0"/>
              <w:autoSpaceDE w:val="0"/>
              <w:widowControl/>
              <w:spacing w:line="230" w:lineRule="auto" w:before="46" w:after="0"/>
              <w:ind w:left="266" w:right="0" w:firstLine="0"/>
              <w:jc w:val="left"/>
            </w:pPr>
            <w:r>
              <w:rPr>
                <w:rFonts w:ascii="Arial" w:hAnsi="Arial" w:eastAsia="Arial"/>
                <w:b w:val="0"/>
                <w:i w:val="0"/>
                <w:color w:val="000000"/>
                <w:sz w:val="16"/>
              </w:rPr>
              <w:t xml:space="preserve">15,922,864 </w:t>
            </w:r>
          </w:p>
        </w:tc>
        <w:tc>
          <w:tcPr>
            <w:tcW w:type="dxa" w:w="1184"/>
            <w:tcBorders/>
            <w:tcMar>
              <w:start w:w="0" w:type="dxa"/>
              <w:end w:w="0" w:type="dxa"/>
            </w:tcMar>
          </w:tcPr>
          <w:p>
            <w:pPr>
              <w:autoSpaceDN w:val="0"/>
              <w:autoSpaceDE w:val="0"/>
              <w:widowControl/>
              <w:spacing w:line="230" w:lineRule="auto" w:before="46" w:after="0"/>
              <w:ind w:left="0" w:right="0" w:firstLine="0"/>
              <w:jc w:val="center"/>
            </w:pPr>
            <w:r>
              <w:rPr>
                <w:rFonts w:ascii="Arial" w:hAnsi="Arial" w:eastAsia="Arial"/>
                <w:b w:val="0"/>
                <w:i w:val="0"/>
                <w:color w:val="000000"/>
                <w:sz w:val="16"/>
              </w:rPr>
              <w:t>41,009,035</w:t>
            </w:r>
          </w:p>
        </w:tc>
        <w:tc>
          <w:tcPr>
            <w:tcW w:type="dxa" w:w="1002"/>
            <w:tcBorders/>
            <w:tcMar>
              <w:start w:w="0" w:type="dxa"/>
              <w:end w:w="0" w:type="dxa"/>
            </w:tcMar>
          </w:tcPr>
          <w:p>
            <w:pPr>
              <w:autoSpaceDN w:val="0"/>
              <w:autoSpaceDE w:val="0"/>
              <w:widowControl/>
              <w:spacing w:line="230" w:lineRule="auto" w:before="46" w:after="0"/>
              <w:ind w:left="0" w:right="200" w:firstLine="0"/>
              <w:jc w:val="right"/>
            </w:pPr>
            <w:r>
              <w:rPr>
                <w:rFonts w:ascii="Arial" w:hAnsi="Arial" w:eastAsia="Arial"/>
                <w:b w:val="0"/>
                <w:i w:val="0"/>
                <w:color w:val="000000"/>
                <w:sz w:val="16"/>
              </w:rPr>
              <w:t>-</w:t>
            </w:r>
          </w:p>
        </w:tc>
        <w:tc>
          <w:tcPr>
            <w:tcW w:type="dxa" w:w="1450"/>
            <w:tcBorders/>
            <w:tcMar>
              <w:start w:w="0" w:type="dxa"/>
              <w:end w:w="0" w:type="dxa"/>
            </w:tcMar>
          </w:tcPr>
          <w:p>
            <w:pPr>
              <w:autoSpaceDN w:val="0"/>
              <w:autoSpaceDE w:val="0"/>
              <w:widowControl/>
              <w:spacing w:line="230" w:lineRule="auto" w:before="46" w:after="0"/>
              <w:ind w:left="0" w:right="202" w:firstLine="0"/>
              <w:jc w:val="right"/>
            </w:pPr>
            <w:r>
              <w:rPr>
                <w:rFonts w:ascii="Arial" w:hAnsi="Arial" w:eastAsia="Arial"/>
                <w:b w:val="0"/>
                <w:i w:val="0"/>
                <w:color w:val="000000"/>
                <w:sz w:val="16"/>
              </w:rPr>
              <w:t>3,551,254</w:t>
            </w:r>
          </w:p>
        </w:tc>
        <w:tc>
          <w:tcPr>
            <w:tcW w:type="dxa" w:w="1092"/>
            <w:tcBorders/>
            <w:tcMar>
              <w:start w:w="0" w:type="dxa"/>
              <w:end w:w="0" w:type="dxa"/>
            </w:tcMar>
          </w:tcPr>
          <w:p>
            <w:pPr>
              <w:autoSpaceDN w:val="0"/>
              <w:autoSpaceDE w:val="0"/>
              <w:widowControl/>
              <w:spacing w:line="230" w:lineRule="auto" w:before="46" w:after="0"/>
              <w:ind w:left="0" w:right="0" w:firstLine="0"/>
              <w:jc w:val="center"/>
            </w:pPr>
            <w:r>
              <w:rPr>
                <w:rFonts w:ascii="Arial" w:hAnsi="Arial" w:eastAsia="Arial"/>
                <w:b w:val="0"/>
                <w:i w:val="0"/>
                <w:color w:val="000000"/>
                <w:sz w:val="16"/>
              </w:rPr>
              <w:t xml:space="preserve">5,209,752 </w:t>
            </w:r>
          </w:p>
        </w:tc>
        <w:tc>
          <w:tcPr>
            <w:tcW w:type="dxa" w:w="1238"/>
            <w:tcBorders/>
            <w:tcMar>
              <w:start w:w="0" w:type="dxa"/>
              <w:end w:w="0" w:type="dxa"/>
            </w:tcMar>
          </w:tcPr>
          <w:p>
            <w:pPr>
              <w:autoSpaceDN w:val="0"/>
              <w:autoSpaceDE w:val="0"/>
              <w:widowControl/>
              <w:spacing w:line="230" w:lineRule="auto" w:before="46" w:after="0"/>
              <w:ind w:left="0" w:right="0" w:firstLine="0"/>
              <w:jc w:val="center"/>
            </w:pPr>
            <w:r>
              <w:rPr>
                <w:rFonts w:ascii="Arial" w:hAnsi="Arial" w:eastAsia="Arial"/>
                <w:b w:val="0"/>
                <w:i w:val="0"/>
                <w:color w:val="000000"/>
                <w:sz w:val="16"/>
              </w:rPr>
              <w:t>65,692,905</w:t>
            </w:r>
          </w:p>
        </w:tc>
      </w:tr>
      <w:tr>
        <w:trPr>
          <w:trHeight w:hRule="exact" w:val="183"/>
        </w:trPr>
        <w:tc>
          <w:tcPr>
            <w:tcW w:type="dxa" w:w="1502"/>
            <w:tcBorders/>
            <w:tcMar>
              <w:start w:w="0" w:type="dxa"/>
              <w:end w:w="0" w:type="dxa"/>
            </w:tcMar>
          </w:tcPr>
          <w:p>
            <w:pPr>
              <w:autoSpaceDN w:val="0"/>
              <w:autoSpaceDE w:val="0"/>
              <w:widowControl/>
              <w:spacing w:line="180" w:lineRule="exact" w:before="2" w:after="0"/>
              <w:ind w:left="198" w:right="0" w:firstLine="0"/>
              <w:jc w:val="left"/>
            </w:pPr>
            <w:r>
              <w:rPr>
                <w:rFonts w:ascii="黑体" w:hAnsi="黑体" w:eastAsia="黑体"/>
                <w:b w:val="0"/>
                <w:i w:val="0"/>
                <w:color w:val="000000"/>
                <w:sz w:val="16"/>
              </w:rPr>
              <w:t>处置</w:t>
            </w:r>
            <w:r>
              <w:rPr>
                <w:rFonts w:ascii="Arial" w:hAnsi="Arial" w:eastAsia="Arial"/>
                <w:b w:val="0"/>
                <w:i w:val="0"/>
                <w:color w:val="000000"/>
                <w:sz w:val="16"/>
              </w:rPr>
              <w:t>/</w:t>
            </w:r>
            <w:r>
              <w:rPr>
                <w:rFonts w:ascii="黑体" w:hAnsi="黑体" w:eastAsia="黑体"/>
                <w:b w:val="0"/>
                <w:i w:val="0"/>
                <w:color w:val="000000"/>
                <w:sz w:val="16"/>
              </w:rPr>
              <w:t>报废</w:t>
            </w:r>
          </w:p>
        </w:tc>
        <w:tc>
          <w:tcPr>
            <w:tcW w:type="dxa" w:w="1272"/>
            <w:tcBorders/>
            <w:tcMar>
              <w:start w:w="0" w:type="dxa"/>
              <w:end w:w="0" w:type="dxa"/>
            </w:tcMar>
          </w:tcPr>
          <w:p>
            <w:pPr>
              <w:autoSpaceDN w:val="0"/>
              <w:autoSpaceDE w:val="0"/>
              <w:widowControl/>
              <w:spacing w:line="233" w:lineRule="auto" w:before="2" w:after="0"/>
              <w:ind w:left="0" w:right="160" w:firstLine="0"/>
              <w:jc w:val="right"/>
            </w:pPr>
            <w:r>
              <w:rPr>
                <w:rFonts w:ascii="Arial" w:hAnsi="Arial" w:eastAsia="Arial"/>
                <w:b w:val="0"/>
                <w:i w:val="0"/>
                <w:color w:val="000000"/>
                <w:sz w:val="16"/>
              </w:rPr>
              <w:t xml:space="preserve">- </w:t>
            </w:r>
          </w:p>
        </w:tc>
        <w:tc>
          <w:tcPr>
            <w:tcW w:type="dxa" w:w="1184"/>
            <w:tcBorders/>
            <w:tcMar>
              <w:start w:w="0" w:type="dxa"/>
              <w:end w:w="0" w:type="dxa"/>
            </w:tcMar>
          </w:tcPr>
          <w:p>
            <w:pPr>
              <w:autoSpaceDN w:val="0"/>
              <w:autoSpaceDE w:val="0"/>
              <w:widowControl/>
              <w:spacing w:line="233" w:lineRule="auto" w:before="2" w:after="0"/>
              <w:ind w:left="214" w:right="0" w:firstLine="0"/>
              <w:jc w:val="left"/>
            </w:pPr>
            <w:r>
              <w:rPr>
                <w:rFonts w:ascii="Arial" w:hAnsi="Arial" w:eastAsia="Arial"/>
                <w:b w:val="0"/>
                <w:i w:val="0"/>
                <w:color w:val="000000"/>
                <w:sz w:val="16"/>
              </w:rPr>
              <w:t xml:space="preserve">(9,638,239) </w:t>
            </w:r>
          </w:p>
        </w:tc>
        <w:tc>
          <w:tcPr>
            <w:tcW w:type="dxa" w:w="1002"/>
            <w:tcBorders/>
            <w:tcMar>
              <w:start w:w="0" w:type="dxa"/>
              <w:end w:w="0" w:type="dxa"/>
            </w:tcMar>
          </w:tcPr>
          <w:p>
            <w:pPr>
              <w:autoSpaceDN w:val="0"/>
              <w:autoSpaceDE w:val="0"/>
              <w:widowControl/>
              <w:spacing w:line="233" w:lineRule="auto" w:before="2" w:after="0"/>
              <w:ind w:left="0" w:right="0" w:firstLine="0"/>
              <w:jc w:val="center"/>
            </w:pPr>
            <w:r>
              <w:rPr>
                <w:rFonts w:ascii="Arial" w:hAnsi="Arial" w:eastAsia="Arial"/>
                <w:b w:val="0"/>
                <w:i w:val="0"/>
                <w:color w:val="000000"/>
                <w:sz w:val="16"/>
              </w:rPr>
              <w:t xml:space="preserve">(3,248,329) </w:t>
            </w:r>
          </w:p>
        </w:tc>
        <w:tc>
          <w:tcPr>
            <w:tcW w:type="dxa" w:w="1450"/>
            <w:tcBorders/>
            <w:tcMar>
              <w:start w:w="0" w:type="dxa"/>
              <w:end w:w="0" w:type="dxa"/>
            </w:tcMar>
          </w:tcPr>
          <w:p>
            <w:pPr>
              <w:autoSpaceDN w:val="0"/>
              <w:autoSpaceDE w:val="0"/>
              <w:widowControl/>
              <w:spacing w:line="233" w:lineRule="auto" w:before="2" w:after="0"/>
              <w:ind w:left="0" w:right="106" w:firstLine="0"/>
              <w:jc w:val="right"/>
            </w:pPr>
            <w:r>
              <w:rPr>
                <w:rFonts w:ascii="Arial" w:hAnsi="Arial" w:eastAsia="Arial"/>
                <w:b w:val="0"/>
                <w:i w:val="0"/>
                <w:color w:val="000000"/>
                <w:sz w:val="16"/>
              </w:rPr>
              <w:t xml:space="preserve">(2,577,122) </w:t>
            </w:r>
          </w:p>
        </w:tc>
        <w:tc>
          <w:tcPr>
            <w:tcW w:type="dxa" w:w="1092"/>
            <w:tcBorders/>
            <w:tcMar>
              <w:start w:w="0" w:type="dxa"/>
              <w:end w:w="0" w:type="dxa"/>
            </w:tcMar>
          </w:tcPr>
          <w:p>
            <w:pPr>
              <w:autoSpaceDN w:val="0"/>
              <w:autoSpaceDE w:val="0"/>
              <w:widowControl/>
              <w:spacing w:line="233" w:lineRule="auto" w:before="2" w:after="0"/>
              <w:ind w:left="0" w:right="0" w:firstLine="0"/>
              <w:jc w:val="center"/>
            </w:pPr>
            <w:r>
              <w:rPr>
                <w:rFonts w:ascii="Arial" w:hAnsi="Arial" w:eastAsia="Arial"/>
                <w:b w:val="0"/>
                <w:i w:val="0"/>
                <w:color w:val="000000"/>
                <w:sz w:val="16"/>
              </w:rPr>
              <w:t xml:space="preserve">(2,757,912 ) </w:t>
            </w:r>
          </w:p>
        </w:tc>
        <w:tc>
          <w:tcPr>
            <w:tcW w:type="dxa" w:w="1238"/>
            <w:tcBorders/>
            <w:tcMar>
              <w:start w:w="0" w:type="dxa"/>
              <w:end w:w="0" w:type="dxa"/>
            </w:tcMar>
          </w:tcPr>
          <w:p>
            <w:pPr>
              <w:autoSpaceDN w:val="0"/>
              <w:autoSpaceDE w:val="0"/>
              <w:widowControl/>
              <w:spacing w:line="233" w:lineRule="auto" w:before="2" w:after="0"/>
              <w:ind w:left="0" w:right="0" w:firstLine="0"/>
              <w:jc w:val="center"/>
            </w:pPr>
            <w:r>
              <w:rPr>
                <w:rFonts w:ascii="Arial" w:hAnsi="Arial" w:eastAsia="Arial"/>
                <w:b w:val="0"/>
                <w:i w:val="0"/>
                <w:color w:val="000000"/>
                <w:sz w:val="16"/>
              </w:rPr>
              <w:t xml:space="preserve">(18,221,602) </w:t>
            </w:r>
          </w:p>
        </w:tc>
      </w:tr>
      <w:tr>
        <w:trPr>
          <w:trHeight w:hRule="exact" w:val="228"/>
        </w:trPr>
        <w:tc>
          <w:tcPr>
            <w:tcW w:type="dxa" w:w="1502"/>
            <w:tcBorders>
              <w:bottom w:sz="4.0" w:val="single" w:color="#000000"/>
            </w:tcBorders>
            <w:tcMar>
              <w:start w:w="0" w:type="dxa"/>
              <w:end w:w="0" w:type="dxa"/>
            </w:tcMar>
          </w:tcPr>
          <w:p>
            <w:pPr>
              <w:autoSpaceDN w:val="0"/>
              <w:autoSpaceDE w:val="0"/>
              <w:widowControl/>
              <w:spacing w:line="160" w:lineRule="exact" w:before="38" w:after="0"/>
              <w:ind w:left="198" w:right="0" w:firstLine="0"/>
              <w:jc w:val="left"/>
            </w:pPr>
            <w:r>
              <w:rPr>
                <w:rFonts w:ascii="黑体" w:hAnsi="黑体" w:eastAsia="黑体"/>
                <w:b w:val="0"/>
                <w:i w:val="0"/>
                <w:color w:val="000000"/>
                <w:sz w:val="16"/>
              </w:rPr>
              <w:t>汇率变动影响</w:t>
            </w:r>
          </w:p>
        </w:tc>
        <w:tc>
          <w:tcPr>
            <w:tcW w:type="dxa" w:w="1272"/>
            <w:tcBorders>
              <w:bottom w:sz="4.0" w:val="single" w:color="#000000"/>
            </w:tcBorders>
            <w:tcMar>
              <w:start w:w="0" w:type="dxa"/>
              <w:end w:w="0" w:type="dxa"/>
            </w:tcMar>
          </w:tcPr>
          <w:p>
            <w:pPr>
              <w:autoSpaceDN w:val="0"/>
              <w:autoSpaceDE w:val="0"/>
              <w:widowControl/>
              <w:spacing w:line="233" w:lineRule="auto" w:before="40" w:after="0"/>
              <w:ind w:left="0" w:right="160" w:firstLine="0"/>
              <w:jc w:val="right"/>
            </w:pPr>
            <w:r>
              <w:rPr>
                <w:rFonts w:ascii="Arial" w:hAnsi="Arial" w:eastAsia="Arial"/>
                <w:b w:val="0"/>
                <w:i w:val="0"/>
                <w:color w:val="000000"/>
                <w:sz w:val="16"/>
              </w:rPr>
              <w:t xml:space="preserve">99,884 </w:t>
            </w:r>
          </w:p>
        </w:tc>
        <w:tc>
          <w:tcPr>
            <w:tcW w:type="dxa" w:w="1184"/>
            <w:tcBorders>
              <w:bottom w:sz="4.0" w:val="single" w:color="#000000"/>
            </w:tcBorders>
            <w:tcMar>
              <w:start w:w="0" w:type="dxa"/>
              <w:end w:w="0" w:type="dxa"/>
            </w:tcMar>
          </w:tcPr>
          <w:p>
            <w:pPr>
              <w:autoSpaceDN w:val="0"/>
              <w:autoSpaceDE w:val="0"/>
              <w:widowControl/>
              <w:spacing w:line="233" w:lineRule="auto" w:before="40" w:after="0"/>
              <w:ind w:left="0" w:right="204" w:firstLine="0"/>
              <w:jc w:val="right"/>
            </w:pPr>
            <w:r>
              <w:rPr>
                <w:rFonts w:ascii="Arial" w:hAnsi="Arial" w:eastAsia="Arial"/>
                <w:b w:val="0"/>
                <w:i w:val="0"/>
                <w:color w:val="000000"/>
                <w:sz w:val="16"/>
              </w:rPr>
              <w:t>-</w:t>
            </w:r>
          </w:p>
        </w:tc>
        <w:tc>
          <w:tcPr>
            <w:tcW w:type="dxa" w:w="1002"/>
            <w:tcBorders>
              <w:bottom w:sz="4.0" w:val="single" w:color="#000000"/>
            </w:tcBorders>
            <w:tcMar>
              <w:start w:w="0" w:type="dxa"/>
              <w:end w:w="0" w:type="dxa"/>
            </w:tcMar>
          </w:tcPr>
          <w:p>
            <w:pPr>
              <w:autoSpaceDN w:val="0"/>
              <w:autoSpaceDE w:val="0"/>
              <w:widowControl/>
              <w:spacing w:line="233" w:lineRule="auto" w:before="40" w:after="0"/>
              <w:ind w:left="0" w:right="200" w:firstLine="0"/>
              <w:jc w:val="right"/>
            </w:pPr>
            <w:r>
              <w:rPr>
                <w:rFonts w:ascii="Arial" w:hAnsi="Arial" w:eastAsia="Arial"/>
                <w:b w:val="0"/>
                <w:i w:val="0"/>
                <w:color w:val="000000"/>
                <w:sz w:val="16"/>
              </w:rPr>
              <w:t>-</w:t>
            </w:r>
          </w:p>
        </w:tc>
        <w:tc>
          <w:tcPr>
            <w:tcW w:type="dxa" w:w="1450"/>
            <w:tcBorders>
              <w:bottom w:sz="4.0" w:val="single" w:color="#000000"/>
            </w:tcBorders>
            <w:tcMar>
              <w:start w:w="0" w:type="dxa"/>
              <w:end w:w="0" w:type="dxa"/>
            </w:tcMar>
          </w:tcPr>
          <w:p>
            <w:pPr>
              <w:autoSpaceDN w:val="0"/>
              <w:autoSpaceDE w:val="0"/>
              <w:widowControl/>
              <w:spacing w:line="233" w:lineRule="auto" w:before="40" w:after="0"/>
              <w:ind w:left="0" w:right="200" w:firstLine="0"/>
              <w:jc w:val="right"/>
            </w:pPr>
            <w:r>
              <w:rPr>
                <w:rFonts w:ascii="Arial" w:hAnsi="Arial" w:eastAsia="Arial"/>
                <w:b w:val="0"/>
                <w:i w:val="0"/>
                <w:color w:val="000000"/>
                <w:sz w:val="16"/>
              </w:rPr>
              <w:t>-</w:t>
            </w:r>
          </w:p>
        </w:tc>
        <w:tc>
          <w:tcPr>
            <w:tcW w:type="dxa" w:w="1092"/>
            <w:tcBorders>
              <w:bottom w:sz="4.0" w:val="single" w:color="#000000"/>
            </w:tcBorders>
            <w:tcMar>
              <w:start w:w="0" w:type="dxa"/>
              <w:end w:w="0" w:type="dxa"/>
            </w:tcMar>
          </w:tcPr>
          <w:p>
            <w:pPr>
              <w:autoSpaceDN w:val="0"/>
              <w:autoSpaceDE w:val="0"/>
              <w:widowControl/>
              <w:spacing w:line="233" w:lineRule="auto" w:before="40" w:after="0"/>
              <w:ind w:left="0" w:right="158" w:firstLine="0"/>
              <w:jc w:val="right"/>
            </w:pPr>
            <w:r>
              <w:rPr>
                <w:rFonts w:ascii="Arial" w:hAnsi="Arial" w:eastAsia="Arial"/>
                <w:b w:val="0"/>
                <w:i w:val="0"/>
                <w:color w:val="000000"/>
                <w:sz w:val="16"/>
              </w:rPr>
              <w:t xml:space="preserve">104,202 </w:t>
            </w:r>
          </w:p>
        </w:tc>
        <w:tc>
          <w:tcPr>
            <w:tcW w:type="dxa" w:w="1238"/>
            <w:tcBorders>
              <w:bottom w:sz="4.0" w:val="single" w:color="#000000"/>
            </w:tcBorders>
            <w:tcMar>
              <w:start w:w="0" w:type="dxa"/>
              <w:end w:w="0" w:type="dxa"/>
            </w:tcMar>
          </w:tcPr>
          <w:p>
            <w:pPr>
              <w:autoSpaceDN w:val="0"/>
              <w:autoSpaceDE w:val="0"/>
              <w:widowControl/>
              <w:spacing w:line="233" w:lineRule="auto" w:before="40" w:after="0"/>
              <w:ind w:left="0" w:right="222" w:firstLine="0"/>
              <w:jc w:val="right"/>
            </w:pPr>
            <w:r>
              <w:rPr>
                <w:rFonts w:ascii="Arial" w:hAnsi="Arial" w:eastAsia="Arial"/>
                <w:b w:val="0"/>
                <w:i w:val="0"/>
                <w:color w:val="000000"/>
                <w:sz w:val="16"/>
              </w:rPr>
              <w:t>204,086</w:t>
            </w:r>
          </w:p>
        </w:tc>
      </w:tr>
      <w:tr>
        <w:trPr>
          <w:trHeight w:hRule="exact" w:val="400"/>
        </w:trPr>
        <w:tc>
          <w:tcPr>
            <w:tcW w:type="dxa" w:w="1502"/>
            <w:tcBorders>
              <w:top w:sz="4.0" w:val="single" w:color="#000000"/>
              <w:bottom w:sz="4.0" w:val="single" w:color="#000000"/>
            </w:tcBorders>
            <w:tcMar>
              <w:start w:w="0" w:type="dxa"/>
              <w:end w:w="0" w:type="dxa"/>
            </w:tcMar>
          </w:tcPr>
          <w:p>
            <w:pPr>
              <w:autoSpaceDN w:val="0"/>
              <w:autoSpaceDE w:val="0"/>
              <w:widowControl/>
              <w:spacing w:line="160" w:lineRule="exact" w:before="210" w:after="0"/>
              <w:ind w:left="198" w:right="0" w:firstLine="0"/>
              <w:jc w:val="left"/>
            </w:pPr>
            <w:r>
              <w:rPr>
                <w:rFonts w:ascii="黑体" w:hAnsi="黑体" w:eastAsia="黑体"/>
                <w:b w:val="0"/>
                <w:i w:val="0"/>
                <w:color w:val="000000"/>
                <w:sz w:val="16"/>
              </w:rPr>
              <w:t>年末余额</w:t>
            </w:r>
          </w:p>
        </w:tc>
        <w:tc>
          <w:tcPr>
            <w:tcW w:type="dxa" w:w="1272"/>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center"/>
            </w:pPr>
            <w:r>
              <w:rPr>
                <w:rFonts w:ascii="Arial" w:hAnsi="Arial" w:eastAsia="Arial"/>
                <w:b w:val="0"/>
                <w:i w:val="0"/>
                <w:color w:val="000000"/>
                <w:sz w:val="16"/>
              </w:rPr>
              <w:t xml:space="preserve">247,444,433 </w:t>
            </w:r>
          </w:p>
        </w:tc>
        <w:tc>
          <w:tcPr>
            <w:tcW w:type="dxa" w:w="1184"/>
            <w:tcBorders>
              <w:top w:sz="4.0" w:val="single" w:color="#000000"/>
              <w:bottom w:sz="4.0" w:val="single" w:color="#000000"/>
            </w:tcBorders>
            <w:tcMar>
              <w:start w:w="0" w:type="dxa"/>
              <w:end w:w="0" w:type="dxa"/>
            </w:tcMar>
          </w:tcPr>
          <w:p>
            <w:pPr>
              <w:autoSpaceDN w:val="0"/>
              <w:autoSpaceDE w:val="0"/>
              <w:widowControl/>
              <w:spacing w:line="230" w:lineRule="auto" w:before="210" w:after="0"/>
              <w:ind w:left="88" w:right="0" w:firstLine="0"/>
              <w:jc w:val="left"/>
            </w:pPr>
            <w:r>
              <w:rPr>
                <w:rFonts w:ascii="Arial" w:hAnsi="Arial" w:eastAsia="Arial"/>
                <w:b w:val="0"/>
                <w:i w:val="0"/>
                <w:color w:val="000000"/>
                <w:sz w:val="16"/>
              </w:rPr>
              <w:t>263,916,608</w:t>
            </w:r>
          </w:p>
        </w:tc>
        <w:tc>
          <w:tcPr>
            <w:tcW w:type="dxa" w:w="1002"/>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200" w:firstLine="0"/>
              <w:jc w:val="right"/>
            </w:pPr>
            <w:r>
              <w:rPr>
                <w:rFonts w:ascii="Arial" w:hAnsi="Arial" w:eastAsia="Arial"/>
                <w:b w:val="0"/>
                <w:i w:val="0"/>
                <w:color w:val="000000"/>
                <w:sz w:val="16"/>
              </w:rPr>
              <w:t>-</w:t>
            </w:r>
          </w:p>
        </w:tc>
        <w:tc>
          <w:tcPr>
            <w:tcW w:type="dxa" w:w="1450"/>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202" w:firstLine="0"/>
              <w:jc w:val="right"/>
            </w:pPr>
            <w:r>
              <w:rPr>
                <w:rFonts w:ascii="Arial" w:hAnsi="Arial" w:eastAsia="Arial"/>
                <w:b w:val="0"/>
                <w:i w:val="0"/>
                <w:color w:val="000000"/>
                <w:sz w:val="16"/>
              </w:rPr>
              <w:t>24,437,294</w:t>
            </w:r>
          </w:p>
        </w:tc>
        <w:tc>
          <w:tcPr>
            <w:tcW w:type="dxa" w:w="1092"/>
            <w:tcBorders>
              <w:top w:sz="4.0" w:val="single" w:color="#000000"/>
              <w:bottom w:sz="4.0" w:val="single" w:color="#000000"/>
            </w:tcBorders>
            <w:tcMar>
              <w:start w:w="0" w:type="dxa"/>
              <w:end w:w="0" w:type="dxa"/>
            </w:tcMar>
          </w:tcPr>
          <w:p>
            <w:pPr>
              <w:autoSpaceDN w:val="0"/>
              <w:autoSpaceDE w:val="0"/>
              <w:widowControl/>
              <w:spacing w:line="230" w:lineRule="auto" w:before="210" w:after="0"/>
              <w:ind w:left="0" w:right="0" w:firstLine="0"/>
              <w:jc w:val="center"/>
            </w:pPr>
            <w:r>
              <w:rPr>
                <w:rFonts w:ascii="Arial" w:hAnsi="Arial" w:eastAsia="Arial"/>
                <w:b w:val="0"/>
                <w:i w:val="0"/>
                <w:color w:val="000000"/>
                <w:sz w:val="16"/>
              </w:rPr>
              <w:t xml:space="preserve">39,411,226 </w:t>
            </w:r>
          </w:p>
        </w:tc>
        <w:tc>
          <w:tcPr>
            <w:tcW w:type="dxa" w:w="1238"/>
            <w:tcBorders>
              <w:top w:sz="4.0" w:val="single" w:color="#000000"/>
              <w:bottom w:sz="4.0" w:val="single" w:color="#000000"/>
            </w:tcBorders>
            <w:tcMar>
              <w:start w:w="0" w:type="dxa"/>
              <w:end w:w="0" w:type="dxa"/>
            </w:tcMar>
          </w:tcPr>
          <w:p>
            <w:pPr>
              <w:autoSpaceDN w:val="0"/>
              <w:autoSpaceDE w:val="0"/>
              <w:widowControl/>
              <w:spacing w:line="230" w:lineRule="auto" w:before="210" w:after="0"/>
              <w:ind w:left="126" w:right="0" w:firstLine="0"/>
              <w:jc w:val="left"/>
            </w:pPr>
            <w:r>
              <w:rPr>
                <w:rFonts w:ascii="Arial" w:hAnsi="Arial" w:eastAsia="Arial"/>
                <w:b w:val="0"/>
                <w:i w:val="0"/>
                <w:color w:val="000000"/>
                <w:sz w:val="16"/>
              </w:rPr>
              <w:t>575,209,561</w:t>
            </w:r>
          </w:p>
        </w:tc>
      </w:tr>
      <w:tr>
        <w:trPr>
          <w:trHeight w:hRule="exact" w:val="52"/>
        </w:trPr>
        <w:tc>
          <w:tcPr>
            <w:tcW w:type="dxa" w:w="1502"/>
            <w:tcBorders>
              <w:top w:sz="4.0" w:val="single" w:color="#000000"/>
            </w:tcBorders>
            <w:tcMar>
              <w:start w:w="0" w:type="dxa"/>
              <w:end w:w="0" w:type="dxa"/>
            </w:tcMar>
          </w:tcPr>
          <w:p/>
        </w:tc>
        <w:tc>
          <w:tcPr>
            <w:tcW w:type="dxa" w:w="1272"/>
            <w:tcBorders>
              <w:top w:sz="4.0" w:val="single" w:color="#000000"/>
            </w:tcBorders>
            <w:tcMar>
              <w:start w:w="0" w:type="dxa"/>
              <w:end w:w="0" w:type="dxa"/>
            </w:tcMar>
          </w:tcPr>
          <w:p/>
        </w:tc>
        <w:tc>
          <w:tcPr>
            <w:tcW w:type="dxa" w:w="1184"/>
            <w:tcBorders>
              <w:top w:sz="4.0" w:val="single" w:color="#000000"/>
            </w:tcBorders>
            <w:tcMar>
              <w:start w:w="0" w:type="dxa"/>
              <w:end w:w="0" w:type="dxa"/>
            </w:tcMar>
          </w:tcPr>
          <w:p/>
        </w:tc>
        <w:tc>
          <w:tcPr>
            <w:tcW w:type="dxa" w:w="1002"/>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092"/>
            <w:tcBorders>
              <w:top w:sz="4.0" w:val="single" w:color="#000000"/>
            </w:tcBorders>
            <w:tcMar>
              <w:start w:w="0" w:type="dxa"/>
              <w:end w:w="0" w:type="dxa"/>
            </w:tcMar>
          </w:tcPr>
          <w:p/>
        </w:tc>
        <w:tc>
          <w:tcPr>
            <w:tcW w:type="dxa" w:w="1238"/>
            <w:tcBorders>
              <w:top w:sz="4.0" w:val="single" w:color="#000000"/>
            </w:tcBorders>
            <w:tcMar>
              <w:start w:w="0" w:type="dxa"/>
              <w:end w:w="0" w:type="dxa"/>
            </w:tcMar>
          </w:tcPr>
          <w:p/>
        </w:tc>
      </w:tr>
    </w:tbl>
    <w:p>
      <w:pPr>
        <w:autoSpaceDN w:val="0"/>
        <w:autoSpaceDE w:val="0"/>
        <w:widowControl/>
        <w:spacing w:line="160" w:lineRule="exact" w:before="182" w:after="24"/>
        <w:ind w:left="358" w:right="0" w:firstLine="0"/>
        <w:jc w:val="left"/>
      </w:pPr>
      <w:r>
        <w:rPr>
          <w:rFonts w:ascii="黑体" w:hAnsi="黑体" w:eastAsia="黑体"/>
          <w:b w:val="0"/>
          <w:i w:val="0"/>
          <w:color w:val="000000"/>
          <w:sz w:val="16"/>
        </w:rPr>
        <w:t>账面价值</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12"/>
        </w:trPr>
        <w:tc>
          <w:tcPr>
            <w:tcW w:type="dxa" w:w="1502"/>
            <w:tcBorders>
              <w:bottom w:sz="4.0" w:val="single" w:color="#000000"/>
            </w:tcBorders>
            <w:tcMar>
              <w:start w:w="0" w:type="dxa"/>
              <w:end w:w="0" w:type="dxa"/>
            </w:tcMar>
          </w:tcPr>
          <w:p>
            <w:pPr>
              <w:autoSpaceDN w:val="0"/>
              <w:autoSpaceDE w:val="0"/>
              <w:widowControl/>
              <w:spacing w:line="160" w:lineRule="exact" w:before="24" w:after="0"/>
              <w:ind w:left="198" w:right="0" w:firstLine="0"/>
              <w:jc w:val="left"/>
            </w:pPr>
            <w:r>
              <w:rPr>
                <w:rFonts w:ascii="黑体" w:hAnsi="黑体" w:eastAsia="黑体"/>
                <w:b w:val="0"/>
                <w:i w:val="0"/>
                <w:color w:val="000000"/>
                <w:sz w:val="16"/>
              </w:rPr>
              <w:t>年末</w:t>
            </w:r>
          </w:p>
        </w:tc>
        <w:tc>
          <w:tcPr>
            <w:tcW w:type="dxa" w:w="1272"/>
            <w:tcBorders>
              <w:bottom w:sz="4.0" w:val="single" w:color="#0000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6"/>
              </w:rPr>
              <w:t xml:space="preserve">212,124,882 </w:t>
            </w:r>
          </w:p>
        </w:tc>
        <w:tc>
          <w:tcPr>
            <w:tcW w:type="dxa" w:w="982"/>
            <w:tcBorders>
              <w:bottom w:sz="4.0" w:val="single" w:color="#000000"/>
            </w:tcBorders>
            <w:tcMar>
              <w:start w:w="0" w:type="dxa"/>
              <w:end w:w="0" w:type="dxa"/>
            </w:tcMar>
          </w:tcPr>
          <w:p>
            <w:pPr>
              <w:autoSpaceDN w:val="0"/>
              <w:autoSpaceDE w:val="0"/>
              <w:widowControl/>
              <w:spacing w:line="233" w:lineRule="auto" w:before="26" w:after="0"/>
              <w:ind w:left="88" w:right="0" w:firstLine="0"/>
              <w:jc w:val="left"/>
            </w:pPr>
            <w:r>
              <w:rPr>
                <w:rFonts w:ascii="Arial" w:hAnsi="Arial" w:eastAsia="Arial"/>
                <w:b w:val="0"/>
                <w:i w:val="0"/>
                <w:color w:val="000000"/>
                <w:sz w:val="16"/>
              </w:rPr>
              <w:t>149,944,061</w:t>
            </w:r>
          </w:p>
        </w:tc>
        <w:tc>
          <w:tcPr>
            <w:tcW w:type="dxa" w:w="1002"/>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w:t>
            </w:r>
          </w:p>
        </w:tc>
        <w:tc>
          <w:tcPr>
            <w:tcW w:type="dxa" w:w="144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9,915,127</w:t>
            </w:r>
          </w:p>
        </w:tc>
        <w:tc>
          <w:tcPr>
            <w:tcW w:type="dxa" w:w="1296"/>
            <w:tcBorders>
              <w:bottom w:sz="4.0" w:val="single" w:color="#000000"/>
            </w:tcBorders>
            <w:tcMar>
              <w:start w:w="0" w:type="dxa"/>
              <w:end w:w="0" w:type="dxa"/>
            </w:tcMar>
          </w:tcPr>
          <w:p>
            <w:pPr>
              <w:autoSpaceDN w:val="0"/>
              <w:autoSpaceDE w:val="0"/>
              <w:widowControl/>
              <w:spacing w:line="233" w:lineRule="auto" w:before="26" w:after="0"/>
              <w:ind w:left="290" w:right="0" w:firstLine="0"/>
              <w:jc w:val="left"/>
            </w:pPr>
            <w:r>
              <w:rPr>
                <w:rFonts w:ascii="Arial" w:hAnsi="Arial" w:eastAsia="Arial"/>
                <w:b w:val="0"/>
                <w:i w:val="0"/>
                <w:color w:val="000000"/>
                <w:sz w:val="16"/>
              </w:rPr>
              <w:t xml:space="preserve">14,714,417 </w:t>
            </w:r>
          </w:p>
        </w:tc>
        <w:tc>
          <w:tcPr>
            <w:tcW w:type="dxa" w:w="1016"/>
            <w:tcBorders>
              <w:bottom w:sz="4.0" w:val="single" w:color="#000000"/>
            </w:tcBorders>
            <w:tcMar>
              <w:start w:w="0" w:type="dxa"/>
              <w:end w:w="0" w:type="dxa"/>
            </w:tcMar>
          </w:tcPr>
          <w:p>
            <w:pPr>
              <w:autoSpaceDN w:val="0"/>
              <w:autoSpaceDE w:val="0"/>
              <w:widowControl/>
              <w:spacing w:line="233" w:lineRule="auto" w:before="26" w:after="0"/>
              <w:ind w:left="126" w:right="0" w:firstLine="0"/>
              <w:jc w:val="left"/>
            </w:pPr>
            <w:r>
              <w:rPr>
                <w:rFonts w:ascii="Arial" w:hAnsi="Arial" w:eastAsia="Arial"/>
                <w:b w:val="0"/>
                <w:i w:val="0"/>
                <w:color w:val="000000"/>
                <w:sz w:val="16"/>
              </w:rPr>
              <w:t>386,698,487</w:t>
            </w:r>
          </w:p>
        </w:tc>
      </w:tr>
      <w:tr>
        <w:trPr>
          <w:trHeight w:hRule="exact" w:val="424"/>
        </w:trPr>
        <w:tc>
          <w:tcPr>
            <w:tcW w:type="dxa" w:w="1502"/>
            <w:tcBorders>
              <w:top w:sz="4.0" w:val="single" w:color="#000000"/>
              <w:bottom w:sz="4.0" w:val="single" w:color="#000000"/>
            </w:tcBorders>
            <w:tcMar>
              <w:start w:w="0" w:type="dxa"/>
              <w:end w:w="0" w:type="dxa"/>
            </w:tcMar>
          </w:tcPr>
          <w:p>
            <w:pPr>
              <w:autoSpaceDN w:val="0"/>
              <w:autoSpaceDE w:val="0"/>
              <w:widowControl/>
              <w:spacing w:line="162" w:lineRule="exact" w:before="228" w:after="0"/>
              <w:ind w:left="198" w:right="0" w:firstLine="0"/>
              <w:jc w:val="left"/>
            </w:pPr>
            <w:r>
              <w:rPr>
                <w:rFonts w:ascii="黑体" w:hAnsi="黑体" w:eastAsia="黑体"/>
                <w:b w:val="0"/>
                <w:i w:val="0"/>
                <w:color w:val="000000"/>
                <w:sz w:val="16"/>
              </w:rPr>
              <w:t>年初</w:t>
            </w:r>
          </w:p>
        </w:tc>
        <w:tc>
          <w:tcPr>
            <w:tcW w:type="dxa" w:w="1272"/>
            <w:tcBorders>
              <w:top w:sz="4.0" w:val="single" w:color="#000000"/>
              <w:bottom w:sz="4.0" w:val="single" w:color="#000000"/>
            </w:tcBorders>
            <w:tcMar>
              <w:start w:w="0" w:type="dxa"/>
              <w:end w:w="0" w:type="dxa"/>
            </w:tcMar>
          </w:tcPr>
          <w:p>
            <w:pPr>
              <w:autoSpaceDN w:val="0"/>
              <w:autoSpaceDE w:val="0"/>
              <w:widowControl/>
              <w:spacing w:line="233" w:lineRule="auto" w:before="230" w:after="0"/>
              <w:ind w:left="0" w:right="0" w:firstLine="0"/>
              <w:jc w:val="center"/>
            </w:pPr>
            <w:r>
              <w:rPr>
                <w:rFonts w:ascii="Arial" w:hAnsi="Arial" w:eastAsia="Arial"/>
                <w:b w:val="0"/>
                <w:i w:val="0"/>
                <w:color w:val="000000"/>
                <w:sz w:val="16"/>
              </w:rPr>
              <w:t xml:space="preserve">228,047,565 </w:t>
            </w:r>
          </w:p>
        </w:tc>
        <w:tc>
          <w:tcPr>
            <w:tcW w:type="dxa" w:w="982"/>
            <w:tcBorders>
              <w:top w:sz="4.0" w:val="single" w:color="#000000"/>
              <w:bottom w:sz="4.0" w:val="single" w:color="#000000"/>
            </w:tcBorders>
            <w:tcMar>
              <w:start w:w="0" w:type="dxa"/>
              <w:end w:w="0" w:type="dxa"/>
            </w:tcMar>
          </w:tcPr>
          <w:p>
            <w:pPr>
              <w:autoSpaceDN w:val="0"/>
              <w:autoSpaceDE w:val="0"/>
              <w:widowControl/>
              <w:spacing w:line="233" w:lineRule="auto" w:before="230" w:after="0"/>
              <w:ind w:left="88" w:right="0" w:firstLine="0"/>
              <w:jc w:val="left"/>
            </w:pPr>
            <w:r>
              <w:rPr>
                <w:rFonts w:ascii="Arial" w:hAnsi="Arial" w:eastAsia="Arial"/>
                <w:b w:val="0"/>
                <w:i w:val="0"/>
                <w:color w:val="000000"/>
                <w:sz w:val="16"/>
              </w:rPr>
              <w:t>130,317,395</w:t>
            </w:r>
          </w:p>
        </w:tc>
        <w:tc>
          <w:tcPr>
            <w:tcW w:type="dxa" w:w="1002"/>
            <w:tcBorders>
              <w:top w:sz="4.0" w:val="single" w:color="#000000"/>
              <w:bottom w:sz="4.0" w:val="single" w:color="#000000"/>
            </w:tcBorders>
            <w:tcMar>
              <w:start w:w="0" w:type="dxa"/>
              <w:end w:w="0" w:type="dxa"/>
            </w:tcMar>
          </w:tcPr>
          <w:p>
            <w:pPr>
              <w:autoSpaceDN w:val="0"/>
              <w:autoSpaceDE w:val="0"/>
              <w:widowControl/>
              <w:spacing w:line="233" w:lineRule="auto" w:before="230" w:after="0"/>
              <w:ind w:left="0" w:right="0" w:firstLine="0"/>
              <w:jc w:val="right"/>
            </w:pPr>
            <w:r>
              <w:rPr>
                <w:rFonts w:ascii="Arial" w:hAnsi="Arial" w:eastAsia="Arial"/>
                <w:b w:val="0"/>
                <w:i w:val="0"/>
                <w:color w:val="000000"/>
                <w:sz w:val="16"/>
              </w:rPr>
              <w:t>17,761</w:t>
            </w:r>
          </w:p>
        </w:tc>
        <w:tc>
          <w:tcPr>
            <w:tcW w:type="dxa" w:w="1448"/>
            <w:tcBorders>
              <w:top w:sz="4.0" w:val="single" w:color="#000000"/>
              <w:bottom w:sz="4.0" w:val="single" w:color="#000000"/>
            </w:tcBorders>
            <w:tcMar>
              <w:start w:w="0" w:type="dxa"/>
              <w:end w:w="0" w:type="dxa"/>
            </w:tcMar>
          </w:tcPr>
          <w:p>
            <w:pPr>
              <w:autoSpaceDN w:val="0"/>
              <w:autoSpaceDE w:val="0"/>
              <w:widowControl/>
              <w:spacing w:line="233" w:lineRule="auto" w:before="230" w:after="0"/>
              <w:ind w:left="0" w:right="0" w:firstLine="0"/>
              <w:jc w:val="right"/>
            </w:pPr>
            <w:r>
              <w:rPr>
                <w:rFonts w:ascii="Arial" w:hAnsi="Arial" w:eastAsia="Arial"/>
                <w:b w:val="0"/>
                <w:i w:val="0"/>
                <w:color w:val="000000"/>
                <w:sz w:val="16"/>
              </w:rPr>
              <w:t>11,684,195</w:t>
            </w:r>
          </w:p>
        </w:tc>
        <w:tc>
          <w:tcPr>
            <w:tcW w:type="dxa" w:w="1296"/>
            <w:tcBorders>
              <w:top w:sz="4.0" w:val="single" w:color="#000000"/>
              <w:bottom w:sz="4.0" w:val="single" w:color="#000000"/>
            </w:tcBorders>
            <w:tcMar>
              <w:start w:w="0" w:type="dxa"/>
              <w:end w:w="0" w:type="dxa"/>
            </w:tcMar>
          </w:tcPr>
          <w:p>
            <w:pPr>
              <w:autoSpaceDN w:val="0"/>
              <w:autoSpaceDE w:val="0"/>
              <w:widowControl/>
              <w:spacing w:line="233" w:lineRule="auto" w:before="230" w:after="0"/>
              <w:ind w:left="290" w:right="0" w:firstLine="0"/>
              <w:jc w:val="left"/>
            </w:pPr>
            <w:r>
              <w:rPr>
                <w:rFonts w:ascii="Arial" w:hAnsi="Arial" w:eastAsia="Arial"/>
                <w:b w:val="0"/>
                <w:i w:val="0"/>
                <w:color w:val="000000"/>
                <w:sz w:val="16"/>
              </w:rPr>
              <w:t xml:space="preserve">16,767,109 </w:t>
            </w:r>
          </w:p>
        </w:tc>
        <w:tc>
          <w:tcPr>
            <w:tcW w:type="dxa" w:w="1016"/>
            <w:tcBorders>
              <w:top w:sz="4.0" w:val="single" w:color="#000000"/>
              <w:bottom w:sz="4.0" w:val="single" w:color="#000000"/>
            </w:tcBorders>
            <w:tcMar>
              <w:start w:w="0" w:type="dxa"/>
              <w:end w:w="0" w:type="dxa"/>
            </w:tcMar>
          </w:tcPr>
          <w:p>
            <w:pPr>
              <w:autoSpaceDN w:val="0"/>
              <w:autoSpaceDE w:val="0"/>
              <w:widowControl/>
              <w:spacing w:line="233" w:lineRule="auto" w:before="230" w:after="0"/>
              <w:ind w:left="126" w:right="0" w:firstLine="0"/>
              <w:jc w:val="left"/>
            </w:pPr>
            <w:r>
              <w:rPr>
                <w:rFonts w:ascii="Arial" w:hAnsi="Arial" w:eastAsia="Arial"/>
                <w:b w:val="0"/>
                <w:i w:val="0"/>
                <w:color w:val="000000"/>
                <w:sz w:val="16"/>
              </w:rPr>
              <w:t>386,834,025</w:t>
            </w:r>
          </w:p>
        </w:tc>
      </w:tr>
    </w:tbl>
    <w:p>
      <w:pPr>
        <w:autoSpaceDN w:val="0"/>
        <w:autoSpaceDE w:val="0"/>
        <w:widowControl/>
        <w:spacing w:line="246" w:lineRule="exact" w:before="296" w:after="236"/>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日，固定资产中包括：</w:t>
      </w:r>
    </w:p>
    <w:tbl>
      <w:tblPr>
        <w:tblW w:type="auto" w:w="0"/>
        <w:tblLayout w:type="fixed"/>
        <w:tblLook w:firstColumn="1" w:firstRow="1" w:lastColumn="0" w:lastRow="0" w:noHBand="0" w:noVBand="1" w:val="04A0"/>
        <w:tblInd w:w="2046.0000000000002" w:type="dxa"/>
      </w:tblPr>
      <w:tblGrid>
        <w:gridCol w:w="1504"/>
        <w:gridCol w:w="1504"/>
        <w:gridCol w:w="1504"/>
        <w:gridCol w:w="1504"/>
        <w:gridCol w:w="1504"/>
        <w:gridCol w:w="1504"/>
      </w:tblGrid>
      <w:tr>
        <w:trPr>
          <w:trHeight w:hRule="exact" w:val="226"/>
        </w:trPr>
        <w:tc>
          <w:tcPr>
            <w:tcW w:type="dxa" w:w="960"/>
            <w:tcBorders>
              <w:bottom w:sz="3.199999999999818" w:val="single" w:color="#000000"/>
            </w:tcBorders>
            <w:tcMar>
              <w:start w:w="0" w:type="dxa"/>
              <w:end w:w="0" w:type="dxa"/>
            </w:tcMar>
          </w:tcPr>
          <w:p>
            <w:pPr>
              <w:autoSpaceDN w:val="0"/>
              <w:autoSpaceDE w:val="0"/>
              <w:widowControl/>
              <w:spacing w:line="160" w:lineRule="exact" w:before="60" w:after="0"/>
              <w:ind w:left="0" w:right="0" w:firstLine="0"/>
              <w:jc w:val="center"/>
            </w:pPr>
            <w:r>
              <w:rPr>
                <w:rFonts w:ascii="黑体" w:hAnsi="黑体" w:eastAsia="黑体"/>
                <w:b w:val="0"/>
                <w:i w:val="0"/>
                <w:color w:val="000000"/>
                <w:sz w:val="16"/>
              </w:rPr>
              <w:t>房屋及建筑物</w:t>
            </w:r>
          </w:p>
        </w:tc>
        <w:tc>
          <w:tcPr>
            <w:tcW w:type="dxa" w:w="1078"/>
            <w:tcBorders>
              <w:bottom w:sz="3.199999999999818" w:val="single" w:color="#000000"/>
            </w:tcBorders>
            <w:tcMar>
              <w:start w:w="0" w:type="dxa"/>
              <w:end w:w="0" w:type="dxa"/>
            </w:tcMar>
          </w:tcPr>
          <w:p>
            <w:pPr>
              <w:autoSpaceDN w:val="0"/>
              <w:autoSpaceDE w:val="0"/>
              <w:widowControl/>
              <w:spacing w:line="160" w:lineRule="exact" w:before="60" w:after="0"/>
              <w:ind w:left="0" w:right="0" w:firstLine="0"/>
              <w:jc w:val="right"/>
            </w:pPr>
            <w:r>
              <w:rPr>
                <w:rFonts w:ascii="黑体" w:hAnsi="黑体" w:eastAsia="黑体"/>
                <w:b w:val="0"/>
                <w:i w:val="0"/>
                <w:color w:val="000000"/>
                <w:sz w:val="16"/>
              </w:rPr>
              <w:t>电子计算机</w:t>
            </w:r>
          </w:p>
        </w:tc>
        <w:tc>
          <w:tcPr>
            <w:tcW w:type="dxa" w:w="962"/>
            <w:tcBorders>
              <w:bottom w:sz="3.199999999999818" w:val="single" w:color="#000000"/>
            </w:tcBorders>
            <w:tcMar>
              <w:start w:w="0" w:type="dxa"/>
              <w:end w:w="0" w:type="dxa"/>
            </w:tcMar>
          </w:tcPr>
          <w:p>
            <w:pPr>
              <w:autoSpaceDN w:val="0"/>
              <w:autoSpaceDE w:val="0"/>
              <w:widowControl/>
              <w:spacing w:line="160" w:lineRule="exact" w:before="60" w:after="0"/>
              <w:ind w:left="0" w:right="0" w:firstLine="0"/>
              <w:jc w:val="right"/>
            </w:pPr>
            <w:r>
              <w:rPr>
                <w:rFonts w:ascii="黑体" w:hAnsi="黑体" w:eastAsia="黑体"/>
                <w:b w:val="0"/>
                <w:i w:val="0"/>
                <w:color w:val="000000"/>
                <w:sz w:val="16"/>
              </w:rPr>
              <w:t>交通设备</w:t>
            </w:r>
          </w:p>
        </w:tc>
        <w:tc>
          <w:tcPr>
            <w:tcW w:type="dxa" w:w="1364"/>
            <w:tcBorders>
              <w:bottom w:sz="3.199999999999818" w:val="single" w:color="#000000"/>
            </w:tcBorders>
            <w:tcMar>
              <w:start w:w="0" w:type="dxa"/>
              <w:end w:w="0" w:type="dxa"/>
            </w:tcMar>
          </w:tcPr>
          <w:p>
            <w:pPr>
              <w:autoSpaceDN w:val="0"/>
              <w:autoSpaceDE w:val="0"/>
              <w:widowControl/>
              <w:spacing w:line="160" w:lineRule="exact" w:before="60" w:after="0"/>
              <w:ind w:left="242" w:right="0" w:firstLine="0"/>
              <w:jc w:val="left"/>
            </w:pPr>
            <w:r>
              <w:rPr>
                <w:rFonts w:ascii="黑体" w:hAnsi="黑体" w:eastAsia="黑体"/>
                <w:b w:val="0"/>
                <w:i w:val="0"/>
                <w:color w:val="000000"/>
                <w:sz w:val="16"/>
              </w:rPr>
              <w:t>电器及通讯设备</w:t>
            </w:r>
          </w:p>
        </w:tc>
        <w:tc>
          <w:tcPr>
            <w:tcW w:type="dxa" w:w="1020"/>
            <w:tcBorders>
              <w:bottom w:sz="3.199999999999818" w:val="single" w:color="#000000"/>
            </w:tcBorders>
            <w:tcMar>
              <w:start w:w="0" w:type="dxa"/>
              <w:end w:w="0" w:type="dxa"/>
            </w:tcMar>
          </w:tcPr>
          <w:p>
            <w:pPr>
              <w:autoSpaceDN w:val="0"/>
              <w:autoSpaceDE w:val="0"/>
              <w:widowControl/>
              <w:spacing w:line="160" w:lineRule="exact" w:before="60" w:after="0"/>
              <w:ind w:left="0" w:right="0" w:firstLine="0"/>
              <w:jc w:val="right"/>
            </w:pPr>
            <w:r>
              <w:rPr>
                <w:rFonts w:ascii="黑体" w:hAnsi="黑体" w:eastAsia="黑体"/>
                <w:b w:val="0"/>
                <w:i w:val="0"/>
                <w:color w:val="000000"/>
                <w:sz w:val="16"/>
              </w:rPr>
              <w:t>办公设备</w:t>
            </w:r>
          </w:p>
        </w:tc>
        <w:tc>
          <w:tcPr>
            <w:tcW w:type="dxa" w:w="1248"/>
            <w:tcBorders>
              <w:bottom w:sz="3.199999999999818" w:val="single" w:color="#000000"/>
            </w:tcBorders>
            <w:tcMar>
              <w:start w:w="0" w:type="dxa"/>
              <w:end w:w="0" w:type="dxa"/>
            </w:tcMar>
          </w:tcPr>
          <w:p>
            <w:pPr>
              <w:autoSpaceDN w:val="0"/>
              <w:autoSpaceDE w:val="0"/>
              <w:widowControl/>
              <w:spacing w:line="160" w:lineRule="exact" w:before="60" w:after="0"/>
              <w:ind w:left="0" w:right="0" w:firstLine="0"/>
              <w:jc w:val="right"/>
            </w:pPr>
            <w:r>
              <w:rPr>
                <w:rFonts w:ascii="黑体" w:hAnsi="黑体" w:eastAsia="黑体"/>
                <w:b w:val="0"/>
                <w:i w:val="0"/>
                <w:color w:val="000000"/>
                <w:sz w:val="16"/>
              </w:rPr>
              <w:t>合计</w:t>
            </w:r>
          </w:p>
        </w:tc>
      </w:tr>
    </w:tbl>
    <w:p>
      <w:pPr>
        <w:autoSpaceDN w:val="0"/>
        <w:autoSpaceDE w:val="0"/>
        <w:widowControl/>
        <w:spacing w:line="160" w:lineRule="exact" w:before="226" w:after="24"/>
        <w:ind w:left="358" w:right="0" w:firstLine="0"/>
        <w:jc w:val="left"/>
      </w:pPr>
      <w:r>
        <w:rPr>
          <w:rFonts w:ascii="黑体" w:hAnsi="黑体" w:eastAsia="黑体"/>
          <w:b w:val="0"/>
          <w:i w:val="0"/>
          <w:color w:val="000000"/>
          <w:sz w:val="16"/>
        </w:rPr>
        <w:t>以经营租赁租出的资</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216"/>
        </w:trPr>
        <w:tc>
          <w:tcPr>
            <w:tcW w:type="dxa" w:w="1360"/>
            <w:tcBorders/>
            <w:tcMar>
              <w:start w:w="0" w:type="dxa"/>
              <w:end w:w="0" w:type="dxa"/>
            </w:tcMar>
          </w:tcPr>
          <w:p>
            <w:pPr>
              <w:autoSpaceDN w:val="0"/>
              <w:autoSpaceDE w:val="0"/>
              <w:widowControl/>
              <w:spacing w:line="160" w:lineRule="exact" w:before="24" w:after="0"/>
              <w:ind w:left="278" w:right="0" w:firstLine="0"/>
              <w:jc w:val="left"/>
            </w:pPr>
            <w:r>
              <w:rPr>
                <w:rFonts w:ascii="黑体" w:hAnsi="黑体" w:eastAsia="黑体"/>
                <w:b w:val="0"/>
                <w:i w:val="0"/>
                <w:color w:val="000000"/>
                <w:sz w:val="16"/>
              </w:rPr>
              <w:t>产净值</w:t>
            </w:r>
          </w:p>
        </w:tc>
        <w:tc>
          <w:tcPr>
            <w:tcW w:type="dxa" w:w="1900"/>
            <w:tcBorders/>
            <w:tcMar>
              <w:start w:w="0" w:type="dxa"/>
              <w:end w:w="0" w:type="dxa"/>
            </w:tcMar>
          </w:tcPr>
          <w:p>
            <w:pPr>
              <w:autoSpaceDN w:val="0"/>
              <w:autoSpaceDE w:val="0"/>
              <w:widowControl/>
              <w:spacing w:line="233" w:lineRule="auto" w:before="24" w:after="0"/>
              <w:ind w:left="0" w:right="494" w:firstLine="0"/>
              <w:jc w:val="right"/>
            </w:pPr>
            <w:r>
              <w:rPr>
                <w:rFonts w:ascii="Arial" w:hAnsi="Arial" w:eastAsia="Arial"/>
                <w:b w:val="0"/>
                <w:i w:val="0"/>
                <w:color w:val="000000"/>
                <w:sz w:val="16"/>
              </w:rPr>
              <w:t>43,068,728</w:t>
            </w:r>
          </w:p>
        </w:tc>
        <w:tc>
          <w:tcPr>
            <w:tcW w:type="dxa" w:w="1020"/>
            <w:tcBorders/>
            <w:tcMar>
              <w:start w:w="0" w:type="dxa"/>
              <w:end w:w="0" w:type="dxa"/>
            </w:tcMar>
          </w:tcPr>
          <w:p>
            <w:pPr>
              <w:autoSpaceDN w:val="0"/>
              <w:autoSpaceDE w:val="0"/>
              <w:widowControl/>
              <w:spacing w:line="233" w:lineRule="auto" w:before="24" w:after="0"/>
              <w:ind w:left="0" w:right="436" w:firstLine="0"/>
              <w:jc w:val="right"/>
            </w:pPr>
            <w:r>
              <w:rPr>
                <w:rFonts w:ascii="Arial" w:hAnsi="Arial" w:eastAsia="Arial"/>
                <w:b w:val="0"/>
                <w:i w:val="0"/>
                <w:color w:val="000000"/>
                <w:sz w:val="16"/>
              </w:rPr>
              <w:t>-</w:t>
            </w:r>
          </w:p>
        </w:tc>
        <w:tc>
          <w:tcPr>
            <w:tcW w:type="dxa" w:w="1200"/>
            <w:tcBorders/>
            <w:tcMar>
              <w:start w:w="0" w:type="dxa"/>
              <w:end w:w="0" w:type="dxa"/>
            </w:tcMar>
          </w:tcPr>
          <w:p>
            <w:pPr>
              <w:autoSpaceDN w:val="0"/>
              <w:autoSpaceDE w:val="0"/>
              <w:widowControl/>
              <w:spacing w:line="233" w:lineRule="auto" w:before="24" w:after="0"/>
              <w:ind w:left="0" w:right="630" w:firstLine="0"/>
              <w:jc w:val="right"/>
            </w:pPr>
            <w:r>
              <w:rPr>
                <w:rFonts w:ascii="Arial" w:hAnsi="Arial" w:eastAsia="Arial"/>
                <w:b w:val="0"/>
                <w:i w:val="0"/>
                <w:color w:val="000000"/>
                <w:sz w:val="16"/>
              </w:rPr>
              <w:t xml:space="preserve">- </w:t>
            </w:r>
          </w:p>
        </w:tc>
        <w:tc>
          <w:tcPr>
            <w:tcW w:type="dxa" w:w="1160"/>
            <w:tcBorders/>
            <w:tcMar>
              <w:start w:w="0" w:type="dxa"/>
              <w:end w:w="0" w:type="dxa"/>
            </w:tcMar>
          </w:tcPr>
          <w:p>
            <w:pPr>
              <w:autoSpaceDN w:val="0"/>
              <w:autoSpaceDE w:val="0"/>
              <w:widowControl/>
              <w:spacing w:line="233" w:lineRule="auto" w:before="24" w:after="0"/>
              <w:ind w:left="0" w:right="470" w:firstLine="0"/>
              <w:jc w:val="right"/>
            </w:pPr>
            <w:r>
              <w:rPr>
                <w:rFonts w:ascii="Arial" w:hAnsi="Arial" w:eastAsia="Arial"/>
                <w:b w:val="0"/>
                <w:i w:val="0"/>
                <w:color w:val="000000"/>
                <w:sz w:val="16"/>
              </w:rPr>
              <w:t>-</w:t>
            </w:r>
          </w:p>
        </w:tc>
        <w:tc>
          <w:tcPr>
            <w:tcW w:type="dxa" w:w="760"/>
            <w:tcBorders/>
            <w:tcMar>
              <w:start w:w="0" w:type="dxa"/>
              <w:end w:w="0" w:type="dxa"/>
            </w:tcMar>
          </w:tcPr>
          <w:p>
            <w:pPr>
              <w:autoSpaceDN w:val="0"/>
              <w:autoSpaceDE w:val="0"/>
              <w:widowControl/>
              <w:spacing w:line="233" w:lineRule="auto" w:before="24" w:after="0"/>
              <w:ind w:left="0" w:right="210" w:firstLine="0"/>
              <w:jc w:val="right"/>
            </w:pPr>
            <w:r>
              <w:rPr>
                <w:rFonts w:ascii="Arial" w:hAnsi="Arial" w:eastAsia="Arial"/>
                <w:b w:val="0"/>
                <w:i w:val="0"/>
                <w:color w:val="000000"/>
                <w:sz w:val="16"/>
              </w:rPr>
              <w:t>-</w:t>
            </w:r>
          </w:p>
        </w:tc>
        <w:tc>
          <w:tcPr>
            <w:tcW w:type="dxa" w:w="120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6"/>
              </w:rPr>
              <w:t>43,068,728</w:t>
            </w:r>
          </w:p>
        </w:tc>
      </w:tr>
    </w:tbl>
    <w:p>
      <w:pPr>
        <w:autoSpaceDN w:val="0"/>
        <w:autoSpaceDE w:val="0"/>
        <w:widowControl/>
        <w:spacing w:line="162" w:lineRule="exact" w:before="14" w:after="22"/>
        <w:ind w:left="358" w:right="0" w:firstLine="0"/>
        <w:jc w:val="left"/>
      </w:pPr>
      <w:r>
        <w:rPr>
          <w:rFonts w:ascii="黑体" w:hAnsi="黑体" w:eastAsia="黑体"/>
          <w:b w:val="0"/>
          <w:i w:val="0"/>
          <w:color w:val="000000"/>
          <w:sz w:val="16"/>
        </w:rPr>
        <w:t>尚未办妥房屋产权证</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218"/>
        </w:trPr>
        <w:tc>
          <w:tcPr>
            <w:tcW w:type="dxa" w:w="1520"/>
            <w:tcBorders/>
            <w:tcMar>
              <w:start w:w="0" w:type="dxa"/>
              <w:end w:w="0" w:type="dxa"/>
            </w:tcMar>
          </w:tcPr>
          <w:p>
            <w:pPr>
              <w:autoSpaceDN w:val="0"/>
              <w:autoSpaceDE w:val="0"/>
              <w:widowControl/>
              <w:spacing w:line="162" w:lineRule="exact" w:before="22" w:after="0"/>
              <w:ind w:left="278" w:right="0" w:firstLine="0"/>
              <w:jc w:val="left"/>
            </w:pPr>
            <w:r>
              <w:rPr>
                <w:rFonts w:ascii="黑体" w:hAnsi="黑体" w:eastAsia="黑体"/>
                <w:b w:val="0"/>
                <w:i w:val="0"/>
                <w:color w:val="000000"/>
                <w:sz w:val="16"/>
              </w:rPr>
              <w:t>的资产净值</w:t>
            </w:r>
          </w:p>
        </w:tc>
        <w:tc>
          <w:tcPr>
            <w:tcW w:type="dxa" w:w="174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6"/>
              </w:rPr>
              <w:t>22,031,111</w:t>
            </w:r>
          </w:p>
        </w:tc>
        <w:tc>
          <w:tcPr>
            <w:tcW w:type="dxa" w:w="1020"/>
            <w:tcBorders/>
            <w:tcMar>
              <w:start w:w="0" w:type="dxa"/>
              <w:end w:w="0" w:type="dxa"/>
            </w:tcMar>
          </w:tcPr>
          <w:p>
            <w:pPr>
              <w:autoSpaceDN w:val="0"/>
              <w:autoSpaceDE w:val="0"/>
              <w:widowControl/>
              <w:spacing w:line="230" w:lineRule="auto" w:before="26" w:after="0"/>
              <w:ind w:left="0" w:right="436" w:firstLine="0"/>
              <w:jc w:val="right"/>
            </w:pPr>
            <w:r>
              <w:rPr>
                <w:rFonts w:ascii="Arial" w:hAnsi="Arial" w:eastAsia="Arial"/>
                <w:b w:val="0"/>
                <w:i w:val="0"/>
                <w:color w:val="000000"/>
                <w:sz w:val="16"/>
              </w:rPr>
              <w:t>-</w:t>
            </w:r>
          </w:p>
        </w:tc>
        <w:tc>
          <w:tcPr>
            <w:tcW w:type="dxa" w:w="1200"/>
            <w:tcBorders/>
            <w:tcMar>
              <w:start w:w="0" w:type="dxa"/>
              <w:end w:w="0" w:type="dxa"/>
            </w:tcMar>
          </w:tcPr>
          <w:p>
            <w:pPr>
              <w:autoSpaceDN w:val="0"/>
              <w:autoSpaceDE w:val="0"/>
              <w:widowControl/>
              <w:spacing w:line="230" w:lineRule="auto" w:before="26" w:after="0"/>
              <w:ind w:left="0" w:right="630" w:firstLine="0"/>
              <w:jc w:val="right"/>
            </w:pPr>
            <w:r>
              <w:rPr>
                <w:rFonts w:ascii="Arial" w:hAnsi="Arial" w:eastAsia="Arial"/>
                <w:b w:val="0"/>
                <w:i w:val="0"/>
                <w:color w:val="000000"/>
                <w:sz w:val="16"/>
              </w:rPr>
              <w:t xml:space="preserve">- </w:t>
            </w:r>
          </w:p>
        </w:tc>
        <w:tc>
          <w:tcPr>
            <w:tcW w:type="dxa" w:w="1160"/>
            <w:tcBorders/>
            <w:tcMar>
              <w:start w:w="0" w:type="dxa"/>
              <w:end w:w="0" w:type="dxa"/>
            </w:tcMar>
          </w:tcPr>
          <w:p>
            <w:pPr>
              <w:autoSpaceDN w:val="0"/>
              <w:autoSpaceDE w:val="0"/>
              <w:widowControl/>
              <w:spacing w:line="230" w:lineRule="auto" w:before="26" w:after="0"/>
              <w:ind w:left="0" w:right="470" w:firstLine="0"/>
              <w:jc w:val="right"/>
            </w:pPr>
            <w:r>
              <w:rPr>
                <w:rFonts w:ascii="Arial" w:hAnsi="Arial" w:eastAsia="Arial"/>
                <w:b w:val="0"/>
                <w:i w:val="0"/>
                <w:color w:val="000000"/>
                <w:sz w:val="16"/>
              </w:rPr>
              <w:t>-</w:t>
            </w:r>
          </w:p>
        </w:tc>
        <w:tc>
          <w:tcPr>
            <w:tcW w:type="dxa" w:w="760"/>
            <w:tcBorders/>
            <w:tcMar>
              <w:start w:w="0" w:type="dxa"/>
              <w:end w:w="0" w:type="dxa"/>
            </w:tcMar>
          </w:tcPr>
          <w:p>
            <w:pPr>
              <w:autoSpaceDN w:val="0"/>
              <w:autoSpaceDE w:val="0"/>
              <w:widowControl/>
              <w:spacing w:line="230" w:lineRule="auto" w:before="26" w:after="0"/>
              <w:ind w:left="0" w:right="210" w:firstLine="0"/>
              <w:jc w:val="right"/>
            </w:pPr>
            <w:r>
              <w:rPr>
                <w:rFonts w:ascii="Arial" w:hAnsi="Arial" w:eastAsia="Arial"/>
                <w:b w:val="0"/>
                <w:i w:val="0"/>
                <w:color w:val="000000"/>
                <w:sz w:val="16"/>
              </w:rPr>
              <w:t>-</w:t>
            </w:r>
          </w:p>
        </w:tc>
        <w:tc>
          <w:tcPr>
            <w:tcW w:type="dxa" w:w="120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6"/>
              </w:rPr>
              <w:t>22,031,111</w:t>
            </w:r>
          </w:p>
        </w:tc>
      </w:tr>
    </w:tbl>
    <w:p>
      <w:pPr>
        <w:autoSpaceDN w:val="0"/>
        <w:autoSpaceDE w:val="0"/>
        <w:widowControl/>
        <w:spacing w:line="160" w:lineRule="exact" w:before="14" w:after="22"/>
        <w:ind w:left="358" w:right="0" w:firstLine="0"/>
        <w:jc w:val="left"/>
      </w:pPr>
      <w:r>
        <w:rPr>
          <w:rFonts w:ascii="黑体" w:hAnsi="黑体" w:eastAsia="黑体"/>
          <w:b w:val="0"/>
          <w:i w:val="0"/>
          <w:color w:val="000000"/>
          <w:sz w:val="16"/>
        </w:rPr>
        <w:t>已提足折旧仍在继续</w:t>
      </w:r>
    </w:p>
    <w:tbl>
      <w:tblPr>
        <w:tblW w:type="auto" w:w="0"/>
        <w:tblLayout w:type="fixed"/>
        <w:tblLook w:firstColumn="1" w:firstRow="1" w:lastColumn="0" w:lastRow="0" w:noHBand="0" w:noVBand="1" w:val="04A0"/>
        <w:tblInd w:w="240.0" w:type="dxa"/>
      </w:tblPr>
      <w:tblGrid>
        <w:gridCol w:w="1289"/>
        <w:gridCol w:w="1289"/>
        <w:gridCol w:w="1289"/>
        <w:gridCol w:w="1289"/>
        <w:gridCol w:w="1289"/>
        <w:gridCol w:w="1289"/>
        <w:gridCol w:w="1289"/>
      </w:tblGrid>
      <w:tr>
        <w:trPr>
          <w:trHeight w:hRule="exact" w:val="216"/>
        </w:trPr>
        <w:tc>
          <w:tcPr>
            <w:tcW w:type="dxa" w:w="1676"/>
            <w:tcBorders>
              <w:bottom w:sz="4.0" w:val="single" w:color="#00000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使用的资产净值</w:t>
            </w:r>
          </w:p>
        </w:tc>
        <w:tc>
          <w:tcPr>
            <w:tcW w:type="dxa" w:w="1090"/>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w:t>
            </w:r>
          </w:p>
        </w:tc>
        <w:tc>
          <w:tcPr>
            <w:tcW w:type="dxa" w:w="107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5,819,177</w:t>
            </w:r>
          </w:p>
        </w:tc>
        <w:tc>
          <w:tcPr>
            <w:tcW w:type="dxa" w:w="1064"/>
            <w:tcBorders>
              <w:bottom w:sz="4.0" w:val="single" w:color="#000000"/>
            </w:tcBorders>
            <w:tcMar>
              <w:start w:w="0" w:type="dxa"/>
              <w:end w:w="0" w:type="dxa"/>
            </w:tcMar>
          </w:tcPr>
          <w:p>
            <w:pPr>
              <w:autoSpaceDN w:val="0"/>
              <w:autoSpaceDE w:val="0"/>
              <w:widowControl/>
              <w:spacing w:line="233" w:lineRule="auto" w:before="26" w:after="0"/>
              <w:ind w:left="0" w:right="58" w:firstLine="0"/>
              <w:jc w:val="right"/>
            </w:pPr>
            <w:r>
              <w:rPr>
                <w:rFonts w:ascii="Arial" w:hAnsi="Arial" w:eastAsia="Arial"/>
                <w:b w:val="0"/>
                <w:i w:val="0"/>
                <w:color w:val="000000"/>
                <w:sz w:val="16"/>
              </w:rPr>
              <w:t xml:space="preserve">- </w:t>
            </w:r>
          </w:p>
        </w:tc>
        <w:tc>
          <w:tcPr>
            <w:tcW w:type="dxa" w:w="1262"/>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360,395</w:t>
            </w:r>
          </w:p>
        </w:tc>
        <w:tc>
          <w:tcPr>
            <w:tcW w:type="dxa" w:w="1020"/>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658,772</w:t>
            </w:r>
          </w:p>
        </w:tc>
        <w:tc>
          <w:tcPr>
            <w:tcW w:type="dxa" w:w="1248"/>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6,838,344</w:t>
            </w:r>
          </w:p>
        </w:tc>
      </w:tr>
    </w:tbl>
    <w:p>
      <w:pPr>
        <w:autoSpaceDN w:val="0"/>
        <w:autoSpaceDE w:val="0"/>
        <w:widowControl/>
        <w:spacing w:line="233" w:lineRule="auto" w:before="5338" w:after="0"/>
        <w:ind w:left="0" w:right="0" w:firstLine="0"/>
        <w:jc w:val="center"/>
      </w:pPr>
      <w:r>
        <w:rPr>
          <w:rFonts w:ascii="Arial" w:hAnsi="Arial" w:eastAsia="Arial"/>
          <w:b w:val="0"/>
          <w:i w:val="0"/>
          <w:color w:val="000000"/>
          <w:sz w:val="20"/>
        </w:rPr>
        <w:t xml:space="preserve">211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4848"/>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080"/>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1072" w:after="0"/>
              <w:ind w:left="0" w:right="0" w:firstLine="0"/>
              <w:jc w:val="center"/>
            </w:pPr>
            <w:r>
              <w:rPr>
                <w:rFonts w:ascii="黑体" w:hAnsi="黑体" w:eastAsia="黑体"/>
                <w:b w:val="0"/>
                <w:i w:val="0"/>
                <w:color w:val="000000"/>
                <w:sz w:val="18"/>
              </w:rPr>
              <w:t>房屋及建筑物</w:t>
            </w:r>
          </w:p>
        </w:tc>
        <w:tc>
          <w:tcPr>
            <w:tcW w:type="dxa" w:w="1912"/>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1072" w:after="0"/>
              <w:ind w:left="0" w:right="0" w:firstLine="0"/>
              <w:jc w:val="right"/>
            </w:pPr>
            <w:r>
              <w:rPr>
                <w:rFonts w:ascii="黑体" w:hAnsi="黑体" w:eastAsia="黑体"/>
                <w:b w:val="0"/>
                <w:i w:val="0"/>
                <w:color w:val="000000"/>
                <w:sz w:val="18"/>
              </w:rPr>
              <w:t>合计</w:t>
            </w:r>
          </w:p>
        </w:tc>
      </w:tr>
      <w:tr>
        <w:trPr>
          <w:trHeight w:hRule="exact" w:val="896"/>
        </w:trPr>
        <w:tc>
          <w:tcPr>
            <w:tcW w:type="dxa" w:w="760"/>
            <w:tcBorders>
              <w:bottom w:sz="4.0" w:val="single" w:color="#00000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13. </w:t>
            </w:r>
          </w:p>
        </w:tc>
        <w:tc>
          <w:tcPr>
            <w:tcW w:type="dxa" w:w="4848"/>
            <w:tcBorders>
              <w:bottom w:sz="4.0" w:val="single" w:color="#000000"/>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使用权资产</w:t>
            </w:r>
          </w:p>
        </w:tc>
        <w:tc>
          <w:tcPr>
            <w:tcW w:type="dxa" w:w="2256"/>
            <w:vMerge/>
            <w:tcBorders>
              <w:bottom w:sz="4.0" w:val="single" w:color="#000000"/>
            </w:tcBorders>
          </w:tcPr>
          <w:p/>
        </w:tc>
        <w:tc>
          <w:tcPr>
            <w:tcW w:type="dxa" w:w="2256"/>
            <w:vMerge/>
            <w:tcBorders>
              <w:bottom w:sz="4.0" w:val="single" w:color="#000000"/>
            </w:tcBorders>
          </w:tcPr>
          <w:p/>
        </w:tc>
      </w:tr>
    </w:tbl>
    <w:p>
      <w:pPr>
        <w:autoSpaceDN w:val="0"/>
        <w:autoSpaceDE w:val="0"/>
        <w:widowControl/>
        <w:spacing w:line="180" w:lineRule="exact" w:before="252" w:after="28"/>
        <w:ind w:left="358" w:right="0" w:firstLine="0"/>
        <w:jc w:val="left"/>
      </w:pPr>
      <w:r>
        <w:rPr>
          <w:rFonts w:ascii="黑体" w:hAnsi="黑体" w:eastAsia="黑体"/>
          <w:b w:val="0"/>
          <w:i w:val="0"/>
          <w:color w:val="000000"/>
          <w:sz w:val="18"/>
        </w:rPr>
        <w:t>原值</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04"/>
        </w:trPr>
        <w:tc>
          <w:tcPr>
            <w:tcW w:type="dxa" w:w="3360"/>
            <w:tcBorders/>
            <w:tcMar>
              <w:start w:w="0" w:type="dxa"/>
              <w:end w:w="0" w:type="dxa"/>
            </w:tcMar>
          </w:tcPr>
          <w:p>
            <w:pPr>
              <w:autoSpaceDN w:val="0"/>
              <w:autoSpaceDE w:val="0"/>
              <w:widowControl/>
              <w:spacing w:line="180" w:lineRule="exact" w:before="24" w:after="0"/>
              <w:ind w:left="198" w:right="0" w:firstLine="0"/>
              <w:jc w:val="left"/>
            </w:pPr>
            <w:r>
              <w:rPr>
                <w:rFonts w:ascii="黑体" w:hAnsi="黑体" w:eastAsia="黑体"/>
                <w:b w:val="0"/>
                <w:i w:val="0"/>
                <w:color w:val="000000"/>
                <w:sz w:val="18"/>
              </w:rPr>
              <w:t>年初余额</w:t>
            </w:r>
          </w:p>
        </w:tc>
        <w:tc>
          <w:tcPr>
            <w:tcW w:type="dxa" w:w="3550"/>
            <w:vMerge w:val="restart"/>
            <w:tcBorders/>
            <w:tcMar>
              <w:start w:w="0" w:type="dxa"/>
              <w:end w:w="0" w:type="dxa"/>
            </w:tcMar>
            <w:tcMar>
              <w:start w:w="0" w:type="dxa"/>
              <w:end w:w="0" w:type="dxa"/>
            </w:tcMar>
          </w:tcPr>
          <w:p>
            <w:pPr>
              <w:autoSpaceDN w:val="0"/>
              <w:autoSpaceDE w:val="0"/>
              <w:widowControl/>
              <w:spacing w:line="233" w:lineRule="auto" w:before="32" w:after="0"/>
              <w:ind w:left="0" w:right="220" w:firstLine="0"/>
              <w:jc w:val="right"/>
            </w:pPr>
            <w:r>
              <w:rPr>
                <w:rFonts w:ascii="Arial" w:hAnsi="Arial" w:eastAsia="Arial"/>
                <w:b w:val="0"/>
                <w:i w:val="0"/>
                <w:color w:val="000000"/>
                <w:sz w:val="18"/>
              </w:rPr>
              <w:t>591,462,188</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2" w:after="0"/>
              <w:ind w:left="0" w:right="180" w:firstLine="0"/>
              <w:jc w:val="right"/>
            </w:pPr>
            <w:r>
              <w:rPr>
                <w:rFonts w:ascii="Arial" w:hAnsi="Arial" w:eastAsia="Arial"/>
                <w:b w:val="0"/>
                <w:i w:val="0"/>
                <w:color w:val="000000"/>
                <w:sz w:val="18"/>
              </w:rPr>
              <w:t>591,462,188</w:t>
            </w:r>
          </w:p>
        </w:tc>
      </w:tr>
      <w:tr>
        <w:trPr>
          <w:trHeight w:hRule="exact" w:val="44"/>
        </w:trPr>
        <w:tc>
          <w:tcPr>
            <w:tcW w:type="dxa" w:w="3360"/>
            <w:vMerge w:val="restart"/>
            <w:tcBorders/>
            <w:tcMar>
              <w:start w:w="0" w:type="dxa"/>
              <w:end w:w="0" w:type="dxa"/>
            </w:tcMar>
            <w:tcMar>
              <w:start w:w="0" w:type="dxa"/>
              <w:end w:w="0" w:type="dxa"/>
            </w:tcMar>
          </w:tcPr>
          <w:p>
            <w:pPr>
              <w:autoSpaceDN w:val="0"/>
              <w:autoSpaceDE w:val="0"/>
              <w:widowControl/>
              <w:spacing w:line="180" w:lineRule="exact" w:before="54" w:after="0"/>
              <w:ind w:left="198" w:right="0" w:firstLine="0"/>
              <w:jc w:val="left"/>
            </w:pPr>
            <w:r>
              <w:rPr>
                <w:rFonts w:ascii="黑体" w:hAnsi="黑体" w:eastAsia="黑体"/>
                <w:b w:val="0"/>
                <w:i w:val="0"/>
                <w:color w:val="000000"/>
                <w:sz w:val="18"/>
              </w:rPr>
              <w:t>增加</w:t>
            </w:r>
          </w:p>
        </w:tc>
        <w:tc>
          <w:tcPr>
            <w:tcW w:type="dxa" w:w="3009"/>
            <w:vMerge/>
            <w:tcBorders/>
          </w:tcPr>
          <w:p/>
        </w:tc>
        <w:tc>
          <w:tcPr>
            <w:tcW w:type="dxa" w:w="3009"/>
            <w:vMerge/>
            <w:tcBorders/>
          </w:tcPr>
          <w:p/>
        </w:tc>
      </w:tr>
      <w:tr>
        <w:trPr>
          <w:trHeight w:hRule="exact" w:val="221"/>
        </w:trPr>
        <w:tc>
          <w:tcPr>
            <w:tcW w:type="dxa" w:w="3009"/>
            <w:vMerge/>
            <w:tcBorders/>
          </w:tcPr>
          <w:p/>
        </w:tc>
        <w:tc>
          <w:tcPr>
            <w:tcW w:type="dxa" w:w="3550"/>
            <w:tcBorders/>
            <w:tcMar>
              <w:start w:w="0" w:type="dxa"/>
              <w:end w:w="0" w:type="dxa"/>
            </w:tcMar>
          </w:tcPr>
          <w:p>
            <w:pPr>
              <w:autoSpaceDN w:val="0"/>
              <w:autoSpaceDE w:val="0"/>
              <w:widowControl/>
              <w:spacing w:line="235" w:lineRule="auto" w:before="16" w:after="0"/>
              <w:ind w:left="0" w:right="220" w:firstLine="0"/>
              <w:jc w:val="right"/>
            </w:pPr>
            <w:r>
              <w:rPr>
                <w:rFonts w:ascii="Arial" w:hAnsi="Arial" w:eastAsia="Arial"/>
                <w:b w:val="0"/>
                <w:i w:val="0"/>
                <w:color w:val="000000"/>
                <w:sz w:val="18"/>
              </w:rPr>
              <w:t>71,195,254</w:t>
            </w:r>
          </w:p>
        </w:tc>
        <w:tc>
          <w:tcPr>
            <w:tcW w:type="dxa" w:w="1870"/>
            <w:tcBorders/>
            <w:tcMar>
              <w:start w:w="0" w:type="dxa"/>
              <w:end w:w="0" w:type="dxa"/>
            </w:tcMar>
          </w:tcPr>
          <w:p>
            <w:pPr>
              <w:autoSpaceDN w:val="0"/>
              <w:autoSpaceDE w:val="0"/>
              <w:widowControl/>
              <w:spacing w:line="235" w:lineRule="auto" w:before="16" w:after="0"/>
              <w:ind w:left="0" w:right="180" w:firstLine="0"/>
              <w:jc w:val="right"/>
            </w:pPr>
            <w:r>
              <w:rPr>
                <w:rFonts w:ascii="Arial" w:hAnsi="Arial" w:eastAsia="Arial"/>
                <w:b w:val="0"/>
                <w:i w:val="0"/>
                <w:color w:val="000000"/>
                <w:sz w:val="18"/>
              </w:rPr>
              <w:t>71,195,254</w:t>
            </w:r>
          </w:p>
        </w:tc>
      </w:tr>
      <w:tr>
        <w:trPr>
          <w:trHeight w:hRule="exact" w:val="214"/>
        </w:trPr>
        <w:tc>
          <w:tcPr>
            <w:tcW w:type="dxa" w:w="3360"/>
            <w:tcBorders/>
            <w:tcMar>
              <w:start w:w="0" w:type="dxa"/>
              <w:end w:w="0" w:type="dxa"/>
            </w:tcMar>
          </w:tcPr>
          <w:p>
            <w:pPr>
              <w:autoSpaceDN w:val="0"/>
              <w:autoSpaceDE w:val="0"/>
              <w:widowControl/>
              <w:spacing w:line="180" w:lineRule="exact" w:before="24" w:after="0"/>
              <w:ind w:left="198" w:right="0" w:firstLine="0"/>
              <w:jc w:val="left"/>
            </w:pPr>
            <w:r>
              <w:rPr>
                <w:rFonts w:ascii="黑体" w:hAnsi="黑体" w:eastAsia="黑体"/>
                <w:b w:val="0"/>
                <w:i w:val="0"/>
                <w:color w:val="000000"/>
                <w:sz w:val="18"/>
              </w:rPr>
              <w:t>减少</w:t>
            </w:r>
          </w:p>
        </w:tc>
        <w:tc>
          <w:tcPr>
            <w:tcW w:type="dxa" w:w="3550"/>
            <w:tcBorders/>
            <w:tcMar>
              <w:start w:w="0" w:type="dxa"/>
              <w:end w:w="0" w:type="dxa"/>
            </w:tcMar>
          </w:tcPr>
          <w:p>
            <w:pPr>
              <w:autoSpaceDN w:val="0"/>
              <w:autoSpaceDE w:val="0"/>
              <w:widowControl/>
              <w:spacing w:line="233" w:lineRule="auto" w:before="14" w:after="0"/>
              <w:ind w:left="0" w:right="112" w:firstLine="0"/>
              <w:jc w:val="right"/>
            </w:pPr>
            <w:r>
              <w:rPr>
                <w:rFonts w:ascii="Arial" w:hAnsi="Arial" w:eastAsia="Arial"/>
                <w:b w:val="0"/>
                <w:i w:val="0"/>
                <w:color w:val="000000"/>
                <w:sz w:val="18"/>
              </w:rPr>
              <w:t xml:space="preserve"> (107,647,885) </w:t>
            </w:r>
          </w:p>
        </w:tc>
        <w:tc>
          <w:tcPr>
            <w:tcW w:type="dxa" w:w="1870"/>
            <w:tcBorders/>
            <w:tcMar>
              <w:start w:w="0" w:type="dxa"/>
              <w:end w:w="0" w:type="dxa"/>
            </w:tcMar>
          </w:tcPr>
          <w:p>
            <w:pPr>
              <w:autoSpaceDN w:val="0"/>
              <w:autoSpaceDE w:val="0"/>
              <w:widowControl/>
              <w:spacing w:line="262" w:lineRule="auto" w:before="0" w:after="0"/>
              <w:ind w:left="0" w:right="70" w:firstLine="0"/>
              <w:jc w:val="right"/>
            </w:pPr>
            <w:r>
              <w:rPr>
                <w:rFonts w:ascii="Arial" w:hAnsi="Arial" w:eastAsia="Arial"/>
                <w:b w:val="0"/>
                <w:i w:val="0"/>
                <w:color w:val="000000"/>
                <w:sz w:val="18"/>
              </w:rPr>
              <w:t>(107,647,885</w:t>
            </w:r>
            <w:r>
              <w:rPr>
                <w:rFonts w:ascii="Arial" w:hAnsi="Arial" w:eastAsia="Arial"/>
                <w:b w:val="0"/>
                <w:i w:val="0"/>
                <w:color w:val="000000"/>
                <w:sz w:val="18"/>
              </w:rPr>
              <w:t xml:space="preserve">) </w:t>
            </w:r>
          </w:p>
        </w:tc>
      </w:tr>
      <w:tr>
        <w:trPr>
          <w:trHeight w:hRule="exact" w:val="256"/>
        </w:trPr>
        <w:tc>
          <w:tcPr>
            <w:tcW w:type="dxa" w:w="3360"/>
            <w:tcBorders>
              <w:bottom w:sz="4.0" w:val="single" w:color="#000000"/>
            </w:tcBorders>
            <w:tcMar>
              <w:start w:w="0" w:type="dxa"/>
              <w:end w:w="0" w:type="dxa"/>
            </w:tcMar>
          </w:tcPr>
          <w:p>
            <w:pPr>
              <w:autoSpaceDN w:val="0"/>
              <w:autoSpaceDE w:val="0"/>
              <w:widowControl/>
              <w:spacing w:line="180" w:lineRule="exact" w:before="44" w:after="0"/>
              <w:ind w:left="198" w:right="0" w:firstLine="0"/>
              <w:jc w:val="left"/>
            </w:pPr>
            <w:r>
              <w:rPr>
                <w:rFonts w:ascii="黑体" w:hAnsi="黑体" w:eastAsia="黑体"/>
                <w:b w:val="0"/>
                <w:i w:val="0"/>
                <w:color w:val="000000"/>
                <w:sz w:val="18"/>
              </w:rPr>
              <w:t>汇率变动影响</w:t>
            </w:r>
          </w:p>
        </w:tc>
        <w:tc>
          <w:tcPr>
            <w:tcW w:type="dxa" w:w="3550"/>
            <w:tcBorders>
              <w:bottom w:sz="4.0" w:val="single" w:color="#000000"/>
            </w:tcBorders>
            <w:tcMar>
              <w:start w:w="0" w:type="dxa"/>
              <w:end w:w="0" w:type="dxa"/>
            </w:tcMar>
          </w:tcPr>
          <w:p>
            <w:pPr>
              <w:autoSpaceDN w:val="0"/>
              <w:autoSpaceDE w:val="0"/>
              <w:widowControl/>
              <w:spacing w:line="233" w:lineRule="auto" w:before="50" w:after="0"/>
              <w:ind w:left="0" w:right="220" w:firstLine="0"/>
              <w:jc w:val="right"/>
            </w:pPr>
            <w:r>
              <w:rPr>
                <w:rFonts w:ascii="Arial" w:hAnsi="Arial" w:eastAsia="Arial"/>
                <w:b w:val="0"/>
                <w:i w:val="0"/>
                <w:color w:val="000000"/>
                <w:sz w:val="18"/>
              </w:rPr>
              <w:t>371,653</w:t>
            </w:r>
          </w:p>
        </w:tc>
        <w:tc>
          <w:tcPr>
            <w:tcW w:type="dxa" w:w="1870"/>
            <w:tcBorders>
              <w:bottom w:sz="4.0" w:val="single" w:color="#000000"/>
            </w:tcBorders>
            <w:tcMar>
              <w:start w:w="0" w:type="dxa"/>
              <w:end w:w="0" w:type="dxa"/>
            </w:tcMar>
          </w:tcPr>
          <w:p>
            <w:pPr>
              <w:autoSpaceDN w:val="0"/>
              <w:autoSpaceDE w:val="0"/>
              <w:widowControl/>
              <w:spacing w:line="233" w:lineRule="auto" w:before="50" w:after="0"/>
              <w:ind w:left="0" w:right="180" w:firstLine="0"/>
              <w:jc w:val="right"/>
            </w:pPr>
            <w:r>
              <w:rPr>
                <w:rFonts w:ascii="Arial" w:hAnsi="Arial" w:eastAsia="Arial"/>
                <w:b w:val="0"/>
                <w:i w:val="0"/>
                <w:color w:val="000000"/>
                <w:sz w:val="18"/>
              </w:rPr>
              <w:t>371,653</w:t>
            </w:r>
          </w:p>
        </w:tc>
      </w:tr>
      <w:tr>
        <w:trPr>
          <w:trHeight w:hRule="exact" w:val="450"/>
        </w:trPr>
        <w:tc>
          <w:tcPr>
            <w:tcW w:type="dxa" w:w="3360"/>
            <w:tcBorders>
              <w:top w:sz="4.0" w:val="single" w:color="#000000"/>
              <w:bottom w:sz="4.0"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年末余额</w:t>
            </w:r>
          </w:p>
        </w:tc>
        <w:tc>
          <w:tcPr>
            <w:tcW w:type="dxa" w:w="355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220" w:firstLine="0"/>
              <w:jc w:val="right"/>
            </w:pPr>
            <w:r>
              <w:rPr>
                <w:rFonts w:ascii="Arial" w:hAnsi="Arial" w:eastAsia="Arial"/>
                <w:b w:val="0"/>
                <w:i w:val="0"/>
                <w:color w:val="000000"/>
                <w:sz w:val="18"/>
              </w:rPr>
              <w:t>555,381,210</w:t>
            </w:r>
          </w:p>
        </w:tc>
        <w:tc>
          <w:tcPr>
            <w:tcW w:type="dxa" w:w="187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180" w:firstLine="0"/>
              <w:jc w:val="right"/>
            </w:pPr>
            <w:r>
              <w:rPr>
                <w:rFonts w:ascii="Arial" w:hAnsi="Arial" w:eastAsia="Arial"/>
                <w:b w:val="0"/>
                <w:i w:val="0"/>
                <w:color w:val="000000"/>
                <w:sz w:val="18"/>
              </w:rPr>
              <w:t>555,381,210</w:t>
            </w:r>
          </w:p>
        </w:tc>
      </w:tr>
      <w:tr>
        <w:trPr>
          <w:trHeight w:hRule="exact" w:val="56"/>
        </w:trPr>
        <w:tc>
          <w:tcPr>
            <w:tcW w:type="dxa" w:w="3360"/>
            <w:tcBorders>
              <w:top w:sz="4.0" w:val="single" w:color="#000000"/>
            </w:tcBorders>
            <w:tcMar>
              <w:start w:w="0" w:type="dxa"/>
              <w:end w:w="0" w:type="dxa"/>
            </w:tcMar>
          </w:tcPr>
          <w:p/>
        </w:tc>
        <w:tc>
          <w:tcPr>
            <w:tcW w:type="dxa" w:w="3550"/>
            <w:tcBorders>
              <w:top w:sz="4.0" w:val="single" w:color="#000000"/>
            </w:tcBorders>
            <w:tcMar>
              <w:start w:w="0" w:type="dxa"/>
              <w:end w:w="0" w:type="dxa"/>
            </w:tcMar>
          </w:tcPr>
          <w:p/>
        </w:tc>
        <w:tc>
          <w:tcPr>
            <w:tcW w:type="dxa" w:w="1870"/>
            <w:tcBorders>
              <w:top w:sz="4.0" w:val="single" w:color="#000000"/>
            </w:tcBorders>
            <w:tcMar>
              <w:start w:w="0" w:type="dxa"/>
              <w:end w:w="0" w:type="dxa"/>
            </w:tcMar>
          </w:tcPr>
          <w:p/>
        </w:tc>
      </w:tr>
    </w:tbl>
    <w:p>
      <w:pPr>
        <w:autoSpaceDN w:val="0"/>
        <w:autoSpaceDE w:val="0"/>
        <w:widowControl/>
        <w:spacing w:line="180" w:lineRule="exact" w:before="202" w:after="26"/>
        <w:ind w:left="358" w:right="0" w:firstLine="0"/>
        <w:jc w:val="left"/>
      </w:pPr>
      <w:r>
        <w:rPr>
          <w:rFonts w:ascii="黑体" w:hAnsi="黑体" w:eastAsia="黑体"/>
          <w:b w:val="0"/>
          <w:i w:val="0"/>
          <w:color w:val="000000"/>
          <w:sz w:val="18"/>
        </w:rPr>
        <w:t>累计折旧</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40"/>
        </w:trPr>
        <w:tc>
          <w:tcPr>
            <w:tcW w:type="dxa" w:w="5476"/>
            <w:tcBorders/>
            <w:tcMar>
              <w:start w:w="0" w:type="dxa"/>
              <w:end w:w="0" w:type="dxa"/>
            </w:tcMar>
          </w:tcPr>
          <w:p>
            <w:pPr>
              <w:autoSpaceDN w:val="0"/>
              <w:autoSpaceDE w:val="0"/>
              <w:widowControl/>
              <w:spacing w:line="180" w:lineRule="exact" w:before="28" w:after="0"/>
              <w:ind w:left="198" w:right="0" w:firstLine="0"/>
              <w:jc w:val="left"/>
            </w:pPr>
            <w:r>
              <w:rPr>
                <w:rFonts w:ascii="黑体" w:hAnsi="黑体" w:eastAsia="黑体"/>
                <w:b w:val="0"/>
                <w:i w:val="0"/>
                <w:color w:val="000000"/>
                <w:sz w:val="18"/>
              </w:rPr>
              <w:t>年初余额</w:t>
            </w:r>
          </w:p>
        </w:tc>
        <w:tc>
          <w:tcPr>
            <w:tcW w:type="dxa" w:w="1434"/>
            <w:tcBorders/>
            <w:tcMar>
              <w:start w:w="0" w:type="dxa"/>
              <w:end w:w="0" w:type="dxa"/>
            </w:tcMar>
          </w:tcPr>
          <w:p>
            <w:pPr>
              <w:autoSpaceDN w:val="0"/>
              <w:autoSpaceDE w:val="0"/>
              <w:widowControl/>
              <w:spacing w:line="233" w:lineRule="auto" w:before="34" w:after="0"/>
              <w:ind w:left="0" w:right="0" w:firstLine="0"/>
              <w:jc w:val="center"/>
            </w:pPr>
            <w:r>
              <w:rPr>
                <w:rFonts w:ascii="Arial" w:hAnsi="Arial" w:eastAsia="Arial"/>
                <w:b w:val="0"/>
                <w:i w:val="0"/>
                <w:color w:val="000000"/>
                <w:sz w:val="18"/>
              </w:rPr>
              <w:t>281,320,567</w:t>
            </w:r>
          </w:p>
        </w:tc>
        <w:tc>
          <w:tcPr>
            <w:tcW w:type="dxa" w:w="1870"/>
            <w:tcBorders/>
            <w:tcMar>
              <w:start w:w="0" w:type="dxa"/>
              <w:end w:w="0" w:type="dxa"/>
            </w:tcMar>
          </w:tcPr>
          <w:p>
            <w:pPr>
              <w:autoSpaceDN w:val="0"/>
              <w:autoSpaceDE w:val="0"/>
              <w:widowControl/>
              <w:spacing w:line="233" w:lineRule="auto" w:before="34" w:after="0"/>
              <w:ind w:left="0" w:right="180" w:firstLine="0"/>
              <w:jc w:val="right"/>
            </w:pPr>
            <w:r>
              <w:rPr>
                <w:rFonts w:ascii="Arial" w:hAnsi="Arial" w:eastAsia="Arial"/>
                <w:b w:val="0"/>
                <w:i w:val="0"/>
                <w:color w:val="000000"/>
                <w:sz w:val="18"/>
              </w:rPr>
              <w:t>281,320,567</w:t>
            </w:r>
          </w:p>
        </w:tc>
      </w:tr>
      <w:tr>
        <w:trPr>
          <w:trHeight w:hRule="exact" w:val="210"/>
        </w:trPr>
        <w:tc>
          <w:tcPr>
            <w:tcW w:type="dxa" w:w="5476"/>
            <w:tcBorders/>
            <w:tcMar>
              <w:start w:w="0" w:type="dxa"/>
              <w:end w:w="0" w:type="dxa"/>
            </w:tcMar>
          </w:tcPr>
          <w:p>
            <w:pPr>
              <w:autoSpaceDN w:val="0"/>
              <w:autoSpaceDE w:val="0"/>
              <w:widowControl/>
              <w:spacing w:line="180" w:lineRule="exact" w:before="20" w:after="0"/>
              <w:ind w:left="198" w:right="0" w:firstLine="0"/>
              <w:jc w:val="left"/>
            </w:pPr>
            <w:r>
              <w:rPr>
                <w:rFonts w:ascii="黑体" w:hAnsi="黑体" w:eastAsia="黑体"/>
                <w:b w:val="0"/>
                <w:i w:val="0"/>
                <w:color w:val="000000"/>
                <w:sz w:val="18"/>
              </w:rPr>
              <w:t>增加</w:t>
            </w:r>
          </w:p>
        </w:tc>
        <w:tc>
          <w:tcPr>
            <w:tcW w:type="dxa" w:w="1434"/>
            <w:tcBorders/>
            <w:tcMar>
              <w:start w:w="0" w:type="dxa"/>
              <w:end w:w="0" w:type="dxa"/>
            </w:tcMar>
          </w:tcPr>
          <w:p>
            <w:pPr>
              <w:autoSpaceDN w:val="0"/>
              <w:autoSpaceDE w:val="0"/>
              <w:widowControl/>
              <w:spacing w:line="235" w:lineRule="auto" w:before="8" w:after="0"/>
              <w:ind w:left="0" w:right="0" w:firstLine="0"/>
              <w:jc w:val="center"/>
            </w:pPr>
            <w:r>
              <w:rPr>
                <w:rFonts w:ascii="Arial" w:hAnsi="Arial" w:eastAsia="Arial"/>
                <w:b w:val="0"/>
                <w:i w:val="0"/>
                <w:color w:val="000000"/>
                <w:sz w:val="18"/>
              </w:rPr>
              <w:t>118,131,898</w:t>
            </w:r>
          </w:p>
        </w:tc>
        <w:tc>
          <w:tcPr>
            <w:tcW w:type="dxa" w:w="1870"/>
            <w:tcBorders/>
            <w:tcMar>
              <w:start w:w="0" w:type="dxa"/>
              <w:end w:w="0" w:type="dxa"/>
            </w:tcMar>
          </w:tcPr>
          <w:p>
            <w:pPr>
              <w:autoSpaceDN w:val="0"/>
              <w:autoSpaceDE w:val="0"/>
              <w:widowControl/>
              <w:spacing w:line="235" w:lineRule="auto" w:before="8" w:after="0"/>
              <w:ind w:left="0" w:right="180" w:firstLine="0"/>
              <w:jc w:val="right"/>
            </w:pPr>
            <w:r>
              <w:rPr>
                <w:rFonts w:ascii="Arial" w:hAnsi="Arial" w:eastAsia="Arial"/>
                <w:b w:val="0"/>
                <w:i w:val="0"/>
                <w:color w:val="000000"/>
                <w:sz w:val="18"/>
              </w:rPr>
              <w:t>118,131,898</w:t>
            </w:r>
          </w:p>
        </w:tc>
      </w:tr>
      <w:tr>
        <w:trPr>
          <w:trHeight w:hRule="exact" w:val="220"/>
        </w:trPr>
        <w:tc>
          <w:tcPr>
            <w:tcW w:type="dxa" w:w="5476"/>
            <w:tcBorders/>
            <w:tcMar>
              <w:start w:w="0" w:type="dxa"/>
              <w:end w:w="0" w:type="dxa"/>
            </w:tcMar>
          </w:tcPr>
          <w:p>
            <w:pPr>
              <w:autoSpaceDN w:val="0"/>
              <w:autoSpaceDE w:val="0"/>
              <w:widowControl/>
              <w:spacing w:line="180" w:lineRule="exact" w:before="40" w:after="0"/>
              <w:ind w:left="198" w:right="0" w:firstLine="0"/>
              <w:jc w:val="left"/>
            </w:pPr>
            <w:r>
              <w:rPr>
                <w:rFonts w:ascii="黑体" w:hAnsi="黑体" w:eastAsia="黑体"/>
                <w:b w:val="0"/>
                <w:i w:val="0"/>
                <w:color w:val="000000"/>
                <w:sz w:val="18"/>
              </w:rPr>
              <w:t>减少</w:t>
            </w:r>
          </w:p>
        </w:tc>
        <w:tc>
          <w:tcPr>
            <w:tcW w:type="dxa" w:w="1434"/>
            <w:vMerge w:val="restart"/>
            <w:tcBorders/>
            <w:tcMar>
              <w:start w:w="0" w:type="dxa"/>
              <w:end w:w="0" w:type="dxa"/>
            </w:tcMar>
            <w:tcMar>
              <w:start w:w="0" w:type="dxa"/>
              <w:end w:w="0" w:type="dxa"/>
            </w:tcMar>
          </w:tcPr>
          <w:p>
            <w:pPr>
              <w:autoSpaceDN w:val="0"/>
              <w:autoSpaceDE w:val="0"/>
              <w:widowControl/>
              <w:spacing w:line="233" w:lineRule="auto" w:before="50" w:after="0"/>
              <w:ind w:left="252" w:right="0" w:firstLine="0"/>
              <w:jc w:val="left"/>
            </w:pPr>
            <w:r>
              <w:rPr>
                <w:rFonts w:ascii="Arial" w:hAnsi="Arial" w:eastAsia="Arial"/>
                <w:b w:val="0"/>
                <w:i w:val="0"/>
                <w:color w:val="000000"/>
                <w:sz w:val="18"/>
              </w:rPr>
              <w:t xml:space="preserve">(96,789,100) </w:t>
            </w:r>
          </w:p>
        </w:tc>
        <w:tc>
          <w:tcPr>
            <w:tcW w:type="dxa" w:w="1870"/>
            <w:vMerge w:val="restart"/>
            <w:tcBorders/>
            <w:tcMar>
              <w:start w:w="0" w:type="dxa"/>
              <w:end w:w="0" w:type="dxa"/>
            </w:tcMar>
            <w:tcMar>
              <w:start w:w="0" w:type="dxa"/>
              <w:end w:w="0" w:type="dxa"/>
            </w:tcMar>
          </w:tcPr>
          <w:p>
            <w:pPr>
              <w:autoSpaceDN w:val="0"/>
              <w:autoSpaceDE w:val="0"/>
              <w:widowControl/>
              <w:spacing w:line="264" w:lineRule="auto" w:before="22" w:after="0"/>
              <w:ind w:left="0" w:right="70" w:firstLine="0"/>
              <w:jc w:val="right"/>
            </w:pPr>
            <w:r>
              <w:rPr>
                <w:rFonts w:ascii="Arial" w:hAnsi="Arial" w:eastAsia="Arial"/>
                <w:b w:val="0"/>
                <w:i w:val="0"/>
                <w:color w:val="000000"/>
                <w:sz w:val="18"/>
              </w:rPr>
              <w:t>(96,789,100</w:t>
            </w:r>
            <w:r>
              <w:rPr>
                <w:rFonts w:ascii="Arial" w:hAnsi="Arial" w:eastAsia="Arial"/>
                <w:b w:val="0"/>
                <w:i w:val="0"/>
                <w:color w:val="000000"/>
                <w:sz w:val="18"/>
              </w:rPr>
              <w:t xml:space="preserve">) </w:t>
            </w:r>
          </w:p>
        </w:tc>
      </w:tr>
      <w:tr>
        <w:trPr>
          <w:trHeight w:hRule="exact" w:val="48"/>
        </w:trPr>
        <w:tc>
          <w:tcPr>
            <w:tcW w:type="dxa" w:w="5476"/>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8" w:after="0"/>
              <w:ind w:left="198" w:right="0" w:firstLine="0"/>
              <w:jc w:val="left"/>
            </w:pPr>
            <w:r>
              <w:rPr>
                <w:rFonts w:ascii="黑体" w:hAnsi="黑体" w:eastAsia="黑体"/>
                <w:b w:val="0"/>
                <w:i w:val="0"/>
                <w:color w:val="000000"/>
                <w:sz w:val="18"/>
              </w:rPr>
              <w:t>汇率变动影响</w:t>
            </w:r>
          </w:p>
        </w:tc>
        <w:tc>
          <w:tcPr>
            <w:tcW w:type="dxa" w:w="3009"/>
            <w:vMerge/>
            <w:tcBorders/>
          </w:tcPr>
          <w:p/>
        </w:tc>
        <w:tc>
          <w:tcPr>
            <w:tcW w:type="dxa" w:w="3009"/>
            <w:vMerge/>
            <w:tcBorders/>
          </w:tcPr>
          <w:p/>
        </w:tc>
      </w:tr>
      <w:tr>
        <w:trPr>
          <w:trHeight w:hRule="exact" w:val="224"/>
        </w:trPr>
        <w:tc>
          <w:tcPr>
            <w:tcW w:type="dxa" w:w="3009"/>
            <w:vMerge/>
            <w:tcBorders>
              <w:bottom w:sz="4.0" w:val="single" w:color="#000000"/>
            </w:tcBorders>
          </w:tcPr>
          <w:p/>
        </w:tc>
        <w:tc>
          <w:tcPr>
            <w:tcW w:type="dxa" w:w="1434"/>
            <w:tcBorders>
              <w:bottom w:sz="4.0" w:val="single" w:color="#000000"/>
            </w:tcBorders>
            <w:tcMar>
              <w:start w:w="0" w:type="dxa"/>
              <w:end w:w="0" w:type="dxa"/>
            </w:tcMar>
          </w:tcPr>
          <w:p>
            <w:pPr>
              <w:autoSpaceDN w:val="0"/>
              <w:autoSpaceDE w:val="0"/>
              <w:widowControl/>
              <w:spacing w:line="235" w:lineRule="auto" w:before="16" w:after="0"/>
              <w:ind w:left="0" w:right="220" w:firstLine="0"/>
              <w:jc w:val="right"/>
            </w:pPr>
            <w:r>
              <w:rPr>
                <w:rFonts w:ascii="Arial" w:hAnsi="Arial" w:eastAsia="Arial"/>
                <w:b w:val="0"/>
                <w:i w:val="0"/>
                <w:color w:val="000000"/>
                <w:sz w:val="18"/>
              </w:rPr>
              <w:t>183,231</w:t>
            </w:r>
          </w:p>
        </w:tc>
        <w:tc>
          <w:tcPr>
            <w:tcW w:type="dxa" w:w="1870"/>
            <w:tcBorders>
              <w:bottom w:sz="4.0" w:val="single" w:color="#000000"/>
            </w:tcBorders>
            <w:tcMar>
              <w:start w:w="0" w:type="dxa"/>
              <w:end w:w="0" w:type="dxa"/>
            </w:tcMar>
          </w:tcPr>
          <w:p>
            <w:pPr>
              <w:autoSpaceDN w:val="0"/>
              <w:autoSpaceDE w:val="0"/>
              <w:widowControl/>
              <w:spacing w:line="235" w:lineRule="auto" w:before="16" w:after="0"/>
              <w:ind w:left="0" w:right="180" w:firstLine="0"/>
              <w:jc w:val="right"/>
            </w:pPr>
            <w:r>
              <w:rPr>
                <w:rFonts w:ascii="Arial" w:hAnsi="Arial" w:eastAsia="Arial"/>
                <w:b w:val="0"/>
                <w:i w:val="0"/>
                <w:color w:val="000000"/>
                <w:sz w:val="18"/>
              </w:rPr>
              <w:t>183,231</w:t>
            </w:r>
          </w:p>
        </w:tc>
      </w:tr>
      <w:tr>
        <w:trPr>
          <w:trHeight w:hRule="exact" w:val="450"/>
        </w:trPr>
        <w:tc>
          <w:tcPr>
            <w:tcW w:type="dxa" w:w="5476"/>
            <w:tcBorders>
              <w:top w:sz="4.0" w:val="single" w:color="#000000"/>
              <w:bottom w:sz="3.200000000000273" w:val="single" w:color="#000000"/>
            </w:tcBorders>
            <w:tcMar>
              <w:start w:w="0" w:type="dxa"/>
              <w:end w:w="0" w:type="dxa"/>
            </w:tcMar>
          </w:tcPr>
          <w:p>
            <w:pPr>
              <w:autoSpaceDN w:val="0"/>
              <w:autoSpaceDE w:val="0"/>
              <w:widowControl/>
              <w:spacing w:line="180" w:lineRule="exact" w:before="230" w:after="0"/>
              <w:ind w:left="198" w:right="0" w:firstLine="0"/>
              <w:jc w:val="left"/>
            </w:pPr>
            <w:r>
              <w:rPr>
                <w:rFonts w:ascii="黑体" w:hAnsi="黑体" w:eastAsia="黑体"/>
                <w:b w:val="0"/>
                <w:i w:val="0"/>
                <w:color w:val="000000"/>
                <w:sz w:val="18"/>
              </w:rPr>
              <w:t>年末余额</w:t>
            </w:r>
          </w:p>
        </w:tc>
        <w:tc>
          <w:tcPr>
            <w:tcW w:type="dxa" w:w="1434"/>
            <w:tcBorders>
              <w:top w:sz="4.0" w:val="single" w:color="#000000"/>
              <w:bottom w:sz="3.200000000000273" w:val="single" w:color="#000000"/>
            </w:tcBorders>
            <w:tcMar>
              <w:start w:w="0" w:type="dxa"/>
              <w:end w:w="0" w:type="dxa"/>
            </w:tcMar>
          </w:tcPr>
          <w:p>
            <w:pPr>
              <w:autoSpaceDN w:val="0"/>
              <w:autoSpaceDE w:val="0"/>
              <w:widowControl/>
              <w:spacing w:line="233" w:lineRule="auto" w:before="236" w:after="0"/>
              <w:ind w:left="0" w:right="0" w:firstLine="0"/>
              <w:jc w:val="center"/>
            </w:pPr>
            <w:r>
              <w:rPr>
                <w:rFonts w:ascii="Arial" w:hAnsi="Arial" w:eastAsia="Arial"/>
                <w:b w:val="0"/>
                <w:i w:val="0"/>
                <w:color w:val="000000"/>
                <w:sz w:val="18"/>
              </w:rPr>
              <w:t>302,846,596</w:t>
            </w:r>
          </w:p>
        </w:tc>
        <w:tc>
          <w:tcPr>
            <w:tcW w:type="dxa" w:w="1870"/>
            <w:tcBorders>
              <w:top w:sz="4.0" w:val="single" w:color="#000000"/>
              <w:bottom w:sz="3.200000000000273" w:val="single" w:color="#000000"/>
            </w:tcBorders>
            <w:tcMar>
              <w:start w:w="0" w:type="dxa"/>
              <w:end w:w="0" w:type="dxa"/>
            </w:tcMar>
          </w:tcPr>
          <w:p>
            <w:pPr>
              <w:autoSpaceDN w:val="0"/>
              <w:autoSpaceDE w:val="0"/>
              <w:widowControl/>
              <w:spacing w:line="233" w:lineRule="auto" w:before="236" w:after="0"/>
              <w:ind w:left="0" w:right="180" w:firstLine="0"/>
              <w:jc w:val="right"/>
            </w:pPr>
            <w:r>
              <w:rPr>
                <w:rFonts w:ascii="Arial" w:hAnsi="Arial" w:eastAsia="Arial"/>
                <w:b w:val="0"/>
                <w:i w:val="0"/>
                <w:color w:val="000000"/>
                <w:sz w:val="18"/>
              </w:rPr>
              <w:t>302,846,596</w:t>
            </w:r>
          </w:p>
        </w:tc>
      </w:tr>
      <w:tr>
        <w:trPr>
          <w:trHeight w:hRule="exact" w:val="52"/>
        </w:trPr>
        <w:tc>
          <w:tcPr>
            <w:tcW w:type="dxa" w:w="5476"/>
            <w:tcBorders>
              <w:top w:sz="3.200000000000273" w:val="single" w:color="#000000"/>
            </w:tcBorders>
            <w:tcMar>
              <w:start w:w="0" w:type="dxa"/>
              <w:end w:w="0" w:type="dxa"/>
            </w:tcMar>
          </w:tcPr>
          <w:p/>
        </w:tc>
        <w:tc>
          <w:tcPr>
            <w:tcW w:type="dxa" w:w="1434"/>
            <w:tcBorders>
              <w:top w:sz="3.200000000000273" w:val="single" w:color="#000000"/>
            </w:tcBorders>
            <w:tcMar>
              <w:start w:w="0" w:type="dxa"/>
              <w:end w:w="0" w:type="dxa"/>
            </w:tcMar>
          </w:tcPr>
          <w:p/>
        </w:tc>
        <w:tc>
          <w:tcPr>
            <w:tcW w:type="dxa" w:w="1870"/>
            <w:tcBorders>
              <w:top w:sz="3.200000000000273" w:val="single" w:color="#000000"/>
            </w:tcBorders>
            <w:tcMar>
              <w:start w:w="0" w:type="dxa"/>
              <w:end w:w="0" w:type="dxa"/>
            </w:tcMar>
          </w:tcPr>
          <w:p/>
        </w:tc>
      </w:tr>
    </w:tbl>
    <w:p>
      <w:pPr>
        <w:autoSpaceDN w:val="0"/>
        <w:autoSpaceDE w:val="0"/>
        <w:widowControl/>
        <w:spacing w:line="180" w:lineRule="exact" w:before="204" w:after="26"/>
        <w:ind w:left="358" w:right="0" w:firstLine="0"/>
        <w:jc w:val="left"/>
      </w:pPr>
      <w:r>
        <w:rPr>
          <w:rFonts w:ascii="黑体" w:hAnsi="黑体" w:eastAsia="黑体"/>
          <w:b w:val="0"/>
          <w:i w:val="0"/>
          <w:color w:val="000000"/>
          <w:sz w:val="18"/>
        </w:rPr>
        <w:t>账面价值</w:t>
      </w: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240"/>
        </w:trPr>
        <w:tc>
          <w:tcPr>
            <w:tcW w:type="dxa" w:w="740"/>
            <w:tcBorders>
              <w:bottom w:sz="4.0" w:val="single" w:color="#000000"/>
            </w:tcBorders>
            <w:tcMar>
              <w:start w:w="0" w:type="dxa"/>
              <w:end w:w="0" w:type="dxa"/>
            </w:tcMar>
          </w:tcPr>
          <w:p>
            <w:pPr>
              <w:autoSpaceDN w:val="0"/>
              <w:autoSpaceDE w:val="0"/>
              <w:widowControl/>
              <w:spacing w:line="180" w:lineRule="exact" w:before="28" w:after="0"/>
              <w:ind w:left="0" w:right="0" w:firstLine="0"/>
              <w:jc w:val="center"/>
            </w:pPr>
            <w:r>
              <w:rPr>
                <w:rFonts w:ascii="黑体" w:hAnsi="黑体" w:eastAsia="黑体"/>
                <w:b w:val="0"/>
                <w:i w:val="0"/>
                <w:color w:val="000000"/>
                <w:sz w:val="18"/>
              </w:rPr>
              <w:t>年末</w:t>
            </w:r>
          </w:p>
        </w:tc>
        <w:tc>
          <w:tcPr>
            <w:tcW w:type="dxa" w:w="2396"/>
            <w:tcBorders>
              <w:bottom w:sz="4.0" w:val="single" w:color="#000000"/>
            </w:tcBorders>
            <w:tcMar>
              <w:start w:w="0" w:type="dxa"/>
              <w:end w:w="0" w:type="dxa"/>
            </w:tcMar>
          </w:tcPr>
          <w:p/>
        </w:tc>
        <w:tc>
          <w:tcPr>
            <w:tcW w:type="dxa" w:w="538"/>
            <w:tcBorders>
              <w:bottom w:sz="4.0" w:val="single" w:color="#000000"/>
            </w:tcBorders>
            <w:tcMar>
              <w:start w:w="0" w:type="dxa"/>
              <w:end w:w="0" w:type="dxa"/>
            </w:tcMar>
          </w:tcPr>
          <w:p/>
        </w:tc>
        <w:tc>
          <w:tcPr>
            <w:tcW w:type="dxa" w:w="1802"/>
            <w:tcBorders>
              <w:bottom w:sz="4.0" w:val="single" w:color="#000000"/>
            </w:tcBorders>
            <w:tcMar>
              <w:start w:w="0" w:type="dxa"/>
              <w:end w:w="0" w:type="dxa"/>
            </w:tcMar>
          </w:tcPr>
          <w:p/>
        </w:tc>
        <w:tc>
          <w:tcPr>
            <w:tcW w:type="dxa" w:w="1434"/>
            <w:tcBorders>
              <w:bottom w:sz="4.0" w:val="single" w:color="#000000"/>
            </w:tcBorders>
            <w:tcMar>
              <w:start w:w="0" w:type="dxa"/>
              <w:end w:w="0" w:type="dxa"/>
            </w:tcMar>
          </w:tcPr>
          <w:p>
            <w:pPr>
              <w:autoSpaceDN w:val="0"/>
              <w:autoSpaceDE w:val="0"/>
              <w:widowControl/>
              <w:spacing w:line="235" w:lineRule="auto" w:before="32" w:after="0"/>
              <w:ind w:left="0" w:right="0" w:firstLine="0"/>
              <w:jc w:val="center"/>
            </w:pPr>
            <w:r>
              <w:rPr>
                <w:rFonts w:ascii="Arial" w:hAnsi="Arial" w:eastAsia="Arial"/>
                <w:b w:val="0"/>
                <w:i w:val="0"/>
                <w:color w:val="000000"/>
                <w:sz w:val="18"/>
              </w:rPr>
              <w:t>252,534,614</w:t>
            </w:r>
          </w:p>
        </w:tc>
        <w:tc>
          <w:tcPr>
            <w:tcW w:type="dxa" w:w="1690"/>
            <w:tcBorders>
              <w:bottom w:sz="4.0" w:val="single" w:color="#000000"/>
            </w:tcBorders>
            <w:tcMar>
              <w:start w:w="0" w:type="dxa"/>
              <w:end w:w="0" w:type="dxa"/>
            </w:tcMar>
          </w:tcPr>
          <w:p>
            <w:pPr>
              <w:autoSpaceDN w:val="0"/>
              <w:autoSpaceDE w:val="0"/>
              <w:widowControl/>
              <w:spacing w:line="235" w:lineRule="auto" w:before="32" w:after="0"/>
              <w:ind w:left="0" w:right="0" w:firstLine="0"/>
              <w:jc w:val="right"/>
            </w:pPr>
            <w:r>
              <w:rPr>
                <w:rFonts w:ascii="Arial" w:hAnsi="Arial" w:eastAsia="Arial"/>
                <w:b w:val="0"/>
                <w:i w:val="0"/>
                <w:color w:val="000000"/>
                <w:sz w:val="18"/>
              </w:rPr>
              <w:t>252,534,614</w:t>
            </w:r>
          </w:p>
        </w:tc>
      </w:tr>
      <w:tr>
        <w:trPr>
          <w:trHeight w:hRule="exact" w:val="472"/>
        </w:trPr>
        <w:tc>
          <w:tcPr>
            <w:tcW w:type="dxa" w:w="740"/>
            <w:tcBorders>
              <w:top w:sz="4.0" w:val="single" w:color="#000000"/>
              <w:bottom w:sz="3.199999999999818" w:val="single" w:color="#000000"/>
            </w:tcBorders>
            <w:tcMar>
              <w:start w:w="0" w:type="dxa"/>
              <w:end w:w="0" w:type="dxa"/>
            </w:tcMar>
          </w:tcPr>
          <w:p>
            <w:pPr>
              <w:autoSpaceDN w:val="0"/>
              <w:autoSpaceDE w:val="0"/>
              <w:widowControl/>
              <w:spacing w:line="180" w:lineRule="exact" w:before="256" w:after="0"/>
              <w:ind w:left="0" w:right="0" w:firstLine="0"/>
              <w:jc w:val="center"/>
            </w:pPr>
            <w:r>
              <w:rPr>
                <w:rFonts w:ascii="黑体" w:hAnsi="黑体" w:eastAsia="黑体"/>
                <w:b w:val="0"/>
                <w:i w:val="0"/>
                <w:color w:val="000000"/>
                <w:sz w:val="18"/>
              </w:rPr>
              <w:t>年初</w:t>
            </w:r>
          </w:p>
        </w:tc>
        <w:tc>
          <w:tcPr>
            <w:tcW w:type="dxa" w:w="2396"/>
            <w:tcBorders>
              <w:top w:sz="4.0" w:val="single" w:color="#000000"/>
              <w:bottom w:sz="3.199999999999818" w:val="single" w:color="#000000"/>
            </w:tcBorders>
            <w:tcMar>
              <w:start w:w="0" w:type="dxa"/>
              <w:end w:w="0" w:type="dxa"/>
            </w:tcMar>
          </w:tcPr>
          <w:p/>
        </w:tc>
        <w:tc>
          <w:tcPr>
            <w:tcW w:type="dxa" w:w="538"/>
            <w:tcBorders>
              <w:top w:sz="4.0" w:val="single" w:color="#000000"/>
              <w:bottom w:sz="3.199999999999818" w:val="single" w:color="#000000"/>
            </w:tcBorders>
            <w:tcMar>
              <w:start w:w="0" w:type="dxa"/>
              <w:end w:w="0" w:type="dxa"/>
            </w:tcMar>
          </w:tcPr>
          <w:p/>
        </w:tc>
        <w:tc>
          <w:tcPr>
            <w:tcW w:type="dxa" w:w="1802"/>
            <w:tcBorders>
              <w:top w:sz="4.0" w:val="single" w:color="#000000"/>
              <w:bottom w:sz="3.199999999999818" w:val="single" w:color="#000000"/>
            </w:tcBorders>
            <w:tcMar>
              <w:start w:w="0" w:type="dxa"/>
              <w:end w:w="0" w:type="dxa"/>
            </w:tcMar>
          </w:tcPr>
          <w:p/>
        </w:tc>
        <w:tc>
          <w:tcPr>
            <w:tcW w:type="dxa" w:w="1434"/>
            <w:tcBorders>
              <w:top w:sz="4.0" w:val="single" w:color="#000000"/>
              <w:bottom w:sz="3.199999999999818" w:val="single" w:color="#000000"/>
            </w:tcBorders>
            <w:tcMar>
              <w:start w:w="0" w:type="dxa"/>
              <w:end w:w="0" w:type="dxa"/>
            </w:tcMar>
          </w:tcPr>
          <w:p>
            <w:pPr>
              <w:autoSpaceDN w:val="0"/>
              <w:autoSpaceDE w:val="0"/>
              <w:widowControl/>
              <w:spacing w:line="233" w:lineRule="auto" w:before="262" w:after="0"/>
              <w:ind w:left="0" w:right="0" w:firstLine="0"/>
              <w:jc w:val="center"/>
            </w:pPr>
            <w:r>
              <w:rPr>
                <w:rFonts w:ascii="Arial" w:hAnsi="Arial" w:eastAsia="Arial"/>
                <w:b w:val="0"/>
                <w:i w:val="0"/>
                <w:color w:val="000000"/>
                <w:sz w:val="18"/>
              </w:rPr>
              <w:t>310,141,621</w:t>
            </w:r>
          </w:p>
        </w:tc>
        <w:tc>
          <w:tcPr>
            <w:tcW w:type="dxa" w:w="1690"/>
            <w:tcBorders>
              <w:top w:sz="4.0" w:val="single" w:color="#000000"/>
              <w:bottom w:sz="3.199999999999818" w:val="single" w:color="#000000"/>
            </w:tcBorders>
            <w:tcMar>
              <w:start w:w="0" w:type="dxa"/>
              <w:end w:w="0" w:type="dxa"/>
            </w:tcMar>
          </w:tcPr>
          <w:p>
            <w:pPr>
              <w:autoSpaceDN w:val="0"/>
              <w:autoSpaceDE w:val="0"/>
              <w:widowControl/>
              <w:spacing w:line="233" w:lineRule="auto" w:before="262" w:after="0"/>
              <w:ind w:left="0" w:right="0" w:firstLine="0"/>
              <w:jc w:val="right"/>
            </w:pPr>
            <w:r>
              <w:rPr>
                <w:rFonts w:ascii="Arial" w:hAnsi="Arial" w:eastAsia="Arial"/>
                <w:b w:val="0"/>
                <w:i w:val="0"/>
                <w:color w:val="000000"/>
                <w:sz w:val="18"/>
              </w:rPr>
              <w:t>310,141,621</w:t>
            </w:r>
          </w:p>
        </w:tc>
      </w:tr>
      <w:tr>
        <w:trPr>
          <w:trHeight w:hRule="exact" w:val="984"/>
        </w:trPr>
        <w:tc>
          <w:tcPr>
            <w:tcW w:type="dxa" w:w="740"/>
            <w:tcBorders>
              <w:top w:sz="3.199999999999818" w:val="single" w:color="#000000"/>
              <w:bottom w:sz="3.199999999999818" w:val="single" w:color="#000000"/>
            </w:tcBorders>
            <w:tcMar>
              <w:start w:w="0" w:type="dxa"/>
              <w:end w:w="0" w:type="dxa"/>
            </w:tcMar>
          </w:tcPr>
          <w:p>
            <w:pPr>
              <w:autoSpaceDN w:val="0"/>
              <w:autoSpaceDE w:val="0"/>
              <w:widowControl/>
              <w:spacing w:line="246" w:lineRule="exact" w:before="248" w:after="0"/>
              <w:ind w:left="0" w:right="0" w:firstLine="0"/>
              <w:jc w:val="center"/>
            </w:pPr>
            <w:r>
              <w:rPr>
                <w:rFonts w:ascii="Arial,Bold" w:hAnsi="Arial,Bold" w:eastAsia="Arial,Bold"/>
                <w:b/>
                <w:i w:val="0"/>
                <w:color w:val="000000"/>
                <w:sz w:val="22"/>
              </w:rPr>
              <w:t xml:space="preserve">14. </w:t>
            </w:r>
          </w:p>
        </w:tc>
        <w:tc>
          <w:tcPr>
            <w:tcW w:type="dxa" w:w="2396"/>
            <w:tcBorders>
              <w:top w:sz="3.199999999999818" w:val="single" w:color="#000000"/>
              <w:bottom w:sz="3.199999999999818" w:val="single" w:color="#000000"/>
            </w:tcBorders>
            <w:tcMar>
              <w:start w:w="0" w:type="dxa"/>
              <w:end w:w="0" w:type="dxa"/>
            </w:tcMar>
          </w:tcPr>
          <w:p>
            <w:pPr>
              <w:autoSpaceDN w:val="0"/>
              <w:autoSpaceDE w:val="0"/>
              <w:widowControl/>
              <w:spacing w:line="220" w:lineRule="exact" w:before="258" w:after="0"/>
              <w:ind w:left="186" w:right="0" w:firstLine="0"/>
              <w:jc w:val="left"/>
            </w:pPr>
            <w:r>
              <w:rPr>
                <w:rFonts w:ascii="黑体" w:hAnsi="黑体" w:eastAsia="黑体"/>
                <w:b w:val="0"/>
                <w:i w:val="0"/>
                <w:color w:val="000000"/>
                <w:sz w:val="22"/>
              </w:rPr>
              <w:t>无形资产</w:t>
            </w:r>
          </w:p>
        </w:tc>
        <w:tc>
          <w:tcPr>
            <w:tcW w:type="dxa" w:w="538"/>
            <w:tcBorders>
              <w:top w:sz="3.199999999999818" w:val="single" w:color="#000000"/>
              <w:bottom w:sz="3.199999999999818" w:val="single" w:color="#000000"/>
            </w:tcBorders>
            <w:tcMar>
              <w:start w:w="0" w:type="dxa"/>
              <w:end w:w="0" w:type="dxa"/>
            </w:tcMar>
          </w:tcPr>
          <w:p>
            <w:pPr>
              <w:autoSpaceDN w:val="0"/>
              <w:autoSpaceDE w:val="0"/>
              <w:widowControl/>
              <w:spacing w:line="180" w:lineRule="exact" w:before="792" w:after="0"/>
              <w:ind w:left="0" w:right="0" w:firstLine="0"/>
              <w:jc w:val="center"/>
            </w:pPr>
            <w:r>
              <w:rPr>
                <w:rFonts w:ascii="黑体" w:hAnsi="黑体" w:eastAsia="黑体"/>
                <w:b w:val="0"/>
                <w:i w:val="0"/>
                <w:color w:val="000000"/>
                <w:sz w:val="18"/>
              </w:rPr>
              <w:t>软件费</w:t>
            </w:r>
          </w:p>
        </w:tc>
        <w:tc>
          <w:tcPr>
            <w:tcW w:type="dxa" w:w="1802"/>
            <w:tcBorders>
              <w:top w:sz="3.199999999999818" w:val="single" w:color="#000000"/>
              <w:bottom w:sz="3.199999999999818" w:val="single" w:color="#000000"/>
            </w:tcBorders>
            <w:tcMar>
              <w:start w:w="0" w:type="dxa"/>
              <w:end w:w="0" w:type="dxa"/>
            </w:tcMar>
          </w:tcPr>
          <w:p>
            <w:pPr>
              <w:autoSpaceDN w:val="0"/>
              <w:autoSpaceDE w:val="0"/>
              <w:widowControl/>
              <w:spacing w:line="180" w:lineRule="exact" w:before="792" w:after="0"/>
              <w:ind w:left="0" w:right="236" w:firstLine="0"/>
              <w:jc w:val="right"/>
            </w:pPr>
            <w:r>
              <w:rPr>
                <w:rFonts w:ascii="黑体" w:hAnsi="黑体" w:eastAsia="黑体"/>
                <w:b w:val="0"/>
                <w:i w:val="0"/>
                <w:color w:val="000000"/>
                <w:sz w:val="18"/>
              </w:rPr>
              <w:t>交易席位费</w:t>
            </w:r>
          </w:p>
        </w:tc>
        <w:tc>
          <w:tcPr>
            <w:tcW w:type="dxa" w:w="1434"/>
            <w:tcBorders>
              <w:top w:sz="3.199999999999818" w:val="single" w:color="#000000"/>
              <w:bottom w:sz="3.199999999999818" w:val="single" w:color="#000000"/>
            </w:tcBorders>
            <w:tcMar>
              <w:start w:w="0" w:type="dxa"/>
              <w:end w:w="0" w:type="dxa"/>
            </w:tcMar>
          </w:tcPr>
          <w:p>
            <w:pPr>
              <w:autoSpaceDN w:val="0"/>
              <w:autoSpaceDE w:val="0"/>
              <w:widowControl/>
              <w:spacing w:line="180" w:lineRule="exact" w:before="792" w:after="0"/>
              <w:ind w:left="0" w:right="100" w:firstLine="0"/>
              <w:jc w:val="right"/>
            </w:pPr>
            <w:r>
              <w:rPr>
                <w:rFonts w:ascii="黑体" w:hAnsi="黑体" w:eastAsia="黑体"/>
                <w:b w:val="0"/>
                <w:i w:val="0"/>
                <w:color w:val="000000"/>
                <w:sz w:val="18"/>
              </w:rPr>
              <w:t>土地使用权</w:t>
            </w:r>
          </w:p>
        </w:tc>
        <w:tc>
          <w:tcPr>
            <w:tcW w:type="dxa" w:w="1690"/>
            <w:tcBorders>
              <w:top w:sz="3.199999999999818" w:val="single" w:color="#000000"/>
              <w:bottom w:sz="3.199999999999818" w:val="single" w:color="#000000"/>
            </w:tcBorders>
            <w:tcMar>
              <w:start w:w="0" w:type="dxa"/>
              <w:end w:w="0" w:type="dxa"/>
            </w:tcMar>
          </w:tcPr>
          <w:p>
            <w:pPr>
              <w:autoSpaceDN w:val="0"/>
              <w:autoSpaceDE w:val="0"/>
              <w:widowControl/>
              <w:spacing w:line="180" w:lineRule="exact" w:before="792" w:after="0"/>
              <w:ind w:left="0" w:right="86" w:firstLine="0"/>
              <w:jc w:val="right"/>
            </w:pPr>
            <w:r>
              <w:rPr>
                <w:rFonts w:ascii="黑体" w:hAnsi="黑体" w:eastAsia="黑体"/>
                <w:b w:val="0"/>
                <w:i w:val="0"/>
                <w:color w:val="000000"/>
                <w:sz w:val="18"/>
              </w:rPr>
              <w:t>合计</w:t>
            </w:r>
          </w:p>
        </w:tc>
      </w:tr>
      <w:tr>
        <w:trPr>
          <w:trHeight w:hRule="exact" w:val="52"/>
        </w:trPr>
        <w:tc>
          <w:tcPr>
            <w:tcW w:type="dxa" w:w="740"/>
            <w:tcBorders>
              <w:top w:sz="3.199999999999818" w:val="single" w:color="#000000"/>
            </w:tcBorders>
            <w:tcMar>
              <w:start w:w="0" w:type="dxa"/>
              <w:end w:w="0" w:type="dxa"/>
            </w:tcMar>
          </w:tcPr>
          <w:p/>
        </w:tc>
        <w:tc>
          <w:tcPr>
            <w:tcW w:type="dxa" w:w="2396"/>
            <w:tcBorders>
              <w:top w:sz="3.199999999999818" w:val="single" w:color="#000000"/>
            </w:tcBorders>
            <w:tcMar>
              <w:start w:w="0" w:type="dxa"/>
              <w:end w:w="0" w:type="dxa"/>
            </w:tcMar>
          </w:tcPr>
          <w:p/>
        </w:tc>
        <w:tc>
          <w:tcPr>
            <w:tcW w:type="dxa" w:w="538"/>
            <w:tcBorders>
              <w:top w:sz="3.199999999999818" w:val="single" w:color="#000000"/>
            </w:tcBorders>
            <w:tcMar>
              <w:start w:w="0" w:type="dxa"/>
              <w:end w:w="0" w:type="dxa"/>
            </w:tcMar>
          </w:tcPr>
          <w:p/>
        </w:tc>
        <w:tc>
          <w:tcPr>
            <w:tcW w:type="dxa" w:w="1802"/>
            <w:tcBorders>
              <w:top w:sz="3.199999999999818" w:val="single" w:color="#000000"/>
            </w:tcBorders>
            <w:tcMar>
              <w:start w:w="0" w:type="dxa"/>
              <w:end w:w="0" w:type="dxa"/>
            </w:tcMar>
          </w:tcPr>
          <w:p/>
        </w:tc>
        <w:tc>
          <w:tcPr>
            <w:tcW w:type="dxa" w:w="1434"/>
            <w:tcBorders>
              <w:top w:sz="3.199999999999818" w:val="single" w:color="#000000"/>
            </w:tcBorders>
            <w:tcMar>
              <w:start w:w="0" w:type="dxa"/>
              <w:end w:w="0" w:type="dxa"/>
            </w:tcMar>
          </w:tcPr>
          <w:p/>
        </w:tc>
        <w:tc>
          <w:tcPr>
            <w:tcW w:type="dxa" w:w="1690"/>
            <w:tcBorders>
              <w:top w:sz="3.199999999999818" w:val="single" w:color="#000000"/>
            </w:tcBorders>
            <w:tcMar>
              <w:start w:w="0" w:type="dxa"/>
              <w:end w:w="0" w:type="dxa"/>
            </w:tcMar>
          </w:tcPr>
          <w:p/>
        </w:tc>
      </w:tr>
    </w:tbl>
    <w:p>
      <w:pPr>
        <w:autoSpaceDN w:val="0"/>
        <w:autoSpaceDE w:val="0"/>
        <w:widowControl/>
        <w:spacing w:line="180" w:lineRule="exact" w:before="198" w:after="28"/>
        <w:ind w:left="358" w:right="0" w:firstLine="0"/>
        <w:jc w:val="left"/>
      </w:pPr>
      <w:r>
        <w:rPr>
          <w:rFonts w:ascii="黑体" w:hAnsi="黑体" w:eastAsia="黑体"/>
          <w:b w:val="0"/>
          <w:i w:val="0"/>
          <w:color w:val="000000"/>
          <w:sz w:val="18"/>
        </w:rPr>
        <w:t>原值</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02"/>
        </w:trPr>
        <w:tc>
          <w:tcPr>
            <w:tcW w:type="dxa" w:w="2194"/>
            <w:tcBorders/>
            <w:tcMar>
              <w:start w:w="0" w:type="dxa"/>
              <w:end w:w="0" w:type="dxa"/>
            </w:tcMar>
          </w:tcPr>
          <w:p>
            <w:pPr>
              <w:autoSpaceDN w:val="0"/>
              <w:autoSpaceDE w:val="0"/>
              <w:widowControl/>
              <w:spacing w:line="180" w:lineRule="exact" w:before="22" w:after="0"/>
              <w:ind w:left="198" w:right="0" w:firstLine="0"/>
              <w:jc w:val="left"/>
            </w:pPr>
            <w:r>
              <w:rPr>
                <w:rFonts w:ascii="黑体" w:hAnsi="黑体" w:eastAsia="黑体"/>
                <w:b w:val="0"/>
                <w:i w:val="0"/>
                <w:color w:val="000000"/>
                <w:sz w:val="18"/>
              </w:rPr>
              <w:t>年初余额</w:t>
            </w:r>
          </w:p>
        </w:tc>
        <w:tc>
          <w:tcPr>
            <w:tcW w:type="dxa" w:w="1698"/>
            <w:vMerge w:val="restart"/>
            <w:tcBorders/>
            <w:tcMar>
              <w:start w:w="0" w:type="dxa"/>
              <w:end w:w="0" w:type="dxa"/>
            </w:tcMar>
            <w:tcMar>
              <w:start w:w="0" w:type="dxa"/>
              <w:end w:w="0" w:type="dxa"/>
            </w:tcMar>
          </w:tcPr>
          <w:p>
            <w:pPr>
              <w:autoSpaceDN w:val="0"/>
              <w:autoSpaceDE w:val="0"/>
              <w:widowControl/>
              <w:spacing w:line="233" w:lineRule="auto" w:before="34" w:after="0"/>
              <w:ind w:left="0" w:right="216" w:firstLine="0"/>
              <w:jc w:val="right"/>
            </w:pPr>
            <w:r>
              <w:rPr>
                <w:rFonts w:ascii="Arial" w:hAnsi="Arial" w:eastAsia="Arial"/>
                <w:b w:val="0"/>
                <w:i w:val="0"/>
                <w:color w:val="000000"/>
                <w:sz w:val="18"/>
              </w:rPr>
              <w:t>588,490,543</w:t>
            </w:r>
          </w:p>
        </w:tc>
        <w:tc>
          <w:tcPr>
            <w:tcW w:type="dxa" w:w="1570"/>
            <w:vMerge w:val="restart"/>
            <w:tcBorders/>
            <w:tcMar>
              <w:start w:w="0" w:type="dxa"/>
              <w:end w:w="0" w:type="dxa"/>
            </w:tcMar>
            <w:tcMar>
              <w:start w:w="0" w:type="dxa"/>
              <w:end w:w="0" w:type="dxa"/>
            </w:tcMar>
          </w:tcPr>
          <w:p>
            <w:pPr>
              <w:autoSpaceDN w:val="0"/>
              <w:autoSpaceDE w:val="0"/>
              <w:widowControl/>
              <w:spacing w:line="233" w:lineRule="auto" w:before="34" w:after="0"/>
              <w:ind w:left="0" w:right="170" w:firstLine="0"/>
              <w:jc w:val="right"/>
            </w:pPr>
            <w:r>
              <w:rPr>
                <w:rFonts w:ascii="Arial" w:hAnsi="Arial" w:eastAsia="Arial"/>
                <w:b w:val="0"/>
                <w:i w:val="0"/>
                <w:color w:val="000000"/>
                <w:sz w:val="18"/>
              </w:rPr>
              <w:t xml:space="preserve">28,744,147 </w:t>
            </w:r>
          </w:p>
        </w:tc>
        <w:tc>
          <w:tcPr>
            <w:tcW w:type="dxa" w:w="1350"/>
            <w:vMerge w:val="restart"/>
            <w:tcBorders/>
            <w:tcMar>
              <w:start w:w="0" w:type="dxa"/>
              <w:end w:w="0" w:type="dxa"/>
            </w:tcMar>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18"/>
              </w:rPr>
              <w:t>1,290,795</w:t>
            </w:r>
          </w:p>
        </w:tc>
        <w:tc>
          <w:tcPr>
            <w:tcW w:type="dxa" w:w="1928"/>
            <w:vMerge w:val="restart"/>
            <w:tcBorders/>
            <w:tcMar>
              <w:start w:w="0" w:type="dxa"/>
              <w:end w:w="0" w:type="dxa"/>
            </w:tcMar>
            <w:tcMar>
              <w:start w:w="0" w:type="dxa"/>
              <w:end w:w="0" w:type="dxa"/>
            </w:tcMar>
          </w:tcPr>
          <w:p>
            <w:pPr>
              <w:autoSpaceDN w:val="0"/>
              <w:autoSpaceDE w:val="0"/>
              <w:widowControl/>
              <w:spacing w:line="233" w:lineRule="auto" w:before="34" w:after="0"/>
              <w:ind w:left="0" w:right="176" w:firstLine="0"/>
              <w:jc w:val="right"/>
            </w:pPr>
            <w:r>
              <w:rPr>
                <w:rFonts w:ascii="Arial" w:hAnsi="Arial" w:eastAsia="Arial"/>
                <w:b w:val="0"/>
                <w:i w:val="0"/>
                <w:color w:val="000000"/>
                <w:sz w:val="18"/>
              </w:rPr>
              <w:t xml:space="preserve">618,525,485 </w:t>
            </w:r>
          </w:p>
        </w:tc>
      </w:tr>
      <w:tr>
        <w:trPr>
          <w:trHeight w:hRule="exact" w:val="48"/>
        </w:trPr>
        <w:tc>
          <w:tcPr>
            <w:tcW w:type="dxa" w:w="2194"/>
            <w:vMerge w:val="restart"/>
            <w:tcBorders/>
            <w:tcMar>
              <w:start w:w="0" w:type="dxa"/>
              <w:end w:w="0" w:type="dxa"/>
            </w:tcMar>
            <w:tcMar>
              <w:start w:w="0" w:type="dxa"/>
              <w:end w:w="0" w:type="dxa"/>
            </w:tcMar>
          </w:tcPr>
          <w:p>
            <w:pPr>
              <w:autoSpaceDN w:val="0"/>
              <w:autoSpaceDE w:val="0"/>
              <w:widowControl/>
              <w:spacing w:line="180" w:lineRule="exact" w:before="58" w:after="0"/>
              <w:ind w:left="198" w:right="0" w:firstLine="0"/>
              <w:jc w:val="left"/>
            </w:pPr>
            <w:r>
              <w:rPr>
                <w:rFonts w:ascii="黑体" w:hAnsi="黑体" w:eastAsia="黑体"/>
                <w:b w:val="0"/>
                <w:i w:val="0"/>
                <w:color w:val="000000"/>
                <w:sz w:val="18"/>
              </w:rPr>
              <w:t>增加</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192"/>
        </w:trPr>
        <w:tc>
          <w:tcPr>
            <w:tcW w:type="dxa" w:w="1805"/>
            <w:vMerge/>
            <w:tcBorders/>
          </w:tcPr>
          <w:p/>
        </w:tc>
        <w:tc>
          <w:tcPr>
            <w:tcW w:type="dxa" w:w="1698"/>
            <w:vMerge w:val="restart"/>
            <w:tcBorders/>
            <w:tcMar>
              <w:start w:w="0" w:type="dxa"/>
              <w:end w:w="0" w:type="dxa"/>
            </w:tcMar>
            <w:tcMar>
              <w:start w:w="0" w:type="dxa"/>
              <w:end w:w="0" w:type="dxa"/>
            </w:tcMar>
          </w:tcPr>
          <w:p>
            <w:pPr>
              <w:autoSpaceDN w:val="0"/>
              <w:autoSpaceDE w:val="0"/>
              <w:widowControl/>
              <w:spacing w:line="235" w:lineRule="auto" w:before="16" w:after="0"/>
              <w:ind w:left="0" w:right="216" w:firstLine="0"/>
              <w:jc w:val="right"/>
            </w:pPr>
            <w:r>
              <w:rPr>
                <w:rFonts w:ascii="Arial" w:hAnsi="Arial" w:eastAsia="Arial"/>
                <w:b w:val="0"/>
                <w:i w:val="0"/>
                <w:color w:val="000000"/>
                <w:sz w:val="18"/>
              </w:rPr>
              <w:t>101,568,490</w:t>
            </w:r>
          </w:p>
        </w:tc>
        <w:tc>
          <w:tcPr>
            <w:tcW w:type="dxa" w:w="1570"/>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 xml:space="preserve">- </w:t>
            </w:r>
          </w:p>
        </w:tc>
        <w:tc>
          <w:tcPr>
            <w:tcW w:type="dxa" w:w="1350"/>
            <w:vMerge w:val="restart"/>
            <w:tcBorders/>
            <w:tcMar>
              <w:start w:w="0" w:type="dxa"/>
              <w:end w:w="0" w:type="dxa"/>
            </w:tcMar>
            <w:tcMar>
              <w:start w:w="0" w:type="dxa"/>
              <w:end w:w="0" w:type="dxa"/>
            </w:tcMar>
          </w:tcPr>
          <w:p>
            <w:pPr>
              <w:autoSpaceDN w:val="0"/>
              <w:autoSpaceDE w:val="0"/>
              <w:widowControl/>
              <w:spacing w:line="235" w:lineRule="auto" w:before="16" w:after="0"/>
              <w:ind w:left="0" w:right="2" w:firstLine="0"/>
              <w:jc w:val="right"/>
            </w:pPr>
            <w:r>
              <w:rPr>
                <w:rFonts w:ascii="Arial" w:hAnsi="Arial" w:eastAsia="Arial"/>
                <w:b w:val="0"/>
                <w:i w:val="0"/>
                <w:color w:val="000000"/>
                <w:sz w:val="18"/>
              </w:rPr>
              <w:t>-</w:t>
            </w:r>
          </w:p>
        </w:tc>
        <w:tc>
          <w:tcPr>
            <w:tcW w:type="dxa" w:w="1928"/>
            <w:vMerge w:val="restart"/>
            <w:tcBorders/>
            <w:tcMar>
              <w:start w:w="0" w:type="dxa"/>
              <w:end w:w="0" w:type="dxa"/>
            </w:tcMar>
            <w:tcMar>
              <w:start w:w="0" w:type="dxa"/>
              <w:end w:w="0" w:type="dxa"/>
            </w:tcMar>
          </w:tcPr>
          <w:p>
            <w:pPr>
              <w:autoSpaceDN w:val="0"/>
              <w:autoSpaceDE w:val="0"/>
              <w:widowControl/>
              <w:spacing w:line="235" w:lineRule="auto" w:before="16" w:after="0"/>
              <w:ind w:left="0" w:right="176" w:firstLine="0"/>
              <w:jc w:val="right"/>
            </w:pPr>
            <w:r>
              <w:rPr>
                <w:rFonts w:ascii="Arial" w:hAnsi="Arial" w:eastAsia="Arial"/>
                <w:b w:val="0"/>
                <w:i w:val="0"/>
                <w:color w:val="000000"/>
                <w:sz w:val="18"/>
              </w:rPr>
              <w:t xml:space="preserve">101,568,490 </w:t>
            </w:r>
          </w:p>
        </w:tc>
      </w:tr>
      <w:tr>
        <w:trPr>
          <w:trHeight w:hRule="exact" w:val="42"/>
        </w:trPr>
        <w:tc>
          <w:tcPr>
            <w:tcW w:type="dxa" w:w="2194"/>
            <w:vMerge w:val="restart"/>
            <w:tcBorders/>
            <w:tcMar>
              <w:start w:w="0" w:type="dxa"/>
              <w:end w:w="0" w:type="dxa"/>
            </w:tcMar>
            <w:tcMar>
              <w:start w:w="0" w:type="dxa"/>
              <w:end w:w="0" w:type="dxa"/>
            </w:tcMar>
          </w:tcPr>
          <w:p>
            <w:pPr>
              <w:autoSpaceDN w:val="0"/>
              <w:autoSpaceDE w:val="0"/>
              <w:widowControl/>
              <w:spacing w:line="180" w:lineRule="exact" w:before="52" w:after="0"/>
              <w:ind w:left="198" w:right="0" w:firstLine="0"/>
              <w:jc w:val="left"/>
            </w:pPr>
            <w:r>
              <w:rPr>
                <w:rFonts w:ascii="黑体" w:hAnsi="黑体" w:eastAsia="黑体"/>
                <w:b w:val="0"/>
                <w:i w:val="0"/>
                <w:color w:val="000000"/>
                <w:sz w:val="18"/>
              </w:rPr>
              <w:t>减少</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198"/>
        </w:trPr>
        <w:tc>
          <w:tcPr>
            <w:tcW w:type="dxa" w:w="1805"/>
            <w:vMerge/>
            <w:tcBorders/>
          </w:tcPr>
          <w:p/>
        </w:tc>
        <w:tc>
          <w:tcPr>
            <w:tcW w:type="dxa" w:w="1698"/>
            <w:tcBorders/>
            <w:tcMar>
              <w:start w:w="0" w:type="dxa"/>
              <w:end w:w="0" w:type="dxa"/>
            </w:tcMar>
          </w:tcPr>
          <w:p>
            <w:pPr>
              <w:autoSpaceDN w:val="0"/>
              <w:autoSpaceDE w:val="0"/>
              <w:widowControl/>
              <w:spacing w:line="233" w:lineRule="auto" w:before="0" w:after="0"/>
              <w:ind w:left="0" w:right="108" w:firstLine="0"/>
              <w:jc w:val="right"/>
            </w:pPr>
            <w:r>
              <w:rPr>
                <w:rFonts w:ascii="Arial" w:hAnsi="Arial" w:eastAsia="Arial"/>
                <w:b w:val="0"/>
                <w:i w:val="0"/>
                <w:color w:val="000000"/>
                <w:sz w:val="18"/>
              </w:rPr>
              <w:t xml:space="preserve">(1,680,912) </w:t>
            </w:r>
          </w:p>
        </w:tc>
        <w:tc>
          <w:tcPr>
            <w:tcW w:type="dxa" w:w="1570"/>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 xml:space="preserve">- </w:t>
            </w:r>
          </w:p>
        </w:tc>
        <w:tc>
          <w:tcPr>
            <w:tcW w:type="dxa" w:w="1350"/>
            <w:tcBorders/>
            <w:tcMar>
              <w:start w:w="0" w:type="dxa"/>
              <w:end w:w="0" w:type="dxa"/>
            </w:tcMar>
          </w:tcPr>
          <w:p>
            <w:pPr>
              <w:autoSpaceDN w:val="0"/>
              <w:autoSpaceDE w:val="0"/>
              <w:widowControl/>
              <w:spacing w:line="233" w:lineRule="auto" w:before="0" w:after="0"/>
              <w:ind w:left="0" w:right="2" w:firstLine="0"/>
              <w:jc w:val="right"/>
            </w:pPr>
            <w:r>
              <w:rPr>
                <w:rFonts w:ascii="Arial" w:hAnsi="Arial" w:eastAsia="Arial"/>
                <w:b w:val="0"/>
                <w:i w:val="0"/>
                <w:color w:val="000000"/>
                <w:sz w:val="18"/>
              </w:rPr>
              <w:t>-</w:t>
            </w:r>
          </w:p>
        </w:tc>
        <w:tc>
          <w:tcPr>
            <w:tcW w:type="dxa" w:w="1928"/>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8"/>
              </w:rPr>
              <w:t xml:space="preserve">(1,680,912 ) </w:t>
            </w:r>
          </w:p>
        </w:tc>
      </w:tr>
      <w:tr>
        <w:trPr>
          <w:trHeight w:hRule="exact" w:val="260"/>
        </w:trPr>
        <w:tc>
          <w:tcPr>
            <w:tcW w:type="dxa" w:w="2194"/>
            <w:tcBorders>
              <w:bottom w:sz="4.0" w:val="single" w:color="#000000"/>
            </w:tcBorders>
            <w:tcMar>
              <w:start w:w="0" w:type="dxa"/>
              <w:end w:w="0" w:type="dxa"/>
            </w:tcMar>
          </w:tcPr>
          <w:p>
            <w:pPr>
              <w:autoSpaceDN w:val="0"/>
              <w:autoSpaceDE w:val="0"/>
              <w:widowControl/>
              <w:spacing w:line="180" w:lineRule="exact" w:before="46" w:after="0"/>
              <w:ind w:left="198" w:right="0" w:firstLine="0"/>
              <w:jc w:val="left"/>
            </w:pPr>
            <w:r>
              <w:rPr>
                <w:rFonts w:ascii="黑体" w:hAnsi="黑体" w:eastAsia="黑体"/>
                <w:b w:val="0"/>
                <w:i w:val="0"/>
                <w:color w:val="000000"/>
                <w:sz w:val="18"/>
              </w:rPr>
              <w:t>汇率变动影响</w:t>
            </w:r>
          </w:p>
        </w:tc>
        <w:tc>
          <w:tcPr>
            <w:tcW w:type="dxa" w:w="1698"/>
            <w:tcBorders>
              <w:bottom w:sz="4.0" w:val="single" w:color="#000000"/>
            </w:tcBorders>
            <w:tcMar>
              <w:start w:w="0" w:type="dxa"/>
              <w:end w:w="0" w:type="dxa"/>
            </w:tcMar>
          </w:tcPr>
          <w:p>
            <w:pPr>
              <w:autoSpaceDN w:val="0"/>
              <w:autoSpaceDE w:val="0"/>
              <w:widowControl/>
              <w:spacing w:line="235" w:lineRule="auto" w:before="52" w:after="0"/>
              <w:ind w:left="0" w:right="216" w:firstLine="0"/>
              <w:jc w:val="right"/>
            </w:pPr>
            <w:r>
              <w:rPr>
                <w:rFonts w:ascii="Arial" w:hAnsi="Arial" w:eastAsia="Arial"/>
                <w:b w:val="0"/>
                <w:i w:val="0"/>
                <w:color w:val="000000"/>
                <w:sz w:val="18"/>
              </w:rPr>
              <w:t>-</w:t>
            </w:r>
          </w:p>
        </w:tc>
        <w:tc>
          <w:tcPr>
            <w:tcW w:type="dxa" w:w="1570"/>
            <w:tcBorders>
              <w:bottom w:sz="4.0" w:val="single" w:color="#000000"/>
            </w:tcBorders>
            <w:tcMar>
              <w:start w:w="0" w:type="dxa"/>
              <w:end w:w="0" w:type="dxa"/>
            </w:tcMar>
          </w:tcPr>
          <w:p>
            <w:pPr>
              <w:autoSpaceDN w:val="0"/>
              <w:autoSpaceDE w:val="0"/>
              <w:widowControl/>
              <w:spacing w:line="235" w:lineRule="auto" w:before="52" w:after="0"/>
              <w:ind w:left="0" w:right="170" w:firstLine="0"/>
              <w:jc w:val="right"/>
            </w:pPr>
            <w:r>
              <w:rPr>
                <w:rFonts w:ascii="Arial" w:hAnsi="Arial" w:eastAsia="Arial"/>
                <w:b w:val="0"/>
                <w:i w:val="0"/>
                <w:color w:val="000000"/>
                <w:sz w:val="18"/>
              </w:rPr>
              <w:t xml:space="preserve">19,820 </w:t>
            </w:r>
          </w:p>
        </w:tc>
        <w:tc>
          <w:tcPr>
            <w:tcW w:type="dxa" w:w="1350"/>
            <w:tcBorders>
              <w:bottom w:sz="4.0" w:val="single" w:color="#000000"/>
            </w:tcBorders>
            <w:tcMar>
              <w:start w:w="0" w:type="dxa"/>
              <w:end w:w="0" w:type="dxa"/>
            </w:tcMar>
          </w:tcPr>
          <w:p>
            <w:pPr>
              <w:autoSpaceDN w:val="0"/>
              <w:autoSpaceDE w:val="0"/>
              <w:widowControl/>
              <w:spacing w:line="235" w:lineRule="auto" w:before="52" w:after="0"/>
              <w:ind w:left="0" w:right="2" w:firstLine="0"/>
              <w:jc w:val="right"/>
            </w:pPr>
            <w:r>
              <w:rPr>
                <w:rFonts w:ascii="Arial" w:hAnsi="Arial" w:eastAsia="Arial"/>
                <w:b w:val="0"/>
                <w:i w:val="0"/>
                <w:color w:val="000000"/>
                <w:sz w:val="18"/>
              </w:rPr>
              <w:t>-</w:t>
            </w:r>
          </w:p>
        </w:tc>
        <w:tc>
          <w:tcPr>
            <w:tcW w:type="dxa" w:w="1928"/>
            <w:tcBorders>
              <w:bottom w:sz="4.0" w:val="single" w:color="#000000"/>
            </w:tcBorders>
            <w:tcMar>
              <w:start w:w="0" w:type="dxa"/>
              <w:end w:w="0" w:type="dxa"/>
            </w:tcMar>
          </w:tcPr>
          <w:p>
            <w:pPr>
              <w:autoSpaceDN w:val="0"/>
              <w:autoSpaceDE w:val="0"/>
              <w:widowControl/>
              <w:spacing w:line="235" w:lineRule="auto" w:before="52" w:after="0"/>
              <w:ind w:left="0" w:right="176" w:firstLine="0"/>
              <w:jc w:val="right"/>
            </w:pPr>
            <w:r>
              <w:rPr>
                <w:rFonts w:ascii="Arial" w:hAnsi="Arial" w:eastAsia="Arial"/>
                <w:b w:val="0"/>
                <w:i w:val="0"/>
                <w:color w:val="000000"/>
                <w:sz w:val="18"/>
              </w:rPr>
              <w:t xml:space="preserve">19,820 </w:t>
            </w:r>
          </w:p>
        </w:tc>
      </w:tr>
      <w:tr>
        <w:trPr>
          <w:trHeight w:hRule="exact" w:val="450"/>
        </w:trPr>
        <w:tc>
          <w:tcPr>
            <w:tcW w:type="dxa" w:w="2194"/>
            <w:tcBorders>
              <w:top w:sz="4.0" w:val="single" w:color="#000000"/>
              <w:bottom w:sz="4.0"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年末余额</w:t>
            </w:r>
          </w:p>
        </w:tc>
        <w:tc>
          <w:tcPr>
            <w:tcW w:type="dxa" w:w="1698"/>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216" w:firstLine="0"/>
              <w:jc w:val="right"/>
            </w:pPr>
            <w:r>
              <w:rPr>
                <w:rFonts w:ascii="Arial" w:hAnsi="Arial" w:eastAsia="Arial"/>
                <w:b w:val="0"/>
                <w:i w:val="0"/>
                <w:color w:val="000000"/>
                <w:sz w:val="18"/>
              </w:rPr>
              <w:t>688,378,121</w:t>
            </w:r>
          </w:p>
        </w:tc>
        <w:tc>
          <w:tcPr>
            <w:tcW w:type="dxa" w:w="157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170" w:firstLine="0"/>
              <w:jc w:val="right"/>
            </w:pPr>
            <w:r>
              <w:rPr>
                <w:rFonts w:ascii="Arial" w:hAnsi="Arial" w:eastAsia="Arial"/>
                <w:b w:val="0"/>
                <w:i w:val="0"/>
                <w:color w:val="000000"/>
                <w:sz w:val="18"/>
              </w:rPr>
              <w:t xml:space="preserve">28,763,967 </w:t>
            </w:r>
          </w:p>
        </w:tc>
        <w:tc>
          <w:tcPr>
            <w:tcW w:type="dxa" w:w="135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0" w:firstLine="0"/>
              <w:jc w:val="right"/>
            </w:pPr>
            <w:r>
              <w:rPr>
                <w:rFonts w:ascii="Arial" w:hAnsi="Arial" w:eastAsia="Arial"/>
                <w:b w:val="0"/>
                <w:i w:val="0"/>
                <w:color w:val="000000"/>
                <w:sz w:val="18"/>
              </w:rPr>
              <w:t>1,290,795</w:t>
            </w:r>
          </w:p>
        </w:tc>
        <w:tc>
          <w:tcPr>
            <w:tcW w:type="dxa" w:w="1928"/>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176" w:firstLine="0"/>
              <w:jc w:val="right"/>
            </w:pPr>
            <w:r>
              <w:rPr>
                <w:rFonts w:ascii="Arial" w:hAnsi="Arial" w:eastAsia="Arial"/>
                <w:b w:val="0"/>
                <w:i w:val="0"/>
                <w:color w:val="000000"/>
                <w:sz w:val="18"/>
              </w:rPr>
              <w:t xml:space="preserve">718,432,883 </w:t>
            </w:r>
          </w:p>
        </w:tc>
      </w:tr>
      <w:tr>
        <w:trPr>
          <w:trHeight w:hRule="exact" w:val="54"/>
        </w:trPr>
        <w:tc>
          <w:tcPr>
            <w:tcW w:type="dxa" w:w="2194"/>
            <w:tcBorders>
              <w:top w:sz="4.0" w:val="single" w:color="#000000"/>
            </w:tcBorders>
            <w:tcMar>
              <w:start w:w="0" w:type="dxa"/>
              <w:end w:w="0" w:type="dxa"/>
            </w:tcMar>
          </w:tcPr>
          <w:p/>
        </w:tc>
        <w:tc>
          <w:tcPr>
            <w:tcW w:type="dxa" w:w="1698"/>
            <w:tcBorders>
              <w:top w:sz="4.0" w:val="single" w:color="#000000"/>
            </w:tcBorders>
            <w:tcMar>
              <w:start w:w="0" w:type="dxa"/>
              <w:end w:w="0" w:type="dxa"/>
            </w:tcMar>
          </w:tcPr>
          <w:p/>
        </w:tc>
        <w:tc>
          <w:tcPr>
            <w:tcW w:type="dxa" w:w="1570"/>
            <w:tcBorders>
              <w:top w:sz="4.0" w:val="single" w:color="#000000"/>
            </w:tcBorders>
            <w:tcMar>
              <w:start w:w="0" w:type="dxa"/>
              <w:end w:w="0" w:type="dxa"/>
            </w:tcMar>
          </w:tcPr>
          <w:p/>
        </w:tc>
        <w:tc>
          <w:tcPr>
            <w:tcW w:type="dxa" w:w="1350"/>
            <w:tcBorders>
              <w:top w:sz="4.0" w:val="single" w:color="#000000"/>
            </w:tcBorders>
            <w:tcMar>
              <w:start w:w="0" w:type="dxa"/>
              <w:end w:w="0" w:type="dxa"/>
            </w:tcMar>
          </w:tcPr>
          <w:p/>
        </w:tc>
        <w:tc>
          <w:tcPr>
            <w:tcW w:type="dxa" w:w="1928"/>
            <w:tcBorders>
              <w:top w:sz="4.0" w:val="single" w:color="#000000"/>
            </w:tcBorders>
            <w:tcMar>
              <w:start w:w="0" w:type="dxa"/>
              <w:end w:w="0" w:type="dxa"/>
            </w:tcMar>
          </w:tcPr>
          <w:p/>
        </w:tc>
      </w:tr>
    </w:tbl>
    <w:p>
      <w:pPr>
        <w:autoSpaceDN w:val="0"/>
        <w:autoSpaceDE w:val="0"/>
        <w:widowControl/>
        <w:spacing w:line="180" w:lineRule="exact" w:before="202" w:after="26"/>
        <w:ind w:left="358" w:right="0" w:firstLine="0"/>
        <w:jc w:val="left"/>
      </w:pPr>
      <w:r>
        <w:rPr>
          <w:rFonts w:ascii="黑体" w:hAnsi="黑体" w:eastAsia="黑体"/>
          <w:b w:val="0"/>
          <w:i w:val="0"/>
          <w:color w:val="000000"/>
          <w:sz w:val="18"/>
        </w:rPr>
        <w:t>累计摊销</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08"/>
        </w:trPr>
        <w:tc>
          <w:tcPr>
            <w:tcW w:type="dxa" w:w="2194"/>
            <w:tcBorders/>
            <w:tcMar>
              <w:start w:w="0" w:type="dxa"/>
              <w:end w:w="0" w:type="dxa"/>
            </w:tcMar>
          </w:tcPr>
          <w:p>
            <w:pPr>
              <w:autoSpaceDN w:val="0"/>
              <w:autoSpaceDE w:val="0"/>
              <w:widowControl/>
              <w:spacing w:line="180" w:lineRule="exact" w:before="28" w:after="0"/>
              <w:ind w:left="198" w:right="0" w:firstLine="0"/>
              <w:jc w:val="left"/>
            </w:pPr>
            <w:r>
              <w:rPr>
                <w:rFonts w:ascii="黑体" w:hAnsi="黑体" w:eastAsia="黑体"/>
                <w:b w:val="0"/>
                <w:i w:val="0"/>
                <w:color w:val="000000"/>
                <w:sz w:val="18"/>
              </w:rPr>
              <w:t>年初余额</w:t>
            </w:r>
          </w:p>
        </w:tc>
        <w:tc>
          <w:tcPr>
            <w:tcW w:type="dxa" w:w="1698"/>
            <w:vMerge w:val="restart"/>
            <w:tcBorders/>
            <w:tcMar>
              <w:start w:w="0" w:type="dxa"/>
              <w:end w:w="0" w:type="dxa"/>
            </w:tcMar>
            <w:tcMar>
              <w:start w:w="0" w:type="dxa"/>
              <w:end w:w="0" w:type="dxa"/>
            </w:tcMar>
          </w:tcPr>
          <w:p>
            <w:pPr>
              <w:autoSpaceDN w:val="0"/>
              <w:autoSpaceDE w:val="0"/>
              <w:widowControl/>
              <w:spacing w:line="233" w:lineRule="auto" w:before="36" w:after="0"/>
              <w:ind w:left="0" w:right="216" w:firstLine="0"/>
              <w:jc w:val="right"/>
            </w:pPr>
            <w:r>
              <w:rPr>
                <w:rFonts w:ascii="Arial" w:hAnsi="Arial" w:eastAsia="Arial"/>
                <w:b w:val="0"/>
                <w:i w:val="0"/>
                <w:color w:val="000000"/>
                <w:sz w:val="18"/>
              </w:rPr>
              <w:t>377,080,896</w:t>
            </w:r>
          </w:p>
        </w:tc>
        <w:tc>
          <w:tcPr>
            <w:tcW w:type="dxa" w:w="1570"/>
            <w:vMerge w:val="restart"/>
            <w:tcBorders/>
            <w:tcMar>
              <w:start w:w="0" w:type="dxa"/>
              <w:end w:w="0" w:type="dxa"/>
            </w:tcMar>
            <w:tcMar>
              <w:start w:w="0" w:type="dxa"/>
              <w:end w:w="0" w:type="dxa"/>
            </w:tcMar>
          </w:tcPr>
          <w:p>
            <w:pPr>
              <w:autoSpaceDN w:val="0"/>
              <w:autoSpaceDE w:val="0"/>
              <w:widowControl/>
              <w:spacing w:line="233" w:lineRule="auto" w:before="36" w:after="0"/>
              <w:ind w:left="0" w:right="170" w:firstLine="0"/>
              <w:jc w:val="right"/>
            </w:pPr>
            <w:r>
              <w:rPr>
                <w:rFonts w:ascii="Arial" w:hAnsi="Arial" w:eastAsia="Arial"/>
                <w:b w:val="0"/>
                <w:i w:val="0"/>
                <w:color w:val="000000"/>
                <w:sz w:val="18"/>
              </w:rPr>
              <w:t xml:space="preserve">17,153,686 </w:t>
            </w:r>
          </w:p>
        </w:tc>
        <w:tc>
          <w:tcPr>
            <w:tcW w:type="dxa" w:w="1350"/>
            <w:vMerge w:val="restart"/>
            <w:tcBorders/>
            <w:tcMar>
              <w:start w:w="0" w:type="dxa"/>
              <w:end w:w="0" w:type="dxa"/>
            </w:tcMar>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8"/>
              </w:rPr>
              <w:t>549,324</w:t>
            </w:r>
          </w:p>
        </w:tc>
        <w:tc>
          <w:tcPr>
            <w:tcW w:type="dxa" w:w="1928"/>
            <w:vMerge w:val="restart"/>
            <w:tcBorders/>
            <w:tcMar>
              <w:start w:w="0" w:type="dxa"/>
              <w:end w:w="0" w:type="dxa"/>
            </w:tcMar>
            <w:tcMar>
              <w:start w:w="0" w:type="dxa"/>
              <w:end w:w="0" w:type="dxa"/>
            </w:tcMar>
          </w:tcPr>
          <w:p>
            <w:pPr>
              <w:autoSpaceDN w:val="0"/>
              <w:autoSpaceDE w:val="0"/>
              <w:widowControl/>
              <w:spacing w:line="233" w:lineRule="auto" w:before="36" w:after="0"/>
              <w:ind w:left="0" w:right="176" w:firstLine="0"/>
              <w:jc w:val="right"/>
            </w:pPr>
            <w:r>
              <w:rPr>
                <w:rFonts w:ascii="Arial" w:hAnsi="Arial" w:eastAsia="Arial"/>
                <w:b w:val="0"/>
                <w:i w:val="0"/>
                <w:color w:val="000000"/>
                <w:sz w:val="18"/>
              </w:rPr>
              <w:t xml:space="preserve">394,783,906 </w:t>
            </w:r>
          </w:p>
        </w:tc>
      </w:tr>
      <w:tr>
        <w:trPr>
          <w:trHeight w:hRule="exact" w:val="44"/>
        </w:trPr>
        <w:tc>
          <w:tcPr>
            <w:tcW w:type="dxa" w:w="2194"/>
            <w:vMerge w:val="restart"/>
            <w:tcBorders/>
            <w:tcMar>
              <w:start w:w="0" w:type="dxa"/>
              <w:end w:w="0" w:type="dxa"/>
            </w:tcMar>
            <w:tcMar>
              <w:start w:w="0" w:type="dxa"/>
              <w:end w:w="0" w:type="dxa"/>
            </w:tcMar>
          </w:tcPr>
          <w:p>
            <w:pPr>
              <w:autoSpaceDN w:val="0"/>
              <w:autoSpaceDE w:val="0"/>
              <w:widowControl/>
              <w:spacing w:line="180" w:lineRule="exact" w:before="54" w:after="0"/>
              <w:ind w:left="198" w:right="0" w:firstLine="0"/>
              <w:jc w:val="left"/>
            </w:pPr>
            <w:r>
              <w:rPr>
                <w:rFonts w:ascii="黑体" w:hAnsi="黑体" w:eastAsia="黑体"/>
                <w:b w:val="0"/>
                <w:i w:val="0"/>
                <w:color w:val="000000"/>
                <w:sz w:val="18"/>
              </w:rPr>
              <w:t>计提</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32"/>
        </w:trPr>
        <w:tc>
          <w:tcPr>
            <w:tcW w:type="dxa" w:w="1805"/>
            <w:vMerge/>
            <w:tcBorders/>
          </w:tcPr>
          <w:p/>
        </w:tc>
        <w:tc>
          <w:tcPr>
            <w:tcW w:type="dxa" w:w="1698"/>
            <w:tcBorders/>
            <w:tcMar>
              <w:start w:w="0" w:type="dxa"/>
              <w:end w:w="0" w:type="dxa"/>
            </w:tcMar>
          </w:tcPr>
          <w:p>
            <w:pPr>
              <w:autoSpaceDN w:val="0"/>
              <w:autoSpaceDE w:val="0"/>
              <w:widowControl/>
              <w:spacing w:line="235" w:lineRule="auto" w:before="16" w:after="0"/>
              <w:ind w:left="0" w:right="214" w:firstLine="0"/>
              <w:jc w:val="right"/>
            </w:pPr>
            <w:r>
              <w:rPr>
                <w:rFonts w:ascii="Arial" w:hAnsi="Arial" w:eastAsia="Arial"/>
                <w:b w:val="0"/>
                <w:i w:val="0"/>
                <w:color w:val="000000"/>
                <w:sz w:val="18"/>
              </w:rPr>
              <w:t>75,666,490</w:t>
            </w:r>
          </w:p>
        </w:tc>
        <w:tc>
          <w:tcPr>
            <w:tcW w:type="dxa" w:w="1570"/>
            <w:tcBorders/>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 xml:space="preserve">- </w:t>
            </w:r>
          </w:p>
        </w:tc>
        <w:tc>
          <w:tcPr>
            <w:tcW w:type="dxa" w:w="1350"/>
            <w:tcBorders/>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34,542</w:t>
            </w:r>
          </w:p>
        </w:tc>
        <w:tc>
          <w:tcPr>
            <w:tcW w:type="dxa" w:w="1928"/>
            <w:tcBorders/>
            <w:tcMar>
              <w:start w:w="0" w:type="dxa"/>
              <w:end w:w="0" w:type="dxa"/>
            </w:tcMar>
          </w:tcPr>
          <w:p>
            <w:pPr>
              <w:autoSpaceDN w:val="0"/>
              <w:autoSpaceDE w:val="0"/>
              <w:widowControl/>
              <w:spacing w:line="235" w:lineRule="auto" w:before="16" w:after="0"/>
              <w:ind w:left="0" w:right="176" w:firstLine="0"/>
              <w:jc w:val="right"/>
            </w:pPr>
            <w:r>
              <w:rPr>
                <w:rFonts w:ascii="Arial" w:hAnsi="Arial" w:eastAsia="Arial"/>
                <w:b w:val="0"/>
                <w:i w:val="0"/>
                <w:color w:val="000000"/>
                <w:sz w:val="18"/>
              </w:rPr>
              <w:t xml:space="preserve">75,701,032 </w:t>
            </w:r>
          </w:p>
        </w:tc>
      </w:tr>
      <w:tr>
        <w:trPr>
          <w:trHeight w:hRule="exact" w:val="224"/>
        </w:trPr>
        <w:tc>
          <w:tcPr>
            <w:tcW w:type="dxa" w:w="2194"/>
            <w:tcBorders>
              <w:bottom w:sz="4.0" w:val="single" w:color="#000000"/>
            </w:tcBorders>
            <w:tcMar>
              <w:start w:w="0" w:type="dxa"/>
              <w:end w:w="0" w:type="dxa"/>
            </w:tcMar>
          </w:tcPr>
          <w:p>
            <w:pPr>
              <w:autoSpaceDN w:val="0"/>
              <w:autoSpaceDE w:val="0"/>
              <w:widowControl/>
              <w:spacing w:line="180" w:lineRule="exact" w:before="12" w:after="0"/>
              <w:ind w:left="198" w:right="0" w:firstLine="0"/>
              <w:jc w:val="left"/>
            </w:pPr>
            <w:r>
              <w:rPr>
                <w:rFonts w:ascii="黑体" w:hAnsi="黑体" w:eastAsia="黑体"/>
                <w:b w:val="0"/>
                <w:i w:val="0"/>
                <w:color w:val="000000"/>
                <w:sz w:val="18"/>
              </w:rPr>
              <w:t>减少</w:t>
            </w:r>
          </w:p>
        </w:tc>
        <w:tc>
          <w:tcPr>
            <w:tcW w:type="dxa" w:w="1698"/>
            <w:tcBorders>
              <w:bottom w:sz="4.0" w:val="single" w:color="#000000"/>
            </w:tcBorders>
            <w:tcMar>
              <w:start w:w="0" w:type="dxa"/>
              <w:end w:w="0" w:type="dxa"/>
            </w:tcMar>
          </w:tcPr>
          <w:p>
            <w:pPr>
              <w:autoSpaceDN w:val="0"/>
              <w:autoSpaceDE w:val="0"/>
              <w:widowControl/>
              <w:spacing w:line="233" w:lineRule="auto" w:before="18" w:after="0"/>
              <w:ind w:left="0" w:right="108" w:firstLine="0"/>
              <w:jc w:val="right"/>
            </w:pPr>
            <w:r>
              <w:rPr>
                <w:rFonts w:ascii="Arial" w:hAnsi="Arial" w:eastAsia="Arial"/>
                <w:b w:val="0"/>
                <w:i w:val="0"/>
                <w:color w:val="000000"/>
                <w:sz w:val="18"/>
              </w:rPr>
              <w:t xml:space="preserve">(911,000) </w:t>
            </w:r>
          </w:p>
        </w:tc>
        <w:tc>
          <w:tcPr>
            <w:tcW w:type="dxa" w:w="1570"/>
            <w:tcBorders>
              <w:bottom w:sz="4.0" w:val="single" w:color="#000000"/>
            </w:tcBorders>
            <w:tcMar>
              <w:start w:w="0" w:type="dxa"/>
              <w:end w:w="0" w:type="dxa"/>
            </w:tcMar>
          </w:tcPr>
          <w:p>
            <w:pPr>
              <w:autoSpaceDN w:val="0"/>
              <w:autoSpaceDE w:val="0"/>
              <w:widowControl/>
              <w:spacing w:line="233" w:lineRule="auto" w:before="18" w:after="0"/>
              <w:ind w:left="0" w:right="170" w:firstLine="0"/>
              <w:jc w:val="right"/>
            </w:pPr>
            <w:r>
              <w:rPr>
                <w:rFonts w:ascii="Arial" w:hAnsi="Arial" w:eastAsia="Arial"/>
                <w:b w:val="0"/>
                <w:i w:val="0"/>
                <w:color w:val="000000"/>
                <w:sz w:val="18"/>
              </w:rPr>
              <w:t xml:space="preserve">- </w:t>
            </w:r>
          </w:p>
        </w:tc>
        <w:tc>
          <w:tcPr>
            <w:tcW w:type="dxa" w:w="1350"/>
            <w:tcBorders>
              <w:bottom w:sz="4.0" w:val="single" w:color="#000000"/>
            </w:tcBorders>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18"/>
              </w:rPr>
              <w:t>-</w:t>
            </w:r>
          </w:p>
        </w:tc>
        <w:tc>
          <w:tcPr>
            <w:tcW w:type="dxa" w:w="1928"/>
            <w:tcBorders>
              <w:bottom w:sz="4.0" w:val="single" w:color="#000000"/>
            </w:tcBorders>
            <w:tcMar>
              <w:start w:w="0" w:type="dxa"/>
              <w:end w:w="0" w:type="dxa"/>
            </w:tcMar>
          </w:tcPr>
          <w:p>
            <w:pPr>
              <w:autoSpaceDN w:val="0"/>
              <w:autoSpaceDE w:val="0"/>
              <w:widowControl/>
              <w:spacing w:line="233" w:lineRule="auto" w:before="18" w:after="0"/>
              <w:ind w:left="0" w:right="114" w:firstLine="0"/>
              <w:jc w:val="right"/>
            </w:pPr>
            <w:r>
              <w:rPr>
                <w:rFonts w:ascii="Arial" w:hAnsi="Arial" w:eastAsia="Arial"/>
                <w:b w:val="0"/>
                <w:i w:val="0"/>
                <w:color w:val="000000"/>
                <w:sz w:val="18"/>
              </w:rPr>
              <w:t xml:space="preserve">(911,000 ) </w:t>
            </w:r>
          </w:p>
        </w:tc>
      </w:tr>
      <w:tr>
        <w:trPr>
          <w:trHeight w:hRule="exact" w:val="450"/>
        </w:trPr>
        <w:tc>
          <w:tcPr>
            <w:tcW w:type="dxa" w:w="2194"/>
            <w:tcBorders>
              <w:top w:sz="4.0" w:val="single" w:color="#000000"/>
              <w:bottom w:sz="4.0" w:val="single" w:color="#000000"/>
            </w:tcBorders>
            <w:tcMar>
              <w:start w:w="0" w:type="dxa"/>
              <w:end w:w="0" w:type="dxa"/>
            </w:tcMar>
          </w:tcPr>
          <w:p>
            <w:pPr>
              <w:autoSpaceDN w:val="0"/>
              <w:autoSpaceDE w:val="0"/>
              <w:widowControl/>
              <w:spacing w:line="180" w:lineRule="exact" w:before="234" w:after="0"/>
              <w:ind w:left="198" w:right="0" w:firstLine="0"/>
              <w:jc w:val="left"/>
            </w:pPr>
            <w:r>
              <w:rPr>
                <w:rFonts w:ascii="黑体" w:hAnsi="黑体" w:eastAsia="黑体"/>
                <w:b w:val="0"/>
                <w:i w:val="0"/>
                <w:color w:val="000000"/>
                <w:sz w:val="18"/>
              </w:rPr>
              <w:t>年末余额</w:t>
            </w:r>
          </w:p>
        </w:tc>
        <w:tc>
          <w:tcPr>
            <w:tcW w:type="dxa" w:w="1698"/>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216" w:firstLine="0"/>
              <w:jc w:val="right"/>
            </w:pPr>
            <w:r>
              <w:rPr>
                <w:rFonts w:ascii="Arial" w:hAnsi="Arial" w:eastAsia="Arial"/>
                <w:b w:val="0"/>
                <w:i w:val="0"/>
                <w:color w:val="000000"/>
                <w:sz w:val="18"/>
              </w:rPr>
              <w:t>451,836,386</w:t>
            </w:r>
          </w:p>
        </w:tc>
        <w:tc>
          <w:tcPr>
            <w:tcW w:type="dxa" w:w="157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170" w:firstLine="0"/>
              <w:jc w:val="right"/>
            </w:pPr>
            <w:r>
              <w:rPr>
                <w:rFonts w:ascii="Arial" w:hAnsi="Arial" w:eastAsia="Arial"/>
                <w:b w:val="0"/>
                <w:i w:val="0"/>
                <w:color w:val="000000"/>
                <w:sz w:val="18"/>
              </w:rPr>
              <w:t xml:space="preserve">17,153,686 </w:t>
            </w:r>
          </w:p>
        </w:tc>
        <w:tc>
          <w:tcPr>
            <w:tcW w:type="dxa" w:w="1350"/>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0" w:firstLine="0"/>
              <w:jc w:val="right"/>
            </w:pPr>
            <w:r>
              <w:rPr>
                <w:rFonts w:ascii="Arial" w:hAnsi="Arial" w:eastAsia="Arial"/>
                <w:b w:val="0"/>
                <w:i w:val="0"/>
                <w:color w:val="000000"/>
                <w:sz w:val="18"/>
              </w:rPr>
              <w:t>583,866</w:t>
            </w:r>
          </w:p>
        </w:tc>
        <w:tc>
          <w:tcPr>
            <w:tcW w:type="dxa" w:w="1928"/>
            <w:tcBorders>
              <w:top w:sz="4.0" w:val="single" w:color="#000000"/>
              <w:bottom w:sz="4.0" w:val="single" w:color="#000000"/>
            </w:tcBorders>
            <w:tcMar>
              <w:start w:w="0" w:type="dxa"/>
              <w:end w:w="0" w:type="dxa"/>
            </w:tcMar>
          </w:tcPr>
          <w:p>
            <w:pPr>
              <w:autoSpaceDN w:val="0"/>
              <w:autoSpaceDE w:val="0"/>
              <w:widowControl/>
              <w:spacing w:line="235" w:lineRule="auto" w:before="238" w:after="0"/>
              <w:ind w:left="0" w:right="176" w:firstLine="0"/>
              <w:jc w:val="right"/>
            </w:pPr>
            <w:r>
              <w:rPr>
                <w:rFonts w:ascii="Arial" w:hAnsi="Arial" w:eastAsia="Arial"/>
                <w:b w:val="0"/>
                <w:i w:val="0"/>
                <w:color w:val="000000"/>
                <w:sz w:val="18"/>
              </w:rPr>
              <w:t xml:space="preserve">469,573,938 </w:t>
            </w:r>
          </w:p>
        </w:tc>
      </w:tr>
      <w:tr>
        <w:trPr>
          <w:trHeight w:hRule="exact" w:val="56"/>
        </w:trPr>
        <w:tc>
          <w:tcPr>
            <w:tcW w:type="dxa" w:w="2194"/>
            <w:tcBorders>
              <w:top w:sz="4.0" w:val="single" w:color="#000000"/>
            </w:tcBorders>
            <w:tcMar>
              <w:start w:w="0" w:type="dxa"/>
              <w:end w:w="0" w:type="dxa"/>
            </w:tcMar>
          </w:tcPr>
          <w:p/>
        </w:tc>
        <w:tc>
          <w:tcPr>
            <w:tcW w:type="dxa" w:w="1698"/>
            <w:tcBorders>
              <w:top w:sz="4.0" w:val="single" w:color="#000000"/>
            </w:tcBorders>
            <w:tcMar>
              <w:start w:w="0" w:type="dxa"/>
              <w:end w:w="0" w:type="dxa"/>
            </w:tcMar>
          </w:tcPr>
          <w:p/>
        </w:tc>
        <w:tc>
          <w:tcPr>
            <w:tcW w:type="dxa" w:w="1570"/>
            <w:tcBorders>
              <w:top w:sz="4.0" w:val="single" w:color="#000000"/>
            </w:tcBorders>
            <w:tcMar>
              <w:start w:w="0" w:type="dxa"/>
              <w:end w:w="0" w:type="dxa"/>
            </w:tcMar>
          </w:tcPr>
          <w:p/>
        </w:tc>
        <w:tc>
          <w:tcPr>
            <w:tcW w:type="dxa" w:w="1350"/>
            <w:tcBorders>
              <w:top w:sz="4.0" w:val="single" w:color="#000000"/>
            </w:tcBorders>
            <w:tcMar>
              <w:start w:w="0" w:type="dxa"/>
              <w:end w:w="0" w:type="dxa"/>
            </w:tcMar>
          </w:tcPr>
          <w:p/>
        </w:tc>
        <w:tc>
          <w:tcPr>
            <w:tcW w:type="dxa" w:w="1928"/>
            <w:tcBorders>
              <w:top w:sz="4.0" w:val="single" w:color="#000000"/>
            </w:tcBorders>
            <w:tcMar>
              <w:start w:w="0" w:type="dxa"/>
              <w:end w:w="0" w:type="dxa"/>
            </w:tcMar>
          </w:tcPr>
          <w:p/>
        </w:tc>
      </w:tr>
    </w:tbl>
    <w:p>
      <w:pPr>
        <w:autoSpaceDN w:val="0"/>
        <w:autoSpaceDE w:val="0"/>
        <w:widowControl/>
        <w:spacing w:line="180" w:lineRule="exact" w:before="202" w:after="28"/>
        <w:ind w:left="358" w:right="0" w:firstLine="0"/>
        <w:jc w:val="left"/>
      </w:pPr>
      <w:r>
        <w:rPr>
          <w:rFonts w:ascii="黑体" w:hAnsi="黑体" w:eastAsia="黑体"/>
          <w:b w:val="0"/>
          <w:i w:val="0"/>
          <w:color w:val="000000"/>
          <w:sz w:val="18"/>
        </w:rPr>
        <w:t>账面价值</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38"/>
        </w:trPr>
        <w:tc>
          <w:tcPr>
            <w:tcW w:type="dxa" w:w="2194"/>
            <w:tcBorders>
              <w:bottom w:sz="3.199999999999818" w:val="single" w:color="#0000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年末</w:t>
            </w:r>
          </w:p>
        </w:tc>
        <w:tc>
          <w:tcPr>
            <w:tcW w:type="dxa" w:w="1480"/>
            <w:tcBorders>
              <w:bottom w:sz="3.199999999999818" w:val="single" w:color="#00000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236,541,735</w:t>
            </w:r>
          </w:p>
        </w:tc>
        <w:tc>
          <w:tcPr>
            <w:tcW w:type="dxa" w:w="1788"/>
            <w:tcBorders>
              <w:bottom w:sz="3.199999999999818" w:val="single" w:color="#000000"/>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 xml:space="preserve">11,610,281 </w:t>
            </w:r>
          </w:p>
        </w:tc>
        <w:tc>
          <w:tcPr>
            <w:tcW w:type="dxa" w:w="1350"/>
            <w:tcBorders>
              <w:bottom w:sz="3.199999999999818" w:val="single" w:color="#00000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706,929</w:t>
            </w:r>
          </w:p>
        </w:tc>
        <w:tc>
          <w:tcPr>
            <w:tcW w:type="dxa" w:w="1888"/>
            <w:tcBorders>
              <w:bottom w:sz="3.199999999999818" w:val="single" w:color="#000000"/>
            </w:tcBorders>
            <w:tcMar>
              <w:start w:w="0" w:type="dxa"/>
              <w:end w:w="0" w:type="dxa"/>
            </w:tcMar>
          </w:tcPr>
          <w:p>
            <w:pPr>
              <w:autoSpaceDN w:val="0"/>
              <w:autoSpaceDE w:val="0"/>
              <w:widowControl/>
              <w:spacing w:line="233" w:lineRule="auto" w:before="32" w:after="0"/>
              <w:ind w:left="0" w:right="136" w:firstLine="0"/>
              <w:jc w:val="right"/>
            </w:pPr>
            <w:r>
              <w:rPr>
                <w:rFonts w:ascii="Arial" w:hAnsi="Arial" w:eastAsia="Arial"/>
                <w:b w:val="0"/>
                <w:i w:val="0"/>
                <w:color w:val="000000"/>
                <w:sz w:val="18"/>
              </w:rPr>
              <w:t xml:space="preserve">248,858,945 </w:t>
            </w:r>
          </w:p>
        </w:tc>
      </w:tr>
      <w:tr>
        <w:trPr>
          <w:trHeight w:hRule="exact" w:val="474"/>
        </w:trPr>
        <w:tc>
          <w:tcPr>
            <w:tcW w:type="dxa" w:w="2194"/>
            <w:tcBorders>
              <w:top w:sz="3.199999999999818" w:val="single" w:color="#000000"/>
              <w:bottom w:sz="4.0" w:val="single" w:color="#000000"/>
            </w:tcBorders>
            <w:tcMar>
              <w:start w:w="0" w:type="dxa"/>
              <w:end w:w="0" w:type="dxa"/>
            </w:tcMar>
          </w:tcPr>
          <w:p>
            <w:pPr>
              <w:autoSpaceDN w:val="0"/>
              <w:autoSpaceDE w:val="0"/>
              <w:widowControl/>
              <w:spacing w:line="180" w:lineRule="exact" w:before="254" w:after="0"/>
              <w:ind w:left="198" w:right="0" w:firstLine="0"/>
              <w:jc w:val="left"/>
            </w:pPr>
            <w:r>
              <w:rPr>
                <w:rFonts w:ascii="黑体" w:hAnsi="黑体" w:eastAsia="黑体"/>
                <w:b w:val="0"/>
                <w:i w:val="0"/>
                <w:color w:val="000000"/>
                <w:sz w:val="18"/>
              </w:rPr>
              <w:t>年初</w:t>
            </w:r>
          </w:p>
        </w:tc>
        <w:tc>
          <w:tcPr>
            <w:tcW w:type="dxa" w:w="1480"/>
            <w:tcBorders>
              <w:top w:sz="3.199999999999818" w:val="single" w:color="#000000"/>
              <w:bottom w:sz="4.0" w:val="single" w:color="#000000"/>
            </w:tcBorders>
            <w:tcMar>
              <w:start w:w="0" w:type="dxa"/>
              <w:end w:w="0" w:type="dxa"/>
            </w:tcMar>
          </w:tcPr>
          <w:p>
            <w:pPr>
              <w:autoSpaceDN w:val="0"/>
              <w:autoSpaceDE w:val="0"/>
              <w:widowControl/>
              <w:spacing w:line="235" w:lineRule="auto" w:before="260" w:after="0"/>
              <w:ind w:left="0" w:right="0" w:firstLine="0"/>
              <w:jc w:val="right"/>
            </w:pPr>
            <w:r>
              <w:rPr>
                <w:rFonts w:ascii="Arial" w:hAnsi="Arial" w:eastAsia="Arial"/>
                <w:b w:val="0"/>
                <w:i w:val="0"/>
                <w:color w:val="000000"/>
                <w:sz w:val="18"/>
              </w:rPr>
              <w:t>211,409,647</w:t>
            </w:r>
          </w:p>
        </w:tc>
        <w:tc>
          <w:tcPr>
            <w:tcW w:type="dxa" w:w="1788"/>
            <w:tcBorders>
              <w:top w:sz="3.199999999999818" w:val="single" w:color="#000000"/>
              <w:bottom w:sz="4.0" w:val="single" w:color="#000000"/>
            </w:tcBorders>
            <w:tcMar>
              <w:start w:w="0" w:type="dxa"/>
              <w:end w:w="0" w:type="dxa"/>
            </w:tcMar>
          </w:tcPr>
          <w:p>
            <w:pPr>
              <w:autoSpaceDN w:val="0"/>
              <w:autoSpaceDE w:val="0"/>
              <w:widowControl/>
              <w:spacing w:line="235" w:lineRule="auto" w:before="260" w:after="0"/>
              <w:ind w:left="0" w:right="170" w:firstLine="0"/>
              <w:jc w:val="right"/>
            </w:pPr>
            <w:r>
              <w:rPr>
                <w:rFonts w:ascii="Arial" w:hAnsi="Arial" w:eastAsia="Arial"/>
                <w:b w:val="0"/>
                <w:i w:val="0"/>
                <w:color w:val="000000"/>
                <w:sz w:val="18"/>
              </w:rPr>
              <w:t xml:space="preserve">11,590,461 </w:t>
            </w:r>
          </w:p>
        </w:tc>
        <w:tc>
          <w:tcPr>
            <w:tcW w:type="dxa" w:w="1350"/>
            <w:tcBorders>
              <w:top w:sz="3.199999999999818" w:val="single" w:color="#000000"/>
              <w:bottom w:sz="4.0" w:val="single" w:color="#000000"/>
            </w:tcBorders>
            <w:tcMar>
              <w:start w:w="0" w:type="dxa"/>
              <w:end w:w="0" w:type="dxa"/>
            </w:tcMar>
          </w:tcPr>
          <w:p>
            <w:pPr>
              <w:autoSpaceDN w:val="0"/>
              <w:autoSpaceDE w:val="0"/>
              <w:widowControl/>
              <w:spacing w:line="235" w:lineRule="auto" w:before="260" w:after="0"/>
              <w:ind w:left="0" w:right="0" w:firstLine="0"/>
              <w:jc w:val="right"/>
            </w:pPr>
            <w:r>
              <w:rPr>
                <w:rFonts w:ascii="Arial" w:hAnsi="Arial" w:eastAsia="Arial"/>
                <w:b w:val="0"/>
                <w:i w:val="0"/>
                <w:color w:val="000000"/>
                <w:sz w:val="18"/>
              </w:rPr>
              <w:t>741,471</w:t>
            </w:r>
          </w:p>
        </w:tc>
        <w:tc>
          <w:tcPr>
            <w:tcW w:type="dxa" w:w="1888"/>
            <w:tcBorders>
              <w:top w:sz="3.199999999999818" w:val="single" w:color="#000000"/>
              <w:bottom w:sz="4.0" w:val="single" w:color="#000000"/>
            </w:tcBorders>
            <w:tcMar>
              <w:start w:w="0" w:type="dxa"/>
              <w:end w:w="0" w:type="dxa"/>
            </w:tcMar>
          </w:tcPr>
          <w:p>
            <w:pPr>
              <w:autoSpaceDN w:val="0"/>
              <w:autoSpaceDE w:val="0"/>
              <w:widowControl/>
              <w:spacing w:line="235" w:lineRule="auto" w:before="260" w:after="0"/>
              <w:ind w:left="0" w:right="136" w:firstLine="0"/>
              <w:jc w:val="right"/>
            </w:pPr>
            <w:r>
              <w:rPr>
                <w:rFonts w:ascii="Arial" w:hAnsi="Arial" w:eastAsia="Arial"/>
                <w:b w:val="0"/>
                <w:i w:val="0"/>
                <w:color w:val="000000"/>
                <w:sz w:val="18"/>
              </w:rPr>
              <w:t xml:space="preserve">223,741,579 </w:t>
            </w:r>
          </w:p>
        </w:tc>
      </w:tr>
      <w:tr>
        <w:trPr>
          <w:trHeight w:hRule="exact" w:val="52"/>
        </w:trPr>
        <w:tc>
          <w:tcPr>
            <w:tcW w:type="dxa" w:w="2194"/>
            <w:tcBorders>
              <w:top w:sz="4.0" w:val="single" w:color="#000000"/>
            </w:tcBorders>
            <w:tcMar>
              <w:start w:w="0" w:type="dxa"/>
              <w:end w:w="0" w:type="dxa"/>
            </w:tcMar>
          </w:tcPr>
          <w:p/>
        </w:tc>
        <w:tc>
          <w:tcPr>
            <w:tcW w:type="dxa" w:w="1480"/>
            <w:tcBorders>
              <w:top w:sz="4.0" w:val="single" w:color="#000000"/>
            </w:tcBorders>
            <w:tcMar>
              <w:start w:w="0" w:type="dxa"/>
              <w:end w:w="0" w:type="dxa"/>
            </w:tcMar>
          </w:tcPr>
          <w:p/>
        </w:tc>
        <w:tc>
          <w:tcPr>
            <w:tcW w:type="dxa" w:w="1788"/>
            <w:tcBorders>
              <w:top w:sz="4.0" w:val="single" w:color="#000000"/>
            </w:tcBorders>
            <w:tcMar>
              <w:start w:w="0" w:type="dxa"/>
              <w:end w:w="0" w:type="dxa"/>
            </w:tcMar>
          </w:tcPr>
          <w:p/>
        </w:tc>
        <w:tc>
          <w:tcPr>
            <w:tcW w:type="dxa" w:w="1350"/>
            <w:tcBorders>
              <w:top w:sz="4.0" w:val="single" w:color="#000000"/>
            </w:tcBorders>
            <w:tcMar>
              <w:start w:w="0" w:type="dxa"/>
              <w:end w:w="0" w:type="dxa"/>
            </w:tcMar>
          </w:tcPr>
          <w:p/>
        </w:tc>
        <w:tc>
          <w:tcPr>
            <w:tcW w:type="dxa" w:w="1888"/>
            <w:tcBorders>
              <w:top w:sz="4.0" w:val="single" w:color="#000000"/>
            </w:tcBorders>
            <w:tcMar>
              <w:start w:w="0" w:type="dxa"/>
              <w:end w:w="0" w:type="dxa"/>
            </w:tcMar>
          </w:tcPr>
          <w:p/>
        </w:tc>
      </w:tr>
    </w:tbl>
    <w:p>
      <w:pPr>
        <w:autoSpaceDN w:val="0"/>
        <w:autoSpaceDE w:val="0"/>
        <w:widowControl/>
        <w:spacing w:line="233" w:lineRule="auto" w:before="2098" w:after="0"/>
        <w:ind w:left="0" w:right="0" w:firstLine="0"/>
        <w:jc w:val="center"/>
      </w:pPr>
      <w:r>
        <w:rPr>
          <w:rFonts w:ascii="Arial" w:hAnsi="Arial" w:eastAsia="Arial"/>
          <w:b w:val="0"/>
          <w:i w:val="0"/>
          <w:color w:val="000000"/>
          <w:sz w:val="20"/>
        </w:rPr>
        <w:t xml:space="preserve">212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15. </w:t>
      </w:r>
      <w:r>
        <w:rPr>
          <w:rFonts w:ascii="黑体" w:hAnsi="黑体" w:eastAsia="黑体"/>
          <w:b w:val="0"/>
          <w:i w:val="0"/>
          <w:color w:val="000000"/>
          <w:sz w:val="22"/>
        </w:rPr>
        <w:t>商誉</w:t>
      </w:r>
    </w:p>
    <w:p>
      <w:pPr>
        <w:autoSpaceDN w:val="0"/>
        <w:autoSpaceDE w:val="0"/>
        <w:widowControl/>
        <w:spacing w:line="246" w:lineRule="exact" w:before="290" w:after="24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商誉变动情况</w:t>
      </w:r>
    </w:p>
    <w:tbl>
      <w:tblPr>
        <w:tblW w:type="auto" w:w="0"/>
        <w:tblLayout w:type="fixed"/>
        <w:tblLook w:firstColumn="1" w:firstRow="1" w:lastColumn="0" w:lastRow="0" w:noHBand="0" w:noVBand="1" w:val="04A0"/>
        <w:tblInd w:w="358.0000000000001" w:type="dxa"/>
      </w:tblPr>
      <w:tblGrid>
        <w:gridCol w:w="1805"/>
        <w:gridCol w:w="1805"/>
        <w:gridCol w:w="1805"/>
        <w:gridCol w:w="1805"/>
        <w:gridCol w:w="1805"/>
      </w:tblGrid>
      <w:tr>
        <w:trPr>
          <w:trHeight w:hRule="exact" w:val="248"/>
        </w:trPr>
        <w:tc>
          <w:tcPr>
            <w:tcW w:type="dxa" w:w="1260"/>
            <w:tcBorders>
              <w:bottom w:sz="4.0" w:val="single" w:color="#000000"/>
            </w:tcBorders>
            <w:tcMar>
              <w:start w:w="0" w:type="dxa"/>
              <w:end w:w="0" w:type="dxa"/>
            </w:tcMar>
          </w:tcPr>
          <w:p>
            <w:pPr>
              <w:autoSpaceDN w:val="0"/>
              <w:autoSpaceDE w:val="0"/>
              <w:widowControl/>
              <w:spacing w:line="180" w:lineRule="exact" w:before="60" w:after="0"/>
              <w:ind w:left="0" w:right="0" w:firstLine="0"/>
              <w:jc w:val="center"/>
            </w:pPr>
            <w:r>
              <w:rPr>
                <w:rFonts w:ascii="黑体" w:hAnsi="黑体" w:eastAsia="黑体"/>
                <w:b w:val="0"/>
                <w:i w:val="0"/>
                <w:color w:val="000000"/>
                <w:sz w:val="18"/>
              </w:rPr>
              <w:t>形成商誉的事项</w:t>
            </w:r>
          </w:p>
        </w:tc>
        <w:tc>
          <w:tcPr>
            <w:tcW w:type="dxa" w:w="2216"/>
            <w:tcBorders>
              <w:bottom w:sz="4.0" w:val="single" w:color="#000000"/>
            </w:tcBorders>
            <w:tcMar>
              <w:start w:w="0" w:type="dxa"/>
              <w:end w:w="0" w:type="dxa"/>
            </w:tcMar>
          </w:tcPr>
          <w:p>
            <w:pPr>
              <w:autoSpaceDN w:val="0"/>
              <w:autoSpaceDE w:val="0"/>
              <w:widowControl/>
              <w:spacing w:line="180" w:lineRule="exact" w:before="60" w:after="0"/>
              <w:ind w:left="0" w:right="0" w:firstLine="0"/>
              <w:jc w:val="right"/>
            </w:pPr>
            <w:r>
              <w:rPr>
                <w:rFonts w:ascii="黑体" w:hAnsi="黑体" w:eastAsia="黑体"/>
                <w:b w:val="0"/>
                <w:i w:val="0"/>
                <w:color w:val="000000"/>
                <w:sz w:val="18"/>
              </w:rPr>
              <w:t>年初余额</w:t>
            </w:r>
          </w:p>
        </w:tc>
        <w:tc>
          <w:tcPr>
            <w:tcW w:type="dxa" w:w="2418"/>
            <w:tcBorders>
              <w:bottom w:sz="4.0" w:val="single" w:color="#000000"/>
            </w:tcBorders>
            <w:tcMar>
              <w:start w:w="0" w:type="dxa"/>
              <w:end w:w="0" w:type="dxa"/>
            </w:tcMar>
          </w:tcPr>
          <w:p>
            <w:pPr>
              <w:autoSpaceDN w:val="0"/>
              <w:autoSpaceDE w:val="0"/>
              <w:widowControl/>
              <w:spacing w:line="180" w:lineRule="exact" w:before="60" w:after="0"/>
              <w:ind w:left="0" w:right="0" w:firstLine="0"/>
              <w:jc w:val="center"/>
            </w:pPr>
            <w:r>
              <w:rPr>
                <w:rFonts w:ascii="黑体" w:hAnsi="黑体" w:eastAsia="黑体"/>
                <w:b w:val="0"/>
                <w:i w:val="0"/>
                <w:color w:val="000000"/>
                <w:sz w:val="18"/>
              </w:rPr>
              <w:t>本年增加</w:t>
            </w:r>
          </w:p>
        </w:tc>
        <w:tc>
          <w:tcPr>
            <w:tcW w:type="dxa" w:w="720"/>
            <w:tcBorders>
              <w:bottom w:sz="4.0" w:val="single" w:color="#000000"/>
            </w:tcBorders>
            <w:tcMar>
              <w:start w:w="0" w:type="dxa"/>
              <w:end w:w="0" w:type="dxa"/>
            </w:tcMar>
          </w:tcPr>
          <w:p>
            <w:pPr>
              <w:autoSpaceDN w:val="0"/>
              <w:autoSpaceDE w:val="0"/>
              <w:widowControl/>
              <w:spacing w:line="180" w:lineRule="exact" w:before="60" w:after="0"/>
              <w:ind w:left="0" w:right="0" w:firstLine="0"/>
              <w:jc w:val="center"/>
            </w:pPr>
            <w:r>
              <w:rPr>
                <w:rFonts w:ascii="黑体" w:hAnsi="黑体" w:eastAsia="黑体"/>
                <w:b w:val="0"/>
                <w:i w:val="0"/>
                <w:color w:val="000000"/>
                <w:sz w:val="18"/>
              </w:rPr>
              <w:t>本年减少</w:t>
            </w:r>
          </w:p>
        </w:tc>
        <w:tc>
          <w:tcPr>
            <w:tcW w:type="dxa" w:w="1702"/>
            <w:tcBorders>
              <w:bottom w:sz="4.0" w:val="single" w:color="#000000"/>
            </w:tcBorders>
            <w:tcMar>
              <w:start w:w="0" w:type="dxa"/>
              <w:end w:w="0" w:type="dxa"/>
            </w:tcMar>
          </w:tcPr>
          <w:p>
            <w:pPr>
              <w:autoSpaceDN w:val="0"/>
              <w:autoSpaceDE w:val="0"/>
              <w:widowControl/>
              <w:spacing w:line="180" w:lineRule="exact" w:before="60" w:after="0"/>
              <w:ind w:left="0" w:right="0" w:firstLine="0"/>
              <w:jc w:val="right"/>
            </w:pPr>
            <w:r>
              <w:rPr>
                <w:rFonts w:ascii="黑体" w:hAnsi="黑体" w:eastAsia="黑体"/>
                <w:b w:val="0"/>
                <w:i w:val="0"/>
                <w:color w:val="000000"/>
                <w:sz w:val="18"/>
              </w:rPr>
              <w:t>年末余额</w:t>
            </w:r>
          </w:p>
        </w:tc>
      </w:tr>
    </w:tbl>
    <w:p>
      <w:pPr>
        <w:autoSpaceDN w:val="0"/>
        <w:autoSpaceDE w:val="0"/>
        <w:widowControl/>
        <w:spacing w:line="180" w:lineRule="exact" w:before="250" w:after="28"/>
        <w:ind w:left="358" w:right="0" w:firstLine="0"/>
        <w:jc w:val="left"/>
      </w:pPr>
      <w:r>
        <w:rPr>
          <w:rFonts w:ascii="黑体" w:hAnsi="黑体" w:eastAsia="黑体"/>
          <w:b w:val="0"/>
          <w:i w:val="0"/>
          <w:color w:val="000000"/>
          <w:sz w:val="18"/>
        </w:rPr>
        <w:t>账面原值</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06"/>
        </w:trPr>
        <w:tc>
          <w:tcPr>
            <w:tcW w:type="dxa" w:w="2194"/>
            <w:tcBorders/>
            <w:tcMar>
              <w:start w:w="0" w:type="dxa"/>
              <w:end w:w="0" w:type="dxa"/>
            </w:tcMar>
          </w:tcPr>
          <w:p>
            <w:pPr>
              <w:autoSpaceDN w:val="0"/>
              <w:autoSpaceDE w:val="0"/>
              <w:widowControl/>
              <w:spacing w:line="180" w:lineRule="exact" w:before="26" w:after="0"/>
              <w:ind w:left="382" w:right="0" w:firstLine="0"/>
              <w:jc w:val="left"/>
            </w:pPr>
            <w:r>
              <w:rPr>
                <w:rFonts w:ascii="黑体" w:hAnsi="黑体" w:eastAsia="黑体"/>
                <w:b w:val="0"/>
                <w:i w:val="0"/>
                <w:color w:val="000000"/>
                <w:sz w:val="18"/>
              </w:rPr>
              <w:t>重组商誉</w:t>
            </w:r>
          </w:p>
        </w:tc>
        <w:tc>
          <w:tcPr>
            <w:tcW w:type="dxa" w:w="1480"/>
            <w:vMerge w:val="restart"/>
            <w:tcBorders/>
            <w:tcMar>
              <w:start w:w="0" w:type="dxa"/>
              <w:end w:w="0" w:type="dxa"/>
            </w:tcMar>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49,096,844</w:t>
            </w:r>
          </w:p>
        </w:tc>
        <w:tc>
          <w:tcPr>
            <w:tcW w:type="dxa" w:w="1788"/>
            <w:vMerge w:val="restart"/>
            <w:tcBorders/>
            <w:tcMar>
              <w:start w:w="0" w:type="dxa"/>
              <w:end w:w="0" w:type="dxa"/>
            </w:tcMar>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 xml:space="preserve">- </w:t>
            </w:r>
          </w:p>
        </w:tc>
        <w:tc>
          <w:tcPr>
            <w:tcW w:type="dxa" w:w="1350"/>
            <w:vMerge w:val="restart"/>
            <w:tcBorders/>
            <w:tcMar>
              <w:start w:w="0" w:type="dxa"/>
              <w:end w:w="0" w:type="dxa"/>
            </w:tcMar>
            <w:tcMar>
              <w:start w:w="0" w:type="dxa"/>
              <w:end w:w="0" w:type="dxa"/>
            </w:tcMar>
          </w:tcPr>
          <w:p>
            <w:pPr>
              <w:autoSpaceDN w:val="0"/>
              <w:autoSpaceDE w:val="0"/>
              <w:widowControl/>
              <w:spacing w:line="233" w:lineRule="auto" w:before="32" w:after="0"/>
              <w:ind w:left="0" w:right="2" w:firstLine="0"/>
              <w:jc w:val="right"/>
            </w:pPr>
            <w:r>
              <w:rPr>
                <w:rFonts w:ascii="Arial" w:hAnsi="Arial" w:eastAsia="Arial"/>
                <w:b w:val="0"/>
                <w:i w:val="0"/>
                <w:color w:val="000000"/>
                <w:sz w:val="18"/>
              </w:rPr>
              <w:t>-</w:t>
            </w:r>
          </w:p>
        </w:tc>
        <w:tc>
          <w:tcPr>
            <w:tcW w:type="dxa" w:w="1888"/>
            <w:vMerge w:val="restart"/>
            <w:tcBorders/>
            <w:tcMar>
              <w:start w:w="0" w:type="dxa"/>
              <w:end w:w="0" w:type="dxa"/>
            </w:tcMar>
            <w:tcMar>
              <w:start w:w="0" w:type="dxa"/>
              <w:end w:w="0" w:type="dxa"/>
            </w:tcMar>
          </w:tcPr>
          <w:p>
            <w:pPr>
              <w:autoSpaceDN w:val="0"/>
              <w:autoSpaceDE w:val="0"/>
              <w:widowControl/>
              <w:spacing w:line="233" w:lineRule="auto" w:before="32" w:after="0"/>
              <w:ind w:left="0" w:right="136" w:firstLine="0"/>
              <w:jc w:val="right"/>
            </w:pPr>
            <w:r>
              <w:rPr>
                <w:rFonts w:ascii="Arial" w:hAnsi="Arial" w:eastAsia="Arial"/>
                <w:b w:val="0"/>
                <w:i w:val="0"/>
                <w:color w:val="000000"/>
                <w:sz w:val="18"/>
              </w:rPr>
              <w:t xml:space="preserve">49,096,844 </w:t>
            </w:r>
          </w:p>
        </w:tc>
      </w:tr>
      <w:tr>
        <w:trPr>
          <w:trHeight w:hRule="exact" w:val="44"/>
        </w:trPr>
        <w:tc>
          <w:tcPr>
            <w:tcW w:type="dxa" w:w="2194"/>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6" w:after="0"/>
              <w:ind w:left="382" w:right="0" w:firstLine="0"/>
              <w:jc w:val="left"/>
            </w:pPr>
            <w:r>
              <w:rPr>
                <w:rFonts w:ascii="黑体" w:hAnsi="黑体" w:eastAsia="黑体"/>
                <w:b w:val="0"/>
                <w:i w:val="0"/>
                <w:color w:val="000000"/>
                <w:sz w:val="18"/>
              </w:rPr>
              <w:t>格林期货商誉</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22"/>
        </w:trPr>
        <w:tc>
          <w:tcPr>
            <w:tcW w:type="dxa" w:w="1805"/>
            <w:vMerge/>
            <w:tcBorders>
              <w:bottom w:sz="4.0" w:val="single" w:color="#000000"/>
            </w:tcBorders>
          </w:tcPr>
          <w:p/>
        </w:tc>
        <w:tc>
          <w:tcPr>
            <w:tcW w:type="dxa" w:w="1480"/>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18"/>
              </w:rPr>
              <w:t>427,843,057</w:t>
            </w:r>
          </w:p>
        </w:tc>
        <w:tc>
          <w:tcPr>
            <w:tcW w:type="dxa" w:w="1788"/>
            <w:tcBorders>
              <w:bottom w:sz="4.0" w:val="single" w:color="#000000"/>
            </w:tcBorders>
            <w:tcMar>
              <w:start w:w="0" w:type="dxa"/>
              <w:end w:w="0" w:type="dxa"/>
            </w:tcMar>
          </w:tcPr>
          <w:p>
            <w:pPr>
              <w:autoSpaceDN w:val="0"/>
              <w:autoSpaceDE w:val="0"/>
              <w:widowControl/>
              <w:spacing w:line="233" w:lineRule="auto" w:before="18" w:after="0"/>
              <w:ind w:left="0" w:right="170" w:firstLine="0"/>
              <w:jc w:val="right"/>
            </w:pPr>
            <w:r>
              <w:rPr>
                <w:rFonts w:ascii="Arial" w:hAnsi="Arial" w:eastAsia="Arial"/>
                <w:b w:val="0"/>
                <w:i w:val="0"/>
                <w:color w:val="000000"/>
                <w:sz w:val="18"/>
              </w:rPr>
              <w:t xml:space="preserve">- </w:t>
            </w:r>
          </w:p>
        </w:tc>
        <w:tc>
          <w:tcPr>
            <w:tcW w:type="dxa" w:w="1350"/>
            <w:tcBorders>
              <w:bottom w:sz="4.0" w:val="single" w:color="#000000"/>
            </w:tcBorders>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18"/>
              </w:rPr>
              <w:t>-</w:t>
            </w:r>
          </w:p>
        </w:tc>
        <w:tc>
          <w:tcPr>
            <w:tcW w:type="dxa" w:w="1888"/>
            <w:tcBorders>
              <w:bottom w:sz="4.0" w:val="single" w:color="#000000"/>
            </w:tcBorders>
            <w:tcMar>
              <w:start w:w="0" w:type="dxa"/>
              <w:end w:w="0" w:type="dxa"/>
            </w:tcMar>
          </w:tcPr>
          <w:p>
            <w:pPr>
              <w:autoSpaceDN w:val="0"/>
              <w:autoSpaceDE w:val="0"/>
              <w:widowControl/>
              <w:spacing w:line="233" w:lineRule="auto" w:before="18" w:after="0"/>
              <w:ind w:left="0" w:right="136" w:firstLine="0"/>
              <w:jc w:val="right"/>
            </w:pPr>
            <w:r>
              <w:rPr>
                <w:rFonts w:ascii="Arial" w:hAnsi="Arial" w:eastAsia="Arial"/>
                <w:b w:val="0"/>
                <w:i w:val="0"/>
                <w:color w:val="000000"/>
                <w:sz w:val="18"/>
              </w:rPr>
              <w:t xml:space="preserve">427,843,057 </w:t>
            </w:r>
          </w:p>
        </w:tc>
      </w:tr>
      <w:tr>
        <w:trPr>
          <w:trHeight w:hRule="exact" w:val="452"/>
        </w:trPr>
        <w:tc>
          <w:tcPr>
            <w:tcW w:type="dxa" w:w="2194"/>
            <w:tcBorders>
              <w:top w:sz="4.0" w:val="single" w:color="#000000"/>
              <w:bottom w:sz="4.0"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小计</w:t>
            </w:r>
          </w:p>
        </w:tc>
        <w:tc>
          <w:tcPr>
            <w:tcW w:type="dxa" w:w="1480"/>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0" w:firstLine="0"/>
              <w:jc w:val="right"/>
            </w:pPr>
            <w:r>
              <w:rPr>
                <w:rFonts w:ascii="Arial" w:hAnsi="Arial" w:eastAsia="Arial"/>
                <w:b w:val="0"/>
                <w:i w:val="0"/>
                <w:color w:val="000000"/>
                <w:sz w:val="18"/>
              </w:rPr>
              <w:t>476,939,901</w:t>
            </w:r>
          </w:p>
        </w:tc>
        <w:tc>
          <w:tcPr>
            <w:tcW w:type="dxa" w:w="1788"/>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170" w:firstLine="0"/>
              <w:jc w:val="right"/>
            </w:pPr>
            <w:r>
              <w:rPr>
                <w:rFonts w:ascii="Arial" w:hAnsi="Arial" w:eastAsia="Arial"/>
                <w:b w:val="0"/>
                <w:i w:val="0"/>
                <w:color w:val="000000"/>
                <w:sz w:val="18"/>
              </w:rPr>
              <w:t xml:space="preserve">- </w:t>
            </w:r>
          </w:p>
        </w:tc>
        <w:tc>
          <w:tcPr>
            <w:tcW w:type="dxa" w:w="1350"/>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2" w:firstLine="0"/>
              <w:jc w:val="right"/>
            </w:pPr>
            <w:r>
              <w:rPr>
                <w:rFonts w:ascii="Arial" w:hAnsi="Arial" w:eastAsia="Arial"/>
                <w:b w:val="0"/>
                <w:i w:val="0"/>
                <w:color w:val="000000"/>
                <w:sz w:val="18"/>
              </w:rPr>
              <w:t>-</w:t>
            </w:r>
          </w:p>
        </w:tc>
        <w:tc>
          <w:tcPr>
            <w:tcW w:type="dxa" w:w="1888"/>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136" w:firstLine="0"/>
              <w:jc w:val="right"/>
            </w:pPr>
            <w:r>
              <w:rPr>
                <w:rFonts w:ascii="Arial" w:hAnsi="Arial" w:eastAsia="Arial"/>
                <w:b w:val="0"/>
                <w:i w:val="0"/>
                <w:color w:val="000000"/>
                <w:sz w:val="18"/>
              </w:rPr>
              <w:t xml:space="preserve">476,939,901 </w:t>
            </w:r>
          </w:p>
        </w:tc>
      </w:tr>
      <w:tr>
        <w:trPr>
          <w:trHeight w:hRule="exact" w:val="450"/>
        </w:trPr>
        <w:tc>
          <w:tcPr>
            <w:tcW w:type="dxa" w:w="2194"/>
            <w:tcBorders>
              <w:top w:sz="4.0" w:val="single" w:color="#000000"/>
              <w:bottom w:sz="4.0" w:val="single" w:color="#000000"/>
            </w:tcBorders>
            <w:tcMar>
              <w:start w:w="0" w:type="dxa"/>
              <w:end w:w="0" w:type="dxa"/>
            </w:tcMar>
          </w:tcPr>
          <w:p>
            <w:pPr>
              <w:autoSpaceDN w:val="0"/>
              <w:autoSpaceDE w:val="0"/>
              <w:widowControl/>
              <w:spacing w:line="180" w:lineRule="exact" w:before="234" w:after="0"/>
              <w:ind w:left="198" w:right="0" w:firstLine="0"/>
              <w:jc w:val="left"/>
            </w:pPr>
            <w:r>
              <w:rPr>
                <w:rFonts w:ascii="黑体" w:hAnsi="黑体" w:eastAsia="黑体"/>
                <w:b w:val="0"/>
                <w:i w:val="0"/>
                <w:color w:val="000000"/>
                <w:sz w:val="18"/>
              </w:rPr>
              <w:t>减值准备</w:t>
            </w:r>
          </w:p>
        </w:tc>
        <w:tc>
          <w:tcPr>
            <w:tcW w:type="dxa" w:w="148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0" w:firstLine="0"/>
              <w:jc w:val="right"/>
            </w:pPr>
            <w:r>
              <w:rPr>
                <w:rFonts w:ascii="Arial" w:hAnsi="Arial" w:eastAsia="Arial"/>
                <w:b w:val="0"/>
                <w:i w:val="0"/>
                <w:color w:val="000000"/>
                <w:sz w:val="18"/>
              </w:rPr>
              <w:t>-</w:t>
            </w:r>
          </w:p>
        </w:tc>
        <w:tc>
          <w:tcPr>
            <w:tcW w:type="dxa" w:w="1788"/>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70" w:firstLine="0"/>
              <w:jc w:val="right"/>
            </w:pPr>
            <w:r>
              <w:rPr>
                <w:rFonts w:ascii="Arial" w:hAnsi="Arial" w:eastAsia="Arial"/>
                <w:b w:val="0"/>
                <w:i w:val="0"/>
                <w:color w:val="000000"/>
                <w:sz w:val="18"/>
              </w:rPr>
              <w:t xml:space="preserve">- </w:t>
            </w:r>
          </w:p>
        </w:tc>
        <w:tc>
          <w:tcPr>
            <w:tcW w:type="dxa" w:w="1350"/>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2" w:firstLine="0"/>
              <w:jc w:val="right"/>
            </w:pPr>
            <w:r>
              <w:rPr>
                <w:rFonts w:ascii="Arial" w:hAnsi="Arial" w:eastAsia="Arial"/>
                <w:b w:val="0"/>
                <w:i w:val="0"/>
                <w:color w:val="000000"/>
                <w:sz w:val="18"/>
              </w:rPr>
              <w:t>-</w:t>
            </w:r>
          </w:p>
        </w:tc>
        <w:tc>
          <w:tcPr>
            <w:tcW w:type="dxa" w:w="1888"/>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36" w:firstLine="0"/>
              <w:jc w:val="right"/>
            </w:pPr>
            <w:r>
              <w:rPr>
                <w:rFonts w:ascii="Arial" w:hAnsi="Arial" w:eastAsia="Arial"/>
                <w:b w:val="0"/>
                <w:i w:val="0"/>
                <w:color w:val="000000"/>
                <w:sz w:val="18"/>
              </w:rPr>
              <w:t xml:space="preserve">- </w:t>
            </w:r>
          </w:p>
        </w:tc>
      </w:tr>
      <w:tr>
        <w:trPr>
          <w:trHeight w:hRule="exact" w:val="454"/>
        </w:trPr>
        <w:tc>
          <w:tcPr>
            <w:tcW w:type="dxa" w:w="2194"/>
            <w:tcBorders>
              <w:top w:sz="4.0" w:val="single" w:color="#000000"/>
              <w:bottom w:sz="4.0" w:val="single" w:color="#000000"/>
            </w:tcBorders>
            <w:tcMar>
              <w:start w:w="0" w:type="dxa"/>
              <w:end w:w="0" w:type="dxa"/>
            </w:tcMar>
          </w:tcPr>
          <w:p>
            <w:pPr>
              <w:autoSpaceDN w:val="0"/>
              <w:autoSpaceDE w:val="0"/>
              <w:widowControl/>
              <w:spacing w:line="180" w:lineRule="exact" w:before="234" w:after="0"/>
              <w:ind w:left="198" w:right="0" w:firstLine="0"/>
              <w:jc w:val="left"/>
            </w:pPr>
            <w:r>
              <w:rPr>
                <w:rFonts w:ascii="黑体" w:hAnsi="黑体" w:eastAsia="黑体"/>
                <w:b w:val="0"/>
                <w:i w:val="0"/>
                <w:color w:val="000000"/>
                <w:sz w:val="18"/>
              </w:rPr>
              <w:t>商誉账面净额</w:t>
            </w:r>
          </w:p>
        </w:tc>
        <w:tc>
          <w:tcPr>
            <w:tcW w:type="dxa" w:w="1480"/>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0" w:firstLine="0"/>
              <w:jc w:val="right"/>
            </w:pPr>
            <w:r>
              <w:rPr>
                <w:rFonts w:ascii="Arial" w:hAnsi="Arial" w:eastAsia="Arial"/>
                <w:b w:val="0"/>
                <w:i w:val="0"/>
                <w:color w:val="000000"/>
                <w:sz w:val="18"/>
              </w:rPr>
              <w:t>476,939,901</w:t>
            </w:r>
          </w:p>
        </w:tc>
        <w:tc>
          <w:tcPr>
            <w:tcW w:type="dxa" w:w="1788"/>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170" w:firstLine="0"/>
              <w:jc w:val="right"/>
            </w:pPr>
            <w:r>
              <w:rPr>
                <w:rFonts w:ascii="Arial" w:hAnsi="Arial" w:eastAsia="Arial"/>
                <w:b w:val="0"/>
                <w:i w:val="0"/>
                <w:color w:val="000000"/>
                <w:sz w:val="18"/>
              </w:rPr>
              <w:t xml:space="preserve">- </w:t>
            </w:r>
          </w:p>
        </w:tc>
        <w:tc>
          <w:tcPr>
            <w:tcW w:type="dxa" w:w="1350"/>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2" w:firstLine="0"/>
              <w:jc w:val="right"/>
            </w:pPr>
            <w:r>
              <w:rPr>
                <w:rFonts w:ascii="Arial" w:hAnsi="Arial" w:eastAsia="Arial"/>
                <w:b w:val="0"/>
                <w:i w:val="0"/>
                <w:color w:val="000000"/>
                <w:sz w:val="18"/>
              </w:rPr>
              <w:t>-</w:t>
            </w:r>
          </w:p>
        </w:tc>
        <w:tc>
          <w:tcPr>
            <w:tcW w:type="dxa" w:w="1888"/>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136" w:firstLine="0"/>
              <w:jc w:val="right"/>
            </w:pPr>
            <w:r>
              <w:rPr>
                <w:rFonts w:ascii="Arial" w:hAnsi="Arial" w:eastAsia="Arial"/>
                <w:b w:val="0"/>
                <w:i w:val="0"/>
                <w:color w:val="000000"/>
                <w:sz w:val="18"/>
              </w:rPr>
              <w:t xml:space="preserve">476,939,901 </w:t>
            </w:r>
          </w:p>
        </w:tc>
      </w:tr>
      <w:tr>
        <w:trPr>
          <w:trHeight w:hRule="exact" w:val="52"/>
        </w:trPr>
        <w:tc>
          <w:tcPr>
            <w:tcW w:type="dxa" w:w="2194"/>
            <w:tcBorders>
              <w:top w:sz="4.0" w:val="single" w:color="#000000"/>
            </w:tcBorders>
            <w:tcMar>
              <w:start w:w="0" w:type="dxa"/>
              <w:end w:w="0" w:type="dxa"/>
            </w:tcMar>
          </w:tcPr>
          <w:p/>
        </w:tc>
        <w:tc>
          <w:tcPr>
            <w:tcW w:type="dxa" w:w="1480"/>
            <w:tcBorders>
              <w:top w:sz="4.0" w:val="single" w:color="#000000"/>
            </w:tcBorders>
            <w:tcMar>
              <w:start w:w="0" w:type="dxa"/>
              <w:end w:w="0" w:type="dxa"/>
            </w:tcMar>
          </w:tcPr>
          <w:p/>
        </w:tc>
        <w:tc>
          <w:tcPr>
            <w:tcW w:type="dxa" w:w="1788"/>
            <w:tcBorders>
              <w:top w:sz="4.0" w:val="single" w:color="#000000"/>
            </w:tcBorders>
            <w:tcMar>
              <w:start w:w="0" w:type="dxa"/>
              <w:end w:w="0" w:type="dxa"/>
            </w:tcMar>
          </w:tcPr>
          <w:p/>
        </w:tc>
        <w:tc>
          <w:tcPr>
            <w:tcW w:type="dxa" w:w="1350"/>
            <w:tcBorders>
              <w:top w:sz="4.0" w:val="single" w:color="#000000"/>
            </w:tcBorders>
            <w:tcMar>
              <w:start w:w="0" w:type="dxa"/>
              <w:end w:w="0" w:type="dxa"/>
            </w:tcMar>
          </w:tcPr>
          <w:p/>
        </w:tc>
        <w:tc>
          <w:tcPr>
            <w:tcW w:type="dxa" w:w="1888"/>
            <w:tcBorders>
              <w:top w:sz="4.0" w:val="single" w:color="#000000"/>
            </w:tcBorders>
            <w:tcMar>
              <w:start w:w="0" w:type="dxa"/>
              <w:end w:w="0" w:type="dxa"/>
            </w:tcMar>
          </w:tcPr>
          <w:p/>
        </w:tc>
      </w:tr>
    </w:tbl>
    <w:p>
      <w:pPr>
        <w:autoSpaceDN w:val="0"/>
        <w:autoSpaceDE w:val="0"/>
        <w:widowControl/>
        <w:spacing w:line="246" w:lineRule="exact" w:before="242"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商誉减值准备</w:t>
      </w:r>
    </w:p>
    <w:p>
      <w:pPr>
        <w:autoSpaceDN w:val="0"/>
        <w:tabs>
          <w:tab w:pos="798" w:val="left"/>
        </w:tabs>
        <w:autoSpaceDE w:val="0"/>
        <w:widowControl/>
        <w:spacing w:line="294" w:lineRule="exact" w:before="228" w:after="0"/>
        <w:ind w:left="358" w:right="1152" w:firstLine="0"/>
        <w:jc w:val="left"/>
      </w:pPr>
      <w:r>
        <w:rPr>
          <w:rFonts w:ascii="黑体" w:hAnsi="黑体" w:eastAsia="黑体"/>
          <w:b w:val="0"/>
          <w:i w:val="0"/>
          <w:color w:val="000000"/>
          <w:sz w:val="22"/>
        </w:rPr>
        <w:t>企业合并取得的商誉已经分配至下列资产组或者资产组组合以进行减值测试：</w:t>
      </w:r>
      <w:r>
        <w:rPr>
          <w:rFonts w:ascii="Wingdings" w:hAnsi="Wingdings" w:eastAsia="Wingdings"/>
          <w:b w:val="0"/>
          <w:i w:val="0"/>
          <w:color w:val="000000"/>
          <w:sz w:val="22"/>
        </w:rPr>
        <w:t></w:t>
      </w:r>
      <w:r>
        <w:tab/>
      </w:r>
      <w:r>
        <w:rPr>
          <w:rFonts w:ascii="黑体" w:hAnsi="黑体" w:eastAsia="黑体"/>
          <w:b w:val="0"/>
          <w:i w:val="0"/>
          <w:color w:val="000000"/>
          <w:sz w:val="22"/>
        </w:rPr>
        <w:t>证券经纪业务资产组；以及</w:t>
      </w:r>
      <w:r>
        <w:br/>
      </w:r>
      <w:r>
        <w:rPr>
          <w:rFonts w:ascii="Wingdings" w:hAnsi="Wingdings" w:eastAsia="Wingdings"/>
          <w:b w:val="0"/>
          <w:i w:val="0"/>
          <w:color w:val="000000"/>
          <w:sz w:val="22"/>
        </w:rPr>
        <w:t></w:t>
      </w:r>
      <w:r>
        <w:tab/>
      </w:r>
      <w:r>
        <w:rPr>
          <w:rFonts w:ascii="黑体" w:hAnsi="黑体" w:eastAsia="黑体"/>
          <w:b w:val="0"/>
          <w:i w:val="0"/>
          <w:color w:val="000000"/>
          <w:sz w:val="22"/>
        </w:rPr>
        <w:t>期货经纪业务资产组</w:t>
      </w:r>
    </w:p>
    <w:p>
      <w:pPr>
        <w:autoSpaceDN w:val="0"/>
        <w:autoSpaceDE w:val="0"/>
        <w:widowControl/>
        <w:spacing w:line="222" w:lineRule="exact" w:before="302" w:after="0"/>
        <w:ind w:left="358" w:right="0" w:firstLine="0"/>
        <w:jc w:val="left"/>
      </w:pPr>
      <w:r>
        <w:rPr>
          <w:rFonts w:ascii="黑体" w:hAnsi="黑体" w:eastAsia="黑体"/>
          <w:b w:val="0"/>
          <w:i w:val="0"/>
          <w:color w:val="000000"/>
          <w:sz w:val="22"/>
        </w:rPr>
        <w:t>证券经纪业务资产组</w:t>
      </w:r>
    </w:p>
    <w:p>
      <w:pPr>
        <w:autoSpaceDN w:val="0"/>
        <w:autoSpaceDE w:val="0"/>
        <w:widowControl/>
        <w:spacing w:line="278" w:lineRule="exact" w:before="276" w:after="0"/>
        <w:ind w:left="358" w:right="350" w:firstLine="0"/>
        <w:jc w:val="both"/>
      </w:pPr>
      <w:r>
        <w:rPr>
          <w:rFonts w:ascii="Arial" w:hAnsi="Arial" w:eastAsia="Arial"/>
          <w:b w:val="0"/>
          <w:i w:val="0"/>
          <w:color w:val="000000"/>
          <w:sz w:val="22"/>
        </w:rPr>
        <w:t>1998</w:t>
      </w:r>
      <w:r>
        <w:rPr>
          <w:rFonts w:ascii="黑体" w:hAnsi="黑体" w:eastAsia="黑体"/>
          <w:b w:val="0"/>
          <w:i w:val="0"/>
          <w:color w:val="000000"/>
          <w:sz w:val="22"/>
        </w:rPr>
        <w:t>年本公司进行了“银证分离、信证分离”重组，</w:t>
      </w:r>
      <w:r>
        <w:rPr>
          <w:rFonts w:ascii="Arial" w:hAnsi="Arial" w:eastAsia="Arial"/>
          <w:b w:val="0"/>
          <w:i w:val="0"/>
          <w:color w:val="000000"/>
          <w:sz w:val="22"/>
        </w:rPr>
        <w:t>1999</w:t>
      </w:r>
      <w:r>
        <w:rPr>
          <w:rFonts w:ascii="黑体" w:hAnsi="黑体" w:eastAsia="黑体"/>
          <w:b w:val="0"/>
          <w:i w:val="0"/>
          <w:color w:val="000000"/>
          <w:sz w:val="22"/>
        </w:rPr>
        <w:t>年本公司收购了北京农行信</w:t>
      </w:r>
      <w:r>
        <w:rPr>
          <w:rFonts w:ascii="黑体" w:hAnsi="黑体" w:eastAsia="黑体"/>
          <w:b w:val="0"/>
          <w:i w:val="0"/>
          <w:color w:val="000000"/>
          <w:sz w:val="22"/>
        </w:rPr>
        <w:t>托投资公司证券交易营业部，</w:t>
      </w:r>
      <w:r>
        <w:rPr>
          <w:rFonts w:ascii="Arial" w:hAnsi="Arial" w:eastAsia="Arial"/>
          <w:b w:val="0"/>
          <w:i w:val="0"/>
          <w:color w:val="000000"/>
          <w:sz w:val="22"/>
        </w:rPr>
        <w:t>2001</w:t>
      </w:r>
      <w:r>
        <w:rPr>
          <w:rFonts w:ascii="黑体" w:hAnsi="黑体" w:eastAsia="黑体"/>
          <w:b w:val="0"/>
          <w:i w:val="0"/>
          <w:color w:val="000000"/>
          <w:sz w:val="22"/>
        </w:rPr>
        <w:t>年本公司与山西省五家信托投资公司所属证券类资</w:t>
      </w:r>
      <w:r>
        <w:rPr>
          <w:rFonts w:ascii="黑体" w:hAnsi="黑体" w:eastAsia="黑体"/>
          <w:b w:val="0"/>
          <w:i w:val="0"/>
          <w:color w:val="000000"/>
          <w:sz w:val="22"/>
        </w:rPr>
        <w:t>产进行合并重组。本公司在确认收购业务的可辨认资产和负债后，将收购成本超过收</w:t>
      </w:r>
    </w:p>
    <w:p>
      <w:pPr>
        <w:autoSpaceDN w:val="0"/>
        <w:autoSpaceDE w:val="0"/>
        <w:widowControl/>
        <w:spacing w:line="292" w:lineRule="exact" w:before="0" w:after="0"/>
        <w:ind w:left="358" w:right="288" w:firstLine="0"/>
        <w:jc w:val="left"/>
      </w:pPr>
      <w:r>
        <w:rPr>
          <w:rFonts w:ascii="黑体" w:hAnsi="黑体" w:eastAsia="黑体"/>
          <w:b w:val="0"/>
          <w:i w:val="0"/>
          <w:color w:val="000000"/>
          <w:sz w:val="22"/>
        </w:rPr>
        <w:t>购业务中取得的可辨认净资产公允价值的差额确认为证券经纪业务资产组的商誉。于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日和</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日，商誉原值及净值均为人民币</w:t>
      </w:r>
      <w:r>
        <w:rPr>
          <w:rFonts w:ascii="Arial" w:hAnsi="Arial" w:eastAsia="Arial"/>
          <w:b w:val="0"/>
          <w:i w:val="0"/>
          <w:color w:val="000000"/>
          <w:sz w:val="22"/>
        </w:rPr>
        <w:t>49,096,844</w:t>
      </w:r>
      <w:r>
        <w:rPr>
          <w:rFonts w:ascii="黑体" w:hAnsi="黑体" w:eastAsia="黑体"/>
          <w:b w:val="0"/>
          <w:i w:val="0"/>
          <w:color w:val="000000"/>
          <w:sz w:val="22"/>
        </w:rPr>
        <w:t>元。</w:t>
      </w:r>
    </w:p>
    <w:p>
      <w:pPr>
        <w:autoSpaceDN w:val="0"/>
        <w:autoSpaceDE w:val="0"/>
        <w:widowControl/>
        <w:spacing w:line="220" w:lineRule="exact" w:before="302" w:after="0"/>
        <w:ind w:left="0" w:right="0" w:firstLine="0"/>
        <w:jc w:val="center"/>
      </w:pPr>
      <w:r>
        <w:rPr>
          <w:rFonts w:ascii="黑体" w:hAnsi="黑体" w:eastAsia="黑体"/>
          <w:b w:val="0"/>
          <w:i w:val="0"/>
          <w:color w:val="000000"/>
          <w:sz w:val="22"/>
        </w:rPr>
        <w:t>证券经纪业务资产组主要由证券经纪业务构成，以初始形成资产组时的收购范围确</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定，属于证券经纪业务分部。由于资产组产生的主要现金流入基本上独立于其他资产</w:t>
      </w:r>
    </w:p>
    <w:p>
      <w:pPr>
        <w:autoSpaceDN w:val="0"/>
        <w:autoSpaceDE w:val="0"/>
        <w:widowControl/>
        <w:spacing w:line="220" w:lineRule="exact" w:before="66" w:after="0"/>
        <w:ind w:left="0" w:right="0" w:firstLine="0"/>
        <w:jc w:val="center"/>
      </w:pPr>
      <w:r>
        <w:rPr>
          <w:rFonts w:ascii="黑体" w:hAnsi="黑体" w:eastAsia="黑体"/>
          <w:b w:val="0"/>
          <w:i w:val="0"/>
          <w:color w:val="000000"/>
          <w:sz w:val="22"/>
        </w:rPr>
        <w:t>或者资产组产生的现金流入，故构成一个资产组。该资产组与以前年度所确定的资产</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组一致。</w:t>
      </w:r>
    </w:p>
    <w:p>
      <w:pPr>
        <w:autoSpaceDN w:val="0"/>
        <w:autoSpaceDE w:val="0"/>
        <w:widowControl/>
        <w:spacing w:line="220" w:lineRule="exact" w:before="318" w:after="0"/>
        <w:ind w:left="0" w:right="0" w:firstLine="0"/>
        <w:jc w:val="center"/>
      </w:pPr>
      <w:r>
        <w:rPr>
          <w:rFonts w:ascii="黑体" w:hAnsi="黑体" w:eastAsia="黑体"/>
          <w:b w:val="0"/>
          <w:i w:val="0"/>
          <w:color w:val="000000"/>
          <w:sz w:val="22"/>
        </w:rPr>
        <w:t>商誉的可收回金额按照证券经纪业务资产组预计未来现金流量的现值确定，预计现金</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流量的现值系在相关管理层当年财务预算的基础上按可预测的未来五年证券经纪业务</w:t>
      </w:r>
    </w:p>
    <w:p>
      <w:pPr>
        <w:autoSpaceDN w:val="0"/>
        <w:autoSpaceDE w:val="0"/>
        <w:widowControl/>
        <w:spacing w:line="222" w:lineRule="exact" w:before="64" w:after="0"/>
        <w:ind w:left="0" w:right="0" w:firstLine="0"/>
        <w:jc w:val="center"/>
      </w:pPr>
      <w:r>
        <w:rPr>
          <w:rFonts w:ascii="黑体" w:hAnsi="黑体" w:eastAsia="黑体"/>
          <w:b w:val="0"/>
          <w:i w:val="0"/>
          <w:color w:val="000000"/>
          <w:sz w:val="22"/>
        </w:rPr>
        <w:t>资产组的经营发展规划、现金流量预测及经调整以反映证券经纪业务资产组特定风险</w:t>
      </w:r>
    </w:p>
    <w:p>
      <w:pPr>
        <w:autoSpaceDN w:val="0"/>
        <w:autoSpaceDE w:val="0"/>
        <w:widowControl/>
        <w:spacing w:line="288" w:lineRule="exact" w:before="0" w:after="0"/>
        <w:ind w:left="358" w:right="350" w:firstLine="0"/>
        <w:jc w:val="both"/>
      </w:pPr>
      <w:r>
        <w:rPr>
          <w:rFonts w:ascii="黑体" w:hAnsi="黑体" w:eastAsia="黑体"/>
          <w:b w:val="0"/>
          <w:i w:val="0"/>
          <w:color w:val="000000"/>
          <w:sz w:val="22"/>
        </w:rPr>
        <w:t>的折现率计算确定，假设超过预测期的现金流量保持不变。预测期及稳定期关键参数</w:t>
      </w:r>
      <w:r>
        <w:rPr>
          <w:rFonts w:ascii="黑体" w:hAnsi="黑体" w:eastAsia="黑体"/>
          <w:b w:val="0"/>
          <w:i w:val="0"/>
          <w:color w:val="000000"/>
          <w:sz w:val="22"/>
        </w:rPr>
        <w:t>包括：预测期收入增长率</w:t>
      </w:r>
      <w:r>
        <w:rPr>
          <w:rFonts w:ascii="Arial" w:hAnsi="Arial" w:eastAsia="Arial"/>
          <w:b w:val="0"/>
          <w:i w:val="0"/>
          <w:color w:val="000000"/>
          <w:sz w:val="22"/>
        </w:rPr>
        <w:t>1.00%</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1.00%</w:t>
      </w:r>
      <w:r>
        <w:rPr>
          <w:rFonts w:ascii="黑体" w:hAnsi="黑体" w:eastAsia="黑体"/>
          <w:b w:val="0"/>
          <w:i w:val="0"/>
          <w:color w:val="000000"/>
          <w:sz w:val="22"/>
        </w:rPr>
        <w:t>）、稳定期收入增长率</w:t>
      </w:r>
      <w:r>
        <w:rPr>
          <w:rFonts w:ascii="Arial" w:hAnsi="Arial" w:eastAsia="Arial"/>
          <w:b w:val="0"/>
          <w:i w:val="0"/>
          <w:color w:val="000000"/>
          <w:sz w:val="22"/>
        </w:rPr>
        <w:t>0.00%</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1.00%</w:t>
      </w:r>
      <w:r>
        <w:rPr>
          <w:rFonts w:ascii="黑体" w:hAnsi="黑体" w:eastAsia="黑体"/>
          <w:b w:val="0"/>
          <w:i w:val="0"/>
          <w:color w:val="000000"/>
          <w:sz w:val="22"/>
        </w:rPr>
        <w:t>）、各资产组税前折现率区间为</w:t>
      </w:r>
      <w:r>
        <w:rPr>
          <w:rFonts w:ascii="Arial" w:hAnsi="Arial" w:eastAsia="Arial"/>
          <w:b w:val="0"/>
          <w:i w:val="0"/>
          <w:color w:val="000000"/>
          <w:sz w:val="22"/>
        </w:rPr>
        <w:t>11.99%</w:t>
      </w:r>
      <w:r>
        <w:rPr>
          <w:rFonts w:ascii="黑体" w:hAnsi="黑体" w:eastAsia="黑体"/>
          <w:b w:val="0"/>
          <w:i w:val="0"/>
          <w:color w:val="000000"/>
          <w:sz w:val="22"/>
        </w:rPr>
        <w:t>至</w:t>
      </w:r>
      <w:r>
        <w:rPr>
          <w:rFonts w:ascii="Arial" w:hAnsi="Arial" w:eastAsia="Arial"/>
          <w:b w:val="0"/>
          <w:i w:val="0"/>
          <w:color w:val="000000"/>
          <w:sz w:val="22"/>
        </w:rPr>
        <w:t>12.13%</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10.50%</w:t>
      </w:r>
      <w:r>
        <w:rPr>
          <w:rFonts w:ascii="黑体" w:hAnsi="黑体" w:eastAsia="黑体"/>
          <w:b w:val="0"/>
          <w:i w:val="0"/>
          <w:color w:val="000000"/>
          <w:sz w:val="22"/>
        </w:rPr>
        <w:t>）。截至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日，证券经纪业务资产组的可收</w:t>
      </w:r>
      <w:r>
        <w:rPr>
          <w:rFonts w:ascii="黑体" w:hAnsi="黑体" w:eastAsia="黑体"/>
          <w:b w:val="0"/>
          <w:i w:val="0"/>
          <w:color w:val="000000"/>
          <w:sz w:val="22"/>
        </w:rPr>
        <w:t>回金额为人民币</w:t>
      </w:r>
      <w:r>
        <w:rPr>
          <w:rFonts w:ascii="Arial" w:hAnsi="Arial" w:eastAsia="Arial"/>
          <w:b w:val="0"/>
          <w:i w:val="0"/>
          <w:color w:val="000000"/>
          <w:sz w:val="22"/>
        </w:rPr>
        <w:t>158,282</w:t>
      </w:r>
      <w:r>
        <w:rPr>
          <w:rFonts w:ascii="黑体" w:hAnsi="黑体" w:eastAsia="黑体"/>
          <w:b w:val="0"/>
          <w:i w:val="0"/>
          <w:color w:val="000000"/>
          <w:sz w:val="22"/>
        </w:rPr>
        <w:t>万元，高于账面价值，因此未确认减值。</w:t>
      </w:r>
    </w:p>
    <w:p>
      <w:pPr>
        <w:autoSpaceDN w:val="0"/>
        <w:autoSpaceDE w:val="0"/>
        <w:widowControl/>
        <w:spacing w:line="233" w:lineRule="auto" w:before="2040" w:after="0"/>
        <w:ind w:left="0" w:right="0" w:firstLine="0"/>
        <w:jc w:val="center"/>
      </w:pPr>
      <w:r>
        <w:rPr>
          <w:rFonts w:ascii="Arial" w:hAnsi="Arial" w:eastAsia="Arial"/>
          <w:b w:val="0"/>
          <w:i w:val="0"/>
          <w:color w:val="000000"/>
          <w:sz w:val="20"/>
        </w:rPr>
        <w:t xml:space="preserve">213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58"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15. </w:t>
      </w:r>
      <w:r>
        <w:tab/>
      </w:r>
      <w:r>
        <w:rPr>
          <w:rFonts w:ascii="黑体" w:hAnsi="黑体" w:eastAsia="黑体"/>
          <w:b w:val="0"/>
          <w:i w:val="0"/>
          <w:color w:val="000000"/>
          <w:sz w:val="22"/>
        </w:rPr>
        <w:t>商誉（续）</w:t>
      </w:r>
    </w:p>
    <w:p>
      <w:pPr>
        <w:autoSpaceDN w:val="0"/>
        <w:autoSpaceDE w:val="0"/>
        <w:widowControl/>
        <w:spacing w:line="246" w:lineRule="exact" w:before="290"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商誉减值准备（续）</w:t>
      </w:r>
    </w:p>
    <w:p>
      <w:pPr>
        <w:autoSpaceDN w:val="0"/>
        <w:autoSpaceDE w:val="0"/>
        <w:widowControl/>
        <w:spacing w:line="222" w:lineRule="exact" w:before="304" w:after="0"/>
        <w:ind w:left="358" w:right="0" w:firstLine="0"/>
        <w:jc w:val="left"/>
      </w:pPr>
      <w:r>
        <w:rPr>
          <w:rFonts w:ascii="黑体" w:hAnsi="黑体" w:eastAsia="黑体"/>
          <w:b w:val="0"/>
          <w:i w:val="0"/>
          <w:color w:val="000000"/>
          <w:sz w:val="22"/>
        </w:rPr>
        <w:t>期货经纪业务资产组</w:t>
      </w:r>
    </w:p>
    <w:p>
      <w:pPr>
        <w:autoSpaceDN w:val="0"/>
        <w:autoSpaceDE w:val="0"/>
        <w:widowControl/>
        <w:spacing w:line="286" w:lineRule="exact" w:before="266" w:after="0"/>
        <w:ind w:left="358" w:right="350" w:firstLine="0"/>
        <w:jc w:val="both"/>
      </w:pPr>
      <w:r>
        <w:rPr>
          <w:rFonts w:ascii="黑体" w:hAnsi="黑体" w:eastAsia="黑体"/>
          <w:b w:val="0"/>
          <w:i w:val="0"/>
          <w:color w:val="000000"/>
          <w:sz w:val="22"/>
        </w:rPr>
        <w:t>本集团于</w:t>
      </w:r>
      <w:r>
        <w:rPr>
          <w:rFonts w:ascii="Arial" w:hAnsi="Arial" w:eastAsia="Arial"/>
          <w:b w:val="0"/>
          <w:i w:val="0"/>
          <w:color w:val="000000"/>
          <w:sz w:val="22"/>
        </w:rPr>
        <w:t>2013</w:t>
      </w:r>
      <w:r>
        <w:rPr>
          <w:rFonts w:ascii="黑体" w:hAnsi="黑体" w:eastAsia="黑体"/>
          <w:b w:val="0"/>
          <w:i w:val="0"/>
          <w:color w:val="000000"/>
          <w:sz w:val="22"/>
        </w:rPr>
        <w:t>年通过支付现金以及发行股份的方式收购格林期货</w:t>
      </w:r>
      <w:r>
        <w:rPr>
          <w:rFonts w:ascii="Arial" w:hAnsi="Arial" w:eastAsia="Arial"/>
          <w:b w:val="0"/>
          <w:i w:val="0"/>
          <w:color w:val="000000"/>
          <w:sz w:val="22"/>
        </w:rPr>
        <w:t>100%</w:t>
      </w:r>
      <w:r>
        <w:rPr>
          <w:rFonts w:ascii="黑体" w:hAnsi="黑体" w:eastAsia="黑体"/>
          <w:b w:val="0"/>
          <w:i w:val="0"/>
          <w:color w:val="000000"/>
          <w:sz w:val="22"/>
        </w:rPr>
        <w:t>股权，同时格</w:t>
      </w:r>
      <w:r>
        <w:rPr>
          <w:rFonts w:ascii="黑体" w:hAnsi="黑体" w:eastAsia="黑体"/>
          <w:b w:val="0"/>
          <w:i w:val="0"/>
          <w:color w:val="000000"/>
          <w:sz w:val="22"/>
        </w:rPr>
        <w:t>林期货吸收合并原大华期货有限公司并更名为格林大华。格林期货于购买日的可辨认</w:t>
      </w:r>
      <w:r>
        <w:rPr>
          <w:rFonts w:ascii="黑体" w:hAnsi="黑体" w:eastAsia="黑体"/>
          <w:b w:val="0"/>
          <w:i w:val="0"/>
          <w:color w:val="000000"/>
          <w:sz w:val="22"/>
        </w:rPr>
        <w:t>净资产的公允价值根据中联资产评估集团有限公司评估并出具的中联评报字</w:t>
      </w:r>
      <w:r>
        <w:rPr>
          <w:rFonts w:ascii="Arial" w:hAnsi="Arial" w:eastAsia="Arial"/>
          <w:b w:val="0"/>
          <w:i w:val="0"/>
          <w:color w:val="000000"/>
          <w:sz w:val="22"/>
        </w:rPr>
        <w:t>[2013]</w:t>
      </w:r>
      <w:r>
        <w:rPr>
          <w:rFonts w:ascii="黑体" w:hAnsi="黑体" w:eastAsia="黑体"/>
          <w:b w:val="0"/>
          <w:i w:val="0"/>
          <w:color w:val="000000"/>
          <w:sz w:val="22"/>
        </w:rPr>
        <w:t>第</w:t>
      </w:r>
      <w:r>
        <w:rPr>
          <w:rFonts w:ascii="Arial" w:hAnsi="Arial" w:eastAsia="Arial"/>
          <w:b w:val="0"/>
          <w:i w:val="0"/>
          <w:color w:val="000000"/>
          <w:sz w:val="22"/>
        </w:rPr>
        <w:t>984</w:t>
      </w:r>
      <w:r>
        <w:rPr>
          <w:rFonts w:ascii="黑体" w:hAnsi="黑体" w:eastAsia="黑体"/>
          <w:b w:val="0"/>
          <w:i w:val="0"/>
          <w:color w:val="000000"/>
          <w:sz w:val="22"/>
        </w:rPr>
        <w:t>号评估报告计算确定，合并对价超过格林期货于购买日的可辨认净资产公允价值的</w:t>
      </w:r>
      <w:r>
        <w:rPr>
          <w:rFonts w:ascii="黑体" w:hAnsi="黑体" w:eastAsia="黑体"/>
          <w:b w:val="0"/>
          <w:i w:val="0"/>
          <w:color w:val="000000"/>
          <w:sz w:val="22"/>
        </w:rPr>
        <w:t>差额作为商誉。于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日和</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日，商誉原值及净值均为人民币</w:t>
      </w:r>
      <w:r>
        <w:rPr>
          <w:rFonts w:ascii="Arial" w:hAnsi="Arial" w:eastAsia="Arial"/>
          <w:b w:val="0"/>
          <w:i w:val="0"/>
          <w:color w:val="000000"/>
          <w:sz w:val="22"/>
        </w:rPr>
        <w:t>427,843,057</w:t>
      </w:r>
      <w:r>
        <w:rPr>
          <w:rFonts w:ascii="黑体" w:hAnsi="黑体" w:eastAsia="黑体"/>
          <w:b w:val="0"/>
          <w:i w:val="0"/>
          <w:color w:val="000000"/>
          <w:sz w:val="22"/>
        </w:rPr>
        <w:t>元。</w:t>
      </w:r>
    </w:p>
    <w:p>
      <w:pPr>
        <w:autoSpaceDN w:val="0"/>
        <w:autoSpaceDE w:val="0"/>
        <w:widowControl/>
        <w:spacing w:line="284" w:lineRule="exact" w:before="242" w:after="0"/>
        <w:ind w:left="358" w:right="356" w:firstLine="0"/>
        <w:jc w:val="both"/>
      </w:pPr>
      <w:r>
        <w:rPr>
          <w:rFonts w:ascii="黑体" w:hAnsi="黑体" w:eastAsia="黑体"/>
          <w:b w:val="0"/>
          <w:i w:val="0"/>
          <w:color w:val="000000"/>
          <w:sz w:val="22"/>
        </w:rPr>
        <w:t>期货经纪业务资产组主要由期货经纪业务构成，以初始形成资产组时的收购范围确</w:t>
      </w:r>
      <w:r>
        <w:rPr>
          <w:rFonts w:ascii="黑体" w:hAnsi="黑体" w:eastAsia="黑体"/>
          <w:b w:val="0"/>
          <w:i w:val="0"/>
          <w:color w:val="000000"/>
          <w:sz w:val="22"/>
        </w:rPr>
        <w:t>定，属于期货经纪业务分部。资产组产生的主要现金流入基本上独立于其他资产或者</w:t>
      </w:r>
      <w:r>
        <w:rPr>
          <w:rFonts w:ascii="黑体" w:hAnsi="黑体" w:eastAsia="黑体"/>
          <w:b w:val="0"/>
          <w:i w:val="0"/>
          <w:color w:val="000000"/>
          <w:sz w:val="22"/>
        </w:rPr>
        <w:t>资产组产生的现金流入，故构成一个资产组。该资产组与以前年度所确定的资产组一</w:t>
      </w:r>
      <w:r>
        <w:rPr>
          <w:rFonts w:ascii="黑体" w:hAnsi="黑体" w:eastAsia="黑体"/>
          <w:b w:val="0"/>
          <w:i w:val="0"/>
          <w:color w:val="000000"/>
          <w:sz w:val="22"/>
        </w:rPr>
        <w:t>致。</w:t>
      </w:r>
    </w:p>
    <w:p>
      <w:pPr>
        <w:autoSpaceDN w:val="0"/>
        <w:autoSpaceDE w:val="0"/>
        <w:widowControl/>
        <w:spacing w:line="286" w:lineRule="exact" w:before="254" w:after="0"/>
        <w:ind w:left="358" w:right="348" w:firstLine="0"/>
        <w:jc w:val="both"/>
      </w:pPr>
      <w:r>
        <w:rPr>
          <w:rFonts w:ascii="黑体" w:hAnsi="黑体" w:eastAsia="黑体"/>
          <w:b w:val="0"/>
          <w:i w:val="0"/>
          <w:color w:val="000000"/>
          <w:sz w:val="22"/>
        </w:rPr>
        <w:t>期货经纪业务资产组的可收回金额按照其经评估的格林大华净资产的公允价值减去处</w:t>
      </w:r>
      <w:r>
        <w:rPr>
          <w:rFonts w:ascii="黑体" w:hAnsi="黑体" w:eastAsia="黑体"/>
          <w:b w:val="0"/>
          <w:i w:val="0"/>
          <w:color w:val="000000"/>
          <w:sz w:val="22"/>
        </w:rPr>
        <w:t>置费用后的净额确定，处置费用主要考虑格林大华如进行股权交易可能产生的产权交</w:t>
      </w:r>
      <w:r>
        <w:rPr>
          <w:rFonts w:ascii="黑体" w:hAnsi="黑体" w:eastAsia="黑体"/>
          <w:b w:val="0"/>
          <w:i w:val="0"/>
          <w:color w:val="000000"/>
          <w:sz w:val="22"/>
        </w:rPr>
        <w:t>易费用和因溢价交易而应缴纳的税费等。其净资产的公允价值系根据相似资产（期货</w:t>
      </w:r>
      <w:r>
        <w:rPr>
          <w:rFonts w:ascii="黑体" w:hAnsi="黑体" w:eastAsia="黑体"/>
          <w:b w:val="0"/>
          <w:i w:val="0"/>
          <w:color w:val="000000"/>
          <w:sz w:val="22"/>
        </w:rPr>
        <w:t>类企业）在活跃市场上的股权转让对价并考虑交易中各指标与公允价值的相关性后确</w:t>
      </w:r>
      <w:r>
        <w:rPr>
          <w:rFonts w:ascii="黑体" w:hAnsi="黑体" w:eastAsia="黑体"/>
          <w:b w:val="0"/>
          <w:i w:val="0"/>
          <w:color w:val="000000"/>
          <w:sz w:val="22"/>
        </w:rPr>
        <w:t>定。截至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日，期货经纪业务资产组的可收回金额为人民币</w:t>
      </w:r>
      <w:r>
        <w:rPr>
          <w:rFonts w:ascii="Arial" w:hAnsi="Arial" w:eastAsia="Arial"/>
          <w:b w:val="0"/>
          <w:i w:val="0"/>
          <w:color w:val="000000"/>
          <w:sz w:val="22"/>
        </w:rPr>
        <w:t>174,000</w:t>
      </w:r>
      <w:r>
        <w:rPr>
          <w:rFonts w:ascii="黑体" w:hAnsi="黑体" w:eastAsia="黑体"/>
          <w:b w:val="0"/>
          <w:i w:val="0"/>
          <w:color w:val="000000"/>
          <w:sz w:val="22"/>
        </w:rPr>
        <w:t>万</w:t>
      </w:r>
      <w:r>
        <w:rPr>
          <w:rFonts w:ascii="黑体" w:hAnsi="黑体" w:eastAsia="黑体"/>
          <w:b w:val="0"/>
          <w:i w:val="0"/>
          <w:color w:val="000000"/>
          <w:sz w:val="22"/>
        </w:rPr>
        <w:t>元，高于其账面价值，因此未确认减值。</w:t>
      </w:r>
    </w:p>
    <w:p>
      <w:pPr>
        <w:autoSpaceDN w:val="0"/>
        <w:autoSpaceDE w:val="0"/>
        <w:widowControl/>
        <w:spacing w:line="233" w:lineRule="auto" w:before="6762" w:after="0"/>
        <w:ind w:left="0" w:right="0" w:firstLine="0"/>
        <w:jc w:val="center"/>
      </w:pPr>
      <w:r>
        <w:rPr>
          <w:rFonts w:ascii="Arial" w:hAnsi="Arial" w:eastAsia="Arial"/>
          <w:b w:val="0"/>
          <w:i w:val="0"/>
          <w:color w:val="000000"/>
          <w:sz w:val="20"/>
        </w:rPr>
        <w:t xml:space="preserve">214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6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16.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其他资产</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54" w:after="0"/>
              <w:ind w:left="198" w:right="0" w:firstLine="0"/>
              <w:jc w:val="left"/>
            </w:pPr>
            <w:r>
              <w:rPr>
                <w:rFonts w:ascii="黑体" w:hAnsi="黑体" w:eastAsia="黑体"/>
                <w:b w:val="0"/>
                <w:i w:val="0"/>
                <w:color w:val="000000"/>
                <w:sz w:val="22"/>
              </w:rPr>
              <w:t>其他应收款（</w:t>
            </w:r>
            <w:r>
              <w:rPr>
                <w:rFonts w:ascii="Arial" w:hAnsi="Arial" w:eastAsia="Arial"/>
                <w:b w:val="0"/>
                <w:i w:val="0"/>
                <w:color w:val="000000"/>
                <w:sz w:val="22"/>
              </w:rPr>
              <w:t>1</w:t>
            </w:r>
            <w:r>
              <w:rPr>
                <w:rFonts w:ascii="黑体" w:hAnsi="黑体" w:eastAsia="黑体"/>
                <w:b w:val="0"/>
                <w:i w:val="0"/>
                <w:color w:val="000000"/>
                <w:sz w:val="22"/>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224,356,330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170,975,630</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46" w:after="0"/>
              <w:ind w:left="198" w:right="0" w:firstLine="0"/>
              <w:jc w:val="left"/>
            </w:pPr>
            <w:r>
              <w:rPr>
                <w:rFonts w:ascii="黑体" w:hAnsi="黑体" w:eastAsia="黑体"/>
                <w:b w:val="0"/>
                <w:i w:val="0"/>
                <w:color w:val="000000"/>
                <w:sz w:val="22"/>
              </w:rPr>
              <w:t>存货（</w:t>
            </w:r>
            <w:r>
              <w:rPr>
                <w:rFonts w:ascii="Arial" w:hAnsi="Arial" w:eastAsia="Arial"/>
                <w:b w:val="0"/>
                <w:i w:val="0"/>
                <w:color w:val="000000"/>
                <w:sz w:val="22"/>
              </w:rPr>
              <w:t>2</w:t>
            </w:r>
            <w:r>
              <w:rPr>
                <w:rFonts w:ascii="黑体" w:hAnsi="黑体" w:eastAsia="黑体"/>
                <w:b w:val="0"/>
                <w:i w:val="0"/>
                <w:color w:val="000000"/>
                <w:sz w:val="22"/>
              </w:rPr>
              <w:t>）</w:t>
            </w:r>
          </w:p>
        </w:tc>
        <w:tc>
          <w:tcPr>
            <w:tcW w:type="dxa" w:w="2256"/>
            <w:vMerge/>
            <w:tcBorders/>
          </w:tcPr>
          <w:p/>
        </w:tc>
        <w:tc>
          <w:tcPr>
            <w:tcW w:type="dxa" w:w="2256"/>
            <w:vMerge/>
            <w:tcBorders/>
          </w:tcPr>
          <w:p/>
        </w:tc>
      </w:tr>
      <w:tr>
        <w:trPr>
          <w:trHeight w:hRule="exact" w:val="258"/>
        </w:trPr>
        <w:tc>
          <w:tcPr>
            <w:tcW w:type="dxa" w:w="4512"/>
            <w:gridSpan w:val="2"/>
            <w:vMerge/>
            <w:tcBorders/>
          </w:tcPr>
          <w:p/>
        </w:tc>
        <w:tc>
          <w:tcPr>
            <w:tcW w:type="dxa" w:w="187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22"/>
              </w:rPr>
              <w:t>-</w:t>
            </w:r>
          </w:p>
        </w:tc>
        <w:tc>
          <w:tcPr>
            <w:tcW w:type="dxa" w:w="2098"/>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22"/>
              </w:rPr>
              <w:t>10,638,414</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46" w:lineRule="exact" w:before="30" w:after="0"/>
              <w:ind w:left="198" w:right="0" w:firstLine="0"/>
              <w:jc w:val="left"/>
            </w:pPr>
            <w:r>
              <w:rPr>
                <w:rFonts w:ascii="黑体" w:hAnsi="黑体" w:eastAsia="黑体"/>
                <w:b w:val="0"/>
                <w:i w:val="0"/>
                <w:color w:val="000000"/>
                <w:sz w:val="22"/>
              </w:rPr>
              <w:t>长期待摊费用（</w:t>
            </w:r>
            <w:r>
              <w:rPr>
                <w:rFonts w:ascii="Arial" w:hAnsi="Arial" w:eastAsia="Arial"/>
                <w:b w:val="0"/>
                <w:i w:val="0"/>
                <w:color w:val="000000"/>
                <w:sz w:val="22"/>
              </w:rPr>
              <w:t>3</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95,595,820</w:t>
            </w:r>
          </w:p>
        </w:tc>
        <w:tc>
          <w:tcPr>
            <w:tcW w:type="dxa" w:w="2098"/>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96,316,956</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6" w:after="0"/>
              <w:ind w:left="198" w:right="0" w:firstLine="0"/>
              <w:jc w:val="left"/>
            </w:pPr>
            <w:r>
              <w:rPr>
                <w:rFonts w:ascii="黑体" w:hAnsi="黑体" w:eastAsia="黑体"/>
                <w:b w:val="0"/>
                <w:i w:val="0"/>
                <w:color w:val="000000"/>
                <w:sz w:val="22"/>
              </w:rPr>
              <w:t>预缴所得税</w:t>
            </w:r>
          </w:p>
        </w:tc>
        <w:tc>
          <w:tcPr>
            <w:tcW w:type="dxa" w:w="1870"/>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27,992,227</w:t>
            </w:r>
          </w:p>
        </w:tc>
        <w:tc>
          <w:tcPr>
            <w:tcW w:type="dxa" w:w="2098"/>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46" w:lineRule="exact" w:before="34" w:after="0"/>
              <w:ind w:left="198" w:right="0" w:firstLine="0"/>
              <w:jc w:val="left"/>
            </w:pPr>
            <w:r>
              <w:rPr>
                <w:rFonts w:ascii="黑体" w:hAnsi="黑体" w:eastAsia="黑体"/>
                <w:b w:val="0"/>
                <w:i w:val="0"/>
                <w:color w:val="000000"/>
                <w:sz w:val="22"/>
              </w:rPr>
              <w:t>预付款项（</w:t>
            </w:r>
            <w:r>
              <w:rPr>
                <w:rFonts w:ascii="Arial" w:hAnsi="Arial" w:eastAsia="Arial"/>
                <w:b w:val="0"/>
                <w:i w:val="0"/>
                <w:color w:val="000000"/>
                <w:sz w:val="22"/>
              </w:rPr>
              <w:t>4</w:t>
            </w:r>
            <w:r>
              <w:rPr>
                <w:rFonts w:ascii="黑体" w:hAnsi="黑体" w:eastAsia="黑体"/>
                <w:b w:val="0"/>
                <w:i w:val="0"/>
                <w:color w:val="000000"/>
                <w:sz w:val="22"/>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21,060,066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21,236,920</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增值税留抵税额</w:t>
            </w:r>
          </w:p>
        </w:tc>
        <w:tc>
          <w:tcPr>
            <w:tcW w:type="dxa" w:w="2256"/>
            <w:vMerge/>
            <w:tcBorders/>
          </w:tcPr>
          <w:p/>
        </w:tc>
        <w:tc>
          <w:tcPr>
            <w:tcW w:type="dxa" w:w="2256"/>
            <w:vMerge/>
            <w:tcBorders/>
          </w:tcPr>
          <w:p/>
        </w:tc>
      </w:tr>
      <w:tr>
        <w:trPr>
          <w:trHeight w:hRule="exact" w:val="234"/>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5,497,462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52"/>
        </w:trPr>
        <w:tc>
          <w:tcPr>
            <w:tcW w:type="dxa" w:w="4564"/>
            <w:gridSpan w:val="2"/>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2"/>
        </w:trPr>
        <w:tc>
          <w:tcPr>
            <w:tcW w:type="dxa" w:w="4512"/>
            <w:gridSpan w:val="2"/>
            <w:vMerge/>
            <w:tcBorders>
              <w:bottom w:sz="3.199999999999818" w:val="single" w:color="#000000"/>
            </w:tcBorders>
          </w:tcPr>
          <w:p/>
        </w:tc>
        <w:tc>
          <w:tcPr>
            <w:tcW w:type="dxa" w:w="1870"/>
            <w:tcBorders>
              <w:bottom w:sz="3.199999999999818"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34,918,672</w:t>
            </w:r>
          </w:p>
        </w:tc>
        <w:tc>
          <w:tcPr>
            <w:tcW w:type="dxa" w:w="2098"/>
            <w:tcBorders>
              <w:bottom w:sz="3.199999999999818"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22,662,405</w:t>
            </w:r>
          </w:p>
        </w:tc>
      </w:tr>
      <w:tr>
        <w:trPr>
          <w:trHeight w:hRule="exact" w:val="548"/>
        </w:trPr>
        <w:tc>
          <w:tcPr>
            <w:tcW w:type="dxa" w:w="4564"/>
            <w:gridSpan w:val="2"/>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409,420,577</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321,830,325</w:t>
            </w:r>
          </w:p>
        </w:tc>
      </w:tr>
      <w:tr>
        <w:trPr>
          <w:trHeight w:hRule="exact" w:val="52"/>
        </w:trPr>
        <w:tc>
          <w:tcPr>
            <w:tcW w:type="dxa" w:w="4512"/>
            <w:gridSpan w:val="2"/>
            <w:vMerge/>
            <w:tcBorders>
              <w:top w:sz="3.199999999999818" w:val="single" w:color="#000000"/>
            </w:tcBorders>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其他应收款</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5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其他应收款余额</w:t>
            </w:r>
          </w:p>
        </w:tc>
        <w:tc>
          <w:tcPr>
            <w:tcW w:type="dxa" w:w="2098"/>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4" w:after="0"/>
              <w:ind w:left="0" w:right="222" w:firstLine="0"/>
              <w:jc w:val="right"/>
            </w:pPr>
            <w:r>
              <w:rPr>
                <w:rFonts w:ascii="Arial" w:hAnsi="Arial" w:eastAsia="Arial"/>
                <w:b w:val="0"/>
                <w:i w:val="0"/>
                <w:color w:val="000000"/>
                <w:sz w:val="22"/>
              </w:rPr>
              <w:t>640,810,155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4" w:after="0"/>
              <w:ind w:left="0" w:right="224" w:firstLine="0"/>
              <w:jc w:val="right"/>
            </w:pPr>
            <w:r>
              <w:rPr>
                <w:rFonts w:ascii="Arial" w:hAnsi="Arial" w:eastAsia="Arial"/>
                <w:b w:val="0"/>
                <w:i w:val="0"/>
                <w:color w:val="000000"/>
                <w:sz w:val="22"/>
              </w:rPr>
              <w:t>584,337,715</w:t>
            </w:r>
          </w:p>
        </w:tc>
      </w:tr>
      <w:tr>
        <w:trPr>
          <w:trHeight w:hRule="exact" w:val="4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2" w:after="0"/>
              <w:ind w:left="198" w:right="0" w:firstLine="0"/>
              <w:jc w:val="left"/>
            </w:pPr>
            <w:r>
              <w:rPr>
                <w:rFonts w:ascii="黑体" w:hAnsi="黑体" w:eastAsia="黑体"/>
                <w:b w:val="0"/>
                <w:i w:val="0"/>
                <w:color w:val="000000"/>
                <w:sz w:val="22"/>
              </w:rPr>
              <w:t>减：减值准备</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(416,453,825)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(413,362,085)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其他应收款净额</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224,356,330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170,975,630</w:t>
            </w:r>
          </w:p>
        </w:tc>
      </w:tr>
      <w:tr>
        <w:trPr>
          <w:trHeight w:hRule="exact" w:val="52"/>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6" w:lineRule="exact" w:before="204" w:after="0"/>
        <w:ind w:left="358" w:right="288" w:firstLine="0"/>
        <w:jc w:val="left"/>
      </w:pPr>
      <w:r>
        <w:rPr>
          <w:rFonts w:ascii="黑体" w:hAnsi="黑体" w:eastAsia="黑体"/>
          <w:b w:val="0"/>
          <w:i w:val="0"/>
          <w:color w:val="000000"/>
          <w:sz w:val="22"/>
        </w:rPr>
        <w:t>注：上述其他应收款中应收关联方款项参见附注十、</w:t>
      </w:r>
      <w:r>
        <w:rPr>
          <w:rFonts w:ascii="Arial" w:hAnsi="Arial" w:eastAsia="Arial"/>
          <w:b w:val="0"/>
          <w:i w:val="0"/>
          <w:color w:val="000000"/>
          <w:sz w:val="22"/>
        </w:rPr>
        <w:t>6</w:t>
      </w:r>
      <w:r>
        <w:rPr>
          <w:rFonts w:ascii="黑体" w:hAnsi="黑体" w:eastAsia="黑体"/>
          <w:b w:val="0"/>
          <w:i w:val="0"/>
          <w:color w:val="000000"/>
          <w:sz w:val="22"/>
        </w:rPr>
        <w:t>。以上其他应收款减值准备的变</w:t>
      </w:r>
      <w:r>
        <w:rPr>
          <w:rFonts w:ascii="黑体" w:hAnsi="黑体" w:eastAsia="黑体"/>
          <w:b w:val="0"/>
          <w:i w:val="0"/>
          <w:color w:val="000000"/>
          <w:sz w:val="22"/>
        </w:rPr>
        <w:t>动情况参见附注五、</w:t>
      </w:r>
      <w:r>
        <w:rPr>
          <w:rFonts w:ascii="Arial" w:hAnsi="Arial" w:eastAsia="Arial"/>
          <w:b w:val="0"/>
          <w:i w:val="0"/>
          <w:color w:val="000000"/>
          <w:sz w:val="22"/>
        </w:rPr>
        <w:t>18</w:t>
      </w:r>
      <w:r>
        <w:rPr>
          <w:rFonts w:ascii="黑体" w:hAnsi="黑体" w:eastAsia="黑体"/>
          <w:b w:val="0"/>
          <w:i w:val="0"/>
          <w:color w:val="000000"/>
          <w:sz w:val="22"/>
        </w:rPr>
        <w:t>。</w:t>
      </w:r>
    </w:p>
    <w:p>
      <w:pPr>
        <w:autoSpaceDN w:val="0"/>
        <w:autoSpaceDE w:val="0"/>
        <w:widowControl/>
        <w:spacing w:line="286" w:lineRule="exact" w:before="252" w:after="0"/>
        <w:ind w:left="358" w:right="350" w:firstLine="0"/>
        <w:jc w:val="both"/>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日，子公司格林大华资本管理有限公司（以下简称“格林大华资本管</w:t>
      </w:r>
      <w:r>
        <w:rPr>
          <w:rFonts w:ascii="黑体" w:hAnsi="黑体" w:eastAsia="黑体"/>
          <w:b w:val="0"/>
          <w:i w:val="0"/>
          <w:color w:val="000000"/>
          <w:sz w:val="22"/>
        </w:rPr>
        <w:t>理”）应收客户款项金额人民币</w:t>
      </w:r>
      <w:r>
        <w:rPr>
          <w:rFonts w:ascii="Arial" w:hAnsi="Arial" w:eastAsia="Arial"/>
          <w:b w:val="0"/>
          <w:i w:val="0"/>
          <w:color w:val="000000"/>
          <w:sz w:val="22"/>
        </w:rPr>
        <w:t>36,566.28</w:t>
      </w:r>
      <w:r>
        <w:rPr>
          <w:rFonts w:ascii="黑体" w:hAnsi="黑体" w:eastAsia="黑体"/>
          <w:b w:val="0"/>
          <w:i w:val="0"/>
          <w:color w:val="000000"/>
          <w:sz w:val="22"/>
        </w:rPr>
        <w:t>万元（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36,566.28</w:t>
      </w:r>
      <w:r>
        <w:rPr>
          <w:rFonts w:ascii="黑体" w:hAnsi="黑体" w:eastAsia="黑体"/>
          <w:b w:val="0"/>
          <w:i w:val="0"/>
          <w:color w:val="000000"/>
          <w:sz w:val="22"/>
        </w:rPr>
        <w:t>万元），根据预期可收回金额低于账面价值的差额，累计计提减值准备人民币</w:t>
      </w:r>
      <w:r>
        <w:rPr>
          <w:rFonts w:ascii="Arial" w:hAnsi="Arial" w:eastAsia="Arial"/>
          <w:b w:val="0"/>
          <w:i w:val="0"/>
          <w:color w:val="000000"/>
          <w:sz w:val="22"/>
        </w:rPr>
        <w:t>36,566.28</w:t>
      </w:r>
      <w:r>
        <w:rPr>
          <w:rFonts w:ascii="黑体" w:hAnsi="黑体" w:eastAsia="黑体"/>
          <w:b w:val="0"/>
          <w:i w:val="0"/>
          <w:color w:val="000000"/>
          <w:sz w:val="22"/>
        </w:rPr>
        <w:t>万元（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36,566.28</w:t>
      </w:r>
      <w:r>
        <w:rPr>
          <w:rFonts w:ascii="黑体" w:hAnsi="黑体" w:eastAsia="黑体"/>
          <w:b w:val="0"/>
          <w:i w:val="0"/>
          <w:color w:val="000000"/>
          <w:sz w:val="22"/>
        </w:rPr>
        <w:t>万元）。</w:t>
      </w:r>
    </w:p>
    <w:p>
      <w:pPr>
        <w:autoSpaceDN w:val="0"/>
        <w:autoSpaceDE w:val="0"/>
        <w:widowControl/>
        <w:spacing w:line="233" w:lineRule="auto" w:before="5084" w:after="0"/>
        <w:ind w:left="0" w:right="0" w:firstLine="0"/>
        <w:jc w:val="center"/>
      </w:pPr>
      <w:r>
        <w:rPr>
          <w:rFonts w:ascii="Arial" w:hAnsi="Arial" w:eastAsia="Arial"/>
          <w:b w:val="0"/>
          <w:i w:val="0"/>
          <w:color w:val="000000"/>
          <w:sz w:val="20"/>
        </w:rPr>
        <w:t xml:space="preserve">215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78" w:lineRule="exact" w:before="0" w:after="0"/>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16. </w:t>
      </w:r>
      <w:r>
        <w:rPr>
          <w:rFonts w:ascii="黑体" w:hAnsi="黑体" w:eastAsia="黑体"/>
          <w:b w:val="0"/>
          <w:i w:val="0"/>
          <w:color w:val="000000"/>
          <w:sz w:val="22"/>
        </w:rPr>
        <w:t>其他资产（续）</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存货</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明细项目</w:t>
      </w:r>
      <w:r>
        <w:br/>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日，本集团无存货。</w:t>
      </w:r>
    </w:p>
    <w:p>
      <w:pPr>
        <w:autoSpaceDN w:val="0"/>
        <w:autoSpaceDE w:val="0"/>
        <w:widowControl/>
        <w:spacing w:line="246" w:lineRule="exact" w:before="292" w:after="24"/>
        <w:ind w:left="0" w:right="2578" w:firstLine="0"/>
        <w:jc w:val="righ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410"/>
        </w:trPr>
        <w:tc>
          <w:tcPr>
            <w:tcW w:type="dxa" w:w="2418"/>
            <w:vMerge w:val="restart"/>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566" w:after="0"/>
              <w:ind w:left="198" w:right="0" w:firstLine="0"/>
              <w:jc w:val="left"/>
            </w:pPr>
            <w:r>
              <w:rPr>
                <w:rFonts w:ascii="黑体" w:hAnsi="黑体" w:eastAsia="黑体"/>
                <w:b w:val="0"/>
                <w:i w:val="0"/>
                <w:color w:val="000000"/>
                <w:sz w:val="22"/>
              </w:rPr>
              <w:t>库存商品</w:t>
            </w:r>
          </w:p>
        </w:tc>
        <w:tc>
          <w:tcPr>
            <w:tcW w:type="dxa" w:w="1450"/>
            <w:tcBorders/>
            <w:tcMar>
              <w:start w:w="0" w:type="dxa"/>
              <w:end w:w="0" w:type="dxa"/>
            </w:tcMar>
          </w:tcPr>
          <w:p>
            <w:pPr>
              <w:autoSpaceDN w:val="0"/>
              <w:autoSpaceDE w:val="0"/>
              <w:widowControl/>
              <w:spacing w:line="220" w:lineRule="exact" w:before="32" w:after="0"/>
              <w:ind w:left="0" w:right="0" w:firstLine="0"/>
              <w:jc w:val="right"/>
            </w:pPr>
            <w:r>
              <w:rPr>
                <w:rFonts w:ascii="黑体" w:hAnsi="黑体" w:eastAsia="黑体"/>
                <w:b w:val="0"/>
                <w:i w:val="0"/>
                <w:color w:val="000000"/>
                <w:sz w:val="22"/>
              </w:rPr>
              <w:t>账面原值</w:t>
            </w:r>
          </w:p>
        </w:tc>
        <w:tc>
          <w:tcPr>
            <w:tcW w:type="dxa" w:w="2170"/>
            <w:tcBorders/>
            <w:tcMar>
              <w:start w:w="0" w:type="dxa"/>
              <w:end w:w="0" w:type="dxa"/>
            </w:tcMar>
          </w:tcPr>
          <w:p>
            <w:pPr>
              <w:autoSpaceDN w:val="0"/>
              <w:autoSpaceDE w:val="0"/>
              <w:widowControl/>
              <w:spacing w:line="220" w:lineRule="exact" w:before="32" w:after="0"/>
              <w:ind w:left="0" w:right="106" w:firstLine="0"/>
              <w:jc w:val="right"/>
            </w:pPr>
            <w:r>
              <w:rPr>
                <w:rFonts w:ascii="黑体" w:hAnsi="黑体" w:eastAsia="黑体"/>
                <w:b w:val="0"/>
                <w:i w:val="0"/>
                <w:color w:val="000000"/>
                <w:sz w:val="22"/>
              </w:rPr>
              <w:t>跌价准备</w:t>
            </w:r>
          </w:p>
        </w:tc>
        <w:tc>
          <w:tcPr>
            <w:tcW w:type="dxa" w:w="2480"/>
            <w:tcBorders/>
            <w:tcMar>
              <w:start w:w="0" w:type="dxa"/>
              <w:end w:w="0" w:type="dxa"/>
            </w:tcMar>
          </w:tcPr>
          <w:p>
            <w:pPr>
              <w:autoSpaceDN w:val="0"/>
              <w:autoSpaceDE w:val="0"/>
              <w:widowControl/>
              <w:spacing w:line="220" w:lineRule="exact" w:before="32" w:after="0"/>
              <w:ind w:left="0" w:right="0" w:firstLine="0"/>
              <w:jc w:val="right"/>
            </w:pPr>
            <w:r>
              <w:rPr>
                <w:rFonts w:ascii="黑体" w:hAnsi="黑体" w:eastAsia="黑体"/>
                <w:b w:val="0"/>
                <w:i w:val="0"/>
                <w:color w:val="000000"/>
                <w:sz w:val="22"/>
              </w:rPr>
              <w:t>账面净值</w:t>
            </w:r>
          </w:p>
        </w:tc>
      </w:tr>
      <w:tr>
        <w:trPr>
          <w:trHeight w:hRule="exact" w:val="422"/>
        </w:trPr>
        <w:tc>
          <w:tcPr>
            <w:tcW w:type="dxa" w:w="2256"/>
            <w:vMerge/>
            <w:tcBorders>
              <w:top w:sz="4.0" w:val="single" w:color="#000000"/>
              <w:bottom w:sz="4.0" w:val="single" w:color="#000000"/>
            </w:tcBorders>
          </w:tcPr>
          <w:p/>
        </w:tc>
        <w:tc>
          <w:tcPr>
            <w:tcW w:type="dxa" w:w="1450"/>
            <w:tcBorders>
              <w:bottom w:sz="4.0" w:val="single" w:color="#000000"/>
            </w:tcBorders>
            <w:tcMar>
              <w:start w:w="0" w:type="dxa"/>
              <w:end w:w="0" w:type="dxa"/>
            </w:tcMar>
          </w:tcPr>
          <w:p>
            <w:pPr>
              <w:autoSpaceDN w:val="0"/>
              <w:autoSpaceDE w:val="0"/>
              <w:widowControl/>
              <w:spacing w:line="233" w:lineRule="auto" w:before="168" w:after="0"/>
              <w:ind w:left="348" w:right="0" w:firstLine="0"/>
              <w:jc w:val="left"/>
            </w:pPr>
            <w:r>
              <w:rPr>
                <w:rFonts w:ascii="Arial" w:hAnsi="Arial" w:eastAsia="Arial"/>
                <w:b w:val="0"/>
                <w:i w:val="0"/>
                <w:color w:val="000000"/>
                <w:sz w:val="22"/>
              </w:rPr>
              <w:t>10,638,414</w:t>
            </w:r>
          </w:p>
        </w:tc>
        <w:tc>
          <w:tcPr>
            <w:tcW w:type="dxa" w:w="2170"/>
            <w:tcBorders>
              <w:bottom w:sz="4.0" w:val="single" w:color="#000000"/>
            </w:tcBorders>
            <w:tcMar>
              <w:start w:w="0" w:type="dxa"/>
              <w:end w:w="0" w:type="dxa"/>
            </w:tcMar>
          </w:tcPr>
          <w:p>
            <w:pPr>
              <w:autoSpaceDN w:val="0"/>
              <w:autoSpaceDE w:val="0"/>
              <w:widowControl/>
              <w:spacing w:line="233" w:lineRule="auto" w:before="168" w:after="0"/>
              <w:ind w:left="0" w:right="46" w:firstLine="0"/>
              <w:jc w:val="right"/>
            </w:pPr>
            <w:r>
              <w:rPr>
                <w:rFonts w:ascii="Arial" w:hAnsi="Arial" w:eastAsia="Arial"/>
                <w:b w:val="0"/>
                <w:i w:val="0"/>
                <w:color w:val="000000"/>
                <w:sz w:val="22"/>
              </w:rPr>
              <w:t xml:space="preserve">- </w:t>
            </w:r>
          </w:p>
        </w:tc>
        <w:tc>
          <w:tcPr>
            <w:tcW w:type="dxa" w:w="2480"/>
            <w:tcBorders>
              <w:bottom w:sz="4.0" w:val="single" w:color="#000000"/>
            </w:tcBorders>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10,638,414</w:t>
            </w:r>
          </w:p>
        </w:tc>
      </w:tr>
      <w:tr>
        <w:trPr>
          <w:trHeight w:hRule="exact" w:val="52"/>
        </w:trPr>
        <w:tc>
          <w:tcPr>
            <w:tcW w:type="dxa" w:w="2418"/>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2170"/>
            <w:tcBorders>
              <w:top w:sz="4.0" w:val="single" w:color="#000000"/>
            </w:tcBorders>
            <w:tcMar>
              <w:start w:w="0" w:type="dxa"/>
              <w:end w:w="0" w:type="dxa"/>
            </w:tcMar>
          </w:tcPr>
          <w:p/>
        </w:tc>
        <w:tc>
          <w:tcPr>
            <w:tcW w:type="dxa" w:w="2480"/>
            <w:tcBorders>
              <w:top w:sz="4.0" w:val="single" w:color="#000000"/>
            </w:tcBorders>
            <w:tcMar>
              <w:start w:w="0" w:type="dxa"/>
              <w:end w:w="0" w:type="dxa"/>
            </w:tcMar>
          </w:tcPr>
          <w:p/>
        </w:tc>
      </w:tr>
    </w:tbl>
    <w:p>
      <w:pPr>
        <w:autoSpaceDN w:val="0"/>
        <w:autoSpaceDE w:val="0"/>
        <w:widowControl/>
        <w:spacing w:line="246" w:lineRule="exact" w:before="494" w:after="24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长期待摊费用</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88"/>
        </w:trPr>
        <w:tc>
          <w:tcPr>
            <w:tcW w:type="dxa" w:w="3362"/>
            <w:tcBorders>
              <w:bottom w:sz="4.0" w:val="single" w:color="#000000"/>
            </w:tcBorders>
            <w:tcMar>
              <w:start w:w="0" w:type="dxa"/>
              <w:end w:w="0" w:type="dxa"/>
            </w:tcMar>
          </w:tcPr>
          <w:p/>
        </w:tc>
        <w:tc>
          <w:tcPr>
            <w:tcW w:type="dxa" w:w="1740"/>
            <w:tcBorders>
              <w:bottom w:sz="4.0" w:val="single" w:color="#000000"/>
            </w:tcBorders>
            <w:tcMar>
              <w:start w:w="0" w:type="dxa"/>
              <w:end w:w="0" w:type="dxa"/>
            </w:tcMar>
          </w:tcPr>
          <w:p>
            <w:pPr>
              <w:autoSpaceDN w:val="0"/>
              <w:autoSpaceDE w:val="0"/>
              <w:widowControl/>
              <w:spacing w:line="220" w:lineRule="exact" w:before="60" w:after="0"/>
              <w:ind w:left="0" w:right="0" w:firstLine="0"/>
              <w:jc w:val="left"/>
            </w:pPr>
            <w:r>
              <w:rPr>
                <w:rFonts w:ascii="黑体" w:hAnsi="黑体" w:eastAsia="黑体"/>
                <w:b w:val="0"/>
                <w:i w:val="0"/>
                <w:color w:val="000000"/>
                <w:sz w:val="22"/>
              </w:rPr>
              <w:t>装修及工程费用</w:t>
            </w:r>
          </w:p>
        </w:tc>
        <w:tc>
          <w:tcPr>
            <w:tcW w:type="dxa" w:w="1820"/>
            <w:tcBorders>
              <w:bottom w:sz="4.0" w:val="single" w:color="#000000"/>
            </w:tcBorders>
            <w:tcMar>
              <w:start w:w="0" w:type="dxa"/>
              <w:end w:w="0" w:type="dxa"/>
            </w:tcMar>
          </w:tcPr>
          <w:p>
            <w:pPr>
              <w:autoSpaceDN w:val="0"/>
              <w:autoSpaceDE w:val="0"/>
              <w:widowControl/>
              <w:spacing w:line="220" w:lineRule="exact" w:before="60" w:after="0"/>
              <w:ind w:left="0" w:right="194" w:firstLine="0"/>
              <w:jc w:val="right"/>
            </w:pPr>
            <w:r>
              <w:rPr>
                <w:rFonts w:ascii="黑体" w:hAnsi="黑体" w:eastAsia="黑体"/>
                <w:b w:val="0"/>
                <w:i w:val="0"/>
                <w:color w:val="000000"/>
                <w:sz w:val="22"/>
              </w:rPr>
              <w:t>其他</w:t>
            </w:r>
          </w:p>
        </w:tc>
        <w:tc>
          <w:tcPr>
            <w:tcW w:type="dxa" w:w="1838"/>
            <w:tcBorders>
              <w:bottom w:sz="4.0" w:val="single" w:color="#000000"/>
            </w:tcBorders>
            <w:tcMar>
              <w:start w:w="0" w:type="dxa"/>
              <w:end w:w="0" w:type="dxa"/>
            </w:tcMar>
          </w:tcPr>
          <w:p>
            <w:pPr>
              <w:autoSpaceDN w:val="0"/>
              <w:autoSpaceDE w:val="0"/>
              <w:widowControl/>
              <w:spacing w:line="220" w:lineRule="exact" w:before="60" w:after="0"/>
              <w:ind w:left="0" w:right="216" w:firstLine="0"/>
              <w:jc w:val="right"/>
            </w:pPr>
            <w:r>
              <w:rPr>
                <w:rFonts w:ascii="黑体" w:hAnsi="黑体" w:eastAsia="黑体"/>
                <w:b w:val="0"/>
                <w:i w:val="0"/>
                <w:color w:val="000000"/>
                <w:sz w:val="22"/>
              </w:rPr>
              <w:t>合计</w:t>
            </w:r>
          </w:p>
        </w:tc>
      </w:tr>
      <w:tr>
        <w:trPr>
          <w:trHeight w:hRule="exact" w:val="552"/>
        </w:trPr>
        <w:tc>
          <w:tcPr>
            <w:tcW w:type="dxa" w:w="3362"/>
            <w:tcBorders>
              <w:top w:sz="4.0" w:val="single" w:color="#000000"/>
            </w:tcBorders>
            <w:tcMar>
              <w:start w:w="0" w:type="dxa"/>
              <w:end w:w="0" w:type="dxa"/>
            </w:tcMar>
          </w:tcPr>
          <w:p>
            <w:pPr>
              <w:autoSpaceDN w:val="0"/>
              <w:autoSpaceDE w:val="0"/>
              <w:widowControl/>
              <w:spacing w:line="246" w:lineRule="exact" w:before="302" w:after="0"/>
              <w:ind w:left="19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w:t>
            </w:r>
            <w:r>
              <w:rPr>
                <w:rFonts w:ascii="黑体" w:hAnsi="黑体" w:eastAsia="黑体"/>
                <w:b w:val="0"/>
                <w:i w:val="0"/>
                <w:color w:val="000000"/>
                <w:sz w:val="22"/>
              </w:rPr>
              <w:t>月</w:t>
            </w:r>
            <w:r>
              <w:rPr>
                <w:rFonts w:ascii="Arial" w:hAnsi="Arial" w:eastAsia="Arial"/>
                <w:b w:val="0"/>
                <w:i w:val="0"/>
                <w:color w:val="000000"/>
                <w:sz w:val="22"/>
              </w:rPr>
              <w:t>1</w:t>
            </w:r>
            <w:r>
              <w:rPr>
                <w:rFonts w:ascii="黑体" w:hAnsi="黑体" w:eastAsia="黑体"/>
                <w:b w:val="0"/>
                <w:i w:val="0"/>
                <w:color w:val="000000"/>
                <w:sz w:val="22"/>
              </w:rPr>
              <w:t>日</w:t>
            </w:r>
          </w:p>
        </w:tc>
        <w:tc>
          <w:tcPr>
            <w:tcW w:type="dxa" w:w="1740"/>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330" w:after="0"/>
              <w:ind w:left="0" w:right="138" w:firstLine="0"/>
              <w:jc w:val="right"/>
            </w:pPr>
            <w:r>
              <w:rPr>
                <w:rFonts w:ascii="Arial" w:hAnsi="Arial" w:eastAsia="Arial"/>
                <w:b w:val="0"/>
                <w:i w:val="0"/>
                <w:color w:val="000000"/>
                <w:sz w:val="22"/>
              </w:rPr>
              <w:t xml:space="preserve">90,365,108 </w:t>
            </w:r>
          </w:p>
        </w:tc>
        <w:tc>
          <w:tcPr>
            <w:tcW w:type="dxa" w:w="1820"/>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330" w:after="0"/>
              <w:ind w:left="0" w:right="70" w:firstLine="0"/>
              <w:jc w:val="right"/>
            </w:pPr>
            <w:r>
              <w:rPr>
                <w:rFonts w:ascii="Arial" w:hAnsi="Arial" w:eastAsia="Arial"/>
                <w:b w:val="0"/>
                <w:i w:val="0"/>
                <w:color w:val="000000"/>
                <w:sz w:val="22"/>
              </w:rPr>
              <w:t xml:space="preserve">5,951,848 </w:t>
            </w:r>
          </w:p>
        </w:tc>
        <w:tc>
          <w:tcPr>
            <w:tcW w:type="dxa" w:w="1838"/>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330" w:after="0"/>
              <w:ind w:left="0" w:right="216" w:firstLine="0"/>
              <w:jc w:val="right"/>
            </w:pPr>
            <w:r>
              <w:rPr>
                <w:rFonts w:ascii="Arial" w:hAnsi="Arial" w:eastAsia="Arial"/>
                <w:b w:val="0"/>
                <w:i w:val="0"/>
                <w:color w:val="000000"/>
                <w:sz w:val="22"/>
              </w:rPr>
              <w:t>96,316,956</w:t>
            </w:r>
          </w:p>
        </w:tc>
      </w:tr>
      <w:tr>
        <w:trPr>
          <w:trHeight w:hRule="exact" w:val="48"/>
        </w:trPr>
        <w:tc>
          <w:tcPr>
            <w:tcW w:type="dxa" w:w="3362"/>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本年增加额</w:t>
            </w:r>
          </w:p>
        </w:tc>
        <w:tc>
          <w:tcPr>
            <w:tcW w:type="dxa" w:w="2256"/>
            <w:vMerge/>
            <w:tcBorders>
              <w:top w:sz="4.0" w:val="single" w:color="#000000"/>
            </w:tcBorders>
          </w:tcPr>
          <w:p/>
        </w:tc>
        <w:tc>
          <w:tcPr>
            <w:tcW w:type="dxa" w:w="2256"/>
            <w:vMerge/>
            <w:tcBorders>
              <w:top w:sz="4.0" w:val="single" w:color="#000000"/>
            </w:tcBorders>
          </w:tcPr>
          <w:p/>
        </w:tc>
        <w:tc>
          <w:tcPr>
            <w:tcW w:type="dxa" w:w="2256"/>
            <w:vMerge/>
            <w:tcBorders>
              <w:top w:sz="4.0" w:val="single" w:color="#000000"/>
            </w:tcBorders>
          </w:tcPr>
          <w:p/>
        </w:tc>
      </w:tr>
      <w:tr>
        <w:trPr>
          <w:trHeight w:hRule="exact" w:val="232"/>
        </w:trPr>
        <w:tc>
          <w:tcPr>
            <w:tcW w:type="dxa" w:w="2256"/>
            <w:vMerge/>
            <w:tcBorders/>
          </w:tcPr>
          <w:p/>
        </w:tc>
        <w:tc>
          <w:tcPr>
            <w:tcW w:type="dxa" w:w="1740"/>
            <w:vMerge w:val="restart"/>
            <w:tcBorders/>
            <w:tcMar>
              <w:start w:w="0" w:type="dxa"/>
              <w:end w:w="0" w:type="dxa"/>
            </w:tcMar>
            <w:tcMar>
              <w:start w:w="0" w:type="dxa"/>
              <w:end w:w="0" w:type="dxa"/>
            </w:tcMar>
          </w:tcPr>
          <w:p>
            <w:pPr>
              <w:autoSpaceDN w:val="0"/>
              <w:autoSpaceDE w:val="0"/>
              <w:widowControl/>
              <w:spacing w:line="233" w:lineRule="auto" w:before="20" w:after="0"/>
              <w:ind w:left="0" w:right="138" w:firstLine="0"/>
              <w:jc w:val="right"/>
            </w:pPr>
            <w:r>
              <w:rPr>
                <w:rFonts w:ascii="Arial" w:hAnsi="Arial" w:eastAsia="Arial"/>
                <w:b w:val="0"/>
                <w:i w:val="0"/>
                <w:color w:val="000000"/>
                <w:sz w:val="22"/>
              </w:rPr>
              <w:t xml:space="preserve">29,430,708 </w:t>
            </w:r>
          </w:p>
        </w:tc>
        <w:tc>
          <w:tcPr>
            <w:tcW w:type="dxa" w:w="1820"/>
            <w:vMerge w:val="restart"/>
            <w:tcBorders/>
            <w:tcMar>
              <w:start w:w="0" w:type="dxa"/>
              <w:end w:w="0" w:type="dxa"/>
            </w:tcMar>
            <w:tcMar>
              <w:start w:w="0" w:type="dxa"/>
              <w:end w:w="0" w:type="dxa"/>
            </w:tcMar>
          </w:tcPr>
          <w:p>
            <w:pPr>
              <w:autoSpaceDN w:val="0"/>
              <w:autoSpaceDE w:val="0"/>
              <w:widowControl/>
              <w:spacing w:line="233" w:lineRule="auto" w:before="20" w:after="0"/>
              <w:ind w:left="0" w:right="70" w:firstLine="0"/>
              <w:jc w:val="right"/>
            </w:pPr>
            <w:r>
              <w:rPr>
                <w:rFonts w:ascii="Arial" w:hAnsi="Arial" w:eastAsia="Arial"/>
                <w:b w:val="0"/>
                <w:i w:val="0"/>
                <w:color w:val="000000"/>
                <w:sz w:val="22"/>
              </w:rPr>
              <w:t xml:space="preserve">1,943,930 </w:t>
            </w:r>
          </w:p>
        </w:tc>
        <w:tc>
          <w:tcPr>
            <w:tcW w:type="dxa" w:w="1838"/>
            <w:vMerge w:val="restart"/>
            <w:tcBorders/>
            <w:tcMar>
              <w:start w:w="0" w:type="dxa"/>
              <w:end w:w="0" w:type="dxa"/>
            </w:tcMar>
            <w:tcMar>
              <w:start w:w="0" w:type="dxa"/>
              <w:end w:w="0" w:type="dxa"/>
            </w:tcMar>
          </w:tcPr>
          <w:p>
            <w:pPr>
              <w:autoSpaceDN w:val="0"/>
              <w:autoSpaceDE w:val="0"/>
              <w:widowControl/>
              <w:spacing w:line="233" w:lineRule="auto" w:before="20" w:after="0"/>
              <w:ind w:left="0" w:right="216" w:firstLine="0"/>
              <w:jc w:val="right"/>
            </w:pPr>
            <w:r>
              <w:rPr>
                <w:rFonts w:ascii="Arial" w:hAnsi="Arial" w:eastAsia="Arial"/>
                <w:b w:val="0"/>
                <w:i w:val="0"/>
                <w:color w:val="000000"/>
                <w:sz w:val="22"/>
              </w:rPr>
              <w:t>31,374,638</w:t>
            </w:r>
          </w:p>
        </w:tc>
      </w:tr>
      <w:tr>
        <w:trPr>
          <w:trHeight w:hRule="exact" w:val="52"/>
        </w:trPr>
        <w:tc>
          <w:tcPr>
            <w:tcW w:type="dxa" w:w="3362"/>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本年摊销额</w:t>
            </w:r>
          </w:p>
        </w:tc>
        <w:tc>
          <w:tcPr>
            <w:tcW w:type="dxa" w:w="2256"/>
            <w:vMerge/>
            <w:tcBorders/>
          </w:tcPr>
          <w:p/>
        </w:tc>
        <w:tc>
          <w:tcPr>
            <w:tcW w:type="dxa" w:w="2256"/>
            <w:vMerge/>
            <w:tcBorders/>
          </w:tcPr>
          <w:p/>
        </w:tc>
        <w:tc>
          <w:tcPr>
            <w:tcW w:type="dxa" w:w="2256"/>
            <w:vMerge/>
            <w:tcBorders/>
          </w:tcPr>
          <w:p/>
        </w:tc>
      </w:tr>
      <w:tr>
        <w:trPr>
          <w:trHeight w:hRule="exact" w:val="248"/>
        </w:trPr>
        <w:tc>
          <w:tcPr>
            <w:tcW w:type="dxa" w:w="2256"/>
            <w:vMerge/>
            <w:tcBorders/>
          </w:tcPr>
          <w:p/>
        </w:tc>
        <w:tc>
          <w:tcPr>
            <w:tcW w:type="dxa" w:w="1740"/>
            <w:tcBorders/>
            <w:tcMar>
              <w:start w:w="0" w:type="dxa"/>
              <w:end w:w="0" w:type="dxa"/>
            </w:tcMar>
          </w:tcPr>
          <w:p>
            <w:pPr>
              <w:autoSpaceDN w:val="0"/>
              <w:autoSpaceDE w:val="0"/>
              <w:widowControl/>
              <w:spacing w:line="233" w:lineRule="auto" w:before="2" w:after="0"/>
              <w:ind w:left="368" w:right="0" w:firstLine="0"/>
              <w:jc w:val="left"/>
            </w:pPr>
            <w:r>
              <w:rPr>
                <w:rFonts w:ascii="Arial" w:hAnsi="Arial" w:eastAsia="Arial"/>
                <w:b w:val="0"/>
                <w:i w:val="0"/>
                <w:color w:val="000000"/>
                <w:sz w:val="22"/>
              </w:rPr>
              <w:t xml:space="preserve">(27,646,592 ) </w:t>
            </w:r>
          </w:p>
        </w:tc>
        <w:tc>
          <w:tcPr>
            <w:tcW w:type="dxa" w:w="1820"/>
            <w:tcBorders/>
            <w:tcMar>
              <w:start w:w="0" w:type="dxa"/>
              <w:end w:w="0" w:type="dxa"/>
            </w:tcMar>
          </w:tcPr>
          <w:p>
            <w:pPr>
              <w:autoSpaceDN w:val="0"/>
              <w:autoSpaceDE w:val="0"/>
              <w:widowControl/>
              <w:spacing w:line="233" w:lineRule="auto" w:before="2" w:after="0"/>
              <w:ind w:left="0" w:right="62" w:firstLine="0"/>
              <w:jc w:val="right"/>
            </w:pPr>
            <w:r>
              <w:rPr>
                <w:rFonts w:ascii="Arial" w:hAnsi="Arial" w:eastAsia="Arial"/>
                <w:b w:val="0"/>
                <w:i w:val="0"/>
                <w:color w:val="000000"/>
                <w:sz w:val="22"/>
              </w:rPr>
              <w:t xml:space="preserve">(2,118,473) </w:t>
            </w:r>
          </w:p>
        </w:tc>
        <w:tc>
          <w:tcPr>
            <w:tcW w:type="dxa" w:w="1838"/>
            <w:tcBorders/>
            <w:tcMar>
              <w:start w:w="0" w:type="dxa"/>
              <w:end w:w="0" w:type="dxa"/>
            </w:tcMar>
          </w:tcPr>
          <w:p>
            <w:pPr>
              <w:autoSpaceDN w:val="0"/>
              <w:autoSpaceDE w:val="0"/>
              <w:widowControl/>
              <w:spacing w:line="218" w:lineRule="auto" w:before="2" w:after="0"/>
              <w:ind w:left="446" w:right="0" w:firstLine="0"/>
              <w:jc w:val="left"/>
            </w:pPr>
            <w:r>
              <w:rPr>
                <w:rFonts w:ascii="Arial" w:hAnsi="Arial" w:eastAsia="Arial"/>
                <w:b w:val="0"/>
                <w:i w:val="0"/>
                <w:color w:val="000000"/>
                <w:sz w:val="22"/>
              </w:rPr>
              <w:t>(29,765,065</w:t>
            </w:r>
            <w:r>
              <w:rPr>
                <w:rFonts w:ascii="Calibri" w:hAnsi="Calibri" w:eastAsia="Calibri"/>
                <w:b w:val="0"/>
                <w:i w:val="0"/>
                <w:color w:val="000000"/>
                <w:sz w:val="22"/>
              </w:rPr>
              <w:t xml:space="preserve">) </w:t>
            </w:r>
          </w:p>
        </w:tc>
      </w:tr>
      <w:tr>
        <w:trPr>
          <w:trHeight w:hRule="exact" w:val="312"/>
        </w:trPr>
        <w:tc>
          <w:tcPr>
            <w:tcW w:type="dxa" w:w="3362"/>
            <w:tcBorders>
              <w:bottom w:sz="4.0" w:val="single" w:color="#000000"/>
            </w:tcBorders>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本年处置额</w:t>
            </w:r>
          </w:p>
        </w:tc>
        <w:tc>
          <w:tcPr>
            <w:tcW w:type="dxa" w:w="1740"/>
            <w:tcBorders>
              <w:bottom w:sz="4.0" w:val="single" w:color="#000000"/>
            </w:tcBorders>
            <w:tcMar>
              <w:start w:w="0" w:type="dxa"/>
              <w:end w:w="0" w:type="dxa"/>
            </w:tcMar>
          </w:tcPr>
          <w:p>
            <w:pPr>
              <w:autoSpaceDN w:val="0"/>
              <w:autoSpaceDE w:val="0"/>
              <w:widowControl/>
              <w:spacing w:line="233" w:lineRule="auto" w:before="58" w:after="0"/>
              <w:ind w:left="0" w:right="64" w:firstLine="0"/>
              <w:jc w:val="right"/>
            </w:pPr>
            <w:r>
              <w:rPr>
                <w:rFonts w:ascii="Arial" w:hAnsi="Arial" w:eastAsia="Arial"/>
                <w:b w:val="0"/>
                <w:i w:val="0"/>
                <w:color w:val="000000"/>
                <w:sz w:val="22"/>
              </w:rPr>
              <w:t xml:space="preserve">(2,297,856 ) </w:t>
            </w:r>
          </w:p>
        </w:tc>
        <w:tc>
          <w:tcPr>
            <w:tcW w:type="dxa" w:w="1820"/>
            <w:tcBorders>
              <w:bottom w:sz="4.0" w:val="single" w:color="#000000"/>
            </w:tcBorders>
            <w:tcMar>
              <w:start w:w="0" w:type="dxa"/>
              <w:end w:w="0" w:type="dxa"/>
            </w:tcMar>
          </w:tcPr>
          <w:p>
            <w:pPr>
              <w:autoSpaceDN w:val="0"/>
              <w:autoSpaceDE w:val="0"/>
              <w:widowControl/>
              <w:spacing w:line="233" w:lineRule="auto" w:before="58" w:after="0"/>
              <w:ind w:left="0" w:right="62" w:firstLine="0"/>
              <w:jc w:val="right"/>
            </w:pPr>
            <w:r>
              <w:rPr>
                <w:rFonts w:ascii="Arial" w:hAnsi="Arial" w:eastAsia="Arial"/>
                <w:b w:val="0"/>
                <w:i w:val="0"/>
                <w:color w:val="000000"/>
                <w:sz w:val="22"/>
              </w:rPr>
              <w:t xml:space="preserve">(32,853) </w:t>
            </w:r>
          </w:p>
        </w:tc>
        <w:tc>
          <w:tcPr>
            <w:tcW w:type="dxa" w:w="1838"/>
            <w:tcBorders>
              <w:bottom w:sz="4.0" w:val="single" w:color="#000000"/>
            </w:tcBorders>
            <w:tcMar>
              <w:start w:w="0" w:type="dxa"/>
              <w:end w:w="0" w:type="dxa"/>
            </w:tcMar>
          </w:tcPr>
          <w:p>
            <w:pPr>
              <w:autoSpaceDN w:val="0"/>
              <w:autoSpaceDE w:val="0"/>
              <w:widowControl/>
              <w:spacing w:line="218" w:lineRule="auto" w:before="58" w:after="0"/>
              <w:ind w:left="0" w:right="100" w:firstLine="0"/>
              <w:jc w:val="right"/>
            </w:pPr>
            <w:r>
              <w:rPr>
                <w:rFonts w:ascii="Arial" w:hAnsi="Arial" w:eastAsia="Arial"/>
                <w:b w:val="0"/>
                <w:i w:val="0"/>
                <w:color w:val="000000"/>
                <w:sz w:val="22"/>
              </w:rPr>
              <w:t>(2,330,709</w:t>
            </w:r>
            <w:r>
              <w:rPr>
                <w:rFonts w:ascii="Calibri" w:hAnsi="Calibri" w:eastAsia="Calibri"/>
                <w:b w:val="0"/>
                <w:i w:val="0"/>
                <w:color w:val="000000"/>
                <w:sz w:val="22"/>
              </w:rPr>
              <w:t xml:space="preserve">) </w:t>
            </w:r>
          </w:p>
        </w:tc>
      </w:tr>
      <w:tr>
        <w:trPr>
          <w:trHeight w:hRule="exact" w:val="566"/>
        </w:trPr>
        <w:tc>
          <w:tcPr>
            <w:tcW w:type="dxa" w:w="3362"/>
            <w:tcBorders>
              <w:top w:sz="4.0" w:val="single" w:color="#000000"/>
              <w:bottom w:sz="4.0" w:val="single" w:color="#000000"/>
            </w:tcBorders>
            <w:tcMar>
              <w:start w:w="0" w:type="dxa"/>
              <w:end w:w="0" w:type="dxa"/>
            </w:tcMar>
          </w:tcPr>
          <w:p>
            <w:pPr>
              <w:autoSpaceDN w:val="0"/>
              <w:autoSpaceDE w:val="0"/>
              <w:widowControl/>
              <w:spacing w:line="246" w:lineRule="exact" w:before="286" w:after="0"/>
              <w:ind w:left="19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740"/>
            <w:tcBorders>
              <w:top w:sz="4.0" w:val="single" w:color="#000000"/>
              <w:bottom w:sz="4.0" w:val="single" w:color="#000000"/>
            </w:tcBorders>
            <w:tcMar>
              <w:start w:w="0" w:type="dxa"/>
              <w:end w:w="0" w:type="dxa"/>
            </w:tcMar>
          </w:tcPr>
          <w:p>
            <w:pPr>
              <w:autoSpaceDN w:val="0"/>
              <w:autoSpaceDE w:val="0"/>
              <w:widowControl/>
              <w:spacing w:line="233" w:lineRule="auto" w:before="304" w:after="0"/>
              <w:ind w:left="0" w:right="138" w:firstLine="0"/>
              <w:jc w:val="right"/>
            </w:pPr>
            <w:r>
              <w:rPr>
                <w:rFonts w:ascii="Arial" w:hAnsi="Arial" w:eastAsia="Arial"/>
                <w:b w:val="0"/>
                <w:i w:val="0"/>
                <w:color w:val="000000"/>
                <w:sz w:val="22"/>
              </w:rPr>
              <w:t xml:space="preserve">89,851,368 </w:t>
            </w:r>
          </w:p>
        </w:tc>
        <w:tc>
          <w:tcPr>
            <w:tcW w:type="dxa" w:w="1820"/>
            <w:tcBorders>
              <w:top w:sz="4.0" w:val="single" w:color="#000000"/>
              <w:bottom w:sz="4.0" w:val="single" w:color="#000000"/>
            </w:tcBorders>
            <w:tcMar>
              <w:start w:w="0" w:type="dxa"/>
              <w:end w:w="0" w:type="dxa"/>
            </w:tcMar>
          </w:tcPr>
          <w:p>
            <w:pPr>
              <w:autoSpaceDN w:val="0"/>
              <w:autoSpaceDE w:val="0"/>
              <w:widowControl/>
              <w:spacing w:line="233" w:lineRule="auto" w:before="304" w:after="0"/>
              <w:ind w:left="0" w:right="70" w:firstLine="0"/>
              <w:jc w:val="right"/>
            </w:pPr>
            <w:r>
              <w:rPr>
                <w:rFonts w:ascii="Arial" w:hAnsi="Arial" w:eastAsia="Arial"/>
                <w:b w:val="0"/>
                <w:i w:val="0"/>
                <w:color w:val="000000"/>
                <w:sz w:val="22"/>
              </w:rPr>
              <w:t xml:space="preserve">5,744,452 </w:t>
            </w:r>
          </w:p>
        </w:tc>
        <w:tc>
          <w:tcPr>
            <w:tcW w:type="dxa" w:w="1838"/>
            <w:tcBorders>
              <w:top w:sz="4.0" w:val="single" w:color="#000000"/>
              <w:bottom w:sz="4.0" w:val="single" w:color="#000000"/>
            </w:tcBorders>
            <w:tcMar>
              <w:start w:w="0" w:type="dxa"/>
              <w:end w:w="0" w:type="dxa"/>
            </w:tcMar>
          </w:tcPr>
          <w:p>
            <w:pPr>
              <w:autoSpaceDN w:val="0"/>
              <w:autoSpaceDE w:val="0"/>
              <w:widowControl/>
              <w:spacing w:line="233" w:lineRule="auto" w:before="304" w:after="0"/>
              <w:ind w:left="0" w:right="216" w:firstLine="0"/>
              <w:jc w:val="right"/>
            </w:pPr>
            <w:r>
              <w:rPr>
                <w:rFonts w:ascii="Arial" w:hAnsi="Arial" w:eastAsia="Arial"/>
                <w:b w:val="0"/>
                <w:i w:val="0"/>
                <w:color w:val="000000"/>
                <w:sz w:val="22"/>
              </w:rPr>
              <w:t>95,595,820</w:t>
            </w:r>
          </w:p>
        </w:tc>
      </w:tr>
      <w:tr>
        <w:trPr>
          <w:trHeight w:hRule="exact" w:val="50"/>
        </w:trPr>
        <w:tc>
          <w:tcPr>
            <w:tcW w:type="dxa" w:w="3362"/>
            <w:tcBorders>
              <w:top w:sz="4.0" w:val="single" w:color="#000000"/>
            </w:tcBorders>
            <w:tcMar>
              <w:start w:w="0" w:type="dxa"/>
              <w:end w:w="0" w:type="dxa"/>
            </w:tcMar>
          </w:tcPr>
          <w:p/>
        </w:tc>
        <w:tc>
          <w:tcPr>
            <w:tcW w:type="dxa" w:w="1740"/>
            <w:tcBorders>
              <w:top w:sz="4.0" w:val="single" w:color="#000000"/>
            </w:tcBorders>
            <w:tcMar>
              <w:start w:w="0" w:type="dxa"/>
              <w:end w:w="0" w:type="dxa"/>
            </w:tcMar>
          </w:tcPr>
          <w:p/>
        </w:tc>
        <w:tc>
          <w:tcPr>
            <w:tcW w:type="dxa" w:w="1820"/>
            <w:tcBorders>
              <w:top w:sz="4.0" w:val="single" w:color="#000000"/>
            </w:tcBorders>
            <w:tcMar>
              <w:start w:w="0" w:type="dxa"/>
              <w:end w:w="0" w:type="dxa"/>
            </w:tcMar>
          </w:tcPr>
          <w:p/>
        </w:tc>
        <w:tc>
          <w:tcPr>
            <w:tcW w:type="dxa" w:w="1838"/>
            <w:tcBorders>
              <w:top w:sz="4.0" w:val="single" w:color="#000000"/>
            </w:tcBorders>
            <w:tcMar>
              <w:start w:w="0" w:type="dxa"/>
              <w:end w:w="0" w:type="dxa"/>
            </w:tcMar>
          </w:tcPr>
          <w:p/>
        </w:tc>
      </w:tr>
    </w:tbl>
    <w:p>
      <w:pPr>
        <w:autoSpaceDN w:val="0"/>
        <w:autoSpaceDE w:val="0"/>
        <w:widowControl/>
        <w:spacing w:line="246" w:lineRule="exact" w:before="244"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预付款项</w:t>
      </w: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330"/>
        </w:trPr>
        <w:tc>
          <w:tcPr>
            <w:tcW w:type="dxa" w:w="2862"/>
            <w:tcBorders>
              <w:bottom w:sz="4.0" w:val="single" w:color="#000000"/>
            </w:tcBorders>
            <w:tcMar>
              <w:start w:w="0" w:type="dxa"/>
              <w:end w:w="0" w:type="dxa"/>
            </w:tcMar>
          </w:tcPr>
          <w:p/>
        </w:tc>
        <w:tc>
          <w:tcPr>
            <w:tcW w:type="dxa" w:w="2958"/>
            <w:gridSpan w:val="2"/>
            <w:tcBorders>
              <w:bottom w:sz="4.0" w:val="single" w:color="#000000"/>
            </w:tcBorders>
            <w:tcMar>
              <w:start w:w="0" w:type="dxa"/>
              <w:end w:w="0" w:type="dxa"/>
            </w:tcMar>
            <w:tcMar>
              <w:start w:w="0" w:type="dxa"/>
              <w:end w:w="0" w:type="dxa"/>
            </w:tcMar>
          </w:tcPr>
          <w:p>
            <w:pPr>
              <w:autoSpaceDN w:val="0"/>
              <w:autoSpaceDE w:val="0"/>
              <w:widowControl/>
              <w:spacing w:line="246" w:lineRule="exact" w:before="60" w:after="0"/>
              <w:ind w:left="540"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712"/>
            <w:gridSpan w:val="3"/>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18"/>
        </w:trPr>
        <w:tc>
          <w:tcPr>
            <w:tcW w:type="dxa" w:w="2862"/>
            <w:vMerge w:val="restart"/>
            <w:tcBorders>
              <w:top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84" w:lineRule="exact" w:before="504" w:after="0"/>
              <w:ind w:left="198" w:right="864" w:firstLine="0"/>
              <w:jc w:val="left"/>
            </w:pPr>
            <w:r>
              <w:rPr>
                <w:rFonts w:ascii="黑体" w:hAnsi="黑体" w:eastAsia="黑体"/>
                <w:b w:val="0"/>
                <w:i w:val="0"/>
                <w:color w:val="000000"/>
                <w:sz w:val="22"/>
              </w:rPr>
              <w:t>预付购房及工程款</w:t>
            </w:r>
            <w:r>
              <w:rPr>
                <w:rFonts w:ascii="黑体" w:hAnsi="黑体" w:eastAsia="黑体"/>
                <w:b w:val="0"/>
                <w:i w:val="0"/>
                <w:color w:val="000000"/>
                <w:sz w:val="22"/>
              </w:rPr>
              <w:t>预付资讯信息费</w:t>
            </w:r>
            <w:r>
              <w:br/>
            </w:r>
            <w:r>
              <w:rPr>
                <w:rFonts w:ascii="黑体" w:hAnsi="黑体" w:eastAsia="黑体"/>
                <w:b w:val="0"/>
                <w:i w:val="0"/>
                <w:color w:val="000000"/>
                <w:sz w:val="22"/>
              </w:rPr>
              <w:t>预付软件购买款</w:t>
            </w:r>
            <w:r>
              <w:br/>
            </w:r>
            <w:r>
              <w:rPr>
                <w:rFonts w:ascii="黑体" w:hAnsi="黑体" w:eastAsia="黑体"/>
                <w:b w:val="0"/>
                <w:i w:val="0"/>
                <w:color w:val="000000"/>
                <w:sz w:val="22"/>
              </w:rPr>
              <w:t>其他</w:t>
            </w:r>
          </w:p>
        </w:tc>
        <w:tc>
          <w:tcPr>
            <w:tcW w:type="dxa" w:w="1398"/>
            <w:tcBorders>
              <w:top w:sz="4.0" w:val="single" w:color="#000000"/>
            </w:tcBorders>
            <w:tcMar>
              <w:start w:w="0" w:type="dxa"/>
              <w:end w:w="0" w:type="dxa"/>
            </w:tcMar>
          </w:tcPr>
          <w:p>
            <w:pPr>
              <w:autoSpaceDN w:val="0"/>
              <w:autoSpaceDE w:val="0"/>
              <w:widowControl/>
              <w:spacing w:line="220" w:lineRule="exact" w:before="30" w:after="0"/>
              <w:ind w:left="0" w:right="204" w:firstLine="0"/>
              <w:jc w:val="right"/>
            </w:pPr>
            <w:r>
              <w:rPr>
                <w:rFonts w:ascii="黑体" w:hAnsi="黑体" w:eastAsia="黑体"/>
                <w:b w:val="0"/>
                <w:i w:val="0"/>
                <w:color w:val="000000"/>
                <w:sz w:val="22"/>
              </w:rPr>
              <w:t>金额</w:t>
            </w:r>
          </w:p>
        </w:tc>
        <w:tc>
          <w:tcPr>
            <w:tcW w:type="dxa" w:w="1560"/>
            <w:tcBorders>
              <w:top w:sz="4.0" w:val="single" w:color="#000000"/>
            </w:tcBorders>
            <w:tcMar>
              <w:start w:w="0" w:type="dxa"/>
              <w:end w:w="0" w:type="dxa"/>
            </w:tcMar>
          </w:tcPr>
          <w:p>
            <w:pPr>
              <w:autoSpaceDN w:val="0"/>
              <w:autoSpaceDE w:val="0"/>
              <w:widowControl/>
              <w:spacing w:line="220" w:lineRule="exact" w:before="30" w:after="0"/>
              <w:ind w:left="0" w:right="0" w:firstLine="0"/>
              <w:jc w:val="center"/>
            </w:pPr>
            <w:r>
              <w:rPr>
                <w:rFonts w:ascii="黑体" w:hAnsi="黑体" w:eastAsia="黑体"/>
                <w:b w:val="0"/>
                <w:i w:val="0"/>
                <w:color w:val="000000"/>
                <w:sz w:val="22"/>
              </w:rPr>
              <w:t>占总额比例</w:t>
            </w:r>
          </w:p>
        </w:tc>
        <w:tc>
          <w:tcPr>
            <w:tcW w:type="dxa" w:w="1180"/>
            <w:tcBorders>
              <w:top w:sz="4.0" w:val="single" w:color="#000000"/>
            </w:tcBorders>
            <w:tcMar>
              <w:start w:w="0" w:type="dxa"/>
              <w:end w:w="0" w:type="dxa"/>
            </w:tcMar>
          </w:tcPr>
          <w:p>
            <w:pPr>
              <w:autoSpaceDN w:val="0"/>
              <w:autoSpaceDE w:val="0"/>
              <w:widowControl/>
              <w:spacing w:line="220" w:lineRule="exact" w:before="30" w:after="0"/>
              <w:ind w:left="0" w:right="0" w:firstLine="0"/>
              <w:jc w:val="right"/>
            </w:pPr>
            <w:r>
              <w:rPr>
                <w:rFonts w:ascii="黑体" w:hAnsi="黑体" w:eastAsia="黑体"/>
                <w:b w:val="0"/>
                <w:i w:val="0"/>
                <w:color w:val="000000"/>
                <w:sz w:val="22"/>
              </w:rPr>
              <w:t>金额</w:t>
            </w:r>
          </w:p>
        </w:tc>
        <w:tc>
          <w:tcPr>
            <w:tcW w:type="dxa" w:w="1532"/>
            <w:gridSpan w:val="2"/>
            <w:tcBorders>
              <w:top w:sz="4.0" w:val="single" w:color="#000000"/>
            </w:tcBorders>
            <w:tcMar>
              <w:start w:w="0" w:type="dxa"/>
              <w:end w:w="0" w:type="dxa"/>
            </w:tcMar>
            <w:tcMar>
              <w:start w:w="0" w:type="dxa"/>
              <w:end w:w="0" w:type="dxa"/>
            </w:tcMar>
          </w:tcPr>
          <w:p>
            <w:pPr>
              <w:autoSpaceDN w:val="0"/>
              <w:autoSpaceDE w:val="0"/>
              <w:widowControl/>
              <w:spacing w:line="220" w:lineRule="exact" w:before="30" w:after="0"/>
              <w:ind w:left="0" w:right="0" w:firstLine="0"/>
              <w:jc w:val="right"/>
            </w:pPr>
            <w:r>
              <w:rPr>
                <w:rFonts w:ascii="黑体" w:hAnsi="黑体" w:eastAsia="黑体"/>
                <w:b w:val="0"/>
                <w:i w:val="0"/>
                <w:color w:val="000000"/>
                <w:sz w:val="22"/>
              </w:rPr>
              <w:t>占总额比例</w:t>
            </w:r>
          </w:p>
        </w:tc>
      </w:tr>
      <w:tr>
        <w:trPr>
          <w:trHeight w:hRule="exact" w:val="420"/>
        </w:trPr>
        <w:tc>
          <w:tcPr>
            <w:tcW w:type="dxa" w:w="1504"/>
            <w:vMerge/>
            <w:tcBorders>
              <w:top w:sz="4.0" w:val="single" w:color="#000000"/>
              <w:bottom w:sz="4.0" w:val="single" w:color="#000000"/>
            </w:tcBorders>
          </w:tcPr>
          <w:p/>
        </w:tc>
        <w:tc>
          <w:tcPr>
            <w:tcW w:type="dxa" w:w="1398"/>
            <w:tcBorders/>
            <w:tcMar>
              <w:start w:w="0" w:type="dxa"/>
              <w:end w:w="0" w:type="dxa"/>
            </w:tcMar>
          </w:tcPr>
          <w:p>
            <w:pPr>
              <w:autoSpaceDN w:val="0"/>
              <w:autoSpaceDE w:val="0"/>
              <w:widowControl/>
              <w:spacing w:line="233" w:lineRule="auto" w:before="162" w:after="0"/>
              <w:ind w:left="0" w:right="204" w:firstLine="0"/>
              <w:jc w:val="right"/>
            </w:pPr>
            <w:r>
              <w:rPr>
                <w:rFonts w:ascii="Arial" w:hAnsi="Arial" w:eastAsia="Arial"/>
                <w:b w:val="0"/>
                <w:i w:val="0"/>
                <w:color w:val="000000"/>
                <w:sz w:val="22"/>
              </w:rPr>
              <w:t>710,735</w:t>
            </w:r>
          </w:p>
        </w:tc>
        <w:tc>
          <w:tcPr>
            <w:tcW w:type="dxa" w:w="1560"/>
            <w:tcBorders/>
            <w:tcMar>
              <w:start w:w="0" w:type="dxa"/>
              <w:end w:w="0" w:type="dxa"/>
            </w:tcMar>
          </w:tcPr>
          <w:p>
            <w:pPr>
              <w:autoSpaceDN w:val="0"/>
              <w:autoSpaceDE w:val="0"/>
              <w:widowControl/>
              <w:spacing w:line="233" w:lineRule="auto" w:before="162" w:after="0"/>
              <w:ind w:left="0" w:right="176" w:firstLine="0"/>
              <w:jc w:val="right"/>
            </w:pPr>
            <w:r>
              <w:rPr>
                <w:rFonts w:ascii="Arial" w:hAnsi="Arial" w:eastAsia="Arial"/>
                <w:b w:val="0"/>
                <w:i w:val="0"/>
                <w:color w:val="000000"/>
                <w:sz w:val="22"/>
              </w:rPr>
              <w:t xml:space="preserve">3.37% </w:t>
            </w:r>
          </w:p>
        </w:tc>
        <w:tc>
          <w:tcPr>
            <w:tcW w:type="dxa" w:w="1500"/>
            <w:gridSpan w:val="2"/>
            <w:tcBorders/>
            <w:tcMar>
              <w:start w:w="0" w:type="dxa"/>
              <w:end w:w="0" w:type="dxa"/>
            </w:tcMar>
            <w:tcMar>
              <w:start w:w="0" w:type="dxa"/>
              <w:end w:w="0" w:type="dxa"/>
            </w:tcMar>
          </w:tcPr>
          <w:p>
            <w:pPr>
              <w:autoSpaceDN w:val="0"/>
              <w:autoSpaceDE w:val="0"/>
              <w:widowControl/>
              <w:spacing w:line="233" w:lineRule="auto" w:before="162" w:after="0"/>
              <w:ind w:left="202" w:right="0" w:firstLine="0"/>
              <w:jc w:val="left"/>
            </w:pPr>
            <w:r>
              <w:rPr>
                <w:rFonts w:ascii="Arial" w:hAnsi="Arial" w:eastAsia="Arial"/>
                <w:b w:val="0"/>
                <w:i w:val="0"/>
                <w:color w:val="000000"/>
                <w:sz w:val="22"/>
              </w:rPr>
              <w:t>1,995,428</w:t>
            </w:r>
          </w:p>
        </w:tc>
        <w:tc>
          <w:tcPr>
            <w:tcW w:type="dxa" w:w="1212"/>
            <w:tcBorders/>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9.40%</w:t>
            </w:r>
          </w:p>
        </w:tc>
      </w:tr>
      <w:tr>
        <w:trPr>
          <w:trHeight w:hRule="exact" w:val="280"/>
        </w:trPr>
        <w:tc>
          <w:tcPr>
            <w:tcW w:type="dxa" w:w="1504"/>
            <w:vMerge/>
            <w:tcBorders>
              <w:top w:sz="4.0" w:val="single" w:color="#000000"/>
              <w:bottom w:sz="4.0" w:val="single" w:color="#000000"/>
            </w:tcBorders>
          </w:tcPr>
          <w:p/>
        </w:tc>
        <w:tc>
          <w:tcPr>
            <w:tcW w:type="dxa" w:w="1398"/>
            <w:tcBorders/>
            <w:tcMar>
              <w:start w:w="0" w:type="dxa"/>
              <w:end w:w="0" w:type="dxa"/>
            </w:tcMar>
          </w:tcPr>
          <w:p>
            <w:pPr>
              <w:autoSpaceDN w:val="0"/>
              <w:autoSpaceDE w:val="0"/>
              <w:widowControl/>
              <w:spacing w:line="233" w:lineRule="auto" w:before="28" w:after="0"/>
              <w:ind w:left="0" w:right="204" w:firstLine="0"/>
              <w:jc w:val="right"/>
            </w:pPr>
            <w:r>
              <w:rPr>
                <w:rFonts w:ascii="Arial" w:hAnsi="Arial" w:eastAsia="Arial"/>
                <w:b w:val="0"/>
                <w:i w:val="0"/>
                <w:color w:val="000000"/>
                <w:sz w:val="22"/>
              </w:rPr>
              <w:t>514,233</w:t>
            </w:r>
          </w:p>
        </w:tc>
        <w:tc>
          <w:tcPr>
            <w:tcW w:type="dxa" w:w="1560"/>
            <w:tcBorders/>
            <w:tcMar>
              <w:start w:w="0" w:type="dxa"/>
              <w:end w:w="0" w:type="dxa"/>
            </w:tcMar>
          </w:tcPr>
          <w:p>
            <w:pPr>
              <w:autoSpaceDN w:val="0"/>
              <w:autoSpaceDE w:val="0"/>
              <w:widowControl/>
              <w:spacing w:line="233" w:lineRule="auto" w:before="28" w:after="0"/>
              <w:ind w:left="0" w:right="176" w:firstLine="0"/>
              <w:jc w:val="right"/>
            </w:pPr>
            <w:r>
              <w:rPr>
                <w:rFonts w:ascii="Arial" w:hAnsi="Arial" w:eastAsia="Arial"/>
                <w:b w:val="0"/>
                <w:i w:val="0"/>
                <w:color w:val="000000"/>
                <w:sz w:val="22"/>
              </w:rPr>
              <w:t xml:space="preserve">2.44% </w:t>
            </w:r>
          </w:p>
        </w:tc>
        <w:tc>
          <w:tcPr>
            <w:tcW w:type="dxa" w:w="1500"/>
            <w:gridSpan w:val="2"/>
            <w:tcBorders/>
            <w:tcMar>
              <w:start w:w="0" w:type="dxa"/>
              <w:end w:w="0" w:type="dxa"/>
            </w:tcMar>
            <w:tcMar>
              <w:start w:w="0" w:type="dxa"/>
              <w:end w:w="0" w:type="dxa"/>
            </w:tcMar>
          </w:tcPr>
          <w:p>
            <w:pPr>
              <w:autoSpaceDN w:val="0"/>
              <w:autoSpaceDE w:val="0"/>
              <w:widowControl/>
              <w:spacing w:line="233" w:lineRule="auto" w:before="28" w:after="0"/>
              <w:ind w:left="202" w:right="0" w:firstLine="0"/>
              <w:jc w:val="left"/>
            </w:pPr>
            <w:r>
              <w:rPr>
                <w:rFonts w:ascii="Arial" w:hAnsi="Arial" w:eastAsia="Arial"/>
                <w:b w:val="0"/>
                <w:i w:val="0"/>
                <w:color w:val="000000"/>
                <w:sz w:val="22"/>
              </w:rPr>
              <w:t>1,217,118</w:t>
            </w:r>
          </w:p>
        </w:tc>
        <w:tc>
          <w:tcPr>
            <w:tcW w:type="dxa" w:w="1212"/>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22"/>
              </w:rPr>
              <w:t>5.73%</w:t>
            </w:r>
          </w:p>
        </w:tc>
      </w:tr>
      <w:tr>
        <w:trPr>
          <w:trHeight w:hRule="exact" w:val="280"/>
        </w:trPr>
        <w:tc>
          <w:tcPr>
            <w:tcW w:type="dxa" w:w="1504"/>
            <w:vMerge/>
            <w:tcBorders>
              <w:top w:sz="4.0" w:val="single" w:color="#000000"/>
              <w:bottom w:sz="4.0" w:val="single" w:color="#000000"/>
            </w:tcBorders>
          </w:tcPr>
          <w:p/>
        </w:tc>
        <w:tc>
          <w:tcPr>
            <w:tcW w:type="dxa" w:w="1398"/>
            <w:tcBorders/>
            <w:tcMar>
              <w:start w:w="0" w:type="dxa"/>
              <w:end w:w="0" w:type="dxa"/>
            </w:tcMar>
          </w:tcPr>
          <w:p>
            <w:pPr>
              <w:autoSpaceDN w:val="0"/>
              <w:autoSpaceDE w:val="0"/>
              <w:widowControl/>
              <w:spacing w:line="233" w:lineRule="auto" w:before="34" w:after="0"/>
              <w:ind w:left="0" w:right="0" w:firstLine="0"/>
              <w:jc w:val="center"/>
            </w:pPr>
            <w:r>
              <w:rPr>
                <w:rFonts w:ascii="Arial" w:hAnsi="Arial" w:eastAsia="Arial"/>
                <w:b w:val="0"/>
                <w:i w:val="0"/>
                <w:color w:val="000000"/>
                <w:sz w:val="22"/>
              </w:rPr>
              <w:t>9,568,983</w:t>
            </w:r>
          </w:p>
        </w:tc>
        <w:tc>
          <w:tcPr>
            <w:tcW w:type="dxa" w:w="1560"/>
            <w:tcBorders/>
            <w:tcMar>
              <w:start w:w="0" w:type="dxa"/>
              <w:end w:w="0" w:type="dxa"/>
            </w:tcMar>
          </w:tcPr>
          <w:p>
            <w:pPr>
              <w:autoSpaceDN w:val="0"/>
              <w:autoSpaceDE w:val="0"/>
              <w:widowControl/>
              <w:spacing w:line="233" w:lineRule="auto" w:before="34" w:after="0"/>
              <w:ind w:left="0" w:right="176" w:firstLine="0"/>
              <w:jc w:val="right"/>
            </w:pPr>
            <w:r>
              <w:rPr>
                <w:rFonts w:ascii="Arial" w:hAnsi="Arial" w:eastAsia="Arial"/>
                <w:b w:val="0"/>
                <w:i w:val="0"/>
                <w:color w:val="000000"/>
                <w:sz w:val="22"/>
              </w:rPr>
              <w:t xml:space="preserve">45.44% </w:t>
            </w:r>
          </w:p>
        </w:tc>
        <w:tc>
          <w:tcPr>
            <w:tcW w:type="dxa" w:w="1500"/>
            <w:gridSpan w:val="2"/>
            <w:tcBorders/>
            <w:tcMar>
              <w:start w:w="0" w:type="dxa"/>
              <w:end w:w="0" w:type="dxa"/>
            </w:tcMar>
            <w:tcMar>
              <w:start w:w="0" w:type="dxa"/>
              <w:end w:w="0" w:type="dxa"/>
            </w:tcMar>
          </w:tcPr>
          <w:p>
            <w:pPr>
              <w:autoSpaceDN w:val="0"/>
              <w:autoSpaceDE w:val="0"/>
              <w:widowControl/>
              <w:spacing w:line="233" w:lineRule="auto" w:before="34" w:after="0"/>
              <w:ind w:left="202" w:right="0" w:firstLine="0"/>
              <w:jc w:val="left"/>
            </w:pPr>
            <w:r>
              <w:rPr>
                <w:rFonts w:ascii="Arial" w:hAnsi="Arial" w:eastAsia="Arial"/>
                <w:b w:val="0"/>
                <w:i w:val="0"/>
                <w:color w:val="000000"/>
                <w:sz w:val="22"/>
              </w:rPr>
              <w:t>3,442,111</w:t>
            </w:r>
          </w:p>
        </w:tc>
        <w:tc>
          <w:tcPr>
            <w:tcW w:type="dxa" w:w="1212"/>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16.21%</w:t>
            </w:r>
          </w:p>
        </w:tc>
      </w:tr>
      <w:tr>
        <w:trPr>
          <w:trHeight w:hRule="exact" w:val="290"/>
        </w:trPr>
        <w:tc>
          <w:tcPr>
            <w:tcW w:type="dxa" w:w="1504"/>
            <w:vMerge/>
            <w:tcBorders>
              <w:top w:sz="4.0" w:val="single" w:color="#000000"/>
              <w:bottom w:sz="4.0" w:val="single" w:color="#000000"/>
            </w:tcBorders>
          </w:tcPr>
          <w:p/>
        </w:tc>
        <w:tc>
          <w:tcPr>
            <w:tcW w:type="dxa" w:w="1398"/>
            <w:tcBorders>
              <w:bottom w:sz="4.0" w:val="single" w:color="#000000"/>
            </w:tcBorders>
            <w:tcMar>
              <w:start w:w="0" w:type="dxa"/>
              <w:end w:w="0" w:type="dxa"/>
            </w:tcMar>
          </w:tcPr>
          <w:p>
            <w:pPr>
              <w:autoSpaceDN w:val="0"/>
              <w:autoSpaceDE w:val="0"/>
              <w:widowControl/>
              <w:spacing w:line="235" w:lineRule="auto" w:before="36" w:after="0"/>
              <w:ind w:left="90" w:right="0" w:firstLine="0"/>
              <w:jc w:val="left"/>
            </w:pPr>
            <w:r>
              <w:rPr>
                <w:rFonts w:ascii="Arial" w:hAnsi="Arial" w:eastAsia="Arial"/>
                <w:b w:val="0"/>
                <w:i w:val="0"/>
                <w:color w:val="000000"/>
                <w:sz w:val="22"/>
              </w:rPr>
              <w:t>10,266,115</w:t>
            </w:r>
          </w:p>
        </w:tc>
        <w:tc>
          <w:tcPr>
            <w:tcW w:type="dxa" w:w="3060"/>
            <w:gridSpan w:val="3"/>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35" w:lineRule="auto" w:before="36" w:after="0"/>
              <w:ind w:left="576" w:right="0" w:firstLine="0"/>
              <w:jc w:val="left"/>
            </w:pPr>
            <w:r>
              <w:rPr>
                <w:rFonts w:ascii="Arial" w:hAnsi="Arial" w:eastAsia="Arial"/>
                <w:b w:val="0"/>
                <w:i w:val="0"/>
                <w:color w:val="000000"/>
                <w:sz w:val="22"/>
              </w:rPr>
              <w:t>48.75%  14,582,263</w:t>
            </w:r>
          </w:p>
        </w:tc>
        <w:tc>
          <w:tcPr>
            <w:tcW w:type="dxa" w:w="1212"/>
            <w:tcBorders>
              <w:bottom w:sz="4.0" w:val="single" w:color="#000000"/>
            </w:tcBorders>
            <w:tcMar>
              <w:start w:w="0" w:type="dxa"/>
              <w:end w:w="0" w:type="dxa"/>
            </w:tcMar>
          </w:tcPr>
          <w:p>
            <w:pPr>
              <w:autoSpaceDN w:val="0"/>
              <w:autoSpaceDE w:val="0"/>
              <w:widowControl/>
              <w:spacing w:line="235" w:lineRule="auto" w:before="36" w:after="0"/>
              <w:ind w:left="0" w:right="0" w:firstLine="0"/>
              <w:jc w:val="right"/>
            </w:pPr>
            <w:r>
              <w:rPr>
                <w:rFonts w:ascii="Arial" w:hAnsi="Arial" w:eastAsia="Arial"/>
                <w:b w:val="0"/>
                <w:i w:val="0"/>
                <w:color w:val="000000"/>
                <w:sz w:val="22"/>
              </w:rPr>
              <w:t>68.66%</w:t>
            </w:r>
          </w:p>
        </w:tc>
      </w:tr>
      <w:tr>
        <w:trPr>
          <w:trHeight w:hRule="exact" w:val="550"/>
        </w:trPr>
        <w:tc>
          <w:tcPr>
            <w:tcW w:type="dxa" w:w="2862"/>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398"/>
            <w:tcBorders>
              <w:top w:sz="4.0" w:val="single" w:color="#000000"/>
              <w:bottom w:sz="4.0" w:val="single" w:color="#000000"/>
            </w:tcBorders>
            <w:tcMar>
              <w:start w:w="0" w:type="dxa"/>
              <w:end w:w="0" w:type="dxa"/>
            </w:tcMar>
          </w:tcPr>
          <w:p>
            <w:pPr>
              <w:autoSpaceDN w:val="0"/>
              <w:autoSpaceDE w:val="0"/>
              <w:widowControl/>
              <w:spacing w:line="233" w:lineRule="auto" w:before="290" w:after="0"/>
              <w:ind w:left="90" w:right="0" w:firstLine="0"/>
              <w:jc w:val="left"/>
            </w:pPr>
            <w:r>
              <w:rPr>
                <w:rFonts w:ascii="Arial" w:hAnsi="Arial" w:eastAsia="Arial"/>
                <w:b w:val="0"/>
                <w:i w:val="0"/>
                <w:color w:val="000000"/>
                <w:sz w:val="22"/>
              </w:rPr>
              <w:t>21,060,066</w:t>
            </w:r>
          </w:p>
        </w:tc>
        <w:tc>
          <w:tcPr>
            <w:tcW w:type="dxa" w:w="3060"/>
            <w:gridSpan w:val="3"/>
            <w:tcBorders>
              <w:top w:sz="4.0"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290" w:after="0"/>
              <w:ind w:left="454" w:right="0" w:firstLine="0"/>
              <w:jc w:val="left"/>
            </w:pPr>
            <w:r>
              <w:rPr>
                <w:rFonts w:ascii="Arial" w:hAnsi="Arial" w:eastAsia="Arial"/>
                <w:b w:val="0"/>
                <w:i w:val="0"/>
                <w:color w:val="000000"/>
                <w:sz w:val="22"/>
              </w:rPr>
              <w:t>100.00%  21,236,920</w:t>
            </w:r>
          </w:p>
        </w:tc>
        <w:tc>
          <w:tcPr>
            <w:tcW w:type="dxa" w:w="1212"/>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100.00%</w:t>
            </w:r>
          </w:p>
        </w:tc>
      </w:tr>
    </w:tbl>
    <w:p>
      <w:pPr>
        <w:autoSpaceDN w:val="0"/>
        <w:autoSpaceDE w:val="0"/>
        <w:widowControl/>
        <w:spacing w:line="233" w:lineRule="auto" w:before="3458" w:after="0"/>
        <w:ind w:left="0" w:right="0" w:firstLine="0"/>
        <w:jc w:val="center"/>
      </w:pPr>
      <w:r>
        <w:rPr>
          <w:rFonts w:ascii="Arial" w:hAnsi="Arial" w:eastAsia="Arial"/>
          <w:b w:val="0"/>
          <w:i w:val="0"/>
          <w:color w:val="000000"/>
          <w:sz w:val="20"/>
        </w:rPr>
        <w:t xml:space="preserve">216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36" w:lineRule="exact" w:before="0" w:after="238"/>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17. </w:t>
      </w:r>
      <w:r>
        <w:tab/>
      </w:r>
      <w:r>
        <w:rPr>
          <w:rFonts w:ascii="黑体" w:hAnsi="黑体" w:eastAsia="黑体"/>
          <w:b w:val="0"/>
          <w:i w:val="0"/>
          <w:color w:val="000000"/>
          <w:sz w:val="22"/>
        </w:rPr>
        <w:t>递延所得税资产和递延所得税负债</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未经抵销的递延所得税资产</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02"/>
        </w:trPr>
        <w:tc>
          <w:tcPr>
            <w:tcW w:type="dxa" w:w="2978"/>
            <w:tcBorders>
              <w:bottom w:sz="3.2000000000000455" w:val="single" w:color="#000000"/>
            </w:tcBorders>
            <w:tcMar>
              <w:start w:w="0" w:type="dxa"/>
              <w:end w:w="0" w:type="dxa"/>
            </w:tcMar>
          </w:tcPr>
          <w:p/>
        </w:tc>
        <w:tc>
          <w:tcPr>
            <w:tcW w:type="dxa" w:w="2890"/>
            <w:gridSpan w:val="2"/>
            <w:tcBorders>
              <w:bottom w:sz="3.2000000000000455" w:val="single" w:color="#000000"/>
            </w:tcBorders>
            <w:tcMar>
              <w:start w:w="0" w:type="dxa"/>
              <w:end w:w="0" w:type="dxa"/>
            </w:tcMar>
            <w:tcMar>
              <w:start w:w="0" w:type="dxa"/>
              <w:end w:w="0" w:type="dxa"/>
            </w:tcMar>
          </w:tcPr>
          <w:p>
            <w:pPr>
              <w:autoSpaceDN w:val="0"/>
              <w:autoSpaceDE w:val="0"/>
              <w:widowControl/>
              <w:spacing w:line="222" w:lineRule="exact" w:before="60" w:after="0"/>
              <w:ind w:left="612" w:right="0" w:firstLine="0"/>
              <w:jc w:val="left"/>
            </w:pPr>
            <w:r>
              <w:rPr>
                <w:rFonts w:ascii="Arial" w:hAnsi="Arial" w:eastAsia="Arial"/>
                <w:b w:val="0"/>
                <w:i w:val="0"/>
                <w:color w:val="000000"/>
                <w:sz w:val="20"/>
              </w:rPr>
              <w:t>2024</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c>
          <w:tcPr>
            <w:tcW w:type="dxa" w:w="2666"/>
            <w:gridSpan w:val="2"/>
            <w:tcBorders>
              <w:bottom w:sz="3.2000000000000455" w:val="single" w:color="#000000"/>
            </w:tcBorders>
            <w:tcMar>
              <w:start w:w="0" w:type="dxa"/>
              <w:end w:w="0" w:type="dxa"/>
            </w:tcMar>
            <w:tcMar>
              <w:start w:w="0" w:type="dxa"/>
              <w:end w:w="0" w:type="dxa"/>
            </w:tcMar>
          </w:tcPr>
          <w:p>
            <w:pPr>
              <w:autoSpaceDN w:val="0"/>
              <w:autoSpaceDE w:val="0"/>
              <w:widowControl/>
              <w:spacing w:line="222" w:lineRule="exact" w:before="60" w:after="0"/>
              <w:ind w:left="0" w:right="0" w:firstLine="0"/>
              <w:jc w:val="center"/>
            </w:pPr>
            <w:r>
              <w:rPr>
                <w:rFonts w:ascii="Arial" w:hAnsi="Arial" w:eastAsia="Arial"/>
                <w:b w:val="0"/>
                <w:i w:val="0"/>
                <w:color w:val="000000"/>
                <w:sz w:val="20"/>
              </w:rPr>
              <w:t>2023</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r>
      <w:tr>
        <w:trPr>
          <w:trHeight w:hRule="exact" w:val="254"/>
        </w:trPr>
        <w:tc>
          <w:tcPr>
            <w:tcW w:type="dxa" w:w="2978"/>
            <w:vMerge w:val="restart"/>
            <w:tcBorders>
              <w:top w:sz="3.2000000000000455" w:val="single" w:color="#000000"/>
            </w:tcBorders>
            <w:tcMar>
              <w:start w:w="0" w:type="dxa"/>
              <w:end w:w="0" w:type="dxa"/>
            </w:tcMar>
            <w:tcMar>
              <w:start w:w="0" w:type="dxa"/>
              <w:end w:w="0" w:type="dxa"/>
            </w:tcMar>
            <w:tcMar>
              <w:start w:w="0" w:type="dxa"/>
              <w:end w:w="0" w:type="dxa"/>
            </w:tcMar>
          </w:tcPr>
          <w:p>
            <w:pPr>
              <w:autoSpaceDN w:val="0"/>
              <w:autoSpaceDE w:val="0"/>
              <w:widowControl/>
              <w:spacing w:line="200" w:lineRule="exact" w:before="802" w:after="0"/>
              <w:ind w:left="198" w:right="0" w:firstLine="0"/>
              <w:jc w:val="left"/>
            </w:pPr>
            <w:r>
              <w:rPr>
                <w:rFonts w:ascii="黑体" w:hAnsi="黑体" w:eastAsia="黑体"/>
                <w:b w:val="0"/>
                <w:i w:val="0"/>
                <w:color w:val="000000"/>
                <w:sz w:val="20"/>
              </w:rPr>
              <w:t>公允价值变动</w:t>
            </w:r>
          </w:p>
        </w:tc>
        <w:tc>
          <w:tcPr>
            <w:tcW w:type="dxa" w:w="1422"/>
            <w:tcBorders>
              <w:top w:sz="3.2000000000000455" w:val="single" w:color="#000000"/>
            </w:tcBorders>
            <w:tcMar>
              <w:start w:w="0" w:type="dxa"/>
              <w:end w:w="0" w:type="dxa"/>
            </w:tcMar>
          </w:tcPr>
          <w:p>
            <w:pPr>
              <w:autoSpaceDN w:val="0"/>
              <w:autoSpaceDE w:val="0"/>
              <w:widowControl/>
              <w:spacing w:line="198" w:lineRule="exact" w:before="32" w:after="0"/>
              <w:ind w:left="0" w:right="0" w:firstLine="0"/>
              <w:jc w:val="center"/>
            </w:pPr>
            <w:r>
              <w:rPr>
                <w:rFonts w:ascii="黑体" w:hAnsi="黑体" w:eastAsia="黑体"/>
                <w:b w:val="0"/>
                <w:i w:val="0"/>
                <w:color w:val="000000"/>
                <w:sz w:val="20"/>
              </w:rPr>
              <w:t>递延所得税</w:t>
            </w:r>
          </w:p>
        </w:tc>
        <w:tc>
          <w:tcPr>
            <w:tcW w:type="dxa" w:w="1468"/>
            <w:tcBorders>
              <w:top w:sz="3.2000000000000455" w:val="single" w:color="#000000"/>
            </w:tcBorders>
            <w:tcMar>
              <w:start w:w="0" w:type="dxa"/>
              <w:end w:w="0" w:type="dxa"/>
            </w:tcMar>
          </w:tcPr>
          <w:p>
            <w:pPr>
              <w:autoSpaceDN w:val="0"/>
              <w:autoSpaceDE w:val="0"/>
              <w:widowControl/>
              <w:spacing w:line="198" w:lineRule="exact" w:before="32" w:after="0"/>
              <w:ind w:left="0" w:right="0" w:firstLine="0"/>
              <w:jc w:val="center"/>
            </w:pPr>
            <w:r>
              <w:rPr>
                <w:rFonts w:ascii="黑体" w:hAnsi="黑体" w:eastAsia="黑体"/>
                <w:b w:val="0"/>
                <w:i w:val="0"/>
                <w:color w:val="000000"/>
                <w:sz w:val="20"/>
              </w:rPr>
              <w:t>可抵扣暂时性</w:t>
            </w:r>
          </w:p>
        </w:tc>
        <w:tc>
          <w:tcPr>
            <w:tcW w:type="dxa" w:w="1392"/>
            <w:tcBorders>
              <w:top w:sz="3.2000000000000455" w:val="single" w:color="#000000"/>
            </w:tcBorders>
            <w:tcMar>
              <w:start w:w="0" w:type="dxa"/>
              <w:end w:w="0" w:type="dxa"/>
            </w:tcMar>
          </w:tcPr>
          <w:p>
            <w:pPr>
              <w:autoSpaceDN w:val="0"/>
              <w:autoSpaceDE w:val="0"/>
              <w:widowControl/>
              <w:spacing w:line="198" w:lineRule="exact" w:before="32" w:after="0"/>
              <w:ind w:left="248" w:right="0" w:firstLine="0"/>
              <w:jc w:val="left"/>
            </w:pPr>
            <w:r>
              <w:rPr>
                <w:rFonts w:ascii="黑体" w:hAnsi="黑体" w:eastAsia="黑体"/>
                <w:b w:val="0"/>
                <w:i w:val="0"/>
                <w:color w:val="000000"/>
                <w:sz w:val="20"/>
              </w:rPr>
              <w:t>递延所得税</w:t>
            </w:r>
          </w:p>
        </w:tc>
        <w:tc>
          <w:tcPr>
            <w:tcW w:type="dxa" w:w="1274"/>
            <w:tcBorders>
              <w:top w:sz="3.2000000000000455" w:val="single" w:color="#000000"/>
            </w:tcBorders>
            <w:tcMar>
              <w:start w:w="0" w:type="dxa"/>
              <w:end w:w="0" w:type="dxa"/>
            </w:tcMar>
          </w:tcPr>
          <w:p>
            <w:pPr>
              <w:autoSpaceDN w:val="0"/>
              <w:autoSpaceDE w:val="0"/>
              <w:widowControl/>
              <w:spacing w:line="198" w:lineRule="exact" w:before="32" w:after="0"/>
              <w:ind w:left="0" w:right="0" w:firstLine="0"/>
              <w:jc w:val="center"/>
            </w:pPr>
            <w:r>
              <w:rPr>
                <w:rFonts w:ascii="黑体" w:hAnsi="黑体" w:eastAsia="黑体"/>
                <w:b w:val="0"/>
                <w:i w:val="0"/>
                <w:color w:val="000000"/>
                <w:sz w:val="20"/>
              </w:rPr>
              <w:t>可抵扣暂时性</w:t>
            </w:r>
          </w:p>
        </w:tc>
      </w:tr>
      <w:tr>
        <w:trPr>
          <w:trHeight w:hRule="exact" w:val="380"/>
        </w:trPr>
        <w:tc>
          <w:tcPr>
            <w:tcW w:type="dxa" w:w="1805"/>
            <w:vMerge/>
            <w:tcBorders>
              <w:top w:sz="3.2000000000000455" w:val="single" w:color="#000000"/>
            </w:tcBorders>
          </w:tcPr>
          <w:p/>
        </w:tc>
        <w:tc>
          <w:tcPr>
            <w:tcW w:type="dxa" w:w="1422"/>
            <w:tcBorders/>
            <w:tcMar>
              <w:start w:w="0" w:type="dxa"/>
              <w:end w:w="0" w:type="dxa"/>
            </w:tcMar>
          </w:tcPr>
          <w:p>
            <w:pPr>
              <w:autoSpaceDN w:val="0"/>
              <w:autoSpaceDE w:val="0"/>
              <w:widowControl/>
              <w:spacing w:line="200" w:lineRule="exact" w:before="40" w:after="0"/>
              <w:ind w:left="0" w:right="176" w:firstLine="0"/>
              <w:jc w:val="right"/>
            </w:pPr>
            <w:r>
              <w:rPr>
                <w:rFonts w:ascii="黑体" w:hAnsi="黑体" w:eastAsia="黑体"/>
                <w:b w:val="0"/>
                <w:i w:val="0"/>
                <w:color w:val="000000"/>
                <w:sz w:val="20"/>
              </w:rPr>
              <w:t>资产</w:t>
            </w:r>
          </w:p>
        </w:tc>
        <w:tc>
          <w:tcPr>
            <w:tcW w:type="dxa" w:w="1468"/>
            <w:tcBorders/>
            <w:tcMar>
              <w:start w:w="0" w:type="dxa"/>
              <w:end w:w="0" w:type="dxa"/>
            </w:tcMar>
          </w:tcPr>
          <w:p>
            <w:pPr>
              <w:autoSpaceDN w:val="0"/>
              <w:autoSpaceDE w:val="0"/>
              <w:widowControl/>
              <w:spacing w:line="200" w:lineRule="exact" w:before="40" w:after="0"/>
              <w:ind w:left="0" w:right="170" w:firstLine="0"/>
              <w:jc w:val="right"/>
            </w:pPr>
            <w:r>
              <w:rPr>
                <w:rFonts w:ascii="黑体" w:hAnsi="黑体" w:eastAsia="黑体"/>
                <w:b w:val="0"/>
                <w:i w:val="0"/>
                <w:color w:val="000000"/>
                <w:sz w:val="20"/>
              </w:rPr>
              <w:t>差异</w:t>
            </w:r>
          </w:p>
        </w:tc>
        <w:tc>
          <w:tcPr>
            <w:tcW w:type="dxa" w:w="1392"/>
            <w:tcBorders/>
            <w:tcMar>
              <w:start w:w="0" w:type="dxa"/>
              <w:end w:w="0" w:type="dxa"/>
            </w:tcMar>
          </w:tcPr>
          <w:p>
            <w:pPr>
              <w:autoSpaceDN w:val="0"/>
              <w:autoSpaceDE w:val="0"/>
              <w:widowControl/>
              <w:spacing w:line="200" w:lineRule="exact" w:before="40" w:after="0"/>
              <w:ind w:left="0" w:right="144" w:firstLine="0"/>
              <w:jc w:val="right"/>
            </w:pPr>
            <w:r>
              <w:rPr>
                <w:rFonts w:ascii="黑体" w:hAnsi="黑体" w:eastAsia="黑体"/>
                <w:b w:val="0"/>
                <w:i w:val="0"/>
                <w:color w:val="000000"/>
                <w:sz w:val="20"/>
              </w:rPr>
              <w:t>资产</w:t>
            </w:r>
          </w:p>
        </w:tc>
        <w:tc>
          <w:tcPr>
            <w:tcW w:type="dxa" w:w="1274"/>
            <w:tcBorders/>
            <w:tcMar>
              <w:start w:w="0" w:type="dxa"/>
              <w:end w:w="0" w:type="dxa"/>
            </w:tcMar>
          </w:tcPr>
          <w:p>
            <w:pPr>
              <w:autoSpaceDN w:val="0"/>
              <w:autoSpaceDE w:val="0"/>
              <w:widowControl/>
              <w:spacing w:line="200" w:lineRule="exact" w:before="40" w:after="0"/>
              <w:ind w:left="0" w:right="2" w:firstLine="0"/>
              <w:jc w:val="right"/>
            </w:pPr>
            <w:r>
              <w:rPr>
                <w:rFonts w:ascii="黑体" w:hAnsi="黑体" w:eastAsia="黑体"/>
                <w:b w:val="0"/>
                <w:i w:val="0"/>
                <w:color w:val="000000"/>
                <w:sz w:val="20"/>
              </w:rPr>
              <w:t>差异</w:t>
            </w:r>
          </w:p>
        </w:tc>
      </w:tr>
      <w:tr>
        <w:trPr>
          <w:trHeight w:hRule="exact" w:val="380"/>
        </w:trPr>
        <w:tc>
          <w:tcPr>
            <w:tcW w:type="dxa" w:w="1805"/>
            <w:vMerge/>
            <w:tcBorders>
              <w:top w:sz="3.2000000000000455" w:val="single" w:color="#000000"/>
            </w:tcBorders>
          </w:tcPr>
          <w:p/>
        </w:tc>
        <w:tc>
          <w:tcPr>
            <w:tcW w:type="dxa" w:w="1422"/>
            <w:tcBorders/>
            <w:tcMar>
              <w:start w:w="0" w:type="dxa"/>
              <w:end w:w="0" w:type="dxa"/>
            </w:tcMar>
          </w:tcPr>
          <w:p>
            <w:pPr>
              <w:autoSpaceDN w:val="0"/>
              <w:autoSpaceDE w:val="0"/>
              <w:widowControl/>
              <w:spacing w:line="233" w:lineRule="auto" w:before="158" w:after="0"/>
              <w:ind w:left="0" w:right="0" w:firstLine="0"/>
              <w:jc w:val="center"/>
            </w:pPr>
            <w:r>
              <w:rPr>
                <w:rFonts w:ascii="Arial" w:hAnsi="Arial" w:eastAsia="Arial"/>
                <w:b w:val="0"/>
                <w:i w:val="0"/>
                <w:color w:val="000000"/>
                <w:sz w:val="20"/>
              </w:rPr>
              <w:t xml:space="preserve">151,306,975 </w:t>
            </w:r>
          </w:p>
        </w:tc>
        <w:tc>
          <w:tcPr>
            <w:tcW w:type="dxa" w:w="1468"/>
            <w:tcBorders/>
            <w:tcMar>
              <w:start w:w="0" w:type="dxa"/>
              <w:end w:w="0" w:type="dxa"/>
            </w:tcMar>
          </w:tcPr>
          <w:p>
            <w:pPr>
              <w:autoSpaceDN w:val="0"/>
              <w:autoSpaceDE w:val="0"/>
              <w:widowControl/>
              <w:spacing w:line="233" w:lineRule="auto" w:before="158" w:after="0"/>
              <w:ind w:left="0" w:right="0" w:firstLine="0"/>
              <w:jc w:val="center"/>
            </w:pPr>
            <w:r>
              <w:rPr>
                <w:rFonts w:ascii="Arial" w:hAnsi="Arial" w:eastAsia="Arial"/>
                <w:b w:val="0"/>
                <w:i w:val="0"/>
                <w:color w:val="000000"/>
                <w:sz w:val="20"/>
              </w:rPr>
              <w:t xml:space="preserve">605,227,892 </w:t>
            </w:r>
          </w:p>
        </w:tc>
        <w:tc>
          <w:tcPr>
            <w:tcW w:type="dxa" w:w="2666"/>
            <w:gridSpan w:val="2"/>
            <w:tcBorders/>
            <w:tcMar>
              <w:start w:w="0" w:type="dxa"/>
              <w:end w:w="0" w:type="dxa"/>
            </w:tcMar>
            <w:tcMar>
              <w:start w:w="0" w:type="dxa"/>
              <w:end w:w="0" w:type="dxa"/>
            </w:tcMar>
          </w:tcPr>
          <w:p>
            <w:pPr>
              <w:autoSpaceDN w:val="0"/>
              <w:autoSpaceDE w:val="0"/>
              <w:widowControl/>
              <w:spacing w:line="233" w:lineRule="auto" w:before="158" w:after="0"/>
              <w:ind w:left="248" w:right="0" w:firstLine="0"/>
              <w:jc w:val="left"/>
            </w:pPr>
            <w:r>
              <w:rPr>
                <w:rFonts w:ascii="Arial" w:hAnsi="Arial" w:eastAsia="Arial"/>
                <w:b w:val="0"/>
                <w:i w:val="0"/>
                <w:color w:val="000000"/>
                <w:sz w:val="20"/>
              </w:rPr>
              <w:t>81,025,382  324,101,519</w:t>
            </w:r>
          </w:p>
        </w:tc>
      </w:tr>
      <w:tr>
        <w:trPr>
          <w:trHeight w:hRule="exact" w:val="260"/>
        </w:trPr>
        <w:tc>
          <w:tcPr>
            <w:tcW w:type="dxa" w:w="2978"/>
            <w:tcBorders/>
            <w:tcMar>
              <w:start w:w="0" w:type="dxa"/>
              <w:end w:w="0" w:type="dxa"/>
            </w:tcMar>
          </w:tcPr>
          <w:p>
            <w:pPr>
              <w:autoSpaceDN w:val="0"/>
              <w:autoSpaceDE w:val="0"/>
              <w:widowControl/>
              <w:spacing w:line="222" w:lineRule="exact" w:before="38" w:after="0"/>
              <w:ind w:left="400" w:right="0" w:firstLine="0"/>
              <w:jc w:val="left"/>
            </w:pPr>
            <w:r>
              <w:rPr>
                <w:rFonts w:ascii="Arial" w:hAnsi="Arial" w:eastAsia="Arial"/>
                <w:b w:val="0"/>
                <w:i w:val="0"/>
                <w:color w:val="000000"/>
                <w:sz w:val="20"/>
              </w:rPr>
              <w:t>-</w:t>
            </w:r>
            <w:r>
              <w:rPr>
                <w:rFonts w:ascii="黑体" w:hAnsi="黑体" w:eastAsia="黑体"/>
                <w:b w:val="0"/>
                <w:i w:val="0"/>
                <w:color w:val="000000"/>
                <w:sz w:val="20"/>
              </w:rPr>
              <w:t>其他权益工具投资</w:t>
            </w:r>
          </w:p>
        </w:tc>
        <w:tc>
          <w:tcPr>
            <w:tcW w:type="dxa" w:w="1422"/>
            <w:tcBorders/>
            <w:tcMar>
              <w:start w:w="0" w:type="dxa"/>
              <w:end w:w="0" w:type="dxa"/>
            </w:tcMar>
          </w:tcPr>
          <w:p>
            <w:pPr>
              <w:autoSpaceDN w:val="0"/>
              <w:autoSpaceDE w:val="0"/>
              <w:widowControl/>
              <w:spacing w:line="233" w:lineRule="auto" w:before="38" w:after="0"/>
              <w:ind w:left="244" w:right="0" w:firstLine="0"/>
              <w:jc w:val="left"/>
            </w:pPr>
            <w:r>
              <w:rPr>
                <w:rFonts w:ascii="Arial" w:hAnsi="Arial" w:eastAsia="Arial"/>
                <w:b w:val="0"/>
                <w:i w:val="0"/>
                <w:color w:val="000000"/>
                <w:sz w:val="20"/>
              </w:rPr>
              <w:t xml:space="preserve">45,515,345 </w:t>
            </w:r>
          </w:p>
        </w:tc>
        <w:tc>
          <w:tcPr>
            <w:tcW w:type="dxa" w:w="1468"/>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182,061,380 </w:t>
            </w:r>
          </w:p>
        </w:tc>
        <w:tc>
          <w:tcPr>
            <w:tcW w:type="dxa" w:w="2666"/>
            <w:gridSpan w:val="2"/>
            <w:tcBorders/>
            <w:tcMar>
              <w:start w:w="0" w:type="dxa"/>
              <w:end w:w="0" w:type="dxa"/>
            </w:tcMar>
            <w:tcMar>
              <w:start w:w="0" w:type="dxa"/>
              <w:end w:w="0" w:type="dxa"/>
            </w:tcMar>
          </w:tcPr>
          <w:p>
            <w:pPr>
              <w:autoSpaceDN w:val="0"/>
              <w:autoSpaceDE w:val="0"/>
              <w:widowControl/>
              <w:spacing w:line="233" w:lineRule="auto" w:before="38" w:after="0"/>
              <w:ind w:left="248" w:right="0" w:firstLine="0"/>
              <w:jc w:val="left"/>
            </w:pPr>
            <w:r>
              <w:rPr>
                <w:rFonts w:ascii="Arial" w:hAnsi="Arial" w:eastAsia="Arial"/>
                <w:b w:val="0"/>
                <w:i w:val="0"/>
                <w:color w:val="000000"/>
                <w:sz w:val="20"/>
              </w:rPr>
              <w:t>40,114,691  160,458,764</w:t>
            </w:r>
          </w:p>
        </w:tc>
      </w:tr>
      <w:tr>
        <w:trPr>
          <w:trHeight w:hRule="exact" w:val="260"/>
        </w:trPr>
        <w:tc>
          <w:tcPr>
            <w:tcW w:type="dxa" w:w="2978"/>
            <w:tcBorders/>
            <w:tcMar>
              <w:start w:w="0" w:type="dxa"/>
              <w:end w:w="0" w:type="dxa"/>
            </w:tcMar>
          </w:tcPr>
          <w:p>
            <w:pPr>
              <w:autoSpaceDN w:val="0"/>
              <w:autoSpaceDE w:val="0"/>
              <w:widowControl/>
              <w:spacing w:line="222" w:lineRule="exact" w:before="38" w:after="0"/>
              <w:ind w:left="400" w:right="0" w:firstLine="0"/>
              <w:jc w:val="left"/>
            </w:pPr>
            <w:r>
              <w:rPr>
                <w:rFonts w:ascii="Arial" w:hAnsi="Arial" w:eastAsia="Arial"/>
                <w:b w:val="0"/>
                <w:i w:val="0"/>
                <w:color w:val="000000"/>
                <w:sz w:val="20"/>
              </w:rPr>
              <w:t>-</w:t>
            </w:r>
            <w:r>
              <w:rPr>
                <w:rFonts w:ascii="黑体" w:hAnsi="黑体" w:eastAsia="黑体"/>
                <w:b w:val="0"/>
                <w:i w:val="0"/>
                <w:color w:val="000000"/>
                <w:sz w:val="20"/>
              </w:rPr>
              <w:t>其他债权投资</w:t>
            </w:r>
          </w:p>
        </w:tc>
        <w:tc>
          <w:tcPr>
            <w:tcW w:type="dxa" w:w="1422"/>
            <w:tcBorders/>
            <w:tcMar>
              <w:start w:w="0" w:type="dxa"/>
              <w:end w:w="0" w:type="dxa"/>
            </w:tcMar>
          </w:tcPr>
          <w:p>
            <w:pPr>
              <w:autoSpaceDN w:val="0"/>
              <w:autoSpaceDE w:val="0"/>
              <w:widowControl/>
              <w:spacing w:line="233" w:lineRule="auto" w:before="38" w:after="0"/>
              <w:ind w:left="244" w:right="0" w:firstLine="0"/>
              <w:jc w:val="left"/>
            </w:pPr>
            <w:r>
              <w:rPr>
                <w:rFonts w:ascii="Arial" w:hAnsi="Arial" w:eastAsia="Arial"/>
                <w:b w:val="0"/>
                <w:i w:val="0"/>
                <w:color w:val="000000"/>
                <w:sz w:val="20"/>
              </w:rPr>
              <w:t xml:space="preserve">39,722,838 </w:t>
            </w:r>
          </w:p>
        </w:tc>
        <w:tc>
          <w:tcPr>
            <w:tcW w:type="dxa" w:w="1468"/>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158,891,344 </w:t>
            </w:r>
          </w:p>
        </w:tc>
        <w:tc>
          <w:tcPr>
            <w:tcW w:type="dxa" w:w="2666"/>
            <w:gridSpan w:val="2"/>
            <w:tcBorders/>
            <w:tcMar>
              <w:start w:w="0" w:type="dxa"/>
              <w:end w:w="0" w:type="dxa"/>
            </w:tcMar>
            <w:tcMar>
              <w:start w:w="0" w:type="dxa"/>
              <w:end w:w="0" w:type="dxa"/>
            </w:tcMar>
          </w:tcPr>
          <w:p>
            <w:pPr>
              <w:autoSpaceDN w:val="0"/>
              <w:autoSpaceDE w:val="0"/>
              <w:widowControl/>
              <w:spacing w:line="233" w:lineRule="auto" w:before="38" w:after="0"/>
              <w:ind w:left="248" w:right="0" w:firstLine="0"/>
              <w:jc w:val="left"/>
            </w:pPr>
            <w:r>
              <w:rPr>
                <w:rFonts w:ascii="Arial" w:hAnsi="Arial" w:eastAsia="Arial"/>
                <w:b w:val="0"/>
                <w:i w:val="0"/>
                <w:color w:val="000000"/>
                <w:sz w:val="20"/>
              </w:rPr>
              <w:t>39,373,560  157,494,231</w:t>
            </w:r>
          </w:p>
        </w:tc>
      </w:tr>
      <w:tr>
        <w:trPr>
          <w:trHeight w:hRule="exact" w:val="260"/>
        </w:trPr>
        <w:tc>
          <w:tcPr>
            <w:tcW w:type="dxa" w:w="2978"/>
            <w:tcBorders/>
            <w:tcMar>
              <w:start w:w="0" w:type="dxa"/>
              <w:end w:w="0" w:type="dxa"/>
            </w:tcMar>
          </w:tcPr>
          <w:p>
            <w:pPr>
              <w:autoSpaceDN w:val="0"/>
              <w:autoSpaceDE w:val="0"/>
              <w:widowControl/>
              <w:spacing w:line="222" w:lineRule="exact" w:before="38" w:after="0"/>
              <w:ind w:left="400" w:right="0" w:firstLine="0"/>
              <w:jc w:val="left"/>
            </w:pPr>
            <w:r>
              <w:rPr>
                <w:rFonts w:ascii="Arial" w:hAnsi="Arial" w:eastAsia="Arial"/>
                <w:b w:val="0"/>
                <w:i w:val="0"/>
                <w:color w:val="000000"/>
                <w:sz w:val="20"/>
              </w:rPr>
              <w:t>-</w:t>
            </w:r>
            <w:r>
              <w:rPr>
                <w:rFonts w:ascii="黑体" w:hAnsi="黑体" w:eastAsia="黑体"/>
                <w:b w:val="0"/>
                <w:i w:val="0"/>
                <w:color w:val="000000"/>
                <w:sz w:val="20"/>
              </w:rPr>
              <w:t>衍生金融工具</w:t>
            </w:r>
          </w:p>
        </w:tc>
        <w:tc>
          <w:tcPr>
            <w:tcW w:type="dxa" w:w="1422"/>
            <w:tcBorders/>
            <w:tcMar>
              <w:start w:w="0" w:type="dxa"/>
              <w:end w:w="0" w:type="dxa"/>
            </w:tcMar>
          </w:tcPr>
          <w:p>
            <w:pPr>
              <w:autoSpaceDN w:val="0"/>
              <w:autoSpaceDE w:val="0"/>
              <w:widowControl/>
              <w:spacing w:line="233" w:lineRule="auto" w:before="38" w:after="0"/>
              <w:ind w:left="0" w:right="178" w:firstLine="0"/>
              <w:jc w:val="right"/>
            </w:pPr>
            <w:r>
              <w:rPr>
                <w:rFonts w:ascii="Arial" w:hAnsi="Arial" w:eastAsia="Arial"/>
                <w:b w:val="0"/>
                <w:i w:val="0"/>
                <w:color w:val="000000"/>
                <w:sz w:val="20"/>
              </w:rPr>
              <w:t>7,933</w:t>
            </w:r>
          </w:p>
        </w:tc>
        <w:tc>
          <w:tcPr>
            <w:tcW w:type="dxa" w:w="1468"/>
            <w:tcBorders/>
            <w:tcMar>
              <w:start w:w="0" w:type="dxa"/>
              <w:end w:w="0" w:type="dxa"/>
            </w:tcMar>
          </w:tcPr>
          <w:p>
            <w:pPr>
              <w:autoSpaceDN w:val="0"/>
              <w:autoSpaceDE w:val="0"/>
              <w:widowControl/>
              <w:spacing w:line="233" w:lineRule="auto" w:before="38" w:after="0"/>
              <w:ind w:left="0" w:right="116" w:firstLine="0"/>
              <w:jc w:val="right"/>
            </w:pPr>
            <w:r>
              <w:rPr>
                <w:rFonts w:ascii="Arial" w:hAnsi="Arial" w:eastAsia="Arial"/>
                <w:b w:val="0"/>
                <w:i w:val="0"/>
                <w:color w:val="000000"/>
                <w:sz w:val="20"/>
              </w:rPr>
              <w:t xml:space="preserve">31,732 </w:t>
            </w:r>
          </w:p>
        </w:tc>
        <w:tc>
          <w:tcPr>
            <w:tcW w:type="dxa" w:w="1392"/>
            <w:tcBorders/>
            <w:tcMar>
              <w:start w:w="0" w:type="dxa"/>
              <w:end w:w="0" w:type="dxa"/>
            </w:tcMar>
          </w:tcPr>
          <w:p>
            <w:pPr>
              <w:autoSpaceDN w:val="0"/>
              <w:autoSpaceDE w:val="0"/>
              <w:widowControl/>
              <w:spacing w:line="233" w:lineRule="auto" w:before="38" w:after="0"/>
              <w:ind w:left="0" w:right="34" w:firstLine="0"/>
              <w:jc w:val="right"/>
            </w:pPr>
            <w:r>
              <w:rPr>
                <w:rFonts w:ascii="Arial" w:hAnsi="Arial" w:eastAsia="Arial"/>
                <w:b w:val="0"/>
                <w:i w:val="0"/>
                <w:color w:val="000000"/>
                <w:sz w:val="20"/>
              </w:rPr>
              <w:t xml:space="preserve">7,933 </w:t>
            </w:r>
          </w:p>
        </w:tc>
        <w:tc>
          <w:tcPr>
            <w:tcW w:type="dxa" w:w="1274"/>
            <w:tcBorders/>
            <w:tcMar>
              <w:start w:w="0" w:type="dxa"/>
              <w:end w:w="0" w:type="dxa"/>
            </w:tcMar>
          </w:tcPr>
          <w:p>
            <w:pPr>
              <w:autoSpaceDN w:val="0"/>
              <w:autoSpaceDE w:val="0"/>
              <w:widowControl/>
              <w:spacing w:line="233" w:lineRule="auto" w:before="38" w:after="0"/>
              <w:ind w:left="0" w:right="4" w:firstLine="0"/>
              <w:jc w:val="right"/>
            </w:pPr>
            <w:r>
              <w:rPr>
                <w:rFonts w:ascii="Arial" w:hAnsi="Arial" w:eastAsia="Arial"/>
                <w:b w:val="0"/>
                <w:i w:val="0"/>
                <w:color w:val="000000"/>
                <w:sz w:val="20"/>
              </w:rPr>
              <w:t>31,732</w:t>
            </w:r>
          </w:p>
        </w:tc>
      </w:tr>
      <w:tr>
        <w:trPr>
          <w:trHeight w:hRule="exact" w:val="260"/>
        </w:trPr>
        <w:tc>
          <w:tcPr>
            <w:tcW w:type="dxa" w:w="2978"/>
            <w:tcBorders/>
            <w:tcMar>
              <w:start w:w="0" w:type="dxa"/>
              <w:end w:w="0" w:type="dxa"/>
            </w:tcMar>
          </w:tcPr>
          <w:p>
            <w:pPr>
              <w:autoSpaceDN w:val="0"/>
              <w:autoSpaceDE w:val="0"/>
              <w:widowControl/>
              <w:spacing w:line="222" w:lineRule="exact" w:before="38" w:after="0"/>
              <w:ind w:left="400" w:right="0" w:firstLine="0"/>
              <w:jc w:val="left"/>
            </w:pPr>
            <w:r>
              <w:rPr>
                <w:rFonts w:ascii="Arial" w:hAnsi="Arial" w:eastAsia="Arial"/>
                <w:b w:val="0"/>
                <w:i w:val="0"/>
                <w:color w:val="000000"/>
                <w:sz w:val="20"/>
              </w:rPr>
              <w:t>-</w:t>
            </w:r>
            <w:r>
              <w:rPr>
                <w:rFonts w:ascii="黑体" w:hAnsi="黑体" w:eastAsia="黑体"/>
                <w:b w:val="0"/>
                <w:i w:val="0"/>
                <w:color w:val="000000"/>
                <w:sz w:val="20"/>
              </w:rPr>
              <w:t>交易性金融负债</w:t>
            </w:r>
          </w:p>
        </w:tc>
        <w:tc>
          <w:tcPr>
            <w:tcW w:type="dxa" w:w="1422"/>
            <w:tcBorders/>
            <w:tcMar>
              <w:start w:w="0" w:type="dxa"/>
              <w:end w:w="0" w:type="dxa"/>
            </w:tcMar>
          </w:tcPr>
          <w:p>
            <w:pPr>
              <w:autoSpaceDN w:val="0"/>
              <w:autoSpaceDE w:val="0"/>
              <w:widowControl/>
              <w:spacing w:line="233" w:lineRule="auto" w:before="38" w:after="0"/>
              <w:ind w:left="354" w:right="0" w:firstLine="0"/>
              <w:jc w:val="left"/>
            </w:pPr>
            <w:r>
              <w:rPr>
                <w:rFonts w:ascii="Arial" w:hAnsi="Arial" w:eastAsia="Arial"/>
                <w:b w:val="0"/>
                <w:i w:val="0"/>
                <w:color w:val="000000"/>
                <w:sz w:val="20"/>
              </w:rPr>
              <w:t>8,805,853</w:t>
            </w:r>
          </w:p>
        </w:tc>
        <w:tc>
          <w:tcPr>
            <w:tcW w:type="dxa" w:w="1468"/>
            <w:tcBorders/>
            <w:tcMar>
              <w:start w:w="0" w:type="dxa"/>
              <w:end w:w="0" w:type="dxa"/>
            </w:tcMar>
          </w:tcPr>
          <w:p>
            <w:pPr>
              <w:autoSpaceDN w:val="0"/>
              <w:autoSpaceDE w:val="0"/>
              <w:widowControl/>
              <w:spacing w:line="233" w:lineRule="auto" w:before="38" w:after="0"/>
              <w:ind w:left="296" w:right="0" w:firstLine="0"/>
              <w:jc w:val="left"/>
            </w:pPr>
            <w:r>
              <w:rPr>
                <w:rFonts w:ascii="Arial" w:hAnsi="Arial" w:eastAsia="Arial"/>
                <w:b w:val="0"/>
                <w:i w:val="0"/>
                <w:color w:val="000000"/>
                <w:sz w:val="20"/>
              </w:rPr>
              <w:t xml:space="preserve">35,223,412 </w:t>
            </w:r>
          </w:p>
        </w:tc>
        <w:tc>
          <w:tcPr>
            <w:tcW w:type="dxa" w:w="1392"/>
            <w:tcBorders/>
            <w:tcMar>
              <w:start w:w="0" w:type="dxa"/>
              <w:end w:w="0" w:type="dxa"/>
            </w:tcMar>
          </w:tcPr>
          <w:p>
            <w:pPr>
              <w:autoSpaceDN w:val="0"/>
              <w:autoSpaceDE w:val="0"/>
              <w:widowControl/>
              <w:spacing w:line="233" w:lineRule="auto" w:before="38" w:after="0"/>
              <w:ind w:left="0" w:right="34" w:firstLine="0"/>
              <w:jc w:val="right"/>
            </w:pPr>
            <w:r>
              <w:rPr>
                <w:rFonts w:ascii="Arial" w:hAnsi="Arial" w:eastAsia="Arial"/>
                <w:b w:val="0"/>
                <w:i w:val="0"/>
                <w:color w:val="000000"/>
                <w:sz w:val="20"/>
              </w:rPr>
              <w:t xml:space="preserve">1,473,675 </w:t>
            </w:r>
          </w:p>
        </w:tc>
        <w:tc>
          <w:tcPr>
            <w:tcW w:type="dxa" w:w="1274"/>
            <w:tcBorders/>
            <w:tcMar>
              <w:start w:w="0" w:type="dxa"/>
              <w:end w:w="0" w:type="dxa"/>
            </w:tcMar>
          </w:tcPr>
          <w:p>
            <w:pPr>
              <w:autoSpaceDN w:val="0"/>
              <w:autoSpaceDE w:val="0"/>
              <w:widowControl/>
              <w:spacing w:line="233" w:lineRule="auto" w:before="38" w:after="0"/>
              <w:ind w:left="0" w:right="4" w:firstLine="0"/>
              <w:jc w:val="right"/>
            </w:pPr>
            <w:r>
              <w:rPr>
                <w:rFonts w:ascii="Arial" w:hAnsi="Arial" w:eastAsia="Arial"/>
                <w:b w:val="0"/>
                <w:i w:val="0"/>
                <w:color w:val="000000"/>
                <w:sz w:val="20"/>
              </w:rPr>
              <w:t>5,894,700</w:t>
            </w:r>
          </w:p>
        </w:tc>
      </w:tr>
      <w:tr>
        <w:trPr>
          <w:trHeight w:hRule="exact" w:val="260"/>
        </w:trPr>
        <w:tc>
          <w:tcPr>
            <w:tcW w:type="dxa" w:w="2978"/>
            <w:tcBorders/>
            <w:tcMar>
              <w:start w:w="0" w:type="dxa"/>
              <w:end w:w="0" w:type="dxa"/>
            </w:tcMar>
          </w:tcPr>
          <w:p>
            <w:pPr>
              <w:autoSpaceDN w:val="0"/>
              <w:autoSpaceDE w:val="0"/>
              <w:widowControl/>
              <w:spacing w:line="222" w:lineRule="exact" w:before="38" w:after="0"/>
              <w:ind w:left="400" w:right="0" w:firstLine="0"/>
              <w:jc w:val="left"/>
            </w:pPr>
            <w:r>
              <w:rPr>
                <w:rFonts w:ascii="Arial" w:hAnsi="Arial" w:eastAsia="Arial"/>
                <w:b w:val="0"/>
                <w:i w:val="0"/>
                <w:color w:val="000000"/>
                <w:sz w:val="20"/>
              </w:rPr>
              <w:t>-</w:t>
            </w:r>
            <w:r>
              <w:rPr>
                <w:rFonts w:ascii="黑体" w:hAnsi="黑体" w:eastAsia="黑体"/>
                <w:b w:val="0"/>
                <w:i w:val="0"/>
                <w:color w:val="000000"/>
                <w:sz w:val="20"/>
              </w:rPr>
              <w:t>交易性金融资产</w:t>
            </w:r>
          </w:p>
        </w:tc>
        <w:tc>
          <w:tcPr>
            <w:tcW w:type="dxa" w:w="1422"/>
            <w:tcBorders/>
            <w:tcMar>
              <w:start w:w="0" w:type="dxa"/>
              <w:end w:w="0" w:type="dxa"/>
            </w:tcMar>
          </w:tcPr>
          <w:p>
            <w:pPr>
              <w:autoSpaceDN w:val="0"/>
              <w:autoSpaceDE w:val="0"/>
              <w:widowControl/>
              <w:spacing w:line="233" w:lineRule="auto" w:before="38" w:after="0"/>
              <w:ind w:left="244" w:right="0" w:firstLine="0"/>
              <w:jc w:val="left"/>
            </w:pPr>
            <w:r>
              <w:rPr>
                <w:rFonts w:ascii="Arial" w:hAnsi="Arial" w:eastAsia="Arial"/>
                <w:b w:val="0"/>
                <w:i w:val="0"/>
                <w:color w:val="000000"/>
                <w:sz w:val="20"/>
              </w:rPr>
              <w:t xml:space="preserve">57,255,006 </w:t>
            </w:r>
          </w:p>
        </w:tc>
        <w:tc>
          <w:tcPr>
            <w:tcW w:type="dxa" w:w="1468"/>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229,020,024 </w:t>
            </w:r>
          </w:p>
        </w:tc>
        <w:tc>
          <w:tcPr>
            <w:tcW w:type="dxa" w:w="1392"/>
            <w:tcBorders/>
            <w:tcMar>
              <w:start w:w="0" w:type="dxa"/>
              <w:end w:w="0" w:type="dxa"/>
            </w:tcMar>
          </w:tcPr>
          <w:p>
            <w:pPr>
              <w:autoSpaceDN w:val="0"/>
              <w:autoSpaceDE w:val="0"/>
              <w:widowControl/>
              <w:spacing w:line="233" w:lineRule="auto" w:before="38" w:after="0"/>
              <w:ind w:left="0" w:right="34" w:firstLine="0"/>
              <w:jc w:val="right"/>
            </w:pPr>
            <w:r>
              <w:rPr>
                <w:rFonts w:ascii="Arial" w:hAnsi="Arial" w:eastAsia="Arial"/>
                <w:b w:val="0"/>
                <w:i w:val="0"/>
                <w:color w:val="000000"/>
                <w:sz w:val="20"/>
              </w:rPr>
              <w:t xml:space="preserve">55,523 </w:t>
            </w:r>
          </w:p>
        </w:tc>
        <w:tc>
          <w:tcPr>
            <w:tcW w:type="dxa" w:w="1274"/>
            <w:tcBorders/>
            <w:tcMar>
              <w:start w:w="0" w:type="dxa"/>
              <w:end w:w="0" w:type="dxa"/>
            </w:tcMar>
          </w:tcPr>
          <w:p>
            <w:pPr>
              <w:autoSpaceDN w:val="0"/>
              <w:autoSpaceDE w:val="0"/>
              <w:widowControl/>
              <w:spacing w:line="233" w:lineRule="auto" w:before="38" w:after="0"/>
              <w:ind w:left="0" w:right="4" w:firstLine="0"/>
              <w:jc w:val="right"/>
            </w:pPr>
            <w:r>
              <w:rPr>
                <w:rFonts w:ascii="Arial" w:hAnsi="Arial" w:eastAsia="Arial"/>
                <w:b w:val="0"/>
                <w:i w:val="0"/>
                <w:color w:val="000000"/>
                <w:sz w:val="20"/>
              </w:rPr>
              <w:t>222,092</w:t>
            </w:r>
          </w:p>
        </w:tc>
      </w:tr>
      <w:tr>
        <w:trPr>
          <w:trHeight w:hRule="exact" w:val="260"/>
        </w:trPr>
        <w:tc>
          <w:tcPr>
            <w:tcW w:type="dxa" w:w="2978"/>
            <w:tcBorders/>
            <w:tcMar>
              <w:start w:w="0" w:type="dxa"/>
              <w:end w:w="0" w:type="dxa"/>
            </w:tcMar>
          </w:tcPr>
          <w:p>
            <w:pPr>
              <w:autoSpaceDN w:val="0"/>
              <w:autoSpaceDE w:val="0"/>
              <w:widowControl/>
              <w:spacing w:line="200" w:lineRule="exact" w:before="50" w:after="0"/>
              <w:ind w:left="198" w:right="0" w:firstLine="0"/>
              <w:jc w:val="left"/>
            </w:pPr>
            <w:r>
              <w:rPr>
                <w:rFonts w:ascii="黑体" w:hAnsi="黑体" w:eastAsia="黑体"/>
                <w:b w:val="0"/>
                <w:i w:val="0"/>
                <w:color w:val="000000"/>
                <w:sz w:val="20"/>
              </w:rPr>
              <w:t>可抵扣亏损</w:t>
            </w:r>
          </w:p>
        </w:tc>
        <w:tc>
          <w:tcPr>
            <w:tcW w:type="dxa" w:w="1422"/>
            <w:tcBorders/>
            <w:tcMar>
              <w:start w:w="0" w:type="dxa"/>
              <w:end w:w="0" w:type="dxa"/>
            </w:tcMar>
          </w:tcPr>
          <w:p>
            <w:pPr>
              <w:autoSpaceDN w:val="0"/>
              <w:autoSpaceDE w:val="0"/>
              <w:widowControl/>
              <w:spacing w:line="233" w:lineRule="auto" w:before="38" w:after="0"/>
              <w:ind w:left="244" w:right="0" w:firstLine="0"/>
              <w:jc w:val="left"/>
            </w:pPr>
            <w:r>
              <w:rPr>
                <w:rFonts w:ascii="Arial" w:hAnsi="Arial" w:eastAsia="Arial"/>
                <w:b w:val="0"/>
                <w:i w:val="0"/>
                <w:color w:val="000000"/>
                <w:sz w:val="20"/>
              </w:rPr>
              <w:t xml:space="preserve">22,896,068 </w:t>
            </w:r>
          </w:p>
        </w:tc>
        <w:tc>
          <w:tcPr>
            <w:tcW w:type="dxa" w:w="1468"/>
            <w:tcBorders/>
            <w:tcMar>
              <w:start w:w="0" w:type="dxa"/>
              <w:end w:w="0" w:type="dxa"/>
            </w:tcMar>
          </w:tcPr>
          <w:p>
            <w:pPr>
              <w:autoSpaceDN w:val="0"/>
              <w:autoSpaceDE w:val="0"/>
              <w:widowControl/>
              <w:spacing w:line="233" w:lineRule="auto" w:before="38" w:after="0"/>
              <w:ind w:left="296" w:right="0" w:firstLine="0"/>
              <w:jc w:val="left"/>
            </w:pPr>
            <w:r>
              <w:rPr>
                <w:rFonts w:ascii="Arial" w:hAnsi="Arial" w:eastAsia="Arial"/>
                <w:b w:val="0"/>
                <w:i w:val="0"/>
                <w:color w:val="000000"/>
                <w:sz w:val="20"/>
              </w:rPr>
              <w:t xml:space="preserve">91,584,272 </w:t>
            </w:r>
          </w:p>
        </w:tc>
        <w:tc>
          <w:tcPr>
            <w:tcW w:type="dxa" w:w="2666"/>
            <w:gridSpan w:val="2"/>
            <w:tcBorders/>
            <w:tcMar>
              <w:start w:w="0" w:type="dxa"/>
              <w:end w:w="0" w:type="dxa"/>
            </w:tcMar>
            <w:tcMar>
              <w:start w:w="0" w:type="dxa"/>
              <w:end w:w="0" w:type="dxa"/>
            </w:tcMar>
          </w:tcPr>
          <w:p>
            <w:pPr>
              <w:autoSpaceDN w:val="0"/>
              <w:autoSpaceDE w:val="0"/>
              <w:widowControl/>
              <w:spacing w:line="233" w:lineRule="auto" w:before="38" w:after="0"/>
              <w:ind w:left="248" w:right="0" w:firstLine="0"/>
              <w:jc w:val="left"/>
            </w:pPr>
            <w:r>
              <w:rPr>
                <w:rFonts w:ascii="Arial" w:hAnsi="Arial" w:eastAsia="Arial"/>
                <w:b w:val="0"/>
                <w:i w:val="0"/>
                <w:color w:val="000000"/>
                <w:sz w:val="20"/>
              </w:rPr>
              <w:t>44,377,786  177,511,144</w:t>
            </w:r>
          </w:p>
        </w:tc>
      </w:tr>
      <w:tr>
        <w:trPr>
          <w:trHeight w:hRule="exact" w:val="260"/>
        </w:trPr>
        <w:tc>
          <w:tcPr>
            <w:tcW w:type="dxa" w:w="2978"/>
            <w:tcBorders/>
            <w:tcMar>
              <w:start w:w="0" w:type="dxa"/>
              <w:end w:w="0" w:type="dxa"/>
            </w:tcMar>
          </w:tcPr>
          <w:p>
            <w:pPr>
              <w:autoSpaceDN w:val="0"/>
              <w:autoSpaceDE w:val="0"/>
              <w:widowControl/>
              <w:spacing w:line="198" w:lineRule="exact" w:before="50" w:after="0"/>
              <w:ind w:left="198" w:right="0" w:firstLine="0"/>
              <w:jc w:val="left"/>
            </w:pPr>
            <w:r>
              <w:rPr>
                <w:rFonts w:ascii="黑体" w:hAnsi="黑体" w:eastAsia="黑体"/>
                <w:b w:val="0"/>
                <w:i w:val="0"/>
                <w:color w:val="000000"/>
                <w:sz w:val="20"/>
              </w:rPr>
              <w:t>信用资产减值准备</w:t>
            </w:r>
          </w:p>
        </w:tc>
        <w:tc>
          <w:tcPr>
            <w:tcW w:type="dxa" w:w="1422"/>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129,350,493 </w:t>
            </w:r>
          </w:p>
        </w:tc>
        <w:tc>
          <w:tcPr>
            <w:tcW w:type="dxa" w:w="1468"/>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517,401,972 </w:t>
            </w:r>
          </w:p>
        </w:tc>
        <w:tc>
          <w:tcPr>
            <w:tcW w:type="dxa" w:w="2666"/>
            <w:gridSpan w:val="2"/>
            <w:tcBorders/>
            <w:tcMar>
              <w:start w:w="0" w:type="dxa"/>
              <w:end w:w="0" w:type="dxa"/>
            </w:tcMar>
            <w:tcMar>
              <w:start w:w="0" w:type="dxa"/>
              <w:end w:w="0" w:type="dxa"/>
            </w:tcMar>
          </w:tcPr>
          <w:p>
            <w:pPr>
              <w:autoSpaceDN w:val="0"/>
              <w:autoSpaceDE w:val="0"/>
              <w:widowControl/>
              <w:spacing w:line="233" w:lineRule="auto" w:before="38" w:after="0"/>
              <w:ind w:left="136" w:right="0" w:firstLine="0"/>
              <w:jc w:val="left"/>
            </w:pPr>
            <w:r>
              <w:rPr>
                <w:rFonts w:ascii="Arial" w:hAnsi="Arial" w:eastAsia="Arial"/>
                <w:b w:val="0"/>
                <w:i w:val="0"/>
                <w:color w:val="000000"/>
                <w:sz w:val="20"/>
              </w:rPr>
              <w:t>128,478,706  513,914,824</w:t>
            </w:r>
          </w:p>
        </w:tc>
      </w:tr>
      <w:tr>
        <w:trPr>
          <w:trHeight w:hRule="exact" w:val="260"/>
        </w:trPr>
        <w:tc>
          <w:tcPr>
            <w:tcW w:type="dxa" w:w="2978"/>
            <w:tcBorders/>
            <w:tcMar>
              <w:start w:w="0" w:type="dxa"/>
              <w:end w:w="0" w:type="dxa"/>
            </w:tcMar>
          </w:tcPr>
          <w:p>
            <w:pPr>
              <w:autoSpaceDN w:val="0"/>
              <w:autoSpaceDE w:val="0"/>
              <w:widowControl/>
              <w:spacing w:line="200" w:lineRule="exact" w:before="48" w:after="0"/>
              <w:ind w:left="0" w:right="0" w:firstLine="0"/>
              <w:jc w:val="center"/>
            </w:pPr>
            <w:r>
              <w:rPr>
                <w:rFonts w:ascii="黑体" w:hAnsi="黑体" w:eastAsia="黑体"/>
                <w:b w:val="0"/>
                <w:i w:val="0"/>
                <w:color w:val="000000"/>
                <w:sz w:val="20"/>
              </w:rPr>
              <w:t>已计提尚未支付的工资及奖金</w:t>
            </w:r>
          </w:p>
        </w:tc>
        <w:tc>
          <w:tcPr>
            <w:tcW w:type="dxa" w:w="1422"/>
            <w:tcBorders/>
            <w:tcMar>
              <w:start w:w="0" w:type="dxa"/>
              <w:end w:w="0" w:type="dxa"/>
            </w:tcMar>
          </w:tcPr>
          <w:p>
            <w:pPr>
              <w:autoSpaceDN w:val="0"/>
              <w:autoSpaceDE w:val="0"/>
              <w:widowControl/>
              <w:spacing w:line="233" w:lineRule="auto" w:before="38" w:after="0"/>
              <w:ind w:left="354" w:right="0" w:firstLine="0"/>
              <w:jc w:val="left"/>
            </w:pPr>
            <w:r>
              <w:rPr>
                <w:rFonts w:ascii="Arial" w:hAnsi="Arial" w:eastAsia="Arial"/>
                <w:b w:val="0"/>
                <w:i w:val="0"/>
                <w:color w:val="000000"/>
                <w:sz w:val="20"/>
              </w:rPr>
              <w:t xml:space="preserve">4,136,848 </w:t>
            </w:r>
          </w:p>
        </w:tc>
        <w:tc>
          <w:tcPr>
            <w:tcW w:type="dxa" w:w="1468"/>
            <w:tcBorders/>
            <w:tcMar>
              <w:start w:w="0" w:type="dxa"/>
              <w:end w:w="0" w:type="dxa"/>
            </w:tcMar>
          </w:tcPr>
          <w:p>
            <w:pPr>
              <w:autoSpaceDN w:val="0"/>
              <w:autoSpaceDE w:val="0"/>
              <w:widowControl/>
              <w:spacing w:line="233" w:lineRule="auto" w:before="38" w:after="0"/>
              <w:ind w:left="296" w:right="0" w:firstLine="0"/>
              <w:jc w:val="left"/>
            </w:pPr>
            <w:r>
              <w:rPr>
                <w:rFonts w:ascii="Arial" w:hAnsi="Arial" w:eastAsia="Arial"/>
                <w:b w:val="0"/>
                <w:i w:val="0"/>
                <w:color w:val="000000"/>
                <w:sz w:val="20"/>
              </w:rPr>
              <w:t xml:space="preserve">16,547,392 </w:t>
            </w:r>
          </w:p>
        </w:tc>
        <w:tc>
          <w:tcPr>
            <w:tcW w:type="dxa" w:w="1392"/>
            <w:tcBorders/>
            <w:tcMar>
              <w:start w:w="0" w:type="dxa"/>
              <w:end w:w="0" w:type="dxa"/>
            </w:tcMar>
          </w:tcPr>
          <w:p>
            <w:pPr>
              <w:autoSpaceDN w:val="0"/>
              <w:autoSpaceDE w:val="0"/>
              <w:widowControl/>
              <w:spacing w:line="233" w:lineRule="auto" w:before="38" w:after="0"/>
              <w:ind w:left="0" w:right="34" w:firstLine="0"/>
              <w:jc w:val="right"/>
            </w:pPr>
            <w:r>
              <w:rPr>
                <w:rFonts w:ascii="Arial" w:hAnsi="Arial" w:eastAsia="Arial"/>
                <w:b w:val="0"/>
                <w:i w:val="0"/>
                <w:color w:val="000000"/>
                <w:sz w:val="20"/>
              </w:rPr>
              <w:t xml:space="preserve">7,639,097 </w:t>
            </w:r>
          </w:p>
        </w:tc>
        <w:tc>
          <w:tcPr>
            <w:tcW w:type="dxa" w:w="1274"/>
            <w:tcBorders/>
            <w:tcMar>
              <w:start w:w="0" w:type="dxa"/>
              <w:end w:w="0" w:type="dxa"/>
            </w:tcMar>
          </w:tcPr>
          <w:p>
            <w:pPr>
              <w:autoSpaceDN w:val="0"/>
              <w:autoSpaceDE w:val="0"/>
              <w:widowControl/>
              <w:spacing w:line="233" w:lineRule="auto" w:before="38" w:after="0"/>
              <w:ind w:left="272" w:right="0" w:firstLine="0"/>
              <w:jc w:val="left"/>
            </w:pPr>
            <w:r>
              <w:rPr>
                <w:rFonts w:ascii="Arial" w:hAnsi="Arial" w:eastAsia="Arial"/>
                <w:b w:val="0"/>
                <w:i w:val="0"/>
                <w:color w:val="000000"/>
                <w:sz w:val="20"/>
              </w:rPr>
              <w:t>30,556,388</w:t>
            </w:r>
          </w:p>
        </w:tc>
      </w:tr>
      <w:tr>
        <w:trPr>
          <w:trHeight w:hRule="exact" w:val="240"/>
        </w:trPr>
        <w:tc>
          <w:tcPr>
            <w:tcW w:type="dxa" w:w="2978"/>
            <w:tcBorders/>
            <w:tcMar>
              <w:start w:w="0" w:type="dxa"/>
              <w:end w:w="0" w:type="dxa"/>
            </w:tcMar>
          </w:tcPr>
          <w:p>
            <w:pPr>
              <w:autoSpaceDN w:val="0"/>
              <w:autoSpaceDE w:val="0"/>
              <w:widowControl/>
              <w:spacing w:line="198" w:lineRule="exact" w:before="42" w:after="0"/>
              <w:ind w:left="198" w:right="0" w:firstLine="0"/>
              <w:jc w:val="left"/>
            </w:pPr>
            <w:r>
              <w:rPr>
                <w:rFonts w:ascii="黑体" w:hAnsi="黑体" w:eastAsia="黑体"/>
                <w:b w:val="0"/>
                <w:i w:val="0"/>
                <w:color w:val="000000"/>
                <w:sz w:val="20"/>
              </w:rPr>
              <w:t>租赁负债</w:t>
            </w:r>
          </w:p>
        </w:tc>
        <w:tc>
          <w:tcPr>
            <w:tcW w:type="dxa" w:w="1422"/>
            <w:vMerge w:val="restart"/>
            <w:tcBorders/>
            <w:tcMar>
              <w:start w:w="0" w:type="dxa"/>
              <w:end w:w="0" w:type="dxa"/>
            </w:tcMar>
            <w:tcMar>
              <w:start w:w="0" w:type="dxa"/>
              <w:end w:w="0" w:type="dxa"/>
            </w:tcMar>
          </w:tcPr>
          <w:p>
            <w:pPr>
              <w:autoSpaceDN w:val="0"/>
              <w:autoSpaceDE w:val="0"/>
              <w:widowControl/>
              <w:spacing w:line="233" w:lineRule="auto" w:before="50" w:after="0"/>
              <w:ind w:left="244" w:right="0" w:firstLine="0"/>
              <w:jc w:val="left"/>
            </w:pPr>
            <w:r>
              <w:rPr>
                <w:rFonts w:ascii="Arial" w:hAnsi="Arial" w:eastAsia="Arial"/>
                <w:b w:val="0"/>
                <w:i w:val="0"/>
                <w:color w:val="000000"/>
                <w:sz w:val="20"/>
              </w:rPr>
              <w:t xml:space="preserve">62,908,996 </w:t>
            </w:r>
          </w:p>
        </w:tc>
        <w:tc>
          <w:tcPr>
            <w:tcW w:type="dxa" w:w="1468"/>
            <w:vMerge w:val="restart"/>
            <w:tcBorders/>
            <w:tcMar>
              <w:start w:w="0" w:type="dxa"/>
              <w:end w:w="0" w:type="dxa"/>
            </w:tcMar>
            <w:tcMar>
              <w:start w:w="0" w:type="dxa"/>
              <w:end w:w="0" w:type="dxa"/>
            </w:tcMar>
          </w:tcPr>
          <w:p>
            <w:pPr>
              <w:autoSpaceDN w:val="0"/>
              <w:autoSpaceDE w:val="0"/>
              <w:widowControl/>
              <w:spacing w:line="233" w:lineRule="auto" w:before="50" w:after="0"/>
              <w:ind w:left="0" w:right="0" w:firstLine="0"/>
              <w:jc w:val="center"/>
            </w:pPr>
            <w:r>
              <w:rPr>
                <w:rFonts w:ascii="Arial" w:hAnsi="Arial" w:eastAsia="Arial"/>
                <w:b w:val="0"/>
                <w:i w:val="0"/>
                <w:color w:val="000000"/>
                <w:sz w:val="20"/>
              </w:rPr>
              <w:t xml:space="preserve">251,635,984 </w:t>
            </w:r>
          </w:p>
        </w:tc>
        <w:tc>
          <w:tcPr>
            <w:tcW w:type="dxa" w:w="2666"/>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50" w:after="0"/>
              <w:ind w:left="248" w:right="0" w:firstLine="0"/>
              <w:jc w:val="left"/>
            </w:pPr>
            <w:r>
              <w:rPr>
                <w:rFonts w:ascii="Arial" w:hAnsi="Arial" w:eastAsia="Arial"/>
                <w:b w:val="0"/>
                <w:i w:val="0"/>
                <w:color w:val="000000"/>
                <w:sz w:val="20"/>
              </w:rPr>
              <w:t>78,823,528  315,294,112</w:t>
            </w:r>
          </w:p>
        </w:tc>
      </w:tr>
      <w:tr>
        <w:trPr>
          <w:trHeight w:hRule="exact" w:val="52"/>
        </w:trPr>
        <w:tc>
          <w:tcPr>
            <w:tcW w:type="dxa" w:w="2978"/>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00" w:lineRule="exact" w:before="66" w:after="0"/>
              <w:ind w:left="198" w:right="0" w:firstLine="0"/>
              <w:jc w:val="left"/>
            </w:pPr>
            <w:r>
              <w:rPr>
                <w:rFonts w:ascii="黑体" w:hAnsi="黑体" w:eastAsia="黑体"/>
                <w:b w:val="0"/>
                <w:i w:val="0"/>
                <w:color w:val="000000"/>
                <w:sz w:val="20"/>
              </w:rPr>
              <w:t>其他</w:t>
            </w:r>
          </w:p>
        </w:tc>
        <w:tc>
          <w:tcPr>
            <w:tcW w:type="dxa" w:w="1805"/>
            <w:vMerge/>
            <w:tcBorders/>
          </w:tcPr>
          <w:p/>
        </w:tc>
        <w:tc>
          <w:tcPr>
            <w:tcW w:type="dxa" w:w="1805"/>
            <w:vMerge/>
            <w:tcBorders/>
          </w:tcPr>
          <w:p/>
        </w:tc>
        <w:tc>
          <w:tcPr>
            <w:tcW w:type="dxa" w:w="3610"/>
            <w:gridSpan w:val="2"/>
            <w:vMerge/>
            <w:tcBorders/>
          </w:tcPr>
          <w:p/>
        </w:tc>
      </w:tr>
      <w:tr>
        <w:trPr>
          <w:trHeight w:hRule="exact" w:val="248"/>
        </w:trPr>
        <w:tc>
          <w:tcPr>
            <w:tcW w:type="dxa" w:w="1805"/>
            <w:vMerge/>
            <w:tcBorders>
              <w:bottom w:sz="3.199999999999818" w:val="single" w:color="#000000"/>
            </w:tcBorders>
          </w:tcPr>
          <w:p/>
        </w:tc>
        <w:tc>
          <w:tcPr>
            <w:tcW w:type="dxa" w:w="1422"/>
            <w:tcBorders>
              <w:bottom w:sz="3.199999999999818" w:val="single" w:color="#000000"/>
            </w:tcBorders>
            <w:tcMar>
              <w:start w:w="0" w:type="dxa"/>
              <w:end w:w="0" w:type="dxa"/>
            </w:tcMar>
          </w:tcPr>
          <w:p>
            <w:pPr>
              <w:autoSpaceDN w:val="0"/>
              <w:autoSpaceDE w:val="0"/>
              <w:widowControl/>
              <w:spacing w:line="233" w:lineRule="auto" w:before="18" w:after="0"/>
              <w:ind w:left="354" w:right="0" w:firstLine="0"/>
              <w:jc w:val="left"/>
            </w:pPr>
            <w:r>
              <w:rPr>
                <w:rFonts w:ascii="Arial" w:hAnsi="Arial" w:eastAsia="Arial"/>
                <w:b w:val="0"/>
                <w:i w:val="0"/>
                <w:color w:val="000000"/>
                <w:sz w:val="20"/>
              </w:rPr>
              <w:t xml:space="preserve">8,086,918 </w:t>
            </w:r>
          </w:p>
        </w:tc>
        <w:tc>
          <w:tcPr>
            <w:tcW w:type="dxa" w:w="1468"/>
            <w:tcBorders>
              <w:bottom w:sz="3.199999999999818" w:val="single" w:color="#000000"/>
            </w:tcBorders>
            <w:tcMar>
              <w:start w:w="0" w:type="dxa"/>
              <w:end w:w="0" w:type="dxa"/>
            </w:tcMar>
          </w:tcPr>
          <w:p>
            <w:pPr>
              <w:autoSpaceDN w:val="0"/>
              <w:autoSpaceDE w:val="0"/>
              <w:widowControl/>
              <w:spacing w:line="233" w:lineRule="auto" w:before="18" w:after="0"/>
              <w:ind w:left="296" w:right="0" w:firstLine="0"/>
              <w:jc w:val="left"/>
            </w:pPr>
            <w:r>
              <w:rPr>
                <w:rFonts w:ascii="Arial" w:hAnsi="Arial" w:eastAsia="Arial"/>
                <w:b w:val="0"/>
                <w:i w:val="0"/>
                <w:color w:val="000000"/>
                <w:sz w:val="20"/>
              </w:rPr>
              <w:t xml:space="preserve">32,347,672 </w:t>
            </w:r>
          </w:p>
        </w:tc>
        <w:tc>
          <w:tcPr>
            <w:tcW w:type="dxa" w:w="1392"/>
            <w:tcBorders>
              <w:bottom w:sz="3.199999999999818" w:val="single" w:color="#000000"/>
            </w:tcBorders>
            <w:tcMar>
              <w:start w:w="0" w:type="dxa"/>
              <w:end w:w="0" w:type="dxa"/>
            </w:tcMar>
          </w:tcPr>
          <w:p>
            <w:pPr>
              <w:autoSpaceDN w:val="0"/>
              <w:autoSpaceDE w:val="0"/>
              <w:widowControl/>
              <w:spacing w:line="233" w:lineRule="auto" w:before="18" w:after="0"/>
              <w:ind w:left="0" w:right="34" w:firstLine="0"/>
              <w:jc w:val="right"/>
            </w:pPr>
            <w:r>
              <w:rPr>
                <w:rFonts w:ascii="Arial" w:hAnsi="Arial" w:eastAsia="Arial"/>
                <w:b w:val="0"/>
                <w:i w:val="0"/>
                <w:color w:val="000000"/>
                <w:sz w:val="20"/>
              </w:rPr>
              <w:t xml:space="preserve">8,010,923 </w:t>
            </w:r>
          </w:p>
        </w:tc>
        <w:tc>
          <w:tcPr>
            <w:tcW w:type="dxa" w:w="1274"/>
            <w:tcBorders>
              <w:bottom w:sz="3.199999999999818" w:val="single" w:color="#000000"/>
            </w:tcBorders>
            <w:tcMar>
              <w:start w:w="0" w:type="dxa"/>
              <w:end w:w="0" w:type="dxa"/>
            </w:tcMar>
          </w:tcPr>
          <w:p>
            <w:pPr>
              <w:autoSpaceDN w:val="0"/>
              <w:autoSpaceDE w:val="0"/>
              <w:widowControl/>
              <w:spacing w:line="233" w:lineRule="auto" w:before="18" w:after="0"/>
              <w:ind w:left="272" w:right="0" w:firstLine="0"/>
              <w:jc w:val="left"/>
            </w:pPr>
            <w:r>
              <w:rPr>
                <w:rFonts w:ascii="Arial" w:hAnsi="Arial" w:eastAsia="Arial"/>
                <w:b w:val="0"/>
                <w:i w:val="0"/>
                <w:color w:val="000000"/>
                <w:sz w:val="20"/>
              </w:rPr>
              <w:t>32,043,692</w:t>
            </w:r>
          </w:p>
        </w:tc>
      </w:tr>
      <w:tr>
        <w:trPr>
          <w:trHeight w:hRule="exact" w:val="502"/>
        </w:trPr>
        <w:tc>
          <w:tcPr>
            <w:tcW w:type="dxa" w:w="2978"/>
            <w:tcBorders>
              <w:top w:sz="3.199999999999818" w:val="single" w:color="#000000"/>
              <w:bottom w:sz="4.0" w:val="single" w:color="#000000"/>
            </w:tcBorders>
            <w:tcMar>
              <w:start w:w="0" w:type="dxa"/>
              <w:end w:w="0" w:type="dxa"/>
            </w:tcMar>
          </w:tcPr>
          <w:p>
            <w:pPr>
              <w:autoSpaceDN w:val="0"/>
              <w:autoSpaceDE w:val="0"/>
              <w:widowControl/>
              <w:spacing w:line="200" w:lineRule="exact" w:before="262" w:after="0"/>
              <w:ind w:left="198" w:right="0" w:firstLine="0"/>
              <w:jc w:val="left"/>
            </w:pPr>
            <w:r>
              <w:rPr>
                <w:rFonts w:ascii="黑体" w:hAnsi="黑体" w:eastAsia="黑体"/>
                <w:b w:val="0"/>
                <w:i w:val="0"/>
                <w:color w:val="000000"/>
                <w:sz w:val="20"/>
              </w:rPr>
              <w:t>合计</w:t>
            </w:r>
          </w:p>
        </w:tc>
        <w:tc>
          <w:tcPr>
            <w:tcW w:type="dxa" w:w="2890"/>
            <w:gridSpan w:val="2"/>
            <w:tcBorders>
              <w:top w:sz="3.199999999999818"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268" w:after="0"/>
              <w:ind w:left="0" w:right="0" w:firstLine="0"/>
              <w:jc w:val="center"/>
            </w:pPr>
            <w:r>
              <w:rPr>
                <w:rFonts w:ascii="Arial" w:hAnsi="Arial" w:eastAsia="Arial"/>
                <w:b w:val="0"/>
                <w:i w:val="0"/>
                <w:color w:val="000000"/>
                <w:sz w:val="20"/>
              </w:rPr>
              <w:t xml:space="preserve">378,686,298  1,514,745,184 </w:t>
            </w:r>
          </w:p>
        </w:tc>
        <w:tc>
          <w:tcPr>
            <w:tcW w:type="dxa" w:w="2666"/>
            <w:gridSpan w:val="2"/>
            <w:tcBorders>
              <w:top w:sz="3.199999999999818"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268" w:after="0"/>
              <w:ind w:left="136" w:right="0" w:firstLine="0"/>
              <w:jc w:val="left"/>
            </w:pPr>
            <w:r>
              <w:rPr>
                <w:rFonts w:ascii="Arial" w:hAnsi="Arial" w:eastAsia="Arial"/>
                <w:b w:val="0"/>
                <w:i w:val="0"/>
                <w:color w:val="000000"/>
                <w:sz w:val="20"/>
              </w:rPr>
              <w:t>348,355,422  1,393,421,679</w:t>
            </w:r>
          </w:p>
        </w:tc>
      </w:tr>
    </w:tbl>
    <w:p>
      <w:pPr>
        <w:autoSpaceDN w:val="0"/>
        <w:autoSpaceDE w:val="0"/>
        <w:widowControl/>
        <w:spacing w:line="246" w:lineRule="exact" w:before="294" w:after="238"/>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未经抵销的递延所得税负债</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02"/>
        </w:trPr>
        <w:tc>
          <w:tcPr>
            <w:tcW w:type="dxa" w:w="2978"/>
            <w:tcBorders>
              <w:bottom w:sz="4.0" w:val="single" w:color="#000000"/>
            </w:tcBorders>
            <w:tcMar>
              <w:start w:w="0" w:type="dxa"/>
              <w:end w:w="0" w:type="dxa"/>
            </w:tcMar>
          </w:tcPr>
          <w:p/>
        </w:tc>
        <w:tc>
          <w:tcPr>
            <w:tcW w:type="dxa" w:w="2962"/>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60" w:after="0"/>
              <w:ind w:left="626" w:right="0" w:firstLine="0"/>
              <w:jc w:val="left"/>
            </w:pPr>
            <w:r>
              <w:rPr>
                <w:rFonts w:ascii="Arial" w:hAnsi="Arial" w:eastAsia="Arial"/>
                <w:b w:val="0"/>
                <w:i w:val="0"/>
                <w:color w:val="000000"/>
                <w:sz w:val="20"/>
              </w:rPr>
              <w:t>2024</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c>
          <w:tcPr>
            <w:tcW w:type="dxa" w:w="2820"/>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60" w:after="0"/>
              <w:ind w:left="514" w:right="0" w:firstLine="0"/>
              <w:jc w:val="left"/>
            </w:pPr>
            <w:r>
              <w:rPr>
                <w:rFonts w:ascii="Arial" w:hAnsi="Arial" w:eastAsia="Arial"/>
                <w:b w:val="0"/>
                <w:i w:val="0"/>
                <w:color w:val="000000"/>
                <w:sz w:val="20"/>
              </w:rPr>
              <w:t>2023</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r>
      <w:tr>
        <w:trPr>
          <w:trHeight w:hRule="exact" w:val="258"/>
        </w:trPr>
        <w:tc>
          <w:tcPr>
            <w:tcW w:type="dxa" w:w="2978"/>
            <w:vMerge w:val="restart"/>
            <w:tcBorders>
              <w:top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tabs>
                <w:tab w:pos="398" w:val="left"/>
                <w:tab w:pos="400" w:val="left"/>
              </w:tabs>
              <w:autoSpaceDE w:val="0"/>
              <w:widowControl/>
              <w:spacing w:line="260" w:lineRule="exact" w:before="730" w:after="0"/>
              <w:ind w:left="198" w:right="1008" w:firstLine="0"/>
              <w:jc w:val="left"/>
            </w:pPr>
            <w:r>
              <w:rPr>
                <w:rFonts w:ascii="黑体" w:hAnsi="黑体" w:eastAsia="黑体"/>
                <w:b w:val="0"/>
                <w:i w:val="0"/>
                <w:color w:val="000000"/>
                <w:sz w:val="20"/>
              </w:rPr>
              <w:t>公允价值变动</w:t>
            </w:r>
            <w:r>
              <w:br/>
            </w:r>
            <w:r>
              <w:tab/>
            </w:r>
            <w:r>
              <w:rPr>
                <w:rFonts w:ascii="Arial" w:hAnsi="Arial" w:eastAsia="Arial"/>
                <w:b w:val="0"/>
                <w:i w:val="0"/>
                <w:color w:val="000000"/>
                <w:sz w:val="20"/>
              </w:rPr>
              <w:t>-</w:t>
            </w:r>
            <w:r>
              <w:rPr>
                <w:rFonts w:ascii="黑体" w:hAnsi="黑体" w:eastAsia="黑体"/>
                <w:b w:val="0"/>
                <w:i w:val="0"/>
                <w:color w:val="000000"/>
                <w:sz w:val="20"/>
              </w:rPr>
              <w:t>交易性金融资产</w:t>
            </w:r>
            <w:r>
              <w:tab/>
            </w:r>
            <w:r>
              <w:rPr>
                <w:rFonts w:ascii="Arial" w:hAnsi="Arial" w:eastAsia="Arial"/>
                <w:b w:val="0"/>
                <w:i w:val="0"/>
                <w:color w:val="000000"/>
                <w:sz w:val="20"/>
              </w:rPr>
              <w:t>-</w:t>
            </w:r>
            <w:r>
              <w:rPr>
                <w:rFonts w:ascii="黑体" w:hAnsi="黑体" w:eastAsia="黑体"/>
                <w:b w:val="0"/>
                <w:i w:val="0"/>
                <w:color w:val="000000"/>
                <w:sz w:val="20"/>
              </w:rPr>
              <w:t>衍生金融工具</w:t>
            </w:r>
            <w:r>
              <w:br/>
            </w:r>
            <w:r>
              <w:rPr>
                <w:rFonts w:ascii="黑体" w:hAnsi="黑体" w:eastAsia="黑体"/>
                <w:b w:val="0"/>
                <w:i w:val="0"/>
                <w:color w:val="000000"/>
                <w:sz w:val="20"/>
              </w:rPr>
              <w:t>未实现的投资收益</w:t>
            </w:r>
            <w:r>
              <w:rPr>
                <w:rFonts w:ascii="黑体" w:hAnsi="黑体" w:eastAsia="黑体"/>
                <w:b w:val="0"/>
                <w:i w:val="0"/>
                <w:color w:val="000000"/>
                <w:sz w:val="20"/>
              </w:rPr>
              <w:t>评估增值</w:t>
            </w:r>
            <w:r>
              <w:br/>
            </w:r>
            <w:r>
              <w:rPr>
                <w:rFonts w:ascii="黑体" w:hAnsi="黑体" w:eastAsia="黑体"/>
                <w:b w:val="0"/>
                <w:i w:val="0"/>
                <w:color w:val="000000"/>
                <w:sz w:val="20"/>
              </w:rPr>
              <w:t>使用权资产</w:t>
            </w:r>
          </w:p>
        </w:tc>
        <w:tc>
          <w:tcPr>
            <w:tcW w:type="dxa" w:w="1442"/>
            <w:tcBorders>
              <w:top w:sz="4.0" w:val="single" w:color="#000000"/>
            </w:tcBorders>
            <w:tcMar>
              <w:start w:w="0" w:type="dxa"/>
              <w:end w:w="0" w:type="dxa"/>
            </w:tcMar>
          </w:tcPr>
          <w:p>
            <w:pPr>
              <w:autoSpaceDN w:val="0"/>
              <w:autoSpaceDE w:val="0"/>
              <w:widowControl/>
              <w:spacing w:line="198" w:lineRule="exact" w:before="30" w:after="0"/>
              <w:ind w:left="0" w:right="0" w:firstLine="0"/>
              <w:jc w:val="center"/>
            </w:pPr>
            <w:r>
              <w:rPr>
                <w:rFonts w:ascii="黑体" w:hAnsi="黑体" w:eastAsia="黑体"/>
                <w:b w:val="0"/>
                <w:i w:val="0"/>
                <w:color w:val="000000"/>
                <w:sz w:val="20"/>
              </w:rPr>
              <w:t>递延所得税</w:t>
            </w:r>
          </w:p>
        </w:tc>
        <w:tc>
          <w:tcPr>
            <w:tcW w:type="dxa" w:w="1520"/>
            <w:tcBorders>
              <w:top w:sz="4.0" w:val="single" w:color="#000000"/>
            </w:tcBorders>
            <w:tcMar>
              <w:start w:w="0" w:type="dxa"/>
              <w:end w:w="0" w:type="dxa"/>
            </w:tcMar>
          </w:tcPr>
          <w:p>
            <w:pPr>
              <w:autoSpaceDN w:val="0"/>
              <w:autoSpaceDE w:val="0"/>
              <w:widowControl/>
              <w:spacing w:line="198" w:lineRule="exact" w:before="30" w:after="0"/>
              <w:ind w:left="106" w:right="0" w:firstLine="0"/>
              <w:jc w:val="left"/>
            </w:pPr>
            <w:r>
              <w:rPr>
                <w:rFonts w:ascii="黑体" w:hAnsi="黑体" w:eastAsia="黑体"/>
                <w:b w:val="0"/>
                <w:i w:val="0"/>
                <w:color w:val="000000"/>
                <w:sz w:val="20"/>
              </w:rPr>
              <w:t>应纳税暂时性</w:t>
            </w:r>
          </w:p>
        </w:tc>
        <w:tc>
          <w:tcPr>
            <w:tcW w:type="dxa" w:w="1340"/>
            <w:tcBorders>
              <w:top w:sz="4.0" w:val="single" w:color="#000000"/>
            </w:tcBorders>
            <w:tcMar>
              <w:start w:w="0" w:type="dxa"/>
              <w:end w:w="0" w:type="dxa"/>
            </w:tcMar>
          </w:tcPr>
          <w:p>
            <w:pPr>
              <w:autoSpaceDN w:val="0"/>
              <w:autoSpaceDE w:val="0"/>
              <w:widowControl/>
              <w:spacing w:line="198" w:lineRule="exact" w:before="30" w:after="0"/>
              <w:ind w:left="0" w:right="0" w:firstLine="0"/>
              <w:jc w:val="center"/>
            </w:pPr>
            <w:r>
              <w:rPr>
                <w:rFonts w:ascii="黑体" w:hAnsi="黑体" w:eastAsia="黑体"/>
                <w:b w:val="0"/>
                <w:i w:val="0"/>
                <w:color w:val="000000"/>
                <w:sz w:val="20"/>
              </w:rPr>
              <w:t>递延所得税</w:t>
            </w:r>
          </w:p>
        </w:tc>
        <w:tc>
          <w:tcPr>
            <w:tcW w:type="dxa" w:w="1480"/>
            <w:tcBorders>
              <w:top w:sz="4.0" w:val="single" w:color="#000000"/>
            </w:tcBorders>
            <w:tcMar>
              <w:start w:w="0" w:type="dxa"/>
              <w:end w:w="0" w:type="dxa"/>
            </w:tcMar>
          </w:tcPr>
          <w:p>
            <w:pPr>
              <w:autoSpaceDN w:val="0"/>
              <w:autoSpaceDE w:val="0"/>
              <w:widowControl/>
              <w:spacing w:line="198" w:lineRule="exact" w:before="30" w:after="0"/>
              <w:ind w:left="52" w:right="0" w:firstLine="0"/>
              <w:jc w:val="left"/>
            </w:pPr>
            <w:r>
              <w:rPr>
                <w:rFonts w:ascii="黑体" w:hAnsi="黑体" w:eastAsia="黑体"/>
                <w:b w:val="0"/>
                <w:i w:val="0"/>
                <w:color w:val="000000"/>
                <w:sz w:val="20"/>
              </w:rPr>
              <w:t>应纳税暂时性</w:t>
            </w:r>
          </w:p>
        </w:tc>
      </w:tr>
      <w:tr>
        <w:trPr>
          <w:trHeight w:hRule="exact" w:val="38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00" w:lineRule="exact" w:before="36" w:after="0"/>
              <w:ind w:left="0" w:right="214" w:firstLine="0"/>
              <w:jc w:val="right"/>
            </w:pPr>
            <w:r>
              <w:rPr>
                <w:rFonts w:ascii="黑体" w:hAnsi="黑体" w:eastAsia="黑体"/>
                <w:b w:val="0"/>
                <w:i w:val="0"/>
                <w:color w:val="000000"/>
                <w:sz w:val="20"/>
              </w:rPr>
              <w:t>负债</w:t>
            </w:r>
          </w:p>
        </w:tc>
        <w:tc>
          <w:tcPr>
            <w:tcW w:type="dxa" w:w="1520"/>
            <w:tcBorders/>
            <w:tcMar>
              <w:start w:w="0" w:type="dxa"/>
              <w:end w:w="0" w:type="dxa"/>
            </w:tcMar>
          </w:tcPr>
          <w:p>
            <w:pPr>
              <w:autoSpaceDN w:val="0"/>
              <w:autoSpaceDE w:val="0"/>
              <w:widowControl/>
              <w:spacing w:line="200" w:lineRule="exact" w:before="36" w:after="0"/>
              <w:ind w:left="0" w:right="214" w:firstLine="0"/>
              <w:jc w:val="right"/>
            </w:pPr>
            <w:r>
              <w:rPr>
                <w:rFonts w:ascii="黑体" w:hAnsi="黑体" w:eastAsia="黑体"/>
                <w:b w:val="0"/>
                <w:i w:val="0"/>
                <w:color w:val="000000"/>
                <w:sz w:val="20"/>
              </w:rPr>
              <w:t>差异</w:t>
            </w:r>
          </w:p>
        </w:tc>
        <w:tc>
          <w:tcPr>
            <w:tcW w:type="dxa" w:w="1340"/>
            <w:tcBorders/>
            <w:tcMar>
              <w:start w:w="0" w:type="dxa"/>
              <w:end w:w="0" w:type="dxa"/>
            </w:tcMar>
          </w:tcPr>
          <w:p>
            <w:pPr>
              <w:autoSpaceDN w:val="0"/>
              <w:autoSpaceDE w:val="0"/>
              <w:widowControl/>
              <w:spacing w:line="200" w:lineRule="exact" w:before="36" w:after="0"/>
              <w:ind w:left="0" w:right="164" w:firstLine="0"/>
              <w:jc w:val="right"/>
            </w:pPr>
            <w:r>
              <w:rPr>
                <w:rFonts w:ascii="黑体" w:hAnsi="黑体" w:eastAsia="黑体"/>
                <w:b w:val="0"/>
                <w:i w:val="0"/>
                <w:color w:val="000000"/>
                <w:sz w:val="20"/>
              </w:rPr>
              <w:t>负债</w:t>
            </w:r>
          </w:p>
        </w:tc>
        <w:tc>
          <w:tcPr>
            <w:tcW w:type="dxa" w:w="1480"/>
            <w:tcBorders/>
            <w:tcMar>
              <w:start w:w="0" w:type="dxa"/>
              <w:end w:w="0" w:type="dxa"/>
            </w:tcMar>
          </w:tcPr>
          <w:p>
            <w:pPr>
              <w:autoSpaceDN w:val="0"/>
              <w:autoSpaceDE w:val="0"/>
              <w:widowControl/>
              <w:spacing w:line="200" w:lineRule="exact" w:before="36" w:after="0"/>
              <w:ind w:left="0" w:right="228" w:firstLine="0"/>
              <w:jc w:val="right"/>
            </w:pPr>
            <w:r>
              <w:rPr>
                <w:rFonts w:ascii="黑体" w:hAnsi="黑体" w:eastAsia="黑体"/>
                <w:b w:val="0"/>
                <w:i w:val="0"/>
                <w:color w:val="000000"/>
                <w:sz w:val="20"/>
              </w:rPr>
              <w:t>差异</w:t>
            </w:r>
          </w:p>
        </w:tc>
      </w:tr>
      <w:tr>
        <w:trPr>
          <w:trHeight w:hRule="exact" w:val="40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33" w:lineRule="auto" w:before="162" w:after="0"/>
              <w:ind w:left="0" w:right="0" w:firstLine="0"/>
              <w:jc w:val="center"/>
            </w:pPr>
            <w:r>
              <w:rPr>
                <w:rFonts w:ascii="Arial" w:hAnsi="Arial" w:eastAsia="Arial"/>
                <w:b w:val="0"/>
                <w:i w:val="0"/>
                <w:color w:val="000000"/>
                <w:sz w:val="20"/>
              </w:rPr>
              <w:t xml:space="preserve">(209,808,227) </w:t>
            </w:r>
          </w:p>
        </w:tc>
        <w:tc>
          <w:tcPr>
            <w:tcW w:type="dxa" w:w="4340"/>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162" w:after="0"/>
              <w:ind w:left="0" w:right="0" w:firstLine="0"/>
              <w:jc w:val="center"/>
            </w:pPr>
            <w:r>
              <w:rPr>
                <w:rFonts w:ascii="Arial" w:hAnsi="Arial" w:eastAsia="Arial"/>
                <w:b w:val="0"/>
                <w:i w:val="0"/>
                <w:color w:val="000000"/>
                <w:sz w:val="20"/>
              </w:rPr>
              <w:t xml:space="preserve">(839,232,908 ) (143,893,837) (575,575,348) </w:t>
            </w:r>
          </w:p>
        </w:tc>
      </w:tr>
      <w:tr>
        <w:trPr>
          <w:trHeight w:hRule="exact" w:val="26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0"/>
              </w:rPr>
              <w:t xml:space="preserve">(206,583,082) </w:t>
            </w:r>
          </w:p>
        </w:tc>
        <w:tc>
          <w:tcPr>
            <w:tcW w:type="dxa" w:w="4340"/>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0"/>
              </w:rPr>
              <w:t xml:space="preserve">(826,332,328 ) (137,192,962) (548,771,848) </w:t>
            </w:r>
          </w:p>
        </w:tc>
      </w:tr>
      <w:tr>
        <w:trPr>
          <w:trHeight w:hRule="exact" w:val="26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33" w:lineRule="auto" w:before="20" w:after="0"/>
              <w:ind w:left="288" w:right="0" w:firstLine="0"/>
              <w:jc w:val="left"/>
            </w:pPr>
            <w:r>
              <w:rPr>
                <w:rFonts w:ascii="Arial" w:hAnsi="Arial" w:eastAsia="Arial"/>
                <w:b w:val="0"/>
                <w:i w:val="0"/>
                <w:color w:val="000000"/>
                <w:sz w:val="20"/>
              </w:rPr>
              <w:t xml:space="preserve">(3,225,145) </w:t>
            </w:r>
          </w:p>
        </w:tc>
        <w:tc>
          <w:tcPr>
            <w:tcW w:type="dxa" w:w="1520"/>
            <w:tcBorders/>
            <w:tcMar>
              <w:start w:w="0" w:type="dxa"/>
              <w:end w:w="0" w:type="dxa"/>
            </w:tcMar>
          </w:tcPr>
          <w:p>
            <w:pPr>
              <w:autoSpaceDN w:val="0"/>
              <w:autoSpaceDE w:val="0"/>
              <w:widowControl/>
              <w:spacing w:line="233" w:lineRule="auto" w:before="20" w:after="0"/>
              <w:ind w:left="238" w:right="0" w:firstLine="0"/>
              <w:jc w:val="left"/>
            </w:pPr>
            <w:r>
              <w:rPr>
                <w:rFonts w:ascii="Arial" w:hAnsi="Arial" w:eastAsia="Arial"/>
                <w:b w:val="0"/>
                <w:i w:val="0"/>
                <w:color w:val="000000"/>
                <w:sz w:val="20"/>
              </w:rPr>
              <w:t xml:space="preserve">(12,900,580 ) </w:t>
            </w:r>
          </w:p>
        </w:tc>
        <w:tc>
          <w:tcPr>
            <w:tcW w:type="dxa" w:w="1340"/>
            <w:tcBorders/>
            <w:tcMar>
              <w:start w:w="0" w:type="dxa"/>
              <w:end w:w="0" w:type="dxa"/>
            </w:tcMar>
          </w:tcPr>
          <w:p>
            <w:pPr>
              <w:autoSpaceDN w:val="0"/>
              <w:autoSpaceDE w:val="0"/>
              <w:widowControl/>
              <w:spacing w:line="233" w:lineRule="auto" w:before="20" w:after="0"/>
              <w:ind w:left="218" w:right="0" w:firstLine="0"/>
              <w:jc w:val="left"/>
            </w:pPr>
            <w:r>
              <w:rPr>
                <w:rFonts w:ascii="Arial" w:hAnsi="Arial" w:eastAsia="Arial"/>
                <w:b w:val="0"/>
                <w:i w:val="0"/>
                <w:color w:val="000000"/>
                <w:sz w:val="20"/>
              </w:rPr>
              <w:t xml:space="preserve">(6,700,875) </w:t>
            </w:r>
          </w:p>
        </w:tc>
        <w:tc>
          <w:tcPr>
            <w:tcW w:type="dxa" w:w="1480"/>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0"/>
              </w:rPr>
              <w:t xml:space="preserve">(26,803,500) </w:t>
            </w:r>
          </w:p>
        </w:tc>
      </w:tr>
      <w:tr>
        <w:trPr>
          <w:trHeight w:hRule="exact" w:val="26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33" w:lineRule="auto" w:before="20" w:after="0"/>
              <w:ind w:left="178" w:right="0" w:firstLine="0"/>
              <w:jc w:val="left"/>
            </w:pPr>
            <w:r>
              <w:rPr>
                <w:rFonts w:ascii="Arial" w:hAnsi="Arial" w:eastAsia="Arial"/>
                <w:b w:val="0"/>
                <w:i w:val="0"/>
                <w:color w:val="000000"/>
                <w:sz w:val="20"/>
              </w:rPr>
              <w:t xml:space="preserve">(24,806,874) </w:t>
            </w:r>
          </w:p>
        </w:tc>
        <w:tc>
          <w:tcPr>
            <w:tcW w:type="dxa" w:w="1520"/>
            <w:tcBorders/>
            <w:tcMar>
              <w:start w:w="0" w:type="dxa"/>
              <w:end w:w="0" w:type="dxa"/>
            </w:tcMar>
          </w:tcPr>
          <w:p>
            <w:pPr>
              <w:autoSpaceDN w:val="0"/>
              <w:autoSpaceDE w:val="0"/>
              <w:widowControl/>
              <w:spacing w:line="233" w:lineRule="auto" w:before="20" w:after="0"/>
              <w:ind w:left="238" w:right="0" w:firstLine="0"/>
              <w:jc w:val="left"/>
            </w:pPr>
            <w:r>
              <w:rPr>
                <w:rFonts w:ascii="Arial" w:hAnsi="Arial" w:eastAsia="Arial"/>
                <w:b w:val="0"/>
                <w:i w:val="0"/>
                <w:color w:val="000000"/>
                <w:sz w:val="20"/>
              </w:rPr>
              <w:t xml:space="preserve">(99,227,496 ) </w:t>
            </w:r>
          </w:p>
        </w:tc>
        <w:tc>
          <w:tcPr>
            <w:tcW w:type="dxa" w:w="1340"/>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0"/>
              </w:rPr>
              <w:t xml:space="preserve">(24,088,494) </w:t>
            </w:r>
          </w:p>
        </w:tc>
        <w:tc>
          <w:tcPr>
            <w:tcW w:type="dxa" w:w="1480"/>
            <w:tcBorders/>
            <w:tcMar>
              <w:start w:w="0" w:type="dxa"/>
              <w:end w:w="0" w:type="dxa"/>
            </w:tcMar>
          </w:tcPr>
          <w:p>
            <w:pPr>
              <w:autoSpaceDN w:val="0"/>
              <w:autoSpaceDE w:val="0"/>
              <w:widowControl/>
              <w:spacing w:line="233" w:lineRule="auto" w:before="20" w:after="0"/>
              <w:ind w:left="0" w:right="0" w:firstLine="0"/>
              <w:jc w:val="center"/>
            </w:pPr>
            <w:r>
              <w:rPr>
                <w:rFonts w:ascii="Arial" w:hAnsi="Arial" w:eastAsia="Arial"/>
                <w:b w:val="0"/>
                <w:i w:val="0"/>
                <w:color w:val="000000"/>
                <w:sz w:val="20"/>
              </w:rPr>
              <w:t xml:space="preserve">(96,353,976) </w:t>
            </w:r>
          </w:p>
        </w:tc>
      </w:tr>
      <w:tr>
        <w:trPr>
          <w:trHeight w:hRule="exact" w:val="240"/>
        </w:trPr>
        <w:tc>
          <w:tcPr>
            <w:tcW w:type="dxa" w:w="1805"/>
            <w:vMerge/>
            <w:tcBorders>
              <w:top w:sz="4.0" w:val="single" w:color="#000000"/>
              <w:bottom w:sz="4.0" w:val="single" w:color="#000000"/>
            </w:tcBorders>
          </w:tcPr>
          <w:p/>
        </w:tc>
        <w:tc>
          <w:tcPr>
            <w:tcW w:type="dxa" w:w="1442"/>
            <w:tcBorders/>
            <w:tcMar>
              <w:start w:w="0" w:type="dxa"/>
              <w:end w:w="0" w:type="dxa"/>
            </w:tcMar>
          </w:tcPr>
          <w:p>
            <w:pPr>
              <w:autoSpaceDN w:val="0"/>
              <w:autoSpaceDE w:val="0"/>
              <w:widowControl/>
              <w:spacing w:line="233" w:lineRule="auto" w:before="18" w:after="0"/>
              <w:ind w:left="288" w:right="0" w:firstLine="0"/>
              <w:jc w:val="left"/>
            </w:pPr>
            <w:r>
              <w:rPr>
                <w:rFonts w:ascii="Arial" w:hAnsi="Arial" w:eastAsia="Arial"/>
                <w:b w:val="0"/>
                <w:i w:val="0"/>
                <w:color w:val="000000"/>
                <w:sz w:val="20"/>
              </w:rPr>
              <w:t xml:space="preserve">(2,001,421) </w:t>
            </w:r>
          </w:p>
        </w:tc>
        <w:tc>
          <w:tcPr>
            <w:tcW w:type="dxa" w:w="1520"/>
            <w:tcBorders/>
            <w:tcMar>
              <w:start w:w="0" w:type="dxa"/>
              <w:end w:w="0" w:type="dxa"/>
            </w:tcMar>
          </w:tcPr>
          <w:p>
            <w:pPr>
              <w:autoSpaceDN w:val="0"/>
              <w:autoSpaceDE w:val="0"/>
              <w:widowControl/>
              <w:spacing w:line="233" w:lineRule="auto" w:before="18" w:after="0"/>
              <w:ind w:left="348" w:right="0" w:firstLine="0"/>
              <w:jc w:val="left"/>
            </w:pPr>
            <w:r>
              <w:rPr>
                <w:rFonts w:ascii="Arial" w:hAnsi="Arial" w:eastAsia="Arial"/>
                <w:b w:val="0"/>
                <w:i w:val="0"/>
                <w:color w:val="000000"/>
                <w:sz w:val="20"/>
              </w:rPr>
              <w:t xml:space="preserve">(8,005,684 ) </w:t>
            </w:r>
          </w:p>
        </w:tc>
        <w:tc>
          <w:tcPr>
            <w:tcW w:type="dxa" w:w="1340"/>
            <w:tcBorders/>
            <w:tcMar>
              <w:start w:w="0" w:type="dxa"/>
              <w:end w:w="0" w:type="dxa"/>
            </w:tcMar>
          </w:tcPr>
          <w:p>
            <w:pPr>
              <w:autoSpaceDN w:val="0"/>
              <w:autoSpaceDE w:val="0"/>
              <w:widowControl/>
              <w:spacing w:line="233" w:lineRule="auto" w:before="18" w:after="0"/>
              <w:ind w:left="218" w:right="0" w:firstLine="0"/>
              <w:jc w:val="left"/>
            </w:pPr>
            <w:r>
              <w:rPr>
                <w:rFonts w:ascii="Arial" w:hAnsi="Arial" w:eastAsia="Arial"/>
                <w:b w:val="0"/>
                <w:i w:val="0"/>
                <w:color w:val="000000"/>
                <w:sz w:val="20"/>
              </w:rPr>
              <w:t xml:space="preserve">(2,415,306) </w:t>
            </w:r>
          </w:p>
        </w:tc>
        <w:tc>
          <w:tcPr>
            <w:tcW w:type="dxa" w:w="1480"/>
            <w:tcBorders/>
            <w:tcMar>
              <w:start w:w="0" w:type="dxa"/>
              <w:end w:w="0" w:type="dxa"/>
            </w:tcMar>
          </w:tcPr>
          <w:p>
            <w:pPr>
              <w:autoSpaceDN w:val="0"/>
              <w:autoSpaceDE w:val="0"/>
              <w:widowControl/>
              <w:spacing w:line="233" w:lineRule="auto" w:before="18" w:after="0"/>
              <w:ind w:left="294" w:right="0" w:firstLine="0"/>
              <w:jc w:val="left"/>
            </w:pPr>
            <w:r>
              <w:rPr>
                <w:rFonts w:ascii="Arial" w:hAnsi="Arial" w:eastAsia="Arial"/>
                <w:b w:val="0"/>
                <w:i w:val="0"/>
                <w:color w:val="000000"/>
                <w:sz w:val="20"/>
              </w:rPr>
              <w:t xml:space="preserve">(9,661,224) </w:t>
            </w:r>
          </w:p>
        </w:tc>
      </w:tr>
      <w:tr>
        <w:trPr>
          <w:trHeight w:hRule="exact" w:val="270"/>
        </w:trPr>
        <w:tc>
          <w:tcPr>
            <w:tcW w:type="dxa" w:w="1805"/>
            <w:vMerge/>
            <w:tcBorders>
              <w:top w:sz="4.0" w:val="single" w:color="#000000"/>
              <w:bottom w:sz="4.0" w:val="single" w:color="#000000"/>
            </w:tcBorders>
          </w:tcPr>
          <w:p/>
        </w:tc>
        <w:tc>
          <w:tcPr>
            <w:tcW w:type="dxa" w:w="1442"/>
            <w:tcBorders>
              <w:bottom w:sz="4.0" w:val="single" w:color="#000000"/>
            </w:tcBorders>
            <w:tcMar>
              <w:start w:w="0" w:type="dxa"/>
              <w:end w:w="0" w:type="dxa"/>
            </w:tcMar>
          </w:tcPr>
          <w:p>
            <w:pPr>
              <w:autoSpaceDN w:val="0"/>
              <w:autoSpaceDE w:val="0"/>
              <w:widowControl/>
              <w:spacing w:line="233" w:lineRule="auto" w:before="38" w:after="0"/>
              <w:ind w:left="178" w:right="0" w:firstLine="0"/>
              <w:jc w:val="left"/>
            </w:pPr>
            <w:r>
              <w:rPr>
                <w:rFonts w:ascii="Arial" w:hAnsi="Arial" w:eastAsia="Arial"/>
                <w:b w:val="0"/>
                <w:i w:val="0"/>
                <w:color w:val="000000"/>
                <w:sz w:val="20"/>
              </w:rPr>
              <w:t xml:space="preserve">(60,595,075) </w:t>
            </w:r>
          </w:p>
        </w:tc>
        <w:tc>
          <w:tcPr>
            <w:tcW w:type="dxa" w:w="1520"/>
            <w:tcBorders>
              <w:bottom w:sz="4.0" w:val="single" w:color="#000000"/>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(242,380,300 ) </w:t>
            </w:r>
          </w:p>
        </w:tc>
        <w:tc>
          <w:tcPr>
            <w:tcW w:type="dxa" w:w="2820"/>
            <w:gridSpan w:val="2"/>
            <w:tcBorders>
              <w:bottom w:sz="4.0" w:val="single" w:color="#000000"/>
            </w:tcBorders>
            <w:tcMar>
              <w:start w:w="0" w:type="dxa"/>
              <w:end w:w="0" w:type="dxa"/>
            </w:tcMar>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20"/>
              </w:rPr>
              <w:t xml:space="preserve">(76,411,065) (305,644,260) </w:t>
            </w:r>
          </w:p>
        </w:tc>
      </w:tr>
      <w:tr>
        <w:trPr>
          <w:trHeight w:hRule="exact" w:val="500"/>
        </w:trPr>
        <w:tc>
          <w:tcPr>
            <w:tcW w:type="dxa" w:w="2978"/>
            <w:tcBorders>
              <w:top w:sz="4.0" w:val="single" w:color="#000000"/>
              <w:bottom w:sz="3.2000000000007276" w:val="single" w:color="#000000"/>
            </w:tcBorders>
            <w:tcMar>
              <w:start w:w="0" w:type="dxa"/>
              <w:end w:w="0" w:type="dxa"/>
            </w:tcMar>
          </w:tcPr>
          <w:p>
            <w:pPr>
              <w:autoSpaceDN w:val="0"/>
              <w:autoSpaceDE w:val="0"/>
              <w:widowControl/>
              <w:spacing w:line="200" w:lineRule="exact" w:before="258" w:after="0"/>
              <w:ind w:left="198" w:right="0" w:firstLine="0"/>
              <w:jc w:val="left"/>
            </w:pPr>
            <w:r>
              <w:rPr>
                <w:rFonts w:ascii="黑体" w:hAnsi="黑体" w:eastAsia="黑体"/>
                <w:b w:val="0"/>
                <w:i w:val="0"/>
                <w:color w:val="000000"/>
                <w:sz w:val="20"/>
              </w:rPr>
              <w:t>合计</w:t>
            </w:r>
          </w:p>
        </w:tc>
        <w:tc>
          <w:tcPr>
            <w:tcW w:type="dxa" w:w="5782"/>
            <w:gridSpan w:val="4"/>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5" w:lineRule="auto" w:before="260" w:after="0"/>
              <w:ind w:left="0" w:right="0" w:firstLine="0"/>
              <w:jc w:val="center"/>
            </w:pPr>
            <w:r>
              <w:rPr>
                <w:rFonts w:ascii="Arial" w:hAnsi="Arial" w:eastAsia="Arial"/>
                <w:b w:val="0"/>
                <w:i w:val="0"/>
                <w:color w:val="000000"/>
                <w:sz w:val="20"/>
              </w:rPr>
              <w:t xml:space="preserve">(297,211,597) (1,188,846,388 ) (246,808,702) (987,234,808) </w:t>
            </w:r>
          </w:p>
        </w:tc>
      </w:tr>
      <w:tr>
        <w:trPr>
          <w:trHeight w:hRule="exact" w:val="50"/>
        </w:trPr>
        <w:tc>
          <w:tcPr>
            <w:tcW w:type="dxa" w:w="2978"/>
            <w:tcBorders>
              <w:top w:sz="3.2000000000007276" w:val="single" w:color="#000000"/>
            </w:tcBorders>
            <w:tcMar>
              <w:start w:w="0" w:type="dxa"/>
              <w:end w:w="0" w:type="dxa"/>
            </w:tcMar>
          </w:tcPr>
          <w:p/>
        </w:tc>
        <w:tc>
          <w:tcPr>
            <w:tcW w:type="dxa" w:w="7220"/>
            <w:gridSpan w:val="4"/>
            <w:vMerge/>
            <w:tcBorders>
              <w:top w:sz="4.0" w:val="single" w:color="#000000"/>
            </w:tcBorders>
          </w:tcPr>
          <w:p/>
        </w:tc>
      </w:tr>
    </w:tbl>
    <w:p>
      <w:pPr>
        <w:autoSpaceDN w:val="0"/>
        <w:autoSpaceDE w:val="0"/>
        <w:widowControl/>
        <w:spacing w:line="233" w:lineRule="auto" w:before="3978" w:after="0"/>
        <w:ind w:left="0" w:right="0" w:firstLine="0"/>
        <w:jc w:val="center"/>
      </w:pPr>
      <w:r>
        <w:rPr>
          <w:rFonts w:ascii="Arial" w:hAnsi="Arial" w:eastAsia="Arial"/>
          <w:b w:val="0"/>
          <w:i w:val="0"/>
          <w:color w:val="000000"/>
          <w:sz w:val="20"/>
        </w:rPr>
        <w:t xml:space="preserve">217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36" w:lineRule="exact" w:before="0" w:after="234"/>
        <w:ind w:left="358" w:right="3744"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17. </w:t>
      </w:r>
      <w:r>
        <w:rPr>
          <w:rFonts w:ascii="黑体" w:hAnsi="黑体" w:eastAsia="黑体"/>
          <w:b w:val="0"/>
          <w:i w:val="0"/>
          <w:color w:val="000000"/>
          <w:sz w:val="22"/>
        </w:rPr>
        <w:t>递延所得税资产和递延所得税负债（续）</w:t>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递延所得税资产和递延所得税负债互抵金额</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60"/>
        </w:trPr>
        <w:tc>
          <w:tcPr>
            <w:tcW w:type="dxa" w:w="4550"/>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递延所得税资产</w:t>
            </w:r>
          </w:p>
        </w:tc>
        <w:tc>
          <w:tcPr>
            <w:tcW w:type="dxa" w:w="2098"/>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112"/>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54" w:after="0"/>
              <w:ind w:left="0" w:right="78" w:firstLine="0"/>
              <w:jc w:val="right"/>
            </w:pPr>
            <w:r>
              <w:rPr>
                <w:rFonts w:ascii="Arial" w:hAnsi="Arial" w:eastAsia="Arial"/>
                <w:b w:val="0"/>
                <w:i w:val="0"/>
                <w:color w:val="000000"/>
                <w:sz w:val="22"/>
              </w:rPr>
              <w:t xml:space="preserve">(243,542,687) </w:t>
            </w:r>
          </w:p>
        </w:tc>
        <w:tc>
          <w:tcPr>
            <w:tcW w:type="dxa" w:w="2112"/>
            <w:vMerge w:val="restart"/>
            <w:tcBorders/>
            <w:tcMar>
              <w:start w:w="0" w:type="dxa"/>
              <w:end w:w="0" w:type="dxa"/>
            </w:tcMar>
            <w:tcMar>
              <w:start w:w="0" w:type="dxa"/>
              <w:end w:w="0" w:type="dxa"/>
            </w:tcMar>
          </w:tcPr>
          <w:p>
            <w:pPr>
              <w:autoSpaceDN w:val="0"/>
              <w:autoSpaceDE w:val="0"/>
              <w:widowControl/>
              <w:spacing w:line="235" w:lineRule="auto" w:before="154" w:after="0"/>
              <w:ind w:left="0" w:right="92" w:firstLine="0"/>
              <w:jc w:val="right"/>
            </w:pPr>
            <w:r>
              <w:rPr>
                <w:rFonts w:ascii="Arial" w:hAnsi="Arial" w:eastAsia="Arial"/>
                <w:b w:val="0"/>
                <w:i w:val="0"/>
                <w:color w:val="000000"/>
                <w:sz w:val="22"/>
              </w:rPr>
              <w:t xml:space="preserve">(135,101,281) </w:t>
            </w:r>
          </w:p>
        </w:tc>
      </w:tr>
      <w:tr>
        <w:trPr>
          <w:trHeight w:hRule="exact" w:val="42"/>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递延所得税负债</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08" w:firstLine="0"/>
              <w:jc w:val="right"/>
            </w:pPr>
            <w:r>
              <w:rPr>
                <w:rFonts w:ascii="Arial" w:hAnsi="Arial" w:eastAsia="Arial"/>
                <w:b w:val="0"/>
                <w:i w:val="0"/>
                <w:color w:val="000000"/>
                <w:sz w:val="22"/>
              </w:rPr>
              <w:t>243,542,687</w:t>
            </w:r>
          </w:p>
        </w:tc>
        <w:tc>
          <w:tcPr>
            <w:tcW w:type="dxa" w:w="2112"/>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135,101,281</w:t>
            </w:r>
          </w:p>
        </w:tc>
      </w:tr>
      <w:tr>
        <w:trPr>
          <w:trHeight w:hRule="exact" w:val="52"/>
        </w:trPr>
        <w:tc>
          <w:tcPr>
            <w:tcW w:type="dxa" w:w="4550"/>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112"/>
            <w:tcBorders>
              <w:top w:sz="4.0" w:val="single" w:color="#000000"/>
            </w:tcBorders>
            <w:tcMar>
              <w:start w:w="0" w:type="dxa"/>
              <w:end w:w="0" w:type="dxa"/>
            </w:tcMar>
          </w:tcPr>
          <w:p/>
        </w:tc>
      </w:tr>
    </w:tbl>
    <w:p>
      <w:pPr>
        <w:autoSpaceDN w:val="0"/>
        <w:autoSpaceDE w:val="0"/>
        <w:widowControl/>
        <w:spacing w:line="220" w:lineRule="exact" w:before="256" w:after="250"/>
        <w:ind w:left="358" w:right="0" w:firstLine="0"/>
        <w:jc w:val="left"/>
      </w:pPr>
      <w:r>
        <w:rPr>
          <w:rFonts w:ascii="黑体" w:hAnsi="黑体" w:eastAsia="黑体"/>
          <w:b w:val="0"/>
          <w:i w:val="0"/>
          <w:color w:val="000000"/>
          <w:sz w:val="22"/>
        </w:rPr>
        <w:t>抵销后的递延所得税资产和递延所得税负债净额列示如下：</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04"/>
        </w:trPr>
        <w:tc>
          <w:tcPr>
            <w:tcW w:type="dxa" w:w="2628"/>
            <w:tcBorders>
              <w:bottom w:sz="4.0" w:val="single" w:color="#000000"/>
            </w:tcBorders>
            <w:tcMar>
              <w:start w:w="0" w:type="dxa"/>
              <w:end w:w="0" w:type="dxa"/>
            </w:tcMar>
          </w:tcPr>
          <w:p/>
        </w:tc>
        <w:tc>
          <w:tcPr>
            <w:tcW w:type="dxa" w:w="3132"/>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60" w:after="0"/>
              <w:ind w:left="732" w:right="0" w:firstLine="0"/>
              <w:jc w:val="left"/>
            </w:pPr>
            <w:r>
              <w:rPr>
                <w:rFonts w:ascii="Arial" w:hAnsi="Arial" w:eastAsia="Arial"/>
                <w:b w:val="0"/>
                <w:i w:val="0"/>
                <w:color w:val="000000"/>
                <w:sz w:val="20"/>
              </w:rPr>
              <w:t>2024</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c>
          <w:tcPr>
            <w:tcW w:type="dxa" w:w="2980"/>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60" w:after="0"/>
              <w:ind w:left="630" w:right="0" w:firstLine="0"/>
              <w:jc w:val="left"/>
            </w:pPr>
            <w:r>
              <w:rPr>
                <w:rFonts w:ascii="Arial" w:hAnsi="Arial" w:eastAsia="Arial"/>
                <w:b w:val="0"/>
                <w:i w:val="0"/>
                <w:color w:val="000000"/>
                <w:sz w:val="20"/>
              </w:rPr>
              <w:t>2023</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r>
      <w:tr>
        <w:trPr>
          <w:trHeight w:hRule="exact" w:val="262"/>
        </w:trPr>
        <w:tc>
          <w:tcPr>
            <w:tcW w:type="dxa" w:w="2628"/>
            <w:vMerge w:val="restart"/>
            <w:tcBorders>
              <w:top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60" w:lineRule="exact" w:before="976" w:after="0"/>
              <w:ind w:left="198" w:right="1008" w:firstLine="0"/>
              <w:jc w:val="left"/>
            </w:pPr>
            <w:r>
              <w:rPr>
                <w:rFonts w:ascii="黑体" w:hAnsi="黑体" w:eastAsia="黑体"/>
                <w:b w:val="0"/>
                <w:i w:val="0"/>
                <w:color w:val="000000"/>
                <w:sz w:val="20"/>
              </w:rPr>
              <w:t>递延所得税资产</w:t>
            </w:r>
            <w:r>
              <w:rPr>
                <w:rFonts w:ascii="黑体" w:hAnsi="黑体" w:eastAsia="黑体"/>
                <w:b w:val="0"/>
                <w:i w:val="0"/>
                <w:color w:val="000000"/>
                <w:sz w:val="20"/>
              </w:rPr>
              <w:t>递延所得税负债</w:t>
            </w:r>
          </w:p>
        </w:tc>
        <w:tc>
          <w:tcPr>
            <w:tcW w:type="dxa" w:w="1372"/>
            <w:tcBorders>
              <w:top w:sz="4.0" w:val="single" w:color="#000000"/>
            </w:tcBorders>
            <w:tcMar>
              <w:start w:w="0" w:type="dxa"/>
              <w:end w:w="0" w:type="dxa"/>
            </w:tcMar>
          </w:tcPr>
          <w:p>
            <w:pPr>
              <w:autoSpaceDN w:val="0"/>
              <w:autoSpaceDE w:val="0"/>
              <w:widowControl/>
              <w:spacing w:line="198" w:lineRule="exact" w:before="30" w:after="0"/>
              <w:ind w:left="254" w:right="0" w:firstLine="0"/>
              <w:jc w:val="left"/>
            </w:pPr>
            <w:r>
              <w:rPr>
                <w:rFonts w:ascii="黑体" w:hAnsi="黑体" w:eastAsia="黑体"/>
                <w:b w:val="0"/>
                <w:i w:val="0"/>
                <w:color w:val="000000"/>
                <w:sz w:val="20"/>
              </w:rPr>
              <w:t>递延所得税</w:t>
            </w:r>
          </w:p>
        </w:tc>
        <w:tc>
          <w:tcPr>
            <w:tcW w:type="dxa" w:w="1760"/>
            <w:tcBorders>
              <w:top w:sz="4.0" w:val="single" w:color="#000000"/>
            </w:tcBorders>
            <w:tcMar>
              <w:start w:w="0" w:type="dxa"/>
              <w:end w:w="0" w:type="dxa"/>
            </w:tcMar>
          </w:tcPr>
          <w:p>
            <w:pPr>
              <w:autoSpaceDN w:val="0"/>
              <w:autoSpaceDE w:val="0"/>
              <w:widowControl/>
              <w:spacing w:line="198" w:lineRule="exact" w:before="30" w:after="0"/>
              <w:ind w:left="0" w:right="0" w:firstLine="0"/>
              <w:jc w:val="center"/>
            </w:pPr>
            <w:r>
              <w:rPr>
                <w:rFonts w:ascii="黑体" w:hAnsi="黑体" w:eastAsia="黑体"/>
                <w:b w:val="0"/>
                <w:i w:val="0"/>
                <w:color w:val="000000"/>
                <w:sz w:val="20"/>
              </w:rPr>
              <w:t>互抵后的可抵扣</w:t>
            </w:r>
          </w:p>
        </w:tc>
        <w:tc>
          <w:tcPr>
            <w:tcW w:type="dxa" w:w="1360"/>
            <w:tcBorders>
              <w:top w:sz="4.0" w:val="single" w:color="#000000"/>
            </w:tcBorders>
            <w:tcMar>
              <w:start w:w="0" w:type="dxa"/>
              <w:end w:w="0" w:type="dxa"/>
            </w:tcMar>
          </w:tcPr>
          <w:p>
            <w:pPr>
              <w:autoSpaceDN w:val="0"/>
              <w:autoSpaceDE w:val="0"/>
              <w:widowControl/>
              <w:spacing w:line="198" w:lineRule="exact" w:before="30" w:after="0"/>
              <w:ind w:left="240" w:right="0" w:firstLine="0"/>
              <w:jc w:val="left"/>
            </w:pPr>
            <w:r>
              <w:rPr>
                <w:rFonts w:ascii="黑体" w:hAnsi="黑体" w:eastAsia="黑体"/>
                <w:b w:val="0"/>
                <w:i w:val="0"/>
                <w:color w:val="000000"/>
                <w:sz w:val="20"/>
              </w:rPr>
              <w:t>递延所得税</w:t>
            </w:r>
          </w:p>
        </w:tc>
        <w:tc>
          <w:tcPr>
            <w:tcW w:type="dxa" w:w="1620"/>
            <w:tcBorders>
              <w:top w:sz="4.0" w:val="single" w:color="#000000"/>
            </w:tcBorders>
            <w:tcMar>
              <w:start w:w="0" w:type="dxa"/>
              <w:end w:w="0" w:type="dxa"/>
            </w:tcMar>
          </w:tcPr>
          <w:p>
            <w:pPr>
              <w:autoSpaceDN w:val="0"/>
              <w:autoSpaceDE w:val="0"/>
              <w:widowControl/>
              <w:spacing w:line="198" w:lineRule="exact" w:before="30" w:after="0"/>
              <w:ind w:left="6" w:right="0" w:firstLine="0"/>
              <w:jc w:val="left"/>
            </w:pPr>
            <w:r>
              <w:rPr>
                <w:rFonts w:ascii="黑体" w:hAnsi="黑体" w:eastAsia="黑体"/>
                <w:b w:val="0"/>
                <w:i w:val="0"/>
                <w:color w:val="000000"/>
                <w:sz w:val="20"/>
              </w:rPr>
              <w:t>互抵后的可抵扣</w:t>
            </w:r>
          </w:p>
        </w:tc>
      </w:tr>
      <w:tr>
        <w:trPr>
          <w:trHeight w:hRule="exact" w:val="260"/>
        </w:trPr>
        <w:tc>
          <w:tcPr>
            <w:tcW w:type="dxa" w:w="1805"/>
            <w:vMerge/>
            <w:tcBorders>
              <w:top w:sz="4.0" w:val="single" w:color="#000000"/>
              <w:bottom w:sz="4.0" w:val="single" w:color="#000000"/>
            </w:tcBorders>
          </w:tcPr>
          <w:p/>
        </w:tc>
        <w:tc>
          <w:tcPr>
            <w:tcW w:type="dxa" w:w="1372"/>
            <w:tcBorders/>
            <w:tcMar>
              <w:start w:w="0" w:type="dxa"/>
              <w:end w:w="0" w:type="dxa"/>
            </w:tcMar>
          </w:tcPr>
          <w:p>
            <w:pPr>
              <w:autoSpaceDN w:val="0"/>
              <w:autoSpaceDE w:val="0"/>
              <w:widowControl/>
              <w:spacing w:line="200" w:lineRule="exact" w:before="30" w:after="0"/>
              <w:ind w:left="254" w:right="0" w:firstLine="0"/>
              <w:jc w:val="left"/>
            </w:pPr>
            <w:r>
              <w:rPr>
                <w:rFonts w:ascii="黑体" w:hAnsi="黑体" w:eastAsia="黑体"/>
                <w:b w:val="0"/>
                <w:i w:val="0"/>
                <w:color w:val="000000"/>
                <w:sz w:val="20"/>
              </w:rPr>
              <w:t>资产或负债</w:t>
            </w:r>
          </w:p>
        </w:tc>
        <w:tc>
          <w:tcPr>
            <w:tcW w:type="dxa" w:w="1760"/>
            <w:tcBorders/>
            <w:tcMar>
              <w:start w:w="0" w:type="dxa"/>
              <w:end w:w="0" w:type="dxa"/>
            </w:tcMar>
          </w:tcPr>
          <w:p>
            <w:pPr>
              <w:autoSpaceDN w:val="0"/>
              <w:autoSpaceDE w:val="0"/>
              <w:widowControl/>
              <w:spacing w:line="200" w:lineRule="exact" w:before="30" w:after="0"/>
              <w:ind w:left="0" w:right="0" w:firstLine="0"/>
              <w:jc w:val="center"/>
            </w:pPr>
            <w:r>
              <w:rPr>
                <w:rFonts w:ascii="黑体" w:hAnsi="黑体" w:eastAsia="黑体"/>
                <w:b w:val="0"/>
                <w:i w:val="0"/>
                <w:color w:val="000000"/>
                <w:sz w:val="20"/>
              </w:rPr>
              <w:t>或应纳税暂时性</w:t>
            </w:r>
          </w:p>
        </w:tc>
        <w:tc>
          <w:tcPr>
            <w:tcW w:type="dxa" w:w="1360"/>
            <w:tcBorders/>
            <w:tcMar>
              <w:start w:w="0" w:type="dxa"/>
              <w:end w:w="0" w:type="dxa"/>
            </w:tcMar>
          </w:tcPr>
          <w:p>
            <w:pPr>
              <w:autoSpaceDN w:val="0"/>
              <w:autoSpaceDE w:val="0"/>
              <w:widowControl/>
              <w:spacing w:line="200" w:lineRule="exact" w:before="30" w:after="0"/>
              <w:ind w:left="240" w:right="0" w:firstLine="0"/>
              <w:jc w:val="left"/>
            </w:pPr>
            <w:r>
              <w:rPr>
                <w:rFonts w:ascii="黑体" w:hAnsi="黑体" w:eastAsia="黑体"/>
                <w:b w:val="0"/>
                <w:i w:val="0"/>
                <w:color w:val="000000"/>
                <w:sz w:val="20"/>
              </w:rPr>
              <w:t>资产或负债</w:t>
            </w:r>
          </w:p>
        </w:tc>
        <w:tc>
          <w:tcPr>
            <w:tcW w:type="dxa" w:w="1620"/>
            <w:tcBorders/>
            <w:tcMar>
              <w:start w:w="0" w:type="dxa"/>
              <w:end w:w="0" w:type="dxa"/>
            </w:tcMar>
          </w:tcPr>
          <w:p>
            <w:pPr>
              <w:autoSpaceDN w:val="0"/>
              <w:autoSpaceDE w:val="0"/>
              <w:widowControl/>
              <w:spacing w:line="200" w:lineRule="exact" w:before="30" w:after="0"/>
              <w:ind w:left="0" w:right="0" w:firstLine="0"/>
              <w:jc w:val="center"/>
            </w:pPr>
            <w:r>
              <w:rPr>
                <w:rFonts w:ascii="黑体" w:hAnsi="黑体" w:eastAsia="黑体"/>
                <w:b w:val="0"/>
                <w:i w:val="0"/>
                <w:color w:val="000000"/>
                <w:sz w:val="20"/>
              </w:rPr>
              <w:t>或应纳税暂时</w:t>
            </w:r>
          </w:p>
        </w:tc>
      </w:tr>
      <w:tr>
        <w:trPr>
          <w:trHeight w:hRule="exact" w:val="360"/>
        </w:trPr>
        <w:tc>
          <w:tcPr>
            <w:tcW w:type="dxa" w:w="1805"/>
            <w:vMerge/>
            <w:tcBorders>
              <w:top w:sz="4.0" w:val="single" w:color="#000000"/>
              <w:bottom w:sz="4.0" w:val="single" w:color="#000000"/>
            </w:tcBorders>
          </w:tcPr>
          <w:p/>
        </w:tc>
        <w:tc>
          <w:tcPr>
            <w:tcW w:type="dxa" w:w="1372"/>
            <w:tcBorders/>
            <w:tcMar>
              <w:start w:w="0" w:type="dxa"/>
              <w:end w:w="0" w:type="dxa"/>
            </w:tcMar>
          </w:tcPr>
          <w:p>
            <w:pPr>
              <w:autoSpaceDN w:val="0"/>
              <w:autoSpaceDE w:val="0"/>
              <w:widowControl/>
              <w:spacing w:line="200" w:lineRule="exact" w:before="30" w:after="0"/>
              <w:ind w:left="0" w:right="118" w:firstLine="0"/>
              <w:jc w:val="right"/>
            </w:pPr>
            <w:r>
              <w:rPr>
                <w:rFonts w:ascii="黑体" w:hAnsi="黑体" w:eastAsia="黑体"/>
                <w:b w:val="0"/>
                <w:i w:val="0"/>
                <w:color w:val="000000"/>
                <w:sz w:val="20"/>
              </w:rPr>
              <w:t>净额</w:t>
            </w:r>
          </w:p>
        </w:tc>
        <w:tc>
          <w:tcPr>
            <w:tcW w:type="dxa" w:w="1760"/>
            <w:tcBorders/>
            <w:tcMar>
              <w:start w:w="0" w:type="dxa"/>
              <w:end w:w="0" w:type="dxa"/>
            </w:tcMar>
          </w:tcPr>
          <w:p>
            <w:pPr>
              <w:autoSpaceDN w:val="0"/>
              <w:autoSpaceDE w:val="0"/>
              <w:widowControl/>
              <w:spacing w:line="200" w:lineRule="exact" w:before="30" w:after="0"/>
              <w:ind w:left="0" w:right="176" w:firstLine="0"/>
              <w:jc w:val="right"/>
            </w:pPr>
            <w:r>
              <w:rPr>
                <w:rFonts w:ascii="黑体" w:hAnsi="黑体" w:eastAsia="黑体"/>
                <w:b w:val="0"/>
                <w:i w:val="0"/>
                <w:color w:val="000000"/>
                <w:sz w:val="20"/>
              </w:rPr>
              <w:t>差额</w:t>
            </w:r>
          </w:p>
        </w:tc>
        <w:tc>
          <w:tcPr>
            <w:tcW w:type="dxa" w:w="1360"/>
            <w:tcBorders/>
            <w:tcMar>
              <w:start w:w="0" w:type="dxa"/>
              <w:end w:w="0" w:type="dxa"/>
            </w:tcMar>
          </w:tcPr>
          <w:p>
            <w:pPr>
              <w:autoSpaceDN w:val="0"/>
              <w:autoSpaceDE w:val="0"/>
              <w:widowControl/>
              <w:spacing w:line="200" w:lineRule="exact" w:before="30" w:after="0"/>
              <w:ind w:left="0" w:right="120" w:firstLine="0"/>
              <w:jc w:val="right"/>
            </w:pPr>
            <w:r>
              <w:rPr>
                <w:rFonts w:ascii="黑体" w:hAnsi="黑体" w:eastAsia="黑体"/>
                <w:b w:val="0"/>
                <w:i w:val="0"/>
                <w:color w:val="000000"/>
                <w:sz w:val="20"/>
              </w:rPr>
              <w:t>净额</w:t>
            </w:r>
          </w:p>
        </w:tc>
        <w:tc>
          <w:tcPr>
            <w:tcW w:type="dxa" w:w="1620"/>
            <w:tcBorders/>
            <w:tcMar>
              <w:start w:w="0" w:type="dxa"/>
              <w:end w:w="0" w:type="dxa"/>
            </w:tcMar>
          </w:tcPr>
          <w:p>
            <w:pPr>
              <w:autoSpaceDN w:val="0"/>
              <w:autoSpaceDE w:val="0"/>
              <w:widowControl/>
              <w:spacing w:line="200" w:lineRule="exact" w:before="30" w:after="0"/>
              <w:ind w:left="0" w:right="216" w:firstLine="0"/>
              <w:jc w:val="right"/>
            </w:pPr>
            <w:r>
              <w:rPr>
                <w:rFonts w:ascii="黑体" w:hAnsi="黑体" w:eastAsia="黑体"/>
                <w:b w:val="0"/>
                <w:i w:val="0"/>
                <w:color w:val="000000"/>
                <w:sz w:val="20"/>
              </w:rPr>
              <w:t>性差额</w:t>
            </w:r>
          </w:p>
        </w:tc>
      </w:tr>
      <w:tr>
        <w:trPr>
          <w:trHeight w:hRule="exact" w:val="400"/>
        </w:trPr>
        <w:tc>
          <w:tcPr>
            <w:tcW w:type="dxa" w:w="1805"/>
            <w:vMerge/>
            <w:tcBorders>
              <w:top w:sz="4.0" w:val="single" w:color="#000000"/>
              <w:bottom w:sz="4.0" w:val="single" w:color="#000000"/>
            </w:tcBorders>
          </w:tcPr>
          <w:p/>
        </w:tc>
        <w:tc>
          <w:tcPr>
            <w:tcW w:type="dxa" w:w="1372"/>
            <w:tcBorders/>
            <w:tcMar>
              <w:start w:w="0" w:type="dxa"/>
              <w:end w:w="0" w:type="dxa"/>
            </w:tcMar>
          </w:tcPr>
          <w:p>
            <w:pPr>
              <w:autoSpaceDN w:val="0"/>
              <w:autoSpaceDE w:val="0"/>
              <w:widowControl/>
              <w:spacing w:line="233" w:lineRule="auto" w:before="162" w:after="0"/>
              <w:ind w:left="144" w:right="0" w:firstLine="0"/>
              <w:jc w:val="left"/>
            </w:pPr>
            <w:r>
              <w:rPr>
                <w:rFonts w:ascii="Arial" w:hAnsi="Arial" w:eastAsia="Arial"/>
                <w:b w:val="0"/>
                <w:i w:val="0"/>
                <w:color w:val="000000"/>
                <w:sz w:val="20"/>
              </w:rPr>
              <w:t xml:space="preserve">135,143,611 </w:t>
            </w:r>
          </w:p>
        </w:tc>
        <w:tc>
          <w:tcPr>
            <w:tcW w:type="dxa" w:w="1760"/>
            <w:tcBorders/>
            <w:tcMar>
              <w:start w:w="0" w:type="dxa"/>
              <w:end w:w="0" w:type="dxa"/>
            </w:tcMar>
          </w:tcPr>
          <w:p>
            <w:pPr>
              <w:autoSpaceDN w:val="0"/>
              <w:autoSpaceDE w:val="0"/>
              <w:widowControl/>
              <w:spacing w:line="233" w:lineRule="auto" w:before="162" w:after="0"/>
              <w:ind w:left="0" w:right="120" w:firstLine="0"/>
              <w:jc w:val="right"/>
            </w:pPr>
            <w:r>
              <w:rPr>
                <w:rFonts w:ascii="Arial" w:hAnsi="Arial" w:eastAsia="Arial"/>
                <w:b w:val="0"/>
                <w:i w:val="0"/>
                <w:color w:val="000000"/>
                <w:sz w:val="20"/>
              </w:rPr>
              <w:t xml:space="preserve">540,574,444 </w:t>
            </w:r>
          </w:p>
        </w:tc>
        <w:tc>
          <w:tcPr>
            <w:tcW w:type="dxa" w:w="1360"/>
            <w:tcBorders/>
            <w:tcMar>
              <w:start w:w="0" w:type="dxa"/>
              <w:end w:w="0" w:type="dxa"/>
            </w:tcMar>
          </w:tcPr>
          <w:p>
            <w:pPr>
              <w:autoSpaceDN w:val="0"/>
              <w:autoSpaceDE w:val="0"/>
              <w:widowControl/>
              <w:spacing w:line="233" w:lineRule="auto" w:before="162" w:after="0"/>
              <w:ind w:left="0" w:right="0" w:firstLine="0"/>
              <w:jc w:val="center"/>
            </w:pPr>
            <w:r>
              <w:rPr>
                <w:rFonts w:ascii="Arial" w:hAnsi="Arial" w:eastAsia="Arial"/>
                <w:b w:val="0"/>
                <w:i w:val="0"/>
                <w:color w:val="000000"/>
                <w:sz w:val="20"/>
              </w:rPr>
              <w:t>213,254,141</w:t>
            </w:r>
          </w:p>
        </w:tc>
        <w:tc>
          <w:tcPr>
            <w:tcW w:type="dxa" w:w="1620"/>
            <w:tcBorders/>
            <w:tcMar>
              <w:start w:w="0" w:type="dxa"/>
              <w:end w:w="0" w:type="dxa"/>
            </w:tcMar>
          </w:tcPr>
          <w:p>
            <w:pPr>
              <w:autoSpaceDN w:val="0"/>
              <w:autoSpaceDE w:val="0"/>
              <w:widowControl/>
              <w:spacing w:line="233" w:lineRule="auto" w:before="162" w:after="0"/>
              <w:ind w:left="0" w:right="0" w:firstLine="0"/>
              <w:jc w:val="center"/>
            </w:pPr>
            <w:r>
              <w:rPr>
                <w:rFonts w:ascii="Arial" w:hAnsi="Arial" w:eastAsia="Arial"/>
                <w:b w:val="0"/>
                <w:i w:val="0"/>
                <w:color w:val="000000"/>
                <w:sz w:val="20"/>
              </w:rPr>
              <w:t>853,016,564</w:t>
            </w:r>
          </w:p>
        </w:tc>
      </w:tr>
      <w:tr>
        <w:trPr>
          <w:trHeight w:hRule="exact" w:val="256"/>
        </w:trPr>
        <w:tc>
          <w:tcPr>
            <w:tcW w:type="dxa" w:w="1805"/>
            <w:vMerge/>
            <w:tcBorders>
              <w:top w:sz="4.0" w:val="single" w:color="#000000"/>
              <w:bottom w:sz="4.0" w:val="single" w:color="#000000"/>
            </w:tcBorders>
          </w:tcPr>
          <w:p/>
        </w:tc>
        <w:tc>
          <w:tcPr>
            <w:tcW w:type="dxa" w:w="1372"/>
            <w:vMerge w:val="restart"/>
            <w:tcBorders/>
            <w:tcMar>
              <w:start w:w="0" w:type="dxa"/>
              <w:end w:w="0" w:type="dxa"/>
            </w:tcMar>
            <w:tcMar>
              <w:start w:w="0" w:type="dxa"/>
              <w:end w:w="0" w:type="dxa"/>
            </w:tcMar>
          </w:tcPr>
          <w:p>
            <w:pPr>
              <w:autoSpaceDN w:val="0"/>
              <w:autoSpaceDE w:val="0"/>
              <w:widowControl/>
              <w:spacing w:line="233" w:lineRule="auto" w:before="24" w:after="0"/>
              <w:ind w:left="186" w:right="0" w:firstLine="0"/>
              <w:jc w:val="left"/>
            </w:pPr>
            <w:r>
              <w:rPr>
                <w:rFonts w:ascii="Arial" w:hAnsi="Arial" w:eastAsia="Arial"/>
                <w:b w:val="0"/>
                <w:i w:val="0"/>
                <w:color w:val="000000"/>
                <w:sz w:val="20"/>
              </w:rPr>
              <w:t xml:space="preserve">(53,668,910) </w:t>
            </w:r>
          </w:p>
        </w:tc>
        <w:tc>
          <w:tcPr>
            <w:tcW w:type="dxa" w:w="31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406" w:right="0" w:firstLine="0"/>
              <w:jc w:val="left"/>
            </w:pPr>
            <w:r>
              <w:rPr>
                <w:rFonts w:ascii="Arial" w:hAnsi="Arial" w:eastAsia="Arial"/>
                <w:b w:val="0"/>
                <w:i w:val="0"/>
                <w:color w:val="000000"/>
                <w:sz w:val="20"/>
              </w:rPr>
              <w:t xml:space="preserve">(214,675,640 ) (111,707,421) </w:t>
            </w:r>
          </w:p>
        </w:tc>
        <w:tc>
          <w:tcPr>
            <w:tcW w:type="dxa" w:w="1620"/>
            <w:vMerge w:val="restart"/>
            <w:tcBorders/>
            <w:tcMar>
              <w:start w:w="0" w:type="dxa"/>
              <w:end w:w="0" w:type="dxa"/>
            </w:tcMar>
            <w:tcMar>
              <w:start w:w="0" w:type="dxa"/>
              <w:end w:w="0" w:type="dxa"/>
            </w:tcMar>
          </w:tcPr>
          <w:p>
            <w:pPr>
              <w:autoSpaceDN w:val="0"/>
              <w:autoSpaceDE w:val="0"/>
              <w:widowControl/>
              <w:spacing w:line="233" w:lineRule="auto" w:before="24" w:after="0"/>
              <w:ind w:left="226" w:right="0" w:firstLine="0"/>
              <w:jc w:val="left"/>
            </w:pPr>
            <w:r>
              <w:rPr>
                <w:rFonts w:ascii="Arial" w:hAnsi="Arial" w:eastAsia="Arial"/>
                <w:b w:val="0"/>
                <w:i w:val="0"/>
                <w:color w:val="000000"/>
                <w:sz w:val="20"/>
              </w:rPr>
              <w:t xml:space="preserve">(446,829,684) </w:t>
            </w:r>
          </w:p>
        </w:tc>
      </w:tr>
      <w:tr>
        <w:trPr>
          <w:trHeight w:hRule="exact" w:val="50"/>
        </w:trPr>
        <w:tc>
          <w:tcPr>
            <w:tcW w:type="dxa" w:w="2628"/>
            <w:tcBorders>
              <w:top w:sz="4.0" w:val="single" w:color="#000000"/>
            </w:tcBorders>
            <w:tcMar>
              <w:start w:w="0" w:type="dxa"/>
              <w:end w:w="0" w:type="dxa"/>
            </w:tcMar>
          </w:tcPr>
          <w:p/>
        </w:tc>
        <w:tc>
          <w:tcPr>
            <w:tcW w:type="dxa" w:w="1805"/>
            <w:vMerge/>
            <w:tcBorders/>
          </w:tcPr>
          <w:p/>
        </w:tc>
        <w:tc>
          <w:tcPr>
            <w:tcW w:type="dxa" w:w="3610"/>
            <w:gridSpan w:val="2"/>
            <w:vMerge/>
            <w:tcBorders/>
          </w:tcPr>
          <w:p/>
        </w:tc>
        <w:tc>
          <w:tcPr>
            <w:tcW w:type="dxa" w:w="1805"/>
            <w:vMerge/>
            <w:tcBorders/>
          </w:tcPr>
          <w:p/>
        </w:tc>
      </w:tr>
    </w:tbl>
    <w:p>
      <w:pPr>
        <w:autoSpaceDN w:val="0"/>
        <w:autoSpaceDE w:val="0"/>
        <w:widowControl/>
        <w:spacing w:line="332" w:lineRule="exact" w:before="158"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未确认递延所得税资产明细</w:t>
      </w:r>
      <w:r>
        <w:br/>
      </w:r>
      <w:r>
        <w:rPr>
          <w:rFonts w:ascii="黑体" w:hAnsi="黑体" w:eastAsia="黑体"/>
          <w:b w:val="0"/>
          <w:i w:val="0"/>
          <w:color w:val="000000"/>
          <w:sz w:val="22"/>
        </w:rPr>
        <w:t>按照附注三、</w:t>
      </w:r>
      <w:r>
        <w:rPr>
          <w:rFonts w:ascii="Arial" w:hAnsi="Arial" w:eastAsia="Arial"/>
          <w:b w:val="0"/>
          <w:i w:val="0"/>
          <w:color w:val="000000"/>
          <w:sz w:val="22"/>
        </w:rPr>
        <w:t>21</w:t>
      </w:r>
      <w:r>
        <w:rPr>
          <w:rFonts w:ascii="黑体" w:hAnsi="黑体" w:eastAsia="黑体"/>
          <w:b w:val="0"/>
          <w:i w:val="0"/>
          <w:color w:val="000000"/>
          <w:sz w:val="22"/>
        </w:rPr>
        <w:t>所载的会计政策，由于本集团部分纳入合并范围的企业不是很可能获</w:t>
      </w:r>
      <w:r>
        <w:rPr>
          <w:rFonts w:ascii="黑体" w:hAnsi="黑体" w:eastAsia="黑体"/>
          <w:b w:val="0"/>
          <w:i w:val="0"/>
          <w:color w:val="000000"/>
          <w:sz w:val="22"/>
        </w:rPr>
        <w:t>得可用于抵扣有关亏损的未来应税利润，因此本集团于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日尚未就该些企</w:t>
      </w:r>
      <w:r>
        <w:rPr>
          <w:rFonts w:ascii="黑体" w:hAnsi="黑体" w:eastAsia="黑体"/>
          <w:b w:val="0"/>
          <w:i w:val="0"/>
          <w:color w:val="000000"/>
          <w:sz w:val="22"/>
        </w:rPr>
        <w:t>业共计人民币</w:t>
      </w:r>
      <w:r>
        <w:rPr>
          <w:rFonts w:ascii="Arial" w:hAnsi="Arial" w:eastAsia="Arial"/>
          <w:b w:val="0"/>
          <w:i w:val="0"/>
          <w:color w:val="000000"/>
          <w:sz w:val="22"/>
        </w:rPr>
        <w:t>64,611,646</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163,894,628</w:t>
      </w:r>
      <w:r>
        <w:rPr>
          <w:rFonts w:ascii="黑体" w:hAnsi="黑体" w:eastAsia="黑体"/>
          <w:b w:val="0"/>
          <w:i w:val="0"/>
          <w:color w:val="000000"/>
          <w:sz w:val="22"/>
        </w:rPr>
        <w:t>元）的累积可抵</w:t>
      </w:r>
      <w:r>
        <w:rPr>
          <w:rFonts w:ascii="黑体" w:hAnsi="黑体" w:eastAsia="黑体"/>
          <w:b w:val="0"/>
          <w:i w:val="0"/>
          <w:color w:val="000000"/>
          <w:sz w:val="22"/>
        </w:rPr>
        <w:t>扣亏损确认递延所得税资产，未确认递延所得税资产的可抵扣亏损到期日应当根据相</w:t>
      </w:r>
      <w:r>
        <w:rPr>
          <w:rFonts w:ascii="黑体" w:hAnsi="黑体" w:eastAsia="黑体"/>
          <w:b w:val="0"/>
          <w:i w:val="0"/>
          <w:color w:val="000000"/>
          <w:sz w:val="22"/>
        </w:rPr>
        <w:t>关地区现行税务规定。</w:t>
      </w:r>
    </w:p>
    <w:p>
      <w:pPr>
        <w:autoSpaceDN w:val="0"/>
        <w:autoSpaceDE w:val="0"/>
        <w:widowControl/>
        <w:spacing w:line="233" w:lineRule="auto" w:before="6398" w:after="0"/>
        <w:ind w:left="0" w:right="0" w:firstLine="0"/>
        <w:jc w:val="center"/>
      </w:pPr>
      <w:r>
        <w:rPr>
          <w:rFonts w:ascii="Arial" w:hAnsi="Arial" w:eastAsia="Arial"/>
          <w:b w:val="0"/>
          <w:i w:val="0"/>
          <w:color w:val="000000"/>
          <w:sz w:val="20"/>
        </w:rPr>
        <w:t xml:space="preserve">218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36" w:lineRule="exact" w:before="0" w:after="230"/>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18. </w:t>
      </w:r>
      <w:r>
        <w:tab/>
      </w:r>
      <w:r>
        <w:rPr>
          <w:rFonts w:ascii="黑体" w:hAnsi="黑体" w:eastAsia="黑体"/>
          <w:b w:val="0"/>
          <w:i w:val="0"/>
          <w:color w:val="000000"/>
          <w:sz w:val="22"/>
        </w:rPr>
        <w:t>资产减值准备</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各项减值准备的变动情况：</w:t>
      </w:r>
    </w:p>
    <w:tbl>
      <w:tblPr>
        <w:tblW w:type="auto" w:w="0"/>
        <w:tblLayout w:type="fixed"/>
        <w:tblLook w:firstColumn="1" w:firstRow="1" w:lastColumn="0" w:lastRow="0" w:noHBand="0" w:noVBand="1" w:val="04A0"/>
        <w:tblInd w:w="160.0" w:type="dxa"/>
      </w:tblPr>
      <w:tblGrid>
        <w:gridCol w:w="1128"/>
        <w:gridCol w:w="1128"/>
        <w:gridCol w:w="1128"/>
        <w:gridCol w:w="1128"/>
        <w:gridCol w:w="1128"/>
        <w:gridCol w:w="1128"/>
        <w:gridCol w:w="1128"/>
        <w:gridCol w:w="1128"/>
      </w:tblGrid>
      <w:tr>
        <w:trPr>
          <w:trHeight w:hRule="exact" w:val="246"/>
        </w:trPr>
        <w:tc>
          <w:tcPr>
            <w:tcW w:type="dxa" w:w="1580"/>
            <w:tcBorders>
              <w:bottom w:sz="4.0" w:val="single" w:color="#000000"/>
            </w:tcBorders>
            <w:tcMar>
              <w:start w:w="0" w:type="dxa"/>
              <w:end w:w="0" w:type="dxa"/>
            </w:tcMar>
          </w:tcPr>
          <w:p/>
        </w:tc>
        <w:tc>
          <w:tcPr>
            <w:tcW w:type="dxa" w:w="1240"/>
            <w:tcBorders>
              <w:bottom w:sz="4.0" w:val="single" w:color="#000000"/>
            </w:tcBorders>
            <w:tcMar>
              <w:start w:w="0" w:type="dxa"/>
              <w:end w:w="0" w:type="dxa"/>
            </w:tcMar>
          </w:tcPr>
          <w:p>
            <w:pPr>
              <w:autoSpaceDN w:val="0"/>
              <w:autoSpaceDE w:val="0"/>
              <w:widowControl/>
              <w:spacing w:line="168" w:lineRule="exact" w:before="60" w:after="0"/>
              <w:ind w:left="0" w:right="204"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c>
          <w:tcPr>
            <w:tcW w:type="dxa" w:w="1182"/>
            <w:tcBorders>
              <w:bottom w:sz="4.0" w:val="single" w:color="#000000"/>
            </w:tcBorders>
            <w:tcMar>
              <w:start w:w="0" w:type="dxa"/>
              <w:end w:w="0" w:type="dxa"/>
            </w:tcMar>
          </w:tcPr>
          <w:p/>
        </w:tc>
        <w:tc>
          <w:tcPr>
            <w:tcW w:type="dxa" w:w="2250"/>
            <w:gridSpan w:val="3"/>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68" w:after="0"/>
              <w:ind w:left="0" w:right="0" w:firstLine="0"/>
              <w:jc w:val="center"/>
            </w:pPr>
            <w:r>
              <w:rPr>
                <w:rFonts w:ascii="黑体" w:hAnsi="黑体" w:eastAsia="黑体"/>
                <w:b w:val="0"/>
                <w:i w:val="0"/>
                <w:color w:val="000000"/>
                <w:sz w:val="15"/>
              </w:rPr>
              <w:t>本年减少</w:t>
            </w:r>
          </w:p>
        </w:tc>
        <w:tc>
          <w:tcPr>
            <w:tcW w:type="dxa" w:w="1248"/>
            <w:tcBorders>
              <w:bottom w:sz="4.0" w:val="single" w:color="#000000"/>
            </w:tcBorders>
            <w:tcMar>
              <w:start w:w="0" w:type="dxa"/>
              <w:end w:w="0" w:type="dxa"/>
            </w:tcMar>
          </w:tcPr>
          <w:p>
            <w:pPr>
              <w:autoSpaceDN w:val="0"/>
              <w:autoSpaceDE w:val="0"/>
              <w:widowControl/>
              <w:spacing w:line="150" w:lineRule="exact" w:before="68" w:after="0"/>
              <w:ind w:left="0" w:right="154" w:firstLine="0"/>
              <w:jc w:val="right"/>
            </w:pPr>
            <w:r>
              <w:rPr>
                <w:rFonts w:ascii="黑体" w:hAnsi="黑体" w:eastAsia="黑体"/>
                <w:b w:val="0"/>
                <w:i w:val="0"/>
                <w:color w:val="000000"/>
                <w:sz w:val="15"/>
              </w:rPr>
              <w:t>汇率变动</w:t>
            </w:r>
          </w:p>
        </w:tc>
        <w:tc>
          <w:tcPr>
            <w:tcW w:type="dxa" w:w="1200"/>
            <w:tcBorders>
              <w:bottom w:sz="4.0" w:val="single" w:color="#000000"/>
            </w:tcBorders>
            <w:tcMar>
              <w:start w:w="0" w:type="dxa"/>
              <w:end w:w="0" w:type="dxa"/>
            </w:tcMar>
          </w:tcPr>
          <w:p>
            <w:pPr>
              <w:autoSpaceDN w:val="0"/>
              <w:autoSpaceDE w:val="0"/>
              <w:widowControl/>
              <w:spacing w:line="168" w:lineRule="exact" w:before="60" w:after="0"/>
              <w:ind w:left="0" w:right="178"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r>
      <w:tr>
        <w:trPr>
          <w:trHeight w:hRule="exact" w:val="182"/>
        </w:trPr>
        <w:tc>
          <w:tcPr>
            <w:tcW w:type="dxa" w:w="1580"/>
            <w:tcBorders>
              <w:top w:sz="4.0" w:val="single" w:color="#000000"/>
              <w:bottom w:sz="2.400000000000091" w:val="single" w:color="#000000"/>
            </w:tcBorders>
            <w:tcMar>
              <w:start w:w="0" w:type="dxa"/>
              <w:end w:w="0" w:type="dxa"/>
            </w:tcMar>
          </w:tcPr>
          <w:p/>
        </w:tc>
        <w:tc>
          <w:tcPr>
            <w:tcW w:type="dxa" w:w="1240"/>
            <w:tcBorders>
              <w:top w:sz="4.0" w:val="single" w:color="#000000"/>
              <w:bottom w:sz="2.400000000000091" w:val="single" w:color="#000000"/>
            </w:tcBorders>
            <w:tcMar>
              <w:start w:w="0" w:type="dxa"/>
              <w:end w:w="0" w:type="dxa"/>
            </w:tcMar>
          </w:tcPr>
          <w:p>
            <w:pPr>
              <w:autoSpaceDN w:val="0"/>
              <w:autoSpaceDE w:val="0"/>
              <w:widowControl/>
              <w:spacing w:line="168" w:lineRule="exact" w:before="6" w:after="0"/>
              <w:ind w:left="0" w:right="212" w:firstLine="0"/>
              <w:jc w:val="right"/>
            </w:pPr>
            <w:r>
              <w:rPr>
                <w:rFonts w:ascii="Arial" w:hAnsi="Arial" w:eastAsia="Arial"/>
                <w:b w:val="0"/>
                <w:i w:val="0"/>
                <w:color w:val="000000"/>
                <w:sz w:val="15"/>
                <w:u w:val="single"/>
              </w:rPr>
              <w:t>1</w:t>
            </w:r>
            <w:r>
              <w:rPr>
                <w:rFonts w:ascii="黑体" w:hAnsi="黑体" w:eastAsia="黑体"/>
                <w:b w:val="0"/>
                <w:i w:val="0"/>
                <w:color w:val="000000"/>
                <w:sz w:val="15"/>
              </w:rPr>
              <w:t>月</w:t>
            </w:r>
            <w:r>
              <w:rPr>
                <w:rFonts w:ascii="Arial" w:hAnsi="Arial" w:eastAsia="Arial"/>
                <w:b w:val="0"/>
                <w:i w:val="0"/>
                <w:color w:val="000000"/>
                <w:sz w:val="15"/>
                <w:u w:val="single"/>
              </w:rPr>
              <w:t>1</w:t>
            </w:r>
            <w:r>
              <w:rPr>
                <w:rFonts w:ascii="黑体" w:hAnsi="黑体" w:eastAsia="黑体"/>
                <w:b w:val="0"/>
                <w:i w:val="0"/>
                <w:color w:val="000000"/>
                <w:sz w:val="15"/>
              </w:rPr>
              <w:t>日</w:t>
            </w:r>
          </w:p>
        </w:tc>
        <w:tc>
          <w:tcPr>
            <w:tcW w:type="dxa" w:w="1182"/>
            <w:tcBorders>
              <w:top w:sz="4.0" w:val="single" w:color="#000000"/>
              <w:bottom w:sz="2.400000000000091" w:val="single" w:color="#000000"/>
            </w:tcBorders>
            <w:tcMar>
              <w:start w:w="0" w:type="dxa"/>
              <w:end w:w="0" w:type="dxa"/>
            </w:tcMar>
          </w:tcPr>
          <w:p>
            <w:pPr>
              <w:autoSpaceDN w:val="0"/>
              <w:autoSpaceDE w:val="0"/>
              <w:widowControl/>
              <w:spacing w:line="150" w:lineRule="exact" w:before="22" w:after="0"/>
              <w:ind w:left="0" w:right="202" w:firstLine="0"/>
              <w:jc w:val="right"/>
            </w:pPr>
            <w:r>
              <w:rPr>
                <w:rFonts w:ascii="黑体" w:hAnsi="黑体" w:eastAsia="黑体"/>
                <w:b w:val="0"/>
                <w:i w:val="0"/>
                <w:color w:val="000000"/>
                <w:sz w:val="15"/>
              </w:rPr>
              <w:t>本年增加</w:t>
            </w:r>
          </w:p>
        </w:tc>
        <w:tc>
          <w:tcPr>
            <w:tcW w:type="dxa" w:w="998"/>
            <w:tcBorders>
              <w:top w:sz="4.0" w:val="single" w:color="#000000"/>
              <w:bottom w:sz="2.400000000000091" w:val="single" w:color="#000000"/>
            </w:tcBorders>
            <w:tcMar>
              <w:start w:w="0" w:type="dxa"/>
              <w:end w:w="0" w:type="dxa"/>
            </w:tcMar>
          </w:tcPr>
          <w:p>
            <w:pPr>
              <w:autoSpaceDN w:val="0"/>
              <w:autoSpaceDE w:val="0"/>
              <w:widowControl/>
              <w:spacing w:line="150" w:lineRule="exact" w:before="22" w:after="0"/>
              <w:ind w:left="0" w:right="0" w:firstLine="0"/>
              <w:jc w:val="center"/>
            </w:pPr>
            <w:r>
              <w:rPr>
                <w:rFonts w:ascii="黑体" w:hAnsi="黑体" w:eastAsia="黑体"/>
                <w:b w:val="0"/>
                <w:i w:val="0"/>
                <w:color w:val="000000"/>
                <w:sz w:val="15"/>
              </w:rPr>
              <w:t>本年转回</w:t>
            </w:r>
          </w:p>
        </w:tc>
        <w:tc>
          <w:tcPr>
            <w:tcW w:type="dxa" w:w="1252"/>
            <w:gridSpan w:val="2"/>
            <w:tcBorders>
              <w:top w:sz="4.0" w:val="single" w:color="#000000"/>
              <w:bottom w:sz="2.400000000000091" w:val="single" w:color="#000000"/>
            </w:tcBorders>
            <w:tcMar>
              <w:start w:w="0" w:type="dxa"/>
              <w:end w:w="0" w:type="dxa"/>
            </w:tcMar>
            <w:tcMar>
              <w:start w:w="0" w:type="dxa"/>
              <w:end w:w="0" w:type="dxa"/>
            </w:tcMar>
          </w:tcPr>
          <w:p>
            <w:pPr>
              <w:autoSpaceDN w:val="0"/>
              <w:autoSpaceDE w:val="0"/>
              <w:widowControl/>
              <w:spacing w:line="150" w:lineRule="exact" w:before="22" w:after="0"/>
              <w:ind w:left="200" w:right="0" w:firstLine="0"/>
              <w:jc w:val="left"/>
            </w:pPr>
            <w:r>
              <w:rPr>
                <w:rFonts w:ascii="黑体" w:hAnsi="黑体" w:eastAsia="黑体"/>
                <w:b w:val="0"/>
                <w:i w:val="0"/>
                <w:color w:val="000000"/>
                <w:sz w:val="15"/>
              </w:rPr>
              <w:t>本年核销或转出</w:t>
            </w:r>
          </w:p>
        </w:tc>
        <w:tc>
          <w:tcPr>
            <w:tcW w:type="dxa" w:w="1248"/>
            <w:tcBorders>
              <w:top w:sz="4.0" w:val="single" w:color="#000000"/>
              <w:bottom w:sz="2.400000000000091" w:val="single" w:color="#000000"/>
            </w:tcBorders>
            <w:tcMar>
              <w:start w:w="0" w:type="dxa"/>
              <w:end w:w="0" w:type="dxa"/>
            </w:tcMar>
          </w:tcPr>
          <w:p>
            <w:pPr>
              <w:autoSpaceDN w:val="0"/>
              <w:autoSpaceDE w:val="0"/>
              <w:widowControl/>
              <w:spacing w:line="150" w:lineRule="exact" w:before="22" w:after="0"/>
              <w:ind w:left="0" w:right="154" w:firstLine="0"/>
              <w:jc w:val="right"/>
            </w:pPr>
            <w:r>
              <w:rPr>
                <w:rFonts w:ascii="黑体" w:hAnsi="黑体" w:eastAsia="黑体"/>
                <w:b w:val="0"/>
                <w:i w:val="0"/>
                <w:color w:val="000000"/>
                <w:sz w:val="15"/>
              </w:rPr>
              <w:t>的影响</w:t>
            </w:r>
          </w:p>
        </w:tc>
        <w:tc>
          <w:tcPr>
            <w:tcW w:type="dxa" w:w="1200"/>
            <w:tcBorders>
              <w:top w:sz="4.0" w:val="single" w:color="#000000"/>
              <w:bottom w:sz="2.400000000000091" w:val="single" w:color="#000000"/>
            </w:tcBorders>
            <w:tcMar>
              <w:start w:w="0" w:type="dxa"/>
              <w:end w:w="0" w:type="dxa"/>
            </w:tcMar>
          </w:tcPr>
          <w:p>
            <w:pPr>
              <w:autoSpaceDN w:val="0"/>
              <w:autoSpaceDE w:val="0"/>
              <w:widowControl/>
              <w:spacing w:line="168" w:lineRule="exact" w:before="6" w:after="0"/>
              <w:ind w:left="0" w:right="174" w:firstLine="0"/>
              <w:jc w:val="right"/>
            </w:pPr>
            <w:r>
              <w:rPr>
                <w:rFonts w:ascii="Arial" w:hAnsi="Arial" w:eastAsia="Arial"/>
                <w:b w:val="0"/>
                <w:i w:val="0"/>
                <w:color w:val="000000"/>
                <w:sz w:val="15"/>
                <w:u w:val="single"/>
              </w:rPr>
              <w:t>12</w:t>
            </w:r>
            <w:r>
              <w:rPr>
                <w:rFonts w:ascii="黑体" w:hAnsi="黑体" w:eastAsia="黑体"/>
                <w:b w:val="0"/>
                <w:i w:val="0"/>
                <w:color w:val="000000"/>
                <w:sz w:val="15"/>
                <w:u w:val="single"/>
              </w:rPr>
              <w:t>月</w:t>
            </w:r>
            <w:r>
              <w:rPr>
                <w:rFonts w:ascii="Arial" w:hAnsi="Arial" w:eastAsia="Arial"/>
                <w:b w:val="0"/>
                <w:i w:val="0"/>
                <w:color w:val="000000"/>
                <w:sz w:val="15"/>
                <w:u w:val="single"/>
              </w:rPr>
              <w:t>31</w:t>
            </w:r>
            <w:r>
              <w:rPr>
                <w:rFonts w:ascii="黑体" w:hAnsi="黑体" w:eastAsia="黑体"/>
                <w:b w:val="0"/>
                <w:i w:val="0"/>
                <w:color w:val="000000"/>
                <w:sz w:val="15"/>
                <w:u w:val="single"/>
              </w:rPr>
              <w:t>日</w:t>
            </w:r>
          </w:p>
        </w:tc>
      </w:tr>
      <w:tr>
        <w:trPr>
          <w:trHeight w:hRule="exact" w:val="392"/>
        </w:trPr>
        <w:tc>
          <w:tcPr>
            <w:tcW w:type="dxa" w:w="1580"/>
            <w:tcBorders>
              <w:top w:sz="2.400000000000091" w:val="single" w:color="#000000"/>
            </w:tcBorders>
            <w:tcMar>
              <w:start w:w="0" w:type="dxa"/>
              <w:end w:w="0" w:type="dxa"/>
            </w:tcMar>
          </w:tcPr>
          <w:p>
            <w:pPr>
              <w:autoSpaceDN w:val="0"/>
              <w:autoSpaceDE w:val="0"/>
              <w:widowControl/>
              <w:spacing w:line="152" w:lineRule="exact" w:before="208" w:after="0"/>
              <w:ind w:left="0" w:right="0" w:firstLine="0"/>
              <w:jc w:val="center"/>
            </w:pPr>
            <w:r>
              <w:rPr>
                <w:rFonts w:ascii="黑体" w:hAnsi="黑体" w:eastAsia="黑体"/>
                <w:b w:val="0"/>
                <w:i w:val="0"/>
                <w:color w:val="000000"/>
                <w:sz w:val="15"/>
              </w:rPr>
              <w:t>融出资金减值准备</w:t>
            </w:r>
          </w:p>
        </w:tc>
        <w:tc>
          <w:tcPr>
            <w:tcW w:type="dxa" w:w="1240"/>
            <w:tcBorders>
              <w:top w:sz="2.400000000000091" w:val="single" w:color="#000000"/>
            </w:tcBorders>
            <w:tcMar>
              <w:start w:w="0" w:type="dxa"/>
              <w:end w:w="0" w:type="dxa"/>
            </w:tcMar>
          </w:tcPr>
          <w:p>
            <w:pPr>
              <w:autoSpaceDN w:val="0"/>
              <w:autoSpaceDE w:val="0"/>
              <w:widowControl/>
              <w:spacing w:line="235" w:lineRule="auto" w:before="208" w:after="0"/>
              <w:ind w:left="0" w:right="0" w:firstLine="0"/>
              <w:jc w:val="center"/>
            </w:pPr>
            <w:r>
              <w:rPr>
                <w:rFonts w:ascii="Arial" w:hAnsi="Arial" w:eastAsia="Arial"/>
                <w:b w:val="0"/>
                <w:i w:val="0"/>
                <w:color w:val="000000"/>
                <w:sz w:val="15"/>
              </w:rPr>
              <w:t>205,747,784</w:t>
            </w:r>
          </w:p>
        </w:tc>
        <w:tc>
          <w:tcPr>
            <w:tcW w:type="dxa" w:w="1182"/>
            <w:tcBorders>
              <w:top w:sz="2.400000000000091" w:val="single" w:color="#000000"/>
            </w:tcBorders>
            <w:tcMar>
              <w:start w:w="0" w:type="dxa"/>
              <w:end w:w="0" w:type="dxa"/>
            </w:tcMar>
          </w:tcPr>
          <w:p>
            <w:pPr>
              <w:autoSpaceDN w:val="0"/>
              <w:autoSpaceDE w:val="0"/>
              <w:widowControl/>
              <w:spacing w:line="235" w:lineRule="auto" w:before="208" w:after="0"/>
              <w:ind w:left="0" w:right="0" w:firstLine="0"/>
              <w:jc w:val="center"/>
            </w:pPr>
            <w:r>
              <w:rPr>
                <w:rFonts w:ascii="Arial" w:hAnsi="Arial" w:eastAsia="Arial"/>
                <w:b w:val="0"/>
                <w:i w:val="0"/>
                <w:color w:val="000000"/>
                <w:sz w:val="15"/>
              </w:rPr>
              <w:t>15,172,249</w:t>
            </w:r>
          </w:p>
        </w:tc>
        <w:tc>
          <w:tcPr>
            <w:tcW w:type="dxa" w:w="1198"/>
            <w:gridSpan w:val="2"/>
            <w:tcBorders>
              <w:top w:sz="2.400000000000091" w:val="single" w:color="#000000"/>
            </w:tcBorders>
            <w:tcMar>
              <w:start w:w="0" w:type="dxa"/>
              <w:end w:w="0" w:type="dxa"/>
            </w:tcMar>
            <w:tcMar>
              <w:start w:w="0" w:type="dxa"/>
              <w:end w:w="0" w:type="dxa"/>
            </w:tcMar>
          </w:tcPr>
          <w:p>
            <w:pPr>
              <w:autoSpaceDN w:val="0"/>
              <w:autoSpaceDE w:val="0"/>
              <w:widowControl/>
              <w:spacing w:line="235" w:lineRule="auto" w:before="208" w:after="0"/>
              <w:ind w:left="208" w:right="0" w:firstLine="0"/>
              <w:jc w:val="left"/>
            </w:pPr>
            <w:r>
              <w:rPr>
                <w:rFonts w:ascii="Arial" w:hAnsi="Arial" w:eastAsia="Arial"/>
                <w:b w:val="0"/>
                <w:i w:val="0"/>
                <w:color w:val="000000"/>
                <w:sz w:val="15"/>
              </w:rPr>
              <w:t xml:space="preserve">(377,996 ) </w:t>
            </w:r>
          </w:p>
        </w:tc>
        <w:tc>
          <w:tcPr>
            <w:tcW w:type="dxa" w:w="1052"/>
            <w:tcBorders>
              <w:top w:sz="2.400000000000091" w:val="single" w:color="#000000"/>
            </w:tcBorders>
            <w:tcMar>
              <w:start w:w="0" w:type="dxa"/>
              <w:end w:w="0" w:type="dxa"/>
            </w:tcMar>
          </w:tcPr>
          <w:p>
            <w:pPr>
              <w:autoSpaceDN w:val="0"/>
              <w:autoSpaceDE w:val="0"/>
              <w:widowControl/>
              <w:spacing w:line="235" w:lineRule="auto" w:before="208" w:after="0"/>
              <w:ind w:left="0" w:right="0" w:firstLine="0"/>
              <w:jc w:val="right"/>
            </w:pPr>
            <w:r>
              <w:rPr>
                <w:rFonts w:ascii="Arial" w:hAnsi="Arial" w:eastAsia="Arial"/>
                <w:b w:val="0"/>
                <w:i w:val="0"/>
                <w:color w:val="000000"/>
                <w:sz w:val="15"/>
              </w:rPr>
              <w:t>-</w:t>
            </w:r>
          </w:p>
        </w:tc>
        <w:tc>
          <w:tcPr>
            <w:tcW w:type="dxa" w:w="1248"/>
            <w:tcBorders>
              <w:top w:sz="2.400000000000091" w:val="single" w:color="#000000"/>
            </w:tcBorders>
            <w:tcMar>
              <w:start w:w="0" w:type="dxa"/>
              <w:end w:w="0" w:type="dxa"/>
            </w:tcMar>
          </w:tcPr>
          <w:p>
            <w:pPr>
              <w:autoSpaceDN w:val="0"/>
              <w:autoSpaceDE w:val="0"/>
              <w:widowControl/>
              <w:spacing w:line="235" w:lineRule="auto" w:before="208" w:after="0"/>
              <w:ind w:left="0" w:right="154" w:firstLine="0"/>
              <w:jc w:val="right"/>
            </w:pPr>
            <w:r>
              <w:rPr>
                <w:rFonts w:ascii="Arial" w:hAnsi="Arial" w:eastAsia="Arial"/>
                <w:b w:val="0"/>
                <w:i w:val="0"/>
                <w:color w:val="000000"/>
                <w:sz w:val="15"/>
              </w:rPr>
              <w:t>3,775,780</w:t>
            </w:r>
          </w:p>
        </w:tc>
        <w:tc>
          <w:tcPr>
            <w:tcW w:type="dxa" w:w="1200"/>
            <w:tcBorders>
              <w:top w:sz="2.400000000000091" w:val="single" w:color="#000000"/>
            </w:tcBorders>
            <w:tcMar>
              <w:start w:w="0" w:type="dxa"/>
              <w:end w:w="0" w:type="dxa"/>
            </w:tcMar>
          </w:tcPr>
          <w:p>
            <w:pPr>
              <w:autoSpaceDN w:val="0"/>
              <w:autoSpaceDE w:val="0"/>
              <w:widowControl/>
              <w:spacing w:line="235" w:lineRule="auto" w:before="208" w:after="0"/>
              <w:ind w:left="0" w:right="0" w:firstLine="0"/>
              <w:jc w:val="center"/>
            </w:pPr>
            <w:r>
              <w:rPr>
                <w:rFonts w:ascii="Arial" w:hAnsi="Arial" w:eastAsia="Arial"/>
                <w:b w:val="0"/>
                <w:i w:val="0"/>
                <w:color w:val="000000"/>
                <w:sz w:val="15"/>
              </w:rPr>
              <w:t xml:space="preserve">224,317,817 </w:t>
            </w:r>
          </w:p>
        </w:tc>
      </w:tr>
    </w:tbl>
    <w:p>
      <w:pPr>
        <w:autoSpaceDN w:val="0"/>
        <w:autoSpaceDE w:val="0"/>
        <w:widowControl/>
        <w:spacing w:line="152" w:lineRule="exact" w:before="12" w:after="22"/>
        <w:ind w:left="358" w:right="0" w:firstLine="0"/>
        <w:jc w:val="left"/>
      </w:pPr>
      <w:r>
        <w:rPr>
          <w:rFonts w:ascii="黑体" w:hAnsi="黑体" w:eastAsia="黑体"/>
          <w:b w:val="0"/>
          <w:i w:val="0"/>
          <w:color w:val="000000"/>
          <w:sz w:val="15"/>
        </w:rPr>
        <w:t>买入返售金融资产减值</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198"/>
        </w:trPr>
        <w:tc>
          <w:tcPr>
            <w:tcW w:type="dxa" w:w="1660"/>
            <w:tcBorders/>
            <w:tcMar>
              <w:start w:w="0" w:type="dxa"/>
              <w:end w:w="0" w:type="dxa"/>
            </w:tcMar>
          </w:tcPr>
          <w:p>
            <w:pPr>
              <w:autoSpaceDN w:val="0"/>
              <w:autoSpaceDE w:val="0"/>
              <w:widowControl/>
              <w:spacing w:line="152" w:lineRule="exact" w:before="22" w:after="0"/>
              <w:ind w:left="350" w:right="0" w:firstLine="0"/>
              <w:jc w:val="left"/>
            </w:pPr>
            <w:r>
              <w:rPr>
                <w:rFonts w:ascii="黑体" w:hAnsi="黑体" w:eastAsia="黑体"/>
                <w:b w:val="0"/>
                <w:i w:val="0"/>
                <w:color w:val="000000"/>
                <w:sz w:val="15"/>
              </w:rPr>
              <w:t>准备</w:t>
            </w:r>
          </w:p>
        </w:tc>
        <w:tc>
          <w:tcPr>
            <w:tcW w:type="dxa" w:w="958"/>
            <w:tcBorders/>
            <w:tcMar>
              <w:start w:w="0" w:type="dxa"/>
              <w:end w:w="0" w:type="dxa"/>
            </w:tcMar>
          </w:tcPr>
          <w:p>
            <w:pPr>
              <w:autoSpaceDN w:val="0"/>
              <w:autoSpaceDE w:val="0"/>
              <w:widowControl/>
              <w:spacing w:line="233" w:lineRule="auto" w:before="22" w:after="0"/>
              <w:ind w:left="204" w:right="0" w:firstLine="0"/>
              <w:jc w:val="left"/>
            </w:pPr>
            <w:r>
              <w:rPr>
                <w:rFonts w:ascii="Arial" w:hAnsi="Arial" w:eastAsia="Arial"/>
                <w:b w:val="0"/>
                <w:i w:val="0"/>
                <w:color w:val="000000"/>
                <w:sz w:val="15"/>
              </w:rPr>
              <w:t>11,541,429</w:t>
            </w:r>
          </w:p>
        </w:tc>
        <w:tc>
          <w:tcPr>
            <w:tcW w:type="dxa" w:w="1180"/>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2,003,671</w:t>
            </w:r>
          </w:p>
        </w:tc>
        <w:tc>
          <w:tcPr>
            <w:tcW w:type="dxa" w:w="1208"/>
            <w:tcBorders/>
            <w:tcMar>
              <w:start w:w="0" w:type="dxa"/>
              <w:end w:w="0" w:type="dxa"/>
            </w:tcMar>
          </w:tcPr>
          <w:p>
            <w:pPr>
              <w:autoSpaceDN w:val="0"/>
              <w:autoSpaceDE w:val="0"/>
              <w:widowControl/>
              <w:spacing w:line="233" w:lineRule="auto" w:before="22" w:after="0"/>
              <w:ind w:left="286" w:right="0" w:firstLine="0"/>
              <w:jc w:val="left"/>
            </w:pPr>
            <w:r>
              <w:rPr>
                <w:rFonts w:ascii="Arial" w:hAnsi="Arial" w:eastAsia="Arial"/>
                <w:b w:val="0"/>
                <w:i w:val="0"/>
                <w:color w:val="000000"/>
                <w:sz w:val="15"/>
              </w:rPr>
              <w:t xml:space="preserve">(4,748,018 ) </w:t>
            </w:r>
          </w:p>
        </w:tc>
        <w:tc>
          <w:tcPr>
            <w:tcW w:type="dxa" w:w="1448"/>
            <w:tcBorders/>
            <w:tcMar>
              <w:start w:w="0" w:type="dxa"/>
              <w:end w:w="0" w:type="dxa"/>
            </w:tcMar>
          </w:tcPr>
          <w:p>
            <w:pPr>
              <w:autoSpaceDN w:val="0"/>
              <w:autoSpaceDE w:val="0"/>
              <w:widowControl/>
              <w:spacing w:line="233" w:lineRule="auto" w:before="22" w:after="0"/>
              <w:ind w:left="0" w:right="202" w:firstLine="0"/>
              <w:jc w:val="right"/>
            </w:pPr>
            <w:r>
              <w:rPr>
                <w:rFonts w:ascii="Arial" w:hAnsi="Arial" w:eastAsia="Arial"/>
                <w:b w:val="0"/>
                <w:i w:val="0"/>
                <w:color w:val="000000"/>
                <w:sz w:val="15"/>
              </w:rPr>
              <w:t>-</w:t>
            </w:r>
          </w:p>
        </w:tc>
        <w:tc>
          <w:tcPr>
            <w:tcW w:type="dxa" w:w="892"/>
            <w:tcBorders/>
            <w:tcMar>
              <w:start w:w="0" w:type="dxa"/>
              <w:end w:w="0" w:type="dxa"/>
            </w:tcMar>
          </w:tcPr>
          <w:p>
            <w:pPr>
              <w:autoSpaceDN w:val="0"/>
              <w:autoSpaceDE w:val="0"/>
              <w:widowControl/>
              <w:spacing w:line="233" w:lineRule="auto" w:before="22" w:after="0"/>
              <w:ind w:left="0" w:right="2" w:firstLine="0"/>
              <w:jc w:val="right"/>
            </w:pPr>
            <w:r>
              <w:rPr>
                <w:rFonts w:ascii="Arial" w:hAnsi="Arial" w:eastAsia="Arial"/>
                <w:b w:val="0"/>
                <w:i w:val="0"/>
                <w:color w:val="000000"/>
                <w:sz w:val="15"/>
              </w:rPr>
              <w:t>-</w:t>
            </w:r>
          </w:p>
        </w:tc>
        <w:tc>
          <w:tcPr>
            <w:tcW w:type="dxa" w:w="1354"/>
            <w:tcBorders/>
            <w:tcMar>
              <w:start w:w="0" w:type="dxa"/>
              <w:end w:w="0" w:type="dxa"/>
            </w:tcMar>
          </w:tcPr>
          <w:p>
            <w:pPr>
              <w:autoSpaceDN w:val="0"/>
              <w:autoSpaceDE w:val="0"/>
              <w:widowControl/>
              <w:spacing w:line="233" w:lineRule="auto" w:before="22" w:after="0"/>
              <w:ind w:left="0" w:right="136" w:firstLine="0"/>
              <w:jc w:val="right"/>
            </w:pPr>
            <w:r>
              <w:rPr>
                <w:rFonts w:ascii="Arial" w:hAnsi="Arial" w:eastAsia="Arial"/>
                <w:b w:val="0"/>
                <w:i w:val="0"/>
                <w:color w:val="000000"/>
                <w:sz w:val="15"/>
              </w:rPr>
              <w:t xml:space="preserve">8,797,082 </w:t>
            </w:r>
          </w:p>
        </w:tc>
      </w:tr>
      <w:tr>
        <w:trPr>
          <w:trHeight w:hRule="exact" w:val="200"/>
        </w:trPr>
        <w:tc>
          <w:tcPr>
            <w:tcW w:type="dxa" w:w="1660"/>
            <w:tcBorders/>
            <w:tcMar>
              <w:start w:w="0" w:type="dxa"/>
              <w:end w:w="0" w:type="dxa"/>
            </w:tcMar>
          </w:tcPr>
          <w:p>
            <w:pPr>
              <w:autoSpaceDN w:val="0"/>
              <w:autoSpaceDE w:val="0"/>
              <w:widowControl/>
              <w:spacing w:line="152" w:lineRule="exact" w:before="18" w:after="0"/>
              <w:ind w:left="0" w:right="0" w:firstLine="0"/>
              <w:jc w:val="center"/>
            </w:pPr>
            <w:r>
              <w:rPr>
                <w:rFonts w:ascii="黑体" w:hAnsi="黑体" w:eastAsia="黑体"/>
                <w:b w:val="0"/>
                <w:i w:val="0"/>
                <w:color w:val="000000"/>
                <w:sz w:val="15"/>
              </w:rPr>
              <w:t>应收款项坏账准备</w:t>
            </w:r>
          </w:p>
        </w:tc>
        <w:tc>
          <w:tcPr>
            <w:tcW w:type="dxa" w:w="958"/>
            <w:tcBorders/>
            <w:tcMar>
              <w:start w:w="0" w:type="dxa"/>
              <w:end w:w="0" w:type="dxa"/>
            </w:tcMar>
          </w:tcPr>
          <w:p>
            <w:pPr>
              <w:autoSpaceDN w:val="0"/>
              <w:autoSpaceDE w:val="0"/>
              <w:widowControl/>
              <w:spacing w:line="235" w:lineRule="auto" w:before="18" w:after="0"/>
              <w:ind w:left="204" w:right="0" w:firstLine="0"/>
              <w:jc w:val="left"/>
            </w:pPr>
            <w:r>
              <w:rPr>
                <w:rFonts w:ascii="Arial" w:hAnsi="Arial" w:eastAsia="Arial"/>
                <w:b w:val="0"/>
                <w:i w:val="0"/>
                <w:color w:val="000000"/>
                <w:sz w:val="15"/>
              </w:rPr>
              <w:t>84,786,198</w:t>
            </w:r>
          </w:p>
        </w:tc>
        <w:tc>
          <w:tcPr>
            <w:tcW w:type="dxa" w:w="1180"/>
            <w:tcBorders/>
            <w:tcMar>
              <w:start w:w="0" w:type="dxa"/>
              <w:end w:w="0" w:type="dxa"/>
            </w:tcMar>
          </w:tcPr>
          <w:p>
            <w:pPr>
              <w:autoSpaceDN w:val="0"/>
              <w:autoSpaceDE w:val="0"/>
              <w:widowControl/>
              <w:spacing w:line="235" w:lineRule="auto" w:before="18" w:after="0"/>
              <w:ind w:left="0" w:right="0" w:firstLine="0"/>
              <w:jc w:val="right"/>
            </w:pPr>
            <w:r>
              <w:rPr>
                <w:rFonts w:ascii="Arial" w:hAnsi="Arial" w:eastAsia="Arial"/>
                <w:b w:val="0"/>
                <w:i w:val="0"/>
                <w:color w:val="000000"/>
                <w:sz w:val="15"/>
              </w:rPr>
              <w:t>2,355,709</w:t>
            </w:r>
          </w:p>
        </w:tc>
        <w:tc>
          <w:tcPr>
            <w:tcW w:type="dxa" w:w="1208"/>
            <w:tcBorders/>
            <w:tcMar>
              <w:start w:w="0" w:type="dxa"/>
              <w:end w:w="0" w:type="dxa"/>
            </w:tcMar>
          </w:tcPr>
          <w:p>
            <w:pPr>
              <w:autoSpaceDN w:val="0"/>
              <w:autoSpaceDE w:val="0"/>
              <w:widowControl/>
              <w:spacing w:line="235" w:lineRule="auto" w:before="18" w:after="0"/>
              <w:ind w:left="0" w:right="112" w:firstLine="0"/>
              <w:jc w:val="right"/>
            </w:pPr>
            <w:r>
              <w:rPr>
                <w:rFonts w:ascii="Arial" w:hAnsi="Arial" w:eastAsia="Arial"/>
                <w:b w:val="0"/>
                <w:i w:val="0"/>
                <w:color w:val="000000"/>
                <w:sz w:val="15"/>
              </w:rPr>
              <w:t xml:space="preserve">(345,796 ) </w:t>
            </w:r>
          </w:p>
        </w:tc>
        <w:tc>
          <w:tcPr>
            <w:tcW w:type="dxa" w:w="1448"/>
            <w:tcBorders/>
            <w:tcMar>
              <w:start w:w="0" w:type="dxa"/>
              <w:end w:w="0" w:type="dxa"/>
            </w:tcMar>
          </w:tcPr>
          <w:p>
            <w:pPr>
              <w:autoSpaceDN w:val="0"/>
              <w:autoSpaceDE w:val="0"/>
              <w:widowControl/>
              <w:spacing w:line="235" w:lineRule="auto" w:before="18" w:after="0"/>
              <w:ind w:left="0" w:right="202" w:firstLine="0"/>
              <w:jc w:val="right"/>
            </w:pPr>
            <w:r>
              <w:rPr>
                <w:rFonts w:ascii="Arial" w:hAnsi="Arial" w:eastAsia="Arial"/>
                <w:b w:val="0"/>
                <w:i w:val="0"/>
                <w:color w:val="000000"/>
                <w:sz w:val="15"/>
              </w:rPr>
              <w:t>-</w:t>
            </w:r>
          </w:p>
        </w:tc>
        <w:tc>
          <w:tcPr>
            <w:tcW w:type="dxa" w:w="892"/>
            <w:tcBorders/>
            <w:tcMar>
              <w:start w:w="0" w:type="dxa"/>
              <w:end w:w="0" w:type="dxa"/>
            </w:tcMar>
          </w:tcPr>
          <w:p>
            <w:pPr>
              <w:autoSpaceDN w:val="0"/>
              <w:autoSpaceDE w:val="0"/>
              <w:widowControl/>
              <w:spacing w:line="235" w:lineRule="auto" w:before="18" w:after="0"/>
              <w:ind w:left="0" w:right="2" w:firstLine="0"/>
              <w:jc w:val="right"/>
            </w:pPr>
            <w:r>
              <w:rPr>
                <w:rFonts w:ascii="Arial" w:hAnsi="Arial" w:eastAsia="Arial"/>
                <w:b w:val="0"/>
                <w:i w:val="0"/>
                <w:color w:val="000000"/>
                <w:sz w:val="15"/>
              </w:rPr>
              <w:t>-</w:t>
            </w:r>
          </w:p>
        </w:tc>
        <w:tc>
          <w:tcPr>
            <w:tcW w:type="dxa" w:w="1354"/>
            <w:tcBorders/>
            <w:tcMar>
              <w:start w:w="0" w:type="dxa"/>
              <w:end w:w="0" w:type="dxa"/>
            </w:tcMar>
          </w:tcPr>
          <w:p>
            <w:pPr>
              <w:autoSpaceDN w:val="0"/>
              <w:autoSpaceDE w:val="0"/>
              <w:widowControl/>
              <w:spacing w:line="235" w:lineRule="auto" w:before="18" w:after="0"/>
              <w:ind w:left="0" w:right="136" w:firstLine="0"/>
              <w:jc w:val="right"/>
            </w:pPr>
            <w:r>
              <w:rPr>
                <w:rFonts w:ascii="Arial" w:hAnsi="Arial" w:eastAsia="Arial"/>
                <w:b w:val="0"/>
                <w:i w:val="0"/>
                <w:color w:val="000000"/>
                <w:sz w:val="15"/>
              </w:rPr>
              <w:t xml:space="preserve">86,796,111 </w:t>
            </w:r>
          </w:p>
        </w:tc>
      </w:tr>
      <w:tr>
        <w:trPr>
          <w:trHeight w:hRule="exact" w:val="180"/>
        </w:trPr>
        <w:tc>
          <w:tcPr>
            <w:tcW w:type="dxa" w:w="1660"/>
            <w:tcBorders/>
            <w:tcMar>
              <w:start w:w="0" w:type="dxa"/>
              <w:end w:w="0" w:type="dxa"/>
            </w:tcMar>
          </w:tcPr>
          <w:p>
            <w:pPr>
              <w:autoSpaceDN w:val="0"/>
              <w:autoSpaceDE w:val="0"/>
              <w:widowControl/>
              <w:spacing w:line="152" w:lineRule="exact" w:before="12" w:after="0"/>
              <w:ind w:left="0" w:right="0" w:firstLine="0"/>
              <w:jc w:val="center"/>
            </w:pPr>
            <w:r>
              <w:rPr>
                <w:rFonts w:ascii="黑体" w:hAnsi="黑体" w:eastAsia="黑体"/>
                <w:b w:val="0"/>
                <w:i w:val="0"/>
                <w:color w:val="000000"/>
                <w:sz w:val="15"/>
              </w:rPr>
              <w:t>债权投资减值准备</w:t>
            </w:r>
          </w:p>
        </w:tc>
        <w:tc>
          <w:tcPr>
            <w:tcW w:type="dxa" w:w="958"/>
            <w:tcBorders/>
            <w:tcMar>
              <w:start w:w="0" w:type="dxa"/>
              <w:end w:w="0" w:type="dxa"/>
            </w:tcMar>
          </w:tcPr>
          <w:p>
            <w:pPr>
              <w:autoSpaceDN w:val="0"/>
              <w:autoSpaceDE w:val="0"/>
              <w:widowControl/>
              <w:spacing w:line="235" w:lineRule="auto" w:before="10" w:after="0"/>
              <w:ind w:left="204" w:right="0" w:firstLine="0"/>
              <w:jc w:val="left"/>
            </w:pPr>
            <w:r>
              <w:rPr>
                <w:rFonts w:ascii="Arial" w:hAnsi="Arial" w:eastAsia="Arial"/>
                <w:b w:val="0"/>
                <w:i w:val="0"/>
                <w:color w:val="000000"/>
                <w:sz w:val="15"/>
              </w:rPr>
              <w:t>36,032,086</w:t>
            </w:r>
          </w:p>
        </w:tc>
        <w:tc>
          <w:tcPr>
            <w:tcW w:type="dxa" w:w="118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w:t>
            </w:r>
          </w:p>
        </w:tc>
        <w:tc>
          <w:tcPr>
            <w:tcW w:type="dxa" w:w="1208"/>
            <w:tcBorders/>
            <w:tcMar>
              <w:start w:w="0" w:type="dxa"/>
              <w:end w:w="0" w:type="dxa"/>
            </w:tcMar>
          </w:tcPr>
          <w:p>
            <w:pPr>
              <w:autoSpaceDN w:val="0"/>
              <w:autoSpaceDE w:val="0"/>
              <w:widowControl/>
              <w:spacing w:line="235" w:lineRule="auto" w:before="10" w:after="0"/>
              <w:ind w:left="0" w:right="112" w:firstLine="0"/>
              <w:jc w:val="right"/>
            </w:pPr>
            <w:r>
              <w:rPr>
                <w:rFonts w:ascii="Arial" w:hAnsi="Arial" w:eastAsia="Arial"/>
                <w:b w:val="0"/>
                <w:i w:val="0"/>
                <w:color w:val="000000"/>
                <w:sz w:val="15"/>
              </w:rPr>
              <w:t xml:space="preserve">(2,654 ) </w:t>
            </w:r>
          </w:p>
        </w:tc>
        <w:tc>
          <w:tcPr>
            <w:tcW w:type="dxa" w:w="1448"/>
            <w:tcBorders/>
            <w:tcMar>
              <w:start w:w="0" w:type="dxa"/>
              <w:end w:w="0" w:type="dxa"/>
            </w:tcMar>
          </w:tcPr>
          <w:p>
            <w:pPr>
              <w:autoSpaceDN w:val="0"/>
              <w:autoSpaceDE w:val="0"/>
              <w:widowControl/>
              <w:spacing w:line="235" w:lineRule="auto" w:before="10" w:after="0"/>
              <w:ind w:left="0" w:right="202" w:firstLine="0"/>
              <w:jc w:val="right"/>
            </w:pPr>
            <w:r>
              <w:rPr>
                <w:rFonts w:ascii="Arial" w:hAnsi="Arial" w:eastAsia="Arial"/>
                <w:b w:val="0"/>
                <w:i w:val="0"/>
                <w:color w:val="000000"/>
                <w:sz w:val="15"/>
              </w:rPr>
              <w:t>-</w:t>
            </w:r>
          </w:p>
        </w:tc>
        <w:tc>
          <w:tcPr>
            <w:tcW w:type="dxa" w:w="892"/>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814,833</w:t>
            </w:r>
          </w:p>
        </w:tc>
        <w:tc>
          <w:tcPr>
            <w:tcW w:type="dxa" w:w="1354"/>
            <w:tcBorders/>
            <w:tcMar>
              <w:start w:w="0" w:type="dxa"/>
              <w:end w:w="0" w:type="dxa"/>
            </w:tcMar>
          </w:tcPr>
          <w:p>
            <w:pPr>
              <w:autoSpaceDN w:val="0"/>
              <w:autoSpaceDE w:val="0"/>
              <w:widowControl/>
              <w:spacing w:line="235" w:lineRule="auto" w:before="10" w:after="0"/>
              <w:ind w:left="0" w:right="136" w:firstLine="0"/>
              <w:jc w:val="right"/>
            </w:pPr>
            <w:r>
              <w:rPr>
                <w:rFonts w:ascii="Arial" w:hAnsi="Arial" w:eastAsia="Arial"/>
                <w:b w:val="0"/>
                <w:i w:val="0"/>
                <w:color w:val="000000"/>
                <w:sz w:val="15"/>
              </w:rPr>
              <w:t xml:space="preserve">36,844,265 </w:t>
            </w:r>
          </w:p>
        </w:tc>
      </w:tr>
      <w:tr>
        <w:trPr>
          <w:trHeight w:hRule="exact" w:val="200"/>
        </w:trPr>
        <w:tc>
          <w:tcPr>
            <w:tcW w:type="dxa" w:w="2618"/>
            <w:gridSpan w:val="2"/>
            <w:tcBorders/>
            <w:tcMar>
              <w:start w:w="0" w:type="dxa"/>
              <w:end w:w="0" w:type="dxa"/>
            </w:tcMar>
            <w:tcMar>
              <w:start w:w="0" w:type="dxa"/>
              <w:end w:w="0" w:type="dxa"/>
            </w:tcMar>
          </w:tcPr>
          <w:p>
            <w:pPr>
              <w:autoSpaceDN w:val="0"/>
              <w:autoSpaceDE w:val="0"/>
              <w:widowControl/>
              <w:spacing w:line="176" w:lineRule="exact" w:before="20" w:after="0"/>
              <w:ind w:left="198" w:right="0" w:firstLine="0"/>
              <w:jc w:val="left"/>
            </w:pPr>
            <w:r>
              <w:rPr>
                <w:rFonts w:ascii="黑体" w:hAnsi="黑体" w:eastAsia="黑体"/>
                <w:b w:val="0"/>
                <w:i w:val="0"/>
                <w:color w:val="000000"/>
                <w:sz w:val="15"/>
              </w:rPr>
              <w:t>其他债权投资减值准备</w:t>
            </w:r>
            <w:r>
              <w:rPr>
                <w:rFonts w:ascii="Arial" w:hAnsi="Arial" w:eastAsia="Arial"/>
                <w:b w:val="0"/>
                <w:i w:val="0"/>
                <w:color w:val="000000"/>
                <w:sz w:val="15"/>
              </w:rPr>
              <w:t xml:space="preserve"> 135,335,555</w:t>
            </w:r>
          </w:p>
        </w:tc>
        <w:tc>
          <w:tcPr>
            <w:tcW w:type="dxa" w:w="118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5"/>
              </w:rPr>
              <w:t>7,577,178</w:t>
            </w:r>
          </w:p>
        </w:tc>
        <w:tc>
          <w:tcPr>
            <w:tcW w:type="dxa" w:w="1208"/>
            <w:tcBorders/>
            <w:tcMar>
              <w:start w:w="0" w:type="dxa"/>
              <w:end w:w="0" w:type="dxa"/>
            </w:tcMar>
          </w:tcPr>
          <w:p>
            <w:pPr>
              <w:autoSpaceDN w:val="0"/>
              <w:autoSpaceDE w:val="0"/>
              <w:widowControl/>
              <w:spacing w:line="233" w:lineRule="auto" w:before="28" w:after="0"/>
              <w:ind w:left="0" w:right="112" w:firstLine="0"/>
              <w:jc w:val="right"/>
            </w:pPr>
            <w:r>
              <w:rPr>
                <w:rFonts w:ascii="Arial" w:hAnsi="Arial" w:eastAsia="Arial"/>
                <w:b w:val="0"/>
                <w:i w:val="0"/>
                <w:color w:val="000000"/>
                <w:sz w:val="15"/>
              </w:rPr>
              <w:t xml:space="preserve">(724,855 ) </w:t>
            </w:r>
          </w:p>
        </w:tc>
        <w:tc>
          <w:tcPr>
            <w:tcW w:type="dxa" w:w="1448"/>
            <w:tcBorders/>
            <w:tcMar>
              <w:start w:w="0" w:type="dxa"/>
              <w:end w:w="0" w:type="dxa"/>
            </w:tcMar>
          </w:tcPr>
          <w:p>
            <w:pPr>
              <w:autoSpaceDN w:val="0"/>
              <w:autoSpaceDE w:val="0"/>
              <w:widowControl/>
              <w:spacing w:line="233" w:lineRule="auto" w:before="28" w:after="0"/>
              <w:ind w:left="0" w:right="202" w:firstLine="0"/>
              <w:jc w:val="right"/>
            </w:pPr>
            <w:r>
              <w:rPr>
                <w:rFonts w:ascii="Arial" w:hAnsi="Arial" w:eastAsia="Arial"/>
                <w:b w:val="0"/>
                <w:i w:val="0"/>
                <w:color w:val="000000"/>
                <w:sz w:val="15"/>
              </w:rPr>
              <w:t>-</w:t>
            </w:r>
          </w:p>
        </w:tc>
        <w:tc>
          <w:tcPr>
            <w:tcW w:type="dxa" w:w="892"/>
            <w:tcBorders/>
            <w:tcMar>
              <w:start w:w="0" w:type="dxa"/>
              <w:end w:w="0" w:type="dxa"/>
            </w:tcMar>
          </w:tcPr>
          <w:p>
            <w:pPr>
              <w:autoSpaceDN w:val="0"/>
              <w:autoSpaceDE w:val="0"/>
              <w:widowControl/>
              <w:spacing w:line="233" w:lineRule="auto" w:before="28" w:after="0"/>
              <w:ind w:left="0" w:right="2" w:firstLine="0"/>
              <w:jc w:val="right"/>
            </w:pPr>
            <w:r>
              <w:rPr>
                <w:rFonts w:ascii="Arial" w:hAnsi="Arial" w:eastAsia="Arial"/>
                <w:b w:val="0"/>
                <w:i w:val="0"/>
                <w:color w:val="000000"/>
                <w:sz w:val="15"/>
              </w:rPr>
              <w:t>-</w:t>
            </w:r>
          </w:p>
        </w:tc>
        <w:tc>
          <w:tcPr>
            <w:tcW w:type="dxa" w:w="1354"/>
            <w:tcBorders/>
            <w:tcMar>
              <w:start w:w="0" w:type="dxa"/>
              <w:end w:w="0" w:type="dxa"/>
            </w:tcMar>
          </w:tcPr>
          <w:p>
            <w:pPr>
              <w:autoSpaceDN w:val="0"/>
              <w:autoSpaceDE w:val="0"/>
              <w:widowControl/>
              <w:spacing w:line="233" w:lineRule="auto" w:before="28" w:after="0"/>
              <w:ind w:left="0" w:right="136" w:firstLine="0"/>
              <w:jc w:val="right"/>
            </w:pPr>
            <w:r>
              <w:rPr>
                <w:rFonts w:ascii="Arial" w:hAnsi="Arial" w:eastAsia="Arial"/>
                <w:b w:val="0"/>
                <w:i w:val="0"/>
                <w:color w:val="000000"/>
                <w:sz w:val="15"/>
              </w:rPr>
              <w:t xml:space="preserve">142,187,878 </w:t>
            </w:r>
          </w:p>
        </w:tc>
      </w:tr>
      <w:tr>
        <w:trPr>
          <w:trHeight w:hRule="exact" w:val="198"/>
        </w:trPr>
        <w:tc>
          <w:tcPr>
            <w:tcW w:type="dxa" w:w="1660"/>
            <w:tcBorders>
              <w:bottom w:sz="4.0" w:val="single" w:color="#000000"/>
            </w:tcBorders>
            <w:tcMar>
              <w:start w:w="0" w:type="dxa"/>
              <w:end w:w="0" w:type="dxa"/>
            </w:tcMar>
          </w:tcPr>
          <w:p>
            <w:pPr>
              <w:autoSpaceDN w:val="0"/>
              <w:autoSpaceDE w:val="0"/>
              <w:widowControl/>
              <w:spacing w:line="150" w:lineRule="exact" w:before="22" w:after="0"/>
              <w:ind w:left="198" w:right="0" w:firstLine="0"/>
              <w:jc w:val="left"/>
            </w:pPr>
            <w:r>
              <w:rPr>
                <w:rFonts w:ascii="黑体" w:hAnsi="黑体" w:eastAsia="黑体"/>
                <w:b w:val="0"/>
                <w:i w:val="0"/>
                <w:color w:val="000000"/>
                <w:sz w:val="15"/>
              </w:rPr>
              <w:t>其他应收款坏账准备</w:t>
            </w:r>
          </w:p>
        </w:tc>
        <w:tc>
          <w:tcPr>
            <w:tcW w:type="dxa" w:w="958"/>
            <w:tcBorders>
              <w:bottom w:sz="4.0" w:val="single" w:color="#000000"/>
            </w:tcBorders>
            <w:tcMar>
              <w:start w:w="0" w:type="dxa"/>
              <w:end w:w="0" w:type="dxa"/>
            </w:tcMar>
          </w:tcPr>
          <w:p>
            <w:pPr>
              <w:autoSpaceDN w:val="0"/>
              <w:autoSpaceDE w:val="0"/>
              <w:widowControl/>
              <w:spacing w:line="233" w:lineRule="auto" w:before="22" w:after="0"/>
              <w:ind w:left="120" w:right="0" w:firstLine="0"/>
              <w:jc w:val="left"/>
            </w:pPr>
            <w:r>
              <w:rPr>
                <w:rFonts w:ascii="Arial" w:hAnsi="Arial" w:eastAsia="Arial"/>
                <w:b w:val="0"/>
                <w:i w:val="0"/>
                <w:color w:val="000000"/>
                <w:sz w:val="15"/>
              </w:rPr>
              <w:t>413,362,085</w:t>
            </w:r>
          </w:p>
        </w:tc>
        <w:tc>
          <w:tcPr>
            <w:tcW w:type="dxa" w:w="1180"/>
            <w:tcBorders>
              <w:bottom w:sz="4.0" w:val="single" w:color="#000000"/>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4,591,173</w:t>
            </w:r>
          </w:p>
        </w:tc>
        <w:tc>
          <w:tcPr>
            <w:tcW w:type="dxa" w:w="1208"/>
            <w:tcBorders>
              <w:bottom w:sz="4.0" w:val="single" w:color="#000000"/>
            </w:tcBorders>
            <w:tcMar>
              <w:start w:w="0" w:type="dxa"/>
              <w:end w:w="0" w:type="dxa"/>
            </w:tcMar>
          </w:tcPr>
          <w:p>
            <w:pPr>
              <w:autoSpaceDN w:val="0"/>
              <w:autoSpaceDE w:val="0"/>
              <w:widowControl/>
              <w:spacing w:line="233" w:lineRule="auto" w:before="22" w:after="0"/>
              <w:ind w:left="0" w:right="112" w:firstLine="0"/>
              <w:jc w:val="right"/>
            </w:pPr>
            <w:r>
              <w:rPr>
                <w:rFonts w:ascii="Arial" w:hAnsi="Arial" w:eastAsia="Arial"/>
                <w:b w:val="0"/>
                <w:i w:val="0"/>
                <w:color w:val="000000"/>
                <w:sz w:val="15"/>
              </w:rPr>
              <w:t xml:space="preserve">(56,866 ) </w:t>
            </w:r>
          </w:p>
        </w:tc>
        <w:tc>
          <w:tcPr>
            <w:tcW w:type="dxa" w:w="1448"/>
            <w:tcBorders>
              <w:bottom w:sz="4.0" w:val="single" w:color="#000000"/>
            </w:tcBorders>
            <w:tcMar>
              <w:start w:w="0" w:type="dxa"/>
              <w:end w:w="0" w:type="dxa"/>
            </w:tcMar>
          </w:tcPr>
          <w:p>
            <w:pPr>
              <w:autoSpaceDN w:val="0"/>
              <w:autoSpaceDE w:val="0"/>
              <w:widowControl/>
              <w:spacing w:line="233" w:lineRule="auto" w:before="22" w:after="0"/>
              <w:ind w:left="0" w:right="110" w:firstLine="0"/>
              <w:jc w:val="right"/>
            </w:pPr>
            <w:r>
              <w:rPr>
                <w:rFonts w:ascii="Arial" w:hAnsi="Arial" w:eastAsia="Arial"/>
                <w:b w:val="0"/>
                <w:i w:val="0"/>
                <w:color w:val="000000"/>
                <w:sz w:val="15"/>
              </w:rPr>
              <w:t xml:space="preserve">(1,442,567) </w:t>
            </w:r>
          </w:p>
        </w:tc>
        <w:tc>
          <w:tcPr>
            <w:tcW w:type="dxa" w:w="892"/>
            <w:tcBorders>
              <w:bottom w:sz="4.0" w:val="single" w:color="#000000"/>
            </w:tcBorders>
            <w:tcMar>
              <w:start w:w="0" w:type="dxa"/>
              <w:end w:w="0" w:type="dxa"/>
            </w:tcMar>
          </w:tcPr>
          <w:p>
            <w:pPr>
              <w:autoSpaceDN w:val="0"/>
              <w:autoSpaceDE w:val="0"/>
              <w:widowControl/>
              <w:spacing w:line="233" w:lineRule="auto" w:before="22" w:after="0"/>
              <w:ind w:left="0" w:right="2" w:firstLine="0"/>
              <w:jc w:val="right"/>
            </w:pPr>
            <w:r>
              <w:rPr>
                <w:rFonts w:ascii="Arial" w:hAnsi="Arial" w:eastAsia="Arial"/>
                <w:b w:val="0"/>
                <w:i w:val="0"/>
                <w:color w:val="000000"/>
                <w:sz w:val="15"/>
              </w:rPr>
              <w:t>-</w:t>
            </w:r>
          </w:p>
        </w:tc>
        <w:tc>
          <w:tcPr>
            <w:tcW w:type="dxa" w:w="1354"/>
            <w:tcBorders>
              <w:bottom w:sz="4.0" w:val="single" w:color="#000000"/>
            </w:tcBorders>
            <w:tcMar>
              <w:start w:w="0" w:type="dxa"/>
              <w:end w:w="0" w:type="dxa"/>
            </w:tcMar>
          </w:tcPr>
          <w:p>
            <w:pPr>
              <w:autoSpaceDN w:val="0"/>
              <w:autoSpaceDE w:val="0"/>
              <w:widowControl/>
              <w:spacing w:line="233" w:lineRule="auto" w:before="22" w:after="0"/>
              <w:ind w:left="0" w:right="136" w:firstLine="0"/>
              <w:jc w:val="right"/>
            </w:pPr>
            <w:r>
              <w:rPr>
                <w:rFonts w:ascii="Arial" w:hAnsi="Arial" w:eastAsia="Arial"/>
                <w:b w:val="0"/>
                <w:i w:val="0"/>
                <w:color w:val="000000"/>
                <w:sz w:val="15"/>
              </w:rPr>
              <w:t xml:space="preserve">416,453,825 </w:t>
            </w:r>
          </w:p>
        </w:tc>
      </w:tr>
      <w:tr>
        <w:trPr>
          <w:trHeight w:hRule="exact" w:val="380"/>
        </w:trPr>
        <w:tc>
          <w:tcPr>
            <w:tcW w:type="dxa" w:w="1660"/>
            <w:tcBorders>
              <w:top w:sz="4.0" w:val="single" w:color="#000000"/>
              <w:bottom w:sz="4.0" w:val="single" w:color="#000000"/>
            </w:tcBorders>
            <w:tcMar>
              <w:start w:w="0" w:type="dxa"/>
              <w:end w:w="0" w:type="dxa"/>
            </w:tcMar>
          </w:tcPr>
          <w:p>
            <w:pPr>
              <w:autoSpaceDN w:val="0"/>
              <w:autoSpaceDE w:val="0"/>
              <w:widowControl/>
              <w:spacing w:line="152" w:lineRule="exact" w:before="196" w:after="0"/>
              <w:ind w:left="198" w:right="0" w:firstLine="0"/>
              <w:jc w:val="left"/>
            </w:pPr>
            <w:r>
              <w:rPr>
                <w:rFonts w:ascii="黑体" w:hAnsi="黑体" w:eastAsia="黑体"/>
                <w:b w:val="0"/>
                <w:i w:val="0"/>
                <w:color w:val="000000"/>
                <w:sz w:val="15"/>
              </w:rPr>
              <w:t>合计</w:t>
            </w:r>
          </w:p>
        </w:tc>
        <w:tc>
          <w:tcPr>
            <w:tcW w:type="dxa" w:w="958"/>
            <w:vMerge w:val="restart"/>
            <w:tcBorders>
              <w:top w:sz="4.0" w:val="single" w:color="#000000"/>
            </w:tcBorders>
            <w:tcMar>
              <w:start w:w="0" w:type="dxa"/>
              <w:end w:w="0" w:type="dxa"/>
            </w:tcMar>
            <w:tcMar>
              <w:start w:w="0" w:type="dxa"/>
              <w:end w:w="0" w:type="dxa"/>
            </w:tcMar>
          </w:tcPr>
          <w:p>
            <w:pPr>
              <w:autoSpaceDN w:val="0"/>
              <w:autoSpaceDE w:val="0"/>
              <w:widowControl/>
              <w:spacing w:line="235" w:lineRule="auto" w:before="196" w:after="0"/>
              <w:ind w:left="120" w:right="0" w:firstLine="0"/>
              <w:jc w:val="left"/>
            </w:pPr>
            <w:r>
              <w:rPr>
                <w:rFonts w:ascii="Arial" w:hAnsi="Arial" w:eastAsia="Arial"/>
                <w:b w:val="0"/>
                <w:i w:val="0"/>
                <w:color w:val="000000"/>
                <w:sz w:val="15"/>
              </w:rPr>
              <w:t>886,805,137</w:t>
            </w:r>
          </w:p>
        </w:tc>
        <w:tc>
          <w:tcPr>
            <w:tcW w:type="dxa" w:w="1180"/>
            <w:tcBorders>
              <w:top w:sz="4.0" w:val="single" w:color="#000000"/>
              <w:bottom w:sz="4.0" w:val="single" w:color="#000000"/>
            </w:tcBorders>
            <w:tcMar>
              <w:start w:w="0" w:type="dxa"/>
              <w:end w:w="0" w:type="dxa"/>
            </w:tcMar>
          </w:tcPr>
          <w:p>
            <w:pPr>
              <w:autoSpaceDN w:val="0"/>
              <w:autoSpaceDE w:val="0"/>
              <w:widowControl/>
              <w:spacing w:line="235" w:lineRule="auto" w:before="196" w:after="0"/>
              <w:ind w:left="0" w:right="0" w:firstLine="0"/>
              <w:jc w:val="right"/>
            </w:pPr>
            <w:r>
              <w:rPr>
                <w:rFonts w:ascii="Arial" w:hAnsi="Arial" w:eastAsia="Arial"/>
                <w:b w:val="0"/>
                <w:i w:val="0"/>
                <w:color w:val="000000"/>
                <w:sz w:val="15"/>
              </w:rPr>
              <w:t>31,699,980</w:t>
            </w:r>
          </w:p>
        </w:tc>
        <w:tc>
          <w:tcPr>
            <w:tcW w:type="dxa" w:w="1208"/>
            <w:tcBorders>
              <w:top w:sz="4.0" w:val="single" w:color="#000000"/>
              <w:bottom w:sz="4.0" w:val="single" w:color="#000000"/>
            </w:tcBorders>
            <w:tcMar>
              <w:start w:w="0" w:type="dxa"/>
              <w:end w:w="0" w:type="dxa"/>
            </w:tcMar>
          </w:tcPr>
          <w:p>
            <w:pPr>
              <w:autoSpaceDN w:val="0"/>
              <w:autoSpaceDE w:val="0"/>
              <w:widowControl/>
              <w:spacing w:line="235" w:lineRule="auto" w:before="196" w:after="0"/>
              <w:ind w:left="286" w:right="0" w:firstLine="0"/>
              <w:jc w:val="left"/>
            </w:pPr>
            <w:r>
              <w:rPr>
                <w:rFonts w:ascii="Arial" w:hAnsi="Arial" w:eastAsia="Arial"/>
                <w:b w:val="0"/>
                <w:i w:val="0"/>
                <w:color w:val="000000"/>
                <w:sz w:val="15"/>
              </w:rPr>
              <w:t xml:space="preserve">(6,256,185 ) </w:t>
            </w:r>
          </w:p>
        </w:tc>
        <w:tc>
          <w:tcPr>
            <w:tcW w:type="dxa" w:w="1448"/>
            <w:tcBorders>
              <w:top w:sz="4.0" w:val="single" w:color="#000000"/>
              <w:bottom w:sz="4.0" w:val="single" w:color="#000000"/>
            </w:tcBorders>
            <w:tcMar>
              <w:start w:w="0" w:type="dxa"/>
              <w:end w:w="0" w:type="dxa"/>
            </w:tcMar>
          </w:tcPr>
          <w:p>
            <w:pPr>
              <w:autoSpaceDN w:val="0"/>
              <w:autoSpaceDE w:val="0"/>
              <w:widowControl/>
              <w:spacing w:line="235" w:lineRule="auto" w:before="196" w:after="0"/>
              <w:ind w:left="0" w:right="110" w:firstLine="0"/>
              <w:jc w:val="right"/>
            </w:pPr>
            <w:r>
              <w:rPr>
                <w:rFonts w:ascii="Arial" w:hAnsi="Arial" w:eastAsia="Arial"/>
                <w:b w:val="0"/>
                <w:i w:val="0"/>
                <w:color w:val="000000"/>
                <w:sz w:val="15"/>
              </w:rPr>
              <w:t xml:space="preserve">(1,442,567) </w:t>
            </w:r>
          </w:p>
        </w:tc>
        <w:tc>
          <w:tcPr>
            <w:tcW w:type="dxa" w:w="892"/>
            <w:tcBorders>
              <w:top w:sz="4.0" w:val="single" w:color="#000000"/>
              <w:bottom w:sz="4.0" w:val="single" w:color="#000000"/>
            </w:tcBorders>
            <w:tcMar>
              <w:start w:w="0" w:type="dxa"/>
              <w:end w:w="0" w:type="dxa"/>
            </w:tcMar>
          </w:tcPr>
          <w:p>
            <w:pPr>
              <w:autoSpaceDN w:val="0"/>
              <w:autoSpaceDE w:val="0"/>
              <w:widowControl/>
              <w:spacing w:line="235" w:lineRule="auto" w:before="196" w:after="0"/>
              <w:ind w:left="222" w:right="0" w:firstLine="0"/>
              <w:jc w:val="left"/>
            </w:pPr>
            <w:r>
              <w:rPr>
                <w:rFonts w:ascii="Arial" w:hAnsi="Arial" w:eastAsia="Arial"/>
                <w:b w:val="0"/>
                <w:i w:val="0"/>
                <w:color w:val="000000"/>
                <w:sz w:val="15"/>
              </w:rPr>
              <w:t>4,590,613</w:t>
            </w:r>
          </w:p>
        </w:tc>
        <w:tc>
          <w:tcPr>
            <w:tcW w:type="dxa" w:w="1354"/>
            <w:tcBorders>
              <w:top w:sz="4.0" w:val="single" w:color="#000000"/>
              <w:bottom w:sz="4.0" w:val="single" w:color="#000000"/>
            </w:tcBorders>
            <w:tcMar>
              <w:start w:w="0" w:type="dxa"/>
              <w:end w:w="0" w:type="dxa"/>
            </w:tcMar>
          </w:tcPr>
          <w:p>
            <w:pPr>
              <w:autoSpaceDN w:val="0"/>
              <w:autoSpaceDE w:val="0"/>
              <w:widowControl/>
              <w:spacing w:line="235" w:lineRule="auto" w:before="196" w:after="0"/>
              <w:ind w:left="0" w:right="136" w:firstLine="0"/>
              <w:jc w:val="right"/>
            </w:pPr>
            <w:r>
              <w:rPr>
                <w:rFonts w:ascii="Arial" w:hAnsi="Arial" w:eastAsia="Arial"/>
                <w:b w:val="0"/>
                <w:i w:val="0"/>
                <w:color w:val="000000"/>
                <w:sz w:val="15"/>
              </w:rPr>
              <w:t xml:space="preserve">915,396,978 </w:t>
            </w:r>
          </w:p>
        </w:tc>
      </w:tr>
      <w:tr>
        <w:trPr>
          <w:trHeight w:hRule="exact" w:val="50"/>
        </w:trPr>
        <w:tc>
          <w:tcPr>
            <w:tcW w:type="dxa" w:w="1660"/>
            <w:tcBorders>
              <w:top w:sz="4.0" w:val="single" w:color="#000000"/>
            </w:tcBorders>
            <w:tcMar>
              <w:start w:w="0" w:type="dxa"/>
              <w:end w:w="0" w:type="dxa"/>
            </w:tcMar>
          </w:tcPr>
          <w:p/>
        </w:tc>
        <w:tc>
          <w:tcPr>
            <w:tcW w:type="dxa" w:w="1289"/>
            <w:vMerge/>
            <w:tcBorders>
              <w:top w:sz="4.0" w:val="single" w:color="#000000"/>
            </w:tcBorders>
          </w:tcPr>
          <w:p/>
        </w:tc>
        <w:tc>
          <w:tcPr>
            <w:tcW w:type="dxa" w:w="1180"/>
            <w:tcBorders>
              <w:top w:sz="4.0" w:val="single" w:color="#000000"/>
            </w:tcBorders>
            <w:tcMar>
              <w:start w:w="0" w:type="dxa"/>
              <w:end w:w="0" w:type="dxa"/>
            </w:tcMar>
          </w:tcPr>
          <w:p/>
        </w:tc>
        <w:tc>
          <w:tcPr>
            <w:tcW w:type="dxa" w:w="1208"/>
            <w:tcBorders>
              <w:top w:sz="4.0" w:val="single" w:color="#000000"/>
            </w:tcBorders>
            <w:tcMar>
              <w:start w:w="0" w:type="dxa"/>
              <w:end w:w="0" w:type="dxa"/>
            </w:tcMar>
          </w:tcPr>
          <w:p/>
        </w:tc>
        <w:tc>
          <w:tcPr>
            <w:tcW w:type="dxa" w:w="1448"/>
            <w:tcBorders>
              <w:top w:sz="4.0" w:val="single" w:color="#000000"/>
            </w:tcBorders>
            <w:tcMar>
              <w:start w:w="0" w:type="dxa"/>
              <w:end w:w="0" w:type="dxa"/>
            </w:tcMar>
          </w:tcPr>
          <w:p/>
        </w:tc>
        <w:tc>
          <w:tcPr>
            <w:tcW w:type="dxa" w:w="892"/>
            <w:tcBorders>
              <w:top w:sz="4.0" w:val="single" w:color="#000000"/>
            </w:tcBorders>
            <w:tcMar>
              <w:start w:w="0" w:type="dxa"/>
              <w:end w:w="0" w:type="dxa"/>
            </w:tcMar>
          </w:tcPr>
          <w:p/>
        </w:tc>
        <w:tc>
          <w:tcPr>
            <w:tcW w:type="dxa" w:w="1354"/>
            <w:tcBorders>
              <w:top w:sz="4.0" w:val="single" w:color="#000000"/>
            </w:tcBorders>
            <w:tcMar>
              <w:start w:w="0" w:type="dxa"/>
              <w:end w:w="0" w:type="dxa"/>
            </w:tcMar>
          </w:tcPr>
          <w:p/>
        </w:tc>
      </w:tr>
    </w:tbl>
    <w:p>
      <w:pPr>
        <w:autoSpaceDN w:val="0"/>
        <w:tabs>
          <w:tab w:pos="5378" w:val="left"/>
        </w:tabs>
        <w:autoSpaceDE w:val="0"/>
        <w:widowControl/>
        <w:spacing w:line="456" w:lineRule="exact" w:before="36" w:after="16"/>
        <w:ind w:left="358" w:right="2448"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按阶段划分的预期信用损失减值准备：</w:t>
      </w:r>
      <w:r>
        <w:br/>
      </w:r>
      <w:r>
        <w:rPr>
          <w:rFonts w:ascii="Arial" w:hAnsi="Arial" w:eastAsia="Arial"/>
          <w:b w:val="0"/>
          <w:i w:val="0"/>
          <w:color w:val="000000"/>
          <w:sz w:val="15"/>
        </w:rPr>
        <w:t>2024</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185"/>
        </w:trPr>
        <w:tc>
          <w:tcPr>
            <w:tcW w:type="dxa" w:w="3034"/>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774" w:after="0"/>
              <w:ind w:left="198" w:right="0" w:firstLine="0"/>
              <w:jc w:val="left"/>
            </w:pPr>
            <w:r>
              <w:rPr>
                <w:rFonts w:ascii="黑体" w:hAnsi="黑体" w:eastAsia="黑体"/>
                <w:b w:val="0"/>
                <w:i w:val="0"/>
                <w:color w:val="000000"/>
                <w:sz w:val="15"/>
              </w:rPr>
              <w:t>融出资金减值准备</w:t>
            </w:r>
          </w:p>
        </w:tc>
        <w:tc>
          <w:tcPr>
            <w:tcW w:type="dxa" w:w="1304"/>
            <w:vMerge w:val="restart"/>
            <w:tcBorders/>
            <w:tcMar>
              <w:start w:w="0" w:type="dxa"/>
              <w:end w:w="0" w:type="dxa"/>
            </w:tcMar>
            <w:tcMar>
              <w:start w:w="0" w:type="dxa"/>
              <w:end w:w="0" w:type="dxa"/>
            </w:tcMar>
          </w:tcPr>
          <w:p>
            <w:pPr>
              <w:autoSpaceDN w:val="0"/>
              <w:autoSpaceDE w:val="0"/>
              <w:widowControl/>
              <w:spacing w:line="168" w:lineRule="exact" w:before="196" w:after="0"/>
              <w:ind w:left="0" w:right="54" w:firstLine="0"/>
              <w:jc w:val="right"/>
            </w:pPr>
            <w:r>
              <w:rPr>
                <w:rFonts w:ascii="黑体" w:hAnsi="黑体" w:eastAsia="黑体"/>
                <w:b w:val="0"/>
                <w:i w:val="0"/>
                <w:color w:val="000000"/>
                <w:sz w:val="15"/>
              </w:rPr>
              <w:t>未来</w:t>
            </w:r>
            <w:r>
              <w:rPr>
                <w:rFonts w:ascii="Arial" w:hAnsi="Arial" w:eastAsia="Arial"/>
                <w:b w:val="0"/>
                <w:i w:val="0"/>
                <w:color w:val="000000"/>
                <w:sz w:val="15"/>
              </w:rPr>
              <w:t>12</w:t>
            </w:r>
            <w:r>
              <w:rPr>
                <w:rFonts w:ascii="黑体" w:hAnsi="黑体" w:eastAsia="黑体"/>
                <w:b w:val="0"/>
                <w:i w:val="0"/>
                <w:color w:val="000000"/>
                <w:sz w:val="15"/>
              </w:rPr>
              <w:t>个月</w:t>
            </w:r>
          </w:p>
        </w:tc>
        <w:tc>
          <w:tcPr>
            <w:tcW w:type="dxa" w:w="1420"/>
            <w:tcBorders/>
            <w:tcMar>
              <w:start w:w="0" w:type="dxa"/>
              <w:end w:w="0" w:type="dxa"/>
            </w:tcMar>
          </w:tcPr>
          <w:p>
            <w:pPr>
              <w:autoSpaceDN w:val="0"/>
              <w:autoSpaceDE w:val="0"/>
              <w:widowControl/>
              <w:spacing w:line="152" w:lineRule="exact" w:before="24" w:after="0"/>
              <w:ind w:left="0" w:right="56" w:firstLine="0"/>
              <w:jc w:val="right"/>
            </w:pPr>
            <w:r>
              <w:rPr>
                <w:rFonts w:ascii="黑体" w:hAnsi="黑体" w:eastAsia="黑体"/>
                <w:b w:val="0"/>
                <w:i w:val="0"/>
                <w:color w:val="000000"/>
                <w:sz w:val="15"/>
              </w:rPr>
              <w:t>整个存续期</w:t>
            </w:r>
          </w:p>
        </w:tc>
        <w:tc>
          <w:tcPr>
            <w:tcW w:type="dxa" w:w="1418"/>
            <w:tcBorders/>
            <w:tcMar>
              <w:start w:w="0" w:type="dxa"/>
              <w:end w:w="0" w:type="dxa"/>
            </w:tcMar>
          </w:tcPr>
          <w:p>
            <w:pPr>
              <w:autoSpaceDN w:val="0"/>
              <w:autoSpaceDE w:val="0"/>
              <w:widowControl/>
              <w:spacing w:line="152" w:lineRule="exact" w:before="24" w:after="0"/>
              <w:ind w:left="0" w:right="56" w:firstLine="0"/>
              <w:jc w:val="right"/>
            </w:pPr>
            <w:r>
              <w:rPr>
                <w:rFonts w:ascii="黑体" w:hAnsi="黑体" w:eastAsia="黑体"/>
                <w:b w:val="0"/>
                <w:i w:val="0"/>
                <w:color w:val="000000"/>
                <w:sz w:val="15"/>
              </w:rPr>
              <w:t>整个存续期</w:t>
            </w:r>
          </w:p>
        </w:tc>
        <w:tc>
          <w:tcPr>
            <w:tcW w:type="dxa" w:w="1344"/>
            <w:vMerge w:val="restart"/>
            <w:tcBorders/>
            <w:tcMar>
              <w:start w:w="0" w:type="dxa"/>
              <w:end w:w="0" w:type="dxa"/>
            </w:tcMar>
            <w:tcMar>
              <w:start w:w="0" w:type="dxa"/>
              <w:end w:w="0" w:type="dxa"/>
            </w:tcMar>
            <w:tcMar>
              <w:start w:w="0" w:type="dxa"/>
              <w:end w:w="0" w:type="dxa"/>
            </w:tcMar>
          </w:tcPr>
          <w:p>
            <w:pPr>
              <w:autoSpaceDN w:val="0"/>
              <w:autoSpaceDE w:val="0"/>
              <w:widowControl/>
              <w:spacing w:line="152" w:lineRule="exact" w:before="412" w:after="0"/>
              <w:ind w:left="0" w:right="0" w:firstLine="0"/>
              <w:jc w:val="right"/>
            </w:pPr>
            <w:r>
              <w:rPr>
                <w:rFonts w:ascii="黑体" w:hAnsi="黑体" w:eastAsia="黑体"/>
                <w:b w:val="0"/>
                <w:i w:val="0"/>
                <w:color w:val="000000"/>
                <w:sz w:val="15"/>
              </w:rPr>
              <w:t>合计</w:t>
            </w:r>
          </w:p>
        </w:tc>
      </w:tr>
      <w:tr>
        <w:trPr>
          <w:trHeight w:hRule="exact" w:val="180"/>
        </w:trPr>
        <w:tc>
          <w:tcPr>
            <w:tcW w:type="dxa" w:w="1805"/>
            <w:vMerge/>
            <w:tcBorders>
              <w:top w:sz="4.0" w:val="single" w:color="#000000"/>
            </w:tcBorders>
          </w:tcPr>
          <w:p/>
        </w:tc>
        <w:tc>
          <w:tcPr>
            <w:tcW w:type="dxa" w:w="1805"/>
            <w:vMerge/>
            <w:tcBorders/>
          </w:tcPr>
          <w:p/>
        </w:tc>
        <w:tc>
          <w:tcPr>
            <w:tcW w:type="dxa" w:w="1420"/>
            <w:tcBorders/>
            <w:tcMar>
              <w:start w:w="0" w:type="dxa"/>
              <w:end w:w="0" w:type="dxa"/>
            </w:tcMar>
          </w:tcPr>
          <w:p>
            <w:pPr>
              <w:autoSpaceDN w:val="0"/>
              <w:autoSpaceDE w:val="0"/>
              <w:widowControl/>
              <w:spacing w:line="152" w:lineRule="exact" w:before="28" w:after="0"/>
              <w:ind w:left="0" w:right="56" w:firstLine="0"/>
              <w:jc w:val="right"/>
            </w:pPr>
            <w:r>
              <w:rPr>
                <w:rFonts w:ascii="黑体" w:hAnsi="黑体" w:eastAsia="黑体"/>
                <w:b w:val="0"/>
                <w:i w:val="0"/>
                <w:color w:val="000000"/>
                <w:sz w:val="15"/>
              </w:rPr>
              <w:t>预期信用损失</w:t>
            </w:r>
          </w:p>
        </w:tc>
        <w:tc>
          <w:tcPr>
            <w:tcW w:type="dxa" w:w="1418"/>
            <w:tcBorders/>
            <w:tcMar>
              <w:start w:w="0" w:type="dxa"/>
              <w:end w:w="0" w:type="dxa"/>
            </w:tcMar>
          </w:tcPr>
          <w:p>
            <w:pPr>
              <w:autoSpaceDN w:val="0"/>
              <w:autoSpaceDE w:val="0"/>
              <w:widowControl/>
              <w:spacing w:line="152" w:lineRule="exact" w:before="28" w:after="0"/>
              <w:ind w:left="0" w:right="56" w:firstLine="0"/>
              <w:jc w:val="right"/>
            </w:pPr>
            <w:r>
              <w:rPr>
                <w:rFonts w:ascii="黑体" w:hAnsi="黑体" w:eastAsia="黑体"/>
                <w:b w:val="0"/>
                <w:i w:val="0"/>
                <w:color w:val="000000"/>
                <w:sz w:val="15"/>
              </w:rPr>
              <w:t>预期信用损失</w:t>
            </w:r>
          </w:p>
        </w:tc>
        <w:tc>
          <w:tcPr>
            <w:tcW w:type="dxa" w:w="1805"/>
            <w:vMerge/>
            <w:tcBorders/>
          </w:tcPr>
          <w:p/>
        </w:tc>
      </w:tr>
      <w:tr>
        <w:trPr>
          <w:trHeight w:hRule="exact" w:val="300"/>
        </w:trPr>
        <w:tc>
          <w:tcPr>
            <w:tcW w:type="dxa" w:w="1805"/>
            <w:vMerge/>
            <w:tcBorders>
              <w:top w:sz="4.0" w:val="single" w:color="#000000"/>
            </w:tcBorders>
          </w:tcPr>
          <w:p/>
        </w:tc>
        <w:tc>
          <w:tcPr>
            <w:tcW w:type="dxa" w:w="1304"/>
            <w:tcBorders/>
            <w:tcMar>
              <w:start w:w="0" w:type="dxa"/>
              <w:end w:w="0" w:type="dxa"/>
            </w:tcMar>
          </w:tcPr>
          <w:p>
            <w:pPr>
              <w:autoSpaceDN w:val="0"/>
              <w:autoSpaceDE w:val="0"/>
              <w:widowControl/>
              <w:spacing w:line="152" w:lineRule="exact" w:before="48" w:after="0"/>
              <w:ind w:left="0" w:right="54" w:firstLine="0"/>
              <w:jc w:val="right"/>
            </w:pPr>
            <w:r>
              <w:rPr>
                <w:rFonts w:ascii="黑体" w:hAnsi="黑体" w:eastAsia="黑体"/>
                <w:b w:val="0"/>
                <w:i w:val="0"/>
                <w:color w:val="000000"/>
                <w:sz w:val="15"/>
              </w:rPr>
              <w:t>预期信用损失</w:t>
            </w:r>
          </w:p>
        </w:tc>
        <w:tc>
          <w:tcPr>
            <w:tcW w:type="dxa" w:w="1420"/>
            <w:tcBorders/>
            <w:tcMar>
              <w:start w:w="0" w:type="dxa"/>
              <w:end w:w="0" w:type="dxa"/>
            </w:tcMar>
          </w:tcPr>
          <w:p>
            <w:pPr>
              <w:autoSpaceDN w:val="0"/>
              <w:autoSpaceDE w:val="0"/>
              <w:widowControl/>
              <w:spacing w:line="152" w:lineRule="exact" w:before="48" w:after="0"/>
              <w:ind w:left="0" w:right="0" w:firstLine="0"/>
              <w:jc w:val="center"/>
            </w:pPr>
            <w:r>
              <w:rPr>
                <w:rFonts w:ascii="黑体" w:hAnsi="黑体" w:eastAsia="黑体"/>
                <w:b w:val="0"/>
                <w:i w:val="0"/>
                <w:color w:val="000000"/>
                <w:sz w:val="15"/>
              </w:rPr>
              <w:t>（未发生信用减值）</w:t>
            </w:r>
          </w:p>
        </w:tc>
        <w:tc>
          <w:tcPr>
            <w:tcW w:type="dxa" w:w="1418"/>
            <w:tcBorders/>
            <w:tcMar>
              <w:start w:w="0" w:type="dxa"/>
              <w:end w:w="0" w:type="dxa"/>
            </w:tcMar>
          </w:tcPr>
          <w:p>
            <w:pPr>
              <w:autoSpaceDN w:val="0"/>
              <w:autoSpaceDE w:val="0"/>
              <w:widowControl/>
              <w:spacing w:line="152" w:lineRule="exact" w:before="48" w:after="0"/>
              <w:ind w:left="0" w:right="0" w:firstLine="0"/>
              <w:jc w:val="center"/>
            </w:pPr>
            <w:r>
              <w:rPr>
                <w:rFonts w:ascii="黑体" w:hAnsi="黑体" w:eastAsia="黑体"/>
                <w:b w:val="0"/>
                <w:i w:val="0"/>
                <w:color w:val="000000"/>
                <w:sz w:val="15"/>
              </w:rPr>
              <w:t>（已发生信用减值）</w:t>
            </w:r>
          </w:p>
        </w:tc>
        <w:tc>
          <w:tcPr>
            <w:tcW w:type="dxa" w:w="1805"/>
            <w:vMerge/>
            <w:tcBorders/>
          </w:tcPr>
          <w:p/>
        </w:tc>
      </w:tr>
      <w:tr>
        <w:trPr>
          <w:trHeight w:hRule="exact" w:val="296"/>
        </w:trPr>
        <w:tc>
          <w:tcPr>
            <w:tcW w:type="dxa" w:w="1805"/>
            <w:vMerge/>
            <w:tcBorders>
              <w:top w:sz="4.0" w:val="single" w:color="#000000"/>
            </w:tcBorders>
          </w:tcPr>
          <w:p/>
        </w:tc>
        <w:tc>
          <w:tcPr>
            <w:tcW w:type="dxa" w:w="1304"/>
            <w:tcBorders/>
            <w:tcMar>
              <w:start w:w="0" w:type="dxa"/>
              <w:end w:w="0" w:type="dxa"/>
            </w:tcMar>
          </w:tcPr>
          <w:p>
            <w:pPr>
              <w:autoSpaceDN w:val="0"/>
              <w:autoSpaceDE w:val="0"/>
              <w:widowControl/>
              <w:spacing w:line="235" w:lineRule="auto" w:before="116" w:after="0"/>
              <w:ind w:left="0" w:right="54" w:firstLine="0"/>
              <w:jc w:val="right"/>
            </w:pPr>
            <w:r>
              <w:rPr>
                <w:rFonts w:ascii="Arial" w:hAnsi="Arial" w:eastAsia="Arial"/>
                <w:b w:val="0"/>
                <w:i w:val="0"/>
                <w:color w:val="000000"/>
                <w:sz w:val="15"/>
              </w:rPr>
              <w:t>37,761,381</w:t>
            </w:r>
          </w:p>
        </w:tc>
        <w:tc>
          <w:tcPr>
            <w:tcW w:type="dxa" w:w="1420"/>
            <w:tcBorders/>
            <w:tcMar>
              <w:start w:w="0" w:type="dxa"/>
              <w:end w:w="0" w:type="dxa"/>
            </w:tcMar>
          </w:tcPr>
          <w:p>
            <w:pPr>
              <w:autoSpaceDN w:val="0"/>
              <w:autoSpaceDE w:val="0"/>
              <w:widowControl/>
              <w:spacing w:line="235" w:lineRule="auto" w:before="116" w:after="0"/>
              <w:ind w:left="0" w:right="16" w:firstLine="0"/>
              <w:jc w:val="right"/>
            </w:pPr>
            <w:r>
              <w:rPr>
                <w:rFonts w:ascii="Arial" w:hAnsi="Arial" w:eastAsia="Arial"/>
                <w:b w:val="0"/>
                <w:i w:val="0"/>
                <w:color w:val="000000"/>
                <w:sz w:val="15"/>
              </w:rPr>
              <w:t xml:space="preserve">440 </w:t>
            </w:r>
          </w:p>
        </w:tc>
        <w:tc>
          <w:tcPr>
            <w:tcW w:type="dxa" w:w="1418"/>
            <w:tcBorders/>
            <w:tcMar>
              <w:start w:w="0" w:type="dxa"/>
              <w:end w:w="0" w:type="dxa"/>
            </w:tcMar>
          </w:tcPr>
          <w:p>
            <w:pPr>
              <w:autoSpaceDN w:val="0"/>
              <w:autoSpaceDE w:val="0"/>
              <w:widowControl/>
              <w:spacing w:line="235" w:lineRule="auto" w:before="116" w:after="0"/>
              <w:ind w:left="0" w:right="56" w:firstLine="0"/>
              <w:jc w:val="right"/>
            </w:pPr>
            <w:r>
              <w:rPr>
                <w:rFonts w:ascii="Arial" w:hAnsi="Arial" w:eastAsia="Arial"/>
                <w:b w:val="0"/>
                <w:i w:val="0"/>
                <w:color w:val="000000"/>
                <w:sz w:val="15"/>
              </w:rPr>
              <w:t>186,555,996</w:t>
            </w:r>
          </w:p>
        </w:tc>
        <w:tc>
          <w:tcPr>
            <w:tcW w:type="dxa" w:w="1344"/>
            <w:tcBorders/>
            <w:tcMar>
              <w:start w:w="0" w:type="dxa"/>
              <w:end w:w="0" w:type="dxa"/>
            </w:tcMar>
          </w:tcPr>
          <w:p>
            <w:pPr>
              <w:autoSpaceDN w:val="0"/>
              <w:autoSpaceDE w:val="0"/>
              <w:widowControl/>
              <w:spacing w:line="235" w:lineRule="auto" w:before="116" w:after="0"/>
              <w:ind w:left="0" w:right="0" w:firstLine="0"/>
              <w:jc w:val="right"/>
            </w:pPr>
            <w:r>
              <w:rPr>
                <w:rFonts w:ascii="Arial" w:hAnsi="Arial" w:eastAsia="Arial"/>
                <w:b w:val="0"/>
                <w:i w:val="0"/>
                <w:color w:val="000000"/>
                <w:sz w:val="15"/>
              </w:rPr>
              <w:t>224,317,817</w:t>
            </w:r>
          </w:p>
        </w:tc>
      </w:tr>
      <w:tr>
        <w:trPr>
          <w:trHeight w:hRule="exact" w:val="164"/>
        </w:trPr>
        <w:tc>
          <w:tcPr>
            <w:tcW w:type="dxa" w:w="3034"/>
            <w:tcBorders/>
            <w:tcMar>
              <w:start w:w="0" w:type="dxa"/>
              <w:end w:w="0" w:type="dxa"/>
            </w:tcMar>
          </w:tcPr>
          <w:p>
            <w:pPr>
              <w:autoSpaceDN w:val="0"/>
              <w:autoSpaceDE w:val="0"/>
              <w:widowControl/>
              <w:spacing w:line="152" w:lineRule="exact" w:before="12" w:after="0"/>
              <w:ind w:left="198" w:right="0" w:firstLine="0"/>
              <w:jc w:val="left"/>
            </w:pPr>
            <w:r>
              <w:rPr>
                <w:rFonts w:ascii="黑体" w:hAnsi="黑体" w:eastAsia="黑体"/>
                <w:b w:val="0"/>
                <w:i w:val="0"/>
                <w:color w:val="000000"/>
                <w:sz w:val="15"/>
              </w:rPr>
              <w:t>买入返售金融资产减值准备</w:t>
            </w:r>
          </w:p>
        </w:tc>
        <w:tc>
          <w:tcPr>
            <w:tcW w:type="dxa" w:w="1304"/>
            <w:tcBorders/>
            <w:tcMar>
              <w:start w:w="0" w:type="dxa"/>
              <w:end w:w="0" w:type="dxa"/>
            </w:tcMar>
          </w:tcPr>
          <w:p>
            <w:pPr>
              <w:autoSpaceDN w:val="0"/>
              <w:autoSpaceDE w:val="0"/>
              <w:widowControl/>
              <w:spacing w:line="235" w:lineRule="auto" w:before="0" w:after="0"/>
              <w:ind w:left="0" w:right="16" w:firstLine="0"/>
              <w:jc w:val="right"/>
            </w:pPr>
            <w:r>
              <w:rPr>
                <w:rFonts w:ascii="Arial" w:hAnsi="Arial" w:eastAsia="Arial"/>
                <w:b w:val="0"/>
                <w:i w:val="0"/>
                <w:color w:val="000000"/>
                <w:sz w:val="15"/>
              </w:rPr>
              <w:t xml:space="preserve">6,570,780 </w:t>
            </w:r>
          </w:p>
        </w:tc>
        <w:tc>
          <w:tcPr>
            <w:tcW w:type="dxa" w:w="1420"/>
            <w:tcBorders/>
            <w:tcMar>
              <w:start w:w="0" w:type="dxa"/>
              <w:end w:w="0" w:type="dxa"/>
            </w:tcMar>
          </w:tcPr>
          <w:p>
            <w:pPr>
              <w:autoSpaceDN w:val="0"/>
              <w:autoSpaceDE w:val="0"/>
              <w:widowControl/>
              <w:spacing w:line="235" w:lineRule="auto" w:before="0" w:after="0"/>
              <w:ind w:left="0" w:right="16" w:firstLine="0"/>
              <w:jc w:val="right"/>
            </w:pPr>
            <w:r>
              <w:rPr>
                <w:rFonts w:ascii="Arial" w:hAnsi="Arial" w:eastAsia="Arial"/>
                <w:b w:val="0"/>
                <w:i w:val="0"/>
                <w:color w:val="000000"/>
                <w:sz w:val="15"/>
              </w:rPr>
              <w:t xml:space="preserve">- </w:t>
            </w:r>
          </w:p>
        </w:tc>
        <w:tc>
          <w:tcPr>
            <w:tcW w:type="dxa" w:w="1418"/>
            <w:tcBorders/>
            <w:tcMar>
              <w:start w:w="0" w:type="dxa"/>
              <w:end w:w="0" w:type="dxa"/>
            </w:tcMar>
          </w:tcPr>
          <w:p>
            <w:pPr>
              <w:autoSpaceDN w:val="0"/>
              <w:autoSpaceDE w:val="0"/>
              <w:widowControl/>
              <w:spacing w:line="235" w:lineRule="auto" w:before="0" w:after="0"/>
              <w:ind w:left="0" w:right="16" w:firstLine="0"/>
              <w:jc w:val="right"/>
            </w:pPr>
            <w:r>
              <w:rPr>
                <w:rFonts w:ascii="Arial" w:hAnsi="Arial" w:eastAsia="Arial"/>
                <w:b w:val="0"/>
                <w:i w:val="0"/>
                <w:color w:val="000000"/>
                <w:sz w:val="15"/>
              </w:rPr>
              <w:t xml:space="preserve">2,226,302 </w:t>
            </w:r>
          </w:p>
        </w:tc>
        <w:tc>
          <w:tcPr>
            <w:tcW w:type="dxa" w:w="134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5"/>
              </w:rPr>
              <w:t>8,797,082</w:t>
            </w:r>
          </w:p>
        </w:tc>
      </w:tr>
      <w:tr>
        <w:trPr>
          <w:trHeight w:hRule="exact" w:val="200"/>
        </w:trPr>
        <w:tc>
          <w:tcPr>
            <w:tcW w:type="dxa" w:w="3034"/>
            <w:tcBorders/>
            <w:tcMar>
              <w:start w:w="0" w:type="dxa"/>
              <w:end w:w="0" w:type="dxa"/>
            </w:tcMar>
          </w:tcPr>
          <w:p>
            <w:pPr>
              <w:autoSpaceDN w:val="0"/>
              <w:autoSpaceDE w:val="0"/>
              <w:widowControl/>
              <w:spacing w:line="150" w:lineRule="exact" w:before="46" w:after="0"/>
              <w:ind w:left="198" w:right="0" w:firstLine="0"/>
              <w:jc w:val="left"/>
            </w:pPr>
            <w:r>
              <w:rPr>
                <w:rFonts w:ascii="黑体" w:hAnsi="黑体" w:eastAsia="黑体"/>
                <w:b w:val="0"/>
                <w:i w:val="0"/>
                <w:color w:val="000000"/>
                <w:sz w:val="15"/>
              </w:rPr>
              <w:t>应收款项坏账准备</w:t>
            </w:r>
          </w:p>
        </w:tc>
        <w:tc>
          <w:tcPr>
            <w:tcW w:type="dxa" w:w="1304"/>
            <w:tcBorders/>
            <w:tcMar>
              <w:start w:w="0" w:type="dxa"/>
              <w:end w:w="0" w:type="dxa"/>
            </w:tcMar>
          </w:tcPr>
          <w:p>
            <w:pPr>
              <w:autoSpaceDN w:val="0"/>
              <w:autoSpaceDE w:val="0"/>
              <w:widowControl/>
              <w:spacing w:line="233" w:lineRule="auto" w:before="32" w:after="0"/>
              <w:ind w:left="0" w:right="58" w:firstLine="0"/>
              <w:jc w:val="right"/>
            </w:pPr>
            <w:r>
              <w:rPr>
                <w:rFonts w:ascii="Arial" w:hAnsi="Arial" w:eastAsia="Arial"/>
                <w:b w:val="0"/>
                <w:i w:val="0"/>
                <w:color w:val="000000"/>
                <w:sz w:val="15"/>
              </w:rPr>
              <w:t>-</w:t>
            </w:r>
          </w:p>
        </w:tc>
        <w:tc>
          <w:tcPr>
            <w:tcW w:type="dxa" w:w="1420"/>
            <w:tcBorders/>
            <w:tcMar>
              <w:start w:w="0" w:type="dxa"/>
              <w:end w:w="0" w:type="dxa"/>
            </w:tcMar>
          </w:tcPr>
          <w:p>
            <w:pPr>
              <w:autoSpaceDN w:val="0"/>
              <w:autoSpaceDE w:val="0"/>
              <w:widowControl/>
              <w:spacing w:line="233" w:lineRule="auto" w:before="32" w:after="0"/>
              <w:ind w:left="0" w:right="16" w:firstLine="0"/>
              <w:jc w:val="right"/>
            </w:pPr>
            <w:r>
              <w:rPr>
                <w:rFonts w:ascii="Arial" w:hAnsi="Arial" w:eastAsia="Arial"/>
                <w:b w:val="0"/>
                <w:i w:val="0"/>
                <w:color w:val="000000"/>
                <w:sz w:val="15"/>
              </w:rPr>
              <w:t xml:space="preserve">347,203 </w:t>
            </w:r>
          </w:p>
        </w:tc>
        <w:tc>
          <w:tcPr>
            <w:tcW w:type="dxa" w:w="1418"/>
            <w:tcBorders/>
            <w:tcMar>
              <w:start w:w="0" w:type="dxa"/>
              <w:end w:w="0" w:type="dxa"/>
            </w:tcMar>
          </w:tcPr>
          <w:p>
            <w:pPr>
              <w:autoSpaceDN w:val="0"/>
              <w:autoSpaceDE w:val="0"/>
              <w:widowControl/>
              <w:spacing w:line="233" w:lineRule="auto" w:before="32" w:after="0"/>
              <w:ind w:left="0" w:right="16" w:firstLine="0"/>
              <w:jc w:val="right"/>
            </w:pPr>
            <w:r>
              <w:rPr>
                <w:rFonts w:ascii="Arial" w:hAnsi="Arial" w:eastAsia="Arial"/>
                <w:b w:val="0"/>
                <w:i w:val="0"/>
                <w:color w:val="000000"/>
                <w:sz w:val="15"/>
              </w:rPr>
              <w:t xml:space="preserve"> 86,448,908 </w:t>
            </w:r>
          </w:p>
        </w:tc>
        <w:tc>
          <w:tcPr>
            <w:tcW w:type="dxa" w:w="1344"/>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86,796,111</w:t>
            </w:r>
          </w:p>
        </w:tc>
      </w:tr>
      <w:tr>
        <w:trPr>
          <w:trHeight w:hRule="exact" w:val="217"/>
        </w:trPr>
        <w:tc>
          <w:tcPr>
            <w:tcW w:type="dxa" w:w="3034"/>
            <w:tcBorders/>
            <w:tcMar>
              <w:start w:w="0" w:type="dxa"/>
              <w:end w:w="0" w:type="dxa"/>
            </w:tcMar>
          </w:tcPr>
          <w:p>
            <w:pPr>
              <w:autoSpaceDN w:val="0"/>
              <w:autoSpaceDE w:val="0"/>
              <w:widowControl/>
              <w:spacing w:line="150" w:lineRule="exact" w:before="40" w:after="0"/>
              <w:ind w:left="198" w:right="0" w:firstLine="0"/>
              <w:jc w:val="left"/>
            </w:pPr>
            <w:r>
              <w:rPr>
                <w:rFonts w:ascii="黑体" w:hAnsi="黑体" w:eastAsia="黑体"/>
                <w:b w:val="0"/>
                <w:i w:val="0"/>
                <w:color w:val="000000"/>
                <w:sz w:val="15"/>
              </w:rPr>
              <w:t>债权投资减值准备</w:t>
            </w:r>
          </w:p>
        </w:tc>
        <w:tc>
          <w:tcPr>
            <w:tcW w:type="dxa" w:w="1304"/>
            <w:tcBorders/>
            <w:tcMar>
              <w:start w:w="0" w:type="dxa"/>
              <w:end w:w="0" w:type="dxa"/>
            </w:tcMar>
          </w:tcPr>
          <w:p>
            <w:pPr>
              <w:autoSpaceDN w:val="0"/>
              <w:autoSpaceDE w:val="0"/>
              <w:widowControl/>
              <w:spacing w:line="233" w:lineRule="auto" w:before="40" w:after="0"/>
              <w:ind w:left="0" w:right="54" w:firstLine="0"/>
              <w:jc w:val="right"/>
            </w:pPr>
            <w:r>
              <w:rPr>
                <w:rFonts w:ascii="Arial" w:hAnsi="Arial" w:eastAsia="Arial"/>
                <w:b w:val="0"/>
                <w:i w:val="0"/>
                <w:color w:val="000000"/>
                <w:sz w:val="15"/>
              </w:rPr>
              <w:t>43,730</w:t>
            </w:r>
          </w:p>
        </w:tc>
        <w:tc>
          <w:tcPr>
            <w:tcW w:type="dxa" w:w="1420"/>
            <w:tcBorders/>
            <w:tcMar>
              <w:start w:w="0" w:type="dxa"/>
              <w:end w:w="0" w:type="dxa"/>
            </w:tcMar>
          </w:tcPr>
          <w:p>
            <w:pPr>
              <w:autoSpaceDN w:val="0"/>
              <w:autoSpaceDE w:val="0"/>
              <w:widowControl/>
              <w:spacing w:line="233" w:lineRule="auto" w:before="40" w:after="0"/>
              <w:ind w:left="0" w:right="16" w:firstLine="0"/>
              <w:jc w:val="right"/>
            </w:pPr>
            <w:r>
              <w:rPr>
                <w:rFonts w:ascii="Arial" w:hAnsi="Arial" w:eastAsia="Arial"/>
                <w:b w:val="0"/>
                <w:i w:val="0"/>
                <w:color w:val="000000"/>
                <w:sz w:val="15"/>
              </w:rPr>
              <w:t xml:space="preserve">- </w:t>
            </w:r>
          </w:p>
        </w:tc>
        <w:tc>
          <w:tcPr>
            <w:tcW w:type="dxa" w:w="1418"/>
            <w:tcBorders/>
            <w:tcMar>
              <w:start w:w="0" w:type="dxa"/>
              <w:end w:w="0" w:type="dxa"/>
            </w:tcMar>
          </w:tcPr>
          <w:p>
            <w:pPr>
              <w:autoSpaceDN w:val="0"/>
              <w:autoSpaceDE w:val="0"/>
              <w:widowControl/>
              <w:spacing w:line="233" w:lineRule="auto" w:before="40" w:after="0"/>
              <w:ind w:left="0" w:right="56" w:firstLine="0"/>
              <w:jc w:val="right"/>
            </w:pPr>
            <w:r>
              <w:rPr>
                <w:rFonts w:ascii="Arial" w:hAnsi="Arial" w:eastAsia="Arial"/>
                <w:b w:val="0"/>
                <w:i w:val="0"/>
                <w:color w:val="000000"/>
                <w:sz w:val="15"/>
              </w:rPr>
              <w:t>36,800,535</w:t>
            </w:r>
          </w:p>
        </w:tc>
        <w:tc>
          <w:tcPr>
            <w:tcW w:type="dxa" w:w="1344"/>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15"/>
              </w:rPr>
              <w:t>36,844,265</w:t>
            </w:r>
          </w:p>
        </w:tc>
      </w:tr>
      <w:tr>
        <w:trPr>
          <w:trHeight w:hRule="exact" w:val="196"/>
        </w:trPr>
        <w:tc>
          <w:tcPr>
            <w:tcW w:type="dxa" w:w="3034"/>
            <w:tcBorders/>
            <w:tcMar>
              <w:start w:w="0" w:type="dxa"/>
              <w:end w:w="0" w:type="dxa"/>
            </w:tcMar>
          </w:tcPr>
          <w:p>
            <w:pPr>
              <w:autoSpaceDN w:val="0"/>
              <w:autoSpaceDE w:val="0"/>
              <w:widowControl/>
              <w:spacing w:line="152" w:lineRule="exact" w:before="16" w:after="0"/>
              <w:ind w:left="198" w:right="0" w:firstLine="0"/>
              <w:jc w:val="left"/>
            </w:pPr>
            <w:r>
              <w:rPr>
                <w:rFonts w:ascii="黑体" w:hAnsi="黑体" w:eastAsia="黑体"/>
                <w:b w:val="0"/>
                <w:i w:val="0"/>
                <w:color w:val="000000"/>
                <w:sz w:val="15"/>
              </w:rPr>
              <w:t>其他债权投资减值准备</w:t>
            </w:r>
          </w:p>
        </w:tc>
        <w:tc>
          <w:tcPr>
            <w:tcW w:type="dxa" w:w="1304"/>
            <w:tcBorders/>
            <w:tcMar>
              <w:start w:w="0" w:type="dxa"/>
              <w:end w:w="0" w:type="dxa"/>
            </w:tcMar>
          </w:tcPr>
          <w:p>
            <w:pPr>
              <w:autoSpaceDN w:val="0"/>
              <w:autoSpaceDE w:val="0"/>
              <w:widowControl/>
              <w:spacing w:line="233" w:lineRule="auto" w:before="16" w:after="0"/>
              <w:ind w:left="0" w:right="54" w:firstLine="0"/>
              <w:jc w:val="right"/>
            </w:pPr>
            <w:r>
              <w:rPr>
                <w:rFonts w:ascii="Arial" w:hAnsi="Arial" w:eastAsia="Arial"/>
                <w:b w:val="0"/>
                <w:i w:val="0"/>
                <w:color w:val="000000"/>
                <w:sz w:val="15"/>
              </w:rPr>
              <w:t>113,996</w:t>
            </w:r>
          </w:p>
        </w:tc>
        <w:tc>
          <w:tcPr>
            <w:tcW w:type="dxa" w:w="1420"/>
            <w:tcBorders/>
            <w:tcMar>
              <w:start w:w="0" w:type="dxa"/>
              <w:end w:w="0" w:type="dxa"/>
            </w:tcMar>
          </w:tcPr>
          <w:p>
            <w:pPr>
              <w:autoSpaceDN w:val="0"/>
              <w:autoSpaceDE w:val="0"/>
              <w:widowControl/>
              <w:spacing w:line="233" w:lineRule="auto" w:before="16" w:after="0"/>
              <w:ind w:left="0" w:right="16" w:firstLine="0"/>
              <w:jc w:val="right"/>
            </w:pPr>
            <w:r>
              <w:rPr>
                <w:rFonts w:ascii="Arial" w:hAnsi="Arial" w:eastAsia="Arial"/>
                <w:b w:val="0"/>
                <w:i w:val="0"/>
                <w:color w:val="000000"/>
                <w:sz w:val="15"/>
              </w:rPr>
              <w:t xml:space="preserve">3,292,206 </w:t>
            </w:r>
          </w:p>
        </w:tc>
        <w:tc>
          <w:tcPr>
            <w:tcW w:type="dxa" w:w="1418"/>
            <w:tcBorders/>
            <w:tcMar>
              <w:start w:w="0" w:type="dxa"/>
              <w:end w:w="0" w:type="dxa"/>
            </w:tcMar>
          </w:tcPr>
          <w:p>
            <w:pPr>
              <w:autoSpaceDN w:val="0"/>
              <w:autoSpaceDE w:val="0"/>
              <w:widowControl/>
              <w:spacing w:line="233" w:lineRule="auto" w:before="16" w:after="0"/>
              <w:ind w:left="0" w:right="56" w:firstLine="0"/>
              <w:jc w:val="right"/>
            </w:pPr>
            <w:r>
              <w:rPr>
                <w:rFonts w:ascii="Arial" w:hAnsi="Arial" w:eastAsia="Arial"/>
                <w:b w:val="0"/>
                <w:i w:val="0"/>
                <w:color w:val="000000"/>
                <w:sz w:val="15"/>
              </w:rPr>
              <w:t>138,781,676</w:t>
            </w:r>
          </w:p>
        </w:tc>
        <w:tc>
          <w:tcPr>
            <w:tcW w:type="dxa" w:w="134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5"/>
              </w:rPr>
              <w:t>142,187,878</w:t>
            </w:r>
          </w:p>
        </w:tc>
      </w:tr>
      <w:tr>
        <w:trPr>
          <w:trHeight w:hRule="exact" w:val="194"/>
        </w:trPr>
        <w:tc>
          <w:tcPr>
            <w:tcW w:type="dxa" w:w="3034"/>
            <w:tcBorders>
              <w:bottom w:sz="4.0" w:val="single" w:color="#000000"/>
            </w:tcBorders>
            <w:tcMar>
              <w:start w:w="0" w:type="dxa"/>
              <w:end w:w="0" w:type="dxa"/>
            </w:tcMar>
          </w:tcPr>
          <w:p>
            <w:pPr>
              <w:autoSpaceDN w:val="0"/>
              <w:autoSpaceDE w:val="0"/>
              <w:widowControl/>
              <w:spacing w:line="152" w:lineRule="exact" w:before="14" w:after="0"/>
              <w:ind w:left="198" w:right="0" w:firstLine="0"/>
              <w:jc w:val="left"/>
            </w:pPr>
            <w:r>
              <w:rPr>
                <w:rFonts w:ascii="黑体" w:hAnsi="黑体" w:eastAsia="黑体"/>
                <w:b w:val="0"/>
                <w:i w:val="0"/>
                <w:color w:val="000000"/>
                <w:sz w:val="15"/>
              </w:rPr>
              <w:t>其他资产坏账准备</w:t>
            </w:r>
          </w:p>
        </w:tc>
        <w:tc>
          <w:tcPr>
            <w:tcW w:type="dxa" w:w="1304"/>
            <w:tcBorders>
              <w:bottom w:sz="4.0" w:val="single" w:color="#000000"/>
            </w:tcBorders>
            <w:tcMar>
              <w:start w:w="0" w:type="dxa"/>
              <w:end w:w="0" w:type="dxa"/>
            </w:tcMar>
          </w:tcPr>
          <w:p>
            <w:pPr>
              <w:autoSpaceDN w:val="0"/>
              <w:autoSpaceDE w:val="0"/>
              <w:widowControl/>
              <w:spacing w:line="235" w:lineRule="auto" w:before="14" w:after="0"/>
              <w:ind w:left="0" w:right="54" w:firstLine="0"/>
              <w:jc w:val="right"/>
            </w:pPr>
            <w:r>
              <w:rPr>
                <w:rFonts w:ascii="Arial" w:hAnsi="Arial" w:eastAsia="Arial"/>
                <w:b w:val="0"/>
                <w:i w:val="0"/>
                <w:color w:val="000000"/>
                <w:sz w:val="15"/>
              </w:rPr>
              <w:t>2,795,305</w:t>
            </w:r>
          </w:p>
        </w:tc>
        <w:tc>
          <w:tcPr>
            <w:tcW w:type="dxa" w:w="1420"/>
            <w:tcBorders>
              <w:bottom w:sz="4.0" w:val="single" w:color="#000000"/>
            </w:tcBorders>
            <w:tcMar>
              <w:start w:w="0" w:type="dxa"/>
              <w:end w:w="0" w:type="dxa"/>
            </w:tcMar>
          </w:tcPr>
          <w:p>
            <w:pPr>
              <w:autoSpaceDN w:val="0"/>
              <w:autoSpaceDE w:val="0"/>
              <w:widowControl/>
              <w:spacing w:line="235" w:lineRule="auto" w:before="14" w:after="0"/>
              <w:ind w:left="0" w:right="16" w:firstLine="0"/>
              <w:jc w:val="right"/>
            </w:pPr>
            <w:r>
              <w:rPr>
                <w:rFonts w:ascii="Arial" w:hAnsi="Arial" w:eastAsia="Arial"/>
                <w:b w:val="0"/>
                <w:i w:val="0"/>
                <w:color w:val="000000"/>
                <w:sz w:val="15"/>
              </w:rPr>
              <w:t xml:space="preserve">73,990 </w:t>
            </w:r>
          </w:p>
        </w:tc>
        <w:tc>
          <w:tcPr>
            <w:tcW w:type="dxa" w:w="1418"/>
            <w:tcBorders>
              <w:bottom w:sz="4.0" w:val="single" w:color="#000000"/>
            </w:tcBorders>
            <w:tcMar>
              <w:start w:w="0" w:type="dxa"/>
              <w:end w:w="0" w:type="dxa"/>
            </w:tcMar>
          </w:tcPr>
          <w:p>
            <w:pPr>
              <w:autoSpaceDN w:val="0"/>
              <w:autoSpaceDE w:val="0"/>
              <w:widowControl/>
              <w:spacing w:line="235" w:lineRule="auto" w:before="14" w:after="0"/>
              <w:ind w:left="0" w:right="56" w:firstLine="0"/>
              <w:jc w:val="right"/>
            </w:pPr>
            <w:r>
              <w:rPr>
                <w:rFonts w:ascii="Arial" w:hAnsi="Arial" w:eastAsia="Arial"/>
                <w:b w:val="0"/>
                <w:i w:val="0"/>
                <w:color w:val="000000"/>
                <w:sz w:val="15"/>
              </w:rPr>
              <w:t>413,584,530</w:t>
            </w:r>
          </w:p>
        </w:tc>
        <w:tc>
          <w:tcPr>
            <w:tcW w:type="dxa" w:w="1344"/>
            <w:tcBorders>
              <w:bottom w:sz="4.0" w:val="single" w:color="#000000"/>
            </w:tcBorders>
            <w:tcMar>
              <w:start w:w="0" w:type="dxa"/>
              <w:end w:w="0" w:type="dxa"/>
            </w:tcMar>
          </w:tcPr>
          <w:p>
            <w:pPr>
              <w:autoSpaceDN w:val="0"/>
              <w:autoSpaceDE w:val="0"/>
              <w:widowControl/>
              <w:spacing w:line="235" w:lineRule="auto" w:before="14" w:after="0"/>
              <w:ind w:left="0" w:right="0" w:firstLine="0"/>
              <w:jc w:val="right"/>
            </w:pPr>
            <w:r>
              <w:rPr>
                <w:rFonts w:ascii="Arial" w:hAnsi="Arial" w:eastAsia="Arial"/>
                <w:b w:val="0"/>
                <w:i w:val="0"/>
                <w:color w:val="000000"/>
                <w:sz w:val="15"/>
              </w:rPr>
              <w:t>416,453,825</w:t>
            </w:r>
          </w:p>
        </w:tc>
      </w:tr>
      <w:tr>
        <w:trPr>
          <w:trHeight w:hRule="exact" w:val="376"/>
        </w:trPr>
        <w:tc>
          <w:tcPr>
            <w:tcW w:type="dxa" w:w="3034"/>
            <w:tcBorders>
              <w:top w:sz="4.0" w:val="single" w:color="#000000"/>
              <w:bottom w:sz="4.0" w:val="single" w:color="#000000"/>
            </w:tcBorders>
            <w:tcMar>
              <w:start w:w="0" w:type="dxa"/>
              <w:end w:w="0" w:type="dxa"/>
            </w:tcMar>
          </w:tcPr>
          <w:p>
            <w:pPr>
              <w:autoSpaceDN w:val="0"/>
              <w:autoSpaceDE w:val="0"/>
              <w:widowControl/>
              <w:spacing w:line="150" w:lineRule="exact" w:before="194" w:after="0"/>
              <w:ind w:left="198" w:right="0" w:firstLine="0"/>
              <w:jc w:val="left"/>
            </w:pPr>
            <w:r>
              <w:rPr>
                <w:rFonts w:ascii="黑体" w:hAnsi="黑体" w:eastAsia="黑体"/>
                <w:b w:val="0"/>
                <w:i w:val="0"/>
                <w:color w:val="000000"/>
                <w:sz w:val="15"/>
              </w:rPr>
              <w:t>合计</w:t>
            </w:r>
          </w:p>
        </w:tc>
        <w:tc>
          <w:tcPr>
            <w:tcW w:type="dxa" w:w="1304"/>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16" w:firstLine="0"/>
              <w:jc w:val="right"/>
            </w:pPr>
            <w:r>
              <w:rPr>
                <w:rFonts w:ascii="Arial" w:hAnsi="Arial" w:eastAsia="Arial"/>
                <w:b w:val="0"/>
                <w:i w:val="0"/>
                <w:color w:val="000000"/>
                <w:sz w:val="15"/>
              </w:rPr>
              <w:t xml:space="preserve">47,285,192 </w:t>
            </w:r>
          </w:p>
        </w:tc>
        <w:tc>
          <w:tcPr>
            <w:tcW w:type="dxa" w:w="1420"/>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16" w:firstLine="0"/>
              <w:jc w:val="right"/>
            </w:pPr>
            <w:r>
              <w:rPr>
                <w:rFonts w:ascii="Arial" w:hAnsi="Arial" w:eastAsia="Arial"/>
                <w:b w:val="0"/>
                <w:i w:val="0"/>
                <w:color w:val="000000"/>
                <w:sz w:val="15"/>
              </w:rPr>
              <w:t xml:space="preserve">3,713,839 </w:t>
            </w:r>
          </w:p>
        </w:tc>
        <w:tc>
          <w:tcPr>
            <w:tcW w:type="dxa" w:w="1418"/>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56" w:firstLine="0"/>
              <w:jc w:val="right"/>
            </w:pPr>
            <w:r>
              <w:rPr>
                <w:rFonts w:ascii="Arial" w:hAnsi="Arial" w:eastAsia="Arial"/>
                <w:b w:val="0"/>
                <w:i w:val="0"/>
                <w:color w:val="000000"/>
                <w:sz w:val="15"/>
              </w:rPr>
              <w:t>864,397,947</w:t>
            </w:r>
          </w:p>
        </w:tc>
        <w:tc>
          <w:tcPr>
            <w:tcW w:type="dxa" w:w="1344"/>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0" w:firstLine="0"/>
              <w:jc w:val="right"/>
            </w:pPr>
            <w:r>
              <w:rPr>
                <w:rFonts w:ascii="Arial" w:hAnsi="Arial" w:eastAsia="Arial"/>
                <w:b w:val="0"/>
                <w:i w:val="0"/>
                <w:color w:val="000000"/>
                <w:sz w:val="15"/>
              </w:rPr>
              <w:t>915,396,978</w:t>
            </w:r>
          </w:p>
        </w:tc>
      </w:tr>
      <w:tr>
        <w:trPr>
          <w:trHeight w:hRule="exact" w:val="50"/>
        </w:trPr>
        <w:tc>
          <w:tcPr>
            <w:tcW w:type="dxa" w:w="3034"/>
            <w:tcBorders>
              <w:top w:sz="4.0" w:val="single" w:color="#000000"/>
            </w:tcBorders>
            <w:tcMar>
              <w:start w:w="0" w:type="dxa"/>
              <w:end w:w="0" w:type="dxa"/>
            </w:tcMar>
          </w:tcPr>
          <w:p/>
        </w:tc>
        <w:tc>
          <w:tcPr>
            <w:tcW w:type="dxa" w:w="1304"/>
            <w:tcBorders>
              <w:top w:sz="4.0" w:val="single" w:color="#000000"/>
            </w:tcBorders>
            <w:tcMar>
              <w:start w:w="0" w:type="dxa"/>
              <w:end w:w="0" w:type="dxa"/>
            </w:tcMar>
          </w:tcPr>
          <w:p/>
        </w:tc>
        <w:tc>
          <w:tcPr>
            <w:tcW w:type="dxa" w:w="1420"/>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1344"/>
            <w:tcBorders>
              <w:top w:sz="4.0" w:val="single" w:color="#000000"/>
            </w:tcBorders>
            <w:tcMar>
              <w:start w:w="0" w:type="dxa"/>
              <w:end w:w="0" w:type="dxa"/>
            </w:tcMar>
          </w:tcPr>
          <w:p/>
        </w:tc>
      </w:tr>
    </w:tbl>
    <w:p>
      <w:pPr>
        <w:autoSpaceDN w:val="0"/>
        <w:autoSpaceDE w:val="0"/>
        <w:widowControl/>
        <w:spacing w:line="170" w:lineRule="exact" w:before="158" w:after="12"/>
        <w:ind w:left="0" w:right="2530" w:firstLine="0"/>
        <w:jc w:val="right"/>
      </w:pPr>
      <w:r>
        <w:rPr>
          <w:rFonts w:ascii="Arial" w:hAnsi="Arial" w:eastAsia="Arial"/>
          <w:b w:val="0"/>
          <w:i w:val="0"/>
          <w:color w:val="000000"/>
          <w:sz w:val="15"/>
        </w:rPr>
        <w:t>2023</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195"/>
        </w:trPr>
        <w:tc>
          <w:tcPr>
            <w:tcW w:type="dxa" w:w="3034"/>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776" w:after="0"/>
              <w:ind w:left="198" w:right="0" w:firstLine="0"/>
              <w:jc w:val="left"/>
            </w:pPr>
            <w:r>
              <w:rPr>
                <w:rFonts w:ascii="黑体" w:hAnsi="黑体" w:eastAsia="黑体"/>
                <w:b w:val="0"/>
                <w:i w:val="0"/>
                <w:color w:val="000000"/>
                <w:sz w:val="15"/>
              </w:rPr>
              <w:t>融出资金减值准备</w:t>
            </w:r>
          </w:p>
        </w:tc>
        <w:tc>
          <w:tcPr>
            <w:tcW w:type="dxa" w:w="1304"/>
            <w:vMerge w:val="restart"/>
            <w:tcBorders/>
            <w:tcMar>
              <w:start w:w="0" w:type="dxa"/>
              <w:end w:w="0" w:type="dxa"/>
            </w:tcMar>
            <w:tcMar>
              <w:start w:w="0" w:type="dxa"/>
              <w:end w:w="0" w:type="dxa"/>
            </w:tcMar>
          </w:tcPr>
          <w:p>
            <w:pPr>
              <w:autoSpaceDN w:val="0"/>
              <w:autoSpaceDE w:val="0"/>
              <w:widowControl/>
              <w:spacing w:line="170" w:lineRule="exact" w:before="206" w:after="0"/>
              <w:ind w:left="0" w:right="54" w:firstLine="0"/>
              <w:jc w:val="right"/>
            </w:pPr>
            <w:r>
              <w:rPr>
                <w:rFonts w:ascii="黑体" w:hAnsi="黑体" w:eastAsia="黑体"/>
                <w:b w:val="0"/>
                <w:i w:val="0"/>
                <w:color w:val="000000"/>
                <w:sz w:val="15"/>
              </w:rPr>
              <w:t>未来</w:t>
            </w:r>
            <w:r>
              <w:rPr>
                <w:rFonts w:ascii="Arial" w:hAnsi="Arial" w:eastAsia="Arial"/>
                <w:b w:val="0"/>
                <w:i w:val="0"/>
                <w:color w:val="000000"/>
                <w:sz w:val="15"/>
              </w:rPr>
              <w:t>12</w:t>
            </w:r>
            <w:r>
              <w:rPr>
                <w:rFonts w:ascii="黑体" w:hAnsi="黑体" w:eastAsia="黑体"/>
                <w:b w:val="0"/>
                <w:i w:val="0"/>
                <w:color w:val="000000"/>
                <w:sz w:val="15"/>
              </w:rPr>
              <w:t>个月</w:t>
            </w:r>
          </w:p>
        </w:tc>
        <w:tc>
          <w:tcPr>
            <w:tcW w:type="dxa" w:w="1420"/>
            <w:tcBorders/>
            <w:tcMar>
              <w:start w:w="0" w:type="dxa"/>
              <w:end w:w="0" w:type="dxa"/>
            </w:tcMar>
          </w:tcPr>
          <w:p>
            <w:pPr>
              <w:autoSpaceDN w:val="0"/>
              <w:autoSpaceDE w:val="0"/>
              <w:widowControl/>
              <w:spacing w:line="150" w:lineRule="exact" w:before="24" w:after="0"/>
              <w:ind w:left="0" w:right="56" w:firstLine="0"/>
              <w:jc w:val="right"/>
            </w:pPr>
            <w:r>
              <w:rPr>
                <w:rFonts w:ascii="黑体" w:hAnsi="黑体" w:eastAsia="黑体"/>
                <w:b w:val="0"/>
                <w:i w:val="0"/>
                <w:color w:val="000000"/>
                <w:sz w:val="15"/>
              </w:rPr>
              <w:t>整个存续期</w:t>
            </w:r>
          </w:p>
        </w:tc>
        <w:tc>
          <w:tcPr>
            <w:tcW w:type="dxa" w:w="1360"/>
            <w:tcBorders/>
            <w:tcMar>
              <w:start w:w="0" w:type="dxa"/>
              <w:end w:w="0" w:type="dxa"/>
            </w:tcMar>
          </w:tcPr>
          <w:p>
            <w:pPr>
              <w:autoSpaceDN w:val="0"/>
              <w:autoSpaceDE w:val="0"/>
              <w:widowControl/>
              <w:spacing w:line="150" w:lineRule="exact" w:before="24" w:after="0"/>
              <w:ind w:left="0" w:right="0" w:firstLine="0"/>
              <w:jc w:val="right"/>
            </w:pPr>
            <w:r>
              <w:rPr>
                <w:rFonts w:ascii="黑体" w:hAnsi="黑体" w:eastAsia="黑体"/>
                <w:b w:val="0"/>
                <w:i w:val="0"/>
                <w:color w:val="000000"/>
                <w:sz w:val="15"/>
              </w:rPr>
              <w:t>整个存续期</w:t>
            </w:r>
          </w:p>
        </w:tc>
        <w:tc>
          <w:tcPr>
            <w:tcW w:type="dxa" w:w="1402"/>
            <w:vMerge w:val="restart"/>
            <w:tcBorders/>
            <w:tcMar>
              <w:start w:w="0" w:type="dxa"/>
              <w:end w:w="0" w:type="dxa"/>
            </w:tcMar>
            <w:tcMar>
              <w:start w:w="0" w:type="dxa"/>
              <w:end w:w="0" w:type="dxa"/>
            </w:tcMar>
            <w:tcMar>
              <w:start w:w="0" w:type="dxa"/>
              <w:end w:w="0" w:type="dxa"/>
            </w:tcMar>
          </w:tcPr>
          <w:p>
            <w:pPr>
              <w:autoSpaceDN w:val="0"/>
              <w:autoSpaceDE w:val="0"/>
              <w:widowControl/>
              <w:spacing w:line="152" w:lineRule="exact" w:before="412" w:after="0"/>
              <w:ind w:left="0" w:right="0" w:firstLine="0"/>
              <w:jc w:val="right"/>
            </w:pPr>
            <w:r>
              <w:rPr>
                <w:rFonts w:ascii="黑体" w:hAnsi="黑体" w:eastAsia="黑体"/>
                <w:b w:val="0"/>
                <w:i w:val="0"/>
                <w:color w:val="000000"/>
                <w:sz w:val="15"/>
              </w:rPr>
              <w:t>合计</w:t>
            </w:r>
          </w:p>
        </w:tc>
      </w:tr>
      <w:tr>
        <w:trPr>
          <w:trHeight w:hRule="exact" w:val="180"/>
        </w:trPr>
        <w:tc>
          <w:tcPr>
            <w:tcW w:type="dxa" w:w="1805"/>
            <w:vMerge/>
            <w:tcBorders>
              <w:top w:sz="4.0" w:val="single" w:color="#000000"/>
            </w:tcBorders>
          </w:tcPr>
          <w:p/>
        </w:tc>
        <w:tc>
          <w:tcPr>
            <w:tcW w:type="dxa" w:w="1805"/>
            <w:vMerge/>
            <w:tcBorders/>
          </w:tcPr>
          <w:p/>
        </w:tc>
        <w:tc>
          <w:tcPr>
            <w:tcW w:type="dxa" w:w="1420"/>
            <w:tcBorders/>
            <w:tcMar>
              <w:start w:w="0" w:type="dxa"/>
              <w:end w:w="0" w:type="dxa"/>
            </w:tcMar>
          </w:tcPr>
          <w:p>
            <w:pPr>
              <w:autoSpaceDN w:val="0"/>
              <w:autoSpaceDE w:val="0"/>
              <w:widowControl/>
              <w:spacing w:line="152" w:lineRule="exact" w:before="22" w:after="0"/>
              <w:ind w:left="0" w:right="56" w:firstLine="0"/>
              <w:jc w:val="right"/>
            </w:pPr>
            <w:r>
              <w:rPr>
                <w:rFonts w:ascii="黑体" w:hAnsi="黑体" w:eastAsia="黑体"/>
                <w:b w:val="0"/>
                <w:i w:val="0"/>
                <w:color w:val="000000"/>
                <w:sz w:val="15"/>
              </w:rPr>
              <w:t>预期信用损失</w:t>
            </w:r>
          </w:p>
        </w:tc>
        <w:tc>
          <w:tcPr>
            <w:tcW w:type="dxa" w:w="1360"/>
            <w:tcBorders/>
            <w:tcMar>
              <w:start w:w="0" w:type="dxa"/>
              <w:end w:w="0" w:type="dxa"/>
            </w:tcMar>
          </w:tcPr>
          <w:p>
            <w:pPr>
              <w:autoSpaceDN w:val="0"/>
              <w:autoSpaceDE w:val="0"/>
              <w:widowControl/>
              <w:spacing w:line="152" w:lineRule="exact" w:before="22" w:after="0"/>
              <w:ind w:left="0" w:right="0" w:firstLine="0"/>
              <w:jc w:val="right"/>
            </w:pPr>
            <w:r>
              <w:rPr>
                <w:rFonts w:ascii="黑体" w:hAnsi="黑体" w:eastAsia="黑体"/>
                <w:b w:val="0"/>
                <w:i w:val="0"/>
                <w:color w:val="000000"/>
                <w:sz w:val="15"/>
              </w:rPr>
              <w:t>预期信用损失</w:t>
            </w:r>
          </w:p>
        </w:tc>
        <w:tc>
          <w:tcPr>
            <w:tcW w:type="dxa" w:w="1805"/>
            <w:vMerge/>
            <w:tcBorders/>
          </w:tcPr>
          <w:p/>
        </w:tc>
      </w:tr>
      <w:tr>
        <w:trPr>
          <w:trHeight w:hRule="exact" w:val="280"/>
        </w:trPr>
        <w:tc>
          <w:tcPr>
            <w:tcW w:type="dxa" w:w="1805"/>
            <w:vMerge/>
            <w:tcBorders>
              <w:top w:sz="4.0" w:val="single" w:color="#000000"/>
            </w:tcBorders>
          </w:tcPr>
          <w:p/>
        </w:tc>
        <w:tc>
          <w:tcPr>
            <w:tcW w:type="dxa" w:w="1304"/>
            <w:tcBorders/>
            <w:tcMar>
              <w:start w:w="0" w:type="dxa"/>
              <w:end w:w="0" w:type="dxa"/>
            </w:tcMar>
          </w:tcPr>
          <w:p>
            <w:pPr>
              <w:autoSpaceDN w:val="0"/>
              <w:autoSpaceDE w:val="0"/>
              <w:widowControl/>
              <w:spacing w:line="152" w:lineRule="exact" w:before="36" w:after="0"/>
              <w:ind w:left="0" w:right="54" w:firstLine="0"/>
              <w:jc w:val="right"/>
            </w:pPr>
            <w:r>
              <w:rPr>
                <w:rFonts w:ascii="黑体" w:hAnsi="黑体" w:eastAsia="黑体"/>
                <w:b w:val="0"/>
                <w:i w:val="0"/>
                <w:color w:val="000000"/>
                <w:sz w:val="15"/>
              </w:rPr>
              <w:t>预期信用损失</w:t>
            </w:r>
          </w:p>
        </w:tc>
        <w:tc>
          <w:tcPr>
            <w:tcW w:type="dxa" w:w="1420"/>
            <w:tcBorders/>
            <w:tcMar>
              <w:start w:w="0" w:type="dxa"/>
              <w:end w:w="0" w:type="dxa"/>
            </w:tcMar>
          </w:tcPr>
          <w:p>
            <w:pPr>
              <w:autoSpaceDN w:val="0"/>
              <w:autoSpaceDE w:val="0"/>
              <w:widowControl/>
              <w:spacing w:line="152" w:lineRule="exact" w:before="36" w:after="0"/>
              <w:ind w:left="0" w:right="0" w:firstLine="0"/>
              <w:jc w:val="center"/>
            </w:pPr>
            <w:r>
              <w:rPr>
                <w:rFonts w:ascii="黑体" w:hAnsi="黑体" w:eastAsia="黑体"/>
                <w:b w:val="0"/>
                <w:i w:val="0"/>
                <w:color w:val="000000"/>
                <w:sz w:val="15"/>
              </w:rPr>
              <w:t>（未发生信用减值）</w:t>
            </w:r>
          </w:p>
        </w:tc>
        <w:tc>
          <w:tcPr>
            <w:tcW w:type="dxa" w:w="1360"/>
            <w:tcBorders/>
            <w:tcMar>
              <w:start w:w="0" w:type="dxa"/>
              <w:end w:w="0" w:type="dxa"/>
            </w:tcMar>
          </w:tcPr>
          <w:p>
            <w:pPr>
              <w:autoSpaceDN w:val="0"/>
              <w:autoSpaceDE w:val="0"/>
              <w:widowControl/>
              <w:spacing w:line="152" w:lineRule="exact" w:before="36" w:after="0"/>
              <w:ind w:left="0" w:right="0" w:firstLine="0"/>
              <w:jc w:val="center"/>
            </w:pPr>
            <w:r>
              <w:rPr>
                <w:rFonts w:ascii="黑体" w:hAnsi="黑体" w:eastAsia="黑体"/>
                <w:b w:val="0"/>
                <w:i w:val="0"/>
                <w:color w:val="000000"/>
                <w:sz w:val="15"/>
              </w:rPr>
              <w:t>（已发生信用减值）</w:t>
            </w:r>
          </w:p>
        </w:tc>
        <w:tc>
          <w:tcPr>
            <w:tcW w:type="dxa" w:w="1805"/>
            <w:vMerge/>
            <w:tcBorders/>
          </w:tcPr>
          <w:p/>
        </w:tc>
      </w:tr>
      <w:tr>
        <w:trPr>
          <w:trHeight w:hRule="exact" w:val="280"/>
        </w:trPr>
        <w:tc>
          <w:tcPr>
            <w:tcW w:type="dxa" w:w="1805"/>
            <w:vMerge/>
            <w:tcBorders>
              <w:top w:sz="4.0" w:val="single" w:color="#000000"/>
            </w:tcBorders>
          </w:tcPr>
          <w:p/>
        </w:tc>
        <w:tc>
          <w:tcPr>
            <w:tcW w:type="dxa" w:w="1304"/>
            <w:tcBorders/>
            <w:tcMar>
              <w:start w:w="0" w:type="dxa"/>
              <w:end w:w="0" w:type="dxa"/>
            </w:tcMar>
          </w:tcPr>
          <w:p>
            <w:pPr>
              <w:autoSpaceDN w:val="0"/>
              <w:autoSpaceDE w:val="0"/>
              <w:widowControl/>
              <w:spacing w:line="233" w:lineRule="auto" w:before="112" w:after="0"/>
              <w:ind w:left="0" w:right="54" w:firstLine="0"/>
              <w:jc w:val="right"/>
            </w:pPr>
            <w:r>
              <w:rPr>
                <w:rFonts w:ascii="Arial" w:hAnsi="Arial" w:eastAsia="Arial"/>
                <w:b w:val="0"/>
                <w:i w:val="0"/>
                <w:color w:val="000000"/>
                <w:sz w:val="15"/>
              </w:rPr>
              <w:t>35,664,397</w:t>
            </w:r>
          </w:p>
        </w:tc>
        <w:tc>
          <w:tcPr>
            <w:tcW w:type="dxa" w:w="1420"/>
            <w:tcBorders/>
            <w:tcMar>
              <w:start w:w="0" w:type="dxa"/>
              <w:end w:w="0" w:type="dxa"/>
            </w:tcMar>
          </w:tcPr>
          <w:p>
            <w:pPr>
              <w:autoSpaceDN w:val="0"/>
              <w:autoSpaceDE w:val="0"/>
              <w:widowControl/>
              <w:spacing w:line="233" w:lineRule="auto" w:before="112" w:after="0"/>
              <w:ind w:left="0" w:right="16" w:firstLine="0"/>
              <w:jc w:val="right"/>
            </w:pPr>
            <w:r>
              <w:rPr>
                <w:rFonts w:ascii="Arial" w:hAnsi="Arial" w:eastAsia="Arial"/>
                <w:b w:val="0"/>
                <w:i w:val="0"/>
                <w:color w:val="000000"/>
                <w:sz w:val="15"/>
              </w:rPr>
              <w:t xml:space="preserve">- </w:t>
            </w:r>
          </w:p>
        </w:tc>
        <w:tc>
          <w:tcPr>
            <w:tcW w:type="dxa" w:w="1360"/>
            <w:tcBorders/>
            <w:tcMar>
              <w:start w:w="0" w:type="dxa"/>
              <w:end w:w="0" w:type="dxa"/>
            </w:tcMar>
          </w:tcPr>
          <w:p>
            <w:pPr>
              <w:autoSpaceDN w:val="0"/>
              <w:autoSpaceDE w:val="0"/>
              <w:widowControl/>
              <w:spacing w:line="233" w:lineRule="auto" w:before="112" w:after="0"/>
              <w:ind w:left="0" w:right="0" w:firstLine="0"/>
              <w:jc w:val="right"/>
            </w:pPr>
            <w:r>
              <w:rPr>
                <w:rFonts w:ascii="Arial" w:hAnsi="Arial" w:eastAsia="Arial"/>
                <w:b w:val="0"/>
                <w:i w:val="0"/>
                <w:color w:val="000000"/>
                <w:sz w:val="15"/>
              </w:rPr>
              <w:t>170,083,387</w:t>
            </w:r>
          </w:p>
        </w:tc>
        <w:tc>
          <w:tcPr>
            <w:tcW w:type="dxa" w:w="1402"/>
            <w:tcBorders/>
            <w:tcMar>
              <w:start w:w="0" w:type="dxa"/>
              <w:end w:w="0" w:type="dxa"/>
            </w:tcMar>
          </w:tcPr>
          <w:p>
            <w:pPr>
              <w:autoSpaceDN w:val="0"/>
              <w:autoSpaceDE w:val="0"/>
              <w:widowControl/>
              <w:spacing w:line="233" w:lineRule="auto" w:before="112" w:after="0"/>
              <w:ind w:left="0" w:right="0" w:firstLine="0"/>
              <w:jc w:val="right"/>
            </w:pPr>
            <w:r>
              <w:rPr>
                <w:rFonts w:ascii="Arial" w:hAnsi="Arial" w:eastAsia="Arial"/>
                <w:b w:val="0"/>
                <w:i w:val="0"/>
                <w:color w:val="000000"/>
                <w:sz w:val="15"/>
              </w:rPr>
              <w:t>205,747,784</w:t>
            </w:r>
          </w:p>
        </w:tc>
      </w:tr>
      <w:tr>
        <w:trPr>
          <w:trHeight w:hRule="exact" w:val="217"/>
        </w:trPr>
        <w:tc>
          <w:tcPr>
            <w:tcW w:type="dxa" w:w="3034"/>
            <w:tcBorders/>
            <w:tcMar>
              <w:start w:w="0" w:type="dxa"/>
              <w:end w:w="0" w:type="dxa"/>
            </w:tcMar>
          </w:tcPr>
          <w:p>
            <w:pPr>
              <w:autoSpaceDN w:val="0"/>
              <w:autoSpaceDE w:val="0"/>
              <w:widowControl/>
              <w:spacing w:line="152" w:lineRule="exact" w:before="38" w:after="0"/>
              <w:ind w:left="198" w:right="0" w:firstLine="0"/>
              <w:jc w:val="left"/>
            </w:pPr>
            <w:r>
              <w:rPr>
                <w:rFonts w:ascii="黑体" w:hAnsi="黑体" w:eastAsia="黑体"/>
                <w:b w:val="0"/>
                <w:i w:val="0"/>
                <w:color w:val="000000"/>
                <w:sz w:val="15"/>
              </w:rPr>
              <w:t>买入返售金融资产减值准备</w:t>
            </w:r>
          </w:p>
        </w:tc>
        <w:tc>
          <w:tcPr>
            <w:tcW w:type="dxa" w:w="1304"/>
            <w:tcBorders/>
            <w:tcMar>
              <w:start w:w="0" w:type="dxa"/>
              <w:end w:w="0" w:type="dxa"/>
            </w:tcMar>
          </w:tcPr>
          <w:p>
            <w:pPr>
              <w:autoSpaceDN w:val="0"/>
              <w:autoSpaceDE w:val="0"/>
              <w:widowControl/>
              <w:spacing w:line="233" w:lineRule="auto" w:before="38" w:after="0"/>
              <w:ind w:left="0" w:right="54" w:firstLine="0"/>
              <w:jc w:val="right"/>
            </w:pPr>
            <w:r>
              <w:rPr>
                <w:rFonts w:ascii="Arial" w:hAnsi="Arial" w:eastAsia="Arial"/>
                <w:b w:val="0"/>
                <w:i w:val="0"/>
                <w:color w:val="000000"/>
                <w:sz w:val="15"/>
              </w:rPr>
              <w:t>11,541,429</w:t>
            </w:r>
          </w:p>
        </w:tc>
        <w:tc>
          <w:tcPr>
            <w:tcW w:type="dxa" w:w="1420"/>
            <w:tcBorders/>
            <w:tcMar>
              <w:start w:w="0" w:type="dxa"/>
              <w:end w:w="0" w:type="dxa"/>
            </w:tcMar>
          </w:tcPr>
          <w:p>
            <w:pPr>
              <w:autoSpaceDN w:val="0"/>
              <w:autoSpaceDE w:val="0"/>
              <w:widowControl/>
              <w:spacing w:line="233" w:lineRule="auto" w:before="38" w:after="0"/>
              <w:ind w:left="0" w:right="16" w:firstLine="0"/>
              <w:jc w:val="right"/>
            </w:pPr>
            <w:r>
              <w:rPr>
                <w:rFonts w:ascii="Arial" w:hAnsi="Arial" w:eastAsia="Arial"/>
                <w:b w:val="0"/>
                <w:i w:val="0"/>
                <w:color w:val="000000"/>
                <w:sz w:val="15"/>
              </w:rPr>
              <w:t xml:space="preserve">- </w:t>
            </w:r>
          </w:p>
        </w:tc>
        <w:tc>
          <w:tcPr>
            <w:tcW w:type="dxa" w:w="136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w:t>
            </w:r>
          </w:p>
        </w:tc>
        <w:tc>
          <w:tcPr>
            <w:tcW w:type="dxa" w:w="1402"/>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11,541,429</w:t>
            </w:r>
          </w:p>
        </w:tc>
      </w:tr>
      <w:tr>
        <w:trPr>
          <w:trHeight w:hRule="exact" w:val="196"/>
        </w:trPr>
        <w:tc>
          <w:tcPr>
            <w:tcW w:type="dxa" w:w="3034"/>
            <w:tcBorders/>
            <w:tcMar>
              <w:start w:w="0" w:type="dxa"/>
              <w:end w:w="0" w:type="dxa"/>
            </w:tcMar>
          </w:tcPr>
          <w:p>
            <w:pPr>
              <w:autoSpaceDN w:val="0"/>
              <w:autoSpaceDE w:val="0"/>
              <w:widowControl/>
              <w:spacing w:line="152" w:lineRule="exact" w:before="14" w:after="0"/>
              <w:ind w:left="198" w:right="0" w:firstLine="0"/>
              <w:jc w:val="left"/>
            </w:pPr>
            <w:r>
              <w:rPr>
                <w:rFonts w:ascii="黑体" w:hAnsi="黑体" w:eastAsia="黑体"/>
                <w:b w:val="0"/>
                <w:i w:val="0"/>
                <w:color w:val="000000"/>
                <w:sz w:val="15"/>
              </w:rPr>
              <w:t>应收款项坏账准备</w:t>
            </w:r>
          </w:p>
        </w:tc>
        <w:tc>
          <w:tcPr>
            <w:tcW w:type="dxa" w:w="1304"/>
            <w:tcBorders/>
            <w:tcMar>
              <w:start w:w="0" w:type="dxa"/>
              <w:end w:w="0" w:type="dxa"/>
            </w:tcMar>
          </w:tcPr>
          <w:p>
            <w:pPr>
              <w:autoSpaceDN w:val="0"/>
              <w:autoSpaceDE w:val="0"/>
              <w:widowControl/>
              <w:spacing w:line="233" w:lineRule="auto" w:before="16" w:after="0"/>
              <w:ind w:left="0" w:right="58" w:firstLine="0"/>
              <w:jc w:val="right"/>
            </w:pPr>
            <w:r>
              <w:rPr>
                <w:rFonts w:ascii="Arial" w:hAnsi="Arial" w:eastAsia="Arial"/>
                <w:b w:val="0"/>
                <w:i w:val="0"/>
                <w:color w:val="000000"/>
                <w:sz w:val="15"/>
              </w:rPr>
              <w:t>-</w:t>
            </w:r>
          </w:p>
        </w:tc>
        <w:tc>
          <w:tcPr>
            <w:tcW w:type="dxa" w:w="1420"/>
            <w:tcBorders/>
            <w:tcMar>
              <w:start w:w="0" w:type="dxa"/>
              <w:end w:w="0" w:type="dxa"/>
            </w:tcMar>
          </w:tcPr>
          <w:p>
            <w:pPr>
              <w:autoSpaceDN w:val="0"/>
              <w:autoSpaceDE w:val="0"/>
              <w:widowControl/>
              <w:spacing w:line="233" w:lineRule="auto" w:before="16" w:after="0"/>
              <w:ind w:left="0" w:right="16" w:firstLine="0"/>
              <w:jc w:val="right"/>
            </w:pPr>
            <w:r>
              <w:rPr>
                <w:rFonts w:ascii="Arial" w:hAnsi="Arial" w:eastAsia="Arial"/>
                <w:b w:val="0"/>
                <w:i w:val="0"/>
                <w:color w:val="000000"/>
                <w:sz w:val="15"/>
              </w:rPr>
              <w:t xml:space="preserve">263,599 </w:t>
            </w:r>
          </w:p>
        </w:tc>
        <w:tc>
          <w:tcPr>
            <w:tcW w:type="dxa" w:w="1360"/>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5"/>
              </w:rPr>
              <w:t>84,522,599</w:t>
            </w:r>
          </w:p>
        </w:tc>
        <w:tc>
          <w:tcPr>
            <w:tcW w:type="dxa" w:w="1402"/>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5"/>
              </w:rPr>
              <w:t>84,786,198</w:t>
            </w:r>
          </w:p>
        </w:tc>
      </w:tr>
      <w:tr>
        <w:trPr>
          <w:trHeight w:hRule="exact" w:val="166"/>
        </w:trPr>
        <w:tc>
          <w:tcPr>
            <w:tcW w:type="dxa" w:w="3034"/>
            <w:tcBorders/>
            <w:tcMar>
              <w:start w:w="0" w:type="dxa"/>
              <w:end w:w="0" w:type="dxa"/>
            </w:tcMar>
          </w:tcPr>
          <w:p>
            <w:pPr>
              <w:autoSpaceDN w:val="0"/>
              <w:autoSpaceDE w:val="0"/>
              <w:widowControl/>
              <w:spacing w:line="150" w:lineRule="exact" w:before="14" w:after="0"/>
              <w:ind w:left="198" w:right="0" w:firstLine="0"/>
              <w:jc w:val="left"/>
            </w:pPr>
            <w:r>
              <w:rPr>
                <w:rFonts w:ascii="黑体" w:hAnsi="黑体" w:eastAsia="黑体"/>
                <w:b w:val="0"/>
                <w:i w:val="0"/>
                <w:color w:val="000000"/>
                <w:sz w:val="15"/>
              </w:rPr>
              <w:t>债权投资减值准备</w:t>
            </w:r>
          </w:p>
        </w:tc>
        <w:tc>
          <w:tcPr>
            <w:tcW w:type="dxa" w:w="1304"/>
            <w:tcBorders/>
            <w:tcMar>
              <w:start w:w="0" w:type="dxa"/>
              <w:end w:w="0" w:type="dxa"/>
            </w:tcMar>
          </w:tcPr>
          <w:p>
            <w:pPr>
              <w:autoSpaceDN w:val="0"/>
              <w:autoSpaceDE w:val="0"/>
              <w:widowControl/>
              <w:spacing w:line="233" w:lineRule="auto" w:before="0" w:after="0"/>
              <w:ind w:left="0" w:right="54" w:firstLine="0"/>
              <w:jc w:val="right"/>
            </w:pPr>
            <w:r>
              <w:rPr>
                <w:rFonts w:ascii="Arial" w:hAnsi="Arial" w:eastAsia="Arial"/>
                <w:b w:val="0"/>
                <w:i w:val="0"/>
                <w:color w:val="000000"/>
                <w:sz w:val="15"/>
              </w:rPr>
              <w:t>46,383</w:t>
            </w:r>
          </w:p>
        </w:tc>
        <w:tc>
          <w:tcPr>
            <w:tcW w:type="dxa" w:w="1420"/>
            <w:tcBorders/>
            <w:tcMar>
              <w:start w:w="0" w:type="dxa"/>
              <w:end w:w="0" w:type="dxa"/>
            </w:tcMar>
          </w:tcPr>
          <w:p>
            <w:pPr>
              <w:autoSpaceDN w:val="0"/>
              <w:autoSpaceDE w:val="0"/>
              <w:widowControl/>
              <w:spacing w:line="233" w:lineRule="auto" w:before="0" w:after="0"/>
              <w:ind w:left="0" w:right="16" w:firstLine="0"/>
              <w:jc w:val="right"/>
            </w:pPr>
            <w:r>
              <w:rPr>
                <w:rFonts w:ascii="Arial" w:hAnsi="Arial" w:eastAsia="Arial"/>
                <w:b w:val="0"/>
                <w:i w:val="0"/>
                <w:color w:val="000000"/>
                <w:sz w:val="15"/>
              </w:rPr>
              <w:t xml:space="preserve">- </w:t>
            </w:r>
          </w:p>
        </w:tc>
        <w:tc>
          <w:tcPr>
            <w:tcW w:type="dxa" w:w="136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35,985,703</w:t>
            </w:r>
          </w:p>
        </w:tc>
        <w:tc>
          <w:tcPr>
            <w:tcW w:type="dxa" w:w="1402"/>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36,032,086</w:t>
            </w:r>
          </w:p>
        </w:tc>
      </w:tr>
      <w:tr>
        <w:trPr>
          <w:trHeight w:hRule="exact" w:val="200"/>
        </w:trPr>
        <w:tc>
          <w:tcPr>
            <w:tcW w:type="dxa" w:w="3034"/>
            <w:tcBorders/>
            <w:tcMar>
              <w:start w:w="0" w:type="dxa"/>
              <w:end w:w="0" w:type="dxa"/>
            </w:tcMar>
          </w:tcPr>
          <w:p>
            <w:pPr>
              <w:autoSpaceDN w:val="0"/>
              <w:autoSpaceDE w:val="0"/>
              <w:widowControl/>
              <w:spacing w:line="150" w:lineRule="exact" w:before="42" w:after="0"/>
              <w:ind w:left="198" w:right="0" w:firstLine="0"/>
              <w:jc w:val="left"/>
            </w:pPr>
            <w:r>
              <w:rPr>
                <w:rFonts w:ascii="黑体" w:hAnsi="黑体" w:eastAsia="黑体"/>
                <w:b w:val="0"/>
                <w:i w:val="0"/>
                <w:color w:val="000000"/>
                <w:sz w:val="15"/>
              </w:rPr>
              <w:t>其他债权投资减值准备</w:t>
            </w:r>
          </w:p>
        </w:tc>
        <w:tc>
          <w:tcPr>
            <w:tcW w:type="dxa" w:w="1304"/>
            <w:tcBorders/>
            <w:tcMar>
              <w:start w:w="0" w:type="dxa"/>
              <w:end w:w="0" w:type="dxa"/>
            </w:tcMar>
          </w:tcPr>
          <w:p>
            <w:pPr>
              <w:autoSpaceDN w:val="0"/>
              <w:autoSpaceDE w:val="0"/>
              <w:widowControl/>
              <w:spacing w:line="233" w:lineRule="auto" w:before="32" w:after="0"/>
              <w:ind w:left="0" w:right="54" w:firstLine="0"/>
              <w:jc w:val="right"/>
            </w:pPr>
            <w:r>
              <w:rPr>
                <w:rFonts w:ascii="Arial" w:hAnsi="Arial" w:eastAsia="Arial"/>
                <w:b w:val="0"/>
                <w:i w:val="0"/>
                <w:color w:val="000000"/>
                <w:sz w:val="15"/>
              </w:rPr>
              <w:t>494,854</w:t>
            </w:r>
          </w:p>
        </w:tc>
        <w:tc>
          <w:tcPr>
            <w:tcW w:type="dxa" w:w="1420"/>
            <w:tcBorders/>
            <w:tcMar>
              <w:start w:w="0" w:type="dxa"/>
              <w:end w:w="0" w:type="dxa"/>
            </w:tcMar>
          </w:tcPr>
          <w:p>
            <w:pPr>
              <w:autoSpaceDN w:val="0"/>
              <w:autoSpaceDE w:val="0"/>
              <w:widowControl/>
              <w:spacing w:line="233" w:lineRule="auto" w:before="32" w:after="0"/>
              <w:ind w:left="0" w:right="16" w:firstLine="0"/>
              <w:jc w:val="right"/>
            </w:pPr>
            <w:r>
              <w:rPr>
                <w:rFonts w:ascii="Arial" w:hAnsi="Arial" w:eastAsia="Arial"/>
                <w:b w:val="0"/>
                <w:i w:val="0"/>
                <w:color w:val="000000"/>
                <w:sz w:val="15"/>
              </w:rPr>
              <w:t xml:space="preserve">3,636,206 </w:t>
            </w:r>
          </w:p>
        </w:tc>
        <w:tc>
          <w:tcPr>
            <w:tcW w:type="dxa" w:w="136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131,204,495</w:t>
            </w:r>
          </w:p>
        </w:tc>
        <w:tc>
          <w:tcPr>
            <w:tcW w:type="dxa" w:w="1402"/>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135,335,555</w:t>
            </w:r>
          </w:p>
        </w:tc>
      </w:tr>
      <w:tr>
        <w:trPr>
          <w:trHeight w:hRule="exact" w:val="214"/>
        </w:trPr>
        <w:tc>
          <w:tcPr>
            <w:tcW w:type="dxa" w:w="3034"/>
            <w:tcBorders>
              <w:bottom w:sz="3.199999999999818" w:val="single" w:color="#000000"/>
            </w:tcBorders>
            <w:tcMar>
              <w:start w:w="0" w:type="dxa"/>
              <w:end w:w="0" w:type="dxa"/>
            </w:tcMar>
          </w:tcPr>
          <w:p>
            <w:pPr>
              <w:autoSpaceDN w:val="0"/>
              <w:autoSpaceDE w:val="0"/>
              <w:widowControl/>
              <w:spacing w:line="152" w:lineRule="exact" w:before="36" w:after="0"/>
              <w:ind w:left="198" w:right="0" w:firstLine="0"/>
              <w:jc w:val="left"/>
            </w:pPr>
            <w:r>
              <w:rPr>
                <w:rFonts w:ascii="黑体" w:hAnsi="黑体" w:eastAsia="黑体"/>
                <w:b w:val="0"/>
                <w:i w:val="0"/>
                <w:color w:val="000000"/>
                <w:sz w:val="15"/>
              </w:rPr>
              <w:t>其他资产坏账准备</w:t>
            </w:r>
          </w:p>
        </w:tc>
        <w:tc>
          <w:tcPr>
            <w:tcW w:type="dxa" w:w="1304"/>
            <w:tcBorders>
              <w:bottom w:sz="3.199999999999818" w:val="single" w:color="#000000"/>
            </w:tcBorders>
            <w:tcMar>
              <w:start w:w="0" w:type="dxa"/>
              <w:end w:w="0" w:type="dxa"/>
            </w:tcMar>
          </w:tcPr>
          <w:p>
            <w:pPr>
              <w:autoSpaceDN w:val="0"/>
              <w:autoSpaceDE w:val="0"/>
              <w:widowControl/>
              <w:spacing w:line="233" w:lineRule="auto" w:before="36" w:after="0"/>
              <w:ind w:left="0" w:right="54" w:firstLine="0"/>
              <w:jc w:val="right"/>
            </w:pPr>
            <w:r>
              <w:rPr>
                <w:rFonts w:ascii="Arial" w:hAnsi="Arial" w:eastAsia="Arial"/>
                <w:b w:val="0"/>
                <w:i w:val="0"/>
                <w:color w:val="000000"/>
                <w:sz w:val="15"/>
              </w:rPr>
              <w:t>2,667,197</w:t>
            </w:r>
          </w:p>
        </w:tc>
        <w:tc>
          <w:tcPr>
            <w:tcW w:type="dxa" w:w="1420"/>
            <w:tcBorders>
              <w:bottom w:sz="3.199999999999818" w:val="single" w:color="#000000"/>
            </w:tcBorders>
            <w:tcMar>
              <w:start w:w="0" w:type="dxa"/>
              <w:end w:w="0" w:type="dxa"/>
            </w:tcMar>
          </w:tcPr>
          <w:p>
            <w:pPr>
              <w:autoSpaceDN w:val="0"/>
              <w:autoSpaceDE w:val="0"/>
              <w:widowControl/>
              <w:spacing w:line="233" w:lineRule="auto" w:before="36" w:after="0"/>
              <w:ind w:left="0" w:right="16" w:firstLine="0"/>
              <w:jc w:val="right"/>
            </w:pPr>
            <w:r>
              <w:rPr>
                <w:rFonts w:ascii="Arial" w:hAnsi="Arial" w:eastAsia="Arial"/>
                <w:b w:val="0"/>
                <w:i w:val="0"/>
                <w:color w:val="000000"/>
                <w:sz w:val="15"/>
              </w:rPr>
              <w:t xml:space="preserve">116,078 </w:t>
            </w:r>
          </w:p>
        </w:tc>
        <w:tc>
          <w:tcPr>
            <w:tcW w:type="dxa" w:w="1360"/>
            <w:tcBorders>
              <w:bottom w:sz="3.199999999999818" w:val="single" w:color="#00000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410,578,810</w:t>
            </w:r>
          </w:p>
        </w:tc>
        <w:tc>
          <w:tcPr>
            <w:tcW w:type="dxa" w:w="1402"/>
            <w:tcBorders>
              <w:bottom w:sz="3.199999999999818" w:val="single" w:color="#00000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413,362,085</w:t>
            </w:r>
          </w:p>
        </w:tc>
      </w:tr>
      <w:tr>
        <w:trPr>
          <w:trHeight w:hRule="exact" w:val="378"/>
        </w:trPr>
        <w:tc>
          <w:tcPr>
            <w:tcW w:type="dxa" w:w="3034"/>
            <w:tcBorders>
              <w:top w:sz="3.199999999999818" w:val="single" w:color="#000000"/>
              <w:bottom w:sz="4.0" w:val="single" w:color="#000000"/>
            </w:tcBorders>
            <w:tcMar>
              <w:start w:w="0" w:type="dxa"/>
              <w:end w:w="0" w:type="dxa"/>
            </w:tcMar>
          </w:tcPr>
          <w:p>
            <w:pPr>
              <w:autoSpaceDN w:val="0"/>
              <w:autoSpaceDE w:val="0"/>
              <w:widowControl/>
              <w:spacing w:line="152" w:lineRule="exact" w:before="194" w:after="0"/>
              <w:ind w:left="198" w:right="0" w:firstLine="0"/>
              <w:jc w:val="left"/>
            </w:pPr>
            <w:r>
              <w:rPr>
                <w:rFonts w:ascii="黑体" w:hAnsi="黑体" w:eastAsia="黑体"/>
                <w:b w:val="0"/>
                <w:i w:val="0"/>
                <w:color w:val="000000"/>
                <w:sz w:val="15"/>
              </w:rPr>
              <w:t>合计</w:t>
            </w:r>
          </w:p>
        </w:tc>
        <w:tc>
          <w:tcPr>
            <w:tcW w:type="dxa" w:w="1304"/>
            <w:tcBorders>
              <w:top w:sz="3.199999999999818" w:val="single" w:color="#000000"/>
              <w:bottom w:sz="4.0" w:val="single" w:color="#000000"/>
            </w:tcBorders>
            <w:tcMar>
              <w:start w:w="0" w:type="dxa"/>
              <w:end w:w="0" w:type="dxa"/>
            </w:tcMar>
          </w:tcPr>
          <w:p>
            <w:pPr>
              <w:autoSpaceDN w:val="0"/>
              <w:autoSpaceDE w:val="0"/>
              <w:widowControl/>
              <w:spacing w:line="233" w:lineRule="auto" w:before="196" w:after="0"/>
              <w:ind w:left="0" w:right="54" w:firstLine="0"/>
              <w:jc w:val="right"/>
            </w:pPr>
            <w:r>
              <w:rPr>
                <w:rFonts w:ascii="Arial" w:hAnsi="Arial" w:eastAsia="Arial"/>
                <w:b w:val="0"/>
                <w:i w:val="0"/>
                <w:color w:val="000000"/>
                <w:sz w:val="15"/>
              </w:rPr>
              <w:t>50,414,260</w:t>
            </w:r>
          </w:p>
        </w:tc>
        <w:tc>
          <w:tcPr>
            <w:tcW w:type="dxa" w:w="1420"/>
            <w:tcBorders>
              <w:top w:sz="3.199999999999818" w:val="single" w:color="#000000"/>
              <w:bottom w:sz="4.0" w:val="single" w:color="#000000"/>
            </w:tcBorders>
            <w:tcMar>
              <w:start w:w="0" w:type="dxa"/>
              <w:end w:w="0" w:type="dxa"/>
            </w:tcMar>
          </w:tcPr>
          <w:p>
            <w:pPr>
              <w:autoSpaceDN w:val="0"/>
              <w:autoSpaceDE w:val="0"/>
              <w:widowControl/>
              <w:spacing w:line="233" w:lineRule="auto" w:before="196" w:after="0"/>
              <w:ind w:left="0" w:right="16" w:firstLine="0"/>
              <w:jc w:val="right"/>
            </w:pPr>
            <w:r>
              <w:rPr>
                <w:rFonts w:ascii="Arial" w:hAnsi="Arial" w:eastAsia="Arial"/>
                <w:b w:val="0"/>
                <w:i w:val="0"/>
                <w:color w:val="000000"/>
                <w:sz w:val="15"/>
              </w:rPr>
              <w:t xml:space="preserve">4,015,883 </w:t>
            </w:r>
          </w:p>
        </w:tc>
        <w:tc>
          <w:tcPr>
            <w:tcW w:type="dxa" w:w="1360"/>
            <w:tcBorders>
              <w:top w:sz="3.199999999999818"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5"/>
              </w:rPr>
              <w:t>832,374,994</w:t>
            </w:r>
          </w:p>
        </w:tc>
        <w:tc>
          <w:tcPr>
            <w:tcW w:type="dxa" w:w="1402"/>
            <w:tcBorders>
              <w:top w:sz="3.199999999999818" w:val="single" w:color="#000000"/>
              <w:bottom w:sz="4.0"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5"/>
              </w:rPr>
              <w:t>886,805,137</w:t>
            </w:r>
          </w:p>
        </w:tc>
      </w:tr>
      <w:tr>
        <w:trPr>
          <w:trHeight w:hRule="exact" w:val="50"/>
        </w:trPr>
        <w:tc>
          <w:tcPr>
            <w:tcW w:type="dxa" w:w="3034"/>
            <w:tcBorders>
              <w:top w:sz="4.0" w:val="single" w:color="#000000"/>
            </w:tcBorders>
            <w:tcMar>
              <w:start w:w="0" w:type="dxa"/>
              <w:end w:w="0" w:type="dxa"/>
            </w:tcMar>
          </w:tcPr>
          <w:p/>
        </w:tc>
        <w:tc>
          <w:tcPr>
            <w:tcW w:type="dxa" w:w="1304"/>
            <w:tcBorders>
              <w:top w:sz="4.0" w:val="single" w:color="#000000"/>
            </w:tcBorders>
            <w:tcMar>
              <w:start w:w="0" w:type="dxa"/>
              <w:end w:w="0" w:type="dxa"/>
            </w:tcMar>
          </w:tcPr>
          <w:p/>
        </w:tc>
        <w:tc>
          <w:tcPr>
            <w:tcW w:type="dxa" w:w="1420"/>
            <w:tcBorders>
              <w:top w:sz="4.0" w:val="single" w:color="#000000"/>
            </w:tcBorders>
            <w:tcMar>
              <w:start w:w="0" w:type="dxa"/>
              <w:end w:w="0" w:type="dxa"/>
            </w:tcMar>
          </w:tcPr>
          <w:p/>
        </w:tc>
        <w:tc>
          <w:tcPr>
            <w:tcW w:type="dxa" w:w="1360"/>
            <w:tcBorders>
              <w:top w:sz="4.0" w:val="single" w:color="#000000"/>
            </w:tcBorders>
            <w:tcMar>
              <w:start w:w="0" w:type="dxa"/>
              <w:end w:w="0" w:type="dxa"/>
            </w:tcMar>
          </w:tcPr>
          <w:p/>
        </w:tc>
        <w:tc>
          <w:tcPr>
            <w:tcW w:type="dxa" w:w="1402"/>
            <w:tcBorders>
              <w:top w:sz="4.0" w:val="single" w:color="#000000"/>
            </w:tcBorders>
            <w:tcMar>
              <w:start w:w="0" w:type="dxa"/>
              <w:end w:w="0" w:type="dxa"/>
            </w:tcMar>
          </w:tcPr>
          <w:p/>
        </w:tc>
      </w:tr>
    </w:tbl>
    <w:p>
      <w:pPr>
        <w:autoSpaceDN w:val="0"/>
        <w:autoSpaceDE w:val="0"/>
        <w:widowControl/>
        <w:spacing w:line="233" w:lineRule="auto" w:before="3930" w:after="0"/>
        <w:ind w:left="0" w:right="0" w:firstLine="0"/>
        <w:jc w:val="center"/>
      </w:pPr>
      <w:r>
        <w:rPr>
          <w:rFonts w:ascii="Arial" w:hAnsi="Arial" w:eastAsia="Arial"/>
          <w:b w:val="0"/>
          <w:i w:val="0"/>
          <w:color w:val="000000"/>
          <w:sz w:val="20"/>
        </w:rPr>
        <w:t xml:space="preserve">219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8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740"/>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2160"/>
            <w:vMerge w:val="restart"/>
            <w:tcBorders/>
            <w:tcMar>
              <w:start w:w="0" w:type="dxa"/>
              <w:end w:w="0" w:type="dxa"/>
            </w:tcMar>
            <w:tcMar>
              <w:start w:w="0" w:type="dxa"/>
              <w:end w:w="0" w:type="dxa"/>
            </w:tcMar>
          </w:tcPr>
          <w:p>
            <w:pPr>
              <w:autoSpaceDN w:val="0"/>
              <w:autoSpaceDE w:val="0"/>
              <w:widowControl/>
              <w:spacing w:line="246" w:lineRule="exact" w:before="1130" w:after="0"/>
              <w:ind w:left="29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40"/>
            <w:vMerge w:val="restart"/>
            <w:tcBorders/>
            <w:tcMar>
              <w:start w:w="0" w:type="dxa"/>
              <w:end w:w="0" w:type="dxa"/>
            </w:tcMar>
            <w:tcMar>
              <w:start w:w="0" w:type="dxa"/>
              <w:end w:w="0" w:type="dxa"/>
            </w:tcMar>
          </w:tcPr>
          <w:p>
            <w:pPr>
              <w:autoSpaceDN w:val="0"/>
              <w:autoSpaceDE w:val="0"/>
              <w:widowControl/>
              <w:spacing w:line="246" w:lineRule="exact" w:before="113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52"/>
        </w:trPr>
        <w:tc>
          <w:tcPr>
            <w:tcW w:type="dxa" w:w="760"/>
            <w:tcBorders/>
            <w:tcMar>
              <w:start w:w="0" w:type="dxa"/>
              <w:end w:w="0" w:type="dxa"/>
            </w:tcMar>
          </w:tcPr>
          <w:p>
            <w:pPr>
              <w:autoSpaceDN w:val="0"/>
              <w:autoSpaceDE w:val="0"/>
              <w:widowControl/>
              <w:spacing w:line="246" w:lineRule="exact" w:before="176" w:after="0"/>
              <w:ind w:left="0" w:right="0" w:firstLine="0"/>
              <w:jc w:val="center"/>
            </w:pPr>
            <w:r>
              <w:rPr>
                <w:rFonts w:ascii="Arial,Bold" w:hAnsi="Arial,Bold" w:eastAsia="Arial,Bold"/>
                <w:b/>
                <w:i w:val="0"/>
                <w:color w:val="000000"/>
                <w:sz w:val="22"/>
              </w:rPr>
              <w:t xml:space="preserve">19. </w:t>
            </w:r>
          </w:p>
        </w:tc>
        <w:tc>
          <w:tcPr>
            <w:tcW w:type="dxa" w:w="3740"/>
            <w:tcBorders/>
            <w:tcMar>
              <w:start w:w="0" w:type="dxa"/>
              <w:end w:w="0" w:type="dxa"/>
            </w:tcMar>
          </w:tcPr>
          <w:p>
            <w:pPr>
              <w:autoSpaceDN w:val="0"/>
              <w:autoSpaceDE w:val="0"/>
              <w:widowControl/>
              <w:spacing w:line="222" w:lineRule="exact" w:before="186" w:after="0"/>
              <w:ind w:left="166" w:right="0" w:firstLine="0"/>
              <w:jc w:val="left"/>
            </w:pPr>
            <w:r>
              <w:rPr>
                <w:rFonts w:ascii="黑体" w:hAnsi="黑体" w:eastAsia="黑体"/>
                <w:b w:val="0"/>
                <w:i w:val="0"/>
                <w:color w:val="000000"/>
                <w:sz w:val="22"/>
              </w:rPr>
              <w:t>所有权或使用权受到限制的资产</w:t>
            </w:r>
          </w:p>
        </w:tc>
        <w:tc>
          <w:tcPr>
            <w:tcW w:type="dxa" w:w="2256"/>
            <w:vMerge/>
            <w:tcBorders/>
          </w:tcPr>
          <w:p/>
        </w:tc>
        <w:tc>
          <w:tcPr>
            <w:tcW w:type="dxa" w:w="2256"/>
            <w:vMerge/>
            <w:tcBorders/>
          </w:tcPr>
          <w:p/>
        </w:tc>
      </w:tr>
    </w:tbl>
    <w:p>
      <w:pPr>
        <w:autoSpaceDN w:val="0"/>
        <w:autoSpaceDE w:val="0"/>
        <w:widowControl/>
        <w:spacing w:line="220" w:lineRule="exact" w:before="244" w:after="32"/>
        <w:ind w:left="358" w:right="0" w:firstLine="0"/>
        <w:jc w:val="left"/>
      </w:pPr>
      <w:r>
        <w:rPr>
          <w:rFonts w:ascii="黑体" w:hAnsi="黑体" w:eastAsia="黑体"/>
          <w:b w:val="0"/>
          <w:i w:val="0"/>
          <w:color w:val="000000"/>
          <w:sz w:val="22"/>
        </w:rPr>
        <w:t>货币资金</w:t>
      </w:r>
    </w:p>
    <w:tbl>
      <w:tblPr>
        <w:tblW w:type="auto" w:w="0"/>
        <w:tblLayout w:type="fixed"/>
        <w:tblLook w:firstColumn="1" w:firstRow="1" w:lastColumn="0" w:lastRow="0" w:noHBand="0" w:noVBand="1" w:val="04A0"/>
        <w:tblInd w:w="260.0" w:type="dxa"/>
      </w:tblPr>
      <w:tblGrid>
        <w:gridCol w:w="3009"/>
        <w:gridCol w:w="3009"/>
        <w:gridCol w:w="3009"/>
      </w:tblGrid>
      <w:tr>
        <w:trPr>
          <w:trHeight w:hRule="exact" w:val="252"/>
        </w:trPr>
        <w:tc>
          <w:tcPr>
            <w:tcW w:type="dxa" w:w="4180"/>
            <w:tcBorders/>
            <w:tcMar>
              <w:start w:w="0" w:type="dxa"/>
              <w:end w:w="0" w:type="dxa"/>
            </w:tcMar>
          </w:tcPr>
          <w:p>
            <w:pPr>
              <w:autoSpaceDN w:val="0"/>
              <w:autoSpaceDE w:val="0"/>
              <w:widowControl/>
              <w:spacing w:line="220" w:lineRule="exact" w:before="32" w:after="0"/>
              <w:ind w:left="292" w:right="0" w:firstLine="0"/>
              <w:jc w:val="left"/>
            </w:pPr>
            <w:r>
              <w:rPr>
                <w:rFonts w:ascii="黑体" w:hAnsi="黑体" w:eastAsia="黑体"/>
                <w:b w:val="0"/>
                <w:i w:val="0"/>
                <w:color w:val="000000"/>
                <w:sz w:val="22"/>
              </w:rPr>
              <w:t>公募基金业务风险准备金存款</w:t>
            </w:r>
          </w:p>
        </w:tc>
        <w:tc>
          <w:tcPr>
            <w:tcW w:type="dxa" w:w="2580"/>
            <w:vMerge w:val="restart"/>
            <w:tcBorders/>
            <w:tcMar>
              <w:start w:w="0" w:type="dxa"/>
              <w:end w:w="0" w:type="dxa"/>
            </w:tcMar>
            <w:tcMar>
              <w:start w:w="0" w:type="dxa"/>
              <w:end w:w="0" w:type="dxa"/>
            </w:tcMar>
          </w:tcPr>
          <w:p>
            <w:pPr>
              <w:autoSpaceDN w:val="0"/>
              <w:autoSpaceDE w:val="0"/>
              <w:widowControl/>
              <w:spacing w:line="233" w:lineRule="auto" w:before="40" w:after="0"/>
              <w:ind w:left="0" w:right="420" w:firstLine="0"/>
              <w:jc w:val="right"/>
            </w:pPr>
            <w:r>
              <w:rPr>
                <w:rFonts w:ascii="Arial" w:hAnsi="Arial" w:eastAsia="Arial"/>
                <w:b w:val="0"/>
                <w:i w:val="0"/>
                <w:color w:val="000000"/>
                <w:sz w:val="22"/>
              </w:rPr>
              <w:t>66,300,277</w:t>
            </w:r>
          </w:p>
        </w:tc>
        <w:tc>
          <w:tcPr>
            <w:tcW w:type="dxa" w:w="1840"/>
            <w:vMerge w:val="restart"/>
            <w:tcBorders/>
            <w:tcMar>
              <w:start w:w="0" w:type="dxa"/>
              <w:end w:w="0" w:type="dxa"/>
            </w:tcMar>
            <w:tcMar>
              <w:start w:w="0" w:type="dxa"/>
              <w:end w:w="0" w:type="dxa"/>
            </w:tcMar>
          </w:tcPr>
          <w:p>
            <w:pPr>
              <w:autoSpaceDN w:val="0"/>
              <w:autoSpaceDE w:val="0"/>
              <w:widowControl/>
              <w:spacing w:line="233" w:lineRule="auto" w:before="40" w:after="0"/>
              <w:ind w:left="0" w:right="164" w:firstLine="0"/>
              <w:jc w:val="right"/>
            </w:pPr>
            <w:r>
              <w:rPr>
                <w:rFonts w:ascii="Arial" w:hAnsi="Arial" w:eastAsia="Arial"/>
                <w:b w:val="0"/>
                <w:i w:val="0"/>
                <w:color w:val="000000"/>
                <w:sz w:val="22"/>
              </w:rPr>
              <w:t>48,588,662</w:t>
            </w:r>
          </w:p>
        </w:tc>
      </w:tr>
      <w:tr>
        <w:trPr>
          <w:trHeight w:hRule="exact" w:val="54"/>
        </w:trPr>
        <w:tc>
          <w:tcPr>
            <w:tcW w:type="dxa" w:w="4180"/>
            <w:vMerge w:val="restart"/>
            <w:tcBorders/>
            <w:tcMar>
              <w:start w:w="0" w:type="dxa"/>
              <w:end w:w="0" w:type="dxa"/>
            </w:tcMar>
            <w:tcMar>
              <w:start w:w="0" w:type="dxa"/>
              <w:end w:w="0" w:type="dxa"/>
            </w:tcMar>
          </w:tcPr>
          <w:p>
            <w:pPr>
              <w:autoSpaceDN w:val="0"/>
              <w:autoSpaceDE w:val="0"/>
              <w:widowControl/>
              <w:spacing w:line="222" w:lineRule="exact" w:before="64" w:after="0"/>
              <w:ind w:left="292" w:right="0" w:firstLine="0"/>
              <w:jc w:val="left"/>
            </w:pPr>
            <w:r>
              <w:rPr>
                <w:rFonts w:ascii="黑体" w:hAnsi="黑体" w:eastAsia="黑体"/>
                <w:b w:val="0"/>
                <w:i w:val="0"/>
                <w:color w:val="000000"/>
                <w:sz w:val="22"/>
              </w:rPr>
              <w:t>为借款而设定质押</w:t>
            </w:r>
          </w:p>
        </w:tc>
        <w:tc>
          <w:tcPr>
            <w:tcW w:type="dxa" w:w="3009"/>
            <w:vMerge/>
            <w:tcBorders/>
          </w:tcPr>
          <w:p/>
        </w:tc>
        <w:tc>
          <w:tcPr>
            <w:tcW w:type="dxa" w:w="3009"/>
            <w:vMerge/>
            <w:tcBorders/>
          </w:tcPr>
          <w:p/>
        </w:tc>
      </w:tr>
      <w:tr>
        <w:trPr>
          <w:trHeight w:hRule="exact" w:val="326"/>
        </w:trPr>
        <w:tc>
          <w:tcPr>
            <w:tcW w:type="dxa" w:w="3009"/>
            <w:vMerge/>
            <w:tcBorders/>
          </w:tcPr>
          <w:p/>
        </w:tc>
        <w:tc>
          <w:tcPr>
            <w:tcW w:type="dxa" w:w="2580"/>
            <w:tcBorders/>
            <w:tcMar>
              <w:start w:w="0" w:type="dxa"/>
              <w:end w:w="0" w:type="dxa"/>
            </w:tcMar>
          </w:tcPr>
          <w:p>
            <w:pPr>
              <w:autoSpaceDN w:val="0"/>
              <w:autoSpaceDE w:val="0"/>
              <w:widowControl/>
              <w:spacing w:line="233" w:lineRule="auto" w:before="20" w:after="0"/>
              <w:ind w:left="0" w:right="424" w:firstLine="0"/>
              <w:jc w:val="right"/>
            </w:pPr>
            <w:r>
              <w:rPr>
                <w:rFonts w:ascii="Arial" w:hAnsi="Arial" w:eastAsia="Arial"/>
                <w:b w:val="0"/>
                <w:i w:val="0"/>
                <w:color w:val="000000"/>
                <w:sz w:val="22"/>
              </w:rPr>
              <w:t>-</w:t>
            </w:r>
          </w:p>
        </w:tc>
        <w:tc>
          <w:tcPr>
            <w:tcW w:type="dxa" w:w="1840"/>
            <w:tcBorders/>
            <w:tcMar>
              <w:start w:w="0" w:type="dxa"/>
              <w:end w:w="0" w:type="dxa"/>
            </w:tcMar>
          </w:tcPr>
          <w:p>
            <w:pPr>
              <w:autoSpaceDN w:val="0"/>
              <w:autoSpaceDE w:val="0"/>
              <w:widowControl/>
              <w:spacing w:line="233" w:lineRule="auto" w:before="20" w:after="0"/>
              <w:ind w:left="448" w:right="0" w:firstLine="0"/>
              <w:jc w:val="left"/>
            </w:pPr>
            <w:r>
              <w:rPr>
                <w:rFonts w:ascii="Arial" w:hAnsi="Arial" w:eastAsia="Arial"/>
                <w:b w:val="0"/>
                <w:i w:val="0"/>
                <w:color w:val="000000"/>
                <w:sz w:val="22"/>
              </w:rPr>
              <w:t>600,000,000</w:t>
            </w:r>
          </w:p>
        </w:tc>
      </w:tr>
    </w:tbl>
    <w:p>
      <w:pPr>
        <w:autoSpaceDN w:val="0"/>
        <w:autoSpaceDE w:val="0"/>
        <w:widowControl/>
        <w:spacing w:line="222" w:lineRule="exact" w:before="224" w:after="32"/>
        <w:ind w:left="358" w:right="0" w:firstLine="0"/>
        <w:jc w:val="left"/>
      </w:pPr>
      <w:r>
        <w:rPr>
          <w:rFonts w:ascii="黑体" w:hAnsi="黑体" w:eastAsia="黑体"/>
          <w:b w:val="0"/>
          <w:i w:val="0"/>
          <w:color w:val="000000"/>
          <w:sz w:val="22"/>
        </w:rPr>
        <w:t>交易性金融资产</w:t>
      </w:r>
    </w:p>
    <w:tbl>
      <w:tblPr>
        <w:tblW w:type="auto" w:w="0"/>
        <w:tblLayout w:type="fixed"/>
        <w:tblLook w:firstColumn="1" w:firstRow="1" w:lastColumn="0" w:lastRow="0" w:noHBand="0" w:noVBand="1" w:val="04A0"/>
        <w:tblInd w:w="260.0" w:type="dxa"/>
      </w:tblPr>
      <w:tblGrid>
        <w:gridCol w:w="3009"/>
        <w:gridCol w:w="3009"/>
        <w:gridCol w:w="3009"/>
      </w:tblGrid>
      <w:tr>
        <w:trPr>
          <w:trHeight w:hRule="exact" w:val="262"/>
        </w:trPr>
        <w:tc>
          <w:tcPr>
            <w:tcW w:type="dxa" w:w="4420"/>
            <w:tcBorders/>
            <w:tcMar>
              <w:start w:w="0" w:type="dxa"/>
              <w:end w:w="0" w:type="dxa"/>
            </w:tcMar>
          </w:tcPr>
          <w:p>
            <w:pPr>
              <w:autoSpaceDN w:val="0"/>
              <w:autoSpaceDE w:val="0"/>
              <w:widowControl/>
              <w:spacing w:line="222" w:lineRule="exact" w:before="32" w:after="0"/>
              <w:ind w:left="292" w:right="0" w:firstLine="0"/>
              <w:jc w:val="left"/>
            </w:pPr>
            <w:r>
              <w:rPr>
                <w:rFonts w:ascii="黑体" w:hAnsi="黑体" w:eastAsia="黑体"/>
                <w:b w:val="0"/>
                <w:i w:val="0"/>
                <w:color w:val="000000"/>
                <w:sz w:val="22"/>
              </w:rPr>
              <w:t>为卖出回购业务设定质押</w:t>
            </w:r>
          </w:p>
        </w:tc>
        <w:tc>
          <w:tcPr>
            <w:tcW w:type="dxa" w:w="2260"/>
            <w:vMerge w:val="restart"/>
            <w:tcBorders/>
            <w:tcMar>
              <w:start w:w="0" w:type="dxa"/>
              <w:end w:w="0" w:type="dxa"/>
            </w:tcMar>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22"/>
              </w:rPr>
              <w:t>10,202,409,518</w:t>
            </w:r>
          </w:p>
        </w:tc>
        <w:tc>
          <w:tcPr>
            <w:tcW w:type="dxa" w:w="1920"/>
            <w:vMerge w:val="restart"/>
            <w:tcBorders/>
            <w:tcMar>
              <w:start w:w="0" w:type="dxa"/>
              <w:end w:w="0" w:type="dxa"/>
            </w:tcMar>
            <w:tcMar>
              <w:start w:w="0" w:type="dxa"/>
              <w:end w:w="0" w:type="dxa"/>
            </w:tcMar>
          </w:tcPr>
          <w:p>
            <w:pPr>
              <w:autoSpaceDN w:val="0"/>
              <w:autoSpaceDE w:val="0"/>
              <w:widowControl/>
              <w:spacing w:line="233" w:lineRule="auto" w:before="40" w:after="0"/>
              <w:ind w:left="346" w:right="0" w:firstLine="0"/>
              <w:jc w:val="left"/>
            </w:pPr>
            <w:r>
              <w:rPr>
                <w:rFonts w:ascii="Arial" w:hAnsi="Arial" w:eastAsia="Arial"/>
                <w:b w:val="0"/>
                <w:i w:val="0"/>
                <w:color w:val="000000"/>
                <w:sz w:val="22"/>
              </w:rPr>
              <w:t>6,690,260,073</w:t>
            </w:r>
          </w:p>
        </w:tc>
      </w:tr>
      <w:tr>
        <w:trPr>
          <w:trHeight w:hRule="exact" w:val="42"/>
        </w:trPr>
        <w:tc>
          <w:tcPr>
            <w:tcW w:type="dxa" w:w="4420"/>
            <w:vMerge w:val="restart"/>
            <w:tcBorders/>
            <w:tcMar>
              <w:start w:w="0" w:type="dxa"/>
              <w:end w:w="0" w:type="dxa"/>
            </w:tcMar>
            <w:tcMar>
              <w:start w:w="0" w:type="dxa"/>
              <w:end w:w="0" w:type="dxa"/>
            </w:tcMar>
          </w:tcPr>
          <w:p>
            <w:pPr>
              <w:autoSpaceDN w:val="0"/>
              <w:autoSpaceDE w:val="0"/>
              <w:widowControl/>
              <w:spacing w:line="220" w:lineRule="exact" w:before="54" w:after="0"/>
              <w:ind w:left="292" w:right="0" w:firstLine="0"/>
              <w:jc w:val="left"/>
            </w:pPr>
            <w:r>
              <w:rPr>
                <w:rFonts w:ascii="黑体" w:hAnsi="黑体" w:eastAsia="黑体"/>
                <w:b w:val="0"/>
                <w:i w:val="0"/>
                <w:color w:val="000000"/>
                <w:sz w:val="22"/>
              </w:rPr>
              <w:t>为债券借贷业务设定质押</w:t>
            </w:r>
          </w:p>
        </w:tc>
        <w:tc>
          <w:tcPr>
            <w:tcW w:type="dxa" w:w="3009"/>
            <w:vMerge/>
            <w:tcBorders/>
          </w:tcPr>
          <w:p/>
        </w:tc>
        <w:tc>
          <w:tcPr>
            <w:tcW w:type="dxa" w:w="3009"/>
            <w:vMerge/>
            <w:tcBorders/>
          </w:tcPr>
          <w:p/>
        </w:tc>
      </w:tr>
      <w:tr>
        <w:trPr>
          <w:trHeight w:hRule="exact" w:val="238"/>
        </w:trPr>
        <w:tc>
          <w:tcPr>
            <w:tcW w:type="dxa" w:w="3009"/>
            <w:vMerge/>
            <w:tcBorders/>
          </w:tcPr>
          <w:p/>
        </w:tc>
        <w:tc>
          <w:tcPr>
            <w:tcW w:type="dxa" w:w="2260"/>
            <w:vMerge w:val="restart"/>
            <w:tcBorders/>
            <w:tcMar>
              <w:start w:w="0" w:type="dxa"/>
              <w:end w:w="0" w:type="dxa"/>
            </w:tcMar>
            <w:tcMar>
              <w:start w:w="0" w:type="dxa"/>
              <w:end w:w="0" w:type="dxa"/>
            </w:tcMar>
          </w:tcPr>
          <w:p>
            <w:pPr>
              <w:autoSpaceDN w:val="0"/>
              <w:autoSpaceDE w:val="0"/>
              <w:widowControl/>
              <w:spacing w:line="233" w:lineRule="auto" w:before="20" w:after="0"/>
              <w:ind w:left="448" w:right="0" w:firstLine="0"/>
              <w:jc w:val="left"/>
            </w:pPr>
            <w:r>
              <w:rPr>
                <w:rFonts w:ascii="Arial" w:hAnsi="Arial" w:eastAsia="Arial"/>
                <w:b w:val="0"/>
                <w:i w:val="0"/>
                <w:color w:val="000000"/>
                <w:sz w:val="22"/>
              </w:rPr>
              <w:t xml:space="preserve"> 6,257,546,603</w:t>
            </w:r>
          </w:p>
        </w:tc>
        <w:tc>
          <w:tcPr>
            <w:tcW w:type="dxa" w:w="1920"/>
            <w:vMerge w:val="restart"/>
            <w:tcBorders/>
            <w:tcMar>
              <w:start w:w="0" w:type="dxa"/>
              <w:end w:w="0" w:type="dxa"/>
            </w:tcMar>
            <w:tcMar>
              <w:start w:w="0" w:type="dxa"/>
              <w:end w:w="0" w:type="dxa"/>
            </w:tcMar>
          </w:tcPr>
          <w:p>
            <w:pPr>
              <w:autoSpaceDN w:val="0"/>
              <w:autoSpaceDE w:val="0"/>
              <w:widowControl/>
              <w:spacing w:line="233" w:lineRule="auto" w:before="20" w:after="0"/>
              <w:ind w:left="346" w:right="0" w:firstLine="0"/>
              <w:jc w:val="left"/>
            </w:pPr>
            <w:r>
              <w:rPr>
                <w:rFonts w:ascii="Arial" w:hAnsi="Arial" w:eastAsia="Arial"/>
                <w:b w:val="0"/>
                <w:i w:val="0"/>
                <w:color w:val="000000"/>
                <w:sz w:val="22"/>
              </w:rPr>
              <w:t>6,184,470,835</w:t>
            </w:r>
          </w:p>
        </w:tc>
      </w:tr>
      <w:tr>
        <w:trPr>
          <w:trHeight w:hRule="exact" w:val="48"/>
        </w:trPr>
        <w:tc>
          <w:tcPr>
            <w:tcW w:type="dxa" w:w="4420"/>
            <w:vMerge w:val="restart"/>
            <w:tcBorders/>
            <w:tcMar>
              <w:start w:w="0" w:type="dxa"/>
              <w:end w:w="0" w:type="dxa"/>
            </w:tcMar>
            <w:tcMar>
              <w:start w:w="0" w:type="dxa"/>
              <w:end w:w="0" w:type="dxa"/>
            </w:tcMar>
          </w:tcPr>
          <w:p>
            <w:pPr>
              <w:autoSpaceDN w:val="0"/>
              <w:autoSpaceDE w:val="0"/>
              <w:widowControl/>
              <w:spacing w:line="220" w:lineRule="exact" w:before="60" w:after="0"/>
              <w:ind w:left="292" w:right="0" w:firstLine="0"/>
              <w:jc w:val="left"/>
            </w:pPr>
            <w:r>
              <w:rPr>
                <w:rFonts w:ascii="黑体" w:hAnsi="黑体" w:eastAsia="黑体"/>
                <w:b w:val="0"/>
                <w:i w:val="0"/>
                <w:color w:val="000000"/>
                <w:sz w:val="22"/>
              </w:rPr>
              <w:t>冲抵保证金</w:t>
            </w:r>
          </w:p>
        </w:tc>
        <w:tc>
          <w:tcPr>
            <w:tcW w:type="dxa" w:w="3009"/>
            <w:vMerge/>
            <w:tcBorders/>
          </w:tcPr>
          <w:p/>
        </w:tc>
        <w:tc>
          <w:tcPr>
            <w:tcW w:type="dxa" w:w="3009"/>
            <w:vMerge/>
            <w:tcBorders/>
          </w:tcPr>
          <w:p/>
        </w:tc>
      </w:tr>
      <w:tr>
        <w:trPr>
          <w:trHeight w:hRule="exact" w:val="232"/>
        </w:trPr>
        <w:tc>
          <w:tcPr>
            <w:tcW w:type="dxa" w:w="3009"/>
            <w:vMerge/>
            <w:tcBorders/>
          </w:tcPr>
          <w:p/>
        </w:tc>
        <w:tc>
          <w:tcPr>
            <w:tcW w:type="dxa" w:w="2260"/>
            <w:vMerge w:val="restart"/>
            <w:tcBorders/>
            <w:tcMar>
              <w:start w:w="0" w:type="dxa"/>
              <w:end w:w="0" w:type="dxa"/>
            </w:tcMar>
            <w:tcMar>
              <w:start w:w="0" w:type="dxa"/>
              <w:end w:w="0" w:type="dxa"/>
            </w:tcMar>
          </w:tcPr>
          <w:p>
            <w:pPr>
              <w:autoSpaceDN w:val="0"/>
              <w:autoSpaceDE w:val="0"/>
              <w:widowControl/>
              <w:spacing w:line="233" w:lineRule="auto" w:before="20" w:after="0"/>
              <w:ind w:left="0" w:right="344" w:firstLine="0"/>
              <w:jc w:val="right"/>
            </w:pPr>
            <w:r>
              <w:rPr>
                <w:rFonts w:ascii="Arial" w:hAnsi="Arial" w:eastAsia="Arial"/>
                <w:b w:val="0"/>
                <w:i w:val="0"/>
                <w:color w:val="000000"/>
                <w:sz w:val="22"/>
              </w:rPr>
              <w:t xml:space="preserve"> -</w:t>
            </w:r>
          </w:p>
        </w:tc>
        <w:tc>
          <w:tcPr>
            <w:tcW w:type="dxa" w:w="1920"/>
            <w:vMerge w:val="restart"/>
            <w:tcBorders/>
            <w:tcMar>
              <w:start w:w="0" w:type="dxa"/>
              <w:end w:w="0" w:type="dxa"/>
            </w:tcMar>
            <w:tcMar>
              <w:start w:w="0" w:type="dxa"/>
              <w:end w:w="0" w:type="dxa"/>
            </w:tcMar>
          </w:tcPr>
          <w:p>
            <w:pPr>
              <w:autoSpaceDN w:val="0"/>
              <w:autoSpaceDE w:val="0"/>
              <w:widowControl/>
              <w:spacing w:line="233" w:lineRule="auto" w:before="20" w:after="0"/>
              <w:ind w:left="0" w:right="164" w:firstLine="0"/>
              <w:jc w:val="right"/>
            </w:pPr>
            <w:r>
              <w:rPr>
                <w:rFonts w:ascii="Arial" w:hAnsi="Arial" w:eastAsia="Arial"/>
                <w:b w:val="0"/>
                <w:i w:val="0"/>
                <w:color w:val="000000"/>
                <w:sz w:val="22"/>
              </w:rPr>
              <w:t>20,235,440</w:t>
            </w:r>
          </w:p>
        </w:tc>
      </w:tr>
      <w:tr>
        <w:trPr>
          <w:trHeight w:hRule="exact" w:val="54"/>
        </w:trPr>
        <w:tc>
          <w:tcPr>
            <w:tcW w:type="dxa" w:w="4420"/>
            <w:vMerge w:val="restart"/>
            <w:tcBorders/>
            <w:tcMar>
              <w:start w:w="0" w:type="dxa"/>
              <w:end w:w="0" w:type="dxa"/>
            </w:tcMar>
            <w:tcMar>
              <w:start w:w="0" w:type="dxa"/>
              <w:end w:w="0" w:type="dxa"/>
            </w:tcMar>
          </w:tcPr>
          <w:p>
            <w:pPr>
              <w:autoSpaceDN w:val="0"/>
              <w:autoSpaceDE w:val="0"/>
              <w:widowControl/>
              <w:spacing w:line="222" w:lineRule="exact" w:before="64" w:after="0"/>
              <w:ind w:left="292" w:right="0" w:firstLine="0"/>
              <w:jc w:val="left"/>
            </w:pPr>
            <w:r>
              <w:rPr>
                <w:rFonts w:ascii="黑体" w:hAnsi="黑体" w:eastAsia="黑体"/>
                <w:b w:val="0"/>
                <w:i w:val="0"/>
                <w:color w:val="000000"/>
                <w:sz w:val="22"/>
              </w:rPr>
              <w:t>流通受限的股票</w:t>
            </w:r>
          </w:p>
        </w:tc>
        <w:tc>
          <w:tcPr>
            <w:tcW w:type="dxa" w:w="3009"/>
            <w:vMerge/>
            <w:tcBorders/>
          </w:tcPr>
          <w:p/>
        </w:tc>
        <w:tc>
          <w:tcPr>
            <w:tcW w:type="dxa" w:w="3009"/>
            <w:vMerge/>
            <w:tcBorders/>
          </w:tcPr>
          <w:p/>
        </w:tc>
      </w:tr>
      <w:tr>
        <w:trPr>
          <w:trHeight w:hRule="exact" w:val="246"/>
        </w:trPr>
        <w:tc>
          <w:tcPr>
            <w:tcW w:type="dxa" w:w="3009"/>
            <w:vMerge/>
            <w:tcBorders/>
          </w:tcPr>
          <w:p/>
        </w:tc>
        <w:tc>
          <w:tcPr>
            <w:tcW w:type="dxa" w:w="2260"/>
            <w:tcBorders/>
            <w:tcMar>
              <w:start w:w="0" w:type="dxa"/>
              <w:end w:w="0" w:type="dxa"/>
            </w:tcMar>
          </w:tcPr>
          <w:p>
            <w:pPr>
              <w:autoSpaceDN w:val="0"/>
              <w:autoSpaceDE w:val="0"/>
              <w:widowControl/>
              <w:spacing w:line="233" w:lineRule="auto" w:before="0" w:after="0"/>
              <w:ind w:left="0" w:right="340" w:firstLine="0"/>
              <w:jc w:val="right"/>
            </w:pPr>
            <w:r>
              <w:rPr>
                <w:rFonts w:ascii="Arial" w:hAnsi="Arial" w:eastAsia="Arial"/>
                <w:b w:val="0"/>
                <w:i w:val="0"/>
                <w:color w:val="000000"/>
                <w:sz w:val="22"/>
              </w:rPr>
              <w:t>26,403,303</w:t>
            </w:r>
          </w:p>
        </w:tc>
        <w:tc>
          <w:tcPr>
            <w:tcW w:type="dxa" w:w="1920"/>
            <w:tcBorders/>
            <w:tcMar>
              <w:start w:w="0" w:type="dxa"/>
              <w:end w:w="0" w:type="dxa"/>
            </w:tcMar>
          </w:tcPr>
          <w:p>
            <w:pPr>
              <w:autoSpaceDN w:val="0"/>
              <w:autoSpaceDE w:val="0"/>
              <w:widowControl/>
              <w:spacing w:line="233" w:lineRule="auto" w:before="0" w:after="0"/>
              <w:ind w:left="0" w:right="164" w:firstLine="0"/>
              <w:jc w:val="right"/>
            </w:pPr>
            <w:r>
              <w:rPr>
                <w:rFonts w:ascii="Arial" w:hAnsi="Arial" w:eastAsia="Arial"/>
                <w:b w:val="0"/>
                <w:i w:val="0"/>
                <w:color w:val="000000"/>
                <w:sz w:val="22"/>
              </w:rPr>
              <w:t>591,194,535</w:t>
            </w:r>
          </w:p>
        </w:tc>
      </w:tr>
      <w:tr>
        <w:trPr>
          <w:trHeight w:hRule="exact" w:val="280"/>
        </w:trPr>
        <w:tc>
          <w:tcPr>
            <w:tcW w:type="dxa" w:w="4420"/>
            <w:tcBorders/>
            <w:tcMar>
              <w:start w:w="0" w:type="dxa"/>
              <w:end w:w="0" w:type="dxa"/>
            </w:tcMar>
          </w:tcPr>
          <w:p>
            <w:pPr>
              <w:autoSpaceDN w:val="0"/>
              <w:autoSpaceDE w:val="0"/>
              <w:widowControl/>
              <w:spacing w:line="222" w:lineRule="exact" w:before="50" w:after="0"/>
              <w:ind w:left="292" w:right="0" w:firstLine="0"/>
              <w:jc w:val="left"/>
            </w:pPr>
            <w:r>
              <w:rPr>
                <w:rFonts w:ascii="黑体" w:hAnsi="黑体" w:eastAsia="黑体"/>
                <w:b w:val="0"/>
                <w:i w:val="0"/>
                <w:color w:val="000000"/>
                <w:sz w:val="22"/>
              </w:rPr>
              <w:t>为融出证券业务设定质押</w:t>
            </w:r>
          </w:p>
        </w:tc>
        <w:tc>
          <w:tcPr>
            <w:tcW w:type="dxa" w:w="2260"/>
            <w:vMerge w:val="restart"/>
            <w:tcBorders/>
            <w:tcMar>
              <w:start w:w="0" w:type="dxa"/>
              <w:end w:w="0" w:type="dxa"/>
            </w:tcMar>
            <w:tcMar>
              <w:start w:w="0" w:type="dxa"/>
              <w:end w:w="0" w:type="dxa"/>
            </w:tcMar>
          </w:tcPr>
          <w:p>
            <w:pPr>
              <w:autoSpaceDN w:val="0"/>
              <w:autoSpaceDE w:val="0"/>
              <w:widowControl/>
              <w:spacing w:line="233" w:lineRule="auto" w:before="60" w:after="0"/>
              <w:ind w:left="0" w:right="344" w:firstLine="0"/>
              <w:jc w:val="right"/>
            </w:pPr>
            <w:r>
              <w:rPr>
                <w:rFonts w:ascii="Arial" w:hAnsi="Arial" w:eastAsia="Arial"/>
                <w:b w:val="0"/>
                <w:i w:val="0"/>
                <w:color w:val="000000"/>
                <w:sz w:val="22"/>
              </w:rPr>
              <w:t xml:space="preserve"> 50,894,310</w:t>
            </w:r>
          </w:p>
        </w:tc>
        <w:tc>
          <w:tcPr>
            <w:tcW w:type="dxa" w:w="1920"/>
            <w:vMerge w:val="restart"/>
            <w:tcBorders/>
            <w:tcMar>
              <w:start w:w="0" w:type="dxa"/>
              <w:end w:w="0" w:type="dxa"/>
            </w:tcMar>
            <w:tcMar>
              <w:start w:w="0" w:type="dxa"/>
              <w:end w:w="0" w:type="dxa"/>
            </w:tcMar>
          </w:tcPr>
          <w:p>
            <w:pPr>
              <w:autoSpaceDN w:val="0"/>
              <w:autoSpaceDE w:val="0"/>
              <w:widowControl/>
              <w:spacing w:line="233" w:lineRule="auto" w:before="60" w:after="0"/>
              <w:ind w:left="0" w:right="164" w:firstLine="0"/>
              <w:jc w:val="right"/>
            </w:pPr>
            <w:r>
              <w:rPr>
                <w:rFonts w:ascii="Arial" w:hAnsi="Arial" w:eastAsia="Arial"/>
                <w:b w:val="0"/>
                <w:i w:val="0"/>
                <w:color w:val="000000"/>
                <w:sz w:val="22"/>
              </w:rPr>
              <w:t>40,045,868</w:t>
            </w:r>
          </w:p>
        </w:tc>
      </w:tr>
      <w:tr>
        <w:trPr>
          <w:trHeight w:hRule="exact" w:val="44"/>
        </w:trPr>
        <w:tc>
          <w:tcPr>
            <w:tcW w:type="dxa" w:w="4420"/>
            <w:vMerge w:val="restart"/>
            <w:tcBorders/>
            <w:tcMar>
              <w:start w:w="0" w:type="dxa"/>
              <w:end w:w="0" w:type="dxa"/>
            </w:tcMar>
            <w:tcMar>
              <w:start w:w="0" w:type="dxa"/>
              <w:end w:w="0" w:type="dxa"/>
            </w:tcMar>
          </w:tcPr>
          <w:p>
            <w:pPr>
              <w:autoSpaceDN w:val="0"/>
              <w:autoSpaceDE w:val="0"/>
              <w:widowControl/>
              <w:spacing w:line="220" w:lineRule="exact" w:before="56" w:after="0"/>
              <w:ind w:left="292" w:right="0" w:firstLine="0"/>
              <w:jc w:val="left"/>
            </w:pPr>
            <w:r>
              <w:rPr>
                <w:rFonts w:ascii="黑体" w:hAnsi="黑体" w:eastAsia="黑体"/>
                <w:b w:val="0"/>
                <w:i w:val="0"/>
                <w:color w:val="000000"/>
                <w:sz w:val="22"/>
              </w:rPr>
              <w:t>用于行权等其他原因质押或冻结的债券</w:t>
            </w:r>
          </w:p>
        </w:tc>
        <w:tc>
          <w:tcPr>
            <w:tcW w:type="dxa" w:w="3009"/>
            <w:vMerge/>
            <w:tcBorders/>
          </w:tcPr>
          <w:p/>
        </w:tc>
        <w:tc>
          <w:tcPr>
            <w:tcW w:type="dxa" w:w="3009"/>
            <w:vMerge/>
            <w:tcBorders/>
          </w:tcPr>
          <w:p/>
        </w:tc>
      </w:tr>
      <w:tr>
        <w:trPr>
          <w:trHeight w:hRule="exact" w:val="324"/>
        </w:trPr>
        <w:tc>
          <w:tcPr>
            <w:tcW w:type="dxa" w:w="3009"/>
            <w:vMerge/>
            <w:tcBorders/>
          </w:tcPr>
          <w:p/>
        </w:tc>
        <w:tc>
          <w:tcPr>
            <w:tcW w:type="dxa" w:w="2260"/>
            <w:tcBorders/>
            <w:tcMar>
              <w:start w:w="0" w:type="dxa"/>
              <w:end w:w="0" w:type="dxa"/>
            </w:tcMar>
          </w:tcPr>
          <w:p>
            <w:pPr>
              <w:autoSpaceDN w:val="0"/>
              <w:autoSpaceDE w:val="0"/>
              <w:widowControl/>
              <w:spacing w:line="233" w:lineRule="auto" w:before="18" w:after="0"/>
              <w:ind w:left="0" w:right="344" w:firstLine="0"/>
              <w:jc w:val="right"/>
            </w:pPr>
            <w:r>
              <w:rPr>
                <w:rFonts w:ascii="Arial" w:hAnsi="Arial" w:eastAsia="Arial"/>
                <w:b w:val="0"/>
                <w:i w:val="0"/>
                <w:color w:val="000000"/>
                <w:sz w:val="22"/>
              </w:rPr>
              <w:t xml:space="preserve"> 30,195,714</w:t>
            </w:r>
          </w:p>
        </w:tc>
        <w:tc>
          <w:tcPr>
            <w:tcW w:type="dxa" w:w="1920"/>
            <w:tcBorders/>
            <w:tcMar>
              <w:start w:w="0" w:type="dxa"/>
              <w:end w:w="0" w:type="dxa"/>
            </w:tcMar>
          </w:tcPr>
          <w:p>
            <w:pPr>
              <w:autoSpaceDN w:val="0"/>
              <w:autoSpaceDE w:val="0"/>
              <w:widowControl/>
              <w:spacing w:line="233" w:lineRule="auto" w:before="18" w:after="0"/>
              <w:ind w:left="0" w:right="164" w:firstLine="0"/>
              <w:jc w:val="right"/>
            </w:pPr>
            <w:r>
              <w:rPr>
                <w:rFonts w:ascii="Arial" w:hAnsi="Arial" w:eastAsia="Arial"/>
                <w:b w:val="0"/>
                <w:i w:val="0"/>
                <w:color w:val="000000"/>
                <w:sz w:val="22"/>
              </w:rPr>
              <w:t>202,042,479</w:t>
            </w:r>
          </w:p>
        </w:tc>
      </w:tr>
    </w:tbl>
    <w:p>
      <w:pPr>
        <w:autoSpaceDN w:val="0"/>
        <w:autoSpaceDE w:val="0"/>
        <w:widowControl/>
        <w:spacing w:line="220" w:lineRule="exact" w:before="226" w:after="34"/>
        <w:ind w:left="358" w:right="0" w:firstLine="0"/>
        <w:jc w:val="left"/>
      </w:pPr>
      <w:r>
        <w:rPr>
          <w:rFonts w:ascii="黑体" w:hAnsi="黑体" w:eastAsia="黑体"/>
          <w:b w:val="0"/>
          <w:i w:val="0"/>
          <w:color w:val="000000"/>
          <w:sz w:val="22"/>
        </w:rPr>
        <w:t>其他债权投资</w:t>
      </w:r>
    </w:p>
    <w:tbl>
      <w:tblPr>
        <w:tblW w:type="auto" w:w="0"/>
        <w:tblLayout w:type="fixed"/>
        <w:tblLook w:firstColumn="1" w:firstRow="1" w:lastColumn="0" w:lastRow="0" w:noHBand="0" w:noVBand="1" w:val="04A0"/>
        <w:tblInd w:w="260.0" w:type="dxa"/>
      </w:tblPr>
      <w:tblGrid>
        <w:gridCol w:w="3009"/>
        <w:gridCol w:w="3009"/>
        <w:gridCol w:w="3009"/>
      </w:tblGrid>
      <w:tr>
        <w:trPr>
          <w:trHeight w:hRule="exact" w:val="346"/>
        </w:trPr>
        <w:tc>
          <w:tcPr>
            <w:tcW w:type="dxa" w:w="4480"/>
            <w:tcBorders/>
            <w:tcMar>
              <w:start w:w="0" w:type="dxa"/>
              <w:end w:w="0" w:type="dxa"/>
            </w:tcMar>
          </w:tcPr>
          <w:p>
            <w:pPr>
              <w:autoSpaceDN w:val="0"/>
              <w:autoSpaceDE w:val="0"/>
              <w:widowControl/>
              <w:spacing w:line="220" w:lineRule="exact" w:before="32" w:after="0"/>
              <w:ind w:left="292" w:right="0" w:firstLine="0"/>
              <w:jc w:val="left"/>
            </w:pPr>
            <w:r>
              <w:rPr>
                <w:rFonts w:ascii="黑体" w:hAnsi="黑体" w:eastAsia="黑体"/>
                <w:b w:val="0"/>
                <w:i w:val="0"/>
                <w:color w:val="000000"/>
                <w:sz w:val="22"/>
              </w:rPr>
              <w:t>为债券借贷业务设定质押</w:t>
            </w:r>
          </w:p>
        </w:tc>
        <w:tc>
          <w:tcPr>
            <w:tcW w:type="dxa" w:w="2340"/>
            <w:tcBorders/>
            <w:tcMar>
              <w:start w:w="0" w:type="dxa"/>
              <w:end w:w="0" w:type="dxa"/>
            </w:tcMar>
          </w:tcPr>
          <w:p>
            <w:pPr>
              <w:autoSpaceDN w:val="0"/>
              <w:autoSpaceDE w:val="0"/>
              <w:widowControl/>
              <w:spacing w:line="233" w:lineRule="auto" w:before="40" w:after="0"/>
              <w:ind w:left="0" w:right="484" w:firstLine="0"/>
              <w:jc w:val="right"/>
            </w:pPr>
            <w:r>
              <w:rPr>
                <w:rFonts w:ascii="Arial" w:hAnsi="Arial" w:eastAsia="Arial"/>
                <w:b w:val="0"/>
                <w:i w:val="0"/>
                <w:color w:val="000000"/>
                <w:sz w:val="22"/>
              </w:rPr>
              <w:t>-</w:t>
            </w:r>
          </w:p>
        </w:tc>
        <w:tc>
          <w:tcPr>
            <w:tcW w:type="dxa" w:w="1780"/>
            <w:tcBorders/>
            <w:tcMar>
              <w:start w:w="0" w:type="dxa"/>
              <w:end w:w="0" w:type="dxa"/>
            </w:tcMar>
          </w:tcPr>
          <w:p>
            <w:pPr>
              <w:autoSpaceDN w:val="0"/>
              <w:autoSpaceDE w:val="0"/>
              <w:widowControl/>
              <w:spacing w:line="233" w:lineRule="auto" w:before="40" w:after="0"/>
              <w:ind w:left="0" w:right="164" w:firstLine="0"/>
              <w:jc w:val="right"/>
            </w:pPr>
            <w:r>
              <w:rPr>
                <w:rFonts w:ascii="Arial" w:hAnsi="Arial" w:eastAsia="Arial"/>
                <w:b w:val="0"/>
                <w:i w:val="0"/>
                <w:color w:val="000000"/>
                <w:sz w:val="22"/>
              </w:rPr>
              <w:t>26,096,677</w:t>
            </w:r>
          </w:p>
        </w:tc>
      </w:tr>
    </w:tbl>
    <w:p>
      <w:pPr>
        <w:autoSpaceDN w:val="0"/>
        <w:autoSpaceDE w:val="0"/>
        <w:widowControl/>
        <w:spacing w:line="220" w:lineRule="exact" w:before="224" w:after="32"/>
        <w:ind w:left="358" w:right="0" w:firstLine="0"/>
        <w:jc w:val="left"/>
      </w:pPr>
      <w:r>
        <w:rPr>
          <w:rFonts w:ascii="黑体" w:hAnsi="黑体" w:eastAsia="黑体"/>
          <w:b w:val="0"/>
          <w:i w:val="0"/>
          <w:color w:val="000000"/>
          <w:sz w:val="22"/>
        </w:rPr>
        <w:t>其他权益工具投资</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94"/>
        </w:trPr>
        <w:tc>
          <w:tcPr>
            <w:tcW w:type="dxa" w:w="4564"/>
            <w:tcBorders>
              <w:bottom w:sz="4.0" w:val="single" w:color="#000000"/>
            </w:tcBorders>
            <w:tcMar>
              <w:start w:w="0" w:type="dxa"/>
              <w:end w:w="0" w:type="dxa"/>
            </w:tcMar>
          </w:tcPr>
          <w:p>
            <w:pPr>
              <w:autoSpaceDN w:val="0"/>
              <w:autoSpaceDE w:val="0"/>
              <w:widowControl/>
              <w:spacing w:line="222" w:lineRule="exact" w:before="32" w:after="0"/>
              <w:ind w:left="392" w:right="0" w:firstLine="0"/>
              <w:jc w:val="left"/>
            </w:pPr>
            <w:r>
              <w:rPr>
                <w:rFonts w:ascii="黑体" w:hAnsi="黑体" w:eastAsia="黑体"/>
                <w:b w:val="0"/>
                <w:i w:val="0"/>
                <w:color w:val="000000"/>
                <w:sz w:val="22"/>
              </w:rPr>
              <w:t>流通受限的股票</w:t>
            </w:r>
          </w:p>
        </w:tc>
        <w:tc>
          <w:tcPr>
            <w:tcW w:type="dxa" w:w="1870"/>
            <w:tcBorders>
              <w:bottom w:sz="4.0"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22"/>
              </w:rPr>
              <w:t>96,616,469</w:t>
            </w:r>
          </w:p>
        </w:tc>
        <w:tc>
          <w:tcPr>
            <w:tcW w:type="dxa" w:w="2098"/>
            <w:tcBorders>
              <w:bottom w:sz="4.0"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22"/>
              </w:rPr>
              <w:t>110,047,886</w:t>
            </w:r>
          </w:p>
        </w:tc>
      </w:tr>
      <w:tr>
        <w:trPr>
          <w:trHeight w:hRule="exact" w:val="550"/>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344" w:right="0" w:firstLine="0"/>
              <w:jc w:val="left"/>
            </w:pPr>
            <w:r>
              <w:rPr>
                <w:rFonts w:ascii="Arial" w:hAnsi="Arial" w:eastAsia="Arial"/>
                <w:b w:val="0"/>
                <w:i w:val="0"/>
                <w:color w:val="000000"/>
                <w:sz w:val="22"/>
              </w:rPr>
              <w:t>16,730,366,194</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14,512,982,455</w:t>
            </w:r>
          </w:p>
        </w:tc>
      </w:tr>
      <w:tr>
        <w:trPr>
          <w:trHeight w:hRule="exact" w:val="52"/>
        </w:trPr>
        <w:tc>
          <w:tcPr>
            <w:tcW w:type="dxa" w:w="4564"/>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233" w:lineRule="auto" w:before="6912" w:after="0"/>
        <w:ind w:left="0" w:right="0" w:firstLine="0"/>
        <w:jc w:val="center"/>
      </w:pPr>
      <w:r>
        <w:rPr>
          <w:rFonts w:ascii="Arial" w:hAnsi="Arial" w:eastAsia="Arial"/>
          <w:b w:val="0"/>
          <w:i w:val="0"/>
          <w:color w:val="000000"/>
          <w:sz w:val="20"/>
        </w:rPr>
        <w:t xml:space="preserve">220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6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20.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短期借款</w:t>
            </w:r>
          </w:p>
        </w:tc>
        <w:tc>
          <w:tcPr>
            <w:tcW w:type="dxa" w:w="2256"/>
            <w:vMerge/>
            <w:tcBorders/>
          </w:tcPr>
          <w:p/>
        </w:tc>
        <w:tc>
          <w:tcPr>
            <w:tcW w:type="dxa" w:w="2256"/>
            <w:vMerge/>
            <w:tcBorders/>
          </w:tcPr>
          <w:p/>
        </w:tc>
      </w:tr>
      <w:tr>
        <w:trPr>
          <w:trHeight w:hRule="exact" w:val="434"/>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信用借款</w:t>
            </w:r>
          </w:p>
        </w:tc>
        <w:tc>
          <w:tcPr>
            <w:tcW w:type="dxa" w:w="1870"/>
            <w:tcBorders>
              <w:bottom w:sz="4.0" w:val="single" w:color="#000000"/>
            </w:tcBorders>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129,792,354</w:t>
            </w:r>
          </w:p>
        </w:tc>
        <w:tc>
          <w:tcPr>
            <w:tcW w:type="dxa" w:w="2098"/>
            <w:tcBorders>
              <w:bottom w:sz="4.0" w:val="single" w:color="#000000"/>
            </w:tcBorders>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137,317,148</w:t>
            </w:r>
          </w:p>
        </w:tc>
      </w:tr>
      <w:tr>
        <w:trPr>
          <w:trHeight w:hRule="exact" w:val="548"/>
        </w:trPr>
        <w:tc>
          <w:tcPr>
            <w:tcW w:type="dxa" w:w="4564"/>
            <w:gridSpan w:val="2"/>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2000000000000455"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129,792,354</w:t>
            </w:r>
          </w:p>
        </w:tc>
        <w:tc>
          <w:tcPr>
            <w:tcW w:type="dxa" w:w="2098"/>
            <w:tcBorders>
              <w:top w:sz="4.0" w:val="single" w:color="#000000"/>
              <w:bottom w:sz="3.2000000000000455"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137,317,148</w:t>
            </w:r>
          </w:p>
        </w:tc>
      </w:tr>
      <w:tr>
        <w:trPr>
          <w:trHeight w:hRule="exact" w:val="1218"/>
        </w:trPr>
        <w:tc>
          <w:tcPr>
            <w:tcW w:type="dxa" w:w="760"/>
            <w:tcBorders>
              <w:top w:sz="3.2000000000000455"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21. </w:t>
            </w:r>
          </w:p>
        </w:tc>
        <w:tc>
          <w:tcPr>
            <w:tcW w:type="dxa" w:w="3804"/>
            <w:tcBorders>
              <w:top w:sz="3.2000000000000455" w:val="single" w:color="#000000"/>
            </w:tcBorders>
            <w:tcMar>
              <w:start w:w="0" w:type="dxa"/>
              <w:end w:w="0" w:type="dxa"/>
            </w:tcMar>
          </w:tcPr>
          <w:p>
            <w:pPr>
              <w:autoSpaceDN w:val="0"/>
              <w:autoSpaceDE w:val="0"/>
              <w:widowControl/>
              <w:spacing w:line="220" w:lineRule="exact" w:before="302" w:after="0"/>
              <w:ind w:left="166" w:right="0" w:firstLine="0"/>
              <w:jc w:val="left"/>
            </w:pPr>
            <w:r>
              <w:rPr>
                <w:rFonts w:ascii="黑体" w:hAnsi="黑体" w:eastAsia="黑体"/>
                <w:b w:val="0"/>
                <w:i w:val="0"/>
                <w:color w:val="000000"/>
                <w:sz w:val="22"/>
              </w:rPr>
              <w:t>应付短期融资款</w:t>
            </w:r>
          </w:p>
        </w:tc>
        <w:tc>
          <w:tcPr>
            <w:tcW w:type="dxa" w:w="1870"/>
            <w:tcBorders>
              <w:top w:sz="3.2000000000000455" w:val="single" w:color="#000000"/>
            </w:tcBorders>
            <w:tcMar>
              <w:start w:w="0" w:type="dxa"/>
              <w:end w:w="0" w:type="dxa"/>
            </w:tcMar>
          </w:tcPr>
          <w:p>
            <w:pPr>
              <w:autoSpaceDN w:val="0"/>
              <w:autoSpaceDE w:val="0"/>
              <w:widowControl/>
              <w:spacing w:line="246" w:lineRule="exact" w:before="828"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3.2000000000000455" w:val="single" w:color="#000000"/>
            </w:tcBorders>
            <w:tcMar>
              <w:start w:w="0" w:type="dxa"/>
              <w:end w:w="0" w:type="dxa"/>
            </w:tcMar>
          </w:tcPr>
          <w:p>
            <w:pPr>
              <w:autoSpaceDN w:val="0"/>
              <w:autoSpaceDE w:val="0"/>
              <w:widowControl/>
              <w:spacing w:line="246" w:lineRule="exact" w:before="828"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52" w:after="0"/>
              <w:ind w:left="198" w:right="0" w:firstLine="0"/>
              <w:jc w:val="left"/>
            </w:pPr>
            <w:r>
              <w:rPr>
                <w:rFonts w:ascii="黑体" w:hAnsi="黑体" w:eastAsia="黑体"/>
                <w:b w:val="0"/>
                <w:i w:val="0"/>
                <w:color w:val="000000"/>
                <w:sz w:val="22"/>
              </w:rPr>
              <w:t>应付收益凭证（</w:t>
            </w:r>
            <w:r>
              <w:rPr>
                <w:rFonts w:ascii="Arial" w:hAnsi="Arial" w:eastAsia="Arial"/>
                <w:b w:val="0"/>
                <w:i w:val="0"/>
                <w:color w:val="000000"/>
                <w:sz w:val="22"/>
              </w:rPr>
              <w:t>a</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w:t>
            </w:r>
          </w:p>
        </w:tc>
        <w:tc>
          <w:tcPr>
            <w:tcW w:type="dxa" w:w="2098"/>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837,208,563</w:t>
            </w:r>
          </w:p>
        </w:tc>
      </w:tr>
      <w:tr>
        <w:trPr>
          <w:trHeight w:hRule="exact" w:val="308"/>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46" w:lineRule="exact" w:before="38" w:after="0"/>
              <w:ind w:left="198" w:right="0" w:firstLine="0"/>
              <w:jc w:val="left"/>
            </w:pPr>
            <w:r>
              <w:rPr>
                <w:rFonts w:ascii="黑体" w:hAnsi="黑体" w:eastAsia="黑体"/>
                <w:b w:val="0"/>
                <w:i w:val="0"/>
                <w:color w:val="000000"/>
                <w:sz w:val="22"/>
              </w:rPr>
              <w:t>应付短期公司债券</w:t>
            </w:r>
            <w:r>
              <w:rPr>
                <w:rFonts w:ascii="Arial" w:hAnsi="Arial" w:eastAsia="Arial"/>
                <w:b w:val="0"/>
                <w:i w:val="0"/>
                <w:color w:val="000000"/>
                <w:sz w:val="22"/>
              </w:rPr>
              <w:t xml:space="preserve">(b) </w:t>
            </w:r>
          </w:p>
        </w:tc>
        <w:tc>
          <w:tcPr>
            <w:tcW w:type="dxa" w:w="1870"/>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36,140,651</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35,364,887</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286"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36,140,651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872,573,450</w:t>
            </w:r>
          </w:p>
        </w:tc>
      </w:tr>
      <w:tr>
        <w:trPr>
          <w:trHeight w:hRule="exact" w:val="52"/>
        </w:trPr>
        <w:tc>
          <w:tcPr>
            <w:tcW w:type="dxa" w:w="4512"/>
            <w:gridSpan w:val="2"/>
            <w:vMerge/>
            <w:tcBorders>
              <w:top w:sz="4.0" w:val="single" w:color="#000000"/>
            </w:tcBorders>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6" w:after="146"/>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应付收益凭证</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32"/>
        </w:trPr>
        <w:tc>
          <w:tcPr>
            <w:tcW w:type="dxa" w:w="1558"/>
            <w:vMerge w:val="restart"/>
            <w:tcBorders>
              <w:bottom w:sz="4.0" w:val="single" w:color="#000000"/>
            </w:tcBorders>
            <w:tcMar>
              <w:start w:w="0" w:type="dxa"/>
              <w:end w:w="0" w:type="dxa"/>
            </w:tcMar>
            <w:tcMar>
              <w:start w:w="0" w:type="dxa"/>
              <w:end w:w="0" w:type="dxa"/>
            </w:tcMar>
            <w:tcMar>
              <w:start w:w="0" w:type="dxa"/>
              <w:end w:w="0" w:type="dxa"/>
            </w:tcMar>
          </w:tcPr>
          <w:p/>
        </w:tc>
        <w:tc>
          <w:tcPr>
            <w:tcW w:type="dxa" w:w="1022"/>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2" w:lineRule="exact" w:before="456" w:after="0"/>
              <w:ind w:left="0" w:right="6" w:firstLine="0"/>
              <w:jc w:val="right"/>
            </w:pPr>
            <w:r>
              <w:rPr>
                <w:rFonts w:ascii="黑体" w:hAnsi="黑体" w:eastAsia="黑体"/>
                <w:b w:val="0"/>
                <w:i w:val="0"/>
                <w:color w:val="000000"/>
                <w:sz w:val="15"/>
              </w:rPr>
              <w:t>固定收益率</w:t>
            </w:r>
          </w:p>
        </w:tc>
        <w:tc>
          <w:tcPr>
            <w:tcW w:type="dxa" w:w="1134"/>
            <w:vMerge w:val="restart"/>
            <w:tcBorders/>
            <w:tcMar>
              <w:start w:w="0" w:type="dxa"/>
              <w:end w:w="0" w:type="dxa"/>
            </w:tcMar>
            <w:tcMar>
              <w:start w:w="0" w:type="dxa"/>
              <w:end w:w="0" w:type="dxa"/>
            </w:tcMar>
          </w:tcPr>
          <w:p>
            <w:pPr>
              <w:autoSpaceDN w:val="0"/>
              <w:autoSpaceDE w:val="0"/>
              <w:widowControl/>
              <w:spacing w:line="170" w:lineRule="exact" w:before="254" w:after="0"/>
              <w:ind w:left="182" w:right="0" w:firstLine="0"/>
              <w:jc w:val="left"/>
            </w:pPr>
            <w:r>
              <w:rPr>
                <w:rFonts w:ascii="Arial" w:hAnsi="Arial" w:eastAsia="Arial"/>
                <w:b w:val="0"/>
                <w:i w:val="0"/>
                <w:color w:val="000000"/>
                <w:sz w:val="15"/>
              </w:rPr>
              <w:t>2024</w:t>
            </w:r>
            <w:r>
              <w:rPr>
                <w:rFonts w:ascii="黑体" w:hAnsi="黑体" w:eastAsia="黑体"/>
                <w:b w:val="0"/>
                <w:i w:val="0"/>
                <w:color w:val="000000"/>
                <w:sz w:val="15"/>
              </w:rPr>
              <w:t>年</w:t>
            </w:r>
            <w:r>
              <w:rPr>
                <w:rFonts w:ascii="Arial" w:hAnsi="Arial" w:eastAsia="Arial"/>
                <w:b w:val="0"/>
                <w:i w:val="0"/>
                <w:color w:val="000000"/>
                <w:sz w:val="15"/>
              </w:rPr>
              <w:t>1</w:t>
            </w:r>
            <w:r>
              <w:rPr>
                <w:rFonts w:ascii="黑体" w:hAnsi="黑体" w:eastAsia="黑体"/>
                <w:b w:val="0"/>
                <w:i w:val="0"/>
                <w:color w:val="000000"/>
                <w:sz w:val="15"/>
              </w:rPr>
              <w:t>月</w:t>
            </w:r>
            <w:r>
              <w:rPr>
                <w:rFonts w:ascii="Arial" w:hAnsi="Arial" w:eastAsia="Arial"/>
                <w:b w:val="0"/>
                <w:i w:val="0"/>
                <w:color w:val="000000"/>
                <w:sz w:val="15"/>
              </w:rPr>
              <w:t>1</w:t>
            </w:r>
            <w:r>
              <w:rPr>
                <w:rFonts w:ascii="黑体" w:hAnsi="黑体" w:eastAsia="黑体"/>
                <w:b w:val="0"/>
                <w:i w:val="0"/>
                <w:color w:val="000000"/>
                <w:sz w:val="15"/>
              </w:rPr>
              <w:t>日</w:t>
            </w:r>
          </w:p>
        </w:tc>
        <w:tc>
          <w:tcPr>
            <w:tcW w:type="dxa" w:w="1334"/>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2" w:lineRule="exact" w:before="456" w:after="0"/>
              <w:ind w:left="0" w:right="140" w:firstLine="0"/>
              <w:jc w:val="right"/>
            </w:pPr>
            <w:r>
              <w:rPr>
                <w:rFonts w:ascii="黑体" w:hAnsi="黑体" w:eastAsia="黑体"/>
                <w:b w:val="0"/>
                <w:i w:val="0"/>
                <w:color w:val="000000"/>
                <w:sz w:val="15"/>
              </w:rPr>
              <w:t>本年发行</w:t>
            </w:r>
          </w:p>
        </w:tc>
        <w:tc>
          <w:tcPr>
            <w:tcW w:type="dxa" w:w="1330"/>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2" w:lineRule="exact" w:before="456" w:after="0"/>
              <w:ind w:left="0" w:right="138" w:firstLine="0"/>
              <w:jc w:val="right"/>
            </w:pPr>
            <w:r>
              <w:rPr>
                <w:rFonts w:ascii="黑体" w:hAnsi="黑体" w:eastAsia="黑体"/>
                <w:b w:val="0"/>
                <w:i w:val="0"/>
                <w:color w:val="000000"/>
                <w:sz w:val="15"/>
              </w:rPr>
              <w:t>本年兑付</w:t>
            </w:r>
          </w:p>
        </w:tc>
        <w:tc>
          <w:tcPr>
            <w:tcW w:type="dxa" w:w="1022"/>
            <w:tcBorders/>
            <w:tcMar>
              <w:start w:w="0" w:type="dxa"/>
              <w:end w:w="0" w:type="dxa"/>
            </w:tcMar>
          </w:tcPr>
          <w:p>
            <w:pPr>
              <w:autoSpaceDN w:val="0"/>
              <w:autoSpaceDE w:val="0"/>
              <w:widowControl/>
              <w:spacing w:line="170" w:lineRule="exact" w:before="60" w:after="0"/>
              <w:ind w:left="0" w:right="0"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c>
          <w:tcPr>
            <w:tcW w:type="dxa" w:w="1134"/>
            <w:tcBorders/>
            <w:tcMar>
              <w:start w:w="0" w:type="dxa"/>
              <w:end w:w="0" w:type="dxa"/>
            </w:tcMar>
          </w:tcPr>
          <w:p>
            <w:pPr>
              <w:autoSpaceDN w:val="0"/>
              <w:autoSpaceDE w:val="0"/>
              <w:widowControl/>
              <w:spacing w:line="170" w:lineRule="exact" w:before="60" w:after="0"/>
              <w:ind w:left="0" w:right="0"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r>
      <w:tr>
        <w:trPr>
          <w:trHeight w:hRule="exact" w:val="200"/>
        </w:trPr>
        <w:tc>
          <w:tcPr>
            <w:tcW w:type="dxa" w:w="1289"/>
            <w:vMerge/>
            <w:tcBorders>
              <w:bottom w:sz="4.0" w:val="single" w:color="#000000"/>
            </w:tcBorders>
          </w:tcPr>
          <w:p/>
        </w:tc>
        <w:tc>
          <w:tcPr>
            <w:tcW w:type="dxa" w:w="1289"/>
            <w:vMerge/>
            <w:tcBorders>
              <w:bottom w:sz="4.0" w:val="single" w:color="#000000"/>
            </w:tcBorders>
          </w:tcPr>
          <w:p/>
        </w:tc>
        <w:tc>
          <w:tcPr>
            <w:tcW w:type="dxa" w:w="1289"/>
            <w:vMerge/>
            <w:tcBorders/>
          </w:tcPr>
          <w:p/>
        </w:tc>
        <w:tc>
          <w:tcPr>
            <w:tcW w:type="dxa" w:w="1289"/>
            <w:vMerge/>
            <w:tcBorders>
              <w:bottom w:sz="4.0" w:val="single" w:color="#000000"/>
            </w:tcBorders>
          </w:tcPr>
          <w:p/>
        </w:tc>
        <w:tc>
          <w:tcPr>
            <w:tcW w:type="dxa" w:w="1289"/>
            <w:vMerge/>
            <w:tcBorders>
              <w:bottom w:sz="4.0" w:val="single" w:color="#000000"/>
            </w:tcBorders>
          </w:tcPr>
          <w:p/>
        </w:tc>
        <w:tc>
          <w:tcPr>
            <w:tcW w:type="dxa" w:w="1022"/>
            <w:tcBorders/>
            <w:tcMar>
              <w:start w:w="0" w:type="dxa"/>
              <w:end w:w="0" w:type="dxa"/>
            </w:tcMar>
          </w:tcPr>
          <w:p>
            <w:pPr>
              <w:autoSpaceDN w:val="0"/>
              <w:autoSpaceDE w:val="0"/>
              <w:widowControl/>
              <w:spacing w:line="170" w:lineRule="exact" w:before="22" w:after="0"/>
              <w:ind w:left="0" w:right="0"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c>
          <w:tcPr>
            <w:tcW w:type="dxa" w:w="1134"/>
            <w:tcBorders/>
            <w:tcMar>
              <w:start w:w="0" w:type="dxa"/>
              <w:end w:w="0" w:type="dxa"/>
            </w:tcMar>
          </w:tcPr>
          <w:p>
            <w:pPr>
              <w:autoSpaceDN w:val="0"/>
              <w:autoSpaceDE w:val="0"/>
              <w:widowControl/>
              <w:spacing w:line="170" w:lineRule="exact" w:before="22" w:after="0"/>
              <w:ind w:left="0" w:right="0"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r>
      <w:tr>
        <w:trPr>
          <w:trHeight w:hRule="exact" w:val="204"/>
        </w:trPr>
        <w:tc>
          <w:tcPr>
            <w:tcW w:type="dxa" w:w="1289"/>
            <w:vMerge/>
            <w:tcBorders>
              <w:bottom w:sz="4.0" w:val="single" w:color="#000000"/>
            </w:tcBorders>
          </w:tcPr>
          <w:p/>
        </w:tc>
        <w:tc>
          <w:tcPr>
            <w:tcW w:type="dxa" w:w="1289"/>
            <w:vMerge/>
            <w:tcBorders>
              <w:bottom w:sz="4.0" w:val="single" w:color="#000000"/>
            </w:tcBorders>
          </w:tcPr>
          <w:p/>
        </w:tc>
        <w:tc>
          <w:tcPr>
            <w:tcW w:type="dxa" w:w="1134"/>
            <w:tcBorders>
              <w:bottom w:sz="4.0" w:val="single" w:color="#000000"/>
            </w:tcBorders>
            <w:tcMar>
              <w:start w:w="0" w:type="dxa"/>
              <w:end w:w="0" w:type="dxa"/>
            </w:tcMar>
          </w:tcPr>
          <w:p>
            <w:pPr>
              <w:autoSpaceDN w:val="0"/>
              <w:autoSpaceDE w:val="0"/>
              <w:widowControl/>
              <w:spacing w:line="152" w:lineRule="exact" w:before="24" w:after="0"/>
              <w:ind w:left="0" w:right="0" w:firstLine="0"/>
              <w:jc w:val="right"/>
            </w:pPr>
            <w:r>
              <w:rPr>
                <w:rFonts w:ascii="黑体" w:hAnsi="黑体" w:eastAsia="黑体"/>
                <w:b w:val="0"/>
                <w:i w:val="0"/>
                <w:color w:val="000000"/>
                <w:sz w:val="15"/>
              </w:rPr>
              <w:t>未付本金</w:t>
            </w:r>
          </w:p>
        </w:tc>
        <w:tc>
          <w:tcPr>
            <w:tcW w:type="dxa" w:w="1289"/>
            <w:vMerge/>
            <w:tcBorders>
              <w:bottom w:sz="4.0" w:val="single" w:color="#000000"/>
            </w:tcBorders>
          </w:tcPr>
          <w:p/>
        </w:tc>
        <w:tc>
          <w:tcPr>
            <w:tcW w:type="dxa" w:w="1289"/>
            <w:vMerge/>
            <w:tcBorders>
              <w:bottom w:sz="4.0" w:val="single" w:color="#000000"/>
            </w:tcBorders>
          </w:tcPr>
          <w:p/>
        </w:tc>
        <w:tc>
          <w:tcPr>
            <w:tcW w:type="dxa" w:w="1022"/>
            <w:tcBorders>
              <w:bottom w:sz="4.0" w:val="single" w:color="#000000"/>
            </w:tcBorders>
            <w:tcMar>
              <w:start w:w="0" w:type="dxa"/>
              <w:end w:w="0" w:type="dxa"/>
            </w:tcMar>
          </w:tcPr>
          <w:p>
            <w:pPr>
              <w:autoSpaceDN w:val="0"/>
              <w:autoSpaceDE w:val="0"/>
              <w:widowControl/>
              <w:spacing w:line="152" w:lineRule="exact" w:before="24" w:after="0"/>
              <w:ind w:left="0" w:right="0" w:firstLine="0"/>
              <w:jc w:val="right"/>
            </w:pPr>
            <w:r>
              <w:rPr>
                <w:rFonts w:ascii="黑体" w:hAnsi="黑体" w:eastAsia="黑体"/>
                <w:b w:val="0"/>
                <w:i w:val="0"/>
                <w:color w:val="000000"/>
                <w:sz w:val="15"/>
              </w:rPr>
              <w:t>未付本金</w:t>
            </w:r>
          </w:p>
        </w:tc>
        <w:tc>
          <w:tcPr>
            <w:tcW w:type="dxa" w:w="1134"/>
            <w:tcBorders>
              <w:bottom w:sz="4.0" w:val="single" w:color="#000000"/>
            </w:tcBorders>
            <w:tcMar>
              <w:start w:w="0" w:type="dxa"/>
              <w:end w:w="0" w:type="dxa"/>
            </w:tcMar>
          </w:tcPr>
          <w:p>
            <w:pPr>
              <w:autoSpaceDN w:val="0"/>
              <w:autoSpaceDE w:val="0"/>
              <w:widowControl/>
              <w:spacing w:line="152" w:lineRule="exact" w:before="24" w:after="0"/>
              <w:ind w:left="0" w:right="0" w:firstLine="0"/>
              <w:jc w:val="right"/>
            </w:pPr>
            <w:r>
              <w:rPr>
                <w:rFonts w:ascii="黑体" w:hAnsi="黑体" w:eastAsia="黑体"/>
                <w:b w:val="0"/>
                <w:i w:val="0"/>
                <w:color w:val="000000"/>
                <w:sz w:val="15"/>
              </w:rPr>
              <w:t>应计利息</w:t>
            </w:r>
          </w:p>
        </w:tc>
      </w:tr>
      <w:tr>
        <w:trPr>
          <w:trHeight w:hRule="exact" w:val="456"/>
        </w:trPr>
        <w:tc>
          <w:tcPr>
            <w:tcW w:type="dxa" w:w="1558"/>
            <w:vMerge w:val="restart"/>
            <w:tcBorders>
              <w:top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196" w:after="0"/>
              <w:ind w:left="198" w:right="0" w:firstLine="0"/>
              <w:jc w:val="left"/>
            </w:pPr>
            <w:r>
              <w:rPr>
                <w:rFonts w:ascii="黑体" w:hAnsi="黑体" w:eastAsia="黑体"/>
                <w:b w:val="0"/>
                <w:i w:val="0"/>
                <w:color w:val="000000"/>
                <w:sz w:val="15"/>
              </w:rPr>
              <w:t>收益凭证</w:t>
            </w:r>
          </w:p>
        </w:tc>
        <w:tc>
          <w:tcPr>
            <w:tcW w:type="dxa" w:w="1022"/>
            <w:tcBorders>
              <w:top w:sz="4.0" w:val="single" w:color="#000000"/>
            </w:tcBorders>
            <w:tcMar>
              <w:start w:w="0" w:type="dxa"/>
              <w:end w:w="0" w:type="dxa"/>
            </w:tcMar>
          </w:tcPr>
          <w:p>
            <w:pPr>
              <w:autoSpaceDN w:val="0"/>
              <w:autoSpaceDE w:val="0"/>
              <w:widowControl/>
              <w:spacing w:line="197" w:lineRule="auto" w:before="212" w:after="0"/>
              <w:ind w:left="228" w:right="0" w:firstLine="0"/>
              <w:jc w:val="left"/>
            </w:pPr>
            <w:r>
              <w:rPr>
                <w:rFonts w:ascii="Calibri" w:hAnsi="Calibri" w:eastAsia="Calibri"/>
                <w:b w:val="0"/>
                <w:i w:val="0"/>
                <w:color w:val="000000"/>
                <w:sz w:val="15"/>
              </w:rPr>
              <w:t>2.70%-2.75%</w:t>
            </w:r>
          </w:p>
        </w:tc>
        <w:tc>
          <w:tcPr>
            <w:tcW w:type="dxa" w:w="1134"/>
            <w:tcBorders>
              <w:top w:sz="4.0" w:val="single" w:color="#000000"/>
            </w:tcBorders>
            <w:tcMar>
              <w:start w:w="0" w:type="dxa"/>
              <w:end w:w="0" w:type="dxa"/>
            </w:tcMar>
          </w:tcPr>
          <w:p>
            <w:pPr>
              <w:autoSpaceDN w:val="0"/>
              <w:autoSpaceDE w:val="0"/>
              <w:widowControl/>
              <w:spacing w:line="197" w:lineRule="auto" w:before="212" w:after="0"/>
              <w:ind w:left="0" w:right="0" w:firstLine="0"/>
              <w:jc w:val="right"/>
            </w:pPr>
            <w:r>
              <w:rPr>
                <w:rFonts w:ascii="Calibri" w:hAnsi="Calibri" w:eastAsia="Calibri"/>
                <w:b w:val="0"/>
                <w:i w:val="0"/>
                <w:color w:val="000000"/>
                <w:sz w:val="15"/>
              </w:rPr>
              <w:t>826,330,000</w:t>
            </w:r>
          </w:p>
        </w:tc>
        <w:tc>
          <w:tcPr>
            <w:tcW w:type="dxa" w:w="1334"/>
            <w:tcBorders>
              <w:top w:sz="4.0" w:val="single" w:color="#000000"/>
            </w:tcBorders>
            <w:tcMar>
              <w:start w:w="0" w:type="dxa"/>
              <w:end w:w="0" w:type="dxa"/>
            </w:tcMar>
          </w:tcPr>
          <w:p>
            <w:pPr>
              <w:autoSpaceDN w:val="0"/>
              <w:autoSpaceDE w:val="0"/>
              <w:widowControl/>
              <w:spacing w:line="197" w:lineRule="auto" w:before="212" w:after="0"/>
              <w:ind w:left="318" w:right="0" w:firstLine="0"/>
              <w:jc w:val="left"/>
            </w:pPr>
            <w:r>
              <w:rPr>
                <w:rFonts w:ascii="Calibri" w:hAnsi="Calibri" w:eastAsia="Calibri"/>
                <w:b w:val="0"/>
                <w:i w:val="0"/>
                <w:color w:val="000000"/>
                <w:sz w:val="15"/>
              </w:rPr>
              <w:t xml:space="preserve">1,000,000,000 </w:t>
            </w:r>
          </w:p>
        </w:tc>
        <w:tc>
          <w:tcPr>
            <w:tcW w:type="dxa" w:w="1330"/>
            <w:tcBorders>
              <w:top w:sz="4.0" w:val="single" w:color="#000000"/>
            </w:tcBorders>
            <w:tcMar>
              <w:start w:w="0" w:type="dxa"/>
              <w:end w:w="0" w:type="dxa"/>
            </w:tcMar>
          </w:tcPr>
          <w:p>
            <w:pPr>
              <w:autoSpaceDN w:val="0"/>
              <w:autoSpaceDE w:val="0"/>
              <w:widowControl/>
              <w:spacing w:line="197" w:lineRule="auto" w:before="212" w:after="0"/>
              <w:ind w:left="270" w:right="0" w:firstLine="0"/>
              <w:jc w:val="left"/>
            </w:pPr>
            <w:r>
              <w:rPr>
                <w:rFonts w:ascii="Calibri" w:hAnsi="Calibri" w:eastAsia="Calibri"/>
                <w:b w:val="0"/>
                <w:i w:val="0"/>
                <w:color w:val="000000"/>
                <w:sz w:val="15"/>
              </w:rPr>
              <w:t xml:space="preserve">(1,826,330,000) </w:t>
            </w:r>
          </w:p>
        </w:tc>
        <w:tc>
          <w:tcPr>
            <w:tcW w:type="dxa" w:w="1022"/>
            <w:tcBorders>
              <w:top w:sz="4.0" w:val="single" w:color="#000000"/>
            </w:tcBorders>
            <w:tcMar>
              <w:start w:w="0" w:type="dxa"/>
              <w:end w:w="0" w:type="dxa"/>
            </w:tcMar>
          </w:tcPr>
          <w:p>
            <w:pPr>
              <w:autoSpaceDN w:val="0"/>
              <w:autoSpaceDE w:val="0"/>
              <w:widowControl/>
              <w:spacing w:line="197" w:lineRule="auto" w:before="212" w:after="0"/>
              <w:ind w:left="0" w:right="0" w:firstLine="0"/>
              <w:jc w:val="right"/>
            </w:pPr>
            <w:r>
              <w:rPr>
                <w:rFonts w:ascii="Calibri" w:hAnsi="Calibri" w:eastAsia="Calibri"/>
                <w:b w:val="0"/>
                <w:i w:val="0"/>
                <w:color w:val="000000"/>
                <w:sz w:val="15"/>
              </w:rPr>
              <w:t>-</w:t>
            </w:r>
          </w:p>
        </w:tc>
        <w:tc>
          <w:tcPr>
            <w:tcW w:type="dxa" w:w="1134"/>
            <w:tcBorders>
              <w:top w:sz="4.0" w:val="single" w:color="#000000"/>
            </w:tcBorders>
            <w:tcMar>
              <w:start w:w="0" w:type="dxa"/>
              <w:end w:w="0" w:type="dxa"/>
            </w:tcMar>
          </w:tcPr>
          <w:p>
            <w:pPr>
              <w:autoSpaceDN w:val="0"/>
              <w:autoSpaceDE w:val="0"/>
              <w:widowControl/>
              <w:spacing w:line="197" w:lineRule="auto" w:before="212" w:after="0"/>
              <w:ind w:left="0" w:right="0" w:firstLine="0"/>
              <w:jc w:val="right"/>
            </w:pPr>
            <w:r>
              <w:rPr>
                <w:rFonts w:ascii="Calibri" w:hAnsi="Calibri" w:eastAsia="Calibri"/>
                <w:b w:val="0"/>
                <w:i w:val="0"/>
                <w:color w:val="000000"/>
                <w:sz w:val="15"/>
              </w:rPr>
              <w:t>-</w:t>
            </w:r>
          </w:p>
        </w:tc>
      </w:tr>
      <w:tr>
        <w:trPr>
          <w:trHeight w:hRule="exact" w:val="296"/>
        </w:trPr>
        <w:tc>
          <w:tcPr>
            <w:tcW w:type="dxa" w:w="1289"/>
            <w:vMerge/>
            <w:tcBorders>
              <w:top w:sz="4.0" w:val="single" w:color="#000000"/>
              <w:bottom w:sz="4.0" w:val="single" w:color="#000000"/>
            </w:tcBorders>
          </w:tcPr>
          <w:p/>
        </w:tc>
        <w:tc>
          <w:tcPr>
            <w:tcW w:type="dxa" w:w="1022"/>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510" w:after="0"/>
              <w:ind w:left="0" w:right="6" w:firstLine="0"/>
              <w:jc w:val="right"/>
            </w:pPr>
            <w:r>
              <w:rPr>
                <w:rFonts w:ascii="黑体" w:hAnsi="黑体" w:eastAsia="黑体"/>
                <w:b w:val="0"/>
                <w:i w:val="0"/>
                <w:color w:val="000000"/>
                <w:sz w:val="15"/>
              </w:rPr>
              <w:t>固定收益率</w:t>
            </w:r>
          </w:p>
        </w:tc>
        <w:tc>
          <w:tcPr>
            <w:tcW w:type="dxa" w:w="1134"/>
            <w:tcBorders/>
            <w:tcMar>
              <w:start w:w="0" w:type="dxa"/>
              <w:end w:w="0" w:type="dxa"/>
            </w:tcMar>
          </w:tcPr>
          <w:p>
            <w:pPr>
              <w:autoSpaceDN w:val="0"/>
              <w:autoSpaceDE w:val="0"/>
              <w:widowControl/>
              <w:spacing w:line="168" w:lineRule="exact" w:before="114" w:after="0"/>
              <w:ind w:left="0" w:right="2" w:firstLine="0"/>
              <w:jc w:val="right"/>
            </w:pPr>
            <w:r>
              <w:rPr>
                <w:rFonts w:ascii="Arial" w:hAnsi="Arial" w:eastAsia="Arial"/>
                <w:b w:val="0"/>
                <w:i w:val="0"/>
                <w:color w:val="000000"/>
                <w:sz w:val="15"/>
              </w:rPr>
              <w:t>2023</w:t>
            </w:r>
            <w:r>
              <w:rPr>
                <w:rFonts w:ascii="黑体" w:hAnsi="黑体" w:eastAsia="黑体"/>
                <w:b w:val="0"/>
                <w:i w:val="0"/>
                <w:color w:val="000000"/>
                <w:sz w:val="15"/>
              </w:rPr>
              <w:t>年</w:t>
            </w:r>
          </w:p>
        </w:tc>
        <w:tc>
          <w:tcPr>
            <w:tcW w:type="dxa" w:w="1334"/>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510" w:after="0"/>
              <w:ind w:left="0" w:right="140" w:firstLine="0"/>
              <w:jc w:val="right"/>
            </w:pPr>
            <w:r>
              <w:rPr>
                <w:rFonts w:ascii="黑体" w:hAnsi="黑体" w:eastAsia="黑体"/>
                <w:b w:val="0"/>
                <w:i w:val="0"/>
                <w:color w:val="000000"/>
                <w:sz w:val="15"/>
              </w:rPr>
              <w:t>本年发行</w:t>
            </w:r>
          </w:p>
        </w:tc>
        <w:tc>
          <w:tcPr>
            <w:tcW w:type="dxa" w:w="1330"/>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510" w:after="0"/>
              <w:ind w:left="0" w:right="140" w:firstLine="0"/>
              <w:jc w:val="right"/>
            </w:pPr>
            <w:r>
              <w:rPr>
                <w:rFonts w:ascii="黑体" w:hAnsi="黑体" w:eastAsia="黑体"/>
                <w:b w:val="0"/>
                <w:i w:val="0"/>
                <w:color w:val="000000"/>
                <w:sz w:val="15"/>
              </w:rPr>
              <w:t>本年兑付</w:t>
            </w:r>
          </w:p>
        </w:tc>
        <w:tc>
          <w:tcPr>
            <w:tcW w:type="dxa" w:w="1022"/>
            <w:tcBorders/>
            <w:tcMar>
              <w:start w:w="0" w:type="dxa"/>
              <w:end w:w="0" w:type="dxa"/>
            </w:tcMar>
          </w:tcPr>
          <w:p>
            <w:pPr>
              <w:autoSpaceDN w:val="0"/>
              <w:autoSpaceDE w:val="0"/>
              <w:widowControl/>
              <w:spacing w:line="168" w:lineRule="exact" w:before="114" w:after="0"/>
              <w:ind w:left="0" w:right="0" w:firstLine="0"/>
              <w:jc w:val="right"/>
            </w:pPr>
            <w:r>
              <w:rPr>
                <w:rFonts w:ascii="Arial" w:hAnsi="Arial" w:eastAsia="Arial"/>
                <w:b w:val="0"/>
                <w:i w:val="0"/>
                <w:color w:val="000000"/>
                <w:sz w:val="15"/>
              </w:rPr>
              <w:t>2023</w:t>
            </w:r>
            <w:r>
              <w:rPr>
                <w:rFonts w:ascii="黑体" w:hAnsi="黑体" w:eastAsia="黑体"/>
                <w:b w:val="0"/>
                <w:i w:val="0"/>
                <w:color w:val="000000"/>
                <w:sz w:val="15"/>
              </w:rPr>
              <w:t>年</w:t>
            </w:r>
          </w:p>
        </w:tc>
        <w:tc>
          <w:tcPr>
            <w:tcW w:type="dxa" w:w="1134"/>
            <w:tcBorders/>
            <w:tcMar>
              <w:start w:w="0" w:type="dxa"/>
              <w:end w:w="0" w:type="dxa"/>
            </w:tcMar>
          </w:tcPr>
          <w:p>
            <w:pPr>
              <w:autoSpaceDN w:val="0"/>
              <w:autoSpaceDE w:val="0"/>
              <w:widowControl/>
              <w:spacing w:line="168" w:lineRule="exact" w:before="114" w:after="0"/>
              <w:ind w:left="0" w:right="2" w:firstLine="0"/>
              <w:jc w:val="right"/>
            </w:pPr>
            <w:r>
              <w:rPr>
                <w:rFonts w:ascii="Arial" w:hAnsi="Arial" w:eastAsia="Arial"/>
                <w:b w:val="0"/>
                <w:i w:val="0"/>
                <w:color w:val="000000"/>
                <w:sz w:val="15"/>
              </w:rPr>
              <w:t>2023</w:t>
            </w:r>
            <w:r>
              <w:rPr>
                <w:rFonts w:ascii="黑体" w:hAnsi="黑体" w:eastAsia="黑体"/>
                <w:b w:val="0"/>
                <w:i w:val="0"/>
                <w:color w:val="000000"/>
                <w:sz w:val="15"/>
              </w:rPr>
              <w:t>年</w:t>
            </w:r>
          </w:p>
        </w:tc>
      </w:tr>
      <w:tr>
        <w:trPr>
          <w:trHeight w:hRule="exact" w:val="196"/>
        </w:trPr>
        <w:tc>
          <w:tcPr>
            <w:tcW w:type="dxa" w:w="1289"/>
            <w:vMerge/>
            <w:tcBorders>
              <w:top w:sz="4.0" w:val="single" w:color="#000000"/>
              <w:bottom w:sz="4.0" w:val="single" w:color="#000000"/>
            </w:tcBorders>
          </w:tcPr>
          <w:p/>
        </w:tc>
        <w:tc>
          <w:tcPr>
            <w:tcW w:type="dxa" w:w="1289"/>
            <w:vMerge/>
            <w:tcBorders>
              <w:bottom w:sz="4.0" w:val="single" w:color="#000000"/>
            </w:tcBorders>
          </w:tcPr>
          <w:p/>
        </w:tc>
        <w:tc>
          <w:tcPr>
            <w:tcW w:type="dxa" w:w="1134"/>
            <w:tcBorders/>
            <w:tcMar>
              <w:start w:w="0" w:type="dxa"/>
              <w:end w:w="0" w:type="dxa"/>
            </w:tcMar>
          </w:tcPr>
          <w:p>
            <w:pPr>
              <w:autoSpaceDN w:val="0"/>
              <w:autoSpaceDE w:val="0"/>
              <w:widowControl/>
              <w:spacing w:line="168" w:lineRule="exact" w:before="12" w:after="0"/>
              <w:ind w:left="0" w:right="2" w:firstLine="0"/>
              <w:jc w:val="right"/>
            </w:pPr>
            <w:r>
              <w:rPr>
                <w:rFonts w:ascii="Arial" w:hAnsi="Arial" w:eastAsia="Arial"/>
                <w:b w:val="0"/>
                <w:i w:val="0"/>
                <w:color w:val="000000"/>
                <w:sz w:val="15"/>
              </w:rPr>
              <w:t>1</w:t>
            </w:r>
            <w:r>
              <w:rPr>
                <w:rFonts w:ascii="黑体" w:hAnsi="黑体" w:eastAsia="黑体"/>
                <w:b w:val="0"/>
                <w:i w:val="0"/>
                <w:color w:val="000000"/>
                <w:sz w:val="15"/>
              </w:rPr>
              <w:t>月</w:t>
            </w:r>
            <w:r>
              <w:rPr>
                <w:rFonts w:ascii="Arial" w:hAnsi="Arial" w:eastAsia="Arial"/>
                <w:b w:val="0"/>
                <w:i w:val="0"/>
                <w:color w:val="000000"/>
                <w:sz w:val="15"/>
              </w:rPr>
              <w:t>1</w:t>
            </w:r>
            <w:r>
              <w:rPr>
                <w:rFonts w:ascii="黑体" w:hAnsi="黑体" w:eastAsia="黑体"/>
                <w:b w:val="0"/>
                <w:i w:val="0"/>
                <w:color w:val="000000"/>
                <w:sz w:val="15"/>
              </w:rPr>
              <w:t>日</w:t>
            </w:r>
          </w:p>
        </w:tc>
        <w:tc>
          <w:tcPr>
            <w:tcW w:type="dxa" w:w="1289"/>
            <w:vMerge/>
            <w:tcBorders>
              <w:bottom w:sz="4.0" w:val="single" w:color="#000000"/>
            </w:tcBorders>
          </w:tcPr>
          <w:p/>
        </w:tc>
        <w:tc>
          <w:tcPr>
            <w:tcW w:type="dxa" w:w="1289"/>
            <w:vMerge/>
            <w:tcBorders>
              <w:bottom w:sz="4.0" w:val="single" w:color="#000000"/>
            </w:tcBorders>
          </w:tcPr>
          <w:p/>
        </w:tc>
        <w:tc>
          <w:tcPr>
            <w:tcW w:type="dxa" w:w="1022"/>
            <w:tcBorders/>
            <w:tcMar>
              <w:start w:w="0" w:type="dxa"/>
              <w:end w:w="0" w:type="dxa"/>
            </w:tcMar>
          </w:tcPr>
          <w:p>
            <w:pPr>
              <w:autoSpaceDN w:val="0"/>
              <w:autoSpaceDE w:val="0"/>
              <w:widowControl/>
              <w:spacing w:line="168" w:lineRule="exact" w:before="12" w:after="0"/>
              <w:ind w:left="0" w:right="0"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c>
          <w:tcPr>
            <w:tcW w:type="dxa" w:w="1134"/>
            <w:tcBorders/>
            <w:tcMar>
              <w:start w:w="0" w:type="dxa"/>
              <w:end w:w="0" w:type="dxa"/>
            </w:tcMar>
          </w:tcPr>
          <w:p>
            <w:pPr>
              <w:autoSpaceDN w:val="0"/>
              <w:autoSpaceDE w:val="0"/>
              <w:widowControl/>
              <w:spacing w:line="168" w:lineRule="exact" w:before="12" w:after="0"/>
              <w:ind w:left="0" w:right="0"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r>
      <w:tr>
        <w:trPr>
          <w:trHeight w:hRule="exact" w:val="196"/>
        </w:trPr>
        <w:tc>
          <w:tcPr>
            <w:tcW w:type="dxa" w:w="1289"/>
            <w:vMerge/>
            <w:tcBorders>
              <w:top w:sz="4.0" w:val="single" w:color="#000000"/>
              <w:bottom w:sz="4.0" w:val="single" w:color="#000000"/>
            </w:tcBorders>
          </w:tcPr>
          <w:p/>
        </w:tc>
        <w:tc>
          <w:tcPr>
            <w:tcW w:type="dxa" w:w="1289"/>
            <w:vMerge/>
            <w:tcBorders>
              <w:bottom w:sz="4.0" w:val="single" w:color="#000000"/>
            </w:tcBorders>
          </w:tcPr>
          <w:p/>
        </w:tc>
        <w:tc>
          <w:tcPr>
            <w:tcW w:type="dxa" w:w="1134"/>
            <w:tcBorders>
              <w:bottom w:sz="4.0" w:val="single" w:color="#000000"/>
            </w:tcBorders>
            <w:tcMar>
              <w:start w:w="0" w:type="dxa"/>
              <w:end w:w="0" w:type="dxa"/>
            </w:tcMar>
          </w:tcPr>
          <w:p>
            <w:pPr>
              <w:autoSpaceDN w:val="0"/>
              <w:autoSpaceDE w:val="0"/>
              <w:widowControl/>
              <w:spacing w:line="150" w:lineRule="exact" w:before="18" w:after="0"/>
              <w:ind w:left="0" w:right="0" w:firstLine="0"/>
              <w:jc w:val="right"/>
            </w:pPr>
            <w:r>
              <w:rPr>
                <w:rFonts w:ascii="黑体" w:hAnsi="黑体" w:eastAsia="黑体"/>
                <w:b w:val="0"/>
                <w:i w:val="0"/>
                <w:color w:val="000000"/>
                <w:sz w:val="15"/>
              </w:rPr>
              <w:t>未付本金</w:t>
            </w:r>
          </w:p>
        </w:tc>
        <w:tc>
          <w:tcPr>
            <w:tcW w:type="dxa" w:w="1289"/>
            <w:vMerge/>
            <w:tcBorders>
              <w:bottom w:sz="4.0" w:val="single" w:color="#000000"/>
            </w:tcBorders>
          </w:tcPr>
          <w:p/>
        </w:tc>
        <w:tc>
          <w:tcPr>
            <w:tcW w:type="dxa" w:w="1289"/>
            <w:vMerge/>
            <w:tcBorders>
              <w:bottom w:sz="4.0" w:val="single" w:color="#000000"/>
            </w:tcBorders>
          </w:tcPr>
          <w:p/>
        </w:tc>
        <w:tc>
          <w:tcPr>
            <w:tcW w:type="dxa" w:w="1022"/>
            <w:tcBorders>
              <w:bottom w:sz="4.0" w:val="single" w:color="#000000"/>
            </w:tcBorders>
            <w:tcMar>
              <w:start w:w="0" w:type="dxa"/>
              <w:end w:w="0" w:type="dxa"/>
            </w:tcMar>
          </w:tcPr>
          <w:p>
            <w:pPr>
              <w:autoSpaceDN w:val="0"/>
              <w:autoSpaceDE w:val="0"/>
              <w:widowControl/>
              <w:spacing w:line="150" w:lineRule="exact" w:before="18" w:after="0"/>
              <w:ind w:left="0" w:right="0" w:firstLine="0"/>
              <w:jc w:val="right"/>
            </w:pPr>
            <w:r>
              <w:rPr>
                <w:rFonts w:ascii="黑体" w:hAnsi="黑体" w:eastAsia="黑体"/>
                <w:b w:val="0"/>
                <w:i w:val="0"/>
                <w:color w:val="000000"/>
                <w:sz w:val="15"/>
              </w:rPr>
              <w:t>未付本金</w:t>
            </w:r>
          </w:p>
        </w:tc>
        <w:tc>
          <w:tcPr>
            <w:tcW w:type="dxa" w:w="1134"/>
            <w:tcBorders>
              <w:bottom w:sz="4.0" w:val="single" w:color="#000000"/>
            </w:tcBorders>
            <w:tcMar>
              <w:start w:w="0" w:type="dxa"/>
              <w:end w:w="0" w:type="dxa"/>
            </w:tcMar>
          </w:tcPr>
          <w:p>
            <w:pPr>
              <w:autoSpaceDN w:val="0"/>
              <w:autoSpaceDE w:val="0"/>
              <w:widowControl/>
              <w:spacing w:line="150" w:lineRule="exact" w:before="18" w:after="0"/>
              <w:ind w:left="0" w:right="0" w:firstLine="0"/>
              <w:jc w:val="right"/>
            </w:pPr>
            <w:r>
              <w:rPr>
                <w:rFonts w:ascii="黑体" w:hAnsi="黑体" w:eastAsia="黑体"/>
                <w:b w:val="0"/>
                <w:i w:val="0"/>
                <w:color w:val="000000"/>
                <w:sz w:val="15"/>
              </w:rPr>
              <w:t>应计利息</w:t>
            </w:r>
          </w:p>
        </w:tc>
      </w:tr>
      <w:tr>
        <w:trPr>
          <w:trHeight w:hRule="exact" w:val="428"/>
        </w:trPr>
        <w:tc>
          <w:tcPr>
            <w:tcW w:type="dxa" w:w="1558"/>
            <w:tcBorders>
              <w:top w:sz="4.0" w:val="single" w:color="#000000"/>
            </w:tcBorders>
            <w:tcMar>
              <w:start w:w="0" w:type="dxa"/>
              <w:end w:w="0" w:type="dxa"/>
            </w:tcMar>
          </w:tcPr>
          <w:p>
            <w:pPr>
              <w:autoSpaceDN w:val="0"/>
              <w:autoSpaceDE w:val="0"/>
              <w:widowControl/>
              <w:spacing w:line="152" w:lineRule="exact" w:before="194" w:after="0"/>
              <w:ind w:left="198" w:right="0" w:firstLine="0"/>
              <w:jc w:val="left"/>
            </w:pPr>
            <w:r>
              <w:rPr>
                <w:rFonts w:ascii="黑体" w:hAnsi="黑体" w:eastAsia="黑体"/>
                <w:b w:val="0"/>
                <w:i w:val="0"/>
                <w:color w:val="000000"/>
                <w:sz w:val="15"/>
              </w:rPr>
              <w:t>收益凭证</w:t>
            </w:r>
          </w:p>
        </w:tc>
        <w:tc>
          <w:tcPr>
            <w:tcW w:type="dxa" w:w="1022"/>
            <w:tcBorders>
              <w:top w:sz="4.0" w:val="single" w:color="#000000"/>
            </w:tcBorders>
            <w:tcMar>
              <w:start w:w="0" w:type="dxa"/>
              <w:end w:w="0" w:type="dxa"/>
            </w:tcMar>
          </w:tcPr>
          <w:p>
            <w:pPr>
              <w:autoSpaceDN w:val="0"/>
              <w:autoSpaceDE w:val="0"/>
              <w:widowControl/>
              <w:spacing w:line="197" w:lineRule="auto" w:before="212" w:after="0"/>
              <w:ind w:left="228" w:right="0" w:firstLine="0"/>
              <w:jc w:val="left"/>
            </w:pPr>
            <w:r>
              <w:rPr>
                <w:rFonts w:ascii="Calibri" w:hAnsi="Calibri" w:eastAsia="Calibri"/>
                <w:b w:val="0"/>
                <w:i w:val="0"/>
                <w:color w:val="000000"/>
                <w:sz w:val="15"/>
              </w:rPr>
              <w:t>2.50%-3.05%</w:t>
            </w:r>
          </w:p>
        </w:tc>
        <w:tc>
          <w:tcPr>
            <w:tcW w:type="dxa" w:w="1134"/>
            <w:tcBorders>
              <w:top w:sz="4.0" w:val="single" w:color="#000000"/>
            </w:tcBorders>
            <w:tcMar>
              <w:start w:w="0" w:type="dxa"/>
              <w:end w:w="0" w:type="dxa"/>
            </w:tcMar>
          </w:tcPr>
          <w:p>
            <w:pPr>
              <w:autoSpaceDN w:val="0"/>
              <w:autoSpaceDE w:val="0"/>
              <w:widowControl/>
              <w:spacing w:line="197" w:lineRule="auto" w:before="212" w:after="0"/>
              <w:ind w:left="258" w:right="0" w:firstLine="0"/>
              <w:jc w:val="left"/>
            </w:pPr>
            <w:r>
              <w:rPr>
                <w:rFonts w:ascii="Calibri" w:hAnsi="Calibri" w:eastAsia="Calibri"/>
                <w:b w:val="0"/>
                <w:i w:val="0"/>
                <w:color w:val="000000"/>
                <w:sz w:val="15"/>
              </w:rPr>
              <w:t>1,722,540,000</w:t>
            </w:r>
          </w:p>
        </w:tc>
        <w:tc>
          <w:tcPr>
            <w:tcW w:type="dxa" w:w="1334"/>
            <w:tcBorders>
              <w:top w:sz="4.0" w:val="single" w:color="#000000"/>
            </w:tcBorders>
            <w:tcMar>
              <w:start w:w="0" w:type="dxa"/>
              <w:end w:w="0" w:type="dxa"/>
            </w:tcMar>
          </w:tcPr>
          <w:p>
            <w:pPr>
              <w:autoSpaceDN w:val="0"/>
              <w:autoSpaceDE w:val="0"/>
              <w:widowControl/>
              <w:spacing w:line="197" w:lineRule="auto" w:before="212" w:after="0"/>
              <w:ind w:left="318" w:right="0" w:firstLine="0"/>
              <w:jc w:val="left"/>
            </w:pPr>
            <w:r>
              <w:rPr>
                <w:rFonts w:ascii="Calibri" w:hAnsi="Calibri" w:eastAsia="Calibri"/>
                <w:b w:val="0"/>
                <w:i w:val="0"/>
                <w:color w:val="000000"/>
                <w:sz w:val="15"/>
              </w:rPr>
              <w:t xml:space="preserve">1,446,330,000 </w:t>
            </w:r>
          </w:p>
        </w:tc>
        <w:tc>
          <w:tcPr>
            <w:tcW w:type="dxa" w:w="1330"/>
            <w:tcBorders>
              <w:top w:sz="4.0" w:val="single" w:color="#000000"/>
            </w:tcBorders>
            <w:tcMar>
              <w:start w:w="0" w:type="dxa"/>
              <w:end w:w="0" w:type="dxa"/>
            </w:tcMar>
          </w:tcPr>
          <w:p>
            <w:pPr>
              <w:autoSpaceDN w:val="0"/>
              <w:autoSpaceDE w:val="0"/>
              <w:widowControl/>
              <w:spacing w:line="197" w:lineRule="auto" w:before="212" w:after="0"/>
              <w:ind w:left="268" w:right="0" w:firstLine="0"/>
              <w:jc w:val="left"/>
            </w:pPr>
            <w:r>
              <w:rPr>
                <w:rFonts w:ascii="Calibri" w:hAnsi="Calibri" w:eastAsia="Calibri"/>
                <w:b w:val="0"/>
                <w:i w:val="0"/>
                <w:color w:val="000000"/>
                <w:sz w:val="15"/>
              </w:rPr>
              <w:t xml:space="preserve">(2,342,540,000 ) </w:t>
            </w:r>
          </w:p>
        </w:tc>
        <w:tc>
          <w:tcPr>
            <w:tcW w:type="dxa" w:w="1022"/>
            <w:tcBorders>
              <w:top w:sz="4.0" w:val="single" w:color="#000000"/>
            </w:tcBorders>
            <w:tcMar>
              <w:start w:w="0" w:type="dxa"/>
              <w:end w:w="0" w:type="dxa"/>
            </w:tcMar>
          </w:tcPr>
          <w:p>
            <w:pPr>
              <w:autoSpaceDN w:val="0"/>
              <w:autoSpaceDE w:val="0"/>
              <w:widowControl/>
              <w:spacing w:line="197" w:lineRule="auto" w:before="212" w:after="0"/>
              <w:ind w:left="0" w:right="0" w:firstLine="0"/>
              <w:jc w:val="right"/>
            </w:pPr>
            <w:r>
              <w:rPr>
                <w:rFonts w:ascii="Calibri" w:hAnsi="Calibri" w:eastAsia="Calibri"/>
                <w:b w:val="0"/>
                <w:i w:val="0"/>
                <w:color w:val="000000"/>
                <w:sz w:val="15"/>
              </w:rPr>
              <w:t>826,330,000</w:t>
            </w:r>
          </w:p>
        </w:tc>
        <w:tc>
          <w:tcPr>
            <w:tcW w:type="dxa" w:w="1134"/>
            <w:tcBorders>
              <w:top w:sz="4.0" w:val="single" w:color="#000000"/>
            </w:tcBorders>
            <w:tcMar>
              <w:start w:w="0" w:type="dxa"/>
              <w:end w:w="0" w:type="dxa"/>
            </w:tcMar>
          </w:tcPr>
          <w:p>
            <w:pPr>
              <w:autoSpaceDN w:val="0"/>
              <w:autoSpaceDE w:val="0"/>
              <w:widowControl/>
              <w:spacing w:line="197" w:lineRule="auto" w:before="212" w:after="0"/>
              <w:ind w:left="0" w:right="0" w:firstLine="0"/>
              <w:jc w:val="right"/>
            </w:pPr>
            <w:r>
              <w:rPr>
                <w:rFonts w:ascii="Calibri" w:hAnsi="Calibri" w:eastAsia="Calibri"/>
                <w:b w:val="0"/>
                <w:i w:val="0"/>
                <w:color w:val="000000"/>
                <w:sz w:val="15"/>
              </w:rPr>
              <w:t>10,878,563</w:t>
            </w:r>
          </w:p>
        </w:tc>
      </w:tr>
    </w:tbl>
    <w:p>
      <w:pPr>
        <w:autoSpaceDN w:val="0"/>
        <w:autoSpaceDE w:val="0"/>
        <w:widowControl/>
        <w:spacing w:line="246" w:lineRule="exact" w:before="468" w:after="228"/>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应付短期公司债券</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22"/>
        </w:trPr>
        <w:tc>
          <w:tcPr>
            <w:tcW w:type="dxa" w:w="1558"/>
            <w:vMerge w:val="restart"/>
            <w:tcBorders>
              <w:bottom w:sz="4.0" w:val="single" w:color="#000000"/>
            </w:tcBorders>
            <w:tcMar>
              <w:start w:w="0" w:type="dxa"/>
              <w:end w:w="0" w:type="dxa"/>
            </w:tcMar>
            <w:tcMar>
              <w:start w:w="0" w:type="dxa"/>
              <w:end w:w="0" w:type="dxa"/>
            </w:tcMar>
            <w:tcMar>
              <w:start w:w="0" w:type="dxa"/>
              <w:end w:w="0" w:type="dxa"/>
            </w:tcMar>
          </w:tcPr>
          <w:p/>
        </w:tc>
        <w:tc>
          <w:tcPr>
            <w:tcW w:type="dxa" w:w="1022"/>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456" w:after="0"/>
              <w:ind w:left="0" w:right="6" w:firstLine="0"/>
              <w:jc w:val="right"/>
            </w:pPr>
            <w:r>
              <w:rPr>
                <w:rFonts w:ascii="黑体" w:hAnsi="黑体" w:eastAsia="黑体"/>
                <w:b w:val="0"/>
                <w:i w:val="0"/>
                <w:color w:val="000000"/>
                <w:sz w:val="15"/>
              </w:rPr>
              <w:t>票面利率</w:t>
            </w:r>
          </w:p>
        </w:tc>
        <w:tc>
          <w:tcPr>
            <w:tcW w:type="dxa" w:w="1134"/>
            <w:vMerge w:val="restart"/>
            <w:tcBorders/>
            <w:tcMar>
              <w:start w:w="0" w:type="dxa"/>
              <w:end w:w="0" w:type="dxa"/>
            </w:tcMar>
            <w:tcMar>
              <w:start w:w="0" w:type="dxa"/>
              <w:end w:w="0" w:type="dxa"/>
            </w:tcMar>
          </w:tcPr>
          <w:p>
            <w:pPr>
              <w:autoSpaceDN w:val="0"/>
              <w:autoSpaceDE w:val="0"/>
              <w:widowControl/>
              <w:spacing w:line="168" w:lineRule="exact" w:before="254" w:after="0"/>
              <w:ind w:left="182" w:right="0" w:firstLine="0"/>
              <w:jc w:val="left"/>
            </w:pPr>
            <w:r>
              <w:rPr>
                <w:rFonts w:ascii="Arial" w:hAnsi="Arial" w:eastAsia="Arial"/>
                <w:b w:val="0"/>
                <w:i w:val="0"/>
                <w:color w:val="000000"/>
                <w:sz w:val="15"/>
              </w:rPr>
              <w:t>2024</w:t>
            </w:r>
            <w:r>
              <w:rPr>
                <w:rFonts w:ascii="黑体" w:hAnsi="黑体" w:eastAsia="黑体"/>
                <w:b w:val="0"/>
                <w:i w:val="0"/>
                <w:color w:val="000000"/>
                <w:sz w:val="15"/>
              </w:rPr>
              <w:t>年</w:t>
            </w:r>
            <w:r>
              <w:rPr>
                <w:rFonts w:ascii="Arial" w:hAnsi="Arial" w:eastAsia="Arial"/>
                <w:b w:val="0"/>
                <w:i w:val="0"/>
                <w:color w:val="000000"/>
                <w:sz w:val="15"/>
              </w:rPr>
              <w:t>1</w:t>
            </w:r>
            <w:r>
              <w:rPr>
                <w:rFonts w:ascii="黑体" w:hAnsi="黑体" w:eastAsia="黑体"/>
                <w:b w:val="0"/>
                <w:i w:val="0"/>
                <w:color w:val="000000"/>
                <w:sz w:val="15"/>
              </w:rPr>
              <w:t>月</w:t>
            </w:r>
            <w:r>
              <w:rPr>
                <w:rFonts w:ascii="Arial" w:hAnsi="Arial" w:eastAsia="Arial"/>
                <w:b w:val="0"/>
                <w:i w:val="0"/>
                <w:color w:val="000000"/>
                <w:sz w:val="15"/>
              </w:rPr>
              <w:t>1</w:t>
            </w:r>
            <w:r>
              <w:rPr>
                <w:rFonts w:ascii="黑体" w:hAnsi="黑体" w:eastAsia="黑体"/>
                <w:b w:val="0"/>
                <w:i w:val="0"/>
                <w:color w:val="000000"/>
                <w:sz w:val="15"/>
              </w:rPr>
              <w:t>日</w:t>
            </w:r>
          </w:p>
        </w:tc>
        <w:tc>
          <w:tcPr>
            <w:tcW w:type="dxa" w:w="1334"/>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456" w:after="0"/>
              <w:ind w:left="0" w:right="140" w:firstLine="0"/>
              <w:jc w:val="right"/>
            </w:pPr>
            <w:r>
              <w:rPr>
                <w:rFonts w:ascii="黑体" w:hAnsi="黑体" w:eastAsia="黑体"/>
                <w:b w:val="0"/>
                <w:i w:val="0"/>
                <w:color w:val="000000"/>
                <w:sz w:val="15"/>
              </w:rPr>
              <w:t>本年发行</w:t>
            </w:r>
          </w:p>
        </w:tc>
        <w:tc>
          <w:tcPr>
            <w:tcW w:type="dxa" w:w="1330"/>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456" w:after="0"/>
              <w:ind w:left="0" w:right="138" w:firstLine="0"/>
              <w:jc w:val="right"/>
            </w:pPr>
            <w:r>
              <w:rPr>
                <w:rFonts w:ascii="黑体" w:hAnsi="黑体" w:eastAsia="黑体"/>
                <w:b w:val="0"/>
                <w:i w:val="0"/>
                <w:color w:val="000000"/>
                <w:sz w:val="15"/>
              </w:rPr>
              <w:t>本年兑付</w:t>
            </w:r>
          </w:p>
        </w:tc>
        <w:tc>
          <w:tcPr>
            <w:tcW w:type="dxa" w:w="1022"/>
            <w:tcBorders/>
            <w:tcMar>
              <w:start w:w="0" w:type="dxa"/>
              <w:end w:w="0" w:type="dxa"/>
            </w:tcMar>
          </w:tcPr>
          <w:p>
            <w:pPr>
              <w:autoSpaceDN w:val="0"/>
              <w:autoSpaceDE w:val="0"/>
              <w:widowControl/>
              <w:spacing w:line="168" w:lineRule="exact" w:before="54" w:after="0"/>
              <w:ind w:left="0" w:right="0"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c>
          <w:tcPr>
            <w:tcW w:type="dxa" w:w="1300"/>
            <w:tcBorders/>
            <w:tcMar>
              <w:start w:w="0" w:type="dxa"/>
              <w:end w:w="0" w:type="dxa"/>
            </w:tcMar>
          </w:tcPr>
          <w:p>
            <w:pPr>
              <w:autoSpaceDN w:val="0"/>
              <w:autoSpaceDE w:val="0"/>
              <w:widowControl/>
              <w:spacing w:line="168" w:lineRule="exact" w:before="54" w:after="0"/>
              <w:ind w:left="0" w:right="166" w:firstLine="0"/>
              <w:jc w:val="right"/>
            </w:pPr>
            <w:r>
              <w:rPr>
                <w:rFonts w:ascii="Arial" w:hAnsi="Arial" w:eastAsia="Arial"/>
                <w:b w:val="0"/>
                <w:i w:val="0"/>
                <w:color w:val="000000"/>
                <w:sz w:val="15"/>
              </w:rPr>
              <w:t>2024</w:t>
            </w:r>
            <w:r>
              <w:rPr>
                <w:rFonts w:ascii="黑体" w:hAnsi="黑体" w:eastAsia="黑体"/>
                <w:b w:val="0"/>
                <w:i w:val="0"/>
                <w:color w:val="000000"/>
                <w:sz w:val="15"/>
              </w:rPr>
              <w:t>年</w:t>
            </w:r>
          </w:p>
        </w:tc>
      </w:tr>
      <w:tr>
        <w:trPr>
          <w:trHeight w:hRule="exact" w:val="200"/>
        </w:trPr>
        <w:tc>
          <w:tcPr>
            <w:tcW w:type="dxa" w:w="1289"/>
            <w:vMerge/>
            <w:tcBorders>
              <w:bottom w:sz="4.0" w:val="single" w:color="#000000"/>
            </w:tcBorders>
          </w:tcPr>
          <w:p/>
        </w:tc>
        <w:tc>
          <w:tcPr>
            <w:tcW w:type="dxa" w:w="1289"/>
            <w:vMerge/>
            <w:tcBorders>
              <w:bottom w:sz="4.0" w:val="single" w:color="#000000"/>
            </w:tcBorders>
          </w:tcPr>
          <w:p/>
        </w:tc>
        <w:tc>
          <w:tcPr>
            <w:tcW w:type="dxa" w:w="1289"/>
            <w:vMerge/>
            <w:tcBorders/>
          </w:tcPr>
          <w:p/>
        </w:tc>
        <w:tc>
          <w:tcPr>
            <w:tcW w:type="dxa" w:w="1289"/>
            <w:vMerge/>
            <w:tcBorders>
              <w:bottom w:sz="4.0" w:val="single" w:color="#000000"/>
            </w:tcBorders>
          </w:tcPr>
          <w:p/>
        </w:tc>
        <w:tc>
          <w:tcPr>
            <w:tcW w:type="dxa" w:w="1289"/>
            <w:vMerge/>
            <w:tcBorders>
              <w:bottom w:sz="4.0" w:val="single" w:color="#000000"/>
            </w:tcBorders>
          </w:tcPr>
          <w:p/>
        </w:tc>
        <w:tc>
          <w:tcPr>
            <w:tcW w:type="dxa" w:w="1022"/>
            <w:tcBorders/>
            <w:tcMar>
              <w:start w:w="0" w:type="dxa"/>
              <w:end w:w="0" w:type="dxa"/>
            </w:tcMar>
          </w:tcPr>
          <w:p>
            <w:pPr>
              <w:autoSpaceDN w:val="0"/>
              <w:autoSpaceDE w:val="0"/>
              <w:widowControl/>
              <w:spacing w:line="168" w:lineRule="exact" w:before="32" w:after="0"/>
              <w:ind w:left="0" w:right="0"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c>
          <w:tcPr>
            <w:tcW w:type="dxa" w:w="1300"/>
            <w:tcBorders/>
            <w:tcMar>
              <w:start w:w="0" w:type="dxa"/>
              <w:end w:w="0" w:type="dxa"/>
            </w:tcMar>
          </w:tcPr>
          <w:p>
            <w:pPr>
              <w:autoSpaceDN w:val="0"/>
              <w:autoSpaceDE w:val="0"/>
              <w:widowControl/>
              <w:spacing w:line="168" w:lineRule="exact" w:before="32" w:after="0"/>
              <w:ind w:left="0" w:right="162" w:firstLine="0"/>
              <w:jc w:val="right"/>
            </w:pP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c>
      </w:tr>
      <w:tr>
        <w:trPr>
          <w:trHeight w:hRule="exact" w:val="210"/>
        </w:trPr>
        <w:tc>
          <w:tcPr>
            <w:tcW w:type="dxa" w:w="1289"/>
            <w:vMerge/>
            <w:tcBorders>
              <w:bottom w:sz="4.0" w:val="single" w:color="#000000"/>
            </w:tcBorders>
          </w:tcPr>
          <w:p/>
        </w:tc>
        <w:tc>
          <w:tcPr>
            <w:tcW w:type="dxa" w:w="1289"/>
            <w:vMerge/>
            <w:tcBorders>
              <w:bottom w:sz="4.0" w:val="single" w:color="#000000"/>
            </w:tcBorders>
          </w:tcPr>
          <w:p/>
        </w:tc>
        <w:tc>
          <w:tcPr>
            <w:tcW w:type="dxa" w:w="1134"/>
            <w:tcBorders>
              <w:bottom w:sz="4.0" w:val="single" w:color="#000000"/>
            </w:tcBorders>
            <w:tcMar>
              <w:start w:w="0" w:type="dxa"/>
              <w:end w:w="0" w:type="dxa"/>
            </w:tcMar>
          </w:tcPr>
          <w:p>
            <w:pPr>
              <w:autoSpaceDN w:val="0"/>
              <w:autoSpaceDE w:val="0"/>
              <w:widowControl/>
              <w:spacing w:line="150" w:lineRule="exact" w:before="34" w:after="0"/>
              <w:ind w:left="0" w:right="0" w:firstLine="0"/>
              <w:jc w:val="right"/>
            </w:pPr>
            <w:r>
              <w:rPr>
                <w:rFonts w:ascii="黑体" w:hAnsi="黑体" w:eastAsia="黑体"/>
                <w:b w:val="0"/>
                <w:i w:val="0"/>
                <w:color w:val="000000"/>
                <w:sz w:val="15"/>
              </w:rPr>
              <w:t>未付本金</w:t>
            </w:r>
          </w:p>
        </w:tc>
        <w:tc>
          <w:tcPr>
            <w:tcW w:type="dxa" w:w="1289"/>
            <w:vMerge/>
            <w:tcBorders>
              <w:bottom w:sz="4.0" w:val="single" w:color="#000000"/>
            </w:tcBorders>
          </w:tcPr>
          <w:p/>
        </w:tc>
        <w:tc>
          <w:tcPr>
            <w:tcW w:type="dxa" w:w="1289"/>
            <w:vMerge/>
            <w:tcBorders>
              <w:bottom w:sz="4.0" w:val="single" w:color="#000000"/>
            </w:tcBorders>
          </w:tcPr>
          <w:p/>
        </w:tc>
        <w:tc>
          <w:tcPr>
            <w:tcW w:type="dxa" w:w="1022"/>
            <w:tcBorders>
              <w:bottom w:sz="4.0" w:val="single" w:color="#000000"/>
            </w:tcBorders>
            <w:tcMar>
              <w:start w:w="0" w:type="dxa"/>
              <w:end w:w="0" w:type="dxa"/>
            </w:tcMar>
          </w:tcPr>
          <w:p>
            <w:pPr>
              <w:autoSpaceDN w:val="0"/>
              <w:autoSpaceDE w:val="0"/>
              <w:widowControl/>
              <w:spacing w:line="150" w:lineRule="exact" w:before="34" w:after="0"/>
              <w:ind w:left="0" w:right="0" w:firstLine="0"/>
              <w:jc w:val="right"/>
            </w:pPr>
            <w:r>
              <w:rPr>
                <w:rFonts w:ascii="黑体" w:hAnsi="黑体" w:eastAsia="黑体"/>
                <w:b w:val="0"/>
                <w:i w:val="0"/>
                <w:color w:val="000000"/>
                <w:sz w:val="15"/>
              </w:rPr>
              <w:t>未付本金</w:t>
            </w:r>
          </w:p>
        </w:tc>
        <w:tc>
          <w:tcPr>
            <w:tcW w:type="dxa" w:w="1300"/>
            <w:tcBorders>
              <w:bottom w:sz="4.0" w:val="single" w:color="#000000"/>
            </w:tcBorders>
            <w:tcMar>
              <w:start w:w="0" w:type="dxa"/>
              <w:end w:w="0" w:type="dxa"/>
            </w:tcMar>
          </w:tcPr>
          <w:p>
            <w:pPr>
              <w:autoSpaceDN w:val="0"/>
              <w:autoSpaceDE w:val="0"/>
              <w:widowControl/>
              <w:spacing w:line="150" w:lineRule="exact" w:before="34" w:after="0"/>
              <w:ind w:left="0" w:right="162" w:firstLine="0"/>
              <w:jc w:val="right"/>
            </w:pPr>
            <w:r>
              <w:rPr>
                <w:rFonts w:ascii="黑体" w:hAnsi="黑体" w:eastAsia="黑体"/>
                <w:b w:val="0"/>
                <w:i w:val="0"/>
                <w:color w:val="000000"/>
                <w:sz w:val="15"/>
              </w:rPr>
              <w:t>应计利息</w:t>
            </w:r>
          </w:p>
        </w:tc>
      </w:tr>
      <w:tr>
        <w:trPr>
          <w:trHeight w:hRule="exact" w:val="250"/>
        </w:trPr>
        <w:tc>
          <w:tcPr>
            <w:tcW w:type="dxa" w:w="1558"/>
            <w:tcBorders>
              <w:top w:sz="4.0" w:val="single" w:color="#000000"/>
            </w:tcBorders>
            <w:tcMar>
              <w:start w:w="0" w:type="dxa"/>
              <w:end w:w="0" w:type="dxa"/>
            </w:tcMar>
          </w:tcPr>
          <w:p>
            <w:pPr>
              <w:autoSpaceDN w:val="0"/>
              <w:autoSpaceDE w:val="0"/>
              <w:widowControl/>
              <w:spacing w:line="152" w:lineRule="exact" w:before="88" w:after="0"/>
              <w:ind w:left="198" w:right="0" w:firstLine="0"/>
              <w:jc w:val="left"/>
            </w:pPr>
            <w:r>
              <w:rPr>
                <w:rFonts w:ascii="黑体" w:hAnsi="黑体" w:eastAsia="黑体"/>
                <w:b w:val="0"/>
                <w:i w:val="0"/>
                <w:color w:val="000000"/>
                <w:sz w:val="15"/>
              </w:rPr>
              <w:t>短期公司债券</w:t>
            </w:r>
          </w:p>
        </w:tc>
        <w:tc>
          <w:tcPr>
            <w:tcW w:type="dxa" w:w="1022"/>
            <w:tcBorders>
              <w:top w:sz="4.0" w:val="single" w:color="#000000"/>
            </w:tcBorders>
            <w:tcMar>
              <w:start w:w="0" w:type="dxa"/>
              <w:end w:w="0" w:type="dxa"/>
            </w:tcMar>
          </w:tcPr>
          <w:p>
            <w:pPr>
              <w:autoSpaceDN w:val="0"/>
              <w:autoSpaceDE w:val="0"/>
              <w:widowControl/>
              <w:spacing w:line="233" w:lineRule="auto" w:before="76" w:after="0"/>
              <w:ind w:left="116" w:right="0" w:firstLine="0"/>
              <w:jc w:val="left"/>
            </w:pPr>
            <w:r>
              <w:rPr>
                <w:rFonts w:ascii="Arial" w:hAnsi="Arial" w:eastAsia="Arial"/>
                <w:b w:val="0"/>
                <w:i w:val="0"/>
                <w:color w:val="000000"/>
                <w:sz w:val="15"/>
              </w:rPr>
              <w:t>HIBOR+2.1%</w:t>
            </w:r>
          </w:p>
        </w:tc>
        <w:tc>
          <w:tcPr>
            <w:tcW w:type="dxa" w:w="1134"/>
            <w:tcBorders>
              <w:top w:sz="4.0" w:val="single" w:color="#000000"/>
            </w:tcBorders>
            <w:tcMar>
              <w:start w:w="0" w:type="dxa"/>
              <w:end w:w="0" w:type="dxa"/>
            </w:tcMar>
          </w:tcPr>
          <w:p>
            <w:pPr>
              <w:autoSpaceDN w:val="0"/>
              <w:autoSpaceDE w:val="0"/>
              <w:widowControl/>
              <w:spacing w:line="233" w:lineRule="auto" w:before="76" w:after="0"/>
              <w:ind w:left="0" w:right="0" w:firstLine="0"/>
              <w:jc w:val="right"/>
            </w:pPr>
            <w:r>
              <w:rPr>
                <w:rFonts w:ascii="Arial" w:hAnsi="Arial" w:eastAsia="Arial"/>
                <w:b w:val="0"/>
                <w:i w:val="0"/>
                <w:color w:val="000000"/>
                <w:sz w:val="15"/>
              </w:rPr>
              <w:t>35,342,580</w:t>
            </w:r>
          </w:p>
        </w:tc>
        <w:tc>
          <w:tcPr>
            <w:tcW w:type="dxa" w:w="1334"/>
            <w:tcBorders>
              <w:top w:sz="4.0" w:val="single" w:color="#000000"/>
            </w:tcBorders>
            <w:tcMar>
              <w:start w:w="0" w:type="dxa"/>
              <w:end w:w="0" w:type="dxa"/>
            </w:tcMar>
          </w:tcPr>
          <w:p>
            <w:pPr>
              <w:autoSpaceDN w:val="0"/>
              <w:autoSpaceDE w:val="0"/>
              <w:widowControl/>
              <w:spacing w:line="233" w:lineRule="auto" w:before="76" w:after="0"/>
              <w:ind w:left="0" w:right="100" w:firstLine="0"/>
              <w:jc w:val="right"/>
            </w:pPr>
            <w:r>
              <w:rPr>
                <w:rFonts w:ascii="Arial" w:hAnsi="Arial" w:eastAsia="Arial"/>
                <w:b w:val="0"/>
                <w:i w:val="0"/>
                <w:color w:val="000000"/>
                <w:sz w:val="15"/>
              </w:rPr>
              <w:t xml:space="preserve">- </w:t>
            </w:r>
          </w:p>
        </w:tc>
        <w:tc>
          <w:tcPr>
            <w:tcW w:type="dxa" w:w="1330"/>
            <w:tcBorders>
              <w:top w:sz="4.0" w:val="single" w:color="#000000"/>
            </w:tcBorders>
            <w:tcMar>
              <w:start w:w="0" w:type="dxa"/>
              <w:end w:w="0" w:type="dxa"/>
            </w:tcMar>
          </w:tcPr>
          <w:p>
            <w:pPr>
              <w:autoSpaceDN w:val="0"/>
              <w:autoSpaceDE w:val="0"/>
              <w:widowControl/>
              <w:spacing w:line="218" w:lineRule="auto" w:before="76" w:after="0"/>
              <w:ind w:left="0" w:right="60" w:firstLine="0"/>
              <w:jc w:val="right"/>
            </w:pPr>
            <w:r>
              <w:rPr>
                <w:rFonts w:ascii="Arial" w:hAnsi="Arial" w:eastAsia="Arial"/>
                <w:b w:val="0"/>
                <w:i w:val="0"/>
                <w:color w:val="000000"/>
                <w:sz w:val="15"/>
              </w:rPr>
              <w:t>(35,342,580</w:t>
            </w:r>
            <w:r>
              <w:rPr>
                <w:rFonts w:ascii="Calibri" w:hAnsi="Calibri" w:eastAsia="Calibri"/>
                <w:b w:val="0"/>
                <w:i w:val="0"/>
                <w:color w:val="000000"/>
                <w:sz w:val="15"/>
              </w:rPr>
              <w:t xml:space="preserve">) </w:t>
            </w:r>
          </w:p>
        </w:tc>
        <w:tc>
          <w:tcPr>
            <w:tcW w:type="dxa" w:w="1022"/>
            <w:tcBorders>
              <w:top w:sz="4.0" w:val="single" w:color="#000000"/>
            </w:tcBorders>
            <w:tcMar>
              <w:start w:w="0" w:type="dxa"/>
              <w:end w:w="0" w:type="dxa"/>
            </w:tcMar>
          </w:tcPr>
          <w:p>
            <w:pPr>
              <w:autoSpaceDN w:val="0"/>
              <w:autoSpaceDE w:val="0"/>
              <w:widowControl/>
              <w:spacing w:line="233" w:lineRule="auto" w:before="76" w:after="0"/>
              <w:ind w:left="0" w:right="0" w:firstLine="0"/>
              <w:jc w:val="right"/>
            </w:pPr>
            <w:r>
              <w:rPr>
                <w:rFonts w:ascii="Arial" w:hAnsi="Arial" w:eastAsia="Arial"/>
                <w:b w:val="0"/>
                <w:i w:val="0"/>
                <w:color w:val="000000"/>
                <w:sz w:val="15"/>
              </w:rPr>
              <w:t>-</w:t>
            </w:r>
          </w:p>
        </w:tc>
        <w:tc>
          <w:tcPr>
            <w:tcW w:type="dxa" w:w="1300"/>
            <w:tcBorders>
              <w:top w:sz="4.0" w:val="single" w:color="#000000"/>
            </w:tcBorders>
            <w:tcMar>
              <w:start w:w="0" w:type="dxa"/>
              <w:end w:w="0" w:type="dxa"/>
            </w:tcMar>
          </w:tcPr>
          <w:p>
            <w:pPr>
              <w:autoSpaceDN w:val="0"/>
              <w:autoSpaceDE w:val="0"/>
              <w:widowControl/>
              <w:spacing w:line="233" w:lineRule="auto" w:before="76" w:after="0"/>
              <w:ind w:left="0" w:right="166" w:firstLine="0"/>
              <w:jc w:val="right"/>
            </w:pPr>
            <w:r>
              <w:rPr>
                <w:rFonts w:ascii="Arial" w:hAnsi="Arial" w:eastAsia="Arial"/>
                <w:b w:val="0"/>
                <w:i w:val="0"/>
                <w:color w:val="000000"/>
                <w:sz w:val="15"/>
              </w:rPr>
              <w:t>-</w:t>
            </w:r>
          </w:p>
        </w:tc>
      </w:tr>
      <w:tr>
        <w:trPr>
          <w:trHeight w:hRule="exact" w:val="266"/>
        </w:trPr>
        <w:tc>
          <w:tcPr>
            <w:tcW w:type="dxa" w:w="1558"/>
            <w:tcBorders/>
            <w:tcMar>
              <w:start w:w="0" w:type="dxa"/>
              <w:end w:w="0" w:type="dxa"/>
            </w:tcMar>
          </w:tcPr>
          <w:p>
            <w:pPr>
              <w:autoSpaceDN w:val="0"/>
              <w:autoSpaceDE w:val="0"/>
              <w:widowControl/>
              <w:spacing w:line="150" w:lineRule="exact" w:before="40" w:after="0"/>
              <w:ind w:left="198" w:right="0" w:firstLine="0"/>
              <w:jc w:val="left"/>
            </w:pPr>
            <w:r>
              <w:rPr>
                <w:rFonts w:ascii="黑体" w:hAnsi="黑体" w:eastAsia="黑体"/>
                <w:b w:val="0"/>
                <w:i w:val="0"/>
                <w:color w:val="000000"/>
                <w:sz w:val="15"/>
              </w:rPr>
              <w:t>短期公司债券</w:t>
            </w:r>
          </w:p>
        </w:tc>
        <w:tc>
          <w:tcPr>
            <w:tcW w:type="dxa" w:w="1022"/>
            <w:tcBorders/>
            <w:tcMar>
              <w:start w:w="0" w:type="dxa"/>
              <w:end w:w="0" w:type="dxa"/>
            </w:tcMar>
          </w:tcPr>
          <w:p>
            <w:pPr>
              <w:autoSpaceDN w:val="0"/>
              <w:autoSpaceDE w:val="0"/>
              <w:widowControl/>
              <w:spacing w:line="194" w:lineRule="auto" w:before="56" w:after="0"/>
              <w:ind w:left="0" w:right="0" w:firstLine="0"/>
              <w:jc w:val="right"/>
            </w:pPr>
            <w:r>
              <w:rPr>
                <w:rFonts w:ascii="Calibri" w:hAnsi="Calibri" w:eastAsia="Calibri"/>
                <w:b w:val="0"/>
                <w:i w:val="0"/>
                <w:color w:val="000000"/>
                <w:sz w:val="15"/>
              </w:rPr>
              <w:t>HIBOR+1.8%</w:t>
            </w:r>
          </w:p>
        </w:tc>
        <w:tc>
          <w:tcPr>
            <w:tcW w:type="dxa" w:w="1134"/>
            <w:tcBorders/>
            <w:tcMar>
              <w:start w:w="0" w:type="dxa"/>
              <w:end w:w="0" w:type="dxa"/>
            </w:tcMar>
          </w:tcPr>
          <w:p>
            <w:pPr>
              <w:autoSpaceDN w:val="0"/>
              <w:autoSpaceDE w:val="0"/>
              <w:widowControl/>
              <w:spacing w:line="194" w:lineRule="auto" w:before="56" w:after="0"/>
              <w:ind w:left="0" w:right="2" w:firstLine="0"/>
              <w:jc w:val="right"/>
            </w:pPr>
            <w:r>
              <w:rPr>
                <w:rFonts w:ascii="Calibri" w:hAnsi="Calibri" w:eastAsia="Calibri"/>
                <w:b w:val="0"/>
                <w:i w:val="0"/>
                <w:color w:val="000000"/>
                <w:sz w:val="15"/>
              </w:rPr>
              <w:t>-</w:t>
            </w:r>
          </w:p>
        </w:tc>
        <w:tc>
          <w:tcPr>
            <w:tcW w:type="dxa" w:w="1334"/>
            <w:tcBorders/>
            <w:tcMar>
              <w:start w:w="0" w:type="dxa"/>
              <w:end w:w="0" w:type="dxa"/>
            </w:tcMar>
          </w:tcPr>
          <w:p>
            <w:pPr>
              <w:autoSpaceDN w:val="0"/>
              <w:autoSpaceDE w:val="0"/>
              <w:widowControl/>
              <w:spacing w:line="194" w:lineRule="auto" w:before="56" w:after="0"/>
              <w:ind w:left="0" w:right="110" w:firstLine="0"/>
              <w:jc w:val="right"/>
            </w:pPr>
            <w:r>
              <w:rPr>
                <w:rFonts w:ascii="Calibri" w:hAnsi="Calibri" w:eastAsia="Calibri"/>
                <w:b w:val="0"/>
                <w:i w:val="0"/>
                <w:color w:val="000000"/>
                <w:sz w:val="15"/>
              </w:rPr>
              <w:t xml:space="preserve"> 36,115,560 </w:t>
            </w:r>
          </w:p>
        </w:tc>
        <w:tc>
          <w:tcPr>
            <w:tcW w:type="dxa" w:w="1330"/>
            <w:tcBorders/>
            <w:tcMar>
              <w:start w:w="0" w:type="dxa"/>
              <w:end w:w="0" w:type="dxa"/>
            </w:tcMar>
          </w:tcPr>
          <w:p>
            <w:pPr>
              <w:autoSpaceDN w:val="0"/>
              <w:autoSpaceDE w:val="0"/>
              <w:widowControl/>
              <w:spacing w:line="194" w:lineRule="auto" w:before="56" w:after="0"/>
              <w:ind w:left="0" w:right="140" w:firstLine="0"/>
              <w:jc w:val="right"/>
            </w:pPr>
            <w:r>
              <w:rPr>
                <w:rFonts w:ascii="Calibri" w:hAnsi="Calibri" w:eastAsia="Calibri"/>
                <w:b w:val="0"/>
                <w:i w:val="0"/>
                <w:color w:val="000000"/>
                <w:sz w:val="15"/>
              </w:rPr>
              <w:t>-</w:t>
            </w:r>
          </w:p>
        </w:tc>
        <w:tc>
          <w:tcPr>
            <w:tcW w:type="dxa" w:w="1022"/>
            <w:tcBorders/>
            <w:tcMar>
              <w:start w:w="0" w:type="dxa"/>
              <w:end w:w="0" w:type="dxa"/>
            </w:tcMar>
          </w:tcPr>
          <w:p>
            <w:pPr>
              <w:autoSpaceDN w:val="0"/>
              <w:autoSpaceDE w:val="0"/>
              <w:widowControl/>
              <w:spacing w:line="194" w:lineRule="auto" w:before="56" w:after="0"/>
              <w:ind w:left="0" w:right="0" w:firstLine="0"/>
              <w:jc w:val="right"/>
            </w:pPr>
            <w:r>
              <w:rPr>
                <w:rFonts w:ascii="Calibri" w:hAnsi="Calibri" w:eastAsia="Calibri"/>
                <w:b w:val="0"/>
                <w:i w:val="0"/>
                <w:color w:val="000000"/>
                <w:sz w:val="15"/>
              </w:rPr>
              <w:t xml:space="preserve"> 36,115,560</w:t>
            </w:r>
          </w:p>
        </w:tc>
        <w:tc>
          <w:tcPr>
            <w:tcW w:type="dxa" w:w="1300"/>
            <w:tcBorders/>
            <w:tcMar>
              <w:start w:w="0" w:type="dxa"/>
              <w:end w:w="0" w:type="dxa"/>
            </w:tcMar>
          </w:tcPr>
          <w:p>
            <w:pPr>
              <w:autoSpaceDN w:val="0"/>
              <w:autoSpaceDE w:val="0"/>
              <w:widowControl/>
              <w:spacing w:line="194" w:lineRule="auto" w:before="56" w:after="0"/>
              <w:ind w:left="0" w:right="132" w:firstLine="0"/>
              <w:jc w:val="right"/>
            </w:pPr>
            <w:r>
              <w:rPr>
                <w:rFonts w:ascii="Calibri" w:hAnsi="Calibri" w:eastAsia="Calibri"/>
                <w:b w:val="0"/>
                <w:i w:val="0"/>
                <w:color w:val="000000"/>
                <w:sz w:val="15"/>
              </w:rPr>
              <w:t xml:space="preserve">25,091 </w:t>
            </w:r>
          </w:p>
        </w:tc>
      </w:tr>
    </w:tbl>
    <w:p>
      <w:pPr>
        <w:autoSpaceDN w:val="0"/>
        <w:autoSpaceDE w:val="0"/>
        <w:widowControl/>
        <w:spacing w:line="233" w:lineRule="auto" w:before="4032" w:after="0"/>
        <w:ind w:left="0" w:right="0" w:firstLine="0"/>
        <w:jc w:val="center"/>
      </w:pPr>
      <w:r>
        <w:rPr>
          <w:rFonts w:ascii="Arial" w:hAnsi="Arial" w:eastAsia="Arial"/>
          <w:b w:val="0"/>
          <w:i w:val="0"/>
          <w:color w:val="000000"/>
          <w:sz w:val="20"/>
        </w:rPr>
        <w:t xml:space="preserve">221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8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7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74"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80"/>
        </w:trPr>
        <w:tc>
          <w:tcPr>
            <w:tcW w:type="dxa" w:w="760"/>
            <w:tcBorders/>
            <w:tcMar>
              <w:start w:w="0" w:type="dxa"/>
              <w:end w:w="0" w:type="dxa"/>
            </w:tcMar>
          </w:tcPr>
          <w:p>
            <w:pPr>
              <w:autoSpaceDN w:val="0"/>
              <w:autoSpaceDE w:val="0"/>
              <w:widowControl/>
              <w:spacing w:line="246" w:lineRule="exact" w:before="176" w:after="0"/>
              <w:ind w:left="0" w:right="0" w:firstLine="0"/>
              <w:jc w:val="center"/>
            </w:pPr>
            <w:r>
              <w:rPr>
                <w:rFonts w:ascii="Arial,Bold" w:hAnsi="Arial,Bold" w:eastAsia="Arial,Bold"/>
                <w:b/>
                <w:i w:val="0"/>
                <w:color w:val="000000"/>
                <w:sz w:val="22"/>
              </w:rPr>
              <w:t xml:space="preserve">22. </w:t>
            </w:r>
          </w:p>
        </w:tc>
        <w:tc>
          <w:tcPr>
            <w:tcW w:type="dxa" w:w="3804"/>
            <w:tcBorders/>
            <w:tcMar>
              <w:start w:w="0" w:type="dxa"/>
              <w:end w:w="0" w:type="dxa"/>
            </w:tcMar>
          </w:tcPr>
          <w:p>
            <w:pPr>
              <w:autoSpaceDN w:val="0"/>
              <w:autoSpaceDE w:val="0"/>
              <w:widowControl/>
              <w:spacing w:line="222" w:lineRule="exact" w:before="186" w:after="0"/>
              <w:ind w:left="166" w:right="0" w:firstLine="0"/>
              <w:jc w:val="left"/>
            </w:pPr>
            <w:r>
              <w:rPr>
                <w:rFonts w:ascii="黑体" w:hAnsi="黑体" w:eastAsia="黑体"/>
                <w:b w:val="0"/>
                <w:i w:val="0"/>
                <w:color w:val="000000"/>
                <w:sz w:val="22"/>
              </w:rPr>
              <w:t>拆入资金</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50" w:after="0"/>
              <w:ind w:left="198" w:right="0" w:firstLine="0"/>
              <w:jc w:val="left"/>
            </w:pPr>
            <w:r>
              <w:rPr>
                <w:rFonts w:ascii="黑体" w:hAnsi="黑体" w:eastAsia="黑体"/>
                <w:b w:val="0"/>
                <w:i w:val="0"/>
                <w:color w:val="000000"/>
                <w:sz w:val="22"/>
              </w:rPr>
              <w:t>银行及其他金融机构拆入资金（</w:t>
            </w:r>
            <w:r>
              <w:rPr>
                <w:rFonts w:ascii="Arial" w:hAnsi="Arial" w:eastAsia="Arial"/>
                <w:b w:val="0"/>
                <w:i w:val="0"/>
                <w:color w:val="000000"/>
                <w:sz w:val="22"/>
              </w:rPr>
              <w:t>a</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5" w:lineRule="auto" w:before="152" w:after="0"/>
              <w:ind w:left="466" w:right="0" w:firstLine="0"/>
              <w:jc w:val="left"/>
            </w:pPr>
            <w:r>
              <w:rPr>
                <w:rFonts w:ascii="Arial" w:hAnsi="Arial" w:eastAsia="Arial"/>
                <w:b w:val="0"/>
                <w:i w:val="0"/>
                <w:color w:val="000000"/>
                <w:sz w:val="22"/>
              </w:rPr>
              <w:t>8,930,666,141</w:t>
            </w:r>
          </w:p>
        </w:tc>
        <w:tc>
          <w:tcPr>
            <w:tcW w:type="dxa" w:w="2098"/>
            <w:tcBorders/>
            <w:tcMar>
              <w:start w:w="0" w:type="dxa"/>
              <w:end w:w="0" w:type="dxa"/>
            </w:tcMar>
          </w:tcPr>
          <w:p>
            <w:pPr>
              <w:autoSpaceDN w:val="0"/>
              <w:autoSpaceDE w:val="0"/>
              <w:widowControl/>
              <w:spacing w:line="235" w:lineRule="auto" w:before="152" w:after="0"/>
              <w:ind w:left="0" w:right="0" w:firstLine="0"/>
              <w:jc w:val="right"/>
            </w:pPr>
            <w:r>
              <w:rPr>
                <w:rFonts w:ascii="Arial" w:hAnsi="Arial" w:eastAsia="Arial"/>
                <w:b w:val="0"/>
                <w:i w:val="0"/>
                <w:color w:val="000000"/>
                <w:sz w:val="22"/>
              </w:rPr>
              <w:t>9,862,274,813</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46" w:lineRule="exact" w:before="34" w:after="0"/>
              <w:ind w:left="198" w:right="0" w:firstLine="0"/>
              <w:jc w:val="left"/>
            </w:pPr>
            <w:r>
              <w:rPr>
                <w:rFonts w:ascii="黑体" w:hAnsi="黑体" w:eastAsia="黑体"/>
                <w:b w:val="0"/>
                <w:i w:val="0"/>
                <w:color w:val="000000"/>
                <w:sz w:val="22"/>
              </w:rPr>
              <w:t>转融通融入资金（</w:t>
            </w:r>
            <w:r>
              <w:rPr>
                <w:rFonts w:ascii="Arial" w:hAnsi="Arial" w:eastAsia="Arial"/>
                <w:b w:val="0"/>
                <w:i w:val="0"/>
                <w:color w:val="000000"/>
                <w:sz w:val="22"/>
              </w:rPr>
              <w:t>b</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3" w:lineRule="auto" w:before="34" w:after="0"/>
              <w:ind w:left="466" w:right="0" w:firstLine="0"/>
              <w:jc w:val="left"/>
            </w:pPr>
            <w:r>
              <w:rPr>
                <w:rFonts w:ascii="Arial" w:hAnsi="Arial" w:eastAsia="Arial"/>
                <w:b w:val="0"/>
                <w:i w:val="0"/>
                <w:color w:val="000000"/>
                <w:sz w:val="22"/>
              </w:rPr>
              <w:t>1,402,430,611</w:t>
            </w:r>
          </w:p>
        </w:tc>
        <w:tc>
          <w:tcPr>
            <w:tcW w:type="dxa" w:w="2098"/>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2,915,320,889</w:t>
            </w:r>
          </w:p>
        </w:tc>
      </w:tr>
      <w:tr>
        <w:trPr>
          <w:trHeight w:hRule="exact" w:val="312"/>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其他</w:t>
            </w:r>
          </w:p>
        </w:tc>
        <w:tc>
          <w:tcPr>
            <w:tcW w:type="dxa" w:w="1870"/>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16,006,752</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10,333,096,752</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12,793,602,454</w:t>
            </w:r>
          </w:p>
        </w:tc>
      </w:tr>
      <w:tr>
        <w:trPr>
          <w:trHeight w:hRule="exact" w:val="50"/>
        </w:trPr>
        <w:tc>
          <w:tcPr>
            <w:tcW w:type="dxa" w:w="4512"/>
            <w:gridSpan w:val="2"/>
            <w:vMerge/>
            <w:tcBorders>
              <w:top w:sz="4.0" w:val="single" w:color="#000000"/>
            </w:tcBorders>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22"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银行及其他金融机构拆入资金</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82"/>
        </w:trPr>
        <w:tc>
          <w:tcPr>
            <w:tcW w:type="dxa" w:w="2862"/>
            <w:tcBorders>
              <w:bottom w:sz="4.0" w:val="single" w:color="#000000"/>
            </w:tcBorders>
            <w:tcMar>
              <w:start w:w="0" w:type="dxa"/>
              <w:end w:w="0" w:type="dxa"/>
            </w:tcMar>
          </w:tcPr>
          <w:p/>
        </w:tc>
        <w:tc>
          <w:tcPr>
            <w:tcW w:type="dxa" w:w="2948"/>
            <w:gridSpan w:val="2"/>
            <w:tcBorders>
              <w:bottom w:sz="4.0" w:val="single" w:color="#000000"/>
            </w:tcBorders>
            <w:tcMar>
              <w:start w:w="0" w:type="dxa"/>
              <w:end w:w="0" w:type="dxa"/>
            </w:tcMar>
            <w:tcMar>
              <w:start w:w="0" w:type="dxa"/>
              <w:end w:w="0" w:type="dxa"/>
            </w:tcMar>
          </w:tcPr>
          <w:p>
            <w:pPr>
              <w:autoSpaceDN w:val="0"/>
              <w:autoSpaceDE w:val="0"/>
              <w:widowControl/>
              <w:spacing w:line="200" w:lineRule="exact" w:before="60" w:after="0"/>
              <w:ind w:left="690" w:right="0" w:firstLine="0"/>
              <w:jc w:val="lef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2722"/>
            <w:gridSpan w:val="2"/>
            <w:tcBorders>
              <w:bottom w:sz="4.0" w:val="single" w:color="#000000"/>
            </w:tcBorders>
            <w:tcMar>
              <w:start w:w="0" w:type="dxa"/>
              <w:end w:w="0" w:type="dxa"/>
            </w:tcMar>
            <w:tcMar>
              <w:start w:w="0" w:type="dxa"/>
              <w:end w:w="0" w:type="dxa"/>
            </w:tcMar>
          </w:tcPr>
          <w:p>
            <w:pPr>
              <w:autoSpaceDN w:val="0"/>
              <w:autoSpaceDE w:val="0"/>
              <w:widowControl/>
              <w:spacing w:line="200" w:lineRule="exact" w:before="60" w:after="0"/>
              <w:ind w:left="0" w:right="0" w:firstLine="0"/>
              <w:jc w:val="center"/>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r>
      <w:tr>
        <w:trPr>
          <w:trHeight w:hRule="exact" w:val="328"/>
        </w:trPr>
        <w:tc>
          <w:tcPr>
            <w:tcW w:type="dxa" w:w="2862"/>
            <w:tcBorders>
              <w:top w:sz="4.0" w:val="single" w:color="#0000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剩余期限</w:t>
            </w:r>
          </w:p>
        </w:tc>
        <w:tc>
          <w:tcPr>
            <w:tcW w:type="dxa" w:w="1178"/>
            <w:tcBorders>
              <w:top w:sz="4.0" w:val="single" w:color="#000000"/>
            </w:tcBorders>
            <w:tcMar>
              <w:start w:w="0" w:type="dxa"/>
              <w:end w:w="0" w:type="dxa"/>
            </w:tcMar>
          </w:tcPr>
          <w:p>
            <w:pPr>
              <w:autoSpaceDN w:val="0"/>
              <w:autoSpaceDE w:val="0"/>
              <w:widowControl/>
              <w:spacing w:line="180" w:lineRule="exact" w:before="26" w:after="0"/>
              <w:ind w:left="0" w:right="0" w:firstLine="0"/>
              <w:jc w:val="right"/>
            </w:pPr>
            <w:r>
              <w:rPr>
                <w:rFonts w:ascii="黑体" w:hAnsi="黑体" w:eastAsia="黑体"/>
                <w:b w:val="0"/>
                <w:i w:val="0"/>
                <w:color w:val="000000"/>
                <w:sz w:val="18"/>
              </w:rPr>
              <w:t>余额</w:t>
            </w:r>
          </w:p>
        </w:tc>
        <w:tc>
          <w:tcPr>
            <w:tcW w:type="dxa" w:w="1770"/>
            <w:tcBorders>
              <w:top w:sz="4.0" w:val="single" w:color="#000000"/>
            </w:tcBorders>
            <w:tcMar>
              <w:start w:w="0" w:type="dxa"/>
              <w:end w:w="0" w:type="dxa"/>
            </w:tcMar>
          </w:tcPr>
          <w:p>
            <w:pPr>
              <w:autoSpaceDN w:val="0"/>
              <w:autoSpaceDE w:val="0"/>
              <w:widowControl/>
              <w:spacing w:line="180" w:lineRule="exact" w:before="26" w:after="0"/>
              <w:ind w:left="0" w:right="228" w:firstLine="0"/>
              <w:jc w:val="right"/>
            </w:pPr>
            <w:r>
              <w:rPr>
                <w:rFonts w:ascii="黑体" w:hAnsi="黑体" w:eastAsia="黑体"/>
                <w:b w:val="0"/>
                <w:i w:val="0"/>
                <w:color w:val="000000"/>
                <w:sz w:val="18"/>
              </w:rPr>
              <w:t>利率区间</w:t>
            </w:r>
          </w:p>
        </w:tc>
        <w:tc>
          <w:tcPr>
            <w:tcW w:type="dxa" w:w="1410"/>
            <w:tcBorders>
              <w:top w:sz="4.0" w:val="single" w:color="#000000"/>
            </w:tcBorders>
            <w:tcMar>
              <w:start w:w="0" w:type="dxa"/>
              <w:end w:w="0" w:type="dxa"/>
            </w:tcMar>
          </w:tcPr>
          <w:p>
            <w:pPr>
              <w:autoSpaceDN w:val="0"/>
              <w:autoSpaceDE w:val="0"/>
              <w:widowControl/>
              <w:spacing w:line="180" w:lineRule="exact" w:before="26" w:after="0"/>
              <w:ind w:left="0" w:right="220" w:firstLine="0"/>
              <w:jc w:val="right"/>
            </w:pPr>
            <w:r>
              <w:rPr>
                <w:rFonts w:ascii="黑体" w:hAnsi="黑体" w:eastAsia="黑体"/>
                <w:b w:val="0"/>
                <w:i w:val="0"/>
                <w:color w:val="000000"/>
                <w:sz w:val="18"/>
              </w:rPr>
              <w:t>余额</w:t>
            </w:r>
          </w:p>
        </w:tc>
        <w:tc>
          <w:tcPr>
            <w:tcW w:type="dxa" w:w="1312"/>
            <w:tcBorders>
              <w:top w:sz="4.0" w:val="single" w:color="#000000"/>
            </w:tcBorders>
            <w:tcMar>
              <w:start w:w="0" w:type="dxa"/>
              <w:end w:w="0" w:type="dxa"/>
            </w:tcMar>
          </w:tcPr>
          <w:p>
            <w:pPr>
              <w:autoSpaceDN w:val="0"/>
              <w:autoSpaceDE w:val="0"/>
              <w:widowControl/>
              <w:spacing w:line="180" w:lineRule="exact" w:before="26" w:after="0"/>
              <w:ind w:left="0" w:right="2" w:firstLine="0"/>
              <w:jc w:val="right"/>
            </w:pPr>
            <w:r>
              <w:rPr>
                <w:rFonts w:ascii="黑体" w:hAnsi="黑体" w:eastAsia="黑体"/>
                <w:b w:val="0"/>
                <w:i w:val="0"/>
                <w:color w:val="000000"/>
                <w:sz w:val="18"/>
              </w:rPr>
              <w:t>利率区间</w:t>
            </w:r>
          </w:p>
        </w:tc>
      </w:tr>
      <w:tr>
        <w:trPr>
          <w:trHeight w:hRule="exact" w:val="356"/>
        </w:trPr>
        <w:tc>
          <w:tcPr>
            <w:tcW w:type="dxa" w:w="2862"/>
            <w:tcBorders>
              <w:bottom w:sz="4.0" w:val="single" w:color="#000000"/>
            </w:tcBorders>
            <w:tcMar>
              <w:start w:w="0" w:type="dxa"/>
              <w:end w:w="0" w:type="dxa"/>
            </w:tcMar>
          </w:tcPr>
          <w:p>
            <w:pPr>
              <w:autoSpaceDN w:val="0"/>
              <w:autoSpaceDE w:val="0"/>
              <w:widowControl/>
              <w:spacing w:line="200" w:lineRule="exact" w:before="134" w:after="0"/>
              <w:ind w:left="198" w:right="0" w:firstLine="0"/>
              <w:jc w:val="left"/>
            </w:pPr>
            <w:r>
              <w:rPr>
                <w:rFonts w:ascii="Arial" w:hAnsi="Arial" w:eastAsia="Arial"/>
                <w:b w:val="0"/>
                <w:i w:val="0"/>
                <w:color w:val="000000"/>
                <w:sz w:val="18"/>
              </w:rPr>
              <w:t>1</w:t>
            </w:r>
            <w:r>
              <w:rPr>
                <w:rFonts w:ascii="黑体" w:hAnsi="黑体" w:eastAsia="黑体"/>
                <w:b w:val="0"/>
                <w:i w:val="0"/>
                <w:color w:val="000000"/>
                <w:sz w:val="18"/>
              </w:rPr>
              <w:t>个月以内</w:t>
            </w:r>
          </w:p>
        </w:tc>
        <w:tc>
          <w:tcPr>
            <w:tcW w:type="dxa" w:w="1178"/>
            <w:tcBorders>
              <w:bottom w:sz="4.0" w:val="single" w:color="#000000"/>
            </w:tcBorders>
            <w:tcMar>
              <w:start w:w="0" w:type="dxa"/>
              <w:end w:w="0" w:type="dxa"/>
            </w:tcMar>
          </w:tcPr>
          <w:p>
            <w:pPr>
              <w:autoSpaceDN w:val="0"/>
              <w:autoSpaceDE w:val="0"/>
              <w:widowControl/>
              <w:spacing w:line="235" w:lineRule="auto" w:before="148" w:after="0"/>
              <w:ind w:left="0" w:right="0" w:firstLine="0"/>
              <w:jc w:val="center"/>
            </w:pPr>
            <w:r>
              <w:rPr>
                <w:rFonts w:ascii="Arial" w:hAnsi="Arial" w:eastAsia="Arial"/>
                <w:b w:val="0"/>
                <w:i w:val="0"/>
                <w:color w:val="000000"/>
                <w:sz w:val="18"/>
              </w:rPr>
              <w:t>8,930,666,141</w:t>
            </w:r>
          </w:p>
        </w:tc>
        <w:tc>
          <w:tcPr>
            <w:tcW w:type="dxa" w:w="1770"/>
            <w:tcBorders>
              <w:bottom w:sz="4.0" w:val="single" w:color="#000000"/>
            </w:tcBorders>
            <w:tcMar>
              <w:start w:w="0" w:type="dxa"/>
              <w:end w:w="0" w:type="dxa"/>
            </w:tcMar>
          </w:tcPr>
          <w:p>
            <w:pPr>
              <w:autoSpaceDN w:val="0"/>
              <w:autoSpaceDE w:val="0"/>
              <w:widowControl/>
              <w:spacing w:line="235" w:lineRule="auto" w:before="148" w:after="0"/>
              <w:ind w:left="0" w:right="178" w:firstLine="0"/>
              <w:jc w:val="right"/>
            </w:pPr>
            <w:r>
              <w:rPr>
                <w:rFonts w:ascii="Arial" w:hAnsi="Arial" w:eastAsia="Arial"/>
                <w:b w:val="0"/>
                <w:i w:val="0"/>
                <w:color w:val="000000"/>
                <w:sz w:val="18"/>
              </w:rPr>
              <w:t xml:space="preserve">1.45%-2.05% </w:t>
            </w:r>
          </w:p>
        </w:tc>
        <w:tc>
          <w:tcPr>
            <w:tcW w:type="dxa" w:w="1410"/>
            <w:tcBorders>
              <w:bottom w:sz="4.0" w:val="single" w:color="#000000"/>
            </w:tcBorders>
            <w:tcMar>
              <w:start w:w="0" w:type="dxa"/>
              <w:end w:w="0" w:type="dxa"/>
            </w:tcMar>
          </w:tcPr>
          <w:p>
            <w:pPr>
              <w:autoSpaceDN w:val="0"/>
              <w:autoSpaceDE w:val="0"/>
              <w:widowControl/>
              <w:spacing w:line="235" w:lineRule="auto" w:before="148" w:after="0"/>
              <w:ind w:left="38" w:right="0" w:firstLine="0"/>
              <w:jc w:val="left"/>
            </w:pPr>
            <w:r>
              <w:rPr>
                <w:rFonts w:ascii="Arial" w:hAnsi="Arial" w:eastAsia="Arial"/>
                <w:b w:val="0"/>
                <w:i w:val="0"/>
                <w:color w:val="000000"/>
                <w:sz w:val="18"/>
              </w:rPr>
              <w:t>9,862,274,813</w:t>
            </w:r>
          </w:p>
        </w:tc>
        <w:tc>
          <w:tcPr>
            <w:tcW w:type="dxa" w:w="1312"/>
            <w:tcBorders>
              <w:bottom w:sz="4.0" w:val="single" w:color="#000000"/>
            </w:tcBorders>
            <w:tcMar>
              <w:start w:w="0" w:type="dxa"/>
              <w:end w:w="0" w:type="dxa"/>
            </w:tcMar>
          </w:tcPr>
          <w:p>
            <w:pPr>
              <w:autoSpaceDN w:val="0"/>
              <w:autoSpaceDE w:val="0"/>
              <w:widowControl/>
              <w:spacing w:line="235" w:lineRule="auto" w:before="148" w:after="0"/>
              <w:ind w:left="230" w:right="0" w:firstLine="0"/>
              <w:jc w:val="left"/>
            </w:pPr>
            <w:r>
              <w:rPr>
                <w:rFonts w:ascii="Arial" w:hAnsi="Arial" w:eastAsia="Arial"/>
                <w:b w:val="0"/>
                <w:i w:val="0"/>
                <w:color w:val="000000"/>
                <w:sz w:val="18"/>
              </w:rPr>
              <w:t>1.87%-3.50%</w:t>
            </w:r>
          </w:p>
        </w:tc>
      </w:tr>
      <w:tr>
        <w:trPr>
          <w:trHeight w:hRule="exact" w:val="452"/>
        </w:trPr>
        <w:tc>
          <w:tcPr>
            <w:tcW w:type="dxa" w:w="2862"/>
            <w:tcBorders>
              <w:top w:sz="4.0" w:val="single" w:color="#000000"/>
              <w:bottom w:sz="3.200000000000273" w:val="single" w:color="#000000"/>
            </w:tcBorders>
            <w:tcMar>
              <w:start w:w="0" w:type="dxa"/>
              <w:end w:w="0" w:type="dxa"/>
            </w:tcMar>
          </w:tcPr>
          <w:p>
            <w:pPr>
              <w:autoSpaceDN w:val="0"/>
              <w:autoSpaceDE w:val="0"/>
              <w:widowControl/>
              <w:spacing w:line="180" w:lineRule="exact" w:before="232" w:after="0"/>
              <w:ind w:left="198" w:right="0" w:firstLine="0"/>
              <w:jc w:val="left"/>
            </w:pPr>
            <w:r>
              <w:rPr>
                <w:rFonts w:ascii="黑体" w:hAnsi="黑体" w:eastAsia="黑体"/>
                <w:b w:val="0"/>
                <w:i w:val="0"/>
                <w:color w:val="000000"/>
                <w:sz w:val="18"/>
              </w:rPr>
              <w:t>合计</w:t>
            </w:r>
          </w:p>
        </w:tc>
        <w:tc>
          <w:tcPr>
            <w:tcW w:type="dxa" w:w="2948"/>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38" w:after="0"/>
              <w:ind w:left="40" w:right="0" w:firstLine="0"/>
              <w:jc w:val="left"/>
            </w:pPr>
            <w:r>
              <w:rPr>
                <w:rFonts w:ascii="Arial" w:hAnsi="Arial" w:eastAsia="Arial"/>
                <w:b w:val="0"/>
                <w:i w:val="0"/>
                <w:color w:val="000000"/>
                <w:sz w:val="18"/>
              </w:rPr>
              <w:t>8,930,666,141</w:t>
            </w:r>
          </w:p>
        </w:tc>
        <w:tc>
          <w:tcPr>
            <w:tcW w:type="dxa" w:w="2722"/>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38" w:after="0"/>
              <w:ind w:left="38" w:right="0" w:firstLine="0"/>
              <w:jc w:val="left"/>
            </w:pPr>
            <w:r>
              <w:rPr>
                <w:rFonts w:ascii="Arial" w:hAnsi="Arial" w:eastAsia="Arial"/>
                <w:b w:val="0"/>
                <w:i w:val="0"/>
                <w:color w:val="000000"/>
                <w:sz w:val="18"/>
              </w:rPr>
              <w:t>9,862,274,813</w:t>
            </w:r>
          </w:p>
        </w:tc>
      </w:tr>
      <w:tr>
        <w:trPr>
          <w:trHeight w:hRule="exact" w:val="52"/>
        </w:trPr>
        <w:tc>
          <w:tcPr>
            <w:tcW w:type="dxa" w:w="2862"/>
            <w:tcBorders>
              <w:top w:sz="3.200000000000273" w:val="single" w:color="#000000"/>
            </w:tcBorders>
            <w:tcMar>
              <w:start w:w="0" w:type="dxa"/>
              <w:end w:w="0" w:type="dxa"/>
            </w:tcMar>
          </w:tcPr>
          <w:p/>
        </w:tc>
        <w:tc>
          <w:tcPr>
            <w:tcW w:type="dxa" w:w="3610"/>
            <w:gridSpan w:val="2"/>
            <w:vMerge/>
            <w:tcBorders>
              <w:top w:sz="4.0" w:val="single" w:color="#000000"/>
            </w:tcBorders>
          </w:tcPr>
          <w:p/>
        </w:tc>
        <w:tc>
          <w:tcPr>
            <w:tcW w:type="dxa" w:w="3610"/>
            <w:gridSpan w:val="2"/>
            <w:vMerge/>
            <w:tcBorders>
              <w:top w:sz="4.0" w:val="single" w:color="#000000"/>
            </w:tcBorders>
          </w:tcPr>
          <w:p/>
        </w:tc>
      </w:tr>
    </w:tbl>
    <w:p>
      <w:pPr>
        <w:autoSpaceDN w:val="0"/>
        <w:autoSpaceDE w:val="0"/>
        <w:widowControl/>
        <w:spacing w:line="246" w:lineRule="exact" w:before="242"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转融通融入资金</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82"/>
        </w:trPr>
        <w:tc>
          <w:tcPr>
            <w:tcW w:type="dxa" w:w="2862"/>
            <w:tcBorders>
              <w:bottom w:sz="4.0" w:val="single" w:color="#000000"/>
            </w:tcBorders>
            <w:tcMar>
              <w:start w:w="0" w:type="dxa"/>
              <w:end w:w="0" w:type="dxa"/>
            </w:tcMar>
          </w:tcPr>
          <w:p/>
        </w:tc>
        <w:tc>
          <w:tcPr>
            <w:tcW w:type="dxa" w:w="2948"/>
            <w:gridSpan w:val="2"/>
            <w:tcBorders>
              <w:bottom w:sz="4.0" w:val="single" w:color="#000000"/>
            </w:tcBorders>
            <w:tcMar>
              <w:start w:w="0" w:type="dxa"/>
              <w:end w:w="0" w:type="dxa"/>
            </w:tcMar>
            <w:tcMar>
              <w:start w:w="0" w:type="dxa"/>
              <w:end w:w="0" w:type="dxa"/>
            </w:tcMar>
          </w:tcPr>
          <w:p>
            <w:pPr>
              <w:autoSpaceDN w:val="0"/>
              <w:autoSpaceDE w:val="0"/>
              <w:widowControl/>
              <w:spacing w:line="200" w:lineRule="exact" w:before="60" w:after="0"/>
              <w:ind w:left="690" w:right="0" w:firstLine="0"/>
              <w:jc w:val="lef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2722"/>
            <w:gridSpan w:val="2"/>
            <w:tcBorders>
              <w:bottom w:sz="4.0" w:val="single" w:color="#000000"/>
            </w:tcBorders>
            <w:tcMar>
              <w:start w:w="0" w:type="dxa"/>
              <w:end w:w="0" w:type="dxa"/>
            </w:tcMar>
            <w:tcMar>
              <w:start w:w="0" w:type="dxa"/>
              <w:end w:w="0" w:type="dxa"/>
            </w:tcMar>
          </w:tcPr>
          <w:p>
            <w:pPr>
              <w:autoSpaceDN w:val="0"/>
              <w:autoSpaceDE w:val="0"/>
              <w:widowControl/>
              <w:spacing w:line="200" w:lineRule="exact" w:before="60" w:after="0"/>
              <w:ind w:left="0" w:right="0" w:firstLine="0"/>
              <w:jc w:val="center"/>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r>
      <w:tr>
        <w:trPr>
          <w:trHeight w:hRule="exact" w:val="318"/>
        </w:trPr>
        <w:tc>
          <w:tcPr>
            <w:tcW w:type="dxa" w:w="2862"/>
            <w:tcBorders>
              <w:top w:sz="4.0" w:val="single" w:color="#000000"/>
            </w:tcBorders>
            <w:tcMar>
              <w:start w:w="0" w:type="dxa"/>
              <w:end w:w="0" w:type="dxa"/>
            </w:tcMar>
          </w:tcPr>
          <w:p>
            <w:pPr>
              <w:autoSpaceDN w:val="0"/>
              <w:autoSpaceDE w:val="0"/>
              <w:widowControl/>
              <w:spacing w:line="180" w:lineRule="exact" w:before="24" w:after="0"/>
              <w:ind w:left="198" w:right="0" w:firstLine="0"/>
              <w:jc w:val="left"/>
            </w:pPr>
            <w:r>
              <w:rPr>
                <w:rFonts w:ascii="黑体" w:hAnsi="黑体" w:eastAsia="黑体"/>
                <w:b w:val="0"/>
                <w:i w:val="0"/>
                <w:color w:val="000000"/>
                <w:sz w:val="18"/>
              </w:rPr>
              <w:t>剩余期限</w:t>
            </w:r>
          </w:p>
        </w:tc>
        <w:tc>
          <w:tcPr>
            <w:tcW w:type="dxa" w:w="1178"/>
            <w:tcBorders>
              <w:top w:sz="4.0" w:val="single" w:color="#000000"/>
            </w:tcBorders>
            <w:tcMar>
              <w:start w:w="0" w:type="dxa"/>
              <w:end w:w="0" w:type="dxa"/>
            </w:tcMar>
          </w:tcPr>
          <w:p>
            <w:pPr>
              <w:autoSpaceDN w:val="0"/>
              <w:autoSpaceDE w:val="0"/>
              <w:widowControl/>
              <w:spacing w:line="180" w:lineRule="exact" w:before="24" w:after="0"/>
              <w:ind w:left="0" w:right="0" w:firstLine="0"/>
              <w:jc w:val="right"/>
            </w:pPr>
            <w:r>
              <w:rPr>
                <w:rFonts w:ascii="黑体" w:hAnsi="黑体" w:eastAsia="黑体"/>
                <w:b w:val="0"/>
                <w:i w:val="0"/>
                <w:color w:val="000000"/>
                <w:sz w:val="18"/>
              </w:rPr>
              <w:t>余额</w:t>
            </w:r>
          </w:p>
        </w:tc>
        <w:tc>
          <w:tcPr>
            <w:tcW w:type="dxa" w:w="1770"/>
            <w:tcBorders>
              <w:top w:sz="4.0" w:val="single" w:color="#000000"/>
            </w:tcBorders>
            <w:tcMar>
              <w:start w:w="0" w:type="dxa"/>
              <w:end w:w="0" w:type="dxa"/>
            </w:tcMar>
          </w:tcPr>
          <w:p>
            <w:pPr>
              <w:autoSpaceDN w:val="0"/>
              <w:autoSpaceDE w:val="0"/>
              <w:widowControl/>
              <w:spacing w:line="180" w:lineRule="exact" w:before="24" w:after="0"/>
              <w:ind w:left="0" w:right="228" w:firstLine="0"/>
              <w:jc w:val="right"/>
            </w:pPr>
            <w:r>
              <w:rPr>
                <w:rFonts w:ascii="黑体" w:hAnsi="黑体" w:eastAsia="黑体"/>
                <w:b w:val="0"/>
                <w:i w:val="0"/>
                <w:color w:val="000000"/>
                <w:sz w:val="18"/>
              </w:rPr>
              <w:t>利率区间</w:t>
            </w:r>
          </w:p>
        </w:tc>
        <w:tc>
          <w:tcPr>
            <w:tcW w:type="dxa" w:w="1190"/>
            <w:tcBorders>
              <w:top w:sz="4.0" w:val="single" w:color="#000000"/>
            </w:tcBorders>
            <w:tcMar>
              <w:start w:w="0" w:type="dxa"/>
              <w:end w:w="0" w:type="dxa"/>
            </w:tcMar>
          </w:tcPr>
          <w:p>
            <w:pPr>
              <w:autoSpaceDN w:val="0"/>
              <w:autoSpaceDE w:val="0"/>
              <w:widowControl/>
              <w:spacing w:line="180" w:lineRule="exact" w:before="24" w:after="0"/>
              <w:ind w:left="0" w:right="0" w:firstLine="0"/>
              <w:jc w:val="right"/>
            </w:pPr>
            <w:r>
              <w:rPr>
                <w:rFonts w:ascii="黑体" w:hAnsi="黑体" w:eastAsia="黑体"/>
                <w:b w:val="0"/>
                <w:i w:val="0"/>
                <w:color w:val="000000"/>
                <w:sz w:val="18"/>
              </w:rPr>
              <w:t>余额</w:t>
            </w:r>
          </w:p>
        </w:tc>
        <w:tc>
          <w:tcPr>
            <w:tcW w:type="dxa" w:w="1532"/>
            <w:tcBorders>
              <w:top w:sz="4.0" w:val="single" w:color="#000000"/>
            </w:tcBorders>
            <w:tcMar>
              <w:start w:w="0" w:type="dxa"/>
              <w:end w:w="0" w:type="dxa"/>
            </w:tcMar>
          </w:tcPr>
          <w:p>
            <w:pPr>
              <w:autoSpaceDN w:val="0"/>
              <w:autoSpaceDE w:val="0"/>
              <w:widowControl/>
              <w:spacing w:line="180" w:lineRule="exact" w:before="24" w:after="0"/>
              <w:ind w:left="0" w:right="2" w:firstLine="0"/>
              <w:jc w:val="right"/>
            </w:pPr>
            <w:r>
              <w:rPr>
                <w:rFonts w:ascii="黑体" w:hAnsi="黑体" w:eastAsia="黑体"/>
                <w:b w:val="0"/>
                <w:i w:val="0"/>
                <w:color w:val="000000"/>
                <w:sz w:val="18"/>
              </w:rPr>
              <w:t>利率区间</w:t>
            </w:r>
          </w:p>
        </w:tc>
      </w:tr>
      <w:tr>
        <w:trPr>
          <w:trHeight w:hRule="exact" w:val="340"/>
        </w:trPr>
        <w:tc>
          <w:tcPr>
            <w:tcW w:type="dxa" w:w="2862"/>
            <w:tcBorders/>
            <w:tcMar>
              <w:start w:w="0" w:type="dxa"/>
              <w:end w:w="0" w:type="dxa"/>
            </w:tcMar>
          </w:tcPr>
          <w:p>
            <w:pPr>
              <w:autoSpaceDN w:val="0"/>
              <w:autoSpaceDE w:val="0"/>
              <w:widowControl/>
              <w:spacing w:line="200" w:lineRule="exact" w:before="140" w:after="0"/>
              <w:ind w:left="198" w:right="0" w:firstLine="0"/>
              <w:jc w:val="left"/>
            </w:pPr>
            <w:r>
              <w:rPr>
                <w:rFonts w:ascii="Arial" w:hAnsi="Arial" w:eastAsia="Arial"/>
                <w:b w:val="0"/>
                <w:i w:val="0"/>
                <w:color w:val="000000"/>
                <w:sz w:val="18"/>
              </w:rPr>
              <w:t>1</w:t>
            </w:r>
            <w:r>
              <w:rPr>
                <w:rFonts w:ascii="黑体" w:hAnsi="黑体" w:eastAsia="黑体"/>
                <w:b w:val="0"/>
                <w:i w:val="0"/>
                <w:color w:val="000000"/>
                <w:sz w:val="18"/>
              </w:rPr>
              <w:t>个月内</w:t>
            </w:r>
          </w:p>
        </w:tc>
        <w:tc>
          <w:tcPr>
            <w:tcW w:type="dxa" w:w="1178"/>
            <w:tcBorders/>
            <w:tcMar>
              <w:start w:w="0" w:type="dxa"/>
              <w:end w:w="0" w:type="dxa"/>
            </w:tcMar>
          </w:tcPr>
          <w:p>
            <w:pPr>
              <w:autoSpaceDN w:val="0"/>
              <w:autoSpaceDE w:val="0"/>
              <w:widowControl/>
              <w:spacing w:line="233" w:lineRule="auto" w:before="140" w:after="0"/>
              <w:ind w:left="0" w:right="0" w:firstLine="0"/>
              <w:jc w:val="right"/>
            </w:pPr>
            <w:r>
              <w:rPr>
                <w:rFonts w:ascii="Arial" w:hAnsi="Arial" w:eastAsia="Arial"/>
                <w:b w:val="0"/>
                <w:i w:val="0"/>
                <w:color w:val="000000"/>
                <w:sz w:val="18"/>
              </w:rPr>
              <w:t>-</w:t>
            </w:r>
          </w:p>
        </w:tc>
        <w:tc>
          <w:tcPr>
            <w:tcW w:type="dxa" w:w="1770"/>
            <w:tcBorders/>
            <w:tcMar>
              <w:start w:w="0" w:type="dxa"/>
              <w:end w:w="0" w:type="dxa"/>
            </w:tcMar>
          </w:tcPr>
          <w:p>
            <w:pPr>
              <w:autoSpaceDN w:val="0"/>
              <w:autoSpaceDE w:val="0"/>
              <w:widowControl/>
              <w:spacing w:line="233" w:lineRule="auto" w:before="140" w:after="0"/>
              <w:ind w:left="0" w:right="178" w:firstLine="0"/>
              <w:jc w:val="right"/>
            </w:pPr>
            <w:r>
              <w:rPr>
                <w:rFonts w:ascii="Arial" w:hAnsi="Arial" w:eastAsia="Arial"/>
                <w:b w:val="0"/>
                <w:i w:val="0"/>
                <w:color w:val="000000"/>
                <w:sz w:val="18"/>
              </w:rPr>
              <w:t xml:space="preserve">- </w:t>
            </w:r>
          </w:p>
        </w:tc>
        <w:tc>
          <w:tcPr>
            <w:tcW w:type="dxa" w:w="1190"/>
            <w:tcBorders/>
            <w:tcMar>
              <w:start w:w="0" w:type="dxa"/>
              <w:end w:w="0" w:type="dxa"/>
            </w:tcMar>
          </w:tcPr>
          <w:p>
            <w:pPr>
              <w:autoSpaceDN w:val="0"/>
              <w:autoSpaceDE w:val="0"/>
              <w:widowControl/>
              <w:spacing w:line="233" w:lineRule="auto" w:before="140" w:after="0"/>
              <w:ind w:left="190" w:right="0" w:firstLine="0"/>
              <w:jc w:val="left"/>
            </w:pPr>
            <w:r>
              <w:rPr>
                <w:rFonts w:ascii="Arial" w:hAnsi="Arial" w:eastAsia="Arial"/>
                <w:b w:val="0"/>
                <w:i w:val="0"/>
                <w:color w:val="000000"/>
                <w:sz w:val="18"/>
              </w:rPr>
              <w:t>504,860,000</w:t>
            </w:r>
          </w:p>
        </w:tc>
        <w:tc>
          <w:tcPr>
            <w:tcW w:type="dxa" w:w="1532"/>
            <w:tcBorders/>
            <w:tcMar>
              <w:start w:w="0" w:type="dxa"/>
              <w:end w:w="0" w:type="dxa"/>
            </w:tcMar>
          </w:tcPr>
          <w:p>
            <w:pPr>
              <w:autoSpaceDN w:val="0"/>
              <w:autoSpaceDE w:val="0"/>
              <w:widowControl/>
              <w:spacing w:line="233" w:lineRule="auto" w:before="140" w:after="0"/>
              <w:ind w:left="0" w:right="0" w:firstLine="0"/>
              <w:jc w:val="right"/>
            </w:pPr>
            <w:r>
              <w:rPr>
                <w:rFonts w:ascii="Arial" w:hAnsi="Arial" w:eastAsia="Arial"/>
                <w:b w:val="0"/>
                <w:i w:val="0"/>
                <w:color w:val="000000"/>
                <w:sz w:val="18"/>
              </w:rPr>
              <w:t>2.16%</w:t>
            </w:r>
          </w:p>
        </w:tc>
      </w:tr>
      <w:tr>
        <w:trPr>
          <w:trHeight w:hRule="exact" w:val="240"/>
        </w:trPr>
        <w:tc>
          <w:tcPr>
            <w:tcW w:type="dxa" w:w="2862"/>
            <w:tcBorders/>
            <w:tcMar>
              <w:start w:w="0" w:type="dxa"/>
              <w:end w:w="0" w:type="dxa"/>
            </w:tcMar>
          </w:tcPr>
          <w:p>
            <w:pPr>
              <w:autoSpaceDN w:val="0"/>
              <w:autoSpaceDE w:val="0"/>
              <w:widowControl/>
              <w:spacing w:line="202" w:lineRule="exact" w:before="38" w:after="0"/>
              <w:ind w:left="198" w:right="0" w:firstLine="0"/>
              <w:jc w:val="left"/>
            </w:pPr>
            <w:r>
              <w:rPr>
                <w:rFonts w:ascii="Arial" w:hAnsi="Arial" w:eastAsia="Arial"/>
                <w:b w:val="0"/>
                <w:i w:val="0"/>
                <w:color w:val="000000"/>
                <w:sz w:val="18"/>
              </w:rPr>
              <w:t>1</w:t>
            </w:r>
            <w:r>
              <w:rPr>
                <w:rFonts w:ascii="黑体" w:hAnsi="黑体" w:eastAsia="黑体"/>
                <w:b w:val="0"/>
                <w:i w:val="0"/>
                <w:color w:val="000000"/>
                <w:sz w:val="18"/>
              </w:rPr>
              <w:t>至</w:t>
            </w:r>
            <w:r>
              <w:rPr>
                <w:rFonts w:ascii="Arial" w:hAnsi="Arial" w:eastAsia="Arial"/>
                <w:b w:val="0"/>
                <w:i w:val="0"/>
                <w:color w:val="000000"/>
                <w:sz w:val="18"/>
              </w:rPr>
              <w:t>3</w:t>
            </w:r>
            <w:r>
              <w:rPr>
                <w:rFonts w:ascii="黑体" w:hAnsi="黑体" w:eastAsia="黑体"/>
                <w:b w:val="0"/>
                <w:i w:val="0"/>
                <w:color w:val="000000"/>
                <w:sz w:val="18"/>
              </w:rPr>
              <w:t>个月（含）</w:t>
            </w:r>
          </w:p>
        </w:tc>
        <w:tc>
          <w:tcPr>
            <w:tcW w:type="dxa" w:w="1178"/>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w:t>
            </w:r>
          </w:p>
        </w:tc>
        <w:tc>
          <w:tcPr>
            <w:tcW w:type="dxa" w:w="1770"/>
            <w:tcBorders/>
            <w:tcMar>
              <w:start w:w="0" w:type="dxa"/>
              <w:end w:w="0" w:type="dxa"/>
            </w:tcMar>
          </w:tcPr>
          <w:p>
            <w:pPr>
              <w:autoSpaceDN w:val="0"/>
              <w:autoSpaceDE w:val="0"/>
              <w:widowControl/>
              <w:spacing w:line="235" w:lineRule="auto" w:before="38" w:after="0"/>
              <w:ind w:left="0" w:right="178" w:firstLine="0"/>
              <w:jc w:val="right"/>
            </w:pPr>
            <w:r>
              <w:rPr>
                <w:rFonts w:ascii="Arial" w:hAnsi="Arial" w:eastAsia="Arial"/>
                <w:b w:val="0"/>
                <w:i w:val="0"/>
                <w:color w:val="000000"/>
                <w:sz w:val="18"/>
              </w:rPr>
              <w:t xml:space="preserve">- </w:t>
            </w:r>
          </w:p>
        </w:tc>
        <w:tc>
          <w:tcPr>
            <w:tcW w:type="dxa" w:w="1190"/>
            <w:tcBorders/>
            <w:tcMar>
              <w:start w:w="0" w:type="dxa"/>
              <w:end w:w="0" w:type="dxa"/>
            </w:tcMar>
          </w:tcPr>
          <w:p>
            <w:pPr>
              <w:autoSpaceDN w:val="0"/>
              <w:autoSpaceDE w:val="0"/>
              <w:widowControl/>
              <w:spacing w:line="235" w:lineRule="auto" w:before="38" w:after="0"/>
              <w:ind w:left="0" w:right="0" w:firstLine="0"/>
              <w:jc w:val="center"/>
            </w:pPr>
            <w:r>
              <w:rPr>
                <w:rFonts w:ascii="Arial" w:hAnsi="Arial" w:eastAsia="Arial"/>
                <w:b w:val="0"/>
                <w:i w:val="0"/>
                <w:color w:val="000000"/>
                <w:sz w:val="18"/>
              </w:rPr>
              <w:t>1,007,498,889</w:t>
            </w:r>
          </w:p>
        </w:tc>
        <w:tc>
          <w:tcPr>
            <w:tcW w:type="dxa" w:w="1532"/>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2.12%-2.31%</w:t>
            </w:r>
          </w:p>
        </w:tc>
      </w:tr>
      <w:tr>
        <w:trPr>
          <w:trHeight w:hRule="exact" w:val="252"/>
        </w:trPr>
        <w:tc>
          <w:tcPr>
            <w:tcW w:type="dxa" w:w="2862"/>
            <w:tcBorders>
              <w:bottom w:sz="3.200000000000273" w:val="single" w:color="#000000"/>
            </w:tcBorders>
            <w:tcMar>
              <w:start w:w="0" w:type="dxa"/>
              <w:end w:w="0" w:type="dxa"/>
            </w:tcMar>
          </w:tcPr>
          <w:p>
            <w:pPr>
              <w:autoSpaceDN w:val="0"/>
              <w:autoSpaceDE w:val="0"/>
              <w:widowControl/>
              <w:spacing w:line="200" w:lineRule="exact" w:before="32" w:after="0"/>
              <w:ind w:left="198" w:right="0" w:firstLine="0"/>
              <w:jc w:val="left"/>
            </w:pPr>
            <w:r>
              <w:rPr>
                <w:rFonts w:ascii="Arial" w:hAnsi="Arial" w:eastAsia="Arial"/>
                <w:b w:val="0"/>
                <w:i w:val="0"/>
                <w:color w:val="000000"/>
                <w:sz w:val="18"/>
              </w:rPr>
              <w:t>3</w:t>
            </w:r>
            <w:r>
              <w:rPr>
                <w:rFonts w:ascii="黑体" w:hAnsi="黑体" w:eastAsia="黑体"/>
                <w:b w:val="0"/>
                <w:i w:val="0"/>
                <w:color w:val="000000"/>
                <w:sz w:val="18"/>
              </w:rPr>
              <w:t>个月至</w:t>
            </w:r>
            <w:r>
              <w:rPr>
                <w:rFonts w:ascii="Arial" w:hAnsi="Arial" w:eastAsia="Arial"/>
                <w:b w:val="0"/>
                <w:i w:val="0"/>
                <w:color w:val="000000"/>
                <w:sz w:val="18"/>
              </w:rPr>
              <w:t>1</w:t>
            </w:r>
            <w:r>
              <w:rPr>
                <w:rFonts w:ascii="黑体" w:hAnsi="黑体" w:eastAsia="黑体"/>
                <w:b w:val="0"/>
                <w:i w:val="0"/>
                <w:color w:val="000000"/>
                <w:sz w:val="18"/>
              </w:rPr>
              <w:t>年内（含）</w:t>
            </w:r>
          </w:p>
        </w:tc>
        <w:tc>
          <w:tcPr>
            <w:tcW w:type="dxa" w:w="1178"/>
            <w:tcBorders>
              <w:bottom w:sz="3.200000000000273" w:val="single" w:color="#000000"/>
            </w:tcBorders>
            <w:tcMar>
              <w:start w:w="0" w:type="dxa"/>
              <w:end w:w="0" w:type="dxa"/>
            </w:tcMar>
          </w:tcPr>
          <w:p>
            <w:pPr>
              <w:autoSpaceDN w:val="0"/>
              <w:autoSpaceDE w:val="0"/>
              <w:widowControl/>
              <w:spacing w:line="233" w:lineRule="auto" w:before="46" w:after="0"/>
              <w:ind w:left="0" w:right="0" w:firstLine="0"/>
              <w:jc w:val="center"/>
            </w:pPr>
            <w:r>
              <w:rPr>
                <w:rFonts w:ascii="Arial" w:hAnsi="Arial" w:eastAsia="Arial"/>
                <w:b w:val="0"/>
                <w:i w:val="0"/>
                <w:color w:val="000000"/>
                <w:sz w:val="18"/>
              </w:rPr>
              <w:t>1,402,430,611</w:t>
            </w:r>
          </w:p>
        </w:tc>
        <w:tc>
          <w:tcPr>
            <w:tcW w:type="dxa" w:w="1770"/>
            <w:tcBorders>
              <w:bottom w:sz="3.200000000000273" w:val="single" w:color="#000000"/>
            </w:tcBorders>
            <w:tcMar>
              <w:start w:w="0" w:type="dxa"/>
              <w:end w:w="0" w:type="dxa"/>
            </w:tcMar>
          </w:tcPr>
          <w:p>
            <w:pPr>
              <w:autoSpaceDN w:val="0"/>
              <w:autoSpaceDE w:val="0"/>
              <w:widowControl/>
              <w:spacing w:line="233" w:lineRule="auto" w:before="46" w:after="0"/>
              <w:ind w:left="0" w:right="178" w:firstLine="0"/>
              <w:jc w:val="right"/>
            </w:pPr>
            <w:r>
              <w:rPr>
                <w:rFonts w:ascii="Arial" w:hAnsi="Arial" w:eastAsia="Arial"/>
                <w:b w:val="0"/>
                <w:i w:val="0"/>
                <w:color w:val="000000"/>
                <w:sz w:val="18"/>
              </w:rPr>
              <w:t xml:space="preserve">1.85%-2.38% </w:t>
            </w:r>
          </w:p>
        </w:tc>
        <w:tc>
          <w:tcPr>
            <w:tcW w:type="dxa" w:w="1190"/>
            <w:tcBorders>
              <w:bottom w:sz="3.200000000000273" w:val="single" w:color="#000000"/>
            </w:tcBorders>
            <w:tcMar>
              <w:start w:w="0" w:type="dxa"/>
              <w:end w:w="0" w:type="dxa"/>
            </w:tcMar>
          </w:tcPr>
          <w:p>
            <w:pPr>
              <w:autoSpaceDN w:val="0"/>
              <w:autoSpaceDE w:val="0"/>
              <w:widowControl/>
              <w:spacing w:line="233" w:lineRule="auto" w:before="46" w:after="0"/>
              <w:ind w:left="0" w:right="0" w:firstLine="0"/>
              <w:jc w:val="center"/>
            </w:pPr>
            <w:r>
              <w:rPr>
                <w:rFonts w:ascii="Arial" w:hAnsi="Arial" w:eastAsia="Arial"/>
                <w:b w:val="0"/>
                <w:i w:val="0"/>
                <w:color w:val="000000"/>
                <w:sz w:val="18"/>
              </w:rPr>
              <w:t>1,402,962,000</w:t>
            </w:r>
          </w:p>
        </w:tc>
        <w:tc>
          <w:tcPr>
            <w:tcW w:type="dxa" w:w="1532"/>
            <w:tcBorders>
              <w:bottom w:sz="3.200000000000273"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8"/>
              </w:rPr>
              <w:t>2.93%-3.10%</w:t>
            </w:r>
          </w:p>
        </w:tc>
      </w:tr>
      <w:tr>
        <w:trPr>
          <w:trHeight w:hRule="exact" w:val="472"/>
        </w:trPr>
        <w:tc>
          <w:tcPr>
            <w:tcW w:type="dxa" w:w="2862"/>
            <w:tcBorders>
              <w:top w:sz="3.200000000000273" w:val="single" w:color="#000000"/>
              <w:bottom w:sz="4.0" w:val="single" w:color="#000000"/>
            </w:tcBorders>
            <w:tcMar>
              <w:start w:w="0" w:type="dxa"/>
              <w:end w:w="0" w:type="dxa"/>
            </w:tcMar>
          </w:tcPr>
          <w:p>
            <w:pPr>
              <w:autoSpaceDN w:val="0"/>
              <w:autoSpaceDE w:val="0"/>
              <w:widowControl/>
              <w:spacing w:line="180" w:lineRule="exact" w:before="254" w:after="0"/>
              <w:ind w:left="198" w:right="0" w:firstLine="0"/>
              <w:jc w:val="left"/>
            </w:pPr>
            <w:r>
              <w:rPr>
                <w:rFonts w:ascii="黑体" w:hAnsi="黑体" w:eastAsia="黑体"/>
                <w:b w:val="0"/>
                <w:i w:val="0"/>
                <w:color w:val="000000"/>
                <w:sz w:val="18"/>
              </w:rPr>
              <w:t>合计</w:t>
            </w:r>
          </w:p>
        </w:tc>
        <w:tc>
          <w:tcPr>
            <w:tcW w:type="dxa" w:w="2948"/>
            <w:gridSpan w:val="2"/>
            <w:vMerge w:val="restart"/>
            <w:tcBorders>
              <w:top w:sz="3.20000000000027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60" w:after="0"/>
              <w:ind w:left="40" w:right="0" w:firstLine="0"/>
              <w:jc w:val="left"/>
            </w:pPr>
            <w:r>
              <w:rPr>
                <w:rFonts w:ascii="Arial" w:hAnsi="Arial" w:eastAsia="Arial"/>
                <w:b w:val="0"/>
                <w:i w:val="0"/>
                <w:color w:val="000000"/>
                <w:sz w:val="18"/>
              </w:rPr>
              <w:t>1,402,430,611</w:t>
            </w:r>
          </w:p>
        </w:tc>
        <w:tc>
          <w:tcPr>
            <w:tcW w:type="dxa" w:w="2722"/>
            <w:gridSpan w:val="2"/>
            <w:vMerge w:val="restart"/>
            <w:tcBorders>
              <w:top w:sz="3.20000000000027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60" w:after="0"/>
              <w:ind w:left="38" w:right="0" w:firstLine="0"/>
              <w:jc w:val="left"/>
            </w:pPr>
            <w:r>
              <w:rPr>
                <w:rFonts w:ascii="Arial" w:hAnsi="Arial" w:eastAsia="Arial"/>
                <w:b w:val="0"/>
                <w:i w:val="0"/>
                <w:color w:val="000000"/>
                <w:sz w:val="18"/>
              </w:rPr>
              <w:t>2,915,320,889</w:t>
            </w:r>
          </w:p>
        </w:tc>
      </w:tr>
      <w:tr>
        <w:trPr>
          <w:trHeight w:hRule="exact" w:val="52"/>
        </w:trPr>
        <w:tc>
          <w:tcPr>
            <w:tcW w:type="dxa" w:w="2862"/>
            <w:tcBorders>
              <w:top w:sz="4.0" w:val="single" w:color="#000000"/>
            </w:tcBorders>
            <w:tcMar>
              <w:start w:w="0" w:type="dxa"/>
              <w:end w:w="0" w:type="dxa"/>
            </w:tcMar>
          </w:tcPr>
          <w:p/>
        </w:tc>
        <w:tc>
          <w:tcPr>
            <w:tcW w:type="dxa" w:w="3610"/>
            <w:gridSpan w:val="2"/>
            <w:vMerge/>
            <w:tcBorders>
              <w:top w:sz="3.200000000000273" w:val="single" w:color="#000000"/>
            </w:tcBorders>
          </w:tcPr>
          <w:p/>
        </w:tc>
        <w:tc>
          <w:tcPr>
            <w:tcW w:type="dxa" w:w="3610"/>
            <w:gridSpan w:val="2"/>
            <w:vMerge/>
            <w:tcBorders>
              <w:top w:sz="3.200000000000273" w:val="single" w:color="#000000"/>
            </w:tcBorders>
          </w:tcPr>
          <w:p/>
        </w:tc>
      </w:tr>
    </w:tbl>
    <w:p>
      <w:pPr>
        <w:autoSpaceDN w:val="0"/>
        <w:autoSpaceDE w:val="0"/>
        <w:widowControl/>
        <w:spacing w:line="233" w:lineRule="auto" w:before="6022" w:after="0"/>
        <w:ind w:left="0" w:right="0" w:firstLine="0"/>
        <w:jc w:val="center"/>
      </w:pPr>
      <w:r>
        <w:rPr>
          <w:rFonts w:ascii="Arial" w:hAnsi="Arial" w:eastAsia="Arial"/>
          <w:b w:val="0"/>
          <w:i w:val="0"/>
          <w:color w:val="000000"/>
          <w:sz w:val="20"/>
        </w:rPr>
        <w:t xml:space="preserve">222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23. </w:t>
      </w:r>
      <w:r>
        <w:rPr>
          <w:rFonts w:ascii="黑体" w:hAnsi="黑体" w:eastAsia="黑体"/>
          <w:b w:val="0"/>
          <w:i w:val="0"/>
          <w:color w:val="000000"/>
          <w:sz w:val="22"/>
        </w:rPr>
        <w:t>交易性金融负债</w:t>
      </w:r>
    </w:p>
    <w:p>
      <w:pPr>
        <w:autoSpaceDN w:val="0"/>
        <w:autoSpaceDE w:val="0"/>
        <w:widowControl/>
        <w:spacing w:line="168" w:lineRule="exact" w:before="286" w:after="16"/>
        <w:ind w:left="0" w:right="3332" w:firstLine="0"/>
        <w:jc w:val="right"/>
      </w:pPr>
      <w:r>
        <w:rPr>
          <w:rFonts w:ascii="Arial" w:hAnsi="Arial" w:eastAsia="Arial"/>
          <w:b w:val="0"/>
          <w:i w:val="0"/>
          <w:color w:val="000000"/>
          <w:sz w:val="15"/>
        </w:rPr>
        <w:t>2024</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289"/>
        <w:gridCol w:w="1289"/>
        <w:gridCol w:w="1289"/>
        <w:gridCol w:w="1289"/>
        <w:gridCol w:w="1289"/>
        <w:gridCol w:w="1289"/>
        <w:gridCol w:w="1289"/>
      </w:tblGrid>
      <w:tr>
        <w:trPr>
          <w:trHeight w:hRule="exact" w:val="202"/>
        </w:trPr>
        <w:tc>
          <w:tcPr>
            <w:tcW w:type="dxa" w:w="1418"/>
            <w:tcBorders>
              <w:top w:sz="4.0" w:val="single" w:color="#000000"/>
              <w:bottom w:sz="4.0" w:val="single" w:color="#000000"/>
            </w:tcBorders>
            <w:tcMar>
              <w:start w:w="0" w:type="dxa"/>
              <w:end w:w="0" w:type="dxa"/>
            </w:tcMar>
          </w:tcPr>
          <w:p/>
        </w:tc>
        <w:tc>
          <w:tcPr>
            <w:tcW w:type="dxa" w:w="1218"/>
            <w:tcBorders>
              <w:bottom w:sz="4.0" w:val="single" w:color="#000000"/>
            </w:tcBorders>
            <w:tcMar>
              <w:start w:w="0" w:type="dxa"/>
              <w:end w:w="0" w:type="dxa"/>
            </w:tcMar>
          </w:tcPr>
          <w:p/>
        </w:tc>
        <w:tc>
          <w:tcPr>
            <w:tcW w:type="dxa" w:w="1078"/>
            <w:tcBorders>
              <w:bottom w:sz="4.0" w:val="single" w:color="#000000"/>
            </w:tcBorders>
            <w:tcMar>
              <w:start w:w="0" w:type="dxa"/>
              <w:end w:w="0" w:type="dxa"/>
            </w:tcMar>
          </w:tcPr>
          <w:p>
            <w:pPr>
              <w:autoSpaceDN w:val="0"/>
              <w:autoSpaceDE w:val="0"/>
              <w:widowControl/>
              <w:spacing w:line="150" w:lineRule="exact" w:before="26" w:after="0"/>
              <w:ind w:left="0" w:right="0" w:firstLine="0"/>
              <w:jc w:val="center"/>
            </w:pPr>
            <w:r>
              <w:rPr>
                <w:rFonts w:ascii="黑体" w:hAnsi="黑体" w:eastAsia="黑体"/>
                <w:b w:val="0"/>
                <w:i w:val="0"/>
                <w:color w:val="000000"/>
                <w:sz w:val="15"/>
              </w:rPr>
              <w:t>公允价值</w:t>
            </w:r>
          </w:p>
        </w:tc>
        <w:tc>
          <w:tcPr>
            <w:tcW w:type="dxa" w:w="239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230" w:after="0"/>
              <w:ind w:left="0" w:right="8" w:firstLine="0"/>
              <w:jc w:val="right"/>
            </w:pPr>
            <w:r>
              <w:rPr>
                <w:rFonts w:ascii="黑体" w:hAnsi="黑体" w:eastAsia="黑体"/>
                <w:b w:val="0"/>
                <w:i w:val="0"/>
                <w:color w:val="000000"/>
                <w:sz w:val="15"/>
              </w:rPr>
              <w:t>分类为以公允价</w:t>
            </w:r>
          </w:p>
        </w:tc>
        <w:tc>
          <w:tcPr>
            <w:tcW w:type="dxa" w:w="1210"/>
            <w:tcBorders>
              <w:bottom w:sz="4.0" w:val="single" w:color="#000000"/>
            </w:tcBorders>
            <w:tcMar>
              <w:start w:w="0" w:type="dxa"/>
              <w:end w:w="0" w:type="dxa"/>
            </w:tcMar>
          </w:tcPr>
          <w:p>
            <w:pPr>
              <w:autoSpaceDN w:val="0"/>
              <w:autoSpaceDE w:val="0"/>
              <w:widowControl/>
              <w:spacing w:line="150" w:lineRule="exact" w:before="26" w:after="0"/>
              <w:ind w:left="0" w:right="238" w:firstLine="0"/>
              <w:jc w:val="right"/>
            </w:pPr>
            <w:r>
              <w:rPr>
                <w:rFonts w:ascii="黑体" w:hAnsi="黑体" w:eastAsia="黑体"/>
                <w:b w:val="0"/>
                <w:i w:val="0"/>
                <w:color w:val="000000"/>
                <w:sz w:val="15"/>
              </w:rPr>
              <w:t>初始成本</w:t>
            </w:r>
          </w:p>
        </w:tc>
        <w:tc>
          <w:tcPr>
            <w:tcW w:type="dxa" w:w="1218"/>
            <w:tcBorders>
              <w:bottom w:sz="4.0" w:val="single" w:color="#000000"/>
            </w:tcBorders>
            <w:tcMar>
              <w:start w:w="0" w:type="dxa"/>
              <w:end w:w="0" w:type="dxa"/>
            </w:tcMar>
          </w:tcPr>
          <w:p/>
        </w:tc>
      </w:tr>
      <w:tr>
        <w:trPr>
          <w:trHeight w:hRule="exact" w:val="194"/>
        </w:trPr>
        <w:tc>
          <w:tcPr>
            <w:tcW w:type="dxa" w:w="1418"/>
            <w:vMerge w:val="restart"/>
            <w:tcBorders>
              <w:top w:sz="4.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972" w:after="0"/>
              <w:ind w:left="0" w:right="0" w:firstLine="0"/>
              <w:jc w:val="center"/>
            </w:pPr>
            <w:r>
              <w:rPr>
                <w:rFonts w:ascii="黑体" w:hAnsi="黑体" w:eastAsia="黑体"/>
                <w:b w:val="0"/>
                <w:i w:val="0"/>
                <w:color w:val="000000"/>
                <w:sz w:val="15"/>
              </w:rPr>
              <w:t>卖出的借入债券</w:t>
            </w:r>
          </w:p>
        </w:tc>
        <w:tc>
          <w:tcPr>
            <w:tcW w:type="dxa" w:w="1218"/>
            <w:tcBorders>
              <w:top w:sz="4.0" w:val="single" w:color="#000000"/>
            </w:tcBorders>
            <w:tcMar>
              <w:start w:w="0" w:type="dxa"/>
              <w:end w:w="0" w:type="dxa"/>
            </w:tcMar>
          </w:tcPr>
          <w:p>
            <w:pPr>
              <w:autoSpaceDN w:val="0"/>
              <w:autoSpaceDE w:val="0"/>
              <w:widowControl/>
              <w:spacing w:line="150" w:lineRule="exact" w:before="22" w:after="0"/>
              <w:ind w:left="26" w:right="0" w:firstLine="0"/>
              <w:jc w:val="left"/>
            </w:pPr>
            <w:r>
              <w:rPr>
                <w:rFonts w:ascii="黑体" w:hAnsi="黑体" w:eastAsia="黑体"/>
                <w:b w:val="0"/>
                <w:i w:val="0"/>
                <w:color w:val="000000"/>
                <w:sz w:val="15"/>
              </w:rPr>
              <w:t>分类为以公允价</w:t>
            </w:r>
          </w:p>
        </w:tc>
        <w:tc>
          <w:tcPr>
            <w:tcW w:type="dxa" w:w="1078"/>
            <w:tcBorders>
              <w:top w:sz="4.0" w:val="single" w:color="#000000"/>
            </w:tcBorders>
            <w:tcMar>
              <w:start w:w="0" w:type="dxa"/>
              <w:end w:w="0" w:type="dxa"/>
            </w:tcMar>
          </w:tcPr>
          <w:p>
            <w:pPr>
              <w:autoSpaceDN w:val="0"/>
              <w:autoSpaceDE w:val="0"/>
              <w:widowControl/>
              <w:spacing w:line="150" w:lineRule="exact" w:before="22" w:after="0"/>
              <w:ind w:left="0" w:right="0" w:firstLine="0"/>
              <w:jc w:val="center"/>
            </w:pPr>
            <w:r>
              <w:rPr>
                <w:rFonts w:ascii="黑体" w:hAnsi="黑体" w:eastAsia="黑体"/>
                <w:b w:val="0"/>
                <w:i w:val="0"/>
                <w:color w:val="000000"/>
                <w:sz w:val="15"/>
              </w:rPr>
              <w:t>指定为以公允价</w:t>
            </w:r>
          </w:p>
        </w:tc>
        <w:tc>
          <w:tcPr>
            <w:tcW w:type="dxa" w:w="2578"/>
            <w:gridSpan w:val="2"/>
            <w:vMerge/>
            <w:tcBorders/>
          </w:tcPr>
          <w:p/>
        </w:tc>
        <w:tc>
          <w:tcPr>
            <w:tcW w:type="dxa" w:w="1210"/>
            <w:tcBorders>
              <w:top w:sz="4.0" w:val="single" w:color="#000000"/>
            </w:tcBorders>
            <w:tcMar>
              <w:start w:w="0" w:type="dxa"/>
              <w:end w:w="0" w:type="dxa"/>
            </w:tcMar>
          </w:tcPr>
          <w:p>
            <w:pPr>
              <w:autoSpaceDN w:val="0"/>
              <w:autoSpaceDE w:val="0"/>
              <w:widowControl/>
              <w:spacing w:line="150" w:lineRule="exact" w:before="22" w:after="0"/>
              <w:ind w:left="158" w:right="0" w:firstLine="0"/>
              <w:jc w:val="left"/>
            </w:pPr>
            <w:r>
              <w:rPr>
                <w:rFonts w:ascii="黑体" w:hAnsi="黑体" w:eastAsia="黑体"/>
                <w:b w:val="0"/>
                <w:i w:val="0"/>
                <w:color w:val="000000"/>
                <w:sz w:val="15"/>
              </w:rPr>
              <w:t>指定为以公允价</w:t>
            </w:r>
          </w:p>
        </w:tc>
        <w:tc>
          <w:tcPr>
            <w:tcW w:type="dxa" w:w="1218"/>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604" w:after="0"/>
              <w:ind w:left="0" w:right="0" w:firstLine="0"/>
              <w:jc w:val="right"/>
            </w:pPr>
            <w:r>
              <w:rPr>
                <w:rFonts w:ascii="黑体" w:hAnsi="黑体" w:eastAsia="黑体"/>
                <w:b w:val="0"/>
                <w:i w:val="0"/>
                <w:color w:val="000000"/>
                <w:sz w:val="15"/>
              </w:rPr>
              <w:t>初始成本合计</w:t>
            </w:r>
          </w:p>
        </w:tc>
      </w:tr>
      <w:tr>
        <w:trPr>
          <w:trHeight w:hRule="exact" w:val="200"/>
        </w:trPr>
        <w:tc>
          <w:tcPr>
            <w:tcW w:type="dxa" w:w="1289"/>
            <w:vMerge/>
            <w:tcBorders>
              <w:top w:sz="4.0" w:val="single" w:color="#000000"/>
              <w:bottom w:sz="4.0" w:val="single" w:color="#000000"/>
            </w:tcBorders>
          </w:tcPr>
          <w:p/>
        </w:tc>
        <w:tc>
          <w:tcPr>
            <w:tcW w:type="dxa" w:w="1218"/>
            <w:tcBorders/>
            <w:tcMar>
              <w:start w:w="0" w:type="dxa"/>
              <w:end w:w="0" w:type="dxa"/>
            </w:tcMar>
          </w:tcPr>
          <w:p>
            <w:pPr>
              <w:autoSpaceDN w:val="0"/>
              <w:autoSpaceDE w:val="0"/>
              <w:widowControl/>
              <w:spacing w:line="152" w:lineRule="exact" w:before="28" w:after="0"/>
              <w:ind w:left="26" w:right="0" w:firstLine="0"/>
              <w:jc w:val="left"/>
            </w:pPr>
            <w:r>
              <w:rPr>
                <w:rFonts w:ascii="黑体" w:hAnsi="黑体" w:eastAsia="黑体"/>
                <w:b w:val="0"/>
                <w:i w:val="0"/>
                <w:color w:val="000000"/>
                <w:sz w:val="15"/>
              </w:rPr>
              <w:t>值计量且其变动</w:t>
            </w:r>
          </w:p>
        </w:tc>
        <w:tc>
          <w:tcPr>
            <w:tcW w:type="dxa" w:w="1078"/>
            <w:tcBorders/>
            <w:tcMar>
              <w:start w:w="0" w:type="dxa"/>
              <w:end w:w="0" w:type="dxa"/>
            </w:tcMar>
          </w:tcPr>
          <w:p>
            <w:pPr>
              <w:autoSpaceDN w:val="0"/>
              <w:autoSpaceDE w:val="0"/>
              <w:widowControl/>
              <w:spacing w:line="152" w:lineRule="exact" w:before="28" w:after="0"/>
              <w:ind w:left="0" w:right="0" w:firstLine="0"/>
              <w:jc w:val="center"/>
            </w:pPr>
            <w:r>
              <w:rPr>
                <w:rFonts w:ascii="黑体" w:hAnsi="黑体" w:eastAsia="黑体"/>
                <w:b w:val="0"/>
                <w:i w:val="0"/>
                <w:color w:val="000000"/>
                <w:sz w:val="15"/>
              </w:rPr>
              <w:t>值计量且其变动</w:t>
            </w:r>
          </w:p>
        </w:tc>
        <w:tc>
          <w:tcPr>
            <w:tcW w:type="dxa" w:w="2392"/>
            <w:gridSpan w:val="2"/>
            <w:tcBorders/>
            <w:tcMar>
              <w:start w:w="0" w:type="dxa"/>
              <w:end w:w="0" w:type="dxa"/>
            </w:tcMar>
            <w:tcMar>
              <w:start w:w="0" w:type="dxa"/>
              <w:end w:w="0" w:type="dxa"/>
            </w:tcMar>
          </w:tcPr>
          <w:p>
            <w:pPr>
              <w:autoSpaceDN w:val="0"/>
              <w:autoSpaceDE w:val="0"/>
              <w:widowControl/>
              <w:spacing w:line="152" w:lineRule="exact" w:before="28" w:after="0"/>
              <w:ind w:left="0" w:right="8" w:firstLine="0"/>
              <w:jc w:val="right"/>
            </w:pPr>
            <w:r>
              <w:rPr>
                <w:rFonts w:ascii="黑体" w:hAnsi="黑体" w:eastAsia="黑体"/>
                <w:b w:val="0"/>
                <w:i w:val="0"/>
                <w:color w:val="000000"/>
                <w:sz w:val="15"/>
              </w:rPr>
              <w:t>值计量且其变动</w:t>
            </w:r>
          </w:p>
        </w:tc>
        <w:tc>
          <w:tcPr>
            <w:tcW w:type="dxa" w:w="1210"/>
            <w:tcBorders/>
            <w:tcMar>
              <w:start w:w="0" w:type="dxa"/>
              <w:end w:w="0" w:type="dxa"/>
            </w:tcMar>
          </w:tcPr>
          <w:p>
            <w:pPr>
              <w:autoSpaceDN w:val="0"/>
              <w:autoSpaceDE w:val="0"/>
              <w:widowControl/>
              <w:spacing w:line="152" w:lineRule="exact" w:before="28" w:after="0"/>
              <w:ind w:left="158" w:right="0" w:firstLine="0"/>
              <w:jc w:val="left"/>
            </w:pPr>
            <w:r>
              <w:rPr>
                <w:rFonts w:ascii="黑体" w:hAnsi="黑体" w:eastAsia="黑体"/>
                <w:b w:val="0"/>
                <w:i w:val="0"/>
                <w:color w:val="000000"/>
                <w:sz w:val="15"/>
              </w:rPr>
              <w:t>值计量且其变动</w:t>
            </w:r>
          </w:p>
        </w:tc>
        <w:tc>
          <w:tcPr>
            <w:tcW w:type="dxa" w:w="1289"/>
            <w:vMerge/>
            <w:tcBorders>
              <w:top w:sz="4.0" w:val="single" w:color="#000000"/>
            </w:tcBorders>
          </w:tcPr>
          <w:p/>
        </w:tc>
      </w:tr>
      <w:tr>
        <w:trPr>
          <w:trHeight w:hRule="exact" w:val="180"/>
        </w:trPr>
        <w:tc>
          <w:tcPr>
            <w:tcW w:type="dxa" w:w="1289"/>
            <w:vMerge/>
            <w:tcBorders>
              <w:top w:sz="4.0" w:val="single" w:color="#000000"/>
              <w:bottom w:sz="4.0" w:val="single" w:color="#000000"/>
            </w:tcBorders>
          </w:tcPr>
          <w:p/>
        </w:tc>
        <w:tc>
          <w:tcPr>
            <w:tcW w:type="dxa" w:w="1218"/>
            <w:tcBorders/>
            <w:tcMar>
              <w:start w:w="0" w:type="dxa"/>
              <w:end w:w="0" w:type="dxa"/>
            </w:tcMar>
          </w:tcPr>
          <w:p>
            <w:pPr>
              <w:autoSpaceDN w:val="0"/>
              <w:autoSpaceDE w:val="0"/>
              <w:widowControl/>
              <w:spacing w:line="152" w:lineRule="exact" w:before="22" w:after="0"/>
              <w:ind w:left="26" w:right="0" w:firstLine="0"/>
              <w:jc w:val="left"/>
            </w:pPr>
            <w:r>
              <w:rPr>
                <w:rFonts w:ascii="黑体" w:hAnsi="黑体" w:eastAsia="黑体"/>
                <w:b w:val="0"/>
                <w:i w:val="0"/>
                <w:color w:val="000000"/>
                <w:sz w:val="15"/>
              </w:rPr>
              <w:t>计入当期损益的</w:t>
            </w:r>
          </w:p>
        </w:tc>
        <w:tc>
          <w:tcPr>
            <w:tcW w:type="dxa" w:w="1078"/>
            <w:tcBorders/>
            <w:tcMar>
              <w:start w:w="0" w:type="dxa"/>
              <w:end w:w="0" w:type="dxa"/>
            </w:tcMar>
          </w:tcPr>
          <w:p>
            <w:pPr>
              <w:autoSpaceDN w:val="0"/>
              <w:autoSpaceDE w:val="0"/>
              <w:widowControl/>
              <w:spacing w:line="152" w:lineRule="exact" w:before="22" w:after="0"/>
              <w:ind w:left="0" w:right="0" w:firstLine="0"/>
              <w:jc w:val="center"/>
            </w:pPr>
            <w:r>
              <w:rPr>
                <w:rFonts w:ascii="黑体" w:hAnsi="黑体" w:eastAsia="黑体"/>
                <w:b w:val="0"/>
                <w:i w:val="0"/>
                <w:color w:val="000000"/>
                <w:sz w:val="15"/>
              </w:rPr>
              <w:t>计入当期损益的</w:t>
            </w:r>
          </w:p>
        </w:tc>
        <w:tc>
          <w:tcPr>
            <w:tcW w:type="dxa" w:w="2392"/>
            <w:gridSpan w:val="2"/>
            <w:tcBorders/>
            <w:tcMar>
              <w:start w:w="0" w:type="dxa"/>
              <w:end w:w="0" w:type="dxa"/>
            </w:tcMar>
            <w:tcMar>
              <w:start w:w="0" w:type="dxa"/>
              <w:end w:w="0" w:type="dxa"/>
            </w:tcMar>
          </w:tcPr>
          <w:p>
            <w:pPr>
              <w:autoSpaceDN w:val="0"/>
              <w:autoSpaceDE w:val="0"/>
              <w:widowControl/>
              <w:spacing w:line="152" w:lineRule="exact" w:before="22" w:after="0"/>
              <w:ind w:left="0" w:right="8" w:firstLine="0"/>
              <w:jc w:val="right"/>
            </w:pPr>
            <w:r>
              <w:rPr>
                <w:rFonts w:ascii="黑体" w:hAnsi="黑体" w:eastAsia="黑体"/>
                <w:b w:val="0"/>
                <w:i w:val="0"/>
                <w:color w:val="000000"/>
                <w:sz w:val="15"/>
              </w:rPr>
              <w:t>计入当期损益的</w:t>
            </w:r>
          </w:p>
        </w:tc>
        <w:tc>
          <w:tcPr>
            <w:tcW w:type="dxa" w:w="1210"/>
            <w:tcBorders/>
            <w:tcMar>
              <w:start w:w="0" w:type="dxa"/>
              <w:end w:w="0" w:type="dxa"/>
            </w:tcMar>
          </w:tcPr>
          <w:p>
            <w:pPr>
              <w:autoSpaceDN w:val="0"/>
              <w:autoSpaceDE w:val="0"/>
              <w:widowControl/>
              <w:spacing w:line="152" w:lineRule="exact" w:before="22" w:after="0"/>
              <w:ind w:left="158" w:right="0" w:firstLine="0"/>
              <w:jc w:val="left"/>
            </w:pPr>
            <w:r>
              <w:rPr>
                <w:rFonts w:ascii="黑体" w:hAnsi="黑体" w:eastAsia="黑体"/>
                <w:b w:val="0"/>
                <w:i w:val="0"/>
                <w:color w:val="000000"/>
                <w:sz w:val="15"/>
              </w:rPr>
              <w:t>计入当期损益的</w:t>
            </w:r>
          </w:p>
        </w:tc>
        <w:tc>
          <w:tcPr>
            <w:tcW w:type="dxa" w:w="1289"/>
            <w:vMerge/>
            <w:tcBorders>
              <w:top w:sz="4.0" w:val="single" w:color="#000000"/>
            </w:tcBorders>
          </w:tcPr>
          <w:p/>
        </w:tc>
      </w:tr>
      <w:tr>
        <w:trPr>
          <w:trHeight w:hRule="exact" w:val="280"/>
        </w:trPr>
        <w:tc>
          <w:tcPr>
            <w:tcW w:type="dxa" w:w="1289"/>
            <w:vMerge/>
            <w:tcBorders>
              <w:top w:sz="4.0" w:val="single" w:color="#000000"/>
              <w:bottom w:sz="4.0" w:val="single" w:color="#000000"/>
            </w:tcBorders>
          </w:tcPr>
          <w:p/>
        </w:tc>
        <w:tc>
          <w:tcPr>
            <w:tcW w:type="dxa" w:w="1218"/>
            <w:tcBorders/>
            <w:tcMar>
              <w:start w:w="0" w:type="dxa"/>
              <w:end w:w="0" w:type="dxa"/>
            </w:tcMar>
          </w:tcPr>
          <w:p>
            <w:pPr>
              <w:autoSpaceDN w:val="0"/>
              <w:autoSpaceDE w:val="0"/>
              <w:widowControl/>
              <w:spacing w:line="152" w:lineRule="exact" w:before="36" w:after="0"/>
              <w:ind w:left="0" w:right="138" w:firstLine="0"/>
              <w:jc w:val="right"/>
            </w:pPr>
            <w:r>
              <w:rPr>
                <w:rFonts w:ascii="黑体" w:hAnsi="黑体" w:eastAsia="黑体"/>
                <w:b w:val="0"/>
                <w:i w:val="0"/>
                <w:color w:val="000000"/>
                <w:sz w:val="15"/>
              </w:rPr>
              <w:t>金融负债</w:t>
            </w:r>
          </w:p>
        </w:tc>
        <w:tc>
          <w:tcPr>
            <w:tcW w:type="dxa" w:w="1078"/>
            <w:tcBorders/>
            <w:tcMar>
              <w:start w:w="0" w:type="dxa"/>
              <w:end w:w="0" w:type="dxa"/>
            </w:tcMar>
          </w:tcPr>
          <w:p>
            <w:pPr>
              <w:autoSpaceDN w:val="0"/>
              <w:autoSpaceDE w:val="0"/>
              <w:widowControl/>
              <w:spacing w:line="152" w:lineRule="exact" w:before="36" w:after="0"/>
              <w:ind w:left="0" w:right="0" w:firstLine="0"/>
              <w:jc w:val="right"/>
            </w:pPr>
            <w:r>
              <w:rPr>
                <w:rFonts w:ascii="黑体" w:hAnsi="黑体" w:eastAsia="黑体"/>
                <w:b w:val="0"/>
                <w:i w:val="0"/>
                <w:color w:val="000000"/>
                <w:sz w:val="15"/>
              </w:rPr>
              <w:t>金融负债</w:t>
            </w:r>
          </w:p>
        </w:tc>
        <w:tc>
          <w:tcPr>
            <w:tcW w:type="dxa" w:w="1466"/>
            <w:tcBorders/>
            <w:tcMar>
              <w:start w:w="0" w:type="dxa"/>
              <w:end w:w="0" w:type="dxa"/>
            </w:tcMar>
          </w:tcPr>
          <w:p>
            <w:pPr>
              <w:autoSpaceDN w:val="0"/>
              <w:autoSpaceDE w:val="0"/>
              <w:widowControl/>
              <w:spacing w:line="152" w:lineRule="exact" w:before="36" w:after="0"/>
              <w:ind w:left="0" w:right="0" w:firstLine="0"/>
              <w:jc w:val="center"/>
            </w:pPr>
            <w:r>
              <w:rPr>
                <w:rFonts w:ascii="黑体" w:hAnsi="黑体" w:eastAsia="黑体"/>
                <w:b w:val="0"/>
                <w:i w:val="0"/>
                <w:color w:val="000000"/>
                <w:sz w:val="15"/>
              </w:rPr>
              <w:t>公允价值合计</w:t>
            </w:r>
          </w:p>
        </w:tc>
        <w:tc>
          <w:tcPr>
            <w:tcW w:type="dxa" w:w="926"/>
            <w:tcBorders/>
            <w:tcMar>
              <w:start w:w="0" w:type="dxa"/>
              <w:end w:w="0" w:type="dxa"/>
            </w:tcMar>
          </w:tcPr>
          <w:p>
            <w:pPr>
              <w:autoSpaceDN w:val="0"/>
              <w:autoSpaceDE w:val="0"/>
              <w:widowControl/>
              <w:spacing w:line="152" w:lineRule="exact" w:before="36" w:after="0"/>
              <w:ind w:left="0" w:right="8" w:firstLine="0"/>
              <w:jc w:val="right"/>
            </w:pPr>
            <w:r>
              <w:rPr>
                <w:rFonts w:ascii="黑体" w:hAnsi="黑体" w:eastAsia="黑体"/>
                <w:b w:val="0"/>
                <w:i w:val="0"/>
                <w:color w:val="000000"/>
                <w:sz w:val="15"/>
              </w:rPr>
              <w:t>金融负债</w:t>
            </w:r>
          </w:p>
        </w:tc>
        <w:tc>
          <w:tcPr>
            <w:tcW w:type="dxa" w:w="1210"/>
            <w:tcBorders/>
            <w:tcMar>
              <w:start w:w="0" w:type="dxa"/>
              <w:end w:w="0" w:type="dxa"/>
            </w:tcMar>
          </w:tcPr>
          <w:p>
            <w:pPr>
              <w:autoSpaceDN w:val="0"/>
              <w:autoSpaceDE w:val="0"/>
              <w:widowControl/>
              <w:spacing w:line="152" w:lineRule="exact" w:before="36" w:after="0"/>
              <w:ind w:left="0" w:right="0" w:firstLine="0"/>
              <w:jc w:val="right"/>
            </w:pPr>
            <w:r>
              <w:rPr>
                <w:rFonts w:ascii="黑体" w:hAnsi="黑体" w:eastAsia="黑体"/>
                <w:b w:val="0"/>
                <w:i w:val="0"/>
                <w:color w:val="000000"/>
                <w:sz w:val="15"/>
              </w:rPr>
              <w:t>金融负债</w:t>
            </w:r>
          </w:p>
        </w:tc>
        <w:tc>
          <w:tcPr>
            <w:tcW w:type="dxa" w:w="1289"/>
            <w:vMerge/>
            <w:tcBorders>
              <w:top w:sz="4.0" w:val="single" w:color="#000000"/>
            </w:tcBorders>
          </w:tcPr>
          <w:p/>
        </w:tc>
      </w:tr>
      <w:tr>
        <w:trPr>
          <w:trHeight w:hRule="exact" w:val="304"/>
        </w:trPr>
        <w:tc>
          <w:tcPr>
            <w:tcW w:type="dxa" w:w="1289"/>
            <w:vMerge/>
            <w:tcBorders>
              <w:top w:sz="4.0" w:val="single" w:color="#000000"/>
              <w:bottom w:sz="4.0" w:val="single" w:color="#000000"/>
            </w:tcBorders>
          </w:tcPr>
          <w:p/>
        </w:tc>
        <w:tc>
          <w:tcPr>
            <w:tcW w:type="dxa" w:w="1218"/>
            <w:tcBorders>
              <w:bottom w:sz="4.0" w:val="single" w:color="#000000"/>
            </w:tcBorders>
            <w:tcMar>
              <w:start w:w="0" w:type="dxa"/>
              <w:end w:w="0" w:type="dxa"/>
            </w:tcMar>
          </w:tcPr>
          <w:p>
            <w:pPr>
              <w:autoSpaceDN w:val="0"/>
              <w:autoSpaceDE w:val="0"/>
              <w:widowControl/>
              <w:spacing w:line="233" w:lineRule="auto" w:before="124" w:after="0"/>
              <w:ind w:left="0" w:right="0" w:firstLine="0"/>
              <w:jc w:val="center"/>
            </w:pPr>
            <w:r>
              <w:rPr>
                <w:rFonts w:ascii="Arial" w:hAnsi="Arial" w:eastAsia="Arial"/>
                <w:b w:val="0"/>
                <w:i w:val="0"/>
                <w:color w:val="000000"/>
                <w:sz w:val="15"/>
              </w:rPr>
              <w:t>3,369,245,850</w:t>
            </w:r>
          </w:p>
        </w:tc>
        <w:tc>
          <w:tcPr>
            <w:tcW w:type="dxa" w:w="1078"/>
            <w:tcBorders>
              <w:bottom w:sz="4.0" w:val="single" w:color="#000000"/>
            </w:tcBorders>
            <w:tcMar>
              <w:start w:w="0" w:type="dxa"/>
              <w:end w:w="0" w:type="dxa"/>
            </w:tcMar>
          </w:tcPr>
          <w:p>
            <w:pPr>
              <w:autoSpaceDN w:val="0"/>
              <w:autoSpaceDE w:val="0"/>
              <w:widowControl/>
              <w:spacing w:line="233" w:lineRule="auto" w:before="124" w:after="0"/>
              <w:ind w:left="0" w:right="0" w:firstLine="0"/>
              <w:jc w:val="right"/>
            </w:pPr>
            <w:r>
              <w:rPr>
                <w:rFonts w:ascii="Arial" w:hAnsi="Arial" w:eastAsia="Arial"/>
                <w:b w:val="0"/>
                <w:i w:val="0"/>
                <w:color w:val="000000"/>
                <w:sz w:val="15"/>
              </w:rPr>
              <w:t>-</w:t>
            </w:r>
          </w:p>
        </w:tc>
        <w:tc>
          <w:tcPr>
            <w:tcW w:type="dxa" w:w="2392"/>
            <w:gridSpan w:val="2"/>
            <w:tcBorders>
              <w:bottom w:sz="4.0" w:val="single" w:color="#000000"/>
            </w:tcBorders>
            <w:tcMar>
              <w:start w:w="0" w:type="dxa"/>
              <w:end w:w="0" w:type="dxa"/>
            </w:tcMar>
            <w:tcMar>
              <w:start w:w="0" w:type="dxa"/>
              <w:end w:w="0" w:type="dxa"/>
            </w:tcMar>
          </w:tcPr>
          <w:p>
            <w:pPr>
              <w:autoSpaceDN w:val="0"/>
              <w:autoSpaceDE w:val="0"/>
              <w:widowControl/>
              <w:spacing w:line="233" w:lineRule="auto" w:before="124" w:after="0"/>
              <w:ind w:left="202" w:right="0" w:firstLine="0"/>
              <w:jc w:val="left"/>
            </w:pPr>
            <w:r>
              <w:rPr>
                <w:rFonts w:ascii="Arial" w:hAnsi="Arial" w:eastAsia="Arial"/>
                <w:b w:val="0"/>
                <w:i w:val="0"/>
                <w:color w:val="000000"/>
                <w:sz w:val="15"/>
              </w:rPr>
              <w:t>3,369,245,850  3,312,600,326</w:t>
            </w:r>
          </w:p>
        </w:tc>
        <w:tc>
          <w:tcPr>
            <w:tcW w:type="dxa" w:w="1210"/>
            <w:tcBorders>
              <w:bottom w:sz="4.0" w:val="single" w:color="#000000"/>
            </w:tcBorders>
            <w:tcMar>
              <w:start w:w="0" w:type="dxa"/>
              <w:end w:w="0" w:type="dxa"/>
            </w:tcMar>
          </w:tcPr>
          <w:p>
            <w:pPr>
              <w:autoSpaceDN w:val="0"/>
              <w:autoSpaceDE w:val="0"/>
              <w:widowControl/>
              <w:spacing w:line="233" w:lineRule="auto" w:before="124" w:after="0"/>
              <w:ind w:left="0" w:right="0" w:firstLine="0"/>
              <w:jc w:val="right"/>
            </w:pPr>
            <w:r>
              <w:rPr>
                <w:rFonts w:ascii="Arial" w:hAnsi="Arial" w:eastAsia="Arial"/>
                <w:b w:val="0"/>
                <w:i w:val="0"/>
                <w:color w:val="000000"/>
                <w:sz w:val="15"/>
              </w:rPr>
              <w:t>-</w:t>
            </w:r>
          </w:p>
        </w:tc>
        <w:tc>
          <w:tcPr>
            <w:tcW w:type="dxa" w:w="1218"/>
            <w:tcBorders>
              <w:bottom w:sz="4.0" w:val="single" w:color="#000000"/>
            </w:tcBorders>
            <w:tcMar>
              <w:start w:w="0" w:type="dxa"/>
              <w:end w:w="0" w:type="dxa"/>
            </w:tcMar>
          </w:tcPr>
          <w:p>
            <w:pPr>
              <w:autoSpaceDN w:val="0"/>
              <w:autoSpaceDE w:val="0"/>
              <w:widowControl/>
              <w:spacing w:line="233" w:lineRule="auto" w:before="124" w:after="0"/>
              <w:ind w:left="258" w:right="0" w:firstLine="0"/>
              <w:jc w:val="left"/>
            </w:pPr>
            <w:r>
              <w:rPr>
                <w:rFonts w:ascii="Arial" w:hAnsi="Arial" w:eastAsia="Arial"/>
                <w:b w:val="0"/>
                <w:i w:val="0"/>
                <w:color w:val="000000"/>
                <w:sz w:val="15"/>
              </w:rPr>
              <w:t>3,312,600,326</w:t>
            </w:r>
          </w:p>
        </w:tc>
      </w:tr>
      <w:tr>
        <w:trPr>
          <w:trHeight w:hRule="exact" w:val="378"/>
        </w:trPr>
        <w:tc>
          <w:tcPr>
            <w:tcW w:type="dxa" w:w="1418"/>
            <w:tcBorders>
              <w:top w:sz="4.0" w:val="single" w:color="#000000"/>
              <w:bottom w:sz="4.0" w:val="single" w:color="#000000"/>
            </w:tcBorders>
            <w:tcMar>
              <w:start w:w="0" w:type="dxa"/>
              <w:end w:w="0" w:type="dxa"/>
            </w:tcMar>
          </w:tcPr>
          <w:p>
            <w:pPr>
              <w:autoSpaceDN w:val="0"/>
              <w:autoSpaceDE w:val="0"/>
              <w:widowControl/>
              <w:spacing w:line="150" w:lineRule="exact" w:before="194" w:after="0"/>
              <w:ind w:left="198" w:right="0" w:firstLine="0"/>
              <w:jc w:val="left"/>
            </w:pPr>
            <w:r>
              <w:rPr>
                <w:rFonts w:ascii="黑体" w:hAnsi="黑体" w:eastAsia="黑体"/>
                <w:b w:val="0"/>
                <w:i w:val="0"/>
                <w:color w:val="000000"/>
                <w:sz w:val="15"/>
              </w:rPr>
              <w:t>合计</w:t>
            </w:r>
          </w:p>
        </w:tc>
        <w:tc>
          <w:tcPr>
            <w:tcW w:type="dxa" w:w="1218"/>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0" w:firstLine="0"/>
              <w:jc w:val="center"/>
            </w:pPr>
            <w:r>
              <w:rPr>
                <w:rFonts w:ascii="Arial" w:hAnsi="Arial" w:eastAsia="Arial"/>
                <w:b w:val="0"/>
                <w:i w:val="0"/>
                <w:color w:val="000000"/>
                <w:sz w:val="15"/>
              </w:rPr>
              <w:t>3,369,245,850</w:t>
            </w:r>
          </w:p>
        </w:tc>
        <w:tc>
          <w:tcPr>
            <w:tcW w:type="dxa" w:w="1078"/>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0" w:firstLine="0"/>
              <w:jc w:val="right"/>
            </w:pPr>
            <w:r>
              <w:rPr>
                <w:rFonts w:ascii="Arial" w:hAnsi="Arial" w:eastAsia="Arial"/>
                <w:b w:val="0"/>
                <w:i w:val="0"/>
                <w:color w:val="000000"/>
                <w:sz w:val="15"/>
              </w:rPr>
              <w:t>-</w:t>
            </w:r>
          </w:p>
        </w:tc>
        <w:tc>
          <w:tcPr>
            <w:tcW w:type="dxa" w:w="2392"/>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94" w:after="0"/>
              <w:ind w:left="202" w:right="0" w:firstLine="0"/>
              <w:jc w:val="left"/>
            </w:pPr>
            <w:r>
              <w:rPr>
                <w:rFonts w:ascii="Arial" w:hAnsi="Arial" w:eastAsia="Arial"/>
                <w:b w:val="0"/>
                <w:i w:val="0"/>
                <w:color w:val="000000"/>
                <w:sz w:val="15"/>
              </w:rPr>
              <w:t>3,369,245,850  3,312,600,326</w:t>
            </w:r>
          </w:p>
        </w:tc>
        <w:tc>
          <w:tcPr>
            <w:tcW w:type="dxa" w:w="1210"/>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0" w:firstLine="0"/>
              <w:jc w:val="right"/>
            </w:pPr>
            <w:r>
              <w:rPr>
                <w:rFonts w:ascii="Arial" w:hAnsi="Arial" w:eastAsia="Arial"/>
                <w:b w:val="0"/>
                <w:i w:val="0"/>
                <w:color w:val="000000"/>
                <w:sz w:val="15"/>
              </w:rPr>
              <w:t>-</w:t>
            </w:r>
          </w:p>
        </w:tc>
        <w:tc>
          <w:tcPr>
            <w:tcW w:type="dxa" w:w="1218"/>
            <w:tcBorders>
              <w:top w:sz="4.0" w:val="single" w:color="#000000"/>
              <w:bottom w:sz="4.0" w:val="single" w:color="#000000"/>
            </w:tcBorders>
            <w:tcMar>
              <w:start w:w="0" w:type="dxa"/>
              <w:end w:w="0" w:type="dxa"/>
            </w:tcMar>
          </w:tcPr>
          <w:p>
            <w:pPr>
              <w:autoSpaceDN w:val="0"/>
              <w:autoSpaceDE w:val="0"/>
              <w:widowControl/>
              <w:spacing w:line="233" w:lineRule="auto" w:before="194" w:after="0"/>
              <w:ind w:left="258" w:right="0" w:firstLine="0"/>
              <w:jc w:val="left"/>
            </w:pPr>
            <w:r>
              <w:rPr>
                <w:rFonts w:ascii="Arial" w:hAnsi="Arial" w:eastAsia="Arial"/>
                <w:b w:val="0"/>
                <w:i w:val="0"/>
                <w:color w:val="000000"/>
                <w:sz w:val="15"/>
              </w:rPr>
              <w:t>3,312,600,326</w:t>
            </w:r>
          </w:p>
        </w:tc>
      </w:tr>
      <w:tr>
        <w:trPr>
          <w:trHeight w:hRule="exact" w:val="48"/>
        </w:trPr>
        <w:tc>
          <w:tcPr>
            <w:tcW w:type="dxa" w:w="1418"/>
            <w:tcBorders>
              <w:top w:sz="4.0" w:val="single" w:color="#000000"/>
            </w:tcBorders>
            <w:tcMar>
              <w:start w:w="0" w:type="dxa"/>
              <w:end w:w="0" w:type="dxa"/>
            </w:tcMar>
          </w:tcPr>
          <w:p/>
        </w:tc>
        <w:tc>
          <w:tcPr>
            <w:tcW w:type="dxa" w:w="1218"/>
            <w:tcBorders>
              <w:top w:sz="4.0" w:val="single" w:color="#000000"/>
            </w:tcBorders>
            <w:tcMar>
              <w:start w:w="0" w:type="dxa"/>
              <w:end w:w="0" w:type="dxa"/>
            </w:tcMar>
          </w:tcPr>
          <w:p/>
        </w:tc>
        <w:tc>
          <w:tcPr>
            <w:tcW w:type="dxa" w:w="1078"/>
            <w:tcBorders>
              <w:top w:sz="4.0" w:val="single" w:color="#000000"/>
            </w:tcBorders>
            <w:tcMar>
              <w:start w:w="0" w:type="dxa"/>
              <w:end w:w="0" w:type="dxa"/>
            </w:tcMar>
          </w:tcPr>
          <w:p/>
        </w:tc>
        <w:tc>
          <w:tcPr>
            <w:tcW w:type="dxa" w:w="2578"/>
            <w:gridSpan w:val="2"/>
            <w:vMerge/>
            <w:tcBorders>
              <w:top w:sz="4.0" w:val="single" w:color="#000000"/>
            </w:tcBorders>
          </w:tcPr>
          <w:p/>
        </w:tc>
        <w:tc>
          <w:tcPr>
            <w:tcW w:type="dxa" w:w="1210"/>
            <w:tcBorders>
              <w:top w:sz="4.0" w:val="single" w:color="#000000"/>
            </w:tcBorders>
            <w:tcMar>
              <w:start w:w="0" w:type="dxa"/>
              <w:end w:w="0" w:type="dxa"/>
            </w:tcMar>
          </w:tcPr>
          <w:p/>
        </w:tc>
        <w:tc>
          <w:tcPr>
            <w:tcW w:type="dxa" w:w="1218"/>
            <w:tcBorders>
              <w:top w:sz="4.0" w:val="single" w:color="#000000"/>
            </w:tcBorders>
            <w:tcMar>
              <w:start w:w="0" w:type="dxa"/>
              <w:end w:w="0" w:type="dxa"/>
            </w:tcMar>
          </w:tcPr>
          <w:p/>
        </w:tc>
      </w:tr>
    </w:tbl>
    <w:p>
      <w:pPr>
        <w:autoSpaceDN w:val="0"/>
        <w:autoSpaceDE w:val="0"/>
        <w:widowControl/>
        <w:spacing w:line="168" w:lineRule="exact" w:before="238" w:after="20"/>
        <w:ind w:left="0" w:right="3332" w:firstLine="0"/>
        <w:jc w:val="right"/>
      </w:pPr>
      <w:r>
        <w:rPr>
          <w:rFonts w:ascii="Arial" w:hAnsi="Arial" w:eastAsia="Arial"/>
          <w:b w:val="0"/>
          <w:i w:val="0"/>
          <w:color w:val="000000"/>
          <w:sz w:val="15"/>
        </w:rPr>
        <w:t>2023</w:t>
      </w:r>
      <w:r>
        <w:rPr>
          <w:rFonts w:ascii="黑体" w:hAnsi="黑体" w:eastAsia="黑体"/>
          <w:b w:val="0"/>
          <w:i w:val="0"/>
          <w:color w:val="000000"/>
          <w:sz w:val="15"/>
        </w:rPr>
        <w:t>年</w:t>
      </w:r>
      <w:r>
        <w:rPr>
          <w:rFonts w:ascii="Arial" w:hAnsi="Arial" w:eastAsia="Arial"/>
          <w:b w:val="0"/>
          <w:i w:val="0"/>
          <w:color w:val="000000"/>
          <w:sz w:val="15"/>
        </w:rPr>
        <w:t>12</w:t>
      </w:r>
      <w:r>
        <w:rPr>
          <w:rFonts w:ascii="黑体" w:hAnsi="黑体" w:eastAsia="黑体"/>
          <w:b w:val="0"/>
          <w:i w:val="0"/>
          <w:color w:val="000000"/>
          <w:sz w:val="15"/>
        </w:rPr>
        <w:t>月</w:t>
      </w:r>
      <w:r>
        <w:rPr>
          <w:rFonts w:ascii="Arial" w:hAnsi="Arial" w:eastAsia="Arial"/>
          <w:b w:val="0"/>
          <w:i w:val="0"/>
          <w:color w:val="000000"/>
          <w:sz w:val="15"/>
        </w:rPr>
        <w:t>31</w:t>
      </w:r>
      <w:r>
        <w:rPr>
          <w:rFonts w:ascii="黑体" w:hAnsi="黑体" w:eastAsia="黑体"/>
          <w:b w:val="0"/>
          <w:i w:val="0"/>
          <w:color w:val="000000"/>
          <w:sz w:val="15"/>
        </w:rPr>
        <w:t>日</w:t>
      </w:r>
    </w:p>
    <w:tbl>
      <w:tblPr>
        <w:tblW w:type="auto" w:w="0"/>
        <w:tblLayout w:type="fixed"/>
        <w:tblLook w:firstColumn="1" w:firstRow="1" w:lastColumn="0" w:lastRow="0" w:noHBand="0" w:noVBand="1" w:val="04A0"/>
        <w:tblInd w:w="160.0" w:type="dxa"/>
      </w:tblPr>
      <w:tblGrid>
        <w:gridCol w:w="1128"/>
        <w:gridCol w:w="1128"/>
        <w:gridCol w:w="1128"/>
        <w:gridCol w:w="1128"/>
        <w:gridCol w:w="1128"/>
        <w:gridCol w:w="1128"/>
        <w:gridCol w:w="1128"/>
        <w:gridCol w:w="1128"/>
      </w:tblGrid>
      <w:tr>
        <w:trPr>
          <w:trHeight w:hRule="exact" w:val="202"/>
        </w:trPr>
        <w:tc>
          <w:tcPr>
            <w:tcW w:type="dxa" w:w="4970"/>
            <w:gridSpan w:val="5"/>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24" w:after="0"/>
              <w:ind w:left="0" w:right="1522" w:firstLine="0"/>
              <w:jc w:val="right"/>
            </w:pPr>
            <w:r>
              <w:rPr>
                <w:rFonts w:ascii="黑体" w:hAnsi="黑体" w:eastAsia="黑体"/>
                <w:b w:val="0"/>
                <w:i w:val="0"/>
                <w:color w:val="000000"/>
                <w:sz w:val="15"/>
              </w:rPr>
              <w:t>公允价值</w:t>
            </w:r>
          </w:p>
        </w:tc>
        <w:tc>
          <w:tcPr>
            <w:tcW w:type="dxa" w:w="1210"/>
            <w:tcBorders>
              <w:bottom w:sz="4.0" w:val="single" w:color="#000000"/>
            </w:tcBorders>
            <w:tcMar>
              <w:start w:w="0" w:type="dxa"/>
              <w:end w:w="0" w:type="dxa"/>
            </w:tcMar>
          </w:tcPr>
          <w:p/>
        </w:tc>
        <w:tc>
          <w:tcPr>
            <w:tcW w:type="dxa" w:w="1220"/>
            <w:tcBorders>
              <w:bottom w:sz="4.0" w:val="single" w:color="#000000"/>
            </w:tcBorders>
            <w:tcMar>
              <w:start w:w="0" w:type="dxa"/>
              <w:end w:w="0" w:type="dxa"/>
            </w:tcMar>
          </w:tcPr>
          <w:p>
            <w:pPr>
              <w:autoSpaceDN w:val="0"/>
              <w:autoSpaceDE w:val="0"/>
              <w:widowControl/>
              <w:spacing w:line="150" w:lineRule="exact" w:before="24" w:after="0"/>
              <w:ind w:left="0" w:right="0" w:firstLine="0"/>
              <w:jc w:val="center"/>
            </w:pPr>
            <w:r>
              <w:rPr>
                <w:rFonts w:ascii="黑体" w:hAnsi="黑体" w:eastAsia="黑体"/>
                <w:b w:val="0"/>
                <w:i w:val="0"/>
                <w:color w:val="000000"/>
                <w:sz w:val="15"/>
              </w:rPr>
              <w:t>初始成本</w:t>
            </w:r>
          </w:p>
        </w:tc>
        <w:tc>
          <w:tcPr>
            <w:tcW w:type="dxa" w:w="1134"/>
            <w:tcBorders>
              <w:bottom w:sz="4.0" w:val="single" w:color="#000000"/>
            </w:tcBorders>
            <w:tcMar>
              <w:start w:w="0" w:type="dxa"/>
              <w:end w:w="0" w:type="dxa"/>
            </w:tcMar>
          </w:tcPr>
          <w:p/>
        </w:tc>
      </w:tr>
      <w:tr>
        <w:trPr>
          <w:trHeight w:hRule="exact" w:val="198"/>
        </w:trPr>
        <w:tc>
          <w:tcPr>
            <w:tcW w:type="dxa" w:w="2620"/>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150" w:lineRule="exact" w:before="20" w:after="0"/>
              <w:ind w:left="0" w:right="122" w:firstLine="0"/>
              <w:jc w:val="right"/>
            </w:pPr>
            <w:r>
              <w:rPr>
                <w:rFonts w:ascii="黑体" w:hAnsi="黑体" w:eastAsia="黑体"/>
                <w:b w:val="0"/>
                <w:i w:val="0"/>
                <w:color w:val="000000"/>
                <w:sz w:val="15"/>
              </w:rPr>
              <w:t>分类为以公允价</w:t>
            </w:r>
          </w:p>
        </w:tc>
        <w:tc>
          <w:tcPr>
            <w:tcW w:type="dxa" w:w="2350"/>
            <w:gridSpan w:val="2"/>
            <w:tcBorders>
              <w:top w:sz="4.0" w:val="single" w:color="#000000"/>
            </w:tcBorders>
            <w:tcMar>
              <w:start w:w="0" w:type="dxa"/>
              <w:end w:w="0" w:type="dxa"/>
            </w:tcMar>
            <w:tcMar>
              <w:start w:w="0" w:type="dxa"/>
              <w:end w:w="0" w:type="dxa"/>
            </w:tcMar>
          </w:tcPr>
          <w:p>
            <w:pPr>
              <w:autoSpaceDN w:val="0"/>
              <w:autoSpaceDE w:val="0"/>
              <w:widowControl/>
              <w:spacing w:line="150" w:lineRule="exact" w:before="20" w:after="0"/>
              <w:ind w:left="44" w:right="0" w:firstLine="0"/>
              <w:jc w:val="left"/>
            </w:pPr>
            <w:r>
              <w:rPr>
                <w:rFonts w:ascii="黑体" w:hAnsi="黑体" w:eastAsia="黑体"/>
                <w:b w:val="0"/>
                <w:i w:val="0"/>
                <w:color w:val="000000"/>
                <w:sz w:val="15"/>
              </w:rPr>
              <w:t>指定为以公允价</w:t>
            </w:r>
          </w:p>
        </w:tc>
        <w:tc>
          <w:tcPr>
            <w:tcW w:type="dxa" w:w="1210"/>
            <w:tcBorders>
              <w:top w:sz="4.0" w:val="single" w:color="#000000"/>
            </w:tcBorders>
            <w:tcMar>
              <w:start w:w="0" w:type="dxa"/>
              <w:end w:w="0" w:type="dxa"/>
            </w:tcMar>
          </w:tcPr>
          <w:p>
            <w:pPr>
              <w:autoSpaceDN w:val="0"/>
              <w:autoSpaceDE w:val="0"/>
              <w:widowControl/>
              <w:spacing w:line="150" w:lineRule="exact" w:before="20" w:after="0"/>
              <w:ind w:left="0" w:right="0" w:firstLine="0"/>
              <w:jc w:val="center"/>
            </w:pPr>
            <w:r>
              <w:rPr>
                <w:rFonts w:ascii="黑体" w:hAnsi="黑体" w:eastAsia="黑体"/>
                <w:b w:val="0"/>
                <w:i w:val="0"/>
                <w:color w:val="000000"/>
                <w:sz w:val="15"/>
              </w:rPr>
              <w:t>分类为以公允价</w:t>
            </w:r>
          </w:p>
        </w:tc>
        <w:tc>
          <w:tcPr>
            <w:tcW w:type="dxa" w:w="1220"/>
            <w:tcBorders>
              <w:top w:sz="4.0" w:val="single" w:color="#000000"/>
            </w:tcBorders>
            <w:tcMar>
              <w:start w:w="0" w:type="dxa"/>
              <w:end w:w="0" w:type="dxa"/>
            </w:tcMar>
          </w:tcPr>
          <w:p>
            <w:pPr>
              <w:autoSpaceDN w:val="0"/>
              <w:autoSpaceDE w:val="0"/>
              <w:widowControl/>
              <w:spacing w:line="150" w:lineRule="exact" w:before="20" w:after="0"/>
              <w:ind w:left="0" w:right="0" w:firstLine="0"/>
              <w:jc w:val="center"/>
            </w:pPr>
            <w:r>
              <w:rPr>
                <w:rFonts w:ascii="黑体" w:hAnsi="黑体" w:eastAsia="黑体"/>
                <w:b w:val="0"/>
                <w:i w:val="0"/>
                <w:color w:val="000000"/>
                <w:sz w:val="15"/>
              </w:rPr>
              <w:t>指定为以公允价</w:t>
            </w:r>
          </w:p>
        </w:tc>
        <w:tc>
          <w:tcPr>
            <w:tcW w:type="dxa" w:w="1134"/>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604" w:after="0"/>
              <w:ind w:left="234" w:right="0" w:firstLine="0"/>
              <w:jc w:val="left"/>
            </w:pPr>
            <w:r>
              <w:rPr>
                <w:rFonts w:ascii="黑体" w:hAnsi="黑体" w:eastAsia="黑体"/>
                <w:b w:val="0"/>
                <w:i w:val="0"/>
                <w:color w:val="000000"/>
                <w:sz w:val="15"/>
              </w:rPr>
              <w:t>初始成本合计</w:t>
            </w:r>
          </w:p>
        </w:tc>
      </w:tr>
      <w:tr>
        <w:trPr>
          <w:trHeight w:hRule="exact" w:val="180"/>
        </w:trPr>
        <w:tc>
          <w:tcPr>
            <w:tcW w:type="dxa" w:w="2620"/>
            <w:gridSpan w:val="3"/>
            <w:tcBorders/>
            <w:tcMar>
              <w:start w:w="0" w:type="dxa"/>
              <w:end w:w="0" w:type="dxa"/>
            </w:tcMar>
            <w:tcMar>
              <w:start w:w="0" w:type="dxa"/>
              <w:end w:w="0" w:type="dxa"/>
            </w:tcMar>
            <w:tcMar>
              <w:start w:w="0" w:type="dxa"/>
              <w:end w:w="0" w:type="dxa"/>
            </w:tcMar>
          </w:tcPr>
          <w:p>
            <w:pPr>
              <w:autoSpaceDN w:val="0"/>
              <w:autoSpaceDE w:val="0"/>
              <w:widowControl/>
              <w:spacing w:line="150" w:lineRule="exact" w:before="22" w:after="0"/>
              <w:ind w:left="0" w:right="122" w:firstLine="0"/>
              <w:jc w:val="right"/>
            </w:pPr>
            <w:r>
              <w:rPr>
                <w:rFonts w:ascii="黑体" w:hAnsi="黑体" w:eastAsia="黑体"/>
                <w:b w:val="0"/>
                <w:i w:val="0"/>
                <w:color w:val="000000"/>
                <w:sz w:val="15"/>
              </w:rPr>
              <w:t>值计量且其变动</w:t>
            </w:r>
          </w:p>
        </w:tc>
        <w:tc>
          <w:tcPr>
            <w:tcW w:type="dxa" w:w="2350"/>
            <w:gridSpan w:val="2"/>
            <w:tcBorders/>
            <w:tcMar>
              <w:start w:w="0" w:type="dxa"/>
              <w:end w:w="0" w:type="dxa"/>
            </w:tcMar>
            <w:tcMar>
              <w:start w:w="0" w:type="dxa"/>
              <w:end w:w="0" w:type="dxa"/>
            </w:tcMar>
          </w:tcPr>
          <w:p>
            <w:pPr>
              <w:autoSpaceDN w:val="0"/>
              <w:autoSpaceDE w:val="0"/>
              <w:widowControl/>
              <w:spacing w:line="150" w:lineRule="exact" w:before="22" w:after="0"/>
              <w:ind w:left="44" w:right="0" w:firstLine="0"/>
              <w:jc w:val="left"/>
            </w:pPr>
            <w:r>
              <w:rPr>
                <w:rFonts w:ascii="黑体" w:hAnsi="黑体" w:eastAsia="黑体"/>
                <w:b w:val="0"/>
                <w:i w:val="0"/>
                <w:color w:val="000000"/>
                <w:sz w:val="15"/>
              </w:rPr>
              <w:t>值计量且其变动</w:t>
            </w:r>
          </w:p>
        </w:tc>
        <w:tc>
          <w:tcPr>
            <w:tcW w:type="dxa" w:w="1210"/>
            <w:tcBorders/>
            <w:tcMar>
              <w:start w:w="0" w:type="dxa"/>
              <w:end w:w="0" w:type="dxa"/>
            </w:tcMar>
          </w:tcPr>
          <w:p>
            <w:pPr>
              <w:autoSpaceDN w:val="0"/>
              <w:autoSpaceDE w:val="0"/>
              <w:widowControl/>
              <w:spacing w:line="150" w:lineRule="exact" w:before="22" w:after="0"/>
              <w:ind w:left="0" w:right="0" w:firstLine="0"/>
              <w:jc w:val="center"/>
            </w:pPr>
            <w:r>
              <w:rPr>
                <w:rFonts w:ascii="黑体" w:hAnsi="黑体" w:eastAsia="黑体"/>
                <w:b w:val="0"/>
                <w:i w:val="0"/>
                <w:color w:val="000000"/>
                <w:sz w:val="15"/>
              </w:rPr>
              <w:t>值计量且其变动</w:t>
            </w:r>
          </w:p>
        </w:tc>
        <w:tc>
          <w:tcPr>
            <w:tcW w:type="dxa" w:w="1220"/>
            <w:tcBorders/>
            <w:tcMar>
              <w:start w:w="0" w:type="dxa"/>
              <w:end w:w="0" w:type="dxa"/>
            </w:tcMar>
          </w:tcPr>
          <w:p>
            <w:pPr>
              <w:autoSpaceDN w:val="0"/>
              <w:autoSpaceDE w:val="0"/>
              <w:widowControl/>
              <w:spacing w:line="150" w:lineRule="exact" w:before="22" w:after="0"/>
              <w:ind w:left="0" w:right="0" w:firstLine="0"/>
              <w:jc w:val="center"/>
            </w:pPr>
            <w:r>
              <w:rPr>
                <w:rFonts w:ascii="黑体" w:hAnsi="黑体" w:eastAsia="黑体"/>
                <w:b w:val="0"/>
                <w:i w:val="0"/>
                <w:color w:val="000000"/>
                <w:sz w:val="15"/>
              </w:rPr>
              <w:t>值计量且其变动</w:t>
            </w:r>
          </w:p>
        </w:tc>
        <w:tc>
          <w:tcPr>
            <w:tcW w:type="dxa" w:w="1128"/>
            <w:vMerge/>
            <w:tcBorders>
              <w:top w:sz="4.0" w:val="single" w:color="#000000"/>
            </w:tcBorders>
          </w:tcPr>
          <w:p/>
        </w:tc>
      </w:tr>
      <w:tr>
        <w:trPr>
          <w:trHeight w:hRule="exact" w:val="200"/>
        </w:trPr>
        <w:tc>
          <w:tcPr>
            <w:tcW w:type="dxa" w:w="2620"/>
            <w:gridSpan w:val="3"/>
            <w:tcBorders/>
            <w:tcMar>
              <w:start w:w="0" w:type="dxa"/>
              <w:end w:w="0" w:type="dxa"/>
            </w:tcMar>
            <w:tcMar>
              <w:start w:w="0" w:type="dxa"/>
              <w:end w:w="0" w:type="dxa"/>
            </w:tcMar>
            <w:tcMar>
              <w:start w:w="0" w:type="dxa"/>
              <w:end w:w="0" w:type="dxa"/>
            </w:tcMar>
          </w:tcPr>
          <w:p>
            <w:pPr>
              <w:autoSpaceDN w:val="0"/>
              <w:autoSpaceDE w:val="0"/>
              <w:widowControl/>
              <w:spacing w:line="152" w:lineRule="exact" w:before="38" w:after="0"/>
              <w:ind w:left="0" w:right="122" w:firstLine="0"/>
              <w:jc w:val="right"/>
            </w:pPr>
            <w:r>
              <w:rPr>
                <w:rFonts w:ascii="黑体" w:hAnsi="黑体" w:eastAsia="黑体"/>
                <w:b w:val="0"/>
                <w:i w:val="0"/>
                <w:color w:val="000000"/>
                <w:sz w:val="15"/>
              </w:rPr>
              <w:t>计入当期损益的</w:t>
            </w:r>
          </w:p>
        </w:tc>
        <w:tc>
          <w:tcPr>
            <w:tcW w:type="dxa" w:w="2350"/>
            <w:gridSpan w:val="2"/>
            <w:tcBorders/>
            <w:tcMar>
              <w:start w:w="0" w:type="dxa"/>
              <w:end w:w="0" w:type="dxa"/>
            </w:tcMar>
            <w:tcMar>
              <w:start w:w="0" w:type="dxa"/>
              <w:end w:w="0" w:type="dxa"/>
            </w:tcMar>
          </w:tcPr>
          <w:p>
            <w:pPr>
              <w:autoSpaceDN w:val="0"/>
              <w:autoSpaceDE w:val="0"/>
              <w:widowControl/>
              <w:spacing w:line="152" w:lineRule="exact" w:before="38" w:after="0"/>
              <w:ind w:left="44" w:right="0" w:firstLine="0"/>
              <w:jc w:val="left"/>
            </w:pPr>
            <w:r>
              <w:rPr>
                <w:rFonts w:ascii="黑体" w:hAnsi="黑体" w:eastAsia="黑体"/>
                <w:b w:val="0"/>
                <w:i w:val="0"/>
                <w:color w:val="000000"/>
                <w:sz w:val="15"/>
              </w:rPr>
              <w:t>计入当期损益的</w:t>
            </w:r>
          </w:p>
        </w:tc>
        <w:tc>
          <w:tcPr>
            <w:tcW w:type="dxa" w:w="1210"/>
            <w:tcBorders/>
            <w:tcMar>
              <w:start w:w="0" w:type="dxa"/>
              <w:end w:w="0" w:type="dxa"/>
            </w:tcMar>
          </w:tcPr>
          <w:p>
            <w:pPr>
              <w:autoSpaceDN w:val="0"/>
              <w:autoSpaceDE w:val="0"/>
              <w:widowControl/>
              <w:spacing w:line="152" w:lineRule="exact" w:before="38" w:after="0"/>
              <w:ind w:left="0" w:right="0" w:firstLine="0"/>
              <w:jc w:val="center"/>
            </w:pPr>
            <w:r>
              <w:rPr>
                <w:rFonts w:ascii="黑体" w:hAnsi="黑体" w:eastAsia="黑体"/>
                <w:b w:val="0"/>
                <w:i w:val="0"/>
                <w:color w:val="000000"/>
                <w:sz w:val="15"/>
              </w:rPr>
              <w:t>计入当期损益的</w:t>
            </w:r>
          </w:p>
        </w:tc>
        <w:tc>
          <w:tcPr>
            <w:tcW w:type="dxa" w:w="1220"/>
            <w:tcBorders/>
            <w:tcMar>
              <w:start w:w="0" w:type="dxa"/>
              <w:end w:w="0" w:type="dxa"/>
            </w:tcMar>
          </w:tcPr>
          <w:p>
            <w:pPr>
              <w:autoSpaceDN w:val="0"/>
              <w:autoSpaceDE w:val="0"/>
              <w:widowControl/>
              <w:spacing w:line="152" w:lineRule="exact" w:before="38" w:after="0"/>
              <w:ind w:left="0" w:right="0" w:firstLine="0"/>
              <w:jc w:val="center"/>
            </w:pPr>
            <w:r>
              <w:rPr>
                <w:rFonts w:ascii="黑体" w:hAnsi="黑体" w:eastAsia="黑体"/>
                <w:b w:val="0"/>
                <w:i w:val="0"/>
                <w:color w:val="000000"/>
                <w:sz w:val="15"/>
              </w:rPr>
              <w:t>计入当期损益的</w:t>
            </w:r>
          </w:p>
        </w:tc>
        <w:tc>
          <w:tcPr>
            <w:tcW w:type="dxa" w:w="1128"/>
            <w:vMerge/>
            <w:tcBorders>
              <w:top w:sz="4.0" w:val="single" w:color="#000000"/>
            </w:tcBorders>
          </w:tcPr>
          <w:p/>
        </w:tc>
      </w:tr>
      <w:tr>
        <w:trPr>
          <w:trHeight w:hRule="exact" w:val="280"/>
        </w:trPr>
        <w:tc>
          <w:tcPr>
            <w:tcW w:type="dxa" w:w="2620"/>
            <w:gridSpan w:val="3"/>
            <w:tcBorders/>
            <w:tcMar>
              <w:start w:w="0" w:type="dxa"/>
              <w:end w:w="0" w:type="dxa"/>
            </w:tcMar>
            <w:tcMar>
              <w:start w:w="0" w:type="dxa"/>
              <w:end w:w="0" w:type="dxa"/>
            </w:tcMar>
            <w:tcMar>
              <w:start w:w="0" w:type="dxa"/>
              <w:end w:w="0" w:type="dxa"/>
            </w:tcMar>
          </w:tcPr>
          <w:p>
            <w:pPr>
              <w:autoSpaceDN w:val="0"/>
              <w:autoSpaceDE w:val="0"/>
              <w:widowControl/>
              <w:spacing w:line="152" w:lineRule="exact" w:before="32" w:after="0"/>
              <w:ind w:left="0" w:right="122" w:firstLine="0"/>
              <w:jc w:val="right"/>
            </w:pPr>
            <w:r>
              <w:rPr>
                <w:rFonts w:ascii="黑体" w:hAnsi="黑体" w:eastAsia="黑体"/>
                <w:b w:val="0"/>
                <w:i w:val="0"/>
                <w:color w:val="000000"/>
                <w:sz w:val="15"/>
              </w:rPr>
              <w:t>金融负债</w:t>
            </w:r>
          </w:p>
        </w:tc>
        <w:tc>
          <w:tcPr>
            <w:tcW w:type="dxa" w:w="1260"/>
            <w:tcBorders/>
            <w:tcMar>
              <w:start w:w="0" w:type="dxa"/>
              <w:end w:w="0" w:type="dxa"/>
            </w:tcMar>
          </w:tcPr>
          <w:p>
            <w:pPr>
              <w:autoSpaceDN w:val="0"/>
              <w:autoSpaceDE w:val="0"/>
              <w:widowControl/>
              <w:spacing w:line="152" w:lineRule="exact" w:before="32" w:after="0"/>
              <w:ind w:left="0" w:right="164" w:firstLine="0"/>
              <w:jc w:val="right"/>
            </w:pPr>
            <w:r>
              <w:rPr>
                <w:rFonts w:ascii="黑体" w:hAnsi="黑体" w:eastAsia="黑体"/>
                <w:b w:val="0"/>
                <w:i w:val="0"/>
                <w:color w:val="000000"/>
                <w:sz w:val="15"/>
              </w:rPr>
              <w:t>金融负债</w:t>
            </w:r>
          </w:p>
        </w:tc>
        <w:tc>
          <w:tcPr>
            <w:tcW w:type="dxa" w:w="1090"/>
            <w:tcBorders/>
            <w:tcMar>
              <w:start w:w="0" w:type="dxa"/>
              <w:end w:w="0" w:type="dxa"/>
            </w:tcMar>
          </w:tcPr>
          <w:p>
            <w:pPr>
              <w:autoSpaceDN w:val="0"/>
              <w:autoSpaceDE w:val="0"/>
              <w:widowControl/>
              <w:spacing w:line="152" w:lineRule="exact" w:before="32" w:after="0"/>
              <w:ind w:left="0" w:right="0" w:firstLine="0"/>
              <w:jc w:val="center"/>
            </w:pPr>
            <w:r>
              <w:rPr>
                <w:rFonts w:ascii="黑体" w:hAnsi="黑体" w:eastAsia="黑体"/>
                <w:b w:val="0"/>
                <w:i w:val="0"/>
                <w:color w:val="000000"/>
                <w:sz w:val="15"/>
              </w:rPr>
              <w:t>公允价值合计</w:t>
            </w:r>
          </w:p>
        </w:tc>
        <w:tc>
          <w:tcPr>
            <w:tcW w:type="dxa" w:w="1210"/>
            <w:tcBorders/>
            <w:tcMar>
              <w:start w:w="0" w:type="dxa"/>
              <w:end w:w="0" w:type="dxa"/>
            </w:tcMar>
          </w:tcPr>
          <w:p>
            <w:pPr>
              <w:autoSpaceDN w:val="0"/>
              <w:autoSpaceDE w:val="0"/>
              <w:widowControl/>
              <w:spacing w:line="152" w:lineRule="exact" w:before="32" w:after="0"/>
              <w:ind w:left="0" w:right="82" w:firstLine="0"/>
              <w:jc w:val="right"/>
            </w:pPr>
            <w:r>
              <w:rPr>
                <w:rFonts w:ascii="黑体" w:hAnsi="黑体" w:eastAsia="黑体"/>
                <w:b w:val="0"/>
                <w:i w:val="0"/>
                <w:color w:val="000000"/>
                <w:sz w:val="15"/>
              </w:rPr>
              <w:t>金融负债</w:t>
            </w:r>
          </w:p>
        </w:tc>
        <w:tc>
          <w:tcPr>
            <w:tcW w:type="dxa" w:w="1220"/>
            <w:tcBorders/>
            <w:tcMar>
              <w:start w:w="0" w:type="dxa"/>
              <w:end w:w="0" w:type="dxa"/>
            </w:tcMar>
          </w:tcPr>
          <w:p>
            <w:pPr>
              <w:autoSpaceDN w:val="0"/>
              <w:autoSpaceDE w:val="0"/>
              <w:widowControl/>
              <w:spacing w:line="152" w:lineRule="exact" w:before="32" w:after="0"/>
              <w:ind w:left="0" w:right="82" w:firstLine="0"/>
              <w:jc w:val="right"/>
            </w:pPr>
            <w:r>
              <w:rPr>
                <w:rFonts w:ascii="黑体" w:hAnsi="黑体" w:eastAsia="黑体"/>
                <w:b w:val="0"/>
                <w:i w:val="0"/>
                <w:color w:val="000000"/>
                <w:sz w:val="15"/>
              </w:rPr>
              <w:t>金融负债</w:t>
            </w:r>
          </w:p>
        </w:tc>
        <w:tc>
          <w:tcPr>
            <w:tcW w:type="dxa" w:w="1128"/>
            <w:vMerge/>
            <w:tcBorders>
              <w:top w:sz="4.0" w:val="single" w:color="#000000"/>
            </w:tcBorders>
          </w:tcPr>
          <w:p/>
        </w:tc>
      </w:tr>
      <w:tr>
        <w:trPr>
          <w:trHeight w:hRule="exact" w:val="300"/>
        </w:trPr>
        <w:tc>
          <w:tcPr>
            <w:tcW w:type="dxa" w:w="1392"/>
            <w:gridSpan w:val="2"/>
            <w:tcBorders/>
            <w:tcMar>
              <w:start w:w="0" w:type="dxa"/>
              <w:end w:w="0" w:type="dxa"/>
            </w:tcMar>
            <w:tcMar>
              <w:start w:w="0" w:type="dxa"/>
              <w:end w:w="0" w:type="dxa"/>
            </w:tcMar>
          </w:tcPr>
          <w:p>
            <w:pPr>
              <w:autoSpaceDN w:val="0"/>
              <w:autoSpaceDE w:val="0"/>
              <w:widowControl/>
              <w:spacing w:line="152" w:lineRule="exact" w:before="120" w:after="0"/>
              <w:ind w:left="0" w:right="0" w:firstLine="0"/>
              <w:jc w:val="center"/>
            </w:pPr>
            <w:r>
              <w:rPr>
                <w:rFonts w:ascii="黑体" w:hAnsi="黑体" w:eastAsia="黑体"/>
                <w:b w:val="0"/>
                <w:i w:val="0"/>
                <w:color w:val="000000"/>
                <w:sz w:val="15"/>
              </w:rPr>
              <w:t>卖出的借入债券</w:t>
            </w:r>
          </w:p>
        </w:tc>
        <w:tc>
          <w:tcPr>
            <w:tcW w:type="dxa" w:w="1228"/>
            <w:tcBorders/>
            <w:tcMar>
              <w:start w:w="0" w:type="dxa"/>
              <w:end w:w="0" w:type="dxa"/>
            </w:tcMar>
          </w:tcPr>
          <w:p>
            <w:pPr>
              <w:autoSpaceDN w:val="0"/>
              <w:autoSpaceDE w:val="0"/>
              <w:widowControl/>
              <w:spacing w:line="233" w:lineRule="auto" w:before="120" w:after="0"/>
              <w:ind w:left="142" w:right="0" w:firstLine="0"/>
              <w:jc w:val="left"/>
            </w:pPr>
            <w:r>
              <w:rPr>
                <w:rFonts w:ascii="Arial" w:hAnsi="Arial" w:eastAsia="Arial"/>
                <w:b w:val="0"/>
                <w:i w:val="0"/>
                <w:color w:val="000000"/>
                <w:sz w:val="15"/>
              </w:rPr>
              <w:t xml:space="preserve">1,353,790,490 </w:t>
            </w:r>
          </w:p>
        </w:tc>
        <w:tc>
          <w:tcPr>
            <w:tcW w:type="dxa" w:w="2350"/>
            <w:gridSpan w:val="2"/>
            <w:tcBorders/>
            <w:tcMar>
              <w:start w:w="0" w:type="dxa"/>
              <w:end w:w="0" w:type="dxa"/>
            </w:tcMar>
            <w:tcMar>
              <w:start w:w="0" w:type="dxa"/>
              <w:end w:w="0" w:type="dxa"/>
            </w:tcMar>
          </w:tcPr>
          <w:p>
            <w:pPr>
              <w:autoSpaceDN w:val="0"/>
              <w:autoSpaceDE w:val="0"/>
              <w:widowControl/>
              <w:spacing w:line="233" w:lineRule="auto" w:before="120" w:after="0"/>
              <w:ind w:left="0" w:right="52" w:firstLine="0"/>
              <w:jc w:val="right"/>
            </w:pPr>
            <w:r>
              <w:rPr>
                <w:rFonts w:ascii="Arial" w:hAnsi="Arial" w:eastAsia="Arial"/>
                <w:b w:val="0"/>
                <w:i w:val="0"/>
                <w:color w:val="000000"/>
                <w:sz w:val="15"/>
              </w:rPr>
              <w:t xml:space="preserve">-  1,353,790,490 </w:t>
            </w:r>
          </w:p>
        </w:tc>
        <w:tc>
          <w:tcPr>
            <w:tcW w:type="dxa" w:w="1210"/>
            <w:tcBorders/>
            <w:tcMar>
              <w:start w:w="0" w:type="dxa"/>
              <w:end w:w="0" w:type="dxa"/>
            </w:tcMar>
          </w:tcPr>
          <w:p>
            <w:pPr>
              <w:autoSpaceDN w:val="0"/>
              <w:autoSpaceDE w:val="0"/>
              <w:widowControl/>
              <w:spacing w:line="233" w:lineRule="auto" w:before="120" w:after="0"/>
              <w:ind w:left="166" w:right="0" w:firstLine="0"/>
              <w:jc w:val="left"/>
            </w:pPr>
            <w:r>
              <w:rPr>
                <w:rFonts w:ascii="Arial" w:hAnsi="Arial" w:eastAsia="Arial"/>
                <w:b w:val="0"/>
                <w:i w:val="0"/>
                <w:color w:val="000000"/>
                <w:sz w:val="15"/>
              </w:rPr>
              <w:t xml:space="preserve">1,339,502,570 </w:t>
            </w:r>
          </w:p>
        </w:tc>
        <w:tc>
          <w:tcPr>
            <w:tcW w:type="dxa" w:w="1220"/>
            <w:tcBorders/>
            <w:tcMar>
              <w:start w:w="0" w:type="dxa"/>
              <w:end w:w="0" w:type="dxa"/>
            </w:tcMar>
          </w:tcPr>
          <w:p>
            <w:pPr>
              <w:autoSpaceDN w:val="0"/>
              <w:autoSpaceDE w:val="0"/>
              <w:widowControl/>
              <w:spacing w:line="233" w:lineRule="auto" w:before="120" w:after="0"/>
              <w:ind w:left="0" w:right="2" w:firstLine="0"/>
              <w:jc w:val="right"/>
            </w:pPr>
            <w:r>
              <w:rPr>
                <w:rFonts w:ascii="Arial" w:hAnsi="Arial" w:eastAsia="Arial"/>
                <w:b w:val="0"/>
                <w:i w:val="0"/>
                <w:color w:val="000000"/>
                <w:sz w:val="15"/>
              </w:rPr>
              <w:t xml:space="preserve">- </w:t>
            </w:r>
          </w:p>
        </w:tc>
        <w:tc>
          <w:tcPr>
            <w:tcW w:type="dxa" w:w="1134"/>
            <w:tcBorders/>
            <w:tcMar>
              <w:start w:w="0" w:type="dxa"/>
              <w:end w:w="0" w:type="dxa"/>
            </w:tcMar>
          </w:tcPr>
          <w:p>
            <w:pPr>
              <w:autoSpaceDN w:val="0"/>
              <w:autoSpaceDE w:val="0"/>
              <w:widowControl/>
              <w:spacing w:line="233" w:lineRule="auto" w:before="120" w:after="0"/>
              <w:ind w:left="174" w:right="0" w:firstLine="0"/>
              <w:jc w:val="left"/>
            </w:pPr>
            <w:r>
              <w:rPr>
                <w:rFonts w:ascii="Arial" w:hAnsi="Arial" w:eastAsia="Arial"/>
                <w:b w:val="0"/>
                <w:i w:val="0"/>
                <w:color w:val="000000"/>
                <w:sz w:val="15"/>
              </w:rPr>
              <w:t>1,339,502,570</w:t>
            </w:r>
          </w:p>
        </w:tc>
      </w:tr>
      <w:tr>
        <w:trPr>
          <w:trHeight w:hRule="exact" w:val="192"/>
        </w:trPr>
        <w:tc>
          <w:tcPr>
            <w:tcW w:type="dxa" w:w="860"/>
            <w:tcBorders>
              <w:bottom w:sz="4.0" w:val="single" w:color="#000000"/>
            </w:tcBorders>
            <w:tcMar>
              <w:start w:w="0" w:type="dxa"/>
              <w:end w:w="0" w:type="dxa"/>
            </w:tcMar>
          </w:tcPr>
          <w:p>
            <w:pPr>
              <w:autoSpaceDN w:val="0"/>
              <w:autoSpaceDE w:val="0"/>
              <w:widowControl/>
              <w:spacing w:line="152" w:lineRule="exact" w:before="14" w:after="0"/>
              <w:ind w:left="198" w:right="0" w:firstLine="0"/>
              <w:jc w:val="left"/>
            </w:pPr>
            <w:r>
              <w:rPr>
                <w:rFonts w:ascii="黑体" w:hAnsi="黑体" w:eastAsia="黑体"/>
                <w:b w:val="0"/>
                <w:i w:val="0"/>
                <w:color w:val="000000"/>
                <w:sz w:val="15"/>
              </w:rPr>
              <w:t>收益凭证</w:t>
            </w:r>
          </w:p>
        </w:tc>
        <w:tc>
          <w:tcPr>
            <w:tcW w:type="dxa" w:w="1760"/>
            <w:gridSpan w:val="2"/>
            <w:tcBorders>
              <w:bottom w:sz="4.0" w:val="single" w:color="#000000"/>
            </w:tcBorders>
            <w:tcMar>
              <w:start w:w="0" w:type="dxa"/>
              <w:end w:w="0" w:type="dxa"/>
            </w:tcMar>
            <w:tcMar>
              <w:start w:w="0" w:type="dxa"/>
              <w:end w:w="0" w:type="dxa"/>
            </w:tcMar>
          </w:tcPr>
          <w:p>
            <w:pPr>
              <w:autoSpaceDN w:val="0"/>
              <w:autoSpaceDE w:val="0"/>
              <w:widowControl/>
              <w:spacing w:line="235" w:lineRule="auto" w:before="14" w:after="0"/>
              <w:ind w:left="0" w:right="42" w:firstLine="0"/>
              <w:jc w:val="right"/>
            </w:pPr>
            <w:r>
              <w:rPr>
                <w:rFonts w:ascii="Arial" w:hAnsi="Arial" w:eastAsia="Arial"/>
                <w:b w:val="0"/>
                <w:i w:val="0"/>
                <w:color w:val="000000"/>
                <w:sz w:val="15"/>
              </w:rPr>
              <w:t xml:space="preserve">158,216,879 </w:t>
            </w:r>
          </w:p>
        </w:tc>
        <w:tc>
          <w:tcPr>
            <w:tcW w:type="dxa" w:w="1260"/>
            <w:tcBorders>
              <w:bottom w:sz="4.0" w:val="single" w:color="#000000"/>
            </w:tcBorders>
            <w:tcMar>
              <w:start w:w="0" w:type="dxa"/>
              <w:end w:w="0" w:type="dxa"/>
            </w:tcMar>
          </w:tcPr>
          <w:p>
            <w:pPr>
              <w:autoSpaceDN w:val="0"/>
              <w:autoSpaceDE w:val="0"/>
              <w:widowControl/>
              <w:spacing w:line="235" w:lineRule="auto" w:before="14" w:after="0"/>
              <w:ind w:left="0" w:right="84" w:firstLine="0"/>
              <w:jc w:val="right"/>
            </w:pPr>
            <w:r>
              <w:rPr>
                <w:rFonts w:ascii="Arial" w:hAnsi="Arial" w:eastAsia="Arial"/>
                <w:b w:val="0"/>
                <w:i w:val="0"/>
                <w:color w:val="000000"/>
                <w:sz w:val="15"/>
              </w:rPr>
              <w:t xml:space="preserve">- </w:t>
            </w:r>
          </w:p>
        </w:tc>
        <w:tc>
          <w:tcPr>
            <w:tcW w:type="dxa" w:w="1090"/>
            <w:tcBorders>
              <w:bottom w:sz="4.0" w:val="single" w:color="#000000"/>
            </w:tcBorders>
            <w:tcMar>
              <w:start w:w="0" w:type="dxa"/>
              <w:end w:w="0" w:type="dxa"/>
            </w:tcMar>
          </w:tcPr>
          <w:p>
            <w:pPr>
              <w:autoSpaceDN w:val="0"/>
              <w:autoSpaceDE w:val="0"/>
              <w:widowControl/>
              <w:spacing w:line="235" w:lineRule="auto" w:before="14" w:after="0"/>
              <w:ind w:left="160" w:right="0" w:firstLine="0"/>
              <w:jc w:val="left"/>
            </w:pPr>
            <w:r>
              <w:rPr>
                <w:rFonts w:ascii="Arial" w:hAnsi="Arial" w:eastAsia="Arial"/>
                <w:b w:val="0"/>
                <w:i w:val="0"/>
                <w:color w:val="000000"/>
                <w:sz w:val="15"/>
              </w:rPr>
              <w:t xml:space="preserve">158,216,879 </w:t>
            </w:r>
          </w:p>
        </w:tc>
        <w:tc>
          <w:tcPr>
            <w:tcW w:type="dxa" w:w="1210"/>
            <w:tcBorders>
              <w:bottom w:sz="4.0" w:val="single" w:color="#000000"/>
            </w:tcBorders>
            <w:tcMar>
              <w:start w:w="0" w:type="dxa"/>
              <w:end w:w="0" w:type="dxa"/>
            </w:tcMar>
          </w:tcPr>
          <w:p>
            <w:pPr>
              <w:autoSpaceDN w:val="0"/>
              <w:autoSpaceDE w:val="0"/>
              <w:widowControl/>
              <w:spacing w:line="235" w:lineRule="auto" w:before="14" w:after="0"/>
              <w:ind w:left="290" w:right="0" w:firstLine="0"/>
              <w:jc w:val="left"/>
            </w:pPr>
            <w:r>
              <w:rPr>
                <w:rFonts w:ascii="Arial" w:hAnsi="Arial" w:eastAsia="Arial"/>
                <w:b w:val="0"/>
                <w:i w:val="0"/>
                <w:color w:val="000000"/>
                <w:sz w:val="15"/>
              </w:rPr>
              <w:t xml:space="preserve">157,400,000 </w:t>
            </w:r>
          </w:p>
        </w:tc>
        <w:tc>
          <w:tcPr>
            <w:tcW w:type="dxa" w:w="1220"/>
            <w:tcBorders>
              <w:bottom w:sz="4.0" w:val="single" w:color="#000000"/>
            </w:tcBorders>
            <w:tcMar>
              <w:start w:w="0" w:type="dxa"/>
              <w:end w:w="0" w:type="dxa"/>
            </w:tcMar>
          </w:tcPr>
          <w:p>
            <w:pPr>
              <w:autoSpaceDN w:val="0"/>
              <w:autoSpaceDE w:val="0"/>
              <w:widowControl/>
              <w:spacing w:line="235" w:lineRule="auto" w:before="14" w:after="0"/>
              <w:ind w:left="0" w:right="2" w:firstLine="0"/>
              <w:jc w:val="right"/>
            </w:pPr>
            <w:r>
              <w:rPr>
                <w:rFonts w:ascii="Arial" w:hAnsi="Arial" w:eastAsia="Arial"/>
                <w:b w:val="0"/>
                <w:i w:val="0"/>
                <w:color w:val="000000"/>
                <w:sz w:val="15"/>
              </w:rPr>
              <w:t xml:space="preserve">- </w:t>
            </w:r>
          </w:p>
        </w:tc>
        <w:tc>
          <w:tcPr>
            <w:tcW w:type="dxa" w:w="1134"/>
            <w:tcBorders>
              <w:bottom w:sz="4.0" w:val="single" w:color="#000000"/>
            </w:tcBorders>
            <w:tcMar>
              <w:start w:w="0" w:type="dxa"/>
              <w:end w:w="0" w:type="dxa"/>
            </w:tcMar>
          </w:tcPr>
          <w:p>
            <w:pPr>
              <w:autoSpaceDN w:val="0"/>
              <w:autoSpaceDE w:val="0"/>
              <w:widowControl/>
              <w:spacing w:line="235" w:lineRule="auto" w:before="14" w:after="0"/>
              <w:ind w:left="0" w:right="0" w:firstLine="0"/>
              <w:jc w:val="right"/>
            </w:pPr>
            <w:r>
              <w:rPr>
                <w:rFonts w:ascii="Arial" w:hAnsi="Arial" w:eastAsia="Arial"/>
                <w:b w:val="0"/>
                <w:i w:val="0"/>
                <w:color w:val="000000"/>
                <w:sz w:val="15"/>
              </w:rPr>
              <w:t>157,400,000</w:t>
            </w:r>
          </w:p>
        </w:tc>
      </w:tr>
      <w:tr>
        <w:trPr>
          <w:trHeight w:hRule="exact" w:val="376"/>
        </w:trPr>
        <w:tc>
          <w:tcPr>
            <w:tcW w:type="dxa" w:w="860"/>
            <w:tcBorders>
              <w:top w:sz="4.0" w:val="single" w:color="#000000"/>
              <w:bottom w:sz="4.0" w:val="single" w:color="#000000"/>
            </w:tcBorders>
            <w:tcMar>
              <w:start w:w="0" w:type="dxa"/>
              <w:end w:w="0" w:type="dxa"/>
            </w:tcMar>
          </w:tcPr>
          <w:p>
            <w:pPr>
              <w:autoSpaceDN w:val="0"/>
              <w:autoSpaceDE w:val="0"/>
              <w:widowControl/>
              <w:spacing w:line="150" w:lineRule="exact" w:before="194" w:after="0"/>
              <w:ind w:left="198" w:right="0" w:firstLine="0"/>
              <w:jc w:val="left"/>
            </w:pPr>
            <w:r>
              <w:rPr>
                <w:rFonts w:ascii="黑体" w:hAnsi="黑体" w:eastAsia="黑体"/>
                <w:b w:val="0"/>
                <w:i w:val="0"/>
                <w:color w:val="000000"/>
                <w:sz w:val="15"/>
              </w:rPr>
              <w:t>合计</w:t>
            </w:r>
          </w:p>
        </w:tc>
        <w:tc>
          <w:tcPr>
            <w:tcW w:type="dxa" w:w="1760"/>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194" w:after="0"/>
              <w:ind w:left="0" w:right="42" w:firstLine="0"/>
              <w:jc w:val="right"/>
            </w:pPr>
            <w:r>
              <w:rPr>
                <w:rFonts w:ascii="Arial" w:hAnsi="Arial" w:eastAsia="Arial"/>
                <w:b w:val="0"/>
                <w:i w:val="0"/>
                <w:color w:val="000000"/>
                <w:sz w:val="15"/>
              </w:rPr>
              <w:t xml:space="preserve">1,512,007,369 </w:t>
            </w:r>
          </w:p>
        </w:tc>
        <w:tc>
          <w:tcPr>
            <w:tcW w:type="dxa" w:w="2350"/>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194" w:after="0"/>
              <w:ind w:left="0" w:right="52" w:firstLine="0"/>
              <w:jc w:val="right"/>
            </w:pPr>
            <w:r>
              <w:rPr>
                <w:rFonts w:ascii="Arial" w:hAnsi="Arial" w:eastAsia="Arial"/>
                <w:b w:val="0"/>
                <w:i w:val="0"/>
                <w:color w:val="000000"/>
                <w:sz w:val="15"/>
              </w:rPr>
              <w:t xml:space="preserve">-  1,512,007,369 </w:t>
            </w:r>
          </w:p>
        </w:tc>
        <w:tc>
          <w:tcPr>
            <w:tcW w:type="dxa" w:w="1210"/>
            <w:tcBorders>
              <w:top w:sz="4.0" w:val="single" w:color="#000000"/>
              <w:bottom w:sz="4.0" w:val="single" w:color="#000000"/>
            </w:tcBorders>
            <w:tcMar>
              <w:start w:w="0" w:type="dxa"/>
              <w:end w:w="0" w:type="dxa"/>
            </w:tcMar>
          </w:tcPr>
          <w:p>
            <w:pPr>
              <w:autoSpaceDN w:val="0"/>
              <w:autoSpaceDE w:val="0"/>
              <w:widowControl/>
              <w:spacing w:line="233" w:lineRule="auto" w:before="194" w:after="0"/>
              <w:ind w:left="166" w:right="0" w:firstLine="0"/>
              <w:jc w:val="left"/>
            </w:pPr>
            <w:r>
              <w:rPr>
                <w:rFonts w:ascii="Arial" w:hAnsi="Arial" w:eastAsia="Arial"/>
                <w:b w:val="0"/>
                <w:i w:val="0"/>
                <w:color w:val="000000"/>
                <w:sz w:val="15"/>
              </w:rPr>
              <w:t xml:space="preserve">1,496,902,570 </w:t>
            </w:r>
          </w:p>
        </w:tc>
        <w:tc>
          <w:tcPr>
            <w:tcW w:type="dxa" w:w="1220"/>
            <w:tcBorders>
              <w:top w:sz="4.0" w:val="single" w:color="#000000"/>
              <w:bottom w:sz="4.0" w:val="single" w:color="#000000"/>
            </w:tcBorders>
            <w:tcMar>
              <w:start w:w="0" w:type="dxa"/>
              <w:end w:w="0" w:type="dxa"/>
            </w:tcMar>
          </w:tcPr>
          <w:p>
            <w:pPr>
              <w:autoSpaceDN w:val="0"/>
              <w:autoSpaceDE w:val="0"/>
              <w:widowControl/>
              <w:spacing w:line="233" w:lineRule="auto" w:before="194" w:after="0"/>
              <w:ind w:left="0" w:right="2" w:firstLine="0"/>
              <w:jc w:val="right"/>
            </w:pPr>
            <w:r>
              <w:rPr>
                <w:rFonts w:ascii="Arial" w:hAnsi="Arial" w:eastAsia="Arial"/>
                <w:b w:val="0"/>
                <w:i w:val="0"/>
                <w:color w:val="000000"/>
                <w:sz w:val="15"/>
              </w:rPr>
              <w:t xml:space="preserve">- </w:t>
            </w:r>
          </w:p>
        </w:tc>
        <w:tc>
          <w:tcPr>
            <w:tcW w:type="dxa" w:w="1134"/>
            <w:tcBorders>
              <w:top w:sz="4.0" w:val="single" w:color="#000000"/>
              <w:bottom w:sz="4.0" w:val="single" w:color="#000000"/>
            </w:tcBorders>
            <w:tcMar>
              <w:start w:w="0" w:type="dxa"/>
              <w:end w:w="0" w:type="dxa"/>
            </w:tcMar>
          </w:tcPr>
          <w:p>
            <w:pPr>
              <w:autoSpaceDN w:val="0"/>
              <w:autoSpaceDE w:val="0"/>
              <w:widowControl/>
              <w:spacing w:line="233" w:lineRule="auto" w:before="194" w:after="0"/>
              <w:ind w:left="174" w:right="0" w:firstLine="0"/>
              <w:jc w:val="left"/>
            </w:pPr>
            <w:r>
              <w:rPr>
                <w:rFonts w:ascii="Arial" w:hAnsi="Arial" w:eastAsia="Arial"/>
                <w:b w:val="0"/>
                <w:i w:val="0"/>
                <w:color w:val="000000"/>
                <w:sz w:val="15"/>
              </w:rPr>
              <w:t>1,496,902,570</w:t>
            </w:r>
          </w:p>
        </w:tc>
      </w:tr>
      <w:tr>
        <w:trPr>
          <w:trHeight w:hRule="exact" w:val="604"/>
        </w:trPr>
        <w:tc>
          <w:tcPr>
            <w:tcW w:type="dxa" w:w="860"/>
            <w:tcBorders>
              <w:top w:sz="4.0" w:val="single" w:color="#000000"/>
            </w:tcBorders>
            <w:tcMar>
              <w:start w:w="0" w:type="dxa"/>
              <w:end w:w="0" w:type="dxa"/>
            </w:tcMar>
          </w:tcPr>
          <w:p>
            <w:pPr>
              <w:autoSpaceDN w:val="0"/>
              <w:autoSpaceDE w:val="0"/>
              <w:widowControl/>
              <w:spacing w:line="246" w:lineRule="exact" w:before="294" w:after="0"/>
              <w:ind w:left="198" w:right="0" w:firstLine="0"/>
              <w:jc w:val="left"/>
            </w:pPr>
            <w:r>
              <w:rPr>
                <w:rFonts w:ascii="Arial,Bold" w:hAnsi="Arial,Bold" w:eastAsia="Arial,Bold"/>
                <w:b/>
                <w:i w:val="0"/>
                <w:color w:val="000000"/>
                <w:sz w:val="22"/>
              </w:rPr>
              <w:t xml:space="preserve">24. </w:t>
            </w:r>
          </w:p>
        </w:tc>
        <w:tc>
          <w:tcPr>
            <w:tcW w:type="dxa" w:w="4110"/>
            <w:gridSpan w:val="4"/>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304" w:after="0"/>
              <w:ind w:left="66" w:right="0" w:firstLine="0"/>
              <w:jc w:val="left"/>
            </w:pPr>
            <w:r>
              <w:rPr>
                <w:rFonts w:ascii="黑体" w:hAnsi="黑体" w:eastAsia="黑体"/>
                <w:b w:val="0"/>
                <w:i w:val="0"/>
                <w:color w:val="000000"/>
                <w:sz w:val="22"/>
              </w:rPr>
              <w:t>卖出回购金融资产款</w:t>
            </w:r>
          </w:p>
        </w:tc>
        <w:tc>
          <w:tcPr>
            <w:tcW w:type="dxa" w:w="1210"/>
            <w:tcBorders>
              <w:top w:sz="4.0" w:val="single" w:color="#000000"/>
            </w:tcBorders>
            <w:tcMar>
              <w:start w:w="0" w:type="dxa"/>
              <w:end w:w="0" w:type="dxa"/>
            </w:tcMar>
          </w:tcPr>
          <w:p/>
        </w:tc>
        <w:tc>
          <w:tcPr>
            <w:tcW w:type="dxa" w:w="1220"/>
            <w:tcBorders>
              <w:top w:sz="4.0" w:val="single" w:color="#000000"/>
            </w:tcBorders>
            <w:tcMar>
              <w:start w:w="0" w:type="dxa"/>
              <w:end w:w="0" w:type="dxa"/>
            </w:tcMar>
          </w:tcPr>
          <w:p/>
        </w:tc>
        <w:tc>
          <w:tcPr>
            <w:tcW w:type="dxa" w:w="1134"/>
            <w:tcBorders>
              <w:top w:sz="4.0" w:val="single" w:color="#000000"/>
            </w:tcBorders>
            <w:tcMar>
              <w:start w:w="0" w:type="dxa"/>
              <w:end w:w="0" w:type="dxa"/>
            </w:tcMar>
          </w:tcPr>
          <w:p/>
        </w:tc>
      </w:tr>
    </w:tbl>
    <w:p>
      <w:pPr>
        <w:autoSpaceDN w:val="0"/>
        <w:autoSpaceDE w:val="0"/>
        <w:widowControl/>
        <w:spacing w:line="246" w:lineRule="exact" w:before="232"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按金融资产种类列示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5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债券</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12"/>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58" w:after="0"/>
              <w:ind w:left="344" w:right="0" w:firstLine="0"/>
              <w:jc w:val="left"/>
            </w:pPr>
            <w:r>
              <w:rPr>
                <w:rFonts w:ascii="Arial" w:hAnsi="Arial" w:eastAsia="Arial"/>
                <w:b w:val="0"/>
                <w:i w:val="0"/>
                <w:color w:val="000000"/>
                <w:sz w:val="22"/>
              </w:rPr>
              <w:t>12,729,642,678</w:t>
            </w:r>
          </w:p>
        </w:tc>
        <w:tc>
          <w:tcPr>
            <w:tcW w:type="dxa" w:w="2098"/>
            <w:tcBorders>
              <w:bottom w:sz="4.0" w:val="single" w:color="#000000"/>
            </w:tcBorders>
            <w:tcMar>
              <w:start w:w="0" w:type="dxa"/>
              <w:end w:w="0" w:type="dxa"/>
            </w:tcMar>
          </w:tcPr>
          <w:p>
            <w:pPr>
              <w:autoSpaceDN w:val="0"/>
              <w:autoSpaceDE w:val="0"/>
              <w:widowControl/>
              <w:spacing w:line="233" w:lineRule="auto" w:before="158" w:after="0"/>
              <w:ind w:left="0" w:right="0" w:firstLine="0"/>
              <w:jc w:val="right"/>
            </w:pPr>
            <w:r>
              <w:rPr>
                <w:rFonts w:ascii="Arial" w:hAnsi="Arial" w:eastAsia="Arial"/>
                <w:b w:val="0"/>
                <w:i w:val="0"/>
                <w:color w:val="000000"/>
                <w:sz w:val="22"/>
              </w:rPr>
              <w:t>10,277,980,209</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88" w:after="0"/>
              <w:ind w:left="344" w:right="0" w:firstLine="0"/>
              <w:jc w:val="left"/>
            </w:pPr>
            <w:r>
              <w:rPr>
                <w:rFonts w:ascii="Arial" w:hAnsi="Arial" w:eastAsia="Arial"/>
                <w:b w:val="0"/>
                <w:i w:val="0"/>
                <w:color w:val="000000"/>
                <w:sz w:val="22"/>
              </w:rPr>
              <w:t>12,729,642,678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10,277,980,209</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6"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按业务类别列示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债券质押式回购</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3009"/>
            <w:vMerge/>
            <w:tcBorders/>
          </w:tcPr>
          <w:p/>
        </w:tc>
        <w:tc>
          <w:tcPr>
            <w:tcW w:type="dxa" w:w="1870"/>
            <w:tcBorders/>
            <w:tcMar>
              <w:start w:w="0" w:type="dxa"/>
              <w:end w:w="0" w:type="dxa"/>
            </w:tcMar>
          </w:tcPr>
          <w:p>
            <w:pPr>
              <w:autoSpaceDN w:val="0"/>
              <w:autoSpaceDE w:val="0"/>
              <w:widowControl/>
              <w:spacing w:line="233" w:lineRule="auto" w:before="154" w:after="0"/>
              <w:ind w:left="344" w:right="0" w:firstLine="0"/>
              <w:jc w:val="left"/>
            </w:pPr>
            <w:r>
              <w:rPr>
                <w:rFonts w:ascii="Arial" w:hAnsi="Arial" w:eastAsia="Arial"/>
                <w:b w:val="0"/>
                <w:i w:val="0"/>
                <w:color w:val="000000"/>
                <w:sz w:val="22"/>
              </w:rPr>
              <w:t>11,574,126,521</w:t>
            </w:r>
          </w:p>
        </w:tc>
        <w:tc>
          <w:tcPr>
            <w:tcW w:type="dxa" w:w="2098"/>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9,033,016,873</w:t>
            </w:r>
          </w:p>
        </w:tc>
      </w:tr>
      <w:tr>
        <w:trPr>
          <w:trHeight w:hRule="exact" w:val="280"/>
        </w:trPr>
        <w:tc>
          <w:tcPr>
            <w:tcW w:type="dxa" w:w="4564"/>
            <w:tcBorders/>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债券买断式回购</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63,680,473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782,809,594</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质押式报价回购</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1,091,835,684</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462,153,742</w:t>
            </w:r>
          </w:p>
        </w:tc>
      </w:tr>
      <w:tr>
        <w:trPr>
          <w:trHeight w:hRule="exact" w:val="548"/>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5" w:lineRule="auto" w:before="288" w:after="0"/>
              <w:ind w:left="344" w:right="0" w:firstLine="0"/>
              <w:jc w:val="left"/>
            </w:pPr>
            <w:r>
              <w:rPr>
                <w:rFonts w:ascii="Arial" w:hAnsi="Arial" w:eastAsia="Arial"/>
                <w:b w:val="0"/>
                <w:i w:val="0"/>
                <w:color w:val="000000"/>
                <w:sz w:val="22"/>
              </w:rPr>
              <w:t>12,729,642,678</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10,277,980,209</w:t>
            </w:r>
          </w:p>
        </w:tc>
      </w:tr>
      <w:tr>
        <w:trPr>
          <w:trHeight w:hRule="exact" w:val="52"/>
        </w:trPr>
        <w:tc>
          <w:tcPr>
            <w:tcW w:type="dxa" w:w="4564"/>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233" w:lineRule="auto" w:before="2980" w:after="0"/>
        <w:ind w:left="0" w:right="0" w:firstLine="0"/>
        <w:jc w:val="center"/>
      </w:pPr>
      <w:r>
        <w:rPr>
          <w:rFonts w:ascii="Arial" w:hAnsi="Arial" w:eastAsia="Arial"/>
          <w:b w:val="0"/>
          <w:i w:val="0"/>
          <w:color w:val="000000"/>
          <w:sz w:val="20"/>
        </w:rPr>
        <w:t xml:space="preserve">223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58" w:val="left"/>
          <w:tab w:pos="1070" w:val="left"/>
          <w:tab w:pos="5936" w:val="left"/>
        </w:tabs>
        <w:autoSpaceDE w:val="0"/>
        <w:widowControl/>
        <w:spacing w:line="458" w:lineRule="exact" w:before="0" w:after="40"/>
        <w:ind w:left="358" w:right="1440" w:firstLine="0"/>
        <w:jc w:val="left"/>
      </w:pPr>
      <w:r>
        <w:rPr>
          <w:rFonts w:ascii="黑体" w:hAnsi="黑体" w:eastAsia="黑体"/>
          <w:b w:val="0"/>
          <w:i w:val="0"/>
          <w:color w:val="000000"/>
          <w:sz w:val="22"/>
        </w:rPr>
        <w:t>五、</w:t>
      </w:r>
      <w:r>
        <w:tab/>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24. </w:t>
      </w:r>
      <w:r>
        <w:tab/>
      </w:r>
      <w:r>
        <w:rPr>
          <w:rFonts w:ascii="黑体" w:hAnsi="黑体" w:eastAsia="黑体"/>
          <w:b w:val="0"/>
          <w:i w:val="0"/>
          <w:color w:val="000000"/>
          <w:sz w:val="22"/>
        </w:rPr>
        <w:t>卖出回购金融资产款（续）</w:t>
      </w:r>
      <w:r>
        <w:br/>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卖出回购金融资产款的担保物信息</w:t>
      </w:r>
      <w:r>
        <w:br/>
      </w:r>
      <w:r>
        <w:tab/>
      </w:r>
      <w:r>
        <w:tab/>
      </w:r>
      <w:r>
        <w:tab/>
      </w:r>
      <w:r>
        <w:rPr>
          <w:rFonts w:ascii="黑体" w:hAnsi="黑体" w:eastAsia="黑体"/>
          <w:b w:val="0"/>
          <w:i w:val="0"/>
          <w:color w:val="000000"/>
          <w:sz w:val="22"/>
        </w:rPr>
        <w:t>担保物公允价值</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48"/>
        </w:trPr>
        <w:tc>
          <w:tcPr>
            <w:tcW w:type="dxa" w:w="4564"/>
            <w:gridSpan w:val="2"/>
            <w:tcBorders/>
            <w:tcMar>
              <w:start w:w="0" w:type="dxa"/>
              <w:end w:w="0" w:type="dxa"/>
            </w:tcMar>
            <w:tcMar>
              <w:start w:w="0" w:type="dxa"/>
              <w:end w:w="0" w:type="dxa"/>
            </w:tcMar>
          </w:tcPr>
          <w:p>
            <w:pPr>
              <w:autoSpaceDN w:val="0"/>
              <w:autoSpaceDE w:val="0"/>
              <w:widowControl/>
              <w:spacing w:line="220" w:lineRule="exact" w:before="28" w:after="0"/>
              <w:ind w:left="198" w:right="0" w:firstLine="0"/>
              <w:jc w:val="left"/>
            </w:pPr>
            <w:r>
              <w:rPr>
                <w:rFonts w:ascii="黑体" w:hAnsi="黑体" w:eastAsia="黑体"/>
                <w:b w:val="0"/>
                <w:i w:val="0"/>
                <w:color w:val="000000"/>
                <w:sz w:val="22"/>
              </w:rPr>
              <w:t>担保物类别</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2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24"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7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324" w:after="0"/>
              <w:ind w:left="198" w:right="0" w:firstLine="0"/>
              <w:jc w:val="left"/>
            </w:pPr>
            <w:r>
              <w:rPr>
                <w:rFonts w:ascii="黑体" w:hAnsi="黑体" w:eastAsia="黑体"/>
                <w:b w:val="0"/>
                <w:i w:val="0"/>
                <w:color w:val="000000"/>
                <w:sz w:val="22"/>
              </w:rPr>
              <w:t>债券</w:t>
            </w:r>
          </w:p>
        </w:tc>
        <w:tc>
          <w:tcPr>
            <w:tcW w:type="dxa" w:w="2256"/>
            <w:vMerge/>
            <w:tcBorders/>
          </w:tcPr>
          <w:p/>
        </w:tc>
        <w:tc>
          <w:tcPr>
            <w:tcW w:type="dxa" w:w="2256"/>
            <w:vMerge/>
            <w:tcBorders/>
          </w:tcPr>
          <w:p/>
        </w:tc>
      </w:tr>
      <w:tr>
        <w:trPr>
          <w:trHeight w:hRule="exact" w:val="384"/>
        </w:trPr>
        <w:tc>
          <w:tcPr>
            <w:tcW w:type="dxa" w:w="4512"/>
            <w:gridSpan w:val="2"/>
            <w:vMerge/>
            <w:tcBorders/>
          </w:tcPr>
          <w:p/>
        </w:tc>
        <w:tc>
          <w:tcPr>
            <w:tcW w:type="dxa" w:w="1870"/>
            <w:tcBorders/>
            <w:tcMar>
              <w:start w:w="0" w:type="dxa"/>
              <w:end w:w="0" w:type="dxa"/>
            </w:tcMar>
          </w:tcPr>
          <w:p>
            <w:pPr>
              <w:autoSpaceDN w:val="0"/>
              <w:autoSpaceDE w:val="0"/>
              <w:widowControl/>
              <w:spacing w:line="233" w:lineRule="auto" w:before="138" w:after="0"/>
              <w:ind w:left="344" w:right="0" w:firstLine="0"/>
              <w:jc w:val="left"/>
            </w:pPr>
            <w:r>
              <w:rPr>
                <w:rFonts w:ascii="Arial" w:hAnsi="Arial" w:eastAsia="Arial"/>
                <w:b w:val="0"/>
                <w:i w:val="0"/>
                <w:color w:val="000000"/>
                <w:sz w:val="22"/>
              </w:rPr>
              <w:t>13,370,262,127</w:t>
            </w:r>
          </w:p>
        </w:tc>
        <w:tc>
          <w:tcPr>
            <w:tcW w:type="dxa" w:w="2098"/>
            <w:tcBorders/>
            <w:tcMar>
              <w:start w:w="0" w:type="dxa"/>
              <w:end w:w="0" w:type="dxa"/>
            </w:tcMar>
          </w:tcPr>
          <w:p>
            <w:pPr>
              <w:autoSpaceDN w:val="0"/>
              <w:autoSpaceDE w:val="0"/>
              <w:widowControl/>
              <w:spacing w:line="233" w:lineRule="auto" w:before="138" w:after="0"/>
              <w:ind w:left="0" w:right="0" w:firstLine="0"/>
              <w:jc w:val="right"/>
            </w:pPr>
            <w:r>
              <w:rPr>
                <w:rFonts w:ascii="Arial" w:hAnsi="Arial" w:eastAsia="Arial"/>
                <w:b w:val="0"/>
                <w:i w:val="0"/>
                <w:color w:val="000000"/>
                <w:sz w:val="22"/>
              </w:rPr>
              <w:t>10,912,457,455</w:t>
            </w:r>
          </w:p>
        </w:tc>
      </w:tr>
      <w:tr>
        <w:trPr>
          <w:trHeight w:hRule="exact" w:val="312"/>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资管计划</w:t>
            </w:r>
          </w:p>
        </w:tc>
        <w:tc>
          <w:tcPr>
            <w:tcW w:type="dxa" w:w="1870"/>
            <w:tcBorders>
              <w:bottom w:sz="4.0" w:val="single" w:color="#000000"/>
            </w:tcBorders>
            <w:tcMar>
              <w:start w:w="0" w:type="dxa"/>
              <w:end w:w="0" w:type="dxa"/>
            </w:tcMar>
          </w:tcPr>
          <w:p>
            <w:pPr>
              <w:autoSpaceDN w:val="0"/>
              <w:autoSpaceDE w:val="0"/>
              <w:widowControl/>
              <w:spacing w:line="233" w:lineRule="auto" w:before="56" w:after="0"/>
              <w:ind w:left="466" w:right="0" w:firstLine="0"/>
              <w:jc w:val="left"/>
            </w:pPr>
            <w:r>
              <w:rPr>
                <w:rFonts w:ascii="Arial" w:hAnsi="Arial" w:eastAsia="Arial"/>
                <w:b w:val="0"/>
                <w:i w:val="0"/>
                <w:color w:val="000000"/>
                <w:sz w:val="22"/>
              </w:rPr>
              <w:t>1,432,862,114</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931,511,368</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14,803,124,241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11,843,968,823</w:t>
            </w:r>
          </w:p>
        </w:tc>
      </w:tr>
      <w:tr>
        <w:trPr>
          <w:trHeight w:hRule="exact" w:val="1138"/>
        </w:trPr>
        <w:tc>
          <w:tcPr>
            <w:tcW w:type="dxa" w:w="740"/>
            <w:tcBorders>
              <w:top w:sz="4.0" w:val="single" w:color="#000000"/>
            </w:tcBorders>
            <w:tcMar>
              <w:start w:w="0" w:type="dxa"/>
              <w:end w:w="0" w:type="dxa"/>
            </w:tcMar>
          </w:tcPr>
          <w:p>
            <w:pPr>
              <w:autoSpaceDN w:val="0"/>
              <w:autoSpaceDE w:val="0"/>
              <w:widowControl/>
              <w:spacing w:line="246" w:lineRule="exact" w:before="288" w:after="0"/>
              <w:ind w:left="0" w:right="0" w:firstLine="0"/>
              <w:jc w:val="center"/>
            </w:pPr>
            <w:r>
              <w:rPr>
                <w:rFonts w:ascii="Arial,Bold" w:hAnsi="Arial,Bold" w:eastAsia="Arial,Bold"/>
                <w:b/>
                <w:i w:val="0"/>
                <w:color w:val="000000"/>
                <w:sz w:val="22"/>
              </w:rPr>
              <w:t xml:space="preserve">25. </w:t>
            </w:r>
          </w:p>
        </w:tc>
        <w:tc>
          <w:tcPr>
            <w:tcW w:type="dxa" w:w="3824"/>
            <w:tcBorders>
              <w:top w:sz="4.0" w:val="single" w:color="#000000"/>
            </w:tcBorders>
            <w:tcMar>
              <w:start w:w="0" w:type="dxa"/>
              <w:end w:w="0" w:type="dxa"/>
            </w:tcMar>
          </w:tcPr>
          <w:p>
            <w:pPr>
              <w:autoSpaceDN w:val="0"/>
              <w:autoSpaceDE w:val="0"/>
              <w:widowControl/>
              <w:spacing w:line="220" w:lineRule="exact" w:before="298" w:after="0"/>
              <w:ind w:left="186" w:right="0" w:firstLine="0"/>
              <w:jc w:val="left"/>
            </w:pPr>
            <w:r>
              <w:rPr>
                <w:rFonts w:ascii="黑体" w:hAnsi="黑体" w:eastAsia="黑体"/>
                <w:b w:val="0"/>
                <w:i w:val="0"/>
                <w:color w:val="000000"/>
                <w:sz w:val="22"/>
              </w:rPr>
              <w:t>代理买卖证券款</w:t>
            </w:r>
          </w:p>
        </w:tc>
        <w:tc>
          <w:tcPr>
            <w:tcW w:type="dxa" w:w="1870"/>
            <w:tcBorders>
              <w:top w:sz="4.0" w:val="single" w:color="#000000"/>
            </w:tcBorders>
            <w:tcMar>
              <w:start w:w="0" w:type="dxa"/>
              <w:end w:w="0" w:type="dxa"/>
            </w:tcMar>
          </w:tcPr>
          <w:p>
            <w:pPr>
              <w:autoSpaceDN w:val="0"/>
              <w:autoSpaceDE w:val="0"/>
              <w:widowControl/>
              <w:spacing w:line="246" w:lineRule="exact" w:before="826"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4.0" w:val="single" w:color="#000000"/>
            </w:tcBorders>
            <w:tcMar>
              <w:start w:w="0" w:type="dxa"/>
              <w:end w:w="0" w:type="dxa"/>
            </w:tcMar>
          </w:tcPr>
          <w:p>
            <w:pPr>
              <w:autoSpaceDN w:val="0"/>
              <w:autoSpaceDE w:val="0"/>
              <w:widowControl/>
              <w:spacing w:line="246" w:lineRule="exact" w:before="826"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bl>
    <w:p>
      <w:pPr>
        <w:autoSpaceDN w:val="0"/>
        <w:autoSpaceDE w:val="0"/>
        <w:widowControl/>
        <w:spacing w:line="220" w:lineRule="exact" w:before="244" w:after="32"/>
        <w:ind w:left="358" w:right="0" w:firstLine="0"/>
        <w:jc w:val="left"/>
      </w:pPr>
      <w:r>
        <w:rPr>
          <w:rFonts w:ascii="黑体" w:hAnsi="黑体" w:eastAsia="黑体"/>
          <w:b w:val="0"/>
          <w:i w:val="0"/>
          <w:color w:val="000000"/>
          <w:sz w:val="22"/>
        </w:rPr>
        <w:t>普通经纪业务</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64"/>
        </w:trPr>
        <w:tc>
          <w:tcPr>
            <w:tcW w:type="dxa" w:w="2760"/>
            <w:tcBorders/>
            <w:tcMar>
              <w:start w:w="0" w:type="dxa"/>
              <w:end w:w="0" w:type="dxa"/>
            </w:tcMar>
          </w:tcPr>
          <w:p>
            <w:pPr>
              <w:autoSpaceDN w:val="0"/>
              <w:autoSpaceDE w:val="0"/>
              <w:widowControl/>
              <w:spacing w:line="222" w:lineRule="exact" w:before="32" w:after="0"/>
              <w:ind w:left="302" w:right="0" w:firstLine="0"/>
              <w:jc w:val="left"/>
            </w:pPr>
            <w:r>
              <w:rPr>
                <w:rFonts w:ascii="黑体" w:hAnsi="黑体" w:eastAsia="黑体"/>
                <w:b w:val="0"/>
                <w:i w:val="0"/>
                <w:color w:val="000000"/>
                <w:sz w:val="22"/>
              </w:rPr>
              <w:t>个人</w:t>
            </w:r>
          </w:p>
        </w:tc>
        <w:tc>
          <w:tcPr>
            <w:tcW w:type="dxa" w:w="3900"/>
            <w:vMerge w:val="restart"/>
            <w:tcBorders/>
            <w:tcMar>
              <w:start w:w="0" w:type="dxa"/>
              <w:end w:w="0" w:type="dxa"/>
            </w:tcMar>
            <w:tcMar>
              <w:start w:w="0" w:type="dxa"/>
              <w:end w:w="0" w:type="dxa"/>
            </w:tcMar>
          </w:tcPr>
          <w:p>
            <w:pPr>
              <w:autoSpaceDN w:val="0"/>
              <w:autoSpaceDE w:val="0"/>
              <w:widowControl/>
              <w:spacing w:line="233" w:lineRule="auto" w:before="40" w:after="0"/>
              <w:ind w:left="0" w:right="340" w:firstLine="0"/>
              <w:jc w:val="right"/>
            </w:pPr>
            <w:r>
              <w:rPr>
                <w:rFonts w:ascii="Arial" w:hAnsi="Arial" w:eastAsia="Arial"/>
                <w:b w:val="0"/>
                <w:i w:val="0"/>
                <w:color w:val="000000"/>
                <w:sz w:val="22"/>
              </w:rPr>
              <w:t>11,611,566,422</w:t>
            </w:r>
          </w:p>
        </w:tc>
        <w:tc>
          <w:tcPr>
            <w:tcW w:type="dxa" w:w="1920"/>
            <w:vMerge w:val="restart"/>
            <w:tcBorders/>
            <w:tcMar>
              <w:start w:w="0" w:type="dxa"/>
              <w:end w:w="0" w:type="dxa"/>
            </w:tcMar>
            <w:tcMar>
              <w:start w:w="0" w:type="dxa"/>
              <w:end w:w="0" w:type="dxa"/>
            </w:tcMar>
          </w:tcPr>
          <w:p>
            <w:pPr>
              <w:autoSpaceDN w:val="0"/>
              <w:autoSpaceDE w:val="0"/>
              <w:widowControl/>
              <w:spacing w:line="233" w:lineRule="auto" w:before="40" w:after="0"/>
              <w:ind w:left="346" w:right="0" w:firstLine="0"/>
              <w:jc w:val="left"/>
            </w:pPr>
            <w:r>
              <w:rPr>
                <w:rFonts w:ascii="Arial" w:hAnsi="Arial" w:eastAsia="Arial"/>
                <w:b w:val="0"/>
                <w:i w:val="0"/>
                <w:color w:val="000000"/>
                <w:sz w:val="22"/>
              </w:rPr>
              <w:t>8,658,026,581</w:t>
            </w:r>
          </w:p>
        </w:tc>
      </w:tr>
      <w:tr>
        <w:trPr>
          <w:trHeight w:hRule="exact" w:val="42"/>
        </w:trPr>
        <w:tc>
          <w:tcPr>
            <w:tcW w:type="dxa" w:w="2760"/>
            <w:vMerge w:val="restart"/>
            <w:tcBorders/>
            <w:tcMar>
              <w:start w:w="0" w:type="dxa"/>
              <w:end w:w="0" w:type="dxa"/>
            </w:tcMar>
            <w:tcMar>
              <w:start w:w="0" w:type="dxa"/>
              <w:end w:w="0" w:type="dxa"/>
            </w:tcMar>
          </w:tcPr>
          <w:p>
            <w:pPr>
              <w:autoSpaceDN w:val="0"/>
              <w:autoSpaceDE w:val="0"/>
              <w:widowControl/>
              <w:spacing w:line="222" w:lineRule="exact" w:before="52" w:after="0"/>
              <w:ind w:left="302" w:right="0" w:firstLine="0"/>
              <w:jc w:val="left"/>
            </w:pPr>
            <w:r>
              <w:rPr>
                <w:rFonts w:ascii="黑体" w:hAnsi="黑体" w:eastAsia="黑体"/>
                <w:b w:val="0"/>
                <w:i w:val="0"/>
                <w:color w:val="000000"/>
                <w:sz w:val="22"/>
              </w:rPr>
              <w:t>机构</w:t>
            </w:r>
          </w:p>
        </w:tc>
        <w:tc>
          <w:tcPr>
            <w:tcW w:type="dxa" w:w="3009"/>
            <w:vMerge/>
            <w:tcBorders/>
          </w:tcPr>
          <w:p/>
        </w:tc>
        <w:tc>
          <w:tcPr>
            <w:tcW w:type="dxa" w:w="3009"/>
            <w:vMerge/>
            <w:tcBorders/>
          </w:tcPr>
          <w:p/>
        </w:tc>
      </w:tr>
      <w:tr>
        <w:trPr>
          <w:trHeight w:hRule="exact" w:val="326"/>
        </w:trPr>
        <w:tc>
          <w:tcPr>
            <w:tcW w:type="dxa" w:w="3009"/>
            <w:vMerge/>
            <w:tcBorders/>
          </w:tcPr>
          <w:p/>
        </w:tc>
        <w:tc>
          <w:tcPr>
            <w:tcW w:type="dxa" w:w="3900"/>
            <w:tcBorders/>
            <w:tcMar>
              <w:start w:w="0" w:type="dxa"/>
              <w:end w:w="0" w:type="dxa"/>
            </w:tcMar>
          </w:tcPr>
          <w:p>
            <w:pPr>
              <w:autoSpaceDN w:val="0"/>
              <w:autoSpaceDE w:val="0"/>
              <w:widowControl/>
              <w:spacing w:line="233" w:lineRule="auto" w:before="20" w:after="0"/>
              <w:ind w:left="0" w:right="340" w:firstLine="0"/>
              <w:jc w:val="right"/>
            </w:pPr>
            <w:r>
              <w:rPr>
                <w:rFonts w:ascii="Arial" w:hAnsi="Arial" w:eastAsia="Arial"/>
                <w:b w:val="0"/>
                <w:i w:val="0"/>
                <w:color w:val="000000"/>
                <w:sz w:val="22"/>
              </w:rPr>
              <w:t>5,616,627,645</w:t>
            </w:r>
          </w:p>
        </w:tc>
        <w:tc>
          <w:tcPr>
            <w:tcW w:type="dxa" w:w="1920"/>
            <w:tcBorders/>
            <w:tcMar>
              <w:start w:w="0" w:type="dxa"/>
              <w:end w:w="0" w:type="dxa"/>
            </w:tcMar>
          </w:tcPr>
          <w:p>
            <w:pPr>
              <w:autoSpaceDN w:val="0"/>
              <w:autoSpaceDE w:val="0"/>
              <w:widowControl/>
              <w:spacing w:line="233" w:lineRule="auto" w:before="20" w:after="0"/>
              <w:ind w:left="346" w:right="0" w:firstLine="0"/>
              <w:jc w:val="left"/>
            </w:pPr>
            <w:r>
              <w:rPr>
                <w:rFonts w:ascii="Arial" w:hAnsi="Arial" w:eastAsia="Arial"/>
                <w:b w:val="0"/>
                <w:i w:val="0"/>
                <w:color w:val="000000"/>
                <w:sz w:val="22"/>
              </w:rPr>
              <w:t>4,903,732,239</w:t>
            </w:r>
          </w:p>
        </w:tc>
      </w:tr>
    </w:tbl>
    <w:p>
      <w:pPr>
        <w:autoSpaceDN w:val="0"/>
        <w:autoSpaceDE w:val="0"/>
        <w:widowControl/>
        <w:spacing w:line="222" w:lineRule="exact" w:before="224" w:after="32"/>
        <w:ind w:left="358" w:right="0" w:firstLine="0"/>
        <w:jc w:val="left"/>
      </w:pPr>
      <w:r>
        <w:rPr>
          <w:rFonts w:ascii="黑体" w:hAnsi="黑体" w:eastAsia="黑体"/>
          <w:b w:val="0"/>
          <w:i w:val="0"/>
          <w:color w:val="000000"/>
          <w:sz w:val="22"/>
        </w:rPr>
        <w:t>信用业务</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54"/>
        </w:trPr>
        <w:tc>
          <w:tcPr>
            <w:tcW w:type="dxa" w:w="4564"/>
            <w:tcBorders/>
            <w:tcMar>
              <w:start w:w="0" w:type="dxa"/>
              <w:end w:w="0" w:type="dxa"/>
            </w:tcMar>
          </w:tcPr>
          <w:p>
            <w:pPr>
              <w:autoSpaceDN w:val="0"/>
              <w:autoSpaceDE w:val="0"/>
              <w:widowControl/>
              <w:spacing w:line="220" w:lineRule="exact" w:before="32" w:after="0"/>
              <w:ind w:left="422" w:right="0" w:firstLine="0"/>
              <w:jc w:val="left"/>
            </w:pPr>
            <w:r>
              <w:rPr>
                <w:rFonts w:ascii="黑体" w:hAnsi="黑体" w:eastAsia="黑体"/>
                <w:b w:val="0"/>
                <w:i w:val="0"/>
                <w:color w:val="000000"/>
                <w:sz w:val="22"/>
              </w:rPr>
              <w:t>个人</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8" w:after="0"/>
              <w:ind w:left="466" w:right="0" w:firstLine="0"/>
              <w:jc w:val="left"/>
            </w:pPr>
            <w:r>
              <w:rPr>
                <w:rFonts w:ascii="Arial" w:hAnsi="Arial" w:eastAsia="Arial"/>
                <w:b w:val="0"/>
                <w:i w:val="0"/>
                <w:color w:val="000000"/>
                <w:sz w:val="22"/>
              </w:rPr>
              <w:t>1,102,118,089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2"/>
              </w:rPr>
              <w:t>590,647,443</w:t>
            </w:r>
          </w:p>
        </w:tc>
      </w:tr>
      <w:tr>
        <w:trPr>
          <w:trHeight w:hRule="exact" w:val="50"/>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4" w:after="0"/>
              <w:ind w:left="422" w:right="0" w:firstLine="0"/>
              <w:jc w:val="left"/>
            </w:pPr>
            <w:r>
              <w:rPr>
                <w:rFonts w:ascii="黑体" w:hAnsi="黑体" w:eastAsia="黑体"/>
                <w:b w:val="0"/>
                <w:i w:val="0"/>
                <w:color w:val="000000"/>
                <w:sz w:val="22"/>
              </w:rPr>
              <w:t>机构</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174,450,023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434,211,290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18,504,762,179</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14,586,617,553</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6454" w:after="0"/>
        <w:ind w:left="0" w:right="0" w:firstLine="0"/>
        <w:jc w:val="center"/>
      </w:pPr>
      <w:r>
        <w:rPr>
          <w:rFonts w:ascii="Arial" w:hAnsi="Arial" w:eastAsia="Arial"/>
          <w:b w:val="0"/>
          <w:i w:val="0"/>
          <w:color w:val="000000"/>
          <w:sz w:val="20"/>
        </w:rPr>
        <w:t xml:space="preserve">224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106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1064"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6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26. </w:t>
            </w:r>
          </w:p>
        </w:tc>
        <w:tc>
          <w:tcPr>
            <w:tcW w:type="dxa" w:w="3804"/>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代理承销证券款</w:t>
            </w:r>
          </w:p>
        </w:tc>
        <w:tc>
          <w:tcPr>
            <w:tcW w:type="dxa" w:w="2256"/>
            <w:vMerge/>
            <w:tcBorders/>
          </w:tcPr>
          <w:p/>
        </w:tc>
        <w:tc>
          <w:tcPr>
            <w:tcW w:type="dxa" w:w="2256"/>
            <w:vMerge/>
            <w:tcBorders/>
          </w:tcPr>
          <w:p/>
        </w:tc>
      </w:tr>
      <w:tr>
        <w:trPr>
          <w:trHeight w:hRule="exact" w:val="360"/>
        </w:trPr>
        <w:tc>
          <w:tcPr>
            <w:tcW w:type="dxa" w:w="760"/>
            <w:tcBorders/>
            <w:tcMar>
              <w:start w:w="0" w:type="dxa"/>
              <w:end w:w="0" w:type="dxa"/>
            </w:tcMar>
          </w:tcPr>
          <w:p>
            <w:pPr>
              <w:autoSpaceDN w:val="0"/>
              <w:autoSpaceDE w:val="0"/>
              <w:widowControl/>
              <w:spacing w:line="222" w:lineRule="exact" w:before="138" w:after="0"/>
              <w:ind w:left="0" w:right="120" w:firstLine="0"/>
              <w:jc w:val="right"/>
            </w:pPr>
            <w:r>
              <w:rPr>
                <w:rFonts w:ascii="黑体" w:hAnsi="黑体" w:eastAsia="黑体"/>
                <w:b w:val="0"/>
                <w:i w:val="0"/>
                <w:color w:val="000000"/>
                <w:sz w:val="22"/>
              </w:rPr>
              <w:t>项目</w:t>
            </w:r>
          </w:p>
        </w:tc>
        <w:tc>
          <w:tcPr>
            <w:tcW w:type="dxa" w:w="2256"/>
            <w:vMerge/>
            <w:tcBorders>
              <w:bottom w:sz="4.0" w:val="single" w:color="#000000"/>
            </w:tcBorders>
          </w:tcPr>
          <w:p/>
        </w:tc>
        <w:tc>
          <w:tcPr>
            <w:tcW w:type="dxa" w:w="2256"/>
            <w:vMerge/>
            <w:tcBorders/>
          </w:tcPr>
          <w:p/>
        </w:tc>
        <w:tc>
          <w:tcPr>
            <w:tcW w:type="dxa" w:w="2256"/>
            <w:vMerge/>
            <w:tcBorders/>
          </w:tcPr>
          <w:p/>
        </w:tc>
      </w:tr>
      <w:tr>
        <w:trPr>
          <w:trHeight w:hRule="exact" w:val="182"/>
        </w:trPr>
        <w:tc>
          <w:tcPr>
            <w:tcW w:type="dxa" w:w="76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330" w:after="0"/>
              <w:ind w:left="0" w:right="120" w:firstLine="0"/>
              <w:jc w:val="right"/>
            </w:pPr>
            <w:r>
              <w:rPr>
                <w:rFonts w:ascii="黑体" w:hAnsi="黑体" w:eastAsia="黑体"/>
                <w:b w:val="0"/>
                <w:i w:val="0"/>
                <w:color w:val="000000"/>
                <w:sz w:val="22"/>
              </w:rPr>
              <w:t>股票</w:t>
            </w:r>
          </w:p>
        </w:tc>
        <w:tc>
          <w:tcPr>
            <w:tcW w:type="dxa" w:w="2256"/>
            <w:vMerge/>
            <w:tcBorders>
              <w:bottom w:sz="4.0" w:val="single" w:color="#000000"/>
            </w:tcBorders>
          </w:tcPr>
          <w:p/>
        </w:tc>
        <w:tc>
          <w:tcPr>
            <w:tcW w:type="dxa" w:w="2256"/>
            <w:vMerge/>
            <w:tcBorders/>
          </w:tcPr>
          <w:p/>
        </w:tc>
        <w:tc>
          <w:tcPr>
            <w:tcW w:type="dxa" w:w="2256"/>
            <w:vMerge/>
            <w:tcBorders/>
          </w:tcPr>
          <w:p/>
        </w:tc>
      </w:tr>
      <w:tr>
        <w:trPr>
          <w:trHeight w:hRule="exact" w:val="412"/>
        </w:trPr>
        <w:tc>
          <w:tcPr>
            <w:tcW w:type="dxa" w:w="2256"/>
            <w:vMerge/>
            <w:tcBorders>
              <w:bottom w:sz="4.0" w:val="single" w:color="#000000"/>
            </w:tcBorders>
          </w:tcPr>
          <w:p/>
        </w:tc>
        <w:tc>
          <w:tcPr>
            <w:tcW w:type="dxa" w:w="225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125,599,933</w:t>
            </w:r>
          </w:p>
        </w:tc>
      </w:tr>
      <w:tr>
        <w:trPr>
          <w:trHeight w:hRule="exact" w:val="548"/>
        </w:trPr>
        <w:tc>
          <w:tcPr>
            <w:tcW w:type="dxa" w:w="760"/>
            <w:tcBorders>
              <w:top w:sz="4.0" w:val="single" w:color="#000000"/>
              <w:bottom w:sz="3.2000000000000455" w:val="single" w:color="#000000"/>
            </w:tcBorders>
            <w:tcMar>
              <w:start w:w="0" w:type="dxa"/>
              <w:end w:w="0" w:type="dxa"/>
            </w:tcMar>
          </w:tcPr>
          <w:p>
            <w:pPr>
              <w:autoSpaceDN w:val="0"/>
              <w:autoSpaceDE w:val="0"/>
              <w:widowControl/>
              <w:spacing w:line="220" w:lineRule="exact" w:before="280" w:after="0"/>
              <w:ind w:left="0" w:right="120" w:firstLine="0"/>
              <w:jc w:val="right"/>
            </w:pPr>
            <w:r>
              <w:rPr>
                <w:rFonts w:ascii="黑体" w:hAnsi="黑体" w:eastAsia="黑体"/>
                <w:b w:val="0"/>
                <w:i w:val="0"/>
                <w:color w:val="000000"/>
                <w:sz w:val="22"/>
              </w:rPr>
              <w:t>合计</w:t>
            </w:r>
          </w:p>
        </w:tc>
        <w:tc>
          <w:tcPr>
            <w:tcW w:type="dxa" w:w="3804"/>
            <w:tcBorders>
              <w:top w:sz="4.0" w:val="single" w:color="#000000"/>
              <w:bottom w:sz="3.2000000000000455" w:val="single" w:color="#000000"/>
            </w:tcBorders>
            <w:tcMar>
              <w:start w:w="0" w:type="dxa"/>
              <w:end w:w="0" w:type="dxa"/>
            </w:tcMar>
          </w:tcPr>
          <w:p/>
        </w:tc>
        <w:tc>
          <w:tcPr>
            <w:tcW w:type="dxa" w:w="1870"/>
            <w:tcBorders>
              <w:top w:sz="4.0" w:val="single" w:color="#000000"/>
              <w:bottom w:sz="3.2000000000000455"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w:t>
            </w:r>
          </w:p>
        </w:tc>
        <w:tc>
          <w:tcPr>
            <w:tcW w:type="dxa" w:w="2098"/>
            <w:tcBorders>
              <w:top w:sz="4.0" w:val="single" w:color="#000000"/>
              <w:bottom w:sz="3.2000000000000455"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125,599,933</w:t>
            </w:r>
          </w:p>
        </w:tc>
      </w:tr>
      <w:tr>
        <w:trPr>
          <w:trHeight w:hRule="exact" w:val="602"/>
        </w:trPr>
        <w:tc>
          <w:tcPr>
            <w:tcW w:type="dxa" w:w="760"/>
            <w:tcBorders>
              <w:top w:sz="3.2000000000000455"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27. </w:t>
            </w:r>
          </w:p>
        </w:tc>
        <w:tc>
          <w:tcPr>
            <w:tcW w:type="dxa" w:w="3804"/>
            <w:tcBorders>
              <w:top w:sz="3.2000000000000455" w:val="single" w:color="#000000"/>
            </w:tcBorders>
            <w:tcMar>
              <w:start w:w="0" w:type="dxa"/>
              <w:end w:w="0" w:type="dxa"/>
            </w:tcMar>
          </w:tcPr>
          <w:p>
            <w:pPr>
              <w:autoSpaceDN w:val="0"/>
              <w:autoSpaceDE w:val="0"/>
              <w:widowControl/>
              <w:spacing w:line="220" w:lineRule="exact" w:before="302" w:after="0"/>
              <w:ind w:left="166" w:right="0" w:firstLine="0"/>
              <w:jc w:val="left"/>
            </w:pPr>
            <w:r>
              <w:rPr>
                <w:rFonts w:ascii="黑体" w:hAnsi="黑体" w:eastAsia="黑体"/>
                <w:b w:val="0"/>
                <w:i w:val="0"/>
                <w:color w:val="000000"/>
                <w:sz w:val="22"/>
              </w:rPr>
              <w:t>应付职工薪酬</w:t>
            </w:r>
          </w:p>
        </w:tc>
        <w:tc>
          <w:tcPr>
            <w:tcW w:type="dxa" w:w="1870"/>
            <w:tcBorders>
              <w:top w:sz="3.2000000000000455" w:val="single" w:color="#000000"/>
            </w:tcBorders>
            <w:tcMar>
              <w:start w:w="0" w:type="dxa"/>
              <w:end w:w="0" w:type="dxa"/>
            </w:tcMar>
          </w:tcPr>
          <w:p/>
        </w:tc>
        <w:tc>
          <w:tcPr>
            <w:tcW w:type="dxa" w:w="2098"/>
            <w:tcBorders>
              <w:top w:sz="3.2000000000000455" w:val="single" w:color="#000000"/>
            </w:tcBorders>
            <w:tcMar>
              <w:start w:w="0" w:type="dxa"/>
              <w:end w:w="0" w:type="dxa"/>
            </w:tcMar>
          </w:tcPr>
          <w:p/>
        </w:tc>
      </w:tr>
    </w:tbl>
    <w:p>
      <w:pPr>
        <w:autoSpaceDN w:val="0"/>
        <w:autoSpaceDE w:val="0"/>
        <w:widowControl/>
        <w:spacing w:line="246" w:lineRule="exact" w:before="230" w:after="26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应付职工薪酬列示如下：</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400"/>
        </w:trPr>
        <w:tc>
          <w:tcPr>
            <w:tcW w:type="dxa" w:w="2978"/>
            <w:vMerge w:val="restart"/>
            <w:tcBorders/>
            <w:tcMar>
              <w:start w:w="0" w:type="dxa"/>
              <w:end w:w="0" w:type="dxa"/>
            </w:tcMar>
            <w:tcMar>
              <w:start w:w="0" w:type="dxa"/>
              <w:end w:w="0" w:type="dxa"/>
            </w:tcMar>
          </w:tcPr>
          <w:p>
            <w:pPr>
              <w:autoSpaceDN w:val="0"/>
              <w:autoSpaceDE w:val="0"/>
              <w:widowControl/>
              <w:spacing w:line="202" w:lineRule="exact" w:before="556" w:after="0"/>
              <w:ind w:left="198" w:right="0" w:firstLine="0"/>
              <w:jc w:val="left"/>
            </w:pPr>
            <w:r>
              <w:rPr>
                <w:rFonts w:ascii="黑体" w:hAnsi="黑体" w:eastAsia="黑体"/>
                <w:b w:val="0"/>
                <w:i w:val="0"/>
                <w:color w:val="000000"/>
                <w:sz w:val="18"/>
              </w:rPr>
              <w:t>短期薪酬及长期薪金（</w:t>
            </w:r>
            <w:r>
              <w:rPr>
                <w:rFonts w:ascii="Arial" w:hAnsi="Arial" w:eastAsia="Arial"/>
                <w:b w:val="0"/>
                <w:i w:val="0"/>
                <w:color w:val="000000"/>
                <w:sz w:val="18"/>
              </w:rPr>
              <w:t>a</w:t>
            </w:r>
            <w:r>
              <w:rPr>
                <w:rFonts w:ascii="黑体" w:hAnsi="黑体" w:eastAsia="黑体"/>
                <w:b w:val="0"/>
                <w:i w:val="0"/>
                <w:color w:val="000000"/>
                <w:sz w:val="18"/>
              </w:rPr>
              <w:t>）</w:t>
            </w:r>
          </w:p>
        </w:tc>
        <w:tc>
          <w:tcPr>
            <w:tcW w:type="dxa" w:w="1322"/>
            <w:tcBorders/>
            <w:tcMar>
              <w:start w:w="0" w:type="dxa"/>
              <w:end w:w="0" w:type="dxa"/>
            </w:tcMar>
          </w:tcPr>
          <w:p>
            <w:pPr>
              <w:autoSpaceDN w:val="0"/>
              <w:autoSpaceDE w:val="0"/>
              <w:widowControl/>
              <w:spacing w:line="180" w:lineRule="exact" w:before="60" w:after="0"/>
              <w:ind w:left="0" w:right="168" w:firstLine="0"/>
              <w:jc w:val="right"/>
            </w:pPr>
            <w:r>
              <w:rPr>
                <w:rFonts w:ascii="黑体" w:hAnsi="黑体" w:eastAsia="黑体"/>
                <w:b w:val="0"/>
                <w:i w:val="0"/>
                <w:color w:val="000000"/>
                <w:sz w:val="18"/>
              </w:rPr>
              <w:t>年初余额</w:t>
            </w:r>
          </w:p>
        </w:tc>
        <w:tc>
          <w:tcPr>
            <w:tcW w:type="dxa" w:w="1456"/>
            <w:tcBorders/>
            <w:tcMar>
              <w:start w:w="0" w:type="dxa"/>
              <w:end w:w="0" w:type="dxa"/>
            </w:tcMar>
          </w:tcPr>
          <w:p>
            <w:pPr>
              <w:autoSpaceDN w:val="0"/>
              <w:autoSpaceDE w:val="0"/>
              <w:widowControl/>
              <w:spacing w:line="180" w:lineRule="exact" w:before="60" w:after="0"/>
              <w:ind w:left="0" w:right="228" w:firstLine="0"/>
              <w:jc w:val="right"/>
            </w:pPr>
            <w:r>
              <w:rPr>
                <w:rFonts w:ascii="黑体" w:hAnsi="黑体" w:eastAsia="黑体"/>
                <w:b w:val="0"/>
                <w:i w:val="0"/>
                <w:color w:val="000000"/>
                <w:sz w:val="18"/>
              </w:rPr>
              <w:t>本年增加</w:t>
            </w:r>
          </w:p>
        </w:tc>
        <w:tc>
          <w:tcPr>
            <w:tcW w:type="dxa" w:w="1624"/>
            <w:tcBorders/>
            <w:tcMar>
              <w:start w:w="0" w:type="dxa"/>
              <w:end w:w="0" w:type="dxa"/>
            </w:tcMar>
          </w:tcPr>
          <w:p>
            <w:pPr>
              <w:autoSpaceDN w:val="0"/>
              <w:autoSpaceDE w:val="0"/>
              <w:widowControl/>
              <w:spacing w:line="180" w:lineRule="exact" w:before="60" w:after="0"/>
              <w:ind w:left="0" w:right="226" w:firstLine="0"/>
              <w:jc w:val="right"/>
            </w:pPr>
            <w:r>
              <w:rPr>
                <w:rFonts w:ascii="黑体" w:hAnsi="黑体" w:eastAsia="黑体"/>
                <w:b w:val="0"/>
                <w:i w:val="0"/>
                <w:color w:val="000000"/>
                <w:sz w:val="18"/>
              </w:rPr>
              <w:t>本年减少</w:t>
            </w:r>
          </w:p>
        </w:tc>
        <w:tc>
          <w:tcPr>
            <w:tcW w:type="dxa" w:w="1152"/>
            <w:tcBorders/>
            <w:tcMar>
              <w:start w:w="0" w:type="dxa"/>
              <w:end w:w="0" w:type="dxa"/>
            </w:tcMar>
          </w:tcPr>
          <w:p>
            <w:pPr>
              <w:autoSpaceDN w:val="0"/>
              <w:autoSpaceDE w:val="0"/>
              <w:widowControl/>
              <w:spacing w:line="180" w:lineRule="exact" w:before="60" w:after="0"/>
              <w:ind w:left="0" w:right="0" w:firstLine="0"/>
              <w:jc w:val="right"/>
            </w:pPr>
            <w:r>
              <w:rPr>
                <w:rFonts w:ascii="黑体" w:hAnsi="黑体" w:eastAsia="黑体"/>
                <w:b w:val="0"/>
                <w:i w:val="0"/>
                <w:color w:val="000000"/>
                <w:sz w:val="18"/>
              </w:rPr>
              <w:t>年末余额</w:t>
            </w:r>
          </w:p>
        </w:tc>
      </w:tr>
      <w:tr>
        <w:trPr>
          <w:trHeight w:hRule="exact" w:val="360"/>
        </w:trPr>
        <w:tc>
          <w:tcPr>
            <w:tcW w:type="dxa" w:w="1805"/>
            <w:vMerge/>
            <w:tcBorders/>
          </w:tcPr>
          <w:p/>
        </w:tc>
        <w:tc>
          <w:tcPr>
            <w:tcW w:type="dxa" w:w="1322"/>
            <w:tcBorders/>
            <w:tcMar>
              <w:start w:w="0" w:type="dxa"/>
              <w:end w:w="0" w:type="dxa"/>
            </w:tcMar>
          </w:tcPr>
          <w:p>
            <w:pPr>
              <w:autoSpaceDN w:val="0"/>
              <w:autoSpaceDE w:val="0"/>
              <w:widowControl/>
              <w:spacing w:line="235" w:lineRule="auto" w:before="158" w:after="0"/>
              <w:ind w:left="254" w:right="0" w:firstLine="0"/>
              <w:jc w:val="left"/>
            </w:pPr>
            <w:r>
              <w:rPr>
                <w:rFonts w:ascii="Arial" w:hAnsi="Arial" w:eastAsia="Arial"/>
                <w:b w:val="0"/>
                <w:i w:val="0"/>
                <w:color w:val="000000"/>
                <w:sz w:val="18"/>
              </w:rPr>
              <w:t xml:space="preserve">93,839,779 </w:t>
            </w:r>
          </w:p>
        </w:tc>
        <w:tc>
          <w:tcPr>
            <w:tcW w:type="dxa" w:w="1456"/>
            <w:tcBorders/>
            <w:tcMar>
              <w:start w:w="0" w:type="dxa"/>
              <w:end w:w="0" w:type="dxa"/>
            </w:tcMar>
          </w:tcPr>
          <w:p>
            <w:pPr>
              <w:autoSpaceDN w:val="0"/>
              <w:autoSpaceDE w:val="0"/>
              <w:widowControl/>
              <w:spacing w:line="235" w:lineRule="auto" w:before="158" w:after="0"/>
              <w:ind w:left="74" w:right="0" w:firstLine="0"/>
              <w:jc w:val="left"/>
            </w:pPr>
            <w:r>
              <w:rPr>
                <w:rFonts w:ascii="Arial" w:hAnsi="Arial" w:eastAsia="Arial"/>
                <w:b w:val="0"/>
                <w:i w:val="0"/>
                <w:color w:val="000000"/>
                <w:sz w:val="18"/>
              </w:rPr>
              <w:t xml:space="preserve">1,216,419,760 </w:t>
            </w:r>
          </w:p>
        </w:tc>
        <w:tc>
          <w:tcPr>
            <w:tcW w:type="dxa" w:w="1624"/>
            <w:tcBorders/>
            <w:tcMar>
              <w:start w:w="0" w:type="dxa"/>
              <w:end w:w="0" w:type="dxa"/>
            </w:tcMar>
          </w:tcPr>
          <w:p>
            <w:pPr>
              <w:autoSpaceDN w:val="0"/>
              <w:autoSpaceDE w:val="0"/>
              <w:widowControl/>
              <w:spacing w:line="235" w:lineRule="auto" w:before="158" w:after="0"/>
              <w:ind w:left="0" w:right="0" w:firstLine="0"/>
              <w:jc w:val="center"/>
            </w:pPr>
            <w:r>
              <w:rPr>
                <w:rFonts w:ascii="Arial" w:hAnsi="Arial" w:eastAsia="Arial"/>
                <w:b w:val="0"/>
                <w:i w:val="0"/>
                <w:color w:val="000000"/>
                <w:sz w:val="18"/>
              </w:rPr>
              <w:t xml:space="preserve">(1,163,558,335 ) </w:t>
            </w:r>
          </w:p>
        </w:tc>
        <w:tc>
          <w:tcPr>
            <w:tcW w:type="dxa" w:w="1152"/>
            <w:tcBorders/>
            <w:tcMar>
              <w:start w:w="0" w:type="dxa"/>
              <w:end w:w="0" w:type="dxa"/>
            </w:tcMar>
          </w:tcPr>
          <w:p>
            <w:pPr>
              <w:autoSpaceDN w:val="0"/>
              <w:autoSpaceDE w:val="0"/>
              <w:widowControl/>
              <w:spacing w:line="235" w:lineRule="auto" w:before="158" w:after="0"/>
              <w:ind w:left="152" w:right="0" w:firstLine="0"/>
              <w:jc w:val="left"/>
            </w:pPr>
            <w:r>
              <w:rPr>
                <w:rFonts w:ascii="Arial" w:hAnsi="Arial" w:eastAsia="Arial"/>
                <w:b w:val="0"/>
                <w:i w:val="0"/>
                <w:color w:val="000000"/>
                <w:sz w:val="18"/>
              </w:rPr>
              <w:t>146,701,204</w:t>
            </w:r>
          </w:p>
        </w:tc>
      </w:tr>
      <w:tr>
        <w:trPr>
          <w:trHeight w:hRule="exact" w:val="240"/>
        </w:trPr>
        <w:tc>
          <w:tcPr>
            <w:tcW w:type="dxa" w:w="2978"/>
            <w:tcBorders/>
            <w:tcMar>
              <w:start w:w="0" w:type="dxa"/>
              <w:end w:w="0" w:type="dxa"/>
            </w:tcMar>
          </w:tcPr>
          <w:p>
            <w:pPr>
              <w:autoSpaceDN w:val="0"/>
              <w:autoSpaceDE w:val="0"/>
              <w:widowControl/>
              <w:spacing w:line="202" w:lineRule="exact" w:before="38" w:after="0"/>
              <w:ind w:left="0" w:right="0" w:firstLine="0"/>
              <w:jc w:val="center"/>
            </w:pPr>
            <w:r>
              <w:rPr>
                <w:rFonts w:ascii="黑体" w:hAnsi="黑体" w:eastAsia="黑体"/>
                <w:b w:val="0"/>
                <w:i w:val="0"/>
                <w:color w:val="000000"/>
                <w:sz w:val="18"/>
              </w:rPr>
              <w:t>离职后福利</w:t>
            </w:r>
            <w:r>
              <w:rPr>
                <w:rFonts w:ascii="Arial" w:hAnsi="Arial" w:eastAsia="Arial"/>
                <w:b w:val="0"/>
                <w:i w:val="0"/>
                <w:color w:val="000000"/>
                <w:sz w:val="18"/>
              </w:rPr>
              <w:t>–</w:t>
            </w:r>
            <w:r>
              <w:rPr>
                <w:rFonts w:ascii="黑体" w:hAnsi="黑体" w:eastAsia="黑体"/>
                <w:b w:val="0"/>
                <w:i w:val="0"/>
                <w:color w:val="000000"/>
                <w:sz w:val="18"/>
              </w:rPr>
              <w:t>设定提存计划（</w:t>
            </w:r>
            <w:r>
              <w:rPr>
                <w:rFonts w:ascii="Arial" w:hAnsi="Arial" w:eastAsia="Arial"/>
                <w:b w:val="0"/>
                <w:i w:val="0"/>
                <w:color w:val="000000"/>
                <w:sz w:val="18"/>
              </w:rPr>
              <w:t>b</w:t>
            </w:r>
            <w:r>
              <w:rPr>
                <w:rFonts w:ascii="黑体" w:hAnsi="黑体" w:eastAsia="黑体"/>
                <w:b w:val="0"/>
                <w:i w:val="0"/>
                <w:color w:val="000000"/>
                <w:sz w:val="18"/>
              </w:rPr>
              <w:t>）</w:t>
            </w:r>
          </w:p>
        </w:tc>
        <w:tc>
          <w:tcPr>
            <w:tcW w:type="dxa" w:w="1322"/>
            <w:vMerge w:val="restart"/>
            <w:tcBorders/>
            <w:tcMar>
              <w:start w:w="0" w:type="dxa"/>
              <w:end w:w="0" w:type="dxa"/>
            </w:tcMar>
            <w:tcMar>
              <w:start w:w="0" w:type="dxa"/>
              <w:end w:w="0" w:type="dxa"/>
            </w:tcMar>
          </w:tcPr>
          <w:p>
            <w:pPr>
              <w:autoSpaceDN w:val="0"/>
              <w:autoSpaceDE w:val="0"/>
              <w:widowControl/>
              <w:spacing w:line="233" w:lineRule="auto" w:before="66" w:after="0"/>
              <w:ind w:left="0" w:right="118" w:firstLine="0"/>
              <w:jc w:val="right"/>
            </w:pPr>
            <w:r>
              <w:rPr>
                <w:rFonts w:ascii="Arial" w:hAnsi="Arial" w:eastAsia="Arial"/>
                <w:b w:val="0"/>
                <w:i w:val="0"/>
                <w:color w:val="000000"/>
                <w:sz w:val="18"/>
              </w:rPr>
              <w:t xml:space="preserve">2,678,499 </w:t>
            </w:r>
          </w:p>
        </w:tc>
        <w:tc>
          <w:tcPr>
            <w:tcW w:type="dxa" w:w="1456"/>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center"/>
            </w:pPr>
            <w:r>
              <w:rPr>
                <w:rFonts w:ascii="Arial" w:hAnsi="Arial" w:eastAsia="Arial"/>
                <w:b w:val="0"/>
                <w:i w:val="0"/>
                <w:color w:val="000000"/>
                <w:sz w:val="18"/>
              </w:rPr>
              <w:t xml:space="preserve">108,011,351 </w:t>
            </w:r>
          </w:p>
        </w:tc>
        <w:tc>
          <w:tcPr>
            <w:tcW w:type="dxa" w:w="1624"/>
            <w:vMerge w:val="restart"/>
            <w:tcBorders/>
            <w:tcMar>
              <w:start w:w="0" w:type="dxa"/>
              <w:end w:w="0" w:type="dxa"/>
            </w:tcMar>
            <w:tcMar>
              <w:start w:w="0" w:type="dxa"/>
              <w:end w:w="0" w:type="dxa"/>
            </w:tcMar>
          </w:tcPr>
          <w:p>
            <w:pPr>
              <w:autoSpaceDN w:val="0"/>
              <w:autoSpaceDE w:val="0"/>
              <w:widowControl/>
              <w:spacing w:line="233" w:lineRule="auto" w:before="66" w:after="0"/>
              <w:ind w:left="338" w:right="0" w:firstLine="0"/>
              <w:jc w:val="left"/>
            </w:pPr>
            <w:r>
              <w:rPr>
                <w:rFonts w:ascii="Arial" w:hAnsi="Arial" w:eastAsia="Arial"/>
                <w:b w:val="0"/>
                <w:i w:val="0"/>
                <w:color w:val="000000"/>
                <w:sz w:val="18"/>
              </w:rPr>
              <w:t xml:space="preserve">(107,964,043 ) </w:t>
            </w:r>
          </w:p>
        </w:tc>
        <w:tc>
          <w:tcPr>
            <w:tcW w:type="dxa" w:w="1152"/>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8"/>
              </w:rPr>
              <w:t>2,725,807</w:t>
            </w:r>
          </w:p>
        </w:tc>
      </w:tr>
      <w:tr>
        <w:trPr>
          <w:trHeight w:hRule="exact" w:val="52"/>
        </w:trPr>
        <w:tc>
          <w:tcPr>
            <w:tcW w:type="dxa" w:w="2978"/>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02" w:lineRule="exact" w:before="62" w:after="0"/>
              <w:ind w:left="198" w:right="0" w:firstLine="0"/>
              <w:jc w:val="left"/>
            </w:pPr>
            <w:r>
              <w:rPr>
                <w:rFonts w:ascii="黑体" w:hAnsi="黑体" w:eastAsia="黑体"/>
                <w:b w:val="0"/>
                <w:i w:val="0"/>
                <w:color w:val="000000"/>
                <w:sz w:val="18"/>
              </w:rPr>
              <w:t>辞退福利（</w:t>
            </w:r>
            <w:r>
              <w:rPr>
                <w:rFonts w:ascii="Arial" w:hAnsi="Arial" w:eastAsia="Arial"/>
                <w:b w:val="0"/>
                <w:i w:val="0"/>
                <w:color w:val="000000"/>
                <w:sz w:val="18"/>
              </w:rPr>
              <w:t>c</w:t>
            </w:r>
            <w:r>
              <w:rPr>
                <w:rFonts w:ascii="黑体" w:hAnsi="黑体" w:eastAsia="黑体"/>
                <w:b w:val="0"/>
                <w:i w:val="0"/>
                <w:color w:val="000000"/>
                <w:sz w:val="18"/>
              </w:rPr>
              <w:t>）</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34"/>
        </w:trPr>
        <w:tc>
          <w:tcPr>
            <w:tcW w:type="dxa" w:w="1805"/>
            <w:vMerge/>
            <w:tcBorders>
              <w:bottom w:sz="3.199999999999818" w:val="single" w:color="#000000"/>
            </w:tcBorders>
          </w:tcPr>
          <w:p/>
        </w:tc>
        <w:tc>
          <w:tcPr>
            <w:tcW w:type="dxa" w:w="1322"/>
            <w:tcBorders>
              <w:bottom w:sz="3.199999999999818" w:val="single" w:color="#000000"/>
            </w:tcBorders>
            <w:tcMar>
              <w:start w:w="0" w:type="dxa"/>
              <w:end w:w="0" w:type="dxa"/>
            </w:tcMar>
          </w:tcPr>
          <w:p>
            <w:pPr>
              <w:autoSpaceDN w:val="0"/>
              <w:autoSpaceDE w:val="0"/>
              <w:widowControl/>
              <w:spacing w:line="233" w:lineRule="auto" w:before="26" w:after="0"/>
              <w:ind w:left="0" w:right="118" w:firstLine="0"/>
              <w:jc w:val="right"/>
            </w:pPr>
            <w:r>
              <w:rPr>
                <w:rFonts w:ascii="Arial" w:hAnsi="Arial" w:eastAsia="Arial"/>
                <w:b w:val="0"/>
                <w:i w:val="0"/>
                <w:color w:val="000000"/>
                <w:sz w:val="18"/>
              </w:rPr>
              <w:t xml:space="preserve">- </w:t>
            </w:r>
          </w:p>
        </w:tc>
        <w:tc>
          <w:tcPr>
            <w:tcW w:type="dxa" w:w="1456"/>
            <w:tcBorders>
              <w:bottom w:sz="3.199999999999818" w:val="single" w:color="#000000"/>
            </w:tcBorders>
            <w:tcMar>
              <w:start w:w="0" w:type="dxa"/>
              <w:end w:w="0" w:type="dxa"/>
            </w:tcMar>
          </w:tcPr>
          <w:p>
            <w:pPr>
              <w:autoSpaceDN w:val="0"/>
              <w:autoSpaceDE w:val="0"/>
              <w:widowControl/>
              <w:spacing w:line="233" w:lineRule="auto" w:before="26" w:after="0"/>
              <w:ind w:left="0" w:right="178" w:firstLine="0"/>
              <w:jc w:val="right"/>
            </w:pPr>
            <w:r>
              <w:rPr>
                <w:rFonts w:ascii="Arial" w:hAnsi="Arial" w:eastAsia="Arial"/>
                <w:b w:val="0"/>
                <w:i w:val="0"/>
                <w:color w:val="000000"/>
                <w:sz w:val="18"/>
              </w:rPr>
              <w:t xml:space="preserve">3,430,898 </w:t>
            </w:r>
          </w:p>
        </w:tc>
        <w:tc>
          <w:tcPr>
            <w:tcW w:type="dxa" w:w="1624"/>
            <w:tcBorders>
              <w:bottom w:sz="3.199999999999818" w:val="single" w:color="#000000"/>
            </w:tcBorders>
            <w:tcMar>
              <w:start w:w="0" w:type="dxa"/>
              <w:end w:w="0" w:type="dxa"/>
            </w:tcMar>
          </w:tcPr>
          <w:p>
            <w:pPr>
              <w:autoSpaceDN w:val="0"/>
              <w:autoSpaceDE w:val="0"/>
              <w:widowControl/>
              <w:spacing w:line="233" w:lineRule="auto" w:before="26" w:after="0"/>
              <w:ind w:left="0" w:right="112" w:firstLine="0"/>
              <w:jc w:val="right"/>
            </w:pPr>
            <w:r>
              <w:rPr>
                <w:rFonts w:ascii="Arial" w:hAnsi="Arial" w:eastAsia="Arial"/>
                <w:b w:val="0"/>
                <w:i w:val="0"/>
                <w:color w:val="000000"/>
                <w:sz w:val="18"/>
              </w:rPr>
              <w:t xml:space="preserve">(3,430,898 ) </w:t>
            </w:r>
          </w:p>
        </w:tc>
        <w:tc>
          <w:tcPr>
            <w:tcW w:type="dxa" w:w="1152"/>
            <w:tcBorders>
              <w:bottom w:sz="3.199999999999818"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8"/>
              </w:rPr>
              <w:t>-</w:t>
            </w:r>
          </w:p>
        </w:tc>
      </w:tr>
      <w:tr>
        <w:trPr>
          <w:trHeight w:hRule="exact" w:val="496"/>
        </w:trPr>
        <w:tc>
          <w:tcPr>
            <w:tcW w:type="dxa" w:w="2978"/>
            <w:tcBorders>
              <w:top w:sz="3.199999999999818" w:val="single" w:color="#000000"/>
              <w:bottom w:sz="4.0" w:val="single" w:color="#000000"/>
            </w:tcBorders>
            <w:tcMar>
              <w:start w:w="0" w:type="dxa"/>
              <w:end w:w="0" w:type="dxa"/>
            </w:tcMar>
          </w:tcPr>
          <w:p>
            <w:pPr>
              <w:autoSpaceDN w:val="0"/>
              <w:autoSpaceDE w:val="0"/>
              <w:widowControl/>
              <w:spacing w:line="180" w:lineRule="exact" w:before="278" w:after="0"/>
              <w:ind w:left="198" w:right="0" w:firstLine="0"/>
              <w:jc w:val="left"/>
            </w:pPr>
            <w:r>
              <w:rPr>
                <w:rFonts w:ascii="黑体" w:hAnsi="黑体" w:eastAsia="黑体"/>
                <w:b w:val="0"/>
                <w:i w:val="0"/>
                <w:color w:val="000000"/>
                <w:sz w:val="18"/>
              </w:rPr>
              <w:t>合计</w:t>
            </w:r>
          </w:p>
        </w:tc>
        <w:tc>
          <w:tcPr>
            <w:tcW w:type="dxa" w:w="1322"/>
            <w:tcBorders>
              <w:top w:sz="3.199999999999818" w:val="single" w:color="#000000"/>
              <w:bottom w:sz="4.0" w:val="single" w:color="#000000"/>
            </w:tcBorders>
            <w:tcMar>
              <w:start w:w="0" w:type="dxa"/>
              <w:end w:w="0" w:type="dxa"/>
            </w:tcMar>
          </w:tcPr>
          <w:p>
            <w:pPr>
              <w:autoSpaceDN w:val="0"/>
              <w:autoSpaceDE w:val="0"/>
              <w:widowControl/>
              <w:spacing w:line="233" w:lineRule="auto" w:before="284" w:after="0"/>
              <w:ind w:left="254" w:right="0" w:firstLine="0"/>
              <w:jc w:val="left"/>
            </w:pPr>
            <w:r>
              <w:rPr>
                <w:rFonts w:ascii="Arial" w:hAnsi="Arial" w:eastAsia="Arial"/>
                <w:b w:val="0"/>
                <w:i w:val="0"/>
                <w:color w:val="000000"/>
                <w:sz w:val="18"/>
              </w:rPr>
              <w:t xml:space="preserve">96,518,278 </w:t>
            </w:r>
          </w:p>
        </w:tc>
        <w:tc>
          <w:tcPr>
            <w:tcW w:type="dxa" w:w="1456"/>
            <w:tcBorders>
              <w:top w:sz="3.199999999999818" w:val="single" w:color="#000000"/>
              <w:bottom w:sz="4.0" w:val="single" w:color="#000000"/>
            </w:tcBorders>
            <w:tcMar>
              <w:start w:w="0" w:type="dxa"/>
              <w:end w:w="0" w:type="dxa"/>
            </w:tcMar>
          </w:tcPr>
          <w:p>
            <w:pPr>
              <w:autoSpaceDN w:val="0"/>
              <w:autoSpaceDE w:val="0"/>
              <w:widowControl/>
              <w:spacing w:line="233" w:lineRule="auto" w:before="284" w:after="0"/>
              <w:ind w:left="74" w:right="0" w:firstLine="0"/>
              <w:jc w:val="left"/>
            </w:pPr>
            <w:r>
              <w:rPr>
                <w:rFonts w:ascii="Arial" w:hAnsi="Arial" w:eastAsia="Arial"/>
                <w:b w:val="0"/>
                <w:i w:val="0"/>
                <w:color w:val="000000"/>
                <w:sz w:val="18"/>
              </w:rPr>
              <w:t xml:space="preserve">1,327,862,009 </w:t>
            </w:r>
          </w:p>
        </w:tc>
        <w:tc>
          <w:tcPr>
            <w:tcW w:type="dxa" w:w="1624"/>
            <w:tcBorders>
              <w:top w:sz="3.199999999999818" w:val="single" w:color="#000000"/>
              <w:bottom w:sz="4.0" w:val="single" w:color="#000000"/>
            </w:tcBorders>
            <w:tcMar>
              <w:start w:w="0" w:type="dxa"/>
              <w:end w:w="0" w:type="dxa"/>
            </w:tcMar>
          </w:tcPr>
          <w:p>
            <w:pPr>
              <w:autoSpaceDN w:val="0"/>
              <w:autoSpaceDE w:val="0"/>
              <w:widowControl/>
              <w:spacing w:line="233" w:lineRule="auto" w:before="284" w:after="0"/>
              <w:ind w:left="0" w:right="0" w:firstLine="0"/>
              <w:jc w:val="center"/>
            </w:pPr>
            <w:r>
              <w:rPr>
                <w:rFonts w:ascii="Arial" w:hAnsi="Arial" w:eastAsia="Arial"/>
                <w:b w:val="0"/>
                <w:i w:val="0"/>
                <w:color w:val="000000"/>
                <w:sz w:val="18"/>
              </w:rPr>
              <w:t xml:space="preserve">(1,274,953,276 ) </w:t>
            </w:r>
          </w:p>
        </w:tc>
        <w:tc>
          <w:tcPr>
            <w:tcW w:type="dxa" w:w="1152"/>
            <w:tcBorders>
              <w:top w:sz="3.199999999999818" w:val="single" w:color="#000000"/>
              <w:bottom w:sz="4.0" w:val="single" w:color="#000000"/>
            </w:tcBorders>
            <w:tcMar>
              <w:start w:w="0" w:type="dxa"/>
              <w:end w:w="0" w:type="dxa"/>
            </w:tcMar>
          </w:tcPr>
          <w:p>
            <w:pPr>
              <w:autoSpaceDN w:val="0"/>
              <w:autoSpaceDE w:val="0"/>
              <w:widowControl/>
              <w:spacing w:line="233" w:lineRule="auto" w:before="284" w:after="0"/>
              <w:ind w:left="152" w:right="0" w:firstLine="0"/>
              <w:jc w:val="left"/>
            </w:pPr>
            <w:r>
              <w:rPr>
                <w:rFonts w:ascii="Arial" w:hAnsi="Arial" w:eastAsia="Arial"/>
                <w:b w:val="0"/>
                <w:i w:val="0"/>
                <w:color w:val="000000"/>
                <w:sz w:val="18"/>
              </w:rPr>
              <w:t>149,427,011</w:t>
            </w:r>
          </w:p>
        </w:tc>
      </w:tr>
      <w:tr>
        <w:trPr>
          <w:trHeight w:hRule="exact" w:val="52"/>
        </w:trPr>
        <w:tc>
          <w:tcPr>
            <w:tcW w:type="dxa" w:w="2978"/>
            <w:tcBorders>
              <w:top w:sz="4.0" w:val="single" w:color="#000000"/>
            </w:tcBorders>
            <w:tcMar>
              <w:start w:w="0" w:type="dxa"/>
              <w:end w:w="0" w:type="dxa"/>
            </w:tcMar>
          </w:tcPr>
          <w:p/>
        </w:tc>
        <w:tc>
          <w:tcPr>
            <w:tcW w:type="dxa" w:w="1322"/>
            <w:tcBorders>
              <w:top w:sz="4.0" w:val="single" w:color="#000000"/>
            </w:tcBorders>
            <w:tcMar>
              <w:start w:w="0" w:type="dxa"/>
              <w:end w:w="0" w:type="dxa"/>
            </w:tcMar>
          </w:tcPr>
          <w:p/>
        </w:tc>
        <w:tc>
          <w:tcPr>
            <w:tcW w:type="dxa" w:w="1456"/>
            <w:tcBorders>
              <w:top w:sz="4.0" w:val="single" w:color="#000000"/>
            </w:tcBorders>
            <w:tcMar>
              <w:start w:w="0" w:type="dxa"/>
              <w:end w:w="0" w:type="dxa"/>
            </w:tcMar>
          </w:tcPr>
          <w:p/>
        </w:tc>
        <w:tc>
          <w:tcPr>
            <w:tcW w:type="dxa" w:w="1624"/>
            <w:tcBorders>
              <w:top w:sz="4.0" w:val="single" w:color="#000000"/>
            </w:tcBorders>
            <w:tcMar>
              <w:start w:w="0" w:type="dxa"/>
              <w:end w:w="0" w:type="dxa"/>
            </w:tcMar>
          </w:tcPr>
          <w:p/>
        </w:tc>
        <w:tc>
          <w:tcPr>
            <w:tcW w:type="dxa" w:w="1152"/>
            <w:tcBorders>
              <w:top w:sz="4.0" w:val="single" w:color="#000000"/>
            </w:tcBorders>
            <w:tcMar>
              <w:start w:w="0" w:type="dxa"/>
              <w:end w:w="0" w:type="dxa"/>
            </w:tcMar>
          </w:tcPr>
          <w:p/>
        </w:tc>
      </w:tr>
    </w:tbl>
    <w:p>
      <w:pPr>
        <w:autoSpaceDN w:val="0"/>
        <w:autoSpaceDE w:val="0"/>
        <w:widowControl/>
        <w:spacing w:line="286" w:lineRule="exact" w:before="204" w:after="0"/>
        <w:ind w:left="358" w:right="288"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日，本集团共有员工</w:t>
      </w:r>
      <w:r>
        <w:rPr>
          <w:rFonts w:ascii="Arial" w:hAnsi="Arial" w:eastAsia="Arial"/>
          <w:b w:val="0"/>
          <w:i w:val="0"/>
          <w:color w:val="000000"/>
          <w:sz w:val="22"/>
        </w:rPr>
        <w:t>2,974</w:t>
      </w:r>
      <w:r>
        <w:rPr>
          <w:rFonts w:ascii="黑体" w:hAnsi="黑体" w:eastAsia="黑体"/>
          <w:b w:val="0"/>
          <w:i w:val="0"/>
          <w:color w:val="000000"/>
          <w:sz w:val="22"/>
        </w:rPr>
        <w:t>人（</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2,975</w:t>
      </w:r>
      <w:r>
        <w:rPr>
          <w:rFonts w:ascii="黑体" w:hAnsi="黑体" w:eastAsia="黑体"/>
          <w:b w:val="0"/>
          <w:i w:val="0"/>
          <w:color w:val="000000"/>
          <w:sz w:val="22"/>
        </w:rPr>
        <w:t>人），其中</w:t>
      </w:r>
      <w:r>
        <w:rPr>
          <w:rFonts w:ascii="黑体" w:hAnsi="黑体" w:eastAsia="黑体"/>
          <w:b w:val="0"/>
          <w:i w:val="0"/>
          <w:color w:val="000000"/>
          <w:sz w:val="22"/>
        </w:rPr>
        <w:t>包括本公司高级管理人员</w:t>
      </w:r>
      <w:r>
        <w:rPr>
          <w:rFonts w:ascii="Arial" w:hAnsi="Arial" w:eastAsia="Arial"/>
          <w:b w:val="0"/>
          <w:i w:val="0"/>
          <w:color w:val="000000"/>
          <w:sz w:val="22"/>
        </w:rPr>
        <w:t>11</w:t>
      </w:r>
      <w:r>
        <w:rPr>
          <w:rFonts w:ascii="黑体" w:hAnsi="黑体" w:eastAsia="黑体"/>
          <w:b w:val="0"/>
          <w:i w:val="0"/>
          <w:color w:val="000000"/>
          <w:sz w:val="22"/>
        </w:rPr>
        <w:t>人（</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12</w:t>
      </w:r>
      <w:r>
        <w:rPr>
          <w:rFonts w:ascii="黑体" w:hAnsi="黑体" w:eastAsia="黑体"/>
          <w:b w:val="0"/>
          <w:i w:val="0"/>
          <w:color w:val="000000"/>
          <w:sz w:val="22"/>
        </w:rPr>
        <w:t>人）。</w:t>
      </w:r>
    </w:p>
    <w:p>
      <w:pPr>
        <w:autoSpaceDN w:val="0"/>
        <w:autoSpaceDE w:val="0"/>
        <w:widowControl/>
        <w:spacing w:line="233" w:lineRule="auto" w:before="7548" w:after="0"/>
        <w:ind w:left="0" w:right="0" w:firstLine="0"/>
        <w:jc w:val="center"/>
      </w:pPr>
      <w:r>
        <w:rPr>
          <w:rFonts w:ascii="Arial" w:hAnsi="Arial" w:eastAsia="Arial"/>
          <w:b w:val="0"/>
          <w:i w:val="0"/>
          <w:color w:val="000000"/>
          <w:sz w:val="20"/>
        </w:rPr>
        <w:t xml:space="preserve">225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58"/>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27. </w:t>
      </w:r>
      <w:r>
        <w:rPr>
          <w:rFonts w:ascii="黑体" w:hAnsi="黑体" w:eastAsia="黑体"/>
          <w:b w:val="0"/>
          <w:i w:val="0"/>
          <w:color w:val="000000"/>
          <w:sz w:val="22"/>
        </w:rPr>
        <w:t>应付职工薪酬（续）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应付职工薪酬列示如下：（续）</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短期薪酬及长期薪金</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96"/>
        </w:trPr>
        <w:tc>
          <w:tcPr>
            <w:tcW w:type="dxa" w:w="2978"/>
            <w:vMerge w:val="restart"/>
            <w:tcBorders/>
            <w:tcMar>
              <w:start w:w="0" w:type="dxa"/>
              <w:end w:w="0" w:type="dxa"/>
            </w:tcMar>
            <w:tcMar>
              <w:start w:w="0" w:type="dxa"/>
              <w:end w:w="0" w:type="dxa"/>
            </w:tcMar>
          </w:tcPr>
          <w:p>
            <w:pPr>
              <w:autoSpaceDN w:val="0"/>
              <w:autoSpaceDE w:val="0"/>
              <w:widowControl/>
              <w:spacing w:line="180" w:lineRule="exact" w:before="568" w:after="0"/>
              <w:ind w:left="198" w:right="0" w:firstLine="0"/>
              <w:jc w:val="left"/>
            </w:pPr>
            <w:r>
              <w:rPr>
                <w:rFonts w:ascii="黑体" w:hAnsi="黑体" w:eastAsia="黑体"/>
                <w:b w:val="0"/>
                <w:i w:val="0"/>
                <w:color w:val="000000"/>
                <w:sz w:val="18"/>
              </w:rPr>
              <w:t>工资、奖金、津贴和补贴</w:t>
            </w:r>
          </w:p>
        </w:tc>
        <w:tc>
          <w:tcPr>
            <w:tcW w:type="dxa" w:w="1360"/>
            <w:tcBorders/>
            <w:tcMar>
              <w:start w:w="0" w:type="dxa"/>
              <w:end w:w="0" w:type="dxa"/>
            </w:tcMar>
          </w:tcPr>
          <w:p>
            <w:pPr>
              <w:autoSpaceDN w:val="0"/>
              <w:autoSpaceDE w:val="0"/>
              <w:widowControl/>
              <w:spacing w:line="180" w:lineRule="exact" w:before="60" w:after="0"/>
              <w:ind w:left="0" w:right="172" w:firstLine="0"/>
              <w:jc w:val="right"/>
            </w:pPr>
            <w:r>
              <w:rPr>
                <w:rFonts w:ascii="黑体" w:hAnsi="黑体" w:eastAsia="黑体"/>
                <w:b w:val="0"/>
                <w:i w:val="0"/>
                <w:color w:val="000000"/>
                <w:sz w:val="18"/>
              </w:rPr>
              <w:t>年初余额</w:t>
            </w:r>
          </w:p>
        </w:tc>
        <w:tc>
          <w:tcPr>
            <w:tcW w:type="dxa" w:w="1362"/>
            <w:tcBorders/>
            <w:tcMar>
              <w:start w:w="0" w:type="dxa"/>
              <w:end w:w="0" w:type="dxa"/>
            </w:tcMar>
          </w:tcPr>
          <w:p>
            <w:pPr>
              <w:autoSpaceDN w:val="0"/>
              <w:autoSpaceDE w:val="0"/>
              <w:widowControl/>
              <w:spacing w:line="180" w:lineRule="exact" w:before="60" w:after="0"/>
              <w:ind w:left="0" w:right="170" w:firstLine="0"/>
              <w:jc w:val="right"/>
            </w:pPr>
            <w:r>
              <w:rPr>
                <w:rFonts w:ascii="黑体" w:hAnsi="黑体" w:eastAsia="黑体"/>
                <w:b w:val="0"/>
                <w:i w:val="0"/>
                <w:color w:val="000000"/>
                <w:sz w:val="18"/>
              </w:rPr>
              <w:t>本年增加</w:t>
            </w:r>
          </w:p>
        </w:tc>
        <w:tc>
          <w:tcPr>
            <w:tcW w:type="dxa" w:w="1474"/>
            <w:tcBorders/>
            <w:tcMar>
              <w:start w:w="0" w:type="dxa"/>
              <w:end w:w="0" w:type="dxa"/>
            </w:tcMar>
          </w:tcPr>
          <w:p>
            <w:pPr>
              <w:autoSpaceDN w:val="0"/>
              <w:autoSpaceDE w:val="0"/>
              <w:widowControl/>
              <w:spacing w:line="180" w:lineRule="exact" w:before="60" w:after="0"/>
              <w:ind w:left="0" w:right="172" w:firstLine="0"/>
              <w:jc w:val="right"/>
            </w:pPr>
            <w:r>
              <w:rPr>
                <w:rFonts w:ascii="黑体" w:hAnsi="黑体" w:eastAsia="黑体"/>
                <w:b w:val="0"/>
                <w:i w:val="0"/>
                <w:color w:val="000000"/>
                <w:sz w:val="18"/>
              </w:rPr>
              <w:t>本年减少</w:t>
            </w:r>
          </w:p>
        </w:tc>
        <w:tc>
          <w:tcPr>
            <w:tcW w:type="dxa" w:w="1360"/>
            <w:tcBorders/>
            <w:tcMar>
              <w:start w:w="0" w:type="dxa"/>
              <w:end w:w="0" w:type="dxa"/>
            </w:tcMar>
          </w:tcPr>
          <w:p>
            <w:pPr>
              <w:autoSpaceDN w:val="0"/>
              <w:autoSpaceDE w:val="0"/>
              <w:widowControl/>
              <w:spacing w:line="180" w:lineRule="exact" w:before="60" w:after="0"/>
              <w:ind w:left="0" w:right="0" w:firstLine="0"/>
              <w:jc w:val="right"/>
            </w:pPr>
            <w:r>
              <w:rPr>
                <w:rFonts w:ascii="黑体" w:hAnsi="黑体" w:eastAsia="黑体"/>
                <w:b w:val="0"/>
                <w:i w:val="0"/>
                <w:color w:val="000000"/>
                <w:sz w:val="18"/>
              </w:rPr>
              <w:t>年末余额</w:t>
            </w:r>
          </w:p>
        </w:tc>
      </w:tr>
      <w:tr>
        <w:trPr>
          <w:trHeight w:hRule="exact" w:val="360"/>
        </w:trPr>
        <w:tc>
          <w:tcPr>
            <w:tcW w:type="dxa" w:w="1805"/>
            <w:vMerge/>
            <w:tcBorders/>
          </w:tcPr>
          <w:p/>
        </w:tc>
        <w:tc>
          <w:tcPr>
            <w:tcW w:type="dxa" w:w="1360"/>
            <w:tcBorders/>
            <w:tcMar>
              <w:start w:w="0" w:type="dxa"/>
              <w:end w:w="0" w:type="dxa"/>
            </w:tcMar>
          </w:tcPr>
          <w:p>
            <w:pPr>
              <w:autoSpaceDN w:val="0"/>
              <w:autoSpaceDE w:val="0"/>
              <w:widowControl/>
              <w:spacing w:line="233" w:lineRule="auto" w:before="160" w:after="0"/>
              <w:ind w:left="288" w:right="0" w:firstLine="0"/>
              <w:jc w:val="left"/>
            </w:pPr>
            <w:r>
              <w:rPr>
                <w:rFonts w:ascii="Arial" w:hAnsi="Arial" w:eastAsia="Arial"/>
                <w:b w:val="0"/>
                <w:i w:val="0"/>
                <w:color w:val="000000"/>
                <w:sz w:val="18"/>
              </w:rPr>
              <w:t xml:space="preserve">48,649,425 </w:t>
            </w:r>
          </w:p>
        </w:tc>
        <w:tc>
          <w:tcPr>
            <w:tcW w:type="dxa" w:w="1362"/>
            <w:tcBorders/>
            <w:tcMar>
              <w:start w:w="0" w:type="dxa"/>
              <w:end w:w="0" w:type="dxa"/>
            </w:tcMar>
          </w:tcPr>
          <w:p>
            <w:pPr>
              <w:autoSpaceDN w:val="0"/>
              <w:autoSpaceDE w:val="0"/>
              <w:widowControl/>
              <w:spacing w:line="233" w:lineRule="auto" w:before="160" w:after="0"/>
              <w:ind w:left="40" w:right="0" w:firstLine="0"/>
              <w:jc w:val="left"/>
            </w:pPr>
            <w:r>
              <w:rPr>
                <w:rFonts w:ascii="Arial" w:hAnsi="Arial" w:eastAsia="Arial"/>
                <w:b w:val="0"/>
                <w:i w:val="0"/>
                <w:color w:val="000000"/>
                <w:sz w:val="18"/>
              </w:rPr>
              <w:t xml:space="preserve">1,015,294,410 </w:t>
            </w:r>
          </w:p>
        </w:tc>
        <w:tc>
          <w:tcPr>
            <w:tcW w:type="dxa" w:w="1474"/>
            <w:tcBorders/>
            <w:tcMar>
              <w:start w:w="0" w:type="dxa"/>
              <w:end w:w="0" w:type="dxa"/>
            </w:tcMar>
          </w:tcPr>
          <w:p>
            <w:pPr>
              <w:autoSpaceDN w:val="0"/>
              <w:autoSpaceDE w:val="0"/>
              <w:widowControl/>
              <w:spacing w:line="233" w:lineRule="auto" w:before="160" w:after="0"/>
              <w:ind w:left="240" w:right="0" w:firstLine="0"/>
              <w:jc w:val="left"/>
            </w:pPr>
            <w:r>
              <w:rPr>
                <w:rFonts w:ascii="Arial" w:hAnsi="Arial" w:eastAsia="Arial"/>
                <w:b w:val="0"/>
                <w:i w:val="0"/>
                <w:color w:val="000000"/>
                <w:sz w:val="18"/>
              </w:rPr>
              <w:t xml:space="preserve">(973,337,193 ) </w:t>
            </w:r>
          </w:p>
        </w:tc>
        <w:tc>
          <w:tcPr>
            <w:tcW w:type="dxa" w:w="1360"/>
            <w:tcBorders/>
            <w:tcMar>
              <w:start w:w="0" w:type="dxa"/>
              <w:end w:w="0" w:type="dxa"/>
            </w:tcMar>
          </w:tcPr>
          <w:p>
            <w:pPr>
              <w:autoSpaceDN w:val="0"/>
              <w:autoSpaceDE w:val="0"/>
              <w:widowControl/>
              <w:spacing w:line="233" w:lineRule="auto" w:before="160" w:after="0"/>
              <w:ind w:left="0" w:right="0" w:firstLine="0"/>
              <w:jc w:val="right"/>
            </w:pPr>
            <w:r>
              <w:rPr>
                <w:rFonts w:ascii="Arial" w:hAnsi="Arial" w:eastAsia="Arial"/>
                <w:b w:val="0"/>
                <w:i w:val="0"/>
                <w:color w:val="000000"/>
                <w:sz w:val="18"/>
              </w:rPr>
              <w:t>90,606,642</w:t>
            </w:r>
          </w:p>
        </w:tc>
      </w:tr>
      <w:tr>
        <w:trPr>
          <w:trHeight w:hRule="exact" w:val="240"/>
        </w:trPr>
        <w:tc>
          <w:tcPr>
            <w:tcW w:type="dxa" w:w="2978"/>
            <w:tcBorders/>
            <w:tcMar>
              <w:start w:w="0" w:type="dxa"/>
              <w:end w:w="0" w:type="dxa"/>
            </w:tcMar>
          </w:tcPr>
          <w:p>
            <w:pPr>
              <w:autoSpaceDN w:val="0"/>
              <w:autoSpaceDE w:val="0"/>
              <w:widowControl/>
              <w:spacing w:line="180" w:lineRule="exact" w:before="60" w:after="0"/>
              <w:ind w:left="198" w:right="0" w:firstLine="0"/>
              <w:jc w:val="left"/>
            </w:pPr>
            <w:r>
              <w:rPr>
                <w:rFonts w:ascii="黑体" w:hAnsi="黑体" w:eastAsia="黑体"/>
                <w:b w:val="0"/>
                <w:i w:val="0"/>
                <w:color w:val="000000"/>
                <w:sz w:val="18"/>
              </w:rPr>
              <w:t>职工福利费</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70" w:after="0"/>
              <w:ind w:left="0" w:right="122" w:firstLine="0"/>
              <w:jc w:val="right"/>
            </w:pPr>
            <w:r>
              <w:rPr>
                <w:rFonts w:ascii="Arial" w:hAnsi="Arial" w:eastAsia="Arial"/>
                <w:b w:val="0"/>
                <w:i w:val="0"/>
                <w:color w:val="000000"/>
                <w:sz w:val="18"/>
              </w:rPr>
              <w:t xml:space="preserve">5,199 </w:t>
            </w:r>
          </w:p>
        </w:tc>
        <w:tc>
          <w:tcPr>
            <w:tcW w:type="dxa" w:w="1362"/>
            <w:vMerge w:val="restart"/>
            <w:tcBorders/>
            <w:tcMar>
              <w:start w:w="0" w:type="dxa"/>
              <w:end w:w="0" w:type="dxa"/>
            </w:tcMar>
            <w:tcMar>
              <w:start w:w="0" w:type="dxa"/>
              <w:end w:w="0" w:type="dxa"/>
            </w:tcMar>
          </w:tcPr>
          <w:p>
            <w:pPr>
              <w:autoSpaceDN w:val="0"/>
              <w:autoSpaceDE w:val="0"/>
              <w:widowControl/>
              <w:spacing w:line="233" w:lineRule="auto" w:before="70" w:after="0"/>
              <w:ind w:left="292" w:right="0" w:firstLine="0"/>
              <w:jc w:val="left"/>
            </w:pPr>
            <w:r>
              <w:rPr>
                <w:rFonts w:ascii="Arial" w:hAnsi="Arial" w:eastAsia="Arial"/>
                <w:b w:val="0"/>
                <w:i w:val="0"/>
                <w:color w:val="000000"/>
                <w:sz w:val="18"/>
              </w:rPr>
              <w:t xml:space="preserve">24,382,504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70" w:after="0"/>
              <w:ind w:left="342" w:right="0" w:firstLine="0"/>
              <w:jc w:val="left"/>
            </w:pPr>
            <w:r>
              <w:rPr>
                <w:rFonts w:ascii="Arial" w:hAnsi="Arial" w:eastAsia="Arial"/>
                <w:b w:val="0"/>
                <w:i w:val="0"/>
                <w:color w:val="000000"/>
                <w:sz w:val="18"/>
              </w:rPr>
              <w:t xml:space="preserve">(24,382,504) </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8"/>
              </w:rPr>
              <w:t>5,199</w:t>
            </w:r>
          </w:p>
        </w:tc>
      </w:tr>
      <w:tr>
        <w:trPr>
          <w:trHeight w:hRule="exact" w:val="58"/>
        </w:trPr>
        <w:tc>
          <w:tcPr>
            <w:tcW w:type="dxa" w:w="2978"/>
            <w:vMerge w:val="restart"/>
            <w:tcBorders/>
            <w:tcMar>
              <w:start w:w="0" w:type="dxa"/>
              <w:end w:w="0" w:type="dxa"/>
            </w:tcMar>
            <w:tcMar>
              <w:start w:w="0" w:type="dxa"/>
              <w:end w:w="0" w:type="dxa"/>
            </w:tcMar>
          </w:tcPr>
          <w:p>
            <w:pPr>
              <w:autoSpaceDN w:val="0"/>
              <w:autoSpaceDE w:val="0"/>
              <w:widowControl/>
              <w:spacing w:line="180" w:lineRule="exact" w:before="78" w:after="0"/>
              <w:ind w:left="198" w:right="0" w:firstLine="0"/>
              <w:jc w:val="left"/>
            </w:pPr>
            <w:r>
              <w:rPr>
                <w:rFonts w:ascii="黑体" w:hAnsi="黑体" w:eastAsia="黑体"/>
                <w:b w:val="0"/>
                <w:i w:val="0"/>
                <w:color w:val="000000"/>
                <w:sz w:val="18"/>
              </w:rPr>
              <w:t>社会保险费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02"/>
        </w:trPr>
        <w:tc>
          <w:tcPr>
            <w:tcW w:type="dxa" w:w="1805"/>
            <w:vMerge/>
            <w:tcBorders/>
          </w:tcP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26" w:after="0"/>
              <w:ind w:left="0" w:right="60" w:firstLine="0"/>
              <w:jc w:val="right"/>
            </w:pPr>
            <w:r>
              <w:rPr>
                <w:rFonts w:ascii="Arial" w:hAnsi="Arial" w:eastAsia="Arial"/>
                <w:b w:val="0"/>
                <w:i w:val="0"/>
                <w:color w:val="000000"/>
                <w:sz w:val="18"/>
              </w:rPr>
              <w:t xml:space="preserve">(987,030 ) </w:t>
            </w:r>
          </w:p>
        </w:tc>
        <w:tc>
          <w:tcPr>
            <w:tcW w:type="dxa" w:w="1362"/>
            <w:vMerge w:val="restart"/>
            <w:tcBorders/>
            <w:tcMar>
              <w:start w:w="0" w:type="dxa"/>
              <w:end w:w="0" w:type="dxa"/>
            </w:tcMar>
            <w:tcMar>
              <w:start w:w="0" w:type="dxa"/>
              <w:end w:w="0" w:type="dxa"/>
            </w:tcMar>
          </w:tcPr>
          <w:p>
            <w:pPr>
              <w:autoSpaceDN w:val="0"/>
              <w:autoSpaceDE w:val="0"/>
              <w:widowControl/>
              <w:spacing w:line="233" w:lineRule="auto" w:before="26" w:after="0"/>
              <w:ind w:left="292" w:right="0" w:firstLine="0"/>
              <w:jc w:val="left"/>
            </w:pPr>
            <w:r>
              <w:rPr>
                <w:rFonts w:ascii="Arial" w:hAnsi="Arial" w:eastAsia="Arial"/>
                <w:b w:val="0"/>
                <w:i w:val="0"/>
                <w:color w:val="000000"/>
                <w:sz w:val="18"/>
              </w:rPr>
              <w:t xml:space="preserve">58,033,400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26" w:after="0"/>
              <w:ind w:left="342" w:right="0" w:firstLine="0"/>
              <w:jc w:val="left"/>
            </w:pPr>
            <w:r>
              <w:rPr>
                <w:rFonts w:ascii="Arial" w:hAnsi="Arial" w:eastAsia="Arial"/>
                <w:b w:val="0"/>
                <w:i w:val="0"/>
                <w:color w:val="000000"/>
                <w:sz w:val="18"/>
              </w:rPr>
              <w:t xml:space="preserve">(57,019,497) </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8"/>
              </w:rPr>
              <w:t>26,873</w:t>
            </w:r>
          </w:p>
        </w:tc>
      </w:tr>
      <w:tr>
        <w:trPr>
          <w:trHeight w:hRule="exact" w:val="50"/>
        </w:trPr>
        <w:tc>
          <w:tcPr>
            <w:tcW w:type="dxa" w:w="2978"/>
            <w:vMerge w:val="restart"/>
            <w:tcBorders/>
            <w:tcMar>
              <w:start w:w="0" w:type="dxa"/>
              <w:end w:w="0" w:type="dxa"/>
            </w:tcMar>
            <w:tcMar>
              <w:start w:w="0" w:type="dxa"/>
              <w:end w:w="0" w:type="dxa"/>
            </w:tcMar>
          </w:tcPr>
          <w:p>
            <w:pPr>
              <w:autoSpaceDN w:val="0"/>
              <w:autoSpaceDE w:val="0"/>
              <w:widowControl/>
              <w:spacing w:line="180" w:lineRule="exact" w:before="70" w:after="0"/>
              <w:ind w:left="366" w:right="0" w:firstLine="0"/>
              <w:jc w:val="left"/>
            </w:pPr>
            <w:r>
              <w:rPr>
                <w:rFonts w:ascii="黑体" w:hAnsi="黑体" w:eastAsia="黑体"/>
                <w:b w:val="0"/>
                <w:i w:val="0"/>
                <w:color w:val="000000"/>
                <w:sz w:val="18"/>
              </w:rPr>
              <w:t>其中：医疗保险费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10"/>
        </w:trPr>
        <w:tc>
          <w:tcPr>
            <w:tcW w:type="dxa" w:w="1805"/>
            <w:vMerge/>
            <w:tcBorders/>
          </w:tcPr>
          <w:p/>
        </w:tc>
        <w:tc>
          <w:tcPr>
            <w:tcW w:type="dxa" w:w="1360"/>
            <w:tcBorders/>
            <w:tcMar>
              <w:start w:w="0" w:type="dxa"/>
              <w:end w:w="0" w:type="dxa"/>
            </w:tcMar>
          </w:tcPr>
          <w:p>
            <w:pPr>
              <w:autoSpaceDN w:val="0"/>
              <w:autoSpaceDE w:val="0"/>
              <w:widowControl/>
              <w:spacing w:line="233" w:lineRule="auto" w:before="10" w:after="0"/>
              <w:ind w:left="0" w:right="60" w:firstLine="0"/>
              <w:jc w:val="right"/>
            </w:pPr>
            <w:r>
              <w:rPr>
                <w:rFonts w:ascii="Arial" w:hAnsi="Arial" w:eastAsia="Arial"/>
                <w:b w:val="0"/>
                <w:i w:val="0"/>
                <w:color w:val="000000"/>
                <w:sz w:val="18"/>
              </w:rPr>
              <w:t xml:space="preserve">(987,300 ) </w:t>
            </w:r>
          </w:p>
        </w:tc>
        <w:tc>
          <w:tcPr>
            <w:tcW w:type="dxa" w:w="1362"/>
            <w:tcBorders/>
            <w:tcMar>
              <w:start w:w="0" w:type="dxa"/>
              <w:end w:w="0" w:type="dxa"/>
            </w:tcMar>
          </w:tcPr>
          <w:p>
            <w:pPr>
              <w:autoSpaceDN w:val="0"/>
              <w:autoSpaceDE w:val="0"/>
              <w:widowControl/>
              <w:spacing w:line="233" w:lineRule="auto" w:before="10" w:after="0"/>
              <w:ind w:left="292" w:right="0" w:firstLine="0"/>
              <w:jc w:val="left"/>
            </w:pPr>
            <w:r>
              <w:rPr>
                <w:rFonts w:ascii="Arial" w:hAnsi="Arial" w:eastAsia="Arial"/>
                <w:b w:val="0"/>
                <w:i w:val="0"/>
                <w:color w:val="000000"/>
                <w:sz w:val="18"/>
              </w:rPr>
              <w:t xml:space="preserve">56,101,689 </w:t>
            </w:r>
          </w:p>
        </w:tc>
        <w:tc>
          <w:tcPr>
            <w:tcW w:type="dxa" w:w="1474"/>
            <w:tcBorders/>
            <w:tcMar>
              <w:start w:w="0" w:type="dxa"/>
              <w:end w:w="0" w:type="dxa"/>
            </w:tcMar>
          </w:tcPr>
          <w:p>
            <w:pPr>
              <w:autoSpaceDN w:val="0"/>
              <w:autoSpaceDE w:val="0"/>
              <w:widowControl/>
              <w:spacing w:line="233" w:lineRule="auto" w:before="10" w:after="0"/>
              <w:ind w:left="342" w:right="0" w:firstLine="0"/>
              <w:jc w:val="left"/>
            </w:pPr>
            <w:r>
              <w:rPr>
                <w:rFonts w:ascii="Arial" w:hAnsi="Arial" w:eastAsia="Arial"/>
                <w:b w:val="0"/>
                <w:i w:val="0"/>
                <w:color w:val="000000"/>
                <w:sz w:val="18"/>
              </w:rPr>
              <w:t xml:space="preserve">(55,087,844) </w:t>
            </w:r>
          </w:p>
        </w:tc>
        <w:tc>
          <w:tcPr>
            <w:tcW w:type="dxa" w:w="136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8"/>
              </w:rPr>
              <w:t>26,545</w:t>
            </w:r>
          </w:p>
        </w:tc>
      </w:tr>
      <w:tr>
        <w:trPr>
          <w:trHeight w:hRule="exact" w:val="240"/>
        </w:trPr>
        <w:tc>
          <w:tcPr>
            <w:tcW w:type="dxa" w:w="2978"/>
            <w:tcBorders/>
            <w:tcMar>
              <w:start w:w="0" w:type="dxa"/>
              <w:end w:w="0" w:type="dxa"/>
            </w:tcMar>
          </w:tcPr>
          <w:p>
            <w:pPr>
              <w:autoSpaceDN w:val="0"/>
              <w:autoSpaceDE w:val="0"/>
              <w:widowControl/>
              <w:spacing w:line="180" w:lineRule="exact" w:before="60" w:after="0"/>
              <w:ind w:left="0" w:right="1168" w:firstLine="0"/>
              <w:jc w:val="right"/>
            </w:pPr>
            <w:r>
              <w:rPr>
                <w:rFonts w:ascii="黑体" w:hAnsi="黑体" w:eastAsia="黑体"/>
                <w:b w:val="0"/>
                <w:i w:val="0"/>
                <w:color w:val="000000"/>
                <w:sz w:val="18"/>
              </w:rPr>
              <w:t>工伤保险费</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70" w:after="0"/>
              <w:ind w:left="0" w:right="122" w:firstLine="0"/>
              <w:jc w:val="right"/>
            </w:pPr>
            <w:r>
              <w:rPr>
                <w:rFonts w:ascii="Arial" w:hAnsi="Arial" w:eastAsia="Arial"/>
                <w:b w:val="0"/>
                <w:i w:val="0"/>
                <w:color w:val="000000"/>
                <w:sz w:val="18"/>
              </w:rPr>
              <w:t xml:space="preserve">270 </w:t>
            </w:r>
          </w:p>
        </w:tc>
        <w:tc>
          <w:tcPr>
            <w:tcW w:type="dxa" w:w="1362"/>
            <w:vMerge w:val="restart"/>
            <w:tcBorders/>
            <w:tcMar>
              <w:start w:w="0" w:type="dxa"/>
              <w:end w:w="0" w:type="dxa"/>
            </w:tcMar>
            <w:tcMar>
              <w:start w:w="0" w:type="dxa"/>
              <w:end w:w="0" w:type="dxa"/>
            </w:tcMar>
          </w:tcPr>
          <w:p>
            <w:pPr>
              <w:autoSpaceDN w:val="0"/>
              <w:autoSpaceDE w:val="0"/>
              <w:widowControl/>
              <w:spacing w:line="233" w:lineRule="auto" w:before="70" w:after="0"/>
              <w:ind w:left="0" w:right="120" w:firstLine="0"/>
              <w:jc w:val="right"/>
            </w:pPr>
            <w:r>
              <w:rPr>
                <w:rFonts w:ascii="Arial" w:hAnsi="Arial" w:eastAsia="Arial"/>
                <w:b w:val="0"/>
                <w:i w:val="0"/>
                <w:color w:val="000000"/>
                <w:sz w:val="18"/>
              </w:rPr>
              <w:t xml:space="preserve">1,440,922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70" w:after="0"/>
              <w:ind w:left="0" w:right="60" w:firstLine="0"/>
              <w:jc w:val="right"/>
            </w:pPr>
            <w:r>
              <w:rPr>
                <w:rFonts w:ascii="Arial" w:hAnsi="Arial" w:eastAsia="Arial"/>
                <w:b w:val="0"/>
                <w:i w:val="0"/>
                <w:color w:val="000000"/>
                <w:sz w:val="18"/>
              </w:rPr>
              <w:t xml:space="preserve">(1,440,864) </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8"/>
              </w:rPr>
              <w:t>328</w:t>
            </w:r>
          </w:p>
        </w:tc>
      </w:tr>
      <w:tr>
        <w:trPr>
          <w:trHeight w:hRule="exact" w:val="56"/>
        </w:trPr>
        <w:tc>
          <w:tcPr>
            <w:tcW w:type="dxa" w:w="2978"/>
            <w:vMerge w:val="restart"/>
            <w:tcBorders/>
            <w:tcMar>
              <w:start w:w="0" w:type="dxa"/>
              <w:end w:w="0" w:type="dxa"/>
            </w:tcMar>
            <w:tcMar>
              <w:start w:w="0" w:type="dxa"/>
              <w:end w:w="0" w:type="dxa"/>
            </w:tcMar>
          </w:tcPr>
          <w:p>
            <w:pPr>
              <w:autoSpaceDN w:val="0"/>
              <w:autoSpaceDE w:val="0"/>
              <w:widowControl/>
              <w:spacing w:line="180" w:lineRule="exact" w:before="76" w:after="0"/>
              <w:ind w:left="0" w:right="1168" w:firstLine="0"/>
              <w:jc w:val="right"/>
            </w:pPr>
            <w:r>
              <w:rPr>
                <w:rFonts w:ascii="黑体" w:hAnsi="黑体" w:eastAsia="黑体"/>
                <w:b w:val="0"/>
                <w:i w:val="0"/>
                <w:color w:val="000000"/>
                <w:sz w:val="18"/>
              </w:rPr>
              <w:t>生育保险费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04"/>
        </w:trPr>
        <w:tc>
          <w:tcPr>
            <w:tcW w:type="dxa" w:w="1805"/>
            <w:vMerge/>
            <w:tcBorders/>
          </w:tcP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26" w:after="0"/>
              <w:ind w:left="0" w:right="122" w:firstLine="0"/>
              <w:jc w:val="right"/>
            </w:pPr>
            <w:r>
              <w:rPr>
                <w:rFonts w:ascii="Arial" w:hAnsi="Arial" w:eastAsia="Arial"/>
                <w:b w:val="0"/>
                <w:i w:val="0"/>
                <w:color w:val="000000"/>
                <w:sz w:val="18"/>
              </w:rPr>
              <w:t xml:space="preserve">- </w:t>
            </w:r>
          </w:p>
        </w:tc>
        <w:tc>
          <w:tcPr>
            <w:tcW w:type="dxa" w:w="1362"/>
            <w:vMerge w:val="restart"/>
            <w:tcBorders/>
            <w:tcMar>
              <w:start w:w="0" w:type="dxa"/>
              <w:end w:w="0" w:type="dxa"/>
            </w:tcMar>
            <w:tcMar>
              <w:start w:w="0" w:type="dxa"/>
              <w:end w:w="0" w:type="dxa"/>
            </w:tcMar>
          </w:tcPr>
          <w:p>
            <w:pPr>
              <w:autoSpaceDN w:val="0"/>
              <w:autoSpaceDE w:val="0"/>
              <w:widowControl/>
              <w:spacing w:line="233" w:lineRule="auto" w:before="26" w:after="0"/>
              <w:ind w:left="0" w:right="120" w:firstLine="0"/>
              <w:jc w:val="right"/>
            </w:pPr>
            <w:r>
              <w:rPr>
                <w:rFonts w:ascii="Arial" w:hAnsi="Arial" w:eastAsia="Arial"/>
                <w:b w:val="0"/>
                <w:i w:val="0"/>
                <w:color w:val="000000"/>
                <w:sz w:val="18"/>
              </w:rPr>
              <w:t xml:space="preserve">490,789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26" w:after="0"/>
              <w:ind w:left="0" w:right="60" w:firstLine="0"/>
              <w:jc w:val="right"/>
            </w:pPr>
            <w:r>
              <w:rPr>
                <w:rFonts w:ascii="Arial" w:hAnsi="Arial" w:eastAsia="Arial"/>
                <w:b w:val="0"/>
                <w:i w:val="0"/>
                <w:color w:val="000000"/>
                <w:sz w:val="18"/>
              </w:rPr>
              <w:t xml:space="preserve">(490,789) </w:t>
            </w:r>
          </w:p>
        </w:tc>
        <w:tc>
          <w:tcPr>
            <w:tcW w:type="dxa" w:w="1360"/>
            <w:vMerge w:val="restart"/>
            <w:tcBorders/>
            <w:tcMar>
              <w:start w:w="0" w:type="dxa"/>
              <w:end w:w="0" w:type="dxa"/>
            </w:tcMar>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8"/>
              </w:rPr>
              <w:t>-</w:t>
            </w:r>
          </w:p>
        </w:tc>
      </w:tr>
      <w:tr>
        <w:trPr>
          <w:trHeight w:hRule="exact" w:val="48"/>
        </w:trPr>
        <w:tc>
          <w:tcPr>
            <w:tcW w:type="dxa" w:w="2978"/>
            <w:vMerge w:val="restart"/>
            <w:tcBorders/>
            <w:tcMar>
              <w:start w:w="0" w:type="dxa"/>
              <w:end w:w="0" w:type="dxa"/>
            </w:tcMar>
            <w:tcMar>
              <w:start w:w="0" w:type="dxa"/>
              <w:end w:w="0" w:type="dxa"/>
            </w:tcMar>
          </w:tcPr>
          <w:p>
            <w:pPr>
              <w:autoSpaceDN w:val="0"/>
              <w:autoSpaceDE w:val="0"/>
              <w:widowControl/>
              <w:spacing w:line="180" w:lineRule="exact" w:before="68" w:after="0"/>
              <w:ind w:left="198" w:right="0" w:firstLine="0"/>
              <w:jc w:val="left"/>
            </w:pPr>
            <w:r>
              <w:rPr>
                <w:rFonts w:ascii="黑体" w:hAnsi="黑体" w:eastAsia="黑体"/>
                <w:b w:val="0"/>
                <w:i w:val="0"/>
                <w:color w:val="000000"/>
                <w:sz w:val="18"/>
              </w:rPr>
              <w:t>工会经费和职工教育经费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12"/>
        </w:trPr>
        <w:tc>
          <w:tcPr>
            <w:tcW w:type="dxa" w:w="1805"/>
            <w:vMerge/>
            <w:tcBorders/>
          </w:tcPr>
          <w:p/>
        </w:tc>
        <w:tc>
          <w:tcPr>
            <w:tcW w:type="dxa" w:w="1360"/>
            <w:tcBorders/>
            <w:tcMar>
              <w:start w:w="0" w:type="dxa"/>
              <w:end w:w="0" w:type="dxa"/>
            </w:tcMar>
          </w:tcPr>
          <w:p>
            <w:pPr>
              <w:autoSpaceDN w:val="0"/>
              <w:autoSpaceDE w:val="0"/>
              <w:widowControl/>
              <w:spacing w:line="233" w:lineRule="auto" w:before="12" w:after="0"/>
              <w:ind w:left="288" w:right="0" w:firstLine="0"/>
              <w:jc w:val="left"/>
            </w:pPr>
            <w:r>
              <w:rPr>
                <w:rFonts w:ascii="Arial" w:hAnsi="Arial" w:eastAsia="Arial"/>
                <w:b w:val="0"/>
                <w:i w:val="0"/>
                <w:color w:val="000000"/>
                <w:sz w:val="18"/>
              </w:rPr>
              <w:t xml:space="preserve">46,142,897 </w:t>
            </w:r>
          </w:p>
        </w:tc>
        <w:tc>
          <w:tcPr>
            <w:tcW w:type="dxa" w:w="1362"/>
            <w:tcBorders/>
            <w:tcMar>
              <w:start w:w="0" w:type="dxa"/>
              <w:end w:w="0" w:type="dxa"/>
            </w:tcMar>
          </w:tcPr>
          <w:p>
            <w:pPr>
              <w:autoSpaceDN w:val="0"/>
              <w:autoSpaceDE w:val="0"/>
              <w:widowControl/>
              <w:spacing w:line="233" w:lineRule="auto" w:before="12" w:after="0"/>
              <w:ind w:left="292" w:right="0" w:firstLine="0"/>
              <w:jc w:val="left"/>
            </w:pPr>
            <w:r>
              <w:rPr>
                <w:rFonts w:ascii="Arial" w:hAnsi="Arial" w:eastAsia="Arial"/>
                <w:b w:val="0"/>
                <w:i w:val="0"/>
                <w:color w:val="000000"/>
                <w:sz w:val="18"/>
              </w:rPr>
              <w:t xml:space="preserve">25,964,537 </w:t>
            </w:r>
          </w:p>
        </w:tc>
        <w:tc>
          <w:tcPr>
            <w:tcW w:type="dxa" w:w="1474"/>
            <w:tcBorders/>
            <w:tcMar>
              <w:start w:w="0" w:type="dxa"/>
              <w:end w:w="0" w:type="dxa"/>
            </w:tcMar>
          </w:tcPr>
          <w:p>
            <w:pPr>
              <w:autoSpaceDN w:val="0"/>
              <w:autoSpaceDE w:val="0"/>
              <w:widowControl/>
              <w:spacing w:line="233" w:lineRule="auto" w:before="12" w:after="0"/>
              <w:ind w:left="342" w:right="0" w:firstLine="0"/>
              <w:jc w:val="left"/>
            </w:pPr>
            <w:r>
              <w:rPr>
                <w:rFonts w:ascii="Arial" w:hAnsi="Arial" w:eastAsia="Arial"/>
                <w:b w:val="0"/>
                <w:i w:val="0"/>
                <w:color w:val="000000"/>
                <w:sz w:val="18"/>
              </w:rPr>
              <w:t xml:space="preserve">(16,069,789) </w:t>
            </w:r>
          </w:p>
        </w:tc>
        <w:tc>
          <w:tcPr>
            <w:tcW w:type="dxa" w:w="136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8"/>
              </w:rPr>
              <w:t>56,037,645</w:t>
            </w:r>
          </w:p>
        </w:tc>
      </w:tr>
      <w:tr>
        <w:trPr>
          <w:trHeight w:hRule="exact" w:val="240"/>
        </w:trPr>
        <w:tc>
          <w:tcPr>
            <w:tcW w:type="dxa" w:w="2978"/>
            <w:tcBorders/>
            <w:tcMar>
              <w:start w:w="0" w:type="dxa"/>
              <w:end w:w="0" w:type="dxa"/>
            </w:tcMar>
          </w:tcPr>
          <w:p>
            <w:pPr>
              <w:autoSpaceDN w:val="0"/>
              <w:autoSpaceDE w:val="0"/>
              <w:widowControl/>
              <w:spacing w:line="180" w:lineRule="exact" w:before="60" w:after="0"/>
              <w:ind w:left="198" w:right="0" w:firstLine="0"/>
              <w:jc w:val="left"/>
            </w:pPr>
            <w:r>
              <w:rPr>
                <w:rFonts w:ascii="黑体" w:hAnsi="黑体" w:eastAsia="黑体"/>
                <w:b w:val="0"/>
                <w:i w:val="0"/>
                <w:color w:val="000000"/>
                <w:sz w:val="18"/>
              </w:rPr>
              <w:t>住房公积金</w:t>
            </w:r>
          </w:p>
        </w:tc>
        <w:tc>
          <w:tcPr>
            <w:tcW w:type="dxa" w:w="1360"/>
            <w:vMerge w:val="restart"/>
            <w:tcBorders/>
            <w:tcMar>
              <w:start w:w="0" w:type="dxa"/>
              <w:end w:w="0" w:type="dxa"/>
            </w:tcMar>
            <w:tcMar>
              <w:start w:w="0" w:type="dxa"/>
              <w:end w:w="0" w:type="dxa"/>
            </w:tcMar>
          </w:tcPr>
          <w:p>
            <w:pPr>
              <w:autoSpaceDN w:val="0"/>
              <w:autoSpaceDE w:val="0"/>
              <w:widowControl/>
              <w:spacing w:line="235" w:lineRule="auto" w:before="68" w:after="0"/>
              <w:ind w:left="0" w:right="122" w:firstLine="0"/>
              <w:jc w:val="right"/>
            </w:pPr>
            <w:r>
              <w:rPr>
                <w:rFonts w:ascii="Arial" w:hAnsi="Arial" w:eastAsia="Arial"/>
                <w:b w:val="0"/>
                <w:i w:val="0"/>
                <w:color w:val="000000"/>
                <w:sz w:val="18"/>
              </w:rPr>
              <w:t xml:space="preserve">20,268 </w:t>
            </w:r>
          </w:p>
        </w:tc>
        <w:tc>
          <w:tcPr>
            <w:tcW w:type="dxa" w:w="1362"/>
            <w:vMerge w:val="restart"/>
            <w:tcBorders/>
            <w:tcMar>
              <w:start w:w="0" w:type="dxa"/>
              <w:end w:w="0" w:type="dxa"/>
            </w:tcMar>
            <w:tcMar>
              <w:start w:w="0" w:type="dxa"/>
              <w:end w:w="0" w:type="dxa"/>
            </w:tcMar>
          </w:tcPr>
          <w:p>
            <w:pPr>
              <w:autoSpaceDN w:val="0"/>
              <w:autoSpaceDE w:val="0"/>
              <w:widowControl/>
              <w:spacing w:line="235" w:lineRule="auto" w:before="68" w:after="0"/>
              <w:ind w:left="292" w:right="0" w:firstLine="0"/>
              <w:jc w:val="left"/>
            </w:pPr>
            <w:r>
              <w:rPr>
                <w:rFonts w:ascii="Arial" w:hAnsi="Arial" w:eastAsia="Arial"/>
                <w:b w:val="0"/>
                <w:i w:val="0"/>
                <w:color w:val="000000"/>
                <w:sz w:val="18"/>
              </w:rPr>
              <w:t xml:space="preserve">81,221,929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68" w:after="0"/>
              <w:ind w:left="342" w:right="0" w:firstLine="0"/>
              <w:jc w:val="left"/>
            </w:pPr>
            <w:r>
              <w:rPr>
                <w:rFonts w:ascii="Arial" w:hAnsi="Arial" w:eastAsia="Arial"/>
                <w:b w:val="0"/>
                <w:i w:val="0"/>
                <w:color w:val="000000"/>
                <w:sz w:val="18"/>
              </w:rPr>
              <w:t xml:space="preserve">(81,217,512) </w:t>
            </w:r>
          </w:p>
        </w:tc>
        <w:tc>
          <w:tcPr>
            <w:tcW w:type="dxa" w:w="1360"/>
            <w:vMerge w:val="restart"/>
            <w:tcBorders/>
            <w:tcMar>
              <w:start w:w="0" w:type="dxa"/>
              <w:end w:w="0" w:type="dxa"/>
            </w:tcMar>
            <w:tcMar>
              <w:start w:w="0" w:type="dxa"/>
              <w:end w:w="0" w:type="dxa"/>
            </w:tcMar>
          </w:tcPr>
          <w:p>
            <w:pPr>
              <w:autoSpaceDN w:val="0"/>
              <w:autoSpaceDE w:val="0"/>
              <w:widowControl/>
              <w:spacing w:line="235" w:lineRule="auto" w:before="68" w:after="0"/>
              <w:ind w:left="0" w:right="0" w:firstLine="0"/>
              <w:jc w:val="right"/>
            </w:pPr>
            <w:r>
              <w:rPr>
                <w:rFonts w:ascii="Arial" w:hAnsi="Arial" w:eastAsia="Arial"/>
                <w:b w:val="0"/>
                <w:i w:val="0"/>
                <w:color w:val="000000"/>
                <w:sz w:val="18"/>
              </w:rPr>
              <w:t>24,685</w:t>
            </w:r>
          </w:p>
        </w:tc>
      </w:tr>
      <w:tr>
        <w:trPr>
          <w:trHeight w:hRule="exact" w:val="56"/>
        </w:trPr>
        <w:tc>
          <w:tcPr>
            <w:tcW w:type="dxa" w:w="2978"/>
            <w:vMerge w:val="restart"/>
            <w:tcBorders/>
            <w:tcMar>
              <w:start w:w="0" w:type="dxa"/>
              <w:end w:w="0" w:type="dxa"/>
            </w:tcMar>
            <w:tcMar>
              <w:start w:w="0" w:type="dxa"/>
              <w:end w:w="0" w:type="dxa"/>
            </w:tcMar>
          </w:tcPr>
          <w:p>
            <w:pPr>
              <w:autoSpaceDN w:val="0"/>
              <w:autoSpaceDE w:val="0"/>
              <w:widowControl/>
              <w:spacing w:line="180" w:lineRule="exact" w:before="74" w:after="0"/>
              <w:ind w:left="198" w:right="0" w:firstLine="0"/>
              <w:jc w:val="left"/>
            </w:pPr>
            <w:r>
              <w:rPr>
                <w:rFonts w:ascii="黑体" w:hAnsi="黑体" w:eastAsia="黑体"/>
                <w:b w:val="0"/>
                <w:i w:val="0"/>
                <w:color w:val="000000"/>
                <w:sz w:val="18"/>
              </w:rPr>
              <w:t>劳务费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04"/>
        </w:trPr>
        <w:tc>
          <w:tcPr>
            <w:tcW w:type="dxa" w:w="1805"/>
            <w:vMerge/>
            <w:tcBorders/>
          </w:tcPr>
          <w:p/>
        </w:tc>
        <w:tc>
          <w:tcPr>
            <w:tcW w:type="dxa" w:w="1360"/>
            <w:vMerge w:val="restart"/>
            <w:tcBorders/>
            <w:tcMar>
              <w:start w:w="0" w:type="dxa"/>
              <w:end w:w="0" w:type="dxa"/>
            </w:tcMar>
            <w:tcMar>
              <w:start w:w="0" w:type="dxa"/>
              <w:end w:w="0" w:type="dxa"/>
            </w:tcMar>
          </w:tcPr>
          <w:p>
            <w:pPr>
              <w:autoSpaceDN w:val="0"/>
              <w:autoSpaceDE w:val="0"/>
              <w:widowControl/>
              <w:spacing w:line="235" w:lineRule="auto" w:before="24" w:after="0"/>
              <w:ind w:left="0" w:right="122" w:firstLine="0"/>
              <w:jc w:val="right"/>
            </w:pPr>
            <w:r>
              <w:rPr>
                <w:rFonts w:ascii="Arial" w:hAnsi="Arial" w:eastAsia="Arial"/>
                <w:b w:val="0"/>
                <w:i w:val="0"/>
                <w:color w:val="000000"/>
                <w:sz w:val="18"/>
              </w:rPr>
              <w:t xml:space="preserve">9,020 </w:t>
            </w:r>
          </w:p>
        </w:tc>
        <w:tc>
          <w:tcPr>
            <w:tcW w:type="dxa" w:w="1362"/>
            <w:vMerge w:val="restart"/>
            <w:tcBorders/>
            <w:tcMar>
              <w:start w:w="0" w:type="dxa"/>
              <w:end w:w="0" w:type="dxa"/>
            </w:tcMar>
            <w:tcMar>
              <w:start w:w="0" w:type="dxa"/>
              <w:end w:w="0" w:type="dxa"/>
            </w:tcMar>
          </w:tcPr>
          <w:p>
            <w:pPr>
              <w:autoSpaceDN w:val="0"/>
              <w:autoSpaceDE w:val="0"/>
              <w:widowControl/>
              <w:spacing w:line="235" w:lineRule="auto" w:before="24" w:after="0"/>
              <w:ind w:left="0" w:right="120" w:firstLine="0"/>
              <w:jc w:val="right"/>
            </w:pPr>
            <w:r>
              <w:rPr>
                <w:rFonts w:ascii="Arial" w:hAnsi="Arial" w:eastAsia="Arial"/>
                <w:b w:val="0"/>
                <w:i w:val="0"/>
                <w:color w:val="000000"/>
                <w:sz w:val="18"/>
              </w:rPr>
              <w:t xml:space="preserve">4,745,608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24" w:after="0"/>
              <w:ind w:left="0" w:right="60" w:firstLine="0"/>
              <w:jc w:val="right"/>
            </w:pPr>
            <w:r>
              <w:rPr>
                <w:rFonts w:ascii="Arial" w:hAnsi="Arial" w:eastAsia="Arial"/>
                <w:b w:val="0"/>
                <w:i w:val="0"/>
                <w:color w:val="000000"/>
                <w:sz w:val="18"/>
              </w:rPr>
              <w:t xml:space="preserve">(4,754,468 ) </w:t>
            </w:r>
          </w:p>
        </w:tc>
        <w:tc>
          <w:tcPr>
            <w:tcW w:type="dxa" w:w="1360"/>
            <w:vMerge w:val="restart"/>
            <w:tcBorders/>
            <w:tcMar>
              <w:start w:w="0" w:type="dxa"/>
              <w:end w:w="0" w:type="dxa"/>
            </w:tcMar>
            <w:tcMar>
              <w:start w:w="0" w:type="dxa"/>
              <w:end w:w="0" w:type="dxa"/>
            </w:tcMar>
          </w:tcPr>
          <w:p>
            <w:pPr>
              <w:autoSpaceDN w:val="0"/>
              <w:autoSpaceDE w:val="0"/>
              <w:widowControl/>
              <w:spacing w:line="235" w:lineRule="auto" w:before="24" w:after="0"/>
              <w:ind w:left="0" w:right="0" w:firstLine="0"/>
              <w:jc w:val="right"/>
            </w:pPr>
            <w:r>
              <w:rPr>
                <w:rFonts w:ascii="Arial" w:hAnsi="Arial" w:eastAsia="Arial"/>
                <w:b w:val="0"/>
                <w:i w:val="0"/>
                <w:color w:val="000000"/>
                <w:sz w:val="18"/>
              </w:rPr>
              <w:t>160</w:t>
            </w:r>
          </w:p>
        </w:tc>
      </w:tr>
      <w:tr>
        <w:trPr>
          <w:trHeight w:hRule="exact" w:val="48"/>
        </w:trPr>
        <w:tc>
          <w:tcPr>
            <w:tcW w:type="dxa" w:w="2978"/>
            <w:vMerge w:val="restart"/>
            <w:tcBorders/>
            <w:tcMar>
              <w:start w:w="0" w:type="dxa"/>
              <w:end w:w="0" w:type="dxa"/>
            </w:tcMar>
            <w:tcMar>
              <w:start w:w="0" w:type="dxa"/>
              <w:end w:w="0" w:type="dxa"/>
            </w:tcMar>
          </w:tcPr>
          <w:p>
            <w:pPr>
              <w:autoSpaceDN w:val="0"/>
              <w:autoSpaceDE w:val="0"/>
              <w:widowControl/>
              <w:spacing w:line="180" w:lineRule="exact" w:before="68" w:after="0"/>
              <w:ind w:left="198" w:right="0" w:firstLine="0"/>
              <w:jc w:val="left"/>
            </w:pPr>
            <w:r>
              <w:rPr>
                <w:rFonts w:ascii="黑体" w:hAnsi="黑体" w:eastAsia="黑体"/>
                <w:b w:val="0"/>
                <w:i w:val="0"/>
                <w:color w:val="000000"/>
                <w:sz w:val="18"/>
              </w:rPr>
              <w:t>补充保险</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12"/>
        </w:trPr>
        <w:tc>
          <w:tcPr>
            <w:tcW w:type="dxa" w:w="1805"/>
            <w:vMerge/>
            <w:tcBorders/>
          </w:tcPr>
          <w:p/>
        </w:tc>
        <w:tc>
          <w:tcPr>
            <w:tcW w:type="dxa" w:w="1360"/>
            <w:tcBorders/>
            <w:tcMar>
              <w:start w:w="0" w:type="dxa"/>
              <w:end w:w="0" w:type="dxa"/>
            </w:tcMar>
          </w:tcPr>
          <w:p>
            <w:pPr>
              <w:autoSpaceDN w:val="0"/>
              <w:autoSpaceDE w:val="0"/>
              <w:widowControl/>
              <w:spacing w:line="235" w:lineRule="auto" w:before="10" w:after="0"/>
              <w:ind w:left="0" w:right="122" w:firstLine="0"/>
              <w:jc w:val="right"/>
            </w:pPr>
            <w:r>
              <w:rPr>
                <w:rFonts w:ascii="Arial" w:hAnsi="Arial" w:eastAsia="Arial"/>
                <w:b w:val="0"/>
                <w:i w:val="0"/>
                <w:color w:val="000000"/>
                <w:sz w:val="18"/>
              </w:rPr>
              <w:t xml:space="preserve">- </w:t>
            </w:r>
          </w:p>
        </w:tc>
        <w:tc>
          <w:tcPr>
            <w:tcW w:type="dxa" w:w="1362"/>
            <w:tcBorders/>
            <w:tcMar>
              <w:start w:w="0" w:type="dxa"/>
              <w:end w:w="0" w:type="dxa"/>
            </w:tcMar>
          </w:tcPr>
          <w:p>
            <w:pPr>
              <w:autoSpaceDN w:val="0"/>
              <w:autoSpaceDE w:val="0"/>
              <w:widowControl/>
              <w:spacing w:line="235" w:lineRule="auto" w:before="10" w:after="0"/>
              <w:ind w:left="0" w:right="120" w:firstLine="0"/>
              <w:jc w:val="right"/>
            </w:pPr>
            <w:r>
              <w:rPr>
                <w:rFonts w:ascii="Arial" w:hAnsi="Arial" w:eastAsia="Arial"/>
                <w:b w:val="0"/>
                <w:i w:val="0"/>
                <w:color w:val="000000"/>
                <w:sz w:val="18"/>
              </w:rPr>
              <w:t xml:space="preserve">6,759,837 </w:t>
            </w:r>
          </w:p>
        </w:tc>
        <w:tc>
          <w:tcPr>
            <w:tcW w:type="dxa" w:w="1474"/>
            <w:tcBorders/>
            <w:tcMar>
              <w:start w:w="0" w:type="dxa"/>
              <w:end w:w="0" w:type="dxa"/>
            </w:tcMar>
          </w:tcPr>
          <w:p>
            <w:pPr>
              <w:autoSpaceDN w:val="0"/>
              <w:autoSpaceDE w:val="0"/>
              <w:widowControl/>
              <w:spacing w:line="235" w:lineRule="auto" w:before="10" w:after="0"/>
              <w:ind w:left="0" w:right="60" w:firstLine="0"/>
              <w:jc w:val="right"/>
            </w:pPr>
            <w:r>
              <w:rPr>
                <w:rFonts w:ascii="Arial" w:hAnsi="Arial" w:eastAsia="Arial"/>
                <w:b w:val="0"/>
                <w:i w:val="0"/>
                <w:color w:val="000000"/>
                <w:sz w:val="18"/>
              </w:rPr>
              <w:t xml:space="preserve">(6,759,837) </w:t>
            </w:r>
          </w:p>
        </w:tc>
        <w:tc>
          <w:tcPr>
            <w:tcW w:type="dxa" w:w="136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8"/>
              </w:rPr>
              <w:t>-</w:t>
            </w:r>
          </w:p>
        </w:tc>
      </w:tr>
      <w:tr>
        <w:trPr>
          <w:trHeight w:hRule="exact" w:val="272"/>
        </w:trPr>
        <w:tc>
          <w:tcPr>
            <w:tcW w:type="dxa" w:w="2978"/>
            <w:tcBorders>
              <w:bottom w:sz="4.0" w:val="single" w:color="#000000"/>
            </w:tcBorders>
            <w:tcMar>
              <w:start w:w="0" w:type="dxa"/>
              <w:end w:w="0" w:type="dxa"/>
            </w:tcMar>
          </w:tcPr>
          <w:p>
            <w:pPr>
              <w:autoSpaceDN w:val="0"/>
              <w:autoSpaceDE w:val="0"/>
              <w:widowControl/>
              <w:spacing w:line="180" w:lineRule="exact" w:before="60" w:after="0"/>
              <w:ind w:left="198" w:right="0" w:firstLine="0"/>
              <w:jc w:val="left"/>
            </w:pPr>
            <w:r>
              <w:rPr>
                <w:rFonts w:ascii="黑体" w:hAnsi="黑体" w:eastAsia="黑体"/>
                <w:b w:val="0"/>
                <w:i w:val="0"/>
                <w:color w:val="000000"/>
                <w:sz w:val="18"/>
              </w:rPr>
              <w:t>其他社保金</w:t>
            </w:r>
          </w:p>
        </w:tc>
        <w:tc>
          <w:tcPr>
            <w:tcW w:type="dxa" w:w="1360"/>
            <w:tcBorders>
              <w:bottom w:sz="4.0" w:val="single" w:color="#000000"/>
            </w:tcBorders>
            <w:tcMar>
              <w:start w:w="0" w:type="dxa"/>
              <w:end w:w="0" w:type="dxa"/>
            </w:tcMar>
          </w:tcPr>
          <w:p>
            <w:pPr>
              <w:autoSpaceDN w:val="0"/>
              <w:autoSpaceDE w:val="0"/>
              <w:widowControl/>
              <w:spacing w:line="235" w:lineRule="auto" w:before="66" w:after="0"/>
              <w:ind w:left="0" w:right="122" w:firstLine="0"/>
              <w:jc w:val="right"/>
            </w:pPr>
            <w:r>
              <w:rPr>
                <w:rFonts w:ascii="Arial" w:hAnsi="Arial" w:eastAsia="Arial"/>
                <w:b w:val="0"/>
                <w:i w:val="0"/>
                <w:color w:val="000000"/>
                <w:sz w:val="18"/>
              </w:rPr>
              <w:t xml:space="preserve">- </w:t>
            </w:r>
          </w:p>
        </w:tc>
        <w:tc>
          <w:tcPr>
            <w:tcW w:type="dxa" w:w="1362"/>
            <w:tcBorders>
              <w:bottom w:sz="4.0" w:val="single" w:color="#000000"/>
            </w:tcBorders>
            <w:tcMar>
              <w:start w:w="0" w:type="dxa"/>
              <w:end w:w="0" w:type="dxa"/>
            </w:tcMar>
          </w:tcPr>
          <w:p>
            <w:pPr>
              <w:autoSpaceDN w:val="0"/>
              <w:autoSpaceDE w:val="0"/>
              <w:widowControl/>
              <w:spacing w:line="235" w:lineRule="auto" w:before="66" w:after="0"/>
              <w:ind w:left="0" w:right="120" w:firstLine="0"/>
              <w:jc w:val="right"/>
            </w:pPr>
            <w:r>
              <w:rPr>
                <w:rFonts w:ascii="Arial" w:hAnsi="Arial" w:eastAsia="Arial"/>
                <w:b w:val="0"/>
                <w:i w:val="0"/>
                <w:color w:val="000000"/>
                <w:sz w:val="18"/>
              </w:rPr>
              <w:t xml:space="preserve">17,535 </w:t>
            </w:r>
          </w:p>
        </w:tc>
        <w:tc>
          <w:tcPr>
            <w:tcW w:type="dxa" w:w="1474"/>
            <w:tcBorders>
              <w:bottom w:sz="4.0" w:val="single" w:color="#000000"/>
            </w:tcBorders>
            <w:tcMar>
              <w:start w:w="0" w:type="dxa"/>
              <w:end w:w="0" w:type="dxa"/>
            </w:tcMar>
          </w:tcPr>
          <w:p>
            <w:pPr>
              <w:autoSpaceDN w:val="0"/>
              <w:autoSpaceDE w:val="0"/>
              <w:widowControl/>
              <w:spacing w:line="235" w:lineRule="auto" w:before="66" w:after="0"/>
              <w:ind w:left="0" w:right="60" w:firstLine="0"/>
              <w:jc w:val="right"/>
            </w:pPr>
            <w:r>
              <w:rPr>
                <w:rFonts w:ascii="Arial" w:hAnsi="Arial" w:eastAsia="Arial"/>
                <w:b w:val="0"/>
                <w:i w:val="0"/>
                <w:color w:val="000000"/>
                <w:sz w:val="18"/>
              </w:rPr>
              <w:t xml:space="preserve">(17,535) </w:t>
            </w:r>
          </w:p>
        </w:tc>
        <w:tc>
          <w:tcPr>
            <w:tcW w:type="dxa" w:w="1360"/>
            <w:tcBorders>
              <w:bottom w:sz="4.0" w:val="single" w:color="#000000"/>
            </w:tcBorders>
            <w:tcMar>
              <w:start w:w="0" w:type="dxa"/>
              <w:end w:w="0" w:type="dxa"/>
            </w:tcMar>
          </w:tcPr>
          <w:p>
            <w:pPr>
              <w:autoSpaceDN w:val="0"/>
              <w:autoSpaceDE w:val="0"/>
              <w:widowControl/>
              <w:spacing w:line="235" w:lineRule="auto" w:before="66" w:after="0"/>
              <w:ind w:left="0" w:right="0" w:firstLine="0"/>
              <w:jc w:val="right"/>
            </w:pPr>
            <w:r>
              <w:rPr>
                <w:rFonts w:ascii="Arial" w:hAnsi="Arial" w:eastAsia="Arial"/>
                <w:b w:val="0"/>
                <w:i w:val="0"/>
                <w:color w:val="000000"/>
                <w:sz w:val="18"/>
              </w:rPr>
              <w:t>-</w:t>
            </w:r>
          </w:p>
        </w:tc>
      </w:tr>
      <w:tr>
        <w:trPr>
          <w:trHeight w:hRule="exact" w:val="520"/>
        </w:trPr>
        <w:tc>
          <w:tcPr>
            <w:tcW w:type="dxa" w:w="2978"/>
            <w:tcBorders>
              <w:top w:sz="4.0" w:val="single" w:color="#000000"/>
              <w:bottom w:sz="3.200000000000273" w:val="single" w:color="#000000"/>
            </w:tcBorders>
            <w:tcMar>
              <w:start w:w="0" w:type="dxa"/>
              <w:end w:w="0" w:type="dxa"/>
            </w:tcMar>
          </w:tcPr>
          <w:p>
            <w:pPr>
              <w:autoSpaceDN w:val="0"/>
              <w:autoSpaceDE w:val="0"/>
              <w:widowControl/>
              <w:spacing w:line="180" w:lineRule="exact" w:before="300" w:after="0"/>
              <w:ind w:left="198" w:right="0" w:firstLine="0"/>
              <w:jc w:val="left"/>
            </w:pPr>
            <w:r>
              <w:rPr>
                <w:rFonts w:ascii="黑体" w:hAnsi="黑体" w:eastAsia="黑体"/>
                <w:b w:val="0"/>
                <w:i w:val="0"/>
                <w:color w:val="000000"/>
                <w:sz w:val="18"/>
              </w:rPr>
              <w:t>合计</w:t>
            </w:r>
          </w:p>
        </w:tc>
        <w:tc>
          <w:tcPr>
            <w:tcW w:type="dxa" w:w="1360"/>
            <w:tcBorders>
              <w:top w:sz="4.0" w:val="single" w:color="#000000"/>
              <w:bottom w:sz="3.200000000000273" w:val="single" w:color="#000000"/>
            </w:tcBorders>
            <w:tcMar>
              <w:start w:w="0" w:type="dxa"/>
              <w:end w:w="0" w:type="dxa"/>
            </w:tcMar>
          </w:tcPr>
          <w:p>
            <w:pPr>
              <w:autoSpaceDN w:val="0"/>
              <w:autoSpaceDE w:val="0"/>
              <w:widowControl/>
              <w:spacing w:line="233" w:lineRule="auto" w:before="306" w:after="0"/>
              <w:ind w:left="288" w:right="0" w:firstLine="0"/>
              <w:jc w:val="left"/>
            </w:pPr>
            <w:r>
              <w:rPr>
                <w:rFonts w:ascii="Arial" w:hAnsi="Arial" w:eastAsia="Arial"/>
                <w:b w:val="0"/>
                <w:i w:val="0"/>
                <w:color w:val="000000"/>
                <w:sz w:val="18"/>
              </w:rPr>
              <w:t xml:space="preserve">93,839,779 </w:t>
            </w:r>
          </w:p>
        </w:tc>
        <w:tc>
          <w:tcPr>
            <w:tcW w:type="dxa" w:w="1362"/>
            <w:tcBorders>
              <w:top w:sz="4.0" w:val="single" w:color="#000000"/>
              <w:bottom w:sz="3.200000000000273" w:val="single" w:color="#000000"/>
            </w:tcBorders>
            <w:tcMar>
              <w:start w:w="0" w:type="dxa"/>
              <w:end w:w="0" w:type="dxa"/>
            </w:tcMar>
          </w:tcPr>
          <w:p>
            <w:pPr>
              <w:autoSpaceDN w:val="0"/>
              <w:autoSpaceDE w:val="0"/>
              <w:widowControl/>
              <w:spacing w:line="233" w:lineRule="auto" w:before="306" w:after="0"/>
              <w:ind w:left="40" w:right="0" w:firstLine="0"/>
              <w:jc w:val="left"/>
            </w:pPr>
            <w:r>
              <w:rPr>
                <w:rFonts w:ascii="Arial" w:hAnsi="Arial" w:eastAsia="Arial"/>
                <w:b w:val="0"/>
                <w:i w:val="0"/>
                <w:color w:val="000000"/>
                <w:sz w:val="18"/>
              </w:rPr>
              <w:t xml:space="preserve">1,216,419,760 </w:t>
            </w:r>
          </w:p>
        </w:tc>
        <w:tc>
          <w:tcPr>
            <w:tcW w:type="dxa" w:w="1474"/>
            <w:tcBorders>
              <w:top w:sz="4.0" w:val="single" w:color="#000000"/>
              <w:bottom w:sz="3.200000000000273" w:val="single" w:color="#000000"/>
            </w:tcBorders>
            <w:tcMar>
              <w:start w:w="0" w:type="dxa"/>
              <w:end w:w="0" w:type="dxa"/>
            </w:tcMar>
          </w:tcPr>
          <w:p>
            <w:pPr>
              <w:autoSpaceDN w:val="0"/>
              <w:autoSpaceDE w:val="0"/>
              <w:widowControl/>
              <w:spacing w:line="233" w:lineRule="auto" w:before="306" w:after="0"/>
              <w:ind w:left="0" w:right="0" w:firstLine="0"/>
              <w:jc w:val="center"/>
            </w:pPr>
            <w:r>
              <w:rPr>
                <w:rFonts w:ascii="Arial" w:hAnsi="Arial" w:eastAsia="Arial"/>
                <w:b w:val="0"/>
                <w:i w:val="0"/>
                <w:color w:val="000000"/>
                <w:sz w:val="18"/>
              </w:rPr>
              <w:t xml:space="preserve">(1,163,558,335) </w:t>
            </w:r>
          </w:p>
        </w:tc>
        <w:tc>
          <w:tcPr>
            <w:tcW w:type="dxa" w:w="1360"/>
            <w:tcBorders>
              <w:top w:sz="4.0" w:val="single" w:color="#000000"/>
              <w:bottom w:sz="3.200000000000273" w:val="single" w:color="#000000"/>
            </w:tcBorders>
            <w:tcMar>
              <w:start w:w="0" w:type="dxa"/>
              <w:end w:w="0" w:type="dxa"/>
            </w:tcMar>
          </w:tcPr>
          <w:p>
            <w:pPr>
              <w:autoSpaceDN w:val="0"/>
              <w:autoSpaceDE w:val="0"/>
              <w:widowControl/>
              <w:spacing w:line="233" w:lineRule="auto" w:before="306" w:after="0"/>
              <w:ind w:left="0" w:right="0" w:firstLine="0"/>
              <w:jc w:val="right"/>
            </w:pPr>
            <w:r>
              <w:rPr>
                <w:rFonts w:ascii="Arial" w:hAnsi="Arial" w:eastAsia="Arial"/>
                <w:b w:val="0"/>
                <w:i w:val="0"/>
                <w:color w:val="000000"/>
                <w:sz w:val="18"/>
              </w:rPr>
              <w:t>146,701,204</w:t>
            </w:r>
          </w:p>
        </w:tc>
      </w:tr>
      <w:tr>
        <w:trPr>
          <w:trHeight w:hRule="exact" w:val="52"/>
        </w:trPr>
        <w:tc>
          <w:tcPr>
            <w:tcW w:type="dxa" w:w="2978"/>
            <w:tcBorders>
              <w:top w:sz="3.200000000000273" w:val="single" w:color="#000000"/>
            </w:tcBorders>
            <w:tcMar>
              <w:start w:w="0" w:type="dxa"/>
              <w:end w:w="0" w:type="dxa"/>
            </w:tcMar>
          </w:tcPr>
          <w:p/>
        </w:tc>
        <w:tc>
          <w:tcPr>
            <w:tcW w:type="dxa" w:w="1360"/>
            <w:tcBorders>
              <w:top w:sz="3.200000000000273" w:val="single" w:color="#000000"/>
            </w:tcBorders>
            <w:tcMar>
              <w:start w:w="0" w:type="dxa"/>
              <w:end w:w="0" w:type="dxa"/>
            </w:tcMar>
          </w:tcPr>
          <w:p/>
        </w:tc>
        <w:tc>
          <w:tcPr>
            <w:tcW w:type="dxa" w:w="1362"/>
            <w:tcBorders>
              <w:top w:sz="3.200000000000273" w:val="single" w:color="#000000"/>
            </w:tcBorders>
            <w:tcMar>
              <w:start w:w="0" w:type="dxa"/>
              <w:end w:w="0" w:type="dxa"/>
            </w:tcMar>
          </w:tcPr>
          <w:p/>
        </w:tc>
        <w:tc>
          <w:tcPr>
            <w:tcW w:type="dxa" w:w="1474"/>
            <w:tcBorders>
              <w:top w:sz="3.200000000000273" w:val="single" w:color="#000000"/>
            </w:tcBorders>
            <w:tcMar>
              <w:start w:w="0" w:type="dxa"/>
              <w:end w:w="0" w:type="dxa"/>
            </w:tcMar>
          </w:tcPr>
          <w:p/>
        </w:tc>
        <w:tc>
          <w:tcPr>
            <w:tcW w:type="dxa" w:w="1360"/>
            <w:tcBorders>
              <w:top w:sz="3.200000000000273" w:val="single" w:color="#000000"/>
            </w:tcBorders>
            <w:tcMar>
              <w:start w:w="0" w:type="dxa"/>
              <w:end w:w="0" w:type="dxa"/>
            </w:tcMar>
          </w:tcPr>
          <w:p/>
        </w:tc>
      </w:tr>
    </w:tbl>
    <w:p>
      <w:pPr>
        <w:autoSpaceDN w:val="0"/>
        <w:autoSpaceDE w:val="0"/>
        <w:widowControl/>
        <w:spacing w:line="246" w:lineRule="exact" w:before="242" w:after="26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离职后福利</w:t>
      </w:r>
      <w:r>
        <w:rPr>
          <w:rFonts w:ascii="Arial" w:hAnsi="Arial" w:eastAsia="Arial"/>
          <w:b w:val="0"/>
          <w:i w:val="0"/>
          <w:color w:val="000000"/>
          <w:sz w:val="22"/>
        </w:rPr>
        <w:t>-</w:t>
      </w:r>
      <w:r>
        <w:rPr>
          <w:rFonts w:ascii="黑体" w:hAnsi="黑体" w:eastAsia="黑体"/>
          <w:b w:val="0"/>
          <w:i w:val="0"/>
          <w:color w:val="000000"/>
          <w:sz w:val="22"/>
        </w:rPr>
        <w:t>设定提存计划</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88"/>
        </w:trPr>
        <w:tc>
          <w:tcPr>
            <w:tcW w:type="dxa" w:w="2978"/>
            <w:vMerge w:val="restart"/>
            <w:tcBorders/>
            <w:tcMar>
              <w:start w:w="0" w:type="dxa"/>
              <w:end w:w="0" w:type="dxa"/>
            </w:tcMar>
            <w:tcMar>
              <w:start w:w="0" w:type="dxa"/>
              <w:end w:w="0" w:type="dxa"/>
            </w:tcMar>
          </w:tcPr>
          <w:p>
            <w:pPr>
              <w:autoSpaceDN w:val="0"/>
              <w:autoSpaceDE w:val="0"/>
              <w:widowControl/>
              <w:spacing w:line="180" w:lineRule="exact" w:before="564" w:after="0"/>
              <w:ind w:left="198" w:right="0" w:firstLine="0"/>
              <w:jc w:val="left"/>
            </w:pPr>
            <w:r>
              <w:rPr>
                <w:rFonts w:ascii="黑体" w:hAnsi="黑体" w:eastAsia="黑体"/>
                <w:b w:val="0"/>
                <w:i w:val="0"/>
                <w:color w:val="000000"/>
                <w:sz w:val="18"/>
              </w:rPr>
              <w:t>基本养老保险</w:t>
            </w:r>
          </w:p>
        </w:tc>
        <w:tc>
          <w:tcPr>
            <w:tcW w:type="dxa" w:w="1360"/>
            <w:tcBorders/>
            <w:tcMar>
              <w:start w:w="0" w:type="dxa"/>
              <w:end w:w="0" w:type="dxa"/>
            </w:tcMar>
          </w:tcPr>
          <w:p>
            <w:pPr>
              <w:autoSpaceDN w:val="0"/>
              <w:autoSpaceDE w:val="0"/>
              <w:widowControl/>
              <w:spacing w:line="180" w:lineRule="exact" w:before="60" w:after="0"/>
              <w:ind w:left="0" w:right="172" w:firstLine="0"/>
              <w:jc w:val="right"/>
            </w:pPr>
            <w:r>
              <w:rPr>
                <w:rFonts w:ascii="黑体" w:hAnsi="黑体" w:eastAsia="黑体"/>
                <w:b w:val="0"/>
                <w:i w:val="0"/>
                <w:color w:val="000000"/>
                <w:sz w:val="18"/>
              </w:rPr>
              <w:t>年初余额</w:t>
            </w:r>
          </w:p>
        </w:tc>
        <w:tc>
          <w:tcPr>
            <w:tcW w:type="dxa" w:w="1362"/>
            <w:tcBorders/>
            <w:tcMar>
              <w:start w:w="0" w:type="dxa"/>
              <w:end w:w="0" w:type="dxa"/>
            </w:tcMar>
          </w:tcPr>
          <w:p>
            <w:pPr>
              <w:autoSpaceDN w:val="0"/>
              <w:autoSpaceDE w:val="0"/>
              <w:widowControl/>
              <w:spacing w:line="180" w:lineRule="exact" w:before="60" w:after="0"/>
              <w:ind w:left="0" w:right="172" w:firstLine="0"/>
              <w:jc w:val="right"/>
            </w:pPr>
            <w:r>
              <w:rPr>
                <w:rFonts w:ascii="黑体" w:hAnsi="黑体" w:eastAsia="黑体"/>
                <w:b w:val="0"/>
                <w:i w:val="0"/>
                <w:color w:val="000000"/>
                <w:sz w:val="18"/>
              </w:rPr>
              <w:t>本年增加</w:t>
            </w:r>
          </w:p>
        </w:tc>
        <w:tc>
          <w:tcPr>
            <w:tcW w:type="dxa" w:w="1472"/>
            <w:tcBorders/>
            <w:tcMar>
              <w:start w:w="0" w:type="dxa"/>
              <w:end w:w="0" w:type="dxa"/>
            </w:tcMar>
          </w:tcPr>
          <w:p>
            <w:pPr>
              <w:autoSpaceDN w:val="0"/>
              <w:autoSpaceDE w:val="0"/>
              <w:widowControl/>
              <w:spacing w:line="180" w:lineRule="exact" w:before="60" w:after="0"/>
              <w:ind w:left="0" w:right="172" w:firstLine="0"/>
              <w:jc w:val="right"/>
            </w:pPr>
            <w:r>
              <w:rPr>
                <w:rFonts w:ascii="黑体" w:hAnsi="黑体" w:eastAsia="黑体"/>
                <w:b w:val="0"/>
                <w:i w:val="0"/>
                <w:color w:val="000000"/>
                <w:sz w:val="18"/>
              </w:rPr>
              <w:t>本年减少</w:t>
            </w:r>
          </w:p>
        </w:tc>
        <w:tc>
          <w:tcPr>
            <w:tcW w:type="dxa" w:w="1362"/>
            <w:tcBorders/>
            <w:tcMar>
              <w:start w:w="0" w:type="dxa"/>
              <w:end w:w="0" w:type="dxa"/>
            </w:tcMar>
          </w:tcPr>
          <w:p>
            <w:pPr>
              <w:autoSpaceDN w:val="0"/>
              <w:autoSpaceDE w:val="0"/>
              <w:widowControl/>
              <w:spacing w:line="180" w:lineRule="exact" w:before="60" w:after="0"/>
              <w:ind w:left="0" w:right="2" w:firstLine="0"/>
              <w:jc w:val="right"/>
            </w:pPr>
            <w:r>
              <w:rPr>
                <w:rFonts w:ascii="黑体" w:hAnsi="黑体" w:eastAsia="黑体"/>
                <w:b w:val="0"/>
                <w:i w:val="0"/>
                <w:color w:val="000000"/>
                <w:sz w:val="18"/>
              </w:rPr>
              <w:t>年末余额</w:t>
            </w:r>
          </w:p>
        </w:tc>
      </w:tr>
      <w:tr>
        <w:trPr>
          <w:trHeight w:hRule="exact" w:val="360"/>
        </w:trPr>
        <w:tc>
          <w:tcPr>
            <w:tcW w:type="dxa" w:w="1805"/>
            <w:vMerge/>
            <w:tcBorders/>
          </w:tcPr>
          <w:p/>
        </w:tc>
        <w:tc>
          <w:tcPr>
            <w:tcW w:type="dxa" w:w="1360"/>
            <w:vMerge w:val="restart"/>
            <w:tcBorders/>
            <w:tcMar>
              <w:start w:w="0" w:type="dxa"/>
              <w:end w:w="0" w:type="dxa"/>
            </w:tcMar>
            <w:tcMar>
              <w:start w:w="0" w:type="dxa"/>
              <w:end w:w="0" w:type="dxa"/>
            </w:tcMar>
          </w:tcPr>
          <w:p>
            <w:pPr>
              <w:autoSpaceDN w:val="0"/>
              <w:autoSpaceDE w:val="0"/>
              <w:widowControl/>
              <w:spacing w:line="235" w:lineRule="auto" w:before="182" w:after="0"/>
              <w:ind w:left="0" w:right="122" w:firstLine="0"/>
              <w:jc w:val="right"/>
            </w:pPr>
            <w:r>
              <w:rPr>
                <w:rFonts w:ascii="Arial" w:hAnsi="Arial" w:eastAsia="Arial"/>
                <w:b w:val="0"/>
                <w:i w:val="0"/>
                <w:color w:val="000000"/>
                <w:sz w:val="18"/>
              </w:rPr>
              <w:t xml:space="preserve">2,677,655 </w:t>
            </w:r>
          </w:p>
        </w:tc>
        <w:tc>
          <w:tcPr>
            <w:tcW w:type="dxa" w:w="1362"/>
            <w:vMerge w:val="restart"/>
            <w:tcBorders/>
            <w:tcMar>
              <w:start w:w="0" w:type="dxa"/>
              <w:end w:w="0" w:type="dxa"/>
            </w:tcMar>
            <w:tcMar>
              <w:start w:w="0" w:type="dxa"/>
              <w:end w:w="0" w:type="dxa"/>
            </w:tcMar>
          </w:tcPr>
          <w:p>
            <w:pPr>
              <w:autoSpaceDN w:val="0"/>
              <w:autoSpaceDE w:val="0"/>
              <w:widowControl/>
              <w:spacing w:line="235" w:lineRule="auto" w:before="182" w:after="0"/>
              <w:ind w:left="0" w:right="0" w:firstLine="0"/>
              <w:jc w:val="center"/>
            </w:pPr>
            <w:r>
              <w:rPr>
                <w:rFonts w:ascii="Arial" w:hAnsi="Arial" w:eastAsia="Arial"/>
                <w:b w:val="0"/>
                <w:i w:val="0"/>
                <w:color w:val="000000"/>
                <w:sz w:val="18"/>
              </w:rPr>
              <w:t xml:space="preserve">103,153,121 </w:t>
            </w:r>
          </w:p>
        </w:tc>
        <w:tc>
          <w:tcPr>
            <w:tcW w:type="dxa" w:w="1472"/>
            <w:vMerge w:val="restart"/>
            <w:tcBorders/>
            <w:tcMar>
              <w:start w:w="0" w:type="dxa"/>
              <w:end w:w="0" w:type="dxa"/>
            </w:tcMar>
            <w:tcMar>
              <w:start w:w="0" w:type="dxa"/>
              <w:end w:w="0" w:type="dxa"/>
            </w:tcMar>
          </w:tcPr>
          <w:p>
            <w:pPr>
              <w:autoSpaceDN w:val="0"/>
              <w:autoSpaceDE w:val="0"/>
              <w:widowControl/>
              <w:spacing w:line="235" w:lineRule="auto" w:before="182" w:after="0"/>
              <w:ind w:left="240" w:right="0" w:firstLine="0"/>
              <w:jc w:val="left"/>
            </w:pPr>
            <w:r>
              <w:rPr>
                <w:rFonts w:ascii="Arial" w:hAnsi="Arial" w:eastAsia="Arial"/>
                <w:b w:val="0"/>
                <w:i w:val="0"/>
                <w:color w:val="000000"/>
                <w:sz w:val="18"/>
              </w:rPr>
              <w:t xml:space="preserve">(103,106,013 ) </w:t>
            </w:r>
          </w:p>
        </w:tc>
        <w:tc>
          <w:tcPr>
            <w:tcW w:type="dxa" w:w="1362"/>
            <w:vMerge w:val="restart"/>
            <w:tcBorders/>
            <w:tcMar>
              <w:start w:w="0" w:type="dxa"/>
              <w:end w:w="0" w:type="dxa"/>
            </w:tcMar>
            <w:tcMar>
              <w:start w:w="0" w:type="dxa"/>
              <w:end w:w="0" w:type="dxa"/>
            </w:tcMar>
          </w:tcPr>
          <w:p>
            <w:pPr>
              <w:autoSpaceDN w:val="0"/>
              <w:autoSpaceDE w:val="0"/>
              <w:widowControl/>
              <w:spacing w:line="235" w:lineRule="auto" w:before="182" w:after="0"/>
              <w:ind w:left="0" w:right="0" w:firstLine="0"/>
              <w:jc w:val="right"/>
            </w:pPr>
            <w:r>
              <w:rPr>
                <w:rFonts w:ascii="Arial" w:hAnsi="Arial" w:eastAsia="Arial"/>
                <w:b w:val="0"/>
                <w:i w:val="0"/>
                <w:color w:val="000000"/>
                <w:sz w:val="18"/>
              </w:rPr>
              <w:t>2,724,763</w:t>
            </w:r>
          </w:p>
        </w:tc>
      </w:tr>
      <w:tr>
        <w:trPr>
          <w:trHeight w:hRule="exact" w:val="50"/>
        </w:trPr>
        <w:tc>
          <w:tcPr>
            <w:tcW w:type="dxa" w:w="2978"/>
            <w:vMerge w:val="restart"/>
            <w:tcBorders/>
            <w:tcMar>
              <w:start w:w="0" w:type="dxa"/>
              <w:end w:w="0" w:type="dxa"/>
            </w:tcMar>
            <w:tcMar>
              <w:start w:w="0" w:type="dxa"/>
              <w:end w:w="0" w:type="dxa"/>
            </w:tcMar>
          </w:tcPr>
          <w:p>
            <w:pPr>
              <w:autoSpaceDN w:val="0"/>
              <w:autoSpaceDE w:val="0"/>
              <w:widowControl/>
              <w:spacing w:line="180" w:lineRule="exact" w:before="70" w:after="0"/>
              <w:ind w:left="198" w:right="0" w:firstLine="0"/>
              <w:jc w:val="left"/>
            </w:pPr>
            <w:r>
              <w:rPr>
                <w:rFonts w:ascii="黑体" w:hAnsi="黑体" w:eastAsia="黑体"/>
                <w:b w:val="0"/>
                <w:i w:val="0"/>
                <w:color w:val="000000"/>
                <w:sz w:val="18"/>
              </w:rPr>
              <w:t>失业保险费</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210"/>
        </w:trPr>
        <w:tc>
          <w:tcPr>
            <w:tcW w:type="dxa" w:w="1805"/>
            <w:vMerge/>
            <w:tcBorders/>
          </w:tcPr>
          <w:p/>
        </w:tc>
        <w:tc>
          <w:tcPr>
            <w:tcW w:type="dxa" w:w="1360"/>
            <w:tcBorders/>
            <w:tcMar>
              <w:start w:w="0" w:type="dxa"/>
              <w:end w:w="0" w:type="dxa"/>
            </w:tcMar>
          </w:tcPr>
          <w:p>
            <w:pPr>
              <w:autoSpaceDN w:val="0"/>
              <w:autoSpaceDE w:val="0"/>
              <w:widowControl/>
              <w:spacing w:line="235" w:lineRule="auto" w:before="8" w:after="0"/>
              <w:ind w:left="0" w:right="122" w:firstLine="0"/>
              <w:jc w:val="right"/>
            </w:pPr>
            <w:r>
              <w:rPr>
                <w:rFonts w:ascii="Arial" w:hAnsi="Arial" w:eastAsia="Arial"/>
                <w:b w:val="0"/>
                <w:i w:val="0"/>
                <w:color w:val="000000"/>
                <w:sz w:val="18"/>
              </w:rPr>
              <w:t xml:space="preserve">844 </w:t>
            </w:r>
          </w:p>
        </w:tc>
        <w:tc>
          <w:tcPr>
            <w:tcW w:type="dxa" w:w="1362"/>
            <w:tcBorders/>
            <w:tcMar>
              <w:start w:w="0" w:type="dxa"/>
              <w:end w:w="0" w:type="dxa"/>
            </w:tcMar>
          </w:tcPr>
          <w:p>
            <w:pPr>
              <w:autoSpaceDN w:val="0"/>
              <w:autoSpaceDE w:val="0"/>
              <w:widowControl/>
              <w:spacing w:line="235" w:lineRule="auto" w:before="8" w:after="0"/>
              <w:ind w:left="0" w:right="122" w:firstLine="0"/>
              <w:jc w:val="right"/>
            </w:pPr>
            <w:r>
              <w:rPr>
                <w:rFonts w:ascii="Arial" w:hAnsi="Arial" w:eastAsia="Arial"/>
                <w:b w:val="0"/>
                <w:i w:val="0"/>
                <w:color w:val="000000"/>
                <w:sz w:val="18"/>
              </w:rPr>
              <w:t xml:space="preserve">4,001,739 </w:t>
            </w:r>
          </w:p>
        </w:tc>
        <w:tc>
          <w:tcPr>
            <w:tcW w:type="dxa" w:w="1472"/>
            <w:tcBorders/>
            <w:tcMar>
              <w:start w:w="0" w:type="dxa"/>
              <w:end w:w="0" w:type="dxa"/>
            </w:tcMar>
          </w:tcPr>
          <w:p>
            <w:pPr>
              <w:autoSpaceDN w:val="0"/>
              <w:autoSpaceDE w:val="0"/>
              <w:widowControl/>
              <w:spacing w:line="235" w:lineRule="auto" w:before="8" w:after="0"/>
              <w:ind w:left="0" w:right="58" w:firstLine="0"/>
              <w:jc w:val="right"/>
            </w:pPr>
            <w:r>
              <w:rPr>
                <w:rFonts w:ascii="Arial" w:hAnsi="Arial" w:eastAsia="Arial"/>
                <w:b w:val="0"/>
                <w:i w:val="0"/>
                <w:color w:val="000000"/>
                <w:sz w:val="18"/>
              </w:rPr>
              <w:t xml:space="preserve">(4,001,539 ) </w:t>
            </w:r>
          </w:p>
        </w:tc>
        <w:tc>
          <w:tcPr>
            <w:tcW w:type="dxa" w:w="1362"/>
            <w:tcBorders/>
            <w:tcMar>
              <w:start w:w="0" w:type="dxa"/>
              <w:end w:w="0" w:type="dxa"/>
            </w:tcMar>
          </w:tcPr>
          <w:p>
            <w:pPr>
              <w:autoSpaceDN w:val="0"/>
              <w:autoSpaceDE w:val="0"/>
              <w:widowControl/>
              <w:spacing w:line="235" w:lineRule="auto" w:before="8" w:after="0"/>
              <w:ind w:left="0" w:right="0" w:firstLine="0"/>
              <w:jc w:val="right"/>
            </w:pPr>
            <w:r>
              <w:rPr>
                <w:rFonts w:ascii="Arial" w:hAnsi="Arial" w:eastAsia="Arial"/>
                <w:b w:val="0"/>
                <w:i w:val="0"/>
                <w:color w:val="000000"/>
                <w:sz w:val="18"/>
              </w:rPr>
              <w:t>1,044</w:t>
            </w:r>
          </w:p>
        </w:tc>
      </w:tr>
      <w:tr>
        <w:trPr>
          <w:trHeight w:hRule="exact" w:val="276"/>
        </w:trPr>
        <w:tc>
          <w:tcPr>
            <w:tcW w:type="dxa" w:w="2978"/>
            <w:tcBorders>
              <w:bottom w:sz="4.0" w:val="single" w:color="#000000"/>
            </w:tcBorders>
            <w:tcMar>
              <w:start w:w="0" w:type="dxa"/>
              <w:end w:w="0" w:type="dxa"/>
            </w:tcMar>
          </w:tcPr>
          <w:p>
            <w:pPr>
              <w:autoSpaceDN w:val="0"/>
              <w:autoSpaceDE w:val="0"/>
              <w:widowControl/>
              <w:spacing w:line="180" w:lineRule="exact" w:before="62" w:after="0"/>
              <w:ind w:left="198" w:right="0" w:firstLine="0"/>
              <w:jc w:val="left"/>
            </w:pPr>
            <w:r>
              <w:rPr>
                <w:rFonts w:ascii="黑体" w:hAnsi="黑体" w:eastAsia="黑体"/>
                <w:b w:val="0"/>
                <w:i w:val="0"/>
                <w:color w:val="000000"/>
                <w:sz w:val="18"/>
              </w:rPr>
              <w:t>强积金</w:t>
            </w:r>
          </w:p>
        </w:tc>
        <w:tc>
          <w:tcPr>
            <w:tcW w:type="dxa" w:w="1360"/>
            <w:tcBorders>
              <w:bottom w:sz="4.0" w:val="single" w:color="#000000"/>
            </w:tcBorders>
            <w:tcMar>
              <w:start w:w="0" w:type="dxa"/>
              <w:end w:w="0" w:type="dxa"/>
            </w:tcMar>
          </w:tcPr>
          <w:p>
            <w:pPr>
              <w:autoSpaceDN w:val="0"/>
              <w:autoSpaceDE w:val="0"/>
              <w:widowControl/>
              <w:spacing w:line="235" w:lineRule="auto" w:before="68" w:after="0"/>
              <w:ind w:left="0" w:right="122" w:firstLine="0"/>
              <w:jc w:val="right"/>
            </w:pPr>
            <w:r>
              <w:rPr>
                <w:rFonts w:ascii="Arial" w:hAnsi="Arial" w:eastAsia="Arial"/>
                <w:b w:val="0"/>
                <w:i w:val="0"/>
                <w:color w:val="000000"/>
                <w:sz w:val="18"/>
              </w:rPr>
              <w:t xml:space="preserve">- </w:t>
            </w:r>
          </w:p>
        </w:tc>
        <w:tc>
          <w:tcPr>
            <w:tcW w:type="dxa" w:w="1362"/>
            <w:tcBorders>
              <w:bottom w:sz="4.0" w:val="single" w:color="#000000"/>
            </w:tcBorders>
            <w:tcMar>
              <w:start w:w="0" w:type="dxa"/>
              <w:end w:w="0" w:type="dxa"/>
            </w:tcMar>
          </w:tcPr>
          <w:p>
            <w:pPr>
              <w:autoSpaceDN w:val="0"/>
              <w:autoSpaceDE w:val="0"/>
              <w:widowControl/>
              <w:spacing w:line="235" w:lineRule="auto" w:before="68" w:after="0"/>
              <w:ind w:left="0" w:right="122" w:firstLine="0"/>
              <w:jc w:val="right"/>
            </w:pPr>
            <w:r>
              <w:rPr>
                <w:rFonts w:ascii="Arial" w:hAnsi="Arial" w:eastAsia="Arial"/>
                <w:b w:val="0"/>
                <w:i w:val="0"/>
                <w:color w:val="000000"/>
                <w:sz w:val="18"/>
              </w:rPr>
              <w:t xml:space="preserve">856,491 </w:t>
            </w:r>
          </w:p>
        </w:tc>
        <w:tc>
          <w:tcPr>
            <w:tcW w:type="dxa" w:w="1472"/>
            <w:tcBorders>
              <w:bottom w:sz="4.0" w:val="single" w:color="#000000"/>
            </w:tcBorders>
            <w:tcMar>
              <w:start w:w="0" w:type="dxa"/>
              <w:end w:w="0" w:type="dxa"/>
            </w:tcMar>
          </w:tcPr>
          <w:p>
            <w:pPr>
              <w:autoSpaceDN w:val="0"/>
              <w:autoSpaceDE w:val="0"/>
              <w:widowControl/>
              <w:spacing w:line="235" w:lineRule="auto" w:before="68" w:after="0"/>
              <w:ind w:left="0" w:right="58" w:firstLine="0"/>
              <w:jc w:val="right"/>
            </w:pPr>
            <w:r>
              <w:rPr>
                <w:rFonts w:ascii="Arial" w:hAnsi="Arial" w:eastAsia="Arial"/>
                <w:b w:val="0"/>
                <w:i w:val="0"/>
                <w:color w:val="000000"/>
                <w:sz w:val="18"/>
              </w:rPr>
              <w:t xml:space="preserve">(856,491 ) </w:t>
            </w:r>
          </w:p>
        </w:tc>
        <w:tc>
          <w:tcPr>
            <w:tcW w:type="dxa" w:w="1362"/>
            <w:tcBorders>
              <w:bottom w:sz="4.0" w:val="single" w:color="#000000"/>
            </w:tcBorders>
            <w:tcMar>
              <w:start w:w="0" w:type="dxa"/>
              <w:end w:w="0" w:type="dxa"/>
            </w:tcMar>
          </w:tcPr>
          <w:p>
            <w:pPr>
              <w:autoSpaceDN w:val="0"/>
              <w:autoSpaceDE w:val="0"/>
              <w:widowControl/>
              <w:spacing w:line="235" w:lineRule="auto" w:before="68" w:after="0"/>
              <w:ind w:left="0" w:right="2" w:firstLine="0"/>
              <w:jc w:val="right"/>
            </w:pPr>
            <w:r>
              <w:rPr>
                <w:rFonts w:ascii="Arial" w:hAnsi="Arial" w:eastAsia="Arial"/>
                <w:b w:val="0"/>
                <w:i w:val="0"/>
                <w:color w:val="000000"/>
                <w:sz w:val="18"/>
              </w:rPr>
              <w:t>-</w:t>
            </w:r>
          </w:p>
        </w:tc>
      </w:tr>
      <w:tr>
        <w:trPr>
          <w:trHeight w:hRule="exact" w:val="516"/>
        </w:trPr>
        <w:tc>
          <w:tcPr>
            <w:tcW w:type="dxa" w:w="2978"/>
            <w:tcBorders>
              <w:top w:sz="4.0" w:val="single" w:color="#000000"/>
              <w:bottom w:sz="4.0" w:val="single" w:color="#000000"/>
            </w:tcBorders>
            <w:tcMar>
              <w:start w:w="0" w:type="dxa"/>
              <w:end w:w="0" w:type="dxa"/>
            </w:tcMar>
          </w:tcPr>
          <w:p>
            <w:pPr>
              <w:autoSpaceDN w:val="0"/>
              <w:autoSpaceDE w:val="0"/>
              <w:widowControl/>
              <w:spacing w:line="180" w:lineRule="exact" w:before="296" w:after="0"/>
              <w:ind w:left="198" w:right="0" w:firstLine="0"/>
              <w:jc w:val="left"/>
            </w:pPr>
            <w:r>
              <w:rPr>
                <w:rFonts w:ascii="黑体" w:hAnsi="黑体" w:eastAsia="黑体"/>
                <w:b w:val="0"/>
                <w:i w:val="0"/>
                <w:color w:val="000000"/>
                <w:sz w:val="18"/>
              </w:rPr>
              <w:t>合计</w:t>
            </w:r>
          </w:p>
        </w:tc>
        <w:tc>
          <w:tcPr>
            <w:tcW w:type="dxa" w:w="1360"/>
            <w:tcBorders>
              <w:top w:sz="4.0" w:val="single" w:color="#000000"/>
              <w:bottom w:sz="4.0" w:val="single" w:color="#000000"/>
            </w:tcBorders>
            <w:tcMar>
              <w:start w:w="0" w:type="dxa"/>
              <w:end w:w="0" w:type="dxa"/>
            </w:tcMar>
          </w:tcPr>
          <w:p>
            <w:pPr>
              <w:autoSpaceDN w:val="0"/>
              <w:autoSpaceDE w:val="0"/>
              <w:widowControl/>
              <w:spacing w:line="235" w:lineRule="auto" w:before="302" w:after="0"/>
              <w:ind w:left="0" w:right="122" w:firstLine="0"/>
              <w:jc w:val="right"/>
            </w:pPr>
            <w:r>
              <w:rPr>
                <w:rFonts w:ascii="Arial" w:hAnsi="Arial" w:eastAsia="Arial"/>
                <w:b w:val="0"/>
                <w:i w:val="0"/>
                <w:color w:val="000000"/>
                <w:sz w:val="18"/>
              </w:rPr>
              <w:t xml:space="preserve">2,678,499 </w:t>
            </w:r>
          </w:p>
        </w:tc>
        <w:tc>
          <w:tcPr>
            <w:tcW w:type="dxa" w:w="1362"/>
            <w:tcBorders>
              <w:top w:sz="4.0" w:val="single" w:color="#000000"/>
              <w:bottom w:sz="4.0" w:val="single" w:color="#000000"/>
            </w:tcBorders>
            <w:tcMar>
              <w:start w:w="0" w:type="dxa"/>
              <w:end w:w="0" w:type="dxa"/>
            </w:tcMar>
          </w:tcPr>
          <w:p>
            <w:pPr>
              <w:autoSpaceDN w:val="0"/>
              <w:autoSpaceDE w:val="0"/>
              <w:widowControl/>
              <w:spacing w:line="235" w:lineRule="auto" w:before="302" w:after="0"/>
              <w:ind w:left="0" w:right="0" w:firstLine="0"/>
              <w:jc w:val="center"/>
            </w:pPr>
            <w:r>
              <w:rPr>
                <w:rFonts w:ascii="Arial" w:hAnsi="Arial" w:eastAsia="Arial"/>
                <w:b w:val="0"/>
                <w:i w:val="0"/>
                <w:color w:val="000000"/>
                <w:sz w:val="18"/>
              </w:rPr>
              <w:t xml:space="preserve">108,011,351 </w:t>
            </w:r>
          </w:p>
        </w:tc>
        <w:tc>
          <w:tcPr>
            <w:tcW w:type="dxa" w:w="1472"/>
            <w:tcBorders>
              <w:top w:sz="4.0" w:val="single" w:color="#000000"/>
              <w:bottom w:sz="4.0" w:val="single" w:color="#000000"/>
            </w:tcBorders>
            <w:tcMar>
              <w:start w:w="0" w:type="dxa"/>
              <w:end w:w="0" w:type="dxa"/>
            </w:tcMar>
          </w:tcPr>
          <w:p>
            <w:pPr>
              <w:autoSpaceDN w:val="0"/>
              <w:autoSpaceDE w:val="0"/>
              <w:widowControl/>
              <w:spacing w:line="235" w:lineRule="auto" w:before="302" w:after="0"/>
              <w:ind w:left="240" w:right="0" w:firstLine="0"/>
              <w:jc w:val="left"/>
            </w:pPr>
            <w:r>
              <w:rPr>
                <w:rFonts w:ascii="Arial" w:hAnsi="Arial" w:eastAsia="Arial"/>
                <w:b w:val="0"/>
                <w:i w:val="0"/>
                <w:color w:val="000000"/>
                <w:sz w:val="18"/>
              </w:rPr>
              <w:t xml:space="preserve">(107,964,043 ) </w:t>
            </w:r>
          </w:p>
        </w:tc>
        <w:tc>
          <w:tcPr>
            <w:tcW w:type="dxa" w:w="1362"/>
            <w:tcBorders>
              <w:top w:sz="4.0" w:val="single" w:color="#000000"/>
              <w:bottom w:sz="4.0" w:val="single" w:color="#000000"/>
            </w:tcBorders>
            <w:tcMar>
              <w:start w:w="0" w:type="dxa"/>
              <w:end w:w="0" w:type="dxa"/>
            </w:tcMar>
          </w:tcPr>
          <w:p>
            <w:pPr>
              <w:autoSpaceDN w:val="0"/>
              <w:autoSpaceDE w:val="0"/>
              <w:widowControl/>
              <w:spacing w:line="235" w:lineRule="auto" w:before="302" w:after="0"/>
              <w:ind w:left="0" w:right="0" w:firstLine="0"/>
              <w:jc w:val="right"/>
            </w:pPr>
            <w:r>
              <w:rPr>
                <w:rFonts w:ascii="Arial" w:hAnsi="Arial" w:eastAsia="Arial"/>
                <w:b w:val="0"/>
                <w:i w:val="0"/>
                <w:color w:val="000000"/>
                <w:sz w:val="18"/>
              </w:rPr>
              <w:t>2,725,807</w:t>
            </w:r>
          </w:p>
        </w:tc>
      </w:tr>
    </w:tbl>
    <w:p>
      <w:pPr>
        <w:autoSpaceDN w:val="0"/>
        <w:autoSpaceDE w:val="0"/>
        <w:widowControl/>
        <w:spacing w:line="246" w:lineRule="exact" w:before="296" w:after="26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c</w:t>
      </w:r>
      <w:r>
        <w:rPr>
          <w:rFonts w:ascii="黑体" w:hAnsi="黑体" w:eastAsia="黑体"/>
          <w:b w:val="0"/>
          <w:i w:val="0"/>
          <w:color w:val="000000"/>
          <w:sz w:val="22"/>
        </w:rPr>
        <w:t>）</w:t>
      </w:r>
      <w:r>
        <w:rPr>
          <w:rFonts w:ascii="黑体" w:hAnsi="黑体" w:eastAsia="黑体"/>
          <w:b w:val="0"/>
          <w:i w:val="0"/>
          <w:color w:val="000000"/>
          <w:sz w:val="22"/>
        </w:rPr>
        <w:t>辞退福利</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406"/>
        </w:trPr>
        <w:tc>
          <w:tcPr>
            <w:tcW w:type="dxa" w:w="2964"/>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66" w:after="0"/>
              <w:ind w:left="198" w:right="0" w:firstLine="0"/>
              <w:jc w:val="left"/>
            </w:pPr>
            <w:r>
              <w:rPr>
                <w:rFonts w:ascii="黑体" w:hAnsi="黑体" w:eastAsia="黑体"/>
                <w:b w:val="0"/>
                <w:i w:val="0"/>
                <w:color w:val="000000"/>
                <w:sz w:val="18"/>
              </w:rPr>
              <w:t>遣散费</w:t>
            </w:r>
          </w:p>
        </w:tc>
        <w:tc>
          <w:tcPr>
            <w:tcW w:type="dxa" w:w="1360"/>
            <w:tcBorders/>
            <w:tcMar>
              <w:start w:w="0" w:type="dxa"/>
              <w:end w:w="0" w:type="dxa"/>
            </w:tcMar>
          </w:tcPr>
          <w:p>
            <w:pPr>
              <w:autoSpaceDN w:val="0"/>
              <w:autoSpaceDE w:val="0"/>
              <w:widowControl/>
              <w:spacing w:line="180" w:lineRule="exact" w:before="60" w:after="0"/>
              <w:ind w:left="0" w:right="158" w:firstLine="0"/>
              <w:jc w:val="right"/>
            </w:pPr>
            <w:r>
              <w:rPr>
                <w:rFonts w:ascii="黑体" w:hAnsi="黑体" w:eastAsia="黑体"/>
                <w:b w:val="0"/>
                <w:i w:val="0"/>
                <w:color w:val="000000"/>
                <w:sz w:val="18"/>
              </w:rPr>
              <w:t>年初余额</w:t>
            </w:r>
          </w:p>
        </w:tc>
        <w:tc>
          <w:tcPr>
            <w:tcW w:type="dxa" w:w="1362"/>
            <w:tcBorders/>
            <w:tcMar>
              <w:start w:w="0" w:type="dxa"/>
              <w:end w:w="0" w:type="dxa"/>
            </w:tcMar>
          </w:tcPr>
          <w:p>
            <w:pPr>
              <w:autoSpaceDN w:val="0"/>
              <w:autoSpaceDE w:val="0"/>
              <w:widowControl/>
              <w:spacing w:line="180" w:lineRule="exact" w:before="60" w:after="0"/>
              <w:ind w:left="0" w:right="158" w:firstLine="0"/>
              <w:jc w:val="right"/>
            </w:pPr>
            <w:r>
              <w:rPr>
                <w:rFonts w:ascii="黑体" w:hAnsi="黑体" w:eastAsia="黑体"/>
                <w:b w:val="0"/>
                <w:i w:val="0"/>
                <w:color w:val="000000"/>
                <w:sz w:val="18"/>
              </w:rPr>
              <w:t>本年增加</w:t>
            </w:r>
          </w:p>
        </w:tc>
        <w:tc>
          <w:tcPr>
            <w:tcW w:type="dxa" w:w="1470"/>
            <w:tcBorders/>
            <w:tcMar>
              <w:start w:w="0" w:type="dxa"/>
              <w:end w:w="0" w:type="dxa"/>
            </w:tcMar>
          </w:tcPr>
          <w:p>
            <w:pPr>
              <w:autoSpaceDN w:val="0"/>
              <w:autoSpaceDE w:val="0"/>
              <w:widowControl/>
              <w:spacing w:line="180" w:lineRule="exact" w:before="60" w:after="0"/>
              <w:ind w:left="0" w:right="156" w:firstLine="0"/>
              <w:jc w:val="right"/>
            </w:pPr>
            <w:r>
              <w:rPr>
                <w:rFonts w:ascii="黑体" w:hAnsi="黑体" w:eastAsia="黑体"/>
                <w:b w:val="0"/>
                <w:i w:val="0"/>
                <w:color w:val="000000"/>
                <w:sz w:val="18"/>
              </w:rPr>
              <w:t>本年减少</w:t>
            </w:r>
          </w:p>
        </w:tc>
        <w:tc>
          <w:tcPr>
            <w:tcW w:type="dxa" w:w="1378"/>
            <w:tcBorders/>
            <w:tcMar>
              <w:start w:w="0" w:type="dxa"/>
              <w:end w:w="0" w:type="dxa"/>
            </w:tcMar>
          </w:tcPr>
          <w:p>
            <w:pPr>
              <w:autoSpaceDN w:val="0"/>
              <w:autoSpaceDE w:val="0"/>
              <w:widowControl/>
              <w:spacing w:line="180" w:lineRule="exact" w:before="60" w:after="0"/>
              <w:ind w:left="0" w:right="2" w:firstLine="0"/>
              <w:jc w:val="right"/>
            </w:pPr>
            <w:r>
              <w:rPr>
                <w:rFonts w:ascii="黑体" w:hAnsi="黑体" w:eastAsia="黑体"/>
                <w:b w:val="0"/>
                <w:i w:val="0"/>
                <w:color w:val="000000"/>
                <w:sz w:val="18"/>
              </w:rPr>
              <w:t>年末余额</w:t>
            </w:r>
          </w:p>
        </w:tc>
      </w:tr>
      <w:tr>
        <w:trPr>
          <w:trHeight w:hRule="exact" w:val="372"/>
        </w:trPr>
        <w:tc>
          <w:tcPr>
            <w:tcW w:type="dxa" w:w="1805"/>
            <w:vMerge/>
            <w:tcBorders>
              <w:bottom w:sz="4.0" w:val="single" w:color="#000000"/>
            </w:tcBorders>
          </w:tcPr>
          <w:p/>
        </w:tc>
        <w:tc>
          <w:tcPr>
            <w:tcW w:type="dxa" w:w="1360"/>
            <w:tcBorders>
              <w:bottom w:sz="4.0" w:val="single" w:color="#000000"/>
            </w:tcBorders>
            <w:tcMar>
              <w:start w:w="0" w:type="dxa"/>
              <w:end w:w="0" w:type="dxa"/>
            </w:tcMar>
          </w:tcPr>
          <w:p>
            <w:pPr>
              <w:autoSpaceDN w:val="0"/>
              <w:autoSpaceDE w:val="0"/>
              <w:widowControl/>
              <w:spacing w:line="233" w:lineRule="auto" w:before="168" w:after="0"/>
              <w:ind w:left="0" w:right="108" w:firstLine="0"/>
              <w:jc w:val="right"/>
            </w:pPr>
            <w:r>
              <w:rPr>
                <w:rFonts w:ascii="Arial" w:hAnsi="Arial" w:eastAsia="Arial"/>
                <w:b w:val="0"/>
                <w:i w:val="0"/>
                <w:color w:val="000000"/>
                <w:sz w:val="18"/>
              </w:rPr>
              <w:t xml:space="preserve">- </w:t>
            </w:r>
          </w:p>
        </w:tc>
        <w:tc>
          <w:tcPr>
            <w:tcW w:type="dxa" w:w="1362"/>
            <w:tcBorders>
              <w:bottom w:sz="4.0" w:val="single" w:color="#000000"/>
            </w:tcBorders>
            <w:tcMar>
              <w:start w:w="0" w:type="dxa"/>
              <w:end w:w="0" w:type="dxa"/>
            </w:tcMar>
          </w:tcPr>
          <w:p>
            <w:pPr>
              <w:autoSpaceDN w:val="0"/>
              <w:autoSpaceDE w:val="0"/>
              <w:widowControl/>
              <w:spacing w:line="233" w:lineRule="auto" w:before="168" w:after="0"/>
              <w:ind w:left="0" w:right="108" w:firstLine="0"/>
              <w:jc w:val="right"/>
            </w:pPr>
            <w:r>
              <w:rPr>
                <w:rFonts w:ascii="Arial" w:hAnsi="Arial" w:eastAsia="Arial"/>
                <w:b w:val="0"/>
                <w:i w:val="0"/>
                <w:color w:val="000000"/>
                <w:sz w:val="18"/>
              </w:rPr>
              <w:t xml:space="preserve">3,430,898 </w:t>
            </w:r>
          </w:p>
        </w:tc>
        <w:tc>
          <w:tcPr>
            <w:tcW w:type="dxa" w:w="1470"/>
            <w:tcBorders>
              <w:bottom w:sz="4.0" w:val="single" w:color="#000000"/>
            </w:tcBorders>
            <w:tcMar>
              <w:start w:w="0" w:type="dxa"/>
              <w:end w:w="0" w:type="dxa"/>
            </w:tcMar>
          </w:tcPr>
          <w:p>
            <w:pPr>
              <w:autoSpaceDN w:val="0"/>
              <w:autoSpaceDE w:val="0"/>
              <w:widowControl/>
              <w:spacing w:line="233" w:lineRule="auto" w:before="168" w:after="0"/>
              <w:ind w:left="0" w:right="42" w:firstLine="0"/>
              <w:jc w:val="right"/>
            </w:pPr>
            <w:r>
              <w:rPr>
                <w:rFonts w:ascii="Arial" w:hAnsi="Arial" w:eastAsia="Arial"/>
                <w:b w:val="0"/>
                <w:i w:val="0"/>
                <w:color w:val="000000"/>
                <w:sz w:val="18"/>
              </w:rPr>
              <w:t xml:space="preserve">(3,430,898 ) </w:t>
            </w:r>
          </w:p>
        </w:tc>
        <w:tc>
          <w:tcPr>
            <w:tcW w:type="dxa" w:w="1378"/>
            <w:tcBorders>
              <w:bottom w:sz="4.0" w:val="single" w:color="#000000"/>
            </w:tcBorders>
            <w:tcMar>
              <w:start w:w="0" w:type="dxa"/>
              <w:end w:w="0" w:type="dxa"/>
            </w:tcMar>
          </w:tcPr>
          <w:p>
            <w:pPr>
              <w:autoSpaceDN w:val="0"/>
              <w:autoSpaceDE w:val="0"/>
              <w:widowControl/>
              <w:spacing w:line="233" w:lineRule="auto" w:before="168" w:after="0"/>
              <w:ind w:left="0" w:right="2" w:firstLine="0"/>
              <w:jc w:val="right"/>
            </w:pPr>
            <w:r>
              <w:rPr>
                <w:rFonts w:ascii="Arial" w:hAnsi="Arial" w:eastAsia="Arial"/>
                <w:b w:val="0"/>
                <w:i w:val="0"/>
                <w:color w:val="000000"/>
                <w:sz w:val="18"/>
              </w:rPr>
              <w:t>-</w:t>
            </w:r>
          </w:p>
        </w:tc>
      </w:tr>
    </w:tbl>
    <w:p>
      <w:pPr>
        <w:autoSpaceDN w:val="0"/>
        <w:autoSpaceDE w:val="0"/>
        <w:widowControl/>
        <w:spacing w:line="233" w:lineRule="auto" w:before="3806" w:after="0"/>
        <w:ind w:left="0" w:right="0" w:firstLine="0"/>
        <w:jc w:val="center"/>
      </w:pPr>
      <w:r>
        <w:rPr>
          <w:rFonts w:ascii="Arial" w:hAnsi="Arial" w:eastAsia="Arial"/>
          <w:b w:val="0"/>
          <w:i w:val="0"/>
          <w:color w:val="000000"/>
          <w:sz w:val="20"/>
        </w:rPr>
        <w:t xml:space="preserve">226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58"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Mar>
              <w:start w:w="0" w:type="dxa"/>
              <w:end w:w="0" w:type="dxa"/>
            </w:tcMar>
          </w:tcPr>
          <w:p>
            <w:pPr>
              <w:autoSpaceDN w:val="0"/>
              <w:autoSpaceDE w:val="0"/>
              <w:widowControl/>
              <w:spacing w:line="266" w:lineRule="exact" w:before="1064" w:after="0"/>
              <w:ind w:left="226"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94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28.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应交税费</w:t>
            </w:r>
          </w:p>
        </w:tc>
        <w:tc>
          <w:tcPr>
            <w:tcW w:type="dxa" w:w="2256"/>
            <w:vMerge/>
            <w:tcBorders/>
          </w:tcPr>
          <w:p/>
        </w:tc>
        <w:tc>
          <w:tcPr>
            <w:tcW w:type="dxa" w:w="2256"/>
            <w:vMerge/>
            <w:tcBorders/>
          </w:tcPr>
          <w:p/>
        </w:tc>
      </w:tr>
      <w:tr>
        <w:trPr>
          <w:trHeight w:hRule="exact" w:val="17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310" w:after="0"/>
              <w:ind w:left="198" w:right="0" w:firstLine="0"/>
              <w:jc w:val="left"/>
            </w:pPr>
            <w:r>
              <w:rPr>
                <w:rFonts w:ascii="黑体" w:hAnsi="黑体" w:eastAsia="黑体"/>
                <w:b w:val="0"/>
                <w:i w:val="0"/>
                <w:color w:val="000000"/>
                <w:sz w:val="22"/>
              </w:rPr>
              <w:t>应交企业所得税</w:t>
            </w:r>
          </w:p>
        </w:tc>
        <w:tc>
          <w:tcPr>
            <w:tcW w:type="dxa" w:w="187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318" w:after="0"/>
              <w:ind w:left="0" w:right="0" w:firstLine="0"/>
              <w:jc w:val="right"/>
            </w:pPr>
            <w:r>
              <w:rPr>
                <w:rFonts w:ascii="Arial" w:hAnsi="Arial" w:eastAsia="Arial"/>
                <w:b w:val="0"/>
                <w:i w:val="0"/>
                <w:color w:val="000000"/>
                <w:sz w:val="22"/>
              </w:rPr>
              <w:t>34,709,122</w:t>
            </w:r>
          </w:p>
        </w:tc>
        <w:tc>
          <w:tcPr>
            <w:tcW w:type="dxa" w:w="2256"/>
            <w:vMerge/>
            <w:tcBorders/>
          </w:tcPr>
          <w:p/>
        </w:tc>
      </w:tr>
      <w:tr>
        <w:trPr>
          <w:trHeight w:hRule="exact" w:val="368"/>
        </w:trPr>
        <w:tc>
          <w:tcPr>
            <w:tcW w:type="dxa" w:w="4512"/>
            <w:gridSpan w:val="2"/>
            <w:vMerge/>
            <w:tcBorders/>
          </w:tcPr>
          <w:p/>
        </w:tc>
        <w:tc>
          <w:tcPr>
            <w:tcW w:type="dxa" w:w="225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46" w:after="0"/>
              <w:ind w:left="0" w:right="0" w:firstLine="0"/>
              <w:jc w:val="right"/>
            </w:pPr>
            <w:r>
              <w:rPr>
                <w:rFonts w:ascii="Arial" w:hAnsi="Arial" w:eastAsia="Arial"/>
                <w:b w:val="0"/>
                <w:i w:val="0"/>
                <w:color w:val="000000"/>
                <w:sz w:val="22"/>
              </w:rPr>
              <w:t>35,915,730</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应交代扣代缴个人所得税</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35,655,346</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33,620,607</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应交增值税</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10,196,068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7,870,153</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2"/>
        </w:trPr>
        <w:tc>
          <w:tcPr>
            <w:tcW w:type="dxa" w:w="4512"/>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3,116,700</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2,244,182</w:t>
            </w:r>
          </w:p>
        </w:tc>
      </w:tr>
      <w:tr>
        <w:trPr>
          <w:trHeight w:hRule="exact" w:val="552"/>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83,677,236</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79,650,672</w:t>
            </w:r>
          </w:p>
        </w:tc>
      </w:tr>
      <w:tr>
        <w:trPr>
          <w:trHeight w:hRule="exact" w:val="1082"/>
        </w:trPr>
        <w:tc>
          <w:tcPr>
            <w:tcW w:type="dxa" w:w="76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29. </w:t>
            </w:r>
          </w:p>
        </w:tc>
        <w:tc>
          <w:tcPr>
            <w:tcW w:type="dxa" w:w="3804"/>
            <w:tcBorders>
              <w:top w:sz="4.0" w:val="single" w:color="#000000"/>
            </w:tcBorders>
            <w:tcMar>
              <w:start w:w="0" w:type="dxa"/>
              <w:end w:w="0" w:type="dxa"/>
            </w:tcMar>
          </w:tcPr>
          <w:p>
            <w:pPr>
              <w:autoSpaceDN w:val="0"/>
              <w:autoSpaceDE w:val="0"/>
              <w:widowControl/>
              <w:spacing w:line="220" w:lineRule="exact" w:before="302" w:after="0"/>
              <w:ind w:left="166" w:right="0" w:firstLine="0"/>
              <w:jc w:val="left"/>
            </w:pPr>
            <w:r>
              <w:rPr>
                <w:rFonts w:ascii="黑体" w:hAnsi="黑体" w:eastAsia="黑体"/>
                <w:b w:val="0"/>
                <w:i w:val="0"/>
                <w:color w:val="000000"/>
                <w:sz w:val="22"/>
              </w:rPr>
              <w:t>应付款项</w:t>
            </w:r>
          </w:p>
        </w:tc>
        <w:tc>
          <w:tcPr>
            <w:tcW w:type="dxa" w:w="1870"/>
            <w:tcBorders>
              <w:top w:sz="4.0" w:val="single" w:color="#000000"/>
            </w:tcBorders>
            <w:tcMar>
              <w:start w:w="0" w:type="dxa"/>
              <w:end w:w="0" w:type="dxa"/>
            </w:tcMar>
          </w:tcPr>
          <w:p>
            <w:pPr>
              <w:autoSpaceDN w:val="0"/>
              <w:autoSpaceDE w:val="0"/>
              <w:widowControl/>
              <w:spacing w:line="246" w:lineRule="exact" w:before="83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4.0" w:val="single" w:color="#000000"/>
            </w:tcBorders>
            <w:tcMar>
              <w:start w:w="0" w:type="dxa"/>
              <w:end w:w="0" w:type="dxa"/>
            </w:tcMar>
          </w:tcPr>
          <w:p>
            <w:pPr>
              <w:autoSpaceDN w:val="0"/>
              <w:autoSpaceDE w:val="0"/>
              <w:widowControl/>
              <w:spacing w:line="262" w:lineRule="exact" w:before="816" w:after="0"/>
              <w:ind w:left="226"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20"/>
        </w:trPr>
        <w:tc>
          <w:tcPr>
            <w:tcW w:type="dxa" w:w="4564"/>
            <w:gridSpan w:val="2"/>
            <w:tcBorders/>
            <w:tcMar>
              <w:start w:w="0" w:type="dxa"/>
              <w:end w:w="0" w:type="dxa"/>
            </w:tcMar>
            <w:tcMar>
              <w:start w:w="0" w:type="dxa"/>
              <w:end w:w="0" w:type="dxa"/>
            </w:tcMar>
          </w:tcPr>
          <w:p>
            <w:pPr>
              <w:autoSpaceDN w:val="0"/>
              <w:autoSpaceDE w:val="0"/>
              <w:widowControl/>
              <w:spacing w:line="220" w:lineRule="exact" w:before="300" w:after="0"/>
              <w:ind w:left="198" w:right="0" w:firstLine="0"/>
              <w:jc w:val="left"/>
            </w:pPr>
            <w:r>
              <w:rPr>
                <w:rFonts w:ascii="黑体" w:hAnsi="黑体" w:eastAsia="黑体"/>
                <w:b w:val="0"/>
                <w:i w:val="0"/>
                <w:color w:val="000000"/>
                <w:sz w:val="22"/>
              </w:rPr>
              <w:t>应付仓单采购款</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190,000,000</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应付货币经纪费用</w:t>
            </w:r>
          </w:p>
        </w:tc>
        <w:tc>
          <w:tcPr>
            <w:tcW w:type="dxa" w:w="2256"/>
            <w:vMerge/>
            <w:tcBorders/>
          </w:tcPr>
          <w:p/>
        </w:tc>
        <w:tc>
          <w:tcPr>
            <w:tcW w:type="dxa" w:w="2256"/>
            <w:vMerge/>
            <w:tcBorders/>
          </w:tcPr>
          <w:p/>
        </w:tc>
      </w:tr>
      <w:tr>
        <w:trPr>
          <w:trHeight w:hRule="exact" w:val="248"/>
        </w:trPr>
        <w:tc>
          <w:tcPr>
            <w:tcW w:type="dxa" w:w="4512"/>
            <w:gridSpan w:val="2"/>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51,849,460</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110,986,728</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2" w:lineRule="exact" w:before="50" w:after="0"/>
              <w:ind w:left="198" w:right="0" w:firstLine="0"/>
              <w:jc w:val="left"/>
            </w:pPr>
            <w:r>
              <w:rPr>
                <w:rFonts w:ascii="黑体" w:hAnsi="黑体" w:eastAsia="黑体"/>
                <w:b w:val="0"/>
                <w:i w:val="0"/>
                <w:color w:val="000000"/>
                <w:sz w:val="22"/>
              </w:rPr>
              <w:t>应付结算费用</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32,088,216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54,151,414</w:t>
            </w:r>
          </w:p>
        </w:tc>
      </w:tr>
      <w:tr>
        <w:trPr>
          <w:trHeight w:hRule="exact" w:val="4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应付客户款项</w:t>
            </w:r>
          </w:p>
        </w:tc>
        <w:tc>
          <w:tcPr>
            <w:tcW w:type="dxa" w:w="2256"/>
            <w:vMerge/>
            <w:tcBorders/>
          </w:tcPr>
          <w:p/>
        </w:tc>
        <w:tc>
          <w:tcPr>
            <w:tcW w:type="dxa" w:w="2256"/>
            <w:vMerge/>
            <w:tcBorders/>
          </w:tcPr>
          <w:p/>
        </w:tc>
      </w:tr>
      <w:tr>
        <w:trPr>
          <w:trHeight w:hRule="exact" w:val="236"/>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3,360,443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3,260,805</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应付经纪人风险金</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3,681,863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4,223,654</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8"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2,188,295</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4,065,240</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93,168,277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366,687,841</w:t>
            </w:r>
          </w:p>
        </w:tc>
      </w:tr>
      <w:tr>
        <w:trPr>
          <w:trHeight w:hRule="exact" w:val="1082"/>
        </w:trPr>
        <w:tc>
          <w:tcPr>
            <w:tcW w:type="dxa" w:w="76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30. </w:t>
            </w:r>
          </w:p>
        </w:tc>
        <w:tc>
          <w:tcPr>
            <w:tcW w:type="dxa" w:w="3804"/>
            <w:tcBorders>
              <w:top w:sz="4.0" w:val="single" w:color="#000000"/>
            </w:tcBorders>
            <w:tcMar>
              <w:start w:w="0" w:type="dxa"/>
              <w:end w:w="0" w:type="dxa"/>
            </w:tcMar>
          </w:tcPr>
          <w:p>
            <w:pPr>
              <w:autoSpaceDN w:val="0"/>
              <w:autoSpaceDE w:val="0"/>
              <w:widowControl/>
              <w:spacing w:line="220" w:lineRule="exact" w:before="302" w:after="0"/>
              <w:ind w:left="166" w:right="0" w:firstLine="0"/>
              <w:jc w:val="left"/>
            </w:pPr>
            <w:r>
              <w:rPr>
                <w:rFonts w:ascii="黑体" w:hAnsi="黑体" w:eastAsia="黑体"/>
                <w:b w:val="0"/>
                <w:i w:val="0"/>
                <w:color w:val="000000"/>
                <w:sz w:val="22"/>
              </w:rPr>
              <w:t>应付债券</w:t>
            </w:r>
          </w:p>
        </w:tc>
        <w:tc>
          <w:tcPr>
            <w:tcW w:type="dxa" w:w="1870"/>
            <w:tcBorders>
              <w:top w:sz="4.0" w:val="single" w:color="#000000"/>
            </w:tcBorders>
            <w:tcMar>
              <w:start w:w="0" w:type="dxa"/>
              <w:end w:w="0" w:type="dxa"/>
            </w:tcMar>
          </w:tcPr>
          <w:p>
            <w:pPr>
              <w:autoSpaceDN w:val="0"/>
              <w:autoSpaceDE w:val="0"/>
              <w:widowControl/>
              <w:spacing w:line="246" w:lineRule="exact" w:before="83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4.0" w:val="single" w:color="#000000"/>
            </w:tcBorders>
            <w:tcMar>
              <w:start w:w="0" w:type="dxa"/>
              <w:end w:w="0" w:type="dxa"/>
            </w:tcMar>
          </w:tcPr>
          <w:p>
            <w:pPr>
              <w:autoSpaceDN w:val="0"/>
              <w:autoSpaceDE w:val="0"/>
              <w:widowControl/>
              <w:spacing w:line="264" w:lineRule="exact" w:before="814" w:after="0"/>
              <w:ind w:left="226"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20"/>
        </w:trPr>
        <w:tc>
          <w:tcPr>
            <w:tcW w:type="dxa" w:w="4564"/>
            <w:gridSpan w:val="2"/>
            <w:tcBorders/>
            <w:tcMar>
              <w:start w:w="0" w:type="dxa"/>
              <w:end w:w="0" w:type="dxa"/>
            </w:tcMar>
            <w:tcMar>
              <w:start w:w="0" w:type="dxa"/>
              <w:end w:w="0" w:type="dxa"/>
            </w:tcMar>
          </w:tcPr>
          <w:p>
            <w:pPr>
              <w:autoSpaceDN w:val="0"/>
              <w:autoSpaceDE w:val="0"/>
              <w:widowControl/>
              <w:spacing w:line="222" w:lineRule="exact" w:before="298" w:after="0"/>
              <w:ind w:left="198" w:right="0" w:firstLine="0"/>
              <w:jc w:val="left"/>
            </w:pPr>
            <w:r>
              <w:rPr>
                <w:rFonts w:ascii="黑体" w:hAnsi="黑体" w:eastAsia="黑体"/>
                <w:b w:val="0"/>
                <w:i w:val="0"/>
                <w:color w:val="000000"/>
                <w:sz w:val="22"/>
              </w:rPr>
              <w:t>应付公司债券</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08" w:after="0"/>
              <w:ind w:left="344" w:right="0" w:firstLine="0"/>
              <w:jc w:val="left"/>
            </w:pPr>
            <w:r>
              <w:rPr>
                <w:rFonts w:ascii="Arial" w:hAnsi="Arial" w:eastAsia="Arial"/>
                <w:b w:val="0"/>
                <w:i w:val="0"/>
                <w:color w:val="000000"/>
                <w:sz w:val="22"/>
              </w:rPr>
              <w:t>10,812,811,395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8,700,344,759</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应付次级债券</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4,357,403,890</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7,108,756,771</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15,170,215,285</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15,809,101,530</w:t>
            </w:r>
          </w:p>
        </w:tc>
      </w:tr>
      <w:tr>
        <w:trPr>
          <w:trHeight w:hRule="exact" w:val="50"/>
        </w:trPr>
        <w:tc>
          <w:tcPr>
            <w:tcW w:type="dxa" w:w="4512"/>
            <w:gridSpan w:val="2"/>
            <w:vMerge/>
            <w:tcBorders>
              <w:top w:sz="4.0" w:val="single" w:color="#000000"/>
            </w:tcBorders>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4490" w:after="0"/>
        <w:ind w:left="0" w:right="0" w:firstLine="0"/>
        <w:jc w:val="center"/>
      </w:pPr>
      <w:r>
        <w:rPr>
          <w:rFonts w:ascii="Arial" w:hAnsi="Arial" w:eastAsia="Arial"/>
          <w:b w:val="0"/>
          <w:i w:val="0"/>
          <w:color w:val="000000"/>
          <w:sz w:val="20"/>
        </w:rPr>
        <w:t xml:space="preserve">227 </w:t>
      </w:r>
    </w:p>
    <w:p>
      <w:pPr>
        <w:sectPr>
          <w:pgSz w:w="11906" w:h="16841"/>
          <w:pgMar w:top="988" w:right="1440" w:bottom="360" w:left="1440" w:header="720" w:footer="720" w:gutter="0"/>
          <w:cols/>
          <w:docGrid w:linePitch="360"/>
        </w:sectPr>
      </w:pPr>
    </w:p>
    <w:p>
      <w:pPr>
        <w:autoSpaceDN w:val="0"/>
        <w:autoSpaceDE w:val="0"/>
        <w:widowControl/>
        <w:spacing w:line="220" w:lineRule="exact" w:before="0" w:after="948"/>
        <w:ind w:left="0" w:right="0"/>
      </w:pPr>
    </w:p>
    <w:tbl>
      <w:tblPr>
        <w:tblW w:type="auto" w:w="0"/>
        <w:tblLayout w:type="fixed"/>
        <w:tblLook w:firstColumn="1" w:firstRow="1" w:lastColumn="0" w:lastRow="0" w:noHBand="0" w:noVBand="1" w:val="04A0"/>
        <w:tblInd w:w="0.0" w:type="dxa"/>
      </w:tblPr>
      <w:tblGrid>
        <w:gridCol w:w="1168"/>
        <w:gridCol w:w="1168"/>
        <w:gridCol w:w="1168"/>
        <w:gridCol w:w="1168"/>
        <w:gridCol w:w="1168"/>
        <w:gridCol w:w="1168"/>
        <w:gridCol w:w="1168"/>
        <w:gridCol w:w="1168"/>
        <w:gridCol w:w="1168"/>
        <w:gridCol w:w="1168"/>
        <w:gridCol w:w="1168"/>
        <w:gridCol w:w="1168"/>
      </w:tblGrid>
      <w:tr>
        <w:trPr>
          <w:trHeight w:hRule="exact" w:val="366"/>
        </w:trPr>
        <w:tc>
          <w:tcPr>
            <w:tcW w:type="dxa" w:w="540"/>
            <w:tcBorders/>
            <w:tcMar>
              <w:start w:w="0" w:type="dxa"/>
              <w:end w:w="0" w:type="dxa"/>
            </w:tcMar>
          </w:tcPr>
          <w:p>
            <w:pPr>
              <w:autoSpaceDN w:val="0"/>
              <w:autoSpaceDE w:val="0"/>
              <w:widowControl/>
              <w:spacing w:line="220" w:lineRule="exact" w:before="0" w:after="0"/>
              <w:ind w:left="0" w:right="0" w:firstLine="0"/>
              <w:jc w:val="left"/>
            </w:pPr>
            <w:r>
              <w:rPr>
                <w:rFonts w:ascii="黑体" w:hAnsi="黑体" w:eastAsia="黑体"/>
                <w:b w:val="0"/>
                <w:i w:val="0"/>
                <w:color w:val="000000"/>
                <w:sz w:val="22"/>
              </w:rPr>
              <w:t>五、</w:t>
            </w:r>
          </w:p>
        </w:tc>
        <w:tc>
          <w:tcPr>
            <w:tcW w:type="dxa" w:w="3592"/>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0" w:after="0"/>
              <w:ind w:left="0" w:right="0" w:firstLine="0"/>
              <w:jc w:val="center"/>
            </w:pPr>
            <w:r>
              <w:rPr>
                <w:rFonts w:ascii="黑体" w:hAnsi="黑体" w:eastAsia="黑体"/>
                <w:b w:val="0"/>
                <w:i w:val="0"/>
                <w:color w:val="000000"/>
                <w:sz w:val="22"/>
              </w:rPr>
              <w:t>合并财务报表主要项目注释（续）</w:t>
            </w:r>
          </w:p>
        </w:tc>
        <w:tc>
          <w:tcPr>
            <w:tcW w:type="dxa" w:w="850"/>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198" w:right="0" w:firstLine="0"/>
              <w:jc w:val="left"/>
            </w:pPr>
            <w:r>
              <w:rPr>
                <w:rFonts w:ascii="黑体" w:hAnsi="黑体" w:eastAsia="黑体"/>
                <w:b w:val="0"/>
                <w:i w:val="0"/>
                <w:color w:val="000000"/>
                <w:sz w:val="16"/>
              </w:rPr>
              <w:t>债券期限</w:t>
            </w:r>
          </w:p>
        </w:tc>
        <w:tc>
          <w:tcPr>
            <w:tcW w:type="dxa" w:w="1356"/>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80" w:lineRule="exact" w:before="1060" w:after="0"/>
              <w:ind w:left="0" w:right="76" w:firstLine="0"/>
              <w:jc w:val="right"/>
            </w:pPr>
            <w:r>
              <w:rPr>
                <w:rFonts w:ascii="黑体" w:hAnsi="黑体" w:eastAsia="黑体"/>
                <w:b w:val="0"/>
                <w:i w:val="0"/>
                <w:color w:val="000000"/>
                <w:sz w:val="16"/>
              </w:rPr>
              <w:t>票面利率</w:t>
            </w:r>
            <w:r>
              <w:rPr>
                <w:rFonts w:ascii="Arial" w:hAnsi="Arial" w:eastAsia="Arial"/>
                <w:b w:val="0"/>
                <w:i w:val="0"/>
                <w:color w:val="000000"/>
                <w:sz w:val="16"/>
              </w:rPr>
              <w:t xml:space="preserve">(%) </w:t>
            </w:r>
          </w:p>
        </w:tc>
        <w:tc>
          <w:tcPr>
            <w:tcW w:type="dxa" w:w="1416"/>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0" w:right="110" w:firstLine="0"/>
              <w:jc w:val="right"/>
            </w:pPr>
            <w:r>
              <w:rPr>
                <w:rFonts w:ascii="黑体" w:hAnsi="黑体" w:eastAsia="黑体"/>
                <w:b w:val="0"/>
                <w:i w:val="0"/>
                <w:color w:val="000000"/>
                <w:sz w:val="16"/>
              </w:rPr>
              <w:t>发行金额</w:t>
            </w:r>
          </w:p>
        </w:tc>
        <w:tc>
          <w:tcPr>
            <w:tcW w:type="dxa" w:w="1362"/>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0" w:right="148" w:firstLine="0"/>
              <w:jc w:val="right"/>
            </w:pPr>
            <w:r>
              <w:rPr>
                <w:rFonts w:ascii="黑体" w:hAnsi="黑体" w:eastAsia="黑体"/>
                <w:b w:val="0"/>
                <w:i w:val="0"/>
                <w:color w:val="000000"/>
                <w:sz w:val="16"/>
              </w:rPr>
              <w:t>年初余额</w:t>
            </w:r>
          </w:p>
        </w:tc>
        <w:tc>
          <w:tcPr>
            <w:tcW w:type="dxa" w:w="1188"/>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0" w:right="0" w:firstLine="0"/>
              <w:jc w:val="right"/>
            </w:pPr>
            <w:r>
              <w:rPr>
                <w:rFonts w:ascii="黑体" w:hAnsi="黑体" w:eastAsia="黑体"/>
                <w:b w:val="0"/>
                <w:i w:val="0"/>
                <w:color w:val="000000"/>
                <w:sz w:val="16"/>
              </w:rPr>
              <w:t>本年增加</w:t>
            </w:r>
          </w:p>
        </w:tc>
        <w:tc>
          <w:tcPr>
            <w:tcW w:type="dxa" w:w="1478"/>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0" w:right="114" w:firstLine="0"/>
              <w:jc w:val="right"/>
            </w:pPr>
            <w:r>
              <w:rPr>
                <w:rFonts w:ascii="黑体" w:hAnsi="黑体" w:eastAsia="黑体"/>
                <w:b w:val="0"/>
                <w:i w:val="0"/>
                <w:color w:val="000000"/>
                <w:sz w:val="16"/>
              </w:rPr>
              <w:t>本年减少</w:t>
            </w:r>
          </w:p>
        </w:tc>
        <w:tc>
          <w:tcPr>
            <w:tcW w:type="dxa" w:w="1474"/>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0" w:right="114" w:firstLine="0"/>
              <w:jc w:val="right"/>
            </w:pPr>
            <w:r>
              <w:rPr>
                <w:rFonts w:ascii="黑体" w:hAnsi="黑体" w:eastAsia="黑体"/>
                <w:b w:val="0"/>
                <w:i w:val="0"/>
                <w:color w:val="000000"/>
                <w:sz w:val="16"/>
              </w:rPr>
              <w:t>年末余额</w:t>
            </w:r>
          </w:p>
        </w:tc>
        <w:tc>
          <w:tcPr>
            <w:tcW w:type="dxa" w:w="736"/>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1068" w:after="0"/>
              <w:ind w:left="96" w:right="0" w:firstLine="0"/>
              <w:jc w:val="left"/>
            </w:pPr>
            <w:r>
              <w:rPr>
                <w:rFonts w:ascii="黑体" w:hAnsi="黑体" w:eastAsia="黑体"/>
                <w:b w:val="0"/>
                <w:i w:val="0"/>
                <w:color w:val="000000"/>
                <w:sz w:val="16"/>
              </w:rPr>
              <w:t>是否违约</w:t>
            </w:r>
          </w:p>
        </w:tc>
      </w:tr>
      <w:tr>
        <w:trPr>
          <w:trHeight w:hRule="exact" w:val="540"/>
        </w:trPr>
        <w:tc>
          <w:tcPr>
            <w:tcW w:type="dxa" w:w="540"/>
            <w:tcBorders/>
            <w:tcMar>
              <w:start w:w="0" w:type="dxa"/>
              <w:end w:w="0" w:type="dxa"/>
            </w:tcMar>
          </w:tcPr>
          <w:p>
            <w:pPr>
              <w:autoSpaceDN w:val="0"/>
              <w:autoSpaceDE w:val="0"/>
              <w:widowControl/>
              <w:spacing w:line="246" w:lineRule="exact" w:before="160" w:after="0"/>
              <w:ind w:left="0" w:right="0" w:firstLine="0"/>
              <w:jc w:val="left"/>
            </w:pPr>
            <w:r>
              <w:rPr>
                <w:rFonts w:ascii="Arial,Bold" w:hAnsi="Arial,Bold" w:eastAsia="Arial,Bold"/>
                <w:b/>
                <w:i w:val="0"/>
                <w:color w:val="000000"/>
                <w:sz w:val="22"/>
              </w:rPr>
              <w:t xml:space="preserve">30. </w:t>
            </w:r>
          </w:p>
        </w:tc>
        <w:tc>
          <w:tcPr>
            <w:tcW w:type="dxa" w:w="3592"/>
            <w:gridSpan w:val="3"/>
            <w:tcBorders/>
            <w:tcMar>
              <w:start w:w="0" w:type="dxa"/>
              <w:end w:w="0" w:type="dxa"/>
            </w:tcMar>
            <w:tcMar>
              <w:start w:w="0" w:type="dxa"/>
              <w:end w:w="0" w:type="dxa"/>
            </w:tcMar>
            <w:tcMar>
              <w:start w:w="0" w:type="dxa"/>
              <w:end w:w="0" w:type="dxa"/>
            </w:tcMar>
          </w:tcPr>
          <w:p>
            <w:pPr>
              <w:autoSpaceDN w:val="0"/>
              <w:autoSpaceDE w:val="0"/>
              <w:widowControl/>
              <w:spacing w:line="222" w:lineRule="exact" w:before="170" w:after="0"/>
              <w:ind w:left="174" w:right="0" w:firstLine="0"/>
              <w:jc w:val="left"/>
            </w:pPr>
            <w:r>
              <w:rPr>
                <w:rFonts w:ascii="黑体" w:hAnsi="黑体" w:eastAsia="黑体"/>
                <w:b w:val="0"/>
                <w:i w:val="0"/>
                <w:color w:val="000000"/>
                <w:sz w:val="22"/>
              </w:rPr>
              <w:t>应付债券（续）</w:t>
            </w: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r>
      <w:tr>
        <w:trPr>
          <w:trHeight w:hRule="exact" w:val="354"/>
        </w:trPr>
        <w:tc>
          <w:tcPr>
            <w:tcW w:type="dxa" w:w="1860"/>
            <w:gridSpan w:val="2"/>
            <w:tcBorders>
              <w:bottom w:sz="4.0" w:val="single" w:color="#000000"/>
            </w:tcBorders>
            <w:tcMar>
              <w:start w:w="0" w:type="dxa"/>
              <w:end w:w="0" w:type="dxa"/>
            </w:tcMar>
            <w:tcMar>
              <w:start w:w="0" w:type="dxa"/>
              <w:end w:w="0" w:type="dxa"/>
            </w:tcMar>
          </w:tcPr>
          <w:p>
            <w:pPr>
              <w:autoSpaceDN w:val="0"/>
              <w:autoSpaceDE w:val="0"/>
              <w:widowControl/>
              <w:spacing w:line="162" w:lineRule="exact" w:before="162" w:after="0"/>
              <w:ind w:left="0" w:right="0" w:firstLine="0"/>
              <w:jc w:val="left"/>
            </w:pPr>
            <w:r>
              <w:rPr>
                <w:rFonts w:ascii="黑体" w:hAnsi="黑体" w:eastAsia="黑体"/>
                <w:b w:val="0"/>
                <w:i w:val="0"/>
                <w:color w:val="000000"/>
                <w:sz w:val="16"/>
              </w:rPr>
              <w:t>债券名称</w:t>
            </w:r>
          </w:p>
        </w:tc>
        <w:tc>
          <w:tcPr>
            <w:tcW w:type="dxa" w:w="900"/>
            <w:tcBorders>
              <w:bottom w:sz="4.0" w:val="single" w:color="#000000"/>
            </w:tcBorders>
            <w:tcMar>
              <w:start w:w="0" w:type="dxa"/>
              <w:end w:w="0" w:type="dxa"/>
            </w:tcMar>
          </w:tcPr>
          <w:p>
            <w:pPr>
              <w:autoSpaceDN w:val="0"/>
              <w:autoSpaceDE w:val="0"/>
              <w:widowControl/>
              <w:spacing w:line="162" w:lineRule="exact" w:before="162" w:after="0"/>
              <w:ind w:left="0" w:right="0" w:firstLine="0"/>
              <w:jc w:val="right"/>
            </w:pPr>
            <w:r>
              <w:rPr>
                <w:rFonts w:ascii="黑体" w:hAnsi="黑体" w:eastAsia="黑体"/>
                <w:b w:val="0"/>
                <w:i w:val="0"/>
                <w:color w:val="000000"/>
                <w:sz w:val="16"/>
              </w:rPr>
              <w:t>面值</w:t>
            </w:r>
          </w:p>
        </w:tc>
        <w:tc>
          <w:tcPr>
            <w:tcW w:type="dxa" w:w="1372"/>
            <w:tcBorders>
              <w:bottom w:sz="4.0" w:val="single" w:color="#000000"/>
            </w:tcBorders>
            <w:tcMar>
              <w:start w:w="0" w:type="dxa"/>
              <w:end w:w="0" w:type="dxa"/>
            </w:tcMar>
          </w:tcPr>
          <w:p>
            <w:pPr>
              <w:autoSpaceDN w:val="0"/>
              <w:autoSpaceDE w:val="0"/>
              <w:widowControl/>
              <w:spacing w:line="162" w:lineRule="exact" w:before="162" w:after="0"/>
              <w:ind w:left="0" w:right="118" w:firstLine="0"/>
              <w:jc w:val="right"/>
            </w:pPr>
            <w:r>
              <w:rPr>
                <w:rFonts w:ascii="黑体" w:hAnsi="黑体" w:eastAsia="黑体"/>
                <w:b w:val="0"/>
                <w:i w:val="0"/>
                <w:color w:val="000000"/>
                <w:sz w:val="16"/>
              </w:rPr>
              <w:t>发行日期</w:t>
            </w: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c>
          <w:tcPr>
            <w:tcW w:type="dxa" w:w="1168"/>
            <w:vMerge/>
            <w:tcBorders>
              <w:bottom w:sz="4.0" w:val="single" w:color="#000000"/>
            </w:tcBorders>
          </w:tcPr>
          <w:p/>
        </w:tc>
      </w:tr>
      <w:tr>
        <w:trPr>
          <w:trHeight w:hRule="exact" w:val="406"/>
        </w:trPr>
        <w:tc>
          <w:tcPr>
            <w:tcW w:type="dxa" w:w="1860"/>
            <w:gridSpan w:val="2"/>
            <w:tcBorders>
              <w:top w:sz="4.0" w:val="single" w:color="#000000"/>
            </w:tcBorders>
            <w:tcMar>
              <w:start w:w="0" w:type="dxa"/>
              <w:end w:w="0" w:type="dxa"/>
            </w:tcMar>
            <w:tcMar>
              <w:start w:w="0" w:type="dxa"/>
              <w:end w:w="0" w:type="dxa"/>
            </w:tcMar>
          </w:tcPr>
          <w:p>
            <w:pPr>
              <w:autoSpaceDN w:val="0"/>
              <w:autoSpaceDE w:val="0"/>
              <w:widowControl/>
              <w:spacing w:line="233" w:lineRule="auto" w:before="208" w:after="0"/>
              <w:ind w:left="0" w:right="0" w:firstLine="0"/>
              <w:jc w:val="left"/>
            </w:pPr>
            <w:r>
              <w:rPr>
                <w:rFonts w:ascii="Arial" w:hAnsi="Arial" w:eastAsia="Arial"/>
                <w:b w:val="0"/>
                <w:i w:val="0"/>
                <w:color w:val="000000"/>
                <w:sz w:val="16"/>
              </w:rPr>
              <w:t xml:space="preserve">SHANXI SE 2405 </w:t>
            </w:r>
          </w:p>
        </w:tc>
        <w:tc>
          <w:tcPr>
            <w:tcW w:type="dxa" w:w="900"/>
            <w:tcBorders>
              <w:top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w:t>
            </w:r>
          </w:p>
        </w:tc>
        <w:tc>
          <w:tcPr>
            <w:tcW w:type="dxa" w:w="1372"/>
            <w:tcBorders>
              <w:top w:sz="4.0" w:val="single" w:color="#000000"/>
            </w:tcBorders>
            <w:tcMar>
              <w:start w:w="0" w:type="dxa"/>
              <w:end w:w="0" w:type="dxa"/>
            </w:tcMar>
          </w:tcPr>
          <w:p>
            <w:pPr>
              <w:autoSpaceDN w:val="0"/>
              <w:autoSpaceDE w:val="0"/>
              <w:widowControl/>
              <w:spacing w:line="233" w:lineRule="auto" w:before="208" w:after="0"/>
              <w:ind w:left="0" w:right="114" w:firstLine="0"/>
              <w:jc w:val="right"/>
            </w:pPr>
            <w:r>
              <w:rPr>
                <w:rFonts w:ascii="Arial" w:hAnsi="Arial" w:eastAsia="Arial"/>
                <w:b w:val="0"/>
                <w:i w:val="0"/>
                <w:color w:val="000000"/>
                <w:sz w:val="16"/>
              </w:rPr>
              <w:t>2021/5/4</w:t>
            </w:r>
          </w:p>
        </w:tc>
        <w:tc>
          <w:tcPr>
            <w:tcW w:type="dxa" w:w="850"/>
            <w:tcBorders>
              <w:top w:sz="4.0" w:val="single" w:color="#000000"/>
            </w:tcBorders>
            <w:tcMar>
              <w:start w:w="0" w:type="dxa"/>
              <w:end w:w="0" w:type="dxa"/>
            </w:tcMar>
          </w:tcPr>
          <w:p>
            <w:pPr>
              <w:autoSpaceDN w:val="0"/>
              <w:autoSpaceDE w:val="0"/>
              <w:widowControl/>
              <w:spacing w:line="180" w:lineRule="exact" w:before="198"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op w:sz="4.0" w:val="single" w:color="#000000"/>
            </w:tcBorders>
            <w:tcMar>
              <w:start w:w="0" w:type="dxa"/>
              <w:end w:w="0" w:type="dxa"/>
            </w:tcMar>
          </w:tcPr>
          <w:p>
            <w:pPr>
              <w:autoSpaceDN w:val="0"/>
              <w:autoSpaceDE w:val="0"/>
              <w:widowControl/>
              <w:spacing w:line="233" w:lineRule="auto" w:before="208" w:after="0"/>
              <w:ind w:left="0" w:right="68" w:firstLine="0"/>
              <w:jc w:val="right"/>
            </w:pPr>
            <w:r>
              <w:rPr>
                <w:rFonts w:ascii="Arial" w:hAnsi="Arial" w:eastAsia="Arial"/>
                <w:b w:val="0"/>
                <w:i w:val="0"/>
                <w:color w:val="000000"/>
                <w:sz w:val="16"/>
              </w:rPr>
              <w:t xml:space="preserve">3.40 </w:t>
            </w:r>
          </w:p>
        </w:tc>
        <w:tc>
          <w:tcPr>
            <w:tcW w:type="dxa" w:w="1416"/>
            <w:tcBorders>
              <w:top w:sz="4.0" w:val="single" w:color="#000000"/>
            </w:tcBorders>
            <w:tcMar>
              <w:start w:w="0" w:type="dxa"/>
              <w:end w:w="0" w:type="dxa"/>
            </w:tcMar>
          </w:tcPr>
          <w:p>
            <w:pPr>
              <w:autoSpaceDN w:val="0"/>
              <w:autoSpaceDE w:val="0"/>
              <w:widowControl/>
              <w:spacing w:line="233" w:lineRule="auto" w:before="208" w:after="0"/>
              <w:ind w:left="280" w:right="0" w:firstLine="0"/>
              <w:jc w:val="left"/>
            </w:pPr>
            <w:r>
              <w:rPr>
                <w:rFonts w:ascii="Arial" w:hAnsi="Arial" w:eastAsia="Arial"/>
                <w:b w:val="0"/>
                <w:i w:val="0"/>
                <w:color w:val="000000"/>
                <w:sz w:val="16"/>
              </w:rPr>
              <w:t xml:space="preserve">1,275,140,000 </w:t>
            </w:r>
          </w:p>
        </w:tc>
        <w:tc>
          <w:tcPr>
            <w:tcW w:type="dxa" w:w="1362"/>
            <w:tcBorders>
              <w:top w:sz="4.0" w:val="single" w:color="#000000"/>
            </w:tcBorders>
            <w:tcMar>
              <w:start w:w="0" w:type="dxa"/>
              <w:end w:w="0" w:type="dxa"/>
            </w:tcMar>
          </w:tcPr>
          <w:p>
            <w:pPr>
              <w:autoSpaceDN w:val="0"/>
              <w:autoSpaceDE w:val="0"/>
              <w:widowControl/>
              <w:spacing w:line="233" w:lineRule="auto" w:before="208" w:after="0"/>
              <w:ind w:left="338" w:right="0" w:firstLine="0"/>
              <w:jc w:val="left"/>
            </w:pPr>
            <w:r>
              <w:rPr>
                <w:rFonts w:ascii="Arial" w:hAnsi="Arial" w:eastAsia="Arial"/>
                <w:b w:val="0"/>
                <w:i w:val="0"/>
                <w:color w:val="000000"/>
                <w:sz w:val="16"/>
              </w:rPr>
              <w:t>1,423,610,817</w:t>
            </w:r>
          </w:p>
        </w:tc>
        <w:tc>
          <w:tcPr>
            <w:tcW w:type="dxa" w:w="1188"/>
            <w:tcBorders>
              <w:top w:sz="4.0" w:val="single" w:color="#000000"/>
            </w:tcBorders>
            <w:tcMar>
              <w:start w:w="0" w:type="dxa"/>
              <w:end w:w="0" w:type="dxa"/>
            </w:tcMar>
          </w:tcPr>
          <w:p>
            <w:pPr>
              <w:autoSpaceDN w:val="0"/>
              <w:autoSpaceDE w:val="0"/>
              <w:widowControl/>
              <w:spacing w:line="233" w:lineRule="auto" w:before="208" w:after="0"/>
              <w:ind w:left="0" w:right="0" w:firstLine="0"/>
              <w:jc w:val="right"/>
            </w:pPr>
            <w:r>
              <w:rPr>
                <w:rFonts w:ascii="Arial" w:hAnsi="Arial" w:eastAsia="Arial"/>
                <w:b w:val="0"/>
                <w:i w:val="0"/>
                <w:color w:val="000000"/>
                <w:sz w:val="16"/>
              </w:rPr>
              <w:t>20,719,558</w:t>
            </w:r>
          </w:p>
        </w:tc>
        <w:tc>
          <w:tcPr>
            <w:tcW w:type="dxa" w:w="1478"/>
            <w:tcBorders>
              <w:top w:sz="4.0" w:val="single" w:color="#000000"/>
            </w:tcBorders>
            <w:tcMar>
              <w:start w:w="0" w:type="dxa"/>
              <w:end w:w="0" w:type="dxa"/>
            </w:tcMar>
          </w:tcPr>
          <w:p>
            <w:pPr>
              <w:autoSpaceDN w:val="0"/>
              <w:autoSpaceDE w:val="0"/>
              <w:widowControl/>
              <w:spacing w:line="233" w:lineRule="auto" w:before="208" w:after="0"/>
              <w:ind w:left="284" w:right="0" w:firstLine="0"/>
              <w:jc w:val="left"/>
            </w:pPr>
            <w:r>
              <w:rPr>
                <w:rFonts w:ascii="Arial" w:hAnsi="Arial" w:eastAsia="Arial"/>
                <w:b w:val="0"/>
                <w:i w:val="0"/>
                <w:color w:val="000000"/>
                <w:sz w:val="16"/>
              </w:rPr>
              <w:t xml:space="preserve">(1,444,330,375) </w:t>
            </w:r>
          </w:p>
        </w:tc>
        <w:tc>
          <w:tcPr>
            <w:tcW w:type="dxa" w:w="1474"/>
            <w:tcBorders>
              <w:top w:sz="4.0" w:val="single" w:color="#000000"/>
            </w:tcBorders>
            <w:tcMar>
              <w:start w:w="0" w:type="dxa"/>
              <w:end w:w="0" w:type="dxa"/>
            </w:tcMar>
          </w:tcPr>
          <w:p>
            <w:pPr>
              <w:autoSpaceDN w:val="0"/>
              <w:autoSpaceDE w:val="0"/>
              <w:widowControl/>
              <w:spacing w:line="233" w:lineRule="auto" w:before="208" w:after="0"/>
              <w:ind w:left="0" w:right="72" w:firstLine="0"/>
              <w:jc w:val="right"/>
            </w:pPr>
            <w:r>
              <w:rPr>
                <w:rFonts w:ascii="Arial" w:hAnsi="Arial" w:eastAsia="Arial"/>
                <w:b w:val="0"/>
                <w:i w:val="0"/>
                <w:color w:val="000000"/>
                <w:sz w:val="16"/>
              </w:rPr>
              <w:t xml:space="preserve">- </w:t>
            </w:r>
          </w:p>
        </w:tc>
        <w:tc>
          <w:tcPr>
            <w:tcW w:type="dxa" w:w="736"/>
            <w:tcBorders>
              <w:top w:sz="4.0" w:val="single" w:color="#000000"/>
            </w:tcBorders>
            <w:tcMar>
              <w:start w:w="0" w:type="dxa"/>
              <w:end w:w="0" w:type="dxa"/>
            </w:tcMar>
          </w:tcPr>
          <w:p>
            <w:pPr>
              <w:autoSpaceDN w:val="0"/>
              <w:autoSpaceDE w:val="0"/>
              <w:widowControl/>
              <w:spacing w:line="160" w:lineRule="exact" w:before="206" w:after="0"/>
              <w:ind w:left="0" w:right="0" w:firstLine="0"/>
              <w:jc w:val="right"/>
            </w:pPr>
            <w:r>
              <w:rPr>
                <w:rFonts w:ascii="黑体" w:hAnsi="黑体" w:eastAsia="黑体"/>
                <w:b w:val="0"/>
                <w:i w:val="0"/>
                <w:color w:val="000000"/>
                <w:sz w:val="16"/>
              </w:rPr>
              <w:t>否</w:t>
            </w:r>
          </w:p>
        </w:tc>
      </w:tr>
      <w:tr>
        <w:trPr>
          <w:trHeight w:hRule="exact" w:val="208"/>
        </w:trPr>
        <w:tc>
          <w:tcPr>
            <w:tcW w:type="dxa" w:w="1860"/>
            <w:gridSpan w:val="2"/>
            <w:tcBorders/>
            <w:tcMar>
              <w:start w:w="0" w:type="dxa"/>
              <w:end w:w="0" w:type="dxa"/>
            </w:tcMar>
            <w:tcMar>
              <w:start w:w="0" w:type="dxa"/>
              <w:end w:w="0" w:type="dxa"/>
            </w:tcMar>
          </w:tcPr>
          <w:p>
            <w:pPr>
              <w:autoSpaceDN w:val="0"/>
              <w:autoSpaceDE w:val="0"/>
              <w:widowControl/>
              <w:spacing w:line="178" w:lineRule="exact" w:before="6" w:after="0"/>
              <w:ind w:left="0" w:right="0" w:firstLine="0"/>
              <w:jc w:val="left"/>
            </w:pPr>
            <w:r>
              <w:rPr>
                <w:rFonts w:ascii="Arial" w:hAnsi="Arial" w:eastAsia="Arial"/>
                <w:b w:val="0"/>
                <w:i w:val="0"/>
                <w:color w:val="000000"/>
                <w:sz w:val="16"/>
              </w:rPr>
              <w:t>21</w:t>
            </w:r>
            <w:r>
              <w:rPr>
                <w:rFonts w:ascii="黑体" w:hAnsi="黑体" w:eastAsia="黑体"/>
                <w:b w:val="0"/>
                <w:i w:val="0"/>
                <w:color w:val="000000"/>
                <w:sz w:val="16"/>
              </w:rPr>
              <w:t>山证</w:t>
            </w:r>
            <w:r>
              <w:rPr>
                <w:rFonts w:ascii="Arial" w:hAnsi="Arial" w:eastAsia="Arial"/>
                <w:b w:val="0"/>
                <w:i w:val="0"/>
                <w:color w:val="000000"/>
                <w:sz w:val="16"/>
              </w:rPr>
              <w:t xml:space="preserve">01 </w:t>
            </w:r>
          </w:p>
        </w:tc>
        <w:tc>
          <w:tcPr>
            <w:tcW w:type="dxa" w:w="9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14" w:after="0"/>
              <w:ind w:left="0" w:right="114" w:firstLine="0"/>
              <w:jc w:val="right"/>
            </w:pPr>
            <w:r>
              <w:rPr>
                <w:rFonts w:ascii="Arial" w:hAnsi="Arial" w:eastAsia="Arial"/>
                <w:b w:val="0"/>
                <w:i w:val="0"/>
                <w:color w:val="000000"/>
                <w:sz w:val="16"/>
              </w:rPr>
              <w:t>2021/10/22</w:t>
            </w:r>
          </w:p>
        </w:tc>
        <w:tc>
          <w:tcPr>
            <w:tcW w:type="dxa" w:w="850"/>
            <w:tcBorders/>
            <w:tcMar>
              <w:start w:w="0" w:type="dxa"/>
              <w:end w:w="0" w:type="dxa"/>
            </w:tcMar>
          </w:tcPr>
          <w:p>
            <w:pPr>
              <w:autoSpaceDN w:val="0"/>
              <w:autoSpaceDE w:val="0"/>
              <w:widowControl/>
              <w:spacing w:line="178" w:lineRule="exact" w:before="6"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14" w:after="0"/>
              <w:ind w:left="0" w:right="68" w:firstLine="0"/>
              <w:jc w:val="right"/>
            </w:pPr>
            <w:r>
              <w:rPr>
                <w:rFonts w:ascii="Arial" w:hAnsi="Arial" w:eastAsia="Arial"/>
                <w:b w:val="0"/>
                <w:i w:val="0"/>
                <w:color w:val="000000"/>
                <w:sz w:val="16"/>
              </w:rPr>
              <w:t xml:space="preserve">3.50 </w:t>
            </w:r>
          </w:p>
        </w:tc>
        <w:tc>
          <w:tcPr>
            <w:tcW w:type="dxa" w:w="1416"/>
            <w:tcBorders/>
            <w:tcMar>
              <w:start w:w="0" w:type="dxa"/>
              <w:end w:w="0" w:type="dxa"/>
            </w:tcMar>
          </w:tcPr>
          <w:p>
            <w:pPr>
              <w:autoSpaceDN w:val="0"/>
              <w:autoSpaceDE w:val="0"/>
              <w:widowControl/>
              <w:spacing w:line="233" w:lineRule="auto" w:before="14" w:after="0"/>
              <w:ind w:left="280" w:right="0" w:firstLine="0"/>
              <w:jc w:val="left"/>
            </w:pPr>
            <w:r>
              <w:rPr>
                <w:rFonts w:ascii="Arial" w:hAnsi="Arial" w:eastAsia="Arial"/>
                <w:b w:val="0"/>
                <w:i w:val="0"/>
                <w:color w:val="000000"/>
                <w:sz w:val="16"/>
              </w:rPr>
              <w:t xml:space="preserve">1,000,000,000 </w:t>
            </w:r>
          </w:p>
        </w:tc>
        <w:tc>
          <w:tcPr>
            <w:tcW w:type="dxa" w:w="1362"/>
            <w:tcBorders/>
            <w:tcMar>
              <w:start w:w="0" w:type="dxa"/>
              <w:end w:w="0" w:type="dxa"/>
            </w:tcMar>
          </w:tcPr>
          <w:p>
            <w:pPr>
              <w:autoSpaceDN w:val="0"/>
              <w:autoSpaceDE w:val="0"/>
              <w:widowControl/>
              <w:spacing w:line="233" w:lineRule="auto" w:before="14" w:after="0"/>
              <w:ind w:left="338" w:right="0" w:firstLine="0"/>
              <w:jc w:val="left"/>
            </w:pPr>
            <w:r>
              <w:rPr>
                <w:rFonts w:ascii="Arial" w:hAnsi="Arial" w:eastAsia="Arial"/>
                <w:b w:val="0"/>
                <w:i w:val="0"/>
                <w:color w:val="000000"/>
                <w:sz w:val="16"/>
              </w:rPr>
              <w:t>1,006,745,308</w:t>
            </w:r>
          </w:p>
        </w:tc>
        <w:tc>
          <w:tcPr>
            <w:tcW w:type="dxa" w:w="118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6"/>
              </w:rPr>
              <w:t>27,811,597</w:t>
            </w:r>
          </w:p>
        </w:tc>
        <w:tc>
          <w:tcPr>
            <w:tcW w:type="dxa" w:w="1478"/>
            <w:tcBorders/>
            <w:tcMar>
              <w:start w:w="0" w:type="dxa"/>
              <w:end w:w="0" w:type="dxa"/>
            </w:tcMar>
          </w:tcPr>
          <w:p>
            <w:pPr>
              <w:autoSpaceDN w:val="0"/>
              <w:autoSpaceDE w:val="0"/>
              <w:widowControl/>
              <w:spacing w:line="233" w:lineRule="auto" w:before="14" w:after="0"/>
              <w:ind w:left="284" w:right="0" w:firstLine="0"/>
              <w:jc w:val="left"/>
            </w:pPr>
            <w:r>
              <w:rPr>
                <w:rFonts w:ascii="Arial" w:hAnsi="Arial" w:eastAsia="Arial"/>
                <w:b w:val="0"/>
                <w:i w:val="0"/>
                <w:color w:val="000000"/>
                <w:sz w:val="16"/>
              </w:rPr>
              <w:t xml:space="preserve">(1,034,556,905) </w:t>
            </w:r>
          </w:p>
        </w:tc>
        <w:tc>
          <w:tcPr>
            <w:tcW w:type="dxa" w:w="1474"/>
            <w:tcBorders/>
            <w:tcMar>
              <w:start w:w="0" w:type="dxa"/>
              <w:end w:w="0" w:type="dxa"/>
            </w:tcMar>
          </w:tcPr>
          <w:p>
            <w:pPr>
              <w:autoSpaceDN w:val="0"/>
              <w:autoSpaceDE w:val="0"/>
              <w:widowControl/>
              <w:spacing w:line="233" w:lineRule="auto" w:before="14" w:after="0"/>
              <w:ind w:left="0" w:right="72" w:firstLine="0"/>
              <w:jc w:val="right"/>
            </w:pPr>
            <w:r>
              <w:rPr>
                <w:rFonts w:ascii="Arial" w:hAnsi="Arial" w:eastAsia="Arial"/>
                <w:b w:val="0"/>
                <w:i w:val="0"/>
                <w:color w:val="000000"/>
                <w:sz w:val="16"/>
              </w:rPr>
              <w:t xml:space="preserve">- </w:t>
            </w:r>
          </w:p>
        </w:tc>
        <w:tc>
          <w:tcPr>
            <w:tcW w:type="dxa" w:w="736"/>
            <w:tcBorders/>
            <w:tcMar>
              <w:start w:w="0" w:type="dxa"/>
              <w:end w:w="0" w:type="dxa"/>
            </w:tcMar>
          </w:tcPr>
          <w:p>
            <w:pPr>
              <w:autoSpaceDN w:val="0"/>
              <w:autoSpaceDE w:val="0"/>
              <w:widowControl/>
              <w:spacing w:line="162" w:lineRule="exact" w:before="12" w:after="0"/>
              <w:ind w:left="0" w:right="0" w:firstLine="0"/>
              <w:jc w:val="right"/>
            </w:pPr>
            <w:r>
              <w:rPr>
                <w:rFonts w:ascii="黑体" w:hAnsi="黑体" w:eastAsia="黑体"/>
                <w:b w:val="0"/>
                <w:i w:val="0"/>
                <w:color w:val="000000"/>
                <w:sz w:val="16"/>
              </w:rPr>
              <w:t>否</w:t>
            </w:r>
          </w:p>
        </w:tc>
      </w:tr>
      <w:tr>
        <w:trPr>
          <w:trHeight w:hRule="exact" w:val="172"/>
        </w:trPr>
        <w:tc>
          <w:tcPr>
            <w:tcW w:type="dxa" w:w="1860"/>
            <w:gridSpan w:val="2"/>
            <w:tcBorders/>
            <w:tcMar>
              <w:start w:w="0" w:type="dxa"/>
              <w:end w:w="0" w:type="dxa"/>
            </w:tcMar>
            <w:tcMar>
              <w:start w:w="0" w:type="dxa"/>
              <w:end w:w="0" w:type="dxa"/>
            </w:tcMar>
          </w:tcPr>
          <w:p>
            <w:pPr>
              <w:autoSpaceDN w:val="0"/>
              <w:autoSpaceDE w:val="0"/>
              <w:widowControl/>
              <w:spacing w:line="178" w:lineRule="exact" w:before="0" w:after="0"/>
              <w:ind w:left="0" w:right="0" w:firstLine="0"/>
              <w:jc w:val="left"/>
            </w:pPr>
            <w:r>
              <w:rPr>
                <w:rFonts w:ascii="Arial" w:hAnsi="Arial" w:eastAsia="Arial"/>
                <w:b w:val="0"/>
                <w:i w:val="0"/>
                <w:color w:val="000000"/>
                <w:sz w:val="16"/>
              </w:rPr>
              <w:t>21</w:t>
            </w:r>
            <w:r>
              <w:rPr>
                <w:rFonts w:ascii="黑体" w:hAnsi="黑体" w:eastAsia="黑体"/>
                <w:b w:val="0"/>
                <w:i w:val="0"/>
                <w:color w:val="000000"/>
                <w:sz w:val="16"/>
              </w:rPr>
              <w:t>山证</w:t>
            </w:r>
            <w:r>
              <w:rPr>
                <w:rFonts w:ascii="Arial" w:hAnsi="Arial" w:eastAsia="Arial"/>
                <w:b w:val="0"/>
                <w:i w:val="0"/>
                <w:color w:val="000000"/>
                <w:sz w:val="16"/>
              </w:rPr>
              <w:t xml:space="preserve">02 </w:t>
            </w:r>
          </w:p>
        </w:tc>
        <w:tc>
          <w:tcPr>
            <w:tcW w:type="dxa" w:w="90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0" w:after="0"/>
              <w:ind w:left="0" w:right="114" w:firstLine="0"/>
              <w:jc w:val="right"/>
            </w:pPr>
            <w:r>
              <w:rPr>
                <w:rFonts w:ascii="Arial" w:hAnsi="Arial" w:eastAsia="Arial"/>
                <w:b w:val="0"/>
                <w:i w:val="0"/>
                <w:color w:val="000000"/>
                <w:sz w:val="16"/>
              </w:rPr>
              <w:t>2021/11/19</w:t>
            </w:r>
          </w:p>
        </w:tc>
        <w:tc>
          <w:tcPr>
            <w:tcW w:type="dxa" w:w="850"/>
            <w:tcBorders/>
            <w:tcMar>
              <w:start w:w="0" w:type="dxa"/>
              <w:end w:w="0" w:type="dxa"/>
            </w:tcMar>
          </w:tcPr>
          <w:p>
            <w:pPr>
              <w:autoSpaceDN w:val="0"/>
              <w:autoSpaceDE w:val="0"/>
              <w:widowControl/>
              <w:spacing w:line="178"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3.24 </w:t>
            </w:r>
          </w:p>
        </w:tc>
        <w:tc>
          <w:tcPr>
            <w:tcW w:type="dxa" w:w="1416"/>
            <w:tcBorders/>
            <w:tcMar>
              <w:start w:w="0" w:type="dxa"/>
              <w:end w:w="0" w:type="dxa"/>
            </w:tcMar>
          </w:tcPr>
          <w:p>
            <w:pPr>
              <w:autoSpaceDN w:val="0"/>
              <w:autoSpaceDE w:val="0"/>
              <w:widowControl/>
              <w:spacing w:line="230" w:lineRule="auto" w:before="0" w:after="0"/>
              <w:ind w:left="280" w:right="0" w:firstLine="0"/>
              <w:jc w:val="left"/>
            </w:pPr>
            <w:r>
              <w:rPr>
                <w:rFonts w:ascii="Arial" w:hAnsi="Arial" w:eastAsia="Arial"/>
                <w:b w:val="0"/>
                <w:i w:val="0"/>
                <w:color w:val="000000"/>
                <w:sz w:val="16"/>
              </w:rPr>
              <w:t xml:space="preserve">1,500,000,000 </w:t>
            </w:r>
          </w:p>
        </w:tc>
        <w:tc>
          <w:tcPr>
            <w:tcW w:type="dxa" w:w="1362"/>
            <w:tcBorders/>
            <w:tcMar>
              <w:start w:w="0" w:type="dxa"/>
              <w:end w:w="0" w:type="dxa"/>
            </w:tcMar>
          </w:tcPr>
          <w:p>
            <w:pPr>
              <w:autoSpaceDN w:val="0"/>
              <w:autoSpaceDE w:val="0"/>
              <w:widowControl/>
              <w:spacing w:line="230" w:lineRule="auto" w:before="0" w:after="0"/>
              <w:ind w:left="338" w:right="0" w:firstLine="0"/>
              <w:jc w:val="left"/>
            </w:pPr>
            <w:r>
              <w:rPr>
                <w:rFonts w:ascii="Arial" w:hAnsi="Arial" w:eastAsia="Arial"/>
                <w:b w:val="0"/>
                <w:i w:val="0"/>
                <w:color w:val="000000"/>
                <w:sz w:val="16"/>
              </w:rPr>
              <w:t>1,505,635,676</w:t>
            </w:r>
          </w:p>
        </w:tc>
        <w:tc>
          <w:tcPr>
            <w:tcW w:type="dxa" w:w="1188"/>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42,270,637</w:t>
            </w:r>
          </w:p>
        </w:tc>
        <w:tc>
          <w:tcPr>
            <w:tcW w:type="dxa" w:w="1478"/>
            <w:tcBorders/>
            <w:tcMar>
              <w:start w:w="0" w:type="dxa"/>
              <w:end w:w="0" w:type="dxa"/>
            </w:tcMar>
          </w:tcPr>
          <w:p>
            <w:pPr>
              <w:autoSpaceDN w:val="0"/>
              <w:autoSpaceDE w:val="0"/>
              <w:widowControl/>
              <w:spacing w:line="230" w:lineRule="auto" w:before="0" w:after="0"/>
              <w:ind w:left="284" w:right="0" w:firstLine="0"/>
              <w:jc w:val="left"/>
            </w:pPr>
            <w:r>
              <w:rPr>
                <w:rFonts w:ascii="Arial" w:hAnsi="Arial" w:eastAsia="Arial"/>
                <w:b w:val="0"/>
                <w:i w:val="0"/>
                <w:color w:val="000000"/>
                <w:sz w:val="16"/>
              </w:rPr>
              <w:t xml:space="preserve">(1,547,906,313) </w:t>
            </w:r>
          </w:p>
        </w:tc>
        <w:tc>
          <w:tcPr>
            <w:tcW w:type="dxa" w:w="1474"/>
            <w:tcBorders/>
            <w:tcMar>
              <w:start w:w="0" w:type="dxa"/>
              <w:end w:w="0" w:type="dxa"/>
            </w:tcMar>
          </w:tcPr>
          <w:p>
            <w:pPr>
              <w:autoSpaceDN w:val="0"/>
              <w:autoSpaceDE w:val="0"/>
              <w:widowControl/>
              <w:spacing w:line="230" w:lineRule="auto" w:before="0" w:after="0"/>
              <w:ind w:left="0" w:right="72" w:firstLine="0"/>
              <w:jc w:val="right"/>
            </w:pPr>
            <w:r>
              <w:rPr>
                <w:rFonts w:ascii="Arial" w:hAnsi="Arial" w:eastAsia="Arial"/>
                <w:b w:val="0"/>
                <w:i w:val="0"/>
                <w:color w:val="000000"/>
                <w:sz w:val="16"/>
              </w:rPr>
              <w:t xml:space="preserve">- </w:t>
            </w:r>
          </w:p>
        </w:tc>
        <w:tc>
          <w:tcPr>
            <w:tcW w:type="dxa" w:w="736"/>
            <w:tcBorders/>
            <w:tcMar>
              <w:start w:w="0" w:type="dxa"/>
              <w:end w:w="0" w:type="dxa"/>
            </w:tcMar>
          </w:tcPr>
          <w:p>
            <w:pPr>
              <w:autoSpaceDN w:val="0"/>
              <w:autoSpaceDE w:val="0"/>
              <w:widowControl/>
              <w:spacing w:line="162" w:lineRule="exact" w:before="10" w:after="0"/>
              <w:ind w:left="0" w:right="0" w:firstLine="0"/>
              <w:jc w:val="right"/>
            </w:pPr>
            <w:r>
              <w:rPr>
                <w:rFonts w:ascii="黑体" w:hAnsi="黑体" w:eastAsia="黑体"/>
                <w:b w:val="0"/>
                <w:i w:val="0"/>
                <w:color w:val="000000"/>
                <w:sz w:val="16"/>
              </w:rPr>
              <w:t>否</w:t>
            </w:r>
          </w:p>
        </w:tc>
      </w:tr>
      <w:tr>
        <w:trPr>
          <w:trHeight w:hRule="exact" w:val="244"/>
        </w:trPr>
        <w:tc>
          <w:tcPr>
            <w:tcW w:type="dxa" w:w="1860"/>
            <w:gridSpan w:val="2"/>
            <w:tcBorders/>
            <w:tcMar>
              <w:start w:w="0" w:type="dxa"/>
              <w:end w:w="0" w:type="dxa"/>
            </w:tcMar>
            <w:tcMar>
              <w:start w:w="0" w:type="dxa"/>
              <w:end w:w="0" w:type="dxa"/>
            </w:tcMar>
          </w:tcPr>
          <w:p>
            <w:pPr>
              <w:autoSpaceDN w:val="0"/>
              <w:autoSpaceDE w:val="0"/>
              <w:widowControl/>
              <w:spacing w:line="180" w:lineRule="exact" w:before="40" w:after="0"/>
              <w:ind w:left="0" w:right="0" w:firstLine="0"/>
              <w:jc w:val="left"/>
            </w:pPr>
            <w:r>
              <w:rPr>
                <w:rFonts w:ascii="Arial" w:hAnsi="Arial" w:eastAsia="Arial"/>
                <w:b w:val="0"/>
                <w:i w:val="0"/>
                <w:color w:val="000000"/>
                <w:sz w:val="16"/>
              </w:rPr>
              <w:t>22</w:t>
            </w:r>
            <w:r>
              <w:rPr>
                <w:rFonts w:ascii="黑体" w:hAnsi="黑体" w:eastAsia="黑体"/>
                <w:b w:val="0"/>
                <w:i w:val="0"/>
                <w:color w:val="000000"/>
                <w:sz w:val="16"/>
              </w:rPr>
              <w:t>山证</w:t>
            </w:r>
            <w:r>
              <w:rPr>
                <w:rFonts w:ascii="Arial" w:hAnsi="Arial" w:eastAsia="Arial"/>
                <w:b w:val="0"/>
                <w:i w:val="0"/>
                <w:color w:val="000000"/>
                <w:sz w:val="16"/>
              </w:rPr>
              <w:t xml:space="preserve">01 </w:t>
            </w:r>
          </w:p>
        </w:tc>
        <w:tc>
          <w:tcPr>
            <w:tcW w:type="dxa" w:w="900"/>
            <w:tcBorders/>
            <w:tcMar>
              <w:start w:w="0" w:type="dxa"/>
              <w:end w:w="0" w:type="dxa"/>
            </w:tcMar>
          </w:tcPr>
          <w:p>
            <w:pPr>
              <w:autoSpaceDN w:val="0"/>
              <w:autoSpaceDE w:val="0"/>
              <w:widowControl/>
              <w:spacing w:line="233" w:lineRule="auto" w:before="5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26" w:after="0"/>
              <w:ind w:left="0" w:right="114" w:firstLine="0"/>
              <w:jc w:val="right"/>
            </w:pPr>
            <w:r>
              <w:rPr>
                <w:rFonts w:ascii="Arial" w:hAnsi="Arial" w:eastAsia="Arial"/>
                <w:b w:val="0"/>
                <w:i w:val="0"/>
                <w:color w:val="000000"/>
                <w:sz w:val="16"/>
              </w:rPr>
              <w:t>2022/6/28</w:t>
            </w:r>
          </w:p>
        </w:tc>
        <w:tc>
          <w:tcPr>
            <w:tcW w:type="dxa" w:w="850"/>
            <w:tcBorders/>
            <w:tcMar>
              <w:start w:w="0" w:type="dxa"/>
              <w:end w:w="0" w:type="dxa"/>
            </w:tcMar>
          </w:tcPr>
          <w:p>
            <w:pPr>
              <w:autoSpaceDN w:val="0"/>
              <w:autoSpaceDE w:val="0"/>
              <w:widowControl/>
              <w:spacing w:line="180" w:lineRule="exact" w:before="4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50" w:after="0"/>
              <w:ind w:left="0" w:right="70" w:firstLine="0"/>
              <w:jc w:val="right"/>
            </w:pPr>
            <w:r>
              <w:rPr>
                <w:rFonts w:ascii="Arial" w:hAnsi="Arial" w:eastAsia="Arial"/>
                <w:b w:val="0"/>
                <w:i w:val="0"/>
                <w:color w:val="000000"/>
                <w:sz w:val="16"/>
              </w:rPr>
              <w:t xml:space="preserve">3.09 </w:t>
            </w:r>
          </w:p>
        </w:tc>
        <w:tc>
          <w:tcPr>
            <w:tcW w:type="dxa" w:w="1416"/>
            <w:tcBorders/>
            <w:tcMar>
              <w:start w:w="0" w:type="dxa"/>
              <w:end w:w="0" w:type="dxa"/>
            </w:tcMar>
          </w:tcPr>
          <w:p>
            <w:pPr>
              <w:autoSpaceDN w:val="0"/>
              <w:autoSpaceDE w:val="0"/>
              <w:widowControl/>
              <w:spacing w:line="233" w:lineRule="auto" w:before="50" w:after="0"/>
              <w:ind w:left="280" w:right="0" w:firstLine="0"/>
              <w:jc w:val="left"/>
            </w:pPr>
            <w:r>
              <w:rPr>
                <w:rFonts w:ascii="Arial" w:hAnsi="Arial" w:eastAsia="Arial"/>
                <w:b w:val="0"/>
                <w:i w:val="0"/>
                <w:color w:val="000000"/>
                <w:sz w:val="16"/>
              </w:rPr>
              <w:t xml:space="preserve">1,900,000,000 </w:t>
            </w:r>
          </w:p>
        </w:tc>
        <w:tc>
          <w:tcPr>
            <w:tcW w:type="dxa" w:w="1362"/>
            <w:tcBorders/>
            <w:tcMar>
              <w:start w:w="0" w:type="dxa"/>
              <w:end w:w="0" w:type="dxa"/>
            </w:tcMar>
          </w:tcPr>
          <w:p>
            <w:pPr>
              <w:autoSpaceDN w:val="0"/>
              <w:autoSpaceDE w:val="0"/>
              <w:widowControl/>
              <w:spacing w:line="233" w:lineRule="auto" w:before="50" w:after="0"/>
              <w:ind w:left="338" w:right="0" w:firstLine="0"/>
              <w:jc w:val="left"/>
            </w:pPr>
            <w:r>
              <w:rPr>
                <w:rFonts w:ascii="Arial" w:hAnsi="Arial" w:eastAsia="Arial"/>
                <w:b w:val="0"/>
                <w:i w:val="0"/>
                <w:color w:val="000000"/>
                <w:sz w:val="16"/>
              </w:rPr>
              <w:t>1,928,286,161</w:t>
            </w:r>
          </w:p>
        </w:tc>
        <w:tc>
          <w:tcPr>
            <w:tcW w:type="dxa" w:w="1188"/>
            <w:tcBorders/>
            <w:tcMar>
              <w:start w:w="0" w:type="dxa"/>
              <w:end w:w="0" w:type="dxa"/>
            </w:tcMar>
          </w:tcPr>
          <w:p>
            <w:pPr>
              <w:autoSpaceDN w:val="0"/>
              <w:autoSpaceDE w:val="0"/>
              <w:widowControl/>
              <w:spacing w:line="233" w:lineRule="auto" w:before="50" w:after="0"/>
              <w:ind w:left="0" w:right="0" w:firstLine="0"/>
              <w:jc w:val="right"/>
            </w:pPr>
            <w:r>
              <w:rPr>
                <w:rFonts w:ascii="Arial" w:hAnsi="Arial" w:eastAsia="Arial"/>
                <w:b w:val="0"/>
                <w:i w:val="0"/>
                <w:color w:val="000000"/>
                <w:sz w:val="16"/>
              </w:rPr>
              <w:t>58,791,646</w:t>
            </w:r>
          </w:p>
        </w:tc>
        <w:tc>
          <w:tcPr>
            <w:tcW w:type="dxa" w:w="1478"/>
            <w:tcBorders/>
            <w:tcMar>
              <w:start w:w="0" w:type="dxa"/>
              <w:end w:w="0" w:type="dxa"/>
            </w:tcMar>
          </w:tcPr>
          <w:p>
            <w:pPr>
              <w:autoSpaceDN w:val="0"/>
              <w:autoSpaceDE w:val="0"/>
              <w:widowControl/>
              <w:spacing w:line="233" w:lineRule="auto" w:before="50" w:after="0"/>
              <w:ind w:left="0" w:right="18" w:firstLine="0"/>
              <w:jc w:val="right"/>
            </w:pPr>
            <w:r>
              <w:rPr>
                <w:rFonts w:ascii="Arial" w:hAnsi="Arial" w:eastAsia="Arial"/>
                <w:b w:val="0"/>
                <w:i w:val="0"/>
                <w:color w:val="000000"/>
                <w:sz w:val="16"/>
              </w:rPr>
              <w:t xml:space="preserve">(57,599,940) </w:t>
            </w:r>
          </w:p>
        </w:tc>
        <w:tc>
          <w:tcPr>
            <w:tcW w:type="dxa" w:w="1474"/>
            <w:tcBorders/>
            <w:tcMar>
              <w:start w:w="0" w:type="dxa"/>
              <w:end w:w="0" w:type="dxa"/>
            </w:tcMar>
          </w:tcPr>
          <w:p>
            <w:pPr>
              <w:autoSpaceDN w:val="0"/>
              <w:autoSpaceDE w:val="0"/>
              <w:widowControl/>
              <w:spacing w:line="233" w:lineRule="auto" w:before="50" w:after="0"/>
              <w:ind w:left="336" w:right="0" w:firstLine="0"/>
              <w:jc w:val="left"/>
            </w:pPr>
            <w:r>
              <w:rPr>
                <w:rFonts w:ascii="Arial" w:hAnsi="Arial" w:eastAsia="Arial"/>
                <w:b w:val="0"/>
                <w:i w:val="0"/>
                <w:color w:val="000000"/>
                <w:sz w:val="16"/>
              </w:rPr>
              <w:t xml:space="preserve">1,929,477,867 </w:t>
            </w:r>
          </w:p>
        </w:tc>
        <w:tc>
          <w:tcPr>
            <w:tcW w:type="dxa" w:w="736"/>
            <w:tcBorders/>
            <w:tcMar>
              <w:start w:w="0" w:type="dxa"/>
              <w:end w:w="0" w:type="dxa"/>
            </w:tcMar>
          </w:tcPr>
          <w:p>
            <w:pPr>
              <w:autoSpaceDN w:val="0"/>
              <w:autoSpaceDE w:val="0"/>
              <w:widowControl/>
              <w:spacing w:line="160" w:lineRule="exact" w:before="48" w:after="0"/>
              <w:ind w:left="0" w:right="0" w:firstLine="0"/>
              <w:jc w:val="right"/>
            </w:pPr>
            <w:r>
              <w:rPr>
                <w:rFonts w:ascii="黑体" w:hAnsi="黑体" w:eastAsia="黑体"/>
                <w:b w:val="0"/>
                <w:i w:val="0"/>
                <w:color w:val="000000"/>
                <w:sz w:val="16"/>
              </w:rPr>
              <w:t>否</w:t>
            </w:r>
          </w:p>
        </w:tc>
      </w:tr>
      <w:tr>
        <w:trPr>
          <w:trHeight w:hRule="exact" w:val="176"/>
        </w:trPr>
        <w:tc>
          <w:tcPr>
            <w:tcW w:type="dxa" w:w="1860"/>
            <w:gridSpan w:val="2"/>
            <w:tcBorders/>
            <w:tcMar>
              <w:start w:w="0" w:type="dxa"/>
              <w:end w:w="0" w:type="dxa"/>
            </w:tcMar>
            <w:tcMar>
              <w:start w:w="0" w:type="dxa"/>
              <w:end w:w="0" w:type="dxa"/>
            </w:tcMar>
          </w:tcPr>
          <w:p>
            <w:pPr>
              <w:autoSpaceDN w:val="0"/>
              <w:autoSpaceDE w:val="0"/>
              <w:widowControl/>
              <w:spacing w:line="180" w:lineRule="exact" w:before="0" w:after="0"/>
              <w:ind w:left="0" w:right="0" w:firstLine="0"/>
              <w:jc w:val="left"/>
            </w:pPr>
            <w:r>
              <w:rPr>
                <w:rFonts w:ascii="Arial" w:hAnsi="Arial" w:eastAsia="Arial"/>
                <w:b w:val="0"/>
                <w:i w:val="0"/>
                <w:color w:val="000000"/>
                <w:sz w:val="16"/>
              </w:rPr>
              <w:t>22</w:t>
            </w:r>
            <w:r>
              <w:rPr>
                <w:rFonts w:ascii="黑体" w:hAnsi="黑体" w:eastAsia="黑体"/>
                <w:b w:val="0"/>
                <w:i w:val="0"/>
                <w:color w:val="000000"/>
                <w:sz w:val="16"/>
              </w:rPr>
              <w:t>山证</w:t>
            </w:r>
            <w:r>
              <w:rPr>
                <w:rFonts w:ascii="Arial" w:hAnsi="Arial" w:eastAsia="Arial"/>
                <w:b w:val="0"/>
                <w:i w:val="0"/>
                <w:color w:val="000000"/>
                <w:sz w:val="16"/>
              </w:rPr>
              <w:t xml:space="preserve">03 </w:t>
            </w:r>
          </w:p>
        </w:tc>
        <w:tc>
          <w:tcPr>
            <w:tcW w:type="dxa" w:w="9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6"/>
              </w:rPr>
              <w:t>2022/7/13</w:t>
            </w:r>
          </w:p>
        </w:tc>
        <w:tc>
          <w:tcPr>
            <w:tcW w:type="dxa" w:w="850"/>
            <w:tcBorders/>
            <w:tcMar>
              <w:start w:w="0" w:type="dxa"/>
              <w:end w:w="0" w:type="dxa"/>
            </w:tcMar>
          </w:tcPr>
          <w:p>
            <w:pPr>
              <w:autoSpaceDN w:val="0"/>
              <w:autoSpaceDE w:val="0"/>
              <w:widowControl/>
              <w:spacing w:line="180"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3.04 </w:t>
            </w:r>
          </w:p>
        </w:tc>
        <w:tc>
          <w:tcPr>
            <w:tcW w:type="dxa" w:w="1416"/>
            <w:tcBorders/>
            <w:tcMar>
              <w:start w:w="0" w:type="dxa"/>
              <w:end w:w="0" w:type="dxa"/>
            </w:tcMar>
          </w:tcPr>
          <w:p>
            <w:pPr>
              <w:autoSpaceDN w:val="0"/>
              <w:autoSpaceDE w:val="0"/>
              <w:widowControl/>
              <w:spacing w:line="233" w:lineRule="auto" w:before="0" w:after="0"/>
              <w:ind w:left="280" w:right="0" w:firstLine="0"/>
              <w:jc w:val="left"/>
            </w:pPr>
            <w:r>
              <w:rPr>
                <w:rFonts w:ascii="Arial" w:hAnsi="Arial" w:eastAsia="Arial"/>
                <w:b w:val="0"/>
                <w:i w:val="0"/>
                <w:color w:val="000000"/>
                <w:sz w:val="16"/>
              </w:rPr>
              <w:t xml:space="preserve">2,000,000,000 </w:t>
            </w:r>
          </w:p>
        </w:tc>
        <w:tc>
          <w:tcPr>
            <w:tcW w:type="dxa" w:w="1362"/>
            <w:tcBorders/>
            <w:tcMar>
              <w:start w:w="0" w:type="dxa"/>
              <w:end w:w="0" w:type="dxa"/>
            </w:tcMar>
          </w:tcPr>
          <w:p>
            <w:pPr>
              <w:autoSpaceDN w:val="0"/>
              <w:autoSpaceDE w:val="0"/>
              <w:widowControl/>
              <w:spacing w:line="233" w:lineRule="auto" w:before="0" w:after="0"/>
              <w:ind w:left="338" w:right="0" w:firstLine="0"/>
              <w:jc w:val="left"/>
            </w:pPr>
            <w:r>
              <w:rPr>
                <w:rFonts w:ascii="Arial" w:hAnsi="Arial" w:eastAsia="Arial"/>
                <w:b w:val="0"/>
                <w:i w:val="0"/>
                <w:color w:val="000000"/>
                <w:sz w:val="16"/>
              </w:rPr>
              <w:t>2,026,718,193</w:t>
            </w:r>
          </w:p>
        </w:tc>
        <w:tc>
          <w:tcPr>
            <w:tcW w:type="dxa" w:w="118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60,878,281</w:t>
            </w:r>
          </w:p>
        </w:tc>
        <w:tc>
          <w:tcPr>
            <w:tcW w:type="dxa" w:w="1478"/>
            <w:tcBorders/>
            <w:tcMar>
              <w:start w:w="0" w:type="dxa"/>
              <w:end w:w="0" w:type="dxa"/>
            </w:tcMar>
          </w:tcPr>
          <w:p>
            <w:pPr>
              <w:autoSpaceDN w:val="0"/>
              <w:autoSpaceDE w:val="0"/>
              <w:widowControl/>
              <w:spacing w:line="233" w:lineRule="auto" w:before="0" w:after="0"/>
              <w:ind w:left="0" w:right="18" w:firstLine="0"/>
              <w:jc w:val="right"/>
            </w:pPr>
            <w:r>
              <w:rPr>
                <w:rFonts w:ascii="Arial" w:hAnsi="Arial" w:eastAsia="Arial"/>
                <w:b w:val="0"/>
                <w:i w:val="0"/>
                <w:color w:val="000000"/>
                <w:sz w:val="16"/>
              </w:rPr>
              <w:t xml:space="preserve">(59,631,081) </w:t>
            </w:r>
          </w:p>
        </w:tc>
        <w:tc>
          <w:tcPr>
            <w:tcW w:type="dxa" w:w="1474"/>
            <w:tcBorders/>
            <w:tcMar>
              <w:start w:w="0" w:type="dxa"/>
              <w:end w:w="0" w:type="dxa"/>
            </w:tcMar>
          </w:tcPr>
          <w:p>
            <w:pPr>
              <w:autoSpaceDN w:val="0"/>
              <w:autoSpaceDE w:val="0"/>
              <w:widowControl/>
              <w:spacing w:line="233" w:lineRule="auto" w:before="0" w:after="0"/>
              <w:ind w:left="336" w:right="0" w:firstLine="0"/>
              <w:jc w:val="left"/>
            </w:pPr>
            <w:r>
              <w:rPr>
                <w:rFonts w:ascii="Arial" w:hAnsi="Arial" w:eastAsia="Arial"/>
                <w:b w:val="0"/>
                <w:i w:val="0"/>
                <w:color w:val="000000"/>
                <w:sz w:val="16"/>
              </w:rPr>
              <w:t xml:space="preserve">2,027,965,393 </w:t>
            </w:r>
          </w:p>
        </w:tc>
        <w:tc>
          <w:tcPr>
            <w:tcW w:type="dxa" w:w="736"/>
            <w:tcBorders/>
            <w:tcMar>
              <w:start w:w="0" w:type="dxa"/>
              <w:end w:w="0" w:type="dxa"/>
            </w:tcMar>
          </w:tcPr>
          <w:p>
            <w:pPr>
              <w:autoSpaceDN w:val="0"/>
              <w:autoSpaceDE w:val="0"/>
              <w:widowControl/>
              <w:spacing w:line="160" w:lineRule="exact" w:before="10" w:after="0"/>
              <w:ind w:left="0" w:right="0" w:firstLine="0"/>
              <w:jc w:val="right"/>
            </w:pPr>
            <w:r>
              <w:rPr>
                <w:rFonts w:ascii="黑体" w:hAnsi="黑体" w:eastAsia="黑体"/>
                <w:b w:val="0"/>
                <w:i w:val="0"/>
                <w:color w:val="000000"/>
                <w:sz w:val="16"/>
              </w:rPr>
              <w:t>否</w:t>
            </w:r>
          </w:p>
        </w:tc>
      </w:tr>
      <w:tr>
        <w:trPr>
          <w:trHeight w:hRule="exact" w:val="238"/>
        </w:trPr>
        <w:tc>
          <w:tcPr>
            <w:tcW w:type="dxa" w:w="1860"/>
            <w:gridSpan w:val="2"/>
            <w:tcBorders/>
            <w:tcMar>
              <w:start w:w="0" w:type="dxa"/>
              <w:end w:w="0" w:type="dxa"/>
            </w:tcMar>
            <w:tcMar>
              <w:start w:w="0" w:type="dxa"/>
              <w:end w:w="0" w:type="dxa"/>
            </w:tcMar>
          </w:tcPr>
          <w:p>
            <w:pPr>
              <w:autoSpaceDN w:val="0"/>
              <w:autoSpaceDE w:val="0"/>
              <w:widowControl/>
              <w:spacing w:line="178" w:lineRule="exact" w:before="36" w:after="0"/>
              <w:ind w:left="0" w:right="0" w:firstLine="0"/>
              <w:jc w:val="left"/>
            </w:pPr>
            <w:r>
              <w:rPr>
                <w:rFonts w:ascii="Arial" w:hAnsi="Arial" w:eastAsia="Arial"/>
                <w:b w:val="0"/>
                <w:i w:val="0"/>
                <w:color w:val="000000"/>
                <w:sz w:val="16"/>
              </w:rPr>
              <w:t>22</w:t>
            </w:r>
            <w:r>
              <w:rPr>
                <w:rFonts w:ascii="黑体" w:hAnsi="黑体" w:eastAsia="黑体"/>
                <w:b w:val="0"/>
                <w:i w:val="0"/>
                <w:color w:val="000000"/>
                <w:sz w:val="16"/>
              </w:rPr>
              <w:t>山证</w:t>
            </w:r>
            <w:r>
              <w:rPr>
                <w:rFonts w:ascii="Arial" w:hAnsi="Arial" w:eastAsia="Arial"/>
                <w:b w:val="0"/>
                <w:i w:val="0"/>
                <w:color w:val="000000"/>
                <w:sz w:val="16"/>
              </w:rPr>
              <w:t xml:space="preserve">05 </w:t>
            </w:r>
          </w:p>
        </w:tc>
        <w:tc>
          <w:tcPr>
            <w:tcW w:type="dxa" w:w="900"/>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22" w:after="0"/>
              <w:ind w:left="0" w:right="114" w:firstLine="0"/>
              <w:jc w:val="right"/>
            </w:pPr>
            <w:r>
              <w:rPr>
                <w:rFonts w:ascii="Arial" w:hAnsi="Arial" w:eastAsia="Arial"/>
                <w:b w:val="0"/>
                <w:i w:val="0"/>
                <w:color w:val="000000"/>
                <w:sz w:val="16"/>
              </w:rPr>
              <w:t>2022/7/25</w:t>
            </w:r>
          </w:p>
        </w:tc>
        <w:tc>
          <w:tcPr>
            <w:tcW w:type="dxa" w:w="850"/>
            <w:tcBorders/>
            <w:tcMar>
              <w:start w:w="0" w:type="dxa"/>
              <w:end w:w="0" w:type="dxa"/>
            </w:tcMar>
          </w:tcPr>
          <w:p>
            <w:pPr>
              <w:autoSpaceDN w:val="0"/>
              <w:autoSpaceDE w:val="0"/>
              <w:widowControl/>
              <w:spacing w:line="178" w:lineRule="exact" w:before="36"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46" w:after="0"/>
              <w:ind w:left="0" w:right="70" w:firstLine="0"/>
              <w:jc w:val="right"/>
            </w:pPr>
            <w:r>
              <w:rPr>
                <w:rFonts w:ascii="Arial" w:hAnsi="Arial" w:eastAsia="Arial"/>
                <w:b w:val="0"/>
                <w:i w:val="0"/>
                <w:color w:val="000000"/>
                <w:sz w:val="16"/>
              </w:rPr>
              <w:t xml:space="preserve">2.89 </w:t>
            </w:r>
          </w:p>
        </w:tc>
        <w:tc>
          <w:tcPr>
            <w:tcW w:type="dxa" w:w="1416"/>
            <w:tcBorders/>
            <w:tcMar>
              <w:start w:w="0" w:type="dxa"/>
              <w:end w:w="0" w:type="dxa"/>
            </w:tcMar>
          </w:tcPr>
          <w:p>
            <w:pPr>
              <w:autoSpaceDN w:val="0"/>
              <w:autoSpaceDE w:val="0"/>
              <w:widowControl/>
              <w:spacing w:line="230" w:lineRule="auto" w:before="46" w:after="0"/>
              <w:ind w:left="0" w:right="68" w:firstLine="0"/>
              <w:jc w:val="right"/>
            </w:pPr>
            <w:r>
              <w:rPr>
                <w:rFonts w:ascii="Arial" w:hAnsi="Arial" w:eastAsia="Arial"/>
                <w:b w:val="0"/>
                <w:i w:val="0"/>
                <w:color w:val="000000"/>
                <w:sz w:val="16"/>
              </w:rPr>
              <w:t xml:space="preserve">800,000,000 </w:t>
            </w:r>
          </w:p>
        </w:tc>
        <w:tc>
          <w:tcPr>
            <w:tcW w:type="dxa" w:w="1362"/>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6"/>
              </w:rPr>
              <w:t>809,348,604</w:t>
            </w:r>
          </w:p>
        </w:tc>
        <w:tc>
          <w:tcPr>
            <w:tcW w:type="dxa" w:w="1188"/>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23,147,691</w:t>
            </w:r>
          </w:p>
        </w:tc>
        <w:tc>
          <w:tcPr>
            <w:tcW w:type="dxa" w:w="1478"/>
            <w:tcBorders/>
            <w:tcMar>
              <w:start w:w="0" w:type="dxa"/>
              <w:end w:w="0" w:type="dxa"/>
            </w:tcMar>
          </w:tcPr>
          <w:p>
            <w:pPr>
              <w:autoSpaceDN w:val="0"/>
              <w:autoSpaceDE w:val="0"/>
              <w:widowControl/>
              <w:spacing w:line="230" w:lineRule="auto" w:before="46" w:after="0"/>
              <w:ind w:left="0" w:right="18" w:firstLine="0"/>
              <w:jc w:val="right"/>
            </w:pPr>
            <w:r>
              <w:rPr>
                <w:rFonts w:ascii="Arial" w:hAnsi="Arial" w:eastAsia="Arial"/>
                <w:b w:val="0"/>
                <w:i w:val="0"/>
                <w:color w:val="000000"/>
                <w:sz w:val="16"/>
              </w:rPr>
              <w:t xml:space="preserve">(22,652,362) </w:t>
            </w:r>
          </w:p>
        </w:tc>
        <w:tc>
          <w:tcPr>
            <w:tcW w:type="dxa" w:w="1474"/>
            <w:tcBorders/>
            <w:tcMar>
              <w:start w:w="0" w:type="dxa"/>
              <w:end w:w="0" w:type="dxa"/>
            </w:tcMar>
          </w:tcPr>
          <w:p>
            <w:pPr>
              <w:autoSpaceDN w:val="0"/>
              <w:autoSpaceDE w:val="0"/>
              <w:widowControl/>
              <w:spacing w:line="230" w:lineRule="auto" w:before="46" w:after="0"/>
              <w:ind w:left="0" w:right="72" w:firstLine="0"/>
              <w:jc w:val="right"/>
            </w:pPr>
            <w:r>
              <w:rPr>
                <w:rFonts w:ascii="Arial" w:hAnsi="Arial" w:eastAsia="Arial"/>
                <w:b w:val="0"/>
                <w:i w:val="0"/>
                <w:color w:val="000000"/>
                <w:sz w:val="16"/>
              </w:rPr>
              <w:t xml:space="preserve">809,843,933 </w:t>
            </w:r>
          </w:p>
        </w:tc>
        <w:tc>
          <w:tcPr>
            <w:tcW w:type="dxa" w:w="736"/>
            <w:tcBorders/>
            <w:tcMar>
              <w:start w:w="0" w:type="dxa"/>
              <w:end w:w="0" w:type="dxa"/>
            </w:tcMar>
          </w:tcPr>
          <w:p>
            <w:pPr>
              <w:autoSpaceDN w:val="0"/>
              <w:autoSpaceDE w:val="0"/>
              <w:widowControl/>
              <w:spacing w:line="162" w:lineRule="exact" w:before="42" w:after="0"/>
              <w:ind w:left="0" w:right="0" w:firstLine="0"/>
              <w:jc w:val="right"/>
            </w:pPr>
            <w:r>
              <w:rPr>
                <w:rFonts w:ascii="黑体" w:hAnsi="黑体" w:eastAsia="黑体"/>
                <w:b w:val="0"/>
                <w:i w:val="0"/>
                <w:color w:val="000000"/>
                <w:sz w:val="16"/>
              </w:rPr>
              <w:t>否</w:t>
            </w:r>
          </w:p>
        </w:tc>
      </w:tr>
      <w:tr>
        <w:trPr>
          <w:trHeight w:hRule="exact" w:val="206"/>
        </w:trPr>
        <w:tc>
          <w:tcPr>
            <w:tcW w:type="dxa" w:w="1860"/>
            <w:gridSpan w:val="2"/>
            <w:tcBorders/>
            <w:tcMar>
              <w:start w:w="0" w:type="dxa"/>
              <w:end w:w="0" w:type="dxa"/>
            </w:tcMar>
            <w:tcMar>
              <w:start w:w="0" w:type="dxa"/>
              <w:end w:w="0" w:type="dxa"/>
            </w:tcMar>
          </w:tcPr>
          <w:p>
            <w:pPr>
              <w:autoSpaceDN w:val="0"/>
              <w:autoSpaceDE w:val="0"/>
              <w:widowControl/>
              <w:spacing w:line="180" w:lineRule="exact" w:before="4" w:after="0"/>
              <w:ind w:left="0" w:right="0" w:firstLine="0"/>
              <w:jc w:val="left"/>
            </w:pPr>
            <w:r>
              <w:rPr>
                <w:rFonts w:ascii="Arial" w:hAnsi="Arial" w:eastAsia="Arial"/>
                <w:b w:val="0"/>
                <w:i w:val="0"/>
                <w:color w:val="000000"/>
                <w:sz w:val="16"/>
              </w:rPr>
              <w:t>21</w:t>
            </w:r>
            <w:r>
              <w:rPr>
                <w:rFonts w:ascii="黑体" w:hAnsi="黑体" w:eastAsia="黑体"/>
                <w:b w:val="0"/>
                <w:i w:val="0"/>
                <w:color w:val="000000"/>
                <w:sz w:val="16"/>
              </w:rPr>
              <w:t>山证</w:t>
            </w:r>
            <w:r>
              <w:rPr>
                <w:rFonts w:ascii="Arial" w:hAnsi="Arial" w:eastAsia="Arial"/>
                <w:b w:val="0"/>
                <w:i w:val="0"/>
                <w:color w:val="000000"/>
                <w:sz w:val="16"/>
              </w:rPr>
              <w:t xml:space="preserve">C1 </w:t>
            </w:r>
          </w:p>
        </w:tc>
        <w:tc>
          <w:tcPr>
            <w:tcW w:type="dxa" w:w="900"/>
            <w:tcBorders/>
            <w:tcMar>
              <w:start w:w="0" w:type="dxa"/>
              <w:end w:w="0" w:type="dxa"/>
            </w:tcMar>
          </w:tcPr>
          <w:p>
            <w:pPr>
              <w:autoSpaceDN w:val="0"/>
              <w:autoSpaceDE w:val="0"/>
              <w:widowControl/>
              <w:spacing w:line="230" w:lineRule="auto" w:before="14"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0" w:after="0"/>
              <w:ind w:left="0" w:right="114" w:firstLine="0"/>
              <w:jc w:val="right"/>
            </w:pPr>
            <w:r>
              <w:rPr>
                <w:rFonts w:ascii="Arial" w:hAnsi="Arial" w:eastAsia="Arial"/>
                <w:b w:val="0"/>
                <w:i w:val="0"/>
                <w:color w:val="000000"/>
                <w:sz w:val="16"/>
              </w:rPr>
              <w:t>2021/2/9</w:t>
            </w:r>
          </w:p>
        </w:tc>
        <w:tc>
          <w:tcPr>
            <w:tcW w:type="dxa" w:w="850"/>
            <w:tcBorders/>
            <w:tcMar>
              <w:start w:w="0" w:type="dxa"/>
              <w:end w:w="0" w:type="dxa"/>
            </w:tcMar>
          </w:tcPr>
          <w:p>
            <w:pPr>
              <w:autoSpaceDN w:val="0"/>
              <w:autoSpaceDE w:val="0"/>
              <w:widowControl/>
              <w:spacing w:line="180" w:lineRule="exact" w:before="4"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14" w:after="0"/>
              <w:ind w:left="0" w:right="70" w:firstLine="0"/>
              <w:jc w:val="right"/>
            </w:pPr>
            <w:r>
              <w:rPr>
                <w:rFonts w:ascii="Arial" w:hAnsi="Arial" w:eastAsia="Arial"/>
                <w:b w:val="0"/>
                <w:i w:val="0"/>
                <w:color w:val="000000"/>
                <w:sz w:val="16"/>
              </w:rPr>
              <w:t xml:space="preserve">4.68 </w:t>
            </w:r>
          </w:p>
        </w:tc>
        <w:tc>
          <w:tcPr>
            <w:tcW w:type="dxa" w:w="1416"/>
            <w:tcBorders/>
            <w:tcMar>
              <w:start w:w="0" w:type="dxa"/>
              <w:end w:w="0" w:type="dxa"/>
            </w:tcMar>
          </w:tcPr>
          <w:p>
            <w:pPr>
              <w:autoSpaceDN w:val="0"/>
              <w:autoSpaceDE w:val="0"/>
              <w:widowControl/>
              <w:spacing w:line="230" w:lineRule="auto" w:before="14" w:after="0"/>
              <w:ind w:left="280" w:right="0" w:firstLine="0"/>
              <w:jc w:val="left"/>
            </w:pPr>
            <w:r>
              <w:rPr>
                <w:rFonts w:ascii="Arial" w:hAnsi="Arial" w:eastAsia="Arial"/>
                <w:b w:val="0"/>
                <w:i w:val="0"/>
                <w:color w:val="000000"/>
                <w:sz w:val="16"/>
              </w:rPr>
              <w:t xml:space="preserve">1,000,000,000 </w:t>
            </w:r>
          </w:p>
        </w:tc>
        <w:tc>
          <w:tcPr>
            <w:tcW w:type="dxa" w:w="1362"/>
            <w:tcBorders/>
            <w:tcMar>
              <w:start w:w="0" w:type="dxa"/>
              <w:end w:w="0" w:type="dxa"/>
            </w:tcMar>
          </w:tcPr>
          <w:p>
            <w:pPr>
              <w:autoSpaceDN w:val="0"/>
              <w:autoSpaceDE w:val="0"/>
              <w:widowControl/>
              <w:spacing w:line="230" w:lineRule="auto" w:before="14" w:after="0"/>
              <w:ind w:left="338" w:right="0" w:firstLine="0"/>
              <w:jc w:val="left"/>
            </w:pPr>
            <w:r>
              <w:rPr>
                <w:rFonts w:ascii="Arial" w:hAnsi="Arial" w:eastAsia="Arial"/>
                <w:b w:val="0"/>
                <w:i w:val="0"/>
                <w:color w:val="000000"/>
                <w:sz w:val="16"/>
              </w:rPr>
              <w:t>1,041,803,299</w:t>
            </w:r>
          </w:p>
        </w:tc>
        <w:tc>
          <w:tcPr>
            <w:tcW w:type="dxa" w:w="1188"/>
            <w:tcBorders/>
            <w:tcMar>
              <w:start w:w="0" w:type="dxa"/>
              <w:end w:w="0" w:type="dxa"/>
            </w:tcMar>
          </w:tcPr>
          <w:p>
            <w:pPr>
              <w:autoSpaceDN w:val="0"/>
              <w:autoSpaceDE w:val="0"/>
              <w:widowControl/>
              <w:spacing w:line="230" w:lineRule="auto" w:before="14" w:after="0"/>
              <w:ind w:left="0" w:right="0" w:firstLine="0"/>
              <w:jc w:val="right"/>
            </w:pPr>
            <w:r>
              <w:rPr>
                <w:rFonts w:ascii="Arial" w:hAnsi="Arial" w:eastAsia="Arial"/>
                <w:b w:val="0"/>
                <w:i w:val="0"/>
                <w:color w:val="000000"/>
                <w:sz w:val="16"/>
              </w:rPr>
              <w:t>5,035,364</w:t>
            </w:r>
          </w:p>
        </w:tc>
        <w:tc>
          <w:tcPr>
            <w:tcW w:type="dxa" w:w="1478"/>
            <w:tcBorders/>
            <w:tcMar>
              <w:start w:w="0" w:type="dxa"/>
              <w:end w:w="0" w:type="dxa"/>
            </w:tcMar>
          </w:tcPr>
          <w:p>
            <w:pPr>
              <w:autoSpaceDN w:val="0"/>
              <w:autoSpaceDE w:val="0"/>
              <w:widowControl/>
              <w:spacing w:line="230" w:lineRule="auto" w:before="14" w:after="0"/>
              <w:ind w:left="284" w:right="0" w:firstLine="0"/>
              <w:jc w:val="left"/>
            </w:pPr>
            <w:r>
              <w:rPr>
                <w:rFonts w:ascii="Arial" w:hAnsi="Arial" w:eastAsia="Arial"/>
                <w:b w:val="0"/>
                <w:i w:val="0"/>
                <w:color w:val="000000"/>
                <w:sz w:val="16"/>
              </w:rPr>
              <w:t xml:space="preserve">(1,046,838,663) </w:t>
            </w:r>
          </w:p>
        </w:tc>
        <w:tc>
          <w:tcPr>
            <w:tcW w:type="dxa" w:w="1474"/>
            <w:tcBorders/>
            <w:tcMar>
              <w:start w:w="0" w:type="dxa"/>
              <w:end w:w="0" w:type="dxa"/>
            </w:tcMar>
          </w:tcPr>
          <w:p>
            <w:pPr>
              <w:autoSpaceDN w:val="0"/>
              <w:autoSpaceDE w:val="0"/>
              <w:widowControl/>
              <w:spacing w:line="230" w:lineRule="auto" w:before="14" w:after="0"/>
              <w:ind w:left="0" w:right="72" w:firstLine="0"/>
              <w:jc w:val="right"/>
            </w:pPr>
            <w:r>
              <w:rPr>
                <w:rFonts w:ascii="Arial" w:hAnsi="Arial" w:eastAsia="Arial"/>
                <w:b w:val="0"/>
                <w:i w:val="0"/>
                <w:color w:val="000000"/>
                <w:sz w:val="16"/>
              </w:rPr>
              <w:t xml:space="preserve">- </w:t>
            </w:r>
          </w:p>
        </w:tc>
        <w:tc>
          <w:tcPr>
            <w:tcW w:type="dxa" w:w="736"/>
            <w:tcBorders/>
            <w:tcMar>
              <w:start w:w="0" w:type="dxa"/>
              <w:end w:w="0" w:type="dxa"/>
            </w:tcMar>
          </w:tcPr>
          <w:p>
            <w:pPr>
              <w:autoSpaceDN w:val="0"/>
              <w:autoSpaceDE w:val="0"/>
              <w:widowControl/>
              <w:spacing w:line="160" w:lineRule="exact" w:before="12" w:after="0"/>
              <w:ind w:left="0" w:right="0" w:firstLine="0"/>
              <w:jc w:val="right"/>
            </w:pPr>
            <w:r>
              <w:rPr>
                <w:rFonts w:ascii="黑体" w:hAnsi="黑体" w:eastAsia="黑体"/>
                <w:b w:val="0"/>
                <w:i w:val="0"/>
                <w:color w:val="000000"/>
                <w:sz w:val="16"/>
              </w:rPr>
              <w:t>否</w:t>
            </w:r>
          </w:p>
        </w:tc>
      </w:tr>
      <w:tr>
        <w:trPr>
          <w:trHeight w:hRule="exact" w:val="176"/>
        </w:trPr>
        <w:tc>
          <w:tcPr>
            <w:tcW w:type="dxa" w:w="1860"/>
            <w:gridSpan w:val="2"/>
            <w:tcBorders/>
            <w:tcMar>
              <w:start w:w="0" w:type="dxa"/>
              <w:end w:w="0" w:type="dxa"/>
            </w:tcMar>
            <w:tcMar>
              <w:start w:w="0" w:type="dxa"/>
              <w:end w:w="0" w:type="dxa"/>
            </w:tcMar>
          </w:tcPr>
          <w:p>
            <w:pPr>
              <w:autoSpaceDN w:val="0"/>
              <w:autoSpaceDE w:val="0"/>
              <w:widowControl/>
              <w:spacing w:line="180" w:lineRule="exact" w:before="0" w:after="0"/>
              <w:ind w:left="0" w:right="0" w:firstLine="0"/>
              <w:jc w:val="left"/>
            </w:pPr>
            <w:r>
              <w:rPr>
                <w:rFonts w:ascii="Arial" w:hAnsi="Arial" w:eastAsia="Arial"/>
                <w:b w:val="0"/>
                <w:i w:val="0"/>
                <w:color w:val="000000"/>
                <w:sz w:val="16"/>
              </w:rPr>
              <w:t>21</w:t>
            </w:r>
            <w:r>
              <w:rPr>
                <w:rFonts w:ascii="黑体" w:hAnsi="黑体" w:eastAsia="黑体"/>
                <w:b w:val="0"/>
                <w:i w:val="0"/>
                <w:color w:val="000000"/>
                <w:sz w:val="16"/>
              </w:rPr>
              <w:t>山证</w:t>
            </w:r>
            <w:r>
              <w:rPr>
                <w:rFonts w:ascii="Arial" w:hAnsi="Arial" w:eastAsia="Arial"/>
                <w:b w:val="0"/>
                <w:i w:val="0"/>
                <w:color w:val="000000"/>
                <w:sz w:val="16"/>
              </w:rPr>
              <w:t xml:space="preserve">C2 </w:t>
            </w:r>
          </w:p>
        </w:tc>
        <w:tc>
          <w:tcPr>
            <w:tcW w:type="dxa" w:w="9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6"/>
              </w:rPr>
              <w:t>2021/8/30</w:t>
            </w:r>
          </w:p>
        </w:tc>
        <w:tc>
          <w:tcPr>
            <w:tcW w:type="dxa" w:w="850"/>
            <w:tcBorders/>
            <w:tcMar>
              <w:start w:w="0" w:type="dxa"/>
              <w:end w:w="0" w:type="dxa"/>
            </w:tcMar>
          </w:tcPr>
          <w:p>
            <w:pPr>
              <w:autoSpaceDN w:val="0"/>
              <w:autoSpaceDE w:val="0"/>
              <w:widowControl/>
              <w:spacing w:line="180"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3.98 </w:t>
            </w:r>
          </w:p>
        </w:tc>
        <w:tc>
          <w:tcPr>
            <w:tcW w:type="dxa" w:w="1416"/>
            <w:tcBorders/>
            <w:tcMar>
              <w:start w:w="0" w:type="dxa"/>
              <w:end w:w="0" w:type="dxa"/>
            </w:tcMar>
          </w:tcPr>
          <w:p>
            <w:pPr>
              <w:autoSpaceDN w:val="0"/>
              <w:autoSpaceDE w:val="0"/>
              <w:widowControl/>
              <w:spacing w:line="233" w:lineRule="auto" w:before="0" w:after="0"/>
              <w:ind w:left="0" w:right="68" w:firstLine="0"/>
              <w:jc w:val="right"/>
            </w:pPr>
            <w:r>
              <w:rPr>
                <w:rFonts w:ascii="Arial" w:hAnsi="Arial" w:eastAsia="Arial"/>
                <w:b w:val="0"/>
                <w:i w:val="0"/>
                <w:color w:val="000000"/>
                <w:sz w:val="16"/>
              </w:rPr>
              <w:t xml:space="preserve">700,000,000 </w:t>
            </w:r>
          </w:p>
        </w:tc>
        <w:tc>
          <w:tcPr>
            <w:tcW w:type="dxa" w:w="1362"/>
            <w:tcBorders/>
            <w:tcMar>
              <w:start w:w="0" w:type="dxa"/>
              <w:end w:w="0" w:type="dxa"/>
            </w:tcMar>
          </w:tcPr>
          <w:p>
            <w:pPr>
              <w:autoSpaceDN w:val="0"/>
              <w:autoSpaceDE w:val="0"/>
              <w:widowControl/>
              <w:spacing w:line="233" w:lineRule="auto" w:before="0" w:after="0"/>
              <w:ind w:left="0" w:right="2" w:firstLine="0"/>
              <w:jc w:val="right"/>
            </w:pPr>
            <w:r>
              <w:rPr>
                <w:rFonts w:ascii="Arial" w:hAnsi="Arial" w:eastAsia="Arial"/>
                <w:b w:val="0"/>
                <w:i w:val="0"/>
                <w:color w:val="000000"/>
                <w:sz w:val="16"/>
              </w:rPr>
              <w:t>709,395,874</w:t>
            </w:r>
          </w:p>
        </w:tc>
        <w:tc>
          <w:tcPr>
            <w:tcW w:type="dxa" w:w="118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18,222,475</w:t>
            </w:r>
          </w:p>
        </w:tc>
        <w:tc>
          <w:tcPr>
            <w:tcW w:type="dxa" w:w="1478"/>
            <w:tcBorders/>
            <w:tcMar>
              <w:start w:w="0" w:type="dxa"/>
              <w:end w:w="0" w:type="dxa"/>
            </w:tcMar>
          </w:tcPr>
          <w:p>
            <w:pPr>
              <w:autoSpaceDN w:val="0"/>
              <w:autoSpaceDE w:val="0"/>
              <w:widowControl/>
              <w:spacing w:line="233" w:lineRule="auto" w:before="0" w:after="0"/>
              <w:ind w:left="0" w:right="18" w:firstLine="0"/>
              <w:jc w:val="right"/>
            </w:pPr>
            <w:r>
              <w:rPr>
                <w:rFonts w:ascii="Arial" w:hAnsi="Arial" w:eastAsia="Arial"/>
                <w:b w:val="0"/>
                <w:i w:val="0"/>
                <w:color w:val="000000"/>
                <w:sz w:val="16"/>
              </w:rPr>
              <w:t xml:space="preserve">(727,618,349) </w:t>
            </w:r>
          </w:p>
        </w:tc>
        <w:tc>
          <w:tcPr>
            <w:tcW w:type="dxa" w:w="147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6"/>
              </w:rPr>
              <w:t xml:space="preserve">- </w:t>
            </w:r>
          </w:p>
        </w:tc>
        <w:tc>
          <w:tcPr>
            <w:tcW w:type="dxa" w:w="736"/>
            <w:tcBorders/>
            <w:tcMar>
              <w:start w:w="0" w:type="dxa"/>
              <w:end w:w="0" w:type="dxa"/>
            </w:tcMar>
          </w:tcPr>
          <w:p>
            <w:pPr>
              <w:autoSpaceDN w:val="0"/>
              <w:autoSpaceDE w:val="0"/>
              <w:widowControl/>
              <w:spacing w:line="160" w:lineRule="exact" w:before="14" w:after="0"/>
              <w:ind w:left="0" w:right="0" w:firstLine="0"/>
              <w:jc w:val="right"/>
            </w:pPr>
            <w:r>
              <w:rPr>
                <w:rFonts w:ascii="黑体" w:hAnsi="黑体" w:eastAsia="黑体"/>
                <w:b w:val="0"/>
                <w:i w:val="0"/>
                <w:color w:val="000000"/>
                <w:sz w:val="16"/>
              </w:rPr>
              <w:t>否</w:t>
            </w:r>
          </w:p>
        </w:tc>
      </w:tr>
      <w:tr>
        <w:trPr>
          <w:trHeight w:hRule="exact" w:val="240"/>
        </w:trPr>
        <w:tc>
          <w:tcPr>
            <w:tcW w:type="dxa" w:w="1860"/>
            <w:gridSpan w:val="2"/>
            <w:tcBorders/>
            <w:tcMar>
              <w:start w:w="0" w:type="dxa"/>
              <w:end w:w="0" w:type="dxa"/>
            </w:tcMar>
            <w:tcMar>
              <w:start w:w="0" w:type="dxa"/>
              <w:end w:w="0" w:type="dxa"/>
            </w:tcMar>
          </w:tcPr>
          <w:p>
            <w:pPr>
              <w:autoSpaceDN w:val="0"/>
              <w:autoSpaceDE w:val="0"/>
              <w:widowControl/>
              <w:spacing w:line="178" w:lineRule="exact" w:before="38" w:after="0"/>
              <w:ind w:left="0" w:right="0" w:firstLine="0"/>
              <w:jc w:val="left"/>
            </w:pPr>
            <w:r>
              <w:rPr>
                <w:rFonts w:ascii="Arial" w:hAnsi="Arial" w:eastAsia="Arial"/>
                <w:b w:val="0"/>
                <w:i w:val="0"/>
                <w:color w:val="000000"/>
                <w:sz w:val="16"/>
              </w:rPr>
              <w:t>21</w:t>
            </w:r>
            <w:r>
              <w:rPr>
                <w:rFonts w:ascii="黑体" w:hAnsi="黑体" w:eastAsia="黑体"/>
                <w:b w:val="0"/>
                <w:i w:val="0"/>
                <w:color w:val="000000"/>
                <w:sz w:val="16"/>
              </w:rPr>
              <w:t>山证</w:t>
            </w:r>
            <w:r>
              <w:rPr>
                <w:rFonts w:ascii="Arial" w:hAnsi="Arial" w:eastAsia="Arial"/>
                <w:b w:val="0"/>
                <w:i w:val="0"/>
                <w:color w:val="000000"/>
                <w:sz w:val="16"/>
              </w:rPr>
              <w:t xml:space="preserve">C3 </w:t>
            </w:r>
          </w:p>
        </w:tc>
        <w:tc>
          <w:tcPr>
            <w:tcW w:type="dxa" w:w="9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22" w:after="0"/>
              <w:ind w:left="0" w:right="114" w:firstLine="0"/>
              <w:jc w:val="right"/>
            </w:pPr>
            <w:r>
              <w:rPr>
                <w:rFonts w:ascii="Arial" w:hAnsi="Arial" w:eastAsia="Arial"/>
                <w:b w:val="0"/>
                <w:i w:val="0"/>
                <w:color w:val="000000"/>
                <w:sz w:val="16"/>
              </w:rPr>
              <w:t>2021/12/24</w:t>
            </w:r>
          </w:p>
        </w:tc>
        <w:tc>
          <w:tcPr>
            <w:tcW w:type="dxa" w:w="850"/>
            <w:tcBorders/>
            <w:tcMar>
              <w:start w:w="0" w:type="dxa"/>
              <w:end w:w="0" w:type="dxa"/>
            </w:tcMar>
          </w:tcPr>
          <w:p>
            <w:pPr>
              <w:autoSpaceDN w:val="0"/>
              <w:autoSpaceDE w:val="0"/>
              <w:widowControl/>
              <w:spacing w:line="178" w:lineRule="exact" w:before="38"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46" w:after="0"/>
              <w:ind w:left="0" w:right="70" w:firstLine="0"/>
              <w:jc w:val="right"/>
            </w:pPr>
            <w:r>
              <w:rPr>
                <w:rFonts w:ascii="Arial" w:hAnsi="Arial" w:eastAsia="Arial"/>
                <w:b w:val="0"/>
                <w:i w:val="0"/>
                <w:color w:val="000000"/>
                <w:sz w:val="16"/>
              </w:rPr>
              <w:t xml:space="preserve">3.80 </w:t>
            </w:r>
          </w:p>
        </w:tc>
        <w:tc>
          <w:tcPr>
            <w:tcW w:type="dxa" w:w="1416"/>
            <w:tcBorders/>
            <w:tcMar>
              <w:start w:w="0" w:type="dxa"/>
              <w:end w:w="0" w:type="dxa"/>
            </w:tcMar>
          </w:tcPr>
          <w:p>
            <w:pPr>
              <w:autoSpaceDN w:val="0"/>
              <w:autoSpaceDE w:val="0"/>
              <w:widowControl/>
              <w:spacing w:line="233" w:lineRule="auto" w:before="46" w:after="0"/>
              <w:ind w:left="280" w:right="0" w:firstLine="0"/>
              <w:jc w:val="left"/>
            </w:pPr>
            <w:r>
              <w:rPr>
                <w:rFonts w:ascii="Arial" w:hAnsi="Arial" w:eastAsia="Arial"/>
                <w:b w:val="0"/>
                <w:i w:val="0"/>
                <w:color w:val="000000"/>
                <w:sz w:val="16"/>
              </w:rPr>
              <w:t xml:space="preserve">1,000,000,000 </w:t>
            </w:r>
          </w:p>
        </w:tc>
        <w:tc>
          <w:tcPr>
            <w:tcW w:type="dxa" w:w="1362"/>
            <w:tcBorders/>
            <w:tcMar>
              <w:start w:w="0" w:type="dxa"/>
              <w:end w:w="0" w:type="dxa"/>
            </w:tcMar>
          </w:tcPr>
          <w:p>
            <w:pPr>
              <w:autoSpaceDN w:val="0"/>
              <w:autoSpaceDE w:val="0"/>
              <w:widowControl/>
              <w:spacing w:line="233" w:lineRule="auto" w:before="46" w:after="0"/>
              <w:ind w:left="338" w:right="0" w:firstLine="0"/>
              <w:jc w:val="left"/>
            </w:pPr>
            <w:r>
              <w:rPr>
                <w:rFonts w:ascii="Arial" w:hAnsi="Arial" w:eastAsia="Arial"/>
                <w:b w:val="0"/>
                <w:i w:val="0"/>
                <w:color w:val="000000"/>
                <w:sz w:val="16"/>
              </w:rPr>
              <w:t>1,000,774,220</w:t>
            </w:r>
          </w:p>
        </w:tc>
        <w:tc>
          <w:tcPr>
            <w:tcW w:type="dxa" w:w="1188"/>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34,273,992</w:t>
            </w:r>
          </w:p>
        </w:tc>
        <w:tc>
          <w:tcPr>
            <w:tcW w:type="dxa" w:w="1478"/>
            <w:tcBorders/>
            <w:tcMar>
              <w:start w:w="0" w:type="dxa"/>
              <w:end w:w="0" w:type="dxa"/>
            </w:tcMar>
          </w:tcPr>
          <w:p>
            <w:pPr>
              <w:autoSpaceDN w:val="0"/>
              <w:autoSpaceDE w:val="0"/>
              <w:widowControl/>
              <w:spacing w:line="233" w:lineRule="auto" w:before="46" w:after="0"/>
              <w:ind w:left="284" w:right="0" w:firstLine="0"/>
              <w:jc w:val="left"/>
            </w:pPr>
            <w:r>
              <w:rPr>
                <w:rFonts w:ascii="Arial" w:hAnsi="Arial" w:eastAsia="Arial"/>
                <w:b w:val="0"/>
                <w:i w:val="0"/>
                <w:color w:val="000000"/>
                <w:sz w:val="16"/>
              </w:rPr>
              <w:t xml:space="preserve">(1,035,048,212) </w:t>
            </w:r>
          </w:p>
        </w:tc>
        <w:tc>
          <w:tcPr>
            <w:tcW w:type="dxa" w:w="1474"/>
            <w:tcBorders/>
            <w:tcMar>
              <w:start w:w="0" w:type="dxa"/>
              <w:end w:w="0" w:type="dxa"/>
            </w:tcMar>
          </w:tcPr>
          <w:p>
            <w:pPr>
              <w:autoSpaceDN w:val="0"/>
              <w:autoSpaceDE w:val="0"/>
              <w:widowControl/>
              <w:spacing w:line="233" w:lineRule="auto" w:before="46" w:after="0"/>
              <w:ind w:left="0" w:right="72" w:firstLine="0"/>
              <w:jc w:val="right"/>
            </w:pPr>
            <w:r>
              <w:rPr>
                <w:rFonts w:ascii="Arial" w:hAnsi="Arial" w:eastAsia="Arial"/>
                <w:b w:val="0"/>
                <w:i w:val="0"/>
                <w:color w:val="000000"/>
                <w:sz w:val="16"/>
              </w:rPr>
              <w:t xml:space="preserve">- </w:t>
            </w:r>
          </w:p>
        </w:tc>
        <w:tc>
          <w:tcPr>
            <w:tcW w:type="dxa" w:w="736"/>
            <w:tcBorders/>
            <w:tcMar>
              <w:start w:w="0" w:type="dxa"/>
              <w:end w:w="0" w:type="dxa"/>
            </w:tcMar>
          </w:tcPr>
          <w:p>
            <w:pPr>
              <w:autoSpaceDN w:val="0"/>
              <w:autoSpaceDE w:val="0"/>
              <w:widowControl/>
              <w:spacing w:line="162" w:lineRule="exact" w:before="44" w:after="0"/>
              <w:ind w:left="0" w:right="0" w:firstLine="0"/>
              <w:jc w:val="right"/>
            </w:pPr>
            <w:r>
              <w:rPr>
                <w:rFonts w:ascii="黑体" w:hAnsi="黑体" w:eastAsia="黑体"/>
                <w:b w:val="0"/>
                <w:i w:val="0"/>
                <w:color w:val="000000"/>
                <w:sz w:val="16"/>
              </w:rPr>
              <w:t>否</w:t>
            </w:r>
          </w:p>
        </w:tc>
      </w:tr>
      <w:tr>
        <w:trPr>
          <w:trHeight w:hRule="exact" w:val="180"/>
        </w:trPr>
        <w:tc>
          <w:tcPr>
            <w:tcW w:type="dxa" w:w="1860"/>
            <w:gridSpan w:val="2"/>
            <w:tcBorders/>
            <w:tcMar>
              <w:start w:w="0" w:type="dxa"/>
              <w:end w:w="0" w:type="dxa"/>
            </w:tcMar>
            <w:tcMar>
              <w:start w:w="0" w:type="dxa"/>
              <w:end w:w="0" w:type="dxa"/>
            </w:tcMar>
          </w:tcPr>
          <w:p>
            <w:pPr>
              <w:autoSpaceDN w:val="0"/>
              <w:autoSpaceDE w:val="0"/>
              <w:widowControl/>
              <w:spacing w:line="180" w:lineRule="exact" w:before="0" w:after="0"/>
              <w:ind w:left="0" w:right="0" w:firstLine="0"/>
              <w:jc w:val="left"/>
            </w:pPr>
            <w:r>
              <w:rPr>
                <w:rFonts w:ascii="Arial" w:hAnsi="Arial" w:eastAsia="Arial"/>
                <w:b w:val="0"/>
                <w:i w:val="0"/>
                <w:color w:val="000000"/>
                <w:sz w:val="16"/>
              </w:rPr>
              <w:t>22</w:t>
            </w:r>
            <w:r>
              <w:rPr>
                <w:rFonts w:ascii="黑体" w:hAnsi="黑体" w:eastAsia="黑体"/>
                <w:b w:val="0"/>
                <w:i w:val="0"/>
                <w:color w:val="000000"/>
                <w:sz w:val="16"/>
              </w:rPr>
              <w:t>山证</w:t>
            </w:r>
            <w:r>
              <w:rPr>
                <w:rFonts w:ascii="Arial" w:hAnsi="Arial" w:eastAsia="Arial"/>
                <w:b w:val="0"/>
                <w:i w:val="0"/>
                <w:color w:val="000000"/>
                <w:sz w:val="16"/>
              </w:rPr>
              <w:t xml:space="preserve">C1 </w:t>
            </w:r>
          </w:p>
        </w:tc>
        <w:tc>
          <w:tcPr>
            <w:tcW w:type="dxa" w:w="900"/>
            <w:tcBorders/>
            <w:tcMar>
              <w:start w:w="0" w:type="dxa"/>
              <w:end w:w="0" w:type="dxa"/>
            </w:tcMar>
          </w:tcPr>
          <w:p>
            <w:pPr>
              <w:autoSpaceDN w:val="0"/>
              <w:autoSpaceDE w:val="0"/>
              <w:widowControl/>
              <w:spacing w:line="230" w:lineRule="auto" w:before="2"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0" w:after="0"/>
              <w:ind w:left="0" w:right="114" w:firstLine="0"/>
              <w:jc w:val="right"/>
            </w:pPr>
            <w:r>
              <w:rPr>
                <w:rFonts w:ascii="Arial" w:hAnsi="Arial" w:eastAsia="Arial"/>
                <w:b w:val="0"/>
                <w:i w:val="0"/>
                <w:color w:val="000000"/>
                <w:sz w:val="16"/>
              </w:rPr>
              <w:t>2022/3/21</w:t>
            </w:r>
          </w:p>
        </w:tc>
        <w:tc>
          <w:tcPr>
            <w:tcW w:type="dxa" w:w="850"/>
            <w:tcBorders/>
            <w:tcMar>
              <w:start w:w="0" w:type="dxa"/>
              <w:end w:w="0" w:type="dxa"/>
            </w:tcMar>
          </w:tcPr>
          <w:p>
            <w:pPr>
              <w:autoSpaceDN w:val="0"/>
              <w:autoSpaceDE w:val="0"/>
              <w:widowControl/>
              <w:spacing w:line="180"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2" w:after="0"/>
              <w:ind w:left="0" w:right="70" w:firstLine="0"/>
              <w:jc w:val="right"/>
            </w:pPr>
            <w:r>
              <w:rPr>
                <w:rFonts w:ascii="Arial" w:hAnsi="Arial" w:eastAsia="Arial"/>
                <w:b w:val="0"/>
                <w:i w:val="0"/>
                <w:color w:val="000000"/>
                <w:sz w:val="16"/>
              </w:rPr>
              <w:t xml:space="preserve">3.88 </w:t>
            </w:r>
          </w:p>
        </w:tc>
        <w:tc>
          <w:tcPr>
            <w:tcW w:type="dxa" w:w="1416"/>
            <w:tcBorders/>
            <w:tcMar>
              <w:start w:w="0" w:type="dxa"/>
              <w:end w:w="0" w:type="dxa"/>
            </w:tcMar>
          </w:tcPr>
          <w:p>
            <w:pPr>
              <w:autoSpaceDN w:val="0"/>
              <w:autoSpaceDE w:val="0"/>
              <w:widowControl/>
              <w:spacing w:line="230" w:lineRule="auto" w:before="2" w:after="0"/>
              <w:ind w:left="0" w:right="68" w:firstLine="0"/>
              <w:jc w:val="right"/>
            </w:pPr>
            <w:r>
              <w:rPr>
                <w:rFonts w:ascii="Arial" w:hAnsi="Arial" w:eastAsia="Arial"/>
                <w:b w:val="0"/>
                <w:i w:val="0"/>
                <w:color w:val="000000"/>
                <w:sz w:val="16"/>
              </w:rPr>
              <w:t xml:space="preserve">800,000,000 </w:t>
            </w:r>
          </w:p>
        </w:tc>
        <w:tc>
          <w:tcPr>
            <w:tcW w:type="dxa" w:w="1362"/>
            <w:tcBorders/>
            <w:tcMar>
              <w:start w:w="0" w:type="dxa"/>
              <w:end w:w="0" w:type="dxa"/>
            </w:tcMar>
          </w:tcPr>
          <w:p>
            <w:pPr>
              <w:autoSpaceDN w:val="0"/>
              <w:autoSpaceDE w:val="0"/>
              <w:widowControl/>
              <w:spacing w:line="230" w:lineRule="auto" w:before="2" w:after="0"/>
              <w:ind w:left="0" w:right="2" w:firstLine="0"/>
              <w:jc w:val="right"/>
            </w:pPr>
            <w:r>
              <w:rPr>
                <w:rFonts w:ascii="Arial" w:hAnsi="Arial" w:eastAsia="Arial"/>
                <w:b w:val="0"/>
                <w:i w:val="0"/>
                <w:color w:val="000000"/>
                <w:sz w:val="16"/>
              </w:rPr>
              <w:t>824,197,293</w:t>
            </w:r>
          </w:p>
        </w:tc>
        <w:tc>
          <w:tcPr>
            <w:tcW w:type="dxa" w:w="1188"/>
            <w:tcBorders/>
            <w:tcMar>
              <w:start w:w="0" w:type="dxa"/>
              <w:end w:w="0" w:type="dxa"/>
            </w:tcMar>
          </w:tcPr>
          <w:p>
            <w:pPr>
              <w:autoSpaceDN w:val="0"/>
              <w:autoSpaceDE w:val="0"/>
              <w:widowControl/>
              <w:spacing w:line="230" w:lineRule="auto" w:before="2" w:after="0"/>
              <w:ind w:left="0" w:right="0" w:firstLine="0"/>
              <w:jc w:val="right"/>
            </w:pPr>
            <w:r>
              <w:rPr>
                <w:rFonts w:ascii="Arial" w:hAnsi="Arial" w:eastAsia="Arial"/>
                <w:b w:val="0"/>
                <w:i w:val="0"/>
                <w:color w:val="000000"/>
                <w:sz w:val="16"/>
              </w:rPr>
              <w:t>30,686,205</w:t>
            </w:r>
          </w:p>
        </w:tc>
        <w:tc>
          <w:tcPr>
            <w:tcW w:type="dxa" w:w="1478"/>
            <w:tcBorders/>
            <w:tcMar>
              <w:start w:w="0" w:type="dxa"/>
              <w:end w:w="0" w:type="dxa"/>
            </w:tcMar>
          </w:tcPr>
          <w:p>
            <w:pPr>
              <w:autoSpaceDN w:val="0"/>
              <w:autoSpaceDE w:val="0"/>
              <w:widowControl/>
              <w:spacing w:line="230" w:lineRule="auto" w:before="2" w:after="0"/>
              <w:ind w:left="0" w:right="18" w:firstLine="0"/>
              <w:jc w:val="right"/>
            </w:pPr>
            <w:r>
              <w:rPr>
                <w:rFonts w:ascii="Arial" w:hAnsi="Arial" w:eastAsia="Arial"/>
                <w:b w:val="0"/>
                <w:i w:val="0"/>
                <w:color w:val="000000"/>
                <w:sz w:val="16"/>
              </w:rPr>
              <w:t xml:space="preserve">(30,573,058) </w:t>
            </w:r>
          </w:p>
        </w:tc>
        <w:tc>
          <w:tcPr>
            <w:tcW w:type="dxa" w:w="1474"/>
            <w:tcBorders/>
            <w:tcMar>
              <w:start w:w="0" w:type="dxa"/>
              <w:end w:w="0" w:type="dxa"/>
            </w:tcMar>
          </w:tcPr>
          <w:p>
            <w:pPr>
              <w:autoSpaceDN w:val="0"/>
              <w:autoSpaceDE w:val="0"/>
              <w:widowControl/>
              <w:spacing w:line="230" w:lineRule="auto" w:before="2" w:after="0"/>
              <w:ind w:left="0" w:right="72" w:firstLine="0"/>
              <w:jc w:val="right"/>
            </w:pPr>
            <w:r>
              <w:rPr>
                <w:rFonts w:ascii="Arial" w:hAnsi="Arial" w:eastAsia="Arial"/>
                <w:b w:val="0"/>
                <w:i w:val="0"/>
                <w:color w:val="000000"/>
                <w:sz w:val="16"/>
              </w:rPr>
              <w:t xml:space="preserve">824,310,440 </w:t>
            </w:r>
          </w:p>
        </w:tc>
        <w:tc>
          <w:tcPr>
            <w:tcW w:type="dxa" w:w="736"/>
            <w:tcBorders/>
            <w:tcMar>
              <w:start w:w="0" w:type="dxa"/>
              <w:end w:w="0" w:type="dxa"/>
            </w:tcMar>
          </w:tcPr>
          <w:p>
            <w:pPr>
              <w:autoSpaceDN w:val="0"/>
              <w:autoSpaceDE w:val="0"/>
              <w:widowControl/>
              <w:spacing w:line="160" w:lineRule="exact" w:before="14" w:after="0"/>
              <w:ind w:left="0" w:right="0" w:firstLine="0"/>
              <w:jc w:val="right"/>
            </w:pPr>
            <w:r>
              <w:rPr>
                <w:rFonts w:ascii="黑体" w:hAnsi="黑体" w:eastAsia="黑体"/>
                <w:b w:val="0"/>
                <w:i w:val="0"/>
                <w:color w:val="000000"/>
                <w:sz w:val="16"/>
              </w:rPr>
              <w:t>否</w:t>
            </w:r>
          </w:p>
        </w:tc>
      </w:tr>
      <w:tr>
        <w:trPr>
          <w:trHeight w:hRule="exact" w:val="236"/>
        </w:trPr>
        <w:tc>
          <w:tcPr>
            <w:tcW w:type="dxa" w:w="1860"/>
            <w:gridSpan w:val="2"/>
            <w:tcBorders/>
            <w:tcMar>
              <w:start w:w="0" w:type="dxa"/>
              <w:end w:w="0" w:type="dxa"/>
            </w:tcMar>
            <w:tcMar>
              <w:start w:w="0" w:type="dxa"/>
              <w:end w:w="0" w:type="dxa"/>
            </w:tcMar>
          </w:tcPr>
          <w:p>
            <w:pPr>
              <w:autoSpaceDN w:val="0"/>
              <w:autoSpaceDE w:val="0"/>
              <w:widowControl/>
              <w:spacing w:line="180" w:lineRule="exact" w:before="32" w:after="0"/>
              <w:ind w:left="0" w:right="0" w:firstLine="0"/>
              <w:jc w:val="left"/>
            </w:pPr>
            <w:r>
              <w:rPr>
                <w:rFonts w:ascii="Arial" w:hAnsi="Arial" w:eastAsia="Arial"/>
                <w:b w:val="0"/>
                <w:i w:val="0"/>
                <w:color w:val="000000"/>
                <w:sz w:val="16"/>
              </w:rPr>
              <w:t>23</w:t>
            </w:r>
            <w:r>
              <w:rPr>
                <w:rFonts w:ascii="黑体" w:hAnsi="黑体" w:eastAsia="黑体"/>
                <w:b w:val="0"/>
                <w:i w:val="0"/>
                <w:color w:val="000000"/>
                <w:sz w:val="16"/>
              </w:rPr>
              <w:t>山证</w:t>
            </w:r>
            <w:r>
              <w:rPr>
                <w:rFonts w:ascii="Arial" w:hAnsi="Arial" w:eastAsia="Arial"/>
                <w:b w:val="0"/>
                <w:i w:val="0"/>
                <w:color w:val="000000"/>
                <w:sz w:val="16"/>
              </w:rPr>
              <w:t xml:space="preserve">C1 </w:t>
            </w:r>
          </w:p>
        </w:tc>
        <w:tc>
          <w:tcPr>
            <w:tcW w:type="dxa" w:w="9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18" w:after="0"/>
              <w:ind w:left="0" w:right="114" w:firstLine="0"/>
              <w:jc w:val="right"/>
            </w:pPr>
            <w:r>
              <w:rPr>
                <w:rFonts w:ascii="Arial" w:hAnsi="Arial" w:eastAsia="Arial"/>
                <w:b w:val="0"/>
                <w:i w:val="0"/>
                <w:color w:val="000000"/>
                <w:sz w:val="16"/>
              </w:rPr>
              <w:t>2023/7/18</w:t>
            </w:r>
          </w:p>
        </w:tc>
        <w:tc>
          <w:tcPr>
            <w:tcW w:type="dxa" w:w="850"/>
            <w:tcBorders/>
            <w:tcMar>
              <w:start w:w="0" w:type="dxa"/>
              <w:end w:w="0" w:type="dxa"/>
            </w:tcMar>
          </w:tcPr>
          <w:p>
            <w:pPr>
              <w:autoSpaceDN w:val="0"/>
              <w:autoSpaceDE w:val="0"/>
              <w:widowControl/>
              <w:spacing w:line="180" w:lineRule="exact" w:before="32"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42" w:after="0"/>
              <w:ind w:left="0" w:right="70" w:firstLine="0"/>
              <w:jc w:val="right"/>
            </w:pPr>
            <w:r>
              <w:rPr>
                <w:rFonts w:ascii="Arial" w:hAnsi="Arial" w:eastAsia="Arial"/>
                <w:b w:val="0"/>
                <w:i w:val="0"/>
                <w:color w:val="000000"/>
                <w:sz w:val="16"/>
              </w:rPr>
              <w:t xml:space="preserve">3.45 </w:t>
            </w:r>
          </w:p>
        </w:tc>
        <w:tc>
          <w:tcPr>
            <w:tcW w:type="dxa" w:w="1416"/>
            <w:tcBorders/>
            <w:tcMar>
              <w:start w:w="0" w:type="dxa"/>
              <w:end w:w="0" w:type="dxa"/>
            </w:tcMar>
          </w:tcPr>
          <w:p>
            <w:pPr>
              <w:autoSpaceDN w:val="0"/>
              <w:autoSpaceDE w:val="0"/>
              <w:widowControl/>
              <w:spacing w:line="233" w:lineRule="auto" w:before="42" w:after="0"/>
              <w:ind w:left="280" w:right="0" w:firstLine="0"/>
              <w:jc w:val="left"/>
            </w:pPr>
            <w:r>
              <w:rPr>
                <w:rFonts w:ascii="Arial" w:hAnsi="Arial" w:eastAsia="Arial"/>
                <w:b w:val="0"/>
                <w:i w:val="0"/>
                <w:color w:val="000000"/>
                <w:sz w:val="16"/>
              </w:rPr>
              <w:t xml:space="preserve">1,000,000,000 </w:t>
            </w:r>
          </w:p>
        </w:tc>
        <w:tc>
          <w:tcPr>
            <w:tcW w:type="dxa" w:w="1362"/>
            <w:tcBorders/>
            <w:tcMar>
              <w:start w:w="0" w:type="dxa"/>
              <w:end w:w="0" w:type="dxa"/>
            </w:tcMar>
          </w:tcPr>
          <w:p>
            <w:pPr>
              <w:autoSpaceDN w:val="0"/>
              <w:autoSpaceDE w:val="0"/>
              <w:widowControl/>
              <w:spacing w:line="233" w:lineRule="auto" w:before="42" w:after="0"/>
              <w:ind w:left="338" w:right="0" w:firstLine="0"/>
              <w:jc w:val="left"/>
            </w:pPr>
            <w:r>
              <w:rPr>
                <w:rFonts w:ascii="Arial" w:hAnsi="Arial" w:eastAsia="Arial"/>
                <w:b w:val="0"/>
                <w:i w:val="0"/>
                <w:color w:val="000000"/>
                <w:sz w:val="16"/>
              </w:rPr>
              <w:t>1,015,343,537</w:t>
            </w:r>
          </w:p>
        </w:tc>
        <w:tc>
          <w:tcPr>
            <w:tcW w:type="dxa" w:w="1188"/>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34,091,736</w:t>
            </w:r>
          </w:p>
        </w:tc>
        <w:tc>
          <w:tcPr>
            <w:tcW w:type="dxa" w:w="1478"/>
            <w:tcBorders/>
            <w:tcMar>
              <w:start w:w="0" w:type="dxa"/>
              <w:end w:w="0" w:type="dxa"/>
            </w:tcMar>
          </w:tcPr>
          <w:p>
            <w:pPr>
              <w:autoSpaceDN w:val="0"/>
              <w:autoSpaceDE w:val="0"/>
              <w:widowControl/>
              <w:spacing w:line="233" w:lineRule="auto" w:before="42" w:after="0"/>
              <w:ind w:left="0" w:right="18" w:firstLine="0"/>
              <w:jc w:val="right"/>
            </w:pPr>
            <w:r>
              <w:rPr>
                <w:rFonts w:ascii="Arial" w:hAnsi="Arial" w:eastAsia="Arial"/>
                <w:b w:val="0"/>
                <w:i w:val="0"/>
                <w:color w:val="000000"/>
                <w:sz w:val="16"/>
              </w:rPr>
              <w:t xml:space="preserve">(33,898,144) </w:t>
            </w:r>
          </w:p>
        </w:tc>
        <w:tc>
          <w:tcPr>
            <w:tcW w:type="dxa" w:w="1474"/>
            <w:tcBorders/>
            <w:tcMar>
              <w:start w:w="0" w:type="dxa"/>
              <w:end w:w="0" w:type="dxa"/>
            </w:tcMar>
          </w:tcPr>
          <w:p>
            <w:pPr>
              <w:autoSpaceDN w:val="0"/>
              <w:autoSpaceDE w:val="0"/>
              <w:widowControl/>
              <w:spacing w:line="233" w:lineRule="auto" w:before="42" w:after="0"/>
              <w:ind w:left="336" w:right="0" w:firstLine="0"/>
              <w:jc w:val="left"/>
            </w:pPr>
            <w:r>
              <w:rPr>
                <w:rFonts w:ascii="Arial" w:hAnsi="Arial" w:eastAsia="Arial"/>
                <w:b w:val="0"/>
                <w:i w:val="0"/>
                <w:color w:val="000000"/>
                <w:sz w:val="16"/>
              </w:rPr>
              <w:t xml:space="preserve">1,015,537,129 </w:t>
            </w:r>
          </w:p>
        </w:tc>
        <w:tc>
          <w:tcPr>
            <w:tcW w:type="dxa" w:w="736"/>
            <w:tcBorders/>
            <w:tcMar>
              <w:start w:w="0" w:type="dxa"/>
              <w:end w:w="0" w:type="dxa"/>
            </w:tcMar>
          </w:tcPr>
          <w:p>
            <w:pPr>
              <w:autoSpaceDN w:val="0"/>
              <w:autoSpaceDE w:val="0"/>
              <w:widowControl/>
              <w:spacing w:line="160" w:lineRule="exact" w:before="40" w:after="0"/>
              <w:ind w:left="0" w:right="0" w:firstLine="0"/>
              <w:jc w:val="right"/>
            </w:pPr>
            <w:r>
              <w:rPr>
                <w:rFonts w:ascii="黑体" w:hAnsi="黑体" w:eastAsia="黑体"/>
                <w:b w:val="0"/>
                <w:i w:val="0"/>
                <w:color w:val="000000"/>
                <w:sz w:val="16"/>
              </w:rPr>
              <w:t>否</w:t>
            </w:r>
          </w:p>
        </w:tc>
      </w:tr>
      <w:tr>
        <w:trPr>
          <w:trHeight w:hRule="exact" w:val="206"/>
        </w:trPr>
        <w:tc>
          <w:tcPr>
            <w:tcW w:type="dxa" w:w="1860"/>
            <w:gridSpan w:val="2"/>
            <w:tcBorders/>
            <w:tcMar>
              <w:start w:w="0" w:type="dxa"/>
              <w:end w:w="0" w:type="dxa"/>
            </w:tcMar>
            <w:tcMar>
              <w:start w:w="0" w:type="dxa"/>
              <w:end w:w="0" w:type="dxa"/>
            </w:tcMar>
          </w:tcPr>
          <w:p>
            <w:pPr>
              <w:autoSpaceDN w:val="0"/>
              <w:autoSpaceDE w:val="0"/>
              <w:widowControl/>
              <w:spacing w:line="180" w:lineRule="exact" w:before="2" w:after="0"/>
              <w:ind w:left="0" w:right="0" w:firstLine="0"/>
              <w:jc w:val="left"/>
            </w:pPr>
            <w:r>
              <w:rPr>
                <w:rFonts w:ascii="Arial" w:hAnsi="Arial" w:eastAsia="Arial"/>
                <w:b w:val="0"/>
                <w:i w:val="0"/>
                <w:color w:val="000000"/>
                <w:sz w:val="16"/>
              </w:rPr>
              <w:t>23</w:t>
            </w:r>
            <w:r>
              <w:rPr>
                <w:rFonts w:ascii="黑体" w:hAnsi="黑体" w:eastAsia="黑体"/>
                <w:b w:val="0"/>
                <w:i w:val="0"/>
                <w:color w:val="000000"/>
                <w:sz w:val="16"/>
              </w:rPr>
              <w:t>山证</w:t>
            </w:r>
            <w:r>
              <w:rPr>
                <w:rFonts w:ascii="Arial" w:hAnsi="Arial" w:eastAsia="Arial"/>
                <w:b w:val="0"/>
                <w:i w:val="0"/>
                <w:color w:val="000000"/>
                <w:sz w:val="16"/>
              </w:rPr>
              <w:t xml:space="preserve">C3 </w:t>
            </w:r>
          </w:p>
        </w:tc>
        <w:tc>
          <w:tcPr>
            <w:tcW w:type="dxa" w:w="90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6"/>
              </w:rPr>
              <w:t>2023/9/11</w:t>
            </w:r>
          </w:p>
        </w:tc>
        <w:tc>
          <w:tcPr>
            <w:tcW w:type="dxa" w:w="850"/>
            <w:tcBorders/>
            <w:tcMar>
              <w:start w:w="0" w:type="dxa"/>
              <w:end w:w="0" w:type="dxa"/>
            </w:tcMar>
          </w:tcPr>
          <w:p>
            <w:pPr>
              <w:autoSpaceDN w:val="0"/>
              <w:autoSpaceDE w:val="0"/>
              <w:widowControl/>
              <w:spacing w:line="180" w:lineRule="exact" w:before="2"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12" w:after="0"/>
              <w:ind w:left="0" w:right="70" w:firstLine="0"/>
              <w:jc w:val="right"/>
            </w:pPr>
            <w:r>
              <w:rPr>
                <w:rFonts w:ascii="Arial" w:hAnsi="Arial" w:eastAsia="Arial"/>
                <w:b w:val="0"/>
                <w:i w:val="0"/>
                <w:color w:val="000000"/>
                <w:sz w:val="16"/>
              </w:rPr>
              <w:t xml:space="preserve">3.48 </w:t>
            </w:r>
          </w:p>
        </w:tc>
        <w:tc>
          <w:tcPr>
            <w:tcW w:type="dxa" w:w="1416"/>
            <w:tcBorders/>
            <w:tcMar>
              <w:start w:w="0" w:type="dxa"/>
              <w:end w:w="0" w:type="dxa"/>
            </w:tcMar>
          </w:tcPr>
          <w:p>
            <w:pPr>
              <w:autoSpaceDN w:val="0"/>
              <w:autoSpaceDE w:val="0"/>
              <w:widowControl/>
              <w:spacing w:line="233" w:lineRule="auto" w:before="12" w:after="0"/>
              <w:ind w:left="280" w:right="0" w:firstLine="0"/>
              <w:jc w:val="left"/>
            </w:pPr>
            <w:r>
              <w:rPr>
                <w:rFonts w:ascii="Arial" w:hAnsi="Arial" w:eastAsia="Arial"/>
                <w:b w:val="0"/>
                <w:i w:val="0"/>
                <w:color w:val="000000"/>
                <w:sz w:val="16"/>
              </w:rPr>
              <w:t xml:space="preserve">1,000,000,000 </w:t>
            </w:r>
          </w:p>
        </w:tc>
        <w:tc>
          <w:tcPr>
            <w:tcW w:type="dxa" w:w="1362"/>
            <w:tcBorders/>
            <w:tcMar>
              <w:start w:w="0" w:type="dxa"/>
              <w:end w:w="0" w:type="dxa"/>
            </w:tcMar>
          </w:tcPr>
          <w:p>
            <w:pPr>
              <w:autoSpaceDN w:val="0"/>
              <w:autoSpaceDE w:val="0"/>
              <w:widowControl/>
              <w:spacing w:line="233" w:lineRule="auto" w:before="12" w:after="0"/>
              <w:ind w:left="338" w:right="0" w:firstLine="0"/>
              <w:jc w:val="left"/>
            </w:pPr>
            <w:r>
              <w:rPr>
                <w:rFonts w:ascii="Arial" w:hAnsi="Arial" w:eastAsia="Arial"/>
                <w:b w:val="0"/>
                <w:i w:val="0"/>
                <w:color w:val="000000"/>
                <w:sz w:val="16"/>
              </w:rPr>
              <w:t>1,010,226,714</w:t>
            </w:r>
          </w:p>
        </w:tc>
        <w:tc>
          <w:tcPr>
            <w:tcW w:type="dxa" w:w="1188"/>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6"/>
              </w:rPr>
              <w:t>34,376,632</w:t>
            </w:r>
          </w:p>
        </w:tc>
        <w:tc>
          <w:tcPr>
            <w:tcW w:type="dxa" w:w="1478"/>
            <w:tcBorders/>
            <w:tcMar>
              <w:start w:w="0" w:type="dxa"/>
              <w:end w:w="0" w:type="dxa"/>
            </w:tcMar>
          </w:tcPr>
          <w:p>
            <w:pPr>
              <w:autoSpaceDN w:val="0"/>
              <w:autoSpaceDE w:val="0"/>
              <w:widowControl/>
              <w:spacing w:line="233" w:lineRule="auto" w:before="12" w:after="0"/>
              <w:ind w:left="0" w:right="18" w:firstLine="0"/>
              <w:jc w:val="right"/>
            </w:pPr>
            <w:r>
              <w:rPr>
                <w:rFonts w:ascii="Arial" w:hAnsi="Arial" w:eastAsia="Arial"/>
                <w:b w:val="0"/>
                <w:i w:val="0"/>
                <w:color w:val="000000"/>
                <w:sz w:val="16"/>
              </w:rPr>
              <w:t xml:space="preserve">(34,196,608) </w:t>
            </w:r>
          </w:p>
        </w:tc>
        <w:tc>
          <w:tcPr>
            <w:tcW w:type="dxa" w:w="1474"/>
            <w:tcBorders/>
            <w:tcMar>
              <w:start w:w="0" w:type="dxa"/>
              <w:end w:w="0" w:type="dxa"/>
            </w:tcMar>
          </w:tcPr>
          <w:p>
            <w:pPr>
              <w:autoSpaceDN w:val="0"/>
              <w:autoSpaceDE w:val="0"/>
              <w:widowControl/>
              <w:spacing w:line="233" w:lineRule="auto" w:before="12" w:after="0"/>
              <w:ind w:left="336" w:right="0" w:firstLine="0"/>
              <w:jc w:val="left"/>
            </w:pPr>
            <w:r>
              <w:rPr>
                <w:rFonts w:ascii="Arial" w:hAnsi="Arial" w:eastAsia="Arial"/>
                <w:b w:val="0"/>
                <w:i w:val="0"/>
                <w:color w:val="000000"/>
                <w:sz w:val="16"/>
              </w:rPr>
              <w:t xml:space="preserve">1,010,406,738 </w:t>
            </w:r>
          </w:p>
        </w:tc>
        <w:tc>
          <w:tcPr>
            <w:tcW w:type="dxa" w:w="736"/>
            <w:tcBorders/>
            <w:tcMar>
              <w:start w:w="0" w:type="dxa"/>
              <w:end w:w="0" w:type="dxa"/>
            </w:tcMar>
          </w:tcPr>
          <w:p>
            <w:pPr>
              <w:autoSpaceDN w:val="0"/>
              <w:autoSpaceDE w:val="0"/>
              <w:widowControl/>
              <w:spacing w:line="160" w:lineRule="exact" w:before="10" w:after="0"/>
              <w:ind w:left="0" w:right="0" w:firstLine="0"/>
              <w:jc w:val="right"/>
            </w:pPr>
            <w:r>
              <w:rPr>
                <w:rFonts w:ascii="黑体" w:hAnsi="黑体" w:eastAsia="黑体"/>
                <w:b w:val="0"/>
                <w:i w:val="0"/>
                <w:color w:val="000000"/>
                <w:sz w:val="16"/>
              </w:rPr>
              <w:t>否</w:t>
            </w:r>
          </w:p>
        </w:tc>
      </w:tr>
      <w:tr>
        <w:trPr>
          <w:trHeight w:hRule="exact" w:val="178"/>
        </w:trPr>
        <w:tc>
          <w:tcPr>
            <w:tcW w:type="dxa" w:w="1860"/>
            <w:gridSpan w:val="2"/>
            <w:tcBorders/>
            <w:tcMar>
              <w:start w:w="0" w:type="dxa"/>
              <w:end w:w="0" w:type="dxa"/>
            </w:tcMar>
            <w:tcMar>
              <w:start w:w="0" w:type="dxa"/>
              <w:end w:w="0" w:type="dxa"/>
            </w:tcMar>
          </w:tcPr>
          <w:p>
            <w:pPr>
              <w:autoSpaceDN w:val="0"/>
              <w:autoSpaceDE w:val="0"/>
              <w:widowControl/>
              <w:spacing w:line="180" w:lineRule="exact" w:before="0" w:after="0"/>
              <w:ind w:left="0" w:right="0" w:firstLine="0"/>
              <w:jc w:val="left"/>
            </w:pPr>
            <w:r>
              <w:rPr>
                <w:rFonts w:ascii="Arial" w:hAnsi="Arial" w:eastAsia="Arial"/>
                <w:b w:val="0"/>
                <w:i w:val="0"/>
                <w:color w:val="000000"/>
                <w:sz w:val="16"/>
              </w:rPr>
              <w:t>23</w:t>
            </w:r>
            <w:r>
              <w:rPr>
                <w:rFonts w:ascii="黑体" w:hAnsi="黑体" w:eastAsia="黑体"/>
                <w:b w:val="0"/>
                <w:i w:val="0"/>
                <w:color w:val="000000"/>
                <w:sz w:val="16"/>
              </w:rPr>
              <w:t>山证</w:t>
            </w:r>
            <w:r>
              <w:rPr>
                <w:rFonts w:ascii="Arial" w:hAnsi="Arial" w:eastAsia="Arial"/>
                <w:b w:val="0"/>
                <w:i w:val="0"/>
                <w:color w:val="000000"/>
                <w:sz w:val="16"/>
              </w:rPr>
              <w:t xml:space="preserve">C4 </w:t>
            </w:r>
          </w:p>
        </w:tc>
        <w:tc>
          <w:tcPr>
            <w:tcW w:type="dxa" w:w="90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0" w:after="0"/>
              <w:ind w:left="0" w:right="114" w:firstLine="0"/>
              <w:jc w:val="right"/>
            </w:pPr>
            <w:r>
              <w:rPr>
                <w:rFonts w:ascii="Arial" w:hAnsi="Arial" w:eastAsia="Arial"/>
                <w:b w:val="0"/>
                <w:i w:val="0"/>
                <w:color w:val="000000"/>
                <w:sz w:val="16"/>
              </w:rPr>
              <w:t>2023/11/10</w:t>
            </w:r>
          </w:p>
        </w:tc>
        <w:tc>
          <w:tcPr>
            <w:tcW w:type="dxa" w:w="850"/>
            <w:tcBorders/>
            <w:tcMar>
              <w:start w:w="0" w:type="dxa"/>
              <w:end w:w="0" w:type="dxa"/>
            </w:tcMar>
          </w:tcPr>
          <w:p>
            <w:pPr>
              <w:autoSpaceDN w:val="0"/>
              <w:autoSpaceDE w:val="0"/>
              <w:widowControl/>
              <w:spacing w:line="180"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3.45 </w:t>
            </w:r>
          </w:p>
        </w:tc>
        <w:tc>
          <w:tcPr>
            <w:tcW w:type="dxa" w:w="1416"/>
            <w:tcBorders/>
            <w:tcMar>
              <w:start w:w="0" w:type="dxa"/>
              <w:end w:w="0" w:type="dxa"/>
            </w:tcMar>
          </w:tcPr>
          <w:p>
            <w:pPr>
              <w:autoSpaceDN w:val="0"/>
              <w:autoSpaceDE w:val="0"/>
              <w:widowControl/>
              <w:spacing w:line="230" w:lineRule="auto" w:before="0" w:after="0"/>
              <w:ind w:left="280" w:right="0" w:firstLine="0"/>
              <w:jc w:val="left"/>
            </w:pPr>
            <w:r>
              <w:rPr>
                <w:rFonts w:ascii="Arial" w:hAnsi="Arial" w:eastAsia="Arial"/>
                <w:b w:val="0"/>
                <w:i w:val="0"/>
                <w:color w:val="000000"/>
                <w:sz w:val="16"/>
              </w:rPr>
              <w:t xml:space="preserve">1,500,000,000 </w:t>
            </w:r>
          </w:p>
        </w:tc>
        <w:tc>
          <w:tcPr>
            <w:tcW w:type="dxa" w:w="1362"/>
            <w:tcBorders/>
            <w:tcMar>
              <w:start w:w="0" w:type="dxa"/>
              <w:end w:w="0" w:type="dxa"/>
            </w:tcMar>
          </w:tcPr>
          <w:p>
            <w:pPr>
              <w:autoSpaceDN w:val="0"/>
              <w:autoSpaceDE w:val="0"/>
              <w:widowControl/>
              <w:spacing w:line="230" w:lineRule="auto" w:before="0" w:after="0"/>
              <w:ind w:left="338" w:right="0" w:firstLine="0"/>
              <w:jc w:val="left"/>
            </w:pPr>
            <w:r>
              <w:rPr>
                <w:rFonts w:ascii="Arial" w:hAnsi="Arial" w:eastAsia="Arial"/>
                <w:b w:val="0"/>
                <w:i w:val="0"/>
                <w:color w:val="000000"/>
                <w:sz w:val="16"/>
              </w:rPr>
              <w:t>1,507,015,834</w:t>
            </w:r>
          </w:p>
        </w:tc>
        <w:tc>
          <w:tcPr>
            <w:tcW w:type="dxa" w:w="1188"/>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49,702,365</w:t>
            </w:r>
          </w:p>
        </w:tc>
        <w:tc>
          <w:tcPr>
            <w:tcW w:type="dxa" w:w="1478"/>
            <w:tcBorders/>
            <w:tcMar>
              <w:start w:w="0" w:type="dxa"/>
              <w:end w:w="0" w:type="dxa"/>
            </w:tcMar>
          </w:tcPr>
          <w:p>
            <w:pPr>
              <w:autoSpaceDN w:val="0"/>
              <w:autoSpaceDE w:val="0"/>
              <w:widowControl/>
              <w:spacing w:line="230" w:lineRule="auto" w:before="0" w:after="0"/>
              <w:ind w:left="0" w:right="18" w:firstLine="0"/>
              <w:jc w:val="right"/>
            </w:pPr>
            <w:r>
              <w:rPr>
                <w:rFonts w:ascii="Arial" w:hAnsi="Arial" w:eastAsia="Arial"/>
                <w:b w:val="0"/>
                <w:i w:val="0"/>
                <w:color w:val="000000"/>
                <w:sz w:val="16"/>
              </w:rPr>
              <w:t xml:space="preserve">(49,568,616) </w:t>
            </w:r>
          </w:p>
        </w:tc>
        <w:tc>
          <w:tcPr>
            <w:tcW w:type="dxa" w:w="1474"/>
            <w:tcBorders/>
            <w:tcMar>
              <w:start w:w="0" w:type="dxa"/>
              <w:end w:w="0" w:type="dxa"/>
            </w:tcMar>
          </w:tcPr>
          <w:p>
            <w:pPr>
              <w:autoSpaceDN w:val="0"/>
              <w:autoSpaceDE w:val="0"/>
              <w:widowControl/>
              <w:spacing w:line="230" w:lineRule="auto" w:before="0" w:after="0"/>
              <w:ind w:left="336" w:right="0" w:firstLine="0"/>
              <w:jc w:val="left"/>
            </w:pPr>
            <w:r>
              <w:rPr>
                <w:rFonts w:ascii="Arial" w:hAnsi="Arial" w:eastAsia="Arial"/>
                <w:b w:val="0"/>
                <w:i w:val="0"/>
                <w:color w:val="000000"/>
                <w:sz w:val="16"/>
              </w:rPr>
              <w:t xml:space="preserve">1,507,149,583 </w:t>
            </w:r>
          </w:p>
        </w:tc>
        <w:tc>
          <w:tcPr>
            <w:tcW w:type="dxa" w:w="736"/>
            <w:tcBorders/>
            <w:tcMar>
              <w:start w:w="0" w:type="dxa"/>
              <w:end w:w="0" w:type="dxa"/>
            </w:tcMar>
          </w:tcPr>
          <w:p>
            <w:pPr>
              <w:autoSpaceDN w:val="0"/>
              <w:autoSpaceDE w:val="0"/>
              <w:widowControl/>
              <w:spacing w:line="160" w:lineRule="exact" w:before="14" w:after="0"/>
              <w:ind w:left="0" w:right="0" w:firstLine="0"/>
              <w:jc w:val="right"/>
            </w:pPr>
            <w:r>
              <w:rPr>
                <w:rFonts w:ascii="黑体" w:hAnsi="黑体" w:eastAsia="黑体"/>
                <w:b w:val="0"/>
                <w:i w:val="0"/>
                <w:color w:val="000000"/>
                <w:sz w:val="16"/>
              </w:rPr>
              <w:t>否</w:t>
            </w:r>
          </w:p>
        </w:tc>
      </w:tr>
      <w:tr>
        <w:trPr>
          <w:trHeight w:hRule="exact" w:val="237"/>
        </w:trPr>
        <w:tc>
          <w:tcPr>
            <w:tcW w:type="dxa" w:w="1860"/>
            <w:gridSpan w:val="2"/>
            <w:tcBorders/>
            <w:tcMar>
              <w:start w:w="0" w:type="dxa"/>
              <w:end w:w="0" w:type="dxa"/>
            </w:tcMar>
            <w:tcMar>
              <w:start w:w="0" w:type="dxa"/>
              <w:end w:w="0" w:type="dxa"/>
            </w:tcMar>
          </w:tcPr>
          <w:p>
            <w:pPr>
              <w:autoSpaceDN w:val="0"/>
              <w:autoSpaceDE w:val="0"/>
              <w:widowControl/>
              <w:spacing w:line="180" w:lineRule="exact" w:before="34" w:after="0"/>
              <w:ind w:left="0" w:right="0" w:firstLine="0"/>
              <w:jc w:val="left"/>
            </w:pPr>
            <w:r>
              <w:rPr>
                <w:rFonts w:ascii="Arial" w:hAnsi="Arial" w:eastAsia="Arial"/>
                <w:b w:val="0"/>
                <w:i w:val="0"/>
                <w:color w:val="000000"/>
                <w:sz w:val="16"/>
              </w:rPr>
              <w:t>24</w:t>
            </w:r>
            <w:r>
              <w:rPr>
                <w:rFonts w:ascii="黑体" w:hAnsi="黑体" w:eastAsia="黑体"/>
                <w:b w:val="0"/>
                <w:i w:val="0"/>
                <w:color w:val="000000"/>
                <w:sz w:val="16"/>
              </w:rPr>
              <w:t>山证</w:t>
            </w:r>
            <w:r>
              <w:rPr>
                <w:rFonts w:ascii="Arial" w:hAnsi="Arial" w:eastAsia="Arial"/>
                <w:b w:val="0"/>
                <w:i w:val="0"/>
                <w:color w:val="000000"/>
                <w:sz w:val="16"/>
              </w:rPr>
              <w:t xml:space="preserve">01 </w:t>
            </w:r>
          </w:p>
        </w:tc>
        <w:tc>
          <w:tcPr>
            <w:tcW w:type="dxa" w:w="9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20" w:after="0"/>
              <w:ind w:left="0" w:right="114" w:firstLine="0"/>
              <w:jc w:val="right"/>
            </w:pPr>
            <w:r>
              <w:rPr>
                <w:rFonts w:ascii="Arial" w:hAnsi="Arial" w:eastAsia="Arial"/>
                <w:b w:val="0"/>
                <w:i w:val="0"/>
                <w:color w:val="000000"/>
                <w:sz w:val="16"/>
              </w:rPr>
              <w:t>2024/6/24</w:t>
            </w:r>
          </w:p>
        </w:tc>
        <w:tc>
          <w:tcPr>
            <w:tcW w:type="dxa" w:w="850"/>
            <w:tcBorders/>
            <w:tcMar>
              <w:start w:w="0" w:type="dxa"/>
              <w:end w:w="0" w:type="dxa"/>
            </w:tcMar>
          </w:tcPr>
          <w:p>
            <w:pPr>
              <w:autoSpaceDN w:val="0"/>
              <w:autoSpaceDE w:val="0"/>
              <w:widowControl/>
              <w:spacing w:line="180" w:lineRule="exact" w:before="34"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20" w:after="0"/>
              <w:ind w:left="0" w:right="68" w:firstLine="0"/>
              <w:jc w:val="right"/>
            </w:pPr>
            <w:r>
              <w:rPr>
                <w:rFonts w:ascii="Arial" w:hAnsi="Arial" w:eastAsia="Arial"/>
                <w:b w:val="0"/>
                <w:i w:val="0"/>
                <w:color w:val="000000"/>
                <w:sz w:val="16"/>
              </w:rPr>
              <w:t xml:space="preserve">2.19 </w:t>
            </w:r>
          </w:p>
        </w:tc>
        <w:tc>
          <w:tcPr>
            <w:tcW w:type="dxa" w:w="1416"/>
            <w:tcBorders/>
            <w:tcMar>
              <w:start w:w="0" w:type="dxa"/>
              <w:end w:w="0" w:type="dxa"/>
            </w:tcMar>
          </w:tcPr>
          <w:p>
            <w:pPr>
              <w:autoSpaceDN w:val="0"/>
              <w:autoSpaceDE w:val="0"/>
              <w:widowControl/>
              <w:spacing w:line="233" w:lineRule="auto" w:before="44" w:after="0"/>
              <w:ind w:left="280" w:right="0" w:firstLine="0"/>
              <w:jc w:val="left"/>
            </w:pPr>
            <w:r>
              <w:rPr>
                <w:rFonts w:ascii="Arial" w:hAnsi="Arial" w:eastAsia="Arial"/>
                <w:b w:val="0"/>
                <w:i w:val="0"/>
                <w:color w:val="000000"/>
                <w:sz w:val="16"/>
              </w:rPr>
              <w:t xml:space="preserve">1,800,000,000 </w:t>
            </w:r>
          </w:p>
        </w:tc>
        <w:tc>
          <w:tcPr>
            <w:tcW w:type="dxa" w:w="13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6"/>
              </w:rPr>
              <w:t>-</w:t>
            </w:r>
          </w:p>
        </w:tc>
        <w:tc>
          <w:tcPr>
            <w:tcW w:type="dxa" w:w="1188"/>
            <w:tcBorders/>
            <w:tcMar>
              <w:start w:w="0" w:type="dxa"/>
              <w:end w:w="0" w:type="dxa"/>
            </w:tcMar>
          </w:tcPr>
          <w:p>
            <w:pPr>
              <w:autoSpaceDN w:val="0"/>
              <w:autoSpaceDE w:val="0"/>
              <w:widowControl/>
              <w:spacing w:line="233" w:lineRule="auto" w:before="44" w:after="0"/>
              <w:ind w:left="166" w:right="0" w:firstLine="0"/>
              <w:jc w:val="left"/>
            </w:pPr>
            <w:r>
              <w:rPr>
                <w:rFonts w:ascii="Arial" w:hAnsi="Arial" w:eastAsia="Arial"/>
                <w:b w:val="0"/>
                <w:i w:val="0"/>
                <w:color w:val="000000"/>
                <w:sz w:val="16"/>
              </w:rPr>
              <w:t>1,820,393,318</w:t>
            </w:r>
          </w:p>
        </w:tc>
        <w:tc>
          <w:tcPr>
            <w:tcW w:type="dxa" w:w="1478"/>
            <w:tcBorders/>
            <w:tcMar>
              <w:start w:w="0" w:type="dxa"/>
              <w:end w:w="0" w:type="dxa"/>
            </w:tcMar>
          </w:tcPr>
          <w:p>
            <w:pPr>
              <w:autoSpaceDN w:val="0"/>
              <w:autoSpaceDE w:val="0"/>
              <w:widowControl/>
              <w:spacing w:line="233" w:lineRule="auto" w:before="44" w:after="0"/>
              <w:ind w:left="0" w:right="116" w:firstLine="0"/>
              <w:jc w:val="right"/>
            </w:pPr>
            <w:r>
              <w:rPr>
                <w:rFonts w:ascii="Arial" w:hAnsi="Arial" w:eastAsia="Arial"/>
                <w:b w:val="0"/>
                <w:i w:val="0"/>
                <w:color w:val="000000"/>
                <w:sz w:val="16"/>
              </w:rPr>
              <w:t>-</w:t>
            </w:r>
          </w:p>
        </w:tc>
        <w:tc>
          <w:tcPr>
            <w:tcW w:type="dxa" w:w="1474"/>
            <w:tcBorders/>
            <w:tcMar>
              <w:start w:w="0" w:type="dxa"/>
              <w:end w:w="0" w:type="dxa"/>
            </w:tcMar>
          </w:tcPr>
          <w:p>
            <w:pPr>
              <w:autoSpaceDN w:val="0"/>
              <w:autoSpaceDE w:val="0"/>
              <w:widowControl/>
              <w:spacing w:line="233" w:lineRule="auto" w:before="44" w:after="0"/>
              <w:ind w:left="336" w:right="0" w:firstLine="0"/>
              <w:jc w:val="left"/>
            </w:pPr>
            <w:r>
              <w:rPr>
                <w:rFonts w:ascii="Arial" w:hAnsi="Arial" w:eastAsia="Arial"/>
                <w:b w:val="0"/>
                <w:i w:val="0"/>
                <w:color w:val="000000"/>
                <w:sz w:val="16"/>
              </w:rPr>
              <w:t xml:space="preserve">1,820,393,318 </w:t>
            </w:r>
          </w:p>
        </w:tc>
        <w:tc>
          <w:tcPr>
            <w:tcW w:type="dxa" w:w="736"/>
            <w:tcBorders/>
            <w:tcMar>
              <w:start w:w="0" w:type="dxa"/>
              <w:end w:w="0" w:type="dxa"/>
            </w:tcMar>
          </w:tcPr>
          <w:p>
            <w:pPr>
              <w:autoSpaceDN w:val="0"/>
              <w:autoSpaceDE w:val="0"/>
              <w:widowControl/>
              <w:spacing w:line="160" w:lineRule="exact" w:before="42" w:after="0"/>
              <w:ind w:left="0" w:right="0" w:firstLine="0"/>
              <w:jc w:val="right"/>
            </w:pPr>
            <w:r>
              <w:rPr>
                <w:rFonts w:ascii="黑体" w:hAnsi="黑体" w:eastAsia="黑体"/>
                <w:b w:val="0"/>
                <w:i w:val="0"/>
                <w:color w:val="000000"/>
                <w:sz w:val="16"/>
              </w:rPr>
              <w:t>否</w:t>
            </w:r>
          </w:p>
        </w:tc>
      </w:tr>
      <w:tr>
        <w:trPr>
          <w:trHeight w:hRule="exact" w:val="209"/>
        </w:trPr>
        <w:tc>
          <w:tcPr>
            <w:tcW w:type="dxa" w:w="1860"/>
            <w:gridSpan w:val="2"/>
            <w:tcBorders/>
            <w:tcMar>
              <w:start w:w="0" w:type="dxa"/>
              <w:end w:w="0" w:type="dxa"/>
            </w:tcMar>
            <w:tcMar>
              <w:start w:w="0" w:type="dxa"/>
              <w:end w:w="0" w:type="dxa"/>
            </w:tcMar>
          </w:tcPr>
          <w:p>
            <w:pPr>
              <w:autoSpaceDN w:val="0"/>
              <w:autoSpaceDE w:val="0"/>
              <w:widowControl/>
              <w:spacing w:line="178" w:lineRule="exact" w:before="8" w:after="0"/>
              <w:ind w:left="0" w:right="0" w:firstLine="0"/>
              <w:jc w:val="left"/>
            </w:pPr>
            <w:r>
              <w:rPr>
                <w:rFonts w:ascii="Arial" w:hAnsi="Arial" w:eastAsia="Arial"/>
                <w:b w:val="0"/>
                <w:i w:val="0"/>
                <w:color w:val="000000"/>
                <w:sz w:val="16"/>
              </w:rPr>
              <w:t>24</w:t>
            </w:r>
            <w:r>
              <w:rPr>
                <w:rFonts w:ascii="黑体" w:hAnsi="黑体" w:eastAsia="黑体"/>
                <w:b w:val="0"/>
                <w:i w:val="0"/>
                <w:color w:val="000000"/>
                <w:sz w:val="16"/>
              </w:rPr>
              <w:t>山证</w:t>
            </w:r>
            <w:r>
              <w:rPr>
                <w:rFonts w:ascii="Arial" w:hAnsi="Arial" w:eastAsia="Arial"/>
                <w:b w:val="0"/>
                <w:i w:val="0"/>
                <w:color w:val="000000"/>
                <w:sz w:val="16"/>
              </w:rPr>
              <w:t xml:space="preserve">02 </w:t>
            </w:r>
          </w:p>
        </w:tc>
        <w:tc>
          <w:tcPr>
            <w:tcW w:type="dxa" w:w="9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6"/>
              </w:rPr>
              <w:t>2024/7/22</w:t>
            </w:r>
          </w:p>
        </w:tc>
        <w:tc>
          <w:tcPr>
            <w:tcW w:type="dxa" w:w="850"/>
            <w:tcBorders/>
            <w:tcMar>
              <w:start w:w="0" w:type="dxa"/>
              <w:end w:w="0" w:type="dxa"/>
            </w:tcMar>
          </w:tcPr>
          <w:p>
            <w:pPr>
              <w:autoSpaceDN w:val="0"/>
              <w:autoSpaceDE w:val="0"/>
              <w:widowControl/>
              <w:spacing w:line="178" w:lineRule="exact" w:before="8"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3" w:lineRule="auto" w:before="0" w:after="0"/>
              <w:ind w:left="0" w:right="68" w:firstLine="0"/>
              <w:jc w:val="right"/>
            </w:pPr>
            <w:r>
              <w:rPr>
                <w:rFonts w:ascii="Arial" w:hAnsi="Arial" w:eastAsia="Arial"/>
                <w:b w:val="0"/>
                <w:i w:val="0"/>
                <w:color w:val="000000"/>
                <w:sz w:val="16"/>
              </w:rPr>
              <w:t xml:space="preserve">2.14 </w:t>
            </w:r>
          </w:p>
        </w:tc>
        <w:tc>
          <w:tcPr>
            <w:tcW w:type="dxa" w:w="1416"/>
            <w:tcBorders/>
            <w:tcMar>
              <w:start w:w="0" w:type="dxa"/>
              <w:end w:w="0" w:type="dxa"/>
            </w:tcMar>
          </w:tcPr>
          <w:p>
            <w:pPr>
              <w:autoSpaceDN w:val="0"/>
              <w:autoSpaceDE w:val="0"/>
              <w:widowControl/>
              <w:spacing w:line="233" w:lineRule="auto" w:before="16" w:after="0"/>
              <w:ind w:left="280" w:right="0" w:firstLine="0"/>
              <w:jc w:val="left"/>
            </w:pPr>
            <w:r>
              <w:rPr>
                <w:rFonts w:ascii="Arial" w:hAnsi="Arial" w:eastAsia="Arial"/>
                <w:b w:val="0"/>
                <w:i w:val="0"/>
                <w:color w:val="000000"/>
                <w:sz w:val="16"/>
              </w:rPr>
              <w:t xml:space="preserve">1,700,000,000 </w:t>
            </w:r>
          </w:p>
        </w:tc>
        <w:tc>
          <w:tcPr>
            <w:tcW w:type="dxa" w:w="1362"/>
            <w:tcBorders/>
            <w:tcMar>
              <w:start w:w="0" w:type="dxa"/>
              <w:end w:w="0" w:type="dxa"/>
            </w:tcMar>
          </w:tcPr>
          <w:p>
            <w:pPr>
              <w:autoSpaceDN w:val="0"/>
              <w:autoSpaceDE w:val="0"/>
              <w:widowControl/>
              <w:spacing w:line="233" w:lineRule="auto" w:before="16" w:after="0"/>
              <w:ind w:left="0" w:right="2" w:firstLine="0"/>
              <w:jc w:val="right"/>
            </w:pPr>
            <w:r>
              <w:rPr>
                <w:rFonts w:ascii="Arial" w:hAnsi="Arial" w:eastAsia="Arial"/>
                <w:b w:val="0"/>
                <w:i w:val="0"/>
                <w:color w:val="000000"/>
                <w:sz w:val="16"/>
              </w:rPr>
              <w:t>-</w:t>
            </w:r>
          </w:p>
        </w:tc>
        <w:tc>
          <w:tcPr>
            <w:tcW w:type="dxa" w:w="1188"/>
            <w:tcBorders/>
            <w:tcMar>
              <w:start w:w="0" w:type="dxa"/>
              <w:end w:w="0" w:type="dxa"/>
            </w:tcMar>
          </w:tcPr>
          <w:p>
            <w:pPr>
              <w:autoSpaceDN w:val="0"/>
              <w:autoSpaceDE w:val="0"/>
              <w:widowControl/>
              <w:spacing w:line="233" w:lineRule="auto" w:before="16" w:after="0"/>
              <w:ind w:left="166" w:right="0" w:firstLine="0"/>
              <w:jc w:val="left"/>
            </w:pPr>
            <w:r>
              <w:rPr>
                <w:rFonts w:ascii="Arial" w:hAnsi="Arial" w:eastAsia="Arial"/>
                <w:b w:val="0"/>
                <w:i w:val="0"/>
                <w:color w:val="000000"/>
                <w:sz w:val="16"/>
              </w:rPr>
              <w:t>1,716,018,084</w:t>
            </w:r>
          </w:p>
        </w:tc>
        <w:tc>
          <w:tcPr>
            <w:tcW w:type="dxa" w:w="1478"/>
            <w:tcBorders/>
            <w:tcMar>
              <w:start w:w="0" w:type="dxa"/>
              <w:end w:w="0" w:type="dxa"/>
            </w:tcMar>
          </w:tcPr>
          <w:p>
            <w:pPr>
              <w:autoSpaceDN w:val="0"/>
              <w:autoSpaceDE w:val="0"/>
              <w:widowControl/>
              <w:spacing w:line="233" w:lineRule="auto" w:before="16" w:after="0"/>
              <w:ind w:left="0" w:right="116" w:firstLine="0"/>
              <w:jc w:val="right"/>
            </w:pPr>
            <w:r>
              <w:rPr>
                <w:rFonts w:ascii="Arial" w:hAnsi="Arial" w:eastAsia="Arial"/>
                <w:b w:val="0"/>
                <w:i w:val="0"/>
                <w:color w:val="000000"/>
                <w:sz w:val="16"/>
              </w:rPr>
              <w:t>-</w:t>
            </w:r>
          </w:p>
        </w:tc>
        <w:tc>
          <w:tcPr>
            <w:tcW w:type="dxa" w:w="1474"/>
            <w:tcBorders/>
            <w:tcMar>
              <w:start w:w="0" w:type="dxa"/>
              <w:end w:w="0" w:type="dxa"/>
            </w:tcMar>
          </w:tcPr>
          <w:p>
            <w:pPr>
              <w:autoSpaceDN w:val="0"/>
              <w:autoSpaceDE w:val="0"/>
              <w:widowControl/>
              <w:spacing w:line="233" w:lineRule="auto" w:before="16" w:after="0"/>
              <w:ind w:left="336" w:right="0" w:firstLine="0"/>
              <w:jc w:val="left"/>
            </w:pPr>
            <w:r>
              <w:rPr>
                <w:rFonts w:ascii="Arial" w:hAnsi="Arial" w:eastAsia="Arial"/>
                <w:b w:val="0"/>
                <w:i w:val="0"/>
                <w:color w:val="000000"/>
                <w:sz w:val="16"/>
              </w:rPr>
              <w:t xml:space="preserve">1,716,018,084 </w:t>
            </w:r>
          </w:p>
        </w:tc>
        <w:tc>
          <w:tcPr>
            <w:tcW w:type="dxa" w:w="736"/>
            <w:tcBorders/>
            <w:tcMar>
              <w:start w:w="0" w:type="dxa"/>
              <w:end w:w="0" w:type="dxa"/>
            </w:tcMar>
          </w:tcPr>
          <w:p>
            <w:pPr>
              <w:autoSpaceDN w:val="0"/>
              <w:autoSpaceDE w:val="0"/>
              <w:widowControl/>
              <w:spacing w:line="162" w:lineRule="exact" w:before="14" w:after="0"/>
              <w:ind w:left="0" w:right="0" w:firstLine="0"/>
              <w:jc w:val="right"/>
            </w:pPr>
            <w:r>
              <w:rPr>
                <w:rFonts w:ascii="黑体" w:hAnsi="黑体" w:eastAsia="黑体"/>
                <w:b w:val="0"/>
                <w:i w:val="0"/>
                <w:color w:val="000000"/>
                <w:sz w:val="16"/>
              </w:rPr>
              <w:t>否</w:t>
            </w:r>
          </w:p>
        </w:tc>
      </w:tr>
      <w:tr>
        <w:trPr>
          <w:trHeight w:hRule="exact" w:val="175"/>
        </w:trPr>
        <w:tc>
          <w:tcPr>
            <w:tcW w:type="dxa" w:w="1860"/>
            <w:gridSpan w:val="2"/>
            <w:tcBorders/>
            <w:tcMar>
              <w:start w:w="0" w:type="dxa"/>
              <w:end w:w="0" w:type="dxa"/>
            </w:tcMar>
            <w:tcMar>
              <w:start w:w="0" w:type="dxa"/>
              <w:end w:w="0" w:type="dxa"/>
            </w:tcMar>
          </w:tcPr>
          <w:p>
            <w:pPr>
              <w:autoSpaceDN w:val="0"/>
              <w:autoSpaceDE w:val="0"/>
              <w:widowControl/>
              <w:spacing w:line="178" w:lineRule="exact" w:before="0" w:after="0"/>
              <w:ind w:left="0" w:right="0" w:firstLine="0"/>
              <w:jc w:val="left"/>
            </w:pPr>
            <w:r>
              <w:rPr>
                <w:rFonts w:ascii="Arial" w:hAnsi="Arial" w:eastAsia="Arial"/>
                <w:b w:val="0"/>
                <w:i w:val="0"/>
                <w:color w:val="000000"/>
                <w:sz w:val="16"/>
              </w:rPr>
              <w:t>24</w:t>
            </w:r>
            <w:r>
              <w:rPr>
                <w:rFonts w:ascii="黑体" w:hAnsi="黑体" w:eastAsia="黑体"/>
                <w:b w:val="0"/>
                <w:i w:val="0"/>
                <w:color w:val="000000"/>
                <w:sz w:val="16"/>
              </w:rPr>
              <w:t>山证</w:t>
            </w:r>
            <w:r>
              <w:rPr>
                <w:rFonts w:ascii="Arial" w:hAnsi="Arial" w:eastAsia="Arial"/>
                <w:b w:val="0"/>
                <w:i w:val="0"/>
                <w:color w:val="000000"/>
                <w:sz w:val="16"/>
              </w:rPr>
              <w:t xml:space="preserve">04 </w:t>
            </w:r>
          </w:p>
        </w:tc>
        <w:tc>
          <w:tcPr>
            <w:tcW w:type="dxa" w:w="90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100</w:t>
            </w:r>
          </w:p>
        </w:tc>
        <w:tc>
          <w:tcPr>
            <w:tcW w:type="dxa" w:w="1372"/>
            <w:tcBorders/>
            <w:tcMar>
              <w:start w:w="0" w:type="dxa"/>
              <w:end w:w="0" w:type="dxa"/>
            </w:tcMar>
          </w:tcPr>
          <w:p>
            <w:pPr>
              <w:autoSpaceDN w:val="0"/>
              <w:autoSpaceDE w:val="0"/>
              <w:widowControl/>
              <w:spacing w:line="230" w:lineRule="auto" w:before="0" w:after="0"/>
              <w:ind w:left="0" w:right="114" w:firstLine="0"/>
              <w:jc w:val="right"/>
            </w:pPr>
            <w:r>
              <w:rPr>
                <w:rFonts w:ascii="Arial" w:hAnsi="Arial" w:eastAsia="Arial"/>
                <w:b w:val="0"/>
                <w:i w:val="0"/>
                <w:color w:val="000000"/>
                <w:sz w:val="16"/>
              </w:rPr>
              <w:t>2024/10/17</w:t>
            </w:r>
          </w:p>
        </w:tc>
        <w:tc>
          <w:tcPr>
            <w:tcW w:type="dxa" w:w="850"/>
            <w:tcBorders/>
            <w:tcMar>
              <w:start w:w="0" w:type="dxa"/>
              <w:end w:w="0" w:type="dxa"/>
            </w:tcMar>
          </w:tcPr>
          <w:p>
            <w:pPr>
              <w:autoSpaceDN w:val="0"/>
              <w:autoSpaceDE w:val="0"/>
              <w:widowControl/>
              <w:spacing w:line="178" w:lineRule="exact" w:before="0"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tcMar>
              <w:start w:w="0" w:type="dxa"/>
              <w:end w:w="0" w:type="dxa"/>
            </w:tcMar>
          </w:tcPr>
          <w:p>
            <w:pPr>
              <w:autoSpaceDN w:val="0"/>
              <w:autoSpaceDE w:val="0"/>
              <w:widowControl/>
              <w:spacing w:line="230" w:lineRule="auto" w:before="0" w:after="0"/>
              <w:ind w:left="0" w:right="68" w:firstLine="0"/>
              <w:jc w:val="right"/>
            </w:pPr>
            <w:r>
              <w:rPr>
                <w:rFonts w:ascii="Arial" w:hAnsi="Arial" w:eastAsia="Arial"/>
                <w:b w:val="0"/>
                <w:i w:val="0"/>
                <w:color w:val="000000"/>
                <w:sz w:val="16"/>
              </w:rPr>
              <w:t xml:space="preserve">2.25 </w:t>
            </w:r>
          </w:p>
        </w:tc>
        <w:tc>
          <w:tcPr>
            <w:tcW w:type="dxa" w:w="1416"/>
            <w:tcBorders/>
            <w:tcMar>
              <w:start w:w="0" w:type="dxa"/>
              <w:end w:w="0" w:type="dxa"/>
            </w:tcMar>
          </w:tcPr>
          <w:p>
            <w:pPr>
              <w:autoSpaceDN w:val="0"/>
              <w:autoSpaceDE w:val="0"/>
              <w:widowControl/>
              <w:spacing w:line="230" w:lineRule="auto" w:before="0" w:after="0"/>
              <w:ind w:left="280" w:right="0" w:firstLine="0"/>
              <w:jc w:val="left"/>
            </w:pPr>
            <w:r>
              <w:rPr>
                <w:rFonts w:ascii="Arial" w:hAnsi="Arial" w:eastAsia="Arial"/>
                <w:b w:val="0"/>
                <w:i w:val="0"/>
                <w:color w:val="000000"/>
                <w:sz w:val="16"/>
              </w:rPr>
              <w:t xml:space="preserve">1,800,000,000 </w:t>
            </w:r>
          </w:p>
        </w:tc>
        <w:tc>
          <w:tcPr>
            <w:tcW w:type="dxa" w:w="1362"/>
            <w:tcBorders/>
            <w:tcMar>
              <w:start w:w="0" w:type="dxa"/>
              <w:end w:w="0" w:type="dxa"/>
            </w:tcMar>
          </w:tcPr>
          <w:p>
            <w:pPr>
              <w:autoSpaceDN w:val="0"/>
              <w:autoSpaceDE w:val="0"/>
              <w:widowControl/>
              <w:spacing w:line="230" w:lineRule="auto" w:before="0" w:after="0"/>
              <w:ind w:left="0" w:right="2" w:firstLine="0"/>
              <w:jc w:val="right"/>
            </w:pPr>
            <w:r>
              <w:rPr>
                <w:rFonts w:ascii="Arial" w:hAnsi="Arial" w:eastAsia="Arial"/>
                <w:b w:val="0"/>
                <w:i w:val="0"/>
                <w:color w:val="000000"/>
                <w:sz w:val="16"/>
              </w:rPr>
              <w:t>-</w:t>
            </w:r>
          </w:p>
        </w:tc>
        <w:tc>
          <w:tcPr>
            <w:tcW w:type="dxa" w:w="1188"/>
            <w:tcBorders/>
            <w:tcMar>
              <w:start w:w="0" w:type="dxa"/>
              <w:end w:w="0" w:type="dxa"/>
            </w:tcMar>
          </w:tcPr>
          <w:p>
            <w:pPr>
              <w:autoSpaceDN w:val="0"/>
              <w:autoSpaceDE w:val="0"/>
              <w:widowControl/>
              <w:spacing w:line="230" w:lineRule="auto" w:before="0" w:after="0"/>
              <w:ind w:left="166" w:right="0" w:firstLine="0"/>
              <w:jc w:val="left"/>
            </w:pPr>
            <w:r>
              <w:rPr>
                <w:rFonts w:ascii="Arial" w:hAnsi="Arial" w:eastAsia="Arial"/>
                <w:b w:val="0"/>
                <w:i w:val="0"/>
                <w:color w:val="000000"/>
                <w:sz w:val="16"/>
              </w:rPr>
              <w:t>1,808,169,053</w:t>
            </w:r>
          </w:p>
        </w:tc>
        <w:tc>
          <w:tcPr>
            <w:tcW w:type="dxa" w:w="1478"/>
            <w:tcBorders/>
            <w:tcMar>
              <w:start w:w="0" w:type="dxa"/>
              <w:end w:w="0" w:type="dxa"/>
            </w:tcMar>
          </w:tcPr>
          <w:p>
            <w:pPr>
              <w:autoSpaceDN w:val="0"/>
              <w:autoSpaceDE w:val="0"/>
              <w:widowControl/>
              <w:spacing w:line="230" w:lineRule="auto" w:before="0" w:after="0"/>
              <w:ind w:left="0" w:right="116" w:firstLine="0"/>
              <w:jc w:val="right"/>
            </w:pPr>
            <w:r>
              <w:rPr>
                <w:rFonts w:ascii="Arial" w:hAnsi="Arial" w:eastAsia="Arial"/>
                <w:b w:val="0"/>
                <w:i w:val="0"/>
                <w:color w:val="000000"/>
                <w:sz w:val="16"/>
              </w:rPr>
              <w:t>-</w:t>
            </w:r>
          </w:p>
        </w:tc>
        <w:tc>
          <w:tcPr>
            <w:tcW w:type="dxa" w:w="1474"/>
            <w:tcBorders/>
            <w:tcMar>
              <w:start w:w="0" w:type="dxa"/>
              <w:end w:w="0" w:type="dxa"/>
            </w:tcMar>
          </w:tcPr>
          <w:p>
            <w:pPr>
              <w:autoSpaceDN w:val="0"/>
              <w:autoSpaceDE w:val="0"/>
              <w:widowControl/>
              <w:spacing w:line="230" w:lineRule="auto" w:before="0" w:after="0"/>
              <w:ind w:left="336" w:right="0" w:firstLine="0"/>
              <w:jc w:val="left"/>
            </w:pPr>
            <w:r>
              <w:rPr>
                <w:rFonts w:ascii="Arial" w:hAnsi="Arial" w:eastAsia="Arial"/>
                <w:b w:val="0"/>
                <w:i w:val="0"/>
                <w:color w:val="000000"/>
                <w:sz w:val="16"/>
              </w:rPr>
              <w:t xml:space="preserve">1,808,169,053 </w:t>
            </w:r>
          </w:p>
        </w:tc>
        <w:tc>
          <w:tcPr>
            <w:tcW w:type="dxa" w:w="736"/>
            <w:tcBorders/>
            <w:tcMar>
              <w:start w:w="0" w:type="dxa"/>
              <w:end w:w="0" w:type="dxa"/>
            </w:tcMar>
          </w:tcPr>
          <w:p>
            <w:pPr>
              <w:autoSpaceDN w:val="0"/>
              <w:autoSpaceDE w:val="0"/>
              <w:widowControl/>
              <w:spacing w:line="162" w:lineRule="exact" w:before="10" w:after="0"/>
              <w:ind w:left="0" w:right="0" w:firstLine="0"/>
              <w:jc w:val="right"/>
            </w:pPr>
            <w:r>
              <w:rPr>
                <w:rFonts w:ascii="黑体" w:hAnsi="黑体" w:eastAsia="黑体"/>
                <w:b w:val="0"/>
                <w:i w:val="0"/>
                <w:color w:val="000000"/>
                <w:sz w:val="16"/>
              </w:rPr>
              <w:t>否</w:t>
            </w:r>
          </w:p>
        </w:tc>
      </w:tr>
      <w:tr>
        <w:trPr>
          <w:trHeight w:hRule="exact" w:val="234"/>
        </w:trPr>
        <w:tc>
          <w:tcPr>
            <w:tcW w:type="dxa" w:w="1860"/>
            <w:gridSpan w:val="2"/>
            <w:tcBorders>
              <w:bottom w:sz="3.199999999999818" w:val="single" w:color="#000000"/>
            </w:tcBorders>
            <w:tcMar>
              <w:start w:w="0" w:type="dxa"/>
              <w:end w:w="0" w:type="dxa"/>
            </w:tcMar>
            <w:tcMar>
              <w:start w:w="0" w:type="dxa"/>
              <w:end w:w="0" w:type="dxa"/>
            </w:tcMar>
          </w:tcPr>
          <w:p>
            <w:pPr>
              <w:autoSpaceDN w:val="0"/>
              <w:autoSpaceDE w:val="0"/>
              <w:widowControl/>
              <w:spacing w:line="180" w:lineRule="exact" w:before="38" w:after="0"/>
              <w:ind w:left="0" w:right="0" w:firstLine="0"/>
              <w:jc w:val="left"/>
            </w:pPr>
            <w:r>
              <w:rPr>
                <w:rFonts w:ascii="Arial" w:hAnsi="Arial" w:eastAsia="Arial"/>
                <w:b w:val="0"/>
                <w:i w:val="0"/>
                <w:color w:val="000000"/>
                <w:sz w:val="16"/>
              </w:rPr>
              <w:t>24</w:t>
            </w:r>
            <w:r>
              <w:rPr>
                <w:rFonts w:ascii="黑体" w:hAnsi="黑体" w:eastAsia="黑体"/>
                <w:b w:val="0"/>
                <w:i w:val="0"/>
                <w:color w:val="000000"/>
                <w:sz w:val="16"/>
              </w:rPr>
              <w:t>山证</w:t>
            </w:r>
            <w:r>
              <w:rPr>
                <w:rFonts w:ascii="Arial" w:hAnsi="Arial" w:eastAsia="Arial"/>
                <w:b w:val="0"/>
                <w:i w:val="0"/>
                <w:color w:val="000000"/>
                <w:sz w:val="16"/>
              </w:rPr>
              <w:t xml:space="preserve">05 </w:t>
            </w:r>
          </w:p>
        </w:tc>
        <w:tc>
          <w:tcPr>
            <w:tcW w:type="dxa" w:w="900"/>
            <w:tcBorders>
              <w:bottom w:sz="3.199999999999818" w:val="single" w:color="#00000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6"/>
              </w:rPr>
              <w:t>100</w:t>
            </w:r>
          </w:p>
        </w:tc>
        <w:tc>
          <w:tcPr>
            <w:tcW w:type="dxa" w:w="1372"/>
            <w:tcBorders>
              <w:bottom w:sz="3.199999999999818" w:val="single" w:color="#000000"/>
            </w:tcBorders>
            <w:tcMar>
              <w:start w:w="0" w:type="dxa"/>
              <w:end w:w="0" w:type="dxa"/>
            </w:tcMar>
          </w:tcPr>
          <w:p>
            <w:pPr>
              <w:autoSpaceDN w:val="0"/>
              <w:autoSpaceDE w:val="0"/>
              <w:widowControl/>
              <w:spacing w:line="233" w:lineRule="auto" w:before="24" w:after="0"/>
              <w:ind w:left="0" w:right="114" w:firstLine="0"/>
              <w:jc w:val="right"/>
            </w:pPr>
            <w:r>
              <w:rPr>
                <w:rFonts w:ascii="Arial" w:hAnsi="Arial" w:eastAsia="Arial"/>
                <w:b w:val="0"/>
                <w:i w:val="0"/>
                <w:color w:val="000000"/>
                <w:sz w:val="16"/>
              </w:rPr>
              <w:t>2024/12/5</w:t>
            </w:r>
          </w:p>
        </w:tc>
        <w:tc>
          <w:tcPr>
            <w:tcW w:type="dxa" w:w="850"/>
            <w:tcBorders>
              <w:bottom w:sz="3.199999999999818" w:val="single" w:color="#000000"/>
            </w:tcBorders>
            <w:tcMar>
              <w:start w:w="0" w:type="dxa"/>
              <w:end w:w="0" w:type="dxa"/>
            </w:tcMar>
          </w:tcPr>
          <w:p>
            <w:pPr>
              <w:autoSpaceDN w:val="0"/>
              <w:autoSpaceDE w:val="0"/>
              <w:widowControl/>
              <w:spacing w:line="180" w:lineRule="exact" w:before="38" w:after="0"/>
              <w:ind w:left="0" w:right="0" w:firstLine="0"/>
              <w:jc w:val="right"/>
            </w:pPr>
            <w:r>
              <w:rPr>
                <w:rFonts w:ascii="Arial" w:hAnsi="Arial" w:eastAsia="Arial"/>
                <w:b w:val="0"/>
                <w:i w:val="0"/>
                <w:color w:val="000000"/>
                <w:sz w:val="16"/>
              </w:rPr>
              <w:t>3</w:t>
            </w:r>
            <w:r>
              <w:rPr>
                <w:rFonts w:ascii="黑体" w:hAnsi="黑体" w:eastAsia="黑体"/>
                <w:b w:val="0"/>
                <w:i w:val="0"/>
                <w:color w:val="000000"/>
                <w:sz w:val="16"/>
              </w:rPr>
              <w:t>年</w:t>
            </w:r>
          </w:p>
        </w:tc>
        <w:tc>
          <w:tcPr>
            <w:tcW w:type="dxa" w:w="1356"/>
            <w:tcBorders>
              <w:bottom w:sz="3.199999999999818" w:val="single" w:color="#000000"/>
            </w:tcBorders>
            <w:tcMar>
              <w:start w:w="0" w:type="dxa"/>
              <w:end w:w="0" w:type="dxa"/>
            </w:tcMar>
          </w:tcPr>
          <w:p>
            <w:pPr>
              <w:autoSpaceDN w:val="0"/>
              <w:autoSpaceDE w:val="0"/>
              <w:widowControl/>
              <w:spacing w:line="233" w:lineRule="auto" w:before="24" w:after="0"/>
              <w:ind w:left="0" w:right="68" w:firstLine="0"/>
              <w:jc w:val="right"/>
            </w:pPr>
            <w:r>
              <w:rPr>
                <w:rFonts w:ascii="Arial" w:hAnsi="Arial" w:eastAsia="Arial"/>
                <w:b w:val="0"/>
                <w:i w:val="0"/>
                <w:color w:val="000000"/>
                <w:sz w:val="16"/>
              </w:rPr>
              <w:t xml:space="preserve">2.03 </w:t>
            </w:r>
          </w:p>
        </w:tc>
        <w:tc>
          <w:tcPr>
            <w:tcW w:type="dxa" w:w="1416"/>
            <w:tcBorders>
              <w:bottom w:sz="3.199999999999818" w:val="single" w:color="#000000"/>
            </w:tcBorders>
            <w:tcMar>
              <w:start w:w="0" w:type="dxa"/>
              <w:end w:w="0" w:type="dxa"/>
            </w:tcMar>
          </w:tcPr>
          <w:p>
            <w:pPr>
              <w:autoSpaceDN w:val="0"/>
              <w:autoSpaceDE w:val="0"/>
              <w:widowControl/>
              <w:spacing w:line="233" w:lineRule="auto" w:before="48" w:after="0"/>
              <w:ind w:left="0" w:right="68" w:firstLine="0"/>
              <w:jc w:val="right"/>
            </w:pPr>
            <w:r>
              <w:rPr>
                <w:rFonts w:ascii="Arial" w:hAnsi="Arial" w:eastAsia="Arial"/>
                <w:b w:val="0"/>
                <w:i w:val="0"/>
                <w:color w:val="000000"/>
                <w:sz w:val="16"/>
              </w:rPr>
              <w:t xml:space="preserve">700,000,000 </w:t>
            </w:r>
          </w:p>
        </w:tc>
        <w:tc>
          <w:tcPr>
            <w:tcW w:type="dxa" w:w="1362"/>
            <w:tcBorders>
              <w:bottom w:sz="3.199999999999818" w:val="single" w:color="#000000"/>
            </w:tcBorders>
            <w:tcMar>
              <w:start w:w="0" w:type="dxa"/>
              <w:end w:w="0" w:type="dxa"/>
            </w:tcMar>
          </w:tcPr>
          <w:p>
            <w:pPr>
              <w:autoSpaceDN w:val="0"/>
              <w:autoSpaceDE w:val="0"/>
              <w:widowControl/>
              <w:spacing w:line="233" w:lineRule="auto" w:before="48" w:after="0"/>
              <w:ind w:left="0" w:right="2" w:firstLine="0"/>
              <w:jc w:val="right"/>
            </w:pPr>
            <w:r>
              <w:rPr>
                <w:rFonts w:ascii="Arial" w:hAnsi="Arial" w:eastAsia="Arial"/>
                <w:b w:val="0"/>
                <w:i w:val="0"/>
                <w:color w:val="000000"/>
                <w:sz w:val="16"/>
              </w:rPr>
              <w:t>-</w:t>
            </w:r>
          </w:p>
        </w:tc>
        <w:tc>
          <w:tcPr>
            <w:tcW w:type="dxa" w:w="1188"/>
            <w:tcBorders>
              <w:bottom w:sz="3.199999999999818" w:val="single" w:color="#000000"/>
            </w:tcBorders>
            <w:tcMar>
              <w:start w:w="0" w:type="dxa"/>
              <w:end w:w="0" w:type="dxa"/>
            </w:tcMar>
          </w:tcPr>
          <w:p>
            <w:pPr>
              <w:autoSpaceDN w:val="0"/>
              <w:autoSpaceDE w:val="0"/>
              <w:widowControl/>
              <w:spacing w:line="233" w:lineRule="auto" w:before="48" w:after="0"/>
              <w:ind w:left="0" w:right="0" w:firstLine="0"/>
              <w:jc w:val="right"/>
            </w:pPr>
            <w:r>
              <w:rPr>
                <w:rFonts w:ascii="Arial" w:hAnsi="Arial" w:eastAsia="Arial"/>
                <w:b w:val="0"/>
                <w:i w:val="0"/>
                <w:color w:val="000000"/>
                <w:sz w:val="16"/>
              </w:rPr>
              <w:t>700,943,747</w:t>
            </w:r>
          </w:p>
        </w:tc>
        <w:tc>
          <w:tcPr>
            <w:tcW w:type="dxa" w:w="1478"/>
            <w:tcBorders>
              <w:bottom w:sz="3.199999999999818" w:val="single" w:color="#000000"/>
            </w:tcBorders>
            <w:tcMar>
              <w:start w:w="0" w:type="dxa"/>
              <w:end w:w="0" w:type="dxa"/>
            </w:tcMar>
          </w:tcPr>
          <w:p>
            <w:pPr>
              <w:autoSpaceDN w:val="0"/>
              <w:autoSpaceDE w:val="0"/>
              <w:widowControl/>
              <w:spacing w:line="233" w:lineRule="auto" w:before="48" w:after="0"/>
              <w:ind w:left="0" w:right="116" w:firstLine="0"/>
              <w:jc w:val="right"/>
            </w:pPr>
            <w:r>
              <w:rPr>
                <w:rFonts w:ascii="Arial" w:hAnsi="Arial" w:eastAsia="Arial"/>
                <w:b w:val="0"/>
                <w:i w:val="0"/>
                <w:color w:val="000000"/>
                <w:sz w:val="16"/>
              </w:rPr>
              <w:t>-</w:t>
            </w:r>
          </w:p>
        </w:tc>
        <w:tc>
          <w:tcPr>
            <w:tcW w:type="dxa" w:w="1474"/>
            <w:tcBorders>
              <w:bottom w:sz="3.199999999999818" w:val="single" w:color="#000000"/>
            </w:tcBorders>
            <w:tcMar>
              <w:start w:w="0" w:type="dxa"/>
              <w:end w:w="0" w:type="dxa"/>
            </w:tcMar>
          </w:tcPr>
          <w:p>
            <w:pPr>
              <w:autoSpaceDN w:val="0"/>
              <w:autoSpaceDE w:val="0"/>
              <w:widowControl/>
              <w:spacing w:line="233" w:lineRule="auto" w:before="48" w:after="0"/>
              <w:ind w:left="0" w:right="72" w:firstLine="0"/>
              <w:jc w:val="right"/>
            </w:pPr>
            <w:r>
              <w:rPr>
                <w:rFonts w:ascii="Arial" w:hAnsi="Arial" w:eastAsia="Arial"/>
                <w:b w:val="0"/>
                <w:i w:val="0"/>
                <w:color w:val="000000"/>
                <w:sz w:val="16"/>
              </w:rPr>
              <w:t xml:space="preserve">700,943,747 </w:t>
            </w:r>
          </w:p>
        </w:tc>
        <w:tc>
          <w:tcPr>
            <w:tcW w:type="dxa" w:w="736"/>
            <w:tcBorders>
              <w:bottom w:sz="3.199999999999818" w:val="single" w:color="#000000"/>
            </w:tcBorders>
            <w:tcMar>
              <w:start w:w="0" w:type="dxa"/>
              <w:end w:w="0" w:type="dxa"/>
            </w:tcMar>
          </w:tcPr>
          <w:p>
            <w:pPr>
              <w:autoSpaceDN w:val="0"/>
              <w:autoSpaceDE w:val="0"/>
              <w:widowControl/>
              <w:spacing w:line="160" w:lineRule="exact" w:before="46" w:after="0"/>
              <w:ind w:left="0" w:right="0" w:firstLine="0"/>
              <w:jc w:val="right"/>
            </w:pPr>
            <w:r>
              <w:rPr>
                <w:rFonts w:ascii="黑体" w:hAnsi="黑体" w:eastAsia="黑体"/>
                <w:b w:val="0"/>
                <w:i w:val="0"/>
                <w:color w:val="000000"/>
                <w:sz w:val="16"/>
              </w:rPr>
              <w:t>否</w:t>
            </w:r>
          </w:p>
        </w:tc>
      </w:tr>
      <w:tr>
        <w:trPr>
          <w:trHeight w:hRule="exact" w:val="404"/>
        </w:trPr>
        <w:tc>
          <w:tcPr>
            <w:tcW w:type="dxa" w:w="4132"/>
            <w:gridSpan w:val="4"/>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2" w:lineRule="exact" w:before="208" w:after="0"/>
              <w:ind w:left="0" w:right="0" w:firstLine="0"/>
              <w:jc w:val="left"/>
            </w:pPr>
            <w:r>
              <w:rPr>
                <w:rFonts w:ascii="黑体" w:hAnsi="黑体" w:eastAsia="黑体"/>
                <w:b w:val="0"/>
                <w:i w:val="0"/>
                <w:color w:val="000000"/>
                <w:sz w:val="16"/>
              </w:rPr>
              <w:t xml:space="preserve">合计 </w:t>
            </w:r>
          </w:p>
        </w:tc>
        <w:tc>
          <w:tcPr>
            <w:tcW w:type="dxa" w:w="850"/>
            <w:tcBorders>
              <w:top w:sz="3.199999999999818" w:val="single" w:color="#000000"/>
              <w:bottom w:sz="4.0" w:val="single" w:color="#000000"/>
            </w:tcBorders>
            <w:tcMar>
              <w:start w:w="0" w:type="dxa"/>
              <w:end w:w="0" w:type="dxa"/>
            </w:tcMar>
          </w:tcPr>
          <w:p/>
        </w:tc>
        <w:tc>
          <w:tcPr>
            <w:tcW w:type="dxa" w:w="1356"/>
            <w:tcBorders>
              <w:top w:sz="3.199999999999818" w:val="single" w:color="#000000"/>
              <w:bottom w:sz="4.0" w:val="single" w:color="#000000"/>
            </w:tcBorders>
            <w:tcMar>
              <w:start w:w="0" w:type="dxa"/>
              <w:end w:w="0" w:type="dxa"/>
            </w:tcMar>
          </w:tcPr>
          <w:p/>
        </w:tc>
        <w:tc>
          <w:tcPr>
            <w:tcW w:type="dxa" w:w="1416"/>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192" w:right="0" w:firstLine="0"/>
              <w:jc w:val="left"/>
            </w:pPr>
            <w:r>
              <w:rPr>
                <w:rFonts w:ascii="Arial" w:hAnsi="Arial" w:eastAsia="Arial"/>
                <w:b w:val="0"/>
                <w:i w:val="0"/>
                <w:color w:val="000000"/>
                <w:sz w:val="16"/>
              </w:rPr>
              <w:t xml:space="preserve">21,475,140,000 </w:t>
            </w:r>
          </w:p>
        </w:tc>
        <w:tc>
          <w:tcPr>
            <w:tcW w:type="dxa" w:w="1362"/>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248" w:right="0" w:firstLine="0"/>
              <w:jc w:val="left"/>
            </w:pPr>
            <w:r>
              <w:rPr>
                <w:rFonts w:ascii="Arial" w:hAnsi="Arial" w:eastAsia="Arial"/>
                <w:b w:val="0"/>
                <w:i w:val="0"/>
                <w:color w:val="000000"/>
                <w:sz w:val="16"/>
              </w:rPr>
              <w:t>15,809,101,530</w:t>
            </w:r>
          </w:p>
        </w:tc>
        <w:tc>
          <w:tcPr>
            <w:tcW w:type="dxa" w:w="1188"/>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166" w:right="0" w:firstLine="0"/>
              <w:jc w:val="left"/>
            </w:pPr>
            <w:r>
              <w:rPr>
                <w:rFonts w:ascii="Arial" w:hAnsi="Arial" w:eastAsia="Arial"/>
                <w:b w:val="0"/>
                <w:i w:val="0"/>
                <w:color w:val="000000"/>
                <w:sz w:val="16"/>
              </w:rPr>
              <w:t>6,485,532,381</w:t>
            </w:r>
          </w:p>
        </w:tc>
        <w:tc>
          <w:tcPr>
            <w:tcW w:type="dxa" w:w="1478"/>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284" w:right="0" w:firstLine="0"/>
              <w:jc w:val="left"/>
            </w:pPr>
            <w:r>
              <w:rPr>
                <w:rFonts w:ascii="Arial" w:hAnsi="Arial" w:eastAsia="Arial"/>
                <w:b w:val="0"/>
                <w:i w:val="0"/>
                <w:color w:val="000000"/>
                <w:sz w:val="16"/>
              </w:rPr>
              <w:t xml:space="preserve">(7,124,418,626) </w:t>
            </w:r>
          </w:p>
        </w:tc>
        <w:tc>
          <w:tcPr>
            <w:tcW w:type="dxa" w:w="1474"/>
            <w:tcBorders>
              <w:top w:sz="3.199999999999818" w:val="single" w:color="#000000"/>
              <w:bottom w:sz="4.0" w:val="single" w:color="#000000"/>
            </w:tcBorders>
            <w:tcMar>
              <w:start w:w="0" w:type="dxa"/>
              <w:end w:w="0" w:type="dxa"/>
            </w:tcMar>
          </w:tcPr>
          <w:p>
            <w:pPr>
              <w:autoSpaceDN w:val="0"/>
              <w:autoSpaceDE w:val="0"/>
              <w:widowControl/>
              <w:spacing w:line="233" w:lineRule="auto" w:before="210" w:after="0"/>
              <w:ind w:left="246" w:right="0" w:firstLine="0"/>
              <w:jc w:val="left"/>
            </w:pPr>
            <w:r>
              <w:rPr>
                <w:rFonts w:ascii="Arial" w:hAnsi="Arial" w:eastAsia="Arial"/>
                <w:b w:val="0"/>
                <w:i w:val="0"/>
                <w:color w:val="000000"/>
                <w:sz w:val="16"/>
              </w:rPr>
              <w:t xml:space="preserve">15,170,215,285 </w:t>
            </w:r>
          </w:p>
        </w:tc>
        <w:tc>
          <w:tcPr>
            <w:tcW w:type="dxa" w:w="736"/>
            <w:tcBorders>
              <w:top w:sz="3.199999999999818" w:val="single" w:color="#000000"/>
              <w:bottom w:sz="4.0" w:val="single" w:color="#000000"/>
            </w:tcBorders>
            <w:tcMar>
              <w:start w:w="0" w:type="dxa"/>
              <w:end w:w="0" w:type="dxa"/>
            </w:tcMar>
          </w:tcPr>
          <w:p/>
        </w:tc>
      </w:tr>
      <w:tr>
        <w:trPr>
          <w:trHeight w:hRule="exact" w:val="50"/>
        </w:trPr>
        <w:tc>
          <w:tcPr>
            <w:tcW w:type="dxa" w:w="4672"/>
            <w:gridSpan w:val="4"/>
            <w:vMerge/>
            <w:tcBorders>
              <w:top w:sz="3.199999999999818" w:val="single" w:color="#000000"/>
            </w:tcBorders>
          </w:tcPr>
          <w:p/>
        </w:tc>
        <w:tc>
          <w:tcPr>
            <w:tcW w:type="dxa" w:w="850"/>
            <w:tcBorders>
              <w:top w:sz="4.0" w:val="single" w:color="#000000"/>
            </w:tcBorders>
            <w:tcMar>
              <w:start w:w="0" w:type="dxa"/>
              <w:end w:w="0" w:type="dxa"/>
            </w:tcMar>
          </w:tcPr>
          <w:p/>
        </w:tc>
        <w:tc>
          <w:tcPr>
            <w:tcW w:type="dxa" w:w="1356"/>
            <w:tcBorders>
              <w:top w:sz="4.0" w:val="single" w:color="#000000"/>
            </w:tcBorders>
            <w:tcMar>
              <w:start w:w="0" w:type="dxa"/>
              <w:end w:w="0" w:type="dxa"/>
            </w:tcMar>
          </w:tcPr>
          <w:p/>
        </w:tc>
        <w:tc>
          <w:tcPr>
            <w:tcW w:type="dxa" w:w="1416"/>
            <w:tcBorders>
              <w:top w:sz="4.0" w:val="single" w:color="#000000"/>
            </w:tcBorders>
            <w:tcMar>
              <w:start w:w="0" w:type="dxa"/>
              <w:end w:w="0" w:type="dxa"/>
            </w:tcMar>
          </w:tcPr>
          <w:p/>
        </w:tc>
        <w:tc>
          <w:tcPr>
            <w:tcW w:type="dxa" w:w="1362"/>
            <w:tcBorders>
              <w:top w:sz="4.0" w:val="single" w:color="#000000"/>
            </w:tcBorders>
            <w:tcMar>
              <w:start w:w="0" w:type="dxa"/>
              <w:end w:w="0" w:type="dxa"/>
            </w:tcMar>
          </w:tcPr>
          <w:p/>
        </w:tc>
        <w:tc>
          <w:tcPr>
            <w:tcW w:type="dxa" w:w="1188"/>
            <w:tcBorders>
              <w:top w:sz="4.0" w:val="single" w:color="#000000"/>
            </w:tcBorders>
            <w:tcMar>
              <w:start w:w="0" w:type="dxa"/>
              <w:end w:w="0" w:type="dxa"/>
            </w:tcMar>
          </w:tcPr>
          <w:p/>
        </w:tc>
        <w:tc>
          <w:tcPr>
            <w:tcW w:type="dxa" w:w="1478"/>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736"/>
            <w:tcBorders>
              <w:top w:sz="4.0" w:val="single" w:color="#000000"/>
            </w:tcBorders>
            <w:tcMar>
              <w:start w:w="0" w:type="dxa"/>
              <w:end w:w="0" w:type="dxa"/>
            </w:tcMar>
          </w:tcPr>
          <w:p/>
        </w:tc>
      </w:tr>
    </w:tbl>
    <w:p>
      <w:pPr>
        <w:autoSpaceDN w:val="0"/>
        <w:autoSpaceDE w:val="0"/>
        <w:widowControl/>
        <w:spacing w:line="233" w:lineRule="auto" w:before="3194" w:after="0"/>
        <w:ind w:left="0" w:right="0" w:firstLine="0"/>
        <w:jc w:val="center"/>
      </w:pPr>
      <w:r>
        <w:rPr>
          <w:rFonts w:ascii="Arial" w:hAnsi="Arial" w:eastAsia="Arial"/>
          <w:b w:val="0"/>
          <w:i w:val="0"/>
          <w:color w:val="000000"/>
          <w:sz w:val="20"/>
        </w:rPr>
        <w:t xml:space="preserve">228 </w:t>
      </w:r>
    </w:p>
    <w:p>
      <w:pPr>
        <w:sectPr>
          <w:pgSz w:w="16841" w:h="11906"/>
          <w:pgMar w:top="1166" w:right="1386" w:bottom="362" w:left="1440" w:header="720" w:footer="720" w:gutter="0"/>
          <w:cols/>
          <w:docGrid w:linePitch="360"/>
        </w:sectPr>
      </w:pPr>
    </w:p>
    <w:p>
      <w:pPr>
        <w:autoSpaceDN w:val="0"/>
        <w:autoSpaceDE w:val="0"/>
        <w:widowControl/>
        <w:spacing w:line="220" w:lineRule="exact" w:before="0" w:after="834"/>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72"/>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8" w:lineRule="exact" w:before="1066"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vMerge w:val="restart"/>
            <w:tcBorders/>
            <w:tcMar>
              <w:start w:w="0" w:type="dxa"/>
              <w:end w:w="0" w:type="dxa"/>
            </w:tcMar>
            <w:tcMar>
              <w:start w:w="0" w:type="dxa"/>
              <w:end w:w="0" w:type="dxa"/>
            </w:tcMar>
          </w:tcPr>
          <w:p>
            <w:pPr>
              <w:autoSpaceDN w:val="0"/>
              <w:autoSpaceDE w:val="0"/>
              <w:widowControl/>
              <w:spacing w:line="248" w:lineRule="exact" w:before="1066" w:after="0"/>
              <w:ind w:left="45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080"/>
        </w:trPr>
        <w:tc>
          <w:tcPr>
            <w:tcW w:type="dxa" w:w="760"/>
            <w:tcBorders/>
            <w:tcMar>
              <w:start w:w="0" w:type="dxa"/>
              <w:end w:w="0" w:type="dxa"/>
            </w:tcMar>
          </w:tcPr>
          <w:p>
            <w:pPr>
              <w:autoSpaceDN w:val="0"/>
              <w:autoSpaceDE w:val="0"/>
              <w:widowControl/>
              <w:spacing w:line="248" w:lineRule="exact" w:before="154" w:after="0"/>
              <w:ind w:left="0" w:right="0" w:firstLine="0"/>
              <w:jc w:val="center"/>
            </w:pPr>
            <w:r>
              <w:rPr>
                <w:rFonts w:ascii="Arial,Bold" w:hAnsi="Arial,Bold" w:eastAsia="Arial,Bold"/>
                <w:b/>
                <w:i w:val="0"/>
                <w:color w:val="000000"/>
                <w:sz w:val="22"/>
              </w:rPr>
              <w:t xml:space="preserve">31. </w:t>
            </w:r>
          </w:p>
        </w:tc>
        <w:tc>
          <w:tcPr>
            <w:tcW w:type="dxa" w:w="3804"/>
            <w:tcBorders/>
            <w:tcMar>
              <w:start w:w="0" w:type="dxa"/>
              <w:end w:w="0" w:type="dxa"/>
            </w:tcMar>
          </w:tcPr>
          <w:p>
            <w:pPr>
              <w:autoSpaceDN w:val="0"/>
              <w:autoSpaceDE w:val="0"/>
              <w:widowControl/>
              <w:spacing w:line="220" w:lineRule="exact" w:before="166" w:after="0"/>
              <w:ind w:left="166" w:right="0" w:firstLine="0"/>
              <w:jc w:val="left"/>
            </w:pPr>
            <w:r>
              <w:rPr>
                <w:rFonts w:ascii="黑体" w:hAnsi="黑体" w:eastAsia="黑体"/>
                <w:b w:val="0"/>
                <w:i w:val="0"/>
                <w:color w:val="000000"/>
                <w:sz w:val="22"/>
              </w:rPr>
              <w:t>租赁负债</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62" w:after="0"/>
              <w:ind w:left="198" w:right="0" w:firstLine="0"/>
              <w:jc w:val="left"/>
            </w:pPr>
            <w:r>
              <w:rPr>
                <w:rFonts w:ascii="黑体" w:hAnsi="黑体" w:eastAsia="黑体"/>
                <w:b w:val="0"/>
                <w:i w:val="0"/>
                <w:color w:val="000000"/>
                <w:sz w:val="22"/>
              </w:rPr>
              <w:t>一年内到期的流动负债</w:t>
            </w:r>
          </w:p>
        </w:tc>
        <w:tc>
          <w:tcPr>
            <w:tcW w:type="dxa" w:w="1870"/>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42,436,205</w:t>
            </w:r>
          </w:p>
        </w:tc>
        <w:tc>
          <w:tcPr>
            <w:tcW w:type="dxa" w:w="2098"/>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44,988,770</w:t>
            </w:r>
          </w:p>
        </w:tc>
      </w:tr>
      <w:tr>
        <w:trPr>
          <w:trHeight w:hRule="exact" w:val="310"/>
        </w:trPr>
        <w:tc>
          <w:tcPr>
            <w:tcW w:type="dxa" w:w="4564"/>
            <w:gridSpan w:val="2"/>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一年以上的非流动负债</w:t>
            </w:r>
          </w:p>
        </w:tc>
        <w:tc>
          <w:tcPr>
            <w:tcW w:type="dxa" w:w="1870"/>
            <w:tcBorders>
              <w:bottom w:sz="3.199999999999818" w:val="single" w:color="#000000"/>
            </w:tcBorders>
            <w:tcMar>
              <w:start w:w="0" w:type="dxa"/>
              <w:end w:w="0" w:type="dxa"/>
            </w:tcMar>
          </w:tcPr>
          <w:p>
            <w:pPr>
              <w:autoSpaceDN w:val="0"/>
              <w:autoSpaceDE w:val="0"/>
              <w:widowControl/>
              <w:spacing w:line="235" w:lineRule="auto" w:before="54" w:after="0"/>
              <w:ind w:left="0" w:right="0" w:firstLine="0"/>
              <w:jc w:val="right"/>
            </w:pPr>
            <w:r>
              <w:rPr>
                <w:rFonts w:ascii="Arial" w:hAnsi="Arial" w:eastAsia="Arial"/>
                <w:b w:val="0"/>
                <w:i w:val="0"/>
                <w:color w:val="000000"/>
                <w:sz w:val="22"/>
              </w:rPr>
              <w:t>221,606,696</w:t>
            </w:r>
          </w:p>
        </w:tc>
        <w:tc>
          <w:tcPr>
            <w:tcW w:type="dxa" w:w="2098"/>
            <w:tcBorders>
              <w:bottom w:sz="3.199999999999818" w:val="single" w:color="#000000"/>
            </w:tcBorders>
            <w:tcMar>
              <w:start w:w="0" w:type="dxa"/>
              <w:end w:w="0" w:type="dxa"/>
            </w:tcMar>
          </w:tcPr>
          <w:p>
            <w:pPr>
              <w:autoSpaceDN w:val="0"/>
              <w:autoSpaceDE w:val="0"/>
              <w:widowControl/>
              <w:spacing w:line="235" w:lineRule="auto" w:before="54" w:after="0"/>
              <w:ind w:left="0" w:right="0" w:firstLine="0"/>
              <w:jc w:val="right"/>
            </w:pPr>
            <w:r>
              <w:rPr>
                <w:rFonts w:ascii="Arial" w:hAnsi="Arial" w:eastAsia="Arial"/>
                <w:b w:val="0"/>
                <w:i w:val="0"/>
                <w:color w:val="000000"/>
                <w:sz w:val="22"/>
              </w:rPr>
              <w:t>272,180,757</w:t>
            </w:r>
          </w:p>
        </w:tc>
      </w:tr>
      <w:tr>
        <w:trPr>
          <w:trHeight w:hRule="exact" w:val="550"/>
        </w:trPr>
        <w:tc>
          <w:tcPr>
            <w:tcW w:type="dxa" w:w="4564"/>
            <w:gridSpan w:val="2"/>
            <w:tcBorders>
              <w:top w:sz="3.199999999999818" w:val="single" w:color="#000000"/>
              <w:bottom w:sz="3.199999999999818" w:val="single" w:color="#000000"/>
            </w:tcBorders>
            <w:tcMar>
              <w:start w:w="0" w:type="dxa"/>
              <w:end w:w="0" w:type="dxa"/>
            </w:tcMar>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3.199999999999818"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264,042,901</w:t>
            </w:r>
          </w:p>
        </w:tc>
        <w:tc>
          <w:tcPr>
            <w:tcW w:type="dxa" w:w="2098"/>
            <w:tcBorders>
              <w:top w:sz="3.199999999999818"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317,169,527</w:t>
            </w:r>
          </w:p>
        </w:tc>
      </w:tr>
      <w:tr>
        <w:trPr>
          <w:trHeight w:hRule="exact" w:val="1080"/>
        </w:trPr>
        <w:tc>
          <w:tcPr>
            <w:tcW w:type="dxa" w:w="760"/>
            <w:tcBorders>
              <w:top w:sz="3.199999999999818" w:val="single" w:color="#000000"/>
            </w:tcBorders>
            <w:tcMar>
              <w:start w:w="0" w:type="dxa"/>
              <w:end w:w="0" w:type="dxa"/>
            </w:tcMar>
          </w:tcPr>
          <w:p>
            <w:pPr>
              <w:autoSpaceDN w:val="0"/>
              <w:autoSpaceDE w:val="0"/>
              <w:widowControl/>
              <w:spacing w:line="246" w:lineRule="exact" w:before="290" w:after="0"/>
              <w:ind w:left="0" w:right="0" w:firstLine="0"/>
              <w:jc w:val="center"/>
            </w:pPr>
            <w:r>
              <w:rPr>
                <w:rFonts w:ascii="Arial,Bold" w:hAnsi="Arial,Bold" w:eastAsia="Arial,Bold"/>
                <w:b/>
                <w:i w:val="0"/>
                <w:color w:val="000000"/>
                <w:sz w:val="22"/>
              </w:rPr>
              <w:t xml:space="preserve">32. </w:t>
            </w:r>
          </w:p>
        </w:tc>
        <w:tc>
          <w:tcPr>
            <w:tcW w:type="dxa" w:w="3804"/>
            <w:tcBorders>
              <w:top w:sz="3.199999999999818" w:val="single" w:color="#000000"/>
            </w:tcBorders>
            <w:tcMar>
              <w:start w:w="0" w:type="dxa"/>
              <w:end w:w="0" w:type="dxa"/>
            </w:tcMar>
          </w:tcPr>
          <w:p>
            <w:pPr>
              <w:autoSpaceDN w:val="0"/>
              <w:autoSpaceDE w:val="0"/>
              <w:widowControl/>
              <w:spacing w:line="222" w:lineRule="exact" w:before="300" w:after="0"/>
              <w:ind w:left="166" w:right="0" w:firstLine="0"/>
              <w:jc w:val="left"/>
            </w:pPr>
            <w:r>
              <w:rPr>
                <w:rFonts w:ascii="黑体" w:hAnsi="黑体" w:eastAsia="黑体"/>
                <w:b w:val="0"/>
                <w:i w:val="0"/>
                <w:color w:val="000000"/>
                <w:sz w:val="22"/>
              </w:rPr>
              <w:t>其他负债</w:t>
            </w:r>
          </w:p>
        </w:tc>
        <w:tc>
          <w:tcPr>
            <w:tcW w:type="dxa" w:w="1870"/>
            <w:tcBorders>
              <w:top w:sz="3.199999999999818" w:val="single" w:color="#000000"/>
            </w:tcBorders>
            <w:tcMar>
              <w:start w:w="0" w:type="dxa"/>
              <w:end w:w="0" w:type="dxa"/>
            </w:tcMar>
          </w:tcPr>
          <w:p>
            <w:pPr>
              <w:autoSpaceDN w:val="0"/>
              <w:autoSpaceDE w:val="0"/>
              <w:widowControl/>
              <w:spacing w:line="246" w:lineRule="exact" w:before="828"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3.199999999999818" w:val="single" w:color="#000000"/>
            </w:tcBorders>
            <w:tcMar>
              <w:start w:w="0" w:type="dxa"/>
              <w:end w:w="0" w:type="dxa"/>
            </w:tcMar>
          </w:tcPr>
          <w:p>
            <w:pPr>
              <w:autoSpaceDN w:val="0"/>
              <w:autoSpaceDE w:val="0"/>
              <w:widowControl/>
              <w:spacing w:line="266" w:lineRule="exact" w:before="810" w:after="0"/>
              <w:ind w:left="226"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40"/>
        </w:trPr>
        <w:tc>
          <w:tcPr>
            <w:tcW w:type="dxa" w:w="4564"/>
            <w:gridSpan w:val="2"/>
            <w:tcBorders/>
            <w:tcMar>
              <w:start w:w="0" w:type="dxa"/>
              <w:end w:w="0" w:type="dxa"/>
            </w:tcMar>
            <w:tcMar>
              <w:start w:w="0" w:type="dxa"/>
              <w:end w:w="0" w:type="dxa"/>
            </w:tcMar>
          </w:tcPr>
          <w:p>
            <w:pPr>
              <w:autoSpaceDN w:val="0"/>
              <w:autoSpaceDE w:val="0"/>
              <w:widowControl/>
              <w:spacing w:line="246" w:lineRule="exact" w:before="292" w:after="0"/>
              <w:ind w:left="198" w:right="0" w:firstLine="0"/>
              <w:jc w:val="left"/>
            </w:pPr>
            <w:r>
              <w:rPr>
                <w:rFonts w:ascii="黑体" w:hAnsi="黑体" w:eastAsia="黑体"/>
                <w:b w:val="0"/>
                <w:i w:val="0"/>
                <w:color w:val="000000"/>
                <w:sz w:val="22"/>
              </w:rPr>
              <w:t>其他应付款（</w:t>
            </w:r>
            <w:r>
              <w:rPr>
                <w:rFonts w:ascii="Arial" w:hAnsi="Arial" w:eastAsia="Arial"/>
                <w:b w:val="0"/>
                <w:i w:val="0"/>
                <w:color w:val="000000"/>
                <w:sz w:val="22"/>
              </w:rPr>
              <w:t>1</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3" w:lineRule="auto" w:before="294" w:after="0"/>
              <w:ind w:left="466" w:right="0" w:firstLine="0"/>
              <w:jc w:val="left"/>
            </w:pPr>
            <w:r>
              <w:rPr>
                <w:rFonts w:ascii="Arial" w:hAnsi="Arial" w:eastAsia="Arial"/>
                <w:b w:val="0"/>
                <w:i w:val="0"/>
                <w:color w:val="000000"/>
                <w:sz w:val="22"/>
              </w:rPr>
              <w:t>1,070,033,755</w:t>
            </w:r>
          </w:p>
        </w:tc>
        <w:tc>
          <w:tcPr>
            <w:tcW w:type="dxa" w:w="2098"/>
            <w:tcBorders/>
            <w:tcMar>
              <w:start w:w="0" w:type="dxa"/>
              <w:end w:w="0" w:type="dxa"/>
            </w:tcMar>
          </w:tcPr>
          <w:p>
            <w:pPr>
              <w:autoSpaceDN w:val="0"/>
              <w:autoSpaceDE w:val="0"/>
              <w:widowControl/>
              <w:spacing w:line="233" w:lineRule="auto" w:before="294" w:after="0"/>
              <w:ind w:left="0" w:right="0" w:firstLine="0"/>
              <w:jc w:val="right"/>
            </w:pPr>
            <w:r>
              <w:rPr>
                <w:rFonts w:ascii="Arial" w:hAnsi="Arial" w:eastAsia="Arial"/>
                <w:b w:val="0"/>
                <w:i w:val="0"/>
                <w:color w:val="000000"/>
                <w:sz w:val="22"/>
              </w:rPr>
              <w:t>2,090,734,004</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应付并表有限合伙企业其他受益人款项</w:t>
            </w:r>
          </w:p>
        </w:tc>
        <w:tc>
          <w:tcPr>
            <w:tcW w:type="dxa" w:w="1870"/>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150,167,079</w:t>
            </w:r>
          </w:p>
        </w:tc>
        <w:tc>
          <w:tcPr>
            <w:tcW w:type="dxa" w:w="2098"/>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744,195</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46" w:lineRule="exact" w:before="34" w:after="0"/>
              <w:ind w:left="198" w:right="0" w:firstLine="0"/>
              <w:jc w:val="left"/>
            </w:pPr>
            <w:r>
              <w:rPr>
                <w:rFonts w:ascii="黑体" w:hAnsi="黑体" w:eastAsia="黑体"/>
                <w:b w:val="0"/>
                <w:i w:val="0"/>
                <w:color w:val="000000"/>
                <w:sz w:val="22"/>
              </w:rPr>
              <w:t>期货风险准备金（</w:t>
            </w:r>
            <w:r>
              <w:rPr>
                <w:rFonts w:ascii="Arial" w:hAnsi="Arial" w:eastAsia="Arial"/>
                <w:b w:val="0"/>
                <w:i w:val="0"/>
                <w:color w:val="000000"/>
                <w:sz w:val="22"/>
              </w:rPr>
              <w:t>2</w:t>
            </w:r>
            <w:r>
              <w:rPr>
                <w:rFonts w:ascii="黑体" w:hAnsi="黑体" w:eastAsia="黑体"/>
                <w:b w:val="0"/>
                <w:i w:val="0"/>
                <w:color w:val="000000"/>
                <w:sz w:val="22"/>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111,751,633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107,624,697</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46" w:after="0"/>
              <w:ind w:left="198" w:right="0" w:firstLine="0"/>
              <w:jc w:val="left"/>
            </w:pPr>
            <w:r>
              <w:rPr>
                <w:rFonts w:ascii="黑体" w:hAnsi="黑体" w:eastAsia="黑体"/>
                <w:b w:val="0"/>
                <w:i w:val="0"/>
                <w:color w:val="000000"/>
                <w:sz w:val="22"/>
              </w:rPr>
              <w:t>应付结构化主体其他受益人款项（</w:t>
            </w:r>
            <w:r>
              <w:rPr>
                <w:rFonts w:ascii="Arial" w:hAnsi="Arial" w:eastAsia="Arial"/>
                <w:b w:val="0"/>
                <w:i w:val="0"/>
                <w:color w:val="000000"/>
                <w:sz w:val="22"/>
              </w:rPr>
              <w:t>3</w:t>
            </w:r>
            <w:r>
              <w:rPr>
                <w:rFonts w:ascii="黑体" w:hAnsi="黑体" w:eastAsia="黑体"/>
                <w:b w:val="0"/>
                <w:i w:val="0"/>
                <w:color w:val="000000"/>
                <w:sz w:val="22"/>
              </w:rPr>
              <w:t>）</w:t>
            </w:r>
          </w:p>
        </w:tc>
        <w:tc>
          <w:tcPr>
            <w:tcW w:type="dxa" w:w="2256"/>
            <w:vMerge/>
            <w:tcBorders/>
          </w:tcPr>
          <w:p/>
        </w:tc>
        <w:tc>
          <w:tcPr>
            <w:tcW w:type="dxa" w:w="2256"/>
            <w:vMerge/>
            <w:tcBorders/>
          </w:tcPr>
          <w:p/>
        </w:tc>
      </w:tr>
      <w:tr>
        <w:trPr>
          <w:trHeight w:hRule="exact" w:val="254"/>
        </w:trPr>
        <w:tc>
          <w:tcPr>
            <w:tcW w:type="dxa" w:w="4512"/>
            <w:gridSpan w:val="2"/>
            <w:vMerge/>
            <w:tcBorders/>
          </w:tcPr>
          <w:p/>
        </w:tc>
        <w:tc>
          <w:tcPr>
            <w:tcW w:type="dxa" w:w="187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2"/>
              </w:rPr>
              <w:t>24,947,086</w:t>
            </w:r>
          </w:p>
        </w:tc>
        <w:tc>
          <w:tcPr>
            <w:tcW w:type="dxa" w:w="209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2"/>
              </w:rPr>
              <w:t>9,515,256</w:t>
            </w:r>
          </w:p>
        </w:tc>
      </w:tr>
      <w:tr>
        <w:trPr>
          <w:trHeight w:hRule="exact" w:val="304"/>
        </w:trPr>
        <w:tc>
          <w:tcPr>
            <w:tcW w:type="dxa" w:w="4564"/>
            <w:gridSpan w:val="2"/>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42" w:after="0"/>
              <w:ind w:left="198" w:right="0" w:firstLine="0"/>
              <w:jc w:val="left"/>
            </w:pPr>
            <w:r>
              <w:rPr>
                <w:rFonts w:ascii="黑体" w:hAnsi="黑体" w:eastAsia="黑体"/>
                <w:b w:val="0"/>
                <w:i w:val="0"/>
                <w:color w:val="000000"/>
                <w:sz w:val="22"/>
              </w:rPr>
              <w:t>其他</w:t>
            </w:r>
          </w:p>
        </w:tc>
        <w:tc>
          <w:tcPr>
            <w:tcW w:type="dxa" w:w="1870"/>
            <w:tcBorders>
              <w:bottom w:sz="3.199999999999818"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22"/>
              </w:rPr>
              <w:t>7,668,327</w:t>
            </w:r>
          </w:p>
        </w:tc>
        <w:tc>
          <w:tcPr>
            <w:tcW w:type="dxa" w:w="2098"/>
            <w:tcBorders>
              <w:bottom w:sz="3.199999999999818"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22"/>
              </w:rPr>
              <w:t>10,487,929</w:t>
            </w:r>
          </w:p>
        </w:tc>
      </w:tr>
      <w:tr>
        <w:trPr>
          <w:trHeight w:hRule="exact" w:val="550"/>
        </w:trPr>
        <w:tc>
          <w:tcPr>
            <w:tcW w:type="dxa" w:w="4564"/>
            <w:gridSpan w:val="2"/>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1870"/>
            <w:tcBorders>
              <w:top w:sz="3.199999999999818" w:val="single" w:color="#000000"/>
              <w:bottom w:sz="3.199999999999818" w:val="single" w:color="#000000"/>
            </w:tcBorders>
            <w:tcMar>
              <w:start w:w="0" w:type="dxa"/>
              <w:end w:w="0" w:type="dxa"/>
            </w:tcMar>
          </w:tcPr>
          <w:p>
            <w:pPr>
              <w:autoSpaceDN w:val="0"/>
              <w:autoSpaceDE w:val="0"/>
              <w:widowControl/>
              <w:spacing w:line="233" w:lineRule="auto" w:before="292" w:after="0"/>
              <w:ind w:left="466" w:right="0" w:firstLine="0"/>
              <w:jc w:val="left"/>
            </w:pPr>
            <w:r>
              <w:rPr>
                <w:rFonts w:ascii="Arial" w:hAnsi="Arial" w:eastAsia="Arial"/>
                <w:b w:val="0"/>
                <w:i w:val="0"/>
                <w:color w:val="000000"/>
                <w:sz w:val="22"/>
              </w:rPr>
              <w:t>1,364,567,880</w:t>
            </w:r>
          </w:p>
        </w:tc>
        <w:tc>
          <w:tcPr>
            <w:tcW w:type="dxa" w:w="2098"/>
            <w:tcBorders>
              <w:top w:sz="3.199999999999818"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2,219,106,081</w:t>
            </w:r>
          </w:p>
        </w:tc>
      </w:tr>
      <w:tr>
        <w:trPr>
          <w:trHeight w:hRule="exact" w:val="52"/>
        </w:trPr>
        <w:tc>
          <w:tcPr>
            <w:tcW w:type="dxa" w:w="4512"/>
            <w:gridSpan w:val="2"/>
            <w:vMerge/>
            <w:tcBorders>
              <w:top w:sz="3.199999999999818" w:val="single" w:color="#000000"/>
            </w:tcBorders>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246" w:lineRule="exact" w:before="248"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其他应付款</w:t>
      </w:r>
    </w:p>
    <w:p>
      <w:pPr>
        <w:autoSpaceDN w:val="0"/>
        <w:autoSpaceDE w:val="0"/>
        <w:widowControl/>
        <w:spacing w:line="246" w:lineRule="exact" w:before="292"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按款项性质列示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308"/>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收取的场外衍生品保证金</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62" w:lineRule="exact" w:before="46" w:after="0"/>
              <w:ind w:left="226" w:right="0" w:firstLine="0"/>
              <w:jc w:val="left"/>
            </w:pPr>
            <w:r>
              <w:rPr>
                <w:rFonts w:ascii="Arial" w:hAnsi="Arial" w:eastAsia="Arial"/>
                <w:b w:val="0"/>
                <w:i w:val="0"/>
                <w:color w:val="000000"/>
                <w:sz w:val="22"/>
              </w:rPr>
              <w:t xml:space="preserve"> 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52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06" w:after="0"/>
              <w:ind w:left="0" w:right="0" w:firstLine="0"/>
              <w:jc w:val="right"/>
            </w:pPr>
            <w:r>
              <w:rPr>
                <w:rFonts w:ascii="Arial" w:hAnsi="Arial" w:eastAsia="Arial"/>
                <w:b w:val="0"/>
                <w:i w:val="0"/>
                <w:color w:val="000000"/>
                <w:sz w:val="22"/>
              </w:rPr>
              <w:t>716,817,123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6" w:after="0"/>
              <w:ind w:left="0" w:right="0" w:firstLine="0"/>
              <w:jc w:val="right"/>
            </w:pPr>
            <w:r>
              <w:rPr>
                <w:rFonts w:ascii="Arial" w:hAnsi="Arial" w:eastAsia="Arial"/>
                <w:b w:val="0"/>
                <w:i w:val="0"/>
                <w:color w:val="000000"/>
                <w:sz w:val="22"/>
              </w:rPr>
              <w:t>1,389,265,640</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应付基金公司客户认购款</w:t>
            </w:r>
          </w:p>
        </w:tc>
        <w:tc>
          <w:tcPr>
            <w:tcW w:type="dxa" w:w="3009"/>
            <w:vMerge/>
            <w:tcBorders/>
          </w:tcPr>
          <w:p/>
        </w:tc>
        <w:tc>
          <w:tcPr>
            <w:tcW w:type="dxa" w:w="3009"/>
            <w:vMerge/>
            <w:tcBorders/>
          </w:tcPr>
          <w:p/>
        </w:tc>
      </w:tr>
      <w:tr>
        <w:trPr>
          <w:trHeight w:hRule="exact" w:val="248"/>
        </w:trPr>
        <w:tc>
          <w:tcPr>
            <w:tcW w:type="dxa" w:w="3009"/>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65,164,794</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360,826,281</w:t>
            </w:r>
          </w:p>
        </w:tc>
      </w:tr>
      <w:tr>
        <w:trPr>
          <w:trHeight w:hRule="exact" w:val="280"/>
        </w:trPr>
        <w:tc>
          <w:tcPr>
            <w:tcW w:type="dxa" w:w="4564"/>
            <w:tcBorders/>
            <w:tcMar>
              <w:start w:w="0" w:type="dxa"/>
              <w:end w:w="0" w:type="dxa"/>
            </w:tcMar>
          </w:tcPr>
          <w:p>
            <w:pPr>
              <w:autoSpaceDN w:val="0"/>
              <w:autoSpaceDE w:val="0"/>
              <w:widowControl/>
              <w:spacing w:line="222" w:lineRule="exact" w:before="50" w:after="0"/>
              <w:ind w:left="198" w:right="0" w:firstLine="0"/>
              <w:jc w:val="left"/>
            </w:pPr>
            <w:r>
              <w:rPr>
                <w:rFonts w:ascii="黑体" w:hAnsi="黑体" w:eastAsia="黑体"/>
                <w:b w:val="0"/>
                <w:i w:val="0"/>
                <w:color w:val="000000"/>
                <w:sz w:val="22"/>
              </w:rPr>
              <w:t>应付软件开发费</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38,183,478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39,532,864</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应付证券投资者保护基金</w:t>
            </w:r>
          </w:p>
        </w:tc>
        <w:tc>
          <w:tcPr>
            <w:tcW w:type="dxa" w:w="3009"/>
            <w:vMerge/>
            <w:tcBorders/>
          </w:tcPr>
          <w:p/>
        </w:tc>
        <w:tc>
          <w:tcPr>
            <w:tcW w:type="dxa" w:w="3009"/>
            <w:vMerge/>
            <w:tcBorders/>
          </w:tcPr>
          <w:p/>
        </w:tc>
      </w:tr>
      <w:tr>
        <w:trPr>
          <w:trHeight w:hRule="exact" w:val="236"/>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18" w:after="0"/>
              <w:ind w:left="0" w:right="0" w:firstLine="0"/>
              <w:jc w:val="right"/>
            </w:pPr>
            <w:r>
              <w:rPr>
                <w:rFonts w:ascii="Arial" w:hAnsi="Arial" w:eastAsia="Arial"/>
                <w:b w:val="0"/>
                <w:i w:val="0"/>
                <w:color w:val="000000"/>
                <w:sz w:val="22"/>
              </w:rPr>
              <w:t>10,940,090</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8" w:after="0"/>
              <w:ind w:left="0" w:right="0" w:firstLine="0"/>
              <w:jc w:val="right"/>
            </w:pPr>
            <w:r>
              <w:rPr>
                <w:rFonts w:ascii="Arial" w:hAnsi="Arial" w:eastAsia="Arial"/>
                <w:b w:val="0"/>
                <w:i w:val="0"/>
                <w:color w:val="000000"/>
                <w:sz w:val="22"/>
              </w:rPr>
              <w:t>5,264,074</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应付房屋租赁费</w:t>
            </w:r>
          </w:p>
        </w:tc>
        <w:tc>
          <w:tcPr>
            <w:tcW w:type="dxa" w:w="3009"/>
            <w:vMerge/>
            <w:tcBorders/>
          </w:tcPr>
          <w:p/>
        </w:tc>
        <w:tc>
          <w:tcPr>
            <w:tcW w:type="dxa" w:w="3009"/>
            <w:vMerge/>
            <w:tcBorders/>
          </w:tcPr>
          <w:p/>
        </w:tc>
      </w:tr>
      <w:tr>
        <w:trPr>
          <w:trHeight w:hRule="exact" w:val="23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2,449,383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2,002,118</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应付期权费</w:t>
            </w:r>
          </w:p>
        </w:tc>
        <w:tc>
          <w:tcPr>
            <w:tcW w:type="dxa" w:w="3009"/>
            <w:vMerge/>
            <w:tcBorders/>
          </w:tcPr>
          <w:p/>
        </w:tc>
        <w:tc>
          <w:tcPr>
            <w:tcW w:type="dxa" w:w="3009"/>
            <w:vMerge/>
            <w:tcBorders/>
          </w:tcPr>
          <w:p/>
        </w:tc>
      </w:tr>
      <w:tr>
        <w:trPr>
          <w:trHeight w:hRule="exact" w:val="248"/>
        </w:trPr>
        <w:tc>
          <w:tcPr>
            <w:tcW w:type="dxa" w:w="3009"/>
            <w:vMerge/>
            <w:tcBorders/>
          </w:tcPr>
          <w:p/>
        </w:tc>
        <w:tc>
          <w:tcPr>
            <w:tcW w:type="dxa" w:w="1870"/>
            <w:tcBorders/>
            <w:tcMar>
              <w:start w:w="0" w:type="dxa"/>
              <w:end w:w="0" w:type="dxa"/>
            </w:tcMar>
          </w:tcPr>
          <w:p>
            <w:pPr>
              <w:autoSpaceDN w:val="0"/>
              <w:autoSpaceDE w:val="0"/>
              <w:widowControl/>
              <w:spacing w:line="220" w:lineRule="exact" w:before="14" w:after="0"/>
              <w:ind w:left="0" w:right="0" w:firstLine="0"/>
              <w:jc w:val="right"/>
            </w:pPr>
            <w:r>
              <w:rPr>
                <w:rFonts w:ascii="黑体" w:hAnsi="黑体" w:eastAsia="黑体"/>
                <w:b w:val="0"/>
                <w:i w:val="0"/>
                <w:color w:val="000000"/>
                <w:sz w:val="22"/>
              </w:rPr>
              <w:t xml:space="preserve"> -</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5,281,598</w:t>
            </w:r>
          </w:p>
        </w:tc>
      </w:tr>
      <w:tr>
        <w:trPr>
          <w:trHeight w:hRule="exact" w:val="312"/>
        </w:trPr>
        <w:tc>
          <w:tcPr>
            <w:tcW w:type="dxa" w:w="4564"/>
            <w:tcBorders>
              <w:bottom w:sz="4.0" w:val="single" w:color="#000000"/>
            </w:tcBorders>
            <w:tcMar>
              <w:start w:w="0" w:type="dxa"/>
              <w:end w:w="0" w:type="dxa"/>
            </w:tcMar>
          </w:tcPr>
          <w:p>
            <w:pPr>
              <w:autoSpaceDN w:val="0"/>
              <w:autoSpaceDE w:val="0"/>
              <w:widowControl/>
              <w:spacing w:line="222" w:lineRule="exact" w:before="50" w:after="0"/>
              <w:ind w:left="198" w:right="0" w:firstLine="0"/>
              <w:jc w:val="left"/>
            </w:pPr>
            <w:r>
              <w:rPr>
                <w:rFonts w:ascii="黑体" w:hAnsi="黑体" w:eastAsia="黑体"/>
                <w:b w:val="0"/>
                <w:i w:val="0"/>
                <w:color w:val="000000"/>
                <w:sz w:val="22"/>
              </w:rPr>
              <w:t>其他</w:t>
            </w:r>
          </w:p>
        </w:tc>
        <w:tc>
          <w:tcPr>
            <w:tcW w:type="dxa" w:w="1870"/>
            <w:tcBorders>
              <w:bottom w:sz="4.0" w:val="single" w:color="#000000"/>
            </w:tcBorders>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236,478,887</w:t>
            </w:r>
          </w:p>
        </w:tc>
        <w:tc>
          <w:tcPr>
            <w:tcW w:type="dxa" w:w="2098"/>
            <w:tcBorders>
              <w:bottom w:sz="4.0" w:val="single" w:color="#000000"/>
            </w:tcBorders>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288,561,429</w:t>
            </w:r>
          </w:p>
        </w:tc>
      </w:tr>
      <w:tr>
        <w:trPr>
          <w:trHeight w:hRule="exact" w:val="550"/>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5" w:lineRule="auto" w:before="288" w:after="0"/>
              <w:ind w:left="466" w:right="0" w:firstLine="0"/>
              <w:jc w:val="left"/>
            </w:pPr>
            <w:r>
              <w:rPr>
                <w:rFonts w:ascii="Arial" w:hAnsi="Arial" w:eastAsia="Arial"/>
                <w:b w:val="0"/>
                <w:i w:val="0"/>
                <w:color w:val="000000"/>
                <w:sz w:val="22"/>
              </w:rPr>
              <w:t>1,070,033,755</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5" w:lineRule="auto" w:before="288" w:after="0"/>
              <w:ind w:left="0" w:right="0" w:firstLine="0"/>
              <w:jc w:val="right"/>
            </w:pPr>
            <w:r>
              <w:rPr>
                <w:rFonts w:ascii="Arial" w:hAnsi="Arial" w:eastAsia="Arial"/>
                <w:b w:val="0"/>
                <w:i w:val="0"/>
                <w:color w:val="000000"/>
                <w:sz w:val="22"/>
              </w:rPr>
              <w:t>2,090,734,004</w:t>
            </w:r>
          </w:p>
        </w:tc>
      </w:tr>
      <w:tr>
        <w:trPr>
          <w:trHeight w:hRule="exact" w:val="52"/>
        </w:trPr>
        <w:tc>
          <w:tcPr>
            <w:tcW w:type="dxa" w:w="4564"/>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tabs>
          <w:tab w:pos="1078" w:val="left"/>
        </w:tabs>
        <w:autoSpaceDE w:val="0"/>
        <w:widowControl/>
        <w:spacing w:line="272" w:lineRule="exact" w:before="216"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上述其他应付款中无应付持有本公司</w:t>
      </w:r>
      <w:r>
        <w:rPr>
          <w:rFonts w:ascii="Arial" w:hAnsi="Arial" w:eastAsia="Arial"/>
          <w:b w:val="0"/>
          <w:i w:val="0"/>
          <w:color w:val="000000"/>
          <w:sz w:val="22"/>
        </w:rPr>
        <w:t>5%</w:t>
      </w:r>
      <w:r>
        <w:rPr>
          <w:rFonts w:ascii="黑体" w:hAnsi="黑体" w:eastAsia="黑体"/>
          <w:b w:val="0"/>
          <w:i w:val="0"/>
          <w:color w:val="000000"/>
          <w:sz w:val="22"/>
        </w:rPr>
        <w:t>（含</w:t>
      </w:r>
      <w:r>
        <w:rPr>
          <w:rFonts w:ascii="Arial" w:hAnsi="Arial" w:eastAsia="Arial"/>
          <w:b w:val="0"/>
          <w:i w:val="0"/>
          <w:color w:val="000000"/>
          <w:sz w:val="22"/>
        </w:rPr>
        <w:t>5%</w:t>
      </w:r>
      <w:r>
        <w:rPr>
          <w:rFonts w:ascii="黑体" w:hAnsi="黑体" w:eastAsia="黑体"/>
          <w:b w:val="0"/>
          <w:i w:val="0"/>
          <w:color w:val="000000"/>
          <w:sz w:val="22"/>
        </w:rPr>
        <w:t>）以上表决权股份的股东的款</w:t>
      </w:r>
      <w:r>
        <w:tab/>
      </w:r>
      <w:r>
        <w:rPr>
          <w:rFonts w:ascii="黑体" w:hAnsi="黑体" w:eastAsia="黑体"/>
          <w:b w:val="0"/>
          <w:i w:val="0"/>
          <w:color w:val="000000"/>
          <w:sz w:val="22"/>
        </w:rPr>
        <w:t>项。</w:t>
      </w:r>
    </w:p>
    <w:p>
      <w:pPr>
        <w:autoSpaceDN w:val="0"/>
        <w:autoSpaceDE w:val="0"/>
        <w:widowControl/>
        <w:spacing w:line="246" w:lineRule="exact" w:before="306"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c</w:t>
      </w:r>
      <w:r>
        <w:rPr>
          <w:rFonts w:ascii="黑体" w:hAnsi="黑体" w:eastAsia="黑体"/>
          <w:b w:val="0"/>
          <w:i w:val="0"/>
          <w:color w:val="000000"/>
          <w:sz w:val="22"/>
        </w:rPr>
        <w:t>）</w:t>
      </w:r>
      <w:r>
        <w:rPr>
          <w:rFonts w:ascii="黑体" w:hAnsi="黑体" w:eastAsia="黑体"/>
          <w:b w:val="0"/>
          <w:i w:val="0"/>
          <w:color w:val="000000"/>
          <w:sz w:val="22"/>
        </w:rPr>
        <w:t>上述其他应付款中应付关联方款项参见附注十、</w:t>
      </w:r>
      <w:r>
        <w:rPr>
          <w:rFonts w:ascii="Arial" w:hAnsi="Arial" w:eastAsia="Arial"/>
          <w:b w:val="0"/>
          <w:i w:val="0"/>
          <w:color w:val="000000"/>
          <w:sz w:val="22"/>
        </w:rPr>
        <w:t>6</w:t>
      </w:r>
      <w:r>
        <w:rPr>
          <w:rFonts w:ascii="黑体" w:hAnsi="黑体" w:eastAsia="黑体"/>
          <w:b w:val="0"/>
          <w:i w:val="0"/>
          <w:color w:val="000000"/>
          <w:sz w:val="22"/>
        </w:rPr>
        <w:t>。</w:t>
      </w:r>
    </w:p>
    <w:p>
      <w:pPr>
        <w:autoSpaceDN w:val="0"/>
        <w:autoSpaceDE w:val="0"/>
        <w:widowControl/>
        <w:spacing w:line="233" w:lineRule="auto" w:before="1932" w:after="0"/>
        <w:ind w:left="0" w:right="0" w:firstLine="0"/>
        <w:jc w:val="center"/>
      </w:pPr>
      <w:r>
        <w:rPr>
          <w:rFonts w:ascii="Arial" w:hAnsi="Arial" w:eastAsia="Arial"/>
          <w:b w:val="0"/>
          <w:i w:val="0"/>
          <w:color w:val="000000"/>
          <w:sz w:val="20"/>
        </w:rPr>
        <w:t xml:space="preserve">229 </w:t>
      </w:r>
    </w:p>
    <w:p>
      <w:pPr>
        <w:sectPr>
          <w:pgSz w:w="11906" w:h="16841"/>
          <w:pgMar w:top="1054"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7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32. </w:t>
      </w:r>
      <w:r>
        <w:rPr>
          <w:rFonts w:ascii="黑体" w:hAnsi="黑体" w:eastAsia="黑体"/>
          <w:b w:val="0"/>
          <w:i w:val="0"/>
          <w:color w:val="000000"/>
          <w:sz w:val="22"/>
        </w:rPr>
        <w:t>其他负债（续）</w:t>
      </w:r>
    </w:p>
    <w:p>
      <w:pPr>
        <w:autoSpaceDN w:val="0"/>
        <w:autoSpaceDE w:val="0"/>
        <w:widowControl/>
        <w:spacing w:line="248" w:lineRule="exact" w:before="544"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期货风险准备金</w:t>
      </w:r>
    </w:p>
    <w:p>
      <w:pPr>
        <w:autoSpaceDN w:val="0"/>
        <w:autoSpaceDE w:val="0"/>
        <w:widowControl/>
        <w:spacing w:line="222" w:lineRule="exact" w:before="300" w:after="0"/>
        <w:ind w:left="0" w:right="0" w:firstLine="0"/>
        <w:jc w:val="center"/>
      </w:pPr>
      <w:r>
        <w:rPr>
          <w:rFonts w:ascii="黑体" w:hAnsi="黑体" w:eastAsia="黑体"/>
          <w:b w:val="0"/>
          <w:i w:val="0"/>
          <w:color w:val="000000"/>
          <w:sz w:val="22"/>
        </w:rPr>
        <w:t>本公司下属子公司格林大华根据财政部《商品期货交易财务管理暂行规定》按商品和</w:t>
      </w:r>
    </w:p>
    <w:p>
      <w:pPr>
        <w:autoSpaceDN w:val="0"/>
        <w:autoSpaceDE w:val="0"/>
        <w:widowControl/>
        <w:spacing w:line="246" w:lineRule="exact" w:before="54" w:after="0"/>
        <w:ind w:left="0" w:right="0" w:firstLine="0"/>
        <w:jc w:val="center"/>
      </w:pPr>
      <w:r>
        <w:rPr>
          <w:rFonts w:ascii="黑体" w:hAnsi="黑体" w:eastAsia="黑体"/>
          <w:b w:val="0"/>
          <w:i w:val="0"/>
          <w:color w:val="000000"/>
          <w:sz w:val="22"/>
        </w:rPr>
        <w:t>金融期货经纪业务手续费收入的</w:t>
      </w:r>
      <w:r>
        <w:rPr>
          <w:rFonts w:ascii="Arial" w:hAnsi="Arial" w:eastAsia="Arial"/>
          <w:b w:val="0"/>
          <w:i w:val="0"/>
          <w:color w:val="000000"/>
          <w:sz w:val="22"/>
        </w:rPr>
        <w:t>5%</w:t>
      </w:r>
      <w:r>
        <w:rPr>
          <w:rFonts w:ascii="黑体" w:hAnsi="黑体" w:eastAsia="黑体"/>
          <w:b w:val="0"/>
          <w:i w:val="0"/>
          <w:color w:val="000000"/>
          <w:sz w:val="22"/>
        </w:rPr>
        <w:t>计提期货风险准备金并计入当期损益，动用期货风</w:t>
      </w:r>
    </w:p>
    <w:p>
      <w:pPr>
        <w:autoSpaceDN w:val="0"/>
        <w:autoSpaceDE w:val="0"/>
        <w:widowControl/>
        <w:spacing w:line="222" w:lineRule="exact" w:before="50" w:after="0"/>
        <w:ind w:left="0" w:right="0" w:firstLine="0"/>
        <w:jc w:val="center"/>
      </w:pPr>
      <w:r>
        <w:rPr>
          <w:rFonts w:ascii="黑体" w:hAnsi="黑体" w:eastAsia="黑体"/>
          <w:b w:val="0"/>
          <w:i w:val="0"/>
          <w:color w:val="000000"/>
          <w:sz w:val="22"/>
        </w:rPr>
        <w:t>险准备金弥补因自身原因造成的损失或是按规定核销难以收回的垫付风险损失款时，</w:t>
      </w:r>
    </w:p>
    <w:p>
      <w:pPr>
        <w:autoSpaceDN w:val="0"/>
        <w:autoSpaceDE w:val="0"/>
        <w:widowControl/>
        <w:spacing w:line="220" w:lineRule="exact" w:before="64" w:after="0"/>
        <w:ind w:left="358" w:right="0" w:firstLine="0"/>
        <w:jc w:val="left"/>
      </w:pPr>
      <w:r>
        <w:rPr>
          <w:rFonts w:ascii="黑体" w:hAnsi="黑体" w:eastAsia="黑体"/>
          <w:b w:val="0"/>
          <w:i w:val="0"/>
          <w:color w:val="000000"/>
          <w:sz w:val="22"/>
        </w:rPr>
        <w:t>冲减期货风险准备金余额。</w:t>
      </w:r>
    </w:p>
    <w:p>
      <w:pPr>
        <w:autoSpaceDN w:val="0"/>
        <w:autoSpaceDE w:val="0"/>
        <w:widowControl/>
        <w:spacing w:line="246" w:lineRule="exact" w:before="308"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应付结构化主体其他受益人款项</w:t>
      </w:r>
    </w:p>
    <w:p>
      <w:pPr>
        <w:autoSpaceDN w:val="0"/>
        <w:autoSpaceDE w:val="0"/>
        <w:widowControl/>
        <w:spacing w:line="220" w:lineRule="exact" w:before="318" w:after="0"/>
        <w:ind w:left="0" w:right="0" w:firstLine="0"/>
        <w:jc w:val="center"/>
      </w:pPr>
      <w:r>
        <w:rPr>
          <w:rFonts w:ascii="黑体" w:hAnsi="黑体" w:eastAsia="黑体"/>
          <w:b w:val="0"/>
          <w:i w:val="0"/>
          <w:color w:val="000000"/>
          <w:sz w:val="22"/>
        </w:rPr>
        <w:t>应付结构化主体其他受益人款项为本集团纳入合并范围内结构化主体产生的应付其他</w:t>
      </w:r>
    </w:p>
    <w:p>
      <w:pPr>
        <w:autoSpaceDN w:val="0"/>
        <w:autoSpaceDE w:val="0"/>
        <w:widowControl/>
        <w:spacing w:line="246" w:lineRule="exact" w:before="56" w:after="232"/>
        <w:ind w:left="358" w:right="0" w:firstLine="0"/>
        <w:jc w:val="left"/>
      </w:pPr>
      <w:r>
        <w:rPr>
          <w:rFonts w:ascii="黑体" w:hAnsi="黑体" w:eastAsia="黑体"/>
          <w:b w:val="0"/>
          <w:i w:val="0"/>
          <w:color w:val="000000"/>
          <w:sz w:val="22"/>
        </w:rPr>
        <w:t>份额持有人持有的权益。纳入合并范围的结构性主体信息参见附注七、</w:t>
      </w:r>
      <w:r>
        <w:rPr>
          <w:rFonts w:ascii="Arial" w:hAnsi="Arial" w:eastAsia="Arial"/>
          <w:b w:val="0"/>
          <w:i w:val="0"/>
          <w:color w:val="000000"/>
          <w:sz w:val="22"/>
        </w:rPr>
        <w:t>2</w:t>
      </w:r>
      <w:r>
        <w:rPr>
          <w:rFonts w:ascii="黑体" w:hAnsi="黑体" w:eastAsia="黑体"/>
          <w:b w:val="0"/>
          <w:i w:val="0"/>
          <w:color w:val="000000"/>
          <w:sz w:val="22"/>
        </w:rPr>
        <w:t xml:space="preserve">。 </w:t>
      </w: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954"/>
        </w:trPr>
        <w:tc>
          <w:tcPr>
            <w:tcW w:type="dxa" w:w="740"/>
            <w:tcBorders/>
            <w:tcMar>
              <w:start w:w="0" w:type="dxa"/>
              <w:end w:w="0" w:type="dxa"/>
            </w:tcMar>
          </w:tcPr>
          <w:p>
            <w:pPr>
              <w:autoSpaceDN w:val="0"/>
              <w:autoSpaceDE w:val="0"/>
              <w:widowControl/>
              <w:spacing w:line="246" w:lineRule="exact" w:before="60" w:after="0"/>
              <w:ind w:left="0" w:right="0" w:firstLine="0"/>
              <w:jc w:val="center"/>
            </w:pPr>
            <w:r>
              <w:rPr>
                <w:rFonts w:ascii="Arial,Bold" w:hAnsi="Arial,Bold" w:eastAsia="Arial,Bold"/>
                <w:b/>
                <w:i w:val="0"/>
                <w:color w:val="000000"/>
                <w:sz w:val="22"/>
              </w:rPr>
              <w:t xml:space="preserve">33. </w:t>
            </w:r>
          </w:p>
        </w:tc>
        <w:tc>
          <w:tcPr>
            <w:tcW w:type="dxa" w:w="2224"/>
            <w:tcBorders/>
            <w:tcMar>
              <w:start w:w="0" w:type="dxa"/>
              <w:end w:w="0" w:type="dxa"/>
            </w:tcMar>
          </w:tcPr>
          <w:p>
            <w:pPr>
              <w:autoSpaceDN w:val="0"/>
              <w:autoSpaceDE w:val="0"/>
              <w:widowControl/>
              <w:spacing w:line="220" w:lineRule="exact" w:before="70" w:after="0"/>
              <w:ind w:left="186" w:right="0" w:firstLine="0"/>
              <w:jc w:val="left"/>
            </w:pPr>
            <w:r>
              <w:rPr>
                <w:rFonts w:ascii="黑体" w:hAnsi="黑体" w:eastAsia="黑体"/>
                <w:b w:val="0"/>
                <w:i w:val="0"/>
                <w:color w:val="000000"/>
                <w:sz w:val="22"/>
              </w:rPr>
              <w:t>股本</w:t>
            </w:r>
          </w:p>
        </w:tc>
        <w:tc>
          <w:tcPr>
            <w:tcW w:type="dxa" w:w="1416"/>
            <w:tcBorders/>
            <w:tcMar>
              <w:start w:w="0" w:type="dxa"/>
              <w:end w:w="0" w:type="dxa"/>
            </w:tcMar>
          </w:tcPr>
          <w:p>
            <w:pPr>
              <w:autoSpaceDN w:val="0"/>
              <w:autoSpaceDE w:val="0"/>
              <w:widowControl/>
              <w:spacing w:line="180" w:lineRule="exact" w:before="614" w:after="0"/>
              <w:ind w:left="0" w:right="214" w:firstLine="0"/>
              <w:jc w:val="right"/>
            </w:pPr>
            <w:r>
              <w:rPr>
                <w:rFonts w:ascii="黑体" w:hAnsi="黑体" w:eastAsia="黑体"/>
                <w:b w:val="0"/>
                <w:i w:val="0"/>
                <w:color w:val="000000"/>
                <w:sz w:val="18"/>
              </w:rPr>
              <w:t>年初余额</w:t>
            </w:r>
          </w:p>
        </w:tc>
        <w:tc>
          <w:tcPr>
            <w:tcW w:type="dxa" w:w="1360"/>
            <w:tcBorders/>
            <w:tcMar>
              <w:start w:w="0" w:type="dxa"/>
              <w:end w:w="0" w:type="dxa"/>
            </w:tcMar>
          </w:tcPr>
          <w:p>
            <w:pPr>
              <w:autoSpaceDN w:val="0"/>
              <w:autoSpaceDE w:val="0"/>
              <w:widowControl/>
              <w:spacing w:line="180" w:lineRule="exact" w:before="614" w:after="0"/>
              <w:ind w:left="0" w:right="212" w:firstLine="0"/>
              <w:jc w:val="right"/>
            </w:pPr>
            <w:r>
              <w:rPr>
                <w:rFonts w:ascii="黑体" w:hAnsi="黑体" w:eastAsia="黑体"/>
                <w:b w:val="0"/>
                <w:i w:val="0"/>
                <w:color w:val="000000"/>
                <w:sz w:val="18"/>
              </w:rPr>
              <w:t>本年增加</w:t>
            </w:r>
          </w:p>
        </w:tc>
        <w:tc>
          <w:tcPr>
            <w:tcW w:type="dxa" w:w="1358"/>
            <w:tcBorders/>
            <w:tcMar>
              <w:start w:w="0" w:type="dxa"/>
              <w:end w:w="0" w:type="dxa"/>
            </w:tcMar>
          </w:tcPr>
          <w:p>
            <w:pPr>
              <w:autoSpaceDN w:val="0"/>
              <w:autoSpaceDE w:val="0"/>
              <w:widowControl/>
              <w:spacing w:line="180" w:lineRule="exact" w:before="614" w:after="0"/>
              <w:ind w:left="0" w:right="212" w:firstLine="0"/>
              <w:jc w:val="right"/>
            </w:pPr>
            <w:r>
              <w:rPr>
                <w:rFonts w:ascii="黑体" w:hAnsi="黑体" w:eastAsia="黑体"/>
                <w:b w:val="0"/>
                <w:i w:val="0"/>
                <w:color w:val="000000"/>
                <w:sz w:val="18"/>
              </w:rPr>
              <w:t>本年减少</w:t>
            </w:r>
          </w:p>
        </w:tc>
        <w:tc>
          <w:tcPr>
            <w:tcW w:type="dxa" w:w="1434"/>
            <w:tcBorders/>
            <w:tcMar>
              <w:start w:w="0" w:type="dxa"/>
              <w:end w:w="0" w:type="dxa"/>
            </w:tcMar>
          </w:tcPr>
          <w:p>
            <w:pPr>
              <w:autoSpaceDN w:val="0"/>
              <w:autoSpaceDE w:val="0"/>
              <w:widowControl/>
              <w:spacing w:line="180" w:lineRule="exact" w:before="614" w:after="0"/>
              <w:ind w:left="0" w:right="2" w:firstLine="0"/>
              <w:jc w:val="right"/>
            </w:pPr>
            <w:r>
              <w:rPr>
                <w:rFonts w:ascii="黑体" w:hAnsi="黑体" w:eastAsia="黑体"/>
                <w:b w:val="0"/>
                <w:i w:val="0"/>
                <w:color w:val="000000"/>
                <w:sz w:val="18"/>
              </w:rPr>
              <w:t>年末余额</w:t>
            </w:r>
          </w:p>
        </w:tc>
      </w:tr>
      <w:tr>
        <w:trPr>
          <w:trHeight w:hRule="exact" w:val="392"/>
        </w:trPr>
        <w:tc>
          <w:tcPr>
            <w:tcW w:type="dxa" w:w="2964"/>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176" w:after="0"/>
              <w:ind w:left="0" w:right="0" w:firstLine="0"/>
              <w:jc w:val="center"/>
            </w:pPr>
            <w:r>
              <w:rPr>
                <w:rFonts w:ascii="黑体" w:hAnsi="黑体" w:eastAsia="黑体"/>
                <w:b w:val="0"/>
                <w:i w:val="0"/>
                <w:color w:val="000000"/>
                <w:sz w:val="18"/>
              </w:rPr>
              <w:t>无限售条件股份：人民币普通股</w:t>
            </w:r>
          </w:p>
        </w:tc>
        <w:tc>
          <w:tcPr>
            <w:tcW w:type="dxa" w:w="1416"/>
            <w:tcBorders>
              <w:bottom w:sz="4.0" w:val="single" w:color="#000000"/>
            </w:tcBorders>
            <w:tcMar>
              <w:start w:w="0" w:type="dxa"/>
              <w:end w:w="0" w:type="dxa"/>
            </w:tcMar>
          </w:tcPr>
          <w:p>
            <w:pPr>
              <w:autoSpaceDN w:val="0"/>
              <w:autoSpaceDE w:val="0"/>
              <w:widowControl/>
              <w:spacing w:line="233" w:lineRule="auto" w:before="182" w:after="0"/>
              <w:ind w:left="50" w:right="0" w:firstLine="0"/>
              <w:jc w:val="left"/>
            </w:pPr>
            <w:r>
              <w:rPr>
                <w:rFonts w:ascii="Arial" w:hAnsi="Arial" w:eastAsia="Arial"/>
                <w:b w:val="0"/>
                <w:i w:val="0"/>
                <w:color w:val="000000"/>
                <w:sz w:val="18"/>
              </w:rPr>
              <w:t xml:space="preserve">3,589,771,547 </w:t>
            </w:r>
          </w:p>
        </w:tc>
        <w:tc>
          <w:tcPr>
            <w:tcW w:type="dxa" w:w="1360"/>
            <w:tcBorders>
              <w:bottom w:sz="4.0" w:val="single" w:color="#000000"/>
            </w:tcBorders>
            <w:tcMar>
              <w:start w:w="0" w:type="dxa"/>
              <w:end w:w="0" w:type="dxa"/>
            </w:tcMar>
          </w:tcPr>
          <w:p>
            <w:pPr>
              <w:autoSpaceDN w:val="0"/>
              <w:autoSpaceDE w:val="0"/>
              <w:widowControl/>
              <w:spacing w:line="233" w:lineRule="auto" w:before="182" w:after="0"/>
              <w:ind w:left="0" w:right="162" w:firstLine="0"/>
              <w:jc w:val="right"/>
            </w:pPr>
            <w:r>
              <w:rPr>
                <w:rFonts w:ascii="Arial" w:hAnsi="Arial" w:eastAsia="Arial"/>
                <w:b w:val="0"/>
                <w:i w:val="0"/>
                <w:color w:val="000000"/>
                <w:sz w:val="18"/>
              </w:rPr>
              <w:t xml:space="preserve">- </w:t>
            </w:r>
          </w:p>
        </w:tc>
        <w:tc>
          <w:tcPr>
            <w:tcW w:type="dxa" w:w="1358"/>
            <w:tcBorders>
              <w:bottom w:sz="4.0" w:val="single" w:color="#000000"/>
            </w:tcBorders>
            <w:tcMar>
              <w:start w:w="0" w:type="dxa"/>
              <w:end w:w="0" w:type="dxa"/>
            </w:tcMar>
          </w:tcPr>
          <w:p>
            <w:pPr>
              <w:autoSpaceDN w:val="0"/>
              <w:autoSpaceDE w:val="0"/>
              <w:widowControl/>
              <w:spacing w:line="233" w:lineRule="auto" w:before="182" w:after="0"/>
              <w:ind w:left="0" w:right="162" w:firstLine="0"/>
              <w:jc w:val="right"/>
            </w:pPr>
            <w:r>
              <w:rPr>
                <w:rFonts w:ascii="Arial" w:hAnsi="Arial" w:eastAsia="Arial"/>
                <w:b w:val="0"/>
                <w:i w:val="0"/>
                <w:color w:val="000000"/>
                <w:sz w:val="18"/>
              </w:rPr>
              <w:t xml:space="preserve">- </w:t>
            </w:r>
          </w:p>
        </w:tc>
        <w:tc>
          <w:tcPr>
            <w:tcW w:type="dxa" w:w="1434"/>
            <w:tcBorders>
              <w:bottom w:sz="4.0" w:val="single" w:color="#000000"/>
            </w:tcBorders>
            <w:tcMar>
              <w:start w:w="0" w:type="dxa"/>
              <w:end w:w="0" w:type="dxa"/>
            </w:tcMar>
          </w:tcPr>
          <w:p>
            <w:pPr>
              <w:autoSpaceDN w:val="0"/>
              <w:autoSpaceDE w:val="0"/>
              <w:widowControl/>
              <w:spacing w:line="233" w:lineRule="auto" w:before="182" w:after="0"/>
              <w:ind w:left="280" w:right="0" w:firstLine="0"/>
              <w:jc w:val="left"/>
            </w:pPr>
            <w:r>
              <w:rPr>
                <w:rFonts w:ascii="Arial" w:hAnsi="Arial" w:eastAsia="Arial"/>
                <w:b w:val="0"/>
                <w:i w:val="0"/>
                <w:color w:val="000000"/>
                <w:sz w:val="18"/>
              </w:rPr>
              <w:t>3,589,771,547</w:t>
            </w:r>
          </w:p>
        </w:tc>
      </w:tr>
      <w:tr>
        <w:trPr>
          <w:trHeight w:hRule="exact" w:val="1188"/>
        </w:trPr>
        <w:tc>
          <w:tcPr>
            <w:tcW w:type="dxa" w:w="740"/>
            <w:tcBorders>
              <w:top w:sz="4.0" w:val="single" w:color="#000000"/>
            </w:tcBorders>
            <w:tcMar>
              <w:start w:w="0" w:type="dxa"/>
              <w:end w:w="0" w:type="dxa"/>
            </w:tcMar>
          </w:tcPr>
          <w:p>
            <w:pPr>
              <w:autoSpaceDN w:val="0"/>
              <w:autoSpaceDE w:val="0"/>
              <w:widowControl/>
              <w:spacing w:line="246" w:lineRule="exact" w:before="286" w:after="0"/>
              <w:ind w:left="0" w:right="0" w:firstLine="0"/>
              <w:jc w:val="center"/>
            </w:pPr>
            <w:r>
              <w:rPr>
                <w:rFonts w:ascii="Arial,Bold" w:hAnsi="Arial,Bold" w:eastAsia="Arial,Bold"/>
                <w:b/>
                <w:i w:val="0"/>
                <w:color w:val="000000"/>
                <w:sz w:val="22"/>
              </w:rPr>
              <w:t xml:space="preserve">34. </w:t>
            </w:r>
          </w:p>
        </w:tc>
        <w:tc>
          <w:tcPr>
            <w:tcW w:type="dxa" w:w="2224"/>
            <w:tcBorders>
              <w:top w:sz="4.0" w:val="single" w:color="#000000"/>
            </w:tcBorders>
            <w:tcMar>
              <w:start w:w="0" w:type="dxa"/>
              <w:end w:w="0" w:type="dxa"/>
            </w:tcMar>
          </w:tcPr>
          <w:p>
            <w:pPr>
              <w:autoSpaceDN w:val="0"/>
              <w:autoSpaceDE w:val="0"/>
              <w:widowControl/>
              <w:spacing w:line="222" w:lineRule="exact" w:before="296" w:after="0"/>
              <w:ind w:left="186" w:right="0" w:firstLine="0"/>
              <w:jc w:val="left"/>
            </w:pPr>
            <w:r>
              <w:rPr>
                <w:rFonts w:ascii="黑体" w:hAnsi="黑体" w:eastAsia="黑体"/>
                <w:b w:val="0"/>
                <w:i w:val="0"/>
                <w:color w:val="000000"/>
                <w:sz w:val="22"/>
              </w:rPr>
              <w:t>资本公积</w:t>
            </w:r>
          </w:p>
        </w:tc>
        <w:tc>
          <w:tcPr>
            <w:tcW w:type="dxa" w:w="1416"/>
            <w:tcBorders>
              <w:top w:sz="4.0" w:val="single" w:color="#000000"/>
            </w:tcBorders>
            <w:tcMar>
              <w:start w:w="0" w:type="dxa"/>
              <w:end w:w="0" w:type="dxa"/>
            </w:tcMar>
          </w:tcPr>
          <w:p>
            <w:pPr>
              <w:autoSpaceDN w:val="0"/>
              <w:autoSpaceDE w:val="0"/>
              <w:widowControl/>
              <w:spacing w:line="180" w:lineRule="exact" w:before="844" w:after="0"/>
              <w:ind w:left="0" w:right="214" w:firstLine="0"/>
              <w:jc w:val="right"/>
            </w:pPr>
            <w:r>
              <w:rPr>
                <w:rFonts w:ascii="黑体" w:hAnsi="黑体" w:eastAsia="黑体"/>
                <w:b w:val="0"/>
                <w:i w:val="0"/>
                <w:color w:val="000000"/>
                <w:sz w:val="18"/>
              </w:rPr>
              <w:t>年初余额</w:t>
            </w:r>
          </w:p>
        </w:tc>
        <w:tc>
          <w:tcPr>
            <w:tcW w:type="dxa" w:w="1360"/>
            <w:tcBorders>
              <w:top w:sz="4.0" w:val="single" w:color="#000000"/>
            </w:tcBorders>
            <w:tcMar>
              <w:start w:w="0" w:type="dxa"/>
              <w:end w:w="0" w:type="dxa"/>
            </w:tcMar>
          </w:tcPr>
          <w:p>
            <w:pPr>
              <w:autoSpaceDN w:val="0"/>
              <w:autoSpaceDE w:val="0"/>
              <w:widowControl/>
              <w:spacing w:line="180" w:lineRule="exact" w:before="844" w:after="0"/>
              <w:ind w:left="0" w:right="212" w:firstLine="0"/>
              <w:jc w:val="right"/>
            </w:pPr>
            <w:r>
              <w:rPr>
                <w:rFonts w:ascii="黑体" w:hAnsi="黑体" w:eastAsia="黑体"/>
                <w:b w:val="0"/>
                <w:i w:val="0"/>
                <w:color w:val="000000"/>
                <w:sz w:val="18"/>
              </w:rPr>
              <w:t>本年增加</w:t>
            </w:r>
          </w:p>
        </w:tc>
        <w:tc>
          <w:tcPr>
            <w:tcW w:type="dxa" w:w="1358"/>
            <w:tcBorders>
              <w:top w:sz="4.0" w:val="single" w:color="#000000"/>
            </w:tcBorders>
            <w:tcMar>
              <w:start w:w="0" w:type="dxa"/>
              <w:end w:w="0" w:type="dxa"/>
            </w:tcMar>
          </w:tcPr>
          <w:p>
            <w:pPr>
              <w:autoSpaceDN w:val="0"/>
              <w:autoSpaceDE w:val="0"/>
              <w:widowControl/>
              <w:spacing w:line="180" w:lineRule="exact" w:before="844" w:after="0"/>
              <w:ind w:left="0" w:right="212" w:firstLine="0"/>
              <w:jc w:val="right"/>
            </w:pPr>
            <w:r>
              <w:rPr>
                <w:rFonts w:ascii="黑体" w:hAnsi="黑体" w:eastAsia="黑体"/>
                <w:b w:val="0"/>
                <w:i w:val="0"/>
                <w:color w:val="000000"/>
                <w:sz w:val="18"/>
              </w:rPr>
              <w:t>本年减少</w:t>
            </w:r>
          </w:p>
        </w:tc>
        <w:tc>
          <w:tcPr>
            <w:tcW w:type="dxa" w:w="1434"/>
            <w:tcBorders>
              <w:top w:sz="4.0" w:val="single" w:color="#000000"/>
            </w:tcBorders>
            <w:tcMar>
              <w:start w:w="0" w:type="dxa"/>
              <w:end w:w="0" w:type="dxa"/>
            </w:tcMar>
          </w:tcPr>
          <w:p>
            <w:pPr>
              <w:autoSpaceDN w:val="0"/>
              <w:autoSpaceDE w:val="0"/>
              <w:widowControl/>
              <w:spacing w:line="180" w:lineRule="exact" w:before="844" w:after="0"/>
              <w:ind w:left="0" w:right="2" w:firstLine="0"/>
              <w:jc w:val="right"/>
            </w:pPr>
            <w:r>
              <w:rPr>
                <w:rFonts w:ascii="黑体" w:hAnsi="黑体" w:eastAsia="黑体"/>
                <w:b w:val="0"/>
                <w:i w:val="0"/>
                <w:color w:val="000000"/>
                <w:sz w:val="18"/>
              </w:rPr>
              <w:t>年末余额</w:t>
            </w:r>
          </w:p>
        </w:tc>
      </w:tr>
      <w:tr>
        <w:trPr>
          <w:trHeight w:hRule="exact" w:val="388"/>
        </w:trPr>
        <w:tc>
          <w:tcPr>
            <w:tcW w:type="dxa" w:w="2964"/>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178" w:after="0"/>
              <w:ind w:left="198" w:right="0" w:firstLine="0"/>
              <w:jc w:val="left"/>
            </w:pPr>
            <w:r>
              <w:rPr>
                <w:rFonts w:ascii="黑体" w:hAnsi="黑体" w:eastAsia="黑体"/>
                <w:b w:val="0"/>
                <w:i w:val="0"/>
                <w:color w:val="000000"/>
                <w:sz w:val="18"/>
              </w:rPr>
              <w:t>股本溢价</w:t>
            </w:r>
          </w:p>
        </w:tc>
        <w:tc>
          <w:tcPr>
            <w:tcW w:type="dxa" w:w="1416"/>
            <w:tcBorders>
              <w:bottom w:sz="4.0" w:val="single" w:color="#000000"/>
            </w:tcBorders>
            <w:tcMar>
              <w:start w:w="0" w:type="dxa"/>
              <w:end w:w="0" w:type="dxa"/>
            </w:tcMar>
          </w:tcPr>
          <w:p>
            <w:pPr>
              <w:autoSpaceDN w:val="0"/>
              <w:autoSpaceDE w:val="0"/>
              <w:widowControl/>
              <w:spacing w:line="233" w:lineRule="auto" w:before="182" w:after="0"/>
              <w:ind w:left="50" w:right="0" w:firstLine="0"/>
              <w:jc w:val="left"/>
            </w:pPr>
            <w:r>
              <w:rPr>
                <w:rFonts w:ascii="Arial" w:hAnsi="Arial" w:eastAsia="Arial"/>
                <w:b w:val="0"/>
                <w:i w:val="0"/>
                <w:color w:val="000000"/>
                <w:sz w:val="18"/>
              </w:rPr>
              <w:t xml:space="preserve">9,723,419,390 </w:t>
            </w:r>
          </w:p>
        </w:tc>
        <w:tc>
          <w:tcPr>
            <w:tcW w:type="dxa" w:w="1360"/>
            <w:tcBorders>
              <w:bottom w:sz="4.0" w:val="single" w:color="#000000"/>
            </w:tcBorders>
            <w:tcMar>
              <w:start w:w="0" w:type="dxa"/>
              <w:end w:w="0" w:type="dxa"/>
            </w:tcMar>
          </w:tcPr>
          <w:p>
            <w:pPr>
              <w:autoSpaceDN w:val="0"/>
              <w:autoSpaceDE w:val="0"/>
              <w:widowControl/>
              <w:spacing w:line="233" w:lineRule="auto" w:before="182" w:after="0"/>
              <w:ind w:left="0" w:right="162" w:firstLine="0"/>
              <w:jc w:val="right"/>
            </w:pPr>
            <w:r>
              <w:rPr>
                <w:rFonts w:ascii="Arial" w:hAnsi="Arial" w:eastAsia="Arial"/>
                <w:b w:val="0"/>
                <w:i w:val="0"/>
                <w:color w:val="000000"/>
                <w:sz w:val="18"/>
              </w:rPr>
              <w:t xml:space="preserve">- </w:t>
            </w:r>
          </w:p>
        </w:tc>
        <w:tc>
          <w:tcPr>
            <w:tcW w:type="dxa" w:w="1358"/>
            <w:tcBorders>
              <w:bottom w:sz="4.0" w:val="single" w:color="#000000"/>
            </w:tcBorders>
            <w:tcMar>
              <w:start w:w="0" w:type="dxa"/>
              <w:end w:w="0" w:type="dxa"/>
            </w:tcMar>
          </w:tcPr>
          <w:p>
            <w:pPr>
              <w:autoSpaceDN w:val="0"/>
              <w:autoSpaceDE w:val="0"/>
              <w:widowControl/>
              <w:spacing w:line="233" w:lineRule="auto" w:before="182" w:after="0"/>
              <w:ind w:left="0" w:right="162" w:firstLine="0"/>
              <w:jc w:val="right"/>
            </w:pPr>
            <w:r>
              <w:rPr>
                <w:rFonts w:ascii="Arial" w:hAnsi="Arial" w:eastAsia="Arial"/>
                <w:b w:val="0"/>
                <w:i w:val="0"/>
                <w:color w:val="000000"/>
                <w:sz w:val="18"/>
              </w:rPr>
              <w:t xml:space="preserve">- </w:t>
            </w:r>
          </w:p>
        </w:tc>
        <w:tc>
          <w:tcPr>
            <w:tcW w:type="dxa" w:w="1434"/>
            <w:tcBorders>
              <w:bottom w:sz="4.0" w:val="single" w:color="#000000"/>
            </w:tcBorders>
            <w:tcMar>
              <w:start w:w="0" w:type="dxa"/>
              <w:end w:w="0" w:type="dxa"/>
            </w:tcMar>
          </w:tcPr>
          <w:p>
            <w:pPr>
              <w:autoSpaceDN w:val="0"/>
              <w:autoSpaceDE w:val="0"/>
              <w:widowControl/>
              <w:spacing w:line="233" w:lineRule="auto" w:before="182" w:after="0"/>
              <w:ind w:left="280" w:right="0" w:firstLine="0"/>
              <w:jc w:val="left"/>
            </w:pPr>
            <w:r>
              <w:rPr>
                <w:rFonts w:ascii="Arial" w:hAnsi="Arial" w:eastAsia="Arial"/>
                <w:b w:val="0"/>
                <w:i w:val="0"/>
                <w:color w:val="000000"/>
                <w:sz w:val="18"/>
              </w:rPr>
              <w:t>9,723,419,390</w:t>
            </w:r>
          </w:p>
        </w:tc>
      </w:tr>
    </w:tbl>
    <w:p>
      <w:pPr>
        <w:autoSpaceDN w:val="0"/>
        <w:autoSpaceDE w:val="0"/>
        <w:widowControl/>
        <w:spacing w:line="233" w:lineRule="auto" w:before="6430" w:after="0"/>
        <w:ind w:left="0" w:right="0" w:firstLine="0"/>
        <w:jc w:val="center"/>
      </w:pPr>
      <w:r>
        <w:rPr>
          <w:rFonts w:ascii="Arial" w:hAnsi="Arial" w:eastAsia="Arial"/>
          <w:b w:val="0"/>
          <w:i w:val="0"/>
          <w:color w:val="000000"/>
          <w:sz w:val="20"/>
        </w:rPr>
        <w:t xml:space="preserve">230 </w:t>
      </w:r>
    </w:p>
    <w:p>
      <w:pPr>
        <w:sectPr>
          <w:pgSz w:w="11906" w:h="16841"/>
          <w:pgMar w:top="988" w:right="144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14" w:val="left"/>
        </w:tabs>
        <w:autoSpaceDE w:val="0"/>
        <w:widowControl/>
        <w:spacing w:line="220" w:lineRule="exact" w:before="0" w:after="0"/>
        <w:ind w:left="0" w:right="0" w:firstLine="0"/>
        <w:jc w:val="left"/>
      </w:pPr>
      <w:r>
        <w:rPr>
          <w:rFonts w:ascii="黑体" w:hAnsi="黑体" w:eastAsia="黑体"/>
          <w:b w:val="0"/>
          <w:i w:val="0"/>
          <w:color w:val="000000"/>
          <w:sz w:val="22"/>
        </w:rPr>
        <w:t>五、</w:t>
      </w:r>
      <w:r>
        <w:tab/>
      </w:r>
      <w:r>
        <w:rPr>
          <w:rFonts w:ascii="黑体" w:hAnsi="黑体" w:eastAsia="黑体"/>
          <w:b w:val="0"/>
          <w:i w:val="0"/>
          <w:color w:val="000000"/>
          <w:sz w:val="22"/>
        </w:rPr>
        <w:t>合并财务报表主要项目注释（续）</w:t>
      </w:r>
    </w:p>
    <w:p>
      <w:pPr>
        <w:autoSpaceDN w:val="0"/>
        <w:tabs>
          <w:tab w:pos="728" w:val="left"/>
        </w:tabs>
        <w:autoSpaceDE w:val="0"/>
        <w:widowControl/>
        <w:spacing w:line="248" w:lineRule="exact" w:before="320" w:after="0"/>
        <w:ind w:left="0" w:right="0" w:firstLine="0"/>
        <w:jc w:val="left"/>
      </w:pPr>
      <w:r>
        <w:rPr>
          <w:rFonts w:ascii="Arial,Bold" w:hAnsi="Arial,Bold" w:eastAsia="Arial,Bold"/>
          <w:b/>
          <w:i w:val="0"/>
          <w:color w:val="000000"/>
          <w:sz w:val="22"/>
        </w:rPr>
        <w:t xml:space="preserve">35. </w:t>
      </w:r>
      <w:r>
        <w:tab/>
      </w:r>
      <w:r>
        <w:rPr>
          <w:rFonts w:ascii="黑体" w:hAnsi="黑体" w:eastAsia="黑体"/>
          <w:b w:val="0"/>
          <w:i w:val="0"/>
          <w:color w:val="000000"/>
          <w:sz w:val="22"/>
        </w:rPr>
        <w:t xml:space="preserve">其他综合收益 </w:t>
      </w:r>
    </w:p>
    <w:p>
      <w:pPr>
        <w:autoSpaceDN w:val="0"/>
        <w:autoSpaceDE w:val="0"/>
        <w:widowControl/>
        <w:spacing w:line="160" w:lineRule="exact" w:before="334" w:after="26"/>
        <w:ind w:left="0" w:right="5712" w:firstLine="0"/>
        <w:jc w:val="right"/>
      </w:pPr>
      <w:r>
        <w:rPr>
          <w:rFonts w:ascii="黑体" w:hAnsi="黑体" w:eastAsia="黑体"/>
          <w:b w:val="0"/>
          <w:i w:val="0"/>
          <w:color w:val="000000"/>
          <w:sz w:val="16"/>
        </w:rPr>
        <w:t>本年发生额</w:t>
      </w:r>
    </w:p>
    <w:tbl>
      <w:tblPr>
        <w:tblW w:type="auto" w:w="0"/>
        <w:tblLayout w:type="fixed"/>
        <w:tblLook w:firstColumn="1" w:firstRow="1" w:lastColumn="0" w:lastRow="0" w:noHBand="0" w:noVBand="1" w:val="04A0"/>
        <w:tblInd w:w="0.0" w:type="dxa"/>
      </w:tblPr>
      <w:tblGrid>
        <w:gridCol w:w="1566"/>
        <w:gridCol w:w="1566"/>
        <w:gridCol w:w="1566"/>
        <w:gridCol w:w="1566"/>
        <w:gridCol w:w="1566"/>
        <w:gridCol w:w="1566"/>
        <w:gridCol w:w="1566"/>
        <w:gridCol w:w="1566"/>
        <w:gridCol w:w="1566"/>
      </w:tblGrid>
      <w:tr>
        <w:trPr>
          <w:trHeight w:hRule="exact" w:val="194"/>
        </w:trPr>
        <w:tc>
          <w:tcPr>
            <w:tcW w:type="dxa" w:w="2240"/>
            <w:vMerge w:val="restart"/>
            <w:tcBorders>
              <w:top w:sz="3.2000000000000455" w:val="single" w:color="#000000"/>
              <w:bottom w:sz="3.2000000000000455" w:val="single" w:color="#000000"/>
            </w:tcBorders>
            <w:tcMar>
              <w:start w:w="0" w:type="dxa"/>
              <w:end w:w="0" w:type="dxa"/>
            </w:tcMar>
            <w:tcMar>
              <w:start w:w="0" w:type="dxa"/>
              <w:end w:w="0" w:type="dxa"/>
            </w:tcMar>
            <w:tcMar>
              <w:start w:w="0" w:type="dxa"/>
              <w:end w:w="0" w:type="dxa"/>
            </w:tcMar>
          </w:tcPr>
          <w:p>
            <w:pPr>
              <w:autoSpaceDN w:val="0"/>
              <w:autoSpaceDE w:val="0"/>
              <w:widowControl/>
              <w:spacing w:line="160" w:lineRule="exact" w:before="440" w:after="0"/>
              <w:ind w:left="0" w:right="0" w:firstLine="0"/>
              <w:jc w:val="left"/>
            </w:pPr>
            <w:r>
              <w:rPr>
                <w:rFonts w:ascii="黑体" w:hAnsi="黑体" w:eastAsia="黑体"/>
                <w:b w:val="0"/>
                <w:i w:val="0"/>
                <w:color w:val="000000"/>
                <w:sz w:val="16"/>
              </w:rPr>
              <w:t>项目</w:t>
            </w:r>
          </w:p>
        </w:tc>
        <w:tc>
          <w:tcPr>
            <w:tcW w:type="dxa" w:w="1602"/>
            <w:tcBorders/>
            <w:tcMar>
              <w:start w:w="0" w:type="dxa"/>
              <w:end w:w="0" w:type="dxa"/>
            </w:tcMar>
          </w:tcPr>
          <w:p>
            <w:pPr>
              <w:autoSpaceDN w:val="0"/>
              <w:autoSpaceDE w:val="0"/>
              <w:widowControl/>
              <w:spacing w:line="180" w:lineRule="exact" w:before="14" w:after="0"/>
              <w:ind w:left="360" w:right="0" w:firstLine="0"/>
              <w:jc w:val="lef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w:t>
            </w:r>
            <w:r>
              <w:rPr>
                <w:rFonts w:ascii="黑体" w:hAnsi="黑体" w:eastAsia="黑体"/>
                <w:b w:val="0"/>
                <w:i w:val="0"/>
                <w:color w:val="000000"/>
                <w:sz w:val="16"/>
              </w:rPr>
              <w:t>月</w:t>
            </w:r>
            <w:r>
              <w:rPr>
                <w:rFonts w:ascii="Arial" w:hAnsi="Arial" w:eastAsia="Arial"/>
                <w:b w:val="0"/>
                <w:i w:val="0"/>
                <w:color w:val="000000"/>
                <w:sz w:val="16"/>
              </w:rPr>
              <w:t>1</w:t>
            </w:r>
            <w:r>
              <w:rPr>
                <w:rFonts w:ascii="黑体" w:hAnsi="黑体" w:eastAsia="黑体"/>
                <w:b w:val="0"/>
                <w:i w:val="0"/>
                <w:color w:val="000000"/>
                <w:sz w:val="16"/>
              </w:rPr>
              <w:t>日</w:t>
            </w:r>
          </w:p>
        </w:tc>
        <w:tc>
          <w:tcPr>
            <w:tcW w:type="dxa" w:w="1220"/>
            <w:vMerge w:val="restart"/>
            <w:tcBorders/>
            <w:tcMar>
              <w:start w:w="0" w:type="dxa"/>
              <w:end w:w="0" w:type="dxa"/>
            </w:tcMar>
            <w:tcMar>
              <w:start w:w="0" w:type="dxa"/>
              <w:end w:w="0" w:type="dxa"/>
            </w:tcMar>
          </w:tcPr>
          <w:p>
            <w:pPr>
              <w:autoSpaceDN w:val="0"/>
              <w:autoSpaceDE w:val="0"/>
              <w:widowControl/>
              <w:spacing w:line="162" w:lineRule="exact" w:before="236" w:after="0"/>
              <w:ind w:left="0" w:right="0" w:firstLine="0"/>
              <w:jc w:val="right"/>
            </w:pPr>
            <w:r>
              <w:rPr>
                <w:rFonts w:ascii="黑体" w:hAnsi="黑体" w:eastAsia="黑体"/>
                <w:b w:val="0"/>
                <w:i w:val="0"/>
                <w:color w:val="000000"/>
                <w:sz w:val="16"/>
              </w:rPr>
              <w:t>本年所得</w:t>
            </w:r>
          </w:p>
        </w:tc>
        <w:tc>
          <w:tcPr>
            <w:tcW w:type="dxa" w:w="1456"/>
            <w:tcBorders/>
            <w:tcMar>
              <w:start w:w="0" w:type="dxa"/>
              <w:end w:w="0" w:type="dxa"/>
            </w:tcMar>
          </w:tcPr>
          <w:p>
            <w:pPr>
              <w:autoSpaceDN w:val="0"/>
              <w:autoSpaceDE w:val="0"/>
              <w:widowControl/>
              <w:spacing w:line="160" w:lineRule="exact" w:before="28" w:after="0"/>
              <w:ind w:left="332" w:right="0" w:firstLine="0"/>
              <w:jc w:val="left"/>
            </w:pPr>
            <w:r>
              <w:rPr>
                <w:rFonts w:ascii="黑体" w:hAnsi="黑体" w:eastAsia="黑体"/>
                <w:b w:val="0"/>
                <w:i w:val="0"/>
                <w:color w:val="000000"/>
                <w:sz w:val="16"/>
              </w:rPr>
              <w:t>前期计入其他综</w:t>
            </w:r>
          </w:p>
        </w:tc>
        <w:tc>
          <w:tcPr>
            <w:tcW w:type="dxa" w:w="1562"/>
            <w:tcBorders/>
            <w:tcMar>
              <w:start w:w="0" w:type="dxa"/>
              <w:end w:w="0" w:type="dxa"/>
            </w:tcMar>
          </w:tcPr>
          <w:p>
            <w:pPr>
              <w:autoSpaceDN w:val="0"/>
              <w:autoSpaceDE w:val="0"/>
              <w:widowControl/>
              <w:spacing w:line="160" w:lineRule="exact" w:before="28" w:after="0"/>
              <w:ind w:left="0" w:right="0" w:firstLine="0"/>
              <w:jc w:val="center"/>
            </w:pPr>
            <w:r>
              <w:rPr>
                <w:rFonts w:ascii="黑体" w:hAnsi="黑体" w:eastAsia="黑体"/>
                <w:b w:val="0"/>
                <w:i w:val="0"/>
                <w:color w:val="000000"/>
                <w:sz w:val="16"/>
              </w:rPr>
              <w:t>前期计入其他</w:t>
            </w:r>
          </w:p>
        </w:tc>
        <w:tc>
          <w:tcPr>
            <w:tcW w:type="dxa" w:w="1342"/>
            <w:vMerge w:val="restart"/>
            <w:tcBorders/>
            <w:tcMar>
              <w:start w:w="0" w:type="dxa"/>
              <w:end w:w="0" w:type="dxa"/>
            </w:tcMar>
            <w:tcMar>
              <w:start w:w="0" w:type="dxa"/>
              <w:end w:w="0" w:type="dxa"/>
            </w:tcMar>
            <w:tcMar>
              <w:start w:w="0" w:type="dxa"/>
              <w:end w:w="0" w:type="dxa"/>
            </w:tcMar>
          </w:tcPr>
          <w:p>
            <w:pPr>
              <w:autoSpaceDN w:val="0"/>
              <w:autoSpaceDE w:val="0"/>
              <w:widowControl/>
              <w:spacing w:line="160" w:lineRule="exact" w:before="444" w:after="0"/>
              <w:ind w:left="0" w:right="0" w:firstLine="0"/>
              <w:jc w:val="right"/>
            </w:pPr>
            <w:r>
              <w:rPr>
                <w:rFonts w:ascii="黑体" w:hAnsi="黑体" w:eastAsia="黑体"/>
                <w:b w:val="0"/>
                <w:i w:val="0"/>
                <w:color w:val="000000"/>
                <w:sz w:val="16"/>
              </w:rPr>
              <w:t>所得税影响</w:t>
            </w:r>
          </w:p>
        </w:tc>
        <w:tc>
          <w:tcPr>
            <w:tcW w:type="dxa" w:w="1274"/>
            <w:vMerge w:val="restart"/>
            <w:tcBorders/>
            <w:tcMar>
              <w:start w:w="0" w:type="dxa"/>
              <w:end w:w="0" w:type="dxa"/>
            </w:tcMar>
            <w:tcMar>
              <w:start w:w="0" w:type="dxa"/>
              <w:end w:w="0" w:type="dxa"/>
            </w:tcMar>
          </w:tcPr>
          <w:p>
            <w:pPr>
              <w:autoSpaceDN w:val="0"/>
              <w:autoSpaceDE w:val="0"/>
              <w:widowControl/>
              <w:spacing w:line="162" w:lineRule="exact" w:before="236" w:after="0"/>
              <w:ind w:left="0" w:right="0" w:firstLine="0"/>
              <w:jc w:val="right"/>
            </w:pPr>
            <w:r>
              <w:rPr>
                <w:rFonts w:ascii="黑体" w:hAnsi="黑体" w:eastAsia="黑体"/>
                <w:b w:val="0"/>
                <w:i w:val="0"/>
                <w:color w:val="000000"/>
                <w:sz w:val="16"/>
              </w:rPr>
              <w:t>税后归属于</w:t>
            </w:r>
          </w:p>
        </w:tc>
        <w:tc>
          <w:tcPr>
            <w:tcW w:type="dxa" w:w="1414"/>
            <w:vMerge w:val="restart"/>
            <w:tcBorders/>
            <w:tcMar>
              <w:start w:w="0" w:type="dxa"/>
              <w:end w:w="0" w:type="dxa"/>
            </w:tcMar>
            <w:tcMar>
              <w:start w:w="0" w:type="dxa"/>
              <w:end w:w="0" w:type="dxa"/>
            </w:tcMar>
          </w:tcPr>
          <w:p>
            <w:pPr>
              <w:autoSpaceDN w:val="0"/>
              <w:autoSpaceDE w:val="0"/>
              <w:widowControl/>
              <w:spacing w:line="162" w:lineRule="exact" w:before="236" w:after="0"/>
              <w:ind w:left="0" w:right="0" w:firstLine="0"/>
              <w:jc w:val="right"/>
            </w:pPr>
            <w:r>
              <w:rPr>
                <w:rFonts w:ascii="黑体" w:hAnsi="黑体" w:eastAsia="黑体"/>
                <w:b w:val="0"/>
                <w:i w:val="0"/>
                <w:color w:val="000000"/>
                <w:sz w:val="16"/>
              </w:rPr>
              <w:t>税后归属于</w:t>
            </w:r>
          </w:p>
        </w:tc>
        <w:tc>
          <w:tcPr>
            <w:tcW w:type="dxa" w:w="1862"/>
            <w:tcBorders/>
            <w:tcMar>
              <w:start w:w="0" w:type="dxa"/>
              <w:end w:w="0" w:type="dxa"/>
            </w:tcMar>
          </w:tcPr>
          <w:p>
            <w:pPr>
              <w:autoSpaceDN w:val="0"/>
              <w:autoSpaceDE w:val="0"/>
              <w:widowControl/>
              <w:spacing w:line="180" w:lineRule="exact" w:before="14" w:after="0"/>
              <w:ind w:left="0" w:right="0"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r>
      <w:tr>
        <w:trPr>
          <w:trHeight w:hRule="exact" w:val="220"/>
        </w:trPr>
        <w:tc>
          <w:tcPr>
            <w:tcW w:type="dxa" w:w="1566"/>
            <w:vMerge/>
            <w:tcBorders>
              <w:top w:sz="3.2000000000000455" w:val="single" w:color="#000000"/>
              <w:bottom w:sz="3.2000000000000455" w:val="single" w:color="#000000"/>
            </w:tcBorders>
          </w:tcPr>
          <w:p/>
        </w:tc>
        <w:tc>
          <w:tcPr>
            <w:tcW w:type="dxa" w:w="1602"/>
            <w:tcBorders/>
            <w:tcMar>
              <w:start w:w="0" w:type="dxa"/>
              <w:end w:w="0" w:type="dxa"/>
            </w:tcMar>
          </w:tcPr>
          <w:p>
            <w:pPr>
              <w:autoSpaceDN w:val="0"/>
              <w:autoSpaceDE w:val="0"/>
              <w:widowControl/>
              <w:spacing w:line="162" w:lineRule="exact" w:before="42" w:after="0"/>
              <w:ind w:left="94" w:right="0" w:firstLine="0"/>
              <w:jc w:val="left"/>
            </w:pPr>
            <w:r>
              <w:rPr>
                <w:rFonts w:ascii="黑体" w:hAnsi="黑体" w:eastAsia="黑体"/>
                <w:b w:val="0"/>
                <w:i w:val="0"/>
                <w:color w:val="000000"/>
                <w:sz w:val="16"/>
              </w:rPr>
              <w:t>归属于母公司股东</w:t>
            </w:r>
          </w:p>
        </w:tc>
        <w:tc>
          <w:tcPr>
            <w:tcW w:type="dxa" w:w="1566"/>
            <w:vMerge/>
            <w:tcBorders/>
          </w:tcPr>
          <w:p/>
        </w:tc>
        <w:tc>
          <w:tcPr>
            <w:tcW w:type="dxa" w:w="1456"/>
            <w:tcBorders/>
            <w:tcMar>
              <w:start w:w="0" w:type="dxa"/>
              <w:end w:w="0" w:type="dxa"/>
            </w:tcMar>
          </w:tcPr>
          <w:p>
            <w:pPr>
              <w:autoSpaceDN w:val="0"/>
              <w:autoSpaceDE w:val="0"/>
              <w:widowControl/>
              <w:spacing w:line="162" w:lineRule="exact" w:before="42" w:after="0"/>
              <w:ind w:left="0" w:right="2" w:firstLine="0"/>
              <w:jc w:val="right"/>
            </w:pPr>
            <w:r>
              <w:rPr>
                <w:rFonts w:ascii="黑体" w:hAnsi="黑体" w:eastAsia="黑体"/>
                <w:b w:val="0"/>
                <w:i w:val="0"/>
                <w:color w:val="000000"/>
                <w:sz w:val="16"/>
              </w:rPr>
              <w:t>合收益当期</w:t>
            </w:r>
          </w:p>
        </w:tc>
        <w:tc>
          <w:tcPr>
            <w:tcW w:type="dxa" w:w="1562"/>
            <w:tcBorders/>
            <w:tcMar>
              <w:start w:w="0" w:type="dxa"/>
              <w:end w:w="0" w:type="dxa"/>
            </w:tcMar>
          </w:tcPr>
          <w:p>
            <w:pPr>
              <w:autoSpaceDN w:val="0"/>
              <w:autoSpaceDE w:val="0"/>
              <w:widowControl/>
              <w:spacing w:line="162" w:lineRule="exact" w:before="42" w:after="0"/>
              <w:ind w:left="0" w:right="0" w:firstLine="0"/>
              <w:jc w:val="center"/>
            </w:pPr>
            <w:r>
              <w:rPr>
                <w:rFonts w:ascii="黑体" w:hAnsi="黑体" w:eastAsia="黑体"/>
                <w:b w:val="0"/>
                <w:i w:val="0"/>
                <w:color w:val="000000"/>
                <w:sz w:val="16"/>
              </w:rPr>
              <w:t>综合收益当期</w:t>
            </w:r>
          </w:p>
        </w:tc>
        <w:tc>
          <w:tcPr>
            <w:tcW w:type="dxa" w:w="1566"/>
            <w:vMerge/>
            <w:tcBorders/>
          </w:tcPr>
          <w:p/>
        </w:tc>
        <w:tc>
          <w:tcPr>
            <w:tcW w:type="dxa" w:w="1566"/>
            <w:vMerge/>
            <w:tcBorders/>
          </w:tcPr>
          <w:p/>
        </w:tc>
        <w:tc>
          <w:tcPr>
            <w:tcW w:type="dxa" w:w="1566"/>
            <w:vMerge/>
            <w:tcBorders/>
          </w:tcPr>
          <w:p/>
        </w:tc>
        <w:tc>
          <w:tcPr>
            <w:tcW w:type="dxa" w:w="1862"/>
            <w:tcBorders/>
            <w:tcMar>
              <w:start w:w="0" w:type="dxa"/>
              <w:end w:w="0" w:type="dxa"/>
            </w:tcMar>
          </w:tcPr>
          <w:p>
            <w:pPr>
              <w:autoSpaceDN w:val="0"/>
              <w:autoSpaceDE w:val="0"/>
              <w:widowControl/>
              <w:spacing w:line="162" w:lineRule="exact" w:before="42" w:after="0"/>
              <w:ind w:left="0" w:right="0" w:firstLine="0"/>
              <w:jc w:val="right"/>
            </w:pPr>
            <w:r>
              <w:rPr>
                <w:rFonts w:ascii="黑体" w:hAnsi="黑体" w:eastAsia="黑体"/>
                <w:b w:val="0"/>
                <w:i w:val="0"/>
                <w:color w:val="000000"/>
                <w:sz w:val="16"/>
              </w:rPr>
              <w:t>归属于母公司股东</w:t>
            </w:r>
          </w:p>
        </w:tc>
      </w:tr>
      <w:tr>
        <w:trPr>
          <w:trHeight w:hRule="exact" w:val="234"/>
        </w:trPr>
        <w:tc>
          <w:tcPr>
            <w:tcW w:type="dxa" w:w="1566"/>
            <w:vMerge/>
            <w:tcBorders>
              <w:top w:sz="3.2000000000000455" w:val="single" w:color="#000000"/>
              <w:bottom w:sz="3.2000000000000455" w:val="single" w:color="#000000"/>
            </w:tcBorders>
          </w:tcPr>
          <w:p/>
        </w:tc>
        <w:tc>
          <w:tcPr>
            <w:tcW w:type="dxa" w:w="1602"/>
            <w:tcBorders/>
            <w:tcMar>
              <w:start w:w="0" w:type="dxa"/>
              <w:end w:w="0" w:type="dxa"/>
            </w:tcMar>
          </w:tcPr>
          <w:p>
            <w:pPr>
              <w:autoSpaceDN w:val="0"/>
              <w:autoSpaceDE w:val="0"/>
              <w:widowControl/>
              <w:spacing w:line="160" w:lineRule="exact" w:before="30" w:after="0"/>
              <w:ind w:left="0" w:right="0" w:firstLine="0"/>
              <w:jc w:val="center"/>
            </w:pPr>
            <w:r>
              <w:rPr>
                <w:rFonts w:ascii="黑体" w:hAnsi="黑体" w:eastAsia="黑体"/>
                <w:b w:val="0"/>
                <w:i w:val="0"/>
                <w:color w:val="000000"/>
                <w:sz w:val="16"/>
              </w:rPr>
              <w:t>的其他综合收益</w:t>
            </w:r>
          </w:p>
        </w:tc>
        <w:tc>
          <w:tcPr>
            <w:tcW w:type="dxa" w:w="1220"/>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税前发生额</w:t>
            </w:r>
          </w:p>
        </w:tc>
        <w:tc>
          <w:tcPr>
            <w:tcW w:type="dxa" w:w="1456"/>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转入损益</w:t>
            </w:r>
          </w:p>
        </w:tc>
        <w:tc>
          <w:tcPr>
            <w:tcW w:type="dxa" w:w="1562"/>
            <w:tcBorders/>
            <w:tcMar>
              <w:start w:w="0" w:type="dxa"/>
              <w:end w:w="0" w:type="dxa"/>
            </w:tcMar>
          </w:tcPr>
          <w:p>
            <w:pPr>
              <w:autoSpaceDN w:val="0"/>
              <w:autoSpaceDE w:val="0"/>
              <w:widowControl/>
              <w:spacing w:line="160" w:lineRule="exact" w:before="30" w:after="0"/>
              <w:ind w:left="0" w:right="0" w:firstLine="0"/>
              <w:jc w:val="center"/>
            </w:pPr>
            <w:r>
              <w:rPr>
                <w:rFonts w:ascii="黑体" w:hAnsi="黑体" w:eastAsia="黑体"/>
                <w:b w:val="0"/>
                <w:i w:val="0"/>
                <w:color w:val="000000"/>
                <w:sz w:val="16"/>
              </w:rPr>
              <w:t>转入留存收益</w:t>
            </w:r>
          </w:p>
        </w:tc>
        <w:tc>
          <w:tcPr>
            <w:tcW w:type="dxa" w:w="1566"/>
            <w:vMerge/>
            <w:tcBorders/>
          </w:tcPr>
          <w:p/>
        </w:tc>
        <w:tc>
          <w:tcPr>
            <w:tcW w:type="dxa" w:w="1274"/>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母公司</w:t>
            </w:r>
          </w:p>
        </w:tc>
        <w:tc>
          <w:tcPr>
            <w:tcW w:type="dxa" w:w="1414"/>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少数股东</w:t>
            </w:r>
          </w:p>
        </w:tc>
        <w:tc>
          <w:tcPr>
            <w:tcW w:type="dxa" w:w="1862"/>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的其他综合收益</w:t>
            </w:r>
          </w:p>
        </w:tc>
      </w:tr>
    </w:tbl>
    <w:p>
      <w:pPr>
        <w:autoSpaceDN w:val="0"/>
        <w:tabs>
          <w:tab w:pos="146" w:val="left"/>
          <w:tab w:pos="168" w:val="left"/>
        </w:tabs>
        <w:autoSpaceDE w:val="0"/>
        <w:widowControl/>
        <w:spacing w:line="208" w:lineRule="exact" w:before="190" w:after="24"/>
        <w:ind w:left="0" w:right="12096" w:firstLine="0"/>
        <w:jc w:val="left"/>
      </w:pPr>
      <w:r>
        <w:rPr>
          <w:rFonts w:ascii="黑体" w:hAnsi="黑体" w:eastAsia="黑体"/>
          <w:b w:val="0"/>
          <w:i w:val="0"/>
          <w:color w:val="000000"/>
          <w:sz w:val="16"/>
        </w:rPr>
        <w:t>不能重分类进损益的其他</w:t>
      </w:r>
      <w:r>
        <w:br/>
      </w:r>
      <w:r>
        <w:tab/>
      </w:r>
      <w:r>
        <w:tab/>
      </w:r>
      <w:r>
        <w:rPr>
          <w:rFonts w:ascii="黑体" w:hAnsi="黑体" w:eastAsia="黑体"/>
          <w:b w:val="0"/>
          <w:i w:val="0"/>
          <w:color w:val="000000"/>
          <w:sz w:val="16"/>
        </w:rPr>
        <w:t>综合收益</w:t>
      </w:r>
      <w:r>
        <w:br/>
      </w:r>
      <w:r>
        <w:rPr>
          <w:rFonts w:ascii="黑体" w:hAnsi="黑体" w:eastAsia="黑体"/>
          <w:b w:val="0"/>
          <w:i w:val="0"/>
          <w:color w:val="000000"/>
          <w:sz w:val="16"/>
        </w:rPr>
        <w:t>其中：其他权益工具投资</w:t>
      </w:r>
    </w:p>
    <w:tbl>
      <w:tblPr>
        <w:tblW w:type="auto" w:w="0"/>
        <w:tblLayout w:type="fixed"/>
        <w:tblLook w:firstColumn="1" w:firstRow="1" w:lastColumn="0" w:lastRow="0" w:noHBand="0" w:noVBand="1" w:val="04A0"/>
        <w:tblInd w:w="0.0" w:type="dxa"/>
      </w:tblPr>
      <w:tblGrid>
        <w:gridCol w:w="1409"/>
        <w:gridCol w:w="1409"/>
        <w:gridCol w:w="1409"/>
        <w:gridCol w:w="1409"/>
        <w:gridCol w:w="1409"/>
        <w:gridCol w:w="1409"/>
        <w:gridCol w:w="1409"/>
        <w:gridCol w:w="1409"/>
        <w:gridCol w:w="1409"/>
        <w:gridCol w:w="1409"/>
      </w:tblGrid>
      <w:tr>
        <w:trPr>
          <w:trHeight w:hRule="exact" w:val="212"/>
        </w:trPr>
        <w:tc>
          <w:tcPr>
            <w:tcW w:type="dxa" w:w="540"/>
            <w:tcBorders>
              <w:bottom w:sz="3.200000000000273" w:val="single" w:color="#000000"/>
            </w:tcBorders>
            <w:tcMar>
              <w:start w:w="0" w:type="dxa"/>
              <w:end w:w="0" w:type="dxa"/>
            </w:tcMar>
          </w:tcPr>
          <w:p/>
        </w:tc>
        <w:tc>
          <w:tcPr>
            <w:tcW w:type="dxa" w:w="1700"/>
            <w:tcBorders>
              <w:bottom w:sz="3.200000000000273" w:val="single" w:color="#000000"/>
            </w:tcBorders>
            <w:tcMar>
              <w:start w:w="0" w:type="dxa"/>
              <w:end w:w="0" w:type="dxa"/>
            </w:tcMar>
          </w:tcPr>
          <w:p>
            <w:pPr>
              <w:autoSpaceDN w:val="0"/>
              <w:autoSpaceDE w:val="0"/>
              <w:widowControl/>
              <w:spacing w:line="160" w:lineRule="exact" w:before="24" w:after="0"/>
              <w:ind w:left="248" w:right="0" w:firstLine="0"/>
              <w:jc w:val="left"/>
            </w:pPr>
            <w:r>
              <w:rPr>
                <w:rFonts w:ascii="黑体" w:hAnsi="黑体" w:eastAsia="黑体"/>
                <w:b w:val="0"/>
                <w:i w:val="0"/>
                <w:color w:val="000000"/>
                <w:sz w:val="16"/>
              </w:rPr>
              <w:t>公允价值变动</w:t>
            </w:r>
          </w:p>
        </w:tc>
        <w:tc>
          <w:tcPr>
            <w:tcW w:type="dxa" w:w="1602"/>
            <w:tcBorders>
              <w:bottom w:sz="3.200000000000273" w:val="single" w:color="#000000"/>
            </w:tcBorders>
            <w:tcMar>
              <w:start w:w="0" w:type="dxa"/>
              <w:end w:w="0" w:type="dxa"/>
            </w:tcMar>
          </w:tcPr>
          <w:p>
            <w:pPr>
              <w:autoSpaceDN w:val="0"/>
              <w:autoSpaceDE w:val="0"/>
              <w:widowControl/>
              <w:spacing w:line="233" w:lineRule="auto" w:before="26" w:after="0"/>
              <w:ind w:left="0" w:right="132" w:firstLine="0"/>
              <w:jc w:val="right"/>
            </w:pPr>
            <w:r>
              <w:rPr>
                <w:rFonts w:ascii="Arial" w:hAnsi="Arial" w:eastAsia="Arial"/>
                <w:b w:val="0"/>
                <w:i w:val="0"/>
                <w:color w:val="000000"/>
                <w:sz w:val="16"/>
              </w:rPr>
              <w:t xml:space="preserve">(116,011,576) </w:t>
            </w:r>
          </w:p>
        </w:tc>
        <w:tc>
          <w:tcPr>
            <w:tcW w:type="dxa" w:w="1448"/>
            <w:tcBorders>
              <w:bottom w:sz="3.200000000000273" w:val="single" w:color="#000000"/>
            </w:tcBorders>
            <w:tcMar>
              <w:start w:w="0" w:type="dxa"/>
              <w:end w:w="0" w:type="dxa"/>
            </w:tcMar>
          </w:tcPr>
          <w:p>
            <w:pPr>
              <w:autoSpaceDN w:val="0"/>
              <w:autoSpaceDE w:val="0"/>
              <w:widowControl/>
              <w:spacing w:line="233" w:lineRule="auto" w:before="26" w:after="0"/>
              <w:ind w:left="0" w:right="130" w:firstLine="0"/>
              <w:jc w:val="right"/>
            </w:pPr>
            <w:r>
              <w:rPr>
                <w:rFonts w:ascii="Arial" w:hAnsi="Arial" w:eastAsia="Arial"/>
                <w:b w:val="0"/>
                <w:i w:val="0"/>
                <w:color w:val="000000"/>
                <w:sz w:val="16"/>
              </w:rPr>
              <w:t xml:space="preserve">(19,943,420) </w:t>
            </w:r>
          </w:p>
        </w:tc>
        <w:tc>
          <w:tcPr>
            <w:tcW w:type="dxa" w:w="1456"/>
            <w:tcBorders>
              <w:bottom w:sz="3.200000000000273" w:val="single" w:color="#000000"/>
            </w:tcBorders>
            <w:tcMar>
              <w:start w:w="0" w:type="dxa"/>
              <w:end w:w="0" w:type="dxa"/>
            </w:tcMar>
          </w:tcPr>
          <w:p>
            <w:pPr>
              <w:autoSpaceDN w:val="0"/>
              <w:autoSpaceDE w:val="0"/>
              <w:widowControl/>
              <w:spacing w:line="233" w:lineRule="auto" w:before="26" w:after="0"/>
              <w:ind w:left="0" w:right="186" w:firstLine="0"/>
              <w:jc w:val="right"/>
            </w:pPr>
            <w:r>
              <w:rPr>
                <w:rFonts w:ascii="Arial" w:hAnsi="Arial" w:eastAsia="Arial"/>
                <w:b w:val="0"/>
                <w:i w:val="0"/>
                <w:color w:val="000000"/>
                <w:sz w:val="16"/>
              </w:rPr>
              <w:t xml:space="preserve">- </w:t>
            </w:r>
          </w:p>
        </w:tc>
        <w:tc>
          <w:tcPr>
            <w:tcW w:type="dxa" w:w="1450"/>
            <w:tcBorders>
              <w:bottom w:sz="3.200000000000273" w:val="single" w:color="#000000"/>
            </w:tcBorders>
            <w:tcMar>
              <w:start w:w="0" w:type="dxa"/>
              <w:end w:w="0" w:type="dxa"/>
            </w:tcMar>
          </w:tcPr>
          <w:p>
            <w:pPr>
              <w:autoSpaceDN w:val="0"/>
              <w:autoSpaceDE w:val="0"/>
              <w:widowControl/>
              <w:spacing w:line="233" w:lineRule="auto" w:before="26" w:after="0"/>
              <w:ind w:left="0" w:right="132" w:firstLine="0"/>
              <w:jc w:val="right"/>
            </w:pPr>
            <w:r>
              <w:rPr>
                <w:rFonts w:ascii="Arial" w:hAnsi="Arial" w:eastAsia="Arial"/>
                <w:b w:val="0"/>
                <w:i w:val="0"/>
                <w:color w:val="000000"/>
                <w:sz w:val="16"/>
              </w:rPr>
              <w:t xml:space="preserve">(65,252) </w:t>
            </w:r>
          </w:p>
        </w:tc>
        <w:tc>
          <w:tcPr>
            <w:tcW w:type="dxa" w:w="1226"/>
            <w:tcBorders>
              <w:bottom w:sz="3.200000000000273"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5,002,168</w:t>
            </w:r>
          </w:p>
        </w:tc>
        <w:tc>
          <w:tcPr>
            <w:tcW w:type="dxa" w:w="1502"/>
            <w:tcBorders>
              <w:bottom w:sz="3.200000000000273" w:val="single" w:color="#000000"/>
            </w:tcBorders>
            <w:tcMar>
              <w:start w:w="0" w:type="dxa"/>
              <w:end w:w="0" w:type="dxa"/>
            </w:tcMar>
          </w:tcPr>
          <w:p>
            <w:pPr>
              <w:autoSpaceDN w:val="0"/>
              <w:autoSpaceDE w:val="0"/>
              <w:widowControl/>
              <w:spacing w:line="233" w:lineRule="auto" w:before="26" w:after="0"/>
              <w:ind w:left="0" w:right="130" w:firstLine="0"/>
              <w:jc w:val="right"/>
            </w:pPr>
            <w:r>
              <w:rPr>
                <w:rFonts w:ascii="Arial" w:hAnsi="Arial" w:eastAsia="Arial"/>
                <w:b w:val="0"/>
                <w:i w:val="0"/>
                <w:color w:val="000000"/>
                <w:sz w:val="16"/>
              </w:rPr>
              <w:t xml:space="preserve">(15,006,504) </w:t>
            </w:r>
          </w:p>
        </w:tc>
        <w:tc>
          <w:tcPr>
            <w:tcW w:type="dxa" w:w="1186"/>
            <w:tcBorders>
              <w:bottom w:sz="3.200000000000273"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6"/>
              </w:rPr>
              <w:t>-</w:t>
            </w:r>
          </w:p>
        </w:tc>
        <w:tc>
          <w:tcPr>
            <w:tcW w:type="dxa" w:w="1970"/>
            <w:tcBorders>
              <w:bottom w:sz="3.200000000000273" w:val="single" w:color="#000000"/>
            </w:tcBorders>
            <w:tcMar>
              <w:start w:w="0" w:type="dxa"/>
              <w:end w:w="0" w:type="dxa"/>
            </w:tcMar>
          </w:tcPr>
          <w:p>
            <w:pPr>
              <w:autoSpaceDN w:val="0"/>
              <w:autoSpaceDE w:val="0"/>
              <w:widowControl/>
              <w:spacing w:line="233" w:lineRule="auto" w:before="26" w:after="0"/>
              <w:ind w:left="0" w:right="10" w:firstLine="0"/>
              <w:jc w:val="right"/>
            </w:pPr>
            <w:r>
              <w:rPr>
                <w:rFonts w:ascii="Arial" w:hAnsi="Arial" w:eastAsia="Arial"/>
                <w:b w:val="0"/>
                <w:i w:val="0"/>
                <w:color w:val="000000"/>
                <w:sz w:val="16"/>
              </w:rPr>
              <w:t xml:space="preserve">(131,018,080) </w:t>
            </w:r>
          </w:p>
        </w:tc>
      </w:tr>
      <w:tr>
        <w:trPr>
          <w:trHeight w:hRule="exact" w:val="470"/>
        </w:trPr>
        <w:tc>
          <w:tcPr>
            <w:tcW w:type="dxa" w:w="540"/>
            <w:tcBorders>
              <w:top w:sz="3.200000000000273" w:val="single" w:color="#000000"/>
              <w:bottom w:sz="4.0" w:val="single" w:color="#000000"/>
            </w:tcBorders>
            <w:tcMar>
              <w:start w:w="0" w:type="dxa"/>
              <w:end w:w="0" w:type="dxa"/>
            </w:tcMar>
          </w:tcPr>
          <w:p>
            <w:pPr>
              <w:autoSpaceDN w:val="0"/>
              <w:autoSpaceDE w:val="0"/>
              <w:widowControl/>
              <w:spacing w:line="160" w:lineRule="exact" w:before="278" w:after="0"/>
              <w:ind w:left="0" w:right="0" w:firstLine="0"/>
              <w:jc w:val="left"/>
            </w:pPr>
            <w:r>
              <w:rPr>
                <w:rFonts w:ascii="黑体" w:hAnsi="黑体" w:eastAsia="黑体"/>
                <w:b w:val="0"/>
                <w:i w:val="0"/>
                <w:color w:val="000000"/>
                <w:sz w:val="16"/>
              </w:rPr>
              <w:t>小计</w:t>
            </w:r>
          </w:p>
        </w:tc>
        <w:tc>
          <w:tcPr>
            <w:tcW w:type="dxa" w:w="1700"/>
            <w:tcBorders>
              <w:top w:sz="3.200000000000273" w:val="single" w:color="#000000"/>
              <w:bottom w:sz="4.0" w:val="single" w:color="#000000"/>
            </w:tcBorders>
            <w:tcMar>
              <w:start w:w="0" w:type="dxa"/>
              <w:end w:w="0" w:type="dxa"/>
            </w:tcMar>
          </w:tcPr>
          <w:p/>
        </w:tc>
        <w:tc>
          <w:tcPr>
            <w:tcW w:type="dxa" w:w="1602"/>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32" w:firstLine="0"/>
              <w:jc w:val="right"/>
            </w:pPr>
            <w:r>
              <w:rPr>
                <w:rFonts w:ascii="Arial" w:hAnsi="Arial" w:eastAsia="Arial"/>
                <w:b w:val="0"/>
                <w:i w:val="0"/>
                <w:color w:val="000000"/>
                <w:sz w:val="16"/>
              </w:rPr>
              <w:t xml:space="preserve">(116,011,576) </w:t>
            </w:r>
          </w:p>
        </w:tc>
        <w:tc>
          <w:tcPr>
            <w:tcW w:type="dxa" w:w="1448"/>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30" w:firstLine="0"/>
              <w:jc w:val="right"/>
            </w:pPr>
            <w:r>
              <w:rPr>
                <w:rFonts w:ascii="Arial" w:hAnsi="Arial" w:eastAsia="Arial"/>
                <w:b w:val="0"/>
                <w:i w:val="0"/>
                <w:color w:val="000000"/>
                <w:sz w:val="16"/>
              </w:rPr>
              <w:t xml:space="preserve">(19,943,420) </w:t>
            </w:r>
          </w:p>
        </w:tc>
        <w:tc>
          <w:tcPr>
            <w:tcW w:type="dxa" w:w="1456"/>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86" w:firstLine="0"/>
              <w:jc w:val="right"/>
            </w:pPr>
            <w:r>
              <w:rPr>
                <w:rFonts w:ascii="Arial" w:hAnsi="Arial" w:eastAsia="Arial"/>
                <w:b w:val="0"/>
                <w:i w:val="0"/>
                <w:color w:val="000000"/>
                <w:sz w:val="16"/>
              </w:rPr>
              <w:t xml:space="preserve">- </w:t>
            </w:r>
          </w:p>
        </w:tc>
        <w:tc>
          <w:tcPr>
            <w:tcW w:type="dxa" w:w="1450"/>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32" w:firstLine="0"/>
              <w:jc w:val="right"/>
            </w:pPr>
            <w:r>
              <w:rPr>
                <w:rFonts w:ascii="Arial" w:hAnsi="Arial" w:eastAsia="Arial"/>
                <w:b w:val="0"/>
                <w:i w:val="0"/>
                <w:color w:val="000000"/>
                <w:sz w:val="16"/>
              </w:rPr>
              <w:t xml:space="preserve">(65,252) </w:t>
            </w:r>
          </w:p>
        </w:tc>
        <w:tc>
          <w:tcPr>
            <w:tcW w:type="dxa" w:w="1226"/>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0" w:firstLine="0"/>
              <w:jc w:val="right"/>
            </w:pPr>
            <w:r>
              <w:rPr>
                <w:rFonts w:ascii="Arial" w:hAnsi="Arial" w:eastAsia="Arial"/>
                <w:b w:val="0"/>
                <w:i w:val="0"/>
                <w:color w:val="000000"/>
                <w:sz w:val="16"/>
              </w:rPr>
              <w:t>5,002,168</w:t>
            </w:r>
          </w:p>
        </w:tc>
        <w:tc>
          <w:tcPr>
            <w:tcW w:type="dxa" w:w="1502"/>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30" w:firstLine="0"/>
              <w:jc w:val="right"/>
            </w:pPr>
            <w:r>
              <w:rPr>
                <w:rFonts w:ascii="Arial" w:hAnsi="Arial" w:eastAsia="Arial"/>
                <w:b w:val="0"/>
                <w:i w:val="0"/>
                <w:color w:val="000000"/>
                <w:sz w:val="16"/>
              </w:rPr>
              <w:t xml:space="preserve">(15,006,504) </w:t>
            </w:r>
          </w:p>
        </w:tc>
        <w:tc>
          <w:tcPr>
            <w:tcW w:type="dxa" w:w="1186"/>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0" w:firstLine="0"/>
              <w:jc w:val="right"/>
            </w:pPr>
            <w:r>
              <w:rPr>
                <w:rFonts w:ascii="Arial" w:hAnsi="Arial" w:eastAsia="Arial"/>
                <w:b w:val="0"/>
                <w:i w:val="0"/>
                <w:color w:val="000000"/>
                <w:sz w:val="16"/>
              </w:rPr>
              <w:t>-</w:t>
            </w:r>
          </w:p>
        </w:tc>
        <w:tc>
          <w:tcPr>
            <w:tcW w:type="dxa" w:w="1970"/>
            <w:tcBorders>
              <w:top w:sz="3.200000000000273" w:val="single" w:color="#000000"/>
              <w:bottom w:sz="4.0" w:val="single" w:color="#000000"/>
            </w:tcBorders>
            <w:tcMar>
              <w:start w:w="0" w:type="dxa"/>
              <w:end w:w="0" w:type="dxa"/>
            </w:tcMar>
          </w:tcPr>
          <w:p>
            <w:pPr>
              <w:autoSpaceDN w:val="0"/>
              <w:autoSpaceDE w:val="0"/>
              <w:widowControl/>
              <w:spacing w:line="233" w:lineRule="auto" w:before="278" w:after="0"/>
              <w:ind w:left="0" w:right="10" w:firstLine="0"/>
              <w:jc w:val="right"/>
            </w:pPr>
            <w:r>
              <w:rPr>
                <w:rFonts w:ascii="Arial" w:hAnsi="Arial" w:eastAsia="Arial"/>
                <w:b w:val="0"/>
                <w:i w:val="0"/>
                <w:color w:val="000000"/>
                <w:sz w:val="16"/>
              </w:rPr>
              <w:t xml:space="preserve">(131,018,080) </w:t>
            </w:r>
          </w:p>
        </w:tc>
      </w:tr>
      <w:tr>
        <w:trPr>
          <w:trHeight w:hRule="exact" w:val="52"/>
        </w:trPr>
        <w:tc>
          <w:tcPr>
            <w:tcW w:type="dxa" w:w="540"/>
            <w:tcBorders>
              <w:top w:sz="4.0" w:val="single" w:color="#000000"/>
            </w:tcBorders>
            <w:tcMar>
              <w:start w:w="0" w:type="dxa"/>
              <w:end w:w="0" w:type="dxa"/>
            </w:tcMar>
          </w:tcPr>
          <w:p/>
        </w:tc>
        <w:tc>
          <w:tcPr>
            <w:tcW w:type="dxa" w:w="1700"/>
            <w:tcBorders>
              <w:top w:sz="4.0" w:val="single" w:color="#000000"/>
            </w:tcBorders>
            <w:tcMar>
              <w:start w:w="0" w:type="dxa"/>
              <w:end w:w="0" w:type="dxa"/>
            </w:tcMar>
          </w:tcPr>
          <w:p/>
        </w:tc>
        <w:tc>
          <w:tcPr>
            <w:tcW w:type="dxa" w:w="1602"/>
            <w:tcBorders>
              <w:top w:sz="4.0" w:val="single" w:color="#000000"/>
            </w:tcBorders>
            <w:tcMar>
              <w:start w:w="0" w:type="dxa"/>
              <w:end w:w="0" w:type="dxa"/>
            </w:tcMar>
          </w:tcPr>
          <w:p/>
        </w:tc>
        <w:tc>
          <w:tcPr>
            <w:tcW w:type="dxa" w:w="1448"/>
            <w:tcBorders>
              <w:top w:sz="4.0" w:val="single" w:color="#000000"/>
            </w:tcBorders>
            <w:tcMar>
              <w:start w:w="0" w:type="dxa"/>
              <w:end w:w="0" w:type="dxa"/>
            </w:tcMar>
          </w:tcPr>
          <w:p/>
        </w:tc>
        <w:tc>
          <w:tcPr>
            <w:tcW w:type="dxa" w:w="1456"/>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226"/>
            <w:tcBorders>
              <w:top w:sz="4.0" w:val="single" w:color="#000000"/>
            </w:tcBorders>
            <w:tcMar>
              <w:start w:w="0" w:type="dxa"/>
              <w:end w:w="0" w:type="dxa"/>
            </w:tcMar>
          </w:tcPr>
          <w:p/>
        </w:tc>
        <w:tc>
          <w:tcPr>
            <w:tcW w:type="dxa" w:w="1502"/>
            <w:tcBorders>
              <w:top w:sz="4.0" w:val="single" w:color="#000000"/>
            </w:tcBorders>
            <w:tcMar>
              <w:start w:w="0" w:type="dxa"/>
              <w:end w:w="0" w:type="dxa"/>
            </w:tcMar>
          </w:tcPr>
          <w:p/>
        </w:tc>
        <w:tc>
          <w:tcPr>
            <w:tcW w:type="dxa" w:w="1186"/>
            <w:tcBorders>
              <w:top w:sz="4.0" w:val="single" w:color="#000000"/>
            </w:tcBorders>
            <w:tcMar>
              <w:start w:w="0" w:type="dxa"/>
              <w:end w:w="0" w:type="dxa"/>
            </w:tcMar>
          </w:tcPr>
          <w:p/>
        </w:tc>
        <w:tc>
          <w:tcPr>
            <w:tcW w:type="dxa" w:w="1970"/>
            <w:tcBorders>
              <w:top w:sz="4.0" w:val="single" w:color="#000000"/>
            </w:tcBorders>
            <w:tcMar>
              <w:start w:w="0" w:type="dxa"/>
              <w:end w:w="0" w:type="dxa"/>
            </w:tcMar>
          </w:tcPr>
          <w:p/>
        </w:tc>
      </w:tr>
    </w:tbl>
    <w:p>
      <w:pPr>
        <w:autoSpaceDN w:val="0"/>
        <w:tabs>
          <w:tab w:pos="146" w:val="left"/>
          <w:tab w:pos="168" w:val="left"/>
        </w:tabs>
        <w:autoSpaceDE w:val="0"/>
        <w:widowControl/>
        <w:spacing w:line="208" w:lineRule="exact" w:before="160" w:after="24"/>
        <w:ind w:left="0" w:right="12096" w:firstLine="0"/>
        <w:jc w:val="left"/>
      </w:pPr>
      <w:r>
        <w:rPr>
          <w:rFonts w:ascii="黑体" w:hAnsi="黑体" w:eastAsia="黑体"/>
          <w:b w:val="0"/>
          <w:i w:val="0"/>
          <w:color w:val="000000"/>
          <w:sz w:val="16"/>
        </w:rPr>
        <w:t>以后将重分类进损益的其他</w:t>
      </w:r>
      <w:r>
        <w:br/>
      </w:r>
      <w:r>
        <w:tab/>
      </w:r>
      <w:r>
        <w:tab/>
      </w:r>
      <w:r>
        <w:rPr>
          <w:rFonts w:ascii="黑体" w:hAnsi="黑体" w:eastAsia="黑体"/>
          <w:b w:val="0"/>
          <w:i w:val="0"/>
          <w:color w:val="000000"/>
          <w:sz w:val="16"/>
        </w:rPr>
        <w:t>综合收益</w:t>
      </w:r>
      <w:r>
        <w:br/>
      </w:r>
      <w:r>
        <w:rPr>
          <w:rFonts w:ascii="黑体" w:hAnsi="黑体" w:eastAsia="黑体"/>
          <w:b w:val="0"/>
          <w:i w:val="0"/>
          <w:color w:val="000000"/>
          <w:sz w:val="16"/>
        </w:rPr>
        <w:t>其中：其他债权投资</w:t>
      </w:r>
    </w:p>
    <w:tbl>
      <w:tblPr>
        <w:tblW w:type="auto" w:w="0"/>
        <w:tblLayout w:type="fixed"/>
        <w:tblLook w:firstColumn="1" w:firstRow="1" w:lastColumn="0" w:lastRow="0" w:noHBand="0" w:noVBand="1" w:val="04A0"/>
        <w:tblInd w:w="380.0" w:type="dxa"/>
      </w:tblPr>
      <w:tblGrid>
        <w:gridCol w:w="1566"/>
        <w:gridCol w:w="1566"/>
        <w:gridCol w:w="1566"/>
        <w:gridCol w:w="1566"/>
        <w:gridCol w:w="1566"/>
        <w:gridCol w:w="1566"/>
        <w:gridCol w:w="1566"/>
        <w:gridCol w:w="1566"/>
        <w:gridCol w:w="1566"/>
      </w:tblGrid>
      <w:tr>
        <w:trPr>
          <w:trHeight w:hRule="exact" w:val="218"/>
        </w:trPr>
        <w:tc>
          <w:tcPr>
            <w:tcW w:type="dxa" w:w="1820"/>
            <w:tcBorders/>
            <w:tcMar>
              <w:start w:w="0" w:type="dxa"/>
              <w:end w:w="0" w:type="dxa"/>
            </w:tcMar>
          </w:tcPr>
          <w:p>
            <w:pPr>
              <w:autoSpaceDN w:val="0"/>
              <w:autoSpaceDE w:val="0"/>
              <w:widowControl/>
              <w:spacing w:line="162" w:lineRule="exact" w:before="22" w:after="0"/>
              <w:ind w:left="0" w:right="0" w:firstLine="0"/>
              <w:jc w:val="center"/>
            </w:pPr>
            <w:r>
              <w:rPr>
                <w:rFonts w:ascii="黑体" w:hAnsi="黑体" w:eastAsia="黑体"/>
                <w:b w:val="0"/>
                <w:i w:val="0"/>
                <w:color w:val="000000"/>
                <w:sz w:val="16"/>
              </w:rPr>
              <w:t>公允价值变动</w:t>
            </w:r>
          </w:p>
        </w:tc>
        <w:tc>
          <w:tcPr>
            <w:tcW w:type="dxa" w:w="1860"/>
            <w:tcBorders/>
            <w:tcMar>
              <w:start w:w="0" w:type="dxa"/>
              <w:end w:w="0" w:type="dxa"/>
            </w:tcMar>
          </w:tcPr>
          <w:p>
            <w:pPr>
              <w:autoSpaceDN w:val="0"/>
              <w:autoSpaceDE w:val="0"/>
              <w:widowControl/>
              <w:spacing w:line="233" w:lineRule="auto" w:before="24" w:after="0"/>
              <w:ind w:left="0" w:right="350" w:firstLine="0"/>
              <w:jc w:val="right"/>
            </w:pPr>
            <w:r>
              <w:rPr>
                <w:rFonts w:ascii="Arial" w:hAnsi="Arial" w:eastAsia="Arial"/>
                <w:b w:val="0"/>
                <w:i w:val="0"/>
                <w:color w:val="000000"/>
                <w:sz w:val="16"/>
              </w:rPr>
              <w:t xml:space="preserve">(117,971,935) </w:t>
            </w:r>
          </w:p>
        </w:tc>
        <w:tc>
          <w:tcPr>
            <w:tcW w:type="dxa" w:w="14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6"/>
              </w:rPr>
              <w:t xml:space="preserve">(630,171) </w:t>
            </w:r>
          </w:p>
        </w:tc>
        <w:tc>
          <w:tcPr>
            <w:tcW w:type="dxa" w:w="1740"/>
            <w:tcBorders/>
            <w:tcMar>
              <w:start w:w="0" w:type="dxa"/>
              <w:end w:w="0" w:type="dxa"/>
            </w:tcMar>
          </w:tcPr>
          <w:p>
            <w:pPr>
              <w:autoSpaceDN w:val="0"/>
              <w:autoSpaceDE w:val="0"/>
              <w:widowControl/>
              <w:spacing w:line="233" w:lineRule="auto" w:before="24" w:after="0"/>
              <w:ind w:left="364" w:right="0" w:firstLine="0"/>
              <w:jc w:val="left"/>
            </w:pPr>
            <w:r>
              <w:rPr>
                <w:rFonts w:ascii="Arial" w:hAnsi="Arial" w:eastAsia="Arial"/>
                <w:b w:val="0"/>
                <w:i w:val="0"/>
                <w:color w:val="000000"/>
                <w:sz w:val="16"/>
              </w:rPr>
              <w:t xml:space="preserve">(766,942 ) </w:t>
            </w:r>
          </w:p>
        </w:tc>
        <w:tc>
          <w:tcPr>
            <w:tcW w:type="dxa" w:w="1140"/>
            <w:tcBorders/>
            <w:tcMar>
              <w:start w:w="0" w:type="dxa"/>
              <w:end w:w="0" w:type="dxa"/>
            </w:tcMar>
          </w:tcPr>
          <w:p>
            <w:pPr>
              <w:autoSpaceDN w:val="0"/>
              <w:autoSpaceDE w:val="0"/>
              <w:widowControl/>
              <w:spacing w:line="233" w:lineRule="auto" w:before="24" w:after="0"/>
              <w:ind w:left="0" w:right="432" w:firstLine="0"/>
              <w:jc w:val="right"/>
            </w:pPr>
            <w:r>
              <w:rPr>
                <w:rFonts w:ascii="Arial" w:hAnsi="Arial" w:eastAsia="Arial"/>
                <w:b w:val="0"/>
                <w:i w:val="0"/>
                <w:color w:val="000000"/>
                <w:sz w:val="16"/>
              </w:rPr>
              <w:t>-</w:t>
            </w:r>
          </w:p>
        </w:tc>
        <w:tc>
          <w:tcPr>
            <w:tcW w:type="dxa" w:w="1260"/>
            <w:tcBorders/>
            <w:tcMar>
              <w:start w:w="0" w:type="dxa"/>
              <w:end w:w="0" w:type="dxa"/>
            </w:tcMar>
          </w:tcPr>
          <w:p>
            <w:pPr>
              <w:autoSpaceDN w:val="0"/>
              <w:autoSpaceDE w:val="0"/>
              <w:widowControl/>
              <w:spacing w:line="233" w:lineRule="auto" w:before="24" w:after="0"/>
              <w:ind w:left="0" w:right="236" w:firstLine="0"/>
              <w:jc w:val="right"/>
            </w:pPr>
            <w:r>
              <w:rPr>
                <w:rFonts w:ascii="Arial" w:hAnsi="Arial" w:eastAsia="Arial"/>
                <w:b w:val="0"/>
                <w:i w:val="0"/>
                <w:color w:val="000000"/>
                <w:sz w:val="16"/>
              </w:rPr>
              <w:t>349,278</w:t>
            </w:r>
          </w:p>
        </w:tc>
        <w:tc>
          <w:tcPr>
            <w:tcW w:type="dxa" w:w="1740"/>
            <w:tcBorders/>
            <w:tcMar>
              <w:start w:w="0" w:type="dxa"/>
              <w:end w:w="0" w:type="dxa"/>
            </w:tcMar>
          </w:tcPr>
          <w:p>
            <w:pPr>
              <w:autoSpaceDN w:val="0"/>
              <w:autoSpaceDE w:val="0"/>
              <w:widowControl/>
              <w:spacing w:line="233" w:lineRule="auto" w:before="24" w:after="0"/>
              <w:ind w:left="270" w:right="0" w:firstLine="0"/>
              <w:jc w:val="left"/>
            </w:pPr>
            <w:r>
              <w:rPr>
                <w:rFonts w:ascii="Arial" w:hAnsi="Arial" w:eastAsia="Arial"/>
                <w:b w:val="0"/>
                <w:i w:val="0"/>
                <w:color w:val="000000"/>
                <w:sz w:val="16"/>
              </w:rPr>
              <w:t xml:space="preserve">(1,047,835) </w:t>
            </w:r>
          </w:p>
        </w:tc>
        <w:tc>
          <w:tcPr>
            <w:tcW w:type="dxa" w:w="1160"/>
            <w:tcBorders/>
            <w:tcMar>
              <w:start w:w="0" w:type="dxa"/>
              <w:end w:w="0" w:type="dxa"/>
            </w:tcMar>
          </w:tcPr>
          <w:p>
            <w:pPr>
              <w:autoSpaceDN w:val="0"/>
              <w:autoSpaceDE w:val="0"/>
              <w:widowControl/>
              <w:spacing w:line="233" w:lineRule="auto" w:before="24" w:after="0"/>
              <w:ind w:left="0" w:right="448" w:firstLine="0"/>
              <w:jc w:val="right"/>
            </w:pPr>
            <w:r>
              <w:rPr>
                <w:rFonts w:ascii="Arial" w:hAnsi="Arial" w:eastAsia="Arial"/>
                <w:b w:val="0"/>
                <w:i w:val="0"/>
                <w:color w:val="000000"/>
                <w:sz w:val="16"/>
              </w:rPr>
              <w:t xml:space="preserve">- </w:t>
            </w:r>
          </w:p>
        </w:tc>
        <w:tc>
          <w:tcPr>
            <w:tcW w:type="dxa" w:w="1520"/>
            <w:tcBorders/>
            <w:tcMar>
              <w:start w:w="0" w:type="dxa"/>
              <w:end w:w="0" w:type="dxa"/>
            </w:tcMar>
          </w:tcPr>
          <w:p>
            <w:pPr>
              <w:autoSpaceDN w:val="0"/>
              <w:autoSpaceDE w:val="0"/>
              <w:widowControl/>
              <w:spacing w:line="233" w:lineRule="auto" w:before="24" w:after="0"/>
              <w:ind w:left="0" w:right="10" w:firstLine="0"/>
              <w:jc w:val="right"/>
            </w:pPr>
            <w:r>
              <w:rPr>
                <w:rFonts w:ascii="Arial" w:hAnsi="Arial" w:eastAsia="Arial"/>
                <w:b w:val="0"/>
                <w:i w:val="0"/>
                <w:color w:val="000000"/>
                <w:sz w:val="16"/>
              </w:rPr>
              <w:t xml:space="preserve">(119,019,770) </w:t>
            </w:r>
          </w:p>
        </w:tc>
      </w:tr>
    </w:tbl>
    <w:p>
      <w:pPr>
        <w:autoSpaceDN w:val="0"/>
        <w:autoSpaceDE w:val="0"/>
        <w:widowControl/>
        <w:spacing w:line="160" w:lineRule="exact" w:before="14" w:after="22"/>
        <w:ind w:left="566" w:right="0" w:firstLine="0"/>
        <w:jc w:val="left"/>
      </w:pPr>
      <w:r>
        <w:rPr>
          <w:rFonts w:ascii="黑体" w:hAnsi="黑体" w:eastAsia="黑体"/>
          <w:b w:val="0"/>
          <w:i w:val="0"/>
          <w:color w:val="000000"/>
          <w:sz w:val="16"/>
        </w:rPr>
        <w:t>其他债权投资</w:t>
      </w:r>
    </w:p>
    <w:tbl>
      <w:tblPr>
        <w:tblW w:type="auto" w:w="0"/>
        <w:tblLayout w:type="fixed"/>
        <w:tblLook w:firstColumn="1" w:firstRow="1" w:lastColumn="0" w:lastRow="0" w:noHBand="0" w:noVBand="1" w:val="04A0"/>
        <w:tblInd w:w="0.0" w:type="dxa"/>
      </w:tblPr>
      <w:tblGrid>
        <w:gridCol w:w="1409"/>
        <w:gridCol w:w="1409"/>
        <w:gridCol w:w="1409"/>
        <w:gridCol w:w="1409"/>
        <w:gridCol w:w="1409"/>
        <w:gridCol w:w="1409"/>
        <w:gridCol w:w="1409"/>
        <w:gridCol w:w="1409"/>
        <w:gridCol w:w="1409"/>
        <w:gridCol w:w="1409"/>
      </w:tblGrid>
      <w:tr>
        <w:trPr>
          <w:trHeight w:hRule="exact" w:val="190"/>
        </w:trPr>
        <w:tc>
          <w:tcPr>
            <w:tcW w:type="dxa" w:w="440"/>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tc>
        <w:tc>
          <w:tcPr>
            <w:tcW w:type="dxa" w:w="1800"/>
            <w:tcBorders/>
            <w:tcMar>
              <w:start w:w="0" w:type="dxa"/>
              <w:end w:w="0" w:type="dxa"/>
            </w:tcMar>
          </w:tcPr>
          <w:p>
            <w:pPr>
              <w:autoSpaceDN w:val="0"/>
              <w:autoSpaceDE w:val="0"/>
              <w:widowControl/>
              <w:spacing w:line="160" w:lineRule="exact" w:before="24" w:after="0"/>
              <w:ind w:left="288" w:right="0" w:firstLine="0"/>
              <w:jc w:val="left"/>
            </w:pPr>
            <w:r>
              <w:rPr>
                <w:rFonts w:ascii="黑体" w:hAnsi="黑体" w:eastAsia="黑体"/>
                <w:b w:val="0"/>
                <w:i w:val="0"/>
                <w:color w:val="000000"/>
                <w:sz w:val="16"/>
              </w:rPr>
              <w:t>信用减值准备</w:t>
            </w:r>
          </w:p>
        </w:tc>
        <w:tc>
          <w:tcPr>
            <w:tcW w:type="dxa" w:w="1602"/>
            <w:tcBorders/>
            <w:tcMar>
              <w:start w:w="0" w:type="dxa"/>
              <w:end w:w="0" w:type="dxa"/>
            </w:tcMar>
          </w:tcPr>
          <w:p>
            <w:pPr>
              <w:autoSpaceDN w:val="0"/>
              <w:autoSpaceDE w:val="0"/>
              <w:widowControl/>
              <w:spacing w:line="233" w:lineRule="auto" w:before="10" w:after="0"/>
              <w:ind w:left="0" w:right="230" w:firstLine="0"/>
              <w:jc w:val="right"/>
            </w:pPr>
            <w:r>
              <w:rPr>
                <w:rFonts w:ascii="Arial" w:hAnsi="Arial" w:eastAsia="Arial"/>
                <w:b w:val="0"/>
                <w:i w:val="0"/>
                <w:color w:val="000000"/>
                <w:sz w:val="16"/>
              </w:rPr>
              <w:t>101,513,836</w:t>
            </w:r>
          </w:p>
        </w:tc>
        <w:tc>
          <w:tcPr>
            <w:tcW w:type="dxa" w:w="122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6,852,323</w:t>
            </w:r>
          </w:p>
        </w:tc>
        <w:tc>
          <w:tcPr>
            <w:tcW w:type="dxa" w:w="1684"/>
            <w:tcBorders/>
            <w:tcMar>
              <w:start w:w="0" w:type="dxa"/>
              <w:end w:w="0" w:type="dxa"/>
            </w:tcMar>
          </w:tcPr>
          <w:p>
            <w:pPr>
              <w:autoSpaceDN w:val="0"/>
              <w:autoSpaceDE w:val="0"/>
              <w:widowControl/>
              <w:spacing w:line="233" w:lineRule="auto" w:before="10" w:after="0"/>
              <w:ind w:left="0" w:right="186" w:firstLine="0"/>
              <w:jc w:val="right"/>
            </w:pPr>
            <w:r>
              <w:rPr>
                <w:rFonts w:ascii="Arial" w:hAnsi="Arial" w:eastAsia="Arial"/>
                <w:b w:val="0"/>
                <w:i w:val="0"/>
                <w:color w:val="000000"/>
                <w:sz w:val="16"/>
              </w:rPr>
              <w:t xml:space="preserve">- </w:t>
            </w:r>
          </w:p>
        </w:tc>
        <w:tc>
          <w:tcPr>
            <w:tcW w:type="dxa" w:w="1450"/>
            <w:tcBorders/>
            <w:tcMar>
              <w:start w:w="0" w:type="dxa"/>
              <w:end w:w="0" w:type="dxa"/>
            </w:tcMar>
          </w:tcPr>
          <w:p>
            <w:pPr>
              <w:autoSpaceDN w:val="0"/>
              <w:autoSpaceDE w:val="0"/>
              <w:widowControl/>
              <w:spacing w:line="233" w:lineRule="auto" w:before="10" w:after="0"/>
              <w:ind w:left="0" w:right="228" w:firstLine="0"/>
              <w:jc w:val="right"/>
            </w:pPr>
            <w:r>
              <w:rPr>
                <w:rFonts w:ascii="Arial" w:hAnsi="Arial" w:eastAsia="Arial"/>
                <w:b w:val="0"/>
                <w:i w:val="0"/>
                <w:color w:val="000000"/>
                <w:sz w:val="16"/>
              </w:rPr>
              <w:t>-</w:t>
            </w:r>
          </w:p>
        </w:tc>
        <w:tc>
          <w:tcPr>
            <w:tcW w:type="dxa" w:w="1454"/>
            <w:tcBorders/>
            <w:tcMar>
              <w:start w:w="0" w:type="dxa"/>
              <w:end w:w="0" w:type="dxa"/>
            </w:tcMar>
          </w:tcPr>
          <w:p>
            <w:pPr>
              <w:autoSpaceDN w:val="0"/>
              <w:autoSpaceDE w:val="0"/>
              <w:widowControl/>
              <w:spacing w:line="233" w:lineRule="auto" w:before="10" w:after="0"/>
              <w:ind w:left="0" w:right="130" w:firstLine="0"/>
              <w:jc w:val="right"/>
            </w:pPr>
            <w:r>
              <w:rPr>
                <w:rFonts w:ascii="Arial" w:hAnsi="Arial" w:eastAsia="Arial"/>
                <w:b w:val="0"/>
                <w:i w:val="0"/>
                <w:color w:val="000000"/>
                <w:sz w:val="16"/>
              </w:rPr>
              <w:t xml:space="preserve">(1,713,081) </w:t>
            </w:r>
          </w:p>
        </w:tc>
        <w:tc>
          <w:tcPr>
            <w:tcW w:type="dxa" w:w="1046"/>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5,139,242</w:t>
            </w:r>
          </w:p>
        </w:tc>
        <w:tc>
          <w:tcPr>
            <w:tcW w:type="dxa" w:w="1414"/>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 xml:space="preserve">- </w:t>
            </w:r>
          </w:p>
        </w:tc>
        <w:tc>
          <w:tcPr>
            <w:tcW w:type="dxa" w:w="1970"/>
            <w:tcBorders/>
            <w:tcMar>
              <w:start w:w="0" w:type="dxa"/>
              <w:end w:w="0" w:type="dxa"/>
            </w:tcMar>
          </w:tcPr>
          <w:p>
            <w:pPr>
              <w:autoSpaceDN w:val="0"/>
              <w:autoSpaceDE w:val="0"/>
              <w:widowControl/>
              <w:spacing w:line="233" w:lineRule="auto" w:before="10" w:after="0"/>
              <w:ind w:left="0" w:right="108" w:firstLine="0"/>
              <w:jc w:val="right"/>
            </w:pPr>
            <w:r>
              <w:rPr>
                <w:rFonts w:ascii="Arial" w:hAnsi="Arial" w:eastAsia="Arial"/>
                <w:b w:val="0"/>
                <w:i w:val="0"/>
                <w:color w:val="000000"/>
                <w:sz w:val="16"/>
              </w:rPr>
              <w:t>106,653,078</w:t>
            </w:r>
          </w:p>
        </w:tc>
      </w:tr>
      <w:tr>
        <w:trPr>
          <w:trHeight w:hRule="exact" w:val="220"/>
        </w:trPr>
        <w:tc>
          <w:tcPr>
            <w:tcW w:type="dxa" w:w="1409"/>
            <w:vMerge/>
            <w:tcBorders>
              <w:bottom w:sz="4.0" w:val="single" w:color="#000000"/>
            </w:tcBorders>
          </w:tcPr>
          <w:p/>
        </w:tc>
        <w:tc>
          <w:tcPr>
            <w:tcW w:type="dxa" w:w="1800"/>
            <w:tcBorders/>
            <w:tcMar>
              <w:start w:w="0" w:type="dxa"/>
              <w:end w:w="0" w:type="dxa"/>
            </w:tcMar>
          </w:tcPr>
          <w:p>
            <w:pPr>
              <w:autoSpaceDN w:val="0"/>
              <w:autoSpaceDE w:val="0"/>
              <w:widowControl/>
              <w:spacing w:line="160" w:lineRule="exact" w:before="60" w:after="0"/>
              <w:ind w:left="126" w:right="0" w:firstLine="0"/>
              <w:jc w:val="left"/>
            </w:pPr>
            <w:r>
              <w:rPr>
                <w:rFonts w:ascii="黑体" w:hAnsi="黑体" w:eastAsia="黑体"/>
                <w:b w:val="0"/>
                <w:i w:val="0"/>
                <w:color w:val="000000"/>
                <w:sz w:val="16"/>
              </w:rPr>
              <w:t>现金流量套期储备</w:t>
            </w:r>
          </w:p>
        </w:tc>
        <w:tc>
          <w:tcPr>
            <w:tcW w:type="dxa" w:w="1602"/>
            <w:vMerge w:val="restart"/>
            <w:tcBorders/>
            <w:tcMar>
              <w:start w:w="0" w:type="dxa"/>
              <w:end w:w="0" w:type="dxa"/>
            </w:tcMar>
            <w:tcMar>
              <w:start w:w="0" w:type="dxa"/>
              <w:end w:w="0" w:type="dxa"/>
            </w:tcMar>
          </w:tcPr>
          <w:p>
            <w:pPr>
              <w:autoSpaceDN w:val="0"/>
              <w:autoSpaceDE w:val="0"/>
              <w:widowControl/>
              <w:spacing w:line="233" w:lineRule="auto" w:before="66" w:after="0"/>
              <w:ind w:left="0" w:right="132" w:firstLine="0"/>
              <w:jc w:val="right"/>
            </w:pPr>
            <w:r>
              <w:rPr>
                <w:rFonts w:ascii="Arial" w:hAnsi="Arial" w:eastAsia="Arial"/>
                <w:b w:val="0"/>
                <w:i w:val="0"/>
                <w:color w:val="000000"/>
                <w:sz w:val="16"/>
              </w:rPr>
              <w:t xml:space="preserve">(8,806,855) </w:t>
            </w:r>
          </w:p>
        </w:tc>
        <w:tc>
          <w:tcPr>
            <w:tcW w:type="dxa" w:w="1220"/>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6"/>
              </w:rPr>
              <w:t>11,742,473</w:t>
            </w:r>
          </w:p>
        </w:tc>
        <w:tc>
          <w:tcPr>
            <w:tcW w:type="dxa" w:w="1684"/>
            <w:vMerge w:val="restart"/>
            <w:tcBorders/>
            <w:tcMar>
              <w:start w:w="0" w:type="dxa"/>
              <w:end w:w="0" w:type="dxa"/>
            </w:tcMar>
            <w:tcMar>
              <w:start w:w="0" w:type="dxa"/>
              <w:end w:w="0" w:type="dxa"/>
            </w:tcMar>
          </w:tcPr>
          <w:p>
            <w:pPr>
              <w:autoSpaceDN w:val="0"/>
              <w:autoSpaceDE w:val="0"/>
              <w:widowControl/>
              <w:spacing w:line="233" w:lineRule="auto" w:before="66" w:after="0"/>
              <w:ind w:left="0" w:right="186" w:firstLine="0"/>
              <w:jc w:val="right"/>
            </w:pPr>
            <w:r>
              <w:rPr>
                <w:rFonts w:ascii="Arial" w:hAnsi="Arial" w:eastAsia="Arial"/>
                <w:b w:val="0"/>
                <w:i w:val="0"/>
                <w:color w:val="000000"/>
                <w:sz w:val="16"/>
              </w:rPr>
              <w:t xml:space="preserve">- </w:t>
            </w:r>
          </w:p>
        </w:tc>
        <w:tc>
          <w:tcPr>
            <w:tcW w:type="dxa" w:w="1450"/>
            <w:vMerge w:val="restart"/>
            <w:tcBorders/>
            <w:tcMar>
              <w:start w:w="0" w:type="dxa"/>
              <w:end w:w="0" w:type="dxa"/>
            </w:tcMar>
            <w:tcMar>
              <w:start w:w="0" w:type="dxa"/>
              <w:end w:w="0" w:type="dxa"/>
            </w:tcMar>
          </w:tcPr>
          <w:p>
            <w:pPr>
              <w:autoSpaceDN w:val="0"/>
              <w:autoSpaceDE w:val="0"/>
              <w:widowControl/>
              <w:spacing w:line="233" w:lineRule="auto" w:before="66" w:after="0"/>
              <w:ind w:left="0" w:right="228" w:firstLine="0"/>
              <w:jc w:val="right"/>
            </w:pPr>
            <w:r>
              <w:rPr>
                <w:rFonts w:ascii="Arial" w:hAnsi="Arial" w:eastAsia="Arial"/>
                <w:b w:val="0"/>
                <w:i w:val="0"/>
                <w:color w:val="000000"/>
                <w:sz w:val="16"/>
              </w:rPr>
              <w:t>-</w:t>
            </w:r>
          </w:p>
        </w:tc>
        <w:tc>
          <w:tcPr>
            <w:tcW w:type="dxa" w:w="1454"/>
            <w:vMerge w:val="restart"/>
            <w:tcBorders/>
            <w:tcMar>
              <w:start w:w="0" w:type="dxa"/>
              <w:end w:w="0" w:type="dxa"/>
            </w:tcMar>
            <w:tcMar>
              <w:start w:w="0" w:type="dxa"/>
              <w:end w:w="0" w:type="dxa"/>
            </w:tcMar>
          </w:tcPr>
          <w:p>
            <w:pPr>
              <w:autoSpaceDN w:val="0"/>
              <w:autoSpaceDE w:val="0"/>
              <w:widowControl/>
              <w:spacing w:line="233" w:lineRule="auto" w:before="66" w:after="0"/>
              <w:ind w:left="0" w:right="130" w:firstLine="0"/>
              <w:jc w:val="right"/>
            </w:pPr>
            <w:r>
              <w:rPr>
                <w:rFonts w:ascii="Arial" w:hAnsi="Arial" w:eastAsia="Arial"/>
                <w:b w:val="0"/>
                <w:i w:val="0"/>
                <w:color w:val="000000"/>
                <w:sz w:val="16"/>
              </w:rPr>
              <w:t xml:space="preserve">(2,935,618) </w:t>
            </w:r>
          </w:p>
        </w:tc>
        <w:tc>
          <w:tcPr>
            <w:tcW w:type="dxa" w:w="1046"/>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6"/>
              </w:rPr>
              <w:t>8,806,855</w:t>
            </w:r>
          </w:p>
        </w:tc>
        <w:tc>
          <w:tcPr>
            <w:tcW w:type="dxa" w:w="1414"/>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6"/>
              </w:rPr>
              <w:t xml:space="preserve">- </w:t>
            </w:r>
          </w:p>
        </w:tc>
        <w:tc>
          <w:tcPr>
            <w:tcW w:type="dxa" w:w="1970"/>
            <w:vMerge w:val="restart"/>
            <w:tcBorders/>
            <w:tcMar>
              <w:start w:w="0" w:type="dxa"/>
              <w:end w:w="0" w:type="dxa"/>
            </w:tcMar>
            <w:tcMar>
              <w:start w:w="0" w:type="dxa"/>
              <w:end w:w="0" w:type="dxa"/>
            </w:tcMar>
          </w:tcPr>
          <w:p>
            <w:pPr>
              <w:autoSpaceDN w:val="0"/>
              <w:autoSpaceDE w:val="0"/>
              <w:widowControl/>
              <w:spacing w:line="233" w:lineRule="auto" w:before="66" w:after="0"/>
              <w:ind w:left="0" w:right="106" w:firstLine="0"/>
              <w:jc w:val="right"/>
            </w:pPr>
            <w:r>
              <w:rPr>
                <w:rFonts w:ascii="Arial" w:hAnsi="Arial" w:eastAsia="Arial"/>
                <w:b w:val="0"/>
                <w:i w:val="0"/>
                <w:color w:val="000000"/>
                <w:sz w:val="16"/>
              </w:rPr>
              <w:t>-</w:t>
            </w:r>
          </w:p>
        </w:tc>
      </w:tr>
      <w:tr>
        <w:trPr>
          <w:trHeight w:hRule="exact" w:val="52"/>
        </w:trPr>
        <w:tc>
          <w:tcPr>
            <w:tcW w:type="dxa" w:w="1409"/>
            <w:vMerge/>
            <w:tcBorders>
              <w:bottom w:sz="4.0" w:val="single" w:color="#000000"/>
            </w:tcBorders>
          </w:tcPr>
          <w:p/>
        </w:tc>
        <w:tc>
          <w:tcPr>
            <w:tcW w:type="dxa" w:w="1800"/>
            <w:vMerge w:val="restart"/>
            <w:tcBorders>
              <w:bottom w:sz="4.0" w:val="single" w:color="#000000"/>
            </w:tcBorders>
            <w:tcMar>
              <w:start w:w="0" w:type="dxa"/>
              <w:end w:w="0" w:type="dxa"/>
            </w:tcMar>
            <w:tcMar>
              <w:start w:w="0" w:type="dxa"/>
              <w:end w:w="0" w:type="dxa"/>
            </w:tcMar>
          </w:tcPr>
          <w:p>
            <w:pPr>
              <w:autoSpaceDN w:val="0"/>
              <w:autoSpaceDE w:val="0"/>
              <w:widowControl/>
              <w:spacing w:line="162" w:lineRule="exact" w:before="74" w:after="0"/>
              <w:ind w:left="126" w:right="0" w:firstLine="0"/>
              <w:jc w:val="left"/>
            </w:pPr>
            <w:r>
              <w:rPr>
                <w:rFonts w:ascii="黑体" w:hAnsi="黑体" w:eastAsia="黑体"/>
                <w:b w:val="0"/>
                <w:i w:val="0"/>
                <w:color w:val="000000"/>
                <w:sz w:val="16"/>
              </w:rPr>
              <w:t>其他</w:t>
            </w:r>
          </w:p>
        </w:tc>
        <w:tc>
          <w:tcPr>
            <w:tcW w:type="dxa" w:w="1409"/>
            <w:vMerge/>
            <w:tcBorders/>
          </w:tcPr>
          <w:p/>
        </w:tc>
        <w:tc>
          <w:tcPr>
            <w:tcW w:type="dxa" w:w="1409"/>
            <w:vMerge/>
            <w:tcBorders/>
          </w:tcPr>
          <w:p/>
        </w:tc>
        <w:tc>
          <w:tcPr>
            <w:tcW w:type="dxa" w:w="1409"/>
            <w:vMerge/>
            <w:tcBorders/>
          </w:tcPr>
          <w:p/>
        </w:tc>
        <w:tc>
          <w:tcPr>
            <w:tcW w:type="dxa" w:w="1409"/>
            <w:vMerge/>
            <w:tcBorders/>
          </w:tcPr>
          <w:p/>
        </w:tc>
        <w:tc>
          <w:tcPr>
            <w:tcW w:type="dxa" w:w="1409"/>
            <w:vMerge/>
            <w:tcBorders/>
          </w:tcPr>
          <w:p/>
        </w:tc>
        <w:tc>
          <w:tcPr>
            <w:tcW w:type="dxa" w:w="1409"/>
            <w:vMerge/>
            <w:tcBorders/>
          </w:tcPr>
          <w:p/>
        </w:tc>
        <w:tc>
          <w:tcPr>
            <w:tcW w:type="dxa" w:w="1409"/>
            <w:vMerge/>
            <w:tcBorders/>
          </w:tcPr>
          <w:p/>
        </w:tc>
        <w:tc>
          <w:tcPr>
            <w:tcW w:type="dxa" w:w="1409"/>
            <w:vMerge/>
            <w:tcBorders/>
          </w:tcPr>
          <w:p/>
        </w:tc>
      </w:tr>
      <w:tr>
        <w:trPr>
          <w:trHeight w:hRule="exact" w:val="212"/>
        </w:trPr>
        <w:tc>
          <w:tcPr>
            <w:tcW w:type="dxa" w:w="1409"/>
            <w:vMerge/>
            <w:tcBorders>
              <w:bottom w:sz="4.0" w:val="single" w:color="#000000"/>
            </w:tcBorders>
          </w:tcPr>
          <w:p/>
        </w:tc>
        <w:tc>
          <w:tcPr>
            <w:tcW w:type="dxa" w:w="1409"/>
            <w:vMerge/>
            <w:tcBorders>
              <w:bottom w:sz="4.0" w:val="single" w:color="#000000"/>
            </w:tcBorders>
          </w:tcPr>
          <w:p/>
        </w:tc>
        <w:tc>
          <w:tcPr>
            <w:tcW w:type="dxa" w:w="1602"/>
            <w:tcBorders>
              <w:bottom w:sz="4.0" w:val="single" w:color="#000000"/>
            </w:tcBorders>
            <w:tcMar>
              <w:start w:w="0" w:type="dxa"/>
              <w:end w:w="0" w:type="dxa"/>
            </w:tcMar>
          </w:tcPr>
          <w:p>
            <w:pPr>
              <w:autoSpaceDN w:val="0"/>
              <w:autoSpaceDE w:val="0"/>
              <w:widowControl/>
              <w:spacing w:line="233" w:lineRule="auto" w:before="24" w:after="0"/>
              <w:ind w:left="0" w:right="230" w:firstLine="0"/>
              <w:jc w:val="right"/>
            </w:pPr>
            <w:r>
              <w:rPr>
                <w:rFonts w:ascii="Arial" w:hAnsi="Arial" w:eastAsia="Arial"/>
                <w:b w:val="0"/>
                <w:i w:val="0"/>
                <w:color w:val="000000"/>
                <w:sz w:val="16"/>
              </w:rPr>
              <w:t>61,742,469</w:t>
            </w:r>
          </w:p>
        </w:tc>
        <w:tc>
          <w:tcPr>
            <w:tcW w:type="dxa" w:w="1220"/>
            <w:tcBorders>
              <w:bottom w:sz="4.0" w:val="single" w:color="#00000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6"/>
              </w:rPr>
              <w:t>16,060,235</w:t>
            </w:r>
          </w:p>
        </w:tc>
        <w:tc>
          <w:tcPr>
            <w:tcW w:type="dxa" w:w="1684"/>
            <w:tcBorders>
              <w:bottom w:sz="4.0" w:val="single" w:color="#000000"/>
            </w:tcBorders>
            <w:tcMar>
              <w:start w:w="0" w:type="dxa"/>
              <w:end w:w="0" w:type="dxa"/>
            </w:tcMar>
          </w:tcPr>
          <w:p>
            <w:pPr>
              <w:autoSpaceDN w:val="0"/>
              <w:autoSpaceDE w:val="0"/>
              <w:widowControl/>
              <w:spacing w:line="233" w:lineRule="auto" w:before="24" w:after="0"/>
              <w:ind w:left="0" w:right="186" w:firstLine="0"/>
              <w:jc w:val="right"/>
            </w:pPr>
            <w:r>
              <w:rPr>
                <w:rFonts w:ascii="Arial" w:hAnsi="Arial" w:eastAsia="Arial"/>
                <w:b w:val="0"/>
                <w:i w:val="0"/>
                <w:color w:val="000000"/>
                <w:sz w:val="16"/>
              </w:rPr>
              <w:t xml:space="preserve">- </w:t>
            </w:r>
          </w:p>
        </w:tc>
        <w:tc>
          <w:tcPr>
            <w:tcW w:type="dxa" w:w="1450"/>
            <w:tcBorders>
              <w:bottom w:sz="4.0" w:val="single" w:color="#000000"/>
            </w:tcBorders>
            <w:tcMar>
              <w:start w:w="0" w:type="dxa"/>
              <w:end w:w="0" w:type="dxa"/>
            </w:tcMar>
          </w:tcPr>
          <w:p>
            <w:pPr>
              <w:autoSpaceDN w:val="0"/>
              <w:autoSpaceDE w:val="0"/>
              <w:widowControl/>
              <w:spacing w:line="233" w:lineRule="auto" w:before="24" w:after="0"/>
              <w:ind w:left="0" w:right="228" w:firstLine="0"/>
              <w:jc w:val="right"/>
            </w:pPr>
            <w:r>
              <w:rPr>
                <w:rFonts w:ascii="Arial" w:hAnsi="Arial" w:eastAsia="Arial"/>
                <w:b w:val="0"/>
                <w:i w:val="0"/>
                <w:color w:val="000000"/>
                <w:sz w:val="16"/>
              </w:rPr>
              <w:t>-</w:t>
            </w:r>
          </w:p>
        </w:tc>
        <w:tc>
          <w:tcPr>
            <w:tcW w:type="dxa" w:w="1454"/>
            <w:tcBorders>
              <w:bottom w:sz="4.0" w:val="single" w:color="#000000"/>
            </w:tcBorders>
            <w:tcMar>
              <w:start w:w="0" w:type="dxa"/>
              <w:end w:w="0" w:type="dxa"/>
            </w:tcMar>
          </w:tcPr>
          <w:p>
            <w:pPr>
              <w:autoSpaceDN w:val="0"/>
              <w:autoSpaceDE w:val="0"/>
              <w:widowControl/>
              <w:spacing w:line="233" w:lineRule="auto" w:before="24" w:after="0"/>
              <w:ind w:left="0" w:right="224" w:firstLine="0"/>
              <w:jc w:val="right"/>
            </w:pPr>
            <w:r>
              <w:rPr>
                <w:rFonts w:ascii="Arial" w:hAnsi="Arial" w:eastAsia="Arial"/>
                <w:b w:val="0"/>
                <w:i w:val="0"/>
                <w:color w:val="000000"/>
                <w:sz w:val="16"/>
              </w:rPr>
              <w:t>-</w:t>
            </w:r>
          </w:p>
        </w:tc>
        <w:tc>
          <w:tcPr>
            <w:tcW w:type="dxa" w:w="1046"/>
            <w:tcBorders>
              <w:bottom w:sz="4.0" w:val="single" w:color="#000000"/>
            </w:tcBorders>
            <w:tcMar>
              <w:start w:w="0" w:type="dxa"/>
              <w:end w:w="0" w:type="dxa"/>
            </w:tcMar>
          </w:tcPr>
          <w:p>
            <w:pPr>
              <w:autoSpaceDN w:val="0"/>
              <w:autoSpaceDE w:val="0"/>
              <w:widowControl/>
              <w:spacing w:line="233" w:lineRule="auto" w:before="24" w:after="0"/>
              <w:ind w:left="244" w:right="0" w:firstLine="0"/>
              <w:jc w:val="left"/>
            </w:pPr>
            <w:r>
              <w:rPr>
                <w:rFonts w:ascii="Arial" w:hAnsi="Arial" w:eastAsia="Arial"/>
                <w:b w:val="0"/>
                <w:i w:val="0"/>
                <w:color w:val="000000"/>
                <w:sz w:val="16"/>
              </w:rPr>
              <w:t>16,060,235</w:t>
            </w:r>
          </w:p>
        </w:tc>
        <w:tc>
          <w:tcPr>
            <w:tcW w:type="dxa" w:w="1414"/>
            <w:tcBorders>
              <w:bottom w:sz="4.0" w:val="single" w:color="#00000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6"/>
              </w:rPr>
              <w:t xml:space="preserve">- </w:t>
            </w:r>
          </w:p>
        </w:tc>
        <w:tc>
          <w:tcPr>
            <w:tcW w:type="dxa" w:w="1970"/>
            <w:tcBorders>
              <w:bottom w:sz="4.0" w:val="single" w:color="#000000"/>
            </w:tcBorders>
            <w:tcMar>
              <w:start w:w="0" w:type="dxa"/>
              <w:end w:w="0" w:type="dxa"/>
            </w:tcMar>
          </w:tcPr>
          <w:p>
            <w:pPr>
              <w:autoSpaceDN w:val="0"/>
              <w:autoSpaceDE w:val="0"/>
              <w:widowControl/>
              <w:spacing w:line="233" w:lineRule="auto" w:before="24" w:after="0"/>
              <w:ind w:left="0" w:right="108" w:firstLine="0"/>
              <w:jc w:val="right"/>
            </w:pPr>
            <w:r>
              <w:rPr>
                <w:rFonts w:ascii="Arial" w:hAnsi="Arial" w:eastAsia="Arial"/>
                <w:b w:val="0"/>
                <w:i w:val="0"/>
                <w:color w:val="000000"/>
                <w:sz w:val="16"/>
              </w:rPr>
              <w:t>77,802,704</w:t>
            </w:r>
          </w:p>
        </w:tc>
      </w:tr>
      <w:tr>
        <w:trPr>
          <w:trHeight w:hRule="exact" w:val="468"/>
        </w:trPr>
        <w:tc>
          <w:tcPr>
            <w:tcW w:type="dxa" w:w="440"/>
            <w:tcBorders>
              <w:top w:sz="4.0" w:val="single" w:color="#000000"/>
              <w:bottom w:sz="4.0" w:val="single" w:color="#000000"/>
            </w:tcBorders>
            <w:tcMar>
              <w:start w:w="0" w:type="dxa"/>
              <w:end w:w="0" w:type="dxa"/>
            </w:tcMar>
          </w:tcPr>
          <w:p>
            <w:pPr>
              <w:autoSpaceDN w:val="0"/>
              <w:autoSpaceDE w:val="0"/>
              <w:widowControl/>
              <w:spacing w:line="162" w:lineRule="exact" w:before="276" w:after="0"/>
              <w:ind w:left="0" w:right="0" w:firstLine="0"/>
              <w:jc w:val="left"/>
            </w:pPr>
            <w:r>
              <w:rPr>
                <w:rFonts w:ascii="黑体" w:hAnsi="黑体" w:eastAsia="黑体"/>
                <w:b w:val="0"/>
                <w:i w:val="0"/>
                <w:color w:val="000000"/>
                <w:sz w:val="16"/>
              </w:rPr>
              <w:t>小计</w:t>
            </w:r>
          </w:p>
        </w:tc>
        <w:tc>
          <w:tcPr>
            <w:tcW w:type="dxa" w:w="1800"/>
            <w:tcBorders>
              <w:top w:sz="4.0" w:val="single" w:color="#000000"/>
              <w:bottom w:sz="4.0" w:val="single" w:color="#000000"/>
            </w:tcBorders>
            <w:tcMar>
              <w:start w:w="0" w:type="dxa"/>
              <w:end w:w="0" w:type="dxa"/>
            </w:tcMar>
          </w:tcPr>
          <w:p/>
        </w:tc>
        <w:tc>
          <w:tcPr>
            <w:tcW w:type="dxa" w:w="1602"/>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230" w:firstLine="0"/>
              <w:jc w:val="right"/>
            </w:pPr>
            <w:r>
              <w:rPr>
                <w:rFonts w:ascii="Arial" w:hAnsi="Arial" w:eastAsia="Arial"/>
                <w:b w:val="0"/>
                <w:i w:val="0"/>
                <w:color w:val="000000"/>
                <w:sz w:val="16"/>
              </w:rPr>
              <w:t>36,477,515</w:t>
            </w:r>
          </w:p>
        </w:tc>
        <w:tc>
          <w:tcPr>
            <w:tcW w:type="dxa" w:w="122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0" w:firstLine="0"/>
              <w:jc w:val="right"/>
            </w:pPr>
            <w:r>
              <w:rPr>
                <w:rFonts w:ascii="Arial" w:hAnsi="Arial" w:eastAsia="Arial"/>
                <w:b w:val="0"/>
                <w:i w:val="0"/>
                <w:color w:val="000000"/>
                <w:sz w:val="16"/>
              </w:rPr>
              <w:t>34,024,860</w:t>
            </w:r>
          </w:p>
        </w:tc>
        <w:tc>
          <w:tcPr>
            <w:tcW w:type="dxa" w:w="1684"/>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32" w:firstLine="0"/>
              <w:jc w:val="right"/>
            </w:pPr>
            <w:r>
              <w:rPr>
                <w:rFonts w:ascii="Arial" w:hAnsi="Arial" w:eastAsia="Arial"/>
                <w:b w:val="0"/>
                <w:i w:val="0"/>
                <w:color w:val="000000"/>
                <w:sz w:val="16"/>
              </w:rPr>
              <w:t xml:space="preserve">(766,942 ) </w:t>
            </w:r>
          </w:p>
        </w:tc>
        <w:tc>
          <w:tcPr>
            <w:tcW w:type="dxa" w:w="145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228" w:firstLine="0"/>
              <w:jc w:val="right"/>
            </w:pPr>
            <w:r>
              <w:rPr>
                <w:rFonts w:ascii="Arial" w:hAnsi="Arial" w:eastAsia="Arial"/>
                <w:b w:val="0"/>
                <w:i w:val="0"/>
                <w:color w:val="000000"/>
                <w:sz w:val="16"/>
              </w:rPr>
              <w:t>-</w:t>
            </w:r>
          </w:p>
        </w:tc>
        <w:tc>
          <w:tcPr>
            <w:tcW w:type="dxa" w:w="1454"/>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30" w:firstLine="0"/>
              <w:jc w:val="right"/>
            </w:pPr>
            <w:r>
              <w:rPr>
                <w:rFonts w:ascii="Arial" w:hAnsi="Arial" w:eastAsia="Arial"/>
                <w:b w:val="0"/>
                <w:i w:val="0"/>
                <w:color w:val="000000"/>
                <w:sz w:val="16"/>
              </w:rPr>
              <w:t xml:space="preserve">(4,299,421) </w:t>
            </w:r>
          </w:p>
        </w:tc>
        <w:tc>
          <w:tcPr>
            <w:tcW w:type="dxa" w:w="1046"/>
            <w:tcBorders>
              <w:top w:sz="4.0" w:val="single" w:color="#000000"/>
              <w:bottom w:sz="4.0" w:val="single" w:color="#000000"/>
            </w:tcBorders>
            <w:tcMar>
              <w:start w:w="0" w:type="dxa"/>
              <w:end w:w="0" w:type="dxa"/>
            </w:tcMar>
          </w:tcPr>
          <w:p>
            <w:pPr>
              <w:autoSpaceDN w:val="0"/>
              <w:autoSpaceDE w:val="0"/>
              <w:widowControl/>
              <w:spacing w:line="230" w:lineRule="auto" w:before="280" w:after="0"/>
              <w:ind w:left="244" w:right="0" w:firstLine="0"/>
              <w:jc w:val="left"/>
            </w:pPr>
            <w:r>
              <w:rPr>
                <w:rFonts w:ascii="Arial" w:hAnsi="Arial" w:eastAsia="Arial"/>
                <w:b w:val="0"/>
                <w:i w:val="0"/>
                <w:color w:val="000000"/>
                <w:sz w:val="16"/>
              </w:rPr>
              <w:t>28,958,497</w:t>
            </w:r>
          </w:p>
        </w:tc>
        <w:tc>
          <w:tcPr>
            <w:tcW w:type="dxa" w:w="1414"/>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0" w:firstLine="0"/>
              <w:jc w:val="right"/>
            </w:pPr>
            <w:r>
              <w:rPr>
                <w:rFonts w:ascii="Arial" w:hAnsi="Arial" w:eastAsia="Arial"/>
                <w:b w:val="0"/>
                <w:i w:val="0"/>
                <w:color w:val="000000"/>
                <w:sz w:val="16"/>
              </w:rPr>
              <w:t xml:space="preserve">- </w:t>
            </w:r>
          </w:p>
        </w:tc>
        <w:tc>
          <w:tcPr>
            <w:tcW w:type="dxa" w:w="197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08" w:firstLine="0"/>
              <w:jc w:val="right"/>
            </w:pPr>
            <w:r>
              <w:rPr>
                <w:rFonts w:ascii="Arial" w:hAnsi="Arial" w:eastAsia="Arial"/>
                <w:b w:val="0"/>
                <w:i w:val="0"/>
                <w:color w:val="000000"/>
                <w:sz w:val="16"/>
              </w:rPr>
              <w:t>65,436,012</w:t>
            </w:r>
          </w:p>
        </w:tc>
      </w:tr>
      <w:tr>
        <w:trPr>
          <w:trHeight w:hRule="exact" w:val="476"/>
        </w:trPr>
        <w:tc>
          <w:tcPr>
            <w:tcW w:type="dxa" w:w="440"/>
            <w:tcBorders>
              <w:top w:sz="4.0" w:val="single" w:color="#000000"/>
              <w:bottom w:sz="4.0" w:val="single" w:color="#000000"/>
            </w:tcBorders>
            <w:tcMar>
              <w:start w:w="0" w:type="dxa"/>
              <w:end w:w="0" w:type="dxa"/>
            </w:tcMar>
          </w:tcPr>
          <w:p>
            <w:pPr>
              <w:autoSpaceDN w:val="0"/>
              <w:autoSpaceDE w:val="0"/>
              <w:widowControl/>
              <w:spacing w:line="160" w:lineRule="exact" w:before="278" w:after="0"/>
              <w:ind w:left="0" w:right="0" w:firstLine="0"/>
              <w:jc w:val="left"/>
            </w:pPr>
            <w:r>
              <w:rPr>
                <w:rFonts w:ascii="黑体" w:hAnsi="黑体" w:eastAsia="黑体"/>
                <w:b w:val="0"/>
                <w:i w:val="0"/>
                <w:color w:val="000000"/>
                <w:sz w:val="16"/>
              </w:rPr>
              <w:t>合计</w:t>
            </w:r>
          </w:p>
        </w:tc>
        <w:tc>
          <w:tcPr>
            <w:tcW w:type="dxa" w:w="1800"/>
            <w:tcBorders>
              <w:top w:sz="4.0" w:val="single" w:color="#000000"/>
              <w:bottom w:sz="4.0" w:val="single" w:color="#000000"/>
            </w:tcBorders>
            <w:tcMar>
              <w:start w:w="0" w:type="dxa"/>
              <w:end w:w="0" w:type="dxa"/>
            </w:tcMar>
          </w:tcPr>
          <w:p/>
        </w:tc>
        <w:tc>
          <w:tcPr>
            <w:tcW w:type="dxa" w:w="1602"/>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132" w:firstLine="0"/>
              <w:jc w:val="right"/>
            </w:pPr>
            <w:r>
              <w:rPr>
                <w:rFonts w:ascii="Arial" w:hAnsi="Arial" w:eastAsia="Arial"/>
                <w:b w:val="0"/>
                <w:i w:val="0"/>
                <w:color w:val="000000"/>
                <w:sz w:val="16"/>
              </w:rPr>
              <w:t xml:space="preserve">(79,534,061) </w:t>
            </w:r>
          </w:p>
        </w:tc>
        <w:tc>
          <w:tcPr>
            <w:tcW w:type="dxa" w:w="1220"/>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0" w:firstLine="0"/>
              <w:jc w:val="right"/>
            </w:pPr>
            <w:r>
              <w:rPr>
                <w:rFonts w:ascii="Arial" w:hAnsi="Arial" w:eastAsia="Arial"/>
                <w:b w:val="0"/>
                <w:i w:val="0"/>
                <w:color w:val="000000"/>
                <w:sz w:val="16"/>
              </w:rPr>
              <w:t>14,081,440</w:t>
            </w:r>
          </w:p>
        </w:tc>
        <w:tc>
          <w:tcPr>
            <w:tcW w:type="dxa" w:w="1684"/>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132" w:firstLine="0"/>
              <w:jc w:val="right"/>
            </w:pPr>
            <w:r>
              <w:rPr>
                <w:rFonts w:ascii="Arial" w:hAnsi="Arial" w:eastAsia="Arial"/>
                <w:b w:val="0"/>
                <w:i w:val="0"/>
                <w:color w:val="000000"/>
                <w:sz w:val="16"/>
              </w:rPr>
              <w:t xml:space="preserve">(766,942 ) </w:t>
            </w:r>
          </w:p>
        </w:tc>
        <w:tc>
          <w:tcPr>
            <w:tcW w:type="dxa" w:w="1450"/>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132" w:firstLine="0"/>
              <w:jc w:val="right"/>
            </w:pPr>
            <w:r>
              <w:rPr>
                <w:rFonts w:ascii="Arial" w:hAnsi="Arial" w:eastAsia="Arial"/>
                <w:b w:val="0"/>
                <w:i w:val="0"/>
                <w:color w:val="000000"/>
                <w:sz w:val="16"/>
              </w:rPr>
              <w:t xml:space="preserve">(65,252) </w:t>
            </w:r>
          </w:p>
        </w:tc>
        <w:tc>
          <w:tcPr>
            <w:tcW w:type="dxa" w:w="1454"/>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226" w:firstLine="0"/>
              <w:jc w:val="right"/>
            </w:pPr>
            <w:r>
              <w:rPr>
                <w:rFonts w:ascii="Arial" w:hAnsi="Arial" w:eastAsia="Arial"/>
                <w:b w:val="0"/>
                <w:i w:val="0"/>
                <w:color w:val="000000"/>
                <w:sz w:val="16"/>
              </w:rPr>
              <w:t>702,747</w:t>
            </w:r>
          </w:p>
        </w:tc>
        <w:tc>
          <w:tcPr>
            <w:tcW w:type="dxa" w:w="1046"/>
            <w:tcBorders>
              <w:top w:sz="4.0" w:val="single" w:color="#000000"/>
              <w:bottom w:sz="4.0" w:val="single" w:color="#000000"/>
            </w:tcBorders>
            <w:tcMar>
              <w:start w:w="0" w:type="dxa"/>
              <w:end w:w="0" w:type="dxa"/>
            </w:tcMar>
          </w:tcPr>
          <w:p>
            <w:pPr>
              <w:autoSpaceDN w:val="0"/>
              <w:autoSpaceDE w:val="0"/>
              <w:widowControl/>
              <w:spacing w:line="230" w:lineRule="auto" w:before="278" w:after="0"/>
              <w:ind w:left="244" w:right="0" w:firstLine="0"/>
              <w:jc w:val="left"/>
            </w:pPr>
            <w:r>
              <w:rPr>
                <w:rFonts w:ascii="Arial" w:hAnsi="Arial" w:eastAsia="Arial"/>
                <w:b w:val="0"/>
                <w:i w:val="0"/>
                <w:color w:val="000000"/>
                <w:sz w:val="16"/>
              </w:rPr>
              <w:t>13,951,993</w:t>
            </w:r>
          </w:p>
        </w:tc>
        <w:tc>
          <w:tcPr>
            <w:tcW w:type="dxa" w:w="1414"/>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0" w:firstLine="0"/>
              <w:jc w:val="right"/>
            </w:pPr>
            <w:r>
              <w:rPr>
                <w:rFonts w:ascii="Arial" w:hAnsi="Arial" w:eastAsia="Arial"/>
                <w:b w:val="0"/>
                <w:i w:val="0"/>
                <w:color w:val="000000"/>
                <w:sz w:val="16"/>
              </w:rPr>
              <w:t xml:space="preserve">- </w:t>
            </w:r>
          </w:p>
        </w:tc>
        <w:tc>
          <w:tcPr>
            <w:tcW w:type="dxa" w:w="1970"/>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10" w:firstLine="0"/>
              <w:jc w:val="right"/>
            </w:pPr>
            <w:r>
              <w:rPr>
                <w:rFonts w:ascii="Arial" w:hAnsi="Arial" w:eastAsia="Arial"/>
                <w:b w:val="0"/>
                <w:i w:val="0"/>
                <w:color w:val="000000"/>
                <w:sz w:val="16"/>
              </w:rPr>
              <w:t xml:space="preserve">(65,582,068) </w:t>
            </w:r>
          </w:p>
        </w:tc>
      </w:tr>
      <w:tr>
        <w:trPr>
          <w:trHeight w:hRule="exact" w:val="46"/>
        </w:trPr>
        <w:tc>
          <w:tcPr>
            <w:tcW w:type="dxa" w:w="440"/>
            <w:tcBorders>
              <w:top w:sz="4.0" w:val="single" w:color="#000000"/>
            </w:tcBorders>
            <w:tcMar>
              <w:start w:w="0" w:type="dxa"/>
              <w:end w:w="0" w:type="dxa"/>
            </w:tcMar>
          </w:tcPr>
          <w:p/>
        </w:tc>
        <w:tc>
          <w:tcPr>
            <w:tcW w:type="dxa" w:w="1800"/>
            <w:tcBorders>
              <w:top w:sz="4.0" w:val="single" w:color="#000000"/>
            </w:tcBorders>
            <w:tcMar>
              <w:start w:w="0" w:type="dxa"/>
              <w:end w:w="0" w:type="dxa"/>
            </w:tcMar>
          </w:tcPr>
          <w:p/>
        </w:tc>
        <w:tc>
          <w:tcPr>
            <w:tcW w:type="dxa" w:w="1602"/>
            <w:tcBorders>
              <w:top w:sz="4.0" w:val="single" w:color="#000000"/>
            </w:tcBorders>
            <w:tcMar>
              <w:start w:w="0" w:type="dxa"/>
              <w:end w:w="0" w:type="dxa"/>
            </w:tcMar>
          </w:tcPr>
          <w:p/>
        </w:tc>
        <w:tc>
          <w:tcPr>
            <w:tcW w:type="dxa" w:w="1220"/>
            <w:tcBorders>
              <w:top w:sz="4.0" w:val="single" w:color="#000000"/>
            </w:tcBorders>
            <w:tcMar>
              <w:start w:w="0" w:type="dxa"/>
              <w:end w:w="0" w:type="dxa"/>
            </w:tcMar>
          </w:tcPr>
          <w:p/>
        </w:tc>
        <w:tc>
          <w:tcPr>
            <w:tcW w:type="dxa" w:w="1684"/>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454"/>
            <w:tcBorders>
              <w:top w:sz="4.0" w:val="single" w:color="#000000"/>
            </w:tcBorders>
            <w:tcMar>
              <w:start w:w="0" w:type="dxa"/>
              <w:end w:w="0" w:type="dxa"/>
            </w:tcMar>
          </w:tcPr>
          <w:p/>
        </w:tc>
        <w:tc>
          <w:tcPr>
            <w:tcW w:type="dxa" w:w="1046"/>
            <w:tcBorders>
              <w:top w:sz="4.0" w:val="single" w:color="#000000"/>
            </w:tcBorders>
            <w:tcMar>
              <w:start w:w="0" w:type="dxa"/>
              <w:end w:w="0" w:type="dxa"/>
            </w:tcMar>
          </w:tcPr>
          <w:p/>
        </w:tc>
        <w:tc>
          <w:tcPr>
            <w:tcW w:type="dxa" w:w="1414"/>
            <w:tcBorders>
              <w:top w:sz="4.0" w:val="single" w:color="#000000"/>
            </w:tcBorders>
            <w:tcMar>
              <w:start w:w="0" w:type="dxa"/>
              <w:end w:w="0" w:type="dxa"/>
            </w:tcMar>
          </w:tcPr>
          <w:p/>
        </w:tc>
        <w:tc>
          <w:tcPr>
            <w:tcW w:type="dxa" w:w="1970"/>
            <w:tcBorders>
              <w:top w:sz="4.0" w:val="single" w:color="#000000"/>
            </w:tcBorders>
            <w:tcMar>
              <w:start w:w="0" w:type="dxa"/>
              <w:end w:w="0" w:type="dxa"/>
            </w:tcMar>
          </w:tcPr>
          <w:p/>
        </w:tc>
      </w:tr>
    </w:tbl>
    <w:p>
      <w:pPr>
        <w:autoSpaceDN w:val="0"/>
        <w:autoSpaceDE w:val="0"/>
        <w:widowControl/>
        <w:spacing w:line="233" w:lineRule="auto" w:before="2208" w:after="0"/>
        <w:ind w:left="0" w:right="0" w:firstLine="0"/>
        <w:jc w:val="center"/>
      </w:pPr>
      <w:r>
        <w:rPr>
          <w:rFonts w:ascii="Arial" w:hAnsi="Arial" w:eastAsia="Arial"/>
          <w:b w:val="0"/>
          <w:i w:val="0"/>
          <w:color w:val="000000"/>
          <w:sz w:val="20"/>
        </w:rPr>
        <w:t xml:space="preserve">231 </w:t>
      </w:r>
    </w:p>
    <w:p>
      <w:pPr>
        <w:sectPr>
          <w:pgSz w:w="16841" w:h="11906"/>
          <w:pgMar w:top="1166" w:right="1310" w:bottom="362" w:left="1440" w:header="720" w:footer="720" w:gutter="0"/>
          <w:cols/>
          <w:docGrid w:linePitch="360"/>
        </w:sectPr>
      </w:pPr>
    </w:p>
    <w:p>
      <w:pPr>
        <w:autoSpaceDN w:val="0"/>
        <w:autoSpaceDE w:val="0"/>
        <w:widowControl/>
        <w:spacing w:line="220" w:lineRule="exact" w:before="0" w:after="962"/>
        <w:ind w:left="0" w:right="0"/>
      </w:pPr>
    </w:p>
    <w:p>
      <w:pPr>
        <w:autoSpaceDN w:val="0"/>
        <w:tabs>
          <w:tab w:pos="714" w:val="left"/>
        </w:tabs>
        <w:autoSpaceDE w:val="0"/>
        <w:widowControl/>
        <w:spacing w:line="222" w:lineRule="exact" w:before="0" w:after="0"/>
        <w:ind w:left="0" w:right="0" w:firstLine="0"/>
        <w:jc w:val="left"/>
      </w:pPr>
      <w:r>
        <w:rPr>
          <w:rFonts w:ascii="黑体" w:hAnsi="黑体" w:eastAsia="黑体"/>
          <w:b w:val="0"/>
          <w:i w:val="0"/>
          <w:color w:val="000000"/>
          <w:sz w:val="22"/>
        </w:rPr>
        <w:t>五、</w:t>
      </w:r>
      <w:r>
        <w:tab/>
      </w:r>
      <w:r>
        <w:rPr>
          <w:rFonts w:ascii="黑体" w:hAnsi="黑体" w:eastAsia="黑体"/>
          <w:b w:val="0"/>
          <w:i w:val="0"/>
          <w:color w:val="000000"/>
          <w:sz w:val="22"/>
        </w:rPr>
        <w:t>合并财务报表主要项目注释（续）</w:t>
      </w:r>
    </w:p>
    <w:p>
      <w:pPr>
        <w:autoSpaceDN w:val="0"/>
        <w:tabs>
          <w:tab w:pos="720" w:val="left"/>
        </w:tabs>
        <w:autoSpaceDE w:val="0"/>
        <w:widowControl/>
        <w:spacing w:line="222" w:lineRule="exact" w:before="330" w:after="0"/>
        <w:ind w:left="0" w:right="0" w:firstLine="0"/>
        <w:jc w:val="left"/>
      </w:pPr>
      <w:r>
        <w:rPr>
          <w:rFonts w:ascii="黑体" w:hAnsi="黑体" w:eastAsia="黑体"/>
          <w:b w:val="0"/>
          <w:i w:val="0"/>
          <w:color w:val="000000"/>
          <w:sz w:val="22"/>
        </w:rPr>
        <w:t xml:space="preserve">35. </w:t>
      </w:r>
      <w:r>
        <w:tab/>
      </w:r>
      <w:r>
        <w:rPr>
          <w:rFonts w:ascii="黑体" w:hAnsi="黑体" w:eastAsia="黑体"/>
          <w:b w:val="0"/>
          <w:i w:val="0"/>
          <w:color w:val="000000"/>
          <w:sz w:val="22"/>
        </w:rPr>
        <w:t xml:space="preserve">其他综合收益（续） </w:t>
      </w:r>
    </w:p>
    <w:p>
      <w:pPr>
        <w:autoSpaceDN w:val="0"/>
        <w:autoSpaceDE w:val="0"/>
        <w:widowControl/>
        <w:spacing w:line="162" w:lineRule="exact" w:before="348" w:after="24"/>
        <w:ind w:left="0" w:right="5704" w:firstLine="0"/>
        <w:jc w:val="right"/>
      </w:pPr>
      <w:r>
        <w:rPr>
          <w:rFonts w:ascii="黑体" w:hAnsi="黑体" w:eastAsia="黑体"/>
          <w:b w:val="0"/>
          <w:i w:val="0"/>
          <w:color w:val="000000"/>
          <w:sz w:val="16"/>
        </w:rPr>
        <w:t>本年发生额</w:t>
      </w:r>
    </w:p>
    <w:tbl>
      <w:tblPr>
        <w:tblW w:type="auto" w:w="0"/>
        <w:tblLayout w:type="fixed"/>
        <w:tblLook w:firstColumn="1" w:firstRow="1" w:lastColumn="0" w:lastRow="0" w:noHBand="0" w:noVBand="1" w:val="04A0"/>
        <w:tblInd w:w="0.0" w:type="dxa"/>
      </w:tblPr>
      <w:tblGrid>
        <w:gridCol w:w="1564"/>
        <w:gridCol w:w="1564"/>
        <w:gridCol w:w="1564"/>
        <w:gridCol w:w="1564"/>
        <w:gridCol w:w="1564"/>
        <w:gridCol w:w="1564"/>
        <w:gridCol w:w="1564"/>
        <w:gridCol w:w="1564"/>
        <w:gridCol w:w="1564"/>
      </w:tblGrid>
      <w:tr>
        <w:trPr>
          <w:trHeight w:hRule="exact" w:val="185"/>
        </w:trPr>
        <w:tc>
          <w:tcPr>
            <w:tcW w:type="dxa" w:w="2234"/>
            <w:vMerge w:val="restart"/>
            <w:tcBorders>
              <w:top w:sz="4.0"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162" w:lineRule="exact" w:before="438" w:after="0"/>
              <w:ind w:left="0" w:right="0" w:firstLine="0"/>
              <w:jc w:val="left"/>
            </w:pPr>
            <w:r>
              <w:rPr>
                <w:rFonts w:ascii="黑体" w:hAnsi="黑体" w:eastAsia="黑体"/>
                <w:b w:val="0"/>
                <w:i w:val="0"/>
                <w:color w:val="000000"/>
                <w:sz w:val="16"/>
              </w:rPr>
              <w:t>项目</w:t>
            </w:r>
          </w:p>
        </w:tc>
        <w:tc>
          <w:tcPr>
            <w:tcW w:type="dxa" w:w="1600"/>
            <w:tcBorders/>
            <w:tcMar>
              <w:start w:w="0" w:type="dxa"/>
              <w:end w:w="0" w:type="dxa"/>
            </w:tcMar>
          </w:tcPr>
          <w:p>
            <w:pPr>
              <w:autoSpaceDN w:val="0"/>
              <w:autoSpaceDE w:val="0"/>
              <w:widowControl/>
              <w:spacing w:line="180" w:lineRule="exact" w:before="4" w:after="0"/>
              <w:ind w:left="358" w:right="0" w:firstLine="0"/>
              <w:jc w:val="lef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w:t>
            </w:r>
            <w:r>
              <w:rPr>
                <w:rFonts w:ascii="黑体" w:hAnsi="黑体" w:eastAsia="黑体"/>
                <w:b w:val="0"/>
                <w:i w:val="0"/>
                <w:color w:val="000000"/>
                <w:sz w:val="16"/>
              </w:rPr>
              <w:t>月</w:t>
            </w:r>
            <w:r>
              <w:rPr>
                <w:rFonts w:ascii="Arial" w:hAnsi="Arial" w:eastAsia="Arial"/>
                <w:b w:val="0"/>
                <w:i w:val="0"/>
                <w:color w:val="000000"/>
                <w:sz w:val="16"/>
              </w:rPr>
              <w:t>1</w:t>
            </w:r>
            <w:r>
              <w:rPr>
                <w:rFonts w:ascii="黑体" w:hAnsi="黑体" w:eastAsia="黑体"/>
                <w:b w:val="0"/>
                <w:i w:val="0"/>
                <w:color w:val="000000"/>
                <w:sz w:val="16"/>
              </w:rPr>
              <w:t>日</w:t>
            </w:r>
          </w:p>
        </w:tc>
        <w:tc>
          <w:tcPr>
            <w:tcW w:type="dxa" w:w="1334"/>
            <w:vMerge w:val="restart"/>
            <w:tcBorders/>
            <w:tcMar>
              <w:start w:w="0" w:type="dxa"/>
              <w:end w:w="0" w:type="dxa"/>
            </w:tcMar>
            <w:tcMar>
              <w:start w:w="0" w:type="dxa"/>
              <w:end w:w="0" w:type="dxa"/>
            </w:tcMar>
          </w:tcPr>
          <w:p>
            <w:pPr>
              <w:autoSpaceDN w:val="0"/>
              <w:autoSpaceDE w:val="0"/>
              <w:widowControl/>
              <w:spacing w:line="160" w:lineRule="exact" w:before="238" w:after="0"/>
              <w:ind w:left="0" w:right="110" w:firstLine="0"/>
              <w:jc w:val="right"/>
            </w:pPr>
            <w:r>
              <w:rPr>
                <w:rFonts w:ascii="黑体" w:hAnsi="黑体" w:eastAsia="黑体"/>
                <w:b w:val="0"/>
                <w:i w:val="0"/>
                <w:color w:val="000000"/>
                <w:sz w:val="16"/>
              </w:rPr>
              <w:t>本年所得</w:t>
            </w:r>
          </w:p>
        </w:tc>
        <w:tc>
          <w:tcPr>
            <w:tcW w:type="dxa" w:w="1340"/>
            <w:tcBorders/>
            <w:tcMar>
              <w:start w:w="0" w:type="dxa"/>
              <w:end w:w="0" w:type="dxa"/>
            </w:tcMar>
          </w:tcPr>
          <w:p>
            <w:pPr>
              <w:autoSpaceDN w:val="0"/>
              <w:autoSpaceDE w:val="0"/>
              <w:widowControl/>
              <w:spacing w:line="160" w:lineRule="exact" w:before="24" w:after="0"/>
              <w:ind w:left="218" w:right="0" w:firstLine="0"/>
              <w:jc w:val="left"/>
            </w:pPr>
            <w:r>
              <w:rPr>
                <w:rFonts w:ascii="黑体" w:hAnsi="黑体" w:eastAsia="黑体"/>
                <w:b w:val="0"/>
                <w:i w:val="0"/>
                <w:color w:val="000000"/>
                <w:sz w:val="16"/>
              </w:rPr>
              <w:t>前期计入其他综</w:t>
            </w:r>
          </w:p>
        </w:tc>
        <w:tc>
          <w:tcPr>
            <w:tcW w:type="dxa" w:w="1450"/>
            <w:tcBorders/>
            <w:tcMar>
              <w:start w:w="0" w:type="dxa"/>
              <w:end w:w="0" w:type="dxa"/>
            </w:tcMar>
          </w:tcPr>
          <w:p>
            <w:pPr>
              <w:autoSpaceDN w:val="0"/>
              <w:autoSpaceDE w:val="0"/>
              <w:widowControl/>
              <w:spacing w:line="160" w:lineRule="exact" w:before="24" w:after="0"/>
              <w:ind w:left="328" w:right="0" w:firstLine="0"/>
              <w:jc w:val="left"/>
            </w:pPr>
            <w:r>
              <w:rPr>
                <w:rFonts w:ascii="黑体" w:hAnsi="黑体" w:eastAsia="黑体"/>
                <w:b w:val="0"/>
                <w:i w:val="0"/>
                <w:color w:val="000000"/>
                <w:sz w:val="16"/>
              </w:rPr>
              <w:t>前期计入其他综</w:t>
            </w:r>
          </w:p>
        </w:tc>
        <w:tc>
          <w:tcPr>
            <w:tcW w:type="dxa" w:w="1454"/>
            <w:vMerge w:val="restart"/>
            <w:tcBorders/>
            <w:tcMar>
              <w:start w:w="0" w:type="dxa"/>
              <w:end w:w="0" w:type="dxa"/>
            </w:tcMar>
            <w:tcMar>
              <w:start w:w="0" w:type="dxa"/>
              <w:end w:w="0" w:type="dxa"/>
            </w:tcMar>
            <w:tcMar>
              <w:start w:w="0" w:type="dxa"/>
              <w:end w:w="0" w:type="dxa"/>
            </w:tcMar>
          </w:tcPr>
          <w:p>
            <w:pPr>
              <w:autoSpaceDN w:val="0"/>
              <w:autoSpaceDE w:val="0"/>
              <w:widowControl/>
              <w:spacing w:line="162" w:lineRule="exact" w:before="444" w:after="0"/>
              <w:ind w:left="0" w:right="0" w:firstLine="0"/>
              <w:jc w:val="right"/>
            </w:pPr>
            <w:r>
              <w:rPr>
                <w:rFonts w:ascii="黑体" w:hAnsi="黑体" w:eastAsia="黑体"/>
                <w:b w:val="0"/>
                <w:i w:val="0"/>
                <w:color w:val="000000"/>
                <w:sz w:val="16"/>
              </w:rPr>
              <w:t>所得税影响</w:t>
            </w:r>
          </w:p>
        </w:tc>
        <w:tc>
          <w:tcPr>
            <w:tcW w:type="dxa" w:w="1272"/>
            <w:vMerge w:val="restart"/>
            <w:tcBorders/>
            <w:tcMar>
              <w:start w:w="0" w:type="dxa"/>
              <w:end w:w="0" w:type="dxa"/>
            </w:tcMar>
            <w:tcMar>
              <w:start w:w="0" w:type="dxa"/>
              <w:end w:w="0" w:type="dxa"/>
            </w:tcMar>
          </w:tcPr>
          <w:p>
            <w:pPr>
              <w:autoSpaceDN w:val="0"/>
              <w:autoSpaceDE w:val="0"/>
              <w:widowControl/>
              <w:spacing w:line="160" w:lineRule="exact" w:before="238" w:after="0"/>
              <w:ind w:left="0" w:right="0" w:firstLine="0"/>
              <w:jc w:val="right"/>
            </w:pPr>
            <w:r>
              <w:rPr>
                <w:rFonts w:ascii="黑体" w:hAnsi="黑体" w:eastAsia="黑体"/>
                <w:b w:val="0"/>
                <w:i w:val="0"/>
                <w:color w:val="000000"/>
                <w:sz w:val="16"/>
              </w:rPr>
              <w:t>税后归属于</w:t>
            </w:r>
          </w:p>
        </w:tc>
        <w:tc>
          <w:tcPr>
            <w:tcW w:type="dxa" w:w="1418"/>
            <w:vMerge w:val="restart"/>
            <w:tcBorders/>
            <w:tcMar>
              <w:start w:w="0" w:type="dxa"/>
              <w:end w:w="0" w:type="dxa"/>
            </w:tcMar>
            <w:tcMar>
              <w:start w:w="0" w:type="dxa"/>
              <w:end w:w="0" w:type="dxa"/>
            </w:tcMar>
          </w:tcPr>
          <w:p>
            <w:pPr>
              <w:autoSpaceDN w:val="0"/>
              <w:autoSpaceDE w:val="0"/>
              <w:widowControl/>
              <w:spacing w:line="160" w:lineRule="exact" w:before="238" w:after="0"/>
              <w:ind w:left="0" w:right="0" w:firstLine="0"/>
              <w:jc w:val="right"/>
            </w:pPr>
            <w:r>
              <w:rPr>
                <w:rFonts w:ascii="黑体" w:hAnsi="黑体" w:eastAsia="黑体"/>
                <w:b w:val="0"/>
                <w:i w:val="0"/>
                <w:color w:val="000000"/>
                <w:sz w:val="16"/>
              </w:rPr>
              <w:t>税后归属于</w:t>
            </w:r>
          </w:p>
        </w:tc>
        <w:tc>
          <w:tcPr>
            <w:tcW w:type="dxa" w:w="1854"/>
            <w:tcBorders/>
            <w:tcMar>
              <w:start w:w="0" w:type="dxa"/>
              <w:end w:w="0" w:type="dxa"/>
            </w:tcMar>
          </w:tcPr>
          <w:p>
            <w:pPr>
              <w:autoSpaceDN w:val="0"/>
              <w:autoSpaceDE w:val="0"/>
              <w:widowControl/>
              <w:spacing w:line="180" w:lineRule="exact" w:before="4" w:after="0"/>
              <w:ind w:left="0" w:right="0"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c>
      </w:tr>
      <w:tr>
        <w:trPr>
          <w:trHeight w:hRule="exact" w:val="220"/>
        </w:trPr>
        <w:tc>
          <w:tcPr>
            <w:tcW w:type="dxa" w:w="1564"/>
            <w:vMerge/>
            <w:tcBorders>
              <w:top w:sz="4.0" w:val="single" w:color="#000000"/>
              <w:bottom w:sz="4.0" w:val="single" w:color="#000000"/>
            </w:tcBorders>
          </w:tcPr>
          <w:p/>
        </w:tc>
        <w:tc>
          <w:tcPr>
            <w:tcW w:type="dxa" w:w="1600"/>
            <w:tcBorders/>
            <w:tcMar>
              <w:start w:w="0" w:type="dxa"/>
              <w:end w:w="0" w:type="dxa"/>
            </w:tcMar>
          </w:tcPr>
          <w:p>
            <w:pPr>
              <w:autoSpaceDN w:val="0"/>
              <w:autoSpaceDE w:val="0"/>
              <w:widowControl/>
              <w:spacing w:line="160" w:lineRule="exact" w:before="54" w:after="0"/>
              <w:ind w:left="92" w:right="0" w:firstLine="0"/>
              <w:jc w:val="left"/>
            </w:pPr>
            <w:r>
              <w:rPr>
                <w:rFonts w:ascii="黑体" w:hAnsi="黑体" w:eastAsia="黑体"/>
                <w:b w:val="0"/>
                <w:i w:val="0"/>
                <w:color w:val="000000"/>
                <w:sz w:val="16"/>
              </w:rPr>
              <w:t>归属于母公司股东</w:t>
            </w:r>
          </w:p>
        </w:tc>
        <w:tc>
          <w:tcPr>
            <w:tcW w:type="dxa" w:w="1564"/>
            <w:vMerge/>
            <w:tcBorders/>
          </w:tcPr>
          <w:p/>
        </w:tc>
        <w:tc>
          <w:tcPr>
            <w:tcW w:type="dxa" w:w="1340"/>
            <w:tcBorders/>
            <w:tcMar>
              <w:start w:w="0" w:type="dxa"/>
              <w:end w:w="0" w:type="dxa"/>
            </w:tcMar>
          </w:tcPr>
          <w:p>
            <w:pPr>
              <w:autoSpaceDN w:val="0"/>
              <w:autoSpaceDE w:val="0"/>
              <w:widowControl/>
              <w:spacing w:line="160" w:lineRule="exact" w:before="54" w:after="0"/>
              <w:ind w:left="0" w:right="0" w:firstLine="0"/>
              <w:jc w:val="right"/>
            </w:pPr>
            <w:r>
              <w:rPr>
                <w:rFonts w:ascii="黑体" w:hAnsi="黑体" w:eastAsia="黑体"/>
                <w:b w:val="0"/>
                <w:i w:val="0"/>
                <w:color w:val="000000"/>
                <w:sz w:val="16"/>
              </w:rPr>
              <w:t>合收益当期</w:t>
            </w:r>
          </w:p>
        </w:tc>
        <w:tc>
          <w:tcPr>
            <w:tcW w:type="dxa" w:w="1450"/>
            <w:tcBorders/>
            <w:tcMar>
              <w:start w:w="0" w:type="dxa"/>
              <w:end w:w="0" w:type="dxa"/>
            </w:tcMar>
          </w:tcPr>
          <w:p>
            <w:pPr>
              <w:autoSpaceDN w:val="0"/>
              <w:autoSpaceDE w:val="0"/>
              <w:widowControl/>
              <w:spacing w:line="160" w:lineRule="exact" w:before="54" w:after="0"/>
              <w:ind w:left="0" w:right="0" w:firstLine="0"/>
              <w:jc w:val="right"/>
            </w:pPr>
            <w:r>
              <w:rPr>
                <w:rFonts w:ascii="黑体" w:hAnsi="黑体" w:eastAsia="黑体"/>
                <w:b w:val="0"/>
                <w:i w:val="0"/>
                <w:color w:val="000000"/>
                <w:sz w:val="16"/>
              </w:rPr>
              <w:t>合收益当期</w:t>
            </w:r>
          </w:p>
        </w:tc>
        <w:tc>
          <w:tcPr>
            <w:tcW w:type="dxa" w:w="1564"/>
            <w:vMerge/>
            <w:tcBorders/>
          </w:tcPr>
          <w:p/>
        </w:tc>
        <w:tc>
          <w:tcPr>
            <w:tcW w:type="dxa" w:w="1564"/>
            <w:vMerge/>
            <w:tcBorders/>
          </w:tcPr>
          <w:p/>
        </w:tc>
        <w:tc>
          <w:tcPr>
            <w:tcW w:type="dxa" w:w="1564"/>
            <w:vMerge/>
            <w:tcBorders/>
          </w:tcPr>
          <w:p/>
        </w:tc>
        <w:tc>
          <w:tcPr>
            <w:tcW w:type="dxa" w:w="1854"/>
            <w:tcBorders/>
            <w:tcMar>
              <w:start w:w="0" w:type="dxa"/>
              <w:end w:w="0" w:type="dxa"/>
            </w:tcMar>
          </w:tcPr>
          <w:p>
            <w:pPr>
              <w:autoSpaceDN w:val="0"/>
              <w:autoSpaceDE w:val="0"/>
              <w:widowControl/>
              <w:spacing w:line="160" w:lineRule="exact" w:before="54" w:after="0"/>
              <w:ind w:left="0" w:right="0" w:firstLine="0"/>
              <w:jc w:val="right"/>
            </w:pPr>
            <w:r>
              <w:rPr>
                <w:rFonts w:ascii="黑体" w:hAnsi="黑体" w:eastAsia="黑体"/>
                <w:b w:val="0"/>
                <w:i w:val="0"/>
                <w:color w:val="000000"/>
                <w:sz w:val="16"/>
              </w:rPr>
              <w:t>归属于母公司股东</w:t>
            </w:r>
          </w:p>
        </w:tc>
      </w:tr>
      <w:tr>
        <w:trPr>
          <w:trHeight w:hRule="exact" w:val="245"/>
        </w:trPr>
        <w:tc>
          <w:tcPr>
            <w:tcW w:type="dxa" w:w="1564"/>
            <w:vMerge/>
            <w:tcBorders>
              <w:top w:sz="4.0" w:val="single" w:color="#000000"/>
              <w:bottom w:sz="4.0" w:val="single" w:color="#000000"/>
            </w:tcBorders>
          </w:tcPr>
          <w:p/>
        </w:tc>
        <w:tc>
          <w:tcPr>
            <w:tcW w:type="dxa" w:w="1600"/>
            <w:tcBorders/>
            <w:tcMar>
              <w:start w:w="0" w:type="dxa"/>
              <w:end w:w="0" w:type="dxa"/>
            </w:tcMar>
          </w:tcPr>
          <w:p>
            <w:pPr>
              <w:autoSpaceDN w:val="0"/>
              <w:autoSpaceDE w:val="0"/>
              <w:widowControl/>
              <w:spacing w:line="162" w:lineRule="exact" w:before="40" w:after="0"/>
              <w:ind w:left="0" w:right="0" w:firstLine="0"/>
              <w:jc w:val="center"/>
            </w:pPr>
            <w:r>
              <w:rPr>
                <w:rFonts w:ascii="黑体" w:hAnsi="黑体" w:eastAsia="黑体"/>
                <w:b w:val="0"/>
                <w:i w:val="0"/>
                <w:color w:val="000000"/>
                <w:sz w:val="16"/>
              </w:rPr>
              <w:t>的其他综合收益</w:t>
            </w:r>
          </w:p>
        </w:tc>
        <w:tc>
          <w:tcPr>
            <w:tcW w:type="dxa" w:w="1334"/>
            <w:tcBorders/>
            <w:tcMar>
              <w:start w:w="0" w:type="dxa"/>
              <w:end w:w="0" w:type="dxa"/>
            </w:tcMar>
          </w:tcPr>
          <w:p>
            <w:pPr>
              <w:autoSpaceDN w:val="0"/>
              <w:autoSpaceDE w:val="0"/>
              <w:widowControl/>
              <w:spacing w:line="162" w:lineRule="exact" w:before="40" w:after="0"/>
              <w:ind w:left="0" w:right="110" w:firstLine="0"/>
              <w:jc w:val="right"/>
            </w:pPr>
            <w:r>
              <w:rPr>
                <w:rFonts w:ascii="黑体" w:hAnsi="黑体" w:eastAsia="黑体"/>
                <w:b w:val="0"/>
                <w:i w:val="0"/>
                <w:color w:val="000000"/>
                <w:sz w:val="16"/>
              </w:rPr>
              <w:t>税前发生额</w:t>
            </w:r>
          </w:p>
        </w:tc>
        <w:tc>
          <w:tcPr>
            <w:tcW w:type="dxa" w:w="1340"/>
            <w:tcBorders/>
            <w:tcMar>
              <w:start w:w="0" w:type="dxa"/>
              <w:end w:w="0" w:type="dxa"/>
            </w:tcMar>
          </w:tcPr>
          <w:p>
            <w:pPr>
              <w:autoSpaceDN w:val="0"/>
              <w:autoSpaceDE w:val="0"/>
              <w:widowControl/>
              <w:spacing w:line="162" w:lineRule="exact" w:before="40" w:after="0"/>
              <w:ind w:left="0" w:right="0" w:firstLine="0"/>
              <w:jc w:val="right"/>
            </w:pPr>
            <w:r>
              <w:rPr>
                <w:rFonts w:ascii="黑体" w:hAnsi="黑体" w:eastAsia="黑体"/>
                <w:b w:val="0"/>
                <w:i w:val="0"/>
                <w:color w:val="000000"/>
                <w:sz w:val="16"/>
              </w:rPr>
              <w:t>转入损益</w:t>
            </w:r>
          </w:p>
        </w:tc>
        <w:tc>
          <w:tcPr>
            <w:tcW w:type="dxa" w:w="1450"/>
            <w:tcBorders/>
            <w:tcMar>
              <w:start w:w="0" w:type="dxa"/>
              <w:end w:w="0" w:type="dxa"/>
            </w:tcMar>
          </w:tcPr>
          <w:p>
            <w:pPr>
              <w:autoSpaceDN w:val="0"/>
              <w:autoSpaceDE w:val="0"/>
              <w:widowControl/>
              <w:spacing w:line="162" w:lineRule="exact" w:before="40" w:after="0"/>
              <w:ind w:left="0" w:right="0" w:firstLine="0"/>
              <w:jc w:val="right"/>
            </w:pPr>
            <w:r>
              <w:rPr>
                <w:rFonts w:ascii="黑体" w:hAnsi="黑体" w:eastAsia="黑体"/>
                <w:b w:val="0"/>
                <w:i w:val="0"/>
                <w:color w:val="000000"/>
                <w:sz w:val="16"/>
              </w:rPr>
              <w:t>转入留存收益</w:t>
            </w:r>
          </w:p>
        </w:tc>
        <w:tc>
          <w:tcPr>
            <w:tcW w:type="dxa" w:w="1564"/>
            <w:vMerge/>
            <w:tcBorders/>
          </w:tcPr>
          <w:p/>
        </w:tc>
        <w:tc>
          <w:tcPr>
            <w:tcW w:type="dxa" w:w="1272"/>
            <w:tcBorders/>
            <w:tcMar>
              <w:start w:w="0" w:type="dxa"/>
              <w:end w:w="0" w:type="dxa"/>
            </w:tcMar>
          </w:tcPr>
          <w:p>
            <w:pPr>
              <w:autoSpaceDN w:val="0"/>
              <w:autoSpaceDE w:val="0"/>
              <w:widowControl/>
              <w:spacing w:line="162" w:lineRule="exact" w:before="40" w:after="0"/>
              <w:ind w:left="0" w:right="0" w:firstLine="0"/>
              <w:jc w:val="right"/>
            </w:pPr>
            <w:r>
              <w:rPr>
                <w:rFonts w:ascii="黑体" w:hAnsi="黑体" w:eastAsia="黑体"/>
                <w:b w:val="0"/>
                <w:i w:val="0"/>
                <w:color w:val="000000"/>
                <w:sz w:val="16"/>
              </w:rPr>
              <w:t>母公司</w:t>
            </w:r>
          </w:p>
        </w:tc>
        <w:tc>
          <w:tcPr>
            <w:tcW w:type="dxa" w:w="1418"/>
            <w:tcBorders/>
            <w:tcMar>
              <w:start w:w="0" w:type="dxa"/>
              <w:end w:w="0" w:type="dxa"/>
            </w:tcMar>
          </w:tcPr>
          <w:p>
            <w:pPr>
              <w:autoSpaceDN w:val="0"/>
              <w:autoSpaceDE w:val="0"/>
              <w:widowControl/>
              <w:spacing w:line="162" w:lineRule="exact" w:before="40" w:after="0"/>
              <w:ind w:left="0" w:right="0" w:firstLine="0"/>
              <w:jc w:val="right"/>
            </w:pPr>
            <w:r>
              <w:rPr>
                <w:rFonts w:ascii="黑体" w:hAnsi="黑体" w:eastAsia="黑体"/>
                <w:b w:val="0"/>
                <w:i w:val="0"/>
                <w:color w:val="000000"/>
                <w:sz w:val="16"/>
              </w:rPr>
              <w:t>少数股东</w:t>
            </w:r>
          </w:p>
        </w:tc>
        <w:tc>
          <w:tcPr>
            <w:tcW w:type="dxa" w:w="1854"/>
            <w:tcBorders/>
            <w:tcMar>
              <w:start w:w="0" w:type="dxa"/>
              <w:end w:w="0" w:type="dxa"/>
            </w:tcMar>
          </w:tcPr>
          <w:p>
            <w:pPr>
              <w:autoSpaceDN w:val="0"/>
              <w:autoSpaceDE w:val="0"/>
              <w:widowControl/>
              <w:spacing w:line="162" w:lineRule="exact" w:before="40" w:after="0"/>
              <w:ind w:left="0" w:right="0" w:firstLine="0"/>
              <w:jc w:val="right"/>
            </w:pPr>
            <w:r>
              <w:rPr>
                <w:rFonts w:ascii="黑体" w:hAnsi="黑体" w:eastAsia="黑体"/>
                <w:b w:val="0"/>
                <w:i w:val="0"/>
                <w:color w:val="000000"/>
                <w:sz w:val="16"/>
              </w:rPr>
              <w:t>的其他综合收益</w:t>
            </w:r>
          </w:p>
        </w:tc>
      </w:tr>
    </w:tbl>
    <w:p>
      <w:pPr>
        <w:autoSpaceDN w:val="0"/>
        <w:autoSpaceDE w:val="0"/>
        <w:widowControl/>
        <w:spacing w:line="162" w:lineRule="exact" w:before="238" w:after="0"/>
        <w:ind w:left="0" w:right="0" w:firstLine="0"/>
        <w:jc w:val="left"/>
      </w:pPr>
      <w:r>
        <w:rPr>
          <w:rFonts w:ascii="黑体" w:hAnsi="黑体" w:eastAsia="黑体"/>
          <w:b w:val="0"/>
          <w:i w:val="0"/>
          <w:color w:val="000000"/>
          <w:sz w:val="16"/>
        </w:rPr>
        <w:t>不能重分类进损益的其他</w:t>
      </w:r>
    </w:p>
    <w:p>
      <w:pPr>
        <w:autoSpaceDN w:val="0"/>
        <w:autoSpaceDE w:val="0"/>
        <w:widowControl/>
        <w:spacing w:line="160" w:lineRule="exact" w:before="48" w:after="0"/>
        <w:ind w:left="168" w:right="0" w:firstLine="0"/>
        <w:jc w:val="left"/>
      </w:pPr>
      <w:r>
        <w:rPr>
          <w:rFonts w:ascii="黑体" w:hAnsi="黑体" w:eastAsia="黑体"/>
          <w:b w:val="0"/>
          <w:i w:val="0"/>
          <w:color w:val="000000"/>
          <w:sz w:val="16"/>
        </w:rPr>
        <w:t>综合收益</w:t>
      </w:r>
    </w:p>
    <w:p>
      <w:pPr>
        <w:autoSpaceDN w:val="0"/>
        <w:autoSpaceDE w:val="0"/>
        <w:widowControl/>
        <w:spacing w:line="160" w:lineRule="exact" w:before="46" w:after="24"/>
        <w:ind w:left="146" w:right="0" w:firstLine="0"/>
        <w:jc w:val="left"/>
      </w:pPr>
      <w:r>
        <w:rPr>
          <w:rFonts w:ascii="黑体" w:hAnsi="黑体" w:eastAsia="黑体"/>
          <w:b w:val="0"/>
          <w:i w:val="0"/>
          <w:color w:val="000000"/>
          <w:sz w:val="16"/>
        </w:rPr>
        <w:t>其中：其他权益工具投资</w:t>
      </w:r>
    </w:p>
    <w:tbl>
      <w:tblPr>
        <w:tblW w:type="auto" w:w="0"/>
        <w:tblLayout w:type="fixed"/>
        <w:tblLook w:firstColumn="1" w:firstRow="1" w:lastColumn="0" w:lastRow="0" w:noHBand="0" w:noVBand="1" w:val="04A0"/>
        <w:tblInd w:w="0.0" w:type="dxa"/>
      </w:tblPr>
      <w:tblGrid>
        <w:gridCol w:w="1407"/>
        <w:gridCol w:w="1407"/>
        <w:gridCol w:w="1407"/>
        <w:gridCol w:w="1407"/>
        <w:gridCol w:w="1407"/>
        <w:gridCol w:w="1407"/>
        <w:gridCol w:w="1407"/>
        <w:gridCol w:w="1407"/>
        <w:gridCol w:w="1407"/>
        <w:gridCol w:w="1407"/>
      </w:tblGrid>
      <w:tr>
        <w:trPr>
          <w:trHeight w:hRule="exact" w:val="212"/>
        </w:trPr>
        <w:tc>
          <w:tcPr>
            <w:tcW w:type="dxa" w:w="540"/>
            <w:tcBorders>
              <w:bottom w:sz="4.0" w:val="single" w:color="#000000"/>
            </w:tcBorders>
            <w:tcMar>
              <w:start w:w="0" w:type="dxa"/>
              <w:end w:w="0" w:type="dxa"/>
            </w:tcMar>
          </w:tcPr>
          <w:p/>
        </w:tc>
        <w:tc>
          <w:tcPr>
            <w:tcW w:type="dxa" w:w="1694"/>
            <w:tcBorders>
              <w:bottom w:sz="4.0" w:val="single" w:color="#000000"/>
            </w:tcBorders>
            <w:tcMar>
              <w:start w:w="0" w:type="dxa"/>
              <w:end w:w="0" w:type="dxa"/>
            </w:tcMar>
          </w:tcPr>
          <w:p>
            <w:pPr>
              <w:autoSpaceDN w:val="0"/>
              <w:autoSpaceDE w:val="0"/>
              <w:widowControl/>
              <w:spacing w:line="162" w:lineRule="exact" w:before="24" w:after="0"/>
              <w:ind w:left="248" w:right="0" w:firstLine="0"/>
              <w:jc w:val="left"/>
            </w:pPr>
            <w:r>
              <w:rPr>
                <w:rFonts w:ascii="黑体" w:hAnsi="黑体" w:eastAsia="黑体"/>
                <w:b w:val="0"/>
                <w:i w:val="0"/>
                <w:color w:val="000000"/>
                <w:sz w:val="16"/>
              </w:rPr>
              <w:t>公允价值变动</w:t>
            </w:r>
          </w:p>
        </w:tc>
        <w:tc>
          <w:tcPr>
            <w:tcW w:type="dxa" w:w="1600"/>
            <w:tcBorders>
              <w:bottom w:sz="4.0" w:val="single" w:color="#000000"/>
            </w:tcBorders>
            <w:tcMar>
              <w:start w:w="0" w:type="dxa"/>
              <w:end w:w="0" w:type="dxa"/>
            </w:tcMar>
          </w:tcPr>
          <w:p>
            <w:pPr>
              <w:autoSpaceDN w:val="0"/>
              <w:autoSpaceDE w:val="0"/>
              <w:widowControl/>
              <w:spacing w:line="230" w:lineRule="auto" w:before="28" w:after="0"/>
              <w:ind w:left="0" w:right="130" w:firstLine="0"/>
              <w:jc w:val="right"/>
            </w:pPr>
            <w:r>
              <w:rPr>
                <w:rFonts w:ascii="Arial" w:hAnsi="Arial" w:eastAsia="Arial"/>
                <w:b w:val="0"/>
                <w:i w:val="0"/>
                <w:color w:val="000000"/>
                <w:sz w:val="16"/>
              </w:rPr>
              <w:t xml:space="preserve">(112,490,604) </w:t>
            </w:r>
          </w:p>
        </w:tc>
        <w:tc>
          <w:tcPr>
            <w:tcW w:type="dxa" w:w="1450"/>
            <w:tcBorders>
              <w:bottom w:sz="4.0" w:val="single" w:color="#000000"/>
            </w:tcBorders>
            <w:tcMar>
              <w:start w:w="0" w:type="dxa"/>
              <w:end w:w="0" w:type="dxa"/>
            </w:tcMar>
          </w:tcPr>
          <w:p>
            <w:pPr>
              <w:autoSpaceDN w:val="0"/>
              <w:autoSpaceDE w:val="0"/>
              <w:widowControl/>
              <w:spacing w:line="230" w:lineRule="auto" w:before="28" w:after="0"/>
              <w:ind w:left="0" w:right="132" w:firstLine="0"/>
              <w:jc w:val="right"/>
            </w:pPr>
            <w:r>
              <w:rPr>
                <w:rFonts w:ascii="Arial" w:hAnsi="Arial" w:eastAsia="Arial"/>
                <w:b w:val="0"/>
                <w:i w:val="0"/>
                <w:color w:val="000000"/>
                <w:sz w:val="16"/>
              </w:rPr>
              <w:t xml:space="preserve">(10,811,475 ) </w:t>
            </w:r>
          </w:p>
        </w:tc>
        <w:tc>
          <w:tcPr>
            <w:tcW w:type="dxa" w:w="1452"/>
            <w:tcBorders>
              <w:bottom w:sz="4.0" w:val="single" w:color="#000000"/>
            </w:tcBorders>
            <w:tcMar>
              <w:start w:w="0" w:type="dxa"/>
              <w:end w:w="0" w:type="dxa"/>
            </w:tcMar>
          </w:tcPr>
          <w:p>
            <w:pPr>
              <w:autoSpaceDN w:val="0"/>
              <w:autoSpaceDE w:val="0"/>
              <w:widowControl/>
              <w:spacing w:line="230" w:lineRule="auto" w:before="28" w:after="0"/>
              <w:ind w:left="0" w:right="184" w:firstLine="0"/>
              <w:jc w:val="right"/>
            </w:pPr>
            <w:r>
              <w:rPr>
                <w:rFonts w:ascii="Arial" w:hAnsi="Arial" w:eastAsia="Arial"/>
                <w:b w:val="0"/>
                <w:i w:val="0"/>
                <w:color w:val="000000"/>
                <w:sz w:val="16"/>
              </w:rPr>
              <w:t xml:space="preserve">- </w:t>
            </w:r>
          </w:p>
        </w:tc>
        <w:tc>
          <w:tcPr>
            <w:tcW w:type="dxa" w:w="1222"/>
            <w:tcBorders>
              <w:bottom w:sz="4.0" w:val="single" w:color="#000000"/>
            </w:tcBorders>
            <w:tcMar>
              <w:start w:w="0" w:type="dxa"/>
              <w:end w:w="0" w:type="dxa"/>
            </w:tcMar>
          </w:tcPr>
          <w:p>
            <w:pPr>
              <w:autoSpaceDN w:val="0"/>
              <w:autoSpaceDE w:val="0"/>
              <w:widowControl/>
              <w:spacing w:line="230" w:lineRule="auto" w:before="28" w:after="0"/>
              <w:ind w:left="0" w:right="0" w:firstLine="0"/>
              <w:jc w:val="right"/>
            </w:pPr>
            <w:r>
              <w:rPr>
                <w:rFonts w:ascii="Arial" w:hAnsi="Arial" w:eastAsia="Arial"/>
                <w:b w:val="0"/>
                <w:i w:val="0"/>
                <w:color w:val="000000"/>
                <w:sz w:val="16"/>
              </w:rPr>
              <w:t>10,175,418</w:t>
            </w:r>
          </w:p>
        </w:tc>
        <w:tc>
          <w:tcPr>
            <w:tcW w:type="dxa" w:w="1454"/>
            <w:tcBorders>
              <w:bottom w:sz="4.0" w:val="single" w:color="#000000"/>
            </w:tcBorders>
            <w:tcMar>
              <w:start w:w="0" w:type="dxa"/>
              <w:end w:w="0" w:type="dxa"/>
            </w:tcMar>
          </w:tcPr>
          <w:p>
            <w:pPr>
              <w:autoSpaceDN w:val="0"/>
              <w:autoSpaceDE w:val="0"/>
              <w:widowControl/>
              <w:spacing w:line="230" w:lineRule="auto" w:before="28" w:after="0"/>
              <w:ind w:left="0" w:right="0" w:firstLine="0"/>
              <w:jc w:val="right"/>
            </w:pPr>
            <w:r>
              <w:rPr>
                <w:rFonts w:ascii="Arial" w:hAnsi="Arial" w:eastAsia="Arial"/>
                <w:b w:val="0"/>
                <w:i w:val="0"/>
                <w:color w:val="000000"/>
                <w:sz w:val="16"/>
              </w:rPr>
              <w:t>1,854,802</w:t>
            </w:r>
          </w:p>
        </w:tc>
        <w:tc>
          <w:tcPr>
            <w:tcW w:type="dxa" w:w="1500"/>
            <w:tcBorders>
              <w:bottom w:sz="4.0" w:val="single" w:color="#000000"/>
            </w:tcBorders>
            <w:tcMar>
              <w:start w:w="0" w:type="dxa"/>
              <w:end w:w="0" w:type="dxa"/>
            </w:tcMar>
          </w:tcPr>
          <w:p>
            <w:pPr>
              <w:autoSpaceDN w:val="0"/>
              <w:autoSpaceDE w:val="0"/>
              <w:widowControl/>
              <w:spacing w:line="230" w:lineRule="auto" w:before="28" w:after="0"/>
              <w:ind w:left="0" w:right="130" w:firstLine="0"/>
              <w:jc w:val="right"/>
            </w:pPr>
            <w:r>
              <w:rPr>
                <w:rFonts w:ascii="Arial" w:hAnsi="Arial" w:eastAsia="Arial"/>
                <w:b w:val="0"/>
                <w:i w:val="0"/>
                <w:color w:val="000000"/>
                <w:sz w:val="16"/>
              </w:rPr>
              <w:t xml:space="preserve">(3,520,972) </w:t>
            </w:r>
          </w:p>
        </w:tc>
        <w:tc>
          <w:tcPr>
            <w:tcW w:type="dxa" w:w="1426"/>
            <w:tcBorders>
              <w:bottom w:sz="4.0" w:val="single" w:color="#000000"/>
            </w:tcBorders>
            <w:tcMar>
              <w:start w:w="0" w:type="dxa"/>
              <w:end w:w="0" w:type="dxa"/>
            </w:tcMar>
          </w:tcPr>
          <w:p>
            <w:pPr>
              <w:autoSpaceDN w:val="0"/>
              <w:autoSpaceDE w:val="0"/>
              <w:widowControl/>
              <w:spacing w:line="230" w:lineRule="auto" w:before="28" w:after="0"/>
              <w:ind w:left="0" w:right="192" w:firstLine="0"/>
              <w:jc w:val="right"/>
            </w:pPr>
            <w:r>
              <w:rPr>
                <w:rFonts w:ascii="Arial" w:hAnsi="Arial" w:eastAsia="Arial"/>
                <w:b w:val="0"/>
                <w:i w:val="0"/>
                <w:color w:val="000000"/>
                <w:sz w:val="16"/>
              </w:rPr>
              <w:t xml:space="preserve">4,739,717 </w:t>
            </w:r>
          </w:p>
        </w:tc>
        <w:tc>
          <w:tcPr>
            <w:tcW w:type="dxa" w:w="1722"/>
            <w:tcBorders>
              <w:bottom w:sz="4.0" w:val="single" w:color="#000000"/>
            </w:tcBorders>
            <w:tcMar>
              <w:start w:w="0" w:type="dxa"/>
              <w:end w:w="0" w:type="dxa"/>
            </w:tcMar>
          </w:tcPr>
          <w:p>
            <w:pPr>
              <w:autoSpaceDN w:val="0"/>
              <w:autoSpaceDE w:val="0"/>
              <w:widowControl/>
              <w:spacing w:line="230" w:lineRule="auto" w:before="28" w:after="0"/>
              <w:ind w:left="0" w:right="6" w:firstLine="0"/>
              <w:jc w:val="right"/>
            </w:pPr>
            <w:r>
              <w:rPr>
                <w:rFonts w:ascii="Arial" w:hAnsi="Arial" w:eastAsia="Arial"/>
                <w:b w:val="0"/>
                <w:i w:val="0"/>
                <w:color w:val="000000"/>
                <w:sz w:val="16"/>
              </w:rPr>
              <w:t xml:space="preserve">(116,011,576 ) </w:t>
            </w:r>
          </w:p>
        </w:tc>
      </w:tr>
      <w:tr>
        <w:trPr>
          <w:trHeight w:hRule="exact" w:val="470"/>
        </w:trPr>
        <w:tc>
          <w:tcPr>
            <w:tcW w:type="dxa" w:w="540"/>
            <w:tcBorders>
              <w:top w:sz="4.0" w:val="single" w:color="#000000"/>
              <w:bottom w:sz="4.0" w:val="single" w:color="#000000"/>
            </w:tcBorders>
            <w:tcMar>
              <w:start w:w="0" w:type="dxa"/>
              <w:end w:w="0" w:type="dxa"/>
            </w:tcMar>
          </w:tcPr>
          <w:p>
            <w:pPr>
              <w:autoSpaceDN w:val="0"/>
              <w:autoSpaceDE w:val="0"/>
              <w:widowControl/>
              <w:spacing w:line="160" w:lineRule="exact" w:before="280" w:after="0"/>
              <w:ind w:left="0" w:right="0" w:firstLine="0"/>
              <w:jc w:val="left"/>
            </w:pPr>
            <w:r>
              <w:rPr>
                <w:rFonts w:ascii="黑体" w:hAnsi="黑体" w:eastAsia="黑体"/>
                <w:b w:val="0"/>
                <w:i w:val="0"/>
                <w:color w:val="000000"/>
                <w:sz w:val="16"/>
              </w:rPr>
              <w:t>小计</w:t>
            </w:r>
          </w:p>
        </w:tc>
        <w:tc>
          <w:tcPr>
            <w:tcW w:type="dxa" w:w="1694"/>
            <w:tcBorders>
              <w:top w:sz="4.0" w:val="single" w:color="#000000"/>
              <w:bottom w:sz="4.0" w:val="single" w:color="#000000"/>
            </w:tcBorders>
            <w:tcMar>
              <w:start w:w="0" w:type="dxa"/>
              <w:end w:w="0" w:type="dxa"/>
            </w:tcMar>
          </w:tcPr>
          <w:p/>
        </w:tc>
        <w:tc>
          <w:tcPr>
            <w:tcW w:type="dxa" w:w="160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30" w:firstLine="0"/>
              <w:jc w:val="right"/>
            </w:pPr>
            <w:r>
              <w:rPr>
                <w:rFonts w:ascii="Arial" w:hAnsi="Arial" w:eastAsia="Arial"/>
                <w:b w:val="0"/>
                <w:i w:val="0"/>
                <w:color w:val="000000"/>
                <w:sz w:val="16"/>
              </w:rPr>
              <w:t xml:space="preserve">(112,490,604) </w:t>
            </w:r>
          </w:p>
        </w:tc>
        <w:tc>
          <w:tcPr>
            <w:tcW w:type="dxa" w:w="145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32" w:firstLine="0"/>
              <w:jc w:val="right"/>
            </w:pPr>
            <w:r>
              <w:rPr>
                <w:rFonts w:ascii="Arial" w:hAnsi="Arial" w:eastAsia="Arial"/>
                <w:b w:val="0"/>
                <w:i w:val="0"/>
                <w:color w:val="000000"/>
                <w:sz w:val="16"/>
              </w:rPr>
              <w:t xml:space="preserve">(10,811,475 ) </w:t>
            </w:r>
          </w:p>
        </w:tc>
        <w:tc>
          <w:tcPr>
            <w:tcW w:type="dxa" w:w="1452"/>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84" w:firstLine="0"/>
              <w:jc w:val="right"/>
            </w:pPr>
            <w:r>
              <w:rPr>
                <w:rFonts w:ascii="Arial" w:hAnsi="Arial" w:eastAsia="Arial"/>
                <w:b w:val="0"/>
                <w:i w:val="0"/>
                <w:color w:val="000000"/>
                <w:sz w:val="16"/>
              </w:rPr>
              <w:t xml:space="preserve">- </w:t>
            </w:r>
          </w:p>
        </w:tc>
        <w:tc>
          <w:tcPr>
            <w:tcW w:type="dxa" w:w="1222"/>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0" w:firstLine="0"/>
              <w:jc w:val="right"/>
            </w:pPr>
            <w:r>
              <w:rPr>
                <w:rFonts w:ascii="Arial" w:hAnsi="Arial" w:eastAsia="Arial"/>
                <w:b w:val="0"/>
                <w:i w:val="0"/>
                <w:color w:val="000000"/>
                <w:sz w:val="16"/>
              </w:rPr>
              <w:t>10,175,418</w:t>
            </w:r>
          </w:p>
        </w:tc>
        <w:tc>
          <w:tcPr>
            <w:tcW w:type="dxa" w:w="1454"/>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0" w:firstLine="0"/>
              <w:jc w:val="right"/>
            </w:pPr>
            <w:r>
              <w:rPr>
                <w:rFonts w:ascii="Arial" w:hAnsi="Arial" w:eastAsia="Arial"/>
                <w:b w:val="0"/>
                <w:i w:val="0"/>
                <w:color w:val="000000"/>
                <w:sz w:val="16"/>
              </w:rPr>
              <w:t>1,854,802</w:t>
            </w:r>
          </w:p>
        </w:tc>
        <w:tc>
          <w:tcPr>
            <w:tcW w:type="dxa" w:w="1500"/>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30" w:firstLine="0"/>
              <w:jc w:val="right"/>
            </w:pPr>
            <w:r>
              <w:rPr>
                <w:rFonts w:ascii="Arial" w:hAnsi="Arial" w:eastAsia="Arial"/>
                <w:b w:val="0"/>
                <w:i w:val="0"/>
                <w:color w:val="000000"/>
                <w:sz w:val="16"/>
              </w:rPr>
              <w:t xml:space="preserve">(3,520,972) </w:t>
            </w:r>
          </w:p>
        </w:tc>
        <w:tc>
          <w:tcPr>
            <w:tcW w:type="dxa" w:w="1426"/>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192" w:firstLine="0"/>
              <w:jc w:val="right"/>
            </w:pPr>
            <w:r>
              <w:rPr>
                <w:rFonts w:ascii="Arial" w:hAnsi="Arial" w:eastAsia="Arial"/>
                <w:b w:val="0"/>
                <w:i w:val="0"/>
                <w:color w:val="000000"/>
                <w:sz w:val="16"/>
              </w:rPr>
              <w:t xml:space="preserve">4,739,717 </w:t>
            </w:r>
          </w:p>
        </w:tc>
        <w:tc>
          <w:tcPr>
            <w:tcW w:type="dxa" w:w="1722"/>
            <w:tcBorders>
              <w:top w:sz="4.0" w:val="single" w:color="#000000"/>
              <w:bottom w:sz="4.0" w:val="single" w:color="#000000"/>
            </w:tcBorders>
            <w:tcMar>
              <w:start w:w="0" w:type="dxa"/>
              <w:end w:w="0" w:type="dxa"/>
            </w:tcMar>
          </w:tcPr>
          <w:p>
            <w:pPr>
              <w:autoSpaceDN w:val="0"/>
              <w:autoSpaceDE w:val="0"/>
              <w:widowControl/>
              <w:spacing w:line="230" w:lineRule="auto" w:before="280" w:after="0"/>
              <w:ind w:left="0" w:right="6" w:firstLine="0"/>
              <w:jc w:val="right"/>
            </w:pPr>
            <w:r>
              <w:rPr>
                <w:rFonts w:ascii="Arial" w:hAnsi="Arial" w:eastAsia="Arial"/>
                <w:b w:val="0"/>
                <w:i w:val="0"/>
                <w:color w:val="000000"/>
                <w:sz w:val="16"/>
              </w:rPr>
              <w:t xml:space="preserve">(116,011,576 ) </w:t>
            </w:r>
          </w:p>
        </w:tc>
      </w:tr>
      <w:tr>
        <w:trPr>
          <w:trHeight w:hRule="exact" w:val="52"/>
        </w:trPr>
        <w:tc>
          <w:tcPr>
            <w:tcW w:type="dxa" w:w="540"/>
            <w:tcBorders>
              <w:top w:sz="4.0" w:val="single" w:color="#000000"/>
            </w:tcBorders>
            <w:tcMar>
              <w:start w:w="0" w:type="dxa"/>
              <w:end w:w="0" w:type="dxa"/>
            </w:tcMar>
          </w:tcPr>
          <w:p/>
        </w:tc>
        <w:tc>
          <w:tcPr>
            <w:tcW w:type="dxa" w:w="1694"/>
            <w:tcBorders>
              <w:top w:sz="4.0" w:val="single" w:color="#000000"/>
            </w:tcBorders>
            <w:tcMar>
              <w:start w:w="0" w:type="dxa"/>
              <w:end w:w="0" w:type="dxa"/>
            </w:tcMar>
          </w:tcPr>
          <w:p/>
        </w:tc>
        <w:tc>
          <w:tcPr>
            <w:tcW w:type="dxa" w:w="1600"/>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452"/>
            <w:tcBorders>
              <w:top w:sz="4.0" w:val="single" w:color="#000000"/>
            </w:tcBorders>
            <w:tcMar>
              <w:start w:w="0" w:type="dxa"/>
              <w:end w:w="0" w:type="dxa"/>
            </w:tcMar>
          </w:tcPr>
          <w:p/>
        </w:tc>
        <w:tc>
          <w:tcPr>
            <w:tcW w:type="dxa" w:w="1222"/>
            <w:tcBorders>
              <w:top w:sz="4.0" w:val="single" w:color="#000000"/>
            </w:tcBorders>
            <w:tcMar>
              <w:start w:w="0" w:type="dxa"/>
              <w:end w:w="0" w:type="dxa"/>
            </w:tcMar>
          </w:tcPr>
          <w:p/>
        </w:tc>
        <w:tc>
          <w:tcPr>
            <w:tcW w:type="dxa" w:w="1454"/>
            <w:tcBorders>
              <w:top w:sz="4.0" w:val="single" w:color="#000000"/>
            </w:tcBorders>
            <w:tcMar>
              <w:start w:w="0" w:type="dxa"/>
              <w:end w:w="0" w:type="dxa"/>
            </w:tcMar>
          </w:tcPr>
          <w:p/>
        </w:tc>
        <w:tc>
          <w:tcPr>
            <w:tcW w:type="dxa" w:w="1500"/>
            <w:tcBorders>
              <w:top w:sz="4.0" w:val="single" w:color="#000000"/>
            </w:tcBorders>
            <w:tcMar>
              <w:start w:w="0" w:type="dxa"/>
              <w:end w:w="0" w:type="dxa"/>
            </w:tcMar>
          </w:tcPr>
          <w:p/>
        </w:tc>
        <w:tc>
          <w:tcPr>
            <w:tcW w:type="dxa" w:w="1426"/>
            <w:tcBorders>
              <w:top w:sz="4.0" w:val="single" w:color="#000000"/>
            </w:tcBorders>
            <w:tcMar>
              <w:start w:w="0" w:type="dxa"/>
              <w:end w:w="0" w:type="dxa"/>
            </w:tcMar>
          </w:tcPr>
          <w:p/>
        </w:tc>
        <w:tc>
          <w:tcPr>
            <w:tcW w:type="dxa" w:w="1722"/>
            <w:tcBorders>
              <w:top w:sz="4.0" w:val="single" w:color="#000000"/>
            </w:tcBorders>
            <w:tcMar>
              <w:start w:w="0" w:type="dxa"/>
              <w:end w:w="0" w:type="dxa"/>
            </w:tcMar>
          </w:tcPr>
          <w:p/>
        </w:tc>
      </w:tr>
    </w:tbl>
    <w:p>
      <w:pPr>
        <w:autoSpaceDN w:val="0"/>
        <w:autoSpaceDE w:val="0"/>
        <w:widowControl/>
        <w:spacing w:line="160" w:lineRule="exact" w:before="208" w:after="0"/>
        <w:ind w:left="0" w:right="0" w:firstLine="0"/>
        <w:jc w:val="left"/>
      </w:pPr>
      <w:r>
        <w:rPr>
          <w:rFonts w:ascii="黑体" w:hAnsi="黑体" w:eastAsia="黑体"/>
          <w:b w:val="0"/>
          <w:i w:val="0"/>
          <w:color w:val="000000"/>
          <w:sz w:val="16"/>
        </w:rPr>
        <w:t>以后将重分类进损益的其他</w:t>
      </w:r>
    </w:p>
    <w:p>
      <w:pPr>
        <w:autoSpaceDN w:val="0"/>
        <w:autoSpaceDE w:val="0"/>
        <w:widowControl/>
        <w:spacing w:line="162" w:lineRule="exact" w:before="48" w:after="0"/>
        <w:ind w:left="168" w:right="0" w:firstLine="0"/>
        <w:jc w:val="left"/>
      </w:pPr>
      <w:r>
        <w:rPr>
          <w:rFonts w:ascii="黑体" w:hAnsi="黑体" w:eastAsia="黑体"/>
          <w:b w:val="0"/>
          <w:i w:val="0"/>
          <w:color w:val="000000"/>
          <w:sz w:val="16"/>
        </w:rPr>
        <w:t>综合收益</w:t>
      </w:r>
    </w:p>
    <w:p>
      <w:pPr>
        <w:autoSpaceDN w:val="0"/>
        <w:autoSpaceDE w:val="0"/>
        <w:widowControl/>
        <w:spacing w:line="160" w:lineRule="exact" w:before="46" w:after="24"/>
        <w:ind w:left="146" w:right="0" w:firstLine="0"/>
        <w:jc w:val="left"/>
      </w:pPr>
      <w:r>
        <w:rPr>
          <w:rFonts w:ascii="黑体" w:hAnsi="黑体" w:eastAsia="黑体"/>
          <w:b w:val="0"/>
          <w:i w:val="0"/>
          <w:color w:val="000000"/>
          <w:sz w:val="16"/>
        </w:rPr>
        <w:t>其中：其他债权投资</w:t>
      </w:r>
    </w:p>
    <w:tbl>
      <w:tblPr>
        <w:tblW w:type="auto" w:w="0"/>
        <w:tblLayout w:type="fixed"/>
        <w:tblLook w:firstColumn="1" w:firstRow="1" w:lastColumn="0" w:lastRow="0" w:noHBand="0" w:noVBand="1" w:val="04A0"/>
        <w:tblInd w:w="380.0" w:type="dxa"/>
      </w:tblPr>
      <w:tblGrid>
        <w:gridCol w:w="1564"/>
        <w:gridCol w:w="1564"/>
        <w:gridCol w:w="1564"/>
        <w:gridCol w:w="1564"/>
        <w:gridCol w:w="1564"/>
        <w:gridCol w:w="1564"/>
        <w:gridCol w:w="1564"/>
        <w:gridCol w:w="1564"/>
        <w:gridCol w:w="1564"/>
      </w:tblGrid>
      <w:tr>
        <w:trPr>
          <w:trHeight w:hRule="exact" w:val="216"/>
        </w:trPr>
        <w:tc>
          <w:tcPr>
            <w:tcW w:type="dxa" w:w="182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公允价值变动</w:t>
            </w:r>
          </w:p>
        </w:tc>
        <w:tc>
          <w:tcPr>
            <w:tcW w:type="dxa" w:w="1780"/>
            <w:tcBorders/>
            <w:tcMar>
              <w:start w:w="0" w:type="dxa"/>
              <w:end w:w="0" w:type="dxa"/>
            </w:tcMar>
          </w:tcPr>
          <w:p>
            <w:pPr>
              <w:autoSpaceDN w:val="0"/>
              <w:autoSpaceDE w:val="0"/>
              <w:widowControl/>
              <w:spacing w:line="233" w:lineRule="auto" w:before="24" w:after="0"/>
              <w:ind w:left="0" w:right="276" w:firstLine="0"/>
              <w:jc w:val="right"/>
            </w:pPr>
            <w:r>
              <w:rPr>
                <w:rFonts w:ascii="Arial" w:hAnsi="Arial" w:eastAsia="Arial"/>
                <w:b w:val="0"/>
                <w:i w:val="0"/>
                <w:color w:val="000000"/>
                <w:sz w:val="16"/>
              </w:rPr>
              <w:t xml:space="preserve">(114,453,608) </w:t>
            </w:r>
          </w:p>
        </w:tc>
        <w:tc>
          <w:tcPr>
            <w:tcW w:type="dxa" w:w="146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6"/>
              </w:rPr>
              <w:t xml:space="preserve">(2,457,493 ) </w:t>
            </w:r>
          </w:p>
        </w:tc>
        <w:tc>
          <w:tcPr>
            <w:tcW w:type="dxa" w:w="1800"/>
            <w:tcBorders/>
            <w:tcMar>
              <w:start w:w="0" w:type="dxa"/>
              <w:end w:w="0" w:type="dxa"/>
            </w:tcMar>
          </w:tcPr>
          <w:p>
            <w:pPr>
              <w:autoSpaceDN w:val="0"/>
              <w:autoSpaceDE w:val="0"/>
              <w:widowControl/>
              <w:spacing w:line="233" w:lineRule="auto" w:before="24" w:after="0"/>
              <w:ind w:left="302" w:right="0" w:firstLine="0"/>
              <w:jc w:val="left"/>
            </w:pPr>
            <w:r>
              <w:rPr>
                <w:rFonts w:ascii="Arial" w:hAnsi="Arial" w:eastAsia="Arial"/>
                <w:b w:val="0"/>
                <w:i w:val="0"/>
                <w:color w:val="000000"/>
                <w:sz w:val="16"/>
              </w:rPr>
              <w:t xml:space="preserve">(2,233,610 ) </w:t>
            </w:r>
          </w:p>
        </w:tc>
        <w:tc>
          <w:tcPr>
            <w:tcW w:type="dxa" w:w="1080"/>
            <w:tcBorders/>
            <w:tcMar>
              <w:start w:w="0" w:type="dxa"/>
              <w:end w:w="0" w:type="dxa"/>
            </w:tcMar>
          </w:tcPr>
          <w:p>
            <w:pPr>
              <w:autoSpaceDN w:val="0"/>
              <w:autoSpaceDE w:val="0"/>
              <w:widowControl/>
              <w:spacing w:line="233" w:lineRule="auto" w:before="24" w:after="0"/>
              <w:ind w:left="0" w:right="362" w:firstLine="0"/>
              <w:jc w:val="right"/>
            </w:pPr>
            <w:r>
              <w:rPr>
                <w:rFonts w:ascii="Arial" w:hAnsi="Arial" w:eastAsia="Arial"/>
                <w:b w:val="0"/>
                <w:i w:val="0"/>
                <w:color w:val="000000"/>
                <w:sz w:val="16"/>
              </w:rPr>
              <w:t>-</w:t>
            </w:r>
          </w:p>
        </w:tc>
        <w:tc>
          <w:tcPr>
            <w:tcW w:type="dxa" w:w="1340"/>
            <w:tcBorders/>
            <w:tcMar>
              <w:start w:w="0" w:type="dxa"/>
              <w:end w:w="0" w:type="dxa"/>
            </w:tcMar>
          </w:tcPr>
          <w:p>
            <w:pPr>
              <w:autoSpaceDN w:val="0"/>
              <w:autoSpaceDE w:val="0"/>
              <w:widowControl/>
              <w:spacing w:line="233" w:lineRule="auto" w:before="24" w:after="0"/>
              <w:ind w:left="0" w:right="248" w:firstLine="0"/>
              <w:jc w:val="right"/>
            </w:pPr>
            <w:r>
              <w:rPr>
                <w:rFonts w:ascii="Arial" w:hAnsi="Arial" w:eastAsia="Arial"/>
                <w:b w:val="0"/>
                <w:i w:val="0"/>
                <w:color w:val="000000"/>
                <w:sz w:val="16"/>
              </w:rPr>
              <w:t>1,172,776</w:t>
            </w:r>
          </w:p>
        </w:tc>
        <w:tc>
          <w:tcPr>
            <w:tcW w:type="dxa" w:w="1740"/>
            <w:tcBorders/>
            <w:tcMar>
              <w:start w:w="0" w:type="dxa"/>
              <w:end w:w="0" w:type="dxa"/>
            </w:tcMar>
          </w:tcPr>
          <w:p>
            <w:pPr>
              <w:autoSpaceDN w:val="0"/>
              <w:autoSpaceDE w:val="0"/>
              <w:widowControl/>
              <w:spacing w:line="233" w:lineRule="auto" w:before="24" w:after="0"/>
              <w:ind w:left="258" w:right="0" w:firstLine="0"/>
              <w:jc w:val="left"/>
            </w:pPr>
            <w:r>
              <w:rPr>
                <w:rFonts w:ascii="Arial" w:hAnsi="Arial" w:eastAsia="Arial"/>
                <w:b w:val="0"/>
                <w:i w:val="0"/>
                <w:color w:val="000000"/>
                <w:sz w:val="16"/>
              </w:rPr>
              <w:t xml:space="preserve">(3,518,327) </w:t>
            </w:r>
          </w:p>
        </w:tc>
        <w:tc>
          <w:tcPr>
            <w:tcW w:type="dxa" w:w="1180"/>
            <w:tcBorders/>
            <w:tcMar>
              <w:start w:w="0" w:type="dxa"/>
              <w:end w:w="0" w:type="dxa"/>
            </w:tcMar>
          </w:tcPr>
          <w:p>
            <w:pPr>
              <w:autoSpaceDN w:val="0"/>
              <w:autoSpaceDE w:val="0"/>
              <w:widowControl/>
              <w:spacing w:line="233" w:lineRule="auto" w:before="24" w:after="0"/>
              <w:ind w:left="0" w:right="434" w:firstLine="0"/>
              <w:jc w:val="right"/>
            </w:pPr>
            <w:r>
              <w:rPr>
                <w:rFonts w:ascii="Arial" w:hAnsi="Arial" w:eastAsia="Arial"/>
                <w:b w:val="0"/>
                <w:i w:val="0"/>
                <w:color w:val="000000"/>
                <w:sz w:val="16"/>
              </w:rPr>
              <w:t xml:space="preserve">- </w:t>
            </w:r>
          </w:p>
        </w:tc>
        <w:tc>
          <w:tcPr>
            <w:tcW w:type="dxa" w:w="1480"/>
            <w:tcBorders/>
            <w:tcMar>
              <w:start w:w="0" w:type="dxa"/>
              <w:end w:w="0" w:type="dxa"/>
            </w:tcMar>
          </w:tcPr>
          <w:p>
            <w:pPr>
              <w:autoSpaceDN w:val="0"/>
              <w:autoSpaceDE w:val="0"/>
              <w:widowControl/>
              <w:spacing w:line="233" w:lineRule="auto" w:before="24" w:after="0"/>
              <w:ind w:left="0" w:right="6" w:firstLine="0"/>
              <w:jc w:val="right"/>
            </w:pPr>
            <w:r>
              <w:rPr>
                <w:rFonts w:ascii="Arial" w:hAnsi="Arial" w:eastAsia="Arial"/>
                <w:b w:val="0"/>
                <w:i w:val="0"/>
                <w:color w:val="000000"/>
                <w:sz w:val="16"/>
              </w:rPr>
              <w:t xml:space="preserve">(117,971,935 ) </w:t>
            </w:r>
          </w:p>
        </w:tc>
      </w:tr>
    </w:tbl>
    <w:p>
      <w:pPr>
        <w:autoSpaceDN w:val="0"/>
        <w:autoSpaceDE w:val="0"/>
        <w:widowControl/>
        <w:spacing w:line="162" w:lineRule="exact" w:before="14" w:after="22"/>
        <w:ind w:left="566" w:right="0" w:firstLine="0"/>
        <w:jc w:val="left"/>
      </w:pPr>
      <w:r>
        <w:rPr>
          <w:rFonts w:ascii="黑体" w:hAnsi="黑体" w:eastAsia="黑体"/>
          <w:b w:val="0"/>
          <w:i w:val="0"/>
          <w:color w:val="000000"/>
          <w:sz w:val="16"/>
        </w:rPr>
        <w:t>其他债权投资</w:t>
      </w:r>
    </w:p>
    <w:tbl>
      <w:tblPr>
        <w:tblW w:type="auto" w:w="0"/>
        <w:tblLayout w:type="fixed"/>
        <w:tblLook w:firstColumn="1" w:firstRow="1" w:lastColumn="0" w:lastRow="0" w:noHBand="0" w:noVBand="1" w:val="04A0"/>
        <w:tblInd w:w="0.0" w:type="dxa"/>
      </w:tblPr>
      <w:tblGrid>
        <w:gridCol w:w="1407"/>
        <w:gridCol w:w="1407"/>
        <w:gridCol w:w="1407"/>
        <w:gridCol w:w="1407"/>
        <w:gridCol w:w="1407"/>
        <w:gridCol w:w="1407"/>
        <w:gridCol w:w="1407"/>
        <w:gridCol w:w="1407"/>
        <w:gridCol w:w="1407"/>
        <w:gridCol w:w="1407"/>
      </w:tblGrid>
      <w:tr>
        <w:trPr>
          <w:trHeight w:hRule="exact" w:val="178"/>
        </w:trPr>
        <w:tc>
          <w:tcPr>
            <w:tcW w:type="dxa" w:w="440"/>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tc>
        <w:tc>
          <w:tcPr>
            <w:tcW w:type="dxa" w:w="1794"/>
            <w:tcBorders/>
            <w:tcMar>
              <w:start w:w="0" w:type="dxa"/>
              <w:end w:w="0" w:type="dxa"/>
            </w:tcMar>
          </w:tcPr>
          <w:p>
            <w:pPr>
              <w:autoSpaceDN w:val="0"/>
              <w:autoSpaceDE w:val="0"/>
              <w:widowControl/>
              <w:spacing w:line="162" w:lineRule="exact" w:before="16" w:after="0"/>
              <w:ind w:left="288" w:right="0" w:firstLine="0"/>
              <w:jc w:val="left"/>
            </w:pPr>
            <w:r>
              <w:rPr>
                <w:rFonts w:ascii="黑体" w:hAnsi="黑体" w:eastAsia="黑体"/>
                <w:b w:val="0"/>
                <w:i w:val="0"/>
                <w:color w:val="000000"/>
                <w:sz w:val="16"/>
              </w:rPr>
              <w:t>信用减值准备</w:t>
            </w:r>
          </w:p>
        </w:tc>
        <w:tc>
          <w:tcPr>
            <w:tcW w:type="dxa" w:w="1600"/>
            <w:vMerge w:val="restart"/>
            <w:tcBorders/>
            <w:tcMar>
              <w:start w:w="0" w:type="dxa"/>
              <w:end w:w="0" w:type="dxa"/>
            </w:tcMar>
            <w:tcMar>
              <w:start w:w="0" w:type="dxa"/>
              <w:end w:w="0" w:type="dxa"/>
            </w:tcMar>
          </w:tcPr>
          <w:p>
            <w:pPr>
              <w:autoSpaceDN w:val="0"/>
              <w:autoSpaceDE w:val="0"/>
              <w:widowControl/>
              <w:spacing w:line="230" w:lineRule="auto" w:before="26" w:after="0"/>
              <w:ind w:left="0" w:right="228" w:firstLine="0"/>
              <w:jc w:val="right"/>
            </w:pPr>
            <w:r>
              <w:rPr>
                <w:rFonts w:ascii="Arial" w:hAnsi="Arial" w:eastAsia="Arial"/>
                <w:b w:val="0"/>
                <w:i w:val="0"/>
                <w:color w:val="000000"/>
                <w:sz w:val="16"/>
              </w:rPr>
              <w:t>100,476,577</w:t>
            </w:r>
          </w:p>
        </w:tc>
        <w:tc>
          <w:tcPr>
            <w:tcW w:type="dxa" w:w="1450"/>
            <w:vMerge w:val="restart"/>
            <w:tcBorders/>
            <w:tcMar>
              <w:start w:w="0" w:type="dxa"/>
              <w:end w:w="0" w:type="dxa"/>
            </w:tcMar>
            <w:tcMar>
              <w:start w:w="0" w:type="dxa"/>
              <w:end w:w="0" w:type="dxa"/>
            </w:tcMar>
          </w:tcPr>
          <w:p>
            <w:pPr>
              <w:autoSpaceDN w:val="0"/>
              <w:autoSpaceDE w:val="0"/>
              <w:widowControl/>
              <w:spacing w:line="230" w:lineRule="auto" w:before="26" w:after="0"/>
              <w:ind w:left="0" w:right="184" w:firstLine="0"/>
              <w:jc w:val="right"/>
            </w:pPr>
            <w:r>
              <w:rPr>
                <w:rFonts w:ascii="Arial" w:hAnsi="Arial" w:eastAsia="Arial"/>
                <w:b w:val="0"/>
                <w:i w:val="0"/>
                <w:color w:val="000000"/>
                <w:sz w:val="16"/>
              </w:rPr>
              <w:t xml:space="preserve">1,383,013 </w:t>
            </w:r>
          </w:p>
        </w:tc>
        <w:tc>
          <w:tcPr>
            <w:tcW w:type="dxa" w:w="1452"/>
            <w:vMerge w:val="restart"/>
            <w:tcBorders/>
            <w:tcMar>
              <w:start w:w="0" w:type="dxa"/>
              <w:end w:w="0" w:type="dxa"/>
            </w:tcMar>
            <w:tcMar>
              <w:start w:w="0" w:type="dxa"/>
              <w:end w:w="0" w:type="dxa"/>
            </w:tcMar>
          </w:tcPr>
          <w:p>
            <w:pPr>
              <w:autoSpaceDN w:val="0"/>
              <w:autoSpaceDE w:val="0"/>
              <w:widowControl/>
              <w:spacing w:line="230" w:lineRule="auto" w:before="26" w:after="0"/>
              <w:ind w:left="0" w:right="184" w:firstLine="0"/>
              <w:jc w:val="right"/>
            </w:pPr>
            <w:r>
              <w:rPr>
                <w:rFonts w:ascii="Arial" w:hAnsi="Arial" w:eastAsia="Arial"/>
                <w:b w:val="0"/>
                <w:i w:val="0"/>
                <w:color w:val="000000"/>
                <w:sz w:val="16"/>
              </w:rPr>
              <w:t xml:space="preserve">- </w:t>
            </w:r>
          </w:p>
        </w:tc>
        <w:tc>
          <w:tcPr>
            <w:tcW w:type="dxa" w:w="1222"/>
            <w:vMerge w:val="restart"/>
            <w:tcBorders/>
            <w:tcMar>
              <w:start w:w="0" w:type="dxa"/>
              <w:end w:w="0" w:type="dxa"/>
            </w:tcMar>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w:t>
            </w:r>
          </w:p>
        </w:tc>
        <w:tc>
          <w:tcPr>
            <w:tcW w:type="dxa" w:w="1682"/>
            <w:vMerge w:val="restart"/>
            <w:tcBorders/>
            <w:tcMar>
              <w:start w:w="0" w:type="dxa"/>
              <w:end w:w="0" w:type="dxa"/>
            </w:tcMar>
            <w:tcMar>
              <w:start w:w="0" w:type="dxa"/>
              <w:end w:w="0" w:type="dxa"/>
            </w:tcMar>
          </w:tcPr>
          <w:p>
            <w:pPr>
              <w:autoSpaceDN w:val="0"/>
              <w:autoSpaceDE w:val="0"/>
              <w:widowControl/>
              <w:spacing w:line="230" w:lineRule="auto" w:before="26" w:after="0"/>
              <w:ind w:left="0" w:right="130" w:firstLine="0"/>
              <w:jc w:val="right"/>
            </w:pPr>
            <w:r>
              <w:rPr>
                <w:rFonts w:ascii="Arial" w:hAnsi="Arial" w:eastAsia="Arial"/>
                <w:b w:val="0"/>
                <w:i w:val="0"/>
                <w:color w:val="000000"/>
                <w:sz w:val="16"/>
              </w:rPr>
              <w:t xml:space="preserve">(345,754) </w:t>
            </w:r>
          </w:p>
        </w:tc>
        <w:tc>
          <w:tcPr>
            <w:tcW w:type="dxa" w:w="1044"/>
            <w:vMerge w:val="restart"/>
            <w:tcBorders/>
            <w:tcMar>
              <w:start w:w="0" w:type="dxa"/>
              <w:end w:w="0" w:type="dxa"/>
            </w:tcMar>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1,037,259</w:t>
            </w:r>
          </w:p>
        </w:tc>
        <w:tc>
          <w:tcPr>
            <w:tcW w:type="dxa" w:w="1654"/>
            <w:vMerge w:val="restart"/>
            <w:tcBorders/>
            <w:tcMar>
              <w:start w:w="0" w:type="dxa"/>
              <w:end w:w="0" w:type="dxa"/>
            </w:tcMar>
            <w:tcMar>
              <w:start w:w="0" w:type="dxa"/>
              <w:end w:w="0" w:type="dxa"/>
            </w:tcMar>
          </w:tcPr>
          <w:p>
            <w:pPr>
              <w:autoSpaceDN w:val="0"/>
              <w:autoSpaceDE w:val="0"/>
              <w:widowControl/>
              <w:spacing w:line="230" w:lineRule="auto" w:before="26" w:after="0"/>
              <w:ind w:left="0" w:right="192" w:firstLine="0"/>
              <w:jc w:val="right"/>
            </w:pPr>
            <w:r>
              <w:rPr>
                <w:rFonts w:ascii="Arial" w:hAnsi="Arial" w:eastAsia="Arial"/>
                <w:b w:val="0"/>
                <w:i w:val="0"/>
                <w:color w:val="000000"/>
                <w:sz w:val="16"/>
              </w:rPr>
              <w:t xml:space="preserve">- </w:t>
            </w:r>
          </w:p>
        </w:tc>
        <w:tc>
          <w:tcPr>
            <w:tcW w:type="dxa" w:w="1722"/>
            <w:vMerge w:val="restart"/>
            <w:tcBorders/>
            <w:tcMar>
              <w:start w:w="0" w:type="dxa"/>
              <w:end w:w="0" w:type="dxa"/>
            </w:tcMar>
            <w:tcMar>
              <w:start w:w="0" w:type="dxa"/>
              <w:end w:w="0" w:type="dxa"/>
            </w:tcMar>
          </w:tcPr>
          <w:p>
            <w:pPr>
              <w:autoSpaceDN w:val="0"/>
              <w:autoSpaceDE w:val="0"/>
              <w:widowControl/>
              <w:spacing w:line="230" w:lineRule="auto" w:before="26" w:after="0"/>
              <w:ind w:left="0" w:right="60" w:firstLine="0"/>
              <w:jc w:val="right"/>
            </w:pPr>
            <w:r>
              <w:rPr>
                <w:rFonts w:ascii="Arial" w:hAnsi="Arial" w:eastAsia="Arial"/>
                <w:b w:val="0"/>
                <w:i w:val="0"/>
                <w:color w:val="000000"/>
                <w:sz w:val="16"/>
              </w:rPr>
              <w:t xml:space="preserve">101,513,836 </w:t>
            </w:r>
          </w:p>
        </w:tc>
      </w:tr>
      <w:tr>
        <w:trPr>
          <w:trHeight w:hRule="exact" w:val="52"/>
        </w:trPr>
        <w:tc>
          <w:tcPr>
            <w:tcW w:type="dxa" w:w="1407"/>
            <w:vMerge/>
            <w:tcBorders>
              <w:bottom w:sz="4.0" w:val="single" w:color="#000000"/>
            </w:tcBorders>
          </w:tcPr>
          <w:p/>
        </w:tc>
        <w:tc>
          <w:tcPr>
            <w:tcW w:type="dxa" w:w="1794"/>
            <w:vMerge w:val="restart"/>
            <w:tcBorders/>
            <w:tcMar>
              <w:start w:w="0" w:type="dxa"/>
              <w:end w:w="0" w:type="dxa"/>
            </w:tcMar>
            <w:tcMar>
              <w:start w:w="0" w:type="dxa"/>
              <w:end w:w="0" w:type="dxa"/>
            </w:tcMar>
          </w:tcPr>
          <w:p>
            <w:pPr>
              <w:autoSpaceDN w:val="0"/>
              <w:autoSpaceDE w:val="0"/>
              <w:widowControl/>
              <w:spacing w:line="160" w:lineRule="exact" w:before="76" w:after="0"/>
              <w:ind w:left="126" w:right="0" w:firstLine="0"/>
              <w:jc w:val="left"/>
            </w:pPr>
            <w:r>
              <w:rPr>
                <w:rFonts w:ascii="黑体" w:hAnsi="黑体" w:eastAsia="黑体"/>
                <w:b w:val="0"/>
                <w:i w:val="0"/>
                <w:color w:val="000000"/>
                <w:sz w:val="16"/>
              </w:rPr>
              <w:t>现金流量套期储备</w:t>
            </w:r>
          </w:p>
        </w:tc>
        <w:tc>
          <w:tcPr>
            <w:tcW w:type="dxa" w:w="1407"/>
            <w:vMerge/>
            <w:tcBorders/>
          </w:tcPr>
          <w:p/>
        </w:tc>
        <w:tc>
          <w:tcPr>
            <w:tcW w:type="dxa" w:w="1407"/>
            <w:vMerge/>
            <w:tcBorders/>
          </w:tcPr>
          <w:p/>
        </w:tc>
        <w:tc>
          <w:tcPr>
            <w:tcW w:type="dxa" w:w="1407"/>
            <w:vMerge/>
            <w:tcBorders/>
          </w:tcPr>
          <w:p/>
        </w:tc>
        <w:tc>
          <w:tcPr>
            <w:tcW w:type="dxa" w:w="1407"/>
            <w:vMerge/>
            <w:tcBorders/>
          </w:tcPr>
          <w:p/>
        </w:tc>
        <w:tc>
          <w:tcPr>
            <w:tcW w:type="dxa" w:w="1407"/>
            <w:vMerge/>
            <w:tcBorders/>
          </w:tcPr>
          <w:p/>
        </w:tc>
        <w:tc>
          <w:tcPr>
            <w:tcW w:type="dxa" w:w="1407"/>
            <w:vMerge/>
            <w:tcBorders/>
          </w:tcPr>
          <w:p/>
        </w:tc>
        <w:tc>
          <w:tcPr>
            <w:tcW w:type="dxa" w:w="1407"/>
            <w:vMerge/>
            <w:tcBorders/>
          </w:tcPr>
          <w:p/>
        </w:tc>
        <w:tc>
          <w:tcPr>
            <w:tcW w:type="dxa" w:w="1407"/>
            <w:vMerge/>
            <w:tcBorders/>
          </w:tcPr>
          <w:p/>
        </w:tc>
      </w:tr>
      <w:tr>
        <w:trPr>
          <w:trHeight w:hRule="exact" w:val="188"/>
        </w:trPr>
        <w:tc>
          <w:tcPr>
            <w:tcW w:type="dxa" w:w="1407"/>
            <w:vMerge/>
            <w:tcBorders>
              <w:bottom w:sz="4.0" w:val="single" w:color="#000000"/>
            </w:tcBorders>
          </w:tcPr>
          <w:p/>
        </w:tc>
        <w:tc>
          <w:tcPr>
            <w:tcW w:type="dxa" w:w="1407"/>
            <w:vMerge/>
            <w:tcBorders/>
          </w:tcPr>
          <w:p/>
        </w:tc>
        <w:tc>
          <w:tcPr>
            <w:tcW w:type="dxa" w:w="1600"/>
            <w:tcBorders/>
            <w:tcMar>
              <w:start w:w="0" w:type="dxa"/>
              <w:end w:w="0" w:type="dxa"/>
            </w:tcMar>
          </w:tcPr>
          <w:p>
            <w:pPr>
              <w:autoSpaceDN w:val="0"/>
              <w:autoSpaceDE w:val="0"/>
              <w:widowControl/>
              <w:spacing w:line="230" w:lineRule="auto" w:before="10" w:after="0"/>
              <w:ind w:left="0" w:right="130" w:firstLine="0"/>
              <w:jc w:val="right"/>
            </w:pPr>
            <w:r>
              <w:rPr>
                <w:rFonts w:ascii="Arial" w:hAnsi="Arial" w:eastAsia="Arial"/>
                <w:b w:val="0"/>
                <w:i w:val="0"/>
                <w:color w:val="000000"/>
                <w:sz w:val="16"/>
              </w:rPr>
              <w:t xml:space="preserve">(30,077,814) </w:t>
            </w:r>
          </w:p>
        </w:tc>
        <w:tc>
          <w:tcPr>
            <w:tcW w:type="dxa" w:w="1450"/>
            <w:tcBorders/>
            <w:tcMar>
              <w:start w:w="0" w:type="dxa"/>
              <w:end w:w="0" w:type="dxa"/>
            </w:tcMar>
          </w:tcPr>
          <w:p>
            <w:pPr>
              <w:autoSpaceDN w:val="0"/>
              <w:autoSpaceDE w:val="0"/>
              <w:widowControl/>
              <w:spacing w:line="230" w:lineRule="auto" w:before="10" w:after="0"/>
              <w:ind w:left="0" w:right="184" w:firstLine="0"/>
              <w:jc w:val="right"/>
            </w:pPr>
            <w:r>
              <w:rPr>
                <w:rFonts w:ascii="Arial" w:hAnsi="Arial" w:eastAsia="Arial"/>
                <w:b w:val="0"/>
                <w:i w:val="0"/>
                <w:color w:val="000000"/>
                <w:sz w:val="16"/>
              </w:rPr>
              <w:t xml:space="preserve">28,361,279 </w:t>
            </w:r>
          </w:p>
        </w:tc>
        <w:tc>
          <w:tcPr>
            <w:tcW w:type="dxa" w:w="1452"/>
            <w:tcBorders/>
            <w:tcMar>
              <w:start w:w="0" w:type="dxa"/>
              <w:end w:w="0" w:type="dxa"/>
            </w:tcMar>
          </w:tcPr>
          <w:p>
            <w:pPr>
              <w:autoSpaceDN w:val="0"/>
              <w:autoSpaceDE w:val="0"/>
              <w:widowControl/>
              <w:spacing w:line="230" w:lineRule="auto" w:before="10" w:after="0"/>
              <w:ind w:left="0" w:right="184" w:firstLine="0"/>
              <w:jc w:val="right"/>
            </w:pPr>
            <w:r>
              <w:rPr>
                <w:rFonts w:ascii="Arial" w:hAnsi="Arial" w:eastAsia="Arial"/>
                <w:b w:val="0"/>
                <w:i w:val="0"/>
                <w:color w:val="000000"/>
                <w:sz w:val="16"/>
              </w:rPr>
              <w:t xml:space="preserve">- </w:t>
            </w:r>
          </w:p>
        </w:tc>
        <w:tc>
          <w:tcPr>
            <w:tcW w:type="dxa" w:w="1222"/>
            <w:tcBorders/>
            <w:tcMar>
              <w:start w:w="0" w:type="dxa"/>
              <w:end w:w="0" w:type="dxa"/>
            </w:tcMar>
          </w:tcPr>
          <w:p>
            <w:pPr>
              <w:autoSpaceDN w:val="0"/>
              <w:autoSpaceDE w:val="0"/>
              <w:widowControl/>
              <w:spacing w:line="230" w:lineRule="auto" w:before="10" w:after="0"/>
              <w:ind w:left="0" w:right="0" w:firstLine="0"/>
              <w:jc w:val="right"/>
            </w:pPr>
            <w:r>
              <w:rPr>
                <w:rFonts w:ascii="Arial" w:hAnsi="Arial" w:eastAsia="Arial"/>
                <w:b w:val="0"/>
                <w:i w:val="0"/>
                <w:color w:val="000000"/>
                <w:sz w:val="16"/>
              </w:rPr>
              <w:t>-</w:t>
            </w:r>
          </w:p>
        </w:tc>
        <w:tc>
          <w:tcPr>
            <w:tcW w:type="dxa" w:w="1682"/>
            <w:tcBorders/>
            <w:tcMar>
              <w:start w:w="0" w:type="dxa"/>
              <w:end w:w="0" w:type="dxa"/>
            </w:tcMar>
          </w:tcPr>
          <w:p>
            <w:pPr>
              <w:autoSpaceDN w:val="0"/>
              <w:autoSpaceDE w:val="0"/>
              <w:widowControl/>
              <w:spacing w:line="230" w:lineRule="auto" w:before="10" w:after="0"/>
              <w:ind w:left="0" w:right="130" w:firstLine="0"/>
              <w:jc w:val="right"/>
            </w:pPr>
            <w:r>
              <w:rPr>
                <w:rFonts w:ascii="Arial" w:hAnsi="Arial" w:eastAsia="Arial"/>
                <w:b w:val="0"/>
                <w:i w:val="0"/>
                <w:color w:val="000000"/>
                <w:sz w:val="16"/>
              </w:rPr>
              <w:t xml:space="preserve">(7,090,320) </w:t>
            </w:r>
          </w:p>
        </w:tc>
        <w:tc>
          <w:tcPr>
            <w:tcW w:type="dxa" w:w="1044"/>
            <w:tcBorders/>
            <w:tcMar>
              <w:start w:w="0" w:type="dxa"/>
              <w:end w:w="0" w:type="dxa"/>
            </w:tcMar>
          </w:tcPr>
          <w:p>
            <w:pPr>
              <w:autoSpaceDN w:val="0"/>
              <w:autoSpaceDE w:val="0"/>
              <w:widowControl/>
              <w:spacing w:line="230" w:lineRule="auto" w:before="10" w:after="0"/>
              <w:ind w:left="242" w:right="0" w:firstLine="0"/>
              <w:jc w:val="left"/>
            </w:pPr>
            <w:r>
              <w:rPr>
                <w:rFonts w:ascii="Arial" w:hAnsi="Arial" w:eastAsia="Arial"/>
                <w:b w:val="0"/>
                <w:i w:val="0"/>
                <w:color w:val="000000"/>
                <w:sz w:val="16"/>
              </w:rPr>
              <w:t>21,270,959</w:t>
            </w:r>
          </w:p>
        </w:tc>
        <w:tc>
          <w:tcPr>
            <w:tcW w:type="dxa" w:w="1654"/>
            <w:tcBorders/>
            <w:tcMar>
              <w:start w:w="0" w:type="dxa"/>
              <w:end w:w="0" w:type="dxa"/>
            </w:tcMar>
          </w:tcPr>
          <w:p>
            <w:pPr>
              <w:autoSpaceDN w:val="0"/>
              <w:autoSpaceDE w:val="0"/>
              <w:widowControl/>
              <w:spacing w:line="230" w:lineRule="auto" w:before="10" w:after="0"/>
              <w:ind w:left="0" w:right="192" w:firstLine="0"/>
              <w:jc w:val="right"/>
            </w:pPr>
            <w:r>
              <w:rPr>
                <w:rFonts w:ascii="Arial" w:hAnsi="Arial" w:eastAsia="Arial"/>
                <w:b w:val="0"/>
                <w:i w:val="0"/>
                <w:color w:val="000000"/>
                <w:sz w:val="16"/>
              </w:rPr>
              <w:t xml:space="preserve">- </w:t>
            </w:r>
          </w:p>
        </w:tc>
        <w:tc>
          <w:tcPr>
            <w:tcW w:type="dxa" w:w="1722"/>
            <w:tcBorders/>
            <w:tcMar>
              <w:start w:w="0" w:type="dxa"/>
              <w:end w:w="0" w:type="dxa"/>
            </w:tcMar>
          </w:tcPr>
          <w:p>
            <w:pPr>
              <w:autoSpaceDN w:val="0"/>
              <w:autoSpaceDE w:val="0"/>
              <w:widowControl/>
              <w:spacing w:line="230" w:lineRule="auto" w:before="10" w:after="0"/>
              <w:ind w:left="0" w:right="6" w:firstLine="0"/>
              <w:jc w:val="right"/>
            </w:pPr>
            <w:r>
              <w:rPr>
                <w:rFonts w:ascii="Arial" w:hAnsi="Arial" w:eastAsia="Arial"/>
                <w:b w:val="0"/>
                <w:i w:val="0"/>
                <w:color w:val="000000"/>
                <w:sz w:val="16"/>
              </w:rPr>
              <w:t xml:space="preserve">(8,806,855 ) </w:t>
            </w:r>
          </w:p>
        </w:tc>
      </w:tr>
      <w:tr>
        <w:trPr>
          <w:trHeight w:hRule="exact" w:val="258"/>
        </w:trPr>
        <w:tc>
          <w:tcPr>
            <w:tcW w:type="dxa" w:w="1407"/>
            <w:vMerge/>
            <w:tcBorders>
              <w:bottom w:sz="4.0" w:val="single" w:color="#000000"/>
            </w:tcBorders>
          </w:tcPr>
          <w:p/>
        </w:tc>
        <w:tc>
          <w:tcPr>
            <w:tcW w:type="dxa" w:w="1794"/>
            <w:tcBorders>
              <w:bottom w:sz="4.0" w:val="single" w:color="#000000"/>
            </w:tcBorders>
            <w:tcMar>
              <w:start w:w="0" w:type="dxa"/>
              <w:end w:w="0" w:type="dxa"/>
            </w:tcMar>
          </w:tcPr>
          <w:p>
            <w:pPr>
              <w:autoSpaceDN w:val="0"/>
              <w:autoSpaceDE w:val="0"/>
              <w:widowControl/>
              <w:spacing w:line="160" w:lineRule="exact" w:before="66" w:after="0"/>
              <w:ind w:left="126" w:right="0" w:firstLine="0"/>
              <w:jc w:val="left"/>
            </w:pPr>
            <w:r>
              <w:rPr>
                <w:rFonts w:ascii="黑体" w:hAnsi="黑体" w:eastAsia="黑体"/>
                <w:b w:val="0"/>
                <w:i w:val="0"/>
                <w:color w:val="000000"/>
                <w:sz w:val="16"/>
              </w:rPr>
              <w:t>其他</w:t>
            </w:r>
          </w:p>
        </w:tc>
        <w:tc>
          <w:tcPr>
            <w:tcW w:type="dxa" w:w="1600"/>
            <w:tcBorders>
              <w:bottom w:sz="4.0" w:val="single" w:color="#000000"/>
            </w:tcBorders>
            <w:tcMar>
              <w:start w:w="0" w:type="dxa"/>
              <w:end w:w="0" w:type="dxa"/>
            </w:tcMar>
          </w:tcPr>
          <w:p>
            <w:pPr>
              <w:autoSpaceDN w:val="0"/>
              <w:autoSpaceDE w:val="0"/>
              <w:widowControl/>
              <w:spacing w:line="233" w:lineRule="auto" w:before="68" w:after="0"/>
              <w:ind w:left="0" w:right="228" w:firstLine="0"/>
              <w:jc w:val="right"/>
            </w:pPr>
            <w:r>
              <w:rPr>
                <w:rFonts w:ascii="Arial" w:hAnsi="Arial" w:eastAsia="Arial"/>
                <w:b w:val="0"/>
                <w:i w:val="0"/>
                <w:color w:val="000000"/>
                <w:sz w:val="16"/>
              </w:rPr>
              <w:t>51,409,123</w:t>
            </w:r>
          </w:p>
        </w:tc>
        <w:tc>
          <w:tcPr>
            <w:tcW w:type="dxa" w:w="1450"/>
            <w:tcBorders>
              <w:bottom w:sz="4.0" w:val="single" w:color="#000000"/>
            </w:tcBorders>
            <w:tcMar>
              <w:start w:w="0" w:type="dxa"/>
              <w:end w:w="0" w:type="dxa"/>
            </w:tcMar>
          </w:tcPr>
          <w:p>
            <w:pPr>
              <w:autoSpaceDN w:val="0"/>
              <w:autoSpaceDE w:val="0"/>
              <w:widowControl/>
              <w:spacing w:line="233" w:lineRule="auto" w:before="68" w:after="0"/>
              <w:ind w:left="0" w:right="184" w:firstLine="0"/>
              <w:jc w:val="right"/>
            </w:pPr>
            <w:r>
              <w:rPr>
                <w:rFonts w:ascii="Arial" w:hAnsi="Arial" w:eastAsia="Arial"/>
                <w:b w:val="0"/>
                <w:i w:val="0"/>
                <w:color w:val="000000"/>
                <w:sz w:val="16"/>
              </w:rPr>
              <w:t xml:space="preserve">10,333,346 </w:t>
            </w:r>
          </w:p>
        </w:tc>
        <w:tc>
          <w:tcPr>
            <w:tcW w:type="dxa" w:w="1452"/>
            <w:tcBorders>
              <w:bottom w:sz="4.0" w:val="single" w:color="#000000"/>
            </w:tcBorders>
            <w:tcMar>
              <w:start w:w="0" w:type="dxa"/>
              <w:end w:w="0" w:type="dxa"/>
            </w:tcMar>
          </w:tcPr>
          <w:p>
            <w:pPr>
              <w:autoSpaceDN w:val="0"/>
              <w:autoSpaceDE w:val="0"/>
              <w:widowControl/>
              <w:spacing w:line="233" w:lineRule="auto" w:before="68" w:after="0"/>
              <w:ind w:left="0" w:right="184" w:firstLine="0"/>
              <w:jc w:val="right"/>
            </w:pPr>
            <w:r>
              <w:rPr>
                <w:rFonts w:ascii="Arial" w:hAnsi="Arial" w:eastAsia="Arial"/>
                <w:b w:val="0"/>
                <w:i w:val="0"/>
                <w:color w:val="000000"/>
                <w:sz w:val="16"/>
              </w:rPr>
              <w:t xml:space="preserve">- </w:t>
            </w:r>
          </w:p>
        </w:tc>
        <w:tc>
          <w:tcPr>
            <w:tcW w:type="dxa" w:w="1222"/>
            <w:tcBorders>
              <w:bottom w:sz="4.0" w:val="single" w:color="#000000"/>
            </w:tcBorders>
            <w:tcMar>
              <w:start w:w="0" w:type="dxa"/>
              <w:end w:w="0" w:type="dxa"/>
            </w:tcMar>
          </w:tcPr>
          <w:p>
            <w:pPr>
              <w:autoSpaceDN w:val="0"/>
              <w:autoSpaceDE w:val="0"/>
              <w:widowControl/>
              <w:spacing w:line="233" w:lineRule="auto" w:before="68" w:after="0"/>
              <w:ind w:left="0" w:right="0" w:firstLine="0"/>
              <w:jc w:val="right"/>
            </w:pPr>
            <w:r>
              <w:rPr>
                <w:rFonts w:ascii="Arial" w:hAnsi="Arial" w:eastAsia="Arial"/>
                <w:b w:val="0"/>
                <w:i w:val="0"/>
                <w:color w:val="000000"/>
                <w:sz w:val="16"/>
              </w:rPr>
              <w:t>-</w:t>
            </w:r>
          </w:p>
        </w:tc>
        <w:tc>
          <w:tcPr>
            <w:tcW w:type="dxa" w:w="1682"/>
            <w:tcBorders>
              <w:bottom w:sz="4.0" w:val="single" w:color="#000000"/>
            </w:tcBorders>
            <w:tcMar>
              <w:start w:w="0" w:type="dxa"/>
              <w:end w:w="0" w:type="dxa"/>
            </w:tcMar>
          </w:tcPr>
          <w:p>
            <w:pPr>
              <w:autoSpaceDN w:val="0"/>
              <w:autoSpaceDE w:val="0"/>
              <w:widowControl/>
              <w:spacing w:line="233" w:lineRule="auto" w:before="68" w:after="0"/>
              <w:ind w:left="0" w:right="226" w:firstLine="0"/>
              <w:jc w:val="right"/>
            </w:pPr>
            <w:r>
              <w:rPr>
                <w:rFonts w:ascii="Arial" w:hAnsi="Arial" w:eastAsia="Arial"/>
                <w:b w:val="0"/>
                <w:i w:val="0"/>
                <w:color w:val="000000"/>
                <w:sz w:val="16"/>
              </w:rPr>
              <w:t>-</w:t>
            </w:r>
          </w:p>
        </w:tc>
        <w:tc>
          <w:tcPr>
            <w:tcW w:type="dxa" w:w="1044"/>
            <w:tcBorders>
              <w:bottom w:sz="4.0" w:val="single" w:color="#000000"/>
            </w:tcBorders>
            <w:tcMar>
              <w:start w:w="0" w:type="dxa"/>
              <w:end w:w="0" w:type="dxa"/>
            </w:tcMar>
          </w:tcPr>
          <w:p>
            <w:pPr>
              <w:autoSpaceDN w:val="0"/>
              <w:autoSpaceDE w:val="0"/>
              <w:widowControl/>
              <w:spacing w:line="233" w:lineRule="auto" w:before="68" w:after="0"/>
              <w:ind w:left="242" w:right="0" w:firstLine="0"/>
              <w:jc w:val="left"/>
            </w:pPr>
            <w:r>
              <w:rPr>
                <w:rFonts w:ascii="Arial" w:hAnsi="Arial" w:eastAsia="Arial"/>
                <w:b w:val="0"/>
                <w:i w:val="0"/>
                <w:color w:val="000000"/>
                <w:sz w:val="16"/>
              </w:rPr>
              <w:t>10,333,346</w:t>
            </w:r>
          </w:p>
        </w:tc>
        <w:tc>
          <w:tcPr>
            <w:tcW w:type="dxa" w:w="1654"/>
            <w:tcBorders>
              <w:bottom w:sz="4.0" w:val="single" w:color="#000000"/>
            </w:tcBorders>
            <w:tcMar>
              <w:start w:w="0" w:type="dxa"/>
              <w:end w:w="0" w:type="dxa"/>
            </w:tcMar>
          </w:tcPr>
          <w:p>
            <w:pPr>
              <w:autoSpaceDN w:val="0"/>
              <w:autoSpaceDE w:val="0"/>
              <w:widowControl/>
              <w:spacing w:line="233" w:lineRule="auto" w:before="68" w:after="0"/>
              <w:ind w:left="0" w:right="192" w:firstLine="0"/>
              <w:jc w:val="right"/>
            </w:pPr>
            <w:r>
              <w:rPr>
                <w:rFonts w:ascii="Arial" w:hAnsi="Arial" w:eastAsia="Arial"/>
                <w:b w:val="0"/>
                <w:i w:val="0"/>
                <w:color w:val="000000"/>
                <w:sz w:val="16"/>
              </w:rPr>
              <w:t xml:space="preserve">- </w:t>
            </w:r>
          </w:p>
        </w:tc>
        <w:tc>
          <w:tcPr>
            <w:tcW w:type="dxa" w:w="1722"/>
            <w:tcBorders>
              <w:bottom w:sz="4.0" w:val="single" w:color="#000000"/>
            </w:tcBorders>
            <w:tcMar>
              <w:start w:w="0" w:type="dxa"/>
              <w:end w:w="0" w:type="dxa"/>
            </w:tcMar>
          </w:tcPr>
          <w:p>
            <w:pPr>
              <w:autoSpaceDN w:val="0"/>
              <w:autoSpaceDE w:val="0"/>
              <w:widowControl/>
              <w:spacing w:line="233" w:lineRule="auto" w:before="68" w:after="0"/>
              <w:ind w:left="0" w:right="60" w:firstLine="0"/>
              <w:jc w:val="right"/>
            </w:pPr>
            <w:r>
              <w:rPr>
                <w:rFonts w:ascii="Arial" w:hAnsi="Arial" w:eastAsia="Arial"/>
                <w:b w:val="0"/>
                <w:i w:val="0"/>
                <w:color w:val="000000"/>
                <w:sz w:val="16"/>
              </w:rPr>
              <w:t xml:space="preserve">61,742,469 </w:t>
            </w:r>
          </w:p>
        </w:tc>
      </w:tr>
      <w:tr>
        <w:trPr>
          <w:trHeight w:hRule="exact" w:val="466"/>
        </w:trPr>
        <w:tc>
          <w:tcPr>
            <w:tcW w:type="dxa" w:w="440"/>
            <w:tcBorders>
              <w:top w:sz="4.0" w:val="single" w:color="#000000"/>
              <w:bottom w:sz="4.0" w:val="single" w:color="#000000"/>
            </w:tcBorders>
            <w:tcMar>
              <w:start w:w="0" w:type="dxa"/>
              <w:end w:w="0" w:type="dxa"/>
            </w:tcMar>
          </w:tcPr>
          <w:p>
            <w:pPr>
              <w:autoSpaceDN w:val="0"/>
              <w:autoSpaceDE w:val="0"/>
              <w:widowControl/>
              <w:spacing w:line="160" w:lineRule="exact" w:before="274" w:after="0"/>
              <w:ind w:left="0" w:right="0" w:firstLine="0"/>
              <w:jc w:val="left"/>
            </w:pPr>
            <w:r>
              <w:rPr>
                <w:rFonts w:ascii="黑体" w:hAnsi="黑体" w:eastAsia="黑体"/>
                <w:b w:val="0"/>
                <w:i w:val="0"/>
                <w:color w:val="000000"/>
                <w:sz w:val="16"/>
              </w:rPr>
              <w:t>小计</w:t>
            </w:r>
          </w:p>
        </w:tc>
        <w:tc>
          <w:tcPr>
            <w:tcW w:type="dxa" w:w="1794"/>
            <w:tcBorders>
              <w:top w:sz="4.0" w:val="single" w:color="#000000"/>
              <w:bottom w:sz="4.0" w:val="single" w:color="#000000"/>
            </w:tcBorders>
            <w:tcMar>
              <w:start w:w="0" w:type="dxa"/>
              <w:end w:w="0" w:type="dxa"/>
            </w:tcMar>
          </w:tcPr>
          <w:p/>
        </w:tc>
        <w:tc>
          <w:tcPr>
            <w:tcW w:type="dxa" w:w="1600"/>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228" w:firstLine="0"/>
              <w:jc w:val="right"/>
            </w:pPr>
            <w:r>
              <w:rPr>
                <w:rFonts w:ascii="Arial" w:hAnsi="Arial" w:eastAsia="Arial"/>
                <w:b w:val="0"/>
                <w:i w:val="0"/>
                <w:color w:val="000000"/>
                <w:sz w:val="16"/>
              </w:rPr>
              <w:t>7,354,278</w:t>
            </w:r>
          </w:p>
        </w:tc>
        <w:tc>
          <w:tcPr>
            <w:tcW w:type="dxa" w:w="1450"/>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184" w:firstLine="0"/>
              <w:jc w:val="right"/>
            </w:pPr>
            <w:r>
              <w:rPr>
                <w:rFonts w:ascii="Arial" w:hAnsi="Arial" w:eastAsia="Arial"/>
                <w:b w:val="0"/>
                <w:i w:val="0"/>
                <w:color w:val="000000"/>
                <w:sz w:val="16"/>
              </w:rPr>
              <w:t xml:space="preserve">37,620,145 </w:t>
            </w:r>
          </w:p>
        </w:tc>
        <w:tc>
          <w:tcPr>
            <w:tcW w:type="dxa" w:w="1452"/>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130" w:firstLine="0"/>
              <w:jc w:val="right"/>
            </w:pPr>
            <w:r>
              <w:rPr>
                <w:rFonts w:ascii="Arial" w:hAnsi="Arial" w:eastAsia="Arial"/>
                <w:b w:val="0"/>
                <w:i w:val="0"/>
                <w:color w:val="000000"/>
                <w:sz w:val="16"/>
              </w:rPr>
              <w:t xml:space="preserve">(2,233,610 ) </w:t>
            </w:r>
          </w:p>
        </w:tc>
        <w:tc>
          <w:tcPr>
            <w:tcW w:type="dxa" w:w="1222"/>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0" w:firstLine="0"/>
              <w:jc w:val="right"/>
            </w:pPr>
            <w:r>
              <w:rPr>
                <w:rFonts w:ascii="Arial" w:hAnsi="Arial" w:eastAsia="Arial"/>
                <w:b w:val="0"/>
                <w:i w:val="0"/>
                <w:color w:val="000000"/>
                <w:sz w:val="16"/>
              </w:rPr>
              <w:t>-</w:t>
            </w:r>
          </w:p>
        </w:tc>
        <w:tc>
          <w:tcPr>
            <w:tcW w:type="dxa" w:w="1682"/>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130" w:firstLine="0"/>
              <w:jc w:val="right"/>
            </w:pPr>
            <w:r>
              <w:rPr>
                <w:rFonts w:ascii="Arial" w:hAnsi="Arial" w:eastAsia="Arial"/>
                <w:b w:val="0"/>
                <w:i w:val="0"/>
                <w:color w:val="000000"/>
                <w:sz w:val="16"/>
              </w:rPr>
              <w:t xml:space="preserve">(6,263,298) </w:t>
            </w:r>
          </w:p>
        </w:tc>
        <w:tc>
          <w:tcPr>
            <w:tcW w:type="dxa" w:w="1044"/>
            <w:tcBorders>
              <w:top w:sz="4.0" w:val="single" w:color="#000000"/>
              <w:bottom w:sz="4.0" w:val="single" w:color="#000000"/>
            </w:tcBorders>
            <w:tcMar>
              <w:start w:w="0" w:type="dxa"/>
              <w:end w:w="0" w:type="dxa"/>
            </w:tcMar>
          </w:tcPr>
          <w:p>
            <w:pPr>
              <w:autoSpaceDN w:val="0"/>
              <w:autoSpaceDE w:val="0"/>
              <w:widowControl/>
              <w:spacing w:line="233" w:lineRule="auto" w:before="276" w:after="0"/>
              <w:ind w:left="242" w:right="0" w:firstLine="0"/>
              <w:jc w:val="left"/>
            </w:pPr>
            <w:r>
              <w:rPr>
                <w:rFonts w:ascii="Arial" w:hAnsi="Arial" w:eastAsia="Arial"/>
                <w:b w:val="0"/>
                <w:i w:val="0"/>
                <w:color w:val="000000"/>
                <w:sz w:val="16"/>
              </w:rPr>
              <w:t>29,123,237</w:t>
            </w:r>
          </w:p>
        </w:tc>
        <w:tc>
          <w:tcPr>
            <w:tcW w:type="dxa" w:w="1654"/>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192" w:firstLine="0"/>
              <w:jc w:val="right"/>
            </w:pPr>
            <w:r>
              <w:rPr>
                <w:rFonts w:ascii="Arial" w:hAnsi="Arial" w:eastAsia="Arial"/>
                <w:b w:val="0"/>
                <w:i w:val="0"/>
                <w:color w:val="000000"/>
                <w:sz w:val="16"/>
              </w:rPr>
              <w:t xml:space="preserve">- </w:t>
            </w:r>
          </w:p>
        </w:tc>
        <w:tc>
          <w:tcPr>
            <w:tcW w:type="dxa" w:w="1722"/>
            <w:tcBorders>
              <w:top w:sz="4.0" w:val="single" w:color="#000000"/>
              <w:bottom w:sz="4.0" w:val="single" w:color="#000000"/>
            </w:tcBorders>
            <w:tcMar>
              <w:start w:w="0" w:type="dxa"/>
              <w:end w:w="0" w:type="dxa"/>
            </w:tcMar>
          </w:tcPr>
          <w:p>
            <w:pPr>
              <w:autoSpaceDN w:val="0"/>
              <w:autoSpaceDE w:val="0"/>
              <w:widowControl/>
              <w:spacing w:line="233" w:lineRule="auto" w:before="276" w:after="0"/>
              <w:ind w:left="0" w:right="60" w:firstLine="0"/>
              <w:jc w:val="right"/>
            </w:pPr>
            <w:r>
              <w:rPr>
                <w:rFonts w:ascii="Arial" w:hAnsi="Arial" w:eastAsia="Arial"/>
                <w:b w:val="0"/>
                <w:i w:val="0"/>
                <w:color w:val="000000"/>
                <w:sz w:val="16"/>
              </w:rPr>
              <w:t xml:space="preserve">36,477,515 </w:t>
            </w:r>
          </w:p>
        </w:tc>
      </w:tr>
      <w:tr>
        <w:trPr>
          <w:trHeight w:hRule="exact" w:val="474"/>
        </w:trPr>
        <w:tc>
          <w:tcPr>
            <w:tcW w:type="dxa" w:w="440"/>
            <w:tcBorders>
              <w:top w:sz="4.0" w:val="single" w:color="#000000"/>
              <w:bottom w:sz="4.0" w:val="single" w:color="#000000"/>
            </w:tcBorders>
            <w:tcMar>
              <w:start w:w="0" w:type="dxa"/>
              <w:end w:w="0" w:type="dxa"/>
            </w:tcMar>
          </w:tcPr>
          <w:p>
            <w:pPr>
              <w:autoSpaceDN w:val="0"/>
              <w:autoSpaceDE w:val="0"/>
              <w:widowControl/>
              <w:spacing w:line="162" w:lineRule="exact" w:before="278" w:after="0"/>
              <w:ind w:left="0" w:right="0" w:firstLine="0"/>
              <w:jc w:val="left"/>
            </w:pPr>
            <w:r>
              <w:rPr>
                <w:rFonts w:ascii="黑体" w:hAnsi="黑体" w:eastAsia="黑体"/>
                <w:b w:val="0"/>
                <w:i w:val="0"/>
                <w:color w:val="000000"/>
                <w:sz w:val="16"/>
              </w:rPr>
              <w:t>合计</w:t>
            </w:r>
          </w:p>
        </w:tc>
        <w:tc>
          <w:tcPr>
            <w:tcW w:type="dxa" w:w="1794"/>
            <w:tcBorders>
              <w:top w:sz="4.0" w:val="single" w:color="#000000"/>
              <w:bottom w:sz="4.0" w:val="single" w:color="#000000"/>
            </w:tcBorders>
            <w:tcMar>
              <w:start w:w="0" w:type="dxa"/>
              <w:end w:w="0" w:type="dxa"/>
            </w:tcMar>
          </w:tcPr>
          <w:p/>
        </w:tc>
        <w:tc>
          <w:tcPr>
            <w:tcW w:type="dxa" w:w="1600"/>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130" w:firstLine="0"/>
              <w:jc w:val="right"/>
            </w:pPr>
            <w:r>
              <w:rPr>
                <w:rFonts w:ascii="Arial" w:hAnsi="Arial" w:eastAsia="Arial"/>
                <w:b w:val="0"/>
                <w:i w:val="0"/>
                <w:color w:val="000000"/>
                <w:sz w:val="16"/>
              </w:rPr>
              <w:t xml:space="preserve">(105,136,326) </w:t>
            </w:r>
          </w:p>
        </w:tc>
        <w:tc>
          <w:tcPr>
            <w:tcW w:type="dxa" w:w="1450"/>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184" w:firstLine="0"/>
              <w:jc w:val="right"/>
            </w:pPr>
            <w:r>
              <w:rPr>
                <w:rFonts w:ascii="Arial" w:hAnsi="Arial" w:eastAsia="Arial"/>
                <w:b w:val="0"/>
                <w:i w:val="0"/>
                <w:color w:val="000000"/>
                <w:sz w:val="16"/>
              </w:rPr>
              <w:t xml:space="preserve">26,808,670 </w:t>
            </w:r>
          </w:p>
        </w:tc>
        <w:tc>
          <w:tcPr>
            <w:tcW w:type="dxa" w:w="1452"/>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130" w:firstLine="0"/>
              <w:jc w:val="right"/>
            </w:pPr>
            <w:r>
              <w:rPr>
                <w:rFonts w:ascii="Arial" w:hAnsi="Arial" w:eastAsia="Arial"/>
                <w:b w:val="0"/>
                <w:i w:val="0"/>
                <w:color w:val="000000"/>
                <w:sz w:val="16"/>
              </w:rPr>
              <w:t xml:space="preserve">(2,233,610 ) </w:t>
            </w:r>
          </w:p>
        </w:tc>
        <w:tc>
          <w:tcPr>
            <w:tcW w:type="dxa" w:w="1222"/>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0" w:firstLine="0"/>
              <w:jc w:val="right"/>
            </w:pPr>
            <w:r>
              <w:rPr>
                <w:rFonts w:ascii="Arial" w:hAnsi="Arial" w:eastAsia="Arial"/>
                <w:b w:val="0"/>
                <w:i w:val="0"/>
                <w:color w:val="000000"/>
                <w:sz w:val="16"/>
              </w:rPr>
              <w:t>10,175,418</w:t>
            </w:r>
          </w:p>
        </w:tc>
        <w:tc>
          <w:tcPr>
            <w:tcW w:type="dxa" w:w="1682"/>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130" w:firstLine="0"/>
              <w:jc w:val="right"/>
            </w:pPr>
            <w:r>
              <w:rPr>
                <w:rFonts w:ascii="Arial" w:hAnsi="Arial" w:eastAsia="Arial"/>
                <w:b w:val="0"/>
                <w:i w:val="0"/>
                <w:color w:val="000000"/>
                <w:sz w:val="16"/>
              </w:rPr>
              <w:t xml:space="preserve">(4,408,496) </w:t>
            </w:r>
          </w:p>
        </w:tc>
        <w:tc>
          <w:tcPr>
            <w:tcW w:type="dxa" w:w="1044"/>
            <w:tcBorders>
              <w:top w:sz="4.0" w:val="single" w:color="#000000"/>
              <w:bottom w:sz="4.0" w:val="single" w:color="#000000"/>
            </w:tcBorders>
            <w:tcMar>
              <w:start w:w="0" w:type="dxa"/>
              <w:end w:w="0" w:type="dxa"/>
            </w:tcMar>
          </w:tcPr>
          <w:p>
            <w:pPr>
              <w:autoSpaceDN w:val="0"/>
              <w:autoSpaceDE w:val="0"/>
              <w:widowControl/>
              <w:spacing w:line="233" w:lineRule="auto" w:before="278" w:after="0"/>
              <w:ind w:left="242" w:right="0" w:firstLine="0"/>
              <w:jc w:val="left"/>
            </w:pPr>
            <w:r>
              <w:rPr>
                <w:rFonts w:ascii="Arial" w:hAnsi="Arial" w:eastAsia="Arial"/>
                <w:b w:val="0"/>
                <w:i w:val="0"/>
                <w:color w:val="000000"/>
                <w:sz w:val="16"/>
              </w:rPr>
              <w:t>25,602,265</w:t>
            </w:r>
          </w:p>
        </w:tc>
        <w:tc>
          <w:tcPr>
            <w:tcW w:type="dxa" w:w="1654"/>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192" w:firstLine="0"/>
              <w:jc w:val="right"/>
            </w:pPr>
            <w:r>
              <w:rPr>
                <w:rFonts w:ascii="Arial" w:hAnsi="Arial" w:eastAsia="Arial"/>
                <w:b w:val="0"/>
                <w:i w:val="0"/>
                <w:color w:val="000000"/>
                <w:sz w:val="16"/>
              </w:rPr>
              <w:t xml:space="preserve">4,739,717 </w:t>
            </w:r>
          </w:p>
        </w:tc>
        <w:tc>
          <w:tcPr>
            <w:tcW w:type="dxa" w:w="1722"/>
            <w:tcBorders>
              <w:top w:sz="4.0" w:val="single" w:color="#000000"/>
              <w:bottom w:sz="4.0" w:val="single" w:color="#000000"/>
            </w:tcBorders>
            <w:tcMar>
              <w:start w:w="0" w:type="dxa"/>
              <w:end w:w="0" w:type="dxa"/>
            </w:tcMar>
          </w:tcPr>
          <w:p>
            <w:pPr>
              <w:autoSpaceDN w:val="0"/>
              <w:autoSpaceDE w:val="0"/>
              <w:widowControl/>
              <w:spacing w:line="233" w:lineRule="auto" w:before="278" w:after="0"/>
              <w:ind w:left="0" w:right="6" w:firstLine="0"/>
              <w:jc w:val="right"/>
            </w:pPr>
            <w:r>
              <w:rPr>
                <w:rFonts w:ascii="Arial" w:hAnsi="Arial" w:eastAsia="Arial"/>
                <w:b w:val="0"/>
                <w:i w:val="0"/>
                <w:color w:val="000000"/>
                <w:sz w:val="16"/>
              </w:rPr>
              <w:t xml:space="preserve">(79,534,061 ) </w:t>
            </w:r>
          </w:p>
        </w:tc>
      </w:tr>
      <w:tr>
        <w:trPr>
          <w:trHeight w:hRule="exact" w:val="48"/>
        </w:trPr>
        <w:tc>
          <w:tcPr>
            <w:tcW w:type="dxa" w:w="440"/>
            <w:tcBorders>
              <w:top w:sz="4.0" w:val="single" w:color="#000000"/>
            </w:tcBorders>
            <w:tcMar>
              <w:start w:w="0" w:type="dxa"/>
              <w:end w:w="0" w:type="dxa"/>
            </w:tcMar>
          </w:tcPr>
          <w:p/>
        </w:tc>
        <w:tc>
          <w:tcPr>
            <w:tcW w:type="dxa" w:w="1794"/>
            <w:tcBorders>
              <w:top w:sz="4.0" w:val="single" w:color="#000000"/>
            </w:tcBorders>
            <w:tcMar>
              <w:start w:w="0" w:type="dxa"/>
              <w:end w:w="0" w:type="dxa"/>
            </w:tcMar>
          </w:tcPr>
          <w:p/>
        </w:tc>
        <w:tc>
          <w:tcPr>
            <w:tcW w:type="dxa" w:w="1600"/>
            <w:tcBorders>
              <w:top w:sz="4.0" w:val="single" w:color="#000000"/>
            </w:tcBorders>
            <w:tcMar>
              <w:start w:w="0" w:type="dxa"/>
              <w:end w:w="0" w:type="dxa"/>
            </w:tcMar>
          </w:tcPr>
          <w:p/>
        </w:tc>
        <w:tc>
          <w:tcPr>
            <w:tcW w:type="dxa" w:w="1450"/>
            <w:tcBorders>
              <w:top w:sz="4.0" w:val="single" w:color="#000000"/>
            </w:tcBorders>
            <w:tcMar>
              <w:start w:w="0" w:type="dxa"/>
              <w:end w:w="0" w:type="dxa"/>
            </w:tcMar>
          </w:tcPr>
          <w:p/>
        </w:tc>
        <w:tc>
          <w:tcPr>
            <w:tcW w:type="dxa" w:w="1452"/>
            <w:tcBorders>
              <w:top w:sz="4.0" w:val="single" w:color="#000000"/>
            </w:tcBorders>
            <w:tcMar>
              <w:start w:w="0" w:type="dxa"/>
              <w:end w:w="0" w:type="dxa"/>
            </w:tcMar>
          </w:tcPr>
          <w:p/>
        </w:tc>
        <w:tc>
          <w:tcPr>
            <w:tcW w:type="dxa" w:w="1222"/>
            <w:tcBorders>
              <w:top w:sz="4.0" w:val="single" w:color="#000000"/>
            </w:tcBorders>
            <w:tcMar>
              <w:start w:w="0" w:type="dxa"/>
              <w:end w:w="0" w:type="dxa"/>
            </w:tcMar>
          </w:tcPr>
          <w:p/>
        </w:tc>
        <w:tc>
          <w:tcPr>
            <w:tcW w:type="dxa" w:w="1682"/>
            <w:tcBorders>
              <w:top w:sz="4.0" w:val="single" w:color="#000000"/>
            </w:tcBorders>
            <w:tcMar>
              <w:start w:w="0" w:type="dxa"/>
              <w:end w:w="0" w:type="dxa"/>
            </w:tcMar>
          </w:tcPr>
          <w:p/>
        </w:tc>
        <w:tc>
          <w:tcPr>
            <w:tcW w:type="dxa" w:w="1044"/>
            <w:tcBorders>
              <w:top w:sz="4.0" w:val="single" w:color="#000000"/>
            </w:tcBorders>
            <w:tcMar>
              <w:start w:w="0" w:type="dxa"/>
              <w:end w:w="0" w:type="dxa"/>
            </w:tcMar>
          </w:tcPr>
          <w:p/>
        </w:tc>
        <w:tc>
          <w:tcPr>
            <w:tcW w:type="dxa" w:w="1654"/>
            <w:tcBorders>
              <w:top w:sz="4.0" w:val="single" w:color="#000000"/>
            </w:tcBorders>
            <w:tcMar>
              <w:start w:w="0" w:type="dxa"/>
              <w:end w:w="0" w:type="dxa"/>
            </w:tcMar>
          </w:tcPr>
          <w:p/>
        </w:tc>
        <w:tc>
          <w:tcPr>
            <w:tcW w:type="dxa" w:w="1722"/>
            <w:tcBorders>
              <w:top w:sz="4.0" w:val="single" w:color="#000000"/>
            </w:tcBorders>
            <w:tcMar>
              <w:start w:w="0" w:type="dxa"/>
              <w:end w:w="0" w:type="dxa"/>
            </w:tcMar>
          </w:tcPr>
          <w:p/>
        </w:tc>
      </w:tr>
    </w:tbl>
    <w:p>
      <w:pPr>
        <w:autoSpaceDN w:val="0"/>
        <w:autoSpaceDE w:val="0"/>
        <w:widowControl/>
        <w:spacing w:line="233" w:lineRule="auto" w:before="2176" w:after="0"/>
        <w:ind w:left="0" w:right="0" w:firstLine="0"/>
        <w:jc w:val="center"/>
      </w:pPr>
      <w:r>
        <w:rPr>
          <w:rFonts w:ascii="Arial" w:hAnsi="Arial" w:eastAsia="Arial"/>
          <w:b w:val="0"/>
          <w:i w:val="0"/>
          <w:color w:val="000000"/>
          <w:sz w:val="20"/>
        </w:rPr>
        <w:t xml:space="preserve">232 </w:t>
      </w:r>
    </w:p>
    <w:p>
      <w:pPr>
        <w:sectPr>
          <w:pgSz w:w="16841" w:h="11906"/>
          <w:pgMar w:top="1182" w:right="1326" w:bottom="362" w:left="1440" w:header="720" w:footer="720" w:gutter="0"/>
          <w:cols/>
          <w:docGrid w:linePitch="360"/>
        </w:sectPr>
      </w:pPr>
    </w:p>
    <w:p>
      <w:pPr>
        <w:autoSpaceDN w:val="0"/>
        <w:autoSpaceDE w:val="0"/>
        <w:widowControl/>
        <w:spacing w:line="220" w:lineRule="exact" w:before="0" w:after="782"/>
        <w:ind w:left="0" w:right="0"/>
      </w:pPr>
    </w:p>
    <w:tbl>
      <w:tblPr>
        <w:tblW w:type="auto" w:w="0"/>
        <w:tblLayout w:type="fixed"/>
        <w:tblLook w:firstColumn="1" w:firstRow="1" w:lastColumn="0" w:lastRow="0" w:noHBand="0" w:noVBand="1" w:val="04A0"/>
        <w:tblInd w:w="160.0" w:type="dxa"/>
      </w:tblPr>
      <w:tblGrid>
        <w:gridCol w:w="1504"/>
        <w:gridCol w:w="1504"/>
        <w:gridCol w:w="1504"/>
        <w:gridCol w:w="1504"/>
        <w:gridCol w:w="1504"/>
        <w:gridCol w:w="1504"/>
      </w:tblGrid>
      <w:tr>
        <w:trPr>
          <w:trHeight w:hRule="exact" w:val="374"/>
        </w:trPr>
        <w:tc>
          <w:tcPr>
            <w:tcW w:type="dxa" w:w="760"/>
            <w:tcBorders/>
            <w:tcMar>
              <w:start w:w="0" w:type="dxa"/>
              <w:end w:w="0" w:type="dxa"/>
            </w:tcMar>
          </w:tcPr>
          <w:p>
            <w:pPr>
              <w:autoSpaceDN w:val="0"/>
              <w:autoSpaceDE w:val="0"/>
              <w:widowControl/>
              <w:spacing w:line="222" w:lineRule="exact" w:before="0" w:after="0"/>
              <w:ind w:left="0" w:right="120" w:firstLine="0"/>
              <w:jc w:val="right"/>
            </w:pPr>
            <w:r>
              <w:rPr>
                <w:rFonts w:ascii="黑体" w:hAnsi="黑体" w:eastAsia="黑体"/>
                <w:b w:val="0"/>
                <w:i w:val="0"/>
                <w:color w:val="000000"/>
                <w:sz w:val="22"/>
              </w:rPr>
              <w:t>五、</w:t>
            </w:r>
          </w:p>
        </w:tc>
        <w:tc>
          <w:tcPr>
            <w:tcW w:type="dxa" w:w="3460"/>
            <w:gridSpan w:val="2"/>
            <w:tcBorders/>
            <w:tcMar>
              <w:start w:w="0" w:type="dxa"/>
              <w:end w:w="0" w:type="dxa"/>
            </w:tcMar>
            <w:tcMar>
              <w:start w:w="0" w:type="dxa"/>
              <w:end w:w="0" w:type="dxa"/>
            </w:tcMar>
          </w:tcPr>
          <w:p>
            <w:pPr>
              <w:autoSpaceDN w:val="0"/>
              <w:autoSpaceDE w:val="0"/>
              <w:widowControl/>
              <w:spacing w:line="222" w:lineRule="exact" w:before="0" w:after="0"/>
              <w:ind w:left="150" w:right="0" w:firstLine="0"/>
              <w:jc w:val="left"/>
            </w:pPr>
            <w:r>
              <w:rPr>
                <w:rFonts w:ascii="黑体" w:hAnsi="黑体" w:eastAsia="黑体"/>
                <w:b w:val="0"/>
                <w:i w:val="0"/>
                <w:color w:val="000000"/>
                <w:sz w:val="22"/>
              </w:rPr>
              <w:t>合并财务报表主要项目注释（续）</w:t>
            </w: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8" w:lineRule="exact" w:before="1096" w:after="0"/>
              <w:ind w:left="55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900"/>
            <w:vMerge w:val="restart"/>
            <w:tcBorders/>
            <w:tcMar>
              <w:start w:w="0" w:type="dxa"/>
              <w:end w:w="0" w:type="dxa"/>
            </w:tcMar>
            <w:tcMar>
              <w:start w:w="0" w:type="dxa"/>
              <w:end w:w="0" w:type="dxa"/>
            </w:tcMar>
          </w:tcPr>
          <w:p>
            <w:pPr>
              <w:autoSpaceDN w:val="0"/>
              <w:autoSpaceDE w:val="0"/>
              <w:widowControl/>
              <w:spacing w:line="248" w:lineRule="exact" w:before="1096" w:after="0"/>
              <w:ind w:left="3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1120"/>
        </w:trPr>
        <w:tc>
          <w:tcPr>
            <w:tcW w:type="dxa" w:w="760"/>
            <w:tcBorders/>
            <w:tcMar>
              <w:start w:w="0" w:type="dxa"/>
              <w:end w:w="0" w:type="dxa"/>
            </w:tcMar>
          </w:tcPr>
          <w:p>
            <w:pPr>
              <w:autoSpaceDN w:val="0"/>
              <w:autoSpaceDE w:val="0"/>
              <w:widowControl/>
              <w:spacing w:line="248" w:lineRule="exact" w:before="170" w:after="0"/>
              <w:ind w:left="0" w:right="0" w:firstLine="0"/>
              <w:jc w:val="center"/>
            </w:pPr>
            <w:r>
              <w:rPr>
                <w:rFonts w:ascii="Arial,Bold" w:hAnsi="Arial,Bold" w:eastAsia="Arial,Bold"/>
                <w:b/>
                <w:i w:val="0"/>
                <w:color w:val="000000"/>
                <w:sz w:val="22"/>
              </w:rPr>
              <w:t xml:space="preserve">36. </w:t>
            </w:r>
          </w:p>
        </w:tc>
        <w:tc>
          <w:tcPr>
            <w:tcW w:type="dxa" w:w="3460"/>
            <w:gridSpan w:val="2"/>
            <w:tcBorders/>
            <w:tcMar>
              <w:start w:w="0" w:type="dxa"/>
              <w:end w:w="0" w:type="dxa"/>
            </w:tcMar>
            <w:tcMar>
              <w:start w:w="0" w:type="dxa"/>
              <w:end w:w="0" w:type="dxa"/>
            </w:tcMar>
          </w:tcPr>
          <w:p>
            <w:pPr>
              <w:autoSpaceDN w:val="0"/>
              <w:autoSpaceDE w:val="0"/>
              <w:widowControl/>
              <w:spacing w:line="220" w:lineRule="exact" w:before="182" w:after="0"/>
              <w:ind w:left="166" w:right="0" w:firstLine="0"/>
              <w:jc w:val="left"/>
            </w:pPr>
            <w:r>
              <w:rPr>
                <w:rFonts w:ascii="黑体" w:hAnsi="黑体" w:eastAsia="黑体"/>
                <w:b w:val="0"/>
                <w:i w:val="0"/>
                <w:color w:val="000000"/>
                <w:sz w:val="22"/>
              </w:rPr>
              <w:t>盈余公积</w:t>
            </w:r>
          </w:p>
        </w:tc>
        <w:tc>
          <w:tcPr>
            <w:tcW w:type="dxa" w:w="3008"/>
            <w:gridSpan w:val="2"/>
            <w:vMerge/>
            <w:tcBorders/>
          </w:tcPr>
          <w:p/>
        </w:tc>
        <w:tc>
          <w:tcPr>
            <w:tcW w:type="dxa" w:w="1504"/>
            <w:vMerge/>
            <w:tcBorders/>
          </w:tcPr>
          <w:p/>
        </w:tc>
      </w:tr>
      <w:tr>
        <w:trPr>
          <w:trHeight w:hRule="exact" w:val="380"/>
        </w:trPr>
        <w:tc>
          <w:tcPr>
            <w:tcW w:type="dxa" w:w="4220"/>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154" w:after="0"/>
              <w:ind w:left="198" w:right="0" w:firstLine="0"/>
              <w:jc w:val="left"/>
            </w:pPr>
            <w:r>
              <w:rPr>
                <w:rFonts w:ascii="黑体" w:hAnsi="黑体" w:eastAsia="黑体"/>
                <w:b w:val="0"/>
                <w:i w:val="0"/>
                <w:color w:val="000000"/>
                <w:sz w:val="22"/>
              </w:rPr>
              <w:t>上年末盈余公积</w:t>
            </w: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60" w:after="0"/>
              <w:ind w:left="0" w:right="386" w:firstLine="0"/>
              <w:jc w:val="right"/>
            </w:pPr>
            <w:r>
              <w:rPr>
                <w:rFonts w:ascii="Arial" w:hAnsi="Arial" w:eastAsia="Arial"/>
                <w:b w:val="0"/>
                <w:i w:val="0"/>
                <w:color w:val="000000"/>
                <w:sz w:val="22"/>
              </w:rPr>
              <w:t xml:space="preserve">813,347,453 </w:t>
            </w:r>
          </w:p>
        </w:tc>
        <w:tc>
          <w:tcPr>
            <w:tcW w:type="dxa" w:w="1900"/>
            <w:vMerge w:val="restart"/>
            <w:tcBorders/>
            <w:tcMar>
              <w:start w:w="0" w:type="dxa"/>
              <w:end w:w="0" w:type="dxa"/>
            </w:tcMar>
            <w:tcMar>
              <w:start w:w="0" w:type="dxa"/>
              <w:end w:w="0" w:type="dxa"/>
            </w:tcMar>
          </w:tcPr>
          <w:p>
            <w:pPr>
              <w:autoSpaceDN w:val="0"/>
              <w:autoSpaceDE w:val="0"/>
              <w:widowControl/>
              <w:spacing w:line="233" w:lineRule="auto" w:before="160" w:after="0"/>
              <w:ind w:left="446" w:right="0" w:firstLine="0"/>
              <w:jc w:val="left"/>
            </w:pPr>
            <w:r>
              <w:rPr>
                <w:rFonts w:ascii="Arial" w:hAnsi="Arial" w:eastAsia="Arial"/>
                <w:b w:val="0"/>
                <w:i w:val="0"/>
                <w:color w:val="000000"/>
                <w:sz w:val="22"/>
              </w:rPr>
              <w:t>761,550,907</w:t>
            </w:r>
          </w:p>
        </w:tc>
      </w:tr>
      <w:tr>
        <w:trPr>
          <w:trHeight w:hRule="exact" w:val="46"/>
        </w:trPr>
        <w:tc>
          <w:tcPr>
            <w:tcW w:type="dxa" w:w="4220"/>
            <w:gridSpan w:val="3"/>
            <w:vMerge w:val="restart"/>
            <w:tcBorders>
              <w:bottom w:sz="3.2000000000000455"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8" w:after="0"/>
              <w:ind w:left="422" w:right="0" w:firstLine="0"/>
              <w:jc w:val="left"/>
            </w:pPr>
            <w:r>
              <w:rPr>
                <w:rFonts w:ascii="黑体" w:hAnsi="黑体" w:eastAsia="黑体"/>
                <w:b w:val="0"/>
                <w:i w:val="0"/>
                <w:color w:val="000000"/>
                <w:sz w:val="22"/>
              </w:rPr>
              <w:t>提取盈余公积</w:t>
            </w:r>
          </w:p>
        </w:tc>
        <w:tc>
          <w:tcPr>
            <w:tcW w:type="dxa" w:w="3008"/>
            <w:gridSpan w:val="2"/>
            <w:vMerge/>
            <w:tcBorders/>
          </w:tcPr>
          <w:p/>
        </w:tc>
        <w:tc>
          <w:tcPr>
            <w:tcW w:type="dxa" w:w="1504"/>
            <w:vMerge/>
            <w:tcBorders/>
          </w:tcPr>
          <w:p/>
        </w:tc>
      </w:tr>
      <w:tr>
        <w:trPr>
          <w:trHeight w:hRule="exact" w:val="272"/>
        </w:trPr>
        <w:tc>
          <w:tcPr>
            <w:tcW w:type="dxa" w:w="4512"/>
            <w:gridSpan w:val="3"/>
            <w:vMerge/>
            <w:tcBorders>
              <w:bottom w:sz="3.2000000000000455" w:val="single" w:color="#000000"/>
            </w:tcBorders>
          </w:tcPr>
          <w:p/>
        </w:tc>
        <w:tc>
          <w:tcPr>
            <w:tcW w:type="dxa" w:w="2640"/>
            <w:gridSpan w:val="2"/>
            <w:tcBorders>
              <w:bottom w:sz="3.2000000000000455" w:val="single" w:color="#000000"/>
            </w:tcBorders>
            <w:tcMar>
              <w:start w:w="0" w:type="dxa"/>
              <w:end w:w="0" w:type="dxa"/>
            </w:tcMar>
            <w:tcMar>
              <w:start w:w="0" w:type="dxa"/>
              <w:end w:w="0" w:type="dxa"/>
            </w:tcMar>
          </w:tcPr>
          <w:p>
            <w:pPr>
              <w:autoSpaceDN w:val="0"/>
              <w:autoSpaceDE w:val="0"/>
              <w:widowControl/>
              <w:spacing w:line="233" w:lineRule="auto" w:before="20" w:after="0"/>
              <w:ind w:left="0" w:right="386" w:firstLine="0"/>
              <w:jc w:val="right"/>
            </w:pPr>
            <w:r>
              <w:rPr>
                <w:rFonts w:ascii="Arial" w:hAnsi="Arial" w:eastAsia="Arial"/>
                <w:b w:val="0"/>
                <w:i w:val="0"/>
                <w:color w:val="000000"/>
                <w:sz w:val="22"/>
              </w:rPr>
              <w:t xml:space="preserve">62,016,746 </w:t>
            </w:r>
          </w:p>
        </w:tc>
        <w:tc>
          <w:tcPr>
            <w:tcW w:type="dxa" w:w="1900"/>
            <w:tcBorders>
              <w:bottom w:sz="3.2000000000000455" w:val="single" w:color="#000000"/>
            </w:tcBorders>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2"/>
              </w:rPr>
              <w:t>51,796,546</w:t>
            </w:r>
          </w:p>
        </w:tc>
      </w:tr>
      <w:tr>
        <w:trPr>
          <w:trHeight w:hRule="exact" w:val="550"/>
        </w:trPr>
        <w:tc>
          <w:tcPr>
            <w:tcW w:type="dxa" w:w="4220"/>
            <w:gridSpan w:val="3"/>
            <w:tcBorders>
              <w:top w:sz="3.2000000000000455" w:val="single" w:color="#000000"/>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本年末盈余公积</w:t>
            </w:r>
          </w:p>
        </w:tc>
        <w:tc>
          <w:tcPr>
            <w:tcW w:type="dxa" w:w="2640"/>
            <w:gridSpan w:val="2"/>
            <w:tcBorders>
              <w:top w:sz="3.2000000000000455"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292" w:after="0"/>
              <w:ind w:left="0" w:right="386" w:firstLine="0"/>
              <w:jc w:val="right"/>
            </w:pPr>
            <w:r>
              <w:rPr>
                <w:rFonts w:ascii="Arial" w:hAnsi="Arial" w:eastAsia="Arial"/>
                <w:b w:val="0"/>
                <w:i w:val="0"/>
                <w:color w:val="000000"/>
                <w:sz w:val="22"/>
              </w:rPr>
              <w:t xml:space="preserve">875,364,199 </w:t>
            </w:r>
          </w:p>
        </w:tc>
        <w:tc>
          <w:tcPr>
            <w:tcW w:type="dxa" w:w="1900"/>
            <w:tcBorders>
              <w:top w:sz="3.2000000000000455" w:val="single" w:color="#000000"/>
              <w:bottom w:sz="4.0" w:val="single" w:color="#000000"/>
            </w:tcBorders>
            <w:tcMar>
              <w:start w:w="0" w:type="dxa"/>
              <w:end w:w="0" w:type="dxa"/>
            </w:tcMar>
          </w:tcPr>
          <w:p>
            <w:pPr>
              <w:autoSpaceDN w:val="0"/>
              <w:autoSpaceDE w:val="0"/>
              <w:widowControl/>
              <w:spacing w:line="233" w:lineRule="auto" w:before="292" w:after="0"/>
              <w:ind w:left="446" w:right="0" w:firstLine="0"/>
              <w:jc w:val="left"/>
            </w:pPr>
            <w:r>
              <w:rPr>
                <w:rFonts w:ascii="Arial" w:hAnsi="Arial" w:eastAsia="Arial"/>
                <w:b w:val="0"/>
                <w:i w:val="0"/>
                <w:color w:val="000000"/>
                <w:sz w:val="22"/>
              </w:rPr>
              <w:t>813,347,453</w:t>
            </w:r>
          </w:p>
        </w:tc>
      </w:tr>
      <w:tr>
        <w:trPr>
          <w:trHeight w:hRule="exact" w:val="712"/>
        </w:trPr>
        <w:tc>
          <w:tcPr>
            <w:tcW w:type="dxa" w:w="760"/>
            <w:tcBorders>
              <w:top w:sz="4.0" w:val="single" w:color="#000000"/>
            </w:tcBorders>
            <w:tcMar>
              <w:start w:w="0" w:type="dxa"/>
              <w:end w:w="0" w:type="dxa"/>
            </w:tcMar>
          </w:tcPr>
          <w:p>
            <w:pPr>
              <w:autoSpaceDN w:val="0"/>
              <w:autoSpaceDE w:val="0"/>
              <w:widowControl/>
              <w:spacing w:line="246" w:lineRule="exact" w:before="306" w:after="0"/>
              <w:ind w:left="0" w:right="0" w:firstLine="0"/>
              <w:jc w:val="center"/>
            </w:pPr>
            <w:r>
              <w:rPr>
                <w:rFonts w:ascii="Arial,Bold" w:hAnsi="Arial,Bold" w:eastAsia="Arial,Bold"/>
                <w:b/>
                <w:i w:val="0"/>
                <w:color w:val="000000"/>
                <w:sz w:val="22"/>
              </w:rPr>
              <w:t xml:space="preserve">37. </w:t>
            </w:r>
          </w:p>
        </w:tc>
        <w:tc>
          <w:tcPr>
            <w:tcW w:type="dxa" w:w="3460"/>
            <w:gridSpan w:val="2"/>
            <w:tcBorders>
              <w:top w:sz="4.0" w:val="single" w:color="#000000"/>
            </w:tcBorders>
            <w:tcMar>
              <w:start w:w="0" w:type="dxa"/>
              <w:end w:w="0" w:type="dxa"/>
            </w:tcMar>
            <w:tcMar>
              <w:start w:w="0" w:type="dxa"/>
              <w:end w:w="0" w:type="dxa"/>
            </w:tcMar>
          </w:tcPr>
          <w:p>
            <w:pPr>
              <w:autoSpaceDN w:val="0"/>
              <w:autoSpaceDE w:val="0"/>
              <w:widowControl/>
              <w:spacing w:line="220" w:lineRule="exact" w:before="316" w:after="0"/>
              <w:ind w:left="166" w:right="0" w:firstLine="0"/>
              <w:jc w:val="left"/>
            </w:pPr>
            <w:r>
              <w:rPr>
                <w:rFonts w:ascii="黑体" w:hAnsi="黑体" w:eastAsia="黑体"/>
                <w:b w:val="0"/>
                <w:i w:val="0"/>
                <w:color w:val="000000"/>
                <w:sz w:val="22"/>
              </w:rPr>
              <w:t>一般风险准备及交易风险准备</w:t>
            </w:r>
          </w:p>
        </w:tc>
        <w:tc>
          <w:tcPr>
            <w:tcW w:type="dxa" w:w="1480"/>
            <w:vMerge w:val="restart"/>
            <w:tcBorders>
              <w:top w:sz="4.0" w:val="single" w:color="#000000"/>
            </w:tcBorders>
            <w:tcMar>
              <w:start w:w="0" w:type="dxa"/>
              <w:end w:w="0" w:type="dxa"/>
            </w:tcMar>
            <w:tcMar>
              <w:start w:w="0" w:type="dxa"/>
              <w:end w:w="0" w:type="dxa"/>
            </w:tcMar>
          </w:tcPr>
          <w:p>
            <w:pPr>
              <w:autoSpaceDN w:val="0"/>
              <w:autoSpaceDE w:val="0"/>
              <w:widowControl/>
              <w:spacing w:line="200" w:lineRule="exact" w:before="872" w:after="0"/>
              <w:ind w:left="0" w:right="0" w:firstLine="0"/>
              <w:jc w:val="center"/>
            </w:pPr>
            <w:r>
              <w:rPr>
                <w:rFonts w:ascii="黑体" w:hAnsi="黑体" w:eastAsia="黑体"/>
                <w:b w:val="0"/>
                <w:i w:val="0"/>
                <w:color w:val="000000"/>
                <w:sz w:val="20"/>
              </w:rPr>
              <w:t>本年增加</w:t>
            </w:r>
          </w:p>
        </w:tc>
        <w:tc>
          <w:tcPr>
            <w:tcW w:type="dxa" w:w="1160"/>
            <w:vMerge w:val="restart"/>
            <w:tcBorders>
              <w:top w:sz="4.0" w:val="single" w:color="#000000"/>
            </w:tcBorders>
            <w:tcMar>
              <w:start w:w="0" w:type="dxa"/>
              <w:end w:w="0" w:type="dxa"/>
            </w:tcMar>
            <w:tcMar>
              <w:start w:w="0" w:type="dxa"/>
              <w:end w:w="0" w:type="dxa"/>
            </w:tcMar>
          </w:tcPr>
          <w:p>
            <w:pPr>
              <w:autoSpaceDN w:val="0"/>
              <w:autoSpaceDE w:val="0"/>
              <w:widowControl/>
              <w:spacing w:line="200" w:lineRule="exact" w:before="872" w:after="0"/>
              <w:ind w:left="0" w:right="52" w:firstLine="0"/>
              <w:jc w:val="right"/>
            </w:pPr>
            <w:r>
              <w:rPr>
                <w:rFonts w:ascii="黑体" w:hAnsi="黑体" w:eastAsia="黑体"/>
                <w:b w:val="0"/>
                <w:i w:val="0"/>
                <w:color w:val="000000"/>
                <w:sz w:val="20"/>
              </w:rPr>
              <w:t>本年减少</w:t>
            </w:r>
          </w:p>
        </w:tc>
        <w:tc>
          <w:tcPr>
            <w:tcW w:type="dxa" w:w="1900"/>
            <w:vMerge w:val="restart"/>
            <w:tcBorders>
              <w:top w:sz="4.0" w:val="single" w:color="#000000"/>
            </w:tcBorders>
            <w:tcMar>
              <w:start w:w="0" w:type="dxa"/>
              <w:end w:w="0" w:type="dxa"/>
            </w:tcMar>
            <w:tcMar>
              <w:start w:w="0" w:type="dxa"/>
              <w:end w:w="0" w:type="dxa"/>
            </w:tcMar>
          </w:tcPr>
          <w:p>
            <w:pPr>
              <w:autoSpaceDN w:val="0"/>
              <w:autoSpaceDE w:val="0"/>
              <w:widowControl/>
              <w:spacing w:line="200" w:lineRule="exact" w:before="872" w:after="0"/>
              <w:ind w:left="0" w:right="226" w:firstLine="0"/>
              <w:jc w:val="right"/>
            </w:pPr>
            <w:r>
              <w:rPr>
                <w:rFonts w:ascii="黑体" w:hAnsi="黑体" w:eastAsia="黑体"/>
                <w:b w:val="0"/>
                <w:i w:val="0"/>
                <w:color w:val="000000"/>
                <w:sz w:val="20"/>
              </w:rPr>
              <w:t>年末余额</w:t>
            </w:r>
          </w:p>
        </w:tc>
      </w:tr>
      <w:tr>
        <w:trPr>
          <w:trHeight w:hRule="exact" w:val="500"/>
        </w:trPr>
        <w:tc>
          <w:tcPr>
            <w:tcW w:type="dxa" w:w="4220"/>
            <w:gridSpan w:val="3"/>
            <w:tcBorders/>
            <w:tcMar>
              <w:start w:w="0" w:type="dxa"/>
              <w:end w:w="0" w:type="dxa"/>
            </w:tcMar>
            <w:tcMar>
              <w:start w:w="0" w:type="dxa"/>
              <w:end w:w="0" w:type="dxa"/>
            </w:tcMar>
            <w:tcMar>
              <w:start w:w="0" w:type="dxa"/>
              <w:end w:w="0" w:type="dxa"/>
            </w:tcMar>
          </w:tcPr>
          <w:p>
            <w:pPr>
              <w:autoSpaceDN w:val="0"/>
              <w:autoSpaceDE w:val="0"/>
              <w:widowControl/>
              <w:spacing w:line="200" w:lineRule="exact" w:before="166" w:after="0"/>
              <w:ind w:left="0" w:right="312" w:firstLine="0"/>
              <w:jc w:val="right"/>
            </w:pPr>
            <w:r>
              <w:rPr>
                <w:rFonts w:ascii="黑体" w:hAnsi="黑体" w:eastAsia="黑体"/>
                <w:b w:val="0"/>
                <w:i w:val="0"/>
                <w:color w:val="000000"/>
                <w:sz w:val="20"/>
              </w:rPr>
              <w:t>年初余额</w:t>
            </w:r>
          </w:p>
        </w:tc>
        <w:tc>
          <w:tcPr>
            <w:tcW w:type="dxa" w:w="1504"/>
            <w:vMerge/>
            <w:tcBorders>
              <w:top w:sz="4.0" w:val="single" w:color="#000000"/>
            </w:tcBorders>
          </w:tcPr>
          <w:p/>
        </w:tc>
        <w:tc>
          <w:tcPr>
            <w:tcW w:type="dxa" w:w="1504"/>
            <w:vMerge/>
            <w:tcBorders>
              <w:top w:sz="4.0" w:val="single" w:color="#000000"/>
            </w:tcBorders>
          </w:tcPr>
          <w:p/>
        </w:tc>
        <w:tc>
          <w:tcPr>
            <w:tcW w:type="dxa" w:w="1504"/>
            <w:vMerge/>
            <w:tcBorders>
              <w:top w:sz="4.0" w:val="single" w:color="#000000"/>
            </w:tcBorders>
          </w:tcPr>
          <w:p/>
        </w:tc>
      </w:tr>
      <w:tr>
        <w:trPr>
          <w:trHeight w:hRule="exact" w:val="500"/>
        </w:trPr>
        <w:tc>
          <w:tcPr>
            <w:tcW w:type="dxa" w:w="2700"/>
            <w:gridSpan w:val="2"/>
            <w:tcBorders/>
            <w:tcMar>
              <w:start w:w="0" w:type="dxa"/>
              <w:end w:w="0" w:type="dxa"/>
            </w:tcMar>
            <w:tcMar>
              <w:start w:w="0" w:type="dxa"/>
              <w:end w:w="0" w:type="dxa"/>
            </w:tcMar>
          </w:tcPr>
          <w:p>
            <w:pPr>
              <w:autoSpaceDN w:val="0"/>
              <w:autoSpaceDE w:val="0"/>
              <w:widowControl/>
              <w:spacing w:line="198" w:lineRule="exact" w:before="156" w:after="0"/>
              <w:ind w:left="198" w:right="0" w:firstLine="0"/>
              <w:jc w:val="left"/>
            </w:pPr>
            <w:r>
              <w:rPr>
                <w:rFonts w:ascii="黑体" w:hAnsi="黑体" w:eastAsia="黑体"/>
                <w:b w:val="0"/>
                <w:i w:val="0"/>
                <w:color w:val="000000"/>
                <w:sz w:val="20"/>
              </w:rPr>
              <w:t>一般风险准备</w:t>
            </w:r>
          </w:p>
        </w:tc>
        <w:tc>
          <w:tcPr>
            <w:tcW w:type="dxa" w:w="1520"/>
            <w:tcBorders/>
            <w:tcMar>
              <w:start w:w="0" w:type="dxa"/>
              <w:end w:w="0" w:type="dxa"/>
            </w:tcMar>
          </w:tcPr>
          <w:p>
            <w:pPr>
              <w:autoSpaceDN w:val="0"/>
              <w:autoSpaceDE w:val="0"/>
              <w:widowControl/>
              <w:spacing w:line="233" w:lineRule="auto" w:before="158" w:after="0"/>
              <w:ind w:left="98" w:right="0" w:firstLine="0"/>
              <w:jc w:val="left"/>
            </w:pPr>
            <w:r>
              <w:rPr>
                <w:rFonts w:ascii="Arial" w:hAnsi="Arial" w:eastAsia="Arial"/>
                <w:b w:val="0"/>
                <w:i w:val="0"/>
                <w:color w:val="000000"/>
                <w:sz w:val="20"/>
              </w:rPr>
              <w:t xml:space="preserve">922,907,949 </w:t>
            </w:r>
          </w:p>
        </w:tc>
        <w:tc>
          <w:tcPr>
            <w:tcW w:type="dxa" w:w="1480"/>
            <w:tcBorders/>
            <w:tcMar>
              <w:start w:w="0" w:type="dxa"/>
              <w:end w:w="0" w:type="dxa"/>
            </w:tcMar>
          </w:tcPr>
          <w:p>
            <w:pPr>
              <w:autoSpaceDN w:val="0"/>
              <w:autoSpaceDE w:val="0"/>
              <w:widowControl/>
              <w:spacing w:line="233" w:lineRule="auto" w:before="158" w:after="0"/>
              <w:ind w:left="136" w:right="0" w:firstLine="0"/>
              <w:jc w:val="left"/>
            </w:pPr>
            <w:r>
              <w:rPr>
                <w:rFonts w:ascii="Arial" w:hAnsi="Arial" w:eastAsia="Arial"/>
                <w:b w:val="0"/>
                <w:i w:val="0"/>
                <w:color w:val="000000"/>
                <w:sz w:val="20"/>
              </w:rPr>
              <w:t xml:space="preserve">67,307,410 </w:t>
            </w:r>
          </w:p>
        </w:tc>
        <w:tc>
          <w:tcPr>
            <w:tcW w:type="dxa" w:w="1160"/>
            <w:tcBorders/>
            <w:tcMar>
              <w:start w:w="0" w:type="dxa"/>
              <w:end w:w="0" w:type="dxa"/>
            </w:tcMar>
          </w:tcPr>
          <w:p>
            <w:pPr>
              <w:autoSpaceDN w:val="0"/>
              <w:autoSpaceDE w:val="0"/>
              <w:widowControl/>
              <w:spacing w:line="233" w:lineRule="auto" w:before="158" w:after="0"/>
              <w:ind w:left="0" w:right="0" w:firstLine="0"/>
              <w:jc w:val="right"/>
            </w:pPr>
            <w:r>
              <w:rPr>
                <w:rFonts w:ascii="Arial" w:hAnsi="Arial" w:eastAsia="Arial"/>
                <w:b w:val="0"/>
                <w:i w:val="0"/>
                <w:color w:val="000000"/>
                <w:sz w:val="20"/>
              </w:rPr>
              <w:t xml:space="preserve">- </w:t>
            </w:r>
          </w:p>
        </w:tc>
        <w:tc>
          <w:tcPr>
            <w:tcW w:type="dxa" w:w="1900"/>
            <w:tcBorders/>
            <w:tcMar>
              <w:start w:w="0" w:type="dxa"/>
              <w:end w:w="0" w:type="dxa"/>
            </w:tcMar>
          </w:tcPr>
          <w:p>
            <w:pPr>
              <w:autoSpaceDN w:val="0"/>
              <w:autoSpaceDE w:val="0"/>
              <w:widowControl/>
              <w:spacing w:line="233" w:lineRule="auto" w:before="158" w:after="0"/>
              <w:ind w:left="0" w:right="112" w:firstLine="0"/>
              <w:jc w:val="right"/>
            </w:pPr>
            <w:r>
              <w:rPr>
                <w:rFonts w:ascii="Arial" w:hAnsi="Arial" w:eastAsia="Arial"/>
                <w:b w:val="0"/>
                <w:i w:val="0"/>
                <w:color w:val="000000"/>
                <w:sz w:val="20"/>
              </w:rPr>
              <w:t xml:space="preserve">990,215,359 </w:t>
            </w:r>
          </w:p>
        </w:tc>
      </w:tr>
      <w:tr>
        <w:trPr>
          <w:trHeight w:hRule="exact" w:val="378"/>
        </w:trPr>
        <w:tc>
          <w:tcPr>
            <w:tcW w:type="dxa" w:w="2700"/>
            <w:gridSpan w:val="2"/>
            <w:tcBorders>
              <w:bottom w:sz="4.0" w:val="single" w:color="#000000"/>
            </w:tcBorders>
            <w:tcMar>
              <w:start w:w="0" w:type="dxa"/>
              <w:end w:w="0" w:type="dxa"/>
            </w:tcMar>
            <w:tcMar>
              <w:start w:w="0" w:type="dxa"/>
              <w:end w:w="0" w:type="dxa"/>
            </w:tcMar>
          </w:tcPr>
          <w:p>
            <w:pPr>
              <w:autoSpaceDN w:val="0"/>
              <w:autoSpaceDE w:val="0"/>
              <w:widowControl/>
              <w:spacing w:line="198" w:lineRule="exact" w:before="146" w:after="0"/>
              <w:ind w:left="198" w:right="0" w:firstLine="0"/>
              <w:jc w:val="left"/>
            </w:pPr>
            <w:r>
              <w:rPr>
                <w:rFonts w:ascii="黑体" w:hAnsi="黑体" w:eastAsia="黑体"/>
                <w:b w:val="0"/>
                <w:i w:val="0"/>
                <w:color w:val="000000"/>
                <w:sz w:val="20"/>
              </w:rPr>
              <w:t>交易风险准备</w:t>
            </w:r>
          </w:p>
        </w:tc>
        <w:tc>
          <w:tcPr>
            <w:tcW w:type="dxa" w:w="1520"/>
            <w:tcBorders>
              <w:bottom w:sz="4.0" w:val="single" w:color="#000000"/>
            </w:tcBorders>
            <w:tcMar>
              <w:start w:w="0" w:type="dxa"/>
              <w:end w:w="0" w:type="dxa"/>
            </w:tcMar>
          </w:tcPr>
          <w:p>
            <w:pPr>
              <w:autoSpaceDN w:val="0"/>
              <w:autoSpaceDE w:val="0"/>
              <w:widowControl/>
              <w:spacing w:line="233" w:lineRule="auto" w:before="148" w:after="0"/>
              <w:ind w:left="98" w:right="0" w:firstLine="0"/>
              <w:jc w:val="left"/>
            </w:pPr>
            <w:r>
              <w:rPr>
                <w:rFonts w:ascii="Arial" w:hAnsi="Arial" w:eastAsia="Arial"/>
                <w:b w:val="0"/>
                <w:i w:val="0"/>
                <w:color w:val="000000"/>
                <w:sz w:val="20"/>
              </w:rPr>
              <w:t xml:space="preserve">859,201,456 </w:t>
            </w:r>
          </w:p>
        </w:tc>
        <w:tc>
          <w:tcPr>
            <w:tcW w:type="dxa" w:w="1480"/>
            <w:tcBorders>
              <w:bottom w:sz="4.0" w:val="single" w:color="#000000"/>
            </w:tcBorders>
            <w:tcMar>
              <w:start w:w="0" w:type="dxa"/>
              <w:end w:w="0" w:type="dxa"/>
            </w:tcMar>
          </w:tcPr>
          <w:p>
            <w:pPr>
              <w:autoSpaceDN w:val="0"/>
              <w:autoSpaceDE w:val="0"/>
              <w:widowControl/>
              <w:spacing w:line="233" w:lineRule="auto" w:before="148" w:after="0"/>
              <w:ind w:left="136" w:right="0" w:firstLine="0"/>
              <w:jc w:val="left"/>
            </w:pPr>
            <w:r>
              <w:rPr>
                <w:rFonts w:ascii="Arial" w:hAnsi="Arial" w:eastAsia="Arial"/>
                <w:b w:val="0"/>
                <w:i w:val="0"/>
                <w:color w:val="000000"/>
                <w:sz w:val="20"/>
              </w:rPr>
              <w:t xml:space="preserve">62,016,746 </w:t>
            </w:r>
          </w:p>
        </w:tc>
        <w:tc>
          <w:tcPr>
            <w:tcW w:type="dxa" w:w="1160"/>
            <w:tcBorders>
              <w:bottom w:sz="4.0" w:val="single" w:color="#000000"/>
            </w:tcBorders>
            <w:tcMar>
              <w:start w:w="0" w:type="dxa"/>
              <w:end w:w="0" w:type="dxa"/>
            </w:tcMar>
          </w:tcPr>
          <w:p>
            <w:pPr>
              <w:autoSpaceDN w:val="0"/>
              <w:autoSpaceDE w:val="0"/>
              <w:widowControl/>
              <w:spacing w:line="233" w:lineRule="auto" w:before="148" w:after="0"/>
              <w:ind w:left="0" w:right="0" w:firstLine="0"/>
              <w:jc w:val="right"/>
            </w:pPr>
            <w:r>
              <w:rPr>
                <w:rFonts w:ascii="Arial" w:hAnsi="Arial" w:eastAsia="Arial"/>
                <w:b w:val="0"/>
                <w:i w:val="0"/>
                <w:color w:val="000000"/>
                <w:sz w:val="20"/>
              </w:rPr>
              <w:t xml:space="preserve">- </w:t>
            </w:r>
          </w:p>
        </w:tc>
        <w:tc>
          <w:tcPr>
            <w:tcW w:type="dxa" w:w="1900"/>
            <w:tcBorders>
              <w:bottom w:sz="4.0" w:val="single" w:color="#000000"/>
            </w:tcBorders>
            <w:tcMar>
              <w:start w:w="0" w:type="dxa"/>
              <w:end w:w="0" w:type="dxa"/>
            </w:tcMar>
          </w:tcPr>
          <w:p>
            <w:pPr>
              <w:autoSpaceDN w:val="0"/>
              <w:autoSpaceDE w:val="0"/>
              <w:widowControl/>
              <w:spacing w:line="233" w:lineRule="auto" w:before="148" w:after="0"/>
              <w:ind w:left="0" w:right="112" w:firstLine="0"/>
              <w:jc w:val="right"/>
            </w:pPr>
            <w:r>
              <w:rPr>
                <w:rFonts w:ascii="Arial" w:hAnsi="Arial" w:eastAsia="Arial"/>
                <w:b w:val="0"/>
                <w:i w:val="0"/>
                <w:color w:val="000000"/>
                <w:sz w:val="20"/>
              </w:rPr>
              <w:t xml:space="preserve">921,218,202 </w:t>
            </w:r>
          </w:p>
        </w:tc>
      </w:tr>
      <w:tr>
        <w:trPr>
          <w:trHeight w:hRule="exact" w:val="500"/>
        </w:trPr>
        <w:tc>
          <w:tcPr>
            <w:tcW w:type="dxa" w:w="760"/>
            <w:tcBorders>
              <w:top w:sz="4.0" w:val="single" w:color="#000000"/>
              <w:bottom w:sz="4.0" w:val="single" w:color="#000000"/>
            </w:tcBorders>
            <w:tcMar>
              <w:start w:w="0" w:type="dxa"/>
              <w:end w:w="0" w:type="dxa"/>
            </w:tcMar>
          </w:tcPr>
          <w:p>
            <w:pPr>
              <w:autoSpaceDN w:val="0"/>
              <w:autoSpaceDE w:val="0"/>
              <w:widowControl/>
              <w:spacing w:line="200" w:lineRule="exact" w:before="262" w:after="0"/>
              <w:ind w:left="0" w:right="0" w:firstLine="0"/>
              <w:jc w:val="center"/>
            </w:pPr>
            <w:r>
              <w:rPr>
                <w:rFonts w:ascii="黑体" w:hAnsi="黑体" w:eastAsia="黑体"/>
                <w:b w:val="0"/>
                <w:i w:val="0"/>
                <w:color w:val="000000"/>
                <w:sz w:val="20"/>
              </w:rPr>
              <w:t>合计</w:t>
            </w:r>
          </w:p>
        </w:tc>
        <w:tc>
          <w:tcPr>
            <w:tcW w:type="dxa" w:w="3460"/>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33" w:lineRule="auto" w:before="266" w:after="0"/>
              <w:ind w:left="0" w:right="198" w:firstLine="0"/>
              <w:jc w:val="right"/>
            </w:pPr>
            <w:r>
              <w:rPr>
                <w:rFonts w:ascii="Arial" w:hAnsi="Arial" w:eastAsia="Arial"/>
                <w:b w:val="0"/>
                <w:i w:val="0"/>
                <w:color w:val="000000"/>
                <w:sz w:val="20"/>
              </w:rPr>
              <w:t xml:space="preserve">1,782,109,405 </w:t>
            </w:r>
          </w:p>
        </w:tc>
        <w:tc>
          <w:tcPr>
            <w:tcW w:type="dxa" w:w="1480"/>
            <w:tcBorders>
              <w:top w:sz="4.0" w:val="single" w:color="#000000"/>
              <w:bottom w:sz="4.0" w:val="single" w:color="#000000"/>
            </w:tcBorders>
            <w:tcMar>
              <w:start w:w="0" w:type="dxa"/>
              <w:end w:w="0" w:type="dxa"/>
            </w:tcMar>
          </w:tcPr>
          <w:p>
            <w:pPr>
              <w:autoSpaceDN w:val="0"/>
              <w:autoSpaceDE w:val="0"/>
              <w:widowControl/>
              <w:spacing w:line="233" w:lineRule="auto" w:before="266" w:after="0"/>
              <w:ind w:left="24" w:right="0" w:firstLine="0"/>
              <w:jc w:val="left"/>
            </w:pPr>
            <w:r>
              <w:rPr>
                <w:rFonts w:ascii="Arial" w:hAnsi="Arial" w:eastAsia="Arial"/>
                <w:b w:val="0"/>
                <w:i w:val="0"/>
                <w:color w:val="000000"/>
                <w:sz w:val="20"/>
              </w:rPr>
              <w:t xml:space="preserve">129,324,156 </w:t>
            </w:r>
          </w:p>
        </w:tc>
        <w:tc>
          <w:tcPr>
            <w:tcW w:type="dxa" w:w="1160"/>
            <w:tcBorders>
              <w:top w:sz="4.0" w:val="single" w:color="#000000"/>
              <w:bottom w:sz="4.0" w:val="single" w:color="#000000"/>
            </w:tcBorders>
            <w:tcMar>
              <w:start w:w="0" w:type="dxa"/>
              <w:end w:w="0" w:type="dxa"/>
            </w:tcMar>
          </w:tcPr>
          <w:p>
            <w:pPr>
              <w:autoSpaceDN w:val="0"/>
              <w:autoSpaceDE w:val="0"/>
              <w:widowControl/>
              <w:spacing w:line="233" w:lineRule="auto" w:before="266" w:after="0"/>
              <w:ind w:left="0" w:right="0" w:firstLine="0"/>
              <w:jc w:val="right"/>
            </w:pPr>
            <w:r>
              <w:rPr>
                <w:rFonts w:ascii="Arial" w:hAnsi="Arial" w:eastAsia="Arial"/>
                <w:b w:val="0"/>
                <w:i w:val="0"/>
                <w:color w:val="000000"/>
                <w:sz w:val="20"/>
              </w:rPr>
              <w:t xml:space="preserve">- </w:t>
            </w:r>
          </w:p>
        </w:tc>
        <w:tc>
          <w:tcPr>
            <w:tcW w:type="dxa" w:w="1900"/>
            <w:tcBorders>
              <w:top w:sz="4.0" w:val="single" w:color="#000000"/>
              <w:bottom w:sz="4.0" w:val="single" w:color="#000000"/>
            </w:tcBorders>
            <w:tcMar>
              <w:start w:w="0" w:type="dxa"/>
              <w:end w:w="0" w:type="dxa"/>
            </w:tcMar>
          </w:tcPr>
          <w:p>
            <w:pPr>
              <w:autoSpaceDN w:val="0"/>
              <w:autoSpaceDE w:val="0"/>
              <w:widowControl/>
              <w:spacing w:line="233" w:lineRule="auto" w:before="266" w:after="0"/>
              <w:ind w:left="410" w:right="0" w:firstLine="0"/>
              <w:jc w:val="left"/>
            </w:pPr>
            <w:r>
              <w:rPr>
                <w:rFonts w:ascii="Arial" w:hAnsi="Arial" w:eastAsia="Arial"/>
                <w:b w:val="0"/>
                <w:i w:val="0"/>
                <w:color w:val="000000"/>
                <w:sz w:val="20"/>
              </w:rPr>
              <w:t xml:space="preserve">1,911,433,561 </w:t>
            </w:r>
          </w:p>
        </w:tc>
      </w:tr>
      <w:tr>
        <w:trPr>
          <w:trHeight w:hRule="exact" w:val="1262"/>
        </w:trPr>
        <w:tc>
          <w:tcPr>
            <w:tcW w:type="dxa" w:w="760"/>
            <w:tcBorders>
              <w:top w:sz="4.0" w:val="single" w:color="#000000"/>
            </w:tcBorders>
            <w:tcMar>
              <w:start w:w="0" w:type="dxa"/>
              <w:end w:w="0" w:type="dxa"/>
            </w:tcMar>
          </w:tcPr>
          <w:p>
            <w:pPr>
              <w:autoSpaceDN w:val="0"/>
              <w:autoSpaceDE w:val="0"/>
              <w:widowControl/>
              <w:spacing w:line="246" w:lineRule="exact" w:before="308" w:after="0"/>
              <w:ind w:left="0" w:right="0" w:firstLine="0"/>
              <w:jc w:val="center"/>
            </w:pPr>
            <w:r>
              <w:rPr>
                <w:rFonts w:ascii="Arial,Bold" w:hAnsi="Arial,Bold" w:eastAsia="Arial,Bold"/>
                <w:b/>
                <w:i w:val="0"/>
                <w:color w:val="000000"/>
                <w:sz w:val="22"/>
              </w:rPr>
              <w:t xml:space="preserve">38. </w:t>
            </w:r>
          </w:p>
        </w:tc>
        <w:tc>
          <w:tcPr>
            <w:tcW w:type="dxa" w:w="3460"/>
            <w:gridSpan w:val="2"/>
            <w:tcBorders>
              <w:top w:sz="4.0" w:val="single" w:color="#000000"/>
            </w:tcBorders>
            <w:tcMar>
              <w:start w:w="0" w:type="dxa"/>
              <w:end w:w="0" w:type="dxa"/>
            </w:tcMar>
            <w:tcMar>
              <w:start w:w="0" w:type="dxa"/>
              <w:end w:w="0" w:type="dxa"/>
            </w:tcMar>
          </w:tcPr>
          <w:p>
            <w:pPr>
              <w:autoSpaceDN w:val="0"/>
              <w:autoSpaceDE w:val="0"/>
              <w:widowControl/>
              <w:spacing w:line="220" w:lineRule="exact" w:before="318" w:after="0"/>
              <w:ind w:left="166" w:right="0" w:firstLine="0"/>
              <w:jc w:val="left"/>
            </w:pPr>
            <w:r>
              <w:rPr>
                <w:rFonts w:ascii="黑体" w:hAnsi="黑体" w:eastAsia="黑体"/>
                <w:b w:val="0"/>
                <w:i w:val="0"/>
                <w:color w:val="000000"/>
                <w:sz w:val="22"/>
              </w:rPr>
              <w:t xml:space="preserve">未分配利润 </w:t>
            </w:r>
          </w:p>
        </w:tc>
        <w:tc>
          <w:tcPr>
            <w:tcW w:type="dxa" w:w="2640"/>
            <w:gridSpan w:val="2"/>
            <w:tcBorders>
              <w:top w:sz="4.0" w:val="single" w:color="#000000"/>
            </w:tcBorders>
            <w:tcMar>
              <w:start w:w="0" w:type="dxa"/>
              <w:end w:w="0" w:type="dxa"/>
            </w:tcMar>
            <w:tcMar>
              <w:start w:w="0" w:type="dxa"/>
              <w:end w:w="0" w:type="dxa"/>
            </w:tcMar>
          </w:tcPr>
          <w:p>
            <w:pPr>
              <w:autoSpaceDN w:val="0"/>
              <w:autoSpaceDE w:val="0"/>
              <w:widowControl/>
              <w:spacing w:line="246" w:lineRule="exact" w:before="862" w:after="0"/>
              <w:ind w:left="0" w:right="448"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900"/>
            <w:tcBorders>
              <w:top w:sz="4.0" w:val="single" w:color="#000000"/>
            </w:tcBorders>
            <w:tcMar>
              <w:start w:w="0" w:type="dxa"/>
              <w:end w:w="0" w:type="dxa"/>
            </w:tcMar>
          </w:tcPr>
          <w:p>
            <w:pPr>
              <w:autoSpaceDN w:val="0"/>
              <w:autoSpaceDE w:val="0"/>
              <w:widowControl/>
              <w:spacing w:line="246" w:lineRule="exact" w:before="862" w:after="0"/>
              <w:ind w:left="0" w:right="23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4220"/>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152" w:after="0"/>
              <w:ind w:left="198" w:right="0" w:firstLine="0"/>
              <w:jc w:val="left"/>
            </w:pPr>
            <w:r>
              <w:rPr>
                <w:rFonts w:ascii="黑体" w:hAnsi="黑体" w:eastAsia="黑体"/>
                <w:b w:val="0"/>
                <w:i w:val="0"/>
                <w:color w:val="000000"/>
                <w:sz w:val="22"/>
              </w:rPr>
              <w:t>上年末未分配利润</w:t>
            </w: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60" w:after="0"/>
              <w:ind w:left="0" w:right="386" w:firstLine="0"/>
              <w:jc w:val="right"/>
            </w:pPr>
            <w:r>
              <w:rPr>
                <w:rFonts w:ascii="Arial" w:hAnsi="Arial" w:eastAsia="Arial"/>
                <w:b w:val="0"/>
                <w:i w:val="0"/>
                <w:color w:val="000000"/>
                <w:sz w:val="22"/>
              </w:rPr>
              <w:t xml:space="preserve">1,917,718,771 </w:t>
            </w:r>
          </w:p>
        </w:tc>
        <w:tc>
          <w:tcPr>
            <w:tcW w:type="dxa" w:w="1900"/>
            <w:vMerge w:val="restart"/>
            <w:tcBorders/>
            <w:tcMar>
              <w:start w:w="0" w:type="dxa"/>
              <w:end w:w="0" w:type="dxa"/>
            </w:tcMar>
            <w:tcMar>
              <w:start w:w="0" w:type="dxa"/>
              <w:end w:w="0" w:type="dxa"/>
            </w:tcMar>
          </w:tcPr>
          <w:p>
            <w:pPr>
              <w:autoSpaceDN w:val="0"/>
              <w:autoSpaceDE w:val="0"/>
              <w:widowControl/>
              <w:spacing w:line="233" w:lineRule="auto" w:before="160" w:after="0"/>
              <w:ind w:left="0" w:right="0" w:firstLine="0"/>
              <w:jc w:val="center"/>
            </w:pPr>
            <w:r>
              <w:rPr>
                <w:rFonts w:ascii="Arial" w:hAnsi="Arial" w:eastAsia="Arial"/>
                <w:b w:val="0"/>
                <w:i w:val="0"/>
                <w:color w:val="000000"/>
                <w:sz w:val="22"/>
              </w:rPr>
              <w:t>1,752,930,260</w:t>
            </w:r>
          </w:p>
        </w:tc>
      </w:tr>
      <w:tr>
        <w:trPr>
          <w:trHeight w:hRule="exact" w:val="46"/>
        </w:trPr>
        <w:tc>
          <w:tcPr>
            <w:tcW w:type="dxa" w:w="4220"/>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加：本年归属于母公司股东的净利润</w:t>
            </w:r>
          </w:p>
        </w:tc>
        <w:tc>
          <w:tcPr>
            <w:tcW w:type="dxa" w:w="3008"/>
            <w:gridSpan w:val="2"/>
            <w:vMerge/>
            <w:tcBorders/>
          </w:tcPr>
          <w:p/>
        </w:tc>
        <w:tc>
          <w:tcPr>
            <w:tcW w:type="dxa" w:w="1504"/>
            <w:vMerge/>
            <w:tcBorders/>
          </w:tcPr>
          <w:p/>
        </w:tc>
      </w:tr>
      <w:tr>
        <w:trPr>
          <w:trHeight w:hRule="exact" w:val="234"/>
        </w:trPr>
        <w:tc>
          <w:tcPr>
            <w:tcW w:type="dxa" w:w="4512"/>
            <w:gridSpan w:val="3"/>
            <w:vMerge/>
            <w:tcBorders/>
          </w:tcP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0" w:after="0"/>
              <w:ind w:left="0" w:right="386" w:firstLine="0"/>
              <w:jc w:val="right"/>
            </w:pPr>
            <w:r>
              <w:rPr>
                <w:rFonts w:ascii="Arial" w:hAnsi="Arial" w:eastAsia="Arial"/>
                <w:b w:val="0"/>
                <w:i w:val="0"/>
                <w:color w:val="000000"/>
                <w:sz w:val="22"/>
              </w:rPr>
              <w:t xml:space="preserve">711,831,847 </w:t>
            </w:r>
          </w:p>
        </w:tc>
        <w:tc>
          <w:tcPr>
            <w:tcW w:type="dxa" w:w="1900"/>
            <w:vMerge w:val="restart"/>
            <w:tcBorders/>
            <w:tcMar>
              <w:start w:w="0" w:type="dxa"/>
              <w:end w:w="0" w:type="dxa"/>
            </w:tcMar>
            <w:tcMar>
              <w:start w:w="0" w:type="dxa"/>
              <w:end w:w="0" w:type="dxa"/>
            </w:tcMar>
          </w:tcPr>
          <w:p>
            <w:pPr>
              <w:autoSpaceDN w:val="0"/>
              <w:autoSpaceDE w:val="0"/>
              <w:widowControl/>
              <w:spacing w:line="233" w:lineRule="auto" w:before="20" w:after="0"/>
              <w:ind w:left="446" w:right="0" w:firstLine="0"/>
              <w:jc w:val="left"/>
            </w:pPr>
            <w:r>
              <w:rPr>
                <w:rFonts w:ascii="Arial" w:hAnsi="Arial" w:eastAsia="Arial"/>
                <w:b w:val="0"/>
                <w:i w:val="0"/>
                <w:color w:val="000000"/>
                <w:sz w:val="22"/>
              </w:rPr>
              <w:t>619,761,504</w:t>
            </w:r>
          </w:p>
        </w:tc>
      </w:tr>
      <w:tr>
        <w:trPr>
          <w:trHeight w:hRule="exact" w:val="52"/>
        </w:trPr>
        <w:tc>
          <w:tcPr>
            <w:tcW w:type="dxa" w:w="4220"/>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减：提取盈余公积</w:t>
            </w:r>
          </w:p>
        </w:tc>
        <w:tc>
          <w:tcPr>
            <w:tcW w:type="dxa" w:w="3008"/>
            <w:gridSpan w:val="2"/>
            <w:vMerge/>
            <w:tcBorders/>
          </w:tcPr>
          <w:p/>
        </w:tc>
        <w:tc>
          <w:tcPr>
            <w:tcW w:type="dxa" w:w="1504"/>
            <w:vMerge/>
            <w:tcBorders/>
          </w:tcPr>
          <w:p/>
        </w:tc>
      </w:tr>
      <w:tr>
        <w:trPr>
          <w:trHeight w:hRule="exact" w:val="248"/>
        </w:trPr>
        <w:tc>
          <w:tcPr>
            <w:tcW w:type="dxa" w:w="4512"/>
            <w:gridSpan w:val="3"/>
            <w:vMerge/>
            <w:tcBorders/>
          </w:tcPr>
          <w:p/>
        </w:tc>
        <w:tc>
          <w:tcPr>
            <w:tcW w:type="dxa" w:w="2640"/>
            <w:gridSpan w:val="2"/>
            <w:tcBorders/>
            <w:tcMar>
              <w:start w:w="0" w:type="dxa"/>
              <w:end w:w="0" w:type="dxa"/>
            </w:tcMar>
            <w:tcMar>
              <w:start w:w="0" w:type="dxa"/>
              <w:end w:w="0" w:type="dxa"/>
            </w:tcMar>
          </w:tcPr>
          <w:p>
            <w:pPr>
              <w:autoSpaceDN w:val="0"/>
              <w:autoSpaceDE w:val="0"/>
              <w:widowControl/>
              <w:spacing w:line="233" w:lineRule="auto" w:before="2" w:after="0"/>
              <w:ind w:left="0" w:right="312" w:firstLine="0"/>
              <w:jc w:val="right"/>
            </w:pPr>
            <w:r>
              <w:rPr>
                <w:rFonts w:ascii="Arial" w:hAnsi="Arial" w:eastAsia="Arial"/>
                <w:b w:val="0"/>
                <w:i w:val="0"/>
                <w:color w:val="000000"/>
                <w:sz w:val="22"/>
              </w:rPr>
              <w:t xml:space="preserve">(62,016,746 ) </w:t>
            </w:r>
          </w:p>
        </w:tc>
        <w:tc>
          <w:tcPr>
            <w:tcW w:type="dxa" w:w="1900"/>
            <w:tcBorders/>
            <w:tcMar>
              <w:start w:w="0" w:type="dxa"/>
              <w:end w:w="0" w:type="dxa"/>
            </w:tcMar>
          </w:tcPr>
          <w:p>
            <w:pPr>
              <w:autoSpaceDN w:val="0"/>
              <w:autoSpaceDE w:val="0"/>
              <w:widowControl/>
              <w:spacing w:line="233" w:lineRule="auto" w:before="2" w:after="0"/>
              <w:ind w:left="0" w:right="96" w:firstLine="0"/>
              <w:jc w:val="right"/>
            </w:pPr>
            <w:r>
              <w:rPr>
                <w:rFonts w:ascii="Arial" w:hAnsi="Arial" w:eastAsia="Arial"/>
                <w:b w:val="0"/>
                <w:i w:val="0"/>
                <w:color w:val="000000"/>
                <w:sz w:val="22"/>
              </w:rPr>
              <w:t xml:space="preserve">(51,796,546) </w:t>
            </w:r>
          </w:p>
        </w:tc>
      </w:tr>
      <w:tr>
        <w:trPr>
          <w:trHeight w:hRule="exact" w:val="280"/>
        </w:trPr>
        <w:tc>
          <w:tcPr>
            <w:tcW w:type="dxa" w:w="4220"/>
            <w:gridSpan w:val="3"/>
            <w:tcBorders/>
            <w:tcMar>
              <w:start w:w="0" w:type="dxa"/>
              <w:end w:w="0" w:type="dxa"/>
            </w:tcMar>
            <w:tcMar>
              <w:start w:w="0" w:type="dxa"/>
              <w:end w:w="0" w:type="dxa"/>
            </w:tcMar>
            <w:tcMar>
              <w:start w:w="0" w:type="dxa"/>
              <w:end w:w="0" w:type="dxa"/>
            </w:tcMar>
          </w:tcPr>
          <w:p>
            <w:pPr>
              <w:autoSpaceDN w:val="0"/>
              <w:autoSpaceDE w:val="0"/>
              <w:widowControl/>
              <w:spacing w:line="222" w:lineRule="exact" w:before="48" w:after="0"/>
              <w:ind w:left="630" w:right="0" w:firstLine="0"/>
              <w:jc w:val="left"/>
            </w:pPr>
            <w:r>
              <w:rPr>
                <w:rFonts w:ascii="黑体" w:hAnsi="黑体" w:eastAsia="黑体"/>
                <w:b w:val="0"/>
                <w:i w:val="0"/>
                <w:color w:val="000000"/>
                <w:sz w:val="22"/>
              </w:rPr>
              <w:t>提取一般风险准备</w:t>
            </w: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58" w:after="0"/>
              <w:ind w:left="0" w:right="312" w:firstLine="0"/>
              <w:jc w:val="right"/>
            </w:pPr>
            <w:r>
              <w:rPr>
                <w:rFonts w:ascii="Arial" w:hAnsi="Arial" w:eastAsia="Arial"/>
                <w:b w:val="0"/>
                <w:i w:val="0"/>
                <w:color w:val="000000"/>
                <w:sz w:val="22"/>
              </w:rPr>
              <w:t xml:space="preserve">(67,307,410 ) </w:t>
            </w:r>
          </w:p>
        </w:tc>
        <w:tc>
          <w:tcPr>
            <w:tcW w:type="dxa" w:w="1900"/>
            <w:vMerge w:val="restart"/>
            <w:tcBorders/>
            <w:tcMar>
              <w:start w:w="0" w:type="dxa"/>
              <w:end w:w="0" w:type="dxa"/>
            </w:tcMar>
            <w:tcMar>
              <w:start w:w="0" w:type="dxa"/>
              <w:end w:w="0" w:type="dxa"/>
            </w:tcMar>
          </w:tcPr>
          <w:p>
            <w:pPr>
              <w:autoSpaceDN w:val="0"/>
              <w:autoSpaceDE w:val="0"/>
              <w:widowControl/>
              <w:spacing w:line="233" w:lineRule="auto" w:before="58" w:after="0"/>
              <w:ind w:left="0" w:right="96" w:firstLine="0"/>
              <w:jc w:val="right"/>
            </w:pPr>
            <w:r>
              <w:rPr>
                <w:rFonts w:ascii="Arial" w:hAnsi="Arial" w:eastAsia="Arial"/>
                <w:b w:val="0"/>
                <w:i w:val="0"/>
                <w:color w:val="000000"/>
                <w:sz w:val="22"/>
              </w:rPr>
              <w:t xml:space="preserve">(59,055,143) </w:t>
            </w:r>
          </w:p>
        </w:tc>
      </w:tr>
      <w:tr>
        <w:trPr>
          <w:trHeight w:hRule="exact" w:val="42"/>
        </w:trPr>
        <w:tc>
          <w:tcPr>
            <w:tcW w:type="dxa" w:w="4220"/>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4" w:after="0"/>
              <w:ind w:left="630" w:right="0" w:firstLine="0"/>
              <w:jc w:val="left"/>
            </w:pPr>
            <w:r>
              <w:rPr>
                <w:rFonts w:ascii="黑体" w:hAnsi="黑体" w:eastAsia="黑体"/>
                <w:b w:val="0"/>
                <w:i w:val="0"/>
                <w:color w:val="000000"/>
                <w:sz w:val="22"/>
              </w:rPr>
              <w:t>提取交易风险准备</w:t>
            </w:r>
          </w:p>
        </w:tc>
        <w:tc>
          <w:tcPr>
            <w:tcW w:type="dxa" w:w="3008"/>
            <w:gridSpan w:val="2"/>
            <w:vMerge/>
            <w:tcBorders/>
          </w:tcPr>
          <w:p/>
        </w:tc>
        <w:tc>
          <w:tcPr>
            <w:tcW w:type="dxa" w:w="1504"/>
            <w:vMerge/>
            <w:tcBorders/>
          </w:tcPr>
          <w:p/>
        </w:tc>
      </w:tr>
      <w:tr>
        <w:trPr>
          <w:trHeight w:hRule="exact" w:val="238"/>
        </w:trPr>
        <w:tc>
          <w:tcPr>
            <w:tcW w:type="dxa" w:w="4512"/>
            <w:gridSpan w:val="3"/>
            <w:vMerge/>
            <w:tcBorders/>
          </w:tcPr>
          <w:p/>
        </w:tc>
        <w:tc>
          <w:tcPr>
            <w:tcW w:type="dxa" w:w="264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8" w:after="0"/>
              <w:ind w:left="0" w:right="312" w:firstLine="0"/>
              <w:jc w:val="right"/>
            </w:pPr>
            <w:r>
              <w:rPr>
                <w:rFonts w:ascii="Arial" w:hAnsi="Arial" w:eastAsia="Arial"/>
                <w:b w:val="0"/>
                <w:i w:val="0"/>
                <w:color w:val="000000"/>
                <w:sz w:val="22"/>
              </w:rPr>
              <w:t xml:space="preserve">(62,016,746 ) </w:t>
            </w:r>
          </w:p>
        </w:tc>
        <w:tc>
          <w:tcPr>
            <w:tcW w:type="dxa" w:w="1900"/>
            <w:vMerge w:val="restart"/>
            <w:tcBorders/>
            <w:tcMar>
              <w:start w:w="0" w:type="dxa"/>
              <w:end w:w="0" w:type="dxa"/>
            </w:tcMar>
            <w:tcMar>
              <w:start w:w="0" w:type="dxa"/>
              <w:end w:w="0" w:type="dxa"/>
            </w:tcMar>
          </w:tcPr>
          <w:p>
            <w:pPr>
              <w:autoSpaceDN w:val="0"/>
              <w:autoSpaceDE w:val="0"/>
              <w:widowControl/>
              <w:spacing w:line="233" w:lineRule="auto" w:before="18" w:after="0"/>
              <w:ind w:left="0" w:right="96" w:firstLine="0"/>
              <w:jc w:val="right"/>
            </w:pPr>
            <w:r>
              <w:rPr>
                <w:rFonts w:ascii="Arial" w:hAnsi="Arial" w:eastAsia="Arial"/>
                <w:b w:val="0"/>
                <w:i w:val="0"/>
                <w:color w:val="000000"/>
                <w:sz w:val="22"/>
              </w:rPr>
              <w:t xml:space="preserve">(51,796,546) </w:t>
            </w:r>
          </w:p>
        </w:tc>
      </w:tr>
      <w:tr>
        <w:trPr>
          <w:trHeight w:hRule="exact" w:val="46"/>
        </w:trPr>
        <w:tc>
          <w:tcPr>
            <w:tcW w:type="dxa" w:w="4220"/>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50" w:after="0"/>
              <w:ind w:left="630" w:right="0" w:firstLine="0"/>
              <w:jc w:val="left"/>
            </w:pPr>
            <w:r>
              <w:rPr>
                <w:rFonts w:ascii="黑体" w:hAnsi="黑体" w:eastAsia="黑体"/>
                <w:b w:val="0"/>
                <w:i w:val="0"/>
                <w:color w:val="000000"/>
                <w:sz w:val="22"/>
              </w:rPr>
              <w:t>对股东的分配（</w:t>
            </w:r>
            <w:r>
              <w:rPr>
                <w:rFonts w:ascii="Arial" w:hAnsi="Arial" w:eastAsia="Arial"/>
                <w:b w:val="0"/>
                <w:i w:val="0"/>
                <w:color w:val="000000"/>
                <w:sz w:val="22"/>
              </w:rPr>
              <w:t>1</w:t>
            </w:r>
            <w:r>
              <w:rPr>
                <w:rFonts w:ascii="黑体" w:hAnsi="黑体" w:eastAsia="黑体"/>
                <w:b w:val="0"/>
                <w:i w:val="0"/>
                <w:color w:val="000000"/>
                <w:sz w:val="22"/>
              </w:rPr>
              <w:t>）</w:t>
            </w:r>
          </w:p>
        </w:tc>
        <w:tc>
          <w:tcPr>
            <w:tcW w:type="dxa" w:w="3008"/>
            <w:gridSpan w:val="2"/>
            <w:vMerge/>
            <w:tcBorders/>
          </w:tcPr>
          <w:p/>
        </w:tc>
        <w:tc>
          <w:tcPr>
            <w:tcW w:type="dxa" w:w="1504"/>
            <w:vMerge/>
            <w:tcBorders/>
          </w:tcPr>
          <w:p/>
        </w:tc>
      </w:tr>
      <w:tr>
        <w:trPr>
          <w:trHeight w:hRule="exact" w:val="254"/>
        </w:trPr>
        <w:tc>
          <w:tcPr>
            <w:tcW w:type="dxa" w:w="4512"/>
            <w:gridSpan w:val="3"/>
            <w:vMerge/>
            <w:tcBorders/>
          </w:tcPr>
          <w:p/>
        </w:tc>
        <w:tc>
          <w:tcPr>
            <w:tcW w:type="dxa" w:w="2640"/>
            <w:gridSpan w:val="2"/>
            <w:tcBorders/>
            <w:tcMar>
              <w:start w:w="0" w:type="dxa"/>
              <w:end w:w="0" w:type="dxa"/>
            </w:tcMar>
            <w:tcMar>
              <w:start w:w="0" w:type="dxa"/>
              <w:end w:w="0" w:type="dxa"/>
            </w:tcMar>
          </w:tcPr>
          <w:p>
            <w:pPr>
              <w:autoSpaceDN w:val="0"/>
              <w:autoSpaceDE w:val="0"/>
              <w:widowControl/>
              <w:spacing w:line="233" w:lineRule="auto" w:before="8" w:after="0"/>
              <w:ind w:left="0" w:right="312" w:firstLine="0"/>
              <w:jc w:val="right"/>
            </w:pPr>
            <w:r>
              <w:rPr>
                <w:rFonts w:ascii="Arial" w:hAnsi="Arial" w:eastAsia="Arial"/>
                <w:b w:val="0"/>
                <w:i w:val="0"/>
                <w:color w:val="000000"/>
                <w:sz w:val="22"/>
              </w:rPr>
              <w:t xml:space="preserve">(502,568,016 ) </w:t>
            </w:r>
          </w:p>
        </w:tc>
        <w:tc>
          <w:tcPr>
            <w:tcW w:type="dxa" w:w="1900"/>
            <w:tcBorders/>
            <w:tcMar>
              <w:start w:w="0" w:type="dxa"/>
              <w:end w:w="0" w:type="dxa"/>
            </w:tcMar>
          </w:tcPr>
          <w:p>
            <w:pPr>
              <w:autoSpaceDN w:val="0"/>
              <w:autoSpaceDE w:val="0"/>
              <w:widowControl/>
              <w:spacing w:line="233" w:lineRule="auto" w:before="8" w:after="0"/>
              <w:ind w:left="374" w:right="0" w:firstLine="0"/>
              <w:jc w:val="left"/>
            </w:pPr>
            <w:r>
              <w:rPr>
                <w:rFonts w:ascii="Arial" w:hAnsi="Arial" w:eastAsia="Arial"/>
                <w:b w:val="0"/>
                <w:i w:val="0"/>
                <w:color w:val="000000"/>
                <w:sz w:val="22"/>
              </w:rPr>
              <w:t xml:space="preserve">(287,181,724) </w:t>
            </w:r>
          </w:p>
        </w:tc>
      </w:tr>
      <w:tr>
        <w:trPr>
          <w:trHeight w:hRule="exact" w:val="308"/>
        </w:trPr>
        <w:tc>
          <w:tcPr>
            <w:tcW w:type="dxa" w:w="4220"/>
            <w:gridSpan w:val="3"/>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20" w:lineRule="exact" w:before="46" w:after="0"/>
              <w:ind w:left="198" w:right="0" w:firstLine="0"/>
              <w:jc w:val="left"/>
            </w:pPr>
            <w:r>
              <w:rPr>
                <w:rFonts w:ascii="黑体" w:hAnsi="黑体" w:eastAsia="黑体"/>
                <w:b w:val="0"/>
                <w:i w:val="0"/>
                <w:color w:val="000000"/>
                <w:sz w:val="22"/>
              </w:rPr>
              <w:t>加：其他综合收益结转留存收益</w:t>
            </w:r>
          </w:p>
        </w:tc>
        <w:tc>
          <w:tcPr>
            <w:tcW w:type="dxa" w:w="2640"/>
            <w:gridSpan w:val="2"/>
            <w:tcBorders>
              <w:bottom w:sz="4.0" w:val="single" w:color="#000000"/>
            </w:tcBorders>
            <w:tcMar>
              <w:start w:w="0" w:type="dxa"/>
              <w:end w:w="0" w:type="dxa"/>
            </w:tcMar>
            <w:tcMar>
              <w:start w:w="0" w:type="dxa"/>
              <w:end w:w="0" w:type="dxa"/>
            </w:tcMar>
          </w:tcPr>
          <w:p>
            <w:pPr>
              <w:autoSpaceDN w:val="0"/>
              <w:autoSpaceDE w:val="0"/>
              <w:widowControl/>
              <w:spacing w:line="233" w:lineRule="auto" w:before="52" w:after="0"/>
              <w:ind w:left="0" w:right="386" w:firstLine="0"/>
              <w:jc w:val="right"/>
            </w:pPr>
            <w:r>
              <w:rPr>
                <w:rFonts w:ascii="Arial" w:hAnsi="Arial" w:eastAsia="Arial"/>
                <w:b w:val="0"/>
                <w:i w:val="0"/>
                <w:color w:val="000000"/>
                <w:sz w:val="22"/>
              </w:rPr>
              <w:t xml:space="preserve">65,252 </w:t>
            </w:r>
          </w:p>
        </w:tc>
        <w:tc>
          <w:tcPr>
            <w:tcW w:type="dxa" w:w="1900"/>
            <w:tcBorders>
              <w:bottom w:sz="4.0" w:val="single" w:color="#000000"/>
            </w:tcBorders>
            <w:tcMar>
              <w:start w:w="0" w:type="dxa"/>
              <w:end w:w="0" w:type="dxa"/>
            </w:tcMar>
          </w:tcPr>
          <w:p>
            <w:pPr>
              <w:autoSpaceDN w:val="0"/>
              <w:autoSpaceDE w:val="0"/>
              <w:widowControl/>
              <w:spacing w:line="233" w:lineRule="auto" w:before="52" w:after="0"/>
              <w:ind w:left="0" w:right="96" w:firstLine="0"/>
              <w:jc w:val="right"/>
            </w:pPr>
            <w:r>
              <w:rPr>
                <w:rFonts w:ascii="Arial" w:hAnsi="Arial" w:eastAsia="Arial"/>
                <w:b w:val="0"/>
                <w:i w:val="0"/>
                <w:color w:val="000000"/>
                <w:sz w:val="22"/>
              </w:rPr>
              <w:t xml:space="preserve">(5,143,034) </w:t>
            </w:r>
          </w:p>
        </w:tc>
      </w:tr>
      <w:tr>
        <w:trPr>
          <w:trHeight w:hRule="exact" w:val="550"/>
        </w:trPr>
        <w:tc>
          <w:tcPr>
            <w:tcW w:type="dxa" w:w="4220"/>
            <w:gridSpan w:val="3"/>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8" w:lineRule="exact" w:before="270" w:after="0"/>
              <w:ind w:left="198" w:right="0" w:firstLine="0"/>
              <w:jc w:val="left"/>
            </w:pPr>
            <w:r>
              <w:rPr>
                <w:rFonts w:ascii="黑体" w:hAnsi="黑体" w:eastAsia="黑体"/>
                <w:b w:val="0"/>
                <w:i w:val="0"/>
                <w:color w:val="000000"/>
                <w:sz w:val="22"/>
              </w:rPr>
              <w:t>本年末未分配利润（</w:t>
            </w:r>
            <w:r>
              <w:rPr>
                <w:rFonts w:ascii="Arial" w:hAnsi="Arial" w:eastAsia="Arial"/>
                <w:b w:val="0"/>
                <w:i w:val="0"/>
                <w:color w:val="000000"/>
                <w:sz w:val="22"/>
              </w:rPr>
              <w:t>2</w:t>
            </w:r>
            <w:r>
              <w:rPr>
                <w:rFonts w:ascii="黑体" w:hAnsi="黑体" w:eastAsia="黑体"/>
                <w:b w:val="0"/>
                <w:i w:val="0"/>
                <w:color w:val="000000"/>
                <w:sz w:val="22"/>
              </w:rPr>
              <w:t>）</w:t>
            </w:r>
          </w:p>
        </w:tc>
        <w:tc>
          <w:tcPr>
            <w:tcW w:type="dxa" w:w="2640"/>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90" w:after="0"/>
              <w:ind w:left="0" w:right="386" w:firstLine="0"/>
              <w:jc w:val="right"/>
            </w:pPr>
            <w:r>
              <w:rPr>
                <w:rFonts w:ascii="Arial" w:hAnsi="Arial" w:eastAsia="Arial"/>
                <w:b w:val="0"/>
                <w:i w:val="0"/>
                <w:color w:val="000000"/>
                <w:sz w:val="22"/>
              </w:rPr>
              <w:t xml:space="preserve">1,935,706,952 </w:t>
            </w:r>
          </w:p>
        </w:tc>
        <w:tc>
          <w:tcPr>
            <w:tcW w:type="dxa" w:w="190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center"/>
            </w:pPr>
            <w:r>
              <w:rPr>
                <w:rFonts w:ascii="Arial" w:hAnsi="Arial" w:eastAsia="Arial"/>
                <w:b w:val="0"/>
                <w:i w:val="0"/>
                <w:color w:val="000000"/>
                <w:sz w:val="22"/>
              </w:rPr>
              <w:t>1,917,718,771</w:t>
            </w:r>
          </w:p>
        </w:tc>
      </w:tr>
      <w:tr>
        <w:trPr>
          <w:trHeight w:hRule="exact" w:val="50"/>
        </w:trPr>
        <w:tc>
          <w:tcPr>
            <w:tcW w:type="dxa" w:w="4512"/>
            <w:gridSpan w:val="3"/>
            <w:vMerge/>
            <w:tcBorders>
              <w:top w:sz="4.0" w:val="single" w:color="#000000"/>
            </w:tcBorders>
          </w:tcPr>
          <w:p/>
        </w:tc>
        <w:tc>
          <w:tcPr>
            <w:tcW w:type="dxa" w:w="3008"/>
            <w:gridSpan w:val="2"/>
            <w:vMerge/>
            <w:tcBorders>
              <w:top w:sz="4.0" w:val="single" w:color="#000000"/>
            </w:tcBorders>
          </w:tcPr>
          <w:p/>
        </w:tc>
        <w:tc>
          <w:tcPr>
            <w:tcW w:type="dxa" w:w="1900"/>
            <w:tcBorders>
              <w:top w:sz="4.0" w:val="single" w:color="#000000"/>
            </w:tcBorders>
            <w:tcMar>
              <w:start w:w="0" w:type="dxa"/>
              <w:end w:w="0" w:type="dxa"/>
            </w:tcMar>
          </w:tcPr>
          <w:p/>
        </w:tc>
      </w:tr>
    </w:tbl>
    <w:p>
      <w:pPr>
        <w:autoSpaceDN w:val="0"/>
        <w:autoSpaceDE w:val="0"/>
        <w:widowControl/>
        <w:spacing w:line="233" w:lineRule="auto" w:before="4570" w:after="0"/>
        <w:ind w:left="0" w:right="0" w:firstLine="0"/>
        <w:jc w:val="center"/>
      </w:pPr>
      <w:r>
        <w:rPr>
          <w:rFonts w:ascii="Arial" w:hAnsi="Arial" w:eastAsia="Arial"/>
          <w:b w:val="0"/>
          <w:i w:val="0"/>
          <w:color w:val="000000"/>
          <w:sz w:val="20"/>
        </w:rPr>
        <w:t xml:space="preserve">233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tabs>
          <w:tab w:pos="1070" w:val="left"/>
        </w:tabs>
        <w:autoSpaceDE w:val="0"/>
        <w:widowControl/>
        <w:spacing w:line="222"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4" w:lineRule="exact" w:before="334" w:after="0"/>
        <w:ind w:left="358" w:right="0" w:firstLine="0"/>
        <w:jc w:val="left"/>
      </w:pPr>
      <w:r>
        <w:rPr>
          <w:rFonts w:ascii="Calibri" w:hAnsi="Calibri" w:eastAsia="Calibri"/>
          <w:b/>
          <w:i w:val="0"/>
          <w:color w:val="000000"/>
          <w:sz w:val="22"/>
        </w:rPr>
        <w:t>38</w:t>
      </w:r>
      <w:r>
        <w:rPr>
          <w:rFonts w:ascii="黑体" w:hAnsi="黑体" w:eastAsia="黑体"/>
          <w:b w:val="0"/>
          <w:i w:val="0"/>
          <w:color w:val="000000"/>
          <w:sz w:val="22"/>
        </w:rPr>
        <w:t xml:space="preserve">. </w:t>
      </w:r>
      <w:r>
        <w:rPr>
          <w:rFonts w:ascii="黑体" w:hAnsi="黑体" w:eastAsia="黑体"/>
          <w:b w:val="0"/>
          <w:i w:val="0"/>
          <w:color w:val="000000"/>
          <w:sz w:val="22"/>
        </w:rPr>
        <w:t xml:space="preserve">未分配利润（续） </w:t>
      </w:r>
    </w:p>
    <w:p>
      <w:pPr>
        <w:autoSpaceDN w:val="0"/>
        <w:autoSpaceDE w:val="0"/>
        <w:widowControl/>
        <w:spacing w:line="248" w:lineRule="exact" w:before="296"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对股东的分配</w:t>
      </w:r>
    </w:p>
    <w:p>
      <w:pPr>
        <w:autoSpaceDN w:val="0"/>
        <w:autoSpaceDE w:val="0"/>
        <w:widowControl/>
        <w:spacing w:line="284" w:lineRule="exact" w:before="268" w:after="0"/>
        <w:ind w:left="358" w:right="352" w:firstLine="0"/>
        <w:jc w:val="both"/>
      </w:pPr>
      <w:r>
        <w:rPr>
          <w:rFonts w:ascii="黑体" w:hAnsi="黑体" w:eastAsia="黑体"/>
          <w:b w:val="0"/>
          <w:i w:val="0"/>
          <w:color w:val="000000"/>
          <w:sz w:val="22"/>
        </w:rPr>
        <w:t>经</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5</w:t>
      </w:r>
      <w:r>
        <w:rPr>
          <w:rFonts w:ascii="黑体" w:hAnsi="黑体" w:eastAsia="黑体"/>
          <w:b w:val="0"/>
          <w:i w:val="0"/>
          <w:color w:val="000000"/>
          <w:sz w:val="22"/>
        </w:rPr>
        <w:t>月</w:t>
      </w:r>
      <w:r>
        <w:rPr>
          <w:rFonts w:ascii="Arial" w:hAnsi="Arial" w:eastAsia="Arial"/>
          <w:b w:val="0"/>
          <w:i w:val="0"/>
          <w:color w:val="000000"/>
          <w:sz w:val="22"/>
        </w:rPr>
        <w:t>25</w:t>
      </w:r>
      <w:r>
        <w:rPr>
          <w:rFonts w:ascii="黑体" w:hAnsi="黑体" w:eastAsia="黑体"/>
          <w:b w:val="0"/>
          <w:i w:val="0"/>
          <w:color w:val="000000"/>
          <w:sz w:val="22"/>
        </w:rPr>
        <w:t>日召开的</w:t>
      </w:r>
      <w:r>
        <w:rPr>
          <w:rFonts w:ascii="Arial" w:hAnsi="Arial" w:eastAsia="Arial"/>
          <w:b w:val="0"/>
          <w:i w:val="0"/>
          <w:color w:val="000000"/>
          <w:sz w:val="22"/>
        </w:rPr>
        <w:t>2023</w:t>
      </w:r>
      <w:r>
        <w:rPr>
          <w:rFonts w:ascii="黑体" w:hAnsi="黑体" w:eastAsia="黑体"/>
          <w:b w:val="0"/>
          <w:i w:val="0"/>
          <w:color w:val="000000"/>
          <w:sz w:val="22"/>
        </w:rPr>
        <w:t>年度股东大会审议批准，本公司以</w:t>
      </w:r>
      <w:r>
        <w:rPr>
          <w:rFonts w:ascii="Arial" w:hAnsi="Arial" w:eastAsia="Arial"/>
          <w:b w:val="0"/>
          <w:i w:val="0"/>
          <w:color w:val="000000"/>
          <w:sz w:val="22"/>
        </w:rPr>
        <w:t>2023</w:t>
      </w:r>
      <w:r>
        <w:rPr>
          <w:rFonts w:ascii="黑体" w:hAnsi="黑体" w:eastAsia="黑体"/>
          <w:b w:val="0"/>
          <w:i w:val="0"/>
          <w:color w:val="000000"/>
          <w:sz w:val="22"/>
        </w:rPr>
        <w:t>年末总股本</w:t>
      </w:r>
      <w:r>
        <w:rPr>
          <w:rFonts w:ascii="Arial" w:hAnsi="Arial" w:eastAsia="Arial"/>
          <w:b w:val="0"/>
          <w:i w:val="0"/>
          <w:color w:val="000000"/>
          <w:sz w:val="22"/>
        </w:rPr>
        <w:t>3,589,771,547</w:t>
      </w:r>
      <w:r>
        <w:rPr>
          <w:rFonts w:ascii="黑体" w:hAnsi="黑体" w:eastAsia="黑体"/>
          <w:b w:val="0"/>
          <w:i w:val="0"/>
          <w:color w:val="000000"/>
          <w:sz w:val="22"/>
        </w:rPr>
        <w:t>股为基数，向全体股东每股派发现金股利人民币</w:t>
      </w:r>
      <w:r>
        <w:rPr>
          <w:rFonts w:ascii="Arial" w:hAnsi="Arial" w:eastAsia="Arial"/>
          <w:b w:val="0"/>
          <w:i w:val="0"/>
          <w:color w:val="000000"/>
          <w:sz w:val="22"/>
        </w:rPr>
        <w:t>0.09</w:t>
      </w:r>
      <w:r>
        <w:rPr>
          <w:rFonts w:ascii="黑体" w:hAnsi="黑体" w:eastAsia="黑体"/>
          <w:b w:val="0"/>
          <w:i w:val="0"/>
          <w:color w:val="000000"/>
          <w:sz w:val="22"/>
        </w:rPr>
        <w:t>元，共派发现金股</w:t>
      </w:r>
      <w:r>
        <w:rPr>
          <w:rFonts w:ascii="黑体" w:hAnsi="黑体" w:eastAsia="黑体"/>
          <w:b w:val="0"/>
          <w:i w:val="0"/>
          <w:color w:val="000000"/>
          <w:sz w:val="22"/>
        </w:rPr>
        <w:t>利人民币</w:t>
      </w:r>
      <w:r>
        <w:rPr>
          <w:rFonts w:ascii="Arial" w:hAnsi="Arial" w:eastAsia="Arial"/>
          <w:b w:val="0"/>
          <w:i w:val="0"/>
          <w:color w:val="000000"/>
          <w:sz w:val="22"/>
        </w:rPr>
        <w:t>323,079,439</w:t>
      </w:r>
      <w:r>
        <w:rPr>
          <w:rFonts w:ascii="黑体" w:hAnsi="黑体" w:eastAsia="黑体"/>
          <w:b w:val="0"/>
          <w:i w:val="0"/>
          <w:color w:val="000000"/>
          <w:sz w:val="22"/>
        </w:rPr>
        <w:t>元。</w:t>
      </w:r>
    </w:p>
    <w:p>
      <w:pPr>
        <w:autoSpaceDN w:val="0"/>
        <w:autoSpaceDE w:val="0"/>
        <w:widowControl/>
        <w:spacing w:line="286" w:lineRule="exact" w:before="252" w:after="0"/>
        <w:ind w:left="358" w:right="350" w:firstLine="0"/>
        <w:jc w:val="both"/>
      </w:pPr>
      <w:r>
        <w:rPr>
          <w:rFonts w:ascii="黑体" w:hAnsi="黑体" w:eastAsia="黑体"/>
          <w:b w:val="0"/>
          <w:i w:val="0"/>
          <w:color w:val="000000"/>
          <w:sz w:val="22"/>
        </w:rPr>
        <w:t>经</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11</w:t>
      </w:r>
      <w:r>
        <w:rPr>
          <w:rFonts w:ascii="黑体" w:hAnsi="黑体" w:eastAsia="黑体"/>
          <w:b w:val="0"/>
          <w:i w:val="0"/>
          <w:color w:val="000000"/>
          <w:sz w:val="22"/>
        </w:rPr>
        <w:t>月</w:t>
      </w:r>
      <w:r>
        <w:rPr>
          <w:rFonts w:ascii="Arial" w:hAnsi="Arial" w:eastAsia="Arial"/>
          <w:b w:val="0"/>
          <w:i w:val="0"/>
          <w:color w:val="000000"/>
          <w:sz w:val="22"/>
        </w:rPr>
        <w:t>18</w:t>
      </w:r>
      <w:r>
        <w:rPr>
          <w:rFonts w:ascii="黑体" w:hAnsi="黑体" w:eastAsia="黑体"/>
          <w:b w:val="0"/>
          <w:i w:val="0"/>
          <w:color w:val="000000"/>
          <w:sz w:val="22"/>
        </w:rPr>
        <w:t>日召开的</w:t>
      </w:r>
      <w:r>
        <w:rPr>
          <w:rFonts w:ascii="Arial" w:hAnsi="Arial" w:eastAsia="Arial"/>
          <w:b w:val="0"/>
          <w:i w:val="0"/>
          <w:color w:val="000000"/>
          <w:sz w:val="22"/>
        </w:rPr>
        <w:t>2024</w:t>
      </w:r>
      <w:r>
        <w:rPr>
          <w:rFonts w:ascii="黑体" w:hAnsi="黑体" w:eastAsia="黑体"/>
          <w:b w:val="0"/>
          <w:i w:val="0"/>
          <w:color w:val="000000"/>
          <w:sz w:val="22"/>
        </w:rPr>
        <w:t>年第一次临时股东大会审议批准，本公司以</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9</w:t>
      </w:r>
      <w:r>
        <w:rPr>
          <w:rFonts w:ascii="黑体" w:hAnsi="黑体" w:eastAsia="黑体"/>
          <w:b w:val="0"/>
          <w:i w:val="0"/>
          <w:color w:val="000000"/>
          <w:sz w:val="22"/>
        </w:rPr>
        <w:t>月</w:t>
      </w:r>
      <w:r>
        <w:rPr>
          <w:rFonts w:ascii="Arial" w:hAnsi="Arial" w:eastAsia="Arial"/>
          <w:b w:val="0"/>
          <w:i w:val="0"/>
          <w:color w:val="000000"/>
          <w:sz w:val="22"/>
        </w:rPr>
        <w:t>30</w:t>
      </w:r>
      <w:r>
        <w:rPr>
          <w:rFonts w:ascii="黑体" w:hAnsi="黑体" w:eastAsia="黑体"/>
          <w:b w:val="0"/>
          <w:i w:val="0"/>
          <w:color w:val="000000"/>
          <w:sz w:val="22"/>
        </w:rPr>
        <w:t>日总股本</w:t>
      </w:r>
      <w:r>
        <w:rPr>
          <w:rFonts w:ascii="Arial" w:hAnsi="Arial" w:eastAsia="Arial"/>
          <w:b w:val="0"/>
          <w:i w:val="0"/>
          <w:color w:val="000000"/>
          <w:sz w:val="22"/>
        </w:rPr>
        <w:t>3,589,771,547</w:t>
      </w:r>
      <w:r>
        <w:rPr>
          <w:rFonts w:ascii="黑体" w:hAnsi="黑体" w:eastAsia="黑体"/>
          <w:b w:val="0"/>
          <w:i w:val="0"/>
          <w:color w:val="000000"/>
          <w:sz w:val="22"/>
        </w:rPr>
        <w:t>股为基数，向全体股东每股派发现金股利人民币</w:t>
      </w:r>
      <w:r>
        <w:rPr>
          <w:rFonts w:ascii="Arial" w:hAnsi="Arial" w:eastAsia="Arial"/>
          <w:b w:val="0"/>
          <w:i w:val="0"/>
          <w:color w:val="000000"/>
          <w:sz w:val="22"/>
        </w:rPr>
        <w:t>0.05</w:t>
      </w:r>
      <w:r>
        <w:rPr>
          <w:rFonts w:ascii="黑体" w:hAnsi="黑体" w:eastAsia="黑体"/>
          <w:b w:val="0"/>
          <w:i w:val="0"/>
          <w:color w:val="000000"/>
          <w:sz w:val="22"/>
        </w:rPr>
        <w:t>元，共</w:t>
      </w:r>
      <w:r>
        <w:rPr>
          <w:rFonts w:ascii="黑体" w:hAnsi="黑体" w:eastAsia="黑体"/>
          <w:b w:val="0"/>
          <w:i w:val="0"/>
          <w:color w:val="000000"/>
          <w:sz w:val="22"/>
        </w:rPr>
        <w:t>派发现金股利人民币</w:t>
      </w:r>
      <w:r>
        <w:rPr>
          <w:rFonts w:ascii="Arial" w:hAnsi="Arial" w:eastAsia="Arial"/>
          <w:b w:val="0"/>
          <w:i w:val="0"/>
          <w:color w:val="000000"/>
          <w:sz w:val="22"/>
        </w:rPr>
        <w:t>179,488,577</w:t>
      </w:r>
      <w:r>
        <w:rPr>
          <w:rFonts w:ascii="黑体" w:hAnsi="黑体" w:eastAsia="黑体"/>
          <w:b w:val="0"/>
          <w:i w:val="0"/>
          <w:color w:val="000000"/>
          <w:sz w:val="22"/>
        </w:rPr>
        <w:t>元。</w:t>
      </w:r>
    </w:p>
    <w:p>
      <w:pPr>
        <w:autoSpaceDN w:val="0"/>
        <w:autoSpaceDE w:val="0"/>
        <w:widowControl/>
        <w:spacing w:line="284" w:lineRule="exact" w:before="254" w:after="0"/>
        <w:ind w:left="358" w:right="352" w:firstLine="0"/>
        <w:jc w:val="both"/>
      </w:pPr>
      <w:r>
        <w:rPr>
          <w:rFonts w:ascii="黑体" w:hAnsi="黑体" w:eastAsia="黑体"/>
          <w:b w:val="0"/>
          <w:i w:val="0"/>
          <w:color w:val="000000"/>
          <w:sz w:val="22"/>
        </w:rPr>
        <w:t>经</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5</w:t>
      </w:r>
      <w:r>
        <w:rPr>
          <w:rFonts w:ascii="黑体" w:hAnsi="黑体" w:eastAsia="黑体"/>
          <w:b w:val="0"/>
          <w:i w:val="0"/>
          <w:color w:val="000000"/>
          <w:sz w:val="22"/>
        </w:rPr>
        <w:t>月</w:t>
      </w:r>
      <w:r>
        <w:rPr>
          <w:rFonts w:ascii="Arial" w:hAnsi="Arial" w:eastAsia="Arial"/>
          <w:b w:val="0"/>
          <w:i w:val="0"/>
          <w:color w:val="000000"/>
          <w:sz w:val="22"/>
        </w:rPr>
        <w:t>26</w:t>
      </w:r>
      <w:r>
        <w:rPr>
          <w:rFonts w:ascii="黑体" w:hAnsi="黑体" w:eastAsia="黑体"/>
          <w:b w:val="0"/>
          <w:i w:val="0"/>
          <w:color w:val="000000"/>
          <w:sz w:val="22"/>
        </w:rPr>
        <w:t>日召开的</w:t>
      </w:r>
      <w:r>
        <w:rPr>
          <w:rFonts w:ascii="Arial" w:hAnsi="Arial" w:eastAsia="Arial"/>
          <w:b w:val="0"/>
          <w:i w:val="0"/>
          <w:color w:val="000000"/>
          <w:sz w:val="22"/>
        </w:rPr>
        <w:t>2022</w:t>
      </w:r>
      <w:r>
        <w:rPr>
          <w:rFonts w:ascii="黑体" w:hAnsi="黑体" w:eastAsia="黑体"/>
          <w:b w:val="0"/>
          <w:i w:val="0"/>
          <w:color w:val="000000"/>
          <w:sz w:val="22"/>
        </w:rPr>
        <w:t>年度股东大会审议批准，本公司以</w:t>
      </w:r>
      <w:r>
        <w:rPr>
          <w:rFonts w:ascii="Arial" w:hAnsi="Arial" w:eastAsia="Arial"/>
          <w:b w:val="0"/>
          <w:i w:val="0"/>
          <w:color w:val="000000"/>
          <w:sz w:val="22"/>
        </w:rPr>
        <w:t>2022</w:t>
      </w:r>
      <w:r>
        <w:rPr>
          <w:rFonts w:ascii="黑体" w:hAnsi="黑体" w:eastAsia="黑体"/>
          <w:b w:val="0"/>
          <w:i w:val="0"/>
          <w:color w:val="000000"/>
          <w:sz w:val="22"/>
        </w:rPr>
        <w:t>年末总股本</w:t>
      </w:r>
      <w:r>
        <w:rPr>
          <w:rFonts w:ascii="Arial" w:hAnsi="Arial" w:eastAsia="Arial"/>
          <w:b w:val="0"/>
          <w:i w:val="0"/>
          <w:color w:val="000000"/>
          <w:sz w:val="22"/>
        </w:rPr>
        <w:t>3,589,771,547</w:t>
      </w:r>
      <w:r>
        <w:rPr>
          <w:rFonts w:ascii="黑体" w:hAnsi="黑体" w:eastAsia="黑体"/>
          <w:b w:val="0"/>
          <w:i w:val="0"/>
          <w:color w:val="000000"/>
          <w:sz w:val="22"/>
        </w:rPr>
        <w:t>股为基数，向全体股东每股派发现金股利人民币</w:t>
      </w:r>
      <w:r>
        <w:rPr>
          <w:rFonts w:ascii="Arial" w:hAnsi="Arial" w:eastAsia="Arial"/>
          <w:b w:val="0"/>
          <w:i w:val="0"/>
          <w:color w:val="000000"/>
          <w:sz w:val="22"/>
        </w:rPr>
        <w:t>0.08</w:t>
      </w:r>
      <w:r>
        <w:rPr>
          <w:rFonts w:ascii="黑体" w:hAnsi="黑体" w:eastAsia="黑体"/>
          <w:b w:val="0"/>
          <w:i w:val="0"/>
          <w:color w:val="000000"/>
          <w:sz w:val="22"/>
        </w:rPr>
        <w:t>元，共派发现金股</w:t>
      </w:r>
      <w:r>
        <w:rPr>
          <w:rFonts w:ascii="黑体" w:hAnsi="黑体" w:eastAsia="黑体"/>
          <w:b w:val="0"/>
          <w:i w:val="0"/>
          <w:color w:val="000000"/>
          <w:sz w:val="22"/>
        </w:rPr>
        <w:t>利人民币</w:t>
      </w:r>
      <w:r>
        <w:rPr>
          <w:rFonts w:ascii="Arial" w:hAnsi="Arial" w:eastAsia="Arial"/>
          <w:b w:val="0"/>
          <w:i w:val="0"/>
          <w:color w:val="000000"/>
          <w:sz w:val="22"/>
        </w:rPr>
        <w:t>287,181,724</w:t>
      </w:r>
      <w:r>
        <w:rPr>
          <w:rFonts w:ascii="黑体" w:hAnsi="黑体" w:eastAsia="黑体"/>
          <w:b w:val="0"/>
          <w:i w:val="0"/>
          <w:color w:val="000000"/>
          <w:sz w:val="22"/>
        </w:rPr>
        <w:t>元。</w:t>
      </w:r>
    </w:p>
    <w:p>
      <w:pPr>
        <w:autoSpaceDN w:val="0"/>
        <w:autoSpaceDE w:val="0"/>
        <w:widowControl/>
        <w:spacing w:line="246" w:lineRule="exact" w:before="292"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年末未分配利润的说明</w:t>
      </w:r>
    </w:p>
    <w:p>
      <w:pPr>
        <w:autoSpaceDN w:val="0"/>
        <w:autoSpaceDE w:val="0"/>
        <w:widowControl/>
        <w:spacing w:line="284" w:lineRule="exact" w:before="256" w:after="0"/>
        <w:ind w:left="358" w:right="288"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日，本集团归属于母公司的未分配利润中包含了本公司的子公司提取</w:t>
      </w:r>
      <w:r>
        <w:rPr>
          <w:rFonts w:ascii="黑体" w:hAnsi="黑体" w:eastAsia="黑体"/>
          <w:b w:val="0"/>
          <w:i w:val="0"/>
          <w:color w:val="000000"/>
          <w:sz w:val="22"/>
        </w:rPr>
        <w:t>的盈余公积人民币</w:t>
      </w:r>
      <w:r>
        <w:rPr>
          <w:rFonts w:ascii="Arial" w:hAnsi="Arial" w:eastAsia="Arial"/>
          <w:b w:val="0"/>
          <w:i w:val="0"/>
          <w:color w:val="000000"/>
          <w:sz w:val="22"/>
        </w:rPr>
        <w:t>205,277,218</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188,950,829</w:t>
      </w:r>
      <w:r>
        <w:rPr>
          <w:rFonts w:ascii="黑体" w:hAnsi="黑体" w:eastAsia="黑体"/>
          <w:b w:val="0"/>
          <w:i w:val="0"/>
          <w:color w:val="000000"/>
          <w:sz w:val="22"/>
        </w:rPr>
        <w:t>元）。</w:t>
      </w:r>
    </w:p>
    <w:p>
      <w:pPr>
        <w:autoSpaceDN w:val="0"/>
        <w:tabs>
          <w:tab w:pos="1086" w:val="left"/>
        </w:tabs>
        <w:autoSpaceDE w:val="0"/>
        <w:widowControl/>
        <w:spacing w:line="246" w:lineRule="exact" w:before="308" w:after="0"/>
        <w:ind w:left="358" w:right="0" w:firstLine="0"/>
        <w:jc w:val="left"/>
      </w:pPr>
      <w:r>
        <w:rPr>
          <w:rFonts w:ascii="Arial,Bold" w:hAnsi="Arial,Bold" w:eastAsia="Arial,Bold"/>
          <w:b/>
          <w:i w:val="0"/>
          <w:color w:val="000000"/>
          <w:sz w:val="22"/>
        </w:rPr>
        <w:t xml:space="preserve">39. </w:t>
      </w:r>
      <w:r>
        <w:rPr>
          <w:rFonts w:ascii="黑体" w:hAnsi="黑体" w:eastAsia="黑体"/>
          <w:b w:val="0"/>
          <w:i w:val="0"/>
          <w:color w:val="000000"/>
          <w:sz w:val="22"/>
        </w:rPr>
        <w:t xml:space="preserve">少数股东权益 </w:t>
      </w:r>
    </w:p>
    <w:p>
      <w:pPr>
        <w:autoSpaceDN w:val="0"/>
        <w:autoSpaceDE w:val="0"/>
        <w:widowControl/>
        <w:spacing w:line="222" w:lineRule="exact" w:before="318" w:after="264"/>
        <w:ind w:left="358" w:right="0" w:firstLine="0"/>
        <w:jc w:val="left"/>
      </w:pPr>
      <w:r>
        <w:rPr>
          <w:rFonts w:ascii="黑体" w:hAnsi="黑体" w:eastAsia="黑体"/>
          <w:b w:val="0"/>
          <w:i w:val="0"/>
          <w:color w:val="000000"/>
          <w:sz w:val="22"/>
        </w:rPr>
        <w:t>归属于各子公司少数股东的权益</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48"/>
        </w:trPr>
        <w:tc>
          <w:tcPr>
            <w:tcW w:type="dxa" w:w="4552"/>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中德证券</w:t>
            </w:r>
          </w:p>
        </w:tc>
        <w:tc>
          <w:tcPr>
            <w:tcW w:type="dxa" w:w="2110"/>
            <w:tcBorders/>
            <w:tcMar>
              <w:start w:w="0" w:type="dxa"/>
              <w:end w:w="0" w:type="dxa"/>
            </w:tcMar>
          </w:tcPr>
          <w:p>
            <w:pPr>
              <w:autoSpaceDN w:val="0"/>
              <w:autoSpaceDE w:val="0"/>
              <w:widowControl/>
              <w:spacing w:line="246" w:lineRule="exact" w:before="6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866"/>
            <w:tcBorders/>
            <w:tcMar>
              <w:start w:w="0" w:type="dxa"/>
              <w:end w:w="0" w:type="dxa"/>
            </w:tcMar>
          </w:tcPr>
          <w:p>
            <w:pPr>
              <w:autoSpaceDN w:val="0"/>
              <w:autoSpaceDE w:val="0"/>
              <w:widowControl/>
              <w:spacing w:line="246" w:lineRule="exact" w:before="60" w:after="0"/>
              <w:ind w:left="228"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9"/>
            <w:vMerge/>
            <w:tcBorders/>
          </w:tcP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168" w:after="0"/>
              <w:ind w:left="0" w:right="188" w:firstLine="0"/>
              <w:jc w:val="right"/>
            </w:pPr>
            <w:r>
              <w:rPr>
                <w:rFonts w:ascii="Arial" w:hAnsi="Arial" w:eastAsia="Arial"/>
                <w:b w:val="0"/>
                <w:i w:val="0"/>
                <w:color w:val="000000"/>
                <w:sz w:val="22"/>
              </w:rPr>
              <w:t xml:space="preserve">310,669,485 </w:t>
            </w:r>
          </w:p>
        </w:tc>
        <w:tc>
          <w:tcPr>
            <w:tcW w:type="dxa" w:w="1866"/>
            <w:vMerge w:val="restart"/>
            <w:tcBorders/>
            <w:tcMar>
              <w:start w:w="0" w:type="dxa"/>
              <w:end w:w="0" w:type="dxa"/>
            </w:tcMar>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333,140,211</w:t>
            </w:r>
          </w:p>
        </w:tc>
      </w:tr>
      <w:tr>
        <w:trPr>
          <w:trHeight w:hRule="exact" w:val="54"/>
        </w:trPr>
        <w:tc>
          <w:tcPr>
            <w:tcW w:type="dxa" w:w="4552"/>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山证投资</w:t>
            </w:r>
          </w:p>
        </w:tc>
        <w:tc>
          <w:tcPr>
            <w:tcW w:type="dxa" w:w="3009"/>
            <w:vMerge/>
            <w:tcBorders/>
          </w:tcPr>
          <w:p/>
        </w:tc>
        <w:tc>
          <w:tcPr>
            <w:tcW w:type="dxa" w:w="3009"/>
            <w:vMerge/>
            <w:tcBorders/>
          </w:tcPr>
          <w:p/>
        </w:tc>
      </w:tr>
      <w:tr>
        <w:trPr>
          <w:trHeight w:hRule="exact" w:val="272"/>
        </w:trPr>
        <w:tc>
          <w:tcPr>
            <w:tcW w:type="dxa" w:w="3009"/>
            <w:vMerge/>
            <w:tcBorders>
              <w:bottom w:sz="3.199999999999818" w:val="single" w:color="#000000"/>
            </w:tcBorders>
          </w:tcPr>
          <w:p/>
        </w:tc>
        <w:tc>
          <w:tcPr>
            <w:tcW w:type="dxa" w:w="2110"/>
            <w:tcBorders>
              <w:bottom w:sz="3.199999999999818" w:val="single" w:color="#000000"/>
            </w:tcBorders>
            <w:tcMar>
              <w:start w:w="0" w:type="dxa"/>
              <w:end w:w="0" w:type="dxa"/>
            </w:tcMar>
          </w:tcPr>
          <w:p>
            <w:pPr>
              <w:autoSpaceDN w:val="0"/>
              <w:autoSpaceDE w:val="0"/>
              <w:widowControl/>
              <w:spacing w:line="233" w:lineRule="auto" w:before="18" w:after="0"/>
              <w:ind w:left="0" w:right="188" w:firstLine="0"/>
              <w:jc w:val="right"/>
            </w:pPr>
            <w:r>
              <w:rPr>
                <w:rFonts w:ascii="Arial" w:hAnsi="Arial" w:eastAsia="Arial"/>
                <w:b w:val="0"/>
                <w:i w:val="0"/>
                <w:color w:val="000000"/>
                <w:sz w:val="22"/>
              </w:rPr>
              <w:t xml:space="preserve">12,686,172 </w:t>
            </w:r>
          </w:p>
        </w:tc>
        <w:tc>
          <w:tcPr>
            <w:tcW w:type="dxa" w:w="1866"/>
            <w:tcBorders>
              <w:bottom w:sz="3.199999999999818"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73,151,163</w:t>
            </w:r>
          </w:p>
        </w:tc>
      </w:tr>
      <w:tr>
        <w:trPr>
          <w:trHeight w:hRule="exact" w:val="552"/>
        </w:trPr>
        <w:tc>
          <w:tcPr>
            <w:tcW w:type="dxa" w:w="4552"/>
            <w:tcBorders>
              <w:top w:sz="3.199999999999818"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2110"/>
            <w:tcBorders>
              <w:top w:sz="3.199999999999818" w:val="single" w:color="#000000"/>
              <w:bottom w:sz="4.0" w:val="single" w:color="#000000"/>
            </w:tcBorders>
            <w:tcMar>
              <w:start w:w="0" w:type="dxa"/>
              <w:end w:w="0" w:type="dxa"/>
            </w:tcMar>
          </w:tcPr>
          <w:p>
            <w:pPr>
              <w:autoSpaceDN w:val="0"/>
              <w:autoSpaceDE w:val="0"/>
              <w:widowControl/>
              <w:spacing w:line="233" w:lineRule="auto" w:before="292" w:after="0"/>
              <w:ind w:left="0" w:right="188" w:firstLine="0"/>
              <w:jc w:val="right"/>
            </w:pPr>
            <w:r>
              <w:rPr>
                <w:rFonts w:ascii="Arial" w:hAnsi="Arial" w:eastAsia="Arial"/>
                <w:b w:val="0"/>
                <w:i w:val="0"/>
                <w:color w:val="000000"/>
                <w:sz w:val="22"/>
              </w:rPr>
              <w:t xml:space="preserve">323,355,657 </w:t>
            </w:r>
          </w:p>
        </w:tc>
        <w:tc>
          <w:tcPr>
            <w:tcW w:type="dxa" w:w="1866"/>
            <w:tcBorders>
              <w:top w:sz="3.199999999999818"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406,291,374</w:t>
            </w:r>
          </w:p>
        </w:tc>
      </w:tr>
      <w:tr>
        <w:trPr>
          <w:trHeight w:hRule="exact" w:val="50"/>
        </w:trPr>
        <w:tc>
          <w:tcPr>
            <w:tcW w:type="dxa" w:w="4552"/>
            <w:tcBorders>
              <w:top w:sz="4.0" w:val="single" w:color="#000000"/>
            </w:tcBorders>
            <w:tcMar>
              <w:start w:w="0" w:type="dxa"/>
              <w:end w:w="0" w:type="dxa"/>
            </w:tcMar>
          </w:tcPr>
          <w:p/>
        </w:tc>
        <w:tc>
          <w:tcPr>
            <w:tcW w:type="dxa" w:w="2110"/>
            <w:tcBorders>
              <w:top w:sz="4.0" w:val="single" w:color="#000000"/>
            </w:tcBorders>
            <w:tcMar>
              <w:start w:w="0" w:type="dxa"/>
              <w:end w:w="0" w:type="dxa"/>
            </w:tcMar>
          </w:tcPr>
          <w:p/>
        </w:tc>
        <w:tc>
          <w:tcPr>
            <w:tcW w:type="dxa" w:w="1866"/>
            <w:tcBorders>
              <w:top w:sz="4.0" w:val="single" w:color="#000000"/>
            </w:tcBorders>
            <w:tcMar>
              <w:start w:w="0" w:type="dxa"/>
              <w:end w:w="0" w:type="dxa"/>
            </w:tcMar>
          </w:tcPr>
          <w:p/>
        </w:tc>
      </w:tr>
    </w:tbl>
    <w:p>
      <w:pPr>
        <w:autoSpaceDN w:val="0"/>
        <w:autoSpaceDE w:val="0"/>
        <w:widowControl/>
        <w:spacing w:line="233" w:lineRule="auto" w:before="4730" w:after="0"/>
        <w:ind w:left="0" w:right="0" w:firstLine="0"/>
        <w:jc w:val="center"/>
      </w:pPr>
      <w:r>
        <w:rPr>
          <w:rFonts w:ascii="Arial" w:hAnsi="Arial" w:eastAsia="Arial"/>
          <w:b w:val="0"/>
          <w:i w:val="0"/>
          <w:color w:val="000000"/>
          <w:sz w:val="20"/>
        </w:rPr>
        <w:t xml:space="preserve">234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74"/>
        </w:trPr>
        <w:tc>
          <w:tcPr>
            <w:tcW w:type="dxa" w:w="760"/>
            <w:tcBorders/>
            <w:tcMar>
              <w:start w:w="0" w:type="dxa"/>
              <w:end w:w="0" w:type="dxa"/>
            </w:tcMar>
          </w:tcPr>
          <w:p>
            <w:pPr>
              <w:autoSpaceDN w:val="0"/>
              <w:autoSpaceDE w:val="0"/>
              <w:widowControl/>
              <w:spacing w:line="222" w:lineRule="exact" w:before="0" w:after="0"/>
              <w:ind w:left="0" w:right="120" w:firstLine="0"/>
              <w:jc w:val="right"/>
            </w:pPr>
            <w:r>
              <w:rPr>
                <w:rFonts w:ascii="黑体" w:hAnsi="黑体" w:eastAsia="黑体"/>
                <w:b w:val="0"/>
                <w:i w:val="0"/>
                <w:color w:val="000000"/>
                <w:sz w:val="22"/>
              </w:rPr>
              <w:t>五、</w:t>
            </w:r>
          </w:p>
        </w:tc>
        <w:tc>
          <w:tcPr>
            <w:tcW w:type="dxa" w:w="4200"/>
            <w:tcBorders/>
            <w:tcMar>
              <w:start w:w="0" w:type="dxa"/>
              <w:end w:w="0" w:type="dxa"/>
            </w:tcMar>
          </w:tcPr>
          <w:p>
            <w:pPr>
              <w:autoSpaceDN w:val="0"/>
              <w:autoSpaceDE w:val="0"/>
              <w:widowControl/>
              <w:spacing w:line="222" w:lineRule="exact" w:before="0" w:after="0"/>
              <w:ind w:left="150" w:right="0" w:firstLine="0"/>
              <w:jc w:val="left"/>
            </w:pPr>
            <w:r>
              <w:rPr>
                <w:rFonts w:ascii="黑体" w:hAnsi="黑体" w:eastAsia="黑体"/>
                <w:b w:val="0"/>
                <w:i w:val="0"/>
                <w:color w:val="000000"/>
                <w:sz w:val="22"/>
              </w:rPr>
              <w:t>合并财务报表主要项目注释（续）</w:t>
            </w:r>
          </w:p>
        </w:tc>
        <w:tc>
          <w:tcPr>
            <w:tcW w:type="dxa" w:w="2140"/>
            <w:vMerge w:val="restart"/>
            <w:tcBorders/>
            <w:tcMar>
              <w:start w:w="0" w:type="dxa"/>
              <w:end w:w="0" w:type="dxa"/>
            </w:tcMar>
            <w:tcMar>
              <w:start w:w="0" w:type="dxa"/>
              <w:end w:w="0" w:type="dxa"/>
            </w:tcMar>
          </w:tcPr>
          <w:p>
            <w:pPr>
              <w:autoSpaceDN w:val="0"/>
              <w:autoSpaceDE w:val="0"/>
              <w:widowControl/>
              <w:spacing w:line="248" w:lineRule="exact" w:before="1096"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580"/>
            <w:vMerge w:val="restart"/>
            <w:tcBorders/>
            <w:tcMar>
              <w:start w:w="0" w:type="dxa"/>
              <w:end w:w="0" w:type="dxa"/>
            </w:tcMar>
            <w:tcMar>
              <w:start w:w="0" w:type="dxa"/>
              <w:end w:w="0" w:type="dxa"/>
            </w:tcMar>
          </w:tcPr>
          <w:p>
            <w:pPr>
              <w:autoSpaceDN w:val="0"/>
              <w:autoSpaceDE w:val="0"/>
              <w:widowControl/>
              <w:spacing w:line="248" w:lineRule="exact" w:before="1096" w:after="0"/>
              <w:ind w:left="0" w:right="15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030"/>
        </w:trPr>
        <w:tc>
          <w:tcPr>
            <w:tcW w:type="dxa" w:w="760"/>
            <w:tcBorders/>
            <w:tcMar>
              <w:start w:w="0" w:type="dxa"/>
              <w:end w:w="0" w:type="dxa"/>
            </w:tcMar>
          </w:tcPr>
          <w:p>
            <w:pPr>
              <w:autoSpaceDN w:val="0"/>
              <w:autoSpaceDE w:val="0"/>
              <w:widowControl/>
              <w:spacing w:line="248" w:lineRule="exact" w:before="170" w:after="0"/>
              <w:ind w:left="0" w:right="0" w:firstLine="0"/>
              <w:jc w:val="center"/>
            </w:pPr>
            <w:r>
              <w:rPr>
                <w:rFonts w:ascii="Arial,Bold" w:hAnsi="Arial,Bold" w:eastAsia="Arial,Bold"/>
                <w:b/>
                <w:i w:val="0"/>
                <w:color w:val="000000"/>
                <w:sz w:val="22"/>
              </w:rPr>
              <w:t xml:space="preserve">40. </w:t>
            </w:r>
          </w:p>
        </w:tc>
        <w:tc>
          <w:tcPr>
            <w:tcW w:type="dxa" w:w="4200"/>
            <w:tcBorders/>
            <w:tcMar>
              <w:start w:w="0" w:type="dxa"/>
              <w:end w:w="0" w:type="dxa"/>
            </w:tcMar>
          </w:tcPr>
          <w:p>
            <w:pPr>
              <w:autoSpaceDN w:val="0"/>
              <w:autoSpaceDE w:val="0"/>
              <w:widowControl/>
              <w:spacing w:line="220" w:lineRule="exact" w:before="182" w:after="0"/>
              <w:ind w:left="166" w:right="0" w:firstLine="0"/>
              <w:jc w:val="left"/>
            </w:pPr>
            <w:r>
              <w:rPr>
                <w:rFonts w:ascii="黑体" w:hAnsi="黑体" w:eastAsia="黑体"/>
                <w:b w:val="0"/>
                <w:i w:val="0"/>
                <w:color w:val="000000"/>
                <w:sz w:val="22"/>
              </w:rPr>
              <w:t xml:space="preserve">手续费及佣金净收入 </w:t>
            </w:r>
          </w:p>
        </w:tc>
        <w:tc>
          <w:tcPr>
            <w:tcW w:type="dxa" w:w="2256"/>
            <w:vMerge/>
            <w:tcBorders/>
          </w:tcPr>
          <w:p/>
        </w:tc>
        <w:tc>
          <w:tcPr>
            <w:tcW w:type="dxa" w:w="2256"/>
            <w:vMerge/>
            <w:tcBorders/>
          </w:tcPr>
          <w:p/>
        </w:tc>
      </w:tr>
    </w:tbl>
    <w:p>
      <w:pPr>
        <w:autoSpaceDN w:val="0"/>
        <w:autoSpaceDE w:val="0"/>
        <w:widowControl/>
        <w:spacing w:line="220" w:lineRule="exact" w:before="244" w:after="28"/>
        <w:ind w:left="358" w:right="0" w:firstLine="0"/>
        <w:jc w:val="left"/>
      </w:pPr>
      <w:r>
        <w:rPr>
          <w:rFonts w:ascii="黑体" w:hAnsi="黑体" w:eastAsia="黑体"/>
          <w:b w:val="0"/>
          <w:i w:val="0"/>
          <w:color w:val="000000"/>
          <w:sz w:val="22"/>
        </w:rPr>
        <w:t>证券经纪业务净收入</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78"/>
        </w:trPr>
        <w:tc>
          <w:tcPr>
            <w:tcW w:type="dxa" w:w="3740"/>
            <w:tcBorders/>
            <w:tcMar>
              <w:start w:w="0" w:type="dxa"/>
              <w:end w:w="0" w:type="dxa"/>
            </w:tcMar>
          </w:tcPr>
          <w:p>
            <w:pPr>
              <w:autoSpaceDN w:val="0"/>
              <w:autoSpaceDE w:val="0"/>
              <w:widowControl/>
              <w:spacing w:line="246" w:lineRule="exact" w:before="26"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证券经纪业务收入</w:t>
            </w:r>
          </w:p>
        </w:tc>
        <w:tc>
          <w:tcPr>
            <w:tcW w:type="dxa" w:w="3020"/>
            <w:tcBorders/>
            <w:tcMar>
              <w:start w:w="0" w:type="dxa"/>
              <w:end w:w="0" w:type="dxa"/>
            </w:tcMar>
          </w:tcPr>
          <w:p>
            <w:pPr>
              <w:autoSpaceDN w:val="0"/>
              <w:autoSpaceDE w:val="0"/>
              <w:widowControl/>
              <w:spacing w:line="233" w:lineRule="auto" w:before="32" w:after="0"/>
              <w:ind w:left="0" w:right="406" w:firstLine="0"/>
              <w:jc w:val="right"/>
            </w:pPr>
            <w:r>
              <w:rPr>
                <w:rFonts w:ascii="Arial" w:hAnsi="Arial" w:eastAsia="Arial"/>
                <w:b w:val="0"/>
                <w:i w:val="0"/>
                <w:color w:val="000000"/>
                <w:sz w:val="22"/>
              </w:rPr>
              <w:t xml:space="preserve">733,754,837 </w:t>
            </w:r>
          </w:p>
        </w:tc>
        <w:tc>
          <w:tcPr>
            <w:tcW w:type="dxa" w:w="1880"/>
            <w:tcBorders/>
            <w:tcMar>
              <w:start w:w="0" w:type="dxa"/>
              <w:end w:w="0" w:type="dxa"/>
            </w:tcMar>
          </w:tcPr>
          <w:p>
            <w:pPr>
              <w:autoSpaceDN w:val="0"/>
              <w:autoSpaceDE w:val="0"/>
              <w:widowControl/>
              <w:spacing w:line="233" w:lineRule="auto" w:before="32" w:after="0"/>
              <w:ind w:left="426" w:right="0" w:firstLine="0"/>
              <w:jc w:val="left"/>
            </w:pPr>
            <w:r>
              <w:rPr>
                <w:rFonts w:ascii="Arial" w:hAnsi="Arial" w:eastAsia="Arial"/>
                <w:b w:val="0"/>
                <w:i w:val="0"/>
                <w:color w:val="000000"/>
                <w:sz w:val="22"/>
              </w:rPr>
              <w:t>566,837,353</w:t>
            </w:r>
          </w:p>
        </w:tc>
      </w:tr>
      <w:tr>
        <w:trPr>
          <w:trHeight w:hRule="exact" w:val="280"/>
        </w:trPr>
        <w:tc>
          <w:tcPr>
            <w:tcW w:type="dxa" w:w="3740"/>
            <w:tcBorders/>
            <w:tcMar>
              <w:start w:w="0" w:type="dxa"/>
              <w:end w:w="0" w:type="dxa"/>
            </w:tcMar>
          </w:tcPr>
          <w:p>
            <w:pPr>
              <w:autoSpaceDN w:val="0"/>
              <w:autoSpaceDE w:val="0"/>
              <w:widowControl/>
              <w:spacing w:line="246" w:lineRule="exact" w:before="32"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代理买卖证券业务</w:t>
            </w:r>
          </w:p>
        </w:tc>
        <w:tc>
          <w:tcPr>
            <w:tcW w:type="dxa" w:w="3020"/>
            <w:tcBorders/>
            <w:tcMar>
              <w:start w:w="0" w:type="dxa"/>
              <w:end w:w="0" w:type="dxa"/>
            </w:tcMar>
          </w:tcPr>
          <w:p>
            <w:pPr>
              <w:autoSpaceDN w:val="0"/>
              <w:autoSpaceDE w:val="0"/>
              <w:widowControl/>
              <w:spacing w:line="235" w:lineRule="auto" w:before="32" w:after="0"/>
              <w:ind w:left="0" w:right="406" w:firstLine="0"/>
              <w:jc w:val="right"/>
            </w:pPr>
            <w:r>
              <w:rPr>
                <w:rFonts w:ascii="Arial" w:hAnsi="Arial" w:eastAsia="Arial"/>
                <w:b w:val="0"/>
                <w:i w:val="0"/>
                <w:color w:val="000000"/>
                <w:sz w:val="22"/>
              </w:rPr>
              <w:t xml:space="preserve">632,990,064 </w:t>
            </w:r>
          </w:p>
        </w:tc>
        <w:tc>
          <w:tcPr>
            <w:tcW w:type="dxa" w:w="1880"/>
            <w:tcBorders/>
            <w:tcMar>
              <w:start w:w="0" w:type="dxa"/>
              <w:end w:w="0" w:type="dxa"/>
            </w:tcMar>
          </w:tcPr>
          <w:p>
            <w:pPr>
              <w:autoSpaceDN w:val="0"/>
              <w:autoSpaceDE w:val="0"/>
              <w:widowControl/>
              <w:spacing w:line="235" w:lineRule="auto" w:before="32" w:after="0"/>
              <w:ind w:left="426" w:right="0" w:firstLine="0"/>
              <w:jc w:val="left"/>
            </w:pPr>
            <w:r>
              <w:rPr>
                <w:rFonts w:ascii="Arial" w:hAnsi="Arial" w:eastAsia="Arial"/>
                <w:b w:val="0"/>
                <w:i w:val="0"/>
                <w:color w:val="000000"/>
                <w:sz w:val="22"/>
              </w:rPr>
              <w:t>456,671,220</w:t>
            </w:r>
          </w:p>
        </w:tc>
      </w:tr>
      <w:tr>
        <w:trPr>
          <w:trHeight w:hRule="exact" w:val="280"/>
        </w:trPr>
        <w:tc>
          <w:tcPr>
            <w:tcW w:type="dxa" w:w="3740"/>
            <w:tcBorders/>
            <w:tcMar>
              <w:start w:w="0" w:type="dxa"/>
              <w:end w:w="0" w:type="dxa"/>
            </w:tcMar>
          </w:tcPr>
          <w:p>
            <w:pPr>
              <w:autoSpaceDN w:val="0"/>
              <w:autoSpaceDE w:val="0"/>
              <w:widowControl/>
              <w:spacing w:line="246" w:lineRule="exact" w:before="34"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交易单元席位租赁</w:t>
            </w:r>
          </w:p>
        </w:tc>
        <w:tc>
          <w:tcPr>
            <w:tcW w:type="dxa" w:w="3020"/>
            <w:vMerge w:val="restart"/>
            <w:tcBorders/>
            <w:tcMar>
              <w:start w:w="0" w:type="dxa"/>
              <w:end w:w="0" w:type="dxa"/>
            </w:tcMar>
            <w:tcMar>
              <w:start w:w="0" w:type="dxa"/>
              <w:end w:w="0" w:type="dxa"/>
            </w:tcMar>
          </w:tcPr>
          <w:p>
            <w:pPr>
              <w:autoSpaceDN w:val="0"/>
              <w:autoSpaceDE w:val="0"/>
              <w:widowControl/>
              <w:spacing w:line="233" w:lineRule="auto" w:before="58" w:after="0"/>
              <w:ind w:left="0" w:right="406" w:firstLine="0"/>
              <w:jc w:val="right"/>
            </w:pPr>
            <w:r>
              <w:rPr>
                <w:rFonts w:ascii="Arial" w:hAnsi="Arial" w:eastAsia="Arial"/>
                <w:b w:val="0"/>
                <w:i w:val="0"/>
                <w:color w:val="000000"/>
                <w:sz w:val="22"/>
              </w:rPr>
              <w:t xml:space="preserve">44,170,240 </w:t>
            </w:r>
          </w:p>
        </w:tc>
        <w:tc>
          <w:tcPr>
            <w:tcW w:type="dxa" w:w="1880"/>
            <w:vMerge w:val="restart"/>
            <w:tcBorders/>
            <w:tcMar>
              <w:start w:w="0" w:type="dxa"/>
              <w:end w:w="0" w:type="dxa"/>
            </w:tcMar>
            <w:tcMar>
              <w:start w:w="0" w:type="dxa"/>
              <w:end w:w="0" w:type="dxa"/>
            </w:tcMar>
          </w:tcPr>
          <w:p>
            <w:pPr>
              <w:autoSpaceDN w:val="0"/>
              <w:autoSpaceDE w:val="0"/>
              <w:widowControl/>
              <w:spacing w:line="233" w:lineRule="auto" w:before="58" w:after="0"/>
              <w:ind w:left="0" w:right="228" w:firstLine="0"/>
              <w:jc w:val="right"/>
            </w:pPr>
            <w:r>
              <w:rPr>
                <w:rFonts w:ascii="Arial" w:hAnsi="Arial" w:eastAsia="Arial"/>
                <w:b w:val="0"/>
                <w:i w:val="0"/>
                <w:color w:val="000000"/>
                <w:sz w:val="22"/>
              </w:rPr>
              <w:t>50,728,777</w:t>
            </w:r>
          </w:p>
        </w:tc>
      </w:tr>
      <w:tr>
        <w:trPr>
          <w:trHeight w:hRule="exact" w:val="42"/>
        </w:trPr>
        <w:tc>
          <w:tcPr>
            <w:tcW w:type="dxa" w:w="3740"/>
            <w:vMerge w:val="restart"/>
            <w:tcBorders/>
            <w:tcMar>
              <w:start w:w="0" w:type="dxa"/>
              <w:end w:w="0" w:type="dxa"/>
            </w:tcMar>
            <w:tcMar>
              <w:start w:w="0" w:type="dxa"/>
              <w:end w:w="0" w:type="dxa"/>
            </w:tcMar>
          </w:tcPr>
          <w:p>
            <w:pPr>
              <w:autoSpaceDN w:val="0"/>
              <w:autoSpaceDE w:val="0"/>
              <w:widowControl/>
              <w:spacing w:line="246" w:lineRule="exact" w:before="34"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代销金融产品业务</w:t>
            </w:r>
          </w:p>
        </w:tc>
        <w:tc>
          <w:tcPr>
            <w:tcW w:type="dxa" w:w="3009"/>
            <w:vMerge/>
            <w:tcBorders/>
          </w:tcPr>
          <w:p/>
        </w:tc>
        <w:tc>
          <w:tcPr>
            <w:tcW w:type="dxa" w:w="3009"/>
            <w:vMerge/>
            <w:tcBorders/>
          </w:tcPr>
          <w:p/>
        </w:tc>
      </w:tr>
      <w:tr>
        <w:trPr>
          <w:trHeight w:hRule="exact" w:val="238"/>
        </w:trPr>
        <w:tc>
          <w:tcPr>
            <w:tcW w:type="dxa" w:w="3009"/>
            <w:vMerge/>
            <w:tcBorders/>
          </w:tcPr>
          <w:p/>
        </w:tc>
        <w:tc>
          <w:tcPr>
            <w:tcW w:type="dxa" w:w="3020"/>
            <w:vMerge w:val="restart"/>
            <w:tcBorders/>
            <w:tcMar>
              <w:start w:w="0" w:type="dxa"/>
              <w:end w:w="0" w:type="dxa"/>
            </w:tcMar>
            <w:tcMar>
              <w:start w:w="0" w:type="dxa"/>
              <w:end w:w="0" w:type="dxa"/>
            </w:tcMar>
          </w:tcPr>
          <w:p>
            <w:pPr>
              <w:autoSpaceDN w:val="0"/>
              <w:autoSpaceDE w:val="0"/>
              <w:widowControl/>
              <w:spacing w:line="233" w:lineRule="auto" w:before="20" w:after="0"/>
              <w:ind w:left="0" w:right="406" w:firstLine="0"/>
              <w:jc w:val="right"/>
            </w:pPr>
            <w:r>
              <w:rPr>
                <w:rFonts w:ascii="Arial" w:hAnsi="Arial" w:eastAsia="Arial"/>
                <w:b w:val="0"/>
                <w:i w:val="0"/>
                <w:color w:val="000000"/>
                <w:sz w:val="22"/>
              </w:rPr>
              <w:t xml:space="preserve">56,594,533 </w:t>
            </w:r>
          </w:p>
        </w:tc>
        <w:tc>
          <w:tcPr>
            <w:tcW w:type="dxa" w:w="1880"/>
            <w:vMerge w:val="restart"/>
            <w:tcBorders/>
            <w:tcMar>
              <w:start w:w="0" w:type="dxa"/>
              <w:end w:w="0" w:type="dxa"/>
            </w:tcMar>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2"/>
              </w:rPr>
              <w:t>59,437,356</w:t>
            </w:r>
          </w:p>
        </w:tc>
      </w:tr>
      <w:tr>
        <w:trPr>
          <w:trHeight w:hRule="exact" w:val="48"/>
        </w:trPr>
        <w:tc>
          <w:tcPr>
            <w:tcW w:type="dxa" w:w="3740"/>
            <w:vMerge w:val="restart"/>
            <w:tcBorders/>
            <w:tcMar>
              <w:start w:w="0" w:type="dxa"/>
              <w:end w:w="0" w:type="dxa"/>
            </w:tcMar>
            <w:tcMar>
              <w:start w:w="0" w:type="dxa"/>
              <w:end w:w="0" w:type="dxa"/>
            </w:tcMar>
          </w:tcPr>
          <w:p>
            <w:pPr>
              <w:autoSpaceDN w:val="0"/>
              <w:autoSpaceDE w:val="0"/>
              <w:widowControl/>
              <w:spacing w:line="246" w:lineRule="exact" w:before="50"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证券经纪业务支出</w:t>
            </w:r>
          </w:p>
        </w:tc>
        <w:tc>
          <w:tcPr>
            <w:tcW w:type="dxa" w:w="3009"/>
            <w:vMerge/>
            <w:tcBorders/>
          </w:tcPr>
          <w:p/>
        </w:tc>
        <w:tc>
          <w:tcPr>
            <w:tcW w:type="dxa" w:w="3009"/>
            <w:vMerge/>
            <w:tcBorders/>
          </w:tcPr>
          <w:p/>
        </w:tc>
      </w:tr>
      <w:tr>
        <w:trPr>
          <w:trHeight w:hRule="exact" w:val="252"/>
        </w:trPr>
        <w:tc>
          <w:tcPr>
            <w:tcW w:type="dxa" w:w="3009"/>
            <w:vMerge/>
            <w:tcBorders/>
          </w:tcPr>
          <w:p/>
        </w:tc>
        <w:tc>
          <w:tcPr>
            <w:tcW w:type="dxa" w:w="3020"/>
            <w:tcBorders/>
            <w:tcMar>
              <w:start w:w="0" w:type="dxa"/>
              <w:end w:w="0" w:type="dxa"/>
            </w:tcMar>
          </w:tcPr>
          <w:p>
            <w:pPr>
              <w:autoSpaceDN w:val="0"/>
              <w:autoSpaceDE w:val="0"/>
              <w:widowControl/>
              <w:spacing w:line="233" w:lineRule="auto" w:before="6" w:after="0"/>
              <w:ind w:left="0" w:right="332" w:firstLine="0"/>
              <w:jc w:val="right"/>
            </w:pPr>
            <w:r>
              <w:rPr>
                <w:rFonts w:ascii="Arial" w:hAnsi="Arial" w:eastAsia="Arial"/>
                <w:b w:val="0"/>
                <w:i w:val="0"/>
                <w:color w:val="000000"/>
                <w:sz w:val="22"/>
              </w:rPr>
              <w:t xml:space="preserve">(137,443,020 ) </w:t>
            </w:r>
          </w:p>
        </w:tc>
        <w:tc>
          <w:tcPr>
            <w:tcW w:type="dxa" w:w="1880"/>
            <w:tcBorders/>
            <w:tcMar>
              <w:start w:w="0" w:type="dxa"/>
              <w:end w:w="0" w:type="dxa"/>
            </w:tcMar>
          </w:tcPr>
          <w:p>
            <w:pPr>
              <w:autoSpaceDN w:val="0"/>
              <w:autoSpaceDE w:val="0"/>
              <w:widowControl/>
              <w:spacing w:line="233" w:lineRule="auto" w:before="6" w:after="0"/>
              <w:ind w:left="368" w:right="0" w:firstLine="0"/>
              <w:jc w:val="left"/>
            </w:pPr>
            <w:r>
              <w:rPr>
                <w:rFonts w:ascii="Arial" w:hAnsi="Arial" w:eastAsia="Arial"/>
                <w:b w:val="0"/>
                <w:i w:val="0"/>
                <w:color w:val="000000"/>
                <w:sz w:val="22"/>
              </w:rPr>
              <w:t xml:space="preserve">(114,687,470) </w:t>
            </w:r>
          </w:p>
        </w:tc>
      </w:tr>
      <w:tr>
        <w:trPr>
          <w:trHeight w:hRule="exact" w:val="314"/>
        </w:trPr>
        <w:tc>
          <w:tcPr>
            <w:tcW w:type="dxa" w:w="3740"/>
            <w:tcBorders/>
            <w:tcMar>
              <w:start w:w="0" w:type="dxa"/>
              <w:end w:w="0" w:type="dxa"/>
            </w:tcMar>
          </w:tcPr>
          <w:p>
            <w:pPr>
              <w:autoSpaceDN w:val="0"/>
              <w:autoSpaceDE w:val="0"/>
              <w:widowControl/>
              <w:spacing w:line="246" w:lineRule="exact" w:before="34"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代理买卖证券业务</w:t>
            </w:r>
          </w:p>
        </w:tc>
        <w:tc>
          <w:tcPr>
            <w:tcW w:type="dxa" w:w="3020"/>
            <w:tcBorders/>
            <w:tcMar>
              <w:start w:w="0" w:type="dxa"/>
              <w:end w:w="0" w:type="dxa"/>
            </w:tcMar>
          </w:tcPr>
          <w:p>
            <w:pPr>
              <w:autoSpaceDN w:val="0"/>
              <w:autoSpaceDE w:val="0"/>
              <w:widowControl/>
              <w:spacing w:line="233" w:lineRule="auto" w:before="52" w:after="0"/>
              <w:ind w:left="0" w:right="332" w:firstLine="0"/>
              <w:jc w:val="right"/>
            </w:pPr>
            <w:r>
              <w:rPr>
                <w:rFonts w:ascii="Arial" w:hAnsi="Arial" w:eastAsia="Arial"/>
                <w:b w:val="0"/>
                <w:i w:val="0"/>
                <w:color w:val="000000"/>
                <w:sz w:val="22"/>
              </w:rPr>
              <w:t xml:space="preserve">(137,443,020 ) </w:t>
            </w:r>
          </w:p>
        </w:tc>
        <w:tc>
          <w:tcPr>
            <w:tcW w:type="dxa" w:w="1880"/>
            <w:tcBorders/>
            <w:tcMar>
              <w:start w:w="0" w:type="dxa"/>
              <w:end w:w="0" w:type="dxa"/>
            </w:tcMar>
          </w:tcPr>
          <w:p>
            <w:pPr>
              <w:autoSpaceDN w:val="0"/>
              <w:autoSpaceDE w:val="0"/>
              <w:widowControl/>
              <w:spacing w:line="233" w:lineRule="auto" w:before="52" w:after="0"/>
              <w:ind w:left="368" w:right="0" w:firstLine="0"/>
              <w:jc w:val="left"/>
            </w:pPr>
            <w:r>
              <w:rPr>
                <w:rFonts w:ascii="Arial" w:hAnsi="Arial" w:eastAsia="Arial"/>
                <w:b w:val="0"/>
                <w:i w:val="0"/>
                <w:color w:val="000000"/>
                <w:sz w:val="22"/>
              </w:rPr>
              <w:t xml:space="preserve">(114,687,470) </w:t>
            </w:r>
          </w:p>
        </w:tc>
      </w:tr>
    </w:tbl>
    <w:p>
      <w:pPr>
        <w:autoSpaceDN w:val="0"/>
        <w:autoSpaceDE w:val="0"/>
        <w:widowControl/>
        <w:spacing w:line="222" w:lineRule="exact" w:before="16" w:after="28"/>
        <w:ind w:left="358" w:right="0" w:firstLine="0"/>
        <w:jc w:val="left"/>
      </w:pPr>
      <w:r>
        <w:rPr>
          <w:rFonts w:ascii="黑体" w:hAnsi="黑体" w:eastAsia="黑体"/>
          <w:b w:val="0"/>
          <w:i w:val="0"/>
          <w:color w:val="000000"/>
          <w:sz w:val="22"/>
        </w:rPr>
        <w:t>期货经纪业务净收入</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80"/>
        </w:trPr>
        <w:tc>
          <w:tcPr>
            <w:tcW w:type="dxa" w:w="3600"/>
            <w:tcBorders/>
            <w:tcMar>
              <w:start w:w="0" w:type="dxa"/>
              <w:end w:w="0" w:type="dxa"/>
            </w:tcMar>
          </w:tcPr>
          <w:p>
            <w:pPr>
              <w:autoSpaceDN w:val="0"/>
              <w:autoSpaceDE w:val="0"/>
              <w:widowControl/>
              <w:spacing w:line="246" w:lineRule="exact" w:before="26"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期货经纪业务收入</w:t>
            </w:r>
          </w:p>
        </w:tc>
        <w:tc>
          <w:tcPr>
            <w:tcW w:type="dxa" w:w="3200"/>
            <w:tcBorders/>
            <w:tcMar>
              <w:start w:w="0" w:type="dxa"/>
              <w:end w:w="0" w:type="dxa"/>
            </w:tcMar>
          </w:tcPr>
          <w:p>
            <w:pPr>
              <w:autoSpaceDN w:val="0"/>
              <w:autoSpaceDE w:val="0"/>
              <w:widowControl/>
              <w:spacing w:line="233" w:lineRule="auto" w:before="34" w:after="0"/>
              <w:ind w:left="0" w:right="446" w:firstLine="0"/>
              <w:jc w:val="right"/>
            </w:pPr>
            <w:r>
              <w:rPr>
                <w:rFonts w:ascii="Arial" w:hAnsi="Arial" w:eastAsia="Arial"/>
                <w:b w:val="0"/>
                <w:i w:val="0"/>
                <w:color w:val="000000"/>
                <w:sz w:val="22"/>
              </w:rPr>
              <w:t xml:space="preserve">164,639,908 </w:t>
            </w:r>
          </w:p>
        </w:tc>
        <w:tc>
          <w:tcPr>
            <w:tcW w:type="dxa" w:w="1840"/>
            <w:tcBorders/>
            <w:tcMar>
              <w:start w:w="0" w:type="dxa"/>
              <w:end w:w="0" w:type="dxa"/>
            </w:tcMar>
          </w:tcPr>
          <w:p>
            <w:pPr>
              <w:autoSpaceDN w:val="0"/>
              <w:autoSpaceDE w:val="0"/>
              <w:widowControl/>
              <w:spacing w:line="233" w:lineRule="auto" w:before="34" w:after="0"/>
              <w:ind w:left="386" w:right="0" w:firstLine="0"/>
              <w:jc w:val="left"/>
            </w:pPr>
            <w:r>
              <w:rPr>
                <w:rFonts w:ascii="Arial" w:hAnsi="Arial" w:eastAsia="Arial"/>
                <w:b w:val="0"/>
                <w:i w:val="0"/>
                <w:color w:val="000000"/>
                <w:sz w:val="22"/>
              </w:rPr>
              <w:t>214,253,990</w:t>
            </w:r>
          </w:p>
        </w:tc>
      </w:tr>
      <w:tr>
        <w:trPr>
          <w:trHeight w:hRule="exact" w:val="308"/>
        </w:trPr>
        <w:tc>
          <w:tcPr>
            <w:tcW w:type="dxa" w:w="3600"/>
            <w:tcBorders/>
            <w:tcMar>
              <w:start w:w="0" w:type="dxa"/>
              <w:end w:w="0" w:type="dxa"/>
            </w:tcMar>
          </w:tcPr>
          <w:p>
            <w:pPr>
              <w:autoSpaceDN w:val="0"/>
              <w:autoSpaceDE w:val="0"/>
              <w:widowControl/>
              <w:spacing w:line="246" w:lineRule="exact" w:before="32"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期货经纪业务支出</w:t>
            </w:r>
          </w:p>
        </w:tc>
        <w:tc>
          <w:tcPr>
            <w:tcW w:type="dxa" w:w="3200"/>
            <w:tcBorders/>
            <w:tcMar>
              <w:start w:w="0" w:type="dxa"/>
              <w:end w:w="0" w:type="dxa"/>
            </w:tcMar>
          </w:tcPr>
          <w:p>
            <w:pPr>
              <w:autoSpaceDN w:val="0"/>
              <w:autoSpaceDE w:val="0"/>
              <w:widowControl/>
              <w:spacing w:line="233" w:lineRule="auto" w:before="48" w:after="0"/>
              <w:ind w:left="0" w:right="372" w:firstLine="0"/>
              <w:jc w:val="right"/>
            </w:pPr>
            <w:r>
              <w:rPr>
                <w:rFonts w:ascii="Arial" w:hAnsi="Arial" w:eastAsia="Arial"/>
                <w:b w:val="0"/>
                <w:i w:val="0"/>
                <w:color w:val="000000"/>
                <w:sz w:val="22"/>
              </w:rPr>
              <w:t xml:space="preserve">(75,080,902 ) </w:t>
            </w:r>
          </w:p>
        </w:tc>
        <w:tc>
          <w:tcPr>
            <w:tcW w:type="dxa" w:w="1840"/>
            <w:tcBorders/>
            <w:tcMar>
              <w:start w:w="0" w:type="dxa"/>
              <w:end w:w="0" w:type="dxa"/>
            </w:tcMar>
          </w:tcPr>
          <w:p>
            <w:pPr>
              <w:autoSpaceDN w:val="0"/>
              <w:autoSpaceDE w:val="0"/>
              <w:widowControl/>
              <w:spacing w:line="233" w:lineRule="auto" w:before="48" w:after="0"/>
              <w:ind w:left="436" w:right="0" w:firstLine="0"/>
              <w:jc w:val="left"/>
            </w:pPr>
            <w:r>
              <w:rPr>
                <w:rFonts w:ascii="Arial" w:hAnsi="Arial" w:eastAsia="Arial"/>
                <w:b w:val="0"/>
                <w:i w:val="0"/>
                <w:color w:val="000000"/>
                <w:sz w:val="22"/>
              </w:rPr>
              <w:t xml:space="preserve">(83,604,543) </w:t>
            </w:r>
          </w:p>
        </w:tc>
      </w:tr>
    </w:tbl>
    <w:p>
      <w:pPr>
        <w:autoSpaceDN w:val="0"/>
        <w:autoSpaceDE w:val="0"/>
        <w:widowControl/>
        <w:spacing w:line="222" w:lineRule="exact" w:before="16" w:after="26"/>
        <w:ind w:left="358" w:right="0" w:firstLine="0"/>
        <w:jc w:val="left"/>
      </w:pPr>
      <w:r>
        <w:rPr>
          <w:rFonts w:ascii="黑体" w:hAnsi="黑体" w:eastAsia="黑体"/>
          <w:b w:val="0"/>
          <w:i w:val="0"/>
          <w:color w:val="000000"/>
          <w:sz w:val="22"/>
        </w:rPr>
        <w:t>投资银行业务净收入</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68"/>
        </w:trPr>
        <w:tc>
          <w:tcPr>
            <w:tcW w:type="dxa" w:w="3840"/>
            <w:tcBorders/>
            <w:tcMar>
              <w:start w:w="0" w:type="dxa"/>
              <w:end w:w="0" w:type="dxa"/>
            </w:tcMar>
          </w:tcPr>
          <w:p>
            <w:pPr>
              <w:autoSpaceDN w:val="0"/>
              <w:autoSpaceDE w:val="0"/>
              <w:widowControl/>
              <w:spacing w:line="246" w:lineRule="exact" w:before="22"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投资银行业务收入</w:t>
            </w:r>
          </w:p>
        </w:tc>
        <w:tc>
          <w:tcPr>
            <w:tcW w:type="dxa" w:w="2960"/>
            <w:vMerge w:val="restart"/>
            <w:tcBorders/>
            <w:tcMar>
              <w:start w:w="0" w:type="dxa"/>
              <w:end w:w="0" w:type="dxa"/>
            </w:tcMar>
            <w:tcMar>
              <w:start w:w="0" w:type="dxa"/>
              <w:end w:w="0" w:type="dxa"/>
            </w:tcMar>
          </w:tcPr>
          <w:p>
            <w:pPr>
              <w:autoSpaceDN w:val="0"/>
              <w:autoSpaceDE w:val="0"/>
              <w:widowControl/>
              <w:spacing w:line="233" w:lineRule="auto" w:before="48" w:after="0"/>
              <w:ind w:left="0" w:right="446" w:firstLine="0"/>
              <w:jc w:val="right"/>
            </w:pPr>
            <w:r>
              <w:rPr>
                <w:rFonts w:ascii="Arial" w:hAnsi="Arial" w:eastAsia="Arial"/>
                <w:b w:val="0"/>
                <w:i w:val="0"/>
                <w:color w:val="000000"/>
                <w:sz w:val="22"/>
              </w:rPr>
              <w:t xml:space="preserve">377,714,610 </w:t>
            </w:r>
          </w:p>
        </w:tc>
        <w:tc>
          <w:tcPr>
            <w:tcW w:type="dxa" w:w="1840"/>
            <w:vMerge w:val="restart"/>
            <w:tcBorders/>
            <w:tcMar>
              <w:start w:w="0" w:type="dxa"/>
              <w:end w:w="0" w:type="dxa"/>
            </w:tcMar>
            <w:tcMar>
              <w:start w:w="0" w:type="dxa"/>
              <w:end w:w="0" w:type="dxa"/>
            </w:tcMar>
          </w:tcPr>
          <w:p>
            <w:pPr>
              <w:autoSpaceDN w:val="0"/>
              <w:autoSpaceDE w:val="0"/>
              <w:widowControl/>
              <w:spacing w:line="233" w:lineRule="auto" w:before="48" w:after="0"/>
              <w:ind w:left="386" w:right="0" w:firstLine="0"/>
              <w:jc w:val="left"/>
            </w:pPr>
            <w:r>
              <w:rPr>
                <w:rFonts w:ascii="Arial" w:hAnsi="Arial" w:eastAsia="Arial"/>
                <w:b w:val="0"/>
                <w:i w:val="0"/>
                <w:color w:val="000000"/>
                <w:sz w:val="22"/>
              </w:rPr>
              <w:t>407,709,763</w:t>
            </w:r>
          </w:p>
        </w:tc>
      </w:tr>
      <w:tr>
        <w:trPr>
          <w:trHeight w:hRule="exact" w:val="46"/>
        </w:trPr>
        <w:tc>
          <w:tcPr>
            <w:tcW w:type="dxa" w:w="3840"/>
            <w:vMerge w:val="restart"/>
            <w:tcBorders/>
            <w:tcMar>
              <w:start w:w="0" w:type="dxa"/>
              <w:end w:w="0" w:type="dxa"/>
            </w:tcMar>
            <w:tcMar>
              <w:start w:w="0" w:type="dxa"/>
              <w:end w:w="0" w:type="dxa"/>
            </w:tcMar>
          </w:tcPr>
          <w:p>
            <w:pPr>
              <w:autoSpaceDN w:val="0"/>
              <w:autoSpaceDE w:val="0"/>
              <w:widowControl/>
              <w:spacing w:line="246" w:lineRule="exact" w:before="46"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证券承销业务</w:t>
            </w:r>
          </w:p>
        </w:tc>
        <w:tc>
          <w:tcPr>
            <w:tcW w:type="dxa" w:w="3009"/>
            <w:vMerge/>
            <w:tcBorders/>
          </w:tcPr>
          <w:p/>
        </w:tc>
        <w:tc>
          <w:tcPr>
            <w:tcW w:type="dxa" w:w="3009"/>
            <w:vMerge/>
            <w:tcBorders/>
          </w:tcPr>
          <w:p/>
        </w:tc>
      </w:tr>
      <w:tr>
        <w:trPr>
          <w:trHeight w:hRule="exact" w:val="254"/>
        </w:trPr>
        <w:tc>
          <w:tcPr>
            <w:tcW w:type="dxa" w:w="3009"/>
            <w:vMerge/>
            <w:tcBorders/>
          </w:tcPr>
          <w:p/>
        </w:tc>
        <w:tc>
          <w:tcPr>
            <w:tcW w:type="dxa" w:w="2960"/>
            <w:tcBorders/>
            <w:tcMar>
              <w:start w:w="0" w:type="dxa"/>
              <w:end w:w="0" w:type="dxa"/>
            </w:tcMar>
          </w:tcPr>
          <w:p>
            <w:pPr>
              <w:autoSpaceDN w:val="0"/>
              <w:autoSpaceDE w:val="0"/>
              <w:widowControl/>
              <w:spacing w:line="233" w:lineRule="auto" w:before="8" w:after="0"/>
              <w:ind w:left="0" w:right="446" w:firstLine="0"/>
              <w:jc w:val="right"/>
            </w:pPr>
            <w:r>
              <w:rPr>
                <w:rFonts w:ascii="Arial" w:hAnsi="Arial" w:eastAsia="Arial"/>
                <w:b w:val="0"/>
                <w:i w:val="0"/>
                <w:color w:val="000000"/>
                <w:sz w:val="22"/>
              </w:rPr>
              <w:t xml:space="preserve">282,374,553 </w:t>
            </w:r>
          </w:p>
        </w:tc>
        <w:tc>
          <w:tcPr>
            <w:tcW w:type="dxa" w:w="1840"/>
            <w:tcBorders/>
            <w:tcMar>
              <w:start w:w="0" w:type="dxa"/>
              <w:end w:w="0" w:type="dxa"/>
            </w:tcMar>
          </w:tcPr>
          <w:p>
            <w:pPr>
              <w:autoSpaceDN w:val="0"/>
              <w:autoSpaceDE w:val="0"/>
              <w:widowControl/>
              <w:spacing w:line="233" w:lineRule="auto" w:before="8" w:after="0"/>
              <w:ind w:left="386" w:right="0" w:firstLine="0"/>
              <w:jc w:val="left"/>
            </w:pPr>
            <w:r>
              <w:rPr>
                <w:rFonts w:ascii="Arial" w:hAnsi="Arial" w:eastAsia="Arial"/>
                <w:b w:val="0"/>
                <w:i w:val="0"/>
                <w:color w:val="000000"/>
                <w:sz w:val="22"/>
              </w:rPr>
              <w:t>290,566,920</w:t>
            </w:r>
          </w:p>
        </w:tc>
      </w:tr>
      <w:tr>
        <w:trPr>
          <w:trHeight w:hRule="exact" w:val="280"/>
        </w:trPr>
        <w:tc>
          <w:tcPr>
            <w:tcW w:type="dxa" w:w="3840"/>
            <w:tcBorders/>
            <w:tcMar>
              <w:start w:w="0" w:type="dxa"/>
              <w:end w:w="0" w:type="dxa"/>
            </w:tcMar>
          </w:tcPr>
          <w:p>
            <w:pPr>
              <w:autoSpaceDN w:val="0"/>
              <w:autoSpaceDE w:val="0"/>
              <w:widowControl/>
              <w:spacing w:line="246" w:lineRule="exact" w:before="32"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证券保荐业务</w:t>
            </w:r>
          </w:p>
        </w:tc>
        <w:tc>
          <w:tcPr>
            <w:tcW w:type="dxa" w:w="2960"/>
            <w:tcBorders/>
            <w:tcMar>
              <w:start w:w="0" w:type="dxa"/>
              <w:end w:w="0" w:type="dxa"/>
            </w:tcMar>
          </w:tcPr>
          <w:p>
            <w:pPr>
              <w:autoSpaceDN w:val="0"/>
              <w:autoSpaceDE w:val="0"/>
              <w:widowControl/>
              <w:spacing w:line="233" w:lineRule="auto" w:before="34" w:after="0"/>
              <w:ind w:left="0" w:right="446" w:firstLine="0"/>
              <w:jc w:val="right"/>
            </w:pPr>
            <w:r>
              <w:rPr>
                <w:rFonts w:ascii="Arial" w:hAnsi="Arial" w:eastAsia="Arial"/>
                <w:b w:val="0"/>
                <w:i w:val="0"/>
                <w:color w:val="000000"/>
                <w:sz w:val="22"/>
              </w:rPr>
              <w:t xml:space="preserve">13,048,742 </w:t>
            </w:r>
          </w:p>
        </w:tc>
        <w:tc>
          <w:tcPr>
            <w:tcW w:type="dxa" w:w="1840"/>
            <w:tcBorders/>
            <w:tcMar>
              <w:start w:w="0" w:type="dxa"/>
              <w:end w:w="0" w:type="dxa"/>
            </w:tcMar>
          </w:tcPr>
          <w:p>
            <w:pPr>
              <w:autoSpaceDN w:val="0"/>
              <w:autoSpaceDE w:val="0"/>
              <w:widowControl/>
              <w:spacing w:line="233" w:lineRule="auto" w:before="34" w:after="0"/>
              <w:ind w:left="0" w:right="228" w:firstLine="0"/>
              <w:jc w:val="right"/>
            </w:pPr>
            <w:r>
              <w:rPr>
                <w:rFonts w:ascii="Arial" w:hAnsi="Arial" w:eastAsia="Arial"/>
                <w:b w:val="0"/>
                <w:i w:val="0"/>
                <w:color w:val="000000"/>
                <w:sz w:val="22"/>
              </w:rPr>
              <w:t>17,631,859</w:t>
            </w:r>
          </w:p>
        </w:tc>
      </w:tr>
      <w:tr>
        <w:trPr>
          <w:trHeight w:hRule="exact" w:val="280"/>
        </w:trPr>
        <w:tc>
          <w:tcPr>
            <w:tcW w:type="dxa" w:w="3840"/>
            <w:tcBorders/>
            <w:tcMar>
              <w:start w:w="0" w:type="dxa"/>
              <w:end w:w="0" w:type="dxa"/>
            </w:tcMar>
          </w:tcPr>
          <w:p>
            <w:pPr>
              <w:autoSpaceDN w:val="0"/>
              <w:autoSpaceDE w:val="0"/>
              <w:widowControl/>
              <w:spacing w:line="246" w:lineRule="exact" w:before="34"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财务顾问业务（</w:t>
            </w:r>
            <w:r>
              <w:rPr>
                <w:rFonts w:ascii="Arial" w:hAnsi="Arial" w:eastAsia="Arial"/>
                <w:b w:val="0"/>
                <w:i w:val="0"/>
                <w:color w:val="000000"/>
                <w:sz w:val="22"/>
              </w:rPr>
              <w:t>1</w:t>
            </w:r>
            <w:r>
              <w:rPr>
                <w:rFonts w:ascii="黑体" w:hAnsi="黑体" w:eastAsia="黑体"/>
                <w:b w:val="0"/>
                <w:i w:val="0"/>
                <w:color w:val="000000"/>
                <w:sz w:val="22"/>
              </w:rPr>
              <w:t>）</w:t>
            </w:r>
          </w:p>
        </w:tc>
        <w:tc>
          <w:tcPr>
            <w:tcW w:type="dxa" w:w="2960"/>
            <w:tcBorders/>
            <w:tcMar>
              <w:start w:w="0" w:type="dxa"/>
              <w:end w:w="0" w:type="dxa"/>
            </w:tcMar>
          </w:tcPr>
          <w:p>
            <w:pPr>
              <w:autoSpaceDN w:val="0"/>
              <w:autoSpaceDE w:val="0"/>
              <w:widowControl/>
              <w:spacing w:line="233" w:lineRule="auto" w:before="34" w:after="0"/>
              <w:ind w:left="0" w:right="446" w:firstLine="0"/>
              <w:jc w:val="right"/>
            </w:pPr>
            <w:r>
              <w:rPr>
                <w:rFonts w:ascii="Arial" w:hAnsi="Arial" w:eastAsia="Arial"/>
                <w:b w:val="0"/>
                <w:i w:val="0"/>
                <w:color w:val="000000"/>
                <w:sz w:val="22"/>
              </w:rPr>
              <w:t xml:space="preserve">82,291,315 </w:t>
            </w:r>
          </w:p>
        </w:tc>
        <w:tc>
          <w:tcPr>
            <w:tcW w:type="dxa" w:w="1840"/>
            <w:tcBorders/>
            <w:tcMar>
              <w:start w:w="0" w:type="dxa"/>
              <w:end w:w="0" w:type="dxa"/>
            </w:tcMar>
          </w:tcPr>
          <w:p>
            <w:pPr>
              <w:autoSpaceDN w:val="0"/>
              <w:autoSpaceDE w:val="0"/>
              <w:widowControl/>
              <w:spacing w:line="233" w:lineRule="auto" w:before="34" w:after="0"/>
              <w:ind w:left="0" w:right="228" w:firstLine="0"/>
              <w:jc w:val="right"/>
            </w:pPr>
            <w:r>
              <w:rPr>
                <w:rFonts w:ascii="Arial" w:hAnsi="Arial" w:eastAsia="Arial"/>
                <w:b w:val="0"/>
                <w:i w:val="0"/>
                <w:color w:val="000000"/>
                <w:sz w:val="22"/>
              </w:rPr>
              <w:t>99,510,984</w:t>
            </w:r>
          </w:p>
        </w:tc>
      </w:tr>
      <w:tr>
        <w:trPr>
          <w:trHeight w:hRule="exact" w:val="280"/>
        </w:trPr>
        <w:tc>
          <w:tcPr>
            <w:tcW w:type="dxa" w:w="3840"/>
            <w:tcBorders/>
            <w:tcMar>
              <w:start w:w="0" w:type="dxa"/>
              <w:end w:w="0" w:type="dxa"/>
            </w:tcMar>
          </w:tcPr>
          <w:p>
            <w:pPr>
              <w:autoSpaceDN w:val="0"/>
              <w:autoSpaceDE w:val="0"/>
              <w:widowControl/>
              <w:spacing w:line="246" w:lineRule="exact" w:before="34"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投资银行业务支出</w:t>
            </w:r>
          </w:p>
        </w:tc>
        <w:tc>
          <w:tcPr>
            <w:tcW w:type="dxa" w:w="2960"/>
            <w:vMerge w:val="restart"/>
            <w:tcBorders/>
            <w:tcMar>
              <w:start w:w="0" w:type="dxa"/>
              <w:end w:w="0" w:type="dxa"/>
            </w:tcMar>
            <w:tcMar>
              <w:start w:w="0" w:type="dxa"/>
              <w:end w:w="0" w:type="dxa"/>
            </w:tcMar>
          </w:tcPr>
          <w:p>
            <w:pPr>
              <w:autoSpaceDN w:val="0"/>
              <w:autoSpaceDE w:val="0"/>
              <w:widowControl/>
              <w:spacing w:line="233" w:lineRule="auto" w:before="60" w:after="0"/>
              <w:ind w:left="0" w:right="372" w:firstLine="0"/>
              <w:jc w:val="right"/>
            </w:pPr>
            <w:r>
              <w:rPr>
                <w:rFonts w:ascii="Arial" w:hAnsi="Arial" w:eastAsia="Arial"/>
                <w:b w:val="0"/>
                <w:i w:val="0"/>
                <w:color w:val="000000"/>
                <w:sz w:val="22"/>
              </w:rPr>
              <w:t xml:space="preserve">(31,517,780 ) </w:t>
            </w:r>
          </w:p>
        </w:tc>
        <w:tc>
          <w:tcPr>
            <w:tcW w:type="dxa" w:w="1840"/>
            <w:vMerge w:val="restart"/>
            <w:tcBorders/>
            <w:tcMar>
              <w:start w:w="0" w:type="dxa"/>
              <w:end w:w="0" w:type="dxa"/>
            </w:tcMar>
            <w:tcMar>
              <w:start w:w="0" w:type="dxa"/>
              <w:end w:w="0" w:type="dxa"/>
            </w:tcMar>
          </w:tcPr>
          <w:p>
            <w:pPr>
              <w:autoSpaceDN w:val="0"/>
              <w:autoSpaceDE w:val="0"/>
              <w:widowControl/>
              <w:spacing w:line="233" w:lineRule="auto" w:before="60" w:after="0"/>
              <w:ind w:left="450" w:right="0" w:firstLine="0"/>
              <w:jc w:val="left"/>
            </w:pPr>
            <w:r>
              <w:rPr>
                <w:rFonts w:ascii="Arial" w:hAnsi="Arial" w:eastAsia="Arial"/>
                <w:b w:val="0"/>
                <w:i w:val="0"/>
                <w:color w:val="000000"/>
                <w:sz w:val="22"/>
              </w:rPr>
              <w:t xml:space="preserve">(13,634,011) </w:t>
            </w:r>
          </w:p>
        </w:tc>
      </w:tr>
      <w:tr>
        <w:trPr>
          <w:trHeight w:hRule="exact" w:val="46"/>
        </w:trPr>
        <w:tc>
          <w:tcPr>
            <w:tcW w:type="dxa" w:w="3840"/>
            <w:vMerge w:val="restart"/>
            <w:tcBorders/>
            <w:tcMar>
              <w:start w:w="0" w:type="dxa"/>
              <w:end w:w="0" w:type="dxa"/>
            </w:tcMar>
            <w:tcMar>
              <w:start w:w="0" w:type="dxa"/>
              <w:end w:w="0" w:type="dxa"/>
            </w:tcMar>
          </w:tcPr>
          <w:p>
            <w:pPr>
              <w:autoSpaceDN w:val="0"/>
              <w:autoSpaceDE w:val="0"/>
              <w:widowControl/>
              <w:spacing w:line="246" w:lineRule="exact" w:before="48"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证券承销业务</w:t>
            </w:r>
          </w:p>
        </w:tc>
        <w:tc>
          <w:tcPr>
            <w:tcW w:type="dxa" w:w="3009"/>
            <w:vMerge/>
            <w:tcBorders/>
          </w:tcPr>
          <w:p/>
        </w:tc>
        <w:tc>
          <w:tcPr>
            <w:tcW w:type="dxa" w:w="3009"/>
            <w:vMerge/>
            <w:tcBorders/>
          </w:tcPr>
          <w:p/>
        </w:tc>
      </w:tr>
      <w:tr>
        <w:trPr>
          <w:trHeight w:hRule="exact" w:val="254"/>
        </w:trPr>
        <w:tc>
          <w:tcPr>
            <w:tcW w:type="dxa" w:w="3009"/>
            <w:vMerge/>
            <w:tcBorders/>
          </w:tcPr>
          <w:p/>
        </w:tc>
        <w:tc>
          <w:tcPr>
            <w:tcW w:type="dxa" w:w="2960"/>
            <w:tcBorders/>
            <w:tcMar>
              <w:start w:w="0" w:type="dxa"/>
              <w:end w:w="0" w:type="dxa"/>
            </w:tcMar>
          </w:tcPr>
          <w:p>
            <w:pPr>
              <w:autoSpaceDN w:val="0"/>
              <w:autoSpaceDE w:val="0"/>
              <w:widowControl/>
              <w:spacing w:line="233" w:lineRule="auto" w:before="8" w:after="0"/>
              <w:ind w:left="0" w:right="372" w:firstLine="0"/>
              <w:jc w:val="right"/>
            </w:pPr>
            <w:r>
              <w:rPr>
                <w:rFonts w:ascii="Arial" w:hAnsi="Arial" w:eastAsia="Arial"/>
                <w:b w:val="0"/>
                <w:i w:val="0"/>
                <w:color w:val="000000"/>
                <w:sz w:val="22"/>
              </w:rPr>
              <w:t xml:space="preserve">(31,517,780 ) </w:t>
            </w:r>
          </w:p>
        </w:tc>
        <w:tc>
          <w:tcPr>
            <w:tcW w:type="dxa" w:w="1840"/>
            <w:tcBorders/>
            <w:tcMar>
              <w:start w:w="0" w:type="dxa"/>
              <w:end w:w="0" w:type="dxa"/>
            </w:tcMar>
          </w:tcPr>
          <w:p>
            <w:pPr>
              <w:autoSpaceDN w:val="0"/>
              <w:autoSpaceDE w:val="0"/>
              <w:widowControl/>
              <w:spacing w:line="233" w:lineRule="auto" w:before="8" w:after="0"/>
              <w:ind w:left="436" w:right="0" w:firstLine="0"/>
              <w:jc w:val="left"/>
            </w:pPr>
            <w:r>
              <w:rPr>
                <w:rFonts w:ascii="Arial" w:hAnsi="Arial" w:eastAsia="Arial"/>
                <w:b w:val="0"/>
                <w:i w:val="0"/>
                <w:color w:val="000000"/>
                <w:sz w:val="22"/>
              </w:rPr>
              <w:t xml:space="preserve">(13,485,496) </w:t>
            </w:r>
          </w:p>
        </w:tc>
      </w:tr>
      <w:tr>
        <w:trPr>
          <w:trHeight w:hRule="exact" w:val="312"/>
        </w:trPr>
        <w:tc>
          <w:tcPr>
            <w:tcW w:type="dxa" w:w="3840"/>
            <w:tcBorders/>
            <w:tcMar>
              <w:start w:w="0" w:type="dxa"/>
              <w:end w:w="0" w:type="dxa"/>
            </w:tcMar>
          </w:tcPr>
          <w:p>
            <w:pPr>
              <w:autoSpaceDN w:val="0"/>
              <w:autoSpaceDE w:val="0"/>
              <w:widowControl/>
              <w:spacing w:line="246" w:lineRule="exact" w:before="34" w:after="0"/>
              <w:ind w:left="666" w:right="0" w:firstLine="0"/>
              <w:jc w:val="left"/>
            </w:pPr>
            <w:r>
              <w:rPr>
                <w:rFonts w:ascii="Arial" w:hAnsi="Arial" w:eastAsia="Arial"/>
                <w:b w:val="0"/>
                <w:i w:val="0"/>
                <w:color w:val="000000"/>
                <w:sz w:val="22"/>
              </w:rPr>
              <w:t>-</w:t>
            </w:r>
            <w:r>
              <w:rPr>
                <w:rFonts w:ascii="黑体" w:hAnsi="黑体" w:eastAsia="黑体"/>
                <w:b w:val="0"/>
                <w:i w:val="0"/>
                <w:color w:val="000000"/>
                <w:sz w:val="22"/>
              </w:rPr>
              <w:t>财务顾问业务（</w:t>
            </w:r>
            <w:r>
              <w:rPr>
                <w:rFonts w:ascii="Arial" w:hAnsi="Arial" w:eastAsia="Arial"/>
                <w:b w:val="0"/>
                <w:i w:val="0"/>
                <w:color w:val="000000"/>
                <w:sz w:val="22"/>
              </w:rPr>
              <w:t>1</w:t>
            </w:r>
            <w:r>
              <w:rPr>
                <w:rFonts w:ascii="黑体" w:hAnsi="黑体" w:eastAsia="黑体"/>
                <w:b w:val="0"/>
                <w:i w:val="0"/>
                <w:color w:val="000000"/>
                <w:sz w:val="22"/>
              </w:rPr>
              <w:t>）</w:t>
            </w:r>
          </w:p>
        </w:tc>
        <w:tc>
          <w:tcPr>
            <w:tcW w:type="dxa" w:w="2960"/>
            <w:tcBorders/>
            <w:tcMar>
              <w:start w:w="0" w:type="dxa"/>
              <w:end w:w="0" w:type="dxa"/>
            </w:tcMar>
          </w:tcPr>
          <w:p>
            <w:pPr>
              <w:autoSpaceDN w:val="0"/>
              <w:autoSpaceDE w:val="0"/>
              <w:widowControl/>
              <w:spacing w:line="233" w:lineRule="auto" w:before="52" w:after="0"/>
              <w:ind w:left="0" w:right="446" w:firstLine="0"/>
              <w:jc w:val="right"/>
            </w:pPr>
            <w:r>
              <w:rPr>
                <w:rFonts w:ascii="Arial" w:hAnsi="Arial" w:eastAsia="Arial"/>
                <w:b w:val="0"/>
                <w:i w:val="0"/>
                <w:color w:val="000000"/>
                <w:sz w:val="22"/>
              </w:rPr>
              <w:t xml:space="preserve">- </w:t>
            </w:r>
          </w:p>
        </w:tc>
        <w:tc>
          <w:tcPr>
            <w:tcW w:type="dxa" w:w="1840"/>
            <w:tcBorders/>
            <w:tcMar>
              <w:start w:w="0" w:type="dxa"/>
              <w:end w:w="0" w:type="dxa"/>
            </w:tcMar>
          </w:tcPr>
          <w:p>
            <w:pPr>
              <w:autoSpaceDN w:val="0"/>
              <w:autoSpaceDE w:val="0"/>
              <w:widowControl/>
              <w:spacing w:line="233" w:lineRule="auto" w:before="52" w:after="0"/>
              <w:ind w:left="0" w:right="96" w:firstLine="0"/>
              <w:jc w:val="right"/>
            </w:pPr>
            <w:r>
              <w:rPr>
                <w:rFonts w:ascii="Arial" w:hAnsi="Arial" w:eastAsia="Arial"/>
                <w:b w:val="0"/>
                <w:i w:val="0"/>
                <w:color w:val="000000"/>
                <w:sz w:val="22"/>
              </w:rPr>
              <w:t xml:space="preserve">(148,515) </w:t>
            </w:r>
          </w:p>
        </w:tc>
      </w:tr>
    </w:tbl>
    <w:p>
      <w:pPr>
        <w:autoSpaceDN w:val="0"/>
        <w:autoSpaceDE w:val="0"/>
        <w:widowControl/>
        <w:spacing w:line="220" w:lineRule="exact" w:before="16" w:after="28"/>
        <w:ind w:left="358" w:right="0" w:firstLine="0"/>
        <w:jc w:val="left"/>
      </w:pPr>
      <w:r>
        <w:rPr>
          <w:rFonts w:ascii="黑体" w:hAnsi="黑体" w:eastAsia="黑体"/>
          <w:b w:val="0"/>
          <w:i w:val="0"/>
          <w:color w:val="000000"/>
          <w:sz w:val="22"/>
        </w:rPr>
        <w:t>资产管理业务净收入</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64"/>
        </w:trPr>
        <w:tc>
          <w:tcPr>
            <w:tcW w:type="dxa" w:w="3600"/>
            <w:tcBorders/>
            <w:tcMar>
              <w:start w:w="0" w:type="dxa"/>
              <w:end w:w="0" w:type="dxa"/>
            </w:tcMar>
          </w:tcPr>
          <w:p>
            <w:pPr>
              <w:autoSpaceDN w:val="0"/>
              <w:autoSpaceDE w:val="0"/>
              <w:widowControl/>
              <w:spacing w:line="246" w:lineRule="exact" w:before="18"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资产管理业务收入</w:t>
            </w:r>
          </w:p>
        </w:tc>
        <w:tc>
          <w:tcPr>
            <w:tcW w:type="dxa" w:w="3200"/>
            <w:vMerge w:val="restart"/>
            <w:tcBorders/>
            <w:tcMar>
              <w:start w:w="0" w:type="dxa"/>
              <w:end w:w="0" w:type="dxa"/>
            </w:tcMar>
            <w:tcMar>
              <w:start w:w="0" w:type="dxa"/>
              <w:end w:w="0" w:type="dxa"/>
            </w:tcMar>
          </w:tcPr>
          <w:p>
            <w:pPr>
              <w:autoSpaceDN w:val="0"/>
              <w:autoSpaceDE w:val="0"/>
              <w:widowControl/>
              <w:spacing w:line="233" w:lineRule="auto" w:before="46" w:after="0"/>
              <w:ind w:left="0" w:right="446" w:firstLine="0"/>
              <w:jc w:val="right"/>
            </w:pPr>
            <w:r>
              <w:rPr>
                <w:rFonts w:ascii="Arial" w:hAnsi="Arial" w:eastAsia="Arial"/>
                <w:b w:val="0"/>
                <w:i w:val="0"/>
                <w:color w:val="000000"/>
                <w:sz w:val="22"/>
              </w:rPr>
              <w:t xml:space="preserve">165,581,773 </w:t>
            </w:r>
          </w:p>
        </w:tc>
        <w:tc>
          <w:tcPr>
            <w:tcW w:type="dxa" w:w="1840"/>
            <w:vMerge w:val="restart"/>
            <w:tcBorders/>
            <w:tcMar>
              <w:start w:w="0" w:type="dxa"/>
              <w:end w:w="0" w:type="dxa"/>
            </w:tcMar>
            <w:tcMar>
              <w:start w:w="0" w:type="dxa"/>
              <w:end w:w="0" w:type="dxa"/>
            </w:tcMar>
          </w:tcPr>
          <w:p>
            <w:pPr>
              <w:autoSpaceDN w:val="0"/>
              <w:autoSpaceDE w:val="0"/>
              <w:widowControl/>
              <w:spacing w:line="233" w:lineRule="auto" w:before="46" w:after="0"/>
              <w:ind w:left="386" w:right="0" w:firstLine="0"/>
              <w:jc w:val="left"/>
            </w:pPr>
            <w:r>
              <w:rPr>
                <w:rFonts w:ascii="Arial" w:hAnsi="Arial" w:eastAsia="Arial"/>
                <w:b w:val="0"/>
                <w:i w:val="0"/>
                <w:color w:val="000000"/>
                <w:sz w:val="22"/>
              </w:rPr>
              <w:t>158,783,694</w:t>
            </w:r>
          </w:p>
        </w:tc>
      </w:tr>
      <w:tr>
        <w:trPr>
          <w:trHeight w:hRule="exact" w:val="48"/>
        </w:trPr>
        <w:tc>
          <w:tcPr>
            <w:tcW w:type="dxa" w:w="3600"/>
            <w:vMerge w:val="restart"/>
            <w:tcBorders/>
            <w:tcMar>
              <w:start w:w="0" w:type="dxa"/>
              <w:end w:w="0" w:type="dxa"/>
            </w:tcMar>
            <w:tcMar>
              <w:start w:w="0" w:type="dxa"/>
              <w:end w:w="0" w:type="dxa"/>
            </w:tcMar>
          </w:tcPr>
          <w:p>
            <w:pPr>
              <w:autoSpaceDN w:val="0"/>
              <w:autoSpaceDE w:val="0"/>
              <w:widowControl/>
              <w:spacing w:line="246" w:lineRule="exact" w:before="48"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资产管理业务支出</w:t>
            </w:r>
          </w:p>
        </w:tc>
        <w:tc>
          <w:tcPr>
            <w:tcW w:type="dxa" w:w="3009"/>
            <w:vMerge/>
            <w:tcBorders/>
          </w:tcPr>
          <w:p/>
        </w:tc>
        <w:tc>
          <w:tcPr>
            <w:tcW w:type="dxa" w:w="3009"/>
            <w:vMerge/>
            <w:tcBorders/>
          </w:tcPr>
          <w:p/>
        </w:tc>
      </w:tr>
      <w:tr>
        <w:trPr>
          <w:trHeight w:hRule="exact" w:val="280"/>
        </w:trPr>
        <w:tc>
          <w:tcPr>
            <w:tcW w:type="dxa" w:w="3009"/>
            <w:vMerge/>
            <w:tcBorders/>
          </w:tcPr>
          <w:p/>
        </w:tc>
        <w:tc>
          <w:tcPr>
            <w:tcW w:type="dxa" w:w="3200"/>
            <w:tcBorders/>
            <w:tcMar>
              <w:start w:w="0" w:type="dxa"/>
              <w:end w:w="0" w:type="dxa"/>
            </w:tcMar>
          </w:tcPr>
          <w:p>
            <w:pPr>
              <w:autoSpaceDN w:val="0"/>
              <w:autoSpaceDE w:val="0"/>
              <w:widowControl/>
              <w:spacing w:line="233" w:lineRule="auto" w:before="20" w:after="0"/>
              <w:ind w:left="0" w:right="372" w:firstLine="0"/>
              <w:jc w:val="right"/>
            </w:pPr>
            <w:r>
              <w:rPr>
                <w:rFonts w:ascii="Arial" w:hAnsi="Arial" w:eastAsia="Arial"/>
                <w:b w:val="0"/>
                <w:i w:val="0"/>
                <w:color w:val="000000"/>
                <w:sz w:val="22"/>
              </w:rPr>
              <w:t xml:space="preserve">(15,290,033 ) </w:t>
            </w:r>
          </w:p>
        </w:tc>
        <w:tc>
          <w:tcPr>
            <w:tcW w:type="dxa" w:w="1840"/>
            <w:tcBorders/>
            <w:tcMar>
              <w:start w:w="0" w:type="dxa"/>
              <w:end w:w="0" w:type="dxa"/>
            </w:tcMar>
          </w:tcPr>
          <w:p>
            <w:pPr>
              <w:autoSpaceDN w:val="0"/>
              <w:autoSpaceDE w:val="0"/>
              <w:widowControl/>
              <w:spacing w:line="233" w:lineRule="auto" w:before="20" w:after="0"/>
              <w:ind w:left="436" w:right="0" w:firstLine="0"/>
              <w:jc w:val="left"/>
            </w:pPr>
            <w:r>
              <w:rPr>
                <w:rFonts w:ascii="Arial" w:hAnsi="Arial" w:eastAsia="Arial"/>
                <w:b w:val="0"/>
                <w:i w:val="0"/>
                <w:color w:val="000000"/>
                <w:sz w:val="22"/>
              </w:rPr>
              <w:t xml:space="preserve">(10,815,874) </w:t>
            </w:r>
          </w:p>
        </w:tc>
      </w:tr>
    </w:tbl>
    <w:p>
      <w:pPr>
        <w:autoSpaceDN w:val="0"/>
        <w:autoSpaceDE w:val="0"/>
        <w:widowControl/>
        <w:spacing w:line="222" w:lineRule="exact" w:before="16" w:after="26"/>
        <w:ind w:left="358" w:right="0" w:firstLine="0"/>
        <w:jc w:val="left"/>
      </w:pPr>
      <w:r>
        <w:rPr>
          <w:rFonts w:ascii="黑体" w:hAnsi="黑体" w:eastAsia="黑体"/>
          <w:b w:val="0"/>
          <w:i w:val="0"/>
          <w:color w:val="000000"/>
          <w:sz w:val="22"/>
        </w:rPr>
        <w:t>基金管理业务</w:t>
      </w:r>
    </w:p>
    <w:tbl>
      <w:tblPr>
        <w:tblW w:type="auto" w:w="0"/>
        <w:tblLayout w:type="fixed"/>
        <w:tblLook w:firstColumn="1" w:firstRow="1" w:lastColumn="0" w:lastRow="0" w:noHBand="0" w:noVBand="1" w:val="04A0"/>
        <w:tblInd w:w="280.0" w:type="dxa"/>
      </w:tblPr>
      <w:tblGrid>
        <w:gridCol w:w="3009"/>
        <w:gridCol w:w="3009"/>
        <w:gridCol w:w="3009"/>
      </w:tblGrid>
      <w:tr>
        <w:trPr>
          <w:trHeight w:hRule="exact" w:val="268"/>
        </w:trPr>
        <w:tc>
          <w:tcPr>
            <w:tcW w:type="dxa" w:w="3600"/>
            <w:tcBorders/>
            <w:tcMar>
              <w:start w:w="0" w:type="dxa"/>
              <w:end w:w="0" w:type="dxa"/>
            </w:tcMar>
          </w:tcPr>
          <w:p>
            <w:pPr>
              <w:autoSpaceDN w:val="0"/>
              <w:autoSpaceDE w:val="0"/>
              <w:widowControl/>
              <w:spacing w:line="246" w:lineRule="exact" w:before="22"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基金管理业务收入</w:t>
            </w:r>
          </w:p>
        </w:tc>
        <w:tc>
          <w:tcPr>
            <w:tcW w:type="dxa" w:w="3200"/>
            <w:vMerge w:val="restart"/>
            <w:tcBorders/>
            <w:tcMar>
              <w:start w:w="0" w:type="dxa"/>
              <w:end w:w="0" w:type="dxa"/>
            </w:tcMar>
            <w:tcMar>
              <w:start w:w="0" w:type="dxa"/>
              <w:end w:w="0" w:type="dxa"/>
            </w:tcMar>
          </w:tcPr>
          <w:p>
            <w:pPr>
              <w:autoSpaceDN w:val="0"/>
              <w:autoSpaceDE w:val="0"/>
              <w:widowControl/>
              <w:spacing w:line="233" w:lineRule="auto" w:before="44" w:after="0"/>
              <w:ind w:left="0" w:right="446" w:firstLine="0"/>
              <w:jc w:val="right"/>
            </w:pPr>
            <w:r>
              <w:rPr>
                <w:rFonts w:ascii="Arial" w:hAnsi="Arial" w:eastAsia="Arial"/>
                <w:b w:val="0"/>
                <w:i w:val="0"/>
                <w:color w:val="000000"/>
                <w:sz w:val="22"/>
              </w:rPr>
              <w:t xml:space="preserve">130,547,574 </w:t>
            </w:r>
          </w:p>
        </w:tc>
        <w:tc>
          <w:tcPr>
            <w:tcW w:type="dxa" w:w="1840"/>
            <w:vMerge w:val="restart"/>
            <w:tcBorders/>
            <w:tcMar>
              <w:start w:w="0" w:type="dxa"/>
              <w:end w:w="0" w:type="dxa"/>
            </w:tcMar>
            <w:tcMar>
              <w:start w:w="0" w:type="dxa"/>
              <w:end w:w="0" w:type="dxa"/>
            </w:tcMar>
          </w:tcPr>
          <w:p>
            <w:pPr>
              <w:autoSpaceDN w:val="0"/>
              <w:autoSpaceDE w:val="0"/>
              <w:widowControl/>
              <w:spacing w:line="233" w:lineRule="auto" w:before="44" w:after="0"/>
              <w:ind w:left="402" w:right="0" w:firstLine="0"/>
              <w:jc w:val="left"/>
            </w:pPr>
            <w:r>
              <w:rPr>
                <w:rFonts w:ascii="Arial" w:hAnsi="Arial" w:eastAsia="Arial"/>
                <w:b w:val="0"/>
                <w:i w:val="0"/>
                <w:color w:val="000000"/>
                <w:sz w:val="22"/>
              </w:rPr>
              <w:t>115,783,645</w:t>
            </w:r>
          </w:p>
        </w:tc>
      </w:tr>
      <w:tr>
        <w:trPr>
          <w:trHeight w:hRule="exact" w:val="42"/>
        </w:trPr>
        <w:tc>
          <w:tcPr>
            <w:tcW w:type="dxa" w:w="3600"/>
            <w:vMerge w:val="restart"/>
            <w:tcBorders/>
            <w:tcMar>
              <w:start w:w="0" w:type="dxa"/>
              <w:end w:w="0" w:type="dxa"/>
            </w:tcMar>
            <w:tcMar>
              <w:start w:w="0" w:type="dxa"/>
              <w:end w:w="0" w:type="dxa"/>
            </w:tcMar>
          </w:tcPr>
          <w:p>
            <w:pPr>
              <w:autoSpaceDN w:val="0"/>
              <w:autoSpaceDE w:val="0"/>
              <w:widowControl/>
              <w:spacing w:line="246" w:lineRule="exact" w:before="46" w:after="0"/>
              <w:ind w:left="316" w:right="0" w:firstLine="0"/>
              <w:jc w:val="left"/>
            </w:pPr>
            <w:r>
              <w:rPr>
                <w:rFonts w:ascii="Arial" w:hAnsi="Arial" w:eastAsia="Arial"/>
                <w:b w:val="0"/>
                <w:i w:val="0"/>
                <w:color w:val="000000"/>
                <w:sz w:val="22"/>
              </w:rPr>
              <w:t>-</w:t>
            </w:r>
            <w:r>
              <w:rPr>
                <w:rFonts w:ascii="黑体" w:hAnsi="黑体" w:eastAsia="黑体"/>
                <w:b w:val="0"/>
                <w:i w:val="0"/>
                <w:color w:val="000000"/>
                <w:sz w:val="22"/>
              </w:rPr>
              <w:t>基金管理业务支出</w:t>
            </w:r>
          </w:p>
        </w:tc>
        <w:tc>
          <w:tcPr>
            <w:tcW w:type="dxa" w:w="3009"/>
            <w:vMerge/>
            <w:tcBorders/>
          </w:tcPr>
          <w:p/>
        </w:tc>
        <w:tc>
          <w:tcPr>
            <w:tcW w:type="dxa" w:w="3009"/>
            <w:vMerge/>
            <w:tcBorders/>
          </w:tcPr>
          <w:p/>
        </w:tc>
      </w:tr>
      <w:tr>
        <w:trPr>
          <w:trHeight w:hRule="exact" w:val="282"/>
        </w:trPr>
        <w:tc>
          <w:tcPr>
            <w:tcW w:type="dxa" w:w="3009"/>
            <w:vMerge/>
            <w:tcBorders/>
          </w:tcPr>
          <w:p/>
        </w:tc>
        <w:tc>
          <w:tcPr>
            <w:tcW w:type="dxa" w:w="3200"/>
            <w:tcBorders/>
            <w:tcMar>
              <w:start w:w="0" w:type="dxa"/>
              <w:end w:w="0" w:type="dxa"/>
            </w:tcMar>
          </w:tcPr>
          <w:p>
            <w:pPr>
              <w:autoSpaceDN w:val="0"/>
              <w:autoSpaceDE w:val="0"/>
              <w:widowControl/>
              <w:spacing w:line="233" w:lineRule="auto" w:before="20" w:after="0"/>
              <w:ind w:left="0" w:right="372" w:firstLine="0"/>
              <w:jc w:val="right"/>
            </w:pPr>
            <w:r>
              <w:rPr>
                <w:rFonts w:ascii="Arial" w:hAnsi="Arial" w:eastAsia="Arial"/>
                <w:b w:val="0"/>
                <w:i w:val="0"/>
                <w:color w:val="000000"/>
                <w:sz w:val="22"/>
              </w:rPr>
              <w:t xml:space="preserve">(19,276,228 ) </w:t>
            </w:r>
          </w:p>
        </w:tc>
        <w:tc>
          <w:tcPr>
            <w:tcW w:type="dxa" w:w="1840"/>
            <w:tcBorders/>
            <w:tcMar>
              <w:start w:w="0" w:type="dxa"/>
              <w:end w:w="0" w:type="dxa"/>
            </w:tcMar>
          </w:tcPr>
          <w:p>
            <w:pPr>
              <w:autoSpaceDN w:val="0"/>
              <w:autoSpaceDE w:val="0"/>
              <w:widowControl/>
              <w:spacing w:line="233" w:lineRule="auto" w:before="20" w:after="0"/>
              <w:ind w:left="436" w:right="0" w:firstLine="0"/>
              <w:jc w:val="left"/>
            </w:pPr>
            <w:r>
              <w:rPr>
                <w:rFonts w:ascii="Arial" w:hAnsi="Arial" w:eastAsia="Arial"/>
                <w:b w:val="0"/>
                <w:i w:val="0"/>
                <w:color w:val="000000"/>
                <w:sz w:val="22"/>
              </w:rPr>
              <w:t xml:space="preserve">(18,604,949) </w:t>
            </w:r>
          </w:p>
        </w:tc>
      </w:tr>
    </w:tbl>
    <w:p>
      <w:pPr>
        <w:autoSpaceDN w:val="0"/>
        <w:autoSpaceDE w:val="0"/>
        <w:widowControl/>
        <w:spacing w:line="220" w:lineRule="exact" w:before="18" w:after="28"/>
        <w:ind w:left="358" w:right="0" w:firstLine="0"/>
        <w:jc w:val="left"/>
      </w:pPr>
      <w:r>
        <w:rPr>
          <w:rFonts w:ascii="黑体" w:hAnsi="黑体" w:eastAsia="黑体"/>
          <w:b w:val="0"/>
          <w:i w:val="0"/>
          <w:color w:val="000000"/>
          <w:sz w:val="22"/>
        </w:rPr>
        <w:t>投资咨询业务</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300"/>
        </w:trPr>
        <w:tc>
          <w:tcPr>
            <w:tcW w:type="dxa" w:w="4552"/>
            <w:tcBorders>
              <w:bottom w:sz="4.0" w:val="single" w:color="#000000"/>
            </w:tcBorders>
            <w:tcMar>
              <w:start w:w="0" w:type="dxa"/>
              <w:end w:w="0" w:type="dxa"/>
            </w:tcMar>
          </w:tcPr>
          <w:p>
            <w:pPr>
              <w:autoSpaceDN w:val="0"/>
              <w:autoSpaceDE w:val="0"/>
              <w:widowControl/>
              <w:spacing w:line="246" w:lineRule="exact" w:before="28" w:after="0"/>
              <w:ind w:left="436" w:right="0" w:firstLine="0"/>
              <w:jc w:val="left"/>
            </w:pPr>
            <w:r>
              <w:rPr>
                <w:rFonts w:ascii="Arial" w:hAnsi="Arial" w:eastAsia="Arial"/>
                <w:b w:val="0"/>
                <w:i w:val="0"/>
                <w:color w:val="000000"/>
                <w:sz w:val="22"/>
              </w:rPr>
              <w:t>-</w:t>
            </w:r>
            <w:r>
              <w:rPr>
                <w:rFonts w:ascii="黑体" w:hAnsi="黑体" w:eastAsia="黑体"/>
                <w:b w:val="0"/>
                <w:i w:val="0"/>
                <w:color w:val="000000"/>
                <w:sz w:val="22"/>
              </w:rPr>
              <w:t>投资咨询业务收入</w:t>
            </w:r>
          </w:p>
        </w:tc>
        <w:tc>
          <w:tcPr>
            <w:tcW w:type="dxa" w:w="2110"/>
            <w:tcBorders>
              <w:bottom w:sz="4.0" w:val="single" w:color="#000000"/>
            </w:tcBorders>
            <w:tcMar>
              <w:start w:w="0" w:type="dxa"/>
              <w:end w:w="0" w:type="dxa"/>
            </w:tcMar>
          </w:tcPr>
          <w:p>
            <w:pPr>
              <w:autoSpaceDN w:val="0"/>
              <w:autoSpaceDE w:val="0"/>
              <w:widowControl/>
              <w:spacing w:line="233" w:lineRule="auto" w:before="44" w:after="0"/>
              <w:ind w:left="0" w:right="188" w:firstLine="0"/>
              <w:jc w:val="right"/>
            </w:pPr>
            <w:r>
              <w:rPr>
                <w:rFonts w:ascii="Arial" w:hAnsi="Arial" w:eastAsia="Arial"/>
                <w:b w:val="0"/>
                <w:i w:val="0"/>
                <w:color w:val="000000"/>
                <w:sz w:val="22"/>
              </w:rPr>
              <w:t xml:space="preserve">70,264,005 </w:t>
            </w:r>
          </w:p>
        </w:tc>
        <w:tc>
          <w:tcPr>
            <w:tcW w:type="dxa" w:w="2098"/>
            <w:tcBorders>
              <w:bottom w:sz="4.0" w:val="single" w:color="#000000"/>
            </w:tcBorders>
            <w:tcMar>
              <w:start w:w="0" w:type="dxa"/>
              <w:end w:w="0" w:type="dxa"/>
            </w:tcMar>
          </w:tcPr>
          <w:p>
            <w:pPr>
              <w:autoSpaceDN w:val="0"/>
              <w:autoSpaceDE w:val="0"/>
              <w:widowControl/>
              <w:spacing w:line="233" w:lineRule="auto" w:before="44" w:after="0"/>
              <w:ind w:left="0" w:right="228" w:firstLine="0"/>
              <w:jc w:val="right"/>
            </w:pPr>
            <w:r>
              <w:rPr>
                <w:rFonts w:ascii="Arial" w:hAnsi="Arial" w:eastAsia="Arial"/>
                <w:b w:val="0"/>
                <w:i w:val="0"/>
                <w:color w:val="000000"/>
                <w:sz w:val="22"/>
              </w:rPr>
              <w:t>29,106,806</w:t>
            </w:r>
          </w:p>
        </w:tc>
      </w:tr>
      <w:tr>
        <w:trPr>
          <w:trHeight w:hRule="exact" w:val="548"/>
        </w:trPr>
        <w:tc>
          <w:tcPr>
            <w:tcW w:type="dxa" w:w="4552"/>
            <w:tcBorders>
              <w:top w:sz="4.0" w:val="single" w:color="#000000"/>
              <w:bottom w:sz="4.0" w:val="single" w:color="#000000"/>
            </w:tcBorders>
            <w:tcMar>
              <w:start w:w="0" w:type="dxa"/>
              <w:end w:w="0" w:type="dxa"/>
            </w:tcMar>
          </w:tcPr>
          <w:p>
            <w:pPr>
              <w:autoSpaceDN w:val="0"/>
              <w:autoSpaceDE w:val="0"/>
              <w:widowControl/>
              <w:spacing w:line="222" w:lineRule="exact" w:before="278" w:after="0"/>
              <w:ind w:left="198" w:right="0" w:firstLine="0"/>
              <w:jc w:val="left"/>
            </w:pPr>
            <w:r>
              <w:rPr>
                <w:rFonts w:ascii="黑体" w:hAnsi="黑体" w:eastAsia="黑体"/>
                <w:b w:val="0"/>
                <w:i w:val="0"/>
                <w:color w:val="000000"/>
                <w:sz w:val="22"/>
              </w:rPr>
              <w:t>手续费及佣金净收入</w:t>
            </w:r>
          </w:p>
        </w:tc>
        <w:tc>
          <w:tcPr>
            <w:tcW w:type="dxa" w:w="2110"/>
            <w:tcBorders>
              <w:top w:sz="4.0" w:val="single" w:color="#000000"/>
              <w:bottom w:sz="4.0" w:val="single" w:color="#000000"/>
            </w:tcBorders>
            <w:tcMar>
              <w:start w:w="0" w:type="dxa"/>
              <w:end w:w="0" w:type="dxa"/>
            </w:tcMar>
          </w:tcPr>
          <w:p>
            <w:pPr>
              <w:autoSpaceDN w:val="0"/>
              <w:autoSpaceDE w:val="0"/>
              <w:widowControl/>
              <w:spacing w:line="233" w:lineRule="auto" w:before="288" w:after="0"/>
              <w:ind w:left="454" w:right="0" w:firstLine="0"/>
              <w:jc w:val="left"/>
            </w:pPr>
            <w:r>
              <w:rPr>
                <w:rFonts w:ascii="Arial" w:hAnsi="Arial" w:eastAsia="Arial"/>
                <w:b w:val="0"/>
                <w:i w:val="0"/>
                <w:color w:val="000000"/>
                <w:sz w:val="22"/>
              </w:rPr>
              <w:t xml:space="preserve">1,363,894,744 </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0" w:right="0" w:firstLine="0"/>
              <w:jc w:val="left"/>
            </w:pPr>
            <w:r>
              <w:rPr>
                <w:rFonts w:ascii="Arial" w:hAnsi="Arial" w:eastAsia="Arial"/>
                <w:b w:val="0"/>
                <w:i w:val="0"/>
                <w:color w:val="000000"/>
                <w:sz w:val="22"/>
              </w:rPr>
              <w:t>1,251,128,404</w:t>
            </w:r>
          </w:p>
        </w:tc>
      </w:tr>
      <w:tr>
        <w:trPr>
          <w:trHeight w:hRule="exact" w:val="542"/>
        </w:trPr>
        <w:tc>
          <w:tcPr>
            <w:tcW w:type="dxa" w:w="4552"/>
            <w:tcBorders>
              <w:top w:sz="4.0" w:val="single" w:color="#000000"/>
            </w:tcBorders>
            <w:tcMar>
              <w:start w:w="0" w:type="dxa"/>
              <w:end w:w="0" w:type="dxa"/>
            </w:tcMar>
          </w:tcPr>
          <w:p>
            <w:pPr>
              <w:autoSpaceDN w:val="0"/>
              <w:autoSpaceDE w:val="0"/>
              <w:widowControl/>
              <w:spacing w:line="220" w:lineRule="exact" w:before="302" w:after="0"/>
              <w:ind w:left="406" w:right="0" w:firstLine="0"/>
              <w:jc w:val="left"/>
            </w:pPr>
            <w:r>
              <w:rPr>
                <w:rFonts w:ascii="黑体" w:hAnsi="黑体" w:eastAsia="黑体"/>
                <w:b w:val="0"/>
                <w:i w:val="0"/>
                <w:color w:val="000000"/>
                <w:sz w:val="22"/>
              </w:rPr>
              <w:t>其中：手续费及佣金收入合计</w:t>
            </w:r>
          </w:p>
        </w:tc>
        <w:tc>
          <w:tcPr>
            <w:tcW w:type="dxa" w:w="2110"/>
            <w:tcBorders>
              <w:top w:sz="4.0" w:val="single" w:color="#000000"/>
            </w:tcBorders>
            <w:tcMar>
              <w:start w:w="0" w:type="dxa"/>
              <w:end w:w="0" w:type="dxa"/>
            </w:tcMar>
          </w:tcPr>
          <w:p>
            <w:pPr>
              <w:autoSpaceDN w:val="0"/>
              <w:autoSpaceDE w:val="0"/>
              <w:widowControl/>
              <w:spacing w:line="233" w:lineRule="auto" w:before="292" w:after="0"/>
              <w:ind w:left="454" w:right="0" w:firstLine="0"/>
              <w:jc w:val="left"/>
            </w:pPr>
            <w:r>
              <w:rPr>
                <w:rFonts w:ascii="Arial" w:hAnsi="Arial" w:eastAsia="Arial"/>
                <w:b w:val="0"/>
                <w:i w:val="0"/>
                <w:color w:val="000000"/>
                <w:sz w:val="22"/>
              </w:rPr>
              <w:t xml:space="preserve">1,642,502,707 </w:t>
            </w:r>
          </w:p>
        </w:tc>
        <w:tc>
          <w:tcPr>
            <w:tcW w:type="dxa" w:w="2098"/>
            <w:tcBorders>
              <w:top w:sz="4.0" w:val="single" w:color="#000000"/>
            </w:tcBorders>
            <w:tcMar>
              <w:start w:w="0" w:type="dxa"/>
              <w:end w:w="0" w:type="dxa"/>
            </w:tcMar>
          </w:tcPr>
          <w:p>
            <w:pPr>
              <w:autoSpaceDN w:val="0"/>
              <w:autoSpaceDE w:val="0"/>
              <w:widowControl/>
              <w:spacing w:line="233" w:lineRule="auto" w:before="292" w:after="0"/>
              <w:ind w:left="460" w:right="0" w:firstLine="0"/>
              <w:jc w:val="left"/>
            </w:pPr>
            <w:r>
              <w:rPr>
                <w:rFonts w:ascii="Arial" w:hAnsi="Arial" w:eastAsia="Arial"/>
                <w:b w:val="0"/>
                <w:i w:val="0"/>
                <w:color w:val="000000"/>
                <w:sz w:val="22"/>
              </w:rPr>
              <w:t>1,492,475,251</w:t>
            </w:r>
          </w:p>
        </w:tc>
      </w:tr>
      <w:tr>
        <w:trPr>
          <w:trHeight w:hRule="exact" w:val="362"/>
        </w:trPr>
        <w:tc>
          <w:tcPr>
            <w:tcW w:type="dxa" w:w="4552"/>
            <w:tcBorders/>
            <w:tcMar>
              <w:start w:w="0" w:type="dxa"/>
              <w:end w:w="0" w:type="dxa"/>
            </w:tcMar>
          </w:tcPr>
          <w:p>
            <w:pPr>
              <w:autoSpaceDN w:val="0"/>
              <w:autoSpaceDE w:val="0"/>
              <w:widowControl/>
              <w:spacing w:line="220" w:lineRule="exact" w:before="50" w:after="0"/>
              <w:ind w:left="1052" w:right="0" w:firstLine="0"/>
              <w:jc w:val="left"/>
            </w:pPr>
            <w:r>
              <w:rPr>
                <w:rFonts w:ascii="黑体" w:hAnsi="黑体" w:eastAsia="黑体"/>
                <w:b w:val="0"/>
                <w:i w:val="0"/>
                <w:color w:val="000000"/>
                <w:sz w:val="22"/>
              </w:rPr>
              <w:t>手续费及佣金支出合计</w:t>
            </w:r>
          </w:p>
        </w:tc>
        <w:tc>
          <w:tcPr>
            <w:tcW w:type="dxa" w:w="2110"/>
            <w:tcBorders/>
            <w:tcMar>
              <w:start w:w="0" w:type="dxa"/>
              <w:end w:w="0" w:type="dxa"/>
            </w:tcMar>
          </w:tcPr>
          <w:p>
            <w:pPr>
              <w:autoSpaceDN w:val="0"/>
              <w:autoSpaceDE w:val="0"/>
              <w:widowControl/>
              <w:spacing w:line="233" w:lineRule="auto" w:before="56" w:after="0"/>
              <w:ind w:left="0" w:right="114" w:firstLine="0"/>
              <w:jc w:val="right"/>
            </w:pPr>
            <w:r>
              <w:rPr>
                <w:rFonts w:ascii="Arial" w:hAnsi="Arial" w:eastAsia="Arial"/>
                <w:b w:val="0"/>
                <w:i w:val="0"/>
                <w:color w:val="000000"/>
                <w:sz w:val="22"/>
              </w:rPr>
              <w:t xml:space="preserve">(278,607,963 ) </w:t>
            </w:r>
          </w:p>
        </w:tc>
        <w:tc>
          <w:tcPr>
            <w:tcW w:type="dxa" w:w="2098"/>
            <w:tcBorders/>
            <w:tcMar>
              <w:start w:w="0" w:type="dxa"/>
              <w:end w:w="0" w:type="dxa"/>
            </w:tcMar>
          </w:tcPr>
          <w:p>
            <w:pPr>
              <w:autoSpaceDN w:val="0"/>
              <w:autoSpaceDE w:val="0"/>
              <w:widowControl/>
              <w:spacing w:line="233" w:lineRule="auto" w:before="56" w:after="0"/>
              <w:ind w:left="0" w:right="96" w:firstLine="0"/>
              <w:jc w:val="right"/>
            </w:pPr>
            <w:r>
              <w:rPr>
                <w:rFonts w:ascii="Arial" w:hAnsi="Arial" w:eastAsia="Arial"/>
                <w:b w:val="0"/>
                <w:i w:val="0"/>
                <w:color w:val="000000"/>
                <w:sz w:val="22"/>
              </w:rPr>
              <w:t xml:space="preserve">(241,346,847) </w:t>
            </w:r>
          </w:p>
        </w:tc>
      </w:tr>
    </w:tbl>
    <w:p>
      <w:pPr>
        <w:autoSpaceDN w:val="0"/>
        <w:autoSpaceDE w:val="0"/>
        <w:widowControl/>
        <w:spacing w:line="233" w:lineRule="auto" w:before="3396" w:after="0"/>
        <w:ind w:left="0" w:right="0" w:firstLine="0"/>
        <w:jc w:val="center"/>
      </w:pPr>
      <w:r>
        <w:rPr>
          <w:rFonts w:ascii="Arial" w:hAnsi="Arial" w:eastAsia="Arial"/>
          <w:b w:val="0"/>
          <w:i w:val="0"/>
          <w:color w:val="000000"/>
          <w:sz w:val="20"/>
        </w:rPr>
        <w:t xml:space="preserve">235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782"/>
        <w:ind w:left="0" w:right="0"/>
      </w:pPr>
    </w:p>
    <w:p>
      <w:pPr>
        <w:autoSpaceDN w:val="0"/>
        <w:tabs>
          <w:tab w:pos="1070" w:val="left"/>
        </w:tabs>
        <w:autoSpaceDE w:val="0"/>
        <w:widowControl/>
        <w:spacing w:line="222"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58" w:val="left"/>
        </w:tabs>
        <w:autoSpaceDE w:val="0"/>
        <w:widowControl/>
        <w:spacing w:line="248" w:lineRule="exact" w:before="322" w:after="0"/>
        <w:ind w:left="358" w:right="0" w:firstLine="0"/>
        <w:jc w:val="left"/>
      </w:pPr>
      <w:r>
        <w:rPr>
          <w:rFonts w:ascii="Arial,Bold" w:hAnsi="Arial,Bold" w:eastAsia="Arial,Bold"/>
          <w:b/>
          <w:i w:val="0"/>
          <w:color w:val="000000"/>
          <w:sz w:val="22"/>
        </w:rPr>
        <w:t xml:space="preserve">40. </w:t>
      </w:r>
      <w:r>
        <w:tab/>
      </w:r>
      <w:r>
        <w:rPr>
          <w:rFonts w:ascii="黑体" w:hAnsi="黑体" w:eastAsia="黑体"/>
          <w:b w:val="0"/>
          <w:i w:val="0"/>
          <w:color w:val="000000"/>
          <w:sz w:val="22"/>
        </w:rPr>
        <w:t>手续费及佣金净收入（续）</w:t>
      </w:r>
    </w:p>
    <w:p>
      <w:pPr>
        <w:autoSpaceDN w:val="0"/>
        <w:autoSpaceDE w:val="0"/>
        <w:widowControl/>
        <w:spacing w:line="248" w:lineRule="exact" w:before="304"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财务顾问业务净收入按性质分类如下：</w:t>
      </w:r>
    </w:p>
    <w:p>
      <w:pPr>
        <w:autoSpaceDN w:val="0"/>
        <w:tabs>
          <w:tab w:pos="7980" w:val="left"/>
        </w:tabs>
        <w:autoSpaceDE w:val="0"/>
        <w:widowControl/>
        <w:spacing w:line="248" w:lineRule="exact" w:before="280" w:after="0"/>
        <w:ind w:left="5862"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2023</w:t>
      </w:r>
      <w:r>
        <w:rPr>
          <w:rFonts w:ascii="黑体" w:hAnsi="黑体" w:eastAsia="黑体"/>
          <w:b w:val="0"/>
          <w:i w:val="0"/>
          <w:color w:val="000000"/>
          <w:sz w:val="22"/>
        </w:rPr>
        <w:t>年</w:t>
      </w:r>
    </w:p>
    <w:p>
      <w:pPr>
        <w:autoSpaceDN w:val="0"/>
        <w:autoSpaceDE w:val="0"/>
        <w:widowControl/>
        <w:spacing w:line="220" w:lineRule="exact" w:before="222" w:after="26"/>
        <w:ind w:left="358" w:right="0" w:firstLine="0"/>
        <w:jc w:val="left"/>
      </w:pPr>
      <w:r>
        <w:rPr>
          <w:rFonts w:ascii="黑体" w:hAnsi="黑体" w:eastAsia="黑体"/>
          <w:b w:val="0"/>
          <w:i w:val="0"/>
          <w:color w:val="000000"/>
          <w:sz w:val="22"/>
        </w:rPr>
        <w:t>并购重组财务顾问净收入</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74"/>
        </w:trPr>
        <w:tc>
          <w:tcPr>
            <w:tcW w:type="dxa" w:w="4552"/>
            <w:gridSpan w:val="2"/>
            <w:tcBorders/>
            <w:tcMar>
              <w:start w:w="0" w:type="dxa"/>
              <w:end w:w="0" w:type="dxa"/>
            </w:tcMar>
            <w:tcMar>
              <w:start w:w="0" w:type="dxa"/>
              <w:end w:w="0" w:type="dxa"/>
            </w:tcMar>
          </w:tcPr>
          <w:p>
            <w:pPr>
              <w:autoSpaceDN w:val="0"/>
              <w:autoSpaceDE w:val="0"/>
              <w:widowControl/>
              <w:spacing w:line="246" w:lineRule="exact" w:before="28" w:after="0"/>
              <w:ind w:left="450" w:right="0" w:firstLine="0"/>
              <w:jc w:val="left"/>
            </w:pPr>
            <w:r>
              <w:rPr>
                <w:rFonts w:ascii="Arial" w:hAnsi="Arial" w:eastAsia="Arial"/>
                <w:b w:val="0"/>
                <w:i w:val="0"/>
                <w:color w:val="000000"/>
                <w:sz w:val="22"/>
              </w:rPr>
              <w:t>-</w:t>
            </w:r>
            <w:r>
              <w:rPr>
                <w:rFonts w:ascii="黑体" w:hAnsi="黑体" w:eastAsia="黑体"/>
                <w:b w:val="0"/>
                <w:i w:val="0"/>
                <w:color w:val="000000"/>
                <w:sz w:val="22"/>
              </w:rPr>
              <w:t>境内上市公司</w:t>
            </w:r>
          </w:p>
        </w:tc>
        <w:tc>
          <w:tcPr>
            <w:tcW w:type="dxa" w:w="2110"/>
            <w:tcBorders/>
            <w:tcMar>
              <w:start w:w="0" w:type="dxa"/>
              <w:end w:w="0" w:type="dxa"/>
            </w:tcMar>
          </w:tcPr>
          <w:p>
            <w:pPr>
              <w:autoSpaceDN w:val="0"/>
              <w:autoSpaceDE w:val="0"/>
              <w:widowControl/>
              <w:spacing w:line="233" w:lineRule="auto" w:before="28" w:after="0"/>
              <w:ind w:left="0" w:right="188" w:firstLine="0"/>
              <w:jc w:val="right"/>
            </w:pPr>
            <w:r>
              <w:rPr>
                <w:rFonts w:ascii="Arial" w:hAnsi="Arial" w:eastAsia="Arial"/>
                <w:b w:val="0"/>
                <w:i w:val="0"/>
                <w:color w:val="000000"/>
                <w:sz w:val="22"/>
              </w:rPr>
              <w:t xml:space="preserve">500,000 </w:t>
            </w:r>
          </w:p>
        </w:tc>
        <w:tc>
          <w:tcPr>
            <w:tcW w:type="dxa" w:w="1866"/>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22"/>
              </w:rPr>
              <w:t>811,321</w:t>
            </w:r>
          </w:p>
        </w:tc>
      </w:tr>
      <w:tr>
        <w:trPr>
          <w:trHeight w:hRule="exact" w:val="280"/>
        </w:trPr>
        <w:tc>
          <w:tcPr>
            <w:tcW w:type="dxa" w:w="4552"/>
            <w:gridSpan w:val="2"/>
            <w:tcBorders/>
            <w:tcMar>
              <w:start w:w="0" w:type="dxa"/>
              <w:end w:w="0" w:type="dxa"/>
            </w:tcMar>
            <w:tcMar>
              <w:start w:w="0" w:type="dxa"/>
              <w:end w:w="0" w:type="dxa"/>
            </w:tcMar>
          </w:tcPr>
          <w:p>
            <w:pPr>
              <w:autoSpaceDN w:val="0"/>
              <w:autoSpaceDE w:val="0"/>
              <w:widowControl/>
              <w:spacing w:line="246" w:lineRule="exact" w:before="34" w:after="0"/>
              <w:ind w:left="450" w:right="0" w:firstLine="0"/>
              <w:jc w:val="left"/>
            </w:pPr>
            <w:r>
              <w:rPr>
                <w:rFonts w:ascii="Arial" w:hAnsi="Arial" w:eastAsia="Arial"/>
                <w:b w:val="0"/>
                <w:i w:val="0"/>
                <w:color w:val="000000"/>
                <w:sz w:val="22"/>
              </w:rPr>
              <w:t>-</w:t>
            </w:r>
            <w:r>
              <w:rPr>
                <w:rFonts w:ascii="黑体" w:hAnsi="黑体" w:eastAsia="黑体"/>
                <w:b w:val="0"/>
                <w:i w:val="0"/>
                <w:color w:val="000000"/>
                <w:sz w:val="22"/>
              </w:rPr>
              <w:t>其他</w:t>
            </w: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58" w:after="0"/>
              <w:ind w:left="0" w:right="188" w:firstLine="0"/>
              <w:jc w:val="right"/>
            </w:pPr>
            <w:r>
              <w:rPr>
                <w:rFonts w:ascii="Arial" w:hAnsi="Arial" w:eastAsia="Arial"/>
                <w:b w:val="0"/>
                <w:i w:val="0"/>
                <w:color w:val="000000"/>
                <w:sz w:val="22"/>
              </w:rPr>
              <w:t xml:space="preserve">828,302 </w:t>
            </w:r>
          </w:p>
        </w:tc>
        <w:tc>
          <w:tcPr>
            <w:tcW w:type="dxa" w:w="1866"/>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w:t>
            </w:r>
          </w:p>
        </w:tc>
      </w:tr>
      <w:tr>
        <w:trPr>
          <w:trHeight w:hRule="exact" w:val="44"/>
        </w:trPr>
        <w:tc>
          <w:tcPr>
            <w:tcW w:type="dxa" w:w="4552"/>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其他财务顾问业务净收入</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2110"/>
            <w:tcBorders>
              <w:bottom w:sz="4.0" w:val="single" w:color="#000000"/>
            </w:tcBorders>
            <w:tcMar>
              <w:start w:w="0" w:type="dxa"/>
              <w:end w:w="0" w:type="dxa"/>
            </w:tcMar>
          </w:tcPr>
          <w:p>
            <w:pPr>
              <w:autoSpaceDN w:val="0"/>
              <w:autoSpaceDE w:val="0"/>
              <w:widowControl/>
              <w:spacing w:line="233" w:lineRule="auto" w:before="20" w:after="0"/>
              <w:ind w:left="0" w:right="188" w:firstLine="0"/>
              <w:jc w:val="right"/>
            </w:pPr>
            <w:r>
              <w:rPr>
                <w:rFonts w:ascii="Arial" w:hAnsi="Arial" w:eastAsia="Arial"/>
                <w:b w:val="0"/>
                <w:i w:val="0"/>
                <w:color w:val="000000"/>
                <w:sz w:val="22"/>
              </w:rPr>
              <w:t xml:space="preserve">80,963,013 </w:t>
            </w:r>
          </w:p>
        </w:tc>
        <w:tc>
          <w:tcPr>
            <w:tcW w:type="dxa" w:w="1866"/>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98,551,148</w:t>
            </w:r>
          </w:p>
        </w:tc>
      </w:tr>
      <w:tr>
        <w:trPr>
          <w:trHeight w:hRule="exact" w:val="470"/>
        </w:trPr>
        <w:tc>
          <w:tcPr>
            <w:tcW w:type="dxa" w:w="4552"/>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2" w:lineRule="exact" w:before="200" w:after="0"/>
              <w:ind w:left="198" w:right="0" w:firstLine="0"/>
              <w:jc w:val="left"/>
            </w:pPr>
            <w:r>
              <w:rPr>
                <w:rFonts w:ascii="黑体" w:hAnsi="黑体" w:eastAsia="黑体"/>
                <w:b w:val="0"/>
                <w:i w:val="0"/>
                <w:color w:val="000000"/>
                <w:sz w:val="22"/>
              </w:rPr>
              <w:t>财务顾问服务净收入</w:t>
            </w:r>
          </w:p>
        </w:tc>
        <w:tc>
          <w:tcPr>
            <w:tcW w:type="dxa" w:w="2110"/>
            <w:tcBorders>
              <w:top w:sz="4.0" w:val="single" w:color="#000000"/>
              <w:bottom w:sz="4.0" w:val="single" w:color="#000000"/>
            </w:tcBorders>
            <w:tcMar>
              <w:start w:w="0" w:type="dxa"/>
              <w:end w:w="0" w:type="dxa"/>
            </w:tcMar>
          </w:tcPr>
          <w:p>
            <w:pPr>
              <w:autoSpaceDN w:val="0"/>
              <w:autoSpaceDE w:val="0"/>
              <w:widowControl/>
              <w:spacing w:line="233" w:lineRule="auto" w:before="210" w:after="0"/>
              <w:ind w:left="0" w:right="188" w:firstLine="0"/>
              <w:jc w:val="right"/>
            </w:pPr>
            <w:r>
              <w:rPr>
                <w:rFonts w:ascii="Arial" w:hAnsi="Arial" w:eastAsia="Arial"/>
                <w:b w:val="0"/>
                <w:i w:val="0"/>
                <w:color w:val="000000"/>
                <w:sz w:val="22"/>
              </w:rPr>
              <w:t xml:space="preserve">82,291,315 </w:t>
            </w:r>
          </w:p>
        </w:tc>
        <w:tc>
          <w:tcPr>
            <w:tcW w:type="dxa" w:w="1866"/>
            <w:tcBorders>
              <w:top w:sz="4.0" w:val="single" w:color="#000000"/>
              <w:bottom w:sz="4.0" w:val="single" w:color="#000000"/>
            </w:tcBorders>
            <w:tcMar>
              <w:start w:w="0" w:type="dxa"/>
              <w:end w:w="0" w:type="dxa"/>
            </w:tcMar>
          </w:tcPr>
          <w:p>
            <w:pPr>
              <w:autoSpaceDN w:val="0"/>
              <w:autoSpaceDE w:val="0"/>
              <w:widowControl/>
              <w:spacing w:line="233" w:lineRule="auto" w:before="210" w:after="0"/>
              <w:ind w:left="0" w:right="0" w:firstLine="0"/>
              <w:jc w:val="right"/>
            </w:pPr>
            <w:r>
              <w:rPr>
                <w:rFonts w:ascii="Arial" w:hAnsi="Arial" w:eastAsia="Arial"/>
                <w:b w:val="0"/>
                <w:i w:val="0"/>
                <w:color w:val="000000"/>
                <w:sz w:val="22"/>
              </w:rPr>
              <w:t>99,362,469</w:t>
            </w:r>
          </w:p>
        </w:tc>
      </w:tr>
      <w:tr>
        <w:trPr>
          <w:trHeight w:hRule="exact" w:val="1184"/>
        </w:trPr>
        <w:tc>
          <w:tcPr>
            <w:tcW w:type="dxa" w:w="740"/>
            <w:tcBorders>
              <w:top w:sz="4.0" w:val="single" w:color="#000000"/>
            </w:tcBorders>
            <w:tcMar>
              <w:start w:w="0" w:type="dxa"/>
              <w:end w:w="0" w:type="dxa"/>
            </w:tcMar>
          </w:tcPr>
          <w:p>
            <w:pPr>
              <w:autoSpaceDN w:val="0"/>
              <w:autoSpaceDE w:val="0"/>
              <w:widowControl/>
              <w:spacing w:line="246" w:lineRule="exact" w:before="304" w:after="0"/>
              <w:ind w:left="0" w:right="0" w:firstLine="0"/>
              <w:jc w:val="center"/>
            </w:pPr>
            <w:r>
              <w:rPr>
                <w:rFonts w:ascii="Arial,Bold" w:hAnsi="Arial,Bold" w:eastAsia="Arial,Bold"/>
                <w:b/>
                <w:i w:val="0"/>
                <w:color w:val="000000"/>
                <w:sz w:val="22"/>
              </w:rPr>
              <w:t xml:space="preserve">41. </w:t>
            </w:r>
          </w:p>
        </w:tc>
        <w:tc>
          <w:tcPr>
            <w:tcW w:type="dxa" w:w="3812"/>
            <w:tcBorders>
              <w:top w:sz="4.0" w:val="single" w:color="#000000"/>
            </w:tcBorders>
            <w:tcMar>
              <w:start w:w="0" w:type="dxa"/>
              <w:end w:w="0" w:type="dxa"/>
            </w:tcMar>
          </w:tcPr>
          <w:p>
            <w:pPr>
              <w:autoSpaceDN w:val="0"/>
              <w:autoSpaceDE w:val="0"/>
              <w:widowControl/>
              <w:spacing w:line="220" w:lineRule="exact" w:before="314" w:after="0"/>
              <w:ind w:left="186" w:right="0" w:firstLine="0"/>
              <w:jc w:val="left"/>
            </w:pPr>
            <w:r>
              <w:rPr>
                <w:rFonts w:ascii="黑体" w:hAnsi="黑体" w:eastAsia="黑体"/>
                <w:b w:val="0"/>
                <w:i w:val="0"/>
                <w:color w:val="000000"/>
                <w:sz w:val="22"/>
              </w:rPr>
              <w:t xml:space="preserve">利息净收入 </w:t>
            </w:r>
          </w:p>
        </w:tc>
        <w:tc>
          <w:tcPr>
            <w:tcW w:type="dxa" w:w="2110"/>
            <w:tcBorders>
              <w:top w:sz="4.0" w:val="single" w:color="#000000"/>
            </w:tcBorders>
            <w:tcMar>
              <w:start w:w="0" w:type="dxa"/>
              <w:end w:w="0" w:type="dxa"/>
            </w:tcMar>
          </w:tcPr>
          <w:p>
            <w:pPr>
              <w:autoSpaceDN w:val="0"/>
              <w:autoSpaceDE w:val="0"/>
              <w:widowControl/>
              <w:spacing w:line="246" w:lineRule="exact" w:before="874" w:after="0"/>
              <w:ind w:left="0" w:right="25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66"/>
            <w:tcBorders>
              <w:top w:sz="4.0" w:val="single" w:color="#000000"/>
            </w:tcBorders>
            <w:tcMar>
              <w:start w:w="0" w:type="dxa"/>
              <w:end w:w="0" w:type="dxa"/>
            </w:tcMar>
          </w:tcPr>
          <w:p>
            <w:pPr>
              <w:autoSpaceDN w:val="0"/>
              <w:autoSpaceDE w:val="0"/>
              <w:widowControl/>
              <w:spacing w:line="246" w:lineRule="exact" w:before="874"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bl>
    <w:p>
      <w:pPr>
        <w:autoSpaceDN w:val="0"/>
        <w:autoSpaceDE w:val="0"/>
        <w:widowControl/>
        <w:spacing w:line="222" w:lineRule="exact" w:before="148" w:after="32"/>
        <w:ind w:left="358" w:right="0" w:firstLine="0"/>
        <w:jc w:val="left"/>
      </w:pPr>
      <w:r>
        <w:rPr>
          <w:rFonts w:ascii="黑体" w:hAnsi="黑体" w:eastAsia="黑体"/>
          <w:b w:val="0"/>
          <w:i w:val="0"/>
          <w:color w:val="000000"/>
          <w:sz w:val="22"/>
        </w:rPr>
        <w:t>利息收入</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66"/>
        </w:trPr>
        <w:tc>
          <w:tcPr>
            <w:tcW w:type="dxa" w:w="4560"/>
            <w:tcBorders/>
            <w:tcMar>
              <w:start w:w="0" w:type="dxa"/>
              <w:end w:w="0" w:type="dxa"/>
            </w:tcMar>
          </w:tcPr>
          <w:p>
            <w:pPr>
              <w:autoSpaceDN w:val="0"/>
              <w:autoSpaceDE w:val="0"/>
              <w:widowControl/>
              <w:spacing w:line="222" w:lineRule="exact" w:before="32" w:after="0"/>
              <w:ind w:left="198" w:right="0" w:firstLine="0"/>
              <w:jc w:val="left"/>
            </w:pPr>
            <w:r>
              <w:rPr>
                <w:rFonts w:ascii="黑体" w:hAnsi="黑体" w:eastAsia="黑体"/>
                <w:b w:val="0"/>
                <w:i w:val="0"/>
                <w:color w:val="000000"/>
                <w:sz w:val="22"/>
              </w:rPr>
              <w:t>其中：货币资金及结算备付金利息收入</w:t>
            </w:r>
          </w:p>
        </w:tc>
        <w:tc>
          <w:tcPr>
            <w:tcW w:type="dxa" w:w="2320"/>
            <w:vMerge w:val="restart"/>
            <w:tcBorders/>
            <w:tcMar>
              <w:start w:w="0" w:type="dxa"/>
              <w:end w:w="0" w:type="dxa"/>
            </w:tcMar>
            <w:tcMar>
              <w:start w:w="0" w:type="dxa"/>
              <w:end w:w="0" w:type="dxa"/>
            </w:tcMar>
          </w:tcPr>
          <w:p>
            <w:pPr>
              <w:autoSpaceDN w:val="0"/>
              <w:autoSpaceDE w:val="0"/>
              <w:widowControl/>
              <w:spacing w:line="233" w:lineRule="auto" w:before="42" w:after="0"/>
              <w:ind w:left="0" w:right="406" w:firstLine="0"/>
              <w:jc w:val="right"/>
            </w:pPr>
            <w:r>
              <w:rPr>
                <w:rFonts w:ascii="Arial" w:hAnsi="Arial" w:eastAsia="Arial"/>
                <w:b w:val="0"/>
                <w:i w:val="0"/>
                <w:color w:val="000000"/>
                <w:sz w:val="22"/>
              </w:rPr>
              <w:t xml:space="preserve">449,252,024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42" w:after="0"/>
              <w:ind w:left="426" w:right="0" w:firstLine="0"/>
              <w:jc w:val="left"/>
            </w:pPr>
            <w:r>
              <w:rPr>
                <w:rFonts w:ascii="Arial" w:hAnsi="Arial" w:eastAsia="Arial"/>
                <w:b w:val="0"/>
                <w:i w:val="0"/>
                <w:color w:val="000000"/>
                <w:sz w:val="22"/>
              </w:rPr>
              <w:t>434,021,079</w:t>
            </w:r>
          </w:p>
        </w:tc>
      </w:tr>
      <w:tr>
        <w:trPr>
          <w:trHeight w:hRule="exact" w:val="42"/>
        </w:trPr>
        <w:tc>
          <w:tcPr>
            <w:tcW w:type="dxa" w:w="4560"/>
            <w:vMerge w:val="restart"/>
            <w:tcBorders/>
            <w:tcMar>
              <w:start w:w="0" w:type="dxa"/>
              <w:end w:w="0" w:type="dxa"/>
            </w:tcMar>
            <w:tcMar>
              <w:start w:w="0" w:type="dxa"/>
              <w:end w:w="0" w:type="dxa"/>
            </w:tcMar>
          </w:tcPr>
          <w:p>
            <w:pPr>
              <w:autoSpaceDN w:val="0"/>
              <w:autoSpaceDE w:val="0"/>
              <w:widowControl/>
              <w:spacing w:line="222" w:lineRule="exact" w:before="52" w:after="0"/>
              <w:ind w:left="856" w:right="0" w:firstLine="0"/>
              <w:jc w:val="left"/>
            </w:pPr>
            <w:r>
              <w:rPr>
                <w:rFonts w:ascii="黑体" w:hAnsi="黑体" w:eastAsia="黑体"/>
                <w:b w:val="0"/>
                <w:i w:val="0"/>
                <w:color w:val="000000"/>
                <w:sz w:val="22"/>
              </w:rPr>
              <w:t>融资融券利息收入</w:t>
            </w:r>
          </w:p>
        </w:tc>
        <w:tc>
          <w:tcPr>
            <w:tcW w:type="dxa" w:w="3009"/>
            <w:vMerge/>
            <w:tcBorders/>
          </w:tcPr>
          <w:p/>
        </w:tc>
        <w:tc>
          <w:tcPr>
            <w:tcW w:type="dxa" w:w="3009"/>
            <w:vMerge/>
            <w:tcBorders/>
          </w:tcPr>
          <w:p/>
        </w:tc>
      </w:tr>
      <w:tr>
        <w:trPr>
          <w:trHeight w:hRule="exact" w:val="238"/>
        </w:trPr>
        <w:tc>
          <w:tcPr>
            <w:tcW w:type="dxa" w:w="3009"/>
            <w:vMerge/>
            <w:tcBorders/>
          </w:tcPr>
          <w:p/>
        </w:tc>
        <w:tc>
          <w:tcPr>
            <w:tcW w:type="dxa" w:w="2320"/>
            <w:vMerge w:val="restart"/>
            <w:tcBorders/>
            <w:tcMar>
              <w:start w:w="0" w:type="dxa"/>
              <w:end w:w="0" w:type="dxa"/>
            </w:tcMar>
            <w:tcMar>
              <w:start w:w="0" w:type="dxa"/>
              <w:end w:w="0" w:type="dxa"/>
            </w:tcMar>
          </w:tcPr>
          <w:p>
            <w:pPr>
              <w:autoSpaceDN w:val="0"/>
              <w:autoSpaceDE w:val="0"/>
              <w:widowControl/>
              <w:spacing w:line="233" w:lineRule="auto" w:before="18" w:after="0"/>
              <w:ind w:left="0" w:right="406" w:firstLine="0"/>
              <w:jc w:val="right"/>
            </w:pPr>
            <w:r>
              <w:rPr>
                <w:rFonts w:ascii="Arial" w:hAnsi="Arial" w:eastAsia="Arial"/>
                <w:b w:val="0"/>
                <w:i w:val="0"/>
                <w:color w:val="000000"/>
                <w:sz w:val="22"/>
              </w:rPr>
              <w:t xml:space="preserve">415,731,614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18" w:after="0"/>
              <w:ind w:left="426" w:right="0" w:firstLine="0"/>
              <w:jc w:val="left"/>
            </w:pPr>
            <w:r>
              <w:rPr>
                <w:rFonts w:ascii="Arial" w:hAnsi="Arial" w:eastAsia="Arial"/>
                <w:b w:val="0"/>
                <w:i w:val="0"/>
                <w:color w:val="000000"/>
                <w:sz w:val="22"/>
              </w:rPr>
              <w:t>448,566,953</w:t>
            </w:r>
          </w:p>
        </w:tc>
      </w:tr>
      <w:tr>
        <w:trPr>
          <w:trHeight w:hRule="exact" w:val="44"/>
        </w:trPr>
        <w:tc>
          <w:tcPr>
            <w:tcW w:type="dxa" w:w="4560"/>
            <w:vMerge w:val="restart"/>
            <w:tcBorders/>
            <w:tcMar>
              <w:start w:w="0" w:type="dxa"/>
              <w:end w:w="0" w:type="dxa"/>
            </w:tcMar>
            <w:tcMar>
              <w:start w:w="0" w:type="dxa"/>
              <w:end w:w="0" w:type="dxa"/>
            </w:tcMar>
          </w:tcPr>
          <w:p>
            <w:pPr>
              <w:autoSpaceDN w:val="0"/>
              <w:autoSpaceDE w:val="0"/>
              <w:widowControl/>
              <w:spacing w:line="220" w:lineRule="exact" w:before="58" w:after="0"/>
              <w:ind w:left="856" w:right="0" w:firstLine="0"/>
              <w:jc w:val="left"/>
            </w:pPr>
            <w:r>
              <w:rPr>
                <w:rFonts w:ascii="黑体" w:hAnsi="黑体" w:eastAsia="黑体"/>
                <w:b w:val="0"/>
                <w:i w:val="0"/>
                <w:color w:val="000000"/>
                <w:sz w:val="22"/>
              </w:rPr>
              <w:t>买入返售金融资产利息收入</w:t>
            </w:r>
          </w:p>
        </w:tc>
        <w:tc>
          <w:tcPr>
            <w:tcW w:type="dxa" w:w="3009"/>
            <w:vMerge/>
            <w:tcBorders/>
          </w:tcPr>
          <w:p/>
        </w:tc>
        <w:tc>
          <w:tcPr>
            <w:tcW w:type="dxa" w:w="3009"/>
            <w:vMerge/>
            <w:tcBorders/>
          </w:tcPr>
          <w:p/>
        </w:tc>
      </w:tr>
      <w:tr>
        <w:trPr>
          <w:trHeight w:hRule="exact" w:val="236"/>
        </w:trPr>
        <w:tc>
          <w:tcPr>
            <w:tcW w:type="dxa" w:w="3009"/>
            <w:vMerge/>
            <w:tcBorders/>
          </w:tcPr>
          <w:p/>
        </w:tc>
        <w:tc>
          <w:tcPr>
            <w:tcW w:type="dxa" w:w="2320"/>
            <w:vMerge w:val="restart"/>
            <w:tcBorders/>
            <w:tcMar>
              <w:start w:w="0" w:type="dxa"/>
              <w:end w:w="0" w:type="dxa"/>
            </w:tcMar>
            <w:tcMar>
              <w:start w:w="0" w:type="dxa"/>
              <w:end w:w="0" w:type="dxa"/>
            </w:tcMar>
          </w:tcPr>
          <w:p>
            <w:pPr>
              <w:autoSpaceDN w:val="0"/>
              <w:autoSpaceDE w:val="0"/>
              <w:widowControl/>
              <w:spacing w:line="233" w:lineRule="auto" w:before="20" w:after="0"/>
              <w:ind w:left="0" w:right="406" w:firstLine="0"/>
              <w:jc w:val="right"/>
            </w:pPr>
            <w:r>
              <w:rPr>
                <w:rFonts w:ascii="Arial" w:hAnsi="Arial" w:eastAsia="Arial"/>
                <w:b w:val="0"/>
                <w:i w:val="0"/>
                <w:color w:val="000000"/>
                <w:sz w:val="22"/>
              </w:rPr>
              <w:t xml:space="preserve">82,042,243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20" w:after="0"/>
              <w:ind w:left="426" w:right="0" w:firstLine="0"/>
              <w:jc w:val="left"/>
            </w:pPr>
            <w:r>
              <w:rPr>
                <w:rFonts w:ascii="Arial" w:hAnsi="Arial" w:eastAsia="Arial"/>
                <w:b w:val="0"/>
                <w:i w:val="0"/>
                <w:color w:val="000000"/>
                <w:sz w:val="22"/>
              </w:rPr>
              <w:t>166,640,866</w:t>
            </w:r>
          </w:p>
        </w:tc>
      </w:tr>
      <w:tr>
        <w:trPr>
          <w:trHeight w:hRule="exact" w:val="50"/>
        </w:trPr>
        <w:tc>
          <w:tcPr>
            <w:tcW w:type="dxa" w:w="4560"/>
            <w:vMerge w:val="restart"/>
            <w:tcBorders/>
            <w:tcMar>
              <w:start w:w="0" w:type="dxa"/>
              <w:end w:w="0" w:type="dxa"/>
            </w:tcMar>
            <w:tcMar>
              <w:start w:w="0" w:type="dxa"/>
              <w:end w:w="0" w:type="dxa"/>
            </w:tcMar>
          </w:tcPr>
          <w:p>
            <w:pPr>
              <w:autoSpaceDN w:val="0"/>
              <w:autoSpaceDE w:val="0"/>
              <w:widowControl/>
              <w:spacing w:line="220" w:lineRule="exact" w:before="64" w:after="0"/>
              <w:ind w:left="856" w:right="0" w:firstLine="0"/>
              <w:jc w:val="left"/>
            </w:pPr>
            <w:r>
              <w:rPr>
                <w:rFonts w:ascii="黑体" w:hAnsi="黑体" w:eastAsia="黑体"/>
                <w:b w:val="0"/>
                <w:i w:val="0"/>
                <w:color w:val="000000"/>
                <w:sz w:val="22"/>
              </w:rPr>
              <w:t>其中：约定购回利息收入</w:t>
            </w:r>
          </w:p>
        </w:tc>
        <w:tc>
          <w:tcPr>
            <w:tcW w:type="dxa" w:w="3009"/>
            <w:vMerge/>
            <w:tcBorders/>
          </w:tcPr>
          <w:p/>
        </w:tc>
        <w:tc>
          <w:tcPr>
            <w:tcW w:type="dxa" w:w="3009"/>
            <w:vMerge/>
            <w:tcBorders/>
          </w:tcPr>
          <w:p/>
        </w:tc>
      </w:tr>
      <w:tr>
        <w:trPr>
          <w:trHeight w:hRule="exact" w:val="250"/>
        </w:trPr>
        <w:tc>
          <w:tcPr>
            <w:tcW w:type="dxa" w:w="3009"/>
            <w:vMerge/>
            <w:tcBorders/>
          </w:tcPr>
          <w:p/>
        </w:tc>
        <w:tc>
          <w:tcPr>
            <w:tcW w:type="dxa" w:w="2320"/>
            <w:tcBorders/>
            <w:tcMar>
              <w:start w:w="0" w:type="dxa"/>
              <w:end w:w="0" w:type="dxa"/>
            </w:tcMar>
          </w:tcPr>
          <w:p>
            <w:pPr>
              <w:autoSpaceDN w:val="0"/>
              <w:autoSpaceDE w:val="0"/>
              <w:widowControl/>
              <w:spacing w:line="233" w:lineRule="auto" w:before="4" w:after="0"/>
              <w:ind w:left="0" w:right="406" w:firstLine="0"/>
              <w:jc w:val="right"/>
            </w:pPr>
            <w:r>
              <w:rPr>
                <w:rFonts w:ascii="Arial" w:hAnsi="Arial" w:eastAsia="Arial"/>
                <w:b w:val="0"/>
                <w:i w:val="0"/>
                <w:color w:val="000000"/>
                <w:sz w:val="22"/>
              </w:rPr>
              <w:t xml:space="preserve">43,654 </w:t>
            </w:r>
          </w:p>
        </w:tc>
        <w:tc>
          <w:tcPr>
            <w:tcW w:type="dxa" w:w="1800"/>
            <w:tcBorders/>
            <w:tcMar>
              <w:start w:w="0" w:type="dxa"/>
              <w:end w:w="0" w:type="dxa"/>
            </w:tcMar>
          </w:tcPr>
          <w:p>
            <w:pPr>
              <w:autoSpaceDN w:val="0"/>
              <w:autoSpaceDE w:val="0"/>
              <w:widowControl/>
              <w:spacing w:line="233" w:lineRule="auto" w:before="4" w:after="0"/>
              <w:ind w:left="0" w:right="148" w:firstLine="0"/>
              <w:jc w:val="right"/>
            </w:pPr>
            <w:r>
              <w:rPr>
                <w:rFonts w:ascii="Arial" w:hAnsi="Arial" w:eastAsia="Arial"/>
                <w:b w:val="0"/>
                <w:i w:val="0"/>
                <w:color w:val="000000"/>
                <w:sz w:val="22"/>
              </w:rPr>
              <w:t>1,353,825</w:t>
            </w:r>
          </w:p>
        </w:tc>
      </w:tr>
      <w:tr>
        <w:trPr>
          <w:trHeight w:hRule="exact" w:val="280"/>
        </w:trPr>
        <w:tc>
          <w:tcPr>
            <w:tcW w:type="dxa" w:w="4560"/>
            <w:tcBorders/>
            <w:tcMar>
              <w:start w:w="0" w:type="dxa"/>
              <w:end w:w="0" w:type="dxa"/>
            </w:tcMar>
          </w:tcPr>
          <w:p>
            <w:pPr>
              <w:autoSpaceDN w:val="0"/>
              <w:autoSpaceDE w:val="0"/>
              <w:widowControl/>
              <w:spacing w:line="220" w:lineRule="exact" w:before="50" w:after="0"/>
              <w:ind w:left="0" w:right="858" w:firstLine="0"/>
              <w:jc w:val="right"/>
            </w:pPr>
            <w:r>
              <w:rPr>
                <w:rFonts w:ascii="黑体" w:hAnsi="黑体" w:eastAsia="黑体"/>
                <w:b w:val="0"/>
                <w:i w:val="0"/>
                <w:color w:val="000000"/>
                <w:sz w:val="22"/>
              </w:rPr>
              <w:t>股权质押回购利息收入</w:t>
            </w:r>
          </w:p>
        </w:tc>
        <w:tc>
          <w:tcPr>
            <w:tcW w:type="dxa" w:w="2320"/>
            <w:vMerge w:val="restart"/>
            <w:tcBorders/>
            <w:tcMar>
              <w:start w:w="0" w:type="dxa"/>
              <w:end w:w="0" w:type="dxa"/>
            </w:tcMar>
            <w:tcMar>
              <w:start w:w="0" w:type="dxa"/>
              <w:end w:w="0" w:type="dxa"/>
            </w:tcMar>
          </w:tcPr>
          <w:p>
            <w:pPr>
              <w:autoSpaceDN w:val="0"/>
              <w:autoSpaceDE w:val="0"/>
              <w:widowControl/>
              <w:spacing w:line="233" w:lineRule="auto" w:before="56" w:after="0"/>
              <w:ind w:left="0" w:right="406" w:firstLine="0"/>
              <w:jc w:val="right"/>
            </w:pPr>
            <w:r>
              <w:rPr>
                <w:rFonts w:ascii="Arial" w:hAnsi="Arial" w:eastAsia="Arial"/>
                <w:b w:val="0"/>
                <w:i w:val="0"/>
                <w:color w:val="000000"/>
                <w:sz w:val="22"/>
              </w:rPr>
              <w:t xml:space="preserve">52,024,602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56" w:after="0"/>
              <w:ind w:left="0" w:right="148" w:firstLine="0"/>
              <w:jc w:val="right"/>
            </w:pPr>
            <w:r>
              <w:rPr>
                <w:rFonts w:ascii="Arial" w:hAnsi="Arial" w:eastAsia="Arial"/>
                <w:b w:val="0"/>
                <w:i w:val="0"/>
                <w:color w:val="000000"/>
                <w:sz w:val="22"/>
              </w:rPr>
              <w:t>73,184,434</w:t>
            </w:r>
          </w:p>
        </w:tc>
      </w:tr>
      <w:tr>
        <w:trPr>
          <w:trHeight w:hRule="exact" w:val="42"/>
        </w:trPr>
        <w:tc>
          <w:tcPr>
            <w:tcW w:type="dxa" w:w="4560"/>
            <w:vMerge w:val="restart"/>
            <w:tcBorders/>
            <w:tcMar>
              <w:start w:w="0" w:type="dxa"/>
              <w:end w:w="0" w:type="dxa"/>
            </w:tcMar>
            <w:tcMar>
              <w:start w:w="0" w:type="dxa"/>
              <w:end w:w="0" w:type="dxa"/>
            </w:tcMar>
          </w:tcPr>
          <w:p>
            <w:pPr>
              <w:autoSpaceDN w:val="0"/>
              <w:autoSpaceDE w:val="0"/>
              <w:widowControl/>
              <w:spacing w:line="222" w:lineRule="exact" w:before="52" w:after="0"/>
              <w:ind w:left="856" w:right="0" w:firstLine="0"/>
              <w:jc w:val="left"/>
            </w:pPr>
            <w:r>
              <w:rPr>
                <w:rFonts w:ascii="黑体" w:hAnsi="黑体" w:eastAsia="黑体"/>
                <w:b w:val="0"/>
                <w:i w:val="0"/>
                <w:color w:val="000000"/>
                <w:sz w:val="22"/>
              </w:rPr>
              <w:t>债权投资利息收入</w:t>
            </w:r>
          </w:p>
        </w:tc>
        <w:tc>
          <w:tcPr>
            <w:tcW w:type="dxa" w:w="3009"/>
            <w:vMerge/>
            <w:tcBorders/>
          </w:tcPr>
          <w:p/>
        </w:tc>
        <w:tc>
          <w:tcPr>
            <w:tcW w:type="dxa" w:w="3009"/>
            <w:vMerge/>
            <w:tcBorders/>
          </w:tcPr>
          <w:p/>
        </w:tc>
      </w:tr>
      <w:tr>
        <w:trPr>
          <w:trHeight w:hRule="exact" w:val="238"/>
        </w:trPr>
        <w:tc>
          <w:tcPr>
            <w:tcW w:type="dxa" w:w="3009"/>
            <w:vMerge/>
            <w:tcBorders/>
          </w:tcPr>
          <w:p/>
        </w:tc>
        <w:tc>
          <w:tcPr>
            <w:tcW w:type="dxa" w:w="2320"/>
            <w:vMerge w:val="restart"/>
            <w:tcBorders/>
            <w:tcMar>
              <w:start w:w="0" w:type="dxa"/>
              <w:end w:w="0" w:type="dxa"/>
            </w:tcMar>
            <w:tcMar>
              <w:start w:w="0" w:type="dxa"/>
              <w:end w:w="0" w:type="dxa"/>
            </w:tcMar>
          </w:tcPr>
          <w:p>
            <w:pPr>
              <w:autoSpaceDN w:val="0"/>
              <w:autoSpaceDE w:val="0"/>
              <w:widowControl/>
              <w:spacing w:line="233" w:lineRule="auto" w:before="20" w:after="0"/>
              <w:ind w:left="0" w:right="406" w:firstLine="0"/>
              <w:jc w:val="right"/>
            </w:pPr>
            <w:r>
              <w:rPr>
                <w:rFonts w:ascii="Arial" w:hAnsi="Arial" w:eastAsia="Arial"/>
                <w:b w:val="0"/>
                <w:i w:val="0"/>
                <w:color w:val="000000"/>
                <w:sz w:val="22"/>
              </w:rPr>
              <w:t xml:space="preserve">883,025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20" w:after="0"/>
              <w:ind w:left="0" w:right="150" w:firstLine="0"/>
              <w:jc w:val="right"/>
            </w:pPr>
            <w:r>
              <w:rPr>
                <w:rFonts w:ascii="Arial" w:hAnsi="Arial" w:eastAsia="Arial"/>
                <w:b w:val="0"/>
                <w:i w:val="0"/>
                <w:color w:val="000000"/>
                <w:sz w:val="22"/>
              </w:rPr>
              <w:t>935,711</w:t>
            </w:r>
          </w:p>
        </w:tc>
      </w:tr>
      <w:tr>
        <w:trPr>
          <w:trHeight w:hRule="exact" w:val="48"/>
        </w:trPr>
        <w:tc>
          <w:tcPr>
            <w:tcW w:type="dxa" w:w="4560"/>
            <w:vMerge w:val="restart"/>
            <w:tcBorders/>
            <w:tcMar>
              <w:start w:w="0" w:type="dxa"/>
              <w:end w:w="0" w:type="dxa"/>
            </w:tcMar>
            <w:tcMar>
              <w:start w:w="0" w:type="dxa"/>
              <w:end w:w="0" w:type="dxa"/>
            </w:tcMar>
          </w:tcPr>
          <w:p>
            <w:pPr>
              <w:autoSpaceDN w:val="0"/>
              <w:autoSpaceDE w:val="0"/>
              <w:widowControl/>
              <w:spacing w:line="220" w:lineRule="exact" w:before="58" w:after="0"/>
              <w:ind w:left="856" w:right="0" w:firstLine="0"/>
              <w:jc w:val="left"/>
            </w:pPr>
            <w:r>
              <w:rPr>
                <w:rFonts w:ascii="黑体" w:hAnsi="黑体" w:eastAsia="黑体"/>
                <w:b w:val="0"/>
                <w:i w:val="0"/>
                <w:color w:val="000000"/>
                <w:sz w:val="22"/>
              </w:rPr>
              <w:t>其他债权投资利息收入</w:t>
            </w:r>
          </w:p>
        </w:tc>
        <w:tc>
          <w:tcPr>
            <w:tcW w:type="dxa" w:w="3009"/>
            <w:vMerge/>
            <w:tcBorders/>
          </w:tcPr>
          <w:p/>
        </w:tc>
        <w:tc>
          <w:tcPr>
            <w:tcW w:type="dxa" w:w="3009"/>
            <w:vMerge/>
            <w:tcBorders/>
          </w:tcPr>
          <w:p/>
        </w:tc>
      </w:tr>
      <w:tr>
        <w:trPr>
          <w:trHeight w:hRule="exact" w:val="280"/>
        </w:trPr>
        <w:tc>
          <w:tcPr>
            <w:tcW w:type="dxa" w:w="3009"/>
            <w:vMerge/>
            <w:tcBorders/>
          </w:tcPr>
          <w:p/>
        </w:tc>
        <w:tc>
          <w:tcPr>
            <w:tcW w:type="dxa" w:w="2320"/>
            <w:tcBorders/>
            <w:tcMar>
              <w:start w:w="0" w:type="dxa"/>
              <w:end w:w="0" w:type="dxa"/>
            </w:tcMar>
          </w:tcPr>
          <w:p>
            <w:pPr>
              <w:autoSpaceDN w:val="0"/>
              <w:autoSpaceDE w:val="0"/>
              <w:widowControl/>
              <w:spacing w:line="233" w:lineRule="auto" w:before="20" w:after="0"/>
              <w:ind w:left="0" w:right="406" w:firstLine="0"/>
              <w:jc w:val="right"/>
            </w:pPr>
            <w:r>
              <w:rPr>
                <w:rFonts w:ascii="Arial" w:hAnsi="Arial" w:eastAsia="Arial"/>
                <w:b w:val="0"/>
                <w:i w:val="0"/>
                <w:color w:val="000000"/>
                <w:sz w:val="22"/>
              </w:rPr>
              <w:t xml:space="preserve">7,441,188 </w:t>
            </w:r>
          </w:p>
        </w:tc>
        <w:tc>
          <w:tcPr>
            <w:tcW w:type="dxa" w:w="1800"/>
            <w:tcBorders/>
            <w:tcMar>
              <w:start w:w="0" w:type="dxa"/>
              <w:end w:w="0" w:type="dxa"/>
            </w:tcMar>
          </w:tcPr>
          <w:p>
            <w:pPr>
              <w:autoSpaceDN w:val="0"/>
              <w:autoSpaceDE w:val="0"/>
              <w:widowControl/>
              <w:spacing w:line="233" w:lineRule="auto" w:before="20" w:after="0"/>
              <w:ind w:left="0" w:right="148" w:firstLine="0"/>
              <w:jc w:val="right"/>
            </w:pPr>
            <w:r>
              <w:rPr>
                <w:rFonts w:ascii="Arial" w:hAnsi="Arial" w:eastAsia="Arial"/>
                <w:b w:val="0"/>
                <w:i w:val="0"/>
                <w:color w:val="000000"/>
                <w:sz w:val="22"/>
              </w:rPr>
              <w:t>7,108,458</w:t>
            </w:r>
          </w:p>
        </w:tc>
      </w:tr>
    </w:tbl>
    <w:p>
      <w:pPr>
        <w:autoSpaceDN w:val="0"/>
        <w:autoSpaceDE w:val="0"/>
        <w:widowControl/>
        <w:spacing w:line="220" w:lineRule="exact" w:before="16" w:after="34"/>
        <w:ind w:left="936" w:right="0" w:firstLine="0"/>
        <w:jc w:val="left"/>
      </w:pPr>
      <w:r>
        <w:rPr>
          <w:rFonts w:ascii="黑体" w:hAnsi="黑体" w:eastAsia="黑体"/>
          <w:b w:val="0"/>
          <w:i w:val="0"/>
          <w:color w:val="000000"/>
          <w:sz w:val="22"/>
        </w:rPr>
        <w:t>其他按实际利率法计算的金融资产产</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94"/>
        </w:trPr>
        <w:tc>
          <w:tcPr>
            <w:tcW w:type="dxa" w:w="4552"/>
            <w:tcBorders>
              <w:bottom w:sz="4.0" w:val="single" w:color="#000000"/>
            </w:tcBorders>
            <w:tcMar>
              <w:start w:w="0" w:type="dxa"/>
              <w:end w:w="0" w:type="dxa"/>
            </w:tcMar>
          </w:tcPr>
          <w:p>
            <w:pPr>
              <w:autoSpaceDN w:val="0"/>
              <w:autoSpaceDE w:val="0"/>
              <w:widowControl/>
              <w:spacing w:line="220" w:lineRule="exact" w:before="32" w:after="0"/>
              <w:ind w:left="994" w:right="0" w:firstLine="0"/>
              <w:jc w:val="left"/>
            </w:pPr>
            <w:r>
              <w:rPr>
                <w:rFonts w:ascii="黑体" w:hAnsi="黑体" w:eastAsia="黑体"/>
                <w:b w:val="0"/>
                <w:i w:val="0"/>
                <w:color w:val="000000"/>
                <w:sz w:val="22"/>
              </w:rPr>
              <w:t>生的利息收入</w:t>
            </w:r>
          </w:p>
        </w:tc>
        <w:tc>
          <w:tcPr>
            <w:tcW w:type="dxa" w:w="2110"/>
            <w:tcBorders>
              <w:bottom w:sz="4.0" w:val="single" w:color="#000000"/>
            </w:tcBorders>
            <w:tcMar>
              <w:start w:w="0" w:type="dxa"/>
              <w:end w:w="0" w:type="dxa"/>
            </w:tcMar>
          </w:tcPr>
          <w:p>
            <w:pPr>
              <w:autoSpaceDN w:val="0"/>
              <w:autoSpaceDE w:val="0"/>
              <w:widowControl/>
              <w:spacing w:line="233" w:lineRule="auto" w:before="40" w:after="0"/>
              <w:ind w:left="0" w:right="188" w:firstLine="0"/>
              <w:jc w:val="right"/>
            </w:pPr>
            <w:r>
              <w:rPr>
                <w:rFonts w:ascii="Arial" w:hAnsi="Arial" w:eastAsia="Arial"/>
                <w:b w:val="0"/>
                <w:i w:val="0"/>
                <w:color w:val="000000"/>
                <w:sz w:val="22"/>
              </w:rPr>
              <w:t xml:space="preserve">23,470,144 </w:t>
            </w:r>
          </w:p>
        </w:tc>
        <w:tc>
          <w:tcPr>
            <w:tcW w:type="dxa" w:w="1866"/>
            <w:tcBorders>
              <w:bottom w:sz="4.0" w:val="single" w:color="#000000"/>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22"/>
              </w:rPr>
              <w:t>23,562,682</w:t>
            </w:r>
          </w:p>
        </w:tc>
      </w:tr>
      <w:tr>
        <w:trPr>
          <w:trHeight w:hRule="exact" w:val="546"/>
        </w:trPr>
        <w:tc>
          <w:tcPr>
            <w:tcW w:type="dxa" w:w="4552"/>
            <w:tcBorders>
              <w:top w:sz="4.0" w:val="single" w:color="#000000"/>
              <w:bottom w:sz="3.199999999999818"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利息收入小计</w:t>
            </w:r>
          </w:p>
        </w:tc>
        <w:tc>
          <w:tcPr>
            <w:tcW w:type="dxa" w:w="2110"/>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0" w:right="188" w:firstLine="0"/>
              <w:jc w:val="right"/>
            </w:pPr>
            <w:r>
              <w:rPr>
                <w:rFonts w:ascii="Arial" w:hAnsi="Arial" w:eastAsia="Arial"/>
                <w:b w:val="0"/>
                <w:i w:val="0"/>
                <w:color w:val="000000"/>
                <w:sz w:val="22"/>
              </w:rPr>
              <w:t xml:space="preserve">978,820,238 </w:t>
            </w:r>
          </w:p>
        </w:tc>
        <w:tc>
          <w:tcPr>
            <w:tcW w:type="dxa" w:w="1866"/>
            <w:tcBorders>
              <w:top w:sz="4.0" w:val="single" w:color="#000000"/>
              <w:bottom w:sz="3.199999999999818" w:val="single" w:color="#000000"/>
            </w:tcBorders>
            <w:tcMar>
              <w:start w:w="0" w:type="dxa"/>
              <w:end w:w="0" w:type="dxa"/>
            </w:tcMar>
          </w:tcPr>
          <w:p>
            <w:pPr>
              <w:autoSpaceDN w:val="0"/>
              <w:autoSpaceDE w:val="0"/>
              <w:widowControl/>
              <w:spacing w:line="233" w:lineRule="auto" w:before="288" w:after="0"/>
              <w:ind w:left="460" w:right="0" w:firstLine="0"/>
              <w:jc w:val="left"/>
            </w:pPr>
            <w:r>
              <w:rPr>
                <w:rFonts w:ascii="Arial" w:hAnsi="Arial" w:eastAsia="Arial"/>
                <w:b w:val="0"/>
                <w:i w:val="0"/>
                <w:color w:val="000000"/>
                <w:sz w:val="22"/>
              </w:rPr>
              <w:t>1,080,835,749</w:t>
            </w:r>
          </w:p>
        </w:tc>
      </w:tr>
      <w:tr>
        <w:trPr>
          <w:trHeight w:hRule="exact" w:val="54"/>
        </w:trPr>
        <w:tc>
          <w:tcPr>
            <w:tcW w:type="dxa" w:w="4552"/>
            <w:tcBorders>
              <w:top w:sz="3.199999999999818" w:val="single" w:color="#000000"/>
            </w:tcBorders>
            <w:tcMar>
              <w:start w:w="0" w:type="dxa"/>
              <w:end w:w="0" w:type="dxa"/>
            </w:tcMar>
          </w:tcPr>
          <w:p/>
        </w:tc>
        <w:tc>
          <w:tcPr>
            <w:tcW w:type="dxa" w:w="2110"/>
            <w:tcBorders>
              <w:top w:sz="3.199999999999818" w:val="single" w:color="#000000"/>
            </w:tcBorders>
            <w:tcMar>
              <w:start w:w="0" w:type="dxa"/>
              <w:end w:w="0" w:type="dxa"/>
            </w:tcMar>
          </w:tcPr>
          <w:p/>
        </w:tc>
        <w:tc>
          <w:tcPr>
            <w:tcW w:type="dxa" w:w="1866"/>
            <w:tcBorders>
              <w:top w:sz="3.199999999999818" w:val="single" w:color="#000000"/>
            </w:tcBorders>
            <w:tcMar>
              <w:start w:w="0" w:type="dxa"/>
              <w:end w:w="0" w:type="dxa"/>
            </w:tcMar>
          </w:tcPr>
          <w:p/>
        </w:tc>
      </w:tr>
    </w:tbl>
    <w:p>
      <w:pPr>
        <w:autoSpaceDN w:val="0"/>
        <w:autoSpaceDE w:val="0"/>
        <w:widowControl/>
        <w:spacing w:line="220" w:lineRule="exact" w:before="102" w:after="34"/>
        <w:ind w:left="358" w:right="0" w:firstLine="0"/>
        <w:jc w:val="left"/>
      </w:pPr>
      <w:r>
        <w:rPr>
          <w:rFonts w:ascii="黑体" w:hAnsi="黑体" w:eastAsia="黑体"/>
          <w:b w:val="0"/>
          <w:i w:val="0"/>
          <w:color w:val="000000"/>
          <w:sz w:val="22"/>
        </w:rPr>
        <w:t>利息支出</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52"/>
        </w:trPr>
        <w:tc>
          <w:tcPr>
            <w:tcW w:type="dxa" w:w="4552"/>
            <w:tcBorders/>
            <w:tcMar>
              <w:start w:w="0" w:type="dxa"/>
              <w:end w:w="0" w:type="dxa"/>
            </w:tcMar>
          </w:tcPr>
          <w:p>
            <w:pPr>
              <w:autoSpaceDN w:val="0"/>
              <w:autoSpaceDE w:val="0"/>
              <w:widowControl/>
              <w:spacing w:line="222" w:lineRule="exact" w:before="30" w:after="0"/>
              <w:ind w:left="198" w:right="0" w:firstLine="0"/>
              <w:jc w:val="left"/>
            </w:pPr>
            <w:r>
              <w:rPr>
                <w:rFonts w:ascii="黑体" w:hAnsi="黑体" w:eastAsia="黑体"/>
                <w:b w:val="0"/>
                <w:i w:val="0"/>
                <w:color w:val="000000"/>
                <w:sz w:val="22"/>
              </w:rPr>
              <w:t>其中：短期借款利息支出</w:t>
            </w: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42" w:after="0"/>
              <w:ind w:left="0" w:right="114" w:firstLine="0"/>
              <w:jc w:val="right"/>
            </w:pPr>
            <w:r>
              <w:rPr>
                <w:rFonts w:ascii="Arial" w:hAnsi="Arial" w:eastAsia="Arial"/>
                <w:b w:val="0"/>
                <w:i w:val="0"/>
                <w:color w:val="000000"/>
                <w:sz w:val="22"/>
              </w:rPr>
              <w:t xml:space="preserve">(8,930,023 ) </w:t>
            </w:r>
          </w:p>
        </w:tc>
        <w:tc>
          <w:tcPr>
            <w:tcW w:type="dxa" w:w="2078"/>
            <w:vMerge w:val="restart"/>
            <w:tcBorders/>
            <w:tcMar>
              <w:start w:w="0" w:type="dxa"/>
              <w:end w:w="0" w:type="dxa"/>
            </w:tcMar>
            <w:tcMar>
              <w:start w:w="0" w:type="dxa"/>
              <w:end w:w="0" w:type="dxa"/>
            </w:tcMar>
          </w:tcPr>
          <w:p>
            <w:pPr>
              <w:autoSpaceDN w:val="0"/>
              <w:autoSpaceDE w:val="0"/>
              <w:widowControl/>
              <w:spacing w:line="218" w:lineRule="auto" w:before="42" w:after="0"/>
              <w:ind w:left="0" w:right="96" w:firstLine="0"/>
              <w:jc w:val="right"/>
            </w:pPr>
            <w:r>
              <w:rPr>
                <w:rFonts w:ascii="Arial" w:hAnsi="Arial" w:eastAsia="Arial"/>
                <w:b w:val="0"/>
                <w:i w:val="0"/>
                <w:color w:val="000000"/>
                <w:sz w:val="22"/>
              </w:rPr>
              <w:t>(12,793,595</w:t>
            </w:r>
            <w:r>
              <w:rPr>
                <w:rFonts w:ascii="Calibri" w:hAnsi="Calibri" w:eastAsia="Calibri"/>
                <w:b w:val="0"/>
                <w:i w:val="0"/>
                <w:color w:val="000000"/>
                <w:sz w:val="22"/>
              </w:rPr>
              <w:t xml:space="preserve">) </w:t>
            </w:r>
          </w:p>
        </w:tc>
      </w:tr>
      <w:tr>
        <w:trPr>
          <w:trHeight w:hRule="exact" w:val="56"/>
        </w:trPr>
        <w:tc>
          <w:tcPr>
            <w:tcW w:type="dxa" w:w="4552"/>
            <w:vMerge w:val="restart"/>
            <w:tcBorders/>
            <w:tcMar>
              <w:start w:w="0" w:type="dxa"/>
              <w:end w:w="0" w:type="dxa"/>
            </w:tcMar>
            <w:tcMar>
              <w:start w:w="0" w:type="dxa"/>
              <w:end w:w="0" w:type="dxa"/>
            </w:tcMar>
          </w:tcPr>
          <w:p>
            <w:pPr>
              <w:autoSpaceDN w:val="0"/>
              <w:autoSpaceDE w:val="0"/>
              <w:widowControl/>
              <w:spacing w:line="220" w:lineRule="exact" w:before="66" w:after="0"/>
              <w:ind w:left="856" w:right="0" w:firstLine="0"/>
              <w:jc w:val="left"/>
            </w:pPr>
            <w:r>
              <w:rPr>
                <w:rFonts w:ascii="黑体" w:hAnsi="黑体" w:eastAsia="黑体"/>
                <w:b w:val="0"/>
                <w:i w:val="0"/>
                <w:color w:val="000000"/>
                <w:sz w:val="22"/>
              </w:rPr>
              <w:t>应付短期融资款利息支出</w:t>
            </w:r>
          </w:p>
        </w:tc>
        <w:tc>
          <w:tcPr>
            <w:tcW w:type="dxa" w:w="3009"/>
            <w:vMerge/>
            <w:tcBorders/>
          </w:tcPr>
          <w:p/>
        </w:tc>
        <w:tc>
          <w:tcPr>
            <w:tcW w:type="dxa" w:w="3009"/>
            <w:vMerge/>
            <w:tcBorders/>
          </w:tcPr>
          <w:p/>
        </w:tc>
      </w:tr>
      <w:tr>
        <w:trPr>
          <w:trHeight w:hRule="exact" w:val="274"/>
        </w:trPr>
        <w:tc>
          <w:tcPr>
            <w:tcW w:type="dxa" w:w="3009"/>
            <w:vMerge/>
            <w:tcBorders/>
          </w:tcPr>
          <w:p/>
        </w:tc>
        <w:tc>
          <w:tcPr>
            <w:tcW w:type="dxa" w:w="2110"/>
            <w:tcBorders/>
            <w:tcMar>
              <w:start w:w="0" w:type="dxa"/>
              <w:end w:w="0" w:type="dxa"/>
            </w:tcMar>
          </w:tcPr>
          <w:p>
            <w:pPr>
              <w:autoSpaceDN w:val="0"/>
              <w:autoSpaceDE w:val="0"/>
              <w:widowControl/>
              <w:spacing w:line="235" w:lineRule="auto" w:before="18" w:after="0"/>
              <w:ind w:left="0" w:right="114" w:firstLine="0"/>
              <w:jc w:val="right"/>
            </w:pPr>
            <w:r>
              <w:rPr>
                <w:rFonts w:ascii="Arial" w:hAnsi="Arial" w:eastAsia="Arial"/>
                <w:b w:val="0"/>
                <w:i w:val="0"/>
                <w:color w:val="000000"/>
                <w:sz w:val="22"/>
              </w:rPr>
              <w:t xml:space="preserve">(17,286,447 ) </w:t>
            </w:r>
          </w:p>
        </w:tc>
        <w:tc>
          <w:tcPr>
            <w:tcW w:type="dxa" w:w="2078"/>
            <w:tcBorders/>
            <w:tcMar>
              <w:start w:w="0" w:type="dxa"/>
              <w:end w:w="0" w:type="dxa"/>
            </w:tcMar>
          </w:tcPr>
          <w:p>
            <w:pPr>
              <w:autoSpaceDN w:val="0"/>
              <w:autoSpaceDE w:val="0"/>
              <w:widowControl/>
              <w:spacing w:line="221" w:lineRule="auto" w:before="18" w:after="0"/>
              <w:ind w:left="0" w:right="96" w:firstLine="0"/>
              <w:jc w:val="right"/>
            </w:pPr>
            <w:r>
              <w:rPr>
                <w:rFonts w:ascii="Arial" w:hAnsi="Arial" w:eastAsia="Arial"/>
                <w:b w:val="0"/>
                <w:i w:val="0"/>
                <w:color w:val="000000"/>
                <w:sz w:val="22"/>
              </w:rPr>
              <w:t>(31,259,491</w:t>
            </w:r>
            <w:r>
              <w:rPr>
                <w:rFonts w:ascii="Calibri" w:hAnsi="Calibri" w:eastAsia="Calibri"/>
                <w:b w:val="0"/>
                <w:i w:val="0"/>
                <w:color w:val="000000"/>
                <w:sz w:val="22"/>
              </w:rPr>
              <w:t xml:space="preserve">) </w:t>
            </w:r>
          </w:p>
        </w:tc>
      </w:tr>
      <w:tr>
        <w:trPr>
          <w:trHeight w:hRule="exact" w:val="250"/>
        </w:trPr>
        <w:tc>
          <w:tcPr>
            <w:tcW w:type="dxa" w:w="4552"/>
            <w:tcBorders/>
            <w:tcMar>
              <w:start w:w="0" w:type="dxa"/>
              <w:end w:w="0" w:type="dxa"/>
            </w:tcMar>
          </w:tcPr>
          <w:p>
            <w:pPr>
              <w:autoSpaceDN w:val="0"/>
              <w:autoSpaceDE w:val="0"/>
              <w:widowControl/>
              <w:spacing w:line="220" w:lineRule="exact" w:before="22" w:after="0"/>
              <w:ind w:left="856" w:right="0" w:firstLine="0"/>
              <w:jc w:val="left"/>
            </w:pPr>
            <w:r>
              <w:rPr>
                <w:rFonts w:ascii="黑体" w:hAnsi="黑体" w:eastAsia="黑体"/>
                <w:b w:val="0"/>
                <w:i w:val="0"/>
                <w:color w:val="000000"/>
                <w:sz w:val="22"/>
              </w:rPr>
              <w:t>拆入资金利息支出</w:t>
            </w: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30" w:after="0"/>
              <w:ind w:left="0" w:right="114" w:firstLine="0"/>
              <w:jc w:val="right"/>
            </w:pPr>
            <w:r>
              <w:rPr>
                <w:rFonts w:ascii="Arial" w:hAnsi="Arial" w:eastAsia="Arial"/>
                <w:b w:val="0"/>
                <w:i w:val="0"/>
                <w:color w:val="000000"/>
                <w:sz w:val="22"/>
              </w:rPr>
              <w:t xml:space="preserve">(214,206,237 ) </w:t>
            </w:r>
          </w:p>
        </w:tc>
        <w:tc>
          <w:tcPr>
            <w:tcW w:type="dxa" w:w="2078"/>
            <w:vMerge w:val="restart"/>
            <w:tcBorders/>
            <w:tcMar>
              <w:start w:w="0" w:type="dxa"/>
              <w:end w:w="0" w:type="dxa"/>
            </w:tcMar>
            <w:tcMar>
              <w:start w:w="0" w:type="dxa"/>
              <w:end w:w="0" w:type="dxa"/>
            </w:tcMar>
          </w:tcPr>
          <w:p>
            <w:pPr>
              <w:autoSpaceDN w:val="0"/>
              <w:autoSpaceDE w:val="0"/>
              <w:widowControl/>
              <w:spacing w:line="218" w:lineRule="auto" w:before="30" w:after="0"/>
              <w:ind w:left="0" w:right="96" w:firstLine="0"/>
              <w:jc w:val="right"/>
            </w:pPr>
            <w:r>
              <w:rPr>
                <w:rFonts w:ascii="Arial" w:hAnsi="Arial" w:eastAsia="Arial"/>
                <w:b w:val="0"/>
                <w:i w:val="0"/>
                <w:color w:val="000000"/>
                <w:sz w:val="22"/>
              </w:rPr>
              <w:t>(233,579,299</w:t>
            </w:r>
            <w:r>
              <w:rPr>
                <w:rFonts w:ascii="Calibri" w:hAnsi="Calibri" w:eastAsia="Calibri"/>
                <w:b w:val="0"/>
                <w:i w:val="0"/>
                <w:color w:val="000000"/>
                <w:sz w:val="22"/>
              </w:rPr>
              <w:t xml:space="preserve">) </w:t>
            </w:r>
          </w:p>
        </w:tc>
      </w:tr>
      <w:tr>
        <w:trPr>
          <w:trHeight w:hRule="exact" w:val="44"/>
        </w:trPr>
        <w:tc>
          <w:tcPr>
            <w:tcW w:type="dxa" w:w="4552"/>
            <w:vMerge w:val="restart"/>
            <w:tcBorders/>
            <w:tcMar>
              <w:start w:w="0" w:type="dxa"/>
              <w:end w:w="0" w:type="dxa"/>
            </w:tcMar>
            <w:tcMar>
              <w:start w:w="0" w:type="dxa"/>
              <w:end w:w="0" w:type="dxa"/>
            </w:tcMar>
          </w:tcPr>
          <w:p>
            <w:pPr>
              <w:autoSpaceDN w:val="0"/>
              <w:autoSpaceDE w:val="0"/>
              <w:widowControl/>
              <w:spacing w:line="220" w:lineRule="exact" w:before="58" w:after="0"/>
              <w:ind w:left="856" w:right="0" w:firstLine="0"/>
              <w:jc w:val="left"/>
            </w:pPr>
            <w:r>
              <w:rPr>
                <w:rFonts w:ascii="黑体" w:hAnsi="黑体" w:eastAsia="黑体"/>
                <w:b w:val="0"/>
                <w:i w:val="0"/>
                <w:color w:val="000000"/>
                <w:sz w:val="22"/>
              </w:rPr>
              <w:t>其中：转融通利息支出</w:t>
            </w:r>
          </w:p>
        </w:tc>
        <w:tc>
          <w:tcPr>
            <w:tcW w:type="dxa" w:w="3009"/>
            <w:vMerge/>
            <w:tcBorders/>
          </w:tcPr>
          <w:p/>
        </w:tc>
        <w:tc>
          <w:tcPr>
            <w:tcW w:type="dxa" w:w="3009"/>
            <w:vMerge/>
            <w:tcBorders/>
          </w:tcPr>
          <w:p/>
        </w:tc>
      </w:tr>
      <w:tr>
        <w:trPr>
          <w:trHeight w:hRule="exact" w:val="236"/>
        </w:trPr>
        <w:tc>
          <w:tcPr>
            <w:tcW w:type="dxa" w:w="3009"/>
            <w:vMerge/>
            <w:tcBorders/>
          </w:tcP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20" w:after="0"/>
              <w:ind w:left="0" w:right="114" w:firstLine="0"/>
              <w:jc w:val="right"/>
            </w:pPr>
            <w:r>
              <w:rPr>
                <w:rFonts w:ascii="Arial" w:hAnsi="Arial" w:eastAsia="Arial"/>
                <w:b w:val="0"/>
                <w:i w:val="0"/>
                <w:color w:val="000000"/>
                <w:sz w:val="22"/>
              </w:rPr>
              <w:t xml:space="preserve">(55,591,556 ) </w:t>
            </w:r>
          </w:p>
        </w:tc>
        <w:tc>
          <w:tcPr>
            <w:tcW w:type="dxa" w:w="2078"/>
            <w:vMerge w:val="restart"/>
            <w:tcBorders/>
            <w:tcMar>
              <w:start w:w="0" w:type="dxa"/>
              <w:end w:w="0" w:type="dxa"/>
            </w:tcMar>
            <w:tcMar>
              <w:start w:w="0" w:type="dxa"/>
              <w:end w:w="0" w:type="dxa"/>
            </w:tcMar>
          </w:tcPr>
          <w:p>
            <w:pPr>
              <w:autoSpaceDN w:val="0"/>
              <w:autoSpaceDE w:val="0"/>
              <w:widowControl/>
              <w:spacing w:line="218" w:lineRule="auto" w:before="20" w:after="0"/>
              <w:ind w:left="0" w:right="96" w:firstLine="0"/>
              <w:jc w:val="right"/>
            </w:pPr>
            <w:r>
              <w:rPr>
                <w:rFonts w:ascii="Arial" w:hAnsi="Arial" w:eastAsia="Arial"/>
                <w:b w:val="0"/>
                <w:i w:val="0"/>
                <w:color w:val="000000"/>
                <w:sz w:val="22"/>
              </w:rPr>
              <w:t>(68,661,056</w:t>
            </w:r>
            <w:r>
              <w:rPr>
                <w:rFonts w:ascii="Calibri" w:hAnsi="Calibri" w:eastAsia="Calibri"/>
                <w:b w:val="0"/>
                <w:i w:val="0"/>
                <w:color w:val="000000"/>
                <w:sz w:val="22"/>
              </w:rPr>
              <w:t xml:space="preserve">) </w:t>
            </w:r>
          </w:p>
        </w:tc>
      </w:tr>
      <w:tr>
        <w:trPr>
          <w:trHeight w:hRule="exact" w:val="50"/>
        </w:trPr>
        <w:tc>
          <w:tcPr>
            <w:tcW w:type="dxa" w:w="4552"/>
            <w:vMerge w:val="restart"/>
            <w:tcBorders/>
            <w:tcMar>
              <w:start w:w="0" w:type="dxa"/>
              <w:end w:w="0" w:type="dxa"/>
            </w:tcMar>
            <w:tcMar>
              <w:start w:w="0" w:type="dxa"/>
              <w:end w:w="0" w:type="dxa"/>
            </w:tcMar>
          </w:tcPr>
          <w:p>
            <w:pPr>
              <w:autoSpaceDN w:val="0"/>
              <w:autoSpaceDE w:val="0"/>
              <w:widowControl/>
              <w:spacing w:line="222" w:lineRule="exact" w:before="62" w:after="0"/>
              <w:ind w:left="0" w:right="0" w:firstLine="0"/>
              <w:jc w:val="center"/>
            </w:pPr>
            <w:r>
              <w:rPr>
                <w:rFonts w:ascii="黑体" w:hAnsi="黑体" w:eastAsia="黑体"/>
                <w:b w:val="0"/>
                <w:i w:val="0"/>
                <w:color w:val="000000"/>
                <w:sz w:val="22"/>
              </w:rPr>
              <w:t>卖出回购金融资产款利息支出</w:t>
            </w:r>
          </w:p>
        </w:tc>
        <w:tc>
          <w:tcPr>
            <w:tcW w:type="dxa" w:w="3009"/>
            <w:vMerge/>
            <w:tcBorders/>
          </w:tcPr>
          <w:p/>
        </w:tc>
        <w:tc>
          <w:tcPr>
            <w:tcW w:type="dxa" w:w="3009"/>
            <w:vMerge/>
            <w:tcBorders/>
          </w:tcPr>
          <w:p/>
        </w:tc>
      </w:tr>
      <w:tr>
        <w:trPr>
          <w:trHeight w:hRule="exact" w:val="250"/>
        </w:trPr>
        <w:tc>
          <w:tcPr>
            <w:tcW w:type="dxa" w:w="3009"/>
            <w:vMerge/>
            <w:tcBorders/>
          </w:tcPr>
          <w:p/>
        </w:tc>
        <w:tc>
          <w:tcPr>
            <w:tcW w:type="dxa" w:w="2110"/>
            <w:tcBorders/>
            <w:tcMar>
              <w:start w:w="0" w:type="dxa"/>
              <w:end w:w="0" w:type="dxa"/>
            </w:tcMar>
          </w:tcPr>
          <w:p>
            <w:pPr>
              <w:autoSpaceDN w:val="0"/>
              <w:autoSpaceDE w:val="0"/>
              <w:widowControl/>
              <w:spacing w:line="233" w:lineRule="auto" w:before="4" w:after="0"/>
              <w:ind w:left="0" w:right="114" w:firstLine="0"/>
              <w:jc w:val="right"/>
            </w:pPr>
            <w:r>
              <w:rPr>
                <w:rFonts w:ascii="Arial" w:hAnsi="Arial" w:eastAsia="Arial"/>
                <w:b w:val="0"/>
                <w:i w:val="0"/>
                <w:color w:val="000000"/>
                <w:sz w:val="22"/>
              </w:rPr>
              <w:t xml:space="preserve">(209,808,116 ) </w:t>
            </w:r>
          </w:p>
        </w:tc>
        <w:tc>
          <w:tcPr>
            <w:tcW w:type="dxa" w:w="2078"/>
            <w:tcBorders/>
            <w:tcMar>
              <w:start w:w="0" w:type="dxa"/>
              <w:end w:w="0" w:type="dxa"/>
            </w:tcMar>
          </w:tcPr>
          <w:p>
            <w:pPr>
              <w:autoSpaceDN w:val="0"/>
              <w:autoSpaceDE w:val="0"/>
              <w:widowControl/>
              <w:spacing w:line="218" w:lineRule="auto" w:before="4" w:after="0"/>
              <w:ind w:left="0" w:right="96" w:firstLine="0"/>
              <w:jc w:val="right"/>
            </w:pPr>
            <w:r>
              <w:rPr>
                <w:rFonts w:ascii="Arial" w:hAnsi="Arial" w:eastAsia="Arial"/>
                <w:b w:val="0"/>
                <w:i w:val="0"/>
                <w:color w:val="000000"/>
                <w:sz w:val="22"/>
              </w:rPr>
              <w:t>(280,523,975</w:t>
            </w:r>
            <w:r>
              <w:rPr>
                <w:rFonts w:ascii="Calibri" w:hAnsi="Calibri" w:eastAsia="Calibri"/>
                <w:b w:val="0"/>
                <w:i w:val="0"/>
                <w:color w:val="000000"/>
                <w:sz w:val="22"/>
              </w:rPr>
              <w:t xml:space="preserve">) </w:t>
            </w:r>
          </w:p>
        </w:tc>
      </w:tr>
      <w:tr>
        <w:trPr>
          <w:trHeight w:hRule="exact" w:val="310"/>
        </w:trPr>
        <w:tc>
          <w:tcPr>
            <w:tcW w:type="dxa" w:w="4552"/>
            <w:tcBorders/>
            <w:tcMar>
              <w:start w:w="0" w:type="dxa"/>
              <w:end w:w="0" w:type="dxa"/>
            </w:tcMar>
          </w:tcPr>
          <w:p>
            <w:pPr>
              <w:autoSpaceDN w:val="0"/>
              <w:autoSpaceDE w:val="0"/>
              <w:widowControl/>
              <w:spacing w:line="222" w:lineRule="exact" w:before="48" w:after="0"/>
              <w:ind w:left="856" w:right="0" w:firstLine="0"/>
              <w:jc w:val="left"/>
            </w:pPr>
            <w:r>
              <w:rPr>
                <w:rFonts w:ascii="黑体" w:hAnsi="黑体" w:eastAsia="黑体"/>
                <w:b w:val="0"/>
                <w:i w:val="0"/>
                <w:color w:val="000000"/>
                <w:sz w:val="22"/>
              </w:rPr>
              <w:t>代理买卖证券款利息支出</w:t>
            </w:r>
          </w:p>
        </w:tc>
        <w:tc>
          <w:tcPr>
            <w:tcW w:type="dxa" w:w="2110"/>
            <w:tcBorders/>
            <w:tcMar>
              <w:start w:w="0" w:type="dxa"/>
              <w:end w:w="0" w:type="dxa"/>
            </w:tcMar>
          </w:tcPr>
          <w:p>
            <w:pPr>
              <w:autoSpaceDN w:val="0"/>
              <w:autoSpaceDE w:val="0"/>
              <w:widowControl/>
              <w:spacing w:line="235" w:lineRule="auto" w:before="54" w:after="0"/>
              <w:ind w:left="0" w:right="114" w:firstLine="0"/>
              <w:jc w:val="right"/>
            </w:pPr>
            <w:r>
              <w:rPr>
                <w:rFonts w:ascii="Arial" w:hAnsi="Arial" w:eastAsia="Arial"/>
                <w:b w:val="0"/>
                <w:i w:val="0"/>
                <w:color w:val="000000"/>
                <w:sz w:val="22"/>
              </w:rPr>
              <w:t xml:space="preserve">(14,741,299 ) </w:t>
            </w:r>
          </w:p>
        </w:tc>
        <w:tc>
          <w:tcPr>
            <w:tcW w:type="dxa" w:w="2078"/>
            <w:tcBorders/>
            <w:tcMar>
              <w:start w:w="0" w:type="dxa"/>
              <w:end w:w="0" w:type="dxa"/>
            </w:tcMar>
          </w:tcPr>
          <w:p>
            <w:pPr>
              <w:autoSpaceDN w:val="0"/>
              <w:autoSpaceDE w:val="0"/>
              <w:widowControl/>
              <w:spacing w:line="221" w:lineRule="auto" w:before="54" w:after="0"/>
              <w:ind w:left="0" w:right="96" w:firstLine="0"/>
              <w:jc w:val="right"/>
            </w:pPr>
            <w:r>
              <w:rPr>
                <w:rFonts w:ascii="Arial" w:hAnsi="Arial" w:eastAsia="Arial"/>
                <w:b w:val="0"/>
                <w:i w:val="0"/>
                <w:color w:val="000000"/>
                <w:sz w:val="22"/>
              </w:rPr>
              <w:t>(12,207,981</w:t>
            </w:r>
            <w:r>
              <w:rPr>
                <w:rFonts w:ascii="Calibri" w:hAnsi="Calibri" w:eastAsia="Calibri"/>
                <w:b w:val="0"/>
                <w:i w:val="0"/>
                <w:color w:val="000000"/>
                <w:sz w:val="22"/>
              </w:rPr>
              <w:t xml:space="preserve">) </w:t>
            </w:r>
          </w:p>
        </w:tc>
      </w:tr>
      <w:tr>
        <w:trPr>
          <w:trHeight w:hRule="exact" w:val="250"/>
        </w:trPr>
        <w:tc>
          <w:tcPr>
            <w:tcW w:type="dxa" w:w="4552"/>
            <w:tcBorders/>
            <w:tcMar>
              <w:start w:w="0" w:type="dxa"/>
              <w:end w:w="0" w:type="dxa"/>
            </w:tcMar>
          </w:tcPr>
          <w:p>
            <w:pPr>
              <w:autoSpaceDN w:val="0"/>
              <w:autoSpaceDE w:val="0"/>
              <w:widowControl/>
              <w:spacing w:line="220" w:lineRule="exact" w:before="24" w:after="0"/>
              <w:ind w:left="856" w:right="0" w:firstLine="0"/>
              <w:jc w:val="left"/>
            </w:pPr>
            <w:r>
              <w:rPr>
                <w:rFonts w:ascii="黑体" w:hAnsi="黑体" w:eastAsia="黑体"/>
                <w:b w:val="0"/>
                <w:i w:val="0"/>
                <w:color w:val="000000"/>
                <w:sz w:val="22"/>
              </w:rPr>
              <w:t>应付债券利息支出</w:t>
            </w: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30" w:after="0"/>
              <w:ind w:left="0" w:right="114" w:firstLine="0"/>
              <w:jc w:val="right"/>
            </w:pPr>
            <w:r>
              <w:rPr>
                <w:rFonts w:ascii="Arial" w:hAnsi="Arial" w:eastAsia="Arial"/>
                <w:b w:val="0"/>
                <w:i w:val="0"/>
                <w:color w:val="000000"/>
                <w:sz w:val="22"/>
              </w:rPr>
              <w:t xml:space="preserve">(498,065,803 ) </w:t>
            </w:r>
          </w:p>
        </w:tc>
        <w:tc>
          <w:tcPr>
            <w:tcW w:type="dxa" w:w="2078"/>
            <w:vMerge w:val="restart"/>
            <w:tcBorders/>
            <w:tcMar>
              <w:start w:w="0" w:type="dxa"/>
              <w:end w:w="0" w:type="dxa"/>
            </w:tcMar>
            <w:tcMar>
              <w:start w:w="0" w:type="dxa"/>
              <w:end w:w="0" w:type="dxa"/>
            </w:tcMar>
          </w:tcPr>
          <w:p>
            <w:pPr>
              <w:autoSpaceDN w:val="0"/>
              <w:autoSpaceDE w:val="0"/>
              <w:widowControl/>
              <w:spacing w:line="218" w:lineRule="auto" w:before="30" w:after="0"/>
              <w:ind w:left="0" w:right="96" w:firstLine="0"/>
              <w:jc w:val="right"/>
            </w:pPr>
            <w:r>
              <w:rPr>
                <w:rFonts w:ascii="Arial" w:hAnsi="Arial" w:eastAsia="Arial"/>
                <w:b w:val="0"/>
                <w:i w:val="0"/>
                <w:color w:val="000000"/>
                <w:sz w:val="22"/>
              </w:rPr>
              <w:t>(583,019,416</w:t>
            </w:r>
            <w:r>
              <w:rPr>
                <w:rFonts w:ascii="Calibri" w:hAnsi="Calibri" w:eastAsia="Calibri"/>
                <w:b w:val="0"/>
                <w:i w:val="0"/>
                <w:color w:val="000000"/>
                <w:sz w:val="22"/>
              </w:rPr>
              <w:t xml:space="preserve">) </w:t>
            </w:r>
          </w:p>
        </w:tc>
      </w:tr>
      <w:tr>
        <w:trPr>
          <w:trHeight w:hRule="exact" w:val="46"/>
        </w:trPr>
        <w:tc>
          <w:tcPr>
            <w:tcW w:type="dxa" w:w="4552"/>
            <w:vMerge w:val="restart"/>
            <w:tcBorders/>
            <w:tcMar>
              <w:start w:w="0" w:type="dxa"/>
              <w:end w:w="0" w:type="dxa"/>
            </w:tcMar>
            <w:tcMar>
              <w:start w:w="0" w:type="dxa"/>
              <w:end w:w="0" w:type="dxa"/>
            </w:tcMar>
          </w:tcPr>
          <w:p>
            <w:pPr>
              <w:autoSpaceDN w:val="0"/>
              <w:autoSpaceDE w:val="0"/>
              <w:widowControl/>
              <w:spacing w:line="220" w:lineRule="exact" w:before="60" w:after="0"/>
              <w:ind w:left="856" w:right="0" w:firstLine="0"/>
              <w:jc w:val="left"/>
            </w:pPr>
            <w:r>
              <w:rPr>
                <w:rFonts w:ascii="黑体" w:hAnsi="黑体" w:eastAsia="黑体"/>
                <w:b w:val="0"/>
                <w:i w:val="0"/>
                <w:color w:val="000000"/>
                <w:sz w:val="22"/>
              </w:rPr>
              <w:t>租赁负债利息支出</w:t>
            </w:r>
          </w:p>
        </w:tc>
        <w:tc>
          <w:tcPr>
            <w:tcW w:type="dxa" w:w="3009"/>
            <w:vMerge/>
            <w:tcBorders/>
          </w:tcPr>
          <w:p/>
        </w:tc>
        <w:tc>
          <w:tcPr>
            <w:tcW w:type="dxa" w:w="3009"/>
            <w:vMerge/>
            <w:tcBorders/>
          </w:tcPr>
          <w:p/>
        </w:tc>
      </w:tr>
      <w:tr>
        <w:trPr>
          <w:trHeight w:hRule="exact" w:val="234"/>
        </w:trPr>
        <w:tc>
          <w:tcPr>
            <w:tcW w:type="dxa" w:w="3009"/>
            <w:vMerge/>
            <w:tcBorders/>
          </w:tcPr>
          <w:p/>
        </w:tc>
        <w:tc>
          <w:tcPr>
            <w:tcW w:type="dxa" w:w="2110"/>
            <w:vMerge w:val="restart"/>
            <w:tcBorders/>
            <w:tcMar>
              <w:start w:w="0" w:type="dxa"/>
              <w:end w:w="0" w:type="dxa"/>
            </w:tcMar>
            <w:tcMar>
              <w:start w:w="0" w:type="dxa"/>
              <w:end w:w="0" w:type="dxa"/>
            </w:tcMar>
          </w:tcPr>
          <w:p>
            <w:pPr>
              <w:autoSpaceDN w:val="0"/>
              <w:autoSpaceDE w:val="0"/>
              <w:widowControl/>
              <w:spacing w:line="233" w:lineRule="auto" w:before="20" w:after="0"/>
              <w:ind w:left="0" w:right="114" w:firstLine="0"/>
              <w:jc w:val="right"/>
            </w:pPr>
            <w:r>
              <w:rPr>
                <w:rFonts w:ascii="Arial" w:hAnsi="Arial" w:eastAsia="Arial"/>
                <w:b w:val="0"/>
                <w:i w:val="0"/>
                <w:color w:val="000000"/>
                <w:sz w:val="22"/>
              </w:rPr>
              <w:t xml:space="preserve">(9,463,104 ) </w:t>
            </w:r>
          </w:p>
        </w:tc>
        <w:tc>
          <w:tcPr>
            <w:tcW w:type="dxa" w:w="2078"/>
            <w:vMerge w:val="restart"/>
            <w:tcBorders/>
            <w:tcMar>
              <w:start w:w="0" w:type="dxa"/>
              <w:end w:w="0" w:type="dxa"/>
            </w:tcMar>
            <w:tcMar>
              <w:start w:w="0" w:type="dxa"/>
              <w:end w:w="0" w:type="dxa"/>
            </w:tcMar>
          </w:tcPr>
          <w:p>
            <w:pPr>
              <w:autoSpaceDN w:val="0"/>
              <w:autoSpaceDE w:val="0"/>
              <w:widowControl/>
              <w:spacing w:line="218" w:lineRule="auto" w:before="20" w:after="0"/>
              <w:ind w:left="0" w:right="96" w:firstLine="0"/>
              <w:jc w:val="right"/>
            </w:pPr>
            <w:r>
              <w:rPr>
                <w:rFonts w:ascii="Arial" w:hAnsi="Arial" w:eastAsia="Arial"/>
                <w:b w:val="0"/>
                <w:i w:val="0"/>
                <w:color w:val="000000"/>
                <w:sz w:val="22"/>
              </w:rPr>
              <w:t>(11,732,004</w:t>
            </w:r>
            <w:r>
              <w:rPr>
                <w:rFonts w:ascii="Calibri" w:hAnsi="Calibri" w:eastAsia="Calibri"/>
                <w:b w:val="0"/>
                <w:i w:val="0"/>
                <w:color w:val="000000"/>
                <w:sz w:val="22"/>
              </w:rPr>
              <w:t xml:space="preserve">) </w:t>
            </w:r>
          </w:p>
        </w:tc>
      </w:tr>
      <w:tr>
        <w:trPr>
          <w:trHeight w:hRule="exact" w:val="52"/>
        </w:trPr>
        <w:tc>
          <w:tcPr>
            <w:tcW w:type="dxa" w:w="4552"/>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2" w:after="0"/>
              <w:ind w:left="856" w:right="0" w:firstLine="0"/>
              <w:jc w:val="left"/>
            </w:pPr>
            <w:r>
              <w:rPr>
                <w:rFonts w:ascii="黑体" w:hAnsi="黑体" w:eastAsia="黑体"/>
                <w:b w:val="0"/>
                <w:i w:val="0"/>
                <w:color w:val="000000"/>
                <w:sz w:val="22"/>
              </w:rPr>
              <w:t>其他利息支出</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2110"/>
            <w:tcBorders>
              <w:bottom w:sz="4.0" w:val="single" w:color="#000000"/>
            </w:tcBorders>
            <w:tcMar>
              <w:start w:w="0" w:type="dxa"/>
              <w:end w:w="0" w:type="dxa"/>
            </w:tcMar>
          </w:tcPr>
          <w:p>
            <w:pPr>
              <w:autoSpaceDN w:val="0"/>
              <w:autoSpaceDE w:val="0"/>
              <w:widowControl/>
              <w:spacing w:line="233" w:lineRule="auto" w:before="20" w:after="0"/>
              <w:ind w:left="0" w:right="114" w:firstLine="0"/>
              <w:jc w:val="right"/>
            </w:pPr>
            <w:r>
              <w:rPr>
                <w:rFonts w:ascii="Arial" w:hAnsi="Arial" w:eastAsia="Arial"/>
                <w:b w:val="0"/>
                <w:i w:val="0"/>
                <w:color w:val="000000"/>
                <w:sz w:val="22"/>
              </w:rPr>
              <w:t xml:space="preserve">(61,957,965 ) </w:t>
            </w:r>
          </w:p>
        </w:tc>
        <w:tc>
          <w:tcPr>
            <w:tcW w:type="dxa" w:w="2078"/>
            <w:tcBorders>
              <w:bottom w:sz="4.0" w:val="single" w:color="#000000"/>
            </w:tcBorders>
            <w:tcMar>
              <w:start w:w="0" w:type="dxa"/>
              <w:end w:w="0" w:type="dxa"/>
            </w:tcMar>
          </w:tcPr>
          <w:p>
            <w:pPr>
              <w:autoSpaceDN w:val="0"/>
              <w:autoSpaceDE w:val="0"/>
              <w:widowControl/>
              <w:spacing w:line="218" w:lineRule="auto" w:before="20" w:after="0"/>
              <w:ind w:left="0" w:right="96" w:firstLine="0"/>
              <w:jc w:val="right"/>
            </w:pPr>
            <w:r>
              <w:rPr>
                <w:rFonts w:ascii="Arial" w:hAnsi="Arial" w:eastAsia="Arial"/>
                <w:b w:val="0"/>
                <w:i w:val="0"/>
                <w:color w:val="000000"/>
                <w:sz w:val="22"/>
              </w:rPr>
              <w:t>(53,293,736</w:t>
            </w:r>
            <w:r>
              <w:rPr>
                <w:rFonts w:ascii="Calibri" w:hAnsi="Calibri" w:eastAsia="Calibri"/>
                <w:b w:val="0"/>
                <w:i w:val="0"/>
                <w:color w:val="000000"/>
                <w:sz w:val="22"/>
              </w:rPr>
              <w:t xml:space="preserve">) </w:t>
            </w:r>
          </w:p>
        </w:tc>
      </w:tr>
      <w:tr>
        <w:trPr>
          <w:trHeight w:hRule="exact" w:val="516"/>
        </w:trPr>
        <w:tc>
          <w:tcPr>
            <w:tcW w:type="dxa" w:w="4552"/>
            <w:tcBorders>
              <w:top w:sz="4.0" w:val="single" w:color="#000000"/>
              <w:bottom w:sz="4.0" w:val="single" w:color="#000000"/>
            </w:tcBorders>
            <w:tcMar>
              <w:start w:w="0" w:type="dxa"/>
              <w:end w:w="0" w:type="dxa"/>
            </w:tcMar>
          </w:tcPr>
          <w:p>
            <w:pPr>
              <w:autoSpaceDN w:val="0"/>
              <w:autoSpaceDE w:val="0"/>
              <w:widowControl/>
              <w:spacing w:line="222" w:lineRule="exact" w:before="248" w:after="0"/>
              <w:ind w:left="198" w:right="0" w:firstLine="0"/>
              <w:jc w:val="left"/>
            </w:pPr>
            <w:r>
              <w:rPr>
                <w:rFonts w:ascii="黑体" w:hAnsi="黑体" w:eastAsia="黑体"/>
                <w:b w:val="0"/>
                <w:i w:val="0"/>
                <w:color w:val="000000"/>
                <w:sz w:val="22"/>
              </w:rPr>
              <w:t>利息支出小计</w:t>
            </w:r>
          </w:p>
        </w:tc>
        <w:tc>
          <w:tcPr>
            <w:tcW w:type="dxa" w:w="2110"/>
            <w:tcBorders>
              <w:top w:sz="4.0" w:val="single" w:color="#000000"/>
              <w:bottom w:sz="4.0" w:val="single" w:color="#000000"/>
            </w:tcBorders>
            <w:tcMar>
              <w:start w:w="0" w:type="dxa"/>
              <w:end w:w="0" w:type="dxa"/>
            </w:tcMar>
          </w:tcPr>
          <w:p>
            <w:pPr>
              <w:autoSpaceDN w:val="0"/>
              <w:autoSpaceDE w:val="0"/>
              <w:widowControl/>
              <w:spacing w:line="233" w:lineRule="auto" w:before="256" w:after="0"/>
              <w:ind w:left="380" w:right="0" w:firstLine="0"/>
              <w:jc w:val="left"/>
            </w:pPr>
            <w:r>
              <w:rPr>
                <w:rFonts w:ascii="Arial" w:hAnsi="Arial" w:eastAsia="Arial"/>
                <w:b w:val="0"/>
                <w:i w:val="0"/>
                <w:color w:val="000000"/>
                <w:sz w:val="22"/>
              </w:rPr>
              <w:t xml:space="preserve">(1,034,458,994 ) </w:t>
            </w:r>
          </w:p>
        </w:tc>
        <w:tc>
          <w:tcPr>
            <w:tcW w:type="dxa" w:w="2078"/>
            <w:tcBorders>
              <w:top w:sz="4.0" w:val="single" w:color="#000000"/>
              <w:bottom w:sz="4.0" w:val="single" w:color="#000000"/>
            </w:tcBorders>
            <w:tcMar>
              <w:start w:w="0" w:type="dxa"/>
              <w:end w:w="0" w:type="dxa"/>
            </w:tcMar>
          </w:tcPr>
          <w:p>
            <w:pPr>
              <w:autoSpaceDN w:val="0"/>
              <w:autoSpaceDE w:val="0"/>
              <w:widowControl/>
              <w:spacing w:line="218" w:lineRule="auto" w:before="256" w:after="0"/>
              <w:ind w:left="386" w:right="0" w:firstLine="0"/>
              <w:jc w:val="left"/>
            </w:pPr>
            <w:r>
              <w:rPr>
                <w:rFonts w:ascii="Arial" w:hAnsi="Arial" w:eastAsia="Arial"/>
                <w:b w:val="0"/>
                <w:i w:val="0"/>
                <w:color w:val="000000"/>
                <w:sz w:val="22"/>
              </w:rPr>
              <w:t>(1,218,409,497</w:t>
            </w:r>
            <w:r>
              <w:rPr>
                <w:rFonts w:ascii="Calibri" w:hAnsi="Calibri" w:eastAsia="Calibri"/>
                <w:b w:val="0"/>
                <w:i w:val="0"/>
                <w:color w:val="000000"/>
                <w:sz w:val="22"/>
              </w:rPr>
              <w:t xml:space="preserve">) </w:t>
            </w:r>
          </w:p>
        </w:tc>
      </w:tr>
      <w:tr>
        <w:trPr>
          <w:trHeight w:hRule="exact" w:val="480"/>
        </w:trPr>
        <w:tc>
          <w:tcPr>
            <w:tcW w:type="dxa" w:w="4552"/>
            <w:tcBorders>
              <w:top w:sz="4.0" w:val="single" w:color="#000000"/>
              <w:bottom w:sz="4.0" w:val="single" w:color="#000000"/>
            </w:tcBorders>
            <w:tcMar>
              <w:start w:w="0" w:type="dxa"/>
              <w:end w:w="0" w:type="dxa"/>
            </w:tcMar>
          </w:tcPr>
          <w:p>
            <w:pPr>
              <w:autoSpaceDN w:val="0"/>
              <w:autoSpaceDE w:val="0"/>
              <w:widowControl/>
              <w:spacing w:line="246" w:lineRule="exact" w:before="212" w:after="0"/>
              <w:ind w:left="198" w:right="0" w:firstLine="0"/>
              <w:jc w:val="left"/>
            </w:pPr>
            <w:r>
              <w:rPr>
                <w:rFonts w:ascii="黑体" w:hAnsi="黑体" w:eastAsia="黑体"/>
                <w:b w:val="0"/>
                <w:i w:val="0"/>
                <w:color w:val="000000"/>
                <w:sz w:val="22"/>
              </w:rPr>
              <w:t>利息净（支出）</w:t>
            </w:r>
            <w:r>
              <w:rPr>
                <w:rFonts w:ascii="Calibri" w:hAnsi="Calibri" w:eastAsia="Calibri"/>
                <w:b w:val="0"/>
                <w:i w:val="0"/>
                <w:color w:val="000000"/>
                <w:sz w:val="22"/>
              </w:rPr>
              <w:t>/</w:t>
            </w:r>
            <w:r>
              <w:rPr>
                <w:rFonts w:ascii="黑体" w:hAnsi="黑体" w:eastAsia="黑体"/>
                <w:b w:val="0"/>
                <w:i w:val="0"/>
                <w:color w:val="000000"/>
                <w:sz w:val="22"/>
              </w:rPr>
              <w:t>收入</w:t>
            </w:r>
          </w:p>
        </w:tc>
        <w:tc>
          <w:tcPr>
            <w:tcW w:type="dxa" w:w="2110"/>
            <w:tcBorders>
              <w:top w:sz="4.0" w:val="single" w:color="#000000"/>
              <w:bottom w:sz="4.0" w:val="single" w:color="#000000"/>
            </w:tcBorders>
            <w:tcMar>
              <w:start w:w="0" w:type="dxa"/>
              <w:end w:w="0" w:type="dxa"/>
            </w:tcMar>
          </w:tcPr>
          <w:p>
            <w:pPr>
              <w:autoSpaceDN w:val="0"/>
              <w:autoSpaceDE w:val="0"/>
              <w:widowControl/>
              <w:spacing w:line="233" w:lineRule="auto" w:before="222" w:after="0"/>
              <w:ind w:left="0" w:right="114" w:firstLine="0"/>
              <w:jc w:val="right"/>
            </w:pPr>
            <w:r>
              <w:rPr>
                <w:rFonts w:ascii="Arial" w:hAnsi="Arial" w:eastAsia="Arial"/>
                <w:b w:val="0"/>
                <w:i w:val="0"/>
                <w:color w:val="000000"/>
                <w:sz w:val="22"/>
              </w:rPr>
              <w:t xml:space="preserve">(55,638,756 ) </w:t>
            </w:r>
          </w:p>
        </w:tc>
        <w:tc>
          <w:tcPr>
            <w:tcW w:type="dxa" w:w="2078"/>
            <w:tcBorders>
              <w:top w:sz="4.0" w:val="single" w:color="#000000"/>
              <w:bottom w:sz="4.0" w:val="single" w:color="#000000"/>
            </w:tcBorders>
            <w:tcMar>
              <w:start w:w="0" w:type="dxa"/>
              <w:end w:w="0" w:type="dxa"/>
            </w:tcMar>
          </w:tcPr>
          <w:p>
            <w:pPr>
              <w:autoSpaceDN w:val="0"/>
              <w:autoSpaceDE w:val="0"/>
              <w:widowControl/>
              <w:spacing w:line="218" w:lineRule="auto" w:before="222" w:after="0"/>
              <w:ind w:left="0" w:right="96" w:firstLine="0"/>
              <w:jc w:val="right"/>
            </w:pPr>
            <w:r>
              <w:rPr>
                <w:rFonts w:ascii="Arial" w:hAnsi="Arial" w:eastAsia="Arial"/>
                <w:b w:val="0"/>
                <w:i w:val="0"/>
                <w:color w:val="000000"/>
                <w:sz w:val="22"/>
              </w:rPr>
              <w:t>(137,573,748</w:t>
            </w:r>
            <w:r>
              <w:rPr>
                <w:rFonts w:ascii="Calibri" w:hAnsi="Calibri" w:eastAsia="Calibri"/>
                <w:b w:val="0"/>
                <w:i w:val="0"/>
                <w:color w:val="000000"/>
                <w:sz w:val="22"/>
              </w:rPr>
              <w:t xml:space="preserve">) </w:t>
            </w:r>
          </w:p>
        </w:tc>
      </w:tr>
      <w:tr>
        <w:trPr>
          <w:trHeight w:hRule="exact" w:val="52"/>
        </w:trPr>
        <w:tc>
          <w:tcPr>
            <w:tcW w:type="dxa" w:w="4552"/>
            <w:tcBorders>
              <w:top w:sz="4.0" w:val="single" w:color="#000000"/>
            </w:tcBorders>
            <w:tcMar>
              <w:start w:w="0" w:type="dxa"/>
              <w:end w:w="0" w:type="dxa"/>
            </w:tcMar>
          </w:tcPr>
          <w:p/>
        </w:tc>
        <w:tc>
          <w:tcPr>
            <w:tcW w:type="dxa" w:w="2110"/>
            <w:tcBorders>
              <w:top w:sz="4.0" w:val="single" w:color="#000000"/>
            </w:tcBorders>
            <w:tcMar>
              <w:start w:w="0" w:type="dxa"/>
              <w:end w:w="0" w:type="dxa"/>
            </w:tcMar>
          </w:tcPr>
          <w:p/>
        </w:tc>
        <w:tc>
          <w:tcPr>
            <w:tcW w:type="dxa" w:w="2078"/>
            <w:tcBorders>
              <w:top w:sz="4.0" w:val="single" w:color="#000000"/>
            </w:tcBorders>
            <w:tcMar>
              <w:start w:w="0" w:type="dxa"/>
              <w:end w:w="0" w:type="dxa"/>
            </w:tcMar>
          </w:tcPr>
          <w:p/>
        </w:tc>
      </w:tr>
    </w:tbl>
    <w:p>
      <w:pPr>
        <w:autoSpaceDN w:val="0"/>
        <w:autoSpaceDE w:val="0"/>
        <w:widowControl/>
        <w:spacing w:line="233" w:lineRule="auto" w:before="1466" w:after="0"/>
        <w:ind w:left="0" w:right="0" w:firstLine="0"/>
        <w:jc w:val="center"/>
      </w:pPr>
      <w:r>
        <w:rPr>
          <w:rFonts w:ascii="Arial" w:hAnsi="Arial" w:eastAsia="Arial"/>
          <w:b w:val="0"/>
          <w:i w:val="0"/>
          <w:color w:val="000000"/>
          <w:sz w:val="20"/>
        </w:rPr>
        <w:t xml:space="preserve">236 </w:t>
      </w:r>
    </w:p>
    <w:p>
      <w:pPr>
        <w:sectPr>
          <w:pgSz w:w="11906" w:h="16841"/>
          <w:pgMar w:top="1004" w:right="1440" w:bottom="360" w:left="1440" w:header="720" w:footer="720" w:gutter="0"/>
          <w:cols/>
          <w:docGrid w:linePitch="360"/>
        </w:sectPr>
      </w:pPr>
    </w:p>
    <w:p>
      <w:pPr>
        <w:autoSpaceDN w:val="0"/>
        <w:autoSpaceDE w:val="0"/>
        <w:widowControl/>
        <w:spacing w:line="220" w:lineRule="exact" w:before="0" w:after="642"/>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58"/>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6"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6"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100"/>
        </w:trPr>
        <w:tc>
          <w:tcPr>
            <w:tcW w:type="dxa" w:w="760"/>
            <w:tcBorders/>
            <w:tcMar>
              <w:start w:w="0" w:type="dxa"/>
              <w:end w:w="0" w:type="dxa"/>
            </w:tcMar>
          </w:tcPr>
          <w:p>
            <w:pPr>
              <w:autoSpaceDN w:val="0"/>
              <w:autoSpaceDE w:val="0"/>
              <w:widowControl/>
              <w:spacing w:line="248" w:lineRule="exact" w:before="170" w:after="0"/>
              <w:ind w:left="0" w:right="0" w:firstLine="0"/>
              <w:jc w:val="center"/>
            </w:pPr>
            <w:r>
              <w:rPr>
                <w:rFonts w:ascii="Arial,Bold" w:hAnsi="Arial,Bold" w:eastAsia="Arial,Bold"/>
                <w:b/>
                <w:i w:val="0"/>
                <w:color w:val="000000"/>
                <w:sz w:val="22"/>
              </w:rPr>
              <w:t xml:space="preserve">42. </w:t>
            </w:r>
          </w:p>
        </w:tc>
        <w:tc>
          <w:tcPr>
            <w:tcW w:type="dxa" w:w="3804"/>
            <w:tcBorders/>
            <w:tcMar>
              <w:start w:w="0" w:type="dxa"/>
              <w:end w:w="0" w:type="dxa"/>
            </w:tcMar>
          </w:tcPr>
          <w:p>
            <w:pPr>
              <w:autoSpaceDN w:val="0"/>
              <w:autoSpaceDE w:val="0"/>
              <w:widowControl/>
              <w:spacing w:line="220" w:lineRule="exact" w:before="182" w:after="0"/>
              <w:ind w:left="166" w:right="0" w:firstLine="0"/>
              <w:jc w:val="left"/>
            </w:pPr>
            <w:r>
              <w:rPr>
                <w:rFonts w:ascii="黑体" w:hAnsi="黑体" w:eastAsia="黑体"/>
                <w:b w:val="0"/>
                <w:i w:val="0"/>
                <w:color w:val="000000"/>
                <w:sz w:val="22"/>
              </w:rPr>
              <w:t>投资收益</w:t>
            </w:r>
          </w:p>
        </w:tc>
        <w:tc>
          <w:tcPr>
            <w:tcW w:type="dxa" w:w="2256"/>
            <w:vMerge/>
            <w:tcBorders/>
          </w:tcPr>
          <w:p/>
        </w:tc>
        <w:tc>
          <w:tcPr>
            <w:tcW w:type="dxa" w:w="2256"/>
            <w:vMerge/>
            <w:tcBorders/>
          </w:tcPr>
          <w:p/>
        </w:tc>
      </w:tr>
      <w:tr>
        <w:trPr>
          <w:trHeight w:hRule="exact" w:val="380"/>
        </w:trPr>
        <w:tc>
          <w:tcPr>
            <w:tcW w:type="dxa" w:w="4564"/>
            <w:gridSpan w:val="2"/>
            <w:tcBorders/>
            <w:tcMar>
              <w:start w:w="0" w:type="dxa"/>
              <w:end w:w="0" w:type="dxa"/>
            </w:tcMar>
            <w:tcMar>
              <w:start w:w="0" w:type="dxa"/>
              <w:end w:w="0" w:type="dxa"/>
            </w:tcMar>
          </w:tcPr>
          <w:p>
            <w:pPr>
              <w:autoSpaceDN w:val="0"/>
              <w:autoSpaceDE w:val="0"/>
              <w:widowControl/>
              <w:spacing w:line="222" w:lineRule="exact" w:before="156" w:after="0"/>
              <w:ind w:left="198" w:right="0" w:firstLine="0"/>
              <w:jc w:val="left"/>
            </w:pPr>
            <w:r>
              <w:rPr>
                <w:rFonts w:ascii="黑体" w:hAnsi="黑体" w:eastAsia="黑体"/>
                <w:b w:val="0"/>
                <w:i w:val="0"/>
                <w:color w:val="000000"/>
                <w:sz w:val="22"/>
              </w:rPr>
              <w:t>权益法核算的长期股权投资损益</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184" w:firstLine="0"/>
              <w:jc w:val="right"/>
            </w:pPr>
            <w:r>
              <w:rPr>
                <w:rFonts w:ascii="Arial" w:hAnsi="Arial" w:eastAsia="Arial"/>
                <w:b w:val="0"/>
                <w:i w:val="0"/>
                <w:color w:val="000000"/>
                <w:sz w:val="22"/>
              </w:rPr>
              <w:t xml:space="preserve">11,055,327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224" w:firstLine="0"/>
              <w:jc w:val="right"/>
            </w:pPr>
            <w:r>
              <w:rPr>
                <w:rFonts w:ascii="Arial" w:hAnsi="Arial" w:eastAsia="Arial"/>
                <w:b w:val="0"/>
                <w:i w:val="0"/>
                <w:color w:val="000000"/>
                <w:sz w:val="22"/>
              </w:rPr>
              <w:t>27,617,591</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2" w:after="0"/>
              <w:ind w:left="198" w:right="0" w:firstLine="0"/>
              <w:jc w:val="left"/>
            </w:pPr>
            <w:r>
              <w:rPr>
                <w:rFonts w:ascii="黑体" w:hAnsi="黑体" w:eastAsia="黑体"/>
                <w:b w:val="0"/>
                <w:i w:val="0"/>
                <w:color w:val="000000"/>
                <w:sz w:val="22"/>
              </w:rPr>
              <w:t>处置长期股权投资产生的投资收益</w:t>
            </w:r>
          </w:p>
        </w:tc>
        <w:tc>
          <w:tcPr>
            <w:tcW w:type="dxa" w:w="2256"/>
            <w:vMerge/>
            <w:tcBorders/>
          </w:tcPr>
          <w:p/>
        </w:tc>
        <w:tc>
          <w:tcPr>
            <w:tcW w:type="dxa" w:w="2256"/>
            <w:vMerge/>
            <w:tcBorders/>
          </w:tcPr>
          <w:p/>
        </w:tc>
      </w:tr>
      <w:tr>
        <w:trPr>
          <w:trHeight w:hRule="exact" w:val="248"/>
        </w:trPr>
        <w:tc>
          <w:tcPr>
            <w:tcW w:type="dxa" w:w="4512"/>
            <w:gridSpan w:val="2"/>
            <w:vMerge/>
            <w:tcBorders/>
          </w:tcPr>
          <w:p/>
        </w:tc>
        <w:tc>
          <w:tcPr>
            <w:tcW w:type="dxa" w:w="2098"/>
            <w:tcBorders/>
            <w:tcMar>
              <w:start w:w="0" w:type="dxa"/>
              <w:end w:w="0" w:type="dxa"/>
            </w:tcMar>
          </w:tcPr>
          <w:p>
            <w:pPr>
              <w:autoSpaceDN w:val="0"/>
              <w:autoSpaceDE w:val="0"/>
              <w:widowControl/>
              <w:spacing w:line="235" w:lineRule="auto" w:before="0" w:after="0"/>
              <w:ind w:left="0" w:right="92" w:firstLine="0"/>
              <w:jc w:val="right"/>
            </w:pPr>
            <w:r>
              <w:rPr>
                <w:rFonts w:ascii="Arial" w:hAnsi="Arial" w:eastAsia="Arial"/>
                <w:b w:val="0"/>
                <w:i w:val="0"/>
                <w:color w:val="000000"/>
                <w:sz w:val="22"/>
              </w:rPr>
              <w:t xml:space="preserve">(6,487,567) </w:t>
            </w:r>
          </w:p>
        </w:tc>
        <w:tc>
          <w:tcPr>
            <w:tcW w:type="dxa" w:w="2098"/>
            <w:tcBorders/>
            <w:tcMar>
              <w:start w:w="0" w:type="dxa"/>
              <w:end w:w="0" w:type="dxa"/>
            </w:tcMar>
          </w:tcPr>
          <w:p>
            <w:pPr>
              <w:autoSpaceDN w:val="0"/>
              <w:autoSpaceDE w:val="0"/>
              <w:widowControl/>
              <w:spacing w:line="235" w:lineRule="auto" w:before="0" w:after="0"/>
              <w:ind w:left="0" w:right="228" w:firstLine="0"/>
              <w:jc w:val="right"/>
            </w:pPr>
            <w:r>
              <w:rPr>
                <w:rFonts w:ascii="Arial" w:hAnsi="Arial" w:eastAsia="Arial"/>
                <w:b w:val="0"/>
                <w:i w:val="0"/>
                <w:color w:val="000000"/>
                <w:sz w:val="22"/>
              </w:rPr>
              <w:t>-</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金融工具投资收益</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466" w:right="0" w:firstLine="0"/>
              <w:jc w:val="left"/>
            </w:pPr>
            <w:r>
              <w:rPr>
                <w:rFonts w:ascii="Arial" w:hAnsi="Arial" w:eastAsia="Arial"/>
                <w:b w:val="0"/>
                <w:i w:val="0"/>
                <w:color w:val="000000"/>
                <w:sz w:val="22"/>
              </w:rPr>
              <w:t xml:space="preserve">1,504,761,727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464" w:right="0" w:firstLine="0"/>
              <w:jc w:val="left"/>
            </w:pPr>
            <w:r>
              <w:rPr>
                <w:rFonts w:ascii="Arial" w:hAnsi="Arial" w:eastAsia="Arial"/>
                <w:b w:val="0"/>
                <w:i w:val="0"/>
                <w:color w:val="000000"/>
                <w:sz w:val="22"/>
              </w:rPr>
              <w:t>1,628,398,746</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其中：持有期间取得的收益</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184" w:firstLine="0"/>
              <w:jc w:val="right"/>
            </w:pPr>
            <w:r>
              <w:rPr>
                <w:rFonts w:ascii="Arial" w:hAnsi="Arial" w:eastAsia="Arial"/>
                <w:b w:val="0"/>
                <w:i w:val="0"/>
                <w:color w:val="000000"/>
                <w:sz w:val="22"/>
              </w:rPr>
              <w:t xml:space="preserve">804,147,637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480" w:right="0" w:firstLine="0"/>
              <w:jc w:val="left"/>
            </w:pPr>
            <w:r>
              <w:rPr>
                <w:rFonts w:ascii="Arial" w:hAnsi="Arial" w:eastAsia="Arial"/>
                <w:b w:val="0"/>
                <w:i w:val="0"/>
                <w:color w:val="000000"/>
                <w:sz w:val="22"/>
              </w:rPr>
              <w:t>1,178,457,211</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858" w:right="0" w:firstLine="0"/>
              <w:jc w:val="left"/>
            </w:pPr>
            <w:r>
              <w:rPr>
                <w:rFonts w:ascii="黑体" w:hAnsi="黑体" w:eastAsia="黑体"/>
                <w:b w:val="0"/>
                <w:i w:val="0"/>
                <w:color w:val="000000"/>
                <w:sz w:val="22"/>
              </w:rPr>
              <w:t>其中：交易性金融工具</w:t>
            </w:r>
          </w:p>
        </w:tc>
        <w:tc>
          <w:tcPr>
            <w:tcW w:type="dxa" w:w="2256"/>
            <w:vMerge/>
            <w:tcBorders/>
          </w:tcPr>
          <w:p/>
        </w:tc>
        <w:tc>
          <w:tcPr>
            <w:tcW w:type="dxa" w:w="2256"/>
            <w:vMerge/>
            <w:tcBorders/>
          </w:tcPr>
          <w:p/>
        </w:tc>
      </w:tr>
      <w:tr>
        <w:trPr>
          <w:trHeight w:hRule="exact" w:val="234"/>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84" w:firstLine="0"/>
              <w:jc w:val="right"/>
            </w:pPr>
            <w:r>
              <w:rPr>
                <w:rFonts w:ascii="Arial" w:hAnsi="Arial" w:eastAsia="Arial"/>
                <w:b w:val="0"/>
                <w:i w:val="0"/>
                <w:color w:val="000000"/>
                <w:sz w:val="22"/>
              </w:rPr>
              <w:t xml:space="preserve">806,682,039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480" w:right="0" w:firstLine="0"/>
              <w:jc w:val="left"/>
            </w:pPr>
            <w:r>
              <w:rPr>
                <w:rFonts w:ascii="Arial" w:hAnsi="Arial" w:eastAsia="Arial"/>
                <w:b w:val="0"/>
                <w:i w:val="0"/>
                <w:color w:val="000000"/>
                <w:sz w:val="22"/>
              </w:rPr>
              <w:t>1,181,911,559</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0" w:right="1284" w:firstLine="0"/>
              <w:jc w:val="right"/>
            </w:pPr>
            <w:r>
              <w:rPr>
                <w:rFonts w:ascii="黑体" w:hAnsi="黑体" w:eastAsia="黑体"/>
                <w:b w:val="0"/>
                <w:i w:val="0"/>
                <w:color w:val="000000"/>
                <w:sz w:val="22"/>
              </w:rPr>
              <w:t>其他权益工具投资</w:t>
            </w:r>
          </w:p>
        </w:tc>
        <w:tc>
          <w:tcPr>
            <w:tcW w:type="dxa" w:w="2256"/>
            <w:vMerge/>
            <w:tcBorders/>
          </w:tcPr>
          <w:p/>
        </w:tc>
        <w:tc>
          <w:tcPr>
            <w:tcW w:type="dxa" w:w="2256"/>
            <w:vMerge/>
            <w:tcBorders/>
          </w:tcPr>
          <w:p/>
        </w:tc>
      </w:tr>
      <w:tr>
        <w:trPr>
          <w:trHeight w:hRule="exact" w:val="248"/>
        </w:trPr>
        <w:tc>
          <w:tcPr>
            <w:tcW w:type="dxa" w:w="4512"/>
            <w:gridSpan w:val="2"/>
            <w:vMerge/>
            <w:tcBorders/>
          </w:tcPr>
          <w:p/>
        </w:tc>
        <w:tc>
          <w:tcPr>
            <w:tcW w:type="dxa" w:w="2098"/>
            <w:tcBorders/>
            <w:tcMar>
              <w:start w:w="0" w:type="dxa"/>
              <w:end w:w="0" w:type="dxa"/>
            </w:tcMar>
          </w:tcPr>
          <w:p>
            <w:pPr>
              <w:autoSpaceDN w:val="0"/>
              <w:autoSpaceDE w:val="0"/>
              <w:widowControl/>
              <w:spacing w:line="233" w:lineRule="auto" w:before="2" w:after="0"/>
              <w:ind w:left="0" w:right="184" w:firstLine="0"/>
              <w:jc w:val="right"/>
            </w:pPr>
            <w:r>
              <w:rPr>
                <w:rFonts w:ascii="Arial" w:hAnsi="Arial" w:eastAsia="Arial"/>
                <w:b w:val="0"/>
                <w:i w:val="0"/>
                <w:color w:val="000000"/>
                <w:sz w:val="22"/>
              </w:rPr>
              <w:t xml:space="preserve">394,692 </w:t>
            </w:r>
          </w:p>
        </w:tc>
        <w:tc>
          <w:tcPr>
            <w:tcW w:type="dxa" w:w="2098"/>
            <w:tcBorders/>
            <w:tcMar>
              <w:start w:w="0" w:type="dxa"/>
              <w:end w:w="0" w:type="dxa"/>
            </w:tcMar>
          </w:tcPr>
          <w:p>
            <w:pPr>
              <w:autoSpaceDN w:val="0"/>
              <w:autoSpaceDE w:val="0"/>
              <w:widowControl/>
              <w:spacing w:line="233" w:lineRule="auto" w:before="2" w:after="0"/>
              <w:ind w:left="0" w:right="224" w:firstLine="0"/>
              <w:jc w:val="right"/>
            </w:pPr>
            <w:r>
              <w:rPr>
                <w:rFonts w:ascii="Arial" w:hAnsi="Arial" w:eastAsia="Arial"/>
                <w:b w:val="0"/>
                <w:i w:val="0"/>
                <w:color w:val="000000"/>
                <w:sz w:val="22"/>
              </w:rPr>
              <w:t>223,979</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2" w:lineRule="exact" w:before="50" w:after="0"/>
              <w:ind w:left="0" w:right="1724" w:firstLine="0"/>
              <w:jc w:val="right"/>
            </w:pPr>
            <w:r>
              <w:rPr>
                <w:rFonts w:ascii="黑体" w:hAnsi="黑体" w:eastAsia="黑体"/>
                <w:b w:val="0"/>
                <w:i w:val="0"/>
                <w:color w:val="000000"/>
                <w:sz w:val="22"/>
              </w:rPr>
              <w:t>衍生金融工具</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92" w:firstLine="0"/>
              <w:jc w:val="right"/>
            </w:pPr>
            <w:r>
              <w:rPr>
                <w:rFonts w:ascii="Arial" w:hAnsi="Arial" w:eastAsia="Arial"/>
                <w:b w:val="0"/>
                <w:i w:val="0"/>
                <w:color w:val="000000"/>
                <w:sz w:val="22"/>
              </w:rPr>
              <w:t xml:space="preserve">(2,929,094)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92" w:firstLine="0"/>
              <w:jc w:val="right"/>
            </w:pPr>
            <w:r>
              <w:rPr>
                <w:rFonts w:ascii="Arial" w:hAnsi="Arial" w:eastAsia="Arial"/>
                <w:b w:val="0"/>
                <w:i w:val="0"/>
                <w:color w:val="000000"/>
                <w:sz w:val="22"/>
              </w:rPr>
              <w:t xml:space="preserve">(3,678,327) </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4" w:after="0"/>
              <w:ind w:left="858" w:right="0" w:firstLine="0"/>
              <w:jc w:val="left"/>
            </w:pPr>
            <w:r>
              <w:rPr>
                <w:rFonts w:ascii="黑体" w:hAnsi="黑体" w:eastAsia="黑体"/>
                <w:b w:val="0"/>
                <w:i w:val="0"/>
                <w:color w:val="000000"/>
                <w:sz w:val="22"/>
              </w:rPr>
              <w:t>处置金融工具取得的收益</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700,614,090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449,941,535</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858" w:right="0" w:firstLine="0"/>
              <w:jc w:val="left"/>
            </w:pPr>
            <w:r>
              <w:rPr>
                <w:rFonts w:ascii="黑体" w:hAnsi="黑体" w:eastAsia="黑体"/>
                <w:b w:val="0"/>
                <w:i w:val="0"/>
                <w:color w:val="000000"/>
                <w:sz w:val="22"/>
              </w:rPr>
              <w:t>其中：交易性金融工具</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1,179,248,772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485,764,965</w:t>
            </w:r>
          </w:p>
        </w:tc>
      </w:tr>
      <w:tr>
        <w:trPr>
          <w:trHeight w:hRule="exact" w:val="5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0" w:right="1724" w:firstLine="0"/>
              <w:jc w:val="right"/>
            </w:pPr>
            <w:r>
              <w:rPr>
                <w:rFonts w:ascii="黑体" w:hAnsi="黑体" w:eastAsia="黑体"/>
                <w:b w:val="0"/>
                <w:i w:val="0"/>
                <w:color w:val="000000"/>
                <w:sz w:val="22"/>
              </w:rPr>
              <w:t>其他债权投资</w:t>
            </w:r>
          </w:p>
        </w:tc>
        <w:tc>
          <w:tcPr>
            <w:tcW w:type="dxa" w:w="2256"/>
            <w:vMerge/>
            <w:tcBorders/>
          </w:tcPr>
          <w:p/>
        </w:tc>
        <w:tc>
          <w:tcPr>
            <w:tcW w:type="dxa" w:w="2256"/>
            <w:vMerge/>
            <w:tcBorders/>
          </w:tcPr>
          <w:p/>
        </w:tc>
      </w:tr>
      <w:tr>
        <w:trPr>
          <w:trHeight w:hRule="exact" w:val="246"/>
        </w:trPr>
        <w:tc>
          <w:tcPr>
            <w:tcW w:type="dxa" w:w="4512"/>
            <w:gridSpan w:val="2"/>
            <w:vMerge/>
            <w:tcBorders/>
          </w:tcPr>
          <w:p/>
        </w:tc>
        <w:tc>
          <w:tcPr>
            <w:tcW w:type="dxa" w:w="2098"/>
            <w:tcBorders/>
            <w:tcMar>
              <w:start w:w="0" w:type="dxa"/>
              <w:end w:w="0" w:type="dxa"/>
            </w:tcMar>
          </w:tcPr>
          <w:p>
            <w:pPr>
              <w:autoSpaceDN w:val="0"/>
              <w:autoSpaceDE w:val="0"/>
              <w:widowControl/>
              <w:spacing w:line="233" w:lineRule="auto" w:before="0" w:after="0"/>
              <w:ind w:left="0" w:right="222" w:firstLine="0"/>
              <w:jc w:val="right"/>
            </w:pPr>
            <w:r>
              <w:rPr>
                <w:rFonts w:ascii="Arial" w:hAnsi="Arial" w:eastAsia="Arial"/>
                <w:b w:val="0"/>
                <w:i w:val="0"/>
                <w:color w:val="000000"/>
                <w:sz w:val="22"/>
              </w:rPr>
              <w:t>783,451</w:t>
            </w:r>
          </w:p>
        </w:tc>
        <w:tc>
          <w:tcPr>
            <w:tcW w:type="dxa" w:w="2098"/>
            <w:tcBorders/>
            <w:tcMar>
              <w:start w:w="0" w:type="dxa"/>
              <w:end w:w="0" w:type="dxa"/>
            </w:tcMar>
          </w:tcPr>
          <w:p>
            <w:pPr>
              <w:autoSpaceDN w:val="0"/>
              <w:autoSpaceDE w:val="0"/>
              <w:widowControl/>
              <w:spacing w:line="233" w:lineRule="auto" w:before="0" w:after="0"/>
              <w:ind w:left="0" w:right="224" w:firstLine="0"/>
              <w:jc w:val="right"/>
            </w:pPr>
            <w:r>
              <w:rPr>
                <w:rFonts w:ascii="Arial" w:hAnsi="Arial" w:eastAsia="Arial"/>
                <w:b w:val="0"/>
                <w:i w:val="0"/>
                <w:color w:val="000000"/>
                <w:sz w:val="22"/>
              </w:rPr>
              <w:t>5,192,119</w:t>
            </w:r>
          </w:p>
        </w:tc>
      </w:tr>
      <w:tr>
        <w:trPr>
          <w:trHeight w:hRule="exact" w:val="312"/>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50" w:after="0"/>
              <w:ind w:left="0" w:right="1724" w:firstLine="0"/>
              <w:jc w:val="right"/>
            </w:pPr>
            <w:r>
              <w:rPr>
                <w:rFonts w:ascii="黑体" w:hAnsi="黑体" w:eastAsia="黑体"/>
                <w:b w:val="0"/>
                <w:i w:val="0"/>
                <w:color w:val="000000"/>
                <w:sz w:val="22"/>
              </w:rPr>
              <w:t>衍生金融工具</w:t>
            </w:r>
          </w:p>
        </w:tc>
        <w:tc>
          <w:tcPr>
            <w:tcW w:type="dxa" w:w="2098"/>
            <w:tcBorders>
              <w:bottom w:sz="4.0" w:val="single" w:color="#000000"/>
            </w:tcBorders>
            <w:tcMar>
              <w:start w:w="0" w:type="dxa"/>
              <w:end w:w="0" w:type="dxa"/>
            </w:tcMar>
          </w:tcPr>
          <w:p>
            <w:pPr>
              <w:autoSpaceDN w:val="0"/>
              <w:autoSpaceDE w:val="0"/>
              <w:widowControl/>
              <w:spacing w:line="233" w:lineRule="auto" w:before="60" w:after="0"/>
              <w:ind w:left="0" w:right="92" w:firstLine="0"/>
              <w:jc w:val="right"/>
            </w:pPr>
            <w:r>
              <w:rPr>
                <w:rFonts w:ascii="Arial" w:hAnsi="Arial" w:eastAsia="Arial"/>
                <w:b w:val="0"/>
                <w:i w:val="0"/>
                <w:color w:val="000000"/>
                <w:sz w:val="22"/>
              </w:rPr>
              <w:t xml:space="preserve">(479,418,133) </w:t>
            </w:r>
          </w:p>
        </w:tc>
        <w:tc>
          <w:tcPr>
            <w:tcW w:type="dxa" w:w="2098"/>
            <w:tcBorders>
              <w:bottom w:sz="4.0" w:val="single" w:color="#000000"/>
            </w:tcBorders>
            <w:tcMar>
              <w:start w:w="0" w:type="dxa"/>
              <w:end w:w="0" w:type="dxa"/>
            </w:tcMar>
          </w:tcPr>
          <w:p>
            <w:pPr>
              <w:autoSpaceDN w:val="0"/>
              <w:autoSpaceDE w:val="0"/>
              <w:widowControl/>
              <w:spacing w:line="233" w:lineRule="auto" w:before="60" w:after="0"/>
              <w:ind w:left="0" w:right="92" w:firstLine="0"/>
              <w:jc w:val="right"/>
            </w:pPr>
            <w:r>
              <w:rPr>
                <w:rFonts w:ascii="Arial" w:hAnsi="Arial" w:eastAsia="Arial"/>
                <w:b w:val="0"/>
                <w:i w:val="0"/>
                <w:color w:val="000000"/>
                <w:sz w:val="22"/>
              </w:rPr>
              <w:t xml:space="preserve">(41,015,549) </w:t>
            </w:r>
          </w:p>
        </w:tc>
      </w:tr>
      <w:tr>
        <w:trPr>
          <w:trHeight w:hRule="exact" w:val="550"/>
        </w:trPr>
        <w:tc>
          <w:tcPr>
            <w:tcW w:type="dxa" w:w="4564"/>
            <w:gridSpan w:val="2"/>
            <w:tcBorders>
              <w:top w:sz="4.0" w:val="single" w:color="#000000"/>
              <w:bottom w:sz="3.200000000000273" w:val="single" w:color="#000000"/>
            </w:tcBorders>
            <w:tcMar>
              <w:start w:w="0" w:type="dxa"/>
              <w:end w:w="0" w:type="dxa"/>
            </w:tcMar>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466" w:right="0" w:firstLine="0"/>
              <w:jc w:val="left"/>
            </w:pPr>
            <w:r>
              <w:rPr>
                <w:rFonts w:ascii="Arial" w:hAnsi="Arial" w:eastAsia="Arial"/>
                <w:b w:val="0"/>
                <w:i w:val="0"/>
                <w:color w:val="000000"/>
                <w:sz w:val="22"/>
              </w:rPr>
              <w:t xml:space="preserve">1,509,329,487 </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464" w:right="0" w:firstLine="0"/>
              <w:jc w:val="left"/>
            </w:pPr>
            <w:r>
              <w:rPr>
                <w:rFonts w:ascii="Arial" w:hAnsi="Arial" w:eastAsia="Arial"/>
                <w:b w:val="0"/>
                <w:i w:val="0"/>
                <w:color w:val="000000"/>
                <w:sz w:val="22"/>
              </w:rPr>
              <w:t>1,656,016,337</w:t>
            </w:r>
          </w:p>
        </w:tc>
      </w:tr>
      <w:tr>
        <w:trPr>
          <w:trHeight w:hRule="exact" w:val="1218"/>
        </w:trPr>
        <w:tc>
          <w:tcPr>
            <w:tcW w:type="dxa" w:w="760"/>
            <w:tcBorders>
              <w:top w:sz="3.200000000000273" w:val="single" w:color="#000000"/>
            </w:tcBorders>
            <w:tcMar>
              <w:start w:w="0" w:type="dxa"/>
              <w:end w:w="0" w:type="dxa"/>
            </w:tcMar>
          </w:tcPr>
          <w:p>
            <w:pPr>
              <w:autoSpaceDN w:val="0"/>
              <w:autoSpaceDE w:val="0"/>
              <w:widowControl/>
              <w:spacing w:line="246" w:lineRule="exact" w:before="290" w:after="0"/>
              <w:ind w:left="0" w:right="0" w:firstLine="0"/>
              <w:jc w:val="center"/>
            </w:pPr>
            <w:r>
              <w:rPr>
                <w:rFonts w:ascii="Arial,Bold" w:hAnsi="Arial,Bold" w:eastAsia="Arial,Bold"/>
                <w:b/>
                <w:i w:val="0"/>
                <w:color w:val="000000"/>
                <w:sz w:val="22"/>
              </w:rPr>
              <w:t xml:space="preserve">43. </w:t>
            </w:r>
          </w:p>
        </w:tc>
        <w:tc>
          <w:tcPr>
            <w:tcW w:type="dxa" w:w="3804"/>
            <w:tcBorders>
              <w:top w:sz="3.200000000000273" w:val="single" w:color="#000000"/>
            </w:tcBorders>
            <w:tcMar>
              <w:start w:w="0" w:type="dxa"/>
              <w:end w:w="0" w:type="dxa"/>
            </w:tcMar>
          </w:tcPr>
          <w:p>
            <w:pPr>
              <w:autoSpaceDN w:val="0"/>
              <w:autoSpaceDE w:val="0"/>
              <w:widowControl/>
              <w:spacing w:line="222" w:lineRule="exact" w:before="300" w:after="0"/>
              <w:ind w:left="166" w:right="0" w:firstLine="0"/>
              <w:jc w:val="left"/>
            </w:pPr>
            <w:r>
              <w:rPr>
                <w:rFonts w:ascii="黑体" w:hAnsi="黑体" w:eastAsia="黑体"/>
                <w:b w:val="0"/>
                <w:i w:val="0"/>
                <w:color w:val="000000"/>
                <w:sz w:val="22"/>
              </w:rPr>
              <w:t>公允价值变动损益</w:t>
            </w:r>
          </w:p>
        </w:tc>
        <w:tc>
          <w:tcPr>
            <w:tcW w:type="dxa" w:w="2098"/>
            <w:tcBorders>
              <w:top w:sz="3.200000000000273" w:val="single" w:color="#000000"/>
            </w:tcBorders>
            <w:tcMar>
              <w:start w:w="0" w:type="dxa"/>
              <w:end w:w="0" w:type="dxa"/>
            </w:tcMar>
          </w:tcPr>
          <w:p>
            <w:pPr>
              <w:autoSpaceDN w:val="0"/>
              <w:autoSpaceDE w:val="0"/>
              <w:widowControl/>
              <w:spacing w:line="246" w:lineRule="exact" w:before="83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op w:sz="3.200000000000273" w:val="single" w:color="#000000"/>
            </w:tcBorders>
            <w:tcMar>
              <w:start w:w="0" w:type="dxa"/>
              <w:end w:w="0" w:type="dxa"/>
            </w:tcMar>
          </w:tcPr>
          <w:p>
            <w:pPr>
              <w:autoSpaceDN w:val="0"/>
              <w:autoSpaceDE w:val="0"/>
              <w:widowControl/>
              <w:spacing w:line="246" w:lineRule="exact" w:before="83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64" w:after="0"/>
              <w:ind w:left="198" w:right="0" w:firstLine="0"/>
              <w:jc w:val="left"/>
            </w:pPr>
            <w:r>
              <w:rPr>
                <w:rFonts w:ascii="黑体" w:hAnsi="黑体" w:eastAsia="黑体"/>
                <w:b w:val="0"/>
                <w:i w:val="0"/>
                <w:color w:val="000000"/>
                <w:sz w:val="22"/>
              </w:rPr>
              <w:t>交易性金融资产</w:t>
            </w:r>
          </w:p>
        </w:tc>
        <w:tc>
          <w:tcPr>
            <w:tcW w:type="dxa" w:w="2098"/>
            <w:tcBorders/>
            <w:tcMar>
              <w:start w:w="0" w:type="dxa"/>
              <w:end w:w="0" w:type="dxa"/>
            </w:tcMar>
          </w:tcPr>
          <w:p>
            <w:pPr>
              <w:autoSpaceDN w:val="0"/>
              <w:autoSpaceDE w:val="0"/>
              <w:widowControl/>
              <w:spacing w:line="233" w:lineRule="auto" w:before="154" w:after="0"/>
              <w:ind w:left="0" w:right="222" w:firstLine="0"/>
              <w:jc w:val="right"/>
            </w:pPr>
            <w:r>
              <w:rPr>
                <w:rFonts w:ascii="Arial" w:hAnsi="Arial" w:eastAsia="Arial"/>
                <w:b w:val="0"/>
                <w:i w:val="0"/>
                <w:color w:val="000000"/>
                <w:sz w:val="22"/>
              </w:rPr>
              <w:t>80,702,098</w:t>
            </w:r>
          </w:p>
        </w:tc>
        <w:tc>
          <w:tcPr>
            <w:tcW w:type="dxa" w:w="2098"/>
            <w:tcBorders/>
            <w:tcMar>
              <w:start w:w="0" w:type="dxa"/>
              <w:end w:w="0" w:type="dxa"/>
            </w:tcMar>
          </w:tcPr>
          <w:p>
            <w:pPr>
              <w:autoSpaceDN w:val="0"/>
              <w:autoSpaceDE w:val="0"/>
              <w:widowControl/>
              <w:spacing w:line="233" w:lineRule="auto" w:before="154" w:after="0"/>
              <w:ind w:left="0" w:right="224" w:firstLine="0"/>
              <w:jc w:val="right"/>
            </w:pPr>
            <w:r>
              <w:rPr>
                <w:rFonts w:ascii="Arial" w:hAnsi="Arial" w:eastAsia="Arial"/>
                <w:b w:val="0"/>
                <w:i w:val="0"/>
                <w:color w:val="000000"/>
                <w:sz w:val="22"/>
              </w:rPr>
              <w:t>162,530,461</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交易性金融负债</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92" w:firstLine="0"/>
              <w:jc w:val="right"/>
            </w:pPr>
            <w:r>
              <w:rPr>
                <w:rFonts w:ascii="Arial" w:hAnsi="Arial" w:eastAsia="Arial"/>
                <w:b w:val="0"/>
                <w:i w:val="0"/>
                <w:color w:val="000000"/>
                <w:sz w:val="22"/>
              </w:rPr>
              <w:t xml:space="preserve">(29,328,725)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92" w:firstLine="0"/>
              <w:jc w:val="right"/>
            </w:pPr>
            <w:r>
              <w:rPr>
                <w:rFonts w:ascii="Arial" w:hAnsi="Arial" w:eastAsia="Arial"/>
                <w:b w:val="0"/>
                <w:i w:val="0"/>
                <w:color w:val="000000"/>
                <w:sz w:val="22"/>
              </w:rPr>
              <w:t xml:space="preserve">(17,267,189) </w:t>
            </w:r>
          </w:p>
        </w:tc>
      </w:tr>
      <w:tr>
        <w:trPr>
          <w:trHeight w:hRule="exact" w:val="42"/>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6" w:after="0"/>
              <w:ind w:left="198" w:right="0" w:firstLine="0"/>
              <w:jc w:val="left"/>
            </w:pPr>
            <w:r>
              <w:rPr>
                <w:rFonts w:ascii="黑体" w:hAnsi="黑体" w:eastAsia="黑体"/>
                <w:b w:val="0"/>
                <w:i w:val="0"/>
                <w:color w:val="000000"/>
                <w:sz w:val="22"/>
              </w:rPr>
              <w:t>衍生金融工具</w:t>
            </w:r>
          </w:p>
        </w:tc>
        <w:tc>
          <w:tcPr>
            <w:tcW w:type="dxa" w:w="2256"/>
            <w:vMerge/>
            <w:tcBorders/>
          </w:tcPr>
          <w:p/>
        </w:tc>
        <w:tc>
          <w:tcPr>
            <w:tcW w:type="dxa" w:w="2256"/>
            <w:vMerge/>
            <w:tcBorders/>
          </w:tcPr>
          <w:p/>
        </w:tc>
      </w:tr>
      <w:tr>
        <w:trPr>
          <w:trHeight w:hRule="exact" w:val="276"/>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56,804,064</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(53,442,915) </w:t>
            </w:r>
          </w:p>
        </w:tc>
      </w:tr>
      <w:tr>
        <w:trPr>
          <w:trHeight w:hRule="exact" w:val="546"/>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108,177,437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91,820,357</w:t>
            </w:r>
          </w:p>
        </w:tc>
      </w:tr>
      <w:tr>
        <w:trPr>
          <w:trHeight w:hRule="exact" w:val="54"/>
        </w:trPr>
        <w:tc>
          <w:tcPr>
            <w:tcW w:type="dxa" w:w="4512"/>
            <w:gridSpan w:val="2"/>
            <w:vMerge/>
            <w:tcBorders>
              <w:top w:sz="4.0" w:val="single" w:color="#000000"/>
            </w:tcBorders>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6080" w:after="0"/>
        <w:ind w:left="0" w:right="0" w:firstLine="0"/>
        <w:jc w:val="center"/>
      </w:pPr>
      <w:r>
        <w:rPr>
          <w:rFonts w:ascii="Arial" w:hAnsi="Arial" w:eastAsia="Arial"/>
          <w:b w:val="0"/>
          <w:i w:val="0"/>
          <w:color w:val="000000"/>
          <w:sz w:val="20"/>
        </w:rPr>
        <w:t xml:space="preserve">237 </w:t>
      </w:r>
    </w:p>
    <w:p>
      <w:pPr>
        <w:sectPr>
          <w:pgSz w:w="11906" w:h="16841"/>
          <w:pgMar w:top="860"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44.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其他业务收入</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仓单业务收入</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203,505,388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579,507,034</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固定资产出租收入</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9,093,957</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7,187,757</w:t>
            </w:r>
          </w:p>
        </w:tc>
      </w:tr>
      <w:tr>
        <w:trPr>
          <w:trHeight w:hRule="exact" w:val="48"/>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8,320,633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11,805,765</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220,919,978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598,500,556</w:t>
            </w:r>
          </w:p>
        </w:tc>
      </w:tr>
      <w:tr>
        <w:trPr>
          <w:trHeight w:hRule="exact" w:val="1228"/>
        </w:trPr>
        <w:tc>
          <w:tcPr>
            <w:tcW w:type="dxa" w:w="76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45. </w:t>
            </w:r>
          </w:p>
        </w:tc>
        <w:tc>
          <w:tcPr>
            <w:tcW w:type="dxa" w:w="3804"/>
            <w:tcBorders>
              <w:top w:sz="4.0" w:val="single" w:color="#000000"/>
            </w:tcBorders>
            <w:tcMar>
              <w:start w:w="0" w:type="dxa"/>
              <w:end w:w="0" w:type="dxa"/>
            </w:tcMar>
          </w:tcPr>
          <w:p>
            <w:pPr>
              <w:autoSpaceDN w:val="0"/>
              <w:autoSpaceDE w:val="0"/>
              <w:widowControl/>
              <w:spacing w:line="222" w:lineRule="exact" w:before="302" w:after="0"/>
              <w:ind w:left="166" w:right="0" w:firstLine="0"/>
              <w:jc w:val="left"/>
            </w:pPr>
            <w:r>
              <w:rPr>
                <w:rFonts w:ascii="黑体" w:hAnsi="黑体" w:eastAsia="黑体"/>
                <w:b w:val="0"/>
                <w:i w:val="0"/>
                <w:color w:val="000000"/>
                <w:sz w:val="22"/>
              </w:rPr>
              <w:t>其他收益</w:t>
            </w:r>
          </w:p>
        </w:tc>
        <w:tc>
          <w:tcPr>
            <w:tcW w:type="dxa" w:w="1870"/>
            <w:tcBorders>
              <w:top w:sz="4.0" w:val="single" w:color="#000000"/>
            </w:tcBorders>
            <w:tcMar>
              <w:start w:w="0" w:type="dxa"/>
              <w:end w:w="0" w:type="dxa"/>
            </w:tcMar>
          </w:tcPr>
          <w:p>
            <w:pPr>
              <w:autoSpaceDN w:val="0"/>
              <w:autoSpaceDE w:val="0"/>
              <w:widowControl/>
              <w:spacing w:line="246" w:lineRule="exact" w:before="83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op w:sz="4.0" w:val="single" w:color="#000000"/>
            </w:tcBorders>
            <w:tcMar>
              <w:start w:w="0" w:type="dxa"/>
              <w:end w:w="0" w:type="dxa"/>
            </w:tcMar>
          </w:tcPr>
          <w:p>
            <w:pPr>
              <w:autoSpaceDN w:val="0"/>
              <w:autoSpaceDE w:val="0"/>
              <w:widowControl/>
              <w:spacing w:line="246" w:lineRule="exact" w:before="83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4564"/>
            <w:gridSpan w:val="2"/>
            <w:tcBorders/>
            <w:tcMar>
              <w:start w:w="0" w:type="dxa"/>
              <w:end w:w="0" w:type="dxa"/>
            </w:tcMar>
            <w:tcMar>
              <w:start w:w="0" w:type="dxa"/>
              <w:end w:w="0" w:type="dxa"/>
            </w:tcMar>
          </w:tcPr>
          <w:p>
            <w:pPr>
              <w:autoSpaceDN w:val="0"/>
              <w:autoSpaceDE w:val="0"/>
              <w:widowControl/>
              <w:spacing w:line="220" w:lineRule="exact" w:before="154" w:after="0"/>
              <w:ind w:left="198" w:right="0" w:firstLine="0"/>
              <w:jc w:val="left"/>
            </w:pPr>
            <w:r>
              <w:rPr>
                <w:rFonts w:ascii="黑体" w:hAnsi="黑体" w:eastAsia="黑体"/>
                <w:b w:val="0"/>
                <w:i w:val="0"/>
                <w:color w:val="000000"/>
                <w:sz w:val="22"/>
              </w:rPr>
              <w:t>政府奖励金</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14,028,300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22,200,500</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房租补贴收入</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2,010,001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162,717</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税收返还收入</w:t>
            </w:r>
          </w:p>
        </w:tc>
        <w:tc>
          <w:tcPr>
            <w:tcW w:type="dxa" w:w="2256"/>
            <w:vMerge/>
            <w:tcBorders/>
          </w:tcPr>
          <w:p/>
        </w:tc>
        <w:tc>
          <w:tcPr>
            <w:tcW w:type="dxa" w:w="2256"/>
            <w:vMerge/>
            <w:tcBorders/>
          </w:tcPr>
          <w:p/>
        </w:tc>
      </w:tr>
      <w:tr>
        <w:trPr>
          <w:trHeight w:hRule="exact" w:val="248"/>
        </w:trPr>
        <w:tc>
          <w:tcPr>
            <w:tcW w:type="dxa" w:w="4512"/>
            <w:gridSpan w:val="2"/>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1,006,072</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1,325,401</w:t>
            </w:r>
          </w:p>
        </w:tc>
      </w:tr>
      <w:tr>
        <w:trPr>
          <w:trHeight w:hRule="exact" w:val="312"/>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50" w:after="0"/>
              <w:ind w:left="198" w:right="0" w:firstLine="0"/>
              <w:jc w:val="left"/>
            </w:pPr>
            <w:r>
              <w:rPr>
                <w:rFonts w:ascii="黑体" w:hAnsi="黑体" w:eastAsia="黑体"/>
                <w:b w:val="0"/>
                <w:i w:val="0"/>
                <w:color w:val="000000"/>
                <w:sz w:val="22"/>
              </w:rPr>
              <w:t>稳岗补贴</w:t>
            </w:r>
          </w:p>
        </w:tc>
        <w:tc>
          <w:tcPr>
            <w:tcW w:type="dxa" w:w="1870"/>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2,014,829</w:t>
            </w:r>
          </w:p>
        </w:tc>
        <w:tc>
          <w:tcPr>
            <w:tcW w:type="dxa" w:w="2098"/>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504,566</w:t>
            </w:r>
          </w:p>
        </w:tc>
      </w:tr>
      <w:tr>
        <w:trPr>
          <w:trHeight w:hRule="exact" w:val="548"/>
        </w:trPr>
        <w:tc>
          <w:tcPr>
            <w:tcW w:type="dxa" w:w="4564"/>
            <w:gridSpan w:val="2"/>
            <w:tcBorders>
              <w:top w:sz="4.0" w:val="single" w:color="#000000"/>
              <w:bottom w:sz="3.199999999999818" w:val="single" w:color="#000000"/>
            </w:tcBorders>
            <w:tcMar>
              <w:start w:w="0" w:type="dxa"/>
              <w:end w:w="0" w:type="dxa"/>
            </w:tcMar>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19,059,202</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24,193,184</w:t>
            </w:r>
          </w:p>
        </w:tc>
      </w:tr>
      <w:tr>
        <w:trPr>
          <w:trHeight w:hRule="exact" w:val="622"/>
        </w:trPr>
        <w:tc>
          <w:tcPr>
            <w:tcW w:type="dxa" w:w="4564"/>
            <w:gridSpan w:val="2"/>
            <w:tcBorders>
              <w:top w:sz="3.199999999999818" w:val="single" w:color="#000000"/>
            </w:tcBorders>
            <w:tcMar>
              <w:start w:w="0" w:type="dxa"/>
              <w:end w:w="0" w:type="dxa"/>
            </w:tcMar>
            <w:tcMar>
              <w:start w:w="0" w:type="dxa"/>
              <w:end w:w="0" w:type="dxa"/>
            </w:tcMar>
          </w:tcPr>
          <w:p>
            <w:pPr>
              <w:autoSpaceDN w:val="0"/>
              <w:autoSpaceDE w:val="0"/>
              <w:widowControl/>
              <w:spacing w:line="222" w:lineRule="exact" w:before="302" w:after="0"/>
              <w:ind w:left="198" w:right="0" w:firstLine="0"/>
              <w:jc w:val="left"/>
            </w:pPr>
            <w:r>
              <w:rPr>
                <w:rFonts w:ascii="黑体" w:hAnsi="黑体" w:eastAsia="黑体"/>
                <w:b w:val="0"/>
                <w:i w:val="0"/>
                <w:color w:val="000000"/>
                <w:sz w:val="22"/>
              </w:rPr>
              <w:t>其中：计入非经常性损益的金额</w:t>
            </w:r>
          </w:p>
        </w:tc>
        <w:tc>
          <w:tcPr>
            <w:tcW w:type="dxa" w:w="1870"/>
            <w:tcBorders>
              <w:top w:sz="3.199999999999818" w:val="single" w:color="#000000"/>
            </w:tcBorders>
            <w:tcMar>
              <w:start w:w="0" w:type="dxa"/>
              <w:end w:w="0" w:type="dxa"/>
            </w:tcMar>
          </w:tcPr>
          <w:p>
            <w:pPr>
              <w:autoSpaceDN w:val="0"/>
              <w:autoSpaceDE w:val="0"/>
              <w:widowControl/>
              <w:spacing w:line="233" w:lineRule="auto" w:before="312" w:after="0"/>
              <w:ind w:left="0" w:right="0" w:firstLine="0"/>
              <w:jc w:val="right"/>
            </w:pPr>
            <w:r>
              <w:rPr>
                <w:rFonts w:ascii="Arial" w:hAnsi="Arial" w:eastAsia="Arial"/>
                <w:b w:val="0"/>
                <w:i w:val="0"/>
                <w:color w:val="000000"/>
                <w:sz w:val="22"/>
              </w:rPr>
              <w:t>19,059,202</w:t>
            </w:r>
          </w:p>
        </w:tc>
        <w:tc>
          <w:tcPr>
            <w:tcW w:type="dxa" w:w="2098"/>
            <w:tcBorders>
              <w:top w:sz="3.199999999999818" w:val="single" w:color="#000000"/>
            </w:tcBorders>
            <w:tcMar>
              <w:start w:w="0" w:type="dxa"/>
              <w:end w:w="0" w:type="dxa"/>
            </w:tcMar>
          </w:tcPr>
          <w:p>
            <w:pPr>
              <w:autoSpaceDN w:val="0"/>
              <w:autoSpaceDE w:val="0"/>
              <w:widowControl/>
              <w:spacing w:line="233" w:lineRule="auto" w:before="312" w:after="0"/>
              <w:ind w:left="0" w:right="0" w:firstLine="0"/>
              <w:jc w:val="right"/>
            </w:pPr>
            <w:r>
              <w:rPr>
                <w:rFonts w:ascii="Arial" w:hAnsi="Arial" w:eastAsia="Arial"/>
                <w:b w:val="0"/>
                <w:i w:val="0"/>
                <w:color w:val="000000"/>
                <w:sz w:val="22"/>
              </w:rPr>
              <w:t>24,193,184</w:t>
            </w:r>
          </w:p>
        </w:tc>
      </w:tr>
    </w:tbl>
    <w:p>
      <w:pPr>
        <w:autoSpaceDN w:val="0"/>
        <w:autoSpaceDE w:val="0"/>
        <w:widowControl/>
        <w:spacing w:line="233" w:lineRule="auto" w:before="7256" w:after="0"/>
        <w:ind w:left="0" w:right="0" w:firstLine="0"/>
        <w:jc w:val="center"/>
      </w:pPr>
      <w:r>
        <w:rPr>
          <w:rFonts w:ascii="Arial" w:hAnsi="Arial" w:eastAsia="Arial"/>
          <w:b w:val="0"/>
          <w:i w:val="0"/>
          <w:color w:val="000000"/>
          <w:sz w:val="20"/>
        </w:rPr>
        <w:t xml:space="preserve">238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46.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资产处置损益</w:t>
            </w:r>
          </w:p>
        </w:tc>
        <w:tc>
          <w:tcPr>
            <w:tcW w:type="dxa" w:w="2256"/>
            <w:vMerge/>
            <w:tcBorders/>
          </w:tcPr>
          <w:p/>
        </w:tc>
        <w:tc>
          <w:tcPr>
            <w:tcW w:type="dxa" w:w="2256"/>
            <w:vMerge/>
            <w:tcBorders/>
          </w:tcPr>
          <w:p/>
        </w:tc>
      </w:tr>
      <w:tr>
        <w:trPr>
          <w:trHeight w:hRule="exact" w:val="434"/>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资产处置损益</w:t>
            </w:r>
          </w:p>
        </w:tc>
        <w:tc>
          <w:tcPr>
            <w:tcW w:type="dxa" w:w="2098"/>
            <w:tcBorders>
              <w:bottom w:sz="4.0" w:val="single" w:color="#000000"/>
            </w:tcBorders>
            <w:tcMar>
              <w:start w:w="0" w:type="dxa"/>
              <w:end w:w="0" w:type="dxa"/>
            </w:tcMar>
          </w:tcPr>
          <w:p>
            <w:pPr>
              <w:autoSpaceDN w:val="0"/>
              <w:autoSpaceDE w:val="0"/>
              <w:widowControl/>
              <w:spacing w:line="233" w:lineRule="auto" w:before="178" w:after="0"/>
              <w:ind w:left="0" w:right="92" w:firstLine="0"/>
              <w:jc w:val="right"/>
            </w:pPr>
            <w:r>
              <w:rPr>
                <w:rFonts w:ascii="Arial" w:hAnsi="Arial" w:eastAsia="Arial"/>
                <w:b w:val="0"/>
                <w:i w:val="0"/>
                <w:color w:val="000000"/>
                <w:sz w:val="22"/>
              </w:rPr>
              <w:t xml:space="preserve">(414,796) </w:t>
            </w:r>
          </w:p>
        </w:tc>
        <w:tc>
          <w:tcPr>
            <w:tcW w:type="dxa" w:w="1870"/>
            <w:tcBorders>
              <w:bottom w:sz="4.0" w:val="single" w:color="#000000"/>
            </w:tcBorders>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194,809</w:t>
            </w:r>
          </w:p>
        </w:tc>
      </w:tr>
      <w:tr>
        <w:trPr>
          <w:trHeight w:hRule="exact" w:val="526"/>
        </w:trPr>
        <w:tc>
          <w:tcPr>
            <w:tcW w:type="dxa" w:w="4564"/>
            <w:gridSpan w:val="2"/>
            <w:tcBorders>
              <w:top w:sz="4.0" w:val="single" w:color="#000000"/>
            </w:tcBorders>
            <w:tcMar>
              <w:start w:w="0" w:type="dxa"/>
              <w:end w:w="0" w:type="dxa"/>
            </w:tcMar>
            <w:tcMar>
              <w:start w:w="0" w:type="dxa"/>
              <w:end w:w="0" w:type="dxa"/>
            </w:tcMar>
          </w:tcPr>
          <w:p>
            <w:pPr>
              <w:autoSpaceDN w:val="0"/>
              <w:autoSpaceDE w:val="0"/>
              <w:widowControl/>
              <w:spacing w:line="220" w:lineRule="exact" w:before="300" w:after="0"/>
              <w:ind w:left="198" w:right="0" w:firstLine="0"/>
              <w:jc w:val="left"/>
            </w:pPr>
            <w:r>
              <w:rPr>
                <w:rFonts w:ascii="黑体" w:hAnsi="黑体" w:eastAsia="黑体"/>
                <w:b w:val="0"/>
                <w:i w:val="0"/>
                <w:color w:val="000000"/>
                <w:sz w:val="22"/>
              </w:rPr>
              <w:t>其中：计入非经常性损益的金额</w:t>
            </w:r>
          </w:p>
        </w:tc>
        <w:tc>
          <w:tcPr>
            <w:tcW w:type="dxa" w:w="2098"/>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308" w:after="0"/>
              <w:ind w:left="0" w:right="92" w:firstLine="0"/>
              <w:jc w:val="right"/>
            </w:pPr>
            <w:r>
              <w:rPr>
                <w:rFonts w:ascii="Arial" w:hAnsi="Arial" w:eastAsia="Arial"/>
                <w:b w:val="0"/>
                <w:i w:val="0"/>
                <w:color w:val="000000"/>
                <w:sz w:val="22"/>
              </w:rPr>
              <w:t xml:space="preserve">(414,796) </w:t>
            </w:r>
          </w:p>
        </w:tc>
        <w:tc>
          <w:tcPr>
            <w:tcW w:type="dxa" w:w="1870"/>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194,809</w:t>
            </w:r>
          </w:p>
        </w:tc>
      </w:tr>
      <w:tr>
        <w:trPr>
          <w:trHeight w:hRule="exact" w:val="438"/>
        </w:trPr>
        <w:tc>
          <w:tcPr>
            <w:tcW w:type="dxa" w:w="760"/>
            <w:vMerge w:val="restart"/>
            <w:tcBorders/>
            <w:tcMar>
              <w:start w:w="0" w:type="dxa"/>
              <w:end w:w="0" w:type="dxa"/>
            </w:tcMar>
            <w:tcMar>
              <w:start w:w="0" w:type="dxa"/>
              <w:end w:w="0" w:type="dxa"/>
            </w:tcMar>
          </w:tcPr>
          <w:p>
            <w:pPr>
              <w:autoSpaceDN w:val="0"/>
              <w:autoSpaceDE w:val="0"/>
              <w:widowControl/>
              <w:spacing w:line="246" w:lineRule="exact" w:before="308" w:after="0"/>
              <w:ind w:left="0" w:right="0" w:firstLine="0"/>
              <w:jc w:val="center"/>
            </w:pPr>
            <w:r>
              <w:rPr>
                <w:rFonts w:ascii="Arial,Bold" w:hAnsi="Arial,Bold" w:eastAsia="Arial,Bold"/>
                <w:b/>
                <w:i w:val="0"/>
                <w:color w:val="000000"/>
                <w:sz w:val="22"/>
              </w:rPr>
              <w:t xml:space="preserve">47. </w:t>
            </w:r>
          </w:p>
        </w:tc>
        <w:tc>
          <w:tcPr>
            <w:tcW w:type="dxa" w:w="3804"/>
            <w:vMerge w:val="restart"/>
            <w:tcBorders/>
            <w:tcMar>
              <w:start w:w="0" w:type="dxa"/>
              <w:end w:w="0" w:type="dxa"/>
            </w:tcMar>
            <w:tcMar>
              <w:start w:w="0" w:type="dxa"/>
              <w:end w:w="0" w:type="dxa"/>
            </w:tcMar>
          </w:tcPr>
          <w:p>
            <w:pPr>
              <w:autoSpaceDN w:val="0"/>
              <w:autoSpaceDE w:val="0"/>
              <w:widowControl/>
              <w:spacing w:line="220" w:lineRule="exact" w:before="318" w:after="0"/>
              <w:ind w:left="166" w:right="0" w:firstLine="0"/>
              <w:jc w:val="left"/>
            </w:pPr>
            <w:r>
              <w:rPr>
                <w:rFonts w:ascii="黑体" w:hAnsi="黑体" w:eastAsia="黑体"/>
                <w:b w:val="0"/>
                <w:i w:val="0"/>
                <w:color w:val="000000"/>
                <w:sz w:val="22"/>
              </w:rPr>
              <w:t>税金及附加</w:t>
            </w:r>
          </w:p>
        </w:tc>
        <w:tc>
          <w:tcPr>
            <w:tcW w:type="dxa" w:w="2256"/>
            <w:vMerge/>
            <w:tcBorders>
              <w:top w:sz="4.0" w:val="single" w:color="#000000"/>
            </w:tcBorders>
          </w:tcPr>
          <w:p/>
        </w:tc>
        <w:tc>
          <w:tcPr>
            <w:tcW w:type="dxa" w:w="2256"/>
            <w:vMerge/>
            <w:tcBorders>
              <w:top w:sz="4.0" w:val="single" w:color="#000000"/>
            </w:tcBorders>
          </w:tcPr>
          <w:p/>
        </w:tc>
      </w:tr>
      <w:tr>
        <w:trPr>
          <w:trHeight w:hRule="exact" w:val="802"/>
        </w:trPr>
        <w:tc>
          <w:tcPr>
            <w:tcW w:type="dxa" w:w="2256"/>
            <w:vMerge/>
            <w:tcBorders/>
          </w:tcPr>
          <w:p/>
        </w:tc>
        <w:tc>
          <w:tcPr>
            <w:tcW w:type="dxa" w:w="2256"/>
            <w:vMerge/>
            <w:tcBorders/>
          </w:tcPr>
          <w:p/>
        </w:tc>
        <w:tc>
          <w:tcPr>
            <w:tcW w:type="dxa" w:w="2098"/>
            <w:tcBorders/>
            <w:tcMar>
              <w:start w:w="0" w:type="dxa"/>
              <w:end w:w="0" w:type="dxa"/>
            </w:tcMar>
          </w:tcPr>
          <w:p>
            <w:pPr>
              <w:autoSpaceDN w:val="0"/>
              <w:autoSpaceDE w:val="0"/>
              <w:widowControl/>
              <w:spacing w:line="246" w:lineRule="exact" w:before="408"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cMar>
              <w:start w:w="0" w:type="dxa"/>
              <w:end w:w="0" w:type="dxa"/>
            </w:tcMar>
          </w:tcPr>
          <w:p>
            <w:pPr>
              <w:autoSpaceDN w:val="0"/>
              <w:autoSpaceDE w:val="0"/>
              <w:widowControl/>
              <w:spacing w:line="246" w:lineRule="exact" w:before="408"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4564"/>
            <w:gridSpan w:val="2"/>
            <w:tcBorders/>
            <w:tcMar>
              <w:start w:w="0" w:type="dxa"/>
              <w:end w:w="0" w:type="dxa"/>
            </w:tcMar>
            <w:tcMar>
              <w:start w:w="0" w:type="dxa"/>
              <w:end w:w="0" w:type="dxa"/>
            </w:tcMar>
          </w:tcPr>
          <w:p>
            <w:pPr>
              <w:autoSpaceDN w:val="0"/>
              <w:autoSpaceDE w:val="0"/>
              <w:widowControl/>
              <w:spacing w:line="222" w:lineRule="exact" w:before="152" w:after="0"/>
              <w:ind w:left="198" w:right="0" w:firstLine="0"/>
              <w:jc w:val="left"/>
            </w:pPr>
            <w:r>
              <w:rPr>
                <w:rFonts w:ascii="黑体" w:hAnsi="黑体" w:eastAsia="黑体"/>
                <w:b w:val="0"/>
                <w:i w:val="0"/>
                <w:color w:val="000000"/>
                <w:sz w:val="22"/>
              </w:rPr>
              <w:t>城市维护建设税</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2" w:after="0"/>
              <w:ind w:left="0" w:right="222" w:firstLine="0"/>
              <w:jc w:val="right"/>
            </w:pPr>
            <w:r>
              <w:rPr>
                <w:rFonts w:ascii="Arial" w:hAnsi="Arial" w:eastAsia="Arial"/>
                <w:b w:val="0"/>
                <w:i w:val="0"/>
                <w:color w:val="000000"/>
                <w:sz w:val="22"/>
              </w:rPr>
              <w:t>6,954,386</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8,064,303</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教育费附加及地方教育费附加</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5,735,682</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7,463,681</w:t>
            </w:r>
          </w:p>
        </w:tc>
      </w:tr>
      <w:tr>
        <w:trPr>
          <w:trHeight w:hRule="exact" w:val="54"/>
        </w:trPr>
        <w:tc>
          <w:tcPr>
            <w:tcW w:type="dxa" w:w="4564"/>
            <w:gridSpan w:val="2"/>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2"/>
        </w:trPr>
        <w:tc>
          <w:tcPr>
            <w:tcW w:type="dxa" w:w="4512"/>
            <w:gridSpan w:val="2"/>
            <w:vMerge/>
            <w:tcBorders>
              <w:bottom w:sz="3.199999999999818" w:val="single" w:color="#000000"/>
            </w:tcBorders>
          </w:tcPr>
          <w:p/>
        </w:tc>
        <w:tc>
          <w:tcPr>
            <w:tcW w:type="dxa" w:w="2098"/>
            <w:tcBorders>
              <w:bottom w:sz="3.199999999999818"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5,031,566</w:t>
            </w:r>
          </w:p>
        </w:tc>
        <w:tc>
          <w:tcPr>
            <w:tcW w:type="dxa" w:w="1870"/>
            <w:tcBorders>
              <w:bottom w:sz="3.199999999999818"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6,667,538</w:t>
            </w:r>
          </w:p>
        </w:tc>
      </w:tr>
      <w:tr>
        <w:trPr>
          <w:trHeight w:hRule="exact" w:val="550"/>
        </w:trPr>
        <w:tc>
          <w:tcPr>
            <w:tcW w:type="dxa" w:w="4564"/>
            <w:gridSpan w:val="2"/>
            <w:tcBorders>
              <w:top w:sz="3.199999999999818"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17,721,634</w:t>
            </w:r>
          </w:p>
        </w:tc>
        <w:tc>
          <w:tcPr>
            <w:tcW w:type="dxa" w:w="1870"/>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22,195,522</w:t>
            </w:r>
          </w:p>
        </w:tc>
      </w:tr>
      <w:tr>
        <w:trPr>
          <w:trHeight w:hRule="exact" w:val="1224"/>
        </w:trPr>
        <w:tc>
          <w:tcPr>
            <w:tcW w:type="dxa" w:w="760"/>
            <w:tcBorders>
              <w:top w:sz="4.0" w:val="single" w:color="#000000"/>
            </w:tcBorders>
            <w:tcMar>
              <w:start w:w="0" w:type="dxa"/>
              <w:end w:w="0" w:type="dxa"/>
            </w:tcMar>
          </w:tcPr>
          <w:p>
            <w:pPr>
              <w:autoSpaceDN w:val="0"/>
              <w:autoSpaceDE w:val="0"/>
              <w:widowControl/>
              <w:spacing w:line="246" w:lineRule="exact" w:before="288" w:after="0"/>
              <w:ind w:left="0" w:right="0" w:firstLine="0"/>
              <w:jc w:val="center"/>
            </w:pPr>
            <w:r>
              <w:rPr>
                <w:rFonts w:ascii="Arial,Bold" w:hAnsi="Arial,Bold" w:eastAsia="Arial,Bold"/>
                <w:b/>
                <w:i w:val="0"/>
                <w:color w:val="000000"/>
                <w:sz w:val="22"/>
              </w:rPr>
              <w:t xml:space="preserve">48. </w:t>
            </w:r>
          </w:p>
        </w:tc>
        <w:tc>
          <w:tcPr>
            <w:tcW w:type="dxa" w:w="3804"/>
            <w:tcBorders>
              <w:top w:sz="4.0" w:val="single" w:color="#000000"/>
            </w:tcBorders>
            <w:tcMar>
              <w:start w:w="0" w:type="dxa"/>
              <w:end w:w="0" w:type="dxa"/>
            </w:tcMar>
          </w:tcPr>
          <w:p>
            <w:pPr>
              <w:autoSpaceDN w:val="0"/>
              <w:autoSpaceDE w:val="0"/>
              <w:widowControl/>
              <w:spacing w:line="220" w:lineRule="exact" w:before="298" w:after="0"/>
              <w:ind w:left="166" w:right="0" w:firstLine="0"/>
              <w:jc w:val="left"/>
            </w:pPr>
            <w:r>
              <w:rPr>
                <w:rFonts w:ascii="黑体" w:hAnsi="黑体" w:eastAsia="黑体"/>
                <w:b w:val="0"/>
                <w:i w:val="0"/>
                <w:color w:val="000000"/>
                <w:sz w:val="22"/>
              </w:rPr>
              <w:t>业务及管理费</w:t>
            </w:r>
          </w:p>
        </w:tc>
        <w:tc>
          <w:tcPr>
            <w:tcW w:type="dxa" w:w="2098"/>
            <w:tcBorders>
              <w:top w:sz="4.0" w:val="single" w:color="#000000"/>
            </w:tcBorders>
            <w:tcMar>
              <w:start w:w="0" w:type="dxa"/>
              <w:end w:w="0" w:type="dxa"/>
            </w:tcMar>
          </w:tcPr>
          <w:p>
            <w:pPr>
              <w:autoSpaceDN w:val="0"/>
              <w:autoSpaceDE w:val="0"/>
              <w:widowControl/>
              <w:spacing w:line="246" w:lineRule="exact" w:before="828"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op w:sz="4.0" w:val="single" w:color="#000000"/>
            </w:tcBorders>
            <w:tcMar>
              <w:start w:w="0" w:type="dxa"/>
              <w:end w:w="0" w:type="dxa"/>
            </w:tcMar>
          </w:tcPr>
          <w:p>
            <w:pPr>
              <w:autoSpaceDN w:val="0"/>
              <w:autoSpaceDE w:val="0"/>
              <w:widowControl/>
              <w:spacing w:line="246" w:lineRule="exact" w:before="828"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48" w:after="0"/>
              <w:ind w:left="198" w:right="0" w:firstLine="0"/>
              <w:jc w:val="left"/>
            </w:pPr>
            <w:r>
              <w:rPr>
                <w:rFonts w:ascii="黑体" w:hAnsi="黑体" w:eastAsia="黑体"/>
                <w:b w:val="0"/>
                <w:i w:val="0"/>
                <w:color w:val="000000"/>
                <w:sz w:val="22"/>
              </w:rPr>
              <w:t>职工薪酬（附注五、</w:t>
            </w:r>
            <w:r>
              <w:rPr>
                <w:rFonts w:ascii="Arial" w:hAnsi="Arial" w:eastAsia="Arial"/>
                <w:b w:val="0"/>
                <w:i w:val="0"/>
                <w:color w:val="000000"/>
                <w:sz w:val="22"/>
              </w:rPr>
              <w:t>27</w:t>
            </w:r>
            <w:r>
              <w:rPr>
                <w:rFonts w:ascii="黑体" w:hAnsi="黑体" w:eastAsia="黑体"/>
                <w:b w:val="0"/>
                <w:i w:val="0"/>
                <w:color w:val="000000"/>
                <w:sz w:val="22"/>
              </w:rPr>
              <w:t>）</w:t>
            </w:r>
          </w:p>
        </w:tc>
        <w:tc>
          <w:tcPr>
            <w:tcW w:type="dxa" w:w="2098"/>
            <w:tcBorders/>
            <w:tcMar>
              <w:start w:w="0" w:type="dxa"/>
              <w:end w:w="0" w:type="dxa"/>
            </w:tcMar>
          </w:tcPr>
          <w:p>
            <w:pPr>
              <w:autoSpaceDN w:val="0"/>
              <w:autoSpaceDE w:val="0"/>
              <w:widowControl/>
              <w:spacing w:line="233" w:lineRule="auto" w:before="154" w:after="0"/>
              <w:ind w:left="466" w:right="0" w:firstLine="0"/>
              <w:jc w:val="left"/>
            </w:pPr>
            <w:r>
              <w:rPr>
                <w:rFonts w:ascii="Arial" w:hAnsi="Arial" w:eastAsia="Arial"/>
                <w:b w:val="0"/>
                <w:i w:val="0"/>
                <w:color w:val="000000"/>
                <w:sz w:val="22"/>
              </w:rPr>
              <w:t xml:space="preserve">1,327,862,009 </w:t>
            </w:r>
          </w:p>
        </w:tc>
        <w:tc>
          <w:tcPr>
            <w:tcW w:type="dxa" w:w="1870"/>
            <w:tcBorders/>
            <w:tcMar>
              <w:start w:w="0" w:type="dxa"/>
              <w:end w:w="0" w:type="dxa"/>
            </w:tcMar>
          </w:tcPr>
          <w:p>
            <w:pPr>
              <w:autoSpaceDN w:val="0"/>
              <w:autoSpaceDE w:val="0"/>
              <w:widowControl/>
              <w:spacing w:line="233" w:lineRule="auto" w:before="154" w:after="0"/>
              <w:ind w:left="464" w:right="0" w:firstLine="0"/>
              <w:jc w:val="left"/>
            </w:pPr>
            <w:r>
              <w:rPr>
                <w:rFonts w:ascii="Arial" w:hAnsi="Arial" w:eastAsia="Arial"/>
                <w:b w:val="0"/>
                <w:i w:val="0"/>
                <w:color w:val="000000"/>
                <w:sz w:val="22"/>
              </w:rPr>
              <w:t>1,316,500,031</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4" w:after="0"/>
              <w:ind w:left="198" w:right="0" w:firstLine="0"/>
              <w:jc w:val="left"/>
            </w:pPr>
            <w:r>
              <w:rPr>
                <w:rFonts w:ascii="黑体" w:hAnsi="黑体" w:eastAsia="黑体"/>
                <w:b w:val="0"/>
                <w:i w:val="0"/>
                <w:color w:val="000000"/>
                <w:sz w:val="22"/>
              </w:rPr>
              <w:t>营销及管理费用</w:t>
            </w:r>
          </w:p>
        </w:tc>
        <w:tc>
          <w:tcPr>
            <w:tcW w:type="dxa" w:w="2098"/>
            <w:tcBorders/>
            <w:tcMar>
              <w:start w:w="0" w:type="dxa"/>
              <w:end w:w="0" w:type="dxa"/>
            </w:tcMar>
          </w:tcPr>
          <w:p>
            <w:pPr>
              <w:autoSpaceDN w:val="0"/>
              <w:autoSpaceDE w:val="0"/>
              <w:widowControl/>
              <w:spacing w:line="233" w:lineRule="auto" w:before="34" w:after="0"/>
              <w:ind w:left="0" w:right="164" w:firstLine="0"/>
              <w:jc w:val="right"/>
            </w:pPr>
            <w:r>
              <w:rPr>
                <w:rFonts w:ascii="Arial" w:hAnsi="Arial" w:eastAsia="Arial"/>
                <w:b w:val="0"/>
                <w:i w:val="0"/>
                <w:color w:val="000000"/>
                <w:sz w:val="22"/>
              </w:rPr>
              <w:t xml:space="preserve">142,307,252 </w:t>
            </w:r>
          </w:p>
        </w:tc>
        <w:tc>
          <w:tcPr>
            <w:tcW w:type="dxa" w:w="1870"/>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150,158,852</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使用权资产折旧</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164" w:firstLine="0"/>
              <w:jc w:val="right"/>
            </w:pPr>
            <w:r>
              <w:rPr>
                <w:rFonts w:ascii="Arial" w:hAnsi="Arial" w:eastAsia="Arial"/>
                <w:b w:val="0"/>
                <w:i w:val="0"/>
                <w:color w:val="000000"/>
                <w:sz w:val="22"/>
              </w:rPr>
              <w:t xml:space="preserve">118,131,898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126,446,421</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租赁费及物业费用</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64" w:firstLine="0"/>
              <w:jc w:val="right"/>
            </w:pPr>
            <w:r>
              <w:rPr>
                <w:rFonts w:ascii="Arial" w:hAnsi="Arial" w:eastAsia="Arial"/>
                <w:b w:val="0"/>
                <w:i w:val="0"/>
                <w:color w:val="000000"/>
                <w:sz w:val="22"/>
              </w:rPr>
              <w:t xml:space="preserve">88,566,368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82,883,152</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系统运转及维护费</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64" w:firstLine="0"/>
              <w:jc w:val="right"/>
            </w:pPr>
            <w:r>
              <w:rPr>
                <w:rFonts w:ascii="Arial" w:hAnsi="Arial" w:eastAsia="Arial"/>
                <w:b w:val="0"/>
                <w:i w:val="0"/>
                <w:color w:val="000000"/>
                <w:sz w:val="22"/>
              </w:rPr>
              <w:t xml:space="preserve">113,152,280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88,658,384</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无形资产及长期待摊费用摊销</w:t>
            </w:r>
          </w:p>
        </w:tc>
        <w:tc>
          <w:tcPr>
            <w:tcW w:type="dxa" w:w="2256"/>
            <w:vMerge/>
            <w:tcBorders/>
          </w:tcPr>
          <w:p/>
        </w:tc>
        <w:tc>
          <w:tcPr>
            <w:tcW w:type="dxa" w:w="2256"/>
            <w:vMerge/>
            <w:tcBorders/>
          </w:tcPr>
          <w:p/>
        </w:tc>
      </w:tr>
      <w:tr>
        <w:trPr>
          <w:trHeight w:hRule="exact" w:val="248"/>
        </w:trPr>
        <w:tc>
          <w:tcPr>
            <w:tcW w:type="dxa" w:w="4512"/>
            <w:gridSpan w:val="2"/>
            <w:vMerge/>
            <w:tcBorders/>
          </w:tcPr>
          <w:p/>
        </w:tc>
        <w:tc>
          <w:tcPr>
            <w:tcW w:type="dxa" w:w="2098"/>
            <w:tcBorders/>
            <w:tcMar>
              <w:start w:w="0" w:type="dxa"/>
              <w:end w:w="0" w:type="dxa"/>
            </w:tcMar>
          </w:tcPr>
          <w:p>
            <w:pPr>
              <w:autoSpaceDN w:val="0"/>
              <w:autoSpaceDE w:val="0"/>
              <w:widowControl/>
              <w:spacing w:line="233" w:lineRule="auto" w:before="2" w:after="0"/>
              <w:ind w:left="0" w:right="164" w:firstLine="0"/>
              <w:jc w:val="right"/>
            </w:pPr>
            <w:r>
              <w:rPr>
                <w:rFonts w:ascii="Arial" w:hAnsi="Arial" w:eastAsia="Arial"/>
                <w:b w:val="0"/>
                <w:i w:val="0"/>
                <w:color w:val="000000"/>
                <w:sz w:val="22"/>
              </w:rPr>
              <w:t xml:space="preserve">105,466,097 </w:t>
            </w: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92,155,364</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固定资产折旧</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164" w:firstLine="0"/>
              <w:jc w:val="right"/>
            </w:pPr>
            <w:r>
              <w:rPr>
                <w:rFonts w:ascii="Arial" w:hAnsi="Arial" w:eastAsia="Arial"/>
                <w:b w:val="0"/>
                <w:i w:val="0"/>
                <w:color w:val="000000"/>
                <w:sz w:val="22"/>
              </w:rPr>
              <w:t xml:space="preserve">65,692,905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59,321,246</w:t>
            </w:r>
          </w:p>
        </w:tc>
      </w:tr>
      <w:tr>
        <w:trPr>
          <w:trHeight w:hRule="exact" w:val="4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资讯信息费及专业服务费</w:t>
            </w:r>
          </w:p>
        </w:tc>
        <w:tc>
          <w:tcPr>
            <w:tcW w:type="dxa" w:w="2256"/>
            <w:vMerge/>
            <w:tcBorders/>
          </w:tcPr>
          <w:p/>
        </w:tc>
        <w:tc>
          <w:tcPr>
            <w:tcW w:type="dxa" w:w="2256"/>
            <w:vMerge/>
            <w:tcBorders/>
          </w:tcPr>
          <w:p/>
        </w:tc>
      </w:tr>
      <w:tr>
        <w:trPr>
          <w:trHeight w:hRule="exact" w:val="236"/>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64" w:firstLine="0"/>
              <w:jc w:val="right"/>
            </w:pPr>
            <w:r>
              <w:rPr>
                <w:rFonts w:ascii="Arial" w:hAnsi="Arial" w:eastAsia="Arial"/>
                <w:b w:val="0"/>
                <w:i w:val="0"/>
                <w:color w:val="000000"/>
                <w:sz w:val="22"/>
              </w:rPr>
              <w:t xml:space="preserve">53,946,052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60,370,475</w:t>
            </w:r>
          </w:p>
        </w:tc>
      </w:tr>
      <w:tr>
        <w:trPr>
          <w:trHeight w:hRule="exact" w:val="50"/>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证券投资者保护基金</w:t>
            </w:r>
          </w:p>
        </w:tc>
        <w:tc>
          <w:tcPr>
            <w:tcW w:type="dxa" w:w="2256"/>
            <w:vMerge/>
            <w:tcBorders/>
          </w:tcPr>
          <w:p/>
        </w:tc>
        <w:tc>
          <w:tcPr>
            <w:tcW w:type="dxa" w:w="2256"/>
            <w:vMerge/>
            <w:tcBorders/>
          </w:tcPr>
          <w:p/>
        </w:tc>
      </w:tr>
      <w:tr>
        <w:trPr>
          <w:trHeight w:hRule="exact" w:val="230"/>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164" w:firstLine="0"/>
              <w:jc w:val="right"/>
            </w:pPr>
            <w:r>
              <w:rPr>
                <w:rFonts w:ascii="Arial" w:hAnsi="Arial" w:eastAsia="Arial"/>
                <w:b w:val="0"/>
                <w:i w:val="0"/>
                <w:color w:val="000000"/>
                <w:sz w:val="22"/>
              </w:rPr>
              <w:t xml:space="preserve">18,891,807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12,037,877</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6"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6"/>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164" w:firstLine="0"/>
              <w:jc w:val="right"/>
            </w:pPr>
            <w:r>
              <w:rPr>
                <w:rFonts w:ascii="Arial" w:hAnsi="Arial" w:eastAsia="Arial"/>
                <w:b w:val="0"/>
                <w:i w:val="0"/>
                <w:color w:val="000000"/>
                <w:sz w:val="22"/>
              </w:rPr>
              <w:t xml:space="preserve">44,785,202 </w:t>
            </w: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60,131,133</w:t>
            </w:r>
          </w:p>
        </w:tc>
      </w:tr>
      <w:tr>
        <w:trPr>
          <w:trHeight w:hRule="exact" w:val="548"/>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278"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5" w:lineRule="auto" w:before="286" w:after="0"/>
              <w:ind w:left="466" w:right="0" w:firstLine="0"/>
              <w:jc w:val="left"/>
            </w:pPr>
            <w:r>
              <w:rPr>
                <w:rFonts w:ascii="Arial" w:hAnsi="Arial" w:eastAsia="Arial"/>
                <w:b w:val="0"/>
                <w:i w:val="0"/>
                <w:color w:val="000000"/>
                <w:sz w:val="22"/>
              </w:rPr>
              <w:t xml:space="preserve">2,078,801,870 </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5" w:lineRule="auto" w:before="286" w:after="0"/>
              <w:ind w:left="464" w:right="0" w:firstLine="0"/>
              <w:jc w:val="left"/>
            </w:pPr>
            <w:r>
              <w:rPr>
                <w:rFonts w:ascii="Arial" w:hAnsi="Arial" w:eastAsia="Arial"/>
                <w:b w:val="0"/>
                <w:i w:val="0"/>
                <w:color w:val="000000"/>
                <w:sz w:val="22"/>
              </w:rPr>
              <w:t>2,048,662,935</w:t>
            </w:r>
          </w:p>
        </w:tc>
      </w:tr>
      <w:tr>
        <w:trPr>
          <w:trHeight w:hRule="exact" w:val="52"/>
        </w:trPr>
        <w:tc>
          <w:tcPr>
            <w:tcW w:type="dxa" w:w="4512"/>
            <w:gridSpan w:val="2"/>
            <w:vMerge/>
            <w:tcBorders>
              <w:top w:sz="4.0" w:val="single" w:color="#000000"/>
            </w:tcBorders>
          </w:tcPr>
          <w:p/>
        </w:tc>
        <w:tc>
          <w:tcPr>
            <w:tcW w:type="dxa" w:w="2098"/>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r>
    </w:tbl>
    <w:p>
      <w:pPr>
        <w:autoSpaceDN w:val="0"/>
        <w:autoSpaceDE w:val="0"/>
        <w:widowControl/>
        <w:spacing w:line="233" w:lineRule="auto" w:before="3928" w:after="0"/>
        <w:ind w:left="0" w:right="0" w:firstLine="0"/>
        <w:jc w:val="center"/>
      </w:pPr>
      <w:r>
        <w:rPr>
          <w:rFonts w:ascii="Arial" w:hAnsi="Arial" w:eastAsia="Arial"/>
          <w:b w:val="0"/>
          <w:i w:val="0"/>
          <w:color w:val="000000"/>
          <w:sz w:val="20"/>
        </w:rPr>
        <w:t xml:space="preserve">239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49.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信用减值损失</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计提融出资金减值损失</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2" w:firstLine="0"/>
              <w:jc w:val="right"/>
            </w:pPr>
            <w:r>
              <w:rPr>
                <w:rFonts w:ascii="Arial" w:hAnsi="Arial" w:eastAsia="Arial"/>
                <w:b w:val="0"/>
                <w:i w:val="0"/>
                <w:color w:val="000000"/>
                <w:sz w:val="22"/>
              </w:rPr>
              <w:t>14,794,253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4" w:firstLine="0"/>
              <w:jc w:val="right"/>
            </w:pPr>
            <w:r>
              <w:rPr>
                <w:rFonts w:ascii="Arial" w:hAnsi="Arial" w:eastAsia="Arial"/>
                <w:b w:val="0"/>
                <w:i w:val="0"/>
                <w:color w:val="000000"/>
                <w:sz w:val="22"/>
              </w:rPr>
              <w:t>20,375,140</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转回买入返售金融资产减值损失</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92" w:firstLine="0"/>
              <w:jc w:val="right"/>
            </w:pPr>
            <w:r>
              <w:rPr>
                <w:rFonts w:ascii="Arial" w:hAnsi="Arial" w:eastAsia="Arial"/>
                <w:b w:val="0"/>
                <w:i w:val="0"/>
                <w:color w:val="000000"/>
                <w:sz w:val="22"/>
              </w:rPr>
              <w:t xml:space="preserve">(2,744,347) </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92" w:firstLine="0"/>
              <w:jc w:val="right"/>
            </w:pPr>
            <w:r>
              <w:rPr>
                <w:rFonts w:ascii="Arial" w:hAnsi="Arial" w:eastAsia="Arial"/>
                <w:b w:val="0"/>
                <w:i w:val="0"/>
                <w:color w:val="000000"/>
                <w:sz w:val="22"/>
              </w:rPr>
              <w:t xml:space="preserve">(3,429,040) </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6" w:lineRule="exact" w:before="50" w:after="0"/>
              <w:ind w:left="198" w:right="0" w:firstLine="0"/>
              <w:jc w:val="left"/>
            </w:pPr>
            <w:r>
              <w:rPr>
                <w:rFonts w:ascii="黑体" w:hAnsi="黑体" w:eastAsia="黑体"/>
                <w:b w:val="0"/>
                <w:i w:val="0"/>
                <w:color w:val="000000"/>
                <w:sz w:val="22"/>
              </w:rPr>
              <w:t>计提</w:t>
            </w:r>
            <w:r>
              <w:rPr>
                <w:rFonts w:ascii="Arial" w:hAnsi="Arial" w:eastAsia="Arial"/>
                <w:b w:val="0"/>
                <w:i w:val="0"/>
                <w:color w:val="000000"/>
                <w:sz w:val="22"/>
              </w:rPr>
              <w:t>/</w:t>
            </w:r>
            <w:r>
              <w:rPr>
                <w:rFonts w:ascii="黑体" w:hAnsi="黑体" w:eastAsia="黑体"/>
                <w:b w:val="0"/>
                <w:i w:val="0"/>
                <w:color w:val="000000"/>
                <w:sz w:val="22"/>
              </w:rPr>
              <w:t>（转回）应收款项减值损失</w:t>
            </w:r>
          </w:p>
        </w:tc>
        <w:tc>
          <w:tcPr>
            <w:tcW w:type="dxa" w:w="2256"/>
            <w:vMerge/>
            <w:tcBorders/>
          </w:tcPr>
          <w:p/>
        </w:tc>
        <w:tc>
          <w:tcPr>
            <w:tcW w:type="dxa" w:w="2256"/>
            <w:vMerge/>
            <w:tcBorders/>
          </w:tcPr>
          <w:p/>
        </w:tc>
      </w:tr>
      <w:tr>
        <w:trPr>
          <w:trHeight w:hRule="exact" w:val="252"/>
        </w:trPr>
        <w:tc>
          <w:tcPr>
            <w:tcW w:type="dxa" w:w="4512"/>
            <w:gridSpan w:val="2"/>
            <w:vMerge/>
            <w:tcBorders/>
          </w:tcPr>
          <w:p/>
        </w:tc>
        <w:tc>
          <w:tcPr>
            <w:tcW w:type="dxa" w:w="2098"/>
            <w:tcBorders/>
            <w:tcMar>
              <w:start w:w="0" w:type="dxa"/>
              <w:end w:w="0" w:type="dxa"/>
            </w:tcMar>
          </w:tcPr>
          <w:p>
            <w:pPr>
              <w:autoSpaceDN w:val="0"/>
              <w:autoSpaceDE w:val="0"/>
              <w:widowControl/>
              <w:spacing w:line="233" w:lineRule="auto" w:before="6" w:after="0"/>
              <w:ind w:left="0" w:right="222" w:firstLine="0"/>
              <w:jc w:val="right"/>
            </w:pPr>
            <w:r>
              <w:rPr>
                <w:rFonts w:ascii="Arial" w:hAnsi="Arial" w:eastAsia="Arial"/>
                <w:b w:val="0"/>
                <w:i w:val="0"/>
                <w:color w:val="000000"/>
                <w:sz w:val="22"/>
              </w:rPr>
              <w:t>2,009,913</w:t>
            </w:r>
          </w:p>
        </w:tc>
        <w:tc>
          <w:tcPr>
            <w:tcW w:type="dxa" w:w="2098"/>
            <w:tcBorders/>
            <w:tcMar>
              <w:start w:w="0" w:type="dxa"/>
              <w:end w:w="0" w:type="dxa"/>
            </w:tcMar>
          </w:tcPr>
          <w:p>
            <w:pPr>
              <w:autoSpaceDN w:val="0"/>
              <w:autoSpaceDE w:val="0"/>
              <w:widowControl/>
              <w:spacing w:line="233" w:lineRule="auto" w:before="6" w:after="0"/>
              <w:ind w:left="0" w:right="92" w:firstLine="0"/>
              <w:jc w:val="right"/>
            </w:pPr>
            <w:r>
              <w:rPr>
                <w:rFonts w:ascii="Arial" w:hAnsi="Arial" w:eastAsia="Arial"/>
                <w:b w:val="0"/>
                <w:i w:val="0"/>
                <w:color w:val="000000"/>
                <w:sz w:val="22"/>
              </w:rPr>
              <w:t xml:space="preserve">(1,167,283) </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46" w:lineRule="exact" w:before="34" w:after="0"/>
              <w:ind w:left="198" w:right="0" w:firstLine="0"/>
              <w:jc w:val="left"/>
            </w:pPr>
            <w:r>
              <w:rPr>
                <w:rFonts w:ascii="黑体" w:hAnsi="黑体" w:eastAsia="黑体"/>
                <w:b w:val="0"/>
                <w:i w:val="0"/>
                <w:color w:val="000000"/>
                <w:sz w:val="22"/>
              </w:rPr>
              <w:t>（转回）</w:t>
            </w:r>
            <w:r>
              <w:rPr>
                <w:rFonts w:ascii="Arial" w:hAnsi="Arial" w:eastAsia="Arial"/>
                <w:b w:val="0"/>
                <w:i w:val="0"/>
                <w:color w:val="000000"/>
                <w:sz w:val="22"/>
              </w:rPr>
              <w:t>/</w:t>
            </w:r>
            <w:r>
              <w:rPr>
                <w:rFonts w:ascii="黑体" w:hAnsi="黑体" w:eastAsia="黑体"/>
                <w:b w:val="0"/>
                <w:i w:val="0"/>
                <w:color w:val="000000"/>
                <w:sz w:val="22"/>
              </w:rPr>
              <w:t>计提债权投资减值损失</w:t>
            </w:r>
          </w:p>
        </w:tc>
        <w:tc>
          <w:tcPr>
            <w:tcW w:type="dxa" w:w="2098"/>
            <w:tcBorders/>
            <w:tcMar>
              <w:start w:w="0" w:type="dxa"/>
              <w:end w:w="0" w:type="dxa"/>
            </w:tcMar>
          </w:tcPr>
          <w:p>
            <w:pPr>
              <w:autoSpaceDN w:val="0"/>
              <w:autoSpaceDE w:val="0"/>
              <w:widowControl/>
              <w:spacing w:line="233" w:lineRule="auto" w:before="34" w:after="0"/>
              <w:ind w:left="0" w:right="92" w:firstLine="0"/>
              <w:jc w:val="right"/>
            </w:pPr>
            <w:r>
              <w:rPr>
                <w:rFonts w:ascii="Arial" w:hAnsi="Arial" w:eastAsia="Arial"/>
                <w:b w:val="0"/>
                <w:i w:val="0"/>
                <w:color w:val="000000"/>
                <w:sz w:val="22"/>
              </w:rPr>
              <w:t xml:space="preserve">(2,654) </w:t>
            </w:r>
          </w:p>
        </w:tc>
        <w:tc>
          <w:tcPr>
            <w:tcW w:type="dxa" w:w="2098"/>
            <w:tcBorders/>
            <w:tcMar>
              <w:start w:w="0" w:type="dxa"/>
              <w:end w:w="0" w:type="dxa"/>
            </w:tcMar>
          </w:tcPr>
          <w:p>
            <w:pPr>
              <w:autoSpaceDN w:val="0"/>
              <w:autoSpaceDE w:val="0"/>
              <w:widowControl/>
              <w:spacing w:line="233" w:lineRule="auto" w:before="34" w:after="0"/>
              <w:ind w:left="0" w:right="224" w:firstLine="0"/>
              <w:jc w:val="right"/>
            </w:pPr>
            <w:r>
              <w:rPr>
                <w:rFonts w:ascii="Arial" w:hAnsi="Arial" w:eastAsia="Arial"/>
                <w:b w:val="0"/>
                <w:i w:val="0"/>
                <w:color w:val="000000"/>
                <w:sz w:val="22"/>
              </w:rPr>
              <w:t>7,279,669</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计提其他债权投资减值损失</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6,852,323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4" w:firstLine="0"/>
              <w:jc w:val="right"/>
            </w:pPr>
            <w:r>
              <w:rPr>
                <w:rFonts w:ascii="Arial" w:hAnsi="Arial" w:eastAsia="Arial"/>
                <w:b w:val="0"/>
                <w:i w:val="0"/>
                <w:color w:val="000000"/>
                <w:sz w:val="22"/>
              </w:rPr>
              <w:t>1,383,013</w:t>
            </w:r>
          </w:p>
        </w:tc>
      </w:tr>
      <w:tr>
        <w:trPr>
          <w:trHeight w:hRule="exact" w:val="46"/>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计提其他应收款减值损失</w:t>
            </w:r>
          </w:p>
        </w:tc>
        <w:tc>
          <w:tcPr>
            <w:tcW w:type="dxa" w:w="2256"/>
            <w:vMerge/>
            <w:tcBorders/>
          </w:tcPr>
          <w:p/>
        </w:tc>
        <w:tc>
          <w:tcPr>
            <w:tcW w:type="dxa" w:w="2256"/>
            <w:vMerge/>
            <w:tcBorders/>
          </w:tcPr>
          <w:p/>
        </w:tc>
      </w:tr>
      <w:tr>
        <w:trPr>
          <w:trHeight w:hRule="exact" w:val="272"/>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4,534,307</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36,930,041</w:t>
            </w:r>
          </w:p>
        </w:tc>
      </w:tr>
      <w:tr>
        <w:trPr>
          <w:trHeight w:hRule="exact" w:val="550"/>
        </w:trPr>
        <w:tc>
          <w:tcPr>
            <w:tcW w:type="dxa" w:w="4564"/>
            <w:gridSpan w:val="2"/>
            <w:tcBorders>
              <w:top w:sz="4.0" w:val="single" w:color="#000000"/>
              <w:bottom w:sz="3.200000000000273" w:val="single" w:color="#000000"/>
            </w:tcBorders>
            <w:tcMar>
              <w:start w:w="0" w:type="dxa"/>
              <w:end w:w="0" w:type="dxa"/>
            </w:tcMar>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92" w:after="0"/>
              <w:ind w:left="0" w:right="184" w:firstLine="0"/>
              <w:jc w:val="right"/>
            </w:pPr>
            <w:r>
              <w:rPr>
                <w:rFonts w:ascii="Arial" w:hAnsi="Arial" w:eastAsia="Arial"/>
                <w:b w:val="0"/>
                <w:i w:val="0"/>
                <w:color w:val="000000"/>
                <w:sz w:val="22"/>
              </w:rPr>
              <w:t xml:space="preserve">25,443,795 </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92" w:after="0"/>
              <w:ind w:left="0" w:right="224" w:firstLine="0"/>
              <w:jc w:val="right"/>
            </w:pPr>
            <w:r>
              <w:rPr>
                <w:rFonts w:ascii="Arial" w:hAnsi="Arial" w:eastAsia="Arial"/>
                <w:b w:val="0"/>
                <w:i w:val="0"/>
                <w:color w:val="000000"/>
                <w:sz w:val="22"/>
              </w:rPr>
              <w:t>61,371,540</w:t>
            </w:r>
          </w:p>
        </w:tc>
      </w:tr>
      <w:tr>
        <w:trPr>
          <w:trHeight w:hRule="exact" w:val="1212"/>
        </w:trPr>
        <w:tc>
          <w:tcPr>
            <w:tcW w:type="dxa" w:w="760"/>
            <w:tcBorders>
              <w:top w:sz="3.200000000000273" w:val="single" w:color="#000000"/>
            </w:tcBorders>
            <w:tcMar>
              <w:start w:w="0" w:type="dxa"/>
              <w:end w:w="0" w:type="dxa"/>
            </w:tcMar>
          </w:tcPr>
          <w:p>
            <w:pPr>
              <w:autoSpaceDN w:val="0"/>
              <w:autoSpaceDE w:val="0"/>
              <w:widowControl/>
              <w:spacing w:line="246" w:lineRule="exact" w:before="290" w:after="0"/>
              <w:ind w:left="0" w:right="0" w:firstLine="0"/>
              <w:jc w:val="center"/>
            </w:pPr>
            <w:r>
              <w:rPr>
                <w:rFonts w:ascii="Arial,Bold" w:hAnsi="Arial,Bold" w:eastAsia="Arial,Bold"/>
                <w:b/>
                <w:i w:val="0"/>
                <w:color w:val="000000"/>
                <w:sz w:val="22"/>
              </w:rPr>
              <w:t xml:space="preserve">50. </w:t>
            </w:r>
          </w:p>
        </w:tc>
        <w:tc>
          <w:tcPr>
            <w:tcW w:type="dxa" w:w="3804"/>
            <w:tcBorders>
              <w:top w:sz="3.200000000000273" w:val="single" w:color="#000000"/>
            </w:tcBorders>
            <w:tcMar>
              <w:start w:w="0" w:type="dxa"/>
              <w:end w:w="0" w:type="dxa"/>
            </w:tcMar>
          </w:tcPr>
          <w:p>
            <w:pPr>
              <w:autoSpaceDN w:val="0"/>
              <w:autoSpaceDE w:val="0"/>
              <w:widowControl/>
              <w:spacing w:line="222" w:lineRule="exact" w:before="300" w:after="0"/>
              <w:ind w:left="166" w:right="0" w:firstLine="0"/>
              <w:jc w:val="left"/>
            </w:pPr>
            <w:r>
              <w:rPr>
                <w:rFonts w:ascii="黑体" w:hAnsi="黑体" w:eastAsia="黑体"/>
                <w:b w:val="0"/>
                <w:i w:val="0"/>
                <w:color w:val="000000"/>
                <w:sz w:val="22"/>
              </w:rPr>
              <w:t>其他业务成本</w:t>
            </w:r>
          </w:p>
        </w:tc>
        <w:tc>
          <w:tcPr>
            <w:tcW w:type="dxa" w:w="2098"/>
            <w:tcBorders>
              <w:top w:sz="3.200000000000273" w:val="single" w:color="#000000"/>
            </w:tcBorders>
            <w:tcMar>
              <w:start w:w="0" w:type="dxa"/>
              <w:end w:w="0" w:type="dxa"/>
            </w:tcMar>
          </w:tcPr>
          <w:p>
            <w:pPr>
              <w:autoSpaceDN w:val="0"/>
              <w:autoSpaceDE w:val="0"/>
              <w:widowControl/>
              <w:spacing w:line="246" w:lineRule="exact" w:before="83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op w:sz="3.200000000000273" w:val="single" w:color="#000000"/>
            </w:tcBorders>
            <w:tcMar>
              <w:start w:w="0" w:type="dxa"/>
              <w:end w:w="0" w:type="dxa"/>
            </w:tcMar>
          </w:tcPr>
          <w:p>
            <w:pPr>
              <w:autoSpaceDN w:val="0"/>
              <w:autoSpaceDE w:val="0"/>
              <w:widowControl/>
              <w:spacing w:line="246" w:lineRule="exact" w:before="83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仓单业务成本</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2" w:firstLine="0"/>
              <w:jc w:val="right"/>
            </w:pPr>
            <w:r>
              <w:rPr>
                <w:rFonts w:ascii="Arial" w:hAnsi="Arial" w:eastAsia="Arial"/>
                <w:b w:val="0"/>
                <w:i w:val="0"/>
                <w:color w:val="000000"/>
                <w:sz w:val="22"/>
              </w:rPr>
              <w:t>189,349,783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4" w:firstLine="0"/>
              <w:jc w:val="right"/>
            </w:pPr>
            <w:r>
              <w:rPr>
                <w:rFonts w:ascii="Arial" w:hAnsi="Arial" w:eastAsia="Arial"/>
                <w:b w:val="0"/>
                <w:i w:val="0"/>
                <w:color w:val="000000"/>
                <w:sz w:val="22"/>
              </w:rPr>
              <w:t>561,510,649</w:t>
            </w:r>
          </w:p>
        </w:tc>
      </w:tr>
      <w:tr>
        <w:trPr>
          <w:trHeight w:hRule="exact" w:val="44"/>
        </w:trPr>
        <w:tc>
          <w:tcPr>
            <w:tcW w:type="dxa" w:w="4564"/>
            <w:gridSpan w:val="2"/>
            <w:vMerge w:val="restart"/>
            <w:tcBorders>
              <w:bottom w:sz="3.20000000000027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4"/>
        </w:trPr>
        <w:tc>
          <w:tcPr>
            <w:tcW w:type="dxa" w:w="4512"/>
            <w:gridSpan w:val="2"/>
            <w:vMerge/>
            <w:tcBorders>
              <w:bottom w:sz="3.200000000000273" w:val="single" w:color="#000000"/>
            </w:tcBorders>
          </w:tcPr>
          <w:p/>
        </w:tc>
        <w:tc>
          <w:tcPr>
            <w:tcW w:type="dxa" w:w="2098"/>
            <w:tcBorders>
              <w:bottom w:sz="3.200000000000273"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12,203,265</w:t>
            </w:r>
          </w:p>
        </w:tc>
        <w:tc>
          <w:tcPr>
            <w:tcW w:type="dxa" w:w="2098"/>
            <w:tcBorders>
              <w:bottom w:sz="3.200000000000273"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7,769,922</w:t>
            </w:r>
          </w:p>
        </w:tc>
      </w:tr>
      <w:tr>
        <w:trPr>
          <w:trHeight w:hRule="exact" w:val="550"/>
        </w:trPr>
        <w:tc>
          <w:tcPr>
            <w:tcW w:type="dxa" w:w="4564"/>
            <w:gridSpan w:val="2"/>
            <w:tcBorders>
              <w:top w:sz="3.200000000000273"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2098"/>
            <w:tcBorders>
              <w:top w:sz="3.200000000000273"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201,553,048</w:t>
            </w:r>
          </w:p>
        </w:tc>
        <w:tc>
          <w:tcPr>
            <w:tcW w:type="dxa" w:w="2098"/>
            <w:tcBorders>
              <w:top w:sz="3.200000000000273"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569,280,571</w:t>
            </w:r>
          </w:p>
        </w:tc>
      </w:tr>
      <w:tr>
        <w:trPr>
          <w:trHeight w:hRule="exact" w:val="1212"/>
        </w:trPr>
        <w:tc>
          <w:tcPr>
            <w:tcW w:type="dxa" w:w="760"/>
            <w:tcBorders>
              <w:top w:sz="4.0" w:val="single" w:color="#000000"/>
            </w:tcBorders>
            <w:tcMar>
              <w:start w:w="0" w:type="dxa"/>
              <w:end w:w="0" w:type="dxa"/>
            </w:tcMar>
          </w:tcPr>
          <w:p>
            <w:pPr>
              <w:autoSpaceDN w:val="0"/>
              <w:autoSpaceDE w:val="0"/>
              <w:widowControl/>
              <w:spacing w:line="246" w:lineRule="exact" w:before="290" w:after="0"/>
              <w:ind w:left="0" w:right="0" w:firstLine="0"/>
              <w:jc w:val="center"/>
            </w:pPr>
            <w:r>
              <w:rPr>
                <w:rFonts w:ascii="Arial,Bold" w:hAnsi="Arial,Bold" w:eastAsia="Arial,Bold"/>
                <w:b/>
                <w:i w:val="0"/>
                <w:color w:val="000000"/>
                <w:sz w:val="22"/>
              </w:rPr>
              <w:t xml:space="preserve">51. </w:t>
            </w:r>
          </w:p>
        </w:tc>
        <w:tc>
          <w:tcPr>
            <w:tcW w:type="dxa" w:w="3804"/>
            <w:tcBorders>
              <w:top w:sz="4.0" w:val="single" w:color="#000000"/>
            </w:tcBorders>
            <w:tcMar>
              <w:start w:w="0" w:type="dxa"/>
              <w:end w:w="0" w:type="dxa"/>
            </w:tcMar>
          </w:tcPr>
          <w:p>
            <w:pPr>
              <w:autoSpaceDN w:val="0"/>
              <w:autoSpaceDE w:val="0"/>
              <w:widowControl/>
              <w:spacing w:line="222" w:lineRule="exact" w:before="300" w:after="0"/>
              <w:ind w:left="166" w:right="0" w:firstLine="0"/>
              <w:jc w:val="left"/>
            </w:pPr>
            <w:r>
              <w:rPr>
                <w:rFonts w:ascii="黑体" w:hAnsi="黑体" w:eastAsia="黑体"/>
                <w:b w:val="0"/>
                <w:i w:val="0"/>
                <w:color w:val="000000"/>
                <w:sz w:val="22"/>
              </w:rPr>
              <w:t>营业外收入</w:t>
            </w:r>
          </w:p>
        </w:tc>
        <w:tc>
          <w:tcPr>
            <w:tcW w:type="dxa" w:w="2098"/>
            <w:tcBorders>
              <w:top w:sz="4.0" w:val="single" w:color="#000000"/>
            </w:tcBorders>
            <w:tcMar>
              <w:start w:w="0" w:type="dxa"/>
              <w:end w:w="0" w:type="dxa"/>
            </w:tcMar>
          </w:tcPr>
          <w:p>
            <w:pPr>
              <w:autoSpaceDN w:val="0"/>
              <w:autoSpaceDE w:val="0"/>
              <w:widowControl/>
              <w:spacing w:line="246" w:lineRule="exact" w:before="828"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op w:sz="4.0" w:val="single" w:color="#000000"/>
            </w:tcBorders>
            <w:tcMar>
              <w:start w:w="0" w:type="dxa"/>
              <w:end w:w="0" w:type="dxa"/>
            </w:tcMar>
          </w:tcPr>
          <w:p>
            <w:pPr>
              <w:autoSpaceDN w:val="0"/>
              <w:autoSpaceDE w:val="0"/>
              <w:widowControl/>
              <w:spacing w:line="246" w:lineRule="exact" w:before="828"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0" w:lineRule="exact" w:before="170" w:after="0"/>
              <w:ind w:left="198" w:right="0" w:firstLine="0"/>
              <w:jc w:val="left"/>
            </w:pPr>
            <w:r>
              <w:rPr>
                <w:rFonts w:ascii="黑体" w:hAnsi="黑体" w:eastAsia="黑体"/>
                <w:b w:val="0"/>
                <w:i w:val="0"/>
                <w:color w:val="000000"/>
                <w:sz w:val="22"/>
              </w:rPr>
              <w:t>政府补助</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6" w:after="0"/>
              <w:ind w:left="0" w:right="222" w:firstLine="0"/>
              <w:jc w:val="right"/>
            </w:pPr>
            <w:r>
              <w:rPr>
                <w:rFonts w:ascii="Arial" w:hAnsi="Arial" w:eastAsia="Arial"/>
                <w:b w:val="0"/>
                <w:i w:val="0"/>
                <w:color w:val="000000"/>
                <w:sz w:val="22"/>
              </w:rPr>
              <w:t>36,432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6" w:after="0"/>
              <w:ind w:left="0" w:right="228" w:firstLine="0"/>
              <w:jc w:val="right"/>
            </w:pPr>
            <w:r>
              <w:rPr>
                <w:rFonts w:ascii="Arial" w:hAnsi="Arial" w:eastAsia="Arial"/>
                <w:b w:val="0"/>
                <w:i w:val="0"/>
                <w:color w:val="000000"/>
                <w:sz w:val="22"/>
              </w:rPr>
              <w:t>-</w:t>
            </w:r>
          </w:p>
        </w:tc>
      </w:tr>
      <w:tr>
        <w:trPr>
          <w:trHeight w:hRule="exact" w:val="42"/>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4"/>
        </w:trPr>
        <w:tc>
          <w:tcPr>
            <w:tcW w:type="dxa" w:w="4512"/>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650,358</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1,988,448</w:t>
            </w:r>
          </w:p>
        </w:tc>
      </w:tr>
      <w:tr>
        <w:trPr>
          <w:trHeight w:hRule="exact" w:val="548"/>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686,790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1,988,448</w:t>
            </w:r>
          </w:p>
        </w:tc>
      </w:tr>
      <w:tr>
        <w:trPr>
          <w:trHeight w:hRule="exact" w:val="52"/>
        </w:trPr>
        <w:tc>
          <w:tcPr>
            <w:tcW w:type="dxa" w:w="4512"/>
            <w:gridSpan w:val="2"/>
            <w:vMerge/>
            <w:tcBorders>
              <w:top w:sz="4.0" w:val="single" w:color="#000000"/>
            </w:tcBorders>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5062" w:after="0"/>
        <w:ind w:left="0" w:right="0" w:firstLine="0"/>
        <w:jc w:val="center"/>
      </w:pPr>
      <w:r>
        <w:rPr>
          <w:rFonts w:ascii="Arial" w:hAnsi="Arial" w:eastAsia="Arial"/>
          <w:b w:val="0"/>
          <w:i w:val="0"/>
          <w:color w:val="000000"/>
          <w:sz w:val="20"/>
        </w:rPr>
        <w:t xml:space="preserve">240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64"/>
        </w:trPr>
        <w:tc>
          <w:tcPr>
            <w:tcW w:type="dxa" w:w="760"/>
            <w:tcBorders/>
            <w:tcMar>
              <w:start w:w="0" w:type="dxa"/>
              <w:end w:w="0" w:type="dxa"/>
            </w:tcMar>
          </w:tcPr>
          <w:p>
            <w:pPr>
              <w:autoSpaceDN w:val="0"/>
              <w:autoSpaceDE w:val="0"/>
              <w:widowControl/>
              <w:spacing w:line="220" w:lineRule="exact" w:before="0" w:after="0"/>
              <w:ind w:left="0" w:right="120" w:firstLine="0"/>
              <w:jc w:val="right"/>
            </w:pPr>
            <w:r>
              <w:rPr>
                <w:rFonts w:ascii="黑体" w:hAnsi="黑体" w:eastAsia="黑体"/>
                <w:b w:val="0"/>
                <w:i w:val="0"/>
                <w:color w:val="000000"/>
                <w:sz w:val="22"/>
              </w:rPr>
              <w:t>五、</w:t>
            </w:r>
          </w:p>
        </w:tc>
        <w:tc>
          <w:tcPr>
            <w:tcW w:type="dxa" w:w="3804"/>
            <w:tcBorders/>
            <w:tcMar>
              <w:start w:w="0" w:type="dxa"/>
              <w:end w:w="0" w:type="dxa"/>
            </w:tcMar>
          </w:tcPr>
          <w:p>
            <w:pPr>
              <w:autoSpaceDN w:val="0"/>
              <w:autoSpaceDE w:val="0"/>
              <w:widowControl/>
              <w:spacing w:line="220" w:lineRule="exact" w:before="0" w:after="0"/>
              <w:ind w:left="150" w:right="0" w:firstLine="0"/>
              <w:jc w:val="left"/>
            </w:pPr>
            <w:r>
              <w:rPr>
                <w:rFonts w:ascii="黑体" w:hAnsi="黑体" w:eastAsia="黑体"/>
                <w:b w:val="0"/>
                <w:i w:val="0"/>
                <w:color w:val="000000"/>
                <w:sz w:val="22"/>
              </w:rPr>
              <w:t>合并财务报表主要项目注释（续）</w:t>
            </w:r>
          </w:p>
        </w:tc>
        <w:tc>
          <w:tcPr>
            <w:tcW w:type="dxa" w:w="1870"/>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vMerge w:val="restart"/>
            <w:tcBorders/>
            <w:tcMar>
              <w:start w:w="0" w:type="dxa"/>
              <w:end w:w="0" w:type="dxa"/>
            </w:tcMar>
            <w:tcMar>
              <w:start w:w="0" w:type="dxa"/>
              <w:end w:w="0" w:type="dxa"/>
            </w:tcMar>
          </w:tcPr>
          <w:p>
            <w:pPr>
              <w:autoSpaceDN w:val="0"/>
              <w:autoSpaceDE w:val="0"/>
              <w:widowControl/>
              <w:spacing w:line="246" w:lineRule="exact" w:before="1064"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1080"/>
        </w:trPr>
        <w:tc>
          <w:tcPr>
            <w:tcW w:type="dxa" w:w="760"/>
            <w:tcBorders/>
            <w:tcMar>
              <w:start w:w="0" w:type="dxa"/>
              <w:end w:w="0" w:type="dxa"/>
            </w:tcMar>
          </w:tcPr>
          <w:p>
            <w:pPr>
              <w:autoSpaceDN w:val="0"/>
              <w:autoSpaceDE w:val="0"/>
              <w:widowControl/>
              <w:spacing w:line="248" w:lineRule="exact" w:before="162" w:after="0"/>
              <w:ind w:left="0" w:right="0" w:firstLine="0"/>
              <w:jc w:val="center"/>
            </w:pPr>
            <w:r>
              <w:rPr>
                <w:rFonts w:ascii="Arial,Bold" w:hAnsi="Arial,Bold" w:eastAsia="Arial,Bold"/>
                <w:b/>
                <w:i w:val="0"/>
                <w:color w:val="000000"/>
                <w:sz w:val="22"/>
              </w:rPr>
              <w:t xml:space="preserve">52. </w:t>
            </w:r>
          </w:p>
        </w:tc>
        <w:tc>
          <w:tcPr>
            <w:tcW w:type="dxa" w:w="3804"/>
            <w:tcBorders/>
            <w:tcMar>
              <w:start w:w="0" w:type="dxa"/>
              <w:end w:w="0" w:type="dxa"/>
            </w:tcMar>
          </w:tcPr>
          <w:p>
            <w:pPr>
              <w:autoSpaceDN w:val="0"/>
              <w:autoSpaceDE w:val="0"/>
              <w:widowControl/>
              <w:spacing w:line="220" w:lineRule="exact" w:before="174" w:after="0"/>
              <w:ind w:left="166" w:right="0" w:firstLine="0"/>
              <w:jc w:val="left"/>
            </w:pPr>
            <w:r>
              <w:rPr>
                <w:rFonts w:ascii="黑体" w:hAnsi="黑体" w:eastAsia="黑体"/>
                <w:b w:val="0"/>
                <w:i w:val="0"/>
                <w:color w:val="000000"/>
                <w:sz w:val="22"/>
              </w:rPr>
              <w:t>营业外支出</w:t>
            </w:r>
          </w:p>
        </w:tc>
        <w:tc>
          <w:tcPr>
            <w:tcW w:type="dxa" w:w="2256"/>
            <w:vMerge/>
            <w:tcBorders/>
          </w:tcPr>
          <w:p/>
        </w:tc>
        <w:tc>
          <w:tcPr>
            <w:tcW w:type="dxa" w:w="2256"/>
            <w:vMerge/>
            <w:tcBorders/>
          </w:tcP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捐赠支出</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2,324,053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1,553,783</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滞纳金、违约金</w:t>
            </w:r>
          </w:p>
        </w:tc>
        <w:tc>
          <w:tcPr>
            <w:tcW w:type="dxa" w:w="2256"/>
            <w:vMerge/>
            <w:tcBorders/>
          </w:tcPr>
          <w:p/>
        </w:tc>
        <w:tc>
          <w:tcPr>
            <w:tcW w:type="dxa" w:w="2256"/>
            <w:vMerge/>
            <w:tcBorders/>
          </w:tcPr>
          <w:p/>
        </w:tc>
      </w:tr>
      <w:tr>
        <w:trPr>
          <w:trHeight w:hRule="exact" w:val="238"/>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559,565</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603,352</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罚没支出</w:t>
            </w:r>
          </w:p>
        </w:tc>
        <w:tc>
          <w:tcPr>
            <w:tcW w:type="dxa" w:w="2256"/>
            <w:vMerge/>
            <w:tcBorders/>
          </w:tcPr>
          <w:p/>
        </w:tc>
        <w:tc>
          <w:tcPr>
            <w:tcW w:type="dxa" w:w="2256"/>
            <w:vMerge/>
            <w:tcBorders/>
          </w:tcPr>
          <w:p/>
        </w:tc>
      </w:tr>
      <w:tr>
        <w:trPr>
          <w:trHeight w:hRule="exact" w:val="232"/>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其他</w:t>
            </w:r>
          </w:p>
        </w:tc>
        <w:tc>
          <w:tcPr>
            <w:tcW w:type="dxa" w:w="2256"/>
            <w:vMerge/>
            <w:tcBorders/>
          </w:tcPr>
          <w:p/>
        </w:tc>
        <w:tc>
          <w:tcPr>
            <w:tcW w:type="dxa" w:w="2256"/>
            <w:vMerge/>
            <w:tcBorders/>
          </w:tcPr>
          <w:p/>
        </w:tc>
      </w:tr>
      <w:tr>
        <w:trPr>
          <w:trHeight w:hRule="exact" w:val="272"/>
        </w:trPr>
        <w:tc>
          <w:tcPr>
            <w:tcW w:type="dxa" w:w="4512"/>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1,238,344</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1,208,908</w:t>
            </w:r>
          </w:p>
        </w:tc>
      </w:tr>
      <w:tr>
        <w:trPr>
          <w:trHeight w:hRule="exact" w:val="552"/>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4,122,162</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3,366,043</w:t>
            </w:r>
          </w:p>
        </w:tc>
      </w:tr>
      <w:tr>
        <w:trPr>
          <w:trHeight w:hRule="exact" w:val="602"/>
        </w:trPr>
        <w:tc>
          <w:tcPr>
            <w:tcW w:type="dxa" w:w="76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53. </w:t>
            </w:r>
          </w:p>
        </w:tc>
        <w:tc>
          <w:tcPr>
            <w:tcW w:type="dxa" w:w="3804"/>
            <w:tcBorders>
              <w:top w:sz="4.0" w:val="single" w:color="#000000"/>
            </w:tcBorders>
            <w:tcMar>
              <w:start w:w="0" w:type="dxa"/>
              <w:end w:w="0" w:type="dxa"/>
            </w:tcMar>
          </w:tcPr>
          <w:p>
            <w:pPr>
              <w:autoSpaceDN w:val="0"/>
              <w:autoSpaceDE w:val="0"/>
              <w:widowControl/>
              <w:spacing w:line="220" w:lineRule="exact" w:before="302" w:after="0"/>
              <w:ind w:left="166" w:right="0" w:firstLine="0"/>
              <w:jc w:val="left"/>
            </w:pPr>
            <w:r>
              <w:rPr>
                <w:rFonts w:ascii="黑体" w:hAnsi="黑体" w:eastAsia="黑体"/>
                <w:b w:val="0"/>
                <w:i w:val="0"/>
                <w:color w:val="000000"/>
                <w:sz w:val="22"/>
              </w:rPr>
              <w:t>所得税费用</w:t>
            </w: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32"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本年所得税费用</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当期所得税费用</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113,790,365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91,876,424</w:t>
            </w:r>
          </w:p>
        </w:tc>
      </w:tr>
      <w:tr>
        <w:trPr>
          <w:trHeight w:hRule="exact" w:val="5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递延所得税费用</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20,595,493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83,907,388</w:t>
            </w:r>
          </w:p>
        </w:tc>
      </w:tr>
      <w:tr>
        <w:trPr>
          <w:trHeight w:hRule="exact" w:val="550"/>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134,385,858</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175,783,812</w:t>
            </w:r>
          </w:p>
        </w:tc>
      </w:tr>
      <w:tr>
        <w:trPr>
          <w:trHeight w:hRule="exact" w:val="52"/>
        </w:trPr>
        <w:tc>
          <w:tcPr>
            <w:tcW w:type="dxa" w:w="4564"/>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246" w:lineRule="exact" w:before="246"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所得税费用与会计利润的关系</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5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税前利润</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222" w:firstLine="0"/>
              <w:jc w:val="right"/>
            </w:pPr>
            <w:r>
              <w:rPr>
                <w:rFonts w:ascii="Arial" w:hAnsi="Arial" w:eastAsia="Arial"/>
                <w:b w:val="0"/>
                <w:i w:val="0"/>
                <w:color w:val="000000"/>
                <w:sz w:val="22"/>
              </w:rPr>
              <w:t>825,119,488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224" w:firstLine="0"/>
              <w:jc w:val="right"/>
            </w:pPr>
            <w:r>
              <w:rPr>
                <w:rFonts w:ascii="Arial" w:hAnsi="Arial" w:eastAsia="Arial"/>
                <w:b w:val="0"/>
                <w:i w:val="0"/>
                <w:color w:val="000000"/>
                <w:sz w:val="22"/>
              </w:rPr>
              <w:t>767,807,998</w:t>
            </w:r>
          </w:p>
        </w:tc>
      </w:tr>
      <w:tr>
        <w:trPr>
          <w:trHeight w:hRule="exact" w:val="17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314" w:after="0"/>
              <w:ind w:left="198" w:right="0" w:firstLine="0"/>
              <w:jc w:val="left"/>
            </w:pPr>
            <w:r>
              <w:rPr>
                <w:rFonts w:ascii="黑体" w:hAnsi="黑体" w:eastAsia="黑体"/>
                <w:b w:val="0"/>
                <w:i w:val="0"/>
                <w:color w:val="000000"/>
                <w:sz w:val="22"/>
              </w:rPr>
              <w:t>按适用税率计算的预期所得税</w:t>
            </w:r>
          </w:p>
        </w:tc>
        <w:tc>
          <w:tcPr>
            <w:tcW w:type="dxa" w:w="3009"/>
            <w:vMerge/>
            <w:tcBorders/>
          </w:tcPr>
          <w:p/>
        </w:tc>
        <w:tc>
          <w:tcPr>
            <w:tcW w:type="dxa" w:w="3009"/>
            <w:vMerge/>
            <w:tcBorders/>
          </w:tcPr>
          <w:p/>
        </w:tc>
      </w:tr>
      <w:tr>
        <w:trPr>
          <w:trHeight w:hRule="exact" w:val="362"/>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46" w:after="0"/>
              <w:ind w:left="0" w:right="222" w:firstLine="0"/>
              <w:jc w:val="right"/>
            </w:pPr>
            <w:r>
              <w:rPr>
                <w:rFonts w:ascii="Arial" w:hAnsi="Arial" w:eastAsia="Arial"/>
                <w:b w:val="0"/>
                <w:i w:val="0"/>
                <w:color w:val="000000"/>
                <w:sz w:val="22"/>
              </w:rPr>
              <w:t>206,279,872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46" w:after="0"/>
              <w:ind w:left="0" w:right="224" w:firstLine="0"/>
              <w:jc w:val="right"/>
            </w:pPr>
            <w:r>
              <w:rPr>
                <w:rFonts w:ascii="Arial" w:hAnsi="Arial" w:eastAsia="Arial"/>
                <w:b w:val="0"/>
                <w:i w:val="0"/>
                <w:color w:val="000000"/>
                <w:sz w:val="22"/>
              </w:rPr>
              <w:t>191,952,000</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非应税收入的影响</w:t>
            </w:r>
          </w:p>
        </w:tc>
        <w:tc>
          <w:tcPr>
            <w:tcW w:type="dxa" w:w="3009"/>
            <w:vMerge/>
            <w:tcBorders/>
          </w:tcPr>
          <w:p/>
        </w:tc>
        <w:tc>
          <w:tcPr>
            <w:tcW w:type="dxa" w:w="3009"/>
            <w:vMerge/>
            <w:tcBorders/>
          </w:tcPr>
          <w:p/>
        </w:tc>
      </w:tr>
      <w:tr>
        <w:trPr>
          <w:trHeight w:hRule="exact" w:val="23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92" w:firstLine="0"/>
              <w:jc w:val="right"/>
            </w:pPr>
            <w:r>
              <w:rPr>
                <w:rFonts w:ascii="Arial" w:hAnsi="Arial" w:eastAsia="Arial"/>
                <w:b w:val="0"/>
                <w:i w:val="0"/>
                <w:color w:val="000000"/>
                <w:sz w:val="22"/>
              </w:rPr>
              <w:t xml:space="preserve">(141,708,620)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92" w:firstLine="0"/>
              <w:jc w:val="right"/>
            </w:pPr>
            <w:r>
              <w:rPr>
                <w:rFonts w:ascii="Arial" w:hAnsi="Arial" w:eastAsia="Arial"/>
                <w:b w:val="0"/>
                <w:i w:val="0"/>
                <w:color w:val="000000"/>
                <w:sz w:val="22"/>
              </w:rPr>
              <w:t xml:space="preserve">(88,593,136) </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不可抵扣的成本、费用和损失的影响</w:t>
            </w:r>
          </w:p>
        </w:tc>
        <w:tc>
          <w:tcPr>
            <w:tcW w:type="dxa" w:w="3009"/>
            <w:vMerge/>
            <w:tcBorders/>
          </w:tcPr>
          <w:p/>
        </w:tc>
        <w:tc>
          <w:tcPr>
            <w:tcW w:type="dxa" w:w="3009"/>
            <w:vMerge/>
            <w:tcBorders/>
          </w:tcPr>
          <w:p/>
        </w:tc>
      </w:tr>
      <w:tr>
        <w:trPr>
          <w:trHeight w:hRule="exact" w:val="276"/>
        </w:trPr>
        <w:tc>
          <w:tcPr>
            <w:tcW w:type="dxa" w:w="3009"/>
            <w:vMerge/>
            <w:tcBorders/>
          </w:tcPr>
          <w:p/>
        </w:tc>
        <w:tc>
          <w:tcPr>
            <w:tcW w:type="dxa" w:w="2098"/>
            <w:tcBorders/>
            <w:tcMar>
              <w:start w:w="0" w:type="dxa"/>
              <w:end w:w="0" w:type="dxa"/>
            </w:tcMar>
          </w:tcPr>
          <w:p>
            <w:pPr>
              <w:autoSpaceDN w:val="0"/>
              <w:autoSpaceDE w:val="0"/>
              <w:widowControl/>
              <w:spacing w:line="235" w:lineRule="auto" w:before="20" w:after="0"/>
              <w:ind w:left="0" w:right="184" w:firstLine="0"/>
              <w:jc w:val="right"/>
            </w:pPr>
            <w:r>
              <w:rPr>
                <w:rFonts w:ascii="Arial" w:hAnsi="Arial" w:eastAsia="Arial"/>
                <w:b w:val="0"/>
                <w:i w:val="0"/>
                <w:color w:val="000000"/>
                <w:sz w:val="22"/>
              </w:rPr>
              <w:t xml:space="preserve">38,356,979 </w:t>
            </w:r>
          </w:p>
        </w:tc>
        <w:tc>
          <w:tcPr>
            <w:tcW w:type="dxa" w:w="2098"/>
            <w:tcBorders/>
            <w:tcMar>
              <w:start w:w="0" w:type="dxa"/>
              <w:end w:w="0" w:type="dxa"/>
            </w:tcMar>
          </w:tcPr>
          <w:p>
            <w:pPr>
              <w:autoSpaceDN w:val="0"/>
              <w:autoSpaceDE w:val="0"/>
              <w:widowControl/>
              <w:spacing w:line="235" w:lineRule="auto" w:before="20" w:after="0"/>
              <w:ind w:left="0" w:right="224" w:firstLine="0"/>
              <w:jc w:val="right"/>
            </w:pPr>
            <w:r>
              <w:rPr>
                <w:rFonts w:ascii="Arial" w:hAnsi="Arial" w:eastAsia="Arial"/>
                <w:b w:val="0"/>
                <w:i w:val="0"/>
                <w:color w:val="000000"/>
                <w:sz w:val="22"/>
              </w:rPr>
              <w:t>31,753,182</w:t>
            </w:r>
          </w:p>
        </w:tc>
      </w:tr>
      <w:tr>
        <w:trPr>
          <w:trHeight w:hRule="exact" w:val="250"/>
        </w:trPr>
        <w:tc>
          <w:tcPr>
            <w:tcW w:type="dxa" w:w="4564"/>
            <w:tcBorders/>
            <w:tcMar>
              <w:start w:w="0" w:type="dxa"/>
              <w:end w:w="0" w:type="dxa"/>
            </w:tcMar>
          </w:tcPr>
          <w:p>
            <w:pPr>
              <w:autoSpaceDN w:val="0"/>
              <w:autoSpaceDE w:val="0"/>
              <w:widowControl/>
              <w:spacing w:line="220" w:lineRule="exact" w:before="22" w:after="0"/>
              <w:ind w:left="198" w:right="0" w:firstLine="0"/>
              <w:jc w:val="left"/>
            </w:pPr>
            <w:r>
              <w:rPr>
                <w:rFonts w:ascii="黑体" w:hAnsi="黑体" w:eastAsia="黑体"/>
                <w:b w:val="0"/>
                <w:i w:val="0"/>
                <w:color w:val="000000"/>
                <w:sz w:val="22"/>
              </w:rPr>
              <w:t>子公司适用不同税率的影响</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 w:after="0"/>
              <w:ind w:left="0" w:right="92" w:firstLine="0"/>
              <w:jc w:val="right"/>
            </w:pPr>
            <w:r>
              <w:rPr>
                <w:rFonts w:ascii="Arial" w:hAnsi="Arial" w:eastAsia="Arial"/>
                <w:b w:val="0"/>
                <w:i w:val="0"/>
                <w:color w:val="000000"/>
                <w:sz w:val="22"/>
              </w:rPr>
              <w:t xml:space="preserve">(1,275,230)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 w:after="0"/>
              <w:ind w:left="0" w:right="228" w:firstLine="0"/>
              <w:jc w:val="right"/>
            </w:pPr>
            <w:r>
              <w:rPr>
                <w:rFonts w:ascii="Arial" w:hAnsi="Arial" w:eastAsia="Arial"/>
                <w:b w:val="0"/>
                <w:i w:val="0"/>
                <w:color w:val="000000"/>
                <w:sz w:val="22"/>
              </w:rPr>
              <w:t>-</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其他</w:t>
            </w:r>
          </w:p>
        </w:tc>
        <w:tc>
          <w:tcPr>
            <w:tcW w:type="dxa" w:w="3009"/>
            <w:vMerge/>
            <w:tcBorders/>
          </w:tcPr>
          <w:p/>
        </w:tc>
        <w:tc>
          <w:tcPr>
            <w:tcW w:type="dxa" w:w="3009"/>
            <w:vMerge/>
            <w:tcBorders/>
          </w:tcPr>
          <w:p/>
        </w:tc>
      </w:tr>
      <w:tr>
        <w:trPr>
          <w:trHeight w:hRule="exact" w:val="276"/>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184" w:firstLine="0"/>
              <w:jc w:val="right"/>
            </w:pPr>
            <w:r>
              <w:rPr>
                <w:rFonts w:ascii="Arial" w:hAnsi="Arial" w:eastAsia="Arial"/>
                <w:b w:val="0"/>
                <w:i w:val="0"/>
                <w:color w:val="000000"/>
                <w:sz w:val="22"/>
              </w:rPr>
              <w:t xml:space="preserve">32,732,857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40,671,766</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本年所得税费用</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184" w:firstLine="0"/>
              <w:jc w:val="right"/>
            </w:pPr>
            <w:r>
              <w:rPr>
                <w:rFonts w:ascii="Arial" w:hAnsi="Arial" w:eastAsia="Arial"/>
                <w:b w:val="0"/>
                <w:i w:val="0"/>
                <w:color w:val="000000"/>
                <w:sz w:val="22"/>
              </w:rPr>
              <w:t xml:space="preserve">134,385,858 </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175,783,812</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3698" w:after="0"/>
        <w:ind w:left="0" w:right="0" w:firstLine="0"/>
        <w:jc w:val="center"/>
      </w:pPr>
      <w:r>
        <w:rPr>
          <w:rFonts w:ascii="Arial" w:hAnsi="Arial" w:eastAsia="Arial"/>
          <w:b w:val="0"/>
          <w:i w:val="0"/>
          <w:color w:val="000000"/>
          <w:sz w:val="20"/>
        </w:rPr>
        <w:t xml:space="preserve">241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24" w:lineRule="exact" w:before="0" w:after="246"/>
        <w:ind w:left="358" w:right="28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54. </w:t>
      </w:r>
      <w:r>
        <w:tab/>
      </w:r>
      <w:r>
        <w:rPr>
          <w:rFonts w:ascii="黑体" w:hAnsi="黑体" w:eastAsia="黑体"/>
          <w:b w:val="0"/>
          <w:i w:val="0"/>
          <w:color w:val="000000"/>
          <w:sz w:val="22"/>
        </w:rPr>
        <w:t>基本及稀释每股收益</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基本每股收益</w:t>
      </w:r>
      <w:r>
        <w:br/>
      </w:r>
      <w:r>
        <w:rPr>
          <w:rFonts w:ascii="黑体" w:hAnsi="黑体" w:eastAsia="黑体"/>
          <w:b w:val="0"/>
          <w:i w:val="0"/>
          <w:color w:val="000000"/>
          <w:sz w:val="22"/>
        </w:rPr>
        <w:t>基本每股收益以归属于母公司普通股股东的合并净利润除以本公司发行在外普通股的</w:t>
      </w:r>
      <w:r>
        <w:rPr>
          <w:rFonts w:ascii="黑体" w:hAnsi="黑体" w:eastAsia="黑体"/>
          <w:b w:val="0"/>
          <w:i w:val="0"/>
          <w:color w:val="000000"/>
          <w:sz w:val="22"/>
        </w:rPr>
        <w:t>加权平均数计算：</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5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归属于母公司普通股股东的合并净利润</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2"/>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711,831,847</w:t>
            </w:r>
          </w:p>
        </w:tc>
        <w:tc>
          <w:tcPr>
            <w:tcW w:type="dxa" w:w="2098"/>
            <w:tcBorders>
              <w:bottom w:sz="4.0" w:val="single" w:color="#000000"/>
            </w:tcBorders>
            <w:tcMar>
              <w:start w:w="0" w:type="dxa"/>
              <w:end w:w="0" w:type="dxa"/>
            </w:tcMar>
          </w:tcPr>
          <w:p>
            <w:pPr>
              <w:autoSpaceDN w:val="0"/>
              <w:autoSpaceDE w:val="0"/>
              <w:widowControl/>
              <w:spacing w:line="233" w:lineRule="auto" w:before="162" w:after="0"/>
              <w:ind w:left="0" w:right="0" w:firstLine="0"/>
              <w:jc w:val="right"/>
            </w:pPr>
            <w:r>
              <w:rPr>
                <w:rFonts w:ascii="Arial" w:hAnsi="Arial" w:eastAsia="Arial"/>
                <w:b w:val="0"/>
                <w:i w:val="0"/>
                <w:color w:val="000000"/>
                <w:sz w:val="22"/>
              </w:rPr>
              <w:t>619,761,504</w:t>
            </w:r>
          </w:p>
        </w:tc>
      </w:tr>
      <w:tr>
        <w:trPr>
          <w:trHeight w:hRule="exact" w:val="57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302" w:after="0"/>
              <w:ind w:left="198" w:right="0" w:firstLine="0"/>
              <w:jc w:val="left"/>
            </w:pPr>
            <w:r>
              <w:rPr>
                <w:rFonts w:ascii="黑体" w:hAnsi="黑体" w:eastAsia="黑体"/>
                <w:b w:val="0"/>
                <w:i w:val="0"/>
                <w:color w:val="000000"/>
                <w:sz w:val="22"/>
              </w:rPr>
              <w:t>本公司发行在外普通股的加权平均数</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310" w:after="0"/>
              <w:ind w:left="466" w:right="0" w:firstLine="0"/>
              <w:jc w:val="left"/>
            </w:pPr>
            <w:r>
              <w:rPr>
                <w:rFonts w:ascii="Arial" w:hAnsi="Arial" w:eastAsia="Arial"/>
                <w:b w:val="0"/>
                <w:i w:val="0"/>
                <w:color w:val="000000"/>
                <w:sz w:val="22"/>
              </w:rPr>
              <w:t>3,589,771,547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310" w:after="0"/>
              <w:ind w:left="0" w:right="0" w:firstLine="0"/>
              <w:jc w:val="right"/>
            </w:pPr>
            <w:r>
              <w:rPr>
                <w:rFonts w:ascii="Arial" w:hAnsi="Arial" w:eastAsia="Arial"/>
                <w:b w:val="0"/>
                <w:i w:val="0"/>
                <w:color w:val="000000"/>
                <w:sz w:val="22"/>
              </w:rPr>
              <w:t>3,589,771,547</w:t>
            </w:r>
          </w:p>
        </w:tc>
      </w:tr>
      <w:tr>
        <w:trPr>
          <w:trHeight w:hRule="exact" w:val="570"/>
        </w:trPr>
        <w:tc>
          <w:tcPr>
            <w:tcW w:type="dxa" w:w="4564"/>
            <w:tcBorders>
              <w:top w:sz="4.0" w:val="single" w:color="#000000"/>
              <w:bottom w:sz="4.0" w:val="single" w:color="#000000"/>
            </w:tcBorders>
            <w:tcMar>
              <w:start w:w="0" w:type="dxa"/>
              <w:end w:w="0" w:type="dxa"/>
            </w:tcMar>
          </w:tcPr>
          <w:p>
            <w:pPr>
              <w:autoSpaceDN w:val="0"/>
              <w:autoSpaceDE w:val="0"/>
              <w:widowControl/>
              <w:spacing w:line="246" w:lineRule="exact" w:before="292" w:after="0"/>
              <w:ind w:left="198" w:right="0" w:firstLine="0"/>
              <w:jc w:val="left"/>
            </w:pPr>
            <w:r>
              <w:rPr>
                <w:rFonts w:ascii="黑体" w:hAnsi="黑体" w:eastAsia="黑体"/>
                <w:b w:val="0"/>
                <w:i w:val="0"/>
                <w:color w:val="000000"/>
                <w:sz w:val="22"/>
              </w:rPr>
              <w:t>基本每股收益（元</w:t>
            </w:r>
            <w:r>
              <w:rPr>
                <w:rFonts w:ascii="Arial" w:hAnsi="Arial" w:eastAsia="Arial"/>
                <w:b w:val="0"/>
                <w:i w:val="0"/>
                <w:color w:val="000000"/>
                <w:sz w:val="22"/>
              </w:rPr>
              <w:t>/</w:t>
            </w:r>
            <w:r>
              <w:rPr>
                <w:rFonts w:ascii="黑体" w:hAnsi="黑体" w:eastAsia="黑体"/>
                <w:b w:val="0"/>
                <w:i w:val="0"/>
                <w:color w:val="000000"/>
                <w:sz w:val="22"/>
              </w:rPr>
              <w:t>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0.20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308" w:after="0"/>
              <w:ind w:left="0" w:right="0" w:firstLine="0"/>
              <w:jc w:val="right"/>
            </w:pPr>
            <w:r>
              <w:rPr>
                <w:rFonts w:ascii="Arial" w:hAnsi="Arial" w:eastAsia="Arial"/>
                <w:b w:val="0"/>
                <w:i w:val="0"/>
                <w:color w:val="000000"/>
                <w:sz w:val="22"/>
              </w:rPr>
              <w:t>0.17</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370" w:lineRule="exact" w:before="120"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稀释每股收益</w:t>
      </w:r>
      <w:r>
        <w:br/>
      </w:r>
      <w:r>
        <w:rPr>
          <w:rFonts w:ascii="黑体" w:hAnsi="黑体" w:eastAsia="黑体"/>
          <w:b w:val="0"/>
          <w:i w:val="0"/>
          <w:color w:val="000000"/>
          <w:sz w:val="22"/>
        </w:rPr>
        <w:t>稀释每股收益以归属于母公司普通股股东的合并净利润（稀释）除以母公司发行在外</w:t>
      </w:r>
      <w:r>
        <w:rPr>
          <w:rFonts w:ascii="黑体" w:hAnsi="黑体" w:eastAsia="黑体"/>
          <w:b w:val="0"/>
          <w:i w:val="0"/>
          <w:color w:val="000000"/>
          <w:sz w:val="22"/>
        </w:rPr>
        <w:t>普通股的加权平均数（稀释）计算。</w:t>
      </w:r>
      <w:r>
        <w:rPr>
          <w:rFonts w:ascii="Arial" w:hAnsi="Arial" w:eastAsia="Arial"/>
          <w:b w:val="0"/>
          <w:i w:val="0"/>
          <w:color w:val="000000"/>
          <w:sz w:val="22"/>
        </w:rPr>
        <w:t>2024</w:t>
      </w:r>
      <w:r>
        <w:rPr>
          <w:rFonts w:ascii="黑体" w:hAnsi="黑体" w:eastAsia="黑体"/>
          <w:b w:val="0"/>
          <w:i w:val="0"/>
          <w:color w:val="000000"/>
          <w:sz w:val="22"/>
        </w:rPr>
        <w:t>年度，本公司不存在具有稀释性的潜在普通</w:t>
      </w:r>
      <w:r>
        <w:rPr>
          <w:rFonts w:ascii="黑体" w:hAnsi="黑体" w:eastAsia="黑体"/>
          <w:b w:val="0"/>
          <w:i w:val="0"/>
          <w:color w:val="000000"/>
          <w:sz w:val="22"/>
        </w:rPr>
        <w:t>股（</w:t>
      </w:r>
      <w:r>
        <w:rPr>
          <w:rFonts w:ascii="Arial" w:hAnsi="Arial" w:eastAsia="Arial"/>
          <w:b w:val="0"/>
          <w:i w:val="0"/>
          <w:color w:val="000000"/>
          <w:sz w:val="22"/>
        </w:rPr>
        <w:t>2023</w:t>
      </w:r>
      <w:r>
        <w:rPr>
          <w:rFonts w:ascii="黑体" w:hAnsi="黑体" w:eastAsia="黑体"/>
          <w:b w:val="0"/>
          <w:i w:val="0"/>
          <w:color w:val="000000"/>
          <w:sz w:val="22"/>
        </w:rPr>
        <w:t>年度：同），因此，稀释每股收益等于基本每股收益。</w:t>
      </w:r>
    </w:p>
    <w:p>
      <w:pPr>
        <w:autoSpaceDN w:val="0"/>
        <w:autoSpaceDE w:val="0"/>
        <w:widowControl/>
        <w:spacing w:line="233" w:lineRule="auto" w:before="7894" w:after="0"/>
        <w:ind w:left="0" w:right="0" w:firstLine="0"/>
        <w:jc w:val="center"/>
      </w:pPr>
      <w:r>
        <w:rPr>
          <w:rFonts w:ascii="Arial" w:hAnsi="Arial" w:eastAsia="Arial"/>
          <w:b w:val="0"/>
          <w:i w:val="0"/>
          <w:color w:val="000000"/>
          <w:sz w:val="20"/>
        </w:rPr>
        <w:t xml:space="preserve">242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36" w:lineRule="exact" w:before="0" w:after="300"/>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55. </w:t>
      </w:r>
      <w:r>
        <w:tab/>
      </w:r>
      <w:r>
        <w:rPr>
          <w:rFonts w:ascii="黑体" w:hAnsi="黑体" w:eastAsia="黑体"/>
          <w:b w:val="0"/>
          <w:i w:val="0"/>
          <w:color w:val="000000"/>
          <w:sz w:val="22"/>
        </w:rPr>
        <w:t>现金流量表项目注释</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与经营活动有关的现金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74"/>
        </w:trPr>
        <w:tc>
          <w:tcPr>
            <w:tcW w:type="dxa" w:w="4564"/>
            <w:tcBorders/>
            <w:tcMar>
              <w:start w:w="0" w:type="dxa"/>
              <w:end w:w="0" w:type="dxa"/>
            </w:tcMar>
          </w:tcPr>
          <w:p>
            <w:pPr>
              <w:autoSpaceDN w:val="0"/>
              <w:autoSpaceDE w:val="0"/>
              <w:widowControl/>
              <w:spacing w:line="222" w:lineRule="exact" w:before="52" w:after="0"/>
              <w:ind w:left="198" w:right="0" w:firstLine="0"/>
              <w:jc w:val="left"/>
            </w:pPr>
            <w:r>
              <w:rPr>
                <w:rFonts w:ascii="黑体" w:hAnsi="黑体" w:eastAsia="黑体"/>
                <w:b w:val="0"/>
                <w:i w:val="0"/>
                <w:color w:val="000000"/>
                <w:sz w:val="22"/>
              </w:rPr>
              <w:t>收到的其他与经营活动有关的现金</w:t>
            </w:r>
          </w:p>
        </w:tc>
        <w:tc>
          <w:tcPr>
            <w:tcW w:type="dxa" w:w="1870"/>
            <w:vMerge w:val="restart"/>
            <w:tcBorders/>
            <w:tcMar>
              <w:start w:w="0" w:type="dxa"/>
              <w:end w:w="0" w:type="dxa"/>
            </w:tcMar>
            <w:tcMar>
              <w:start w:w="0" w:type="dxa"/>
              <w:end w:w="0" w:type="dxa"/>
            </w:tcMar>
          </w:tcPr>
          <w:p>
            <w:pPr>
              <w:autoSpaceDN w:val="0"/>
              <w:autoSpaceDE w:val="0"/>
              <w:widowControl/>
              <w:spacing w:line="236" w:lineRule="exact" w:before="60" w:after="0"/>
              <w:ind w:left="0" w:right="0" w:firstLine="0"/>
              <w:jc w:val="right"/>
            </w:pPr>
            <w:r>
              <w:rPr>
                <w:rFonts w:ascii="Arial" w:hAnsi="Arial" w:eastAsia="Arial"/>
                <w:b w:val="0"/>
                <w:i w:val="0"/>
                <w:color w:val="000000"/>
                <w:sz w:val="21"/>
              </w:rPr>
              <w:t>2024</w:t>
            </w:r>
            <w:r>
              <w:rPr>
                <w:rFonts w:ascii="黑体" w:hAnsi="黑体" w:eastAsia="黑体"/>
                <w:b w:val="0"/>
                <w:i w:val="0"/>
                <w:color w:val="000000"/>
                <w:sz w:val="21"/>
              </w:rPr>
              <w:t>年</w:t>
            </w:r>
          </w:p>
        </w:tc>
        <w:tc>
          <w:tcPr>
            <w:tcW w:type="dxa" w:w="2098"/>
            <w:vMerge w:val="restart"/>
            <w:tcBorders/>
            <w:tcMar>
              <w:start w:w="0" w:type="dxa"/>
              <w:end w:w="0" w:type="dxa"/>
            </w:tcMar>
            <w:tcMar>
              <w:start w:w="0" w:type="dxa"/>
              <w:end w:w="0" w:type="dxa"/>
            </w:tcMar>
          </w:tcPr>
          <w:p>
            <w:pPr>
              <w:autoSpaceDN w:val="0"/>
              <w:autoSpaceDE w:val="0"/>
              <w:widowControl/>
              <w:spacing w:line="236" w:lineRule="exact" w:before="60" w:after="0"/>
              <w:ind w:left="0" w:right="0" w:firstLine="0"/>
              <w:jc w:val="right"/>
            </w:pPr>
            <w:r>
              <w:rPr>
                <w:rFonts w:ascii="Arial" w:hAnsi="Arial" w:eastAsia="Arial"/>
                <w:b w:val="0"/>
                <w:i w:val="0"/>
                <w:color w:val="000000"/>
                <w:sz w:val="21"/>
              </w:rPr>
              <w:t>2023</w:t>
            </w:r>
            <w:r>
              <w:rPr>
                <w:rFonts w:ascii="黑体" w:hAnsi="黑体" w:eastAsia="黑体"/>
                <w:b w:val="0"/>
                <w:i w:val="0"/>
                <w:color w:val="000000"/>
                <w:sz w:val="21"/>
              </w:rPr>
              <w:t>年</w:t>
            </w:r>
          </w:p>
        </w:tc>
      </w:tr>
      <w:tr>
        <w:trPr>
          <w:trHeight w:hRule="exact" w:val="170"/>
        </w:trPr>
        <w:tc>
          <w:tcPr>
            <w:tcW w:type="dxa" w:w="4564"/>
            <w:vMerge w:val="restart"/>
            <w:tcBorders/>
            <w:tcMar>
              <w:start w:w="0" w:type="dxa"/>
              <w:end w:w="0" w:type="dxa"/>
            </w:tcMar>
            <w:tcMar>
              <w:start w:w="0" w:type="dxa"/>
              <w:end w:w="0" w:type="dxa"/>
            </w:tcMar>
          </w:tcPr>
          <w:p>
            <w:pPr>
              <w:autoSpaceDN w:val="0"/>
              <w:autoSpaceDE w:val="0"/>
              <w:widowControl/>
              <w:spacing w:line="212" w:lineRule="exact" w:before="308" w:after="0"/>
              <w:ind w:left="198" w:right="0" w:firstLine="0"/>
              <w:jc w:val="left"/>
            </w:pPr>
            <w:r>
              <w:rPr>
                <w:rFonts w:ascii="黑体" w:hAnsi="黑体" w:eastAsia="黑体"/>
                <w:b w:val="0"/>
                <w:i w:val="0"/>
                <w:color w:val="000000"/>
                <w:sz w:val="21"/>
              </w:rPr>
              <w:t>存出保证金净减少额</w:t>
            </w:r>
          </w:p>
        </w:tc>
        <w:tc>
          <w:tcPr>
            <w:tcW w:type="dxa" w:w="3009"/>
            <w:vMerge/>
            <w:tcBorders/>
          </w:tcPr>
          <w:p/>
        </w:tc>
        <w:tc>
          <w:tcPr>
            <w:tcW w:type="dxa" w:w="3009"/>
            <w:vMerge/>
            <w:tcBorders/>
          </w:tcPr>
          <w:p/>
        </w:tc>
      </w:tr>
      <w:tr>
        <w:trPr>
          <w:trHeight w:hRule="exact" w:val="35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0" w:lineRule="auto" w:before="148" w:after="0"/>
              <w:ind w:left="0" w:right="0" w:firstLine="0"/>
              <w:jc w:val="right"/>
            </w:pPr>
            <w:r>
              <w:rPr>
                <w:rFonts w:ascii="Arial" w:hAnsi="Arial" w:eastAsia="Arial"/>
                <w:b w:val="0"/>
                <w:i w:val="0"/>
                <w:color w:val="000000"/>
                <w:sz w:val="21"/>
              </w:rPr>
              <w:t>1,166,034,535</w:t>
            </w:r>
          </w:p>
        </w:tc>
        <w:tc>
          <w:tcPr>
            <w:tcW w:type="dxa" w:w="2098"/>
            <w:vMerge w:val="restart"/>
            <w:tcBorders/>
            <w:tcMar>
              <w:start w:w="0" w:type="dxa"/>
              <w:end w:w="0" w:type="dxa"/>
            </w:tcMar>
            <w:tcMar>
              <w:start w:w="0" w:type="dxa"/>
              <w:end w:w="0" w:type="dxa"/>
            </w:tcMar>
          </w:tcPr>
          <w:p>
            <w:pPr>
              <w:autoSpaceDN w:val="0"/>
              <w:autoSpaceDE w:val="0"/>
              <w:widowControl/>
              <w:spacing w:line="230" w:lineRule="auto" w:before="148" w:after="0"/>
              <w:ind w:left="0" w:right="0" w:firstLine="0"/>
              <w:jc w:val="right"/>
            </w:pPr>
            <w:r>
              <w:rPr>
                <w:rFonts w:ascii="Arial" w:hAnsi="Arial" w:eastAsia="Arial"/>
                <w:b w:val="0"/>
                <w:i w:val="0"/>
                <w:color w:val="000000"/>
                <w:sz w:val="21"/>
              </w:rPr>
              <w:t>1,691,998,581</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10" w:lineRule="exact" w:before="70" w:after="0"/>
              <w:ind w:left="198" w:right="0" w:firstLine="0"/>
              <w:jc w:val="left"/>
            </w:pPr>
            <w:r>
              <w:rPr>
                <w:rFonts w:ascii="黑体" w:hAnsi="黑体" w:eastAsia="黑体"/>
                <w:b w:val="0"/>
                <w:i w:val="0"/>
                <w:color w:val="000000"/>
                <w:sz w:val="21"/>
              </w:rPr>
              <w:t>销售仓单收到的现金</w:t>
            </w:r>
          </w:p>
        </w:tc>
        <w:tc>
          <w:tcPr>
            <w:tcW w:type="dxa" w:w="3009"/>
            <w:vMerge/>
            <w:tcBorders/>
          </w:tcPr>
          <w:p/>
        </w:tc>
        <w:tc>
          <w:tcPr>
            <w:tcW w:type="dxa" w:w="3009"/>
            <w:vMerge/>
            <w:tcBorders/>
          </w:tcPr>
          <w:p/>
        </w:tc>
      </w:tr>
      <w:tr>
        <w:trPr>
          <w:trHeight w:hRule="exact" w:val="228"/>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0" w:lineRule="auto" w:before="20" w:after="0"/>
              <w:ind w:left="0" w:right="0" w:firstLine="0"/>
              <w:jc w:val="right"/>
            </w:pPr>
            <w:r>
              <w:rPr>
                <w:rFonts w:ascii="Arial" w:hAnsi="Arial" w:eastAsia="Arial"/>
                <w:b w:val="0"/>
                <w:i w:val="0"/>
                <w:color w:val="000000"/>
                <w:sz w:val="21"/>
              </w:rPr>
              <w:t>229,961,088</w:t>
            </w:r>
          </w:p>
        </w:tc>
        <w:tc>
          <w:tcPr>
            <w:tcW w:type="dxa" w:w="2098"/>
            <w:vMerge w:val="restart"/>
            <w:tcBorders/>
            <w:tcMar>
              <w:start w:w="0" w:type="dxa"/>
              <w:end w:w="0" w:type="dxa"/>
            </w:tcMar>
            <w:tcMar>
              <w:start w:w="0" w:type="dxa"/>
              <w:end w:w="0" w:type="dxa"/>
            </w:tcMar>
          </w:tcPr>
          <w:p>
            <w:pPr>
              <w:autoSpaceDN w:val="0"/>
              <w:autoSpaceDE w:val="0"/>
              <w:widowControl/>
              <w:spacing w:line="230" w:lineRule="auto" w:before="20" w:after="0"/>
              <w:ind w:left="0" w:right="0" w:firstLine="0"/>
              <w:jc w:val="right"/>
            </w:pPr>
            <w:r>
              <w:rPr>
                <w:rFonts w:ascii="Arial" w:hAnsi="Arial" w:eastAsia="Arial"/>
                <w:b w:val="0"/>
                <w:i w:val="0"/>
                <w:color w:val="000000"/>
                <w:sz w:val="21"/>
              </w:rPr>
              <w:t>664,351,381</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12" w:lineRule="exact" w:before="60" w:after="0"/>
              <w:ind w:left="198" w:right="0" w:firstLine="0"/>
              <w:jc w:val="left"/>
            </w:pPr>
            <w:r>
              <w:rPr>
                <w:rFonts w:ascii="黑体" w:hAnsi="黑体" w:eastAsia="黑体"/>
                <w:b w:val="0"/>
                <w:i w:val="0"/>
                <w:color w:val="000000"/>
                <w:sz w:val="21"/>
              </w:rPr>
              <w:t>合并结构化主体收到的现金</w:t>
            </w:r>
          </w:p>
        </w:tc>
        <w:tc>
          <w:tcPr>
            <w:tcW w:type="dxa" w:w="3009"/>
            <w:vMerge/>
            <w:tcBorders/>
          </w:tcPr>
          <w:p/>
        </w:tc>
        <w:tc>
          <w:tcPr>
            <w:tcW w:type="dxa" w:w="3009"/>
            <w:vMerge/>
            <w:tcBorders/>
          </w:tcPr>
          <w:p/>
        </w:tc>
      </w:tr>
      <w:tr>
        <w:trPr>
          <w:trHeight w:hRule="exact" w:val="236"/>
        </w:trPr>
        <w:tc>
          <w:tcPr>
            <w:tcW w:type="dxa" w:w="3009"/>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1"/>
              </w:rPr>
              <w:t>158,806,882</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1"/>
              </w:rPr>
              <w:t>-</w:t>
            </w:r>
          </w:p>
        </w:tc>
      </w:tr>
      <w:tr>
        <w:trPr>
          <w:trHeight w:hRule="exact" w:val="260"/>
        </w:trPr>
        <w:tc>
          <w:tcPr>
            <w:tcW w:type="dxa" w:w="4564"/>
            <w:tcBorders/>
            <w:tcMar>
              <w:start w:w="0" w:type="dxa"/>
              <w:end w:w="0" w:type="dxa"/>
            </w:tcMar>
          </w:tcPr>
          <w:p>
            <w:pPr>
              <w:autoSpaceDN w:val="0"/>
              <w:autoSpaceDE w:val="0"/>
              <w:widowControl/>
              <w:spacing w:line="212" w:lineRule="exact" w:before="48" w:after="0"/>
              <w:ind w:left="198" w:right="0" w:firstLine="0"/>
              <w:jc w:val="left"/>
            </w:pPr>
            <w:r>
              <w:rPr>
                <w:rFonts w:ascii="黑体" w:hAnsi="黑体" w:eastAsia="黑体"/>
                <w:b w:val="0"/>
                <w:i w:val="0"/>
                <w:color w:val="000000"/>
                <w:sz w:val="21"/>
              </w:rPr>
              <w:t>买卖其他债权投资收到的现金净额</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1"/>
              </w:rPr>
              <w:t>31,736,707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1"/>
              </w:rPr>
              <w:t>12,353,472</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10" w:lineRule="exact" w:before="66" w:after="0"/>
              <w:ind w:left="198" w:right="0" w:firstLine="0"/>
              <w:jc w:val="left"/>
            </w:pPr>
            <w:r>
              <w:rPr>
                <w:rFonts w:ascii="黑体" w:hAnsi="黑体" w:eastAsia="黑体"/>
                <w:b w:val="0"/>
                <w:i w:val="0"/>
                <w:color w:val="000000"/>
                <w:sz w:val="21"/>
              </w:rPr>
              <w:t>代基金公司收取客户认购款</w:t>
            </w:r>
          </w:p>
        </w:tc>
        <w:tc>
          <w:tcPr>
            <w:tcW w:type="dxa" w:w="3009"/>
            <w:vMerge/>
            <w:tcBorders/>
          </w:tcPr>
          <w:p/>
        </w:tc>
        <w:tc>
          <w:tcPr>
            <w:tcW w:type="dxa" w:w="3009"/>
            <w:vMerge/>
            <w:tcBorders/>
          </w:tcPr>
          <w:p/>
        </w:tc>
      </w:tr>
      <w:tr>
        <w:trPr>
          <w:trHeight w:hRule="exact" w:val="230"/>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0" w:lineRule="auto" w:before="18" w:after="0"/>
              <w:ind w:left="0" w:right="0" w:firstLine="0"/>
              <w:jc w:val="right"/>
            </w:pPr>
            <w:r>
              <w:rPr>
                <w:rFonts w:ascii="Arial" w:hAnsi="Arial" w:eastAsia="Arial"/>
                <w:b w:val="0"/>
                <w:i w:val="0"/>
                <w:color w:val="000000"/>
                <w:sz w:val="21"/>
              </w:rPr>
              <w:t>-</w:t>
            </w:r>
          </w:p>
        </w:tc>
        <w:tc>
          <w:tcPr>
            <w:tcW w:type="dxa" w:w="2098"/>
            <w:vMerge w:val="restart"/>
            <w:tcBorders/>
            <w:tcMar>
              <w:start w:w="0" w:type="dxa"/>
              <w:end w:w="0" w:type="dxa"/>
            </w:tcMar>
            <w:tcMar>
              <w:start w:w="0" w:type="dxa"/>
              <w:end w:w="0" w:type="dxa"/>
            </w:tcMar>
          </w:tcPr>
          <w:p>
            <w:pPr>
              <w:autoSpaceDN w:val="0"/>
              <w:autoSpaceDE w:val="0"/>
              <w:widowControl/>
              <w:spacing w:line="230" w:lineRule="auto" w:before="18" w:after="0"/>
              <w:ind w:left="0" w:right="0" w:firstLine="0"/>
              <w:jc w:val="right"/>
            </w:pPr>
            <w:r>
              <w:rPr>
                <w:rFonts w:ascii="Arial" w:hAnsi="Arial" w:eastAsia="Arial"/>
                <w:b w:val="0"/>
                <w:i w:val="0"/>
                <w:color w:val="000000"/>
                <w:sz w:val="21"/>
              </w:rPr>
              <w:t>908,023,182</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12" w:lineRule="exact" w:before="58" w:after="0"/>
              <w:ind w:left="198" w:right="0" w:firstLine="0"/>
              <w:jc w:val="left"/>
            </w:pPr>
            <w:r>
              <w:rPr>
                <w:rFonts w:ascii="黑体" w:hAnsi="黑体" w:eastAsia="黑体"/>
                <w:b w:val="0"/>
                <w:i w:val="0"/>
                <w:color w:val="000000"/>
                <w:sz w:val="21"/>
              </w:rPr>
              <w:t>收取场外期权保证金的现金净额</w:t>
            </w:r>
          </w:p>
        </w:tc>
        <w:tc>
          <w:tcPr>
            <w:tcW w:type="dxa" w:w="3009"/>
            <w:vMerge/>
            <w:tcBorders/>
          </w:tcPr>
          <w:p/>
        </w:tc>
        <w:tc>
          <w:tcPr>
            <w:tcW w:type="dxa" w:w="3009"/>
            <w:vMerge/>
            <w:tcBorders/>
          </w:tcPr>
          <w:p/>
        </w:tc>
      </w:tr>
      <w:tr>
        <w:trPr>
          <w:trHeight w:hRule="exact" w:val="238"/>
        </w:trPr>
        <w:tc>
          <w:tcPr>
            <w:tcW w:type="dxa" w:w="3009"/>
            <w:vMerge/>
            <w:tcBorders/>
          </w:tcPr>
          <w:p/>
        </w:tc>
        <w:tc>
          <w:tcPr>
            <w:tcW w:type="dxa" w:w="1870"/>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21"/>
              </w:rPr>
              <w:t>-</w:t>
            </w:r>
          </w:p>
        </w:tc>
        <w:tc>
          <w:tcPr>
            <w:tcW w:type="dxa" w:w="2098"/>
            <w:tcBorders/>
            <w:tcMar>
              <w:start w:w="0" w:type="dxa"/>
              <w:end w:w="0" w:type="dxa"/>
            </w:tcMar>
          </w:tcPr>
          <w:p>
            <w:pPr>
              <w:autoSpaceDN w:val="0"/>
              <w:autoSpaceDE w:val="0"/>
              <w:widowControl/>
              <w:spacing w:line="230" w:lineRule="auto" w:before="4" w:after="0"/>
              <w:ind w:left="0" w:right="0" w:firstLine="0"/>
              <w:jc w:val="right"/>
            </w:pPr>
            <w:r>
              <w:rPr>
                <w:rFonts w:ascii="Arial" w:hAnsi="Arial" w:eastAsia="Arial"/>
                <w:b w:val="0"/>
                <w:i w:val="0"/>
                <w:color w:val="000000"/>
                <w:sz w:val="21"/>
              </w:rPr>
              <w:t>335,303,093</w:t>
            </w:r>
          </w:p>
        </w:tc>
      </w:tr>
      <w:tr>
        <w:trPr>
          <w:trHeight w:hRule="exact" w:val="260"/>
        </w:trPr>
        <w:tc>
          <w:tcPr>
            <w:tcW w:type="dxa" w:w="4564"/>
            <w:tcBorders/>
            <w:tcMar>
              <w:start w:w="0" w:type="dxa"/>
              <w:end w:w="0" w:type="dxa"/>
            </w:tcMar>
          </w:tcPr>
          <w:p>
            <w:pPr>
              <w:autoSpaceDN w:val="0"/>
              <w:autoSpaceDE w:val="0"/>
              <w:widowControl/>
              <w:spacing w:line="212" w:lineRule="exact" w:before="48" w:after="0"/>
              <w:ind w:left="198" w:right="0" w:firstLine="0"/>
              <w:jc w:val="left"/>
            </w:pPr>
            <w:r>
              <w:rPr>
                <w:rFonts w:ascii="黑体" w:hAnsi="黑体" w:eastAsia="黑体"/>
                <w:b w:val="0"/>
                <w:i w:val="0"/>
                <w:color w:val="000000"/>
                <w:sz w:val="21"/>
              </w:rPr>
              <w:t>买卖非交易性金融资产收到的现金</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21"/>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21"/>
              </w:rPr>
              <w:t>204,573,482</w:t>
            </w:r>
          </w:p>
        </w:tc>
      </w:tr>
      <w:tr>
        <w:trPr>
          <w:trHeight w:hRule="exact" w:val="4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10" w:lineRule="exact" w:before="64" w:after="0"/>
              <w:ind w:left="198" w:right="0" w:firstLine="0"/>
              <w:jc w:val="left"/>
            </w:pPr>
            <w:r>
              <w:rPr>
                <w:rFonts w:ascii="黑体" w:hAnsi="黑体" w:eastAsia="黑体"/>
                <w:b w:val="0"/>
                <w:i w:val="0"/>
                <w:color w:val="000000"/>
                <w:sz w:val="21"/>
              </w:rPr>
              <w:t>其他</w:t>
            </w:r>
          </w:p>
        </w:tc>
        <w:tc>
          <w:tcPr>
            <w:tcW w:type="dxa" w:w="3009"/>
            <w:vMerge/>
            <w:tcBorders/>
          </w:tcPr>
          <w:p/>
        </w:tc>
        <w:tc>
          <w:tcPr>
            <w:tcW w:type="dxa" w:w="3009"/>
            <w:vMerge/>
            <w:tcBorders/>
          </w:tcPr>
          <w:p/>
        </w:tc>
      </w:tr>
      <w:tr>
        <w:trPr>
          <w:trHeight w:hRule="exact" w:val="260"/>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1"/>
              </w:rPr>
              <w:t>425,789,925</w:t>
            </w:r>
          </w:p>
        </w:tc>
        <w:tc>
          <w:tcPr>
            <w:tcW w:type="dxa" w:w="2098"/>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1"/>
              </w:rPr>
              <w:t>763,983,996</w:t>
            </w:r>
          </w:p>
        </w:tc>
      </w:tr>
      <w:tr>
        <w:trPr>
          <w:trHeight w:hRule="exact" w:val="528"/>
        </w:trPr>
        <w:tc>
          <w:tcPr>
            <w:tcW w:type="dxa" w:w="4564"/>
            <w:tcBorders>
              <w:top w:sz="4.0" w:val="single" w:color="#000000"/>
              <w:bottom w:sz="4.0" w:val="single" w:color="#000000"/>
            </w:tcBorders>
            <w:tcMar>
              <w:start w:w="0" w:type="dxa"/>
              <w:end w:w="0" w:type="dxa"/>
            </w:tcMar>
          </w:tcPr>
          <w:p>
            <w:pPr>
              <w:autoSpaceDN w:val="0"/>
              <w:autoSpaceDE w:val="0"/>
              <w:widowControl/>
              <w:spacing w:line="212" w:lineRule="exact" w:before="274" w:after="0"/>
              <w:ind w:left="198" w:right="0" w:firstLine="0"/>
              <w:jc w:val="left"/>
            </w:pPr>
            <w:r>
              <w:rPr>
                <w:rFonts w:ascii="黑体" w:hAnsi="黑体" w:eastAsia="黑体"/>
                <w:b w:val="0"/>
                <w:i w:val="0"/>
                <w:color w:val="000000"/>
                <w:sz w:val="21"/>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0" w:firstLine="0"/>
              <w:jc w:val="right"/>
            </w:pPr>
            <w:r>
              <w:rPr>
                <w:rFonts w:ascii="Arial" w:hAnsi="Arial" w:eastAsia="Arial"/>
                <w:b w:val="0"/>
                <w:i w:val="0"/>
                <w:color w:val="000000"/>
                <w:sz w:val="21"/>
              </w:rPr>
              <w:t>2,012,329,137</w:t>
            </w:r>
          </w:p>
        </w:tc>
        <w:tc>
          <w:tcPr>
            <w:tcW w:type="dxa" w:w="2098"/>
            <w:tcBorders>
              <w:top w:sz="4.0" w:val="single" w:color="#000000"/>
              <w:bottom w:sz="4.0" w:val="single" w:color="#000000"/>
            </w:tcBorders>
            <w:tcMar>
              <w:start w:w="0" w:type="dxa"/>
              <w:end w:w="0" w:type="dxa"/>
            </w:tcMar>
          </w:tcPr>
          <w:p>
            <w:pPr>
              <w:autoSpaceDN w:val="0"/>
              <w:autoSpaceDE w:val="0"/>
              <w:widowControl/>
              <w:spacing w:line="230" w:lineRule="auto" w:before="278" w:after="0"/>
              <w:ind w:left="0" w:right="0" w:firstLine="0"/>
              <w:jc w:val="right"/>
            </w:pPr>
            <w:r>
              <w:rPr>
                <w:rFonts w:ascii="Arial" w:hAnsi="Arial" w:eastAsia="Arial"/>
                <w:b w:val="0"/>
                <w:i w:val="0"/>
                <w:color w:val="000000"/>
                <w:sz w:val="21"/>
              </w:rPr>
              <w:t>4,580,587,187</w:t>
            </w:r>
          </w:p>
        </w:tc>
      </w:tr>
      <w:tr>
        <w:trPr>
          <w:trHeight w:hRule="exact" w:val="524"/>
        </w:trPr>
        <w:tc>
          <w:tcPr>
            <w:tcW w:type="dxa" w:w="4564"/>
            <w:tcBorders>
              <w:top w:sz="4.0" w:val="single" w:color="#000000"/>
            </w:tcBorders>
            <w:tcMar>
              <w:start w:w="0" w:type="dxa"/>
              <w:end w:w="0" w:type="dxa"/>
            </w:tcMar>
          </w:tcPr>
          <w:p>
            <w:pPr>
              <w:autoSpaceDN w:val="0"/>
              <w:autoSpaceDE w:val="0"/>
              <w:widowControl/>
              <w:spacing w:line="212" w:lineRule="exact" w:before="306" w:after="0"/>
              <w:ind w:left="198" w:right="0" w:firstLine="0"/>
              <w:jc w:val="left"/>
            </w:pPr>
            <w:r>
              <w:rPr>
                <w:rFonts w:ascii="黑体" w:hAnsi="黑体" w:eastAsia="黑体"/>
                <w:b w:val="0"/>
                <w:i w:val="0"/>
                <w:color w:val="000000"/>
                <w:sz w:val="21"/>
              </w:rPr>
              <w:t>支付其他与经营活动有关的现金</w:t>
            </w:r>
          </w:p>
        </w:tc>
        <w:tc>
          <w:tcPr>
            <w:tcW w:type="dxa" w:w="1870"/>
            <w:vMerge w:val="restart"/>
            <w:tcBorders>
              <w:top w:sz="4.0" w:val="single" w:color="#000000"/>
            </w:tcBorders>
            <w:tcMar>
              <w:start w:w="0" w:type="dxa"/>
              <w:end w:w="0" w:type="dxa"/>
            </w:tcMar>
            <w:tcMar>
              <w:start w:w="0" w:type="dxa"/>
              <w:end w:w="0" w:type="dxa"/>
            </w:tcMar>
          </w:tcPr>
          <w:p>
            <w:pPr>
              <w:autoSpaceDN w:val="0"/>
              <w:autoSpaceDE w:val="0"/>
              <w:widowControl/>
              <w:spacing w:line="236" w:lineRule="exact" w:before="306" w:after="0"/>
              <w:ind w:left="0" w:right="0" w:firstLine="0"/>
              <w:jc w:val="right"/>
            </w:pPr>
            <w:r>
              <w:rPr>
                <w:rFonts w:ascii="Arial" w:hAnsi="Arial" w:eastAsia="Arial"/>
                <w:b w:val="0"/>
                <w:i w:val="0"/>
                <w:color w:val="000000"/>
                <w:sz w:val="21"/>
              </w:rPr>
              <w:t>2024</w:t>
            </w:r>
            <w:r>
              <w:rPr>
                <w:rFonts w:ascii="黑体" w:hAnsi="黑体" w:eastAsia="黑体"/>
                <w:b w:val="0"/>
                <w:i w:val="0"/>
                <w:color w:val="000000"/>
                <w:sz w:val="21"/>
              </w:rPr>
              <w:t>年</w:t>
            </w:r>
          </w:p>
        </w:tc>
        <w:tc>
          <w:tcPr>
            <w:tcW w:type="dxa" w:w="2098"/>
            <w:vMerge w:val="restart"/>
            <w:tcBorders>
              <w:top w:sz="4.0" w:val="single" w:color="#000000"/>
            </w:tcBorders>
            <w:tcMar>
              <w:start w:w="0" w:type="dxa"/>
              <w:end w:w="0" w:type="dxa"/>
            </w:tcMar>
            <w:tcMar>
              <w:start w:w="0" w:type="dxa"/>
              <w:end w:w="0" w:type="dxa"/>
            </w:tcMar>
          </w:tcPr>
          <w:p>
            <w:pPr>
              <w:autoSpaceDN w:val="0"/>
              <w:autoSpaceDE w:val="0"/>
              <w:widowControl/>
              <w:spacing w:line="236" w:lineRule="exact" w:before="306" w:after="0"/>
              <w:ind w:left="0" w:right="0" w:firstLine="0"/>
              <w:jc w:val="right"/>
            </w:pPr>
            <w:r>
              <w:rPr>
                <w:rFonts w:ascii="Arial" w:hAnsi="Arial" w:eastAsia="Arial"/>
                <w:b w:val="0"/>
                <w:i w:val="0"/>
                <w:color w:val="000000"/>
                <w:sz w:val="21"/>
              </w:rPr>
              <w:t>2023</w:t>
            </w:r>
            <w:r>
              <w:rPr>
                <w:rFonts w:ascii="黑体" w:hAnsi="黑体" w:eastAsia="黑体"/>
                <w:b w:val="0"/>
                <w:i w:val="0"/>
                <w:color w:val="000000"/>
                <w:sz w:val="21"/>
              </w:rPr>
              <w:t>年</w:t>
            </w:r>
          </w:p>
        </w:tc>
      </w:tr>
      <w:tr>
        <w:trPr>
          <w:trHeight w:hRule="exact" w:val="168"/>
        </w:trPr>
        <w:tc>
          <w:tcPr>
            <w:tcW w:type="dxa" w:w="4564"/>
            <w:vMerge w:val="restart"/>
            <w:tcBorders/>
            <w:tcMar>
              <w:start w:w="0" w:type="dxa"/>
              <w:end w:w="0" w:type="dxa"/>
            </w:tcMar>
            <w:tcMar>
              <w:start w:w="0" w:type="dxa"/>
              <w:end w:w="0" w:type="dxa"/>
            </w:tcMar>
          </w:tcPr>
          <w:p>
            <w:pPr>
              <w:autoSpaceDN w:val="0"/>
              <w:autoSpaceDE w:val="0"/>
              <w:widowControl/>
              <w:spacing w:line="212" w:lineRule="exact" w:before="308" w:after="0"/>
              <w:ind w:left="198" w:right="0" w:firstLine="0"/>
              <w:jc w:val="left"/>
            </w:pPr>
            <w:r>
              <w:rPr>
                <w:rFonts w:ascii="黑体" w:hAnsi="黑体" w:eastAsia="黑体"/>
                <w:b w:val="0"/>
                <w:i w:val="0"/>
                <w:color w:val="000000"/>
                <w:sz w:val="21"/>
              </w:rPr>
              <w:t>支付场外期权保证金的现金净额</w:t>
            </w:r>
          </w:p>
        </w:tc>
        <w:tc>
          <w:tcPr>
            <w:tcW w:type="dxa" w:w="3009"/>
            <w:vMerge/>
            <w:tcBorders>
              <w:top w:sz="4.0" w:val="single" w:color="#000000"/>
            </w:tcBorders>
          </w:tcPr>
          <w:p/>
        </w:tc>
        <w:tc>
          <w:tcPr>
            <w:tcW w:type="dxa" w:w="3009"/>
            <w:vMerge/>
            <w:tcBorders>
              <w:top w:sz="4.0" w:val="single" w:color="#000000"/>
            </w:tcBorders>
          </w:tcPr>
          <w:p/>
        </w:tc>
      </w:tr>
      <w:tr>
        <w:trPr>
          <w:trHeight w:hRule="exact" w:val="352"/>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46" w:after="0"/>
              <w:ind w:left="0" w:right="0" w:firstLine="0"/>
              <w:jc w:val="right"/>
            </w:pPr>
            <w:r>
              <w:rPr>
                <w:rFonts w:ascii="Arial" w:hAnsi="Arial" w:eastAsia="Arial"/>
                <w:b w:val="0"/>
                <w:i w:val="0"/>
                <w:color w:val="000000"/>
                <w:sz w:val="21"/>
              </w:rPr>
              <w:t>652,374,425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46" w:after="0"/>
              <w:ind w:left="0" w:right="0" w:firstLine="0"/>
              <w:jc w:val="right"/>
            </w:pPr>
            <w:r>
              <w:rPr>
                <w:rFonts w:ascii="Arial" w:hAnsi="Arial" w:eastAsia="Arial"/>
                <w:b w:val="0"/>
                <w:i w:val="0"/>
                <w:color w:val="000000"/>
                <w:sz w:val="21"/>
              </w:rPr>
              <w:t>-</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10" w:lineRule="exact" w:before="64" w:after="0"/>
              <w:ind w:left="198" w:right="0" w:firstLine="0"/>
              <w:jc w:val="left"/>
            </w:pPr>
            <w:r>
              <w:rPr>
                <w:rFonts w:ascii="黑体" w:hAnsi="黑体" w:eastAsia="黑体"/>
                <w:b w:val="0"/>
                <w:i w:val="0"/>
                <w:color w:val="000000"/>
                <w:sz w:val="21"/>
              </w:rPr>
              <w:t>采购仓单支付的现金</w:t>
            </w:r>
          </w:p>
        </w:tc>
        <w:tc>
          <w:tcPr>
            <w:tcW w:type="dxa" w:w="3009"/>
            <w:vMerge/>
            <w:tcBorders/>
          </w:tcPr>
          <w:p/>
        </w:tc>
        <w:tc>
          <w:tcPr>
            <w:tcW w:type="dxa" w:w="3009"/>
            <w:vMerge/>
            <w:tcBorders/>
          </w:tcPr>
          <w:p/>
        </w:tc>
      </w:tr>
      <w:tr>
        <w:trPr>
          <w:trHeight w:hRule="exact" w:val="232"/>
        </w:trPr>
        <w:tc>
          <w:tcPr>
            <w:tcW w:type="dxa" w:w="3009"/>
            <w:vMerge/>
            <w:tcBorders/>
          </w:tcPr>
          <w:p/>
        </w:tc>
        <w:tc>
          <w:tcPr>
            <w:tcW w:type="dxa" w:w="1870"/>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21"/>
              </w:rPr>
              <w:t>405,530,106</w:t>
            </w:r>
          </w:p>
        </w:tc>
        <w:tc>
          <w:tcPr>
            <w:tcW w:type="dxa" w:w="2098"/>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21"/>
              </w:rPr>
              <w:t>948,936,000</w:t>
            </w:r>
          </w:p>
        </w:tc>
      </w:tr>
      <w:tr>
        <w:trPr>
          <w:trHeight w:hRule="exact" w:val="280"/>
        </w:trPr>
        <w:tc>
          <w:tcPr>
            <w:tcW w:type="dxa" w:w="4564"/>
            <w:tcBorders/>
            <w:tcMar>
              <w:start w:w="0" w:type="dxa"/>
              <w:end w:w="0" w:type="dxa"/>
            </w:tcMar>
          </w:tcPr>
          <w:p>
            <w:pPr>
              <w:autoSpaceDN w:val="0"/>
              <w:autoSpaceDE w:val="0"/>
              <w:widowControl/>
              <w:spacing w:line="212" w:lineRule="exact" w:before="56" w:after="0"/>
              <w:ind w:left="198" w:right="0" w:firstLine="0"/>
              <w:jc w:val="left"/>
            </w:pPr>
            <w:r>
              <w:rPr>
                <w:rFonts w:ascii="黑体" w:hAnsi="黑体" w:eastAsia="黑体"/>
                <w:b w:val="0"/>
                <w:i w:val="0"/>
                <w:color w:val="000000"/>
                <w:sz w:val="21"/>
              </w:rPr>
              <w:t>支付基金公司客户认购款</w:t>
            </w:r>
          </w:p>
        </w:tc>
        <w:tc>
          <w:tcPr>
            <w:tcW w:type="dxa" w:w="1870"/>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21"/>
              </w:rPr>
              <w:t>295,661,487</w:t>
            </w:r>
          </w:p>
        </w:tc>
        <w:tc>
          <w:tcPr>
            <w:tcW w:type="dxa" w:w="2098"/>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21"/>
              </w:rPr>
              <w:t>-</w:t>
            </w:r>
          </w:p>
        </w:tc>
      </w:tr>
      <w:tr>
        <w:trPr>
          <w:trHeight w:hRule="exact" w:val="260"/>
        </w:trPr>
        <w:tc>
          <w:tcPr>
            <w:tcW w:type="dxa" w:w="4564"/>
            <w:tcBorders/>
            <w:tcMar>
              <w:start w:w="0" w:type="dxa"/>
              <w:end w:w="0" w:type="dxa"/>
            </w:tcMar>
          </w:tcPr>
          <w:p>
            <w:pPr>
              <w:autoSpaceDN w:val="0"/>
              <w:autoSpaceDE w:val="0"/>
              <w:widowControl/>
              <w:spacing w:line="212" w:lineRule="exact" w:before="48" w:after="0"/>
              <w:ind w:left="198" w:right="0" w:firstLine="0"/>
              <w:jc w:val="left"/>
            </w:pPr>
            <w:r>
              <w:rPr>
                <w:rFonts w:ascii="黑体" w:hAnsi="黑体" w:eastAsia="黑体"/>
                <w:b w:val="0"/>
                <w:i w:val="0"/>
                <w:color w:val="000000"/>
                <w:sz w:val="21"/>
              </w:rPr>
              <w:t>支付的办公及后勤事务费用</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0" w:after="0"/>
              <w:ind w:left="0" w:right="0" w:firstLine="0"/>
              <w:jc w:val="right"/>
            </w:pPr>
            <w:r>
              <w:rPr>
                <w:rFonts w:ascii="Arial" w:hAnsi="Arial" w:eastAsia="Arial"/>
                <w:b w:val="0"/>
                <w:i w:val="0"/>
                <w:color w:val="000000"/>
                <w:sz w:val="21"/>
              </w:rPr>
              <w:t>142,307,252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0" w:after="0"/>
              <w:ind w:left="0" w:right="0" w:firstLine="0"/>
              <w:jc w:val="right"/>
            </w:pPr>
            <w:r>
              <w:rPr>
                <w:rFonts w:ascii="Arial" w:hAnsi="Arial" w:eastAsia="Arial"/>
                <w:b w:val="0"/>
                <w:i w:val="0"/>
                <w:color w:val="000000"/>
                <w:sz w:val="21"/>
              </w:rPr>
              <w:t>150,158,852</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10" w:lineRule="exact" w:before="62" w:after="0"/>
              <w:ind w:left="198" w:right="0" w:firstLine="0"/>
              <w:jc w:val="left"/>
            </w:pPr>
            <w:r>
              <w:rPr>
                <w:rFonts w:ascii="黑体" w:hAnsi="黑体" w:eastAsia="黑体"/>
                <w:b w:val="0"/>
                <w:i w:val="0"/>
                <w:color w:val="000000"/>
                <w:sz w:val="21"/>
              </w:rPr>
              <w:t>支付系统运转及维护费</w:t>
            </w:r>
          </w:p>
        </w:tc>
        <w:tc>
          <w:tcPr>
            <w:tcW w:type="dxa" w:w="3009"/>
            <w:vMerge/>
            <w:tcBorders/>
          </w:tcPr>
          <w:p/>
        </w:tc>
        <w:tc>
          <w:tcPr>
            <w:tcW w:type="dxa" w:w="3009"/>
            <w:vMerge/>
            <w:tcBorders/>
          </w:tcPr>
          <w:p/>
        </w:tc>
      </w:tr>
      <w:tr>
        <w:trPr>
          <w:trHeight w:hRule="exact" w:val="236"/>
        </w:trPr>
        <w:tc>
          <w:tcPr>
            <w:tcW w:type="dxa" w:w="3009"/>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1"/>
              </w:rPr>
              <w:t>113,152,280</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1"/>
              </w:rPr>
              <w:t>88,658,384</w:t>
            </w:r>
          </w:p>
        </w:tc>
      </w:tr>
      <w:tr>
        <w:trPr>
          <w:trHeight w:hRule="exact" w:val="260"/>
        </w:trPr>
        <w:tc>
          <w:tcPr>
            <w:tcW w:type="dxa" w:w="4564"/>
            <w:tcBorders/>
            <w:tcMar>
              <w:start w:w="0" w:type="dxa"/>
              <w:end w:w="0" w:type="dxa"/>
            </w:tcMar>
          </w:tcPr>
          <w:p>
            <w:pPr>
              <w:autoSpaceDN w:val="0"/>
              <w:autoSpaceDE w:val="0"/>
              <w:widowControl/>
              <w:spacing w:line="212" w:lineRule="exact" w:before="48" w:after="0"/>
              <w:ind w:left="198" w:right="0" w:firstLine="0"/>
              <w:jc w:val="left"/>
            </w:pPr>
            <w:r>
              <w:rPr>
                <w:rFonts w:ascii="黑体" w:hAnsi="黑体" w:eastAsia="黑体"/>
                <w:b w:val="0"/>
                <w:i w:val="0"/>
                <w:color w:val="000000"/>
                <w:sz w:val="21"/>
              </w:rPr>
              <w:t>支付的短期租赁及物业费</w:t>
            </w:r>
          </w:p>
        </w:tc>
        <w:tc>
          <w:tcPr>
            <w:tcW w:type="dxa" w:w="1870"/>
            <w:vMerge w:val="restart"/>
            <w:tcBorders/>
            <w:tcMar>
              <w:start w:w="0" w:type="dxa"/>
              <w:end w:w="0" w:type="dxa"/>
            </w:tcMar>
            <w:tcMar>
              <w:start w:w="0" w:type="dxa"/>
              <w:end w:w="0" w:type="dxa"/>
            </w:tcMar>
          </w:tcPr>
          <w:p>
            <w:pPr>
              <w:autoSpaceDN w:val="0"/>
              <w:autoSpaceDE w:val="0"/>
              <w:widowControl/>
              <w:spacing w:line="230" w:lineRule="auto" w:before="56" w:after="0"/>
              <w:ind w:left="0" w:right="0" w:firstLine="0"/>
              <w:jc w:val="right"/>
            </w:pPr>
            <w:r>
              <w:rPr>
                <w:rFonts w:ascii="Arial" w:hAnsi="Arial" w:eastAsia="Arial"/>
                <w:b w:val="0"/>
                <w:i w:val="0"/>
                <w:color w:val="000000"/>
                <w:sz w:val="21"/>
              </w:rPr>
              <w:t>88,566,368</w:t>
            </w:r>
          </w:p>
        </w:tc>
        <w:tc>
          <w:tcPr>
            <w:tcW w:type="dxa" w:w="2098"/>
            <w:vMerge w:val="restart"/>
            <w:tcBorders/>
            <w:tcMar>
              <w:start w:w="0" w:type="dxa"/>
              <w:end w:w="0" w:type="dxa"/>
            </w:tcMar>
            <w:tcMar>
              <w:start w:w="0" w:type="dxa"/>
              <w:end w:w="0" w:type="dxa"/>
            </w:tcMar>
          </w:tcPr>
          <w:p>
            <w:pPr>
              <w:autoSpaceDN w:val="0"/>
              <w:autoSpaceDE w:val="0"/>
              <w:widowControl/>
              <w:spacing w:line="230" w:lineRule="auto" w:before="56" w:after="0"/>
              <w:ind w:left="0" w:right="0" w:firstLine="0"/>
              <w:jc w:val="right"/>
            </w:pPr>
            <w:r>
              <w:rPr>
                <w:rFonts w:ascii="Arial" w:hAnsi="Arial" w:eastAsia="Arial"/>
                <w:b w:val="0"/>
                <w:i w:val="0"/>
                <w:color w:val="000000"/>
                <w:sz w:val="21"/>
              </w:rPr>
              <w:t>82,883,152</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12" w:lineRule="exact" w:before="66" w:after="0"/>
              <w:ind w:left="198" w:right="0" w:firstLine="0"/>
              <w:jc w:val="left"/>
            </w:pPr>
            <w:r>
              <w:rPr>
                <w:rFonts w:ascii="黑体" w:hAnsi="黑体" w:eastAsia="黑体"/>
                <w:b w:val="0"/>
                <w:i w:val="0"/>
                <w:color w:val="000000"/>
                <w:sz w:val="21"/>
              </w:rPr>
              <w:t>支付资讯信息费及专业服务费</w:t>
            </w:r>
          </w:p>
        </w:tc>
        <w:tc>
          <w:tcPr>
            <w:tcW w:type="dxa" w:w="3009"/>
            <w:vMerge/>
            <w:tcBorders/>
          </w:tcPr>
          <w:p/>
        </w:tc>
        <w:tc>
          <w:tcPr>
            <w:tcW w:type="dxa" w:w="3009"/>
            <w:vMerge/>
            <w:tcBorders/>
          </w:tcPr>
          <w:p/>
        </w:tc>
      </w:tr>
      <w:tr>
        <w:trPr>
          <w:trHeight w:hRule="exact" w:val="232"/>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1"/>
              </w:rPr>
              <w:t>53,946,052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1"/>
              </w:rPr>
              <w:t>60,370,475</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10" w:lineRule="exact" w:before="58" w:after="0"/>
              <w:ind w:left="198" w:right="0" w:firstLine="0"/>
              <w:jc w:val="left"/>
            </w:pPr>
            <w:r>
              <w:rPr>
                <w:rFonts w:ascii="黑体" w:hAnsi="黑体" w:eastAsia="黑体"/>
                <w:b w:val="0"/>
                <w:i w:val="0"/>
                <w:color w:val="000000"/>
                <w:sz w:val="21"/>
              </w:rPr>
              <w:t>买卖非交易性金融资产支付的现金</w:t>
            </w:r>
          </w:p>
        </w:tc>
        <w:tc>
          <w:tcPr>
            <w:tcW w:type="dxa" w:w="3009"/>
            <w:vMerge/>
            <w:tcBorders/>
          </w:tcPr>
          <w:p/>
        </w:tc>
        <w:tc>
          <w:tcPr>
            <w:tcW w:type="dxa" w:w="3009"/>
            <w:vMerge/>
            <w:tcBorders/>
          </w:tcPr>
          <w:p/>
        </w:tc>
      </w:tr>
      <w:tr>
        <w:trPr>
          <w:trHeight w:hRule="exact" w:val="238"/>
        </w:trPr>
        <w:tc>
          <w:tcPr>
            <w:tcW w:type="dxa" w:w="3009"/>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1"/>
              </w:rPr>
              <w:t>10,000,000</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1"/>
              </w:rPr>
              <w:t>-</w:t>
            </w:r>
          </w:p>
        </w:tc>
      </w:tr>
      <w:tr>
        <w:trPr>
          <w:trHeight w:hRule="exact" w:val="260"/>
        </w:trPr>
        <w:tc>
          <w:tcPr>
            <w:tcW w:type="dxa" w:w="4564"/>
            <w:tcBorders/>
            <w:tcMar>
              <w:start w:w="0" w:type="dxa"/>
              <w:end w:w="0" w:type="dxa"/>
            </w:tcMar>
          </w:tcPr>
          <w:p>
            <w:pPr>
              <w:autoSpaceDN w:val="0"/>
              <w:autoSpaceDE w:val="0"/>
              <w:widowControl/>
              <w:spacing w:line="210" w:lineRule="exact" w:before="50" w:after="0"/>
              <w:ind w:left="198" w:right="0" w:firstLine="0"/>
              <w:jc w:val="left"/>
            </w:pPr>
            <w:r>
              <w:rPr>
                <w:rFonts w:ascii="黑体" w:hAnsi="黑体" w:eastAsia="黑体"/>
                <w:b w:val="0"/>
                <w:i w:val="0"/>
                <w:color w:val="000000"/>
                <w:sz w:val="21"/>
              </w:rPr>
              <w:t>合并结构化主体支付的现金净额</w:t>
            </w:r>
          </w:p>
        </w:tc>
        <w:tc>
          <w:tcPr>
            <w:tcW w:type="dxa" w:w="1870"/>
            <w:vMerge w:val="restart"/>
            <w:tcBorders/>
            <w:tcMar>
              <w:start w:w="0" w:type="dxa"/>
              <w:end w:w="0" w:type="dxa"/>
            </w:tcMar>
            <w:tcMar>
              <w:start w:w="0" w:type="dxa"/>
              <w:end w:w="0" w:type="dxa"/>
            </w:tcMar>
          </w:tcPr>
          <w:p>
            <w:pPr>
              <w:autoSpaceDN w:val="0"/>
              <w:autoSpaceDE w:val="0"/>
              <w:widowControl/>
              <w:spacing w:line="230" w:lineRule="auto" w:before="54" w:after="0"/>
              <w:ind w:left="0" w:right="0" w:firstLine="0"/>
              <w:jc w:val="right"/>
            </w:pPr>
            <w:r>
              <w:rPr>
                <w:rFonts w:ascii="Arial" w:hAnsi="Arial" w:eastAsia="Arial"/>
                <w:b w:val="0"/>
                <w:i w:val="0"/>
                <w:color w:val="000000"/>
                <w:sz w:val="21"/>
              </w:rPr>
              <w:t>-</w:t>
            </w:r>
          </w:p>
        </w:tc>
        <w:tc>
          <w:tcPr>
            <w:tcW w:type="dxa" w:w="2098"/>
            <w:vMerge w:val="restart"/>
            <w:tcBorders/>
            <w:tcMar>
              <w:start w:w="0" w:type="dxa"/>
              <w:end w:w="0" w:type="dxa"/>
            </w:tcMar>
            <w:tcMar>
              <w:start w:w="0" w:type="dxa"/>
              <w:end w:w="0" w:type="dxa"/>
            </w:tcMar>
          </w:tcPr>
          <w:p>
            <w:pPr>
              <w:autoSpaceDN w:val="0"/>
              <w:autoSpaceDE w:val="0"/>
              <w:widowControl/>
              <w:spacing w:line="230" w:lineRule="auto" w:before="54" w:after="0"/>
              <w:ind w:left="0" w:right="0" w:firstLine="0"/>
              <w:jc w:val="right"/>
            </w:pPr>
            <w:r>
              <w:rPr>
                <w:rFonts w:ascii="Arial" w:hAnsi="Arial" w:eastAsia="Arial"/>
                <w:b w:val="0"/>
                <w:i w:val="0"/>
                <w:color w:val="000000"/>
                <w:sz w:val="21"/>
              </w:rPr>
              <w:t>107,765,185</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12" w:lineRule="exact" w:before="62" w:after="0"/>
              <w:ind w:left="198" w:right="0" w:firstLine="0"/>
              <w:jc w:val="left"/>
            </w:pPr>
            <w:r>
              <w:rPr>
                <w:rFonts w:ascii="黑体" w:hAnsi="黑体" w:eastAsia="黑体"/>
                <w:b w:val="0"/>
                <w:i w:val="0"/>
                <w:color w:val="000000"/>
                <w:sz w:val="21"/>
              </w:rPr>
              <w:t>其他</w:t>
            </w:r>
          </w:p>
        </w:tc>
        <w:tc>
          <w:tcPr>
            <w:tcW w:type="dxa" w:w="3009"/>
            <w:vMerge/>
            <w:tcBorders/>
          </w:tcPr>
          <w:p/>
        </w:tc>
        <w:tc>
          <w:tcPr>
            <w:tcW w:type="dxa" w:w="3009"/>
            <w:vMerge/>
            <w:tcBorders/>
          </w:tcPr>
          <w:p/>
        </w:tc>
      </w:tr>
      <w:tr>
        <w:trPr>
          <w:trHeight w:hRule="exact" w:val="264"/>
        </w:trPr>
        <w:tc>
          <w:tcPr>
            <w:tcW w:type="dxa" w:w="3009"/>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1"/>
              </w:rPr>
              <w:t>183,525,064</w:t>
            </w:r>
          </w:p>
        </w:tc>
        <w:tc>
          <w:tcPr>
            <w:tcW w:type="dxa" w:w="2098"/>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1"/>
              </w:rPr>
              <w:t>159,582,270</w:t>
            </w:r>
          </w:p>
        </w:tc>
      </w:tr>
      <w:tr>
        <w:trPr>
          <w:trHeight w:hRule="exact" w:val="528"/>
        </w:trPr>
        <w:tc>
          <w:tcPr>
            <w:tcW w:type="dxa" w:w="4564"/>
            <w:tcBorders>
              <w:top w:sz="4.0" w:val="single" w:color="#000000"/>
              <w:bottom w:sz="4.0" w:val="single" w:color="#000000"/>
            </w:tcBorders>
            <w:tcMar>
              <w:start w:w="0" w:type="dxa"/>
              <w:end w:w="0" w:type="dxa"/>
            </w:tcMar>
          </w:tcPr>
          <w:p>
            <w:pPr>
              <w:autoSpaceDN w:val="0"/>
              <w:autoSpaceDE w:val="0"/>
              <w:widowControl/>
              <w:spacing w:line="212" w:lineRule="exact" w:before="272" w:after="0"/>
              <w:ind w:left="198" w:right="0" w:firstLine="0"/>
              <w:jc w:val="left"/>
            </w:pPr>
            <w:r>
              <w:rPr>
                <w:rFonts w:ascii="黑体" w:hAnsi="黑体" w:eastAsia="黑体"/>
                <w:b w:val="0"/>
                <w:i w:val="0"/>
                <w:color w:val="000000"/>
                <w:sz w:val="21"/>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72" w:after="0"/>
              <w:ind w:left="0" w:right="0" w:firstLine="0"/>
              <w:jc w:val="right"/>
            </w:pPr>
            <w:r>
              <w:rPr>
                <w:rFonts w:ascii="Arial" w:hAnsi="Arial" w:eastAsia="Arial"/>
                <w:b w:val="0"/>
                <w:i w:val="0"/>
                <w:color w:val="000000"/>
                <w:sz w:val="21"/>
              </w:rPr>
              <w:t>1,945,063,034</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72" w:after="0"/>
              <w:ind w:left="0" w:right="0" w:firstLine="0"/>
              <w:jc w:val="right"/>
            </w:pPr>
            <w:r>
              <w:rPr>
                <w:rFonts w:ascii="Arial" w:hAnsi="Arial" w:eastAsia="Arial"/>
                <w:b w:val="0"/>
                <w:i w:val="0"/>
                <w:color w:val="000000"/>
                <w:sz w:val="21"/>
              </w:rPr>
              <w:t>1,598,354,318</w:t>
            </w:r>
          </w:p>
        </w:tc>
      </w:tr>
      <w:tr>
        <w:trPr>
          <w:trHeight w:hRule="exact" w:val="46"/>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4934" w:after="0"/>
        <w:ind w:left="0" w:right="0" w:firstLine="0"/>
        <w:jc w:val="center"/>
      </w:pPr>
      <w:r>
        <w:rPr>
          <w:rFonts w:ascii="Arial" w:hAnsi="Arial" w:eastAsia="Arial"/>
          <w:b w:val="0"/>
          <w:i w:val="0"/>
          <w:color w:val="000000"/>
          <w:sz w:val="20"/>
        </w:rPr>
        <w:t xml:space="preserve">243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72"/>
        <w:ind w:left="0" w:right="0"/>
      </w:pPr>
    </w:p>
    <w:p>
      <w:pPr>
        <w:autoSpaceDN w:val="0"/>
        <w:tabs>
          <w:tab w:pos="1070" w:val="left"/>
        </w:tabs>
        <w:autoSpaceDE w:val="0"/>
        <w:widowControl/>
        <w:spacing w:line="222" w:lineRule="exact" w:before="0" w:after="0"/>
        <w:ind w:left="358" w:right="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p>
    <w:p>
      <w:pPr>
        <w:autoSpaceDN w:val="0"/>
        <w:tabs>
          <w:tab w:pos="1086" w:val="left"/>
        </w:tabs>
        <w:autoSpaceDE w:val="0"/>
        <w:widowControl/>
        <w:spacing w:line="246" w:lineRule="exact" w:before="306" w:after="0"/>
        <w:ind w:left="358" w:right="0" w:firstLine="0"/>
        <w:jc w:val="left"/>
      </w:pPr>
      <w:r>
        <w:rPr>
          <w:rFonts w:ascii="Arial,Bold" w:hAnsi="Arial,Bold" w:eastAsia="Arial,Bold"/>
          <w:b/>
          <w:i w:val="0"/>
          <w:color w:val="000000"/>
          <w:sz w:val="22"/>
        </w:rPr>
        <w:t xml:space="preserve">55. </w:t>
      </w:r>
      <w:r>
        <w:rPr>
          <w:rFonts w:ascii="黑体" w:hAnsi="黑体" w:eastAsia="黑体"/>
          <w:b w:val="0"/>
          <w:i w:val="0"/>
          <w:color w:val="000000"/>
          <w:sz w:val="22"/>
        </w:rPr>
        <w:t>现金流量表项目注释（续）</w:t>
      </w:r>
    </w:p>
    <w:p>
      <w:pPr>
        <w:autoSpaceDN w:val="0"/>
        <w:autoSpaceDE w:val="0"/>
        <w:widowControl/>
        <w:spacing w:line="246" w:lineRule="exact" w:before="326" w:after="268"/>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 xml:space="preserve">） 以净额列报的现金流量 </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384"/>
        </w:trPr>
        <w:tc>
          <w:tcPr>
            <w:tcW w:type="dxa" w:w="2600"/>
            <w:vMerge w:val="restart"/>
            <w:tcBorders/>
            <w:tcMar>
              <w:start w:w="0" w:type="dxa"/>
              <w:end w:w="0" w:type="dxa"/>
            </w:tcMar>
            <w:tcMar>
              <w:start w:w="0" w:type="dxa"/>
              <w:end w:w="0" w:type="dxa"/>
            </w:tcMar>
          </w:tcPr>
          <w:p>
            <w:pPr>
              <w:autoSpaceDN w:val="0"/>
              <w:autoSpaceDE w:val="0"/>
              <w:widowControl/>
              <w:spacing w:line="180" w:lineRule="exact" w:before="528" w:after="0"/>
              <w:ind w:left="198" w:right="0" w:firstLine="0"/>
              <w:jc w:val="left"/>
            </w:pPr>
            <w:r>
              <w:rPr>
                <w:rFonts w:ascii="黑体" w:hAnsi="黑体" w:eastAsia="黑体"/>
                <w:b w:val="0"/>
                <w:i w:val="0"/>
                <w:color w:val="000000"/>
                <w:sz w:val="18"/>
              </w:rPr>
              <w:t xml:space="preserve">融出资金净增加/减少额 </w:t>
            </w:r>
          </w:p>
        </w:tc>
        <w:tc>
          <w:tcPr>
            <w:tcW w:type="dxa" w:w="2020"/>
            <w:tcBorders/>
            <w:tcMar>
              <w:start w:w="0" w:type="dxa"/>
              <w:end w:w="0" w:type="dxa"/>
            </w:tcMar>
          </w:tcPr>
          <w:p>
            <w:pPr>
              <w:autoSpaceDN w:val="0"/>
              <w:autoSpaceDE w:val="0"/>
              <w:widowControl/>
              <w:spacing w:line="180" w:lineRule="exact" w:before="60" w:after="0"/>
              <w:ind w:left="0" w:right="24" w:firstLine="0"/>
              <w:jc w:val="right"/>
            </w:pPr>
            <w:r>
              <w:rPr>
                <w:rFonts w:ascii="黑体" w:hAnsi="黑体" w:eastAsia="黑体"/>
                <w:b w:val="0"/>
                <w:i w:val="0"/>
                <w:color w:val="000000"/>
                <w:sz w:val="18"/>
              </w:rPr>
              <w:t xml:space="preserve">相关事实情况 </w:t>
            </w:r>
          </w:p>
        </w:tc>
        <w:tc>
          <w:tcPr>
            <w:tcW w:type="dxa" w:w="2690"/>
            <w:gridSpan w:val="2"/>
            <w:tcBorders/>
            <w:tcMar>
              <w:start w:w="0" w:type="dxa"/>
              <w:end w:w="0" w:type="dxa"/>
            </w:tcMar>
            <w:tcMar>
              <w:start w:w="0" w:type="dxa"/>
              <w:end w:w="0" w:type="dxa"/>
            </w:tcMar>
          </w:tcPr>
          <w:p>
            <w:pPr>
              <w:autoSpaceDN w:val="0"/>
              <w:autoSpaceDE w:val="0"/>
              <w:widowControl/>
              <w:spacing w:line="180" w:lineRule="exact" w:before="60" w:after="0"/>
              <w:ind w:left="0" w:right="502" w:firstLine="0"/>
              <w:jc w:val="right"/>
            </w:pPr>
            <w:r>
              <w:rPr>
                <w:rFonts w:ascii="黑体" w:hAnsi="黑体" w:eastAsia="黑体"/>
                <w:b w:val="0"/>
                <w:i w:val="0"/>
                <w:color w:val="000000"/>
                <w:sz w:val="18"/>
              </w:rPr>
              <w:t xml:space="preserve">净额列报的依据 </w:t>
            </w:r>
          </w:p>
        </w:tc>
        <w:tc>
          <w:tcPr>
            <w:tcW w:type="dxa" w:w="1370"/>
            <w:tcBorders/>
            <w:tcMar>
              <w:start w:w="0" w:type="dxa"/>
              <w:end w:w="0" w:type="dxa"/>
            </w:tcMar>
          </w:tcPr>
          <w:p>
            <w:pPr>
              <w:autoSpaceDN w:val="0"/>
              <w:autoSpaceDE w:val="0"/>
              <w:widowControl/>
              <w:spacing w:line="180" w:lineRule="exact" w:before="60" w:after="0"/>
              <w:ind w:left="0" w:right="148" w:firstLine="0"/>
              <w:jc w:val="right"/>
            </w:pPr>
            <w:r>
              <w:rPr>
                <w:rFonts w:ascii="黑体" w:hAnsi="黑体" w:eastAsia="黑体"/>
                <w:b w:val="0"/>
                <w:i w:val="0"/>
                <w:color w:val="000000"/>
                <w:sz w:val="18"/>
              </w:rPr>
              <w:t>财务影响</w:t>
            </w:r>
          </w:p>
        </w:tc>
      </w:tr>
      <w:tr>
        <w:trPr>
          <w:trHeight w:hRule="exact" w:val="340"/>
        </w:trPr>
        <w:tc>
          <w:tcPr>
            <w:tcW w:type="dxa" w:w="1805"/>
            <w:vMerge/>
            <w:tcBorders/>
          </w:tcPr>
          <w:p/>
        </w:tc>
        <w:tc>
          <w:tcPr>
            <w:tcW w:type="dxa" w:w="2020"/>
            <w:tcBorders/>
            <w:tcMar>
              <w:start w:w="0" w:type="dxa"/>
              <w:end w:w="0" w:type="dxa"/>
            </w:tcMar>
          </w:tcPr>
          <w:p>
            <w:pPr>
              <w:autoSpaceDN w:val="0"/>
              <w:autoSpaceDE w:val="0"/>
              <w:widowControl/>
              <w:spacing w:line="180" w:lineRule="exact" w:before="144" w:after="0"/>
              <w:ind w:left="0" w:right="0" w:firstLine="0"/>
              <w:jc w:val="center"/>
            </w:pPr>
            <w:r>
              <w:rPr>
                <w:rFonts w:ascii="黑体" w:hAnsi="黑体" w:eastAsia="黑体"/>
                <w:b w:val="0"/>
                <w:i w:val="0"/>
                <w:color w:val="000000"/>
                <w:sz w:val="18"/>
              </w:rPr>
              <w:t>证券业务中融出资金业</w:t>
            </w:r>
          </w:p>
        </w:tc>
        <w:tc>
          <w:tcPr>
            <w:tcW w:type="dxa" w:w="2160"/>
            <w:tcBorders/>
            <w:tcMar>
              <w:start w:w="0" w:type="dxa"/>
              <w:end w:w="0" w:type="dxa"/>
            </w:tcMar>
          </w:tcPr>
          <w:p>
            <w:pPr>
              <w:autoSpaceDN w:val="0"/>
              <w:autoSpaceDE w:val="0"/>
              <w:widowControl/>
              <w:spacing w:line="180" w:lineRule="exact" w:before="144" w:after="0"/>
              <w:ind w:left="58" w:right="0" w:firstLine="0"/>
              <w:jc w:val="left"/>
            </w:pPr>
            <w:r>
              <w:rPr>
                <w:rFonts w:ascii="黑体" w:hAnsi="黑体" w:eastAsia="黑体"/>
                <w:b w:val="0"/>
                <w:i w:val="0"/>
                <w:color w:val="000000"/>
                <w:sz w:val="18"/>
              </w:rPr>
              <w:t>金融企业的期限较短、</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144" w:after="0"/>
              <w:ind w:left="0" w:right="0" w:firstLine="0"/>
              <w:jc w:val="left"/>
            </w:pPr>
            <w:r>
              <w:rPr>
                <w:rFonts w:ascii="黑体" w:hAnsi="黑体" w:eastAsia="黑体"/>
                <w:b w:val="0"/>
                <w:i w:val="0"/>
                <w:color w:val="000000"/>
                <w:sz w:val="18"/>
              </w:rPr>
              <w:t>净额列示在“融出资</w:t>
            </w:r>
          </w:p>
        </w:tc>
      </w:tr>
      <w:tr>
        <w:trPr>
          <w:trHeight w:hRule="exact" w:val="244"/>
        </w:trPr>
        <w:tc>
          <w:tcPr>
            <w:tcW w:type="dxa" w:w="2600"/>
            <w:vMerge w:val="restart"/>
            <w:tcBorders/>
            <w:tcMar>
              <w:start w:w="0" w:type="dxa"/>
              <w:end w:w="0" w:type="dxa"/>
            </w:tcMar>
            <w:tcMar>
              <w:start w:w="0" w:type="dxa"/>
              <w:end w:w="0" w:type="dxa"/>
            </w:tcMar>
          </w:tcPr>
          <w:p>
            <w:pPr>
              <w:autoSpaceDN w:val="0"/>
              <w:autoSpaceDE w:val="0"/>
              <w:widowControl/>
              <w:spacing w:line="180" w:lineRule="exact" w:before="272" w:after="0"/>
              <w:ind w:left="198" w:right="0" w:firstLine="0"/>
              <w:jc w:val="left"/>
            </w:pPr>
            <w:r>
              <w:rPr>
                <w:rFonts w:ascii="黑体" w:hAnsi="黑体" w:eastAsia="黑体"/>
                <w:b w:val="0"/>
                <w:i w:val="0"/>
                <w:color w:val="000000"/>
                <w:sz w:val="18"/>
              </w:rPr>
              <w:t>代理买卖证券款收到/支付的</w:t>
            </w:r>
          </w:p>
        </w:tc>
        <w:tc>
          <w:tcPr>
            <w:tcW w:type="dxa" w:w="2020"/>
            <w:tcBorders/>
            <w:tcMar>
              <w:start w:w="0" w:type="dxa"/>
              <w:end w:w="0" w:type="dxa"/>
            </w:tcMar>
          </w:tcPr>
          <w:p>
            <w:pPr>
              <w:autoSpaceDN w:val="0"/>
              <w:autoSpaceDE w:val="0"/>
              <w:widowControl/>
              <w:spacing w:line="180" w:lineRule="exact" w:before="38" w:after="0"/>
              <w:ind w:left="92" w:right="0" w:firstLine="0"/>
              <w:jc w:val="left"/>
            </w:pPr>
            <w:r>
              <w:rPr>
                <w:rFonts w:ascii="黑体" w:hAnsi="黑体" w:eastAsia="黑体"/>
                <w:b w:val="0"/>
                <w:i w:val="0"/>
                <w:color w:val="000000"/>
                <w:sz w:val="18"/>
              </w:rPr>
              <w:t xml:space="preserve">务所产生的现金流量 </w:t>
            </w:r>
          </w:p>
        </w:tc>
        <w:tc>
          <w:tcPr>
            <w:tcW w:type="dxa" w:w="2160"/>
            <w:tcBorders/>
            <w:tcMar>
              <w:start w:w="0" w:type="dxa"/>
              <w:end w:w="0" w:type="dxa"/>
            </w:tcMar>
          </w:tcPr>
          <w:p>
            <w:pPr>
              <w:autoSpaceDN w:val="0"/>
              <w:autoSpaceDE w:val="0"/>
              <w:widowControl/>
              <w:spacing w:line="180" w:lineRule="exact" w:before="38" w:after="0"/>
              <w:ind w:left="58" w:right="0" w:firstLine="0"/>
              <w:jc w:val="left"/>
            </w:pPr>
            <w:r>
              <w:rPr>
                <w:rFonts w:ascii="黑体" w:hAnsi="黑体" w:eastAsia="黑体"/>
                <w:b w:val="0"/>
                <w:i w:val="0"/>
                <w:color w:val="000000"/>
                <w:sz w:val="18"/>
              </w:rPr>
              <w:t xml:space="preserve">流动性强的有关项目 </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38" w:after="0"/>
              <w:ind w:left="0" w:right="0" w:firstLine="0"/>
              <w:jc w:val="left"/>
            </w:pPr>
            <w:r>
              <w:rPr>
                <w:rFonts w:ascii="黑体" w:hAnsi="黑体" w:eastAsia="黑体"/>
                <w:b w:val="0"/>
                <w:i w:val="0"/>
                <w:color w:val="000000"/>
                <w:sz w:val="18"/>
              </w:rPr>
              <w:t xml:space="preserve">金净增加/减少额” </w:t>
            </w:r>
          </w:p>
        </w:tc>
      </w:tr>
      <w:tr>
        <w:trPr>
          <w:trHeight w:hRule="exact" w:val="216"/>
        </w:trPr>
        <w:tc>
          <w:tcPr>
            <w:tcW w:type="dxa" w:w="1805"/>
            <w:vMerge/>
            <w:tcBorders/>
          </w:tcPr>
          <w:p/>
        </w:tc>
        <w:tc>
          <w:tcPr>
            <w:tcW w:type="dxa" w:w="2020"/>
            <w:tcBorders/>
            <w:tcMar>
              <w:start w:w="0" w:type="dxa"/>
              <w:end w:w="0" w:type="dxa"/>
            </w:tcMar>
          </w:tcPr>
          <w:p>
            <w:pPr>
              <w:autoSpaceDN w:val="0"/>
              <w:autoSpaceDE w:val="0"/>
              <w:widowControl/>
              <w:spacing w:line="180" w:lineRule="exact" w:before="28" w:after="0"/>
              <w:ind w:left="0" w:right="0" w:firstLine="0"/>
              <w:jc w:val="center"/>
            </w:pPr>
            <w:r>
              <w:rPr>
                <w:rFonts w:ascii="黑体" w:hAnsi="黑体" w:eastAsia="黑体"/>
                <w:b w:val="0"/>
                <w:i w:val="0"/>
                <w:color w:val="000000"/>
                <w:sz w:val="18"/>
              </w:rPr>
              <w:t>证券业务中代理客户买</w:t>
            </w:r>
          </w:p>
        </w:tc>
        <w:tc>
          <w:tcPr>
            <w:tcW w:type="dxa" w:w="2160"/>
            <w:tcBorders/>
            <w:tcMar>
              <w:start w:w="0" w:type="dxa"/>
              <w:end w:w="0" w:type="dxa"/>
            </w:tcMar>
          </w:tcPr>
          <w:p>
            <w:pPr>
              <w:autoSpaceDN w:val="0"/>
              <w:autoSpaceDE w:val="0"/>
              <w:widowControl/>
              <w:spacing w:line="180" w:lineRule="exact" w:before="28" w:after="0"/>
              <w:ind w:left="58" w:right="0" w:firstLine="0"/>
              <w:jc w:val="left"/>
            </w:pPr>
            <w:r>
              <w:rPr>
                <w:rFonts w:ascii="黑体" w:hAnsi="黑体" w:eastAsia="黑体"/>
                <w:b w:val="0"/>
                <w:i w:val="0"/>
                <w:color w:val="000000"/>
                <w:sz w:val="18"/>
              </w:rPr>
              <w:t>代客户收取或支付的现</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28" w:after="0"/>
              <w:ind w:left="0" w:right="0" w:firstLine="0"/>
              <w:jc w:val="left"/>
            </w:pPr>
            <w:r>
              <w:rPr>
                <w:rFonts w:ascii="黑体" w:hAnsi="黑体" w:eastAsia="黑体"/>
                <w:b w:val="0"/>
                <w:i w:val="0"/>
                <w:color w:val="000000"/>
                <w:sz w:val="18"/>
              </w:rPr>
              <w:t>净额列示在“代理买</w:t>
            </w:r>
          </w:p>
        </w:tc>
      </w:tr>
      <w:tr>
        <w:trPr>
          <w:trHeight w:hRule="exact" w:val="240"/>
        </w:trPr>
        <w:tc>
          <w:tcPr>
            <w:tcW w:type="dxa" w:w="2600"/>
            <w:tcBorders/>
            <w:tcMar>
              <w:start w:w="0" w:type="dxa"/>
              <w:end w:w="0" w:type="dxa"/>
            </w:tcMar>
          </w:tcPr>
          <w:p>
            <w:pPr>
              <w:autoSpaceDN w:val="0"/>
              <w:autoSpaceDE w:val="0"/>
              <w:widowControl/>
              <w:spacing w:line="180" w:lineRule="exact" w:before="46" w:after="0"/>
              <w:ind w:left="198" w:right="0" w:firstLine="0"/>
              <w:jc w:val="left"/>
            </w:pPr>
            <w:r>
              <w:rPr>
                <w:rFonts w:ascii="黑体" w:hAnsi="黑体" w:eastAsia="黑体"/>
                <w:b w:val="0"/>
                <w:i w:val="0"/>
                <w:color w:val="000000"/>
                <w:sz w:val="18"/>
              </w:rPr>
              <w:t xml:space="preserve">现金净额 </w:t>
            </w:r>
          </w:p>
        </w:tc>
        <w:tc>
          <w:tcPr>
            <w:tcW w:type="dxa" w:w="2020"/>
            <w:tcBorders/>
            <w:tcMar>
              <w:start w:w="0" w:type="dxa"/>
              <w:end w:w="0" w:type="dxa"/>
            </w:tcMar>
          </w:tcPr>
          <w:p>
            <w:pPr>
              <w:autoSpaceDN w:val="0"/>
              <w:autoSpaceDE w:val="0"/>
              <w:widowControl/>
              <w:spacing w:line="180" w:lineRule="exact" w:before="46" w:after="0"/>
              <w:ind w:left="0" w:right="0" w:firstLine="0"/>
              <w:jc w:val="center"/>
            </w:pPr>
            <w:r>
              <w:rPr>
                <w:rFonts w:ascii="黑体" w:hAnsi="黑体" w:eastAsia="黑体"/>
                <w:b w:val="0"/>
                <w:i w:val="0"/>
                <w:color w:val="000000"/>
                <w:sz w:val="18"/>
              </w:rPr>
              <w:t>卖证券交易产生的现金</w:t>
            </w:r>
          </w:p>
        </w:tc>
        <w:tc>
          <w:tcPr>
            <w:tcW w:type="dxa" w:w="2160"/>
            <w:tcBorders/>
            <w:tcMar>
              <w:start w:w="0" w:type="dxa"/>
              <w:end w:w="0" w:type="dxa"/>
            </w:tcMar>
          </w:tcPr>
          <w:p>
            <w:pPr>
              <w:autoSpaceDN w:val="0"/>
              <w:autoSpaceDE w:val="0"/>
              <w:widowControl/>
              <w:spacing w:line="180" w:lineRule="exact" w:before="46" w:after="0"/>
              <w:ind w:left="58" w:right="0" w:firstLine="0"/>
              <w:jc w:val="left"/>
            </w:pPr>
            <w:r>
              <w:rPr>
                <w:rFonts w:ascii="黑体" w:hAnsi="黑体" w:eastAsia="黑体"/>
                <w:b w:val="0"/>
                <w:i w:val="0"/>
                <w:color w:val="000000"/>
                <w:sz w:val="18"/>
              </w:rPr>
              <w:t xml:space="preserve">金 </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46" w:after="0"/>
              <w:ind w:left="0" w:right="0" w:firstLine="0"/>
              <w:jc w:val="left"/>
            </w:pPr>
            <w:r>
              <w:rPr>
                <w:rFonts w:ascii="黑体" w:hAnsi="黑体" w:eastAsia="黑体"/>
                <w:b w:val="0"/>
                <w:i w:val="0"/>
                <w:color w:val="000000"/>
                <w:sz w:val="18"/>
              </w:rPr>
              <w:t>卖证券款收到/支付的</w:t>
            </w:r>
          </w:p>
        </w:tc>
      </w:tr>
      <w:tr>
        <w:trPr>
          <w:trHeight w:hRule="exact" w:val="246"/>
        </w:trPr>
        <w:tc>
          <w:tcPr>
            <w:tcW w:type="dxa" w:w="2600"/>
            <w:vMerge w:val="restart"/>
            <w:tcBorders/>
            <w:tcMar>
              <w:start w:w="0" w:type="dxa"/>
              <w:end w:w="0" w:type="dxa"/>
            </w:tcMar>
            <w:tcMar>
              <w:start w:w="0" w:type="dxa"/>
              <w:end w:w="0" w:type="dxa"/>
            </w:tcMar>
          </w:tcPr>
          <w:p>
            <w:pPr>
              <w:autoSpaceDN w:val="0"/>
              <w:autoSpaceDE w:val="0"/>
              <w:widowControl/>
              <w:spacing w:line="180" w:lineRule="exact" w:before="272" w:after="0"/>
              <w:ind w:left="198" w:right="0" w:firstLine="0"/>
              <w:jc w:val="left"/>
            </w:pPr>
            <w:r>
              <w:rPr>
                <w:rFonts w:ascii="黑体" w:hAnsi="黑体" w:eastAsia="黑体"/>
                <w:b w:val="0"/>
                <w:i w:val="0"/>
                <w:color w:val="000000"/>
                <w:sz w:val="18"/>
              </w:rPr>
              <w:t>为交易目的而持有的金融资</w:t>
            </w:r>
          </w:p>
        </w:tc>
        <w:tc>
          <w:tcPr>
            <w:tcW w:type="dxa" w:w="2020"/>
            <w:tcBorders/>
            <w:tcMar>
              <w:start w:w="0" w:type="dxa"/>
              <w:end w:w="0" w:type="dxa"/>
            </w:tcMar>
          </w:tcPr>
          <w:p>
            <w:pPr>
              <w:autoSpaceDN w:val="0"/>
              <w:autoSpaceDE w:val="0"/>
              <w:widowControl/>
              <w:spacing w:line="180" w:lineRule="exact" w:before="40" w:after="0"/>
              <w:ind w:left="92" w:right="0" w:firstLine="0"/>
              <w:jc w:val="left"/>
            </w:pPr>
            <w:r>
              <w:rPr>
                <w:rFonts w:ascii="黑体" w:hAnsi="黑体" w:eastAsia="黑体"/>
                <w:b w:val="0"/>
                <w:i w:val="0"/>
                <w:color w:val="000000"/>
                <w:sz w:val="18"/>
              </w:rPr>
              <w:t xml:space="preserve">流量 </w:t>
            </w:r>
          </w:p>
        </w:tc>
        <w:tc>
          <w:tcPr>
            <w:tcW w:type="dxa" w:w="4060"/>
            <w:gridSpan w:val="3"/>
            <w:tcBorders/>
            <w:tcMar>
              <w:start w:w="0" w:type="dxa"/>
              <w:end w:w="0" w:type="dxa"/>
            </w:tcMar>
            <w:tcMar>
              <w:start w:w="0" w:type="dxa"/>
              <w:end w:w="0" w:type="dxa"/>
            </w:tcMar>
            <w:tcMar>
              <w:start w:w="0" w:type="dxa"/>
              <w:end w:w="0" w:type="dxa"/>
            </w:tcMar>
          </w:tcPr>
          <w:p>
            <w:pPr>
              <w:autoSpaceDN w:val="0"/>
              <w:autoSpaceDE w:val="0"/>
              <w:widowControl/>
              <w:spacing w:line="180" w:lineRule="exact" w:before="40" w:after="0"/>
              <w:ind w:left="0" w:right="914" w:firstLine="0"/>
              <w:jc w:val="right"/>
            </w:pPr>
            <w:r>
              <w:rPr>
                <w:rFonts w:ascii="黑体" w:hAnsi="黑体" w:eastAsia="黑体"/>
                <w:b w:val="0"/>
                <w:i w:val="0"/>
                <w:color w:val="000000"/>
                <w:sz w:val="18"/>
              </w:rPr>
              <w:t xml:space="preserve">现金净额” </w:t>
            </w:r>
          </w:p>
        </w:tc>
      </w:tr>
      <w:tr>
        <w:trPr>
          <w:trHeight w:hRule="exact" w:val="234"/>
        </w:trPr>
        <w:tc>
          <w:tcPr>
            <w:tcW w:type="dxa" w:w="1805"/>
            <w:vMerge/>
            <w:tcBorders/>
          </w:tcPr>
          <w:p/>
        </w:tc>
        <w:tc>
          <w:tcPr>
            <w:tcW w:type="dxa" w:w="202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证券业务中为交易目的</w:t>
            </w:r>
          </w:p>
        </w:tc>
        <w:tc>
          <w:tcPr>
            <w:tcW w:type="dxa" w:w="2160"/>
            <w:tcBorders/>
            <w:tcMar>
              <w:start w:w="0" w:type="dxa"/>
              <w:end w:w="0" w:type="dxa"/>
            </w:tcMar>
          </w:tcPr>
          <w:p>
            <w:pPr>
              <w:autoSpaceDN w:val="0"/>
              <w:autoSpaceDE w:val="0"/>
              <w:widowControl/>
              <w:spacing w:line="180" w:lineRule="exact" w:before="26" w:after="0"/>
              <w:ind w:left="58" w:right="0" w:firstLine="0"/>
              <w:jc w:val="left"/>
            </w:pPr>
            <w:r>
              <w:rPr>
                <w:rFonts w:ascii="黑体" w:hAnsi="黑体" w:eastAsia="黑体"/>
                <w:b w:val="0"/>
                <w:i w:val="0"/>
                <w:color w:val="000000"/>
                <w:sz w:val="18"/>
              </w:rPr>
              <w:t>金融企业的期限较短、</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26" w:after="0"/>
              <w:ind w:left="0" w:right="0" w:firstLine="0"/>
              <w:jc w:val="left"/>
            </w:pPr>
            <w:r>
              <w:rPr>
                <w:rFonts w:ascii="黑体" w:hAnsi="黑体" w:eastAsia="黑体"/>
                <w:b w:val="0"/>
                <w:i w:val="0"/>
                <w:color w:val="000000"/>
                <w:sz w:val="18"/>
              </w:rPr>
              <w:t>净额列示在“为交易</w:t>
            </w:r>
          </w:p>
        </w:tc>
      </w:tr>
      <w:tr>
        <w:trPr>
          <w:trHeight w:hRule="exact" w:val="220"/>
        </w:trPr>
        <w:tc>
          <w:tcPr>
            <w:tcW w:type="dxa" w:w="2600"/>
            <w:tcBorders/>
            <w:tcMar>
              <w:start w:w="0" w:type="dxa"/>
              <w:end w:w="0" w:type="dxa"/>
            </w:tcMar>
          </w:tcPr>
          <w:p>
            <w:pPr>
              <w:autoSpaceDN w:val="0"/>
              <w:autoSpaceDE w:val="0"/>
              <w:widowControl/>
              <w:spacing w:line="180" w:lineRule="exact" w:before="28" w:after="0"/>
              <w:ind w:left="198" w:right="0" w:firstLine="0"/>
              <w:jc w:val="left"/>
            </w:pPr>
            <w:r>
              <w:rPr>
                <w:rFonts w:ascii="黑体" w:hAnsi="黑体" w:eastAsia="黑体"/>
                <w:b w:val="0"/>
                <w:i w:val="0"/>
                <w:color w:val="000000"/>
                <w:sz w:val="18"/>
              </w:rPr>
              <w:t xml:space="preserve">产净增加/减少额 </w:t>
            </w:r>
          </w:p>
        </w:tc>
        <w:tc>
          <w:tcPr>
            <w:tcW w:type="dxa" w:w="2020"/>
            <w:tcBorders/>
            <w:tcMar>
              <w:start w:w="0" w:type="dxa"/>
              <w:end w:w="0" w:type="dxa"/>
            </w:tcMar>
          </w:tcPr>
          <w:p>
            <w:pPr>
              <w:autoSpaceDN w:val="0"/>
              <w:autoSpaceDE w:val="0"/>
              <w:widowControl/>
              <w:spacing w:line="180" w:lineRule="exact" w:before="28" w:after="0"/>
              <w:ind w:left="0" w:right="0" w:firstLine="0"/>
              <w:jc w:val="center"/>
            </w:pPr>
            <w:r>
              <w:rPr>
                <w:rFonts w:ascii="黑体" w:hAnsi="黑体" w:eastAsia="黑体"/>
                <w:b w:val="0"/>
                <w:i w:val="0"/>
                <w:color w:val="000000"/>
                <w:sz w:val="18"/>
              </w:rPr>
              <w:t>买入和卖出证券所产生</w:t>
            </w:r>
          </w:p>
        </w:tc>
        <w:tc>
          <w:tcPr>
            <w:tcW w:type="dxa" w:w="2160"/>
            <w:tcBorders/>
            <w:tcMar>
              <w:start w:w="0" w:type="dxa"/>
              <w:end w:w="0" w:type="dxa"/>
            </w:tcMar>
          </w:tcPr>
          <w:p>
            <w:pPr>
              <w:autoSpaceDN w:val="0"/>
              <w:autoSpaceDE w:val="0"/>
              <w:widowControl/>
              <w:spacing w:line="180" w:lineRule="exact" w:before="28" w:after="0"/>
              <w:ind w:left="58" w:right="0" w:firstLine="0"/>
              <w:jc w:val="left"/>
            </w:pPr>
            <w:r>
              <w:rPr>
                <w:rFonts w:ascii="黑体" w:hAnsi="黑体" w:eastAsia="黑体"/>
                <w:b w:val="0"/>
                <w:i w:val="0"/>
                <w:color w:val="000000"/>
                <w:sz w:val="18"/>
              </w:rPr>
              <w:t xml:space="preserve">流动性强的有关项目 </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28" w:after="0"/>
              <w:ind w:left="0" w:right="0" w:firstLine="0"/>
              <w:jc w:val="left"/>
            </w:pPr>
            <w:r>
              <w:rPr>
                <w:rFonts w:ascii="黑体" w:hAnsi="黑体" w:eastAsia="黑体"/>
                <w:b w:val="0"/>
                <w:i w:val="0"/>
                <w:color w:val="000000"/>
                <w:sz w:val="18"/>
              </w:rPr>
              <w:t>目的而持有的金融资</w:t>
            </w:r>
          </w:p>
        </w:tc>
      </w:tr>
      <w:tr>
        <w:trPr>
          <w:trHeight w:hRule="exact" w:val="246"/>
        </w:trPr>
        <w:tc>
          <w:tcPr>
            <w:tcW w:type="dxa" w:w="2600"/>
            <w:vMerge w:val="restart"/>
            <w:tcBorders/>
            <w:tcMar>
              <w:start w:w="0" w:type="dxa"/>
              <w:end w:w="0" w:type="dxa"/>
            </w:tcMar>
            <w:tcMar>
              <w:start w:w="0" w:type="dxa"/>
              <w:end w:w="0" w:type="dxa"/>
            </w:tcMar>
          </w:tcPr>
          <w:p>
            <w:pPr>
              <w:autoSpaceDN w:val="0"/>
              <w:autoSpaceDE w:val="0"/>
              <w:widowControl/>
              <w:spacing w:line="180" w:lineRule="exact" w:before="272" w:after="0"/>
              <w:ind w:left="198" w:right="0" w:firstLine="0"/>
              <w:jc w:val="left"/>
            </w:pPr>
            <w:r>
              <w:rPr>
                <w:rFonts w:ascii="黑体" w:hAnsi="黑体" w:eastAsia="黑体"/>
                <w:b w:val="0"/>
                <w:i w:val="0"/>
                <w:color w:val="000000"/>
                <w:sz w:val="18"/>
              </w:rPr>
              <w:t>为交易目的而持有的金融负</w:t>
            </w:r>
          </w:p>
        </w:tc>
        <w:tc>
          <w:tcPr>
            <w:tcW w:type="dxa" w:w="2020"/>
            <w:tcBorders/>
            <w:tcMar>
              <w:start w:w="0" w:type="dxa"/>
              <w:end w:w="0" w:type="dxa"/>
            </w:tcMar>
          </w:tcPr>
          <w:p>
            <w:pPr>
              <w:autoSpaceDN w:val="0"/>
              <w:autoSpaceDE w:val="0"/>
              <w:widowControl/>
              <w:spacing w:line="180" w:lineRule="exact" w:before="40" w:after="0"/>
              <w:ind w:left="92" w:right="0" w:firstLine="0"/>
              <w:jc w:val="left"/>
            </w:pPr>
            <w:r>
              <w:rPr>
                <w:rFonts w:ascii="黑体" w:hAnsi="黑体" w:eastAsia="黑体"/>
                <w:b w:val="0"/>
                <w:i w:val="0"/>
                <w:color w:val="000000"/>
                <w:sz w:val="18"/>
              </w:rPr>
              <w:t xml:space="preserve">的现金流量 </w:t>
            </w:r>
          </w:p>
        </w:tc>
        <w:tc>
          <w:tcPr>
            <w:tcW w:type="dxa" w:w="4060"/>
            <w:gridSpan w:val="3"/>
            <w:tcBorders/>
            <w:tcMar>
              <w:start w:w="0" w:type="dxa"/>
              <w:end w:w="0" w:type="dxa"/>
            </w:tcMar>
            <w:tcMar>
              <w:start w:w="0" w:type="dxa"/>
              <w:end w:w="0" w:type="dxa"/>
            </w:tcMar>
            <w:tcMar>
              <w:start w:w="0" w:type="dxa"/>
              <w:end w:w="0" w:type="dxa"/>
            </w:tcMar>
          </w:tcPr>
          <w:p>
            <w:pPr>
              <w:autoSpaceDN w:val="0"/>
              <w:autoSpaceDE w:val="0"/>
              <w:widowControl/>
              <w:spacing w:line="180" w:lineRule="exact" w:before="40" w:after="0"/>
              <w:ind w:left="0" w:right="284" w:firstLine="0"/>
              <w:jc w:val="right"/>
            </w:pPr>
            <w:r>
              <w:rPr>
                <w:rFonts w:ascii="黑体" w:hAnsi="黑体" w:eastAsia="黑体"/>
                <w:b w:val="0"/>
                <w:i w:val="0"/>
                <w:color w:val="000000"/>
                <w:sz w:val="18"/>
              </w:rPr>
              <w:t xml:space="preserve">产净增加/减少额” </w:t>
            </w:r>
          </w:p>
        </w:tc>
      </w:tr>
      <w:tr>
        <w:trPr>
          <w:trHeight w:hRule="exact" w:val="214"/>
        </w:trPr>
        <w:tc>
          <w:tcPr>
            <w:tcW w:type="dxa" w:w="1805"/>
            <w:vMerge/>
            <w:tcBorders/>
          </w:tcPr>
          <w:p/>
        </w:tc>
        <w:tc>
          <w:tcPr>
            <w:tcW w:type="dxa" w:w="202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公司承担金融负债所产</w:t>
            </w:r>
          </w:p>
        </w:tc>
        <w:tc>
          <w:tcPr>
            <w:tcW w:type="dxa" w:w="2160"/>
            <w:tcBorders/>
            <w:tcMar>
              <w:start w:w="0" w:type="dxa"/>
              <w:end w:w="0" w:type="dxa"/>
            </w:tcMar>
          </w:tcPr>
          <w:p>
            <w:pPr>
              <w:autoSpaceDN w:val="0"/>
              <w:autoSpaceDE w:val="0"/>
              <w:widowControl/>
              <w:spacing w:line="180" w:lineRule="exact" w:before="26" w:after="0"/>
              <w:ind w:left="58" w:right="0" w:firstLine="0"/>
              <w:jc w:val="left"/>
            </w:pPr>
            <w:r>
              <w:rPr>
                <w:rFonts w:ascii="黑体" w:hAnsi="黑体" w:eastAsia="黑体"/>
                <w:b w:val="0"/>
                <w:i w:val="0"/>
                <w:color w:val="000000"/>
                <w:sz w:val="18"/>
              </w:rPr>
              <w:t>金融企业的期限较短、</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26" w:after="0"/>
              <w:ind w:left="0" w:right="0" w:firstLine="0"/>
              <w:jc w:val="left"/>
            </w:pPr>
            <w:r>
              <w:rPr>
                <w:rFonts w:ascii="黑体" w:hAnsi="黑体" w:eastAsia="黑体"/>
                <w:b w:val="0"/>
                <w:i w:val="0"/>
                <w:color w:val="000000"/>
                <w:sz w:val="18"/>
              </w:rPr>
              <w:t>净额列示在“为交易</w:t>
            </w:r>
          </w:p>
        </w:tc>
      </w:tr>
      <w:tr>
        <w:trPr>
          <w:trHeight w:hRule="exact" w:val="252"/>
        </w:trPr>
        <w:tc>
          <w:tcPr>
            <w:tcW w:type="dxa" w:w="2600"/>
            <w:tcBorders/>
            <w:tcMar>
              <w:start w:w="0" w:type="dxa"/>
              <w:end w:w="0" w:type="dxa"/>
            </w:tcMar>
          </w:tcPr>
          <w:p>
            <w:pPr>
              <w:autoSpaceDN w:val="0"/>
              <w:autoSpaceDE w:val="0"/>
              <w:widowControl/>
              <w:spacing w:line="180" w:lineRule="exact" w:before="46" w:after="0"/>
              <w:ind w:left="198" w:right="0" w:firstLine="0"/>
              <w:jc w:val="left"/>
            </w:pPr>
            <w:r>
              <w:rPr>
                <w:rFonts w:ascii="黑体" w:hAnsi="黑体" w:eastAsia="黑体"/>
                <w:b w:val="0"/>
                <w:i w:val="0"/>
                <w:color w:val="000000"/>
                <w:sz w:val="18"/>
              </w:rPr>
              <w:t xml:space="preserve">债净增加/减少额 </w:t>
            </w:r>
          </w:p>
        </w:tc>
        <w:tc>
          <w:tcPr>
            <w:tcW w:type="dxa" w:w="2020"/>
            <w:tcBorders/>
            <w:tcMar>
              <w:start w:w="0" w:type="dxa"/>
              <w:end w:w="0" w:type="dxa"/>
            </w:tcMar>
          </w:tcPr>
          <w:p>
            <w:pPr>
              <w:autoSpaceDN w:val="0"/>
              <w:autoSpaceDE w:val="0"/>
              <w:widowControl/>
              <w:spacing w:line="180" w:lineRule="exact" w:before="46" w:after="0"/>
              <w:ind w:left="92" w:right="0" w:firstLine="0"/>
              <w:jc w:val="left"/>
            </w:pPr>
            <w:r>
              <w:rPr>
                <w:rFonts w:ascii="黑体" w:hAnsi="黑体" w:eastAsia="黑体"/>
                <w:b w:val="0"/>
                <w:i w:val="0"/>
                <w:color w:val="000000"/>
                <w:sz w:val="18"/>
              </w:rPr>
              <w:t xml:space="preserve">生的现金流量 </w:t>
            </w:r>
          </w:p>
        </w:tc>
        <w:tc>
          <w:tcPr>
            <w:tcW w:type="dxa" w:w="2160"/>
            <w:tcBorders/>
            <w:tcMar>
              <w:start w:w="0" w:type="dxa"/>
              <w:end w:w="0" w:type="dxa"/>
            </w:tcMar>
          </w:tcPr>
          <w:p>
            <w:pPr>
              <w:autoSpaceDN w:val="0"/>
              <w:autoSpaceDE w:val="0"/>
              <w:widowControl/>
              <w:spacing w:line="180" w:lineRule="exact" w:before="46" w:after="0"/>
              <w:ind w:left="58" w:right="0" w:firstLine="0"/>
              <w:jc w:val="left"/>
            </w:pPr>
            <w:r>
              <w:rPr>
                <w:rFonts w:ascii="黑体" w:hAnsi="黑体" w:eastAsia="黑体"/>
                <w:b w:val="0"/>
                <w:i w:val="0"/>
                <w:color w:val="000000"/>
                <w:sz w:val="18"/>
              </w:rPr>
              <w:t xml:space="preserve">流动性强的有关项目 </w:t>
            </w:r>
          </w:p>
        </w:tc>
        <w:tc>
          <w:tcPr>
            <w:tcW w:type="dxa" w:w="1900"/>
            <w:gridSpan w:val="2"/>
            <w:tcBorders/>
            <w:tcMar>
              <w:start w:w="0" w:type="dxa"/>
              <w:end w:w="0" w:type="dxa"/>
            </w:tcMar>
            <w:tcMar>
              <w:start w:w="0" w:type="dxa"/>
              <w:end w:w="0" w:type="dxa"/>
            </w:tcMar>
          </w:tcPr>
          <w:p>
            <w:pPr>
              <w:autoSpaceDN w:val="0"/>
              <w:autoSpaceDE w:val="0"/>
              <w:widowControl/>
              <w:spacing w:line="180" w:lineRule="exact" w:before="46" w:after="0"/>
              <w:ind w:left="0" w:right="0" w:firstLine="0"/>
              <w:jc w:val="left"/>
            </w:pPr>
            <w:r>
              <w:rPr>
                <w:rFonts w:ascii="黑体" w:hAnsi="黑体" w:eastAsia="黑体"/>
                <w:b w:val="0"/>
                <w:i w:val="0"/>
                <w:color w:val="000000"/>
                <w:sz w:val="18"/>
              </w:rPr>
              <w:t>目的而持有的金融负</w:t>
            </w:r>
          </w:p>
        </w:tc>
      </w:tr>
    </w:tbl>
    <w:p>
      <w:pPr>
        <w:autoSpaceDN w:val="0"/>
        <w:autoSpaceDE w:val="0"/>
        <w:widowControl/>
        <w:spacing w:line="180" w:lineRule="exact" w:before="28" w:after="28"/>
        <w:ind w:left="0" w:right="470" w:firstLine="0"/>
        <w:jc w:val="right"/>
      </w:pPr>
      <w:r>
        <w:rPr>
          <w:rFonts w:ascii="黑体" w:hAnsi="黑体" w:eastAsia="黑体"/>
          <w:b w:val="0"/>
          <w:i w:val="0"/>
          <w:color w:val="000000"/>
          <w:sz w:val="18"/>
        </w:rPr>
        <w:t xml:space="preserve">债净增加/减少额” </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32"/>
        </w:trPr>
        <w:tc>
          <w:tcPr>
            <w:tcW w:type="dxa" w:w="26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买卖衍生金融工具收到/支付</w:t>
            </w:r>
          </w:p>
        </w:tc>
        <w:tc>
          <w:tcPr>
            <w:tcW w:type="dxa" w:w="198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公司承担衍生产品交易</w:t>
            </w:r>
          </w:p>
        </w:tc>
        <w:tc>
          <w:tcPr>
            <w:tcW w:type="dxa" w:w="21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金融企业的期限较短、</w:t>
            </w:r>
          </w:p>
        </w:tc>
        <w:tc>
          <w:tcPr>
            <w:tcW w:type="dxa" w:w="20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净额列示在“买卖衍</w:t>
            </w:r>
          </w:p>
        </w:tc>
      </w:tr>
      <w:tr>
        <w:trPr>
          <w:trHeight w:hRule="exact" w:val="232"/>
        </w:trPr>
        <w:tc>
          <w:tcPr>
            <w:tcW w:type="dxa" w:w="2600"/>
            <w:tcBorders/>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 xml:space="preserve">的现金净额 </w:t>
            </w:r>
          </w:p>
        </w:tc>
        <w:tc>
          <w:tcPr>
            <w:tcW w:type="dxa" w:w="1980"/>
            <w:tcBorders/>
            <w:tcMar>
              <w:start w:w="0" w:type="dxa"/>
              <w:end w:w="0" w:type="dxa"/>
            </w:tcMar>
          </w:tcPr>
          <w:p>
            <w:pPr>
              <w:autoSpaceDN w:val="0"/>
              <w:autoSpaceDE w:val="0"/>
              <w:widowControl/>
              <w:spacing w:line="180" w:lineRule="exact" w:before="26" w:after="0"/>
              <w:ind w:left="92" w:right="0" w:firstLine="0"/>
              <w:jc w:val="left"/>
            </w:pPr>
            <w:r>
              <w:rPr>
                <w:rFonts w:ascii="黑体" w:hAnsi="黑体" w:eastAsia="黑体"/>
                <w:b w:val="0"/>
                <w:i w:val="0"/>
                <w:color w:val="000000"/>
                <w:sz w:val="18"/>
              </w:rPr>
              <w:t xml:space="preserve">所产生的现金流量 </w:t>
            </w:r>
          </w:p>
        </w:tc>
        <w:tc>
          <w:tcPr>
            <w:tcW w:type="dxa" w:w="2100"/>
            <w:tcBorders/>
            <w:tcMar>
              <w:start w:w="0" w:type="dxa"/>
              <w:end w:w="0" w:type="dxa"/>
            </w:tcMar>
          </w:tcPr>
          <w:p>
            <w:pPr>
              <w:autoSpaceDN w:val="0"/>
              <w:autoSpaceDE w:val="0"/>
              <w:widowControl/>
              <w:spacing w:line="180" w:lineRule="exact" w:before="26" w:after="0"/>
              <w:ind w:left="98" w:right="0" w:firstLine="0"/>
              <w:jc w:val="left"/>
            </w:pPr>
            <w:r>
              <w:rPr>
                <w:rFonts w:ascii="黑体" w:hAnsi="黑体" w:eastAsia="黑体"/>
                <w:b w:val="0"/>
                <w:i w:val="0"/>
                <w:color w:val="000000"/>
                <w:sz w:val="18"/>
              </w:rPr>
              <w:t xml:space="preserve">流动性强的有关项目 </w:t>
            </w:r>
          </w:p>
        </w:tc>
        <w:tc>
          <w:tcPr>
            <w:tcW w:type="dxa" w:w="20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生金融工具收到/支付</w:t>
            </w:r>
          </w:p>
        </w:tc>
      </w:tr>
    </w:tbl>
    <w:p>
      <w:pPr>
        <w:autoSpaceDN w:val="0"/>
        <w:autoSpaceDE w:val="0"/>
        <w:widowControl/>
        <w:spacing w:line="180" w:lineRule="exact" w:before="28" w:after="28"/>
        <w:ind w:left="0" w:right="920" w:firstLine="0"/>
        <w:jc w:val="right"/>
      </w:pPr>
      <w:r>
        <w:rPr>
          <w:rFonts w:ascii="黑体" w:hAnsi="黑体" w:eastAsia="黑体"/>
          <w:b w:val="0"/>
          <w:i w:val="0"/>
          <w:color w:val="000000"/>
          <w:sz w:val="18"/>
        </w:rPr>
        <w:t xml:space="preserve">的现金净额” </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32"/>
        </w:trPr>
        <w:tc>
          <w:tcPr>
            <w:tcW w:type="dxa" w:w="2600"/>
            <w:vMerge w:val="restart"/>
            <w:tcBorders/>
            <w:tcMar>
              <w:start w:w="0" w:type="dxa"/>
              <w:end w:w="0" w:type="dxa"/>
            </w:tcMar>
            <w:tcMar>
              <w:start w:w="0" w:type="dxa"/>
              <w:end w:w="0" w:type="dxa"/>
            </w:tcMar>
          </w:tcPr>
          <w:p>
            <w:pPr>
              <w:autoSpaceDN w:val="0"/>
              <w:autoSpaceDE w:val="0"/>
              <w:widowControl/>
              <w:spacing w:line="180" w:lineRule="exact" w:before="26" w:after="0"/>
              <w:ind w:left="198" w:right="0" w:firstLine="0"/>
              <w:jc w:val="left"/>
            </w:pPr>
            <w:r>
              <w:rPr>
                <w:rFonts w:ascii="黑体" w:hAnsi="黑体" w:eastAsia="黑体"/>
                <w:b w:val="0"/>
                <w:i w:val="0"/>
                <w:color w:val="000000"/>
                <w:sz w:val="18"/>
              </w:rPr>
              <w:t xml:space="preserve">回购业务资金净增加/减少额 </w:t>
            </w:r>
          </w:p>
        </w:tc>
        <w:tc>
          <w:tcPr>
            <w:tcW w:type="dxa" w:w="198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证券业务中回购业务所</w:t>
            </w:r>
          </w:p>
        </w:tc>
        <w:tc>
          <w:tcPr>
            <w:tcW w:type="dxa" w:w="21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金融企业的期限较短、</w:t>
            </w:r>
          </w:p>
        </w:tc>
        <w:tc>
          <w:tcPr>
            <w:tcW w:type="dxa" w:w="20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净额列示在“回购业</w:t>
            </w:r>
          </w:p>
        </w:tc>
      </w:tr>
      <w:tr>
        <w:trPr>
          <w:trHeight w:hRule="exact" w:val="234"/>
        </w:trPr>
        <w:tc>
          <w:tcPr>
            <w:tcW w:type="dxa" w:w="2256"/>
            <w:vMerge/>
            <w:tcBorders/>
          </w:tcPr>
          <w:p/>
        </w:tc>
        <w:tc>
          <w:tcPr>
            <w:tcW w:type="dxa" w:w="1980"/>
            <w:tcBorders/>
            <w:tcMar>
              <w:start w:w="0" w:type="dxa"/>
              <w:end w:w="0" w:type="dxa"/>
            </w:tcMar>
          </w:tcPr>
          <w:p>
            <w:pPr>
              <w:autoSpaceDN w:val="0"/>
              <w:autoSpaceDE w:val="0"/>
              <w:widowControl/>
              <w:spacing w:line="180" w:lineRule="exact" w:before="28" w:after="0"/>
              <w:ind w:left="92" w:right="0" w:firstLine="0"/>
              <w:jc w:val="left"/>
            </w:pPr>
            <w:r>
              <w:rPr>
                <w:rFonts w:ascii="黑体" w:hAnsi="黑体" w:eastAsia="黑体"/>
                <w:b w:val="0"/>
                <w:i w:val="0"/>
                <w:color w:val="000000"/>
                <w:sz w:val="18"/>
              </w:rPr>
              <w:t xml:space="preserve">产生的现金流量 </w:t>
            </w:r>
          </w:p>
        </w:tc>
        <w:tc>
          <w:tcPr>
            <w:tcW w:type="dxa" w:w="2100"/>
            <w:tcBorders/>
            <w:tcMar>
              <w:start w:w="0" w:type="dxa"/>
              <w:end w:w="0" w:type="dxa"/>
            </w:tcMar>
          </w:tcPr>
          <w:p>
            <w:pPr>
              <w:autoSpaceDN w:val="0"/>
              <w:autoSpaceDE w:val="0"/>
              <w:widowControl/>
              <w:spacing w:line="180" w:lineRule="exact" w:before="28" w:after="0"/>
              <w:ind w:left="98" w:right="0" w:firstLine="0"/>
              <w:jc w:val="left"/>
            </w:pPr>
            <w:r>
              <w:rPr>
                <w:rFonts w:ascii="黑体" w:hAnsi="黑体" w:eastAsia="黑体"/>
                <w:b w:val="0"/>
                <w:i w:val="0"/>
                <w:color w:val="000000"/>
                <w:sz w:val="18"/>
              </w:rPr>
              <w:t xml:space="preserve">流动性强的有关项目 </w:t>
            </w:r>
          </w:p>
        </w:tc>
        <w:tc>
          <w:tcPr>
            <w:tcW w:type="dxa" w:w="2000"/>
            <w:tcBorders/>
            <w:tcMar>
              <w:start w:w="0" w:type="dxa"/>
              <w:end w:w="0" w:type="dxa"/>
            </w:tcMar>
          </w:tcPr>
          <w:p>
            <w:pPr>
              <w:autoSpaceDN w:val="0"/>
              <w:autoSpaceDE w:val="0"/>
              <w:widowControl/>
              <w:spacing w:line="180" w:lineRule="exact" w:before="28" w:after="0"/>
              <w:ind w:left="0" w:right="0" w:firstLine="0"/>
              <w:jc w:val="center"/>
            </w:pPr>
            <w:r>
              <w:rPr>
                <w:rFonts w:ascii="黑体" w:hAnsi="黑体" w:eastAsia="黑体"/>
                <w:b w:val="0"/>
                <w:i w:val="0"/>
                <w:color w:val="000000"/>
                <w:sz w:val="18"/>
              </w:rPr>
              <w:t>务资金净增加/减少额</w:t>
            </w:r>
          </w:p>
        </w:tc>
      </w:tr>
    </w:tbl>
    <w:p>
      <w:pPr>
        <w:autoSpaceDN w:val="0"/>
        <w:autoSpaceDE w:val="0"/>
        <w:widowControl/>
        <w:spacing w:line="180" w:lineRule="exact" w:before="26" w:after="28"/>
        <w:ind w:left="0" w:right="1822" w:firstLine="0"/>
        <w:jc w:val="right"/>
      </w:pPr>
      <w:r>
        <w:rPr>
          <w:rFonts w:ascii="黑体" w:hAnsi="黑体" w:eastAsia="黑体"/>
          <w:b w:val="0"/>
          <w:i w:val="0"/>
          <w:color w:val="000000"/>
          <w:sz w:val="18"/>
        </w:rPr>
        <w:t xml:space="preserve">” </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232"/>
        </w:trPr>
        <w:tc>
          <w:tcPr>
            <w:tcW w:type="dxa" w:w="2420"/>
            <w:vMerge w:val="restart"/>
            <w:tcBorders/>
            <w:tcMar>
              <w:start w:w="0" w:type="dxa"/>
              <w:end w:w="0" w:type="dxa"/>
            </w:tcMar>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 xml:space="preserve">拆入资金净增加/减少额 </w:t>
            </w:r>
          </w:p>
        </w:tc>
        <w:tc>
          <w:tcPr>
            <w:tcW w:type="dxa" w:w="2160"/>
            <w:tcBorders/>
            <w:tcMar>
              <w:start w:w="0" w:type="dxa"/>
              <w:end w:w="0" w:type="dxa"/>
            </w:tcMar>
          </w:tcPr>
          <w:p>
            <w:pPr>
              <w:autoSpaceDN w:val="0"/>
              <w:autoSpaceDE w:val="0"/>
              <w:widowControl/>
              <w:spacing w:line="180" w:lineRule="exact" w:before="26" w:after="0"/>
              <w:ind w:left="272" w:right="0" w:firstLine="0"/>
              <w:jc w:val="left"/>
            </w:pPr>
            <w:r>
              <w:rPr>
                <w:rFonts w:ascii="黑体" w:hAnsi="黑体" w:eastAsia="黑体"/>
                <w:b w:val="0"/>
                <w:i w:val="0"/>
                <w:color w:val="000000"/>
                <w:sz w:val="18"/>
              </w:rPr>
              <w:t>证券业务中资金拆借活</w:t>
            </w:r>
          </w:p>
        </w:tc>
        <w:tc>
          <w:tcPr>
            <w:tcW w:type="dxa" w:w="21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金融企业的期限较短、</w:t>
            </w:r>
          </w:p>
        </w:tc>
        <w:tc>
          <w:tcPr>
            <w:tcW w:type="dxa" w:w="20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净额列示在“拆入资</w:t>
            </w:r>
          </w:p>
        </w:tc>
      </w:tr>
      <w:tr>
        <w:trPr>
          <w:trHeight w:hRule="exact" w:val="268"/>
        </w:trPr>
        <w:tc>
          <w:tcPr>
            <w:tcW w:type="dxa" w:w="2256"/>
            <w:vMerge/>
            <w:tcBorders/>
          </w:tcPr>
          <w:p/>
        </w:tc>
        <w:tc>
          <w:tcPr>
            <w:tcW w:type="dxa" w:w="2160"/>
            <w:tcBorders/>
            <w:tcMar>
              <w:start w:w="0" w:type="dxa"/>
              <w:end w:w="0" w:type="dxa"/>
            </w:tcMar>
          </w:tcPr>
          <w:p>
            <w:pPr>
              <w:autoSpaceDN w:val="0"/>
              <w:autoSpaceDE w:val="0"/>
              <w:widowControl/>
              <w:spacing w:line="180" w:lineRule="exact" w:before="28" w:after="0"/>
              <w:ind w:left="272" w:right="0" w:firstLine="0"/>
              <w:jc w:val="left"/>
            </w:pPr>
            <w:r>
              <w:rPr>
                <w:rFonts w:ascii="黑体" w:hAnsi="黑体" w:eastAsia="黑体"/>
                <w:b w:val="0"/>
                <w:i w:val="0"/>
                <w:color w:val="000000"/>
                <w:sz w:val="18"/>
              </w:rPr>
              <w:t xml:space="preserve">动所产生的现金流量 </w:t>
            </w:r>
          </w:p>
        </w:tc>
        <w:tc>
          <w:tcPr>
            <w:tcW w:type="dxa" w:w="2100"/>
            <w:tcBorders/>
            <w:tcMar>
              <w:start w:w="0" w:type="dxa"/>
              <w:end w:w="0" w:type="dxa"/>
            </w:tcMar>
          </w:tcPr>
          <w:p>
            <w:pPr>
              <w:autoSpaceDN w:val="0"/>
              <w:autoSpaceDE w:val="0"/>
              <w:widowControl/>
              <w:spacing w:line="180" w:lineRule="exact" w:before="28" w:after="0"/>
              <w:ind w:left="98" w:right="0" w:firstLine="0"/>
              <w:jc w:val="left"/>
            </w:pPr>
            <w:r>
              <w:rPr>
                <w:rFonts w:ascii="黑体" w:hAnsi="黑体" w:eastAsia="黑体"/>
                <w:b w:val="0"/>
                <w:i w:val="0"/>
                <w:color w:val="000000"/>
                <w:sz w:val="18"/>
              </w:rPr>
              <w:t xml:space="preserve">流动性强的有关项目 </w:t>
            </w:r>
          </w:p>
        </w:tc>
        <w:tc>
          <w:tcPr>
            <w:tcW w:type="dxa" w:w="2000"/>
            <w:tcBorders/>
            <w:tcMar>
              <w:start w:w="0" w:type="dxa"/>
              <w:end w:w="0" w:type="dxa"/>
            </w:tcMar>
          </w:tcPr>
          <w:p>
            <w:pPr>
              <w:autoSpaceDN w:val="0"/>
              <w:autoSpaceDE w:val="0"/>
              <w:widowControl/>
              <w:spacing w:line="180" w:lineRule="exact" w:before="28" w:after="0"/>
              <w:ind w:left="96" w:right="0" w:firstLine="0"/>
              <w:jc w:val="left"/>
            </w:pPr>
            <w:r>
              <w:rPr>
                <w:rFonts w:ascii="黑体" w:hAnsi="黑体" w:eastAsia="黑体"/>
                <w:b w:val="0"/>
                <w:i w:val="0"/>
                <w:color w:val="000000"/>
                <w:sz w:val="18"/>
              </w:rPr>
              <w:t xml:space="preserve">金净增加/减少额” </w:t>
            </w:r>
          </w:p>
        </w:tc>
      </w:tr>
    </w:tbl>
    <w:p>
      <w:pPr>
        <w:autoSpaceDN w:val="0"/>
        <w:autoSpaceDE w:val="0"/>
        <w:widowControl/>
        <w:spacing w:line="233" w:lineRule="auto" w:before="7330" w:after="0"/>
        <w:ind w:left="0" w:right="0" w:firstLine="0"/>
        <w:jc w:val="center"/>
      </w:pPr>
      <w:r>
        <w:rPr>
          <w:rFonts w:ascii="Arial" w:hAnsi="Arial" w:eastAsia="Arial"/>
          <w:b w:val="0"/>
          <w:i w:val="0"/>
          <w:color w:val="000000"/>
          <w:sz w:val="20"/>
        </w:rPr>
        <w:t xml:space="preserve">244 </w:t>
      </w:r>
    </w:p>
    <w:p>
      <w:pPr>
        <w:sectPr>
          <w:pgSz w:w="11906" w:h="16841"/>
          <w:pgMar w:top="990"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62" w:lineRule="exact" w:before="0" w:after="232"/>
        <w:ind w:left="358" w:right="4320"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 xml:space="preserve">56. </w:t>
      </w:r>
      <w:r>
        <w:tab/>
      </w:r>
      <w:r>
        <w:rPr>
          <w:rFonts w:ascii="黑体" w:hAnsi="黑体" w:eastAsia="黑体"/>
          <w:b w:val="0"/>
          <w:i w:val="0"/>
          <w:color w:val="000000"/>
          <w:sz w:val="22"/>
        </w:rPr>
        <w:t>现金流量表相关情况</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现金流量表补充资料</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将净利润调节为经营活动现金流量：</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62"/>
        </w:trPr>
        <w:tc>
          <w:tcPr>
            <w:tcW w:type="dxa" w:w="4536"/>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净利润</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106"/>
            <w:tcBorders/>
            <w:tcMar>
              <w:start w:w="0" w:type="dxa"/>
              <w:end w:w="0" w:type="dxa"/>
            </w:tcMar>
          </w:tcPr>
          <w:p>
            <w:pPr>
              <w:autoSpaceDN w:val="0"/>
              <w:autoSpaceDE w:val="0"/>
              <w:widowControl/>
              <w:spacing w:line="246" w:lineRule="exact" w:before="60" w:after="0"/>
              <w:ind w:left="0" w:right="234"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186" w:firstLine="0"/>
              <w:jc w:val="right"/>
            </w:pPr>
            <w:r>
              <w:rPr>
                <w:rFonts w:ascii="Arial" w:hAnsi="Arial" w:eastAsia="Arial"/>
                <w:b w:val="0"/>
                <w:i w:val="0"/>
                <w:color w:val="000000"/>
                <w:sz w:val="22"/>
              </w:rPr>
              <w:t xml:space="preserve">690,733,630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156" w:after="0"/>
              <w:ind w:left="0" w:right="232" w:firstLine="0"/>
              <w:jc w:val="right"/>
            </w:pPr>
            <w:r>
              <w:rPr>
                <w:rFonts w:ascii="Arial" w:hAnsi="Arial" w:eastAsia="Arial"/>
                <w:b w:val="0"/>
                <w:i w:val="0"/>
                <w:color w:val="000000"/>
                <w:sz w:val="22"/>
              </w:rPr>
              <w:t>592,024,186</w:t>
            </w:r>
          </w:p>
        </w:tc>
      </w:tr>
      <w:tr>
        <w:trPr>
          <w:trHeight w:hRule="exact" w:val="42"/>
        </w:trPr>
        <w:tc>
          <w:tcPr>
            <w:tcW w:type="dxa" w:w="4536"/>
            <w:vMerge w:val="restart"/>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加：信用减值损失</w:t>
            </w:r>
          </w:p>
        </w:tc>
        <w:tc>
          <w:tcPr>
            <w:tcW w:type="dxa" w:w="3009"/>
            <w:vMerge/>
            <w:tcBorders/>
          </w:tcPr>
          <w:p/>
        </w:tc>
        <w:tc>
          <w:tcPr>
            <w:tcW w:type="dxa" w:w="3009"/>
            <w:vMerge/>
            <w:tcBorders/>
          </w:tcPr>
          <w:p/>
        </w:tc>
      </w:tr>
      <w:tr>
        <w:trPr>
          <w:trHeight w:hRule="exact" w:val="238"/>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86" w:firstLine="0"/>
              <w:jc w:val="right"/>
            </w:pPr>
            <w:r>
              <w:rPr>
                <w:rFonts w:ascii="Arial" w:hAnsi="Arial" w:eastAsia="Arial"/>
                <w:b w:val="0"/>
                <w:i w:val="0"/>
                <w:color w:val="000000"/>
                <w:sz w:val="22"/>
              </w:rPr>
              <w:t xml:space="preserve">25,443,795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20" w:after="0"/>
              <w:ind w:left="0" w:right="232" w:firstLine="0"/>
              <w:jc w:val="right"/>
            </w:pPr>
            <w:r>
              <w:rPr>
                <w:rFonts w:ascii="Arial" w:hAnsi="Arial" w:eastAsia="Arial"/>
                <w:b w:val="0"/>
                <w:i w:val="0"/>
                <w:color w:val="000000"/>
                <w:sz w:val="22"/>
              </w:rPr>
              <w:t>61,371,540</w:t>
            </w:r>
          </w:p>
        </w:tc>
      </w:tr>
      <w:tr>
        <w:trPr>
          <w:trHeight w:hRule="exact" w:val="46"/>
        </w:trPr>
        <w:tc>
          <w:tcPr>
            <w:tcW w:type="dxa" w:w="4536"/>
            <w:vMerge w:val="restart"/>
            <w:tcBorders/>
            <w:tcMar>
              <w:start w:w="0" w:type="dxa"/>
              <w:end w:w="0" w:type="dxa"/>
            </w:tcMar>
            <w:tcMar>
              <w:start w:w="0" w:type="dxa"/>
              <w:end w:w="0" w:type="dxa"/>
            </w:tcMar>
          </w:tcPr>
          <w:p>
            <w:pPr>
              <w:autoSpaceDN w:val="0"/>
              <w:autoSpaceDE w:val="0"/>
              <w:widowControl/>
              <w:spacing w:line="220" w:lineRule="exact" w:before="58" w:after="0"/>
              <w:ind w:left="638" w:right="0" w:firstLine="0"/>
              <w:jc w:val="left"/>
            </w:pPr>
            <w:r>
              <w:rPr>
                <w:rFonts w:ascii="黑体" w:hAnsi="黑体" w:eastAsia="黑体"/>
                <w:b w:val="0"/>
                <w:i w:val="0"/>
                <w:color w:val="000000"/>
                <w:sz w:val="22"/>
              </w:rPr>
              <w:t>固定资产折旧</w:t>
            </w:r>
          </w:p>
        </w:tc>
        <w:tc>
          <w:tcPr>
            <w:tcW w:type="dxa" w:w="3009"/>
            <w:vMerge/>
            <w:tcBorders/>
          </w:tcPr>
          <w:p/>
        </w:tc>
        <w:tc>
          <w:tcPr>
            <w:tcW w:type="dxa" w:w="3009"/>
            <w:vMerge/>
            <w:tcBorders/>
          </w:tcPr>
          <w:p/>
        </w:tc>
      </w:tr>
      <w:tr>
        <w:trPr>
          <w:trHeight w:hRule="exact" w:val="234"/>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186" w:firstLine="0"/>
              <w:jc w:val="right"/>
            </w:pPr>
            <w:r>
              <w:rPr>
                <w:rFonts w:ascii="Arial" w:hAnsi="Arial" w:eastAsia="Arial"/>
                <w:b w:val="0"/>
                <w:i w:val="0"/>
                <w:color w:val="000000"/>
                <w:sz w:val="22"/>
              </w:rPr>
              <w:t xml:space="preserve">65,692,905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18" w:after="0"/>
              <w:ind w:left="0" w:right="232" w:firstLine="0"/>
              <w:jc w:val="right"/>
            </w:pPr>
            <w:r>
              <w:rPr>
                <w:rFonts w:ascii="Arial" w:hAnsi="Arial" w:eastAsia="Arial"/>
                <w:b w:val="0"/>
                <w:i w:val="0"/>
                <w:color w:val="000000"/>
                <w:sz w:val="22"/>
              </w:rPr>
              <w:t>59,321,246</w:t>
            </w:r>
          </w:p>
        </w:tc>
      </w:tr>
      <w:tr>
        <w:trPr>
          <w:trHeight w:hRule="exact" w:val="50"/>
        </w:trPr>
        <w:tc>
          <w:tcPr>
            <w:tcW w:type="dxa" w:w="4536"/>
            <w:vMerge w:val="restart"/>
            <w:tcBorders/>
            <w:tcMar>
              <w:start w:w="0" w:type="dxa"/>
              <w:end w:w="0" w:type="dxa"/>
            </w:tcMar>
            <w:tcMar>
              <w:start w:w="0" w:type="dxa"/>
              <w:end w:w="0" w:type="dxa"/>
            </w:tcMar>
          </w:tcPr>
          <w:p>
            <w:pPr>
              <w:autoSpaceDN w:val="0"/>
              <w:autoSpaceDE w:val="0"/>
              <w:widowControl/>
              <w:spacing w:line="220" w:lineRule="exact" w:before="64" w:after="0"/>
              <w:ind w:left="638" w:right="0" w:firstLine="0"/>
              <w:jc w:val="left"/>
            </w:pPr>
            <w:r>
              <w:rPr>
                <w:rFonts w:ascii="黑体" w:hAnsi="黑体" w:eastAsia="黑体"/>
                <w:b w:val="0"/>
                <w:i w:val="0"/>
                <w:color w:val="000000"/>
                <w:sz w:val="22"/>
              </w:rPr>
              <w:t>无形资产摊销</w:t>
            </w:r>
          </w:p>
        </w:tc>
        <w:tc>
          <w:tcPr>
            <w:tcW w:type="dxa" w:w="3009"/>
            <w:vMerge/>
            <w:tcBorders/>
          </w:tcPr>
          <w:p/>
        </w:tc>
        <w:tc>
          <w:tcPr>
            <w:tcW w:type="dxa" w:w="3009"/>
            <w:vMerge/>
            <w:tcBorders/>
          </w:tcPr>
          <w:p/>
        </w:tc>
      </w:tr>
      <w:tr>
        <w:trPr>
          <w:trHeight w:hRule="exact" w:val="250"/>
        </w:trPr>
        <w:tc>
          <w:tcPr>
            <w:tcW w:type="dxa" w:w="3009"/>
            <w:vMerge/>
            <w:tcBorders/>
          </w:tcPr>
          <w:p/>
        </w:tc>
        <w:tc>
          <w:tcPr>
            <w:tcW w:type="dxa" w:w="2098"/>
            <w:tcBorders/>
            <w:tcMar>
              <w:start w:w="0" w:type="dxa"/>
              <w:end w:w="0" w:type="dxa"/>
            </w:tcMar>
          </w:tcPr>
          <w:p>
            <w:pPr>
              <w:autoSpaceDN w:val="0"/>
              <w:autoSpaceDE w:val="0"/>
              <w:widowControl/>
              <w:spacing w:line="233" w:lineRule="auto" w:before="4" w:after="0"/>
              <w:ind w:left="0" w:right="186" w:firstLine="0"/>
              <w:jc w:val="right"/>
            </w:pPr>
            <w:r>
              <w:rPr>
                <w:rFonts w:ascii="Arial" w:hAnsi="Arial" w:eastAsia="Arial"/>
                <w:b w:val="0"/>
                <w:i w:val="0"/>
                <w:color w:val="000000"/>
                <w:sz w:val="22"/>
              </w:rPr>
              <w:t xml:space="preserve">75,701,032 </w:t>
            </w:r>
          </w:p>
        </w:tc>
        <w:tc>
          <w:tcPr>
            <w:tcW w:type="dxa" w:w="2106"/>
            <w:tcBorders/>
            <w:tcMar>
              <w:start w:w="0" w:type="dxa"/>
              <w:end w:w="0" w:type="dxa"/>
            </w:tcMar>
          </w:tcPr>
          <w:p>
            <w:pPr>
              <w:autoSpaceDN w:val="0"/>
              <w:autoSpaceDE w:val="0"/>
              <w:widowControl/>
              <w:spacing w:line="233" w:lineRule="auto" w:before="4" w:after="0"/>
              <w:ind w:left="0" w:right="232" w:firstLine="0"/>
              <w:jc w:val="right"/>
            </w:pPr>
            <w:r>
              <w:rPr>
                <w:rFonts w:ascii="Arial" w:hAnsi="Arial" w:eastAsia="Arial"/>
                <w:b w:val="0"/>
                <w:i w:val="0"/>
                <w:color w:val="000000"/>
                <w:sz w:val="22"/>
              </w:rPr>
              <w:t>65,996,703</w:t>
            </w:r>
          </w:p>
        </w:tc>
      </w:tr>
      <w:tr>
        <w:trPr>
          <w:trHeight w:hRule="exact" w:val="280"/>
        </w:trPr>
        <w:tc>
          <w:tcPr>
            <w:tcW w:type="dxa" w:w="4536"/>
            <w:tcBorders/>
            <w:tcMar>
              <w:start w:w="0" w:type="dxa"/>
              <w:end w:w="0" w:type="dxa"/>
            </w:tcMar>
          </w:tcPr>
          <w:p>
            <w:pPr>
              <w:autoSpaceDN w:val="0"/>
              <w:autoSpaceDE w:val="0"/>
              <w:widowControl/>
              <w:spacing w:line="222" w:lineRule="exact" w:before="48" w:after="0"/>
              <w:ind w:left="638" w:right="0" w:firstLine="0"/>
              <w:jc w:val="left"/>
            </w:pPr>
            <w:r>
              <w:rPr>
                <w:rFonts w:ascii="黑体" w:hAnsi="黑体" w:eastAsia="黑体"/>
                <w:b w:val="0"/>
                <w:i w:val="0"/>
                <w:color w:val="000000"/>
                <w:sz w:val="22"/>
              </w:rPr>
              <w:t>长期待摊费用摊销</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186" w:firstLine="0"/>
              <w:jc w:val="right"/>
            </w:pPr>
            <w:r>
              <w:rPr>
                <w:rFonts w:ascii="Arial" w:hAnsi="Arial" w:eastAsia="Arial"/>
                <w:b w:val="0"/>
                <w:i w:val="0"/>
                <w:color w:val="000000"/>
                <w:sz w:val="22"/>
              </w:rPr>
              <w:t xml:space="preserve">29,765,065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56" w:after="0"/>
              <w:ind w:left="0" w:right="232" w:firstLine="0"/>
              <w:jc w:val="right"/>
            </w:pPr>
            <w:r>
              <w:rPr>
                <w:rFonts w:ascii="Arial" w:hAnsi="Arial" w:eastAsia="Arial"/>
                <w:b w:val="0"/>
                <w:i w:val="0"/>
                <w:color w:val="000000"/>
                <w:sz w:val="22"/>
              </w:rPr>
              <w:t>26,158,661</w:t>
            </w:r>
          </w:p>
        </w:tc>
      </w:tr>
      <w:tr>
        <w:trPr>
          <w:trHeight w:hRule="exact" w:val="42"/>
        </w:trPr>
        <w:tc>
          <w:tcPr>
            <w:tcW w:type="dxa" w:w="4536"/>
            <w:vMerge w:val="restart"/>
            <w:tcBorders/>
            <w:tcMar>
              <w:start w:w="0" w:type="dxa"/>
              <w:end w:w="0" w:type="dxa"/>
            </w:tcMar>
            <w:tcMar>
              <w:start w:w="0" w:type="dxa"/>
              <w:end w:w="0" w:type="dxa"/>
            </w:tcMar>
          </w:tcPr>
          <w:p>
            <w:pPr>
              <w:autoSpaceDN w:val="0"/>
              <w:autoSpaceDE w:val="0"/>
              <w:widowControl/>
              <w:spacing w:line="222" w:lineRule="exact" w:before="54" w:after="0"/>
              <w:ind w:left="638" w:right="0" w:firstLine="0"/>
              <w:jc w:val="left"/>
            </w:pPr>
            <w:r>
              <w:rPr>
                <w:rFonts w:ascii="黑体" w:hAnsi="黑体" w:eastAsia="黑体"/>
                <w:b w:val="0"/>
                <w:i w:val="0"/>
                <w:color w:val="000000"/>
                <w:sz w:val="22"/>
              </w:rPr>
              <w:t>使用权资产折旧</w:t>
            </w:r>
          </w:p>
        </w:tc>
        <w:tc>
          <w:tcPr>
            <w:tcW w:type="dxa" w:w="3009"/>
            <w:vMerge/>
            <w:tcBorders/>
          </w:tcPr>
          <w:p/>
        </w:tc>
        <w:tc>
          <w:tcPr>
            <w:tcW w:type="dxa" w:w="3009"/>
            <w:vMerge/>
            <w:tcBorders/>
          </w:tcPr>
          <w:p/>
        </w:tc>
      </w:tr>
      <w:tr>
        <w:trPr>
          <w:trHeight w:hRule="exact" w:val="238"/>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86" w:firstLine="0"/>
              <w:jc w:val="right"/>
            </w:pPr>
            <w:r>
              <w:rPr>
                <w:rFonts w:ascii="Arial" w:hAnsi="Arial" w:eastAsia="Arial"/>
                <w:b w:val="0"/>
                <w:i w:val="0"/>
                <w:color w:val="000000"/>
                <w:sz w:val="22"/>
              </w:rPr>
              <w:t xml:space="preserve">118,131,898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20" w:after="0"/>
              <w:ind w:left="0" w:right="232" w:firstLine="0"/>
              <w:jc w:val="right"/>
            </w:pPr>
            <w:r>
              <w:rPr>
                <w:rFonts w:ascii="Arial" w:hAnsi="Arial" w:eastAsia="Arial"/>
                <w:b w:val="0"/>
                <w:i w:val="0"/>
                <w:color w:val="000000"/>
                <w:sz w:val="22"/>
              </w:rPr>
              <w:t>126,446,421</w:t>
            </w:r>
          </w:p>
        </w:tc>
      </w:tr>
      <w:tr>
        <w:trPr>
          <w:trHeight w:hRule="exact" w:val="48"/>
        </w:trPr>
        <w:tc>
          <w:tcPr>
            <w:tcW w:type="dxa" w:w="4536"/>
            <w:vMerge w:val="restart"/>
            <w:tcBorders/>
            <w:tcMar>
              <w:start w:w="0" w:type="dxa"/>
              <w:end w:w="0" w:type="dxa"/>
            </w:tcMar>
            <w:tcMar>
              <w:start w:w="0" w:type="dxa"/>
              <w:end w:w="0" w:type="dxa"/>
            </w:tcMar>
          </w:tcPr>
          <w:p>
            <w:pPr>
              <w:autoSpaceDN w:val="0"/>
              <w:autoSpaceDE w:val="0"/>
              <w:widowControl/>
              <w:spacing w:line="246" w:lineRule="exact" w:before="50" w:after="0"/>
              <w:ind w:left="628" w:right="0" w:firstLine="0"/>
              <w:jc w:val="left"/>
            </w:pPr>
            <w:r>
              <w:rPr>
                <w:rFonts w:ascii="黑体" w:hAnsi="黑体" w:eastAsia="黑体"/>
                <w:b w:val="0"/>
                <w:i w:val="0"/>
                <w:color w:val="000000"/>
                <w:sz w:val="22"/>
              </w:rPr>
              <w:t>资产处置损失</w:t>
            </w:r>
            <w:r>
              <w:rPr>
                <w:rFonts w:ascii="Arial" w:hAnsi="Arial" w:eastAsia="Arial"/>
                <w:b w:val="0"/>
                <w:i w:val="0"/>
                <w:color w:val="000000"/>
                <w:sz w:val="22"/>
              </w:rPr>
              <w:t>/</w:t>
            </w:r>
            <w:r>
              <w:rPr>
                <w:rFonts w:ascii="黑体" w:hAnsi="黑体" w:eastAsia="黑体"/>
                <w:b w:val="0"/>
                <w:i w:val="0"/>
                <w:color w:val="000000"/>
                <w:sz w:val="22"/>
              </w:rPr>
              <w:t>（收益）</w:t>
            </w:r>
          </w:p>
        </w:tc>
        <w:tc>
          <w:tcPr>
            <w:tcW w:type="dxa" w:w="3009"/>
            <w:vMerge/>
            <w:tcBorders/>
          </w:tcPr>
          <w:p/>
        </w:tc>
        <w:tc>
          <w:tcPr>
            <w:tcW w:type="dxa" w:w="3009"/>
            <w:vMerge/>
            <w:tcBorders/>
          </w:tcPr>
          <w:p/>
        </w:tc>
      </w:tr>
      <w:tr>
        <w:trPr>
          <w:trHeight w:hRule="exact" w:val="252"/>
        </w:trPr>
        <w:tc>
          <w:tcPr>
            <w:tcW w:type="dxa" w:w="3009"/>
            <w:vMerge/>
            <w:tcBorders/>
          </w:tcPr>
          <w:p/>
        </w:tc>
        <w:tc>
          <w:tcPr>
            <w:tcW w:type="dxa" w:w="2098"/>
            <w:tcBorders/>
            <w:tcMar>
              <w:start w:w="0" w:type="dxa"/>
              <w:end w:w="0" w:type="dxa"/>
            </w:tcMar>
          </w:tcPr>
          <w:p>
            <w:pPr>
              <w:autoSpaceDN w:val="0"/>
              <w:autoSpaceDE w:val="0"/>
              <w:widowControl/>
              <w:spacing w:line="233" w:lineRule="auto" w:before="6" w:after="0"/>
              <w:ind w:left="0" w:right="224" w:firstLine="0"/>
              <w:jc w:val="right"/>
            </w:pPr>
            <w:r>
              <w:rPr>
                <w:rFonts w:ascii="Arial" w:hAnsi="Arial" w:eastAsia="Arial"/>
                <w:b w:val="0"/>
                <w:i w:val="0"/>
                <w:color w:val="000000"/>
                <w:sz w:val="22"/>
              </w:rPr>
              <w:t>414,796</w:t>
            </w:r>
          </w:p>
        </w:tc>
        <w:tc>
          <w:tcPr>
            <w:tcW w:type="dxa" w:w="2106"/>
            <w:tcBorders/>
            <w:tcMar>
              <w:start w:w="0" w:type="dxa"/>
              <w:end w:w="0" w:type="dxa"/>
            </w:tcMar>
          </w:tcPr>
          <w:p>
            <w:pPr>
              <w:autoSpaceDN w:val="0"/>
              <w:autoSpaceDE w:val="0"/>
              <w:widowControl/>
              <w:spacing w:line="233" w:lineRule="auto" w:before="6" w:after="0"/>
              <w:ind w:left="0" w:right="100" w:firstLine="0"/>
              <w:jc w:val="right"/>
            </w:pPr>
            <w:r>
              <w:rPr>
                <w:rFonts w:ascii="Arial" w:hAnsi="Arial" w:eastAsia="Arial"/>
                <w:b w:val="0"/>
                <w:i w:val="0"/>
                <w:color w:val="000000"/>
                <w:sz w:val="22"/>
              </w:rPr>
              <w:t xml:space="preserve">(194,809) </w:t>
            </w:r>
          </w:p>
        </w:tc>
      </w:tr>
      <w:tr>
        <w:trPr>
          <w:trHeight w:hRule="exact" w:val="280"/>
        </w:trPr>
        <w:tc>
          <w:tcPr>
            <w:tcW w:type="dxa" w:w="4536"/>
            <w:tcBorders/>
            <w:tcMar>
              <w:start w:w="0" w:type="dxa"/>
              <w:end w:w="0" w:type="dxa"/>
            </w:tcMar>
          </w:tcPr>
          <w:p>
            <w:pPr>
              <w:autoSpaceDN w:val="0"/>
              <w:autoSpaceDE w:val="0"/>
              <w:widowControl/>
              <w:spacing w:line="220" w:lineRule="exact" w:before="44" w:after="0"/>
              <w:ind w:left="638" w:right="0" w:firstLine="0"/>
              <w:jc w:val="left"/>
            </w:pPr>
            <w:r>
              <w:rPr>
                <w:rFonts w:ascii="黑体" w:hAnsi="黑体" w:eastAsia="黑体"/>
                <w:b w:val="0"/>
                <w:i w:val="0"/>
                <w:color w:val="000000"/>
                <w:sz w:val="22"/>
              </w:rPr>
              <w:t>公允价值变动损益</w:t>
            </w:r>
          </w:p>
        </w:tc>
        <w:tc>
          <w:tcPr>
            <w:tcW w:type="dxa" w:w="2098"/>
            <w:tcBorders/>
            <w:tcMar>
              <w:start w:w="0" w:type="dxa"/>
              <w:end w:w="0" w:type="dxa"/>
            </w:tcMar>
          </w:tcPr>
          <w:p>
            <w:pPr>
              <w:autoSpaceDN w:val="0"/>
              <w:autoSpaceDE w:val="0"/>
              <w:widowControl/>
              <w:spacing w:line="233" w:lineRule="auto" w:before="34" w:after="0"/>
              <w:ind w:left="0" w:right="92" w:firstLine="0"/>
              <w:jc w:val="right"/>
            </w:pPr>
            <w:r>
              <w:rPr>
                <w:rFonts w:ascii="Arial" w:hAnsi="Arial" w:eastAsia="Arial"/>
                <w:b w:val="0"/>
                <w:i w:val="0"/>
                <w:color w:val="000000"/>
                <w:sz w:val="22"/>
              </w:rPr>
              <w:t xml:space="preserve">(51,373,373) </w:t>
            </w:r>
          </w:p>
        </w:tc>
        <w:tc>
          <w:tcPr>
            <w:tcW w:type="dxa" w:w="2106"/>
            <w:tcBorders/>
            <w:tcMar>
              <w:start w:w="0" w:type="dxa"/>
              <w:end w:w="0" w:type="dxa"/>
            </w:tcMar>
          </w:tcPr>
          <w:p>
            <w:pPr>
              <w:autoSpaceDN w:val="0"/>
              <w:autoSpaceDE w:val="0"/>
              <w:widowControl/>
              <w:spacing w:line="233" w:lineRule="auto" w:before="34" w:after="0"/>
              <w:ind w:left="0" w:right="100" w:firstLine="0"/>
              <w:jc w:val="right"/>
            </w:pPr>
            <w:r>
              <w:rPr>
                <w:rFonts w:ascii="Arial" w:hAnsi="Arial" w:eastAsia="Arial"/>
                <w:b w:val="0"/>
                <w:i w:val="0"/>
                <w:color w:val="000000"/>
                <w:sz w:val="22"/>
              </w:rPr>
              <w:t xml:space="preserve">(145,263,272) </w:t>
            </w:r>
          </w:p>
        </w:tc>
      </w:tr>
      <w:tr>
        <w:trPr>
          <w:trHeight w:hRule="exact" w:val="280"/>
        </w:trPr>
        <w:tc>
          <w:tcPr>
            <w:tcW w:type="dxa" w:w="4536"/>
            <w:tcBorders/>
            <w:tcMar>
              <w:start w:w="0" w:type="dxa"/>
              <w:end w:w="0" w:type="dxa"/>
            </w:tcMar>
          </w:tcPr>
          <w:p>
            <w:pPr>
              <w:autoSpaceDN w:val="0"/>
              <w:autoSpaceDE w:val="0"/>
              <w:widowControl/>
              <w:spacing w:line="222" w:lineRule="exact" w:before="48" w:after="0"/>
              <w:ind w:left="638" w:right="0" w:firstLine="0"/>
              <w:jc w:val="left"/>
            </w:pPr>
            <w:r>
              <w:rPr>
                <w:rFonts w:ascii="黑体" w:hAnsi="黑体" w:eastAsia="黑体"/>
                <w:b w:val="0"/>
                <w:i w:val="0"/>
                <w:color w:val="000000"/>
                <w:sz w:val="22"/>
              </w:rPr>
              <w:t>融资活动利息支出</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186" w:firstLine="0"/>
              <w:jc w:val="right"/>
            </w:pPr>
            <w:r>
              <w:rPr>
                <w:rFonts w:ascii="Arial" w:hAnsi="Arial" w:eastAsia="Arial"/>
                <w:b w:val="0"/>
                <w:i w:val="0"/>
                <w:color w:val="000000"/>
                <w:sz w:val="22"/>
              </w:rPr>
              <w:t xml:space="preserve">533,745,377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58" w:after="0"/>
              <w:ind w:left="0" w:right="232" w:firstLine="0"/>
              <w:jc w:val="right"/>
            </w:pPr>
            <w:r>
              <w:rPr>
                <w:rFonts w:ascii="Arial" w:hAnsi="Arial" w:eastAsia="Arial"/>
                <w:b w:val="0"/>
                <w:i w:val="0"/>
                <w:color w:val="000000"/>
                <w:sz w:val="22"/>
              </w:rPr>
              <w:t>638,804,506</w:t>
            </w:r>
          </w:p>
        </w:tc>
      </w:tr>
      <w:tr>
        <w:trPr>
          <w:trHeight w:hRule="exact" w:val="44"/>
        </w:trPr>
        <w:tc>
          <w:tcPr>
            <w:tcW w:type="dxa" w:w="4536"/>
            <w:vMerge w:val="restart"/>
            <w:tcBorders/>
            <w:tcMar>
              <w:start w:w="0" w:type="dxa"/>
              <w:end w:w="0" w:type="dxa"/>
            </w:tcMar>
            <w:tcMar>
              <w:start w:w="0" w:type="dxa"/>
              <w:end w:w="0" w:type="dxa"/>
            </w:tcMar>
          </w:tcPr>
          <w:p>
            <w:pPr>
              <w:autoSpaceDN w:val="0"/>
              <w:autoSpaceDE w:val="0"/>
              <w:widowControl/>
              <w:spacing w:line="222" w:lineRule="exact" w:before="54" w:after="0"/>
              <w:ind w:left="638" w:right="0" w:firstLine="0"/>
              <w:jc w:val="left"/>
            </w:pPr>
            <w:r>
              <w:rPr>
                <w:rFonts w:ascii="黑体" w:hAnsi="黑体" w:eastAsia="黑体"/>
                <w:b w:val="0"/>
                <w:i w:val="0"/>
                <w:color w:val="000000"/>
                <w:sz w:val="22"/>
              </w:rPr>
              <w:t>汇兑损益</w:t>
            </w:r>
          </w:p>
        </w:tc>
        <w:tc>
          <w:tcPr>
            <w:tcW w:type="dxa" w:w="3009"/>
            <w:vMerge/>
            <w:tcBorders/>
          </w:tcPr>
          <w:p/>
        </w:tc>
        <w:tc>
          <w:tcPr>
            <w:tcW w:type="dxa" w:w="3009"/>
            <w:vMerge/>
            <w:tcBorders/>
          </w:tcPr>
          <w:p/>
        </w:tc>
      </w:tr>
      <w:tr>
        <w:trPr>
          <w:trHeight w:hRule="exact" w:val="236"/>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186" w:firstLine="0"/>
              <w:jc w:val="right"/>
            </w:pPr>
            <w:r>
              <w:rPr>
                <w:rFonts w:ascii="Arial" w:hAnsi="Arial" w:eastAsia="Arial"/>
                <w:b w:val="0"/>
                <w:i w:val="0"/>
                <w:color w:val="000000"/>
                <w:sz w:val="22"/>
              </w:rPr>
              <w:t xml:space="preserve">13,252,089 </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20" w:after="0"/>
              <w:ind w:left="0" w:right="232" w:firstLine="0"/>
              <w:jc w:val="right"/>
            </w:pPr>
            <w:r>
              <w:rPr>
                <w:rFonts w:ascii="Arial" w:hAnsi="Arial" w:eastAsia="Arial"/>
                <w:b w:val="0"/>
                <w:i w:val="0"/>
                <w:color w:val="000000"/>
                <w:sz w:val="22"/>
              </w:rPr>
              <w:t>13,583,738</w:t>
            </w:r>
          </w:p>
        </w:tc>
      </w:tr>
      <w:tr>
        <w:trPr>
          <w:trHeight w:hRule="exact" w:val="50"/>
        </w:trPr>
        <w:tc>
          <w:tcPr>
            <w:tcW w:type="dxa" w:w="4536"/>
            <w:vMerge w:val="restart"/>
            <w:tcBorders/>
            <w:tcMar>
              <w:start w:w="0" w:type="dxa"/>
              <w:end w:w="0" w:type="dxa"/>
            </w:tcMar>
            <w:tcMar>
              <w:start w:w="0" w:type="dxa"/>
              <w:end w:w="0" w:type="dxa"/>
            </w:tcMar>
          </w:tcPr>
          <w:p>
            <w:pPr>
              <w:autoSpaceDN w:val="0"/>
              <w:autoSpaceDE w:val="0"/>
              <w:widowControl/>
              <w:spacing w:line="222" w:lineRule="exact" w:before="58" w:after="0"/>
              <w:ind w:left="638" w:right="0" w:firstLine="0"/>
              <w:jc w:val="left"/>
            </w:pPr>
            <w:r>
              <w:rPr>
                <w:rFonts w:ascii="黑体" w:hAnsi="黑体" w:eastAsia="黑体"/>
                <w:b w:val="0"/>
                <w:i w:val="0"/>
                <w:color w:val="000000"/>
                <w:sz w:val="22"/>
              </w:rPr>
              <w:t>投资收益</w:t>
            </w:r>
          </w:p>
        </w:tc>
        <w:tc>
          <w:tcPr>
            <w:tcW w:type="dxa" w:w="3009"/>
            <w:vMerge/>
            <w:tcBorders/>
          </w:tcPr>
          <w:p/>
        </w:tc>
        <w:tc>
          <w:tcPr>
            <w:tcW w:type="dxa" w:w="3009"/>
            <w:vMerge/>
            <w:tcBorders/>
          </w:tcPr>
          <w:p/>
        </w:tc>
      </w:tr>
      <w:tr>
        <w:trPr>
          <w:trHeight w:hRule="exact" w:val="23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108,563,298</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20" w:after="0"/>
              <w:ind w:left="0" w:right="232" w:firstLine="0"/>
              <w:jc w:val="right"/>
            </w:pPr>
            <w:r>
              <w:rPr>
                <w:rFonts w:ascii="Arial" w:hAnsi="Arial" w:eastAsia="Arial"/>
                <w:b w:val="0"/>
                <w:i w:val="0"/>
                <w:color w:val="000000"/>
                <w:sz w:val="22"/>
              </w:rPr>
              <w:t>58,903,607</w:t>
            </w:r>
          </w:p>
        </w:tc>
      </w:tr>
      <w:tr>
        <w:trPr>
          <w:trHeight w:hRule="exact" w:val="54"/>
        </w:trPr>
        <w:tc>
          <w:tcPr>
            <w:tcW w:type="dxa" w:w="4536"/>
            <w:vMerge w:val="restart"/>
            <w:tcBorders/>
            <w:tcMar>
              <w:start w:w="0" w:type="dxa"/>
              <w:end w:w="0" w:type="dxa"/>
            </w:tcMar>
            <w:tcMar>
              <w:start w:w="0" w:type="dxa"/>
              <w:end w:w="0" w:type="dxa"/>
            </w:tcMar>
          </w:tcPr>
          <w:p>
            <w:pPr>
              <w:autoSpaceDN w:val="0"/>
              <w:autoSpaceDE w:val="0"/>
              <w:widowControl/>
              <w:spacing w:line="220" w:lineRule="exact" w:before="66" w:after="0"/>
              <w:ind w:left="638" w:right="0" w:firstLine="0"/>
              <w:jc w:val="left"/>
            </w:pPr>
            <w:r>
              <w:rPr>
                <w:rFonts w:ascii="黑体" w:hAnsi="黑体" w:eastAsia="黑体"/>
                <w:b w:val="0"/>
                <w:i w:val="0"/>
                <w:color w:val="000000"/>
                <w:sz w:val="22"/>
              </w:rPr>
              <w:t>递延所得税费用</w:t>
            </w:r>
          </w:p>
        </w:tc>
        <w:tc>
          <w:tcPr>
            <w:tcW w:type="dxa" w:w="3009"/>
            <w:vMerge/>
            <w:tcBorders/>
          </w:tcPr>
          <w:p/>
        </w:tc>
        <w:tc>
          <w:tcPr>
            <w:tcW w:type="dxa" w:w="3009"/>
            <w:vMerge/>
            <w:tcBorders/>
          </w:tcPr>
          <w:p/>
        </w:tc>
      </w:tr>
      <w:tr>
        <w:trPr>
          <w:trHeight w:hRule="exact" w:val="246"/>
        </w:trPr>
        <w:tc>
          <w:tcPr>
            <w:tcW w:type="dxa" w:w="3009"/>
            <w:vMerge/>
            <w:tcBorders/>
          </w:tcPr>
          <w:p/>
        </w:tc>
        <w:tc>
          <w:tcPr>
            <w:tcW w:type="dxa" w:w="2098"/>
            <w:tcBorders/>
            <w:tcMar>
              <w:start w:w="0" w:type="dxa"/>
              <w:end w:w="0" w:type="dxa"/>
            </w:tcMar>
          </w:tcPr>
          <w:p>
            <w:pPr>
              <w:autoSpaceDN w:val="0"/>
              <w:autoSpaceDE w:val="0"/>
              <w:widowControl/>
              <w:spacing w:line="233" w:lineRule="auto" w:before="0" w:after="0"/>
              <w:ind w:left="0" w:right="224" w:firstLine="0"/>
              <w:jc w:val="right"/>
            </w:pPr>
            <w:r>
              <w:rPr>
                <w:rFonts w:ascii="Arial" w:hAnsi="Arial" w:eastAsia="Arial"/>
                <w:b w:val="0"/>
                <w:i w:val="0"/>
                <w:color w:val="000000"/>
                <w:sz w:val="22"/>
              </w:rPr>
              <w:t>20,595,493</w:t>
            </w:r>
          </w:p>
        </w:tc>
        <w:tc>
          <w:tcPr>
            <w:tcW w:type="dxa" w:w="2106"/>
            <w:tcBorders/>
            <w:tcMar>
              <w:start w:w="0" w:type="dxa"/>
              <w:end w:w="0" w:type="dxa"/>
            </w:tcMar>
          </w:tcPr>
          <w:p>
            <w:pPr>
              <w:autoSpaceDN w:val="0"/>
              <w:autoSpaceDE w:val="0"/>
              <w:widowControl/>
              <w:spacing w:line="233" w:lineRule="auto" w:before="0" w:after="0"/>
              <w:ind w:left="0" w:right="232" w:firstLine="0"/>
              <w:jc w:val="right"/>
            </w:pPr>
            <w:r>
              <w:rPr>
                <w:rFonts w:ascii="Arial" w:hAnsi="Arial" w:eastAsia="Arial"/>
                <w:b w:val="0"/>
                <w:i w:val="0"/>
                <w:color w:val="000000"/>
                <w:sz w:val="22"/>
              </w:rPr>
              <w:t>83,907,388</w:t>
            </w:r>
          </w:p>
        </w:tc>
      </w:tr>
      <w:tr>
        <w:trPr>
          <w:trHeight w:hRule="exact" w:val="280"/>
        </w:trPr>
        <w:tc>
          <w:tcPr>
            <w:tcW w:type="dxa" w:w="4536"/>
            <w:tcBorders/>
            <w:tcMar>
              <w:start w:w="0" w:type="dxa"/>
              <w:end w:w="0" w:type="dxa"/>
            </w:tcMar>
          </w:tcPr>
          <w:p>
            <w:pPr>
              <w:autoSpaceDN w:val="0"/>
              <w:autoSpaceDE w:val="0"/>
              <w:widowControl/>
              <w:spacing w:line="220" w:lineRule="exact" w:before="52" w:after="0"/>
              <w:ind w:left="638" w:right="0" w:firstLine="0"/>
              <w:jc w:val="left"/>
            </w:pPr>
            <w:r>
              <w:rPr>
                <w:rFonts w:ascii="黑体" w:hAnsi="黑体" w:eastAsia="黑体"/>
                <w:b w:val="0"/>
                <w:i w:val="0"/>
                <w:color w:val="000000"/>
                <w:sz w:val="22"/>
              </w:rPr>
              <w:t>经营性应收项目的减少</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464" w:right="0" w:firstLine="0"/>
              <w:jc w:val="left"/>
            </w:pPr>
            <w:r>
              <w:rPr>
                <w:rFonts w:ascii="Arial" w:hAnsi="Arial" w:eastAsia="Arial"/>
                <w:b w:val="0"/>
                <w:i w:val="0"/>
                <w:color w:val="000000"/>
                <w:sz w:val="22"/>
              </w:rPr>
              <w:t>1,824,090,700</w:t>
            </w:r>
          </w:p>
        </w:tc>
        <w:tc>
          <w:tcPr>
            <w:tcW w:type="dxa" w:w="2106"/>
            <w:vMerge w:val="restart"/>
            <w:tcBorders/>
            <w:tcMar>
              <w:start w:w="0" w:type="dxa"/>
              <w:end w:w="0" w:type="dxa"/>
            </w:tcMar>
            <w:tcMar>
              <w:start w:w="0" w:type="dxa"/>
              <w:end w:w="0" w:type="dxa"/>
            </w:tcMar>
          </w:tcPr>
          <w:p>
            <w:pPr>
              <w:autoSpaceDN w:val="0"/>
              <w:autoSpaceDE w:val="0"/>
              <w:widowControl/>
              <w:spacing w:line="233" w:lineRule="auto" w:before="58" w:after="0"/>
              <w:ind w:left="466" w:right="0" w:firstLine="0"/>
              <w:jc w:val="left"/>
            </w:pPr>
            <w:r>
              <w:rPr>
                <w:rFonts w:ascii="Arial" w:hAnsi="Arial" w:eastAsia="Arial"/>
                <w:b w:val="0"/>
                <w:i w:val="0"/>
                <w:color w:val="000000"/>
                <w:sz w:val="22"/>
              </w:rPr>
              <w:t>3,094,913,361</w:t>
            </w:r>
          </w:p>
        </w:tc>
      </w:tr>
      <w:tr>
        <w:trPr>
          <w:trHeight w:hRule="exact" w:val="44"/>
        </w:trPr>
        <w:tc>
          <w:tcPr>
            <w:tcW w:type="dxa" w:w="4536"/>
            <w:vMerge w:val="restart"/>
            <w:tcBorders>
              <w:bottom w:sz="4.0" w:val="single" w:color="#000000"/>
            </w:tcBorders>
            <w:tcMar>
              <w:start w:w="0" w:type="dxa"/>
              <w:end w:w="0" w:type="dxa"/>
            </w:tcMar>
            <w:tcMar>
              <w:start w:w="0" w:type="dxa"/>
              <w:end w:w="0" w:type="dxa"/>
            </w:tcMar>
          </w:tcPr>
          <w:p>
            <w:pPr>
              <w:autoSpaceDN w:val="0"/>
              <w:autoSpaceDE w:val="0"/>
              <w:widowControl/>
              <w:spacing w:line="246" w:lineRule="exact" w:before="48" w:after="0"/>
              <w:ind w:left="638" w:right="0" w:firstLine="0"/>
              <w:jc w:val="left"/>
            </w:pPr>
            <w:r>
              <w:rPr>
                <w:rFonts w:ascii="黑体" w:hAnsi="黑体" w:eastAsia="黑体"/>
                <w:b w:val="0"/>
                <w:i w:val="0"/>
                <w:color w:val="000000"/>
                <w:sz w:val="22"/>
              </w:rPr>
              <w:t>经营性应付项目的增加</w:t>
            </w:r>
            <w:r>
              <w:rPr>
                <w:rFonts w:ascii="Arial" w:hAnsi="Arial" w:eastAsia="Arial"/>
                <w:b w:val="0"/>
                <w:i w:val="0"/>
                <w:color w:val="000000"/>
                <w:sz w:val="22"/>
              </w:rPr>
              <w:t>/</w:t>
            </w:r>
            <w:r>
              <w:rPr>
                <w:rFonts w:ascii="黑体" w:hAnsi="黑体" w:eastAsia="黑体"/>
                <w:b w:val="0"/>
                <w:i w:val="0"/>
                <w:color w:val="000000"/>
                <w:sz w:val="22"/>
              </w:rPr>
              <w:t>（减少）</w:t>
            </w:r>
          </w:p>
        </w:tc>
        <w:tc>
          <w:tcPr>
            <w:tcW w:type="dxa" w:w="3009"/>
            <w:vMerge/>
            <w:tcBorders/>
          </w:tcPr>
          <w:p/>
        </w:tc>
        <w:tc>
          <w:tcPr>
            <w:tcW w:type="dxa" w:w="3009"/>
            <w:vMerge/>
            <w:tcBorders/>
          </w:tcPr>
          <w:p/>
        </w:tc>
      </w:tr>
      <w:tr>
        <w:trPr>
          <w:trHeight w:hRule="exact" w:val="274"/>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464" w:right="0" w:firstLine="0"/>
              <w:jc w:val="left"/>
            </w:pPr>
            <w:r>
              <w:rPr>
                <w:rFonts w:ascii="Arial" w:hAnsi="Arial" w:eastAsia="Arial"/>
                <w:b w:val="0"/>
                <w:i w:val="0"/>
                <w:color w:val="000000"/>
                <w:sz w:val="22"/>
              </w:rPr>
              <w:t>4,611,618,877</w:t>
            </w:r>
          </w:p>
        </w:tc>
        <w:tc>
          <w:tcPr>
            <w:tcW w:type="dxa" w:w="2106"/>
            <w:tcBorders>
              <w:bottom w:sz="4.0" w:val="single" w:color="#000000"/>
            </w:tcBorders>
            <w:tcMar>
              <w:start w:w="0" w:type="dxa"/>
              <w:end w:w="0" w:type="dxa"/>
            </w:tcMar>
          </w:tcPr>
          <w:p>
            <w:pPr>
              <w:autoSpaceDN w:val="0"/>
              <w:autoSpaceDE w:val="0"/>
              <w:widowControl/>
              <w:spacing w:line="233" w:lineRule="auto" w:before="20" w:after="0"/>
              <w:ind w:left="390" w:right="0" w:firstLine="0"/>
              <w:jc w:val="left"/>
            </w:pPr>
            <w:r>
              <w:rPr>
                <w:rFonts w:ascii="Arial" w:hAnsi="Arial" w:eastAsia="Arial"/>
                <w:b w:val="0"/>
                <w:i w:val="0"/>
                <w:color w:val="000000"/>
                <w:sz w:val="22"/>
              </w:rPr>
              <w:t xml:space="preserve">(3,750,415,413) </w:t>
            </w:r>
          </w:p>
        </w:tc>
      </w:tr>
      <w:tr>
        <w:trPr>
          <w:trHeight w:hRule="exact" w:val="550"/>
        </w:trPr>
        <w:tc>
          <w:tcPr>
            <w:tcW w:type="dxa" w:w="4536"/>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经营活动产生的现金流量净额</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464" w:right="0" w:firstLine="0"/>
              <w:jc w:val="left"/>
            </w:pPr>
            <w:r>
              <w:rPr>
                <w:rFonts w:ascii="Arial" w:hAnsi="Arial" w:eastAsia="Arial"/>
                <w:b w:val="0"/>
                <w:i w:val="0"/>
                <w:color w:val="000000"/>
                <w:sz w:val="22"/>
              </w:rPr>
              <w:t xml:space="preserve">8,066,375,582 </w:t>
            </w:r>
          </w:p>
        </w:tc>
        <w:tc>
          <w:tcPr>
            <w:tcW w:type="dxa" w:w="2106"/>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232" w:firstLine="0"/>
              <w:jc w:val="right"/>
            </w:pPr>
            <w:r>
              <w:rPr>
                <w:rFonts w:ascii="Arial" w:hAnsi="Arial" w:eastAsia="Arial"/>
                <w:b w:val="0"/>
                <w:i w:val="0"/>
                <w:color w:val="000000"/>
                <w:sz w:val="22"/>
              </w:rPr>
              <w:t>925,557,863</w:t>
            </w:r>
          </w:p>
        </w:tc>
      </w:tr>
      <w:tr>
        <w:trPr>
          <w:trHeight w:hRule="exact" w:val="52"/>
        </w:trPr>
        <w:tc>
          <w:tcPr>
            <w:tcW w:type="dxa" w:w="4536"/>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106"/>
            <w:tcBorders>
              <w:top w:sz="4.0" w:val="single" w:color="#000000"/>
            </w:tcBorders>
            <w:tcMar>
              <w:start w:w="0" w:type="dxa"/>
              <w:end w:w="0" w:type="dxa"/>
            </w:tcMar>
          </w:tcPr>
          <w:p/>
        </w:tc>
      </w:tr>
    </w:tbl>
    <w:p>
      <w:pPr>
        <w:autoSpaceDN w:val="0"/>
        <w:autoSpaceDE w:val="0"/>
        <w:widowControl/>
        <w:spacing w:line="233" w:lineRule="auto" w:before="6658" w:after="0"/>
        <w:ind w:left="0" w:right="0" w:firstLine="0"/>
        <w:jc w:val="center"/>
      </w:pPr>
      <w:r>
        <w:rPr>
          <w:rFonts w:ascii="Arial" w:hAnsi="Arial" w:eastAsia="Arial"/>
          <w:b w:val="0"/>
          <w:i w:val="0"/>
          <w:color w:val="000000"/>
          <w:sz w:val="20"/>
        </w:rPr>
        <w:t xml:space="preserve">245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86" w:val="left"/>
        </w:tabs>
        <w:autoSpaceDE w:val="0"/>
        <w:widowControl/>
        <w:spacing w:line="462" w:lineRule="exact" w:before="0" w:after="232"/>
        <w:ind w:left="358" w:right="4608" w:firstLine="0"/>
        <w:jc w:val="left"/>
      </w:pPr>
      <w:r>
        <w:rPr>
          <w:rFonts w:ascii="黑体" w:hAnsi="黑体" w:eastAsia="黑体"/>
          <w:b w:val="0"/>
          <w:i w:val="0"/>
          <w:color w:val="000000"/>
          <w:sz w:val="22"/>
        </w:rPr>
        <w:t>五、</w:t>
      </w:r>
      <w:r>
        <w:rPr>
          <w:rFonts w:ascii="黑体" w:hAnsi="黑体" w:eastAsia="黑体"/>
          <w:b w:val="0"/>
          <w:i w:val="0"/>
          <w:color w:val="000000"/>
          <w:sz w:val="22"/>
        </w:rPr>
        <w:t>合并财务报表主要项目注释（续）</w:t>
      </w:r>
      <w:r>
        <w:br/>
      </w:r>
      <w:r>
        <w:rPr>
          <w:rFonts w:ascii="Arial,Bold" w:hAnsi="Arial,Bold" w:eastAsia="Arial,Bold"/>
          <w:b/>
          <w:i w:val="0"/>
          <w:color w:val="000000"/>
          <w:sz w:val="22"/>
        </w:rPr>
        <w:t>56.</w:t>
      </w:r>
      <w:r>
        <w:tab/>
      </w:r>
      <w:r>
        <w:rPr>
          <w:rFonts w:ascii="黑体" w:hAnsi="黑体" w:eastAsia="黑体"/>
          <w:b w:val="0"/>
          <w:i w:val="0"/>
          <w:color w:val="000000"/>
          <w:sz w:val="22"/>
        </w:rPr>
        <w:t xml:space="preserve">现金流量表相关情况（续） </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现金流量表补充资料（续）</w:t>
      </w:r>
      <w:r>
        <w:br/>
      </w: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现金及现金等价物净变动：</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现金及现金等价物的年末余额</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344" w:right="0" w:firstLine="0"/>
              <w:jc w:val="left"/>
            </w:pPr>
            <w:r>
              <w:rPr>
                <w:rFonts w:ascii="Arial" w:hAnsi="Arial" w:eastAsia="Arial"/>
                <w:b w:val="0"/>
                <w:i w:val="0"/>
                <w:color w:val="000000"/>
                <w:sz w:val="22"/>
              </w:rPr>
              <w:t>28,878,653,488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340" w:right="0" w:firstLine="0"/>
              <w:jc w:val="left"/>
            </w:pPr>
            <w:r>
              <w:rPr>
                <w:rFonts w:ascii="Arial" w:hAnsi="Arial" w:eastAsia="Arial"/>
                <w:b w:val="0"/>
                <w:i w:val="0"/>
                <w:color w:val="000000"/>
                <w:sz w:val="22"/>
              </w:rPr>
              <w:t>23,917,688,703</w:t>
            </w:r>
          </w:p>
        </w:tc>
      </w:tr>
      <w:tr>
        <w:trPr>
          <w:trHeight w:hRule="exact" w:val="4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减：现金及现金等价物的年初余额</w:t>
            </w:r>
          </w:p>
        </w:tc>
        <w:tc>
          <w:tcPr>
            <w:tcW w:type="dxa" w:w="3009"/>
            <w:vMerge/>
            <w:tcBorders/>
          </w:tcPr>
          <w:p/>
        </w:tc>
        <w:tc>
          <w:tcPr>
            <w:tcW w:type="dxa" w:w="3009"/>
            <w:vMerge/>
            <w:tcBorders/>
          </w:tcPr>
          <w:p/>
        </w:tc>
      </w:tr>
      <w:tr>
        <w:trPr>
          <w:trHeight w:hRule="exact" w:val="270"/>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270" w:right="0" w:firstLine="0"/>
              <w:jc w:val="left"/>
            </w:pPr>
            <w:r>
              <w:rPr>
                <w:rFonts w:ascii="Arial" w:hAnsi="Arial" w:eastAsia="Arial"/>
                <w:b w:val="0"/>
                <w:i w:val="0"/>
                <w:color w:val="000000"/>
                <w:sz w:val="22"/>
              </w:rPr>
              <w:t xml:space="preserve">(23,917,688,703)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266" w:right="0" w:firstLine="0"/>
              <w:jc w:val="left"/>
            </w:pPr>
            <w:r>
              <w:rPr>
                <w:rFonts w:ascii="Arial" w:hAnsi="Arial" w:eastAsia="Arial"/>
                <w:b w:val="0"/>
                <w:i w:val="0"/>
                <w:color w:val="000000"/>
                <w:sz w:val="22"/>
              </w:rPr>
              <w:t xml:space="preserve">(26,149,114,304)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46" w:lineRule="exact" w:before="274" w:after="0"/>
              <w:ind w:left="198" w:right="0" w:firstLine="0"/>
              <w:jc w:val="left"/>
            </w:pPr>
            <w:r>
              <w:rPr>
                <w:rFonts w:ascii="黑体" w:hAnsi="黑体" w:eastAsia="黑体"/>
                <w:b w:val="0"/>
                <w:i w:val="0"/>
                <w:color w:val="000000"/>
                <w:sz w:val="22"/>
              </w:rPr>
              <w:t>现金及现金等价物净增加</w:t>
            </w:r>
            <w:r>
              <w:rPr>
                <w:rFonts w:ascii="Arial" w:hAnsi="Arial" w:eastAsia="Arial"/>
                <w:b w:val="0"/>
                <w:i w:val="0"/>
                <w:color w:val="000000"/>
                <w:sz w:val="22"/>
              </w:rPr>
              <w:t>/</w:t>
            </w:r>
            <w:r>
              <w:rPr>
                <w:rFonts w:ascii="黑体" w:hAnsi="黑体" w:eastAsia="黑体"/>
                <w:b w:val="0"/>
                <w:i w:val="0"/>
                <w:color w:val="000000"/>
                <w:sz w:val="22"/>
              </w:rPr>
              <w:t>（减少）额</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4,960,964,785</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388" w:right="0" w:firstLine="0"/>
              <w:jc w:val="left"/>
            </w:pPr>
            <w:r>
              <w:rPr>
                <w:rFonts w:ascii="Arial" w:hAnsi="Arial" w:eastAsia="Arial"/>
                <w:b w:val="0"/>
                <w:i w:val="0"/>
                <w:color w:val="000000"/>
                <w:sz w:val="22"/>
              </w:rPr>
              <w:t xml:space="preserve">(2,231,425,601) </w:t>
            </w:r>
          </w:p>
        </w:tc>
      </w:tr>
      <w:tr>
        <w:trPr>
          <w:trHeight w:hRule="exact" w:val="52"/>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tabs>
          <w:tab w:pos="5886" w:val="left"/>
          <w:tab w:pos="7982" w:val="left"/>
        </w:tabs>
        <w:autoSpaceDE w:val="0"/>
        <w:widowControl/>
        <w:spacing w:line="518" w:lineRule="exact" w:before="0" w:after="34"/>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现金及现金等价物的构成</w:t>
      </w:r>
      <w:r>
        <w:br/>
      </w:r>
      <w:r>
        <w:tab/>
      </w:r>
      <w:r>
        <w:rPr>
          <w:rFonts w:ascii="Arial" w:hAnsi="Arial" w:eastAsia="Arial"/>
          <w:b w:val="0"/>
          <w:i w:val="0"/>
          <w:color w:val="000000"/>
          <w:sz w:val="22"/>
        </w:rPr>
        <w:t>2024</w:t>
      </w:r>
      <w:r>
        <w:rPr>
          <w:rFonts w:ascii="黑体" w:hAnsi="黑体" w:eastAsia="黑体"/>
          <w:b w:val="0"/>
          <w:i w:val="0"/>
          <w:color w:val="000000"/>
          <w:sz w:val="22"/>
        </w:rPr>
        <w:t>年</w:t>
      </w:r>
      <w:r>
        <w:tab/>
      </w:r>
      <w:r>
        <w:rPr>
          <w:rFonts w:ascii="Arial" w:hAnsi="Arial" w:eastAsia="Arial"/>
          <w:b w:val="0"/>
          <w:i w:val="0"/>
          <w:color w:val="000000"/>
          <w:sz w:val="22"/>
        </w:rPr>
        <w:t>2023</w:t>
      </w:r>
      <w:r>
        <w:rPr>
          <w:rFonts w:ascii="黑体" w:hAnsi="黑体" w:eastAsia="黑体"/>
          <w:b w:val="0"/>
          <w:i w:val="0"/>
          <w:color w:val="000000"/>
          <w:sz w:val="22"/>
        </w:rPr>
        <w:t>年</w:t>
      </w:r>
      <w:r>
        <w:rPr>
          <w:rFonts w:ascii="黑体" w:hAnsi="黑体" w:eastAsia="黑体"/>
          <w:b w:val="0"/>
          <w:i w:val="0"/>
          <w:color w:val="000000"/>
          <w:sz w:val="22"/>
        </w:rPr>
        <w:t>现金</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260"/>
        </w:trPr>
        <w:tc>
          <w:tcPr>
            <w:tcW w:type="dxa" w:w="4564"/>
            <w:tcBorders/>
            <w:tcMar>
              <w:start w:w="0" w:type="dxa"/>
              <w:end w:w="0" w:type="dxa"/>
            </w:tcMar>
          </w:tcPr>
          <w:p>
            <w:pPr>
              <w:autoSpaceDN w:val="0"/>
              <w:autoSpaceDE w:val="0"/>
              <w:widowControl/>
              <w:spacing w:line="220" w:lineRule="exact" w:before="32" w:after="0"/>
              <w:ind w:left="418" w:right="0" w:firstLine="0"/>
              <w:jc w:val="left"/>
            </w:pPr>
            <w:r>
              <w:rPr>
                <w:rFonts w:ascii="黑体" w:hAnsi="黑体" w:eastAsia="黑体"/>
                <w:b w:val="0"/>
                <w:i w:val="0"/>
                <w:color w:val="000000"/>
                <w:sz w:val="22"/>
              </w:rPr>
              <w:t>其中：库存现金</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2"/>
              </w:rPr>
              <w:t>3,009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2"/>
              </w:rPr>
              <w:t>3,917</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078" w:right="0" w:firstLine="0"/>
              <w:jc w:val="left"/>
            </w:pPr>
            <w:r>
              <w:rPr>
                <w:rFonts w:ascii="黑体" w:hAnsi="黑体" w:eastAsia="黑体"/>
                <w:b w:val="0"/>
                <w:i w:val="0"/>
                <w:color w:val="000000"/>
                <w:sz w:val="22"/>
              </w:rPr>
              <w:t>可随时用于支付的银行存款</w:t>
            </w:r>
          </w:p>
        </w:tc>
        <w:tc>
          <w:tcPr>
            <w:tcW w:type="dxa" w:w="3009"/>
            <w:vMerge/>
            <w:tcBorders/>
          </w:tcPr>
          <w:p/>
        </w:tc>
        <w:tc>
          <w:tcPr>
            <w:tcW w:type="dxa" w:w="3009"/>
            <w:vMerge/>
            <w:tcBorders/>
          </w:tcPr>
          <w:p/>
        </w:tc>
      </w:tr>
      <w:tr>
        <w:trPr>
          <w:trHeight w:hRule="exact" w:val="236"/>
        </w:trPr>
        <w:tc>
          <w:tcPr>
            <w:tcW w:type="dxa" w:w="3009"/>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344" w:right="0" w:firstLine="0"/>
              <w:jc w:val="left"/>
            </w:pPr>
            <w:r>
              <w:rPr>
                <w:rFonts w:ascii="Arial" w:hAnsi="Arial" w:eastAsia="Arial"/>
                <w:b w:val="0"/>
                <w:i w:val="0"/>
                <w:color w:val="000000"/>
                <w:sz w:val="22"/>
              </w:rPr>
              <w:t>24,806,997,284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21,257,131,499</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1078" w:right="0" w:firstLine="0"/>
              <w:jc w:val="left"/>
            </w:pPr>
            <w:r>
              <w:rPr>
                <w:rFonts w:ascii="黑体" w:hAnsi="黑体" w:eastAsia="黑体"/>
                <w:b w:val="0"/>
                <w:i w:val="0"/>
                <w:color w:val="000000"/>
                <w:sz w:val="22"/>
              </w:rPr>
              <w:t>可随时用于支付的其他货币资金</w:t>
            </w:r>
          </w:p>
        </w:tc>
        <w:tc>
          <w:tcPr>
            <w:tcW w:type="dxa" w:w="3009"/>
            <w:vMerge/>
            <w:tcBorders/>
          </w:tcPr>
          <w:p/>
        </w:tc>
        <w:tc>
          <w:tcPr>
            <w:tcW w:type="dxa" w:w="3009"/>
            <w:vMerge/>
            <w:tcBorders/>
          </w:tcPr>
          <w:p/>
        </w:tc>
      </w:tr>
      <w:tr>
        <w:trPr>
          <w:trHeight w:hRule="exact" w:val="250"/>
        </w:trPr>
        <w:tc>
          <w:tcPr>
            <w:tcW w:type="dxa" w:w="3009"/>
            <w:vMerge/>
            <w:tcBorders/>
          </w:tcP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51,625,997</w:t>
            </w:r>
          </w:p>
        </w:tc>
        <w:tc>
          <w:tcPr>
            <w:tcW w:type="dxa" w:w="2098"/>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26,184,918</w:t>
            </w:r>
          </w:p>
        </w:tc>
      </w:tr>
      <w:tr>
        <w:trPr>
          <w:trHeight w:hRule="exact" w:val="308"/>
        </w:trPr>
        <w:tc>
          <w:tcPr>
            <w:tcW w:type="dxa" w:w="4564"/>
            <w:tcBorders>
              <w:bottom w:sz="4.0" w:val="single" w:color="#000000"/>
            </w:tcBorders>
            <w:tcMar>
              <w:start w:w="0" w:type="dxa"/>
              <w:end w:w="0" w:type="dxa"/>
            </w:tcMar>
          </w:tcPr>
          <w:p>
            <w:pPr>
              <w:autoSpaceDN w:val="0"/>
              <w:autoSpaceDE w:val="0"/>
              <w:widowControl/>
              <w:spacing w:line="220" w:lineRule="exact" w:before="46" w:after="0"/>
              <w:ind w:left="1078" w:right="0" w:firstLine="0"/>
              <w:jc w:val="left"/>
            </w:pPr>
            <w:r>
              <w:rPr>
                <w:rFonts w:ascii="黑体" w:hAnsi="黑体" w:eastAsia="黑体"/>
                <w:b w:val="0"/>
                <w:i w:val="0"/>
                <w:color w:val="000000"/>
                <w:sz w:val="22"/>
              </w:rPr>
              <w:t>结算备付金</w:t>
            </w:r>
          </w:p>
        </w:tc>
        <w:tc>
          <w:tcPr>
            <w:tcW w:type="dxa" w:w="1870"/>
            <w:tcBorders>
              <w:bottom w:sz="4.0" w:val="single" w:color="#000000"/>
            </w:tcBorders>
            <w:tcMar>
              <w:start w:w="0" w:type="dxa"/>
              <w:end w:w="0" w:type="dxa"/>
            </w:tcMar>
          </w:tcPr>
          <w:p>
            <w:pPr>
              <w:autoSpaceDN w:val="0"/>
              <w:autoSpaceDE w:val="0"/>
              <w:widowControl/>
              <w:spacing w:line="233" w:lineRule="auto" w:before="56" w:after="0"/>
              <w:ind w:left="464" w:right="0" w:firstLine="0"/>
              <w:jc w:val="left"/>
            </w:pPr>
            <w:r>
              <w:rPr>
                <w:rFonts w:ascii="Arial" w:hAnsi="Arial" w:eastAsia="Arial"/>
                <w:b w:val="0"/>
                <w:i w:val="0"/>
                <w:color w:val="000000"/>
                <w:sz w:val="22"/>
              </w:rPr>
              <w:t>4,020,027,198</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2,634,368,369</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现金及现金等价物余额</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28,878,653,488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23,917,688,703</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6"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不属于现金及现金等价物的货币资金</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4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三个月以上的定期存款</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4512"/>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384,753,841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770,479,580</w:t>
            </w:r>
          </w:p>
        </w:tc>
      </w:tr>
      <w:tr>
        <w:trPr>
          <w:trHeight w:hRule="exact" w:val="5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使用受到限制的银行存款</w:t>
            </w:r>
          </w:p>
        </w:tc>
        <w:tc>
          <w:tcPr>
            <w:tcW w:type="dxa" w:w="2256"/>
            <w:vMerge/>
            <w:tcBorders/>
          </w:tcPr>
          <w:p/>
        </w:tc>
        <w:tc>
          <w:tcPr>
            <w:tcW w:type="dxa" w:w="2256"/>
            <w:vMerge/>
            <w:tcBorders/>
          </w:tcPr>
          <w:p/>
        </w:tc>
      </w:tr>
      <w:tr>
        <w:trPr>
          <w:trHeight w:hRule="exact" w:val="276"/>
        </w:trPr>
        <w:tc>
          <w:tcPr>
            <w:tcW w:type="dxa" w:w="4512"/>
            <w:gridSpan w:val="2"/>
            <w:vMerge/>
            <w:tcBorders/>
          </w:tcPr>
          <w:p/>
        </w:tc>
        <w:tc>
          <w:tcPr>
            <w:tcW w:type="dxa" w:w="1870"/>
            <w:tcBorders/>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66,300,277</w:t>
            </w:r>
          </w:p>
        </w:tc>
        <w:tc>
          <w:tcPr>
            <w:tcW w:type="dxa" w:w="2098"/>
            <w:tcBorders/>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48,588,662</w:t>
            </w:r>
          </w:p>
        </w:tc>
      </w:tr>
      <w:tr>
        <w:trPr>
          <w:trHeight w:hRule="exact" w:val="282"/>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0" w:lineRule="exact" w:before="22" w:after="0"/>
              <w:ind w:left="198" w:right="0" w:firstLine="0"/>
              <w:jc w:val="left"/>
            </w:pPr>
            <w:r>
              <w:rPr>
                <w:rFonts w:ascii="黑体" w:hAnsi="黑体" w:eastAsia="黑体"/>
                <w:b w:val="0"/>
                <w:i w:val="0"/>
                <w:color w:val="000000"/>
                <w:sz w:val="22"/>
              </w:rPr>
              <w:t>应计利息</w:t>
            </w:r>
          </w:p>
        </w:tc>
        <w:tc>
          <w:tcPr>
            <w:tcW w:type="dxa" w:w="1870"/>
            <w:tcBorders>
              <w:bottom w:sz="4.0" w:val="single" w:color="#000000"/>
            </w:tcBorders>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92,406,322</w:t>
            </w:r>
          </w:p>
        </w:tc>
        <w:tc>
          <w:tcPr>
            <w:tcW w:type="dxa" w:w="2098"/>
            <w:tcBorders>
              <w:bottom w:sz="4.0" w:val="single" w:color="#000000"/>
            </w:tcBorders>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118,011,022</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不属于现金及现金等价物的货币资金</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543,460,440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937,079,264</w:t>
            </w:r>
          </w:p>
        </w:tc>
      </w:tr>
      <w:tr>
        <w:trPr>
          <w:trHeight w:hRule="exact" w:val="840"/>
        </w:trPr>
        <w:tc>
          <w:tcPr>
            <w:tcW w:type="dxa" w:w="780"/>
            <w:tcBorders>
              <w:top w:sz="4.0" w:val="single" w:color="#000000"/>
            </w:tcBorders>
            <w:tcMar>
              <w:start w:w="0" w:type="dxa"/>
              <w:end w:w="0" w:type="dxa"/>
            </w:tcMar>
          </w:tcPr>
          <w:p>
            <w:pPr>
              <w:autoSpaceDN w:val="0"/>
              <w:autoSpaceDE w:val="0"/>
              <w:widowControl/>
              <w:spacing w:line="220" w:lineRule="exact" w:before="554" w:after="0"/>
              <w:ind w:left="0" w:right="0" w:firstLine="0"/>
              <w:jc w:val="center"/>
            </w:pPr>
            <w:r>
              <w:rPr>
                <w:rFonts w:ascii="黑体" w:hAnsi="黑体" w:eastAsia="黑体"/>
                <w:b w:val="0"/>
                <w:i w:val="0"/>
                <w:color w:val="000000"/>
                <w:sz w:val="22"/>
              </w:rPr>
              <w:t>六、</w:t>
            </w:r>
          </w:p>
        </w:tc>
        <w:tc>
          <w:tcPr>
            <w:tcW w:type="dxa" w:w="3784"/>
            <w:tcBorders>
              <w:top w:sz="4.0" w:val="single" w:color="#000000"/>
            </w:tcBorders>
            <w:tcMar>
              <w:start w:w="0" w:type="dxa"/>
              <w:end w:w="0" w:type="dxa"/>
            </w:tcMar>
          </w:tcPr>
          <w:p>
            <w:pPr>
              <w:autoSpaceDN w:val="0"/>
              <w:autoSpaceDE w:val="0"/>
              <w:widowControl/>
              <w:spacing w:line="220" w:lineRule="exact" w:before="554" w:after="0"/>
              <w:ind w:left="146" w:right="0" w:firstLine="0"/>
              <w:jc w:val="left"/>
            </w:pPr>
            <w:r>
              <w:rPr>
                <w:rFonts w:ascii="黑体" w:hAnsi="黑体" w:eastAsia="黑体"/>
                <w:b w:val="0"/>
                <w:i w:val="0"/>
                <w:color w:val="000000"/>
                <w:sz w:val="22"/>
              </w:rPr>
              <w:t>合并范围的变更</w:t>
            </w: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20" w:lineRule="exact" w:before="258" w:after="0"/>
        <w:ind w:left="358" w:right="0" w:firstLine="0"/>
        <w:jc w:val="left"/>
      </w:pPr>
      <w:r>
        <w:rPr>
          <w:rFonts w:ascii="黑体" w:hAnsi="黑体" w:eastAsia="黑体"/>
          <w:b w:val="0"/>
          <w:i w:val="0"/>
          <w:color w:val="000000"/>
          <w:sz w:val="22"/>
        </w:rPr>
        <w:t>本集团本年度无因新设企业、子公司或有限合伙企业注销导致的合并范围变更。</w:t>
      </w:r>
    </w:p>
    <w:p>
      <w:pPr>
        <w:autoSpaceDN w:val="0"/>
        <w:autoSpaceDE w:val="0"/>
        <w:widowControl/>
        <w:spacing w:line="233" w:lineRule="auto" w:before="2718" w:after="0"/>
        <w:ind w:left="0" w:right="0" w:firstLine="0"/>
        <w:jc w:val="center"/>
      </w:pPr>
      <w:r>
        <w:rPr>
          <w:rFonts w:ascii="Arial" w:hAnsi="Arial" w:eastAsia="Arial"/>
          <w:b w:val="0"/>
          <w:i w:val="0"/>
          <w:color w:val="000000"/>
          <w:sz w:val="20"/>
        </w:rPr>
        <w:t xml:space="preserve">246 </w:t>
      </w:r>
    </w:p>
    <w:p>
      <w:pPr>
        <w:sectPr>
          <w:pgSz w:w="11906" w:h="16841"/>
          <w:pgMar w:top="988" w:right="144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28" w:val="left"/>
        </w:tabs>
        <w:autoSpaceDE w:val="0"/>
        <w:widowControl/>
        <w:spacing w:line="220" w:lineRule="exact" w:before="0" w:after="0"/>
        <w:ind w:left="0" w:right="0" w:firstLine="0"/>
        <w:jc w:val="left"/>
      </w:pPr>
      <w:r>
        <w:rPr>
          <w:rFonts w:ascii="黑体" w:hAnsi="黑体" w:eastAsia="黑体"/>
          <w:b w:val="0"/>
          <w:i w:val="0"/>
          <w:color w:val="000000"/>
          <w:sz w:val="22"/>
        </w:rPr>
        <w:t>七、</w:t>
      </w:r>
      <w:r>
        <w:tab/>
      </w:r>
      <w:r>
        <w:rPr>
          <w:rFonts w:ascii="黑体" w:hAnsi="黑体" w:eastAsia="黑体"/>
          <w:b w:val="0"/>
          <w:i w:val="0"/>
          <w:color w:val="000000"/>
          <w:sz w:val="22"/>
        </w:rPr>
        <w:t>在其他主体中的权益</w:t>
      </w:r>
    </w:p>
    <w:p>
      <w:pPr>
        <w:autoSpaceDN w:val="0"/>
        <w:tabs>
          <w:tab w:pos="714" w:val="left"/>
        </w:tabs>
        <w:autoSpaceDE w:val="0"/>
        <w:widowControl/>
        <w:spacing w:line="246" w:lineRule="exact" w:before="306" w:after="0"/>
        <w:ind w:left="68" w:right="0" w:firstLine="0"/>
        <w:jc w:val="left"/>
      </w:pPr>
      <w:r>
        <w:rPr>
          <w:rFonts w:ascii="Arial,Bold" w:hAnsi="Arial,Bold" w:eastAsia="Arial,Bold"/>
          <w:b/>
          <w:i w:val="0"/>
          <w:color w:val="000000"/>
          <w:sz w:val="22"/>
        </w:rPr>
        <w:t xml:space="preserve">1. </w:t>
      </w:r>
      <w:r>
        <w:tab/>
      </w:r>
      <w:r>
        <w:rPr>
          <w:rFonts w:ascii="黑体" w:hAnsi="黑体" w:eastAsia="黑体"/>
          <w:b w:val="0"/>
          <w:i w:val="0"/>
          <w:color w:val="000000"/>
          <w:sz w:val="22"/>
        </w:rPr>
        <w:t>在子公司中的权益</w:t>
      </w:r>
    </w:p>
    <w:p>
      <w:pPr>
        <w:autoSpaceDN w:val="0"/>
        <w:autoSpaceDE w:val="0"/>
        <w:widowControl/>
        <w:spacing w:line="246" w:lineRule="exact" w:before="292" w:after="0"/>
        <w:ind w:left="0"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企业集团的构成</w:t>
      </w:r>
    </w:p>
    <w:p>
      <w:pPr>
        <w:autoSpaceDN w:val="0"/>
        <w:autoSpaceDE w:val="0"/>
        <w:widowControl/>
        <w:spacing w:line="246" w:lineRule="exact" w:before="292" w:after="230"/>
        <w:ind w:left="0"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通过设立或投资等方式取得的子公司</w:t>
      </w:r>
    </w:p>
    <w:tbl>
      <w:tblPr>
        <w:tblW w:type="auto" w:w="0"/>
        <w:tblLayout w:type="fixed"/>
        <w:tblLook w:firstColumn="1" w:firstRow="1" w:lastColumn="0" w:lastRow="0" w:noHBand="0" w:noVBand="1" w:val="04A0"/>
        <w:tblInd w:w="0.0" w:type="dxa"/>
      </w:tblPr>
      <w:tblGrid>
        <w:gridCol w:w="1401"/>
        <w:gridCol w:w="1401"/>
        <w:gridCol w:w="1401"/>
        <w:gridCol w:w="1401"/>
        <w:gridCol w:w="1401"/>
        <w:gridCol w:w="1401"/>
        <w:gridCol w:w="1401"/>
        <w:gridCol w:w="1401"/>
        <w:gridCol w:w="1401"/>
        <w:gridCol w:w="1401"/>
      </w:tblGrid>
      <w:tr>
        <w:trPr>
          <w:trHeight w:hRule="exact" w:val="224"/>
        </w:trPr>
        <w:tc>
          <w:tcPr>
            <w:tcW w:type="dxa" w:w="3472"/>
            <w:tcBorders>
              <w:bottom w:sz="2.400000000000091" w:val="single" w:color="#000000"/>
            </w:tcBorders>
            <w:tcMar>
              <w:start w:w="0" w:type="dxa"/>
              <w:end w:w="0" w:type="dxa"/>
            </w:tcMar>
          </w:tcPr>
          <w:p>
            <w:pPr>
              <w:autoSpaceDN w:val="0"/>
              <w:autoSpaceDE w:val="0"/>
              <w:widowControl/>
              <w:spacing w:line="168" w:lineRule="exact" w:before="54" w:after="0"/>
              <w:ind w:left="0" w:right="0" w:firstLine="0"/>
              <w:jc w:val="left"/>
            </w:pPr>
            <w:r>
              <w:rPr>
                <w:rFonts w:ascii="黑体" w:hAnsi="黑体" w:eastAsia="黑体"/>
                <w:b w:val="0"/>
                <w:i w:val="0"/>
                <w:color w:val="000000"/>
                <w:sz w:val="15"/>
              </w:rPr>
              <w:t>子公司名称</w:t>
            </w:r>
            <w:r>
              <w:rPr>
                <w:rFonts w:ascii="Arial" w:hAnsi="Arial" w:eastAsia="Arial"/>
                <w:b w:val="0"/>
                <w:i w:val="0"/>
                <w:color w:val="000000"/>
                <w:sz w:val="15"/>
              </w:rPr>
              <w:t xml:space="preserve">1 </w:t>
            </w:r>
          </w:p>
        </w:tc>
        <w:tc>
          <w:tcPr>
            <w:tcW w:type="dxa" w:w="1050"/>
            <w:tcBorders>
              <w:bottom w:sz="2.400000000000091" w:val="single" w:color="#000000"/>
            </w:tcBorders>
            <w:tcMar>
              <w:start w:w="0" w:type="dxa"/>
              <w:end w:w="0" w:type="dxa"/>
            </w:tcMar>
          </w:tcPr>
          <w:p>
            <w:pPr>
              <w:autoSpaceDN w:val="0"/>
              <w:autoSpaceDE w:val="0"/>
              <w:widowControl/>
              <w:spacing w:line="150" w:lineRule="exact" w:before="68" w:after="0"/>
              <w:ind w:left="0" w:right="0" w:firstLine="0"/>
              <w:jc w:val="center"/>
            </w:pPr>
            <w:r>
              <w:rPr>
                <w:rFonts w:ascii="黑体" w:hAnsi="黑体" w:eastAsia="黑体"/>
                <w:b w:val="0"/>
                <w:i w:val="0"/>
                <w:color w:val="000000"/>
                <w:sz w:val="15"/>
              </w:rPr>
              <w:t>注册地及营业地</w:t>
            </w:r>
          </w:p>
        </w:tc>
        <w:tc>
          <w:tcPr>
            <w:tcW w:type="dxa" w:w="1638"/>
            <w:tcBorders>
              <w:bottom w:sz="2.400000000000091" w:val="single" w:color="#000000"/>
            </w:tcBorders>
            <w:tcMar>
              <w:start w:w="0" w:type="dxa"/>
              <w:end w:w="0" w:type="dxa"/>
            </w:tcMar>
          </w:tcPr>
          <w:p>
            <w:pPr>
              <w:autoSpaceDN w:val="0"/>
              <w:autoSpaceDE w:val="0"/>
              <w:widowControl/>
              <w:spacing w:line="168" w:lineRule="exact" w:before="54" w:after="0"/>
              <w:ind w:left="0" w:right="0" w:firstLine="0"/>
              <w:jc w:val="center"/>
            </w:pPr>
            <w:r>
              <w:rPr>
                <w:rFonts w:ascii="黑体" w:hAnsi="黑体" w:eastAsia="黑体"/>
                <w:b w:val="0"/>
                <w:i w:val="0"/>
                <w:color w:val="000000"/>
                <w:sz w:val="15"/>
              </w:rPr>
              <w:t>注册资本</w:t>
            </w:r>
            <w:r>
              <w:rPr>
                <w:rFonts w:ascii="Arial" w:hAnsi="Arial" w:eastAsia="Arial"/>
                <w:b w:val="0"/>
                <w:i w:val="0"/>
                <w:color w:val="000000"/>
                <w:sz w:val="15"/>
              </w:rPr>
              <w:t>/</w:t>
            </w:r>
            <w:r>
              <w:rPr>
                <w:rFonts w:ascii="黑体" w:hAnsi="黑体" w:eastAsia="黑体"/>
                <w:b w:val="0"/>
                <w:i w:val="0"/>
                <w:color w:val="000000"/>
                <w:sz w:val="15"/>
              </w:rPr>
              <w:t>认缴出资</w:t>
            </w:r>
          </w:p>
        </w:tc>
        <w:tc>
          <w:tcPr>
            <w:tcW w:type="dxa" w:w="1636"/>
            <w:gridSpan w:val="2"/>
            <w:tcBorders>
              <w:bottom w:sz="2.400000000000091" w:val="single" w:color="#000000"/>
            </w:tcBorders>
            <w:tcMar>
              <w:start w:w="0" w:type="dxa"/>
              <w:end w:w="0" w:type="dxa"/>
            </w:tcMar>
            <w:tcMar>
              <w:start w:w="0" w:type="dxa"/>
              <w:end w:w="0" w:type="dxa"/>
            </w:tcMar>
          </w:tcPr>
          <w:p>
            <w:pPr>
              <w:autoSpaceDN w:val="0"/>
              <w:autoSpaceDE w:val="0"/>
              <w:widowControl/>
              <w:spacing w:line="150" w:lineRule="exact" w:before="68" w:after="0"/>
              <w:ind w:left="0" w:right="360" w:firstLine="0"/>
              <w:jc w:val="right"/>
            </w:pPr>
            <w:r>
              <w:rPr>
                <w:rFonts w:ascii="黑体" w:hAnsi="黑体" w:eastAsia="黑体"/>
                <w:b w:val="0"/>
                <w:i w:val="0"/>
                <w:color w:val="000000"/>
                <w:sz w:val="15"/>
              </w:rPr>
              <w:t>业务性质</w:t>
            </w:r>
          </w:p>
        </w:tc>
        <w:tc>
          <w:tcPr>
            <w:tcW w:type="dxa" w:w="1052"/>
            <w:tcBorders>
              <w:bottom w:sz="2.400000000000091" w:val="single" w:color="#000000"/>
            </w:tcBorders>
            <w:tcMar>
              <w:start w:w="0" w:type="dxa"/>
              <w:end w:w="0" w:type="dxa"/>
            </w:tcMar>
          </w:tcPr>
          <w:p>
            <w:pPr>
              <w:autoSpaceDN w:val="0"/>
              <w:autoSpaceDE w:val="0"/>
              <w:widowControl/>
              <w:spacing w:line="150" w:lineRule="exact" w:before="68" w:after="0"/>
              <w:ind w:left="0" w:right="0" w:firstLine="0"/>
              <w:jc w:val="center"/>
            </w:pPr>
            <w:r>
              <w:rPr>
                <w:rFonts w:ascii="黑体" w:hAnsi="黑体" w:eastAsia="黑体"/>
                <w:b w:val="0"/>
                <w:i w:val="0"/>
                <w:color w:val="000000"/>
                <w:sz w:val="15"/>
              </w:rPr>
              <w:t>年末实际出资额</w:t>
            </w:r>
          </w:p>
        </w:tc>
        <w:tc>
          <w:tcPr>
            <w:tcW w:type="dxa" w:w="2052"/>
            <w:tcBorders>
              <w:bottom w:sz="2.400000000000091" w:val="single" w:color="#000000"/>
            </w:tcBorders>
            <w:tcMar>
              <w:start w:w="0" w:type="dxa"/>
              <w:end w:w="0" w:type="dxa"/>
            </w:tcMar>
          </w:tcPr>
          <w:p>
            <w:pPr>
              <w:autoSpaceDN w:val="0"/>
              <w:autoSpaceDE w:val="0"/>
              <w:widowControl/>
              <w:spacing w:line="150" w:lineRule="exact" w:before="68" w:after="0"/>
              <w:ind w:left="0" w:right="0" w:firstLine="0"/>
              <w:jc w:val="right"/>
            </w:pPr>
            <w:r>
              <w:rPr>
                <w:rFonts w:ascii="黑体" w:hAnsi="黑体" w:eastAsia="黑体"/>
                <w:b w:val="0"/>
                <w:i w:val="0"/>
                <w:color w:val="000000"/>
                <w:sz w:val="15"/>
              </w:rPr>
              <w:t>本公司持有权益比例</w:t>
            </w:r>
          </w:p>
        </w:tc>
        <w:tc>
          <w:tcPr>
            <w:tcW w:type="dxa" w:w="552"/>
            <w:tcBorders>
              <w:bottom w:sz="2.400000000000091" w:val="single" w:color="#000000"/>
            </w:tcBorders>
            <w:tcMar>
              <w:start w:w="0" w:type="dxa"/>
              <w:end w:w="0" w:type="dxa"/>
            </w:tcMar>
          </w:tcPr>
          <w:p/>
        </w:tc>
        <w:tc>
          <w:tcPr>
            <w:tcW w:type="dxa" w:w="1968"/>
            <w:tcBorders>
              <w:bottom w:sz="2.400000000000091" w:val="single" w:color="#000000"/>
            </w:tcBorders>
            <w:tcMar>
              <w:start w:w="0" w:type="dxa"/>
              <w:end w:w="0" w:type="dxa"/>
            </w:tcMar>
          </w:tcPr>
          <w:p>
            <w:pPr>
              <w:autoSpaceDN w:val="0"/>
              <w:autoSpaceDE w:val="0"/>
              <w:widowControl/>
              <w:spacing w:line="150" w:lineRule="exact" w:before="68" w:after="0"/>
              <w:ind w:left="0" w:right="14" w:firstLine="0"/>
              <w:jc w:val="right"/>
            </w:pPr>
            <w:r>
              <w:rPr>
                <w:rFonts w:ascii="黑体" w:hAnsi="黑体" w:eastAsia="黑体"/>
                <w:b w:val="0"/>
                <w:i w:val="0"/>
                <w:color w:val="000000"/>
                <w:sz w:val="15"/>
              </w:rPr>
              <w:t>本公司表决权比例</w:t>
            </w:r>
          </w:p>
        </w:tc>
        <w:tc>
          <w:tcPr>
            <w:tcW w:type="dxa" w:w="568"/>
            <w:tcBorders>
              <w:bottom w:sz="2.400000000000091" w:val="single" w:color="#000000"/>
            </w:tcBorders>
            <w:tcMar>
              <w:start w:w="0" w:type="dxa"/>
              <w:end w:w="0" w:type="dxa"/>
            </w:tcMar>
          </w:tcPr>
          <w:p/>
        </w:tc>
      </w:tr>
      <w:tr>
        <w:trPr>
          <w:trHeight w:hRule="exact" w:val="204"/>
        </w:trPr>
        <w:tc>
          <w:tcPr>
            <w:tcW w:type="dxa" w:w="3472"/>
            <w:tcBorders>
              <w:top w:sz="2.400000000000091" w:val="single" w:color="#000000"/>
              <w:bottom w:sz="3.199999999999818" w:val="single" w:color="#000000"/>
            </w:tcBorders>
            <w:tcMar>
              <w:start w:w="0" w:type="dxa"/>
              <w:end w:w="0" w:type="dxa"/>
            </w:tcMar>
          </w:tcPr>
          <w:p/>
        </w:tc>
        <w:tc>
          <w:tcPr>
            <w:tcW w:type="dxa" w:w="1050"/>
            <w:tcBorders>
              <w:top w:sz="2.400000000000091" w:val="single" w:color="#000000"/>
              <w:bottom w:sz="3.199999999999818" w:val="single" w:color="#000000"/>
            </w:tcBorders>
            <w:tcMar>
              <w:start w:w="0" w:type="dxa"/>
              <w:end w:w="0" w:type="dxa"/>
            </w:tcMar>
          </w:tcPr>
          <w:p/>
        </w:tc>
        <w:tc>
          <w:tcPr>
            <w:tcW w:type="dxa" w:w="1638"/>
            <w:tcBorders>
              <w:top w:sz="2.400000000000091" w:val="single" w:color="#000000"/>
              <w:bottom w:sz="3.199999999999818" w:val="single" w:color="#000000"/>
            </w:tcBorders>
            <w:tcMar>
              <w:start w:w="0" w:type="dxa"/>
              <w:end w:w="0" w:type="dxa"/>
            </w:tcMar>
          </w:tcPr>
          <w:p/>
        </w:tc>
        <w:tc>
          <w:tcPr>
            <w:tcW w:type="dxa" w:w="2688"/>
            <w:gridSpan w:val="3"/>
            <w:vMerge w:val="restart"/>
            <w:tcBorders>
              <w:top w:sz="2.400000000000091"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8" w:lineRule="exact" w:before="392" w:after="0"/>
              <w:ind w:left="374" w:right="0" w:firstLine="0"/>
              <w:jc w:val="left"/>
            </w:pPr>
            <w:r>
              <w:rPr>
                <w:rFonts w:ascii="黑体" w:hAnsi="黑体" w:eastAsia="黑体"/>
                <w:b w:val="0"/>
                <w:i w:val="0"/>
                <w:color w:val="000000"/>
                <w:sz w:val="15"/>
              </w:rPr>
              <w:t>投资银行业务</w:t>
            </w:r>
            <w:r>
              <w:rPr>
                <w:rFonts w:ascii="黑体" w:hAnsi="黑体" w:eastAsia="黑体"/>
                <w:b w:val="0"/>
                <w:i w:val="0"/>
                <w:color w:val="000000"/>
                <w:sz w:val="15"/>
              </w:rPr>
              <w:t>人民币</w:t>
            </w:r>
            <w:r>
              <w:rPr>
                <w:rFonts w:ascii="Arial" w:hAnsi="Arial" w:eastAsia="Arial"/>
                <w:b w:val="0"/>
                <w:i w:val="0"/>
                <w:color w:val="000000"/>
                <w:sz w:val="15"/>
              </w:rPr>
              <w:t>100,000</w:t>
            </w:r>
            <w:r>
              <w:rPr>
                <w:rFonts w:ascii="黑体" w:hAnsi="黑体" w:eastAsia="黑体"/>
                <w:b w:val="0"/>
                <w:i w:val="0"/>
                <w:color w:val="000000"/>
                <w:sz w:val="15"/>
              </w:rPr>
              <w:t>万元</w:t>
            </w:r>
          </w:p>
        </w:tc>
        <w:tc>
          <w:tcPr>
            <w:tcW w:type="dxa" w:w="2052"/>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772" w:firstLine="0"/>
              <w:jc w:val="right"/>
            </w:pPr>
            <w:r>
              <w:rPr>
                <w:rFonts w:ascii="黑体" w:hAnsi="黑体" w:eastAsia="黑体"/>
                <w:b w:val="0"/>
                <w:i w:val="0"/>
                <w:color w:val="000000"/>
                <w:sz w:val="15"/>
              </w:rPr>
              <w:t>直接</w:t>
            </w:r>
          </w:p>
        </w:tc>
        <w:tc>
          <w:tcPr>
            <w:tcW w:type="dxa" w:w="552"/>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0" w:firstLine="0"/>
              <w:jc w:val="right"/>
            </w:pPr>
            <w:r>
              <w:rPr>
                <w:rFonts w:ascii="黑体" w:hAnsi="黑体" w:eastAsia="黑体"/>
                <w:b w:val="0"/>
                <w:i w:val="0"/>
                <w:color w:val="000000"/>
                <w:sz w:val="15"/>
              </w:rPr>
              <w:t>间接</w:t>
            </w:r>
          </w:p>
        </w:tc>
        <w:tc>
          <w:tcPr>
            <w:tcW w:type="dxa" w:w="1968"/>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636" w:firstLine="0"/>
              <w:jc w:val="right"/>
            </w:pPr>
            <w:r>
              <w:rPr>
                <w:rFonts w:ascii="黑体" w:hAnsi="黑体" w:eastAsia="黑体"/>
                <w:b w:val="0"/>
                <w:i w:val="0"/>
                <w:color w:val="000000"/>
                <w:sz w:val="15"/>
              </w:rPr>
              <w:t>直接</w:t>
            </w:r>
          </w:p>
        </w:tc>
        <w:tc>
          <w:tcPr>
            <w:tcW w:type="dxa" w:w="568"/>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0" w:firstLine="0"/>
              <w:jc w:val="right"/>
            </w:pPr>
            <w:r>
              <w:rPr>
                <w:rFonts w:ascii="黑体" w:hAnsi="黑体" w:eastAsia="黑体"/>
                <w:b w:val="0"/>
                <w:i w:val="0"/>
                <w:color w:val="000000"/>
                <w:sz w:val="15"/>
              </w:rPr>
              <w:t>间接</w:t>
            </w:r>
          </w:p>
        </w:tc>
      </w:tr>
      <w:tr>
        <w:trPr>
          <w:trHeight w:hRule="exact" w:val="360"/>
        </w:trPr>
        <w:tc>
          <w:tcPr>
            <w:tcW w:type="dxa" w:w="3472"/>
            <w:tcBorders>
              <w:top w:sz="3.199999999999818" w:val="single" w:color="#000000"/>
            </w:tcBorders>
            <w:tcMar>
              <w:start w:w="0" w:type="dxa"/>
              <w:end w:w="0" w:type="dxa"/>
            </w:tcMar>
          </w:tcPr>
          <w:p>
            <w:pPr>
              <w:autoSpaceDN w:val="0"/>
              <w:autoSpaceDE w:val="0"/>
              <w:widowControl/>
              <w:spacing w:line="152" w:lineRule="exact" w:before="204" w:after="0"/>
              <w:ind w:left="0" w:right="0" w:firstLine="0"/>
              <w:jc w:val="left"/>
            </w:pPr>
            <w:r>
              <w:rPr>
                <w:rFonts w:ascii="黑体" w:hAnsi="黑体" w:eastAsia="黑体"/>
                <w:b w:val="0"/>
                <w:i w:val="0"/>
                <w:color w:val="000000"/>
                <w:sz w:val="15"/>
              </w:rPr>
              <w:t>中德证券</w:t>
            </w:r>
          </w:p>
        </w:tc>
        <w:tc>
          <w:tcPr>
            <w:tcW w:type="dxa" w:w="1050"/>
            <w:tcBorders>
              <w:top w:sz="3.199999999999818" w:val="single" w:color="#000000"/>
            </w:tcBorders>
            <w:tcMar>
              <w:start w:w="0" w:type="dxa"/>
              <w:end w:w="0" w:type="dxa"/>
            </w:tcMar>
          </w:tcPr>
          <w:p>
            <w:pPr>
              <w:autoSpaceDN w:val="0"/>
              <w:autoSpaceDE w:val="0"/>
              <w:widowControl/>
              <w:spacing w:line="152" w:lineRule="exact" w:before="204" w:after="0"/>
              <w:ind w:left="0" w:right="0" w:firstLine="0"/>
              <w:jc w:val="right"/>
            </w:pPr>
            <w:r>
              <w:rPr>
                <w:rFonts w:ascii="黑体" w:hAnsi="黑体" w:eastAsia="黑体"/>
                <w:b w:val="0"/>
                <w:i w:val="0"/>
                <w:color w:val="000000"/>
                <w:sz w:val="15"/>
              </w:rPr>
              <w:t>北京市</w:t>
            </w:r>
          </w:p>
        </w:tc>
        <w:tc>
          <w:tcPr>
            <w:tcW w:type="dxa" w:w="1638"/>
            <w:tcBorders>
              <w:top w:sz="3.199999999999818" w:val="single" w:color="#000000"/>
            </w:tcBorders>
            <w:tcMar>
              <w:start w:w="0" w:type="dxa"/>
              <w:end w:w="0" w:type="dxa"/>
            </w:tcMar>
          </w:tcPr>
          <w:p>
            <w:pPr>
              <w:autoSpaceDN w:val="0"/>
              <w:autoSpaceDE w:val="0"/>
              <w:widowControl/>
              <w:spacing w:line="168" w:lineRule="exact" w:before="18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100,000</w:t>
            </w:r>
            <w:r>
              <w:rPr>
                <w:rFonts w:ascii="黑体" w:hAnsi="黑体" w:eastAsia="黑体"/>
                <w:b w:val="0"/>
                <w:i w:val="0"/>
                <w:color w:val="000000"/>
                <w:sz w:val="15"/>
              </w:rPr>
              <w:t>万元</w:t>
            </w:r>
          </w:p>
        </w:tc>
        <w:tc>
          <w:tcPr>
            <w:tcW w:type="dxa" w:w="4203"/>
            <w:gridSpan w:val="3"/>
            <w:vMerge/>
            <w:tcBorders>
              <w:top w:sz="2.400000000000091" w:val="single" w:color="#000000"/>
            </w:tcBorders>
          </w:tcPr>
          <w:p/>
        </w:tc>
        <w:tc>
          <w:tcPr>
            <w:tcW w:type="dxa" w:w="2052"/>
            <w:tcBorders>
              <w:top w:sz="3.199999999999818" w:val="single" w:color="#000000"/>
            </w:tcBorders>
            <w:tcMar>
              <w:start w:w="0" w:type="dxa"/>
              <w:end w:w="0" w:type="dxa"/>
            </w:tcMar>
          </w:tcPr>
          <w:p>
            <w:pPr>
              <w:autoSpaceDN w:val="0"/>
              <w:autoSpaceDE w:val="0"/>
              <w:widowControl/>
              <w:spacing w:line="235" w:lineRule="auto" w:before="186" w:after="0"/>
              <w:ind w:left="0" w:right="0" w:firstLine="0"/>
              <w:jc w:val="center"/>
            </w:pPr>
            <w:r>
              <w:rPr>
                <w:rFonts w:ascii="Arial" w:hAnsi="Arial" w:eastAsia="Arial"/>
                <w:b w:val="0"/>
                <w:i w:val="0"/>
                <w:color w:val="000000"/>
                <w:sz w:val="15"/>
              </w:rPr>
              <w:t>66.70%</w:t>
            </w:r>
          </w:p>
        </w:tc>
        <w:tc>
          <w:tcPr>
            <w:tcW w:type="dxa" w:w="552"/>
            <w:tcBorders>
              <w:top w:sz="3.199999999999818" w:val="single" w:color="#000000"/>
            </w:tcBorders>
            <w:tcMar>
              <w:start w:w="0" w:type="dxa"/>
              <w:end w:w="0" w:type="dxa"/>
            </w:tcMar>
          </w:tcPr>
          <w:p>
            <w:pPr>
              <w:autoSpaceDN w:val="0"/>
              <w:autoSpaceDE w:val="0"/>
              <w:widowControl/>
              <w:spacing w:line="235" w:lineRule="auto" w:before="186" w:after="0"/>
              <w:ind w:left="0" w:right="0" w:firstLine="0"/>
              <w:jc w:val="right"/>
            </w:pPr>
            <w:r>
              <w:rPr>
                <w:rFonts w:ascii="Arial" w:hAnsi="Arial" w:eastAsia="Arial"/>
                <w:b w:val="0"/>
                <w:i w:val="0"/>
                <w:color w:val="000000"/>
                <w:sz w:val="15"/>
              </w:rPr>
              <w:t>-</w:t>
            </w:r>
          </w:p>
        </w:tc>
        <w:tc>
          <w:tcPr>
            <w:tcW w:type="dxa" w:w="1968"/>
            <w:tcBorders>
              <w:top w:sz="3.199999999999818" w:val="single" w:color="#000000"/>
            </w:tcBorders>
            <w:tcMar>
              <w:start w:w="0" w:type="dxa"/>
              <w:end w:w="0" w:type="dxa"/>
            </w:tcMar>
          </w:tcPr>
          <w:p>
            <w:pPr>
              <w:autoSpaceDN w:val="0"/>
              <w:autoSpaceDE w:val="0"/>
              <w:widowControl/>
              <w:spacing w:line="235" w:lineRule="auto" w:before="186" w:after="0"/>
              <w:ind w:left="0" w:right="636" w:firstLine="0"/>
              <w:jc w:val="right"/>
            </w:pPr>
            <w:r>
              <w:rPr>
                <w:rFonts w:ascii="Arial" w:hAnsi="Arial" w:eastAsia="Arial"/>
                <w:b w:val="0"/>
                <w:i w:val="0"/>
                <w:color w:val="000000"/>
                <w:sz w:val="15"/>
              </w:rPr>
              <w:t>66.70%</w:t>
            </w:r>
          </w:p>
        </w:tc>
        <w:tc>
          <w:tcPr>
            <w:tcW w:type="dxa" w:w="568"/>
            <w:tcBorders>
              <w:top w:sz="3.199999999999818" w:val="single" w:color="#000000"/>
            </w:tcBorders>
            <w:tcMar>
              <w:start w:w="0" w:type="dxa"/>
              <w:end w:w="0" w:type="dxa"/>
            </w:tcMar>
          </w:tcPr>
          <w:p>
            <w:pPr>
              <w:autoSpaceDN w:val="0"/>
              <w:autoSpaceDE w:val="0"/>
              <w:widowControl/>
              <w:spacing w:line="235" w:lineRule="auto" w:before="186" w:after="0"/>
              <w:ind w:left="0" w:right="0" w:firstLine="0"/>
              <w:jc w:val="right"/>
            </w:pPr>
            <w:r>
              <w:rPr>
                <w:rFonts w:ascii="Arial" w:hAnsi="Arial" w:eastAsia="Arial"/>
                <w:b w:val="0"/>
                <w:i w:val="0"/>
                <w:color w:val="000000"/>
                <w:sz w:val="15"/>
              </w:rPr>
              <w:t>-</w:t>
            </w:r>
          </w:p>
        </w:tc>
      </w:tr>
      <w:tr>
        <w:trPr>
          <w:trHeight w:hRule="exact" w:val="360"/>
        </w:trPr>
        <w:tc>
          <w:tcPr>
            <w:tcW w:type="dxa" w:w="3472"/>
            <w:tcBorders/>
            <w:tcMar>
              <w:start w:w="0" w:type="dxa"/>
              <w:end w:w="0" w:type="dxa"/>
            </w:tcMar>
          </w:tcPr>
          <w:p>
            <w:pPr>
              <w:autoSpaceDN w:val="0"/>
              <w:autoSpaceDE w:val="0"/>
              <w:widowControl/>
              <w:spacing w:line="150" w:lineRule="exact" w:before="210" w:after="0"/>
              <w:ind w:left="0" w:right="0" w:firstLine="0"/>
              <w:jc w:val="left"/>
            </w:pPr>
            <w:r>
              <w:rPr>
                <w:rFonts w:ascii="黑体" w:hAnsi="黑体" w:eastAsia="黑体"/>
                <w:b w:val="0"/>
                <w:i w:val="0"/>
                <w:color w:val="000000"/>
                <w:sz w:val="15"/>
              </w:rPr>
              <w:t>格林大华资本管理</w:t>
            </w:r>
          </w:p>
        </w:tc>
        <w:tc>
          <w:tcPr>
            <w:tcW w:type="dxa" w:w="1050"/>
            <w:tcBorders/>
            <w:tcMar>
              <w:start w:w="0" w:type="dxa"/>
              <w:end w:w="0" w:type="dxa"/>
            </w:tcMar>
          </w:tcPr>
          <w:p>
            <w:pPr>
              <w:autoSpaceDN w:val="0"/>
              <w:autoSpaceDE w:val="0"/>
              <w:widowControl/>
              <w:spacing w:line="150" w:lineRule="exact" w:before="210" w:after="0"/>
              <w:ind w:left="0" w:right="0" w:firstLine="0"/>
              <w:jc w:val="right"/>
            </w:pPr>
            <w:r>
              <w:rPr>
                <w:rFonts w:ascii="黑体" w:hAnsi="黑体" w:eastAsia="黑体"/>
                <w:b w:val="0"/>
                <w:i w:val="0"/>
                <w:color w:val="000000"/>
                <w:sz w:val="15"/>
              </w:rPr>
              <w:t>上海市</w:t>
            </w:r>
          </w:p>
        </w:tc>
        <w:tc>
          <w:tcPr>
            <w:tcW w:type="dxa" w:w="1638"/>
            <w:tcBorders/>
            <w:tcMar>
              <w:start w:w="0" w:type="dxa"/>
              <w:end w:w="0" w:type="dxa"/>
            </w:tcMar>
          </w:tcPr>
          <w:p>
            <w:pPr>
              <w:autoSpaceDN w:val="0"/>
              <w:autoSpaceDE w:val="0"/>
              <w:widowControl/>
              <w:spacing w:line="170" w:lineRule="exact" w:before="190"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95,000</w:t>
            </w:r>
            <w:r>
              <w:rPr>
                <w:rFonts w:ascii="黑体" w:hAnsi="黑体" w:eastAsia="黑体"/>
                <w:b w:val="0"/>
                <w:i w:val="0"/>
                <w:color w:val="000000"/>
                <w:sz w:val="15"/>
              </w:rPr>
              <w:t>万元</w:t>
            </w:r>
          </w:p>
        </w:tc>
        <w:tc>
          <w:tcPr>
            <w:tcW w:type="dxa" w:w="1360"/>
            <w:tcBorders/>
            <w:tcMar>
              <w:start w:w="0" w:type="dxa"/>
              <w:end w:w="0" w:type="dxa"/>
            </w:tcMar>
          </w:tcPr>
          <w:p>
            <w:pPr>
              <w:autoSpaceDN w:val="0"/>
              <w:autoSpaceDE w:val="0"/>
              <w:widowControl/>
              <w:spacing w:line="150" w:lineRule="exact" w:before="210" w:after="0"/>
              <w:ind w:left="0" w:right="84" w:firstLine="0"/>
              <w:jc w:val="right"/>
            </w:pPr>
            <w:r>
              <w:rPr>
                <w:rFonts w:ascii="黑体" w:hAnsi="黑体" w:eastAsia="黑体"/>
                <w:b w:val="0"/>
                <w:i w:val="0"/>
                <w:color w:val="000000"/>
                <w:sz w:val="15"/>
              </w:rPr>
              <w:t>资本管理业务</w:t>
            </w:r>
          </w:p>
        </w:tc>
        <w:tc>
          <w:tcPr>
            <w:tcW w:type="dxa" w:w="1328"/>
            <w:gridSpan w:val="2"/>
            <w:tcBorders/>
            <w:tcMar>
              <w:start w:w="0" w:type="dxa"/>
              <w:end w:w="0" w:type="dxa"/>
            </w:tcMar>
            <w:tcMar>
              <w:start w:w="0" w:type="dxa"/>
              <w:end w:w="0" w:type="dxa"/>
            </w:tcMar>
          </w:tcPr>
          <w:p>
            <w:pPr>
              <w:autoSpaceDN w:val="0"/>
              <w:autoSpaceDE w:val="0"/>
              <w:widowControl/>
              <w:spacing w:line="170" w:lineRule="exact" w:before="190" w:after="0"/>
              <w:ind w:left="118" w:right="0" w:firstLine="0"/>
              <w:jc w:val="left"/>
            </w:pPr>
            <w:r>
              <w:rPr>
                <w:rFonts w:ascii="黑体" w:hAnsi="黑体" w:eastAsia="黑体"/>
                <w:b w:val="0"/>
                <w:i w:val="0"/>
                <w:color w:val="000000"/>
                <w:sz w:val="15"/>
              </w:rPr>
              <w:t>人民币</w:t>
            </w:r>
            <w:r>
              <w:rPr>
                <w:rFonts w:ascii="Arial" w:hAnsi="Arial" w:eastAsia="Arial"/>
                <w:b w:val="0"/>
                <w:i w:val="0"/>
                <w:color w:val="000000"/>
                <w:sz w:val="15"/>
              </w:rPr>
              <w:t>95,000</w:t>
            </w:r>
            <w:r>
              <w:rPr>
                <w:rFonts w:ascii="黑体" w:hAnsi="黑体" w:eastAsia="黑体"/>
                <w:b w:val="0"/>
                <w:i w:val="0"/>
                <w:color w:val="000000"/>
                <w:sz w:val="15"/>
              </w:rPr>
              <w:t>万元</w:t>
            </w:r>
          </w:p>
        </w:tc>
        <w:tc>
          <w:tcPr>
            <w:tcW w:type="dxa" w:w="2052"/>
            <w:vMerge w:val="restart"/>
            <w:tcBorders/>
            <w:tcMar>
              <w:start w:w="0" w:type="dxa"/>
              <w:end w:w="0" w:type="dxa"/>
            </w:tcMar>
            <w:tcMar>
              <w:start w:w="0" w:type="dxa"/>
              <w:end w:w="0" w:type="dxa"/>
            </w:tcMar>
          </w:tcPr>
          <w:p>
            <w:pPr>
              <w:autoSpaceDN w:val="0"/>
              <w:autoSpaceDE w:val="0"/>
              <w:widowControl/>
              <w:spacing w:line="233" w:lineRule="auto" w:before="218" w:after="0"/>
              <w:ind w:left="0" w:right="774" w:firstLine="0"/>
              <w:jc w:val="right"/>
            </w:pPr>
            <w:r>
              <w:rPr>
                <w:rFonts w:ascii="Arial" w:hAnsi="Arial" w:eastAsia="Arial"/>
                <w:b w:val="0"/>
                <w:i w:val="0"/>
                <w:color w:val="000000"/>
                <w:sz w:val="15"/>
              </w:rPr>
              <w:t>-</w:t>
            </w:r>
          </w:p>
        </w:tc>
        <w:tc>
          <w:tcPr>
            <w:tcW w:type="dxa" w:w="552"/>
            <w:tcBorders/>
            <w:tcMar>
              <w:start w:w="0" w:type="dxa"/>
              <w:end w:w="0" w:type="dxa"/>
            </w:tcMar>
          </w:tcPr>
          <w:p>
            <w:pPr>
              <w:autoSpaceDN w:val="0"/>
              <w:autoSpaceDE w:val="0"/>
              <w:widowControl/>
              <w:spacing w:line="150" w:lineRule="exact" w:before="210" w:after="0"/>
              <w:ind w:left="0" w:right="0" w:firstLine="0"/>
              <w:jc w:val="center"/>
            </w:pPr>
            <w:r>
              <w:rPr>
                <w:rFonts w:ascii="黑体" w:hAnsi="黑体" w:eastAsia="黑体"/>
                <w:b w:val="0"/>
                <w:i w:val="0"/>
                <w:color w:val="000000"/>
                <w:sz w:val="15"/>
              </w:rPr>
              <w:t>100.00%</w:t>
            </w:r>
          </w:p>
        </w:tc>
        <w:tc>
          <w:tcPr>
            <w:tcW w:type="dxa" w:w="1968"/>
            <w:vMerge w:val="restart"/>
            <w:tcBorders/>
            <w:tcMar>
              <w:start w:w="0" w:type="dxa"/>
              <w:end w:w="0" w:type="dxa"/>
            </w:tcMar>
            <w:tcMar>
              <w:start w:w="0" w:type="dxa"/>
              <w:end w:w="0" w:type="dxa"/>
            </w:tcMar>
          </w:tcPr>
          <w:p>
            <w:pPr>
              <w:autoSpaceDN w:val="0"/>
              <w:autoSpaceDE w:val="0"/>
              <w:widowControl/>
              <w:spacing w:line="233" w:lineRule="auto" w:before="218" w:after="0"/>
              <w:ind w:left="0" w:right="638" w:firstLine="0"/>
              <w:jc w:val="right"/>
            </w:pPr>
            <w:r>
              <w:rPr>
                <w:rFonts w:ascii="Arial" w:hAnsi="Arial" w:eastAsia="Arial"/>
                <w:b w:val="0"/>
                <w:i w:val="0"/>
                <w:color w:val="000000"/>
                <w:sz w:val="15"/>
              </w:rPr>
              <w:t>-</w:t>
            </w:r>
          </w:p>
        </w:tc>
        <w:tc>
          <w:tcPr>
            <w:tcW w:type="dxa" w:w="568"/>
            <w:tcBorders/>
            <w:tcMar>
              <w:start w:w="0" w:type="dxa"/>
              <w:end w:w="0" w:type="dxa"/>
            </w:tcMar>
          </w:tcPr>
          <w:p>
            <w:pPr>
              <w:autoSpaceDN w:val="0"/>
              <w:autoSpaceDE w:val="0"/>
              <w:widowControl/>
              <w:spacing w:line="150" w:lineRule="exact" w:before="210" w:after="0"/>
              <w:ind w:left="0" w:right="0" w:firstLine="0"/>
              <w:jc w:val="center"/>
            </w:pPr>
            <w:r>
              <w:rPr>
                <w:rFonts w:ascii="黑体" w:hAnsi="黑体" w:eastAsia="黑体"/>
                <w:b w:val="0"/>
                <w:i w:val="0"/>
                <w:color w:val="000000"/>
                <w:sz w:val="15"/>
              </w:rPr>
              <w:t>100.00%</w:t>
            </w:r>
          </w:p>
        </w:tc>
      </w:tr>
      <w:tr>
        <w:trPr>
          <w:trHeight w:hRule="exact" w:val="126"/>
        </w:trPr>
        <w:tc>
          <w:tcPr>
            <w:tcW w:type="dxa" w:w="3472"/>
            <w:vMerge w:val="restart"/>
            <w:tcBorders/>
            <w:tcMar>
              <w:start w:w="0" w:type="dxa"/>
              <w:end w:w="0" w:type="dxa"/>
            </w:tcMar>
            <w:tcMar>
              <w:start w:w="0" w:type="dxa"/>
              <w:end w:w="0" w:type="dxa"/>
            </w:tcMar>
          </w:tcPr>
          <w:p>
            <w:pPr>
              <w:autoSpaceDN w:val="0"/>
              <w:autoSpaceDE w:val="0"/>
              <w:widowControl/>
              <w:spacing w:line="150" w:lineRule="exact" w:before="226" w:after="0"/>
              <w:ind w:left="0" w:right="0" w:firstLine="0"/>
              <w:jc w:val="left"/>
            </w:pPr>
            <w:r>
              <w:rPr>
                <w:rFonts w:ascii="黑体" w:hAnsi="黑体" w:eastAsia="黑体"/>
                <w:b w:val="0"/>
                <w:i w:val="0"/>
                <w:color w:val="000000"/>
                <w:sz w:val="15"/>
              </w:rPr>
              <w:t>山证投资</w:t>
            </w:r>
          </w:p>
        </w:tc>
        <w:tc>
          <w:tcPr>
            <w:tcW w:type="dxa" w:w="1050"/>
            <w:vMerge w:val="restart"/>
            <w:tcBorders/>
            <w:tcMar>
              <w:start w:w="0" w:type="dxa"/>
              <w:end w:w="0" w:type="dxa"/>
            </w:tcMar>
            <w:tcMar>
              <w:start w:w="0" w:type="dxa"/>
              <w:end w:w="0" w:type="dxa"/>
            </w:tcMar>
          </w:tcPr>
          <w:p>
            <w:pPr>
              <w:autoSpaceDN w:val="0"/>
              <w:autoSpaceDE w:val="0"/>
              <w:widowControl/>
              <w:spacing w:line="150" w:lineRule="exact" w:before="226" w:after="0"/>
              <w:ind w:left="0" w:right="0" w:firstLine="0"/>
              <w:jc w:val="right"/>
            </w:pPr>
            <w:r>
              <w:rPr>
                <w:rFonts w:ascii="黑体" w:hAnsi="黑体" w:eastAsia="黑体"/>
                <w:b w:val="0"/>
                <w:i w:val="0"/>
                <w:color w:val="000000"/>
                <w:sz w:val="15"/>
              </w:rPr>
              <w:t>北京市</w:t>
            </w:r>
          </w:p>
        </w:tc>
        <w:tc>
          <w:tcPr>
            <w:tcW w:type="dxa" w:w="1638"/>
            <w:vMerge w:val="restart"/>
            <w:tcBorders/>
            <w:tcMar>
              <w:start w:w="0" w:type="dxa"/>
              <w:end w:w="0" w:type="dxa"/>
            </w:tcMar>
            <w:tcMar>
              <w:start w:w="0" w:type="dxa"/>
              <w:end w:w="0" w:type="dxa"/>
            </w:tcMar>
          </w:tcPr>
          <w:p>
            <w:pPr>
              <w:autoSpaceDN w:val="0"/>
              <w:autoSpaceDE w:val="0"/>
              <w:widowControl/>
              <w:spacing w:line="168" w:lineRule="exact" w:before="2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80,000</w:t>
            </w:r>
            <w:r>
              <w:rPr>
                <w:rFonts w:ascii="黑体" w:hAnsi="黑体" w:eastAsia="黑体"/>
                <w:b w:val="0"/>
                <w:i w:val="0"/>
                <w:color w:val="000000"/>
                <w:sz w:val="15"/>
              </w:rPr>
              <w:t>万元</w:t>
            </w:r>
          </w:p>
        </w:tc>
        <w:tc>
          <w:tcPr>
            <w:tcW w:type="dxa" w:w="1360"/>
            <w:vMerge w:val="restart"/>
            <w:tcBorders/>
            <w:tcMar>
              <w:start w:w="0" w:type="dxa"/>
              <w:end w:w="0" w:type="dxa"/>
            </w:tcMar>
            <w:tcMar>
              <w:start w:w="0" w:type="dxa"/>
              <w:end w:w="0" w:type="dxa"/>
            </w:tcMar>
          </w:tcPr>
          <w:p>
            <w:pPr>
              <w:autoSpaceDN w:val="0"/>
              <w:autoSpaceDE w:val="0"/>
              <w:widowControl/>
              <w:spacing w:line="150" w:lineRule="exact" w:before="226" w:after="0"/>
              <w:ind w:left="222" w:right="0" w:firstLine="0"/>
              <w:jc w:val="left"/>
            </w:pPr>
            <w:r>
              <w:rPr>
                <w:rFonts w:ascii="黑体" w:hAnsi="黑体" w:eastAsia="黑体"/>
                <w:b w:val="0"/>
                <w:i w:val="0"/>
                <w:color w:val="000000"/>
                <w:sz w:val="15"/>
              </w:rPr>
              <w:t>投资与资产管理</w:t>
            </w:r>
          </w:p>
        </w:tc>
        <w:tc>
          <w:tcPr>
            <w:tcW w:type="dxa" w:w="132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8" w:lineRule="exact" w:before="218" w:after="0"/>
              <w:ind w:left="118" w:right="0" w:firstLine="0"/>
              <w:jc w:val="left"/>
            </w:pPr>
            <w:r>
              <w:rPr>
                <w:rFonts w:ascii="黑体" w:hAnsi="黑体" w:eastAsia="黑体"/>
                <w:b w:val="0"/>
                <w:i w:val="0"/>
                <w:color w:val="000000"/>
                <w:sz w:val="15"/>
              </w:rPr>
              <w:t>人民币</w:t>
            </w:r>
            <w:r>
              <w:rPr>
                <w:rFonts w:ascii="Arial" w:hAnsi="Arial" w:eastAsia="Arial"/>
                <w:b w:val="0"/>
                <w:i w:val="0"/>
                <w:color w:val="000000"/>
                <w:sz w:val="15"/>
              </w:rPr>
              <w:t>80,000</w:t>
            </w:r>
            <w:r>
              <w:rPr>
                <w:rFonts w:ascii="黑体" w:hAnsi="黑体" w:eastAsia="黑体"/>
                <w:b w:val="0"/>
                <w:i w:val="0"/>
                <w:color w:val="000000"/>
                <w:sz w:val="15"/>
              </w:rPr>
              <w:t>万元</w:t>
            </w:r>
          </w:p>
        </w:tc>
        <w:tc>
          <w:tcPr>
            <w:tcW w:type="dxa" w:w="1401"/>
            <w:vMerge/>
            <w:tcBorders/>
          </w:tcPr>
          <w:p/>
        </w:tc>
        <w:tc>
          <w:tcPr>
            <w:tcW w:type="dxa" w:w="552"/>
            <w:vMerge w:val="restart"/>
            <w:tcBorders/>
            <w:tcMar>
              <w:start w:w="0" w:type="dxa"/>
              <w:end w:w="0" w:type="dxa"/>
            </w:tcMar>
            <w:tcMar>
              <w:start w:w="0" w:type="dxa"/>
              <w:end w:w="0" w:type="dxa"/>
            </w:tcMar>
          </w:tcPr>
          <w:p>
            <w:pPr>
              <w:autoSpaceDN w:val="0"/>
              <w:autoSpaceDE w:val="0"/>
              <w:widowControl/>
              <w:spacing w:line="233" w:lineRule="auto" w:before="226" w:after="0"/>
              <w:ind w:left="0" w:right="0" w:firstLine="0"/>
              <w:jc w:val="right"/>
            </w:pPr>
            <w:r>
              <w:rPr>
                <w:rFonts w:ascii="Arial" w:hAnsi="Arial" w:eastAsia="Arial"/>
                <w:b w:val="0"/>
                <w:i w:val="0"/>
                <w:color w:val="000000"/>
                <w:sz w:val="15"/>
              </w:rPr>
              <w:t>-</w:t>
            </w:r>
          </w:p>
        </w:tc>
        <w:tc>
          <w:tcPr>
            <w:tcW w:type="dxa" w:w="1401"/>
            <w:vMerge/>
            <w:tcBorders/>
          </w:tcPr>
          <w:p/>
        </w:tc>
        <w:tc>
          <w:tcPr>
            <w:tcW w:type="dxa" w:w="568"/>
            <w:vMerge w:val="restart"/>
            <w:tcBorders/>
            <w:tcMar>
              <w:start w:w="0" w:type="dxa"/>
              <w:end w:w="0" w:type="dxa"/>
            </w:tcMar>
            <w:tcMar>
              <w:start w:w="0" w:type="dxa"/>
              <w:end w:w="0" w:type="dxa"/>
            </w:tcMar>
          </w:tcPr>
          <w:p>
            <w:pPr>
              <w:autoSpaceDN w:val="0"/>
              <w:autoSpaceDE w:val="0"/>
              <w:widowControl/>
              <w:spacing w:line="233" w:lineRule="auto" w:before="226" w:after="0"/>
              <w:ind w:left="0" w:right="0" w:firstLine="0"/>
              <w:jc w:val="right"/>
            </w:pPr>
            <w:r>
              <w:rPr>
                <w:rFonts w:ascii="Arial" w:hAnsi="Arial" w:eastAsia="Arial"/>
                <w:b w:val="0"/>
                <w:i w:val="0"/>
                <w:color w:val="000000"/>
                <w:sz w:val="15"/>
              </w:rPr>
              <w:t>-</w:t>
            </w:r>
          </w:p>
        </w:tc>
      </w:tr>
      <w:tr>
        <w:trPr>
          <w:trHeight w:hRule="exact" w:val="328"/>
        </w:trPr>
        <w:tc>
          <w:tcPr>
            <w:tcW w:type="dxa" w:w="1401"/>
            <w:vMerge/>
            <w:tcBorders/>
          </w:tcPr>
          <w:p/>
        </w:tc>
        <w:tc>
          <w:tcPr>
            <w:tcW w:type="dxa" w:w="1401"/>
            <w:vMerge/>
            <w:tcBorders/>
          </w:tcPr>
          <w:p/>
        </w:tc>
        <w:tc>
          <w:tcPr>
            <w:tcW w:type="dxa" w:w="1401"/>
            <w:vMerge/>
            <w:tcBorders/>
          </w:tcPr>
          <w:p/>
        </w:tc>
        <w:tc>
          <w:tcPr>
            <w:tcW w:type="dxa" w:w="1401"/>
            <w:vMerge/>
            <w:tcBorders/>
          </w:tcPr>
          <w:p/>
        </w:tc>
        <w:tc>
          <w:tcPr>
            <w:tcW w:type="dxa" w:w="2802"/>
            <w:gridSpan w:val="2"/>
            <w:vMerge/>
            <w:tcBorders/>
          </w:tcPr>
          <w:p/>
        </w:tc>
        <w:tc>
          <w:tcPr>
            <w:tcW w:type="dxa" w:w="2052"/>
            <w:tcBorders/>
            <w:tcMar>
              <w:start w:w="0" w:type="dxa"/>
              <w:end w:w="0" w:type="dxa"/>
            </w:tcMar>
          </w:tcPr>
          <w:p>
            <w:pPr>
              <w:autoSpaceDN w:val="0"/>
              <w:autoSpaceDE w:val="0"/>
              <w:widowControl/>
              <w:spacing w:line="233" w:lineRule="auto" w:before="100" w:after="0"/>
              <w:ind w:left="0" w:right="772" w:firstLine="0"/>
              <w:jc w:val="right"/>
            </w:pPr>
            <w:r>
              <w:rPr>
                <w:rFonts w:ascii="Arial" w:hAnsi="Arial" w:eastAsia="Arial"/>
                <w:b w:val="0"/>
                <w:i w:val="0"/>
                <w:color w:val="000000"/>
                <w:sz w:val="15"/>
              </w:rPr>
              <w:t>100.00%</w:t>
            </w:r>
          </w:p>
        </w:tc>
        <w:tc>
          <w:tcPr>
            <w:tcW w:type="dxa" w:w="1401"/>
            <w:vMerge/>
            <w:tcBorders/>
          </w:tcPr>
          <w:p/>
        </w:tc>
        <w:tc>
          <w:tcPr>
            <w:tcW w:type="dxa" w:w="1968"/>
            <w:tcBorders/>
            <w:tcMar>
              <w:start w:w="0" w:type="dxa"/>
              <w:end w:w="0" w:type="dxa"/>
            </w:tcMar>
          </w:tcPr>
          <w:p>
            <w:pPr>
              <w:autoSpaceDN w:val="0"/>
              <w:autoSpaceDE w:val="0"/>
              <w:widowControl/>
              <w:spacing w:line="233" w:lineRule="auto" w:before="100" w:after="0"/>
              <w:ind w:left="0" w:right="636" w:firstLine="0"/>
              <w:jc w:val="right"/>
            </w:pPr>
            <w:r>
              <w:rPr>
                <w:rFonts w:ascii="Arial" w:hAnsi="Arial" w:eastAsia="Arial"/>
                <w:b w:val="0"/>
                <w:i w:val="0"/>
                <w:color w:val="000000"/>
                <w:sz w:val="15"/>
              </w:rPr>
              <w:t>100.00%</w:t>
            </w:r>
          </w:p>
        </w:tc>
        <w:tc>
          <w:tcPr>
            <w:tcW w:type="dxa" w:w="1401"/>
            <w:vMerge/>
            <w:tcBorders/>
          </w:tcPr>
          <w:p/>
        </w:tc>
      </w:tr>
    </w:tbl>
    <w:p>
      <w:pPr>
        <w:autoSpaceDN w:val="0"/>
        <w:autoSpaceDE w:val="0"/>
        <w:widowControl/>
        <w:spacing w:line="152" w:lineRule="exact" w:before="138" w:after="18"/>
        <w:ind w:left="0" w:right="0" w:firstLine="0"/>
        <w:jc w:val="left"/>
      </w:pPr>
      <w:r>
        <w:rPr>
          <w:rFonts w:ascii="黑体" w:hAnsi="黑体" w:eastAsia="黑体"/>
          <w:b w:val="0"/>
          <w:i w:val="0"/>
          <w:color w:val="000000"/>
          <w:sz w:val="15"/>
        </w:rPr>
        <w:t>山西中小企业创业投资基金（有限合伙）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4"/>
        </w:trPr>
        <w:tc>
          <w:tcPr>
            <w:tcW w:type="dxa" w:w="310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（以下简称“中小创投基金”）</w:t>
            </w:r>
          </w:p>
        </w:tc>
        <w:tc>
          <w:tcPr>
            <w:tcW w:type="dxa" w:w="1520"/>
            <w:tcBorders/>
            <w:tcMar>
              <w:start w:w="0" w:type="dxa"/>
              <w:end w:w="0" w:type="dxa"/>
            </w:tcMar>
          </w:tcPr>
          <w:p>
            <w:pPr>
              <w:autoSpaceDN w:val="0"/>
              <w:autoSpaceDE w:val="0"/>
              <w:widowControl/>
              <w:spacing w:line="152" w:lineRule="exact" w:before="24" w:after="0"/>
              <w:ind w:left="0" w:right="156" w:firstLine="0"/>
              <w:jc w:val="right"/>
            </w:pPr>
            <w:r>
              <w:rPr>
                <w:rFonts w:ascii="黑体" w:hAnsi="黑体" w:eastAsia="黑体"/>
                <w:b w:val="0"/>
                <w:i w:val="0"/>
                <w:color w:val="000000"/>
                <w:sz w:val="15"/>
              </w:rPr>
              <w:t>太原市</w:t>
            </w:r>
          </w:p>
        </w:tc>
        <w:tc>
          <w:tcPr>
            <w:tcW w:type="dxa" w:w="1480"/>
            <w:tcBorders/>
            <w:tcMar>
              <w:start w:w="0" w:type="dxa"/>
              <w:end w:w="0" w:type="dxa"/>
            </w:tcMar>
          </w:tcPr>
          <w:p>
            <w:pPr>
              <w:autoSpaceDN w:val="0"/>
              <w:autoSpaceDE w:val="0"/>
              <w:widowControl/>
              <w:spacing w:line="168"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9,868</w:t>
            </w:r>
            <w:r>
              <w:rPr>
                <w:rFonts w:ascii="黑体" w:hAnsi="黑体" w:eastAsia="黑体"/>
                <w:b w:val="0"/>
                <w:i w:val="0"/>
                <w:color w:val="000000"/>
                <w:sz w:val="15"/>
              </w:rPr>
              <w:t>万元</w:t>
            </w:r>
          </w:p>
        </w:tc>
        <w:tc>
          <w:tcPr>
            <w:tcW w:type="dxa" w:w="140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900"/>
            <w:tcBorders/>
            <w:tcMar>
              <w:start w:w="0" w:type="dxa"/>
              <w:end w:w="0" w:type="dxa"/>
            </w:tcMar>
          </w:tcPr>
          <w:p>
            <w:pPr>
              <w:autoSpaceDN w:val="0"/>
              <w:autoSpaceDE w:val="0"/>
              <w:widowControl/>
              <w:spacing w:line="168" w:lineRule="exact" w:before="18" w:after="0"/>
              <w:ind w:left="162" w:right="0" w:firstLine="0"/>
              <w:jc w:val="left"/>
            </w:pPr>
            <w:r>
              <w:rPr>
                <w:rFonts w:ascii="黑体" w:hAnsi="黑体" w:eastAsia="黑体"/>
                <w:b w:val="0"/>
                <w:i w:val="0"/>
                <w:color w:val="000000"/>
                <w:sz w:val="15"/>
              </w:rPr>
              <w:t>人民币</w:t>
            </w:r>
            <w:r>
              <w:rPr>
                <w:rFonts w:ascii="Arial" w:hAnsi="Arial" w:eastAsia="Arial"/>
                <w:b w:val="0"/>
                <w:i w:val="0"/>
                <w:color w:val="000000"/>
                <w:sz w:val="15"/>
              </w:rPr>
              <w:t>4,934</w:t>
            </w:r>
            <w:r>
              <w:rPr>
                <w:rFonts w:ascii="黑体" w:hAnsi="黑体" w:eastAsia="黑体"/>
                <w:b w:val="0"/>
                <w:i w:val="0"/>
                <w:color w:val="000000"/>
                <w:sz w:val="15"/>
              </w:rPr>
              <w:t>万元</w:t>
            </w:r>
          </w:p>
        </w:tc>
        <w:tc>
          <w:tcPr>
            <w:tcW w:type="dxa" w:w="1020"/>
            <w:tcBorders/>
            <w:tcMar>
              <w:start w:w="0" w:type="dxa"/>
              <w:end w:w="0" w:type="dxa"/>
            </w:tcMar>
          </w:tcPr>
          <w:p>
            <w:pPr>
              <w:autoSpaceDN w:val="0"/>
              <w:autoSpaceDE w:val="0"/>
              <w:widowControl/>
              <w:spacing w:line="235" w:lineRule="auto" w:before="24" w:after="0"/>
              <w:ind w:left="0" w:right="35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24" w:after="0"/>
              <w:ind w:left="382" w:right="0" w:firstLine="0"/>
              <w:jc w:val="left"/>
            </w:pPr>
            <w:r>
              <w:rPr>
                <w:rFonts w:ascii="Arial" w:hAnsi="Arial" w:eastAsia="Arial"/>
                <w:b w:val="0"/>
                <w:i w:val="0"/>
                <w:color w:val="000000"/>
                <w:sz w:val="15"/>
              </w:rPr>
              <w:t>100.00%</w:t>
            </w:r>
          </w:p>
        </w:tc>
        <w:tc>
          <w:tcPr>
            <w:tcW w:type="dxa" w:w="1160"/>
            <w:tcBorders/>
            <w:tcMar>
              <w:start w:w="0" w:type="dxa"/>
              <w:end w:w="0" w:type="dxa"/>
            </w:tcMar>
          </w:tcPr>
          <w:p>
            <w:pPr>
              <w:autoSpaceDN w:val="0"/>
              <w:autoSpaceDE w:val="0"/>
              <w:widowControl/>
              <w:spacing w:line="235" w:lineRule="auto" w:before="24"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2" w:lineRule="exact" w:before="138" w:after="18"/>
        <w:ind w:left="0" w:right="0" w:firstLine="0"/>
        <w:jc w:val="left"/>
      </w:pPr>
      <w:r>
        <w:rPr>
          <w:rFonts w:ascii="黑体" w:hAnsi="黑体" w:eastAsia="黑体"/>
          <w:b w:val="0"/>
          <w:i w:val="0"/>
          <w:color w:val="000000"/>
          <w:sz w:val="15"/>
        </w:rPr>
        <w:t>北京山证投资管理合伙企业（有限合伙）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4"/>
        </w:trPr>
        <w:tc>
          <w:tcPr>
            <w:tcW w:type="dxa" w:w="310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（以下简称“北京山证投资”）</w:t>
            </w:r>
          </w:p>
        </w:tc>
        <w:tc>
          <w:tcPr>
            <w:tcW w:type="dxa" w:w="1520"/>
            <w:tcBorders/>
            <w:tcMar>
              <w:start w:w="0" w:type="dxa"/>
              <w:end w:w="0" w:type="dxa"/>
            </w:tcMar>
          </w:tcPr>
          <w:p>
            <w:pPr>
              <w:autoSpaceDN w:val="0"/>
              <w:autoSpaceDE w:val="0"/>
              <w:widowControl/>
              <w:spacing w:line="152" w:lineRule="exact" w:before="24" w:after="0"/>
              <w:ind w:left="0" w:right="156" w:firstLine="0"/>
              <w:jc w:val="right"/>
            </w:pPr>
            <w:r>
              <w:rPr>
                <w:rFonts w:ascii="黑体" w:hAnsi="黑体" w:eastAsia="黑体"/>
                <w:b w:val="0"/>
                <w:i w:val="0"/>
                <w:color w:val="000000"/>
                <w:sz w:val="15"/>
              </w:rPr>
              <w:t>北京市</w:t>
            </w:r>
          </w:p>
        </w:tc>
        <w:tc>
          <w:tcPr>
            <w:tcW w:type="dxa" w:w="1480"/>
            <w:tcBorders/>
            <w:tcMar>
              <w:start w:w="0" w:type="dxa"/>
              <w:end w:w="0" w:type="dxa"/>
            </w:tcMar>
          </w:tcPr>
          <w:p>
            <w:pPr>
              <w:autoSpaceDN w:val="0"/>
              <w:autoSpaceDE w:val="0"/>
              <w:widowControl/>
              <w:spacing w:line="168"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5,900</w:t>
            </w:r>
            <w:r>
              <w:rPr>
                <w:rFonts w:ascii="黑体" w:hAnsi="黑体" w:eastAsia="黑体"/>
                <w:b w:val="0"/>
                <w:i w:val="0"/>
                <w:color w:val="000000"/>
                <w:sz w:val="15"/>
              </w:rPr>
              <w:t>万元</w:t>
            </w:r>
          </w:p>
        </w:tc>
        <w:tc>
          <w:tcPr>
            <w:tcW w:type="dxa" w:w="194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380"/>
            <w:tcBorders/>
            <w:tcMar>
              <w:start w:w="0" w:type="dxa"/>
              <w:end w:w="0" w:type="dxa"/>
            </w:tcMar>
          </w:tcPr>
          <w:p>
            <w:pPr>
              <w:autoSpaceDN w:val="0"/>
              <w:autoSpaceDE w:val="0"/>
              <w:widowControl/>
              <w:spacing w:line="235" w:lineRule="auto" w:before="24" w:after="0"/>
              <w:ind w:left="0" w:right="590" w:firstLine="0"/>
              <w:jc w:val="right"/>
            </w:pPr>
            <w:r>
              <w:rPr>
                <w:rFonts w:ascii="Arial" w:hAnsi="Arial" w:eastAsia="Arial"/>
                <w:b w:val="0"/>
                <w:i w:val="0"/>
                <w:color w:val="000000"/>
                <w:sz w:val="15"/>
              </w:rPr>
              <w:t xml:space="preserve">- </w:t>
            </w:r>
          </w:p>
        </w:tc>
        <w:tc>
          <w:tcPr>
            <w:tcW w:type="dxa" w:w="1040"/>
            <w:tcBorders/>
            <w:tcMar>
              <w:start w:w="0" w:type="dxa"/>
              <w:end w:w="0" w:type="dxa"/>
            </w:tcMar>
          </w:tcPr>
          <w:p>
            <w:pPr>
              <w:autoSpaceDN w:val="0"/>
              <w:autoSpaceDE w:val="0"/>
              <w:widowControl/>
              <w:spacing w:line="235" w:lineRule="auto" w:before="24" w:after="0"/>
              <w:ind w:left="0" w:right="394" w:firstLine="0"/>
              <w:jc w:val="right"/>
            </w:pPr>
            <w:r>
              <w:rPr>
                <w:rFonts w:ascii="Arial" w:hAnsi="Arial" w:eastAsia="Arial"/>
                <w:b w:val="0"/>
                <w:i w:val="0"/>
                <w:color w:val="000000"/>
                <w:sz w:val="15"/>
              </w:rPr>
              <w:t>-</w:t>
            </w:r>
          </w:p>
        </w:tc>
        <w:tc>
          <w:tcPr>
            <w:tcW w:type="dxa" w:w="1560"/>
            <w:tcBorders/>
            <w:tcMar>
              <w:start w:w="0" w:type="dxa"/>
              <w:end w:w="0" w:type="dxa"/>
            </w:tcMar>
          </w:tcPr>
          <w:p>
            <w:pPr>
              <w:autoSpaceDN w:val="0"/>
              <w:autoSpaceDE w:val="0"/>
              <w:widowControl/>
              <w:spacing w:line="235" w:lineRule="auto" w:before="24" w:after="0"/>
              <w:ind w:left="0" w:right="622" w:firstLine="0"/>
              <w:jc w:val="right"/>
            </w:pPr>
            <w:r>
              <w:rPr>
                <w:rFonts w:ascii="Arial" w:hAnsi="Arial" w:eastAsia="Arial"/>
                <w:b w:val="0"/>
                <w:i w:val="0"/>
                <w:color w:val="000000"/>
                <w:sz w:val="15"/>
              </w:rPr>
              <w:t>49.15%</w:t>
            </w:r>
          </w:p>
        </w:tc>
        <w:tc>
          <w:tcPr>
            <w:tcW w:type="dxa" w:w="1160"/>
            <w:tcBorders/>
            <w:tcMar>
              <w:start w:w="0" w:type="dxa"/>
              <w:end w:w="0" w:type="dxa"/>
            </w:tcMar>
          </w:tcPr>
          <w:p>
            <w:pPr>
              <w:autoSpaceDN w:val="0"/>
              <w:autoSpaceDE w:val="0"/>
              <w:widowControl/>
              <w:spacing w:line="235" w:lineRule="auto" w:before="24"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0" w:lineRule="exact" w:before="138" w:after="18"/>
        <w:ind w:left="0" w:right="0" w:firstLine="0"/>
        <w:jc w:val="left"/>
      </w:pPr>
      <w:r>
        <w:rPr>
          <w:rFonts w:ascii="黑体" w:hAnsi="黑体" w:eastAsia="黑体"/>
          <w:b w:val="0"/>
          <w:i w:val="0"/>
          <w:color w:val="000000"/>
          <w:sz w:val="15"/>
        </w:rPr>
        <w:t>杭州山证双子股权投资基金合伙企业（有限合伙）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4"/>
        </w:trPr>
        <w:tc>
          <w:tcPr>
            <w:tcW w:type="dxa" w:w="2940"/>
            <w:tcBorders/>
            <w:tcMar>
              <w:start w:w="0" w:type="dxa"/>
              <w:end w:w="0" w:type="dxa"/>
            </w:tcMar>
          </w:tcPr>
          <w:p>
            <w:pPr>
              <w:autoSpaceDN w:val="0"/>
              <w:autoSpaceDE w:val="0"/>
              <w:widowControl/>
              <w:spacing w:line="152" w:lineRule="exact" w:before="26" w:after="0"/>
              <w:ind w:left="92" w:right="0" w:firstLine="0"/>
              <w:jc w:val="left"/>
            </w:pPr>
            <w:r>
              <w:rPr>
                <w:rFonts w:ascii="黑体" w:hAnsi="黑体" w:eastAsia="黑体"/>
                <w:b w:val="0"/>
                <w:i w:val="0"/>
                <w:color w:val="000000"/>
                <w:sz w:val="15"/>
              </w:rPr>
              <w:t>（以下简称“杭州双子”）</w:t>
            </w:r>
          </w:p>
        </w:tc>
        <w:tc>
          <w:tcPr>
            <w:tcW w:type="dxa" w:w="1680"/>
            <w:tcBorders/>
            <w:tcMar>
              <w:start w:w="0" w:type="dxa"/>
              <w:end w:w="0" w:type="dxa"/>
            </w:tcMar>
          </w:tcPr>
          <w:p>
            <w:pPr>
              <w:autoSpaceDN w:val="0"/>
              <w:autoSpaceDE w:val="0"/>
              <w:widowControl/>
              <w:spacing w:line="152" w:lineRule="exact" w:before="26" w:after="0"/>
              <w:ind w:left="0" w:right="156" w:firstLine="0"/>
              <w:jc w:val="right"/>
            </w:pPr>
            <w:r>
              <w:rPr>
                <w:rFonts w:ascii="黑体" w:hAnsi="黑体" w:eastAsia="黑体"/>
                <w:b w:val="0"/>
                <w:i w:val="0"/>
                <w:color w:val="000000"/>
                <w:sz w:val="15"/>
              </w:rPr>
              <w:t>杭州市</w:t>
            </w:r>
          </w:p>
        </w:tc>
        <w:tc>
          <w:tcPr>
            <w:tcW w:type="dxa" w:w="1480"/>
            <w:tcBorders/>
            <w:tcMar>
              <w:start w:w="0" w:type="dxa"/>
              <w:end w:w="0" w:type="dxa"/>
            </w:tcMar>
          </w:tcPr>
          <w:p>
            <w:pPr>
              <w:autoSpaceDN w:val="0"/>
              <w:autoSpaceDE w:val="0"/>
              <w:widowControl/>
              <w:spacing w:line="170"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3,900</w:t>
            </w:r>
            <w:r>
              <w:rPr>
                <w:rFonts w:ascii="黑体" w:hAnsi="黑体" w:eastAsia="黑体"/>
                <w:b w:val="0"/>
                <w:i w:val="0"/>
                <w:color w:val="000000"/>
                <w:sz w:val="15"/>
              </w:rPr>
              <w:t>万元</w:t>
            </w:r>
          </w:p>
        </w:tc>
        <w:tc>
          <w:tcPr>
            <w:tcW w:type="dxa" w:w="1940"/>
            <w:tcBorders/>
            <w:tcMar>
              <w:start w:w="0" w:type="dxa"/>
              <w:end w:w="0" w:type="dxa"/>
            </w:tcMar>
          </w:tcPr>
          <w:p>
            <w:pPr>
              <w:autoSpaceDN w:val="0"/>
              <w:autoSpaceDE w:val="0"/>
              <w:widowControl/>
              <w:spacing w:line="152" w:lineRule="exact" w:before="26" w:after="0"/>
              <w:ind w:left="222" w:right="0" w:firstLine="0"/>
              <w:jc w:val="left"/>
            </w:pPr>
            <w:r>
              <w:rPr>
                <w:rFonts w:ascii="黑体" w:hAnsi="黑体" w:eastAsia="黑体"/>
                <w:b w:val="0"/>
                <w:i w:val="0"/>
                <w:color w:val="000000"/>
                <w:sz w:val="15"/>
              </w:rPr>
              <w:t>投资与资产管理</w:t>
            </w:r>
          </w:p>
        </w:tc>
        <w:tc>
          <w:tcPr>
            <w:tcW w:type="dxa" w:w="1380"/>
            <w:tcBorders/>
            <w:tcMar>
              <w:start w:w="0" w:type="dxa"/>
              <w:end w:w="0" w:type="dxa"/>
            </w:tcMar>
          </w:tcPr>
          <w:p>
            <w:pPr>
              <w:autoSpaceDN w:val="0"/>
              <w:autoSpaceDE w:val="0"/>
              <w:widowControl/>
              <w:spacing w:line="233" w:lineRule="auto" w:before="26" w:after="0"/>
              <w:ind w:left="0" w:right="590" w:firstLine="0"/>
              <w:jc w:val="right"/>
            </w:pPr>
            <w:r>
              <w:rPr>
                <w:rFonts w:ascii="Arial" w:hAnsi="Arial" w:eastAsia="Arial"/>
                <w:b w:val="0"/>
                <w:i w:val="0"/>
                <w:color w:val="000000"/>
                <w:sz w:val="15"/>
              </w:rPr>
              <w:t xml:space="preserve">- </w:t>
            </w:r>
          </w:p>
        </w:tc>
        <w:tc>
          <w:tcPr>
            <w:tcW w:type="dxa" w:w="1040"/>
            <w:tcBorders/>
            <w:tcMar>
              <w:start w:w="0" w:type="dxa"/>
              <w:end w:w="0" w:type="dxa"/>
            </w:tcMar>
          </w:tcPr>
          <w:p>
            <w:pPr>
              <w:autoSpaceDN w:val="0"/>
              <w:autoSpaceDE w:val="0"/>
              <w:widowControl/>
              <w:spacing w:line="233" w:lineRule="auto" w:before="26" w:after="0"/>
              <w:ind w:left="0" w:right="394" w:firstLine="0"/>
              <w:jc w:val="right"/>
            </w:pPr>
            <w:r>
              <w:rPr>
                <w:rFonts w:ascii="Arial" w:hAnsi="Arial" w:eastAsia="Arial"/>
                <w:b w:val="0"/>
                <w:i w:val="0"/>
                <w:color w:val="000000"/>
                <w:sz w:val="15"/>
              </w:rPr>
              <w:t>-</w:t>
            </w:r>
          </w:p>
        </w:tc>
        <w:tc>
          <w:tcPr>
            <w:tcW w:type="dxa" w:w="1560"/>
            <w:tcBorders/>
            <w:tcMar>
              <w:start w:w="0" w:type="dxa"/>
              <w:end w:w="0" w:type="dxa"/>
            </w:tcMar>
          </w:tcPr>
          <w:p>
            <w:pPr>
              <w:autoSpaceDN w:val="0"/>
              <w:autoSpaceDE w:val="0"/>
              <w:widowControl/>
              <w:spacing w:line="233" w:lineRule="auto" w:before="26" w:after="0"/>
              <w:ind w:left="0" w:right="622" w:firstLine="0"/>
              <w:jc w:val="right"/>
            </w:pPr>
            <w:r>
              <w:rPr>
                <w:rFonts w:ascii="Arial" w:hAnsi="Arial" w:eastAsia="Arial"/>
                <w:b w:val="0"/>
                <w:i w:val="0"/>
                <w:color w:val="000000"/>
                <w:sz w:val="15"/>
              </w:rPr>
              <w:t>48.72%</w:t>
            </w:r>
          </w:p>
        </w:tc>
        <w:tc>
          <w:tcPr>
            <w:tcW w:type="dxa" w:w="1160"/>
            <w:tcBorders/>
            <w:tcMar>
              <w:start w:w="0" w:type="dxa"/>
              <w:end w:w="0" w:type="dxa"/>
            </w:tcMar>
          </w:tcPr>
          <w:p>
            <w:pPr>
              <w:autoSpaceDN w:val="0"/>
              <w:autoSpaceDE w:val="0"/>
              <w:widowControl/>
              <w:spacing w:line="233" w:lineRule="auto" w:before="26"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70"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0" w:lineRule="exact" w:before="140" w:after="18"/>
        <w:ind w:left="0" w:right="0" w:firstLine="0"/>
        <w:jc w:val="left"/>
      </w:pPr>
      <w:r>
        <w:rPr>
          <w:rFonts w:ascii="黑体" w:hAnsi="黑体" w:eastAsia="黑体"/>
          <w:b w:val="0"/>
          <w:i w:val="0"/>
          <w:color w:val="000000"/>
          <w:sz w:val="15"/>
        </w:rPr>
        <w:t>运城山证中小企业创业投资合伙企业（有限合伙）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4"/>
        </w:trPr>
        <w:tc>
          <w:tcPr>
            <w:tcW w:type="dxa" w:w="2940"/>
            <w:tcBorders/>
            <w:tcMar>
              <w:start w:w="0" w:type="dxa"/>
              <w:end w:w="0" w:type="dxa"/>
            </w:tcMar>
          </w:tcPr>
          <w:p>
            <w:pPr>
              <w:autoSpaceDN w:val="0"/>
              <w:autoSpaceDE w:val="0"/>
              <w:widowControl/>
              <w:spacing w:line="150" w:lineRule="exact" w:before="26" w:after="0"/>
              <w:ind w:left="92" w:right="0" w:firstLine="0"/>
              <w:jc w:val="left"/>
            </w:pPr>
            <w:r>
              <w:rPr>
                <w:rFonts w:ascii="黑体" w:hAnsi="黑体" w:eastAsia="黑体"/>
                <w:b w:val="0"/>
                <w:i w:val="0"/>
                <w:color w:val="000000"/>
                <w:sz w:val="15"/>
              </w:rPr>
              <w:t>（以下简称“运城山证”）</w:t>
            </w:r>
          </w:p>
        </w:tc>
        <w:tc>
          <w:tcPr>
            <w:tcW w:type="dxa" w:w="1680"/>
            <w:tcBorders/>
            <w:tcMar>
              <w:start w:w="0" w:type="dxa"/>
              <w:end w:w="0" w:type="dxa"/>
            </w:tcMar>
          </w:tcPr>
          <w:p>
            <w:pPr>
              <w:autoSpaceDN w:val="0"/>
              <w:autoSpaceDE w:val="0"/>
              <w:widowControl/>
              <w:spacing w:line="150" w:lineRule="exact" w:before="26" w:after="0"/>
              <w:ind w:left="0" w:right="156" w:firstLine="0"/>
              <w:jc w:val="right"/>
            </w:pPr>
            <w:r>
              <w:rPr>
                <w:rFonts w:ascii="黑体" w:hAnsi="黑体" w:eastAsia="黑体"/>
                <w:b w:val="0"/>
                <w:i w:val="0"/>
                <w:color w:val="000000"/>
                <w:sz w:val="15"/>
              </w:rPr>
              <w:t>运城市</w:t>
            </w:r>
          </w:p>
        </w:tc>
        <w:tc>
          <w:tcPr>
            <w:tcW w:type="dxa" w:w="1480"/>
            <w:tcBorders/>
            <w:tcMar>
              <w:start w:w="0" w:type="dxa"/>
              <w:end w:w="0" w:type="dxa"/>
            </w:tcMar>
          </w:tcPr>
          <w:p>
            <w:pPr>
              <w:autoSpaceDN w:val="0"/>
              <w:autoSpaceDE w:val="0"/>
              <w:widowControl/>
              <w:spacing w:line="170"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4,000</w:t>
            </w:r>
            <w:r>
              <w:rPr>
                <w:rFonts w:ascii="黑体" w:hAnsi="黑体" w:eastAsia="黑体"/>
                <w:b w:val="0"/>
                <w:i w:val="0"/>
                <w:color w:val="000000"/>
                <w:sz w:val="15"/>
              </w:rPr>
              <w:t>万元</w:t>
            </w:r>
          </w:p>
        </w:tc>
        <w:tc>
          <w:tcPr>
            <w:tcW w:type="dxa" w:w="1400"/>
            <w:tcBorders/>
            <w:tcMar>
              <w:start w:w="0" w:type="dxa"/>
              <w:end w:w="0" w:type="dxa"/>
            </w:tcMar>
          </w:tcPr>
          <w:p>
            <w:pPr>
              <w:autoSpaceDN w:val="0"/>
              <w:autoSpaceDE w:val="0"/>
              <w:widowControl/>
              <w:spacing w:line="150" w:lineRule="exact" w:before="26" w:after="0"/>
              <w:ind w:left="222" w:right="0" w:firstLine="0"/>
              <w:jc w:val="left"/>
            </w:pPr>
            <w:r>
              <w:rPr>
                <w:rFonts w:ascii="黑体" w:hAnsi="黑体" w:eastAsia="黑体"/>
                <w:b w:val="0"/>
                <w:i w:val="0"/>
                <w:color w:val="000000"/>
                <w:sz w:val="15"/>
              </w:rPr>
              <w:t>投资与资产管理</w:t>
            </w:r>
          </w:p>
        </w:tc>
        <w:tc>
          <w:tcPr>
            <w:tcW w:type="dxa" w:w="1900"/>
            <w:tcBorders/>
            <w:tcMar>
              <w:start w:w="0" w:type="dxa"/>
              <w:end w:w="0" w:type="dxa"/>
            </w:tcMar>
          </w:tcPr>
          <w:p>
            <w:pPr>
              <w:autoSpaceDN w:val="0"/>
              <w:autoSpaceDE w:val="0"/>
              <w:widowControl/>
              <w:spacing w:line="170" w:lineRule="exact" w:before="18" w:after="0"/>
              <w:ind w:left="162" w:right="0" w:firstLine="0"/>
              <w:jc w:val="left"/>
            </w:pPr>
            <w:r>
              <w:rPr>
                <w:rFonts w:ascii="黑体" w:hAnsi="黑体" w:eastAsia="黑体"/>
                <w:b w:val="0"/>
                <w:i w:val="0"/>
                <w:color w:val="000000"/>
                <w:sz w:val="15"/>
              </w:rPr>
              <w:t>人民币</w:t>
            </w:r>
            <w:r>
              <w:rPr>
                <w:rFonts w:ascii="Arial" w:hAnsi="Arial" w:eastAsia="Arial"/>
                <w:b w:val="0"/>
                <w:i w:val="0"/>
                <w:color w:val="000000"/>
                <w:sz w:val="15"/>
              </w:rPr>
              <w:t>1,500</w:t>
            </w:r>
            <w:r>
              <w:rPr>
                <w:rFonts w:ascii="黑体" w:hAnsi="黑体" w:eastAsia="黑体"/>
                <w:b w:val="0"/>
                <w:i w:val="0"/>
                <w:color w:val="000000"/>
                <w:sz w:val="15"/>
              </w:rPr>
              <w:t>万元</w:t>
            </w:r>
          </w:p>
        </w:tc>
        <w:tc>
          <w:tcPr>
            <w:tcW w:type="dxa" w:w="1060"/>
            <w:tcBorders/>
            <w:tcMar>
              <w:start w:w="0" w:type="dxa"/>
              <w:end w:w="0" w:type="dxa"/>
            </w:tcMar>
          </w:tcPr>
          <w:p>
            <w:pPr>
              <w:autoSpaceDN w:val="0"/>
              <w:autoSpaceDE w:val="0"/>
              <w:widowControl/>
              <w:spacing w:line="233" w:lineRule="auto" w:before="26" w:after="0"/>
              <w:ind w:left="0" w:right="394" w:firstLine="0"/>
              <w:jc w:val="right"/>
            </w:pPr>
            <w:r>
              <w:rPr>
                <w:rFonts w:ascii="Arial" w:hAnsi="Arial" w:eastAsia="Arial"/>
                <w:b w:val="0"/>
                <w:i w:val="0"/>
                <w:color w:val="000000"/>
                <w:sz w:val="15"/>
              </w:rPr>
              <w:t>-</w:t>
            </w:r>
          </w:p>
        </w:tc>
        <w:tc>
          <w:tcPr>
            <w:tcW w:type="dxa" w:w="1560"/>
            <w:tcBorders/>
            <w:tcMar>
              <w:start w:w="0" w:type="dxa"/>
              <w:end w:w="0" w:type="dxa"/>
            </w:tcMar>
          </w:tcPr>
          <w:p>
            <w:pPr>
              <w:autoSpaceDN w:val="0"/>
              <w:autoSpaceDE w:val="0"/>
              <w:widowControl/>
              <w:spacing w:line="233" w:lineRule="auto" w:before="26" w:after="0"/>
              <w:ind w:left="0" w:right="622" w:firstLine="0"/>
              <w:jc w:val="right"/>
            </w:pPr>
            <w:r>
              <w:rPr>
                <w:rFonts w:ascii="Arial" w:hAnsi="Arial" w:eastAsia="Arial"/>
                <w:b w:val="0"/>
                <w:i w:val="0"/>
                <w:color w:val="000000"/>
                <w:sz w:val="15"/>
              </w:rPr>
              <w:t>50.00%</w:t>
            </w:r>
          </w:p>
        </w:tc>
        <w:tc>
          <w:tcPr>
            <w:tcW w:type="dxa" w:w="1160"/>
            <w:tcBorders/>
            <w:tcMar>
              <w:start w:w="0" w:type="dxa"/>
              <w:end w:w="0" w:type="dxa"/>
            </w:tcMar>
          </w:tcPr>
          <w:p>
            <w:pPr>
              <w:autoSpaceDN w:val="0"/>
              <w:autoSpaceDE w:val="0"/>
              <w:widowControl/>
              <w:spacing w:line="233" w:lineRule="auto" w:before="26"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70"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2" w:lineRule="exact" w:before="148" w:after="18"/>
        <w:ind w:left="0" w:right="0" w:firstLine="0"/>
        <w:jc w:val="left"/>
      </w:pPr>
      <w:r>
        <w:rPr>
          <w:rFonts w:ascii="黑体" w:hAnsi="黑体" w:eastAsia="黑体"/>
          <w:b w:val="0"/>
          <w:i w:val="0"/>
          <w:color w:val="000000"/>
          <w:sz w:val="15"/>
        </w:rPr>
        <w:t>珠海龙华启富一号投资基金合伙企业（有限合伙）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6"/>
        </w:trPr>
        <w:tc>
          <w:tcPr>
            <w:tcW w:type="dxa" w:w="3100"/>
            <w:tcBorders/>
            <w:tcMar>
              <w:start w:w="0" w:type="dxa"/>
              <w:end w:w="0" w:type="dxa"/>
            </w:tcMar>
          </w:tcPr>
          <w:p>
            <w:pPr>
              <w:autoSpaceDN w:val="0"/>
              <w:autoSpaceDE w:val="0"/>
              <w:widowControl/>
              <w:spacing w:line="150" w:lineRule="exact" w:before="26" w:after="0"/>
              <w:ind w:left="92" w:right="0" w:firstLine="0"/>
              <w:jc w:val="left"/>
            </w:pPr>
            <w:r>
              <w:rPr>
                <w:rFonts w:ascii="黑体" w:hAnsi="黑体" w:eastAsia="黑体"/>
                <w:b w:val="0"/>
                <w:i w:val="0"/>
                <w:color w:val="000000"/>
                <w:sz w:val="15"/>
              </w:rPr>
              <w:t>（以下简称“珠海启富一号”）</w:t>
            </w:r>
          </w:p>
        </w:tc>
        <w:tc>
          <w:tcPr>
            <w:tcW w:type="dxa" w:w="1520"/>
            <w:tcBorders/>
            <w:tcMar>
              <w:start w:w="0" w:type="dxa"/>
              <w:end w:w="0" w:type="dxa"/>
            </w:tcMar>
          </w:tcPr>
          <w:p>
            <w:pPr>
              <w:autoSpaceDN w:val="0"/>
              <w:autoSpaceDE w:val="0"/>
              <w:widowControl/>
              <w:spacing w:line="150" w:lineRule="exact" w:before="26" w:after="0"/>
              <w:ind w:left="0" w:right="156" w:firstLine="0"/>
              <w:jc w:val="right"/>
            </w:pPr>
            <w:r>
              <w:rPr>
                <w:rFonts w:ascii="黑体" w:hAnsi="黑体" w:eastAsia="黑体"/>
                <w:b w:val="0"/>
                <w:i w:val="0"/>
                <w:color w:val="000000"/>
                <w:sz w:val="15"/>
              </w:rPr>
              <w:t>珠海市</w:t>
            </w:r>
          </w:p>
        </w:tc>
        <w:tc>
          <w:tcPr>
            <w:tcW w:type="dxa" w:w="1480"/>
            <w:tcBorders/>
            <w:tcMar>
              <w:start w:w="0" w:type="dxa"/>
              <w:end w:w="0" w:type="dxa"/>
            </w:tcMar>
          </w:tcPr>
          <w:p>
            <w:pPr>
              <w:autoSpaceDN w:val="0"/>
              <w:autoSpaceDE w:val="0"/>
              <w:widowControl/>
              <w:spacing w:line="168"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4,300</w:t>
            </w:r>
            <w:r>
              <w:rPr>
                <w:rFonts w:ascii="黑体" w:hAnsi="黑体" w:eastAsia="黑体"/>
                <w:b w:val="0"/>
                <w:i w:val="0"/>
                <w:color w:val="000000"/>
                <w:sz w:val="15"/>
              </w:rPr>
              <w:t>万元</w:t>
            </w:r>
          </w:p>
        </w:tc>
        <w:tc>
          <w:tcPr>
            <w:tcW w:type="dxa" w:w="1940"/>
            <w:tcBorders/>
            <w:tcMar>
              <w:start w:w="0" w:type="dxa"/>
              <w:end w:w="0" w:type="dxa"/>
            </w:tcMar>
          </w:tcPr>
          <w:p>
            <w:pPr>
              <w:autoSpaceDN w:val="0"/>
              <w:autoSpaceDE w:val="0"/>
              <w:widowControl/>
              <w:spacing w:line="150" w:lineRule="exact" w:before="26" w:after="0"/>
              <w:ind w:left="222" w:right="0" w:firstLine="0"/>
              <w:jc w:val="left"/>
            </w:pPr>
            <w:r>
              <w:rPr>
                <w:rFonts w:ascii="黑体" w:hAnsi="黑体" w:eastAsia="黑体"/>
                <w:b w:val="0"/>
                <w:i w:val="0"/>
                <w:color w:val="000000"/>
                <w:sz w:val="15"/>
              </w:rPr>
              <w:t>投资与资产管理</w:t>
            </w:r>
          </w:p>
        </w:tc>
        <w:tc>
          <w:tcPr>
            <w:tcW w:type="dxa" w:w="1380"/>
            <w:tcBorders/>
            <w:tcMar>
              <w:start w:w="0" w:type="dxa"/>
              <w:end w:w="0" w:type="dxa"/>
            </w:tcMar>
          </w:tcPr>
          <w:p>
            <w:pPr>
              <w:autoSpaceDN w:val="0"/>
              <w:autoSpaceDE w:val="0"/>
              <w:widowControl/>
              <w:spacing w:line="233" w:lineRule="auto" w:before="28" w:after="0"/>
              <w:ind w:left="0" w:right="590" w:firstLine="0"/>
              <w:jc w:val="right"/>
            </w:pPr>
            <w:r>
              <w:rPr>
                <w:rFonts w:ascii="Arial" w:hAnsi="Arial" w:eastAsia="Arial"/>
                <w:b w:val="0"/>
                <w:i w:val="0"/>
                <w:color w:val="000000"/>
                <w:sz w:val="15"/>
              </w:rPr>
              <w:t xml:space="preserve">- </w:t>
            </w:r>
          </w:p>
        </w:tc>
        <w:tc>
          <w:tcPr>
            <w:tcW w:type="dxa" w:w="1000"/>
            <w:tcBorders/>
            <w:tcMar>
              <w:start w:w="0" w:type="dxa"/>
              <w:end w:w="0" w:type="dxa"/>
            </w:tcMar>
          </w:tcPr>
          <w:p>
            <w:pPr>
              <w:autoSpaceDN w:val="0"/>
              <w:autoSpaceDE w:val="0"/>
              <w:widowControl/>
              <w:spacing w:line="233" w:lineRule="auto" w:before="28" w:after="0"/>
              <w:ind w:left="0" w:right="35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3" w:lineRule="auto" w:before="28" w:after="0"/>
              <w:ind w:left="382" w:right="0" w:firstLine="0"/>
              <w:jc w:val="left"/>
            </w:pPr>
            <w:r>
              <w:rPr>
                <w:rFonts w:ascii="Arial" w:hAnsi="Arial" w:eastAsia="Arial"/>
                <w:b w:val="0"/>
                <w:i w:val="0"/>
                <w:color w:val="000000"/>
                <w:sz w:val="15"/>
              </w:rPr>
              <w:t>100.00%</w:t>
            </w:r>
          </w:p>
        </w:tc>
        <w:tc>
          <w:tcPr>
            <w:tcW w:type="dxa" w:w="1160"/>
            <w:tcBorders/>
            <w:tcMar>
              <w:start w:w="0" w:type="dxa"/>
              <w:end w:w="0" w:type="dxa"/>
            </w:tcMar>
          </w:tcPr>
          <w:p>
            <w:pPr>
              <w:autoSpaceDN w:val="0"/>
              <w:autoSpaceDE w:val="0"/>
              <w:widowControl/>
              <w:spacing w:line="233" w:lineRule="auto" w:before="28"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2" w:lineRule="exact" w:before="148" w:after="18"/>
        <w:ind w:left="0" w:right="0" w:firstLine="0"/>
        <w:jc w:val="left"/>
      </w:pPr>
      <w:r>
        <w:rPr>
          <w:rFonts w:ascii="黑体" w:hAnsi="黑体" w:eastAsia="黑体"/>
          <w:b w:val="0"/>
          <w:i w:val="0"/>
          <w:color w:val="000000"/>
          <w:sz w:val="15"/>
        </w:rPr>
        <w:t>舟山龙华海水股权投资基金合伙企业（有限合伙）</w:t>
      </w:r>
    </w:p>
    <w:tbl>
      <w:tblPr>
        <w:tblW w:type="auto" w:w="0"/>
        <w:tblLayout w:type="fixed"/>
        <w:tblLook w:firstColumn="1" w:firstRow="1" w:lastColumn="0" w:lastRow="0" w:noHBand="0" w:noVBand="1" w:val="04A0"/>
        <w:tblInd w:w="60.0" w:type="dxa"/>
      </w:tblPr>
      <w:tblGrid>
        <w:gridCol w:w="1557"/>
        <w:gridCol w:w="1557"/>
        <w:gridCol w:w="1557"/>
        <w:gridCol w:w="1557"/>
        <w:gridCol w:w="1557"/>
        <w:gridCol w:w="1557"/>
        <w:gridCol w:w="1557"/>
        <w:gridCol w:w="1557"/>
        <w:gridCol w:w="1557"/>
      </w:tblGrid>
      <w:tr>
        <w:trPr>
          <w:trHeight w:hRule="exact" w:val="254"/>
        </w:trPr>
        <w:tc>
          <w:tcPr>
            <w:tcW w:type="dxa" w:w="294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（以下简称“舟山海水”）</w:t>
            </w:r>
          </w:p>
        </w:tc>
        <w:tc>
          <w:tcPr>
            <w:tcW w:type="dxa" w:w="1680"/>
            <w:tcBorders/>
            <w:tcMar>
              <w:start w:w="0" w:type="dxa"/>
              <w:end w:w="0" w:type="dxa"/>
            </w:tcMar>
          </w:tcPr>
          <w:p>
            <w:pPr>
              <w:autoSpaceDN w:val="0"/>
              <w:autoSpaceDE w:val="0"/>
              <w:widowControl/>
              <w:spacing w:line="152" w:lineRule="exact" w:before="24" w:after="0"/>
              <w:ind w:left="0" w:right="156" w:firstLine="0"/>
              <w:jc w:val="right"/>
            </w:pPr>
            <w:r>
              <w:rPr>
                <w:rFonts w:ascii="黑体" w:hAnsi="黑体" w:eastAsia="黑体"/>
                <w:b w:val="0"/>
                <w:i w:val="0"/>
                <w:color w:val="000000"/>
                <w:sz w:val="15"/>
              </w:rPr>
              <w:t>舟山市</w:t>
            </w:r>
          </w:p>
        </w:tc>
        <w:tc>
          <w:tcPr>
            <w:tcW w:type="dxa" w:w="1480"/>
            <w:tcBorders/>
            <w:tcMar>
              <w:start w:w="0" w:type="dxa"/>
              <w:end w:w="0" w:type="dxa"/>
            </w:tcMar>
          </w:tcPr>
          <w:p>
            <w:pPr>
              <w:autoSpaceDN w:val="0"/>
              <w:autoSpaceDE w:val="0"/>
              <w:widowControl/>
              <w:spacing w:line="168"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1,520</w:t>
            </w:r>
            <w:r>
              <w:rPr>
                <w:rFonts w:ascii="黑体" w:hAnsi="黑体" w:eastAsia="黑体"/>
                <w:b w:val="0"/>
                <w:i w:val="0"/>
                <w:color w:val="000000"/>
                <w:sz w:val="15"/>
              </w:rPr>
              <w:t>万元</w:t>
            </w:r>
          </w:p>
        </w:tc>
        <w:tc>
          <w:tcPr>
            <w:tcW w:type="dxa" w:w="140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900"/>
            <w:tcBorders/>
            <w:tcMar>
              <w:start w:w="0" w:type="dxa"/>
              <w:end w:w="0" w:type="dxa"/>
            </w:tcMar>
          </w:tcPr>
          <w:p>
            <w:pPr>
              <w:autoSpaceDN w:val="0"/>
              <w:autoSpaceDE w:val="0"/>
              <w:widowControl/>
              <w:spacing w:line="168" w:lineRule="exact" w:before="18" w:after="0"/>
              <w:ind w:left="162" w:right="0" w:firstLine="0"/>
              <w:jc w:val="left"/>
            </w:pPr>
            <w:r>
              <w:rPr>
                <w:rFonts w:ascii="黑体" w:hAnsi="黑体" w:eastAsia="黑体"/>
                <w:b w:val="0"/>
                <w:i w:val="0"/>
                <w:color w:val="000000"/>
                <w:sz w:val="15"/>
              </w:rPr>
              <w:t>人民币</w:t>
            </w:r>
            <w:r>
              <w:rPr>
                <w:rFonts w:ascii="Arial" w:hAnsi="Arial" w:eastAsia="Arial"/>
                <w:b w:val="0"/>
                <w:i w:val="0"/>
                <w:color w:val="000000"/>
                <w:sz w:val="15"/>
              </w:rPr>
              <w:t>1,233</w:t>
            </w:r>
            <w:r>
              <w:rPr>
                <w:rFonts w:ascii="黑体" w:hAnsi="黑体" w:eastAsia="黑体"/>
                <w:b w:val="0"/>
                <w:i w:val="0"/>
                <w:color w:val="000000"/>
                <w:sz w:val="15"/>
              </w:rPr>
              <w:t>万元</w:t>
            </w:r>
          </w:p>
        </w:tc>
        <w:tc>
          <w:tcPr>
            <w:tcW w:type="dxa" w:w="1020"/>
            <w:tcBorders/>
            <w:tcMar>
              <w:start w:w="0" w:type="dxa"/>
              <w:end w:w="0" w:type="dxa"/>
            </w:tcMar>
          </w:tcPr>
          <w:p>
            <w:pPr>
              <w:autoSpaceDN w:val="0"/>
              <w:autoSpaceDE w:val="0"/>
              <w:widowControl/>
              <w:spacing w:line="233" w:lineRule="auto" w:before="26" w:after="0"/>
              <w:ind w:left="0" w:right="35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3" w:lineRule="auto" w:before="26" w:after="0"/>
              <w:ind w:left="382" w:right="0" w:firstLine="0"/>
              <w:jc w:val="left"/>
            </w:pPr>
            <w:r>
              <w:rPr>
                <w:rFonts w:ascii="Arial" w:hAnsi="Arial" w:eastAsia="Arial"/>
                <w:b w:val="0"/>
                <w:i w:val="0"/>
                <w:color w:val="000000"/>
                <w:sz w:val="15"/>
              </w:rPr>
              <w:t>100.00%</w:t>
            </w:r>
          </w:p>
        </w:tc>
        <w:tc>
          <w:tcPr>
            <w:tcW w:type="dxa" w:w="1160"/>
            <w:tcBorders/>
            <w:tcMar>
              <w:start w:w="0" w:type="dxa"/>
              <w:end w:w="0" w:type="dxa"/>
            </w:tcMar>
          </w:tcPr>
          <w:p>
            <w:pPr>
              <w:autoSpaceDN w:val="0"/>
              <w:autoSpaceDE w:val="0"/>
              <w:widowControl/>
              <w:spacing w:line="233" w:lineRule="auto" w:before="26" w:after="0"/>
              <w:ind w:left="0" w:right="458"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18" w:after="0"/>
              <w:ind w:left="0" w:right="1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233" w:lineRule="auto" w:before="1552" w:after="0"/>
        <w:ind w:left="0" w:right="0" w:firstLine="0"/>
        <w:jc w:val="center"/>
      </w:pPr>
      <w:r>
        <w:rPr>
          <w:rFonts w:ascii="Arial" w:hAnsi="Arial" w:eastAsia="Arial"/>
          <w:b w:val="0"/>
          <w:i w:val="0"/>
          <w:color w:val="000000"/>
          <w:sz w:val="20"/>
        </w:rPr>
        <w:t xml:space="preserve">247 </w:t>
      </w:r>
    </w:p>
    <w:p>
      <w:pPr>
        <w:sectPr>
          <w:pgSz w:w="16841" w:h="11899"/>
          <w:pgMar w:top="1166" w:right="139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42" w:val="left"/>
        </w:tabs>
        <w:autoSpaceDE w:val="0"/>
        <w:widowControl/>
        <w:spacing w:line="220" w:lineRule="exact" w:before="0" w:after="0"/>
        <w:ind w:left="0"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742" w:val="left"/>
        </w:tabs>
        <w:autoSpaceDE w:val="0"/>
        <w:widowControl/>
        <w:spacing w:line="246" w:lineRule="exact" w:before="306" w:after="0"/>
        <w:ind w:left="0" w:right="0" w:firstLine="0"/>
        <w:jc w:val="left"/>
      </w:pPr>
      <w:r>
        <w:rPr>
          <w:rFonts w:ascii="Arial" w:hAnsi="Arial" w:eastAsia="Arial"/>
          <w:b w:val="0"/>
          <w:i w:val="0"/>
          <w:color w:val="000000"/>
          <w:sz w:val="22"/>
        </w:rPr>
        <w:t>1.</w:t>
      </w:r>
      <w:r>
        <w:rPr>
          <w:rFonts w:ascii="黑体" w:hAnsi="黑体" w:eastAsia="黑体"/>
          <w:b w:val="0"/>
          <w:i w:val="0"/>
          <w:color w:val="000000"/>
          <w:sz w:val="22"/>
        </w:rPr>
        <w:t>在子公司中的权益（续）</w:t>
      </w:r>
    </w:p>
    <w:p>
      <w:pPr>
        <w:autoSpaceDN w:val="0"/>
        <w:autoSpaceDE w:val="0"/>
        <w:widowControl/>
        <w:spacing w:line="246" w:lineRule="exact" w:before="292" w:after="0"/>
        <w:ind w:left="0"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企业集团的构成（续）</w:t>
      </w:r>
    </w:p>
    <w:p>
      <w:pPr>
        <w:autoSpaceDN w:val="0"/>
        <w:autoSpaceDE w:val="0"/>
        <w:widowControl/>
        <w:spacing w:line="246" w:lineRule="exact" w:before="292" w:after="230"/>
        <w:ind w:left="0"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通过设立或投资等方式取得的子公司（续）</w:t>
      </w:r>
    </w:p>
    <w:tbl>
      <w:tblPr>
        <w:tblW w:type="auto" w:w="0"/>
        <w:tblLayout w:type="fixed"/>
        <w:tblLook w:firstColumn="1" w:firstRow="1" w:lastColumn="0" w:lastRow="0" w:noHBand="0" w:noVBand="1" w:val="04A0"/>
        <w:tblInd w:w="0.0" w:type="dxa"/>
      </w:tblPr>
      <w:tblGrid>
        <w:gridCol w:w="1748"/>
        <w:gridCol w:w="1748"/>
        <w:gridCol w:w="1748"/>
        <w:gridCol w:w="1748"/>
        <w:gridCol w:w="1748"/>
        <w:gridCol w:w="1748"/>
        <w:gridCol w:w="1748"/>
        <w:gridCol w:w="1748"/>
      </w:tblGrid>
      <w:tr>
        <w:trPr>
          <w:trHeight w:hRule="exact" w:val="224"/>
        </w:trPr>
        <w:tc>
          <w:tcPr>
            <w:tcW w:type="dxa" w:w="2160"/>
            <w:tcBorders>
              <w:bottom w:sz="2.400000000000091" w:val="single" w:color="#000000"/>
            </w:tcBorders>
            <w:tcMar>
              <w:start w:w="0" w:type="dxa"/>
              <w:end w:w="0" w:type="dxa"/>
            </w:tcMar>
          </w:tcPr>
          <w:p>
            <w:pPr>
              <w:autoSpaceDN w:val="0"/>
              <w:autoSpaceDE w:val="0"/>
              <w:widowControl/>
              <w:spacing w:line="168" w:lineRule="exact" w:before="54" w:after="0"/>
              <w:ind w:left="0" w:right="0" w:firstLine="0"/>
              <w:jc w:val="left"/>
            </w:pPr>
            <w:r>
              <w:rPr>
                <w:rFonts w:ascii="黑体" w:hAnsi="黑体" w:eastAsia="黑体"/>
                <w:b w:val="0"/>
                <w:i w:val="0"/>
                <w:color w:val="000000"/>
                <w:sz w:val="15"/>
              </w:rPr>
              <w:t>子公司名称</w:t>
            </w:r>
            <w:r>
              <w:rPr>
                <w:rFonts w:ascii="Arial" w:hAnsi="Arial" w:eastAsia="Arial"/>
                <w:b w:val="0"/>
                <w:i w:val="0"/>
                <w:color w:val="000000"/>
                <w:sz w:val="15"/>
              </w:rPr>
              <w:t xml:space="preserve">2 </w:t>
            </w:r>
          </w:p>
        </w:tc>
        <w:tc>
          <w:tcPr>
            <w:tcW w:type="dxa" w:w="4674"/>
            <w:tcBorders>
              <w:bottom w:sz="2.400000000000091" w:val="single" w:color="#000000"/>
            </w:tcBorders>
            <w:tcMar>
              <w:start w:w="0" w:type="dxa"/>
              <w:end w:w="0" w:type="dxa"/>
            </w:tcMar>
          </w:tcPr>
          <w:p>
            <w:pPr>
              <w:autoSpaceDN w:val="0"/>
              <w:autoSpaceDE w:val="0"/>
              <w:widowControl/>
              <w:spacing w:line="168" w:lineRule="exact" w:before="54" w:after="0"/>
              <w:ind w:left="0" w:right="866" w:firstLine="0"/>
              <w:jc w:val="right"/>
            </w:pPr>
            <w:r>
              <w:rPr>
                <w:rFonts w:ascii="黑体" w:hAnsi="黑体" w:eastAsia="黑体"/>
                <w:b w:val="0"/>
                <w:i w:val="0"/>
                <w:color w:val="000000"/>
                <w:sz w:val="15"/>
              </w:rPr>
              <w:t>注册地及营业地</w:t>
            </w:r>
            <w:r>
              <w:rPr>
                <w:rFonts w:ascii="黑体" w:hAnsi="黑体" w:eastAsia="黑体"/>
                <w:b w:val="0"/>
                <w:i w:val="0"/>
                <w:color w:val="000000"/>
                <w:sz w:val="15"/>
              </w:rPr>
              <w:t>注册资本</w:t>
            </w:r>
            <w:r>
              <w:rPr>
                <w:rFonts w:ascii="Arial" w:hAnsi="Arial" w:eastAsia="Arial"/>
                <w:b w:val="0"/>
                <w:i w:val="0"/>
                <w:color w:val="000000"/>
                <w:sz w:val="15"/>
              </w:rPr>
              <w:t>/</w:t>
            </w:r>
            <w:r>
              <w:rPr>
                <w:rFonts w:ascii="黑体" w:hAnsi="黑体" w:eastAsia="黑体"/>
                <w:b w:val="0"/>
                <w:i w:val="0"/>
                <w:color w:val="000000"/>
                <w:sz w:val="15"/>
              </w:rPr>
              <w:t>认缴出资</w:t>
            </w:r>
          </w:p>
        </w:tc>
        <w:tc>
          <w:tcPr>
            <w:tcW w:type="dxa" w:w="600"/>
            <w:tcBorders>
              <w:bottom w:sz="2.400000000000091" w:val="single" w:color="#000000"/>
            </w:tcBorders>
            <w:tcMar>
              <w:start w:w="0" w:type="dxa"/>
              <w:end w:w="0" w:type="dxa"/>
            </w:tcMar>
          </w:tcPr>
          <w:p>
            <w:pPr>
              <w:autoSpaceDN w:val="0"/>
              <w:autoSpaceDE w:val="0"/>
              <w:widowControl/>
              <w:spacing w:line="150" w:lineRule="exact" w:before="68" w:after="0"/>
              <w:ind w:left="0" w:right="0" w:firstLine="0"/>
              <w:jc w:val="center"/>
            </w:pPr>
            <w:r>
              <w:rPr>
                <w:rFonts w:ascii="黑体" w:hAnsi="黑体" w:eastAsia="黑体"/>
                <w:b w:val="0"/>
                <w:i w:val="0"/>
                <w:color w:val="000000"/>
                <w:sz w:val="15"/>
              </w:rPr>
              <w:t>业务性质</w:t>
            </w:r>
          </w:p>
        </w:tc>
        <w:tc>
          <w:tcPr>
            <w:tcW w:type="dxa" w:w="1386"/>
            <w:tcBorders>
              <w:bottom w:sz="2.400000000000091" w:val="single" w:color="#000000"/>
            </w:tcBorders>
            <w:tcMar>
              <w:start w:w="0" w:type="dxa"/>
              <w:end w:w="0" w:type="dxa"/>
            </w:tcMar>
          </w:tcPr>
          <w:p>
            <w:pPr>
              <w:autoSpaceDN w:val="0"/>
              <w:autoSpaceDE w:val="0"/>
              <w:widowControl/>
              <w:spacing w:line="150" w:lineRule="exact" w:before="68" w:after="0"/>
              <w:ind w:left="334" w:right="0" w:firstLine="0"/>
              <w:jc w:val="left"/>
            </w:pPr>
            <w:r>
              <w:rPr>
                <w:rFonts w:ascii="黑体" w:hAnsi="黑体" w:eastAsia="黑体"/>
                <w:b w:val="0"/>
                <w:i w:val="0"/>
                <w:color w:val="000000"/>
                <w:sz w:val="15"/>
              </w:rPr>
              <w:t>年末实际出资额</w:t>
            </w:r>
          </w:p>
        </w:tc>
        <w:tc>
          <w:tcPr>
            <w:tcW w:type="dxa" w:w="2304"/>
            <w:tcBorders>
              <w:bottom w:sz="2.400000000000091" w:val="single" w:color="#000000"/>
            </w:tcBorders>
            <w:tcMar>
              <w:start w:w="0" w:type="dxa"/>
              <w:end w:w="0" w:type="dxa"/>
            </w:tcMar>
          </w:tcPr>
          <w:p>
            <w:pPr>
              <w:autoSpaceDN w:val="0"/>
              <w:autoSpaceDE w:val="0"/>
              <w:widowControl/>
              <w:spacing w:line="150" w:lineRule="exact" w:before="68" w:after="0"/>
              <w:ind w:left="0" w:right="248" w:firstLine="0"/>
              <w:jc w:val="right"/>
            </w:pPr>
            <w:r>
              <w:rPr>
                <w:rFonts w:ascii="黑体" w:hAnsi="黑体" w:eastAsia="黑体"/>
                <w:b w:val="0"/>
                <w:i w:val="0"/>
                <w:color w:val="000000"/>
                <w:sz w:val="15"/>
              </w:rPr>
              <w:t>本公司持有权益比例</w:t>
            </w:r>
          </w:p>
        </w:tc>
        <w:tc>
          <w:tcPr>
            <w:tcW w:type="dxa" w:w="300"/>
            <w:tcBorders>
              <w:bottom w:sz="2.400000000000091" w:val="single" w:color="#000000"/>
            </w:tcBorders>
            <w:tcMar>
              <w:start w:w="0" w:type="dxa"/>
              <w:end w:w="0" w:type="dxa"/>
            </w:tcMar>
          </w:tcPr>
          <w:p/>
        </w:tc>
        <w:tc>
          <w:tcPr>
            <w:tcW w:type="dxa" w:w="2234"/>
            <w:tcBorders>
              <w:bottom w:sz="2.400000000000091" w:val="single" w:color="#000000"/>
            </w:tcBorders>
            <w:tcMar>
              <w:start w:w="0" w:type="dxa"/>
              <w:end w:w="0" w:type="dxa"/>
            </w:tcMar>
          </w:tcPr>
          <w:p>
            <w:pPr>
              <w:autoSpaceDN w:val="0"/>
              <w:autoSpaceDE w:val="0"/>
              <w:widowControl/>
              <w:spacing w:line="150" w:lineRule="exact" w:before="68" w:after="0"/>
              <w:ind w:left="0" w:right="280" w:firstLine="0"/>
              <w:jc w:val="right"/>
            </w:pPr>
            <w:r>
              <w:rPr>
                <w:rFonts w:ascii="黑体" w:hAnsi="黑体" w:eastAsia="黑体"/>
                <w:b w:val="0"/>
                <w:i w:val="0"/>
                <w:color w:val="000000"/>
                <w:sz w:val="15"/>
              </w:rPr>
              <w:t>本公司表决权比例</w:t>
            </w:r>
          </w:p>
        </w:tc>
        <w:tc>
          <w:tcPr>
            <w:tcW w:type="dxa" w:w="300"/>
            <w:tcBorders>
              <w:bottom w:sz="2.400000000000091" w:val="single" w:color="#000000"/>
            </w:tcBorders>
            <w:tcMar>
              <w:start w:w="0" w:type="dxa"/>
              <w:end w:w="0" w:type="dxa"/>
            </w:tcMar>
          </w:tcPr>
          <w:p/>
        </w:tc>
      </w:tr>
      <w:tr>
        <w:trPr>
          <w:trHeight w:hRule="exact" w:val="204"/>
        </w:trPr>
        <w:tc>
          <w:tcPr>
            <w:tcW w:type="dxa" w:w="2160"/>
            <w:tcBorders>
              <w:top w:sz="2.400000000000091" w:val="single" w:color="#000000"/>
              <w:bottom w:sz="3.199999999999818" w:val="single" w:color="#000000"/>
            </w:tcBorders>
            <w:tcMar>
              <w:start w:w="0" w:type="dxa"/>
              <w:end w:w="0" w:type="dxa"/>
            </w:tcMar>
          </w:tcPr>
          <w:p/>
        </w:tc>
        <w:tc>
          <w:tcPr>
            <w:tcW w:type="dxa" w:w="4674"/>
            <w:tcBorders>
              <w:top w:sz="2.400000000000091" w:val="single" w:color="#000000"/>
              <w:bottom w:sz="3.199999999999818" w:val="single" w:color="#000000"/>
            </w:tcBorders>
            <w:tcMar>
              <w:start w:w="0" w:type="dxa"/>
              <w:end w:w="0" w:type="dxa"/>
            </w:tcMar>
          </w:tcPr>
          <w:p/>
        </w:tc>
        <w:tc>
          <w:tcPr>
            <w:tcW w:type="dxa" w:w="600"/>
            <w:tcBorders>
              <w:top w:sz="2.400000000000091" w:val="single" w:color="#000000"/>
              <w:bottom w:sz="3.199999999999818" w:val="single" w:color="#000000"/>
            </w:tcBorders>
            <w:tcMar>
              <w:start w:w="0" w:type="dxa"/>
              <w:end w:w="0" w:type="dxa"/>
            </w:tcMar>
          </w:tcPr>
          <w:p/>
        </w:tc>
        <w:tc>
          <w:tcPr>
            <w:tcW w:type="dxa" w:w="1386"/>
            <w:tcBorders>
              <w:top w:sz="2.400000000000091" w:val="single" w:color="#000000"/>
              <w:bottom w:sz="3.199999999999818" w:val="single" w:color="#000000"/>
            </w:tcBorders>
            <w:tcMar>
              <w:start w:w="0" w:type="dxa"/>
              <w:end w:w="0" w:type="dxa"/>
            </w:tcMar>
          </w:tcPr>
          <w:p/>
        </w:tc>
        <w:tc>
          <w:tcPr>
            <w:tcW w:type="dxa" w:w="2304"/>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0" w:firstLine="0"/>
              <w:jc w:val="center"/>
            </w:pPr>
            <w:r>
              <w:rPr>
                <w:rFonts w:ascii="黑体" w:hAnsi="黑体" w:eastAsia="黑体"/>
                <w:b w:val="0"/>
                <w:i w:val="0"/>
                <w:color w:val="000000"/>
                <w:sz w:val="15"/>
              </w:rPr>
              <w:t>直接</w:t>
            </w:r>
          </w:p>
        </w:tc>
        <w:tc>
          <w:tcPr>
            <w:tcW w:type="dxa" w:w="300"/>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0" w:firstLine="0"/>
              <w:jc w:val="center"/>
            </w:pPr>
            <w:r>
              <w:rPr>
                <w:rFonts w:ascii="黑体" w:hAnsi="黑体" w:eastAsia="黑体"/>
                <w:b w:val="0"/>
                <w:i w:val="0"/>
                <w:color w:val="000000"/>
                <w:sz w:val="15"/>
              </w:rPr>
              <w:t>间接</w:t>
            </w:r>
          </w:p>
        </w:tc>
        <w:tc>
          <w:tcPr>
            <w:tcW w:type="dxa" w:w="2234"/>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902" w:firstLine="0"/>
              <w:jc w:val="right"/>
            </w:pPr>
            <w:r>
              <w:rPr>
                <w:rFonts w:ascii="黑体" w:hAnsi="黑体" w:eastAsia="黑体"/>
                <w:b w:val="0"/>
                <w:i w:val="0"/>
                <w:color w:val="000000"/>
                <w:sz w:val="15"/>
              </w:rPr>
              <w:t>直接</w:t>
            </w:r>
          </w:p>
        </w:tc>
        <w:tc>
          <w:tcPr>
            <w:tcW w:type="dxa" w:w="300"/>
            <w:tcBorders>
              <w:top w:sz="2.400000000000091" w:val="single" w:color="#000000"/>
              <w:bottom w:sz="3.199999999999818" w:val="single" w:color="#000000"/>
            </w:tcBorders>
            <w:tcMar>
              <w:start w:w="0" w:type="dxa"/>
              <w:end w:w="0" w:type="dxa"/>
            </w:tcMar>
          </w:tcPr>
          <w:p>
            <w:pPr>
              <w:autoSpaceDN w:val="0"/>
              <w:autoSpaceDE w:val="0"/>
              <w:widowControl/>
              <w:spacing w:line="150" w:lineRule="exact" w:before="44" w:after="0"/>
              <w:ind w:left="0" w:right="0" w:firstLine="0"/>
              <w:jc w:val="center"/>
            </w:pPr>
            <w:r>
              <w:rPr>
                <w:rFonts w:ascii="黑体" w:hAnsi="黑体" w:eastAsia="黑体"/>
                <w:b w:val="0"/>
                <w:i w:val="0"/>
                <w:color w:val="000000"/>
                <w:sz w:val="15"/>
              </w:rPr>
              <w:t>间接</w:t>
            </w:r>
          </w:p>
        </w:tc>
      </w:tr>
      <w:tr>
        <w:trPr>
          <w:trHeight w:hRule="exact" w:val="54"/>
        </w:trPr>
        <w:tc>
          <w:tcPr>
            <w:tcW w:type="dxa" w:w="2160"/>
            <w:tcBorders>
              <w:top w:sz="3.199999999999818" w:val="single" w:color="#000000"/>
            </w:tcBorders>
            <w:tcMar>
              <w:start w:w="0" w:type="dxa"/>
              <w:end w:w="0" w:type="dxa"/>
            </w:tcMar>
          </w:tcPr>
          <w:p/>
        </w:tc>
        <w:tc>
          <w:tcPr>
            <w:tcW w:type="dxa" w:w="4674"/>
            <w:tcBorders>
              <w:top w:sz="3.199999999999818" w:val="single" w:color="#000000"/>
            </w:tcBorders>
            <w:tcMar>
              <w:start w:w="0" w:type="dxa"/>
              <w:end w:w="0" w:type="dxa"/>
            </w:tcMar>
          </w:tcPr>
          <w:p/>
        </w:tc>
        <w:tc>
          <w:tcPr>
            <w:tcW w:type="dxa" w:w="600"/>
            <w:tcBorders>
              <w:top w:sz="3.199999999999818" w:val="single" w:color="#000000"/>
            </w:tcBorders>
            <w:tcMar>
              <w:start w:w="0" w:type="dxa"/>
              <w:end w:w="0" w:type="dxa"/>
            </w:tcMar>
          </w:tcPr>
          <w:p/>
        </w:tc>
        <w:tc>
          <w:tcPr>
            <w:tcW w:type="dxa" w:w="1386"/>
            <w:tcBorders>
              <w:top w:sz="3.199999999999818" w:val="single" w:color="#000000"/>
            </w:tcBorders>
            <w:tcMar>
              <w:start w:w="0" w:type="dxa"/>
              <w:end w:w="0" w:type="dxa"/>
            </w:tcMar>
          </w:tcPr>
          <w:p/>
        </w:tc>
        <w:tc>
          <w:tcPr>
            <w:tcW w:type="dxa" w:w="2304"/>
            <w:tcBorders>
              <w:top w:sz="3.199999999999818" w:val="single" w:color="#000000"/>
            </w:tcBorders>
            <w:tcMar>
              <w:start w:w="0" w:type="dxa"/>
              <w:end w:w="0" w:type="dxa"/>
            </w:tcMar>
          </w:tcPr>
          <w:p/>
        </w:tc>
        <w:tc>
          <w:tcPr>
            <w:tcW w:type="dxa" w:w="300"/>
            <w:tcBorders>
              <w:top w:sz="3.199999999999818" w:val="single" w:color="#000000"/>
            </w:tcBorders>
            <w:tcMar>
              <w:start w:w="0" w:type="dxa"/>
              <w:end w:w="0" w:type="dxa"/>
            </w:tcMar>
          </w:tcPr>
          <w:p/>
        </w:tc>
        <w:tc>
          <w:tcPr>
            <w:tcW w:type="dxa" w:w="2234"/>
            <w:tcBorders>
              <w:top w:sz="3.199999999999818" w:val="single" w:color="#000000"/>
            </w:tcBorders>
            <w:tcMar>
              <w:start w:w="0" w:type="dxa"/>
              <w:end w:w="0" w:type="dxa"/>
            </w:tcMar>
          </w:tcPr>
          <w:p/>
        </w:tc>
        <w:tc>
          <w:tcPr>
            <w:tcW w:type="dxa" w:w="300"/>
            <w:tcBorders>
              <w:top w:sz="3.199999999999818" w:val="single" w:color="#000000"/>
            </w:tcBorders>
            <w:tcMar>
              <w:start w:w="0" w:type="dxa"/>
              <w:end w:w="0" w:type="dxa"/>
            </w:tcMar>
          </w:tcPr>
          <w:p/>
        </w:tc>
      </w:tr>
    </w:tbl>
    <w:p>
      <w:pPr>
        <w:autoSpaceDN w:val="0"/>
        <w:autoSpaceDE w:val="0"/>
        <w:widowControl/>
        <w:spacing w:line="152" w:lineRule="exact" w:before="156" w:after="18"/>
        <w:ind w:left="0" w:right="0" w:firstLine="0"/>
        <w:jc w:val="left"/>
      </w:pPr>
      <w:r>
        <w:rPr>
          <w:rFonts w:ascii="黑体" w:hAnsi="黑体" w:eastAsia="黑体"/>
          <w:b w:val="0"/>
          <w:i w:val="0"/>
          <w:color w:val="000000"/>
          <w:sz w:val="15"/>
        </w:rPr>
        <w:t>珠海山证天安投资基金合伙企业（有限合伙）</w:t>
      </w:r>
    </w:p>
    <w:tbl>
      <w:tblPr>
        <w:tblW w:type="auto" w:w="0"/>
        <w:tblLayout w:type="fixed"/>
        <w:tblLook w:firstColumn="1" w:firstRow="1" w:lastColumn="0" w:lastRow="0" w:noHBand="0" w:noVBand="1" w:val="04A0"/>
        <w:tblInd w:w="60.0" w:type="dxa"/>
      </w:tblPr>
      <w:tblGrid>
        <w:gridCol w:w="1554"/>
        <w:gridCol w:w="1554"/>
        <w:gridCol w:w="1554"/>
        <w:gridCol w:w="1554"/>
        <w:gridCol w:w="1554"/>
        <w:gridCol w:w="1554"/>
        <w:gridCol w:w="1554"/>
        <w:gridCol w:w="1554"/>
        <w:gridCol w:w="1554"/>
      </w:tblGrid>
      <w:tr>
        <w:trPr>
          <w:trHeight w:hRule="exact" w:val="254"/>
        </w:trPr>
        <w:tc>
          <w:tcPr>
            <w:tcW w:type="dxa" w:w="294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（以下简称“山证天安”）</w:t>
            </w:r>
          </w:p>
        </w:tc>
        <w:tc>
          <w:tcPr>
            <w:tcW w:type="dxa" w:w="1680"/>
            <w:tcBorders/>
            <w:tcMar>
              <w:start w:w="0" w:type="dxa"/>
              <w:end w:w="0" w:type="dxa"/>
            </w:tcMar>
          </w:tcPr>
          <w:p>
            <w:pPr>
              <w:autoSpaceDN w:val="0"/>
              <w:autoSpaceDE w:val="0"/>
              <w:widowControl/>
              <w:spacing w:line="152" w:lineRule="exact" w:before="24" w:after="0"/>
              <w:ind w:left="0" w:right="156" w:firstLine="0"/>
              <w:jc w:val="right"/>
            </w:pPr>
            <w:r>
              <w:rPr>
                <w:rFonts w:ascii="黑体" w:hAnsi="黑体" w:eastAsia="黑体"/>
                <w:b w:val="0"/>
                <w:i w:val="0"/>
                <w:color w:val="000000"/>
                <w:sz w:val="15"/>
              </w:rPr>
              <w:t>珠海市</w:t>
            </w:r>
          </w:p>
        </w:tc>
        <w:tc>
          <w:tcPr>
            <w:tcW w:type="dxa" w:w="1480"/>
            <w:tcBorders/>
            <w:tcMar>
              <w:start w:w="0" w:type="dxa"/>
              <w:end w:w="0" w:type="dxa"/>
            </w:tcMar>
          </w:tcPr>
          <w:p>
            <w:pPr>
              <w:autoSpaceDN w:val="0"/>
              <w:autoSpaceDE w:val="0"/>
              <w:widowControl/>
              <w:spacing w:line="168"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1,910</w:t>
            </w:r>
            <w:r>
              <w:rPr>
                <w:rFonts w:ascii="黑体" w:hAnsi="黑体" w:eastAsia="黑体"/>
                <w:b w:val="0"/>
                <w:i w:val="0"/>
                <w:color w:val="000000"/>
                <w:sz w:val="15"/>
              </w:rPr>
              <w:t>万元</w:t>
            </w:r>
          </w:p>
        </w:tc>
        <w:tc>
          <w:tcPr>
            <w:tcW w:type="dxa" w:w="194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340"/>
            <w:tcBorders/>
            <w:tcMar>
              <w:start w:w="0" w:type="dxa"/>
              <w:end w:w="0" w:type="dxa"/>
            </w:tcMar>
          </w:tcPr>
          <w:p>
            <w:pPr>
              <w:autoSpaceDN w:val="0"/>
              <w:autoSpaceDE w:val="0"/>
              <w:widowControl/>
              <w:spacing w:line="235" w:lineRule="auto" w:before="24" w:after="0"/>
              <w:ind w:left="0" w:right="578" w:firstLine="0"/>
              <w:jc w:val="right"/>
            </w:pPr>
            <w:r>
              <w:rPr>
                <w:rFonts w:ascii="Arial" w:hAnsi="Arial" w:eastAsia="Arial"/>
                <w:b w:val="0"/>
                <w:i w:val="0"/>
                <w:color w:val="000000"/>
                <w:sz w:val="15"/>
              </w:rPr>
              <w:t xml:space="preserve">- </w:t>
            </w:r>
          </w:p>
        </w:tc>
        <w:tc>
          <w:tcPr>
            <w:tcW w:type="dxa" w:w="1020"/>
            <w:tcBorders/>
            <w:tcMar>
              <w:start w:w="0" w:type="dxa"/>
              <w:end w:w="0" w:type="dxa"/>
            </w:tcMar>
          </w:tcPr>
          <w:p>
            <w:pPr>
              <w:autoSpaceDN w:val="0"/>
              <w:autoSpaceDE w:val="0"/>
              <w:widowControl/>
              <w:spacing w:line="235" w:lineRule="auto" w:before="24"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24" w:after="0"/>
              <w:ind w:left="370" w:right="0" w:firstLine="0"/>
              <w:jc w:val="left"/>
            </w:pPr>
            <w:r>
              <w:rPr>
                <w:rFonts w:ascii="Arial" w:hAnsi="Arial" w:eastAsia="Arial"/>
                <w:b w:val="0"/>
                <w:i w:val="0"/>
                <w:color w:val="000000"/>
                <w:sz w:val="15"/>
              </w:rPr>
              <w:t>100.00%</w:t>
            </w:r>
          </w:p>
        </w:tc>
        <w:tc>
          <w:tcPr>
            <w:tcW w:type="dxa" w:w="1140"/>
            <w:tcBorders/>
            <w:tcMar>
              <w:start w:w="0" w:type="dxa"/>
              <w:end w:w="0" w:type="dxa"/>
            </w:tcMar>
          </w:tcPr>
          <w:p>
            <w:pPr>
              <w:autoSpaceDN w:val="0"/>
              <w:autoSpaceDE w:val="0"/>
              <w:widowControl/>
              <w:spacing w:line="235" w:lineRule="auto" w:before="24" w:after="0"/>
              <w:ind w:left="0" w:right="446"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18" w:after="0"/>
              <w:ind w:left="0" w:right="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152" w:lineRule="exact" w:before="138" w:after="18"/>
        <w:ind w:left="0" w:right="0" w:firstLine="0"/>
        <w:jc w:val="left"/>
      </w:pPr>
      <w:r>
        <w:rPr>
          <w:rFonts w:ascii="黑体" w:hAnsi="黑体" w:eastAsia="黑体"/>
          <w:b w:val="0"/>
          <w:i w:val="0"/>
          <w:color w:val="000000"/>
          <w:sz w:val="15"/>
        </w:rPr>
        <w:t>安徽省芯屏产业基金合伙企业（有限合伙）</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178"/>
        </w:trPr>
        <w:tc>
          <w:tcPr>
            <w:tcW w:type="dxa" w:w="2920"/>
            <w:tcBorders/>
            <w:tcMar>
              <w:start w:w="0" w:type="dxa"/>
              <w:end w:w="0" w:type="dxa"/>
            </w:tcMar>
          </w:tcPr>
          <w:p>
            <w:pPr>
              <w:autoSpaceDN w:val="0"/>
              <w:autoSpaceDE w:val="0"/>
              <w:widowControl/>
              <w:spacing w:line="152" w:lineRule="exact" w:before="24" w:after="0"/>
              <w:ind w:left="152" w:right="0" w:firstLine="0"/>
              <w:jc w:val="left"/>
            </w:pPr>
            <w:r>
              <w:rPr>
                <w:rFonts w:ascii="黑体" w:hAnsi="黑体" w:eastAsia="黑体"/>
                <w:b w:val="0"/>
                <w:i w:val="0"/>
                <w:color w:val="000000"/>
                <w:sz w:val="15"/>
              </w:rPr>
              <w:t>（以下简称“安徽芯屏”）</w:t>
            </w:r>
          </w:p>
        </w:tc>
        <w:tc>
          <w:tcPr>
            <w:tcW w:type="dxa" w:w="3240"/>
            <w:gridSpan w:val="2"/>
            <w:tcBorders/>
            <w:tcMar>
              <w:start w:w="0" w:type="dxa"/>
              <w:end w:w="0" w:type="dxa"/>
            </w:tcMar>
            <w:tcMar>
              <w:start w:w="0" w:type="dxa"/>
              <w:end w:w="0" w:type="dxa"/>
            </w:tcMar>
          </w:tcPr>
          <w:p>
            <w:pPr>
              <w:autoSpaceDN w:val="0"/>
              <w:autoSpaceDE w:val="0"/>
              <w:widowControl/>
              <w:spacing w:line="168" w:lineRule="exact" w:before="10" w:after="0"/>
              <w:ind w:left="0" w:right="192" w:firstLine="0"/>
              <w:jc w:val="right"/>
            </w:pPr>
            <w:r>
              <w:rPr>
                <w:rFonts w:ascii="黑体" w:hAnsi="黑体" w:eastAsia="黑体"/>
                <w:b w:val="0"/>
                <w:i w:val="0"/>
                <w:color w:val="000000"/>
                <w:sz w:val="15"/>
              </w:rPr>
              <w:t>马鞍山市</w:t>
            </w:r>
            <w:r>
              <w:rPr>
                <w:rFonts w:ascii="黑体" w:hAnsi="黑体" w:eastAsia="黑体"/>
                <w:b w:val="0"/>
                <w:i w:val="0"/>
                <w:color w:val="000000"/>
                <w:sz w:val="15"/>
              </w:rPr>
              <w:t>人民币</w:t>
            </w:r>
            <w:r>
              <w:rPr>
                <w:rFonts w:ascii="Arial" w:hAnsi="Arial" w:eastAsia="Arial"/>
                <w:b w:val="0"/>
                <w:i w:val="0"/>
                <w:color w:val="000000"/>
                <w:sz w:val="15"/>
              </w:rPr>
              <w:t>100,000</w:t>
            </w:r>
            <w:r>
              <w:rPr>
                <w:rFonts w:ascii="黑体" w:hAnsi="黑体" w:eastAsia="黑体"/>
                <w:b w:val="0"/>
                <w:i w:val="0"/>
                <w:color w:val="000000"/>
                <w:sz w:val="15"/>
              </w:rPr>
              <w:t>万元</w:t>
            </w:r>
          </w:p>
        </w:tc>
        <w:tc>
          <w:tcPr>
            <w:tcW w:type="dxa" w:w="136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900"/>
            <w:tcBorders/>
            <w:tcMar>
              <w:start w:w="0" w:type="dxa"/>
              <w:end w:w="0" w:type="dxa"/>
            </w:tcMar>
          </w:tcPr>
          <w:p>
            <w:pPr>
              <w:autoSpaceDN w:val="0"/>
              <w:autoSpaceDE w:val="0"/>
              <w:widowControl/>
              <w:spacing w:line="168" w:lineRule="exact" w:before="10" w:after="0"/>
              <w:ind w:left="90" w:right="0" w:firstLine="0"/>
              <w:jc w:val="left"/>
            </w:pPr>
            <w:r>
              <w:rPr>
                <w:rFonts w:ascii="黑体" w:hAnsi="黑体" w:eastAsia="黑体"/>
                <w:b w:val="0"/>
                <w:i w:val="0"/>
                <w:color w:val="000000"/>
                <w:sz w:val="15"/>
              </w:rPr>
              <w:t>人民币</w:t>
            </w:r>
            <w:r>
              <w:rPr>
                <w:rFonts w:ascii="Arial" w:hAnsi="Arial" w:eastAsia="Arial"/>
                <w:b w:val="0"/>
                <w:i w:val="0"/>
                <w:color w:val="000000"/>
                <w:sz w:val="15"/>
              </w:rPr>
              <w:t>14,970</w:t>
            </w:r>
            <w:r>
              <w:rPr>
                <w:rFonts w:ascii="黑体" w:hAnsi="黑体" w:eastAsia="黑体"/>
                <w:b w:val="0"/>
                <w:i w:val="0"/>
                <w:color w:val="000000"/>
                <w:sz w:val="15"/>
              </w:rPr>
              <w:t>万元</w:t>
            </w:r>
          </w:p>
        </w:tc>
        <w:tc>
          <w:tcPr>
            <w:tcW w:type="dxa" w:w="104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392"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8" w:after="0"/>
              <w:ind w:left="0" w:right="634" w:firstLine="0"/>
              <w:jc w:val="right"/>
            </w:pPr>
            <w:r>
              <w:rPr>
                <w:rFonts w:ascii="Arial" w:hAnsi="Arial" w:eastAsia="Arial"/>
                <w:b w:val="0"/>
                <w:i w:val="0"/>
                <w:color w:val="000000"/>
                <w:sz w:val="15"/>
              </w:rPr>
              <w:t>49.90%</w:t>
            </w:r>
          </w:p>
        </w:tc>
        <w:tc>
          <w:tcPr>
            <w:tcW w:type="dxa" w:w="1000"/>
            <w:tcBorders/>
            <w:tcMar>
              <w:start w:w="0" w:type="dxa"/>
              <w:end w:w="0" w:type="dxa"/>
            </w:tcMar>
          </w:tcPr>
          <w:p>
            <w:pPr>
              <w:autoSpaceDN w:val="0"/>
              <w:autoSpaceDE w:val="0"/>
              <w:widowControl/>
              <w:spacing w:line="235" w:lineRule="auto" w:before="8"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168" w:lineRule="exact" w:before="10" w:after="0"/>
              <w:ind w:left="0" w:right="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r>
        <w:trPr>
          <w:trHeight w:hRule="exact" w:val="360"/>
        </w:trPr>
        <w:tc>
          <w:tcPr>
            <w:tcW w:type="dxa" w:w="2920"/>
            <w:tcBorders/>
            <w:tcMar>
              <w:start w:w="0" w:type="dxa"/>
              <w:end w:w="0" w:type="dxa"/>
            </w:tcMar>
          </w:tcPr>
          <w:p>
            <w:pPr>
              <w:autoSpaceDN w:val="0"/>
              <w:autoSpaceDE w:val="0"/>
              <w:widowControl/>
              <w:spacing w:line="152" w:lineRule="exact" w:before="208" w:after="0"/>
              <w:ind w:left="0" w:right="0" w:firstLine="0"/>
              <w:jc w:val="left"/>
            </w:pPr>
            <w:r>
              <w:rPr>
                <w:rFonts w:ascii="黑体" w:hAnsi="黑体" w:eastAsia="黑体"/>
                <w:b w:val="0"/>
                <w:i w:val="0"/>
                <w:color w:val="000000"/>
                <w:sz w:val="15"/>
              </w:rPr>
              <w:t>山证国际期货有限公司</w:t>
            </w:r>
          </w:p>
        </w:tc>
        <w:tc>
          <w:tcPr>
            <w:tcW w:type="dxa" w:w="1780"/>
            <w:tcBorders/>
            <w:tcMar>
              <w:start w:w="0" w:type="dxa"/>
              <w:end w:w="0" w:type="dxa"/>
            </w:tcMar>
          </w:tcPr>
          <w:p>
            <w:pPr>
              <w:autoSpaceDN w:val="0"/>
              <w:autoSpaceDE w:val="0"/>
              <w:widowControl/>
              <w:spacing w:line="152" w:lineRule="exact" w:before="208" w:after="0"/>
              <w:ind w:left="0" w:right="176" w:firstLine="0"/>
              <w:jc w:val="right"/>
            </w:pPr>
            <w:r>
              <w:rPr>
                <w:rFonts w:ascii="黑体" w:hAnsi="黑体" w:eastAsia="黑体"/>
                <w:b w:val="0"/>
                <w:i w:val="0"/>
                <w:color w:val="000000"/>
                <w:sz w:val="15"/>
              </w:rPr>
              <w:t>香港</w:t>
            </w:r>
          </w:p>
        </w:tc>
        <w:tc>
          <w:tcPr>
            <w:tcW w:type="dxa" w:w="1460"/>
            <w:tcBorders/>
            <w:tcMar>
              <w:start w:w="0" w:type="dxa"/>
              <w:end w:w="0" w:type="dxa"/>
            </w:tcMar>
          </w:tcPr>
          <w:p>
            <w:pPr>
              <w:autoSpaceDN w:val="0"/>
              <w:autoSpaceDE w:val="0"/>
              <w:widowControl/>
              <w:spacing w:line="170" w:lineRule="exact" w:before="190" w:after="0"/>
              <w:ind w:left="290"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360"/>
            <w:tcBorders/>
            <w:tcMar>
              <w:start w:w="0" w:type="dxa"/>
              <w:end w:w="0" w:type="dxa"/>
            </w:tcMar>
          </w:tcPr>
          <w:p>
            <w:pPr>
              <w:autoSpaceDN w:val="0"/>
              <w:autoSpaceDE w:val="0"/>
              <w:widowControl/>
              <w:spacing w:line="152" w:lineRule="exact" w:before="208" w:after="0"/>
              <w:ind w:left="0" w:right="84" w:firstLine="0"/>
              <w:jc w:val="right"/>
            </w:pPr>
            <w:r>
              <w:rPr>
                <w:rFonts w:ascii="黑体" w:hAnsi="黑体" w:eastAsia="黑体"/>
                <w:b w:val="0"/>
                <w:i w:val="0"/>
                <w:color w:val="000000"/>
                <w:sz w:val="15"/>
              </w:rPr>
              <w:t>期货合约交易</w:t>
            </w:r>
          </w:p>
        </w:tc>
        <w:tc>
          <w:tcPr>
            <w:tcW w:type="dxa" w:w="1900"/>
            <w:tcBorders/>
            <w:tcMar>
              <w:start w:w="0" w:type="dxa"/>
              <w:end w:w="0" w:type="dxa"/>
            </w:tcMar>
          </w:tcPr>
          <w:p>
            <w:pPr>
              <w:autoSpaceDN w:val="0"/>
              <w:autoSpaceDE w:val="0"/>
              <w:widowControl/>
              <w:spacing w:line="170" w:lineRule="exact" w:before="190" w:after="0"/>
              <w:ind w:left="324"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554"/>
            <w:vMerge/>
            <w:tcBorders/>
          </w:tcPr>
          <w:p/>
        </w:tc>
        <w:tc>
          <w:tcPr>
            <w:tcW w:type="dxa" w:w="1600"/>
            <w:vMerge w:val="restart"/>
            <w:tcBorders/>
            <w:tcMar>
              <w:start w:w="0" w:type="dxa"/>
              <w:end w:w="0" w:type="dxa"/>
            </w:tcMar>
            <w:tcMar>
              <w:start w:w="0" w:type="dxa"/>
              <w:end w:w="0" w:type="dxa"/>
            </w:tcMar>
          </w:tcPr>
          <w:p>
            <w:pPr>
              <w:autoSpaceDN w:val="0"/>
              <w:autoSpaceDE w:val="0"/>
              <w:widowControl/>
              <w:spacing w:line="233" w:lineRule="auto" w:before="214" w:after="0"/>
              <w:ind w:left="370" w:right="0" w:firstLine="0"/>
              <w:jc w:val="left"/>
            </w:pPr>
            <w:r>
              <w:rPr>
                <w:rFonts w:ascii="Arial" w:hAnsi="Arial" w:eastAsia="Arial"/>
                <w:b w:val="0"/>
                <w:i w:val="0"/>
                <w:color w:val="000000"/>
                <w:sz w:val="15"/>
              </w:rPr>
              <w:t>100.00%</w:t>
            </w:r>
          </w:p>
        </w:tc>
        <w:tc>
          <w:tcPr>
            <w:tcW w:type="dxa" w:w="1000"/>
            <w:vMerge w:val="restart"/>
            <w:tcBorders/>
            <w:tcMar>
              <w:start w:w="0" w:type="dxa"/>
              <w:end w:w="0" w:type="dxa"/>
            </w:tcMar>
            <w:tcMar>
              <w:start w:w="0" w:type="dxa"/>
              <w:end w:w="0" w:type="dxa"/>
            </w:tcMar>
          </w:tcPr>
          <w:p>
            <w:pPr>
              <w:autoSpaceDN w:val="0"/>
              <w:autoSpaceDE w:val="0"/>
              <w:widowControl/>
              <w:spacing w:line="233" w:lineRule="auto" w:before="214" w:after="0"/>
              <w:ind w:left="0" w:right="306" w:firstLine="0"/>
              <w:jc w:val="right"/>
            </w:pPr>
            <w:r>
              <w:rPr>
                <w:rFonts w:ascii="Arial" w:hAnsi="Arial" w:eastAsia="Arial"/>
                <w:b w:val="0"/>
                <w:i w:val="0"/>
                <w:color w:val="000000"/>
                <w:sz w:val="15"/>
              </w:rPr>
              <w:t>-</w:t>
            </w:r>
          </w:p>
        </w:tc>
        <w:tc>
          <w:tcPr>
            <w:tcW w:type="dxa" w:w="900"/>
            <w:vMerge w:val="restart"/>
            <w:tcBorders/>
            <w:tcMar>
              <w:start w:w="0" w:type="dxa"/>
              <w:end w:w="0" w:type="dxa"/>
            </w:tcMar>
            <w:tcMar>
              <w:start w:w="0" w:type="dxa"/>
              <w:end w:w="0" w:type="dxa"/>
            </w:tcMar>
          </w:tcPr>
          <w:p>
            <w:pPr>
              <w:autoSpaceDN w:val="0"/>
              <w:autoSpaceDE w:val="0"/>
              <w:widowControl/>
              <w:spacing w:line="233" w:lineRule="auto" w:before="214" w:after="0"/>
              <w:ind w:left="0" w:right="0" w:firstLine="0"/>
              <w:jc w:val="right"/>
            </w:pPr>
            <w:r>
              <w:rPr>
                <w:rFonts w:ascii="Arial" w:hAnsi="Arial" w:eastAsia="Arial"/>
                <w:b w:val="0"/>
                <w:i w:val="0"/>
                <w:color w:val="000000"/>
                <w:sz w:val="15"/>
              </w:rPr>
              <w:t>100.00%</w:t>
            </w:r>
          </w:p>
        </w:tc>
      </w:tr>
      <w:tr>
        <w:trPr>
          <w:trHeight w:hRule="exact" w:val="122"/>
        </w:trPr>
        <w:tc>
          <w:tcPr>
            <w:tcW w:type="dxa" w:w="2920"/>
            <w:vMerge w:val="restart"/>
            <w:tcBorders/>
            <w:tcMar>
              <w:start w:w="0" w:type="dxa"/>
              <w:end w:w="0" w:type="dxa"/>
            </w:tcMar>
            <w:tcMar>
              <w:start w:w="0" w:type="dxa"/>
              <w:end w:w="0" w:type="dxa"/>
            </w:tcMar>
          </w:tcPr>
          <w:p>
            <w:pPr>
              <w:autoSpaceDN w:val="0"/>
              <w:autoSpaceDE w:val="0"/>
              <w:widowControl/>
              <w:spacing w:line="150" w:lineRule="exact" w:before="222" w:after="0"/>
              <w:ind w:left="0" w:right="0" w:firstLine="0"/>
              <w:jc w:val="left"/>
            </w:pPr>
            <w:r>
              <w:rPr>
                <w:rFonts w:ascii="黑体" w:hAnsi="黑体" w:eastAsia="黑体"/>
                <w:b w:val="0"/>
                <w:i w:val="0"/>
                <w:color w:val="000000"/>
                <w:sz w:val="15"/>
              </w:rPr>
              <w:t>山证国际证券有限公司</w:t>
            </w:r>
          </w:p>
        </w:tc>
        <w:tc>
          <w:tcPr>
            <w:tcW w:type="dxa" w:w="1780"/>
            <w:vMerge w:val="restart"/>
            <w:tcBorders/>
            <w:tcMar>
              <w:start w:w="0" w:type="dxa"/>
              <w:end w:w="0" w:type="dxa"/>
            </w:tcMar>
            <w:tcMar>
              <w:start w:w="0" w:type="dxa"/>
              <w:end w:w="0" w:type="dxa"/>
            </w:tcMar>
          </w:tcPr>
          <w:p>
            <w:pPr>
              <w:autoSpaceDN w:val="0"/>
              <w:autoSpaceDE w:val="0"/>
              <w:widowControl/>
              <w:spacing w:line="150" w:lineRule="exact" w:before="222" w:after="0"/>
              <w:ind w:left="0" w:right="176" w:firstLine="0"/>
              <w:jc w:val="right"/>
            </w:pPr>
            <w:r>
              <w:rPr>
                <w:rFonts w:ascii="黑体" w:hAnsi="黑体" w:eastAsia="黑体"/>
                <w:b w:val="0"/>
                <w:i w:val="0"/>
                <w:color w:val="000000"/>
                <w:sz w:val="15"/>
              </w:rPr>
              <w:t>香港</w:t>
            </w:r>
          </w:p>
        </w:tc>
        <w:tc>
          <w:tcPr>
            <w:tcW w:type="dxa" w:w="1460"/>
            <w:vMerge w:val="restart"/>
            <w:tcBorders/>
            <w:tcMar>
              <w:start w:w="0" w:type="dxa"/>
              <w:end w:w="0" w:type="dxa"/>
            </w:tcMar>
            <w:tcMar>
              <w:start w:w="0" w:type="dxa"/>
              <w:end w:w="0" w:type="dxa"/>
            </w:tcMar>
          </w:tcPr>
          <w:p>
            <w:pPr>
              <w:autoSpaceDN w:val="0"/>
              <w:autoSpaceDE w:val="0"/>
              <w:widowControl/>
              <w:spacing w:line="168" w:lineRule="exact" w:before="214" w:after="0"/>
              <w:ind w:left="0" w:right="0" w:firstLine="0"/>
              <w:jc w:val="center"/>
            </w:pPr>
            <w:r>
              <w:rPr>
                <w:rFonts w:ascii="黑体" w:hAnsi="黑体" w:eastAsia="黑体"/>
                <w:b w:val="0"/>
                <w:i w:val="0"/>
                <w:color w:val="000000"/>
                <w:sz w:val="15"/>
              </w:rPr>
              <w:t>港币</w:t>
            </w:r>
            <w:r>
              <w:rPr>
                <w:rFonts w:ascii="Arial" w:hAnsi="Arial" w:eastAsia="Arial"/>
                <w:b w:val="0"/>
                <w:i w:val="0"/>
                <w:color w:val="000000"/>
                <w:sz w:val="15"/>
              </w:rPr>
              <w:t>50,000</w:t>
            </w:r>
            <w:r>
              <w:rPr>
                <w:rFonts w:ascii="黑体" w:hAnsi="黑体" w:eastAsia="黑体"/>
                <w:b w:val="0"/>
                <w:i w:val="0"/>
                <w:color w:val="000000"/>
                <w:sz w:val="15"/>
              </w:rPr>
              <w:t>万元</w:t>
            </w:r>
          </w:p>
        </w:tc>
        <w:tc>
          <w:tcPr>
            <w:tcW w:type="dxa" w:w="1360"/>
            <w:vMerge w:val="restart"/>
            <w:tcBorders/>
            <w:tcMar>
              <w:start w:w="0" w:type="dxa"/>
              <w:end w:w="0" w:type="dxa"/>
            </w:tcMar>
            <w:tcMar>
              <w:start w:w="0" w:type="dxa"/>
              <w:end w:w="0" w:type="dxa"/>
            </w:tcMar>
          </w:tcPr>
          <w:p>
            <w:pPr>
              <w:autoSpaceDN w:val="0"/>
              <w:autoSpaceDE w:val="0"/>
              <w:widowControl/>
              <w:spacing w:line="150" w:lineRule="exact" w:before="222" w:after="0"/>
              <w:ind w:left="0" w:right="84" w:firstLine="0"/>
              <w:jc w:val="right"/>
            </w:pPr>
            <w:r>
              <w:rPr>
                <w:rFonts w:ascii="黑体" w:hAnsi="黑体" w:eastAsia="黑体"/>
                <w:b w:val="0"/>
                <w:i w:val="0"/>
                <w:color w:val="000000"/>
                <w:sz w:val="15"/>
              </w:rPr>
              <w:t>证券交易</w:t>
            </w:r>
          </w:p>
        </w:tc>
        <w:tc>
          <w:tcPr>
            <w:tcW w:type="dxa" w:w="1900"/>
            <w:vMerge w:val="restart"/>
            <w:tcBorders/>
            <w:tcMar>
              <w:start w:w="0" w:type="dxa"/>
              <w:end w:w="0" w:type="dxa"/>
            </w:tcMar>
            <w:tcMar>
              <w:start w:w="0" w:type="dxa"/>
              <w:end w:w="0" w:type="dxa"/>
            </w:tcMar>
          </w:tcPr>
          <w:p>
            <w:pPr>
              <w:autoSpaceDN w:val="0"/>
              <w:autoSpaceDE w:val="0"/>
              <w:widowControl/>
              <w:spacing w:line="168" w:lineRule="exact" w:before="214" w:after="0"/>
              <w:ind w:left="240" w:right="0" w:firstLine="0"/>
              <w:jc w:val="left"/>
            </w:pPr>
            <w:r>
              <w:rPr>
                <w:rFonts w:ascii="黑体" w:hAnsi="黑体" w:eastAsia="黑体"/>
                <w:b w:val="0"/>
                <w:i w:val="0"/>
                <w:color w:val="000000"/>
                <w:sz w:val="15"/>
              </w:rPr>
              <w:t>港币</w:t>
            </w:r>
            <w:r>
              <w:rPr>
                <w:rFonts w:ascii="Arial" w:hAnsi="Arial" w:eastAsia="Arial"/>
                <w:b w:val="0"/>
                <w:i w:val="0"/>
                <w:color w:val="000000"/>
                <w:sz w:val="15"/>
              </w:rPr>
              <w:t>50,000</w:t>
            </w:r>
            <w:r>
              <w:rPr>
                <w:rFonts w:ascii="黑体" w:hAnsi="黑体" w:eastAsia="黑体"/>
                <w:b w:val="0"/>
                <w:i w:val="0"/>
                <w:color w:val="000000"/>
                <w:sz w:val="15"/>
              </w:rPr>
              <w:t>万元</w:t>
            </w:r>
          </w:p>
        </w:tc>
        <w:tc>
          <w:tcPr>
            <w:tcW w:type="dxa" w:w="1554"/>
            <w:vMerge/>
            <w:tcBorders/>
          </w:tcPr>
          <w:p/>
        </w:tc>
        <w:tc>
          <w:tcPr>
            <w:tcW w:type="dxa" w:w="1554"/>
            <w:vMerge/>
            <w:tcBorders/>
          </w:tcPr>
          <w:p/>
        </w:tc>
        <w:tc>
          <w:tcPr>
            <w:tcW w:type="dxa" w:w="1554"/>
            <w:vMerge/>
            <w:tcBorders/>
          </w:tcPr>
          <w:p/>
        </w:tc>
        <w:tc>
          <w:tcPr>
            <w:tcW w:type="dxa" w:w="1554"/>
            <w:vMerge/>
            <w:tcBorders/>
          </w:tcPr>
          <w:p/>
        </w:tc>
      </w:tr>
      <w:tr>
        <w:trPr>
          <w:trHeight w:hRule="exact" w:val="328"/>
        </w:trPr>
        <w:tc>
          <w:tcPr>
            <w:tcW w:type="dxa" w:w="1554"/>
            <w:vMerge/>
            <w:tcBorders/>
          </w:tcPr>
          <w:p/>
        </w:tc>
        <w:tc>
          <w:tcPr>
            <w:tcW w:type="dxa" w:w="1554"/>
            <w:vMerge/>
            <w:tcBorders/>
          </w:tcPr>
          <w:p/>
        </w:tc>
        <w:tc>
          <w:tcPr>
            <w:tcW w:type="dxa" w:w="1554"/>
            <w:vMerge/>
            <w:tcBorders/>
          </w:tcPr>
          <w:p/>
        </w:tc>
        <w:tc>
          <w:tcPr>
            <w:tcW w:type="dxa" w:w="1554"/>
            <w:vMerge/>
            <w:tcBorders/>
          </w:tcPr>
          <w:p/>
        </w:tc>
        <w:tc>
          <w:tcPr>
            <w:tcW w:type="dxa" w:w="1554"/>
            <w:vMerge/>
            <w:tcBorders/>
          </w:tcPr>
          <w:p/>
        </w:tc>
        <w:tc>
          <w:tcPr>
            <w:tcW w:type="dxa" w:w="1040"/>
            <w:tcBorders/>
            <w:tcMar>
              <w:start w:w="0" w:type="dxa"/>
              <w:end w:w="0" w:type="dxa"/>
            </w:tcMar>
          </w:tcPr>
          <w:p>
            <w:pPr>
              <w:autoSpaceDN w:val="0"/>
              <w:autoSpaceDE w:val="0"/>
              <w:widowControl/>
              <w:spacing w:line="233" w:lineRule="auto" w:before="100"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3" w:lineRule="auto" w:before="100"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3" w:lineRule="auto" w:before="100"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3" w:lineRule="auto" w:before="100" w:after="0"/>
              <w:ind w:left="0" w:right="0" w:firstLine="0"/>
              <w:jc w:val="right"/>
            </w:pPr>
            <w:r>
              <w:rPr>
                <w:rFonts w:ascii="Arial" w:hAnsi="Arial" w:eastAsia="Arial"/>
                <w:b w:val="0"/>
                <w:i w:val="0"/>
                <w:color w:val="000000"/>
                <w:sz w:val="15"/>
              </w:rPr>
              <w:t>100.00%</w:t>
            </w:r>
          </w:p>
        </w:tc>
      </w:tr>
    </w:tbl>
    <w:p>
      <w:pPr>
        <w:autoSpaceDN w:val="0"/>
        <w:autoSpaceDE w:val="0"/>
        <w:widowControl/>
        <w:spacing w:line="152" w:lineRule="exact" w:before="138" w:after="18"/>
        <w:ind w:left="0" w:right="0" w:firstLine="0"/>
        <w:jc w:val="left"/>
      </w:pPr>
      <w:r>
        <w:rPr>
          <w:rFonts w:ascii="黑体" w:hAnsi="黑体" w:eastAsia="黑体"/>
          <w:b w:val="0"/>
          <w:i w:val="0"/>
          <w:color w:val="000000"/>
          <w:sz w:val="15"/>
        </w:rPr>
        <w:t>山证国际资产管理有限公司</w:t>
      </w:r>
    </w:p>
    <w:tbl>
      <w:tblPr>
        <w:tblW w:type="auto" w:w="0"/>
        <w:tblLayout w:type="fixed"/>
        <w:tblLook w:firstColumn="1" w:firstRow="1" w:lastColumn="0" w:lastRow="0" w:noHBand="0" w:noVBand="1" w:val="04A0"/>
        <w:tblInd w:w="60.0" w:type="dxa"/>
      </w:tblPr>
      <w:tblGrid>
        <w:gridCol w:w="1554"/>
        <w:gridCol w:w="1554"/>
        <w:gridCol w:w="1554"/>
        <w:gridCol w:w="1554"/>
        <w:gridCol w:w="1554"/>
        <w:gridCol w:w="1554"/>
        <w:gridCol w:w="1554"/>
        <w:gridCol w:w="1554"/>
        <w:gridCol w:w="1554"/>
      </w:tblGrid>
      <w:tr>
        <w:trPr>
          <w:trHeight w:hRule="exact" w:val="254"/>
        </w:trPr>
        <w:tc>
          <w:tcPr>
            <w:tcW w:type="dxa" w:w="316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（以下简称“山证国际资管”）</w:t>
            </w:r>
          </w:p>
        </w:tc>
        <w:tc>
          <w:tcPr>
            <w:tcW w:type="dxa" w:w="1520"/>
            <w:tcBorders/>
            <w:tcMar>
              <w:start w:w="0" w:type="dxa"/>
              <w:end w:w="0" w:type="dxa"/>
            </w:tcMar>
          </w:tcPr>
          <w:p>
            <w:pPr>
              <w:autoSpaceDN w:val="0"/>
              <w:autoSpaceDE w:val="0"/>
              <w:widowControl/>
              <w:spacing w:line="152" w:lineRule="exact" w:before="24" w:after="0"/>
              <w:ind w:left="0" w:right="216" w:firstLine="0"/>
              <w:jc w:val="right"/>
            </w:pPr>
            <w:r>
              <w:rPr>
                <w:rFonts w:ascii="黑体" w:hAnsi="黑体" w:eastAsia="黑体"/>
                <w:b w:val="0"/>
                <w:i w:val="0"/>
                <w:color w:val="000000"/>
                <w:sz w:val="15"/>
              </w:rPr>
              <w:t>香港</w:t>
            </w:r>
          </w:p>
        </w:tc>
        <w:tc>
          <w:tcPr>
            <w:tcW w:type="dxa" w:w="1660"/>
            <w:tcBorders/>
            <w:tcMar>
              <w:start w:w="0" w:type="dxa"/>
              <w:end w:w="0" w:type="dxa"/>
            </w:tcMar>
          </w:tcPr>
          <w:p>
            <w:pPr>
              <w:autoSpaceDN w:val="0"/>
              <w:autoSpaceDE w:val="0"/>
              <w:widowControl/>
              <w:spacing w:line="168" w:lineRule="exact" w:before="18" w:after="0"/>
              <w:ind w:left="250"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240"/>
            <w:tcBorders/>
            <w:tcMar>
              <w:start w:w="0" w:type="dxa"/>
              <w:end w:w="0" w:type="dxa"/>
            </w:tcMar>
          </w:tcPr>
          <w:p>
            <w:pPr>
              <w:autoSpaceDN w:val="0"/>
              <w:autoSpaceDE w:val="0"/>
              <w:widowControl/>
              <w:spacing w:line="152" w:lineRule="exact" w:before="24" w:after="0"/>
              <w:ind w:left="0" w:right="204" w:firstLine="0"/>
              <w:jc w:val="right"/>
            </w:pPr>
            <w:r>
              <w:rPr>
                <w:rFonts w:ascii="黑体" w:hAnsi="黑体" w:eastAsia="黑体"/>
                <w:b w:val="0"/>
                <w:i w:val="0"/>
                <w:color w:val="000000"/>
                <w:sz w:val="15"/>
              </w:rPr>
              <w:t>资产管理</w:t>
            </w:r>
          </w:p>
        </w:tc>
        <w:tc>
          <w:tcPr>
            <w:tcW w:type="dxa" w:w="1780"/>
            <w:tcBorders/>
            <w:tcMar>
              <w:start w:w="0" w:type="dxa"/>
              <w:end w:w="0" w:type="dxa"/>
            </w:tcMar>
          </w:tcPr>
          <w:p>
            <w:pPr>
              <w:autoSpaceDN w:val="0"/>
              <w:autoSpaceDE w:val="0"/>
              <w:widowControl/>
              <w:spacing w:line="168" w:lineRule="exact" w:before="18" w:after="0"/>
              <w:ind w:left="204"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040"/>
            <w:tcBorders/>
            <w:tcMar>
              <w:start w:w="0" w:type="dxa"/>
              <w:end w:w="0" w:type="dxa"/>
            </w:tcMar>
          </w:tcPr>
          <w:p>
            <w:pPr>
              <w:autoSpaceDN w:val="0"/>
              <w:autoSpaceDE w:val="0"/>
              <w:widowControl/>
              <w:spacing w:line="235" w:lineRule="auto" w:before="24"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24"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5" w:lineRule="auto" w:before="24"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5" w:lineRule="auto" w:before="24" w:after="0"/>
              <w:ind w:left="0" w:right="0" w:firstLine="0"/>
              <w:jc w:val="right"/>
            </w:pPr>
            <w:r>
              <w:rPr>
                <w:rFonts w:ascii="Arial" w:hAnsi="Arial" w:eastAsia="Arial"/>
                <w:b w:val="0"/>
                <w:i w:val="0"/>
                <w:color w:val="000000"/>
                <w:sz w:val="15"/>
              </w:rPr>
              <w:t>100.00%</w:t>
            </w:r>
          </w:p>
        </w:tc>
      </w:tr>
    </w:tbl>
    <w:p>
      <w:pPr>
        <w:autoSpaceDN w:val="0"/>
        <w:autoSpaceDE w:val="0"/>
        <w:widowControl/>
        <w:spacing w:line="152" w:lineRule="exact" w:before="138" w:after="18"/>
        <w:ind w:left="0" w:right="0" w:firstLine="0"/>
        <w:jc w:val="left"/>
      </w:pPr>
      <w:r>
        <w:rPr>
          <w:rFonts w:ascii="黑体" w:hAnsi="黑体" w:eastAsia="黑体"/>
          <w:b w:val="0"/>
          <w:i w:val="0"/>
          <w:color w:val="000000"/>
          <w:sz w:val="15"/>
        </w:rPr>
        <w:t>山证国际融资有限公司</w:t>
      </w:r>
    </w:p>
    <w:tbl>
      <w:tblPr>
        <w:tblW w:type="auto" w:w="0"/>
        <w:tblLayout w:type="fixed"/>
        <w:tblLook w:firstColumn="1" w:firstRow="1" w:lastColumn="0" w:lastRow="0" w:noHBand="0" w:noVBand="1" w:val="04A0"/>
        <w:tblInd w:w="60.0" w:type="dxa"/>
      </w:tblPr>
      <w:tblGrid>
        <w:gridCol w:w="1554"/>
        <w:gridCol w:w="1554"/>
        <w:gridCol w:w="1554"/>
        <w:gridCol w:w="1554"/>
        <w:gridCol w:w="1554"/>
        <w:gridCol w:w="1554"/>
        <w:gridCol w:w="1554"/>
        <w:gridCol w:w="1554"/>
        <w:gridCol w:w="1554"/>
      </w:tblGrid>
      <w:tr>
        <w:trPr>
          <w:trHeight w:hRule="exact" w:val="254"/>
        </w:trPr>
        <w:tc>
          <w:tcPr>
            <w:tcW w:type="dxa" w:w="316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（以下简称“山证国际融资”）</w:t>
            </w:r>
          </w:p>
        </w:tc>
        <w:tc>
          <w:tcPr>
            <w:tcW w:type="dxa" w:w="1520"/>
            <w:tcBorders/>
            <w:tcMar>
              <w:start w:w="0" w:type="dxa"/>
              <w:end w:w="0" w:type="dxa"/>
            </w:tcMar>
          </w:tcPr>
          <w:p>
            <w:pPr>
              <w:autoSpaceDN w:val="0"/>
              <w:autoSpaceDE w:val="0"/>
              <w:widowControl/>
              <w:spacing w:line="152" w:lineRule="exact" w:before="24" w:after="0"/>
              <w:ind w:left="0" w:right="216" w:firstLine="0"/>
              <w:jc w:val="right"/>
            </w:pPr>
            <w:r>
              <w:rPr>
                <w:rFonts w:ascii="黑体" w:hAnsi="黑体" w:eastAsia="黑体"/>
                <w:b w:val="0"/>
                <w:i w:val="0"/>
                <w:color w:val="000000"/>
                <w:sz w:val="15"/>
              </w:rPr>
              <w:t>香港</w:t>
            </w:r>
          </w:p>
        </w:tc>
        <w:tc>
          <w:tcPr>
            <w:tcW w:type="dxa" w:w="1660"/>
            <w:tcBorders/>
            <w:tcMar>
              <w:start w:w="0" w:type="dxa"/>
              <w:end w:w="0" w:type="dxa"/>
            </w:tcMar>
          </w:tcPr>
          <w:p>
            <w:pPr>
              <w:autoSpaceDN w:val="0"/>
              <w:autoSpaceDE w:val="0"/>
              <w:widowControl/>
              <w:spacing w:line="168" w:lineRule="exact" w:before="18" w:after="0"/>
              <w:ind w:left="250"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240"/>
            <w:tcBorders/>
            <w:tcMar>
              <w:start w:w="0" w:type="dxa"/>
              <w:end w:w="0" w:type="dxa"/>
            </w:tcMar>
          </w:tcPr>
          <w:p>
            <w:pPr>
              <w:autoSpaceDN w:val="0"/>
              <w:autoSpaceDE w:val="0"/>
              <w:widowControl/>
              <w:spacing w:line="152" w:lineRule="exact" w:before="24" w:after="0"/>
              <w:ind w:left="0" w:right="204" w:firstLine="0"/>
              <w:jc w:val="right"/>
            </w:pPr>
            <w:r>
              <w:rPr>
                <w:rFonts w:ascii="黑体" w:hAnsi="黑体" w:eastAsia="黑体"/>
                <w:b w:val="0"/>
                <w:i w:val="0"/>
                <w:color w:val="000000"/>
                <w:sz w:val="15"/>
              </w:rPr>
              <w:t>资本业务</w:t>
            </w:r>
          </w:p>
        </w:tc>
        <w:tc>
          <w:tcPr>
            <w:tcW w:type="dxa" w:w="1780"/>
            <w:tcBorders/>
            <w:tcMar>
              <w:start w:w="0" w:type="dxa"/>
              <w:end w:w="0" w:type="dxa"/>
            </w:tcMar>
          </w:tcPr>
          <w:p>
            <w:pPr>
              <w:autoSpaceDN w:val="0"/>
              <w:autoSpaceDE w:val="0"/>
              <w:widowControl/>
              <w:spacing w:line="168" w:lineRule="exact" w:before="18" w:after="0"/>
              <w:ind w:left="204" w:right="0" w:firstLine="0"/>
              <w:jc w:val="left"/>
            </w:pPr>
            <w:r>
              <w:rPr>
                <w:rFonts w:ascii="黑体" w:hAnsi="黑体" w:eastAsia="黑体"/>
                <w:b w:val="0"/>
                <w:i w:val="0"/>
                <w:color w:val="000000"/>
                <w:sz w:val="15"/>
              </w:rPr>
              <w:t>港币</w:t>
            </w:r>
            <w:r>
              <w:rPr>
                <w:rFonts w:ascii="Arial" w:hAnsi="Arial" w:eastAsia="Arial"/>
                <w:b w:val="0"/>
                <w:i w:val="0"/>
                <w:color w:val="000000"/>
                <w:sz w:val="15"/>
              </w:rPr>
              <w:t>8,000</w:t>
            </w:r>
            <w:r>
              <w:rPr>
                <w:rFonts w:ascii="黑体" w:hAnsi="黑体" w:eastAsia="黑体"/>
                <w:b w:val="0"/>
                <w:i w:val="0"/>
                <w:color w:val="000000"/>
                <w:sz w:val="15"/>
              </w:rPr>
              <w:t>万元</w:t>
            </w:r>
          </w:p>
        </w:tc>
        <w:tc>
          <w:tcPr>
            <w:tcW w:type="dxa" w:w="1040"/>
            <w:tcBorders/>
            <w:tcMar>
              <w:start w:w="0" w:type="dxa"/>
              <w:end w:w="0" w:type="dxa"/>
            </w:tcMar>
          </w:tcPr>
          <w:p>
            <w:pPr>
              <w:autoSpaceDN w:val="0"/>
              <w:autoSpaceDE w:val="0"/>
              <w:widowControl/>
              <w:spacing w:line="235" w:lineRule="auto" w:before="24"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24"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5" w:lineRule="auto" w:before="24"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5" w:lineRule="auto" w:before="24" w:after="0"/>
              <w:ind w:left="0" w:right="0" w:firstLine="0"/>
              <w:jc w:val="right"/>
            </w:pPr>
            <w:r>
              <w:rPr>
                <w:rFonts w:ascii="Arial" w:hAnsi="Arial" w:eastAsia="Arial"/>
                <w:b w:val="0"/>
                <w:i w:val="0"/>
                <w:color w:val="000000"/>
                <w:sz w:val="15"/>
              </w:rPr>
              <w:t>100.00%</w:t>
            </w:r>
          </w:p>
        </w:tc>
      </w:tr>
    </w:tbl>
    <w:p>
      <w:pPr>
        <w:autoSpaceDN w:val="0"/>
        <w:autoSpaceDE w:val="0"/>
        <w:widowControl/>
        <w:spacing w:line="150" w:lineRule="exact" w:before="138" w:after="20"/>
        <w:ind w:left="0" w:right="0" w:firstLine="0"/>
        <w:jc w:val="left"/>
      </w:pPr>
      <w:r>
        <w:rPr>
          <w:rFonts w:ascii="黑体" w:hAnsi="黑体" w:eastAsia="黑体"/>
          <w:b w:val="0"/>
          <w:i w:val="0"/>
          <w:color w:val="000000"/>
          <w:sz w:val="15"/>
        </w:rPr>
        <w:t>山证国际投资有限公司</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178"/>
        </w:trPr>
        <w:tc>
          <w:tcPr>
            <w:tcW w:type="dxa" w:w="3220"/>
            <w:tcBorders/>
            <w:tcMar>
              <w:start w:w="0" w:type="dxa"/>
              <w:end w:w="0" w:type="dxa"/>
            </w:tcMar>
          </w:tcPr>
          <w:p>
            <w:pPr>
              <w:autoSpaceDN w:val="0"/>
              <w:autoSpaceDE w:val="0"/>
              <w:widowControl/>
              <w:spacing w:line="152" w:lineRule="exact" w:before="24" w:after="0"/>
              <w:ind w:left="152" w:right="0" w:firstLine="0"/>
              <w:jc w:val="left"/>
            </w:pPr>
            <w:r>
              <w:rPr>
                <w:rFonts w:ascii="黑体" w:hAnsi="黑体" w:eastAsia="黑体"/>
                <w:b w:val="0"/>
                <w:i w:val="0"/>
                <w:color w:val="000000"/>
                <w:sz w:val="15"/>
              </w:rPr>
              <w:t>（以下简称“山证国际投资”）</w:t>
            </w:r>
          </w:p>
        </w:tc>
        <w:tc>
          <w:tcPr>
            <w:tcW w:type="dxa" w:w="1480"/>
            <w:tcBorders/>
            <w:tcMar>
              <w:start w:w="0" w:type="dxa"/>
              <w:end w:w="0" w:type="dxa"/>
            </w:tcMar>
          </w:tcPr>
          <w:p>
            <w:pPr>
              <w:autoSpaceDN w:val="0"/>
              <w:autoSpaceDE w:val="0"/>
              <w:widowControl/>
              <w:spacing w:line="152" w:lineRule="exact" w:before="24" w:after="0"/>
              <w:ind w:left="0" w:right="176" w:firstLine="0"/>
              <w:jc w:val="right"/>
            </w:pPr>
            <w:r>
              <w:rPr>
                <w:rFonts w:ascii="黑体" w:hAnsi="黑体" w:eastAsia="黑体"/>
                <w:b w:val="0"/>
                <w:i w:val="0"/>
                <w:color w:val="000000"/>
                <w:sz w:val="15"/>
              </w:rPr>
              <w:t>香港</w:t>
            </w:r>
          </w:p>
        </w:tc>
        <w:tc>
          <w:tcPr>
            <w:tcW w:type="dxa" w:w="1700"/>
            <w:tcBorders/>
            <w:tcMar>
              <w:start w:w="0" w:type="dxa"/>
              <w:end w:w="0" w:type="dxa"/>
            </w:tcMar>
          </w:tcPr>
          <w:p>
            <w:pPr>
              <w:autoSpaceDN w:val="0"/>
              <w:autoSpaceDE w:val="0"/>
              <w:widowControl/>
              <w:spacing w:line="168" w:lineRule="exact" w:before="10" w:after="0"/>
              <w:ind w:left="290" w:right="0" w:firstLine="0"/>
              <w:jc w:val="left"/>
            </w:pPr>
            <w:r>
              <w:rPr>
                <w:rFonts w:ascii="黑体" w:hAnsi="黑体" w:eastAsia="黑体"/>
                <w:b w:val="0"/>
                <w:i w:val="0"/>
                <w:color w:val="000000"/>
                <w:sz w:val="15"/>
              </w:rPr>
              <w:t>港币</w:t>
            </w:r>
            <w:r>
              <w:rPr>
                <w:rFonts w:ascii="Arial" w:hAnsi="Arial" w:eastAsia="Arial"/>
                <w:b w:val="0"/>
                <w:i w:val="0"/>
                <w:color w:val="000000"/>
                <w:sz w:val="15"/>
              </w:rPr>
              <w:t>1,000</w:t>
            </w:r>
            <w:r>
              <w:rPr>
                <w:rFonts w:ascii="黑体" w:hAnsi="黑体" w:eastAsia="黑体"/>
                <w:b w:val="0"/>
                <w:i w:val="0"/>
                <w:color w:val="000000"/>
                <w:sz w:val="15"/>
              </w:rPr>
              <w:t>万元</w:t>
            </w:r>
          </w:p>
        </w:tc>
        <w:tc>
          <w:tcPr>
            <w:tcW w:type="dxa" w:w="1180"/>
            <w:tcBorders/>
            <w:tcMar>
              <w:start w:w="0" w:type="dxa"/>
              <w:end w:w="0" w:type="dxa"/>
            </w:tcMar>
          </w:tcPr>
          <w:p>
            <w:pPr>
              <w:autoSpaceDN w:val="0"/>
              <w:autoSpaceDE w:val="0"/>
              <w:widowControl/>
              <w:spacing w:line="152" w:lineRule="exact" w:before="24" w:after="0"/>
              <w:ind w:left="0" w:right="144" w:firstLine="0"/>
              <w:jc w:val="right"/>
            </w:pPr>
            <w:r>
              <w:rPr>
                <w:rFonts w:ascii="黑体" w:hAnsi="黑体" w:eastAsia="黑体"/>
                <w:b w:val="0"/>
                <w:i w:val="0"/>
                <w:color w:val="000000"/>
                <w:sz w:val="15"/>
              </w:rPr>
              <w:t>投资业务</w:t>
            </w:r>
          </w:p>
        </w:tc>
        <w:tc>
          <w:tcPr>
            <w:tcW w:type="dxa" w:w="1840"/>
            <w:tcBorders/>
            <w:tcMar>
              <w:start w:w="0" w:type="dxa"/>
              <w:end w:w="0" w:type="dxa"/>
            </w:tcMar>
          </w:tcPr>
          <w:p>
            <w:pPr>
              <w:autoSpaceDN w:val="0"/>
              <w:autoSpaceDE w:val="0"/>
              <w:widowControl/>
              <w:spacing w:line="168" w:lineRule="exact" w:before="10" w:after="0"/>
              <w:ind w:left="264" w:right="0" w:firstLine="0"/>
              <w:jc w:val="left"/>
            </w:pPr>
            <w:r>
              <w:rPr>
                <w:rFonts w:ascii="黑体" w:hAnsi="黑体" w:eastAsia="黑体"/>
                <w:b w:val="0"/>
                <w:i w:val="0"/>
                <w:color w:val="000000"/>
                <w:sz w:val="15"/>
              </w:rPr>
              <w:t>港币</w:t>
            </w:r>
            <w:r>
              <w:rPr>
                <w:rFonts w:ascii="Arial" w:hAnsi="Arial" w:eastAsia="Arial"/>
                <w:b w:val="0"/>
                <w:i w:val="0"/>
                <w:color w:val="000000"/>
                <w:sz w:val="15"/>
              </w:rPr>
              <w:t>1,000</w:t>
            </w:r>
            <w:r>
              <w:rPr>
                <w:rFonts w:ascii="黑体" w:hAnsi="黑体" w:eastAsia="黑体"/>
                <w:b w:val="0"/>
                <w:i w:val="0"/>
                <w:color w:val="000000"/>
                <w:sz w:val="15"/>
              </w:rPr>
              <w:t>万元</w:t>
            </w:r>
          </w:p>
        </w:tc>
        <w:tc>
          <w:tcPr>
            <w:tcW w:type="dxa" w:w="1040"/>
            <w:tcBorders/>
            <w:tcMar>
              <w:start w:w="0" w:type="dxa"/>
              <w:end w:w="0" w:type="dxa"/>
            </w:tcMar>
          </w:tcPr>
          <w:p>
            <w:pPr>
              <w:autoSpaceDN w:val="0"/>
              <w:autoSpaceDE w:val="0"/>
              <w:widowControl/>
              <w:spacing w:line="235" w:lineRule="auto" w:before="8"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5" w:lineRule="auto" w:before="8"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5" w:lineRule="auto" w:before="8"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5" w:lineRule="auto" w:before="8" w:after="0"/>
              <w:ind w:left="0" w:right="0" w:firstLine="0"/>
              <w:jc w:val="right"/>
            </w:pPr>
            <w:r>
              <w:rPr>
                <w:rFonts w:ascii="Arial" w:hAnsi="Arial" w:eastAsia="Arial"/>
                <w:b w:val="0"/>
                <w:i w:val="0"/>
                <w:color w:val="000000"/>
                <w:sz w:val="15"/>
              </w:rPr>
              <w:t>100.00%</w:t>
            </w:r>
          </w:p>
        </w:tc>
      </w:tr>
      <w:tr>
        <w:trPr>
          <w:trHeight w:hRule="exact" w:val="442"/>
        </w:trPr>
        <w:tc>
          <w:tcPr>
            <w:tcW w:type="dxa" w:w="3220"/>
            <w:tcBorders/>
            <w:tcMar>
              <w:start w:w="0" w:type="dxa"/>
              <w:end w:w="0" w:type="dxa"/>
            </w:tcMar>
          </w:tcPr>
          <w:p>
            <w:pPr>
              <w:autoSpaceDN w:val="0"/>
              <w:autoSpaceDE w:val="0"/>
              <w:widowControl/>
              <w:spacing w:line="150" w:lineRule="exact" w:before="214" w:after="0"/>
              <w:ind w:left="0" w:right="0" w:firstLine="0"/>
              <w:jc w:val="left"/>
            </w:pPr>
            <w:r>
              <w:rPr>
                <w:rFonts w:ascii="黑体" w:hAnsi="黑体" w:eastAsia="黑体"/>
                <w:b w:val="0"/>
                <w:i w:val="0"/>
                <w:color w:val="000000"/>
                <w:sz w:val="15"/>
              </w:rPr>
              <w:t>山证国际投资管理有限公司</w:t>
            </w:r>
          </w:p>
        </w:tc>
        <w:tc>
          <w:tcPr>
            <w:tcW w:type="dxa" w:w="1480"/>
            <w:tcBorders/>
            <w:tcMar>
              <w:start w:w="0" w:type="dxa"/>
              <w:end w:w="0" w:type="dxa"/>
            </w:tcMar>
          </w:tcPr>
          <w:p>
            <w:pPr>
              <w:autoSpaceDN w:val="0"/>
              <w:autoSpaceDE w:val="0"/>
              <w:widowControl/>
              <w:spacing w:line="150" w:lineRule="exact" w:before="214" w:after="0"/>
              <w:ind w:left="0" w:right="176" w:firstLine="0"/>
              <w:jc w:val="right"/>
            </w:pPr>
            <w:r>
              <w:rPr>
                <w:rFonts w:ascii="黑体" w:hAnsi="黑体" w:eastAsia="黑体"/>
                <w:b w:val="0"/>
                <w:i w:val="0"/>
                <w:color w:val="000000"/>
                <w:sz w:val="15"/>
              </w:rPr>
              <w:t>香港</w:t>
            </w:r>
          </w:p>
        </w:tc>
        <w:tc>
          <w:tcPr>
            <w:tcW w:type="dxa" w:w="1700"/>
            <w:tcBorders/>
            <w:tcMar>
              <w:start w:w="0" w:type="dxa"/>
              <w:end w:w="0" w:type="dxa"/>
            </w:tcMar>
          </w:tcPr>
          <w:p>
            <w:pPr>
              <w:autoSpaceDN w:val="0"/>
              <w:autoSpaceDE w:val="0"/>
              <w:widowControl/>
              <w:spacing w:line="170" w:lineRule="exact" w:before="206" w:after="0"/>
              <w:ind w:left="206" w:right="0" w:firstLine="0"/>
              <w:jc w:val="left"/>
            </w:pPr>
            <w:r>
              <w:rPr>
                <w:rFonts w:ascii="黑体" w:hAnsi="黑体" w:eastAsia="黑体"/>
                <w:b w:val="0"/>
                <w:i w:val="0"/>
                <w:color w:val="000000"/>
                <w:sz w:val="15"/>
              </w:rPr>
              <w:t>港币</w:t>
            </w:r>
            <w:r>
              <w:rPr>
                <w:rFonts w:ascii="Arial" w:hAnsi="Arial" w:eastAsia="Arial"/>
                <w:b w:val="0"/>
                <w:i w:val="0"/>
                <w:color w:val="000000"/>
                <w:sz w:val="15"/>
              </w:rPr>
              <w:t>20,000</w:t>
            </w:r>
            <w:r>
              <w:rPr>
                <w:rFonts w:ascii="黑体" w:hAnsi="黑体" w:eastAsia="黑体"/>
                <w:b w:val="0"/>
                <w:i w:val="0"/>
                <w:color w:val="000000"/>
                <w:sz w:val="15"/>
              </w:rPr>
              <w:t>万元</w:t>
            </w:r>
          </w:p>
        </w:tc>
        <w:tc>
          <w:tcPr>
            <w:tcW w:type="dxa" w:w="1180"/>
            <w:tcBorders/>
            <w:tcMar>
              <w:start w:w="0" w:type="dxa"/>
              <w:end w:w="0" w:type="dxa"/>
            </w:tcMar>
          </w:tcPr>
          <w:p>
            <w:pPr>
              <w:autoSpaceDN w:val="0"/>
              <w:autoSpaceDE w:val="0"/>
              <w:widowControl/>
              <w:spacing w:line="150" w:lineRule="exact" w:before="214" w:after="0"/>
              <w:ind w:left="0" w:right="144" w:firstLine="0"/>
              <w:jc w:val="right"/>
            </w:pPr>
            <w:r>
              <w:rPr>
                <w:rFonts w:ascii="黑体" w:hAnsi="黑体" w:eastAsia="黑体"/>
                <w:b w:val="0"/>
                <w:i w:val="0"/>
                <w:color w:val="000000"/>
                <w:sz w:val="15"/>
              </w:rPr>
              <w:t>投资业务</w:t>
            </w:r>
          </w:p>
        </w:tc>
        <w:tc>
          <w:tcPr>
            <w:tcW w:type="dxa" w:w="1840"/>
            <w:tcBorders/>
            <w:tcMar>
              <w:start w:w="0" w:type="dxa"/>
              <w:end w:w="0" w:type="dxa"/>
            </w:tcMar>
          </w:tcPr>
          <w:p>
            <w:pPr>
              <w:autoSpaceDN w:val="0"/>
              <w:autoSpaceDE w:val="0"/>
              <w:widowControl/>
              <w:spacing w:line="170" w:lineRule="exact" w:before="206" w:after="0"/>
              <w:ind w:left="180" w:right="0" w:firstLine="0"/>
              <w:jc w:val="left"/>
            </w:pPr>
            <w:r>
              <w:rPr>
                <w:rFonts w:ascii="黑体" w:hAnsi="黑体" w:eastAsia="黑体"/>
                <w:b w:val="0"/>
                <w:i w:val="0"/>
                <w:color w:val="000000"/>
                <w:sz w:val="15"/>
              </w:rPr>
              <w:t>港币</w:t>
            </w:r>
            <w:r>
              <w:rPr>
                <w:rFonts w:ascii="Arial" w:hAnsi="Arial" w:eastAsia="Arial"/>
                <w:b w:val="0"/>
                <w:i w:val="0"/>
                <w:color w:val="000000"/>
                <w:sz w:val="15"/>
              </w:rPr>
              <w:t>20,000</w:t>
            </w:r>
            <w:r>
              <w:rPr>
                <w:rFonts w:ascii="黑体" w:hAnsi="黑体" w:eastAsia="黑体"/>
                <w:b w:val="0"/>
                <w:i w:val="0"/>
                <w:color w:val="000000"/>
                <w:sz w:val="15"/>
              </w:rPr>
              <w:t>万元</w:t>
            </w:r>
          </w:p>
        </w:tc>
        <w:tc>
          <w:tcPr>
            <w:tcW w:type="dxa" w:w="1040"/>
            <w:tcBorders/>
            <w:tcMar>
              <w:start w:w="0" w:type="dxa"/>
              <w:end w:w="0" w:type="dxa"/>
            </w:tcMar>
          </w:tcPr>
          <w:p>
            <w:pPr>
              <w:autoSpaceDN w:val="0"/>
              <w:autoSpaceDE w:val="0"/>
              <w:widowControl/>
              <w:spacing w:line="233" w:lineRule="auto" w:before="214"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3" w:lineRule="auto" w:before="214"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3" w:lineRule="auto" w:before="214"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3" w:lineRule="auto" w:before="214" w:after="0"/>
              <w:ind w:left="0" w:right="0" w:firstLine="0"/>
              <w:jc w:val="right"/>
            </w:pPr>
            <w:r>
              <w:rPr>
                <w:rFonts w:ascii="Arial" w:hAnsi="Arial" w:eastAsia="Arial"/>
                <w:b w:val="0"/>
                <w:i w:val="0"/>
                <w:color w:val="000000"/>
                <w:sz w:val="15"/>
              </w:rPr>
              <w:t>100.00%</w:t>
            </w:r>
          </w:p>
        </w:tc>
      </w:tr>
    </w:tbl>
    <w:p>
      <w:pPr>
        <w:autoSpaceDN w:val="0"/>
        <w:autoSpaceDE w:val="0"/>
        <w:widowControl/>
        <w:spacing w:line="152" w:lineRule="exact" w:before="148" w:after="18"/>
        <w:ind w:left="0" w:right="0" w:firstLine="0"/>
        <w:jc w:val="left"/>
      </w:pPr>
      <w:r>
        <w:rPr>
          <w:rFonts w:ascii="黑体" w:hAnsi="黑体" w:eastAsia="黑体"/>
          <w:b w:val="0"/>
          <w:i w:val="0"/>
          <w:color w:val="000000"/>
          <w:sz w:val="15"/>
        </w:rPr>
        <w:t>汇通商品有限公司</w:t>
      </w:r>
    </w:p>
    <w:tbl>
      <w:tblPr>
        <w:tblW w:type="auto" w:w="0"/>
        <w:tblLayout w:type="fixed"/>
        <w:tblLook w:firstColumn="1" w:firstRow="1" w:lastColumn="0" w:lastRow="0" w:noHBand="0" w:noVBand="1" w:val="04A0"/>
        <w:tblInd w:w="60.0" w:type="dxa"/>
      </w:tblPr>
      <w:tblGrid>
        <w:gridCol w:w="1554"/>
        <w:gridCol w:w="1554"/>
        <w:gridCol w:w="1554"/>
        <w:gridCol w:w="1554"/>
        <w:gridCol w:w="1554"/>
        <w:gridCol w:w="1554"/>
        <w:gridCol w:w="1554"/>
        <w:gridCol w:w="1554"/>
        <w:gridCol w:w="1554"/>
      </w:tblGrid>
      <w:tr>
        <w:trPr>
          <w:trHeight w:hRule="exact" w:val="256"/>
        </w:trPr>
        <w:tc>
          <w:tcPr>
            <w:tcW w:type="dxa" w:w="302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（以下简称“汇通商品”）</w:t>
            </w:r>
          </w:p>
        </w:tc>
        <w:tc>
          <w:tcPr>
            <w:tcW w:type="dxa" w:w="1620"/>
            <w:tcBorders/>
            <w:tcMar>
              <w:start w:w="0" w:type="dxa"/>
              <w:end w:w="0" w:type="dxa"/>
            </w:tcMar>
          </w:tcPr>
          <w:p>
            <w:pPr>
              <w:autoSpaceDN w:val="0"/>
              <w:autoSpaceDE w:val="0"/>
              <w:widowControl/>
              <w:spacing w:line="152" w:lineRule="exact" w:before="24" w:after="0"/>
              <w:ind w:left="0" w:right="176" w:firstLine="0"/>
              <w:jc w:val="right"/>
            </w:pPr>
            <w:r>
              <w:rPr>
                <w:rFonts w:ascii="黑体" w:hAnsi="黑体" w:eastAsia="黑体"/>
                <w:b w:val="0"/>
                <w:i w:val="0"/>
                <w:color w:val="000000"/>
                <w:sz w:val="15"/>
              </w:rPr>
              <w:t>香港</w:t>
            </w:r>
          </w:p>
        </w:tc>
        <w:tc>
          <w:tcPr>
            <w:tcW w:type="dxa" w:w="1700"/>
            <w:tcBorders/>
            <w:tcMar>
              <w:start w:w="0" w:type="dxa"/>
              <w:end w:w="0" w:type="dxa"/>
            </w:tcMar>
          </w:tcPr>
          <w:p>
            <w:pPr>
              <w:autoSpaceDN w:val="0"/>
              <w:autoSpaceDE w:val="0"/>
              <w:widowControl/>
              <w:spacing w:line="168" w:lineRule="exact" w:before="18" w:after="0"/>
              <w:ind w:left="206" w:right="0" w:firstLine="0"/>
              <w:jc w:val="left"/>
            </w:pPr>
            <w:r>
              <w:rPr>
                <w:rFonts w:ascii="黑体" w:hAnsi="黑体" w:eastAsia="黑体"/>
                <w:b w:val="0"/>
                <w:i w:val="0"/>
                <w:color w:val="000000"/>
                <w:sz w:val="15"/>
              </w:rPr>
              <w:t>港币</w:t>
            </w:r>
            <w:r>
              <w:rPr>
                <w:rFonts w:ascii="Arial" w:hAnsi="Arial" w:eastAsia="Arial"/>
                <w:b w:val="0"/>
                <w:i w:val="0"/>
                <w:color w:val="000000"/>
                <w:sz w:val="15"/>
              </w:rPr>
              <w:t>30,000</w:t>
            </w:r>
            <w:r>
              <w:rPr>
                <w:rFonts w:ascii="黑体" w:hAnsi="黑体" w:eastAsia="黑体"/>
                <w:b w:val="0"/>
                <w:i w:val="0"/>
                <w:color w:val="000000"/>
                <w:sz w:val="15"/>
              </w:rPr>
              <w:t>万元</w:t>
            </w:r>
          </w:p>
        </w:tc>
        <w:tc>
          <w:tcPr>
            <w:tcW w:type="dxa" w:w="1180"/>
            <w:tcBorders/>
            <w:tcMar>
              <w:start w:w="0" w:type="dxa"/>
              <w:end w:w="0" w:type="dxa"/>
            </w:tcMar>
          </w:tcPr>
          <w:p>
            <w:pPr>
              <w:autoSpaceDN w:val="0"/>
              <w:autoSpaceDE w:val="0"/>
              <w:widowControl/>
              <w:spacing w:line="152" w:lineRule="exact" w:before="24" w:after="0"/>
              <w:ind w:left="0" w:right="144" w:firstLine="0"/>
              <w:jc w:val="right"/>
            </w:pPr>
            <w:r>
              <w:rPr>
                <w:rFonts w:ascii="黑体" w:hAnsi="黑体" w:eastAsia="黑体"/>
                <w:b w:val="0"/>
                <w:i w:val="0"/>
                <w:color w:val="000000"/>
                <w:sz w:val="15"/>
              </w:rPr>
              <w:t>贸易业务</w:t>
            </w:r>
          </w:p>
        </w:tc>
        <w:tc>
          <w:tcPr>
            <w:tcW w:type="dxa" w:w="1840"/>
            <w:tcBorders/>
            <w:tcMar>
              <w:start w:w="0" w:type="dxa"/>
              <w:end w:w="0" w:type="dxa"/>
            </w:tcMar>
          </w:tcPr>
          <w:p>
            <w:pPr>
              <w:autoSpaceDN w:val="0"/>
              <w:autoSpaceDE w:val="0"/>
              <w:widowControl/>
              <w:spacing w:line="168" w:lineRule="exact" w:before="18" w:after="0"/>
              <w:ind w:left="180" w:right="0" w:firstLine="0"/>
              <w:jc w:val="left"/>
            </w:pPr>
            <w:r>
              <w:rPr>
                <w:rFonts w:ascii="黑体" w:hAnsi="黑体" w:eastAsia="黑体"/>
                <w:b w:val="0"/>
                <w:i w:val="0"/>
                <w:color w:val="000000"/>
                <w:sz w:val="15"/>
              </w:rPr>
              <w:t>港币</w:t>
            </w:r>
            <w:r>
              <w:rPr>
                <w:rFonts w:ascii="Arial" w:hAnsi="Arial" w:eastAsia="Arial"/>
                <w:b w:val="0"/>
                <w:i w:val="0"/>
                <w:color w:val="000000"/>
                <w:sz w:val="15"/>
              </w:rPr>
              <w:t>30,000</w:t>
            </w:r>
            <w:r>
              <w:rPr>
                <w:rFonts w:ascii="黑体" w:hAnsi="黑体" w:eastAsia="黑体"/>
                <w:b w:val="0"/>
                <w:i w:val="0"/>
                <w:color w:val="000000"/>
                <w:sz w:val="15"/>
              </w:rPr>
              <w:t>万元</w:t>
            </w:r>
          </w:p>
        </w:tc>
        <w:tc>
          <w:tcPr>
            <w:tcW w:type="dxa" w:w="1040"/>
            <w:tcBorders/>
            <w:tcMar>
              <w:start w:w="0" w:type="dxa"/>
              <w:end w:w="0" w:type="dxa"/>
            </w:tcMar>
          </w:tcPr>
          <w:p>
            <w:pPr>
              <w:autoSpaceDN w:val="0"/>
              <w:autoSpaceDE w:val="0"/>
              <w:widowControl/>
              <w:spacing w:line="233" w:lineRule="auto" w:before="28" w:after="0"/>
              <w:ind w:left="0" w:right="364" w:firstLine="0"/>
              <w:jc w:val="right"/>
            </w:pPr>
            <w:r>
              <w:rPr>
                <w:rFonts w:ascii="Arial" w:hAnsi="Arial" w:eastAsia="Arial"/>
                <w:b w:val="0"/>
                <w:i w:val="0"/>
                <w:color w:val="000000"/>
                <w:sz w:val="15"/>
              </w:rPr>
              <w:t>-</w:t>
            </w:r>
          </w:p>
        </w:tc>
        <w:tc>
          <w:tcPr>
            <w:tcW w:type="dxa" w:w="1600"/>
            <w:tcBorders/>
            <w:tcMar>
              <w:start w:w="0" w:type="dxa"/>
              <w:end w:w="0" w:type="dxa"/>
            </w:tcMar>
          </w:tcPr>
          <w:p>
            <w:pPr>
              <w:autoSpaceDN w:val="0"/>
              <w:autoSpaceDE w:val="0"/>
              <w:widowControl/>
              <w:spacing w:line="233" w:lineRule="auto" w:before="28" w:after="0"/>
              <w:ind w:left="370" w:right="0" w:firstLine="0"/>
              <w:jc w:val="left"/>
            </w:pPr>
            <w:r>
              <w:rPr>
                <w:rFonts w:ascii="Arial" w:hAnsi="Arial" w:eastAsia="Arial"/>
                <w:b w:val="0"/>
                <w:i w:val="0"/>
                <w:color w:val="000000"/>
                <w:sz w:val="15"/>
              </w:rPr>
              <w:t>100.00%</w:t>
            </w:r>
          </w:p>
        </w:tc>
        <w:tc>
          <w:tcPr>
            <w:tcW w:type="dxa" w:w="1000"/>
            <w:tcBorders/>
            <w:tcMar>
              <w:start w:w="0" w:type="dxa"/>
              <w:end w:w="0" w:type="dxa"/>
            </w:tcMar>
          </w:tcPr>
          <w:p>
            <w:pPr>
              <w:autoSpaceDN w:val="0"/>
              <w:autoSpaceDE w:val="0"/>
              <w:widowControl/>
              <w:spacing w:line="233" w:lineRule="auto" w:before="28" w:after="0"/>
              <w:ind w:left="0" w:right="306" w:firstLine="0"/>
              <w:jc w:val="right"/>
            </w:pPr>
            <w:r>
              <w:rPr>
                <w:rFonts w:ascii="Arial" w:hAnsi="Arial" w:eastAsia="Arial"/>
                <w:b w:val="0"/>
                <w:i w:val="0"/>
                <w:color w:val="000000"/>
                <w:sz w:val="15"/>
              </w:rPr>
              <w:t>-</w:t>
            </w:r>
          </w:p>
        </w:tc>
        <w:tc>
          <w:tcPr>
            <w:tcW w:type="dxa" w:w="900"/>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15"/>
              </w:rPr>
              <w:t>100.00%</w:t>
            </w:r>
          </w:p>
        </w:tc>
      </w:tr>
    </w:tbl>
    <w:p>
      <w:pPr>
        <w:autoSpaceDN w:val="0"/>
        <w:autoSpaceDE w:val="0"/>
        <w:widowControl/>
        <w:spacing w:line="233" w:lineRule="auto" w:before="1562" w:after="0"/>
        <w:ind w:left="0" w:right="0" w:firstLine="0"/>
        <w:jc w:val="center"/>
      </w:pPr>
      <w:r>
        <w:rPr>
          <w:rFonts w:ascii="Arial" w:hAnsi="Arial" w:eastAsia="Arial"/>
          <w:b w:val="0"/>
          <w:i w:val="0"/>
          <w:color w:val="000000"/>
          <w:sz w:val="20"/>
        </w:rPr>
        <w:t xml:space="preserve">248 </w:t>
      </w:r>
    </w:p>
    <w:p>
      <w:pPr>
        <w:sectPr>
          <w:pgSz w:w="16841" w:h="11899"/>
          <w:pgMar w:top="1166" w:right="1418" w:bottom="360" w:left="1440" w:header="720" w:footer="720" w:gutter="0"/>
          <w:cols/>
          <w:docGrid w:linePitch="360"/>
        </w:sectPr>
      </w:pPr>
    </w:p>
    <w:p>
      <w:pPr>
        <w:autoSpaceDN w:val="0"/>
        <w:autoSpaceDE w:val="0"/>
        <w:widowControl/>
        <w:spacing w:line="220" w:lineRule="exact" w:before="0" w:after="692"/>
        <w:ind w:left="0" w:right="0"/>
      </w:pPr>
    </w:p>
    <w:p>
      <w:pPr>
        <w:autoSpaceDN w:val="0"/>
        <w:tabs>
          <w:tab w:pos="742" w:val="left"/>
        </w:tabs>
        <w:autoSpaceDE w:val="0"/>
        <w:widowControl/>
        <w:spacing w:line="464" w:lineRule="exact" w:before="0" w:after="228"/>
        <w:ind w:left="0" w:right="9072"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r>
        <w:br/>
      </w:r>
      <w:r>
        <w:rPr>
          <w:rFonts w:ascii="Arial" w:hAnsi="Arial" w:eastAsia="Arial"/>
          <w:b w:val="0"/>
          <w:i w:val="0"/>
          <w:color w:val="000000"/>
          <w:sz w:val="22"/>
        </w:rPr>
        <w:t>1.</w:t>
      </w:r>
      <w:r>
        <w:rPr>
          <w:rFonts w:ascii="黑体" w:hAnsi="黑体" w:eastAsia="黑体"/>
          <w:b w:val="0"/>
          <w:i w:val="0"/>
          <w:color w:val="000000"/>
          <w:sz w:val="22"/>
        </w:rPr>
        <w:t>在子公司中的权益（续）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企业集团的构成（续）</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通过设立或投资等方式取得的子公司（续）</w:t>
      </w:r>
    </w:p>
    <w:tbl>
      <w:tblPr>
        <w:tblW w:type="auto" w:w="0"/>
        <w:tblLayout w:type="fixed"/>
        <w:tblLook w:firstColumn="1" w:firstRow="1" w:lastColumn="0" w:lastRow="0" w:noHBand="0" w:noVBand="1" w:val="04A0"/>
        <w:tblInd w:w="0.0" w:type="dxa"/>
      </w:tblPr>
      <w:tblGrid>
        <w:gridCol w:w="1754"/>
        <w:gridCol w:w="1754"/>
        <w:gridCol w:w="1754"/>
        <w:gridCol w:w="1754"/>
        <w:gridCol w:w="1754"/>
        <w:gridCol w:w="1754"/>
        <w:gridCol w:w="1754"/>
        <w:gridCol w:w="1754"/>
      </w:tblGrid>
      <w:tr>
        <w:trPr>
          <w:trHeight w:hRule="exact" w:val="224"/>
        </w:trPr>
        <w:tc>
          <w:tcPr>
            <w:tcW w:type="dxa" w:w="2160"/>
            <w:tcBorders>
              <w:bottom w:sz="3.199999999999818" w:val="single" w:color="#000000"/>
            </w:tcBorders>
            <w:tcMar>
              <w:start w:w="0" w:type="dxa"/>
              <w:end w:w="0" w:type="dxa"/>
            </w:tcMar>
          </w:tcPr>
          <w:p>
            <w:pPr>
              <w:autoSpaceDN w:val="0"/>
              <w:autoSpaceDE w:val="0"/>
              <w:widowControl/>
              <w:spacing w:line="168" w:lineRule="exact" w:before="52" w:after="0"/>
              <w:ind w:left="0" w:right="0" w:firstLine="0"/>
              <w:jc w:val="left"/>
            </w:pPr>
            <w:r>
              <w:rPr>
                <w:rFonts w:ascii="黑体" w:hAnsi="黑体" w:eastAsia="黑体"/>
                <w:b w:val="0"/>
                <w:i w:val="0"/>
                <w:color w:val="000000"/>
                <w:sz w:val="15"/>
              </w:rPr>
              <w:t>子公司名称</w:t>
            </w:r>
            <w:r>
              <w:rPr>
                <w:rFonts w:ascii="Arial" w:hAnsi="Arial" w:eastAsia="Arial"/>
                <w:b w:val="0"/>
                <w:i w:val="0"/>
                <w:color w:val="000000"/>
                <w:sz w:val="15"/>
              </w:rPr>
              <w:t xml:space="preserve">3 </w:t>
            </w:r>
          </w:p>
        </w:tc>
        <w:tc>
          <w:tcPr>
            <w:tcW w:type="dxa" w:w="4674"/>
            <w:tcBorders>
              <w:bottom w:sz="3.199999999999818" w:val="single" w:color="#000000"/>
            </w:tcBorders>
            <w:tcMar>
              <w:start w:w="0" w:type="dxa"/>
              <w:end w:w="0" w:type="dxa"/>
            </w:tcMar>
          </w:tcPr>
          <w:p>
            <w:pPr>
              <w:autoSpaceDN w:val="0"/>
              <w:autoSpaceDE w:val="0"/>
              <w:widowControl/>
              <w:spacing w:line="168" w:lineRule="exact" w:before="52" w:after="0"/>
              <w:ind w:left="0" w:right="870" w:firstLine="0"/>
              <w:jc w:val="right"/>
            </w:pPr>
            <w:r>
              <w:rPr>
                <w:rFonts w:ascii="黑体" w:hAnsi="黑体" w:eastAsia="黑体"/>
                <w:b w:val="0"/>
                <w:i w:val="0"/>
                <w:color w:val="000000"/>
                <w:sz w:val="15"/>
              </w:rPr>
              <w:t>注册地及营业地</w:t>
            </w:r>
            <w:r>
              <w:rPr>
                <w:rFonts w:ascii="黑体" w:hAnsi="黑体" w:eastAsia="黑体"/>
                <w:b w:val="0"/>
                <w:i w:val="0"/>
                <w:color w:val="000000"/>
                <w:sz w:val="15"/>
              </w:rPr>
              <w:t>注册资本</w:t>
            </w:r>
            <w:r>
              <w:rPr>
                <w:rFonts w:ascii="Arial" w:hAnsi="Arial" w:eastAsia="Arial"/>
                <w:b w:val="0"/>
                <w:i w:val="0"/>
                <w:color w:val="000000"/>
                <w:sz w:val="15"/>
              </w:rPr>
              <w:t>/</w:t>
            </w:r>
            <w:r>
              <w:rPr>
                <w:rFonts w:ascii="黑体" w:hAnsi="黑体" w:eastAsia="黑体"/>
                <w:b w:val="0"/>
                <w:i w:val="0"/>
                <w:color w:val="000000"/>
                <w:sz w:val="15"/>
              </w:rPr>
              <w:t>认缴出资</w:t>
            </w:r>
          </w:p>
        </w:tc>
        <w:tc>
          <w:tcPr>
            <w:tcW w:type="dxa" w:w="988"/>
            <w:tcBorders>
              <w:bottom w:sz="3.199999999999818" w:val="single" w:color="#000000"/>
            </w:tcBorders>
            <w:tcMar>
              <w:start w:w="0" w:type="dxa"/>
              <w:end w:w="0" w:type="dxa"/>
            </w:tcMar>
          </w:tcPr>
          <w:p>
            <w:pPr>
              <w:autoSpaceDN w:val="0"/>
              <w:autoSpaceDE w:val="0"/>
              <w:widowControl/>
              <w:spacing w:line="152" w:lineRule="exact" w:before="66" w:after="0"/>
              <w:ind w:left="0" w:right="0" w:firstLine="0"/>
              <w:jc w:val="left"/>
            </w:pPr>
            <w:r>
              <w:rPr>
                <w:rFonts w:ascii="黑体" w:hAnsi="黑体" w:eastAsia="黑体"/>
                <w:b w:val="0"/>
                <w:i w:val="0"/>
                <w:color w:val="000000"/>
                <w:sz w:val="15"/>
              </w:rPr>
              <w:t>业务性质</w:t>
            </w:r>
          </w:p>
        </w:tc>
        <w:tc>
          <w:tcPr>
            <w:tcW w:type="dxa" w:w="1052"/>
            <w:tcBorders>
              <w:bottom w:sz="3.199999999999818" w:val="single" w:color="#000000"/>
            </w:tcBorders>
            <w:tcMar>
              <w:start w:w="0" w:type="dxa"/>
              <w:end w:w="0" w:type="dxa"/>
            </w:tcMar>
          </w:tcPr>
          <w:p>
            <w:pPr>
              <w:autoSpaceDN w:val="0"/>
              <w:autoSpaceDE w:val="0"/>
              <w:widowControl/>
              <w:spacing w:line="152" w:lineRule="exact" w:before="66" w:after="0"/>
              <w:ind w:left="0" w:right="0" w:firstLine="0"/>
              <w:jc w:val="center"/>
            </w:pPr>
            <w:r>
              <w:rPr>
                <w:rFonts w:ascii="黑体" w:hAnsi="黑体" w:eastAsia="黑体"/>
                <w:b w:val="0"/>
                <w:i w:val="0"/>
                <w:color w:val="000000"/>
                <w:sz w:val="15"/>
              </w:rPr>
              <w:t>年末实际出资额</w:t>
            </w:r>
          </w:p>
        </w:tc>
        <w:tc>
          <w:tcPr>
            <w:tcW w:type="dxa" w:w="2248"/>
            <w:tcBorders>
              <w:bottom w:sz="3.199999999999818" w:val="single" w:color="#000000"/>
            </w:tcBorders>
            <w:tcMar>
              <w:start w:w="0" w:type="dxa"/>
              <w:end w:w="0" w:type="dxa"/>
            </w:tcMar>
          </w:tcPr>
          <w:p>
            <w:pPr>
              <w:autoSpaceDN w:val="0"/>
              <w:autoSpaceDE w:val="0"/>
              <w:widowControl/>
              <w:spacing w:line="152" w:lineRule="exact" w:before="66" w:after="0"/>
              <w:ind w:left="0" w:right="220" w:firstLine="0"/>
              <w:jc w:val="right"/>
            </w:pPr>
            <w:r>
              <w:rPr>
                <w:rFonts w:ascii="黑体" w:hAnsi="黑体" w:eastAsia="黑体"/>
                <w:b w:val="0"/>
                <w:i w:val="0"/>
                <w:color w:val="000000"/>
                <w:sz w:val="15"/>
              </w:rPr>
              <w:t>本公司持有权益比例</w:t>
            </w:r>
          </w:p>
        </w:tc>
        <w:tc>
          <w:tcPr>
            <w:tcW w:type="dxa" w:w="300"/>
            <w:tcBorders>
              <w:bottom w:sz="3.199999999999818" w:val="single" w:color="#000000"/>
            </w:tcBorders>
            <w:tcMar>
              <w:start w:w="0" w:type="dxa"/>
              <w:end w:w="0" w:type="dxa"/>
            </w:tcMar>
          </w:tcPr>
          <w:p/>
        </w:tc>
        <w:tc>
          <w:tcPr>
            <w:tcW w:type="dxa" w:w="2250"/>
            <w:tcBorders>
              <w:bottom w:sz="3.199999999999818" w:val="single" w:color="#000000"/>
            </w:tcBorders>
            <w:tcMar>
              <w:start w:w="0" w:type="dxa"/>
              <w:end w:w="0" w:type="dxa"/>
            </w:tcMar>
          </w:tcPr>
          <w:p>
            <w:pPr>
              <w:autoSpaceDN w:val="0"/>
              <w:autoSpaceDE w:val="0"/>
              <w:widowControl/>
              <w:spacing w:line="152" w:lineRule="exact" w:before="66" w:after="0"/>
              <w:ind w:left="0" w:right="288" w:firstLine="0"/>
              <w:jc w:val="right"/>
            </w:pPr>
            <w:r>
              <w:rPr>
                <w:rFonts w:ascii="黑体" w:hAnsi="黑体" w:eastAsia="黑体"/>
                <w:b w:val="0"/>
                <w:i w:val="0"/>
                <w:color w:val="000000"/>
                <w:sz w:val="15"/>
              </w:rPr>
              <w:t>本公司表决权比例</w:t>
            </w:r>
          </w:p>
        </w:tc>
        <w:tc>
          <w:tcPr>
            <w:tcW w:type="dxa" w:w="304"/>
            <w:tcBorders>
              <w:bottom w:sz="3.199999999999818" w:val="single" w:color="#000000"/>
            </w:tcBorders>
            <w:tcMar>
              <w:start w:w="0" w:type="dxa"/>
              <w:end w:w="0" w:type="dxa"/>
            </w:tcMar>
          </w:tcPr>
          <w:p/>
        </w:tc>
      </w:tr>
      <w:tr>
        <w:trPr>
          <w:trHeight w:hRule="exact" w:val="204"/>
        </w:trPr>
        <w:tc>
          <w:tcPr>
            <w:tcW w:type="dxa" w:w="2160"/>
            <w:tcBorders>
              <w:top w:sz="3.199999999999818" w:val="single" w:color="#000000"/>
              <w:bottom w:sz="3.2000000000000455" w:val="single" w:color="#000000"/>
            </w:tcBorders>
            <w:tcMar>
              <w:start w:w="0" w:type="dxa"/>
              <w:end w:w="0" w:type="dxa"/>
            </w:tcMar>
          </w:tcPr>
          <w:p/>
        </w:tc>
        <w:tc>
          <w:tcPr>
            <w:tcW w:type="dxa" w:w="4674"/>
            <w:tcBorders>
              <w:top w:sz="3.199999999999818" w:val="single" w:color="#000000"/>
              <w:bottom w:sz="3.2000000000000455" w:val="single" w:color="#000000"/>
            </w:tcBorders>
            <w:tcMar>
              <w:start w:w="0" w:type="dxa"/>
              <w:end w:w="0" w:type="dxa"/>
            </w:tcMar>
          </w:tcPr>
          <w:p/>
        </w:tc>
        <w:tc>
          <w:tcPr>
            <w:tcW w:type="dxa" w:w="988"/>
            <w:tcBorders>
              <w:top w:sz="3.199999999999818" w:val="single" w:color="#000000"/>
              <w:bottom w:sz="3.2000000000000455" w:val="single" w:color="#000000"/>
            </w:tcBorders>
            <w:tcMar>
              <w:start w:w="0" w:type="dxa"/>
              <w:end w:w="0" w:type="dxa"/>
            </w:tcMar>
          </w:tcPr>
          <w:p/>
        </w:tc>
        <w:tc>
          <w:tcPr>
            <w:tcW w:type="dxa" w:w="1052"/>
            <w:tcBorders>
              <w:top w:sz="3.199999999999818" w:val="single" w:color="#000000"/>
              <w:bottom w:sz="3.2000000000000455" w:val="single" w:color="#000000"/>
            </w:tcBorders>
            <w:tcMar>
              <w:start w:w="0" w:type="dxa"/>
              <w:end w:w="0" w:type="dxa"/>
            </w:tcMar>
          </w:tcPr>
          <w:p/>
        </w:tc>
        <w:tc>
          <w:tcPr>
            <w:tcW w:type="dxa" w:w="2248"/>
            <w:tcBorders>
              <w:top w:sz="3.199999999999818" w:val="single" w:color="#000000"/>
              <w:bottom w:sz="3.2000000000000455"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直接</w:t>
            </w:r>
          </w:p>
        </w:tc>
        <w:tc>
          <w:tcPr>
            <w:tcW w:type="dxa" w:w="300"/>
            <w:tcBorders>
              <w:top w:sz="3.199999999999818" w:val="single" w:color="#000000"/>
              <w:bottom w:sz="3.2000000000000455"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间接</w:t>
            </w:r>
          </w:p>
        </w:tc>
        <w:tc>
          <w:tcPr>
            <w:tcW w:type="dxa" w:w="2250"/>
            <w:tcBorders>
              <w:top w:sz="3.199999999999818" w:val="single" w:color="#000000"/>
              <w:bottom w:sz="3.2000000000000455"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直接</w:t>
            </w:r>
          </w:p>
        </w:tc>
        <w:tc>
          <w:tcPr>
            <w:tcW w:type="dxa" w:w="304"/>
            <w:tcBorders>
              <w:top w:sz="3.199999999999818" w:val="single" w:color="#000000"/>
              <w:bottom w:sz="3.2000000000000455"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间接</w:t>
            </w:r>
          </w:p>
        </w:tc>
      </w:tr>
      <w:tr>
        <w:trPr>
          <w:trHeight w:hRule="exact" w:val="54"/>
        </w:trPr>
        <w:tc>
          <w:tcPr>
            <w:tcW w:type="dxa" w:w="2160"/>
            <w:tcBorders>
              <w:top w:sz="3.2000000000000455" w:val="single" w:color="#000000"/>
            </w:tcBorders>
            <w:tcMar>
              <w:start w:w="0" w:type="dxa"/>
              <w:end w:w="0" w:type="dxa"/>
            </w:tcMar>
          </w:tcPr>
          <w:p/>
        </w:tc>
        <w:tc>
          <w:tcPr>
            <w:tcW w:type="dxa" w:w="4674"/>
            <w:tcBorders>
              <w:top w:sz="3.2000000000000455" w:val="single" w:color="#000000"/>
            </w:tcBorders>
            <w:tcMar>
              <w:start w:w="0" w:type="dxa"/>
              <w:end w:w="0" w:type="dxa"/>
            </w:tcMar>
          </w:tcPr>
          <w:p/>
        </w:tc>
        <w:tc>
          <w:tcPr>
            <w:tcW w:type="dxa" w:w="988"/>
            <w:tcBorders>
              <w:top w:sz="3.2000000000000455" w:val="single" w:color="#000000"/>
            </w:tcBorders>
            <w:tcMar>
              <w:start w:w="0" w:type="dxa"/>
              <w:end w:w="0" w:type="dxa"/>
            </w:tcMar>
          </w:tcPr>
          <w:p/>
        </w:tc>
        <w:tc>
          <w:tcPr>
            <w:tcW w:type="dxa" w:w="1052"/>
            <w:tcBorders>
              <w:top w:sz="3.2000000000000455" w:val="single" w:color="#000000"/>
            </w:tcBorders>
            <w:tcMar>
              <w:start w:w="0" w:type="dxa"/>
              <w:end w:w="0" w:type="dxa"/>
            </w:tcMar>
          </w:tcPr>
          <w:p/>
        </w:tc>
        <w:tc>
          <w:tcPr>
            <w:tcW w:type="dxa" w:w="2248"/>
            <w:tcBorders>
              <w:top w:sz="3.2000000000000455" w:val="single" w:color="#000000"/>
            </w:tcBorders>
            <w:tcMar>
              <w:start w:w="0" w:type="dxa"/>
              <w:end w:w="0" w:type="dxa"/>
            </w:tcMar>
          </w:tcPr>
          <w:p/>
        </w:tc>
        <w:tc>
          <w:tcPr>
            <w:tcW w:type="dxa" w:w="300"/>
            <w:tcBorders>
              <w:top w:sz="3.2000000000000455" w:val="single" w:color="#000000"/>
            </w:tcBorders>
            <w:tcMar>
              <w:start w:w="0" w:type="dxa"/>
              <w:end w:w="0" w:type="dxa"/>
            </w:tcMar>
          </w:tcPr>
          <w:p/>
        </w:tc>
        <w:tc>
          <w:tcPr>
            <w:tcW w:type="dxa" w:w="2250"/>
            <w:tcBorders>
              <w:top w:sz="3.2000000000000455" w:val="single" w:color="#000000"/>
            </w:tcBorders>
            <w:tcMar>
              <w:start w:w="0" w:type="dxa"/>
              <w:end w:w="0" w:type="dxa"/>
            </w:tcMar>
          </w:tcPr>
          <w:p/>
        </w:tc>
        <w:tc>
          <w:tcPr>
            <w:tcW w:type="dxa" w:w="304"/>
            <w:tcBorders>
              <w:top w:sz="3.2000000000000455" w:val="single" w:color="#000000"/>
            </w:tcBorders>
            <w:tcMar>
              <w:start w:w="0" w:type="dxa"/>
              <w:end w:w="0" w:type="dxa"/>
            </w:tcMar>
          </w:tcPr>
          <w:p/>
        </w:tc>
      </w:tr>
    </w:tbl>
    <w:p>
      <w:pPr>
        <w:autoSpaceDN w:val="0"/>
        <w:autoSpaceDE w:val="0"/>
        <w:widowControl/>
        <w:spacing w:line="152" w:lineRule="exact" w:before="156" w:after="18"/>
        <w:ind w:left="0" w:right="0" w:firstLine="0"/>
        <w:jc w:val="left"/>
      </w:pPr>
      <w:r>
        <w:rPr>
          <w:rFonts w:ascii="黑体" w:hAnsi="黑体" w:eastAsia="黑体"/>
          <w:b w:val="0"/>
          <w:i w:val="0"/>
          <w:color w:val="000000"/>
          <w:sz w:val="15"/>
        </w:rPr>
        <w:t>山证创新投资有限公司</w:t>
      </w:r>
    </w:p>
    <w:tbl>
      <w:tblPr>
        <w:tblW w:type="auto" w:w="0"/>
        <w:tblLayout w:type="fixed"/>
        <w:tblLook w:firstColumn="1" w:firstRow="1" w:lastColumn="0" w:lastRow="0" w:noHBand="0" w:noVBand="1" w:val="04A0"/>
        <w:tblInd w:w="60.0" w:type="dxa"/>
      </w:tblPr>
      <w:tblGrid>
        <w:gridCol w:w="1754"/>
        <w:gridCol w:w="1754"/>
        <w:gridCol w:w="1754"/>
        <w:gridCol w:w="1754"/>
        <w:gridCol w:w="1754"/>
        <w:gridCol w:w="1754"/>
        <w:gridCol w:w="1754"/>
        <w:gridCol w:w="1754"/>
      </w:tblGrid>
      <w:tr>
        <w:trPr>
          <w:trHeight w:hRule="exact" w:val="254"/>
        </w:trPr>
        <w:tc>
          <w:tcPr>
            <w:tcW w:type="dxa" w:w="2940"/>
            <w:tcBorders/>
            <w:tcMar>
              <w:start w:w="0" w:type="dxa"/>
              <w:end w:w="0" w:type="dxa"/>
            </w:tcMar>
          </w:tcPr>
          <w:p>
            <w:pPr>
              <w:autoSpaceDN w:val="0"/>
              <w:autoSpaceDE w:val="0"/>
              <w:widowControl/>
              <w:spacing w:line="152" w:lineRule="exact" w:before="24" w:after="0"/>
              <w:ind w:left="92" w:right="0" w:firstLine="0"/>
              <w:jc w:val="left"/>
            </w:pPr>
            <w:r>
              <w:rPr>
                <w:rFonts w:ascii="黑体" w:hAnsi="黑体" w:eastAsia="黑体"/>
                <w:b w:val="0"/>
                <w:i w:val="0"/>
                <w:color w:val="000000"/>
                <w:sz w:val="15"/>
              </w:rPr>
              <w:t>（以下简称“山证创新”）</w:t>
            </w:r>
          </w:p>
        </w:tc>
        <w:tc>
          <w:tcPr>
            <w:tcW w:type="dxa" w:w="3160"/>
            <w:tcBorders/>
            <w:tcMar>
              <w:start w:w="0" w:type="dxa"/>
              <w:end w:w="0" w:type="dxa"/>
            </w:tcMar>
          </w:tcPr>
          <w:p>
            <w:pPr>
              <w:autoSpaceDN w:val="0"/>
              <w:autoSpaceDE w:val="0"/>
              <w:widowControl/>
              <w:spacing w:line="168" w:lineRule="exact" w:before="18" w:after="0"/>
              <w:ind w:left="0" w:right="196" w:firstLine="0"/>
              <w:jc w:val="right"/>
            </w:pPr>
            <w:r>
              <w:rPr>
                <w:rFonts w:ascii="黑体" w:hAnsi="黑体" w:eastAsia="黑体"/>
                <w:b w:val="0"/>
                <w:i w:val="0"/>
                <w:color w:val="000000"/>
                <w:sz w:val="15"/>
              </w:rPr>
              <w:t>上海市</w:t>
            </w:r>
            <w:r>
              <w:rPr>
                <w:rFonts w:ascii="黑体" w:hAnsi="黑体" w:eastAsia="黑体"/>
                <w:b w:val="0"/>
                <w:i w:val="0"/>
                <w:color w:val="000000"/>
                <w:sz w:val="15"/>
              </w:rPr>
              <w:t>人民币</w:t>
            </w:r>
            <w:r>
              <w:rPr>
                <w:rFonts w:ascii="Arial" w:hAnsi="Arial" w:eastAsia="Arial"/>
                <w:b w:val="0"/>
                <w:i w:val="0"/>
                <w:color w:val="000000"/>
                <w:sz w:val="15"/>
              </w:rPr>
              <w:t>170,000</w:t>
            </w:r>
            <w:r>
              <w:rPr>
                <w:rFonts w:ascii="黑体" w:hAnsi="黑体" w:eastAsia="黑体"/>
                <w:b w:val="0"/>
                <w:i w:val="0"/>
                <w:color w:val="000000"/>
                <w:sz w:val="15"/>
              </w:rPr>
              <w:t>万元</w:t>
            </w:r>
          </w:p>
        </w:tc>
        <w:tc>
          <w:tcPr>
            <w:tcW w:type="dxa" w:w="1340"/>
            <w:tcBorders/>
            <w:tcMar>
              <w:start w:w="0" w:type="dxa"/>
              <w:end w:w="0" w:type="dxa"/>
            </w:tcMar>
          </w:tcPr>
          <w:p>
            <w:pPr>
              <w:autoSpaceDN w:val="0"/>
              <w:autoSpaceDE w:val="0"/>
              <w:widowControl/>
              <w:spacing w:line="152" w:lineRule="exact" w:before="24" w:after="0"/>
              <w:ind w:left="222" w:right="0" w:firstLine="0"/>
              <w:jc w:val="left"/>
            </w:pPr>
            <w:r>
              <w:rPr>
                <w:rFonts w:ascii="黑体" w:hAnsi="黑体" w:eastAsia="黑体"/>
                <w:b w:val="0"/>
                <w:i w:val="0"/>
                <w:color w:val="000000"/>
                <w:sz w:val="15"/>
              </w:rPr>
              <w:t>投资与资产管理</w:t>
            </w:r>
          </w:p>
        </w:tc>
        <w:tc>
          <w:tcPr>
            <w:tcW w:type="dxa" w:w="1700"/>
            <w:tcBorders/>
            <w:tcMar>
              <w:start w:w="0" w:type="dxa"/>
              <w:end w:w="0" w:type="dxa"/>
            </w:tcMar>
          </w:tcPr>
          <w:p>
            <w:pPr>
              <w:autoSpaceDN w:val="0"/>
              <w:autoSpaceDE w:val="0"/>
              <w:widowControl/>
              <w:spacing w:line="168" w:lineRule="exact" w:before="18" w:after="0"/>
              <w:ind w:left="82" w:right="0" w:firstLine="0"/>
              <w:jc w:val="left"/>
            </w:pPr>
            <w:r>
              <w:rPr>
                <w:rFonts w:ascii="黑体" w:hAnsi="黑体" w:eastAsia="黑体"/>
                <w:b w:val="0"/>
                <w:i w:val="0"/>
                <w:color w:val="000000"/>
                <w:sz w:val="15"/>
              </w:rPr>
              <w:t>人民币</w:t>
            </w:r>
            <w:r>
              <w:rPr>
                <w:rFonts w:ascii="Arial" w:hAnsi="Arial" w:eastAsia="Arial"/>
                <w:b w:val="0"/>
                <w:i w:val="0"/>
                <w:color w:val="000000"/>
                <w:sz w:val="15"/>
              </w:rPr>
              <w:t>170,000</w:t>
            </w:r>
            <w:r>
              <w:rPr>
                <w:rFonts w:ascii="黑体" w:hAnsi="黑体" w:eastAsia="黑体"/>
                <w:b w:val="0"/>
                <w:i w:val="0"/>
                <w:color w:val="000000"/>
                <w:sz w:val="15"/>
              </w:rPr>
              <w:t>万元</w:t>
            </w:r>
          </w:p>
        </w:tc>
        <w:tc>
          <w:tcPr>
            <w:tcW w:type="dxa" w:w="1540"/>
            <w:tcBorders/>
            <w:tcMar>
              <w:start w:w="0" w:type="dxa"/>
              <w:end w:w="0" w:type="dxa"/>
            </w:tcMar>
          </w:tcPr>
          <w:p>
            <w:pPr>
              <w:autoSpaceDN w:val="0"/>
              <w:autoSpaceDE w:val="0"/>
              <w:widowControl/>
              <w:spacing w:line="235" w:lineRule="auto" w:before="24" w:after="0"/>
              <w:ind w:left="346" w:right="0" w:firstLine="0"/>
              <w:jc w:val="left"/>
            </w:pPr>
            <w:r>
              <w:rPr>
                <w:rFonts w:ascii="Arial" w:hAnsi="Arial" w:eastAsia="Arial"/>
                <w:b w:val="0"/>
                <w:i w:val="0"/>
                <w:color w:val="000000"/>
                <w:sz w:val="15"/>
              </w:rPr>
              <w:t>100.00%</w:t>
            </w:r>
          </w:p>
        </w:tc>
        <w:tc>
          <w:tcPr>
            <w:tcW w:type="dxa" w:w="1020"/>
            <w:tcBorders/>
            <w:tcMar>
              <w:start w:w="0" w:type="dxa"/>
              <w:end w:w="0" w:type="dxa"/>
            </w:tcMar>
          </w:tcPr>
          <w:p>
            <w:pPr>
              <w:autoSpaceDN w:val="0"/>
              <w:autoSpaceDE w:val="0"/>
              <w:widowControl/>
              <w:spacing w:line="235" w:lineRule="auto" w:before="24" w:after="0"/>
              <w:ind w:left="0" w:right="338" w:firstLine="0"/>
              <w:jc w:val="right"/>
            </w:pPr>
            <w:r>
              <w:rPr>
                <w:rFonts w:ascii="Arial" w:hAnsi="Arial" w:eastAsia="Arial"/>
                <w:b w:val="0"/>
                <w:i w:val="0"/>
                <w:color w:val="000000"/>
                <w:sz w:val="15"/>
              </w:rPr>
              <w:t>-</w:t>
            </w:r>
          </w:p>
        </w:tc>
        <w:tc>
          <w:tcPr>
            <w:tcW w:type="dxa" w:w="1560"/>
            <w:tcBorders/>
            <w:tcMar>
              <w:start w:w="0" w:type="dxa"/>
              <w:end w:w="0" w:type="dxa"/>
            </w:tcMar>
          </w:tcPr>
          <w:p>
            <w:pPr>
              <w:autoSpaceDN w:val="0"/>
              <w:autoSpaceDE w:val="0"/>
              <w:widowControl/>
              <w:spacing w:line="235" w:lineRule="auto" w:before="24" w:after="0"/>
              <w:ind w:left="348" w:right="0" w:firstLine="0"/>
              <w:jc w:val="left"/>
            </w:pPr>
            <w:r>
              <w:rPr>
                <w:rFonts w:ascii="Arial" w:hAnsi="Arial" w:eastAsia="Arial"/>
                <w:b w:val="0"/>
                <w:i w:val="0"/>
                <w:color w:val="000000"/>
                <w:sz w:val="15"/>
              </w:rPr>
              <w:t xml:space="preserve">100.00% </w:t>
            </w:r>
          </w:p>
        </w:tc>
        <w:tc>
          <w:tcPr>
            <w:tcW w:type="dxa" w:w="700"/>
            <w:tcBorders/>
            <w:tcMar>
              <w:start w:w="0" w:type="dxa"/>
              <w:end w:w="0" w:type="dxa"/>
            </w:tcMar>
          </w:tcPr>
          <w:p>
            <w:pPr>
              <w:autoSpaceDN w:val="0"/>
              <w:autoSpaceDE w:val="0"/>
              <w:widowControl/>
              <w:spacing w:line="235" w:lineRule="auto" w:before="24" w:after="0"/>
              <w:ind w:left="0" w:right="6" w:firstLine="0"/>
              <w:jc w:val="right"/>
            </w:pPr>
            <w:r>
              <w:rPr>
                <w:rFonts w:ascii="Arial" w:hAnsi="Arial" w:eastAsia="Arial"/>
                <w:b w:val="0"/>
                <w:i w:val="0"/>
                <w:color w:val="000000"/>
                <w:sz w:val="15"/>
              </w:rPr>
              <w:t xml:space="preserve">- </w:t>
            </w:r>
          </w:p>
        </w:tc>
      </w:tr>
    </w:tbl>
    <w:p>
      <w:pPr>
        <w:autoSpaceDN w:val="0"/>
        <w:autoSpaceDE w:val="0"/>
        <w:widowControl/>
        <w:spacing w:line="150" w:lineRule="exact" w:before="138" w:after="18"/>
        <w:ind w:left="0" w:right="0" w:firstLine="0"/>
        <w:jc w:val="left"/>
      </w:pPr>
      <w:r>
        <w:rPr>
          <w:rFonts w:ascii="黑体" w:hAnsi="黑体" w:eastAsia="黑体"/>
          <w:b w:val="0"/>
          <w:i w:val="0"/>
          <w:color w:val="000000"/>
          <w:sz w:val="15"/>
        </w:rPr>
        <w:t>山证科技（深圳）有限公司</w:t>
      </w:r>
    </w:p>
    <w:tbl>
      <w:tblPr>
        <w:tblW w:type="auto" w:w="0"/>
        <w:tblLayout w:type="fixed"/>
        <w:tblLook w:firstColumn="1" w:firstRow="1" w:lastColumn="0" w:lastRow="0" w:noHBand="0" w:noVBand="1" w:val="04A0"/>
        <w:tblInd w:w="0.0" w:type="dxa"/>
      </w:tblPr>
      <w:tblGrid>
        <w:gridCol w:w="1559"/>
        <w:gridCol w:w="1559"/>
        <w:gridCol w:w="1559"/>
        <w:gridCol w:w="1559"/>
        <w:gridCol w:w="1559"/>
        <w:gridCol w:w="1559"/>
        <w:gridCol w:w="1559"/>
        <w:gridCol w:w="1559"/>
        <w:gridCol w:w="1559"/>
      </w:tblGrid>
      <w:tr>
        <w:trPr>
          <w:trHeight w:hRule="exact" w:val="166"/>
        </w:trPr>
        <w:tc>
          <w:tcPr>
            <w:tcW w:type="dxa" w:w="3080"/>
            <w:tcBorders/>
            <w:tcMar>
              <w:start w:w="0" w:type="dxa"/>
              <w:end w:w="0" w:type="dxa"/>
            </w:tcMar>
          </w:tcPr>
          <w:p>
            <w:pPr>
              <w:autoSpaceDN w:val="0"/>
              <w:autoSpaceDE w:val="0"/>
              <w:widowControl/>
              <w:spacing w:line="152" w:lineRule="exact" w:before="14" w:after="0"/>
              <w:ind w:left="152" w:right="0" w:firstLine="0"/>
              <w:jc w:val="left"/>
            </w:pPr>
            <w:r>
              <w:rPr>
                <w:rFonts w:ascii="黑体" w:hAnsi="黑体" w:eastAsia="黑体"/>
                <w:b w:val="0"/>
                <w:i w:val="0"/>
                <w:color w:val="000000"/>
                <w:sz w:val="15"/>
              </w:rPr>
              <w:t>（以下简称“山证科技”）</w:t>
            </w:r>
          </w:p>
        </w:tc>
        <w:tc>
          <w:tcPr>
            <w:tcW w:type="dxa" w:w="1540"/>
            <w:tcBorders/>
            <w:tcMar>
              <w:start w:w="0" w:type="dxa"/>
              <w:end w:w="0" w:type="dxa"/>
            </w:tcMar>
          </w:tcPr>
          <w:p>
            <w:pPr>
              <w:autoSpaceDN w:val="0"/>
              <w:autoSpaceDE w:val="0"/>
              <w:widowControl/>
              <w:spacing w:line="152" w:lineRule="exact" w:before="14" w:after="0"/>
              <w:ind w:left="0" w:right="98" w:firstLine="0"/>
              <w:jc w:val="right"/>
            </w:pPr>
            <w:r>
              <w:rPr>
                <w:rFonts w:ascii="黑体" w:hAnsi="黑体" w:eastAsia="黑体"/>
                <w:b w:val="0"/>
                <w:i w:val="0"/>
                <w:color w:val="000000"/>
                <w:sz w:val="15"/>
              </w:rPr>
              <w:t>深圳市</w:t>
            </w:r>
          </w:p>
        </w:tc>
        <w:tc>
          <w:tcPr>
            <w:tcW w:type="dxa" w:w="29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70" w:lineRule="exact" w:before="18" w:after="0"/>
              <w:ind w:left="0" w:right="0" w:firstLine="0"/>
              <w:jc w:val="center"/>
            </w:pPr>
            <w:r>
              <w:rPr>
                <w:rFonts w:ascii="黑体" w:hAnsi="黑体" w:eastAsia="黑体"/>
                <w:b w:val="0"/>
                <w:i w:val="0"/>
                <w:color w:val="000000"/>
                <w:sz w:val="15"/>
              </w:rPr>
              <w:t>人民币</w:t>
            </w:r>
            <w:r>
              <w:rPr>
                <w:rFonts w:ascii="Arial" w:hAnsi="Arial" w:eastAsia="Arial"/>
                <w:b w:val="0"/>
                <w:i w:val="0"/>
                <w:color w:val="000000"/>
                <w:sz w:val="15"/>
              </w:rPr>
              <w:t>20,000</w:t>
            </w:r>
            <w:r>
              <w:rPr>
                <w:rFonts w:ascii="黑体" w:hAnsi="黑体" w:eastAsia="黑体"/>
                <w:b w:val="0"/>
                <w:i w:val="0"/>
                <w:color w:val="000000"/>
                <w:sz w:val="15"/>
              </w:rPr>
              <w:t>万元</w:t>
            </w:r>
            <w:r>
              <w:rPr>
                <w:rFonts w:ascii="黑体" w:hAnsi="黑体" w:eastAsia="黑体"/>
                <w:b w:val="0"/>
                <w:i w:val="0"/>
                <w:color w:val="000000"/>
                <w:sz w:val="15"/>
              </w:rPr>
              <w:t>软件和信息技术服务</w:t>
            </w:r>
          </w:p>
        </w:tc>
        <w:tc>
          <w:tcPr>
            <w:tcW w:type="dxa" w:w="1660"/>
            <w:vMerge w:val="restart"/>
            <w:tcBorders/>
            <w:tcMar>
              <w:start w:w="0" w:type="dxa"/>
              <w:end w:w="0" w:type="dxa"/>
            </w:tcMar>
            <w:tcMar>
              <w:start w:w="0" w:type="dxa"/>
              <w:end w:w="0" w:type="dxa"/>
            </w:tcMar>
            <w:tcMar>
              <w:start w:w="0" w:type="dxa"/>
              <w:end w:w="0" w:type="dxa"/>
            </w:tcMar>
          </w:tcPr>
          <w:p>
            <w:pPr>
              <w:autoSpaceDN w:val="0"/>
              <w:autoSpaceDE w:val="0"/>
              <w:widowControl/>
              <w:spacing w:line="170" w:lineRule="exact" w:before="18" w:after="0"/>
              <w:ind w:left="124" w:right="0" w:firstLine="0"/>
              <w:jc w:val="left"/>
            </w:pPr>
            <w:r>
              <w:rPr>
                <w:rFonts w:ascii="黑体" w:hAnsi="黑体" w:eastAsia="黑体"/>
                <w:b w:val="0"/>
                <w:i w:val="0"/>
                <w:color w:val="000000"/>
                <w:sz w:val="15"/>
              </w:rPr>
              <w:t>人民币</w:t>
            </w:r>
            <w:r>
              <w:rPr>
                <w:rFonts w:ascii="Arial" w:hAnsi="Arial" w:eastAsia="Arial"/>
                <w:b w:val="0"/>
                <w:i w:val="0"/>
                <w:color w:val="000000"/>
                <w:sz w:val="15"/>
              </w:rPr>
              <w:t>20,000</w:t>
            </w:r>
            <w:r>
              <w:rPr>
                <w:rFonts w:ascii="黑体" w:hAnsi="黑体" w:eastAsia="黑体"/>
                <w:b w:val="0"/>
                <w:i w:val="0"/>
                <w:color w:val="000000"/>
                <w:sz w:val="15"/>
              </w:rPr>
              <w:t>万元</w:t>
            </w:r>
          </w:p>
        </w:tc>
        <w:tc>
          <w:tcPr>
            <w:tcW w:type="dxa" w:w="13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5"/>
              </w:rPr>
              <w:t>100.00%</w:t>
            </w:r>
          </w:p>
        </w:tc>
        <w:tc>
          <w:tcPr>
            <w:tcW w:type="dxa" w:w="124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6" w:after="0"/>
              <w:ind w:left="0" w:right="338" w:firstLine="0"/>
              <w:jc w:val="right"/>
            </w:pPr>
            <w:r>
              <w:rPr>
                <w:rFonts w:ascii="Arial" w:hAnsi="Arial" w:eastAsia="Arial"/>
                <w:b w:val="0"/>
                <w:i w:val="0"/>
                <w:color w:val="000000"/>
                <w:sz w:val="15"/>
              </w:rPr>
              <w:t>-</w:t>
            </w:r>
          </w:p>
        </w:tc>
        <w:tc>
          <w:tcPr>
            <w:tcW w:type="dxa" w:w="144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6" w:after="0"/>
              <w:ind w:left="348" w:right="0" w:firstLine="0"/>
              <w:jc w:val="left"/>
            </w:pPr>
            <w:r>
              <w:rPr>
                <w:rFonts w:ascii="Arial" w:hAnsi="Arial" w:eastAsia="Arial"/>
                <w:b w:val="0"/>
                <w:i w:val="0"/>
                <w:color w:val="000000"/>
                <w:sz w:val="15"/>
              </w:rPr>
              <w:t xml:space="preserve">100.00% </w:t>
            </w:r>
          </w:p>
        </w:tc>
        <w:tc>
          <w:tcPr>
            <w:tcW w:type="dxa" w:w="8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26" w:after="0"/>
              <w:ind w:left="0" w:right="6" w:firstLine="0"/>
              <w:jc w:val="right"/>
            </w:pPr>
            <w:r>
              <w:rPr>
                <w:rFonts w:ascii="Arial" w:hAnsi="Arial" w:eastAsia="Arial"/>
                <w:b w:val="0"/>
                <w:i w:val="0"/>
                <w:color w:val="000000"/>
                <w:sz w:val="15"/>
              </w:rPr>
              <w:t xml:space="preserve">- </w:t>
            </w:r>
          </w:p>
        </w:tc>
      </w:tr>
      <w:tr>
        <w:trPr>
          <w:trHeight w:hRule="exact" w:val="124"/>
        </w:trPr>
        <w:tc>
          <w:tcPr>
            <w:tcW w:type="dxa" w:w="3080"/>
            <w:vMerge w:val="restart"/>
            <w:tcBorders/>
            <w:tcMar>
              <w:start w:w="0" w:type="dxa"/>
              <w:end w:w="0" w:type="dxa"/>
            </w:tcMar>
            <w:tcMar>
              <w:start w:w="0" w:type="dxa"/>
              <w:end w:w="0" w:type="dxa"/>
            </w:tcMar>
            <w:tcMar>
              <w:start w:w="0" w:type="dxa"/>
              <w:end w:w="0" w:type="dxa"/>
            </w:tcMar>
          </w:tcPr>
          <w:p>
            <w:pPr>
              <w:autoSpaceDN w:val="0"/>
              <w:autoSpaceDE w:val="0"/>
              <w:widowControl/>
              <w:spacing w:line="150" w:lineRule="exact" w:before="228" w:after="0"/>
              <w:ind w:left="0" w:right="0" w:firstLine="0"/>
              <w:jc w:val="left"/>
            </w:pPr>
            <w:r>
              <w:rPr>
                <w:rFonts w:ascii="黑体" w:hAnsi="黑体" w:eastAsia="黑体"/>
                <w:b w:val="0"/>
                <w:i w:val="0"/>
                <w:color w:val="000000"/>
                <w:sz w:val="15"/>
              </w:rPr>
              <w:t>山证（上海）资产管理有限公司</w:t>
            </w:r>
          </w:p>
        </w:tc>
        <w:tc>
          <w:tcPr>
            <w:tcW w:type="dxa" w:w="154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2" w:lineRule="exact" w:before="408" w:after="0"/>
              <w:ind w:left="0" w:right="98" w:firstLine="0"/>
              <w:jc w:val="right"/>
            </w:pPr>
            <w:r>
              <w:rPr>
                <w:rFonts w:ascii="黑体" w:hAnsi="黑体" w:eastAsia="黑体"/>
                <w:b w:val="0"/>
                <w:i w:val="0"/>
                <w:color w:val="000000"/>
                <w:sz w:val="15"/>
              </w:rPr>
              <w:t>上海市</w:t>
            </w:r>
          </w:p>
        </w:tc>
        <w:tc>
          <w:tcPr>
            <w:tcW w:type="dxa" w:w="3118"/>
            <w:gridSpan w:val="2"/>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r>
      <w:tr>
        <w:trPr>
          <w:trHeight w:hRule="exact" w:val="100"/>
        </w:trPr>
        <w:tc>
          <w:tcPr>
            <w:tcW w:type="dxa" w:w="1559"/>
            <w:vMerge/>
            <w:tcBorders/>
          </w:tcPr>
          <w:p/>
        </w:tc>
        <w:tc>
          <w:tcPr>
            <w:tcW w:type="dxa" w:w="1559"/>
            <w:vMerge/>
            <w:tcBorders/>
          </w:tcPr>
          <w:p/>
        </w:tc>
        <w:tc>
          <w:tcPr>
            <w:tcW w:type="dxa" w:w="29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50" w:lineRule="exact" w:before="104" w:after="0"/>
              <w:ind w:left="0" w:right="104" w:firstLine="0"/>
              <w:jc w:val="right"/>
            </w:pPr>
            <w:r>
              <w:rPr>
                <w:rFonts w:ascii="黑体" w:hAnsi="黑体" w:eastAsia="黑体"/>
                <w:b w:val="0"/>
                <w:i w:val="0"/>
                <w:color w:val="000000"/>
                <w:sz w:val="15"/>
              </w:rPr>
              <w:t>证券资产与公募基金</w:t>
            </w: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r>
      <w:tr>
        <w:trPr>
          <w:trHeight w:hRule="exact" w:val="174"/>
        </w:trPr>
        <w:tc>
          <w:tcPr>
            <w:tcW w:type="dxa" w:w="1559"/>
            <w:vMerge/>
            <w:tcBorders/>
          </w:tcPr>
          <w:p/>
        </w:tc>
        <w:tc>
          <w:tcPr>
            <w:tcW w:type="dxa" w:w="1559"/>
            <w:vMerge/>
            <w:tcBorders/>
          </w:tcPr>
          <w:p/>
        </w:tc>
        <w:tc>
          <w:tcPr>
            <w:tcW w:type="dxa" w:w="3118"/>
            <w:gridSpan w:val="2"/>
            <w:vMerge/>
            <w:tcBorders/>
          </w:tcPr>
          <w:p/>
        </w:tc>
        <w:tc>
          <w:tcPr>
            <w:tcW w:type="dxa" w:w="1660"/>
            <w:vMerge w:val="restart"/>
            <w:tcBorders/>
            <w:tcMar>
              <w:start w:w="0" w:type="dxa"/>
              <w:end w:w="0" w:type="dxa"/>
            </w:tcMar>
            <w:tcMar>
              <w:start w:w="0" w:type="dxa"/>
              <w:end w:w="0" w:type="dxa"/>
            </w:tcMar>
            <w:tcMar>
              <w:start w:w="0" w:type="dxa"/>
              <w:end w:w="0" w:type="dxa"/>
            </w:tcMar>
          </w:tcPr>
          <w:p>
            <w:pPr>
              <w:autoSpaceDN w:val="0"/>
              <w:autoSpaceDE w:val="0"/>
              <w:widowControl/>
              <w:spacing w:line="170" w:lineRule="exact" w:before="190" w:after="0"/>
              <w:ind w:left="124" w:right="0" w:firstLine="0"/>
              <w:jc w:val="left"/>
            </w:pPr>
            <w:r>
              <w:rPr>
                <w:rFonts w:ascii="黑体" w:hAnsi="黑体" w:eastAsia="黑体"/>
                <w:b w:val="0"/>
                <w:i w:val="0"/>
                <w:color w:val="000000"/>
                <w:sz w:val="15"/>
              </w:rPr>
              <w:t>人民币</w:t>
            </w:r>
            <w:r>
              <w:rPr>
                <w:rFonts w:ascii="Arial" w:hAnsi="Arial" w:eastAsia="Arial"/>
                <w:b w:val="0"/>
                <w:i w:val="0"/>
                <w:color w:val="000000"/>
                <w:sz w:val="15"/>
              </w:rPr>
              <w:t>50,000</w:t>
            </w:r>
            <w:r>
              <w:rPr>
                <w:rFonts w:ascii="黑体" w:hAnsi="黑体" w:eastAsia="黑体"/>
                <w:b w:val="0"/>
                <w:i w:val="0"/>
                <w:color w:val="000000"/>
                <w:sz w:val="15"/>
              </w:rPr>
              <w:t>万元</w:t>
            </w:r>
          </w:p>
        </w:tc>
        <w:tc>
          <w:tcPr>
            <w:tcW w:type="dxa" w:w="13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198" w:after="0"/>
              <w:ind w:left="0" w:right="0" w:firstLine="0"/>
              <w:jc w:val="center"/>
            </w:pPr>
            <w:r>
              <w:rPr>
                <w:rFonts w:ascii="Arial" w:hAnsi="Arial" w:eastAsia="Arial"/>
                <w:b w:val="0"/>
                <w:i w:val="0"/>
                <w:color w:val="000000"/>
                <w:sz w:val="15"/>
              </w:rPr>
              <w:t>100.00%</w:t>
            </w:r>
          </w:p>
        </w:tc>
        <w:tc>
          <w:tcPr>
            <w:tcW w:type="dxa" w:w="124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198" w:after="0"/>
              <w:ind w:left="0" w:right="338" w:firstLine="0"/>
              <w:jc w:val="right"/>
            </w:pPr>
            <w:r>
              <w:rPr>
                <w:rFonts w:ascii="Arial" w:hAnsi="Arial" w:eastAsia="Arial"/>
                <w:b w:val="0"/>
                <w:i w:val="0"/>
                <w:color w:val="000000"/>
                <w:sz w:val="15"/>
              </w:rPr>
              <w:t>-</w:t>
            </w:r>
          </w:p>
        </w:tc>
        <w:tc>
          <w:tcPr>
            <w:tcW w:type="dxa" w:w="144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198" w:after="0"/>
              <w:ind w:left="348" w:right="0" w:firstLine="0"/>
              <w:jc w:val="left"/>
            </w:pPr>
            <w:r>
              <w:rPr>
                <w:rFonts w:ascii="Arial" w:hAnsi="Arial" w:eastAsia="Arial"/>
                <w:b w:val="0"/>
                <w:i w:val="0"/>
                <w:color w:val="000000"/>
                <w:sz w:val="15"/>
              </w:rPr>
              <w:t xml:space="preserve">100.00% </w:t>
            </w:r>
          </w:p>
        </w:tc>
        <w:tc>
          <w:tcPr>
            <w:tcW w:type="dxa" w:w="82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198" w:after="0"/>
              <w:ind w:left="0" w:right="6" w:firstLine="0"/>
              <w:jc w:val="right"/>
            </w:pPr>
            <w:r>
              <w:rPr>
                <w:rFonts w:ascii="Arial" w:hAnsi="Arial" w:eastAsia="Arial"/>
                <w:b w:val="0"/>
                <w:i w:val="0"/>
                <w:color w:val="000000"/>
                <w:sz w:val="15"/>
              </w:rPr>
              <w:t xml:space="preserve">- </w:t>
            </w:r>
          </w:p>
        </w:tc>
      </w:tr>
      <w:tr>
        <w:trPr>
          <w:trHeight w:hRule="exact" w:val="162"/>
        </w:trPr>
        <w:tc>
          <w:tcPr>
            <w:tcW w:type="dxa" w:w="3080"/>
            <w:tcBorders/>
            <w:tcMar>
              <w:start w:w="0" w:type="dxa"/>
              <w:end w:w="0" w:type="dxa"/>
            </w:tcMar>
          </w:tcPr>
          <w:p>
            <w:pPr>
              <w:autoSpaceDN w:val="0"/>
              <w:autoSpaceDE w:val="0"/>
              <w:widowControl/>
              <w:spacing w:line="152" w:lineRule="exact" w:before="10" w:after="0"/>
              <w:ind w:left="152" w:right="0" w:firstLine="0"/>
              <w:jc w:val="left"/>
            </w:pPr>
            <w:r>
              <w:rPr>
                <w:rFonts w:ascii="黑体" w:hAnsi="黑体" w:eastAsia="黑体"/>
                <w:b w:val="0"/>
                <w:i w:val="0"/>
                <w:color w:val="000000"/>
                <w:sz w:val="15"/>
              </w:rPr>
              <w:t>（以下简称“山证资管”）</w:t>
            </w:r>
          </w:p>
        </w:tc>
        <w:tc>
          <w:tcPr>
            <w:tcW w:type="dxa" w:w="1559"/>
            <w:vMerge/>
            <w:tcBorders/>
          </w:tcPr>
          <w:p/>
        </w:tc>
        <w:tc>
          <w:tcPr>
            <w:tcW w:type="dxa" w:w="1760"/>
            <w:vMerge w:val="restart"/>
            <w:tcBorders/>
            <w:tcMar>
              <w:start w:w="0" w:type="dxa"/>
              <w:end w:w="0" w:type="dxa"/>
            </w:tcMar>
            <w:tcMar>
              <w:start w:w="0" w:type="dxa"/>
              <w:end w:w="0" w:type="dxa"/>
            </w:tcMar>
          </w:tcPr>
          <w:p>
            <w:pPr>
              <w:autoSpaceDN w:val="0"/>
              <w:autoSpaceDE w:val="0"/>
              <w:widowControl/>
              <w:spacing w:line="170" w:lineRule="exact" w:before="16" w:after="0"/>
              <w:ind w:left="132" w:right="0" w:firstLine="0"/>
              <w:jc w:val="left"/>
            </w:pPr>
            <w:r>
              <w:rPr>
                <w:rFonts w:ascii="黑体" w:hAnsi="黑体" w:eastAsia="黑体"/>
                <w:b w:val="0"/>
                <w:i w:val="0"/>
                <w:color w:val="000000"/>
                <w:sz w:val="15"/>
              </w:rPr>
              <w:t>人民币</w:t>
            </w:r>
            <w:r>
              <w:rPr>
                <w:rFonts w:ascii="Arial" w:hAnsi="Arial" w:eastAsia="Arial"/>
                <w:b w:val="0"/>
                <w:i w:val="0"/>
                <w:color w:val="000000"/>
                <w:sz w:val="15"/>
              </w:rPr>
              <w:t>50,000</w:t>
            </w:r>
            <w:r>
              <w:rPr>
                <w:rFonts w:ascii="黑体" w:hAnsi="黑体" w:eastAsia="黑体"/>
                <w:b w:val="0"/>
                <w:i w:val="0"/>
                <w:color w:val="000000"/>
                <w:sz w:val="15"/>
              </w:rPr>
              <w:t>万元</w:t>
            </w:r>
          </w:p>
        </w:tc>
        <w:tc>
          <w:tcPr>
            <w:tcW w:type="dxa" w:w="1160"/>
            <w:vMerge w:val="restart"/>
            <w:tcBorders/>
            <w:tcMar>
              <w:start w:w="0" w:type="dxa"/>
              <w:end w:w="0" w:type="dxa"/>
            </w:tcMar>
            <w:tcMar>
              <w:start w:w="0" w:type="dxa"/>
              <w:end w:w="0" w:type="dxa"/>
            </w:tcMar>
          </w:tcPr>
          <w:p>
            <w:pPr>
              <w:autoSpaceDN w:val="0"/>
              <w:autoSpaceDE w:val="0"/>
              <w:widowControl/>
              <w:spacing w:line="152" w:lineRule="exact" w:before="24" w:after="0"/>
              <w:ind w:left="0" w:right="104" w:firstLine="0"/>
              <w:jc w:val="right"/>
            </w:pPr>
            <w:r>
              <w:rPr>
                <w:rFonts w:ascii="黑体" w:hAnsi="黑体" w:eastAsia="黑体"/>
                <w:b w:val="0"/>
                <w:i w:val="0"/>
                <w:color w:val="000000"/>
                <w:sz w:val="15"/>
              </w:rPr>
              <w:t>管理</w:t>
            </w: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r>
      <w:tr>
        <w:trPr>
          <w:trHeight w:hRule="exact" w:val="129"/>
        </w:trPr>
        <w:tc>
          <w:tcPr>
            <w:tcW w:type="dxa" w:w="3080"/>
            <w:vMerge w:val="restart"/>
            <w:tcBorders/>
            <w:tcMar>
              <w:start w:w="0" w:type="dxa"/>
              <w:end w:w="0" w:type="dxa"/>
            </w:tcMar>
            <w:tcMar>
              <w:start w:w="0" w:type="dxa"/>
              <w:end w:w="0" w:type="dxa"/>
            </w:tcMar>
          </w:tcPr>
          <w:p>
            <w:pPr>
              <w:autoSpaceDN w:val="0"/>
              <w:autoSpaceDE w:val="0"/>
              <w:widowControl/>
              <w:spacing w:line="150" w:lineRule="exact" w:before="230" w:after="0"/>
              <w:ind w:left="0" w:right="0" w:firstLine="0"/>
              <w:jc w:val="left"/>
            </w:pPr>
            <w:r>
              <w:rPr>
                <w:rFonts w:ascii="黑体" w:hAnsi="黑体" w:eastAsia="黑体"/>
                <w:b w:val="0"/>
                <w:i w:val="0"/>
                <w:color w:val="000000"/>
                <w:sz w:val="15"/>
              </w:rPr>
              <w:t>湖州碳中合</w:t>
            </w:r>
          </w:p>
        </w:tc>
        <w:tc>
          <w:tcPr>
            <w:tcW w:type="dxa" w:w="1540"/>
            <w:vMerge w:val="restart"/>
            <w:tcBorders/>
            <w:tcMar>
              <w:start w:w="0" w:type="dxa"/>
              <w:end w:w="0" w:type="dxa"/>
            </w:tcMar>
            <w:tcMar>
              <w:start w:w="0" w:type="dxa"/>
              <w:end w:w="0" w:type="dxa"/>
            </w:tcMar>
          </w:tcPr>
          <w:p>
            <w:pPr>
              <w:autoSpaceDN w:val="0"/>
              <w:autoSpaceDE w:val="0"/>
              <w:widowControl/>
              <w:spacing w:line="150" w:lineRule="exact" w:before="230" w:after="0"/>
              <w:ind w:left="0" w:right="98" w:firstLine="0"/>
              <w:jc w:val="right"/>
            </w:pPr>
            <w:r>
              <w:rPr>
                <w:rFonts w:ascii="黑体" w:hAnsi="黑体" w:eastAsia="黑体"/>
                <w:b w:val="0"/>
                <w:i w:val="0"/>
                <w:color w:val="000000"/>
                <w:sz w:val="15"/>
              </w:rPr>
              <w:t>湖州市</w:t>
            </w: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c>
          <w:tcPr>
            <w:tcW w:type="dxa" w:w="1559"/>
            <w:vMerge/>
            <w:tcBorders/>
          </w:tcPr>
          <w:p/>
        </w:tc>
      </w:tr>
      <w:tr>
        <w:trPr>
          <w:trHeight w:hRule="exact" w:val="329"/>
        </w:trPr>
        <w:tc>
          <w:tcPr>
            <w:tcW w:type="dxa" w:w="1559"/>
            <w:vMerge/>
            <w:tcBorders/>
          </w:tcPr>
          <w:p/>
        </w:tc>
        <w:tc>
          <w:tcPr>
            <w:tcW w:type="dxa" w:w="1559"/>
            <w:vMerge/>
            <w:tcBorders/>
          </w:tcPr>
          <w:p/>
        </w:tc>
        <w:tc>
          <w:tcPr>
            <w:tcW w:type="dxa" w:w="1760"/>
            <w:tcBorders/>
            <w:tcMar>
              <w:start w:w="0" w:type="dxa"/>
              <w:end w:w="0" w:type="dxa"/>
            </w:tcMar>
          </w:tcPr>
          <w:p>
            <w:pPr>
              <w:autoSpaceDN w:val="0"/>
              <w:autoSpaceDE w:val="0"/>
              <w:widowControl/>
              <w:spacing w:line="168" w:lineRule="exact" w:before="92" w:after="0"/>
              <w:ind w:left="132" w:right="0" w:firstLine="0"/>
              <w:jc w:val="left"/>
            </w:pPr>
            <w:r>
              <w:rPr>
                <w:rFonts w:ascii="黑体" w:hAnsi="黑体" w:eastAsia="黑体"/>
                <w:b w:val="0"/>
                <w:i w:val="0"/>
                <w:color w:val="000000"/>
                <w:sz w:val="15"/>
              </w:rPr>
              <w:t>人民币</w:t>
            </w:r>
            <w:r>
              <w:rPr>
                <w:rFonts w:ascii="Arial" w:hAnsi="Arial" w:eastAsia="Arial"/>
                <w:b w:val="0"/>
                <w:i w:val="0"/>
                <w:color w:val="000000"/>
                <w:sz w:val="15"/>
              </w:rPr>
              <w:t>10,625</w:t>
            </w:r>
            <w:r>
              <w:rPr>
                <w:rFonts w:ascii="黑体" w:hAnsi="黑体" w:eastAsia="黑体"/>
                <w:b w:val="0"/>
                <w:i w:val="0"/>
                <w:color w:val="000000"/>
                <w:sz w:val="15"/>
              </w:rPr>
              <w:t>万元</w:t>
            </w:r>
          </w:p>
        </w:tc>
        <w:tc>
          <w:tcPr>
            <w:tcW w:type="dxa" w:w="1160"/>
            <w:tcBorders/>
            <w:tcMar>
              <w:start w:w="0" w:type="dxa"/>
              <w:end w:w="0" w:type="dxa"/>
            </w:tcMar>
          </w:tcPr>
          <w:p>
            <w:pPr>
              <w:autoSpaceDN w:val="0"/>
              <w:autoSpaceDE w:val="0"/>
              <w:widowControl/>
              <w:spacing w:line="150" w:lineRule="exact" w:before="100" w:after="0"/>
              <w:ind w:left="0" w:right="104" w:firstLine="0"/>
              <w:jc w:val="right"/>
            </w:pPr>
            <w:r>
              <w:rPr>
                <w:rFonts w:ascii="黑体" w:hAnsi="黑体" w:eastAsia="黑体"/>
                <w:b w:val="0"/>
                <w:i w:val="0"/>
                <w:color w:val="000000"/>
                <w:sz w:val="15"/>
              </w:rPr>
              <w:t>股权投资</w:t>
            </w:r>
          </w:p>
        </w:tc>
        <w:tc>
          <w:tcPr>
            <w:tcW w:type="dxa" w:w="1660"/>
            <w:tcBorders/>
            <w:tcMar>
              <w:start w:w="0" w:type="dxa"/>
              <w:end w:w="0" w:type="dxa"/>
            </w:tcMar>
          </w:tcPr>
          <w:p>
            <w:pPr>
              <w:autoSpaceDN w:val="0"/>
              <w:autoSpaceDE w:val="0"/>
              <w:widowControl/>
              <w:spacing w:line="168" w:lineRule="exact" w:before="92" w:after="0"/>
              <w:ind w:left="208" w:right="0" w:firstLine="0"/>
              <w:jc w:val="left"/>
            </w:pPr>
            <w:r>
              <w:rPr>
                <w:rFonts w:ascii="黑体" w:hAnsi="黑体" w:eastAsia="黑体"/>
                <w:b w:val="0"/>
                <w:i w:val="0"/>
                <w:color w:val="000000"/>
                <w:sz w:val="15"/>
              </w:rPr>
              <w:t>人民币</w:t>
            </w:r>
            <w:r>
              <w:rPr>
                <w:rFonts w:ascii="Arial" w:hAnsi="Arial" w:eastAsia="Arial"/>
                <w:b w:val="0"/>
                <w:i w:val="0"/>
                <w:color w:val="000000"/>
                <w:sz w:val="15"/>
              </w:rPr>
              <w:t>6,586</w:t>
            </w:r>
            <w:r>
              <w:rPr>
                <w:rFonts w:ascii="黑体" w:hAnsi="黑体" w:eastAsia="黑体"/>
                <w:b w:val="0"/>
                <w:i w:val="0"/>
                <w:color w:val="000000"/>
                <w:sz w:val="15"/>
              </w:rPr>
              <w:t>万元</w:t>
            </w:r>
          </w:p>
        </w:tc>
        <w:tc>
          <w:tcPr>
            <w:tcW w:type="dxa" w:w="1320"/>
            <w:tcBorders/>
            <w:tcMar>
              <w:start w:w="0" w:type="dxa"/>
              <w:end w:w="0" w:type="dxa"/>
            </w:tcMar>
          </w:tcPr>
          <w:p>
            <w:pPr>
              <w:autoSpaceDN w:val="0"/>
              <w:autoSpaceDE w:val="0"/>
              <w:widowControl/>
              <w:spacing w:line="233" w:lineRule="auto" w:before="100" w:after="0"/>
              <w:ind w:left="0" w:right="380" w:firstLine="0"/>
              <w:jc w:val="right"/>
            </w:pPr>
            <w:r>
              <w:rPr>
                <w:rFonts w:ascii="Arial" w:hAnsi="Arial" w:eastAsia="Arial"/>
                <w:b w:val="0"/>
                <w:i w:val="0"/>
                <w:color w:val="000000"/>
                <w:sz w:val="15"/>
              </w:rPr>
              <w:t>-</w:t>
            </w:r>
          </w:p>
        </w:tc>
        <w:tc>
          <w:tcPr>
            <w:tcW w:type="dxa" w:w="1240"/>
            <w:tcBorders/>
            <w:tcMar>
              <w:start w:w="0" w:type="dxa"/>
              <w:end w:w="0" w:type="dxa"/>
            </w:tcMar>
          </w:tcPr>
          <w:p>
            <w:pPr>
              <w:autoSpaceDN w:val="0"/>
              <w:autoSpaceDE w:val="0"/>
              <w:widowControl/>
              <w:spacing w:line="233" w:lineRule="auto" w:before="100" w:after="0"/>
              <w:ind w:left="0" w:right="0" w:firstLine="0"/>
              <w:jc w:val="center"/>
            </w:pPr>
            <w:r>
              <w:rPr>
                <w:rFonts w:ascii="Arial" w:hAnsi="Arial" w:eastAsia="Arial"/>
                <w:b w:val="0"/>
                <w:i w:val="0"/>
                <w:color w:val="000000"/>
                <w:sz w:val="15"/>
              </w:rPr>
              <w:t>99.85%</w:t>
            </w:r>
          </w:p>
        </w:tc>
        <w:tc>
          <w:tcPr>
            <w:tcW w:type="dxa" w:w="1440"/>
            <w:tcBorders/>
            <w:tcMar>
              <w:start w:w="0" w:type="dxa"/>
              <w:end w:w="0" w:type="dxa"/>
            </w:tcMar>
          </w:tcPr>
          <w:p>
            <w:pPr>
              <w:autoSpaceDN w:val="0"/>
              <w:autoSpaceDE w:val="0"/>
              <w:widowControl/>
              <w:spacing w:line="233" w:lineRule="auto" w:before="100" w:after="0"/>
              <w:ind w:left="0" w:right="458" w:firstLine="0"/>
              <w:jc w:val="right"/>
            </w:pPr>
            <w:r>
              <w:rPr>
                <w:rFonts w:ascii="Arial" w:hAnsi="Arial" w:eastAsia="Arial"/>
                <w:b w:val="0"/>
                <w:i w:val="0"/>
                <w:color w:val="000000"/>
                <w:sz w:val="15"/>
              </w:rPr>
              <w:t xml:space="preserve">- </w:t>
            </w:r>
          </w:p>
        </w:tc>
        <w:tc>
          <w:tcPr>
            <w:tcW w:type="dxa" w:w="820"/>
            <w:tcBorders/>
            <w:tcMar>
              <w:start w:w="0" w:type="dxa"/>
              <w:end w:w="0" w:type="dxa"/>
            </w:tcMar>
          </w:tcPr>
          <w:p>
            <w:pPr>
              <w:autoSpaceDN w:val="0"/>
              <w:autoSpaceDE w:val="0"/>
              <w:widowControl/>
              <w:spacing w:line="168" w:lineRule="exact" w:before="92" w:after="0"/>
              <w:ind w:left="0" w:right="6"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2 </w:t>
            </w:r>
          </w:p>
        </w:tc>
      </w:tr>
    </w:tbl>
    <w:p>
      <w:pPr>
        <w:autoSpaceDN w:val="0"/>
        <w:autoSpaceDE w:val="0"/>
        <w:widowControl/>
        <w:spacing w:line="278" w:lineRule="exact" w:before="182" w:after="0"/>
        <w:ind w:left="0" w:right="72" w:firstLine="0"/>
        <w:jc w:val="both"/>
      </w:pPr>
      <w:r>
        <w:rPr>
          <w:rFonts w:ascii="黑体" w:hAnsi="黑体" w:eastAsia="黑体"/>
          <w:b w:val="0"/>
          <w:i w:val="0"/>
          <w:color w:val="000000"/>
          <w:sz w:val="22"/>
        </w:rPr>
        <w:t>注</w:t>
      </w:r>
      <w:r>
        <w:rPr>
          <w:rFonts w:ascii="Arial" w:hAnsi="Arial" w:eastAsia="Arial"/>
          <w:b w:val="0"/>
          <w:i w:val="0"/>
          <w:color w:val="000000"/>
          <w:sz w:val="22"/>
        </w:rPr>
        <w:t>1</w:t>
      </w:r>
      <w:r>
        <w:rPr>
          <w:rFonts w:ascii="黑体" w:hAnsi="黑体" w:eastAsia="黑体"/>
          <w:b w:val="0"/>
          <w:i w:val="0"/>
          <w:color w:val="000000"/>
          <w:sz w:val="22"/>
        </w:rPr>
        <w:t>：本公司下属子公司山证投资作为中小创投基金、北京山证投资、杭州双子、运城山证、珠海启富一号、舟山海水和山证天安的普通合伙人</w:t>
      </w:r>
      <w:r>
        <w:rPr>
          <w:rFonts w:ascii="黑体" w:hAnsi="黑体" w:eastAsia="黑体"/>
          <w:b w:val="0"/>
          <w:i w:val="0"/>
          <w:color w:val="000000"/>
          <w:sz w:val="22"/>
        </w:rPr>
        <w:t>负责管理这些有限合伙企业，负责执行合伙企业的合伙事务，能够控制合伙企业的重大经营决策，并且本集团享有的可变回报重大，能够对上述</w:t>
      </w:r>
      <w:r>
        <w:rPr>
          <w:rFonts w:ascii="黑体" w:hAnsi="黑体" w:eastAsia="黑体"/>
          <w:b w:val="0"/>
          <w:i w:val="0"/>
          <w:color w:val="000000"/>
          <w:sz w:val="22"/>
        </w:rPr>
        <w:t>合伙企业实施控制。因此本集团将上述有限合伙企业纳入合并财务报表范围。</w:t>
      </w:r>
    </w:p>
    <w:p>
      <w:pPr>
        <w:autoSpaceDN w:val="0"/>
        <w:autoSpaceDE w:val="0"/>
        <w:widowControl/>
        <w:spacing w:line="270" w:lineRule="exact" w:before="284" w:after="0"/>
        <w:ind w:left="0" w:right="0" w:firstLine="0"/>
        <w:jc w:val="left"/>
      </w:pPr>
      <w:r>
        <w:rPr>
          <w:rFonts w:ascii="黑体" w:hAnsi="黑体" w:eastAsia="黑体"/>
          <w:b w:val="0"/>
          <w:i w:val="0"/>
          <w:color w:val="000000"/>
          <w:sz w:val="22"/>
        </w:rPr>
        <w:t>注</w:t>
      </w:r>
      <w:r>
        <w:rPr>
          <w:rFonts w:ascii="Arial" w:hAnsi="Arial" w:eastAsia="Arial"/>
          <w:b w:val="0"/>
          <w:i w:val="0"/>
          <w:color w:val="000000"/>
          <w:sz w:val="22"/>
        </w:rPr>
        <w:t>2</w:t>
      </w:r>
      <w:r>
        <w:rPr>
          <w:rFonts w:ascii="黑体" w:hAnsi="黑体" w:eastAsia="黑体"/>
          <w:b w:val="0"/>
          <w:i w:val="0"/>
          <w:color w:val="000000"/>
          <w:sz w:val="22"/>
        </w:rPr>
        <w:t>：根据《湖州碳中合股权投资合伙企业（有限合伙）合伙协议》，本公司下属子公司山证创新作为湖州碳中合的有限合伙人，能够主导合伙</w:t>
      </w:r>
      <w:r>
        <w:rPr>
          <w:rFonts w:ascii="黑体" w:hAnsi="黑体" w:eastAsia="黑体"/>
          <w:b w:val="0"/>
          <w:i w:val="0"/>
          <w:color w:val="000000"/>
          <w:sz w:val="22"/>
        </w:rPr>
        <w:t>企业投资决策委员会的相关决议，且享有的可变回报重大，能够对该合伙企业实施控制。因此本集团将湖州碳中合纳入合并财务报表范围。</w:t>
      </w:r>
    </w:p>
    <w:p>
      <w:pPr>
        <w:autoSpaceDN w:val="0"/>
        <w:autoSpaceDE w:val="0"/>
        <w:widowControl/>
        <w:spacing w:line="233" w:lineRule="auto" w:before="2660" w:after="0"/>
        <w:ind w:left="0" w:right="0" w:firstLine="0"/>
        <w:jc w:val="center"/>
      </w:pPr>
      <w:r>
        <w:rPr>
          <w:rFonts w:ascii="Arial" w:hAnsi="Arial" w:eastAsia="Arial"/>
          <w:b w:val="0"/>
          <w:i w:val="0"/>
          <w:color w:val="000000"/>
          <w:sz w:val="20"/>
        </w:rPr>
        <w:t xml:space="preserve">249 </w:t>
      </w:r>
    </w:p>
    <w:p>
      <w:pPr>
        <w:sectPr>
          <w:pgSz w:w="16841" w:h="11899"/>
          <w:pgMar w:top="914" w:right="1366"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42" w:val="left"/>
        </w:tabs>
        <w:autoSpaceDE w:val="0"/>
        <w:widowControl/>
        <w:spacing w:line="446" w:lineRule="exact" w:before="0" w:after="164"/>
        <w:ind w:left="0" w:right="9648"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r>
        <w:br/>
      </w:r>
      <w:r>
        <w:rPr>
          <w:rFonts w:ascii="Arial" w:hAnsi="Arial" w:eastAsia="Arial"/>
          <w:b w:val="0"/>
          <w:i w:val="0"/>
          <w:color w:val="000000"/>
          <w:sz w:val="22"/>
        </w:rPr>
        <w:t>1.</w:t>
      </w:r>
      <w:r>
        <w:rPr>
          <w:rFonts w:ascii="黑体" w:hAnsi="黑体" w:eastAsia="黑体"/>
          <w:b w:val="0"/>
          <w:i w:val="0"/>
          <w:color w:val="000000"/>
          <w:sz w:val="22"/>
        </w:rPr>
        <w:t>在子公司中的权益（续）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企业集团的构成（续）</w:t>
      </w:r>
      <w:r>
        <w:br/>
      </w: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非同一控制下企业合并取得的子公司</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218"/>
        </w:trPr>
        <w:tc>
          <w:tcPr>
            <w:tcW w:type="dxa" w:w="752"/>
            <w:tcBorders>
              <w:bottom w:sz="3.2000000000000455" w:val="single" w:color="#000000"/>
            </w:tcBorders>
            <w:tcMar>
              <w:start w:w="0" w:type="dxa"/>
              <w:end w:w="0" w:type="dxa"/>
            </w:tcMar>
          </w:tcPr>
          <w:p>
            <w:pPr>
              <w:autoSpaceDN w:val="0"/>
              <w:autoSpaceDE w:val="0"/>
              <w:widowControl/>
              <w:spacing w:line="152" w:lineRule="exact" w:before="60" w:after="0"/>
              <w:ind w:left="0" w:right="0" w:firstLine="0"/>
              <w:jc w:val="center"/>
            </w:pPr>
            <w:r>
              <w:rPr>
                <w:rFonts w:ascii="黑体" w:hAnsi="黑体" w:eastAsia="黑体"/>
                <w:b w:val="0"/>
                <w:i w:val="0"/>
                <w:color w:val="000000"/>
                <w:sz w:val="15"/>
              </w:rPr>
              <w:t>子公司名称</w:t>
            </w:r>
          </w:p>
        </w:tc>
        <w:tc>
          <w:tcPr>
            <w:tcW w:type="dxa" w:w="3770"/>
            <w:tcBorders>
              <w:bottom w:sz="3.2000000000000455" w:val="single" w:color="#000000"/>
            </w:tcBorders>
            <w:tcMar>
              <w:start w:w="0" w:type="dxa"/>
              <w:end w:w="0" w:type="dxa"/>
            </w:tcMar>
          </w:tcPr>
          <w:p>
            <w:pPr>
              <w:autoSpaceDN w:val="0"/>
              <w:autoSpaceDE w:val="0"/>
              <w:widowControl/>
              <w:spacing w:line="152" w:lineRule="exact" w:before="60" w:after="0"/>
              <w:ind w:left="0" w:right="0" w:firstLine="0"/>
              <w:jc w:val="right"/>
            </w:pPr>
            <w:r>
              <w:rPr>
                <w:rFonts w:ascii="黑体" w:hAnsi="黑体" w:eastAsia="黑体"/>
                <w:b w:val="0"/>
                <w:i w:val="0"/>
                <w:color w:val="000000"/>
                <w:sz w:val="15"/>
              </w:rPr>
              <w:t>注册地及营业地</w:t>
            </w:r>
          </w:p>
        </w:tc>
        <w:tc>
          <w:tcPr>
            <w:tcW w:type="dxa" w:w="1442"/>
            <w:tcBorders>
              <w:bottom w:sz="3.2000000000000455" w:val="single" w:color="#000000"/>
            </w:tcBorders>
            <w:tcMar>
              <w:start w:w="0" w:type="dxa"/>
              <w:end w:w="0" w:type="dxa"/>
            </w:tcMar>
          </w:tcPr>
          <w:p>
            <w:pPr>
              <w:autoSpaceDN w:val="0"/>
              <w:autoSpaceDE w:val="0"/>
              <w:widowControl/>
              <w:spacing w:line="152" w:lineRule="exact" w:before="60" w:after="0"/>
              <w:ind w:left="0" w:right="0" w:firstLine="0"/>
              <w:jc w:val="right"/>
            </w:pPr>
            <w:r>
              <w:rPr>
                <w:rFonts w:ascii="黑体" w:hAnsi="黑体" w:eastAsia="黑体"/>
                <w:b w:val="0"/>
                <w:i w:val="0"/>
                <w:color w:val="000000"/>
                <w:sz w:val="15"/>
              </w:rPr>
              <w:t>注册资本</w:t>
            </w:r>
          </w:p>
        </w:tc>
        <w:tc>
          <w:tcPr>
            <w:tcW w:type="dxa" w:w="1804"/>
            <w:tcBorders>
              <w:bottom w:sz="3.2000000000000455" w:val="single" w:color="#000000"/>
            </w:tcBorders>
            <w:tcMar>
              <w:start w:w="0" w:type="dxa"/>
              <w:end w:w="0" w:type="dxa"/>
            </w:tcMar>
          </w:tcPr>
          <w:p>
            <w:pPr>
              <w:autoSpaceDN w:val="0"/>
              <w:autoSpaceDE w:val="0"/>
              <w:widowControl/>
              <w:spacing w:line="152" w:lineRule="exact" w:before="60" w:after="0"/>
              <w:ind w:left="0" w:right="332" w:firstLine="0"/>
              <w:jc w:val="right"/>
            </w:pPr>
            <w:r>
              <w:rPr>
                <w:rFonts w:ascii="黑体" w:hAnsi="黑体" w:eastAsia="黑体"/>
                <w:b w:val="0"/>
                <w:i w:val="0"/>
                <w:color w:val="000000"/>
                <w:sz w:val="15"/>
              </w:rPr>
              <w:t>业务性质</w:t>
            </w:r>
          </w:p>
        </w:tc>
        <w:tc>
          <w:tcPr>
            <w:tcW w:type="dxa" w:w="1052"/>
            <w:tcBorders>
              <w:bottom w:sz="3.2000000000000455" w:val="single" w:color="#000000"/>
            </w:tcBorders>
            <w:tcMar>
              <w:start w:w="0" w:type="dxa"/>
              <w:end w:w="0" w:type="dxa"/>
            </w:tcMar>
          </w:tcPr>
          <w:p>
            <w:pPr>
              <w:autoSpaceDN w:val="0"/>
              <w:autoSpaceDE w:val="0"/>
              <w:widowControl/>
              <w:spacing w:line="152" w:lineRule="exact" w:before="60" w:after="0"/>
              <w:ind w:left="0" w:right="0" w:firstLine="0"/>
              <w:jc w:val="center"/>
            </w:pPr>
            <w:r>
              <w:rPr>
                <w:rFonts w:ascii="黑体" w:hAnsi="黑体" w:eastAsia="黑体"/>
                <w:b w:val="0"/>
                <w:i w:val="0"/>
                <w:color w:val="000000"/>
                <w:sz w:val="15"/>
              </w:rPr>
              <w:t>年末实际出资额</w:t>
            </w:r>
          </w:p>
        </w:tc>
        <w:tc>
          <w:tcPr>
            <w:tcW w:type="dxa" w:w="2304"/>
            <w:tcBorders>
              <w:bottom w:sz="3.2000000000000455" w:val="single" w:color="#000000"/>
            </w:tcBorders>
            <w:tcMar>
              <w:start w:w="0" w:type="dxa"/>
              <w:end w:w="0" w:type="dxa"/>
            </w:tcMar>
          </w:tcPr>
          <w:p>
            <w:pPr>
              <w:autoSpaceDN w:val="0"/>
              <w:autoSpaceDE w:val="0"/>
              <w:widowControl/>
              <w:spacing w:line="152" w:lineRule="exact" w:before="60" w:after="0"/>
              <w:ind w:left="0" w:right="248" w:firstLine="0"/>
              <w:jc w:val="right"/>
            </w:pPr>
            <w:r>
              <w:rPr>
                <w:rFonts w:ascii="黑体" w:hAnsi="黑体" w:eastAsia="黑体"/>
                <w:b w:val="0"/>
                <w:i w:val="0"/>
                <w:color w:val="000000"/>
                <w:sz w:val="15"/>
              </w:rPr>
              <w:t>本公司持有权益比例</w:t>
            </w:r>
          </w:p>
        </w:tc>
        <w:tc>
          <w:tcPr>
            <w:tcW w:type="dxa" w:w="300"/>
            <w:tcBorders>
              <w:bottom w:sz="3.2000000000000455" w:val="single" w:color="#000000"/>
            </w:tcBorders>
            <w:tcMar>
              <w:start w:w="0" w:type="dxa"/>
              <w:end w:w="0" w:type="dxa"/>
            </w:tcMar>
          </w:tcPr>
          <w:p/>
        </w:tc>
        <w:tc>
          <w:tcPr>
            <w:tcW w:type="dxa" w:w="2234"/>
            <w:tcBorders>
              <w:bottom w:sz="3.2000000000000455" w:val="single" w:color="#000000"/>
            </w:tcBorders>
            <w:tcMar>
              <w:start w:w="0" w:type="dxa"/>
              <w:end w:w="0" w:type="dxa"/>
            </w:tcMar>
          </w:tcPr>
          <w:p>
            <w:pPr>
              <w:autoSpaceDN w:val="0"/>
              <w:autoSpaceDE w:val="0"/>
              <w:widowControl/>
              <w:spacing w:line="152" w:lineRule="exact" w:before="60" w:after="0"/>
              <w:ind w:left="0" w:right="280" w:firstLine="0"/>
              <w:jc w:val="right"/>
            </w:pPr>
            <w:r>
              <w:rPr>
                <w:rFonts w:ascii="黑体" w:hAnsi="黑体" w:eastAsia="黑体"/>
                <w:b w:val="0"/>
                <w:i w:val="0"/>
                <w:color w:val="000000"/>
                <w:sz w:val="15"/>
              </w:rPr>
              <w:t>本公司表决权比例</w:t>
            </w:r>
          </w:p>
        </w:tc>
        <w:tc>
          <w:tcPr>
            <w:tcW w:type="dxa" w:w="300"/>
            <w:tcBorders>
              <w:bottom w:sz="3.2000000000000455" w:val="single" w:color="#000000"/>
            </w:tcBorders>
            <w:tcMar>
              <w:start w:w="0" w:type="dxa"/>
              <w:end w:w="0" w:type="dxa"/>
            </w:tcMar>
          </w:tcPr>
          <w:p/>
        </w:tc>
      </w:tr>
      <w:tr>
        <w:trPr>
          <w:trHeight w:hRule="exact" w:val="204"/>
        </w:trPr>
        <w:tc>
          <w:tcPr>
            <w:tcW w:type="dxa" w:w="752"/>
            <w:tcBorders>
              <w:top w:sz="3.2000000000000455" w:val="single" w:color="#000000"/>
              <w:bottom w:sz="2.3999999999998636" w:val="single" w:color="#000000"/>
            </w:tcBorders>
            <w:tcMar>
              <w:start w:w="0" w:type="dxa"/>
              <w:end w:w="0" w:type="dxa"/>
            </w:tcMar>
          </w:tcPr>
          <w:p/>
        </w:tc>
        <w:tc>
          <w:tcPr>
            <w:tcW w:type="dxa" w:w="5212"/>
            <w:gridSpan w:val="2"/>
            <w:tcBorders>
              <w:top w:sz="3.2000000000000455" w:val="single" w:color="#000000"/>
              <w:bottom w:sz="2.3999999999998636" w:val="single" w:color="#000000"/>
            </w:tcBorders>
            <w:tcMar>
              <w:start w:w="0" w:type="dxa"/>
              <w:end w:w="0" w:type="dxa"/>
            </w:tcMar>
            <w:tcMar>
              <w:start w:w="0" w:type="dxa"/>
              <w:end w:w="0" w:type="dxa"/>
            </w:tcMar>
          </w:tcPr>
          <w:p/>
        </w:tc>
        <w:tc>
          <w:tcPr>
            <w:tcW w:type="dxa" w:w="2856"/>
            <w:gridSpan w:val="2"/>
            <w:tcBorders>
              <w:top w:sz="3.2000000000000455" w:val="single" w:color="#000000"/>
              <w:bottom w:sz="2.3999999999998636" w:val="single" w:color="#000000"/>
            </w:tcBorders>
            <w:tcMar>
              <w:start w:w="0" w:type="dxa"/>
              <w:end w:w="0" w:type="dxa"/>
            </w:tcMar>
            <w:tcMar>
              <w:start w:w="0" w:type="dxa"/>
              <w:end w:w="0" w:type="dxa"/>
            </w:tcMar>
          </w:tcPr>
          <w:p/>
        </w:tc>
        <w:tc>
          <w:tcPr>
            <w:tcW w:type="dxa" w:w="2304"/>
            <w:tcBorders>
              <w:top w:sz="3.2000000000000455" w:val="single" w:color="#000000"/>
              <w:bottom w:sz="2.3999999999998636"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直接</w:t>
            </w:r>
          </w:p>
        </w:tc>
        <w:tc>
          <w:tcPr>
            <w:tcW w:type="dxa" w:w="300"/>
            <w:tcBorders>
              <w:top w:sz="3.2000000000000455" w:val="single" w:color="#000000"/>
              <w:bottom w:sz="2.3999999999998636"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间接</w:t>
            </w:r>
          </w:p>
        </w:tc>
        <w:tc>
          <w:tcPr>
            <w:tcW w:type="dxa" w:w="2234"/>
            <w:tcBorders>
              <w:top w:sz="3.2000000000000455" w:val="single" w:color="#000000"/>
              <w:bottom w:sz="2.3999999999998636" w:val="single" w:color="#000000"/>
            </w:tcBorders>
            <w:tcMar>
              <w:start w:w="0" w:type="dxa"/>
              <w:end w:w="0" w:type="dxa"/>
            </w:tcMar>
          </w:tcPr>
          <w:p>
            <w:pPr>
              <w:autoSpaceDN w:val="0"/>
              <w:autoSpaceDE w:val="0"/>
              <w:widowControl/>
              <w:spacing w:line="152" w:lineRule="exact" w:before="42" w:after="0"/>
              <w:ind w:left="0" w:right="902" w:firstLine="0"/>
              <w:jc w:val="right"/>
            </w:pPr>
            <w:r>
              <w:rPr>
                <w:rFonts w:ascii="黑体" w:hAnsi="黑体" w:eastAsia="黑体"/>
                <w:b w:val="0"/>
                <w:i w:val="0"/>
                <w:color w:val="000000"/>
                <w:sz w:val="15"/>
              </w:rPr>
              <w:t>直接</w:t>
            </w:r>
          </w:p>
        </w:tc>
        <w:tc>
          <w:tcPr>
            <w:tcW w:type="dxa" w:w="300"/>
            <w:tcBorders>
              <w:top w:sz="3.2000000000000455" w:val="single" w:color="#000000"/>
              <w:bottom w:sz="2.3999999999998636" w:val="single" w:color="#000000"/>
            </w:tcBorders>
            <w:tcMar>
              <w:start w:w="0" w:type="dxa"/>
              <w:end w:w="0" w:type="dxa"/>
            </w:tcMar>
          </w:tcPr>
          <w:p>
            <w:pPr>
              <w:autoSpaceDN w:val="0"/>
              <w:autoSpaceDE w:val="0"/>
              <w:widowControl/>
              <w:spacing w:line="152" w:lineRule="exact" w:before="42" w:after="0"/>
              <w:ind w:left="0" w:right="0" w:firstLine="0"/>
              <w:jc w:val="center"/>
            </w:pPr>
            <w:r>
              <w:rPr>
                <w:rFonts w:ascii="黑体" w:hAnsi="黑体" w:eastAsia="黑体"/>
                <w:b w:val="0"/>
                <w:i w:val="0"/>
                <w:color w:val="000000"/>
                <w:sz w:val="15"/>
              </w:rPr>
              <w:t>间接</w:t>
            </w:r>
          </w:p>
        </w:tc>
      </w:tr>
      <w:tr>
        <w:trPr>
          <w:trHeight w:hRule="exact" w:val="440"/>
        </w:trPr>
        <w:tc>
          <w:tcPr>
            <w:tcW w:type="dxa" w:w="752"/>
            <w:tcBorders>
              <w:top w:sz="2.3999999999998636" w:val="single" w:color="#000000"/>
            </w:tcBorders>
            <w:tcMar>
              <w:start w:w="0" w:type="dxa"/>
              <w:end w:w="0" w:type="dxa"/>
            </w:tcMar>
          </w:tcPr>
          <w:p>
            <w:pPr>
              <w:autoSpaceDN w:val="0"/>
              <w:autoSpaceDE w:val="0"/>
              <w:widowControl/>
              <w:spacing w:line="150" w:lineRule="exact" w:before="208" w:after="0"/>
              <w:ind w:left="0" w:right="0" w:firstLine="0"/>
              <w:jc w:val="left"/>
            </w:pPr>
            <w:r>
              <w:rPr>
                <w:rFonts w:ascii="黑体" w:hAnsi="黑体" w:eastAsia="黑体"/>
                <w:b w:val="0"/>
                <w:i w:val="0"/>
                <w:color w:val="000000"/>
                <w:sz w:val="15"/>
              </w:rPr>
              <w:t>格林大华</w:t>
            </w:r>
          </w:p>
        </w:tc>
        <w:tc>
          <w:tcPr>
            <w:tcW w:type="dxa" w:w="5212"/>
            <w:gridSpan w:val="2"/>
            <w:tcBorders>
              <w:top w:sz="2.3999999999998636" w:val="single" w:color="#000000"/>
            </w:tcBorders>
            <w:tcMar>
              <w:start w:w="0" w:type="dxa"/>
              <w:end w:w="0" w:type="dxa"/>
            </w:tcMar>
            <w:tcMar>
              <w:start w:w="0" w:type="dxa"/>
              <w:end w:w="0" w:type="dxa"/>
            </w:tcMar>
          </w:tcPr>
          <w:p>
            <w:pPr>
              <w:autoSpaceDN w:val="0"/>
              <w:autoSpaceDE w:val="0"/>
              <w:widowControl/>
              <w:spacing w:line="168" w:lineRule="exact" w:before="200" w:after="0"/>
              <w:ind w:left="0" w:right="0" w:firstLine="0"/>
              <w:jc w:val="right"/>
            </w:pPr>
            <w:r>
              <w:rPr>
                <w:rFonts w:ascii="黑体" w:hAnsi="黑体" w:eastAsia="黑体"/>
                <w:b w:val="0"/>
                <w:i w:val="0"/>
                <w:color w:val="000000"/>
                <w:sz w:val="15"/>
              </w:rPr>
              <w:t>北京市</w:t>
            </w:r>
            <w:r>
              <w:rPr>
                <w:rFonts w:ascii="黑体" w:hAnsi="黑体" w:eastAsia="黑体"/>
                <w:b w:val="0"/>
                <w:i w:val="0"/>
                <w:color w:val="000000"/>
                <w:sz w:val="15"/>
              </w:rPr>
              <w:t>人民币</w:t>
            </w:r>
            <w:r>
              <w:rPr>
                <w:rFonts w:ascii="Arial" w:hAnsi="Arial" w:eastAsia="Arial"/>
                <w:b w:val="0"/>
                <w:i w:val="0"/>
                <w:color w:val="000000"/>
                <w:sz w:val="15"/>
              </w:rPr>
              <w:t>130,000</w:t>
            </w:r>
            <w:r>
              <w:rPr>
                <w:rFonts w:ascii="黑体" w:hAnsi="黑体" w:eastAsia="黑体"/>
                <w:b w:val="0"/>
                <w:i w:val="0"/>
                <w:color w:val="000000"/>
                <w:sz w:val="15"/>
              </w:rPr>
              <w:t>万元</w:t>
            </w:r>
          </w:p>
        </w:tc>
        <w:tc>
          <w:tcPr>
            <w:tcW w:type="dxa" w:w="2856"/>
            <w:gridSpan w:val="2"/>
            <w:tcBorders>
              <w:top w:sz="2.3999999999998636" w:val="single" w:color="#000000"/>
            </w:tcBorders>
            <w:tcMar>
              <w:start w:w="0" w:type="dxa"/>
              <w:end w:w="0" w:type="dxa"/>
            </w:tcMar>
            <w:tcMar>
              <w:start w:w="0" w:type="dxa"/>
              <w:end w:w="0" w:type="dxa"/>
            </w:tcMar>
          </w:tcPr>
          <w:p>
            <w:pPr>
              <w:autoSpaceDN w:val="0"/>
              <w:autoSpaceDE w:val="0"/>
              <w:widowControl/>
              <w:spacing w:line="168" w:lineRule="exact" w:before="200" w:after="0"/>
              <w:ind w:left="570" w:right="0" w:firstLine="0"/>
              <w:jc w:val="left"/>
            </w:pPr>
            <w:r>
              <w:rPr>
                <w:rFonts w:ascii="黑体" w:hAnsi="黑体" w:eastAsia="黑体"/>
                <w:b w:val="0"/>
                <w:i w:val="0"/>
                <w:color w:val="000000"/>
                <w:sz w:val="15"/>
              </w:rPr>
              <w:t>期货经纪业务</w:t>
            </w:r>
            <w:r>
              <w:rPr>
                <w:rFonts w:ascii="黑体" w:hAnsi="黑体" w:eastAsia="黑体"/>
                <w:b w:val="0"/>
                <w:i w:val="0"/>
                <w:color w:val="000000"/>
                <w:sz w:val="15"/>
              </w:rPr>
              <w:t>人民币</w:t>
            </w:r>
            <w:r>
              <w:rPr>
                <w:rFonts w:ascii="Arial" w:hAnsi="Arial" w:eastAsia="Arial"/>
                <w:b w:val="0"/>
                <w:i w:val="0"/>
                <w:color w:val="000000"/>
                <w:sz w:val="15"/>
              </w:rPr>
              <w:t>130,000</w:t>
            </w:r>
            <w:r>
              <w:rPr>
                <w:rFonts w:ascii="黑体" w:hAnsi="黑体" w:eastAsia="黑体"/>
                <w:b w:val="0"/>
                <w:i w:val="0"/>
                <w:color w:val="000000"/>
                <w:sz w:val="15"/>
              </w:rPr>
              <w:t>万元</w:t>
            </w:r>
          </w:p>
        </w:tc>
        <w:tc>
          <w:tcPr>
            <w:tcW w:type="dxa" w:w="2304"/>
            <w:tcBorders>
              <w:top w:sz="2.3999999999998636" w:val="single" w:color="#000000"/>
            </w:tcBorders>
            <w:tcMar>
              <w:start w:w="0" w:type="dxa"/>
              <w:end w:w="0" w:type="dxa"/>
            </w:tcMar>
          </w:tcPr>
          <w:p>
            <w:pPr>
              <w:autoSpaceDN w:val="0"/>
              <w:autoSpaceDE w:val="0"/>
              <w:widowControl/>
              <w:spacing w:line="233" w:lineRule="auto" w:before="210" w:after="0"/>
              <w:ind w:left="0" w:right="1024" w:firstLine="0"/>
              <w:jc w:val="right"/>
            </w:pPr>
            <w:r>
              <w:rPr>
                <w:rFonts w:ascii="Arial" w:hAnsi="Arial" w:eastAsia="Arial"/>
                <w:b w:val="0"/>
                <w:i w:val="0"/>
                <w:color w:val="000000"/>
                <w:sz w:val="15"/>
              </w:rPr>
              <w:t>100.00%</w:t>
            </w:r>
          </w:p>
        </w:tc>
        <w:tc>
          <w:tcPr>
            <w:tcW w:type="dxa" w:w="300"/>
            <w:tcBorders>
              <w:top w:sz="2.3999999999998636" w:val="single" w:color="#000000"/>
            </w:tcBorders>
            <w:tcMar>
              <w:start w:w="0" w:type="dxa"/>
              <w:end w:w="0" w:type="dxa"/>
            </w:tcMar>
          </w:tcPr>
          <w:p>
            <w:pPr>
              <w:autoSpaceDN w:val="0"/>
              <w:autoSpaceDE w:val="0"/>
              <w:widowControl/>
              <w:spacing w:line="233" w:lineRule="auto" w:before="210" w:after="0"/>
              <w:ind w:left="0" w:right="0" w:firstLine="0"/>
              <w:jc w:val="right"/>
            </w:pPr>
            <w:r>
              <w:rPr>
                <w:rFonts w:ascii="Arial" w:hAnsi="Arial" w:eastAsia="Arial"/>
                <w:b w:val="0"/>
                <w:i w:val="0"/>
                <w:color w:val="000000"/>
                <w:sz w:val="15"/>
              </w:rPr>
              <w:t>-</w:t>
            </w:r>
          </w:p>
        </w:tc>
        <w:tc>
          <w:tcPr>
            <w:tcW w:type="dxa" w:w="2234"/>
            <w:tcBorders>
              <w:top w:sz="2.3999999999998636" w:val="single" w:color="#000000"/>
            </w:tcBorders>
            <w:tcMar>
              <w:start w:w="0" w:type="dxa"/>
              <w:end w:w="0" w:type="dxa"/>
            </w:tcMar>
          </w:tcPr>
          <w:p>
            <w:pPr>
              <w:autoSpaceDN w:val="0"/>
              <w:autoSpaceDE w:val="0"/>
              <w:widowControl/>
              <w:spacing w:line="233" w:lineRule="auto" w:before="210" w:after="0"/>
              <w:ind w:left="0" w:right="902" w:firstLine="0"/>
              <w:jc w:val="right"/>
            </w:pPr>
            <w:r>
              <w:rPr>
                <w:rFonts w:ascii="Arial" w:hAnsi="Arial" w:eastAsia="Arial"/>
                <w:b w:val="0"/>
                <w:i w:val="0"/>
                <w:color w:val="000000"/>
                <w:sz w:val="15"/>
              </w:rPr>
              <w:t>100.00%</w:t>
            </w:r>
          </w:p>
        </w:tc>
        <w:tc>
          <w:tcPr>
            <w:tcW w:type="dxa" w:w="300"/>
            <w:tcBorders>
              <w:top w:sz="2.3999999999998636" w:val="single" w:color="#000000"/>
            </w:tcBorders>
            <w:tcMar>
              <w:start w:w="0" w:type="dxa"/>
              <w:end w:w="0" w:type="dxa"/>
            </w:tcMar>
          </w:tcPr>
          <w:p>
            <w:pPr>
              <w:autoSpaceDN w:val="0"/>
              <w:autoSpaceDE w:val="0"/>
              <w:widowControl/>
              <w:spacing w:line="233" w:lineRule="auto" w:before="210" w:after="0"/>
              <w:ind w:left="0" w:right="0" w:firstLine="0"/>
              <w:jc w:val="right"/>
            </w:pPr>
            <w:r>
              <w:rPr>
                <w:rFonts w:ascii="Arial" w:hAnsi="Arial" w:eastAsia="Arial"/>
                <w:b w:val="0"/>
                <w:i w:val="0"/>
                <w:color w:val="000000"/>
                <w:sz w:val="15"/>
              </w:rPr>
              <w:t>-</w:t>
            </w:r>
          </w:p>
        </w:tc>
      </w:tr>
    </w:tbl>
    <w:p>
      <w:pPr>
        <w:autoSpaceDN w:val="0"/>
        <w:autoSpaceDE w:val="0"/>
        <w:widowControl/>
        <w:spacing w:line="152" w:lineRule="exact" w:before="136" w:after="18"/>
        <w:ind w:left="0" w:right="0" w:firstLine="0"/>
        <w:jc w:val="left"/>
      </w:pPr>
      <w:r>
        <w:rPr>
          <w:rFonts w:ascii="黑体" w:hAnsi="黑体" w:eastAsia="黑体"/>
          <w:b w:val="0"/>
          <w:i w:val="0"/>
          <w:color w:val="000000"/>
          <w:sz w:val="15"/>
        </w:rPr>
        <w:t>山证国际金融控股有限公司</w:t>
      </w:r>
    </w:p>
    <w:tbl>
      <w:tblPr>
        <w:tblW w:type="auto" w:w="0"/>
        <w:tblLayout w:type="fixed"/>
        <w:tblLook w:firstColumn="1" w:firstRow="1" w:lastColumn="0" w:lastRow="0" w:noHBand="0" w:noVBand="1" w:val="04A0"/>
        <w:tblInd w:w="0.0" w:type="dxa"/>
      </w:tblPr>
      <w:tblGrid>
        <w:gridCol w:w="1748"/>
        <w:gridCol w:w="1748"/>
        <w:gridCol w:w="1748"/>
        <w:gridCol w:w="1748"/>
        <w:gridCol w:w="1748"/>
        <w:gridCol w:w="1748"/>
        <w:gridCol w:w="1748"/>
        <w:gridCol w:w="1748"/>
      </w:tblGrid>
      <w:tr>
        <w:trPr>
          <w:trHeight w:hRule="exact" w:val="172"/>
        </w:trPr>
        <w:tc>
          <w:tcPr>
            <w:tcW w:type="dxa" w:w="3160"/>
            <w:tcBorders/>
            <w:tcMar>
              <w:start w:w="0" w:type="dxa"/>
              <w:end w:w="0" w:type="dxa"/>
            </w:tcMar>
          </w:tcPr>
          <w:p>
            <w:pPr>
              <w:autoSpaceDN w:val="0"/>
              <w:autoSpaceDE w:val="0"/>
              <w:widowControl/>
              <w:spacing w:line="152" w:lineRule="exact" w:before="20" w:after="0"/>
              <w:ind w:left="152" w:right="0" w:firstLine="0"/>
              <w:jc w:val="left"/>
            </w:pPr>
            <w:r>
              <w:rPr>
                <w:rFonts w:ascii="黑体" w:hAnsi="黑体" w:eastAsia="黑体"/>
                <w:b w:val="0"/>
                <w:i w:val="0"/>
                <w:color w:val="000000"/>
                <w:sz w:val="15"/>
              </w:rPr>
              <w:t>（以下简称“山证国际金控”）</w:t>
            </w:r>
          </w:p>
        </w:tc>
        <w:tc>
          <w:tcPr>
            <w:tcW w:type="dxa" w:w="3000"/>
            <w:tcBorders/>
            <w:tcMar>
              <w:start w:w="0" w:type="dxa"/>
              <w:end w:w="0" w:type="dxa"/>
            </w:tcMar>
          </w:tcPr>
          <w:p>
            <w:pPr>
              <w:autoSpaceDN w:val="0"/>
              <w:autoSpaceDE w:val="0"/>
              <w:widowControl/>
              <w:spacing w:line="168" w:lineRule="exact" w:before="4" w:after="0"/>
              <w:ind w:left="0" w:right="192" w:firstLine="0"/>
              <w:jc w:val="right"/>
            </w:pPr>
            <w:r>
              <w:rPr>
                <w:rFonts w:ascii="黑体" w:hAnsi="黑体" w:eastAsia="黑体"/>
                <w:b w:val="0"/>
                <w:i w:val="0"/>
                <w:color w:val="000000"/>
                <w:sz w:val="15"/>
              </w:rPr>
              <w:t>香港</w:t>
            </w:r>
            <w:r>
              <w:rPr>
                <w:rFonts w:ascii="黑体" w:hAnsi="黑体" w:eastAsia="黑体"/>
                <w:b w:val="0"/>
                <w:i w:val="0"/>
                <w:color w:val="000000"/>
                <w:sz w:val="15"/>
              </w:rPr>
              <w:t>港币</w:t>
            </w:r>
            <w:r>
              <w:rPr>
                <w:rFonts w:ascii="Arial" w:hAnsi="Arial" w:eastAsia="Arial"/>
                <w:b w:val="0"/>
                <w:i w:val="0"/>
                <w:color w:val="000000"/>
                <w:sz w:val="15"/>
              </w:rPr>
              <w:t>100,000</w:t>
            </w:r>
            <w:r>
              <w:rPr>
                <w:rFonts w:ascii="黑体" w:hAnsi="黑体" w:eastAsia="黑体"/>
                <w:b w:val="0"/>
                <w:i w:val="0"/>
                <w:color w:val="000000"/>
                <w:sz w:val="15"/>
              </w:rPr>
              <w:t>万元</w:t>
            </w:r>
          </w:p>
        </w:tc>
        <w:tc>
          <w:tcPr>
            <w:tcW w:type="dxa" w:w="1380"/>
            <w:tcBorders/>
            <w:tcMar>
              <w:start w:w="0" w:type="dxa"/>
              <w:end w:w="0" w:type="dxa"/>
            </w:tcMar>
          </w:tcPr>
          <w:p>
            <w:pPr>
              <w:autoSpaceDN w:val="0"/>
              <w:autoSpaceDE w:val="0"/>
              <w:widowControl/>
              <w:spacing w:line="152" w:lineRule="exact" w:before="20" w:after="0"/>
              <w:ind w:left="0" w:right="104" w:firstLine="0"/>
              <w:jc w:val="right"/>
            </w:pPr>
            <w:r>
              <w:rPr>
                <w:rFonts w:ascii="黑体" w:hAnsi="黑体" w:eastAsia="黑体"/>
                <w:b w:val="0"/>
                <w:i w:val="0"/>
                <w:color w:val="000000"/>
                <w:sz w:val="15"/>
              </w:rPr>
              <w:t>投资控股</w:t>
            </w:r>
          </w:p>
        </w:tc>
        <w:tc>
          <w:tcPr>
            <w:tcW w:type="dxa" w:w="1640"/>
            <w:tcBorders/>
            <w:tcMar>
              <w:start w:w="0" w:type="dxa"/>
              <w:end w:w="0" w:type="dxa"/>
            </w:tcMar>
          </w:tcPr>
          <w:p>
            <w:pPr>
              <w:autoSpaceDN w:val="0"/>
              <w:autoSpaceDE w:val="0"/>
              <w:widowControl/>
              <w:spacing w:line="168" w:lineRule="exact" w:before="4" w:after="0"/>
              <w:ind w:left="136" w:right="0" w:firstLine="0"/>
              <w:jc w:val="left"/>
            </w:pPr>
            <w:r>
              <w:rPr>
                <w:rFonts w:ascii="黑体" w:hAnsi="黑体" w:eastAsia="黑体"/>
                <w:b w:val="0"/>
                <w:i w:val="0"/>
                <w:color w:val="000000"/>
                <w:sz w:val="15"/>
              </w:rPr>
              <w:t>港币</w:t>
            </w:r>
            <w:r>
              <w:rPr>
                <w:rFonts w:ascii="Arial" w:hAnsi="Arial" w:eastAsia="Arial"/>
                <w:b w:val="0"/>
                <w:i w:val="0"/>
                <w:color w:val="000000"/>
                <w:sz w:val="15"/>
              </w:rPr>
              <w:t>100,000</w:t>
            </w:r>
            <w:r>
              <w:rPr>
                <w:rFonts w:ascii="黑体" w:hAnsi="黑体" w:eastAsia="黑体"/>
                <w:b w:val="0"/>
                <w:i w:val="0"/>
                <w:color w:val="000000"/>
                <w:sz w:val="15"/>
              </w:rPr>
              <w:t>万元</w:t>
            </w:r>
          </w:p>
        </w:tc>
        <w:tc>
          <w:tcPr>
            <w:tcW w:type="dxa" w:w="1320"/>
            <w:vMerge w:val="restart"/>
            <w:tcBorders/>
            <w:tcMar>
              <w:start w:w="0" w:type="dxa"/>
              <w:end w:w="0" w:type="dxa"/>
            </w:tcMar>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5"/>
              </w:rPr>
              <w:t>100.00%</w:t>
            </w:r>
          </w:p>
        </w:tc>
        <w:tc>
          <w:tcPr>
            <w:tcW w:type="dxa" w:w="1280"/>
            <w:vMerge w:val="restart"/>
            <w:tcBorders/>
            <w:tcMar>
              <w:start w:w="0" w:type="dxa"/>
              <w:end w:w="0" w:type="dxa"/>
            </w:tcMar>
            <w:tcMar>
              <w:start w:w="0" w:type="dxa"/>
              <w:end w:w="0" w:type="dxa"/>
            </w:tcMar>
          </w:tcPr>
          <w:p>
            <w:pPr>
              <w:autoSpaceDN w:val="0"/>
              <w:autoSpaceDE w:val="0"/>
              <w:widowControl/>
              <w:spacing w:line="233" w:lineRule="auto" w:before="28" w:after="0"/>
              <w:ind w:left="0" w:right="356" w:firstLine="0"/>
              <w:jc w:val="right"/>
            </w:pPr>
            <w:r>
              <w:rPr>
                <w:rFonts w:ascii="Arial" w:hAnsi="Arial" w:eastAsia="Arial"/>
                <w:b w:val="0"/>
                <w:i w:val="0"/>
                <w:color w:val="000000"/>
                <w:sz w:val="15"/>
              </w:rPr>
              <w:t>-</w:t>
            </w:r>
          </w:p>
        </w:tc>
        <w:tc>
          <w:tcPr>
            <w:tcW w:type="dxa" w:w="1420"/>
            <w:vMerge w:val="restart"/>
            <w:tcBorders/>
            <w:tcMar>
              <w:start w:w="0" w:type="dxa"/>
              <w:end w:w="0" w:type="dxa"/>
            </w:tcMar>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5"/>
              </w:rPr>
              <w:t>100.00%</w:t>
            </w:r>
          </w:p>
        </w:tc>
        <w:tc>
          <w:tcPr>
            <w:tcW w:type="dxa" w:w="760"/>
            <w:vMerge w:val="restart"/>
            <w:tcBorders/>
            <w:tcMar>
              <w:start w:w="0" w:type="dxa"/>
              <w:end w:w="0" w:type="dxa"/>
            </w:tcMar>
            <w:tcMar>
              <w:start w:w="0" w:type="dxa"/>
              <w:end w:w="0" w:type="dxa"/>
            </w:tcMar>
          </w:tcPr>
          <w:p>
            <w:pPr>
              <w:autoSpaceDN w:val="0"/>
              <w:autoSpaceDE w:val="0"/>
              <w:widowControl/>
              <w:spacing w:line="233" w:lineRule="auto" w:before="28" w:after="0"/>
              <w:ind w:left="0" w:right="2" w:firstLine="0"/>
              <w:jc w:val="right"/>
            </w:pPr>
            <w:r>
              <w:rPr>
                <w:rFonts w:ascii="Arial" w:hAnsi="Arial" w:eastAsia="Arial"/>
                <w:b w:val="0"/>
                <w:i w:val="0"/>
                <w:color w:val="000000"/>
                <w:sz w:val="15"/>
              </w:rPr>
              <w:t>-</w:t>
            </w:r>
          </w:p>
        </w:tc>
      </w:tr>
      <w:tr>
        <w:trPr>
          <w:trHeight w:hRule="exact" w:val="121"/>
        </w:trPr>
        <w:tc>
          <w:tcPr>
            <w:tcW w:type="dxa" w:w="3160"/>
            <w:vMerge w:val="restart"/>
            <w:tcBorders/>
            <w:tcMar>
              <w:start w:w="0" w:type="dxa"/>
              <w:end w:w="0" w:type="dxa"/>
            </w:tcMar>
            <w:tcMar>
              <w:start w:w="0" w:type="dxa"/>
              <w:end w:w="0" w:type="dxa"/>
            </w:tcMar>
          </w:tcPr>
          <w:p>
            <w:pPr>
              <w:autoSpaceDN w:val="0"/>
              <w:autoSpaceDE w:val="0"/>
              <w:widowControl/>
              <w:spacing w:line="152" w:lineRule="exact" w:before="220" w:after="0"/>
              <w:ind w:left="0" w:right="0" w:firstLine="0"/>
              <w:jc w:val="left"/>
            </w:pPr>
            <w:r>
              <w:rPr>
                <w:rFonts w:ascii="黑体" w:hAnsi="黑体" w:eastAsia="黑体"/>
                <w:b w:val="0"/>
                <w:i w:val="0"/>
                <w:color w:val="000000"/>
                <w:sz w:val="15"/>
              </w:rPr>
              <w:t>山证并购</w:t>
            </w:r>
          </w:p>
        </w:tc>
        <w:tc>
          <w:tcPr>
            <w:tcW w:type="dxa" w:w="3000"/>
            <w:vMerge w:val="restart"/>
            <w:tcBorders/>
            <w:tcMar>
              <w:start w:w="0" w:type="dxa"/>
              <w:end w:w="0" w:type="dxa"/>
            </w:tcMar>
            <w:tcMar>
              <w:start w:w="0" w:type="dxa"/>
              <w:end w:w="0" w:type="dxa"/>
            </w:tcMar>
          </w:tcPr>
          <w:p>
            <w:pPr>
              <w:autoSpaceDN w:val="0"/>
              <w:autoSpaceDE w:val="0"/>
              <w:widowControl/>
              <w:spacing w:line="168" w:lineRule="exact" w:before="214" w:after="0"/>
              <w:ind w:left="0" w:right="192" w:firstLine="0"/>
              <w:jc w:val="right"/>
            </w:pPr>
            <w:r>
              <w:rPr>
                <w:rFonts w:ascii="黑体" w:hAnsi="黑体" w:eastAsia="黑体"/>
                <w:b w:val="0"/>
                <w:i w:val="0"/>
                <w:color w:val="000000"/>
                <w:sz w:val="15"/>
              </w:rPr>
              <w:t>北京市</w:t>
            </w:r>
            <w:r>
              <w:rPr>
                <w:rFonts w:ascii="黑体" w:hAnsi="黑体" w:eastAsia="黑体"/>
                <w:b w:val="0"/>
                <w:i w:val="0"/>
                <w:color w:val="000000"/>
                <w:sz w:val="15"/>
              </w:rPr>
              <w:t>人民币</w:t>
            </w:r>
            <w:r>
              <w:rPr>
                <w:rFonts w:ascii="Arial" w:hAnsi="Arial" w:eastAsia="Arial"/>
                <w:b w:val="0"/>
                <w:i w:val="0"/>
                <w:color w:val="000000"/>
                <w:sz w:val="15"/>
              </w:rPr>
              <w:t>21,000</w:t>
            </w:r>
            <w:r>
              <w:rPr>
                <w:rFonts w:ascii="黑体" w:hAnsi="黑体" w:eastAsia="黑体"/>
                <w:b w:val="0"/>
                <w:i w:val="0"/>
                <w:color w:val="000000"/>
                <w:sz w:val="15"/>
              </w:rPr>
              <w:t>万元</w:t>
            </w:r>
          </w:p>
        </w:tc>
        <w:tc>
          <w:tcPr>
            <w:tcW w:type="dxa" w:w="1380"/>
            <w:vMerge w:val="restart"/>
            <w:tcBorders/>
            <w:tcMar>
              <w:start w:w="0" w:type="dxa"/>
              <w:end w:w="0" w:type="dxa"/>
            </w:tcMar>
            <w:tcMar>
              <w:start w:w="0" w:type="dxa"/>
              <w:end w:w="0" w:type="dxa"/>
            </w:tcMar>
          </w:tcPr>
          <w:p>
            <w:pPr>
              <w:autoSpaceDN w:val="0"/>
              <w:autoSpaceDE w:val="0"/>
              <w:widowControl/>
              <w:spacing w:line="152" w:lineRule="exact" w:before="220" w:after="0"/>
              <w:ind w:left="222" w:right="0" w:firstLine="0"/>
              <w:jc w:val="left"/>
            </w:pPr>
            <w:r>
              <w:rPr>
                <w:rFonts w:ascii="黑体" w:hAnsi="黑体" w:eastAsia="黑体"/>
                <w:b w:val="0"/>
                <w:i w:val="0"/>
                <w:color w:val="000000"/>
                <w:sz w:val="15"/>
              </w:rPr>
              <w:t>投资与资产管理</w:t>
            </w:r>
          </w:p>
        </w:tc>
        <w:tc>
          <w:tcPr>
            <w:tcW w:type="dxa" w:w="1640"/>
            <w:vMerge w:val="restart"/>
            <w:tcBorders/>
            <w:tcMar>
              <w:start w:w="0" w:type="dxa"/>
              <w:end w:w="0" w:type="dxa"/>
            </w:tcMar>
            <w:tcMar>
              <w:start w:w="0" w:type="dxa"/>
              <w:end w:w="0" w:type="dxa"/>
            </w:tcMar>
          </w:tcPr>
          <w:p>
            <w:pPr>
              <w:autoSpaceDN w:val="0"/>
              <w:autoSpaceDE w:val="0"/>
              <w:widowControl/>
              <w:spacing w:line="235" w:lineRule="auto" w:before="220" w:after="0"/>
              <w:ind w:left="0" w:right="318" w:firstLine="0"/>
              <w:jc w:val="right"/>
            </w:pPr>
            <w:r>
              <w:rPr>
                <w:rFonts w:ascii="Arial" w:hAnsi="Arial" w:eastAsia="Arial"/>
                <w:b w:val="0"/>
                <w:i w:val="0"/>
                <w:color w:val="000000"/>
                <w:sz w:val="15"/>
              </w:rPr>
              <w:t xml:space="preserve">- </w:t>
            </w:r>
          </w:p>
        </w:tc>
        <w:tc>
          <w:tcPr>
            <w:tcW w:type="dxa" w:w="1748"/>
            <w:vMerge/>
            <w:tcBorders/>
          </w:tcPr>
          <w:p/>
        </w:tc>
        <w:tc>
          <w:tcPr>
            <w:tcW w:type="dxa" w:w="1748"/>
            <w:vMerge/>
            <w:tcBorders/>
          </w:tcPr>
          <w:p/>
        </w:tc>
        <w:tc>
          <w:tcPr>
            <w:tcW w:type="dxa" w:w="1748"/>
            <w:vMerge/>
            <w:tcBorders/>
          </w:tcPr>
          <w:p/>
        </w:tc>
        <w:tc>
          <w:tcPr>
            <w:tcW w:type="dxa" w:w="1748"/>
            <w:vMerge/>
            <w:tcBorders/>
          </w:tcPr>
          <w:p/>
        </w:tc>
      </w:tr>
      <w:tr>
        <w:trPr>
          <w:trHeight w:hRule="exact" w:val="328"/>
        </w:trPr>
        <w:tc>
          <w:tcPr>
            <w:tcW w:type="dxa" w:w="1748"/>
            <w:vMerge/>
            <w:tcBorders/>
          </w:tcPr>
          <w:p/>
        </w:tc>
        <w:tc>
          <w:tcPr>
            <w:tcW w:type="dxa" w:w="1748"/>
            <w:vMerge/>
            <w:tcBorders/>
          </w:tcPr>
          <w:p/>
        </w:tc>
        <w:tc>
          <w:tcPr>
            <w:tcW w:type="dxa" w:w="1748"/>
            <w:vMerge/>
            <w:tcBorders/>
          </w:tcPr>
          <w:p/>
        </w:tc>
        <w:tc>
          <w:tcPr>
            <w:tcW w:type="dxa" w:w="1748"/>
            <w:vMerge/>
            <w:tcBorders/>
          </w:tcPr>
          <w:p/>
        </w:tc>
        <w:tc>
          <w:tcPr>
            <w:tcW w:type="dxa" w:w="1320"/>
            <w:tcBorders/>
            <w:tcMar>
              <w:start w:w="0" w:type="dxa"/>
              <w:end w:w="0" w:type="dxa"/>
            </w:tcMar>
          </w:tcPr>
          <w:p>
            <w:pPr>
              <w:autoSpaceDN w:val="0"/>
              <w:autoSpaceDE w:val="0"/>
              <w:widowControl/>
              <w:spacing w:line="235" w:lineRule="auto" w:before="98" w:after="0"/>
              <w:ind w:left="0" w:right="404" w:firstLine="0"/>
              <w:jc w:val="right"/>
            </w:pPr>
            <w:r>
              <w:rPr>
                <w:rFonts w:ascii="Arial" w:hAnsi="Arial" w:eastAsia="Arial"/>
                <w:b w:val="0"/>
                <w:i w:val="0"/>
                <w:color w:val="000000"/>
                <w:sz w:val="15"/>
              </w:rPr>
              <w:t>-</w:t>
            </w:r>
          </w:p>
        </w:tc>
        <w:tc>
          <w:tcPr>
            <w:tcW w:type="dxa" w:w="1280"/>
            <w:tcBorders/>
            <w:tcMar>
              <w:start w:w="0" w:type="dxa"/>
              <w:end w:w="0" w:type="dxa"/>
            </w:tcMar>
          </w:tcPr>
          <w:p>
            <w:pPr>
              <w:autoSpaceDN w:val="0"/>
              <w:autoSpaceDE w:val="0"/>
              <w:widowControl/>
              <w:spacing w:line="235" w:lineRule="auto" w:before="98" w:after="0"/>
              <w:ind w:left="0" w:right="0" w:firstLine="0"/>
              <w:jc w:val="center"/>
            </w:pPr>
            <w:r>
              <w:rPr>
                <w:rFonts w:ascii="Arial" w:hAnsi="Arial" w:eastAsia="Arial"/>
                <w:b w:val="0"/>
                <w:i w:val="0"/>
                <w:color w:val="000000"/>
                <w:sz w:val="15"/>
              </w:rPr>
              <w:t>47.62%</w:t>
            </w:r>
          </w:p>
        </w:tc>
        <w:tc>
          <w:tcPr>
            <w:tcW w:type="dxa" w:w="1420"/>
            <w:tcBorders/>
            <w:tcMar>
              <w:start w:w="0" w:type="dxa"/>
              <w:end w:w="0" w:type="dxa"/>
            </w:tcMar>
          </w:tcPr>
          <w:p>
            <w:pPr>
              <w:autoSpaceDN w:val="0"/>
              <w:autoSpaceDE w:val="0"/>
              <w:widowControl/>
              <w:spacing w:line="235" w:lineRule="auto" w:before="98" w:after="0"/>
              <w:ind w:left="0" w:right="446" w:firstLine="0"/>
              <w:jc w:val="right"/>
            </w:pPr>
            <w:r>
              <w:rPr>
                <w:rFonts w:ascii="Arial" w:hAnsi="Arial" w:eastAsia="Arial"/>
                <w:b w:val="0"/>
                <w:i w:val="0"/>
                <w:color w:val="000000"/>
                <w:sz w:val="15"/>
              </w:rPr>
              <w:t>-</w:t>
            </w:r>
          </w:p>
        </w:tc>
        <w:tc>
          <w:tcPr>
            <w:tcW w:type="dxa" w:w="760"/>
            <w:tcBorders/>
            <w:tcMar>
              <w:start w:w="0" w:type="dxa"/>
              <w:end w:w="0" w:type="dxa"/>
            </w:tcMar>
          </w:tcPr>
          <w:p>
            <w:pPr>
              <w:autoSpaceDN w:val="0"/>
              <w:autoSpaceDE w:val="0"/>
              <w:widowControl/>
              <w:spacing w:line="168" w:lineRule="exact" w:before="92" w:after="0"/>
              <w:ind w:left="0" w:right="0" w:firstLine="0"/>
              <w:jc w:val="right"/>
            </w:pPr>
            <w:r>
              <w:rPr>
                <w:rFonts w:ascii="黑体" w:hAnsi="黑体" w:eastAsia="黑体"/>
                <w:b w:val="0"/>
                <w:i w:val="0"/>
                <w:color w:val="000000"/>
                <w:sz w:val="15"/>
              </w:rPr>
              <w:t>注</w:t>
            </w:r>
            <w:r>
              <w:rPr>
                <w:rFonts w:ascii="Arial" w:hAnsi="Arial" w:eastAsia="Arial"/>
                <w:b w:val="0"/>
                <w:i w:val="0"/>
                <w:color w:val="000000"/>
                <w:sz w:val="15"/>
              </w:rPr>
              <w:t xml:space="preserve"> 1</w:t>
            </w:r>
          </w:p>
        </w:tc>
      </w:tr>
    </w:tbl>
    <w:p>
      <w:pPr>
        <w:autoSpaceDN w:val="0"/>
        <w:autoSpaceDE w:val="0"/>
        <w:widowControl/>
        <w:spacing w:line="270" w:lineRule="exact" w:before="192" w:after="0"/>
        <w:ind w:left="0" w:right="0" w:firstLine="0"/>
        <w:jc w:val="left"/>
      </w:pPr>
      <w:r>
        <w:rPr>
          <w:rFonts w:ascii="黑体" w:hAnsi="黑体" w:eastAsia="黑体"/>
          <w:b w:val="0"/>
          <w:i w:val="0"/>
          <w:color w:val="000000"/>
          <w:sz w:val="22"/>
        </w:rPr>
        <w:t>注</w:t>
      </w:r>
      <w:r>
        <w:rPr>
          <w:rFonts w:ascii="Arial" w:hAnsi="Arial" w:eastAsia="Arial"/>
          <w:b w:val="0"/>
          <w:i w:val="0"/>
          <w:color w:val="000000"/>
          <w:sz w:val="22"/>
        </w:rPr>
        <w:t>1</w:t>
      </w:r>
      <w:r>
        <w:rPr>
          <w:rFonts w:ascii="黑体" w:hAnsi="黑体" w:eastAsia="黑体"/>
          <w:b w:val="0"/>
          <w:i w:val="0"/>
          <w:color w:val="000000"/>
          <w:sz w:val="22"/>
        </w:rPr>
        <w:t>：本公司下属子公司山证投资作为山证并购的普通合伙人负责管理这些有限合伙企业，负责执行合伙企业的合伙事务，能够控制合伙企业的</w:t>
      </w:r>
      <w:r>
        <w:rPr>
          <w:rFonts w:ascii="黑体" w:hAnsi="黑体" w:eastAsia="黑体"/>
          <w:b w:val="0"/>
          <w:i w:val="0"/>
          <w:color w:val="000000"/>
          <w:sz w:val="22"/>
        </w:rPr>
        <w:t>重大经营决策，并且本集团享有的可变回报重大，能够对上述合伙企业实施控制。因此本集团将上述有限合伙企业纳入合并财务报表范围。</w:t>
      </w:r>
    </w:p>
    <w:p>
      <w:pPr>
        <w:autoSpaceDN w:val="0"/>
        <w:autoSpaceDE w:val="0"/>
        <w:widowControl/>
        <w:spacing w:line="233" w:lineRule="auto" w:before="4156" w:after="0"/>
        <w:ind w:left="0" w:right="0" w:firstLine="0"/>
        <w:jc w:val="center"/>
      </w:pPr>
      <w:r>
        <w:rPr>
          <w:rFonts w:ascii="Arial" w:hAnsi="Arial" w:eastAsia="Arial"/>
          <w:b w:val="0"/>
          <w:i w:val="0"/>
          <w:color w:val="000000"/>
          <w:sz w:val="20"/>
        </w:rPr>
        <w:t xml:space="preserve">250 </w:t>
      </w:r>
    </w:p>
    <w:p>
      <w:pPr>
        <w:sectPr>
          <w:pgSz w:w="16841" w:h="11899"/>
          <w:pgMar w:top="1166" w:right="1418" w:bottom="360" w:left="1440" w:header="720" w:footer="720" w:gutter="0"/>
          <w:cols/>
          <w:docGrid w:linePitch="360"/>
        </w:sectPr>
      </w:pPr>
    </w:p>
    <w:p>
      <w:pPr>
        <w:autoSpaceDN w:val="0"/>
        <w:autoSpaceDE w:val="0"/>
        <w:widowControl/>
        <w:spacing w:line="220" w:lineRule="exact" w:before="0" w:after="774"/>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1086" w:val="left"/>
        </w:tabs>
        <w:autoSpaceDE w:val="0"/>
        <w:widowControl/>
        <w:spacing w:line="246" w:lineRule="exact" w:before="310"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在子公司中的权益（续）</w:t>
      </w:r>
    </w:p>
    <w:p>
      <w:pPr>
        <w:autoSpaceDN w:val="0"/>
        <w:autoSpaceDE w:val="0"/>
        <w:widowControl/>
        <w:spacing w:line="246" w:lineRule="exact" w:before="292" w:after="24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重要的非全资子公司</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74"/>
        </w:trPr>
        <w:tc>
          <w:tcPr>
            <w:tcW w:type="dxa" w:w="1440"/>
            <w:vMerge w:val="restart"/>
            <w:tcBorders/>
            <w:tcMar>
              <w:start w:w="0" w:type="dxa"/>
              <w:end w:w="0" w:type="dxa"/>
            </w:tcMar>
            <w:tcMar>
              <w:start w:w="0" w:type="dxa"/>
              <w:end w:w="0" w:type="dxa"/>
            </w:tcMar>
          </w:tcPr>
          <w:p>
            <w:pPr>
              <w:autoSpaceDN w:val="0"/>
              <w:autoSpaceDE w:val="0"/>
              <w:widowControl/>
              <w:spacing w:line="200" w:lineRule="exact" w:before="320" w:after="0"/>
              <w:ind w:left="0" w:right="0" w:firstLine="0"/>
              <w:jc w:val="center"/>
            </w:pPr>
            <w:r>
              <w:rPr>
                <w:rFonts w:ascii="黑体" w:hAnsi="黑体" w:eastAsia="黑体"/>
                <w:b w:val="0"/>
                <w:i w:val="0"/>
                <w:color w:val="000000"/>
                <w:sz w:val="20"/>
              </w:rPr>
              <w:t>子公司名称</w:t>
            </w:r>
          </w:p>
        </w:tc>
        <w:tc>
          <w:tcPr>
            <w:tcW w:type="dxa" w:w="1420"/>
            <w:tcBorders/>
            <w:tcMar>
              <w:start w:w="0" w:type="dxa"/>
              <w:end w:w="0" w:type="dxa"/>
            </w:tcMar>
          </w:tcPr>
          <w:p>
            <w:pPr>
              <w:autoSpaceDN w:val="0"/>
              <w:autoSpaceDE w:val="0"/>
              <w:widowControl/>
              <w:spacing w:line="200" w:lineRule="exact" w:before="60" w:after="0"/>
              <w:ind w:left="262" w:right="0" w:firstLine="0"/>
              <w:jc w:val="left"/>
            </w:pPr>
            <w:r>
              <w:rPr>
                <w:rFonts w:ascii="黑体" w:hAnsi="黑体" w:eastAsia="黑体"/>
                <w:b w:val="0"/>
                <w:i w:val="0"/>
                <w:color w:val="000000"/>
                <w:sz w:val="20"/>
              </w:rPr>
              <w:t>少数股东的</w:t>
            </w:r>
          </w:p>
        </w:tc>
        <w:tc>
          <w:tcPr>
            <w:tcW w:type="dxa" w:w="1980"/>
            <w:tcBorders/>
            <w:tcMar>
              <w:start w:w="0" w:type="dxa"/>
              <w:end w:w="0" w:type="dxa"/>
            </w:tcMar>
          </w:tcPr>
          <w:p>
            <w:pPr>
              <w:autoSpaceDN w:val="0"/>
              <w:autoSpaceDE w:val="0"/>
              <w:widowControl/>
              <w:spacing w:line="200" w:lineRule="exact" w:before="60" w:after="0"/>
              <w:ind w:left="0" w:right="0" w:firstLine="0"/>
              <w:jc w:val="center"/>
            </w:pPr>
            <w:r>
              <w:rPr>
                <w:rFonts w:ascii="黑体" w:hAnsi="黑体" w:eastAsia="黑体"/>
                <w:b w:val="0"/>
                <w:i w:val="0"/>
                <w:color w:val="000000"/>
                <w:sz w:val="20"/>
              </w:rPr>
              <w:t>本年归属于少数股</w:t>
            </w:r>
          </w:p>
        </w:tc>
        <w:tc>
          <w:tcPr>
            <w:tcW w:type="dxa" w:w="2320"/>
            <w:tcBorders/>
            <w:tcMar>
              <w:start w:w="0" w:type="dxa"/>
              <w:end w:w="0" w:type="dxa"/>
            </w:tcMar>
          </w:tcPr>
          <w:p>
            <w:pPr>
              <w:autoSpaceDN w:val="0"/>
              <w:autoSpaceDE w:val="0"/>
              <w:widowControl/>
              <w:spacing w:line="200" w:lineRule="exact" w:before="60" w:after="0"/>
              <w:ind w:left="104" w:right="0" w:firstLine="0"/>
              <w:jc w:val="left"/>
            </w:pPr>
            <w:r>
              <w:rPr>
                <w:rFonts w:ascii="黑体" w:hAnsi="黑体" w:eastAsia="黑体"/>
                <w:b w:val="0"/>
                <w:i w:val="0"/>
                <w:color w:val="000000"/>
                <w:sz w:val="20"/>
              </w:rPr>
              <w:t>本年向少数股东宣告分</w:t>
            </w:r>
          </w:p>
        </w:tc>
        <w:tc>
          <w:tcPr>
            <w:tcW w:type="dxa" w:w="1520"/>
            <w:tcBorders/>
            <w:tcMar>
              <w:start w:w="0" w:type="dxa"/>
              <w:end w:w="0" w:type="dxa"/>
            </w:tcMar>
          </w:tcPr>
          <w:p>
            <w:pPr>
              <w:autoSpaceDN w:val="0"/>
              <w:autoSpaceDE w:val="0"/>
              <w:widowControl/>
              <w:spacing w:line="200" w:lineRule="exact" w:before="60" w:after="0"/>
              <w:ind w:left="0" w:right="0" w:firstLine="0"/>
              <w:jc w:val="center"/>
            </w:pPr>
            <w:r>
              <w:rPr>
                <w:rFonts w:ascii="黑体" w:hAnsi="黑体" w:eastAsia="黑体"/>
                <w:b w:val="0"/>
                <w:i w:val="0"/>
                <w:color w:val="000000"/>
                <w:sz w:val="20"/>
              </w:rPr>
              <w:t>年末少数股东</w:t>
            </w:r>
          </w:p>
        </w:tc>
      </w:tr>
      <w:tr>
        <w:trPr>
          <w:trHeight w:hRule="exact" w:val="400"/>
        </w:trPr>
        <w:tc>
          <w:tcPr>
            <w:tcW w:type="dxa" w:w="1804"/>
            <w:vMerge/>
            <w:tcBorders/>
          </w:tcPr>
          <w:p/>
        </w:tc>
        <w:tc>
          <w:tcPr>
            <w:tcW w:type="dxa" w:w="1420"/>
            <w:tcBorders/>
            <w:tcMar>
              <w:start w:w="0" w:type="dxa"/>
              <w:end w:w="0" w:type="dxa"/>
            </w:tcMar>
          </w:tcPr>
          <w:p>
            <w:pPr>
              <w:autoSpaceDN w:val="0"/>
              <w:autoSpaceDE w:val="0"/>
              <w:widowControl/>
              <w:spacing w:line="200" w:lineRule="exact" w:before="46" w:after="0"/>
              <w:ind w:left="0" w:right="156" w:firstLine="0"/>
              <w:jc w:val="right"/>
            </w:pPr>
            <w:r>
              <w:rPr>
                <w:rFonts w:ascii="黑体" w:hAnsi="黑体" w:eastAsia="黑体"/>
                <w:b w:val="0"/>
                <w:i w:val="0"/>
                <w:color w:val="000000"/>
                <w:sz w:val="20"/>
              </w:rPr>
              <w:t>持股比例</w:t>
            </w:r>
          </w:p>
        </w:tc>
        <w:tc>
          <w:tcPr>
            <w:tcW w:type="dxa" w:w="1980"/>
            <w:tcBorders/>
            <w:tcMar>
              <w:start w:w="0" w:type="dxa"/>
              <w:end w:w="0" w:type="dxa"/>
            </w:tcMar>
          </w:tcPr>
          <w:p>
            <w:pPr>
              <w:autoSpaceDN w:val="0"/>
              <w:autoSpaceDE w:val="0"/>
              <w:widowControl/>
              <w:spacing w:line="200" w:lineRule="exact" w:before="46" w:after="0"/>
              <w:ind w:left="0" w:right="190" w:firstLine="0"/>
              <w:jc w:val="right"/>
            </w:pPr>
            <w:r>
              <w:rPr>
                <w:rFonts w:ascii="黑体" w:hAnsi="黑体" w:eastAsia="黑体"/>
                <w:b w:val="0"/>
                <w:i w:val="0"/>
                <w:color w:val="000000"/>
                <w:sz w:val="20"/>
              </w:rPr>
              <w:t>东的损益</w:t>
            </w:r>
          </w:p>
        </w:tc>
        <w:tc>
          <w:tcPr>
            <w:tcW w:type="dxa" w:w="2320"/>
            <w:tcBorders/>
            <w:tcMar>
              <w:start w:w="0" w:type="dxa"/>
              <w:end w:w="0" w:type="dxa"/>
            </w:tcMar>
          </w:tcPr>
          <w:p>
            <w:pPr>
              <w:autoSpaceDN w:val="0"/>
              <w:autoSpaceDE w:val="0"/>
              <w:widowControl/>
              <w:spacing w:line="200" w:lineRule="exact" w:before="46" w:after="0"/>
              <w:ind w:left="0" w:right="218" w:firstLine="0"/>
              <w:jc w:val="right"/>
            </w:pPr>
            <w:r>
              <w:rPr>
                <w:rFonts w:ascii="黑体" w:hAnsi="黑体" w:eastAsia="黑体"/>
                <w:b w:val="0"/>
                <w:i w:val="0"/>
                <w:color w:val="000000"/>
                <w:sz w:val="20"/>
              </w:rPr>
              <w:t>派的股利</w:t>
            </w:r>
          </w:p>
        </w:tc>
        <w:tc>
          <w:tcPr>
            <w:tcW w:type="dxa" w:w="1520"/>
            <w:tcBorders/>
            <w:tcMar>
              <w:start w:w="0" w:type="dxa"/>
              <w:end w:w="0" w:type="dxa"/>
            </w:tcMar>
          </w:tcPr>
          <w:p>
            <w:pPr>
              <w:autoSpaceDN w:val="0"/>
              <w:autoSpaceDE w:val="0"/>
              <w:widowControl/>
              <w:spacing w:line="200" w:lineRule="exact" w:before="46" w:after="0"/>
              <w:ind w:left="0" w:right="148" w:firstLine="0"/>
              <w:jc w:val="right"/>
            </w:pPr>
            <w:r>
              <w:rPr>
                <w:rFonts w:ascii="黑体" w:hAnsi="黑体" w:eastAsia="黑体"/>
                <w:b w:val="0"/>
                <w:i w:val="0"/>
                <w:color w:val="000000"/>
                <w:sz w:val="20"/>
              </w:rPr>
              <w:t>权益余额</w:t>
            </w:r>
          </w:p>
        </w:tc>
      </w:tr>
      <w:tr>
        <w:trPr>
          <w:trHeight w:hRule="exact" w:val="446"/>
        </w:trPr>
        <w:tc>
          <w:tcPr>
            <w:tcW w:type="dxa" w:w="1440"/>
            <w:tcBorders/>
            <w:tcMar>
              <w:start w:w="0" w:type="dxa"/>
              <w:end w:w="0" w:type="dxa"/>
            </w:tcMar>
          </w:tcPr>
          <w:p>
            <w:pPr>
              <w:autoSpaceDN w:val="0"/>
              <w:autoSpaceDE w:val="0"/>
              <w:widowControl/>
              <w:spacing w:line="198" w:lineRule="exact" w:before="160" w:after="0"/>
              <w:ind w:left="198" w:right="0" w:firstLine="0"/>
              <w:jc w:val="left"/>
            </w:pPr>
            <w:r>
              <w:rPr>
                <w:rFonts w:ascii="黑体" w:hAnsi="黑体" w:eastAsia="黑体"/>
                <w:b w:val="0"/>
                <w:i w:val="0"/>
                <w:color w:val="000000"/>
                <w:sz w:val="20"/>
              </w:rPr>
              <w:t>中德证券</w:t>
            </w:r>
          </w:p>
        </w:tc>
        <w:tc>
          <w:tcPr>
            <w:tcW w:type="dxa" w:w="1420"/>
            <w:tcBorders/>
            <w:tcMar>
              <w:start w:w="0" w:type="dxa"/>
              <w:end w:w="0" w:type="dxa"/>
            </w:tcMar>
          </w:tcPr>
          <w:p>
            <w:pPr>
              <w:autoSpaceDN w:val="0"/>
              <w:autoSpaceDE w:val="0"/>
              <w:widowControl/>
              <w:spacing w:line="233" w:lineRule="auto" w:before="164" w:after="0"/>
              <w:ind w:left="0" w:right="158" w:firstLine="0"/>
              <w:jc w:val="right"/>
            </w:pPr>
            <w:r>
              <w:rPr>
                <w:rFonts w:ascii="Arial" w:hAnsi="Arial" w:eastAsia="Arial"/>
                <w:b w:val="0"/>
                <w:i w:val="0"/>
                <w:color w:val="000000"/>
                <w:sz w:val="20"/>
              </w:rPr>
              <w:t>33%</w:t>
            </w:r>
          </w:p>
        </w:tc>
        <w:tc>
          <w:tcPr>
            <w:tcW w:type="dxa" w:w="1980"/>
            <w:tcBorders/>
            <w:tcMar>
              <w:start w:w="0" w:type="dxa"/>
              <w:end w:w="0" w:type="dxa"/>
            </w:tcMar>
          </w:tcPr>
          <w:p>
            <w:pPr>
              <w:autoSpaceDN w:val="0"/>
              <w:autoSpaceDE w:val="0"/>
              <w:widowControl/>
              <w:spacing w:line="233" w:lineRule="auto" w:before="164" w:after="0"/>
              <w:ind w:left="0" w:right="66" w:firstLine="0"/>
              <w:jc w:val="right"/>
            </w:pPr>
            <w:r>
              <w:rPr>
                <w:rFonts w:ascii="Arial" w:hAnsi="Arial" w:eastAsia="Arial"/>
                <w:b w:val="0"/>
                <w:i w:val="0"/>
                <w:color w:val="000000"/>
                <w:sz w:val="20"/>
              </w:rPr>
              <w:t xml:space="preserve">(22,470,736 ) </w:t>
            </w:r>
          </w:p>
        </w:tc>
        <w:tc>
          <w:tcPr>
            <w:tcW w:type="dxa" w:w="2320"/>
            <w:tcBorders/>
            <w:tcMar>
              <w:start w:w="0" w:type="dxa"/>
              <w:end w:w="0" w:type="dxa"/>
            </w:tcMar>
          </w:tcPr>
          <w:p>
            <w:pPr>
              <w:autoSpaceDN w:val="0"/>
              <w:autoSpaceDE w:val="0"/>
              <w:widowControl/>
              <w:spacing w:line="233" w:lineRule="auto" w:before="164" w:after="0"/>
              <w:ind w:left="0" w:right="162" w:firstLine="0"/>
              <w:jc w:val="right"/>
            </w:pPr>
            <w:r>
              <w:rPr>
                <w:rFonts w:ascii="Arial" w:hAnsi="Arial" w:eastAsia="Arial"/>
                <w:b w:val="0"/>
                <w:i w:val="0"/>
                <w:color w:val="000000"/>
                <w:sz w:val="20"/>
              </w:rPr>
              <w:t xml:space="preserve">- </w:t>
            </w:r>
          </w:p>
        </w:tc>
        <w:tc>
          <w:tcPr>
            <w:tcW w:type="dxa" w:w="1520"/>
            <w:tcBorders/>
            <w:tcMar>
              <w:start w:w="0" w:type="dxa"/>
              <w:end w:w="0" w:type="dxa"/>
            </w:tcMar>
          </w:tcPr>
          <w:p>
            <w:pPr>
              <w:autoSpaceDN w:val="0"/>
              <w:autoSpaceDE w:val="0"/>
              <w:widowControl/>
              <w:spacing w:line="233" w:lineRule="auto" w:before="164" w:after="0"/>
              <w:ind w:left="262" w:right="0" w:firstLine="0"/>
              <w:jc w:val="left"/>
            </w:pPr>
            <w:r>
              <w:rPr>
                <w:rFonts w:ascii="Arial" w:hAnsi="Arial" w:eastAsia="Arial"/>
                <w:b w:val="0"/>
                <w:i w:val="0"/>
                <w:color w:val="000000"/>
                <w:sz w:val="20"/>
              </w:rPr>
              <w:t>310,669,485</w:t>
            </w:r>
          </w:p>
        </w:tc>
      </w:tr>
    </w:tbl>
    <w:p>
      <w:pPr>
        <w:autoSpaceDN w:val="0"/>
        <w:autoSpaceDE w:val="0"/>
        <w:widowControl/>
        <w:spacing w:line="246" w:lineRule="exact" w:before="214"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重要非全资子公司的主要财务信息</w:t>
      </w:r>
    </w:p>
    <w:p>
      <w:pPr>
        <w:autoSpaceDN w:val="0"/>
        <w:autoSpaceDE w:val="0"/>
        <w:widowControl/>
        <w:spacing w:line="220" w:lineRule="exact" w:before="302" w:after="0"/>
        <w:ind w:left="0" w:right="0" w:firstLine="0"/>
        <w:jc w:val="center"/>
      </w:pPr>
      <w:r>
        <w:rPr>
          <w:rFonts w:ascii="黑体" w:hAnsi="黑体" w:eastAsia="黑体"/>
          <w:b w:val="0"/>
          <w:i w:val="0"/>
          <w:color w:val="000000"/>
          <w:sz w:val="22"/>
        </w:rPr>
        <w:t>下表列示了上述子公司的主要财务信息，这些子公司的主要财务信息是集团内部交易</w:t>
      </w:r>
    </w:p>
    <w:p>
      <w:pPr>
        <w:autoSpaceDN w:val="0"/>
        <w:autoSpaceDE w:val="0"/>
        <w:widowControl/>
        <w:spacing w:line="222" w:lineRule="exact" w:before="64" w:after="0"/>
        <w:ind w:left="358" w:right="0" w:firstLine="0"/>
        <w:jc w:val="left"/>
      </w:pPr>
      <w:r>
        <w:rPr>
          <w:rFonts w:ascii="黑体" w:hAnsi="黑体" w:eastAsia="黑体"/>
          <w:b w:val="0"/>
          <w:i w:val="0"/>
          <w:color w:val="000000"/>
          <w:sz w:val="22"/>
        </w:rPr>
        <w:t>抵销前的金额：</w:t>
      </w:r>
    </w:p>
    <w:p>
      <w:pPr>
        <w:autoSpaceDN w:val="0"/>
        <w:autoSpaceDE w:val="0"/>
        <w:widowControl/>
        <w:spacing w:line="222" w:lineRule="exact" w:before="318" w:after="36"/>
        <w:ind w:left="0" w:right="2192" w:firstLine="0"/>
        <w:jc w:val="right"/>
      </w:pPr>
      <w:r>
        <w:rPr>
          <w:rFonts w:ascii="黑体" w:hAnsi="黑体" w:eastAsia="黑体"/>
          <w:b w:val="0"/>
          <w:i w:val="0"/>
          <w:color w:val="000000"/>
          <w:sz w:val="22"/>
        </w:rPr>
        <w:t>中德证券</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05"/>
        </w:trPr>
        <w:tc>
          <w:tcPr>
            <w:tcW w:type="dxa" w:w="3924"/>
            <w:vMerge w:val="restart"/>
            <w:tcBorders>
              <w:top w:sz="4.0" w:val="single" w:color="#000000"/>
            </w:tcBorders>
            <w:tcMar>
              <w:start w:w="0" w:type="dxa"/>
              <w:end w:w="0" w:type="dxa"/>
            </w:tcMar>
            <w:tcMar>
              <w:start w:w="0" w:type="dxa"/>
              <w:end w:w="0" w:type="dxa"/>
            </w:tcMar>
          </w:tcPr>
          <w:p>
            <w:pPr>
              <w:autoSpaceDN w:val="0"/>
              <w:autoSpaceDE w:val="0"/>
              <w:widowControl/>
              <w:spacing w:line="220" w:lineRule="exact" w:before="568" w:after="0"/>
              <w:ind w:left="198" w:right="0" w:firstLine="0"/>
              <w:jc w:val="left"/>
            </w:pPr>
            <w:r>
              <w:rPr>
                <w:rFonts w:ascii="黑体" w:hAnsi="黑体" w:eastAsia="黑体"/>
                <w:b w:val="0"/>
                <w:i w:val="0"/>
                <w:color w:val="000000"/>
                <w:sz w:val="22"/>
              </w:rPr>
              <w:t>资产合计</w:t>
            </w:r>
          </w:p>
        </w:tc>
        <w:tc>
          <w:tcPr>
            <w:tcW w:type="dxa" w:w="2182"/>
            <w:tcBorders/>
            <w:tcMar>
              <w:start w:w="0" w:type="dxa"/>
              <w:end w:w="0" w:type="dxa"/>
            </w:tcMar>
          </w:tcPr>
          <w:p>
            <w:pPr>
              <w:autoSpaceDN w:val="0"/>
              <w:autoSpaceDE w:val="0"/>
              <w:widowControl/>
              <w:spacing w:line="246" w:lineRule="exact" w:before="24" w:after="0"/>
              <w:ind w:left="542"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614"/>
            <w:tcBorders/>
            <w:tcMar>
              <w:start w:w="0" w:type="dxa"/>
              <w:end w:w="0" w:type="dxa"/>
            </w:tcMar>
          </w:tcPr>
          <w:p>
            <w:pPr>
              <w:autoSpaceDN w:val="0"/>
              <w:autoSpaceDE w:val="0"/>
              <w:widowControl/>
              <w:spacing w:line="246" w:lineRule="exact" w:before="24" w:after="0"/>
              <w:ind w:left="0" w:right="186" w:firstLine="0"/>
              <w:jc w:val="righ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3006"/>
            <w:vMerge/>
            <w:tcBorders>
              <w:top w:sz="4.0" w:val="single" w:color="#000000"/>
            </w:tcBorders>
          </w:tcPr>
          <w:p/>
        </w:tc>
        <w:tc>
          <w:tcPr>
            <w:tcW w:type="dxa" w:w="2182"/>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1,102,315,720</w:t>
            </w:r>
          </w:p>
        </w:tc>
        <w:tc>
          <w:tcPr>
            <w:tcW w:type="dxa" w:w="2614"/>
            <w:tcBorders/>
            <w:tcMar>
              <w:start w:w="0" w:type="dxa"/>
              <w:end w:w="0" w:type="dxa"/>
            </w:tcMar>
          </w:tcPr>
          <w:p>
            <w:pPr>
              <w:autoSpaceDN w:val="0"/>
              <w:autoSpaceDE w:val="0"/>
              <w:widowControl/>
              <w:spacing w:line="245" w:lineRule="auto" w:before="140" w:after="0"/>
              <w:ind w:left="0" w:right="132" w:firstLine="0"/>
              <w:jc w:val="right"/>
            </w:pPr>
            <w:r>
              <w:rPr>
                <w:rFonts w:ascii="Arial" w:hAnsi="Arial" w:eastAsia="Arial"/>
                <w:b w:val="0"/>
                <w:i w:val="0"/>
                <w:color w:val="000000"/>
                <w:sz w:val="22"/>
              </w:rPr>
              <w:t xml:space="preserve">1,274,529,527 </w:t>
            </w:r>
          </w:p>
        </w:tc>
      </w:tr>
      <w:tr>
        <w:trPr>
          <w:trHeight w:hRule="exact" w:val="364"/>
        </w:trPr>
        <w:tc>
          <w:tcPr>
            <w:tcW w:type="dxa" w:w="3924"/>
            <w:tcBorders/>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负债合计</w:t>
            </w:r>
          </w:p>
        </w:tc>
        <w:tc>
          <w:tcPr>
            <w:tcW w:type="dxa" w:w="2182"/>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126,884,106</w:t>
            </w:r>
          </w:p>
        </w:tc>
        <w:tc>
          <w:tcPr>
            <w:tcW w:type="dxa" w:w="2614"/>
            <w:tcBorders/>
            <w:tcMar>
              <w:start w:w="0" w:type="dxa"/>
              <w:end w:w="0" w:type="dxa"/>
            </w:tcMar>
          </w:tcPr>
          <w:p>
            <w:pPr>
              <w:autoSpaceDN w:val="0"/>
              <w:autoSpaceDE w:val="0"/>
              <w:widowControl/>
              <w:spacing w:line="245" w:lineRule="auto" w:before="44" w:after="0"/>
              <w:ind w:left="0" w:right="132" w:firstLine="0"/>
              <w:jc w:val="right"/>
            </w:pPr>
            <w:r>
              <w:rPr>
                <w:rFonts w:ascii="Arial" w:hAnsi="Arial" w:eastAsia="Arial"/>
                <w:b w:val="0"/>
                <w:i w:val="0"/>
                <w:color w:val="000000"/>
                <w:sz w:val="22"/>
              </w:rPr>
              <w:t xml:space="preserve">238,432,188 </w:t>
            </w:r>
          </w:p>
        </w:tc>
      </w:tr>
    </w:tbl>
    <w:p>
      <w:pPr>
        <w:autoSpaceDN w:val="0"/>
        <w:autoSpaceDE w:val="0"/>
        <w:widowControl/>
        <w:spacing w:line="220" w:lineRule="exact" w:before="222" w:after="36"/>
        <w:ind w:left="0" w:right="2192" w:firstLine="0"/>
        <w:jc w:val="right"/>
      </w:pPr>
      <w:r>
        <w:rPr>
          <w:rFonts w:ascii="黑体" w:hAnsi="黑体" w:eastAsia="黑体"/>
          <w:b w:val="0"/>
          <w:i w:val="0"/>
          <w:color w:val="000000"/>
          <w:sz w:val="22"/>
        </w:rPr>
        <w:t>中德证券</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09"/>
        </w:trPr>
        <w:tc>
          <w:tcPr>
            <w:tcW w:type="dxa" w:w="3924"/>
            <w:vMerge w:val="restart"/>
            <w:tcBorders>
              <w:top w:sz="4.0" w:val="single" w:color="#000000"/>
            </w:tcBorders>
            <w:tcMar>
              <w:start w:w="0" w:type="dxa"/>
              <w:end w:w="0" w:type="dxa"/>
            </w:tcMar>
            <w:tcMar>
              <w:start w:w="0" w:type="dxa"/>
              <w:end w:w="0" w:type="dxa"/>
            </w:tcMar>
          </w:tcPr>
          <w:p>
            <w:pPr>
              <w:autoSpaceDN w:val="0"/>
              <w:autoSpaceDE w:val="0"/>
              <w:widowControl/>
              <w:spacing w:line="220" w:lineRule="exact" w:before="566" w:after="0"/>
              <w:ind w:left="198" w:right="0" w:firstLine="0"/>
              <w:jc w:val="left"/>
            </w:pPr>
            <w:r>
              <w:rPr>
                <w:rFonts w:ascii="黑体" w:hAnsi="黑体" w:eastAsia="黑体"/>
                <w:b w:val="0"/>
                <w:i w:val="0"/>
                <w:color w:val="000000"/>
                <w:sz w:val="22"/>
              </w:rPr>
              <w:t>营业收入</w:t>
            </w:r>
          </w:p>
        </w:tc>
        <w:tc>
          <w:tcPr>
            <w:tcW w:type="dxa" w:w="2378"/>
            <w:tcBorders/>
            <w:tcMar>
              <w:start w:w="0" w:type="dxa"/>
              <w:end w:w="0" w:type="dxa"/>
            </w:tcMar>
          </w:tcPr>
          <w:p>
            <w:pPr>
              <w:autoSpaceDN w:val="0"/>
              <w:autoSpaceDE w:val="0"/>
              <w:widowControl/>
              <w:spacing w:line="246" w:lineRule="exact" w:before="24" w:after="0"/>
              <w:ind w:left="0" w:right="19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458"/>
            <w:tcBorders/>
            <w:tcMar>
              <w:start w:w="0" w:type="dxa"/>
              <w:end w:w="0" w:type="dxa"/>
            </w:tcMar>
          </w:tcPr>
          <w:p>
            <w:pPr>
              <w:autoSpaceDN w:val="0"/>
              <w:autoSpaceDE w:val="0"/>
              <w:widowControl/>
              <w:spacing w:line="246" w:lineRule="exact" w:before="24"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3006"/>
            <w:vMerge/>
            <w:tcBorders>
              <w:top w:sz="4.0" w:val="single" w:color="#000000"/>
            </w:tcBorders>
          </w:tcPr>
          <w:p/>
        </w:tc>
        <w:tc>
          <w:tcPr>
            <w:tcW w:type="dxa" w:w="2378"/>
            <w:tcBorders/>
            <w:tcMar>
              <w:start w:w="0" w:type="dxa"/>
              <w:end w:w="0" w:type="dxa"/>
            </w:tcMar>
          </w:tcPr>
          <w:p>
            <w:pPr>
              <w:autoSpaceDN w:val="0"/>
              <w:autoSpaceDE w:val="0"/>
              <w:widowControl/>
              <w:spacing w:line="233" w:lineRule="auto" w:before="154" w:after="0"/>
              <w:ind w:left="0" w:right="194" w:firstLine="0"/>
              <w:jc w:val="right"/>
            </w:pPr>
            <w:r>
              <w:rPr>
                <w:rFonts w:ascii="Arial" w:hAnsi="Arial" w:eastAsia="Arial"/>
                <w:b w:val="0"/>
                <w:i w:val="0"/>
                <w:color w:val="000000"/>
                <w:sz w:val="22"/>
              </w:rPr>
              <w:t>247,525,590</w:t>
            </w:r>
          </w:p>
        </w:tc>
        <w:tc>
          <w:tcPr>
            <w:tcW w:type="dxa" w:w="2458"/>
            <w:tcBorders/>
            <w:tcMar>
              <w:start w:w="0" w:type="dxa"/>
              <w:end w:w="0" w:type="dxa"/>
            </w:tcMar>
          </w:tcPr>
          <w:p>
            <w:pPr>
              <w:autoSpaceDN w:val="0"/>
              <w:autoSpaceDE w:val="0"/>
              <w:widowControl/>
              <w:spacing w:line="233" w:lineRule="auto" w:before="154" w:after="0"/>
              <w:ind w:left="0" w:right="172" w:firstLine="0"/>
              <w:jc w:val="right"/>
            </w:pPr>
            <w:r>
              <w:rPr>
                <w:rFonts w:ascii="Arial" w:hAnsi="Arial" w:eastAsia="Arial"/>
                <w:b w:val="0"/>
                <w:i w:val="0"/>
                <w:color w:val="000000"/>
                <w:sz w:val="22"/>
              </w:rPr>
              <w:t xml:space="preserve">184,045,959 </w:t>
            </w:r>
          </w:p>
        </w:tc>
      </w:tr>
      <w:tr>
        <w:trPr>
          <w:trHeight w:hRule="exact" w:val="280"/>
        </w:trPr>
        <w:tc>
          <w:tcPr>
            <w:tcW w:type="dxa" w:w="3924"/>
            <w:tcBorders/>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净亏损</w:t>
            </w:r>
          </w:p>
        </w:tc>
        <w:tc>
          <w:tcPr>
            <w:tcW w:type="dxa" w:w="2378"/>
            <w:vMerge w:val="restart"/>
            <w:tcBorders/>
            <w:tcMar>
              <w:start w:w="0" w:type="dxa"/>
              <w:end w:w="0" w:type="dxa"/>
            </w:tcMar>
            <w:tcMar>
              <w:start w:w="0" w:type="dxa"/>
              <w:end w:w="0" w:type="dxa"/>
            </w:tcMar>
          </w:tcPr>
          <w:p>
            <w:pPr>
              <w:autoSpaceDN w:val="0"/>
              <w:autoSpaceDE w:val="0"/>
              <w:widowControl/>
              <w:spacing w:line="233" w:lineRule="auto" w:before="56" w:after="0"/>
              <w:ind w:left="0" w:right="60" w:firstLine="0"/>
              <w:jc w:val="right"/>
            </w:pPr>
            <w:r>
              <w:rPr>
                <w:rFonts w:ascii="Arial" w:hAnsi="Arial" w:eastAsia="Arial"/>
                <w:b w:val="0"/>
                <w:i w:val="0"/>
                <w:color w:val="000000"/>
                <w:sz w:val="22"/>
              </w:rPr>
              <w:t xml:space="preserve">(60,665,725) </w:t>
            </w:r>
          </w:p>
        </w:tc>
        <w:tc>
          <w:tcPr>
            <w:tcW w:type="dxa" w:w="2458"/>
            <w:vMerge w:val="restart"/>
            <w:tcBorders/>
            <w:tcMar>
              <w:start w:w="0" w:type="dxa"/>
              <w:end w:w="0" w:type="dxa"/>
            </w:tcMar>
            <w:tcMar>
              <w:start w:w="0" w:type="dxa"/>
              <w:end w:w="0" w:type="dxa"/>
            </w:tcMar>
          </w:tcPr>
          <w:p>
            <w:pPr>
              <w:autoSpaceDN w:val="0"/>
              <w:autoSpaceDE w:val="0"/>
              <w:widowControl/>
              <w:spacing w:line="233" w:lineRule="auto" w:before="56" w:after="0"/>
              <w:ind w:left="0" w:right="92" w:firstLine="0"/>
              <w:jc w:val="right"/>
            </w:pPr>
            <w:r>
              <w:rPr>
                <w:rFonts w:ascii="Arial" w:hAnsi="Arial" w:eastAsia="Arial"/>
                <w:b w:val="0"/>
                <w:i w:val="0"/>
                <w:color w:val="000000"/>
                <w:sz w:val="22"/>
              </w:rPr>
              <w:t xml:space="preserve">(77,036,303) </w:t>
            </w:r>
          </w:p>
        </w:tc>
      </w:tr>
      <w:tr>
        <w:trPr>
          <w:trHeight w:hRule="exact" w:val="42"/>
        </w:trPr>
        <w:tc>
          <w:tcPr>
            <w:tcW w:type="dxa" w:w="3924"/>
            <w:vMerge w:val="restart"/>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综合收益总额</w:t>
            </w:r>
          </w:p>
        </w:tc>
        <w:tc>
          <w:tcPr>
            <w:tcW w:type="dxa" w:w="3006"/>
            <w:vMerge/>
            <w:tcBorders/>
          </w:tcPr>
          <w:p/>
        </w:tc>
        <w:tc>
          <w:tcPr>
            <w:tcW w:type="dxa" w:w="3006"/>
            <w:vMerge/>
            <w:tcBorders/>
          </w:tcPr>
          <w:p/>
        </w:tc>
      </w:tr>
      <w:tr>
        <w:trPr>
          <w:trHeight w:hRule="exact" w:val="276"/>
        </w:trPr>
        <w:tc>
          <w:tcPr>
            <w:tcW w:type="dxa" w:w="3006"/>
            <w:vMerge/>
            <w:tcBorders/>
          </w:tcPr>
          <w:p/>
        </w:tc>
        <w:tc>
          <w:tcPr>
            <w:tcW w:type="dxa" w:w="2378"/>
            <w:tcBorders/>
            <w:tcMar>
              <w:start w:w="0" w:type="dxa"/>
              <w:end w:w="0" w:type="dxa"/>
            </w:tcMar>
          </w:tcPr>
          <w:p>
            <w:pPr>
              <w:autoSpaceDN w:val="0"/>
              <w:autoSpaceDE w:val="0"/>
              <w:widowControl/>
              <w:spacing w:line="233" w:lineRule="auto" w:before="20" w:after="0"/>
              <w:ind w:left="0" w:right="60" w:firstLine="0"/>
              <w:jc w:val="right"/>
            </w:pPr>
            <w:r>
              <w:rPr>
                <w:rFonts w:ascii="Arial" w:hAnsi="Arial" w:eastAsia="Arial"/>
                <w:b w:val="0"/>
                <w:i w:val="0"/>
                <w:color w:val="000000"/>
                <w:sz w:val="22"/>
              </w:rPr>
              <w:t xml:space="preserve">(60,665,725) </w:t>
            </w:r>
          </w:p>
        </w:tc>
        <w:tc>
          <w:tcPr>
            <w:tcW w:type="dxa" w:w="2458"/>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(77,036,303) </w:t>
            </w:r>
          </w:p>
        </w:tc>
      </w:tr>
    </w:tbl>
    <w:p>
      <w:pPr>
        <w:autoSpaceDN w:val="0"/>
        <w:autoSpaceDE w:val="0"/>
        <w:widowControl/>
        <w:spacing w:line="246" w:lineRule="exact" w:before="4" w:after="24"/>
        <w:ind w:left="360" w:right="0" w:firstLine="0"/>
        <w:jc w:val="left"/>
      </w:pPr>
      <w:r>
        <w:rPr>
          <w:rFonts w:ascii="黑体" w:hAnsi="黑体" w:eastAsia="黑体"/>
          <w:b w:val="0"/>
          <w:i w:val="0"/>
          <w:color w:val="000000"/>
          <w:sz w:val="22"/>
        </w:rPr>
        <w:t>经营活动（使用）</w:t>
      </w:r>
      <w:r>
        <w:rPr>
          <w:rFonts w:ascii="Arial" w:hAnsi="Arial" w:eastAsia="Arial"/>
          <w:b w:val="0"/>
          <w:i w:val="0"/>
          <w:color w:val="000000"/>
          <w:sz w:val="22"/>
        </w:rPr>
        <w:t>/</w:t>
      </w:r>
      <w:r>
        <w:rPr>
          <w:rFonts w:ascii="黑体" w:hAnsi="黑体" w:eastAsia="黑体"/>
          <w:b w:val="0"/>
          <w:i w:val="0"/>
          <w:color w:val="000000"/>
          <w:sz w:val="22"/>
        </w:rPr>
        <w:t>产生的现金流量净</w:t>
      </w:r>
    </w:p>
    <w:tbl>
      <w:tblPr>
        <w:tblW w:type="auto" w:w="0"/>
        <w:tblLayout w:type="fixed"/>
        <w:tblLook w:firstColumn="1" w:firstRow="1" w:lastColumn="0" w:lastRow="0" w:noHBand="0" w:noVBand="1" w:val="04A0"/>
        <w:tblInd w:w="280.0" w:type="dxa"/>
      </w:tblPr>
      <w:tblGrid>
        <w:gridCol w:w="3006"/>
        <w:gridCol w:w="3006"/>
        <w:gridCol w:w="3006"/>
      </w:tblGrid>
      <w:tr>
        <w:trPr>
          <w:trHeight w:hRule="exact" w:val="340"/>
        </w:trPr>
        <w:tc>
          <w:tcPr>
            <w:tcW w:type="dxa" w:w="2600"/>
            <w:tcBorders/>
            <w:tcMar>
              <w:start w:w="0" w:type="dxa"/>
              <w:end w:w="0" w:type="dxa"/>
            </w:tcMar>
          </w:tcPr>
          <w:p>
            <w:pPr>
              <w:autoSpaceDN w:val="0"/>
              <w:autoSpaceDE w:val="0"/>
              <w:widowControl/>
              <w:spacing w:line="222" w:lineRule="exact" w:before="26" w:after="0"/>
              <w:ind w:left="302" w:right="0" w:firstLine="0"/>
              <w:jc w:val="left"/>
            </w:pPr>
            <w:r>
              <w:rPr>
                <w:rFonts w:ascii="黑体" w:hAnsi="黑体" w:eastAsia="黑体"/>
                <w:b w:val="0"/>
                <w:i w:val="0"/>
                <w:color w:val="000000"/>
                <w:sz w:val="22"/>
              </w:rPr>
              <w:t>额</w:t>
            </w:r>
          </w:p>
        </w:tc>
        <w:tc>
          <w:tcPr>
            <w:tcW w:type="dxa" w:w="4100"/>
            <w:tcBorders/>
            <w:tcMar>
              <w:start w:w="0" w:type="dxa"/>
              <w:end w:w="0" w:type="dxa"/>
            </w:tcMar>
          </w:tcPr>
          <w:p>
            <w:pPr>
              <w:autoSpaceDN w:val="0"/>
              <w:autoSpaceDE w:val="0"/>
              <w:widowControl/>
              <w:spacing w:line="233" w:lineRule="auto" w:before="34" w:after="0"/>
              <w:ind w:left="0" w:right="578" w:firstLine="0"/>
              <w:jc w:val="right"/>
            </w:pPr>
            <w:r>
              <w:rPr>
                <w:rFonts w:ascii="Arial" w:hAnsi="Arial" w:eastAsia="Arial"/>
                <w:b w:val="0"/>
                <w:i w:val="0"/>
                <w:color w:val="000000"/>
                <w:sz w:val="22"/>
              </w:rPr>
              <w:t xml:space="preserve">(125,656,154) </w:t>
            </w:r>
          </w:p>
        </w:tc>
        <w:tc>
          <w:tcPr>
            <w:tcW w:type="dxa" w:w="1860"/>
            <w:tcBorders/>
            <w:tcMar>
              <w:start w:w="0" w:type="dxa"/>
              <w:end w:w="0" w:type="dxa"/>
            </w:tcMar>
          </w:tcPr>
          <w:p>
            <w:pPr>
              <w:autoSpaceDN w:val="0"/>
              <w:autoSpaceDE w:val="0"/>
              <w:widowControl/>
              <w:spacing w:line="233" w:lineRule="auto" w:before="34" w:after="0"/>
              <w:ind w:left="0" w:right="144" w:firstLine="0"/>
              <w:jc w:val="right"/>
            </w:pPr>
            <w:r>
              <w:rPr>
                <w:rFonts w:ascii="Arial" w:hAnsi="Arial" w:eastAsia="Arial"/>
                <w:b w:val="0"/>
                <w:i w:val="0"/>
                <w:color w:val="000000"/>
                <w:sz w:val="22"/>
              </w:rPr>
              <w:t>19,487,739</w:t>
            </w:r>
          </w:p>
        </w:tc>
      </w:tr>
    </w:tbl>
    <w:p>
      <w:pPr>
        <w:autoSpaceDN w:val="0"/>
        <w:autoSpaceDE w:val="0"/>
        <w:widowControl/>
        <w:spacing w:line="233" w:lineRule="auto" w:before="5700" w:after="0"/>
        <w:ind w:left="0" w:right="0" w:firstLine="0"/>
        <w:jc w:val="center"/>
      </w:pPr>
      <w:r>
        <w:rPr>
          <w:rFonts w:ascii="Arial" w:hAnsi="Arial" w:eastAsia="Arial"/>
          <w:b w:val="0"/>
          <w:i w:val="0"/>
          <w:color w:val="000000"/>
          <w:sz w:val="20"/>
        </w:rPr>
        <w:t xml:space="preserve">251 </w:t>
      </w:r>
    </w:p>
    <w:p>
      <w:pPr>
        <w:sectPr>
          <w:pgSz w:w="11899" w:h="16841"/>
          <w:pgMar w:top="996" w:right="1440" w:bottom="360" w:left="1440" w:header="720" w:footer="720" w:gutter="0"/>
          <w:cols/>
          <w:docGrid w:linePitch="360"/>
        </w:sectPr>
      </w:pPr>
    </w:p>
    <w:p>
      <w:pPr>
        <w:autoSpaceDN w:val="0"/>
        <w:autoSpaceDE w:val="0"/>
        <w:widowControl/>
        <w:spacing w:line="220" w:lineRule="exact" w:before="0" w:after="774"/>
        <w:ind w:left="0" w:right="0"/>
      </w:pPr>
    </w:p>
    <w:tbl>
      <w:tblPr>
        <w:tblW w:type="auto" w:w="0"/>
        <w:tblLayout w:type="fixed"/>
        <w:tblLook w:firstColumn="1" w:firstRow="1" w:lastColumn="0" w:lastRow="0" w:noHBand="0" w:noVBand="1" w:val="04A0"/>
        <w:tblInd w:w="358.0000000000001" w:type="dxa"/>
      </w:tblPr>
      <w:tblGrid>
        <w:gridCol w:w="2255"/>
        <w:gridCol w:w="2255"/>
        <w:gridCol w:w="2255"/>
        <w:gridCol w:w="2255"/>
      </w:tblGrid>
      <w:tr>
        <w:trPr>
          <w:trHeight w:hRule="exact" w:val="370"/>
        </w:trPr>
        <w:tc>
          <w:tcPr>
            <w:tcW w:type="dxa" w:w="582"/>
            <w:tcBorders/>
            <w:tcMar>
              <w:start w:w="0" w:type="dxa"/>
              <w:end w:w="0" w:type="dxa"/>
            </w:tcMar>
          </w:tcPr>
          <w:p>
            <w:pPr>
              <w:autoSpaceDN w:val="0"/>
              <w:autoSpaceDE w:val="0"/>
              <w:widowControl/>
              <w:spacing w:line="220" w:lineRule="exact" w:before="0" w:after="0"/>
              <w:ind w:left="0" w:right="0" w:firstLine="0"/>
              <w:jc w:val="left"/>
            </w:pPr>
            <w:r>
              <w:rPr>
                <w:rFonts w:ascii="黑体" w:hAnsi="黑体" w:eastAsia="黑体"/>
                <w:b w:val="0"/>
                <w:i w:val="0"/>
                <w:color w:val="000000"/>
                <w:sz w:val="22"/>
              </w:rPr>
              <w:t>七、</w:t>
            </w:r>
          </w:p>
        </w:tc>
        <w:tc>
          <w:tcPr>
            <w:tcW w:type="dxa" w:w="4560"/>
            <w:tcBorders/>
            <w:tcMar>
              <w:start w:w="0" w:type="dxa"/>
              <w:end w:w="0" w:type="dxa"/>
            </w:tcMar>
          </w:tcPr>
          <w:p>
            <w:pPr>
              <w:autoSpaceDN w:val="0"/>
              <w:autoSpaceDE w:val="0"/>
              <w:widowControl/>
              <w:spacing w:line="220" w:lineRule="exact" w:before="0" w:after="0"/>
              <w:ind w:left="146" w:right="0" w:firstLine="0"/>
              <w:jc w:val="left"/>
            </w:pPr>
            <w:r>
              <w:rPr>
                <w:rFonts w:ascii="黑体" w:hAnsi="黑体" w:eastAsia="黑体"/>
                <w:b w:val="0"/>
                <w:i w:val="0"/>
                <w:color w:val="000000"/>
                <w:sz w:val="22"/>
              </w:rPr>
              <w:t>在其他主体中的权益（续）</w:t>
            </w:r>
          </w:p>
        </w:tc>
        <w:tc>
          <w:tcPr>
            <w:tcW w:type="dxa" w:w="1680"/>
            <w:vMerge w:val="restart"/>
            <w:tcBorders/>
            <w:tcMar>
              <w:start w:w="0" w:type="dxa"/>
              <w:end w:w="0" w:type="dxa"/>
            </w:tcMar>
            <w:tcMar>
              <w:start w:w="0" w:type="dxa"/>
              <w:end w:w="0" w:type="dxa"/>
            </w:tcMar>
          </w:tcPr>
          <w:p>
            <w:pPr>
              <w:autoSpaceDN w:val="0"/>
              <w:autoSpaceDE w:val="0"/>
              <w:widowControl/>
              <w:spacing w:line="200" w:lineRule="exact" w:before="1066" w:after="0"/>
              <w:ind w:left="120" w:right="0" w:firstLine="0"/>
              <w:jc w:val="lef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680"/>
            <w:vMerge w:val="restart"/>
            <w:tcBorders/>
            <w:tcMar>
              <w:start w:w="0" w:type="dxa"/>
              <w:end w:w="0" w:type="dxa"/>
            </w:tcMar>
            <w:tcMar>
              <w:start w:w="0" w:type="dxa"/>
              <w:end w:w="0" w:type="dxa"/>
            </w:tcMar>
          </w:tcPr>
          <w:p>
            <w:pPr>
              <w:autoSpaceDN w:val="0"/>
              <w:autoSpaceDE w:val="0"/>
              <w:widowControl/>
              <w:spacing w:line="200" w:lineRule="exact" w:before="1066" w:after="0"/>
              <w:ind w:left="0" w:right="0" w:firstLine="0"/>
              <w:jc w:val="center"/>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r>
      <w:tr>
        <w:trPr>
          <w:trHeight w:hRule="exact" w:val="900"/>
        </w:trPr>
        <w:tc>
          <w:tcPr>
            <w:tcW w:type="dxa" w:w="582"/>
            <w:tcBorders/>
            <w:tcMar>
              <w:start w:w="0" w:type="dxa"/>
              <w:end w:w="0" w:type="dxa"/>
            </w:tcMar>
          </w:tcPr>
          <w:p>
            <w:pPr>
              <w:autoSpaceDN w:val="0"/>
              <w:autoSpaceDE w:val="0"/>
              <w:widowControl/>
              <w:spacing w:line="246" w:lineRule="exact" w:before="160" w:after="0"/>
              <w:ind w:left="0" w:right="0" w:firstLine="0"/>
              <w:jc w:val="left"/>
            </w:pPr>
            <w:r>
              <w:rPr>
                <w:rFonts w:ascii="Arial,Bold" w:hAnsi="Arial,Bold" w:eastAsia="Arial,Bold"/>
                <w:b/>
                <w:i w:val="0"/>
                <w:color w:val="000000"/>
                <w:sz w:val="22"/>
              </w:rPr>
              <w:t xml:space="preserve">2. </w:t>
            </w:r>
          </w:p>
        </w:tc>
        <w:tc>
          <w:tcPr>
            <w:tcW w:type="dxa" w:w="4560"/>
            <w:tcBorders/>
            <w:tcMar>
              <w:start w:w="0" w:type="dxa"/>
              <w:end w:w="0" w:type="dxa"/>
            </w:tcMar>
          </w:tcPr>
          <w:p>
            <w:pPr>
              <w:autoSpaceDN w:val="0"/>
              <w:autoSpaceDE w:val="0"/>
              <w:widowControl/>
              <w:spacing w:line="220" w:lineRule="exact" w:before="170" w:after="0"/>
              <w:ind w:left="146" w:right="0" w:firstLine="0"/>
              <w:jc w:val="left"/>
            </w:pPr>
            <w:r>
              <w:rPr>
                <w:rFonts w:ascii="黑体" w:hAnsi="黑体" w:eastAsia="黑体"/>
                <w:b w:val="0"/>
                <w:i w:val="0"/>
                <w:color w:val="000000"/>
                <w:sz w:val="22"/>
              </w:rPr>
              <w:t>纳入合并财务报表范围的结构化主体</w:t>
            </w:r>
          </w:p>
        </w:tc>
        <w:tc>
          <w:tcPr>
            <w:tcW w:type="dxa" w:w="2255"/>
            <w:vMerge/>
            <w:tcBorders/>
          </w:tcPr>
          <w:p/>
        </w:tc>
        <w:tc>
          <w:tcPr>
            <w:tcW w:type="dxa" w:w="2255"/>
            <w:vMerge/>
            <w:tcBorders/>
          </w:tcPr>
          <w:p/>
        </w:tc>
      </w:tr>
      <w:tr>
        <w:trPr>
          <w:trHeight w:hRule="exact" w:val="224"/>
        </w:trPr>
        <w:tc>
          <w:tcPr>
            <w:tcW w:type="dxa" w:w="5142"/>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36" w:after="0"/>
              <w:ind w:left="0" w:right="0" w:firstLine="0"/>
              <w:jc w:val="left"/>
            </w:pPr>
            <w:r>
              <w:rPr>
                <w:rFonts w:ascii="黑体" w:hAnsi="黑体" w:eastAsia="黑体"/>
                <w:b w:val="0"/>
                <w:i w:val="0"/>
                <w:color w:val="000000"/>
                <w:sz w:val="18"/>
              </w:rPr>
              <w:t>结构化主体名称</w:t>
            </w:r>
          </w:p>
        </w:tc>
        <w:tc>
          <w:tcPr>
            <w:tcW w:type="dxa" w:w="1680"/>
            <w:tcBorders>
              <w:bottom w:sz="4.0" w:val="single" w:color="#000000"/>
            </w:tcBorders>
            <w:tcMar>
              <w:start w:w="0" w:type="dxa"/>
              <w:end w:w="0" w:type="dxa"/>
            </w:tcMar>
          </w:tcPr>
          <w:p>
            <w:pPr>
              <w:autoSpaceDN w:val="0"/>
              <w:autoSpaceDE w:val="0"/>
              <w:widowControl/>
              <w:spacing w:line="180" w:lineRule="exact" w:before="36" w:after="0"/>
              <w:ind w:left="382" w:right="0" w:firstLine="0"/>
              <w:jc w:val="left"/>
            </w:pPr>
            <w:r>
              <w:rPr>
                <w:rFonts w:ascii="黑体" w:hAnsi="黑体" w:eastAsia="黑体"/>
                <w:b w:val="0"/>
                <w:i w:val="0"/>
                <w:color w:val="000000"/>
                <w:sz w:val="18"/>
              </w:rPr>
              <w:t>实际持有份额</w:t>
            </w:r>
          </w:p>
        </w:tc>
        <w:tc>
          <w:tcPr>
            <w:tcW w:type="dxa" w:w="1680"/>
            <w:tcBorders>
              <w:bottom w:sz="4.0" w:val="single" w:color="#000000"/>
            </w:tcBorders>
            <w:tcMar>
              <w:start w:w="0" w:type="dxa"/>
              <w:end w:w="0" w:type="dxa"/>
            </w:tcMar>
          </w:tcPr>
          <w:p>
            <w:pPr>
              <w:autoSpaceDN w:val="0"/>
              <w:autoSpaceDE w:val="0"/>
              <w:widowControl/>
              <w:spacing w:line="180" w:lineRule="exact" w:before="36" w:after="0"/>
              <w:ind w:left="410" w:right="0" w:firstLine="0"/>
              <w:jc w:val="left"/>
            </w:pPr>
            <w:r>
              <w:rPr>
                <w:rFonts w:ascii="黑体" w:hAnsi="黑体" w:eastAsia="黑体"/>
                <w:b w:val="0"/>
                <w:i w:val="0"/>
                <w:color w:val="000000"/>
                <w:sz w:val="18"/>
              </w:rPr>
              <w:t>实际持有份额</w:t>
            </w:r>
          </w:p>
        </w:tc>
      </w:tr>
      <w:tr>
        <w:trPr>
          <w:trHeight w:hRule="exact" w:val="466"/>
        </w:trPr>
        <w:tc>
          <w:tcPr>
            <w:tcW w:type="dxa" w:w="5142"/>
            <w:gridSpan w:val="2"/>
            <w:tcBorders>
              <w:top w:sz="4.0" w:val="single" w:color="#000000"/>
            </w:tcBorders>
            <w:tcMar>
              <w:start w:w="0" w:type="dxa"/>
              <w:end w:w="0" w:type="dxa"/>
            </w:tcMar>
            <w:tcMar>
              <w:start w:w="0" w:type="dxa"/>
              <w:end w:w="0" w:type="dxa"/>
            </w:tcMar>
          </w:tcPr>
          <w:p>
            <w:pPr>
              <w:autoSpaceDN w:val="0"/>
              <w:autoSpaceDE w:val="0"/>
              <w:widowControl/>
              <w:spacing w:line="200" w:lineRule="exact" w:before="242" w:after="0"/>
              <w:ind w:left="0" w:right="0" w:firstLine="0"/>
              <w:jc w:val="left"/>
            </w:pPr>
            <w:r>
              <w:rPr>
                <w:rFonts w:ascii="黑体" w:hAnsi="黑体" w:eastAsia="黑体"/>
                <w:b w:val="0"/>
                <w:i w:val="0"/>
                <w:color w:val="000000"/>
                <w:sz w:val="18"/>
              </w:rPr>
              <w:t>宝盈金元宝</w:t>
            </w:r>
            <w:r>
              <w:rPr>
                <w:rFonts w:ascii="Arial" w:hAnsi="Arial" w:eastAsia="Arial"/>
                <w:b w:val="0"/>
                <w:i w:val="0"/>
                <w:color w:val="000000"/>
                <w:sz w:val="18"/>
              </w:rPr>
              <w:t>26</w:t>
            </w:r>
            <w:r>
              <w:rPr>
                <w:rFonts w:ascii="黑体" w:hAnsi="黑体" w:eastAsia="黑体"/>
                <w:b w:val="0"/>
                <w:i w:val="0"/>
                <w:color w:val="000000"/>
                <w:sz w:val="18"/>
              </w:rPr>
              <w:t>号集合资产管理计划</w:t>
            </w:r>
          </w:p>
        </w:tc>
        <w:tc>
          <w:tcPr>
            <w:tcW w:type="dxa" w:w="1680"/>
            <w:tcBorders>
              <w:top w:sz="4.0" w:val="single" w:color="#000000"/>
            </w:tcBorders>
            <w:tcMar>
              <w:start w:w="0" w:type="dxa"/>
              <w:end w:w="0" w:type="dxa"/>
            </w:tcMar>
          </w:tcPr>
          <w:p>
            <w:pPr>
              <w:autoSpaceDN w:val="0"/>
              <w:autoSpaceDE w:val="0"/>
              <w:widowControl/>
              <w:spacing w:line="235" w:lineRule="auto" w:before="256" w:after="0"/>
              <w:ind w:left="310" w:right="0" w:firstLine="0"/>
              <w:jc w:val="left"/>
            </w:pPr>
            <w:r>
              <w:rPr>
                <w:rFonts w:ascii="Arial" w:hAnsi="Arial" w:eastAsia="Arial"/>
                <w:b w:val="0"/>
                <w:i w:val="0"/>
                <w:color w:val="000000"/>
                <w:sz w:val="18"/>
              </w:rPr>
              <w:t xml:space="preserve">1,298,807,138 </w:t>
            </w:r>
          </w:p>
        </w:tc>
        <w:tc>
          <w:tcPr>
            <w:tcW w:type="dxa" w:w="1680"/>
            <w:tcBorders>
              <w:top w:sz="4.0" w:val="single" w:color="#000000"/>
            </w:tcBorders>
            <w:tcMar>
              <w:start w:w="0" w:type="dxa"/>
              <w:end w:w="0" w:type="dxa"/>
            </w:tcMar>
          </w:tcPr>
          <w:p>
            <w:pPr>
              <w:autoSpaceDN w:val="0"/>
              <w:autoSpaceDE w:val="0"/>
              <w:widowControl/>
              <w:spacing w:line="250" w:lineRule="auto" w:before="242" w:after="0"/>
              <w:ind w:left="0" w:right="150" w:firstLine="0"/>
              <w:jc w:val="right"/>
            </w:pPr>
            <w:r>
              <w:rPr>
                <w:rFonts w:ascii="Arial" w:hAnsi="Arial" w:eastAsia="Arial"/>
                <w:b w:val="0"/>
                <w:i w:val="0"/>
                <w:color w:val="000000"/>
                <w:sz w:val="18"/>
              </w:rPr>
              <w:t xml:space="preserve">880,117,162 </w:t>
            </w:r>
          </w:p>
        </w:tc>
      </w:tr>
      <w:tr>
        <w:trPr>
          <w:trHeight w:hRule="exact" w:val="210"/>
        </w:trPr>
        <w:tc>
          <w:tcPr>
            <w:tcW w:type="dxa" w:w="5142"/>
            <w:gridSpan w:val="2"/>
            <w:tcBorders/>
            <w:tcMar>
              <w:start w:w="0" w:type="dxa"/>
              <w:end w:w="0" w:type="dxa"/>
            </w:tcMar>
            <w:tcMar>
              <w:start w:w="0" w:type="dxa"/>
              <w:end w:w="0" w:type="dxa"/>
            </w:tcMar>
          </w:tcPr>
          <w:p>
            <w:pPr>
              <w:autoSpaceDN w:val="0"/>
              <w:autoSpaceDE w:val="0"/>
              <w:widowControl/>
              <w:spacing w:line="200" w:lineRule="exact" w:before="10" w:after="0"/>
              <w:ind w:left="0" w:right="0" w:firstLine="0"/>
              <w:jc w:val="left"/>
            </w:pPr>
            <w:r>
              <w:rPr>
                <w:rFonts w:ascii="黑体" w:hAnsi="黑体" w:eastAsia="黑体"/>
                <w:b w:val="0"/>
                <w:i w:val="0"/>
                <w:color w:val="000000"/>
                <w:sz w:val="18"/>
              </w:rPr>
              <w:t>融通基金融海</w:t>
            </w:r>
            <w:r>
              <w:rPr>
                <w:rFonts w:ascii="Arial" w:hAnsi="Arial" w:eastAsia="Arial"/>
                <w:b w:val="0"/>
                <w:i w:val="0"/>
                <w:color w:val="000000"/>
                <w:sz w:val="18"/>
              </w:rPr>
              <w:t>41</w:t>
            </w:r>
            <w:r>
              <w:rPr>
                <w:rFonts w:ascii="黑体" w:hAnsi="黑体" w:eastAsia="黑体"/>
                <w:b w:val="0"/>
                <w:i w:val="0"/>
                <w:color w:val="000000"/>
                <w:sz w:val="18"/>
              </w:rPr>
              <w:t>号（</w:t>
            </w:r>
            <w:r>
              <w:rPr>
                <w:rFonts w:ascii="Arial" w:hAnsi="Arial" w:eastAsia="Arial"/>
                <w:b w:val="0"/>
                <w:i w:val="0"/>
                <w:color w:val="000000"/>
                <w:sz w:val="18"/>
              </w:rPr>
              <w:t>QDII</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10" w:after="0"/>
              <w:ind w:left="0" w:right="142" w:firstLine="0"/>
              <w:jc w:val="right"/>
            </w:pPr>
            <w:r>
              <w:rPr>
                <w:rFonts w:ascii="Arial" w:hAnsi="Arial" w:eastAsia="Arial"/>
                <w:b w:val="0"/>
                <w:i w:val="0"/>
                <w:color w:val="000000"/>
                <w:sz w:val="18"/>
              </w:rPr>
              <w:t xml:space="preserve">791,718,513 </w:t>
            </w:r>
          </w:p>
        </w:tc>
        <w:tc>
          <w:tcPr>
            <w:tcW w:type="dxa" w:w="1680"/>
            <w:tcBorders/>
            <w:tcMar>
              <w:start w:w="0" w:type="dxa"/>
              <w:end w:w="0" w:type="dxa"/>
            </w:tcMar>
          </w:tcPr>
          <w:p>
            <w:pPr>
              <w:autoSpaceDN w:val="0"/>
              <w:autoSpaceDE w:val="0"/>
              <w:widowControl/>
              <w:spacing w:line="247" w:lineRule="auto" w:before="0" w:after="0"/>
              <w:ind w:left="0" w:right="150" w:firstLine="0"/>
              <w:jc w:val="right"/>
            </w:pPr>
            <w:r>
              <w:rPr>
                <w:rFonts w:ascii="Arial" w:hAnsi="Arial" w:eastAsia="Arial"/>
                <w:b w:val="0"/>
                <w:i w:val="0"/>
                <w:color w:val="000000"/>
                <w:sz w:val="18"/>
              </w:rPr>
              <w:t xml:space="preserve">974,868,696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6" w:after="0"/>
              <w:ind w:left="0" w:right="0" w:firstLine="0"/>
              <w:jc w:val="left"/>
            </w:pPr>
            <w:r>
              <w:rPr>
                <w:rFonts w:ascii="黑体" w:hAnsi="黑体" w:eastAsia="黑体"/>
                <w:b w:val="0"/>
                <w:i w:val="0"/>
                <w:color w:val="000000"/>
                <w:sz w:val="18"/>
              </w:rPr>
              <w:t>中银证券晋证</w:t>
            </w:r>
            <w:r>
              <w:rPr>
                <w:rFonts w:ascii="Arial" w:hAnsi="Arial" w:eastAsia="Arial"/>
                <w:b w:val="0"/>
                <w:i w:val="0"/>
                <w:color w:val="000000"/>
                <w:sz w:val="18"/>
              </w:rPr>
              <w:t>1</w:t>
            </w:r>
            <w:r>
              <w:rPr>
                <w:rFonts w:ascii="黑体" w:hAnsi="黑体" w:eastAsia="黑体"/>
                <w:b w:val="0"/>
                <w:i w:val="0"/>
                <w:color w:val="000000"/>
                <w:sz w:val="18"/>
              </w:rPr>
              <w:t>号</w:t>
            </w:r>
            <w:r>
              <w:rPr>
                <w:rFonts w:ascii="Arial" w:hAnsi="Arial" w:eastAsia="Arial"/>
                <w:b w:val="0"/>
                <w:i w:val="0"/>
                <w:color w:val="000000"/>
                <w:sz w:val="18"/>
              </w:rPr>
              <w:t>QDII</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430,753,698 </w:t>
            </w:r>
          </w:p>
        </w:tc>
        <w:tc>
          <w:tcPr>
            <w:tcW w:type="dxa" w:w="1680"/>
            <w:tcBorders/>
            <w:tcMar>
              <w:start w:w="0" w:type="dxa"/>
              <w:end w:w="0" w:type="dxa"/>
            </w:tcMar>
          </w:tcPr>
          <w:p>
            <w:pPr>
              <w:autoSpaceDN w:val="0"/>
              <w:autoSpaceDE w:val="0"/>
              <w:widowControl/>
              <w:spacing w:line="245" w:lineRule="auto" w:before="28" w:after="0"/>
              <w:ind w:left="0" w:right="150" w:firstLine="0"/>
              <w:jc w:val="right"/>
            </w:pPr>
            <w:r>
              <w:rPr>
                <w:rFonts w:ascii="Arial" w:hAnsi="Arial" w:eastAsia="Arial"/>
                <w:b w:val="0"/>
                <w:i w:val="0"/>
                <w:color w:val="000000"/>
                <w:sz w:val="18"/>
              </w:rPr>
              <w:t xml:space="preserve">300,662,185 </w:t>
            </w:r>
          </w:p>
        </w:tc>
      </w:tr>
      <w:tr>
        <w:trPr>
          <w:trHeight w:hRule="exact" w:val="249"/>
        </w:trPr>
        <w:tc>
          <w:tcPr>
            <w:tcW w:type="dxa" w:w="5142"/>
            <w:gridSpan w:val="2"/>
            <w:tcBorders/>
            <w:tcMar>
              <w:start w:w="0" w:type="dxa"/>
              <w:end w:w="0" w:type="dxa"/>
            </w:tcMar>
            <w:tcMar>
              <w:start w:w="0" w:type="dxa"/>
              <w:end w:w="0" w:type="dxa"/>
            </w:tcMar>
          </w:tcPr>
          <w:p>
            <w:pPr>
              <w:autoSpaceDN w:val="0"/>
              <w:autoSpaceDE w:val="0"/>
              <w:widowControl/>
              <w:spacing w:line="200" w:lineRule="exact" w:before="30" w:after="0"/>
              <w:ind w:left="0" w:right="0" w:firstLine="0"/>
              <w:jc w:val="left"/>
            </w:pPr>
            <w:r>
              <w:rPr>
                <w:rFonts w:ascii="黑体" w:hAnsi="黑体" w:eastAsia="黑体"/>
                <w:b w:val="0"/>
                <w:i w:val="0"/>
                <w:color w:val="000000"/>
                <w:sz w:val="18"/>
              </w:rPr>
              <w:t>中诚信托</w:t>
            </w:r>
            <w:r>
              <w:rPr>
                <w:rFonts w:ascii="Arial" w:hAnsi="Arial" w:eastAsia="Arial"/>
                <w:b w:val="0"/>
                <w:i w:val="0"/>
                <w:color w:val="000000"/>
                <w:sz w:val="18"/>
              </w:rPr>
              <w:t>-</w:t>
            </w:r>
            <w:r>
              <w:rPr>
                <w:rFonts w:ascii="黑体" w:hAnsi="黑体" w:eastAsia="黑体"/>
                <w:b w:val="0"/>
                <w:i w:val="0"/>
                <w:color w:val="000000"/>
                <w:sz w:val="18"/>
              </w:rPr>
              <w:t>海外信富</w:t>
            </w:r>
            <w:r>
              <w:rPr>
                <w:rFonts w:ascii="Arial" w:hAnsi="Arial" w:eastAsia="Arial"/>
                <w:b w:val="0"/>
                <w:i w:val="0"/>
                <w:color w:val="000000"/>
                <w:sz w:val="18"/>
              </w:rPr>
              <w:t>29</w:t>
            </w:r>
            <w:r>
              <w:rPr>
                <w:rFonts w:ascii="黑体" w:hAnsi="黑体" w:eastAsia="黑体"/>
                <w:b w:val="0"/>
                <w:i w:val="0"/>
                <w:color w:val="000000"/>
                <w:sz w:val="18"/>
              </w:rPr>
              <w:t>号受托境外理财单一资金信托</w:t>
            </w:r>
          </w:p>
        </w:tc>
        <w:tc>
          <w:tcPr>
            <w:tcW w:type="dxa" w:w="1680"/>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8"/>
              </w:rPr>
              <w:t xml:space="preserve">300,000,000 </w:t>
            </w:r>
          </w:p>
        </w:tc>
        <w:tc>
          <w:tcPr>
            <w:tcW w:type="dxa" w:w="1680"/>
            <w:tcBorders/>
            <w:tcMar>
              <w:start w:w="0" w:type="dxa"/>
              <w:end w:w="0" w:type="dxa"/>
            </w:tcMar>
          </w:tcPr>
          <w:p>
            <w:pPr>
              <w:autoSpaceDN w:val="0"/>
              <w:autoSpaceDE w:val="0"/>
              <w:widowControl/>
              <w:spacing w:line="262" w:lineRule="auto" w:before="18" w:after="0"/>
              <w:ind w:left="0" w:right="150" w:firstLine="0"/>
              <w:jc w:val="right"/>
            </w:pPr>
            <w:r>
              <w:rPr>
                <w:rFonts w:ascii="Arial" w:hAnsi="Arial" w:eastAsia="Arial"/>
                <w:b w:val="0"/>
                <w:i w:val="0"/>
                <w:color w:val="000000"/>
                <w:sz w:val="18"/>
              </w:rPr>
              <w:t xml:space="preserve">- </w:t>
            </w:r>
          </w:p>
        </w:tc>
      </w:tr>
      <w:tr>
        <w:trPr>
          <w:trHeight w:hRule="exact" w:val="210"/>
        </w:trPr>
        <w:tc>
          <w:tcPr>
            <w:tcW w:type="dxa" w:w="5142"/>
            <w:gridSpan w:val="2"/>
            <w:tcBorders/>
            <w:tcMar>
              <w:start w:w="0" w:type="dxa"/>
              <w:end w:w="0" w:type="dxa"/>
            </w:tcMar>
            <w:tcMar>
              <w:start w:w="0" w:type="dxa"/>
              <w:end w:w="0" w:type="dxa"/>
            </w:tcMar>
          </w:tcPr>
          <w:p>
            <w:pPr>
              <w:autoSpaceDN w:val="0"/>
              <w:autoSpaceDE w:val="0"/>
              <w:widowControl/>
              <w:spacing w:line="202" w:lineRule="exact" w:before="8" w:after="0"/>
              <w:ind w:left="0" w:right="0" w:firstLine="0"/>
              <w:jc w:val="left"/>
            </w:pPr>
            <w:r>
              <w:rPr>
                <w:rFonts w:ascii="黑体" w:hAnsi="黑体" w:eastAsia="黑体"/>
                <w:b w:val="0"/>
                <w:i w:val="0"/>
                <w:color w:val="000000"/>
                <w:sz w:val="18"/>
              </w:rPr>
              <w:t>华泰荣泰</w:t>
            </w:r>
            <w:r>
              <w:rPr>
                <w:rFonts w:ascii="Arial" w:hAnsi="Arial" w:eastAsia="Arial"/>
                <w:b w:val="0"/>
                <w:i w:val="0"/>
                <w:color w:val="000000"/>
                <w:sz w:val="18"/>
              </w:rPr>
              <w:t>39</w:t>
            </w:r>
            <w:r>
              <w:rPr>
                <w:rFonts w:ascii="黑体" w:hAnsi="黑体" w:eastAsia="黑体"/>
                <w:b w:val="0"/>
                <w:i w:val="0"/>
                <w:color w:val="000000"/>
                <w:sz w:val="18"/>
              </w:rPr>
              <w:t>号单一资产管理计划</w:t>
            </w:r>
          </w:p>
        </w:tc>
        <w:tc>
          <w:tcPr>
            <w:tcW w:type="dxa" w:w="1680"/>
            <w:tcBorders/>
            <w:tcMar>
              <w:start w:w="0" w:type="dxa"/>
              <w:end w:w="0" w:type="dxa"/>
            </w:tcMar>
          </w:tcPr>
          <w:p>
            <w:pPr>
              <w:autoSpaceDN w:val="0"/>
              <w:autoSpaceDE w:val="0"/>
              <w:widowControl/>
              <w:spacing w:line="235" w:lineRule="auto" w:before="8" w:after="0"/>
              <w:ind w:left="0" w:right="142" w:firstLine="0"/>
              <w:jc w:val="right"/>
            </w:pPr>
            <w:r>
              <w:rPr>
                <w:rFonts w:ascii="Arial" w:hAnsi="Arial" w:eastAsia="Arial"/>
                <w:b w:val="0"/>
                <w:i w:val="0"/>
                <w:color w:val="000000"/>
                <w:sz w:val="18"/>
              </w:rPr>
              <w:t xml:space="preserve">230,022,002 </w:t>
            </w:r>
          </w:p>
        </w:tc>
        <w:tc>
          <w:tcPr>
            <w:tcW w:type="dxa" w:w="1680"/>
            <w:tcBorders/>
            <w:tcMar>
              <w:start w:w="0" w:type="dxa"/>
              <w:end w:w="0" w:type="dxa"/>
            </w:tcMar>
          </w:tcPr>
          <w:p>
            <w:pPr>
              <w:autoSpaceDN w:val="0"/>
              <w:autoSpaceDE w:val="0"/>
              <w:widowControl/>
              <w:spacing w:line="250" w:lineRule="auto" w:before="0" w:after="0"/>
              <w:ind w:left="0" w:right="150" w:firstLine="0"/>
              <w:jc w:val="right"/>
            </w:pPr>
            <w:r>
              <w:rPr>
                <w:rFonts w:ascii="Arial" w:hAnsi="Arial" w:eastAsia="Arial"/>
                <w:b w:val="0"/>
                <w:i w:val="0"/>
                <w:color w:val="000000"/>
                <w:sz w:val="18"/>
              </w:rPr>
              <w:t xml:space="preserve">230,022,002 </w:t>
            </w:r>
          </w:p>
        </w:tc>
      </w:tr>
      <w:tr>
        <w:trPr>
          <w:trHeight w:hRule="exact" w:val="220"/>
        </w:trPr>
        <w:tc>
          <w:tcPr>
            <w:tcW w:type="dxa" w:w="5142"/>
            <w:gridSpan w:val="2"/>
            <w:tcBorders/>
            <w:tcMar>
              <w:start w:w="0" w:type="dxa"/>
              <w:end w:w="0" w:type="dxa"/>
            </w:tcMar>
            <w:tcMar>
              <w:start w:w="0" w:type="dxa"/>
              <w:end w:w="0" w:type="dxa"/>
            </w:tcMar>
          </w:tcPr>
          <w:p>
            <w:pPr>
              <w:autoSpaceDN w:val="0"/>
              <w:autoSpaceDE w:val="0"/>
              <w:widowControl/>
              <w:spacing w:line="180" w:lineRule="exact" w:before="40" w:after="0"/>
              <w:ind w:left="0" w:right="0" w:firstLine="0"/>
              <w:jc w:val="left"/>
            </w:pPr>
            <w:r>
              <w:rPr>
                <w:rFonts w:ascii="黑体" w:hAnsi="黑体" w:eastAsia="黑体"/>
                <w:b w:val="0"/>
                <w:i w:val="0"/>
                <w:color w:val="000000"/>
                <w:sz w:val="18"/>
              </w:rPr>
              <w:t>乐水逸舟对冲一号私募证券投资基金</w:t>
            </w:r>
          </w:p>
        </w:tc>
        <w:tc>
          <w:tcPr>
            <w:tcW w:type="dxa" w:w="1680"/>
            <w:vMerge w:val="restart"/>
            <w:tcBorders/>
            <w:tcMar>
              <w:start w:w="0" w:type="dxa"/>
              <w:end w:w="0" w:type="dxa"/>
            </w:tcMar>
            <w:tcMar>
              <w:start w:w="0" w:type="dxa"/>
              <w:end w:w="0" w:type="dxa"/>
            </w:tcMar>
          </w:tcPr>
          <w:p>
            <w:pPr>
              <w:autoSpaceDN w:val="0"/>
              <w:autoSpaceDE w:val="0"/>
              <w:widowControl/>
              <w:spacing w:line="233" w:lineRule="auto" w:before="52" w:after="0"/>
              <w:ind w:left="0" w:right="142" w:firstLine="0"/>
              <w:jc w:val="right"/>
            </w:pPr>
            <w:r>
              <w:rPr>
                <w:rFonts w:ascii="Arial" w:hAnsi="Arial" w:eastAsia="Arial"/>
                <w:b w:val="0"/>
                <w:i w:val="0"/>
                <w:color w:val="000000"/>
                <w:sz w:val="18"/>
              </w:rPr>
              <w:t xml:space="preserve">147,489,118 </w:t>
            </w:r>
          </w:p>
        </w:tc>
        <w:tc>
          <w:tcPr>
            <w:tcW w:type="dxa" w:w="1680"/>
            <w:vMerge w:val="restart"/>
            <w:tcBorders/>
            <w:tcMar>
              <w:start w:w="0" w:type="dxa"/>
              <w:end w:w="0" w:type="dxa"/>
            </w:tcMar>
            <w:tcMar>
              <w:start w:w="0" w:type="dxa"/>
              <w:end w:w="0" w:type="dxa"/>
            </w:tcMar>
          </w:tcPr>
          <w:p>
            <w:pPr>
              <w:autoSpaceDN w:val="0"/>
              <w:autoSpaceDE w:val="0"/>
              <w:widowControl/>
              <w:spacing w:line="262" w:lineRule="auto" w:before="26" w:after="0"/>
              <w:ind w:left="0" w:right="150" w:firstLine="0"/>
              <w:jc w:val="right"/>
            </w:pPr>
            <w:r>
              <w:rPr>
                <w:rFonts w:ascii="Arial" w:hAnsi="Arial" w:eastAsia="Arial"/>
                <w:b w:val="0"/>
                <w:i w:val="0"/>
                <w:color w:val="000000"/>
                <w:sz w:val="18"/>
              </w:rPr>
              <w:t xml:space="preserve">- </w:t>
            </w:r>
          </w:p>
        </w:tc>
      </w:tr>
      <w:tr>
        <w:trPr>
          <w:trHeight w:hRule="exact" w:val="45"/>
        </w:trPr>
        <w:tc>
          <w:tcPr>
            <w:tcW w:type="dxa" w:w="514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0" w:lineRule="exact" w:before="50" w:after="0"/>
              <w:ind w:left="0" w:right="0" w:firstLine="0"/>
              <w:jc w:val="left"/>
            </w:pPr>
            <w:r>
              <w:rPr>
                <w:rFonts w:ascii="黑体" w:hAnsi="黑体" w:eastAsia="黑体"/>
                <w:b w:val="0"/>
                <w:i w:val="0"/>
                <w:color w:val="000000"/>
                <w:sz w:val="18"/>
              </w:rPr>
              <w:t>山西信托信宝</w:t>
            </w:r>
            <w:r>
              <w:rPr>
                <w:rFonts w:ascii="Arial" w:hAnsi="Arial" w:eastAsia="Arial"/>
                <w:b w:val="0"/>
                <w:i w:val="0"/>
                <w:color w:val="000000"/>
                <w:sz w:val="18"/>
              </w:rPr>
              <w:t>13</w:t>
            </w:r>
            <w:r>
              <w:rPr>
                <w:rFonts w:ascii="黑体" w:hAnsi="黑体" w:eastAsia="黑体"/>
                <w:b w:val="0"/>
                <w:i w:val="0"/>
                <w:color w:val="000000"/>
                <w:sz w:val="18"/>
              </w:rPr>
              <w:t>号集合资金信托计划</w:t>
            </w:r>
          </w:p>
        </w:tc>
        <w:tc>
          <w:tcPr>
            <w:tcW w:type="dxa" w:w="2255"/>
            <w:vMerge/>
            <w:tcBorders/>
          </w:tcPr>
          <w:p/>
        </w:tc>
        <w:tc>
          <w:tcPr>
            <w:tcW w:type="dxa" w:w="2255"/>
            <w:vMerge/>
            <w:tcBorders/>
          </w:tcPr>
          <w:p/>
        </w:tc>
      </w:tr>
      <w:tr>
        <w:trPr>
          <w:trHeight w:hRule="exact" w:val="223"/>
        </w:trPr>
        <w:tc>
          <w:tcPr>
            <w:tcW w:type="dxa" w:w="4510"/>
            <w:gridSpan w:val="2"/>
            <w:vMerge/>
            <w:tcBorders/>
          </w:tcPr>
          <w:p/>
        </w:tc>
        <w:tc>
          <w:tcPr>
            <w:tcW w:type="dxa" w:w="1680"/>
            <w:tcBorders/>
            <w:tcMar>
              <w:start w:w="0" w:type="dxa"/>
              <w:end w:w="0" w:type="dxa"/>
            </w:tcMar>
          </w:tcPr>
          <w:p>
            <w:pPr>
              <w:autoSpaceDN w:val="0"/>
              <w:autoSpaceDE w:val="0"/>
              <w:widowControl/>
              <w:spacing w:line="235" w:lineRule="auto" w:before="20" w:after="0"/>
              <w:ind w:left="0" w:right="142" w:firstLine="0"/>
              <w:jc w:val="right"/>
            </w:pPr>
            <w:r>
              <w:rPr>
                <w:rFonts w:ascii="Arial" w:hAnsi="Arial" w:eastAsia="Arial"/>
                <w:b w:val="0"/>
                <w:i w:val="0"/>
                <w:color w:val="000000"/>
                <w:sz w:val="18"/>
              </w:rPr>
              <w:t xml:space="preserve">130,000,000 </w:t>
            </w:r>
          </w:p>
        </w:tc>
        <w:tc>
          <w:tcPr>
            <w:tcW w:type="dxa" w:w="1680"/>
            <w:tcBorders/>
            <w:tcMar>
              <w:start w:w="0" w:type="dxa"/>
              <w:end w:w="0" w:type="dxa"/>
            </w:tcMar>
          </w:tcPr>
          <w:p>
            <w:pPr>
              <w:autoSpaceDN w:val="0"/>
              <w:autoSpaceDE w:val="0"/>
              <w:widowControl/>
              <w:spacing w:line="247" w:lineRule="auto" w:before="8" w:after="0"/>
              <w:ind w:left="0" w:right="150" w:firstLine="0"/>
              <w:jc w:val="right"/>
            </w:pPr>
            <w:r>
              <w:rPr>
                <w:rFonts w:ascii="Arial" w:hAnsi="Arial" w:eastAsia="Arial"/>
                <w:b w:val="0"/>
                <w:i w:val="0"/>
                <w:color w:val="000000"/>
                <w:sz w:val="18"/>
              </w:rPr>
              <w:t xml:space="preserve">130,000,000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0" w:lineRule="exact" w:before="12" w:after="0"/>
              <w:ind w:left="0" w:right="0" w:firstLine="0"/>
              <w:jc w:val="left"/>
            </w:pPr>
            <w:r>
              <w:rPr>
                <w:rFonts w:ascii="黑体" w:hAnsi="黑体" w:eastAsia="黑体"/>
                <w:b w:val="0"/>
                <w:i w:val="0"/>
                <w:color w:val="000000"/>
                <w:sz w:val="18"/>
              </w:rPr>
              <w:t>联海领航者</w:t>
            </w:r>
            <w:r>
              <w:rPr>
                <w:rFonts w:ascii="Arial" w:hAnsi="Arial" w:eastAsia="Arial"/>
                <w:b w:val="0"/>
                <w:i w:val="0"/>
                <w:color w:val="000000"/>
                <w:sz w:val="18"/>
              </w:rPr>
              <w:t>3</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8"/>
              </w:rPr>
              <w:t xml:space="preserve">103,173,715 </w:t>
            </w:r>
          </w:p>
        </w:tc>
        <w:tc>
          <w:tcPr>
            <w:tcW w:type="dxa" w:w="1680"/>
            <w:tcBorders/>
            <w:tcMar>
              <w:start w:w="0" w:type="dxa"/>
              <w:end w:w="0" w:type="dxa"/>
            </w:tcMar>
          </w:tcPr>
          <w:p>
            <w:pPr>
              <w:autoSpaceDN w:val="0"/>
              <w:autoSpaceDE w:val="0"/>
              <w:widowControl/>
              <w:spacing w:line="262" w:lineRule="auto" w:before="0" w:after="0"/>
              <w:ind w:left="0" w:right="150" w:firstLine="0"/>
              <w:jc w:val="right"/>
            </w:pPr>
            <w:r>
              <w:rPr>
                <w:rFonts w:ascii="Arial" w:hAnsi="Arial" w:eastAsia="Arial"/>
                <w:b w:val="0"/>
                <w:i w:val="0"/>
                <w:color w:val="000000"/>
                <w:sz w:val="18"/>
              </w:rPr>
              <w:t xml:space="preserve">-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8" w:after="0"/>
              <w:ind w:left="0" w:right="0" w:firstLine="0"/>
              <w:jc w:val="left"/>
            </w:pPr>
            <w:r>
              <w:rPr>
                <w:rFonts w:ascii="黑体" w:hAnsi="黑体" w:eastAsia="黑体"/>
                <w:b w:val="0"/>
                <w:i w:val="0"/>
                <w:color w:val="000000"/>
                <w:sz w:val="18"/>
              </w:rPr>
              <w:t>信澳山证</w:t>
            </w:r>
            <w:r>
              <w:rPr>
                <w:rFonts w:ascii="Arial" w:hAnsi="Arial" w:eastAsia="Arial"/>
                <w:b w:val="0"/>
                <w:i w:val="0"/>
                <w:color w:val="000000"/>
                <w:sz w:val="18"/>
              </w:rPr>
              <w:t>1</w:t>
            </w:r>
            <w:r>
              <w:rPr>
                <w:rFonts w:ascii="黑体" w:hAnsi="黑体" w:eastAsia="黑体"/>
                <w:b w:val="0"/>
                <w:i w:val="0"/>
                <w:color w:val="000000"/>
                <w:sz w:val="18"/>
              </w:rPr>
              <w:t>号单一资产管理计划</w:t>
            </w:r>
          </w:p>
        </w:tc>
        <w:tc>
          <w:tcPr>
            <w:tcW w:type="dxa" w:w="1680"/>
            <w:tcBorders/>
            <w:tcMar>
              <w:start w:w="0" w:type="dxa"/>
              <w:end w:w="0" w:type="dxa"/>
            </w:tcMar>
          </w:tcPr>
          <w:p>
            <w:pPr>
              <w:autoSpaceDN w:val="0"/>
              <w:autoSpaceDE w:val="0"/>
              <w:widowControl/>
              <w:spacing w:line="235" w:lineRule="auto" w:before="38" w:after="0"/>
              <w:ind w:left="0" w:right="142" w:firstLine="0"/>
              <w:jc w:val="right"/>
            </w:pPr>
            <w:r>
              <w:rPr>
                <w:rFonts w:ascii="Arial" w:hAnsi="Arial" w:eastAsia="Arial"/>
                <w:b w:val="0"/>
                <w:i w:val="0"/>
                <w:color w:val="000000"/>
                <w:sz w:val="18"/>
              </w:rPr>
              <w:t xml:space="preserve">100,000,000 </w:t>
            </w:r>
          </w:p>
        </w:tc>
        <w:tc>
          <w:tcPr>
            <w:tcW w:type="dxa" w:w="1680"/>
            <w:tcBorders/>
            <w:tcMar>
              <w:start w:w="0" w:type="dxa"/>
              <w:end w:w="0" w:type="dxa"/>
            </w:tcMar>
          </w:tcPr>
          <w:p>
            <w:pPr>
              <w:autoSpaceDN w:val="0"/>
              <w:autoSpaceDE w:val="0"/>
              <w:widowControl/>
              <w:spacing w:line="250" w:lineRule="auto" w:before="24" w:after="0"/>
              <w:ind w:left="0" w:right="150" w:firstLine="0"/>
              <w:jc w:val="right"/>
            </w:pPr>
            <w:r>
              <w:rPr>
                <w:rFonts w:ascii="Arial" w:hAnsi="Arial" w:eastAsia="Arial"/>
                <w:b w:val="0"/>
                <w:i w:val="0"/>
                <w:color w:val="000000"/>
                <w:sz w:val="18"/>
              </w:rPr>
              <w:t xml:space="preserve">100,000,000 </w:t>
            </w:r>
          </w:p>
        </w:tc>
      </w:tr>
      <w:tr>
        <w:trPr>
          <w:trHeight w:hRule="exact" w:val="250"/>
        </w:trPr>
        <w:tc>
          <w:tcPr>
            <w:tcW w:type="dxa" w:w="5142"/>
            <w:gridSpan w:val="2"/>
            <w:tcBorders/>
            <w:tcMar>
              <w:start w:w="0" w:type="dxa"/>
              <w:end w:w="0" w:type="dxa"/>
            </w:tcMar>
            <w:tcMar>
              <w:start w:w="0" w:type="dxa"/>
              <w:end w:w="0" w:type="dxa"/>
            </w:tcMar>
          </w:tcPr>
          <w:p>
            <w:pPr>
              <w:autoSpaceDN w:val="0"/>
              <w:autoSpaceDE w:val="0"/>
              <w:widowControl/>
              <w:spacing w:line="202" w:lineRule="exact" w:before="30" w:after="0"/>
              <w:ind w:left="0" w:right="0" w:firstLine="0"/>
              <w:jc w:val="left"/>
            </w:pPr>
            <w:r>
              <w:rPr>
                <w:rFonts w:ascii="黑体" w:hAnsi="黑体" w:eastAsia="黑体"/>
                <w:b w:val="0"/>
                <w:i w:val="0"/>
                <w:color w:val="000000"/>
                <w:sz w:val="18"/>
              </w:rPr>
              <w:t>托特市场中性</w:t>
            </w:r>
            <w:r>
              <w:rPr>
                <w:rFonts w:ascii="Arial" w:hAnsi="Arial" w:eastAsia="Arial"/>
                <w:b w:val="0"/>
                <w:i w:val="0"/>
                <w:color w:val="000000"/>
                <w:sz w:val="18"/>
              </w:rPr>
              <w:t>21</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46" w:after="0"/>
              <w:ind w:left="0" w:right="142" w:firstLine="0"/>
              <w:jc w:val="right"/>
            </w:pPr>
            <w:r>
              <w:rPr>
                <w:rFonts w:ascii="Arial" w:hAnsi="Arial" w:eastAsia="Arial"/>
                <w:b w:val="0"/>
                <w:i w:val="0"/>
                <w:color w:val="000000"/>
                <w:sz w:val="18"/>
              </w:rPr>
              <w:t xml:space="preserve">70,673,147 </w:t>
            </w:r>
          </w:p>
        </w:tc>
        <w:tc>
          <w:tcPr>
            <w:tcW w:type="dxa" w:w="1680"/>
            <w:tcBorders/>
            <w:tcMar>
              <w:start w:w="0" w:type="dxa"/>
              <w:end w:w="0" w:type="dxa"/>
            </w:tcMar>
          </w:tcPr>
          <w:p>
            <w:pPr>
              <w:autoSpaceDN w:val="0"/>
              <w:autoSpaceDE w:val="0"/>
              <w:widowControl/>
              <w:spacing w:line="264" w:lineRule="auto" w:before="18" w:after="0"/>
              <w:ind w:left="0" w:right="150" w:firstLine="0"/>
              <w:jc w:val="right"/>
            </w:pPr>
            <w:r>
              <w:rPr>
                <w:rFonts w:ascii="Arial" w:hAnsi="Arial" w:eastAsia="Arial"/>
                <w:b w:val="0"/>
                <w:i w:val="0"/>
                <w:color w:val="000000"/>
                <w:sz w:val="18"/>
              </w:rPr>
              <w:t xml:space="preserve">- </w:t>
            </w:r>
          </w:p>
        </w:tc>
      </w:tr>
      <w:tr>
        <w:trPr>
          <w:trHeight w:hRule="exact" w:val="210"/>
        </w:trPr>
        <w:tc>
          <w:tcPr>
            <w:tcW w:type="dxa" w:w="5142"/>
            <w:gridSpan w:val="2"/>
            <w:tcBorders/>
            <w:tcMar>
              <w:start w:w="0" w:type="dxa"/>
              <w:end w:w="0" w:type="dxa"/>
            </w:tcMar>
            <w:tcMar>
              <w:start w:w="0" w:type="dxa"/>
              <w:end w:w="0" w:type="dxa"/>
            </w:tcMar>
          </w:tcPr>
          <w:p>
            <w:pPr>
              <w:autoSpaceDN w:val="0"/>
              <w:autoSpaceDE w:val="0"/>
              <w:widowControl/>
              <w:spacing w:line="200" w:lineRule="exact" w:before="10" w:after="0"/>
              <w:ind w:left="0" w:right="0" w:firstLine="0"/>
              <w:jc w:val="left"/>
            </w:pPr>
            <w:r>
              <w:rPr>
                <w:rFonts w:ascii="黑体" w:hAnsi="黑体" w:eastAsia="黑体"/>
                <w:b w:val="0"/>
                <w:i w:val="0"/>
                <w:color w:val="000000"/>
                <w:sz w:val="18"/>
              </w:rPr>
              <w:t>中信建投聚智多策略</w:t>
            </w:r>
            <w:r>
              <w:rPr>
                <w:rFonts w:ascii="Arial" w:hAnsi="Arial" w:eastAsia="Arial"/>
                <w:b w:val="0"/>
                <w:i w:val="0"/>
                <w:color w:val="000000"/>
                <w:sz w:val="18"/>
              </w:rPr>
              <w:t>5</w:t>
            </w:r>
            <w:r>
              <w:rPr>
                <w:rFonts w:ascii="黑体" w:hAnsi="黑体" w:eastAsia="黑体"/>
                <w:b w:val="0"/>
                <w:i w:val="0"/>
                <w:color w:val="000000"/>
                <w:sz w:val="18"/>
              </w:rPr>
              <w:t>号</w:t>
            </w:r>
            <w:r>
              <w:rPr>
                <w:rFonts w:ascii="Arial" w:hAnsi="Arial" w:eastAsia="Arial"/>
                <w:b w:val="0"/>
                <w:i w:val="0"/>
                <w:color w:val="000000"/>
                <w:sz w:val="18"/>
              </w:rPr>
              <w:t>FOF</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10" w:after="0"/>
              <w:ind w:left="0" w:right="142" w:firstLine="0"/>
              <w:jc w:val="right"/>
            </w:pPr>
            <w:r>
              <w:rPr>
                <w:rFonts w:ascii="Arial" w:hAnsi="Arial" w:eastAsia="Arial"/>
                <w:b w:val="0"/>
                <w:i w:val="0"/>
                <w:color w:val="000000"/>
                <w:sz w:val="18"/>
              </w:rPr>
              <w:t xml:space="preserve">65,593,193 </w:t>
            </w:r>
          </w:p>
        </w:tc>
        <w:tc>
          <w:tcPr>
            <w:tcW w:type="dxa" w:w="1680"/>
            <w:tcBorders/>
            <w:tcMar>
              <w:start w:w="0" w:type="dxa"/>
              <w:end w:w="0" w:type="dxa"/>
            </w:tcMar>
          </w:tcPr>
          <w:p>
            <w:pPr>
              <w:autoSpaceDN w:val="0"/>
              <w:autoSpaceDE w:val="0"/>
              <w:widowControl/>
              <w:spacing w:line="245" w:lineRule="auto" w:before="0" w:after="0"/>
              <w:ind w:left="0" w:right="150" w:firstLine="0"/>
              <w:jc w:val="right"/>
            </w:pPr>
            <w:r>
              <w:rPr>
                <w:rFonts w:ascii="Arial" w:hAnsi="Arial" w:eastAsia="Arial"/>
                <w:b w:val="0"/>
                <w:i w:val="0"/>
                <w:color w:val="000000"/>
                <w:sz w:val="18"/>
              </w:rPr>
              <w:t xml:space="preserve">240,037,423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8" w:after="0"/>
              <w:ind w:left="0" w:right="0" w:firstLine="0"/>
              <w:jc w:val="left"/>
            </w:pPr>
            <w:r>
              <w:rPr>
                <w:rFonts w:ascii="黑体" w:hAnsi="黑体" w:eastAsia="黑体"/>
                <w:b w:val="0"/>
                <w:i w:val="0"/>
                <w:color w:val="000000"/>
                <w:sz w:val="18"/>
              </w:rPr>
              <w:t>格林大华聚鑫</w:t>
            </w:r>
            <w:r>
              <w:rPr>
                <w:rFonts w:ascii="Arial" w:hAnsi="Arial" w:eastAsia="Arial"/>
                <w:b w:val="0"/>
                <w:i w:val="0"/>
                <w:color w:val="000000"/>
                <w:sz w:val="18"/>
              </w:rPr>
              <w:t>3</w:t>
            </w:r>
            <w:r>
              <w:rPr>
                <w:rFonts w:ascii="黑体" w:hAnsi="黑体" w:eastAsia="黑体"/>
                <w:b w:val="0"/>
                <w:i w:val="0"/>
                <w:color w:val="000000"/>
                <w:sz w:val="18"/>
              </w:rPr>
              <w:t>号</w:t>
            </w:r>
            <w:r>
              <w:rPr>
                <w:rFonts w:ascii="Arial" w:hAnsi="Arial" w:eastAsia="Arial"/>
                <w:b w:val="0"/>
                <w:i w:val="0"/>
                <w:color w:val="000000"/>
                <w:sz w:val="18"/>
              </w:rPr>
              <w:t>FOF</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65,000,000 </w:t>
            </w:r>
          </w:p>
        </w:tc>
        <w:tc>
          <w:tcPr>
            <w:tcW w:type="dxa" w:w="1680"/>
            <w:tcBorders/>
            <w:tcMar>
              <w:start w:w="0" w:type="dxa"/>
              <w:end w:w="0" w:type="dxa"/>
            </w:tcMar>
          </w:tcPr>
          <w:p>
            <w:pPr>
              <w:autoSpaceDN w:val="0"/>
              <w:autoSpaceDE w:val="0"/>
              <w:widowControl/>
              <w:spacing w:line="264" w:lineRule="auto" w:before="12" w:after="0"/>
              <w:ind w:left="0" w:right="150" w:firstLine="0"/>
              <w:jc w:val="right"/>
            </w:pPr>
            <w:r>
              <w:rPr>
                <w:rFonts w:ascii="Arial" w:hAnsi="Arial" w:eastAsia="Arial"/>
                <w:b w:val="0"/>
                <w:i w:val="0"/>
                <w:color w:val="000000"/>
                <w:sz w:val="18"/>
              </w:rPr>
              <w:t xml:space="preserve">- </w:t>
            </w:r>
          </w:p>
        </w:tc>
      </w:tr>
      <w:tr>
        <w:trPr>
          <w:trHeight w:hRule="exact" w:val="250"/>
        </w:trPr>
        <w:tc>
          <w:tcPr>
            <w:tcW w:type="dxa" w:w="5142"/>
            <w:gridSpan w:val="2"/>
            <w:tcBorders/>
            <w:tcMar>
              <w:start w:w="0" w:type="dxa"/>
              <w:end w:w="0" w:type="dxa"/>
            </w:tcMar>
            <w:tcMar>
              <w:start w:w="0" w:type="dxa"/>
              <w:end w:w="0" w:type="dxa"/>
            </w:tcMar>
          </w:tcPr>
          <w:p>
            <w:pPr>
              <w:autoSpaceDN w:val="0"/>
              <w:autoSpaceDE w:val="0"/>
              <w:widowControl/>
              <w:spacing w:line="200" w:lineRule="exact" w:before="32" w:after="0"/>
              <w:ind w:left="0" w:right="0" w:firstLine="0"/>
              <w:jc w:val="left"/>
            </w:pPr>
            <w:r>
              <w:rPr>
                <w:rFonts w:ascii="黑体" w:hAnsi="黑体" w:eastAsia="黑体"/>
                <w:b w:val="0"/>
                <w:i w:val="0"/>
                <w:color w:val="000000"/>
                <w:sz w:val="18"/>
              </w:rPr>
              <w:t>山证汇通乾通</w:t>
            </w:r>
            <w:r>
              <w:rPr>
                <w:rFonts w:ascii="Arial" w:hAnsi="Arial" w:eastAsia="Arial"/>
                <w:b w:val="0"/>
                <w:i w:val="0"/>
                <w:color w:val="000000"/>
                <w:sz w:val="18"/>
              </w:rPr>
              <w:t>3</w:t>
            </w:r>
            <w:r>
              <w:rPr>
                <w:rFonts w:ascii="黑体" w:hAnsi="黑体" w:eastAsia="黑体"/>
                <w:b w:val="0"/>
                <w:i w:val="0"/>
                <w:color w:val="000000"/>
                <w:sz w:val="18"/>
              </w:rPr>
              <w:t>号集合资产管理计划</w:t>
            </w:r>
          </w:p>
        </w:tc>
        <w:tc>
          <w:tcPr>
            <w:tcW w:type="dxa" w:w="1680"/>
            <w:tcBorders/>
            <w:tcMar>
              <w:start w:w="0" w:type="dxa"/>
              <w:end w:w="0" w:type="dxa"/>
            </w:tcMar>
          </w:tcPr>
          <w:p>
            <w:pPr>
              <w:autoSpaceDN w:val="0"/>
              <w:autoSpaceDE w:val="0"/>
              <w:widowControl/>
              <w:spacing w:line="233" w:lineRule="auto" w:before="46" w:after="0"/>
              <w:ind w:left="0" w:right="142" w:firstLine="0"/>
              <w:jc w:val="right"/>
            </w:pPr>
            <w:r>
              <w:rPr>
                <w:rFonts w:ascii="Arial" w:hAnsi="Arial" w:eastAsia="Arial"/>
                <w:b w:val="0"/>
                <w:i w:val="0"/>
                <w:color w:val="000000"/>
                <w:sz w:val="18"/>
              </w:rPr>
              <w:t xml:space="preserve">63,500,000 </w:t>
            </w:r>
          </w:p>
        </w:tc>
        <w:tc>
          <w:tcPr>
            <w:tcW w:type="dxa" w:w="1680"/>
            <w:tcBorders/>
            <w:tcMar>
              <w:start w:w="0" w:type="dxa"/>
              <w:end w:w="0" w:type="dxa"/>
            </w:tcMar>
          </w:tcPr>
          <w:p>
            <w:pPr>
              <w:autoSpaceDN w:val="0"/>
              <w:autoSpaceDE w:val="0"/>
              <w:widowControl/>
              <w:spacing w:line="247" w:lineRule="auto" w:before="32" w:after="0"/>
              <w:ind w:left="0" w:right="150" w:firstLine="0"/>
              <w:jc w:val="right"/>
            </w:pPr>
            <w:r>
              <w:rPr>
                <w:rFonts w:ascii="Arial" w:hAnsi="Arial" w:eastAsia="Arial"/>
                <w:b w:val="0"/>
                <w:i w:val="0"/>
                <w:color w:val="000000"/>
                <w:sz w:val="18"/>
              </w:rPr>
              <w:t xml:space="preserve">63,500,000 </w:t>
            </w:r>
          </w:p>
        </w:tc>
      </w:tr>
      <w:tr>
        <w:trPr>
          <w:trHeight w:hRule="exact" w:val="210"/>
        </w:trPr>
        <w:tc>
          <w:tcPr>
            <w:tcW w:type="dxa" w:w="5142"/>
            <w:gridSpan w:val="2"/>
            <w:tcBorders/>
            <w:tcMar>
              <w:start w:w="0" w:type="dxa"/>
              <w:end w:w="0" w:type="dxa"/>
            </w:tcMar>
            <w:tcMar>
              <w:start w:w="0" w:type="dxa"/>
              <w:end w:w="0" w:type="dxa"/>
            </w:tcMar>
          </w:tcPr>
          <w:p>
            <w:pPr>
              <w:autoSpaceDN w:val="0"/>
              <w:autoSpaceDE w:val="0"/>
              <w:widowControl/>
              <w:spacing w:line="202" w:lineRule="exact" w:before="8" w:after="0"/>
              <w:ind w:left="0" w:right="0" w:firstLine="0"/>
              <w:jc w:val="left"/>
            </w:pPr>
            <w:r>
              <w:rPr>
                <w:rFonts w:ascii="黑体" w:hAnsi="黑体" w:eastAsia="黑体"/>
                <w:b w:val="0"/>
                <w:i w:val="0"/>
                <w:color w:val="000000"/>
                <w:sz w:val="18"/>
              </w:rPr>
              <w:t>山证国际大商所铁矿石期货指数</w:t>
            </w:r>
            <w:r>
              <w:rPr>
                <w:rFonts w:ascii="Arial" w:hAnsi="Arial" w:eastAsia="Arial"/>
                <w:b w:val="0"/>
                <w:i w:val="0"/>
                <w:color w:val="000000"/>
                <w:sz w:val="18"/>
              </w:rPr>
              <w:t xml:space="preserve">ETF </w:t>
            </w:r>
          </w:p>
        </w:tc>
        <w:tc>
          <w:tcPr>
            <w:tcW w:type="dxa" w:w="1680"/>
            <w:tcBorders/>
            <w:tcMar>
              <w:start w:w="0" w:type="dxa"/>
              <w:end w:w="0" w:type="dxa"/>
            </w:tcMar>
          </w:tcPr>
          <w:p>
            <w:pPr>
              <w:autoSpaceDN w:val="0"/>
              <w:autoSpaceDE w:val="0"/>
              <w:widowControl/>
              <w:spacing w:line="235" w:lineRule="auto" w:before="8" w:after="0"/>
              <w:ind w:left="0" w:right="142" w:firstLine="0"/>
              <w:jc w:val="right"/>
            </w:pPr>
            <w:r>
              <w:rPr>
                <w:rFonts w:ascii="Arial" w:hAnsi="Arial" w:eastAsia="Arial"/>
                <w:b w:val="0"/>
                <w:i w:val="0"/>
                <w:color w:val="000000"/>
                <w:sz w:val="18"/>
              </w:rPr>
              <w:t xml:space="preserve">57,144,609 </w:t>
            </w:r>
          </w:p>
        </w:tc>
        <w:tc>
          <w:tcPr>
            <w:tcW w:type="dxa" w:w="1680"/>
            <w:tcBorders/>
            <w:tcMar>
              <w:start w:w="0" w:type="dxa"/>
              <w:end w:w="0" w:type="dxa"/>
            </w:tcMar>
          </w:tcPr>
          <w:p>
            <w:pPr>
              <w:autoSpaceDN w:val="0"/>
              <w:autoSpaceDE w:val="0"/>
              <w:widowControl/>
              <w:spacing w:line="247" w:lineRule="auto" w:before="0" w:after="0"/>
              <w:ind w:left="0" w:right="150" w:firstLine="0"/>
              <w:jc w:val="right"/>
            </w:pPr>
            <w:r>
              <w:rPr>
                <w:rFonts w:ascii="Arial" w:hAnsi="Arial" w:eastAsia="Arial"/>
                <w:b w:val="0"/>
                <w:i w:val="0"/>
                <w:color w:val="000000"/>
                <w:sz w:val="18"/>
              </w:rPr>
              <w:t xml:space="preserve">79,311,983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8" w:after="0"/>
              <w:ind w:left="0" w:right="0" w:firstLine="0"/>
              <w:jc w:val="left"/>
            </w:pPr>
            <w:r>
              <w:rPr>
                <w:rFonts w:ascii="黑体" w:hAnsi="黑体" w:eastAsia="黑体"/>
                <w:b w:val="0"/>
                <w:i w:val="0"/>
                <w:color w:val="000000"/>
                <w:sz w:val="18"/>
              </w:rPr>
              <w:t>山证汇通乾通</w:t>
            </w:r>
            <w:r>
              <w:rPr>
                <w:rFonts w:ascii="Arial" w:hAnsi="Arial" w:eastAsia="Arial"/>
                <w:b w:val="0"/>
                <w:i w:val="0"/>
                <w:color w:val="000000"/>
                <w:sz w:val="18"/>
              </w:rPr>
              <w:t>5</w:t>
            </w:r>
            <w:r>
              <w:rPr>
                <w:rFonts w:ascii="黑体" w:hAnsi="黑体" w:eastAsia="黑体"/>
                <w:b w:val="0"/>
                <w:i w:val="0"/>
                <w:color w:val="000000"/>
                <w:sz w:val="18"/>
              </w:rPr>
              <w:t>号集合资产管理计划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56,500,000 </w:t>
            </w:r>
          </w:p>
        </w:tc>
        <w:tc>
          <w:tcPr>
            <w:tcW w:type="dxa" w:w="1680"/>
            <w:tcBorders/>
            <w:tcMar>
              <w:start w:w="0" w:type="dxa"/>
              <w:end w:w="0" w:type="dxa"/>
            </w:tcMar>
          </w:tcPr>
          <w:p>
            <w:pPr>
              <w:autoSpaceDN w:val="0"/>
              <w:autoSpaceDE w:val="0"/>
              <w:widowControl/>
              <w:spacing w:line="245" w:lineRule="auto" w:before="28" w:after="0"/>
              <w:ind w:left="0" w:right="150" w:firstLine="0"/>
              <w:jc w:val="right"/>
            </w:pPr>
            <w:r>
              <w:rPr>
                <w:rFonts w:ascii="Arial" w:hAnsi="Arial" w:eastAsia="Arial"/>
                <w:b w:val="0"/>
                <w:i w:val="0"/>
                <w:color w:val="000000"/>
                <w:sz w:val="18"/>
              </w:rPr>
              <w:t xml:space="preserve">56,500,000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2" w:after="0"/>
              <w:ind w:left="0" w:right="0" w:firstLine="0"/>
              <w:jc w:val="left"/>
            </w:pPr>
            <w:r>
              <w:rPr>
                <w:rFonts w:ascii="黑体" w:hAnsi="黑体" w:eastAsia="黑体"/>
                <w:b w:val="0"/>
                <w:i w:val="0"/>
                <w:color w:val="000000"/>
                <w:sz w:val="18"/>
              </w:rPr>
              <w:t>山证汇通乾通</w:t>
            </w:r>
            <w:r>
              <w:rPr>
                <w:rFonts w:ascii="Arial" w:hAnsi="Arial" w:eastAsia="Arial"/>
                <w:b w:val="0"/>
                <w:i w:val="0"/>
                <w:color w:val="000000"/>
                <w:sz w:val="18"/>
              </w:rPr>
              <w:t>2</w:t>
            </w:r>
            <w:r>
              <w:rPr>
                <w:rFonts w:ascii="黑体" w:hAnsi="黑体" w:eastAsia="黑体"/>
                <w:b w:val="0"/>
                <w:i w:val="0"/>
                <w:color w:val="000000"/>
                <w:sz w:val="18"/>
              </w:rPr>
              <w:t>号集合资产管理计划</w:t>
            </w:r>
          </w:p>
        </w:tc>
        <w:tc>
          <w:tcPr>
            <w:tcW w:type="dxa" w:w="1680"/>
            <w:tcBorders/>
            <w:tcMar>
              <w:start w:w="0" w:type="dxa"/>
              <w:end w:w="0" w:type="dxa"/>
            </w:tcMar>
          </w:tcPr>
          <w:p>
            <w:pPr>
              <w:autoSpaceDN w:val="0"/>
              <w:autoSpaceDE w:val="0"/>
              <w:widowControl/>
              <w:spacing w:line="235" w:lineRule="auto" w:before="38" w:after="0"/>
              <w:ind w:left="0" w:right="142" w:firstLine="0"/>
              <w:jc w:val="right"/>
            </w:pPr>
            <w:r>
              <w:rPr>
                <w:rFonts w:ascii="Arial" w:hAnsi="Arial" w:eastAsia="Arial"/>
                <w:b w:val="0"/>
                <w:i w:val="0"/>
                <w:color w:val="000000"/>
                <w:sz w:val="18"/>
              </w:rPr>
              <w:t xml:space="preserve">51,000,000 </w:t>
            </w:r>
          </w:p>
        </w:tc>
        <w:tc>
          <w:tcPr>
            <w:tcW w:type="dxa" w:w="1680"/>
            <w:tcBorders/>
            <w:tcMar>
              <w:start w:w="0" w:type="dxa"/>
              <w:end w:w="0" w:type="dxa"/>
            </w:tcMar>
          </w:tcPr>
          <w:p>
            <w:pPr>
              <w:autoSpaceDN w:val="0"/>
              <w:autoSpaceDE w:val="0"/>
              <w:widowControl/>
              <w:spacing w:line="250" w:lineRule="auto" w:before="24" w:after="0"/>
              <w:ind w:left="0" w:right="150" w:firstLine="0"/>
              <w:jc w:val="right"/>
            </w:pPr>
            <w:r>
              <w:rPr>
                <w:rFonts w:ascii="Arial" w:hAnsi="Arial" w:eastAsia="Arial"/>
                <w:b w:val="0"/>
                <w:i w:val="0"/>
                <w:color w:val="000000"/>
                <w:sz w:val="18"/>
              </w:rPr>
              <w:t xml:space="preserve">51,000,000 </w:t>
            </w:r>
          </w:p>
        </w:tc>
      </w:tr>
      <w:tr>
        <w:trPr>
          <w:trHeight w:hRule="exact" w:val="220"/>
        </w:trPr>
        <w:tc>
          <w:tcPr>
            <w:tcW w:type="dxa" w:w="5142"/>
            <w:gridSpan w:val="2"/>
            <w:tcBorders/>
            <w:tcMar>
              <w:start w:w="0" w:type="dxa"/>
              <w:end w:w="0" w:type="dxa"/>
            </w:tcMar>
            <w:tcMar>
              <w:start w:w="0" w:type="dxa"/>
              <w:end w:w="0" w:type="dxa"/>
            </w:tcMar>
          </w:tcPr>
          <w:p>
            <w:pPr>
              <w:autoSpaceDN w:val="0"/>
              <w:autoSpaceDE w:val="0"/>
              <w:widowControl/>
              <w:spacing w:line="200" w:lineRule="exact" w:before="20" w:after="0"/>
              <w:ind w:left="0" w:right="0" w:firstLine="0"/>
              <w:jc w:val="left"/>
            </w:pPr>
            <w:r>
              <w:rPr>
                <w:rFonts w:ascii="黑体" w:hAnsi="黑体" w:eastAsia="黑体"/>
                <w:b w:val="0"/>
                <w:i w:val="0"/>
                <w:color w:val="000000"/>
                <w:sz w:val="18"/>
              </w:rPr>
              <w:t>山西信托信宝</w:t>
            </w:r>
            <w:r>
              <w:rPr>
                <w:rFonts w:ascii="Arial" w:hAnsi="Arial" w:eastAsia="Arial"/>
                <w:b w:val="0"/>
                <w:i w:val="0"/>
                <w:color w:val="000000"/>
                <w:sz w:val="18"/>
              </w:rPr>
              <w:t>12</w:t>
            </w:r>
            <w:r>
              <w:rPr>
                <w:rFonts w:ascii="黑体" w:hAnsi="黑体" w:eastAsia="黑体"/>
                <w:b w:val="0"/>
                <w:i w:val="0"/>
                <w:color w:val="000000"/>
                <w:sz w:val="18"/>
              </w:rPr>
              <w:t>号集合资金信托计划</w:t>
            </w:r>
          </w:p>
        </w:tc>
        <w:tc>
          <w:tcPr>
            <w:tcW w:type="dxa" w:w="1680"/>
            <w:tcBorders/>
            <w:tcMar>
              <w:start w:w="0" w:type="dxa"/>
              <w:end w:w="0" w:type="dxa"/>
            </w:tcMar>
          </w:tcPr>
          <w:p>
            <w:pPr>
              <w:autoSpaceDN w:val="0"/>
              <w:autoSpaceDE w:val="0"/>
              <w:widowControl/>
              <w:spacing w:line="233" w:lineRule="auto" w:before="20" w:after="0"/>
              <w:ind w:left="0" w:right="142" w:firstLine="0"/>
              <w:jc w:val="right"/>
            </w:pPr>
            <w:r>
              <w:rPr>
                <w:rFonts w:ascii="Arial" w:hAnsi="Arial" w:eastAsia="Arial"/>
                <w:b w:val="0"/>
                <w:i w:val="0"/>
                <w:color w:val="000000"/>
                <w:sz w:val="18"/>
              </w:rPr>
              <w:t xml:space="preserve">41,000,000 </w:t>
            </w:r>
          </w:p>
        </w:tc>
        <w:tc>
          <w:tcPr>
            <w:tcW w:type="dxa" w:w="1680"/>
            <w:tcBorders/>
            <w:tcMar>
              <w:start w:w="0" w:type="dxa"/>
              <w:end w:w="0" w:type="dxa"/>
            </w:tcMar>
          </w:tcPr>
          <w:p>
            <w:pPr>
              <w:autoSpaceDN w:val="0"/>
              <w:autoSpaceDE w:val="0"/>
              <w:widowControl/>
              <w:spacing w:line="247" w:lineRule="auto" w:before="6" w:after="0"/>
              <w:ind w:left="0" w:right="150" w:firstLine="0"/>
              <w:jc w:val="right"/>
            </w:pPr>
            <w:r>
              <w:rPr>
                <w:rFonts w:ascii="Arial" w:hAnsi="Arial" w:eastAsia="Arial"/>
                <w:b w:val="0"/>
                <w:i w:val="0"/>
                <w:color w:val="000000"/>
                <w:sz w:val="18"/>
              </w:rPr>
              <w:t xml:space="preserve">41,000,000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8" w:after="0"/>
              <w:ind w:left="0" w:right="0" w:firstLine="0"/>
              <w:jc w:val="left"/>
            </w:pPr>
            <w:r>
              <w:rPr>
                <w:rFonts w:ascii="黑体" w:hAnsi="黑体" w:eastAsia="黑体"/>
                <w:b w:val="0"/>
                <w:i w:val="0"/>
                <w:color w:val="000000"/>
                <w:sz w:val="18"/>
              </w:rPr>
              <w:t>乾象股票千里</w:t>
            </w:r>
            <w:r>
              <w:rPr>
                <w:rFonts w:ascii="Arial" w:hAnsi="Arial" w:eastAsia="Arial"/>
                <w:b w:val="0"/>
                <w:i w:val="0"/>
                <w:color w:val="000000"/>
                <w:sz w:val="18"/>
              </w:rPr>
              <w:t>40</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5" w:lineRule="auto" w:before="38" w:after="0"/>
              <w:ind w:left="0" w:right="142" w:firstLine="0"/>
              <w:jc w:val="right"/>
            </w:pPr>
            <w:r>
              <w:rPr>
                <w:rFonts w:ascii="Arial" w:hAnsi="Arial" w:eastAsia="Arial"/>
                <w:b w:val="0"/>
                <w:i w:val="0"/>
                <w:color w:val="000000"/>
                <w:sz w:val="18"/>
              </w:rPr>
              <w:t xml:space="preserve">40,426,657 </w:t>
            </w:r>
          </w:p>
        </w:tc>
        <w:tc>
          <w:tcPr>
            <w:tcW w:type="dxa" w:w="1680"/>
            <w:tcBorders/>
            <w:tcMar>
              <w:start w:w="0" w:type="dxa"/>
              <w:end w:w="0" w:type="dxa"/>
            </w:tcMar>
          </w:tcPr>
          <w:p>
            <w:pPr>
              <w:autoSpaceDN w:val="0"/>
              <w:autoSpaceDE w:val="0"/>
              <w:widowControl/>
              <w:spacing w:line="264" w:lineRule="auto" w:before="12" w:after="0"/>
              <w:ind w:left="0" w:right="150" w:firstLine="0"/>
              <w:jc w:val="right"/>
            </w:pPr>
            <w:r>
              <w:rPr>
                <w:rFonts w:ascii="Arial" w:hAnsi="Arial" w:eastAsia="Arial"/>
                <w:b w:val="0"/>
                <w:i w:val="0"/>
                <w:color w:val="000000"/>
                <w:sz w:val="18"/>
              </w:rPr>
              <w:t xml:space="preserve">- </w:t>
            </w:r>
          </w:p>
        </w:tc>
      </w:tr>
      <w:tr>
        <w:trPr>
          <w:trHeight w:hRule="exact" w:val="248"/>
        </w:trPr>
        <w:tc>
          <w:tcPr>
            <w:tcW w:type="dxa" w:w="5142"/>
            <w:gridSpan w:val="2"/>
            <w:tcBorders/>
            <w:tcMar>
              <w:start w:w="0" w:type="dxa"/>
              <w:end w:w="0" w:type="dxa"/>
            </w:tcMar>
            <w:tcMar>
              <w:start w:w="0" w:type="dxa"/>
              <w:end w:w="0" w:type="dxa"/>
            </w:tcMar>
          </w:tcPr>
          <w:p>
            <w:pPr>
              <w:autoSpaceDN w:val="0"/>
              <w:autoSpaceDE w:val="0"/>
              <w:widowControl/>
              <w:spacing w:line="200" w:lineRule="exact" w:before="32" w:after="0"/>
              <w:ind w:left="0" w:right="0" w:firstLine="0"/>
              <w:jc w:val="left"/>
            </w:pPr>
            <w:r>
              <w:rPr>
                <w:rFonts w:ascii="黑体" w:hAnsi="黑体" w:eastAsia="黑体"/>
                <w:b w:val="0"/>
                <w:i w:val="0"/>
                <w:color w:val="000000"/>
                <w:sz w:val="18"/>
              </w:rPr>
              <w:t>北方信托</w:t>
            </w:r>
            <w:r>
              <w:rPr>
                <w:rFonts w:ascii="Arial" w:hAnsi="Arial" w:eastAsia="Arial"/>
                <w:b w:val="0"/>
                <w:i w:val="0"/>
                <w:color w:val="000000"/>
                <w:sz w:val="18"/>
              </w:rPr>
              <w:t>-</w:t>
            </w:r>
            <w:r>
              <w:rPr>
                <w:rFonts w:ascii="黑体" w:hAnsi="黑体" w:eastAsia="黑体"/>
                <w:b w:val="0"/>
                <w:i w:val="0"/>
                <w:color w:val="000000"/>
                <w:sz w:val="18"/>
              </w:rPr>
              <w:t>般若</w:t>
            </w:r>
            <w:r>
              <w:rPr>
                <w:rFonts w:ascii="Arial" w:hAnsi="Arial" w:eastAsia="Arial"/>
                <w:b w:val="0"/>
                <w:i w:val="0"/>
                <w:color w:val="000000"/>
                <w:sz w:val="18"/>
              </w:rPr>
              <w:t>1</w:t>
            </w:r>
            <w:r>
              <w:rPr>
                <w:rFonts w:ascii="黑体" w:hAnsi="黑体" w:eastAsia="黑体"/>
                <w:b w:val="0"/>
                <w:i w:val="0"/>
                <w:color w:val="000000"/>
                <w:sz w:val="18"/>
              </w:rPr>
              <w:t>号财富管理服务信托</w:t>
            </w:r>
          </w:p>
        </w:tc>
        <w:tc>
          <w:tcPr>
            <w:tcW w:type="dxa" w:w="1680"/>
            <w:tcBorders/>
            <w:tcMar>
              <w:start w:w="0" w:type="dxa"/>
              <w:end w:w="0" w:type="dxa"/>
            </w:tcMar>
          </w:tcPr>
          <w:p>
            <w:pPr>
              <w:autoSpaceDN w:val="0"/>
              <w:autoSpaceDE w:val="0"/>
              <w:widowControl/>
              <w:spacing w:line="233" w:lineRule="auto" w:before="46" w:after="0"/>
              <w:ind w:left="0" w:right="142" w:firstLine="0"/>
              <w:jc w:val="right"/>
            </w:pPr>
            <w:r>
              <w:rPr>
                <w:rFonts w:ascii="Arial" w:hAnsi="Arial" w:eastAsia="Arial"/>
                <w:b w:val="0"/>
                <w:i w:val="0"/>
                <w:color w:val="000000"/>
                <w:sz w:val="18"/>
              </w:rPr>
              <w:t xml:space="preserve">40,000,000 </w:t>
            </w:r>
          </w:p>
        </w:tc>
        <w:tc>
          <w:tcPr>
            <w:tcW w:type="dxa" w:w="1680"/>
            <w:tcBorders/>
            <w:tcMar>
              <w:start w:w="0" w:type="dxa"/>
              <w:end w:w="0" w:type="dxa"/>
            </w:tcMar>
          </w:tcPr>
          <w:p>
            <w:pPr>
              <w:autoSpaceDN w:val="0"/>
              <w:autoSpaceDE w:val="0"/>
              <w:widowControl/>
              <w:spacing w:line="262" w:lineRule="auto" w:before="20" w:after="0"/>
              <w:ind w:left="0" w:right="150" w:firstLine="0"/>
              <w:jc w:val="right"/>
            </w:pPr>
            <w:r>
              <w:rPr>
                <w:rFonts w:ascii="Arial" w:hAnsi="Arial" w:eastAsia="Arial"/>
                <w:b w:val="0"/>
                <w:i w:val="0"/>
                <w:color w:val="000000"/>
                <w:sz w:val="18"/>
              </w:rPr>
              <w:t xml:space="preserve">- </w:t>
            </w:r>
          </w:p>
        </w:tc>
      </w:tr>
      <w:tr>
        <w:trPr>
          <w:trHeight w:hRule="exact" w:val="236"/>
        </w:trPr>
        <w:tc>
          <w:tcPr>
            <w:tcW w:type="dxa" w:w="5142"/>
            <w:gridSpan w:val="2"/>
            <w:tcBorders/>
            <w:tcMar>
              <w:start w:w="0" w:type="dxa"/>
              <w:end w:w="0" w:type="dxa"/>
            </w:tcMar>
            <w:tcMar>
              <w:start w:w="0" w:type="dxa"/>
              <w:end w:w="0" w:type="dxa"/>
            </w:tcMar>
          </w:tcPr>
          <w:p>
            <w:pPr>
              <w:autoSpaceDN w:val="0"/>
              <w:autoSpaceDE w:val="0"/>
              <w:widowControl/>
              <w:spacing w:line="202" w:lineRule="exact" w:before="18" w:after="0"/>
              <w:ind w:left="0" w:right="0" w:firstLine="0"/>
              <w:jc w:val="left"/>
            </w:pPr>
            <w:r>
              <w:rPr>
                <w:rFonts w:ascii="黑体" w:hAnsi="黑体" w:eastAsia="黑体"/>
                <w:b w:val="0"/>
                <w:i w:val="0"/>
                <w:color w:val="000000"/>
                <w:sz w:val="18"/>
              </w:rPr>
              <w:t>乾象股票对冲</w:t>
            </w:r>
            <w:r>
              <w:rPr>
                <w:rFonts w:ascii="Arial" w:hAnsi="Arial" w:eastAsia="Arial"/>
                <w:b w:val="0"/>
                <w:i w:val="0"/>
                <w:color w:val="000000"/>
                <w:sz w:val="18"/>
              </w:rPr>
              <w:t>20</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5" w:lineRule="auto" w:before="32" w:after="0"/>
              <w:ind w:left="0" w:right="142" w:firstLine="0"/>
              <w:jc w:val="right"/>
            </w:pPr>
            <w:r>
              <w:rPr>
                <w:rFonts w:ascii="Arial" w:hAnsi="Arial" w:eastAsia="Arial"/>
                <w:b w:val="0"/>
                <w:i w:val="0"/>
                <w:color w:val="000000"/>
                <w:sz w:val="18"/>
              </w:rPr>
              <w:t xml:space="preserve">38,058,296 </w:t>
            </w:r>
          </w:p>
        </w:tc>
        <w:tc>
          <w:tcPr>
            <w:tcW w:type="dxa" w:w="1680"/>
            <w:tcBorders/>
            <w:tcMar>
              <w:start w:w="0" w:type="dxa"/>
              <w:end w:w="0" w:type="dxa"/>
            </w:tcMar>
          </w:tcPr>
          <w:p>
            <w:pPr>
              <w:autoSpaceDN w:val="0"/>
              <w:autoSpaceDE w:val="0"/>
              <w:widowControl/>
              <w:spacing w:line="264" w:lineRule="auto" w:before="6" w:after="0"/>
              <w:ind w:left="0" w:right="150" w:firstLine="0"/>
              <w:jc w:val="right"/>
            </w:pPr>
            <w:r>
              <w:rPr>
                <w:rFonts w:ascii="Arial" w:hAnsi="Arial" w:eastAsia="Arial"/>
                <w:b w:val="0"/>
                <w:i w:val="0"/>
                <w:color w:val="000000"/>
                <w:sz w:val="18"/>
              </w:rPr>
              <w:t xml:space="preserve">- </w:t>
            </w:r>
          </w:p>
        </w:tc>
      </w:tr>
      <w:tr>
        <w:trPr>
          <w:trHeight w:hRule="exact" w:val="215"/>
        </w:trPr>
        <w:tc>
          <w:tcPr>
            <w:tcW w:type="dxa" w:w="5142"/>
            <w:gridSpan w:val="2"/>
            <w:tcBorders/>
            <w:tcMar>
              <w:start w:w="0" w:type="dxa"/>
              <w:end w:w="0" w:type="dxa"/>
            </w:tcMar>
            <w:tcMar>
              <w:start w:w="0" w:type="dxa"/>
              <w:end w:w="0" w:type="dxa"/>
            </w:tcMar>
          </w:tcPr>
          <w:p>
            <w:pPr>
              <w:autoSpaceDN w:val="0"/>
              <w:autoSpaceDE w:val="0"/>
              <w:widowControl/>
              <w:spacing w:line="200" w:lineRule="exact" w:before="16" w:after="0"/>
              <w:ind w:left="0" w:right="0" w:firstLine="0"/>
              <w:jc w:val="left"/>
            </w:pPr>
            <w:r>
              <w:rPr>
                <w:rFonts w:ascii="黑体" w:hAnsi="黑体" w:eastAsia="黑体"/>
                <w:b w:val="0"/>
                <w:i w:val="0"/>
                <w:color w:val="000000"/>
                <w:sz w:val="18"/>
              </w:rPr>
              <w:t>裕锦量化对冲</w:t>
            </w:r>
            <w:r>
              <w:rPr>
                <w:rFonts w:ascii="Arial" w:hAnsi="Arial" w:eastAsia="Arial"/>
                <w:b w:val="0"/>
                <w:i w:val="0"/>
                <w:color w:val="000000"/>
                <w:sz w:val="18"/>
              </w:rPr>
              <w:t>9</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16" w:after="0"/>
              <w:ind w:left="0" w:right="142" w:firstLine="0"/>
              <w:jc w:val="right"/>
            </w:pPr>
            <w:r>
              <w:rPr>
                <w:rFonts w:ascii="Arial" w:hAnsi="Arial" w:eastAsia="Arial"/>
                <w:b w:val="0"/>
                <w:i w:val="0"/>
                <w:color w:val="000000"/>
                <w:sz w:val="18"/>
              </w:rPr>
              <w:t xml:space="preserve">38,041,185 </w:t>
            </w:r>
          </w:p>
        </w:tc>
        <w:tc>
          <w:tcPr>
            <w:tcW w:type="dxa" w:w="1680"/>
            <w:tcBorders/>
            <w:tcMar>
              <w:start w:w="0" w:type="dxa"/>
              <w:end w:w="0" w:type="dxa"/>
            </w:tcMar>
          </w:tcPr>
          <w:p>
            <w:pPr>
              <w:autoSpaceDN w:val="0"/>
              <w:autoSpaceDE w:val="0"/>
              <w:widowControl/>
              <w:spacing w:line="262" w:lineRule="auto" w:before="0" w:after="0"/>
              <w:ind w:left="0" w:right="150" w:firstLine="0"/>
              <w:jc w:val="right"/>
            </w:pPr>
            <w:r>
              <w:rPr>
                <w:rFonts w:ascii="Arial" w:hAnsi="Arial" w:eastAsia="Arial"/>
                <w:b w:val="0"/>
                <w:i w:val="0"/>
                <w:color w:val="000000"/>
                <w:sz w:val="18"/>
              </w:rPr>
              <w:t xml:space="preserve">- </w:t>
            </w:r>
          </w:p>
        </w:tc>
      </w:tr>
      <w:tr>
        <w:trPr>
          <w:trHeight w:hRule="exact" w:val="249"/>
        </w:trPr>
        <w:tc>
          <w:tcPr>
            <w:tcW w:type="dxa" w:w="5142"/>
            <w:gridSpan w:val="2"/>
            <w:tcBorders/>
            <w:tcMar>
              <w:start w:w="0" w:type="dxa"/>
              <w:end w:w="0" w:type="dxa"/>
            </w:tcMar>
            <w:tcMar>
              <w:start w:w="0" w:type="dxa"/>
              <w:end w:w="0" w:type="dxa"/>
            </w:tcMar>
          </w:tcPr>
          <w:p>
            <w:pPr>
              <w:autoSpaceDN w:val="0"/>
              <w:autoSpaceDE w:val="0"/>
              <w:widowControl/>
              <w:spacing w:line="180" w:lineRule="exact" w:before="40" w:after="0"/>
              <w:ind w:left="0" w:right="0" w:firstLine="0"/>
              <w:jc w:val="left"/>
            </w:pPr>
            <w:r>
              <w:rPr>
                <w:rFonts w:ascii="黑体" w:hAnsi="黑体" w:eastAsia="黑体"/>
                <w:b w:val="0"/>
                <w:i w:val="0"/>
                <w:color w:val="000000"/>
                <w:sz w:val="18"/>
              </w:rPr>
              <w:t>量客利均十五号私募证券投资基金</w:t>
            </w:r>
          </w:p>
        </w:tc>
        <w:tc>
          <w:tcPr>
            <w:tcW w:type="dxa" w:w="1680"/>
            <w:tcBorders/>
            <w:tcMar>
              <w:start w:w="0" w:type="dxa"/>
              <w:end w:w="0" w:type="dxa"/>
            </w:tcMar>
          </w:tcPr>
          <w:p>
            <w:pPr>
              <w:autoSpaceDN w:val="0"/>
              <w:autoSpaceDE w:val="0"/>
              <w:widowControl/>
              <w:spacing w:line="235" w:lineRule="auto" w:before="46" w:after="0"/>
              <w:ind w:left="0" w:right="142" w:firstLine="0"/>
              <w:jc w:val="right"/>
            </w:pPr>
            <w:r>
              <w:rPr>
                <w:rFonts w:ascii="Arial" w:hAnsi="Arial" w:eastAsia="Arial"/>
                <w:b w:val="0"/>
                <w:i w:val="0"/>
                <w:color w:val="000000"/>
                <w:sz w:val="18"/>
              </w:rPr>
              <w:t xml:space="preserve">32,936,484 </w:t>
            </w:r>
          </w:p>
        </w:tc>
        <w:tc>
          <w:tcPr>
            <w:tcW w:type="dxa" w:w="1680"/>
            <w:tcBorders/>
            <w:tcMar>
              <w:start w:w="0" w:type="dxa"/>
              <w:end w:w="0" w:type="dxa"/>
            </w:tcMar>
          </w:tcPr>
          <w:p>
            <w:pPr>
              <w:autoSpaceDN w:val="0"/>
              <w:autoSpaceDE w:val="0"/>
              <w:widowControl/>
              <w:spacing w:line="247" w:lineRule="auto" w:before="34" w:after="0"/>
              <w:ind w:left="0" w:right="150" w:firstLine="0"/>
              <w:jc w:val="right"/>
            </w:pPr>
            <w:r>
              <w:rPr>
                <w:rFonts w:ascii="Arial" w:hAnsi="Arial" w:eastAsia="Arial"/>
                <w:b w:val="0"/>
                <w:i w:val="0"/>
                <w:color w:val="000000"/>
                <w:sz w:val="18"/>
              </w:rPr>
              <w:t xml:space="preserve">32,936,484 </w:t>
            </w:r>
          </w:p>
        </w:tc>
      </w:tr>
      <w:tr>
        <w:trPr>
          <w:trHeight w:hRule="exact" w:val="237"/>
        </w:trPr>
        <w:tc>
          <w:tcPr>
            <w:tcW w:type="dxa" w:w="5142"/>
            <w:gridSpan w:val="2"/>
            <w:tcBorders/>
            <w:tcMar>
              <w:start w:w="0" w:type="dxa"/>
              <w:end w:w="0" w:type="dxa"/>
            </w:tcMar>
            <w:tcMar>
              <w:start w:w="0" w:type="dxa"/>
              <w:end w:w="0" w:type="dxa"/>
            </w:tcMar>
          </w:tcPr>
          <w:p>
            <w:pPr>
              <w:autoSpaceDN w:val="0"/>
              <w:autoSpaceDE w:val="0"/>
              <w:widowControl/>
              <w:spacing w:line="202" w:lineRule="exact" w:before="14" w:after="0"/>
              <w:ind w:left="0" w:right="0" w:firstLine="0"/>
              <w:jc w:val="left"/>
            </w:pPr>
            <w:r>
              <w:rPr>
                <w:rFonts w:ascii="黑体" w:hAnsi="黑体" w:eastAsia="黑体"/>
                <w:b w:val="0"/>
                <w:i w:val="0"/>
                <w:color w:val="000000"/>
                <w:sz w:val="18"/>
              </w:rPr>
              <w:t>同温层专享中性</w:t>
            </w:r>
            <w:r>
              <w:rPr>
                <w:rFonts w:ascii="Arial" w:hAnsi="Arial" w:eastAsia="Arial"/>
                <w:b w:val="0"/>
                <w:i w:val="0"/>
                <w:color w:val="000000"/>
                <w:sz w:val="18"/>
              </w:rPr>
              <w:t>7</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32" w:after="0"/>
              <w:ind w:left="0" w:right="142" w:firstLine="0"/>
              <w:jc w:val="right"/>
            </w:pPr>
            <w:r>
              <w:rPr>
                <w:rFonts w:ascii="Arial" w:hAnsi="Arial" w:eastAsia="Arial"/>
                <w:b w:val="0"/>
                <w:i w:val="0"/>
                <w:color w:val="000000"/>
                <w:sz w:val="18"/>
              </w:rPr>
              <w:t xml:space="preserve">30,952,263 </w:t>
            </w:r>
          </w:p>
        </w:tc>
        <w:tc>
          <w:tcPr>
            <w:tcW w:type="dxa" w:w="1680"/>
            <w:tcBorders/>
            <w:tcMar>
              <w:start w:w="0" w:type="dxa"/>
              <w:end w:w="0" w:type="dxa"/>
            </w:tcMar>
          </w:tcPr>
          <w:p>
            <w:pPr>
              <w:autoSpaceDN w:val="0"/>
              <w:autoSpaceDE w:val="0"/>
              <w:widowControl/>
              <w:spacing w:line="266" w:lineRule="auto" w:before="2" w:after="0"/>
              <w:ind w:left="0" w:right="150" w:firstLine="0"/>
              <w:jc w:val="right"/>
            </w:pPr>
            <w:r>
              <w:rPr>
                <w:rFonts w:ascii="Arial" w:hAnsi="Arial" w:eastAsia="Arial"/>
                <w:b w:val="0"/>
                <w:i w:val="0"/>
                <w:color w:val="000000"/>
                <w:sz w:val="18"/>
              </w:rPr>
              <w:t xml:space="preserve">- </w:t>
            </w:r>
          </w:p>
        </w:tc>
      </w:tr>
      <w:tr>
        <w:trPr>
          <w:trHeight w:hRule="exact" w:val="213"/>
        </w:trPr>
        <w:tc>
          <w:tcPr>
            <w:tcW w:type="dxa" w:w="5142"/>
            <w:gridSpan w:val="2"/>
            <w:tcBorders/>
            <w:tcMar>
              <w:start w:w="0" w:type="dxa"/>
              <w:end w:w="0" w:type="dxa"/>
            </w:tcMar>
            <w:tcMar>
              <w:start w:w="0" w:type="dxa"/>
              <w:end w:w="0" w:type="dxa"/>
            </w:tcMar>
          </w:tcPr>
          <w:p>
            <w:pPr>
              <w:autoSpaceDN w:val="0"/>
              <w:autoSpaceDE w:val="0"/>
              <w:widowControl/>
              <w:spacing w:line="200" w:lineRule="exact" w:before="12" w:after="0"/>
              <w:ind w:left="0" w:right="0" w:firstLine="0"/>
              <w:jc w:val="left"/>
            </w:pPr>
            <w:r>
              <w:rPr>
                <w:rFonts w:ascii="黑体" w:hAnsi="黑体" w:eastAsia="黑体"/>
                <w:b w:val="0"/>
                <w:i w:val="0"/>
                <w:color w:val="000000"/>
                <w:sz w:val="18"/>
              </w:rPr>
              <w:t>诺德基金浦江</w:t>
            </w:r>
            <w:r>
              <w:rPr>
                <w:rFonts w:ascii="Arial" w:hAnsi="Arial" w:eastAsia="Arial"/>
                <w:b w:val="0"/>
                <w:i w:val="0"/>
                <w:color w:val="000000"/>
                <w:sz w:val="18"/>
              </w:rPr>
              <w:t>580</w:t>
            </w:r>
            <w:r>
              <w:rPr>
                <w:rFonts w:ascii="黑体" w:hAnsi="黑体" w:eastAsia="黑体"/>
                <w:b w:val="0"/>
                <w:i w:val="0"/>
                <w:color w:val="000000"/>
                <w:sz w:val="18"/>
              </w:rPr>
              <w:t>号单一资管计划</w:t>
            </w:r>
          </w:p>
        </w:tc>
        <w:tc>
          <w:tcPr>
            <w:tcW w:type="dxa" w:w="1680"/>
            <w:tcBorders/>
            <w:tcMar>
              <w:start w:w="0" w:type="dxa"/>
              <w:end w:w="0" w:type="dxa"/>
            </w:tcMar>
          </w:tcPr>
          <w:p>
            <w:pPr>
              <w:autoSpaceDN w:val="0"/>
              <w:autoSpaceDE w:val="0"/>
              <w:widowControl/>
              <w:spacing w:line="235" w:lineRule="auto" w:before="10" w:after="0"/>
              <w:ind w:left="0" w:right="142" w:firstLine="0"/>
              <w:jc w:val="right"/>
            </w:pPr>
            <w:r>
              <w:rPr>
                <w:rFonts w:ascii="Arial" w:hAnsi="Arial" w:eastAsia="Arial"/>
                <w:b w:val="0"/>
                <w:i w:val="0"/>
                <w:color w:val="000000"/>
                <w:sz w:val="18"/>
              </w:rPr>
              <w:t xml:space="preserve">26,586,628 </w:t>
            </w:r>
          </w:p>
        </w:tc>
        <w:tc>
          <w:tcPr>
            <w:tcW w:type="dxa" w:w="1680"/>
            <w:tcBorders/>
            <w:tcMar>
              <w:start w:w="0" w:type="dxa"/>
              <w:end w:w="0" w:type="dxa"/>
            </w:tcMar>
          </w:tcPr>
          <w:p>
            <w:pPr>
              <w:autoSpaceDN w:val="0"/>
              <w:autoSpaceDE w:val="0"/>
              <w:widowControl/>
              <w:spacing w:line="250" w:lineRule="auto" w:before="0" w:after="0"/>
              <w:ind w:left="0" w:right="150" w:firstLine="0"/>
              <w:jc w:val="right"/>
            </w:pPr>
            <w:r>
              <w:rPr>
                <w:rFonts w:ascii="Arial" w:hAnsi="Arial" w:eastAsia="Arial"/>
                <w:b w:val="0"/>
                <w:i w:val="0"/>
                <w:color w:val="000000"/>
                <w:sz w:val="18"/>
              </w:rPr>
              <w:t xml:space="preserve">454,636,091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2" w:after="0"/>
              <w:ind w:left="0" w:right="0" w:firstLine="0"/>
              <w:jc w:val="left"/>
            </w:pPr>
            <w:r>
              <w:rPr>
                <w:rFonts w:ascii="黑体" w:hAnsi="黑体" w:eastAsia="黑体"/>
                <w:b w:val="0"/>
                <w:i w:val="0"/>
                <w:color w:val="000000"/>
                <w:sz w:val="18"/>
              </w:rPr>
              <w:t>燧石全天候</w:t>
            </w:r>
            <w:r>
              <w:rPr>
                <w:rFonts w:ascii="Arial" w:hAnsi="Arial" w:eastAsia="Arial"/>
                <w:b w:val="0"/>
                <w:i w:val="0"/>
                <w:color w:val="000000"/>
                <w:sz w:val="18"/>
              </w:rPr>
              <w:t>X12</w:t>
            </w:r>
            <w:r>
              <w:rPr>
                <w:rFonts w:ascii="黑体" w:hAnsi="黑体" w:eastAsia="黑体"/>
                <w:b w:val="0"/>
                <w:i w:val="0"/>
                <w:color w:val="000000"/>
                <w:sz w:val="18"/>
              </w:rPr>
              <w:t>私募证券投资基金</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24,839,241 </w:t>
            </w:r>
          </w:p>
        </w:tc>
        <w:tc>
          <w:tcPr>
            <w:tcW w:type="dxa" w:w="1680"/>
            <w:tcBorders/>
            <w:tcMar>
              <w:start w:w="0" w:type="dxa"/>
              <w:end w:w="0" w:type="dxa"/>
            </w:tcMar>
          </w:tcPr>
          <w:p>
            <w:pPr>
              <w:autoSpaceDN w:val="0"/>
              <w:autoSpaceDE w:val="0"/>
              <w:widowControl/>
              <w:spacing w:line="245" w:lineRule="auto" w:before="28" w:after="0"/>
              <w:ind w:left="0" w:right="150" w:firstLine="0"/>
              <w:jc w:val="right"/>
            </w:pPr>
            <w:r>
              <w:rPr>
                <w:rFonts w:ascii="Arial" w:hAnsi="Arial" w:eastAsia="Arial"/>
                <w:b w:val="0"/>
                <w:i w:val="0"/>
                <w:color w:val="000000"/>
                <w:sz w:val="18"/>
              </w:rPr>
              <w:t xml:space="preserve">- </w:t>
            </w:r>
          </w:p>
        </w:tc>
      </w:tr>
      <w:tr>
        <w:trPr>
          <w:trHeight w:hRule="exact" w:val="220"/>
        </w:trPr>
        <w:tc>
          <w:tcPr>
            <w:tcW w:type="dxa" w:w="5142"/>
            <w:gridSpan w:val="2"/>
            <w:tcBorders/>
            <w:tcMar>
              <w:start w:w="0" w:type="dxa"/>
              <w:end w:w="0" w:type="dxa"/>
            </w:tcMar>
            <w:tcMar>
              <w:start w:w="0" w:type="dxa"/>
              <w:end w:w="0" w:type="dxa"/>
            </w:tcMar>
          </w:tcPr>
          <w:p>
            <w:pPr>
              <w:autoSpaceDN w:val="0"/>
              <w:autoSpaceDE w:val="0"/>
              <w:widowControl/>
              <w:spacing w:line="200" w:lineRule="exact" w:before="20" w:after="0"/>
              <w:ind w:left="0" w:right="0" w:firstLine="0"/>
              <w:jc w:val="left"/>
            </w:pPr>
            <w:r>
              <w:rPr>
                <w:rFonts w:ascii="黑体" w:hAnsi="黑体" w:eastAsia="黑体"/>
                <w:b w:val="0"/>
                <w:i w:val="0"/>
                <w:color w:val="000000"/>
                <w:sz w:val="18"/>
              </w:rPr>
              <w:t>绰瑞私享北岳</w:t>
            </w:r>
            <w:r>
              <w:rPr>
                <w:rFonts w:ascii="Arial" w:hAnsi="Arial" w:eastAsia="Arial"/>
                <w:b w:val="0"/>
                <w:i w:val="0"/>
                <w:color w:val="000000"/>
                <w:sz w:val="18"/>
              </w:rPr>
              <w:t>1</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20" w:after="0"/>
              <w:ind w:left="0" w:right="142" w:firstLine="0"/>
              <w:jc w:val="right"/>
            </w:pPr>
            <w:r>
              <w:rPr>
                <w:rFonts w:ascii="Arial" w:hAnsi="Arial" w:eastAsia="Arial"/>
                <w:b w:val="0"/>
                <w:i w:val="0"/>
                <w:color w:val="000000"/>
                <w:sz w:val="18"/>
              </w:rPr>
              <w:t xml:space="preserve">23,413,572 </w:t>
            </w:r>
          </w:p>
        </w:tc>
        <w:tc>
          <w:tcPr>
            <w:tcW w:type="dxa" w:w="1680"/>
            <w:tcBorders/>
            <w:tcMar>
              <w:start w:w="0" w:type="dxa"/>
              <w:end w:w="0" w:type="dxa"/>
            </w:tcMar>
          </w:tcPr>
          <w:p>
            <w:pPr>
              <w:autoSpaceDN w:val="0"/>
              <w:autoSpaceDE w:val="0"/>
              <w:widowControl/>
              <w:spacing w:line="245" w:lineRule="auto" w:before="8" w:after="0"/>
              <w:ind w:left="0" w:right="150" w:firstLine="0"/>
              <w:jc w:val="right"/>
            </w:pPr>
            <w:r>
              <w:rPr>
                <w:rFonts w:ascii="Arial" w:hAnsi="Arial" w:eastAsia="Arial"/>
                <w:b w:val="0"/>
                <w:i w:val="0"/>
                <w:color w:val="000000"/>
                <w:sz w:val="18"/>
              </w:rPr>
              <w:t xml:space="preserve">-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8" w:after="0"/>
              <w:ind w:left="0" w:right="0" w:firstLine="0"/>
              <w:jc w:val="left"/>
            </w:pPr>
            <w:r>
              <w:rPr>
                <w:rFonts w:ascii="黑体" w:hAnsi="黑体" w:eastAsia="黑体"/>
                <w:b w:val="0"/>
                <w:i w:val="0"/>
                <w:color w:val="000000"/>
                <w:sz w:val="18"/>
              </w:rPr>
              <w:t>格林大华聚鑫</w:t>
            </w:r>
            <w:r>
              <w:rPr>
                <w:rFonts w:ascii="Arial" w:hAnsi="Arial" w:eastAsia="Arial"/>
                <w:b w:val="0"/>
                <w:i w:val="0"/>
                <w:color w:val="000000"/>
                <w:sz w:val="18"/>
              </w:rPr>
              <w:t>1</w:t>
            </w:r>
            <w:r>
              <w:rPr>
                <w:rFonts w:ascii="黑体" w:hAnsi="黑体" w:eastAsia="黑体"/>
                <w:b w:val="0"/>
                <w:i w:val="0"/>
                <w:color w:val="000000"/>
                <w:sz w:val="18"/>
              </w:rPr>
              <w:t>号单一资产管理计划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20,000,000 </w:t>
            </w:r>
          </w:p>
        </w:tc>
        <w:tc>
          <w:tcPr>
            <w:tcW w:type="dxa" w:w="1680"/>
            <w:tcBorders/>
            <w:tcMar>
              <w:start w:w="0" w:type="dxa"/>
              <w:end w:w="0" w:type="dxa"/>
            </w:tcMar>
          </w:tcPr>
          <w:p>
            <w:pPr>
              <w:autoSpaceDN w:val="0"/>
              <w:autoSpaceDE w:val="0"/>
              <w:widowControl/>
              <w:spacing w:line="250" w:lineRule="auto" w:before="24" w:after="0"/>
              <w:ind w:left="0" w:right="150" w:firstLine="0"/>
              <w:jc w:val="right"/>
            </w:pPr>
            <w:r>
              <w:rPr>
                <w:rFonts w:ascii="Arial" w:hAnsi="Arial" w:eastAsia="Arial"/>
                <w:b w:val="0"/>
                <w:i w:val="0"/>
                <w:color w:val="000000"/>
                <w:sz w:val="18"/>
              </w:rPr>
              <w:t xml:space="preserve">50,000,000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4" w:after="0"/>
              <w:ind w:left="0" w:right="0" w:firstLine="0"/>
              <w:jc w:val="left"/>
            </w:pPr>
            <w:r>
              <w:rPr>
                <w:rFonts w:ascii="黑体" w:hAnsi="黑体" w:eastAsia="黑体"/>
                <w:b w:val="0"/>
                <w:i w:val="0"/>
                <w:color w:val="000000"/>
                <w:sz w:val="18"/>
              </w:rPr>
              <w:t>山证汇通乾通</w:t>
            </w:r>
            <w:r>
              <w:rPr>
                <w:rFonts w:ascii="Arial" w:hAnsi="Arial" w:eastAsia="Arial"/>
                <w:b w:val="0"/>
                <w:i w:val="0"/>
                <w:color w:val="000000"/>
                <w:sz w:val="18"/>
              </w:rPr>
              <w:t>4</w:t>
            </w:r>
            <w:r>
              <w:rPr>
                <w:rFonts w:ascii="黑体" w:hAnsi="黑体" w:eastAsia="黑体"/>
                <w:b w:val="0"/>
                <w:i w:val="0"/>
                <w:color w:val="000000"/>
                <w:sz w:val="18"/>
              </w:rPr>
              <w:t>号集合资产管理计划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20,000,000 </w:t>
            </w:r>
          </w:p>
        </w:tc>
        <w:tc>
          <w:tcPr>
            <w:tcW w:type="dxa" w:w="1680"/>
            <w:tcBorders/>
            <w:tcMar>
              <w:start w:w="0" w:type="dxa"/>
              <w:end w:w="0" w:type="dxa"/>
            </w:tcMar>
          </w:tcPr>
          <w:p>
            <w:pPr>
              <w:autoSpaceDN w:val="0"/>
              <w:autoSpaceDE w:val="0"/>
              <w:widowControl/>
              <w:spacing w:line="247" w:lineRule="auto" w:before="26" w:after="0"/>
              <w:ind w:left="0" w:right="150" w:firstLine="0"/>
              <w:jc w:val="right"/>
            </w:pPr>
            <w:r>
              <w:rPr>
                <w:rFonts w:ascii="Arial" w:hAnsi="Arial" w:eastAsia="Arial"/>
                <w:b w:val="0"/>
                <w:i w:val="0"/>
                <w:color w:val="000000"/>
                <w:sz w:val="18"/>
              </w:rPr>
              <w:t xml:space="preserve">20,000,000 </w:t>
            </w:r>
          </w:p>
        </w:tc>
      </w:tr>
      <w:tr>
        <w:trPr>
          <w:trHeight w:hRule="exact" w:val="247"/>
        </w:trPr>
        <w:tc>
          <w:tcPr>
            <w:tcW w:type="dxa" w:w="5142"/>
            <w:gridSpan w:val="2"/>
            <w:tcBorders/>
            <w:tcMar>
              <w:start w:w="0" w:type="dxa"/>
              <w:end w:w="0" w:type="dxa"/>
            </w:tcMar>
            <w:tcMar>
              <w:start w:w="0" w:type="dxa"/>
              <w:end w:w="0" w:type="dxa"/>
            </w:tcMar>
          </w:tcPr>
          <w:p>
            <w:pPr>
              <w:autoSpaceDN w:val="0"/>
              <w:autoSpaceDE w:val="0"/>
              <w:widowControl/>
              <w:spacing w:line="180" w:lineRule="exact" w:before="34" w:after="0"/>
              <w:ind w:left="0" w:right="0" w:firstLine="0"/>
              <w:jc w:val="left"/>
            </w:pPr>
            <w:r>
              <w:rPr>
                <w:rFonts w:ascii="黑体" w:hAnsi="黑体" w:eastAsia="黑体"/>
                <w:b w:val="0"/>
                <w:i w:val="0"/>
                <w:color w:val="000000"/>
                <w:sz w:val="18"/>
              </w:rPr>
              <w:t>前海久盈曦珩三号私募证券投资基金</w:t>
            </w:r>
          </w:p>
        </w:tc>
        <w:tc>
          <w:tcPr>
            <w:tcW w:type="dxa" w:w="1680"/>
            <w:tcBorders/>
            <w:tcMar>
              <w:start w:w="0" w:type="dxa"/>
              <w:end w:w="0" w:type="dxa"/>
            </w:tcMar>
          </w:tcPr>
          <w:p>
            <w:pPr>
              <w:autoSpaceDN w:val="0"/>
              <w:autoSpaceDE w:val="0"/>
              <w:widowControl/>
              <w:spacing w:line="235" w:lineRule="auto" w:before="40" w:after="0"/>
              <w:ind w:left="0" w:right="142" w:firstLine="0"/>
              <w:jc w:val="right"/>
            </w:pPr>
            <w:r>
              <w:rPr>
                <w:rFonts w:ascii="Arial" w:hAnsi="Arial" w:eastAsia="Arial"/>
                <w:b w:val="0"/>
                <w:i w:val="0"/>
                <w:color w:val="000000"/>
                <w:sz w:val="18"/>
              </w:rPr>
              <w:t xml:space="preserve">18,305,251 </w:t>
            </w:r>
          </w:p>
        </w:tc>
        <w:tc>
          <w:tcPr>
            <w:tcW w:type="dxa" w:w="1680"/>
            <w:tcBorders/>
            <w:tcMar>
              <w:start w:w="0" w:type="dxa"/>
              <w:end w:w="0" w:type="dxa"/>
            </w:tcMar>
          </w:tcPr>
          <w:p>
            <w:pPr>
              <w:autoSpaceDN w:val="0"/>
              <w:autoSpaceDE w:val="0"/>
              <w:widowControl/>
              <w:spacing w:line="247" w:lineRule="auto" w:before="28" w:after="0"/>
              <w:ind w:left="0" w:right="150" w:firstLine="0"/>
              <w:jc w:val="right"/>
            </w:pPr>
            <w:r>
              <w:rPr>
                <w:rFonts w:ascii="Arial" w:hAnsi="Arial" w:eastAsia="Arial"/>
                <w:b w:val="0"/>
                <w:i w:val="0"/>
                <w:color w:val="000000"/>
                <w:sz w:val="18"/>
              </w:rPr>
              <w:t xml:space="preserve">- </w:t>
            </w:r>
          </w:p>
        </w:tc>
      </w:tr>
      <w:tr>
        <w:trPr>
          <w:trHeight w:hRule="exact" w:val="213"/>
        </w:trPr>
        <w:tc>
          <w:tcPr>
            <w:tcW w:type="dxa" w:w="5142"/>
            <w:gridSpan w:val="2"/>
            <w:tcBorders/>
            <w:tcMar>
              <w:start w:w="0" w:type="dxa"/>
              <w:end w:w="0" w:type="dxa"/>
            </w:tcMar>
            <w:tcMar>
              <w:start w:w="0" w:type="dxa"/>
              <w:end w:w="0" w:type="dxa"/>
            </w:tcMar>
          </w:tcPr>
          <w:p>
            <w:pPr>
              <w:autoSpaceDN w:val="0"/>
              <w:autoSpaceDE w:val="0"/>
              <w:widowControl/>
              <w:spacing w:line="180" w:lineRule="exact" w:before="22" w:after="0"/>
              <w:ind w:left="0" w:right="0" w:firstLine="0"/>
              <w:jc w:val="left"/>
            </w:pPr>
            <w:r>
              <w:rPr>
                <w:rFonts w:ascii="黑体" w:hAnsi="黑体" w:eastAsia="黑体"/>
                <w:b w:val="0"/>
                <w:i w:val="0"/>
                <w:color w:val="000000"/>
                <w:sz w:val="18"/>
              </w:rPr>
              <w:t>前海久盈曦珩一号私募证券投资基金</w:t>
            </w:r>
          </w:p>
        </w:tc>
        <w:tc>
          <w:tcPr>
            <w:tcW w:type="dxa" w:w="1680"/>
            <w:tcBorders/>
            <w:tcMar>
              <w:start w:w="0" w:type="dxa"/>
              <w:end w:w="0" w:type="dxa"/>
            </w:tcMar>
          </w:tcPr>
          <w:p>
            <w:pPr>
              <w:autoSpaceDN w:val="0"/>
              <w:autoSpaceDE w:val="0"/>
              <w:widowControl/>
              <w:spacing w:line="233" w:lineRule="auto" w:before="14" w:after="0"/>
              <w:ind w:left="0" w:right="142" w:firstLine="0"/>
              <w:jc w:val="right"/>
            </w:pPr>
            <w:r>
              <w:rPr>
                <w:rFonts w:ascii="Arial" w:hAnsi="Arial" w:eastAsia="Arial"/>
                <w:b w:val="0"/>
                <w:i w:val="0"/>
                <w:color w:val="000000"/>
                <w:sz w:val="18"/>
              </w:rPr>
              <w:t xml:space="preserve">17,345,168 </w:t>
            </w:r>
          </w:p>
        </w:tc>
        <w:tc>
          <w:tcPr>
            <w:tcW w:type="dxa" w:w="1680"/>
            <w:tcBorders/>
            <w:tcMar>
              <w:start w:w="0" w:type="dxa"/>
              <w:end w:w="0" w:type="dxa"/>
            </w:tcMar>
          </w:tcPr>
          <w:p>
            <w:pPr>
              <w:autoSpaceDN w:val="0"/>
              <w:autoSpaceDE w:val="0"/>
              <w:widowControl/>
              <w:spacing w:line="245" w:lineRule="auto" w:before="2" w:after="0"/>
              <w:ind w:left="0" w:right="150" w:firstLine="0"/>
              <w:jc w:val="right"/>
            </w:pPr>
            <w:r>
              <w:rPr>
                <w:rFonts w:ascii="Arial" w:hAnsi="Arial" w:eastAsia="Arial"/>
                <w:b w:val="0"/>
                <w:i w:val="0"/>
                <w:color w:val="000000"/>
                <w:sz w:val="18"/>
              </w:rPr>
              <w:t xml:space="preserve">- </w:t>
            </w:r>
          </w:p>
        </w:tc>
      </w:tr>
      <w:tr>
        <w:trPr>
          <w:trHeight w:hRule="exact" w:val="253"/>
        </w:trPr>
        <w:tc>
          <w:tcPr>
            <w:tcW w:type="dxa" w:w="5142"/>
            <w:gridSpan w:val="2"/>
            <w:tcBorders/>
            <w:tcMar>
              <w:start w:w="0" w:type="dxa"/>
              <w:end w:w="0" w:type="dxa"/>
            </w:tcMar>
            <w:tcMar>
              <w:start w:w="0" w:type="dxa"/>
              <w:end w:w="0" w:type="dxa"/>
            </w:tcMar>
          </w:tcPr>
          <w:p>
            <w:pPr>
              <w:autoSpaceDN w:val="0"/>
              <w:autoSpaceDE w:val="0"/>
              <w:widowControl/>
              <w:spacing w:line="180" w:lineRule="exact" w:before="44" w:after="0"/>
              <w:ind w:left="0" w:right="0" w:firstLine="0"/>
              <w:jc w:val="left"/>
            </w:pPr>
            <w:r>
              <w:rPr>
                <w:rFonts w:ascii="黑体" w:hAnsi="黑体" w:eastAsia="黑体"/>
                <w:b w:val="0"/>
                <w:i w:val="0"/>
                <w:color w:val="000000"/>
                <w:sz w:val="18"/>
              </w:rPr>
              <w:t>前海久盈曦珩二号私募证券投资基金</w:t>
            </w:r>
          </w:p>
        </w:tc>
        <w:tc>
          <w:tcPr>
            <w:tcW w:type="dxa" w:w="1680"/>
            <w:tcBorders/>
            <w:tcMar>
              <w:start w:w="0" w:type="dxa"/>
              <w:end w:w="0" w:type="dxa"/>
            </w:tcMar>
          </w:tcPr>
          <w:p>
            <w:pPr>
              <w:autoSpaceDN w:val="0"/>
              <w:autoSpaceDE w:val="0"/>
              <w:widowControl/>
              <w:spacing w:line="233" w:lineRule="auto" w:before="50" w:after="0"/>
              <w:ind w:left="0" w:right="142" w:firstLine="0"/>
              <w:jc w:val="right"/>
            </w:pPr>
            <w:r>
              <w:rPr>
                <w:rFonts w:ascii="Arial" w:hAnsi="Arial" w:eastAsia="Arial"/>
                <w:b w:val="0"/>
                <w:i w:val="0"/>
                <w:color w:val="000000"/>
                <w:sz w:val="18"/>
              </w:rPr>
              <w:t xml:space="preserve">16,885,724 </w:t>
            </w:r>
          </w:p>
        </w:tc>
        <w:tc>
          <w:tcPr>
            <w:tcW w:type="dxa" w:w="1680"/>
            <w:tcBorders/>
            <w:tcMar>
              <w:start w:w="0" w:type="dxa"/>
              <w:end w:w="0" w:type="dxa"/>
            </w:tcMar>
          </w:tcPr>
          <w:p>
            <w:pPr>
              <w:autoSpaceDN w:val="0"/>
              <w:autoSpaceDE w:val="0"/>
              <w:widowControl/>
              <w:spacing w:line="247" w:lineRule="auto" w:before="36" w:after="0"/>
              <w:ind w:left="0" w:right="150" w:firstLine="0"/>
              <w:jc w:val="right"/>
            </w:pPr>
            <w:r>
              <w:rPr>
                <w:rFonts w:ascii="Arial" w:hAnsi="Arial" w:eastAsia="Arial"/>
                <w:b w:val="0"/>
                <w:i w:val="0"/>
                <w:color w:val="000000"/>
                <w:sz w:val="18"/>
              </w:rPr>
              <w:t xml:space="preserve">- </w:t>
            </w:r>
          </w:p>
        </w:tc>
      </w:tr>
      <w:tr>
        <w:trPr>
          <w:trHeight w:hRule="exact" w:val="235"/>
        </w:trPr>
        <w:tc>
          <w:tcPr>
            <w:tcW w:type="dxa" w:w="5142"/>
            <w:gridSpan w:val="2"/>
            <w:tcBorders/>
            <w:tcMar>
              <w:start w:w="0" w:type="dxa"/>
              <w:end w:w="0" w:type="dxa"/>
            </w:tcMar>
            <w:tcMar>
              <w:start w:w="0" w:type="dxa"/>
              <w:end w:w="0" w:type="dxa"/>
            </w:tcMar>
          </w:tcPr>
          <w:p>
            <w:pPr>
              <w:autoSpaceDN w:val="0"/>
              <w:autoSpaceDE w:val="0"/>
              <w:widowControl/>
              <w:spacing w:line="200" w:lineRule="exact" w:before="16" w:after="0"/>
              <w:ind w:left="0" w:right="0" w:firstLine="0"/>
              <w:jc w:val="left"/>
            </w:pPr>
            <w:r>
              <w:rPr>
                <w:rFonts w:ascii="黑体" w:hAnsi="黑体" w:eastAsia="黑体"/>
                <w:b w:val="0"/>
                <w:i w:val="0"/>
                <w:color w:val="000000"/>
                <w:sz w:val="18"/>
              </w:rPr>
              <w:t>财通基金玉泉合富</w:t>
            </w:r>
            <w:r>
              <w:rPr>
                <w:rFonts w:ascii="Arial" w:hAnsi="Arial" w:eastAsia="Arial"/>
                <w:b w:val="0"/>
                <w:i w:val="0"/>
                <w:color w:val="000000"/>
                <w:sz w:val="18"/>
              </w:rPr>
              <w:t>98</w:t>
            </w:r>
            <w:r>
              <w:rPr>
                <w:rFonts w:ascii="黑体" w:hAnsi="黑体" w:eastAsia="黑体"/>
                <w:b w:val="0"/>
                <w:i w:val="0"/>
                <w:color w:val="000000"/>
                <w:sz w:val="18"/>
              </w:rPr>
              <w:t>号单一资产管理计划</w:t>
            </w:r>
          </w:p>
        </w:tc>
        <w:tc>
          <w:tcPr>
            <w:tcW w:type="dxa" w:w="1680"/>
            <w:tcBorders/>
            <w:tcMar>
              <w:start w:w="0" w:type="dxa"/>
              <w:end w:w="0" w:type="dxa"/>
            </w:tcMar>
          </w:tcPr>
          <w:p>
            <w:pPr>
              <w:autoSpaceDN w:val="0"/>
              <w:autoSpaceDE w:val="0"/>
              <w:widowControl/>
              <w:spacing w:line="235" w:lineRule="auto" w:before="30" w:after="0"/>
              <w:ind w:left="0" w:right="142" w:firstLine="0"/>
              <w:jc w:val="right"/>
            </w:pPr>
            <w:r>
              <w:rPr>
                <w:rFonts w:ascii="Arial" w:hAnsi="Arial" w:eastAsia="Arial"/>
                <w:b w:val="0"/>
                <w:i w:val="0"/>
                <w:color w:val="000000"/>
                <w:sz w:val="18"/>
              </w:rPr>
              <w:t xml:space="preserve">16,319,508 </w:t>
            </w:r>
          </w:p>
        </w:tc>
        <w:tc>
          <w:tcPr>
            <w:tcW w:type="dxa" w:w="1680"/>
            <w:tcBorders/>
            <w:tcMar>
              <w:start w:w="0" w:type="dxa"/>
              <w:end w:w="0" w:type="dxa"/>
            </w:tcMar>
          </w:tcPr>
          <w:p>
            <w:pPr>
              <w:autoSpaceDN w:val="0"/>
              <w:autoSpaceDE w:val="0"/>
              <w:widowControl/>
              <w:spacing w:line="250" w:lineRule="auto" w:before="16" w:after="0"/>
              <w:ind w:left="0" w:right="150" w:firstLine="0"/>
              <w:jc w:val="right"/>
            </w:pPr>
            <w:r>
              <w:rPr>
                <w:rFonts w:ascii="Arial" w:hAnsi="Arial" w:eastAsia="Arial"/>
                <w:b w:val="0"/>
                <w:i w:val="0"/>
                <w:color w:val="000000"/>
                <w:sz w:val="18"/>
              </w:rPr>
              <w:t xml:space="preserve">24,000,000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2" w:lineRule="exact" w:before="10" w:after="0"/>
              <w:ind w:left="0" w:right="0" w:firstLine="0"/>
              <w:jc w:val="left"/>
            </w:pPr>
            <w:r>
              <w:rPr>
                <w:rFonts w:ascii="黑体" w:hAnsi="黑体" w:eastAsia="黑体"/>
                <w:b w:val="0"/>
                <w:i w:val="0"/>
                <w:color w:val="000000"/>
                <w:sz w:val="18"/>
              </w:rPr>
              <w:t>山西信托信宝</w:t>
            </w:r>
            <w:r>
              <w:rPr>
                <w:rFonts w:ascii="Arial" w:hAnsi="Arial" w:eastAsia="Arial"/>
                <w:b w:val="0"/>
                <w:i w:val="0"/>
                <w:color w:val="000000"/>
                <w:sz w:val="18"/>
              </w:rPr>
              <w:t>15</w:t>
            </w:r>
            <w:r>
              <w:rPr>
                <w:rFonts w:ascii="黑体" w:hAnsi="黑体" w:eastAsia="黑体"/>
                <w:b w:val="0"/>
                <w:i w:val="0"/>
                <w:color w:val="000000"/>
                <w:sz w:val="18"/>
              </w:rPr>
              <w:t>号集合资金信托计划</w:t>
            </w:r>
          </w:p>
        </w:tc>
        <w:tc>
          <w:tcPr>
            <w:tcW w:type="dxa" w:w="1680"/>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8"/>
              </w:rPr>
              <w:t xml:space="preserve">12,280,000 </w:t>
            </w:r>
          </w:p>
        </w:tc>
        <w:tc>
          <w:tcPr>
            <w:tcW w:type="dxa" w:w="1680"/>
            <w:tcBorders/>
            <w:tcMar>
              <w:start w:w="0" w:type="dxa"/>
              <w:end w:w="0" w:type="dxa"/>
            </w:tcMar>
          </w:tcPr>
          <w:p>
            <w:pPr>
              <w:autoSpaceDN w:val="0"/>
              <w:autoSpaceDE w:val="0"/>
              <w:widowControl/>
              <w:spacing w:line="245" w:lineRule="auto" w:before="0" w:after="0"/>
              <w:ind w:left="0" w:right="150" w:firstLine="0"/>
              <w:jc w:val="right"/>
            </w:pPr>
            <w:r>
              <w:rPr>
                <w:rFonts w:ascii="Arial" w:hAnsi="Arial" w:eastAsia="Arial"/>
                <w:b w:val="0"/>
                <w:i w:val="0"/>
                <w:color w:val="000000"/>
                <w:sz w:val="18"/>
              </w:rPr>
              <w:t xml:space="preserve">12,280,000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4" w:after="0"/>
              <w:ind w:left="0" w:right="0" w:firstLine="0"/>
              <w:jc w:val="left"/>
            </w:pPr>
            <w:r>
              <w:rPr>
                <w:rFonts w:ascii="黑体" w:hAnsi="黑体" w:eastAsia="黑体"/>
                <w:b w:val="0"/>
                <w:i w:val="0"/>
                <w:color w:val="000000"/>
                <w:sz w:val="18"/>
              </w:rPr>
              <w:t>山西证券创新成长混合发起式</w:t>
            </w:r>
            <w:r>
              <w:rPr>
                <w:rFonts w:ascii="Arial" w:hAnsi="Arial" w:eastAsia="Arial"/>
                <w:b w:val="0"/>
                <w:i w:val="0"/>
                <w:color w:val="000000"/>
                <w:sz w:val="18"/>
              </w:rPr>
              <w:t>A</w:t>
            </w:r>
            <w:r>
              <w:rPr>
                <w:rFonts w:ascii="黑体" w:hAnsi="黑体" w:eastAsia="黑体"/>
                <w:b w:val="0"/>
                <w:i w:val="0"/>
                <w:color w:val="000000"/>
                <w:sz w:val="18"/>
              </w:rPr>
              <w:t>证券投资基金</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10,002,700 </w:t>
            </w:r>
          </w:p>
        </w:tc>
        <w:tc>
          <w:tcPr>
            <w:tcW w:type="dxa" w:w="1680"/>
            <w:tcBorders/>
            <w:tcMar>
              <w:start w:w="0" w:type="dxa"/>
              <w:end w:w="0" w:type="dxa"/>
            </w:tcMar>
          </w:tcPr>
          <w:p>
            <w:pPr>
              <w:autoSpaceDN w:val="0"/>
              <w:autoSpaceDE w:val="0"/>
              <w:widowControl/>
              <w:spacing w:line="245" w:lineRule="auto" w:before="28" w:after="0"/>
              <w:ind w:left="0" w:right="150" w:firstLine="0"/>
              <w:jc w:val="right"/>
            </w:pPr>
            <w:r>
              <w:rPr>
                <w:rFonts w:ascii="Arial" w:hAnsi="Arial" w:eastAsia="Arial"/>
                <w:b w:val="0"/>
                <w:i w:val="0"/>
                <w:color w:val="000000"/>
                <w:sz w:val="18"/>
              </w:rPr>
              <w:t xml:space="preserve">10,002,700 </w:t>
            </w:r>
          </w:p>
        </w:tc>
      </w:tr>
      <w:tr>
        <w:trPr>
          <w:trHeight w:hRule="exact" w:val="248"/>
        </w:trPr>
        <w:tc>
          <w:tcPr>
            <w:tcW w:type="dxa" w:w="5142"/>
            <w:gridSpan w:val="2"/>
            <w:tcBorders/>
            <w:tcMar>
              <w:start w:w="0" w:type="dxa"/>
              <w:end w:w="0" w:type="dxa"/>
            </w:tcMar>
            <w:tcMar>
              <w:start w:w="0" w:type="dxa"/>
              <w:end w:w="0" w:type="dxa"/>
            </w:tcMar>
          </w:tcPr>
          <w:p>
            <w:pPr>
              <w:autoSpaceDN w:val="0"/>
              <w:autoSpaceDE w:val="0"/>
              <w:widowControl/>
              <w:spacing w:line="202" w:lineRule="exact" w:before="28" w:after="0"/>
              <w:ind w:left="0" w:right="0" w:firstLine="0"/>
              <w:jc w:val="left"/>
            </w:pPr>
            <w:r>
              <w:rPr>
                <w:rFonts w:ascii="黑体" w:hAnsi="黑体" w:eastAsia="黑体"/>
                <w:b w:val="0"/>
                <w:i w:val="0"/>
                <w:color w:val="000000"/>
                <w:sz w:val="18"/>
              </w:rPr>
              <w:t>山西证券精选行业混合发起式</w:t>
            </w:r>
            <w:r>
              <w:rPr>
                <w:rFonts w:ascii="Arial" w:hAnsi="Arial" w:eastAsia="Arial"/>
                <w:b w:val="0"/>
                <w:i w:val="0"/>
                <w:color w:val="000000"/>
                <w:sz w:val="18"/>
              </w:rPr>
              <w:t>A</w:t>
            </w:r>
            <w:r>
              <w:rPr>
                <w:rFonts w:ascii="黑体" w:hAnsi="黑体" w:eastAsia="黑体"/>
                <w:b w:val="0"/>
                <w:i w:val="0"/>
                <w:color w:val="000000"/>
                <w:sz w:val="18"/>
              </w:rPr>
              <w:t>证券投资基金</w:t>
            </w:r>
          </w:p>
        </w:tc>
        <w:tc>
          <w:tcPr>
            <w:tcW w:type="dxa" w:w="1680"/>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8"/>
              </w:rPr>
              <w:t xml:space="preserve">10,002,250 </w:t>
            </w:r>
          </w:p>
        </w:tc>
        <w:tc>
          <w:tcPr>
            <w:tcW w:type="dxa" w:w="1680"/>
            <w:tcBorders/>
            <w:tcMar>
              <w:start w:w="0" w:type="dxa"/>
              <w:end w:w="0" w:type="dxa"/>
            </w:tcMar>
          </w:tcPr>
          <w:p>
            <w:pPr>
              <w:autoSpaceDN w:val="0"/>
              <w:autoSpaceDE w:val="0"/>
              <w:widowControl/>
              <w:spacing w:line="250" w:lineRule="auto" w:before="28" w:after="0"/>
              <w:ind w:left="0" w:right="150" w:firstLine="0"/>
              <w:jc w:val="right"/>
            </w:pPr>
            <w:r>
              <w:rPr>
                <w:rFonts w:ascii="Arial" w:hAnsi="Arial" w:eastAsia="Arial"/>
                <w:b w:val="0"/>
                <w:i w:val="0"/>
                <w:color w:val="000000"/>
                <w:sz w:val="18"/>
              </w:rPr>
              <w:t xml:space="preserve">10,002,250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0" w:lineRule="exact" w:before="12" w:after="0"/>
              <w:ind w:left="0" w:right="0" w:firstLine="0"/>
              <w:jc w:val="left"/>
            </w:pPr>
            <w:r>
              <w:rPr>
                <w:rFonts w:ascii="黑体" w:hAnsi="黑体" w:eastAsia="黑体"/>
                <w:b w:val="0"/>
                <w:i w:val="0"/>
                <w:color w:val="000000"/>
                <w:sz w:val="18"/>
              </w:rPr>
              <w:t>卓识尊享</w:t>
            </w:r>
            <w:r>
              <w:rPr>
                <w:rFonts w:ascii="Arial" w:hAnsi="Arial" w:eastAsia="Arial"/>
                <w:b w:val="0"/>
                <w:i w:val="0"/>
                <w:color w:val="000000"/>
                <w:sz w:val="18"/>
              </w:rPr>
              <w:t>8</w:t>
            </w:r>
            <w:r>
              <w:rPr>
                <w:rFonts w:ascii="黑体" w:hAnsi="黑体" w:eastAsia="黑体"/>
                <w:b w:val="0"/>
                <w:i w:val="0"/>
                <w:color w:val="000000"/>
                <w:sz w:val="18"/>
              </w:rPr>
              <w:t>号私募证券投资基金</w:t>
            </w:r>
          </w:p>
        </w:tc>
        <w:tc>
          <w:tcPr>
            <w:tcW w:type="dxa" w:w="1680"/>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8"/>
              </w:rPr>
              <w:t xml:space="preserve">1,051 </w:t>
            </w:r>
          </w:p>
        </w:tc>
        <w:tc>
          <w:tcPr>
            <w:tcW w:type="dxa" w:w="1680"/>
            <w:tcBorders/>
            <w:tcMar>
              <w:start w:w="0" w:type="dxa"/>
              <w:end w:w="0" w:type="dxa"/>
            </w:tcMar>
          </w:tcPr>
          <w:p>
            <w:pPr>
              <w:autoSpaceDN w:val="0"/>
              <w:autoSpaceDE w:val="0"/>
              <w:widowControl/>
              <w:spacing w:line="247" w:lineRule="auto" w:before="0" w:after="0"/>
              <w:ind w:left="0" w:right="150" w:firstLine="0"/>
              <w:jc w:val="right"/>
            </w:pPr>
            <w:r>
              <w:rPr>
                <w:rFonts w:ascii="Arial" w:hAnsi="Arial" w:eastAsia="Arial"/>
                <w:b w:val="0"/>
                <w:i w:val="0"/>
                <w:color w:val="000000"/>
                <w:sz w:val="18"/>
              </w:rPr>
              <w:t xml:space="preserve">50,733,584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2" w:lineRule="exact" w:before="34" w:after="0"/>
              <w:ind w:left="0" w:right="0" w:firstLine="0"/>
              <w:jc w:val="left"/>
            </w:pPr>
            <w:r>
              <w:rPr>
                <w:rFonts w:ascii="黑体" w:hAnsi="黑体" w:eastAsia="黑体"/>
                <w:b w:val="0"/>
                <w:i w:val="0"/>
                <w:color w:val="000000"/>
                <w:sz w:val="18"/>
              </w:rPr>
              <w:t>国信期货量化优选</w:t>
            </w:r>
            <w:r>
              <w:rPr>
                <w:rFonts w:ascii="Arial" w:hAnsi="Arial" w:eastAsia="Arial"/>
                <w:b w:val="0"/>
                <w:i w:val="0"/>
                <w:color w:val="000000"/>
                <w:sz w:val="18"/>
              </w:rPr>
              <w:t>FOF</w:t>
            </w:r>
            <w:r>
              <w:rPr>
                <w:rFonts w:ascii="黑体" w:hAnsi="黑体" w:eastAsia="黑体"/>
                <w:b w:val="0"/>
                <w:i w:val="0"/>
                <w:color w:val="000000"/>
                <w:sz w:val="18"/>
              </w:rPr>
              <w:t>七号单一资产管理计划</w:t>
            </w:r>
          </w:p>
        </w:tc>
        <w:tc>
          <w:tcPr>
            <w:tcW w:type="dxa" w:w="1680"/>
            <w:tcBorders/>
            <w:tcMar>
              <w:start w:w="0" w:type="dxa"/>
              <w:end w:w="0" w:type="dxa"/>
            </w:tcMar>
          </w:tcPr>
          <w:p>
            <w:pPr>
              <w:autoSpaceDN w:val="0"/>
              <w:autoSpaceDE w:val="0"/>
              <w:widowControl/>
              <w:spacing w:line="235" w:lineRule="auto" w:before="38"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7" w:lineRule="auto" w:before="26" w:after="0"/>
              <w:ind w:left="0" w:right="150" w:firstLine="0"/>
              <w:jc w:val="right"/>
            </w:pPr>
            <w:r>
              <w:rPr>
                <w:rFonts w:ascii="Arial" w:hAnsi="Arial" w:eastAsia="Arial"/>
                <w:b w:val="0"/>
                <w:i w:val="0"/>
                <w:color w:val="000000"/>
                <w:sz w:val="18"/>
              </w:rPr>
              <w:t xml:space="preserve">65,220,299 </w:t>
            </w:r>
          </w:p>
        </w:tc>
      </w:tr>
      <w:tr>
        <w:trPr>
          <w:trHeight w:hRule="exact" w:val="248"/>
        </w:trPr>
        <w:tc>
          <w:tcPr>
            <w:tcW w:type="dxa" w:w="5142"/>
            <w:gridSpan w:val="2"/>
            <w:tcBorders/>
            <w:tcMar>
              <w:start w:w="0" w:type="dxa"/>
              <w:end w:w="0" w:type="dxa"/>
            </w:tcMar>
            <w:tcMar>
              <w:start w:w="0" w:type="dxa"/>
              <w:end w:w="0" w:type="dxa"/>
            </w:tcMar>
          </w:tcPr>
          <w:p>
            <w:pPr>
              <w:autoSpaceDN w:val="0"/>
              <w:autoSpaceDE w:val="0"/>
              <w:widowControl/>
              <w:spacing w:line="180" w:lineRule="exact" w:before="36" w:after="0"/>
              <w:ind w:left="0" w:right="0" w:firstLine="0"/>
              <w:jc w:val="left"/>
            </w:pPr>
            <w:r>
              <w:rPr>
                <w:rFonts w:ascii="黑体" w:hAnsi="黑体" w:eastAsia="黑体"/>
                <w:b w:val="0"/>
                <w:i w:val="0"/>
                <w:color w:val="000000"/>
                <w:sz w:val="18"/>
              </w:rPr>
              <w:t>绰瑞山证飞余私募证券投资基金</w:t>
            </w:r>
          </w:p>
        </w:tc>
        <w:tc>
          <w:tcPr>
            <w:tcW w:type="dxa" w:w="1680"/>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7" w:lineRule="auto" w:before="30" w:after="0"/>
              <w:ind w:left="0" w:right="150" w:firstLine="0"/>
              <w:jc w:val="right"/>
            </w:pPr>
            <w:r>
              <w:rPr>
                <w:rFonts w:ascii="Arial" w:hAnsi="Arial" w:eastAsia="Arial"/>
                <w:b w:val="0"/>
                <w:i w:val="0"/>
                <w:color w:val="000000"/>
                <w:sz w:val="18"/>
              </w:rPr>
              <w:t xml:space="preserve">50,032,940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2" w:lineRule="exact" w:before="10" w:after="0"/>
              <w:ind w:left="0" w:right="0" w:firstLine="0"/>
              <w:jc w:val="left"/>
            </w:pPr>
            <w:r>
              <w:rPr>
                <w:rFonts w:ascii="黑体" w:hAnsi="黑体" w:eastAsia="黑体"/>
                <w:b w:val="0"/>
                <w:i w:val="0"/>
                <w:color w:val="000000"/>
                <w:sz w:val="18"/>
              </w:rPr>
              <w:t>悦海稳健</w:t>
            </w:r>
            <w:r>
              <w:rPr>
                <w:rFonts w:ascii="Arial" w:hAnsi="Arial" w:eastAsia="Arial"/>
                <w:b w:val="0"/>
                <w:i w:val="0"/>
                <w:color w:val="000000"/>
                <w:sz w:val="18"/>
              </w:rPr>
              <w:t>1</w:t>
            </w:r>
            <w:r>
              <w:rPr>
                <w:rFonts w:ascii="黑体" w:hAnsi="黑体" w:eastAsia="黑体"/>
                <w:b w:val="0"/>
                <w:i w:val="0"/>
                <w:color w:val="000000"/>
                <w:sz w:val="18"/>
              </w:rPr>
              <w:t>期证券投资单一资金信托计划</w:t>
            </w:r>
          </w:p>
        </w:tc>
        <w:tc>
          <w:tcPr>
            <w:tcW w:type="dxa" w:w="1680"/>
            <w:tcBorders/>
            <w:tcMar>
              <w:start w:w="0" w:type="dxa"/>
              <w:end w:w="0" w:type="dxa"/>
            </w:tcMar>
          </w:tcPr>
          <w:p>
            <w:pPr>
              <w:autoSpaceDN w:val="0"/>
              <w:autoSpaceDE w:val="0"/>
              <w:widowControl/>
              <w:spacing w:line="235" w:lineRule="auto" w:before="10"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50" w:lineRule="auto" w:before="0" w:after="0"/>
              <w:ind w:left="0" w:right="150" w:firstLine="0"/>
              <w:jc w:val="right"/>
            </w:pPr>
            <w:r>
              <w:rPr>
                <w:rFonts w:ascii="Arial" w:hAnsi="Arial" w:eastAsia="Arial"/>
                <w:b w:val="0"/>
                <w:i w:val="0"/>
                <w:color w:val="000000"/>
                <w:sz w:val="18"/>
              </w:rPr>
              <w:t xml:space="preserve">50,000,000 </w:t>
            </w:r>
          </w:p>
        </w:tc>
      </w:tr>
      <w:tr>
        <w:trPr>
          <w:trHeight w:hRule="exact" w:val="240"/>
        </w:trPr>
        <w:tc>
          <w:tcPr>
            <w:tcW w:type="dxa" w:w="5142"/>
            <w:gridSpan w:val="2"/>
            <w:tcBorders/>
            <w:tcMar>
              <w:start w:w="0" w:type="dxa"/>
              <w:end w:w="0" w:type="dxa"/>
            </w:tcMar>
            <w:tcMar>
              <w:start w:w="0" w:type="dxa"/>
              <w:end w:w="0" w:type="dxa"/>
            </w:tcMar>
          </w:tcPr>
          <w:p>
            <w:pPr>
              <w:autoSpaceDN w:val="0"/>
              <w:autoSpaceDE w:val="0"/>
              <w:widowControl/>
              <w:spacing w:line="200" w:lineRule="exact" w:before="36" w:after="0"/>
              <w:ind w:left="0" w:right="0" w:firstLine="0"/>
              <w:jc w:val="left"/>
            </w:pPr>
            <w:r>
              <w:rPr>
                <w:rFonts w:ascii="黑体" w:hAnsi="黑体" w:eastAsia="黑体"/>
                <w:b w:val="0"/>
                <w:i w:val="0"/>
                <w:color w:val="000000"/>
                <w:sz w:val="18"/>
              </w:rPr>
              <w:t>悦海稳健</w:t>
            </w:r>
            <w:r>
              <w:rPr>
                <w:rFonts w:ascii="Arial" w:hAnsi="Arial" w:eastAsia="Arial"/>
                <w:b w:val="0"/>
                <w:i w:val="0"/>
                <w:color w:val="000000"/>
                <w:sz w:val="18"/>
              </w:rPr>
              <w:t>2</w:t>
            </w:r>
            <w:r>
              <w:rPr>
                <w:rFonts w:ascii="黑体" w:hAnsi="黑体" w:eastAsia="黑体"/>
                <w:b w:val="0"/>
                <w:i w:val="0"/>
                <w:color w:val="000000"/>
                <w:sz w:val="18"/>
              </w:rPr>
              <w:t>期证券投资单一资金信托计划</w:t>
            </w:r>
          </w:p>
        </w:tc>
        <w:tc>
          <w:tcPr>
            <w:tcW w:type="dxa" w:w="1680"/>
            <w:tcBorders/>
            <w:tcMar>
              <w:start w:w="0" w:type="dxa"/>
              <w:end w:w="0" w:type="dxa"/>
            </w:tcMar>
          </w:tcPr>
          <w:p>
            <w:pPr>
              <w:autoSpaceDN w:val="0"/>
              <w:autoSpaceDE w:val="0"/>
              <w:widowControl/>
              <w:spacing w:line="233" w:lineRule="auto" w:before="40"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5" w:lineRule="auto" w:before="28" w:after="0"/>
              <w:ind w:left="0" w:right="150" w:firstLine="0"/>
              <w:jc w:val="right"/>
            </w:pPr>
            <w:r>
              <w:rPr>
                <w:rFonts w:ascii="Arial" w:hAnsi="Arial" w:eastAsia="Arial"/>
                <w:b w:val="0"/>
                <w:i w:val="0"/>
                <w:color w:val="000000"/>
                <w:sz w:val="18"/>
              </w:rPr>
              <w:t xml:space="preserve">50,000,000 </w:t>
            </w:r>
          </w:p>
        </w:tc>
      </w:tr>
      <w:tr>
        <w:trPr>
          <w:trHeight w:hRule="exact" w:val="248"/>
        </w:trPr>
        <w:tc>
          <w:tcPr>
            <w:tcW w:type="dxa" w:w="5142"/>
            <w:gridSpan w:val="2"/>
            <w:tcBorders/>
            <w:tcMar>
              <w:start w:w="0" w:type="dxa"/>
              <w:end w:w="0" w:type="dxa"/>
            </w:tcMar>
            <w:tcMar>
              <w:start w:w="0" w:type="dxa"/>
              <w:end w:w="0" w:type="dxa"/>
            </w:tcMar>
          </w:tcPr>
          <w:p>
            <w:pPr>
              <w:autoSpaceDN w:val="0"/>
              <w:autoSpaceDE w:val="0"/>
              <w:widowControl/>
              <w:spacing w:line="200" w:lineRule="exact" w:before="28" w:after="0"/>
              <w:ind w:left="0" w:right="0" w:firstLine="0"/>
              <w:jc w:val="left"/>
            </w:pPr>
            <w:r>
              <w:rPr>
                <w:rFonts w:ascii="黑体" w:hAnsi="黑体" w:eastAsia="黑体"/>
                <w:b w:val="0"/>
                <w:i w:val="0"/>
                <w:color w:val="000000"/>
                <w:sz w:val="18"/>
              </w:rPr>
              <w:t>北方信托</w:t>
            </w:r>
            <w:r>
              <w:rPr>
                <w:rFonts w:ascii="Arial" w:hAnsi="Arial" w:eastAsia="Arial"/>
                <w:b w:val="0"/>
                <w:i w:val="0"/>
                <w:color w:val="000000"/>
                <w:sz w:val="18"/>
              </w:rPr>
              <w:t>-</w:t>
            </w:r>
            <w:r>
              <w:rPr>
                <w:rFonts w:ascii="黑体" w:hAnsi="黑体" w:eastAsia="黑体"/>
                <w:b w:val="0"/>
                <w:i w:val="0"/>
                <w:color w:val="000000"/>
                <w:sz w:val="18"/>
              </w:rPr>
              <w:t>丰禄一号财富管理服务信托</w:t>
            </w:r>
          </w:p>
        </w:tc>
        <w:tc>
          <w:tcPr>
            <w:tcW w:type="dxa" w:w="1680"/>
            <w:tcBorders/>
            <w:tcMar>
              <w:start w:w="0" w:type="dxa"/>
              <w:end w:w="0" w:type="dxa"/>
            </w:tcMar>
          </w:tcPr>
          <w:p>
            <w:pPr>
              <w:autoSpaceDN w:val="0"/>
              <w:autoSpaceDE w:val="0"/>
              <w:widowControl/>
              <w:spacing w:line="235" w:lineRule="auto" w:before="42"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7" w:lineRule="auto" w:before="30" w:after="0"/>
              <w:ind w:left="0" w:right="150" w:firstLine="0"/>
              <w:jc w:val="right"/>
            </w:pPr>
            <w:r>
              <w:rPr>
                <w:rFonts w:ascii="Arial" w:hAnsi="Arial" w:eastAsia="Arial"/>
                <w:b w:val="0"/>
                <w:i w:val="0"/>
                <w:color w:val="000000"/>
                <w:sz w:val="18"/>
              </w:rPr>
              <w:t xml:space="preserve">30,000,000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0" w:lineRule="exact" w:before="12" w:after="0"/>
              <w:ind w:left="0" w:right="0" w:firstLine="0"/>
              <w:jc w:val="left"/>
            </w:pPr>
            <w:r>
              <w:rPr>
                <w:rFonts w:ascii="黑体" w:hAnsi="黑体" w:eastAsia="黑体"/>
                <w:b w:val="0"/>
                <w:i w:val="0"/>
                <w:color w:val="000000"/>
                <w:sz w:val="18"/>
              </w:rPr>
              <w:t>南方资本北斗玉衡</w:t>
            </w:r>
            <w:r>
              <w:rPr>
                <w:rFonts w:ascii="Arial" w:hAnsi="Arial" w:eastAsia="Arial"/>
                <w:b w:val="0"/>
                <w:i w:val="0"/>
                <w:color w:val="000000"/>
                <w:sz w:val="18"/>
              </w:rPr>
              <w:t>9</w:t>
            </w:r>
            <w:r>
              <w:rPr>
                <w:rFonts w:ascii="黑体" w:hAnsi="黑体" w:eastAsia="黑体"/>
                <w:b w:val="0"/>
                <w:i w:val="0"/>
                <w:color w:val="000000"/>
                <w:sz w:val="18"/>
              </w:rPr>
              <w:t>号</w:t>
            </w:r>
            <w:r>
              <w:rPr>
                <w:rFonts w:ascii="Arial" w:hAnsi="Arial" w:eastAsia="Arial"/>
                <w:b w:val="0"/>
                <w:i w:val="0"/>
                <w:color w:val="000000"/>
                <w:sz w:val="18"/>
              </w:rPr>
              <w:t>FOF</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7" w:lineRule="auto" w:before="0" w:after="0"/>
              <w:ind w:left="0" w:right="150" w:firstLine="0"/>
              <w:jc w:val="right"/>
            </w:pPr>
            <w:r>
              <w:rPr>
                <w:rFonts w:ascii="Arial" w:hAnsi="Arial" w:eastAsia="Arial"/>
                <w:b w:val="0"/>
                <w:i w:val="0"/>
                <w:color w:val="000000"/>
                <w:sz w:val="18"/>
              </w:rPr>
              <w:t xml:space="preserve">29,864,919 </w:t>
            </w:r>
          </w:p>
        </w:tc>
      </w:tr>
      <w:tr>
        <w:trPr>
          <w:trHeight w:hRule="exact" w:val="254"/>
        </w:trPr>
        <w:tc>
          <w:tcPr>
            <w:tcW w:type="dxa" w:w="5142"/>
            <w:gridSpan w:val="2"/>
            <w:tcBorders/>
            <w:tcMar>
              <w:start w:w="0" w:type="dxa"/>
              <w:end w:w="0" w:type="dxa"/>
            </w:tcMar>
            <w:tcMar>
              <w:start w:w="0" w:type="dxa"/>
              <w:end w:w="0" w:type="dxa"/>
            </w:tcMar>
          </w:tcPr>
          <w:p>
            <w:pPr>
              <w:autoSpaceDN w:val="0"/>
              <w:autoSpaceDE w:val="0"/>
              <w:widowControl/>
              <w:spacing w:line="180" w:lineRule="exact" w:before="44" w:after="0"/>
              <w:ind w:left="0" w:right="0" w:firstLine="0"/>
              <w:jc w:val="left"/>
            </w:pPr>
            <w:r>
              <w:rPr>
                <w:rFonts w:ascii="黑体" w:hAnsi="黑体" w:eastAsia="黑体"/>
                <w:b w:val="0"/>
                <w:i w:val="0"/>
                <w:color w:val="000000"/>
                <w:sz w:val="18"/>
              </w:rPr>
              <w:t>方普专享一号私募证券投资基金</w:t>
            </w:r>
          </w:p>
        </w:tc>
        <w:tc>
          <w:tcPr>
            <w:tcW w:type="dxa" w:w="1680"/>
            <w:tcBorders/>
            <w:tcMar>
              <w:start w:w="0" w:type="dxa"/>
              <w:end w:w="0" w:type="dxa"/>
            </w:tcMar>
          </w:tcPr>
          <w:p>
            <w:pPr>
              <w:autoSpaceDN w:val="0"/>
              <w:autoSpaceDE w:val="0"/>
              <w:widowControl/>
              <w:spacing w:line="233" w:lineRule="auto" w:before="50"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7" w:lineRule="auto" w:before="36" w:after="0"/>
              <w:ind w:left="0" w:right="150" w:firstLine="0"/>
              <w:jc w:val="right"/>
            </w:pPr>
            <w:r>
              <w:rPr>
                <w:rFonts w:ascii="Arial" w:hAnsi="Arial" w:eastAsia="Arial"/>
                <w:b w:val="0"/>
                <w:i w:val="0"/>
                <w:color w:val="000000"/>
                <w:sz w:val="18"/>
              </w:rPr>
              <w:t xml:space="preserve">24,946,203 </w:t>
            </w:r>
          </w:p>
        </w:tc>
      </w:tr>
      <w:tr>
        <w:trPr>
          <w:trHeight w:hRule="exact" w:val="234"/>
        </w:trPr>
        <w:tc>
          <w:tcPr>
            <w:tcW w:type="dxa" w:w="5142"/>
            <w:gridSpan w:val="2"/>
            <w:tcBorders/>
            <w:tcMar>
              <w:start w:w="0" w:type="dxa"/>
              <w:end w:w="0" w:type="dxa"/>
            </w:tcMar>
            <w:tcMar>
              <w:start w:w="0" w:type="dxa"/>
              <w:end w:w="0" w:type="dxa"/>
            </w:tcMar>
          </w:tcPr>
          <w:p>
            <w:pPr>
              <w:autoSpaceDN w:val="0"/>
              <w:autoSpaceDE w:val="0"/>
              <w:widowControl/>
              <w:spacing w:line="200" w:lineRule="exact" w:before="16" w:after="0"/>
              <w:ind w:left="0" w:right="0" w:firstLine="0"/>
              <w:jc w:val="left"/>
            </w:pPr>
            <w:r>
              <w:rPr>
                <w:rFonts w:ascii="黑体" w:hAnsi="黑体" w:eastAsia="黑体"/>
                <w:b w:val="0"/>
                <w:i w:val="0"/>
                <w:color w:val="000000"/>
                <w:sz w:val="18"/>
              </w:rPr>
              <w:t>橡杉星耀尊享</w:t>
            </w:r>
            <w:r>
              <w:rPr>
                <w:rFonts w:ascii="Arial" w:hAnsi="Arial" w:eastAsia="Arial"/>
                <w:b w:val="0"/>
                <w:i w:val="0"/>
                <w:color w:val="000000"/>
                <w:sz w:val="18"/>
              </w:rPr>
              <w:t>1</w:t>
            </w:r>
            <w:r>
              <w:rPr>
                <w:rFonts w:ascii="黑体" w:hAnsi="黑体" w:eastAsia="黑体"/>
                <w:b w:val="0"/>
                <w:i w:val="0"/>
                <w:color w:val="000000"/>
                <w:sz w:val="18"/>
              </w:rPr>
              <w:t>期私募证券投资基金</w:t>
            </w:r>
          </w:p>
        </w:tc>
        <w:tc>
          <w:tcPr>
            <w:tcW w:type="dxa" w:w="1680"/>
            <w:tcBorders/>
            <w:tcMar>
              <w:start w:w="0" w:type="dxa"/>
              <w:end w:w="0" w:type="dxa"/>
            </w:tcMar>
          </w:tcPr>
          <w:p>
            <w:pPr>
              <w:autoSpaceDN w:val="0"/>
              <w:autoSpaceDE w:val="0"/>
              <w:widowControl/>
              <w:spacing w:line="233" w:lineRule="auto" w:before="30"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5" w:lineRule="auto" w:before="18" w:after="0"/>
              <w:ind w:left="0" w:right="150" w:firstLine="0"/>
              <w:jc w:val="right"/>
            </w:pPr>
            <w:r>
              <w:rPr>
                <w:rFonts w:ascii="Arial" w:hAnsi="Arial" w:eastAsia="Arial"/>
                <w:b w:val="0"/>
                <w:i w:val="0"/>
                <w:color w:val="000000"/>
                <w:sz w:val="18"/>
              </w:rPr>
              <w:t xml:space="preserve">25,887,745 </w:t>
            </w:r>
          </w:p>
        </w:tc>
      </w:tr>
      <w:tr>
        <w:trPr>
          <w:trHeight w:hRule="exact" w:val="211"/>
        </w:trPr>
        <w:tc>
          <w:tcPr>
            <w:tcW w:type="dxa" w:w="5142"/>
            <w:gridSpan w:val="2"/>
            <w:tcBorders/>
            <w:tcMar>
              <w:start w:w="0" w:type="dxa"/>
              <w:end w:w="0" w:type="dxa"/>
            </w:tcMar>
            <w:tcMar>
              <w:start w:w="0" w:type="dxa"/>
              <w:end w:w="0" w:type="dxa"/>
            </w:tcMar>
          </w:tcPr>
          <w:p>
            <w:pPr>
              <w:autoSpaceDN w:val="0"/>
              <w:autoSpaceDE w:val="0"/>
              <w:widowControl/>
              <w:spacing w:line="200" w:lineRule="exact" w:before="12" w:after="0"/>
              <w:ind w:left="0" w:right="0" w:firstLine="0"/>
              <w:jc w:val="left"/>
            </w:pPr>
            <w:r>
              <w:rPr>
                <w:rFonts w:ascii="黑体" w:hAnsi="黑体" w:eastAsia="黑体"/>
                <w:b w:val="0"/>
                <w:i w:val="0"/>
                <w:color w:val="000000"/>
                <w:sz w:val="18"/>
              </w:rPr>
              <w:t>南方资本北斗玉衡</w:t>
            </w:r>
            <w:r>
              <w:rPr>
                <w:rFonts w:ascii="Arial" w:hAnsi="Arial" w:eastAsia="Arial"/>
                <w:b w:val="0"/>
                <w:i w:val="0"/>
                <w:color w:val="000000"/>
                <w:sz w:val="18"/>
              </w:rPr>
              <w:t>11</w:t>
            </w:r>
            <w:r>
              <w:rPr>
                <w:rFonts w:ascii="黑体" w:hAnsi="黑体" w:eastAsia="黑体"/>
                <w:b w:val="0"/>
                <w:i w:val="0"/>
                <w:color w:val="000000"/>
                <w:sz w:val="18"/>
              </w:rPr>
              <w:t>号</w:t>
            </w:r>
            <w:r>
              <w:rPr>
                <w:rFonts w:ascii="Arial" w:hAnsi="Arial" w:eastAsia="Arial"/>
                <w:b w:val="0"/>
                <w:i w:val="0"/>
                <w:color w:val="000000"/>
                <w:sz w:val="18"/>
              </w:rPr>
              <w:t>FOF</w:t>
            </w:r>
            <w:r>
              <w:rPr>
                <w:rFonts w:ascii="黑体" w:hAnsi="黑体" w:eastAsia="黑体"/>
                <w:b w:val="0"/>
                <w:i w:val="0"/>
                <w:color w:val="000000"/>
                <w:sz w:val="18"/>
              </w:rPr>
              <w:t>单一资产管理计划</w:t>
            </w:r>
          </w:p>
        </w:tc>
        <w:tc>
          <w:tcPr>
            <w:tcW w:type="dxa" w:w="1680"/>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45" w:lineRule="auto" w:before="0" w:after="0"/>
              <w:ind w:left="0" w:right="150" w:firstLine="0"/>
              <w:jc w:val="right"/>
            </w:pPr>
            <w:r>
              <w:rPr>
                <w:rFonts w:ascii="Arial" w:hAnsi="Arial" w:eastAsia="Arial"/>
                <w:b w:val="0"/>
                <w:i w:val="0"/>
                <w:color w:val="000000"/>
                <w:sz w:val="18"/>
              </w:rPr>
              <w:t xml:space="preserve">20,000,000 </w:t>
            </w:r>
          </w:p>
        </w:tc>
      </w:tr>
      <w:tr>
        <w:trPr>
          <w:trHeight w:hRule="exact" w:val="312"/>
        </w:trPr>
        <w:tc>
          <w:tcPr>
            <w:tcW w:type="dxa" w:w="5142"/>
            <w:gridSpan w:val="2"/>
            <w:tcBorders/>
            <w:tcMar>
              <w:start w:w="0" w:type="dxa"/>
              <w:end w:w="0" w:type="dxa"/>
            </w:tcMar>
            <w:tcMar>
              <w:start w:w="0" w:type="dxa"/>
              <w:end w:w="0" w:type="dxa"/>
            </w:tcMar>
          </w:tcPr>
          <w:p>
            <w:pPr>
              <w:autoSpaceDN w:val="0"/>
              <w:autoSpaceDE w:val="0"/>
              <w:widowControl/>
              <w:spacing w:line="180" w:lineRule="exact" w:before="46" w:after="0"/>
              <w:ind w:left="10" w:right="0" w:firstLine="0"/>
              <w:jc w:val="left"/>
            </w:pPr>
            <w:r>
              <w:rPr>
                <w:rFonts w:ascii="黑体" w:hAnsi="黑体" w:eastAsia="黑体"/>
                <w:b w:val="0"/>
                <w:i w:val="0"/>
                <w:color w:val="000000"/>
                <w:sz w:val="18"/>
              </w:rPr>
              <w:t>山西证券裕桓一年定期开放灵活配置混合型发起式证券投资基金</w:t>
            </w:r>
          </w:p>
        </w:tc>
        <w:tc>
          <w:tcPr>
            <w:tcW w:type="dxa" w:w="1680"/>
            <w:tcBorders/>
            <w:tcMar>
              <w:start w:w="0" w:type="dxa"/>
              <w:end w:w="0" w:type="dxa"/>
            </w:tcMar>
          </w:tcPr>
          <w:p>
            <w:pPr>
              <w:autoSpaceDN w:val="0"/>
              <w:autoSpaceDE w:val="0"/>
              <w:widowControl/>
              <w:spacing w:line="233" w:lineRule="auto" w:before="52" w:after="0"/>
              <w:ind w:left="0" w:right="142" w:firstLine="0"/>
              <w:jc w:val="right"/>
            </w:pPr>
            <w:r>
              <w:rPr>
                <w:rFonts w:ascii="Arial" w:hAnsi="Arial" w:eastAsia="Arial"/>
                <w:b w:val="0"/>
                <w:i w:val="0"/>
                <w:color w:val="000000"/>
                <w:sz w:val="18"/>
              </w:rPr>
              <w:t xml:space="preserve">- </w:t>
            </w:r>
          </w:p>
        </w:tc>
        <w:tc>
          <w:tcPr>
            <w:tcW w:type="dxa" w:w="1680"/>
            <w:tcBorders/>
            <w:tcMar>
              <w:start w:w="0" w:type="dxa"/>
              <w:end w:w="0" w:type="dxa"/>
            </w:tcMar>
          </w:tcPr>
          <w:p>
            <w:pPr>
              <w:autoSpaceDN w:val="0"/>
              <w:autoSpaceDE w:val="0"/>
              <w:widowControl/>
              <w:spacing w:line="233" w:lineRule="auto" w:before="52" w:after="0"/>
              <w:ind w:left="0" w:right="188" w:firstLine="0"/>
              <w:jc w:val="right"/>
            </w:pPr>
            <w:r>
              <w:rPr>
                <w:rFonts w:ascii="Arial" w:hAnsi="Arial" w:eastAsia="Arial"/>
                <w:b w:val="0"/>
                <w:i w:val="0"/>
                <w:color w:val="000000"/>
                <w:sz w:val="18"/>
              </w:rPr>
              <w:t>11,646,755</w:t>
            </w:r>
          </w:p>
        </w:tc>
      </w:tr>
    </w:tbl>
    <w:p>
      <w:pPr>
        <w:autoSpaceDN w:val="0"/>
        <w:autoSpaceDE w:val="0"/>
        <w:widowControl/>
        <w:spacing w:line="233" w:lineRule="auto" w:before="1386" w:after="0"/>
        <w:ind w:left="0" w:right="0" w:firstLine="0"/>
        <w:jc w:val="center"/>
      </w:pPr>
      <w:r>
        <w:rPr>
          <w:rFonts w:ascii="Arial" w:hAnsi="Arial" w:eastAsia="Arial"/>
          <w:b w:val="0"/>
          <w:i w:val="0"/>
          <w:color w:val="000000"/>
          <w:sz w:val="20"/>
        </w:rPr>
        <w:t xml:space="preserve">252 </w:t>
      </w:r>
    </w:p>
    <w:p>
      <w:pPr>
        <w:sectPr>
          <w:pgSz w:w="11899" w:h="16841"/>
          <w:pgMar w:top="996" w:right="1440" w:bottom="360" w:left="1440" w:header="720" w:footer="720" w:gutter="0"/>
          <w:cols/>
          <w:docGrid w:linePitch="360"/>
        </w:sectPr>
      </w:pPr>
    </w:p>
    <w:p>
      <w:pPr>
        <w:autoSpaceDN w:val="0"/>
        <w:autoSpaceDE w:val="0"/>
        <w:widowControl/>
        <w:spacing w:line="220" w:lineRule="exact" w:before="0" w:after="768"/>
        <w:ind w:left="0" w:right="0"/>
      </w:pPr>
    </w:p>
    <w:tbl>
      <w:tblPr>
        <w:tblW w:type="auto" w:w="0"/>
        <w:tblLayout w:type="fixed"/>
        <w:tblLook w:firstColumn="1" w:firstRow="1" w:lastColumn="0" w:lastRow="0" w:noHBand="0" w:noVBand="1" w:val="04A0"/>
        <w:tblInd w:w="358.0000000000001" w:type="dxa"/>
      </w:tblPr>
      <w:tblGrid>
        <w:gridCol w:w="2255"/>
        <w:gridCol w:w="2255"/>
        <w:gridCol w:w="2255"/>
        <w:gridCol w:w="2255"/>
      </w:tblGrid>
      <w:tr>
        <w:trPr>
          <w:trHeight w:hRule="exact" w:val="364"/>
        </w:trPr>
        <w:tc>
          <w:tcPr>
            <w:tcW w:type="dxa" w:w="582"/>
            <w:tcBorders/>
            <w:tcMar>
              <w:start w:w="0" w:type="dxa"/>
              <w:end w:w="0" w:type="dxa"/>
            </w:tcMar>
          </w:tcPr>
          <w:p>
            <w:pPr>
              <w:autoSpaceDN w:val="0"/>
              <w:autoSpaceDE w:val="0"/>
              <w:widowControl/>
              <w:spacing w:line="220" w:lineRule="exact" w:before="0" w:after="0"/>
              <w:ind w:left="0" w:right="0" w:firstLine="0"/>
              <w:jc w:val="left"/>
            </w:pPr>
            <w:r>
              <w:rPr>
                <w:rFonts w:ascii="黑体" w:hAnsi="黑体" w:eastAsia="黑体"/>
                <w:b w:val="0"/>
                <w:i w:val="0"/>
                <w:color w:val="000000"/>
                <w:sz w:val="22"/>
              </w:rPr>
              <w:t>七、</w:t>
            </w:r>
          </w:p>
        </w:tc>
        <w:tc>
          <w:tcPr>
            <w:tcW w:type="dxa" w:w="4606"/>
            <w:tcBorders/>
            <w:tcMar>
              <w:start w:w="0" w:type="dxa"/>
              <w:end w:w="0" w:type="dxa"/>
            </w:tcMar>
          </w:tcPr>
          <w:p>
            <w:pPr>
              <w:autoSpaceDN w:val="0"/>
              <w:autoSpaceDE w:val="0"/>
              <w:widowControl/>
              <w:spacing w:line="220" w:lineRule="exact" w:before="0" w:after="0"/>
              <w:ind w:left="146" w:right="0" w:firstLine="0"/>
              <w:jc w:val="left"/>
            </w:pPr>
            <w:r>
              <w:rPr>
                <w:rFonts w:ascii="黑体" w:hAnsi="黑体" w:eastAsia="黑体"/>
                <w:b w:val="0"/>
                <w:i w:val="0"/>
                <w:color w:val="000000"/>
                <w:sz w:val="22"/>
              </w:rPr>
              <w:t>在其他主体中的权益（续）</w:t>
            </w:r>
          </w:p>
        </w:tc>
        <w:tc>
          <w:tcPr>
            <w:tcW w:type="dxa" w:w="1514"/>
            <w:vMerge w:val="restart"/>
            <w:tcBorders/>
            <w:tcMar>
              <w:start w:w="0" w:type="dxa"/>
              <w:end w:w="0" w:type="dxa"/>
            </w:tcMar>
            <w:tcMar>
              <w:start w:w="0" w:type="dxa"/>
              <w:end w:w="0" w:type="dxa"/>
            </w:tcMar>
          </w:tcPr>
          <w:p>
            <w:pPr>
              <w:autoSpaceDN w:val="0"/>
              <w:autoSpaceDE w:val="0"/>
              <w:widowControl/>
              <w:spacing w:line="202" w:lineRule="exact" w:before="1096" w:after="0"/>
              <w:ind w:left="0" w:right="0" w:firstLine="0"/>
              <w:jc w:val="center"/>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800"/>
            <w:vMerge w:val="restart"/>
            <w:tcBorders/>
            <w:tcMar>
              <w:start w:w="0" w:type="dxa"/>
              <w:end w:w="0" w:type="dxa"/>
            </w:tcMar>
            <w:tcMar>
              <w:start w:w="0" w:type="dxa"/>
              <w:end w:w="0" w:type="dxa"/>
            </w:tcMar>
          </w:tcPr>
          <w:p>
            <w:pPr>
              <w:autoSpaceDN w:val="0"/>
              <w:autoSpaceDE w:val="0"/>
              <w:widowControl/>
              <w:spacing w:line="202" w:lineRule="exact" w:before="1096" w:after="0"/>
              <w:ind w:left="270" w:right="0" w:firstLine="0"/>
              <w:jc w:val="lef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r>
      <w:tr>
        <w:trPr>
          <w:trHeight w:hRule="exact" w:val="940"/>
        </w:trPr>
        <w:tc>
          <w:tcPr>
            <w:tcW w:type="dxa" w:w="582"/>
            <w:tcBorders/>
            <w:tcMar>
              <w:start w:w="0" w:type="dxa"/>
              <w:end w:w="0" w:type="dxa"/>
            </w:tcMar>
          </w:tcPr>
          <w:p>
            <w:pPr>
              <w:autoSpaceDN w:val="0"/>
              <w:autoSpaceDE w:val="0"/>
              <w:widowControl/>
              <w:spacing w:line="248" w:lineRule="exact" w:before="162" w:after="0"/>
              <w:ind w:left="0" w:right="0" w:firstLine="0"/>
              <w:jc w:val="left"/>
            </w:pPr>
            <w:r>
              <w:rPr>
                <w:rFonts w:ascii="Arial,Bold" w:hAnsi="Arial,Bold" w:eastAsia="Arial,Bold"/>
                <w:b/>
                <w:i w:val="0"/>
                <w:color w:val="000000"/>
                <w:sz w:val="22"/>
              </w:rPr>
              <w:t xml:space="preserve">2. </w:t>
            </w:r>
          </w:p>
        </w:tc>
        <w:tc>
          <w:tcPr>
            <w:tcW w:type="dxa" w:w="4606"/>
            <w:tcBorders/>
            <w:tcMar>
              <w:start w:w="0" w:type="dxa"/>
              <w:end w:w="0" w:type="dxa"/>
            </w:tcMar>
          </w:tcPr>
          <w:p>
            <w:pPr>
              <w:autoSpaceDN w:val="0"/>
              <w:autoSpaceDE w:val="0"/>
              <w:widowControl/>
              <w:spacing w:line="220" w:lineRule="exact" w:before="174" w:after="0"/>
              <w:ind w:left="146" w:right="0" w:firstLine="0"/>
              <w:jc w:val="left"/>
            </w:pPr>
            <w:r>
              <w:rPr>
                <w:rFonts w:ascii="黑体" w:hAnsi="黑体" w:eastAsia="黑体"/>
                <w:b w:val="0"/>
                <w:i w:val="0"/>
                <w:color w:val="000000"/>
                <w:sz w:val="22"/>
              </w:rPr>
              <w:t>纳入合并财务报表范围的结构化主体（续）</w:t>
            </w:r>
          </w:p>
        </w:tc>
        <w:tc>
          <w:tcPr>
            <w:tcW w:type="dxa" w:w="2255"/>
            <w:vMerge/>
            <w:tcBorders/>
          </w:tcPr>
          <w:p/>
        </w:tc>
        <w:tc>
          <w:tcPr>
            <w:tcW w:type="dxa" w:w="2255"/>
            <w:vMerge/>
            <w:tcBorders/>
          </w:tcPr>
          <w:p/>
        </w:tc>
      </w:tr>
      <w:tr>
        <w:trPr>
          <w:trHeight w:hRule="exact" w:val="222"/>
        </w:trPr>
        <w:tc>
          <w:tcPr>
            <w:tcW w:type="dxa" w:w="5188"/>
            <w:gridSpan w:val="2"/>
            <w:tcBorders>
              <w:bottom w:sz="3.2000000000000455" w:val="single" w:color="#000000"/>
            </w:tcBorders>
            <w:tcMar>
              <w:start w:w="0" w:type="dxa"/>
              <w:end w:w="0" w:type="dxa"/>
            </w:tcMar>
            <w:tcMar>
              <w:start w:w="0" w:type="dxa"/>
              <w:end w:w="0" w:type="dxa"/>
            </w:tcMar>
          </w:tcPr>
          <w:p>
            <w:pPr>
              <w:autoSpaceDN w:val="0"/>
              <w:autoSpaceDE w:val="0"/>
              <w:widowControl/>
              <w:spacing w:line="180" w:lineRule="exact" w:before="34" w:after="0"/>
              <w:ind w:left="0" w:right="0" w:firstLine="0"/>
              <w:jc w:val="left"/>
            </w:pPr>
            <w:r>
              <w:rPr>
                <w:rFonts w:ascii="黑体" w:hAnsi="黑体" w:eastAsia="黑体"/>
                <w:b w:val="0"/>
                <w:i w:val="0"/>
                <w:color w:val="000000"/>
                <w:sz w:val="18"/>
              </w:rPr>
              <w:t>结构化主体名称</w:t>
            </w:r>
          </w:p>
        </w:tc>
        <w:tc>
          <w:tcPr>
            <w:tcW w:type="dxa" w:w="1514"/>
            <w:tcBorders>
              <w:bottom w:sz="3.2000000000000455" w:val="single" w:color="#000000"/>
            </w:tcBorders>
            <w:tcMar>
              <w:start w:w="0" w:type="dxa"/>
              <w:end w:w="0" w:type="dxa"/>
            </w:tcMar>
          </w:tcPr>
          <w:p>
            <w:pPr>
              <w:autoSpaceDN w:val="0"/>
              <w:autoSpaceDE w:val="0"/>
              <w:widowControl/>
              <w:spacing w:line="180" w:lineRule="exact" w:before="34" w:after="0"/>
              <w:ind w:left="336" w:right="0" w:firstLine="0"/>
              <w:jc w:val="left"/>
            </w:pPr>
            <w:r>
              <w:rPr>
                <w:rFonts w:ascii="黑体" w:hAnsi="黑体" w:eastAsia="黑体"/>
                <w:b w:val="0"/>
                <w:i w:val="0"/>
                <w:color w:val="000000"/>
                <w:sz w:val="18"/>
              </w:rPr>
              <w:t>实际持有份额</w:t>
            </w:r>
          </w:p>
        </w:tc>
        <w:tc>
          <w:tcPr>
            <w:tcW w:type="dxa" w:w="1800"/>
            <w:tcBorders>
              <w:bottom w:sz="3.2000000000000455" w:val="single" w:color="#000000"/>
            </w:tcBorders>
            <w:tcMar>
              <w:start w:w="0" w:type="dxa"/>
              <w:end w:w="0" w:type="dxa"/>
            </w:tcMar>
          </w:tcPr>
          <w:p>
            <w:pPr>
              <w:autoSpaceDN w:val="0"/>
              <w:autoSpaceDE w:val="0"/>
              <w:widowControl/>
              <w:spacing w:line="180" w:lineRule="exact" w:before="34" w:after="0"/>
              <w:ind w:left="0" w:right="190" w:firstLine="0"/>
              <w:jc w:val="right"/>
            </w:pPr>
            <w:r>
              <w:rPr>
                <w:rFonts w:ascii="黑体" w:hAnsi="黑体" w:eastAsia="黑体"/>
                <w:b w:val="0"/>
                <w:i w:val="0"/>
                <w:color w:val="000000"/>
                <w:sz w:val="18"/>
              </w:rPr>
              <w:t>实际持有份额</w:t>
            </w:r>
          </w:p>
        </w:tc>
      </w:tr>
      <w:tr>
        <w:trPr>
          <w:trHeight w:hRule="exact" w:val="465"/>
        </w:trPr>
        <w:tc>
          <w:tcPr>
            <w:tcW w:type="dxa" w:w="5188"/>
            <w:gridSpan w:val="2"/>
            <w:tcBorders>
              <w:top w:sz="3.2000000000000455" w:val="single" w:color="#000000"/>
            </w:tcBorders>
            <w:tcMar>
              <w:start w:w="0" w:type="dxa"/>
              <w:end w:w="0" w:type="dxa"/>
            </w:tcMar>
            <w:tcMar>
              <w:start w:w="0" w:type="dxa"/>
              <w:end w:w="0" w:type="dxa"/>
            </w:tcMar>
          </w:tcPr>
          <w:p>
            <w:pPr>
              <w:autoSpaceDN w:val="0"/>
              <w:autoSpaceDE w:val="0"/>
              <w:widowControl/>
              <w:spacing w:line="180" w:lineRule="exact" w:before="250" w:after="0"/>
              <w:ind w:left="0" w:right="0" w:firstLine="0"/>
              <w:jc w:val="left"/>
            </w:pPr>
            <w:r>
              <w:rPr>
                <w:rFonts w:ascii="黑体" w:hAnsi="黑体" w:eastAsia="黑体"/>
                <w:b w:val="0"/>
                <w:i w:val="0"/>
                <w:color w:val="000000"/>
                <w:sz w:val="18"/>
              </w:rPr>
              <w:t>盈峰盈山私募证券投资基金</w:t>
            </w:r>
          </w:p>
        </w:tc>
        <w:tc>
          <w:tcPr>
            <w:tcW w:type="dxa" w:w="1514"/>
            <w:tcBorders>
              <w:top w:sz="3.2000000000000455" w:val="single" w:color="#000000"/>
            </w:tcBorders>
            <w:tcMar>
              <w:start w:w="0" w:type="dxa"/>
              <w:end w:w="0" w:type="dxa"/>
            </w:tcMar>
          </w:tcPr>
          <w:p>
            <w:pPr>
              <w:autoSpaceDN w:val="0"/>
              <w:autoSpaceDE w:val="0"/>
              <w:widowControl/>
              <w:spacing w:line="233" w:lineRule="auto" w:before="256" w:after="0"/>
              <w:ind w:left="0" w:right="22" w:firstLine="0"/>
              <w:jc w:val="right"/>
            </w:pPr>
            <w:r>
              <w:rPr>
                <w:rFonts w:ascii="Arial" w:hAnsi="Arial" w:eastAsia="Arial"/>
                <w:b w:val="0"/>
                <w:i w:val="0"/>
                <w:color w:val="000000"/>
                <w:sz w:val="18"/>
              </w:rPr>
              <w:t xml:space="preserve">- </w:t>
            </w:r>
          </w:p>
        </w:tc>
        <w:tc>
          <w:tcPr>
            <w:tcW w:type="dxa" w:w="1800"/>
            <w:tcBorders>
              <w:top w:sz="3.2000000000000455" w:val="single" w:color="#000000"/>
            </w:tcBorders>
            <w:tcMar>
              <w:start w:w="0" w:type="dxa"/>
              <w:end w:w="0" w:type="dxa"/>
            </w:tcMar>
          </w:tcPr>
          <w:p>
            <w:pPr>
              <w:autoSpaceDN w:val="0"/>
              <w:autoSpaceDE w:val="0"/>
              <w:widowControl/>
              <w:spacing w:line="247" w:lineRule="auto" w:before="242" w:after="0"/>
              <w:ind w:left="0" w:right="150" w:firstLine="0"/>
              <w:jc w:val="right"/>
            </w:pPr>
            <w:r>
              <w:rPr>
                <w:rFonts w:ascii="Arial" w:hAnsi="Arial" w:eastAsia="Arial"/>
                <w:b w:val="0"/>
                <w:i w:val="0"/>
                <w:color w:val="000000"/>
                <w:sz w:val="18"/>
              </w:rPr>
              <w:t xml:space="preserve">11,040,073 </w:t>
            </w:r>
          </w:p>
        </w:tc>
      </w:tr>
      <w:tr>
        <w:trPr>
          <w:trHeight w:hRule="exact" w:val="235"/>
        </w:trPr>
        <w:tc>
          <w:tcPr>
            <w:tcW w:type="dxa" w:w="5188"/>
            <w:gridSpan w:val="2"/>
            <w:tcBorders>
              <w:bottom w:sz="4.0" w:val="single" w:color="#000000"/>
            </w:tcBorders>
            <w:tcMar>
              <w:start w:w="0" w:type="dxa"/>
              <w:end w:w="0" w:type="dxa"/>
            </w:tcMar>
            <w:tcMar>
              <w:start w:w="0" w:type="dxa"/>
              <w:end w:w="0" w:type="dxa"/>
            </w:tcMar>
          </w:tcPr>
          <w:p>
            <w:pPr>
              <w:autoSpaceDN w:val="0"/>
              <w:autoSpaceDE w:val="0"/>
              <w:widowControl/>
              <w:spacing w:line="180" w:lineRule="exact" w:before="20" w:after="0"/>
              <w:ind w:left="0" w:right="0" w:firstLine="0"/>
              <w:jc w:val="left"/>
            </w:pPr>
            <w:r>
              <w:rPr>
                <w:rFonts w:ascii="黑体" w:hAnsi="黑体" w:eastAsia="黑体"/>
                <w:b w:val="0"/>
                <w:i w:val="0"/>
                <w:color w:val="000000"/>
                <w:sz w:val="18"/>
              </w:rPr>
              <w:t>其他</w:t>
            </w:r>
          </w:p>
        </w:tc>
        <w:tc>
          <w:tcPr>
            <w:tcW w:type="dxa" w:w="1514"/>
            <w:tcBorders>
              <w:bottom w:sz="4.0" w:val="single" w:color="#000000"/>
            </w:tcBorders>
            <w:tcMar>
              <w:start w:w="0" w:type="dxa"/>
              <w:end w:w="0" w:type="dxa"/>
            </w:tcMar>
          </w:tcPr>
          <w:p>
            <w:pPr>
              <w:autoSpaceDN w:val="0"/>
              <w:autoSpaceDE w:val="0"/>
              <w:widowControl/>
              <w:spacing w:line="233" w:lineRule="auto" w:before="26" w:after="0"/>
              <w:ind w:left="0" w:right="50" w:firstLine="0"/>
              <w:jc w:val="right"/>
            </w:pPr>
            <w:r>
              <w:rPr>
                <w:rFonts w:ascii="Arial" w:hAnsi="Arial" w:eastAsia="Arial"/>
                <w:b w:val="0"/>
                <w:i w:val="0"/>
                <w:color w:val="000000"/>
                <w:sz w:val="18"/>
              </w:rPr>
              <w:t xml:space="preserve">17,005,461 </w:t>
            </w:r>
          </w:p>
        </w:tc>
        <w:tc>
          <w:tcPr>
            <w:tcW w:type="dxa" w:w="1800"/>
            <w:tcBorders>
              <w:bottom w:sz="4.0" w:val="single" w:color="#000000"/>
            </w:tcBorders>
            <w:tcMar>
              <w:start w:w="0" w:type="dxa"/>
              <w:end w:w="0" w:type="dxa"/>
            </w:tcMar>
          </w:tcPr>
          <w:p>
            <w:pPr>
              <w:autoSpaceDN w:val="0"/>
              <w:autoSpaceDE w:val="0"/>
              <w:widowControl/>
              <w:spacing w:line="247" w:lineRule="auto" w:before="12" w:after="0"/>
              <w:ind w:left="0" w:right="150" w:firstLine="0"/>
              <w:jc w:val="right"/>
            </w:pPr>
            <w:r>
              <w:rPr>
                <w:rFonts w:ascii="Arial" w:hAnsi="Arial" w:eastAsia="Arial"/>
                <w:b w:val="0"/>
                <w:i w:val="0"/>
                <w:color w:val="000000"/>
                <w:sz w:val="18"/>
              </w:rPr>
              <w:t xml:space="preserve">15,024,283 </w:t>
            </w:r>
          </w:p>
        </w:tc>
      </w:tr>
      <w:tr>
        <w:trPr>
          <w:trHeight w:hRule="exact" w:val="450"/>
        </w:trPr>
        <w:tc>
          <w:tcPr>
            <w:tcW w:type="dxa" w:w="5188"/>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34" w:after="0"/>
              <w:ind w:left="0" w:right="0" w:firstLine="0"/>
              <w:jc w:val="left"/>
            </w:pPr>
            <w:r>
              <w:rPr>
                <w:rFonts w:ascii="黑体" w:hAnsi="黑体" w:eastAsia="黑体"/>
                <w:b w:val="0"/>
                <w:i w:val="0"/>
                <w:color w:val="000000"/>
                <w:sz w:val="18"/>
              </w:rPr>
              <w:t>合计</w:t>
            </w:r>
          </w:p>
        </w:tc>
        <w:tc>
          <w:tcPr>
            <w:tcW w:type="dxa" w:w="1514"/>
            <w:tcBorders>
              <w:top w:sz="4.0" w:val="single" w:color="#000000"/>
              <w:bottom w:sz="3.2000000000000455" w:val="single" w:color="#000000"/>
            </w:tcBorders>
            <w:tcMar>
              <w:start w:w="0" w:type="dxa"/>
              <w:end w:w="0" w:type="dxa"/>
            </w:tcMar>
          </w:tcPr>
          <w:p>
            <w:pPr>
              <w:autoSpaceDN w:val="0"/>
              <w:autoSpaceDE w:val="0"/>
              <w:widowControl/>
              <w:spacing w:line="233" w:lineRule="auto" w:before="240" w:after="0"/>
              <w:ind w:left="262" w:right="0" w:firstLine="0"/>
              <w:jc w:val="left"/>
            </w:pPr>
            <w:r>
              <w:rPr>
                <w:rFonts w:ascii="Arial" w:hAnsi="Arial" w:eastAsia="Arial"/>
                <w:b w:val="0"/>
                <w:i w:val="0"/>
                <w:color w:val="000000"/>
                <w:sz w:val="18"/>
              </w:rPr>
              <w:t xml:space="preserve">4,455,776,572 </w:t>
            </w:r>
          </w:p>
        </w:tc>
        <w:tc>
          <w:tcPr>
            <w:tcW w:type="dxa" w:w="1800"/>
            <w:tcBorders>
              <w:top w:sz="4.0" w:val="single" w:color="#000000"/>
              <w:bottom w:sz="3.2000000000000455" w:val="single" w:color="#000000"/>
            </w:tcBorders>
            <w:tcMar>
              <w:start w:w="0" w:type="dxa"/>
              <w:end w:w="0" w:type="dxa"/>
            </w:tcMar>
          </w:tcPr>
          <w:p>
            <w:pPr>
              <w:autoSpaceDN w:val="0"/>
              <w:autoSpaceDE w:val="0"/>
              <w:widowControl/>
              <w:spacing w:line="247" w:lineRule="auto" w:before="226" w:after="0"/>
              <w:ind w:left="0" w:right="150" w:firstLine="0"/>
              <w:jc w:val="right"/>
            </w:pPr>
            <w:r>
              <w:rPr>
                <w:rFonts w:ascii="Arial" w:hAnsi="Arial" w:eastAsia="Arial"/>
                <w:b w:val="0"/>
                <w:i w:val="0"/>
                <w:color w:val="000000"/>
                <w:sz w:val="18"/>
              </w:rPr>
              <w:t xml:space="preserve">4,195,273,777 </w:t>
            </w:r>
          </w:p>
        </w:tc>
      </w:tr>
      <w:tr>
        <w:trPr>
          <w:trHeight w:hRule="exact" w:val="54"/>
        </w:trPr>
        <w:tc>
          <w:tcPr>
            <w:tcW w:type="dxa" w:w="4510"/>
            <w:gridSpan w:val="2"/>
            <w:vMerge/>
            <w:tcBorders>
              <w:top w:sz="4.0" w:val="single" w:color="#000000"/>
            </w:tcBorders>
          </w:tcPr>
          <w:p/>
        </w:tc>
        <w:tc>
          <w:tcPr>
            <w:tcW w:type="dxa" w:w="1514"/>
            <w:tcBorders>
              <w:top w:sz="3.2000000000000455" w:val="single" w:color="#000000"/>
            </w:tcBorders>
            <w:tcMar>
              <w:start w:w="0" w:type="dxa"/>
              <w:end w:w="0" w:type="dxa"/>
            </w:tcMar>
          </w:tcPr>
          <w:p/>
        </w:tc>
        <w:tc>
          <w:tcPr>
            <w:tcW w:type="dxa" w:w="1800"/>
            <w:tcBorders>
              <w:top w:sz="3.2000000000000455" w:val="single" w:color="#000000"/>
            </w:tcBorders>
            <w:tcMar>
              <w:start w:w="0" w:type="dxa"/>
              <w:end w:w="0" w:type="dxa"/>
            </w:tcMar>
          </w:tcPr>
          <w:p/>
        </w:tc>
      </w:tr>
    </w:tbl>
    <w:p>
      <w:pPr>
        <w:autoSpaceDN w:val="0"/>
        <w:autoSpaceDE w:val="0"/>
        <w:widowControl/>
        <w:spacing w:line="280" w:lineRule="exact" w:before="244" w:after="0"/>
        <w:ind w:left="358" w:right="352" w:firstLine="0"/>
        <w:jc w:val="both"/>
      </w:pPr>
      <w:r>
        <w:rPr>
          <w:rFonts w:ascii="黑体" w:hAnsi="黑体" w:eastAsia="黑体"/>
          <w:b w:val="0"/>
          <w:i w:val="0"/>
          <w:color w:val="000000"/>
          <w:sz w:val="22"/>
        </w:rPr>
        <w:t>上述结构化主体中，山西信托信宝</w:t>
      </w:r>
      <w:r>
        <w:rPr>
          <w:rFonts w:ascii="Calibri" w:hAnsi="Calibri" w:eastAsia="Calibri"/>
          <w:b w:val="0"/>
          <w:i w:val="0"/>
          <w:color w:val="000000"/>
          <w:sz w:val="22"/>
        </w:rPr>
        <w:t>12</w:t>
      </w:r>
      <w:r>
        <w:rPr>
          <w:rFonts w:ascii="黑体" w:hAnsi="黑体" w:eastAsia="黑体"/>
          <w:b w:val="0"/>
          <w:i w:val="0"/>
          <w:color w:val="000000"/>
          <w:sz w:val="22"/>
        </w:rPr>
        <w:t>号集合资金信托计划、山西信托信宝</w:t>
      </w:r>
      <w:r>
        <w:rPr>
          <w:rFonts w:ascii="Calibri" w:hAnsi="Calibri" w:eastAsia="Calibri"/>
          <w:b w:val="0"/>
          <w:i w:val="0"/>
          <w:color w:val="000000"/>
          <w:sz w:val="22"/>
        </w:rPr>
        <w:t>13</w:t>
      </w:r>
      <w:r>
        <w:rPr>
          <w:rFonts w:ascii="黑体" w:hAnsi="黑体" w:eastAsia="黑体"/>
          <w:b w:val="0"/>
          <w:i w:val="0"/>
          <w:color w:val="000000"/>
          <w:sz w:val="22"/>
        </w:rPr>
        <w:t>号集合资</w:t>
      </w:r>
      <w:r>
        <w:rPr>
          <w:rFonts w:ascii="黑体" w:hAnsi="黑体" w:eastAsia="黑体"/>
          <w:b w:val="0"/>
          <w:i w:val="0"/>
          <w:color w:val="000000"/>
          <w:sz w:val="22"/>
        </w:rPr>
        <w:t>金信托计划、山西信托信宝</w:t>
      </w:r>
      <w:r>
        <w:rPr>
          <w:rFonts w:ascii="Calibri" w:hAnsi="Calibri" w:eastAsia="Calibri"/>
          <w:b w:val="0"/>
          <w:i w:val="0"/>
          <w:color w:val="000000"/>
          <w:sz w:val="22"/>
        </w:rPr>
        <w:t>15</w:t>
      </w:r>
      <w:r>
        <w:rPr>
          <w:rFonts w:ascii="黑体" w:hAnsi="黑体" w:eastAsia="黑体"/>
          <w:b w:val="0"/>
          <w:i w:val="0"/>
          <w:color w:val="000000"/>
          <w:sz w:val="22"/>
        </w:rPr>
        <w:t>号集合资金信托计划、山证国际大商所铁矿石期货指数</w:t>
      </w:r>
      <w:r>
        <w:rPr>
          <w:rFonts w:ascii="Calibri" w:hAnsi="Calibri" w:eastAsia="Calibri"/>
          <w:b w:val="0"/>
          <w:i w:val="0"/>
          <w:color w:val="000000"/>
          <w:sz w:val="22"/>
        </w:rPr>
        <w:t>ETF</w:t>
      </w:r>
      <w:r>
        <w:rPr>
          <w:rFonts w:ascii="黑体" w:hAnsi="黑体" w:eastAsia="黑体"/>
          <w:b w:val="0"/>
          <w:i w:val="0"/>
          <w:color w:val="000000"/>
          <w:sz w:val="22"/>
        </w:rPr>
        <w:t>及格林大华远航</w:t>
      </w:r>
      <w:r>
        <w:rPr>
          <w:rFonts w:ascii="Calibri" w:hAnsi="Calibri" w:eastAsia="Calibri"/>
          <w:b w:val="0"/>
          <w:i w:val="0"/>
          <w:color w:val="000000"/>
          <w:sz w:val="22"/>
        </w:rPr>
        <w:t>1</w:t>
      </w:r>
      <w:r>
        <w:rPr>
          <w:rFonts w:ascii="黑体" w:hAnsi="黑体" w:eastAsia="黑体"/>
          <w:b w:val="0"/>
          <w:i w:val="0"/>
          <w:color w:val="000000"/>
          <w:sz w:val="22"/>
        </w:rPr>
        <w:t>号</w:t>
      </w:r>
      <w:r>
        <w:rPr>
          <w:rFonts w:ascii="Calibri" w:hAnsi="Calibri" w:eastAsia="Calibri"/>
          <w:b w:val="0"/>
          <w:i w:val="0"/>
          <w:color w:val="000000"/>
          <w:sz w:val="22"/>
        </w:rPr>
        <w:t>FOF</w:t>
      </w:r>
      <w:r>
        <w:rPr>
          <w:rFonts w:ascii="黑体" w:hAnsi="黑体" w:eastAsia="黑体"/>
          <w:b w:val="0"/>
          <w:i w:val="0"/>
          <w:color w:val="000000"/>
          <w:sz w:val="22"/>
        </w:rPr>
        <w:t>集合资产管理计划于本集团子公司层面被纳入合并范围，其</w:t>
      </w:r>
      <w:r>
        <w:rPr>
          <w:rFonts w:ascii="黑体" w:hAnsi="黑体" w:eastAsia="黑体"/>
          <w:b w:val="0"/>
          <w:i w:val="0"/>
          <w:color w:val="000000"/>
          <w:sz w:val="22"/>
        </w:rPr>
        <w:t>余结构化主体于本集团层面被纳入合并范围。</w:t>
      </w:r>
    </w:p>
    <w:p>
      <w:pPr>
        <w:autoSpaceDN w:val="0"/>
        <w:autoSpaceDE w:val="0"/>
        <w:widowControl/>
        <w:spacing w:line="284" w:lineRule="exact" w:before="270" w:after="0"/>
        <w:ind w:left="358" w:right="360" w:firstLine="0"/>
        <w:jc w:val="both"/>
      </w:pPr>
      <w:r>
        <w:rPr>
          <w:rFonts w:ascii="黑体" w:hAnsi="黑体" w:eastAsia="黑体"/>
          <w:b w:val="0"/>
          <w:i w:val="0"/>
          <w:color w:val="000000"/>
          <w:sz w:val="22"/>
        </w:rPr>
        <w:t>本集团作为上述结构化主体管理人或委托人考虑对该等结构化主体是否存在控制，并</w:t>
      </w:r>
      <w:r>
        <w:rPr>
          <w:rFonts w:ascii="黑体" w:hAnsi="黑体" w:eastAsia="黑体"/>
          <w:b w:val="0"/>
          <w:i w:val="0"/>
          <w:color w:val="000000"/>
          <w:sz w:val="22"/>
        </w:rPr>
        <w:t>基于本集团的决策范围、结构化主体其他方的权力和面临的可变动收益风险敞口等因</w:t>
      </w:r>
      <w:r>
        <w:rPr>
          <w:rFonts w:ascii="黑体" w:hAnsi="黑体" w:eastAsia="黑体"/>
          <w:b w:val="0"/>
          <w:i w:val="0"/>
          <w:color w:val="000000"/>
          <w:sz w:val="22"/>
        </w:rPr>
        <w:t>素来判断本集团是主要责任人还是代理人。对于上述纳入合并范围的结构化主体，本</w:t>
      </w:r>
      <w:r>
        <w:rPr>
          <w:rFonts w:ascii="黑体" w:hAnsi="黑体" w:eastAsia="黑体"/>
          <w:b w:val="0"/>
          <w:i w:val="0"/>
          <w:color w:val="000000"/>
          <w:sz w:val="22"/>
        </w:rPr>
        <w:t>集团作为主要责任人身份行使投资决策权，且本集团所享有的总收益在结构化主体总</w:t>
      </w:r>
      <w:r>
        <w:rPr>
          <w:rFonts w:ascii="黑体" w:hAnsi="黑体" w:eastAsia="黑体"/>
          <w:b w:val="0"/>
          <w:i w:val="0"/>
          <w:color w:val="000000"/>
          <w:sz w:val="22"/>
        </w:rPr>
        <w:t>收益中占比较大，因此将其纳入合并范围。</w:t>
      </w:r>
    </w:p>
    <w:p>
      <w:pPr>
        <w:autoSpaceDN w:val="0"/>
        <w:autoSpaceDE w:val="0"/>
        <w:widowControl/>
        <w:spacing w:line="286" w:lineRule="exact" w:before="284" w:after="0"/>
        <w:ind w:left="358" w:right="350" w:firstLine="0"/>
        <w:jc w:val="both"/>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日，上述结构化主体应付其他持有人的本金为人民币</w:t>
      </w:r>
      <w:r>
        <w:rPr>
          <w:rFonts w:ascii="Arial" w:hAnsi="Arial" w:eastAsia="Arial"/>
          <w:b w:val="0"/>
          <w:i w:val="0"/>
          <w:color w:val="000000"/>
          <w:sz w:val="22"/>
        </w:rPr>
        <w:t>30,119,782</w:t>
      </w:r>
      <w:r>
        <w:rPr>
          <w:rFonts w:ascii="黑体" w:hAnsi="黑体" w:eastAsia="黑体"/>
          <w:b w:val="0"/>
          <w:i w:val="0"/>
          <w:color w:val="000000"/>
          <w:sz w:val="22"/>
        </w:rPr>
        <w:t>元</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22,827,114</w:t>
      </w:r>
      <w:r>
        <w:rPr>
          <w:rFonts w:ascii="黑体" w:hAnsi="黑体" w:eastAsia="黑体"/>
          <w:b w:val="0"/>
          <w:i w:val="0"/>
          <w:color w:val="000000"/>
          <w:sz w:val="22"/>
        </w:rPr>
        <w:t>元），损失为人民币</w:t>
      </w:r>
      <w:r>
        <w:rPr>
          <w:rFonts w:ascii="Arial" w:hAnsi="Arial" w:eastAsia="Arial"/>
          <w:b w:val="0"/>
          <w:i w:val="0"/>
          <w:color w:val="000000"/>
          <w:sz w:val="22"/>
        </w:rPr>
        <w:t>5,172,696</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日：损失为人民币</w:t>
      </w:r>
      <w:r>
        <w:rPr>
          <w:rFonts w:ascii="Arial" w:hAnsi="Arial" w:eastAsia="Arial"/>
          <w:b w:val="0"/>
          <w:i w:val="0"/>
          <w:color w:val="000000"/>
          <w:sz w:val="22"/>
        </w:rPr>
        <w:t>13,311,858</w:t>
      </w:r>
      <w:r>
        <w:rPr>
          <w:rFonts w:ascii="黑体" w:hAnsi="黑体" w:eastAsia="黑体"/>
          <w:b w:val="0"/>
          <w:i w:val="0"/>
          <w:color w:val="000000"/>
          <w:sz w:val="22"/>
        </w:rPr>
        <w:t>元）。</w:t>
      </w:r>
    </w:p>
    <w:p>
      <w:pPr>
        <w:autoSpaceDN w:val="0"/>
        <w:autoSpaceDE w:val="0"/>
        <w:widowControl/>
        <w:spacing w:line="233" w:lineRule="auto" w:before="6994" w:after="0"/>
        <w:ind w:left="0" w:right="0" w:firstLine="0"/>
        <w:jc w:val="center"/>
      </w:pPr>
      <w:r>
        <w:rPr>
          <w:rFonts w:ascii="Arial" w:hAnsi="Arial" w:eastAsia="Arial"/>
          <w:b w:val="0"/>
          <w:i w:val="0"/>
          <w:color w:val="000000"/>
          <w:sz w:val="20"/>
        </w:rPr>
        <w:t xml:space="preserve">253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74"/>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1086" w:val="left"/>
        </w:tabs>
        <w:autoSpaceDE w:val="0"/>
        <w:widowControl/>
        <w:spacing w:line="246" w:lineRule="exact" w:before="310" w:after="0"/>
        <w:ind w:left="358" w:right="0" w:firstLine="0"/>
        <w:jc w:val="left"/>
      </w:pPr>
      <w:r>
        <w:rPr>
          <w:rFonts w:ascii="Arial,Bold" w:hAnsi="Arial,Bold" w:eastAsia="Arial,Bold"/>
          <w:b/>
          <w:i w:val="0"/>
          <w:color w:val="000000"/>
          <w:sz w:val="22"/>
        </w:rPr>
        <w:t xml:space="preserve">3. </w:t>
      </w:r>
      <w:r>
        <w:rPr>
          <w:rFonts w:ascii="黑体" w:hAnsi="黑体" w:eastAsia="黑体"/>
          <w:b w:val="0"/>
          <w:i w:val="0"/>
          <w:color w:val="000000"/>
          <w:sz w:val="22"/>
        </w:rPr>
        <w:t>在联营企业中的权益</w:t>
      </w:r>
    </w:p>
    <w:p>
      <w:pPr>
        <w:autoSpaceDN w:val="0"/>
        <w:autoSpaceDE w:val="0"/>
        <w:widowControl/>
        <w:spacing w:line="140" w:lineRule="exact" w:before="294" w:after="24"/>
        <w:ind w:left="0" w:right="3110" w:firstLine="0"/>
        <w:jc w:val="right"/>
      </w:pPr>
      <w:r>
        <w:rPr>
          <w:rFonts w:ascii="黑体" w:hAnsi="黑体" w:eastAsia="黑体"/>
          <w:b w:val="0"/>
          <w:i w:val="0"/>
          <w:color w:val="000000"/>
          <w:sz w:val="14"/>
        </w:rPr>
        <w:t>本年增减变动</w:t>
      </w:r>
    </w:p>
    <w:tbl>
      <w:tblPr>
        <w:tblW w:type="auto" w:w="0"/>
        <w:tblLayout w:type="fixed"/>
        <w:tblLook w:firstColumn="1" w:firstRow="1" w:lastColumn="0" w:lastRow="0" w:noHBand="0" w:noVBand="1" w:val="04A0"/>
        <w:tblInd w:w="358.0000000000001" w:type="dxa"/>
      </w:tblPr>
      <w:tblGrid>
        <w:gridCol w:w="1288"/>
        <w:gridCol w:w="1288"/>
        <w:gridCol w:w="1288"/>
        <w:gridCol w:w="1288"/>
        <w:gridCol w:w="1288"/>
        <w:gridCol w:w="1288"/>
        <w:gridCol w:w="1288"/>
      </w:tblGrid>
      <w:tr>
        <w:trPr>
          <w:trHeight w:hRule="exact" w:val="173"/>
        </w:trPr>
        <w:tc>
          <w:tcPr>
            <w:tcW w:type="dxa" w:w="700"/>
            <w:tcBorders>
              <w:top w:sz="4.0" w:val="single" w:color="#000000"/>
              <w:bottom w:sz="3.199999999999818" w:val="single" w:color="#000000"/>
            </w:tcBorders>
            <w:tcMar>
              <w:start w:w="0" w:type="dxa"/>
              <w:end w:w="0" w:type="dxa"/>
            </w:tcMar>
          </w:tcPr>
          <w:p/>
        </w:tc>
        <w:tc>
          <w:tcPr>
            <w:tcW w:type="dxa" w:w="2250"/>
            <w:tcBorders>
              <w:bottom w:sz="3.199999999999818" w:val="single" w:color="#000000"/>
            </w:tcBorders>
            <w:tcMar>
              <w:start w:w="0" w:type="dxa"/>
              <w:end w:w="0" w:type="dxa"/>
            </w:tcMar>
          </w:tcPr>
          <w:p/>
        </w:tc>
        <w:tc>
          <w:tcPr>
            <w:tcW w:type="dxa" w:w="962"/>
            <w:tcBorders>
              <w:bottom w:sz="3.199999999999818" w:val="single" w:color="#000000"/>
            </w:tcBorders>
            <w:tcMar>
              <w:start w:w="0" w:type="dxa"/>
              <w:end w:w="0" w:type="dxa"/>
            </w:tcMar>
          </w:tcPr>
          <w:p/>
        </w:tc>
        <w:tc>
          <w:tcPr>
            <w:tcW w:type="dxa" w:w="1136"/>
            <w:tcBorders>
              <w:bottom w:sz="3.199999999999818" w:val="single" w:color="#000000"/>
            </w:tcBorders>
            <w:tcMar>
              <w:start w:w="0" w:type="dxa"/>
              <w:end w:w="0" w:type="dxa"/>
            </w:tcMar>
          </w:tcPr>
          <w:p/>
        </w:tc>
        <w:tc>
          <w:tcPr>
            <w:tcW w:type="dxa" w:w="1078"/>
            <w:tcBorders>
              <w:bottom w:sz="3.199999999999818" w:val="single" w:color="#000000"/>
            </w:tcBorders>
            <w:tcMar>
              <w:start w:w="0" w:type="dxa"/>
              <w:end w:w="0" w:type="dxa"/>
            </w:tcMar>
          </w:tcPr>
          <w:p>
            <w:pPr>
              <w:autoSpaceDN w:val="0"/>
              <w:autoSpaceDE w:val="0"/>
              <w:widowControl/>
              <w:spacing w:line="140" w:lineRule="exact" w:before="24" w:after="0"/>
              <w:ind w:left="98" w:right="0" w:firstLine="0"/>
              <w:jc w:val="left"/>
            </w:pPr>
            <w:r>
              <w:rPr>
                <w:rFonts w:ascii="黑体" w:hAnsi="黑体" w:eastAsia="黑体"/>
                <w:b w:val="0"/>
                <w:i w:val="0"/>
                <w:color w:val="000000"/>
                <w:sz w:val="14"/>
              </w:rPr>
              <w:t>权益法下确认的</w:t>
            </w:r>
          </w:p>
        </w:tc>
        <w:tc>
          <w:tcPr>
            <w:tcW w:type="dxa" w:w="1190"/>
            <w:tcBorders>
              <w:bottom w:sz="3.199999999999818" w:val="single" w:color="#000000"/>
            </w:tcBorders>
            <w:tcMar>
              <w:start w:w="0" w:type="dxa"/>
              <w:end w:w="0" w:type="dxa"/>
            </w:tcMar>
          </w:tcPr>
          <w:p>
            <w:pPr>
              <w:autoSpaceDN w:val="0"/>
              <w:autoSpaceDE w:val="0"/>
              <w:widowControl/>
              <w:spacing w:line="140" w:lineRule="exact" w:before="24" w:after="0"/>
              <w:ind w:left="212" w:right="0" w:firstLine="0"/>
              <w:jc w:val="left"/>
            </w:pPr>
            <w:r>
              <w:rPr>
                <w:rFonts w:ascii="黑体" w:hAnsi="黑体" w:eastAsia="黑体"/>
                <w:b w:val="0"/>
                <w:i w:val="0"/>
                <w:color w:val="000000"/>
                <w:sz w:val="14"/>
              </w:rPr>
              <w:t>宣告发放现金股</w:t>
            </w:r>
          </w:p>
        </w:tc>
        <w:tc>
          <w:tcPr>
            <w:tcW w:type="dxa" w:w="1024"/>
            <w:tcBorders>
              <w:bottom w:sz="3.199999999999818" w:val="single" w:color="#000000"/>
            </w:tcBorders>
            <w:tcMar>
              <w:start w:w="0" w:type="dxa"/>
              <w:end w:w="0" w:type="dxa"/>
            </w:tcMar>
          </w:tcPr>
          <w:p/>
        </w:tc>
      </w:tr>
      <w:tr>
        <w:trPr>
          <w:trHeight w:hRule="exact" w:val="182"/>
        </w:trPr>
        <w:tc>
          <w:tcPr>
            <w:tcW w:type="dxa" w:w="700"/>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0" w:firstLine="0"/>
              <w:jc w:val="center"/>
            </w:pPr>
            <w:r>
              <w:rPr>
                <w:rFonts w:ascii="黑体" w:hAnsi="黑体" w:eastAsia="黑体"/>
                <w:b w:val="0"/>
                <w:i w:val="0"/>
                <w:color w:val="000000"/>
                <w:sz w:val="14"/>
              </w:rPr>
              <w:t>被投资单位</w:t>
            </w:r>
          </w:p>
        </w:tc>
        <w:tc>
          <w:tcPr>
            <w:tcW w:type="dxa" w:w="2250"/>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118" w:firstLine="0"/>
              <w:jc w:val="right"/>
            </w:pPr>
            <w:r>
              <w:rPr>
                <w:rFonts w:ascii="黑体" w:hAnsi="黑体" w:eastAsia="黑体"/>
                <w:b w:val="0"/>
                <w:i w:val="0"/>
                <w:color w:val="000000"/>
                <w:sz w:val="14"/>
              </w:rPr>
              <w:t>年初余额</w:t>
            </w:r>
          </w:p>
        </w:tc>
        <w:tc>
          <w:tcPr>
            <w:tcW w:type="dxa" w:w="962"/>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0" w:firstLine="0"/>
              <w:jc w:val="right"/>
            </w:pPr>
            <w:r>
              <w:rPr>
                <w:rFonts w:ascii="黑体" w:hAnsi="黑体" w:eastAsia="黑体"/>
                <w:b w:val="0"/>
                <w:i w:val="0"/>
                <w:color w:val="000000"/>
                <w:sz w:val="14"/>
              </w:rPr>
              <w:t>新增投资</w:t>
            </w:r>
          </w:p>
        </w:tc>
        <w:tc>
          <w:tcPr>
            <w:tcW w:type="dxa" w:w="1136"/>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58" w:firstLine="0"/>
              <w:jc w:val="right"/>
            </w:pPr>
            <w:r>
              <w:rPr>
                <w:rFonts w:ascii="黑体" w:hAnsi="黑体" w:eastAsia="黑体"/>
                <w:b w:val="0"/>
                <w:i w:val="0"/>
                <w:color w:val="000000"/>
                <w:sz w:val="14"/>
              </w:rPr>
              <w:t>减少投资</w:t>
            </w:r>
          </w:p>
        </w:tc>
        <w:tc>
          <w:tcPr>
            <w:tcW w:type="dxa" w:w="1078"/>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2" w:firstLine="0"/>
              <w:jc w:val="right"/>
            </w:pPr>
            <w:r>
              <w:rPr>
                <w:rFonts w:ascii="黑体" w:hAnsi="黑体" w:eastAsia="黑体"/>
                <w:b w:val="0"/>
                <w:i w:val="0"/>
                <w:color w:val="000000"/>
                <w:sz w:val="14"/>
              </w:rPr>
              <w:t>投资收益</w:t>
            </w:r>
          </w:p>
        </w:tc>
        <w:tc>
          <w:tcPr>
            <w:tcW w:type="dxa" w:w="1190"/>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2" w:firstLine="0"/>
              <w:jc w:val="right"/>
            </w:pPr>
            <w:r>
              <w:rPr>
                <w:rFonts w:ascii="黑体" w:hAnsi="黑体" w:eastAsia="黑体"/>
                <w:b w:val="0"/>
                <w:i w:val="0"/>
                <w:color w:val="000000"/>
                <w:sz w:val="14"/>
              </w:rPr>
              <w:t>利或利润</w:t>
            </w:r>
          </w:p>
        </w:tc>
        <w:tc>
          <w:tcPr>
            <w:tcW w:type="dxa" w:w="1024"/>
            <w:tcBorders>
              <w:top w:sz="3.199999999999818" w:val="single" w:color="#000000"/>
              <w:bottom w:sz="3.2000000000000455" w:val="single" w:color="#000000"/>
            </w:tcBorders>
            <w:tcMar>
              <w:start w:w="0" w:type="dxa"/>
              <w:end w:w="0" w:type="dxa"/>
            </w:tcMar>
          </w:tcPr>
          <w:p>
            <w:pPr>
              <w:autoSpaceDN w:val="0"/>
              <w:autoSpaceDE w:val="0"/>
              <w:widowControl/>
              <w:spacing w:line="138" w:lineRule="exact" w:before="32" w:after="0"/>
              <w:ind w:left="0" w:right="4" w:firstLine="0"/>
              <w:jc w:val="right"/>
            </w:pPr>
            <w:r>
              <w:rPr>
                <w:rFonts w:ascii="黑体" w:hAnsi="黑体" w:eastAsia="黑体"/>
                <w:b w:val="0"/>
                <w:i w:val="0"/>
                <w:color w:val="000000"/>
                <w:sz w:val="14"/>
              </w:rPr>
              <w:t>年末余额</w:t>
            </w:r>
          </w:p>
        </w:tc>
      </w:tr>
    </w:tbl>
    <w:p>
      <w:pPr>
        <w:autoSpaceDN w:val="0"/>
        <w:autoSpaceDE w:val="0"/>
        <w:widowControl/>
        <w:spacing w:line="140" w:lineRule="exact" w:before="190" w:after="22"/>
        <w:ind w:left="358" w:right="0" w:firstLine="0"/>
        <w:jc w:val="left"/>
      </w:pPr>
      <w:r>
        <w:rPr>
          <w:rFonts w:ascii="黑体" w:hAnsi="黑体" w:eastAsia="黑体"/>
          <w:b w:val="0"/>
          <w:i w:val="0"/>
          <w:color w:val="000000"/>
          <w:sz w:val="14"/>
        </w:rPr>
        <w:t>杭州龙华股融股权投资基金合</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1920"/>
            <w:tcBorders/>
            <w:tcMar>
              <w:start w:w="0" w:type="dxa"/>
              <w:end w:w="0" w:type="dxa"/>
            </w:tcMar>
          </w:tcPr>
          <w:p>
            <w:pPr>
              <w:autoSpaceDN w:val="0"/>
              <w:autoSpaceDE w:val="0"/>
              <w:widowControl/>
              <w:spacing w:line="140" w:lineRule="exact" w:before="20" w:after="0"/>
              <w:ind w:left="260" w:right="0" w:firstLine="0"/>
              <w:jc w:val="left"/>
            </w:pPr>
            <w:r>
              <w:rPr>
                <w:rFonts w:ascii="黑体" w:hAnsi="黑体" w:eastAsia="黑体"/>
                <w:b w:val="0"/>
                <w:i w:val="0"/>
                <w:color w:val="000000"/>
                <w:sz w:val="14"/>
              </w:rPr>
              <w:t>伙企业（有限合伙）</w:t>
            </w:r>
          </w:p>
        </w:tc>
        <w:tc>
          <w:tcPr>
            <w:tcW w:type="dxa" w:w="1540"/>
            <w:tcBorders/>
            <w:tcMar>
              <w:start w:w="0" w:type="dxa"/>
              <w:end w:w="0" w:type="dxa"/>
            </w:tcMar>
          </w:tcPr>
          <w:p>
            <w:pPr>
              <w:autoSpaceDN w:val="0"/>
              <w:autoSpaceDE w:val="0"/>
              <w:widowControl/>
              <w:spacing w:line="233" w:lineRule="auto" w:before="26" w:after="0"/>
              <w:ind w:left="0" w:right="510" w:firstLine="0"/>
              <w:jc w:val="right"/>
            </w:pPr>
            <w:r>
              <w:rPr>
                <w:rFonts w:ascii="Arial" w:hAnsi="Arial" w:eastAsia="Arial"/>
                <w:b w:val="0"/>
                <w:i w:val="0"/>
                <w:color w:val="000000"/>
                <w:sz w:val="14"/>
              </w:rPr>
              <w:t>8,162,799</w:t>
            </w:r>
          </w:p>
        </w:tc>
        <w:tc>
          <w:tcPr>
            <w:tcW w:type="dxa" w:w="10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920"/>
            <w:tcBorders/>
            <w:tcMar>
              <w:start w:w="0" w:type="dxa"/>
              <w:end w:w="0" w:type="dxa"/>
            </w:tcMar>
          </w:tcPr>
          <w:p>
            <w:pPr>
              <w:autoSpaceDN w:val="0"/>
              <w:autoSpaceDE w:val="0"/>
              <w:widowControl/>
              <w:spacing w:line="233" w:lineRule="auto" w:before="26" w:after="0"/>
              <w:ind w:left="0" w:right="348" w:firstLine="0"/>
              <w:jc w:val="right"/>
            </w:pPr>
            <w:r>
              <w:rPr>
                <w:rFonts w:ascii="Arial" w:hAnsi="Arial" w:eastAsia="Arial"/>
                <w:b w:val="0"/>
                <w:i w:val="0"/>
                <w:color w:val="000000"/>
                <w:sz w:val="14"/>
              </w:rPr>
              <w:t>-</w:t>
            </w:r>
          </w:p>
        </w:tc>
        <w:tc>
          <w:tcPr>
            <w:tcW w:type="dxa" w:w="1340"/>
            <w:tcBorders/>
            <w:tcMar>
              <w:start w:w="0" w:type="dxa"/>
              <w:end w:w="0" w:type="dxa"/>
            </w:tcMar>
          </w:tcPr>
          <w:p>
            <w:pPr>
              <w:autoSpaceDN w:val="0"/>
              <w:autoSpaceDE w:val="0"/>
              <w:widowControl/>
              <w:spacing w:line="233" w:lineRule="auto" w:before="26" w:after="0"/>
              <w:ind w:left="0" w:right="558" w:firstLine="0"/>
              <w:jc w:val="right"/>
            </w:pPr>
            <w:r>
              <w:rPr>
                <w:rFonts w:ascii="Arial" w:hAnsi="Arial" w:eastAsia="Arial"/>
                <w:b w:val="0"/>
                <w:i w:val="0"/>
                <w:color w:val="000000"/>
                <w:sz w:val="14"/>
              </w:rPr>
              <w:t>28,503</w:t>
            </w:r>
          </w:p>
        </w:tc>
        <w:tc>
          <w:tcPr>
            <w:tcW w:type="dxa" w:w="820"/>
            <w:tcBorders/>
            <w:tcMar>
              <w:start w:w="0" w:type="dxa"/>
              <w:end w:w="0" w:type="dxa"/>
            </w:tcMar>
          </w:tcPr>
          <w:p>
            <w:pPr>
              <w:autoSpaceDN w:val="0"/>
              <w:autoSpaceDE w:val="0"/>
              <w:widowControl/>
              <w:spacing w:line="233" w:lineRule="auto" w:before="26" w:after="0"/>
              <w:ind w:left="0" w:right="184" w:firstLine="0"/>
              <w:jc w:val="right"/>
            </w:pPr>
            <w:r>
              <w:rPr>
                <w:rFonts w:ascii="Arial" w:hAnsi="Arial" w:eastAsia="Arial"/>
                <w:b w:val="0"/>
                <w:i w:val="0"/>
                <w:color w:val="000000"/>
                <w:sz w:val="14"/>
              </w:rPr>
              <w:t>-</w:t>
            </w:r>
          </w:p>
        </w:tc>
        <w:tc>
          <w:tcPr>
            <w:tcW w:type="dxa" w:w="9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8,191,302</w:t>
            </w:r>
          </w:p>
        </w:tc>
      </w:tr>
    </w:tbl>
    <w:p>
      <w:pPr>
        <w:autoSpaceDN w:val="0"/>
        <w:autoSpaceDE w:val="0"/>
        <w:widowControl/>
        <w:spacing w:line="140" w:lineRule="exact" w:before="10" w:after="20"/>
        <w:ind w:left="358" w:right="0" w:firstLine="0"/>
        <w:jc w:val="left"/>
      </w:pPr>
      <w:r>
        <w:rPr>
          <w:rFonts w:ascii="黑体" w:hAnsi="黑体" w:eastAsia="黑体"/>
          <w:b w:val="0"/>
          <w:i w:val="0"/>
          <w:color w:val="000000"/>
          <w:sz w:val="14"/>
        </w:rPr>
        <w:t>山西国投创新绿色能源股权投</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202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 xml:space="preserve">资合伙企业（有限合伙) </w:t>
            </w:r>
          </w:p>
        </w:tc>
        <w:tc>
          <w:tcPr>
            <w:tcW w:type="dxa" w:w="1440"/>
            <w:tcBorders/>
            <w:tcMar>
              <w:start w:w="0" w:type="dxa"/>
              <w:end w:w="0" w:type="dxa"/>
            </w:tcMar>
          </w:tcPr>
          <w:p>
            <w:pPr>
              <w:autoSpaceDN w:val="0"/>
              <w:autoSpaceDE w:val="0"/>
              <w:widowControl/>
              <w:spacing w:line="233" w:lineRule="auto" w:before="26" w:after="0"/>
              <w:ind w:left="232" w:right="0" w:firstLine="0"/>
              <w:jc w:val="left"/>
            </w:pPr>
            <w:r>
              <w:rPr>
                <w:rFonts w:ascii="Arial" w:hAnsi="Arial" w:eastAsia="Arial"/>
                <w:b w:val="0"/>
                <w:i w:val="0"/>
                <w:color w:val="000000"/>
                <w:sz w:val="14"/>
              </w:rPr>
              <w:t>68,119,296</w:t>
            </w:r>
          </w:p>
        </w:tc>
        <w:tc>
          <w:tcPr>
            <w:tcW w:type="dxa" w:w="10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820"/>
            <w:tcBorders/>
            <w:tcMar>
              <w:start w:w="0" w:type="dxa"/>
              <w:end w:w="0" w:type="dxa"/>
            </w:tcMar>
          </w:tcPr>
          <w:p>
            <w:pPr>
              <w:autoSpaceDN w:val="0"/>
              <w:autoSpaceDE w:val="0"/>
              <w:widowControl/>
              <w:spacing w:line="233" w:lineRule="auto" w:before="26" w:after="0"/>
              <w:ind w:left="0" w:right="248" w:firstLine="0"/>
              <w:jc w:val="right"/>
            </w:pPr>
            <w:r>
              <w:rPr>
                <w:rFonts w:ascii="Arial" w:hAnsi="Arial" w:eastAsia="Arial"/>
                <w:b w:val="0"/>
                <w:i w:val="0"/>
                <w:color w:val="000000"/>
                <w:sz w:val="14"/>
              </w:rPr>
              <w:t>-</w:t>
            </w:r>
          </w:p>
        </w:tc>
        <w:tc>
          <w:tcPr>
            <w:tcW w:type="dxa" w:w="1440"/>
            <w:tcBorders/>
            <w:tcMar>
              <w:start w:w="0" w:type="dxa"/>
              <w:end w:w="0" w:type="dxa"/>
            </w:tcMar>
          </w:tcPr>
          <w:p>
            <w:pPr>
              <w:autoSpaceDN w:val="0"/>
              <w:autoSpaceDE w:val="0"/>
              <w:widowControl/>
              <w:spacing w:line="233" w:lineRule="auto" w:before="26" w:after="0"/>
              <w:ind w:left="260" w:right="0" w:firstLine="0"/>
              <w:jc w:val="left"/>
            </w:pPr>
            <w:r>
              <w:rPr>
                <w:rFonts w:ascii="Arial" w:hAnsi="Arial" w:eastAsia="Arial"/>
                <w:b w:val="0"/>
                <w:i w:val="0"/>
                <w:color w:val="000000"/>
                <w:sz w:val="14"/>
              </w:rPr>
              <w:t>3,955,659</w:t>
            </w:r>
          </w:p>
        </w:tc>
        <w:tc>
          <w:tcPr>
            <w:tcW w:type="dxa" w:w="780"/>
            <w:tcBorders/>
            <w:tcMar>
              <w:start w:w="0" w:type="dxa"/>
              <w:end w:w="0" w:type="dxa"/>
            </w:tcMar>
          </w:tcPr>
          <w:p>
            <w:pPr>
              <w:autoSpaceDN w:val="0"/>
              <w:autoSpaceDE w:val="0"/>
              <w:widowControl/>
              <w:spacing w:line="233"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72,074,955</w:t>
            </w:r>
          </w:p>
        </w:tc>
      </w:tr>
    </w:tbl>
    <w:p>
      <w:pPr>
        <w:autoSpaceDN w:val="0"/>
        <w:autoSpaceDE w:val="0"/>
        <w:widowControl/>
        <w:spacing w:line="140" w:lineRule="exact" w:before="12" w:after="20"/>
        <w:ind w:left="358" w:right="0" w:firstLine="0"/>
        <w:jc w:val="left"/>
      </w:pPr>
      <w:r>
        <w:rPr>
          <w:rFonts w:ascii="黑体" w:hAnsi="黑体" w:eastAsia="黑体"/>
          <w:b w:val="0"/>
          <w:i w:val="0"/>
          <w:color w:val="000000"/>
          <w:sz w:val="14"/>
        </w:rPr>
        <w:t>山西交通产业基金合伙企业</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1700"/>
            <w:tcBorders/>
            <w:tcMar>
              <w:start w:w="0" w:type="dxa"/>
              <w:end w:w="0" w:type="dxa"/>
            </w:tcMar>
          </w:tcPr>
          <w:p>
            <w:pPr>
              <w:autoSpaceDN w:val="0"/>
              <w:autoSpaceDE w:val="0"/>
              <w:widowControl/>
              <w:spacing w:line="140" w:lineRule="exact" w:before="22" w:after="0"/>
              <w:ind w:left="260" w:right="0" w:firstLine="0"/>
              <w:jc w:val="left"/>
            </w:pPr>
            <w:r>
              <w:rPr>
                <w:rFonts w:ascii="黑体" w:hAnsi="黑体" w:eastAsia="黑体"/>
                <w:b w:val="0"/>
                <w:i w:val="0"/>
                <w:color w:val="000000"/>
                <w:sz w:val="14"/>
              </w:rPr>
              <w:t xml:space="preserve">（有限合伙） </w:t>
            </w:r>
          </w:p>
        </w:tc>
        <w:tc>
          <w:tcPr>
            <w:tcW w:type="dxa" w:w="176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70,663,805</w:t>
            </w:r>
          </w:p>
        </w:tc>
        <w:tc>
          <w:tcPr>
            <w:tcW w:type="dxa" w:w="720"/>
            <w:tcBorders/>
            <w:tcMar>
              <w:start w:w="0" w:type="dxa"/>
              <w:end w:w="0" w:type="dxa"/>
            </w:tcMar>
          </w:tcPr>
          <w:p>
            <w:pPr>
              <w:autoSpaceDN w:val="0"/>
              <w:autoSpaceDE w:val="0"/>
              <w:widowControl/>
              <w:spacing w:line="230" w:lineRule="auto" w:before="26" w:after="0"/>
              <w:ind w:left="0" w:right="146" w:firstLine="0"/>
              <w:jc w:val="right"/>
            </w:pPr>
            <w:r>
              <w:rPr>
                <w:rFonts w:ascii="Arial" w:hAnsi="Arial" w:eastAsia="Arial"/>
                <w:b w:val="0"/>
                <w:i w:val="0"/>
                <w:color w:val="000000"/>
                <w:sz w:val="14"/>
              </w:rPr>
              <w:t>-</w:t>
            </w:r>
          </w:p>
        </w:tc>
        <w:tc>
          <w:tcPr>
            <w:tcW w:type="dxa" w:w="1280"/>
            <w:tcBorders/>
            <w:tcMar>
              <w:start w:w="0" w:type="dxa"/>
              <w:end w:w="0" w:type="dxa"/>
            </w:tcMar>
          </w:tcPr>
          <w:p>
            <w:pPr>
              <w:autoSpaceDN w:val="0"/>
              <w:autoSpaceDE w:val="0"/>
              <w:widowControl/>
              <w:spacing w:line="230" w:lineRule="auto" w:before="26" w:after="0"/>
              <w:ind w:left="184" w:right="0" w:firstLine="0"/>
              <w:jc w:val="left"/>
            </w:pPr>
            <w:r>
              <w:rPr>
                <w:rFonts w:ascii="Arial" w:hAnsi="Arial" w:eastAsia="Arial"/>
                <w:b w:val="0"/>
                <w:i w:val="0"/>
                <w:color w:val="000000"/>
                <w:sz w:val="14"/>
              </w:rPr>
              <w:t xml:space="preserve">(15,220,000) </w:t>
            </w:r>
          </w:p>
        </w:tc>
        <w:tc>
          <w:tcPr>
            <w:tcW w:type="dxa" w:w="1340"/>
            <w:tcBorders/>
            <w:tcMar>
              <w:start w:w="0" w:type="dxa"/>
              <w:end w:w="0" w:type="dxa"/>
            </w:tcMar>
          </w:tcPr>
          <w:p>
            <w:pPr>
              <w:autoSpaceDN w:val="0"/>
              <w:autoSpaceDE w:val="0"/>
              <w:widowControl/>
              <w:spacing w:line="230" w:lineRule="auto" w:before="26" w:after="0"/>
              <w:ind w:left="278" w:right="0" w:firstLine="0"/>
              <w:jc w:val="left"/>
            </w:pPr>
            <w:r>
              <w:rPr>
                <w:rFonts w:ascii="Arial" w:hAnsi="Arial" w:eastAsia="Arial"/>
                <w:b w:val="0"/>
                <w:i w:val="0"/>
                <w:color w:val="000000"/>
                <w:sz w:val="14"/>
              </w:rPr>
              <w:t>288,781</w:t>
            </w:r>
          </w:p>
        </w:tc>
        <w:tc>
          <w:tcPr>
            <w:tcW w:type="dxa" w:w="780"/>
            <w:tcBorders/>
            <w:tcMar>
              <w:start w:w="0" w:type="dxa"/>
              <w:end w:w="0" w:type="dxa"/>
            </w:tcMar>
          </w:tcPr>
          <w:p>
            <w:pPr>
              <w:autoSpaceDN w:val="0"/>
              <w:autoSpaceDE w:val="0"/>
              <w:widowControl/>
              <w:spacing w:line="230"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55,732,586</w:t>
            </w:r>
          </w:p>
        </w:tc>
      </w:tr>
    </w:tbl>
    <w:p>
      <w:pPr>
        <w:autoSpaceDN w:val="0"/>
        <w:autoSpaceDE w:val="0"/>
        <w:widowControl/>
        <w:spacing w:line="140" w:lineRule="exact" w:before="10" w:after="22"/>
        <w:ind w:left="358" w:right="0" w:firstLine="0"/>
        <w:jc w:val="left"/>
      </w:pPr>
      <w:r>
        <w:rPr>
          <w:rFonts w:ascii="黑体" w:hAnsi="黑体" w:eastAsia="黑体"/>
          <w:b w:val="0"/>
          <w:i w:val="0"/>
          <w:color w:val="000000"/>
          <w:sz w:val="14"/>
        </w:rPr>
        <w:t>山西太行煤成气产业投资基金</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4"/>
        </w:trPr>
        <w:tc>
          <w:tcPr>
            <w:tcW w:type="dxa" w:w="198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 xml:space="preserve">合伙企业（有限合伙） </w:t>
            </w:r>
          </w:p>
        </w:tc>
        <w:tc>
          <w:tcPr>
            <w:tcW w:type="dxa" w:w="1480"/>
            <w:tcBorders/>
            <w:tcMar>
              <w:start w:w="0" w:type="dxa"/>
              <w:end w:w="0" w:type="dxa"/>
            </w:tcMar>
          </w:tcPr>
          <w:p>
            <w:pPr>
              <w:autoSpaceDN w:val="0"/>
              <w:autoSpaceDE w:val="0"/>
              <w:widowControl/>
              <w:spacing w:line="233" w:lineRule="auto" w:before="26" w:after="0"/>
              <w:ind w:left="272" w:right="0" w:firstLine="0"/>
              <w:jc w:val="left"/>
            </w:pPr>
            <w:r>
              <w:rPr>
                <w:rFonts w:ascii="Arial" w:hAnsi="Arial" w:eastAsia="Arial"/>
                <w:b w:val="0"/>
                <w:i w:val="0"/>
                <w:color w:val="000000"/>
                <w:sz w:val="14"/>
              </w:rPr>
              <w:t>16,752,971</w:t>
            </w:r>
          </w:p>
        </w:tc>
        <w:tc>
          <w:tcPr>
            <w:tcW w:type="dxa" w:w="10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900"/>
            <w:tcBorders/>
            <w:tcMar>
              <w:start w:w="0" w:type="dxa"/>
              <w:end w:w="0" w:type="dxa"/>
            </w:tcMar>
          </w:tcPr>
          <w:p>
            <w:pPr>
              <w:autoSpaceDN w:val="0"/>
              <w:autoSpaceDE w:val="0"/>
              <w:widowControl/>
              <w:spacing w:line="233" w:lineRule="auto" w:before="26" w:after="0"/>
              <w:ind w:left="0" w:right="328" w:firstLine="0"/>
              <w:jc w:val="right"/>
            </w:pPr>
            <w:r>
              <w:rPr>
                <w:rFonts w:ascii="Arial" w:hAnsi="Arial" w:eastAsia="Arial"/>
                <w:b w:val="0"/>
                <w:i w:val="0"/>
                <w:color w:val="000000"/>
                <w:sz w:val="14"/>
              </w:rPr>
              <w:t>-</w:t>
            </w:r>
          </w:p>
        </w:tc>
        <w:tc>
          <w:tcPr>
            <w:tcW w:type="dxa" w:w="1400"/>
            <w:tcBorders/>
            <w:tcMar>
              <w:start w:w="0" w:type="dxa"/>
              <w:end w:w="0" w:type="dxa"/>
            </w:tcMar>
          </w:tcPr>
          <w:p>
            <w:pPr>
              <w:autoSpaceDN w:val="0"/>
              <w:autoSpaceDE w:val="0"/>
              <w:widowControl/>
              <w:spacing w:line="233" w:lineRule="auto" w:before="26" w:after="0"/>
              <w:ind w:left="328" w:right="0" w:firstLine="0"/>
              <w:jc w:val="left"/>
            </w:pPr>
            <w:r>
              <w:rPr>
                <w:rFonts w:ascii="Arial" w:hAnsi="Arial" w:eastAsia="Arial"/>
                <w:b w:val="0"/>
                <w:i w:val="0"/>
                <w:color w:val="000000"/>
                <w:sz w:val="14"/>
              </w:rPr>
              <w:t xml:space="preserve">(36,860) </w:t>
            </w:r>
          </w:p>
        </w:tc>
        <w:tc>
          <w:tcPr>
            <w:tcW w:type="dxa" w:w="740"/>
            <w:tcBorders/>
            <w:tcMar>
              <w:start w:w="0" w:type="dxa"/>
              <w:end w:w="0" w:type="dxa"/>
            </w:tcMar>
          </w:tcPr>
          <w:p>
            <w:pPr>
              <w:autoSpaceDN w:val="0"/>
              <w:autoSpaceDE w:val="0"/>
              <w:widowControl/>
              <w:spacing w:line="233"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16,716,111</w:t>
            </w:r>
          </w:p>
        </w:tc>
      </w:tr>
    </w:tbl>
    <w:p>
      <w:pPr>
        <w:autoSpaceDN w:val="0"/>
        <w:autoSpaceDE w:val="0"/>
        <w:widowControl/>
        <w:spacing w:line="138" w:lineRule="exact" w:before="10" w:after="22"/>
        <w:ind w:left="358" w:right="0" w:firstLine="0"/>
        <w:jc w:val="left"/>
      </w:pPr>
      <w:r>
        <w:rPr>
          <w:rFonts w:ascii="黑体" w:hAnsi="黑体" w:eastAsia="黑体"/>
          <w:b w:val="0"/>
          <w:i w:val="0"/>
          <w:color w:val="000000"/>
          <w:sz w:val="14"/>
        </w:rPr>
        <w:t>山西信创引导私募股权投资基</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0"/>
        </w:trPr>
        <w:tc>
          <w:tcPr>
            <w:tcW w:type="dxa" w:w="2060"/>
            <w:tcBorders/>
            <w:tcMar>
              <w:start w:w="0" w:type="dxa"/>
              <w:end w:w="0" w:type="dxa"/>
            </w:tcMar>
          </w:tcPr>
          <w:p>
            <w:pPr>
              <w:autoSpaceDN w:val="0"/>
              <w:autoSpaceDE w:val="0"/>
              <w:widowControl/>
              <w:spacing w:line="138" w:lineRule="exact" w:before="20" w:after="0"/>
              <w:ind w:left="0" w:right="0" w:firstLine="0"/>
              <w:jc w:val="center"/>
            </w:pPr>
            <w:r>
              <w:rPr>
                <w:rFonts w:ascii="黑体" w:hAnsi="黑体" w:eastAsia="黑体"/>
                <w:b w:val="0"/>
                <w:i w:val="0"/>
                <w:color w:val="000000"/>
                <w:sz w:val="14"/>
              </w:rPr>
              <w:t xml:space="preserve">金合伙企业（有限合伙） </w:t>
            </w:r>
          </w:p>
        </w:tc>
        <w:tc>
          <w:tcPr>
            <w:tcW w:type="dxa" w:w="1400"/>
            <w:tcBorders/>
            <w:tcMar>
              <w:start w:w="0" w:type="dxa"/>
              <w:end w:w="0" w:type="dxa"/>
            </w:tcMar>
          </w:tcPr>
          <w:p>
            <w:pPr>
              <w:autoSpaceDN w:val="0"/>
              <w:autoSpaceDE w:val="0"/>
              <w:widowControl/>
              <w:spacing w:line="233" w:lineRule="auto" w:before="24" w:after="0"/>
              <w:ind w:left="192" w:right="0" w:firstLine="0"/>
              <w:jc w:val="left"/>
            </w:pPr>
            <w:r>
              <w:rPr>
                <w:rFonts w:ascii="Arial" w:hAnsi="Arial" w:eastAsia="Arial"/>
                <w:b w:val="0"/>
                <w:i w:val="0"/>
                <w:color w:val="000000"/>
                <w:sz w:val="14"/>
              </w:rPr>
              <w:t>43,331,910</w:t>
            </w:r>
          </w:p>
        </w:tc>
        <w:tc>
          <w:tcPr>
            <w:tcW w:type="dxa" w:w="108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820"/>
            <w:tcBorders/>
            <w:tcMar>
              <w:start w:w="0" w:type="dxa"/>
              <w:end w:w="0" w:type="dxa"/>
            </w:tcMar>
          </w:tcPr>
          <w:p>
            <w:pPr>
              <w:autoSpaceDN w:val="0"/>
              <w:autoSpaceDE w:val="0"/>
              <w:widowControl/>
              <w:spacing w:line="233" w:lineRule="auto" w:before="24" w:after="0"/>
              <w:ind w:left="0" w:right="248" w:firstLine="0"/>
              <w:jc w:val="right"/>
            </w:pPr>
            <w:r>
              <w:rPr>
                <w:rFonts w:ascii="Arial" w:hAnsi="Arial" w:eastAsia="Arial"/>
                <w:b w:val="0"/>
                <w:i w:val="0"/>
                <w:color w:val="000000"/>
                <w:sz w:val="14"/>
              </w:rPr>
              <w:t>-</w:t>
            </w:r>
          </w:p>
        </w:tc>
        <w:tc>
          <w:tcPr>
            <w:tcW w:type="dxa" w:w="1440"/>
            <w:tcBorders/>
            <w:tcMar>
              <w:start w:w="0" w:type="dxa"/>
              <w:end w:w="0" w:type="dxa"/>
            </w:tcMar>
          </w:tcPr>
          <w:p>
            <w:pPr>
              <w:autoSpaceDN w:val="0"/>
              <w:autoSpaceDE w:val="0"/>
              <w:widowControl/>
              <w:spacing w:line="233" w:lineRule="auto" w:before="24" w:after="0"/>
              <w:ind w:left="260" w:right="0" w:firstLine="0"/>
              <w:jc w:val="left"/>
            </w:pPr>
            <w:r>
              <w:rPr>
                <w:rFonts w:ascii="Arial" w:hAnsi="Arial" w:eastAsia="Arial"/>
                <w:b w:val="0"/>
                <w:i w:val="0"/>
                <w:color w:val="000000"/>
                <w:sz w:val="14"/>
              </w:rPr>
              <w:t>1,640,431</w:t>
            </w:r>
          </w:p>
        </w:tc>
        <w:tc>
          <w:tcPr>
            <w:tcW w:type="dxa" w:w="780"/>
            <w:tcBorders/>
            <w:tcMar>
              <w:start w:w="0" w:type="dxa"/>
              <w:end w:w="0" w:type="dxa"/>
            </w:tcMar>
          </w:tcPr>
          <w:p>
            <w:pPr>
              <w:autoSpaceDN w:val="0"/>
              <w:autoSpaceDE w:val="0"/>
              <w:widowControl/>
              <w:spacing w:line="233" w:lineRule="auto" w:before="24"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44,972,341</w:t>
            </w:r>
          </w:p>
        </w:tc>
      </w:tr>
    </w:tbl>
    <w:p>
      <w:pPr>
        <w:autoSpaceDN w:val="0"/>
        <w:autoSpaceDE w:val="0"/>
        <w:widowControl/>
        <w:spacing w:line="138" w:lineRule="exact" w:before="12" w:after="22"/>
        <w:ind w:left="358" w:right="0" w:firstLine="0"/>
        <w:jc w:val="left"/>
      </w:pPr>
      <w:r>
        <w:rPr>
          <w:rFonts w:ascii="黑体" w:hAnsi="黑体" w:eastAsia="黑体"/>
          <w:b w:val="0"/>
          <w:i w:val="0"/>
          <w:color w:val="000000"/>
          <w:sz w:val="14"/>
        </w:rPr>
        <w:t>扬州山证启航股权投资合伙企</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0"/>
        </w:trPr>
        <w:tc>
          <w:tcPr>
            <w:tcW w:type="dxa" w:w="1780"/>
            <w:tcBorders/>
            <w:tcMar>
              <w:start w:w="0" w:type="dxa"/>
              <w:end w:w="0" w:type="dxa"/>
            </w:tcMar>
          </w:tcPr>
          <w:p>
            <w:pPr>
              <w:autoSpaceDN w:val="0"/>
              <w:autoSpaceDE w:val="0"/>
              <w:widowControl/>
              <w:spacing w:line="140" w:lineRule="exact" w:before="22" w:after="0"/>
              <w:ind w:left="260" w:right="0" w:firstLine="0"/>
              <w:jc w:val="left"/>
            </w:pPr>
            <w:r>
              <w:rPr>
                <w:rFonts w:ascii="黑体" w:hAnsi="黑体" w:eastAsia="黑体"/>
                <w:b w:val="0"/>
                <w:i w:val="0"/>
                <w:color w:val="000000"/>
                <w:sz w:val="14"/>
              </w:rPr>
              <w:t xml:space="preserve">业（有限合伙） </w:t>
            </w:r>
          </w:p>
        </w:tc>
        <w:tc>
          <w:tcPr>
            <w:tcW w:type="dxa" w:w="168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63,326,439</w:t>
            </w:r>
          </w:p>
        </w:tc>
        <w:tc>
          <w:tcPr>
            <w:tcW w:type="dxa" w:w="108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w:t>
            </w:r>
          </w:p>
        </w:tc>
        <w:tc>
          <w:tcPr>
            <w:tcW w:type="dxa" w:w="820"/>
            <w:tcBorders/>
            <w:tcMar>
              <w:start w:w="0" w:type="dxa"/>
              <w:end w:w="0" w:type="dxa"/>
            </w:tcMar>
          </w:tcPr>
          <w:p>
            <w:pPr>
              <w:autoSpaceDN w:val="0"/>
              <w:autoSpaceDE w:val="0"/>
              <w:widowControl/>
              <w:spacing w:line="230" w:lineRule="auto" w:before="26" w:after="0"/>
              <w:ind w:left="0" w:right="248" w:firstLine="0"/>
              <w:jc w:val="right"/>
            </w:pPr>
            <w:r>
              <w:rPr>
                <w:rFonts w:ascii="Arial" w:hAnsi="Arial" w:eastAsia="Arial"/>
                <w:b w:val="0"/>
                <w:i w:val="0"/>
                <w:color w:val="000000"/>
                <w:sz w:val="14"/>
              </w:rPr>
              <w:t>-</w:t>
            </w:r>
          </w:p>
        </w:tc>
        <w:tc>
          <w:tcPr>
            <w:tcW w:type="dxa" w:w="1440"/>
            <w:tcBorders/>
            <w:tcMar>
              <w:start w:w="0" w:type="dxa"/>
              <w:end w:w="0" w:type="dxa"/>
            </w:tcMar>
          </w:tcPr>
          <w:p>
            <w:pPr>
              <w:autoSpaceDN w:val="0"/>
              <w:autoSpaceDE w:val="0"/>
              <w:widowControl/>
              <w:spacing w:line="230" w:lineRule="auto" w:before="26" w:after="0"/>
              <w:ind w:left="260" w:right="0" w:firstLine="0"/>
              <w:jc w:val="left"/>
            </w:pPr>
            <w:r>
              <w:rPr>
                <w:rFonts w:ascii="Arial" w:hAnsi="Arial" w:eastAsia="Arial"/>
                <w:b w:val="0"/>
                <w:i w:val="0"/>
                <w:color w:val="000000"/>
                <w:sz w:val="14"/>
              </w:rPr>
              <w:t>4,515,790</w:t>
            </w:r>
          </w:p>
        </w:tc>
        <w:tc>
          <w:tcPr>
            <w:tcW w:type="dxa" w:w="780"/>
            <w:tcBorders/>
            <w:tcMar>
              <w:start w:w="0" w:type="dxa"/>
              <w:end w:w="0" w:type="dxa"/>
            </w:tcMar>
          </w:tcPr>
          <w:p>
            <w:pPr>
              <w:autoSpaceDN w:val="0"/>
              <w:autoSpaceDE w:val="0"/>
              <w:widowControl/>
              <w:spacing w:line="230"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67,842,229</w:t>
            </w:r>
          </w:p>
        </w:tc>
      </w:tr>
    </w:tbl>
    <w:p>
      <w:pPr>
        <w:autoSpaceDN w:val="0"/>
        <w:autoSpaceDE w:val="0"/>
        <w:widowControl/>
        <w:spacing w:line="140" w:lineRule="exact" w:before="12" w:after="22"/>
        <w:ind w:left="358" w:right="0" w:firstLine="0"/>
        <w:jc w:val="left"/>
      </w:pPr>
      <w:r>
        <w:rPr>
          <w:rFonts w:ascii="黑体" w:hAnsi="黑体" w:eastAsia="黑体"/>
          <w:b w:val="0"/>
          <w:i w:val="0"/>
          <w:color w:val="000000"/>
          <w:sz w:val="14"/>
        </w:rPr>
        <w:t>共青城山证通奥启航股权投资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198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 xml:space="preserve">合伙企业（有限合伙） </w:t>
            </w:r>
          </w:p>
        </w:tc>
        <w:tc>
          <w:tcPr>
            <w:tcW w:type="dxa" w:w="1480"/>
            <w:tcBorders/>
            <w:tcMar>
              <w:start w:w="0" w:type="dxa"/>
              <w:end w:w="0" w:type="dxa"/>
            </w:tcMar>
          </w:tcPr>
          <w:p>
            <w:pPr>
              <w:autoSpaceDN w:val="0"/>
              <w:autoSpaceDE w:val="0"/>
              <w:widowControl/>
              <w:spacing w:line="233" w:lineRule="auto" w:before="26" w:after="0"/>
              <w:ind w:left="272" w:right="0" w:firstLine="0"/>
              <w:jc w:val="left"/>
            </w:pPr>
            <w:r>
              <w:rPr>
                <w:rFonts w:ascii="Arial" w:hAnsi="Arial" w:eastAsia="Arial"/>
                <w:b w:val="0"/>
                <w:i w:val="0"/>
                <w:color w:val="000000"/>
                <w:sz w:val="14"/>
              </w:rPr>
              <w:t>20,399,682</w:t>
            </w:r>
          </w:p>
        </w:tc>
        <w:tc>
          <w:tcPr>
            <w:tcW w:type="dxa" w:w="720"/>
            <w:tcBorders/>
            <w:tcMar>
              <w:start w:w="0" w:type="dxa"/>
              <w:end w:w="0" w:type="dxa"/>
            </w:tcMar>
          </w:tcPr>
          <w:p>
            <w:pPr>
              <w:autoSpaceDN w:val="0"/>
              <w:autoSpaceDE w:val="0"/>
              <w:widowControl/>
              <w:spacing w:line="233" w:lineRule="auto" w:before="26" w:after="0"/>
              <w:ind w:left="0" w:right="146" w:firstLine="0"/>
              <w:jc w:val="right"/>
            </w:pPr>
            <w:r>
              <w:rPr>
                <w:rFonts w:ascii="Arial" w:hAnsi="Arial" w:eastAsia="Arial"/>
                <w:b w:val="0"/>
                <w:i w:val="0"/>
                <w:color w:val="000000"/>
                <w:sz w:val="14"/>
              </w:rPr>
              <w:t>-</w:t>
            </w:r>
          </w:p>
        </w:tc>
        <w:tc>
          <w:tcPr>
            <w:tcW w:type="dxa" w:w="1500"/>
            <w:tcBorders/>
            <w:tcMar>
              <w:start w:w="0" w:type="dxa"/>
              <w:end w:w="0" w:type="dxa"/>
            </w:tcMar>
          </w:tcPr>
          <w:p>
            <w:pPr>
              <w:autoSpaceDN w:val="0"/>
              <w:autoSpaceDE w:val="0"/>
              <w:widowControl/>
              <w:spacing w:line="233" w:lineRule="auto" w:before="26" w:after="0"/>
              <w:ind w:left="184" w:right="0" w:firstLine="0"/>
              <w:jc w:val="left"/>
            </w:pPr>
            <w:r>
              <w:rPr>
                <w:rFonts w:ascii="Arial" w:hAnsi="Arial" w:eastAsia="Arial"/>
                <w:b w:val="0"/>
                <w:i w:val="0"/>
                <w:color w:val="000000"/>
                <w:sz w:val="14"/>
              </w:rPr>
              <w:t xml:space="preserve">(20,399,682) </w:t>
            </w:r>
          </w:p>
        </w:tc>
        <w:tc>
          <w:tcPr>
            <w:tcW w:type="dxa" w:w="11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1120"/>
            <w:tcBorders/>
            <w:tcMar>
              <w:start w:w="0" w:type="dxa"/>
              <w:end w:w="0" w:type="dxa"/>
            </w:tcMar>
          </w:tcPr>
          <w:p>
            <w:pPr>
              <w:autoSpaceDN w:val="0"/>
              <w:autoSpaceDE w:val="0"/>
              <w:widowControl/>
              <w:spacing w:line="233" w:lineRule="auto" w:before="26" w:after="0"/>
              <w:ind w:left="0" w:right="484" w:firstLine="0"/>
              <w:jc w:val="right"/>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26" w:after="0"/>
              <w:ind w:left="0" w:right="142" w:firstLine="0"/>
              <w:jc w:val="right"/>
            </w:pPr>
            <w:r>
              <w:rPr>
                <w:rFonts w:ascii="Arial" w:hAnsi="Arial" w:eastAsia="Arial"/>
                <w:b w:val="0"/>
                <w:i w:val="0"/>
                <w:color w:val="000000"/>
                <w:sz w:val="14"/>
              </w:rPr>
              <w:t>-</w:t>
            </w:r>
          </w:p>
        </w:tc>
      </w:tr>
    </w:tbl>
    <w:p>
      <w:pPr>
        <w:autoSpaceDN w:val="0"/>
        <w:autoSpaceDE w:val="0"/>
        <w:widowControl/>
        <w:spacing w:line="140" w:lineRule="exact" w:before="10" w:after="20"/>
        <w:ind w:left="358" w:right="0" w:firstLine="0"/>
        <w:jc w:val="left"/>
      </w:pPr>
      <w:r>
        <w:rPr>
          <w:rFonts w:ascii="黑体" w:hAnsi="黑体" w:eastAsia="黑体"/>
          <w:b w:val="0"/>
          <w:i w:val="0"/>
          <w:color w:val="000000"/>
          <w:sz w:val="14"/>
        </w:rPr>
        <w:t>山西上市倍增私募股权投资基</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208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 xml:space="preserve">金合伙企业（有限合伙） </w:t>
            </w:r>
          </w:p>
        </w:tc>
        <w:tc>
          <w:tcPr>
            <w:tcW w:type="dxa" w:w="1380"/>
            <w:tcBorders/>
            <w:tcMar>
              <w:start w:w="0" w:type="dxa"/>
              <w:end w:w="0" w:type="dxa"/>
            </w:tcMar>
          </w:tcPr>
          <w:p>
            <w:pPr>
              <w:autoSpaceDN w:val="0"/>
              <w:autoSpaceDE w:val="0"/>
              <w:widowControl/>
              <w:spacing w:line="233" w:lineRule="auto" w:before="26" w:after="0"/>
              <w:ind w:left="248" w:right="0" w:firstLine="0"/>
              <w:jc w:val="left"/>
            </w:pPr>
            <w:r>
              <w:rPr>
                <w:rFonts w:ascii="Arial" w:hAnsi="Arial" w:eastAsia="Arial"/>
                <w:b w:val="0"/>
                <w:i w:val="0"/>
                <w:color w:val="000000"/>
                <w:sz w:val="14"/>
              </w:rPr>
              <w:t>1,111,085</w:t>
            </w:r>
          </w:p>
        </w:tc>
        <w:tc>
          <w:tcPr>
            <w:tcW w:type="dxa" w:w="10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920"/>
            <w:tcBorders/>
            <w:tcMar>
              <w:start w:w="0" w:type="dxa"/>
              <w:end w:w="0" w:type="dxa"/>
            </w:tcMar>
          </w:tcPr>
          <w:p>
            <w:pPr>
              <w:autoSpaceDN w:val="0"/>
              <w:autoSpaceDE w:val="0"/>
              <w:widowControl/>
              <w:spacing w:line="233" w:lineRule="auto" w:before="26" w:after="0"/>
              <w:ind w:left="0" w:right="348" w:firstLine="0"/>
              <w:jc w:val="right"/>
            </w:pPr>
            <w:r>
              <w:rPr>
                <w:rFonts w:ascii="Arial" w:hAnsi="Arial" w:eastAsia="Arial"/>
                <w:b w:val="0"/>
                <w:i w:val="0"/>
                <w:color w:val="000000"/>
                <w:sz w:val="14"/>
              </w:rPr>
              <w:t>-</w:t>
            </w:r>
          </w:p>
        </w:tc>
        <w:tc>
          <w:tcPr>
            <w:tcW w:type="dxa" w:w="1340"/>
            <w:tcBorders/>
            <w:tcMar>
              <w:start w:w="0" w:type="dxa"/>
              <w:end w:w="0" w:type="dxa"/>
            </w:tcMar>
          </w:tcPr>
          <w:p>
            <w:pPr>
              <w:autoSpaceDN w:val="0"/>
              <w:autoSpaceDE w:val="0"/>
              <w:widowControl/>
              <w:spacing w:line="233" w:lineRule="auto" w:before="26" w:after="0"/>
              <w:ind w:left="0" w:right="558" w:firstLine="0"/>
              <w:jc w:val="right"/>
            </w:pPr>
            <w:r>
              <w:rPr>
                <w:rFonts w:ascii="Arial" w:hAnsi="Arial" w:eastAsia="Arial"/>
                <w:b w:val="0"/>
                <w:i w:val="0"/>
                <w:color w:val="000000"/>
                <w:sz w:val="14"/>
              </w:rPr>
              <w:t>61,870</w:t>
            </w:r>
          </w:p>
        </w:tc>
        <w:tc>
          <w:tcPr>
            <w:tcW w:type="dxa" w:w="820"/>
            <w:tcBorders/>
            <w:tcMar>
              <w:start w:w="0" w:type="dxa"/>
              <w:end w:w="0" w:type="dxa"/>
            </w:tcMar>
          </w:tcPr>
          <w:p>
            <w:pPr>
              <w:autoSpaceDN w:val="0"/>
              <w:autoSpaceDE w:val="0"/>
              <w:widowControl/>
              <w:spacing w:line="233" w:lineRule="auto" w:before="26" w:after="0"/>
              <w:ind w:left="0" w:right="184" w:firstLine="0"/>
              <w:jc w:val="right"/>
            </w:pPr>
            <w:r>
              <w:rPr>
                <w:rFonts w:ascii="Arial" w:hAnsi="Arial" w:eastAsia="Arial"/>
                <w:b w:val="0"/>
                <w:i w:val="0"/>
                <w:color w:val="000000"/>
                <w:sz w:val="14"/>
              </w:rPr>
              <w:t>-</w:t>
            </w:r>
          </w:p>
        </w:tc>
        <w:tc>
          <w:tcPr>
            <w:tcW w:type="dxa" w:w="9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1,172,955</w:t>
            </w:r>
          </w:p>
        </w:tc>
      </w:tr>
    </w:tbl>
    <w:p>
      <w:pPr>
        <w:autoSpaceDN w:val="0"/>
        <w:autoSpaceDE w:val="0"/>
        <w:widowControl/>
        <w:spacing w:line="138" w:lineRule="exact" w:before="12" w:after="22"/>
        <w:ind w:left="358" w:right="0" w:firstLine="0"/>
        <w:jc w:val="left"/>
      </w:pPr>
      <w:r>
        <w:rPr>
          <w:rFonts w:ascii="黑体" w:hAnsi="黑体" w:eastAsia="黑体"/>
          <w:b w:val="0"/>
          <w:i w:val="0"/>
          <w:color w:val="000000"/>
          <w:sz w:val="14"/>
        </w:rPr>
        <w:t>共青城山证通奥启程股权投资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2080"/>
            <w:tcBorders/>
            <w:tcMar>
              <w:start w:w="0" w:type="dxa"/>
              <w:end w:w="0" w:type="dxa"/>
            </w:tcMar>
          </w:tcPr>
          <w:p>
            <w:pPr>
              <w:autoSpaceDN w:val="0"/>
              <w:autoSpaceDE w:val="0"/>
              <w:widowControl/>
              <w:spacing w:line="138" w:lineRule="exact" w:before="22" w:after="0"/>
              <w:ind w:left="260" w:right="0" w:firstLine="0"/>
              <w:jc w:val="left"/>
            </w:pPr>
            <w:r>
              <w:rPr>
                <w:rFonts w:ascii="黑体" w:hAnsi="黑体" w:eastAsia="黑体"/>
                <w:b w:val="0"/>
                <w:i w:val="0"/>
                <w:color w:val="000000"/>
                <w:sz w:val="14"/>
              </w:rPr>
              <w:t xml:space="preserve">合伙企业（有限合伙） </w:t>
            </w:r>
          </w:p>
        </w:tc>
        <w:tc>
          <w:tcPr>
            <w:tcW w:type="dxa" w:w="1380"/>
            <w:tcBorders/>
            <w:tcMar>
              <w:start w:w="0" w:type="dxa"/>
              <w:end w:w="0" w:type="dxa"/>
            </w:tcMar>
          </w:tcPr>
          <w:p>
            <w:pPr>
              <w:autoSpaceDN w:val="0"/>
              <w:autoSpaceDE w:val="0"/>
              <w:widowControl/>
              <w:spacing w:line="233" w:lineRule="auto" w:before="24" w:after="0"/>
              <w:ind w:left="0" w:right="508" w:firstLine="0"/>
              <w:jc w:val="right"/>
            </w:pPr>
            <w:r>
              <w:rPr>
                <w:rFonts w:ascii="Arial" w:hAnsi="Arial" w:eastAsia="Arial"/>
                <w:b w:val="0"/>
                <w:i w:val="0"/>
                <w:color w:val="000000"/>
                <w:sz w:val="14"/>
              </w:rPr>
              <w:t>186,790</w:t>
            </w:r>
          </w:p>
        </w:tc>
        <w:tc>
          <w:tcPr>
            <w:tcW w:type="dxa" w:w="820"/>
            <w:tcBorders/>
            <w:tcMar>
              <w:start w:w="0" w:type="dxa"/>
              <w:end w:w="0" w:type="dxa"/>
            </w:tcMar>
          </w:tcPr>
          <w:p>
            <w:pPr>
              <w:autoSpaceDN w:val="0"/>
              <w:autoSpaceDE w:val="0"/>
              <w:widowControl/>
              <w:spacing w:line="233" w:lineRule="auto" w:before="24" w:after="0"/>
              <w:ind w:left="0" w:right="246" w:firstLine="0"/>
              <w:jc w:val="right"/>
            </w:pPr>
            <w:r>
              <w:rPr>
                <w:rFonts w:ascii="Arial" w:hAnsi="Arial" w:eastAsia="Arial"/>
                <w:b w:val="0"/>
                <w:i w:val="0"/>
                <w:color w:val="000000"/>
                <w:sz w:val="14"/>
              </w:rPr>
              <w:t>-</w:t>
            </w:r>
          </w:p>
        </w:tc>
        <w:tc>
          <w:tcPr>
            <w:tcW w:type="dxa" w:w="1400"/>
            <w:tcBorders/>
            <w:tcMar>
              <w:start w:w="0" w:type="dxa"/>
              <w:end w:w="0" w:type="dxa"/>
            </w:tcMar>
          </w:tcPr>
          <w:p>
            <w:pPr>
              <w:autoSpaceDN w:val="0"/>
              <w:autoSpaceDE w:val="0"/>
              <w:widowControl/>
              <w:spacing w:line="233" w:lineRule="auto" w:before="24" w:after="0"/>
              <w:ind w:left="280" w:right="0" w:firstLine="0"/>
              <w:jc w:val="left"/>
            </w:pPr>
            <w:r>
              <w:rPr>
                <w:rFonts w:ascii="Arial" w:hAnsi="Arial" w:eastAsia="Arial"/>
                <w:b w:val="0"/>
                <w:i w:val="0"/>
                <w:color w:val="000000"/>
                <w:sz w:val="14"/>
              </w:rPr>
              <w:t xml:space="preserve">(186,790) </w:t>
            </w:r>
          </w:p>
        </w:tc>
        <w:tc>
          <w:tcPr>
            <w:tcW w:type="dxa" w:w="112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w:t>
            </w:r>
          </w:p>
        </w:tc>
        <w:tc>
          <w:tcPr>
            <w:tcW w:type="dxa" w:w="1120"/>
            <w:tcBorders/>
            <w:tcMar>
              <w:start w:w="0" w:type="dxa"/>
              <w:end w:w="0" w:type="dxa"/>
            </w:tcMar>
          </w:tcPr>
          <w:p>
            <w:pPr>
              <w:autoSpaceDN w:val="0"/>
              <w:autoSpaceDE w:val="0"/>
              <w:widowControl/>
              <w:spacing w:line="233" w:lineRule="auto" w:before="24" w:after="0"/>
              <w:ind w:left="0" w:right="484" w:firstLine="0"/>
              <w:jc w:val="right"/>
            </w:pPr>
            <w:r>
              <w:rPr>
                <w:rFonts w:ascii="Arial" w:hAnsi="Arial" w:eastAsia="Arial"/>
                <w:b w:val="0"/>
                <w:i w:val="0"/>
                <w:color w:val="000000"/>
                <w:sz w:val="14"/>
              </w:rPr>
              <w:t>-</w:t>
            </w:r>
          </w:p>
        </w:tc>
        <w:tc>
          <w:tcPr>
            <w:tcW w:type="dxa" w:w="680"/>
            <w:tcBorders/>
            <w:tcMar>
              <w:start w:w="0" w:type="dxa"/>
              <w:end w:w="0" w:type="dxa"/>
            </w:tcMar>
          </w:tcPr>
          <w:p>
            <w:pPr>
              <w:autoSpaceDN w:val="0"/>
              <w:autoSpaceDE w:val="0"/>
              <w:widowControl/>
              <w:spacing w:line="233" w:lineRule="auto" w:before="24" w:after="0"/>
              <w:ind w:left="0" w:right="142" w:firstLine="0"/>
              <w:jc w:val="right"/>
            </w:pPr>
            <w:r>
              <w:rPr>
                <w:rFonts w:ascii="Arial" w:hAnsi="Arial" w:eastAsia="Arial"/>
                <w:b w:val="0"/>
                <w:i w:val="0"/>
                <w:color w:val="000000"/>
                <w:sz w:val="14"/>
              </w:rPr>
              <w:t>-</w:t>
            </w:r>
          </w:p>
        </w:tc>
      </w:tr>
    </w:tbl>
    <w:p>
      <w:pPr>
        <w:autoSpaceDN w:val="0"/>
        <w:autoSpaceDE w:val="0"/>
        <w:widowControl/>
        <w:spacing w:line="138" w:lineRule="exact" w:before="10" w:after="22"/>
        <w:ind w:left="358" w:right="0" w:firstLine="0"/>
        <w:jc w:val="left"/>
      </w:pPr>
      <w:r>
        <w:rPr>
          <w:rFonts w:ascii="黑体" w:hAnsi="黑体" w:eastAsia="黑体"/>
          <w:b w:val="0"/>
          <w:i w:val="0"/>
          <w:color w:val="000000"/>
          <w:sz w:val="14"/>
        </w:rPr>
        <w:t>共青城山证绿菱启明股权投资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2020"/>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 xml:space="preserve">合伙企业（有限合伙） </w:t>
            </w:r>
          </w:p>
        </w:tc>
        <w:tc>
          <w:tcPr>
            <w:tcW w:type="dxa" w:w="1440"/>
            <w:tcBorders/>
            <w:tcMar>
              <w:start w:w="0" w:type="dxa"/>
              <w:end w:w="0" w:type="dxa"/>
            </w:tcMar>
          </w:tcPr>
          <w:p>
            <w:pPr>
              <w:autoSpaceDN w:val="0"/>
              <w:autoSpaceDE w:val="0"/>
              <w:widowControl/>
              <w:spacing w:line="230" w:lineRule="auto" w:before="26" w:after="0"/>
              <w:ind w:left="308" w:right="0" w:firstLine="0"/>
              <w:jc w:val="left"/>
            </w:pPr>
            <w:r>
              <w:rPr>
                <w:rFonts w:ascii="Arial" w:hAnsi="Arial" w:eastAsia="Arial"/>
                <w:b w:val="0"/>
                <w:i w:val="0"/>
                <w:color w:val="000000"/>
                <w:sz w:val="14"/>
              </w:rPr>
              <w:t>6,500,628</w:t>
            </w:r>
          </w:p>
        </w:tc>
        <w:tc>
          <w:tcPr>
            <w:tcW w:type="dxa" w:w="108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w:t>
            </w:r>
          </w:p>
        </w:tc>
        <w:tc>
          <w:tcPr>
            <w:tcW w:type="dxa" w:w="880"/>
            <w:tcBorders/>
            <w:tcMar>
              <w:start w:w="0" w:type="dxa"/>
              <w:end w:w="0" w:type="dxa"/>
            </w:tcMar>
          </w:tcPr>
          <w:p>
            <w:pPr>
              <w:autoSpaceDN w:val="0"/>
              <w:autoSpaceDE w:val="0"/>
              <w:widowControl/>
              <w:spacing w:line="230" w:lineRule="auto" w:before="26" w:after="0"/>
              <w:ind w:left="0" w:right="308" w:firstLine="0"/>
              <w:jc w:val="right"/>
            </w:pPr>
            <w:r>
              <w:rPr>
                <w:rFonts w:ascii="Arial" w:hAnsi="Arial" w:eastAsia="Arial"/>
                <w:b w:val="0"/>
                <w:i w:val="0"/>
                <w:color w:val="000000"/>
                <w:sz w:val="14"/>
              </w:rPr>
              <w:t>-</w:t>
            </w:r>
          </w:p>
        </w:tc>
        <w:tc>
          <w:tcPr>
            <w:tcW w:type="dxa" w:w="1380"/>
            <w:tcBorders/>
            <w:tcMar>
              <w:start w:w="0" w:type="dxa"/>
              <w:end w:w="0" w:type="dxa"/>
            </w:tcMar>
          </w:tcPr>
          <w:p>
            <w:pPr>
              <w:autoSpaceDN w:val="0"/>
              <w:autoSpaceDE w:val="0"/>
              <w:widowControl/>
              <w:spacing w:line="230" w:lineRule="auto" w:before="26" w:after="0"/>
              <w:ind w:left="318" w:right="0" w:firstLine="0"/>
              <w:jc w:val="left"/>
            </w:pPr>
            <w:r>
              <w:rPr>
                <w:rFonts w:ascii="Arial" w:hAnsi="Arial" w:eastAsia="Arial"/>
                <w:b w:val="0"/>
                <w:i w:val="0"/>
                <w:color w:val="000000"/>
                <w:sz w:val="14"/>
              </w:rPr>
              <w:t>321,595</w:t>
            </w:r>
          </w:p>
        </w:tc>
        <w:tc>
          <w:tcPr>
            <w:tcW w:type="dxa" w:w="820"/>
            <w:tcBorders/>
            <w:tcMar>
              <w:start w:w="0" w:type="dxa"/>
              <w:end w:w="0" w:type="dxa"/>
            </w:tcMar>
          </w:tcPr>
          <w:p>
            <w:pPr>
              <w:autoSpaceDN w:val="0"/>
              <w:autoSpaceDE w:val="0"/>
              <w:widowControl/>
              <w:spacing w:line="230" w:lineRule="auto" w:before="26" w:after="0"/>
              <w:ind w:left="0" w:right="184" w:firstLine="0"/>
              <w:jc w:val="right"/>
            </w:pPr>
            <w:r>
              <w:rPr>
                <w:rFonts w:ascii="Arial" w:hAnsi="Arial" w:eastAsia="Arial"/>
                <w:b w:val="0"/>
                <w:i w:val="0"/>
                <w:color w:val="000000"/>
                <w:sz w:val="14"/>
              </w:rPr>
              <w:t>-</w:t>
            </w:r>
          </w:p>
        </w:tc>
        <w:tc>
          <w:tcPr>
            <w:tcW w:type="dxa" w:w="98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6,822,223</w:t>
            </w:r>
          </w:p>
        </w:tc>
      </w:tr>
    </w:tbl>
    <w:p>
      <w:pPr>
        <w:autoSpaceDN w:val="0"/>
        <w:autoSpaceDE w:val="0"/>
        <w:widowControl/>
        <w:spacing w:line="140" w:lineRule="exact" w:before="12" w:after="20"/>
        <w:ind w:left="358" w:right="0" w:firstLine="0"/>
        <w:jc w:val="left"/>
      </w:pPr>
      <w:r>
        <w:rPr>
          <w:rFonts w:ascii="黑体" w:hAnsi="黑体" w:eastAsia="黑体"/>
          <w:b w:val="0"/>
          <w:i w:val="0"/>
          <w:color w:val="000000"/>
          <w:sz w:val="14"/>
        </w:rPr>
        <w:t>共青城山证绿菱启元股权投资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2"/>
        </w:trPr>
        <w:tc>
          <w:tcPr>
            <w:tcW w:type="dxa" w:w="202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 xml:space="preserve">合伙企业（有限合伙） </w:t>
            </w:r>
          </w:p>
        </w:tc>
        <w:tc>
          <w:tcPr>
            <w:tcW w:type="dxa" w:w="1440"/>
            <w:tcBorders/>
            <w:tcMar>
              <w:start w:w="0" w:type="dxa"/>
              <w:end w:w="0" w:type="dxa"/>
            </w:tcMar>
          </w:tcPr>
          <w:p>
            <w:pPr>
              <w:autoSpaceDN w:val="0"/>
              <w:autoSpaceDE w:val="0"/>
              <w:widowControl/>
              <w:spacing w:line="233" w:lineRule="auto" w:before="26" w:after="0"/>
              <w:ind w:left="308" w:right="0" w:firstLine="0"/>
              <w:jc w:val="left"/>
            </w:pPr>
            <w:r>
              <w:rPr>
                <w:rFonts w:ascii="Arial" w:hAnsi="Arial" w:eastAsia="Arial"/>
                <w:b w:val="0"/>
                <w:i w:val="0"/>
                <w:color w:val="000000"/>
                <w:sz w:val="14"/>
              </w:rPr>
              <w:t>9,892,749</w:t>
            </w:r>
          </w:p>
        </w:tc>
        <w:tc>
          <w:tcPr>
            <w:tcW w:type="dxa" w:w="10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w:t>
            </w:r>
          </w:p>
        </w:tc>
        <w:tc>
          <w:tcPr>
            <w:tcW w:type="dxa" w:w="880"/>
            <w:tcBorders/>
            <w:tcMar>
              <w:start w:w="0" w:type="dxa"/>
              <w:end w:w="0" w:type="dxa"/>
            </w:tcMar>
          </w:tcPr>
          <w:p>
            <w:pPr>
              <w:autoSpaceDN w:val="0"/>
              <w:autoSpaceDE w:val="0"/>
              <w:widowControl/>
              <w:spacing w:line="233" w:lineRule="auto" w:before="26" w:after="0"/>
              <w:ind w:left="0" w:right="308" w:firstLine="0"/>
              <w:jc w:val="right"/>
            </w:pPr>
            <w:r>
              <w:rPr>
                <w:rFonts w:ascii="Arial" w:hAnsi="Arial" w:eastAsia="Arial"/>
                <w:b w:val="0"/>
                <w:i w:val="0"/>
                <w:color w:val="000000"/>
                <w:sz w:val="14"/>
              </w:rPr>
              <w:t>-</w:t>
            </w:r>
          </w:p>
        </w:tc>
        <w:tc>
          <w:tcPr>
            <w:tcW w:type="dxa" w:w="1380"/>
            <w:tcBorders/>
            <w:tcMar>
              <w:start w:w="0" w:type="dxa"/>
              <w:end w:w="0" w:type="dxa"/>
            </w:tcMar>
          </w:tcPr>
          <w:p>
            <w:pPr>
              <w:autoSpaceDN w:val="0"/>
              <w:autoSpaceDE w:val="0"/>
              <w:widowControl/>
              <w:spacing w:line="233" w:lineRule="auto" w:before="26" w:after="0"/>
              <w:ind w:left="318" w:right="0" w:firstLine="0"/>
              <w:jc w:val="left"/>
            </w:pPr>
            <w:r>
              <w:rPr>
                <w:rFonts w:ascii="Arial" w:hAnsi="Arial" w:eastAsia="Arial"/>
                <w:b w:val="0"/>
                <w:i w:val="0"/>
                <w:color w:val="000000"/>
                <w:sz w:val="14"/>
              </w:rPr>
              <w:t>528,615</w:t>
            </w:r>
          </w:p>
        </w:tc>
        <w:tc>
          <w:tcPr>
            <w:tcW w:type="dxa" w:w="780"/>
            <w:tcBorders/>
            <w:tcMar>
              <w:start w:w="0" w:type="dxa"/>
              <w:end w:w="0" w:type="dxa"/>
            </w:tcMar>
          </w:tcPr>
          <w:p>
            <w:pPr>
              <w:autoSpaceDN w:val="0"/>
              <w:autoSpaceDE w:val="0"/>
              <w:widowControl/>
              <w:spacing w:line="233"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10,421,364</w:t>
            </w:r>
          </w:p>
        </w:tc>
      </w:tr>
    </w:tbl>
    <w:p>
      <w:pPr>
        <w:autoSpaceDN w:val="0"/>
        <w:autoSpaceDE w:val="0"/>
        <w:widowControl/>
        <w:spacing w:line="164" w:lineRule="exact" w:before="0" w:after="22"/>
        <w:ind w:left="500" w:right="6768" w:hanging="142"/>
        <w:jc w:val="left"/>
      </w:pPr>
      <w:r>
        <w:rPr>
          <w:rFonts w:ascii="黑体" w:hAnsi="黑体" w:eastAsia="黑体"/>
          <w:b w:val="0"/>
          <w:i w:val="0"/>
          <w:color w:val="000000"/>
          <w:sz w:val="14"/>
        </w:rPr>
        <w:t>山西重器智能高端装备私募股</w:t>
      </w:r>
      <w:r>
        <w:br/>
      </w:r>
      <w:r>
        <w:rPr>
          <w:rFonts w:ascii="黑体" w:hAnsi="黑体" w:eastAsia="黑体"/>
          <w:b w:val="0"/>
          <w:i w:val="0"/>
          <w:color w:val="000000"/>
          <w:sz w:val="14"/>
        </w:rPr>
        <w:t>权投资基金合伙企业（有限</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4"/>
        </w:trPr>
        <w:tc>
          <w:tcPr>
            <w:tcW w:type="dxa" w:w="1580"/>
            <w:tcBorders/>
            <w:tcMar>
              <w:start w:w="0" w:type="dxa"/>
              <w:end w:w="0" w:type="dxa"/>
            </w:tcMar>
          </w:tcPr>
          <w:p>
            <w:pPr>
              <w:autoSpaceDN w:val="0"/>
              <w:autoSpaceDE w:val="0"/>
              <w:widowControl/>
              <w:spacing w:line="138" w:lineRule="exact" w:before="22" w:after="0"/>
              <w:ind w:left="260" w:right="0" w:firstLine="0"/>
              <w:jc w:val="left"/>
            </w:pPr>
            <w:r>
              <w:rPr>
                <w:rFonts w:ascii="黑体" w:hAnsi="黑体" w:eastAsia="黑体"/>
                <w:b w:val="0"/>
                <w:i w:val="0"/>
                <w:color w:val="000000"/>
                <w:sz w:val="14"/>
              </w:rPr>
              <w:t xml:space="preserve">合伙） </w:t>
            </w:r>
          </w:p>
        </w:tc>
        <w:tc>
          <w:tcPr>
            <w:tcW w:type="dxa" w:w="1880"/>
            <w:tcBorders/>
            <w:tcMar>
              <w:start w:w="0" w:type="dxa"/>
              <w:end w:w="0" w:type="dxa"/>
            </w:tcMar>
          </w:tcPr>
          <w:p>
            <w:pPr>
              <w:autoSpaceDN w:val="0"/>
              <w:autoSpaceDE w:val="0"/>
              <w:widowControl/>
              <w:spacing w:line="230" w:lineRule="auto" w:before="28" w:after="0"/>
              <w:ind w:left="0" w:right="508" w:firstLine="0"/>
              <w:jc w:val="right"/>
            </w:pPr>
            <w:r>
              <w:rPr>
                <w:rFonts w:ascii="Arial" w:hAnsi="Arial" w:eastAsia="Arial"/>
                <w:b w:val="0"/>
                <w:i w:val="0"/>
                <w:color w:val="000000"/>
                <w:sz w:val="14"/>
              </w:rPr>
              <w:t>823,489</w:t>
            </w:r>
          </w:p>
        </w:tc>
        <w:tc>
          <w:tcPr>
            <w:tcW w:type="dxa" w:w="860"/>
            <w:tcBorders/>
            <w:tcMar>
              <w:start w:w="0" w:type="dxa"/>
              <w:end w:w="0" w:type="dxa"/>
            </w:tcMar>
          </w:tcPr>
          <w:p>
            <w:pPr>
              <w:autoSpaceDN w:val="0"/>
              <w:autoSpaceDE w:val="0"/>
              <w:widowControl/>
              <w:spacing w:line="230" w:lineRule="auto" w:before="28" w:after="0"/>
              <w:ind w:left="0" w:right="286" w:firstLine="0"/>
              <w:jc w:val="right"/>
            </w:pPr>
            <w:r>
              <w:rPr>
                <w:rFonts w:ascii="Arial" w:hAnsi="Arial" w:eastAsia="Arial"/>
                <w:b w:val="0"/>
                <w:i w:val="0"/>
                <w:color w:val="000000"/>
                <w:sz w:val="14"/>
              </w:rPr>
              <w:t>-</w:t>
            </w:r>
          </w:p>
        </w:tc>
        <w:tc>
          <w:tcPr>
            <w:tcW w:type="dxa" w:w="118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(22,000) </w:t>
            </w:r>
          </w:p>
        </w:tc>
        <w:tc>
          <w:tcPr>
            <w:tcW w:type="dxa" w:w="1300"/>
            <w:tcBorders/>
            <w:tcMar>
              <w:start w:w="0" w:type="dxa"/>
              <w:end w:w="0" w:type="dxa"/>
            </w:tcMar>
          </w:tcPr>
          <w:p>
            <w:pPr>
              <w:autoSpaceDN w:val="0"/>
              <w:autoSpaceDE w:val="0"/>
              <w:widowControl/>
              <w:spacing w:line="230" w:lineRule="auto" w:before="28" w:after="0"/>
              <w:ind w:left="316" w:right="0" w:firstLine="0"/>
              <w:jc w:val="left"/>
            </w:pPr>
            <w:r>
              <w:rPr>
                <w:rFonts w:ascii="Arial" w:hAnsi="Arial" w:eastAsia="Arial"/>
                <w:b w:val="0"/>
                <w:i w:val="0"/>
                <w:color w:val="000000"/>
                <w:sz w:val="14"/>
              </w:rPr>
              <w:t>44,012</w:t>
            </w:r>
          </w:p>
        </w:tc>
        <w:tc>
          <w:tcPr>
            <w:tcW w:type="dxa" w:w="880"/>
            <w:tcBorders/>
            <w:tcMar>
              <w:start w:w="0" w:type="dxa"/>
              <w:end w:w="0" w:type="dxa"/>
            </w:tcMar>
          </w:tcPr>
          <w:p>
            <w:pPr>
              <w:autoSpaceDN w:val="0"/>
              <w:autoSpaceDE w:val="0"/>
              <w:widowControl/>
              <w:spacing w:line="230" w:lineRule="auto" w:before="28" w:after="0"/>
              <w:ind w:left="0" w:right="244" w:firstLine="0"/>
              <w:jc w:val="right"/>
            </w:pPr>
            <w:r>
              <w:rPr>
                <w:rFonts w:ascii="Arial" w:hAnsi="Arial" w:eastAsia="Arial"/>
                <w:b w:val="0"/>
                <w:i w:val="0"/>
                <w:color w:val="000000"/>
                <w:sz w:val="14"/>
              </w:rPr>
              <w:t>-</w:t>
            </w:r>
          </w:p>
        </w:tc>
        <w:tc>
          <w:tcPr>
            <w:tcW w:type="dxa" w:w="920"/>
            <w:tcBorders/>
            <w:tcMar>
              <w:start w:w="0" w:type="dxa"/>
              <w:end w:w="0" w:type="dxa"/>
            </w:tcMar>
          </w:tcPr>
          <w:p>
            <w:pPr>
              <w:autoSpaceDN w:val="0"/>
              <w:autoSpaceDE w:val="0"/>
              <w:widowControl/>
              <w:spacing w:line="230" w:lineRule="auto" w:before="28" w:after="0"/>
              <w:ind w:left="0" w:right="144" w:firstLine="0"/>
              <w:jc w:val="right"/>
            </w:pPr>
            <w:r>
              <w:rPr>
                <w:rFonts w:ascii="Arial" w:hAnsi="Arial" w:eastAsia="Arial"/>
                <w:b w:val="0"/>
                <w:i w:val="0"/>
                <w:color w:val="000000"/>
                <w:sz w:val="14"/>
              </w:rPr>
              <w:t>845,501</w:t>
            </w:r>
          </w:p>
        </w:tc>
      </w:tr>
    </w:tbl>
    <w:p>
      <w:pPr>
        <w:autoSpaceDN w:val="0"/>
        <w:autoSpaceDE w:val="0"/>
        <w:widowControl/>
        <w:spacing w:line="140" w:lineRule="exact" w:before="10" w:after="20"/>
        <w:ind w:left="358" w:right="0" w:firstLine="0"/>
        <w:jc w:val="left"/>
      </w:pPr>
      <w:r>
        <w:rPr>
          <w:rFonts w:ascii="黑体" w:hAnsi="黑体" w:eastAsia="黑体"/>
          <w:b w:val="0"/>
          <w:i w:val="0"/>
          <w:color w:val="000000"/>
          <w:sz w:val="14"/>
        </w:rPr>
        <w:t>山西省新引擎专业镇产业投资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0"/>
        </w:trPr>
        <w:tc>
          <w:tcPr>
            <w:tcW w:type="dxa" w:w="2080"/>
            <w:tcBorders/>
            <w:tcMar>
              <w:start w:w="0" w:type="dxa"/>
              <w:end w:w="0" w:type="dxa"/>
            </w:tcMar>
          </w:tcPr>
          <w:p>
            <w:pPr>
              <w:autoSpaceDN w:val="0"/>
              <w:autoSpaceDE w:val="0"/>
              <w:widowControl/>
              <w:spacing w:line="140" w:lineRule="exact" w:before="20" w:after="0"/>
              <w:ind w:left="258" w:right="0" w:firstLine="0"/>
              <w:jc w:val="left"/>
            </w:pPr>
            <w:r>
              <w:rPr>
                <w:rFonts w:ascii="黑体" w:hAnsi="黑体" w:eastAsia="黑体"/>
                <w:b w:val="0"/>
                <w:i w:val="0"/>
                <w:color w:val="000000"/>
                <w:sz w:val="14"/>
              </w:rPr>
              <w:t>基金合伙企业（有限合伙）</w:t>
            </w:r>
          </w:p>
        </w:tc>
        <w:tc>
          <w:tcPr>
            <w:tcW w:type="dxa" w:w="1380"/>
            <w:tcBorders/>
            <w:tcMar>
              <w:start w:w="0" w:type="dxa"/>
              <w:end w:w="0" w:type="dxa"/>
            </w:tcMar>
          </w:tcPr>
          <w:p>
            <w:pPr>
              <w:autoSpaceDN w:val="0"/>
              <w:autoSpaceDE w:val="0"/>
              <w:widowControl/>
              <w:spacing w:line="230" w:lineRule="auto" w:before="26" w:after="0"/>
              <w:ind w:left="172" w:right="0" w:firstLine="0"/>
              <w:jc w:val="left"/>
            </w:pPr>
            <w:r>
              <w:rPr>
                <w:rFonts w:ascii="Arial" w:hAnsi="Arial" w:eastAsia="Arial"/>
                <w:b w:val="0"/>
                <w:i w:val="0"/>
                <w:color w:val="000000"/>
                <w:sz w:val="14"/>
              </w:rPr>
              <w:t>14,897,563</w:t>
            </w:r>
          </w:p>
        </w:tc>
        <w:tc>
          <w:tcPr>
            <w:tcW w:type="dxa" w:w="108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w:t>
            </w:r>
          </w:p>
        </w:tc>
        <w:tc>
          <w:tcPr>
            <w:tcW w:type="dxa" w:w="860"/>
            <w:tcBorders/>
            <w:tcMar>
              <w:start w:w="0" w:type="dxa"/>
              <w:end w:w="0" w:type="dxa"/>
            </w:tcMar>
          </w:tcPr>
          <w:p>
            <w:pPr>
              <w:autoSpaceDN w:val="0"/>
              <w:autoSpaceDE w:val="0"/>
              <w:widowControl/>
              <w:spacing w:line="230" w:lineRule="auto" w:before="26" w:after="0"/>
              <w:ind w:left="0" w:right="288" w:firstLine="0"/>
              <w:jc w:val="right"/>
            </w:pPr>
            <w:r>
              <w:rPr>
                <w:rFonts w:ascii="Arial" w:hAnsi="Arial" w:eastAsia="Arial"/>
                <w:b w:val="0"/>
                <w:i w:val="0"/>
                <w:color w:val="000000"/>
                <w:sz w:val="14"/>
              </w:rPr>
              <w:t>-</w:t>
            </w:r>
          </w:p>
        </w:tc>
        <w:tc>
          <w:tcPr>
            <w:tcW w:type="dxa" w:w="1440"/>
            <w:tcBorders/>
            <w:tcMar>
              <w:start w:w="0" w:type="dxa"/>
              <w:end w:w="0" w:type="dxa"/>
            </w:tcMar>
          </w:tcPr>
          <w:p>
            <w:pPr>
              <w:autoSpaceDN w:val="0"/>
              <w:autoSpaceDE w:val="0"/>
              <w:widowControl/>
              <w:spacing w:line="230" w:lineRule="auto" w:before="26" w:after="0"/>
              <w:ind w:left="292" w:right="0" w:firstLine="0"/>
              <w:jc w:val="left"/>
            </w:pPr>
            <w:r>
              <w:rPr>
                <w:rFonts w:ascii="Arial" w:hAnsi="Arial" w:eastAsia="Arial"/>
                <w:b w:val="0"/>
                <w:i w:val="0"/>
                <w:color w:val="000000"/>
                <w:sz w:val="14"/>
              </w:rPr>
              <w:t xml:space="preserve">(109,816) </w:t>
            </w:r>
          </w:p>
        </w:tc>
        <w:tc>
          <w:tcPr>
            <w:tcW w:type="dxa" w:w="740"/>
            <w:tcBorders/>
            <w:tcMar>
              <w:start w:w="0" w:type="dxa"/>
              <w:end w:w="0" w:type="dxa"/>
            </w:tcMar>
          </w:tcPr>
          <w:p>
            <w:pPr>
              <w:autoSpaceDN w:val="0"/>
              <w:autoSpaceDE w:val="0"/>
              <w:widowControl/>
              <w:spacing w:line="230" w:lineRule="auto" w:before="26"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0" w:lineRule="auto" w:before="26" w:after="0"/>
              <w:ind w:left="0" w:right="0" w:firstLine="0"/>
              <w:jc w:val="center"/>
            </w:pPr>
            <w:r>
              <w:rPr>
                <w:rFonts w:ascii="Arial" w:hAnsi="Arial" w:eastAsia="Arial"/>
                <w:b w:val="0"/>
                <w:i w:val="0"/>
                <w:color w:val="000000"/>
                <w:sz w:val="14"/>
              </w:rPr>
              <w:t>14,787,747</w:t>
            </w:r>
          </w:p>
        </w:tc>
      </w:tr>
    </w:tbl>
    <w:p>
      <w:pPr>
        <w:autoSpaceDN w:val="0"/>
        <w:autoSpaceDE w:val="0"/>
        <w:widowControl/>
        <w:spacing w:line="140" w:lineRule="exact" w:before="12" w:after="22"/>
        <w:ind w:left="358" w:right="0" w:firstLine="0"/>
        <w:jc w:val="left"/>
      </w:pPr>
      <w:r>
        <w:rPr>
          <w:rFonts w:ascii="黑体" w:hAnsi="黑体" w:eastAsia="黑体"/>
          <w:b w:val="0"/>
          <w:i w:val="0"/>
          <w:color w:val="000000"/>
          <w:sz w:val="14"/>
        </w:rPr>
        <w:t>山东新引擎文化产业股权投资</w:t>
      </w:r>
    </w:p>
    <w:tbl>
      <w:tblPr>
        <w:tblW w:type="auto" w:w="0"/>
        <w:tblLayout w:type="fixed"/>
        <w:tblLook w:firstColumn="1" w:firstRow="1" w:lastColumn="0" w:lastRow="0" w:noHBand="0" w:noVBand="1" w:val="04A0"/>
        <w:tblInd w:w="240.0" w:type="dxa"/>
      </w:tblPr>
      <w:tblGrid>
        <w:gridCol w:w="1288"/>
        <w:gridCol w:w="1288"/>
        <w:gridCol w:w="1288"/>
        <w:gridCol w:w="1288"/>
        <w:gridCol w:w="1288"/>
        <w:gridCol w:w="1288"/>
        <w:gridCol w:w="1288"/>
      </w:tblGrid>
      <w:tr>
        <w:trPr>
          <w:trHeight w:hRule="exact" w:val="190"/>
        </w:trPr>
        <w:tc>
          <w:tcPr>
            <w:tcW w:type="dxa" w:w="2440"/>
            <w:tcBorders/>
            <w:tcMar>
              <w:start w:w="0" w:type="dxa"/>
              <w:end w:w="0" w:type="dxa"/>
            </w:tcMar>
          </w:tcPr>
          <w:p>
            <w:pPr>
              <w:autoSpaceDN w:val="0"/>
              <w:autoSpaceDE w:val="0"/>
              <w:widowControl/>
              <w:spacing w:line="140" w:lineRule="exact" w:before="20" w:after="0"/>
              <w:ind w:left="258" w:right="0" w:firstLine="0"/>
              <w:jc w:val="left"/>
            </w:pPr>
            <w:r>
              <w:rPr>
                <w:rFonts w:ascii="黑体" w:hAnsi="黑体" w:eastAsia="黑体"/>
                <w:b w:val="0"/>
                <w:i w:val="0"/>
                <w:color w:val="000000"/>
                <w:sz w:val="14"/>
              </w:rPr>
              <w:t xml:space="preserve">基金合伙企业（有限合伙） </w:t>
            </w:r>
          </w:p>
        </w:tc>
        <w:tc>
          <w:tcPr>
            <w:tcW w:type="dxa" w:w="700"/>
            <w:tcBorders/>
            <w:tcMar>
              <w:start w:w="0" w:type="dxa"/>
              <w:end w:w="0" w:type="dxa"/>
            </w:tcMar>
          </w:tcPr>
          <w:p>
            <w:pPr>
              <w:autoSpaceDN w:val="0"/>
              <w:autoSpaceDE w:val="0"/>
              <w:widowControl/>
              <w:spacing w:line="233" w:lineRule="auto" w:before="24" w:after="0"/>
              <w:ind w:left="0" w:right="186" w:firstLine="0"/>
              <w:jc w:val="right"/>
            </w:pPr>
            <w:r>
              <w:rPr>
                <w:rFonts w:ascii="Arial" w:hAnsi="Arial" w:eastAsia="Arial"/>
                <w:b w:val="0"/>
                <w:i w:val="0"/>
                <w:color w:val="000000"/>
                <w:sz w:val="14"/>
              </w:rPr>
              <w:t>-</w:t>
            </w:r>
          </w:p>
        </w:tc>
        <w:tc>
          <w:tcPr>
            <w:tcW w:type="dxa" w:w="1400"/>
            <w:tcBorders/>
            <w:tcMar>
              <w:start w:w="0" w:type="dxa"/>
              <w:end w:w="0" w:type="dxa"/>
            </w:tcMar>
          </w:tcPr>
          <w:p>
            <w:pPr>
              <w:autoSpaceDN w:val="0"/>
              <w:autoSpaceDE w:val="0"/>
              <w:widowControl/>
              <w:spacing w:line="233" w:lineRule="auto" w:before="24" w:after="0"/>
              <w:ind w:left="192" w:right="0" w:firstLine="0"/>
              <w:jc w:val="left"/>
            </w:pPr>
            <w:r>
              <w:rPr>
                <w:rFonts w:ascii="Arial" w:hAnsi="Arial" w:eastAsia="Arial"/>
                <w:b w:val="0"/>
                <w:i w:val="0"/>
                <w:color w:val="000000"/>
                <w:sz w:val="14"/>
              </w:rPr>
              <w:t>90,000,000</w:t>
            </w:r>
          </w:p>
        </w:tc>
        <w:tc>
          <w:tcPr>
            <w:tcW w:type="dxa" w:w="860"/>
            <w:tcBorders/>
            <w:tcMar>
              <w:start w:w="0" w:type="dxa"/>
              <w:end w:w="0" w:type="dxa"/>
            </w:tcMar>
          </w:tcPr>
          <w:p>
            <w:pPr>
              <w:autoSpaceDN w:val="0"/>
              <w:autoSpaceDE w:val="0"/>
              <w:widowControl/>
              <w:spacing w:line="233" w:lineRule="auto" w:before="24" w:after="0"/>
              <w:ind w:left="0" w:right="288" w:firstLine="0"/>
              <w:jc w:val="right"/>
            </w:pPr>
            <w:r>
              <w:rPr>
                <w:rFonts w:ascii="Arial" w:hAnsi="Arial" w:eastAsia="Arial"/>
                <w:b w:val="0"/>
                <w:i w:val="0"/>
                <w:color w:val="000000"/>
                <w:sz w:val="14"/>
              </w:rPr>
              <w:t>-</w:t>
            </w:r>
          </w:p>
        </w:tc>
        <w:tc>
          <w:tcPr>
            <w:tcW w:type="dxa" w:w="1440"/>
            <w:tcBorders/>
            <w:tcMar>
              <w:start w:w="0" w:type="dxa"/>
              <w:end w:w="0" w:type="dxa"/>
            </w:tcMar>
          </w:tcPr>
          <w:p>
            <w:pPr>
              <w:autoSpaceDN w:val="0"/>
              <w:autoSpaceDE w:val="0"/>
              <w:widowControl/>
              <w:spacing w:line="233" w:lineRule="auto" w:before="24" w:after="0"/>
              <w:ind w:left="292" w:right="0" w:firstLine="0"/>
              <w:jc w:val="left"/>
            </w:pPr>
            <w:r>
              <w:rPr>
                <w:rFonts w:ascii="Arial" w:hAnsi="Arial" w:eastAsia="Arial"/>
                <w:b w:val="0"/>
                <w:i w:val="0"/>
                <w:color w:val="000000"/>
                <w:sz w:val="14"/>
              </w:rPr>
              <w:t xml:space="preserve">(183,129) </w:t>
            </w:r>
          </w:p>
        </w:tc>
        <w:tc>
          <w:tcPr>
            <w:tcW w:type="dxa" w:w="740"/>
            <w:tcBorders/>
            <w:tcMar>
              <w:start w:w="0" w:type="dxa"/>
              <w:end w:w="0" w:type="dxa"/>
            </w:tcMar>
          </w:tcPr>
          <w:p>
            <w:pPr>
              <w:autoSpaceDN w:val="0"/>
              <w:autoSpaceDE w:val="0"/>
              <w:widowControl/>
              <w:spacing w:line="233" w:lineRule="auto" w:before="24" w:after="0"/>
              <w:ind w:left="0" w:right="144" w:firstLine="0"/>
              <w:jc w:val="right"/>
            </w:pPr>
            <w:r>
              <w:rPr>
                <w:rFonts w:ascii="Arial" w:hAnsi="Arial" w:eastAsia="Arial"/>
                <w:b w:val="0"/>
                <w:i w:val="0"/>
                <w:color w:val="000000"/>
                <w:sz w:val="14"/>
              </w:rPr>
              <w:t>-</w:t>
            </w:r>
          </w:p>
        </w:tc>
        <w:tc>
          <w:tcPr>
            <w:tcW w:type="dxa" w:w="1020"/>
            <w:tcBorders/>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89,816,871</w:t>
            </w:r>
          </w:p>
        </w:tc>
      </w:tr>
    </w:tbl>
    <w:p>
      <w:pPr>
        <w:autoSpaceDN w:val="0"/>
        <w:autoSpaceDE w:val="0"/>
        <w:widowControl/>
        <w:spacing w:line="140" w:lineRule="exact" w:before="10" w:after="22"/>
        <w:ind w:left="358" w:right="0" w:firstLine="0"/>
        <w:jc w:val="left"/>
      </w:pPr>
      <w:r>
        <w:rPr>
          <w:rFonts w:ascii="黑体" w:hAnsi="黑体" w:eastAsia="黑体"/>
          <w:b w:val="0"/>
          <w:i w:val="0"/>
          <w:color w:val="000000"/>
          <w:sz w:val="14"/>
        </w:rPr>
        <w:t>山西天使股权投资基金合伙企</w:t>
      </w:r>
    </w:p>
    <w:tbl>
      <w:tblPr>
        <w:tblW w:type="auto" w:w="0"/>
        <w:tblLayout w:type="fixed"/>
        <w:tblLook w:firstColumn="1" w:firstRow="1" w:lastColumn="0" w:lastRow="0" w:noHBand="0" w:noVBand="1" w:val="04A0"/>
        <w:tblInd w:w="160.0" w:type="dxa"/>
      </w:tblPr>
      <w:tblGrid>
        <w:gridCol w:w="1288"/>
        <w:gridCol w:w="1288"/>
        <w:gridCol w:w="1288"/>
        <w:gridCol w:w="1288"/>
        <w:gridCol w:w="1288"/>
        <w:gridCol w:w="1288"/>
        <w:gridCol w:w="1288"/>
      </w:tblGrid>
      <w:tr>
        <w:trPr>
          <w:trHeight w:hRule="exact" w:val="188"/>
        </w:trPr>
        <w:tc>
          <w:tcPr>
            <w:tcW w:type="dxa" w:w="2126"/>
            <w:tcBorders>
              <w:bottom w:sz="4.0" w:val="single" w:color="#000000"/>
            </w:tcBorders>
            <w:tcMar>
              <w:start w:w="0" w:type="dxa"/>
              <w:end w:w="0" w:type="dxa"/>
            </w:tcMar>
          </w:tcPr>
          <w:p>
            <w:pPr>
              <w:autoSpaceDN w:val="0"/>
              <w:autoSpaceDE w:val="0"/>
              <w:widowControl/>
              <w:spacing w:line="138" w:lineRule="exact" w:before="22" w:after="0"/>
              <w:ind w:left="338" w:right="0" w:firstLine="0"/>
              <w:jc w:val="left"/>
            </w:pPr>
            <w:r>
              <w:rPr>
                <w:rFonts w:ascii="黑体" w:hAnsi="黑体" w:eastAsia="黑体"/>
                <w:b w:val="0"/>
                <w:i w:val="0"/>
                <w:color w:val="000000"/>
                <w:sz w:val="14"/>
              </w:rPr>
              <w:t xml:space="preserve">业（有限合伙） </w:t>
            </w:r>
          </w:p>
        </w:tc>
        <w:tc>
          <w:tcPr>
            <w:tcW w:type="dxa" w:w="1022"/>
            <w:tcBorders>
              <w:bottom w:sz="4.0" w:val="single" w:color="#000000"/>
            </w:tcBorders>
            <w:tcMar>
              <w:start w:w="0" w:type="dxa"/>
              <w:end w:w="0" w:type="dxa"/>
            </w:tcMar>
          </w:tcPr>
          <w:p>
            <w:pPr>
              <w:autoSpaceDN w:val="0"/>
              <w:autoSpaceDE w:val="0"/>
              <w:widowControl/>
              <w:spacing w:line="233" w:lineRule="auto" w:before="26" w:after="0"/>
              <w:ind w:left="0" w:right="114" w:firstLine="0"/>
              <w:jc w:val="right"/>
            </w:pPr>
            <w:r>
              <w:rPr>
                <w:rFonts w:ascii="Arial" w:hAnsi="Arial" w:eastAsia="Arial"/>
                <w:b w:val="0"/>
                <w:i w:val="0"/>
                <w:color w:val="000000"/>
                <w:sz w:val="14"/>
              </w:rPr>
              <w:t>-</w:t>
            </w:r>
          </w:p>
        </w:tc>
        <w:tc>
          <w:tcPr>
            <w:tcW w:type="dxa" w:w="962"/>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4"/>
              </w:rPr>
              <w:t>50,000</w:t>
            </w:r>
          </w:p>
        </w:tc>
        <w:tc>
          <w:tcPr>
            <w:tcW w:type="dxa" w:w="1194"/>
            <w:tcBorders>
              <w:bottom w:sz="4.0" w:val="single" w:color="#000000"/>
            </w:tcBorders>
            <w:tcMar>
              <w:start w:w="0" w:type="dxa"/>
              <w:end w:w="0" w:type="dxa"/>
            </w:tcMar>
          </w:tcPr>
          <w:p>
            <w:pPr>
              <w:autoSpaceDN w:val="0"/>
              <w:autoSpaceDE w:val="0"/>
              <w:widowControl/>
              <w:spacing w:line="233" w:lineRule="auto" w:before="26" w:after="0"/>
              <w:ind w:left="0" w:right="112" w:firstLine="0"/>
              <w:jc w:val="right"/>
            </w:pPr>
            <w:r>
              <w:rPr>
                <w:rFonts w:ascii="Arial" w:hAnsi="Arial" w:eastAsia="Arial"/>
                <w:b w:val="0"/>
                <w:i w:val="0"/>
                <w:color w:val="000000"/>
                <w:sz w:val="14"/>
              </w:rPr>
              <w:t>-</w:t>
            </w:r>
          </w:p>
        </w:tc>
        <w:tc>
          <w:tcPr>
            <w:tcW w:type="dxa" w:w="1134"/>
            <w:tcBorders>
              <w:bottom w:sz="4.0" w:val="single" w:color="#000000"/>
            </w:tcBorders>
            <w:tcMar>
              <w:start w:w="0" w:type="dxa"/>
              <w:end w:w="0" w:type="dxa"/>
            </w:tcMar>
          </w:tcPr>
          <w:p>
            <w:pPr>
              <w:autoSpaceDN w:val="0"/>
              <w:autoSpaceDE w:val="0"/>
              <w:widowControl/>
              <w:spacing w:line="233" w:lineRule="auto" w:before="26" w:after="0"/>
              <w:ind w:left="0" w:right="30" w:firstLine="0"/>
              <w:jc w:val="right"/>
            </w:pPr>
            <w:r>
              <w:rPr>
                <w:rFonts w:ascii="Arial" w:hAnsi="Arial" w:eastAsia="Arial"/>
                <w:b w:val="0"/>
                <w:i w:val="0"/>
                <w:color w:val="000000"/>
                <w:sz w:val="14"/>
              </w:rPr>
              <w:t xml:space="preserve">(124) </w:t>
            </w:r>
          </w:p>
        </w:tc>
        <w:tc>
          <w:tcPr>
            <w:tcW w:type="dxa" w:w="1076"/>
            <w:tcBorders>
              <w:bottom w:sz="4.0" w:val="single" w:color="#00000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4"/>
              </w:rPr>
              <w:t>-</w:t>
            </w:r>
          </w:p>
        </w:tc>
        <w:tc>
          <w:tcPr>
            <w:tcW w:type="dxa" w:w="1024"/>
            <w:tcBorders>
              <w:bottom w:sz="4.0" w:val="single" w:color="#000000"/>
            </w:tcBorders>
            <w:tcMar>
              <w:start w:w="0" w:type="dxa"/>
              <w:end w:w="0" w:type="dxa"/>
            </w:tcMar>
          </w:tcPr>
          <w:p>
            <w:pPr>
              <w:autoSpaceDN w:val="0"/>
              <w:autoSpaceDE w:val="0"/>
              <w:widowControl/>
              <w:spacing w:line="233" w:lineRule="auto" w:before="26" w:after="0"/>
              <w:ind w:left="0" w:right="2" w:firstLine="0"/>
              <w:jc w:val="right"/>
            </w:pPr>
            <w:r>
              <w:rPr>
                <w:rFonts w:ascii="Arial" w:hAnsi="Arial" w:eastAsia="Arial"/>
                <w:b w:val="0"/>
                <w:i w:val="0"/>
                <w:color w:val="000000"/>
                <w:sz w:val="14"/>
              </w:rPr>
              <w:t>49,876</w:t>
            </w:r>
          </w:p>
        </w:tc>
      </w:tr>
      <w:tr>
        <w:trPr>
          <w:trHeight w:hRule="exact" w:val="426"/>
        </w:trPr>
        <w:tc>
          <w:tcPr>
            <w:tcW w:type="dxa" w:w="2126"/>
            <w:tcBorders>
              <w:top w:sz="4.0" w:val="single" w:color="#000000"/>
              <w:bottom w:sz="4.0" w:val="single" w:color="#000000"/>
            </w:tcBorders>
            <w:tcMar>
              <w:start w:w="0" w:type="dxa"/>
              <w:end w:w="0" w:type="dxa"/>
            </w:tcMar>
          </w:tcPr>
          <w:p>
            <w:pPr>
              <w:autoSpaceDN w:val="0"/>
              <w:autoSpaceDE w:val="0"/>
              <w:widowControl/>
              <w:spacing w:line="140" w:lineRule="exact" w:before="252" w:after="0"/>
              <w:ind w:left="198" w:right="0" w:firstLine="0"/>
              <w:jc w:val="left"/>
            </w:pPr>
            <w:r>
              <w:rPr>
                <w:rFonts w:ascii="黑体" w:hAnsi="黑体" w:eastAsia="黑体"/>
                <w:b w:val="0"/>
                <w:i w:val="0"/>
                <w:color w:val="000000"/>
                <w:sz w:val="14"/>
              </w:rPr>
              <w:t>合计</w:t>
            </w:r>
          </w:p>
        </w:tc>
        <w:tc>
          <w:tcPr>
            <w:tcW w:type="dxa" w:w="1022"/>
            <w:tcBorders>
              <w:top w:sz="4.0" w:val="single" w:color="#000000"/>
              <w:bottom w:sz="4.0" w:val="single" w:color="#000000"/>
            </w:tcBorders>
            <w:tcMar>
              <w:start w:w="0" w:type="dxa"/>
              <w:end w:w="0" w:type="dxa"/>
            </w:tcMar>
          </w:tcPr>
          <w:p>
            <w:pPr>
              <w:autoSpaceDN w:val="0"/>
              <w:autoSpaceDE w:val="0"/>
              <w:widowControl/>
              <w:spacing w:line="230" w:lineRule="auto" w:before="256" w:after="0"/>
              <w:ind w:left="0" w:right="0" w:firstLine="0"/>
              <w:jc w:val="center"/>
            </w:pPr>
            <w:r>
              <w:rPr>
                <w:rFonts w:ascii="Arial" w:hAnsi="Arial" w:eastAsia="Arial"/>
                <w:b w:val="0"/>
                <w:i w:val="0"/>
                <w:color w:val="000000"/>
                <w:sz w:val="14"/>
              </w:rPr>
              <w:t>324,169,206</w:t>
            </w:r>
          </w:p>
        </w:tc>
        <w:tc>
          <w:tcPr>
            <w:tcW w:type="dxa" w:w="962"/>
            <w:tcBorders>
              <w:top w:sz="4.0" w:val="single" w:color="#000000"/>
              <w:bottom w:sz="4.0" w:val="single" w:color="#000000"/>
            </w:tcBorders>
            <w:tcMar>
              <w:start w:w="0" w:type="dxa"/>
              <w:end w:w="0" w:type="dxa"/>
            </w:tcMar>
          </w:tcPr>
          <w:p>
            <w:pPr>
              <w:autoSpaceDN w:val="0"/>
              <w:autoSpaceDE w:val="0"/>
              <w:widowControl/>
              <w:spacing w:line="230" w:lineRule="auto" w:before="256" w:after="0"/>
              <w:ind w:left="0" w:right="0" w:firstLine="0"/>
              <w:jc w:val="right"/>
            </w:pPr>
            <w:r>
              <w:rPr>
                <w:rFonts w:ascii="Arial" w:hAnsi="Arial" w:eastAsia="Arial"/>
                <w:b w:val="0"/>
                <w:i w:val="0"/>
                <w:color w:val="000000"/>
                <w:sz w:val="14"/>
              </w:rPr>
              <w:t>90,050,000</w:t>
            </w:r>
          </w:p>
        </w:tc>
        <w:tc>
          <w:tcPr>
            <w:tcW w:type="dxa" w:w="1194"/>
            <w:tcBorders>
              <w:top w:sz="4.0" w:val="single" w:color="#000000"/>
              <w:bottom w:sz="4.0" w:val="single" w:color="#000000"/>
            </w:tcBorders>
            <w:tcMar>
              <w:start w:w="0" w:type="dxa"/>
              <w:end w:w="0" w:type="dxa"/>
            </w:tcMar>
          </w:tcPr>
          <w:p>
            <w:pPr>
              <w:autoSpaceDN w:val="0"/>
              <w:autoSpaceDE w:val="0"/>
              <w:widowControl/>
              <w:spacing w:line="230" w:lineRule="auto" w:before="256" w:after="0"/>
              <w:ind w:left="0" w:right="32" w:firstLine="0"/>
              <w:jc w:val="right"/>
            </w:pPr>
            <w:r>
              <w:rPr>
                <w:rFonts w:ascii="Arial" w:hAnsi="Arial" w:eastAsia="Arial"/>
                <w:b w:val="0"/>
                <w:i w:val="0"/>
                <w:color w:val="000000"/>
                <w:sz w:val="14"/>
              </w:rPr>
              <w:t xml:space="preserve">(35,828,472) </w:t>
            </w:r>
          </w:p>
        </w:tc>
        <w:tc>
          <w:tcPr>
            <w:tcW w:type="dxa" w:w="1134"/>
            <w:tcBorders>
              <w:top w:sz="4.0" w:val="single" w:color="#000000"/>
              <w:bottom w:sz="4.0" w:val="single" w:color="#000000"/>
            </w:tcBorders>
            <w:tcMar>
              <w:start w:w="0" w:type="dxa"/>
              <w:end w:w="0" w:type="dxa"/>
            </w:tcMar>
          </w:tcPr>
          <w:p>
            <w:pPr>
              <w:autoSpaceDN w:val="0"/>
              <w:autoSpaceDE w:val="0"/>
              <w:widowControl/>
              <w:spacing w:line="230" w:lineRule="auto" w:before="256" w:after="0"/>
              <w:ind w:left="0" w:right="116" w:firstLine="0"/>
              <w:jc w:val="right"/>
            </w:pPr>
            <w:r>
              <w:rPr>
                <w:rFonts w:ascii="Arial" w:hAnsi="Arial" w:eastAsia="Arial"/>
                <w:b w:val="0"/>
                <w:i w:val="0"/>
                <w:color w:val="000000"/>
                <w:sz w:val="14"/>
              </w:rPr>
              <w:t>11,055,327</w:t>
            </w:r>
          </w:p>
        </w:tc>
        <w:tc>
          <w:tcPr>
            <w:tcW w:type="dxa" w:w="1076"/>
            <w:tcBorders>
              <w:top w:sz="4.0" w:val="single" w:color="#000000"/>
              <w:bottom w:sz="4.0" w:val="single" w:color="#000000"/>
            </w:tcBorders>
            <w:tcMar>
              <w:start w:w="0" w:type="dxa"/>
              <w:end w:w="0" w:type="dxa"/>
            </w:tcMar>
          </w:tcPr>
          <w:p>
            <w:pPr>
              <w:autoSpaceDN w:val="0"/>
              <w:autoSpaceDE w:val="0"/>
              <w:widowControl/>
              <w:spacing w:line="230" w:lineRule="auto" w:before="256" w:after="0"/>
              <w:ind w:left="0" w:right="0" w:firstLine="0"/>
              <w:jc w:val="right"/>
            </w:pPr>
            <w:r>
              <w:rPr>
                <w:rFonts w:ascii="Arial" w:hAnsi="Arial" w:eastAsia="Arial"/>
                <w:b w:val="0"/>
                <w:i w:val="0"/>
                <w:color w:val="000000"/>
                <w:sz w:val="14"/>
              </w:rPr>
              <w:t>-</w:t>
            </w:r>
          </w:p>
        </w:tc>
        <w:tc>
          <w:tcPr>
            <w:tcW w:type="dxa" w:w="1024"/>
            <w:tcBorders>
              <w:top w:sz="4.0" w:val="single" w:color="#000000"/>
              <w:bottom w:sz="4.0" w:val="single" w:color="#000000"/>
            </w:tcBorders>
            <w:tcMar>
              <w:start w:w="0" w:type="dxa"/>
              <w:end w:w="0" w:type="dxa"/>
            </w:tcMar>
          </w:tcPr>
          <w:p>
            <w:pPr>
              <w:autoSpaceDN w:val="0"/>
              <w:autoSpaceDE w:val="0"/>
              <w:widowControl/>
              <w:spacing w:line="230" w:lineRule="auto" w:before="256" w:after="0"/>
              <w:ind w:left="246" w:right="0" w:firstLine="0"/>
              <w:jc w:val="left"/>
            </w:pPr>
            <w:r>
              <w:rPr>
                <w:rFonts w:ascii="Arial" w:hAnsi="Arial" w:eastAsia="Arial"/>
                <w:b w:val="0"/>
                <w:i w:val="0"/>
                <w:color w:val="000000"/>
                <w:sz w:val="14"/>
              </w:rPr>
              <w:t>389,446,061</w:t>
            </w:r>
          </w:p>
        </w:tc>
      </w:tr>
    </w:tbl>
    <w:p>
      <w:pPr>
        <w:autoSpaceDN w:val="0"/>
        <w:autoSpaceDE w:val="0"/>
        <w:widowControl/>
        <w:spacing w:line="233" w:lineRule="auto" w:before="6080" w:after="0"/>
        <w:ind w:left="0" w:right="0" w:firstLine="0"/>
        <w:jc w:val="center"/>
      </w:pPr>
      <w:r>
        <w:rPr>
          <w:rFonts w:ascii="Arial" w:hAnsi="Arial" w:eastAsia="Arial"/>
          <w:b w:val="0"/>
          <w:i w:val="0"/>
          <w:color w:val="000000"/>
          <w:sz w:val="20"/>
        </w:rPr>
        <w:t xml:space="preserve">254 </w:t>
      </w:r>
    </w:p>
    <w:p>
      <w:pPr>
        <w:sectPr>
          <w:pgSz w:w="11899" w:h="16841"/>
          <w:pgMar w:top="996"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3. </w:t>
      </w:r>
      <w:r>
        <w:rPr>
          <w:rFonts w:ascii="黑体" w:hAnsi="黑体" w:eastAsia="黑体"/>
          <w:b w:val="0"/>
          <w:i w:val="0"/>
          <w:color w:val="000000"/>
          <w:sz w:val="22"/>
        </w:rPr>
        <w:t>在联营企业中的权益（续）</w:t>
      </w:r>
    </w:p>
    <w:p>
      <w:pPr>
        <w:autoSpaceDN w:val="0"/>
        <w:autoSpaceDE w:val="0"/>
        <w:widowControl/>
        <w:spacing w:line="222" w:lineRule="exact" w:before="300" w:after="302"/>
        <w:ind w:left="358" w:right="0" w:firstLine="0"/>
        <w:jc w:val="left"/>
      </w:pPr>
      <w:r>
        <w:rPr>
          <w:rFonts w:ascii="黑体" w:hAnsi="黑体" w:eastAsia="黑体"/>
          <w:b w:val="0"/>
          <w:i w:val="0"/>
          <w:color w:val="000000"/>
          <w:sz w:val="22"/>
        </w:rPr>
        <w:t>上述联营企业的基本信息如下：</w:t>
      </w:r>
    </w:p>
    <w:tbl>
      <w:tblPr>
        <w:tblW w:type="auto" w:w="0"/>
        <w:tblLayout w:type="fixed"/>
        <w:tblLook w:firstColumn="1" w:firstRow="1" w:lastColumn="0" w:lastRow="0" w:noHBand="0" w:noVBand="1" w:val="04A0"/>
        <w:tblInd w:w="358.0000000000001" w:type="dxa"/>
      </w:tblPr>
      <w:tblGrid>
        <w:gridCol w:w="1503"/>
        <w:gridCol w:w="1503"/>
        <w:gridCol w:w="1503"/>
        <w:gridCol w:w="1503"/>
        <w:gridCol w:w="1503"/>
        <w:gridCol w:w="1503"/>
      </w:tblGrid>
      <w:tr>
        <w:trPr>
          <w:trHeight w:hRule="exact" w:val="224"/>
        </w:trPr>
        <w:tc>
          <w:tcPr>
            <w:tcW w:type="dxa" w:w="600"/>
            <w:tcBorders>
              <w:bottom w:sz="3.2000000000000455" w:val="single" w:color="#000000"/>
            </w:tcBorders>
            <w:tcMar>
              <w:start w:w="0" w:type="dxa"/>
              <w:end w:w="0" w:type="dxa"/>
            </w:tcMar>
          </w:tcPr>
          <w:p>
            <w:pPr>
              <w:autoSpaceDN w:val="0"/>
              <w:autoSpaceDE w:val="0"/>
              <w:widowControl/>
              <w:spacing w:line="152" w:lineRule="exact" w:before="66" w:after="0"/>
              <w:ind w:left="0" w:right="0" w:firstLine="0"/>
              <w:jc w:val="center"/>
            </w:pPr>
            <w:r>
              <w:rPr>
                <w:rFonts w:ascii="黑体" w:hAnsi="黑体" w:eastAsia="黑体"/>
                <w:b w:val="0"/>
                <w:i w:val="0"/>
                <w:color w:val="000000"/>
                <w:sz w:val="15"/>
              </w:rPr>
              <w:t>公司名称</w:t>
            </w:r>
          </w:p>
        </w:tc>
        <w:tc>
          <w:tcPr>
            <w:tcW w:type="dxa" w:w="2444"/>
            <w:tcBorders>
              <w:bottom w:sz="3.2000000000000455" w:val="single" w:color="#000000"/>
            </w:tcBorders>
            <w:tcMar>
              <w:start w:w="0" w:type="dxa"/>
              <w:end w:w="0" w:type="dxa"/>
            </w:tcMar>
          </w:tcPr>
          <w:p>
            <w:pPr>
              <w:autoSpaceDN w:val="0"/>
              <w:autoSpaceDE w:val="0"/>
              <w:widowControl/>
              <w:spacing w:line="152" w:lineRule="exact" w:before="66" w:after="0"/>
              <w:ind w:left="0" w:right="0" w:firstLine="0"/>
              <w:jc w:val="right"/>
            </w:pPr>
            <w:r>
              <w:rPr>
                <w:rFonts w:ascii="黑体" w:hAnsi="黑体" w:eastAsia="黑体"/>
                <w:b w:val="0"/>
                <w:i w:val="0"/>
                <w:color w:val="000000"/>
                <w:sz w:val="15"/>
              </w:rPr>
              <w:t>注册地及营业地</w:t>
            </w:r>
          </w:p>
        </w:tc>
        <w:tc>
          <w:tcPr>
            <w:tcW w:type="dxa" w:w="934"/>
            <w:tcBorders>
              <w:bottom w:sz="3.2000000000000455" w:val="single" w:color="#000000"/>
            </w:tcBorders>
            <w:tcMar>
              <w:start w:w="0" w:type="dxa"/>
              <w:end w:w="0" w:type="dxa"/>
            </w:tcMar>
          </w:tcPr>
          <w:p>
            <w:pPr>
              <w:autoSpaceDN w:val="0"/>
              <w:autoSpaceDE w:val="0"/>
              <w:widowControl/>
              <w:spacing w:line="152" w:lineRule="exact" w:before="66" w:after="0"/>
              <w:ind w:left="0" w:right="0" w:firstLine="0"/>
              <w:jc w:val="right"/>
            </w:pPr>
            <w:r>
              <w:rPr>
                <w:rFonts w:ascii="黑体" w:hAnsi="黑体" w:eastAsia="黑体"/>
                <w:b w:val="0"/>
                <w:i w:val="0"/>
                <w:color w:val="000000"/>
                <w:sz w:val="15"/>
              </w:rPr>
              <w:t>业务性质</w:t>
            </w:r>
          </w:p>
        </w:tc>
        <w:tc>
          <w:tcPr>
            <w:tcW w:type="dxa" w:w="2018"/>
            <w:tcBorders>
              <w:bottom w:sz="3.2000000000000455" w:val="single" w:color="#000000"/>
            </w:tcBorders>
            <w:tcMar>
              <w:start w:w="0" w:type="dxa"/>
              <w:end w:w="0" w:type="dxa"/>
            </w:tcMar>
          </w:tcPr>
          <w:p>
            <w:pPr>
              <w:autoSpaceDN w:val="0"/>
              <w:autoSpaceDE w:val="0"/>
              <w:widowControl/>
              <w:spacing w:line="168" w:lineRule="exact" w:before="52" w:after="0"/>
              <w:ind w:left="336" w:right="0" w:firstLine="0"/>
              <w:jc w:val="left"/>
            </w:pPr>
            <w:r>
              <w:rPr>
                <w:rFonts w:ascii="黑体" w:hAnsi="黑体" w:eastAsia="黑体"/>
                <w:b w:val="0"/>
                <w:i w:val="0"/>
                <w:color w:val="000000"/>
                <w:sz w:val="15"/>
              </w:rPr>
              <w:t>注册资本</w:t>
            </w:r>
            <w:r>
              <w:rPr>
                <w:rFonts w:ascii="Arial" w:hAnsi="Arial" w:eastAsia="Arial"/>
                <w:b w:val="0"/>
                <w:i w:val="0"/>
                <w:color w:val="000000"/>
                <w:sz w:val="15"/>
              </w:rPr>
              <w:t>/</w:t>
            </w:r>
            <w:r>
              <w:rPr>
                <w:rFonts w:ascii="黑体" w:hAnsi="黑体" w:eastAsia="黑体"/>
                <w:b w:val="0"/>
                <w:i w:val="0"/>
                <w:color w:val="000000"/>
                <w:sz w:val="15"/>
              </w:rPr>
              <w:t>认缴出资</w:t>
            </w:r>
          </w:p>
        </w:tc>
        <w:tc>
          <w:tcPr>
            <w:tcW w:type="dxa" w:w="900"/>
            <w:tcBorders>
              <w:bottom w:sz="3.2000000000000455" w:val="single" w:color="#000000"/>
            </w:tcBorders>
            <w:tcMar>
              <w:start w:w="0" w:type="dxa"/>
              <w:end w:w="0" w:type="dxa"/>
            </w:tcMar>
          </w:tcPr>
          <w:p>
            <w:pPr>
              <w:autoSpaceDN w:val="0"/>
              <w:autoSpaceDE w:val="0"/>
              <w:widowControl/>
              <w:spacing w:line="152" w:lineRule="exact" w:before="66" w:after="0"/>
              <w:ind w:left="0" w:right="0" w:firstLine="0"/>
              <w:jc w:val="center"/>
            </w:pPr>
            <w:r>
              <w:rPr>
                <w:rFonts w:ascii="黑体" w:hAnsi="黑体" w:eastAsia="黑体"/>
                <w:b w:val="0"/>
                <w:i w:val="0"/>
                <w:color w:val="000000"/>
                <w:sz w:val="15"/>
              </w:rPr>
              <w:t>企业实收资本</w:t>
            </w:r>
          </w:p>
        </w:tc>
        <w:tc>
          <w:tcPr>
            <w:tcW w:type="dxa" w:w="1336"/>
            <w:tcBorders>
              <w:bottom w:sz="3.2000000000000455" w:val="single" w:color="#000000"/>
            </w:tcBorders>
            <w:tcMar>
              <w:start w:w="0" w:type="dxa"/>
              <w:end w:w="0" w:type="dxa"/>
            </w:tcMar>
          </w:tcPr>
          <w:p>
            <w:pPr>
              <w:autoSpaceDN w:val="0"/>
              <w:autoSpaceDE w:val="0"/>
              <w:widowControl/>
              <w:spacing w:line="152" w:lineRule="exact" w:before="66" w:after="0"/>
              <w:ind w:left="284" w:right="0" w:firstLine="0"/>
              <w:jc w:val="left"/>
            </w:pPr>
            <w:r>
              <w:rPr>
                <w:rFonts w:ascii="黑体" w:hAnsi="黑体" w:eastAsia="黑体"/>
                <w:b w:val="0"/>
                <w:i w:val="0"/>
                <w:color w:val="000000"/>
                <w:sz w:val="15"/>
              </w:rPr>
              <w:t>本集团出资比例</w:t>
            </w:r>
          </w:p>
        </w:tc>
      </w:tr>
    </w:tbl>
    <w:p>
      <w:pPr>
        <w:autoSpaceDN w:val="0"/>
        <w:autoSpaceDE w:val="0"/>
        <w:widowControl/>
        <w:spacing w:line="138" w:lineRule="exact" w:before="288" w:after="18"/>
        <w:ind w:left="358" w:right="0" w:firstLine="0"/>
        <w:jc w:val="left"/>
      </w:pPr>
      <w:r>
        <w:rPr>
          <w:rFonts w:ascii="黑体" w:hAnsi="黑体" w:eastAsia="黑体"/>
          <w:b w:val="0"/>
          <w:i w:val="0"/>
          <w:color w:val="000000"/>
          <w:sz w:val="14"/>
        </w:rPr>
        <w:t>杭州龙华股融股权投资基金合</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8"/>
        </w:trPr>
        <w:tc>
          <w:tcPr>
            <w:tcW w:type="dxa" w:w="1880"/>
            <w:tcBorders/>
            <w:tcMar>
              <w:start w:w="0" w:type="dxa"/>
              <w:end w:w="0" w:type="dxa"/>
            </w:tcMar>
          </w:tcPr>
          <w:p>
            <w:pPr>
              <w:autoSpaceDN w:val="0"/>
              <w:autoSpaceDE w:val="0"/>
              <w:widowControl/>
              <w:spacing w:line="140" w:lineRule="exact" w:before="26" w:after="0"/>
              <w:ind w:left="260" w:right="0" w:firstLine="0"/>
              <w:jc w:val="left"/>
            </w:pPr>
            <w:r>
              <w:rPr>
                <w:rFonts w:ascii="黑体" w:hAnsi="黑体" w:eastAsia="黑体"/>
                <w:b w:val="0"/>
                <w:i w:val="0"/>
                <w:color w:val="000000"/>
                <w:sz w:val="14"/>
              </w:rPr>
              <w:t>伙企业(有限合伙)</w:t>
            </w:r>
          </w:p>
        </w:tc>
        <w:tc>
          <w:tcPr>
            <w:tcW w:type="dxa" w:w="1180"/>
            <w:tcBorders/>
            <w:tcMar>
              <w:start w:w="0" w:type="dxa"/>
              <w:end w:w="0" w:type="dxa"/>
            </w:tcMar>
          </w:tcPr>
          <w:p>
            <w:pPr>
              <w:autoSpaceDN w:val="0"/>
              <w:autoSpaceDE w:val="0"/>
              <w:widowControl/>
              <w:spacing w:line="140" w:lineRule="exact" w:before="26" w:after="0"/>
              <w:ind w:left="0" w:right="242" w:firstLine="0"/>
              <w:jc w:val="right"/>
            </w:pPr>
            <w:r>
              <w:rPr>
                <w:rFonts w:ascii="黑体" w:hAnsi="黑体" w:eastAsia="黑体"/>
                <w:b w:val="0"/>
                <w:i w:val="0"/>
                <w:color w:val="000000"/>
                <w:sz w:val="14"/>
              </w:rPr>
              <w:t>杭州市</w:t>
            </w:r>
          </w:p>
        </w:tc>
        <w:tc>
          <w:tcPr>
            <w:tcW w:type="dxa" w:w="1280"/>
            <w:tcBorders/>
            <w:tcMar>
              <w:start w:w="0" w:type="dxa"/>
              <w:end w:w="0" w:type="dxa"/>
            </w:tcMar>
          </w:tcPr>
          <w:p>
            <w:pPr>
              <w:autoSpaceDN w:val="0"/>
              <w:autoSpaceDE w:val="0"/>
              <w:widowControl/>
              <w:spacing w:line="140" w:lineRule="exact" w:before="26" w:after="0"/>
              <w:ind w:left="268" w:right="0" w:firstLine="0"/>
              <w:jc w:val="left"/>
            </w:pPr>
            <w:r>
              <w:rPr>
                <w:rFonts w:ascii="黑体" w:hAnsi="黑体" w:eastAsia="黑体"/>
                <w:b w:val="0"/>
                <w:i w:val="0"/>
                <w:color w:val="000000"/>
                <w:sz w:val="14"/>
              </w:rPr>
              <w:t>私募股权投资</w:t>
            </w:r>
          </w:p>
        </w:tc>
        <w:tc>
          <w:tcPr>
            <w:tcW w:type="dxa" w:w="1520"/>
            <w:tcBorders/>
            <w:tcMar>
              <w:start w:w="0" w:type="dxa"/>
              <w:end w:w="0" w:type="dxa"/>
            </w:tcMar>
          </w:tcPr>
          <w:p>
            <w:pPr>
              <w:autoSpaceDN w:val="0"/>
              <w:autoSpaceDE w:val="0"/>
              <w:widowControl/>
              <w:spacing w:line="154" w:lineRule="exact" w:before="20" w:after="0"/>
              <w:ind w:left="186" w:right="0" w:firstLine="0"/>
              <w:jc w:val="left"/>
            </w:pPr>
            <w:r>
              <w:rPr>
                <w:rFonts w:ascii="黑体" w:hAnsi="黑体" w:eastAsia="黑体"/>
                <w:b w:val="0"/>
                <w:i w:val="0"/>
                <w:color w:val="000000"/>
                <w:sz w:val="14"/>
              </w:rPr>
              <w:t>人民币</w:t>
            </w:r>
            <w:r>
              <w:rPr>
                <w:rFonts w:ascii="Arial" w:hAnsi="Arial" w:eastAsia="Arial"/>
                <w:b w:val="0"/>
                <w:i w:val="0"/>
                <w:color w:val="000000"/>
                <w:sz w:val="14"/>
              </w:rPr>
              <w:t>5,000</w:t>
            </w:r>
            <w:r>
              <w:rPr>
                <w:rFonts w:ascii="黑体" w:hAnsi="黑体" w:eastAsia="黑体"/>
                <w:b w:val="0"/>
                <w:i w:val="0"/>
                <w:color w:val="000000"/>
                <w:sz w:val="14"/>
              </w:rPr>
              <w:t>万元</w:t>
            </w:r>
          </w:p>
        </w:tc>
        <w:tc>
          <w:tcPr>
            <w:tcW w:type="dxa" w:w="1380"/>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4"/>
              </w:rPr>
              <w:t xml:space="preserve">10,000,000 </w:t>
            </w:r>
          </w:p>
        </w:tc>
        <w:tc>
          <w:tcPr>
            <w:tcW w:type="dxa" w:w="1200"/>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4"/>
              </w:rPr>
              <w:t xml:space="preserve">20.00% </w:t>
            </w:r>
          </w:p>
        </w:tc>
      </w:tr>
    </w:tbl>
    <w:p>
      <w:pPr>
        <w:autoSpaceDN w:val="0"/>
        <w:autoSpaceDE w:val="0"/>
        <w:widowControl/>
        <w:spacing w:line="138" w:lineRule="exact" w:before="12" w:after="16"/>
        <w:ind w:left="358" w:right="0" w:firstLine="0"/>
        <w:jc w:val="left"/>
      </w:pPr>
      <w:r>
        <w:rPr>
          <w:rFonts w:ascii="黑体" w:hAnsi="黑体" w:eastAsia="黑体"/>
          <w:b w:val="0"/>
          <w:i w:val="0"/>
          <w:color w:val="000000"/>
          <w:sz w:val="14"/>
        </w:rPr>
        <w:t>山西国投创新绿色能源股权投</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6"/>
        </w:trPr>
        <w:tc>
          <w:tcPr>
            <w:tcW w:type="dxa" w:w="212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 xml:space="preserve">资合伙企业（有限合伙） </w:t>
            </w:r>
          </w:p>
        </w:tc>
        <w:tc>
          <w:tcPr>
            <w:tcW w:type="dxa" w:w="94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38" w:lineRule="exact" w:before="26"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6"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25,100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30" w:after="0"/>
              <w:ind w:left="268" w:right="0" w:firstLine="0"/>
              <w:jc w:val="left"/>
            </w:pPr>
            <w:r>
              <w:rPr>
                <w:rFonts w:ascii="Arial" w:hAnsi="Arial" w:eastAsia="Arial"/>
                <w:b w:val="0"/>
                <w:i w:val="0"/>
                <w:color w:val="000000"/>
                <w:sz w:val="14"/>
              </w:rPr>
              <w:t xml:space="preserve">50,000,000 </w:t>
            </w:r>
          </w:p>
        </w:tc>
        <w:tc>
          <w:tcPr>
            <w:tcW w:type="dxa" w:w="1200"/>
            <w:tcBorders/>
            <w:tcMar>
              <w:start w:w="0" w:type="dxa"/>
              <w:end w:w="0" w:type="dxa"/>
            </w:tcMar>
          </w:tcPr>
          <w:p>
            <w:pPr>
              <w:autoSpaceDN w:val="0"/>
              <w:autoSpaceDE w:val="0"/>
              <w:widowControl/>
              <w:spacing w:line="233" w:lineRule="auto" w:before="30" w:after="0"/>
              <w:ind w:left="0" w:right="0" w:firstLine="0"/>
              <w:jc w:val="center"/>
            </w:pPr>
            <w:r>
              <w:rPr>
                <w:rFonts w:ascii="Arial" w:hAnsi="Arial" w:eastAsia="Arial"/>
                <w:b w:val="0"/>
                <w:i w:val="0"/>
                <w:color w:val="000000"/>
                <w:sz w:val="14"/>
              </w:rPr>
              <w:t xml:space="preserve">19.92% </w:t>
            </w:r>
          </w:p>
        </w:tc>
      </w:tr>
    </w:tbl>
    <w:p>
      <w:pPr>
        <w:autoSpaceDN w:val="0"/>
        <w:autoSpaceDE w:val="0"/>
        <w:widowControl/>
        <w:spacing w:line="138" w:lineRule="exact" w:before="12" w:after="20"/>
        <w:ind w:left="358" w:right="0" w:firstLine="0"/>
        <w:jc w:val="left"/>
      </w:pPr>
      <w:r>
        <w:rPr>
          <w:rFonts w:ascii="黑体" w:hAnsi="黑体" w:eastAsia="黑体"/>
          <w:b w:val="0"/>
          <w:i w:val="0"/>
          <w:color w:val="000000"/>
          <w:sz w:val="14"/>
        </w:rPr>
        <w:t>山西交通产业基金合伙企业</w:t>
      </w:r>
    </w:p>
    <w:tbl>
      <w:tblPr>
        <w:tblW w:type="auto" w:w="0"/>
        <w:tblLayout w:type="fixed"/>
        <w:tblLook w:firstColumn="1" w:firstRow="1" w:lastColumn="0" w:lastRow="0" w:noHBand="0" w:noVBand="1" w:val="04A0"/>
        <w:tblInd w:w="240.0" w:type="dxa"/>
      </w:tblPr>
      <w:tblGrid>
        <w:gridCol w:w="1804"/>
        <w:gridCol w:w="1804"/>
        <w:gridCol w:w="1804"/>
        <w:gridCol w:w="1804"/>
        <w:gridCol w:w="1804"/>
      </w:tblGrid>
      <w:tr>
        <w:trPr>
          <w:trHeight w:hRule="exact" w:val="192"/>
        </w:trPr>
        <w:tc>
          <w:tcPr>
            <w:tcW w:type="dxa" w:w="1780"/>
            <w:tcBorders/>
            <w:tcMar>
              <w:start w:w="0" w:type="dxa"/>
              <w:end w:w="0" w:type="dxa"/>
            </w:tcMar>
          </w:tcPr>
          <w:p>
            <w:pPr>
              <w:autoSpaceDN w:val="0"/>
              <w:autoSpaceDE w:val="0"/>
              <w:widowControl/>
              <w:spacing w:line="140" w:lineRule="exact" w:before="24" w:after="0"/>
              <w:ind w:left="260" w:right="0" w:firstLine="0"/>
              <w:jc w:val="left"/>
            </w:pPr>
            <w:r>
              <w:rPr>
                <w:rFonts w:ascii="黑体" w:hAnsi="黑体" w:eastAsia="黑体"/>
                <w:b w:val="0"/>
                <w:i w:val="0"/>
                <w:color w:val="000000"/>
                <w:sz w:val="14"/>
              </w:rPr>
              <w:t xml:space="preserve">（有限合伙） </w:t>
            </w:r>
          </w:p>
        </w:tc>
        <w:tc>
          <w:tcPr>
            <w:tcW w:type="dxa" w:w="1280"/>
            <w:tcBorders/>
            <w:tcMar>
              <w:start w:w="0" w:type="dxa"/>
              <w:end w:w="0" w:type="dxa"/>
            </w:tcMar>
          </w:tcPr>
          <w:p>
            <w:pPr>
              <w:autoSpaceDN w:val="0"/>
              <w:autoSpaceDE w:val="0"/>
              <w:widowControl/>
              <w:spacing w:line="140" w:lineRule="exact" w:before="24" w:after="0"/>
              <w:ind w:left="0" w:right="242" w:firstLine="0"/>
              <w:jc w:val="right"/>
            </w:pPr>
            <w:r>
              <w:rPr>
                <w:rFonts w:ascii="黑体" w:hAnsi="黑体" w:eastAsia="黑体"/>
                <w:b w:val="0"/>
                <w:i w:val="0"/>
                <w:color w:val="000000"/>
                <w:sz w:val="14"/>
              </w:rPr>
              <w:t>太原市</w:t>
            </w:r>
          </w:p>
        </w:tc>
        <w:tc>
          <w:tcPr>
            <w:tcW w:type="dxa" w:w="2860"/>
            <w:tcBorders/>
            <w:tcMar>
              <w:start w:w="0" w:type="dxa"/>
              <w:end w:w="0" w:type="dxa"/>
            </w:tcMar>
          </w:tcPr>
          <w:p>
            <w:pPr>
              <w:autoSpaceDN w:val="0"/>
              <w:autoSpaceDE w:val="0"/>
              <w:widowControl/>
              <w:spacing w:line="154" w:lineRule="exact" w:before="18" w:after="0"/>
              <w:ind w:left="0" w:right="0" w:firstLine="0"/>
              <w:jc w:val="center"/>
            </w:pPr>
            <w:r>
              <w:rPr>
                <w:rFonts w:ascii="黑体" w:hAnsi="黑体" w:eastAsia="黑体"/>
                <w:b w:val="0"/>
                <w:i w:val="0"/>
                <w:color w:val="000000"/>
                <w:sz w:val="14"/>
              </w:rPr>
              <w:t>私募股权投资</w:t>
            </w:r>
            <w:r>
              <w:rPr>
                <w:rFonts w:ascii="黑体" w:hAnsi="黑体" w:eastAsia="黑体"/>
                <w:b w:val="0"/>
                <w:i w:val="0"/>
                <w:color w:val="000000"/>
                <w:sz w:val="14"/>
              </w:rPr>
              <w:t>人民币</w:t>
            </w:r>
            <w:r>
              <w:rPr>
                <w:rFonts w:ascii="Arial" w:hAnsi="Arial" w:eastAsia="Arial"/>
                <w:b w:val="0"/>
                <w:i w:val="0"/>
                <w:color w:val="000000"/>
                <w:sz w:val="14"/>
              </w:rPr>
              <w:t>1,000,000</w:t>
            </w:r>
            <w:r>
              <w:rPr>
                <w:rFonts w:ascii="黑体" w:hAnsi="黑体" w:eastAsia="黑体"/>
                <w:b w:val="0"/>
                <w:i w:val="0"/>
                <w:color w:val="000000"/>
                <w:sz w:val="14"/>
              </w:rPr>
              <w:t>万元</w:t>
            </w:r>
          </w:p>
        </w:tc>
        <w:tc>
          <w:tcPr>
            <w:tcW w:type="dxa" w:w="1320"/>
            <w:tcBorders/>
            <w:tcMar>
              <w:start w:w="0" w:type="dxa"/>
              <w:end w:w="0" w:type="dxa"/>
            </w:tcMar>
          </w:tcPr>
          <w:p>
            <w:pPr>
              <w:autoSpaceDN w:val="0"/>
              <w:autoSpaceDE w:val="0"/>
              <w:widowControl/>
              <w:spacing w:line="230" w:lineRule="auto" w:before="28" w:after="0"/>
              <w:ind w:left="228" w:right="0" w:firstLine="0"/>
              <w:jc w:val="left"/>
            </w:pPr>
            <w:r>
              <w:rPr>
                <w:rFonts w:ascii="Arial" w:hAnsi="Arial" w:eastAsia="Arial"/>
                <w:b w:val="0"/>
                <w:i w:val="0"/>
                <w:color w:val="000000"/>
                <w:sz w:val="14"/>
              </w:rPr>
              <w:t xml:space="preserve">34,780,000 </w:t>
            </w:r>
          </w:p>
        </w:tc>
        <w:tc>
          <w:tcPr>
            <w:tcW w:type="dxa" w:w="120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20.14% </w:t>
            </w:r>
          </w:p>
        </w:tc>
      </w:tr>
    </w:tbl>
    <w:p>
      <w:pPr>
        <w:autoSpaceDN w:val="0"/>
        <w:autoSpaceDE w:val="0"/>
        <w:widowControl/>
        <w:spacing w:line="140" w:lineRule="exact" w:before="12" w:after="18"/>
        <w:ind w:left="358" w:right="0" w:firstLine="0"/>
        <w:jc w:val="left"/>
      </w:pPr>
      <w:r>
        <w:rPr>
          <w:rFonts w:ascii="黑体" w:hAnsi="黑体" w:eastAsia="黑体"/>
          <w:b w:val="0"/>
          <w:i w:val="0"/>
          <w:color w:val="000000"/>
          <w:sz w:val="14"/>
        </w:rPr>
        <w:t>山西太行煤成气产业投资基金</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6"/>
        </w:trPr>
        <w:tc>
          <w:tcPr>
            <w:tcW w:type="dxa" w:w="206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 xml:space="preserve">合伙企业（有限合伙） </w:t>
            </w:r>
          </w:p>
        </w:tc>
        <w:tc>
          <w:tcPr>
            <w:tcW w:type="dxa" w:w="1000"/>
            <w:tcBorders/>
            <w:tcMar>
              <w:start w:w="0" w:type="dxa"/>
              <w:end w:w="0" w:type="dxa"/>
            </w:tcMar>
          </w:tcPr>
          <w:p>
            <w:pPr>
              <w:autoSpaceDN w:val="0"/>
              <w:autoSpaceDE w:val="0"/>
              <w:widowControl/>
              <w:spacing w:line="140" w:lineRule="exact" w:before="24" w:after="0"/>
              <w:ind w:left="0" w:right="242" w:firstLine="0"/>
              <w:jc w:val="right"/>
            </w:pPr>
            <w:r>
              <w:rPr>
                <w:rFonts w:ascii="黑体" w:hAnsi="黑体" w:eastAsia="黑体"/>
                <w:b w:val="0"/>
                <w:i w:val="0"/>
                <w:color w:val="000000"/>
                <w:sz w:val="14"/>
              </w:rPr>
              <w:t>晋城市</w:t>
            </w:r>
          </w:p>
        </w:tc>
        <w:tc>
          <w:tcPr>
            <w:tcW w:type="dxa" w:w="1260"/>
            <w:tcBorders/>
            <w:tcMar>
              <w:start w:w="0" w:type="dxa"/>
              <w:end w:w="0" w:type="dxa"/>
            </w:tcMar>
          </w:tcPr>
          <w:p>
            <w:pPr>
              <w:autoSpaceDN w:val="0"/>
              <w:autoSpaceDE w:val="0"/>
              <w:widowControl/>
              <w:spacing w:line="140" w:lineRule="exact" w:before="24"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6"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60,100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30" w:after="0"/>
              <w:ind w:left="268" w:right="0" w:firstLine="0"/>
              <w:jc w:val="left"/>
            </w:pPr>
            <w:r>
              <w:rPr>
                <w:rFonts w:ascii="Arial" w:hAnsi="Arial" w:eastAsia="Arial"/>
                <w:b w:val="0"/>
                <w:i w:val="0"/>
                <w:color w:val="000000"/>
                <w:sz w:val="14"/>
              </w:rPr>
              <w:t xml:space="preserve">16,335,000 </w:t>
            </w:r>
          </w:p>
        </w:tc>
        <w:tc>
          <w:tcPr>
            <w:tcW w:type="dxa" w:w="1200"/>
            <w:tcBorders/>
            <w:tcMar>
              <w:start w:w="0" w:type="dxa"/>
              <w:end w:w="0" w:type="dxa"/>
            </w:tcMar>
          </w:tcPr>
          <w:p>
            <w:pPr>
              <w:autoSpaceDN w:val="0"/>
              <w:autoSpaceDE w:val="0"/>
              <w:widowControl/>
              <w:spacing w:line="233" w:lineRule="auto" w:before="30" w:after="0"/>
              <w:ind w:left="0" w:right="0" w:firstLine="0"/>
              <w:jc w:val="center"/>
            </w:pPr>
            <w:r>
              <w:rPr>
                <w:rFonts w:ascii="Arial" w:hAnsi="Arial" w:eastAsia="Arial"/>
                <w:b w:val="0"/>
                <w:i w:val="0"/>
                <w:color w:val="000000"/>
                <w:sz w:val="14"/>
              </w:rPr>
              <w:t xml:space="preserve">16.42% </w:t>
            </w:r>
          </w:p>
        </w:tc>
      </w:tr>
    </w:tbl>
    <w:p>
      <w:pPr>
        <w:autoSpaceDN w:val="0"/>
        <w:autoSpaceDE w:val="0"/>
        <w:widowControl/>
        <w:spacing w:line="140" w:lineRule="exact" w:before="10" w:after="18"/>
        <w:ind w:left="358" w:right="0" w:firstLine="0"/>
        <w:jc w:val="left"/>
      </w:pPr>
      <w:r>
        <w:rPr>
          <w:rFonts w:ascii="黑体" w:hAnsi="黑体" w:eastAsia="黑体"/>
          <w:b w:val="0"/>
          <w:i w:val="0"/>
          <w:color w:val="000000"/>
          <w:sz w:val="14"/>
        </w:rPr>
        <w:t>山西信创引导私募股权投资基</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4"/>
        </w:trPr>
        <w:tc>
          <w:tcPr>
            <w:tcW w:type="dxa" w:w="2120"/>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 xml:space="preserve">金合伙企业（有限合伙） </w:t>
            </w:r>
          </w:p>
        </w:tc>
        <w:tc>
          <w:tcPr>
            <w:tcW w:type="dxa" w:w="940"/>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40" w:lineRule="exact" w:before="22"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6" w:lineRule="exact" w:before="16"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50,000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28" w:after="0"/>
              <w:ind w:left="268" w:right="0" w:firstLine="0"/>
              <w:jc w:val="left"/>
            </w:pPr>
            <w:r>
              <w:rPr>
                <w:rFonts w:ascii="Arial" w:hAnsi="Arial" w:eastAsia="Arial"/>
                <w:b w:val="0"/>
                <w:i w:val="0"/>
                <w:color w:val="000000"/>
                <w:sz w:val="14"/>
              </w:rPr>
              <w:t xml:space="preserve">40,400,000 </w:t>
            </w:r>
          </w:p>
        </w:tc>
        <w:tc>
          <w:tcPr>
            <w:tcW w:type="dxa" w:w="120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21.88% </w:t>
            </w:r>
          </w:p>
        </w:tc>
      </w:tr>
    </w:tbl>
    <w:p>
      <w:pPr>
        <w:autoSpaceDN w:val="0"/>
        <w:autoSpaceDE w:val="0"/>
        <w:widowControl/>
        <w:spacing w:line="138" w:lineRule="exact" w:before="12" w:after="20"/>
        <w:ind w:left="358" w:right="0" w:firstLine="0"/>
        <w:jc w:val="left"/>
      </w:pPr>
      <w:r>
        <w:rPr>
          <w:rFonts w:ascii="黑体" w:hAnsi="黑体" w:eastAsia="黑体"/>
          <w:b w:val="0"/>
          <w:i w:val="0"/>
          <w:color w:val="000000"/>
          <w:sz w:val="14"/>
        </w:rPr>
        <w:t>扬州山证启航股权投资合伙企</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4"/>
        </w:trPr>
        <w:tc>
          <w:tcPr>
            <w:tcW w:type="dxa" w:w="1840"/>
            <w:tcBorders/>
            <w:tcMar>
              <w:start w:w="0" w:type="dxa"/>
              <w:end w:w="0" w:type="dxa"/>
            </w:tcMar>
          </w:tcPr>
          <w:p>
            <w:pPr>
              <w:autoSpaceDN w:val="0"/>
              <w:autoSpaceDE w:val="0"/>
              <w:widowControl/>
              <w:spacing w:line="138" w:lineRule="exact" w:before="24" w:after="0"/>
              <w:ind w:left="260" w:right="0" w:firstLine="0"/>
              <w:jc w:val="left"/>
            </w:pPr>
            <w:r>
              <w:rPr>
                <w:rFonts w:ascii="黑体" w:hAnsi="黑体" w:eastAsia="黑体"/>
                <w:b w:val="0"/>
                <w:i w:val="0"/>
                <w:color w:val="000000"/>
                <w:sz w:val="14"/>
              </w:rPr>
              <w:t xml:space="preserve">业（有限合伙） </w:t>
            </w:r>
          </w:p>
        </w:tc>
        <w:tc>
          <w:tcPr>
            <w:tcW w:type="dxa" w:w="1220"/>
            <w:tcBorders/>
            <w:tcMar>
              <w:start w:w="0" w:type="dxa"/>
              <w:end w:w="0" w:type="dxa"/>
            </w:tcMar>
          </w:tcPr>
          <w:p>
            <w:pPr>
              <w:autoSpaceDN w:val="0"/>
              <w:autoSpaceDE w:val="0"/>
              <w:widowControl/>
              <w:spacing w:line="138" w:lineRule="exact" w:before="24" w:after="0"/>
              <w:ind w:left="0" w:right="242" w:firstLine="0"/>
              <w:jc w:val="right"/>
            </w:pPr>
            <w:r>
              <w:rPr>
                <w:rFonts w:ascii="黑体" w:hAnsi="黑体" w:eastAsia="黑体"/>
                <w:b w:val="0"/>
                <w:i w:val="0"/>
                <w:color w:val="000000"/>
                <w:sz w:val="14"/>
              </w:rPr>
              <w:t>扬州市</w:t>
            </w:r>
          </w:p>
        </w:tc>
        <w:tc>
          <w:tcPr>
            <w:tcW w:type="dxa" w:w="1260"/>
            <w:tcBorders/>
            <w:tcMar>
              <w:start w:w="0" w:type="dxa"/>
              <w:end w:w="0" w:type="dxa"/>
            </w:tcMar>
          </w:tcPr>
          <w:p>
            <w:pPr>
              <w:autoSpaceDN w:val="0"/>
              <w:autoSpaceDE w:val="0"/>
              <w:widowControl/>
              <w:spacing w:line="138" w:lineRule="exact" w:before="24"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4"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35,300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26" w:after="0"/>
              <w:ind w:left="268" w:right="0" w:firstLine="0"/>
              <w:jc w:val="left"/>
            </w:pPr>
            <w:r>
              <w:rPr>
                <w:rFonts w:ascii="Arial" w:hAnsi="Arial" w:eastAsia="Arial"/>
                <w:b w:val="0"/>
                <w:i w:val="0"/>
                <w:color w:val="000000"/>
                <w:sz w:val="14"/>
              </w:rPr>
              <w:t xml:space="preserve">57,000,000 </w:t>
            </w:r>
          </w:p>
        </w:tc>
        <w:tc>
          <w:tcPr>
            <w:tcW w:type="dxa" w:w="12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16.15% </w:t>
            </w:r>
          </w:p>
        </w:tc>
      </w:tr>
    </w:tbl>
    <w:p>
      <w:pPr>
        <w:autoSpaceDN w:val="0"/>
        <w:autoSpaceDE w:val="0"/>
        <w:widowControl/>
        <w:spacing w:line="138" w:lineRule="exact" w:before="10" w:after="18"/>
        <w:ind w:left="358" w:right="0" w:firstLine="0"/>
        <w:jc w:val="left"/>
      </w:pPr>
      <w:r>
        <w:rPr>
          <w:rFonts w:ascii="黑体" w:hAnsi="黑体" w:eastAsia="黑体"/>
          <w:b w:val="0"/>
          <w:i w:val="0"/>
          <w:color w:val="000000"/>
          <w:sz w:val="14"/>
        </w:rPr>
        <w:t>山西上市倍增私募股权投资基</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6"/>
        </w:trPr>
        <w:tc>
          <w:tcPr>
            <w:tcW w:type="dxa" w:w="2120"/>
            <w:tcBorders/>
            <w:tcMar>
              <w:start w:w="0" w:type="dxa"/>
              <w:end w:w="0" w:type="dxa"/>
            </w:tcMar>
          </w:tcPr>
          <w:p>
            <w:pPr>
              <w:autoSpaceDN w:val="0"/>
              <w:autoSpaceDE w:val="0"/>
              <w:widowControl/>
              <w:spacing w:line="140" w:lineRule="exact" w:before="26" w:after="0"/>
              <w:ind w:left="0" w:right="0" w:firstLine="0"/>
              <w:jc w:val="center"/>
            </w:pPr>
            <w:r>
              <w:rPr>
                <w:rFonts w:ascii="黑体" w:hAnsi="黑体" w:eastAsia="黑体"/>
                <w:b w:val="0"/>
                <w:i w:val="0"/>
                <w:color w:val="000000"/>
                <w:sz w:val="14"/>
              </w:rPr>
              <w:t xml:space="preserve">金合伙企业（有限合伙） </w:t>
            </w:r>
          </w:p>
        </w:tc>
        <w:tc>
          <w:tcPr>
            <w:tcW w:type="dxa" w:w="940"/>
            <w:tcBorders/>
            <w:tcMar>
              <w:start w:w="0" w:type="dxa"/>
              <w:end w:w="0" w:type="dxa"/>
            </w:tcMar>
          </w:tcPr>
          <w:p>
            <w:pPr>
              <w:autoSpaceDN w:val="0"/>
              <w:autoSpaceDE w:val="0"/>
              <w:widowControl/>
              <w:spacing w:line="140" w:lineRule="exact" w:before="26" w:after="0"/>
              <w:ind w:left="0" w:right="0" w:firstLine="0"/>
              <w:jc w:val="center"/>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40" w:lineRule="exact" w:before="26"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4" w:lineRule="exact" w:before="20"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50,000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0" w:lineRule="auto" w:before="32" w:after="0"/>
              <w:ind w:left="306" w:right="0" w:firstLine="0"/>
              <w:jc w:val="left"/>
            </w:pPr>
            <w:r>
              <w:rPr>
                <w:rFonts w:ascii="Arial" w:hAnsi="Arial" w:eastAsia="Arial"/>
                <w:b w:val="0"/>
                <w:i w:val="0"/>
                <w:color w:val="000000"/>
                <w:sz w:val="14"/>
              </w:rPr>
              <w:t xml:space="preserve">1,000,000 </w:t>
            </w:r>
          </w:p>
        </w:tc>
        <w:tc>
          <w:tcPr>
            <w:tcW w:type="dxa" w:w="1180"/>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4"/>
              </w:rPr>
              <w:t xml:space="preserve">0.40% </w:t>
            </w:r>
          </w:p>
        </w:tc>
      </w:tr>
    </w:tbl>
    <w:p>
      <w:pPr>
        <w:autoSpaceDN w:val="0"/>
        <w:autoSpaceDE w:val="0"/>
        <w:widowControl/>
        <w:spacing w:line="140" w:lineRule="exact" w:before="12" w:after="18"/>
        <w:ind w:left="358" w:right="0" w:firstLine="0"/>
        <w:jc w:val="left"/>
      </w:pPr>
      <w:r>
        <w:rPr>
          <w:rFonts w:ascii="黑体" w:hAnsi="黑体" w:eastAsia="黑体"/>
          <w:b w:val="0"/>
          <w:i w:val="0"/>
          <w:color w:val="000000"/>
          <w:sz w:val="14"/>
        </w:rPr>
        <w:t>共青城山证绿菱启明股权投资</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4"/>
        </w:trPr>
        <w:tc>
          <w:tcPr>
            <w:tcW w:type="dxa" w:w="1960"/>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 xml:space="preserve">合伙企业（有限合伙） </w:t>
            </w:r>
          </w:p>
        </w:tc>
        <w:tc>
          <w:tcPr>
            <w:tcW w:type="dxa" w:w="1200"/>
            <w:tcBorders/>
            <w:tcMar>
              <w:start w:w="0" w:type="dxa"/>
              <w:end w:w="0" w:type="dxa"/>
            </w:tcMar>
          </w:tcPr>
          <w:p>
            <w:pPr>
              <w:autoSpaceDN w:val="0"/>
              <w:autoSpaceDE w:val="0"/>
              <w:widowControl/>
              <w:spacing w:line="140" w:lineRule="exact" w:before="22" w:after="0"/>
              <w:ind w:left="232" w:right="0" w:firstLine="0"/>
              <w:jc w:val="left"/>
            </w:pPr>
            <w:r>
              <w:rPr>
                <w:rFonts w:ascii="黑体" w:hAnsi="黑体" w:eastAsia="黑体"/>
                <w:b w:val="0"/>
                <w:i w:val="0"/>
                <w:color w:val="000000"/>
                <w:sz w:val="14"/>
              </w:rPr>
              <w:t>江西省九江市</w:t>
            </w:r>
          </w:p>
        </w:tc>
        <w:tc>
          <w:tcPr>
            <w:tcW w:type="dxa" w:w="1180"/>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私募股权投资</w:t>
            </w:r>
          </w:p>
        </w:tc>
        <w:tc>
          <w:tcPr>
            <w:tcW w:type="dxa" w:w="1540"/>
            <w:tcBorders/>
            <w:tcMar>
              <w:start w:w="0" w:type="dxa"/>
              <w:end w:w="0" w:type="dxa"/>
            </w:tcMar>
          </w:tcPr>
          <w:p>
            <w:pPr>
              <w:autoSpaceDN w:val="0"/>
              <w:autoSpaceDE w:val="0"/>
              <w:widowControl/>
              <w:spacing w:line="156" w:lineRule="exact" w:before="16" w:after="0"/>
              <w:ind w:left="186" w:right="0" w:firstLine="0"/>
              <w:jc w:val="left"/>
            </w:pPr>
            <w:r>
              <w:rPr>
                <w:rFonts w:ascii="黑体" w:hAnsi="黑体" w:eastAsia="黑体"/>
                <w:b w:val="0"/>
                <w:i w:val="0"/>
                <w:color w:val="000000"/>
                <w:sz w:val="14"/>
              </w:rPr>
              <w:t>人民币</w:t>
            </w:r>
            <w:r>
              <w:rPr>
                <w:rFonts w:ascii="Arial" w:hAnsi="Arial" w:eastAsia="Arial"/>
                <w:b w:val="0"/>
                <w:i w:val="0"/>
                <w:color w:val="000000"/>
                <w:sz w:val="14"/>
              </w:rPr>
              <w:t>2,650</w:t>
            </w:r>
            <w:r>
              <w:rPr>
                <w:rFonts w:ascii="黑体" w:hAnsi="黑体" w:eastAsia="黑体"/>
                <w:b w:val="0"/>
                <w:i w:val="0"/>
                <w:color w:val="000000"/>
                <w:sz w:val="14"/>
              </w:rPr>
              <w:t>万元</w:t>
            </w:r>
          </w:p>
        </w:tc>
        <w:tc>
          <w:tcPr>
            <w:tcW w:type="dxa" w:w="134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5,300,000 </w:t>
            </w:r>
          </w:p>
        </w:tc>
        <w:tc>
          <w:tcPr>
            <w:tcW w:type="dxa" w:w="122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20.00% </w:t>
            </w:r>
          </w:p>
        </w:tc>
      </w:tr>
    </w:tbl>
    <w:p>
      <w:pPr>
        <w:autoSpaceDN w:val="0"/>
        <w:autoSpaceDE w:val="0"/>
        <w:widowControl/>
        <w:spacing w:line="140" w:lineRule="exact" w:before="10" w:after="18"/>
        <w:ind w:left="358" w:right="0" w:firstLine="0"/>
        <w:jc w:val="left"/>
      </w:pPr>
      <w:r>
        <w:rPr>
          <w:rFonts w:ascii="黑体" w:hAnsi="黑体" w:eastAsia="黑体"/>
          <w:b w:val="0"/>
          <w:i w:val="0"/>
          <w:color w:val="000000"/>
          <w:sz w:val="14"/>
        </w:rPr>
        <w:t>共青城山证绿菱启元股权投资</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4"/>
        </w:trPr>
        <w:tc>
          <w:tcPr>
            <w:tcW w:type="dxa" w:w="196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 xml:space="preserve">合伙企业（有限合伙） </w:t>
            </w:r>
          </w:p>
        </w:tc>
        <w:tc>
          <w:tcPr>
            <w:tcW w:type="dxa" w:w="1200"/>
            <w:tcBorders/>
            <w:tcMar>
              <w:start w:w="0" w:type="dxa"/>
              <w:end w:w="0" w:type="dxa"/>
            </w:tcMar>
          </w:tcPr>
          <w:p>
            <w:pPr>
              <w:autoSpaceDN w:val="0"/>
              <w:autoSpaceDE w:val="0"/>
              <w:widowControl/>
              <w:spacing w:line="138" w:lineRule="exact" w:before="26" w:after="0"/>
              <w:ind w:left="232" w:right="0" w:firstLine="0"/>
              <w:jc w:val="left"/>
            </w:pPr>
            <w:r>
              <w:rPr>
                <w:rFonts w:ascii="黑体" w:hAnsi="黑体" w:eastAsia="黑体"/>
                <w:b w:val="0"/>
                <w:i w:val="0"/>
                <w:color w:val="000000"/>
                <w:sz w:val="14"/>
              </w:rPr>
              <w:t>江西省九江市</w:t>
            </w:r>
          </w:p>
        </w:tc>
        <w:tc>
          <w:tcPr>
            <w:tcW w:type="dxa" w:w="118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私募股权投资</w:t>
            </w:r>
          </w:p>
        </w:tc>
        <w:tc>
          <w:tcPr>
            <w:tcW w:type="dxa" w:w="1540"/>
            <w:tcBorders/>
            <w:tcMar>
              <w:start w:w="0" w:type="dxa"/>
              <w:end w:w="0" w:type="dxa"/>
            </w:tcMar>
          </w:tcPr>
          <w:p>
            <w:pPr>
              <w:autoSpaceDN w:val="0"/>
              <w:autoSpaceDE w:val="0"/>
              <w:widowControl/>
              <w:spacing w:line="156" w:lineRule="exact" w:before="18" w:after="0"/>
              <w:ind w:left="186" w:right="0" w:firstLine="0"/>
              <w:jc w:val="left"/>
            </w:pPr>
            <w:r>
              <w:rPr>
                <w:rFonts w:ascii="黑体" w:hAnsi="黑体" w:eastAsia="黑体"/>
                <w:b w:val="0"/>
                <w:i w:val="0"/>
                <w:color w:val="000000"/>
                <w:sz w:val="14"/>
              </w:rPr>
              <w:t>人民币</w:t>
            </w:r>
            <w:r>
              <w:rPr>
                <w:rFonts w:ascii="Arial" w:hAnsi="Arial" w:eastAsia="Arial"/>
                <w:b w:val="0"/>
                <w:i w:val="0"/>
                <w:color w:val="000000"/>
                <w:sz w:val="14"/>
              </w:rPr>
              <w:t>3,975</w:t>
            </w:r>
            <w:r>
              <w:rPr>
                <w:rFonts w:ascii="黑体" w:hAnsi="黑体" w:eastAsia="黑体"/>
                <w:b w:val="0"/>
                <w:i w:val="0"/>
                <w:color w:val="000000"/>
                <w:sz w:val="14"/>
              </w:rPr>
              <w:t>万元</w:t>
            </w:r>
          </w:p>
        </w:tc>
        <w:tc>
          <w:tcPr>
            <w:tcW w:type="dxa" w:w="134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7,950,000 </w:t>
            </w:r>
          </w:p>
        </w:tc>
        <w:tc>
          <w:tcPr>
            <w:tcW w:type="dxa" w:w="122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20.00% </w:t>
            </w:r>
          </w:p>
        </w:tc>
      </w:tr>
    </w:tbl>
    <w:p>
      <w:pPr>
        <w:autoSpaceDN w:val="0"/>
        <w:autoSpaceDE w:val="0"/>
        <w:widowControl/>
        <w:spacing w:line="138" w:lineRule="exact" w:before="12" w:after="0"/>
        <w:ind w:left="358" w:right="0" w:firstLine="0"/>
        <w:jc w:val="left"/>
      </w:pPr>
      <w:r>
        <w:rPr>
          <w:rFonts w:ascii="黑体" w:hAnsi="黑体" w:eastAsia="黑体"/>
          <w:b w:val="0"/>
          <w:i w:val="0"/>
          <w:color w:val="000000"/>
          <w:sz w:val="14"/>
        </w:rPr>
        <w:t>山西重器智能高端装备私募股</w:t>
      </w:r>
    </w:p>
    <w:p>
      <w:pPr>
        <w:autoSpaceDN w:val="0"/>
        <w:autoSpaceDE w:val="0"/>
        <w:widowControl/>
        <w:spacing w:line="140" w:lineRule="exact" w:before="44" w:after="18"/>
        <w:ind w:left="500" w:right="0" w:firstLine="0"/>
        <w:jc w:val="left"/>
      </w:pPr>
      <w:r>
        <w:rPr>
          <w:rFonts w:ascii="黑体" w:hAnsi="黑体" w:eastAsia="黑体"/>
          <w:b w:val="0"/>
          <w:i w:val="0"/>
          <w:color w:val="000000"/>
          <w:sz w:val="14"/>
        </w:rPr>
        <w:t>权投资基金合伙企业（有限</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2"/>
        </w:trPr>
        <w:tc>
          <w:tcPr>
            <w:tcW w:type="dxa" w:w="1560"/>
            <w:tcBorders/>
            <w:tcMar>
              <w:start w:w="0" w:type="dxa"/>
              <w:end w:w="0" w:type="dxa"/>
            </w:tcMar>
          </w:tcPr>
          <w:p>
            <w:pPr>
              <w:autoSpaceDN w:val="0"/>
              <w:autoSpaceDE w:val="0"/>
              <w:widowControl/>
              <w:spacing w:line="140" w:lineRule="exact" w:before="24" w:after="0"/>
              <w:ind w:left="260" w:right="0" w:firstLine="0"/>
              <w:jc w:val="left"/>
            </w:pPr>
            <w:r>
              <w:rPr>
                <w:rFonts w:ascii="黑体" w:hAnsi="黑体" w:eastAsia="黑体"/>
                <w:b w:val="0"/>
                <w:i w:val="0"/>
                <w:color w:val="000000"/>
                <w:sz w:val="14"/>
              </w:rPr>
              <w:t xml:space="preserve">合伙） </w:t>
            </w:r>
          </w:p>
        </w:tc>
        <w:tc>
          <w:tcPr>
            <w:tcW w:type="dxa" w:w="1500"/>
            <w:tcBorders/>
            <w:tcMar>
              <w:start w:w="0" w:type="dxa"/>
              <w:end w:w="0" w:type="dxa"/>
            </w:tcMar>
          </w:tcPr>
          <w:p>
            <w:pPr>
              <w:autoSpaceDN w:val="0"/>
              <w:autoSpaceDE w:val="0"/>
              <w:widowControl/>
              <w:spacing w:line="140" w:lineRule="exact" w:before="24" w:after="0"/>
              <w:ind w:left="0" w:right="242" w:firstLine="0"/>
              <w:jc w:val="right"/>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40" w:lineRule="exact" w:before="24" w:after="0"/>
              <w:ind w:left="268" w:right="0" w:firstLine="0"/>
              <w:jc w:val="left"/>
            </w:pPr>
            <w:r>
              <w:rPr>
                <w:rFonts w:ascii="黑体" w:hAnsi="黑体" w:eastAsia="黑体"/>
                <w:b w:val="0"/>
                <w:i w:val="0"/>
                <w:color w:val="000000"/>
                <w:sz w:val="14"/>
              </w:rPr>
              <w:t>私募股权投资</w:t>
            </w:r>
          </w:p>
        </w:tc>
        <w:tc>
          <w:tcPr>
            <w:tcW w:type="dxa" w:w="1600"/>
            <w:tcBorders/>
            <w:tcMar>
              <w:start w:w="0" w:type="dxa"/>
              <w:end w:w="0" w:type="dxa"/>
            </w:tcMar>
          </w:tcPr>
          <w:p>
            <w:pPr>
              <w:autoSpaceDN w:val="0"/>
              <w:autoSpaceDE w:val="0"/>
              <w:widowControl/>
              <w:spacing w:line="156"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50,000</w:t>
            </w:r>
            <w:r>
              <w:rPr>
                <w:rFonts w:ascii="黑体" w:hAnsi="黑体" w:eastAsia="黑体"/>
                <w:b w:val="0"/>
                <w:i w:val="0"/>
                <w:color w:val="000000"/>
                <w:sz w:val="14"/>
              </w:rPr>
              <w:t>万元</w:t>
            </w:r>
          </w:p>
        </w:tc>
        <w:tc>
          <w:tcPr>
            <w:tcW w:type="dxa" w:w="1280"/>
            <w:tcBorders/>
            <w:tcMar>
              <w:start w:w="0" w:type="dxa"/>
              <w:end w:w="0" w:type="dxa"/>
            </w:tcMar>
          </w:tcPr>
          <w:p>
            <w:pPr>
              <w:autoSpaceDN w:val="0"/>
              <w:autoSpaceDE w:val="0"/>
              <w:widowControl/>
              <w:spacing w:line="230" w:lineRule="auto" w:before="28" w:after="0"/>
              <w:ind w:left="0" w:right="410" w:firstLine="0"/>
              <w:jc w:val="right"/>
            </w:pPr>
            <w:r>
              <w:rPr>
                <w:rFonts w:ascii="Arial" w:hAnsi="Arial" w:eastAsia="Arial"/>
                <w:b w:val="0"/>
                <w:i w:val="0"/>
                <w:color w:val="000000"/>
                <w:sz w:val="14"/>
              </w:rPr>
              <w:t xml:space="preserve">778,000 </w:t>
            </w:r>
          </w:p>
        </w:tc>
        <w:tc>
          <w:tcPr>
            <w:tcW w:type="dxa" w:w="1220"/>
            <w:tcBorders/>
            <w:tcMar>
              <w:start w:w="0" w:type="dxa"/>
              <w:end w:w="0" w:type="dxa"/>
            </w:tcMar>
          </w:tcPr>
          <w:p>
            <w:pPr>
              <w:autoSpaceDN w:val="0"/>
              <w:autoSpaceDE w:val="0"/>
              <w:widowControl/>
              <w:spacing w:line="230" w:lineRule="auto" w:before="28" w:after="0"/>
              <w:ind w:left="0" w:right="352" w:firstLine="0"/>
              <w:jc w:val="right"/>
            </w:pPr>
            <w:r>
              <w:rPr>
                <w:rFonts w:ascii="Arial" w:hAnsi="Arial" w:eastAsia="Arial"/>
                <w:b w:val="0"/>
                <w:i w:val="0"/>
                <w:color w:val="000000"/>
                <w:sz w:val="14"/>
              </w:rPr>
              <w:t xml:space="preserve">0.20% </w:t>
            </w:r>
          </w:p>
        </w:tc>
      </w:tr>
    </w:tbl>
    <w:p>
      <w:pPr>
        <w:autoSpaceDN w:val="0"/>
        <w:autoSpaceDE w:val="0"/>
        <w:widowControl/>
        <w:spacing w:line="140" w:lineRule="exact" w:before="12" w:after="18"/>
        <w:ind w:left="358" w:right="0" w:firstLine="0"/>
        <w:jc w:val="left"/>
      </w:pPr>
      <w:r>
        <w:rPr>
          <w:rFonts w:ascii="黑体" w:hAnsi="黑体" w:eastAsia="黑体"/>
          <w:b w:val="0"/>
          <w:i w:val="0"/>
          <w:color w:val="000000"/>
          <w:sz w:val="14"/>
        </w:rPr>
        <w:t>山西省新引擎专业镇产业投资</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194"/>
        </w:trPr>
        <w:tc>
          <w:tcPr>
            <w:tcW w:type="dxa" w:w="220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 xml:space="preserve">基金合伙企业（有限合伙） </w:t>
            </w:r>
          </w:p>
        </w:tc>
        <w:tc>
          <w:tcPr>
            <w:tcW w:type="dxa" w:w="86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40" w:lineRule="exact" w:before="24"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6"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20,000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28" w:after="0"/>
              <w:ind w:left="268" w:right="0" w:firstLine="0"/>
              <w:jc w:val="left"/>
            </w:pPr>
            <w:r>
              <w:rPr>
                <w:rFonts w:ascii="Arial" w:hAnsi="Arial" w:eastAsia="Arial"/>
                <w:b w:val="0"/>
                <w:i w:val="0"/>
                <w:color w:val="000000"/>
                <w:sz w:val="14"/>
              </w:rPr>
              <w:t xml:space="preserve">15,000,000 </w:t>
            </w:r>
          </w:p>
        </w:tc>
        <w:tc>
          <w:tcPr>
            <w:tcW w:type="dxa" w:w="1200"/>
            <w:tcBorders/>
            <w:tcMar>
              <w:start w:w="0" w:type="dxa"/>
              <w:end w:w="0" w:type="dxa"/>
            </w:tcMar>
          </w:tcPr>
          <w:p>
            <w:pPr>
              <w:autoSpaceDN w:val="0"/>
              <w:autoSpaceDE w:val="0"/>
              <w:widowControl/>
              <w:spacing w:line="233" w:lineRule="auto" w:before="28" w:after="0"/>
              <w:ind w:left="0" w:right="0" w:firstLine="0"/>
              <w:jc w:val="center"/>
            </w:pPr>
            <w:r>
              <w:rPr>
                <w:rFonts w:ascii="Arial" w:hAnsi="Arial" w:eastAsia="Arial"/>
                <w:b w:val="0"/>
                <w:i w:val="0"/>
                <w:color w:val="000000"/>
                <w:sz w:val="14"/>
              </w:rPr>
              <w:t xml:space="preserve">25.00% </w:t>
            </w:r>
          </w:p>
        </w:tc>
      </w:tr>
    </w:tbl>
    <w:p>
      <w:pPr>
        <w:autoSpaceDN w:val="0"/>
        <w:autoSpaceDE w:val="0"/>
        <w:widowControl/>
        <w:spacing w:line="140" w:lineRule="exact" w:before="10" w:after="18"/>
        <w:ind w:left="358" w:right="0" w:firstLine="0"/>
        <w:jc w:val="left"/>
      </w:pPr>
      <w:r>
        <w:rPr>
          <w:rFonts w:ascii="黑体" w:hAnsi="黑体" w:eastAsia="黑体"/>
          <w:b w:val="0"/>
          <w:i w:val="0"/>
          <w:color w:val="000000"/>
          <w:sz w:val="14"/>
        </w:rPr>
        <w:t>山东新引擎文化产业股权投资</w:t>
      </w:r>
    </w:p>
    <w:tbl>
      <w:tblPr>
        <w:tblW w:type="auto" w:w="0"/>
        <w:tblLayout w:type="fixed"/>
        <w:tblLook w:firstColumn="1" w:firstRow="1" w:lastColumn="0" w:lastRow="0" w:noHBand="0" w:noVBand="1" w:val="04A0"/>
        <w:tblInd w:w="240.0" w:type="dxa"/>
      </w:tblPr>
      <w:tblGrid>
        <w:gridCol w:w="1804"/>
        <w:gridCol w:w="1804"/>
        <w:gridCol w:w="1804"/>
        <w:gridCol w:w="1804"/>
        <w:gridCol w:w="1804"/>
      </w:tblGrid>
      <w:tr>
        <w:trPr>
          <w:trHeight w:hRule="exact" w:val="198"/>
        </w:trPr>
        <w:tc>
          <w:tcPr>
            <w:tcW w:type="dxa" w:w="220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 xml:space="preserve">基金合伙企业（有限合伙） </w:t>
            </w:r>
          </w:p>
        </w:tc>
        <w:tc>
          <w:tcPr>
            <w:tcW w:type="dxa" w:w="860"/>
            <w:tcBorders/>
            <w:tcMar>
              <w:start w:w="0" w:type="dxa"/>
              <w:end w:w="0" w:type="dxa"/>
            </w:tcMar>
          </w:tcPr>
          <w:p>
            <w:pPr>
              <w:autoSpaceDN w:val="0"/>
              <w:autoSpaceDE w:val="0"/>
              <w:widowControl/>
              <w:spacing w:line="138" w:lineRule="exact" w:before="26" w:after="0"/>
              <w:ind w:left="0" w:right="0" w:firstLine="0"/>
              <w:jc w:val="center"/>
            </w:pPr>
            <w:r>
              <w:rPr>
                <w:rFonts w:ascii="黑体" w:hAnsi="黑体" w:eastAsia="黑体"/>
                <w:b w:val="0"/>
                <w:i w:val="0"/>
                <w:color w:val="000000"/>
                <w:sz w:val="14"/>
              </w:rPr>
              <w:t>济南市</w:t>
            </w:r>
          </w:p>
        </w:tc>
        <w:tc>
          <w:tcPr>
            <w:tcW w:type="dxa" w:w="2820"/>
            <w:tcBorders/>
            <w:tcMar>
              <w:start w:w="0" w:type="dxa"/>
              <w:end w:w="0" w:type="dxa"/>
            </w:tcMar>
          </w:tcPr>
          <w:p>
            <w:pPr>
              <w:autoSpaceDN w:val="0"/>
              <w:autoSpaceDE w:val="0"/>
              <w:widowControl/>
              <w:spacing w:line="156" w:lineRule="exact" w:before="18" w:after="0"/>
              <w:ind w:left="0" w:right="0" w:firstLine="0"/>
              <w:jc w:val="center"/>
            </w:pPr>
            <w:r>
              <w:rPr>
                <w:rFonts w:ascii="黑体" w:hAnsi="黑体" w:eastAsia="黑体"/>
                <w:b w:val="0"/>
                <w:i w:val="0"/>
                <w:color w:val="000000"/>
                <w:sz w:val="14"/>
              </w:rPr>
              <w:t>私募股权投资</w:t>
            </w:r>
            <w:r>
              <w:rPr>
                <w:rFonts w:ascii="黑体" w:hAnsi="黑体" w:eastAsia="黑体"/>
                <w:b w:val="0"/>
                <w:i w:val="0"/>
                <w:color w:val="000000"/>
                <w:sz w:val="14"/>
              </w:rPr>
              <w:t>人民币</w:t>
            </w:r>
            <w:r>
              <w:rPr>
                <w:rFonts w:ascii="Arial" w:hAnsi="Arial" w:eastAsia="Arial"/>
                <w:b w:val="0"/>
                <w:i w:val="0"/>
                <w:color w:val="000000"/>
                <w:sz w:val="14"/>
              </w:rPr>
              <w:t>100,000</w:t>
            </w:r>
            <w:r>
              <w:rPr>
                <w:rFonts w:ascii="黑体" w:hAnsi="黑体" w:eastAsia="黑体"/>
                <w:b w:val="0"/>
                <w:i w:val="0"/>
                <w:color w:val="000000"/>
                <w:sz w:val="14"/>
              </w:rPr>
              <w:t>万元</w:t>
            </w:r>
          </w:p>
        </w:tc>
        <w:tc>
          <w:tcPr>
            <w:tcW w:type="dxa" w:w="1360"/>
            <w:tcBorders/>
            <w:tcMar>
              <w:start w:w="0" w:type="dxa"/>
              <w:end w:w="0" w:type="dxa"/>
            </w:tcMar>
          </w:tcPr>
          <w:p>
            <w:pPr>
              <w:autoSpaceDN w:val="0"/>
              <w:autoSpaceDE w:val="0"/>
              <w:widowControl/>
              <w:spacing w:line="233" w:lineRule="auto" w:before="30" w:after="0"/>
              <w:ind w:left="268" w:right="0" w:firstLine="0"/>
              <w:jc w:val="left"/>
            </w:pPr>
            <w:r>
              <w:rPr>
                <w:rFonts w:ascii="Arial" w:hAnsi="Arial" w:eastAsia="Arial"/>
                <w:b w:val="0"/>
                <w:i w:val="0"/>
                <w:color w:val="000000"/>
                <w:sz w:val="14"/>
              </w:rPr>
              <w:t xml:space="preserve">90,000,000 </w:t>
            </w:r>
          </w:p>
        </w:tc>
        <w:tc>
          <w:tcPr>
            <w:tcW w:type="dxa" w:w="1200"/>
            <w:tcBorders/>
            <w:tcMar>
              <w:start w:w="0" w:type="dxa"/>
              <w:end w:w="0" w:type="dxa"/>
            </w:tcMar>
          </w:tcPr>
          <w:p>
            <w:pPr>
              <w:autoSpaceDN w:val="0"/>
              <w:autoSpaceDE w:val="0"/>
              <w:widowControl/>
              <w:spacing w:line="233" w:lineRule="auto" w:before="30" w:after="0"/>
              <w:ind w:left="0" w:right="0" w:firstLine="0"/>
              <w:jc w:val="center"/>
            </w:pPr>
            <w:r>
              <w:rPr>
                <w:rFonts w:ascii="Arial" w:hAnsi="Arial" w:eastAsia="Arial"/>
                <w:b w:val="0"/>
                <w:i w:val="0"/>
                <w:color w:val="000000"/>
                <w:sz w:val="14"/>
              </w:rPr>
              <w:t xml:space="preserve">30.00% </w:t>
            </w:r>
          </w:p>
        </w:tc>
      </w:tr>
    </w:tbl>
    <w:p>
      <w:pPr>
        <w:autoSpaceDN w:val="0"/>
        <w:autoSpaceDE w:val="0"/>
        <w:widowControl/>
        <w:spacing w:line="138" w:lineRule="exact" w:before="10" w:after="18"/>
        <w:ind w:left="358" w:right="0" w:firstLine="0"/>
        <w:jc w:val="left"/>
      </w:pPr>
      <w:r>
        <w:rPr>
          <w:rFonts w:ascii="黑体" w:hAnsi="黑体" w:eastAsia="黑体"/>
          <w:b w:val="0"/>
          <w:i w:val="0"/>
          <w:color w:val="000000"/>
          <w:sz w:val="14"/>
        </w:rPr>
        <w:t>山西天使股权投资基金合伙企</w:t>
      </w:r>
    </w:p>
    <w:tbl>
      <w:tblPr>
        <w:tblW w:type="auto" w:w="0"/>
        <w:tblLayout w:type="fixed"/>
        <w:tblLook w:firstColumn="1" w:firstRow="1" w:lastColumn="0" w:lastRow="0" w:noHBand="0" w:noVBand="1" w:val="04A0"/>
        <w:tblInd w:w="240.0" w:type="dxa"/>
      </w:tblPr>
      <w:tblGrid>
        <w:gridCol w:w="1503"/>
        <w:gridCol w:w="1503"/>
        <w:gridCol w:w="1503"/>
        <w:gridCol w:w="1503"/>
        <w:gridCol w:w="1503"/>
        <w:gridCol w:w="1503"/>
      </w:tblGrid>
      <w:tr>
        <w:trPr>
          <w:trHeight w:hRule="exact" w:val="244"/>
        </w:trPr>
        <w:tc>
          <w:tcPr>
            <w:tcW w:type="dxa" w:w="1840"/>
            <w:tcBorders/>
            <w:tcMar>
              <w:start w:w="0" w:type="dxa"/>
              <w:end w:w="0" w:type="dxa"/>
            </w:tcMar>
          </w:tcPr>
          <w:p>
            <w:pPr>
              <w:autoSpaceDN w:val="0"/>
              <w:autoSpaceDE w:val="0"/>
              <w:widowControl/>
              <w:spacing w:line="138" w:lineRule="exact" w:before="24" w:after="0"/>
              <w:ind w:left="260" w:right="0" w:firstLine="0"/>
              <w:jc w:val="left"/>
            </w:pPr>
            <w:r>
              <w:rPr>
                <w:rFonts w:ascii="黑体" w:hAnsi="黑体" w:eastAsia="黑体"/>
                <w:b w:val="0"/>
                <w:i w:val="0"/>
                <w:color w:val="000000"/>
                <w:sz w:val="14"/>
              </w:rPr>
              <w:t xml:space="preserve">业（有限合伙） </w:t>
            </w:r>
          </w:p>
        </w:tc>
        <w:tc>
          <w:tcPr>
            <w:tcW w:type="dxa" w:w="1220"/>
            <w:tcBorders/>
            <w:tcMar>
              <w:start w:w="0" w:type="dxa"/>
              <w:end w:w="0" w:type="dxa"/>
            </w:tcMar>
          </w:tcPr>
          <w:p>
            <w:pPr>
              <w:autoSpaceDN w:val="0"/>
              <w:autoSpaceDE w:val="0"/>
              <w:widowControl/>
              <w:spacing w:line="138" w:lineRule="exact" w:before="24" w:after="0"/>
              <w:ind w:left="0" w:right="242" w:firstLine="0"/>
              <w:jc w:val="right"/>
            </w:pPr>
            <w:r>
              <w:rPr>
                <w:rFonts w:ascii="黑体" w:hAnsi="黑体" w:eastAsia="黑体"/>
                <w:b w:val="0"/>
                <w:i w:val="0"/>
                <w:color w:val="000000"/>
                <w:sz w:val="14"/>
              </w:rPr>
              <w:t>太原市</w:t>
            </w:r>
          </w:p>
        </w:tc>
        <w:tc>
          <w:tcPr>
            <w:tcW w:type="dxa" w:w="1260"/>
            <w:tcBorders/>
            <w:tcMar>
              <w:start w:w="0" w:type="dxa"/>
              <w:end w:w="0" w:type="dxa"/>
            </w:tcMar>
          </w:tcPr>
          <w:p>
            <w:pPr>
              <w:autoSpaceDN w:val="0"/>
              <w:autoSpaceDE w:val="0"/>
              <w:widowControl/>
              <w:spacing w:line="138" w:lineRule="exact" w:before="24" w:after="0"/>
              <w:ind w:left="268" w:right="0" w:firstLine="0"/>
              <w:jc w:val="left"/>
            </w:pPr>
            <w:r>
              <w:rPr>
                <w:rFonts w:ascii="黑体" w:hAnsi="黑体" w:eastAsia="黑体"/>
                <w:b w:val="0"/>
                <w:i w:val="0"/>
                <w:color w:val="000000"/>
                <w:sz w:val="14"/>
              </w:rPr>
              <w:t>私募股权投资</w:t>
            </w:r>
          </w:p>
        </w:tc>
        <w:tc>
          <w:tcPr>
            <w:tcW w:type="dxa" w:w="1560"/>
            <w:tcBorders/>
            <w:tcMar>
              <w:start w:w="0" w:type="dxa"/>
              <w:end w:w="0" w:type="dxa"/>
            </w:tcMar>
          </w:tcPr>
          <w:p>
            <w:pPr>
              <w:autoSpaceDN w:val="0"/>
              <w:autoSpaceDE w:val="0"/>
              <w:widowControl/>
              <w:spacing w:line="154" w:lineRule="exact" w:before="18" w:after="0"/>
              <w:ind w:left="168" w:right="0" w:firstLine="0"/>
              <w:jc w:val="left"/>
            </w:pPr>
            <w:r>
              <w:rPr>
                <w:rFonts w:ascii="黑体" w:hAnsi="黑体" w:eastAsia="黑体"/>
                <w:b w:val="0"/>
                <w:i w:val="0"/>
                <w:color w:val="000000"/>
                <w:sz w:val="14"/>
              </w:rPr>
              <w:t>人民币</w:t>
            </w:r>
            <w:r>
              <w:rPr>
                <w:rFonts w:ascii="Arial" w:hAnsi="Arial" w:eastAsia="Arial"/>
                <w:b w:val="0"/>
                <w:i w:val="0"/>
                <w:color w:val="000000"/>
                <w:sz w:val="14"/>
              </w:rPr>
              <w:t>25,100</w:t>
            </w:r>
            <w:r>
              <w:rPr>
                <w:rFonts w:ascii="黑体" w:hAnsi="黑体" w:eastAsia="黑体"/>
                <w:b w:val="0"/>
                <w:i w:val="0"/>
                <w:color w:val="000000"/>
                <w:sz w:val="14"/>
              </w:rPr>
              <w:t>万元</w:t>
            </w:r>
          </w:p>
        </w:tc>
        <w:tc>
          <w:tcPr>
            <w:tcW w:type="dxa" w:w="1380"/>
            <w:tcBorders/>
            <w:tcMar>
              <w:start w:w="0" w:type="dxa"/>
              <w:end w:w="0" w:type="dxa"/>
            </w:tcMar>
          </w:tcPr>
          <w:p>
            <w:pPr>
              <w:autoSpaceDN w:val="0"/>
              <w:autoSpaceDE w:val="0"/>
              <w:widowControl/>
              <w:spacing w:line="230" w:lineRule="auto" w:before="30" w:after="0"/>
              <w:ind w:left="268" w:right="0" w:firstLine="0"/>
              <w:jc w:val="left"/>
            </w:pPr>
            <w:r>
              <w:rPr>
                <w:rFonts w:ascii="Arial" w:hAnsi="Arial" w:eastAsia="Arial"/>
                <w:b w:val="0"/>
                <w:i w:val="0"/>
                <w:color w:val="000000"/>
                <w:sz w:val="14"/>
              </w:rPr>
              <w:t xml:space="preserve">10,000,000 </w:t>
            </w:r>
          </w:p>
        </w:tc>
        <w:tc>
          <w:tcPr>
            <w:tcW w:type="dxa" w:w="1160"/>
            <w:tcBorders/>
            <w:tcMar>
              <w:start w:w="0" w:type="dxa"/>
              <w:end w:w="0" w:type="dxa"/>
            </w:tcMar>
          </w:tcPr>
          <w:p>
            <w:pPr>
              <w:autoSpaceDN w:val="0"/>
              <w:autoSpaceDE w:val="0"/>
              <w:widowControl/>
              <w:spacing w:line="230" w:lineRule="auto" w:before="30" w:after="0"/>
              <w:ind w:left="0" w:right="0" w:firstLine="0"/>
              <w:jc w:val="center"/>
            </w:pPr>
            <w:r>
              <w:rPr>
                <w:rFonts w:ascii="Arial" w:hAnsi="Arial" w:eastAsia="Arial"/>
                <w:b w:val="0"/>
                <w:i w:val="0"/>
                <w:color w:val="000000"/>
                <w:sz w:val="14"/>
              </w:rPr>
              <w:t xml:space="preserve">0.40% </w:t>
            </w:r>
          </w:p>
        </w:tc>
      </w:tr>
    </w:tbl>
    <w:p>
      <w:pPr>
        <w:autoSpaceDN w:val="0"/>
        <w:autoSpaceDE w:val="0"/>
        <w:widowControl/>
        <w:spacing w:line="233" w:lineRule="auto" w:before="6870" w:after="0"/>
        <w:ind w:left="0" w:right="0" w:firstLine="0"/>
        <w:jc w:val="center"/>
      </w:pPr>
      <w:r>
        <w:rPr>
          <w:rFonts w:ascii="Arial" w:hAnsi="Arial" w:eastAsia="Arial"/>
          <w:b w:val="0"/>
          <w:i w:val="0"/>
          <w:color w:val="000000"/>
          <w:sz w:val="20"/>
        </w:rPr>
        <w:t xml:space="preserve">255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4. </w:t>
      </w:r>
      <w:r>
        <w:rPr>
          <w:rFonts w:ascii="黑体" w:hAnsi="黑体" w:eastAsia="黑体"/>
          <w:b w:val="0"/>
          <w:i w:val="0"/>
          <w:color w:val="000000"/>
          <w:sz w:val="22"/>
        </w:rPr>
        <w:t>在未纳入合并财务报表范围的结构化主体中的权益</w:t>
      </w:r>
    </w:p>
    <w:p>
      <w:pPr>
        <w:autoSpaceDN w:val="0"/>
        <w:autoSpaceDE w:val="0"/>
        <w:widowControl/>
        <w:spacing w:line="244" w:lineRule="exact" w:before="292" w:after="0"/>
        <w:ind w:left="358" w:right="0" w:firstLine="0"/>
        <w:jc w:val="left"/>
      </w:pPr>
      <w:r>
        <w:rPr>
          <w:rFonts w:ascii="黑体" w:hAnsi="黑体" w:eastAsia="黑体"/>
          <w:b w:val="0"/>
          <w:i w:val="0"/>
          <w:color w:val="000000"/>
          <w:sz w:val="22"/>
        </w:rPr>
        <w:t>（</w:t>
      </w:r>
      <w:r>
        <w:rPr>
          <w:rFonts w:ascii="Times New Roman" w:hAnsi="Times New Roman" w:eastAsia="Times New Roman"/>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在第三方机构发起设立的结构化主体中享有的权益</w:t>
      </w:r>
    </w:p>
    <w:p>
      <w:pPr>
        <w:autoSpaceDN w:val="0"/>
        <w:autoSpaceDE w:val="0"/>
        <w:widowControl/>
        <w:spacing w:line="284" w:lineRule="exact" w:before="242" w:after="0"/>
        <w:ind w:left="358" w:right="360" w:firstLine="0"/>
        <w:jc w:val="both"/>
      </w:pPr>
      <w:r>
        <w:rPr>
          <w:rFonts w:ascii="黑体" w:hAnsi="黑体" w:eastAsia="黑体"/>
          <w:b w:val="0"/>
          <w:i w:val="0"/>
          <w:color w:val="000000"/>
          <w:sz w:val="22"/>
        </w:rPr>
        <w:t>本集团通过直接持有投资而在第三方机构发起设立的结构化主体中享有权益。这些结</w:t>
      </w:r>
      <w:r>
        <w:rPr>
          <w:rFonts w:ascii="黑体" w:hAnsi="黑体" w:eastAsia="黑体"/>
          <w:b w:val="0"/>
          <w:i w:val="0"/>
          <w:color w:val="000000"/>
          <w:sz w:val="22"/>
        </w:rPr>
        <w:t>构化主体未纳入本集团的合并财务报表范围，主要包括资产管理计划、信托计划、基</w:t>
      </w:r>
      <w:r>
        <w:rPr>
          <w:rFonts w:ascii="黑体" w:hAnsi="黑体" w:eastAsia="黑体"/>
          <w:b w:val="0"/>
          <w:i w:val="0"/>
          <w:color w:val="000000"/>
          <w:sz w:val="22"/>
        </w:rPr>
        <w:t>金及银行理财产品。这些结构化主体的性质和目的主要是管理投资者的资产并赚取管</w:t>
      </w:r>
      <w:r>
        <w:rPr>
          <w:rFonts w:ascii="黑体" w:hAnsi="黑体" w:eastAsia="黑体"/>
          <w:b w:val="0"/>
          <w:i w:val="0"/>
          <w:color w:val="000000"/>
          <w:sz w:val="22"/>
        </w:rPr>
        <w:t>理费，其融资方式是向投资者发行投资产品。</w:t>
      </w:r>
    </w:p>
    <w:p>
      <w:pPr>
        <w:autoSpaceDN w:val="0"/>
        <w:autoSpaceDE w:val="0"/>
        <w:widowControl/>
        <w:spacing w:line="276" w:lineRule="exact" w:before="280" w:after="0"/>
        <w:ind w:left="358" w:right="354" w:firstLine="0"/>
        <w:jc w:val="both"/>
      </w:pPr>
      <w:r>
        <w:rPr>
          <w:rFonts w:ascii="黑体" w:hAnsi="黑体" w:eastAsia="黑体"/>
          <w:b w:val="0"/>
          <w:i w:val="0"/>
          <w:color w:val="000000"/>
          <w:sz w:val="22"/>
        </w:rPr>
        <w:t>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日，本集团通过直接持有投资而在第三方机构发起设立的结构化主</w:t>
      </w:r>
      <w:r>
        <w:rPr>
          <w:rFonts w:ascii="黑体" w:hAnsi="黑体" w:eastAsia="黑体"/>
          <w:b w:val="0"/>
          <w:i w:val="0"/>
          <w:color w:val="000000"/>
          <w:sz w:val="22"/>
        </w:rPr>
        <w:t>体中享有的权益在本集团合并资产负债表中的相关资产负债项目及其账面价值</w:t>
      </w:r>
      <w:r>
        <w:rPr>
          <w:rFonts w:ascii="Arial" w:hAnsi="Arial" w:eastAsia="Arial"/>
          <w:b w:val="0"/>
          <w:i w:val="0"/>
          <w:color w:val="000000"/>
          <w:sz w:val="22"/>
        </w:rPr>
        <w:t>/</w:t>
      </w:r>
      <w:r>
        <w:rPr>
          <w:rFonts w:ascii="黑体" w:hAnsi="黑体" w:eastAsia="黑体"/>
          <w:b w:val="0"/>
          <w:i w:val="0"/>
          <w:color w:val="000000"/>
          <w:sz w:val="22"/>
        </w:rPr>
        <w:t>最大损</w:t>
      </w:r>
      <w:r>
        <w:rPr>
          <w:rFonts w:ascii="黑体" w:hAnsi="黑体" w:eastAsia="黑体"/>
          <w:b w:val="0"/>
          <w:i w:val="0"/>
          <w:color w:val="000000"/>
          <w:sz w:val="22"/>
        </w:rPr>
        <w:t>失敞口列示如下：</w:t>
      </w:r>
    </w:p>
    <w:p>
      <w:pPr>
        <w:autoSpaceDN w:val="0"/>
        <w:autoSpaceDE w:val="0"/>
        <w:widowControl/>
        <w:spacing w:line="222" w:lineRule="exact" w:before="318" w:after="36"/>
        <w:ind w:left="0" w:right="1540" w:firstLine="0"/>
        <w:jc w:val="right"/>
      </w:pPr>
      <w:r>
        <w:rPr>
          <w:rFonts w:ascii="黑体" w:hAnsi="黑体" w:eastAsia="黑体"/>
          <w:b w:val="0"/>
          <w:i w:val="0"/>
          <w:color w:val="000000"/>
          <w:sz w:val="22"/>
        </w:rPr>
        <w:t>交易性金融资产</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23"/>
        </w:trPr>
        <w:tc>
          <w:tcPr>
            <w:tcW w:type="dxa" w:w="4564"/>
            <w:vMerge w:val="restart"/>
            <w:tcBorders>
              <w:top w:sz="4.0" w:val="single" w:color="#000000"/>
            </w:tcBorders>
            <w:tcMar>
              <w:start w:w="0" w:type="dxa"/>
              <w:end w:w="0" w:type="dxa"/>
            </w:tcMar>
            <w:tcMar>
              <w:start w:w="0" w:type="dxa"/>
              <w:end w:w="0" w:type="dxa"/>
            </w:tcMar>
          </w:tcPr>
          <w:p>
            <w:pPr>
              <w:autoSpaceDN w:val="0"/>
              <w:autoSpaceDE w:val="0"/>
              <w:widowControl/>
              <w:spacing w:line="220" w:lineRule="exact" w:before="566" w:after="0"/>
              <w:ind w:left="198" w:right="0" w:firstLine="0"/>
              <w:jc w:val="left"/>
            </w:pPr>
            <w:r>
              <w:rPr>
                <w:rFonts w:ascii="黑体" w:hAnsi="黑体" w:eastAsia="黑体"/>
                <w:b w:val="0"/>
                <w:i w:val="0"/>
                <w:color w:val="000000"/>
                <w:sz w:val="22"/>
              </w:rPr>
              <w:t>基金</w:t>
            </w:r>
          </w:p>
        </w:tc>
        <w:tc>
          <w:tcPr>
            <w:tcW w:type="dxa" w:w="1870"/>
            <w:tcBorders/>
            <w:tcMar>
              <w:start w:w="0" w:type="dxa"/>
              <w:end w:w="0" w:type="dxa"/>
            </w:tcMar>
          </w:tcPr>
          <w:p>
            <w:pPr>
              <w:autoSpaceDN w:val="0"/>
              <w:autoSpaceDE w:val="0"/>
              <w:widowControl/>
              <w:spacing w:line="246" w:lineRule="exact" w:before="24"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24"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op w:sz="4.0" w:val="single" w:color="#000000"/>
            </w:tcBorders>
          </w:tcPr>
          <w:p/>
        </w:tc>
        <w:tc>
          <w:tcPr>
            <w:tcW w:type="dxa" w:w="1870"/>
            <w:tcBorders/>
            <w:tcMar>
              <w:start w:w="0" w:type="dxa"/>
              <w:end w:w="0" w:type="dxa"/>
            </w:tcMar>
          </w:tcPr>
          <w:p>
            <w:pPr>
              <w:autoSpaceDN w:val="0"/>
              <w:autoSpaceDE w:val="0"/>
              <w:widowControl/>
              <w:spacing w:line="233" w:lineRule="auto" w:before="134" w:after="0"/>
              <w:ind w:left="466" w:right="0" w:firstLine="0"/>
              <w:jc w:val="left"/>
            </w:pPr>
            <w:r>
              <w:rPr>
                <w:rFonts w:ascii="Arial" w:hAnsi="Arial" w:eastAsia="Arial"/>
                <w:b w:val="0"/>
                <w:i w:val="0"/>
                <w:color w:val="000000"/>
                <w:sz w:val="22"/>
              </w:rPr>
              <w:t>4,377,537,451</w:t>
            </w:r>
          </w:p>
        </w:tc>
        <w:tc>
          <w:tcPr>
            <w:tcW w:type="dxa" w:w="2098"/>
            <w:tcBorders/>
            <w:tcMar>
              <w:start w:w="0" w:type="dxa"/>
              <w:end w:w="0" w:type="dxa"/>
            </w:tcMar>
          </w:tcPr>
          <w:p>
            <w:pPr>
              <w:autoSpaceDN w:val="0"/>
              <w:autoSpaceDE w:val="0"/>
              <w:widowControl/>
              <w:spacing w:line="233" w:lineRule="auto" w:before="134" w:after="0"/>
              <w:ind w:left="0" w:right="0" w:firstLine="0"/>
              <w:jc w:val="right"/>
            </w:pPr>
            <w:r>
              <w:rPr>
                <w:rFonts w:ascii="Arial" w:hAnsi="Arial" w:eastAsia="Arial"/>
                <w:b w:val="0"/>
                <w:i w:val="0"/>
                <w:color w:val="000000"/>
                <w:sz w:val="22"/>
              </w:rPr>
              <w:t>7,084,696,088</w:t>
            </w:r>
          </w:p>
        </w:tc>
      </w:tr>
      <w:tr>
        <w:trPr>
          <w:trHeight w:hRule="exact" w:val="280"/>
        </w:trPr>
        <w:tc>
          <w:tcPr>
            <w:tcW w:type="dxa" w:w="4564"/>
            <w:tcBorders/>
            <w:tcMar>
              <w:start w:w="0" w:type="dxa"/>
              <w:end w:w="0" w:type="dxa"/>
            </w:tcMar>
          </w:tcPr>
          <w:p>
            <w:pPr>
              <w:autoSpaceDN w:val="0"/>
              <w:autoSpaceDE w:val="0"/>
              <w:widowControl/>
              <w:spacing w:line="222" w:lineRule="exact" w:before="52" w:after="0"/>
              <w:ind w:left="198" w:right="0" w:firstLine="0"/>
              <w:jc w:val="left"/>
            </w:pPr>
            <w:r>
              <w:rPr>
                <w:rFonts w:ascii="黑体" w:hAnsi="黑体" w:eastAsia="黑体"/>
                <w:b w:val="0"/>
                <w:i w:val="0"/>
                <w:color w:val="000000"/>
                <w:sz w:val="22"/>
              </w:rPr>
              <w:t>理财产品</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466" w:right="0" w:firstLine="0"/>
              <w:jc w:val="left"/>
            </w:pPr>
            <w:r>
              <w:rPr>
                <w:rFonts w:ascii="Arial" w:hAnsi="Arial" w:eastAsia="Arial"/>
                <w:b w:val="0"/>
                <w:i w:val="0"/>
                <w:color w:val="000000"/>
                <w:sz w:val="22"/>
              </w:rPr>
              <w:t>1,277,739,066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706,535,773</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资产管理计划</w:t>
            </w:r>
          </w:p>
        </w:tc>
        <w:tc>
          <w:tcPr>
            <w:tcW w:type="dxa" w:w="3006"/>
            <w:vMerge/>
            <w:tcBorders/>
          </w:tcPr>
          <w:p/>
        </w:tc>
        <w:tc>
          <w:tcPr>
            <w:tcW w:type="dxa" w:w="3006"/>
            <w:vMerge/>
            <w:tcBorders/>
          </w:tcPr>
          <w:p/>
        </w:tc>
      </w:tr>
      <w:tr>
        <w:trPr>
          <w:trHeight w:hRule="exact" w:val="234"/>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206,477,464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198,031,450</w:t>
            </w:r>
          </w:p>
        </w:tc>
      </w:tr>
      <w:tr>
        <w:trPr>
          <w:trHeight w:hRule="exact" w:val="5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信托计划</w:t>
            </w:r>
          </w:p>
        </w:tc>
        <w:tc>
          <w:tcPr>
            <w:tcW w:type="dxa" w:w="3006"/>
            <w:vMerge/>
            <w:tcBorders/>
          </w:tcPr>
          <w:p/>
        </w:tc>
        <w:tc>
          <w:tcPr>
            <w:tcW w:type="dxa" w:w="3006"/>
            <w:vMerge/>
            <w:tcBorders/>
          </w:tcPr>
          <w:p/>
        </w:tc>
      </w:tr>
      <w:tr>
        <w:trPr>
          <w:trHeight w:hRule="exact" w:val="276"/>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105,305,511</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245,561,831</w:t>
            </w:r>
          </w:p>
        </w:tc>
      </w:tr>
      <w:tr>
        <w:trPr>
          <w:trHeight w:hRule="exact" w:val="544"/>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88" w:after="0"/>
              <w:ind w:left="466" w:right="0" w:firstLine="0"/>
              <w:jc w:val="left"/>
            </w:pPr>
            <w:r>
              <w:rPr>
                <w:rFonts w:ascii="Arial" w:hAnsi="Arial" w:eastAsia="Arial"/>
                <w:b w:val="0"/>
                <w:i w:val="0"/>
                <w:color w:val="000000"/>
                <w:sz w:val="22"/>
              </w:rPr>
              <w:t>5,967,059,492</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8,234,825,142</w:t>
            </w:r>
          </w:p>
        </w:tc>
      </w:tr>
      <w:tr>
        <w:trPr>
          <w:trHeight w:hRule="exact" w:val="54"/>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4" w:lineRule="exact" w:before="188" w:after="0"/>
        <w:ind w:left="358" w:right="288" w:firstLine="0"/>
        <w:jc w:val="left"/>
      </w:pPr>
      <w:r>
        <w:rPr>
          <w:rFonts w:ascii="黑体" w:hAnsi="黑体" w:eastAsia="黑体"/>
          <w:b w:val="0"/>
          <w:i w:val="0"/>
          <w:color w:val="000000"/>
          <w:sz w:val="22"/>
        </w:rPr>
        <w:t>本集团因投资上述资产管理计划、基金、银行理财产品和信托计划的最大损失敞口是</w:t>
      </w:r>
      <w:r>
        <w:rPr>
          <w:rFonts w:ascii="黑体" w:hAnsi="黑体" w:eastAsia="黑体"/>
          <w:b w:val="0"/>
          <w:i w:val="0"/>
          <w:color w:val="000000"/>
          <w:sz w:val="22"/>
        </w:rPr>
        <w:t>上述投资于资产负债表日的账面价值。</w:t>
      </w:r>
    </w:p>
    <w:p>
      <w:pPr>
        <w:autoSpaceDN w:val="0"/>
        <w:autoSpaceDE w:val="0"/>
        <w:widowControl/>
        <w:spacing w:line="233" w:lineRule="auto" w:before="6492" w:after="0"/>
        <w:ind w:left="0" w:right="0" w:firstLine="0"/>
        <w:jc w:val="center"/>
      </w:pPr>
      <w:r>
        <w:rPr>
          <w:rFonts w:ascii="Arial" w:hAnsi="Arial" w:eastAsia="Arial"/>
          <w:b w:val="0"/>
          <w:i w:val="0"/>
          <w:color w:val="000000"/>
          <w:sz w:val="20"/>
        </w:rPr>
        <w:t xml:space="preserve">256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七、</w:t>
      </w:r>
      <w:r>
        <w:rPr>
          <w:rFonts w:ascii="黑体" w:hAnsi="黑体" w:eastAsia="黑体"/>
          <w:b w:val="0"/>
          <w:i w:val="0"/>
          <w:color w:val="000000"/>
          <w:sz w:val="22"/>
        </w:rPr>
        <w:t>在其他主体中的权益（续）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4. </w:t>
      </w:r>
      <w:r>
        <w:rPr>
          <w:rFonts w:ascii="黑体" w:hAnsi="黑体" w:eastAsia="黑体"/>
          <w:b w:val="0"/>
          <w:i w:val="0"/>
          <w:color w:val="000000"/>
          <w:sz w:val="22"/>
        </w:rPr>
        <w:t>在未纳入合并财务报表范围的结构化主体中的权益（续）</w:t>
      </w:r>
    </w:p>
    <w:p>
      <w:pPr>
        <w:autoSpaceDN w:val="0"/>
        <w:autoSpaceDE w:val="0"/>
        <w:widowControl/>
        <w:spacing w:line="244" w:lineRule="exact" w:before="292" w:after="0"/>
        <w:ind w:left="358" w:right="0" w:firstLine="0"/>
        <w:jc w:val="left"/>
      </w:pPr>
      <w:r>
        <w:rPr>
          <w:rFonts w:ascii="黑体" w:hAnsi="黑体" w:eastAsia="黑体"/>
          <w:b w:val="0"/>
          <w:i w:val="0"/>
          <w:color w:val="000000"/>
          <w:sz w:val="22"/>
        </w:rPr>
        <w:t>（</w:t>
      </w:r>
      <w:r>
        <w:rPr>
          <w:rFonts w:ascii="Times New Roman" w:hAnsi="Times New Roman" w:eastAsia="Times New Roman"/>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在本集团作为发起人但未纳入合并财务报表范围的结构化主体中享有的权益</w:t>
      </w:r>
    </w:p>
    <w:p>
      <w:pPr>
        <w:autoSpaceDN w:val="0"/>
        <w:autoSpaceDE w:val="0"/>
        <w:widowControl/>
        <w:spacing w:line="286" w:lineRule="exact" w:before="254" w:after="0"/>
        <w:ind w:left="358" w:right="360" w:firstLine="0"/>
        <w:jc w:val="both"/>
      </w:pPr>
      <w:r>
        <w:rPr>
          <w:rFonts w:ascii="黑体" w:hAnsi="黑体" w:eastAsia="黑体"/>
          <w:b w:val="0"/>
          <w:i w:val="0"/>
          <w:color w:val="000000"/>
          <w:sz w:val="22"/>
        </w:rPr>
        <w:t>本集团发起设立的未纳入合并财务报表范围的结构化主体，主要包括本集团发行的资</w:t>
      </w:r>
      <w:r>
        <w:rPr>
          <w:rFonts w:ascii="黑体" w:hAnsi="黑体" w:eastAsia="黑体"/>
          <w:b w:val="0"/>
          <w:i w:val="0"/>
          <w:color w:val="000000"/>
          <w:sz w:val="22"/>
        </w:rPr>
        <w:t>产管理计划及基金。这些结构化主体的性质和目的主要是管理投资者的资产并收取管</w:t>
      </w:r>
      <w:r>
        <w:rPr>
          <w:rFonts w:ascii="黑体" w:hAnsi="黑体" w:eastAsia="黑体"/>
          <w:b w:val="0"/>
          <w:i w:val="0"/>
          <w:color w:val="000000"/>
          <w:sz w:val="22"/>
        </w:rPr>
        <w:t>理费，其融资方式是向投资者发行投资产品。本集团在这些未纳入合并财务报表范围</w:t>
      </w:r>
      <w:r>
        <w:rPr>
          <w:rFonts w:ascii="黑体" w:hAnsi="黑体" w:eastAsia="黑体"/>
          <w:b w:val="0"/>
          <w:i w:val="0"/>
          <w:color w:val="000000"/>
          <w:sz w:val="22"/>
        </w:rPr>
        <w:t>的结构化主体中享有的权益主要包括直接持有投资或通过管理这些结构化主体收取管</w:t>
      </w:r>
      <w:r>
        <w:rPr>
          <w:rFonts w:ascii="黑体" w:hAnsi="黑体" w:eastAsia="黑体"/>
          <w:b w:val="0"/>
          <w:i w:val="0"/>
          <w:color w:val="000000"/>
          <w:sz w:val="22"/>
        </w:rPr>
        <w:t>理费收入。</w:t>
      </w:r>
    </w:p>
    <w:p>
      <w:pPr>
        <w:autoSpaceDN w:val="0"/>
        <w:autoSpaceDE w:val="0"/>
        <w:widowControl/>
        <w:spacing w:line="280" w:lineRule="exact" w:before="274" w:after="0"/>
        <w:ind w:left="358" w:right="352" w:firstLine="0"/>
        <w:jc w:val="both"/>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日，本集团在上述资产管理计划及基金中直接持有投资而在合并资产</w:t>
      </w:r>
      <w:r>
        <w:rPr>
          <w:rFonts w:ascii="黑体" w:hAnsi="黑体" w:eastAsia="黑体"/>
          <w:b w:val="0"/>
          <w:i w:val="0"/>
          <w:color w:val="000000"/>
          <w:sz w:val="22"/>
        </w:rPr>
        <w:t>负债表中反映在交易性金融资产的账面价值金额共计人民币</w:t>
      </w:r>
      <w:r>
        <w:rPr>
          <w:rFonts w:ascii="Arial" w:hAnsi="Arial" w:eastAsia="Arial"/>
          <w:b w:val="0"/>
          <w:i w:val="0"/>
          <w:color w:val="000000"/>
          <w:sz w:val="22"/>
        </w:rPr>
        <w:t>655,586,566</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664,117,718</w:t>
      </w:r>
      <w:r>
        <w:rPr>
          <w:rFonts w:ascii="黑体" w:hAnsi="黑体" w:eastAsia="黑体"/>
          <w:b w:val="0"/>
          <w:i w:val="0"/>
          <w:color w:val="000000"/>
          <w:sz w:val="22"/>
        </w:rPr>
        <w:t>元）。上述资产管理计划及基金投资的最大损失敞口</w:t>
      </w:r>
      <w:r>
        <w:rPr>
          <w:rFonts w:ascii="黑体" w:hAnsi="黑体" w:eastAsia="黑体"/>
          <w:b w:val="0"/>
          <w:i w:val="0"/>
          <w:color w:val="000000"/>
          <w:sz w:val="22"/>
        </w:rPr>
        <w:t>与其账面价值相近。</w:t>
      </w:r>
    </w:p>
    <w:p>
      <w:pPr>
        <w:autoSpaceDN w:val="0"/>
        <w:autoSpaceDE w:val="0"/>
        <w:widowControl/>
        <w:spacing w:line="286" w:lineRule="exact" w:before="266" w:after="0"/>
        <w:ind w:left="358" w:right="352" w:firstLine="0"/>
        <w:jc w:val="both"/>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日，本集团发起设立但未纳入本集团合并财务报表范围的结构化主体</w:t>
      </w:r>
      <w:r>
        <w:rPr>
          <w:rFonts w:ascii="黑体" w:hAnsi="黑体" w:eastAsia="黑体"/>
          <w:b w:val="0"/>
          <w:i w:val="0"/>
          <w:color w:val="000000"/>
          <w:sz w:val="22"/>
        </w:rPr>
        <w:t>的受托资产总额为人民币</w:t>
      </w:r>
      <w:r>
        <w:rPr>
          <w:rFonts w:ascii="Arial" w:hAnsi="Arial" w:eastAsia="Arial"/>
          <w:b w:val="0"/>
          <w:i w:val="0"/>
          <w:color w:val="000000"/>
          <w:sz w:val="22"/>
        </w:rPr>
        <w:t>49,328,834,422</w:t>
      </w:r>
      <w:r>
        <w:rPr>
          <w:rFonts w:ascii="黑体" w:hAnsi="黑体" w:eastAsia="黑体"/>
          <w:b w:val="0"/>
          <w:i w:val="0"/>
          <w:color w:val="000000"/>
          <w:sz w:val="22"/>
        </w:rPr>
        <w:t xml:space="preserve"> 元（</w:t>
      </w:r>
      <w:r>
        <w:rPr>
          <w:rFonts w:ascii="Arial" w:hAnsi="Arial" w:eastAsia="Arial"/>
          <w:b w:val="0"/>
          <w:i w:val="0"/>
          <w:color w:val="000000"/>
          <w:sz w:val="22"/>
        </w:rPr>
        <w:t>2023</w:t>
      </w:r>
      <w:r>
        <w:rPr>
          <w:rFonts w:ascii="黑体" w:hAnsi="黑体" w:eastAsia="黑体"/>
          <w:b w:val="0"/>
          <w:i w:val="0"/>
          <w:color w:val="000000"/>
          <w:sz w:val="22"/>
        </w:rPr>
        <w:t xml:space="preserve"> 年</w:t>
      </w:r>
      <w:r>
        <w:rPr>
          <w:rFonts w:ascii="Arial" w:hAnsi="Arial" w:eastAsia="Arial"/>
          <w:b w:val="0"/>
          <w:i w:val="0"/>
          <w:color w:val="000000"/>
          <w:sz w:val="22"/>
        </w:rPr>
        <w:t>12</w:t>
      </w:r>
      <w:r>
        <w:rPr>
          <w:rFonts w:ascii="黑体" w:hAnsi="黑体" w:eastAsia="黑体"/>
          <w:b w:val="0"/>
          <w:i w:val="0"/>
          <w:color w:val="000000"/>
          <w:sz w:val="22"/>
        </w:rPr>
        <w:t xml:space="preserve"> 月</w:t>
      </w:r>
      <w:r>
        <w:rPr>
          <w:rFonts w:ascii="Arial" w:hAnsi="Arial" w:eastAsia="Arial"/>
          <w:b w:val="0"/>
          <w:i w:val="0"/>
          <w:color w:val="000000"/>
          <w:sz w:val="22"/>
        </w:rPr>
        <w:t>31</w:t>
      </w:r>
      <w:r>
        <w:rPr>
          <w:rFonts w:ascii="黑体" w:hAnsi="黑体" w:eastAsia="黑体"/>
          <w:b w:val="0"/>
          <w:i w:val="0"/>
          <w:color w:val="000000"/>
          <w:sz w:val="22"/>
        </w:rPr>
        <w:t xml:space="preserve"> 日：人民币</w:t>
      </w:r>
      <w:r>
        <w:rPr>
          <w:rFonts w:ascii="Arial" w:hAnsi="Arial" w:eastAsia="Arial"/>
          <w:b w:val="0"/>
          <w:i w:val="0"/>
          <w:color w:val="000000"/>
          <w:sz w:val="22"/>
        </w:rPr>
        <w:t>58,561,772,210</w:t>
      </w:r>
      <w:r>
        <w:rPr>
          <w:rFonts w:ascii="黑体" w:hAnsi="黑体" w:eastAsia="黑体"/>
          <w:b w:val="0"/>
          <w:i w:val="0"/>
          <w:color w:val="000000"/>
          <w:sz w:val="22"/>
        </w:rPr>
        <w:t>元）。</w:t>
      </w:r>
    </w:p>
    <w:p>
      <w:pPr>
        <w:autoSpaceDN w:val="0"/>
        <w:autoSpaceDE w:val="0"/>
        <w:widowControl/>
        <w:spacing w:line="284" w:lineRule="exact" w:before="254" w:after="0"/>
        <w:ind w:left="358" w:right="288" w:firstLine="0"/>
        <w:jc w:val="left"/>
      </w:pPr>
      <w:r>
        <w:rPr>
          <w:rFonts w:ascii="Arial" w:hAnsi="Arial" w:eastAsia="Arial"/>
          <w:b w:val="0"/>
          <w:i w:val="0"/>
          <w:color w:val="000000"/>
          <w:sz w:val="22"/>
        </w:rPr>
        <w:t>2024</w:t>
      </w:r>
      <w:r>
        <w:rPr>
          <w:rFonts w:ascii="黑体" w:hAnsi="黑体" w:eastAsia="黑体"/>
          <w:b w:val="0"/>
          <w:i w:val="0"/>
          <w:color w:val="000000"/>
          <w:sz w:val="22"/>
        </w:rPr>
        <w:t>年度，本集团自上述结构化主体获取的管理费收入为人民币</w:t>
      </w:r>
      <w:r>
        <w:rPr>
          <w:rFonts w:ascii="Arial" w:hAnsi="Arial" w:eastAsia="Arial"/>
          <w:b w:val="0"/>
          <w:i w:val="0"/>
          <w:color w:val="000000"/>
          <w:sz w:val="22"/>
        </w:rPr>
        <w:t>282,249,189</w:t>
      </w:r>
      <w:r>
        <w:rPr>
          <w:rFonts w:ascii="黑体" w:hAnsi="黑体" w:eastAsia="黑体"/>
          <w:b w:val="0"/>
          <w:i w:val="0"/>
          <w:color w:val="000000"/>
          <w:sz w:val="22"/>
        </w:rPr>
        <w:t>元</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年度：人民币</w:t>
      </w:r>
      <w:r>
        <w:rPr>
          <w:rFonts w:ascii="Arial" w:hAnsi="Arial" w:eastAsia="Arial"/>
          <w:b w:val="0"/>
          <w:i w:val="0"/>
          <w:color w:val="000000"/>
          <w:sz w:val="22"/>
        </w:rPr>
        <w:t>262,771,283</w:t>
      </w:r>
      <w:r>
        <w:rPr>
          <w:rFonts w:ascii="黑体" w:hAnsi="黑体" w:eastAsia="黑体"/>
          <w:b w:val="0"/>
          <w:i w:val="0"/>
          <w:color w:val="000000"/>
          <w:sz w:val="22"/>
        </w:rPr>
        <w:t>元）。</w:t>
      </w:r>
    </w:p>
    <w:p>
      <w:pPr>
        <w:autoSpaceDN w:val="0"/>
        <w:autoSpaceDE w:val="0"/>
        <w:widowControl/>
        <w:spacing w:line="233" w:lineRule="auto" w:before="7588" w:after="0"/>
        <w:ind w:left="0" w:right="0" w:firstLine="0"/>
        <w:jc w:val="center"/>
      </w:pPr>
      <w:r>
        <w:rPr>
          <w:rFonts w:ascii="Arial" w:hAnsi="Arial" w:eastAsia="Arial"/>
          <w:b w:val="0"/>
          <w:i w:val="0"/>
          <w:color w:val="000000"/>
          <w:sz w:val="20"/>
        </w:rPr>
        <w:t xml:space="preserve">257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 xml:space="preserve">八、 政府补助 </w:t>
      </w:r>
    </w:p>
    <w:p>
      <w:pPr>
        <w:autoSpaceDN w:val="0"/>
        <w:autoSpaceDE w:val="0"/>
        <w:widowControl/>
        <w:spacing w:line="222" w:lineRule="exact" w:before="350" w:after="0"/>
        <w:ind w:left="358" w:right="0" w:firstLine="0"/>
        <w:jc w:val="left"/>
      </w:pPr>
      <w:r>
        <w:rPr>
          <w:rFonts w:ascii="黑体" w:hAnsi="黑体" w:eastAsia="黑体"/>
          <w:b w:val="0"/>
          <w:i w:val="0"/>
          <w:color w:val="000000"/>
          <w:sz w:val="22"/>
        </w:rPr>
        <w:t xml:space="preserve">计入当期损益的政府补助如下： </w:t>
      </w:r>
    </w:p>
    <w:p>
      <w:pPr>
        <w:autoSpaceDN w:val="0"/>
        <w:tabs>
          <w:tab w:pos="5862" w:val="left"/>
          <w:tab w:pos="7970" w:val="left"/>
        </w:tabs>
        <w:autoSpaceDE w:val="0"/>
        <w:widowControl/>
        <w:spacing w:line="522" w:lineRule="exact" w:before="30" w:after="34"/>
        <w:ind w:left="358" w:right="288" w:firstLine="0"/>
        <w:jc w:val="left"/>
      </w:pPr>
      <w:r>
        <w:tab/>
      </w:r>
      <w:r>
        <w:rPr>
          <w:rFonts w:ascii="Arial" w:hAnsi="Arial" w:eastAsia="Arial"/>
          <w:b w:val="0"/>
          <w:i w:val="0"/>
          <w:color w:val="000000"/>
          <w:sz w:val="22"/>
        </w:rPr>
        <w:t>2024</w:t>
      </w:r>
      <w:r>
        <w:rPr>
          <w:rFonts w:ascii="黑体" w:hAnsi="黑体" w:eastAsia="黑体"/>
          <w:b w:val="0"/>
          <w:i w:val="0"/>
          <w:color w:val="000000"/>
          <w:sz w:val="22"/>
        </w:rPr>
        <w:t>年</w:t>
      </w:r>
      <w:r>
        <w:tab/>
      </w:r>
      <w:r>
        <w:rPr>
          <w:rFonts w:ascii="Arial" w:hAnsi="Arial" w:eastAsia="Arial"/>
          <w:b w:val="0"/>
          <w:i w:val="0"/>
          <w:color w:val="000000"/>
          <w:sz w:val="22"/>
        </w:rPr>
        <w:t>2023</w:t>
      </w:r>
      <w:r>
        <w:rPr>
          <w:rFonts w:ascii="黑体" w:hAnsi="黑体" w:eastAsia="黑体"/>
          <w:b w:val="0"/>
          <w:i w:val="0"/>
          <w:color w:val="000000"/>
          <w:sz w:val="22"/>
        </w:rPr>
        <w:t>年</w:t>
      </w:r>
      <w:r>
        <w:rPr>
          <w:rFonts w:ascii="黑体" w:hAnsi="黑体" w:eastAsia="黑体"/>
          <w:b w:val="0"/>
          <w:i w:val="0"/>
          <w:color w:val="000000"/>
          <w:sz w:val="22"/>
        </w:rPr>
        <w:t>与收益相关的政府补助</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264"/>
        </w:trPr>
        <w:tc>
          <w:tcPr>
            <w:tcW w:type="dxa" w:w="4552"/>
            <w:tcBorders/>
            <w:tcMar>
              <w:start w:w="0" w:type="dxa"/>
              <w:end w:w="0" w:type="dxa"/>
            </w:tcMar>
          </w:tcPr>
          <w:p>
            <w:pPr>
              <w:autoSpaceDN w:val="0"/>
              <w:autoSpaceDE w:val="0"/>
              <w:widowControl/>
              <w:spacing w:line="220" w:lineRule="exact" w:before="32" w:after="0"/>
              <w:ind w:left="392" w:right="0" w:firstLine="0"/>
              <w:jc w:val="left"/>
            </w:pPr>
            <w:r>
              <w:rPr>
                <w:rFonts w:ascii="黑体" w:hAnsi="黑体" w:eastAsia="黑体"/>
                <w:b w:val="0"/>
                <w:i w:val="0"/>
                <w:color w:val="000000"/>
                <w:sz w:val="22"/>
              </w:rPr>
              <w:t>计入营业外收入</w:t>
            </w:r>
          </w:p>
        </w:tc>
        <w:tc>
          <w:tcPr>
            <w:tcW w:type="dxa" w:w="2108"/>
            <w:vMerge w:val="restart"/>
            <w:tcBorders/>
            <w:tcMar>
              <w:start w:w="0" w:type="dxa"/>
              <w:end w:w="0" w:type="dxa"/>
            </w:tcMar>
            <w:tcMar>
              <w:start w:w="0" w:type="dxa"/>
              <w:end w:w="0" w:type="dxa"/>
            </w:tcMar>
          </w:tcPr>
          <w:p>
            <w:pPr>
              <w:autoSpaceDN w:val="0"/>
              <w:autoSpaceDE w:val="0"/>
              <w:widowControl/>
              <w:spacing w:line="233" w:lineRule="auto" w:before="40" w:after="0"/>
              <w:ind w:left="0" w:right="244" w:firstLine="0"/>
              <w:jc w:val="right"/>
            </w:pPr>
            <w:r>
              <w:rPr>
                <w:rFonts w:ascii="Arial" w:hAnsi="Arial" w:eastAsia="Arial"/>
                <w:b w:val="0"/>
                <w:i w:val="0"/>
                <w:color w:val="000000"/>
                <w:sz w:val="22"/>
              </w:rPr>
              <w:t>36,432</w:t>
            </w:r>
          </w:p>
        </w:tc>
        <w:tc>
          <w:tcPr>
            <w:tcW w:type="dxa" w:w="1860"/>
            <w:vMerge w:val="restart"/>
            <w:tcBorders/>
            <w:tcMar>
              <w:start w:w="0" w:type="dxa"/>
              <w:end w:w="0" w:type="dxa"/>
            </w:tcMar>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22"/>
              </w:rPr>
              <w:t>-</w:t>
            </w:r>
          </w:p>
        </w:tc>
      </w:tr>
      <w:tr>
        <w:trPr>
          <w:trHeight w:hRule="exact" w:val="42"/>
        </w:trPr>
        <w:tc>
          <w:tcPr>
            <w:tcW w:type="dxa" w:w="4552"/>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4" w:after="0"/>
              <w:ind w:left="392" w:right="0" w:firstLine="0"/>
              <w:jc w:val="left"/>
            </w:pPr>
            <w:r>
              <w:rPr>
                <w:rFonts w:ascii="黑体" w:hAnsi="黑体" w:eastAsia="黑体"/>
                <w:b w:val="0"/>
                <w:i w:val="0"/>
                <w:color w:val="000000"/>
                <w:sz w:val="22"/>
              </w:rPr>
              <w:t>计入其他收益</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2108"/>
            <w:tcBorders>
              <w:bottom w:sz="4.0" w:val="single" w:color="#000000"/>
            </w:tcBorders>
            <w:tcMar>
              <w:start w:w="0" w:type="dxa"/>
              <w:end w:w="0" w:type="dxa"/>
            </w:tcMar>
          </w:tcPr>
          <w:p>
            <w:pPr>
              <w:autoSpaceDN w:val="0"/>
              <w:autoSpaceDE w:val="0"/>
              <w:widowControl/>
              <w:spacing w:line="233" w:lineRule="auto" w:before="18" w:after="0"/>
              <w:ind w:left="0" w:right="244" w:firstLine="0"/>
              <w:jc w:val="right"/>
            </w:pPr>
            <w:r>
              <w:rPr>
                <w:rFonts w:ascii="Arial" w:hAnsi="Arial" w:eastAsia="Arial"/>
                <w:b w:val="0"/>
                <w:i w:val="0"/>
                <w:color w:val="000000"/>
                <w:sz w:val="22"/>
              </w:rPr>
              <w:t>19,059,202</w:t>
            </w:r>
          </w:p>
        </w:tc>
        <w:tc>
          <w:tcPr>
            <w:tcW w:type="dxa" w:w="1860"/>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24,193,184</w:t>
            </w:r>
          </w:p>
        </w:tc>
      </w:tr>
      <w:tr>
        <w:trPr>
          <w:trHeight w:hRule="exact" w:val="548"/>
        </w:trPr>
        <w:tc>
          <w:tcPr>
            <w:tcW w:type="dxa" w:w="4552"/>
            <w:tcBorders>
              <w:top w:sz="4.0" w:val="single" w:color="#000000"/>
              <w:bottom w:sz="4.0" w:val="single" w:color="#000000"/>
            </w:tcBorders>
            <w:tcMar>
              <w:start w:w="0" w:type="dxa"/>
              <w:end w:w="0" w:type="dxa"/>
            </w:tcMar>
          </w:tcPr>
          <w:p>
            <w:pPr>
              <w:autoSpaceDN w:val="0"/>
              <w:autoSpaceDE w:val="0"/>
              <w:widowControl/>
              <w:spacing w:line="222" w:lineRule="exact" w:before="278" w:after="0"/>
              <w:ind w:left="198" w:right="0" w:firstLine="0"/>
              <w:jc w:val="left"/>
            </w:pPr>
            <w:r>
              <w:rPr>
                <w:rFonts w:ascii="黑体" w:hAnsi="黑体" w:eastAsia="黑体"/>
                <w:b w:val="0"/>
                <w:i w:val="0"/>
                <w:color w:val="000000"/>
                <w:sz w:val="22"/>
              </w:rPr>
              <w:t>合计</w:t>
            </w:r>
          </w:p>
        </w:tc>
        <w:tc>
          <w:tcPr>
            <w:tcW w:type="dxa" w:w="2108"/>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244" w:firstLine="0"/>
              <w:jc w:val="right"/>
            </w:pPr>
            <w:r>
              <w:rPr>
                <w:rFonts w:ascii="Arial" w:hAnsi="Arial" w:eastAsia="Arial"/>
                <w:b w:val="0"/>
                <w:i w:val="0"/>
                <w:color w:val="000000"/>
                <w:sz w:val="22"/>
              </w:rPr>
              <w:t>19,095,634</w:t>
            </w:r>
          </w:p>
        </w:tc>
        <w:tc>
          <w:tcPr>
            <w:tcW w:type="dxa" w:w="1860"/>
            <w:tcBorders>
              <w:top w:sz="4.0" w:val="single" w:color="#000000"/>
              <w:bottom w:sz="4.0"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24,193,184</w:t>
            </w:r>
          </w:p>
        </w:tc>
      </w:tr>
      <w:tr>
        <w:trPr>
          <w:trHeight w:hRule="exact" w:val="52"/>
        </w:trPr>
        <w:tc>
          <w:tcPr>
            <w:tcW w:type="dxa" w:w="4552"/>
            <w:tcBorders>
              <w:top w:sz="4.0" w:val="single" w:color="#000000"/>
            </w:tcBorders>
            <w:tcMar>
              <w:start w:w="0" w:type="dxa"/>
              <w:end w:w="0" w:type="dxa"/>
            </w:tcMar>
          </w:tcPr>
          <w:p/>
        </w:tc>
        <w:tc>
          <w:tcPr>
            <w:tcW w:type="dxa" w:w="2108"/>
            <w:tcBorders>
              <w:top w:sz="4.0" w:val="single" w:color="#000000"/>
            </w:tcBorders>
            <w:tcMar>
              <w:start w:w="0" w:type="dxa"/>
              <w:end w:w="0" w:type="dxa"/>
            </w:tcMar>
          </w:tcPr>
          <w:p/>
        </w:tc>
        <w:tc>
          <w:tcPr>
            <w:tcW w:type="dxa" w:w="1860"/>
            <w:tcBorders>
              <w:top w:sz="4.0" w:val="single" w:color="#000000"/>
            </w:tcBorders>
            <w:tcMar>
              <w:start w:w="0" w:type="dxa"/>
              <w:end w:w="0" w:type="dxa"/>
            </w:tcMar>
          </w:tcPr>
          <w:p/>
        </w:tc>
      </w:tr>
    </w:tbl>
    <w:p>
      <w:pPr>
        <w:autoSpaceDN w:val="0"/>
        <w:autoSpaceDE w:val="0"/>
        <w:widowControl/>
        <w:spacing w:line="233" w:lineRule="auto" w:before="10842" w:after="0"/>
        <w:ind w:left="0" w:right="0" w:firstLine="0"/>
        <w:jc w:val="center"/>
      </w:pPr>
      <w:r>
        <w:rPr>
          <w:rFonts w:ascii="Arial" w:hAnsi="Arial" w:eastAsia="Arial"/>
          <w:b w:val="0"/>
          <w:i w:val="0"/>
          <w:color w:val="000000"/>
          <w:sz w:val="20"/>
        </w:rPr>
        <w:t xml:space="preserve">258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86" w:val="left"/>
        </w:tabs>
        <w:autoSpaceDE w:val="0"/>
        <w:widowControl/>
        <w:spacing w:line="220" w:lineRule="exact" w:before="0" w:after="0"/>
        <w:ind w:left="358" w:right="0" w:firstLine="0"/>
        <w:jc w:val="left"/>
      </w:pPr>
      <w:r>
        <w:rPr>
          <w:rFonts w:ascii="黑体" w:hAnsi="黑体" w:eastAsia="黑体"/>
          <w:b w:val="0"/>
          <w:i w:val="0"/>
          <w:color w:val="000000"/>
          <w:sz w:val="22"/>
        </w:rPr>
        <w:t>九、</w:t>
      </w:r>
      <w:r>
        <w:rPr>
          <w:rFonts w:ascii="黑体" w:hAnsi="黑体" w:eastAsia="黑体"/>
          <w:b w:val="0"/>
          <w:i w:val="0"/>
          <w:color w:val="000000"/>
          <w:sz w:val="22"/>
        </w:rPr>
        <w:t>分部报告</w:t>
      </w:r>
    </w:p>
    <w:p>
      <w:pPr>
        <w:autoSpaceDN w:val="0"/>
        <w:autoSpaceDE w:val="0"/>
        <w:widowControl/>
        <w:spacing w:line="286" w:lineRule="exact" w:before="252" w:after="0"/>
        <w:ind w:left="358" w:right="182" w:firstLine="0"/>
        <w:jc w:val="both"/>
      </w:pPr>
      <w:r>
        <w:rPr>
          <w:rFonts w:ascii="黑体" w:hAnsi="黑体" w:eastAsia="黑体"/>
          <w:b w:val="0"/>
          <w:i w:val="0"/>
          <w:color w:val="000000"/>
          <w:sz w:val="22"/>
        </w:rPr>
        <w:t>本集团根据内部组织结构、管理要求及内部报告制度确定了证券经纪业务分部、投资银</w:t>
      </w:r>
      <w:r>
        <w:rPr>
          <w:rFonts w:ascii="黑体" w:hAnsi="黑体" w:eastAsia="黑体"/>
          <w:b w:val="0"/>
          <w:i w:val="0"/>
          <w:color w:val="000000"/>
          <w:sz w:val="22"/>
        </w:rPr>
        <w:t>行业务分部、固定收益业务、股票等其他自营投资业务分部、受托资产管理业务分部、</w:t>
      </w:r>
      <w:r>
        <w:rPr>
          <w:rFonts w:ascii="黑体" w:hAnsi="黑体" w:eastAsia="黑体"/>
          <w:b w:val="0"/>
          <w:i w:val="0"/>
          <w:color w:val="000000"/>
          <w:sz w:val="22"/>
        </w:rPr>
        <w:t>期货经纪业务分部及大宗商品交易及风险管理业务分部共七个报告分部。每个报告分部</w:t>
      </w:r>
      <w:r>
        <w:rPr>
          <w:rFonts w:ascii="黑体" w:hAnsi="黑体" w:eastAsia="黑体"/>
          <w:b w:val="0"/>
          <w:i w:val="0"/>
          <w:color w:val="000000"/>
          <w:sz w:val="22"/>
        </w:rPr>
        <w:t>为单独的业务分部，提供不同的劳务，由于每个分部需要不同的技术及市场策略而需要</w:t>
      </w:r>
      <w:r>
        <w:rPr>
          <w:rFonts w:ascii="黑体" w:hAnsi="黑体" w:eastAsia="黑体"/>
          <w:b w:val="0"/>
          <w:i w:val="0"/>
          <w:color w:val="000000"/>
          <w:sz w:val="22"/>
        </w:rPr>
        <w:t>进行单独的管理。本集团管理层将会定期审阅不同分部的财务信息以决定向其配置资</w:t>
      </w:r>
      <w:r>
        <w:rPr>
          <w:rFonts w:ascii="黑体" w:hAnsi="黑体" w:eastAsia="黑体"/>
          <w:b w:val="0"/>
          <w:i w:val="0"/>
          <w:color w:val="000000"/>
          <w:sz w:val="22"/>
        </w:rPr>
        <w:t>源、评价业绩。</w:t>
      </w:r>
    </w:p>
    <w:p>
      <w:pPr>
        <w:autoSpaceDN w:val="0"/>
        <w:autoSpaceDE w:val="0"/>
        <w:widowControl/>
        <w:spacing w:line="220" w:lineRule="exact" w:before="318" w:after="0"/>
        <w:ind w:left="358" w:right="0" w:firstLine="0"/>
        <w:jc w:val="left"/>
      </w:pPr>
      <w:r>
        <w:rPr>
          <w:rFonts w:ascii="黑体" w:hAnsi="黑体" w:eastAsia="黑体"/>
          <w:b w:val="0"/>
          <w:i w:val="0"/>
          <w:color w:val="000000"/>
          <w:sz w:val="22"/>
        </w:rPr>
        <w:t>本集团七个分部业务介绍如下：</w:t>
      </w:r>
    </w:p>
    <w:p>
      <w:pPr>
        <w:autoSpaceDN w:val="0"/>
        <w:tabs>
          <w:tab w:pos="718" w:val="left"/>
        </w:tabs>
        <w:autoSpaceDE w:val="0"/>
        <w:widowControl/>
        <w:spacing w:line="286" w:lineRule="exact" w:before="252" w:after="0"/>
        <w:ind w:left="358" w:right="3168" w:firstLine="0"/>
        <w:jc w:val="left"/>
      </w:pPr>
      <w:r>
        <w:rPr>
          <w:rFonts w:ascii="黑体" w:hAnsi="黑体" w:eastAsia="黑体"/>
          <w:b w:val="0"/>
          <w:i w:val="0"/>
          <w:color w:val="000000"/>
          <w:sz w:val="22"/>
        </w:rPr>
        <w:t>-</w:t>
      </w:r>
      <w:r>
        <w:tab/>
      </w:r>
      <w:r>
        <w:rPr>
          <w:rFonts w:ascii="黑体" w:hAnsi="黑体" w:eastAsia="黑体"/>
          <w:b w:val="0"/>
          <w:i w:val="0"/>
          <w:color w:val="000000"/>
          <w:sz w:val="22"/>
        </w:rPr>
        <w:t>证券经纪业务分部</w:t>
      </w:r>
      <w:r>
        <w:br/>
      </w:r>
      <w:r>
        <w:tab/>
      </w:r>
      <w:r>
        <w:rPr>
          <w:rFonts w:ascii="黑体" w:hAnsi="黑体" w:eastAsia="黑体"/>
          <w:b w:val="0"/>
          <w:i w:val="0"/>
          <w:color w:val="000000"/>
          <w:sz w:val="22"/>
        </w:rPr>
        <w:t>该分部为个人以及机构客户提供代理买卖证券服务。</w:t>
      </w:r>
    </w:p>
    <w:p>
      <w:pPr>
        <w:autoSpaceDN w:val="0"/>
        <w:tabs>
          <w:tab w:pos="718" w:val="left"/>
        </w:tabs>
        <w:autoSpaceDE w:val="0"/>
        <w:widowControl/>
        <w:spacing w:line="286" w:lineRule="exact" w:before="250" w:after="0"/>
        <w:ind w:left="358" w:right="288" w:firstLine="0"/>
        <w:jc w:val="left"/>
      </w:pPr>
      <w:r>
        <w:rPr>
          <w:rFonts w:ascii="黑体" w:hAnsi="黑体" w:eastAsia="黑体"/>
          <w:b w:val="0"/>
          <w:i w:val="0"/>
          <w:color w:val="000000"/>
          <w:sz w:val="22"/>
        </w:rPr>
        <w:t>-</w:t>
      </w:r>
      <w:r>
        <w:tab/>
      </w:r>
      <w:r>
        <w:rPr>
          <w:rFonts w:ascii="黑体" w:hAnsi="黑体" w:eastAsia="黑体"/>
          <w:b w:val="0"/>
          <w:i w:val="0"/>
          <w:color w:val="000000"/>
          <w:sz w:val="22"/>
        </w:rPr>
        <w:t>投资银行业务分部</w:t>
      </w:r>
      <w:r>
        <w:br/>
      </w:r>
      <w:r>
        <w:tab/>
      </w:r>
      <w:r>
        <w:rPr>
          <w:rFonts w:ascii="黑体" w:hAnsi="黑体" w:eastAsia="黑体"/>
          <w:b w:val="0"/>
          <w:i w:val="0"/>
          <w:color w:val="000000"/>
          <w:sz w:val="22"/>
        </w:rPr>
        <w:t>该分部业务包括股票承销业务、债券承销业务、场外市场业务及收购兼并业务等。</w:t>
      </w:r>
    </w:p>
    <w:p>
      <w:pPr>
        <w:autoSpaceDN w:val="0"/>
        <w:tabs>
          <w:tab w:pos="718" w:val="left"/>
        </w:tabs>
        <w:autoSpaceDE w:val="0"/>
        <w:widowControl/>
        <w:spacing w:line="286" w:lineRule="exact" w:before="252" w:after="0"/>
        <w:ind w:left="358" w:right="1008" w:firstLine="0"/>
        <w:jc w:val="left"/>
      </w:pPr>
      <w:r>
        <w:rPr>
          <w:rFonts w:ascii="黑体" w:hAnsi="黑体" w:eastAsia="黑体"/>
          <w:b w:val="0"/>
          <w:i w:val="0"/>
          <w:color w:val="000000"/>
          <w:sz w:val="22"/>
        </w:rPr>
        <w:t>-</w:t>
      </w:r>
      <w:r>
        <w:tab/>
      </w:r>
      <w:r>
        <w:rPr>
          <w:rFonts w:ascii="黑体" w:hAnsi="黑体" w:eastAsia="黑体"/>
          <w:b w:val="0"/>
          <w:i w:val="0"/>
          <w:color w:val="000000"/>
          <w:sz w:val="22"/>
        </w:rPr>
        <w:t>固定收益业务</w:t>
      </w:r>
      <w:r>
        <w:br/>
      </w:r>
      <w:r>
        <w:tab/>
      </w:r>
      <w:r>
        <w:rPr>
          <w:rFonts w:ascii="黑体" w:hAnsi="黑体" w:eastAsia="黑体"/>
          <w:b w:val="0"/>
          <w:i w:val="0"/>
          <w:color w:val="000000"/>
          <w:sz w:val="22"/>
        </w:rPr>
        <w:t>该分部运用自有资金，从事债券、票据等投资活动，并持有相关金融资产。</w:t>
      </w:r>
    </w:p>
    <w:p>
      <w:pPr>
        <w:autoSpaceDN w:val="0"/>
        <w:tabs>
          <w:tab w:pos="718" w:val="left"/>
        </w:tabs>
        <w:autoSpaceDE w:val="0"/>
        <w:widowControl/>
        <w:spacing w:line="284" w:lineRule="exact" w:before="256" w:after="0"/>
        <w:ind w:left="358" w:right="288" w:firstLine="0"/>
        <w:jc w:val="left"/>
      </w:pPr>
      <w:r>
        <w:rPr>
          <w:rFonts w:ascii="黑体" w:hAnsi="黑体" w:eastAsia="黑体"/>
          <w:b w:val="0"/>
          <w:i w:val="0"/>
          <w:color w:val="000000"/>
          <w:sz w:val="22"/>
        </w:rPr>
        <w:t>-</w:t>
      </w:r>
      <w:r>
        <w:tab/>
      </w:r>
      <w:r>
        <w:rPr>
          <w:rFonts w:ascii="黑体" w:hAnsi="黑体" w:eastAsia="黑体"/>
          <w:b w:val="0"/>
          <w:i w:val="0"/>
          <w:color w:val="000000"/>
          <w:sz w:val="22"/>
        </w:rPr>
        <w:t>股票等其他自营投资业务分部</w:t>
      </w:r>
      <w:r>
        <w:br/>
      </w:r>
      <w:r>
        <w:tab/>
      </w:r>
      <w:r>
        <w:rPr>
          <w:rFonts w:ascii="黑体" w:hAnsi="黑体" w:eastAsia="黑体"/>
          <w:b w:val="0"/>
          <w:i w:val="0"/>
          <w:color w:val="000000"/>
          <w:sz w:val="22"/>
        </w:rPr>
        <w:t>该分部运用自有资金，从事证券投资、收益权投资等投资活动，并持有相关金融资</w:t>
      </w:r>
      <w:r>
        <w:tab/>
      </w:r>
      <w:r>
        <w:rPr>
          <w:rFonts w:ascii="黑体" w:hAnsi="黑体" w:eastAsia="黑体"/>
          <w:b w:val="0"/>
          <w:i w:val="0"/>
          <w:color w:val="000000"/>
          <w:sz w:val="22"/>
        </w:rPr>
        <w:t>产。</w:t>
      </w:r>
    </w:p>
    <w:p>
      <w:pPr>
        <w:autoSpaceDN w:val="0"/>
        <w:tabs>
          <w:tab w:pos="718" w:val="left"/>
        </w:tabs>
        <w:autoSpaceDE w:val="0"/>
        <w:widowControl/>
        <w:spacing w:line="284" w:lineRule="exact" w:before="256" w:after="0"/>
        <w:ind w:left="358" w:right="288" w:firstLine="0"/>
        <w:jc w:val="left"/>
      </w:pPr>
      <w:r>
        <w:rPr>
          <w:rFonts w:ascii="黑体" w:hAnsi="黑体" w:eastAsia="黑体"/>
          <w:b w:val="0"/>
          <w:i w:val="0"/>
          <w:color w:val="000000"/>
          <w:sz w:val="22"/>
        </w:rPr>
        <w:t>-</w:t>
      </w:r>
      <w:r>
        <w:tab/>
      </w:r>
      <w:r>
        <w:rPr>
          <w:rFonts w:ascii="黑体" w:hAnsi="黑体" w:eastAsia="黑体"/>
          <w:b w:val="0"/>
          <w:i w:val="0"/>
          <w:color w:val="000000"/>
          <w:sz w:val="22"/>
        </w:rPr>
        <w:t>受托资产管理业务分部</w:t>
      </w:r>
      <w:r>
        <w:br/>
      </w:r>
      <w:r>
        <w:tab/>
      </w:r>
      <w:r>
        <w:rPr>
          <w:rFonts w:ascii="黑体" w:hAnsi="黑体" w:eastAsia="黑体"/>
          <w:b w:val="0"/>
          <w:i w:val="0"/>
          <w:color w:val="000000"/>
          <w:sz w:val="22"/>
        </w:rPr>
        <w:t>该分部对委托人的资产进行管理，并开展基金管理和销售，以及专户资产管理业</w:t>
      </w:r>
      <w:r>
        <w:tab/>
      </w:r>
      <w:r>
        <w:rPr>
          <w:rFonts w:ascii="黑体" w:hAnsi="黑体" w:eastAsia="黑体"/>
          <w:b w:val="0"/>
          <w:i w:val="0"/>
          <w:color w:val="000000"/>
          <w:sz w:val="22"/>
        </w:rPr>
        <w:t>务。</w:t>
      </w:r>
    </w:p>
    <w:p>
      <w:pPr>
        <w:autoSpaceDN w:val="0"/>
        <w:tabs>
          <w:tab w:pos="718" w:val="left"/>
        </w:tabs>
        <w:autoSpaceDE w:val="0"/>
        <w:widowControl/>
        <w:spacing w:line="286" w:lineRule="exact" w:before="254" w:after="0"/>
        <w:ind w:left="358" w:right="3600" w:firstLine="0"/>
        <w:jc w:val="left"/>
      </w:pPr>
      <w:r>
        <w:rPr>
          <w:rFonts w:ascii="黑体" w:hAnsi="黑体" w:eastAsia="黑体"/>
          <w:b w:val="0"/>
          <w:i w:val="0"/>
          <w:color w:val="000000"/>
          <w:sz w:val="22"/>
        </w:rPr>
        <w:t>-</w:t>
      </w:r>
      <w:r>
        <w:tab/>
      </w:r>
      <w:r>
        <w:rPr>
          <w:rFonts w:ascii="黑体" w:hAnsi="黑体" w:eastAsia="黑体"/>
          <w:b w:val="0"/>
          <w:i w:val="0"/>
          <w:color w:val="000000"/>
          <w:sz w:val="22"/>
        </w:rPr>
        <w:t>期货经纪业务分部</w:t>
      </w:r>
      <w:r>
        <w:br/>
      </w:r>
      <w:r>
        <w:tab/>
      </w:r>
      <w:r>
        <w:rPr>
          <w:rFonts w:ascii="黑体" w:hAnsi="黑体" w:eastAsia="黑体"/>
          <w:b w:val="0"/>
          <w:i w:val="0"/>
          <w:color w:val="000000"/>
          <w:sz w:val="22"/>
        </w:rPr>
        <w:t>该分部为个人以及机构客户提供期货经纪服务。</w:t>
      </w:r>
    </w:p>
    <w:p>
      <w:pPr>
        <w:autoSpaceDN w:val="0"/>
        <w:tabs>
          <w:tab w:pos="718" w:val="left"/>
        </w:tabs>
        <w:autoSpaceDE w:val="0"/>
        <w:widowControl/>
        <w:spacing w:line="288" w:lineRule="exact" w:before="248" w:after="0"/>
        <w:ind w:left="358" w:right="2304" w:firstLine="0"/>
        <w:jc w:val="left"/>
      </w:pPr>
      <w:r>
        <w:rPr>
          <w:rFonts w:ascii="黑体" w:hAnsi="黑体" w:eastAsia="黑体"/>
          <w:b w:val="0"/>
          <w:i w:val="0"/>
          <w:color w:val="000000"/>
          <w:sz w:val="22"/>
        </w:rPr>
        <w:t>-</w:t>
      </w:r>
      <w:r>
        <w:tab/>
      </w:r>
      <w:r>
        <w:rPr>
          <w:rFonts w:ascii="黑体" w:hAnsi="黑体" w:eastAsia="黑体"/>
          <w:b w:val="0"/>
          <w:i w:val="0"/>
          <w:color w:val="000000"/>
          <w:sz w:val="22"/>
        </w:rPr>
        <w:t>大宗商品交易及风险管理业务分部</w:t>
      </w:r>
      <w:r>
        <w:br/>
      </w:r>
      <w:r>
        <w:tab/>
      </w:r>
      <w:r>
        <w:rPr>
          <w:rFonts w:ascii="黑体" w:hAnsi="黑体" w:eastAsia="黑体"/>
          <w:b w:val="0"/>
          <w:i w:val="0"/>
          <w:color w:val="000000"/>
          <w:sz w:val="22"/>
        </w:rPr>
        <w:t>该分部参与提供仓单购买和转售、期货套利和套期保值服务。</w:t>
      </w:r>
    </w:p>
    <w:p>
      <w:pPr>
        <w:autoSpaceDN w:val="0"/>
        <w:autoSpaceDE w:val="0"/>
        <w:widowControl/>
        <w:spacing w:line="286" w:lineRule="exact" w:before="250" w:after="0"/>
        <w:ind w:left="358" w:right="288" w:firstLine="0"/>
        <w:jc w:val="left"/>
      </w:pPr>
      <w:r>
        <w:rPr>
          <w:rFonts w:ascii="黑体" w:hAnsi="黑体" w:eastAsia="黑体"/>
          <w:b w:val="0"/>
          <w:i w:val="0"/>
          <w:color w:val="000000"/>
          <w:sz w:val="22"/>
        </w:rPr>
        <w:t>编制分部报告所采用的会计政策与编制本集团财务报表所采用的会计政策一致。分部</w:t>
      </w:r>
      <w:r>
        <w:rPr>
          <w:rFonts w:ascii="黑体" w:hAnsi="黑体" w:eastAsia="黑体"/>
          <w:b w:val="0"/>
          <w:i w:val="0"/>
          <w:color w:val="000000"/>
          <w:sz w:val="22"/>
        </w:rPr>
        <w:t>间转移价格参照向第三方销售所采用的价格确定。</w:t>
      </w:r>
    </w:p>
    <w:p>
      <w:pPr>
        <w:autoSpaceDN w:val="0"/>
        <w:autoSpaceDE w:val="0"/>
        <w:widowControl/>
        <w:spacing w:line="286" w:lineRule="exact" w:before="252" w:after="0"/>
        <w:ind w:left="358" w:right="288" w:firstLine="0"/>
        <w:jc w:val="left"/>
      </w:pPr>
      <w:r>
        <w:rPr>
          <w:rFonts w:ascii="黑体" w:hAnsi="黑体" w:eastAsia="黑体"/>
          <w:b w:val="0"/>
          <w:i w:val="0"/>
          <w:color w:val="000000"/>
          <w:sz w:val="22"/>
        </w:rPr>
        <w:t>资产根据分部的经营以及资产的所在位置进行分配，负债根据分部的经营进行分配，</w:t>
      </w:r>
      <w:r>
        <w:rPr>
          <w:rFonts w:ascii="黑体" w:hAnsi="黑体" w:eastAsia="黑体"/>
          <w:b w:val="0"/>
          <w:i w:val="0"/>
          <w:color w:val="000000"/>
          <w:sz w:val="22"/>
        </w:rPr>
        <w:t>间接归属于各分部的费用按照收入比例在分部之间进行分配。</w:t>
      </w:r>
    </w:p>
    <w:p>
      <w:pPr>
        <w:autoSpaceDN w:val="0"/>
        <w:autoSpaceDE w:val="0"/>
        <w:widowControl/>
        <w:spacing w:line="284" w:lineRule="exact" w:before="252" w:after="0"/>
        <w:ind w:left="358" w:right="356" w:firstLine="0"/>
        <w:jc w:val="both"/>
      </w:pPr>
      <w:r>
        <w:rPr>
          <w:rFonts w:ascii="黑体" w:hAnsi="黑体" w:eastAsia="黑体"/>
          <w:b w:val="0"/>
          <w:i w:val="0"/>
          <w:color w:val="000000"/>
          <w:sz w:val="22"/>
        </w:rPr>
        <w:t>本集团在中国内地和香港地区提供服务，全部的对外交易收入均来源于中国内地和香</w:t>
      </w:r>
      <w:r>
        <w:rPr>
          <w:rFonts w:ascii="黑体" w:hAnsi="黑体" w:eastAsia="黑体"/>
          <w:b w:val="0"/>
          <w:i w:val="0"/>
          <w:color w:val="000000"/>
          <w:sz w:val="22"/>
        </w:rPr>
        <w:t>港地区，本集团金融资产及递延所得税资产之外的非流动资产均位于中国内地和香港</w:t>
      </w:r>
      <w:r>
        <w:rPr>
          <w:rFonts w:ascii="黑体" w:hAnsi="黑体" w:eastAsia="黑体"/>
          <w:b w:val="0"/>
          <w:i w:val="0"/>
          <w:color w:val="000000"/>
          <w:sz w:val="22"/>
        </w:rPr>
        <w:t>地区。由于本集团业务并不向特定客户开展，因此不存在对单一客户的重大依存。</w:t>
      </w:r>
    </w:p>
    <w:p>
      <w:pPr>
        <w:autoSpaceDN w:val="0"/>
        <w:autoSpaceDE w:val="0"/>
        <w:widowControl/>
        <w:spacing w:line="233" w:lineRule="auto" w:before="2106" w:after="0"/>
        <w:ind w:left="0" w:right="0" w:firstLine="0"/>
        <w:jc w:val="center"/>
      </w:pPr>
      <w:r>
        <w:rPr>
          <w:rFonts w:ascii="Arial" w:hAnsi="Arial" w:eastAsia="Arial"/>
          <w:b w:val="0"/>
          <w:i w:val="0"/>
          <w:color w:val="000000"/>
          <w:sz w:val="20"/>
        </w:rPr>
        <w:t xml:space="preserve">259 </w:t>
      </w:r>
    </w:p>
    <w:p>
      <w:pPr>
        <w:sectPr>
          <w:pgSz w:w="11899" w:h="16841"/>
          <w:pgMar w:top="988" w:right="144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28" w:val="left"/>
        </w:tabs>
        <w:autoSpaceDE w:val="0"/>
        <w:widowControl/>
        <w:spacing w:line="220" w:lineRule="exact" w:before="0" w:after="0"/>
        <w:ind w:left="0" w:right="0" w:firstLine="0"/>
        <w:jc w:val="left"/>
      </w:pPr>
      <w:r>
        <w:rPr>
          <w:rFonts w:ascii="黑体" w:hAnsi="黑体" w:eastAsia="黑体"/>
          <w:b w:val="0"/>
          <w:i w:val="0"/>
          <w:color w:val="000000"/>
          <w:sz w:val="22"/>
        </w:rPr>
        <w:t>九、</w:t>
      </w:r>
      <w:r>
        <w:tab/>
      </w:r>
      <w:r>
        <w:rPr>
          <w:rFonts w:ascii="黑体" w:hAnsi="黑体" w:eastAsia="黑体"/>
          <w:b w:val="0"/>
          <w:i w:val="0"/>
          <w:color w:val="000000"/>
          <w:sz w:val="22"/>
        </w:rPr>
        <w:t>分部报告（续）</w:t>
      </w:r>
    </w:p>
    <w:p>
      <w:pPr>
        <w:autoSpaceDN w:val="0"/>
        <w:autoSpaceDE w:val="0"/>
        <w:widowControl/>
        <w:spacing w:line="222" w:lineRule="exact" w:before="316" w:after="0"/>
        <w:ind w:left="0" w:right="0" w:firstLine="0"/>
        <w:jc w:val="left"/>
      </w:pPr>
      <w:r>
        <w:rPr>
          <w:rFonts w:ascii="黑体" w:hAnsi="黑体" w:eastAsia="黑体"/>
          <w:b w:val="0"/>
          <w:i w:val="0"/>
          <w:color w:val="000000"/>
          <w:sz w:val="22"/>
        </w:rPr>
        <w:t>下述披露的本集团各个报告分部的信息是本集团管理层在计量报告分部利润（亏损）、资产和负债时运用了下列数据，或者未运用下列数据但定</w:t>
      </w:r>
    </w:p>
    <w:p>
      <w:pPr>
        <w:autoSpaceDN w:val="0"/>
        <w:autoSpaceDE w:val="0"/>
        <w:widowControl/>
        <w:spacing w:line="222" w:lineRule="exact" w:before="64" w:after="0"/>
        <w:ind w:left="0" w:right="0" w:firstLine="0"/>
        <w:jc w:val="left"/>
      </w:pPr>
      <w:r>
        <w:rPr>
          <w:rFonts w:ascii="黑体" w:hAnsi="黑体" w:eastAsia="黑体"/>
          <w:b w:val="0"/>
          <w:i w:val="0"/>
          <w:color w:val="000000"/>
          <w:sz w:val="22"/>
        </w:rPr>
        <w:t>期提供给本集团管理层的：</w:t>
      </w:r>
    </w:p>
    <w:p>
      <w:pPr>
        <w:autoSpaceDN w:val="0"/>
        <w:autoSpaceDE w:val="0"/>
        <w:widowControl/>
        <w:spacing w:line="246" w:lineRule="exact" w:before="306" w:after="248"/>
        <w:ind w:left="0"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年度及截至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日分部信息</w:t>
      </w:r>
    </w:p>
    <w:tbl>
      <w:tblPr>
        <w:tblW w:type="auto" w:w="0"/>
        <w:tblLayout w:type="fixed"/>
        <w:tblLook w:firstColumn="1" w:firstRow="1" w:lastColumn="0" w:lastRow="0" w:noHBand="0" w:noVBand="1" w:val="04A0"/>
        <w:tblInd w:w="0.0" w:type="dxa"/>
      </w:tblPr>
      <w:tblGrid>
        <w:gridCol w:w="1280"/>
        <w:gridCol w:w="1280"/>
        <w:gridCol w:w="1280"/>
        <w:gridCol w:w="1280"/>
        <w:gridCol w:w="1280"/>
        <w:gridCol w:w="1280"/>
        <w:gridCol w:w="1280"/>
        <w:gridCol w:w="1280"/>
        <w:gridCol w:w="1280"/>
        <w:gridCol w:w="1280"/>
        <w:gridCol w:w="1280"/>
      </w:tblGrid>
      <w:tr>
        <w:trPr>
          <w:trHeight w:hRule="exact" w:val="202"/>
        </w:trPr>
        <w:tc>
          <w:tcPr>
            <w:tcW w:type="dxa" w:w="2098"/>
            <w:vMerge w:val="restart"/>
            <w:tcBorders>
              <w:bottom w:sz="4.0" w:val="single" w:color="#000000"/>
            </w:tcBorders>
            <w:tcMar>
              <w:start w:w="0" w:type="dxa"/>
              <w:end w:w="0" w:type="dxa"/>
            </w:tcMar>
            <w:tcMar>
              <w:start w:w="0" w:type="dxa"/>
              <w:end w:w="0" w:type="dxa"/>
            </w:tcMar>
          </w:tcP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0" w:right="0" w:firstLine="0"/>
              <w:jc w:val="center"/>
            </w:pPr>
            <w:r>
              <w:rPr>
                <w:rFonts w:ascii="黑体" w:hAnsi="黑体" w:eastAsia="黑体"/>
                <w:b w:val="0"/>
                <w:i w:val="0"/>
                <w:color w:val="000000"/>
                <w:sz w:val="14"/>
              </w:rPr>
              <w:t>证券经纪业务</w:t>
            </w:r>
          </w:p>
        </w:tc>
        <w:tc>
          <w:tcPr>
            <w:tcW w:type="dxa" w:w="964"/>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124" w:right="0" w:firstLine="0"/>
              <w:jc w:val="left"/>
            </w:pPr>
            <w:r>
              <w:rPr>
                <w:rFonts w:ascii="黑体" w:hAnsi="黑体" w:eastAsia="黑体"/>
                <w:b w:val="0"/>
                <w:i w:val="0"/>
                <w:color w:val="000000"/>
                <w:sz w:val="14"/>
              </w:rPr>
              <w:t>投资银行业务</w:t>
            </w:r>
          </w:p>
        </w:tc>
        <w:tc>
          <w:tcPr>
            <w:tcW w:type="dxa" w:w="1304"/>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322" w:right="0" w:firstLine="0"/>
              <w:jc w:val="left"/>
            </w:pPr>
            <w:r>
              <w:rPr>
                <w:rFonts w:ascii="黑体" w:hAnsi="黑体" w:eastAsia="黑体"/>
                <w:b w:val="0"/>
                <w:i w:val="0"/>
                <w:color w:val="000000"/>
                <w:sz w:val="14"/>
              </w:rPr>
              <w:t>固定收益业务</w:t>
            </w:r>
          </w:p>
        </w:tc>
        <w:tc>
          <w:tcPr>
            <w:tcW w:type="dxa" w:w="1164"/>
            <w:tcBorders/>
            <w:tcMar>
              <w:start w:w="0" w:type="dxa"/>
              <w:end w:w="0" w:type="dxa"/>
            </w:tcMar>
          </w:tcPr>
          <w:p>
            <w:pPr>
              <w:autoSpaceDN w:val="0"/>
              <w:autoSpaceDE w:val="0"/>
              <w:widowControl/>
              <w:spacing w:line="138" w:lineRule="exact" w:before="60" w:after="0"/>
              <w:ind w:left="42" w:right="0" w:firstLine="0"/>
              <w:jc w:val="left"/>
            </w:pPr>
            <w:r>
              <w:rPr>
                <w:rFonts w:ascii="黑体" w:hAnsi="黑体" w:eastAsia="黑体"/>
                <w:b w:val="0"/>
                <w:i w:val="0"/>
                <w:color w:val="000000"/>
                <w:sz w:val="14"/>
              </w:rPr>
              <w:t>股票等其他自营</w:t>
            </w:r>
          </w:p>
        </w:tc>
        <w:tc>
          <w:tcPr>
            <w:tcW w:type="dxa" w:w="1020"/>
            <w:tcBorders/>
            <w:tcMar>
              <w:start w:w="0" w:type="dxa"/>
              <w:end w:w="0" w:type="dxa"/>
            </w:tcMar>
          </w:tcPr>
          <w:p>
            <w:pPr>
              <w:autoSpaceDN w:val="0"/>
              <w:autoSpaceDE w:val="0"/>
              <w:widowControl/>
              <w:spacing w:line="138" w:lineRule="exact" w:before="60" w:after="0"/>
              <w:ind w:left="0" w:right="0" w:firstLine="0"/>
              <w:jc w:val="center"/>
            </w:pPr>
            <w:r>
              <w:rPr>
                <w:rFonts w:ascii="黑体" w:hAnsi="黑体" w:eastAsia="黑体"/>
                <w:b w:val="0"/>
                <w:i w:val="0"/>
                <w:color w:val="000000"/>
                <w:sz w:val="14"/>
              </w:rPr>
              <w:t>受托资产管理业</w:t>
            </w: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0" w:right="2" w:firstLine="0"/>
              <w:jc w:val="right"/>
            </w:pPr>
            <w:r>
              <w:rPr>
                <w:rFonts w:ascii="黑体" w:hAnsi="黑体" w:eastAsia="黑体"/>
                <w:b w:val="0"/>
                <w:i w:val="0"/>
                <w:color w:val="000000"/>
                <w:sz w:val="14"/>
              </w:rPr>
              <w:t>期货经纪业务</w:t>
            </w:r>
          </w:p>
        </w:tc>
        <w:tc>
          <w:tcPr>
            <w:tcW w:type="dxa" w:w="1446"/>
            <w:tcBorders/>
            <w:tcMar>
              <w:start w:w="0" w:type="dxa"/>
              <w:end w:w="0" w:type="dxa"/>
            </w:tcMar>
          </w:tcPr>
          <w:p>
            <w:pPr>
              <w:autoSpaceDN w:val="0"/>
              <w:autoSpaceDE w:val="0"/>
              <w:widowControl/>
              <w:spacing w:line="138" w:lineRule="exact" w:before="60" w:after="0"/>
              <w:ind w:left="186" w:right="0" w:firstLine="0"/>
              <w:jc w:val="left"/>
            </w:pPr>
            <w:r>
              <w:rPr>
                <w:rFonts w:ascii="黑体" w:hAnsi="黑体" w:eastAsia="黑体"/>
                <w:b w:val="0"/>
                <w:i w:val="0"/>
                <w:color w:val="000000"/>
                <w:sz w:val="14"/>
              </w:rPr>
              <w:t>大宗商品交易及风险</w:t>
            </w:r>
          </w:p>
        </w:tc>
        <w:tc>
          <w:tcPr>
            <w:tcW w:type="dxa" w:w="1474"/>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0" w:right="0" w:firstLine="0"/>
              <w:jc w:val="center"/>
            </w:pPr>
            <w:r>
              <w:rPr>
                <w:rFonts w:ascii="黑体" w:hAnsi="黑体" w:eastAsia="黑体"/>
                <w:b w:val="0"/>
                <w:i w:val="0"/>
                <w:color w:val="000000"/>
                <w:sz w:val="14"/>
              </w:rPr>
              <w:t>未分配项目及其他</w:t>
            </w:r>
          </w:p>
        </w:tc>
        <w:tc>
          <w:tcPr>
            <w:tcW w:type="dxa" w:w="1106"/>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264" w:right="0" w:firstLine="0"/>
              <w:jc w:val="left"/>
            </w:pPr>
            <w:r>
              <w:rPr>
                <w:rFonts w:ascii="黑体" w:hAnsi="黑体" w:eastAsia="黑体"/>
                <w:b w:val="0"/>
                <w:i w:val="0"/>
                <w:color w:val="000000"/>
                <w:sz w:val="14"/>
              </w:rPr>
              <w:t>分部间抵销</w:t>
            </w:r>
          </w:p>
        </w:tc>
        <w:tc>
          <w:tcPr>
            <w:tcW w:type="dxa" w:w="1160"/>
            <w:vMerge w:val="restart"/>
            <w:tcBorders>
              <w:bottom w:sz="4.0" w:val="single" w:color="#000000"/>
            </w:tcBorders>
            <w:tcMar>
              <w:start w:w="0" w:type="dxa"/>
              <w:end w:w="0" w:type="dxa"/>
            </w:tcMar>
            <w:tcMar>
              <w:start w:w="0" w:type="dxa"/>
              <w:end w:w="0" w:type="dxa"/>
            </w:tcMar>
          </w:tcPr>
          <w:p>
            <w:pPr>
              <w:autoSpaceDN w:val="0"/>
              <w:autoSpaceDE w:val="0"/>
              <w:widowControl/>
              <w:spacing w:line="138" w:lineRule="exact" w:before="240" w:after="0"/>
              <w:ind w:left="0" w:right="84" w:firstLine="0"/>
              <w:jc w:val="right"/>
            </w:pPr>
            <w:r>
              <w:rPr>
                <w:rFonts w:ascii="黑体" w:hAnsi="黑体" w:eastAsia="黑体"/>
                <w:b w:val="0"/>
                <w:i w:val="0"/>
                <w:color w:val="000000"/>
                <w:sz w:val="14"/>
              </w:rPr>
              <w:t>合计</w:t>
            </w:r>
          </w:p>
        </w:tc>
      </w:tr>
      <w:tr>
        <w:trPr>
          <w:trHeight w:hRule="exact" w:val="204"/>
        </w:trPr>
        <w:tc>
          <w:tcPr>
            <w:tcW w:type="dxa" w:w="1280"/>
            <w:vMerge/>
            <w:tcBorders>
              <w:bottom w:sz="4.0" w:val="single" w:color="#000000"/>
            </w:tcBorders>
          </w:tcPr>
          <w:p/>
        </w:tc>
        <w:tc>
          <w:tcPr>
            <w:tcW w:type="dxa" w:w="1280"/>
            <w:vMerge/>
            <w:tcBorders>
              <w:bottom w:sz="4.0" w:val="single" w:color="#000000"/>
            </w:tcBorders>
          </w:tcPr>
          <w:p/>
        </w:tc>
        <w:tc>
          <w:tcPr>
            <w:tcW w:type="dxa" w:w="1280"/>
            <w:vMerge/>
            <w:tcBorders>
              <w:bottom w:sz="4.0" w:val="single" w:color="#000000"/>
            </w:tcBorders>
          </w:tcPr>
          <w:p/>
        </w:tc>
        <w:tc>
          <w:tcPr>
            <w:tcW w:type="dxa" w:w="1280"/>
            <w:vMerge/>
            <w:tcBorders>
              <w:bottom w:sz="4.0" w:val="single" w:color="#000000"/>
            </w:tcBorders>
          </w:tcPr>
          <w:p/>
        </w:tc>
        <w:tc>
          <w:tcPr>
            <w:tcW w:type="dxa" w:w="1164"/>
            <w:tcBorders>
              <w:bottom w:sz="4.0" w:val="single" w:color="#000000"/>
            </w:tcBorders>
            <w:tcMar>
              <w:start w:w="0" w:type="dxa"/>
              <w:end w:w="0" w:type="dxa"/>
            </w:tcMar>
          </w:tcPr>
          <w:p>
            <w:pPr>
              <w:autoSpaceDN w:val="0"/>
              <w:autoSpaceDE w:val="0"/>
              <w:widowControl/>
              <w:spacing w:line="138" w:lineRule="exact" w:before="38" w:after="0"/>
              <w:ind w:left="0" w:right="146" w:firstLine="0"/>
              <w:jc w:val="right"/>
            </w:pPr>
            <w:r>
              <w:rPr>
                <w:rFonts w:ascii="黑体" w:hAnsi="黑体" w:eastAsia="黑体"/>
                <w:b w:val="0"/>
                <w:i w:val="0"/>
                <w:color w:val="000000"/>
                <w:sz w:val="14"/>
              </w:rPr>
              <w:t>投资业务</w:t>
            </w:r>
          </w:p>
        </w:tc>
        <w:tc>
          <w:tcPr>
            <w:tcW w:type="dxa" w:w="1020"/>
            <w:tcBorders>
              <w:bottom w:sz="4.0" w:val="single" w:color="#000000"/>
            </w:tcBorders>
            <w:tcMar>
              <w:start w:w="0" w:type="dxa"/>
              <w:end w:w="0" w:type="dxa"/>
            </w:tcMar>
          </w:tcPr>
          <w:p>
            <w:pPr>
              <w:autoSpaceDN w:val="0"/>
              <w:autoSpaceDE w:val="0"/>
              <w:widowControl/>
              <w:spacing w:line="138" w:lineRule="exact" w:before="38" w:after="0"/>
              <w:ind w:left="0" w:right="0" w:firstLine="0"/>
              <w:jc w:val="right"/>
            </w:pPr>
            <w:r>
              <w:rPr>
                <w:rFonts w:ascii="黑体" w:hAnsi="黑体" w:eastAsia="黑体"/>
                <w:b w:val="0"/>
                <w:i w:val="0"/>
                <w:color w:val="000000"/>
                <w:sz w:val="14"/>
              </w:rPr>
              <w:t>务</w:t>
            </w:r>
          </w:p>
        </w:tc>
        <w:tc>
          <w:tcPr>
            <w:tcW w:type="dxa" w:w="1280"/>
            <w:vMerge/>
            <w:tcBorders>
              <w:bottom w:sz="4.0" w:val="single" w:color="#000000"/>
            </w:tcBorders>
          </w:tcPr>
          <w:p/>
        </w:tc>
        <w:tc>
          <w:tcPr>
            <w:tcW w:type="dxa" w:w="1446"/>
            <w:tcBorders>
              <w:bottom w:sz="4.0" w:val="single" w:color="#000000"/>
            </w:tcBorders>
            <w:tcMar>
              <w:start w:w="0" w:type="dxa"/>
              <w:end w:w="0" w:type="dxa"/>
            </w:tcMar>
          </w:tcPr>
          <w:p>
            <w:pPr>
              <w:autoSpaceDN w:val="0"/>
              <w:autoSpaceDE w:val="0"/>
              <w:widowControl/>
              <w:spacing w:line="138" w:lineRule="exact" w:before="38" w:after="0"/>
              <w:ind w:left="0" w:right="2" w:firstLine="0"/>
              <w:jc w:val="right"/>
            </w:pPr>
            <w:r>
              <w:rPr>
                <w:rFonts w:ascii="黑体" w:hAnsi="黑体" w:eastAsia="黑体"/>
                <w:b w:val="0"/>
                <w:i w:val="0"/>
                <w:color w:val="000000"/>
                <w:sz w:val="14"/>
              </w:rPr>
              <w:t>管理业务</w:t>
            </w:r>
          </w:p>
        </w:tc>
        <w:tc>
          <w:tcPr>
            <w:tcW w:type="dxa" w:w="1280"/>
            <w:vMerge/>
            <w:tcBorders>
              <w:bottom w:sz="4.0" w:val="single" w:color="#000000"/>
            </w:tcBorders>
          </w:tcPr>
          <w:p/>
        </w:tc>
        <w:tc>
          <w:tcPr>
            <w:tcW w:type="dxa" w:w="1280"/>
            <w:vMerge/>
            <w:tcBorders>
              <w:bottom w:sz="4.0" w:val="single" w:color="#000000"/>
            </w:tcBorders>
          </w:tcPr>
          <w:p/>
        </w:tc>
        <w:tc>
          <w:tcPr>
            <w:tcW w:type="dxa" w:w="1280"/>
            <w:vMerge/>
            <w:tcBorders>
              <w:bottom w:sz="4.0" w:val="single" w:color="#000000"/>
            </w:tcBorders>
          </w:tcPr>
          <w:p/>
        </w:tc>
      </w:tr>
      <w:tr>
        <w:trPr>
          <w:trHeight w:hRule="exact" w:val="396"/>
        </w:trPr>
        <w:tc>
          <w:tcPr>
            <w:tcW w:type="dxa" w:w="2098"/>
            <w:tcBorders>
              <w:top w:sz="4.0" w:val="single" w:color="#000000"/>
            </w:tcBorders>
            <w:tcMar>
              <w:start w:w="0" w:type="dxa"/>
              <w:end w:w="0" w:type="dxa"/>
            </w:tcMar>
          </w:tcPr>
          <w:p>
            <w:pPr>
              <w:autoSpaceDN w:val="0"/>
              <w:autoSpaceDE w:val="0"/>
              <w:widowControl/>
              <w:spacing w:line="140" w:lineRule="exact" w:before="252" w:after="0"/>
              <w:ind w:left="0" w:right="0" w:firstLine="0"/>
              <w:jc w:val="left"/>
            </w:pPr>
            <w:r>
              <w:rPr>
                <w:rFonts w:ascii="黑体" w:hAnsi="黑体" w:eastAsia="黑体"/>
                <w:b w:val="0"/>
                <w:i w:val="0"/>
                <w:color w:val="000000"/>
                <w:sz w:val="14"/>
              </w:rPr>
              <w:t>对外交易收入</w:t>
            </w:r>
          </w:p>
        </w:tc>
        <w:tc>
          <w:tcPr>
            <w:tcW w:type="dxa" w:w="1162"/>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0" w:firstLine="0"/>
              <w:jc w:val="center"/>
            </w:pPr>
            <w:r>
              <w:rPr>
                <w:rFonts w:ascii="Arial" w:hAnsi="Arial" w:eastAsia="Arial"/>
                <w:b w:val="0"/>
                <w:i w:val="0"/>
                <w:color w:val="000000"/>
                <w:sz w:val="14"/>
              </w:rPr>
              <w:t>1,039,572,682</w:t>
            </w:r>
          </w:p>
        </w:tc>
        <w:tc>
          <w:tcPr>
            <w:tcW w:type="dxa" w:w="964"/>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188" w:right="0" w:firstLine="0"/>
              <w:jc w:val="left"/>
            </w:pPr>
            <w:r>
              <w:rPr>
                <w:rFonts w:ascii="Arial" w:hAnsi="Arial" w:eastAsia="Arial"/>
                <w:b w:val="0"/>
                <w:i w:val="0"/>
                <w:color w:val="000000"/>
                <w:sz w:val="14"/>
              </w:rPr>
              <w:t>276,642,125</w:t>
            </w:r>
          </w:p>
        </w:tc>
        <w:tc>
          <w:tcPr>
            <w:tcW w:type="dxa" w:w="1304"/>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0" w:firstLine="0"/>
              <w:jc w:val="center"/>
            </w:pPr>
            <w:r>
              <w:rPr>
                <w:rFonts w:ascii="Arial" w:hAnsi="Arial" w:eastAsia="Arial"/>
                <w:b w:val="0"/>
                <w:i w:val="0"/>
                <w:color w:val="000000"/>
                <w:sz w:val="14"/>
              </w:rPr>
              <w:t xml:space="preserve"> 1,202,055,305</w:t>
            </w:r>
          </w:p>
        </w:tc>
        <w:tc>
          <w:tcPr>
            <w:tcW w:type="dxa" w:w="1164"/>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194" w:right="0" w:firstLine="0"/>
              <w:jc w:val="left"/>
            </w:pPr>
            <w:r>
              <w:rPr>
                <w:rFonts w:ascii="Arial" w:hAnsi="Arial" w:eastAsia="Arial"/>
                <w:b w:val="0"/>
                <w:i w:val="0"/>
                <w:color w:val="000000"/>
                <w:sz w:val="14"/>
              </w:rPr>
              <w:t xml:space="preserve">(127,542,581 ) </w:t>
            </w:r>
          </w:p>
        </w:tc>
        <w:tc>
          <w:tcPr>
            <w:tcW w:type="dxa" w:w="1020"/>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244" w:right="0" w:firstLine="0"/>
              <w:jc w:val="left"/>
            </w:pPr>
            <w:r>
              <w:rPr>
                <w:rFonts w:ascii="Arial" w:hAnsi="Arial" w:eastAsia="Arial"/>
                <w:b w:val="0"/>
                <w:i w:val="0"/>
                <w:color w:val="000000"/>
                <w:sz w:val="14"/>
              </w:rPr>
              <w:t>269,911,476</w:t>
            </w:r>
          </w:p>
        </w:tc>
        <w:tc>
          <w:tcPr>
            <w:tcW w:type="dxa" w:w="1162"/>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2" w:firstLine="0"/>
              <w:jc w:val="right"/>
            </w:pPr>
            <w:r>
              <w:rPr>
                <w:rFonts w:ascii="Arial" w:hAnsi="Arial" w:eastAsia="Arial"/>
                <w:b w:val="0"/>
                <w:i w:val="0"/>
                <w:color w:val="000000"/>
                <w:sz w:val="14"/>
              </w:rPr>
              <w:t>170,821,257</w:t>
            </w:r>
          </w:p>
        </w:tc>
        <w:tc>
          <w:tcPr>
            <w:tcW w:type="dxa" w:w="1446"/>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2" w:firstLine="0"/>
              <w:jc w:val="right"/>
            </w:pPr>
            <w:r>
              <w:rPr>
                <w:rFonts w:ascii="Arial" w:hAnsi="Arial" w:eastAsia="Arial"/>
                <w:b w:val="0"/>
                <w:i w:val="0"/>
                <w:color w:val="000000"/>
                <w:sz w:val="14"/>
              </w:rPr>
              <w:t>249,303,329</w:t>
            </w:r>
          </w:p>
        </w:tc>
        <w:tc>
          <w:tcPr>
            <w:tcW w:type="dxa" w:w="1474"/>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104" w:firstLine="0"/>
              <w:jc w:val="right"/>
            </w:pPr>
            <w:r>
              <w:rPr>
                <w:rFonts w:ascii="Arial" w:hAnsi="Arial" w:eastAsia="Arial"/>
                <w:b w:val="0"/>
                <w:i w:val="0"/>
                <w:color w:val="000000"/>
                <w:sz w:val="14"/>
              </w:rPr>
              <w:t xml:space="preserve">71,311,614 </w:t>
            </w:r>
          </w:p>
        </w:tc>
        <w:tc>
          <w:tcPr>
            <w:tcW w:type="dxa" w:w="1106"/>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0" w:right="102" w:firstLine="0"/>
              <w:jc w:val="right"/>
            </w:pPr>
            <w:r>
              <w:rPr>
                <w:rFonts w:ascii="Arial" w:hAnsi="Arial" w:eastAsia="Arial"/>
                <w:b w:val="0"/>
                <w:i w:val="0"/>
                <w:color w:val="000000"/>
                <w:sz w:val="14"/>
              </w:rPr>
              <w:t xml:space="preserve">- </w:t>
            </w:r>
          </w:p>
        </w:tc>
        <w:tc>
          <w:tcPr>
            <w:tcW w:type="dxa" w:w="1160"/>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260" w:after="0"/>
              <w:ind w:left="182" w:right="0" w:firstLine="0"/>
              <w:jc w:val="left"/>
            </w:pPr>
            <w:r>
              <w:rPr>
                <w:rFonts w:ascii="Arial" w:hAnsi="Arial" w:eastAsia="Arial"/>
                <w:b w:val="0"/>
                <w:i w:val="0"/>
                <w:color w:val="000000"/>
                <w:sz w:val="14"/>
              </w:rPr>
              <w:t>3,152,075,207</w:t>
            </w:r>
          </w:p>
        </w:tc>
      </w:tr>
      <w:tr>
        <w:trPr>
          <w:trHeight w:hRule="exact" w:val="48"/>
        </w:trPr>
        <w:tc>
          <w:tcPr>
            <w:tcW w:type="dxa" w:w="2098"/>
            <w:vMerge w:val="restart"/>
            <w:tcBorders/>
            <w:tcMar>
              <w:start w:w="0" w:type="dxa"/>
              <w:end w:w="0" w:type="dxa"/>
            </w:tcMar>
            <w:tcMar>
              <w:start w:w="0" w:type="dxa"/>
              <w:end w:w="0" w:type="dxa"/>
            </w:tcMar>
          </w:tcPr>
          <w:p>
            <w:pPr>
              <w:autoSpaceDN w:val="0"/>
              <w:autoSpaceDE w:val="0"/>
              <w:widowControl/>
              <w:spacing w:line="140" w:lineRule="exact" w:before="60" w:after="0"/>
              <w:ind w:left="140" w:right="0" w:firstLine="0"/>
              <w:jc w:val="left"/>
            </w:pPr>
            <w:r>
              <w:rPr>
                <w:rFonts w:ascii="黑体" w:hAnsi="黑体" w:eastAsia="黑体"/>
                <w:b w:val="0"/>
                <w:i w:val="0"/>
                <w:color w:val="000000"/>
                <w:sz w:val="14"/>
              </w:rPr>
              <w:t>其中：手续费及佣金净收入</w:t>
            </w: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c>
          <w:tcPr>
            <w:tcW w:type="dxa" w:w="1280"/>
            <w:vMerge/>
            <w:tcBorders>
              <w:top w:sz="4.0" w:val="single" w:color="#000000"/>
            </w:tcBorders>
          </w:tcPr>
          <w:p/>
        </w:tc>
      </w:tr>
      <w:tr>
        <w:trPr>
          <w:trHeight w:hRule="exact" w:val="152"/>
        </w:trPr>
        <w:tc>
          <w:tcPr>
            <w:tcW w:type="dxa" w:w="1280"/>
            <w:vMerge/>
            <w:tcBorders/>
          </w:tcPr>
          <w:p/>
        </w:tc>
        <w:tc>
          <w:tcPr>
            <w:tcW w:type="dxa" w:w="1162"/>
            <w:vMerge w:val="restart"/>
            <w:tcBorders/>
            <w:tcMar>
              <w:start w:w="0" w:type="dxa"/>
              <w:end w:w="0" w:type="dxa"/>
            </w:tcMar>
            <w:tcMar>
              <w:start w:w="0" w:type="dxa"/>
              <w:end w:w="0" w:type="dxa"/>
            </w:tcMar>
          </w:tcPr>
          <w:p>
            <w:pPr>
              <w:autoSpaceDN w:val="0"/>
              <w:autoSpaceDE w:val="0"/>
              <w:widowControl/>
              <w:spacing w:line="233" w:lineRule="auto" w:before="26" w:after="0"/>
              <w:ind w:left="242" w:right="0" w:firstLine="0"/>
              <w:jc w:val="left"/>
            </w:pPr>
            <w:r>
              <w:rPr>
                <w:rFonts w:ascii="Arial" w:hAnsi="Arial" w:eastAsia="Arial"/>
                <w:b w:val="0"/>
                <w:i w:val="0"/>
                <w:color w:val="000000"/>
                <w:sz w:val="14"/>
              </w:rPr>
              <w:t>648,661,953</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26" w:after="0"/>
              <w:ind w:left="188" w:right="0" w:firstLine="0"/>
              <w:jc w:val="left"/>
            </w:pPr>
            <w:r>
              <w:rPr>
                <w:rFonts w:ascii="Arial" w:hAnsi="Arial" w:eastAsia="Arial"/>
                <w:b w:val="0"/>
                <w:i w:val="0"/>
                <w:color w:val="000000"/>
                <w:sz w:val="14"/>
              </w:rPr>
              <w:t>253,593,148</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26" w:after="0"/>
              <w:ind w:left="0" w:right="144" w:firstLine="0"/>
              <w:jc w:val="right"/>
            </w:pPr>
            <w:r>
              <w:rPr>
                <w:rFonts w:ascii="Arial" w:hAnsi="Arial" w:eastAsia="Arial"/>
                <w:b w:val="0"/>
                <w:i w:val="0"/>
                <w:color w:val="000000"/>
                <w:sz w:val="14"/>
              </w:rPr>
              <w:t>101,965,432</w:t>
            </w:r>
          </w:p>
        </w:tc>
        <w:tc>
          <w:tcPr>
            <w:tcW w:type="dxa" w:w="1164"/>
            <w:vMerge w:val="restart"/>
            <w:tcBorders/>
            <w:tcMar>
              <w:start w:w="0" w:type="dxa"/>
              <w:end w:w="0" w:type="dxa"/>
            </w:tcMar>
            <w:tcMar>
              <w:start w:w="0" w:type="dxa"/>
              <w:end w:w="0" w:type="dxa"/>
            </w:tcMar>
          </w:tcPr>
          <w:p>
            <w:pPr>
              <w:autoSpaceDN w:val="0"/>
              <w:autoSpaceDE w:val="0"/>
              <w:widowControl/>
              <w:spacing w:line="233" w:lineRule="auto" w:before="26" w:after="0"/>
              <w:ind w:left="0" w:right="104" w:firstLine="0"/>
              <w:jc w:val="right"/>
            </w:pPr>
            <w:r>
              <w:rPr>
                <w:rFonts w:ascii="Arial" w:hAnsi="Arial" w:eastAsia="Arial"/>
                <w:b w:val="0"/>
                <w:i w:val="0"/>
                <w:color w:val="000000"/>
                <w:sz w:val="14"/>
              </w:rPr>
              <w:t xml:space="preserve">14,662,169 </w:t>
            </w:r>
          </w:p>
        </w:tc>
        <w:tc>
          <w:tcPr>
            <w:tcW w:type="dxa" w:w="1020"/>
            <w:vMerge w:val="restart"/>
            <w:tcBorders/>
            <w:tcMar>
              <w:start w:w="0" w:type="dxa"/>
              <w:end w:w="0" w:type="dxa"/>
            </w:tcMar>
            <w:tcMar>
              <w:start w:w="0" w:type="dxa"/>
              <w:end w:w="0" w:type="dxa"/>
            </w:tcMar>
          </w:tcPr>
          <w:p>
            <w:pPr>
              <w:autoSpaceDN w:val="0"/>
              <w:autoSpaceDE w:val="0"/>
              <w:widowControl/>
              <w:spacing w:line="233" w:lineRule="auto" w:before="26" w:after="0"/>
              <w:ind w:left="244" w:right="0" w:firstLine="0"/>
              <w:jc w:val="left"/>
            </w:pPr>
            <w:r>
              <w:rPr>
                <w:rFonts w:ascii="Arial" w:hAnsi="Arial" w:eastAsia="Arial"/>
                <w:b w:val="0"/>
                <w:i w:val="0"/>
                <w:color w:val="000000"/>
                <w:sz w:val="14"/>
              </w:rPr>
              <w:t>248,361,346</w:t>
            </w:r>
          </w:p>
        </w:tc>
        <w:tc>
          <w:tcPr>
            <w:tcW w:type="dxa" w:w="1162"/>
            <w:vMerge w:val="restart"/>
            <w:tcBorders/>
            <w:tcMar>
              <w:start w:w="0" w:type="dxa"/>
              <w:end w:w="0" w:type="dxa"/>
            </w:tcMar>
            <w:tcMar>
              <w:start w:w="0" w:type="dxa"/>
              <w:end w:w="0" w:type="dxa"/>
            </w:tcMar>
          </w:tcPr>
          <w:p>
            <w:pPr>
              <w:autoSpaceDN w:val="0"/>
              <w:autoSpaceDE w:val="0"/>
              <w:widowControl/>
              <w:spacing w:line="233" w:lineRule="auto" w:before="26" w:after="0"/>
              <w:ind w:left="0" w:right="2" w:firstLine="0"/>
              <w:jc w:val="right"/>
            </w:pPr>
            <w:r>
              <w:rPr>
                <w:rFonts w:ascii="Arial" w:hAnsi="Arial" w:eastAsia="Arial"/>
                <w:b w:val="0"/>
                <w:i w:val="0"/>
                <w:color w:val="000000"/>
                <w:sz w:val="14"/>
              </w:rPr>
              <w:t>89,519,221</w:t>
            </w:r>
          </w:p>
        </w:tc>
        <w:tc>
          <w:tcPr>
            <w:tcW w:type="dxa" w:w="1446"/>
            <w:vMerge w:val="restart"/>
            <w:tcBorders/>
            <w:tcMar>
              <w:start w:w="0" w:type="dxa"/>
              <w:end w:w="0" w:type="dxa"/>
            </w:tcMar>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4"/>
              </w:rPr>
              <w:t>-</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26" w:after="0"/>
              <w:ind w:left="0" w:right="104" w:firstLine="0"/>
              <w:jc w:val="right"/>
            </w:pPr>
            <w:r>
              <w:rPr>
                <w:rFonts w:ascii="Arial" w:hAnsi="Arial" w:eastAsia="Arial"/>
                <w:b w:val="0"/>
                <w:i w:val="0"/>
                <w:color w:val="000000"/>
                <w:sz w:val="14"/>
              </w:rPr>
              <w:t xml:space="preserve">7,131,475 </w:t>
            </w:r>
          </w:p>
        </w:tc>
        <w:tc>
          <w:tcPr>
            <w:tcW w:type="dxa" w:w="1106"/>
            <w:vMerge w:val="restart"/>
            <w:tcBorders/>
            <w:tcMar>
              <w:start w:w="0" w:type="dxa"/>
              <w:end w:w="0" w:type="dxa"/>
            </w:tcMar>
            <w:tcMar>
              <w:start w:w="0" w:type="dxa"/>
              <w:end w:w="0" w:type="dxa"/>
            </w:tcMar>
          </w:tcPr>
          <w:p>
            <w:pPr>
              <w:autoSpaceDN w:val="0"/>
              <w:autoSpaceDE w:val="0"/>
              <w:widowControl/>
              <w:spacing w:line="233" w:lineRule="auto" w:before="26" w:after="0"/>
              <w:ind w:left="0" w:right="102" w:firstLine="0"/>
              <w:jc w:val="right"/>
            </w:pPr>
            <w:r>
              <w:rPr>
                <w:rFonts w:ascii="Arial" w:hAnsi="Arial" w:eastAsia="Arial"/>
                <w:b w:val="0"/>
                <w:i w:val="0"/>
                <w:color w:val="000000"/>
                <w:sz w:val="14"/>
              </w:rPr>
              <w:t xml:space="preserve">- </w:t>
            </w:r>
          </w:p>
        </w:tc>
        <w:tc>
          <w:tcPr>
            <w:tcW w:type="dxa" w:w="1160"/>
            <w:vMerge w:val="restart"/>
            <w:tcBorders/>
            <w:tcMar>
              <w:start w:w="0" w:type="dxa"/>
              <w:end w:w="0" w:type="dxa"/>
            </w:tcMar>
            <w:tcMar>
              <w:start w:w="0" w:type="dxa"/>
              <w:end w:w="0" w:type="dxa"/>
            </w:tcMar>
          </w:tcPr>
          <w:p>
            <w:pPr>
              <w:autoSpaceDN w:val="0"/>
              <w:autoSpaceDE w:val="0"/>
              <w:widowControl/>
              <w:spacing w:line="233" w:lineRule="auto" w:before="26" w:after="0"/>
              <w:ind w:left="182" w:right="0" w:firstLine="0"/>
              <w:jc w:val="left"/>
            </w:pPr>
            <w:r>
              <w:rPr>
                <w:rFonts w:ascii="Arial" w:hAnsi="Arial" w:eastAsia="Arial"/>
                <w:b w:val="0"/>
                <w:i w:val="0"/>
                <w:color w:val="000000"/>
                <w:sz w:val="14"/>
              </w:rPr>
              <w:t>1,363,894,744</w:t>
            </w:r>
          </w:p>
        </w:tc>
      </w:tr>
      <w:tr>
        <w:trPr>
          <w:trHeight w:hRule="exact" w:val="56"/>
        </w:trPr>
        <w:tc>
          <w:tcPr>
            <w:tcW w:type="dxa" w:w="2098"/>
            <w:vMerge w:val="restart"/>
            <w:tcBorders/>
            <w:tcMar>
              <w:start w:w="0" w:type="dxa"/>
              <w:end w:w="0" w:type="dxa"/>
            </w:tcMar>
            <w:tcMar>
              <w:start w:w="0" w:type="dxa"/>
              <w:end w:w="0" w:type="dxa"/>
            </w:tcMar>
          </w:tcPr>
          <w:p>
            <w:pPr>
              <w:autoSpaceDN w:val="0"/>
              <w:autoSpaceDE w:val="0"/>
              <w:widowControl/>
              <w:spacing w:line="154" w:lineRule="exact" w:before="66" w:after="0"/>
              <w:ind w:left="0" w:right="242" w:firstLine="0"/>
              <w:jc w:val="right"/>
            </w:pPr>
            <w:r>
              <w:rPr>
                <w:rFonts w:ascii="黑体" w:hAnsi="黑体" w:eastAsia="黑体"/>
                <w:b w:val="0"/>
                <w:i w:val="0"/>
                <w:color w:val="000000"/>
                <w:sz w:val="14"/>
              </w:rPr>
              <w:t>利息净收入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r>
      <w:tr>
        <w:trPr>
          <w:trHeight w:hRule="exact" w:val="164"/>
        </w:trPr>
        <w:tc>
          <w:tcPr>
            <w:tcW w:type="dxa" w:w="1280"/>
            <w:vMerge/>
            <w:tcBorders/>
          </w:tcPr>
          <w:p/>
        </w:tc>
        <w:tc>
          <w:tcPr>
            <w:tcW w:type="dxa" w:w="1162"/>
            <w:tcBorders/>
            <w:tcMar>
              <w:start w:w="0" w:type="dxa"/>
              <w:end w:w="0" w:type="dxa"/>
            </w:tcMar>
          </w:tcPr>
          <w:p>
            <w:pPr>
              <w:autoSpaceDN w:val="0"/>
              <w:autoSpaceDE w:val="0"/>
              <w:widowControl/>
              <w:spacing w:line="233" w:lineRule="auto" w:before="8" w:after="0"/>
              <w:ind w:left="242" w:right="0" w:firstLine="0"/>
              <w:jc w:val="left"/>
            </w:pPr>
            <w:r>
              <w:rPr>
                <w:rFonts w:ascii="Arial" w:hAnsi="Arial" w:eastAsia="Arial"/>
                <w:b w:val="0"/>
                <w:i w:val="0"/>
                <w:color w:val="000000"/>
                <w:sz w:val="14"/>
              </w:rPr>
              <w:t>384,747,008</w:t>
            </w:r>
          </w:p>
        </w:tc>
        <w:tc>
          <w:tcPr>
            <w:tcW w:type="dxa" w:w="964"/>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4"/>
              </w:rPr>
              <w:t>2,707,578</w:t>
            </w:r>
          </w:p>
        </w:tc>
        <w:tc>
          <w:tcPr>
            <w:tcW w:type="dxa" w:w="1304"/>
            <w:tcBorders/>
            <w:tcMar>
              <w:start w:w="0" w:type="dxa"/>
              <w:end w:w="0" w:type="dxa"/>
            </w:tcMar>
          </w:tcPr>
          <w:p>
            <w:pPr>
              <w:autoSpaceDN w:val="0"/>
              <w:autoSpaceDE w:val="0"/>
              <w:widowControl/>
              <w:spacing w:line="233" w:lineRule="auto" w:before="8" w:after="0"/>
              <w:ind w:left="0" w:right="58" w:firstLine="0"/>
              <w:jc w:val="right"/>
            </w:pPr>
            <w:r>
              <w:rPr>
                <w:rFonts w:ascii="Arial" w:hAnsi="Arial" w:eastAsia="Arial"/>
                <w:b w:val="0"/>
                <w:i w:val="0"/>
                <w:color w:val="000000"/>
                <w:sz w:val="14"/>
              </w:rPr>
              <w:t xml:space="preserve">(506,980,097) </w:t>
            </w:r>
          </w:p>
        </w:tc>
        <w:tc>
          <w:tcPr>
            <w:tcW w:type="dxa" w:w="1164"/>
            <w:tcBorders/>
            <w:tcMar>
              <w:start w:w="0" w:type="dxa"/>
              <w:end w:w="0" w:type="dxa"/>
            </w:tcMar>
          </w:tcPr>
          <w:p>
            <w:pPr>
              <w:autoSpaceDN w:val="0"/>
              <w:autoSpaceDE w:val="0"/>
              <w:widowControl/>
              <w:spacing w:line="233" w:lineRule="auto" w:before="8" w:after="0"/>
              <w:ind w:left="274" w:right="0" w:firstLine="0"/>
              <w:jc w:val="left"/>
            </w:pPr>
            <w:r>
              <w:rPr>
                <w:rFonts w:ascii="Arial" w:hAnsi="Arial" w:eastAsia="Arial"/>
                <w:b w:val="0"/>
                <w:i w:val="0"/>
                <w:color w:val="000000"/>
                <w:sz w:val="14"/>
              </w:rPr>
              <w:t xml:space="preserve">(23,012,565 ) </w:t>
            </w:r>
          </w:p>
        </w:tc>
        <w:tc>
          <w:tcPr>
            <w:tcW w:type="dxa" w:w="1020"/>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4"/>
              </w:rPr>
              <w:t>9,098,704</w:t>
            </w:r>
          </w:p>
        </w:tc>
        <w:tc>
          <w:tcPr>
            <w:tcW w:type="dxa" w:w="1162"/>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4"/>
              </w:rPr>
              <w:t>74,229,557</w:t>
            </w:r>
          </w:p>
        </w:tc>
        <w:tc>
          <w:tcPr>
            <w:tcW w:type="dxa" w:w="1446"/>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4"/>
              </w:rPr>
              <w:t>26,304,672</w:t>
            </w:r>
          </w:p>
        </w:tc>
        <w:tc>
          <w:tcPr>
            <w:tcW w:type="dxa" w:w="1474"/>
            <w:tcBorders/>
            <w:tcMar>
              <w:start w:w="0" w:type="dxa"/>
              <w:end w:w="0" w:type="dxa"/>
            </w:tcMar>
          </w:tcPr>
          <w:p>
            <w:pPr>
              <w:autoSpaceDN w:val="0"/>
              <w:autoSpaceDE w:val="0"/>
              <w:widowControl/>
              <w:spacing w:line="233" w:lineRule="auto" w:before="8" w:after="0"/>
              <w:ind w:left="0" w:right="56" w:firstLine="0"/>
              <w:jc w:val="right"/>
            </w:pPr>
            <w:r>
              <w:rPr>
                <w:rFonts w:ascii="Arial" w:hAnsi="Arial" w:eastAsia="Arial"/>
                <w:b w:val="0"/>
                <w:i w:val="0"/>
                <w:color w:val="000000"/>
                <w:sz w:val="14"/>
              </w:rPr>
              <w:t xml:space="preserve">(22,733,613 ) </w:t>
            </w:r>
          </w:p>
        </w:tc>
        <w:tc>
          <w:tcPr>
            <w:tcW w:type="dxa" w:w="1106"/>
            <w:tcBorders/>
            <w:tcMar>
              <w:start w:w="0" w:type="dxa"/>
              <w:end w:w="0" w:type="dxa"/>
            </w:tcMar>
          </w:tcPr>
          <w:p>
            <w:pPr>
              <w:autoSpaceDN w:val="0"/>
              <w:autoSpaceDE w:val="0"/>
              <w:widowControl/>
              <w:spacing w:line="233" w:lineRule="auto" w:before="8" w:after="0"/>
              <w:ind w:left="0" w:right="102" w:firstLine="0"/>
              <w:jc w:val="right"/>
            </w:pPr>
            <w:r>
              <w:rPr>
                <w:rFonts w:ascii="Arial" w:hAnsi="Arial" w:eastAsia="Arial"/>
                <w:b w:val="0"/>
                <w:i w:val="0"/>
                <w:color w:val="000000"/>
                <w:sz w:val="14"/>
              </w:rPr>
              <w:t xml:space="preserve">- </w:t>
            </w:r>
          </w:p>
        </w:tc>
        <w:tc>
          <w:tcPr>
            <w:tcW w:type="dxa" w:w="116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4"/>
              </w:rPr>
              <w:t xml:space="preserve">(55,638,756) </w:t>
            </w:r>
          </w:p>
        </w:tc>
      </w:tr>
      <w:tr>
        <w:trPr>
          <w:trHeight w:hRule="exact" w:val="200"/>
        </w:trPr>
        <w:tc>
          <w:tcPr>
            <w:tcW w:type="dxa" w:w="2098"/>
            <w:tcBorders/>
            <w:tcMar>
              <w:start w:w="0" w:type="dxa"/>
              <w:end w:w="0" w:type="dxa"/>
            </w:tcMar>
          </w:tcPr>
          <w:p>
            <w:pPr>
              <w:autoSpaceDN w:val="0"/>
              <w:autoSpaceDE w:val="0"/>
              <w:widowControl/>
              <w:spacing w:line="140" w:lineRule="exact" w:before="60" w:after="0"/>
              <w:ind w:left="0" w:right="982" w:firstLine="0"/>
              <w:jc w:val="right"/>
            </w:pPr>
            <w:r>
              <w:rPr>
                <w:rFonts w:ascii="黑体" w:hAnsi="黑体" w:eastAsia="黑体"/>
                <w:b w:val="0"/>
                <w:i w:val="0"/>
                <w:color w:val="000000"/>
                <w:sz w:val="14"/>
              </w:rPr>
              <w:t>投资损益</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68" w:after="0"/>
              <w:ind w:left="0" w:right="144" w:firstLine="0"/>
              <w:jc w:val="right"/>
            </w:pPr>
            <w:r>
              <w:rPr>
                <w:rFonts w:ascii="Arial" w:hAnsi="Arial" w:eastAsia="Arial"/>
                <w:b w:val="0"/>
                <w:i w:val="0"/>
                <w:color w:val="000000"/>
                <w:sz w:val="14"/>
              </w:rPr>
              <w:t>9,493,524</w:t>
            </w:r>
          </w:p>
        </w:tc>
        <w:tc>
          <w:tcPr>
            <w:tcW w:type="dxa" w:w="964"/>
            <w:vMerge w:val="restart"/>
            <w:tcBorders/>
            <w:tcMar>
              <w:start w:w="0" w:type="dxa"/>
              <w:end w:w="0" w:type="dxa"/>
            </w:tcMar>
            <w:tcMar>
              <w:start w:w="0" w:type="dxa"/>
              <w:end w:w="0" w:type="dxa"/>
            </w:tcMar>
          </w:tcPr>
          <w:p>
            <w:pPr>
              <w:autoSpaceDN w:val="0"/>
              <w:autoSpaceDE w:val="0"/>
              <w:widowControl/>
              <w:spacing w:line="230" w:lineRule="auto" w:before="68" w:after="0"/>
              <w:ind w:left="0" w:right="2" w:firstLine="0"/>
              <w:jc w:val="right"/>
            </w:pPr>
            <w:r>
              <w:rPr>
                <w:rFonts w:ascii="Arial" w:hAnsi="Arial" w:eastAsia="Arial"/>
                <w:b w:val="0"/>
                <w:i w:val="0"/>
                <w:color w:val="000000"/>
                <w:sz w:val="14"/>
              </w:rPr>
              <w:t>7,781,812</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68" w:after="0"/>
              <w:ind w:left="0" w:right="0" w:firstLine="0"/>
              <w:jc w:val="center"/>
            </w:pPr>
            <w:r>
              <w:rPr>
                <w:rFonts w:ascii="Arial" w:hAnsi="Arial" w:eastAsia="Arial"/>
                <w:b w:val="0"/>
                <w:i w:val="0"/>
                <w:color w:val="000000"/>
                <w:sz w:val="14"/>
              </w:rPr>
              <w:t xml:space="preserve"> 1,270,510,126</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68" w:after="0"/>
              <w:ind w:left="242" w:right="0" w:firstLine="0"/>
              <w:jc w:val="left"/>
            </w:pPr>
            <w:r>
              <w:rPr>
                <w:rFonts w:ascii="Arial" w:hAnsi="Arial" w:eastAsia="Arial"/>
                <w:b w:val="0"/>
                <w:i w:val="0"/>
                <w:color w:val="000000"/>
                <w:sz w:val="14"/>
              </w:rPr>
              <w:t xml:space="preserve">146,961,807 </w:t>
            </w:r>
          </w:p>
        </w:tc>
        <w:tc>
          <w:tcPr>
            <w:tcW w:type="dxa" w:w="1020"/>
            <w:vMerge w:val="restart"/>
            <w:tcBorders/>
            <w:tcMar>
              <w:start w:w="0" w:type="dxa"/>
              <w:end w:w="0" w:type="dxa"/>
            </w:tcMar>
            <w:tcMar>
              <w:start w:w="0" w:type="dxa"/>
              <w:end w:w="0" w:type="dxa"/>
            </w:tcMar>
          </w:tcPr>
          <w:p>
            <w:pPr>
              <w:autoSpaceDN w:val="0"/>
              <w:autoSpaceDE w:val="0"/>
              <w:widowControl/>
              <w:spacing w:line="230" w:lineRule="auto" w:before="68" w:after="0"/>
              <w:ind w:left="0" w:right="2" w:firstLine="0"/>
              <w:jc w:val="right"/>
            </w:pPr>
            <w:r>
              <w:rPr>
                <w:rFonts w:ascii="Arial" w:hAnsi="Arial" w:eastAsia="Arial"/>
                <w:b w:val="0"/>
                <w:i w:val="0"/>
                <w:color w:val="000000"/>
                <w:sz w:val="14"/>
              </w:rPr>
              <w:t>4,853,659</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68" w:after="0"/>
              <w:ind w:left="0" w:right="2" w:firstLine="0"/>
              <w:jc w:val="right"/>
            </w:pPr>
            <w:r>
              <w:rPr>
                <w:rFonts w:ascii="Arial" w:hAnsi="Arial" w:eastAsia="Arial"/>
                <w:b w:val="0"/>
                <w:i w:val="0"/>
                <w:color w:val="000000"/>
                <w:sz w:val="14"/>
              </w:rPr>
              <w:t>2,371,803</w:t>
            </w:r>
          </w:p>
        </w:tc>
        <w:tc>
          <w:tcPr>
            <w:tcW w:type="dxa" w:w="1446"/>
            <w:vMerge w:val="restart"/>
            <w:tcBorders/>
            <w:tcMar>
              <w:start w:w="0" w:type="dxa"/>
              <w:end w:w="0" w:type="dxa"/>
            </w:tcMar>
            <w:tcMar>
              <w:start w:w="0" w:type="dxa"/>
              <w:end w:w="0" w:type="dxa"/>
            </w:tcMar>
          </w:tcPr>
          <w:p>
            <w:pPr>
              <w:autoSpaceDN w:val="0"/>
              <w:autoSpaceDE w:val="0"/>
              <w:widowControl/>
              <w:spacing w:line="230" w:lineRule="auto" w:before="68" w:after="0"/>
              <w:ind w:left="0" w:right="2" w:firstLine="0"/>
              <w:jc w:val="right"/>
            </w:pPr>
            <w:r>
              <w:rPr>
                <w:rFonts w:ascii="Arial" w:hAnsi="Arial" w:eastAsia="Arial"/>
                <w:b w:val="0"/>
                <w:i w:val="0"/>
                <w:color w:val="000000"/>
                <w:sz w:val="14"/>
              </w:rPr>
              <w:t>248,811</w:t>
            </w:r>
          </w:p>
        </w:tc>
        <w:tc>
          <w:tcPr>
            <w:tcW w:type="dxa" w:w="1474"/>
            <w:vMerge w:val="restart"/>
            <w:tcBorders/>
            <w:tcMar>
              <w:start w:w="0" w:type="dxa"/>
              <w:end w:w="0" w:type="dxa"/>
            </w:tcMar>
            <w:tcMar>
              <w:start w:w="0" w:type="dxa"/>
              <w:end w:w="0" w:type="dxa"/>
            </w:tcMar>
          </w:tcPr>
          <w:p>
            <w:pPr>
              <w:autoSpaceDN w:val="0"/>
              <w:autoSpaceDE w:val="0"/>
              <w:widowControl/>
              <w:spacing w:line="230" w:lineRule="auto" w:before="68" w:after="0"/>
              <w:ind w:left="0" w:right="104" w:firstLine="0"/>
              <w:jc w:val="right"/>
            </w:pPr>
            <w:r>
              <w:rPr>
                <w:rFonts w:ascii="Arial" w:hAnsi="Arial" w:eastAsia="Arial"/>
                <w:b w:val="0"/>
                <w:i w:val="0"/>
                <w:color w:val="000000"/>
                <w:sz w:val="14"/>
              </w:rPr>
              <w:t xml:space="preserve">67,107,945 </w:t>
            </w:r>
          </w:p>
        </w:tc>
        <w:tc>
          <w:tcPr>
            <w:tcW w:type="dxa" w:w="1106"/>
            <w:vMerge w:val="restart"/>
            <w:tcBorders/>
            <w:tcMar>
              <w:start w:w="0" w:type="dxa"/>
              <w:end w:w="0" w:type="dxa"/>
            </w:tcMar>
            <w:tcMar>
              <w:start w:w="0" w:type="dxa"/>
              <w:end w:w="0" w:type="dxa"/>
            </w:tcMar>
          </w:tcPr>
          <w:p>
            <w:pPr>
              <w:autoSpaceDN w:val="0"/>
              <w:autoSpaceDE w:val="0"/>
              <w:widowControl/>
              <w:spacing w:line="230" w:lineRule="auto" w:before="68" w:after="0"/>
              <w:ind w:left="0" w:right="102" w:firstLine="0"/>
              <w:jc w:val="right"/>
            </w:pPr>
            <w:r>
              <w:rPr>
                <w:rFonts w:ascii="Arial" w:hAnsi="Arial" w:eastAsia="Arial"/>
                <w:b w:val="0"/>
                <w:i w:val="0"/>
                <w:color w:val="000000"/>
                <w:sz w:val="14"/>
              </w:rPr>
              <w:t xml:space="preserve">- </w:t>
            </w:r>
          </w:p>
        </w:tc>
        <w:tc>
          <w:tcPr>
            <w:tcW w:type="dxa" w:w="1160"/>
            <w:vMerge w:val="restart"/>
            <w:tcBorders/>
            <w:tcMar>
              <w:start w:w="0" w:type="dxa"/>
              <w:end w:w="0" w:type="dxa"/>
            </w:tcMar>
            <w:tcMar>
              <w:start w:w="0" w:type="dxa"/>
              <w:end w:w="0" w:type="dxa"/>
            </w:tcMar>
          </w:tcPr>
          <w:p>
            <w:pPr>
              <w:autoSpaceDN w:val="0"/>
              <w:autoSpaceDE w:val="0"/>
              <w:widowControl/>
              <w:spacing w:line="230" w:lineRule="auto" w:before="68" w:after="0"/>
              <w:ind w:left="182" w:right="0" w:firstLine="0"/>
              <w:jc w:val="left"/>
            </w:pPr>
            <w:r>
              <w:rPr>
                <w:rFonts w:ascii="Arial" w:hAnsi="Arial" w:eastAsia="Arial"/>
                <w:b w:val="0"/>
                <w:i w:val="0"/>
                <w:color w:val="000000"/>
                <w:sz w:val="14"/>
              </w:rPr>
              <w:t>1,509,329,487</w:t>
            </w:r>
          </w:p>
        </w:tc>
      </w:tr>
      <w:tr>
        <w:trPr>
          <w:trHeight w:hRule="exact" w:val="50"/>
        </w:trPr>
        <w:tc>
          <w:tcPr>
            <w:tcW w:type="dxa" w:w="2098"/>
            <w:vMerge w:val="restart"/>
            <w:tcBorders/>
            <w:tcMar>
              <w:start w:w="0" w:type="dxa"/>
              <w:end w:w="0" w:type="dxa"/>
            </w:tcMar>
            <w:tcMar>
              <w:start w:w="0" w:type="dxa"/>
              <w:end w:w="0" w:type="dxa"/>
            </w:tcMar>
          </w:tcPr>
          <w:p>
            <w:pPr>
              <w:autoSpaceDN w:val="0"/>
              <w:autoSpaceDE w:val="0"/>
              <w:widowControl/>
              <w:spacing w:line="140" w:lineRule="exact" w:before="70" w:after="0"/>
              <w:ind w:left="0" w:right="420" w:firstLine="0"/>
              <w:jc w:val="right"/>
            </w:pPr>
            <w:r>
              <w:rPr>
                <w:rFonts w:ascii="黑体" w:hAnsi="黑体" w:eastAsia="黑体"/>
                <w:b w:val="0"/>
                <w:i w:val="0"/>
                <w:color w:val="000000"/>
                <w:sz w:val="14"/>
              </w:rPr>
              <w:t>公允价值变动损益</w:t>
            </w: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r>
      <w:tr>
        <w:trPr>
          <w:trHeight w:hRule="exact" w:val="170"/>
        </w:trPr>
        <w:tc>
          <w:tcPr>
            <w:tcW w:type="dxa" w:w="1280"/>
            <w:vMerge/>
            <w:tcBorders/>
          </w:tcPr>
          <w:p/>
        </w:tc>
        <w:tc>
          <w:tcPr>
            <w:tcW w:type="dxa" w:w="1162"/>
            <w:tcBorders/>
            <w:tcMar>
              <w:start w:w="0" w:type="dxa"/>
              <w:end w:w="0" w:type="dxa"/>
            </w:tcMar>
          </w:tcPr>
          <w:p>
            <w:pPr>
              <w:autoSpaceDN w:val="0"/>
              <w:autoSpaceDE w:val="0"/>
              <w:widowControl/>
              <w:spacing w:line="233" w:lineRule="auto" w:before="14" w:after="0"/>
              <w:ind w:left="0" w:right="58" w:firstLine="0"/>
              <w:jc w:val="right"/>
            </w:pPr>
            <w:r>
              <w:rPr>
                <w:rFonts w:ascii="Arial" w:hAnsi="Arial" w:eastAsia="Arial"/>
                <w:b w:val="0"/>
                <w:i w:val="0"/>
                <w:color w:val="000000"/>
                <w:sz w:val="14"/>
              </w:rPr>
              <w:t xml:space="preserve">(9,765,774) </w:t>
            </w:r>
          </w:p>
        </w:tc>
        <w:tc>
          <w:tcPr>
            <w:tcW w:type="dxa" w:w="964"/>
            <w:tcBorders/>
            <w:tcMar>
              <w:start w:w="0" w:type="dxa"/>
              <w:end w:w="0" w:type="dxa"/>
            </w:tcMar>
          </w:tcPr>
          <w:p>
            <w:pPr>
              <w:autoSpaceDN w:val="0"/>
              <w:autoSpaceDE w:val="0"/>
              <w:widowControl/>
              <w:spacing w:line="233" w:lineRule="auto" w:before="14" w:after="0"/>
              <w:ind w:left="0" w:right="2" w:firstLine="0"/>
              <w:jc w:val="right"/>
            </w:pPr>
            <w:r>
              <w:rPr>
                <w:rFonts w:ascii="Arial" w:hAnsi="Arial" w:eastAsia="Arial"/>
                <w:b w:val="0"/>
                <w:i w:val="0"/>
                <w:color w:val="000000"/>
                <w:sz w:val="14"/>
              </w:rPr>
              <w:t>12,007,213</w:t>
            </w:r>
          </w:p>
        </w:tc>
        <w:tc>
          <w:tcPr>
            <w:tcW w:type="dxa" w:w="1304"/>
            <w:tcBorders/>
            <w:tcMar>
              <w:start w:w="0" w:type="dxa"/>
              <w:end w:w="0" w:type="dxa"/>
            </w:tcMar>
          </w:tcPr>
          <w:p>
            <w:pPr>
              <w:autoSpaceDN w:val="0"/>
              <w:autoSpaceDE w:val="0"/>
              <w:widowControl/>
              <w:spacing w:line="233" w:lineRule="auto" w:before="14" w:after="0"/>
              <w:ind w:left="0" w:right="144" w:firstLine="0"/>
              <w:jc w:val="right"/>
            </w:pPr>
            <w:r>
              <w:rPr>
                <w:rFonts w:ascii="Arial" w:hAnsi="Arial" w:eastAsia="Arial"/>
                <w:b w:val="0"/>
                <w:i w:val="0"/>
                <w:color w:val="000000"/>
                <w:sz w:val="14"/>
              </w:rPr>
              <w:t>340,381,087</w:t>
            </w:r>
          </w:p>
        </w:tc>
        <w:tc>
          <w:tcPr>
            <w:tcW w:type="dxa" w:w="1164"/>
            <w:tcBorders/>
            <w:tcMar>
              <w:start w:w="0" w:type="dxa"/>
              <w:end w:w="0" w:type="dxa"/>
            </w:tcMar>
          </w:tcPr>
          <w:p>
            <w:pPr>
              <w:autoSpaceDN w:val="0"/>
              <w:autoSpaceDE w:val="0"/>
              <w:widowControl/>
              <w:spacing w:line="233" w:lineRule="auto" w:before="14" w:after="0"/>
              <w:ind w:left="194" w:right="0" w:firstLine="0"/>
              <w:jc w:val="left"/>
            </w:pPr>
            <w:r>
              <w:rPr>
                <w:rFonts w:ascii="Arial" w:hAnsi="Arial" w:eastAsia="Arial"/>
                <w:b w:val="0"/>
                <w:i w:val="0"/>
                <w:color w:val="000000"/>
                <w:sz w:val="14"/>
              </w:rPr>
              <w:t xml:space="preserve">(269,221,210 ) </w:t>
            </w:r>
          </w:p>
        </w:tc>
        <w:tc>
          <w:tcPr>
            <w:tcW w:type="dxa" w:w="1020"/>
            <w:tcBorders/>
            <w:tcMar>
              <w:start w:w="0" w:type="dxa"/>
              <w:end w:w="0" w:type="dxa"/>
            </w:tcMar>
          </w:tcPr>
          <w:p>
            <w:pPr>
              <w:autoSpaceDN w:val="0"/>
              <w:autoSpaceDE w:val="0"/>
              <w:widowControl/>
              <w:spacing w:line="233" w:lineRule="auto" w:before="14" w:after="0"/>
              <w:ind w:left="0" w:right="2" w:firstLine="0"/>
              <w:jc w:val="right"/>
            </w:pPr>
            <w:r>
              <w:rPr>
                <w:rFonts w:ascii="Arial" w:hAnsi="Arial" w:eastAsia="Arial"/>
                <w:b w:val="0"/>
                <w:i w:val="0"/>
                <w:color w:val="000000"/>
                <w:sz w:val="14"/>
              </w:rPr>
              <w:t>626,369</w:t>
            </w:r>
          </w:p>
        </w:tc>
        <w:tc>
          <w:tcPr>
            <w:tcW w:type="dxa" w:w="1162"/>
            <w:tcBorders/>
            <w:tcMar>
              <w:start w:w="0" w:type="dxa"/>
              <w:end w:w="0" w:type="dxa"/>
            </w:tcMar>
          </w:tcPr>
          <w:p>
            <w:pPr>
              <w:autoSpaceDN w:val="0"/>
              <w:autoSpaceDE w:val="0"/>
              <w:widowControl/>
              <w:spacing w:line="233" w:lineRule="auto" w:before="14" w:after="0"/>
              <w:ind w:left="0" w:right="2" w:firstLine="0"/>
              <w:jc w:val="right"/>
            </w:pPr>
            <w:r>
              <w:rPr>
                <w:rFonts w:ascii="Arial" w:hAnsi="Arial" w:eastAsia="Arial"/>
                <w:b w:val="0"/>
                <w:i w:val="0"/>
                <w:color w:val="000000"/>
                <w:sz w:val="14"/>
              </w:rPr>
              <w:t>1,303,162</w:t>
            </w:r>
          </w:p>
        </w:tc>
        <w:tc>
          <w:tcPr>
            <w:tcW w:type="dxa" w:w="1446"/>
            <w:tcBorders/>
            <w:tcMar>
              <w:start w:w="0" w:type="dxa"/>
              <w:end w:w="0" w:type="dxa"/>
            </w:tcMar>
          </w:tcPr>
          <w:p>
            <w:pPr>
              <w:autoSpaceDN w:val="0"/>
              <w:autoSpaceDE w:val="0"/>
              <w:widowControl/>
              <w:spacing w:line="233" w:lineRule="auto" w:before="14" w:after="0"/>
              <w:ind w:left="0" w:right="2" w:firstLine="0"/>
              <w:jc w:val="right"/>
            </w:pPr>
            <w:r>
              <w:rPr>
                <w:rFonts w:ascii="Arial" w:hAnsi="Arial" w:eastAsia="Arial"/>
                <w:b w:val="0"/>
                <w:i w:val="0"/>
                <w:color w:val="000000"/>
                <w:sz w:val="14"/>
              </w:rPr>
              <w:t>17,810,476</w:t>
            </w:r>
          </w:p>
        </w:tc>
        <w:tc>
          <w:tcPr>
            <w:tcW w:type="dxa" w:w="1474"/>
            <w:tcBorders/>
            <w:tcMar>
              <w:start w:w="0" w:type="dxa"/>
              <w:end w:w="0" w:type="dxa"/>
            </w:tcMar>
          </w:tcPr>
          <w:p>
            <w:pPr>
              <w:autoSpaceDN w:val="0"/>
              <w:autoSpaceDE w:val="0"/>
              <w:widowControl/>
              <w:spacing w:line="233" w:lineRule="auto" w:before="14" w:after="0"/>
              <w:ind w:left="0" w:right="104" w:firstLine="0"/>
              <w:jc w:val="right"/>
            </w:pPr>
            <w:r>
              <w:rPr>
                <w:rFonts w:ascii="Arial" w:hAnsi="Arial" w:eastAsia="Arial"/>
                <w:b w:val="0"/>
                <w:i w:val="0"/>
                <w:color w:val="000000"/>
                <w:sz w:val="14"/>
              </w:rPr>
              <w:t xml:space="preserve">15,036,114 </w:t>
            </w:r>
          </w:p>
        </w:tc>
        <w:tc>
          <w:tcPr>
            <w:tcW w:type="dxa" w:w="1106"/>
            <w:tcBorders/>
            <w:tcMar>
              <w:start w:w="0" w:type="dxa"/>
              <w:end w:w="0" w:type="dxa"/>
            </w:tcMar>
          </w:tcPr>
          <w:p>
            <w:pPr>
              <w:autoSpaceDN w:val="0"/>
              <w:autoSpaceDE w:val="0"/>
              <w:widowControl/>
              <w:spacing w:line="233" w:lineRule="auto" w:before="14" w:after="0"/>
              <w:ind w:left="0" w:right="102" w:firstLine="0"/>
              <w:jc w:val="right"/>
            </w:pPr>
            <w:r>
              <w:rPr>
                <w:rFonts w:ascii="Arial" w:hAnsi="Arial" w:eastAsia="Arial"/>
                <w:b w:val="0"/>
                <w:i w:val="0"/>
                <w:color w:val="000000"/>
                <w:sz w:val="14"/>
              </w:rPr>
              <w:t xml:space="preserve">- </w:t>
            </w:r>
          </w:p>
        </w:tc>
        <w:tc>
          <w:tcPr>
            <w:tcW w:type="dxa" w:w="1160"/>
            <w:tcBorders/>
            <w:tcMar>
              <w:start w:w="0" w:type="dxa"/>
              <w:end w:w="0" w:type="dxa"/>
            </w:tcMar>
          </w:tcPr>
          <w:p>
            <w:pPr>
              <w:autoSpaceDN w:val="0"/>
              <w:autoSpaceDE w:val="0"/>
              <w:widowControl/>
              <w:spacing w:line="233" w:lineRule="auto" w:before="14" w:after="0"/>
              <w:ind w:left="0" w:right="84" w:firstLine="0"/>
              <w:jc w:val="right"/>
            </w:pPr>
            <w:r>
              <w:rPr>
                <w:rFonts w:ascii="Arial" w:hAnsi="Arial" w:eastAsia="Arial"/>
                <w:b w:val="0"/>
                <w:i w:val="0"/>
                <w:color w:val="000000"/>
                <w:sz w:val="14"/>
              </w:rPr>
              <w:t>108,177,437</w:t>
            </w:r>
          </w:p>
        </w:tc>
      </w:tr>
      <w:tr>
        <w:trPr>
          <w:trHeight w:hRule="exact" w:val="200"/>
        </w:trPr>
        <w:tc>
          <w:tcPr>
            <w:tcW w:type="dxa" w:w="2098"/>
            <w:tcBorders/>
            <w:tcMar>
              <w:start w:w="0" w:type="dxa"/>
              <w:end w:w="0" w:type="dxa"/>
            </w:tcMar>
          </w:tcPr>
          <w:p>
            <w:pPr>
              <w:autoSpaceDN w:val="0"/>
              <w:autoSpaceDE w:val="0"/>
              <w:widowControl/>
              <w:spacing w:line="138" w:lineRule="exact" w:before="58" w:after="0"/>
              <w:ind w:left="0" w:right="1260" w:firstLine="0"/>
              <w:jc w:val="right"/>
            </w:pPr>
            <w:r>
              <w:rPr>
                <w:rFonts w:ascii="黑体" w:hAnsi="黑体" w:eastAsia="黑体"/>
                <w:b w:val="0"/>
                <w:i w:val="0"/>
                <w:color w:val="000000"/>
                <w:sz w:val="14"/>
              </w:rPr>
              <w:t>其他</w:t>
            </w:r>
          </w:p>
        </w:tc>
        <w:tc>
          <w:tcPr>
            <w:tcW w:type="dxa" w:w="1162"/>
            <w:tcBorders/>
            <w:tcMar>
              <w:start w:w="0" w:type="dxa"/>
              <w:end w:w="0" w:type="dxa"/>
            </w:tcMar>
          </w:tcPr>
          <w:p>
            <w:pPr>
              <w:autoSpaceDN w:val="0"/>
              <w:autoSpaceDE w:val="0"/>
              <w:widowControl/>
              <w:spacing w:line="233" w:lineRule="auto" w:before="44" w:after="0"/>
              <w:ind w:left="0" w:right="144" w:firstLine="0"/>
              <w:jc w:val="right"/>
            </w:pPr>
            <w:r>
              <w:rPr>
                <w:rFonts w:ascii="Arial" w:hAnsi="Arial" w:eastAsia="Arial"/>
                <w:b w:val="0"/>
                <w:i w:val="0"/>
                <w:color w:val="000000"/>
                <w:sz w:val="14"/>
              </w:rPr>
              <w:t>6,435,971</w:t>
            </w:r>
          </w:p>
        </w:tc>
        <w:tc>
          <w:tcPr>
            <w:tcW w:type="dxa" w:w="964"/>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552,374</w:t>
            </w:r>
          </w:p>
        </w:tc>
        <w:tc>
          <w:tcPr>
            <w:tcW w:type="dxa" w:w="1304"/>
            <w:tcBorders/>
            <w:tcMar>
              <w:start w:w="0" w:type="dxa"/>
              <w:end w:w="0" w:type="dxa"/>
            </w:tcMar>
          </w:tcPr>
          <w:p>
            <w:pPr>
              <w:autoSpaceDN w:val="0"/>
              <w:autoSpaceDE w:val="0"/>
              <w:widowControl/>
              <w:spacing w:line="233" w:lineRule="auto" w:before="44" w:after="0"/>
              <w:ind w:left="0" w:right="58" w:firstLine="0"/>
              <w:jc w:val="right"/>
            </w:pPr>
            <w:r>
              <w:rPr>
                <w:rFonts w:ascii="Arial" w:hAnsi="Arial" w:eastAsia="Arial"/>
                <w:b w:val="0"/>
                <w:i w:val="0"/>
                <w:color w:val="000000"/>
                <w:sz w:val="14"/>
              </w:rPr>
              <w:t xml:space="preserve">(3,821,243) </w:t>
            </w:r>
          </w:p>
        </w:tc>
        <w:tc>
          <w:tcPr>
            <w:tcW w:type="dxa" w:w="1164"/>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3,067,218 </w:t>
            </w:r>
          </w:p>
        </w:tc>
        <w:tc>
          <w:tcPr>
            <w:tcW w:type="dxa" w:w="1020"/>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6,971,398</w:t>
            </w:r>
          </w:p>
        </w:tc>
        <w:tc>
          <w:tcPr>
            <w:tcW w:type="dxa" w:w="11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3,397,514</w:t>
            </w:r>
          </w:p>
        </w:tc>
        <w:tc>
          <w:tcPr>
            <w:tcW w:type="dxa" w:w="1446"/>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204,939,370</w:t>
            </w:r>
          </w:p>
        </w:tc>
        <w:tc>
          <w:tcPr>
            <w:tcW w:type="dxa" w:w="1474"/>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4,769,693 </w:t>
            </w:r>
          </w:p>
        </w:tc>
        <w:tc>
          <w:tcPr>
            <w:tcW w:type="dxa" w:w="1106"/>
            <w:tcBorders/>
            <w:tcMar>
              <w:start w:w="0" w:type="dxa"/>
              <w:end w:w="0" w:type="dxa"/>
            </w:tcMar>
          </w:tcPr>
          <w:p>
            <w:pPr>
              <w:autoSpaceDN w:val="0"/>
              <w:autoSpaceDE w:val="0"/>
              <w:widowControl/>
              <w:spacing w:line="233" w:lineRule="auto" w:before="44" w:after="0"/>
              <w:ind w:left="0" w:right="102" w:firstLine="0"/>
              <w:jc w:val="right"/>
            </w:pPr>
            <w:r>
              <w:rPr>
                <w:rFonts w:ascii="Arial" w:hAnsi="Arial" w:eastAsia="Arial"/>
                <w:b w:val="0"/>
                <w:i w:val="0"/>
                <w:color w:val="000000"/>
                <w:sz w:val="14"/>
              </w:rPr>
              <w:t xml:space="preserve">- </w:t>
            </w:r>
          </w:p>
        </w:tc>
        <w:tc>
          <w:tcPr>
            <w:tcW w:type="dxa" w:w="1160"/>
            <w:tcBorders/>
            <w:tcMar>
              <w:start w:w="0" w:type="dxa"/>
              <w:end w:w="0" w:type="dxa"/>
            </w:tcMar>
          </w:tcPr>
          <w:p>
            <w:pPr>
              <w:autoSpaceDN w:val="0"/>
              <w:autoSpaceDE w:val="0"/>
              <w:widowControl/>
              <w:spacing w:line="233" w:lineRule="auto" w:before="44" w:after="0"/>
              <w:ind w:left="0" w:right="84" w:firstLine="0"/>
              <w:jc w:val="right"/>
            </w:pPr>
            <w:r>
              <w:rPr>
                <w:rFonts w:ascii="Arial" w:hAnsi="Arial" w:eastAsia="Arial"/>
                <w:b w:val="0"/>
                <w:i w:val="0"/>
                <w:color w:val="000000"/>
                <w:sz w:val="14"/>
              </w:rPr>
              <w:t>226,312,295</w:t>
            </w:r>
          </w:p>
        </w:tc>
      </w:tr>
      <w:tr>
        <w:trPr>
          <w:trHeight w:hRule="exact" w:val="200"/>
        </w:trPr>
        <w:tc>
          <w:tcPr>
            <w:tcW w:type="dxa" w:w="2098"/>
            <w:tcBorders/>
            <w:tcMar>
              <w:start w:w="0" w:type="dxa"/>
              <w:end w:w="0" w:type="dxa"/>
            </w:tcMar>
          </w:tcPr>
          <w:p>
            <w:pPr>
              <w:autoSpaceDN w:val="0"/>
              <w:autoSpaceDE w:val="0"/>
              <w:widowControl/>
              <w:spacing w:line="154" w:lineRule="exact" w:before="46" w:after="0"/>
              <w:ind w:left="0" w:right="0" w:firstLine="0"/>
              <w:jc w:val="left"/>
            </w:pPr>
            <w:r>
              <w:rPr>
                <w:rFonts w:ascii="黑体" w:hAnsi="黑体" w:eastAsia="黑体"/>
                <w:b w:val="0"/>
                <w:i w:val="0"/>
                <w:color w:val="000000"/>
                <w:sz w:val="14"/>
              </w:rPr>
              <w:t>分部间交易收入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0" w:after="0"/>
              <w:ind w:left="0" w:right="144" w:firstLine="0"/>
              <w:jc w:val="right"/>
            </w:pPr>
            <w:r>
              <w:rPr>
                <w:rFonts w:ascii="Arial" w:hAnsi="Arial" w:eastAsia="Arial"/>
                <w:b w:val="0"/>
                <w:i w:val="0"/>
                <w:color w:val="000000"/>
                <w:sz w:val="14"/>
              </w:rPr>
              <w:t>1,529,203</w:t>
            </w:r>
          </w:p>
        </w:tc>
        <w:tc>
          <w:tcPr>
            <w:tcW w:type="dxa" w:w="964"/>
            <w:vMerge w:val="restart"/>
            <w:tcBorders/>
            <w:tcMar>
              <w:start w:w="0" w:type="dxa"/>
              <w:end w:w="0" w:type="dxa"/>
            </w:tcMar>
            <w:tcMar>
              <w:start w:w="0" w:type="dxa"/>
              <w:end w:w="0" w:type="dxa"/>
            </w:tcMar>
          </w:tcPr>
          <w:p>
            <w:pPr>
              <w:autoSpaceDN w:val="0"/>
              <w:autoSpaceDE w:val="0"/>
              <w:widowControl/>
              <w:spacing w:line="230" w:lineRule="auto" w:before="70" w:after="0"/>
              <w:ind w:left="0" w:right="2" w:firstLine="0"/>
              <w:jc w:val="right"/>
            </w:pPr>
            <w:r>
              <w:rPr>
                <w:rFonts w:ascii="Arial" w:hAnsi="Arial" w:eastAsia="Arial"/>
                <w:b w:val="0"/>
                <w:i w:val="0"/>
                <w:color w:val="000000"/>
                <w:sz w:val="14"/>
              </w:rPr>
              <w:t>13,774,837</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70" w:after="0"/>
              <w:ind w:left="0" w:right="58" w:firstLine="0"/>
              <w:jc w:val="right"/>
            </w:pPr>
            <w:r>
              <w:rPr>
                <w:rFonts w:ascii="Arial" w:hAnsi="Arial" w:eastAsia="Arial"/>
                <w:b w:val="0"/>
                <w:i w:val="0"/>
                <w:color w:val="000000"/>
                <w:sz w:val="14"/>
              </w:rPr>
              <w:t xml:space="preserve">(48,457,859) </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70" w:after="0"/>
              <w:ind w:left="0" w:right="104" w:firstLine="0"/>
              <w:jc w:val="right"/>
            </w:pPr>
            <w:r>
              <w:rPr>
                <w:rFonts w:ascii="Arial" w:hAnsi="Arial" w:eastAsia="Arial"/>
                <w:b w:val="0"/>
                <w:i w:val="0"/>
                <w:color w:val="000000"/>
                <w:sz w:val="14"/>
              </w:rPr>
              <w:t xml:space="preserve">57,238,277 </w:t>
            </w:r>
          </w:p>
        </w:tc>
        <w:tc>
          <w:tcPr>
            <w:tcW w:type="dxa" w:w="1020"/>
            <w:vMerge w:val="restart"/>
            <w:tcBorders/>
            <w:tcMar>
              <w:start w:w="0" w:type="dxa"/>
              <w:end w:w="0" w:type="dxa"/>
            </w:tcMar>
            <w:tcMar>
              <w:start w:w="0" w:type="dxa"/>
              <w:end w:w="0" w:type="dxa"/>
            </w:tcMar>
          </w:tcPr>
          <w:p>
            <w:pPr>
              <w:autoSpaceDN w:val="0"/>
              <w:autoSpaceDE w:val="0"/>
              <w:widowControl/>
              <w:spacing w:line="230" w:lineRule="auto" w:before="70" w:after="0"/>
              <w:ind w:left="0" w:right="2" w:firstLine="0"/>
              <w:jc w:val="right"/>
            </w:pPr>
            <w:r>
              <w:rPr>
                <w:rFonts w:ascii="Arial" w:hAnsi="Arial" w:eastAsia="Arial"/>
                <w:b w:val="0"/>
                <w:i w:val="0"/>
                <w:color w:val="000000"/>
                <w:sz w:val="14"/>
              </w:rPr>
              <w:t>15,647,223</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0" w:after="0"/>
              <w:ind w:left="0" w:right="0" w:firstLine="0"/>
              <w:jc w:val="right"/>
            </w:pPr>
            <w:r>
              <w:rPr>
                <w:rFonts w:ascii="Arial" w:hAnsi="Arial" w:eastAsia="Arial"/>
                <w:b w:val="0"/>
                <w:i w:val="0"/>
                <w:color w:val="000000"/>
                <w:sz w:val="14"/>
              </w:rPr>
              <w:t>-</w:t>
            </w:r>
          </w:p>
        </w:tc>
        <w:tc>
          <w:tcPr>
            <w:tcW w:type="dxa" w:w="1446"/>
            <w:vMerge w:val="restart"/>
            <w:tcBorders/>
            <w:tcMar>
              <w:start w:w="0" w:type="dxa"/>
              <w:end w:w="0" w:type="dxa"/>
            </w:tcMar>
            <w:tcMar>
              <w:start w:w="0" w:type="dxa"/>
              <w:end w:w="0" w:type="dxa"/>
            </w:tcMar>
          </w:tcPr>
          <w:p>
            <w:pPr>
              <w:autoSpaceDN w:val="0"/>
              <w:autoSpaceDE w:val="0"/>
              <w:widowControl/>
              <w:spacing w:line="230" w:lineRule="auto" w:before="70" w:after="0"/>
              <w:ind w:left="0" w:right="0" w:firstLine="0"/>
              <w:jc w:val="right"/>
            </w:pPr>
            <w:r>
              <w:rPr>
                <w:rFonts w:ascii="Arial" w:hAnsi="Arial" w:eastAsia="Arial"/>
                <w:b w:val="0"/>
                <w:i w:val="0"/>
                <w:color w:val="000000"/>
                <w:sz w:val="14"/>
              </w:rPr>
              <w:t>-</w:t>
            </w:r>
          </w:p>
        </w:tc>
        <w:tc>
          <w:tcPr>
            <w:tcW w:type="dxa" w:w="1474"/>
            <w:vMerge w:val="restart"/>
            <w:tcBorders/>
            <w:tcMar>
              <w:start w:w="0" w:type="dxa"/>
              <w:end w:w="0" w:type="dxa"/>
            </w:tcMar>
            <w:tcMar>
              <w:start w:w="0" w:type="dxa"/>
              <w:end w:w="0" w:type="dxa"/>
            </w:tcMar>
          </w:tcPr>
          <w:p>
            <w:pPr>
              <w:autoSpaceDN w:val="0"/>
              <w:autoSpaceDE w:val="0"/>
              <w:widowControl/>
              <w:spacing w:line="230" w:lineRule="auto" w:before="70" w:after="0"/>
              <w:ind w:left="0" w:right="104" w:firstLine="0"/>
              <w:jc w:val="right"/>
            </w:pPr>
            <w:r>
              <w:rPr>
                <w:rFonts w:ascii="Arial" w:hAnsi="Arial" w:eastAsia="Arial"/>
                <w:b w:val="0"/>
                <w:i w:val="0"/>
                <w:color w:val="000000"/>
                <w:sz w:val="14"/>
              </w:rPr>
              <w:t xml:space="preserve">20,488,365 </w:t>
            </w:r>
          </w:p>
        </w:tc>
        <w:tc>
          <w:tcPr>
            <w:tcW w:type="dxa" w:w="1106"/>
            <w:vMerge w:val="restart"/>
            <w:tcBorders/>
            <w:tcMar>
              <w:start w:w="0" w:type="dxa"/>
              <w:end w:w="0" w:type="dxa"/>
            </w:tcMar>
            <w:tcMar>
              <w:start w:w="0" w:type="dxa"/>
              <w:end w:w="0" w:type="dxa"/>
            </w:tcMar>
          </w:tcPr>
          <w:p>
            <w:pPr>
              <w:autoSpaceDN w:val="0"/>
              <w:autoSpaceDE w:val="0"/>
              <w:widowControl/>
              <w:spacing w:line="230" w:lineRule="auto" w:before="70" w:after="0"/>
              <w:ind w:left="218" w:right="0" w:firstLine="0"/>
              <w:jc w:val="left"/>
            </w:pPr>
            <w:r>
              <w:rPr>
                <w:rFonts w:ascii="Arial" w:hAnsi="Arial" w:eastAsia="Arial"/>
                <w:b w:val="0"/>
                <w:i w:val="0"/>
                <w:color w:val="000000"/>
                <w:sz w:val="14"/>
              </w:rPr>
              <w:t xml:space="preserve">(60,220,046 ) </w:t>
            </w:r>
          </w:p>
        </w:tc>
        <w:tc>
          <w:tcPr>
            <w:tcW w:type="dxa" w:w="1160"/>
            <w:vMerge w:val="restart"/>
            <w:tcBorders/>
            <w:tcMar>
              <w:start w:w="0" w:type="dxa"/>
              <w:end w:w="0" w:type="dxa"/>
            </w:tcMar>
            <w:tcMar>
              <w:start w:w="0" w:type="dxa"/>
              <w:end w:w="0" w:type="dxa"/>
            </w:tcMar>
          </w:tcPr>
          <w:p>
            <w:pPr>
              <w:autoSpaceDN w:val="0"/>
              <w:autoSpaceDE w:val="0"/>
              <w:widowControl/>
              <w:spacing w:line="230" w:lineRule="auto" w:before="70" w:after="0"/>
              <w:ind w:left="0" w:right="82" w:firstLine="0"/>
              <w:jc w:val="right"/>
            </w:pPr>
            <w:r>
              <w:rPr>
                <w:rFonts w:ascii="Arial" w:hAnsi="Arial" w:eastAsia="Arial"/>
                <w:b w:val="0"/>
                <w:i w:val="0"/>
                <w:color w:val="000000"/>
                <w:sz w:val="14"/>
              </w:rPr>
              <w:t>-</w:t>
            </w:r>
          </w:p>
        </w:tc>
      </w:tr>
      <w:tr>
        <w:trPr>
          <w:trHeight w:hRule="exact" w:val="50"/>
        </w:trPr>
        <w:tc>
          <w:tcPr>
            <w:tcW w:type="dxa" w:w="2098"/>
            <w:vMerge w:val="restart"/>
            <w:tcBorders/>
            <w:tcMar>
              <w:start w:w="0" w:type="dxa"/>
              <w:end w:w="0" w:type="dxa"/>
            </w:tcMar>
            <w:tcMar>
              <w:start w:w="0" w:type="dxa"/>
              <w:end w:w="0" w:type="dxa"/>
            </w:tcMar>
          </w:tcPr>
          <w:p>
            <w:pPr>
              <w:autoSpaceDN w:val="0"/>
              <w:autoSpaceDE w:val="0"/>
              <w:widowControl/>
              <w:spacing w:line="140" w:lineRule="exact" w:before="72" w:after="0"/>
              <w:ind w:left="140" w:right="0" w:firstLine="0"/>
              <w:jc w:val="left"/>
            </w:pPr>
            <w:r>
              <w:rPr>
                <w:rFonts w:ascii="黑体" w:hAnsi="黑体" w:eastAsia="黑体"/>
                <w:b w:val="0"/>
                <w:i w:val="0"/>
                <w:color w:val="000000"/>
                <w:sz w:val="14"/>
              </w:rPr>
              <w:t>其中：手续费及佣金净收入</w:t>
            </w: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c>
          <w:tcPr>
            <w:tcW w:type="dxa" w:w="1280"/>
            <w:vMerge/>
            <w:tcBorders/>
          </w:tcPr>
          <w:p/>
        </w:tc>
      </w:tr>
      <w:tr>
        <w:trPr>
          <w:trHeight w:hRule="exact" w:val="170"/>
        </w:trPr>
        <w:tc>
          <w:tcPr>
            <w:tcW w:type="dxa" w:w="1280"/>
            <w:vMerge/>
            <w:tcBorders/>
          </w:tcPr>
          <w:p/>
        </w:tc>
        <w:tc>
          <w:tcPr>
            <w:tcW w:type="dxa" w:w="1162"/>
            <w:tcBorders/>
            <w:tcMar>
              <w:start w:w="0" w:type="dxa"/>
              <w:end w:w="0" w:type="dxa"/>
            </w:tcMar>
          </w:tcPr>
          <w:p>
            <w:pPr>
              <w:autoSpaceDN w:val="0"/>
              <w:autoSpaceDE w:val="0"/>
              <w:widowControl/>
              <w:spacing w:line="230" w:lineRule="auto" w:before="16" w:after="0"/>
              <w:ind w:left="0" w:right="144" w:firstLine="0"/>
              <w:jc w:val="right"/>
            </w:pPr>
            <w:r>
              <w:rPr>
                <w:rFonts w:ascii="Arial" w:hAnsi="Arial" w:eastAsia="Arial"/>
                <w:b w:val="0"/>
                <w:i w:val="0"/>
                <w:color w:val="000000"/>
                <w:sz w:val="14"/>
              </w:rPr>
              <w:t>1,529,203</w:t>
            </w:r>
          </w:p>
        </w:tc>
        <w:tc>
          <w:tcPr>
            <w:tcW w:type="dxa" w:w="964"/>
            <w:tcBorders/>
            <w:tcMar>
              <w:start w:w="0" w:type="dxa"/>
              <w:end w:w="0" w:type="dxa"/>
            </w:tcMar>
          </w:tcPr>
          <w:p>
            <w:pPr>
              <w:autoSpaceDN w:val="0"/>
              <w:autoSpaceDE w:val="0"/>
              <w:widowControl/>
              <w:spacing w:line="230" w:lineRule="auto" w:before="16" w:after="0"/>
              <w:ind w:left="0" w:right="2" w:firstLine="0"/>
              <w:jc w:val="right"/>
            </w:pPr>
            <w:r>
              <w:rPr>
                <w:rFonts w:ascii="Arial" w:hAnsi="Arial" w:eastAsia="Arial"/>
                <w:b w:val="0"/>
                <w:i w:val="0"/>
                <w:color w:val="000000"/>
                <w:sz w:val="14"/>
              </w:rPr>
              <w:t>13,774,837</w:t>
            </w:r>
          </w:p>
        </w:tc>
        <w:tc>
          <w:tcPr>
            <w:tcW w:type="dxa" w:w="1304"/>
            <w:tcBorders/>
            <w:tcMar>
              <w:start w:w="0" w:type="dxa"/>
              <w:end w:w="0" w:type="dxa"/>
            </w:tcMar>
          </w:tcPr>
          <w:p>
            <w:pPr>
              <w:autoSpaceDN w:val="0"/>
              <w:autoSpaceDE w:val="0"/>
              <w:widowControl/>
              <w:spacing w:line="230" w:lineRule="auto" w:before="16" w:after="0"/>
              <w:ind w:left="0" w:right="140" w:firstLine="0"/>
              <w:jc w:val="right"/>
            </w:pPr>
            <w:r>
              <w:rPr>
                <w:rFonts w:ascii="Arial" w:hAnsi="Arial" w:eastAsia="Arial"/>
                <w:b w:val="0"/>
                <w:i w:val="0"/>
                <w:color w:val="000000"/>
                <w:sz w:val="14"/>
              </w:rPr>
              <w:t>-</w:t>
            </w:r>
          </w:p>
        </w:tc>
        <w:tc>
          <w:tcPr>
            <w:tcW w:type="dxa" w:w="1164"/>
            <w:tcBorders/>
            <w:tcMar>
              <w:start w:w="0" w:type="dxa"/>
              <w:end w:w="0" w:type="dxa"/>
            </w:tcMar>
          </w:tcPr>
          <w:p>
            <w:pPr>
              <w:autoSpaceDN w:val="0"/>
              <w:autoSpaceDE w:val="0"/>
              <w:widowControl/>
              <w:spacing w:line="230" w:lineRule="auto" w:before="16" w:after="0"/>
              <w:ind w:left="0" w:right="104" w:firstLine="0"/>
              <w:jc w:val="right"/>
            </w:pPr>
            <w:r>
              <w:rPr>
                <w:rFonts w:ascii="Arial" w:hAnsi="Arial" w:eastAsia="Arial"/>
                <w:b w:val="0"/>
                <w:i w:val="0"/>
                <w:color w:val="000000"/>
                <w:sz w:val="14"/>
              </w:rPr>
              <w:t xml:space="preserve">- </w:t>
            </w:r>
          </w:p>
        </w:tc>
        <w:tc>
          <w:tcPr>
            <w:tcW w:type="dxa" w:w="1020"/>
            <w:tcBorders/>
            <w:tcMar>
              <w:start w:w="0" w:type="dxa"/>
              <w:end w:w="0" w:type="dxa"/>
            </w:tcMar>
          </w:tcPr>
          <w:p>
            <w:pPr>
              <w:autoSpaceDN w:val="0"/>
              <w:autoSpaceDE w:val="0"/>
              <w:widowControl/>
              <w:spacing w:line="230" w:lineRule="auto" w:before="16" w:after="0"/>
              <w:ind w:left="0" w:right="2" w:firstLine="0"/>
              <w:jc w:val="right"/>
            </w:pPr>
            <w:r>
              <w:rPr>
                <w:rFonts w:ascii="Arial" w:hAnsi="Arial" w:eastAsia="Arial"/>
                <w:b w:val="0"/>
                <w:i w:val="0"/>
                <w:color w:val="000000"/>
                <w:sz w:val="14"/>
              </w:rPr>
              <w:t>15,647,223</w:t>
            </w:r>
          </w:p>
        </w:tc>
        <w:tc>
          <w:tcPr>
            <w:tcW w:type="dxa" w:w="1162"/>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446"/>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474"/>
            <w:tcBorders/>
            <w:tcMar>
              <w:start w:w="0" w:type="dxa"/>
              <w:end w:w="0" w:type="dxa"/>
            </w:tcMar>
          </w:tcPr>
          <w:p>
            <w:pPr>
              <w:autoSpaceDN w:val="0"/>
              <w:autoSpaceDE w:val="0"/>
              <w:widowControl/>
              <w:spacing w:line="230" w:lineRule="auto" w:before="16" w:after="0"/>
              <w:ind w:left="0" w:right="104" w:firstLine="0"/>
              <w:jc w:val="right"/>
            </w:pPr>
            <w:r>
              <w:rPr>
                <w:rFonts w:ascii="Arial" w:hAnsi="Arial" w:eastAsia="Arial"/>
                <w:b w:val="0"/>
                <w:i w:val="0"/>
                <w:color w:val="000000"/>
                <w:sz w:val="14"/>
              </w:rPr>
              <w:t xml:space="preserve">- </w:t>
            </w:r>
          </w:p>
        </w:tc>
        <w:tc>
          <w:tcPr>
            <w:tcW w:type="dxa" w:w="1106"/>
            <w:tcBorders/>
            <w:tcMar>
              <w:start w:w="0" w:type="dxa"/>
              <w:end w:w="0" w:type="dxa"/>
            </w:tcMar>
          </w:tcPr>
          <w:p>
            <w:pPr>
              <w:autoSpaceDN w:val="0"/>
              <w:autoSpaceDE w:val="0"/>
              <w:widowControl/>
              <w:spacing w:line="230" w:lineRule="auto" w:before="16" w:after="0"/>
              <w:ind w:left="218" w:right="0" w:firstLine="0"/>
              <w:jc w:val="left"/>
            </w:pPr>
            <w:r>
              <w:rPr>
                <w:rFonts w:ascii="Arial" w:hAnsi="Arial" w:eastAsia="Arial"/>
                <w:b w:val="0"/>
                <w:i w:val="0"/>
                <w:color w:val="000000"/>
                <w:sz w:val="14"/>
              </w:rPr>
              <w:t xml:space="preserve">(30,951,263 ) </w:t>
            </w:r>
          </w:p>
        </w:tc>
        <w:tc>
          <w:tcPr>
            <w:tcW w:type="dxa" w:w="1160"/>
            <w:tcBorders/>
            <w:tcMar>
              <w:start w:w="0" w:type="dxa"/>
              <w:end w:w="0" w:type="dxa"/>
            </w:tcMar>
          </w:tcPr>
          <w:p>
            <w:pPr>
              <w:autoSpaceDN w:val="0"/>
              <w:autoSpaceDE w:val="0"/>
              <w:widowControl/>
              <w:spacing w:line="230" w:lineRule="auto" w:before="16" w:after="0"/>
              <w:ind w:left="0" w:right="82" w:firstLine="0"/>
              <w:jc w:val="right"/>
            </w:pPr>
            <w:r>
              <w:rPr>
                <w:rFonts w:ascii="Arial" w:hAnsi="Arial" w:eastAsia="Arial"/>
                <w:b w:val="0"/>
                <w:i w:val="0"/>
                <w:color w:val="000000"/>
                <w:sz w:val="14"/>
              </w:rPr>
              <w:t>-</w:t>
            </w:r>
          </w:p>
        </w:tc>
      </w:tr>
      <w:tr>
        <w:trPr>
          <w:trHeight w:hRule="exact" w:val="200"/>
        </w:trPr>
        <w:tc>
          <w:tcPr>
            <w:tcW w:type="dxa" w:w="2098"/>
            <w:tcBorders/>
            <w:tcMar>
              <w:start w:w="0" w:type="dxa"/>
              <w:end w:w="0" w:type="dxa"/>
            </w:tcMar>
          </w:tcPr>
          <w:p>
            <w:pPr>
              <w:autoSpaceDN w:val="0"/>
              <w:autoSpaceDE w:val="0"/>
              <w:widowControl/>
              <w:spacing w:line="156" w:lineRule="exact" w:before="44" w:after="0"/>
              <w:ind w:left="0" w:right="242" w:firstLine="0"/>
              <w:jc w:val="right"/>
            </w:pPr>
            <w:r>
              <w:rPr>
                <w:rFonts w:ascii="黑体" w:hAnsi="黑体" w:eastAsia="黑体"/>
                <w:b w:val="0"/>
                <w:i w:val="0"/>
                <w:color w:val="000000"/>
                <w:sz w:val="14"/>
              </w:rPr>
              <w:t>利息净收入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162"/>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44" w:after="0"/>
              <w:ind w:left="0" w:right="140" w:firstLine="0"/>
              <w:jc w:val="right"/>
            </w:pPr>
            <w:r>
              <w:rPr>
                <w:rFonts w:ascii="Arial" w:hAnsi="Arial" w:eastAsia="Arial"/>
                <w:b w:val="0"/>
                <w:i w:val="0"/>
                <w:color w:val="000000"/>
                <w:sz w:val="14"/>
              </w:rPr>
              <w:t>-</w:t>
            </w:r>
          </w:p>
        </w:tc>
        <w:tc>
          <w:tcPr>
            <w:tcW w:type="dxa" w:w="1164"/>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 </w:t>
            </w:r>
          </w:p>
        </w:tc>
        <w:tc>
          <w:tcPr>
            <w:tcW w:type="dxa" w:w="1020"/>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162"/>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446"/>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474"/>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1,730,261 </w:t>
            </w:r>
          </w:p>
        </w:tc>
        <w:tc>
          <w:tcPr>
            <w:tcW w:type="dxa" w:w="1106"/>
            <w:tcBorders/>
            <w:tcMar>
              <w:start w:w="0" w:type="dxa"/>
              <w:end w:w="0" w:type="dxa"/>
            </w:tcMar>
          </w:tcPr>
          <w:p>
            <w:pPr>
              <w:autoSpaceDN w:val="0"/>
              <w:autoSpaceDE w:val="0"/>
              <w:widowControl/>
              <w:spacing w:line="233" w:lineRule="auto" w:before="44" w:after="0"/>
              <w:ind w:left="0" w:right="58" w:firstLine="0"/>
              <w:jc w:val="right"/>
            </w:pPr>
            <w:r>
              <w:rPr>
                <w:rFonts w:ascii="Arial" w:hAnsi="Arial" w:eastAsia="Arial"/>
                <w:b w:val="0"/>
                <w:i w:val="0"/>
                <w:color w:val="000000"/>
                <w:sz w:val="14"/>
              </w:rPr>
              <w:t xml:space="preserve">(1,730,261 ) </w:t>
            </w:r>
          </w:p>
        </w:tc>
        <w:tc>
          <w:tcPr>
            <w:tcW w:type="dxa" w:w="1160"/>
            <w:tcBorders/>
            <w:tcMar>
              <w:start w:w="0" w:type="dxa"/>
              <w:end w:w="0" w:type="dxa"/>
            </w:tcMar>
          </w:tcPr>
          <w:p>
            <w:pPr>
              <w:autoSpaceDN w:val="0"/>
              <w:autoSpaceDE w:val="0"/>
              <w:widowControl/>
              <w:spacing w:line="233" w:lineRule="auto" w:before="44" w:after="0"/>
              <w:ind w:left="0" w:right="82" w:firstLine="0"/>
              <w:jc w:val="right"/>
            </w:pPr>
            <w:r>
              <w:rPr>
                <w:rFonts w:ascii="Arial" w:hAnsi="Arial" w:eastAsia="Arial"/>
                <w:b w:val="0"/>
                <w:i w:val="0"/>
                <w:color w:val="000000"/>
                <w:sz w:val="14"/>
              </w:rPr>
              <w:t>-</w:t>
            </w:r>
          </w:p>
        </w:tc>
      </w:tr>
      <w:tr>
        <w:trPr>
          <w:trHeight w:hRule="exact" w:val="180"/>
        </w:trPr>
        <w:tc>
          <w:tcPr>
            <w:tcW w:type="dxa" w:w="2098"/>
            <w:tcBorders/>
            <w:tcMar>
              <w:start w:w="0" w:type="dxa"/>
              <w:end w:w="0" w:type="dxa"/>
            </w:tcMar>
          </w:tcPr>
          <w:p>
            <w:pPr>
              <w:autoSpaceDN w:val="0"/>
              <w:autoSpaceDE w:val="0"/>
              <w:widowControl/>
              <w:spacing w:line="138" w:lineRule="exact" w:before="42" w:after="0"/>
              <w:ind w:left="0" w:right="982" w:firstLine="0"/>
              <w:jc w:val="right"/>
            </w:pPr>
            <w:r>
              <w:rPr>
                <w:rFonts w:ascii="黑体" w:hAnsi="黑体" w:eastAsia="黑体"/>
                <w:b w:val="0"/>
                <w:i w:val="0"/>
                <w:color w:val="000000"/>
                <w:sz w:val="14"/>
              </w:rPr>
              <w:t>投资损益</w:t>
            </w:r>
          </w:p>
        </w:tc>
        <w:tc>
          <w:tcPr>
            <w:tcW w:type="dxa" w:w="1162"/>
            <w:tcBorders/>
            <w:tcMar>
              <w:start w:w="0" w:type="dxa"/>
              <w:end w:w="0" w:type="dxa"/>
            </w:tcMar>
          </w:tcPr>
          <w:p>
            <w:pPr>
              <w:autoSpaceDN w:val="0"/>
              <w:autoSpaceDE w:val="0"/>
              <w:widowControl/>
              <w:spacing w:line="233" w:lineRule="auto" w:before="24"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24" w:after="0"/>
              <w:ind w:left="0" w:right="144" w:firstLine="0"/>
              <w:jc w:val="right"/>
            </w:pPr>
            <w:r>
              <w:rPr>
                <w:rFonts w:ascii="Arial" w:hAnsi="Arial" w:eastAsia="Arial"/>
                <w:b w:val="0"/>
                <w:i w:val="0"/>
                <w:color w:val="000000"/>
                <w:sz w:val="14"/>
              </w:rPr>
              <w:t>10,570,333</w:t>
            </w:r>
          </w:p>
        </w:tc>
        <w:tc>
          <w:tcPr>
            <w:tcW w:type="dxa" w:w="1164"/>
            <w:tcBorders/>
            <w:tcMar>
              <w:start w:w="0" w:type="dxa"/>
              <w:end w:w="0" w:type="dxa"/>
            </w:tcMar>
          </w:tcPr>
          <w:p>
            <w:pPr>
              <w:autoSpaceDN w:val="0"/>
              <w:autoSpaceDE w:val="0"/>
              <w:widowControl/>
              <w:spacing w:line="233" w:lineRule="auto" w:before="24" w:after="0"/>
              <w:ind w:left="0" w:right="104" w:firstLine="0"/>
              <w:jc w:val="right"/>
            </w:pPr>
            <w:r>
              <w:rPr>
                <w:rFonts w:ascii="Arial" w:hAnsi="Arial" w:eastAsia="Arial"/>
                <w:b w:val="0"/>
                <w:i w:val="0"/>
                <w:color w:val="000000"/>
                <w:sz w:val="14"/>
              </w:rPr>
              <w:t xml:space="preserve">53,296,904 </w:t>
            </w:r>
          </w:p>
        </w:tc>
        <w:tc>
          <w:tcPr>
            <w:tcW w:type="dxa" w:w="10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62"/>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4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474"/>
            <w:tcBorders/>
            <w:tcMar>
              <w:start w:w="0" w:type="dxa"/>
              <w:end w:w="0" w:type="dxa"/>
            </w:tcMar>
          </w:tcPr>
          <w:p>
            <w:pPr>
              <w:autoSpaceDN w:val="0"/>
              <w:autoSpaceDE w:val="0"/>
              <w:widowControl/>
              <w:spacing w:line="233" w:lineRule="auto" w:before="24" w:after="0"/>
              <w:ind w:left="0" w:right="104" w:firstLine="0"/>
              <w:jc w:val="right"/>
            </w:pPr>
            <w:r>
              <w:rPr>
                <w:rFonts w:ascii="Arial" w:hAnsi="Arial" w:eastAsia="Arial"/>
                <w:b w:val="0"/>
                <w:i w:val="0"/>
                <w:color w:val="000000"/>
                <w:sz w:val="14"/>
              </w:rPr>
              <w:t xml:space="preserve">- </w:t>
            </w:r>
          </w:p>
        </w:tc>
        <w:tc>
          <w:tcPr>
            <w:tcW w:type="dxa" w:w="1106"/>
            <w:tcBorders/>
            <w:tcMar>
              <w:start w:w="0" w:type="dxa"/>
              <w:end w:w="0" w:type="dxa"/>
            </w:tcMar>
          </w:tcPr>
          <w:p>
            <w:pPr>
              <w:autoSpaceDN w:val="0"/>
              <w:autoSpaceDE w:val="0"/>
              <w:widowControl/>
              <w:spacing w:line="233" w:lineRule="auto" w:before="24" w:after="0"/>
              <w:ind w:left="218" w:right="0" w:firstLine="0"/>
              <w:jc w:val="left"/>
            </w:pPr>
            <w:r>
              <w:rPr>
                <w:rFonts w:ascii="Arial" w:hAnsi="Arial" w:eastAsia="Arial"/>
                <w:b w:val="0"/>
                <w:i w:val="0"/>
                <w:color w:val="000000"/>
                <w:sz w:val="14"/>
              </w:rPr>
              <w:t xml:space="preserve">(63,867,237 ) </w:t>
            </w:r>
          </w:p>
        </w:tc>
        <w:tc>
          <w:tcPr>
            <w:tcW w:type="dxa" w:w="1160"/>
            <w:tcBorders/>
            <w:tcMar>
              <w:start w:w="0" w:type="dxa"/>
              <w:end w:w="0" w:type="dxa"/>
            </w:tcMar>
          </w:tcPr>
          <w:p>
            <w:pPr>
              <w:autoSpaceDN w:val="0"/>
              <w:autoSpaceDE w:val="0"/>
              <w:widowControl/>
              <w:spacing w:line="233" w:lineRule="auto" w:before="24" w:after="0"/>
              <w:ind w:left="0" w:right="82" w:firstLine="0"/>
              <w:jc w:val="right"/>
            </w:pPr>
            <w:r>
              <w:rPr>
                <w:rFonts w:ascii="Arial" w:hAnsi="Arial" w:eastAsia="Arial"/>
                <w:b w:val="0"/>
                <w:i w:val="0"/>
                <w:color w:val="000000"/>
                <w:sz w:val="14"/>
              </w:rPr>
              <w:t>-</w:t>
            </w:r>
          </w:p>
        </w:tc>
      </w:tr>
      <w:tr>
        <w:trPr>
          <w:trHeight w:hRule="exact" w:val="214"/>
        </w:trPr>
        <w:tc>
          <w:tcPr>
            <w:tcW w:type="dxa" w:w="2098"/>
            <w:tcBorders/>
            <w:tcMar>
              <w:start w:w="0" w:type="dxa"/>
              <w:end w:w="0" w:type="dxa"/>
            </w:tcMar>
          </w:tcPr>
          <w:p>
            <w:pPr>
              <w:autoSpaceDN w:val="0"/>
              <w:autoSpaceDE w:val="0"/>
              <w:widowControl/>
              <w:spacing w:line="138" w:lineRule="exact" w:before="42" w:after="0"/>
              <w:ind w:left="0" w:right="420" w:firstLine="0"/>
              <w:jc w:val="right"/>
            </w:pPr>
            <w:r>
              <w:rPr>
                <w:rFonts w:ascii="黑体" w:hAnsi="黑体" w:eastAsia="黑体"/>
                <w:b w:val="0"/>
                <w:i w:val="0"/>
                <w:color w:val="000000"/>
                <w:sz w:val="14"/>
              </w:rPr>
              <w:t>公允价值变动损益</w:t>
            </w:r>
          </w:p>
        </w:tc>
        <w:tc>
          <w:tcPr>
            <w:tcW w:type="dxa" w:w="1162"/>
            <w:tcBorders/>
            <w:tcMar>
              <w:start w:w="0" w:type="dxa"/>
              <w:end w:w="0" w:type="dxa"/>
            </w:tcMar>
          </w:tcPr>
          <w:p>
            <w:pPr>
              <w:autoSpaceDN w:val="0"/>
              <w:autoSpaceDE w:val="0"/>
              <w:widowControl/>
              <w:spacing w:line="233" w:lineRule="auto" w:before="46"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46" w:after="0"/>
              <w:ind w:left="0" w:right="58" w:firstLine="0"/>
              <w:jc w:val="right"/>
            </w:pPr>
            <w:r>
              <w:rPr>
                <w:rFonts w:ascii="Arial" w:hAnsi="Arial" w:eastAsia="Arial"/>
                <w:b w:val="0"/>
                <w:i w:val="0"/>
                <w:color w:val="000000"/>
                <w:sz w:val="14"/>
              </w:rPr>
              <w:t xml:space="preserve">(59,028,192) </w:t>
            </w:r>
          </w:p>
        </w:tc>
        <w:tc>
          <w:tcPr>
            <w:tcW w:type="dxa" w:w="1164"/>
            <w:tcBorders/>
            <w:tcMar>
              <w:start w:w="0" w:type="dxa"/>
              <w:end w:w="0" w:type="dxa"/>
            </w:tcMar>
          </w:tcPr>
          <w:p>
            <w:pPr>
              <w:autoSpaceDN w:val="0"/>
              <w:autoSpaceDE w:val="0"/>
              <w:widowControl/>
              <w:spacing w:line="233" w:lineRule="auto" w:before="46" w:after="0"/>
              <w:ind w:left="0" w:right="104" w:firstLine="0"/>
              <w:jc w:val="right"/>
            </w:pPr>
            <w:r>
              <w:rPr>
                <w:rFonts w:ascii="Arial" w:hAnsi="Arial" w:eastAsia="Arial"/>
                <w:b w:val="0"/>
                <w:i w:val="0"/>
                <w:color w:val="000000"/>
                <w:sz w:val="14"/>
              </w:rPr>
              <w:t xml:space="preserve">3,941,373 </w:t>
            </w:r>
          </w:p>
        </w:tc>
        <w:tc>
          <w:tcPr>
            <w:tcW w:type="dxa" w:w="102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4"/>
              </w:rPr>
              <w:t>-</w:t>
            </w:r>
          </w:p>
        </w:tc>
        <w:tc>
          <w:tcPr>
            <w:tcW w:type="dxa" w:w="1162"/>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4"/>
              </w:rPr>
              <w:t>-</w:t>
            </w:r>
          </w:p>
        </w:tc>
        <w:tc>
          <w:tcPr>
            <w:tcW w:type="dxa" w:w="1446"/>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4"/>
              </w:rPr>
              <w:t>-</w:t>
            </w:r>
          </w:p>
        </w:tc>
        <w:tc>
          <w:tcPr>
            <w:tcW w:type="dxa" w:w="1474"/>
            <w:tcBorders/>
            <w:tcMar>
              <w:start w:w="0" w:type="dxa"/>
              <w:end w:w="0" w:type="dxa"/>
            </w:tcMar>
          </w:tcPr>
          <w:p>
            <w:pPr>
              <w:autoSpaceDN w:val="0"/>
              <w:autoSpaceDE w:val="0"/>
              <w:widowControl/>
              <w:spacing w:line="233" w:lineRule="auto" w:before="46" w:after="0"/>
              <w:ind w:left="0" w:right="104" w:firstLine="0"/>
              <w:jc w:val="right"/>
            </w:pPr>
            <w:r>
              <w:rPr>
                <w:rFonts w:ascii="Arial" w:hAnsi="Arial" w:eastAsia="Arial"/>
                <w:b w:val="0"/>
                <w:i w:val="0"/>
                <w:color w:val="000000"/>
                <w:sz w:val="14"/>
              </w:rPr>
              <w:t xml:space="preserve">- </w:t>
            </w:r>
          </w:p>
        </w:tc>
        <w:tc>
          <w:tcPr>
            <w:tcW w:type="dxa" w:w="1106"/>
            <w:tcBorders/>
            <w:tcMar>
              <w:start w:w="0" w:type="dxa"/>
              <w:end w:w="0" w:type="dxa"/>
            </w:tcMar>
          </w:tcPr>
          <w:p>
            <w:pPr>
              <w:autoSpaceDN w:val="0"/>
              <w:autoSpaceDE w:val="0"/>
              <w:widowControl/>
              <w:spacing w:line="233" w:lineRule="auto" w:before="46" w:after="0"/>
              <w:ind w:left="264" w:right="0" w:firstLine="0"/>
              <w:jc w:val="left"/>
            </w:pPr>
            <w:r>
              <w:rPr>
                <w:rFonts w:ascii="Arial" w:hAnsi="Arial" w:eastAsia="Arial"/>
                <w:b w:val="0"/>
                <w:i w:val="0"/>
                <w:color w:val="000000"/>
                <w:sz w:val="14"/>
              </w:rPr>
              <w:t xml:space="preserve">55,086,819 </w:t>
            </w:r>
          </w:p>
        </w:tc>
        <w:tc>
          <w:tcPr>
            <w:tcW w:type="dxa" w:w="1160"/>
            <w:tcBorders/>
            <w:tcMar>
              <w:start w:w="0" w:type="dxa"/>
              <w:end w:w="0" w:type="dxa"/>
            </w:tcMar>
          </w:tcPr>
          <w:p>
            <w:pPr>
              <w:autoSpaceDN w:val="0"/>
              <w:autoSpaceDE w:val="0"/>
              <w:widowControl/>
              <w:spacing w:line="233" w:lineRule="auto" w:before="46" w:after="0"/>
              <w:ind w:left="0" w:right="82" w:firstLine="0"/>
              <w:jc w:val="right"/>
            </w:pPr>
            <w:r>
              <w:rPr>
                <w:rFonts w:ascii="Arial" w:hAnsi="Arial" w:eastAsia="Arial"/>
                <w:b w:val="0"/>
                <w:i w:val="0"/>
                <w:color w:val="000000"/>
                <w:sz w:val="14"/>
              </w:rPr>
              <w:t>-</w:t>
            </w:r>
          </w:p>
        </w:tc>
      </w:tr>
      <w:tr>
        <w:trPr>
          <w:trHeight w:hRule="exact" w:val="228"/>
        </w:trPr>
        <w:tc>
          <w:tcPr>
            <w:tcW w:type="dxa" w:w="2098"/>
            <w:tcBorders/>
            <w:tcMar>
              <w:start w:w="0" w:type="dxa"/>
              <w:end w:w="0" w:type="dxa"/>
            </w:tcMar>
          </w:tcPr>
          <w:p>
            <w:pPr>
              <w:autoSpaceDN w:val="0"/>
              <w:autoSpaceDE w:val="0"/>
              <w:widowControl/>
              <w:spacing w:line="138" w:lineRule="exact" w:before="10" w:after="0"/>
              <w:ind w:left="0" w:right="1260" w:firstLine="0"/>
              <w:jc w:val="right"/>
            </w:pPr>
            <w:r>
              <w:rPr>
                <w:rFonts w:ascii="黑体" w:hAnsi="黑体" w:eastAsia="黑体"/>
                <w:b w:val="0"/>
                <w:i w:val="0"/>
                <w:color w:val="000000"/>
                <w:sz w:val="14"/>
              </w:rPr>
              <w:t>其他</w:t>
            </w:r>
          </w:p>
        </w:tc>
        <w:tc>
          <w:tcPr>
            <w:tcW w:type="dxa" w:w="1162"/>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2" w:after="0"/>
              <w:ind w:left="0" w:right="140" w:firstLine="0"/>
              <w:jc w:val="right"/>
            </w:pPr>
            <w:r>
              <w:rPr>
                <w:rFonts w:ascii="Arial" w:hAnsi="Arial" w:eastAsia="Arial"/>
                <w:b w:val="0"/>
                <w:i w:val="0"/>
                <w:color w:val="000000"/>
                <w:sz w:val="14"/>
              </w:rPr>
              <w:t>-</w:t>
            </w:r>
          </w:p>
        </w:tc>
        <w:tc>
          <w:tcPr>
            <w:tcW w:type="dxa" w:w="1164"/>
            <w:tcBorders/>
            <w:tcMar>
              <w:start w:w="0" w:type="dxa"/>
              <w:end w:w="0" w:type="dxa"/>
            </w:tcMar>
          </w:tcPr>
          <w:p>
            <w:pPr>
              <w:autoSpaceDN w:val="0"/>
              <w:autoSpaceDE w:val="0"/>
              <w:widowControl/>
              <w:spacing w:line="233" w:lineRule="auto" w:before="12" w:after="0"/>
              <w:ind w:left="0" w:right="104" w:firstLine="0"/>
              <w:jc w:val="right"/>
            </w:pPr>
            <w:r>
              <w:rPr>
                <w:rFonts w:ascii="Arial" w:hAnsi="Arial" w:eastAsia="Arial"/>
                <w:b w:val="0"/>
                <w:i w:val="0"/>
                <w:color w:val="000000"/>
                <w:sz w:val="14"/>
              </w:rPr>
              <w:t xml:space="preserve">- </w:t>
            </w:r>
          </w:p>
        </w:tc>
        <w:tc>
          <w:tcPr>
            <w:tcW w:type="dxa" w:w="102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162"/>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446"/>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474"/>
            <w:tcBorders/>
            <w:tcMar>
              <w:start w:w="0" w:type="dxa"/>
              <w:end w:w="0" w:type="dxa"/>
            </w:tcMar>
          </w:tcPr>
          <w:p>
            <w:pPr>
              <w:autoSpaceDN w:val="0"/>
              <w:autoSpaceDE w:val="0"/>
              <w:widowControl/>
              <w:spacing w:line="233" w:lineRule="auto" w:before="12" w:after="0"/>
              <w:ind w:left="0" w:right="104" w:firstLine="0"/>
              <w:jc w:val="right"/>
            </w:pPr>
            <w:r>
              <w:rPr>
                <w:rFonts w:ascii="Arial" w:hAnsi="Arial" w:eastAsia="Arial"/>
                <w:b w:val="0"/>
                <w:i w:val="0"/>
                <w:color w:val="000000"/>
                <w:sz w:val="14"/>
              </w:rPr>
              <w:t xml:space="preserve">18,758,104 </w:t>
            </w:r>
          </w:p>
        </w:tc>
        <w:tc>
          <w:tcPr>
            <w:tcW w:type="dxa" w:w="1106"/>
            <w:tcBorders/>
            <w:tcMar>
              <w:start w:w="0" w:type="dxa"/>
              <w:end w:w="0" w:type="dxa"/>
            </w:tcMar>
          </w:tcPr>
          <w:p>
            <w:pPr>
              <w:autoSpaceDN w:val="0"/>
              <w:autoSpaceDE w:val="0"/>
              <w:widowControl/>
              <w:spacing w:line="233" w:lineRule="auto" w:before="12" w:after="0"/>
              <w:ind w:left="218" w:right="0" w:firstLine="0"/>
              <w:jc w:val="left"/>
            </w:pPr>
            <w:r>
              <w:rPr>
                <w:rFonts w:ascii="Arial" w:hAnsi="Arial" w:eastAsia="Arial"/>
                <w:b w:val="0"/>
                <w:i w:val="0"/>
                <w:color w:val="000000"/>
                <w:sz w:val="14"/>
              </w:rPr>
              <w:t xml:space="preserve">(18,758,104 ) </w:t>
            </w:r>
          </w:p>
        </w:tc>
        <w:tc>
          <w:tcPr>
            <w:tcW w:type="dxa" w:w="1160"/>
            <w:tcBorders/>
            <w:tcMar>
              <w:start w:w="0" w:type="dxa"/>
              <w:end w:w="0" w:type="dxa"/>
            </w:tcMar>
          </w:tcPr>
          <w:p>
            <w:pPr>
              <w:autoSpaceDN w:val="0"/>
              <w:autoSpaceDE w:val="0"/>
              <w:widowControl/>
              <w:spacing w:line="233" w:lineRule="auto" w:before="12" w:after="0"/>
              <w:ind w:left="0" w:right="82" w:firstLine="0"/>
              <w:jc w:val="right"/>
            </w:pPr>
            <w:r>
              <w:rPr>
                <w:rFonts w:ascii="Arial" w:hAnsi="Arial" w:eastAsia="Arial"/>
                <w:b w:val="0"/>
                <w:i w:val="0"/>
                <w:color w:val="000000"/>
                <w:sz w:val="14"/>
              </w:rPr>
              <w:t>-</w:t>
            </w:r>
          </w:p>
        </w:tc>
      </w:tr>
    </w:tbl>
    <w:p>
      <w:pPr>
        <w:autoSpaceDN w:val="0"/>
        <w:autoSpaceDE w:val="0"/>
        <w:widowControl/>
        <w:spacing w:line="233" w:lineRule="auto" w:before="3696" w:after="0"/>
        <w:ind w:left="0" w:right="0" w:firstLine="0"/>
        <w:jc w:val="center"/>
      </w:pPr>
      <w:r>
        <w:rPr>
          <w:rFonts w:ascii="Arial" w:hAnsi="Arial" w:eastAsia="Arial"/>
          <w:b w:val="0"/>
          <w:i w:val="0"/>
          <w:color w:val="000000"/>
          <w:sz w:val="20"/>
        </w:rPr>
        <w:t xml:space="preserve">260 </w:t>
      </w:r>
    </w:p>
    <w:p>
      <w:pPr>
        <w:sectPr>
          <w:pgSz w:w="16841" w:h="11899"/>
          <w:pgMar w:top="1166" w:right="1318" w:bottom="360" w:left="1440" w:header="720" w:footer="720" w:gutter="0"/>
          <w:cols/>
          <w:docGrid w:linePitch="360"/>
        </w:sectPr>
      </w:pPr>
    </w:p>
    <w:p>
      <w:pPr>
        <w:autoSpaceDN w:val="0"/>
        <w:autoSpaceDE w:val="0"/>
        <w:widowControl/>
        <w:spacing w:line="220" w:lineRule="exact" w:before="0" w:after="900"/>
        <w:ind w:left="0" w:right="0"/>
      </w:pPr>
    </w:p>
    <w:p>
      <w:pPr>
        <w:autoSpaceDN w:val="0"/>
        <w:tabs>
          <w:tab w:pos="728" w:val="left"/>
        </w:tabs>
        <w:autoSpaceDE w:val="0"/>
        <w:widowControl/>
        <w:spacing w:line="220" w:lineRule="exact" w:before="0" w:after="0"/>
        <w:ind w:left="0" w:right="0" w:firstLine="0"/>
        <w:jc w:val="left"/>
      </w:pPr>
      <w:r>
        <w:rPr>
          <w:rFonts w:ascii="黑体" w:hAnsi="黑体" w:eastAsia="黑体"/>
          <w:b w:val="0"/>
          <w:i w:val="0"/>
          <w:color w:val="000000"/>
          <w:sz w:val="22"/>
        </w:rPr>
        <w:t>九、</w:t>
      </w:r>
      <w:r>
        <w:tab/>
      </w:r>
      <w:r>
        <w:rPr>
          <w:rFonts w:ascii="黑体" w:hAnsi="黑体" w:eastAsia="黑体"/>
          <w:b w:val="0"/>
          <w:i w:val="0"/>
          <w:color w:val="000000"/>
          <w:sz w:val="22"/>
        </w:rPr>
        <w:t>分部报告（续）</w:t>
      </w:r>
    </w:p>
    <w:p>
      <w:pPr>
        <w:autoSpaceDN w:val="0"/>
        <w:autoSpaceDE w:val="0"/>
        <w:widowControl/>
        <w:spacing w:line="246" w:lineRule="exact" w:before="310" w:after="152"/>
        <w:ind w:left="0" w:right="0" w:firstLine="0"/>
        <w:jc w:val="left"/>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Arial" w:hAnsi="Arial" w:eastAsia="Arial"/>
          <w:b w:val="0"/>
          <w:i w:val="0"/>
          <w:color w:val="000000"/>
          <w:sz w:val="22"/>
        </w:rPr>
        <w:t xml:space="preserve"> 2024</w:t>
      </w:r>
      <w:r>
        <w:rPr>
          <w:rFonts w:ascii="黑体" w:hAnsi="黑体" w:eastAsia="黑体"/>
          <w:b w:val="0"/>
          <w:i w:val="0"/>
          <w:color w:val="000000"/>
          <w:sz w:val="22"/>
        </w:rPr>
        <w:t>年度及截至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日分部信息（续）</w:t>
      </w:r>
    </w:p>
    <w:tbl>
      <w:tblPr>
        <w:tblW w:type="auto" w:w="0"/>
        <w:tblLayout w:type="fixed"/>
        <w:tblLook w:firstColumn="1" w:firstRow="1" w:lastColumn="0" w:lastRow="0" w:noHBand="0" w:noVBand="1" w:val="04A0"/>
        <w:tblInd w:w="0.0" w:type="dxa"/>
      </w:tblPr>
      <w:tblGrid>
        <w:gridCol w:w="1083"/>
        <w:gridCol w:w="1083"/>
        <w:gridCol w:w="1083"/>
        <w:gridCol w:w="1083"/>
        <w:gridCol w:w="1083"/>
        <w:gridCol w:w="1083"/>
        <w:gridCol w:w="1083"/>
        <w:gridCol w:w="1083"/>
        <w:gridCol w:w="1083"/>
        <w:gridCol w:w="1083"/>
        <w:gridCol w:w="1083"/>
        <w:gridCol w:w="1083"/>
        <w:gridCol w:w="1083"/>
      </w:tblGrid>
      <w:tr>
        <w:trPr>
          <w:trHeight w:hRule="exact" w:val="212"/>
        </w:trPr>
        <w:tc>
          <w:tcPr>
            <w:tcW w:type="dxa" w:w="2098"/>
            <w:vMerge w:val="restart"/>
            <w:tcBorders>
              <w:bottom w:sz="4.0" w:val="single" w:color="#000000"/>
            </w:tcBorders>
            <w:tcMar>
              <w:start w:w="0" w:type="dxa"/>
              <w:end w:w="0" w:type="dxa"/>
            </w:tcMar>
            <w:tcMar>
              <w:start w:w="0" w:type="dxa"/>
              <w:end w:w="0" w:type="dxa"/>
            </w:tcMar>
          </w:tcPr>
          <w:p/>
        </w:tc>
        <w:tc>
          <w:tcPr>
            <w:tcW w:type="dxa" w:w="1020"/>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4" w:after="0"/>
              <w:ind w:left="180" w:right="0" w:firstLine="0"/>
              <w:jc w:val="left"/>
            </w:pPr>
            <w:r>
              <w:rPr>
                <w:rFonts w:ascii="黑体" w:hAnsi="黑体" w:eastAsia="黑体"/>
                <w:b w:val="0"/>
                <w:i w:val="0"/>
                <w:color w:val="000000"/>
                <w:sz w:val="14"/>
              </w:rPr>
              <w:t>证券经纪业务</w:t>
            </w:r>
          </w:p>
        </w:tc>
        <w:tc>
          <w:tcPr>
            <w:tcW w:type="dxa" w:w="1302"/>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40" w:lineRule="exact" w:before="244" w:after="0"/>
              <w:ind w:left="0" w:right="0" w:firstLine="0"/>
              <w:jc w:val="center"/>
            </w:pPr>
            <w:r>
              <w:rPr>
                <w:rFonts w:ascii="黑体" w:hAnsi="黑体" w:eastAsia="黑体"/>
                <w:b w:val="0"/>
                <w:i w:val="0"/>
                <w:color w:val="000000"/>
                <w:sz w:val="14"/>
              </w:rPr>
              <w:t>投资银行业务</w:t>
            </w:r>
          </w:p>
        </w:tc>
        <w:tc>
          <w:tcPr>
            <w:tcW w:type="dxa" w:w="1108"/>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4" w:after="0"/>
              <w:ind w:left="0" w:right="0" w:firstLine="0"/>
              <w:jc w:val="center"/>
            </w:pPr>
            <w:r>
              <w:rPr>
                <w:rFonts w:ascii="黑体" w:hAnsi="黑体" w:eastAsia="黑体"/>
                <w:b w:val="0"/>
                <w:i w:val="0"/>
                <w:color w:val="000000"/>
                <w:sz w:val="14"/>
              </w:rPr>
              <w:t>固定收益业务</w:t>
            </w:r>
          </w:p>
        </w:tc>
        <w:tc>
          <w:tcPr>
            <w:tcW w:type="dxa" w:w="1164"/>
            <w:tcBorders/>
            <w:tcMar>
              <w:start w:w="0" w:type="dxa"/>
              <w:end w:w="0" w:type="dxa"/>
            </w:tcMar>
          </w:tcPr>
          <w:p>
            <w:pPr>
              <w:autoSpaceDN w:val="0"/>
              <w:autoSpaceDE w:val="0"/>
              <w:widowControl/>
              <w:spacing w:line="140" w:lineRule="exact" w:before="60" w:after="0"/>
              <w:ind w:left="42" w:right="0" w:firstLine="0"/>
              <w:jc w:val="left"/>
            </w:pPr>
            <w:r>
              <w:rPr>
                <w:rFonts w:ascii="黑体" w:hAnsi="黑体" w:eastAsia="黑体"/>
                <w:b w:val="0"/>
                <w:i w:val="0"/>
                <w:color w:val="000000"/>
                <w:sz w:val="14"/>
              </w:rPr>
              <w:t>股票等其他自营</w:t>
            </w:r>
          </w:p>
        </w:tc>
        <w:tc>
          <w:tcPr>
            <w:tcW w:type="dxa" w:w="1162"/>
            <w:tcBorders/>
            <w:tcMar>
              <w:start w:w="0" w:type="dxa"/>
              <w:end w:w="0" w:type="dxa"/>
            </w:tcMar>
          </w:tcPr>
          <w:p>
            <w:pPr>
              <w:autoSpaceDN w:val="0"/>
              <w:autoSpaceDE w:val="0"/>
              <w:widowControl/>
              <w:spacing w:line="140" w:lineRule="exact" w:before="60" w:after="0"/>
              <w:ind w:left="42" w:right="0" w:firstLine="0"/>
              <w:jc w:val="left"/>
            </w:pPr>
            <w:r>
              <w:rPr>
                <w:rFonts w:ascii="黑体" w:hAnsi="黑体" w:eastAsia="黑体"/>
                <w:b w:val="0"/>
                <w:i w:val="0"/>
                <w:color w:val="000000"/>
                <w:sz w:val="14"/>
              </w:rPr>
              <w:t>受托资产管理业</w:t>
            </w: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4" w:after="0"/>
              <w:ind w:left="0" w:right="0" w:firstLine="0"/>
              <w:jc w:val="center"/>
            </w:pPr>
            <w:r>
              <w:rPr>
                <w:rFonts w:ascii="黑体" w:hAnsi="黑体" w:eastAsia="黑体"/>
                <w:b w:val="0"/>
                <w:i w:val="0"/>
                <w:color w:val="000000"/>
                <w:sz w:val="14"/>
              </w:rPr>
              <w:t>期货经纪业务</w:t>
            </w:r>
          </w:p>
        </w:tc>
        <w:tc>
          <w:tcPr>
            <w:tcW w:type="dxa" w:w="1446"/>
            <w:tcBorders/>
            <w:tcMar>
              <w:start w:w="0" w:type="dxa"/>
              <w:end w:w="0" w:type="dxa"/>
            </w:tcMar>
          </w:tcPr>
          <w:p>
            <w:pPr>
              <w:autoSpaceDN w:val="0"/>
              <w:autoSpaceDE w:val="0"/>
              <w:widowControl/>
              <w:spacing w:line="140" w:lineRule="exact" w:before="60" w:after="0"/>
              <w:ind w:left="44" w:right="0" w:firstLine="0"/>
              <w:jc w:val="left"/>
            </w:pPr>
            <w:r>
              <w:rPr>
                <w:rFonts w:ascii="黑体" w:hAnsi="黑体" w:eastAsia="黑体"/>
                <w:b w:val="0"/>
                <w:i w:val="0"/>
                <w:color w:val="000000"/>
                <w:sz w:val="14"/>
              </w:rPr>
              <w:t>大宗商品交易及风险</w:t>
            </w:r>
          </w:p>
        </w:tc>
        <w:tc>
          <w:tcPr>
            <w:tcW w:type="dxa" w:w="1192"/>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4" w:after="0"/>
              <w:ind w:left="0" w:right="0" w:firstLine="0"/>
              <w:jc w:val="center"/>
            </w:pPr>
            <w:r>
              <w:rPr>
                <w:rFonts w:ascii="黑体" w:hAnsi="黑体" w:eastAsia="黑体"/>
                <w:b w:val="0"/>
                <w:i w:val="0"/>
                <w:color w:val="000000"/>
                <w:sz w:val="14"/>
              </w:rPr>
              <w:t>未分配项目及其他</w:t>
            </w:r>
          </w:p>
        </w:tc>
        <w:tc>
          <w:tcPr>
            <w:tcW w:type="dxa" w:w="1266"/>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40" w:lineRule="exact" w:before="244" w:after="0"/>
              <w:ind w:left="0" w:right="164" w:firstLine="0"/>
              <w:jc w:val="right"/>
            </w:pPr>
            <w:r>
              <w:rPr>
                <w:rFonts w:ascii="黑体" w:hAnsi="黑体" w:eastAsia="黑体"/>
                <w:b w:val="0"/>
                <w:i w:val="0"/>
                <w:color w:val="000000"/>
                <w:sz w:val="14"/>
              </w:rPr>
              <w:t>分部间抵销</w:t>
            </w:r>
          </w:p>
        </w:tc>
        <w:tc>
          <w:tcPr>
            <w:tcW w:type="dxa" w:w="1140"/>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4" w:after="0"/>
              <w:ind w:left="0" w:right="84" w:firstLine="0"/>
              <w:jc w:val="right"/>
            </w:pPr>
            <w:r>
              <w:rPr>
                <w:rFonts w:ascii="黑体" w:hAnsi="黑体" w:eastAsia="黑体"/>
                <w:b w:val="0"/>
                <w:i w:val="0"/>
                <w:color w:val="000000"/>
                <w:sz w:val="14"/>
              </w:rPr>
              <w:t>合计</w:t>
            </w:r>
          </w:p>
        </w:tc>
      </w:tr>
      <w:tr>
        <w:trPr>
          <w:trHeight w:hRule="exact" w:val="196"/>
        </w:trPr>
        <w:tc>
          <w:tcPr>
            <w:tcW w:type="dxa" w:w="1083"/>
            <w:vMerge/>
            <w:tcBorders>
              <w:bottom w:sz="4.0" w:val="single" w:color="#000000"/>
            </w:tcBorders>
          </w:tcPr>
          <w:p/>
        </w:tc>
        <w:tc>
          <w:tcPr>
            <w:tcW w:type="dxa" w:w="1083"/>
            <w:vMerge/>
            <w:tcBorders>
              <w:bottom w:sz="4.0" w:val="single" w:color="#000000"/>
            </w:tcBorders>
          </w:tcPr>
          <w:p/>
        </w:tc>
        <w:tc>
          <w:tcPr>
            <w:tcW w:type="dxa" w:w="2166"/>
            <w:gridSpan w:val="2"/>
            <w:vMerge/>
            <w:tcBorders>
              <w:bottom w:sz="4.0" w:val="single" w:color="#000000"/>
            </w:tcBorders>
          </w:tcPr>
          <w:p/>
        </w:tc>
        <w:tc>
          <w:tcPr>
            <w:tcW w:type="dxa" w:w="1083"/>
            <w:vMerge/>
            <w:tcBorders>
              <w:bottom w:sz="4.0" w:val="single" w:color="#000000"/>
            </w:tcBorders>
          </w:tcPr>
          <w:p/>
        </w:tc>
        <w:tc>
          <w:tcPr>
            <w:tcW w:type="dxa" w:w="1164"/>
            <w:tcBorders>
              <w:bottom w:sz="4.0" w:val="single" w:color="#000000"/>
            </w:tcBorders>
            <w:tcMar>
              <w:start w:w="0" w:type="dxa"/>
              <w:end w:w="0" w:type="dxa"/>
            </w:tcMar>
          </w:tcPr>
          <w:p>
            <w:pPr>
              <w:autoSpaceDN w:val="0"/>
              <w:autoSpaceDE w:val="0"/>
              <w:widowControl/>
              <w:spacing w:line="140" w:lineRule="exact" w:before="32" w:after="0"/>
              <w:ind w:left="0" w:right="146" w:firstLine="0"/>
              <w:jc w:val="right"/>
            </w:pPr>
            <w:r>
              <w:rPr>
                <w:rFonts w:ascii="黑体" w:hAnsi="黑体" w:eastAsia="黑体"/>
                <w:b w:val="0"/>
                <w:i w:val="0"/>
                <w:color w:val="000000"/>
                <w:sz w:val="14"/>
              </w:rPr>
              <w:t>投资业务</w:t>
            </w:r>
          </w:p>
        </w:tc>
        <w:tc>
          <w:tcPr>
            <w:tcW w:type="dxa" w:w="1162"/>
            <w:tcBorders>
              <w:bottom w:sz="4.0" w:val="single" w:color="#000000"/>
            </w:tcBorders>
            <w:tcMar>
              <w:start w:w="0" w:type="dxa"/>
              <w:end w:w="0" w:type="dxa"/>
            </w:tcMar>
          </w:tcPr>
          <w:p>
            <w:pPr>
              <w:autoSpaceDN w:val="0"/>
              <w:autoSpaceDE w:val="0"/>
              <w:widowControl/>
              <w:spacing w:line="140" w:lineRule="exact" w:before="32" w:after="0"/>
              <w:ind w:left="0" w:right="142" w:firstLine="0"/>
              <w:jc w:val="right"/>
            </w:pPr>
            <w:r>
              <w:rPr>
                <w:rFonts w:ascii="黑体" w:hAnsi="黑体" w:eastAsia="黑体"/>
                <w:b w:val="0"/>
                <w:i w:val="0"/>
                <w:color w:val="000000"/>
                <w:sz w:val="14"/>
              </w:rPr>
              <w:t>务</w:t>
            </w:r>
          </w:p>
        </w:tc>
        <w:tc>
          <w:tcPr>
            <w:tcW w:type="dxa" w:w="1083"/>
            <w:vMerge/>
            <w:tcBorders>
              <w:bottom w:sz="4.0" w:val="single" w:color="#000000"/>
            </w:tcBorders>
          </w:tcPr>
          <w:p/>
        </w:tc>
        <w:tc>
          <w:tcPr>
            <w:tcW w:type="dxa" w:w="1446"/>
            <w:tcBorders>
              <w:bottom w:sz="4.0" w:val="single" w:color="#000000"/>
            </w:tcBorders>
            <w:tcMar>
              <w:start w:w="0" w:type="dxa"/>
              <w:end w:w="0" w:type="dxa"/>
            </w:tcMar>
          </w:tcPr>
          <w:p>
            <w:pPr>
              <w:autoSpaceDN w:val="0"/>
              <w:autoSpaceDE w:val="0"/>
              <w:widowControl/>
              <w:spacing w:line="140" w:lineRule="exact" w:before="32" w:after="0"/>
              <w:ind w:left="0" w:right="144" w:firstLine="0"/>
              <w:jc w:val="right"/>
            </w:pPr>
            <w:r>
              <w:rPr>
                <w:rFonts w:ascii="黑体" w:hAnsi="黑体" w:eastAsia="黑体"/>
                <w:b w:val="0"/>
                <w:i w:val="0"/>
                <w:color w:val="000000"/>
                <w:sz w:val="14"/>
              </w:rPr>
              <w:t>管理业务</w:t>
            </w:r>
          </w:p>
        </w:tc>
        <w:tc>
          <w:tcPr>
            <w:tcW w:type="dxa" w:w="1083"/>
            <w:vMerge/>
            <w:tcBorders>
              <w:bottom w:sz="4.0" w:val="single" w:color="#000000"/>
            </w:tcBorders>
          </w:tcPr>
          <w:p/>
        </w:tc>
        <w:tc>
          <w:tcPr>
            <w:tcW w:type="dxa" w:w="2166"/>
            <w:gridSpan w:val="2"/>
            <w:vMerge/>
            <w:tcBorders>
              <w:bottom w:sz="4.0" w:val="single" w:color="#000000"/>
            </w:tcBorders>
          </w:tcPr>
          <w:p/>
        </w:tc>
        <w:tc>
          <w:tcPr>
            <w:tcW w:type="dxa" w:w="1083"/>
            <w:vMerge/>
            <w:tcBorders>
              <w:bottom w:sz="4.0" w:val="single" w:color="#000000"/>
            </w:tcBorders>
          </w:tcPr>
          <w:p/>
        </w:tc>
      </w:tr>
      <w:tr>
        <w:trPr>
          <w:trHeight w:hRule="exact" w:val="359"/>
        </w:trPr>
        <w:tc>
          <w:tcPr>
            <w:tcW w:type="dxa" w:w="2098"/>
            <w:tcBorders>
              <w:top w:sz="4.0" w:val="single" w:color="#000000"/>
            </w:tcBorders>
            <w:tcMar>
              <w:start w:w="0" w:type="dxa"/>
              <w:end w:w="0" w:type="dxa"/>
            </w:tcMar>
          </w:tcPr>
          <w:p>
            <w:pPr>
              <w:autoSpaceDN w:val="0"/>
              <w:autoSpaceDE w:val="0"/>
              <w:widowControl/>
              <w:spacing w:line="140" w:lineRule="exact" w:before="180" w:after="0"/>
              <w:ind w:left="0" w:right="0" w:firstLine="0"/>
              <w:jc w:val="left"/>
            </w:pPr>
            <w:r>
              <w:rPr>
                <w:rFonts w:ascii="黑体" w:hAnsi="黑体" w:eastAsia="黑体"/>
                <w:b w:val="0"/>
                <w:i w:val="0"/>
                <w:color w:val="000000"/>
                <w:sz w:val="14"/>
              </w:rPr>
              <w:t>营业支出</w:t>
            </w:r>
          </w:p>
        </w:tc>
        <w:tc>
          <w:tcPr>
            <w:tcW w:type="dxa" w:w="2322"/>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186" w:after="0"/>
              <w:ind w:left="194" w:right="0" w:firstLine="0"/>
              <w:jc w:val="left"/>
            </w:pPr>
            <w:r>
              <w:rPr>
                <w:rFonts w:ascii="Arial" w:hAnsi="Arial" w:eastAsia="Arial"/>
                <w:b w:val="0"/>
                <w:i w:val="0"/>
                <w:color w:val="000000"/>
                <w:sz w:val="14"/>
              </w:rPr>
              <w:t xml:space="preserve">(689,292,488)  (351,573,889) </w:t>
            </w:r>
          </w:p>
        </w:tc>
        <w:tc>
          <w:tcPr>
            <w:tcW w:type="dxa" w:w="1108"/>
            <w:tcBorders>
              <w:top w:sz="4.0" w:val="single" w:color="#000000"/>
            </w:tcBorders>
            <w:tcMar>
              <w:start w:w="0" w:type="dxa"/>
              <w:end w:w="0" w:type="dxa"/>
            </w:tcMar>
          </w:tcPr>
          <w:p>
            <w:pPr>
              <w:autoSpaceDN w:val="0"/>
              <w:autoSpaceDE w:val="0"/>
              <w:widowControl/>
              <w:spacing w:line="233" w:lineRule="auto" w:before="186" w:after="0"/>
              <w:ind w:left="140" w:right="0" w:firstLine="0"/>
              <w:jc w:val="left"/>
            </w:pPr>
            <w:r>
              <w:rPr>
                <w:rFonts w:ascii="Arial" w:hAnsi="Arial" w:eastAsia="Arial"/>
                <w:b w:val="0"/>
                <w:i w:val="0"/>
                <w:color w:val="000000"/>
                <w:sz w:val="14"/>
              </w:rPr>
              <w:t xml:space="preserve">(423,172,154) </w:t>
            </w:r>
          </w:p>
        </w:tc>
        <w:tc>
          <w:tcPr>
            <w:tcW w:type="dxa" w:w="1164"/>
            <w:tcBorders>
              <w:top w:sz="4.0" w:val="single" w:color="#000000"/>
            </w:tcBorders>
            <w:tcMar>
              <w:start w:w="0" w:type="dxa"/>
              <w:end w:w="0" w:type="dxa"/>
            </w:tcMar>
          </w:tcPr>
          <w:p>
            <w:pPr>
              <w:autoSpaceDN w:val="0"/>
              <w:autoSpaceDE w:val="0"/>
              <w:widowControl/>
              <w:spacing w:line="233" w:lineRule="auto" w:before="186" w:after="0"/>
              <w:ind w:left="274" w:right="0" w:firstLine="0"/>
              <w:jc w:val="left"/>
            </w:pPr>
            <w:r>
              <w:rPr>
                <w:rFonts w:ascii="Arial" w:hAnsi="Arial" w:eastAsia="Arial"/>
                <w:b w:val="0"/>
                <w:i w:val="0"/>
                <w:color w:val="000000"/>
                <w:sz w:val="14"/>
              </w:rPr>
              <w:t xml:space="preserve">(58,256,838 ) </w:t>
            </w:r>
          </w:p>
        </w:tc>
        <w:tc>
          <w:tcPr>
            <w:tcW w:type="dxa" w:w="1162"/>
            <w:tcBorders>
              <w:top w:sz="4.0" w:val="single" w:color="#000000"/>
            </w:tcBorders>
            <w:tcMar>
              <w:start w:w="0" w:type="dxa"/>
              <w:end w:w="0" w:type="dxa"/>
            </w:tcMar>
          </w:tcPr>
          <w:p>
            <w:pPr>
              <w:autoSpaceDN w:val="0"/>
              <w:autoSpaceDE w:val="0"/>
              <w:widowControl/>
              <w:spacing w:line="233" w:lineRule="auto" w:before="186" w:after="0"/>
              <w:ind w:left="196" w:right="0" w:firstLine="0"/>
              <w:jc w:val="left"/>
            </w:pPr>
            <w:r>
              <w:rPr>
                <w:rFonts w:ascii="Arial" w:hAnsi="Arial" w:eastAsia="Arial"/>
                <w:b w:val="0"/>
                <w:i w:val="0"/>
                <w:color w:val="000000"/>
                <w:sz w:val="14"/>
              </w:rPr>
              <w:t xml:space="preserve">(158,075,323) </w:t>
            </w:r>
          </w:p>
        </w:tc>
        <w:tc>
          <w:tcPr>
            <w:tcW w:type="dxa" w:w="1162"/>
            <w:tcBorders>
              <w:top w:sz="4.0" w:val="single" w:color="#000000"/>
            </w:tcBorders>
            <w:tcMar>
              <w:start w:w="0" w:type="dxa"/>
              <w:end w:w="0" w:type="dxa"/>
            </w:tcMar>
          </w:tcPr>
          <w:p>
            <w:pPr>
              <w:autoSpaceDN w:val="0"/>
              <w:autoSpaceDE w:val="0"/>
              <w:widowControl/>
              <w:spacing w:line="233" w:lineRule="auto" w:before="186" w:after="0"/>
              <w:ind w:left="194" w:right="0" w:firstLine="0"/>
              <w:jc w:val="left"/>
            </w:pPr>
            <w:r>
              <w:rPr>
                <w:rFonts w:ascii="Arial" w:hAnsi="Arial" w:eastAsia="Arial"/>
                <w:b w:val="0"/>
                <w:i w:val="0"/>
                <w:color w:val="000000"/>
                <w:sz w:val="14"/>
              </w:rPr>
              <w:t xml:space="preserve">(165,278,344) </w:t>
            </w:r>
          </w:p>
        </w:tc>
        <w:tc>
          <w:tcPr>
            <w:tcW w:type="dxa" w:w="1446"/>
            <w:tcBorders>
              <w:top w:sz="4.0" w:val="single" w:color="#000000"/>
            </w:tcBorders>
            <w:tcMar>
              <w:start w:w="0" w:type="dxa"/>
              <w:end w:w="0" w:type="dxa"/>
            </w:tcMar>
          </w:tcPr>
          <w:p>
            <w:pPr>
              <w:autoSpaceDN w:val="0"/>
              <w:autoSpaceDE w:val="0"/>
              <w:widowControl/>
              <w:spacing w:line="233" w:lineRule="auto" w:before="186" w:after="0"/>
              <w:ind w:left="0" w:right="58" w:firstLine="0"/>
              <w:jc w:val="right"/>
            </w:pPr>
            <w:r>
              <w:rPr>
                <w:rFonts w:ascii="Arial" w:hAnsi="Arial" w:eastAsia="Arial"/>
                <w:b w:val="0"/>
                <w:i w:val="0"/>
                <w:color w:val="000000"/>
                <w:sz w:val="14"/>
              </w:rPr>
              <w:t xml:space="preserve">(222,602,499) </w:t>
            </w:r>
          </w:p>
        </w:tc>
        <w:tc>
          <w:tcPr>
            <w:tcW w:type="dxa" w:w="1398"/>
            <w:gridSpan w:val="2"/>
            <w:tcBorders>
              <w:top w:sz="4.0" w:val="single" w:color="#000000"/>
            </w:tcBorders>
            <w:tcMar>
              <w:start w:w="0" w:type="dxa"/>
              <w:end w:w="0" w:type="dxa"/>
            </w:tcMar>
            <w:tcMar>
              <w:start w:w="0" w:type="dxa"/>
              <w:end w:w="0" w:type="dxa"/>
            </w:tcMar>
          </w:tcPr>
          <w:p>
            <w:pPr>
              <w:autoSpaceDN w:val="0"/>
              <w:autoSpaceDE w:val="0"/>
              <w:widowControl/>
              <w:spacing w:line="233" w:lineRule="auto" w:before="186" w:after="0"/>
              <w:ind w:left="0" w:right="122" w:firstLine="0"/>
              <w:jc w:val="right"/>
            </w:pPr>
            <w:r>
              <w:rPr>
                <w:rFonts w:ascii="Arial" w:hAnsi="Arial" w:eastAsia="Arial"/>
                <w:b w:val="0"/>
                <w:i w:val="0"/>
                <w:color w:val="000000"/>
                <w:sz w:val="14"/>
              </w:rPr>
              <w:t xml:space="preserve">(292,922,313 ) </w:t>
            </w:r>
          </w:p>
        </w:tc>
        <w:tc>
          <w:tcPr>
            <w:tcW w:type="dxa" w:w="1060"/>
            <w:tcBorders>
              <w:top w:sz="4.0" w:val="single" w:color="#000000"/>
            </w:tcBorders>
            <w:tcMar>
              <w:start w:w="0" w:type="dxa"/>
              <w:end w:w="0" w:type="dxa"/>
            </w:tcMar>
          </w:tcPr>
          <w:p>
            <w:pPr>
              <w:autoSpaceDN w:val="0"/>
              <w:autoSpaceDE w:val="0"/>
              <w:widowControl/>
              <w:spacing w:line="233" w:lineRule="auto" w:before="186" w:after="0"/>
              <w:ind w:left="0" w:right="0" w:firstLine="0"/>
              <w:jc w:val="center"/>
            </w:pPr>
            <w:r>
              <w:rPr>
                <w:rFonts w:ascii="Arial" w:hAnsi="Arial" w:eastAsia="Arial"/>
                <w:b w:val="0"/>
                <w:i w:val="0"/>
                <w:color w:val="000000"/>
                <w:sz w:val="14"/>
              </w:rPr>
              <w:t xml:space="preserve">37,653,501 </w:t>
            </w:r>
          </w:p>
        </w:tc>
        <w:tc>
          <w:tcPr>
            <w:tcW w:type="dxa" w:w="1140"/>
            <w:tcBorders>
              <w:top w:sz="4.0" w:val="single" w:color="#000000"/>
            </w:tcBorders>
            <w:tcMar>
              <w:start w:w="0" w:type="dxa"/>
              <w:end w:w="0" w:type="dxa"/>
            </w:tcMar>
          </w:tcPr>
          <w:p>
            <w:pPr>
              <w:autoSpaceDN w:val="0"/>
              <w:autoSpaceDE w:val="0"/>
              <w:widowControl/>
              <w:spacing w:line="233" w:lineRule="auto" w:before="186" w:after="0"/>
              <w:ind w:left="116" w:right="0" w:firstLine="0"/>
              <w:jc w:val="left"/>
            </w:pPr>
            <w:r>
              <w:rPr>
                <w:rFonts w:ascii="Arial" w:hAnsi="Arial" w:eastAsia="Arial"/>
                <w:b w:val="0"/>
                <w:i w:val="0"/>
                <w:color w:val="000000"/>
                <w:sz w:val="14"/>
              </w:rPr>
              <w:t xml:space="preserve">(2,323,520,347) </w:t>
            </w:r>
          </w:p>
        </w:tc>
      </w:tr>
      <w:tr>
        <w:trPr>
          <w:trHeight w:hRule="exact" w:val="182"/>
        </w:trPr>
        <w:tc>
          <w:tcPr>
            <w:tcW w:type="dxa" w:w="2098"/>
            <w:tcBorders/>
            <w:tcMar>
              <w:start w:w="0" w:type="dxa"/>
              <w:end w:w="0" w:type="dxa"/>
            </w:tcMar>
          </w:tcPr>
          <w:p>
            <w:pPr>
              <w:autoSpaceDN w:val="0"/>
              <w:autoSpaceDE w:val="0"/>
              <w:widowControl/>
              <w:spacing w:line="140" w:lineRule="exact" w:before="8" w:after="0"/>
              <w:ind w:left="140" w:right="0" w:firstLine="0"/>
              <w:jc w:val="left"/>
            </w:pPr>
            <w:r>
              <w:rPr>
                <w:rFonts w:ascii="黑体" w:hAnsi="黑体" w:eastAsia="黑体"/>
                <w:b w:val="0"/>
                <w:i w:val="0"/>
                <w:color w:val="000000"/>
                <w:sz w:val="14"/>
              </w:rPr>
              <w:t>其中：折旧费和摊销费</w:t>
            </w:r>
          </w:p>
        </w:tc>
        <w:tc>
          <w:tcPr>
            <w:tcW w:type="dxa" w:w="1102"/>
            <w:gridSpan w:val="2"/>
            <w:tcBorders/>
            <w:tcMar>
              <w:start w:w="0" w:type="dxa"/>
              <w:end w:w="0" w:type="dxa"/>
            </w:tcMar>
            <w:tcMar>
              <w:start w:w="0" w:type="dxa"/>
              <w:end w:w="0" w:type="dxa"/>
            </w:tcMar>
          </w:tcPr>
          <w:p>
            <w:pPr>
              <w:autoSpaceDN w:val="0"/>
              <w:autoSpaceDE w:val="0"/>
              <w:widowControl/>
              <w:spacing w:line="233" w:lineRule="auto" w:before="14" w:after="0"/>
              <w:ind w:left="194" w:right="0" w:firstLine="0"/>
              <w:jc w:val="left"/>
            </w:pPr>
            <w:r>
              <w:rPr>
                <w:rFonts w:ascii="Arial" w:hAnsi="Arial" w:eastAsia="Arial"/>
                <w:b w:val="0"/>
                <w:i w:val="0"/>
                <w:color w:val="000000"/>
                <w:sz w:val="14"/>
              </w:rPr>
              <w:t xml:space="preserve">(116,818,373) </w:t>
            </w:r>
          </w:p>
        </w:tc>
        <w:tc>
          <w:tcPr>
            <w:tcW w:type="dxa" w:w="1220"/>
            <w:tcBorders/>
            <w:tcMar>
              <w:start w:w="0" w:type="dxa"/>
              <w:end w:w="0" w:type="dxa"/>
            </w:tcMar>
          </w:tcPr>
          <w:p>
            <w:pPr>
              <w:autoSpaceDN w:val="0"/>
              <w:autoSpaceDE w:val="0"/>
              <w:widowControl/>
              <w:spacing w:line="233" w:lineRule="auto" w:before="14" w:after="0"/>
              <w:ind w:left="278" w:right="0" w:firstLine="0"/>
              <w:jc w:val="left"/>
            </w:pPr>
            <w:r>
              <w:rPr>
                <w:rFonts w:ascii="Arial" w:hAnsi="Arial" w:eastAsia="Arial"/>
                <w:b w:val="0"/>
                <w:i w:val="0"/>
                <w:color w:val="000000"/>
                <w:sz w:val="14"/>
              </w:rPr>
              <w:t xml:space="preserve">(29,219,900) </w:t>
            </w:r>
          </w:p>
        </w:tc>
        <w:tc>
          <w:tcPr>
            <w:tcW w:type="dxa" w:w="1108"/>
            <w:tcBorders/>
            <w:tcMar>
              <w:start w:w="0" w:type="dxa"/>
              <w:end w:w="0" w:type="dxa"/>
            </w:tcMar>
          </w:tcPr>
          <w:p>
            <w:pPr>
              <w:autoSpaceDN w:val="0"/>
              <w:autoSpaceDE w:val="0"/>
              <w:widowControl/>
              <w:spacing w:line="233" w:lineRule="auto" w:before="14" w:after="0"/>
              <w:ind w:left="220" w:right="0" w:firstLine="0"/>
              <w:jc w:val="left"/>
            </w:pPr>
            <w:r>
              <w:rPr>
                <w:rFonts w:ascii="Arial" w:hAnsi="Arial" w:eastAsia="Arial"/>
                <w:b w:val="0"/>
                <w:i w:val="0"/>
                <w:color w:val="000000"/>
                <w:sz w:val="14"/>
              </w:rPr>
              <w:t xml:space="preserve">(43,136,365) </w:t>
            </w:r>
          </w:p>
        </w:tc>
        <w:tc>
          <w:tcPr>
            <w:tcW w:type="dxa" w:w="1164"/>
            <w:tcBorders/>
            <w:tcMar>
              <w:start w:w="0" w:type="dxa"/>
              <w:end w:w="0" w:type="dxa"/>
            </w:tcMar>
          </w:tcPr>
          <w:p>
            <w:pPr>
              <w:autoSpaceDN w:val="0"/>
              <w:autoSpaceDE w:val="0"/>
              <w:widowControl/>
              <w:spacing w:line="233" w:lineRule="auto" w:before="14" w:after="0"/>
              <w:ind w:left="0" w:right="60" w:firstLine="0"/>
              <w:jc w:val="right"/>
            </w:pPr>
            <w:r>
              <w:rPr>
                <w:rFonts w:ascii="Arial" w:hAnsi="Arial" w:eastAsia="Arial"/>
                <w:b w:val="0"/>
                <w:i w:val="0"/>
                <w:color w:val="000000"/>
                <w:sz w:val="14"/>
              </w:rPr>
              <w:t xml:space="preserve">(8,791,608 ) </w:t>
            </w:r>
          </w:p>
        </w:tc>
        <w:tc>
          <w:tcPr>
            <w:tcW w:type="dxa" w:w="1162"/>
            <w:tcBorders/>
            <w:tcMar>
              <w:start w:w="0" w:type="dxa"/>
              <w:end w:w="0" w:type="dxa"/>
            </w:tcMar>
          </w:tcPr>
          <w:p>
            <w:pPr>
              <w:autoSpaceDN w:val="0"/>
              <w:autoSpaceDE w:val="0"/>
              <w:widowControl/>
              <w:spacing w:line="233" w:lineRule="auto" w:before="14" w:after="0"/>
              <w:ind w:left="0" w:right="58" w:firstLine="0"/>
              <w:jc w:val="right"/>
            </w:pPr>
            <w:r>
              <w:rPr>
                <w:rFonts w:ascii="Arial" w:hAnsi="Arial" w:eastAsia="Arial"/>
                <w:b w:val="0"/>
                <w:i w:val="0"/>
                <w:color w:val="000000"/>
                <w:sz w:val="14"/>
              </w:rPr>
              <w:t xml:space="preserve">(8,875,079) </w:t>
            </w:r>
          </w:p>
        </w:tc>
        <w:tc>
          <w:tcPr>
            <w:tcW w:type="dxa" w:w="1162"/>
            <w:tcBorders/>
            <w:tcMar>
              <w:start w:w="0" w:type="dxa"/>
              <w:end w:w="0" w:type="dxa"/>
            </w:tcMar>
          </w:tcPr>
          <w:p>
            <w:pPr>
              <w:autoSpaceDN w:val="0"/>
              <w:autoSpaceDE w:val="0"/>
              <w:widowControl/>
              <w:spacing w:line="233" w:lineRule="auto" w:before="14" w:after="0"/>
              <w:ind w:left="274" w:right="0" w:firstLine="0"/>
              <w:jc w:val="left"/>
            </w:pPr>
            <w:r>
              <w:rPr>
                <w:rFonts w:ascii="Arial" w:hAnsi="Arial" w:eastAsia="Arial"/>
                <w:b w:val="0"/>
                <w:i w:val="0"/>
                <w:color w:val="000000"/>
                <w:sz w:val="14"/>
              </w:rPr>
              <w:t xml:space="preserve">(30,805,428) </w:t>
            </w:r>
          </w:p>
        </w:tc>
        <w:tc>
          <w:tcPr>
            <w:tcW w:type="dxa" w:w="1446"/>
            <w:tcBorders/>
            <w:tcMar>
              <w:start w:w="0" w:type="dxa"/>
              <w:end w:w="0" w:type="dxa"/>
            </w:tcMar>
          </w:tcPr>
          <w:p>
            <w:pPr>
              <w:autoSpaceDN w:val="0"/>
              <w:autoSpaceDE w:val="0"/>
              <w:widowControl/>
              <w:spacing w:line="233" w:lineRule="auto" w:before="14" w:after="0"/>
              <w:ind w:left="0" w:right="58" w:firstLine="0"/>
              <w:jc w:val="right"/>
            </w:pPr>
            <w:r>
              <w:rPr>
                <w:rFonts w:ascii="Arial" w:hAnsi="Arial" w:eastAsia="Arial"/>
                <w:b w:val="0"/>
                <w:i w:val="0"/>
                <w:color w:val="000000"/>
                <w:sz w:val="14"/>
              </w:rPr>
              <w:t xml:space="preserve">(266,142) </w:t>
            </w:r>
          </w:p>
        </w:tc>
        <w:tc>
          <w:tcPr>
            <w:tcW w:type="dxa" w:w="1398"/>
            <w:gridSpan w:val="2"/>
            <w:tcBorders/>
            <w:tcMar>
              <w:start w:w="0" w:type="dxa"/>
              <w:end w:w="0" w:type="dxa"/>
            </w:tcMar>
            <w:tcMar>
              <w:start w:w="0" w:type="dxa"/>
              <w:end w:w="0" w:type="dxa"/>
            </w:tcMar>
          </w:tcPr>
          <w:p>
            <w:pPr>
              <w:autoSpaceDN w:val="0"/>
              <w:autoSpaceDE w:val="0"/>
              <w:widowControl/>
              <w:spacing w:line="233" w:lineRule="auto" w:before="14" w:after="0"/>
              <w:ind w:left="0" w:right="122" w:firstLine="0"/>
              <w:jc w:val="right"/>
            </w:pPr>
            <w:r>
              <w:rPr>
                <w:rFonts w:ascii="Arial" w:hAnsi="Arial" w:eastAsia="Arial"/>
                <w:b w:val="0"/>
                <w:i w:val="0"/>
                <w:color w:val="000000"/>
                <w:sz w:val="14"/>
              </w:rPr>
              <w:t xml:space="preserve">(51,378,005 ) </w:t>
            </w:r>
          </w:p>
        </w:tc>
        <w:tc>
          <w:tcPr>
            <w:tcW w:type="dxa" w:w="1060"/>
            <w:tcBorders/>
            <w:tcMar>
              <w:start w:w="0" w:type="dxa"/>
              <w:end w:w="0" w:type="dxa"/>
            </w:tcMar>
          </w:tcPr>
          <w:p>
            <w:pPr>
              <w:autoSpaceDN w:val="0"/>
              <w:autoSpaceDE w:val="0"/>
              <w:widowControl/>
              <w:spacing w:line="233" w:lineRule="auto" w:before="14" w:after="0"/>
              <w:ind w:left="0" w:right="122" w:firstLine="0"/>
              <w:jc w:val="right"/>
            </w:pPr>
            <w:r>
              <w:rPr>
                <w:rFonts w:ascii="Arial" w:hAnsi="Arial" w:eastAsia="Arial"/>
                <w:b w:val="0"/>
                <w:i w:val="0"/>
                <w:color w:val="000000"/>
                <w:sz w:val="14"/>
              </w:rPr>
              <w:t xml:space="preserve">- </w:t>
            </w:r>
          </w:p>
        </w:tc>
        <w:tc>
          <w:tcPr>
            <w:tcW w:type="dxa" w:w="1140"/>
            <w:tcBorders/>
            <w:tcMar>
              <w:start w:w="0" w:type="dxa"/>
              <w:end w:w="0" w:type="dxa"/>
            </w:tcMar>
          </w:tcPr>
          <w:p>
            <w:pPr>
              <w:autoSpaceDN w:val="0"/>
              <w:autoSpaceDE w:val="0"/>
              <w:widowControl/>
              <w:spacing w:line="233" w:lineRule="auto" w:before="14" w:after="0"/>
              <w:ind w:left="232" w:right="0" w:firstLine="0"/>
              <w:jc w:val="left"/>
            </w:pPr>
            <w:r>
              <w:rPr>
                <w:rFonts w:ascii="Arial" w:hAnsi="Arial" w:eastAsia="Arial"/>
                <w:b w:val="0"/>
                <w:i w:val="0"/>
                <w:color w:val="000000"/>
                <w:sz w:val="14"/>
              </w:rPr>
              <w:t xml:space="preserve">(289,290,900) </w:t>
            </w:r>
          </w:p>
        </w:tc>
      </w:tr>
      <w:tr>
        <w:trPr>
          <w:trHeight w:hRule="exact" w:val="180"/>
        </w:trPr>
        <w:tc>
          <w:tcPr>
            <w:tcW w:type="dxa" w:w="2098"/>
            <w:tcBorders/>
            <w:tcMar>
              <w:start w:w="0" w:type="dxa"/>
              <w:end w:w="0" w:type="dxa"/>
            </w:tcMar>
          </w:tcPr>
          <w:p>
            <w:pPr>
              <w:autoSpaceDN w:val="0"/>
              <w:autoSpaceDE w:val="0"/>
              <w:widowControl/>
              <w:spacing w:line="138" w:lineRule="exact" w:before="10" w:after="0"/>
              <w:ind w:left="0" w:right="700" w:firstLine="0"/>
              <w:jc w:val="right"/>
            </w:pPr>
            <w:r>
              <w:rPr>
                <w:rFonts w:ascii="黑体" w:hAnsi="黑体" w:eastAsia="黑体"/>
                <w:b w:val="0"/>
                <w:i w:val="0"/>
                <w:color w:val="000000"/>
                <w:sz w:val="14"/>
              </w:rPr>
              <w:t>信用减值损失</w:t>
            </w:r>
          </w:p>
        </w:tc>
        <w:tc>
          <w:tcPr>
            <w:tcW w:type="dxa" w:w="1102"/>
            <w:gridSpan w:val="2"/>
            <w:tcBorders/>
            <w:tcMar>
              <w:start w:w="0" w:type="dxa"/>
              <w:end w:w="0" w:type="dxa"/>
            </w:tcMar>
            <w:tcMar>
              <w:start w:w="0" w:type="dxa"/>
              <w:end w:w="0" w:type="dxa"/>
            </w:tcMar>
          </w:tcPr>
          <w:p>
            <w:pPr>
              <w:autoSpaceDN w:val="0"/>
              <w:autoSpaceDE w:val="0"/>
              <w:widowControl/>
              <w:spacing w:line="233" w:lineRule="auto" w:before="12" w:after="0"/>
              <w:ind w:left="274" w:right="0" w:firstLine="0"/>
              <w:jc w:val="left"/>
            </w:pPr>
            <w:r>
              <w:rPr>
                <w:rFonts w:ascii="Arial" w:hAnsi="Arial" w:eastAsia="Arial"/>
                <w:b w:val="0"/>
                <w:i w:val="0"/>
                <w:color w:val="000000"/>
                <w:sz w:val="14"/>
              </w:rPr>
              <w:t xml:space="preserve">(13,302,224) </w:t>
            </w:r>
          </w:p>
        </w:tc>
        <w:tc>
          <w:tcPr>
            <w:tcW w:type="dxa" w:w="1220"/>
            <w:tcBorders/>
            <w:tcMar>
              <w:start w:w="0" w:type="dxa"/>
              <w:end w:w="0" w:type="dxa"/>
            </w:tcMar>
          </w:tcPr>
          <w:p>
            <w:pPr>
              <w:autoSpaceDN w:val="0"/>
              <w:autoSpaceDE w:val="0"/>
              <w:widowControl/>
              <w:spacing w:line="233" w:lineRule="auto" w:before="12" w:after="0"/>
              <w:ind w:left="0" w:right="110" w:firstLine="0"/>
              <w:jc w:val="right"/>
            </w:pPr>
            <w:r>
              <w:rPr>
                <w:rFonts w:ascii="Arial" w:hAnsi="Arial" w:eastAsia="Arial"/>
                <w:b w:val="0"/>
                <w:i w:val="0"/>
                <w:color w:val="000000"/>
                <w:sz w:val="14"/>
              </w:rPr>
              <w:t xml:space="preserve">(2,740,805) </w:t>
            </w:r>
          </w:p>
        </w:tc>
        <w:tc>
          <w:tcPr>
            <w:tcW w:type="dxa" w:w="1108"/>
            <w:tcBorders/>
            <w:tcMar>
              <w:start w:w="0" w:type="dxa"/>
              <w:end w:w="0" w:type="dxa"/>
            </w:tcMar>
          </w:tcPr>
          <w:p>
            <w:pPr>
              <w:autoSpaceDN w:val="0"/>
              <w:autoSpaceDE w:val="0"/>
              <w:widowControl/>
              <w:spacing w:line="233" w:lineRule="auto" w:before="12" w:after="0"/>
              <w:ind w:left="0" w:right="58" w:firstLine="0"/>
              <w:jc w:val="right"/>
            </w:pPr>
            <w:r>
              <w:rPr>
                <w:rFonts w:ascii="Arial" w:hAnsi="Arial" w:eastAsia="Arial"/>
                <w:b w:val="0"/>
                <w:i w:val="0"/>
                <w:color w:val="000000"/>
                <w:sz w:val="14"/>
              </w:rPr>
              <w:t xml:space="preserve">(6,849,668) </w:t>
            </w:r>
          </w:p>
        </w:tc>
        <w:tc>
          <w:tcPr>
            <w:tcW w:type="dxa" w:w="1164"/>
            <w:tcBorders/>
            <w:tcMar>
              <w:start w:w="0" w:type="dxa"/>
              <w:end w:w="0" w:type="dxa"/>
            </w:tcMar>
          </w:tcPr>
          <w:p>
            <w:pPr>
              <w:autoSpaceDN w:val="0"/>
              <w:autoSpaceDE w:val="0"/>
              <w:widowControl/>
              <w:spacing w:line="233" w:lineRule="auto" w:before="12" w:after="0"/>
              <w:ind w:left="0" w:right="104" w:firstLine="0"/>
              <w:jc w:val="right"/>
            </w:pPr>
            <w:r>
              <w:rPr>
                <w:rFonts w:ascii="Arial" w:hAnsi="Arial" w:eastAsia="Arial"/>
                <w:b w:val="0"/>
                <w:i w:val="0"/>
                <w:color w:val="000000"/>
                <w:sz w:val="14"/>
              </w:rPr>
              <w:t xml:space="preserve">732,543 </w:t>
            </w:r>
          </w:p>
        </w:tc>
        <w:tc>
          <w:tcPr>
            <w:tcW w:type="dxa" w:w="1162"/>
            <w:tcBorders/>
            <w:tcMar>
              <w:start w:w="0" w:type="dxa"/>
              <w:end w:w="0" w:type="dxa"/>
            </w:tcMar>
          </w:tcPr>
          <w:p>
            <w:pPr>
              <w:autoSpaceDN w:val="0"/>
              <w:autoSpaceDE w:val="0"/>
              <w:widowControl/>
              <w:spacing w:line="233" w:lineRule="auto" w:before="12" w:after="0"/>
              <w:ind w:left="0" w:right="58" w:firstLine="0"/>
              <w:jc w:val="right"/>
            </w:pPr>
            <w:r>
              <w:rPr>
                <w:rFonts w:ascii="Arial" w:hAnsi="Arial" w:eastAsia="Arial"/>
                <w:b w:val="0"/>
                <w:i w:val="0"/>
                <w:color w:val="000000"/>
                <w:sz w:val="14"/>
              </w:rPr>
              <w:t xml:space="preserve">(319,508) </w:t>
            </w:r>
          </w:p>
        </w:tc>
        <w:tc>
          <w:tcPr>
            <w:tcW w:type="dxa" w:w="1162"/>
            <w:tcBorders/>
            <w:tcMar>
              <w:start w:w="0" w:type="dxa"/>
              <w:end w:w="0" w:type="dxa"/>
            </w:tcMar>
          </w:tcPr>
          <w:p>
            <w:pPr>
              <w:autoSpaceDN w:val="0"/>
              <w:autoSpaceDE w:val="0"/>
              <w:widowControl/>
              <w:spacing w:line="233" w:lineRule="auto" w:before="12" w:after="0"/>
              <w:ind w:left="0" w:right="144" w:firstLine="0"/>
              <w:jc w:val="right"/>
            </w:pPr>
            <w:r>
              <w:rPr>
                <w:rFonts w:ascii="Arial" w:hAnsi="Arial" w:eastAsia="Arial"/>
                <w:b w:val="0"/>
                <w:i w:val="0"/>
                <w:color w:val="000000"/>
                <w:sz w:val="14"/>
              </w:rPr>
              <w:t>33,880</w:t>
            </w:r>
          </w:p>
        </w:tc>
        <w:tc>
          <w:tcPr>
            <w:tcW w:type="dxa" w:w="1446"/>
            <w:tcBorders/>
            <w:tcMar>
              <w:start w:w="0" w:type="dxa"/>
              <w:end w:w="0" w:type="dxa"/>
            </w:tcMar>
          </w:tcPr>
          <w:p>
            <w:pPr>
              <w:autoSpaceDN w:val="0"/>
              <w:autoSpaceDE w:val="0"/>
              <w:widowControl/>
              <w:spacing w:line="233" w:lineRule="auto" w:before="12" w:after="0"/>
              <w:ind w:left="0" w:right="58" w:firstLine="0"/>
              <w:jc w:val="right"/>
            </w:pPr>
            <w:r>
              <w:rPr>
                <w:rFonts w:ascii="Arial" w:hAnsi="Arial" w:eastAsia="Arial"/>
                <w:b w:val="0"/>
                <w:i w:val="0"/>
                <w:color w:val="000000"/>
                <w:sz w:val="14"/>
              </w:rPr>
              <w:t xml:space="preserve">(2,998,013) </w:t>
            </w:r>
          </w:p>
        </w:tc>
        <w:tc>
          <w:tcPr>
            <w:tcW w:type="dxa" w:w="1398"/>
            <w:gridSpan w:val="2"/>
            <w:tcBorders/>
            <w:tcMar>
              <w:start w:w="0" w:type="dxa"/>
              <w:end w:w="0" w:type="dxa"/>
            </w:tcMar>
            <w:tcMar>
              <w:start w:w="0" w:type="dxa"/>
              <w:end w:w="0" w:type="dxa"/>
            </w:tcMar>
          </w:tcPr>
          <w:p>
            <w:pPr>
              <w:autoSpaceDN w:val="0"/>
              <w:autoSpaceDE w:val="0"/>
              <w:widowControl/>
              <w:spacing w:line="233" w:lineRule="auto" w:before="12" w:after="0"/>
              <w:ind w:left="0" w:right="170" w:firstLine="0"/>
              <w:jc w:val="right"/>
            </w:pPr>
            <w:r>
              <w:rPr>
                <w:rFonts w:ascii="Arial" w:hAnsi="Arial" w:eastAsia="Arial"/>
                <w:b w:val="0"/>
                <w:i w:val="0"/>
                <w:color w:val="000000"/>
                <w:sz w:val="14"/>
              </w:rPr>
              <w:t xml:space="preserve">- </w:t>
            </w:r>
          </w:p>
        </w:tc>
        <w:tc>
          <w:tcPr>
            <w:tcW w:type="dxa" w:w="1060"/>
            <w:tcBorders/>
            <w:tcMar>
              <w:start w:w="0" w:type="dxa"/>
              <w:end w:w="0" w:type="dxa"/>
            </w:tcMar>
          </w:tcPr>
          <w:p>
            <w:pPr>
              <w:autoSpaceDN w:val="0"/>
              <w:autoSpaceDE w:val="0"/>
              <w:widowControl/>
              <w:spacing w:line="233" w:lineRule="auto" w:before="12" w:after="0"/>
              <w:ind w:left="0" w:right="122" w:firstLine="0"/>
              <w:jc w:val="right"/>
            </w:pPr>
            <w:r>
              <w:rPr>
                <w:rFonts w:ascii="Arial" w:hAnsi="Arial" w:eastAsia="Arial"/>
                <w:b w:val="0"/>
                <w:i w:val="0"/>
                <w:color w:val="000000"/>
                <w:sz w:val="14"/>
              </w:rPr>
              <w:t xml:space="preserve">- </w:t>
            </w:r>
          </w:p>
        </w:tc>
        <w:tc>
          <w:tcPr>
            <w:tcW w:type="dxa" w:w="114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 xml:space="preserve">(25,443,795) </w:t>
            </w:r>
          </w:p>
        </w:tc>
      </w:tr>
      <w:tr>
        <w:trPr>
          <w:trHeight w:hRule="exact" w:val="163"/>
        </w:trPr>
        <w:tc>
          <w:tcPr>
            <w:tcW w:type="dxa" w:w="2098"/>
            <w:tcBorders/>
            <w:tcMar>
              <w:start w:w="0" w:type="dxa"/>
              <w:end w:w="0" w:type="dxa"/>
            </w:tcMar>
          </w:tcPr>
          <w:p>
            <w:pPr>
              <w:autoSpaceDN w:val="0"/>
              <w:autoSpaceDE w:val="0"/>
              <w:widowControl/>
              <w:spacing w:line="156" w:lineRule="exact" w:before="2" w:after="0"/>
              <w:ind w:left="0" w:right="0" w:firstLine="0"/>
              <w:jc w:val="left"/>
            </w:pPr>
            <w:r>
              <w:rPr>
                <w:rFonts w:ascii="黑体" w:hAnsi="黑体" w:eastAsia="黑体"/>
                <w:b w:val="0"/>
                <w:i w:val="0"/>
                <w:color w:val="000000"/>
                <w:sz w:val="14"/>
              </w:rPr>
              <w:t>利润</w:t>
            </w:r>
            <w:r>
              <w:rPr>
                <w:rFonts w:ascii="Arial" w:hAnsi="Arial" w:eastAsia="Arial"/>
                <w:b w:val="0"/>
                <w:i w:val="0"/>
                <w:color w:val="000000"/>
                <w:sz w:val="14"/>
              </w:rPr>
              <w:t>/</w:t>
            </w:r>
            <w:r>
              <w:rPr>
                <w:rFonts w:ascii="黑体" w:hAnsi="黑体" w:eastAsia="黑体"/>
                <w:b w:val="0"/>
                <w:i w:val="0"/>
                <w:color w:val="000000"/>
                <w:sz w:val="14"/>
              </w:rPr>
              <w:t>（亏损）总额</w:t>
            </w:r>
          </w:p>
        </w:tc>
        <w:tc>
          <w:tcPr>
            <w:tcW w:type="dxa" w:w="1102"/>
            <w:gridSpan w:val="2"/>
            <w:tcBorders/>
            <w:tcMar>
              <w:start w:w="0" w:type="dxa"/>
              <w:end w:w="0" w:type="dxa"/>
            </w:tcMar>
            <w:tcMar>
              <w:start w:w="0" w:type="dxa"/>
              <w:end w:w="0" w:type="dxa"/>
            </w:tcMar>
          </w:tcPr>
          <w:p>
            <w:pPr>
              <w:autoSpaceDN w:val="0"/>
              <w:autoSpaceDE w:val="0"/>
              <w:widowControl/>
              <w:spacing w:line="233" w:lineRule="auto" w:before="6" w:after="0"/>
              <w:ind w:left="242" w:right="0" w:firstLine="0"/>
              <w:jc w:val="left"/>
            </w:pPr>
            <w:r>
              <w:rPr>
                <w:rFonts w:ascii="Arial" w:hAnsi="Arial" w:eastAsia="Arial"/>
                <w:b w:val="0"/>
                <w:i w:val="0"/>
                <w:color w:val="000000"/>
                <w:sz w:val="14"/>
              </w:rPr>
              <w:t xml:space="preserve">351,809,397 </w:t>
            </w:r>
          </w:p>
        </w:tc>
        <w:tc>
          <w:tcPr>
            <w:tcW w:type="dxa" w:w="1220"/>
            <w:tcBorders/>
            <w:tcMar>
              <w:start w:w="0" w:type="dxa"/>
              <w:end w:w="0" w:type="dxa"/>
            </w:tcMar>
          </w:tcPr>
          <w:p>
            <w:pPr>
              <w:autoSpaceDN w:val="0"/>
              <w:autoSpaceDE w:val="0"/>
              <w:widowControl/>
              <w:spacing w:line="233" w:lineRule="auto" w:before="6" w:after="0"/>
              <w:ind w:left="278" w:right="0" w:firstLine="0"/>
              <w:jc w:val="left"/>
            </w:pPr>
            <w:r>
              <w:rPr>
                <w:rFonts w:ascii="Arial" w:hAnsi="Arial" w:eastAsia="Arial"/>
                <w:b w:val="0"/>
                <w:i w:val="0"/>
                <w:color w:val="000000"/>
                <w:sz w:val="14"/>
              </w:rPr>
              <w:t xml:space="preserve">(61,214,829) </w:t>
            </w:r>
          </w:p>
        </w:tc>
        <w:tc>
          <w:tcPr>
            <w:tcW w:type="dxa" w:w="1108"/>
            <w:tcBorders/>
            <w:tcMar>
              <w:start w:w="0" w:type="dxa"/>
              <w:end w:w="0" w:type="dxa"/>
            </w:tcMar>
          </w:tcPr>
          <w:p>
            <w:pPr>
              <w:autoSpaceDN w:val="0"/>
              <w:autoSpaceDE w:val="0"/>
              <w:widowControl/>
              <w:spacing w:line="233" w:lineRule="auto" w:before="6" w:after="0"/>
              <w:ind w:left="190" w:right="0" w:firstLine="0"/>
              <w:jc w:val="left"/>
            </w:pPr>
            <w:r>
              <w:rPr>
                <w:rFonts w:ascii="Arial" w:hAnsi="Arial" w:eastAsia="Arial"/>
                <w:b w:val="0"/>
                <w:i w:val="0"/>
                <w:color w:val="000000"/>
                <w:sz w:val="14"/>
              </w:rPr>
              <w:t xml:space="preserve">730,425,292 </w:t>
            </w:r>
          </w:p>
        </w:tc>
        <w:tc>
          <w:tcPr>
            <w:tcW w:type="dxa" w:w="1164"/>
            <w:tcBorders/>
            <w:tcMar>
              <w:start w:w="0" w:type="dxa"/>
              <w:end w:w="0" w:type="dxa"/>
            </w:tcMar>
          </w:tcPr>
          <w:p>
            <w:pPr>
              <w:autoSpaceDN w:val="0"/>
              <w:autoSpaceDE w:val="0"/>
              <w:widowControl/>
              <w:spacing w:line="233" w:lineRule="auto" w:before="6" w:after="0"/>
              <w:ind w:left="194" w:right="0" w:firstLine="0"/>
              <w:jc w:val="left"/>
            </w:pPr>
            <w:r>
              <w:rPr>
                <w:rFonts w:ascii="Arial" w:hAnsi="Arial" w:eastAsia="Arial"/>
                <w:b w:val="0"/>
                <w:i w:val="0"/>
                <w:color w:val="000000"/>
                <w:sz w:val="14"/>
              </w:rPr>
              <w:t xml:space="preserve">(128,505,321 ) </w:t>
            </w:r>
          </w:p>
        </w:tc>
        <w:tc>
          <w:tcPr>
            <w:tcW w:type="dxa" w:w="1162"/>
            <w:tcBorders/>
            <w:tcMar>
              <w:start w:w="0" w:type="dxa"/>
              <w:end w:w="0" w:type="dxa"/>
            </w:tcMar>
          </w:tcPr>
          <w:p>
            <w:pPr>
              <w:autoSpaceDN w:val="0"/>
              <w:autoSpaceDE w:val="0"/>
              <w:widowControl/>
              <w:spacing w:line="233" w:lineRule="auto" w:before="6" w:after="0"/>
              <w:ind w:left="244" w:right="0" w:firstLine="0"/>
              <w:jc w:val="left"/>
            </w:pPr>
            <w:r>
              <w:rPr>
                <w:rFonts w:ascii="Arial" w:hAnsi="Arial" w:eastAsia="Arial"/>
                <w:b w:val="0"/>
                <w:i w:val="0"/>
                <w:color w:val="000000"/>
                <w:sz w:val="14"/>
              </w:rPr>
              <w:t xml:space="preserve">127,468,679 </w:t>
            </w:r>
          </w:p>
        </w:tc>
        <w:tc>
          <w:tcPr>
            <w:tcW w:type="dxa" w:w="1162"/>
            <w:tcBorders/>
            <w:tcMar>
              <w:start w:w="0" w:type="dxa"/>
              <w:end w:w="0" w:type="dxa"/>
            </w:tcMar>
          </w:tcPr>
          <w:p>
            <w:pPr>
              <w:autoSpaceDN w:val="0"/>
              <w:autoSpaceDE w:val="0"/>
              <w:widowControl/>
              <w:spacing w:line="233" w:lineRule="auto" w:before="6" w:after="0"/>
              <w:ind w:left="0" w:right="46" w:firstLine="0"/>
              <w:jc w:val="right"/>
            </w:pPr>
            <w:r>
              <w:rPr>
                <w:rFonts w:ascii="Arial" w:hAnsi="Arial" w:eastAsia="Arial"/>
                <w:b w:val="0"/>
                <w:i w:val="0"/>
                <w:color w:val="000000"/>
                <w:sz w:val="14"/>
              </w:rPr>
              <w:t xml:space="preserve">4,653,211 </w:t>
            </w:r>
          </w:p>
        </w:tc>
        <w:tc>
          <w:tcPr>
            <w:tcW w:type="dxa" w:w="1446"/>
            <w:tcBorders/>
            <w:tcMar>
              <w:start w:w="0" w:type="dxa"/>
              <w:end w:w="0" w:type="dxa"/>
            </w:tcMar>
          </w:tcPr>
          <w:p>
            <w:pPr>
              <w:autoSpaceDN w:val="0"/>
              <w:autoSpaceDE w:val="0"/>
              <w:widowControl/>
              <w:spacing w:line="233" w:lineRule="auto" w:before="6" w:after="0"/>
              <w:ind w:left="0" w:right="44" w:firstLine="0"/>
              <w:jc w:val="right"/>
            </w:pPr>
            <w:r>
              <w:rPr>
                <w:rFonts w:ascii="Arial" w:hAnsi="Arial" w:eastAsia="Arial"/>
                <w:b w:val="0"/>
                <w:i w:val="0"/>
                <w:color w:val="000000"/>
                <w:sz w:val="14"/>
              </w:rPr>
              <w:t xml:space="preserve">26,207,230 </w:t>
            </w:r>
          </w:p>
        </w:tc>
        <w:tc>
          <w:tcPr>
            <w:tcW w:type="dxa" w:w="1398"/>
            <w:gridSpan w:val="2"/>
            <w:tcBorders/>
            <w:tcMar>
              <w:start w:w="0" w:type="dxa"/>
              <w:end w:w="0" w:type="dxa"/>
            </w:tcMar>
            <w:tcMar>
              <w:start w:w="0" w:type="dxa"/>
              <w:end w:w="0" w:type="dxa"/>
            </w:tcMar>
          </w:tcPr>
          <w:p>
            <w:pPr>
              <w:autoSpaceDN w:val="0"/>
              <w:autoSpaceDE w:val="0"/>
              <w:widowControl/>
              <w:spacing w:line="233" w:lineRule="auto" w:before="6" w:after="0"/>
              <w:ind w:left="0" w:right="122" w:firstLine="0"/>
              <w:jc w:val="right"/>
            </w:pPr>
            <w:r>
              <w:rPr>
                <w:rFonts w:ascii="Arial" w:hAnsi="Arial" w:eastAsia="Arial"/>
                <w:b w:val="0"/>
                <w:i w:val="0"/>
                <w:color w:val="000000"/>
                <w:sz w:val="14"/>
              </w:rPr>
              <w:t xml:space="preserve">(203,157,625 ) </w:t>
            </w:r>
          </w:p>
        </w:tc>
        <w:tc>
          <w:tcPr>
            <w:tcW w:type="dxa" w:w="1060"/>
            <w:tcBorders/>
            <w:tcMar>
              <w:start w:w="0" w:type="dxa"/>
              <w:end w:w="0" w:type="dxa"/>
            </w:tcMar>
          </w:tcPr>
          <w:p>
            <w:pPr>
              <w:autoSpaceDN w:val="0"/>
              <w:autoSpaceDE w:val="0"/>
              <w:widowControl/>
              <w:spacing w:line="233" w:lineRule="auto" w:before="6" w:after="0"/>
              <w:ind w:left="0" w:right="0" w:firstLine="0"/>
              <w:jc w:val="center"/>
            </w:pPr>
            <w:r>
              <w:rPr>
                <w:rFonts w:ascii="Arial" w:hAnsi="Arial" w:eastAsia="Arial"/>
                <w:b w:val="0"/>
                <w:i w:val="0"/>
                <w:color w:val="000000"/>
                <w:sz w:val="14"/>
              </w:rPr>
              <w:t xml:space="preserve">(22,566,546 ) </w:t>
            </w:r>
          </w:p>
        </w:tc>
        <w:tc>
          <w:tcPr>
            <w:tcW w:type="dxa" w:w="1140"/>
            <w:tcBorders/>
            <w:tcMar>
              <w:start w:w="0" w:type="dxa"/>
              <w:end w:w="0" w:type="dxa"/>
            </w:tcMar>
          </w:tcPr>
          <w:p>
            <w:pPr>
              <w:autoSpaceDN w:val="0"/>
              <w:autoSpaceDE w:val="0"/>
              <w:widowControl/>
              <w:spacing w:line="233" w:lineRule="auto" w:before="6" w:after="0"/>
              <w:ind w:left="280" w:right="0" w:firstLine="0"/>
              <w:jc w:val="left"/>
            </w:pPr>
            <w:r>
              <w:rPr>
                <w:rFonts w:ascii="Arial" w:hAnsi="Arial" w:eastAsia="Arial"/>
                <w:b w:val="0"/>
                <w:i w:val="0"/>
                <w:color w:val="000000"/>
                <w:sz w:val="14"/>
              </w:rPr>
              <w:t>825,119,488</w:t>
            </w:r>
          </w:p>
        </w:tc>
      </w:tr>
      <w:tr>
        <w:trPr>
          <w:trHeight w:hRule="exact" w:val="160"/>
        </w:trPr>
        <w:tc>
          <w:tcPr>
            <w:tcW w:type="dxa" w:w="2098"/>
            <w:tcBorders/>
            <w:tcMar>
              <w:start w:w="0" w:type="dxa"/>
              <w:end w:w="0" w:type="dxa"/>
            </w:tcMar>
          </w:tcPr>
          <w:p>
            <w:pPr>
              <w:autoSpaceDN w:val="0"/>
              <w:autoSpaceDE w:val="0"/>
              <w:widowControl/>
              <w:spacing w:line="138" w:lineRule="exact" w:before="22" w:after="0"/>
              <w:ind w:left="0" w:right="0" w:firstLine="0"/>
              <w:jc w:val="left"/>
            </w:pPr>
            <w:r>
              <w:rPr>
                <w:rFonts w:ascii="黑体" w:hAnsi="黑体" w:eastAsia="黑体"/>
                <w:b w:val="0"/>
                <w:i w:val="0"/>
                <w:color w:val="000000"/>
                <w:sz w:val="14"/>
              </w:rPr>
              <w:t>所得税费用</w:t>
            </w:r>
          </w:p>
        </w:tc>
        <w:tc>
          <w:tcPr>
            <w:tcW w:type="dxa" w:w="1102"/>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6" w:after="0"/>
              <w:ind w:left="274" w:right="0" w:firstLine="0"/>
              <w:jc w:val="left"/>
            </w:pPr>
            <w:r>
              <w:rPr>
                <w:rFonts w:ascii="Arial" w:hAnsi="Arial" w:eastAsia="Arial"/>
                <w:b w:val="0"/>
                <w:i w:val="0"/>
                <w:color w:val="000000"/>
                <w:sz w:val="14"/>
              </w:rPr>
              <w:t xml:space="preserve">(69,349,221) </w:t>
            </w:r>
          </w:p>
        </w:tc>
        <w:tc>
          <w:tcPr>
            <w:tcW w:type="dxa" w:w="1220"/>
            <w:vMerge w:val="restart"/>
            <w:tcBorders/>
            <w:tcMar>
              <w:start w:w="0" w:type="dxa"/>
              <w:end w:w="0" w:type="dxa"/>
            </w:tcMar>
            <w:tcMar>
              <w:start w:w="0" w:type="dxa"/>
              <w:end w:w="0" w:type="dxa"/>
            </w:tcMar>
          </w:tcPr>
          <w:p>
            <w:pPr>
              <w:autoSpaceDN w:val="0"/>
              <w:autoSpaceDE w:val="0"/>
              <w:widowControl/>
              <w:spacing w:line="230" w:lineRule="auto" w:before="36" w:after="0"/>
              <w:ind w:left="278" w:right="0" w:firstLine="0"/>
              <w:jc w:val="left"/>
            </w:pPr>
            <w:r>
              <w:rPr>
                <w:rFonts w:ascii="Arial" w:hAnsi="Arial" w:eastAsia="Arial"/>
                <w:b w:val="0"/>
                <w:i w:val="0"/>
                <w:color w:val="000000"/>
                <w:sz w:val="14"/>
              </w:rPr>
              <w:t xml:space="preserve">(23,050,366) </w:t>
            </w:r>
          </w:p>
        </w:tc>
        <w:tc>
          <w:tcPr>
            <w:tcW w:type="dxa" w:w="1108"/>
            <w:vMerge w:val="restart"/>
            <w:tcBorders/>
            <w:tcMar>
              <w:start w:w="0" w:type="dxa"/>
              <w:end w:w="0" w:type="dxa"/>
            </w:tcMar>
            <w:tcMar>
              <w:start w:w="0" w:type="dxa"/>
              <w:end w:w="0" w:type="dxa"/>
            </w:tcMar>
          </w:tcPr>
          <w:p>
            <w:pPr>
              <w:autoSpaceDN w:val="0"/>
              <w:autoSpaceDE w:val="0"/>
              <w:widowControl/>
              <w:spacing w:line="230" w:lineRule="auto" w:before="36" w:after="0"/>
              <w:ind w:left="140" w:right="0" w:firstLine="0"/>
              <w:jc w:val="left"/>
            </w:pPr>
            <w:r>
              <w:rPr>
                <w:rFonts w:ascii="Arial" w:hAnsi="Arial" w:eastAsia="Arial"/>
                <w:b w:val="0"/>
                <w:i w:val="0"/>
                <w:color w:val="000000"/>
                <w:sz w:val="14"/>
              </w:rPr>
              <w:t xml:space="preserve">(108,116,797) </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36" w:after="0"/>
              <w:ind w:left="0" w:right="104" w:firstLine="0"/>
              <w:jc w:val="right"/>
            </w:pPr>
            <w:r>
              <w:rPr>
                <w:rFonts w:ascii="Arial" w:hAnsi="Arial" w:eastAsia="Arial"/>
                <w:b w:val="0"/>
                <w:i w:val="0"/>
                <w:color w:val="000000"/>
                <w:sz w:val="14"/>
              </w:rPr>
              <w:t xml:space="preserve">51,094,802 </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36" w:after="0"/>
              <w:ind w:left="274" w:right="0" w:firstLine="0"/>
              <w:jc w:val="left"/>
            </w:pPr>
            <w:r>
              <w:rPr>
                <w:rFonts w:ascii="Arial" w:hAnsi="Arial" w:eastAsia="Arial"/>
                <w:b w:val="0"/>
                <w:i w:val="0"/>
                <w:color w:val="000000"/>
                <w:sz w:val="14"/>
              </w:rPr>
              <w:t xml:space="preserve">(34,133,708) </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36" w:after="0"/>
              <w:ind w:left="0" w:right="58" w:firstLine="0"/>
              <w:jc w:val="right"/>
            </w:pPr>
            <w:r>
              <w:rPr>
                <w:rFonts w:ascii="Arial" w:hAnsi="Arial" w:eastAsia="Arial"/>
                <w:b w:val="0"/>
                <w:i w:val="0"/>
                <w:color w:val="000000"/>
                <w:sz w:val="14"/>
              </w:rPr>
              <w:t xml:space="preserve">(1,529,804) </w:t>
            </w:r>
          </w:p>
        </w:tc>
        <w:tc>
          <w:tcPr>
            <w:tcW w:type="dxa" w:w="1446"/>
            <w:vMerge w:val="restart"/>
            <w:tcBorders/>
            <w:tcMar>
              <w:start w:w="0" w:type="dxa"/>
              <w:end w:w="0" w:type="dxa"/>
            </w:tcMar>
            <w:tcMar>
              <w:start w:w="0" w:type="dxa"/>
              <w:end w:w="0" w:type="dxa"/>
            </w:tcMar>
          </w:tcPr>
          <w:p>
            <w:pPr>
              <w:autoSpaceDN w:val="0"/>
              <w:autoSpaceDE w:val="0"/>
              <w:widowControl/>
              <w:spacing w:line="230" w:lineRule="auto" w:before="36" w:after="0"/>
              <w:ind w:left="0" w:right="44" w:firstLine="0"/>
              <w:jc w:val="right"/>
            </w:pPr>
            <w:r>
              <w:rPr>
                <w:rFonts w:ascii="Arial" w:hAnsi="Arial" w:eastAsia="Arial"/>
                <w:b w:val="0"/>
                <w:i w:val="0"/>
                <w:color w:val="000000"/>
                <w:sz w:val="14"/>
              </w:rPr>
              <w:t xml:space="preserve">1,614,528 </w:t>
            </w:r>
          </w:p>
        </w:tc>
        <w:tc>
          <w:tcPr>
            <w:tcW w:type="dxa" w:w="139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36" w:after="0"/>
              <w:ind w:left="0" w:right="170" w:firstLine="0"/>
              <w:jc w:val="right"/>
            </w:pPr>
            <w:r>
              <w:rPr>
                <w:rFonts w:ascii="Arial" w:hAnsi="Arial" w:eastAsia="Arial"/>
                <w:b w:val="0"/>
                <w:i w:val="0"/>
                <w:color w:val="000000"/>
                <w:sz w:val="14"/>
              </w:rPr>
              <w:t xml:space="preserve">42,878,546 </w:t>
            </w:r>
          </w:p>
        </w:tc>
        <w:tc>
          <w:tcPr>
            <w:tcW w:type="dxa" w:w="1060"/>
            <w:vMerge w:val="restart"/>
            <w:tcBorders/>
            <w:tcMar>
              <w:start w:w="0" w:type="dxa"/>
              <w:end w:w="0" w:type="dxa"/>
            </w:tcMar>
            <w:tcMar>
              <w:start w:w="0" w:type="dxa"/>
              <w:end w:w="0" w:type="dxa"/>
            </w:tcMar>
          </w:tcPr>
          <w:p>
            <w:pPr>
              <w:autoSpaceDN w:val="0"/>
              <w:autoSpaceDE w:val="0"/>
              <w:widowControl/>
              <w:spacing w:line="230" w:lineRule="auto" w:before="36" w:after="0"/>
              <w:ind w:left="0" w:right="122" w:firstLine="0"/>
              <w:jc w:val="right"/>
            </w:pPr>
            <w:r>
              <w:rPr>
                <w:rFonts w:ascii="Arial" w:hAnsi="Arial" w:eastAsia="Arial"/>
                <w:b w:val="0"/>
                <w:i w:val="0"/>
                <w:color w:val="000000"/>
                <w:sz w:val="14"/>
              </w:rPr>
              <w:t xml:space="preserve">6,206,162 </w:t>
            </w:r>
          </w:p>
        </w:tc>
        <w:tc>
          <w:tcPr>
            <w:tcW w:type="dxa" w:w="1140"/>
            <w:vMerge w:val="restart"/>
            <w:tcBorders/>
            <w:tcMar>
              <w:start w:w="0" w:type="dxa"/>
              <w:end w:w="0" w:type="dxa"/>
            </w:tcMar>
            <w:tcMar>
              <w:start w:w="0" w:type="dxa"/>
              <w:end w:w="0" w:type="dxa"/>
            </w:tcMar>
          </w:tcPr>
          <w:p>
            <w:pPr>
              <w:autoSpaceDN w:val="0"/>
              <w:autoSpaceDE w:val="0"/>
              <w:widowControl/>
              <w:spacing w:line="230" w:lineRule="auto" w:before="36" w:after="0"/>
              <w:ind w:left="232" w:right="0" w:firstLine="0"/>
              <w:jc w:val="left"/>
            </w:pPr>
            <w:r>
              <w:rPr>
                <w:rFonts w:ascii="Arial" w:hAnsi="Arial" w:eastAsia="Arial"/>
                <w:b w:val="0"/>
                <w:i w:val="0"/>
                <w:color w:val="000000"/>
                <w:sz w:val="14"/>
              </w:rPr>
              <w:t xml:space="preserve">(134,385,858) </w:t>
            </w:r>
          </w:p>
        </w:tc>
      </w:tr>
      <w:tr>
        <w:trPr>
          <w:trHeight w:hRule="exact" w:val="44"/>
        </w:trPr>
        <w:tc>
          <w:tcPr>
            <w:tcW w:type="dxa" w:w="2098"/>
            <w:vMerge w:val="restart"/>
            <w:tcBorders/>
            <w:tcMar>
              <w:start w:w="0" w:type="dxa"/>
              <w:end w:w="0" w:type="dxa"/>
            </w:tcMar>
            <w:tcMar>
              <w:start w:w="0" w:type="dxa"/>
              <w:end w:w="0" w:type="dxa"/>
            </w:tcMar>
          </w:tcPr>
          <w:p>
            <w:pPr>
              <w:autoSpaceDN w:val="0"/>
              <w:autoSpaceDE w:val="0"/>
              <w:widowControl/>
              <w:spacing w:line="154" w:lineRule="exact" w:before="46" w:after="0"/>
              <w:ind w:left="0" w:right="0" w:firstLine="0"/>
              <w:jc w:val="left"/>
            </w:pPr>
            <w:r>
              <w:rPr>
                <w:rFonts w:ascii="黑体" w:hAnsi="黑体" w:eastAsia="黑体"/>
                <w:b w:val="0"/>
                <w:i w:val="0"/>
                <w:color w:val="000000"/>
                <w:sz w:val="14"/>
              </w:rPr>
              <w:t>净利润</w:t>
            </w:r>
            <w:r>
              <w:rPr>
                <w:rFonts w:ascii="Arial" w:hAnsi="Arial" w:eastAsia="Arial"/>
                <w:b w:val="0"/>
                <w:i w:val="0"/>
                <w:color w:val="000000"/>
                <w:sz w:val="14"/>
              </w:rPr>
              <w:t>/</w:t>
            </w:r>
            <w:r>
              <w:rPr>
                <w:rFonts w:ascii="黑体" w:hAnsi="黑体" w:eastAsia="黑体"/>
                <w:b w:val="0"/>
                <w:i w:val="0"/>
                <w:color w:val="000000"/>
                <w:sz w:val="14"/>
              </w:rPr>
              <w:t>（亏损）</w:t>
            </w:r>
          </w:p>
        </w:tc>
        <w:tc>
          <w:tcPr>
            <w:tcW w:type="dxa" w:w="2166"/>
            <w:gridSpan w:val="2"/>
            <w:vMerge/>
            <w:tcBorders/>
          </w:tcPr>
          <w:p/>
        </w:tc>
        <w:tc>
          <w:tcPr>
            <w:tcW w:type="dxa" w:w="1083"/>
            <w:vMerge/>
            <w:tcBorders/>
          </w:tcPr>
          <w:p/>
        </w:tc>
        <w:tc>
          <w:tcPr>
            <w:tcW w:type="dxa" w:w="1083"/>
            <w:vMerge/>
            <w:tcBorders/>
          </w:tcPr>
          <w:p/>
        </w:tc>
        <w:tc>
          <w:tcPr>
            <w:tcW w:type="dxa" w:w="1083"/>
            <w:vMerge/>
            <w:tcBorders/>
          </w:tcPr>
          <w:p/>
        </w:tc>
        <w:tc>
          <w:tcPr>
            <w:tcW w:type="dxa" w:w="1083"/>
            <w:vMerge/>
            <w:tcBorders/>
          </w:tcPr>
          <w:p/>
        </w:tc>
        <w:tc>
          <w:tcPr>
            <w:tcW w:type="dxa" w:w="1083"/>
            <w:vMerge/>
            <w:tcBorders/>
          </w:tcPr>
          <w:p/>
        </w:tc>
        <w:tc>
          <w:tcPr>
            <w:tcW w:type="dxa" w:w="1083"/>
            <w:vMerge/>
            <w:tcBorders/>
          </w:tcPr>
          <w:p/>
        </w:tc>
        <w:tc>
          <w:tcPr>
            <w:tcW w:type="dxa" w:w="2166"/>
            <w:gridSpan w:val="2"/>
            <w:vMerge/>
            <w:tcBorders/>
          </w:tcPr>
          <w:p/>
        </w:tc>
        <w:tc>
          <w:tcPr>
            <w:tcW w:type="dxa" w:w="1083"/>
            <w:vMerge/>
            <w:tcBorders/>
          </w:tcPr>
          <w:p/>
        </w:tc>
        <w:tc>
          <w:tcPr>
            <w:tcW w:type="dxa" w:w="1083"/>
            <w:vMerge/>
            <w:tcBorders/>
          </w:tcPr>
          <w:p/>
        </w:tc>
      </w:tr>
      <w:tr>
        <w:trPr>
          <w:trHeight w:hRule="exact" w:val="156"/>
        </w:trPr>
        <w:tc>
          <w:tcPr>
            <w:tcW w:type="dxa" w:w="1083"/>
            <w:vMerge/>
            <w:tcBorders/>
          </w:tcPr>
          <w:p/>
        </w:tc>
        <w:tc>
          <w:tcPr>
            <w:tcW w:type="dxa" w:w="1102"/>
            <w:gridSpan w:val="2"/>
            <w:tcBorders/>
            <w:tcMar>
              <w:start w:w="0" w:type="dxa"/>
              <w:end w:w="0" w:type="dxa"/>
            </w:tcMar>
            <w:tcMar>
              <w:start w:w="0" w:type="dxa"/>
              <w:end w:w="0" w:type="dxa"/>
            </w:tcMar>
          </w:tcPr>
          <w:p>
            <w:pPr>
              <w:autoSpaceDN w:val="0"/>
              <w:autoSpaceDE w:val="0"/>
              <w:widowControl/>
              <w:spacing w:line="230" w:lineRule="auto" w:before="2" w:after="0"/>
              <w:ind w:left="242" w:right="0" w:firstLine="0"/>
              <w:jc w:val="left"/>
            </w:pPr>
            <w:r>
              <w:rPr>
                <w:rFonts w:ascii="Arial" w:hAnsi="Arial" w:eastAsia="Arial"/>
                <w:b w:val="0"/>
                <w:i w:val="0"/>
                <w:color w:val="000000"/>
                <w:sz w:val="14"/>
              </w:rPr>
              <w:t>282,460,176</w:t>
            </w:r>
          </w:p>
        </w:tc>
        <w:tc>
          <w:tcPr>
            <w:tcW w:type="dxa" w:w="1220"/>
            <w:tcBorders/>
            <w:tcMar>
              <w:start w:w="0" w:type="dxa"/>
              <w:end w:w="0" w:type="dxa"/>
            </w:tcMar>
          </w:tcPr>
          <w:p>
            <w:pPr>
              <w:autoSpaceDN w:val="0"/>
              <w:autoSpaceDE w:val="0"/>
              <w:widowControl/>
              <w:spacing w:line="230" w:lineRule="auto" w:before="2" w:after="0"/>
              <w:ind w:left="278" w:right="0" w:firstLine="0"/>
              <w:jc w:val="left"/>
            </w:pPr>
            <w:r>
              <w:rPr>
                <w:rFonts w:ascii="Arial" w:hAnsi="Arial" w:eastAsia="Arial"/>
                <w:b w:val="0"/>
                <w:i w:val="0"/>
                <w:color w:val="000000"/>
                <w:sz w:val="14"/>
              </w:rPr>
              <w:t xml:space="preserve">(84,265,195) </w:t>
            </w:r>
          </w:p>
        </w:tc>
        <w:tc>
          <w:tcPr>
            <w:tcW w:type="dxa" w:w="1108"/>
            <w:tcBorders/>
            <w:tcMar>
              <w:start w:w="0" w:type="dxa"/>
              <w:end w:w="0" w:type="dxa"/>
            </w:tcMar>
          </w:tcPr>
          <w:p>
            <w:pPr>
              <w:autoSpaceDN w:val="0"/>
              <w:autoSpaceDE w:val="0"/>
              <w:widowControl/>
              <w:spacing w:line="230" w:lineRule="auto" w:before="2" w:after="0"/>
              <w:ind w:left="190" w:right="0" w:firstLine="0"/>
              <w:jc w:val="left"/>
            </w:pPr>
            <w:r>
              <w:rPr>
                <w:rFonts w:ascii="Arial" w:hAnsi="Arial" w:eastAsia="Arial"/>
                <w:b w:val="0"/>
                <w:i w:val="0"/>
                <w:color w:val="000000"/>
                <w:sz w:val="14"/>
              </w:rPr>
              <w:t xml:space="preserve">622,308,495 </w:t>
            </w:r>
          </w:p>
        </w:tc>
        <w:tc>
          <w:tcPr>
            <w:tcW w:type="dxa" w:w="1164"/>
            <w:tcBorders/>
            <w:tcMar>
              <w:start w:w="0" w:type="dxa"/>
              <w:end w:w="0" w:type="dxa"/>
            </w:tcMar>
          </w:tcPr>
          <w:p>
            <w:pPr>
              <w:autoSpaceDN w:val="0"/>
              <w:autoSpaceDE w:val="0"/>
              <w:widowControl/>
              <w:spacing w:line="230" w:lineRule="auto" w:before="2" w:after="0"/>
              <w:ind w:left="274" w:right="0" w:firstLine="0"/>
              <w:jc w:val="left"/>
            </w:pPr>
            <w:r>
              <w:rPr>
                <w:rFonts w:ascii="Arial" w:hAnsi="Arial" w:eastAsia="Arial"/>
                <w:b w:val="0"/>
                <w:i w:val="0"/>
                <w:color w:val="000000"/>
                <w:sz w:val="14"/>
              </w:rPr>
              <w:t xml:space="preserve">(77,410,519 ) </w:t>
            </w:r>
          </w:p>
        </w:tc>
        <w:tc>
          <w:tcPr>
            <w:tcW w:type="dxa" w:w="1162"/>
            <w:tcBorders/>
            <w:tcMar>
              <w:start w:w="0" w:type="dxa"/>
              <w:end w:w="0" w:type="dxa"/>
            </w:tcMar>
          </w:tcPr>
          <w:p>
            <w:pPr>
              <w:autoSpaceDN w:val="0"/>
              <w:autoSpaceDE w:val="0"/>
              <w:widowControl/>
              <w:spacing w:line="230" w:lineRule="auto" w:before="2" w:after="0"/>
              <w:ind w:left="0" w:right="46" w:firstLine="0"/>
              <w:jc w:val="right"/>
            </w:pPr>
            <w:r>
              <w:rPr>
                <w:rFonts w:ascii="Arial" w:hAnsi="Arial" w:eastAsia="Arial"/>
                <w:b w:val="0"/>
                <w:i w:val="0"/>
                <w:color w:val="000000"/>
                <w:sz w:val="14"/>
              </w:rPr>
              <w:t xml:space="preserve">93,334,971 </w:t>
            </w:r>
          </w:p>
        </w:tc>
        <w:tc>
          <w:tcPr>
            <w:tcW w:type="dxa" w:w="1162"/>
            <w:tcBorders/>
            <w:tcMar>
              <w:start w:w="0" w:type="dxa"/>
              <w:end w:w="0" w:type="dxa"/>
            </w:tcMar>
          </w:tcPr>
          <w:p>
            <w:pPr>
              <w:autoSpaceDN w:val="0"/>
              <w:autoSpaceDE w:val="0"/>
              <w:widowControl/>
              <w:spacing w:line="230" w:lineRule="auto" w:before="2" w:after="0"/>
              <w:ind w:left="0" w:right="46" w:firstLine="0"/>
              <w:jc w:val="right"/>
            </w:pPr>
            <w:r>
              <w:rPr>
                <w:rFonts w:ascii="Arial" w:hAnsi="Arial" w:eastAsia="Arial"/>
                <w:b w:val="0"/>
                <w:i w:val="0"/>
                <w:color w:val="000000"/>
                <w:sz w:val="14"/>
              </w:rPr>
              <w:t xml:space="preserve">3,123,407 </w:t>
            </w:r>
          </w:p>
        </w:tc>
        <w:tc>
          <w:tcPr>
            <w:tcW w:type="dxa" w:w="1446"/>
            <w:tcBorders/>
            <w:tcMar>
              <w:start w:w="0" w:type="dxa"/>
              <w:end w:w="0" w:type="dxa"/>
            </w:tcMar>
          </w:tcPr>
          <w:p>
            <w:pPr>
              <w:autoSpaceDN w:val="0"/>
              <w:autoSpaceDE w:val="0"/>
              <w:widowControl/>
              <w:spacing w:line="230" w:lineRule="auto" w:before="2" w:after="0"/>
              <w:ind w:left="0" w:right="144" w:firstLine="0"/>
              <w:jc w:val="right"/>
            </w:pPr>
            <w:r>
              <w:rPr>
                <w:rFonts w:ascii="Arial" w:hAnsi="Arial" w:eastAsia="Arial"/>
                <w:b w:val="0"/>
                <w:i w:val="0"/>
                <w:color w:val="000000"/>
                <w:sz w:val="14"/>
              </w:rPr>
              <w:t>27,821,758</w:t>
            </w:r>
          </w:p>
        </w:tc>
        <w:tc>
          <w:tcPr>
            <w:tcW w:type="dxa" w:w="1398"/>
            <w:gridSpan w:val="2"/>
            <w:tcBorders/>
            <w:tcMar>
              <w:start w:w="0" w:type="dxa"/>
              <w:end w:w="0" w:type="dxa"/>
            </w:tcMar>
            <w:tcMar>
              <w:start w:w="0" w:type="dxa"/>
              <w:end w:w="0" w:type="dxa"/>
            </w:tcMar>
          </w:tcPr>
          <w:p>
            <w:pPr>
              <w:autoSpaceDN w:val="0"/>
              <w:autoSpaceDE w:val="0"/>
              <w:widowControl/>
              <w:spacing w:line="230" w:lineRule="auto" w:before="2" w:after="0"/>
              <w:ind w:left="0" w:right="122" w:firstLine="0"/>
              <w:jc w:val="right"/>
            </w:pPr>
            <w:r>
              <w:rPr>
                <w:rFonts w:ascii="Arial" w:hAnsi="Arial" w:eastAsia="Arial"/>
                <w:b w:val="0"/>
                <w:i w:val="0"/>
                <w:color w:val="000000"/>
                <w:sz w:val="14"/>
              </w:rPr>
              <w:t xml:space="preserve">(160,279,079 ) </w:t>
            </w:r>
          </w:p>
        </w:tc>
        <w:tc>
          <w:tcPr>
            <w:tcW w:type="dxa" w:w="1060"/>
            <w:tcBorders/>
            <w:tcMar>
              <w:start w:w="0" w:type="dxa"/>
              <w:end w:w="0" w:type="dxa"/>
            </w:tcMar>
          </w:tcPr>
          <w:p>
            <w:pPr>
              <w:autoSpaceDN w:val="0"/>
              <w:autoSpaceDE w:val="0"/>
              <w:widowControl/>
              <w:spacing w:line="230" w:lineRule="auto" w:before="2" w:after="0"/>
              <w:ind w:left="0" w:right="0" w:firstLine="0"/>
              <w:jc w:val="center"/>
            </w:pPr>
            <w:r>
              <w:rPr>
                <w:rFonts w:ascii="Arial" w:hAnsi="Arial" w:eastAsia="Arial"/>
                <w:b w:val="0"/>
                <w:i w:val="0"/>
                <w:color w:val="000000"/>
                <w:sz w:val="14"/>
              </w:rPr>
              <w:t xml:space="preserve">(16,360,384 ) </w:t>
            </w:r>
          </w:p>
        </w:tc>
        <w:tc>
          <w:tcPr>
            <w:tcW w:type="dxa" w:w="1140"/>
            <w:tcBorders/>
            <w:tcMar>
              <w:start w:w="0" w:type="dxa"/>
              <w:end w:w="0" w:type="dxa"/>
            </w:tcMar>
          </w:tcPr>
          <w:p>
            <w:pPr>
              <w:autoSpaceDN w:val="0"/>
              <w:autoSpaceDE w:val="0"/>
              <w:widowControl/>
              <w:spacing w:line="230" w:lineRule="auto" w:before="2" w:after="0"/>
              <w:ind w:left="280" w:right="0" w:firstLine="0"/>
              <w:jc w:val="left"/>
            </w:pPr>
            <w:r>
              <w:rPr>
                <w:rFonts w:ascii="Arial" w:hAnsi="Arial" w:eastAsia="Arial"/>
                <w:b w:val="0"/>
                <w:i w:val="0"/>
                <w:color w:val="000000"/>
                <w:sz w:val="14"/>
              </w:rPr>
              <w:t>690,733,630</w:t>
            </w:r>
          </w:p>
        </w:tc>
      </w:tr>
      <w:tr>
        <w:trPr>
          <w:trHeight w:hRule="exact" w:val="340"/>
        </w:trPr>
        <w:tc>
          <w:tcPr>
            <w:tcW w:type="dxa" w:w="2098"/>
            <w:tcBorders/>
            <w:tcMar>
              <w:start w:w="0" w:type="dxa"/>
              <w:end w:w="0" w:type="dxa"/>
            </w:tcMar>
          </w:tcPr>
          <w:p>
            <w:pPr>
              <w:autoSpaceDN w:val="0"/>
              <w:autoSpaceDE w:val="0"/>
              <w:widowControl/>
              <w:spacing w:line="140" w:lineRule="exact" w:before="192" w:after="0"/>
              <w:ind w:left="0" w:right="0" w:firstLine="0"/>
              <w:jc w:val="left"/>
            </w:pPr>
            <w:r>
              <w:rPr>
                <w:rFonts w:ascii="黑体" w:hAnsi="黑体" w:eastAsia="黑体"/>
                <w:b w:val="0"/>
                <w:i w:val="0"/>
                <w:color w:val="000000"/>
                <w:sz w:val="14"/>
              </w:rPr>
              <w:t>资产总额</w:t>
            </w:r>
          </w:p>
        </w:tc>
        <w:tc>
          <w:tcPr>
            <w:tcW w:type="dxa" w:w="3430"/>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84" w:after="0"/>
              <w:ind w:left="0" w:right="0" w:firstLine="0"/>
              <w:jc w:val="center"/>
            </w:pPr>
            <w:r>
              <w:rPr>
                <w:rFonts w:ascii="Arial" w:hAnsi="Arial" w:eastAsia="Arial"/>
                <w:b w:val="0"/>
                <w:i w:val="0"/>
                <w:color w:val="000000"/>
                <w:sz w:val="14"/>
              </w:rPr>
              <w:t xml:space="preserve">24,957,864,778  1,242,528,047  37,968,134,613 </w:t>
            </w:r>
          </w:p>
        </w:tc>
        <w:tc>
          <w:tcPr>
            <w:tcW w:type="dxa" w:w="1164"/>
            <w:tcBorders/>
            <w:tcMar>
              <w:start w:w="0" w:type="dxa"/>
              <w:end w:w="0" w:type="dxa"/>
            </w:tcMar>
          </w:tcPr>
          <w:p>
            <w:pPr>
              <w:autoSpaceDN w:val="0"/>
              <w:autoSpaceDE w:val="0"/>
              <w:widowControl/>
              <w:spacing w:line="233" w:lineRule="auto" w:before="184" w:after="0"/>
              <w:ind w:left="0" w:right="0" w:firstLine="0"/>
              <w:jc w:val="center"/>
            </w:pPr>
            <w:r>
              <w:rPr>
                <w:rFonts w:ascii="Arial" w:hAnsi="Arial" w:eastAsia="Arial"/>
                <w:b w:val="0"/>
                <w:i w:val="0"/>
                <w:color w:val="000000"/>
                <w:sz w:val="14"/>
              </w:rPr>
              <w:t xml:space="preserve">4,199,880,483 </w:t>
            </w:r>
          </w:p>
        </w:tc>
        <w:tc>
          <w:tcPr>
            <w:tcW w:type="dxa" w:w="1162"/>
            <w:tcBorders/>
            <w:tcMar>
              <w:start w:w="0" w:type="dxa"/>
              <w:end w:w="0" w:type="dxa"/>
            </w:tcMar>
          </w:tcPr>
          <w:p>
            <w:pPr>
              <w:autoSpaceDN w:val="0"/>
              <w:autoSpaceDE w:val="0"/>
              <w:widowControl/>
              <w:spacing w:line="233" w:lineRule="auto" w:before="184" w:after="0"/>
              <w:ind w:left="244" w:right="0" w:firstLine="0"/>
              <w:jc w:val="left"/>
            </w:pPr>
            <w:r>
              <w:rPr>
                <w:rFonts w:ascii="Arial" w:hAnsi="Arial" w:eastAsia="Arial"/>
                <w:b w:val="0"/>
                <w:i w:val="0"/>
                <w:color w:val="000000"/>
                <w:sz w:val="14"/>
              </w:rPr>
              <w:t xml:space="preserve">739,960,486 </w:t>
            </w:r>
          </w:p>
        </w:tc>
        <w:tc>
          <w:tcPr>
            <w:tcW w:type="dxa" w:w="1162"/>
            <w:tcBorders/>
            <w:tcMar>
              <w:start w:w="0" w:type="dxa"/>
              <w:end w:w="0" w:type="dxa"/>
            </w:tcMar>
          </w:tcPr>
          <w:p>
            <w:pPr>
              <w:autoSpaceDN w:val="0"/>
              <w:autoSpaceDE w:val="0"/>
              <w:widowControl/>
              <w:spacing w:line="233" w:lineRule="auto" w:before="184" w:after="0"/>
              <w:ind w:left="126" w:right="0" w:firstLine="0"/>
              <w:jc w:val="left"/>
            </w:pPr>
            <w:r>
              <w:rPr>
                <w:rFonts w:ascii="Arial" w:hAnsi="Arial" w:eastAsia="Arial"/>
                <w:b w:val="0"/>
                <w:i w:val="0"/>
                <w:color w:val="000000"/>
                <w:sz w:val="14"/>
              </w:rPr>
              <w:t xml:space="preserve">9,023,909,504 </w:t>
            </w:r>
          </w:p>
        </w:tc>
        <w:tc>
          <w:tcPr>
            <w:tcW w:type="dxa" w:w="1446"/>
            <w:tcBorders/>
            <w:tcMar>
              <w:start w:w="0" w:type="dxa"/>
              <w:end w:w="0" w:type="dxa"/>
            </w:tcMar>
          </w:tcPr>
          <w:p>
            <w:pPr>
              <w:autoSpaceDN w:val="0"/>
              <w:autoSpaceDE w:val="0"/>
              <w:widowControl/>
              <w:spacing w:line="233" w:lineRule="auto" w:before="184" w:after="0"/>
              <w:ind w:left="0" w:right="44" w:firstLine="0"/>
              <w:jc w:val="right"/>
            </w:pPr>
            <w:r>
              <w:rPr>
                <w:rFonts w:ascii="Arial" w:hAnsi="Arial" w:eastAsia="Arial"/>
                <w:b w:val="0"/>
                <w:i w:val="0"/>
                <w:color w:val="000000"/>
                <w:sz w:val="14"/>
              </w:rPr>
              <w:t xml:space="preserve">1,154,268,608 </w:t>
            </w:r>
          </w:p>
        </w:tc>
        <w:tc>
          <w:tcPr>
            <w:tcW w:type="dxa" w:w="359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84" w:after="0"/>
              <w:ind w:left="216" w:right="0" w:firstLine="0"/>
              <w:jc w:val="left"/>
            </w:pPr>
            <w:r>
              <w:rPr>
                <w:rFonts w:ascii="Arial" w:hAnsi="Arial" w:eastAsia="Arial"/>
                <w:b w:val="0"/>
                <w:i w:val="0"/>
                <w:color w:val="000000"/>
                <w:sz w:val="14"/>
              </w:rPr>
              <w:t>14,591,583,397  13,216,785,802 )  80,661,344,114</w:t>
            </w:r>
          </w:p>
        </w:tc>
      </w:tr>
      <w:tr>
        <w:trPr>
          <w:trHeight w:hRule="exact" w:val="416"/>
        </w:trPr>
        <w:tc>
          <w:tcPr>
            <w:tcW w:type="dxa" w:w="2098"/>
            <w:tcBorders/>
            <w:tcMar>
              <w:start w:w="0" w:type="dxa"/>
              <w:end w:w="0" w:type="dxa"/>
            </w:tcMar>
          </w:tcPr>
          <w:p>
            <w:pPr>
              <w:autoSpaceDN w:val="0"/>
              <w:autoSpaceDE w:val="0"/>
              <w:widowControl/>
              <w:spacing w:line="140" w:lineRule="exact" w:before="196" w:after="0"/>
              <w:ind w:left="0" w:right="0" w:firstLine="0"/>
              <w:jc w:val="left"/>
            </w:pPr>
            <w:r>
              <w:rPr>
                <w:rFonts w:ascii="黑体" w:hAnsi="黑体" w:eastAsia="黑体"/>
                <w:b w:val="0"/>
                <w:i w:val="0"/>
                <w:color w:val="000000"/>
                <w:sz w:val="14"/>
              </w:rPr>
              <w:t>负债总额</w:t>
            </w:r>
          </w:p>
        </w:tc>
        <w:tc>
          <w:tcPr>
            <w:tcW w:type="dxa" w:w="1102"/>
            <w:gridSpan w:val="2"/>
            <w:tcBorders/>
            <w:tcMar>
              <w:start w:w="0" w:type="dxa"/>
              <w:end w:w="0" w:type="dxa"/>
            </w:tcMar>
            <w:tcMar>
              <w:start w:w="0" w:type="dxa"/>
              <w:end w:w="0" w:type="dxa"/>
            </w:tcMar>
          </w:tcPr>
          <w:p>
            <w:pPr>
              <w:autoSpaceDN w:val="0"/>
              <w:autoSpaceDE w:val="0"/>
              <w:widowControl/>
              <w:spacing w:line="230" w:lineRule="auto" w:before="202" w:after="0"/>
              <w:ind w:left="0" w:right="0" w:firstLine="0"/>
              <w:jc w:val="center"/>
            </w:pPr>
            <w:r>
              <w:rPr>
                <w:rFonts w:ascii="Arial" w:hAnsi="Arial" w:eastAsia="Arial"/>
                <w:b w:val="0"/>
                <w:i w:val="0"/>
                <w:color w:val="000000"/>
                <w:sz w:val="14"/>
              </w:rPr>
              <w:t xml:space="preserve">14,553,998,349 </w:t>
            </w:r>
          </w:p>
        </w:tc>
        <w:tc>
          <w:tcPr>
            <w:tcW w:type="dxa" w:w="2328"/>
            <w:gridSpan w:val="2"/>
            <w:tcBorders/>
            <w:tcMar>
              <w:start w:w="0" w:type="dxa"/>
              <w:end w:w="0" w:type="dxa"/>
            </w:tcMar>
            <w:tcMar>
              <w:start w:w="0" w:type="dxa"/>
              <w:end w:w="0" w:type="dxa"/>
            </w:tcMar>
          </w:tcPr>
          <w:p>
            <w:pPr>
              <w:autoSpaceDN w:val="0"/>
              <w:autoSpaceDE w:val="0"/>
              <w:widowControl/>
              <w:spacing w:line="230" w:lineRule="auto" w:before="202" w:after="0"/>
              <w:ind w:left="248" w:right="0" w:firstLine="0"/>
              <w:jc w:val="left"/>
            </w:pPr>
            <w:r>
              <w:rPr>
                <w:rFonts w:ascii="Arial" w:hAnsi="Arial" w:eastAsia="Arial"/>
                <w:b w:val="0"/>
                <w:i w:val="0"/>
                <w:color w:val="000000"/>
                <w:sz w:val="14"/>
              </w:rPr>
              <w:t xml:space="preserve">136,793,255  25,637,277,842 </w:t>
            </w:r>
          </w:p>
        </w:tc>
        <w:tc>
          <w:tcPr>
            <w:tcW w:type="dxa" w:w="1164"/>
            <w:tcBorders/>
            <w:tcMar>
              <w:start w:w="0" w:type="dxa"/>
              <w:end w:w="0" w:type="dxa"/>
            </w:tcMar>
          </w:tcPr>
          <w:p>
            <w:pPr>
              <w:autoSpaceDN w:val="0"/>
              <w:autoSpaceDE w:val="0"/>
              <w:widowControl/>
              <w:spacing w:line="230" w:lineRule="auto" w:before="202" w:after="0"/>
              <w:ind w:left="242" w:right="0" w:firstLine="0"/>
              <w:jc w:val="left"/>
            </w:pPr>
            <w:r>
              <w:rPr>
                <w:rFonts w:ascii="Arial" w:hAnsi="Arial" w:eastAsia="Arial"/>
                <w:b w:val="0"/>
                <w:i w:val="0"/>
                <w:color w:val="000000"/>
                <w:sz w:val="14"/>
              </w:rPr>
              <w:t xml:space="preserve">981,611,486 </w:t>
            </w:r>
          </w:p>
        </w:tc>
        <w:tc>
          <w:tcPr>
            <w:tcW w:type="dxa" w:w="1162"/>
            <w:tcBorders/>
            <w:tcMar>
              <w:start w:w="0" w:type="dxa"/>
              <w:end w:w="0" w:type="dxa"/>
            </w:tcMar>
          </w:tcPr>
          <w:p>
            <w:pPr>
              <w:autoSpaceDN w:val="0"/>
              <w:autoSpaceDE w:val="0"/>
              <w:widowControl/>
              <w:spacing w:line="230" w:lineRule="auto" w:before="202" w:after="0"/>
              <w:ind w:left="244" w:right="0" w:firstLine="0"/>
              <w:jc w:val="left"/>
            </w:pPr>
            <w:r>
              <w:rPr>
                <w:rFonts w:ascii="Arial" w:hAnsi="Arial" w:eastAsia="Arial"/>
                <w:b w:val="0"/>
                <w:i w:val="0"/>
                <w:color w:val="000000"/>
                <w:sz w:val="14"/>
              </w:rPr>
              <w:t xml:space="preserve">113,487,753 </w:t>
            </w:r>
          </w:p>
        </w:tc>
        <w:tc>
          <w:tcPr>
            <w:tcW w:type="dxa" w:w="1162"/>
            <w:tcBorders/>
            <w:tcMar>
              <w:start w:w="0" w:type="dxa"/>
              <w:end w:w="0" w:type="dxa"/>
            </w:tcMar>
          </w:tcPr>
          <w:p>
            <w:pPr>
              <w:autoSpaceDN w:val="0"/>
              <w:autoSpaceDE w:val="0"/>
              <w:widowControl/>
              <w:spacing w:line="230" w:lineRule="auto" w:before="202" w:after="0"/>
              <w:ind w:left="126" w:right="0" w:firstLine="0"/>
              <w:jc w:val="left"/>
            </w:pPr>
            <w:r>
              <w:rPr>
                <w:rFonts w:ascii="Arial" w:hAnsi="Arial" w:eastAsia="Arial"/>
                <w:b w:val="0"/>
                <w:i w:val="0"/>
                <w:color w:val="000000"/>
                <w:sz w:val="14"/>
              </w:rPr>
              <w:t xml:space="preserve">7,768,747,406 </w:t>
            </w:r>
          </w:p>
        </w:tc>
        <w:tc>
          <w:tcPr>
            <w:tcW w:type="dxa" w:w="1446"/>
            <w:tcBorders/>
            <w:tcMar>
              <w:start w:w="0" w:type="dxa"/>
              <w:end w:w="0" w:type="dxa"/>
            </w:tcMar>
          </w:tcPr>
          <w:p>
            <w:pPr>
              <w:autoSpaceDN w:val="0"/>
              <w:autoSpaceDE w:val="0"/>
              <w:widowControl/>
              <w:spacing w:line="230" w:lineRule="auto" w:before="202" w:after="0"/>
              <w:ind w:left="0" w:right="44" w:firstLine="0"/>
              <w:jc w:val="right"/>
            </w:pPr>
            <w:r>
              <w:rPr>
                <w:rFonts w:ascii="Arial" w:hAnsi="Arial" w:eastAsia="Arial"/>
                <w:b w:val="0"/>
                <w:i w:val="0"/>
                <w:color w:val="000000"/>
                <w:sz w:val="14"/>
              </w:rPr>
              <w:t xml:space="preserve">256,135,957 </w:t>
            </w:r>
          </w:p>
        </w:tc>
        <w:tc>
          <w:tcPr>
            <w:tcW w:type="dxa" w:w="359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02" w:after="0"/>
              <w:ind w:left="216" w:right="0" w:firstLine="0"/>
              <w:jc w:val="left"/>
            </w:pPr>
            <w:r>
              <w:rPr>
                <w:rFonts w:ascii="Arial" w:hAnsi="Arial" w:eastAsia="Arial"/>
                <w:b w:val="0"/>
                <w:i w:val="0"/>
                <w:color w:val="000000"/>
                <w:sz w:val="14"/>
              </w:rPr>
              <w:t>15,239,408,547  (2,319,585,719 )  62,367,874,876</w:t>
            </w:r>
          </w:p>
        </w:tc>
      </w:tr>
    </w:tbl>
    <w:p>
      <w:pPr>
        <w:autoSpaceDN w:val="0"/>
        <w:autoSpaceDE w:val="0"/>
        <w:widowControl/>
        <w:spacing w:line="138" w:lineRule="exact" w:before="124" w:after="20"/>
        <w:ind w:left="0" w:right="0" w:firstLine="0"/>
        <w:jc w:val="left"/>
      </w:pPr>
      <w:r>
        <w:rPr>
          <w:rFonts w:ascii="黑体" w:hAnsi="黑体" w:eastAsia="黑体"/>
          <w:b w:val="0"/>
          <w:i w:val="0"/>
          <w:color w:val="000000"/>
          <w:sz w:val="14"/>
        </w:rPr>
        <w:t>长期股权投资以外的其他非流动</w:t>
      </w:r>
    </w:p>
    <w:tbl>
      <w:tblPr>
        <w:tblW w:type="auto" w:w="0"/>
        <w:tblLayout w:type="fixed"/>
        <w:tblLook w:firstColumn="1" w:firstRow="1" w:lastColumn="0" w:lastRow="0" w:noHBand="0" w:noVBand="1" w:val="04A0"/>
        <w:tblInd w:w="0.0" w:type="dxa"/>
      </w:tblPr>
      <w:tblGrid>
        <w:gridCol w:w="1280"/>
        <w:gridCol w:w="1280"/>
        <w:gridCol w:w="1280"/>
        <w:gridCol w:w="1280"/>
        <w:gridCol w:w="1280"/>
        <w:gridCol w:w="1280"/>
        <w:gridCol w:w="1280"/>
        <w:gridCol w:w="1280"/>
        <w:gridCol w:w="1280"/>
        <w:gridCol w:w="1280"/>
        <w:gridCol w:w="1280"/>
      </w:tblGrid>
      <w:tr>
        <w:trPr>
          <w:trHeight w:hRule="exact" w:val="242"/>
        </w:trPr>
        <w:tc>
          <w:tcPr>
            <w:tcW w:type="dxa" w:w="1920"/>
            <w:tcBorders/>
            <w:tcMar>
              <w:start w:w="0" w:type="dxa"/>
              <w:end w:w="0" w:type="dxa"/>
            </w:tcMar>
          </w:tcPr>
          <w:p>
            <w:pPr>
              <w:autoSpaceDN w:val="0"/>
              <w:autoSpaceDE w:val="0"/>
              <w:widowControl/>
              <w:spacing w:line="154" w:lineRule="exact" w:before="18" w:after="0"/>
              <w:ind w:left="0" w:right="0" w:firstLine="0"/>
              <w:jc w:val="left"/>
            </w:pPr>
            <w:r>
              <w:rPr>
                <w:rFonts w:ascii="黑体" w:hAnsi="黑体" w:eastAsia="黑体"/>
                <w:b w:val="0"/>
                <w:i w:val="0"/>
                <w:color w:val="000000"/>
                <w:sz w:val="14"/>
              </w:rPr>
              <w:t>资产净（减少）</w:t>
            </w:r>
            <w:r>
              <w:rPr>
                <w:rFonts w:ascii="Arial" w:hAnsi="Arial" w:eastAsia="Arial"/>
                <w:b w:val="0"/>
                <w:i w:val="0"/>
                <w:color w:val="000000"/>
                <w:sz w:val="14"/>
              </w:rPr>
              <w:t>/</w:t>
            </w:r>
            <w:r>
              <w:rPr>
                <w:rFonts w:ascii="黑体" w:hAnsi="黑体" w:eastAsia="黑体"/>
                <w:b w:val="0"/>
                <w:i w:val="0"/>
                <w:color w:val="000000"/>
                <w:sz w:val="14"/>
              </w:rPr>
              <w:t>增加额</w:t>
            </w:r>
          </w:p>
        </w:tc>
        <w:tc>
          <w:tcPr>
            <w:tcW w:type="dxa" w:w="1420"/>
            <w:tcBorders/>
            <w:tcMar>
              <w:start w:w="0" w:type="dxa"/>
              <w:end w:w="0" w:type="dxa"/>
            </w:tcMar>
          </w:tcPr>
          <w:p>
            <w:pPr>
              <w:autoSpaceDN w:val="0"/>
              <w:autoSpaceDE w:val="0"/>
              <w:widowControl/>
              <w:spacing w:line="230" w:lineRule="auto" w:before="28" w:after="0"/>
              <w:ind w:left="0" w:right="122" w:firstLine="0"/>
              <w:jc w:val="right"/>
            </w:pPr>
            <w:r>
              <w:rPr>
                <w:rFonts w:ascii="Arial" w:hAnsi="Arial" w:eastAsia="Arial"/>
                <w:b w:val="0"/>
                <w:i w:val="0"/>
                <w:color w:val="000000"/>
                <w:sz w:val="14"/>
              </w:rPr>
              <w:t xml:space="preserve">23,477,596 </w:t>
            </w:r>
          </w:p>
        </w:tc>
        <w:tc>
          <w:tcPr>
            <w:tcW w:type="dxa" w:w="112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(48,423,116) </w:t>
            </w:r>
          </w:p>
        </w:tc>
        <w:tc>
          <w:tcPr>
            <w:tcW w:type="dxa" w:w="120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(40,724,046) </w:t>
            </w:r>
          </w:p>
        </w:tc>
        <w:tc>
          <w:tcPr>
            <w:tcW w:type="dxa" w:w="112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(1,256,565 ) </w:t>
            </w:r>
          </w:p>
        </w:tc>
        <w:tc>
          <w:tcPr>
            <w:tcW w:type="dxa" w:w="118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(21,798,459) </w:t>
            </w:r>
          </w:p>
        </w:tc>
        <w:tc>
          <w:tcPr>
            <w:tcW w:type="dxa" w:w="1360"/>
            <w:tcBorders/>
            <w:tcMar>
              <w:start w:w="0" w:type="dxa"/>
              <w:end w:w="0" w:type="dxa"/>
            </w:tcMar>
          </w:tcPr>
          <w:p>
            <w:pPr>
              <w:autoSpaceDN w:val="0"/>
              <w:autoSpaceDE w:val="0"/>
              <w:widowControl/>
              <w:spacing w:line="230" w:lineRule="auto" w:before="28" w:after="0"/>
              <w:ind w:left="168" w:right="0" w:firstLine="0"/>
              <w:jc w:val="left"/>
            </w:pPr>
            <w:r>
              <w:rPr>
                <w:rFonts w:ascii="Arial" w:hAnsi="Arial" w:eastAsia="Arial"/>
                <w:b w:val="0"/>
                <w:i w:val="0"/>
                <w:color w:val="000000"/>
                <w:sz w:val="14"/>
              </w:rPr>
              <w:t xml:space="preserve">(18,981,749) </w:t>
            </w:r>
          </w:p>
        </w:tc>
        <w:tc>
          <w:tcPr>
            <w:tcW w:type="dxa" w:w="132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1,479,748</w:t>
            </w:r>
          </w:p>
        </w:tc>
        <w:tc>
          <w:tcPr>
            <w:tcW w:type="dxa" w:w="1260"/>
            <w:tcBorders/>
            <w:tcMar>
              <w:start w:w="0" w:type="dxa"/>
              <w:end w:w="0" w:type="dxa"/>
            </w:tcMar>
          </w:tcPr>
          <w:p>
            <w:pPr>
              <w:autoSpaceDN w:val="0"/>
              <w:autoSpaceDE w:val="0"/>
              <w:widowControl/>
              <w:spacing w:line="230" w:lineRule="auto" w:before="28" w:after="0"/>
              <w:ind w:left="0" w:right="162" w:firstLine="0"/>
              <w:jc w:val="right"/>
            </w:pPr>
            <w:r>
              <w:rPr>
                <w:rFonts w:ascii="Arial" w:hAnsi="Arial" w:eastAsia="Arial"/>
                <w:b w:val="0"/>
                <w:i w:val="0"/>
                <w:color w:val="000000"/>
                <w:sz w:val="14"/>
              </w:rPr>
              <w:t xml:space="preserve">(3,425,923 ) </w:t>
            </w:r>
          </w:p>
        </w:tc>
        <w:tc>
          <w:tcPr>
            <w:tcW w:type="dxa" w:w="1080"/>
            <w:tcBorders/>
            <w:tcMar>
              <w:start w:w="0" w:type="dxa"/>
              <w:end w:w="0" w:type="dxa"/>
            </w:tcMar>
          </w:tcPr>
          <w:p>
            <w:pPr>
              <w:autoSpaceDN w:val="0"/>
              <w:autoSpaceDE w:val="0"/>
              <w:widowControl/>
              <w:spacing w:line="230" w:lineRule="auto" w:before="28" w:after="0"/>
              <w:ind w:left="0" w:right="0" w:firstLine="0"/>
              <w:jc w:val="center"/>
            </w:pPr>
            <w:r>
              <w:rPr>
                <w:rFonts w:ascii="Arial" w:hAnsi="Arial" w:eastAsia="Arial"/>
                <w:b w:val="0"/>
                <w:i w:val="0"/>
                <w:color w:val="000000"/>
                <w:sz w:val="14"/>
              </w:rPr>
              <w:t xml:space="preserve">(1,083,194 ) </w:t>
            </w:r>
          </w:p>
        </w:tc>
        <w:tc>
          <w:tcPr>
            <w:tcW w:type="dxa" w:w="1080"/>
            <w:tcBorders/>
            <w:tcMar>
              <w:start w:w="0" w:type="dxa"/>
              <w:end w:w="0" w:type="dxa"/>
            </w:tcMar>
          </w:tcPr>
          <w:p>
            <w:pPr>
              <w:autoSpaceDN w:val="0"/>
              <w:autoSpaceDE w:val="0"/>
              <w:widowControl/>
              <w:spacing w:line="230" w:lineRule="auto" w:before="28" w:after="0"/>
              <w:ind w:left="172" w:right="0" w:firstLine="0"/>
              <w:jc w:val="left"/>
            </w:pPr>
            <w:r>
              <w:rPr>
                <w:rFonts w:ascii="Arial" w:hAnsi="Arial" w:eastAsia="Arial"/>
                <w:b w:val="0"/>
                <w:i w:val="0"/>
                <w:color w:val="000000"/>
                <w:sz w:val="14"/>
              </w:rPr>
              <w:t xml:space="preserve">(110,735,708) </w:t>
            </w:r>
          </w:p>
        </w:tc>
      </w:tr>
    </w:tbl>
    <w:p>
      <w:pPr>
        <w:autoSpaceDN w:val="0"/>
        <w:autoSpaceDE w:val="0"/>
        <w:widowControl/>
        <w:spacing w:line="233" w:lineRule="auto" w:before="4858" w:after="0"/>
        <w:ind w:left="0" w:right="0" w:firstLine="0"/>
        <w:jc w:val="center"/>
      </w:pPr>
      <w:r>
        <w:rPr>
          <w:rFonts w:ascii="Arial" w:hAnsi="Arial" w:eastAsia="Arial"/>
          <w:b w:val="0"/>
          <w:i w:val="0"/>
          <w:color w:val="000000"/>
          <w:sz w:val="20"/>
        </w:rPr>
        <w:t xml:space="preserve">261 </w:t>
      </w:r>
    </w:p>
    <w:p>
      <w:pPr>
        <w:sectPr>
          <w:pgSz w:w="16841" w:h="11899"/>
          <w:pgMar w:top="1120" w:right="1318"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28" w:val="left"/>
        </w:tabs>
        <w:autoSpaceDE w:val="0"/>
        <w:widowControl/>
        <w:spacing w:line="220" w:lineRule="exact" w:before="0" w:after="0"/>
        <w:ind w:left="0" w:right="0" w:firstLine="0"/>
        <w:jc w:val="left"/>
      </w:pPr>
      <w:r>
        <w:rPr>
          <w:rFonts w:ascii="黑体" w:hAnsi="黑体" w:eastAsia="黑体"/>
          <w:b w:val="0"/>
          <w:i w:val="0"/>
          <w:color w:val="000000"/>
          <w:sz w:val="22"/>
        </w:rPr>
        <w:t>九、</w:t>
      </w:r>
      <w:r>
        <w:tab/>
      </w:r>
      <w:r>
        <w:rPr>
          <w:rFonts w:ascii="黑体" w:hAnsi="黑体" w:eastAsia="黑体"/>
          <w:b w:val="0"/>
          <w:i w:val="0"/>
          <w:color w:val="000000"/>
          <w:sz w:val="22"/>
        </w:rPr>
        <w:t>分部报告（续）</w:t>
      </w:r>
    </w:p>
    <w:p>
      <w:pPr>
        <w:autoSpaceDN w:val="0"/>
        <w:autoSpaceDE w:val="0"/>
        <w:widowControl/>
        <w:spacing w:line="246" w:lineRule="exact" w:before="306" w:after="248"/>
        <w:ind w:left="0"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年度及截至</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日分部信息</w:t>
      </w:r>
    </w:p>
    <w:tbl>
      <w:tblPr>
        <w:tblW w:type="auto" w:w="0"/>
        <w:tblLayout w:type="fixed"/>
        <w:tblLook w:firstColumn="1" w:firstRow="1" w:lastColumn="0" w:lastRow="0" w:noHBand="0" w:noVBand="1" w:val="04A0"/>
        <w:tblInd w:w="0.0" w:type="dxa"/>
      </w:tblPr>
      <w:tblGrid>
        <w:gridCol w:w="1279"/>
        <w:gridCol w:w="1279"/>
        <w:gridCol w:w="1279"/>
        <w:gridCol w:w="1279"/>
        <w:gridCol w:w="1279"/>
        <w:gridCol w:w="1279"/>
        <w:gridCol w:w="1279"/>
        <w:gridCol w:w="1279"/>
        <w:gridCol w:w="1279"/>
        <w:gridCol w:w="1279"/>
        <w:gridCol w:w="1279"/>
      </w:tblGrid>
      <w:tr>
        <w:trPr>
          <w:trHeight w:hRule="exact" w:val="206"/>
        </w:trPr>
        <w:tc>
          <w:tcPr>
            <w:tcW w:type="dxa" w:w="2098"/>
            <w:vMerge w:val="restart"/>
            <w:tcBorders>
              <w:bottom w:sz="4.0" w:val="single" w:color="#000000"/>
            </w:tcBorders>
            <w:tcMar>
              <w:start w:w="0" w:type="dxa"/>
              <w:end w:w="0" w:type="dxa"/>
            </w:tcMar>
            <w:tcMar>
              <w:start w:w="0" w:type="dxa"/>
              <w:end w:w="0" w:type="dxa"/>
            </w:tcMar>
          </w:tcP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0" w:firstLine="0"/>
              <w:jc w:val="center"/>
            </w:pPr>
            <w:r>
              <w:rPr>
                <w:rFonts w:ascii="黑体" w:hAnsi="黑体" w:eastAsia="黑体"/>
                <w:b w:val="0"/>
                <w:i w:val="0"/>
                <w:color w:val="000000"/>
                <w:sz w:val="14"/>
              </w:rPr>
              <w:t>证券经纪业务</w:t>
            </w:r>
          </w:p>
        </w:tc>
        <w:tc>
          <w:tcPr>
            <w:tcW w:type="dxa" w:w="964"/>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124" w:right="0" w:firstLine="0"/>
              <w:jc w:val="left"/>
            </w:pPr>
            <w:r>
              <w:rPr>
                <w:rFonts w:ascii="黑体" w:hAnsi="黑体" w:eastAsia="黑体"/>
                <w:b w:val="0"/>
                <w:i w:val="0"/>
                <w:color w:val="000000"/>
                <w:sz w:val="14"/>
              </w:rPr>
              <w:t>投资银行业务</w:t>
            </w:r>
          </w:p>
        </w:tc>
        <w:tc>
          <w:tcPr>
            <w:tcW w:type="dxa" w:w="1304"/>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322" w:right="0" w:firstLine="0"/>
              <w:jc w:val="left"/>
            </w:pPr>
            <w:r>
              <w:rPr>
                <w:rFonts w:ascii="黑体" w:hAnsi="黑体" w:eastAsia="黑体"/>
                <w:b w:val="0"/>
                <w:i w:val="0"/>
                <w:color w:val="000000"/>
                <w:sz w:val="14"/>
              </w:rPr>
              <w:t>固定收益业务</w:t>
            </w:r>
          </w:p>
        </w:tc>
        <w:tc>
          <w:tcPr>
            <w:tcW w:type="dxa" w:w="1164"/>
            <w:tcBorders/>
            <w:tcMar>
              <w:start w:w="0" w:type="dxa"/>
              <w:end w:w="0" w:type="dxa"/>
            </w:tcMar>
          </w:tcPr>
          <w:p>
            <w:pPr>
              <w:autoSpaceDN w:val="0"/>
              <w:autoSpaceDE w:val="0"/>
              <w:widowControl/>
              <w:spacing w:line="140" w:lineRule="exact" w:before="60" w:after="0"/>
              <w:ind w:left="42" w:right="0" w:firstLine="0"/>
              <w:jc w:val="left"/>
            </w:pPr>
            <w:r>
              <w:rPr>
                <w:rFonts w:ascii="黑体" w:hAnsi="黑体" w:eastAsia="黑体"/>
                <w:b w:val="0"/>
                <w:i w:val="0"/>
                <w:color w:val="000000"/>
                <w:sz w:val="14"/>
              </w:rPr>
              <w:t>股票等其他自营</w:t>
            </w:r>
          </w:p>
        </w:tc>
        <w:tc>
          <w:tcPr>
            <w:tcW w:type="dxa" w:w="1020"/>
            <w:tcBorders/>
            <w:tcMar>
              <w:start w:w="0" w:type="dxa"/>
              <w:end w:w="0" w:type="dxa"/>
            </w:tcMar>
          </w:tcPr>
          <w:p>
            <w:pPr>
              <w:autoSpaceDN w:val="0"/>
              <w:autoSpaceDE w:val="0"/>
              <w:widowControl/>
              <w:spacing w:line="140" w:lineRule="exact" w:before="60" w:after="0"/>
              <w:ind w:left="0" w:right="0" w:firstLine="0"/>
              <w:jc w:val="center"/>
            </w:pPr>
            <w:r>
              <w:rPr>
                <w:rFonts w:ascii="黑体" w:hAnsi="黑体" w:eastAsia="黑体"/>
                <w:b w:val="0"/>
                <w:i w:val="0"/>
                <w:color w:val="000000"/>
                <w:sz w:val="14"/>
              </w:rPr>
              <w:t>受托资产管理业</w:t>
            </w:r>
          </w:p>
        </w:tc>
        <w:tc>
          <w:tcPr>
            <w:tcW w:type="dxa" w:w="1428"/>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170" w:firstLine="0"/>
              <w:jc w:val="right"/>
            </w:pPr>
            <w:r>
              <w:rPr>
                <w:rFonts w:ascii="黑体" w:hAnsi="黑体" w:eastAsia="黑体"/>
                <w:b w:val="0"/>
                <w:i w:val="0"/>
                <w:color w:val="000000"/>
                <w:sz w:val="14"/>
              </w:rPr>
              <w:t>期货经纪业务</w:t>
            </w:r>
          </w:p>
        </w:tc>
        <w:tc>
          <w:tcPr>
            <w:tcW w:type="dxa" w:w="1448"/>
            <w:tcBorders/>
            <w:tcMar>
              <w:start w:w="0" w:type="dxa"/>
              <w:end w:w="0" w:type="dxa"/>
            </w:tcMar>
          </w:tcPr>
          <w:p>
            <w:pPr>
              <w:autoSpaceDN w:val="0"/>
              <w:autoSpaceDE w:val="0"/>
              <w:widowControl/>
              <w:spacing w:line="140" w:lineRule="exact" w:before="60" w:after="0"/>
              <w:ind w:left="44" w:right="0" w:firstLine="0"/>
              <w:jc w:val="left"/>
            </w:pPr>
            <w:r>
              <w:rPr>
                <w:rFonts w:ascii="黑体" w:hAnsi="黑体" w:eastAsia="黑体"/>
                <w:b w:val="0"/>
                <w:i w:val="0"/>
                <w:color w:val="000000"/>
                <w:sz w:val="14"/>
              </w:rPr>
              <w:t>大宗商品交易及风险</w:t>
            </w:r>
          </w:p>
        </w:tc>
        <w:tc>
          <w:tcPr>
            <w:tcW w:type="dxa" w:w="1316"/>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26" w:right="0" w:firstLine="0"/>
              <w:jc w:val="left"/>
            </w:pPr>
            <w:r>
              <w:rPr>
                <w:rFonts w:ascii="黑体" w:hAnsi="黑体" w:eastAsia="黑体"/>
                <w:b w:val="0"/>
                <w:i w:val="0"/>
                <w:color w:val="000000"/>
                <w:sz w:val="14"/>
              </w:rPr>
              <w:t>未分配项目及其他</w:t>
            </w:r>
          </w:p>
        </w:tc>
        <w:tc>
          <w:tcPr>
            <w:tcW w:type="dxa" w:w="1106"/>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264" w:right="0" w:firstLine="0"/>
              <w:jc w:val="left"/>
            </w:pPr>
            <w:r>
              <w:rPr>
                <w:rFonts w:ascii="黑体" w:hAnsi="黑体" w:eastAsia="黑体"/>
                <w:b w:val="0"/>
                <w:i w:val="0"/>
                <w:color w:val="000000"/>
                <w:sz w:val="14"/>
              </w:rPr>
              <w:t>分部间抵销</w:t>
            </w:r>
          </w:p>
        </w:tc>
        <w:tc>
          <w:tcPr>
            <w:tcW w:type="dxa" w:w="1030"/>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82" w:firstLine="0"/>
              <w:jc w:val="right"/>
            </w:pPr>
            <w:r>
              <w:rPr>
                <w:rFonts w:ascii="黑体" w:hAnsi="黑体" w:eastAsia="黑体"/>
                <w:b w:val="0"/>
                <w:i w:val="0"/>
                <w:color w:val="000000"/>
                <w:sz w:val="14"/>
              </w:rPr>
              <w:t>合计</w:t>
            </w:r>
          </w:p>
        </w:tc>
      </w:tr>
      <w:tr>
        <w:trPr>
          <w:trHeight w:hRule="exact" w:val="202"/>
        </w:trPr>
        <w:tc>
          <w:tcPr>
            <w:tcW w:type="dxa" w:w="1279"/>
            <w:vMerge/>
            <w:tcBorders>
              <w:bottom w:sz="4.0" w:val="single" w:color="#000000"/>
            </w:tcBorders>
          </w:tcPr>
          <w:p/>
        </w:tc>
        <w:tc>
          <w:tcPr>
            <w:tcW w:type="dxa" w:w="1279"/>
            <w:vMerge/>
            <w:tcBorders>
              <w:bottom w:sz="4.0" w:val="single" w:color="#000000"/>
            </w:tcBorders>
          </w:tcPr>
          <w:p/>
        </w:tc>
        <w:tc>
          <w:tcPr>
            <w:tcW w:type="dxa" w:w="1279"/>
            <w:vMerge/>
            <w:tcBorders>
              <w:bottom w:sz="4.0" w:val="single" w:color="#000000"/>
            </w:tcBorders>
          </w:tcPr>
          <w:p/>
        </w:tc>
        <w:tc>
          <w:tcPr>
            <w:tcW w:type="dxa" w:w="1279"/>
            <w:vMerge/>
            <w:tcBorders>
              <w:bottom w:sz="4.0" w:val="single" w:color="#000000"/>
            </w:tcBorders>
          </w:tcPr>
          <w:p/>
        </w:tc>
        <w:tc>
          <w:tcPr>
            <w:tcW w:type="dxa" w:w="1164"/>
            <w:tcBorders>
              <w:bottom w:sz="4.0" w:val="single" w:color="#000000"/>
            </w:tcBorders>
            <w:tcMar>
              <w:start w:w="0" w:type="dxa"/>
              <w:end w:w="0" w:type="dxa"/>
            </w:tcMar>
          </w:tcPr>
          <w:p>
            <w:pPr>
              <w:autoSpaceDN w:val="0"/>
              <w:autoSpaceDE w:val="0"/>
              <w:widowControl/>
              <w:spacing w:line="140" w:lineRule="exact" w:before="34" w:after="0"/>
              <w:ind w:left="0" w:right="146" w:firstLine="0"/>
              <w:jc w:val="right"/>
            </w:pPr>
            <w:r>
              <w:rPr>
                <w:rFonts w:ascii="黑体" w:hAnsi="黑体" w:eastAsia="黑体"/>
                <w:b w:val="0"/>
                <w:i w:val="0"/>
                <w:color w:val="000000"/>
                <w:sz w:val="14"/>
              </w:rPr>
              <w:t>投资业务</w:t>
            </w:r>
          </w:p>
        </w:tc>
        <w:tc>
          <w:tcPr>
            <w:tcW w:type="dxa" w:w="1020"/>
            <w:tcBorders>
              <w:bottom w:sz="4.0" w:val="single" w:color="#000000"/>
            </w:tcBorders>
            <w:tcMar>
              <w:start w:w="0" w:type="dxa"/>
              <w:end w:w="0" w:type="dxa"/>
            </w:tcMar>
          </w:tcPr>
          <w:p>
            <w:pPr>
              <w:autoSpaceDN w:val="0"/>
              <w:autoSpaceDE w:val="0"/>
              <w:widowControl/>
              <w:spacing w:line="140" w:lineRule="exact" w:before="34" w:after="0"/>
              <w:ind w:left="0" w:right="0" w:firstLine="0"/>
              <w:jc w:val="right"/>
            </w:pPr>
            <w:r>
              <w:rPr>
                <w:rFonts w:ascii="黑体" w:hAnsi="黑体" w:eastAsia="黑体"/>
                <w:b w:val="0"/>
                <w:i w:val="0"/>
                <w:color w:val="000000"/>
                <w:sz w:val="14"/>
              </w:rPr>
              <w:t>务</w:t>
            </w:r>
          </w:p>
        </w:tc>
        <w:tc>
          <w:tcPr>
            <w:tcW w:type="dxa" w:w="1279"/>
            <w:vMerge/>
            <w:tcBorders>
              <w:bottom w:sz="4.0" w:val="single" w:color="#000000"/>
            </w:tcBorders>
          </w:tcPr>
          <w:p/>
        </w:tc>
        <w:tc>
          <w:tcPr>
            <w:tcW w:type="dxa" w:w="1448"/>
            <w:tcBorders>
              <w:bottom w:sz="4.0" w:val="single" w:color="#000000"/>
            </w:tcBorders>
            <w:tcMar>
              <w:start w:w="0" w:type="dxa"/>
              <w:end w:w="0" w:type="dxa"/>
            </w:tcMar>
          </w:tcPr>
          <w:p>
            <w:pPr>
              <w:autoSpaceDN w:val="0"/>
              <w:autoSpaceDE w:val="0"/>
              <w:widowControl/>
              <w:spacing w:line="140" w:lineRule="exact" w:before="34" w:after="0"/>
              <w:ind w:left="0" w:right="146" w:firstLine="0"/>
              <w:jc w:val="right"/>
            </w:pPr>
            <w:r>
              <w:rPr>
                <w:rFonts w:ascii="黑体" w:hAnsi="黑体" w:eastAsia="黑体"/>
                <w:b w:val="0"/>
                <w:i w:val="0"/>
                <w:color w:val="000000"/>
                <w:sz w:val="14"/>
              </w:rPr>
              <w:t>管理业务</w:t>
            </w:r>
          </w:p>
        </w:tc>
        <w:tc>
          <w:tcPr>
            <w:tcW w:type="dxa" w:w="1279"/>
            <w:vMerge/>
            <w:tcBorders>
              <w:bottom w:sz="4.0" w:val="single" w:color="#000000"/>
            </w:tcBorders>
          </w:tcPr>
          <w:p/>
        </w:tc>
        <w:tc>
          <w:tcPr>
            <w:tcW w:type="dxa" w:w="1279"/>
            <w:vMerge/>
            <w:tcBorders>
              <w:bottom w:sz="4.0" w:val="single" w:color="#000000"/>
            </w:tcBorders>
          </w:tcPr>
          <w:p/>
        </w:tc>
        <w:tc>
          <w:tcPr>
            <w:tcW w:type="dxa" w:w="1279"/>
            <w:vMerge/>
            <w:tcBorders>
              <w:bottom w:sz="4.0" w:val="single" w:color="#000000"/>
            </w:tcBorders>
          </w:tcPr>
          <w:p/>
        </w:tc>
      </w:tr>
      <w:tr>
        <w:trPr>
          <w:trHeight w:hRule="exact" w:val="398"/>
        </w:trPr>
        <w:tc>
          <w:tcPr>
            <w:tcW w:type="dxa" w:w="2098"/>
            <w:tcBorders>
              <w:top w:sz="4.0" w:val="single" w:color="#000000"/>
            </w:tcBorders>
            <w:tcMar>
              <w:start w:w="0" w:type="dxa"/>
              <w:end w:w="0" w:type="dxa"/>
            </w:tcMar>
          </w:tcPr>
          <w:p>
            <w:pPr>
              <w:autoSpaceDN w:val="0"/>
              <w:autoSpaceDE w:val="0"/>
              <w:widowControl/>
              <w:spacing w:line="138" w:lineRule="exact" w:before="254" w:after="0"/>
              <w:ind w:left="0" w:right="0" w:firstLine="0"/>
              <w:jc w:val="left"/>
            </w:pPr>
            <w:r>
              <w:rPr>
                <w:rFonts w:ascii="黑体" w:hAnsi="黑体" w:eastAsia="黑体"/>
                <w:b w:val="0"/>
                <w:i w:val="0"/>
                <w:color w:val="000000"/>
                <w:sz w:val="14"/>
              </w:rPr>
              <w:t>对外交易收入</w:t>
            </w:r>
          </w:p>
        </w:tc>
        <w:tc>
          <w:tcPr>
            <w:tcW w:type="dxa" w:w="1162"/>
            <w:tcBorders>
              <w:top w:sz="4.0" w:val="single" w:color="#000000"/>
            </w:tcBorders>
            <w:tcMar>
              <w:start w:w="0" w:type="dxa"/>
              <w:end w:w="0" w:type="dxa"/>
            </w:tcMar>
          </w:tcPr>
          <w:p>
            <w:pPr>
              <w:autoSpaceDN w:val="0"/>
              <w:autoSpaceDE w:val="0"/>
              <w:widowControl/>
              <w:spacing w:line="233" w:lineRule="auto" w:before="238" w:after="0"/>
              <w:ind w:left="242" w:right="0" w:firstLine="0"/>
              <w:jc w:val="left"/>
            </w:pPr>
            <w:r>
              <w:rPr>
                <w:rFonts w:ascii="Arial" w:hAnsi="Arial" w:eastAsia="Arial"/>
                <w:b w:val="0"/>
                <w:i w:val="0"/>
                <w:color w:val="000000"/>
                <w:sz w:val="14"/>
              </w:rPr>
              <w:t>843,777,963</w:t>
            </w:r>
          </w:p>
        </w:tc>
        <w:tc>
          <w:tcPr>
            <w:tcW w:type="dxa" w:w="964"/>
            <w:tcBorders>
              <w:top w:sz="4.0" w:val="single" w:color="#000000"/>
            </w:tcBorders>
            <w:tcMar>
              <w:start w:w="0" w:type="dxa"/>
              <w:end w:w="0" w:type="dxa"/>
            </w:tcMar>
          </w:tcPr>
          <w:p>
            <w:pPr>
              <w:autoSpaceDN w:val="0"/>
              <w:autoSpaceDE w:val="0"/>
              <w:widowControl/>
              <w:spacing w:line="233" w:lineRule="auto" w:before="238" w:after="0"/>
              <w:ind w:left="188" w:right="0" w:firstLine="0"/>
              <w:jc w:val="left"/>
            </w:pPr>
            <w:r>
              <w:rPr>
                <w:rFonts w:ascii="Arial" w:hAnsi="Arial" w:eastAsia="Arial"/>
                <w:b w:val="0"/>
                <w:i w:val="0"/>
                <w:color w:val="000000"/>
                <w:sz w:val="14"/>
              </w:rPr>
              <w:t>243,175,076</w:t>
            </w:r>
          </w:p>
        </w:tc>
        <w:tc>
          <w:tcPr>
            <w:tcW w:type="dxa" w:w="1304"/>
            <w:tcBorders>
              <w:top w:sz="4.0" w:val="single" w:color="#000000"/>
            </w:tcBorders>
            <w:tcMar>
              <w:start w:w="0" w:type="dxa"/>
              <w:end w:w="0" w:type="dxa"/>
            </w:tcMar>
          </w:tcPr>
          <w:p>
            <w:pPr>
              <w:autoSpaceDN w:val="0"/>
              <w:autoSpaceDE w:val="0"/>
              <w:widowControl/>
              <w:spacing w:line="233" w:lineRule="auto" w:before="238" w:after="0"/>
              <w:ind w:left="0" w:right="144" w:firstLine="0"/>
              <w:jc w:val="right"/>
            </w:pPr>
            <w:r>
              <w:rPr>
                <w:rFonts w:ascii="Arial" w:hAnsi="Arial" w:eastAsia="Arial"/>
                <w:b w:val="0"/>
                <w:i w:val="0"/>
                <w:color w:val="000000"/>
                <w:sz w:val="14"/>
              </w:rPr>
              <w:t>868,564,970</w:t>
            </w:r>
          </w:p>
        </w:tc>
        <w:tc>
          <w:tcPr>
            <w:tcW w:type="dxa" w:w="1164"/>
            <w:tcBorders>
              <w:top w:sz="4.0" w:val="single" w:color="#000000"/>
            </w:tcBorders>
            <w:tcMar>
              <w:start w:w="0" w:type="dxa"/>
              <w:end w:w="0" w:type="dxa"/>
            </w:tcMar>
          </w:tcPr>
          <w:p>
            <w:pPr>
              <w:autoSpaceDN w:val="0"/>
              <w:autoSpaceDE w:val="0"/>
              <w:widowControl/>
              <w:spacing w:line="233" w:lineRule="auto" w:before="238" w:after="0"/>
              <w:ind w:left="242" w:right="0" w:firstLine="0"/>
              <w:jc w:val="left"/>
            </w:pPr>
            <w:r>
              <w:rPr>
                <w:rFonts w:ascii="Arial" w:hAnsi="Arial" w:eastAsia="Arial"/>
                <w:b w:val="0"/>
                <w:i w:val="0"/>
                <w:color w:val="000000"/>
                <w:sz w:val="14"/>
              </w:rPr>
              <w:t xml:space="preserve">265,487,559 </w:t>
            </w:r>
          </w:p>
        </w:tc>
        <w:tc>
          <w:tcPr>
            <w:tcW w:type="dxa" w:w="1020"/>
            <w:tcBorders>
              <w:top w:sz="4.0" w:val="single" w:color="#000000"/>
            </w:tcBorders>
            <w:tcMar>
              <w:start w:w="0" w:type="dxa"/>
              <w:end w:w="0" w:type="dxa"/>
            </w:tcMar>
          </w:tcPr>
          <w:p>
            <w:pPr>
              <w:autoSpaceDN w:val="0"/>
              <w:autoSpaceDE w:val="0"/>
              <w:widowControl/>
              <w:spacing w:line="233" w:lineRule="auto" w:before="238" w:after="0"/>
              <w:ind w:left="244" w:right="0" w:firstLine="0"/>
              <w:jc w:val="left"/>
            </w:pPr>
            <w:r>
              <w:rPr>
                <w:rFonts w:ascii="Arial" w:hAnsi="Arial" w:eastAsia="Arial"/>
                <w:b w:val="0"/>
                <w:i w:val="0"/>
                <w:color w:val="000000"/>
                <w:sz w:val="14"/>
              </w:rPr>
              <w:t>269,748,191</w:t>
            </w:r>
          </w:p>
        </w:tc>
        <w:tc>
          <w:tcPr>
            <w:tcW w:type="dxa" w:w="1428"/>
            <w:tcBorders>
              <w:top w:sz="4.0" w:val="single" w:color="#000000"/>
            </w:tcBorders>
            <w:tcMar>
              <w:start w:w="0" w:type="dxa"/>
              <w:end w:w="0" w:type="dxa"/>
            </w:tcMar>
          </w:tcPr>
          <w:p>
            <w:pPr>
              <w:autoSpaceDN w:val="0"/>
              <w:autoSpaceDE w:val="0"/>
              <w:widowControl/>
              <w:spacing w:line="233" w:lineRule="auto" w:before="238" w:after="0"/>
              <w:ind w:left="0" w:right="170" w:firstLine="0"/>
              <w:jc w:val="right"/>
            </w:pPr>
            <w:r>
              <w:rPr>
                <w:rFonts w:ascii="Arial" w:hAnsi="Arial" w:eastAsia="Arial"/>
                <w:b w:val="0"/>
                <w:i w:val="0"/>
                <w:color w:val="000000"/>
                <w:sz w:val="14"/>
              </w:rPr>
              <w:t>203,645,131</w:t>
            </w:r>
          </w:p>
        </w:tc>
        <w:tc>
          <w:tcPr>
            <w:tcW w:type="dxa" w:w="1448"/>
            <w:tcBorders>
              <w:top w:sz="4.0" w:val="single" w:color="#000000"/>
            </w:tcBorders>
            <w:tcMar>
              <w:start w:w="0" w:type="dxa"/>
              <w:end w:w="0" w:type="dxa"/>
            </w:tcMar>
          </w:tcPr>
          <w:p>
            <w:pPr>
              <w:autoSpaceDN w:val="0"/>
              <w:autoSpaceDE w:val="0"/>
              <w:widowControl/>
              <w:spacing w:line="233" w:lineRule="auto" w:before="238" w:after="0"/>
              <w:ind w:left="0" w:right="104" w:firstLine="0"/>
              <w:jc w:val="right"/>
            </w:pPr>
            <w:r>
              <w:rPr>
                <w:rFonts w:ascii="Arial" w:hAnsi="Arial" w:eastAsia="Arial"/>
                <w:b w:val="0"/>
                <w:i w:val="0"/>
                <w:color w:val="000000"/>
                <w:sz w:val="14"/>
              </w:rPr>
              <w:t xml:space="preserve">691,139,078 </w:t>
            </w:r>
          </w:p>
        </w:tc>
        <w:tc>
          <w:tcPr>
            <w:tcW w:type="dxa" w:w="1316"/>
            <w:tcBorders>
              <w:top w:sz="4.0" w:val="single" w:color="#000000"/>
            </w:tcBorders>
            <w:tcMar>
              <w:start w:w="0" w:type="dxa"/>
              <w:end w:w="0" w:type="dxa"/>
            </w:tcMar>
          </w:tcPr>
          <w:p>
            <w:pPr>
              <w:autoSpaceDN w:val="0"/>
              <w:autoSpaceDE w:val="0"/>
              <w:widowControl/>
              <w:spacing w:line="233" w:lineRule="auto" w:before="238" w:after="0"/>
              <w:ind w:left="0" w:right="170" w:firstLine="0"/>
              <w:jc w:val="right"/>
            </w:pPr>
            <w:r>
              <w:rPr>
                <w:rFonts w:ascii="Arial" w:hAnsi="Arial" w:eastAsia="Arial"/>
                <w:b w:val="0"/>
                <w:i w:val="0"/>
                <w:color w:val="000000"/>
                <w:sz w:val="14"/>
              </w:rPr>
              <w:t>85,158,193</w:t>
            </w:r>
          </w:p>
        </w:tc>
        <w:tc>
          <w:tcPr>
            <w:tcW w:type="dxa" w:w="1106"/>
            <w:tcBorders>
              <w:top w:sz="4.0" w:val="single" w:color="#000000"/>
            </w:tcBorders>
            <w:tcMar>
              <w:start w:w="0" w:type="dxa"/>
              <w:end w:w="0" w:type="dxa"/>
            </w:tcMar>
          </w:tcPr>
          <w:p>
            <w:pPr>
              <w:autoSpaceDN w:val="0"/>
              <w:autoSpaceDE w:val="0"/>
              <w:widowControl/>
              <w:spacing w:line="233" w:lineRule="auto" w:before="238" w:after="0"/>
              <w:ind w:left="0" w:right="102" w:firstLine="0"/>
              <w:jc w:val="right"/>
            </w:pPr>
            <w:r>
              <w:rPr>
                <w:rFonts w:ascii="Arial" w:hAnsi="Arial" w:eastAsia="Arial"/>
                <w:b w:val="0"/>
                <w:i w:val="0"/>
                <w:color w:val="000000"/>
                <w:sz w:val="14"/>
              </w:rPr>
              <w:t xml:space="preserve">- </w:t>
            </w:r>
          </w:p>
        </w:tc>
        <w:tc>
          <w:tcPr>
            <w:tcW w:type="dxa" w:w="1030"/>
            <w:tcBorders>
              <w:top w:sz="4.0" w:val="single" w:color="#000000"/>
            </w:tcBorders>
            <w:tcMar>
              <w:start w:w="0" w:type="dxa"/>
              <w:end w:w="0" w:type="dxa"/>
            </w:tcMar>
          </w:tcPr>
          <w:p>
            <w:pPr>
              <w:autoSpaceDN w:val="0"/>
              <w:autoSpaceDE w:val="0"/>
              <w:widowControl/>
              <w:spacing w:line="233" w:lineRule="auto" w:before="238" w:after="0"/>
              <w:ind w:left="0" w:right="0" w:firstLine="0"/>
              <w:jc w:val="center"/>
            </w:pPr>
            <w:r>
              <w:rPr>
                <w:rFonts w:ascii="Arial" w:hAnsi="Arial" w:eastAsia="Arial"/>
                <w:b w:val="0"/>
                <w:i w:val="0"/>
                <w:color w:val="000000"/>
                <w:sz w:val="14"/>
              </w:rPr>
              <w:t xml:space="preserve">3,470,696,161 </w:t>
            </w:r>
          </w:p>
        </w:tc>
      </w:tr>
      <w:tr>
        <w:trPr>
          <w:trHeight w:hRule="exact" w:val="200"/>
        </w:trPr>
        <w:tc>
          <w:tcPr>
            <w:tcW w:type="dxa" w:w="2098"/>
            <w:tcBorders/>
            <w:tcMar>
              <w:start w:w="0" w:type="dxa"/>
              <w:end w:w="0" w:type="dxa"/>
            </w:tcMar>
          </w:tcPr>
          <w:p>
            <w:pPr>
              <w:autoSpaceDN w:val="0"/>
              <w:autoSpaceDE w:val="0"/>
              <w:widowControl/>
              <w:spacing w:line="138" w:lineRule="exact" w:before="62" w:after="0"/>
              <w:ind w:left="140" w:right="0" w:firstLine="0"/>
              <w:jc w:val="left"/>
            </w:pPr>
            <w:r>
              <w:rPr>
                <w:rFonts w:ascii="黑体" w:hAnsi="黑体" w:eastAsia="黑体"/>
                <w:b w:val="0"/>
                <w:i w:val="0"/>
                <w:color w:val="000000"/>
                <w:sz w:val="14"/>
              </w:rPr>
              <w:t>其中：手续费及佣金净收入</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2" w:after="0"/>
              <w:ind w:left="242" w:right="0" w:firstLine="0"/>
              <w:jc w:val="left"/>
            </w:pPr>
            <w:r>
              <w:rPr>
                <w:rFonts w:ascii="Arial" w:hAnsi="Arial" w:eastAsia="Arial"/>
                <w:b w:val="0"/>
                <w:i w:val="0"/>
                <w:color w:val="000000"/>
                <w:sz w:val="14"/>
              </w:rPr>
              <w:t>521,311,415</w:t>
            </w:r>
          </w:p>
        </w:tc>
        <w:tc>
          <w:tcPr>
            <w:tcW w:type="dxa" w:w="964"/>
            <w:vMerge w:val="restart"/>
            <w:tcBorders/>
            <w:tcMar>
              <w:start w:w="0" w:type="dxa"/>
              <w:end w:w="0" w:type="dxa"/>
            </w:tcMar>
            <w:tcMar>
              <w:start w:w="0" w:type="dxa"/>
              <w:end w:w="0" w:type="dxa"/>
            </w:tcMar>
          </w:tcPr>
          <w:p>
            <w:pPr>
              <w:autoSpaceDN w:val="0"/>
              <w:autoSpaceDE w:val="0"/>
              <w:widowControl/>
              <w:spacing w:line="230" w:lineRule="auto" w:before="72" w:after="0"/>
              <w:ind w:left="188" w:right="0" w:firstLine="0"/>
              <w:jc w:val="left"/>
            </w:pPr>
            <w:r>
              <w:rPr>
                <w:rFonts w:ascii="Arial" w:hAnsi="Arial" w:eastAsia="Arial"/>
                <w:b w:val="0"/>
                <w:i w:val="0"/>
                <w:color w:val="000000"/>
                <w:sz w:val="14"/>
              </w:rPr>
              <w:t>212,644,302</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72" w:after="0"/>
              <w:ind w:left="0" w:right="144" w:firstLine="0"/>
              <w:jc w:val="right"/>
            </w:pPr>
            <w:r>
              <w:rPr>
                <w:rFonts w:ascii="Arial" w:hAnsi="Arial" w:eastAsia="Arial"/>
                <w:b w:val="0"/>
                <w:i w:val="0"/>
                <w:color w:val="000000"/>
                <w:sz w:val="14"/>
              </w:rPr>
              <w:t>134,676,364</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72" w:after="0"/>
              <w:ind w:left="0" w:right="104" w:firstLine="0"/>
              <w:jc w:val="right"/>
            </w:pPr>
            <w:r>
              <w:rPr>
                <w:rFonts w:ascii="Arial" w:hAnsi="Arial" w:eastAsia="Arial"/>
                <w:b w:val="0"/>
                <w:i w:val="0"/>
                <w:color w:val="000000"/>
                <w:sz w:val="14"/>
              </w:rPr>
              <w:t xml:space="preserve">- </w:t>
            </w:r>
          </w:p>
        </w:tc>
        <w:tc>
          <w:tcPr>
            <w:tcW w:type="dxa" w:w="1020"/>
            <w:vMerge w:val="restart"/>
            <w:tcBorders/>
            <w:tcMar>
              <w:start w:w="0" w:type="dxa"/>
              <w:end w:w="0" w:type="dxa"/>
            </w:tcMar>
            <w:tcMar>
              <w:start w:w="0" w:type="dxa"/>
              <w:end w:w="0" w:type="dxa"/>
            </w:tcMar>
          </w:tcPr>
          <w:p>
            <w:pPr>
              <w:autoSpaceDN w:val="0"/>
              <w:autoSpaceDE w:val="0"/>
              <w:widowControl/>
              <w:spacing w:line="230" w:lineRule="auto" w:before="72" w:after="0"/>
              <w:ind w:left="244" w:right="0" w:firstLine="0"/>
              <w:jc w:val="left"/>
            </w:pPr>
            <w:r>
              <w:rPr>
                <w:rFonts w:ascii="Arial" w:hAnsi="Arial" w:eastAsia="Arial"/>
                <w:b w:val="0"/>
                <w:i w:val="0"/>
                <w:color w:val="000000"/>
                <w:sz w:val="14"/>
              </w:rPr>
              <w:t>232,441,497</w:t>
            </w:r>
          </w:p>
        </w:tc>
        <w:tc>
          <w:tcPr>
            <w:tcW w:type="dxa" w:w="1428"/>
            <w:vMerge w:val="restart"/>
            <w:tcBorders/>
            <w:tcMar>
              <w:start w:w="0" w:type="dxa"/>
              <w:end w:w="0" w:type="dxa"/>
            </w:tcMar>
            <w:tcMar>
              <w:start w:w="0" w:type="dxa"/>
              <w:end w:w="0" w:type="dxa"/>
            </w:tcMar>
          </w:tcPr>
          <w:p>
            <w:pPr>
              <w:autoSpaceDN w:val="0"/>
              <w:autoSpaceDE w:val="0"/>
              <w:widowControl/>
              <w:spacing w:line="230" w:lineRule="auto" w:before="72" w:after="0"/>
              <w:ind w:left="0" w:right="170" w:firstLine="0"/>
              <w:jc w:val="right"/>
            </w:pPr>
            <w:r>
              <w:rPr>
                <w:rFonts w:ascii="Arial" w:hAnsi="Arial" w:eastAsia="Arial"/>
                <w:b w:val="0"/>
                <w:i w:val="0"/>
                <w:color w:val="000000"/>
                <w:sz w:val="14"/>
              </w:rPr>
              <w:t>132,943,317</w:t>
            </w:r>
          </w:p>
        </w:tc>
        <w:tc>
          <w:tcPr>
            <w:tcW w:type="dxa" w:w="1448"/>
            <w:vMerge w:val="restart"/>
            <w:tcBorders/>
            <w:tcMar>
              <w:start w:w="0" w:type="dxa"/>
              <w:end w:w="0" w:type="dxa"/>
            </w:tcMar>
            <w:tcMar>
              <w:start w:w="0" w:type="dxa"/>
              <w:end w:w="0" w:type="dxa"/>
            </w:tcMar>
          </w:tcPr>
          <w:p>
            <w:pPr>
              <w:autoSpaceDN w:val="0"/>
              <w:autoSpaceDE w:val="0"/>
              <w:widowControl/>
              <w:spacing w:line="230" w:lineRule="auto" w:before="72" w:after="0"/>
              <w:ind w:left="0" w:right="104" w:firstLine="0"/>
              <w:jc w:val="right"/>
            </w:pPr>
            <w:r>
              <w:rPr>
                <w:rFonts w:ascii="Arial" w:hAnsi="Arial" w:eastAsia="Arial"/>
                <w:b w:val="0"/>
                <w:i w:val="0"/>
                <w:color w:val="000000"/>
                <w:sz w:val="14"/>
              </w:rPr>
              <w:t xml:space="preserve">- </w:t>
            </w:r>
          </w:p>
        </w:tc>
        <w:tc>
          <w:tcPr>
            <w:tcW w:type="dxa" w:w="1316"/>
            <w:vMerge w:val="restart"/>
            <w:tcBorders/>
            <w:tcMar>
              <w:start w:w="0" w:type="dxa"/>
              <w:end w:w="0" w:type="dxa"/>
            </w:tcMar>
            <w:tcMar>
              <w:start w:w="0" w:type="dxa"/>
              <w:end w:w="0" w:type="dxa"/>
            </w:tcMar>
          </w:tcPr>
          <w:p>
            <w:pPr>
              <w:autoSpaceDN w:val="0"/>
              <w:autoSpaceDE w:val="0"/>
              <w:widowControl/>
              <w:spacing w:line="230" w:lineRule="auto" w:before="72" w:after="0"/>
              <w:ind w:left="0" w:right="170" w:firstLine="0"/>
              <w:jc w:val="right"/>
            </w:pPr>
            <w:r>
              <w:rPr>
                <w:rFonts w:ascii="Arial" w:hAnsi="Arial" w:eastAsia="Arial"/>
                <w:b w:val="0"/>
                <w:i w:val="0"/>
                <w:color w:val="000000"/>
                <w:sz w:val="14"/>
              </w:rPr>
              <w:t>17,111,509</w:t>
            </w:r>
          </w:p>
        </w:tc>
        <w:tc>
          <w:tcPr>
            <w:tcW w:type="dxa" w:w="1106"/>
            <w:vMerge w:val="restart"/>
            <w:tcBorders/>
            <w:tcMar>
              <w:start w:w="0" w:type="dxa"/>
              <w:end w:w="0" w:type="dxa"/>
            </w:tcMar>
            <w:tcMar>
              <w:start w:w="0" w:type="dxa"/>
              <w:end w:w="0" w:type="dxa"/>
            </w:tcMar>
          </w:tcPr>
          <w:p>
            <w:pPr>
              <w:autoSpaceDN w:val="0"/>
              <w:autoSpaceDE w:val="0"/>
              <w:widowControl/>
              <w:spacing w:line="230" w:lineRule="auto" w:before="72" w:after="0"/>
              <w:ind w:left="0" w:right="102" w:firstLine="0"/>
              <w:jc w:val="right"/>
            </w:pPr>
            <w:r>
              <w:rPr>
                <w:rFonts w:ascii="Arial" w:hAnsi="Arial" w:eastAsia="Arial"/>
                <w:b w:val="0"/>
                <w:i w:val="0"/>
                <w:color w:val="000000"/>
                <w:sz w:val="14"/>
              </w:rPr>
              <w:t xml:space="preserve">- </w:t>
            </w:r>
          </w:p>
        </w:tc>
        <w:tc>
          <w:tcPr>
            <w:tcW w:type="dxa" w:w="1030"/>
            <w:vMerge w:val="restart"/>
            <w:tcBorders/>
            <w:tcMar>
              <w:start w:w="0" w:type="dxa"/>
              <w:end w:w="0" w:type="dxa"/>
            </w:tcMar>
            <w:tcMar>
              <w:start w:w="0" w:type="dxa"/>
              <w:end w:w="0" w:type="dxa"/>
            </w:tcMar>
          </w:tcPr>
          <w:p>
            <w:pPr>
              <w:autoSpaceDN w:val="0"/>
              <w:autoSpaceDE w:val="0"/>
              <w:widowControl/>
              <w:spacing w:line="230" w:lineRule="auto" w:before="72" w:after="0"/>
              <w:ind w:left="0" w:right="0" w:firstLine="0"/>
              <w:jc w:val="center"/>
            </w:pPr>
            <w:r>
              <w:rPr>
                <w:rFonts w:ascii="Arial" w:hAnsi="Arial" w:eastAsia="Arial"/>
                <w:b w:val="0"/>
                <w:i w:val="0"/>
                <w:color w:val="000000"/>
                <w:sz w:val="14"/>
              </w:rPr>
              <w:t xml:space="preserve">1,251,128,404 </w:t>
            </w:r>
          </w:p>
        </w:tc>
      </w:tr>
      <w:tr>
        <w:trPr>
          <w:trHeight w:hRule="exact" w:val="52"/>
        </w:trPr>
        <w:tc>
          <w:tcPr>
            <w:tcW w:type="dxa" w:w="2098"/>
            <w:vMerge w:val="restart"/>
            <w:tcBorders/>
            <w:tcMar>
              <w:start w:w="0" w:type="dxa"/>
              <w:end w:w="0" w:type="dxa"/>
            </w:tcMar>
            <w:tcMar>
              <w:start w:w="0" w:type="dxa"/>
              <w:end w:w="0" w:type="dxa"/>
            </w:tcMar>
          </w:tcPr>
          <w:p>
            <w:pPr>
              <w:autoSpaceDN w:val="0"/>
              <w:autoSpaceDE w:val="0"/>
              <w:widowControl/>
              <w:spacing w:line="154" w:lineRule="exact" w:before="66" w:after="0"/>
              <w:ind w:left="0" w:right="242" w:firstLine="0"/>
              <w:jc w:val="right"/>
            </w:pPr>
            <w:r>
              <w:rPr>
                <w:rFonts w:ascii="黑体" w:hAnsi="黑体" w:eastAsia="黑体"/>
                <w:b w:val="0"/>
                <w:i w:val="0"/>
                <w:color w:val="000000"/>
                <w:sz w:val="14"/>
              </w:rPr>
              <w:t>利息净收入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r>
      <w:tr>
        <w:trPr>
          <w:trHeight w:hRule="exact" w:val="168"/>
        </w:trPr>
        <w:tc>
          <w:tcPr>
            <w:tcW w:type="dxa" w:w="1279"/>
            <w:vMerge/>
            <w:tcBorders/>
          </w:tcPr>
          <w:p/>
        </w:tc>
        <w:tc>
          <w:tcPr>
            <w:tcW w:type="dxa" w:w="1162"/>
            <w:tcBorders/>
            <w:tcMar>
              <w:start w:w="0" w:type="dxa"/>
              <w:end w:w="0" w:type="dxa"/>
            </w:tcMar>
          </w:tcPr>
          <w:p>
            <w:pPr>
              <w:autoSpaceDN w:val="0"/>
              <w:autoSpaceDE w:val="0"/>
              <w:widowControl/>
              <w:spacing w:line="230" w:lineRule="auto" w:before="14" w:after="0"/>
              <w:ind w:left="242" w:right="0" w:firstLine="0"/>
              <w:jc w:val="left"/>
            </w:pPr>
            <w:r>
              <w:rPr>
                <w:rFonts w:ascii="Arial" w:hAnsi="Arial" w:eastAsia="Arial"/>
                <w:b w:val="0"/>
                <w:i w:val="0"/>
                <w:color w:val="000000"/>
                <w:sz w:val="14"/>
              </w:rPr>
              <w:t>359,793,469</w:t>
            </w:r>
          </w:p>
        </w:tc>
        <w:tc>
          <w:tcPr>
            <w:tcW w:type="dxa" w:w="964"/>
            <w:tcBorders/>
            <w:tcMar>
              <w:start w:w="0" w:type="dxa"/>
              <w:end w:w="0" w:type="dxa"/>
            </w:tcMar>
          </w:tcPr>
          <w:p>
            <w:pPr>
              <w:autoSpaceDN w:val="0"/>
              <w:autoSpaceDE w:val="0"/>
              <w:widowControl/>
              <w:spacing w:line="230" w:lineRule="auto" w:before="14" w:after="0"/>
              <w:ind w:left="0" w:right="2" w:firstLine="0"/>
              <w:jc w:val="right"/>
            </w:pPr>
            <w:r>
              <w:rPr>
                <w:rFonts w:ascii="Arial" w:hAnsi="Arial" w:eastAsia="Arial"/>
                <w:b w:val="0"/>
                <w:i w:val="0"/>
                <w:color w:val="000000"/>
                <w:sz w:val="14"/>
              </w:rPr>
              <w:t>6,782,877</w:t>
            </w:r>
          </w:p>
        </w:tc>
        <w:tc>
          <w:tcPr>
            <w:tcW w:type="dxa" w:w="1304"/>
            <w:tcBorders/>
            <w:tcMar>
              <w:start w:w="0" w:type="dxa"/>
              <w:end w:w="0" w:type="dxa"/>
            </w:tcMar>
          </w:tcPr>
          <w:p>
            <w:pPr>
              <w:autoSpaceDN w:val="0"/>
              <w:autoSpaceDE w:val="0"/>
              <w:widowControl/>
              <w:spacing w:line="230" w:lineRule="auto" w:before="14" w:after="0"/>
              <w:ind w:left="0" w:right="58" w:firstLine="0"/>
              <w:jc w:val="right"/>
            </w:pPr>
            <w:r>
              <w:rPr>
                <w:rFonts w:ascii="Arial" w:hAnsi="Arial" w:eastAsia="Arial"/>
                <w:b w:val="0"/>
                <w:i w:val="0"/>
                <w:color w:val="000000"/>
                <w:sz w:val="14"/>
              </w:rPr>
              <w:t xml:space="preserve">(552,501,820) </w:t>
            </w:r>
          </w:p>
        </w:tc>
        <w:tc>
          <w:tcPr>
            <w:tcW w:type="dxa" w:w="1164"/>
            <w:tcBorders/>
            <w:tcMar>
              <w:start w:w="0" w:type="dxa"/>
              <w:end w:w="0" w:type="dxa"/>
            </w:tcMar>
          </w:tcPr>
          <w:p>
            <w:pPr>
              <w:autoSpaceDN w:val="0"/>
              <w:autoSpaceDE w:val="0"/>
              <w:widowControl/>
              <w:spacing w:line="230" w:lineRule="auto" w:before="14" w:after="0"/>
              <w:ind w:left="274" w:right="0" w:firstLine="0"/>
              <w:jc w:val="left"/>
            </w:pPr>
            <w:r>
              <w:rPr>
                <w:rFonts w:ascii="Arial" w:hAnsi="Arial" w:eastAsia="Arial"/>
                <w:b w:val="0"/>
                <w:i w:val="0"/>
                <w:color w:val="000000"/>
                <w:sz w:val="14"/>
              </w:rPr>
              <w:t xml:space="preserve">(35,250,953 ) </w:t>
            </w:r>
          </w:p>
        </w:tc>
        <w:tc>
          <w:tcPr>
            <w:tcW w:type="dxa" w:w="1020"/>
            <w:tcBorders/>
            <w:tcMar>
              <w:start w:w="0" w:type="dxa"/>
              <w:end w:w="0" w:type="dxa"/>
            </w:tcMar>
          </w:tcPr>
          <w:p>
            <w:pPr>
              <w:autoSpaceDN w:val="0"/>
              <w:autoSpaceDE w:val="0"/>
              <w:widowControl/>
              <w:spacing w:line="230" w:lineRule="auto" w:before="14" w:after="0"/>
              <w:ind w:left="0" w:right="2" w:firstLine="0"/>
              <w:jc w:val="right"/>
            </w:pPr>
            <w:r>
              <w:rPr>
                <w:rFonts w:ascii="Arial" w:hAnsi="Arial" w:eastAsia="Arial"/>
                <w:b w:val="0"/>
                <w:i w:val="0"/>
                <w:color w:val="000000"/>
                <w:sz w:val="14"/>
              </w:rPr>
              <w:t>3,077,832</w:t>
            </w:r>
          </w:p>
        </w:tc>
        <w:tc>
          <w:tcPr>
            <w:tcW w:type="dxa" w:w="1428"/>
            <w:tcBorders/>
            <w:tcMar>
              <w:start w:w="0" w:type="dxa"/>
              <w:end w:w="0" w:type="dxa"/>
            </w:tcMar>
          </w:tcPr>
          <w:p>
            <w:pPr>
              <w:autoSpaceDN w:val="0"/>
              <w:autoSpaceDE w:val="0"/>
              <w:widowControl/>
              <w:spacing w:line="230" w:lineRule="auto" w:before="14" w:after="0"/>
              <w:ind w:left="0" w:right="170" w:firstLine="0"/>
              <w:jc w:val="right"/>
            </w:pPr>
            <w:r>
              <w:rPr>
                <w:rFonts w:ascii="Arial" w:hAnsi="Arial" w:eastAsia="Arial"/>
                <w:b w:val="0"/>
                <w:i w:val="0"/>
                <w:color w:val="000000"/>
                <w:sz w:val="14"/>
              </w:rPr>
              <w:t>70,863,671</w:t>
            </w:r>
          </w:p>
        </w:tc>
        <w:tc>
          <w:tcPr>
            <w:tcW w:type="dxa" w:w="1448"/>
            <w:tcBorders/>
            <w:tcMar>
              <w:start w:w="0" w:type="dxa"/>
              <w:end w:w="0" w:type="dxa"/>
            </w:tcMar>
          </w:tcPr>
          <w:p>
            <w:pPr>
              <w:autoSpaceDN w:val="0"/>
              <w:autoSpaceDE w:val="0"/>
              <w:widowControl/>
              <w:spacing w:line="230" w:lineRule="auto" w:before="14" w:after="0"/>
              <w:ind w:left="0" w:right="104" w:firstLine="0"/>
              <w:jc w:val="right"/>
            </w:pPr>
            <w:r>
              <w:rPr>
                <w:rFonts w:ascii="Arial" w:hAnsi="Arial" w:eastAsia="Arial"/>
                <w:b w:val="0"/>
                <w:i w:val="0"/>
                <w:color w:val="000000"/>
                <w:sz w:val="14"/>
              </w:rPr>
              <w:t xml:space="preserve">36,544,727 </w:t>
            </w:r>
          </w:p>
        </w:tc>
        <w:tc>
          <w:tcPr>
            <w:tcW w:type="dxa" w:w="1316"/>
            <w:tcBorders/>
            <w:tcMar>
              <w:start w:w="0" w:type="dxa"/>
              <w:end w:w="0" w:type="dxa"/>
            </w:tcMar>
          </w:tcPr>
          <w:p>
            <w:pPr>
              <w:autoSpaceDN w:val="0"/>
              <w:autoSpaceDE w:val="0"/>
              <w:widowControl/>
              <w:spacing w:line="230" w:lineRule="auto" w:before="14" w:after="0"/>
              <w:ind w:left="0" w:right="84" w:firstLine="0"/>
              <w:jc w:val="right"/>
            </w:pPr>
            <w:r>
              <w:rPr>
                <w:rFonts w:ascii="Arial" w:hAnsi="Arial" w:eastAsia="Arial"/>
                <w:b w:val="0"/>
                <w:i w:val="0"/>
                <w:color w:val="000000"/>
                <w:sz w:val="14"/>
              </w:rPr>
              <w:t xml:space="preserve">(26,883,551) </w:t>
            </w:r>
          </w:p>
        </w:tc>
        <w:tc>
          <w:tcPr>
            <w:tcW w:type="dxa" w:w="1106"/>
            <w:tcBorders/>
            <w:tcMar>
              <w:start w:w="0" w:type="dxa"/>
              <w:end w:w="0" w:type="dxa"/>
            </w:tcMar>
          </w:tcPr>
          <w:p>
            <w:pPr>
              <w:autoSpaceDN w:val="0"/>
              <w:autoSpaceDE w:val="0"/>
              <w:widowControl/>
              <w:spacing w:line="230" w:lineRule="auto" w:before="14" w:after="0"/>
              <w:ind w:left="0" w:right="102" w:firstLine="0"/>
              <w:jc w:val="right"/>
            </w:pPr>
            <w:r>
              <w:rPr>
                <w:rFonts w:ascii="Arial" w:hAnsi="Arial" w:eastAsia="Arial"/>
                <w:b w:val="0"/>
                <w:i w:val="0"/>
                <w:color w:val="000000"/>
                <w:sz w:val="14"/>
              </w:rPr>
              <w:t xml:space="preserve">- </w:t>
            </w:r>
          </w:p>
        </w:tc>
        <w:tc>
          <w:tcPr>
            <w:tcW w:type="dxa" w:w="1030"/>
            <w:tcBorders/>
            <w:tcMar>
              <w:start w:w="0" w:type="dxa"/>
              <w:end w:w="0" w:type="dxa"/>
            </w:tcMar>
          </w:tcPr>
          <w:p>
            <w:pPr>
              <w:autoSpaceDN w:val="0"/>
              <w:autoSpaceDE w:val="0"/>
              <w:widowControl/>
              <w:spacing w:line="230" w:lineRule="auto" w:before="14" w:after="0"/>
              <w:ind w:left="126" w:right="0" w:firstLine="0"/>
              <w:jc w:val="left"/>
            </w:pPr>
            <w:r>
              <w:rPr>
                <w:rFonts w:ascii="Arial" w:hAnsi="Arial" w:eastAsia="Arial"/>
                <w:b w:val="0"/>
                <w:i w:val="0"/>
                <w:color w:val="000000"/>
                <w:sz w:val="14"/>
              </w:rPr>
              <w:t xml:space="preserve">(137,573,748 ) </w:t>
            </w:r>
          </w:p>
        </w:tc>
      </w:tr>
      <w:tr>
        <w:trPr>
          <w:trHeight w:hRule="exact" w:val="200"/>
        </w:trPr>
        <w:tc>
          <w:tcPr>
            <w:tcW w:type="dxa" w:w="2098"/>
            <w:tcBorders/>
            <w:tcMar>
              <w:start w:w="0" w:type="dxa"/>
              <w:end w:w="0" w:type="dxa"/>
            </w:tcMar>
          </w:tcPr>
          <w:p>
            <w:pPr>
              <w:autoSpaceDN w:val="0"/>
              <w:autoSpaceDE w:val="0"/>
              <w:widowControl/>
              <w:spacing w:line="140" w:lineRule="exact" w:before="60" w:after="0"/>
              <w:ind w:left="0" w:right="982" w:firstLine="0"/>
              <w:jc w:val="right"/>
            </w:pPr>
            <w:r>
              <w:rPr>
                <w:rFonts w:ascii="黑体" w:hAnsi="黑体" w:eastAsia="黑体"/>
                <w:b w:val="0"/>
                <w:i w:val="0"/>
                <w:color w:val="000000"/>
                <w:sz w:val="14"/>
              </w:rPr>
              <w:t>投资损益</w:t>
            </w:r>
          </w:p>
        </w:tc>
        <w:tc>
          <w:tcPr>
            <w:tcW w:type="dxa" w:w="1162"/>
            <w:tcBorders/>
            <w:tcMar>
              <w:start w:w="0" w:type="dxa"/>
              <w:end w:w="0" w:type="dxa"/>
            </w:tcMar>
          </w:tcPr>
          <w:p>
            <w:pPr>
              <w:autoSpaceDN w:val="0"/>
              <w:autoSpaceDE w:val="0"/>
              <w:widowControl/>
              <w:spacing w:line="233" w:lineRule="auto" w:before="44" w:after="0"/>
              <w:ind w:left="0" w:right="144" w:firstLine="0"/>
              <w:jc w:val="right"/>
            </w:pPr>
            <w:r>
              <w:rPr>
                <w:rFonts w:ascii="Arial" w:hAnsi="Arial" w:eastAsia="Arial"/>
                <w:b w:val="0"/>
                <w:i w:val="0"/>
                <w:color w:val="000000"/>
                <w:sz w:val="14"/>
              </w:rPr>
              <w:t>25,170,067</w:t>
            </w:r>
          </w:p>
        </w:tc>
        <w:tc>
          <w:tcPr>
            <w:tcW w:type="dxa" w:w="964"/>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16,138,231</w:t>
            </w:r>
          </w:p>
        </w:tc>
        <w:tc>
          <w:tcPr>
            <w:tcW w:type="dxa" w:w="1304"/>
            <w:tcBorders/>
            <w:tcMar>
              <w:start w:w="0" w:type="dxa"/>
              <w:end w:w="0" w:type="dxa"/>
            </w:tcMar>
          </w:tcPr>
          <w:p>
            <w:pPr>
              <w:autoSpaceDN w:val="0"/>
              <w:autoSpaceDE w:val="0"/>
              <w:widowControl/>
              <w:spacing w:line="233" w:lineRule="auto" w:before="44" w:after="0"/>
              <w:ind w:left="0" w:right="0" w:firstLine="0"/>
              <w:jc w:val="center"/>
            </w:pPr>
            <w:r>
              <w:rPr>
                <w:rFonts w:ascii="Arial" w:hAnsi="Arial" w:eastAsia="Arial"/>
                <w:b w:val="0"/>
                <w:i w:val="0"/>
                <w:color w:val="000000"/>
                <w:sz w:val="14"/>
              </w:rPr>
              <w:t xml:space="preserve"> 1,252,998,782</w:t>
            </w:r>
          </w:p>
        </w:tc>
        <w:tc>
          <w:tcPr>
            <w:tcW w:type="dxa" w:w="1164"/>
            <w:tcBorders/>
            <w:tcMar>
              <w:start w:w="0" w:type="dxa"/>
              <w:end w:w="0" w:type="dxa"/>
            </w:tcMar>
          </w:tcPr>
          <w:p>
            <w:pPr>
              <w:autoSpaceDN w:val="0"/>
              <w:autoSpaceDE w:val="0"/>
              <w:widowControl/>
              <w:spacing w:line="233" w:lineRule="auto" w:before="44" w:after="0"/>
              <w:ind w:left="242" w:right="0" w:firstLine="0"/>
              <w:jc w:val="left"/>
            </w:pPr>
            <w:r>
              <w:rPr>
                <w:rFonts w:ascii="Arial" w:hAnsi="Arial" w:eastAsia="Arial"/>
                <w:b w:val="0"/>
                <w:i w:val="0"/>
                <w:color w:val="000000"/>
                <w:sz w:val="14"/>
              </w:rPr>
              <w:t xml:space="preserve">153,380,124 </w:t>
            </w:r>
          </w:p>
        </w:tc>
        <w:tc>
          <w:tcPr>
            <w:tcW w:type="dxa" w:w="1020"/>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17,188,513</w:t>
            </w:r>
          </w:p>
        </w:tc>
        <w:tc>
          <w:tcPr>
            <w:tcW w:type="dxa" w:w="1428"/>
            <w:tcBorders/>
            <w:tcMar>
              <w:start w:w="0" w:type="dxa"/>
              <w:end w:w="0" w:type="dxa"/>
            </w:tcMar>
          </w:tcPr>
          <w:p>
            <w:pPr>
              <w:autoSpaceDN w:val="0"/>
              <w:autoSpaceDE w:val="0"/>
              <w:widowControl/>
              <w:spacing w:line="233" w:lineRule="auto" w:before="44" w:after="0"/>
              <w:ind w:left="0" w:right="84" w:firstLine="0"/>
              <w:jc w:val="right"/>
            </w:pPr>
            <w:r>
              <w:rPr>
                <w:rFonts w:ascii="Arial" w:hAnsi="Arial" w:eastAsia="Arial"/>
                <w:b w:val="0"/>
                <w:i w:val="0"/>
                <w:color w:val="000000"/>
                <w:sz w:val="14"/>
              </w:rPr>
              <w:t xml:space="preserve">(10,685,119) </w:t>
            </w:r>
          </w:p>
        </w:tc>
        <w:tc>
          <w:tcPr>
            <w:tcW w:type="dxa" w:w="1448"/>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106,606,183 </w:t>
            </w:r>
          </w:p>
        </w:tc>
        <w:tc>
          <w:tcPr>
            <w:tcW w:type="dxa" w:w="1316"/>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95,219,556</w:t>
            </w:r>
          </w:p>
        </w:tc>
        <w:tc>
          <w:tcPr>
            <w:tcW w:type="dxa" w:w="1106"/>
            <w:tcBorders/>
            <w:tcMar>
              <w:start w:w="0" w:type="dxa"/>
              <w:end w:w="0" w:type="dxa"/>
            </w:tcMar>
          </w:tcPr>
          <w:p>
            <w:pPr>
              <w:autoSpaceDN w:val="0"/>
              <w:autoSpaceDE w:val="0"/>
              <w:widowControl/>
              <w:spacing w:line="233" w:lineRule="auto" w:before="44" w:after="0"/>
              <w:ind w:left="0" w:right="102" w:firstLine="0"/>
              <w:jc w:val="right"/>
            </w:pPr>
            <w:r>
              <w:rPr>
                <w:rFonts w:ascii="Arial" w:hAnsi="Arial" w:eastAsia="Arial"/>
                <w:b w:val="0"/>
                <w:i w:val="0"/>
                <w:color w:val="000000"/>
                <w:sz w:val="14"/>
              </w:rPr>
              <w:t xml:space="preserve">- </w:t>
            </w:r>
          </w:p>
        </w:tc>
        <w:tc>
          <w:tcPr>
            <w:tcW w:type="dxa" w:w="1030"/>
            <w:tcBorders/>
            <w:tcMar>
              <w:start w:w="0" w:type="dxa"/>
              <w:end w:w="0" w:type="dxa"/>
            </w:tcMar>
          </w:tcPr>
          <w:p>
            <w:pPr>
              <w:autoSpaceDN w:val="0"/>
              <w:autoSpaceDE w:val="0"/>
              <w:widowControl/>
              <w:spacing w:line="233" w:lineRule="auto" w:before="44" w:after="0"/>
              <w:ind w:left="0" w:right="0" w:firstLine="0"/>
              <w:jc w:val="center"/>
            </w:pPr>
            <w:r>
              <w:rPr>
                <w:rFonts w:ascii="Arial" w:hAnsi="Arial" w:eastAsia="Arial"/>
                <w:b w:val="0"/>
                <w:i w:val="0"/>
                <w:color w:val="000000"/>
                <w:sz w:val="14"/>
              </w:rPr>
              <w:t xml:space="preserve">1,656,016,337 </w:t>
            </w:r>
          </w:p>
        </w:tc>
      </w:tr>
      <w:tr>
        <w:trPr>
          <w:trHeight w:hRule="exact" w:val="200"/>
        </w:trPr>
        <w:tc>
          <w:tcPr>
            <w:tcW w:type="dxa" w:w="2098"/>
            <w:tcBorders/>
            <w:tcMar>
              <w:start w:w="0" w:type="dxa"/>
              <w:end w:w="0" w:type="dxa"/>
            </w:tcMar>
          </w:tcPr>
          <w:p>
            <w:pPr>
              <w:autoSpaceDN w:val="0"/>
              <w:autoSpaceDE w:val="0"/>
              <w:widowControl/>
              <w:spacing w:line="138" w:lineRule="exact" w:before="62" w:after="0"/>
              <w:ind w:left="0" w:right="420" w:firstLine="0"/>
              <w:jc w:val="right"/>
            </w:pPr>
            <w:r>
              <w:rPr>
                <w:rFonts w:ascii="黑体" w:hAnsi="黑体" w:eastAsia="黑体"/>
                <w:b w:val="0"/>
                <w:i w:val="0"/>
                <w:color w:val="000000"/>
                <w:sz w:val="14"/>
              </w:rPr>
              <w:t>公允价值变动损益</w:t>
            </w:r>
          </w:p>
        </w:tc>
        <w:tc>
          <w:tcPr>
            <w:tcW w:type="dxa" w:w="1162"/>
            <w:vMerge w:val="restart"/>
            <w:tcBorders/>
            <w:tcMar>
              <w:start w:w="0" w:type="dxa"/>
              <w:end w:w="0" w:type="dxa"/>
            </w:tcMar>
            <w:tcMar>
              <w:start w:w="0" w:type="dxa"/>
              <w:end w:w="0" w:type="dxa"/>
            </w:tcMar>
          </w:tcPr>
          <w:p>
            <w:pPr>
              <w:autoSpaceDN w:val="0"/>
              <w:autoSpaceDE w:val="0"/>
              <w:widowControl/>
              <w:spacing w:line="233" w:lineRule="auto" w:before="70" w:after="0"/>
              <w:ind w:left="274" w:right="0" w:firstLine="0"/>
              <w:jc w:val="left"/>
            </w:pPr>
            <w:r>
              <w:rPr>
                <w:rFonts w:ascii="Arial" w:hAnsi="Arial" w:eastAsia="Arial"/>
                <w:b w:val="0"/>
                <w:i w:val="0"/>
                <w:color w:val="000000"/>
                <w:sz w:val="14"/>
              </w:rPr>
              <w:t xml:space="preserve">(67,774,164) </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70" w:after="0"/>
              <w:ind w:left="0" w:right="2" w:firstLine="0"/>
              <w:jc w:val="right"/>
            </w:pPr>
            <w:r>
              <w:rPr>
                <w:rFonts w:ascii="Arial" w:hAnsi="Arial" w:eastAsia="Arial"/>
                <w:b w:val="0"/>
                <w:i w:val="0"/>
                <w:color w:val="000000"/>
                <w:sz w:val="14"/>
              </w:rPr>
              <w:t>7,038,316</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70" w:after="0"/>
              <w:ind w:left="0" w:right="144" w:firstLine="0"/>
              <w:jc w:val="right"/>
            </w:pPr>
            <w:r>
              <w:rPr>
                <w:rFonts w:ascii="Arial" w:hAnsi="Arial" w:eastAsia="Arial"/>
                <w:b w:val="0"/>
                <w:i w:val="0"/>
                <w:color w:val="000000"/>
                <w:sz w:val="14"/>
              </w:rPr>
              <w:t>31,277,133</w:t>
            </w:r>
          </w:p>
        </w:tc>
        <w:tc>
          <w:tcPr>
            <w:tcW w:type="dxa" w:w="1164"/>
            <w:vMerge w:val="restart"/>
            <w:tcBorders/>
            <w:tcMar>
              <w:start w:w="0" w:type="dxa"/>
              <w:end w:w="0" w:type="dxa"/>
            </w:tcMar>
            <w:tcMar>
              <w:start w:w="0" w:type="dxa"/>
              <w:end w:w="0" w:type="dxa"/>
            </w:tcMar>
          </w:tcPr>
          <w:p>
            <w:pPr>
              <w:autoSpaceDN w:val="0"/>
              <w:autoSpaceDE w:val="0"/>
              <w:widowControl/>
              <w:spacing w:line="233" w:lineRule="auto" w:before="70" w:after="0"/>
              <w:ind w:left="242" w:right="0" w:firstLine="0"/>
              <w:jc w:val="left"/>
            </w:pPr>
            <w:r>
              <w:rPr>
                <w:rFonts w:ascii="Arial" w:hAnsi="Arial" w:eastAsia="Arial"/>
                <w:b w:val="0"/>
                <w:i w:val="0"/>
                <w:color w:val="000000"/>
                <w:sz w:val="14"/>
              </w:rPr>
              <w:t xml:space="preserve">141,962,267 </w:t>
            </w:r>
          </w:p>
        </w:tc>
        <w:tc>
          <w:tcPr>
            <w:tcW w:type="dxa" w:w="1020"/>
            <w:vMerge w:val="restart"/>
            <w:tcBorders/>
            <w:tcMar>
              <w:start w:w="0" w:type="dxa"/>
              <w:end w:w="0" w:type="dxa"/>
            </w:tcMar>
            <w:tcMar>
              <w:start w:w="0" w:type="dxa"/>
              <w:end w:w="0" w:type="dxa"/>
            </w:tcMar>
          </w:tcPr>
          <w:p>
            <w:pPr>
              <w:autoSpaceDN w:val="0"/>
              <w:autoSpaceDE w:val="0"/>
              <w:widowControl/>
              <w:spacing w:line="233" w:lineRule="auto" w:before="70" w:after="0"/>
              <w:ind w:left="0" w:right="2" w:firstLine="0"/>
              <w:jc w:val="right"/>
            </w:pPr>
            <w:r>
              <w:rPr>
                <w:rFonts w:ascii="Arial" w:hAnsi="Arial" w:eastAsia="Arial"/>
                <w:b w:val="0"/>
                <w:i w:val="0"/>
                <w:color w:val="000000"/>
                <w:sz w:val="14"/>
              </w:rPr>
              <w:t>953,122</w:t>
            </w:r>
          </w:p>
        </w:tc>
        <w:tc>
          <w:tcPr>
            <w:tcW w:type="dxa" w:w="1428"/>
            <w:vMerge w:val="restart"/>
            <w:tcBorders/>
            <w:tcMar>
              <w:start w:w="0" w:type="dxa"/>
              <w:end w:w="0" w:type="dxa"/>
            </w:tcMar>
            <w:tcMar>
              <w:start w:w="0" w:type="dxa"/>
              <w:end w:w="0" w:type="dxa"/>
            </w:tcMar>
          </w:tcPr>
          <w:p>
            <w:pPr>
              <w:autoSpaceDN w:val="0"/>
              <w:autoSpaceDE w:val="0"/>
              <w:widowControl/>
              <w:spacing w:line="233" w:lineRule="auto" w:before="70" w:after="0"/>
              <w:ind w:left="0" w:right="170" w:firstLine="0"/>
              <w:jc w:val="right"/>
            </w:pPr>
            <w:r>
              <w:rPr>
                <w:rFonts w:ascii="Arial" w:hAnsi="Arial" w:eastAsia="Arial"/>
                <w:b w:val="0"/>
                <w:i w:val="0"/>
                <w:color w:val="000000"/>
                <w:sz w:val="14"/>
              </w:rPr>
              <w:t>85,126</w:t>
            </w:r>
          </w:p>
        </w:tc>
        <w:tc>
          <w:tcPr>
            <w:tcW w:type="dxa" w:w="1448"/>
            <w:vMerge w:val="restart"/>
            <w:tcBorders/>
            <w:tcMar>
              <w:start w:w="0" w:type="dxa"/>
              <w:end w:w="0" w:type="dxa"/>
            </w:tcMar>
            <w:tcMar>
              <w:start w:w="0" w:type="dxa"/>
              <w:end w:w="0" w:type="dxa"/>
            </w:tcMar>
          </w:tcPr>
          <w:p>
            <w:pPr>
              <w:autoSpaceDN w:val="0"/>
              <w:autoSpaceDE w:val="0"/>
              <w:widowControl/>
              <w:spacing w:line="233" w:lineRule="auto" w:before="70" w:after="0"/>
              <w:ind w:left="0" w:right="56" w:firstLine="0"/>
              <w:jc w:val="right"/>
            </w:pPr>
            <w:r>
              <w:rPr>
                <w:rFonts w:ascii="Arial" w:hAnsi="Arial" w:eastAsia="Arial"/>
                <w:b w:val="0"/>
                <w:i w:val="0"/>
                <w:color w:val="000000"/>
                <w:sz w:val="14"/>
              </w:rPr>
              <w:t xml:space="preserve">(17,672,564 ) </w:t>
            </w:r>
          </w:p>
        </w:tc>
        <w:tc>
          <w:tcPr>
            <w:tcW w:type="dxa" w:w="1316"/>
            <w:vMerge w:val="restart"/>
            <w:tcBorders/>
            <w:tcMar>
              <w:start w:w="0" w:type="dxa"/>
              <w:end w:w="0" w:type="dxa"/>
            </w:tcMar>
            <w:tcMar>
              <w:start w:w="0" w:type="dxa"/>
              <w:end w:w="0" w:type="dxa"/>
            </w:tcMar>
          </w:tcPr>
          <w:p>
            <w:pPr>
              <w:autoSpaceDN w:val="0"/>
              <w:autoSpaceDE w:val="0"/>
              <w:widowControl/>
              <w:spacing w:line="233" w:lineRule="auto" w:before="70" w:after="0"/>
              <w:ind w:left="0" w:right="84" w:firstLine="0"/>
              <w:jc w:val="right"/>
            </w:pPr>
            <w:r>
              <w:rPr>
                <w:rFonts w:ascii="Arial" w:hAnsi="Arial" w:eastAsia="Arial"/>
                <w:b w:val="0"/>
                <w:i w:val="0"/>
                <w:color w:val="000000"/>
                <w:sz w:val="14"/>
              </w:rPr>
              <w:t xml:space="preserve">(4,048,879) </w:t>
            </w:r>
          </w:p>
        </w:tc>
        <w:tc>
          <w:tcPr>
            <w:tcW w:type="dxa" w:w="1106"/>
            <w:vMerge w:val="restart"/>
            <w:tcBorders/>
            <w:tcMar>
              <w:start w:w="0" w:type="dxa"/>
              <w:end w:w="0" w:type="dxa"/>
            </w:tcMar>
            <w:tcMar>
              <w:start w:w="0" w:type="dxa"/>
              <w:end w:w="0" w:type="dxa"/>
            </w:tcMar>
          </w:tcPr>
          <w:p>
            <w:pPr>
              <w:autoSpaceDN w:val="0"/>
              <w:autoSpaceDE w:val="0"/>
              <w:widowControl/>
              <w:spacing w:line="233" w:lineRule="auto" w:before="70" w:after="0"/>
              <w:ind w:left="0" w:right="102" w:firstLine="0"/>
              <w:jc w:val="right"/>
            </w:pPr>
            <w:r>
              <w:rPr>
                <w:rFonts w:ascii="Arial" w:hAnsi="Arial" w:eastAsia="Arial"/>
                <w:b w:val="0"/>
                <w:i w:val="0"/>
                <w:color w:val="000000"/>
                <w:sz w:val="14"/>
              </w:rPr>
              <w:t xml:space="preserve">- </w:t>
            </w:r>
          </w:p>
        </w:tc>
        <w:tc>
          <w:tcPr>
            <w:tcW w:type="dxa" w:w="1030"/>
            <w:vMerge w:val="restart"/>
            <w:tcBorders/>
            <w:tcMar>
              <w:start w:w="0" w:type="dxa"/>
              <w:end w:w="0" w:type="dxa"/>
            </w:tcMar>
            <w:tcMar>
              <w:start w:w="0" w:type="dxa"/>
              <w:end w:w="0" w:type="dxa"/>
            </w:tcMar>
          </w:tcPr>
          <w:p>
            <w:pPr>
              <w:autoSpaceDN w:val="0"/>
              <w:autoSpaceDE w:val="0"/>
              <w:widowControl/>
              <w:spacing w:line="233" w:lineRule="auto" w:before="70" w:after="0"/>
              <w:ind w:left="250" w:right="0" w:firstLine="0"/>
              <w:jc w:val="left"/>
            </w:pPr>
            <w:r>
              <w:rPr>
                <w:rFonts w:ascii="Arial" w:hAnsi="Arial" w:eastAsia="Arial"/>
                <w:b w:val="0"/>
                <w:i w:val="0"/>
                <w:color w:val="000000"/>
                <w:sz w:val="14"/>
              </w:rPr>
              <w:t xml:space="preserve">91,820,357 </w:t>
            </w:r>
          </w:p>
        </w:tc>
      </w:tr>
      <w:tr>
        <w:trPr>
          <w:trHeight w:hRule="exact" w:val="54"/>
        </w:trPr>
        <w:tc>
          <w:tcPr>
            <w:tcW w:type="dxa" w:w="2098"/>
            <w:vMerge w:val="restart"/>
            <w:tcBorders/>
            <w:tcMar>
              <w:start w:w="0" w:type="dxa"/>
              <w:end w:w="0" w:type="dxa"/>
            </w:tcMar>
            <w:tcMar>
              <w:start w:w="0" w:type="dxa"/>
              <w:end w:w="0" w:type="dxa"/>
            </w:tcMar>
          </w:tcPr>
          <w:p>
            <w:pPr>
              <w:autoSpaceDN w:val="0"/>
              <w:autoSpaceDE w:val="0"/>
              <w:widowControl/>
              <w:spacing w:line="138" w:lineRule="exact" w:before="74" w:after="0"/>
              <w:ind w:left="0" w:right="1260" w:firstLine="0"/>
              <w:jc w:val="right"/>
            </w:pPr>
            <w:r>
              <w:rPr>
                <w:rFonts w:ascii="黑体" w:hAnsi="黑体" w:eastAsia="黑体"/>
                <w:b w:val="0"/>
                <w:i w:val="0"/>
                <w:color w:val="000000"/>
                <w:sz w:val="14"/>
              </w:rPr>
              <w:t>其他</w:t>
            </w: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r>
      <w:tr>
        <w:trPr>
          <w:trHeight w:hRule="exact" w:val="166"/>
        </w:trPr>
        <w:tc>
          <w:tcPr>
            <w:tcW w:type="dxa" w:w="1279"/>
            <w:vMerge/>
            <w:tcBorders/>
          </w:tcPr>
          <w:p/>
        </w:tc>
        <w:tc>
          <w:tcPr>
            <w:tcW w:type="dxa" w:w="1162"/>
            <w:tcBorders/>
            <w:tcMar>
              <w:start w:w="0" w:type="dxa"/>
              <w:end w:w="0" w:type="dxa"/>
            </w:tcMar>
          </w:tcPr>
          <w:p>
            <w:pPr>
              <w:autoSpaceDN w:val="0"/>
              <w:autoSpaceDE w:val="0"/>
              <w:widowControl/>
              <w:spacing w:line="230" w:lineRule="auto" w:before="12" w:after="0"/>
              <w:ind w:left="0" w:right="144" w:firstLine="0"/>
              <w:jc w:val="right"/>
            </w:pPr>
            <w:r>
              <w:rPr>
                <w:rFonts w:ascii="Arial" w:hAnsi="Arial" w:eastAsia="Arial"/>
                <w:b w:val="0"/>
                <w:i w:val="0"/>
                <w:color w:val="000000"/>
                <w:sz w:val="14"/>
              </w:rPr>
              <w:t>5,277,176</w:t>
            </w:r>
          </w:p>
        </w:tc>
        <w:tc>
          <w:tcPr>
            <w:tcW w:type="dxa" w:w="964"/>
            <w:tcBorders/>
            <w:tcMar>
              <w:start w:w="0" w:type="dxa"/>
              <w:end w:w="0" w:type="dxa"/>
            </w:tcMar>
          </w:tcPr>
          <w:p>
            <w:pPr>
              <w:autoSpaceDN w:val="0"/>
              <w:autoSpaceDE w:val="0"/>
              <w:widowControl/>
              <w:spacing w:line="230" w:lineRule="auto" w:before="12" w:after="0"/>
              <w:ind w:left="0" w:right="0" w:firstLine="0"/>
              <w:jc w:val="right"/>
            </w:pPr>
            <w:r>
              <w:rPr>
                <w:rFonts w:ascii="Arial" w:hAnsi="Arial" w:eastAsia="Arial"/>
                <w:b w:val="0"/>
                <w:i w:val="0"/>
                <w:color w:val="000000"/>
                <w:sz w:val="14"/>
              </w:rPr>
              <w:t>571,350</w:t>
            </w:r>
          </w:p>
        </w:tc>
        <w:tc>
          <w:tcPr>
            <w:tcW w:type="dxa" w:w="1304"/>
            <w:tcBorders/>
            <w:tcMar>
              <w:start w:w="0" w:type="dxa"/>
              <w:end w:w="0" w:type="dxa"/>
            </w:tcMar>
          </w:tcPr>
          <w:p>
            <w:pPr>
              <w:autoSpaceDN w:val="0"/>
              <w:autoSpaceDE w:val="0"/>
              <w:widowControl/>
              <w:spacing w:line="230" w:lineRule="auto" w:before="12" w:after="0"/>
              <w:ind w:left="0" w:right="144" w:firstLine="0"/>
              <w:jc w:val="right"/>
            </w:pPr>
            <w:r>
              <w:rPr>
                <w:rFonts w:ascii="Arial" w:hAnsi="Arial" w:eastAsia="Arial"/>
                <w:b w:val="0"/>
                <w:i w:val="0"/>
                <w:color w:val="000000"/>
                <w:sz w:val="14"/>
              </w:rPr>
              <w:t>2,114,511</w:t>
            </w:r>
          </w:p>
        </w:tc>
        <w:tc>
          <w:tcPr>
            <w:tcW w:type="dxa" w:w="1164"/>
            <w:tcBorders/>
            <w:tcMar>
              <w:start w:w="0" w:type="dxa"/>
              <w:end w:w="0" w:type="dxa"/>
            </w:tcMar>
          </w:tcPr>
          <w:p>
            <w:pPr>
              <w:autoSpaceDN w:val="0"/>
              <w:autoSpaceDE w:val="0"/>
              <w:widowControl/>
              <w:spacing w:line="230" w:lineRule="auto" w:before="12" w:after="0"/>
              <w:ind w:left="0" w:right="104" w:firstLine="0"/>
              <w:jc w:val="right"/>
            </w:pPr>
            <w:r>
              <w:rPr>
                <w:rFonts w:ascii="Arial" w:hAnsi="Arial" w:eastAsia="Arial"/>
                <w:b w:val="0"/>
                <w:i w:val="0"/>
                <w:color w:val="000000"/>
                <w:sz w:val="14"/>
              </w:rPr>
              <w:t xml:space="preserve">5,396,121 </w:t>
            </w:r>
          </w:p>
        </w:tc>
        <w:tc>
          <w:tcPr>
            <w:tcW w:type="dxa" w:w="1020"/>
            <w:tcBorders/>
            <w:tcMar>
              <w:start w:w="0" w:type="dxa"/>
              <w:end w:w="0" w:type="dxa"/>
            </w:tcMar>
          </w:tcPr>
          <w:p>
            <w:pPr>
              <w:autoSpaceDN w:val="0"/>
              <w:autoSpaceDE w:val="0"/>
              <w:widowControl/>
              <w:spacing w:line="230" w:lineRule="auto" w:before="12" w:after="0"/>
              <w:ind w:left="0" w:right="2" w:firstLine="0"/>
              <w:jc w:val="right"/>
            </w:pPr>
            <w:r>
              <w:rPr>
                <w:rFonts w:ascii="Arial" w:hAnsi="Arial" w:eastAsia="Arial"/>
                <w:b w:val="0"/>
                <w:i w:val="0"/>
                <w:color w:val="000000"/>
                <w:sz w:val="14"/>
              </w:rPr>
              <w:t>16,087,227</w:t>
            </w:r>
          </w:p>
        </w:tc>
        <w:tc>
          <w:tcPr>
            <w:tcW w:type="dxa" w:w="1428"/>
            <w:tcBorders/>
            <w:tcMar>
              <w:start w:w="0" w:type="dxa"/>
              <w:end w:w="0" w:type="dxa"/>
            </w:tcMar>
          </w:tcPr>
          <w:p>
            <w:pPr>
              <w:autoSpaceDN w:val="0"/>
              <w:autoSpaceDE w:val="0"/>
              <w:widowControl/>
              <w:spacing w:line="230" w:lineRule="auto" w:before="12" w:after="0"/>
              <w:ind w:left="0" w:right="170" w:firstLine="0"/>
              <w:jc w:val="right"/>
            </w:pPr>
            <w:r>
              <w:rPr>
                <w:rFonts w:ascii="Arial" w:hAnsi="Arial" w:eastAsia="Arial"/>
                <w:b w:val="0"/>
                <w:i w:val="0"/>
                <w:color w:val="000000"/>
                <w:sz w:val="14"/>
              </w:rPr>
              <w:t>10,438,136</w:t>
            </w:r>
          </w:p>
        </w:tc>
        <w:tc>
          <w:tcPr>
            <w:tcW w:type="dxa" w:w="1448"/>
            <w:tcBorders/>
            <w:tcMar>
              <w:start w:w="0" w:type="dxa"/>
              <w:end w:w="0" w:type="dxa"/>
            </w:tcMar>
          </w:tcPr>
          <w:p>
            <w:pPr>
              <w:autoSpaceDN w:val="0"/>
              <w:autoSpaceDE w:val="0"/>
              <w:widowControl/>
              <w:spacing w:line="230" w:lineRule="auto" w:before="12" w:after="0"/>
              <w:ind w:left="0" w:right="104" w:firstLine="0"/>
              <w:jc w:val="right"/>
            </w:pPr>
            <w:r>
              <w:rPr>
                <w:rFonts w:ascii="Arial" w:hAnsi="Arial" w:eastAsia="Arial"/>
                <w:b w:val="0"/>
                <w:i w:val="0"/>
                <w:color w:val="000000"/>
                <w:sz w:val="14"/>
              </w:rPr>
              <w:t xml:space="preserve">565,660,732 </w:t>
            </w:r>
          </w:p>
        </w:tc>
        <w:tc>
          <w:tcPr>
            <w:tcW w:type="dxa" w:w="1316"/>
            <w:tcBorders/>
            <w:tcMar>
              <w:start w:w="0" w:type="dxa"/>
              <w:end w:w="0" w:type="dxa"/>
            </w:tcMar>
          </w:tcPr>
          <w:p>
            <w:pPr>
              <w:autoSpaceDN w:val="0"/>
              <w:autoSpaceDE w:val="0"/>
              <w:widowControl/>
              <w:spacing w:line="230" w:lineRule="auto" w:before="12" w:after="0"/>
              <w:ind w:left="0" w:right="170" w:firstLine="0"/>
              <w:jc w:val="right"/>
            </w:pPr>
            <w:r>
              <w:rPr>
                <w:rFonts w:ascii="Arial" w:hAnsi="Arial" w:eastAsia="Arial"/>
                <w:b w:val="0"/>
                <w:i w:val="0"/>
                <w:color w:val="000000"/>
                <w:sz w:val="14"/>
              </w:rPr>
              <w:t>3,759,558</w:t>
            </w:r>
          </w:p>
        </w:tc>
        <w:tc>
          <w:tcPr>
            <w:tcW w:type="dxa" w:w="1106"/>
            <w:tcBorders/>
            <w:tcMar>
              <w:start w:w="0" w:type="dxa"/>
              <w:end w:w="0" w:type="dxa"/>
            </w:tcMar>
          </w:tcPr>
          <w:p>
            <w:pPr>
              <w:autoSpaceDN w:val="0"/>
              <w:autoSpaceDE w:val="0"/>
              <w:widowControl/>
              <w:spacing w:line="230" w:lineRule="auto" w:before="12" w:after="0"/>
              <w:ind w:left="0" w:right="102" w:firstLine="0"/>
              <w:jc w:val="right"/>
            </w:pPr>
            <w:r>
              <w:rPr>
                <w:rFonts w:ascii="Arial" w:hAnsi="Arial" w:eastAsia="Arial"/>
                <w:b w:val="0"/>
                <w:i w:val="0"/>
                <w:color w:val="000000"/>
                <w:sz w:val="14"/>
              </w:rPr>
              <w:t xml:space="preserve">- </w:t>
            </w:r>
          </w:p>
        </w:tc>
        <w:tc>
          <w:tcPr>
            <w:tcW w:type="dxa" w:w="1030"/>
            <w:tcBorders/>
            <w:tcMar>
              <w:start w:w="0" w:type="dxa"/>
              <w:end w:w="0" w:type="dxa"/>
            </w:tcMar>
          </w:tcPr>
          <w:p>
            <w:pPr>
              <w:autoSpaceDN w:val="0"/>
              <w:autoSpaceDE w:val="0"/>
              <w:widowControl/>
              <w:spacing w:line="230" w:lineRule="auto" w:before="12" w:after="0"/>
              <w:ind w:left="174" w:right="0" w:firstLine="0"/>
              <w:jc w:val="left"/>
            </w:pPr>
            <w:r>
              <w:rPr>
                <w:rFonts w:ascii="Arial" w:hAnsi="Arial" w:eastAsia="Arial"/>
                <w:b w:val="0"/>
                <w:i w:val="0"/>
                <w:color w:val="000000"/>
                <w:sz w:val="14"/>
              </w:rPr>
              <w:t xml:space="preserve">609,304,811 </w:t>
            </w:r>
          </w:p>
        </w:tc>
      </w:tr>
      <w:tr>
        <w:trPr>
          <w:trHeight w:hRule="exact" w:val="200"/>
        </w:trPr>
        <w:tc>
          <w:tcPr>
            <w:tcW w:type="dxa" w:w="2098"/>
            <w:tcBorders/>
            <w:tcMar>
              <w:start w:w="0" w:type="dxa"/>
              <w:end w:w="0" w:type="dxa"/>
            </w:tcMar>
          </w:tcPr>
          <w:p>
            <w:pPr>
              <w:autoSpaceDN w:val="0"/>
              <w:autoSpaceDE w:val="0"/>
              <w:widowControl/>
              <w:spacing w:line="154" w:lineRule="exact" w:before="46" w:after="0"/>
              <w:ind w:left="0" w:right="0" w:firstLine="0"/>
              <w:jc w:val="left"/>
            </w:pPr>
            <w:r>
              <w:rPr>
                <w:rFonts w:ascii="黑体" w:hAnsi="黑体" w:eastAsia="黑体"/>
                <w:b w:val="0"/>
                <w:i w:val="0"/>
                <w:color w:val="000000"/>
                <w:sz w:val="14"/>
              </w:rPr>
              <w:t>分部间交易收入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162"/>
            <w:tcBorders/>
            <w:tcMar>
              <w:start w:w="0" w:type="dxa"/>
              <w:end w:w="0" w:type="dxa"/>
            </w:tcMar>
          </w:tcPr>
          <w:p>
            <w:pPr>
              <w:autoSpaceDN w:val="0"/>
              <w:autoSpaceDE w:val="0"/>
              <w:widowControl/>
              <w:spacing w:line="230" w:lineRule="auto" w:before="46" w:after="0"/>
              <w:ind w:left="0" w:right="144" w:firstLine="0"/>
              <w:jc w:val="right"/>
            </w:pPr>
            <w:r>
              <w:rPr>
                <w:rFonts w:ascii="Arial" w:hAnsi="Arial" w:eastAsia="Arial"/>
                <w:b w:val="0"/>
                <w:i w:val="0"/>
                <w:color w:val="000000"/>
                <w:sz w:val="14"/>
              </w:rPr>
              <w:t>13,573,444</w:t>
            </w:r>
          </w:p>
        </w:tc>
        <w:tc>
          <w:tcPr>
            <w:tcW w:type="dxa" w:w="964"/>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7,443,396</w:t>
            </w:r>
          </w:p>
        </w:tc>
        <w:tc>
          <w:tcPr>
            <w:tcW w:type="dxa" w:w="1304"/>
            <w:tcBorders/>
            <w:tcMar>
              <w:start w:w="0" w:type="dxa"/>
              <w:end w:w="0" w:type="dxa"/>
            </w:tcMar>
          </w:tcPr>
          <w:p>
            <w:pPr>
              <w:autoSpaceDN w:val="0"/>
              <w:autoSpaceDE w:val="0"/>
              <w:widowControl/>
              <w:spacing w:line="230" w:lineRule="auto" w:before="46" w:after="0"/>
              <w:ind w:left="0" w:right="144" w:firstLine="0"/>
              <w:jc w:val="right"/>
            </w:pPr>
            <w:r>
              <w:rPr>
                <w:rFonts w:ascii="Arial" w:hAnsi="Arial" w:eastAsia="Arial"/>
                <w:b w:val="0"/>
                <w:i w:val="0"/>
                <w:color w:val="000000"/>
                <w:sz w:val="14"/>
              </w:rPr>
              <w:t>160,392,899</w:t>
            </w:r>
          </w:p>
        </w:tc>
        <w:tc>
          <w:tcPr>
            <w:tcW w:type="dxa" w:w="1164"/>
            <w:tcBorders/>
            <w:tcMar>
              <w:start w:w="0" w:type="dxa"/>
              <w:end w:w="0" w:type="dxa"/>
            </w:tcMar>
          </w:tcPr>
          <w:p>
            <w:pPr>
              <w:autoSpaceDN w:val="0"/>
              <w:autoSpaceDE w:val="0"/>
              <w:widowControl/>
              <w:spacing w:line="230" w:lineRule="auto" w:before="46" w:after="0"/>
              <w:ind w:left="274" w:right="0" w:firstLine="0"/>
              <w:jc w:val="left"/>
            </w:pPr>
            <w:r>
              <w:rPr>
                <w:rFonts w:ascii="Arial" w:hAnsi="Arial" w:eastAsia="Arial"/>
                <w:b w:val="0"/>
                <w:i w:val="0"/>
                <w:color w:val="000000"/>
                <w:sz w:val="14"/>
              </w:rPr>
              <w:t xml:space="preserve">(11,088,459 ) </w:t>
            </w:r>
          </w:p>
        </w:tc>
        <w:tc>
          <w:tcPr>
            <w:tcW w:type="dxa" w:w="1020"/>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630,407</w:t>
            </w:r>
          </w:p>
        </w:tc>
        <w:tc>
          <w:tcPr>
            <w:tcW w:type="dxa" w:w="1428"/>
            <w:tcBorders/>
            <w:tcMar>
              <w:start w:w="0" w:type="dxa"/>
              <w:end w:w="0" w:type="dxa"/>
            </w:tcMar>
          </w:tcPr>
          <w:p>
            <w:pPr>
              <w:autoSpaceDN w:val="0"/>
              <w:autoSpaceDE w:val="0"/>
              <w:widowControl/>
              <w:spacing w:line="230" w:lineRule="auto" w:before="46" w:after="0"/>
              <w:ind w:left="0" w:right="166" w:firstLine="0"/>
              <w:jc w:val="right"/>
            </w:pPr>
            <w:r>
              <w:rPr>
                <w:rFonts w:ascii="Arial" w:hAnsi="Arial" w:eastAsia="Arial"/>
                <w:b w:val="0"/>
                <w:i w:val="0"/>
                <w:color w:val="000000"/>
                <w:sz w:val="14"/>
              </w:rPr>
              <w:t>-</w:t>
            </w:r>
          </w:p>
        </w:tc>
        <w:tc>
          <w:tcPr>
            <w:tcW w:type="dxa" w:w="1448"/>
            <w:tcBorders/>
            <w:tcMar>
              <w:start w:w="0" w:type="dxa"/>
              <w:end w:w="0" w:type="dxa"/>
            </w:tcMar>
          </w:tcPr>
          <w:p>
            <w:pPr>
              <w:autoSpaceDN w:val="0"/>
              <w:autoSpaceDE w:val="0"/>
              <w:widowControl/>
              <w:spacing w:line="230" w:lineRule="auto" w:before="46" w:after="0"/>
              <w:ind w:left="0" w:right="104" w:firstLine="0"/>
              <w:jc w:val="right"/>
            </w:pPr>
            <w:r>
              <w:rPr>
                <w:rFonts w:ascii="Arial" w:hAnsi="Arial" w:eastAsia="Arial"/>
                <w:b w:val="0"/>
                <w:i w:val="0"/>
                <w:color w:val="000000"/>
                <w:sz w:val="14"/>
              </w:rPr>
              <w:t xml:space="preserve">- </w:t>
            </w:r>
          </w:p>
        </w:tc>
        <w:tc>
          <w:tcPr>
            <w:tcW w:type="dxa" w:w="1316"/>
            <w:tcBorders/>
            <w:tcMar>
              <w:start w:w="0" w:type="dxa"/>
              <w:end w:w="0" w:type="dxa"/>
            </w:tcMar>
          </w:tcPr>
          <w:p>
            <w:pPr>
              <w:autoSpaceDN w:val="0"/>
              <w:autoSpaceDE w:val="0"/>
              <w:widowControl/>
              <w:spacing w:line="230" w:lineRule="auto" w:before="46" w:after="0"/>
              <w:ind w:left="0" w:right="170" w:firstLine="0"/>
              <w:jc w:val="right"/>
            </w:pPr>
            <w:r>
              <w:rPr>
                <w:rFonts w:ascii="Arial" w:hAnsi="Arial" w:eastAsia="Arial"/>
                <w:b w:val="0"/>
                <w:i w:val="0"/>
                <w:color w:val="000000"/>
                <w:sz w:val="14"/>
              </w:rPr>
              <w:t>57,281,980</w:t>
            </w:r>
          </w:p>
        </w:tc>
        <w:tc>
          <w:tcPr>
            <w:tcW w:type="dxa" w:w="1106"/>
            <w:tcBorders/>
            <w:tcMar>
              <w:start w:w="0" w:type="dxa"/>
              <w:end w:w="0" w:type="dxa"/>
            </w:tcMar>
          </w:tcPr>
          <w:p>
            <w:pPr>
              <w:autoSpaceDN w:val="0"/>
              <w:autoSpaceDE w:val="0"/>
              <w:widowControl/>
              <w:spacing w:line="230" w:lineRule="auto" w:before="46" w:after="0"/>
              <w:ind w:left="138" w:right="0" w:firstLine="0"/>
              <w:jc w:val="left"/>
            </w:pPr>
            <w:r>
              <w:rPr>
                <w:rFonts w:ascii="Arial" w:hAnsi="Arial" w:eastAsia="Arial"/>
                <w:b w:val="0"/>
                <w:i w:val="0"/>
                <w:color w:val="000000"/>
                <w:sz w:val="14"/>
              </w:rPr>
              <w:t xml:space="preserve">(228,233,667 ) </w:t>
            </w:r>
          </w:p>
        </w:tc>
        <w:tc>
          <w:tcPr>
            <w:tcW w:type="dxa" w:w="1030"/>
            <w:tcBorders/>
            <w:tcMar>
              <w:start w:w="0" w:type="dxa"/>
              <w:end w:w="0" w:type="dxa"/>
            </w:tcMar>
          </w:tcPr>
          <w:p>
            <w:pPr>
              <w:autoSpaceDN w:val="0"/>
              <w:autoSpaceDE w:val="0"/>
              <w:widowControl/>
              <w:spacing w:line="230" w:lineRule="auto" w:before="46" w:after="0"/>
              <w:ind w:left="0" w:right="40" w:firstLine="0"/>
              <w:jc w:val="right"/>
            </w:pPr>
            <w:r>
              <w:rPr>
                <w:rFonts w:ascii="Arial" w:hAnsi="Arial" w:eastAsia="Arial"/>
                <w:b w:val="0"/>
                <w:i w:val="0"/>
                <w:color w:val="000000"/>
                <w:sz w:val="14"/>
              </w:rPr>
              <w:t xml:space="preserve">- </w:t>
            </w:r>
          </w:p>
        </w:tc>
      </w:tr>
      <w:tr>
        <w:trPr>
          <w:trHeight w:hRule="exact" w:val="200"/>
        </w:trPr>
        <w:tc>
          <w:tcPr>
            <w:tcW w:type="dxa" w:w="2098"/>
            <w:tcBorders/>
            <w:tcMar>
              <w:start w:w="0" w:type="dxa"/>
              <w:end w:w="0" w:type="dxa"/>
            </w:tcMar>
          </w:tcPr>
          <w:p>
            <w:pPr>
              <w:autoSpaceDN w:val="0"/>
              <w:autoSpaceDE w:val="0"/>
              <w:widowControl/>
              <w:spacing w:line="140" w:lineRule="exact" w:before="60" w:after="0"/>
              <w:ind w:left="140" w:right="0" w:firstLine="0"/>
              <w:jc w:val="left"/>
            </w:pPr>
            <w:r>
              <w:rPr>
                <w:rFonts w:ascii="黑体" w:hAnsi="黑体" w:eastAsia="黑体"/>
                <w:b w:val="0"/>
                <w:i w:val="0"/>
                <w:color w:val="000000"/>
                <w:sz w:val="14"/>
              </w:rPr>
              <w:t>其中：手续费及佣金净收入</w:t>
            </w:r>
          </w:p>
        </w:tc>
        <w:tc>
          <w:tcPr>
            <w:tcW w:type="dxa" w:w="1162"/>
            <w:vMerge w:val="restart"/>
            <w:tcBorders/>
            <w:tcMar>
              <w:start w:w="0" w:type="dxa"/>
              <w:end w:w="0" w:type="dxa"/>
            </w:tcMar>
            <w:tcMar>
              <w:start w:w="0" w:type="dxa"/>
              <w:end w:w="0" w:type="dxa"/>
            </w:tcMar>
          </w:tcPr>
          <w:p>
            <w:pPr>
              <w:autoSpaceDN w:val="0"/>
              <w:autoSpaceDE w:val="0"/>
              <w:widowControl/>
              <w:spacing w:line="233" w:lineRule="auto" w:before="72" w:after="0"/>
              <w:ind w:left="0" w:right="144" w:firstLine="0"/>
              <w:jc w:val="right"/>
            </w:pPr>
            <w:r>
              <w:rPr>
                <w:rFonts w:ascii="Arial" w:hAnsi="Arial" w:eastAsia="Arial"/>
                <w:b w:val="0"/>
                <w:i w:val="0"/>
                <w:color w:val="000000"/>
                <w:sz w:val="14"/>
              </w:rPr>
              <w:t>7,073,444</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72" w:after="0"/>
              <w:ind w:left="0" w:right="2" w:firstLine="0"/>
              <w:jc w:val="right"/>
            </w:pPr>
            <w:r>
              <w:rPr>
                <w:rFonts w:ascii="Arial" w:hAnsi="Arial" w:eastAsia="Arial"/>
                <w:b w:val="0"/>
                <w:i w:val="0"/>
                <w:color w:val="000000"/>
                <w:sz w:val="14"/>
              </w:rPr>
              <w:t>7,443,396</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72" w:after="0"/>
              <w:ind w:left="0" w:right="140" w:firstLine="0"/>
              <w:jc w:val="right"/>
            </w:pPr>
            <w:r>
              <w:rPr>
                <w:rFonts w:ascii="Arial" w:hAnsi="Arial" w:eastAsia="Arial"/>
                <w:b w:val="0"/>
                <w:i w:val="0"/>
                <w:color w:val="000000"/>
                <w:sz w:val="14"/>
              </w:rPr>
              <w:t>-</w:t>
            </w:r>
          </w:p>
        </w:tc>
        <w:tc>
          <w:tcPr>
            <w:tcW w:type="dxa" w:w="1164"/>
            <w:vMerge w:val="restart"/>
            <w:tcBorders/>
            <w:tcMar>
              <w:start w:w="0" w:type="dxa"/>
              <w:end w:w="0" w:type="dxa"/>
            </w:tcMar>
            <w:tcMar>
              <w:start w:w="0" w:type="dxa"/>
              <w:end w:w="0" w:type="dxa"/>
            </w:tcMar>
          </w:tcPr>
          <w:p>
            <w:pPr>
              <w:autoSpaceDN w:val="0"/>
              <w:autoSpaceDE w:val="0"/>
              <w:widowControl/>
              <w:spacing w:line="233" w:lineRule="auto" w:before="72" w:after="0"/>
              <w:ind w:left="0" w:right="104" w:firstLine="0"/>
              <w:jc w:val="right"/>
            </w:pPr>
            <w:r>
              <w:rPr>
                <w:rFonts w:ascii="Arial" w:hAnsi="Arial" w:eastAsia="Arial"/>
                <w:b w:val="0"/>
                <w:i w:val="0"/>
                <w:color w:val="000000"/>
                <w:sz w:val="14"/>
              </w:rPr>
              <w:t xml:space="preserve">- </w:t>
            </w:r>
          </w:p>
        </w:tc>
        <w:tc>
          <w:tcPr>
            <w:tcW w:type="dxa" w:w="1020"/>
            <w:vMerge w:val="restart"/>
            <w:tcBorders/>
            <w:tcMar>
              <w:start w:w="0" w:type="dxa"/>
              <w:end w:w="0" w:type="dxa"/>
            </w:tcMar>
            <w:tcMar>
              <w:start w:w="0" w:type="dxa"/>
              <w:end w:w="0" w:type="dxa"/>
            </w:tcMar>
          </w:tcPr>
          <w:p>
            <w:pPr>
              <w:autoSpaceDN w:val="0"/>
              <w:autoSpaceDE w:val="0"/>
              <w:widowControl/>
              <w:spacing w:line="233" w:lineRule="auto" w:before="72" w:after="0"/>
              <w:ind w:left="0" w:right="2" w:firstLine="0"/>
              <w:jc w:val="right"/>
            </w:pPr>
            <w:r>
              <w:rPr>
                <w:rFonts w:ascii="Arial" w:hAnsi="Arial" w:eastAsia="Arial"/>
                <w:b w:val="0"/>
                <w:i w:val="0"/>
                <w:color w:val="000000"/>
                <w:sz w:val="14"/>
              </w:rPr>
              <w:t>630,407</w:t>
            </w:r>
          </w:p>
        </w:tc>
        <w:tc>
          <w:tcPr>
            <w:tcW w:type="dxa" w:w="1428"/>
            <w:vMerge w:val="restart"/>
            <w:tcBorders/>
            <w:tcMar>
              <w:start w:w="0" w:type="dxa"/>
              <w:end w:w="0" w:type="dxa"/>
            </w:tcMar>
            <w:tcMar>
              <w:start w:w="0" w:type="dxa"/>
              <w:end w:w="0" w:type="dxa"/>
            </w:tcMar>
          </w:tcPr>
          <w:p>
            <w:pPr>
              <w:autoSpaceDN w:val="0"/>
              <w:autoSpaceDE w:val="0"/>
              <w:widowControl/>
              <w:spacing w:line="233" w:lineRule="auto" w:before="72" w:after="0"/>
              <w:ind w:left="0" w:right="166" w:firstLine="0"/>
              <w:jc w:val="right"/>
            </w:pPr>
            <w:r>
              <w:rPr>
                <w:rFonts w:ascii="Arial" w:hAnsi="Arial" w:eastAsia="Arial"/>
                <w:b w:val="0"/>
                <w:i w:val="0"/>
                <w:color w:val="000000"/>
                <w:sz w:val="14"/>
              </w:rPr>
              <w:t>-</w:t>
            </w:r>
          </w:p>
        </w:tc>
        <w:tc>
          <w:tcPr>
            <w:tcW w:type="dxa" w:w="1448"/>
            <w:vMerge w:val="restart"/>
            <w:tcBorders/>
            <w:tcMar>
              <w:start w:w="0" w:type="dxa"/>
              <w:end w:w="0" w:type="dxa"/>
            </w:tcMar>
            <w:tcMar>
              <w:start w:w="0" w:type="dxa"/>
              <w:end w:w="0" w:type="dxa"/>
            </w:tcMar>
          </w:tcPr>
          <w:p>
            <w:pPr>
              <w:autoSpaceDN w:val="0"/>
              <w:autoSpaceDE w:val="0"/>
              <w:widowControl/>
              <w:spacing w:line="233" w:lineRule="auto" w:before="72" w:after="0"/>
              <w:ind w:left="0" w:right="104" w:firstLine="0"/>
              <w:jc w:val="right"/>
            </w:pPr>
            <w:r>
              <w:rPr>
                <w:rFonts w:ascii="Arial" w:hAnsi="Arial" w:eastAsia="Arial"/>
                <w:b w:val="0"/>
                <w:i w:val="0"/>
                <w:color w:val="000000"/>
                <w:sz w:val="14"/>
              </w:rPr>
              <w:t xml:space="preserve">- </w:t>
            </w:r>
          </w:p>
        </w:tc>
        <w:tc>
          <w:tcPr>
            <w:tcW w:type="dxa" w:w="1316"/>
            <w:vMerge w:val="restart"/>
            <w:tcBorders/>
            <w:tcMar>
              <w:start w:w="0" w:type="dxa"/>
              <w:end w:w="0" w:type="dxa"/>
            </w:tcMar>
            <w:tcMar>
              <w:start w:w="0" w:type="dxa"/>
              <w:end w:w="0" w:type="dxa"/>
            </w:tcMar>
          </w:tcPr>
          <w:p>
            <w:pPr>
              <w:autoSpaceDN w:val="0"/>
              <w:autoSpaceDE w:val="0"/>
              <w:widowControl/>
              <w:spacing w:line="233" w:lineRule="auto" w:before="72" w:after="0"/>
              <w:ind w:left="0" w:right="84" w:firstLine="0"/>
              <w:jc w:val="right"/>
            </w:pPr>
            <w:r>
              <w:rPr>
                <w:rFonts w:ascii="Arial" w:hAnsi="Arial" w:eastAsia="Arial"/>
                <w:b w:val="0"/>
                <w:i w:val="0"/>
                <w:color w:val="000000"/>
                <w:sz w:val="14"/>
              </w:rPr>
              <w:t xml:space="preserve">(1,316,038) </w:t>
            </w:r>
          </w:p>
        </w:tc>
        <w:tc>
          <w:tcPr>
            <w:tcW w:type="dxa" w:w="1106"/>
            <w:vMerge w:val="restart"/>
            <w:tcBorders/>
            <w:tcMar>
              <w:start w:w="0" w:type="dxa"/>
              <w:end w:w="0" w:type="dxa"/>
            </w:tcMar>
            <w:tcMar>
              <w:start w:w="0" w:type="dxa"/>
              <w:end w:w="0" w:type="dxa"/>
            </w:tcMar>
          </w:tcPr>
          <w:p>
            <w:pPr>
              <w:autoSpaceDN w:val="0"/>
              <w:autoSpaceDE w:val="0"/>
              <w:widowControl/>
              <w:spacing w:line="233" w:lineRule="auto" w:before="72" w:after="0"/>
              <w:ind w:left="218" w:right="0" w:firstLine="0"/>
              <w:jc w:val="left"/>
            </w:pPr>
            <w:r>
              <w:rPr>
                <w:rFonts w:ascii="Arial" w:hAnsi="Arial" w:eastAsia="Arial"/>
                <w:b w:val="0"/>
                <w:i w:val="0"/>
                <w:color w:val="000000"/>
                <w:sz w:val="14"/>
              </w:rPr>
              <w:t xml:space="preserve">(13,831,209 ) </w:t>
            </w:r>
          </w:p>
        </w:tc>
        <w:tc>
          <w:tcPr>
            <w:tcW w:type="dxa" w:w="1030"/>
            <w:vMerge w:val="restart"/>
            <w:tcBorders/>
            <w:tcMar>
              <w:start w:w="0" w:type="dxa"/>
              <w:end w:w="0" w:type="dxa"/>
            </w:tcMar>
            <w:tcMar>
              <w:start w:w="0" w:type="dxa"/>
              <w:end w:w="0" w:type="dxa"/>
            </w:tcMar>
          </w:tcPr>
          <w:p>
            <w:pPr>
              <w:autoSpaceDN w:val="0"/>
              <w:autoSpaceDE w:val="0"/>
              <w:widowControl/>
              <w:spacing w:line="233" w:lineRule="auto" w:before="72" w:after="0"/>
              <w:ind w:left="0" w:right="40" w:firstLine="0"/>
              <w:jc w:val="right"/>
            </w:pPr>
            <w:r>
              <w:rPr>
                <w:rFonts w:ascii="Arial" w:hAnsi="Arial" w:eastAsia="Arial"/>
                <w:b w:val="0"/>
                <w:i w:val="0"/>
                <w:color w:val="000000"/>
                <w:sz w:val="14"/>
              </w:rPr>
              <w:t xml:space="preserve">- </w:t>
            </w:r>
          </w:p>
        </w:tc>
      </w:tr>
      <w:tr>
        <w:trPr>
          <w:trHeight w:hRule="exact" w:val="52"/>
        </w:trPr>
        <w:tc>
          <w:tcPr>
            <w:tcW w:type="dxa" w:w="2098"/>
            <w:vMerge w:val="restart"/>
            <w:tcBorders/>
            <w:tcMar>
              <w:start w:w="0" w:type="dxa"/>
              <w:end w:w="0" w:type="dxa"/>
            </w:tcMar>
            <w:tcMar>
              <w:start w:w="0" w:type="dxa"/>
              <w:end w:w="0" w:type="dxa"/>
            </w:tcMar>
          </w:tcPr>
          <w:p>
            <w:pPr>
              <w:autoSpaceDN w:val="0"/>
              <w:autoSpaceDE w:val="0"/>
              <w:widowControl/>
              <w:spacing w:line="156" w:lineRule="exact" w:before="64" w:after="0"/>
              <w:ind w:left="0" w:right="242" w:firstLine="0"/>
              <w:jc w:val="right"/>
            </w:pPr>
            <w:r>
              <w:rPr>
                <w:rFonts w:ascii="黑体" w:hAnsi="黑体" w:eastAsia="黑体"/>
                <w:b w:val="0"/>
                <w:i w:val="0"/>
                <w:color w:val="000000"/>
                <w:sz w:val="14"/>
              </w:rPr>
              <w:t>利息净收入</w:t>
            </w:r>
            <w:r>
              <w:rPr>
                <w:rFonts w:ascii="Arial" w:hAnsi="Arial" w:eastAsia="Arial"/>
                <w:b w:val="0"/>
                <w:i w:val="0"/>
                <w:color w:val="000000"/>
                <w:sz w:val="14"/>
              </w:rPr>
              <w:t>/</w:t>
            </w:r>
            <w:r>
              <w:rPr>
                <w:rFonts w:ascii="黑体" w:hAnsi="黑体" w:eastAsia="黑体"/>
                <w:b w:val="0"/>
                <w:i w:val="0"/>
                <w:color w:val="000000"/>
                <w:sz w:val="14"/>
              </w:rPr>
              <w:t>（支出）</w:t>
            </w: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r>
      <w:tr>
        <w:trPr>
          <w:trHeight w:hRule="exact" w:val="168"/>
        </w:trPr>
        <w:tc>
          <w:tcPr>
            <w:tcW w:type="dxa" w:w="1279"/>
            <w:vMerge/>
            <w:tcBorders/>
          </w:tcPr>
          <w:p/>
        </w:tc>
        <w:tc>
          <w:tcPr>
            <w:tcW w:type="dxa" w:w="1162"/>
            <w:tcBorders/>
            <w:tcMar>
              <w:start w:w="0" w:type="dxa"/>
              <w:end w:w="0" w:type="dxa"/>
            </w:tcMar>
          </w:tcPr>
          <w:p>
            <w:pPr>
              <w:autoSpaceDN w:val="0"/>
              <w:autoSpaceDE w:val="0"/>
              <w:widowControl/>
              <w:spacing w:line="233" w:lineRule="auto" w:before="12"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2" w:after="0"/>
              <w:ind w:left="0" w:right="140" w:firstLine="0"/>
              <w:jc w:val="right"/>
            </w:pPr>
            <w:r>
              <w:rPr>
                <w:rFonts w:ascii="Arial" w:hAnsi="Arial" w:eastAsia="Arial"/>
                <w:b w:val="0"/>
                <w:i w:val="0"/>
                <w:color w:val="000000"/>
                <w:sz w:val="14"/>
              </w:rPr>
              <w:t>-</w:t>
            </w:r>
          </w:p>
        </w:tc>
        <w:tc>
          <w:tcPr>
            <w:tcW w:type="dxa" w:w="1164"/>
            <w:tcBorders/>
            <w:tcMar>
              <w:start w:w="0" w:type="dxa"/>
              <w:end w:w="0" w:type="dxa"/>
            </w:tcMar>
          </w:tcPr>
          <w:p>
            <w:pPr>
              <w:autoSpaceDN w:val="0"/>
              <w:autoSpaceDE w:val="0"/>
              <w:widowControl/>
              <w:spacing w:line="233" w:lineRule="auto" w:before="12" w:after="0"/>
              <w:ind w:left="0" w:right="104" w:firstLine="0"/>
              <w:jc w:val="right"/>
            </w:pPr>
            <w:r>
              <w:rPr>
                <w:rFonts w:ascii="Arial" w:hAnsi="Arial" w:eastAsia="Arial"/>
                <w:b w:val="0"/>
                <w:i w:val="0"/>
                <w:color w:val="000000"/>
                <w:sz w:val="14"/>
              </w:rPr>
              <w:t xml:space="preserve">- </w:t>
            </w:r>
          </w:p>
        </w:tc>
        <w:tc>
          <w:tcPr>
            <w:tcW w:type="dxa" w:w="102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428"/>
            <w:tcBorders/>
            <w:tcMar>
              <w:start w:w="0" w:type="dxa"/>
              <w:end w:w="0" w:type="dxa"/>
            </w:tcMar>
          </w:tcPr>
          <w:p>
            <w:pPr>
              <w:autoSpaceDN w:val="0"/>
              <w:autoSpaceDE w:val="0"/>
              <w:widowControl/>
              <w:spacing w:line="233" w:lineRule="auto" w:before="12" w:after="0"/>
              <w:ind w:left="0" w:right="166" w:firstLine="0"/>
              <w:jc w:val="right"/>
            </w:pPr>
            <w:r>
              <w:rPr>
                <w:rFonts w:ascii="Arial" w:hAnsi="Arial" w:eastAsia="Arial"/>
                <w:b w:val="0"/>
                <w:i w:val="0"/>
                <w:color w:val="000000"/>
                <w:sz w:val="14"/>
              </w:rPr>
              <w:t>-</w:t>
            </w:r>
          </w:p>
        </w:tc>
        <w:tc>
          <w:tcPr>
            <w:tcW w:type="dxa" w:w="1448"/>
            <w:tcBorders/>
            <w:tcMar>
              <w:start w:w="0" w:type="dxa"/>
              <w:end w:w="0" w:type="dxa"/>
            </w:tcMar>
          </w:tcPr>
          <w:p>
            <w:pPr>
              <w:autoSpaceDN w:val="0"/>
              <w:autoSpaceDE w:val="0"/>
              <w:widowControl/>
              <w:spacing w:line="233" w:lineRule="auto" w:before="12" w:after="0"/>
              <w:ind w:left="0" w:right="104" w:firstLine="0"/>
              <w:jc w:val="right"/>
            </w:pPr>
            <w:r>
              <w:rPr>
                <w:rFonts w:ascii="Arial" w:hAnsi="Arial" w:eastAsia="Arial"/>
                <w:b w:val="0"/>
                <w:i w:val="0"/>
                <w:color w:val="000000"/>
                <w:sz w:val="14"/>
              </w:rPr>
              <w:t xml:space="preserve">- </w:t>
            </w:r>
          </w:p>
        </w:tc>
        <w:tc>
          <w:tcPr>
            <w:tcW w:type="dxa" w:w="1316"/>
            <w:tcBorders/>
            <w:tcMar>
              <w:start w:w="0" w:type="dxa"/>
              <w:end w:w="0" w:type="dxa"/>
            </w:tcMar>
          </w:tcPr>
          <w:p>
            <w:pPr>
              <w:autoSpaceDN w:val="0"/>
              <w:autoSpaceDE w:val="0"/>
              <w:widowControl/>
              <w:spacing w:line="233" w:lineRule="auto" w:before="12" w:after="0"/>
              <w:ind w:left="0" w:right="84" w:firstLine="0"/>
              <w:jc w:val="right"/>
            </w:pPr>
            <w:r>
              <w:rPr>
                <w:rFonts w:ascii="Arial" w:hAnsi="Arial" w:eastAsia="Arial"/>
                <w:b w:val="0"/>
                <w:i w:val="0"/>
                <w:color w:val="000000"/>
                <w:sz w:val="14"/>
              </w:rPr>
              <w:t xml:space="preserve">(9,272,455) </w:t>
            </w:r>
          </w:p>
        </w:tc>
        <w:tc>
          <w:tcPr>
            <w:tcW w:type="dxa" w:w="1106"/>
            <w:tcBorders/>
            <w:tcMar>
              <w:start w:w="0" w:type="dxa"/>
              <w:end w:w="0" w:type="dxa"/>
            </w:tcMar>
          </w:tcPr>
          <w:p>
            <w:pPr>
              <w:autoSpaceDN w:val="0"/>
              <w:autoSpaceDE w:val="0"/>
              <w:widowControl/>
              <w:spacing w:line="233" w:lineRule="auto" w:before="12" w:after="0"/>
              <w:ind w:left="0" w:right="102" w:firstLine="0"/>
              <w:jc w:val="right"/>
            </w:pPr>
            <w:r>
              <w:rPr>
                <w:rFonts w:ascii="Arial" w:hAnsi="Arial" w:eastAsia="Arial"/>
                <w:b w:val="0"/>
                <w:i w:val="0"/>
                <w:color w:val="000000"/>
                <w:sz w:val="14"/>
              </w:rPr>
              <w:t xml:space="preserve">9,272,455 </w:t>
            </w:r>
          </w:p>
        </w:tc>
        <w:tc>
          <w:tcPr>
            <w:tcW w:type="dxa" w:w="1030"/>
            <w:tcBorders/>
            <w:tcMar>
              <w:start w:w="0" w:type="dxa"/>
              <w:end w:w="0" w:type="dxa"/>
            </w:tcMar>
          </w:tcPr>
          <w:p>
            <w:pPr>
              <w:autoSpaceDN w:val="0"/>
              <w:autoSpaceDE w:val="0"/>
              <w:widowControl/>
              <w:spacing w:line="233" w:lineRule="auto" w:before="12" w:after="0"/>
              <w:ind w:left="0" w:right="40" w:firstLine="0"/>
              <w:jc w:val="right"/>
            </w:pPr>
            <w:r>
              <w:rPr>
                <w:rFonts w:ascii="Arial" w:hAnsi="Arial" w:eastAsia="Arial"/>
                <w:b w:val="0"/>
                <w:i w:val="0"/>
                <w:color w:val="000000"/>
                <w:sz w:val="14"/>
              </w:rPr>
              <w:t xml:space="preserve">- </w:t>
            </w:r>
          </w:p>
        </w:tc>
      </w:tr>
      <w:tr>
        <w:trPr>
          <w:trHeight w:hRule="exact" w:val="200"/>
        </w:trPr>
        <w:tc>
          <w:tcPr>
            <w:tcW w:type="dxa" w:w="2098"/>
            <w:tcBorders/>
            <w:tcMar>
              <w:start w:w="0" w:type="dxa"/>
              <w:end w:w="0" w:type="dxa"/>
            </w:tcMar>
          </w:tcPr>
          <w:p>
            <w:pPr>
              <w:autoSpaceDN w:val="0"/>
              <w:autoSpaceDE w:val="0"/>
              <w:widowControl/>
              <w:spacing w:line="140" w:lineRule="exact" w:before="60" w:after="0"/>
              <w:ind w:left="0" w:right="982" w:firstLine="0"/>
              <w:jc w:val="right"/>
            </w:pPr>
            <w:r>
              <w:rPr>
                <w:rFonts w:ascii="黑体" w:hAnsi="黑体" w:eastAsia="黑体"/>
                <w:b w:val="0"/>
                <w:i w:val="0"/>
                <w:color w:val="000000"/>
                <w:sz w:val="14"/>
              </w:rPr>
              <w:t>投资损益</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68" w:after="0"/>
              <w:ind w:left="0" w:right="144" w:firstLine="0"/>
              <w:jc w:val="right"/>
            </w:pPr>
            <w:r>
              <w:rPr>
                <w:rFonts w:ascii="Arial" w:hAnsi="Arial" w:eastAsia="Arial"/>
                <w:b w:val="0"/>
                <w:i w:val="0"/>
                <w:color w:val="000000"/>
                <w:sz w:val="14"/>
              </w:rPr>
              <w:t>6,500,000</w:t>
            </w:r>
          </w:p>
        </w:tc>
        <w:tc>
          <w:tcPr>
            <w:tcW w:type="dxa" w:w="964"/>
            <w:vMerge w:val="restart"/>
            <w:tcBorders/>
            <w:tcMar>
              <w:start w:w="0" w:type="dxa"/>
              <w:end w:w="0" w:type="dxa"/>
            </w:tcMar>
            <w:tcMar>
              <w:start w:w="0" w:type="dxa"/>
              <w:end w:w="0" w:type="dxa"/>
            </w:tcMar>
          </w:tcPr>
          <w:p>
            <w:pPr>
              <w:autoSpaceDN w:val="0"/>
              <w:autoSpaceDE w:val="0"/>
              <w:widowControl/>
              <w:spacing w:line="230" w:lineRule="auto" w:before="68"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68" w:after="0"/>
              <w:ind w:left="0" w:right="144" w:firstLine="0"/>
              <w:jc w:val="right"/>
            </w:pPr>
            <w:r>
              <w:rPr>
                <w:rFonts w:ascii="Arial" w:hAnsi="Arial" w:eastAsia="Arial"/>
                <w:b w:val="0"/>
                <w:i w:val="0"/>
                <w:color w:val="000000"/>
                <w:sz w:val="14"/>
              </w:rPr>
              <w:t>6,044,456</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68" w:after="0"/>
              <w:ind w:left="274" w:right="0" w:firstLine="0"/>
              <w:jc w:val="left"/>
            </w:pPr>
            <w:r>
              <w:rPr>
                <w:rFonts w:ascii="Arial" w:hAnsi="Arial" w:eastAsia="Arial"/>
                <w:b w:val="0"/>
                <w:i w:val="0"/>
                <w:color w:val="000000"/>
                <w:sz w:val="14"/>
              </w:rPr>
              <w:t xml:space="preserve">(39,068,061 ) </w:t>
            </w:r>
          </w:p>
        </w:tc>
        <w:tc>
          <w:tcPr>
            <w:tcW w:type="dxa" w:w="1020"/>
            <w:vMerge w:val="restart"/>
            <w:tcBorders/>
            <w:tcMar>
              <w:start w:w="0" w:type="dxa"/>
              <w:end w:w="0" w:type="dxa"/>
            </w:tcMar>
            <w:tcMar>
              <w:start w:w="0" w:type="dxa"/>
              <w:end w:w="0" w:type="dxa"/>
            </w:tcMar>
          </w:tcPr>
          <w:p>
            <w:pPr>
              <w:autoSpaceDN w:val="0"/>
              <w:autoSpaceDE w:val="0"/>
              <w:widowControl/>
              <w:spacing w:line="230" w:lineRule="auto" w:before="68" w:after="0"/>
              <w:ind w:left="0" w:right="0" w:firstLine="0"/>
              <w:jc w:val="right"/>
            </w:pPr>
            <w:r>
              <w:rPr>
                <w:rFonts w:ascii="Arial" w:hAnsi="Arial" w:eastAsia="Arial"/>
                <w:b w:val="0"/>
                <w:i w:val="0"/>
                <w:color w:val="000000"/>
                <w:sz w:val="14"/>
              </w:rPr>
              <w:t>-</w:t>
            </w:r>
          </w:p>
        </w:tc>
        <w:tc>
          <w:tcPr>
            <w:tcW w:type="dxa" w:w="1428"/>
            <w:vMerge w:val="restart"/>
            <w:tcBorders/>
            <w:tcMar>
              <w:start w:w="0" w:type="dxa"/>
              <w:end w:w="0" w:type="dxa"/>
            </w:tcMar>
            <w:tcMar>
              <w:start w:w="0" w:type="dxa"/>
              <w:end w:w="0" w:type="dxa"/>
            </w:tcMar>
          </w:tcPr>
          <w:p>
            <w:pPr>
              <w:autoSpaceDN w:val="0"/>
              <w:autoSpaceDE w:val="0"/>
              <w:widowControl/>
              <w:spacing w:line="230" w:lineRule="auto" w:before="68" w:after="0"/>
              <w:ind w:left="0" w:right="166" w:firstLine="0"/>
              <w:jc w:val="right"/>
            </w:pPr>
            <w:r>
              <w:rPr>
                <w:rFonts w:ascii="Arial" w:hAnsi="Arial" w:eastAsia="Arial"/>
                <w:b w:val="0"/>
                <w:i w:val="0"/>
                <w:color w:val="000000"/>
                <w:sz w:val="14"/>
              </w:rPr>
              <w:t>-</w:t>
            </w:r>
          </w:p>
        </w:tc>
        <w:tc>
          <w:tcPr>
            <w:tcW w:type="dxa" w:w="1448"/>
            <w:vMerge w:val="restart"/>
            <w:tcBorders/>
            <w:tcMar>
              <w:start w:w="0" w:type="dxa"/>
              <w:end w:w="0" w:type="dxa"/>
            </w:tcMar>
            <w:tcMar>
              <w:start w:w="0" w:type="dxa"/>
              <w:end w:w="0" w:type="dxa"/>
            </w:tcMar>
          </w:tcPr>
          <w:p>
            <w:pPr>
              <w:autoSpaceDN w:val="0"/>
              <w:autoSpaceDE w:val="0"/>
              <w:widowControl/>
              <w:spacing w:line="230" w:lineRule="auto" w:before="68" w:after="0"/>
              <w:ind w:left="0" w:right="104" w:firstLine="0"/>
              <w:jc w:val="right"/>
            </w:pPr>
            <w:r>
              <w:rPr>
                <w:rFonts w:ascii="Arial" w:hAnsi="Arial" w:eastAsia="Arial"/>
                <w:b w:val="0"/>
                <w:i w:val="0"/>
                <w:color w:val="000000"/>
                <w:sz w:val="14"/>
              </w:rPr>
              <w:t xml:space="preserve">- </w:t>
            </w:r>
          </w:p>
        </w:tc>
        <w:tc>
          <w:tcPr>
            <w:tcW w:type="dxa" w:w="1316"/>
            <w:vMerge w:val="restart"/>
            <w:tcBorders/>
            <w:tcMar>
              <w:start w:w="0" w:type="dxa"/>
              <w:end w:w="0" w:type="dxa"/>
            </w:tcMar>
            <w:tcMar>
              <w:start w:w="0" w:type="dxa"/>
              <w:end w:w="0" w:type="dxa"/>
            </w:tcMar>
          </w:tcPr>
          <w:p>
            <w:pPr>
              <w:autoSpaceDN w:val="0"/>
              <w:autoSpaceDE w:val="0"/>
              <w:widowControl/>
              <w:spacing w:line="230" w:lineRule="auto" w:before="68" w:after="0"/>
              <w:ind w:left="0" w:right="170" w:firstLine="0"/>
              <w:jc w:val="right"/>
            </w:pPr>
            <w:r>
              <w:rPr>
                <w:rFonts w:ascii="Arial" w:hAnsi="Arial" w:eastAsia="Arial"/>
                <w:b w:val="0"/>
                <w:i w:val="0"/>
                <w:color w:val="000000"/>
                <w:sz w:val="14"/>
              </w:rPr>
              <w:t>70,710,917</w:t>
            </w:r>
          </w:p>
        </w:tc>
        <w:tc>
          <w:tcPr>
            <w:tcW w:type="dxa" w:w="1106"/>
            <w:vMerge w:val="restart"/>
            <w:tcBorders/>
            <w:tcMar>
              <w:start w:w="0" w:type="dxa"/>
              <w:end w:w="0" w:type="dxa"/>
            </w:tcMar>
            <w:tcMar>
              <w:start w:w="0" w:type="dxa"/>
              <w:end w:w="0" w:type="dxa"/>
            </w:tcMar>
          </w:tcPr>
          <w:p>
            <w:pPr>
              <w:autoSpaceDN w:val="0"/>
              <w:autoSpaceDE w:val="0"/>
              <w:widowControl/>
              <w:spacing w:line="230" w:lineRule="auto" w:before="68" w:after="0"/>
              <w:ind w:left="218" w:right="0" w:firstLine="0"/>
              <w:jc w:val="left"/>
            </w:pPr>
            <w:r>
              <w:rPr>
                <w:rFonts w:ascii="Arial" w:hAnsi="Arial" w:eastAsia="Arial"/>
                <w:b w:val="0"/>
                <w:i w:val="0"/>
                <w:color w:val="000000"/>
                <w:sz w:val="14"/>
              </w:rPr>
              <w:t xml:space="preserve">(44,187,312 ) </w:t>
            </w:r>
          </w:p>
        </w:tc>
        <w:tc>
          <w:tcPr>
            <w:tcW w:type="dxa" w:w="1030"/>
            <w:vMerge w:val="restart"/>
            <w:tcBorders/>
            <w:tcMar>
              <w:start w:w="0" w:type="dxa"/>
              <w:end w:w="0" w:type="dxa"/>
            </w:tcMar>
            <w:tcMar>
              <w:start w:w="0" w:type="dxa"/>
              <w:end w:w="0" w:type="dxa"/>
            </w:tcMar>
          </w:tcPr>
          <w:p>
            <w:pPr>
              <w:autoSpaceDN w:val="0"/>
              <w:autoSpaceDE w:val="0"/>
              <w:widowControl/>
              <w:spacing w:line="230" w:lineRule="auto" w:before="68" w:after="0"/>
              <w:ind w:left="0" w:right="40" w:firstLine="0"/>
              <w:jc w:val="right"/>
            </w:pPr>
            <w:r>
              <w:rPr>
                <w:rFonts w:ascii="Arial" w:hAnsi="Arial" w:eastAsia="Arial"/>
                <w:b w:val="0"/>
                <w:i w:val="0"/>
                <w:color w:val="000000"/>
                <w:sz w:val="14"/>
              </w:rPr>
              <w:t xml:space="preserve">- </w:t>
            </w:r>
          </w:p>
        </w:tc>
      </w:tr>
      <w:tr>
        <w:trPr>
          <w:trHeight w:hRule="exact" w:val="48"/>
        </w:trPr>
        <w:tc>
          <w:tcPr>
            <w:tcW w:type="dxa" w:w="2098"/>
            <w:vMerge w:val="restart"/>
            <w:tcBorders/>
            <w:tcMar>
              <w:start w:w="0" w:type="dxa"/>
              <w:end w:w="0" w:type="dxa"/>
            </w:tcMar>
            <w:tcMar>
              <w:start w:w="0" w:type="dxa"/>
              <w:end w:w="0" w:type="dxa"/>
            </w:tcMar>
          </w:tcPr>
          <w:p>
            <w:pPr>
              <w:autoSpaceDN w:val="0"/>
              <w:autoSpaceDE w:val="0"/>
              <w:widowControl/>
              <w:spacing w:line="140" w:lineRule="exact" w:before="60" w:after="0"/>
              <w:ind w:left="0" w:right="420" w:firstLine="0"/>
              <w:jc w:val="right"/>
            </w:pPr>
            <w:r>
              <w:rPr>
                <w:rFonts w:ascii="黑体" w:hAnsi="黑体" w:eastAsia="黑体"/>
                <w:b w:val="0"/>
                <w:i w:val="0"/>
                <w:color w:val="000000"/>
                <w:sz w:val="14"/>
              </w:rPr>
              <w:t>公允价值变动损益</w:t>
            </w: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r>
      <w:tr>
        <w:trPr>
          <w:trHeight w:hRule="exact" w:val="152"/>
        </w:trPr>
        <w:tc>
          <w:tcPr>
            <w:tcW w:type="dxa" w:w="1279"/>
            <w:vMerge/>
            <w:tcBorders/>
          </w:tcPr>
          <w:p/>
        </w:tc>
        <w:tc>
          <w:tcPr>
            <w:tcW w:type="dxa" w:w="1162"/>
            <w:vMerge w:val="restart"/>
            <w:tcBorders/>
            <w:tcMar>
              <w:start w:w="0" w:type="dxa"/>
              <w:end w:w="0" w:type="dxa"/>
            </w:tcMar>
            <w:tcMar>
              <w:start w:w="0" w:type="dxa"/>
              <w:end w:w="0" w:type="dxa"/>
            </w:tcMar>
          </w:tcPr>
          <w:p>
            <w:pPr>
              <w:autoSpaceDN w:val="0"/>
              <w:autoSpaceDE w:val="0"/>
              <w:widowControl/>
              <w:spacing w:line="233" w:lineRule="auto" w:before="26" w:after="0"/>
              <w:ind w:left="0" w:right="142" w:firstLine="0"/>
              <w:jc w:val="right"/>
            </w:pPr>
            <w:r>
              <w:rPr>
                <w:rFonts w:ascii="Arial" w:hAnsi="Arial" w:eastAsia="Arial"/>
                <w:b w:val="0"/>
                <w:i w:val="0"/>
                <w:color w:val="000000"/>
                <w:sz w:val="14"/>
              </w:rPr>
              <w:t>-</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26" w:after="0"/>
              <w:ind w:left="0" w:right="144" w:firstLine="0"/>
              <w:jc w:val="right"/>
            </w:pPr>
            <w:r>
              <w:rPr>
                <w:rFonts w:ascii="Arial" w:hAnsi="Arial" w:eastAsia="Arial"/>
                <w:b w:val="0"/>
                <w:i w:val="0"/>
                <w:color w:val="000000"/>
                <w:sz w:val="14"/>
              </w:rPr>
              <w:t>154,348,443</w:t>
            </w:r>
          </w:p>
        </w:tc>
        <w:tc>
          <w:tcPr>
            <w:tcW w:type="dxa" w:w="1164"/>
            <w:vMerge w:val="restart"/>
            <w:tcBorders/>
            <w:tcMar>
              <w:start w:w="0" w:type="dxa"/>
              <w:end w:w="0" w:type="dxa"/>
            </w:tcMar>
            <w:tcMar>
              <w:start w:w="0" w:type="dxa"/>
              <w:end w:w="0" w:type="dxa"/>
            </w:tcMar>
          </w:tcPr>
          <w:p>
            <w:pPr>
              <w:autoSpaceDN w:val="0"/>
              <w:autoSpaceDE w:val="0"/>
              <w:widowControl/>
              <w:spacing w:line="233" w:lineRule="auto" w:before="26" w:after="0"/>
              <w:ind w:left="0" w:right="104" w:firstLine="0"/>
              <w:jc w:val="right"/>
            </w:pPr>
            <w:r>
              <w:rPr>
                <w:rFonts w:ascii="Arial" w:hAnsi="Arial" w:eastAsia="Arial"/>
                <w:b w:val="0"/>
                <w:i w:val="0"/>
                <w:color w:val="000000"/>
                <w:sz w:val="14"/>
              </w:rPr>
              <w:t xml:space="preserve">27,979,602 </w:t>
            </w:r>
          </w:p>
        </w:tc>
        <w:tc>
          <w:tcPr>
            <w:tcW w:type="dxa" w:w="1020"/>
            <w:vMerge w:val="restart"/>
            <w:tcBorders/>
            <w:tcMar>
              <w:start w:w="0" w:type="dxa"/>
              <w:end w:w="0" w:type="dxa"/>
            </w:tcMar>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14"/>
              </w:rPr>
              <w:t>-</w:t>
            </w:r>
          </w:p>
        </w:tc>
        <w:tc>
          <w:tcPr>
            <w:tcW w:type="dxa" w:w="1428"/>
            <w:vMerge w:val="restart"/>
            <w:tcBorders/>
            <w:tcMar>
              <w:start w:w="0" w:type="dxa"/>
              <w:end w:w="0" w:type="dxa"/>
            </w:tcMar>
            <w:tcMar>
              <w:start w:w="0" w:type="dxa"/>
              <w:end w:w="0" w:type="dxa"/>
            </w:tcMar>
          </w:tcPr>
          <w:p>
            <w:pPr>
              <w:autoSpaceDN w:val="0"/>
              <w:autoSpaceDE w:val="0"/>
              <w:widowControl/>
              <w:spacing w:line="233" w:lineRule="auto" w:before="26" w:after="0"/>
              <w:ind w:left="0" w:right="166" w:firstLine="0"/>
              <w:jc w:val="right"/>
            </w:pPr>
            <w:r>
              <w:rPr>
                <w:rFonts w:ascii="Arial" w:hAnsi="Arial" w:eastAsia="Arial"/>
                <w:b w:val="0"/>
                <w:i w:val="0"/>
                <w:color w:val="000000"/>
                <w:sz w:val="14"/>
              </w:rPr>
              <w:t>-</w:t>
            </w:r>
          </w:p>
        </w:tc>
        <w:tc>
          <w:tcPr>
            <w:tcW w:type="dxa" w:w="1448"/>
            <w:vMerge w:val="restart"/>
            <w:tcBorders/>
            <w:tcMar>
              <w:start w:w="0" w:type="dxa"/>
              <w:end w:w="0" w:type="dxa"/>
            </w:tcMar>
            <w:tcMar>
              <w:start w:w="0" w:type="dxa"/>
              <w:end w:w="0" w:type="dxa"/>
            </w:tcMar>
          </w:tcPr>
          <w:p>
            <w:pPr>
              <w:autoSpaceDN w:val="0"/>
              <w:autoSpaceDE w:val="0"/>
              <w:widowControl/>
              <w:spacing w:line="233" w:lineRule="auto" w:before="26" w:after="0"/>
              <w:ind w:left="0" w:right="104" w:firstLine="0"/>
              <w:jc w:val="right"/>
            </w:pPr>
            <w:r>
              <w:rPr>
                <w:rFonts w:ascii="Arial" w:hAnsi="Arial" w:eastAsia="Arial"/>
                <w:b w:val="0"/>
                <w:i w:val="0"/>
                <w:color w:val="000000"/>
                <w:sz w:val="14"/>
              </w:rPr>
              <w:t xml:space="preserve">- </w:t>
            </w:r>
          </w:p>
        </w:tc>
        <w:tc>
          <w:tcPr>
            <w:tcW w:type="dxa" w:w="1316"/>
            <w:vMerge w:val="restart"/>
            <w:tcBorders/>
            <w:tcMar>
              <w:start w:w="0" w:type="dxa"/>
              <w:end w:w="0" w:type="dxa"/>
            </w:tcMar>
            <w:tcMar>
              <w:start w:w="0" w:type="dxa"/>
              <w:end w:w="0" w:type="dxa"/>
            </w:tcMar>
          </w:tcPr>
          <w:p>
            <w:pPr>
              <w:autoSpaceDN w:val="0"/>
              <w:autoSpaceDE w:val="0"/>
              <w:widowControl/>
              <w:spacing w:line="233" w:lineRule="auto" w:before="26" w:after="0"/>
              <w:ind w:left="0" w:right="84" w:firstLine="0"/>
              <w:jc w:val="right"/>
            </w:pPr>
            <w:r>
              <w:rPr>
                <w:rFonts w:ascii="Arial" w:hAnsi="Arial" w:eastAsia="Arial"/>
                <w:b w:val="0"/>
                <w:i w:val="0"/>
                <w:color w:val="000000"/>
                <w:sz w:val="14"/>
              </w:rPr>
              <w:t xml:space="preserve">(20,710,917) </w:t>
            </w:r>
          </w:p>
        </w:tc>
        <w:tc>
          <w:tcPr>
            <w:tcW w:type="dxa" w:w="1106"/>
            <w:vMerge w:val="restart"/>
            <w:tcBorders/>
            <w:tcMar>
              <w:start w:w="0" w:type="dxa"/>
              <w:end w:w="0" w:type="dxa"/>
            </w:tcMar>
            <w:tcMar>
              <w:start w:w="0" w:type="dxa"/>
              <w:end w:w="0" w:type="dxa"/>
            </w:tcMar>
          </w:tcPr>
          <w:p>
            <w:pPr>
              <w:autoSpaceDN w:val="0"/>
              <w:autoSpaceDE w:val="0"/>
              <w:widowControl/>
              <w:spacing w:line="233" w:lineRule="auto" w:before="26" w:after="0"/>
              <w:ind w:left="138" w:right="0" w:firstLine="0"/>
              <w:jc w:val="left"/>
            </w:pPr>
            <w:r>
              <w:rPr>
                <w:rFonts w:ascii="Arial" w:hAnsi="Arial" w:eastAsia="Arial"/>
                <w:b w:val="0"/>
                <w:i w:val="0"/>
                <w:color w:val="000000"/>
                <w:sz w:val="14"/>
              </w:rPr>
              <w:t xml:space="preserve">(161,617,128 ) </w:t>
            </w:r>
          </w:p>
        </w:tc>
        <w:tc>
          <w:tcPr>
            <w:tcW w:type="dxa" w:w="1030"/>
            <w:vMerge w:val="restart"/>
            <w:tcBorders/>
            <w:tcMar>
              <w:start w:w="0" w:type="dxa"/>
              <w:end w:w="0" w:type="dxa"/>
            </w:tcMar>
            <w:tcMar>
              <w:start w:w="0" w:type="dxa"/>
              <w:end w:w="0" w:type="dxa"/>
            </w:tcMar>
          </w:tcPr>
          <w:p>
            <w:pPr>
              <w:autoSpaceDN w:val="0"/>
              <w:autoSpaceDE w:val="0"/>
              <w:widowControl/>
              <w:spacing w:line="233" w:lineRule="auto" w:before="26" w:after="0"/>
              <w:ind w:left="0" w:right="40" w:firstLine="0"/>
              <w:jc w:val="right"/>
            </w:pPr>
            <w:r>
              <w:rPr>
                <w:rFonts w:ascii="Arial" w:hAnsi="Arial" w:eastAsia="Arial"/>
                <w:b w:val="0"/>
                <w:i w:val="0"/>
                <w:color w:val="000000"/>
                <w:sz w:val="14"/>
              </w:rPr>
              <w:t xml:space="preserve">- </w:t>
            </w:r>
          </w:p>
        </w:tc>
      </w:tr>
      <w:tr>
        <w:trPr>
          <w:trHeight w:hRule="exact" w:val="56"/>
        </w:trPr>
        <w:tc>
          <w:tcPr>
            <w:tcW w:type="dxa" w:w="2098"/>
            <w:vMerge w:val="restart"/>
            <w:tcBorders/>
            <w:tcMar>
              <w:start w:w="0" w:type="dxa"/>
              <w:end w:w="0" w:type="dxa"/>
            </w:tcMar>
            <w:tcMar>
              <w:start w:w="0" w:type="dxa"/>
              <w:end w:w="0" w:type="dxa"/>
            </w:tcMar>
          </w:tcPr>
          <w:p>
            <w:pPr>
              <w:autoSpaceDN w:val="0"/>
              <w:autoSpaceDE w:val="0"/>
              <w:widowControl/>
              <w:spacing w:line="138" w:lineRule="exact" w:before="78" w:after="0"/>
              <w:ind w:left="0" w:right="1260" w:firstLine="0"/>
              <w:jc w:val="right"/>
            </w:pPr>
            <w:r>
              <w:rPr>
                <w:rFonts w:ascii="黑体" w:hAnsi="黑体" w:eastAsia="黑体"/>
                <w:b w:val="0"/>
                <w:i w:val="0"/>
                <w:color w:val="000000"/>
                <w:sz w:val="14"/>
              </w:rPr>
              <w:t>其他</w:t>
            </w: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c>
          <w:tcPr>
            <w:tcW w:type="dxa" w:w="1279"/>
            <w:vMerge/>
            <w:tcBorders/>
          </w:tcPr>
          <w:p/>
        </w:tc>
      </w:tr>
      <w:tr>
        <w:trPr>
          <w:trHeight w:hRule="exact" w:val="240"/>
        </w:trPr>
        <w:tc>
          <w:tcPr>
            <w:tcW w:type="dxa" w:w="1279"/>
            <w:vMerge/>
            <w:tcBorders/>
          </w:tcPr>
          <w:p/>
        </w:tc>
        <w:tc>
          <w:tcPr>
            <w:tcW w:type="dxa" w:w="1162"/>
            <w:tcBorders/>
            <w:tcMar>
              <w:start w:w="0" w:type="dxa"/>
              <w:end w:w="0" w:type="dxa"/>
            </w:tcMar>
          </w:tcPr>
          <w:p>
            <w:pPr>
              <w:autoSpaceDN w:val="0"/>
              <w:autoSpaceDE w:val="0"/>
              <w:widowControl/>
              <w:spacing w:line="233" w:lineRule="auto" w:before="24" w:after="0"/>
              <w:ind w:left="0" w:right="142"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24" w:after="0"/>
              <w:ind w:left="0" w:right="140" w:firstLine="0"/>
              <w:jc w:val="right"/>
            </w:pPr>
            <w:r>
              <w:rPr>
                <w:rFonts w:ascii="Arial" w:hAnsi="Arial" w:eastAsia="Arial"/>
                <w:b w:val="0"/>
                <w:i w:val="0"/>
                <w:color w:val="000000"/>
                <w:sz w:val="14"/>
              </w:rPr>
              <w:t>-</w:t>
            </w:r>
          </w:p>
        </w:tc>
        <w:tc>
          <w:tcPr>
            <w:tcW w:type="dxa" w:w="1164"/>
            <w:tcBorders/>
            <w:tcMar>
              <w:start w:w="0" w:type="dxa"/>
              <w:end w:w="0" w:type="dxa"/>
            </w:tcMar>
          </w:tcPr>
          <w:p>
            <w:pPr>
              <w:autoSpaceDN w:val="0"/>
              <w:autoSpaceDE w:val="0"/>
              <w:widowControl/>
              <w:spacing w:line="233" w:lineRule="auto" w:before="24" w:after="0"/>
              <w:ind w:left="0" w:right="104" w:firstLine="0"/>
              <w:jc w:val="right"/>
            </w:pPr>
            <w:r>
              <w:rPr>
                <w:rFonts w:ascii="Arial" w:hAnsi="Arial" w:eastAsia="Arial"/>
                <w:b w:val="0"/>
                <w:i w:val="0"/>
                <w:color w:val="000000"/>
                <w:sz w:val="14"/>
              </w:rPr>
              <w:t xml:space="preserve">- </w:t>
            </w:r>
          </w:p>
        </w:tc>
        <w:tc>
          <w:tcPr>
            <w:tcW w:type="dxa" w:w="10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428"/>
            <w:tcBorders/>
            <w:tcMar>
              <w:start w:w="0" w:type="dxa"/>
              <w:end w:w="0" w:type="dxa"/>
            </w:tcMar>
          </w:tcPr>
          <w:p>
            <w:pPr>
              <w:autoSpaceDN w:val="0"/>
              <w:autoSpaceDE w:val="0"/>
              <w:widowControl/>
              <w:spacing w:line="233" w:lineRule="auto" w:before="24" w:after="0"/>
              <w:ind w:left="0" w:right="166" w:firstLine="0"/>
              <w:jc w:val="right"/>
            </w:pPr>
            <w:r>
              <w:rPr>
                <w:rFonts w:ascii="Arial" w:hAnsi="Arial" w:eastAsia="Arial"/>
                <w:b w:val="0"/>
                <w:i w:val="0"/>
                <w:color w:val="000000"/>
                <w:sz w:val="14"/>
              </w:rPr>
              <w:t>-</w:t>
            </w:r>
          </w:p>
        </w:tc>
        <w:tc>
          <w:tcPr>
            <w:tcW w:type="dxa" w:w="1448"/>
            <w:tcBorders/>
            <w:tcMar>
              <w:start w:w="0" w:type="dxa"/>
              <w:end w:w="0" w:type="dxa"/>
            </w:tcMar>
          </w:tcPr>
          <w:p>
            <w:pPr>
              <w:autoSpaceDN w:val="0"/>
              <w:autoSpaceDE w:val="0"/>
              <w:widowControl/>
              <w:spacing w:line="233" w:lineRule="auto" w:before="24" w:after="0"/>
              <w:ind w:left="0" w:right="104" w:firstLine="0"/>
              <w:jc w:val="right"/>
            </w:pPr>
            <w:r>
              <w:rPr>
                <w:rFonts w:ascii="Arial" w:hAnsi="Arial" w:eastAsia="Arial"/>
                <w:b w:val="0"/>
                <w:i w:val="0"/>
                <w:color w:val="000000"/>
                <w:sz w:val="14"/>
              </w:rPr>
              <w:t xml:space="preserve">- </w:t>
            </w:r>
          </w:p>
        </w:tc>
        <w:tc>
          <w:tcPr>
            <w:tcW w:type="dxa" w:w="1316"/>
            <w:tcBorders/>
            <w:tcMar>
              <w:start w:w="0" w:type="dxa"/>
              <w:end w:w="0" w:type="dxa"/>
            </w:tcMar>
          </w:tcPr>
          <w:p>
            <w:pPr>
              <w:autoSpaceDN w:val="0"/>
              <w:autoSpaceDE w:val="0"/>
              <w:widowControl/>
              <w:spacing w:line="233" w:lineRule="auto" w:before="24" w:after="0"/>
              <w:ind w:left="0" w:right="170" w:firstLine="0"/>
              <w:jc w:val="right"/>
            </w:pPr>
            <w:r>
              <w:rPr>
                <w:rFonts w:ascii="Arial" w:hAnsi="Arial" w:eastAsia="Arial"/>
                <w:b w:val="0"/>
                <w:i w:val="0"/>
                <w:color w:val="000000"/>
                <w:sz w:val="14"/>
              </w:rPr>
              <w:t>17,870,473</w:t>
            </w:r>
          </w:p>
        </w:tc>
        <w:tc>
          <w:tcPr>
            <w:tcW w:type="dxa" w:w="1106"/>
            <w:tcBorders/>
            <w:tcMar>
              <w:start w:w="0" w:type="dxa"/>
              <w:end w:w="0" w:type="dxa"/>
            </w:tcMar>
          </w:tcPr>
          <w:p>
            <w:pPr>
              <w:autoSpaceDN w:val="0"/>
              <w:autoSpaceDE w:val="0"/>
              <w:widowControl/>
              <w:spacing w:line="233" w:lineRule="auto" w:before="24" w:after="0"/>
              <w:ind w:left="218" w:right="0" w:firstLine="0"/>
              <w:jc w:val="left"/>
            </w:pPr>
            <w:r>
              <w:rPr>
                <w:rFonts w:ascii="Arial" w:hAnsi="Arial" w:eastAsia="Arial"/>
                <w:b w:val="0"/>
                <w:i w:val="0"/>
                <w:color w:val="000000"/>
                <w:sz w:val="14"/>
              </w:rPr>
              <w:t xml:space="preserve">(17,870,473 ) </w:t>
            </w:r>
          </w:p>
        </w:tc>
        <w:tc>
          <w:tcPr>
            <w:tcW w:type="dxa" w:w="1030"/>
            <w:tcBorders/>
            <w:tcMar>
              <w:start w:w="0" w:type="dxa"/>
              <w:end w:w="0" w:type="dxa"/>
            </w:tcMar>
          </w:tcPr>
          <w:p>
            <w:pPr>
              <w:autoSpaceDN w:val="0"/>
              <w:autoSpaceDE w:val="0"/>
              <w:widowControl/>
              <w:spacing w:line="233" w:lineRule="auto" w:before="24" w:after="0"/>
              <w:ind w:left="0" w:right="40" w:firstLine="0"/>
              <w:jc w:val="right"/>
            </w:pPr>
            <w:r>
              <w:rPr>
                <w:rFonts w:ascii="Arial" w:hAnsi="Arial" w:eastAsia="Arial"/>
                <w:b w:val="0"/>
                <w:i w:val="0"/>
                <w:color w:val="000000"/>
                <w:sz w:val="14"/>
              </w:rPr>
              <w:t xml:space="preserve">- </w:t>
            </w:r>
          </w:p>
        </w:tc>
      </w:tr>
    </w:tbl>
    <w:p>
      <w:pPr>
        <w:autoSpaceDN w:val="0"/>
        <w:autoSpaceDE w:val="0"/>
        <w:widowControl/>
        <w:spacing w:line="233" w:lineRule="auto" w:before="4442" w:after="0"/>
        <w:ind w:left="0" w:right="0" w:firstLine="0"/>
        <w:jc w:val="center"/>
      </w:pPr>
      <w:r>
        <w:rPr>
          <w:rFonts w:ascii="Arial" w:hAnsi="Arial" w:eastAsia="Arial"/>
          <w:b w:val="0"/>
          <w:i w:val="0"/>
          <w:color w:val="000000"/>
          <w:sz w:val="20"/>
        </w:rPr>
        <w:t xml:space="preserve">262 </w:t>
      </w:r>
    </w:p>
    <w:p>
      <w:pPr>
        <w:sectPr>
          <w:pgSz w:w="16841" w:h="11899"/>
          <w:pgMar w:top="1166" w:right="1334"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28" w:val="left"/>
        </w:tabs>
        <w:autoSpaceDE w:val="0"/>
        <w:widowControl/>
        <w:spacing w:line="220" w:lineRule="exact" w:before="0" w:after="0"/>
        <w:ind w:left="0" w:right="0" w:firstLine="0"/>
        <w:jc w:val="left"/>
      </w:pPr>
      <w:r>
        <w:rPr>
          <w:rFonts w:ascii="黑体" w:hAnsi="黑体" w:eastAsia="黑体"/>
          <w:b w:val="0"/>
          <w:i w:val="0"/>
          <w:color w:val="000000"/>
          <w:sz w:val="22"/>
        </w:rPr>
        <w:t>九、</w:t>
      </w:r>
      <w:r>
        <w:tab/>
      </w:r>
      <w:r>
        <w:rPr>
          <w:rFonts w:ascii="黑体" w:hAnsi="黑体" w:eastAsia="黑体"/>
          <w:b w:val="0"/>
          <w:i w:val="0"/>
          <w:color w:val="000000"/>
          <w:sz w:val="22"/>
        </w:rPr>
        <w:t>分部报告（续）</w:t>
      </w:r>
    </w:p>
    <w:p>
      <w:pPr>
        <w:autoSpaceDN w:val="0"/>
        <w:autoSpaceDE w:val="0"/>
        <w:widowControl/>
        <w:spacing w:line="246" w:lineRule="exact" w:before="306" w:after="248"/>
        <w:ind w:left="0"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Arial" w:hAnsi="Arial" w:eastAsia="Arial"/>
          <w:b w:val="0"/>
          <w:i w:val="0"/>
          <w:color w:val="000000"/>
          <w:sz w:val="22"/>
        </w:rPr>
        <w:t xml:space="preserve"> 2023</w:t>
      </w:r>
      <w:r>
        <w:rPr>
          <w:rFonts w:ascii="黑体" w:hAnsi="黑体" w:eastAsia="黑体"/>
          <w:b w:val="0"/>
          <w:i w:val="0"/>
          <w:color w:val="000000"/>
          <w:sz w:val="22"/>
        </w:rPr>
        <w:t>年度及截至</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日分部信息（续）</w:t>
      </w:r>
    </w:p>
    <w:tbl>
      <w:tblPr>
        <w:tblW w:type="auto" w:w="0"/>
        <w:tblLayout w:type="fixed"/>
        <w:tblLook w:firstColumn="1" w:firstRow="1" w:lastColumn="0" w:lastRow="0" w:noHBand="0" w:noVBand="1" w:val="04A0"/>
        <w:tblInd w:w="0.0" w:type="dxa"/>
      </w:tblPr>
      <w:tblGrid>
        <w:gridCol w:w="1173"/>
        <w:gridCol w:w="1173"/>
        <w:gridCol w:w="1173"/>
        <w:gridCol w:w="1173"/>
        <w:gridCol w:w="1173"/>
        <w:gridCol w:w="1173"/>
        <w:gridCol w:w="1173"/>
        <w:gridCol w:w="1173"/>
        <w:gridCol w:w="1173"/>
        <w:gridCol w:w="1173"/>
        <w:gridCol w:w="1173"/>
        <w:gridCol w:w="1173"/>
      </w:tblGrid>
      <w:tr>
        <w:trPr>
          <w:trHeight w:hRule="exact" w:val="206"/>
        </w:trPr>
        <w:tc>
          <w:tcPr>
            <w:tcW w:type="dxa" w:w="2098"/>
            <w:vMerge w:val="restart"/>
            <w:tcBorders>
              <w:bottom w:sz="4.0" w:val="single" w:color="#000000"/>
            </w:tcBorders>
            <w:tcMar>
              <w:start w:w="0" w:type="dxa"/>
              <w:end w:w="0" w:type="dxa"/>
            </w:tcMar>
            <w:tcMar>
              <w:start w:w="0" w:type="dxa"/>
              <w:end w:w="0" w:type="dxa"/>
            </w:tcMar>
          </w:tcP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0" w:firstLine="0"/>
              <w:jc w:val="center"/>
            </w:pPr>
            <w:r>
              <w:rPr>
                <w:rFonts w:ascii="黑体" w:hAnsi="黑体" w:eastAsia="黑体"/>
                <w:b w:val="0"/>
                <w:i w:val="0"/>
                <w:color w:val="000000"/>
                <w:sz w:val="14"/>
              </w:rPr>
              <w:t>证券经纪业务</w:t>
            </w:r>
          </w:p>
        </w:tc>
        <w:tc>
          <w:tcPr>
            <w:tcW w:type="dxa" w:w="964"/>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124" w:right="0" w:firstLine="0"/>
              <w:jc w:val="left"/>
            </w:pPr>
            <w:r>
              <w:rPr>
                <w:rFonts w:ascii="黑体" w:hAnsi="黑体" w:eastAsia="黑体"/>
                <w:b w:val="0"/>
                <w:i w:val="0"/>
                <w:color w:val="000000"/>
                <w:sz w:val="14"/>
              </w:rPr>
              <w:t>投资银行业务</w:t>
            </w:r>
          </w:p>
        </w:tc>
        <w:tc>
          <w:tcPr>
            <w:tcW w:type="dxa" w:w="130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40" w:lineRule="exact" w:before="240" w:after="0"/>
              <w:ind w:left="322" w:right="0" w:firstLine="0"/>
              <w:jc w:val="left"/>
            </w:pPr>
            <w:r>
              <w:rPr>
                <w:rFonts w:ascii="黑体" w:hAnsi="黑体" w:eastAsia="黑体"/>
                <w:b w:val="0"/>
                <w:i w:val="0"/>
                <w:color w:val="000000"/>
                <w:sz w:val="14"/>
              </w:rPr>
              <w:t>固定收益业务</w:t>
            </w:r>
          </w:p>
        </w:tc>
        <w:tc>
          <w:tcPr>
            <w:tcW w:type="dxa" w:w="1164"/>
            <w:tcBorders/>
            <w:tcMar>
              <w:start w:w="0" w:type="dxa"/>
              <w:end w:w="0" w:type="dxa"/>
            </w:tcMar>
          </w:tcPr>
          <w:p>
            <w:pPr>
              <w:autoSpaceDN w:val="0"/>
              <w:autoSpaceDE w:val="0"/>
              <w:widowControl/>
              <w:spacing w:line="140" w:lineRule="exact" w:before="60" w:after="0"/>
              <w:ind w:left="0" w:right="146" w:firstLine="0"/>
              <w:jc w:val="right"/>
            </w:pPr>
            <w:r>
              <w:rPr>
                <w:rFonts w:ascii="黑体" w:hAnsi="黑体" w:eastAsia="黑体"/>
                <w:b w:val="0"/>
                <w:i w:val="0"/>
                <w:color w:val="000000"/>
                <w:sz w:val="14"/>
              </w:rPr>
              <w:t>股票等其他</w:t>
            </w:r>
          </w:p>
        </w:tc>
        <w:tc>
          <w:tcPr>
            <w:tcW w:type="dxa" w:w="1162"/>
            <w:tcBorders/>
            <w:tcMar>
              <w:start w:w="0" w:type="dxa"/>
              <w:end w:w="0" w:type="dxa"/>
            </w:tcMar>
          </w:tcPr>
          <w:p>
            <w:pPr>
              <w:autoSpaceDN w:val="0"/>
              <w:autoSpaceDE w:val="0"/>
              <w:widowControl/>
              <w:spacing w:line="140" w:lineRule="exact" w:before="60" w:after="0"/>
              <w:ind w:left="0" w:right="144" w:firstLine="0"/>
              <w:jc w:val="right"/>
            </w:pPr>
            <w:r>
              <w:rPr>
                <w:rFonts w:ascii="黑体" w:hAnsi="黑体" w:eastAsia="黑体"/>
                <w:b w:val="0"/>
                <w:i w:val="0"/>
                <w:color w:val="000000"/>
                <w:sz w:val="14"/>
              </w:rPr>
              <w:t>受托资产</w:t>
            </w:r>
          </w:p>
        </w:tc>
        <w:tc>
          <w:tcPr>
            <w:tcW w:type="dxa" w:w="1162"/>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0" w:firstLine="0"/>
              <w:jc w:val="center"/>
            </w:pPr>
            <w:r>
              <w:rPr>
                <w:rFonts w:ascii="黑体" w:hAnsi="黑体" w:eastAsia="黑体"/>
                <w:b w:val="0"/>
                <w:i w:val="0"/>
                <w:color w:val="000000"/>
                <w:sz w:val="14"/>
              </w:rPr>
              <w:t>期货经纪业务</w:t>
            </w:r>
          </w:p>
        </w:tc>
        <w:tc>
          <w:tcPr>
            <w:tcW w:type="dxa" w:w="1446"/>
            <w:tcBorders/>
            <w:tcMar>
              <w:start w:w="0" w:type="dxa"/>
              <w:end w:w="0" w:type="dxa"/>
            </w:tcMar>
          </w:tcPr>
          <w:p>
            <w:pPr>
              <w:autoSpaceDN w:val="0"/>
              <w:autoSpaceDE w:val="0"/>
              <w:widowControl/>
              <w:spacing w:line="140" w:lineRule="exact" w:before="60" w:after="0"/>
              <w:ind w:left="44" w:right="0" w:firstLine="0"/>
              <w:jc w:val="left"/>
            </w:pPr>
            <w:r>
              <w:rPr>
                <w:rFonts w:ascii="黑体" w:hAnsi="黑体" w:eastAsia="黑体"/>
                <w:b w:val="0"/>
                <w:i w:val="0"/>
                <w:color w:val="000000"/>
                <w:sz w:val="14"/>
              </w:rPr>
              <w:t>大宗商品交易及风险</w:t>
            </w:r>
          </w:p>
        </w:tc>
        <w:tc>
          <w:tcPr>
            <w:tcW w:type="dxa" w:w="1218"/>
            <w:tcBorders/>
            <w:tcMar>
              <w:start w:w="0" w:type="dxa"/>
              <w:end w:w="0" w:type="dxa"/>
            </w:tcMar>
          </w:tcPr>
          <w:p>
            <w:pPr>
              <w:autoSpaceDN w:val="0"/>
              <w:autoSpaceDE w:val="0"/>
              <w:widowControl/>
              <w:spacing w:line="140" w:lineRule="exact" w:before="60" w:after="0"/>
              <w:ind w:left="0" w:right="144" w:firstLine="0"/>
              <w:jc w:val="right"/>
            </w:pPr>
            <w:r>
              <w:rPr>
                <w:rFonts w:ascii="黑体" w:hAnsi="黑体" w:eastAsia="黑体"/>
                <w:b w:val="0"/>
                <w:i w:val="0"/>
                <w:color w:val="000000"/>
                <w:sz w:val="14"/>
              </w:rPr>
              <w:t>未分配项目</w:t>
            </w:r>
          </w:p>
        </w:tc>
        <w:tc>
          <w:tcPr>
            <w:tcW w:type="dxa" w:w="1220"/>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144" w:firstLine="0"/>
              <w:jc w:val="right"/>
            </w:pPr>
            <w:r>
              <w:rPr>
                <w:rFonts w:ascii="黑体" w:hAnsi="黑体" w:eastAsia="黑体"/>
                <w:b w:val="0"/>
                <w:i w:val="0"/>
                <w:color w:val="000000"/>
                <w:sz w:val="14"/>
              </w:rPr>
              <w:t>分部间抵销</w:t>
            </w:r>
          </w:p>
        </w:tc>
        <w:tc>
          <w:tcPr>
            <w:tcW w:type="dxa" w:w="1160"/>
            <w:vMerge w:val="restart"/>
            <w:tcBorders>
              <w:bottom w:sz="4.0" w:val="single" w:color="#000000"/>
            </w:tcBorders>
            <w:tcMar>
              <w:start w:w="0" w:type="dxa"/>
              <w:end w:w="0" w:type="dxa"/>
            </w:tcMar>
            <w:tcMar>
              <w:start w:w="0" w:type="dxa"/>
              <w:end w:w="0" w:type="dxa"/>
            </w:tcMar>
          </w:tcPr>
          <w:p>
            <w:pPr>
              <w:autoSpaceDN w:val="0"/>
              <w:autoSpaceDE w:val="0"/>
              <w:widowControl/>
              <w:spacing w:line="140" w:lineRule="exact" w:before="240" w:after="0"/>
              <w:ind w:left="0" w:right="96" w:firstLine="0"/>
              <w:jc w:val="right"/>
            </w:pPr>
            <w:r>
              <w:rPr>
                <w:rFonts w:ascii="黑体" w:hAnsi="黑体" w:eastAsia="黑体"/>
                <w:b w:val="0"/>
                <w:i w:val="0"/>
                <w:color w:val="000000"/>
                <w:sz w:val="14"/>
              </w:rPr>
              <w:t>合计</w:t>
            </w:r>
          </w:p>
        </w:tc>
      </w:tr>
      <w:tr>
        <w:trPr>
          <w:trHeight w:hRule="exact" w:val="202"/>
        </w:trPr>
        <w:tc>
          <w:tcPr>
            <w:tcW w:type="dxa" w:w="1173"/>
            <w:vMerge/>
            <w:tcBorders>
              <w:bottom w:sz="4.0" w:val="single" w:color="#000000"/>
            </w:tcBorders>
          </w:tcPr>
          <w:p/>
        </w:tc>
        <w:tc>
          <w:tcPr>
            <w:tcW w:type="dxa" w:w="1173"/>
            <w:vMerge/>
            <w:tcBorders>
              <w:bottom w:sz="4.0" w:val="single" w:color="#000000"/>
            </w:tcBorders>
          </w:tcPr>
          <w:p/>
        </w:tc>
        <w:tc>
          <w:tcPr>
            <w:tcW w:type="dxa" w:w="1173"/>
            <w:vMerge/>
            <w:tcBorders>
              <w:bottom w:sz="4.0" w:val="single" w:color="#000000"/>
            </w:tcBorders>
          </w:tcPr>
          <w:p/>
        </w:tc>
        <w:tc>
          <w:tcPr>
            <w:tcW w:type="dxa" w:w="2346"/>
            <w:gridSpan w:val="2"/>
            <w:vMerge/>
            <w:tcBorders>
              <w:bottom w:sz="4.0" w:val="single" w:color="#000000"/>
            </w:tcBorders>
          </w:tcPr>
          <w:p/>
        </w:tc>
        <w:tc>
          <w:tcPr>
            <w:tcW w:type="dxa" w:w="1164"/>
            <w:tcBorders>
              <w:bottom w:sz="4.0" w:val="single" w:color="#000000"/>
            </w:tcBorders>
            <w:tcMar>
              <w:start w:w="0" w:type="dxa"/>
              <w:end w:w="0" w:type="dxa"/>
            </w:tcMar>
          </w:tcPr>
          <w:p>
            <w:pPr>
              <w:autoSpaceDN w:val="0"/>
              <w:autoSpaceDE w:val="0"/>
              <w:widowControl/>
              <w:spacing w:line="140" w:lineRule="exact" w:before="34" w:after="0"/>
              <w:ind w:left="0" w:right="0" w:firstLine="0"/>
              <w:jc w:val="center"/>
            </w:pPr>
            <w:r>
              <w:rPr>
                <w:rFonts w:ascii="黑体" w:hAnsi="黑体" w:eastAsia="黑体"/>
                <w:b w:val="0"/>
                <w:i w:val="0"/>
                <w:color w:val="000000"/>
                <w:sz w:val="14"/>
              </w:rPr>
              <w:t>自营投资业务</w:t>
            </w:r>
          </w:p>
        </w:tc>
        <w:tc>
          <w:tcPr>
            <w:tcW w:type="dxa" w:w="1162"/>
            <w:tcBorders>
              <w:bottom w:sz="4.0" w:val="single" w:color="#000000"/>
            </w:tcBorders>
            <w:tcMar>
              <w:start w:w="0" w:type="dxa"/>
              <w:end w:w="0" w:type="dxa"/>
            </w:tcMar>
          </w:tcPr>
          <w:p>
            <w:pPr>
              <w:autoSpaceDN w:val="0"/>
              <w:autoSpaceDE w:val="0"/>
              <w:widowControl/>
              <w:spacing w:line="140" w:lineRule="exact" w:before="34" w:after="0"/>
              <w:ind w:left="0" w:right="144" w:firstLine="0"/>
              <w:jc w:val="right"/>
            </w:pPr>
            <w:r>
              <w:rPr>
                <w:rFonts w:ascii="黑体" w:hAnsi="黑体" w:eastAsia="黑体"/>
                <w:b w:val="0"/>
                <w:i w:val="0"/>
                <w:color w:val="000000"/>
                <w:sz w:val="14"/>
              </w:rPr>
              <w:t>管理业务</w:t>
            </w:r>
          </w:p>
        </w:tc>
        <w:tc>
          <w:tcPr>
            <w:tcW w:type="dxa" w:w="1173"/>
            <w:vMerge/>
            <w:tcBorders>
              <w:bottom w:sz="4.0" w:val="single" w:color="#000000"/>
            </w:tcBorders>
          </w:tcPr>
          <w:p/>
        </w:tc>
        <w:tc>
          <w:tcPr>
            <w:tcW w:type="dxa" w:w="1446"/>
            <w:tcBorders>
              <w:bottom w:sz="4.0" w:val="single" w:color="#000000"/>
            </w:tcBorders>
            <w:tcMar>
              <w:start w:w="0" w:type="dxa"/>
              <w:end w:w="0" w:type="dxa"/>
            </w:tcMar>
          </w:tcPr>
          <w:p>
            <w:pPr>
              <w:autoSpaceDN w:val="0"/>
              <w:autoSpaceDE w:val="0"/>
              <w:widowControl/>
              <w:spacing w:line="140" w:lineRule="exact" w:before="34" w:after="0"/>
              <w:ind w:left="0" w:right="144" w:firstLine="0"/>
              <w:jc w:val="right"/>
            </w:pPr>
            <w:r>
              <w:rPr>
                <w:rFonts w:ascii="黑体" w:hAnsi="黑体" w:eastAsia="黑体"/>
                <w:b w:val="0"/>
                <w:i w:val="0"/>
                <w:color w:val="000000"/>
                <w:sz w:val="14"/>
              </w:rPr>
              <w:t>管理业务</w:t>
            </w:r>
          </w:p>
        </w:tc>
        <w:tc>
          <w:tcPr>
            <w:tcW w:type="dxa" w:w="1218"/>
            <w:tcBorders>
              <w:bottom w:sz="4.0" w:val="single" w:color="#000000"/>
            </w:tcBorders>
            <w:tcMar>
              <w:start w:w="0" w:type="dxa"/>
              <w:end w:w="0" w:type="dxa"/>
            </w:tcMar>
          </w:tcPr>
          <w:p>
            <w:pPr>
              <w:autoSpaceDN w:val="0"/>
              <w:autoSpaceDE w:val="0"/>
              <w:widowControl/>
              <w:spacing w:line="140" w:lineRule="exact" w:before="34" w:after="0"/>
              <w:ind w:left="0" w:right="144" w:firstLine="0"/>
              <w:jc w:val="right"/>
            </w:pPr>
            <w:r>
              <w:rPr>
                <w:rFonts w:ascii="黑体" w:hAnsi="黑体" w:eastAsia="黑体"/>
                <w:b w:val="0"/>
                <w:i w:val="0"/>
                <w:color w:val="000000"/>
                <w:sz w:val="14"/>
              </w:rPr>
              <w:t>及其他</w:t>
            </w:r>
          </w:p>
        </w:tc>
        <w:tc>
          <w:tcPr>
            <w:tcW w:type="dxa" w:w="1173"/>
            <w:vMerge/>
            <w:tcBorders>
              <w:bottom w:sz="4.0" w:val="single" w:color="#000000"/>
            </w:tcBorders>
          </w:tcPr>
          <w:p/>
        </w:tc>
        <w:tc>
          <w:tcPr>
            <w:tcW w:type="dxa" w:w="1173"/>
            <w:vMerge/>
            <w:tcBorders>
              <w:bottom w:sz="4.0" w:val="single" w:color="#000000"/>
            </w:tcBorders>
          </w:tcPr>
          <w:p/>
        </w:tc>
      </w:tr>
      <w:tr>
        <w:trPr>
          <w:trHeight w:hRule="exact" w:val="398"/>
        </w:trPr>
        <w:tc>
          <w:tcPr>
            <w:tcW w:type="dxa" w:w="2098"/>
            <w:tcBorders>
              <w:top w:sz="4.0" w:val="single" w:color="#000000"/>
            </w:tcBorders>
            <w:tcMar>
              <w:start w:w="0" w:type="dxa"/>
              <w:end w:w="0" w:type="dxa"/>
            </w:tcMar>
          </w:tcPr>
          <w:p>
            <w:pPr>
              <w:autoSpaceDN w:val="0"/>
              <w:autoSpaceDE w:val="0"/>
              <w:widowControl/>
              <w:spacing w:line="138" w:lineRule="exact" w:before="254" w:after="0"/>
              <w:ind w:left="0" w:right="0" w:firstLine="0"/>
              <w:jc w:val="left"/>
            </w:pPr>
            <w:r>
              <w:rPr>
                <w:rFonts w:ascii="黑体" w:hAnsi="黑体" w:eastAsia="黑体"/>
                <w:b w:val="0"/>
                <w:i w:val="0"/>
                <w:color w:val="000000"/>
                <w:sz w:val="14"/>
              </w:rPr>
              <w:t>营业支出</w:t>
            </w:r>
          </w:p>
        </w:tc>
        <w:tc>
          <w:tcPr>
            <w:tcW w:type="dxa" w:w="1162"/>
            <w:tcBorders>
              <w:top w:sz="4.0" w:val="single" w:color="#000000"/>
            </w:tcBorders>
            <w:tcMar>
              <w:start w:w="0" w:type="dxa"/>
              <w:end w:w="0" w:type="dxa"/>
            </w:tcMar>
          </w:tcPr>
          <w:p>
            <w:pPr>
              <w:autoSpaceDN w:val="0"/>
              <w:autoSpaceDE w:val="0"/>
              <w:widowControl/>
              <w:spacing w:line="233" w:lineRule="auto" w:before="238" w:after="0"/>
              <w:ind w:left="196" w:right="0" w:firstLine="0"/>
              <w:jc w:val="left"/>
            </w:pPr>
            <w:r>
              <w:rPr>
                <w:rFonts w:ascii="Arial" w:hAnsi="Arial" w:eastAsia="Arial"/>
                <w:b w:val="0"/>
                <w:i w:val="0"/>
                <w:color w:val="000000"/>
                <w:sz w:val="14"/>
              </w:rPr>
              <w:t xml:space="preserve">(663,549,474 ) </w:t>
            </w:r>
          </w:p>
        </w:tc>
        <w:tc>
          <w:tcPr>
            <w:tcW w:type="dxa" w:w="1160"/>
            <w:gridSpan w:val="2"/>
            <w:tcBorders>
              <w:top w:sz="4.0" w:val="single" w:color="#000000"/>
            </w:tcBorders>
            <w:tcMar>
              <w:start w:w="0" w:type="dxa"/>
              <w:end w:w="0" w:type="dxa"/>
            </w:tcMar>
            <w:tcMar>
              <w:start w:w="0" w:type="dxa"/>
              <w:end w:w="0" w:type="dxa"/>
            </w:tcMar>
          </w:tcPr>
          <w:p>
            <w:pPr>
              <w:autoSpaceDN w:val="0"/>
              <w:autoSpaceDE w:val="0"/>
              <w:widowControl/>
              <w:spacing w:line="233" w:lineRule="auto" w:before="238" w:after="0"/>
              <w:ind w:left="0" w:right="0" w:firstLine="0"/>
              <w:jc w:val="center"/>
            </w:pPr>
            <w:r>
              <w:rPr>
                <w:rFonts w:ascii="Arial" w:hAnsi="Arial" w:eastAsia="Arial"/>
                <w:b w:val="0"/>
                <w:i w:val="0"/>
                <w:color w:val="000000"/>
                <w:sz w:val="14"/>
              </w:rPr>
              <w:t xml:space="preserve">(351,827,945 ) </w:t>
            </w:r>
          </w:p>
        </w:tc>
        <w:tc>
          <w:tcPr>
            <w:tcW w:type="dxa" w:w="1108"/>
            <w:tcBorders>
              <w:top w:sz="4.0" w:val="single" w:color="#000000"/>
            </w:tcBorders>
            <w:tcMar>
              <w:start w:w="0" w:type="dxa"/>
              <w:end w:w="0" w:type="dxa"/>
            </w:tcMar>
          </w:tcPr>
          <w:p>
            <w:pPr>
              <w:autoSpaceDN w:val="0"/>
              <w:autoSpaceDE w:val="0"/>
              <w:widowControl/>
              <w:spacing w:line="233" w:lineRule="auto" w:before="238" w:after="0"/>
              <w:ind w:left="144" w:right="0" w:firstLine="0"/>
              <w:jc w:val="left"/>
            </w:pPr>
            <w:r>
              <w:rPr>
                <w:rFonts w:ascii="Arial" w:hAnsi="Arial" w:eastAsia="Arial"/>
                <w:b w:val="0"/>
                <w:i w:val="0"/>
                <w:color w:val="000000"/>
                <w:sz w:val="14"/>
              </w:rPr>
              <w:t xml:space="preserve">(395,501,256 ) </w:t>
            </w:r>
          </w:p>
        </w:tc>
        <w:tc>
          <w:tcPr>
            <w:tcW w:type="dxa" w:w="1164"/>
            <w:tcBorders>
              <w:top w:sz="4.0" w:val="single" w:color="#000000"/>
            </w:tcBorders>
            <w:tcMar>
              <w:start w:w="0" w:type="dxa"/>
              <w:end w:w="0" w:type="dxa"/>
            </w:tcMar>
          </w:tcPr>
          <w:p>
            <w:pPr>
              <w:autoSpaceDN w:val="0"/>
              <w:autoSpaceDE w:val="0"/>
              <w:widowControl/>
              <w:spacing w:line="233" w:lineRule="auto" w:before="238" w:after="0"/>
              <w:ind w:left="274" w:right="0" w:firstLine="0"/>
              <w:jc w:val="left"/>
            </w:pPr>
            <w:r>
              <w:rPr>
                <w:rFonts w:ascii="Arial" w:hAnsi="Arial" w:eastAsia="Arial"/>
                <w:b w:val="0"/>
                <w:i w:val="0"/>
                <w:color w:val="000000"/>
                <w:sz w:val="14"/>
              </w:rPr>
              <w:t xml:space="preserve">(73,747,228 ) </w:t>
            </w:r>
          </w:p>
        </w:tc>
        <w:tc>
          <w:tcPr>
            <w:tcW w:type="dxa" w:w="1162"/>
            <w:tcBorders>
              <w:top w:sz="4.0" w:val="single" w:color="#000000"/>
            </w:tcBorders>
            <w:tcMar>
              <w:start w:w="0" w:type="dxa"/>
              <w:end w:w="0" w:type="dxa"/>
            </w:tcMar>
          </w:tcPr>
          <w:p>
            <w:pPr>
              <w:autoSpaceDN w:val="0"/>
              <w:autoSpaceDE w:val="0"/>
              <w:widowControl/>
              <w:spacing w:line="233" w:lineRule="auto" w:before="238" w:after="0"/>
              <w:ind w:left="198" w:right="0" w:firstLine="0"/>
              <w:jc w:val="left"/>
            </w:pPr>
            <w:r>
              <w:rPr>
                <w:rFonts w:ascii="Arial" w:hAnsi="Arial" w:eastAsia="Arial"/>
                <w:b w:val="0"/>
                <w:i w:val="0"/>
                <w:color w:val="000000"/>
                <w:sz w:val="14"/>
              </w:rPr>
              <w:t xml:space="preserve">(143,743,109 ) </w:t>
            </w:r>
          </w:p>
        </w:tc>
        <w:tc>
          <w:tcPr>
            <w:tcW w:type="dxa" w:w="1162"/>
            <w:tcBorders>
              <w:top w:sz="4.0" w:val="single" w:color="#000000"/>
            </w:tcBorders>
            <w:tcMar>
              <w:start w:w="0" w:type="dxa"/>
              <w:end w:w="0" w:type="dxa"/>
            </w:tcMar>
          </w:tcPr>
          <w:p>
            <w:pPr>
              <w:autoSpaceDN w:val="0"/>
              <w:autoSpaceDE w:val="0"/>
              <w:widowControl/>
              <w:spacing w:line="233" w:lineRule="auto" w:before="238" w:after="0"/>
              <w:ind w:left="196" w:right="0" w:firstLine="0"/>
              <w:jc w:val="left"/>
            </w:pPr>
            <w:r>
              <w:rPr>
                <w:rFonts w:ascii="Arial" w:hAnsi="Arial" w:eastAsia="Arial"/>
                <w:b w:val="0"/>
                <w:i w:val="0"/>
                <w:color w:val="000000"/>
                <w:sz w:val="14"/>
              </w:rPr>
              <w:t xml:space="preserve">(171,829,700 ) </w:t>
            </w:r>
          </w:p>
        </w:tc>
        <w:tc>
          <w:tcPr>
            <w:tcW w:type="dxa" w:w="1446"/>
            <w:tcBorders>
              <w:top w:sz="4.0" w:val="single" w:color="#000000"/>
            </w:tcBorders>
            <w:tcMar>
              <w:start w:w="0" w:type="dxa"/>
              <w:end w:w="0" w:type="dxa"/>
            </w:tcMar>
          </w:tcPr>
          <w:p>
            <w:pPr>
              <w:autoSpaceDN w:val="0"/>
              <w:autoSpaceDE w:val="0"/>
              <w:widowControl/>
              <w:spacing w:line="233" w:lineRule="auto" w:before="238" w:after="0"/>
              <w:ind w:left="0" w:right="58" w:firstLine="0"/>
              <w:jc w:val="right"/>
            </w:pPr>
            <w:r>
              <w:rPr>
                <w:rFonts w:ascii="Arial" w:hAnsi="Arial" w:eastAsia="Arial"/>
                <w:b w:val="0"/>
                <w:i w:val="0"/>
                <w:color w:val="000000"/>
                <w:sz w:val="14"/>
              </w:rPr>
              <w:t xml:space="preserve">(639,002,651 ) </w:t>
            </w:r>
          </w:p>
        </w:tc>
        <w:tc>
          <w:tcPr>
            <w:tcW w:type="dxa" w:w="1218"/>
            <w:tcBorders>
              <w:top w:sz="4.0" w:val="single" w:color="#000000"/>
            </w:tcBorders>
            <w:tcMar>
              <w:start w:w="0" w:type="dxa"/>
              <w:end w:w="0" w:type="dxa"/>
            </w:tcMar>
          </w:tcPr>
          <w:p>
            <w:pPr>
              <w:autoSpaceDN w:val="0"/>
              <w:autoSpaceDE w:val="0"/>
              <w:widowControl/>
              <w:spacing w:line="233" w:lineRule="auto" w:before="238" w:after="0"/>
              <w:ind w:left="254" w:right="0" w:firstLine="0"/>
              <w:jc w:val="left"/>
            </w:pPr>
            <w:r>
              <w:rPr>
                <w:rFonts w:ascii="Arial" w:hAnsi="Arial" w:eastAsia="Arial"/>
                <w:b w:val="0"/>
                <w:i w:val="0"/>
                <w:color w:val="000000"/>
                <w:sz w:val="14"/>
              </w:rPr>
              <w:t xml:space="preserve">(287,061,115 ) </w:t>
            </w:r>
          </w:p>
        </w:tc>
        <w:tc>
          <w:tcPr>
            <w:tcW w:type="dxa" w:w="1220"/>
            <w:tcBorders>
              <w:top w:sz="4.0" w:val="single" w:color="#000000"/>
            </w:tcBorders>
            <w:tcMar>
              <w:start w:w="0" w:type="dxa"/>
              <w:end w:w="0" w:type="dxa"/>
            </w:tcMar>
          </w:tcPr>
          <w:p>
            <w:pPr>
              <w:autoSpaceDN w:val="0"/>
              <w:autoSpaceDE w:val="0"/>
              <w:widowControl/>
              <w:spacing w:line="233" w:lineRule="auto" w:before="238" w:after="0"/>
              <w:ind w:left="0" w:right="104" w:firstLine="0"/>
              <w:jc w:val="right"/>
            </w:pPr>
            <w:r>
              <w:rPr>
                <w:rFonts w:ascii="Arial" w:hAnsi="Arial" w:eastAsia="Arial"/>
                <w:b w:val="0"/>
                <w:i w:val="0"/>
                <w:color w:val="000000"/>
                <w:sz w:val="14"/>
              </w:rPr>
              <w:t xml:space="preserve"> 24,751,910 </w:t>
            </w:r>
          </w:p>
        </w:tc>
        <w:tc>
          <w:tcPr>
            <w:tcW w:type="dxa" w:w="1160"/>
            <w:tcBorders>
              <w:top w:sz="4.0" w:val="single" w:color="#000000"/>
            </w:tcBorders>
            <w:tcMar>
              <w:start w:w="0" w:type="dxa"/>
              <w:end w:w="0" w:type="dxa"/>
            </w:tcMar>
          </w:tcPr>
          <w:p>
            <w:pPr>
              <w:autoSpaceDN w:val="0"/>
              <w:autoSpaceDE w:val="0"/>
              <w:widowControl/>
              <w:spacing w:line="233" w:lineRule="auto" w:before="238" w:after="0"/>
              <w:ind w:left="124" w:right="0" w:firstLine="0"/>
              <w:jc w:val="left"/>
            </w:pPr>
            <w:r>
              <w:rPr>
                <w:rFonts w:ascii="Arial" w:hAnsi="Arial" w:eastAsia="Arial"/>
                <w:b w:val="0"/>
                <w:i w:val="0"/>
                <w:color w:val="000000"/>
                <w:sz w:val="14"/>
              </w:rPr>
              <w:t xml:space="preserve">(2,701,510,568 ) </w:t>
            </w:r>
          </w:p>
        </w:tc>
      </w:tr>
      <w:tr>
        <w:trPr>
          <w:trHeight w:hRule="exact" w:val="200"/>
        </w:trPr>
        <w:tc>
          <w:tcPr>
            <w:tcW w:type="dxa" w:w="2098"/>
            <w:tcBorders/>
            <w:tcMar>
              <w:start w:w="0" w:type="dxa"/>
              <w:end w:w="0" w:type="dxa"/>
            </w:tcMar>
          </w:tcPr>
          <w:p>
            <w:pPr>
              <w:autoSpaceDN w:val="0"/>
              <w:autoSpaceDE w:val="0"/>
              <w:widowControl/>
              <w:spacing w:line="138" w:lineRule="exact" w:before="62" w:after="0"/>
              <w:ind w:left="140" w:right="0" w:firstLine="0"/>
              <w:jc w:val="left"/>
            </w:pPr>
            <w:r>
              <w:rPr>
                <w:rFonts w:ascii="黑体" w:hAnsi="黑体" w:eastAsia="黑体"/>
                <w:b w:val="0"/>
                <w:i w:val="0"/>
                <w:color w:val="000000"/>
                <w:sz w:val="14"/>
              </w:rPr>
              <w:t>其中：折旧费和摊销费</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2" w:after="0"/>
              <w:ind w:left="196" w:right="0" w:firstLine="0"/>
              <w:jc w:val="left"/>
            </w:pPr>
            <w:r>
              <w:rPr>
                <w:rFonts w:ascii="Arial" w:hAnsi="Arial" w:eastAsia="Arial"/>
                <w:b w:val="0"/>
                <w:i w:val="0"/>
                <w:color w:val="000000"/>
                <w:sz w:val="14"/>
              </w:rPr>
              <w:t xml:space="preserve">(105,455,157 ) </w:t>
            </w:r>
          </w:p>
        </w:tc>
        <w:tc>
          <w:tcPr>
            <w:tcW w:type="dxa" w:w="116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72" w:after="0"/>
              <w:ind w:left="218" w:right="0" w:firstLine="0"/>
              <w:jc w:val="left"/>
            </w:pPr>
            <w:r>
              <w:rPr>
                <w:rFonts w:ascii="Arial" w:hAnsi="Arial" w:eastAsia="Arial"/>
                <w:b w:val="0"/>
                <w:i w:val="0"/>
                <w:color w:val="000000"/>
                <w:sz w:val="14"/>
              </w:rPr>
              <w:t xml:space="preserve">(36,097,713 ) </w:t>
            </w:r>
          </w:p>
        </w:tc>
        <w:tc>
          <w:tcPr>
            <w:tcW w:type="dxa" w:w="1108"/>
            <w:vMerge w:val="restart"/>
            <w:tcBorders/>
            <w:tcMar>
              <w:start w:w="0" w:type="dxa"/>
              <w:end w:w="0" w:type="dxa"/>
            </w:tcMar>
            <w:tcMar>
              <w:start w:w="0" w:type="dxa"/>
              <w:end w:w="0" w:type="dxa"/>
            </w:tcMar>
          </w:tcPr>
          <w:p>
            <w:pPr>
              <w:autoSpaceDN w:val="0"/>
              <w:autoSpaceDE w:val="0"/>
              <w:widowControl/>
              <w:spacing w:line="230" w:lineRule="auto" w:before="72" w:after="0"/>
              <w:ind w:left="220" w:right="0" w:firstLine="0"/>
              <w:jc w:val="left"/>
            </w:pPr>
            <w:r>
              <w:rPr>
                <w:rFonts w:ascii="Arial" w:hAnsi="Arial" w:eastAsia="Arial"/>
                <w:b w:val="0"/>
                <w:i w:val="0"/>
                <w:color w:val="000000"/>
                <w:sz w:val="14"/>
              </w:rPr>
              <w:t xml:space="preserve">(38,413,577 ) </w:t>
            </w:r>
          </w:p>
        </w:tc>
        <w:tc>
          <w:tcPr>
            <w:tcW w:type="dxa" w:w="1164"/>
            <w:vMerge w:val="restart"/>
            <w:tcBorders/>
            <w:tcMar>
              <w:start w:w="0" w:type="dxa"/>
              <w:end w:w="0" w:type="dxa"/>
            </w:tcMar>
            <w:tcMar>
              <w:start w:w="0" w:type="dxa"/>
              <w:end w:w="0" w:type="dxa"/>
            </w:tcMar>
          </w:tcPr>
          <w:p>
            <w:pPr>
              <w:autoSpaceDN w:val="0"/>
              <w:autoSpaceDE w:val="0"/>
              <w:widowControl/>
              <w:spacing w:line="230" w:lineRule="auto" w:before="72" w:after="0"/>
              <w:ind w:left="0" w:right="60" w:firstLine="0"/>
              <w:jc w:val="right"/>
            </w:pPr>
            <w:r>
              <w:rPr>
                <w:rFonts w:ascii="Arial" w:hAnsi="Arial" w:eastAsia="Arial"/>
                <w:b w:val="0"/>
                <w:i w:val="0"/>
                <w:color w:val="000000"/>
                <w:sz w:val="14"/>
              </w:rPr>
              <w:t xml:space="preserve">(7,880,096 ) </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2" w:after="0"/>
              <w:ind w:left="274" w:right="0" w:firstLine="0"/>
              <w:jc w:val="left"/>
            </w:pPr>
            <w:r>
              <w:rPr>
                <w:rFonts w:ascii="Arial" w:hAnsi="Arial" w:eastAsia="Arial"/>
                <w:b w:val="0"/>
                <w:i w:val="0"/>
                <w:color w:val="000000"/>
                <w:sz w:val="14"/>
              </w:rPr>
              <w:t xml:space="preserve">(19,926,054 ) </w:t>
            </w:r>
          </w:p>
        </w:tc>
        <w:tc>
          <w:tcPr>
            <w:tcW w:type="dxa" w:w="1162"/>
            <w:vMerge w:val="restart"/>
            <w:tcBorders/>
            <w:tcMar>
              <w:start w:w="0" w:type="dxa"/>
              <w:end w:w="0" w:type="dxa"/>
            </w:tcMar>
            <w:tcMar>
              <w:start w:w="0" w:type="dxa"/>
              <w:end w:w="0" w:type="dxa"/>
            </w:tcMar>
          </w:tcPr>
          <w:p>
            <w:pPr>
              <w:autoSpaceDN w:val="0"/>
              <w:autoSpaceDE w:val="0"/>
              <w:widowControl/>
              <w:spacing w:line="230" w:lineRule="auto" w:before="72" w:after="0"/>
              <w:ind w:left="274" w:right="0" w:firstLine="0"/>
              <w:jc w:val="left"/>
            </w:pPr>
            <w:r>
              <w:rPr>
                <w:rFonts w:ascii="Arial" w:hAnsi="Arial" w:eastAsia="Arial"/>
                <w:b w:val="0"/>
                <w:i w:val="0"/>
                <w:color w:val="000000"/>
                <w:sz w:val="14"/>
              </w:rPr>
              <w:t xml:space="preserve">(30,499,525 ) </w:t>
            </w:r>
          </w:p>
        </w:tc>
        <w:tc>
          <w:tcPr>
            <w:tcW w:type="dxa" w:w="1446"/>
            <w:vMerge w:val="restart"/>
            <w:tcBorders/>
            <w:tcMar>
              <w:start w:w="0" w:type="dxa"/>
              <w:end w:w="0" w:type="dxa"/>
            </w:tcMar>
            <w:tcMar>
              <w:start w:w="0" w:type="dxa"/>
              <w:end w:w="0" w:type="dxa"/>
            </w:tcMar>
          </w:tcPr>
          <w:p>
            <w:pPr>
              <w:autoSpaceDN w:val="0"/>
              <w:autoSpaceDE w:val="0"/>
              <w:widowControl/>
              <w:spacing w:line="230" w:lineRule="auto" w:before="72" w:after="0"/>
              <w:ind w:left="0" w:right="58" w:firstLine="0"/>
              <w:jc w:val="right"/>
            </w:pPr>
            <w:r>
              <w:rPr>
                <w:rFonts w:ascii="Arial" w:hAnsi="Arial" w:eastAsia="Arial"/>
                <w:b w:val="0"/>
                <w:i w:val="0"/>
                <w:color w:val="000000"/>
                <w:sz w:val="14"/>
              </w:rPr>
              <w:t xml:space="preserve">(388,988 ) </w:t>
            </w:r>
          </w:p>
        </w:tc>
        <w:tc>
          <w:tcPr>
            <w:tcW w:type="dxa" w:w="1218"/>
            <w:vMerge w:val="restart"/>
            <w:tcBorders/>
            <w:tcMar>
              <w:start w:w="0" w:type="dxa"/>
              <w:end w:w="0" w:type="dxa"/>
            </w:tcMar>
            <w:tcMar>
              <w:start w:w="0" w:type="dxa"/>
              <w:end w:w="0" w:type="dxa"/>
            </w:tcMar>
          </w:tcPr>
          <w:p>
            <w:pPr>
              <w:autoSpaceDN w:val="0"/>
              <w:autoSpaceDE w:val="0"/>
              <w:widowControl/>
              <w:spacing w:line="230" w:lineRule="auto" w:before="72" w:after="0"/>
              <w:ind w:left="0" w:right="56" w:firstLine="0"/>
              <w:jc w:val="right"/>
            </w:pPr>
            <w:r>
              <w:rPr>
                <w:rFonts w:ascii="Arial" w:hAnsi="Arial" w:eastAsia="Arial"/>
                <w:b w:val="0"/>
                <w:i w:val="0"/>
                <w:color w:val="000000"/>
                <w:sz w:val="14"/>
              </w:rPr>
              <w:t xml:space="preserve">(39,261,921 ) </w:t>
            </w:r>
          </w:p>
        </w:tc>
        <w:tc>
          <w:tcPr>
            <w:tcW w:type="dxa" w:w="1220"/>
            <w:vMerge w:val="restart"/>
            <w:tcBorders/>
            <w:tcMar>
              <w:start w:w="0" w:type="dxa"/>
              <w:end w:w="0" w:type="dxa"/>
            </w:tcMar>
            <w:tcMar>
              <w:start w:w="0" w:type="dxa"/>
              <w:end w:w="0" w:type="dxa"/>
            </w:tcMar>
          </w:tcPr>
          <w:p>
            <w:pPr>
              <w:autoSpaceDN w:val="0"/>
              <w:autoSpaceDE w:val="0"/>
              <w:widowControl/>
              <w:spacing w:line="230" w:lineRule="auto" w:before="72" w:after="0"/>
              <w:ind w:left="0" w:right="102" w:firstLine="0"/>
              <w:jc w:val="right"/>
            </w:pPr>
            <w:r>
              <w:rPr>
                <w:rFonts w:ascii="Arial" w:hAnsi="Arial" w:eastAsia="Arial"/>
                <w:b w:val="0"/>
                <w:i w:val="0"/>
                <w:color w:val="000000"/>
                <w:sz w:val="14"/>
              </w:rPr>
              <w:t xml:space="preserve"> - </w:t>
            </w:r>
          </w:p>
        </w:tc>
        <w:tc>
          <w:tcPr>
            <w:tcW w:type="dxa" w:w="1160"/>
            <w:vMerge w:val="restart"/>
            <w:tcBorders/>
            <w:tcMar>
              <w:start w:w="0" w:type="dxa"/>
              <w:end w:w="0" w:type="dxa"/>
            </w:tcMar>
            <w:tcMar>
              <w:start w:w="0" w:type="dxa"/>
              <w:end w:w="0" w:type="dxa"/>
            </w:tcMar>
          </w:tcPr>
          <w:p>
            <w:pPr>
              <w:autoSpaceDN w:val="0"/>
              <w:autoSpaceDE w:val="0"/>
              <w:widowControl/>
              <w:spacing w:line="230" w:lineRule="auto" w:before="72" w:after="0"/>
              <w:ind w:left="242" w:right="0" w:firstLine="0"/>
              <w:jc w:val="left"/>
            </w:pPr>
            <w:r>
              <w:rPr>
                <w:rFonts w:ascii="Arial" w:hAnsi="Arial" w:eastAsia="Arial"/>
                <w:b w:val="0"/>
                <w:i w:val="0"/>
                <w:color w:val="000000"/>
                <w:sz w:val="14"/>
              </w:rPr>
              <w:t xml:space="preserve">(277,923,031 ) </w:t>
            </w:r>
          </w:p>
        </w:tc>
      </w:tr>
      <w:tr>
        <w:trPr>
          <w:trHeight w:hRule="exact" w:val="52"/>
        </w:trPr>
        <w:tc>
          <w:tcPr>
            <w:tcW w:type="dxa" w:w="2098"/>
            <w:vMerge w:val="restart"/>
            <w:tcBorders/>
            <w:tcMar>
              <w:start w:w="0" w:type="dxa"/>
              <w:end w:w="0" w:type="dxa"/>
            </w:tcMar>
            <w:tcMar>
              <w:start w:w="0" w:type="dxa"/>
              <w:end w:w="0" w:type="dxa"/>
            </w:tcMar>
          </w:tcPr>
          <w:p>
            <w:pPr>
              <w:autoSpaceDN w:val="0"/>
              <w:autoSpaceDE w:val="0"/>
              <w:widowControl/>
              <w:spacing w:line="140" w:lineRule="exact" w:before="72" w:after="0"/>
              <w:ind w:left="0" w:right="700" w:firstLine="0"/>
              <w:jc w:val="right"/>
            </w:pPr>
            <w:r>
              <w:rPr>
                <w:rFonts w:ascii="黑体" w:hAnsi="黑体" w:eastAsia="黑体"/>
                <w:b w:val="0"/>
                <w:i w:val="0"/>
                <w:color w:val="000000"/>
                <w:sz w:val="14"/>
              </w:rPr>
              <w:t>信用减值损失</w:t>
            </w:r>
          </w:p>
        </w:tc>
        <w:tc>
          <w:tcPr>
            <w:tcW w:type="dxa" w:w="1173"/>
            <w:vMerge/>
            <w:tcBorders/>
          </w:tcPr>
          <w:p/>
        </w:tc>
        <w:tc>
          <w:tcPr>
            <w:tcW w:type="dxa" w:w="2346"/>
            <w:gridSpan w:val="2"/>
            <w:vMerge/>
            <w:tcBorders/>
          </w:tcPr>
          <w:p/>
        </w:tc>
        <w:tc>
          <w:tcPr>
            <w:tcW w:type="dxa" w:w="1173"/>
            <w:vMerge/>
            <w:tcBorders/>
          </w:tcPr>
          <w:p/>
        </w:tc>
        <w:tc>
          <w:tcPr>
            <w:tcW w:type="dxa" w:w="1173"/>
            <w:vMerge/>
            <w:tcBorders/>
          </w:tcPr>
          <w:p/>
        </w:tc>
        <w:tc>
          <w:tcPr>
            <w:tcW w:type="dxa" w:w="1173"/>
            <w:vMerge/>
            <w:tcBorders/>
          </w:tcPr>
          <w:p/>
        </w:tc>
        <w:tc>
          <w:tcPr>
            <w:tcW w:type="dxa" w:w="1173"/>
            <w:vMerge/>
            <w:tcBorders/>
          </w:tcPr>
          <w:p/>
        </w:tc>
        <w:tc>
          <w:tcPr>
            <w:tcW w:type="dxa" w:w="1173"/>
            <w:vMerge/>
            <w:tcBorders/>
          </w:tcPr>
          <w:p/>
        </w:tc>
        <w:tc>
          <w:tcPr>
            <w:tcW w:type="dxa" w:w="1173"/>
            <w:vMerge/>
            <w:tcBorders/>
          </w:tcPr>
          <w:p/>
        </w:tc>
        <w:tc>
          <w:tcPr>
            <w:tcW w:type="dxa" w:w="1173"/>
            <w:vMerge/>
            <w:tcBorders/>
          </w:tcPr>
          <w:p/>
        </w:tc>
        <w:tc>
          <w:tcPr>
            <w:tcW w:type="dxa" w:w="1173"/>
            <w:vMerge/>
            <w:tcBorders/>
          </w:tcPr>
          <w:p/>
        </w:tc>
      </w:tr>
      <w:tr>
        <w:trPr>
          <w:trHeight w:hRule="exact" w:val="168"/>
        </w:trPr>
        <w:tc>
          <w:tcPr>
            <w:tcW w:type="dxa" w:w="1173"/>
            <w:vMerge/>
            <w:tcBorders/>
          </w:tcPr>
          <w:p/>
        </w:tc>
        <w:tc>
          <w:tcPr>
            <w:tcW w:type="dxa" w:w="1162"/>
            <w:tcBorders/>
            <w:tcMar>
              <w:start w:w="0" w:type="dxa"/>
              <w:end w:w="0" w:type="dxa"/>
            </w:tcMar>
          </w:tcPr>
          <w:p>
            <w:pPr>
              <w:autoSpaceDN w:val="0"/>
              <w:autoSpaceDE w:val="0"/>
              <w:widowControl/>
              <w:spacing w:line="230" w:lineRule="auto" w:before="14" w:after="0"/>
              <w:ind w:left="274" w:right="0" w:firstLine="0"/>
              <w:jc w:val="left"/>
            </w:pPr>
            <w:r>
              <w:rPr>
                <w:rFonts w:ascii="Arial" w:hAnsi="Arial" w:eastAsia="Arial"/>
                <w:b w:val="0"/>
                <w:i w:val="0"/>
                <w:color w:val="000000"/>
                <w:sz w:val="14"/>
              </w:rPr>
              <w:t xml:space="preserve">(17,959,711 ) </w:t>
            </w:r>
          </w:p>
        </w:tc>
        <w:tc>
          <w:tcPr>
            <w:tcW w:type="dxa" w:w="1160"/>
            <w:gridSpan w:val="2"/>
            <w:tcBorders/>
            <w:tcMar>
              <w:start w:w="0" w:type="dxa"/>
              <w:end w:w="0" w:type="dxa"/>
            </w:tcMar>
            <w:tcMar>
              <w:start w:w="0" w:type="dxa"/>
              <w:end w:w="0" w:type="dxa"/>
            </w:tcMar>
          </w:tcPr>
          <w:p>
            <w:pPr>
              <w:autoSpaceDN w:val="0"/>
              <w:autoSpaceDE w:val="0"/>
              <w:widowControl/>
              <w:spacing w:line="230" w:lineRule="auto" w:before="14" w:after="0"/>
              <w:ind w:left="0" w:right="156" w:firstLine="0"/>
              <w:jc w:val="right"/>
            </w:pPr>
            <w:r>
              <w:rPr>
                <w:rFonts w:ascii="Arial" w:hAnsi="Arial" w:eastAsia="Arial"/>
                <w:b w:val="0"/>
                <w:i w:val="0"/>
                <w:color w:val="000000"/>
                <w:sz w:val="14"/>
              </w:rPr>
              <w:t xml:space="preserve"> 798,987 </w:t>
            </w:r>
          </w:p>
        </w:tc>
        <w:tc>
          <w:tcPr>
            <w:tcW w:type="dxa" w:w="1108"/>
            <w:tcBorders/>
            <w:tcMar>
              <w:start w:w="0" w:type="dxa"/>
              <w:end w:w="0" w:type="dxa"/>
            </w:tcMar>
          </w:tcPr>
          <w:p>
            <w:pPr>
              <w:autoSpaceDN w:val="0"/>
              <w:autoSpaceDE w:val="0"/>
              <w:widowControl/>
              <w:spacing w:line="230" w:lineRule="auto" w:before="14" w:after="0"/>
              <w:ind w:left="0" w:right="58" w:firstLine="0"/>
              <w:jc w:val="right"/>
            </w:pPr>
            <w:r>
              <w:rPr>
                <w:rFonts w:ascii="Arial" w:hAnsi="Arial" w:eastAsia="Arial"/>
                <w:b w:val="0"/>
                <w:i w:val="0"/>
                <w:color w:val="000000"/>
                <w:sz w:val="14"/>
              </w:rPr>
              <w:t xml:space="preserve">(1,381,150 ) </w:t>
            </w:r>
          </w:p>
        </w:tc>
        <w:tc>
          <w:tcPr>
            <w:tcW w:type="dxa" w:w="1164"/>
            <w:tcBorders/>
            <w:tcMar>
              <w:start w:w="0" w:type="dxa"/>
              <w:end w:w="0" w:type="dxa"/>
            </w:tcMar>
          </w:tcPr>
          <w:p>
            <w:pPr>
              <w:autoSpaceDN w:val="0"/>
              <w:autoSpaceDE w:val="0"/>
              <w:widowControl/>
              <w:spacing w:line="230" w:lineRule="auto" w:before="14" w:after="0"/>
              <w:ind w:left="0" w:right="104" w:firstLine="0"/>
              <w:jc w:val="right"/>
            </w:pPr>
            <w:r>
              <w:rPr>
                <w:rFonts w:ascii="Arial" w:hAnsi="Arial" w:eastAsia="Arial"/>
                <w:b w:val="0"/>
                <w:i w:val="0"/>
                <w:color w:val="000000"/>
                <w:sz w:val="14"/>
              </w:rPr>
              <w:t xml:space="preserve"> - </w:t>
            </w:r>
          </w:p>
        </w:tc>
        <w:tc>
          <w:tcPr>
            <w:tcW w:type="dxa" w:w="1162"/>
            <w:tcBorders/>
            <w:tcMar>
              <w:start w:w="0" w:type="dxa"/>
              <w:end w:w="0" w:type="dxa"/>
            </w:tcMar>
          </w:tcPr>
          <w:p>
            <w:pPr>
              <w:autoSpaceDN w:val="0"/>
              <w:autoSpaceDE w:val="0"/>
              <w:widowControl/>
              <w:spacing w:line="230" w:lineRule="auto" w:before="14" w:after="0"/>
              <w:ind w:left="0" w:right="140" w:firstLine="0"/>
              <w:jc w:val="right"/>
            </w:pPr>
            <w:r>
              <w:rPr>
                <w:rFonts w:ascii="Arial" w:hAnsi="Arial" w:eastAsia="Arial"/>
                <w:b w:val="0"/>
                <w:i w:val="0"/>
                <w:color w:val="000000"/>
                <w:sz w:val="14"/>
              </w:rPr>
              <w:t xml:space="preserve"> -</w:t>
            </w:r>
          </w:p>
        </w:tc>
        <w:tc>
          <w:tcPr>
            <w:tcW w:type="dxa" w:w="1162"/>
            <w:tcBorders/>
            <w:tcMar>
              <w:start w:w="0" w:type="dxa"/>
              <w:end w:w="0" w:type="dxa"/>
            </w:tcMar>
          </w:tcPr>
          <w:p>
            <w:pPr>
              <w:autoSpaceDN w:val="0"/>
              <w:autoSpaceDE w:val="0"/>
              <w:widowControl/>
              <w:spacing w:line="230" w:lineRule="auto" w:before="14" w:after="0"/>
              <w:ind w:left="0" w:right="58" w:firstLine="0"/>
              <w:jc w:val="right"/>
            </w:pPr>
            <w:r>
              <w:rPr>
                <w:rFonts w:ascii="Arial" w:hAnsi="Arial" w:eastAsia="Arial"/>
                <w:b w:val="0"/>
                <w:i w:val="0"/>
                <w:color w:val="000000"/>
                <w:sz w:val="14"/>
              </w:rPr>
              <w:t xml:space="preserve">(19,102 ) </w:t>
            </w:r>
          </w:p>
        </w:tc>
        <w:tc>
          <w:tcPr>
            <w:tcW w:type="dxa" w:w="1446"/>
            <w:tcBorders/>
            <w:tcMar>
              <w:start w:w="0" w:type="dxa"/>
              <w:end w:w="0" w:type="dxa"/>
            </w:tcMar>
          </w:tcPr>
          <w:p>
            <w:pPr>
              <w:autoSpaceDN w:val="0"/>
              <w:autoSpaceDE w:val="0"/>
              <w:widowControl/>
              <w:spacing w:line="230" w:lineRule="auto" w:before="14" w:after="0"/>
              <w:ind w:left="0" w:right="58" w:firstLine="0"/>
              <w:jc w:val="right"/>
            </w:pPr>
            <w:r>
              <w:rPr>
                <w:rFonts w:ascii="Arial" w:hAnsi="Arial" w:eastAsia="Arial"/>
                <w:b w:val="0"/>
                <w:i w:val="0"/>
                <w:color w:val="000000"/>
                <w:sz w:val="14"/>
              </w:rPr>
              <w:t xml:space="preserve">(42,628,564 ) </w:t>
            </w:r>
          </w:p>
        </w:tc>
        <w:tc>
          <w:tcPr>
            <w:tcW w:type="dxa" w:w="1218"/>
            <w:tcBorders/>
            <w:tcMar>
              <w:start w:w="0" w:type="dxa"/>
              <w:end w:w="0" w:type="dxa"/>
            </w:tcMar>
          </w:tcPr>
          <w:p>
            <w:pPr>
              <w:autoSpaceDN w:val="0"/>
              <w:autoSpaceDE w:val="0"/>
              <w:widowControl/>
              <w:spacing w:line="230" w:lineRule="auto" w:before="14" w:after="0"/>
              <w:ind w:left="0" w:right="56" w:firstLine="0"/>
              <w:jc w:val="right"/>
            </w:pPr>
            <w:r>
              <w:rPr>
                <w:rFonts w:ascii="Arial" w:hAnsi="Arial" w:eastAsia="Arial"/>
                <w:b w:val="0"/>
                <w:i w:val="0"/>
                <w:color w:val="000000"/>
                <w:sz w:val="14"/>
              </w:rPr>
              <w:t xml:space="preserve">(182,000 ) </w:t>
            </w:r>
          </w:p>
        </w:tc>
        <w:tc>
          <w:tcPr>
            <w:tcW w:type="dxa" w:w="1220"/>
            <w:tcBorders/>
            <w:tcMar>
              <w:start w:w="0" w:type="dxa"/>
              <w:end w:w="0" w:type="dxa"/>
            </w:tcMar>
          </w:tcPr>
          <w:p>
            <w:pPr>
              <w:autoSpaceDN w:val="0"/>
              <w:autoSpaceDE w:val="0"/>
              <w:widowControl/>
              <w:spacing w:line="230" w:lineRule="auto" w:before="14" w:after="0"/>
              <w:ind w:left="0" w:right="102" w:firstLine="0"/>
              <w:jc w:val="right"/>
            </w:pPr>
            <w:r>
              <w:rPr>
                <w:rFonts w:ascii="Arial" w:hAnsi="Arial" w:eastAsia="Arial"/>
                <w:b w:val="0"/>
                <w:i w:val="0"/>
                <w:color w:val="000000"/>
                <w:sz w:val="14"/>
              </w:rPr>
              <w:t xml:space="preserve"> - </w:t>
            </w:r>
          </w:p>
        </w:tc>
        <w:tc>
          <w:tcPr>
            <w:tcW w:type="dxa" w:w="1160"/>
            <w:tcBorders/>
            <w:tcMar>
              <w:start w:w="0" w:type="dxa"/>
              <w:end w:w="0" w:type="dxa"/>
            </w:tcMar>
          </w:tcPr>
          <w:p>
            <w:pPr>
              <w:autoSpaceDN w:val="0"/>
              <w:autoSpaceDE w:val="0"/>
              <w:widowControl/>
              <w:spacing w:line="230" w:lineRule="auto" w:before="14" w:after="0"/>
              <w:ind w:left="0" w:right="10" w:firstLine="0"/>
              <w:jc w:val="right"/>
            </w:pPr>
            <w:r>
              <w:rPr>
                <w:rFonts w:ascii="Arial" w:hAnsi="Arial" w:eastAsia="Arial"/>
                <w:b w:val="0"/>
                <w:i w:val="0"/>
                <w:color w:val="000000"/>
                <w:sz w:val="14"/>
              </w:rPr>
              <w:t xml:space="preserve">(61,371,540 ) </w:t>
            </w:r>
          </w:p>
        </w:tc>
      </w:tr>
      <w:tr>
        <w:trPr>
          <w:trHeight w:hRule="exact" w:val="200"/>
        </w:trPr>
        <w:tc>
          <w:tcPr>
            <w:tcW w:type="dxa" w:w="2098"/>
            <w:tcBorders/>
            <w:tcMar>
              <w:start w:w="0" w:type="dxa"/>
              <w:end w:w="0" w:type="dxa"/>
            </w:tcMar>
          </w:tcPr>
          <w:p>
            <w:pPr>
              <w:autoSpaceDN w:val="0"/>
              <w:autoSpaceDE w:val="0"/>
              <w:widowControl/>
              <w:spacing w:line="140" w:lineRule="exact" w:before="60" w:after="0"/>
              <w:ind w:left="0" w:right="0" w:firstLine="0"/>
              <w:jc w:val="left"/>
            </w:pPr>
            <w:r>
              <w:rPr>
                <w:rFonts w:ascii="黑体" w:hAnsi="黑体" w:eastAsia="黑体"/>
                <w:b w:val="0"/>
                <w:i w:val="0"/>
                <w:color w:val="000000"/>
                <w:sz w:val="14"/>
              </w:rPr>
              <w:t>其他资产减值损失</w:t>
            </w:r>
          </w:p>
        </w:tc>
        <w:tc>
          <w:tcPr>
            <w:tcW w:type="dxa" w:w="1162"/>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4"/>
              </w:rPr>
              <w:t xml:space="preserve"> -</w:t>
            </w:r>
          </w:p>
        </w:tc>
        <w:tc>
          <w:tcPr>
            <w:tcW w:type="dxa" w:w="1160"/>
            <w:gridSpan w:val="2"/>
            <w:tcBorders/>
            <w:tcMar>
              <w:start w:w="0" w:type="dxa"/>
              <w:end w:w="0" w:type="dxa"/>
            </w:tcMar>
            <w:tcMar>
              <w:start w:w="0" w:type="dxa"/>
              <w:end w:w="0" w:type="dxa"/>
            </w:tcMar>
          </w:tcPr>
          <w:p>
            <w:pPr>
              <w:autoSpaceDN w:val="0"/>
              <w:autoSpaceDE w:val="0"/>
              <w:widowControl/>
              <w:spacing w:line="233" w:lineRule="auto" w:before="44" w:after="0"/>
              <w:ind w:left="0" w:right="194" w:firstLine="0"/>
              <w:jc w:val="right"/>
            </w:pPr>
            <w:r>
              <w:rPr>
                <w:rFonts w:ascii="Arial" w:hAnsi="Arial" w:eastAsia="Arial"/>
                <w:b w:val="0"/>
                <w:i w:val="0"/>
                <w:color w:val="000000"/>
                <w:sz w:val="14"/>
              </w:rPr>
              <w:t xml:space="preserve"> -</w:t>
            </w:r>
          </w:p>
        </w:tc>
        <w:tc>
          <w:tcPr>
            <w:tcW w:type="dxa" w:w="1108"/>
            <w:tcBorders/>
            <w:tcMar>
              <w:start w:w="0" w:type="dxa"/>
              <w:end w:w="0" w:type="dxa"/>
            </w:tcMar>
          </w:tcPr>
          <w:p>
            <w:pPr>
              <w:autoSpaceDN w:val="0"/>
              <w:autoSpaceDE w:val="0"/>
              <w:widowControl/>
              <w:spacing w:line="233" w:lineRule="auto" w:before="44" w:after="0"/>
              <w:ind w:left="0" w:right="140" w:firstLine="0"/>
              <w:jc w:val="right"/>
            </w:pPr>
            <w:r>
              <w:rPr>
                <w:rFonts w:ascii="Arial" w:hAnsi="Arial" w:eastAsia="Arial"/>
                <w:b w:val="0"/>
                <w:i w:val="0"/>
                <w:color w:val="000000"/>
                <w:sz w:val="14"/>
              </w:rPr>
              <w:t xml:space="preserve"> -</w:t>
            </w:r>
          </w:p>
        </w:tc>
        <w:tc>
          <w:tcPr>
            <w:tcW w:type="dxa" w:w="1164"/>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 - </w:t>
            </w:r>
          </w:p>
        </w:tc>
        <w:tc>
          <w:tcPr>
            <w:tcW w:type="dxa" w:w="1162"/>
            <w:tcBorders/>
            <w:tcMar>
              <w:start w:w="0" w:type="dxa"/>
              <w:end w:w="0" w:type="dxa"/>
            </w:tcMar>
          </w:tcPr>
          <w:p>
            <w:pPr>
              <w:autoSpaceDN w:val="0"/>
              <w:autoSpaceDE w:val="0"/>
              <w:widowControl/>
              <w:spacing w:line="233" w:lineRule="auto" w:before="44" w:after="0"/>
              <w:ind w:left="0" w:right="140" w:firstLine="0"/>
              <w:jc w:val="right"/>
            </w:pPr>
            <w:r>
              <w:rPr>
                <w:rFonts w:ascii="Arial" w:hAnsi="Arial" w:eastAsia="Arial"/>
                <w:b w:val="0"/>
                <w:i w:val="0"/>
                <w:color w:val="000000"/>
                <w:sz w:val="14"/>
              </w:rPr>
              <w:t xml:space="preserve"> -</w:t>
            </w:r>
          </w:p>
        </w:tc>
        <w:tc>
          <w:tcPr>
            <w:tcW w:type="dxa" w:w="1162"/>
            <w:tcBorders/>
            <w:tcMar>
              <w:start w:w="0" w:type="dxa"/>
              <w:end w:w="0" w:type="dxa"/>
            </w:tcMar>
          </w:tcPr>
          <w:p>
            <w:pPr>
              <w:autoSpaceDN w:val="0"/>
              <w:autoSpaceDE w:val="0"/>
              <w:widowControl/>
              <w:spacing w:line="233" w:lineRule="auto" w:before="44" w:after="0"/>
              <w:ind w:left="0" w:right="142" w:firstLine="0"/>
              <w:jc w:val="right"/>
            </w:pPr>
            <w:r>
              <w:rPr>
                <w:rFonts w:ascii="Arial" w:hAnsi="Arial" w:eastAsia="Arial"/>
                <w:b w:val="0"/>
                <w:i w:val="0"/>
                <w:color w:val="000000"/>
                <w:sz w:val="14"/>
              </w:rPr>
              <w:t xml:space="preserve"> -</w:t>
            </w:r>
          </w:p>
        </w:tc>
        <w:tc>
          <w:tcPr>
            <w:tcW w:type="dxa" w:w="1446"/>
            <w:tcBorders/>
            <w:tcMar>
              <w:start w:w="0" w:type="dxa"/>
              <w:end w:w="0" w:type="dxa"/>
            </w:tcMar>
          </w:tcPr>
          <w:p>
            <w:pPr>
              <w:autoSpaceDN w:val="0"/>
              <w:autoSpaceDE w:val="0"/>
              <w:widowControl/>
              <w:spacing w:line="233" w:lineRule="auto" w:before="44" w:after="0"/>
              <w:ind w:left="0" w:right="104" w:firstLine="0"/>
              <w:jc w:val="right"/>
            </w:pPr>
            <w:r>
              <w:rPr>
                <w:rFonts w:ascii="Arial" w:hAnsi="Arial" w:eastAsia="Arial"/>
                <w:b w:val="0"/>
                <w:i w:val="0"/>
                <w:color w:val="000000"/>
                <w:sz w:val="14"/>
              </w:rPr>
              <w:t xml:space="preserve"> 20,118,874 </w:t>
            </w:r>
          </w:p>
        </w:tc>
        <w:tc>
          <w:tcPr>
            <w:tcW w:type="dxa" w:w="1218"/>
            <w:tcBorders/>
            <w:tcMar>
              <w:start w:w="0" w:type="dxa"/>
              <w:end w:w="0" w:type="dxa"/>
            </w:tcMar>
          </w:tcPr>
          <w:p>
            <w:pPr>
              <w:autoSpaceDN w:val="0"/>
              <w:autoSpaceDE w:val="0"/>
              <w:widowControl/>
              <w:spacing w:line="233" w:lineRule="auto" w:before="44" w:after="0"/>
              <w:ind w:left="0" w:right="140" w:firstLine="0"/>
              <w:jc w:val="right"/>
            </w:pPr>
            <w:r>
              <w:rPr>
                <w:rFonts w:ascii="Arial" w:hAnsi="Arial" w:eastAsia="Arial"/>
                <w:b w:val="0"/>
                <w:i w:val="0"/>
                <w:color w:val="000000"/>
                <w:sz w:val="14"/>
              </w:rPr>
              <w:t xml:space="preserve"> -</w:t>
            </w:r>
          </w:p>
        </w:tc>
        <w:tc>
          <w:tcPr>
            <w:tcW w:type="dxa" w:w="1220"/>
            <w:tcBorders/>
            <w:tcMar>
              <w:start w:w="0" w:type="dxa"/>
              <w:end w:w="0" w:type="dxa"/>
            </w:tcMar>
          </w:tcPr>
          <w:p>
            <w:pPr>
              <w:autoSpaceDN w:val="0"/>
              <w:autoSpaceDE w:val="0"/>
              <w:widowControl/>
              <w:spacing w:line="233" w:lineRule="auto" w:before="44" w:after="0"/>
              <w:ind w:left="0" w:right="58" w:firstLine="0"/>
              <w:jc w:val="right"/>
            </w:pPr>
            <w:r>
              <w:rPr>
                <w:rFonts w:ascii="Arial" w:hAnsi="Arial" w:eastAsia="Arial"/>
                <w:b w:val="0"/>
                <w:i w:val="0"/>
                <w:color w:val="000000"/>
                <w:sz w:val="14"/>
              </w:rPr>
              <w:t xml:space="preserve">(20,118,874 ) </w:t>
            </w:r>
          </w:p>
        </w:tc>
        <w:tc>
          <w:tcPr>
            <w:tcW w:type="dxa" w:w="1160"/>
            <w:tcBorders/>
            <w:tcMar>
              <w:start w:w="0" w:type="dxa"/>
              <w:end w:w="0" w:type="dxa"/>
            </w:tcMar>
          </w:tcPr>
          <w:p>
            <w:pPr>
              <w:autoSpaceDN w:val="0"/>
              <w:autoSpaceDE w:val="0"/>
              <w:widowControl/>
              <w:spacing w:line="233" w:lineRule="auto" w:before="44" w:after="0"/>
              <w:ind w:left="0" w:right="94" w:firstLine="0"/>
              <w:jc w:val="right"/>
            </w:pPr>
            <w:r>
              <w:rPr>
                <w:rFonts w:ascii="Arial" w:hAnsi="Arial" w:eastAsia="Arial"/>
                <w:b w:val="0"/>
                <w:i w:val="0"/>
                <w:color w:val="000000"/>
                <w:sz w:val="14"/>
              </w:rPr>
              <w:t xml:space="preserve"> -</w:t>
            </w:r>
          </w:p>
        </w:tc>
      </w:tr>
      <w:tr>
        <w:trPr>
          <w:trHeight w:hRule="exact" w:val="220"/>
        </w:trPr>
        <w:tc>
          <w:tcPr>
            <w:tcW w:type="dxa" w:w="2098"/>
            <w:tcBorders/>
            <w:tcMar>
              <w:start w:w="0" w:type="dxa"/>
              <w:end w:w="0" w:type="dxa"/>
            </w:tcMar>
          </w:tcPr>
          <w:p>
            <w:pPr>
              <w:autoSpaceDN w:val="0"/>
              <w:autoSpaceDE w:val="0"/>
              <w:widowControl/>
              <w:spacing w:line="156" w:lineRule="exact" w:before="60" w:after="0"/>
              <w:ind w:left="0" w:right="0" w:firstLine="0"/>
              <w:jc w:val="left"/>
            </w:pPr>
            <w:r>
              <w:rPr>
                <w:rFonts w:ascii="黑体" w:hAnsi="黑体" w:eastAsia="黑体"/>
                <w:b w:val="0"/>
                <w:i w:val="0"/>
                <w:color w:val="000000"/>
                <w:sz w:val="14"/>
              </w:rPr>
              <w:t>利润</w:t>
            </w:r>
            <w:r>
              <w:rPr>
                <w:rFonts w:ascii="Arial" w:hAnsi="Arial" w:eastAsia="Arial"/>
                <w:b w:val="0"/>
                <w:i w:val="0"/>
                <w:color w:val="000000"/>
                <w:sz w:val="14"/>
              </w:rPr>
              <w:t>/</w:t>
            </w:r>
            <w:r>
              <w:rPr>
                <w:rFonts w:ascii="黑体" w:hAnsi="黑体" w:eastAsia="黑体"/>
                <w:b w:val="0"/>
                <w:i w:val="0"/>
                <w:color w:val="000000"/>
                <w:sz w:val="14"/>
              </w:rPr>
              <w:t>（亏损）总额</w:t>
            </w:r>
          </w:p>
        </w:tc>
        <w:tc>
          <w:tcPr>
            <w:tcW w:type="dxa" w:w="1162"/>
            <w:tcBorders/>
            <w:tcMar>
              <w:start w:w="0" w:type="dxa"/>
              <w:end w:w="0" w:type="dxa"/>
            </w:tcMar>
          </w:tcPr>
          <w:p>
            <w:pPr>
              <w:autoSpaceDN w:val="0"/>
              <w:autoSpaceDE w:val="0"/>
              <w:widowControl/>
              <w:spacing w:line="233" w:lineRule="auto" w:before="64" w:after="0"/>
              <w:ind w:left="204" w:right="0" w:firstLine="0"/>
              <w:jc w:val="left"/>
            </w:pPr>
            <w:r>
              <w:rPr>
                <w:rFonts w:ascii="Arial" w:hAnsi="Arial" w:eastAsia="Arial"/>
                <w:b w:val="0"/>
                <w:i w:val="0"/>
                <w:color w:val="000000"/>
                <w:sz w:val="14"/>
              </w:rPr>
              <w:t xml:space="preserve"> 193,801,933 </w:t>
            </w:r>
          </w:p>
        </w:tc>
        <w:tc>
          <w:tcPr>
            <w:tcW w:type="dxa" w:w="1160"/>
            <w:gridSpan w:val="2"/>
            <w:tcBorders/>
            <w:tcMar>
              <w:start w:w="0" w:type="dxa"/>
              <w:end w:w="0" w:type="dxa"/>
            </w:tcMar>
            <w:tcMar>
              <w:start w:w="0" w:type="dxa"/>
              <w:end w:w="0" w:type="dxa"/>
            </w:tcMar>
          </w:tcPr>
          <w:p>
            <w:pPr>
              <w:autoSpaceDN w:val="0"/>
              <w:autoSpaceDE w:val="0"/>
              <w:widowControl/>
              <w:spacing w:line="233" w:lineRule="auto" w:before="64" w:after="0"/>
              <w:ind w:left="0" w:right="0" w:firstLine="0"/>
              <w:jc w:val="center"/>
            </w:pPr>
            <w:r>
              <w:rPr>
                <w:rFonts w:ascii="Arial" w:hAnsi="Arial" w:eastAsia="Arial"/>
                <w:b w:val="0"/>
                <w:i w:val="0"/>
                <w:color w:val="000000"/>
                <w:sz w:val="14"/>
              </w:rPr>
              <w:t xml:space="preserve">(101,015,650 ) </w:t>
            </w:r>
          </w:p>
        </w:tc>
        <w:tc>
          <w:tcPr>
            <w:tcW w:type="dxa" w:w="1108"/>
            <w:tcBorders/>
            <w:tcMar>
              <w:start w:w="0" w:type="dxa"/>
              <w:end w:w="0" w:type="dxa"/>
            </w:tcMar>
          </w:tcPr>
          <w:p>
            <w:pPr>
              <w:autoSpaceDN w:val="0"/>
              <w:autoSpaceDE w:val="0"/>
              <w:widowControl/>
              <w:spacing w:line="233" w:lineRule="auto" w:before="64" w:after="0"/>
              <w:ind w:left="0" w:right="0" w:firstLine="0"/>
              <w:jc w:val="center"/>
            </w:pPr>
            <w:r>
              <w:rPr>
                <w:rFonts w:ascii="Arial" w:hAnsi="Arial" w:eastAsia="Arial"/>
                <w:b w:val="0"/>
                <w:i w:val="0"/>
                <w:color w:val="000000"/>
                <w:sz w:val="14"/>
              </w:rPr>
              <w:t xml:space="preserve"> 633,456,615 </w:t>
            </w:r>
          </w:p>
        </w:tc>
        <w:tc>
          <w:tcPr>
            <w:tcW w:type="dxa" w:w="1164"/>
            <w:tcBorders/>
            <w:tcMar>
              <w:start w:w="0" w:type="dxa"/>
              <w:end w:w="0" w:type="dxa"/>
            </w:tcMar>
          </w:tcPr>
          <w:p>
            <w:pPr>
              <w:autoSpaceDN w:val="0"/>
              <w:autoSpaceDE w:val="0"/>
              <w:widowControl/>
              <w:spacing w:line="233" w:lineRule="auto" w:before="64" w:after="0"/>
              <w:ind w:left="204" w:right="0" w:firstLine="0"/>
              <w:jc w:val="left"/>
            </w:pPr>
            <w:r>
              <w:rPr>
                <w:rFonts w:ascii="Arial" w:hAnsi="Arial" w:eastAsia="Arial"/>
                <w:b w:val="0"/>
                <w:i w:val="0"/>
                <w:color w:val="000000"/>
                <w:sz w:val="14"/>
              </w:rPr>
              <w:t xml:space="preserve"> 180,651,871 </w:t>
            </w:r>
          </w:p>
        </w:tc>
        <w:tc>
          <w:tcPr>
            <w:tcW w:type="dxa" w:w="1162"/>
            <w:tcBorders/>
            <w:tcMar>
              <w:start w:w="0" w:type="dxa"/>
              <w:end w:w="0" w:type="dxa"/>
            </w:tcMar>
          </w:tcPr>
          <w:p>
            <w:pPr>
              <w:autoSpaceDN w:val="0"/>
              <w:autoSpaceDE w:val="0"/>
              <w:widowControl/>
              <w:spacing w:line="233" w:lineRule="auto" w:before="64" w:after="0"/>
              <w:ind w:left="204" w:right="0" w:firstLine="0"/>
              <w:jc w:val="left"/>
            </w:pPr>
            <w:r>
              <w:rPr>
                <w:rFonts w:ascii="Arial" w:hAnsi="Arial" w:eastAsia="Arial"/>
                <w:b w:val="0"/>
                <w:i w:val="0"/>
                <w:color w:val="000000"/>
                <w:sz w:val="14"/>
              </w:rPr>
              <w:t xml:space="preserve"> 126,635,489 </w:t>
            </w:r>
          </w:p>
        </w:tc>
        <w:tc>
          <w:tcPr>
            <w:tcW w:type="dxa" w:w="1162"/>
            <w:tcBorders/>
            <w:tcMar>
              <w:start w:w="0" w:type="dxa"/>
              <w:end w:w="0" w:type="dxa"/>
            </w:tcMar>
          </w:tcPr>
          <w:p>
            <w:pPr>
              <w:autoSpaceDN w:val="0"/>
              <w:autoSpaceDE w:val="0"/>
              <w:widowControl/>
              <w:spacing w:line="233" w:lineRule="auto" w:before="64" w:after="0"/>
              <w:ind w:left="284" w:right="0" w:firstLine="0"/>
              <w:jc w:val="left"/>
            </w:pPr>
            <w:r>
              <w:rPr>
                <w:rFonts w:ascii="Arial" w:hAnsi="Arial" w:eastAsia="Arial"/>
                <w:b w:val="0"/>
                <w:i w:val="0"/>
                <w:color w:val="000000"/>
                <w:sz w:val="14"/>
              </w:rPr>
              <w:t xml:space="preserve"> 31,028,856 </w:t>
            </w:r>
          </w:p>
        </w:tc>
        <w:tc>
          <w:tcPr>
            <w:tcW w:type="dxa" w:w="1446"/>
            <w:tcBorders/>
            <w:tcMar>
              <w:start w:w="0" w:type="dxa"/>
              <w:end w:w="0" w:type="dxa"/>
            </w:tcMar>
          </w:tcPr>
          <w:p>
            <w:pPr>
              <w:autoSpaceDN w:val="0"/>
              <w:autoSpaceDE w:val="0"/>
              <w:widowControl/>
              <w:spacing w:line="233" w:lineRule="auto" w:before="64" w:after="0"/>
              <w:ind w:left="0" w:right="104" w:firstLine="0"/>
              <w:jc w:val="right"/>
            </w:pPr>
            <w:r>
              <w:rPr>
                <w:rFonts w:ascii="Arial" w:hAnsi="Arial" w:eastAsia="Arial"/>
                <w:b w:val="0"/>
                <w:i w:val="0"/>
                <w:color w:val="000000"/>
                <w:sz w:val="14"/>
              </w:rPr>
              <w:t xml:space="preserve"> 52,136,452 </w:t>
            </w:r>
          </w:p>
        </w:tc>
        <w:tc>
          <w:tcPr>
            <w:tcW w:type="dxa" w:w="1218"/>
            <w:tcBorders/>
            <w:tcMar>
              <w:start w:w="0" w:type="dxa"/>
              <w:end w:w="0" w:type="dxa"/>
            </w:tcMar>
          </w:tcPr>
          <w:p>
            <w:pPr>
              <w:autoSpaceDN w:val="0"/>
              <w:autoSpaceDE w:val="0"/>
              <w:widowControl/>
              <w:spacing w:line="233" w:lineRule="auto" w:before="64" w:after="0"/>
              <w:ind w:left="254" w:right="0" w:firstLine="0"/>
              <w:jc w:val="left"/>
            </w:pPr>
            <w:r>
              <w:rPr>
                <w:rFonts w:ascii="Arial" w:hAnsi="Arial" w:eastAsia="Arial"/>
                <w:b w:val="0"/>
                <w:i w:val="0"/>
                <w:color w:val="000000"/>
                <w:sz w:val="14"/>
              </w:rPr>
              <w:t xml:space="preserve">(145,405,813 ) </w:t>
            </w:r>
          </w:p>
        </w:tc>
        <w:tc>
          <w:tcPr>
            <w:tcW w:type="dxa" w:w="1220"/>
            <w:tcBorders/>
            <w:tcMar>
              <w:start w:w="0" w:type="dxa"/>
              <w:end w:w="0" w:type="dxa"/>
            </w:tcMar>
          </w:tcPr>
          <w:p>
            <w:pPr>
              <w:autoSpaceDN w:val="0"/>
              <w:autoSpaceDE w:val="0"/>
              <w:widowControl/>
              <w:spacing w:line="233" w:lineRule="auto" w:before="64" w:after="0"/>
              <w:ind w:left="254" w:right="0" w:firstLine="0"/>
              <w:jc w:val="left"/>
            </w:pPr>
            <w:r>
              <w:rPr>
                <w:rFonts w:ascii="Arial" w:hAnsi="Arial" w:eastAsia="Arial"/>
                <w:b w:val="0"/>
                <w:i w:val="0"/>
                <w:color w:val="000000"/>
                <w:sz w:val="14"/>
              </w:rPr>
              <w:t xml:space="preserve">(203,481,755 ) </w:t>
            </w:r>
          </w:p>
        </w:tc>
        <w:tc>
          <w:tcPr>
            <w:tcW w:type="dxa" w:w="1160"/>
            <w:tcBorders/>
            <w:tcMar>
              <w:start w:w="0" w:type="dxa"/>
              <w:end w:w="0" w:type="dxa"/>
            </w:tcMar>
          </w:tcPr>
          <w:p>
            <w:pPr>
              <w:autoSpaceDN w:val="0"/>
              <w:autoSpaceDE w:val="0"/>
              <w:widowControl/>
              <w:spacing w:line="233" w:lineRule="auto" w:before="64" w:after="0"/>
              <w:ind w:left="250" w:right="0" w:firstLine="0"/>
              <w:jc w:val="left"/>
            </w:pPr>
            <w:r>
              <w:rPr>
                <w:rFonts w:ascii="Arial" w:hAnsi="Arial" w:eastAsia="Arial"/>
                <w:b w:val="0"/>
                <w:i w:val="0"/>
                <w:color w:val="000000"/>
                <w:sz w:val="14"/>
              </w:rPr>
              <w:t xml:space="preserve"> 767,807,998 </w:t>
            </w:r>
          </w:p>
        </w:tc>
      </w:tr>
      <w:tr>
        <w:trPr>
          <w:trHeight w:hRule="exact" w:val="200"/>
        </w:trPr>
        <w:tc>
          <w:tcPr>
            <w:tcW w:type="dxa" w:w="2098"/>
            <w:tcBorders/>
            <w:tcMar>
              <w:start w:w="0" w:type="dxa"/>
              <w:end w:w="0" w:type="dxa"/>
            </w:tcMar>
          </w:tcPr>
          <w:p>
            <w:pPr>
              <w:autoSpaceDN w:val="0"/>
              <w:autoSpaceDE w:val="0"/>
              <w:widowControl/>
              <w:spacing w:line="138" w:lineRule="exact" w:before="54" w:after="0"/>
              <w:ind w:left="0" w:right="0" w:firstLine="0"/>
              <w:jc w:val="left"/>
            </w:pPr>
            <w:r>
              <w:rPr>
                <w:rFonts w:ascii="黑体" w:hAnsi="黑体" w:eastAsia="黑体"/>
                <w:b w:val="0"/>
                <w:i w:val="0"/>
                <w:color w:val="000000"/>
                <w:sz w:val="14"/>
              </w:rPr>
              <w:t>所得税费用</w:t>
            </w:r>
          </w:p>
        </w:tc>
        <w:tc>
          <w:tcPr>
            <w:tcW w:type="dxa" w:w="1162"/>
            <w:tcBorders/>
            <w:tcMar>
              <w:start w:w="0" w:type="dxa"/>
              <w:end w:w="0" w:type="dxa"/>
            </w:tcMar>
          </w:tcPr>
          <w:p>
            <w:pPr>
              <w:autoSpaceDN w:val="0"/>
              <w:autoSpaceDE w:val="0"/>
              <w:widowControl/>
              <w:spacing w:line="230" w:lineRule="auto" w:before="46" w:after="0"/>
              <w:ind w:left="274" w:right="0" w:firstLine="0"/>
              <w:jc w:val="left"/>
            </w:pPr>
            <w:r>
              <w:rPr>
                <w:rFonts w:ascii="Arial" w:hAnsi="Arial" w:eastAsia="Arial"/>
                <w:b w:val="0"/>
                <w:i w:val="0"/>
                <w:color w:val="000000"/>
                <w:sz w:val="14"/>
              </w:rPr>
              <w:t xml:space="preserve">(45,816,599 ) </w:t>
            </w:r>
          </w:p>
        </w:tc>
        <w:tc>
          <w:tcPr>
            <w:tcW w:type="dxa" w:w="1160"/>
            <w:gridSpan w:val="2"/>
            <w:tcBorders/>
            <w:tcMar>
              <w:start w:w="0" w:type="dxa"/>
              <w:end w:w="0" w:type="dxa"/>
            </w:tcMar>
            <w:tcMar>
              <w:start w:w="0" w:type="dxa"/>
              <w:end w:w="0" w:type="dxa"/>
            </w:tcMar>
          </w:tcPr>
          <w:p>
            <w:pPr>
              <w:autoSpaceDN w:val="0"/>
              <w:autoSpaceDE w:val="0"/>
              <w:widowControl/>
              <w:spacing w:line="230" w:lineRule="auto" w:before="46" w:after="0"/>
              <w:ind w:left="0" w:right="0" w:firstLine="0"/>
              <w:jc w:val="center"/>
            </w:pPr>
            <w:r>
              <w:rPr>
                <w:rFonts w:ascii="Arial" w:hAnsi="Arial" w:eastAsia="Arial"/>
                <w:b w:val="0"/>
                <w:i w:val="0"/>
                <w:color w:val="000000"/>
                <w:sz w:val="14"/>
              </w:rPr>
              <w:t xml:space="preserve"> 20,112,234 </w:t>
            </w:r>
          </w:p>
        </w:tc>
        <w:tc>
          <w:tcPr>
            <w:tcW w:type="dxa" w:w="1108"/>
            <w:tcBorders/>
            <w:tcMar>
              <w:start w:w="0" w:type="dxa"/>
              <w:end w:w="0" w:type="dxa"/>
            </w:tcMar>
          </w:tcPr>
          <w:p>
            <w:pPr>
              <w:autoSpaceDN w:val="0"/>
              <w:autoSpaceDE w:val="0"/>
              <w:widowControl/>
              <w:spacing w:line="230" w:lineRule="auto" w:before="46" w:after="0"/>
              <w:ind w:left="220" w:right="0" w:firstLine="0"/>
              <w:jc w:val="left"/>
            </w:pPr>
            <w:r>
              <w:rPr>
                <w:rFonts w:ascii="Arial" w:hAnsi="Arial" w:eastAsia="Arial"/>
                <w:b w:val="0"/>
                <w:i w:val="0"/>
                <w:color w:val="000000"/>
                <w:sz w:val="14"/>
              </w:rPr>
              <w:t xml:space="preserve">(58,231,417 ) </w:t>
            </w:r>
          </w:p>
        </w:tc>
        <w:tc>
          <w:tcPr>
            <w:tcW w:type="dxa" w:w="1164"/>
            <w:tcBorders/>
            <w:tcMar>
              <w:start w:w="0" w:type="dxa"/>
              <w:end w:w="0" w:type="dxa"/>
            </w:tcMar>
          </w:tcPr>
          <w:p>
            <w:pPr>
              <w:autoSpaceDN w:val="0"/>
              <w:autoSpaceDE w:val="0"/>
              <w:widowControl/>
              <w:spacing w:line="230" w:lineRule="auto" w:before="46" w:after="0"/>
              <w:ind w:left="274" w:right="0" w:firstLine="0"/>
              <w:jc w:val="left"/>
            </w:pPr>
            <w:r>
              <w:rPr>
                <w:rFonts w:ascii="Arial" w:hAnsi="Arial" w:eastAsia="Arial"/>
                <w:b w:val="0"/>
                <w:i w:val="0"/>
                <w:color w:val="000000"/>
                <w:sz w:val="14"/>
              </w:rPr>
              <w:t xml:space="preserve">(46,829,906 ) </w:t>
            </w:r>
          </w:p>
        </w:tc>
        <w:tc>
          <w:tcPr>
            <w:tcW w:type="dxa" w:w="1162"/>
            <w:tcBorders/>
            <w:tcMar>
              <w:start w:w="0" w:type="dxa"/>
              <w:end w:w="0" w:type="dxa"/>
            </w:tcMar>
          </w:tcPr>
          <w:p>
            <w:pPr>
              <w:autoSpaceDN w:val="0"/>
              <w:autoSpaceDE w:val="0"/>
              <w:widowControl/>
              <w:spacing w:line="230" w:lineRule="auto" w:before="46" w:after="0"/>
              <w:ind w:left="274" w:right="0" w:firstLine="0"/>
              <w:jc w:val="left"/>
            </w:pPr>
            <w:r>
              <w:rPr>
                <w:rFonts w:ascii="Arial" w:hAnsi="Arial" w:eastAsia="Arial"/>
                <w:b w:val="0"/>
                <w:i w:val="0"/>
                <w:color w:val="000000"/>
                <w:sz w:val="14"/>
              </w:rPr>
              <w:t xml:space="preserve">(30,226,556 ) </w:t>
            </w:r>
          </w:p>
        </w:tc>
        <w:tc>
          <w:tcPr>
            <w:tcW w:type="dxa" w:w="1162"/>
            <w:tcBorders/>
            <w:tcMar>
              <w:start w:w="0" w:type="dxa"/>
              <w:end w:w="0" w:type="dxa"/>
            </w:tcMar>
          </w:tcPr>
          <w:p>
            <w:pPr>
              <w:autoSpaceDN w:val="0"/>
              <w:autoSpaceDE w:val="0"/>
              <w:widowControl/>
              <w:spacing w:line="230" w:lineRule="auto" w:before="46" w:after="0"/>
              <w:ind w:left="0" w:right="58" w:firstLine="0"/>
              <w:jc w:val="right"/>
            </w:pPr>
            <w:r>
              <w:rPr>
                <w:rFonts w:ascii="Arial" w:hAnsi="Arial" w:eastAsia="Arial"/>
                <w:b w:val="0"/>
                <w:i w:val="0"/>
                <w:color w:val="000000"/>
                <w:sz w:val="14"/>
              </w:rPr>
              <w:t xml:space="preserve">(8,584,876 ) </w:t>
            </w:r>
          </w:p>
        </w:tc>
        <w:tc>
          <w:tcPr>
            <w:tcW w:type="dxa" w:w="1446"/>
            <w:tcBorders/>
            <w:tcMar>
              <w:start w:w="0" w:type="dxa"/>
              <w:end w:w="0" w:type="dxa"/>
            </w:tcMar>
          </w:tcPr>
          <w:p>
            <w:pPr>
              <w:autoSpaceDN w:val="0"/>
              <w:autoSpaceDE w:val="0"/>
              <w:widowControl/>
              <w:spacing w:line="230" w:lineRule="auto" w:before="46" w:after="0"/>
              <w:ind w:left="0" w:right="58" w:firstLine="0"/>
              <w:jc w:val="right"/>
            </w:pPr>
            <w:r>
              <w:rPr>
                <w:rFonts w:ascii="Arial" w:hAnsi="Arial" w:eastAsia="Arial"/>
                <w:b w:val="0"/>
                <w:i w:val="0"/>
                <w:color w:val="000000"/>
                <w:sz w:val="14"/>
              </w:rPr>
              <w:t xml:space="preserve">(24,153,033 ) </w:t>
            </w:r>
          </w:p>
        </w:tc>
        <w:tc>
          <w:tcPr>
            <w:tcW w:type="dxa" w:w="1218"/>
            <w:tcBorders/>
            <w:tcMar>
              <w:start w:w="0" w:type="dxa"/>
              <w:end w:w="0" w:type="dxa"/>
            </w:tcMar>
          </w:tcPr>
          <w:p>
            <w:pPr>
              <w:autoSpaceDN w:val="0"/>
              <w:autoSpaceDE w:val="0"/>
              <w:widowControl/>
              <w:spacing w:line="230" w:lineRule="auto" w:before="46" w:after="0"/>
              <w:ind w:left="0" w:right="102" w:firstLine="0"/>
              <w:jc w:val="right"/>
            </w:pPr>
            <w:r>
              <w:rPr>
                <w:rFonts w:ascii="Arial" w:hAnsi="Arial" w:eastAsia="Arial"/>
                <w:b w:val="0"/>
                <w:i w:val="0"/>
                <w:color w:val="000000"/>
                <w:sz w:val="14"/>
              </w:rPr>
              <w:t xml:space="preserve"> 17,704,722 </w:t>
            </w:r>
          </w:p>
        </w:tc>
        <w:tc>
          <w:tcPr>
            <w:tcW w:type="dxa" w:w="1220"/>
            <w:tcBorders/>
            <w:tcMar>
              <w:start w:w="0" w:type="dxa"/>
              <w:end w:w="0" w:type="dxa"/>
            </w:tcMar>
          </w:tcPr>
          <w:p>
            <w:pPr>
              <w:autoSpaceDN w:val="0"/>
              <w:autoSpaceDE w:val="0"/>
              <w:widowControl/>
              <w:spacing w:line="230" w:lineRule="auto" w:before="46" w:after="0"/>
              <w:ind w:left="0" w:right="104" w:firstLine="0"/>
              <w:jc w:val="right"/>
            </w:pPr>
            <w:r>
              <w:rPr>
                <w:rFonts w:ascii="Arial" w:hAnsi="Arial" w:eastAsia="Arial"/>
                <w:b w:val="0"/>
                <w:i w:val="0"/>
                <w:color w:val="000000"/>
                <w:sz w:val="14"/>
              </w:rPr>
              <w:t xml:space="preserve"> 241,619 </w:t>
            </w:r>
          </w:p>
        </w:tc>
        <w:tc>
          <w:tcPr>
            <w:tcW w:type="dxa" w:w="1160"/>
            <w:tcBorders/>
            <w:tcMar>
              <w:start w:w="0" w:type="dxa"/>
              <w:end w:w="0" w:type="dxa"/>
            </w:tcMar>
          </w:tcPr>
          <w:p>
            <w:pPr>
              <w:autoSpaceDN w:val="0"/>
              <w:autoSpaceDE w:val="0"/>
              <w:widowControl/>
              <w:spacing w:line="230" w:lineRule="auto" w:before="46" w:after="0"/>
              <w:ind w:left="242" w:right="0" w:firstLine="0"/>
              <w:jc w:val="left"/>
            </w:pPr>
            <w:r>
              <w:rPr>
                <w:rFonts w:ascii="Arial" w:hAnsi="Arial" w:eastAsia="Arial"/>
                <w:b w:val="0"/>
                <w:i w:val="0"/>
                <w:color w:val="000000"/>
                <w:sz w:val="14"/>
              </w:rPr>
              <w:t xml:space="preserve">(175,783,812 ) </w:t>
            </w:r>
          </w:p>
        </w:tc>
      </w:tr>
      <w:tr>
        <w:trPr>
          <w:trHeight w:hRule="exact" w:val="200"/>
        </w:trPr>
        <w:tc>
          <w:tcPr>
            <w:tcW w:type="dxa" w:w="2098"/>
            <w:tcBorders/>
            <w:tcMar>
              <w:start w:w="0" w:type="dxa"/>
              <w:end w:w="0" w:type="dxa"/>
            </w:tcMar>
          </w:tcPr>
          <w:p>
            <w:pPr>
              <w:autoSpaceDN w:val="0"/>
              <w:autoSpaceDE w:val="0"/>
              <w:widowControl/>
              <w:spacing w:line="154" w:lineRule="exact" w:before="46" w:after="0"/>
              <w:ind w:left="0" w:right="0" w:firstLine="0"/>
              <w:jc w:val="left"/>
            </w:pPr>
            <w:r>
              <w:rPr>
                <w:rFonts w:ascii="黑体" w:hAnsi="黑体" w:eastAsia="黑体"/>
                <w:b w:val="0"/>
                <w:i w:val="0"/>
                <w:color w:val="000000"/>
                <w:sz w:val="14"/>
              </w:rPr>
              <w:t>净利润</w:t>
            </w:r>
            <w:r>
              <w:rPr>
                <w:rFonts w:ascii="Arial" w:hAnsi="Arial" w:eastAsia="Arial"/>
                <w:b w:val="0"/>
                <w:i w:val="0"/>
                <w:color w:val="000000"/>
                <w:sz w:val="14"/>
              </w:rPr>
              <w:t>/</w:t>
            </w:r>
            <w:r>
              <w:rPr>
                <w:rFonts w:ascii="黑体" w:hAnsi="黑体" w:eastAsia="黑体"/>
                <w:b w:val="0"/>
                <w:i w:val="0"/>
                <w:color w:val="000000"/>
                <w:sz w:val="14"/>
              </w:rPr>
              <w:t>（亏损）</w:t>
            </w:r>
          </w:p>
        </w:tc>
        <w:tc>
          <w:tcPr>
            <w:tcW w:type="dxa" w:w="1162"/>
            <w:tcBorders/>
            <w:tcMar>
              <w:start w:w="0" w:type="dxa"/>
              <w:end w:w="0" w:type="dxa"/>
            </w:tcMar>
          </w:tcPr>
          <w:p>
            <w:pPr>
              <w:autoSpaceDN w:val="0"/>
              <w:autoSpaceDE w:val="0"/>
              <w:widowControl/>
              <w:spacing w:line="230" w:lineRule="auto" w:before="46" w:after="0"/>
              <w:ind w:left="204" w:right="0" w:firstLine="0"/>
              <w:jc w:val="left"/>
            </w:pPr>
            <w:r>
              <w:rPr>
                <w:rFonts w:ascii="Arial" w:hAnsi="Arial" w:eastAsia="Arial"/>
                <w:b w:val="0"/>
                <w:i w:val="0"/>
                <w:color w:val="000000"/>
                <w:sz w:val="14"/>
              </w:rPr>
              <w:t xml:space="preserve"> 147,985,334 </w:t>
            </w:r>
          </w:p>
        </w:tc>
        <w:tc>
          <w:tcPr>
            <w:tcW w:type="dxa" w:w="1160"/>
            <w:gridSpan w:val="2"/>
            <w:tcBorders/>
            <w:tcMar>
              <w:start w:w="0" w:type="dxa"/>
              <w:end w:w="0" w:type="dxa"/>
            </w:tcMar>
            <w:tcMar>
              <w:start w:w="0" w:type="dxa"/>
              <w:end w:w="0" w:type="dxa"/>
            </w:tcMar>
          </w:tcPr>
          <w:p>
            <w:pPr>
              <w:autoSpaceDN w:val="0"/>
              <w:autoSpaceDE w:val="0"/>
              <w:widowControl/>
              <w:spacing w:line="230" w:lineRule="auto" w:before="46" w:after="0"/>
              <w:ind w:left="218" w:right="0" w:firstLine="0"/>
              <w:jc w:val="left"/>
            </w:pPr>
            <w:r>
              <w:rPr>
                <w:rFonts w:ascii="Arial" w:hAnsi="Arial" w:eastAsia="Arial"/>
                <w:b w:val="0"/>
                <w:i w:val="0"/>
                <w:color w:val="000000"/>
                <w:sz w:val="14"/>
              </w:rPr>
              <w:t xml:space="preserve">(80,903,416 ) </w:t>
            </w:r>
          </w:p>
        </w:tc>
        <w:tc>
          <w:tcPr>
            <w:tcW w:type="dxa" w:w="1108"/>
            <w:tcBorders/>
            <w:tcMar>
              <w:start w:w="0" w:type="dxa"/>
              <w:end w:w="0" w:type="dxa"/>
            </w:tcMar>
          </w:tcPr>
          <w:p>
            <w:pPr>
              <w:autoSpaceDN w:val="0"/>
              <w:autoSpaceDE w:val="0"/>
              <w:widowControl/>
              <w:spacing w:line="230" w:lineRule="auto" w:before="46" w:after="0"/>
              <w:ind w:left="0" w:right="0" w:firstLine="0"/>
              <w:jc w:val="center"/>
            </w:pPr>
            <w:r>
              <w:rPr>
                <w:rFonts w:ascii="Arial" w:hAnsi="Arial" w:eastAsia="Arial"/>
                <w:b w:val="0"/>
                <w:i w:val="0"/>
                <w:color w:val="000000"/>
                <w:sz w:val="14"/>
              </w:rPr>
              <w:t xml:space="preserve"> 575,225,198 </w:t>
            </w:r>
          </w:p>
        </w:tc>
        <w:tc>
          <w:tcPr>
            <w:tcW w:type="dxa" w:w="1164"/>
            <w:tcBorders/>
            <w:tcMar>
              <w:start w:w="0" w:type="dxa"/>
              <w:end w:w="0" w:type="dxa"/>
            </w:tcMar>
          </w:tcPr>
          <w:p>
            <w:pPr>
              <w:autoSpaceDN w:val="0"/>
              <w:autoSpaceDE w:val="0"/>
              <w:widowControl/>
              <w:spacing w:line="230" w:lineRule="auto" w:before="46" w:after="0"/>
              <w:ind w:left="204" w:right="0" w:firstLine="0"/>
              <w:jc w:val="left"/>
            </w:pPr>
            <w:r>
              <w:rPr>
                <w:rFonts w:ascii="Arial" w:hAnsi="Arial" w:eastAsia="Arial"/>
                <w:b w:val="0"/>
                <w:i w:val="0"/>
                <w:color w:val="000000"/>
                <w:sz w:val="14"/>
              </w:rPr>
              <w:t xml:space="preserve"> 133,821,965 </w:t>
            </w:r>
          </w:p>
        </w:tc>
        <w:tc>
          <w:tcPr>
            <w:tcW w:type="dxa" w:w="1162"/>
            <w:tcBorders/>
            <w:tcMar>
              <w:start w:w="0" w:type="dxa"/>
              <w:end w:w="0" w:type="dxa"/>
            </w:tcMar>
          </w:tcPr>
          <w:p>
            <w:pPr>
              <w:autoSpaceDN w:val="0"/>
              <w:autoSpaceDE w:val="0"/>
              <w:widowControl/>
              <w:spacing w:line="230" w:lineRule="auto" w:before="46" w:after="0"/>
              <w:ind w:left="284" w:right="0" w:firstLine="0"/>
              <w:jc w:val="left"/>
            </w:pPr>
            <w:r>
              <w:rPr>
                <w:rFonts w:ascii="Arial" w:hAnsi="Arial" w:eastAsia="Arial"/>
                <w:b w:val="0"/>
                <w:i w:val="0"/>
                <w:color w:val="000000"/>
                <w:sz w:val="14"/>
              </w:rPr>
              <w:t xml:space="preserve"> 96,408,933 </w:t>
            </w:r>
          </w:p>
        </w:tc>
        <w:tc>
          <w:tcPr>
            <w:tcW w:type="dxa" w:w="1162"/>
            <w:tcBorders/>
            <w:tcMar>
              <w:start w:w="0" w:type="dxa"/>
              <w:end w:w="0" w:type="dxa"/>
            </w:tcMar>
          </w:tcPr>
          <w:p>
            <w:pPr>
              <w:autoSpaceDN w:val="0"/>
              <w:autoSpaceDE w:val="0"/>
              <w:widowControl/>
              <w:spacing w:line="230" w:lineRule="auto" w:before="46" w:after="0"/>
              <w:ind w:left="284" w:right="0" w:firstLine="0"/>
              <w:jc w:val="left"/>
            </w:pPr>
            <w:r>
              <w:rPr>
                <w:rFonts w:ascii="Arial" w:hAnsi="Arial" w:eastAsia="Arial"/>
                <w:b w:val="0"/>
                <w:i w:val="0"/>
                <w:color w:val="000000"/>
                <w:sz w:val="14"/>
              </w:rPr>
              <w:t xml:space="preserve"> 22,443,980 </w:t>
            </w:r>
          </w:p>
        </w:tc>
        <w:tc>
          <w:tcPr>
            <w:tcW w:type="dxa" w:w="1446"/>
            <w:tcBorders/>
            <w:tcMar>
              <w:start w:w="0" w:type="dxa"/>
              <w:end w:w="0" w:type="dxa"/>
            </w:tcMar>
          </w:tcPr>
          <w:p>
            <w:pPr>
              <w:autoSpaceDN w:val="0"/>
              <w:autoSpaceDE w:val="0"/>
              <w:widowControl/>
              <w:spacing w:line="230" w:lineRule="auto" w:before="46" w:after="0"/>
              <w:ind w:left="0" w:right="104" w:firstLine="0"/>
              <w:jc w:val="right"/>
            </w:pPr>
            <w:r>
              <w:rPr>
                <w:rFonts w:ascii="Arial" w:hAnsi="Arial" w:eastAsia="Arial"/>
                <w:b w:val="0"/>
                <w:i w:val="0"/>
                <w:color w:val="000000"/>
                <w:sz w:val="14"/>
              </w:rPr>
              <w:t xml:space="preserve"> 27,983,419 </w:t>
            </w:r>
          </w:p>
        </w:tc>
        <w:tc>
          <w:tcPr>
            <w:tcW w:type="dxa" w:w="1218"/>
            <w:tcBorders/>
            <w:tcMar>
              <w:start w:w="0" w:type="dxa"/>
              <w:end w:w="0" w:type="dxa"/>
            </w:tcMar>
          </w:tcPr>
          <w:p>
            <w:pPr>
              <w:autoSpaceDN w:val="0"/>
              <w:autoSpaceDE w:val="0"/>
              <w:widowControl/>
              <w:spacing w:line="230" w:lineRule="auto" w:before="46" w:after="0"/>
              <w:ind w:left="254" w:right="0" w:firstLine="0"/>
              <w:jc w:val="left"/>
            </w:pPr>
            <w:r>
              <w:rPr>
                <w:rFonts w:ascii="Arial" w:hAnsi="Arial" w:eastAsia="Arial"/>
                <w:b w:val="0"/>
                <w:i w:val="0"/>
                <w:color w:val="000000"/>
                <w:sz w:val="14"/>
              </w:rPr>
              <w:t xml:space="preserve">(127,701,091 ) </w:t>
            </w:r>
          </w:p>
        </w:tc>
        <w:tc>
          <w:tcPr>
            <w:tcW w:type="dxa" w:w="1220"/>
            <w:tcBorders/>
            <w:tcMar>
              <w:start w:w="0" w:type="dxa"/>
              <w:end w:w="0" w:type="dxa"/>
            </w:tcMar>
          </w:tcPr>
          <w:p>
            <w:pPr>
              <w:autoSpaceDN w:val="0"/>
              <w:autoSpaceDE w:val="0"/>
              <w:widowControl/>
              <w:spacing w:line="230" w:lineRule="auto" w:before="46" w:after="0"/>
              <w:ind w:left="254" w:right="0" w:firstLine="0"/>
              <w:jc w:val="left"/>
            </w:pPr>
            <w:r>
              <w:rPr>
                <w:rFonts w:ascii="Arial" w:hAnsi="Arial" w:eastAsia="Arial"/>
                <w:b w:val="0"/>
                <w:i w:val="0"/>
                <w:color w:val="000000"/>
                <w:sz w:val="14"/>
              </w:rPr>
              <w:t xml:space="preserve">(203,240,136 ) </w:t>
            </w:r>
          </w:p>
        </w:tc>
        <w:tc>
          <w:tcPr>
            <w:tcW w:type="dxa" w:w="1160"/>
            <w:tcBorders/>
            <w:tcMar>
              <w:start w:w="0" w:type="dxa"/>
              <w:end w:w="0" w:type="dxa"/>
            </w:tcMar>
          </w:tcPr>
          <w:p>
            <w:pPr>
              <w:autoSpaceDN w:val="0"/>
              <w:autoSpaceDE w:val="0"/>
              <w:widowControl/>
              <w:spacing w:line="230" w:lineRule="auto" w:before="46" w:after="0"/>
              <w:ind w:left="250" w:right="0" w:firstLine="0"/>
              <w:jc w:val="left"/>
            </w:pPr>
            <w:r>
              <w:rPr>
                <w:rFonts w:ascii="Arial" w:hAnsi="Arial" w:eastAsia="Arial"/>
                <w:b w:val="0"/>
                <w:i w:val="0"/>
                <w:color w:val="000000"/>
                <w:sz w:val="14"/>
              </w:rPr>
              <w:t xml:space="preserve"> 592,024,186 </w:t>
            </w:r>
          </w:p>
        </w:tc>
      </w:tr>
      <w:tr>
        <w:trPr>
          <w:trHeight w:hRule="exact" w:val="420"/>
        </w:trPr>
        <w:tc>
          <w:tcPr>
            <w:tcW w:type="dxa" w:w="2098"/>
            <w:tcBorders/>
            <w:tcMar>
              <w:start w:w="0" w:type="dxa"/>
              <w:end w:w="0" w:type="dxa"/>
            </w:tcMar>
          </w:tcPr>
          <w:p>
            <w:pPr>
              <w:autoSpaceDN w:val="0"/>
              <w:autoSpaceDE w:val="0"/>
              <w:widowControl/>
              <w:spacing w:line="138" w:lineRule="exact" w:before="276" w:after="0"/>
              <w:ind w:left="0" w:right="0" w:firstLine="0"/>
              <w:jc w:val="left"/>
            </w:pPr>
            <w:r>
              <w:rPr>
                <w:rFonts w:ascii="黑体" w:hAnsi="黑体" w:eastAsia="黑体"/>
                <w:b w:val="0"/>
                <w:i w:val="0"/>
                <w:color w:val="000000"/>
                <w:sz w:val="14"/>
              </w:rPr>
              <w:t>资产总额</w:t>
            </w:r>
          </w:p>
        </w:tc>
        <w:tc>
          <w:tcPr>
            <w:tcW w:type="dxa" w:w="1162"/>
            <w:tcBorders/>
            <w:tcMar>
              <w:start w:w="0" w:type="dxa"/>
              <w:end w:w="0" w:type="dxa"/>
            </w:tcMar>
          </w:tcPr>
          <w:p>
            <w:pPr>
              <w:autoSpaceDN w:val="0"/>
              <w:autoSpaceDE w:val="0"/>
              <w:widowControl/>
              <w:spacing w:line="233" w:lineRule="auto" w:before="264" w:after="0"/>
              <w:ind w:left="10" w:right="0" w:firstLine="0"/>
              <w:jc w:val="left"/>
            </w:pPr>
            <w:r>
              <w:rPr>
                <w:rFonts w:ascii="Arial" w:hAnsi="Arial" w:eastAsia="Arial"/>
                <w:b w:val="0"/>
                <w:i w:val="0"/>
                <w:color w:val="000000"/>
                <w:sz w:val="14"/>
              </w:rPr>
              <w:t xml:space="preserve"> 21,698,845,700 </w:t>
            </w:r>
          </w:p>
        </w:tc>
        <w:tc>
          <w:tcPr>
            <w:tcW w:type="dxa" w:w="2268"/>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 1,412,785,284 </w:t>
            </w:r>
            <w:r>
              <w:rPr>
                <w:rFonts w:ascii="Arial" w:hAnsi="Arial" w:eastAsia="Arial"/>
                <w:b w:val="0"/>
                <w:i w:val="0"/>
                <w:color w:val="000000"/>
                <w:sz w:val="14"/>
              </w:rPr>
              <w:t xml:space="preserve"> 33,807,812,634 </w:t>
            </w:r>
          </w:p>
        </w:tc>
        <w:tc>
          <w:tcPr>
            <w:tcW w:type="dxa" w:w="1164"/>
            <w:tcBorders/>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 5,542,838,901 </w:t>
            </w:r>
          </w:p>
        </w:tc>
        <w:tc>
          <w:tcPr>
            <w:tcW w:type="dxa" w:w="1162"/>
            <w:tcBorders/>
            <w:tcMar>
              <w:start w:w="0" w:type="dxa"/>
              <w:end w:w="0" w:type="dxa"/>
            </w:tcMar>
          </w:tcPr>
          <w:p>
            <w:pPr>
              <w:autoSpaceDN w:val="0"/>
              <w:autoSpaceDE w:val="0"/>
              <w:widowControl/>
              <w:spacing w:line="233" w:lineRule="auto" w:before="264" w:after="0"/>
              <w:ind w:left="204" w:right="0" w:firstLine="0"/>
              <w:jc w:val="left"/>
            </w:pPr>
            <w:r>
              <w:rPr>
                <w:rFonts w:ascii="Arial" w:hAnsi="Arial" w:eastAsia="Arial"/>
                <w:b w:val="0"/>
                <w:i w:val="0"/>
                <w:color w:val="000000"/>
                <w:sz w:val="14"/>
              </w:rPr>
              <w:t xml:space="preserve"> 845,010,006 </w:t>
            </w:r>
          </w:p>
        </w:tc>
        <w:tc>
          <w:tcPr>
            <w:tcW w:type="dxa" w:w="1162"/>
            <w:tcBorders/>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 7,670,970,896 </w:t>
            </w:r>
          </w:p>
        </w:tc>
        <w:tc>
          <w:tcPr>
            <w:tcW w:type="dxa" w:w="1446"/>
            <w:tcBorders/>
            <w:tcMar>
              <w:start w:w="0" w:type="dxa"/>
              <w:end w:w="0" w:type="dxa"/>
            </w:tcMar>
          </w:tcPr>
          <w:p>
            <w:pPr>
              <w:autoSpaceDN w:val="0"/>
              <w:autoSpaceDE w:val="0"/>
              <w:widowControl/>
              <w:spacing w:line="233" w:lineRule="auto" w:before="264" w:after="0"/>
              <w:ind w:left="0" w:right="104" w:firstLine="0"/>
              <w:jc w:val="right"/>
            </w:pPr>
            <w:r>
              <w:rPr>
                <w:rFonts w:ascii="Arial" w:hAnsi="Arial" w:eastAsia="Arial"/>
                <w:b w:val="0"/>
                <w:i w:val="0"/>
                <w:color w:val="000000"/>
                <w:sz w:val="14"/>
              </w:rPr>
              <w:t xml:space="preserve"> 1,776,542,350 </w:t>
            </w:r>
          </w:p>
        </w:tc>
        <w:tc>
          <w:tcPr>
            <w:tcW w:type="dxa" w:w="1218"/>
            <w:tcBorders/>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 17,079,234,276 </w:t>
            </w:r>
          </w:p>
        </w:tc>
        <w:tc>
          <w:tcPr>
            <w:tcW w:type="dxa" w:w="1220"/>
            <w:tcBorders/>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(12,243,810,730 ) </w:t>
            </w:r>
          </w:p>
        </w:tc>
        <w:tc>
          <w:tcPr>
            <w:tcW w:type="dxa" w:w="1160"/>
            <w:tcBorders/>
            <w:tcMar>
              <w:start w:w="0" w:type="dxa"/>
              <w:end w:w="0" w:type="dxa"/>
            </w:tcMar>
          </w:tcPr>
          <w:p>
            <w:pPr>
              <w:autoSpaceDN w:val="0"/>
              <w:autoSpaceDE w:val="0"/>
              <w:widowControl/>
              <w:spacing w:line="233" w:lineRule="auto" w:before="264" w:after="0"/>
              <w:ind w:left="0" w:right="0" w:firstLine="0"/>
              <w:jc w:val="center"/>
            </w:pPr>
            <w:r>
              <w:rPr>
                <w:rFonts w:ascii="Arial" w:hAnsi="Arial" w:eastAsia="Arial"/>
                <w:b w:val="0"/>
                <w:i w:val="0"/>
                <w:color w:val="000000"/>
                <w:sz w:val="14"/>
              </w:rPr>
              <w:t xml:space="preserve"> 77,590,229,317 </w:t>
            </w:r>
          </w:p>
        </w:tc>
      </w:tr>
      <w:tr>
        <w:trPr>
          <w:trHeight w:hRule="exact" w:val="490"/>
        </w:trPr>
        <w:tc>
          <w:tcPr>
            <w:tcW w:type="dxa" w:w="2098"/>
            <w:tcBorders/>
            <w:tcMar>
              <w:start w:w="0" w:type="dxa"/>
              <w:end w:w="0" w:type="dxa"/>
            </w:tcMar>
          </w:tcPr>
          <w:p>
            <w:pPr>
              <w:autoSpaceDN w:val="0"/>
              <w:autoSpaceDE w:val="0"/>
              <w:widowControl/>
              <w:spacing w:line="140" w:lineRule="exact" w:before="268" w:after="0"/>
              <w:ind w:left="0" w:right="0" w:firstLine="0"/>
              <w:jc w:val="left"/>
            </w:pPr>
            <w:r>
              <w:rPr>
                <w:rFonts w:ascii="黑体" w:hAnsi="黑体" w:eastAsia="黑体"/>
                <w:b w:val="0"/>
                <w:i w:val="0"/>
                <w:color w:val="000000"/>
                <w:sz w:val="14"/>
              </w:rPr>
              <w:t>负债总额</w:t>
            </w:r>
          </w:p>
        </w:tc>
        <w:tc>
          <w:tcPr>
            <w:tcW w:type="dxa" w:w="1162"/>
            <w:tcBorders/>
            <w:tcMar>
              <w:start w:w="0" w:type="dxa"/>
              <w:end w:w="0" w:type="dxa"/>
            </w:tcMar>
          </w:tcPr>
          <w:p>
            <w:pPr>
              <w:autoSpaceDN w:val="0"/>
              <w:autoSpaceDE w:val="0"/>
              <w:widowControl/>
              <w:spacing w:line="233" w:lineRule="auto" w:before="274" w:after="0"/>
              <w:ind w:left="10" w:right="0" w:firstLine="0"/>
              <w:jc w:val="left"/>
            </w:pPr>
            <w:r>
              <w:rPr>
                <w:rFonts w:ascii="Arial" w:hAnsi="Arial" w:eastAsia="Arial"/>
                <w:b w:val="0"/>
                <w:i w:val="0"/>
                <w:color w:val="000000"/>
                <w:sz w:val="14"/>
              </w:rPr>
              <w:t xml:space="preserve"> 13,845,747,970 </w:t>
            </w:r>
          </w:p>
        </w:tc>
        <w:tc>
          <w:tcPr>
            <w:tcW w:type="dxa" w:w="2268"/>
            <w:gridSpan w:val="3"/>
            <w:tcBorders/>
            <w:tcMar>
              <w:start w:w="0" w:type="dxa"/>
              <w:end w:w="0" w:type="dxa"/>
            </w:tcMar>
            <w:tcMar>
              <w:start w:w="0" w:type="dxa"/>
              <w:end w:w="0" w:type="dxa"/>
            </w:tcMar>
            <w:tcMar>
              <w:start w:w="0" w:type="dxa"/>
              <w:end w:w="0" w:type="dxa"/>
            </w:tcMar>
          </w:tcPr>
          <w:p>
            <w:pPr>
              <w:autoSpaceDN w:val="0"/>
              <w:autoSpaceDE w:val="0"/>
              <w:widowControl/>
              <w:spacing w:line="233" w:lineRule="auto" w:before="274" w:after="0"/>
              <w:ind w:left="0" w:right="0" w:firstLine="0"/>
              <w:jc w:val="center"/>
            </w:pPr>
            <w:r>
              <w:rPr>
                <w:rFonts w:ascii="Arial" w:hAnsi="Arial" w:eastAsia="Arial"/>
                <w:b w:val="0"/>
                <w:i w:val="0"/>
                <w:color w:val="000000"/>
                <w:sz w:val="14"/>
              </w:rPr>
              <w:t xml:space="preserve"> 243,106,553 </w:t>
            </w:r>
            <w:r>
              <w:rPr>
                <w:rFonts w:ascii="Arial" w:hAnsi="Arial" w:eastAsia="Arial"/>
                <w:b w:val="0"/>
                <w:i w:val="0"/>
                <w:color w:val="000000"/>
                <w:sz w:val="14"/>
              </w:rPr>
              <w:t xml:space="preserve"> 21,811,589,475 </w:t>
            </w:r>
          </w:p>
        </w:tc>
        <w:tc>
          <w:tcPr>
            <w:tcW w:type="dxa" w:w="1164"/>
            <w:tcBorders/>
            <w:tcMar>
              <w:start w:w="0" w:type="dxa"/>
              <w:end w:w="0" w:type="dxa"/>
            </w:tcMar>
          </w:tcPr>
          <w:p>
            <w:pPr>
              <w:autoSpaceDN w:val="0"/>
              <w:autoSpaceDE w:val="0"/>
              <w:widowControl/>
              <w:spacing w:line="233" w:lineRule="auto" w:before="274" w:after="0"/>
              <w:ind w:left="0" w:right="0" w:firstLine="0"/>
              <w:jc w:val="center"/>
            </w:pPr>
            <w:r>
              <w:rPr>
                <w:rFonts w:ascii="Arial" w:hAnsi="Arial" w:eastAsia="Arial"/>
                <w:b w:val="0"/>
                <w:i w:val="0"/>
                <w:color w:val="000000"/>
                <w:sz w:val="14"/>
              </w:rPr>
              <w:t xml:space="preserve"> 1,819,429,536 </w:t>
            </w:r>
          </w:p>
        </w:tc>
        <w:tc>
          <w:tcPr>
            <w:tcW w:type="dxa" w:w="1162"/>
            <w:tcBorders/>
            <w:tcMar>
              <w:start w:w="0" w:type="dxa"/>
              <w:end w:w="0" w:type="dxa"/>
            </w:tcMar>
          </w:tcPr>
          <w:p>
            <w:pPr>
              <w:autoSpaceDN w:val="0"/>
              <w:autoSpaceDE w:val="0"/>
              <w:widowControl/>
              <w:spacing w:line="233" w:lineRule="auto" w:before="274" w:after="0"/>
              <w:ind w:left="204" w:right="0" w:firstLine="0"/>
              <w:jc w:val="left"/>
            </w:pPr>
            <w:r>
              <w:rPr>
                <w:rFonts w:ascii="Arial" w:hAnsi="Arial" w:eastAsia="Arial"/>
                <w:b w:val="0"/>
                <w:i w:val="0"/>
                <w:color w:val="000000"/>
                <w:sz w:val="14"/>
              </w:rPr>
              <w:t xml:space="preserve"> 199,735,455 </w:t>
            </w:r>
          </w:p>
        </w:tc>
        <w:tc>
          <w:tcPr>
            <w:tcW w:type="dxa" w:w="1162"/>
            <w:tcBorders/>
            <w:tcMar>
              <w:start w:w="0" w:type="dxa"/>
              <w:end w:w="0" w:type="dxa"/>
            </w:tcMar>
          </w:tcPr>
          <w:p>
            <w:pPr>
              <w:autoSpaceDN w:val="0"/>
              <w:autoSpaceDE w:val="0"/>
              <w:widowControl/>
              <w:spacing w:line="233" w:lineRule="auto" w:before="274" w:after="0"/>
              <w:ind w:left="0" w:right="0" w:firstLine="0"/>
              <w:jc w:val="center"/>
            </w:pPr>
            <w:r>
              <w:rPr>
                <w:rFonts w:ascii="Arial" w:hAnsi="Arial" w:eastAsia="Arial"/>
                <w:b w:val="0"/>
                <w:i w:val="0"/>
                <w:color w:val="000000"/>
                <w:sz w:val="14"/>
              </w:rPr>
              <w:t xml:space="preserve"> 6,448,760,990 </w:t>
            </w:r>
          </w:p>
        </w:tc>
        <w:tc>
          <w:tcPr>
            <w:tcW w:type="dxa" w:w="1446"/>
            <w:tcBorders/>
            <w:tcMar>
              <w:start w:w="0" w:type="dxa"/>
              <w:end w:w="0" w:type="dxa"/>
            </w:tcMar>
          </w:tcPr>
          <w:p>
            <w:pPr>
              <w:autoSpaceDN w:val="0"/>
              <w:autoSpaceDE w:val="0"/>
              <w:widowControl/>
              <w:spacing w:line="233" w:lineRule="auto" w:before="274" w:after="0"/>
              <w:ind w:left="0" w:right="104" w:firstLine="0"/>
              <w:jc w:val="right"/>
            </w:pPr>
            <w:r>
              <w:rPr>
                <w:rFonts w:ascii="Arial" w:hAnsi="Arial" w:eastAsia="Arial"/>
                <w:b w:val="0"/>
                <w:i w:val="0"/>
                <w:color w:val="000000"/>
                <w:sz w:val="14"/>
              </w:rPr>
              <w:t xml:space="preserve"> 758,785,833 </w:t>
            </w:r>
          </w:p>
        </w:tc>
        <w:tc>
          <w:tcPr>
            <w:tcW w:type="dxa" w:w="1218"/>
            <w:tcBorders/>
            <w:tcMar>
              <w:start w:w="0" w:type="dxa"/>
              <w:end w:w="0" w:type="dxa"/>
            </w:tcMar>
          </w:tcPr>
          <w:p>
            <w:pPr>
              <w:autoSpaceDN w:val="0"/>
              <w:autoSpaceDE w:val="0"/>
              <w:widowControl/>
              <w:spacing w:line="233" w:lineRule="auto" w:before="274" w:after="0"/>
              <w:ind w:left="0" w:right="0" w:firstLine="0"/>
              <w:jc w:val="center"/>
            </w:pPr>
            <w:r>
              <w:rPr>
                <w:rFonts w:ascii="Arial" w:hAnsi="Arial" w:eastAsia="Arial"/>
                <w:b w:val="0"/>
                <w:i w:val="0"/>
                <w:color w:val="000000"/>
                <w:sz w:val="14"/>
              </w:rPr>
              <w:t xml:space="preserve"> 16,056,071,945 </w:t>
            </w:r>
          </w:p>
        </w:tc>
        <w:tc>
          <w:tcPr>
            <w:tcW w:type="dxa" w:w="1220"/>
            <w:tcBorders/>
            <w:tcMar>
              <w:start w:w="0" w:type="dxa"/>
              <w:end w:w="0" w:type="dxa"/>
            </w:tcMar>
          </w:tcPr>
          <w:p>
            <w:pPr>
              <w:autoSpaceDN w:val="0"/>
              <w:autoSpaceDE w:val="0"/>
              <w:widowControl/>
              <w:spacing w:line="233" w:lineRule="auto" w:before="274" w:after="0"/>
              <w:ind w:left="138" w:right="0" w:firstLine="0"/>
              <w:jc w:val="left"/>
            </w:pPr>
            <w:r>
              <w:rPr>
                <w:rFonts w:ascii="Arial" w:hAnsi="Arial" w:eastAsia="Arial"/>
                <w:b w:val="0"/>
                <w:i w:val="0"/>
                <w:color w:val="000000"/>
                <w:sz w:val="14"/>
              </w:rPr>
              <w:t xml:space="preserve">(1,746,122,319 ) </w:t>
            </w:r>
          </w:p>
        </w:tc>
        <w:tc>
          <w:tcPr>
            <w:tcW w:type="dxa" w:w="1160"/>
            <w:tcBorders/>
            <w:tcMar>
              <w:start w:w="0" w:type="dxa"/>
              <w:end w:w="0" w:type="dxa"/>
            </w:tcMar>
          </w:tcPr>
          <w:p>
            <w:pPr>
              <w:autoSpaceDN w:val="0"/>
              <w:autoSpaceDE w:val="0"/>
              <w:widowControl/>
              <w:spacing w:line="233" w:lineRule="auto" w:before="274" w:after="0"/>
              <w:ind w:left="0" w:right="0" w:firstLine="0"/>
              <w:jc w:val="center"/>
            </w:pPr>
            <w:r>
              <w:rPr>
                <w:rFonts w:ascii="Arial" w:hAnsi="Arial" w:eastAsia="Arial"/>
                <w:b w:val="0"/>
                <w:i w:val="0"/>
                <w:color w:val="000000"/>
                <w:sz w:val="14"/>
              </w:rPr>
              <w:t xml:space="preserve"> 59,437,105,438 </w:t>
            </w:r>
          </w:p>
        </w:tc>
      </w:tr>
    </w:tbl>
    <w:p>
      <w:pPr>
        <w:autoSpaceDN w:val="0"/>
        <w:autoSpaceDE w:val="0"/>
        <w:widowControl/>
        <w:spacing w:line="138" w:lineRule="exact" w:before="168" w:after="20"/>
        <w:ind w:left="0" w:right="0" w:firstLine="0"/>
        <w:jc w:val="left"/>
      </w:pPr>
      <w:r>
        <w:rPr>
          <w:rFonts w:ascii="黑体" w:hAnsi="黑体" w:eastAsia="黑体"/>
          <w:b w:val="0"/>
          <w:i w:val="0"/>
          <w:color w:val="000000"/>
          <w:sz w:val="14"/>
        </w:rPr>
        <w:t>长期股权投资以外的其他非流动</w:t>
      </w:r>
    </w:p>
    <w:tbl>
      <w:tblPr>
        <w:tblW w:type="auto" w:w="0"/>
        <w:tblLayout w:type="fixed"/>
        <w:tblLook w:firstColumn="1" w:firstRow="1" w:lastColumn="0" w:lastRow="0" w:noHBand="0" w:noVBand="1" w:val="04A0"/>
        <w:tblInd w:w="60.0" w:type="dxa"/>
      </w:tblPr>
      <w:tblGrid>
        <w:gridCol w:w="1279"/>
        <w:gridCol w:w="1279"/>
        <w:gridCol w:w="1279"/>
        <w:gridCol w:w="1279"/>
        <w:gridCol w:w="1279"/>
        <w:gridCol w:w="1279"/>
        <w:gridCol w:w="1279"/>
        <w:gridCol w:w="1279"/>
        <w:gridCol w:w="1279"/>
        <w:gridCol w:w="1279"/>
        <w:gridCol w:w="1279"/>
      </w:tblGrid>
      <w:tr>
        <w:trPr>
          <w:trHeight w:hRule="exact" w:val="242"/>
        </w:trPr>
        <w:tc>
          <w:tcPr>
            <w:tcW w:type="dxa" w:w="1900"/>
            <w:tcBorders/>
            <w:tcMar>
              <w:start w:w="0" w:type="dxa"/>
              <w:end w:w="0" w:type="dxa"/>
            </w:tcMar>
          </w:tcPr>
          <w:p>
            <w:pPr>
              <w:autoSpaceDN w:val="0"/>
              <w:autoSpaceDE w:val="0"/>
              <w:widowControl/>
              <w:spacing w:line="154" w:lineRule="exact" w:before="18" w:after="0"/>
              <w:ind w:left="80" w:right="0" w:firstLine="0"/>
              <w:jc w:val="left"/>
            </w:pPr>
            <w:r>
              <w:rPr>
                <w:rFonts w:ascii="黑体" w:hAnsi="黑体" w:eastAsia="黑体"/>
                <w:b w:val="0"/>
                <w:i w:val="0"/>
                <w:color w:val="000000"/>
                <w:sz w:val="14"/>
              </w:rPr>
              <w:t>资产净（减少）</w:t>
            </w:r>
            <w:r>
              <w:rPr>
                <w:rFonts w:ascii="Arial" w:hAnsi="Arial" w:eastAsia="Arial"/>
                <w:b w:val="0"/>
                <w:i w:val="0"/>
                <w:color w:val="000000"/>
                <w:sz w:val="14"/>
              </w:rPr>
              <w:t>/</w:t>
            </w:r>
            <w:r>
              <w:rPr>
                <w:rFonts w:ascii="黑体" w:hAnsi="黑体" w:eastAsia="黑体"/>
                <w:b w:val="0"/>
                <w:i w:val="0"/>
                <w:color w:val="000000"/>
                <w:sz w:val="14"/>
              </w:rPr>
              <w:t>增加额</w:t>
            </w:r>
          </w:p>
        </w:tc>
        <w:tc>
          <w:tcPr>
            <w:tcW w:type="dxa" w:w="1380"/>
            <w:tcBorders/>
            <w:tcMar>
              <w:start w:w="0" w:type="dxa"/>
              <w:end w:w="0" w:type="dxa"/>
            </w:tcMar>
          </w:tcPr>
          <w:p>
            <w:pPr>
              <w:autoSpaceDN w:val="0"/>
              <w:autoSpaceDE w:val="0"/>
              <w:widowControl/>
              <w:spacing w:line="233" w:lineRule="auto" w:before="26" w:after="0"/>
              <w:ind w:left="0" w:right="138" w:firstLine="0"/>
              <w:jc w:val="right"/>
            </w:pPr>
            <w:r>
              <w:rPr>
                <w:rFonts w:ascii="Arial" w:hAnsi="Arial" w:eastAsia="Arial"/>
                <w:b w:val="0"/>
                <w:i w:val="0"/>
                <w:color w:val="000000"/>
                <w:sz w:val="14"/>
              </w:rPr>
              <w:t xml:space="preserve">(14,737,764 ) </w:t>
            </w:r>
          </w:p>
        </w:tc>
        <w:tc>
          <w:tcPr>
            <w:tcW w:type="dxa" w:w="11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 11,719,851 </w:t>
            </w:r>
          </w:p>
        </w:tc>
        <w:tc>
          <w:tcPr>
            <w:tcW w:type="dxa" w:w="12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(33,493,731 ) </w:t>
            </w:r>
          </w:p>
        </w:tc>
        <w:tc>
          <w:tcPr>
            <w:tcW w:type="dxa" w:w="112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 19,869,417 </w:t>
            </w:r>
          </w:p>
        </w:tc>
        <w:tc>
          <w:tcPr>
            <w:tcW w:type="dxa" w:w="120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(24,765,264 ) </w:t>
            </w:r>
          </w:p>
        </w:tc>
        <w:tc>
          <w:tcPr>
            <w:tcW w:type="dxa" w:w="1280"/>
            <w:tcBorders/>
            <w:tcMar>
              <w:start w:w="0" w:type="dxa"/>
              <w:end w:w="0" w:type="dxa"/>
            </w:tcMar>
          </w:tcPr>
          <w:p>
            <w:pPr>
              <w:autoSpaceDN w:val="0"/>
              <w:autoSpaceDE w:val="0"/>
              <w:widowControl/>
              <w:spacing w:line="233" w:lineRule="auto" w:before="26" w:after="0"/>
              <w:ind w:left="178" w:right="0" w:firstLine="0"/>
              <w:jc w:val="left"/>
            </w:pPr>
            <w:r>
              <w:rPr>
                <w:rFonts w:ascii="Arial" w:hAnsi="Arial" w:eastAsia="Arial"/>
                <w:b w:val="0"/>
                <w:i w:val="0"/>
                <w:color w:val="000000"/>
                <w:sz w:val="14"/>
              </w:rPr>
              <w:t xml:space="preserve"> 11,012,774 </w:t>
            </w:r>
          </w:p>
        </w:tc>
        <w:tc>
          <w:tcPr>
            <w:tcW w:type="dxa" w:w="1340"/>
            <w:tcBorders/>
            <w:tcMar>
              <w:start w:w="0" w:type="dxa"/>
              <w:end w:w="0" w:type="dxa"/>
            </w:tcMar>
          </w:tcPr>
          <w:p>
            <w:pPr>
              <w:autoSpaceDN w:val="0"/>
              <w:autoSpaceDE w:val="0"/>
              <w:widowControl/>
              <w:spacing w:line="233" w:lineRule="auto" w:before="26" w:after="0"/>
              <w:ind w:left="334" w:right="0" w:firstLine="0"/>
              <w:jc w:val="left"/>
            </w:pPr>
            <w:r>
              <w:rPr>
                <w:rFonts w:ascii="Arial" w:hAnsi="Arial" w:eastAsia="Arial"/>
                <w:b w:val="0"/>
                <w:i w:val="0"/>
                <w:color w:val="000000"/>
                <w:sz w:val="14"/>
              </w:rPr>
              <w:t xml:space="preserve">(24,124,002 ) </w:t>
            </w:r>
          </w:p>
        </w:tc>
        <w:tc>
          <w:tcPr>
            <w:tcW w:type="dxa" w:w="128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(21,505,537 ) </w:t>
            </w:r>
          </w:p>
        </w:tc>
        <w:tc>
          <w:tcPr>
            <w:tcW w:type="dxa" w:w="1140"/>
            <w:tcBorders/>
            <w:tcMar>
              <w:start w:w="0" w:type="dxa"/>
              <w:end w:w="0" w:type="dxa"/>
            </w:tcMar>
          </w:tcPr>
          <w:p>
            <w:pPr>
              <w:autoSpaceDN w:val="0"/>
              <w:autoSpaceDE w:val="0"/>
              <w:widowControl/>
              <w:spacing w:line="233" w:lineRule="auto" w:before="26" w:after="0"/>
              <w:ind w:left="0" w:right="0" w:firstLine="0"/>
              <w:jc w:val="center"/>
            </w:pPr>
            <w:r>
              <w:rPr>
                <w:rFonts w:ascii="Arial" w:hAnsi="Arial" w:eastAsia="Arial"/>
                <w:b w:val="0"/>
                <w:i w:val="0"/>
                <w:color w:val="000000"/>
                <w:sz w:val="14"/>
              </w:rPr>
              <w:t xml:space="preserve"> 3,578,527 </w:t>
            </w:r>
          </w:p>
        </w:tc>
        <w:tc>
          <w:tcPr>
            <w:tcW w:type="dxa" w:w="1060"/>
            <w:tcBorders/>
            <w:tcMar>
              <w:start w:w="0" w:type="dxa"/>
              <w:end w:w="0" w:type="dxa"/>
            </w:tcMar>
          </w:tcPr>
          <w:p>
            <w:pPr>
              <w:autoSpaceDN w:val="0"/>
              <w:autoSpaceDE w:val="0"/>
              <w:widowControl/>
              <w:spacing w:line="233" w:lineRule="auto" w:before="26" w:after="0"/>
              <w:ind w:left="220" w:right="0" w:firstLine="0"/>
              <w:jc w:val="left"/>
            </w:pPr>
            <w:r>
              <w:rPr>
                <w:rFonts w:ascii="Arial" w:hAnsi="Arial" w:eastAsia="Arial"/>
                <w:b w:val="0"/>
                <w:i w:val="0"/>
                <w:color w:val="000000"/>
                <w:sz w:val="14"/>
              </w:rPr>
              <w:t xml:space="preserve">(72,445,729 ) </w:t>
            </w:r>
          </w:p>
        </w:tc>
      </w:tr>
    </w:tbl>
    <w:p>
      <w:pPr>
        <w:autoSpaceDN w:val="0"/>
        <w:autoSpaceDE w:val="0"/>
        <w:widowControl/>
        <w:spacing w:line="233" w:lineRule="auto" w:before="4080" w:after="0"/>
        <w:ind w:left="0" w:right="0" w:firstLine="0"/>
        <w:jc w:val="center"/>
      </w:pPr>
      <w:r>
        <w:rPr>
          <w:rFonts w:ascii="Arial" w:hAnsi="Arial" w:eastAsia="Arial"/>
          <w:b w:val="0"/>
          <w:i w:val="0"/>
          <w:color w:val="000000"/>
          <w:sz w:val="20"/>
        </w:rPr>
        <w:t xml:space="preserve">263 </w:t>
      </w:r>
    </w:p>
    <w:p>
      <w:pPr>
        <w:sectPr>
          <w:pgSz w:w="16841" w:h="11899"/>
          <w:pgMar w:top="1166" w:right="1330" w:bottom="360" w:left="1440" w:header="720" w:footer="720" w:gutter="0"/>
          <w:cols/>
          <w:docGrid w:linePitch="360"/>
        </w:sectPr>
      </w:pPr>
    </w:p>
    <w:p>
      <w:pPr>
        <w:autoSpaceDN w:val="0"/>
        <w:autoSpaceDE w:val="0"/>
        <w:widowControl/>
        <w:spacing w:line="220" w:lineRule="exact" w:before="0" w:after="774"/>
        <w:ind w:left="0" w:right="0"/>
      </w:pPr>
    </w:p>
    <w:tbl>
      <w:tblPr>
        <w:tblW w:type="auto" w:w="0"/>
        <w:tblLayout w:type="fixed"/>
        <w:tblLook w:firstColumn="1" w:firstRow="1" w:lastColumn="0" w:lastRow="0" w:noHBand="0" w:noVBand="1" w:val="04A0"/>
        <w:tblInd w:w="160.0" w:type="dxa"/>
      </w:tblPr>
      <w:tblGrid>
        <w:gridCol w:w="1288"/>
        <w:gridCol w:w="1288"/>
        <w:gridCol w:w="1288"/>
        <w:gridCol w:w="1288"/>
        <w:gridCol w:w="1288"/>
        <w:gridCol w:w="1288"/>
        <w:gridCol w:w="1288"/>
      </w:tblGrid>
      <w:tr>
        <w:trPr>
          <w:trHeight w:hRule="exact" w:val="370"/>
        </w:trPr>
        <w:tc>
          <w:tcPr>
            <w:tcW w:type="dxa" w:w="920"/>
            <w:tcBorders/>
            <w:tcMar>
              <w:start w:w="0" w:type="dxa"/>
              <w:end w:w="0" w:type="dxa"/>
            </w:tcMar>
          </w:tcPr>
          <w:p>
            <w:pPr>
              <w:autoSpaceDN w:val="0"/>
              <w:autoSpaceDE w:val="0"/>
              <w:widowControl/>
              <w:spacing w:line="220" w:lineRule="exact" w:before="0" w:after="0"/>
              <w:ind w:left="198" w:right="0" w:firstLine="0"/>
              <w:jc w:val="left"/>
            </w:pPr>
            <w:r>
              <w:rPr>
                <w:rFonts w:ascii="黑体" w:hAnsi="黑体" w:eastAsia="黑体"/>
                <w:b w:val="0"/>
                <w:i w:val="0"/>
                <w:color w:val="000000"/>
                <w:sz w:val="22"/>
              </w:rPr>
              <w:t>十、</w:t>
            </w:r>
          </w:p>
        </w:tc>
        <w:tc>
          <w:tcPr>
            <w:tcW w:type="dxa" w:w="4240"/>
            <w:gridSpan w:val="3"/>
            <w:tcBorders/>
            <w:tcMar>
              <w:start w:w="0" w:type="dxa"/>
              <w:end w:w="0" w:type="dxa"/>
            </w:tcMar>
            <w:tcMar>
              <w:start w:w="0" w:type="dxa"/>
              <w:end w:w="0" w:type="dxa"/>
            </w:tcMar>
            <w:tcMar>
              <w:start w:w="0" w:type="dxa"/>
              <w:end w:w="0" w:type="dxa"/>
            </w:tcMar>
          </w:tcPr>
          <w:p>
            <w:pPr>
              <w:autoSpaceDN w:val="0"/>
              <w:autoSpaceDE w:val="0"/>
              <w:widowControl/>
              <w:spacing w:line="220" w:lineRule="exact" w:before="0" w:after="0"/>
              <w:ind w:left="6" w:right="0" w:firstLine="0"/>
              <w:jc w:val="left"/>
            </w:pPr>
            <w:r>
              <w:rPr>
                <w:rFonts w:ascii="黑体" w:hAnsi="黑体" w:eastAsia="黑体"/>
                <w:b w:val="0"/>
                <w:i w:val="0"/>
                <w:color w:val="000000"/>
                <w:sz w:val="22"/>
              </w:rPr>
              <w:t>关联方及关联交易</w:t>
            </w:r>
          </w:p>
        </w:tc>
        <w:tc>
          <w:tcPr>
            <w:tcW w:type="dxa" w:w="1040"/>
            <w:vMerge w:val="restart"/>
            <w:tcBorders/>
            <w:tcMar>
              <w:start w:w="0" w:type="dxa"/>
              <w:end w:w="0" w:type="dxa"/>
            </w:tcMar>
            <w:tcMar>
              <w:start w:w="0" w:type="dxa"/>
              <w:end w:w="0" w:type="dxa"/>
            </w:tcMar>
          </w:tcPr>
          <w:p>
            <w:pPr>
              <w:autoSpaceDN w:val="0"/>
              <w:autoSpaceDE w:val="0"/>
              <w:widowControl/>
              <w:spacing w:line="180" w:lineRule="exact" w:before="1074" w:after="0"/>
              <w:ind w:left="0" w:right="52" w:firstLine="0"/>
              <w:jc w:val="right"/>
            </w:pPr>
            <w:r>
              <w:rPr>
                <w:rFonts w:ascii="黑体" w:hAnsi="黑体" w:eastAsia="黑体"/>
                <w:b w:val="0"/>
                <w:i w:val="0"/>
                <w:color w:val="000000"/>
                <w:sz w:val="18"/>
              </w:rPr>
              <w:t>母公司</w:t>
            </w:r>
          </w:p>
        </w:tc>
        <w:tc>
          <w:tcPr>
            <w:tcW w:type="dxa" w:w="1100"/>
            <w:vMerge w:val="restart"/>
            <w:tcBorders/>
            <w:tcMar>
              <w:start w:w="0" w:type="dxa"/>
              <w:end w:w="0" w:type="dxa"/>
            </w:tcMar>
            <w:tcMar>
              <w:start w:w="0" w:type="dxa"/>
              <w:end w:w="0" w:type="dxa"/>
            </w:tcMar>
          </w:tcPr>
          <w:p>
            <w:pPr>
              <w:autoSpaceDN w:val="0"/>
              <w:autoSpaceDE w:val="0"/>
              <w:widowControl/>
              <w:spacing w:line="180" w:lineRule="exact" w:before="1074" w:after="0"/>
              <w:ind w:left="0" w:right="132" w:firstLine="0"/>
              <w:jc w:val="right"/>
            </w:pPr>
            <w:r>
              <w:rPr>
                <w:rFonts w:ascii="黑体" w:hAnsi="黑体" w:eastAsia="黑体"/>
                <w:b w:val="0"/>
                <w:i w:val="0"/>
                <w:color w:val="000000"/>
                <w:sz w:val="18"/>
              </w:rPr>
              <w:t>母公司</w:t>
            </w:r>
          </w:p>
        </w:tc>
        <w:tc>
          <w:tcPr>
            <w:tcW w:type="dxa" w:w="1380"/>
            <w:vMerge w:val="restart"/>
            <w:tcBorders/>
            <w:tcMar>
              <w:start w:w="0" w:type="dxa"/>
              <w:end w:w="0" w:type="dxa"/>
            </w:tcMar>
            <w:tcMar>
              <w:start w:w="0" w:type="dxa"/>
              <w:end w:w="0" w:type="dxa"/>
            </w:tcMar>
            <w:tcMar>
              <w:start w:w="0" w:type="dxa"/>
              <w:end w:w="0" w:type="dxa"/>
            </w:tcMar>
          </w:tcPr>
          <w:p>
            <w:pPr>
              <w:autoSpaceDN w:val="0"/>
              <w:autoSpaceDE w:val="0"/>
              <w:widowControl/>
              <w:spacing w:line="180" w:lineRule="exact" w:before="1306" w:after="0"/>
              <w:ind w:left="0" w:right="150" w:firstLine="0"/>
              <w:jc w:val="right"/>
            </w:pPr>
            <w:r>
              <w:rPr>
                <w:rFonts w:ascii="黑体" w:hAnsi="黑体" w:eastAsia="黑体"/>
                <w:b w:val="0"/>
                <w:i w:val="0"/>
                <w:color w:val="000000"/>
                <w:sz w:val="18"/>
              </w:rPr>
              <w:t>本公司</w:t>
            </w:r>
          </w:p>
        </w:tc>
      </w:tr>
      <w:tr>
        <w:trPr>
          <w:trHeight w:hRule="exact" w:val="910"/>
        </w:trPr>
        <w:tc>
          <w:tcPr>
            <w:tcW w:type="dxa" w:w="920"/>
            <w:vMerge w:val="restart"/>
            <w:tcBorders/>
            <w:tcMar>
              <w:start w:w="0" w:type="dxa"/>
              <w:end w:w="0" w:type="dxa"/>
            </w:tcMar>
            <w:tcMar>
              <w:start w:w="0" w:type="dxa"/>
              <w:end w:w="0" w:type="dxa"/>
            </w:tcMar>
          </w:tcPr>
          <w:p>
            <w:pPr>
              <w:autoSpaceDN w:val="0"/>
              <w:autoSpaceDE w:val="0"/>
              <w:widowControl/>
              <w:spacing w:line="246" w:lineRule="exact" w:before="160" w:after="0"/>
              <w:ind w:left="198" w:right="0" w:firstLine="0"/>
              <w:jc w:val="left"/>
            </w:pPr>
            <w:r>
              <w:rPr>
                <w:rFonts w:ascii="Arial,Bold" w:hAnsi="Arial,Bold" w:eastAsia="Arial,Bold"/>
                <w:b/>
                <w:i w:val="0"/>
                <w:color w:val="000000"/>
                <w:sz w:val="22"/>
              </w:rPr>
              <w:t xml:space="preserve">1. </w:t>
            </w:r>
          </w:p>
        </w:tc>
        <w:tc>
          <w:tcPr>
            <w:tcW w:type="dxa" w:w="4240"/>
            <w:gridSpan w:val="3"/>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170" w:after="0"/>
              <w:ind w:left="6" w:right="0" w:firstLine="0"/>
              <w:jc w:val="left"/>
            </w:pPr>
            <w:r>
              <w:rPr>
                <w:rFonts w:ascii="黑体" w:hAnsi="黑体" w:eastAsia="黑体"/>
                <w:b w:val="0"/>
                <w:i w:val="0"/>
                <w:color w:val="000000"/>
                <w:sz w:val="22"/>
              </w:rPr>
              <w:t>本公司的母公司情况</w:t>
            </w:r>
          </w:p>
        </w:tc>
        <w:tc>
          <w:tcPr>
            <w:tcW w:type="dxa" w:w="1288"/>
            <w:vMerge/>
            <w:tcBorders/>
          </w:tcPr>
          <w:p/>
        </w:tc>
        <w:tc>
          <w:tcPr>
            <w:tcW w:type="dxa" w:w="1288"/>
            <w:vMerge/>
            <w:tcBorders/>
          </w:tcPr>
          <w:p/>
        </w:tc>
        <w:tc>
          <w:tcPr>
            <w:tcW w:type="dxa" w:w="1288"/>
            <w:vMerge/>
            <w:tcBorders/>
          </w:tcPr>
          <w:p/>
        </w:tc>
      </w:tr>
      <w:tr>
        <w:trPr>
          <w:trHeight w:hRule="exact" w:val="230"/>
        </w:trPr>
        <w:tc>
          <w:tcPr>
            <w:tcW w:type="dxa" w:w="1288"/>
            <w:vMerge/>
            <w:tcBorders/>
          </w:tcPr>
          <w:p/>
        </w:tc>
        <w:tc>
          <w:tcPr>
            <w:tcW w:type="dxa" w:w="3864"/>
            <w:gridSpan w:val="3"/>
            <w:vMerge/>
            <w:tcBorders/>
          </w:tcPr>
          <w:p/>
        </w:tc>
        <w:tc>
          <w:tcPr>
            <w:tcW w:type="dxa" w:w="104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对本公司的</w:t>
            </w:r>
          </w:p>
        </w:tc>
        <w:tc>
          <w:tcPr>
            <w:tcW w:type="dxa" w:w="110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对本公司的</w:t>
            </w:r>
          </w:p>
        </w:tc>
        <w:tc>
          <w:tcPr>
            <w:tcW w:type="dxa" w:w="1288"/>
            <w:vMerge/>
            <w:tcBorders/>
          </w:tcPr>
          <w:p/>
        </w:tc>
      </w:tr>
      <w:tr>
        <w:trPr>
          <w:trHeight w:hRule="exact" w:val="320"/>
        </w:trPr>
        <w:tc>
          <w:tcPr>
            <w:tcW w:type="dxa" w:w="920"/>
            <w:tcBorders/>
            <w:tcMar>
              <w:start w:w="0" w:type="dxa"/>
              <w:end w:w="0" w:type="dxa"/>
            </w:tcMar>
          </w:tcPr>
          <w:p>
            <w:pPr>
              <w:autoSpaceDN w:val="0"/>
              <w:autoSpaceDE w:val="0"/>
              <w:widowControl/>
              <w:spacing w:line="180" w:lineRule="exact" w:before="30" w:after="0"/>
              <w:ind w:left="198" w:right="0" w:firstLine="0"/>
              <w:jc w:val="left"/>
            </w:pPr>
            <w:r>
              <w:rPr>
                <w:rFonts w:ascii="黑体" w:hAnsi="黑体" w:eastAsia="黑体"/>
                <w:b w:val="0"/>
                <w:i w:val="0"/>
                <w:color w:val="000000"/>
                <w:sz w:val="18"/>
              </w:rPr>
              <w:t>公司名称</w:t>
            </w:r>
          </w:p>
        </w:tc>
        <w:tc>
          <w:tcPr>
            <w:tcW w:type="dxa" w:w="1480"/>
            <w:tcBorders/>
            <w:tcMar>
              <w:start w:w="0" w:type="dxa"/>
              <w:end w:w="0" w:type="dxa"/>
            </w:tcMar>
          </w:tcPr>
          <w:p>
            <w:pPr>
              <w:autoSpaceDN w:val="0"/>
              <w:autoSpaceDE w:val="0"/>
              <w:widowControl/>
              <w:spacing w:line="180" w:lineRule="exact" w:before="30" w:after="0"/>
              <w:ind w:left="0" w:right="190" w:firstLine="0"/>
              <w:jc w:val="right"/>
            </w:pPr>
            <w:r>
              <w:rPr>
                <w:rFonts w:ascii="黑体" w:hAnsi="黑体" w:eastAsia="黑体"/>
                <w:b w:val="0"/>
                <w:i w:val="0"/>
                <w:color w:val="000000"/>
                <w:sz w:val="18"/>
              </w:rPr>
              <w:t>注册地</w:t>
            </w:r>
          </w:p>
        </w:tc>
        <w:tc>
          <w:tcPr>
            <w:tcW w:type="dxa" w:w="1440"/>
            <w:tcBorders/>
            <w:tcMar>
              <w:start w:w="0" w:type="dxa"/>
              <w:end w:w="0" w:type="dxa"/>
            </w:tcMar>
          </w:tcPr>
          <w:p>
            <w:pPr>
              <w:autoSpaceDN w:val="0"/>
              <w:autoSpaceDE w:val="0"/>
              <w:widowControl/>
              <w:spacing w:line="180" w:lineRule="exact" w:before="30" w:after="0"/>
              <w:ind w:left="194" w:right="0" w:firstLine="0"/>
              <w:jc w:val="left"/>
            </w:pPr>
            <w:r>
              <w:rPr>
                <w:rFonts w:ascii="黑体" w:hAnsi="黑体" w:eastAsia="黑体"/>
                <w:b w:val="0"/>
                <w:i w:val="0"/>
                <w:color w:val="000000"/>
                <w:sz w:val="18"/>
              </w:rPr>
              <w:t>业务性质</w:t>
            </w:r>
          </w:p>
        </w:tc>
        <w:tc>
          <w:tcPr>
            <w:tcW w:type="dxa" w:w="1320"/>
            <w:tcBorders/>
            <w:tcMar>
              <w:start w:w="0" w:type="dxa"/>
              <w:end w:w="0" w:type="dxa"/>
            </w:tcMar>
          </w:tcPr>
          <w:p>
            <w:pPr>
              <w:autoSpaceDN w:val="0"/>
              <w:autoSpaceDE w:val="0"/>
              <w:widowControl/>
              <w:spacing w:line="180" w:lineRule="exact" w:before="30" w:after="0"/>
              <w:ind w:left="0" w:right="60" w:firstLine="0"/>
              <w:jc w:val="right"/>
            </w:pPr>
            <w:r>
              <w:rPr>
                <w:rFonts w:ascii="黑体" w:hAnsi="黑体" w:eastAsia="黑体"/>
                <w:b w:val="0"/>
                <w:i w:val="0"/>
                <w:color w:val="000000"/>
                <w:sz w:val="18"/>
              </w:rPr>
              <w:t>注册资本</w:t>
            </w:r>
          </w:p>
        </w:tc>
        <w:tc>
          <w:tcPr>
            <w:tcW w:type="dxa" w:w="1040"/>
            <w:tcBorders/>
            <w:tcMar>
              <w:start w:w="0" w:type="dxa"/>
              <w:end w:w="0" w:type="dxa"/>
            </w:tcMar>
          </w:tcPr>
          <w:p>
            <w:pPr>
              <w:autoSpaceDN w:val="0"/>
              <w:autoSpaceDE w:val="0"/>
              <w:widowControl/>
              <w:spacing w:line="180" w:lineRule="exact" w:before="30" w:after="0"/>
              <w:ind w:left="0" w:right="52" w:firstLine="0"/>
              <w:jc w:val="right"/>
            </w:pPr>
            <w:r>
              <w:rPr>
                <w:rFonts w:ascii="黑体" w:hAnsi="黑体" w:eastAsia="黑体"/>
                <w:b w:val="0"/>
                <w:i w:val="0"/>
                <w:color w:val="000000"/>
                <w:sz w:val="18"/>
              </w:rPr>
              <w:t>持股比例</w:t>
            </w:r>
          </w:p>
        </w:tc>
        <w:tc>
          <w:tcPr>
            <w:tcW w:type="dxa" w:w="1100"/>
            <w:tcBorders/>
            <w:tcMar>
              <w:start w:w="0" w:type="dxa"/>
              <w:end w:w="0" w:type="dxa"/>
            </w:tcMar>
          </w:tcPr>
          <w:p>
            <w:pPr>
              <w:autoSpaceDN w:val="0"/>
              <w:autoSpaceDE w:val="0"/>
              <w:widowControl/>
              <w:spacing w:line="180" w:lineRule="exact" w:before="30" w:after="0"/>
              <w:ind w:left="0" w:right="0" w:firstLine="0"/>
              <w:jc w:val="center"/>
            </w:pPr>
            <w:r>
              <w:rPr>
                <w:rFonts w:ascii="黑体" w:hAnsi="黑体" w:eastAsia="黑体"/>
                <w:b w:val="0"/>
                <w:i w:val="0"/>
                <w:color w:val="000000"/>
                <w:sz w:val="18"/>
              </w:rPr>
              <w:t>表决权比例</w:t>
            </w:r>
          </w:p>
        </w:tc>
        <w:tc>
          <w:tcPr>
            <w:tcW w:type="dxa" w:w="1380"/>
            <w:tcBorders/>
            <w:tcMar>
              <w:start w:w="0" w:type="dxa"/>
              <w:end w:w="0" w:type="dxa"/>
            </w:tcMar>
          </w:tcPr>
          <w:p>
            <w:pPr>
              <w:autoSpaceDN w:val="0"/>
              <w:autoSpaceDE w:val="0"/>
              <w:widowControl/>
              <w:spacing w:line="180" w:lineRule="exact" w:before="30" w:after="0"/>
              <w:ind w:left="330" w:right="0" w:firstLine="0"/>
              <w:jc w:val="left"/>
            </w:pPr>
            <w:r>
              <w:rPr>
                <w:rFonts w:ascii="黑体" w:hAnsi="黑体" w:eastAsia="黑体"/>
                <w:b w:val="0"/>
                <w:i w:val="0"/>
                <w:color w:val="000000"/>
                <w:sz w:val="18"/>
              </w:rPr>
              <w:t>最终控制方</w:t>
            </w:r>
          </w:p>
        </w:tc>
      </w:tr>
      <w:tr>
        <w:trPr>
          <w:trHeight w:hRule="exact" w:val="418"/>
        </w:trPr>
        <w:tc>
          <w:tcPr>
            <w:tcW w:type="dxa" w:w="920"/>
            <w:tcBorders/>
            <w:tcMar>
              <w:start w:w="0" w:type="dxa"/>
              <w:end w:w="0" w:type="dxa"/>
            </w:tcMar>
          </w:tcPr>
          <w:p>
            <w:pPr>
              <w:autoSpaceDN w:val="0"/>
              <w:autoSpaceDE w:val="0"/>
              <w:widowControl/>
              <w:spacing w:line="180" w:lineRule="exact" w:before="152" w:after="0"/>
              <w:ind w:left="198" w:right="0" w:firstLine="0"/>
              <w:jc w:val="left"/>
            </w:pPr>
            <w:r>
              <w:rPr>
                <w:rFonts w:ascii="黑体" w:hAnsi="黑体" w:eastAsia="黑体"/>
                <w:b w:val="0"/>
                <w:i w:val="0"/>
                <w:color w:val="000000"/>
                <w:sz w:val="18"/>
              </w:rPr>
              <w:t>山西金控</w:t>
            </w:r>
          </w:p>
        </w:tc>
        <w:tc>
          <w:tcPr>
            <w:tcW w:type="dxa" w:w="1480"/>
            <w:tcBorders/>
            <w:tcMar>
              <w:start w:w="0" w:type="dxa"/>
              <w:end w:w="0" w:type="dxa"/>
            </w:tcMar>
          </w:tcPr>
          <w:p>
            <w:pPr>
              <w:autoSpaceDN w:val="0"/>
              <w:autoSpaceDE w:val="0"/>
              <w:widowControl/>
              <w:spacing w:line="180" w:lineRule="exact" w:before="152" w:after="0"/>
              <w:ind w:left="0" w:right="190" w:firstLine="0"/>
              <w:jc w:val="right"/>
            </w:pPr>
            <w:r>
              <w:rPr>
                <w:rFonts w:ascii="黑体" w:hAnsi="黑体" w:eastAsia="黑体"/>
                <w:b w:val="0"/>
                <w:i w:val="0"/>
                <w:color w:val="000000"/>
                <w:sz w:val="18"/>
              </w:rPr>
              <w:t>山西省</w:t>
            </w:r>
          </w:p>
        </w:tc>
        <w:tc>
          <w:tcPr>
            <w:tcW w:type="dxa" w:w="2760"/>
            <w:gridSpan w:val="2"/>
            <w:tcBorders/>
            <w:tcMar>
              <w:start w:w="0" w:type="dxa"/>
              <w:end w:w="0" w:type="dxa"/>
            </w:tcMar>
            <w:tcMar>
              <w:start w:w="0" w:type="dxa"/>
              <w:end w:w="0" w:type="dxa"/>
            </w:tcMar>
          </w:tcPr>
          <w:p>
            <w:pPr>
              <w:autoSpaceDN w:val="0"/>
              <w:autoSpaceDE w:val="0"/>
              <w:widowControl/>
              <w:spacing w:line="200" w:lineRule="exact" w:before="144" w:after="0"/>
              <w:ind w:left="194" w:right="0" w:firstLine="0"/>
              <w:jc w:val="left"/>
            </w:pPr>
            <w:r>
              <w:rPr>
                <w:rFonts w:ascii="黑体" w:hAnsi="黑体" w:eastAsia="黑体"/>
                <w:b w:val="0"/>
                <w:i w:val="0"/>
                <w:color w:val="000000"/>
                <w:sz w:val="18"/>
              </w:rPr>
              <w:t>投资管理人民币</w:t>
            </w:r>
            <w:r>
              <w:rPr>
                <w:rFonts w:ascii="Arial" w:hAnsi="Arial" w:eastAsia="Arial"/>
                <w:b w:val="0"/>
                <w:i w:val="0"/>
                <w:color w:val="000000"/>
                <w:sz w:val="18"/>
              </w:rPr>
              <w:t>1,064,670</w:t>
            </w:r>
            <w:r>
              <w:rPr>
                <w:rFonts w:ascii="黑体" w:hAnsi="黑体" w:eastAsia="黑体"/>
                <w:b w:val="0"/>
                <w:i w:val="0"/>
                <w:color w:val="000000"/>
                <w:sz w:val="18"/>
              </w:rPr>
              <w:t>万元</w:t>
            </w:r>
          </w:p>
        </w:tc>
        <w:tc>
          <w:tcPr>
            <w:tcW w:type="dxa" w:w="1040"/>
            <w:tcBorders/>
            <w:tcMar>
              <w:start w:w="0" w:type="dxa"/>
              <w:end w:w="0" w:type="dxa"/>
            </w:tcMar>
          </w:tcPr>
          <w:p>
            <w:pPr>
              <w:autoSpaceDN w:val="0"/>
              <w:autoSpaceDE w:val="0"/>
              <w:widowControl/>
              <w:spacing w:line="233" w:lineRule="auto" w:before="158" w:after="0"/>
              <w:ind w:left="0" w:right="50" w:firstLine="0"/>
              <w:jc w:val="right"/>
            </w:pPr>
            <w:r>
              <w:rPr>
                <w:rFonts w:ascii="Arial" w:hAnsi="Arial" w:eastAsia="Arial"/>
                <w:b w:val="0"/>
                <w:i w:val="0"/>
                <w:color w:val="000000"/>
                <w:sz w:val="18"/>
              </w:rPr>
              <w:t>31.77%</w:t>
            </w:r>
          </w:p>
        </w:tc>
        <w:tc>
          <w:tcPr>
            <w:tcW w:type="dxa" w:w="1100"/>
            <w:tcBorders/>
            <w:tcMar>
              <w:start w:w="0" w:type="dxa"/>
              <w:end w:w="0" w:type="dxa"/>
            </w:tcMar>
          </w:tcPr>
          <w:p>
            <w:pPr>
              <w:autoSpaceDN w:val="0"/>
              <w:autoSpaceDE w:val="0"/>
              <w:widowControl/>
              <w:spacing w:line="233" w:lineRule="auto" w:before="158" w:after="0"/>
              <w:ind w:left="0" w:right="130" w:firstLine="0"/>
              <w:jc w:val="right"/>
            </w:pPr>
            <w:r>
              <w:rPr>
                <w:rFonts w:ascii="Arial" w:hAnsi="Arial" w:eastAsia="Arial"/>
                <w:b w:val="0"/>
                <w:i w:val="0"/>
                <w:color w:val="000000"/>
                <w:sz w:val="18"/>
              </w:rPr>
              <w:t>31.77%</w:t>
            </w:r>
          </w:p>
        </w:tc>
        <w:tc>
          <w:tcPr>
            <w:tcW w:type="dxa" w:w="1380"/>
            <w:tcBorders/>
            <w:tcMar>
              <w:start w:w="0" w:type="dxa"/>
              <w:end w:w="0" w:type="dxa"/>
            </w:tcMar>
          </w:tcPr>
          <w:p>
            <w:pPr>
              <w:autoSpaceDN w:val="0"/>
              <w:autoSpaceDE w:val="0"/>
              <w:widowControl/>
              <w:spacing w:line="180" w:lineRule="exact" w:before="152" w:after="0"/>
              <w:ind w:left="0" w:right="0" w:firstLine="0"/>
              <w:jc w:val="center"/>
            </w:pPr>
            <w:r>
              <w:rPr>
                <w:rFonts w:ascii="黑体" w:hAnsi="黑体" w:eastAsia="黑体"/>
                <w:b w:val="0"/>
                <w:i w:val="0"/>
                <w:color w:val="000000"/>
                <w:sz w:val="18"/>
              </w:rPr>
              <w:t>山西省财政厅</w:t>
            </w:r>
          </w:p>
        </w:tc>
      </w:tr>
    </w:tbl>
    <w:p>
      <w:pPr>
        <w:autoSpaceDN w:val="0"/>
        <w:autoSpaceDE w:val="0"/>
        <w:widowControl/>
        <w:spacing w:line="222" w:lineRule="exact" w:before="224" w:after="0"/>
        <w:ind w:left="358" w:right="0" w:firstLine="0"/>
        <w:jc w:val="left"/>
      </w:pPr>
      <w:r>
        <w:rPr>
          <w:rFonts w:ascii="黑体" w:hAnsi="黑体" w:eastAsia="黑体"/>
          <w:b w:val="0"/>
          <w:i w:val="0"/>
          <w:color w:val="000000"/>
          <w:sz w:val="22"/>
        </w:rPr>
        <w:t>本公司的母公司的变动情况参见附注一。</w:t>
      </w:r>
    </w:p>
    <w:p>
      <w:pPr>
        <w:autoSpaceDN w:val="0"/>
        <w:autoSpaceDE w:val="0"/>
        <w:widowControl/>
        <w:spacing w:line="286" w:lineRule="exact" w:before="266" w:after="0"/>
        <w:ind w:left="358" w:right="288"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日，山西金控持有本公司股权比例为</w:t>
      </w:r>
      <w:r>
        <w:rPr>
          <w:rFonts w:ascii="Arial" w:hAnsi="Arial" w:eastAsia="Arial"/>
          <w:b w:val="0"/>
          <w:i w:val="0"/>
          <w:color w:val="000000"/>
          <w:sz w:val="22"/>
        </w:rPr>
        <w:t>31.77%</w:t>
      </w:r>
      <w:r>
        <w:rPr>
          <w:rFonts w:ascii="黑体" w:hAnsi="黑体" w:eastAsia="黑体"/>
          <w:b w:val="0"/>
          <w:i w:val="0"/>
          <w:color w:val="000000"/>
          <w:sz w:val="22"/>
        </w:rPr>
        <w:t>（</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31.77%</w:t>
      </w:r>
      <w:r>
        <w:rPr>
          <w:rFonts w:ascii="黑体" w:hAnsi="黑体" w:eastAsia="黑体"/>
          <w:b w:val="0"/>
          <w:i w:val="0"/>
          <w:color w:val="000000"/>
          <w:sz w:val="22"/>
        </w:rPr>
        <w:t>）。</w:t>
      </w:r>
    </w:p>
    <w:p>
      <w:pPr>
        <w:autoSpaceDN w:val="0"/>
        <w:tabs>
          <w:tab w:pos="1086" w:val="left"/>
        </w:tabs>
        <w:autoSpaceDE w:val="0"/>
        <w:widowControl/>
        <w:spacing w:line="536" w:lineRule="exact" w:before="2" w:after="0"/>
        <w:ind w:left="358" w:right="4896" w:firstLine="0"/>
        <w:jc w:val="left"/>
      </w:pPr>
      <w:r>
        <w:rPr>
          <w:rFonts w:ascii="Arial,Bold" w:hAnsi="Arial,Bold" w:eastAsia="Arial,Bold"/>
          <w:b/>
          <w:i w:val="0"/>
          <w:color w:val="000000"/>
          <w:sz w:val="22"/>
        </w:rPr>
        <w:t xml:space="preserve">2. </w:t>
      </w:r>
      <w:r>
        <w:rPr>
          <w:rFonts w:ascii="黑体" w:hAnsi="黑体" w:eastAsia="黑体"/>
          <w:b w:val="0"/>
          <w:i w:val="0"/>
          <w:color w:val="000000"/>
          <w:sz w:val="22"/>
        </w:rPr>
        <w:t>本公司的子公司情况</w:t>
      </w:r>
      <w:r>
        <w:br/>
      </w:r>
      <w:r>
        <w:rPr>
          <w:rFonts w:ascii="黑体" w:hAnsi="黑体" w:eastAsia="黑体"/>
          <w:b w:val="0"/>
          <w:i w:val="0"/>
          <w:color w:val="000000"/>
          <w:sz w:val="22"/>
        </w:rPr>
        <w:t>本公司子公司的情况参见附注七、</w:t>
      </w:r>
      <w:r>
        <w:rPr>
          <w:rFonts w:ascii="Arial" w:hAnsi="Arial" w:eastAsia="Arial"/>
          <w:b w:val="0"/>
          <w:i w:val="0"/>
          <w:color w:val="000000"/>
          <w:sz w:val="22"/>
        </w:rPr>
        <w:t>1</w:t>
      </w:r>
      <w:r>
        <w:rPr>
          <w:rFonts w:ascii="黑体" w:hAnsi="黑体" w:eastAsia="黑体"/>
          <w:b w:val="0"/>
          <w:i w:val="0"/>
          <w:color w:val="000000"/>
          <w:sz w:val="22"/>
        </w:rPr>
        <w:t>。</w:t>
      </w:r>
    </w:p>
    <w:p>
      <w:pPr>
        <w:autoSpaceDN w:val="0"/>
        <w:tabs>
          <w:tab w:pos="1086" w:val="left"/>
        </w:tabs>
        <w:autoSpaceDE w:val="0"/>
        <w:widowControl/>
        <w:spacing w:line="538" w:lineRule="exact" w:before="2" w:after="230"/>
        <w:ind w:left="358" w:right="432" w:firstLine="0"/>
        <w:jc w:val="left"/>
      </w:pPr>
      <w:r>
        <w:rPr>
          <w:rFonts w:ascii="Arial,Bold" w:hAnsi="Arial,Bold" w:eastAsia="Arial,Bold"/>
          <w:b/>
          <w:i w:val="0"/>
          <w:color w:val="000000"/>
          <w:sz w:val="22"/>
        </w:rPr>
        <w:t xml:space="preserve">3. </w:t>
      </w:r>
      <w:r>
        <w:rPr>
          <w:rFonts w:ascii="黑体" w:hAnsi="黑体" w:eastAsia="黑体"/>
          <w:b w:val="0"/>
          <w:i w:val="0"/>
          <w:color w:val="000000"/>
          <w:sz w:val="22"/>
        </w:rPr>
        <w:t>持有本公司</w:t>
      </w:r>
      <w:r>
        <w:rPr>
          <w:rFonts w:ascii="Arial,Bold" w:hAnsi="Arial,Bold" w:eastAsia="Arial,Bold"/>
          <w:b/>
          <w:i w:val="0"/>
          <w:color w:val="000000"/>
          <w:sz w:val="22"/>
        </w:rPr>
        <w:t>5%</w:t>
      </w:r>
      <w:r>
        <w:rPr>
          <w:rFonts w:ascii="黑体" w:hAnsi="黑体" w:eastAsia="黑体"/>
          <w:b w:val="0"/>
          <w:i w:val="0"/>
          <w:color w:val="000000"/>
          <w:sz w:val="22"/>
        </w:rPr>
        <w:t>以上（含</w:t>
      </w:r>
      <w:r>
        <w:rPr>
          <w:rFonts w:ascii="Arial,Bold" w:hAnsi="Arial,Bold" w:eastAsia="Arial,Bold"/>
          <w:b/>
          <w:i w:val="0"/>
          <w:color w:val="000000"/>
          <w:sz w:val="22"/>
        </w:rPr>
        <w:t>5%</w:t>
      </w:r>
      <w:r>
        <w:rPr>
          <w:rFonts w:ascii="黑体" w:hAnsi="黑体" w:eastAsia="黑体"/>
          <w:b w:val="0"/>
          <w:i w:val="0"/>
          <w:color w:val="000000"/>
          <w:sz w:val="22"/>
        </w:rPr>
        <w:t>）股份的其他股东</w:t>
      </w:r>
      <w:r>
        <w:br/>
      </w:r>
      <w:r>
        <w:rPr>
          <w:rFonts w:ascii="黑体" w:hAnsi="黑体" w:eastAsia="黑体"/>
          <w:b w:val="0"/>
          <w:i w:val="0"/>
          <w:color w:val="000000"/>
          <w:sz w:val="22"/>
        </w:rPr>
        <w:t>作为关联方的持本公司</w:t>
      </w:r>
      <w:r>
        <w:rPr>
          <w:rFonts w:ascii="Arial" w:hAnsi="Arial" w:eastAsia="Arial"/>
          <w:b w:val="0"/>
          <w:i w:val="0"/>
          <w:color w:val="000000"/>
          <w:sz w:val="22"/>
        </w:rPr>
        <w:t>5%</w:t>
      </w:r>
      <w:r>
        <w:rPr>
          <w:rFonts w:ascii="黑体" w:hAnsi="黑体" w:eastAsia="黑体"/>
          <w:b w:val="0"/>
          <w:i w:val="0"/>
          <w:color w:val="000000"/>
          <w:sz w:val="22"/>
        </w:rPr>
        <w:t>以上（含</w:t>
      </w:r>
      <w:r>
        <w:rPr>
          <w:rFonts w:ascii="Arial" w:hAnsi="Arial" w:eastAsia="Arial"/>
          <w:b w:val="0"/>
          <w:i w:val="0"/>
          <w:color w:val="000000"/>
          <w:sz w:val="22"/>
        </w:rPr>
        <w:t>5%</w:t>
      </w:r>
      <w:r>
        <w:rPr>
          <w:rFonts w:ascii="黑体" w:hAnsi="黑体" w:eastAsia="黑体"/>
          <w:b w:val="0"/>
          <w:i w:val="0"/>
          <w:color w:val="000000"/>
          <w:sz w:val="22"/>
        </w:rPr>
        <w:t>）股份的其他股东名称及持股情况列示如下：</w:t>
      </w:r>
    </w:p>
    <w:tbl>
      <w:tblPr>
        <w:tblW w:type="auto" w:w="0"/>
        <w:tblLayout w:type="fixed"/>
        <w:tblLook w:firstColumn="1" w:firstRow="1" w:lastColumn="0" w:lastRow="0" w:noHBand="0" w:noVBand="1" w:val="04A0"/>
        <w:tblInd w:w="3022.0" w:type="dxa"/>
      </w:tblPr>
      <w:tblGrid>
        <w:gridCol w:w="2255"/>
        <w:gridCol w:w="2255"/>
        <w:gridCol w:w="2255"/>
        <w:gridCol w:w="2255"/>
      </w:tblGrid>
      <w:tr>
        <w:trPr>
          <w:trHeight w:hRule="exact" w:val="280"/>
        </w:trPr>
        <w:tc>
          <w:tcPr>
            <w:tcW w:type="dxa" w:w="2722"/>
            <w:gridSpan w:val="2"/>
            <w:tcBorders>
              <w:bottom w:sz="4.0" w:val="single" w:color="#000000"/>
            </w:tcBorders>
            <w:tcMar>
              <w:start w:w="0" w:type="dxa"/>
              <w:end w:w="0" w:type="dxa"/>
            </w:tcMar>
            <w:tcMar>
              <w:start w:w="0" w:type="dxa"/>
              <w:end w:w="0" w:type="dxa"/>
            </w:tcMar>
          </w:tcPr>
          <w:p>
            <w:pPr>
              <w:autoSpaceDN w:val="0"/>
              <w:autoSpaceDE w:val="0"/>
              <w:widowControl/>
              <w:spacing w:line="202" w:lineRule="exact" w:before="60" w:after="0"/>
              <w:ind w:left="0" w:right="0" w:firstLine="0"/>
              <w:jc w:val="center"/>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2948"/>
            <w:gridSpan w:val="2"/>
            <w:tcBorders>
              <w:bottom w:sz="4.0" w:val="single" w:color="#000000"/>
            </w:tcBorders>
            <w:tcMar>
              <w:start w:w="0" w:type="dxa"/>
              <w:end w:w="0" w:type="dxa"/>
            </w:tcMar>
            <w:tcMar>
              <w:start w:w="0" w:type="dxa"/>
              <w:end w:w="0" w:type="dxa"/>
            </w:tcMar>
          </w:tcPr>
          <w:p>
            <w:pPr>
              <w:autoSpaceDN w:val="0"/>
              <w:autoSpaceDE w:val="0"/>
              <w:widowControl/>
              <w:spacing w:line="202" w:lineRule="exact" w:before="60" w:after="0"/>
              <w:ind w:left="0" w:right="690" w:firstLine="0"/>
              <w:jc w:val="righ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r>
      <w:tr>
        <w:trPr>
          <w:trHeight w:hRule="exact" w:val="274"/>
        </w:trPr>
        <w:tc>
          <w:tcPr>
            <w:tcW w:type="dxa" w:w="1190"/>
            <w:tcBorders>
              <w:top w:sz="4.0" w:val="single" w:color="#000000"/>
            </w:tcBorders>
            <w:tcMar>
              <w:start w:w="0" w:type="dxa"/>
              <w:end w:w="0" w:type="dxa"/>
            </w:tcMar>
          </w:tcPr>
          <w:p>
            <w:pPr>
              <w:autoSpaceDN w:val="0"/>
              <w:autoSpaceDE w:val="0"/>
              <w:widowControl/>
              <w:spacing w:line="180" w:lineRule="exact" w:before="30" w:after="0"/>
              <w:ind w:left="0" w:right="0" w:firstLine="0"/>
              <w:jc w:val="right"/>
            </w:pPr>
            <w:r>
              <w:rPr>
                <w:rFonts w:ascii="黑体" w:hAnsi="黑体" w:eastAsia="黑体"/>
                <w:b w:val="0"/>
                <w:i w:val="0"/>
                <w:color w:val="000000"/>
                <w:sz w:val="18"/>
              </w:rPr>
              <w:t>股份</w:t>
            </w:r>
          </w:p>
        </w:tc>
        <w:tc>
          <w:tcPr>
            <w:tcW w:type="dxa" w:w="1532"/>
            <w:tcBorders>
              <w:top w:sz="4.0" w:val="single" w:color="#000000"/>
            </w:tcBorders>
            <w:tcMar>
              <w:start w:w="0" w:type="dxa"/>
              <w:end w:w="0" w:type="dxa"/>
            </w:tcMar>
          </w:tcPr>
          <w:p>
            <w:pPr>
              <w:autoSpaceDN w:val="0"/>
              <w:autoSpaceDE w:val="0"/>
              <w:widowControl/>
              <w:spacing w:line="180" w:lineRule="exact" w:before="30" w:after="0"/>
              <w:ind w:left="0" w:right="2" w:firstLine="0"/>
              <w:jc w:val="right"/>
            </w:pPr>
            <w:r>
              <w:rPr>
                <w:rFonts w:ascii="黑体" w:hAnsi="黑体" w:eastAsia="黑体"/>
                <w:b w:val="0"/>
                <w:i w:val="0"/>
                <w:color w:val="000000"/>
                <w:sz w:val="18"/>
              </w:rPr>
              <w:t>持股比例</w:t>
            </w:r>
          </w:p>
        </w:tc>
        <w:tc>
          <w:tcPr>
            <w:tcW w:type="dxa" w:w="1530"/>
            <w:tcBorders>
              <w:top w:sz="4.0" w:val="single" w:color="#000000"/>
            </w:tcBorders>
            <w:tcMar>
              <w:start w:w="0" w:type="dxa"/>
              <w:end w:w="0" w:type="dxa"/>
            </w:tcMar>
          </w:tcPr>
          <w:p>
            <w:pPr>
              <w:autoSpaceDN w:val="0"/>
              <w:autoSpaceDE w:val="0"/>
              <w:widowControl/>
              <w:spacing w:line="180" w:lineRule="exact" w:before="30" w:after="0"/>
              <w:ind w:left="0" w:right="112" w:firstLine="0"/>
              <w:jc w:val="right"/>
            </w:pPr>
            <w:r>
              <w:rPr>
                <w:rFonts w:ascii="黑体" w:hAnsi="黑体" w:eastAsia="黑体"/>
                <w:b w:val="0"/>
                <w:i w:val="0"/>
                <w:color w:val="000000"/>
                <w:sz w:val="18"/>
              </w:rPr>
              <w:t>股份</w:t>
            </w:r>
          </w:p>
        </w:tc>
        <w:tc>
          <w:tcPr>
            <w:tcW w:type="dxa" w:w="1418"/>
            <w:tcBorders>
              <w:top w:sz="4.0" w:val="single" w:color="#000000"/>
            </w:tcBorders>
            <w:tcMar>
              <w:start w:w="0" w:type="dxa"/>
              <w:end w:w="0" w:type="dxa"/>
            </w:tcMar>
          </w:tcPr>
          <w:p>
            <w:pPr>
              <w:autoSpaceDN w:val="0"/>
              <w:autoSpaceDE w:val="0"/>
              <w:widowControl/>
              <w:spacing w:line="180" w:lineRule="exact" w:before="30" w:after="0"/>
              <w:ind w:left="0" w:right="2" w:firstLine="0"/>
              <w:jc w:val="right"/>
            </w:pPr>
            <w:r>
              <w:rPr>
                <w:rFonts w:ascii="黑体" w:hAnsi="黑体" w:eastAsia="黑体"/>
                <w:b w:val="0"/>
                <w:i w:val="0"/>
                <w:color w:val="000000"/>
                <w:sz w:val="18"/>
              </w:rPr>
              <w:t>持股比例</w:t>
            </w:r>
          </w:p>
        </w:tc>
      </w:tr>
    </w:tbl>
    <w:p>
      <w:pPr>
        <w:autoSpaceDN w:val="0"/>
        <w:autoSpaceDE w:val="0"/>
        <w:widowControl/>
        <w:spacing w:line="180" w:lineRule="exact" w:before="200" w:after="26"/>
        <w:ind w:left="358" w:right="0" w:firstLine="0"/>
        <w:jc w:val="left"/>
      </w:pPr>
      <w:r>
        <w:rPr>
          <w:rFonts w:ascii="黑体" w:hAnsi="黑体" w:eastAsia="黑体"/>
          <w:b w:val="0"/>
          <w:i w:val="0"/>
          <w:color w:val="000000"/>
          <w:sz w:val="18"/>
        </w:rPr>
        <w:t>太原钢铁（集团）有限公司</w:t>
      </w:r>
    </w:p>
    <w:tbl>
      <w:tblPr>
        <w:tblW w:type="auto" w:w="0"/>
        <w:tblLayout w:type="fixed"/>
        <w:tblLook w:firstColumn="1" w:firstRow="1" w:lastColumn="0" w:lastRow="0" w:noHBand="0" w:noVBand="1" w:val="04A0"/>
        <w:tblInd w:w="260.0" w:type="dxa"/>
      </w:tblPr>
      <w:tblGrid>
        <w:gridCol w:w="1804"/>
        <w:gridCol w:w="1804"/>
        <w:gridCol w:w="1804"/>
        <w:gridCol w:w="1804"/>
        <w:gridCol w:w="1804"/>
      </w:tblGrid>
      <w:tr>
        <w:trPr>
          <w:trHeight w:hRule="exact" w:val="248"/>
        </w:trPr>
        <w:tc>
          <w:tcPr>
            <w:tcW w:type="dxa" w:w="2680"/>
            <w:tcBorders/>
            <w:tcMar>
              <w:start w:w="0" w:type="dxa"/>
              <w:end w:w="0" w:type="dxa"/>
            </w:tcMar>
          </w:tcPr>
          <w:p>
            <w:pPr>
              <w:autoSpaceDN w:val="0"/>
              <w:autoSpaceDE w:val="0"/>
              <w:widowControl/>
              <w:spacing w:line="180" w:lineRule="exact" w:before="26" w:after="0"/>
              <w:ind w:left="0" w:right="0" w:firstLine="0"/>
              <w:jc w:val="center"/>
            </w:pPr>
            <w:r>
              <w:rPr>
                <w:rFonts w:ascii="黑体" w:hAnsi="黑体" w:eastAsia="黑体"/>
                <w:b w:val="0"/>
                <w:i w:val="0"/>
                <w:color w:val="000000"/>
                <w:sz w:val="18"/>
              </w:rPr>
              <w:t>（以下简称“太钢集团”）</w:t>
            </w:r>
          </w:p>
        </w:tc>
        <w:tc>
          <w:tcPr>
            <w:tcW w:type="dxa" w:w="1720"/>
            <w:tcBorders/>
            <w:tcMar>
              <w:start w:w="0" w:type="dxa"/>
              <w:end w:w="0" w:type="dxa"/>
            </w:tcMar>
          </w:tcPr>
          <w:p>
            <w:pPr>
              <w:autoSpaceDN w:val="0"/>
              <w:autoSpaceDE w:val="0"/>
              <w:widowControl/>
              <w:spacing w:line="233" w:lineRule="auto" w:before="32" w:after="0"/>
              <w:ind w:left="272" w:right="0" w:firstLine="0"/>
              <w:jc w:val="left"/>
            </w:pPr>
            <w:r>
              <w:rPr>
                <w:rFonts w:ascii="Arial" w:hAnsi="Arial" w:eastAsia="Arial"/>
                <w:b w:val="0"/>
                <w:i w:val="0"/>
                <w:color w:val="000000"/>
                <w:sz w:val="18"/>
              </w:rPr>
              <w:t>367,268,616</w:t>
            </w:r>
          </w:p>
        </w:tc>
        <w:tc>
          <w:tcPr>
            <w:tcW w:type="dxa" w:w="1300"/>
            <w:tcBorders/>
            <w:tcMar>
              <w:start w:w="0" w:type="dxa"/>
              <w:end w:w="0" w:type="dxa"/>
            </w:tcMar>
          </w:tcPr>
          <w:p>
            <w:pPr>
              <w:autoSpaceDN w:val="0"/>
              <w:autoSpaceDE w:val="0"/>
              <w:widowControl/>
              <w:spacing w:line="233" w:lineRule="auto" w:before="32" w:after="0"/>
              <w:ind w:left="0" w:right="168" w:firstLine="0"/>
              <w:jc w:val="right"/>
            </w:pPr>
            <w:r>
              <w:rPr>
                <w:rFonts w:ascii="Arial" w:hAnsi="Arial" w:eastAsia="Arial"/>
                <w:b w:val="0"/>
                <w:i w:val="0"/>
                <w:color w:val="000000"/>
                <w:sz w:val="18"/>
              </w:rPr>
              <w:t xml:space="preserve">10.23% </w:t>
            </w:r>
          </w:p>
        </w:tc>
        <w:tc>
          <w:tcPr>
            <w:tcW w:type="dxa" w:w="1660"/>
            <w:tcBorders/>
            <w:tcMar>
              <w:start w:w="0" w:type="dxa"/>
              <w:end w:w="0" w:type="dxa"/>
            </w:tcMar>
          </w:tcPr>
          <w:p>
            <w:pPr>
              <w:autoSpaceDN w:val="0"/>
              <w:autoSpaceDE w:val="0"/>
              <w:widowControl/>
              <w:spacing w:line="233" w:lineRule="auto" w:before="32" w:after="0"/>
              <w:ind w:left="200" w:right="0" w:firstLine="0"/>
              <w:jc w:val="left"/>
            </w:pPr>
            <w:r>
              <w:rPr>
                <w:rFonts w:ascii="Arial" w:hAnsi="Arial" w:eastAsia="Arial"/>
                <w:b w:val="0"/>
                <w:i w:val="0"/>
                <w:color w:val="000000"/>
                <w:sz w:val="18"/>
              </w:rPr>
              <w:t>367,268,616</w:t>
            </w:r>
          </w:p>
        </w:tc>
        <w:tc>
          <w:tcPr>
            <w:tcW w:type="dxa" w:w="1220"/>
            <w:tcBorders/>
            <w:tcMar>
              <w:start w:w="0" w:type="dxa"/>
              <w:end w:w="0" w:type="dxa"/>
            </w:tcMar>
          </w:tcPr>
          <w:p>
            <w:pPr>
              <w:autoSpaceDN w:val="0"/>
              <w:autoSpaceDE w:val="0"/>
              <w:widowControl/>
              <w:spacing w:line="233" w:lineRule="auto" w:before="32" w:after="0"/>
              <w:ind w:left="0" w:right="148" w:firstLine="0"/>
              <w:jc w:val="right"/>
            </w:pPr>
            <w:r>
              <w:rPr>
                <w:rFonts w:ascii="Arial" w:hAnsi="Arial" w:eastAsia="Arial"/>
                <w:b w:val="0"/>
                <w:i w:val="0"/>
                <w:color w:val="000000"/>
                <w:sz w:val="18"/>
              </w:rPr>
              <w:t>10.23%</w:t>
            </w:r>
          </w:p>
        </w:tc>
      </w:tr>
    </w:tbl>
    <w:p>
      <w:pPr>
        <w:autoSpaceDN w:val="0"/>
        <w:autoSpaceDE w:val="0"/>
        <w:widowControl/>
        <w:spacing w:line="180" w:lineRule="exact" w:before="14" w:after="26"/>
        <w:ind w:left="358" w:right="0" w:firstLine="0"/>
        <w:jc w:val="left"/>
      </w:pPr>
      <w:r>
        <w:rPr>
          <w:rFonts w:ascii="黑体" w:hAnsi="黑体" w:eastAsia="黑体"/>
          <w:b w:val="0"/>
          <w:i w:val="0"/>
          <w:color w:val="000000"/>
          <w:sz w:val="18"/>
        </w:rPr>
        <w:t>山西国际电力集团有限公司</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348"/>
        </w:trPr>
        <w:tc>
          <w:tcPr>
            <w:tcW w:type="dxa" w:w="2980"/>
            <w:gridSpan w:val="2"/>
            <w:tcBorders/>
            <w:tcMar>
              <w:start w:w="0" w:type="dxa"/>
              <w:end w:w="0" w:type="dxa"/>
            </w:tcMar>
            <w:tcMar>
              <w:start w:w="0" w:type="dxa"/>
              <w:end w:w="0" w:type="dxa"/>
            </w:tcMar>
          </w:tcPr>
          <w:p>
            <w:pPr>
              <w:autoSpaceDN w:val="0"/>
              <w:autoSpaceDE w:val="0"/>
              <w:widowControl/>
              <w:spacing w:line="180" w:lineRule="exact" w:before="26" w:after="0"/>
              <w:ind w:left="366" w:right="0" w:firstLine="0"/>
              <w:jc w:val="left"/>
            </w:pPr>
            <w:r>
              <w:rPr>
                <w:rFonts w:ascii="黑体" w:hAnsi="黑体" w:eastAsia="黑体"/>
                <w:b w:val="0"/>
                <w:i w:val="0"/>
                <w:color w:val="000000"/>
                <w:sz w:val="18"/>
              </w:rPr>
              <w:t>（以下简称“山西国电”）</w:t>
            </w:r>
          </w:p>
        </w:tc>
        <w:tc>
          <w:tcPr>
            <w:tcW w:type="dxa" w:w="1580"/>
            <w:vMerge w:val="restart"/>
            <w:tcBorders/>
            <w:tcMar>
              <w:start w:w="0" w:type="dxa"/>
              <w:end w:w="0" w:type="dxa"/>
            </w:tcMar>
            <w:tcMar>
              <w:start w:w="0" w:type="dxa"/>
              <w:end w:w="0" w:type="dxa"/>
            </w:tcMar>
          </w:tcPr>
          <w:p>
            <w:pPr>
              <w:autoSpaceDN w:val="0"/>
              <w:autoSpaceDE w:val="0"/>
              <w:widowControl/>
              <w:spacing w:line="233" w:lineRule="auto" w:before="32" w:after="0"/>
              <w:ind w:left="72" w:right="0" w:firstLine="0"/>
              <w:jc w:val="left"/>
            </w:pPr>
            <w:r>
              <w:rPr>
                <w:rFonts w:ascii="Arial" w:hAnsi="Arial" w:eastAsia="Arial"/>
                <w:b w:val="0"/>
                <w:i w:val="0"/>
                <w:color w:val="000000"/>
                <w:sz w:val="18"/>
              </w:rPr>
              <w:t>199,268,856</w:t>
            </w:r>
          </w:p>
        </w:tc>
        <w:tc>
          <w:tcPr>
            <w:tcW w:type="dxa" w:w="1240"/>
            <w:vMerge w:val="restart"/>
            <w:tcBorders/>
            <w:tcMar>
              <w:start w:w="0" w:type="dxa"/>
              <w:end w:w="0" w:type="dxa"/>
            </w:tcMar>
            <w:tcMar>
              <w:start w:w="0" w:type="dxa"/>
              <w:end w:w="0" w:type="dxa"/>
            </w:tcMar>
          </w:tcPr>
          <w:p>
            <w:pPr>
              <w:autoSpaceDN w:val="0"/>
              <w:autoSpaceDE w:val="0"/>
              <w:widowControl/>
              <w:spacing w:line="233" w:lineRule="auto" w:before="32" w:after="0"/>
              <w:ind w:left="0" w:right="168" w:firstLine="0"/>
              <w:jc w:val="right"/>
            </w:pPr>
            <w:r>
              <w:rPr>
                <w:rFonts w:ascii="Arial" w:hAnsi="Arial" w:eastAsia="Arial"/>
                <w:b w:val="0"/>
                <w:i w:val="0"/>
                <w:color w:val="000000"/>
                <w:sz w:val="18"/>
              </w:rPr>
              <w:t xml:space="preserve">5.55% </w:t>
            </w:r>
          </w:p>
        </w:tc>
        <w:tc>
          <w:tcPr>
            <w:tcW w:type="dxa" w:w="1700"/>
            <w:vMerge w:val="restart"/>
            <w:tcBorders/>
            <w:tcMar>
              <w:start w:w="0" w:type="dxa"/>
              <w:end w:w="0" w:type="dxa"/>
            </w:tcMar>
            <w:tcMar>
              <w:start w:w="0" w:type="dxa"/>
              <w:end w:w="0" w:type="dxa"/>
            </w:tcMar>
          </w:tcPr>
          <w:p>
            <w:pPr>
              <w:autoSpaceDN w:val="0"/>
              <w:autoSpaceDE w:val="0"/>
              <w:widowControl/>
              <w:spacing w:line="233" w:lineRule="auto" w:before="32" w:after="0"/>
              <w:ind w:left="200" w:right="0" w:firstLine="0"/>
              <w:jc w:val="left"/>
            </w:pPr>
            <w:r>
              <w:rPr>
                <w:rFonts w:ascii="Arial" w:hAnsi="Arial" w:eastAsia="Arial"/>
                <w:b w:val="0"/>
                <w:i w:val="0"/>
                <w:color w:val="000000"/>
                <w:sz w:val="18"/>
              </w:rPr>
              <w:t>199,268,856</w:t>
            </w:r>
          </w:p>
        </w:tc>
        <w:tc>
          <w:tcPr>
            <w:tcW w:type="dxa" w:w="1180"/>
            <w:vMerge w:val="restart"/>
            <w:tcBorders/>
            <w:tcMar>
              <w:start w:w="0" w:type="dxa"/>
              <w:end w:w="0" w:type="dxa"/>
            </w:tcMar>
            <w:tcMar>
              <w:start w:w="0" w:type="dxa"/>
              <w:end w:w="0" w:type="dxa"/>
            </w:tcMar>
          </w:tcPr>
          <w:p>
            <w:pPr>
              <w:autoSpaceDN w:val="0"/>
              <w:autoSpaceDE w:val="0"/>
              <w:widowControl/>
              <w:spacing w:line="233" w:lineRule="auto" w:before="32" w:after="0"/>
              <w:ind w:left="0" w:right="148" w:firstLine="0"/>
              <w:jc w:val="right"/>
            </w:pPr>
            <w:r>
              <w:rPr>
                <w:rFonts w:ascii="Arial" w:hAnsi="Arial" w:eastAsia="Arial"/>
                <w:b w:val="0"/>
                <w:i w:val="0"/>
                <w:color w:val="000000"/>
                <w:sz w:val="18"/>
              </w:rPr>
              <w:t>5.55%</w:t>
            </w:r>
          </w:p>
        </w:tc>
      </w:tr>
      <w:tr>
        <w:trPr>
          <w:trHeight w:hRule="exact" w:val="464"/>
        </w:trPr>
        <w:tc>
          <w:tcPr>
            <w:tcW w:type="dxa" w:w="680"/>
            <w:tcBorders/>
            <w:tcMar>
              <w:start w:w="0" w:type="dxa"/>
              <w:end w:w="0" w:type="dxa"/>
            </w:tcMar>
          </w:tcPr>
          <w:p>
            <w:pPr>
              <w:autoSpaceDN w:val="0"/>
              <w:autoSpaceDE w:val="0"/>
              <w:widowControl/>
              <w:spacing w:line="246" w:lineRule="exact" w:before="158" w:after="0"/>
              <w:ind w:left="0" w:right="0" w:firstLine="0"/>
              <w:jc w:val="center"/>
            </w:pPr>
            <w:r>
              <w:rPr>
                <w:rFonts w:ascii="Arial,Bold" w:hAnsi="Arial,Bold" w:eastAsia="Arial,Bold"/>
                <w:b/>
                <w:i w:val="0"/>
                <w:color w:val="000000"/>
                <w:sz w:val="22"/>
              </w:rPr>
              <w:t xml:space="preserve">4. </w:t>
            </w:r>
          </w:p>
        </w:tc>
        <w:tc>
          <w:tcPr>
            <w:tcW w:type="dxa" w:w="2300"/>
            <w:tcBorders/>
            <w:tcMar>
              <w:start w:w="0" w:type="dxa"/>
              <w:end w:w="0" w:type="dxa"/>
            </w:tcMar>
          </w:tcPr>
          <w:p>
            <w:pPr>
              <w:autoSpaceDN w:val="0"/>
              <w:autoSpaceDE w:val="0"/>
              <w:widowControl/>
              <w:spacing w:line="222" w:lineRule="exact" w:before="168" w:after="0"/>
              <w:ind w:left="246" w:right="0" w:firstLine="0"/>
              <w:jc w:val="left"/>
            </w:pPr>
            <w:r>
              <w:rPr>
                <w:rFonts w:ascii="黑体" w:hAnsi="黑体" w:eastAsia="黑体"/>
                <w:b w:val="0"/>
                <w:i w:val="0"/>
                <w:color w:val="000000"/>
                <w:sz w:val="22"/>
              </w:rPr>
              <w:t>合营企业和联营企业</w:t>
            </w:r>
          </w:p>
        </w:tc>
        <w:tc>
          <w:tcPr>
            <w:tcW w:type="dxa" w:w="1503"/>
            <w:vMerge/>
            <w:tcBorders/>
          </w:tcPr>
          <w:p/>
        </w:tc>
        <w:tc>
          <w:tcPr>
            <w:tcW w:type="dxa" w:w="1503"/>
            <w:vMerge/>
            <w:tcBorders/>
          </w:tcPr>
          <w:p/>
        </w:tc>
        <w:tc>
          <w:tcPr>
            <w:tcW w:type="dxa" w:w="1503"/>
            <w:vMerge/>
            <w:tcBorders/>
          </w:tcPr>
          <w:p/>
        </w:tc>
        <w:tc>
          <w:tcPr>
            <w:tcW w:type="dxa" w:w="1503"/>
            <w:vMerge/>
            <w:tcBorders/>
          </w:tcPr>
          <w:p/>
        </w:tc>
      </w:tr>
    </w:tbl>
    <w:p>
      <w:pPr>
        <w:autoSpaceDN w:val="0"/>
        <w:autoSpaceDE w:val="0"/>
        <w:widowControl/>
        <w:spacing w:line="246" w:lineRule="exact" w:before="232" w:after="0"/>
        <w:ind w:left="358" w:right="0" w:firstLine="0"/>
        <w:jc w:val="left"/>
      </w:pPr>
      <w:r>
        <w:rPr>
          <w:rFonts w:ascii="黑体" w:hAnsi="黑体" w:eastAsia="黑体"/>
          <w:b w:val="0"/>
          <w:i w:val="0"/>
          <w:color w:val="000000"/>
          <w:sz w:val="22"/>
        </w:rPr>
        <w:t>合营企业和联营企业详见附注七、</w:t>
      </w:r>
      <w:r>
        <w:rPr>
          <w:rFonts w:ascii="Arial" w:hAnsi="Arial" w:eastAsia="Arial"/>
          <w:b w:val="0"/>
          <w:i w:val="0"/>
          <w:color w:val="000000"/>
          <w:sz w:val="22"/>
        </w:rPr>
        <w:t>3</w:t>
      </w:r>
      <w:r>
        <w:rPr>
          <w:rFonts w:ascii="黑体" w:hAnsi="黑体" w:eastAsia="黑体"/>
          <w:b w:val="0"/>
          <w:i w:val="0"/>
          <w:color w:val="000000"/>
          <w:sz w:val="22"/>
        </w:rPr>
        <w:t>。</w:t>
      </w:r>
    </w:p>
    <w:p>
      <w:pPr>
        <w:autoSpaceDN w:val="0"/>
        <w:autoSpaceDE w:val="0"/>
        <w:widowControl/>
        <w:spacing w:line="233" w:lineRule="auto" w:before="5276" w:after="0"/>
        <w:ind w:left="0" w:right="0" w:firstLine="0"/>
        <w:jc w:val="center"/>
      </w:pPr>
      <w:r>
        <w:rPr>
          <w:rFonts w:ascii="Arial" w:hAnsi="Arial" w:eastAsia="Arial"/>
          <w:b w:val="0"/>
          <w:i w:val="0"/>
          <w:color w:val="000000"/>
          <w:sz w:val="20"/>
        </w:rPr>
        <w:t xml:space="preserve">264 </w:t>
      </w:r>
    </w:p>
    <w:p>
      <w:pPr>
        <w:sectPr>
          <w:pgSz w:w="11899" w:h="16841"/>
          <w:pgMar w:top="996"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p>
    <w:p>
      <w:pPr>
        <w:autoSpaceDN w:val="0"/>
        <w:tabs>
          <w:tab w:pos="108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5. </w:t>
      </w:r>
      <w:r>
        <w:rPr>
          <w:rFonts w:ascii="黑体" w:hAnsi="黑体" w:eastAsia="黑体"/>
          <w:b w:val="0"/>
          <w:i w:val="0"/>
          <w:color w:val="000000"/>
          <w:sz w:val="22"/>
        </w:rPr>
        <w:t>其他关联方</w:t>
      </w:r>
    </w:p>
    <w:p>
      <w:pPr>
        <w:autoSpaceDN w:val="0"/>
        <w:autoSpaceDE w:val="0"/>
        <w:widowControl/>
        <w:spacing w:line="246" w:lineRule="exact" w:before="290" w:after="0"/>
        <w:ind w:left="0" w:right="0" w:firstLine="0"/>
        <w:jc w:val="center"/>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日，除上述</w:t>
      </w:r>
      <w:r>
        <w:rPr>
          <w:rFonts w:ascii="Arial" w:hAnsi="Arial" w:eastAsia="Arial"/>
          <w:b w:val="0"/>
          <w:i w:val="0"/>
          <w:color w:val="000000"/>
          <w:sz w:val="22"/>
        </w:rPr>
        <w:t>1</w:t>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Arial" w:hAnsi="Arial" w:eastAsia="Arial"/>
          <w:b w:val="0"/>
          <w:i w:val="0"/>
          <w:color w:val="000000"/>
          <w:sz w:val="22"/>
        </w:rPr>
        <w:t>4</w:t>
      </w:r>
      <w:r>
        <w:rPr>
          <w:rFonts w:ascii="黑体" w:hAnsi="黑体" w:eastAsia="黑体"/>
          <w:b w:val="0"/>
          <w:i w:val="0"/>
          <w:color w:val="000000"/>
          <w:sz w:val="22"/>
        </w:rPr>
        <w:t>中提及的关联方外，与本集团发生关联交易的</w:t>
      </w:r>
    </w:p>
    <w:p>
      <w:pPr>
        <w:autoSpaceDN w:val="0"/>
        <w:autoSpaceDE w:val="0"/>
        <w:widowControl/>
        <w:spacing w:line="222" w:lineRule="exact" w:before="50" w:after="0"/>
        <w:ind w:left="358" w:right="0" w:firstLine="0"/>
        <w:jc w:val="left"/>
      </w:pPr>
      <w:r>
        <w:rPr>
          <w:rFonts w:ascii="黑体" w:hAnsi="黑体" w:eastAsia="黑体"/>
          <w:b w:val="0"/>
          <w:i w:val="0"/>
          <w:color w:val="000000"/>
          <w:sz w:val="22"/>
        </w:rPr>
        <w:t>关联方还包括：</w:t>
      </w:r>
    </w:p>
    <w:p>
      <w:pPr>
        <w:autoSpaceDN w:val="0"/>
        <w:tabs>
          <w:tab w:pos="7528" w:val="left"/>
        </w:tabs>
        <w:autoSpaceDE w:val="0"/>
        <w:widowControl/>
        <w:spacing w:line="180" w:lineRule="exact" w:before="314" w:after="0"/>
        <w:ind w:left="358" w:right="0" w:firstLine="0"/>
        <w:jc w:val="left"/>
      </w:pPr>
      <w:r>
        <w:rPr>
          <w:rFonts w:ascii="黑体" w:hAnsi="黑体" w:eastAsia="黑体"/>
          <w:b w:val="0"/>
          <w:i w:val="0"/>
          <w:color w:val="000000"/>
          <w:sz w:val="18"/>
        </w:rPr>
        <w:t>单位名称</w:t>
      </w:r>
      <w:r>
        <w:tab/>
      </w:r>
      <w:r>
        <w:rPr>
          <w:rFonts w:ascii="黑体" w:hAnsi="黑体" w:eastAsia="黑体"/>
          <w:b w:val="0"/>
          <w:i w:val="0"/>
          <w:color w:val="000000"/>
          <w:sz w:val="18"/>
        </w:rPr>
        <w:t>与本企业关系</w:t>
      </w:r>
    </w:p>
    <w:p>
      <w:pPr>
        <w:autoSpaceDN w:val="0"/>
        <w:tabs>
          <w:tab w:pos="7348" w:val="left"/>
        </w:tabs>
        <w:autoSpaceDE w:val="0"/>
        <w:widowControl/>
        <w:spacing w:line="180" w:lineRule="exact" w:before="272" w:after="0"/>
        <w:ind w:left="372" w:right="0" w:firstLine="0"/>
        <w:jc w:val="left"/>
      </w:pPr>
      <w:r>
        <w:rPr>
          <w:rFonts w:ascii="黑体" w:hAnsi="黑体" w:eastAsia="黑体"/>
          <w:b w:val="0"/>
          <w:i w:val="0"/>
          <w:color w:val="000000"/>
          <w:sz w:val="18"/>
        </w:rPr>
        <w:t>北京卓融投资管理有限公司（以下简称“北京卓融”）</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6" w:after="0"/>
        <w:ind w:left="372" w:right="0" w:firstLine="0"/>
        <w:jc w:val="left"/>
      </w:pPr>
      <w:r>
        <w:rPr>
          <w:rFonts w:ascii="黑体" w:hAnsi="黑体" w:eastAsia="黑体"/>
          <w:b w:val="0"/>
          <w:i w:val="0"/>
          <w:color w:val="000000"/>
          <w:sz w:val="18"/>
        </w:rPr>
        <w:t>财惠私募基金管理有限公司（以下简称“财惠基金”）</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2" w:after="0"/>
        <w:ind w:left="372" w:right="0" w:firstLine="0"/>
        <w:jc w:val="left"/>
      </w:pPr>
      <w:r>
        <w:rPr>
          <w:rFonts w:ascii="黑体" w:hAnsi="黑体" w:eastAsia="黑体"/>
          <w:b w:val="0"/>
          <w:i w:val="0"/>
          <w:color w:val="000000"/>
          <w:sz w:val="18"/>
        </w:rPr>
        <w:t>山西股权交易中心有限公司（以下简称“股权交易中心”）</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4" w:after="52"/>
        <w:ind w:left="372" w:right="0" w:firstLine="0"/>
        <w:jc w:val="left"/>
      </w:pPr>
      <w:r>
        <w:rPr>
          <w:rFonts w:ascii="黑体" w:hAnsi="黑体" w:eastAsia="黑体"/>
          <w:b w:val="0"/>
          <w:i w:val="0"/>
          <w:color w:val="000000"/>
          <w:sz w:val="18"/>
        </w:rPr>
        <w:t>山西国贸大饭店管理有限公司（以下简称“国贸大饭店”）</w:t>
      </w:r>
      <w:r>
        <w:rPr>
          <w:rFonts w:ascii="黑体" w:hAnsi="黑体" w:eastAsia="黑体"/>
          <w:b w:val="0"/>
          <w:i w:val="0"/>
          <w:color w:val="000000"/>
          <w:sz w:val="18"/>
        </w:rPr>
        <w:t>受山西金控控制</w:t>
      </w:r>
    </w:p>
    <w:p>
      <w:pPr>
        <w:sectPr>
          <w:pgSz w:w="11899" w:h="16841"/>
          <w:pgMar w:top="988" w:right="1440" w:bottom="360" w:left="1440" w:header="720" w:footer="720" w:gutter="0"/>
          <w:cols/>
          <w:docGrid w:linePitch="360"/>
        </w:sectPr>
      </w:pPr>
    </w:p>
    <w:p>
      <w:pPr>
        <w:autoSpaceDN w:val="0"/>
        <w:autoSpaceDE w:val="0"/>
        <w:widowControl/>
        <w:spacing w:line="208" w:lineRule="exact" w:before="0" w:after="0"/>
        <w:ind w:left="372" w:right="1296" w:hanging="14"/>
        <w:jc w:val="left"/>
      </w:pPr>
      <w:r>
        <w:rPr>
          <w:rFonts w:ascii="黑体" w:hAnsi="黑体" w:eastAsia="黑体"/>
          <w:b w:val="0"/>
          <w:i w:val="0"/>
          <w:color w:val="000000"/>
          <w:sz w:val="18"/>
        </w:rPr>
        <w:t>山西国贸物业管理有限公司（以下简称“国贸物业”）</w:t>
      </w:r>
      <w:r>
        <w:rPr>
          <w:rFonts w:ascii="黑体" w:hAnsi="黑体" w:eastAsia="黑体"/>
          <w:b w:val="0"/>
          <w:i w:val="0"/>
          <w:color w:val="000000"/>
          <w:sz w:val="18"/>
        </w:rPr>
        <w:t>山西国信投资集团有限公司（以下简称“山西国信”）</w:t>
      </w:r>
    </w:p>
    <w:p>
      <w:pPr>
        <w:sectPr>
          <w:type w:val="continuous"/>
          <w:pgSz w:w="11899" w:h="16841"/>
          <w:pgMar w:top="988" w:right="1440" w:bottom="360" w:left="1440" w:header="720" w:footer="720" w:gutter="0"/>
          <w:cols w:num="2" w:equalWidth="0">
            <w:col w:w="5976" w:space="0"/>
            <w:col w:w="3044" w:space="0"/>
          </w:cols>
          <w:docGrid w:linePitch="360"/>
        </w:sectPr>
      </w:pPr>
    </w:p>
    <w:p>
      <w:pPr>
        <w:autoSpaceDN w:val="0"/>
        <w:autoSpaceDE w:val="0"/>
        <w:widowControl/>
        <w:spacing w:line="208" w:lineRule="exact" w:before="0" w:after="52"/>
        <w:ind w:left="1296" w:right="412" w:firstLine="0"/>
        <w:jc w:val="right"/>
      </w:pP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p>
    <w:p>
      <w:pPr>
        <w:sectPr>
          <w:type w:val="nextColumn"/>
          <w:pgSz w:w="11899" w:h="16841"/>
          <w:pgMar w:top="988" w:right="1440" w:bottom="360" w:left="1440" w:header="720" w:footer="720" w:gutter="0"/>
          <w:cols w:num="2" w:equalWidth="0">
            <w:col w:w="5976" w:space="0"/>
            <w:col w:w="3044" w:space="0"/>
          </w:cols>
          <w:docGrid w:linePitch="360"/>
        </w:sectPr>
      </w:pPr>
    </w:p>
    <w:p>
      <w:pPr>
        <w:autoSpaceDN w:val="0"/>
        <w:tabs>
          <w:tab w:pos="7348" w:val="left"/>
        </w:tabs>
        <w:autoSpaceDE w:val="0"/>
        <w:widowControl/>
        <w:spacing w:line="180" w:lineRule="exact" w:before="0" w:after="0"/>
        <w:ind w:left="372" w:right="0" w:firstLine="0"/>
        <w:jc w:val="left"/>
      </w:pPr>
      <w:r>
        <w:rPr>
          <w:rFonts w:ascii="黑体" w:hAnsi="黑体" w:eastAsia="黑体"/>
          <w:b w:val="0"/>
          <w:i w:val="0"/>
          <w:color w:val="000000"/>
          <w:sz w:val="18"/>
        </w:rPr>
        <w:t>山西国信文旅房地产开发有限公司（以下简称“国信文旅”）</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4" w:after="0"/>
        <w:ind w:left="372" w:right="0" w:firstLine="0"/>
        <w:jc w:val="left"/>
      </w:pPr>
      <w:r>
        <w:rPr>
          <w:rFonts w:ascii="黑体" w:hAnsi="黑体" w:eastAsia="黑体"/>
          <w:b w:val="0"/>
          <w:i w:val="0"/>
          <w:color w:val="000000"/>
          <w:sz w:val="18"/>
        </w:rPr>
        <w:t>山西国信物业管理服务有限公司（以下简称“国信物业”）</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4" w:after="54"/>
        <w:ind w:left="372" w:right="0" w:firstLine="0"/>
        <w:jc w:val="left"/>
      </w:pPr>
      <w:r>
        <w:rPr>
          <w:rFonts w:ascii="黑体" w:hAnsi="黑体" w:eastAsia="黑体"/>
          <w:b w:val="0"/>
          <w:i w:val="0"/>
          <w:color w:val="000000"/>
          <w:sz w:val="18"/>
        </w:rPr>
        <w:t>山西省绿色交易中心有限公司（以下简称“绿色交易中心”）</w:t>
      </w:r>
      <w:r>
        <w:rPr>
          <w:rFonts w:ascii="黑体" w:hAnsi="黑体" w:eastAsia="黑体"/>
          <w:b w:val="0"/>
          <w:i w:val="0"/>
          <w:color w:val="000000"/>
          <w:sz w:val="18"/>
        </w:rPr>
        <w:t>受山西金控控制</w:t>
      </w:r>
    </w:p>
    <w:p>
      <w:pPr>
        <w:sectPr>
          <w:type w:val="continuous"/>
          <w:pgSz w:w="11899" w:h="16841"/>
          <w:pgMar w:top="988" w:right="1440" w:bottom="360" w:left="1440" w:header="720" w:footer="720" w:gutter="0"/>
          <w:cols/>
          <w:docGrid w:linePitch="360"/>
        </w:sectPr>
      </w:pPr>
    </w:p>
    <w:p>
      <w:pPr>
        <w:autoSpaceDN w:val="0"/>
        <w:autoSpaceDE w:val="0"/>
        <w:widowControl/>
        <w:spacing w:line="206" w:lineRule="exact" w:before="0" w:after="0"/>
        <w:ind w:left="372" w:right="1296" w:firstLine="0"/>
        <w:jc w:val="left"/>
      </w:pPr>
      <w:r>
        <w:rPr>
          <w:rFonts w:ascii="黑体" w:hAnsi="黑体" w:eastAsia="黑体"/>
          <w:b w:val="0"/>
          <w:i w:val="0"/>
          <w:color w:val="000000"/>
          <w:sz w:val="18"/>
        </w:rPr>
        <w:t>山西金控资本管理有限公司（以下简称“金控资本”）</w:t>
      </w:r>
      <w:r>
        <w:rPr>
          <w:rFonts w:ascii="黑体" w:hAnsi="黑体" w:eastAsia="黑体"/>
          <w:b w:val="0"/>
          <w:i w:val="0"/>
          <w:color w:val="000000"/>
          <w:sz w:val="18"/>
        </w:rPr>
        <w:t>山西金融租赁有限公司（以下简称“山西金租”）</w:t>
      </w:r>
    </w:p>
    <w:p>
      <w:pPr>
        <w:sectPr>
          <w:type w:val="continuous"/>
          <w:pgSz w:w="11899" w:h="16841"/>
          <w:pgMar w:top="988" w:right="1440" w:bottom="360" w:left="1440" w:header="720" w:footer="720" w:gutter="0"/>
          <w:cols w:num="2" w:equalWidth="0">
            <w:col w:w="5976" w:space="0"/>
            <w:col w:w="3044" w:space="0"/>
          </w:cols>
          <w:docGrid w:linePitch="360"/>
        </w:sectPr>
      </w:pPr>
    </w:p>
    <w:p>
      <w:pPr>
        <w:autoSpaceDN w:val="0"/>
        <w:autoSpaceDE w:val="0"/>
        <w:widowControl/>
        <w:spacing w:line="206" w:lineRule="exact" w:before="0" w:after="52"/>
        <w:ind w:left="1296" w:right="412" w:firstLine="0"/>
        <w:jc w:val="right"/>
      </w:pP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p>
    <w:p>
      <w:pPr>
        <w:sectPr>
          <w:type w:val="nextColumn"/>
          <w:pgSz w:w="11899" w:h="16841"/>
          <w:pgMar w:top="988" w:right="1440" w:bottom="360" w:left="1440" w:header="720" w:footer="720" w:gutter="0"/>
          <w:cols w:num="2" w:equalWidth="0">
            <w:col w:w="5976" w:space="0"/>
            <w:col w:w="3044" w:space="0"/>
          </w:cols>
          <w:docGrid w:linePitch="360"/>
        </w:sectPr>
      </w:pPr>
    </w:p>
    <w:p>
      <w:pPr>
        <w:autoSpaceDN w:val="0"/>
        <w:tabs>
          <w:tab w:pos="7348" w:val="left"/>
        </w:tabs>
        <w:autoSpaceDE w:val="0"/>
        <w:widowControl/>
        <w:spacing w:line="180" w:lineRule="exact" w:before="0" w:after="0"/>
        <w:ind w:left="372" w:right="0" w:firstLine="0"/>
        <w:jc w:val="left"/>
      </w:pPr>
      <w:r>
        <w:rPr>
          <w:rFonts w:ascii="黑体" w:hAnsi="黑体" w:eastAsia="黑体"/>
          <w:b w:val="0"/>
          <w:i w:val="0"/>
          <w:color w:val="000000"/>
          <w:sz w:val="18"/>
        </w:rPr>
        <w:t>山西金信清洁引导投资有限公司（以下简称“金信清洁”）</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6" w:after="0"/>
        <w:ind w:left="372" w:right="0" w:firstLine="0"/>
        <w:jc w:val="left"/>
      </w:pPr>
      <w:r>
        <w:rPr>
          <w:rFonts w:ascii="黑体" w:hAnsi="黑体" w:eastAsia="黑体"/>
          <w:b w:val="0"/>
          <w:i w:val="0"/>
          <w:color w:val="000000"/>
          <w:sz w:val="18"/>
        </w:rPr>
        <w:t xml:space="preserve">山西晋兴资本市场发展服务有限公司（以下简称“晋兴资本”） </w:t>
      </w:r>
      <w:r>
        <w:rPr>
          <w:rFonts w:ascii="黑体" w:hAnsi="黑体" w:eastAsia="黑体"/>
          <w:b w:val="0"/>
          <w:i w:val="0"/>
          <w:color w:val="000000"/>
          <w:sz w:val="18"/>
        </w:rPr>
        <w:t xml:space="preserve">受山西金控控制 </w:t>
      </w:r>
    </w:p>
    <w:p>
      <w:pPr>
        <w:autoSpaceDN w:val="0"/>
        <w:tabs>
          <w:tab w:pos="7348" w:val="left"/>
        </w:tabs>
        <w:autoSpaceDE w:val="0"/>
        <w:widowControl/>
        <w:spacing w:line="180" w:lineRule="exact" w:before="52" w:after="0"/>
        <w:ind w:left="372" w:right="0" w:firstLine="0"/>
        <w:jc w:val="left"/>
      </w:pPr>
      <w:r>
        <w:rPr>
          <w:rFonts w:ascii="黑体" w:hAnsi="黑体" w:eastAsia="黑体"/>
          <w:b w:val="0"/>
          <w:i w:val="0"/>
          <w:color w:val="000000"/>
          <w:sz w:val="18"/>
        </w:rPr>
        <w:t>山西省产权交易中心股份有限公司（以下简称“产权交易中心”）</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4" w:after="0"/>
        <w:ind w:left="372" w:right="0" w:firstLine="0"/>
        <w:jc w:val="left"/>
      </w:pPr>
      <w:r>
        <w:rPr>
          <w:rFonts w:ascii="黑体" w:hAnsi="黑体" w:eastAsia="黑体"/>
          <w:b w:val="0"/>
          <w:i w:val="0"/>
          <w:color w:val="000000"/>
          <w:sz w:val="18"/>
        </w:rPr>
        <w:t>山西省国贸投资集团有限公司（以下简称“山西国贸”）</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2" w:after="0"/>
        <w:ind w:left="372" w:right="0" w:firstLine="0"/>
        <w:jc w:val="left"/>
      </w:pPr>
      <w:r>
        <w:rPr>
          <w:rFonts w:ascii="黑体" w:hAnsi="黑体" w:eastAsia="黑体"/>
          <w:b w:val="0"/>
          <w:i w:val="0"/>
          <w:color w:val="000000"/>
          <w:sz w:val="18"/>
        </w:rPr>
        <w:t>山西省国有投融资管理有限公司（以下简称“国有投融资”）</w:t>
      </w:r>
      <w:r>
        <w:rPr>
          <w:rFonts w:ascii="黑体" w:hAnsi="黑体" w:eastAsia="黑体"/>
          <w:b w:val="0"/>
          <w:i w:val="0"/>
          <w:color w:val="000000"/>
          <w:sz w:val="18"/>
        </w:rPr>
        <w:t>受山西金控控制</w:t>
      </w:r>
    </w:p>
    <w:p>
      <w:pPr>
        <w:autoSpaceDN w:val="0"/>
        <w:tabs>
          <w:tab w:pos="7348" w:val="left"/>
        </w:tabs>
        <w:autoSpaceDE w:val="0"/>
        <w:widowControl/>
        <w:spacing w:line="180" w:lineRule="exact" w:before="56" w:after="52"/>
        <w:ind w:left="372" w:right="0" w:firstLine="0"/>
        <w:jc w:val="left"/>
      </w:pPr>
      <w:r>
        <w:rPr>
          <w:rFonts w:ascii="黑体" w:hAnsi="黑体" w:eastAsia="黑体"/>
          <w:b w:val="0"/>
          <w:i w:val="0"/>
          <w:color w:val="000000"/>
          <w:sz w:val="18"/>
        </w:rPr>
        <w:t>山西省融资再担保集团有限公司（以下简称“山西再担保”）</w:t>
      </w:r>
      <w:r>
        <w:rPr>
          <w:rFonts w:ascii="黑体" w:hAnsi="黑体" w:eastAsia="黑体"/>
          <w:b w:val="0"/>
          <w:i w:val="0"/>
          <w:color w:val="000000"/>
          <w:sz w:val="18"/>
        </w:rPr>
        <w:t>受山西金控控制</w:t>
      </w:r>
    </w:p>
    <w:p>
      <w:pPr>
        <w:sectPr>
          <w:type w:val="continuous"/>
          <w:pgSz w:w="11899" w:h="16841"/>
          <w:pgMar w:top="988" w:right="1440" w:bottom="360" w:left="1440" w:header="720" w:footer="720" w:gutter="0"/>
          <w:cols/>
          <w:docGrid w:linePitch="360"/>
        </w:sectPr>
      </w:pPr>
    </w:p>
    <w:p>
      <w:pPr>
        <w:autoSpaceDN w:val="0"/>
        <w:autoSpaceDE w:val="0"/>
        <w:widowControl/>
        <w:spacing w:line="220" w:lineRule="exact" w:before="0" w:after="0"/>
        <w:ind w:left="372" w:right="1372" w:firstLine="0"/>
        <w:jc w:val="both"/>
      </w:pPr>
      <w:r>
        <w:rPr>
          <w:rFonts w:ascii="黑体" w:hAnsi="黑体" w:eastAsia="黑体"/>
          <w:b w:val="0"/>
          <w:i w:val="0"/>
          <w:color w:val="000000"/>
          <w:sz w:val="18"/>
        </w:rPr>
        <w:t>山西信托股份有限公司（以下简称“山西信托”）</w:t>
      </w:r>
      <w:r>
        <w:rPr>
          <w:rFonts w:ascii="黑体" w:hAnsi="黑体" w:eastAsia="黑体"/>
          <w:b w:val="0"/>
          <w:i w:val="0"/>
          <w:color w:val="000000"/>
          <w:sz w:val="18"/>
        </w:rPr>
        <w:t>山西银行股份有限公司（以下简称“山西银行”）</w:t>
      </w:r>
      <w:r>
        <w:rPr>
          <w:rFonts w:ascii="黑体" w:hAnsi="黑体" w:eastAsia="黑体"/>
          <w:b w:val="0"/>
          <w:i w:val="0"/>
          <w:color w:val="000000"/>
          <w:sz w:val="18"/>
        </w:rPr>
        <w:t>山西卓融投资有限公司（以下简称“山西卓融”）</w:t>
      </w:r>
      <w:r>
        <w:rPr>
          <w:rFonts w:ascii="黑体" w:hAnsi="黑体" w:eastAsia="黑体"/>
          <w:b w:val="0"/>
          <w:i w:val="0"/>
          <w:color w:val="000000"/>
          <w:sz w:val="18"/>
        </w:rPr>
        <w:t>上海万方投资管理有限公司（以下简称“上海万方”）</w:t>
      </w:r>
    </w:p>
    <w:p>
      <w:pPr>
        <w:sectPr>
          <w:type w:val="continuous"/>
          <w:pgSz w:w="11899" w:h="16841"/>
          <w:pgMar w:top="988" w:right="1440" w:bottom="360" w:left="1440" w:header="720" w:footer="720" w:gutter="0"/>
          <w:cols w:num="2" w:equalWidth="0">
            <w:col w:w="5976" w:space="0"/>
            <w:col w:w="3044" w:space="0"/>
          </w:cols>
          <w:docGrid w:linePitch="360"/>
        </w:sectPr>
      </w:pPr>
    </w:p>
    <w:p>
      <w:pPr>
        <w:autoSpaceDN w:val="0"/>
        <w:autoSpaceDE w:val="0"/>
        <w:widowControl/>
        <w:spacing w:line="220" w:lineRule="exact" w:before="0" w:after="52"/>
        <w:ind w:left="1372" w:right="412" w:firstLine="0"/>
        <w:jc w:val="both"/>
      </w:pP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p>
    <w:p>
      <w:pPr>
        <w:sectPr>
          <w:type w:val="nextColumn"/>
          <w:pgSz w:w="11899" w:h="16841"/>
          <w:pgMar w:top="988" w:right="1440" w:bottom="360" w:left="1440" w:header="720" w:footer="720" w:gutter="0"/>
          <w:cols w:num="2" w:equalWidth="0">
            <w:col w:w="5976" w:space="0"/>
            <w:col w:w="3044" w:space="0"/>
          </w:cols>
          <w:docGrid w:linePitch="360"/>
        </w:sectPr>
      </w:pPr>
    </w:p>
    <w:p>
      <w:pPr>
        <w:autoSpaceDN w:val="0"/>
        <w:tabs>
          <w:tab w:pos="7348" w:val="left"/>
        </w:tabs>
        <w:autoSpaceDE w:val="0"/>
        <w:widowControl/>
        <w:spacing w:line="180" w:lineRule="exact" w:before="0" w:after="54"/>
        <w:ind w:left="372" w:right="0" w:firstLine="0"/>
        <w:jc w:val="left"/>
      </w:pPr>
      <w:r>
        <w:rPr>
          <w:rFonts w:ascii="黑体" w:hAnsi="黑体" w:eastAsia="黑体"/>
          <w:b w:val="0"/>
          <w:i w:val="0"/>
          <w:color w:val="000000"/>
          <w:sz w:val="18"/>
        </w:rPr>
        <w:t>深圳市义信利资产管理有限公司（以下简称“义信利”）</w:t>
      </w:r>
      <w:r>
        <w:rPr>
          <w:rFonts w:ascii="黑体" w:hAnsi="黑体" w:eastAsia="黑体"/>
          <w:b w:val="0"/>
          <w:i w:val="0"/>
          <w:color w:val="000000"/>
          <w:sz w:val="18"/>
        </w:rPr>
        <w:t>受山西金控控制</w:t>
      </w:r>
    </w:p>
    <w:p>
      <w:pPr>
        <w:sectPr>
          <w:type w:val="continuous"/>
          <w:pgSz w:w="11899" w:h="16841"/>
          <w:pgMar w:top="988" w:right="1440" w:bottom="360" w:left="1440" w:header="720" w:footer="720" w:gutter="0"/>
          <w:cols/>
          <w:docGrid w:linePitch="360"/>
        </w:sectPr>
      </w:pPr>
    </w:p>
    <w:p>
      <w:pPr>
        <w:autoSpaceDN w:val="0"/>
        <w:autoSpaceDE w:val="0"/>
        <w:widowControl/>
        <w:spacing w:line="206" w:lineRule="exact" w:before="0" w:after="0"/>
        <w:ind w:left="372" w:right="1296" w:firstLine="0"/>
        <w:jc w:val="left"/>
      </w:pPr>
      <w:r>
        <w:rPr>
          <w:rFonts w:ascii="黑体" w:hAnsi="黑体" w:eastAsia="黑体"/>
          <w:b w:val="0"/>
          <w:i w:val="0"/>
          <w:color w:val="000000"/>
          <w:sz w:val="18"/>
        </w:rPr>
        <w:t>中合盛资本管理有限公司（以下简称“中合盛”）</w:t>
      </w:r>
      <w:r>
        <w:rPr>
          <w:rFonts w:ascii="黑体" w:hAnsi="黑体" w:eastAsia="黑体"/>
          <w:b w:val="0"/>
          <w:i w:val="0"/>
          <w:color w:val="000000"/>
          <w:sz w:val="18"/>
        </w:rPr>
        <w:t>中煤财产保险股份有限公司（以下简称“中煤财产”）</w:t>
      </w:r>
    </w:p>
    <w:p>
      <w:pPr>
        <w:sectPr>
          <w:type w:val="continuous"/>
          <w:pgSz w:w="11899" w:h="16841"/>
          <w:pgMar w:top="988" w:right="1440" w:bottom="360" w:left="1440" w:header="720" w:footer="720" w:gutter="0"/>
          <w:cols w:num="2" w:equalWidth="0">
            <w:col w:w="5976" w:space="0"/>
            <w:col w:w="3044" w:space="0"/>
          </w:cols>
          <w:docGrid w:linePitch="360"/>
        </w:sectPr>
      </w:pPr>
    </w:p>
    <w:p>
      <w:pPr>
        <w:autoSpaceDN w:val="0"/>
        <w:autoSpaceDE w:val="0"/>
        <w:widowControl/>
        <w:spacing w:line="206" w:lineRule="exact" w:before="0" w:after="56"/>
        <w:ind w:left="1296" w:right="412" w:firstLine="0"/>
        <w:jc w:val="right"/>
      </w:pPr>
      <w:r>
        <w:rPr>
          <w:rFonts w:ascii="黑体" w:hAnsi="黑体" w:eastAsia="黑体"/>
          <w:b w:val="0"/>
          <w:i w:val="0"/>
          <w:color w:val="000000"/>
          <w:sz w:val="18"/>
        </w:rPr>
        <w:t>受山西金控控制</w:t>
      </w:r>
      <w:r>
        <w:br/>
      </w:r>
      <w:r>
        <w:rPr>
          <w:rFonts w:ascii="黑体" w:hAnsi="黑体" w:eastAsia="黑体"/>
          <w:b w:val="0"/>
          <w:i w:val="0"/>
          <w:color w:val="000000"/>
          <w:sz w:val="18"/>
        </w:rPr>
        <w:t>受山西金控控制</w:t>
      </w:r>
    </w:p>
    <w:p>
      <w:pPr>
        <w:sectPr>
          <w:type w:val="nextColumn"/>
          <w:pgSz w:w="11899" w:h="16841"/>
          <w:pgMar w:top="988" w:right="1440" w:bottom="360" w:left="1440" w:header="720" w:footer="720" w:gutter="0"/>
          <w:cols w:num="2" w:equalWidth="0">
            <w:col w:w="5976" w:space="0"/>
            <w:col w:w="3044" w:space="0"/>
          </w:cols>
          <w:docGrid w:linePitch="360"/>
        </w:sectPr>
      </w:pPr>
    </w:p>
    <w:p>
      <w:pPr>
        <w:autoSpaceDN w:val="0"/>
        <w:tabs>
          <w:tab w:pos="7348" w:val="left"/>
        </w:tabs>
        <w:autoSpaceDE w:val="0"/>
        <w:widowControl/>
        <w:spacing w:line="180" w:lineRule="exact" w:before="0" w:after="52"/>
        <w:ind w:left="372" w:right="0" w:firstLine="0"/>
        <w:jc w:val="left"/>
      </w:pPr>
      <w:r>
        <w:rPr>
          <w:rFonts w:ascii="黑体" w:hAnsi="黑体" w:eastAsia="黑体"/>
          <w:b w:val="0"/>
          <w:i w:val="0"/>
          <w:color w:val="000000"/>
          <w:sz w:val="18"/>
        </w:rPr>
        <w:t xml:space="preserve">山西国信医疗服务有限公司（以下简称“国信医疗”) </w:t>
      </w:r>
      <w:r>
        <w:rPr>
          <w:rFonts w:ascii="黑体" w:hAnsi="黑体" w:eastAsia="黑体"/>
          <w:b w:val="0"/>
          <w:i w:val="0"/>
          <w:color w:val="000000"/>
          <w:sz w:val="18"/>
        </w:rPr>
        <w:t xml:space="preserve">受山西金控控制 </w:t>
      </w:r>
    </w:p>
    <w:p>
      <w:pPr>
        <w:sectPr>
          <w:type w:val="continuous"/>
          <w:pgSz w:w="11899" w:h="16841"/>
          <w:pgMar w:top="988" w:right="1440" w:bottom="360" w:left="1440" w:header="720" w:footer="720" w:gutter="0"/>
          <w:cols/>
          <w:docGrid w:linePitch="360"/>
        </w:sectPr>
      </w:pPr>
    </w:p>
    <w:p>
      <w:pPr>
        <w:autoSpaceDN w:val="0"/>
        <w:autoSpaceDE w:val="0"/>
        <w:widowControl/>
        <w:spacing w:line="206" w:lineRule="exact" w:before="0" w:after="0"/>
        <w:ind w:left="372" w:right="1440" w:firstLine="0"/>
        <w:jc w:val="left"/>
      </w:pPr>
      <w:r>
        <w:rPr>
          <w:rFonts w:ascii="黑体" w:hAnsi="黑体" w:eastAsia="黑体"/>
          <w:b w:val="0"/>
          <w:i w:val="0"/>
          <w:color w:val="000000"/>
          <w:sz w:val="18"/>
        </w:rPr>
        <w:t xml:space="preserve">山西太钢投资有限公司（以下简称“太钢投资”） </w:t>
      </w:r>
      <w:r>
        <w:rPr>
          <w:rFonts w:ascii="黑体" w:hAnsi="黑体" w:eastAsia="黑体"/>
          <w:b w:val="0"/>
          <w:i w:val="0"/>
          <w:color w:val="000000"/>
          <w:sz w:val="18"/>
        </w:rPr>
        <w:t xml:space="preserve">太钢集团财务有限公司（以下简称“太钢财务”） </w:t>
      </w:r>
    </w:p>
    <w:p>
      <w:pPr>
        <w:sectPr>
          <w:type w:val="continuous"/>
          <w:pgSz w:w="11899" w:h="16841"/>
          <w:pgMar w:top="988" w:right="1440" w:bottom="360" w:left="1440" w:header="720" w:footer="720" w:gutter="0"/>
          <w:cols w:num="2" w:equalWidth="0">
            <w:col w:w="5840" w:space="0"/>
            <w:col w:w="3180" w:space="0"/>
          </w:cols>
          <w:docGrid w:linePitch="360"/>
        </w:sectPr>
      </w:pPr>
    </w:p>
    <w:p>
      <w:pPr>
        <w:autoSpaceDN w:val="0"/>
        <w:autoSpaceDE w:val="0"/>
        <w:widowControl/>
        <w:spacing w:line="206" w:lineRule="exact" w:before="0" w:after="56"/>
        <w:ind w:left="1440" w:right="322" w:firstLine="0"/>
        <w:jc w:val="right"/>
      </w:pPr>
      <w:r>
        <w:rPr>
          <w:rFonts w:ascii="黑体" w:hAnsi="黑体" w:eastAsia="黑体"/>
          <w:b w:val="0"/>
          <w:i w:val="0"/>
          <w:color w:val="000000"/>
          <w:sz w:val="18"/>
        </w:rPr>
        <w:t xml:space="preserve">受太钢集团控制 </w:t>
      </w:r>
      <w:r>
        <w:br/>
      </w:r>
      <w:r>
        <w:rPr>
          <w:rFonts w:ascii="黑体" w:hAnsi="黑体" w:eastAsia="黑体"/>
          <w:b w:val="0"/>
          <w:i w:val="0"/>
          <w:color w:val="000000"/>
          <w:sz w:val="18"/>
        </w:rPr>
        <w:t xml:space="preserve">受太钢集团控制 </w:t>
      </w:r>
    </w:p>
    <w:p>
      <w:pPr>
        <w:sectPr>
          <w:type w:val="nextColumn"/>
          <w:pgSz w:w="11899" w:h="16841"/>
          <w:pgMar w:top="988" w:right="1440" w:bottom="360" w:left="1440" w:header="720" w:footer="720" w:gutter="0"/>
          <w:cols w:num="2" w:equalWidth="0">
            <w:col w:w="5840" w:space="0"/>
            <w:col w:w="3180" w:space="0"/>
          </w:cols>
          <w:docGrid w:linePitch="360"/>
        </w:sectPr>
      </w:pPr>
    </w:p>
    <w:p>
      <w:pPr>
        <w:autoSpaceDN w:val="0"/>
        <w:tabs>
          <w:tab w:pos="7348" w:val="left"/>
        </w:tabs>
        <w:autoSpaceDE w:val="0"/>
        <w:widowControl/>
        <w:spacing w:line="180" w:lineRule="exact" w:before="0" w:after="0"/>
        <w:ind w:left="372" w:right="0" w:firstLine="0"/>
        <w:jc w:val="left"/>
      </w:pPr>
      <w:r>
        <w:rPr>
          <w:rFonts w:ascii="黑体" w:hAnsi="黑体" w:eastAsia="黑体"/>
          <w:b w:val="0"/>
          <w:i w:val="0"/>
          <w:color w:val="000000"/>
          <w:sz w:val="18"/>
        </w:rPr>
        <w:t xml:space="preserve">山西地方电力有限公司离石分公司（以下简称“山西地方电力”） </w:t>
      </w:r>
      <w:r>
        <w:rPr>
          <w:rFonts w:ascii="黑体" w:hAnsi="黑体" w:eastAsia="黑体"/>
          <w:b w:val="0"/>
          <w:i w:val="0"/>
          <w:color w:val="000000"/>
          <w:sz w:val="18"/>
        </w:rPr>
        <w:t xml:space="preserve">受山西国电控制 </w:t>
      </w:r>
    </w:p>
    <w:p>
      <w:pPr>
        <w:autoSpaceDN w:val="0"/>
        <w:tabs>
          <w:tab w:pos="7348" w:val="left"/>
        </w:tabs>
        <w:autoSpaceDE w:val="0"/>
        <w:widowControl/>
        <w:spacing w:line="180" w:lineRule="exact" w:before="54" w:after="0"/>
        <w:ind w:left="372" w:right="0" w:firstLine="0"/>
        <w:jc w:val="left"/>
      </w:pPr>
      <w:r>
        <w:rPr>
          <w:rFonts w:ascii="黑体" w:hAnsi="黑体" w:eastAsia="黑体"/>
          <w:b w:val="0"/>
          <w:i w:val="0"/>
          <w:color w:val="000000"/>
          <w:sz w:val="18"/>
        </w:rPr>
        <w:t xml:space="preserve">山西通宝能源股份有限公司（以下简称“通宝能源”） </w:t>
      </w:r>
      <w:r>
        <w:rPr>
          <w:rFonts w:ascii="黑体" w:hAnsi="黑体" w:eastAsia="黑体"/>
          <w:b w:val="0"/>
          <w:i w:val="0"/>
          <w:color w:val="000000"/>
          <w:sz w:val="18"/>
        </w:rPr>
        <w:t xml:space="preserve">受山西国电控制 </w:t>
      </w:r>
    </w:p>
    <w:p>
      <w:pPr>
        <w:autoSpaceDN w:val="0"/>
        <w:autoSpaceDE w:val="0"/>
        <w:widowControl/>
        <w:spacing w:line="233" w:lineRule="auto" w:before="4854" w:after="0"/>
        <w:ind w:left="0" w:right="0" w:firstLine="0"/>
        <w:jc w:val="center"/>
      </w:pPr>
      <w:r>
        <w:rPr>
          <w:rFonts w:ascii="Arial" w:hAnsi="Arial" w:eastAsia="Arial"/>
          <w:b w:val="0"/>
          <w:i w:val="0"/>
          <w:color w:val="000000"/>
          <w:sz w:val="20"/>
        </w:rPr>
        <w:t xml:space="preserve">265 </w:t>
      </w:r>
    </w:p>
    <w:p>
      <w:pPr>
        <w:sectPr>
          <w:type w:val="continuous"/>
          <w:pgSz w:w="11899" w:h="16841"/>
          <w:pgMar w:top="988" w:right="1440" w:bottom="360" w:left="1440" w:header="720" w:footer="720" w:gutter="0"/>
          <w:cols/>
          <w:docGrid w:linePitch="360"/>
        </w:sectPr>
      </w:pPr>
    </w:p>
    <w:p>
      <w:pPr>
        <w:autoSpaceDN w:val="0"/>
        <w:autoSpaceDE w:val="0"/>
        <w:widowControl/>
        <w:spacing w:line="220" w:lineRule="exact" w:before="0" w:after="774"/>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p>
    <w:p>
      <w:pPr>
        <w:autoSpaceDN w:val="0"/>
        <w:tabs>
          <w:tab w:pos="1070" w:val="left"/>
        </w:tabs>
        <w:autoSpaceDE w:val="0"/>
        <w:widowControl/>
        <w:spacing w:line="246" w:lineRule="exact" w:before="310" w:after="0"/>
        <w:ind w:left="374" w:right="0" w:firstLine="0"/>
        <w:jc w:val="left"/>
      </w:pPr>
      <w:r>
        <w:rPr>
          <w:rFonts w:ascii="Calibri" w:hAnsi="Calibri" w:eastAsia="Calibri"/>
          <w:b/>
          <w:i w:val="0"/>
          <w:color w:val="000000"/>
          <w:sz w:val="22"/>
        </w:rPr>
        <w:t xml:space="preserve">5. </w:t>
      </w:r>
      <w:r>
        <w:tab/>
      </w:r>
      <w:r>
        <w:rPr>
          <w:rFonts w:ascii="黑体" w:hAnsi="黑体" w:eastAsia="黑体"/>
          <w:b w:val="0"/>
          <w:i w:val="0"/>
          <w:color w:val="000000"/>
          <w:sz w:val="22"/>
        </w:rPr>
        <w:t>其他关联方（续）</w:t>
      </w:r>
    </w:p>
    <w:p>
      <w:pPr>
        <w:autoSpaceDN w:val="0"/>
        <w:tabs>
          <w:tab w:pos="7534" w:val="left"/>
        </w:tabs>
        <w:autoSpaceDE w:val="0"/>
        <w:widowControl/>
        <w:spacing w:line="180" w:lineRule="exact" w:before="288" w:after="274"/>
        <w:ind w:left="358" w:right="0" w:firstLine="0"/>
        <w:jc w:val="left"/>
      </w:pPr>
      <w:r>
        <w:rPr>
          <w:rFonts w:ascii="黑体" w:hAnsi="黑体" w:eastAsia="黑体"/>
          <w:b w:val="0"/>
          <w:i w:val="0"/>
          <w:color w:val="000000"/>
          <w:sz w:val="18"/>
        </w:rPr>
        <w:t>单位名称</w:t>
      </w:r>
      <w:r>
        <w:rPr>
          <w:rFonts w:ascii="黑体" w:hAnsi="黑体" w:eastAsia="黑体"/>
          <w:b w:val="0"/>
          <w:i w:val="0"/>
          <w:color w:val="000000"/>
          <w:sz w:val="18"/>
        </w:rPr>
        <w:t>与本企业关系</w:t>
      </w:r>
    </w:p>
    <w:p>
      <w:pPr>
        <w:sectPr>
          <w:pgSz w:w="11899" w:h="16841"/>
          <w:pgMar w:top="996" w:right="1440" w:bottom="360" w:left="1440" w:header="720" w:footer="720" w:gutter="0"/>
          <w:cols/>
          <w:docGrid w:linePitch="360"/>
        </w:sectPr>
      </w:pPr>
    </w:p>
    <w:p>
      <w:pPr>
        <w:autoSpaceDN w:val="0"/>
        <w:autoSpaceDE w:val="0"/>
        <w:widowControl/>
        <w:spacing w:line="216" w:lineRule="exact" w:before="0" w:after="0"/>
        <w:ind w:left="358" w:right="576" w:firstLine="0"/>
        <w:jc w:val="left"/>
      </w:pPr>
      <w:r>
        <w:rPr>
          <w:rFonts w:ascii="黑体" w:hAnsi="黑体" w:eastAsia="黑体"/>
          <w:b w:val="0"/>
          <w:i w:val="0"/>
          <w:color w:val="000000"/>
          <w:sz w:val="18"/>
        </w:rPr>
        <w:t>山西焦化集团有限公司（以下简称“焦化集团”）</w:t>
      </w:r>
      <w:r>
        <w:br/>
      </w:r>
      <w:r>
        <w:rPr>
          <w:rFonts w:ascii="黑体" w:hAnsi="黑体" w:eastAsia="黑体"/>
          <w:b w:val="0"/>
          <w:i w:val="0"/>
          <w:color w:val="000000"/>
          <w:sz w:val="18"/>
        </w:rPr>
        <w:t>山西省科技基金发展有限公司（以下简称“科技基金”）</w:t>
      </w:r>
      <w:r>
        <w:rPr>
          <w:rFonts w:ascii="黑体" w:hAnsi="黑体" w:eastAsia="黑体"/>
          <w:b w:val="0"/>
          <w:i w:val="0"/>
          <w:color w:val="000000"/>
          <w:sz w:val="18"/>
        </w:rPr>
        <w:t>山西省旅游投资控股集团有限公司（以下简称“山西旅投”）</w:t>
      </w:r>
    </w:p>
    <w:p>
      <w:pPr>
        <w:sectPr>
          <w:type w:val="continuous"/>
          <w:pgSz w:w="11899" w:h="16841"/>
          <w:pgMar w:top="996" w:right="1440" w:bottom="360" w:left="1440" w:header="720" w:footer="720" w:gutter="0"/>
          <w:cols w:num="2" w:equalWidth="0">
            <w:col w:w="5770" w:space="0"/>
            <w:col w:w="3250" w:space="0"/>
          </w:cols>
          <w:docGrid w:linePitch="360"/>
        </w:sectPr>
      </w:pPr>
    </w:p>
    <w:p>
      <w:pPr>
        <w:autoSpaceDN w:val="0"/>
        <w:autoSpaceDE w:val="0"/>
        <w:widowControl/>
        <w:spacing w:line="222" w:lineRule="exact" w:before="0" w:after="32"/>
        <w:ind w:left="642" w:right="406" w:firstLine="0"/>
        <w:jc w:val="both"/>
      </w:pPr>
      <w:r>
        <w:rPr>
          <w:rFonts w:ascii="黑体" w:hAnsi="黑体" w:eastAsia="黑体"/>
          <w:b w:val="0"/>
          <w:i w:val="0"/>
          <w:color w:val="000000"/>
          <w:sz w:val="18"/>
        </w:rPr>
        <w:t>持股</w:t>
      </w:r>
      <w:r>
        <w:rPr>
          <w:rFonts w:ascii="Calibri" w:hAnsi="Calibri" w:eastAsia="Calibri"/>
          <w:b w:val="0"/>
          <w:i w:val="0"/>
          <w:color w:val="000000"/>
          <w:sz w:val="18"/>
        </w:rPr>
        <w:t>5%</w:t>
      </w:r>
      <w:r>
        <w:rPr>
          <w:rFonts w:ascii="黑体" w:hAnsi="黑体" w:eastAsia="黑体"/>
          <w:b w:val="0"/>
          <w:i w:val="0"/>
          <w:color w:val="000000"/>
          <w:sz w:val="18"/>
        </w:rPr>
        <w:t>以上股东一致行动人</w:t>
      </w:r>
      <w:r>
        <w:rPr>
          <w:rFonts w:ascii="黑体" w:hAnsi="黑体" w:eastAsia="黑体"/>
          <w:b w:val="0"/>
          <w:i w:val="0"/>
          <w:color w:val="000000"/>
          <w:sz w:val="18"/>
        </w:rPr>
        <w:t>持股</w:t>
      </w:r>
      <w:r>
        <w:rPr>
          <w:rFonts w:ascii="Calibri" w:hAnsi="Calibri" w:eastAsia="Calibri"/>
          <w:b w:val="0"/>
          <w:i w:val="0"/>
          <w:color w:val="000000"/>
          <w:sz w:val="18"/>
        </w:rPr>
        <w:t>5%</w:t>
      </w:r>
      <w:r>
        <w:rPr>
          <w:rFonts w:ascii="黑体" w:hAnsi="黑体" w:eastAsia="黑体"/>
          <w:b w:val="0"/>
          <w:i w:val="0"/>
          <w:color w:val="000000"/>
          <w:sz w:val="18"/>
        </w:rPr>
        <w:t>以上股东一致行动人</w:t>
      </w:r>
      <w:r>
        <w:rPr>
          <w:rFonts w:ascii="黑体" w:hAnsi="黑体" w:eastAsia="黑体"/>
          <w:b w:val="0"/>
          <w:i w:val="0"/>
          <w:color w:val="000000"/>
          <w:sz w:val="18"/>
        </w:rPr>
        <w:t>持股</w:t>
      </w:r>
      <w:r>
        <w:rPr>
          <w:rFonts w:ascii="Calibri" w:hAnsi="Calibri" w:eastAsia="Calibri"/>
          <w:b w:val="0"/>
          <w:i w:val="0"/>
          <w:color w:val="000000"/>
          <w:sz w:val="18"/>
        </w:rPr>
        <w:t>5%</w:t>
      </w:r>
      <w:r>
        <w:rPr>
          <w:rFonts w:ascii="黑体" w:hAnsi="黑体" w:eastAsia="黑体"/>
          <w:b w:val="0"/>
          <w:i w:val="0"/>
          <w:color w:val="000000"/>
          <w:sz w:val="18"/>
        </w:rPr>
        <w:t>以上股东一致行动人</w:t>
      </w:r>
    </w:p>
    <w:p>
      <w:pPr>
        <w:sectPr>
          <w:type w:val="nextColumn"/>
          <w:pgSz w:w="11899" w:h="16841"/>
          <w:pgMar w:top="996" w:right="1440" w:bottom="360" w:left="1440" w:header="720" w:footer="720" w:gutter="0"/>
          <w:cols w:num="2" w:equalWidth="0">
            <w:col w:w="5770" w:space="0"/>
            <w:col w:w="3250" w:space="0"/>
          </w:cols>
          <w:docGrid w:linePitch="360"/>
        </w:sectPr>
      </w:pPr>
    </w:p>
    <w:p>
      <w:pPr>
        <w:autoSpaceDN w:val="0"/>
        <w:autoSpaceDE w:val="0"/>
        <w:widowControl/>
        <w:spacing w:line="180" w:lineRule="exact" w:before="0" w:after="0"/>
        <w:ind w:left="374" w:right="0" w:firstLine="0"/>
        <w:jc w:val="left"/>
      </w:pPr>
      <w:r>
        <w:rPr>
          <w:rFonts w:ascii="黑体" w:hAnsi="黑体" w:eastAsia="黑体"/>
          <w:b w:val="0"/>
          <w:i w:val="0"/>
          <w:color w:val="000000"/>
          <w:sz w:val="18"/>
        </w:rPr>
        <w:t>汾西启富扶贫引导基金合伙企业（有限合伙）（以下简称“汾西扶</w:t>
      </w:r>
    </w:p>
    <w:p>
      <w:pPr>
        <w:autoSpaceDN w:val="0"/>
        <w:tabs>
          <w:tab w:pos="7174" w:val="left"/>
        </w:tabs>
        <w:autoSpaceDE w:val="0"/>
        <w:widowControl/>
        <w:spacing w:line="180" w:lineRule="exact" w:before="54" w:after="0"/>
        <w:ind w:left="540" w:right="0" w:firstLine="0"/>
        <w:jc w:val="left"/>
      </w:pPr>
      <w:r>
        <w:rPr>
          <w:rFonts w:ascii="黑体" w:hAnsi="黑体" w:eastAsia="黑体"/>
          <w:b w:val="0"/>
          <w:i w:val="0"/>
          <w:color w:val="000000"/>
          <w:sz w:val="18"/>
        </w:rPr>
        <w:t>贫”）</w:t>
      </w:r>
      <w:r>
        <w:tab/>
      </w:r>
      <w:r>
        <w:rPr>
          <w:rFonts w:ascii="黑体" w:hAnsi="黑体" w:eastAsia="黑体"/>
          <w:b w:val="0"/>
          <w:i w:val="0"/>
          <w:color w:val="000000"/>
          <w:sz w:val="18"/>
        </w:rPr>
        <w:t>受本集团重大影响</w:t>
      </w:r>
    </w:p>
    <w:p>
      <w:pPr>
        <w:autoSpaceDN w:val="0"/>
        <w:autoSpaceDE w:val="0"/>
        <w:widowControl/>
        <w:spacing w:line="180" w:lineRule="exact" w:before="56" w:after="0"/>
        <w:ind w:left="358" w:right="0" w:firstLine="0"/>
        <w:jc w:val="left"/>
      </w:pPr>
      <w:r>
        <w:rPr>
          <w:rFonts w:ascii="黑体" w:hAnsi="黑体" w:eastAsia="黑体"/>
          <w:b w:val="0"/>
          <w:i w:val="0"/>
          <w:color w:val="000000"/>
          <w:sz w:val="18"/>
        </w:rPr>
        <w:t>杭州龙华股融股权投资基金合伙企业（有限合伙）（以下简称“龙华</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股融”）</w:t>
      </w:r>
      <w:r>
        <w:tab/>
      </w:r>
      <w:r>
        <w:rPr>
          <w:rFonts w:ascii="黑体" w:hAnsi="黑体" w:eastAsia="黑体"/>
          <w:b w:val="0"/>
          <w:i w:val="0"/>
          <w:color w:val="000000"/>
          <w:sz w:val="18"/>
        </w:rPr>
        <w:t>受本集团重大影响</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山西国投创新绿色能源股权投资合伙企业（有限合伙）（以下简称</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“绿色能源”）</w:t>
      </w:r>
      <w:r>
        <w:tab/>
      </w:r>
      <w:r>
        <w:rPr>
          <w:rFonts w:ascii="黑体" w:hAnsi="黑体" w:eastAsia="黑体"/>
          <w:b w:val="0"/>
          <w:i w:val="0"/>
          <w:color w:val="000000"/>
          <w:sz w:val="18"/>
        </w:rPr>
        <w:t>受本集团重大影响</w:t>
      </w:r>
    </w:p>
    <w:p>
      <w:pPr>
        <w:autoSpaceDN w:val="0"/>
        <w:tabs>
          <w:tab w:pos="7174" w:val="left"/>
        </w:tabs>
        <w:autoSpaceDE w:val="0"/>
        <w:widowControl/>
        <w:spacing w:line="180" w:lineRule="exact" w:before="56" w:after="0"/>
        <w:ind w:left="374" w:right="0" w:firstLine="0"/>
        <w:jc w:val="left"/>
      </w:pPr>
      <w:r>
        <w:rPr>
          <w:rFonts w:ascii="黑体" w:hAnsi="黑体" w:eastAsia="黑体"/>
          <w:b w:val="0"/>
          <w:i w:val="0"/>
          <w:color w:val="000000"/>
          <w:sz w:val="18"/>
        </w:rPr>
        <w:t>山西交通产业基金合伙企业（有限合伙）（以下简称“交通产业”）</w:t>
      </w:r>
      <w:r>
        <w:tab/>
      </w:r>
      <w:r>
        <w:rPr>
          <w:rFonts w:ascii="黑体" w:hAnsi="黑体" w:eastAsia="黑体"/>
          <w:b w:val="0"/>
          <w:i w:val="0"/>
          <w:color w:val="000000"/>
          <w:sz w:val="18"/>
        </w:rPr>
        <w:t>受本集团重大影响</w:t>
      </w:r>
    </w:p>
    <w:p>
      <w:pPr>
        <w:autoSpaceDN w:val="0"/>
        <w:autoSpaceDE w:val="0"/>
        <w:widowControl/>
        <w:spacing w:line="180" w:lineRule="exact" w:before="52" w:after="0"/>
        <w:ind w:left="358" w:right="0" w:firstLine="0"/>
        <w:jc w:val="left"/>
      </w:pPr>
      <w:r>
        <w:rPr>
          <w:rFonts w:ascii="黑体" w:hAnsi="黑体" w:eastAsia="黑体"/>
          <w:b w:val="0"/>
          <w:i w:val="0"/>
          <w:color w:val="000000"/>
          <w:sz w:val="18"/>
        </w:rPr>
        <w:t>山西上市倍增私募股权投资基金合伙企业（有限合伙）（以下简称</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“上市倍增”）</w:t>
      </w:r>
      <w:r>
        <w:tab/>
      </w:r>
      <w:r>
        <w:rPr>
          <w:rFonts w:ascii="黑体" w:hAnsi="黑体" w:eastAsia="黑体"/>
          <w:b w:val="0"/>
          <w:i w:val="0"/>
          <w:color w:val="000000"/>
          <w:sz w:val="18"/>
        </w:rPr>
        <w:t>受本集团重大影响</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山西太行煤成气产业投资基金合伙企业（有限合伙）（以下简称“太</w:t>
      </w:r>
    </w:p>
    <w:p>
      <w:pPr>
        <w:autoSpaceDN w:val="0"/>
        <w:tabs>
          <w:tab w:pos="7174" w:val="left"/>
        </w:tabs>
        <w:autoSpaceDE w:val="0"/>
        <w:widowControl/>
        <w:spacing w:line="180" w:lineRule="exact" w:before="54" w:after="0"/>
        <w:ind w:left="542" w:right="0" w:firstLine="0"/>
        <w:jc w:val="left"/>
      </w:pPr>
      <w:r>
        <w:rPr>
          <w:rFonts w:ascii="黑体" w:hAnsi="黑体" w:eastAsia="黑体"/>
          <w:b w:val="0"/>
          <w:i w:val="0"/>
          <w:color w:val="000000"/>
          <w:sz w:val="18"/>
        </w:rPr>
        <w:t>行煤成气”）</w:t>
      </w:r>
      <w:r>
        <w:tab/>
      </w:r>
      <w:r>
        <w:rPr>
          <w:rFonts w:ascii="黑体" w:hAnsi="黑体" w:eastAsia="黑体"/>
          <w:b w:val="0"/>
          <w:i w:val="0"/>
          <w:color w:val="000000"/>
          <w:sz w:val="18"/>
        </w:rPr>
        <w:t>受本集团重大影响</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山西信创引导私募股权投资基金合伙企业（有限合伙）（以下简称</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“信创引导”）</w:t>
      </w:r>
      <w:r>
        <w:tab/>
      </w:r>
      <w:r>
        <w:rPr>
          <w:rFonts w:ascii="黑体" w:hAnsi="黑体" w:eastAsia="黑体"/>
          <w:b w:val="0"/>
          <w:i w:val="0"/>
          <w:color w:val="000000"/>
          <w:sz w:val="18"/>
        </w:rPr>
        <w:t>受本集团重大影响</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扬州山证启航股权投资合伙企业（有限合伙）（以下简称“山证启</w:t>
      </w:r>
    </w:p>
    <w:p>
      <w:pPr>
        <w:autoSpaceDN w:val="0"/>
        <w:tabs>
          <w:tab w:pos="7174" w:val="left"/>
        </w:tabs>
        <w:autoSpaceDE w:val="0"/>
        <w:widowControl/>
        <w:spacing w:line="180" w:lineRule="exact" w:before="54" w:after="0"/>
        <w:ind w:left="542" w:right="0" w:firstLine="0"/>
        <w:jc w:val="left"/>
      </w:pPr>
      <w:r>
        <w:rPr>
          <w:rFonts w:ascii="黑体" w:hAnsi="黑体" w:eastAsia="黑体"/>
          <w:b w:val="0"/>
          <w:i w:val="0"/>
          <w:color w:val="000000"/>
          <w:sz w:val="18"/>
        </w:rPr>
        <w:t>航”）</w:t>
      </w:r>
      <w:r>
        <w:tab/>
      </w:r>
      <w:r>
        <w:rPr>
          <w:rFonts w:ascii="黑体" w:hAnsi="黑体" w:eastAsia="黑体"/>
          <w:b w:val="0"/>
          <w:i w:val="0"/>
          <w:color w:val="000000"/>
          <w:sz w:val="18"/>
        </w:rPr>
        <w:t>受本集团重大影响</w:t>
      </w:r>
    </w:p>
    <w:p>
      <w:pPr>
        <w:autoSpaceDN w:val="0"/>
        <w:tabs>
          <w:tab w:pos="7174" w:val="left"/>
        </w:tabs>
        <w:autoSpaceDE w:val="0"/>
        <w:widowControl/>
        <w:spacing w:line="180" w:lineRule="exact" w:before="54" w:after="0"/>
        <w:ind w:left="372" w:right="0" w:firstLine="0"/>
        <w:jc w:val="left"/>
      </w:pPr>
      <w:r>
        <w:rPr>
          <w:rFonts w:ascii="黑体" w:hAnsi="黑体" w:eastAsia="黑体"/>
          <w:b w:val="0"/>
          <w:i w:val="0"/>
          <w:color w:val="000000"/>
          <w:sz w:val="18"/>
        </w:rPr>
        <w:t>深圳烨华资源集团有限公司（以下简称“深圳烨华”）</w:t>
      </w:r>
      <w:r>
        <w:tab/>
      </w:r>
      <w:r>
        <w:rPr>
          <w:rFonts w:ascii="黑体" w:hAnsi="黑体" w:eastAsia="黑体"/>
          <w:b w:val="0"/>
          <w:i w:val="0"/>
          <w:color w:val="000000"/>
          <w:sz w:val="18"/>
        </w:rPr>
        <w:t>受本集团重大影响</w:t>
      </w:r>
    </w:p>
    <w:p>
      <w:pPr>
        <w:autoSpaceDN w:val="0"/>
        <w:autoSpaceDE w:val="0"/>
        <w:widowControl/>
        <w:spacing w:line="180" w:lineRule="exact" w:before="52" w:after="0"/>
        <w:ind w:left="358" w:right="0" w:firstLine="0"/>
        <w:jc w:val="left"/>
      </w:pPr>
      <w:r>
        <w:rPr>
          <w:rFonts w:ascii="黑体" w:hAnsi="黑体" w:eastAsia="黑体"/>
          <w:b w:val="0"/>
          <w:i w:val="0"/>
          <w:color w:val="000000"/>
          <w:sz w:val="18"/>
        </w:rPr>
        <w:t>山西重器智能高端装备私募股权投资基金合伙企业（有限合伙）（以</w:t>
      </w:r>
    </w:p>
    <w:p>
      <w:pPr>
        <w:autoSpaceDN w:val="0"/>
        <w:tabs>
          <w:tab w:pos="7174" w:val="left"/>
        </w:tabs>
        <w:autoSpaceDE w:val="0"/>
        <w:widowControl/>
        <w:spacing w:line="180" w:lineRule="exact" w:before="56" w:after="0"/>
        <w:ind w:left="542" w:right="0" w:firstLine="0"/>
        <w:jc w:val="left"/>
      </w:pPr>
      <w:r>
        <w:rPr>
          <w:rFonts w:ascii="黑体" w:hAnsi="黑体" w:eastAsia="黑体"/>
          <w:b w:val="0"/>
          <w:i w:val="0"/>
          <w:color w:val="000000"/>
          <w:sz w:val="18"/>
        </w:rPr>
        <w:t xml:space="preserve">下简称“重器智能”）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2" w:after="0"/>
        <w:ind w:left="358" w:right="0" w:firstLine="0"/>
        <w:jc w:val="left"/>
      </w:pPr>
      <w:r>
        <w:rPr>
          <w:rFonts w:ascii="黑体" w:hAnsi="黑体" w:eastAsia="黑体"/>
          <w:b w:val="0"/>
          <w:i w:val="0"/>
          <w:color w:val="000000"/>
          <w:sz w:val="18"/>
        </w:rPr>
        <w:t>共青城山证通奥启程股权投资合伙企业（有限合伙）（以下简称“通</w:t>
      </w:r>
    </w:p>
    <w:p>
      <w:pPr>
        <w:autoSpaceDN w:val="0"/>
        <w:tabs>
          <w:tab w:pos="7174" w:val="left"/>
        </w:tabs>
        <w:autoSpaceDE w:val="0"/>
        <w:widowControl/>
        <w:spacing w:line="180" w:lineRule="exact" w:before="54" w:after="0"/>
        <w:ind w:left="542" w:right="0" w:firstLine="0"/>
        <w:jc w:val="left"/>
      </w:pPr>
      <w:r>
        <w:rPr>
          <w:rFonts w:ascii="黑体" w:hAnsi="黑体" w:eastAsia="黑体"/>
          <w:b w:val="0"/>
          <w:i w:val="0"/>
          <w:color w:val="000000"/>
          <w:sz w:val="18"/>
        </w:rPr>
        <w:t xml:space="preserve">奥启程”）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2" w:after="0"/>
        <w:ind w:left="358" w:right="0" w:firstLine="0"/>
        <w:jc w:val="left"/>
      </w:pPr>
      <w:r>
        <w:rPr>
          <w:rFonts w:ascii="黑体" w:hAnsi="黑体" w:eastAsia="黑体"/>
          <w:b w:val="0"/>
          <w:i w:val="0"/>
          <w:color w:val="000000"/>
          <w:sz w:val="18"/>
        </w:rPr>
        <w:t>共青城山证绿菱启元股权投资合伙企业（有限合伙）（以下简称“绿</w:t>
      </w:r>
    </w:p>
    <w:p>
      <w:pPr>
        <w:autoSpaceDN w:val="0"/>
        <w:tabs>
          <w:tab w:pos="7174" w:val="left"/>
        </w:tabs>
        <w:autoSpaceDE w:val="0"/>
        <w:widowControl/>
        <w:spacing w:line="180" w:lineRule="exact" w:before="56" w:after="0"/>
        <w:ind w:left="542" w:right="0" w:firstLine="0"/>
        <w:jc w:val="left"/>
      </w:pPr>
      <w:r>
        <w:rPr>
          <w:rFonts w:ascii="黑体" w:hAnsi="黑体" w:eastAsia="黑体"/>
          <w:b w:val="0"/>
          <w:i w:val="0"/>
          <w:color w:val="000000"/>
          <w:sz w:val="18"/>
        </w:rPr>
        <w:t xml:space="preserve">菱启元”）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2" w:after="0"/>
        <w:ind w:left="358" w:right="0" w:firstLine="0"/>
        <w:jc w:val="left"/>
      </w:pPr>
      <w:r>
        <w:rPr>
          <w:rFonts w:ascii="黑体" w:hAnsi="黑体" w:eastAsia="黑体"/>
          <w:b w:val="0"/>
          <w:i w:val="0"/>
          <w:color w:val="000000"/>
          <w:sz w:val="18"/>
        </w:rPr>
        <w:t>共青城山证绿菱启明股权投资合伙企业（有限合伙）（以下简称“绿</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 xml:space="preserve">菱启明”）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共青城山证通奥启航股权投资合伙企业（有限合伙）（以下简称“通</w:t>
      </w:r>
    </w:p>
    <w:p>
      <w:pPr>
        <w:autoSpaceDN w:val="0"/>
        <w:tabs>
          <w:tab w:pos="7174" w:val="left"/>
        </w:tabs>
        <w:autoSpaceDE w:val="0"/>
        <w:widowControl/>
        <w:spacing w:line="180" w:lineRule="exact" w:before="54" w:after="0"/>
        <w:ind w:left="542" w:right="0" w:firstLine="0"/>
        <w:jc w:val="left"/>
      </w:pPr>
      <w:r>
        <w:rPr>
          <w:rFonts w:ascii="黑体" w:hAnsi="黑体" w:eastAsia="黑体"/>
          <w:b w:val="0"/>
          <w:i w:val="0"/>
          <w:color w:val="000000"/>
          <w:sz w:val="18"/>
        </w:rPr>
        <w:t xml:space="preserve">奥启航”）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山西省新引擎专业镇产业投资基金合伙企业（有限合伙）（以下简称</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 xml:space="preserve">“山西新引擎”）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山西天使股权投资基金合伙企业（有限合伙）（以下简称“山西天使</w:t>
      </w:r>
    </w:p>
    <w:p>
      <w:pPr>
        <w:autoSpaceDN w:val="0"/>
        <w:tabs>
          <w:tab w:pos="7174" w:val="left"/>
        </w:tabs>
        <w:autoSpaceDE w:val="0"/>
        <w:widowControl/>
        <w:spacing w:line="180" w:lineRule="exact" w:before="54" w:after="0"/>
        <w:ind w:left="542" w:right="0" w:firstLine="0"/>
        <w:jc w:val="left"/>
      </w:pPr>
      <w:r>
        <w:rPr>
          <w:rFonts w:ascii="黑体" w:hAnsi="黑体" w:eastAsia="黑体"/>
          <w:b w:val="0"/>
          <w:i w:val="0"/>
          <w:color w:val="000000"/>
          <w:sz w:val="18"/>
        </w:rPr>
        <w:t xml:space="preserve">股投”） </w:t>
      </w:r>
      <w:r>
        <w:tab/>
      </w:r>
      <w:r>
        <w:rPr>
          <w:rFonts w:ascii="黑体" w:hAnsi="黑体" w:eastAsia="黑体"/>
          <w:b w:val="0"/>
          <w:i w:val="0"/>
          <w:color w:val="000000"/>
          <w:sz w:val="18"/>
        </w:rPr>
        <w:t xml:space="preserve">受本集团重大影响 </w:t>
      </w:r>
    </w:p>
    <w:p>
      <w:pPr>
        <w:autoSpaceDN w:val="0"/>
        <w:autoSpaceDE w:val="0"/>
        <w:widowControl/>
        <w:spacing w:line="180" w:lineRule="exact" w:before="54" w:after="0"/>
        <w:ind w:left="358" w:right="0" w:firstLine="0"/>
        <w:jc w:val="left"/>
      </w:pPr>
      <w:r>
        <w:rPr>
          <w:rFonts w:ascii="黑体" w:hAnsi="黑体" w:eastAsia="黑体"/>
          <w:b w:val="0"/>
          <w:i w:val="0"/>
          <w:color w:val="000000"/>
          <w:sz w:val="18"/>
        </w:rPr>
        <w:t>山东新引擎文化产业股权投资基金合伙企业（有限合伙）（以下简称</w:t>
      </w:r>
    </w:p>
    <w:p>
      <w:pPr>
        <w:autoSpaceDN w:val="0"/>
        <w:tabs>
          <w:tab w:pos="7174" w:val="left"/>
        </w:tabs>
        <w:autoSpaceDE w:val="0"/>
        <w:widowControl/>
        <w:spacing w:line="180" w:lineRule="exact" w:before="52" w:after="0"/>
        <w:ind w:left="542" w:right="0" w:firstLine="0"/>
        <w:jc w:val="left"/>
      </w:pPr>
      <w:r>
        <w:rPr>
          <w:rFonts w:ascii="黑体" w:hAnsi="黑体" w:eastAsia="黑体"/>
          <w:b w:val="0"/>
          <w:i w:val="0"/>
          <w:color w:val="000000"/>
          <w:sz w:val="18"/>
        </w:rPr>
        <w:t xml:space="preserve">“山东新引擎”） </w:t>
      </w:r>
      <w:r>
        <w:tab/>
      </w:r>
      <w:r>
        <w:rPr>
          <w:rFonts w:ascii="黑体" w:hAnsi="黑体" w:eastAsia="黑体"/>
          <w:b w:val="0"/>
          <w:i w:val="0"/>
          <w:color w:val="000000"/>
          <w:sz w:val="18"/>
        </w:rPr>
        <w:t xml:space="preserve">受本集团重大影响 </w:t>
      </w:r>
    </w:p>
    <w:p>
      <w:pPr>
        <w:autoSpaceDN w:val="0"/>
        <w:tabs>
          <w:tab w:pos="7174" w:val="left"/>
        </w:tabs>
        <w:autoSpaceDE w:val="0"/>
        <w:widowControl/>
        <w:spacing w:line="180" w:lineRule="exact" w:before="54" w:after="54"/>
        <w:ind w:left="358" w:right="0" w:firstLine="0"/>
        <w:jc w:val="left"/>
      </w:pPr>
      <w:r>
        <w:rPr>
          <w:rFonts w:ascii="黑体" w:hAnsi="黑体" w:eastAsia="黑体"/>
          <w:b w:val="0"/>
          <w:i w:val="0"/>
          <w:color w:val="000000"/>
          <w:sz w:val="18"/>
        </w:rPr>
        <w:t xml:space="preserve">安徽省芯屏产业基金合伙企业（有限合伙）（以下简称“安徽芯屏”） </w:t>
      </w:r>
      <w:r>
        <w:rPr>
          <w:rFonts w:ascii="黑体" w:hAnsi="黑体" w:eastAsia="黑体"/>
          <w:b w:val="0"/>
          <w:i w:val="0"/>
          <w:color w:val="000000"/>
          <w:sz w:val="18"/>
        </w:rPr>
        <w:t xml:space="preserve">受本集团重大影响 </w:t>
      </w:r>
    </w:p>
    <w:p>
      <w:pPr>
        <w:sectPr>
          <w:type w:val="continuous"/>
          <w:pgSz w:w="11899" w:h="16841"/>
          <w:pgMar w:top="996" w:right="1440" w:bottom="360" w:left="1440" w:header="720" w:footer="720" w:gutter="0"/>
          <w:cols/>
          <w:docGrid w:linePitch="360"/>
        </w:sectPr>
      </w:pPr>
    </w:p>
    <w:p>
      <w:pPr>
        <w:autoSpaceDN w:val="0"/>
        <w:autoSpaceDE w:val="0"/>
        <w:widowControl/>
        <w:spacing w:line="216" w:lineRule="exact" w:before="0" w:after="0"/>
        <w:ind w:left="372" w:right="1152" w:firstLine="0"/>
        <w:jc w:val="left"/>
      </w:pPr>
      <w:r>
        <w:rPr>
          <w:rFonts w:ascii="黑体" w:hAnsi="黑体" w:eastAsia="黑体"/>
          <w:b w:val="0"/>
          <w:i w:val="0"/>
          <w:color w:val="000000"/>
          <w:sz w:val="18"/>
        </w:rPr>
        <w:t>汇安基金管理有限责任公司（以下简称“汇安基金”）</w:t>
      </w:r>
      <w:r>
        <w:rPr>
          <w:rFonts w:ascii="黑体" w:hAnsi="黑体" w:eastAsia="黑体"/>
          <w:b w:val="0"/>
          <w:i w:val="0"/>
          <w:color w:val="000000"/>
          <w:sz w:val="18"/>
        </w:rPr>
        <w:t xml:space="preserve">汇丰晋信基金管理有限公司（以下简称“汇丰晋信”） </w:t>
      </w:r>
      <w:r>
        <w:rPr>
          <w:rFonts w:ascii="黑体" w:hAnsi="黑体" w:eastAsia="黑体"/>
          <w:b w:val="0"/>
          <w:i w:val="0"/>
          <w:color w:val="000000"/>
          <w:sz w:val="18"/>
        </w:rPr>
        <w:t>吕梁国投集团有限公司（以下简称“吕梁国投”）</w:t>
      </w:r>
    </w:p>
    <w:p>
      <w:pPr>
        <w:sectPr>
          <w:type w:val="continuous"/>
          <w:pgSz w:w="11899" w:h="16841"/>
          <w:pgMar w:top="996" w:right="1440" w:bottom="360" w:left="1440" w:header="720" w:footer="720" w:gutter="0"/>
          <w:cols w:num="2" w:equalWidth="0">
            <w:col w:w="5934" w:space="0"/>
            <w:col w:w="3086" w:space="0"/>
          </w:cols>
          <w:docGrid w:linePitch="360"/>
        </w:sectPr>
      </w:pPr>
    </w:p>
    <w:p>
      <w:pPr>
        <w:autoSpaceDN w:val="0"/>
        <w:autoSpaceDE w:val="0"/>
        <w:widowControl/>
        <w:spacing w:line="216" w:lineRule="exact" w:before="0" w:after="56"/>
        <w:ind w:left="1240" w:right="288" w:firstLine="0"/>
        <w:jc w:val="left"/>
      </w:pPr>
      <w:r>
        <w:rPr>
          <w:rFonts w:ascii="黑体" w:hAnsi="黑体" w:eastAsia="黑体"/>
          <w:b w:val="0"/>
          <w:i w:val="0"/>
          <w:color w:val="000000"/>
          <w:sz w:val="18"/>
        </w:rPr>
        <w:t>公司监事任职企业</w:t>
      </w:r>
      <w:r>
        <w:br/>
      </w:r>
      <w:r>
        <w:rPr>
          <w:rFonts w:ascii="黑体" w:hAnsi="黑体" w:eastAsia="黑体"/>
          <w:b w:val="0"/>
          <w:i w:val="0"/>
          <w:color w:val="000000"/>
          <w:sz w:val="18"/>
        </w:rPr>
        <w:t xml:space="preserve">公司监事任职企业 </w:t>
      </w:r>
      <w:r>
        <w:br/>
      </w:r>
      <w:r>
        <w:rPr>
          <w:rFonts w:ascii="黑体" w:hAnsi="黑体" w:eastAsia="黑体"/>
          <w:b w:val="0"/>
          <w:i w:val="0"/>
          <w:color w:val="000000"/>
          <w:sz w:val="18"/>
        </w:rPr>
        <w:t>公司监事任职企业</w:t>
      </w:r>
    </w:p>
    <w:p>
      <w:pPr>
        <w:sectPr>
          <w:type w:val="nextColumn"/>
          <w:pgSz w:w="11899" w:h="16841"/>
          <w:pgMar w:top="996" w:right="1440" w:bottom="360" w:left="1440" w:header="720" w:footer="720" w:gutter="0"/>
          <w:cols w:num="2" w:equalWidth="0">
            <w:col w:w="5934" w:space="0"/>
            <w:col w:w="3086" w:space="0"/>
          </w:cols>
          <w:docGrid w:linePitch="360"/>
        </w:sectPr>
      </w:pPr>
    </w:p>
    <w:p>
      <w:pPr>
        <w:autoSpaceDN w:val="0"/>
        <w:tabs>
          <w:tab w:pos="7174" w:val="left"/>
        </w:tabs>
        <w:autoSpaceDE w:val="0"/>
        <w:widowControl/>
        <w:spacing w:line="180" w:lineRule="exact" w:before="0" w:after="52"/>
        <w:ind w:left="372" w:right="0" w:firstLine="0"/>
        <w:jc w:val="left"/>
      </w:pPr>
      <w:r>
        <w:rPr>
          <w:rFonts w:ascii="黑体" w:hAnsi="黑体" w:eastAsia="黑体"/>
          <w:b w:val="0"/>
          <w:i w:val="0"/>
          <w:color w:val="000000"/>
          <w:sz w:val="18"/>
        </w:rPr>
        <w:t>长治市财政保障中心（以下简称“长治市财政保障中心”）</w:t>
      </w:r>
      <w:r>
        <w:tab/>
      </w:r>
      <w:r>
        <w:rPr>
          <w:rFonts w:ascii="黑体" w:hAnsi="黑体" w:eastAsia="黑体"/>
          <w:b w:val="0"/>
          <w:i w:val="0"/>
          <w:color w:val="000000"/>
          <w:sz w:val="18"/>
        </w:rPr>
        <w:t>公司监事任职企业</w:t>
      </w:r>
    </w:p>
    <w:p>
      <w:pPr>
        <w:sectPr>
          <w:type w:val="continuous"/>
          <w:pgSz w:w="11899" w:h="16841"/>
          <w:pgMar w:top="996" w:right="1440" w:bottom="360" w:left="1440" w:header="720" w:footer="720" w:gutter="0"/>
          <w:cols/>
          <w:docGrid w:linePitch="360"/>
        </w:sectPr>
      </w:pPr>
    </w:p>
    <w:p>
      <w:pPr>
        <w:autoSpaceDN w:val="0"/>
        <w:autoSpaceDE w:val="0"/>
        <w:widowControl/>
        <w:spacing w:line="206" w:lineRule="exact" w:before="0" w:after="0"/>
        <w:ind w:left="372" w:right="1152" w:firstLine="0"/>
        <w:jc w:val="left"/>
      </w:pPr>
      <w:r>
        <w:rPr>
          <w:rFonts w:ascii="黑体" w:hAnsi="黑体" w:eastAsia="黑体"/>
          <w:b w:val="0"/>
          <w:i w:val="0"/>
          <w:color w:val="000000"/>
          <w:sz w:val="18"/>
        </w:rPr>
        <w:t xml:space="preserve">山西国瑞投资有限公司（以下简称“山西国瑞”） </w:t>
      </w:r>
      <w:r>
        <w:br/>
      </w:r>
      <w:r>
        <w:rPr>
          <w:rFonts w:ascii="黑体" w:hAnsi="黑体" w:eastAsia="黑体"/>
          <w:b w:val="0"/>
          <w:i w:val="0"/>
          <w:color w:val="000000"/>
          <w:sz w:val="18"/>
        </w:rPr>
        <w:t>长治市投资建设开发有限公司（以下简称“长治投资”）</w:t>
      </w:r>
    </w:p>
    <w:p>
      <w:pPr>
        <w:autoSpaceDN w:val="0"/>
        <w:autoSpaceDE w:val="0"/>
        <w:widowControl/>
        <w:spacing w:line="233" w:lineRule="auto" w:before="2614" w:after="0"/>
        <w:ind w:left="0" w:right="1244" w:firstLine="0"/>
        <w:jc w:val="right"/>
      </w:pPr>
      <w:r>
        <w:rPr>
          <w:rFonts w:ascii="Arial" w:hAnsi="Arial" w:eastAsia="Arial"/>
          <w:b w:val="0"/>
          <w:i w:val="0"/>
          <w:color w:val="000000"/>
          <w:sz w:val="20"/>
        </w:rPr>
        <w:t xml:space="preserve">266 </w:t>
      </w:r>
    </w:p>
    <w:p>
      <w:pPr>
        <w:sectPr>
          <w:type w:val="continuous"/>
          <w:pgSz w:w="11899" w:h="16841"/>
          <w:pgMar w:top="996" w:right="1440" w:bottom="360" w:left="1440" w:header="720" w:footer="720" w:gutter="0"/>
          <w:cols w:num="2" w:equalWidth="0">
            <w:col w:w="5978" w:space="0"/>
            <w:col w:w="3042" w:space="0"/>
          </w:cols>
          <w:docGrid w:linePitch="360"/>
        </w:sectPr>
      </w:pPr>
    </w:p>
    <w:p>
      <w:pPr>
        <w:autoSpaceDN w:val="0"/>
        <w:autoSpaceDE w:val="0"/>
        <w:widowControl/>
        <w:spacing w:line="206" w:lineRule="exact" w:before="0" w:after="0"/>
        <w:ind w:left="1196" w:right="288" w:firstLine="0"/>
        <w:jc w:val="left"/>
      </w:pPr>
      <w:r>
        <w:rPr>
          <w:rFonts w:ascii="黑体" w:hAnsi="黑体" w:eastAsia="黑体"/>
          <w:b w:val="0"/>
          <w:i w:val="0"/>
          <w:color w:val="000000"/>
          <w:sz w:val="18"/>
        </w:rPr>
        <w:t xml:space="preserve">公司监事任职企业 </w:t>
      </w:r>
      <w:r>
        <w:rPr>
          <w:rFonts w:ascii="黑体" w:hAnsi="黑体" w:eastAsia="黑体"/>
          <w:b w:val="0"/>
          <w:i w:val="0"/>
          <w:color w:val="000000"/>
          <w:sz w:val="18"/>
        </w:rPr>
        <w:t>公司监事任职企业</w:t>
      </w:r>
    </w:p>
    <w:p>
      <w:pPr>
        <w:sectPr>
          <w:type w:val="nextColumn"/>
          <w:pgSz w:w="11899" w:h="16841"/>
          <w:pgMar w:top="996" w:right="1440" w:bottom="360" w:left="1440" w:header="720" w:footer="720" w:gutter="0"/>
          <w:cols w:num="2" w:equalWidth="0">
            <w:col w:w="5978" w:space="0"/>
            <w:col w:w="3042" w:space="0"/>
          </w:cols>
          <w:docGrid w:linePitch="360"/>
        </w:sectPr>
      </w:pPr>
    </w:p>
    <w:p>
      <w:pPr>
        <w:autoSpaceDN w:val="0"/>
        <w:autoSpaceDE w:val="0"/>
        <w:widowControl/>
        <w:spacing w:line="220" w:lineRule="exact" w:before="0" w:after="768"/>
        <w:ind w:left="0" w:right="0"/>
      </w:pPr>
    </w:p>
    <w:p>
      <w:pPr>
        <w:autoSpaceDN w:val="0"/>
        <w:tabs>
          <w:tab w:pos="1198" w:val="left"/>
        </w:tabs>
        <w:autoSpaceDE w:val="0"/>
        <w:widowControl/>
        <w:spacing w:line="458" w:lineRule="exact" w:before="0" w:after="0"/>
        <w:ind w:left="358" w:right="2592" w:firstLine="0"/>
        <w:jc w:val="left"/>
      </w:pPr>
      <w:r>
        <w:rPr>
          <w:rFonts w:ascii="黑体" w:hAnsi="黑体" w:eastAsia="黑体"/>
          <w:b w:val="0"/>
          <w:i w:val="0"/>
          <w:color w:val="000000"/>
          <w:sz w:val="22"/>
        </w:rPr>
        <w:t>十、</w:t>
      </w:r>
      <w:r>
        <w:tab/>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定价政策</w:t>
      </w:r>
      <w:r>
        <w:br/>
      </w:r>
      <w:r>
        <w:rPr>
          <w:rFonts w:ascii="黑体" w:hAnsi="黑体" w:eastAsia="黑体"/>
          <w:b w:val="0"/>
          <w:i w:val="0"/>
          <w:color w:val="000000"/>
          <w:sz w:val="22"/>
        </w:rPr>
        <w:t>本集团与关联方的交易主要参考市场价格经双方协商后确定。</w:t>
      </w:r>
    </w:p>
    <w:p>
      <w:pPr>
        <w:autoSpaceDN w:val="0"/>
        <w:autoSpaceDE w:val="0"/>
        <w:widowControl/>
        <w:spacing w:line="526" w:lineRule="exact" w:before="26" w:after="22"/>
        <w:ind w:left="358" w:right="5904"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代理买卖证券</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代理买卖证券款余额</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388"/>
        </w:trPr>
        <w:tc>
          <w:tcPr>
            <w:tcW w:type="dxa" w:w="4564"/>
            <w:vMerge w:val="restart"/>
            <w:tcBorders/>
            <w:tcMar>
              <w:start w:w="0" w:type="dxa"/>
              <w:end w:w="0" w:type="dxa"/>
            </w:tcMar>
            <w:tcMar>
              <w:start w:w="0" w:type="dxa"/>
              <w:end w:w="0" w:type="dxa"/>
            </w:tcMar>
          </w:tcPr>
          <w:p>
            <w:pPr>
              <w:autoSpaceDN w:val="0"/>
              <w:autoSpaceDE w:val="0"/>
              <w:widowControl/>
              <w:spacing w:line="198" w:lineRule="exact" w:before="544" w:after="0"/>
              <w:ind w:left="198" w:right="0" w:firstLine="0"/>
              <w:jc w:val="left"/>
            </w:pPr>
            <w:r>
              <w:rPr>
                <w:rFonts w:ascii="黑体" w:hAnsi="黑体" w:eastAsia="黑体"/>
                <w:b w:val="0"/>
                <w:i w:val="0"/>
                <w:color w:val="000000"/>
                <w:sz w:val="20"/>
              </w:rPr>
              <w:t xml:space="preserve">太钢投资 </w:t>
            </w:r>
          </w:p>
        </w:tc>
        <w:tc>
          <w:tcPr>
            <w:tcW w:type="dxa" w:w="2098"/>
            <w:tcBorders/>
            <w:tcMar>
              <w:start w:w="0" w:type="dxa"/>
              <w:end w:w="0" w:type="dxa"/>
            </w:tcMar>
          </w:tcPr>
          <w:p>
            <w:pPr>
              <w:autoSpaceDN w:val="0"/>
              <w:autoSpaceDE w:val="0"/>
              <w:widowControl/>
              <w:spacing w:line="222" w:lineRule="exact" w:before="20" w:after="0"/>
              <w:ind w:left="382" w:right="0" w:firstLine="0"/>
              <w:jc w:val="left"/>
            </w:pPr>
            <w:r>
              <w:rPr>
                <w:rFonts w:ascii="Arial" w:hAnsi="Arial" w:eastAsia="Arial"/>
                <w:b w:val="0"/>
                <w:i w:val="0"/>
                <w:color w:val="000000"/>
                <w:sz w:val="20"/>
              </w:rPr>
              <w:t>2024</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c>
          <w:tcPr>
            <w:tcW w:type="dxa" w:w="1870"/>
            <w:tcBorders/>
            <w:tcMar>
              <w:start w:w="0" w:type="dxa"/>
              <w:end w:w="0" w:type="dxa"/>
            </w:tcMar>
          </w:tcPr>
          <w:p>
            <w:pPr>
              <w:autoSpaceDN w:val="0"/>
              <w:autoSpaceDE w:val="0"/>
              <w:widowControl/>
              <w:spacing w:line="222" w:lineRule="exact" w:before="20" w:after="0"/>
              <w:ind w:left="380" w:right="0" w:firstLine="0"/>
              <w:jc w:val="left"/>
            </w:pPr>
            <w:r>
              <w:rPr>
                <w:rFonts w:ascii="Arial" w:hAnsi="Arial" w:eastAsia="Arial"/>
                <w:b w:val="0"/>
                <w:i w:val="0"/>
                <w:color w:val="000000"/>
                <w:sz w:val="20"/>
              </w:rPr>
              <w:t>2023</w:t>
            </w:r>
            <w:r>
              <w:rPr>
                <w:rFonts w:ascii="黑体" w:hAnsi="黑体" w:eastAsia="黑体"/>
                <w:b w:val="0"/>
                <w:i w:val="0"/>
                <w:color w:val="000000"/>
                <w:sz w:val="20"/>
              </w:rPr>
              <w:t>年</w:t>
            </w:r>
            <w:r>
              <w:rPr>
                <w:rFonts w:ascii="Arial" w:hAnsi="Arial" w:eastAsia="Arial"/>
                <w:b w:val="0"/>
                <w:i w:val="0"/>
                <w:color w:val="000000"/>
                <w:sz w:val="20"/>
              </w:rPr>
              <w:t>12</w:t>
            </w:r>
            <w:r>
              <w:rPr>
                <w:rFonts w:ascii="黑体" w:hAnsi="黑体" w:eastAsia="黑体"/>
                <w:b w:val="0"/>
                <w:i w:val="0"/>
                <w:color w:val="000000"/>
                <w:sz w:val="20"/>
              </w:rPr>
              <w:t>月</w:t>
            </w:r>
            <w:r>
              <w:rPr>
                <w:rFonts w:ascii="Arial" w:hAnsi="Arial" w:eastAsia="Arial"/>
                <w:b w:val="0"/>
                <w:i w:val="0"/>
                <w:color w:val="000000"/>
                <w:sz w:val="20"/>
              </w:rPr>
              <w:t>31</w:t>
            </w:r>
            <w:r>
              <w:rPr>
                <w:rFonts w:ascii="黑体" w:hAnsi="黑体" w:eastAsia="黑体"/>
                <w:b w:val="0"/>
                <w:i w:val="0"/>
                <w:color w:val="000000"/>
                <w:sz w:val="20"/>
              </w:rPr>
              <w:t>日</w:t>
            </w:r>
          </w:p>
        </w:tc>
      </w:tr>
      <w:tr>
        <w:trPr>
          <w:trHeight w:hRule="exact" w:val="360"/>
        </w:trPr>
        <w:tc>
          <w:tcPr>
            <w:tcW w:type="dxa" w:w="3006"/>
            <w:vMerge/>
            <w:tcBorders/>
          </w:tcPr>
          <w:p/>
        </w:tc>
        <w:tc>
          <w:tcPr>
            <w:tcW w:type="dxa" w:w="2098"/>
            <w:tcBorders/>
            <w:tcMar>
              <w:start w:w="0" w:type="dxa"/>
              <w:end w:w="0" w:type="dxa"/>
            </w:tcMar>
          </w:tcPr>
          <w:p>
            <w:pPr>
              <w:autoSpaceDN w:val="0"/>
              <w:autoSpaceDE w:val="0"/>
              <w:widowControl/>
              <w:spacing w:line="233" w:lineRule="auto" w:before="138" w:after="0"/>
              <w:ind w:left="0" w:right="228" w:firstLine="0"/>
              <w:jc w:val="right"/>
            </w:pPr>
            <w:r>
              <w:rPr>
                <w:rFonts w:ascii="Arial" w:hAnsi="Arial" w:eastAsia="Arial"/>
                <w:b w:val="0"/>
                <w:i w:val="0"/>
                <w:color w:val="000000"/>
                <w:sz w:val="20"/>
              </w:rPr>
              <w:t>124,266,294</w:t>
            </w:r>
          </w:p>
        </w:tc>
        <w:tc>
          <w:tcPr>
            <w:tcW w:type="dxa" w:w="1870"/>
            <w:tcBorders/>
            <w:tcMar>
              <w:start w:w="0" w:type="dxa"/>
              <w:end w:w="0" w:type="dxa"/>
            </w:tcMar>
          </w:tcPr>
          <w:p>
            <w:pPr>
              <w:autoSpaceDN w:val="0"/>
              <w:autoSpaceDE w:val="0"/>
              <w:widowControl/>
              <w:spacing w:line="233" w:lineRule="auto" w:before="138" w:after="0"/>
              <w:ind w:left="0" w:right="2" w:firstLine="0"/>
              <w:jc w:val="right"/>
            </w:pPr>
            <w:r>
              <w:rPr>
                <w:rFonts w:ascii="Arial" w:hAnsi="Arial" w:eastAsia="Arial"/>
                <w:b w:val="0"/>
                <w:i w:val="0"/>
                <w:color w:val="000000"/>
                <w:sz w:val="20"/>
              </w:rPr>
              <w:t>4,375</w:t>
            </w:r>
          </w:p>
        </w:tc>
      </w:tr>
      <w:tr>
        <w:trPr>
          <w:trHeight w:hRule="exact" w:val="260"/>
        </w:trPr>
        <w:tc>
          <w:tcPr>
            <w:tcW w:type="dxa" w:w="4564"/>
            <w:tcBorders/>
            <w:tcMar>
              <w:start w:w="0" w:type="dxa"/>
              <w:end w:w="0" w:type="dxa"/>
            </w:tcMar>
          </w:tcPr>
          <w:p>
            <w:pPr>
              <w:autoSpaceDN w:val="0"/>
              <w:autoSpaceDE w:val="0"/>
              <w:widowControl/>
              <w:spacing w:line="200" w:lineRule="exact" w:before="54" w:after="0"/>
              <w:ind w:left="198" w:right="0" w:firstLine="0"/>
              <w:jc w:val="left"/>
            </w:pPr>
            <w:r>
              <w:rPr>
                <w:rFonts w:ascii="黑体" w:hAnsi="黑体" w:eastAsia="黑体"/>
                <w:b w:val="0"/>
                <w:i w:val="0"/>
                <w:color w:val="000000"/>
                <w:sz w:val="20"/>
              </w:rPr>
              <w:t xml:space="preserve">山西国电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17,473,078</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9,927</w:t>
            </w:r>
          </w:p>
        </w:tc>
      </w:tr>
      <w:tr>
        <w:trPr>
          <w:trHeight w:hRule="exact" w:val="260"/>
        </w:trPr>
        <w:tc>
          <w:tcPr>
            <w:tcW w:type="dxa" w:w="4564"/>
            <w:tcBorders/>
            <w:tcMar>
              <w:start w:w="0" w:type="dxa"/>
              <w:end w:w="0" w:type="dxa"/>
            </w:tcMar>
          </w:tcPr>
          <w:p>
            <w:pPr>
              <w:autoSpaceDN w:val="0"/>
              <w:autoSpaceDE w:val="0"/>
              <w:widowControl/>
              <w:spacing w:line="200" w:lineRule="exact" w:before="54" w:after="0"/>
              <w:ind w:left="198" w:right="0" w:firstLine="0"/>
              <w:jc w:val="left"/>
            </w:pPr>
            <w:r>
              <w:rPr>
                <w:rFonts w:ascii="黑体" w:hAnsi="黑体" w:eastAsia="黑体"/>
                <w:b w:val="0"/>
                <w:i w:val="0"/>
                <w:color w:val="000000"/>
                <w:sz w:val="20"/>
              </w:rPr>
              <w:t xml:space="preserve">太钢集团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15,773,629</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4</w:t>
            </w:r>
          </w:p>
        </w:tc>
      </w:tr>
      <w:tr>
        <w:trPr>
          <w:trHeight w:hRule="exact" w:val="260"/>
        </w:trPr>
        <w:tc>
          <w:tcPr>
            <w:tcW w:type="dxa" w:w="4564"/>
            <w:tcBorders/>
            <w:tcMar>
              <w:start w:w="0" w:type="dxa"/>
              <w:end w:w="0" w:type="dxa"/>
            </w:tcMar>
          </w:tcPr>
          <w:p>
            <w:pPr>
              <w:autoSpaceDN w:val="0"/>
              <w:autoSpaceDE w:val="0"/>
              <w:widowControl/>
              <w:spacing w:line="198" w:lineRule="exact" w:before="54" w:after="0"/>
              <w:ind w:left="198" w:right="0" w:firstLine="0"/>
              <w:jc w:val="left"/>
            </w:pPr>
            <w:r>
              <w:rPr>
                <w:rFonts w:ascii="黑体" w:hAnsi="黑体" w:eastAsia="黑体"/>
                <w:b w:val="0"/>
                <w:i w:val="0"/>
                <w:color w:val="000000"/>
                <w:sz w:val="20"/>
              </w:rPr>
              <w:t xml:space="preserve">上海万方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7,107,378</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184</w:t>
            </w:r>
          </w:p>
        </w:tc>
      </w:tr>
      <w:tr>
        <w:trPr>
          <w:trHeight w:hRule="exact" w:val="260"/>
        </w:trPr>
        <w:tc>
          <w:tcPr>
            <w:tcW w:type="dxa" w:w="4564"/>
            <w:tcBorders/>
            <w:tcMar>
              <w:start w:w="0" w:type="dxa"/>
              <w:end w:w="0" w:type="dxa"/>
            </w:tcMar>
          </w:tcPr>
          <w:p>
            <w:pPr>
              <w:autoSpaceDN w:val="0"/>
              <w:autoSpaceDE w:val="0"/>
              <w:widowControl/>
              <w:spacing w:line="200" w:lineRule="exact" w:before="52" w:after="0"/>
              <w:ind w:left="198" w:right="0" w:firstLine="0"/>
              <w:jc w:val="left"/>
            </w:pPr>
            <w:r>
              <w:rPr>
                <w:rFonts w:ascii="黑体" w:hAnsi="黑体" w:eastAsia="黑体"/>
                <w:b w:val="0"/>
                <w:i w:val="0"/>
                <w:color w:val="000000"/>
                <w:sz w:val="20"/>
              </w:rPr>
              <w:t xml:space="preserve">中小创投基金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3,324,137</w:t>
            </w:r>
          </w:p>
        </w:tc>
        <w:tc>
          <w:tcPr>
            <w:tcW w:type="dxa" w:w="1870"/>
            <w:tcBorders/>
            <w:tcMar>
              <w:start w:w="0" w:type="dxa"/>
              <w:end w:w="0" w:type="dxa"/>
            </w:tcMar>
          </w:tcPr>
          <w:p>
            <w:pPr>
              <w:autoSpaceDN w:val="0"/>
              <w:autoSpaceDE w:val="0"/>
              <w:widowControl/>
              <w:spacing w:line="233" w:lineRule="auto" w:before="26" w:after="0"/>
              <w:ind w:left="0" w:right="0" w:firstLine="0"/>
              <w:jc w:val="right"/>
            </w:pPr>
            <w:r>
              <w:rPr>
                <w:rFonts w:ascii="Arial" w:hAnsi="Arial" w:eastAsia="Arial"/>
                <w:b w:val="0"/>
                <w:i w:val="0"/>
                <w:color w:val="000000"/>
                <w:sz w:val="20"/>
              </w:rPr>
              <w:t>-</w:t>
            </w:r>
          </w:p>
        </w:tc>
      </w:tr>
      <w:tr>
        <w:trPr>
          <w:trHeight w:hRule="exact" w:val="260"/>
        </w:trPr>
        <w:tc>
          <w:tcPr>
            <w:tcW w:type="dxa" w:w="4564"/>
            <w:tcBorders/>
            <w:tcMar>
              <w:start w:w="0" w:type="dxa"/>
              <w:end w:w="0" w:type="dxa"/>
            </w:tcMar>
          </w:tcPr>
          <w:p>
            <w:pPr>
              <w:autoSpaceDN w:val="0"/>
              <w:autoSpaceDE w:val="0"/>
              <w:widowControl/>
              <w:spacing w:line="198" w:lineRule="exact" w:before="52" w:after="0"/>
              <w:ind w:left="198" w:right="0" w:firstLine="0"/>
              <w:jc w:val="left"/>
            </w:pPr>
            <w:r>
              <w:rPr>
                <w:rFonts w:ascii="黑体" w:hAnsi="黑体" w:eastAsia="黑体"/>
                <w:b w:val="0"/>
                <w:i w:val="0"/>
                <w:color w:val="000000"/>
                <w:sz w:val="20"/>
              </w:rPr>
              <w:t xml:space="preserve">龙华股融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1,183,702</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1,180,638</w:t>
            </w:r>
          </w:p>
        </w:tc>
      </w:tr>
      <w:tr>
        <w:trPr>
          <w:trHeight w:hRule="exact" w:val="260"/>
        </w:trPr>
        <w:tc>
          <w:tcPr>
            <w:tcW w:type="dxa" w:w="4564"/>
            <w:tcBorders/>
            <w:tcMar>
              <w:start w:w="0" w:type="dxa"/>
              <w:end w:w="0" w:type="dxa"/>
            </w:tcMar>
          </w:tcPr>
          <w:p>
            <w:pPr>
              <w:autoSpaceDN w:val="0"/>
              <w:autoSpaceDE w:val="0"/>
              <w:widowControl/>
              <w:spacing w:line="200" w:lineRule="exact" w:before="50" w:after="0"/>
              <w:ind w:left="198" w:right="0" w:firstLine="0"/>
              <w:jc w:val="left"/>
            </w:pPr>
            <w:r>
              <w:rPr>
                <w:rFonts w:ascii="黑体" w:hAnsi="黑体" w:eastAsia="黑体"/>
                <w:b w:val="0"/>
                <w:i w:val="0"/>
                <w:color w:val="000000"/>
                <w:sz w:val="20"/>
              </w:rPr>
              <w:t xml:space="preserve">吕梁国投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289,601</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234</w:t>
            </w:r>
          </w:p>
        </w:tc>
      </w:tr>
      <w:tr>
        <w:trPr>
          <w:trHeight w:hRule="exact" w:val="260"/>
        </w:trPr>
        <w:tc>
          <w:tcPr>
            <w:tcW w:type="dxa" w:w="4564"/>
            <w:tcBorders/>
            <w:tcMar>
              <w:start w:w="0" w:type="dxa"/>
              <w:end w:w="0" w:type="dxa"/>
            </w:tcMar>
          </w:tcPr>
          <w:p>
            <w:pPr>
              <w:autoSpaceDN w:val="0"/>
              <w:autoSpaceDE w:val="0"/>
              <w:widowControl/>
              <w:spacing w:line="200" w:lineRule="exact" w:before="50" w:after="0"/>
              <w:ind w:left="198" w:right="0" w:firstLine="0"/>
              <w:jc w:val="left"/>
            </w:pPr>
            <w:r>
              <w:rPr>
                <w:rFonts w:ascii="黑体" w:hAnsi="黑体" w:eastAsia="黑体"/>
                <w:b w:val="0"/>
                <w:i w:val="0"/>
                <w:color w:val="000000"/>
                <w:sz w:val="20"/>
              </w:rPr>
              <w:t xml:space="preserve">山西银行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53,721</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16,121,255</w:t>
            </w:r>
          </w:p>
        </w:tc>
      </w:tr>
      <w:tr>
        <w:trPr>
          <w:trHeight w:hRule="exact" w:val="260"/>
        </w:trPr>
        <w:tc>
          <w:tcPr>
            <w:tcW w:type="dxa" w:w="4564"/>
            <w:tcBorders/>
            <w:tcMar>
              <w:start w:w="0" w:type="dxa"/>
              <w:end w:w="0" w:type="dxa"/>
            </w:tcMar>
          </w:tcPr>
          <w:p>
            <w:pPr>
              <w:autoSpaceDN w:val="0"/>
              <w:autoSpaceDE w:val="0"/>
              <w:widowControl/>
              <w:spacing w:line="198" w:lineRule="exact" w:before="50" w:after="0"/>
              <w:ind w:left="198" w:right="0" w:firstLine="0"/>
              <w:jc w:val="left"/>
            </w:pPr>
            <w:r>
              <w:rPr>
                <w:rFonts w:ascii="黑体" w:hAnsi="黑体" w:eastAsia="黑体"/>
                <w:b w:val="0"/>
                <w:i w:val="0"/>
                <w:color w:val="000000"/>
                <w:sz w:val="20"/>
              </w:rPr>
              <w:t xml:space="preserve">山西卓融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7,127</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7,109</w:t>
            </w:r>
          </w:p>
        </w:tc>
      </w:tr>
      <w:tr>
        <w:trPr>
          <w:trHeight w:hRule="exact" w:val="260"/>
        </w:trPr>
        <w:tc>
          <w:tcPr>
            <w:tcW w:type="dxa" w:w="4564"/>
            <w:tcBorders/>
            <w:tcMar>
              <w:start w:w="0" w:type="dxa"/>
              <w:end w:w="0" w:type="dxa"/>
            </w:tcMar>
          </w:tcPr>
          <w:p>
            <w:pPr>
              <w:autoSpaceDN w:val="0"/>
              <w:autoSpaceDE w:val="0"/>
              <w:widowControl/>
              <w:spacing w:line="200" w:lineRule="exact" w:before="48" w:after="0"/>
              <w:ind w:left="198" w:right="0" w:firstLine="0"/>
              <w:jc w:val="left"/>
            </w:pPr>
            <w:r>
              <w:rPr>
                <w:rFonts w:ascii="黑体" w:hAnsi="黑体" w:eastAsia="黑体"/>
                <w:b w:val="0"/>
                <w:i w:val="0"/>
                <w:color w:val="000000"/>
                <w:sz w:val="20"/>
              </w:rPr>
              <w:t xml:space="preserve">山西金控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5,571</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5,557</w:t>
            </w:r>
          </w:p>
        </w:tc>
      </w:tr>
      <w:tr>
        <w:trPr>
          <w:trHeight w:hRule="exact" w:val="260"/>
        </w:trPr>
        <w:tc>
          <w:tcPr>
            <w:tcW w:type="dxa" w:w="4564"/>
            <w:tcBorders/>
            <w:tcMar>
              <w:start w:w="0" w:type="dxa"/>
              <w:end w:w="0" w:type="dxa"/>
            </w:tcMar>
          </w:tcPr>
          <w:p>
            <w:pPr>
              <w:autoSpaceDN w:val="0"/>
              <w:autoSpaceDE w:val="0"/>
              <w:widowControl/>
              <w:spacing w:line="200" w:lineRule="exact" w:before="50" w:after="0"/>
              <w:ind w:left="198" w:right="0" w:firstLine="0"/>
              <w:jc w:val="left"/>
            </w:pPr>
            <w:r>
              <w:rPr>
                <w:rFonts w:ascii="黑体" w:hAnsi="黑体" w:eastAsia="黑体"/>
                <w:b w:val="0"/>
                <w:i w:val="0"/>
                <w:color w:val="000000"/>
                <w:sz w:val="20"/>
              </w:rPr>
              <w:t xml:space="preserve">金控资本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3,996</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3,366</w:t>
            </w:r>
          </w:p>
        </w:tc>
      </w:tr>
      <w:tr>
        <w:trPr>
          <w:trHeight w:hRule="exact" w:val="260"/>
        </w:trPr>
        <w:tc>
          <w:tcPr>
            <w:tcW w:type="dxa" w:w="4564"/>
            <w:tcBorders/>
            <w:tcMar>
              <w:start w:w="0" w:type="dxa"/>
              <w:end w:w="0" w:type="dxa"/>
            </w:tcMar>
          </w:tcPr>
          <w:p>
            <w:pPr>
              <w:autoSpaceDN w:val="0"/>
              <w:autoSpaceDE w:val="0"/>
              <w:widowControl/>
              <w:spacing w:line="198" w:lineRule="exact" w:before="50" w:after="0"/>
              <w:ind w:left="198" w:right="0" w:firstLine="0"/>
              <w:jc w:val="left"/>
            </w:pPr>
            <w:r>
              <w:rPr>
                <w:rFonts w:ascii="黑体" w:hAnsi="黑体" w:eastAsia="黑体"/>
                <w:b w:val="0"/>
                <w:i w:val="0"/>
                <w:color w:val="000000"/>
                <w:sz w:val="20"/>
              </w:rPr>
              <w:t xml:space="preserve">国信文旅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3,531</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3,522</w:t>
            </w:r>
          </w:p>
        </w:tc>
      </w:tr>
      <w:tr>
        <w:trPr>
          <w:trHeight w:hRule="exact" w:val="260"/>
        </w:trPr>
        <w:tc>
          <w:tcPr>
            <w:tcW w:type="dxa" w:w="4564"/>
            <w:tcBorders/>
            <w:tcMar>
              <w:start w:w="0" w:type="dxa"/>
              <w:end w:w="0" w:type="dxa"/>
            </w:tcMar>
          </w:tcPr>
          <w:p>
            <w:pPr>
              <w:autoSpaceDN w:val="0"/>
              <w:autoSpaceDE w:val="0"/>
              <w:widowControl/>
              <w:spacing w:line="200" w:lineRule="exact" w:before="48" w:after="0"/>
              <w:ind w:left="198" w:right="0" w:firstLine="0"/>
              <w:jc w:val="left"/>
            </w:pPr>
            <w:r>
              <w:rPr>
                <w:rFonts w:ascii="黑体" w:hAnsi="黑体" w:eastAsia="黑体"/>
                <w:b w:val="0"/>
                <w:i w:val="0"/>
                <w:color w:val="000000"/>
                <w:sz w:val="20"/>
              </w:rPr>
              <w:t xml:space="preserve">长治投资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2,375</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2,368</w:t>
            </w:r>
          </w:p>
        </w:tc>
      </w:tr>
      <w:tr>
        <w:trPr>
          <w:trHeight w:hRule="exact" w:val="260"/>
        </w:trPr>
        <w:tc>
          <w:tcPr>
            <w:tcW w:type="dxa" w:w="4564"/>
            <w:tcBorders/>
            <w:tcMar>
              <w:start w:w="0" w:type="dxa"/>
              <w:end w:w="0" w:type="dxa"/>
            </w:tcMar>
          </w:tcPr>
          <w:p>
            <w:pPr>
              <w:autoSpaceDN w:val="0"/>
              <w:autoSpaceDE w:val="0"/>
              <w:widowControl/>
              <w:spacing w:line="200" w:lineRule="exact" w:before="48" w:after="0"/>
              <w:ind w:left="198" w:right="0" w:firstLine="0"/>
              <w:jc w:val="left"/>
            </w:pPr>
            <w:r>
              <w:rPr>
                <w:rFonts w:ascii="黑体" w:hAnsi="黑体" w:eastAsia="黑体"/>
                <w:b w:val="0"/>
                <w:i w:val="0"/>
                <w:color w:val="000000"/>
                <w:sz w:val="20"/>
              </w:rPr>
              <w:t xml:space="preserve">山西金租 </w:t>
            </w:r>
          </w:p>
        </w:tc>
        <w:tc>
          <w:tcPr>
            <w:tcW w:type="dxa" w:w="2098"/>
            <w:tcBorders/>
            <w:tcMar>
              <w:start w:w="0" w:type="dxa"/>
              <w:end w:w="0" w:type="dxa"/>
            </w:tcMar>
          </w:tcPr>
          <w:p>
            <w:pPr>
              <w:autoSpaceDN w:val="0"/>
              <w:autoSpaceDE w:val="0"/>
              <w:widowControl/>
              <w:spacing w:line="233" w:lineRule="auto" w:before="38" w:after="0"/>
              <w:ind w:left="0" w:right="228" w:firstLine="0"/>
              <w:jc w:val="right"/>
            </w:pPr>
            <w:r>
              <w:rPr>
                <w:rFonts w:ascii="Arial" w:hAnsi="Arial" w:eastAsia="Arial"/>
                <w:b w:val="0"/>
                <w:i w:val="0"/>
                <w:color w:val="000000"/>
                <w:sz w:val="20"/>
              </w:rPr>
              <w:t>2,011</w:t>
            </w:r>
          </w:p>
        </w:tc>
        <w:tc>
          <w:tcPr>
            <w:tcW w:type="dxa" w:w="1870"/>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2,006</w:t>
            </w:r>
          </w:p>
        </w:tc>
      </w:tr>
      <w:tr>
        <w:trPr>
          <w:trHeight w:hRule="exact" w:val="240"/>
        </w:trPr>
        <w:tc>
          <w:tcPr>
            <w:tcW w:type="dxa" w:w="4564"/>
            <w:tcBorders/>
            <w:tcMar>
              <w:start w:w="0" w:type="dxa"/>
              <w:end w:w="0" w:type="dxa"/>
            </w:tcMar>
          </w:tcPr>
          <w:p>
            <w:pPr>
              <w:autoSpaceDN w:val="0"/>
              <w:autoSpaceDE w:val="0"/>
              <w:widowControl/>
              <w:spacing w:line="198" w:lineRule="exact" w:before="42" w:after="0"/>
              <w:ind w:left="198" w:right="0" w:firstLine="0"/>
              <w:jc w:val="left"/>
            </w:pPr>
            <w:r>
              <w:rPr>
                <w:rFonts w:ascii="黑体" w:hAnsi="黑体" w:eastAsia="黑体"/>
                <w:b w:val="0"/>
                <w:i w:val="0"/>
                <w:color w:val="000000"/>
                <w:sz w:val="20"/>
              </w:rPr>
              <w:t xml:space="preserve">山西信托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0" w:after="0"/>
              <w:ind w:left="0" w:right="228" w:firstLine="0"/>
              <w:jc w:val="right"/>
            </w:pPr>
            <w:r>
              <w:rPr>
                <w:rFonts w:ascii="Arial" w:hAnsi="Arial" w:eastAsia="Arial"/>
                <w:b w:val="0"/>
                <w:i w:val="0"/>
                <w:color w:val="000000"/>
                <w:sz w:val="20"/>
              </w:rPr>
              <w:t>789</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0" w:after="0"/>
              <w:ind w:left="0" w:right="2" w:firstLine="0"/>
              <w:jc w:val="right"/>
            </w:pPr>
            <w:r>
              <w:rPr>
                <w:rFonts w:ascii="Arial" w:hAnsi="Arial" w:eastAsia="Arial"/>
                <w:b w:val="0"/>
                <w:i w:val="0"/>
                <w:color w:val="000000"/>
                <w:sz w:val="20"/>
              </w:rPr>
              <w:t>35,836,918</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长治市财政保障中心 </w:t>
            </w:r>
          </w:p>
        </w:tc>
        <w:tc>
          <w:tcPr>
            <w:tcW w:type="dxa" w:w="3006"/>
            <w:vMerge/>
            <w:tcBorders/>
          </w:tcPr>
          <w:p/>
        </w:tc>
        <w:tc>
          <w:tcPr>
            <w:tcW w:type="dxa" w:w="3006"/>
            <w:vMerge/>
            <w:tcBorders/>
          </w:tcPr>
          <w:p/>
        </w:tc>
      </w:tr>
      <w:tr>
        <w:trPr>
          <w:trHeight w:hRule="exact" w:val="208"/>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8" w:firstLine="0"/>
              <w:jc w:val="right"/>
            </w:pPr>
            <w:r>
              <w:rPr>
                <w:rFonts w:ascii="Arial" w:hAnsi="Arial" w:eastAsia="Arial"/>
                <w:b w:val="0"/>
                <w:i w:val="0"/>
                <w:color w:val="000000"/>
                <w:sz w:val="20"/>
              </w:rPr>
              <w:t>693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637</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股权交易中心 </w:t>
            </w:r>
          </w:p>
        </w:tc>
        <w:tc>
          <w:tcPr>
            <w:tcW w:type="dxa" w:w="3006"/>
            <w:vMerge/>
            <w:tcBorders/>
          </w:tcPr>
          <w:p/>
        </w:tc>
        <w:tc>
          <w:tcPr>
            <w:tcW w:type="dxa" w:w="3006"/>
            <w:vMerge/>
            <w:tcBorders/>
          </w:tcPr>
          <w:p/>
        </w:tc>
      </w:tr>
      <w:tr>
        <w:trPr>
          <w:trHeight w:hRule="exact" w:val="21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8" w:firstLine="0"/>
              <w:jc w:val="right"/>
            </w:pPr>
            <w:r>
              <w:rPr>
                <w:rFonts w:ascii="Arial" w:hAnsi="Arial" w:eastAsia="Arial"/>
                <w:b w:val="0"/>
                <w:i w:val="0"/>
                <w:color w:val="000000"/>
                <w:sz w:val="20"/>
              </w:rPr>
              <w:t>500</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500</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4" w:after="0"/>
              <w:ind w:left="198" w:right="0" w:firstLine="0"/>
              <w:jc w:val="left"/>
            </w:pPr>
            <w:r>
              <w:rPr>
                <w:rFonts w:ascii="黑体" w:hAnsi="黑体" w:eastAsia="黑体"/>
                <w:b w:val="0"/>
                <w:i w:val="0"/>
                <w:color w:val="000000"/>
                <w:sz w:val="20"/>
              </w:rPr>
              <w:t xml:space="preserve">金信清洁 </w:t>
            </w:r>
          </w:p>
        </w:tc>
        <w:tc>
          <w:tcPr>
            <w:tcW w:type="dxa" w:w="3006"/>
            <w:vMerge/>
            <w:tcBorders/>
          </w:tcPr>
          <w:p/>
        </w:tc>
        <w:tc>
          <w:tcPr>
            <w:tcW w:type="dxa" w:w="3006"/>
            <w:vMerge/>
            <w:tcBorders/>
          </w:tcPr>
          <w:p/>
        </w:tc>
      </w:tr>
      <w:tr>
        <w:trPr>
          <w:trHeight w:hRule="exact" w:val="244"/>
        </w:trPr>
        <w:tc>
          <w:tcPr>
            <w:tcW w:type="dxa" w:w="3006"/>
            <w:vMerge/>
            <w:tcBorders/>
          </w:tcPr>
          <w:p/>
        </w:tc>
        <w:tc>
          <w:tcPr>
            <w:tcW w:type="dxa" w:w="2098"/>
            <w:tcBorders/>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0"/>
              </w:rPr>
              <w:t>223</w:t>
            </w:r>
          </w:p>
        </w:tc>
        <w:tc>
          <w:tcPr>
            <w:tcW w:type="dxa" w:w="1870"/>
            <w:tcBorders/>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223</w:t>
            </w:r>
          </w:p>
        </w:tc>
      </w:tr>
      <w:tr>
        <w:trPr>
          <w:trHeight w:hRule="exact" w:val="227"/>
        </w:trPr>
        <w:tc>
          <w:tcPr>
            <w:tcW w:type="dxa" w:w="4564"/>
            <w:tcBorders/>
            <w:tcMar>
              <w:start w:w="0" w:type="dxa"/>
              <w:end w:w="0" w:type="dxa"/>
            </w:tcMar>
          </w:tcPr>
          <w:p>
            <w:pPr>
              <w:autoSpaceDN w:val="0"/>
              <w:autoSpaceDE w:val="0"/>
              <w:widowControl/>
              <w:spacing w:line="200" w:lineRule="exact" w:before="28" w:after="0"/>
              <w:ind w:left="198" w:right="0" w:firstLine="0"/>
              <w:jc w:val="left"/>
            </w:pPr>
            <w:r>
              <w:rPr>
                <w:rFonts w:ascii="黑体" w:hAnsi="黑体" w:eastAsia="黑体"/>
                <w:b w:val="0"/>
                <w:i w:val="0"/>
                <w:color w:val="000000"/>
                <w:sz w:val="20"/>
              </w:rPr>
              <w:t xml:space="preserve">国信物业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4" w:after="0"/>
              <w:ind w:left="0" w:right="228" w:firstLine="0"/>
              <w:jc w:val="right"/>
            </w:pPr>
            <w:r>
              <w:rPr>
                <w:rFonts w:ascii="Arial" w:hAnsi="Arial" w:eastAsia="Arial"/>
                <w:b w:val="0"/>
                <w:i w:val="0"/>
                <w:color w:val="000000"/>
                <w:sz w:val="20"/>
              </w:rPr>
              <w:t>151</w:t>
            </w:r>
          </w:p>
        </w:tc>
        <w:tc>
          <w:tcPr>
            <w:tcW w:type="dxa" w:w="1870"/>
            <w:tcBorders/>
            <w:tcMar>
              <w:start w:w="0" w:type="dxa"/>
              <w:end w:w="0" w:type="dxa"/>
            </w:tcMar>
          </w:tcPr>
          <w:p>
            <w:pPr>
              <w:autoSpaceDN w:val="0"/>
              <w:autoSpaceDE w:val="0"/>
              <w:widowControl/>
              <w:spacing w:line="233" w:lineRule="auto" w:before="6" w:after="0"/>
              <w:ind w:left="0" w:right="0" w:firstLine="0"/>
              <w:jc w:val="right"/>
            </w:pPr>
            <w:r>
              <w:rPr>
                <w:rFonts w:ascii="Arial" w:hAnsi="Arial" w:eastAsia="Arial"/>
                <w:b w:val="0"/>
                <w:i w:val="0"/>
                <w:color w:val="000000"/>
                <w:sz w:val="20"/>
              </w:rPr>
              <w:t>-</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义信利 </w:t>
            </w:r>
          </w:p>
        </w:tc>
        <w:tc>
          <w:tcPr>
            <w:tcW w:type="dxa" w:w="3006"/>
            <w:vMerge/>
            <w:tcBorders/>
          </w:tcPr>
          <w:p/>
        </w:tc>
        <w:tc>
          <w:tcPr>
            <w:tcW w:type="dxa" w:w="187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20"/>
              </w:rPr>
              <w:t>110</w:t>
            </w:r>
          </w:p>
        </w:tc>
      </w:tr>
      <w:tr>
        <w:trPr>
          <w:trHeight w:hRule="exact" w:val="21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0"/>
              </w:rPr>
              <w:t>110</w:t>
            </w:r>
          </w:p>
        </w:tc>
        <w:tc>
          <w:tcPr>
            <w:tcW w:type="dxa" w:w="3006"/>
            <w:vMerge/>
            <w:tcBorders/>
          </w:tcP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国有投融资 </w:t>
            </w:r>
          </w:p>
        </w:tc>
        <w:tc>
          <w:tcPr>
            <w:tcW w:type="dxa" w:w="3006"/>
            <w:vMerge/>
            <w:tcBorders/>
          </w:tcPr>
          <w:p/>
        </w:tc>
        <w:tc>
          <w:tcPr>
            <w:tcW w:type="dxa" w:w="3006"/>
            <w:vMerge/>
            <w:tcBorders/>
          </w:tcPr>
          <w:p/>
        </w:tc>
      </w:tr>
      <w:tr>
        <w:trPr>
          <w:trHeight w:hRule="exact" w:val="212"/>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0"/>
              </w:rPr>
              <w:t>85</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85</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财惠基金 </w:t>
            </w:r>
          </w:p>
        </w:tc>
        <w:tc>
          <w:tcPr>
            <w:tcW w:type="dxa" w:w="3006"/>
            <w:vMerge/>
            <w:tcBorders/>
          </w:tcPr>
          <w:p/>
        </w:tc>
        <w:tc>
          <w:tcPr>
            <w:tcW w:type="dxa" w:w="3006"/>
            <w:vMerge/>
            <w:tcBorders/>
          </w:tcPr>
          <w:p/>
        </w:tc>
      </w:tr>
      <w:tr>
        <w:trPr>
          <w:trHeight w:hRule="exact" w:val="21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6" w:firstLine="0"/>
              <w:jc w:val="right"/>
            </w:pPr>
            <w:r>
              <w:rPr>
                <w:rFonts w:ascii="Arial" w:hAnsi="Arial" w:eastAsia="Arial"/>
                <w:b w:val="0"/>
                <w:i w:val="0"/>
                <w:color w:val="000000"/>
                <w:sz w:val="20"/>
              </w:rPr>
              <w:t>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3</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山西再担保 </w:t>
            </w:r>
          </w:p>
        </w:tc>
        <w:tc>
          <w:tcPr>
            <w:tcW w:type="dxa" w:w="3006"/>
            <w:vMerge/>
            <w:tcBorders/>
          </w:tcPr>
          <w:p/>
        </w:tc>
        <w:tc>
          <w:tcPr>
            <w:tcW w:type="dxa" w:w="3006"/>
            <w:vMerge/>
            <w:tcBorders/>
          </w:tcPr>
          <w:p/>
        </w:tc>
      </w:tr>
      <w:tr>
        <w:trPr>
          <w:trHeight w:hRule="exact" w:val="212"/>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346,844</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北京卓融 </w:t>
            </w:r>
          </w:p>
        </w:tc>
        <w:tc>
          <w:tcPr>
            <w:tcW w:type="dxa" w:w="3006"/>
            <w:vMerge/>
            <w:tcBorders/>
          </w:tcPr>
          <w:p/>
        </w:tc>
        <w:tc>
          <w:tcPr>
            <w:tcW w:type="dxa" w:w="3006"/>
            <w:vMerge/>
            <w:tcBorders/>
          </w:tcPr>
          <w:p/>
        </w:tc>
      </w:tr>
      <w:tr>
        <w:trPr>
          <w:trHeight w:hRule="exact" w:val="21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27,109</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焦化集团 </w:t>
            </w:r>
          </w:p>
        </w:tc>
        <w:tc>
          <w:tcPr>
            <w:tcW w:type="dxa" w:w="3006"/>
            <w:vMerge/>
            <w:tcBorders/>
          </w:tcPr>
          <w:p/>
        </w:tc>
        <w:tc>
          <w:tcPr>
            <w:tcW w:type="dxa" w:w="3006"/>
            <w:vMerge/>
            <w:tcBorders/>
          </w:tcPr>
          <w:p/>
        </w:tc>
      </w:tr>
      <w:tr>
        <w:trPr>
          <w:trHeight w:hRule="exact" w:val="21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8"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18" w:after="0"/>
              <w:ind w:left="0" w:right="2" w:firstLine="0"/>
              <w:jc w:val="right"/>
            </w:pPr>
            <w:r>
              <w:rPr>
                <w:rFonts w:ascii="Arial" w:hAnsi="Arial" w:eastAsia="Arial"/>
                <w:b w:val="0"/>
                <w:i w:val="0"/>
                <w:color w:val="000000"/>
                <w:sz w:val="20"/>
              </w:rPr>
              <w:t>1,433</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山西旅投 </w:t>
            </w:r>
          </w:p>
        </w:tc>
        <w:tc>
          <w:tcPr>
            <w:tcW w:type="dxa" w:w="3006"/>
            <w:vMerge/>
            <w:tcBorders/>
          </w:tcPr>
          <w:p/>
        </w:tc>
        <w:tc>
          <w:tcPr>
            <w:tcW w:type="dxa" w:w="3006"/>
            <w:vMerge/>
            <w:tcBorders/>
          </w:tcPr>
          <w:p/>
        </w:tc>
      </w:tr>
      <w:tr>
        <w:trPr>
          <w:trHeight w:hRule="exact" w:val="21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459</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科技基金 </w:t>
            </w:r>
          </w:p>
        </w:tc>
        <w:tc>
          <w:tcPr>
            <w:tcW w:type="dxa" w:w="3006"/>
            <w:vMerge/>
            <w:tcBorders/>
          </w:tcPr>
          <w:p/>
        </w:tc>
        <w:tc>
          <w:tcPr>
            <w:tcW w:type="dxa" w:w="3006"/>
            <w:vMerge/>
            <w:tcBorders/>
          </w:tcPr>
          <w:p/>
        </w:tc>
      </w:tr>
      <w:tr>
        <w:trPr>
          <w:trHeight w:hRule="exact" w:val="21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500</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0" w:after="0"/>
              <w:ind w:left="198" w:right="0" w:firstLine="0"/>
              <w:jc w:val="left"/>
            </w:pPr>
            <w:r>
              <w:rPr>
                <w:rFonts w:ascii="黑体" w:hAnsi="黑体" w:eastAsia="黑体"/>
                <w:b w:val="0"/>
                <w:i w:val="0"/>
                <w:color w:val="000000"/>
                <w:sz w:val="20"/>
              </w:rPr>
              <w:t xml:space="preserve">中合盛 </w:t>
            </w:r>
          </w:p>
        </w:tc>
        <w:tc>
          <w:tcPr>
            <w:tcW w:type="dxa" w:w="3006"/>
            <w:vMerge/>
            <w:tcBorders/>
          </w:tcPr>
          <w:p/>
        </w:tc>
        <w:tc>
          <w:tcPr>
            <w:tcW w:type="dxa" w:w="3006"/>
            <w:vMerge/>
            <w:tcBorders/>
          </w:tcPr>
          <w:p/>
        </w:tc>
      </w:tr>
      <w:tr>
        <w:trPr>
          <w:trHeight w:hRule="exact" w:val="21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8" w:after="0"/>
              <w:ind w:left="198" w:right="0" w:firstLine="0"/>
              <w:jc w:val="left"/>
            </w:pPr>
            <w:r>
              <w:rPr>
                <w:rFonts w:ascii="黑体" w:hAnsi="黑体" w:eastAsia="黑体"/>
                <w:b w:val="0"/>
                <w:i w:val="0"/>
                <w:color w:val="000000"/>
                <w:sz w:val="20"/>
              </w:rPr>
              <w:t xml:space="preserve">产权交易中心 </w:t>
            </w:r>
          </w:p>
        </w:tc>
        <w:tc>
          <w:tcPr>
            <w:tcW w:type="dxa" w:w="3006"/>
            <w:vMerge/>
            <w:tcBorders/>
          </w:tcPr>
          <w:p/>
        </w:tc>
        <w:tc>
          <w:tcPr>
            <w:tcW w:type="dxa" w:w="3006"/>
            <w:vMerge/>
            <w:tcBorders/>
          </w:tcPr>
          <w:p/>
        </w:tc>
      </w:tr>
      <w:tr>
        <w:trPr>
          <w:trHeight w:hRule="exact" w:val="21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6" w:firstLine="0"/>
              <w:jc w:val="right"/>
            </w:pPr>
            <w:r>
              <w:rPr>
                <w:rFonts w:ascii="Arial" w:hAnsi="Arial" w:eastAsia="Arial"/>
                <w:b w:val="0"/>
                <w:i w:val="0"/>
                <w:color w:val="000000"/>
                <w:sz w:val="20"/>
              </w:rPr>
              <w:t>-</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w:t>
            </w:r>
          </w:p>
        </w:tc>
      </w:tr>
      <w:tr>
        <w:trPr>
          <w:trHeight w:hRule="exact" w:val="4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00" w:lineRule="exact" w:before="58" w:after="0"/>
              <w:ind w:left="198" w:right="0" w:firstLine="0"/>
              <w:jc w:val="left"/>
            </w:pPr>
            <w:r>
              <w:rPr>
                <w:rFonts w:ascii="黑体" w:hAnsi="黑体" w:eastAsia="黑体"/>
                <w:b w:val="0"/>
                <w:i w:val="0"/>
                <w:color w:val="000000"/>
                <w:sz w:val="20"/>
              </w:rPr>
              <w:t xml:space="preserve">关联自然人 </w:t>
            </w:r>
          </w:p>
        </w:tc>
        <w:tc>
          <w:tcPr>
            <w:tcW w:type="dxa" w:w="3006"/>
            <w:vMerge/>
            <w:tcBorders/>
          </w:tcPr>
          <w:p/>
        </w:tc>
        <w:tc>
          <w:tcPr>
            <w:tcW w:type="dxa" w:w="3006"/>
            <w:vMerge/>
            <w:tcBorders/>
          </w:tcPr>
          <w:p/>
        </w:tc>
      </w:tr>
      <w:tr>
        <w:trPr>
          <w:trHeight w:hRule="exact" w:val="248"/>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5" w:lineRule="auto" w:before="18" w:after="0"/>
              <w:ind w:left="0" w:right="228" w:firstLine="0"/>
              <w:jc w:val="right"/>
            </w:pPr>
            <w:r>
              <w:rPr>
                <w:rFonts w:ascii="Arial" w:hAnsi="Arial" w:eastAsia="Arial"/>
                <w:b w:val="0"/>
                <w:i w:val="0"/>
                <w:color w:val="000000"/>
                <w:sz w:val="20"/>
              </w:rPr>
              <w:t>5,803,018</w:t>
            </w:r>
          </w:p>
        </w:tc>
        <w:tc>
          <w:tcPr>
            <w:tcW w:type="dxa" w:w="1870"/>
            <w:tcBorders>
              <w:bottom w:sz="4.0" w:val="single" w:color="#000000"/>
            </w:tcBorders>
            <w:tcMar>
              <w:start w:w="0" w:type="dxa"/>
              <w:end w:w="0" w:type="dxa"/>
            </w:tcMar>
          </w:tcPr>
          <w:p>
            <w:pPr>
              <w:autoSpaceDN w:val="0"/>
              <w:autoSpaceDE w:val="0"/>
              <w:widowControl/>
              <w:spacing w:line="235" w:lineRule="auto" w:before="18" w:after="0"/>
              <w:ind w:left="0" w:right="2" w:firstLine="0"/>
              <w:jc w:val="right"/>
            </w:pPr>
            <w:r>
              <w:rPr>
                <w:rFonts w:ascii="Arial" w:hAnsi="Arial" w:eastAsia="Arial"/>
                <w:b w:val="0"/>
                <w:i w:val="0"/>
                <w:color w:val="000000"/>
                <w:sz w:val="20"/>
              </w:rPr>
              <w:t>2,511,263</w:t>
            </w:r>
          </w:p>
        </w:tc>
      </w:tr>
      <w:tr>
        <w:trPr>
          <w:trHeight w:hRule="exact" w:val="532"/>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00" w:lineRule="exact" w:before="290" w:after="0"/>
              <w:ind w:left="198" w:right="0" w:firstLine="0"/>
              <w:jc w:val="left"/>
            </w:pPr>
            <w:r>
              <w:rPr>
                <w:rFonts w:ascii="黑体" w:hAnsi="黑体" w:eastAsia="黑体"/>
                <w:b w:val="0"/>
                <w:i w:val="0"/>
                <w:color w:val="000000"/>
                <w:sz w:val="20"/>
              </w:rPr>
              <w:t xml:space="preserve">合计 </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5" w:lineRule="auto" w:before="292" w:after="0"/>
              <w:ind w:left="0" w:right="228" w:firstLine="0"/>
              <w:jc w:val="right"/>
            </w:pPr>
            <w:r>
              <w:rPr>
                <w:rFonts w:ascii="Arial" w:hAnsi="Arial" w:eastAsia="Arial"/>
                <w:b w:val="0"/>
                <w:i w:val="0"/>
                <w:color w:val="000000"/>
                <w:sz w:val="20"/>
              </w:rPr>
              <w:t>175,301,723</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5" w:lineRule="auto" w:before="292" w:after="0"/>
              <w:ind w:left="0" w:right="2" w:firstLine="0"/>
              <w:jc w:val="right"/>
            </w:pPr>
            <w:r>
              <w:rPr>
                <w:rFonts w:ascii="Arial" w:hAnsi="Arial" w:eastAsia="Arial"/>
                <w:b w:val="0"/>
                <w:i w:val="0"/>
                <w:color w:val="000000"/>
                <w:sz w:val="20"/>
              </w:rPr>
              <w:t>56,066,629</w:t>
            </w:r>
          </w:p>
        </w:tc>
      </w:tr>
    </w:tbl>
    <w:p>
      <w:pPr>
        <w:autoSpaceDN w:val="0"/>
        <w:autoSpaceDE w:val="0"/>
        <w:widowControl/>
        <w:spacing w:line="233" w:lineRule="auto" w:before="2156" w:after="0"/>
        <w:ind w:left="0" w:right="0" w:firstLine="0"/>
        <w:jc w:val="center"/>
      </w:pPr>
      <w:r>
        <w:rPr>
          <w:rFonts w:ascii="Arial" w:hAnsi="Arial" w:eastAsia="Arial"/>
          <w:b w:val="0"/>
          <w:i w:val="0"/>
          <w:color w:val="000000"/>
          <w:sz w:val="20"/>
        </w:rPr>
        <w:t xml:space="preserve">267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代理买卖证券（续）</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经纪业务手续费及佣金收入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 xml:space="preserve">长治市财政保障中心 </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7"/>
        </w:trPr>
        <w:tc>
          <w:tcPr>
            <w:tcW w:type="dxa" w:w="3006"/>
            <w:vMerge/>
            <w:tcBorders/>
          </w:tcPr>
          <w:p/>
        </w:tc>
        <w:tc>
          <w:tcPr>
            <w:tcW w:type="dxa" w:w="187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286,263</w:t>
            </w:r>
          </w:p>
        </w:tc>
        <w:tc>
          <w:tcPr>
            <w:tcW w:type="dxa" w:w="2098"/>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392,583</w:t>
            </w:r>
          </w:p>
        </w:tc>
      </w:tr>
      <w:tr>
        <w:trPr>
          <w:trHeight w:hRule="exact" w:val="253"/>
        </w:trPr>
        <w:tc>
          <w:tcPr>
            <w:tcW w:type="dxa" w:w="4564"/>
            <w:tcBorders/>
            <w:tcMar>
              <w:start w:w="0" w:type="dxa"/>
              <w:end w:w="0" w:type="dxa"/>
            </w:tcMar>
          </w:tcPr>
          <w:p>
            <w:pPr>
              <w:autoSpaceDN w:val="0"/>
              <w:autoSpaceDE w:val="0"/>
              <w:widowControl/>
              <w:spacing w:line="220" w:lineRule="exact" w:before="26" w:after="0"/>
              <w:ind w:left="198" w:right="0" w:firstLine="0"/>
              <w:jc w:val="left"/>
            </w:pPr>
            <w:r>
              <w:rPr>
                <w:rFonts w:ascii="黑体" w:hAnsi="黑体" w:eastAsia="黑体"/>
                <w:b w:val="0"/>
                <w:i w:val="0"/>
                <w:color w:val="000000"/>
                <w:sz w:val="22"/>
              </w:rPr>
              <w:t>山西信托</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22"/>
              </w:rPr>
              <w:t>178,895</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223,294</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 xml:space="preserve">太钢投资 </w:t>
            </w:r>
          </w:p>
        </w:tc>
        <w:tc>
          <w:tcPr>
            <w:tcW w:type="dxa" w:w="3006"/>
            <w:vMerge/>
            <w:tcBorders/>
          </w:tcPr>
          <w:p/>
        </w:tc>
        <w:tc>
          <w:tcPr>
            <w:tcW w:type="dxa" w:w="209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64" w:after="0"/>
              <w:ind w:left="0" w:right="0" w:firstLine="0"/>
              <w:jc w:val="right"/>
            </w:pPr>
            <w:r>
              <w:rPr>
                <w:rFonts w:ascii="Arial" w:hAnsi="Arial" w:eastAsia="Arial"/>
                <w:b w:val="0"/>
                <w:i w:val="0"/>
                <w:color w:val="000000"/>
                <w:sz w:val="22"/>
              </w:rPr>
              <w:t>8,509</w:t>
            </w:r>
          </w:p>
        </w:tc>
      </w:tr>
      <w:tr>
        <w:trPr>
          <w:trHeight w:hRule="exact" w:val="234"/>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10,095</w:t>
            </w:r>
          </w:p>
        </w:tc>
        <w:tc>
          <w:tcPr>
            <w:tcW w:type="dxa" w:w="3006"/>
            <w:vMerge/>
            <w:tcBorders/>
          </w:tcP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 xml:space="preserve">上海万方 </w:t>
            </w:r>
          </w:p>
        </w:tc>
        <w:tc>
          <w:tcPr>
            <w:tcW w:type="dxa" w:w="3006"/>
            <w:vMerge/>
            <w:tcBorders/>
          </w:tcPr>
          <w:p/>
        </w:tc>
        <w:tc>
          <w:tcPr>
            <w:tcW w:type="dxa" w:w="3006"/>
            <w:vMerge/>
            <w:tcBorders/>
          </w:tcPr>
          <w:p/>
        </w:tc>
      </w:tr>
      <w:tr>
        <w:trPr>
          <w:trHeight w:hRule="exact" w:val="250"/>
        </w:trPr>
        <w:tc>
          <w:tcPr>
            <w:tcW w:type="dxa" w:w="3006"/>
            <w:vMerge/>
            <w:tcBorders/>
          </w:tcP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9,719</w:t>
            </w:r>
          </w:p>
        </w:tc>
        <w:tc>
          <w:tcPr>
            <w:tcW w:type="dxa" w:w="2098"/>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16,310</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山西再担保</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6,484</w:t>
            </w:r>
          </w:p>
        </w:tc>
        <w:tc>
          <w:tcPr>
            <w:tcW w:type="dxa" w:w="209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22"/>
              </w:rPr>
              <w:t>-</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中小创投基金</w:t>
            </w:r>
          </w:p>
        </w:tc>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w:t>
            </w: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268</w:t>
            </w:r>
          </w:p>
        </w:tc>
        <w:tc>
          <w:tcPr>
            <w:tcW w:type="dxa" w:w="3006"/>
            <w:vMerge/>
            <w:tcBorders/>
          </w:tcP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 xml:space="preserve">金控资本 </w:t>
            </w:r>
          </w:p>
        </w:tc>
        <w:tc>
          <w:tcPr>
            <w:tcW w:type="dxa" w:w="3006"/>
            <w:vMerge/>
            <w:tcBorders/>
          </w:tcPr>
          <w:p/>
        </w:tc>
        <w:tc>
          <w:tcPr>
            <w:tcW w:type="dxa" w:w="209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22"/>
              </w:rPr>
              <w:t>6,137</w:t>
            </w:r>
          </w:p>
        </w:tc>
      </w:tr>
      <w:tr>
        <w:trPr>
          <w:trHeight w:hRule="exact" w:val="23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w:t>
            </w:r>
          </w:p>
        </w:tc>
        <w:tc>
          <w:tcPr>
            <w:tcW w:type="dxa" w:w="3006"/>
            <w:vMerge/>
            <w:tcBorders/>
          </w:tcP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 xml:space="preserve">山西旅投 </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9,408</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 xml:space="preserve">金信清洁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9,510</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 xml:space="preserve">关联自然人 </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17,255</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20,321</w:t>
            </w:r>
          </w:p>
        </w:tc>
      </w:tr>
      <w:tr>
        <w:trPr>
          <w:trHeight w:hRule="exact" w:val="58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31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right"/>
            </w:pPr>
            <w:r>
              <w:rPr>
                <w:rFonts w:ascii="Arial" w:hAnsi="Arial" w:eastAsia="Arial"/>
                <w:b w:val="0"/>
                <w:i w:val="0"/>
                <w:color w:val="000000"/>
                <w:sz w:val="22"/>
              </w:rPr>
              <w:t>508,979</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right"/>
            </w:pPr>
            <w:r>
              <w:rPr>
                <w:rFonts w:ascii="Arial" w:hAnsi="Arial" w:eastAsia="Arial"/>
                <w:b w:val="0"/>
                <w:i w:val="0"/>
                <w:color w:val="000000"/>
                <w:sz w:val="22"/>
              </w:rPr>
              <w:t>686,072</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7768" w:after="0"/>
        <w:ind w:left="0" w:right="0" w:firstLine="0"/>
        <w:jc w:val="center"/>
      </w:pPr>
      <w:r>
        <w:rPr>
          <w:rFonts w:ascii="Arial" w:hAnsi="Arial" w:eastAsia="Arial"/>
          <w:b w:val="0"/>
          <w:i w:val="0"/>
          <w:color w:val="000000"/>
          <w:sz w:val="20"/>
        </w:rPr>
        <w:t xml:space="preserve">268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4"/>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代理买卖证券（续）</w:t>
      </w:r>
      <w:r>
        <w:br/>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利息支出</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20"/>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80" w:after="0"/>
              <w:ind w:left="198" w:right="0" w:firstLine="0"/>
              <w:jc w:val="left"/>
            </w:pPr>
            <w:r>
              <w:rPr>
                <w:rFonts w:ascii="黑体" w:hAnsi="黑体" w:eastAsia="黑体"/>
                <w:b w:val="0"/>
                <w:i w:val="0"/>
                <w:color w:val="000000"/>
                <w:sz w:val="20"/>
              </w:rPr>
              <w:t xml:space="preserve">金控资本 </w:t>
            </w:r>
          </w:p>
        </w:tc>
        <w:tc>
          <w:tcPr>
            <w:tcW w:type="dxa" w:w="1870"/>
            <w:tcBorders/>
            <w:tcMar>
              <w:start w:w="0" w:type="dxa"/>
              <w:end w:w="0" w:type="dxa"/>
            </w:tcMar>
          </w:tcPr>
          <w:p>
            <w:pPr>
              <w:autoSpaceDN w:val="0"/>
              <w:autoSpaceDE w:val="0"/>
              <w:widowControl/>
              <w:spacing w:line="224" w:lineRule="exact" w:before="60" w:after="0"/>
              <w:ind w:left="0" w:right="2" w:firstLine="0"/>
              <w:jc w:val="right"/>
            </w:pPr>
            <w:r>
              <w:rPr>
                <w:rFonts w:ascii="Arial" w:hAnsi="Arial" w:eastAsia="Arial"/>
                <w:b w:val="0"/>
                <w:i w:val="0"/>
                <w:color w:val="000000"/>
                <w:sz w:val="20"/>
              </w:rPr>
              <w:t>2024</w:t>
            </w:r>
            <w:r>
              <w:rPr>
                <w:rFonts w:ascii="黑体" w:hAnsi="黑体" w:eastAsia="黑体"/>
                <w:b w:val="0"/>
                <w:i w:val="0"/>
                <w:color w:val="000000"/>
                <w:sz w:val="20"/>
              </w:rPr>
              <w:t>年</w:t>
            </w:r>
          </w:p>
        </w:tc>
        <w:tc>
          <w:tcPr>
            <w:tcW w:type="dxa" w:w="2098"/>
            <w:tcBorders/>
            <w:tcMar>
              <w:start w:w="0" w:type="dxa"/>
              <w:end w:w="0" w:type="dxa"/>
            </w:tcMar>
          </w:tcPr>
          <w:p>
            <w:pPr>
              <w:autoSpaceDN w:val="0"/>
              <w:autoSpaceDE w:val="0"/>
              <w:widowControl/>
              <w:spacing w:line="224" w:lineRule="exact" w:before="60" w:after="0"/>
              <w:ind w:left="0" w:right="4" w:firstLine="0"/>
              <w:jc w:val="right"/>
            </w:pPr>
            <w:r>
              <w:rPr>
                <w:rFonts w:ascii="Arial" w:hAnsi="Arial" w:eastAsia="Arial"/>
                <w:b w:val="0"/>
                <w:i w:val="0"/>
                <w:color w:val="000000"/>
                <w:sz w:val="20"/>
              </w:rPr>
              <w:t>2023</w:t>
            </w:r>
            <w:r>
              <w:rPr>
                <w:rFonts w:ascii="黑体" w:hAnsi="黑体" w:eastAsia="黑体"/>
                <w:b w:val="0"/>
                <w:i w:val="0"/>
                <w:color w:val="000000"/>
                <w:sz w:val="20"/>
              </w:rPr>
              <w:t>年</w:t>
            </w:r>
          </w:p>
        </w:tc>
      </w:tr>
      <w:tr>
        <w:trPr>
          <w:trHeight w:hRule="exact" w:val="36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0"/>
              </w:rPr>
              <w:t>40,209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8" w:after="0"/>
              <w:ind w:left="0" w:right="2" w:firstLine="0"/>
              <w:jc w:val="right"/>
            </w:pPr>
            <w:r>
              <w:rPr>
                <w:rFonts w:ascii="Arial" w:hAnsi="Arial" w:eastAsia="Arial"/>
                <w:b w:val="0"/>
                <w:i w:val="0"/>
                <w:color w:val="000000"/>
                <w:sz w:val="20"/>
              </w:rPr>
              <w:t>29,411</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山西银行 </w:t>
            </w:r>
          </w:p>
        </w:tc>
        <w:tc>
          <w:tcPr>
            <w:tcW w:type="dxa" w:w="3006"/>
            <w:vMerge/>
            <w:tcBorders/>
          </w:tcPr>
          <w:p/>
        </w:tc>
        <w:tc>
          <w:tcPr>
            <w:tcW w:type="dxa" w:w="3006"/>
            <w:vMerge/>
            <w:tcBorders/>
          </w:tcPr>
          <w:p/>
        </w:tc>
      </w:tr>
      <w:tr>
        <w:trPr>
          <w:trHeight w:hRule="exact" w:val="21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27,466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23,751</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山西信托 </w:t>
            </w:r>
          </w:p>
        </w:tc>
        <w:tc>
          <w:tcPr>
            <w:tcW w:type="dxa" w:w="3006"/>
            <w:vMerge/>
            <w:tcBorders/>
          </w:tcPr>
          <w:p/>
        </w:tc>
        <w:tc>
          <w:tcPr>
            <w:tcW w:type="dxa" w:w="3006"/>
            <w:vMerge/>
            <w:tcBorders/>
          </w:tcPr>
          <w:p/>
        </w:tc>
      </w:tr>
      <w:tr>
        <w:trPr>
          <w:trHeight w:hRule="exact" w:val="21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24,974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27,485</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山西国电 </w:t>
            </w:r>
          </w:p>
        </w:tc>
        <w:tc>
          <w:tcPr>
            <w:tcW w:type="dxa" w:w="3006"/>
            <w:vMerge/>
            <w:tcBorders/>
          </w:tcPr>
          <w:p/>
        </w:tc>
        <w:tc>
          <w:tcPr>
            <w:tcW w:type="dxa" w:w="3006"/>
            <w:vMerge/>
            <w:tcBorders/>
          </w:tcPr>
          <w:p/>
        </w:tc>
      </w:tr>
      <w:tr>
        <w:trPr>
          <w:trHeight w:hRule="exact" w:val="214"/>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13,867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9,963</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2" w:after="0"/>
              <w:ind w:left="198" w:right="0" w:firstLine="0"/>
              <w:jc w:val="left"/>
            </w:pPr>
            <w:r>
              <w:rPr>
                <w:rFonts w:ascii="黑体" w:hAnsi="黑体" w:eastAsia="黑体"/>
                <w:b w:val="0"/>
                <w:i w:val="0"/>
                <w:color w:val="000000"/>
                <w:sz w:val="20"/>
              </w:rPr>
              <w:t xml:space="preserve">中小创投基金 </w:t>
            </w:r>
          </w:p>
        </w:tc>
        <w:tc>
          <w:tcPr>
            <w:tcW w:type="dxa" w:w="3006"/>
            <w:vMerge/>
            <w:tcBorders/>
          </w:tcPr>
          <w:p/>
        </w:tc>
        <w:tc>
          <w:tcPr>
            <w:tcW w:type="dxa" w:w="3006"/>
            <w:vMerge/>
            <w:tcBorders/>
          </w:tcPr>
          <w:p/>
        </w:tc>
      </w:tr>
      <w:tr>
        <w:trPr>
          <w:trHeight w:hRule="exact" w:val="21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0"/>
              </w:rPr>
              <w:t>7,482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0"/>
              </w:rPr>
              <w:t>-</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00" w:lineRule="exact" w:before="60" w:after="0"/>
              <w:ind w:left="198" w:right="0" w:firstLine="0"/>
              <w:jc w:val="left"/>
            </w:pPr>
            <w:r>
              <w:rPr>
                <w:rFonts w:ascii="黑体" w:hAnsi="黑体" w:eastAsia="黑体"/>
                <w:b w:val="0"/>
                <w:i w:val="0"/>
                <w:color w:val="000000"/>
                <w:sz w:val="20"/>
              </w:rPr>
              <w:t xml:space="preserve">太钢集团 </w:t>
            </w:r>
          </w:p>
        </w:tc>
        <w:tc>
          <w:tcPr>
            <w:tcW w:type="dxa" w:w="3006"/>
            <w:vMerge/>
            <w:tcBorders/>
          </w:tcPr>
          <w:p/>
        </w:tc>
        <w:tc>
          <w:tcPr>
            <w:tcW w:type="dxa" w:w="3006"/>
            <w:vMerge/>
            <w:tcBorders/>
          </w:tcPr>
          <w:p/>
        </w:tc>
      </w:tr>
      <w:tr>
        <w:trPr>
          <w:trHeight w:hRule="exact" w:val="21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0"/>
              </w:rPr>
              <w:t>4,259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6,734</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198" w:lineRule="exact" w:before="60" w:after="0"/>
              <w:ind w:left="198" w:right="0" w:firstLine="0"/>
              <w:jc w:val="left"/>
            </w:pPr>
            <w:r>
              <w:rPr>
                <w:rFonts w:ascii="黑体" w:hAnsi="黑体" w:eastAsia="黑体"/>
                <w:b w:val="0"/>
                <w:i w:val="0"/>
                <w:color w:val="000000"/>
                <w:sz w:val="20"/>
              </w:rPr>
              <w:t xml:space="preserve">太钢投资 </w:t>
            </w:r>
          </w:p>
        </w:tc>
        <w:tc>
          <w:tcPr>
            <w:tcW w:type="dxa" w:w="3006"/>
            <w:vMerge/>
            <w:tcBorders/>
          </w:tcPr>
          <w:p/>
        </w:tc>
        <w:tc>
          <w:tcPr>
            <w:tcW w:type="dxa" w:w="3006"/>
            <w:vMerge/>
            <w:tcBorders/>
          </w:tcPr>
          <w:p/>
        </w:tc>
      </w:tr>
      <w:tr>
        <w:trPr>
          <w:trHeight w:hRule="exact" w:val="21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3,488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1,761</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8" w:after="0"/>
              <w:ind w:left="198" w:right="0" w:firstLine="0"/>
              <w:jc w:val="left"/>
            </w:pPr>
            <w:r>
              <w:rPr>
                <w:rFonts w:ascii="黑体" w:hAnsi="黑体" w:eastAsia="黑体"/>
                <w:b w:val="0"/>
                <w:i w:val="0"/>
                <w:color w:val="000000"/>
                <w:sz w:val="20"/>
              </w:rPr>
              <w:t xml:space="preserve">龙华股融 </w:t>
            </w:r>
          </w:p>
        </w:tc>
        <w:tc>
          <w:tcPr>
            <w:tcW w:type="dxa" w:w="3006"/>
            <w:vMerge/>
            <w:tcBorders/>
          </w:tcPr>
          <w:p/>
        </w:tc>
        <w:tc>
          <w:tcPr>
            <w:tcW w:type="dxa" w:w="3006"/>
            <w:vMerge/>
            <w:tcBorders/>
          </w:tcPr>
          <w:p/>
        </w:tc>
      </w:tr>
      <w:tr>
        <w:trPr>
          <w:trHeight w:hRule="exact" w:val="21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0"/>
              </w:rPr>
              <w:t>3,064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 w:firstLine="0"/>
              <w:jc w:val="right"/>
            </w:pPr>
            <w:r>
              <w:rPr>
                <w:rFonts w:ascii="Arial" w:hAnsi="Arial" w:eastAsia="Arial"/>
                <w:b w:val="0"/>
                <w:i w:val="0"/>
                <w:color w:val="000000"/>
                <w:sz w:val="20"/>
              </w:rPr>
              <w:t>3,584</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8" w:after="0"/>
              <w:ind w:left="198" w:right="0" w:firstLine="0"/>
              <w:jc w:val="left"/>
            </w:pPr>
            <w:r>
              <w:rPr>
                <w:rFonts w:ascii="黑体" w:hAnsi="黑体" w:eastAsia="黑体"/>
                <w:b w:val="0"/>
                <w:i w:val="0"/>
                <w:color w:val="000000"/>
                <w:sz w:val="20"/>
              </w:rPr>
              <w:t xml:space="preserve">山西再担保 </w:t>
            </w:r>
          </w:p>
        </w:tc>
        <w:tc>
          <w:tcPr>
            <w:tcW w:type="dxa" w:w="3006"/>
            <w:vMerge/>
            <w:tcBorders/>
          </w:tcPr>
          <w:p/>
        </w:tc>
        <w:tc>
          <w:tcPr>
            <w:tcW w:type="dxa" w:w="3006"/>
            <w:vMerge/>
            <w:tcBorders/>
          </w:tcPr>
          <w:p/>
        </w:tc>
      </w:tr>
      <w:tr>
        <w:trPr>
          <w:trHeight w:hRule="exact" w:val="21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1,148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755</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198" w:lineRule="exact" w:before="58" w:after="0"/>
              <w:ind w:left="198" w:right="0" w:firstLine="0"/>
              <w:jc w:val="left"/>
            </w:pPr>
            <w:r>
              <w:rPr>
                <w:rFonts w:ascii="黑体" w:hAnsi="黑体" w:eastAsia="黑体"/>
                <w:b w:val="0"/>
                <w:i w:val="0"/>
                <w:color w:val="000000"/>
                <w:sz w:val="20"/>
              </w:rPr>
              <w:t xml:space="preserve">上海万方 </w:t>
            </w:r>
          </w:p>
        </w:tc>
        <w:tc>
          <w:tcPr>
            <w:tcW w:type="dxa" w:w="3006"/>
            <w:vMerge/>
            <w:tcBorders/>
          </w:tcPr>
          <w:p/>
        </w:tc>
        <w:tc>
          <w:tcPr>
            <w:tcW w:type="dxa" w:w="3006"/>
            <w:vMerge/>
            <w:tcBorders/>
          </w:tcPr>
          <w:p/>
        </w:tc>
      </w:tr>
      <w:tr>
        <w:trPr>
          <w:trHeight w:hRule="exact" w:val="21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771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2,566</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6" w:after="0"/>
              <w:ind w:left="198" w:right="0" w:firstLine="0"/>
              <w:jc w:val="left"/>
            </w:pPr>
            <w:r>
              <w:rPr>
                <w:rFonts w:ascii="黑体" w:hAnsi="黑体" w:eastAsia="黑体"/>
                <w:b w:val="0"/>
                <w:i w:val="0"/>
                <w:color w:val="000000"/>
                <w:sz w:val="20"/>
              </w:rPr>
              <w:t xml:space="preserve">国信物业 </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746</w:t>
            </w:r>
          </w:p>
        </w:tc>
        <w:tc>
          <w:tcPr>
            <w:tcW w:type="dxa" w:w="2098"/>
            <w:tcBorders/>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1,396</w:t>
            </w:r>
          </w:p>
        </w:tc>
      </w:tr>
      <w:tr>
        <w:trPr>
          <w:trHeight w:hRule="exact" w:val="230"/>
        </w:trPr>
        <w:tc>
          <w:tcPr>
            <w:tcW w:type="dxa" w:w="4564"/>
            <w:tcBorders/>
            <w:tcMar>
              <w:start w:w="0" w:type="dxa"/>
              <w:end w:w="0" w:type="dxa"/>
            </w:tcMar>
          </w:tcPr>
          <w:p>
            <w:pPr>
              <w:autoSpaceDN w:val="0"/>
              <w:autoSpaceDE w:val="0"/>
              <w:widowControl/>
              <w:spacing w:line="200" w:lineRule="exact" w:before="26" w:after="0"/>
              <w:ind w:left="198" w:right="0" w:firstLine="0"/>
              <w:jc w:val="left"/>
            </w:pPr>
            <w:r>
              <w:rPr>
                <w:rFonts w:ascii="黑体" w:hAnsi="黑体" w:eastAsia="黑体"/>
                <w:b w:val="0"/>
                <w:i w:val="0"/>
                <w:color w:val="000000"/>
                <w:sz w:val="20"/>
              </w:rPr>
              <w:t xml:space="preserve">股权交易中心 </w:t>
            </w:r>
          </w:p>
        </w:tc>
        <w:tc>
          <w:tcPr>
            <w:tcW w:type="dxa" w:w="187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0"/>
              </w:rPr>
              <w:t>474</w:t>
            </w:r>
          </w:p>
        </w:tc>
        <w:tc>
          <w:tcPr>
            <w:tcW w:type="dxa" w:w="2098"/>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20"/>
              </w:rPr>
              <w:t>191</w:t>
            </w:r>
          </w:p>
        </w:tc>
      </w:tr>
      <w:tr>
        <w:trPr>
          <w:trHeight w:hRule="exact" w:val="260"/>
        </w:trPr>
        <w:tc>
          <w:tcPr>
            <w:tcW w:type="dxa" w:w="4564"/>
            <w:tcBorders/>
            <w:tcMar>
              <w:start w:w="0" w:type="dxa"/>
              <w:end w:w="0" w:type="dxa"/>
            </w:tcMar>
          </w:tcPr>
          <w:p>
            <w:pPr>
              <w:autoSpaceDN w:val="0"/>
              <w:autoSpaceDE w:val="0"/>
              <w:widowControl/>
              <w:spacing w:line="198" w:lineRule="exact" w:before="56" w:after="0"/>
              <w:ind w:left="198" w:right="0" w:firstLine="0"/>
              <w:jc w:val="left"/>
            </w:pPr>
            <w:r>
              <w:rPr>
                <w:rFonts w:ascii="黑体" w:hAnsi="黑体" w:eastAsia="黑体"/>
                <w:b w:val="0"/>
                <w:i w:val="0"/>
                <w:color w:val="000000"/>
                <w:sz w:val="20"/>
              </w:rPr>
              <w:t xml:space="preserve">吕梁国投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0"/>
              </w:rPr>
              <w:t>116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 w:firstLine="0"/>
              <w:jc w:val="right"/>
            </w:pPr>
            <w:r>
              <w:rPr>
                <w:rFonts w:ascii="Arial" w:hAnsi="Arial" w:eastAsia="Arial"/>
                <w:b w:val="0"/>
                <w:i w:val="0"/>
                <w:color w:val="000000"/>
                <w:sz w:val="20"/>
              </w:rPr>
              <w:t>550</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00" w:lineRule="exact" w:before="54" w:after="0"/>
              <w:ind w:left="198" w:right="0" w:firstLine="0"/>
              <w:jc w:val="left"/>
            </w:pPr>
            <w:r>
              <w:rPr>
                <w:rFonts w:ascii="黑体" w:hAnsi="黑体" w:eastAsia="黑体"/>
                <w:b w:val="0"/>
                <w:i w:val="0"/>
                <w:color w:val="000000"/>
                <w:sz w:val="20"/>
              </w:rPr>
              <w:t xml:space="preserve">山西卓融 </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0"/>
              </w:rPr>
              <w:t>18</w:t>
            </w:r>
          </w:p>
        </w:tc>
        <w:tc>
          <w:tcPr>
            <w:tcW w:type="dxa" w:w="2098"/>
            <w:tcBorders/>
            <w:tcMar>
              <w:start w:w="0" w:type="dxa"/>
              <w:end w:w="0" w:type="dxa"/>
            </w:tcMar>
          </w:tcPr>
          <w:p>
            <w:pPr>
              <w:autoSpaceDN w:val="0"/>
              <w:autoSpaceDE w:val="0"/>
              <w:widowControl/>
              <w:spacing w:line="233" w:lineRule="auto" w:before="18" w:after="0"/>
              <w:ind w:left="0" w:right="2" w:firstLine="0"/>
              <w:jc w:val="right"/>
            </w:pPr>
            <w:r>
              <w:rPr>
                <w:rFonts w:ascii="Arial" w:hAnsi="Arial" w:eastAsia="Arial"/>
                <w:b w:val="0"/>
                <w:i w:val="0"/>
                <w:color w:val="000000"/>
                <w:sz w:val="20"/>
              </w:rPr>
              <w:t>161</w:t>
            </w:r>
          </w:p>
        </w:tc>
      </w:tr>
      <w:tr>
        <w:trPr>
          <w:trHeight w:hRule="exact" w:val="230"/>
        </w:trPr>
        <w:tc>
          <w:tcPr>
            <w:tcW w:type="dxa" w:w="4564"/>
            <w:tcBorders/>
            <w:tcMar>
              <w:start w:w="0" w:type="dxa"/>
              <w:end w:w="0" w:type="dxa"/>
            </w:tcMar>
          </w:tcPr>
          <w:p>
            <w:pPr>
              <w:autoSpaceDN w:val="0"/>
              <w:autoSpaceDE w:val="0"/>
              <w:widowControl/>
              <w:spacing w:line="198" w:lineRule="exact" w:before="24" w:after="0"/>
              <w:ind w:left="198" w:right="0" w:firstLine="0"/>
              <w:jc w:val="left"/>
            </w:pPr>
            <w:r>
              <w:rPr>
                <w:rFonts w:ascii="黑体" w:hAnsi="黑体" w:eastAsia="黑体"/>
                <w:b w:val="0"/>
                <w:i w:val="0"/>
                <w:color w:val="000000"/>
                <w:sz w:val="20"/>
              </w:rPr>
              <w:t xml:space="preserve">山西金控 </w:t>
            </w:r>
          </w:p>
        </w:tc>
        <w:tc>
          <w:tcPr>
            <w:tcW w:type="dxa" w:w="187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0"/>
              </w:rPr>
              <w:t>14</w:t>
            </w:r>
          </w:p>
        </w:tc>
        <w:tc>
          <w:tcPr>
            <w:tcW w:type="dxa" w:w="2098"/>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20"/>
              </w:rPr>
              <w:t>17</w:t>
            </w:r>
          </w:p>
        </w:tc>
      </w:tr>
      <w:tr>
        <w:trPr>
          <w:trHeight w:hRule="exact" w:val="260"/>
        </w:trPr>
        <w:tc>
          <w:tcPr>
            <w:tcW w:type="dxa" w:w="4564"/>
            <w:tcBorders/>
            <w:tcMar>
              <w:start w:w="0" w:type="dxa"/>
              <w:end w:w="0" w:type="dxa"/>
            </w:tcMar>
          </w:tcPr>
          <w:p>
            <w:pPr>
              <w:autoSpaceDN w:val="0"/>
              <w:autoSpaceDE w:val="0"/>
              <w:widowControl/>
              <w:spacing w:line="198" w:lineRule="exact" w:before="56" w:after="0"/>
              <w:ind w:left="198" w:right="0" w:firstLine="0"/>
              <w:jc w:val="left"/>
            </w:pPr>
            <w:r>
              <w:rPr>
                <w:rFonts w:ascii="黑体" w:hAnsi="黑体" w:eastAsia="黑体"/>
                <w:b w:val="0"/>
                <w:i w:val="0"/>
                <w:color w:val="000000"/>
                <w:sz w:val="20"/>
              </w:rPr>
              <w:t xml:space="preserve">北京卓融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10</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82</w:t>
            </w:r>
          </w:p>
        </w:tc>
      </w:tr>
      <w:tr>
        <w:trPr>
          <w:trHeight w:hRule="exact" w:val="260"/>
        </w:trPr>
        <w:tc>
          <w:tcPr>
            <w:tcW w:type="dxa" w:w="4564"/>
            <w:tcBorders/>
            <w:tcMar>
              <w:start w:w="0" w:type="dxa"/>
              <w:end w:w="0" w:type="dxa"/>
            </w:tcMar>
          </w:tcPr>
          <w:p>
            <w:pPr>
              <w:autoSpaceDN w:val="0"/>
              <w:autoSpaceDE w:val="0"/>
              <w:widowControl/>
              <w:spacing w:line="200" w:lineRule="exact" w:before="54" w:after="0"/>
              <w:ind w:left="198" w:right="0" w:firstLine="0"/>
              <w:jc w:val="left"/>
            </w:pPr>
            <w:r>
              <w:rPr>
                <w:rFonts w:ascii="黑体" w:hAnsi="黑体" w:eastAsia="黑体"/>
                <w:b w:val="0"/>
                <w:i w:val="0"/>
                <w:color w:val="000000"/>
                <w:sz w:val="20"/>
              </w:rPr>
              <w:t xml:space="preserve">国信文旅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9</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11</w:t>
            </w:r>
          </w:p>
        </w:tc>
      </w:tr>
      <w:tr>
        <w:trPr>
          <w:trHeight w:hRule="exact" w:val="260"/>
        </w:trPr>
        <w:tc>
          <w:tcPr>
            <w:tcW w:type="dxa" w:w="4564"/>
            <w:tcBorders/>
            <w:tcMar>
              <w:start w:w="0" w:type="dxa"/>
              <w:end w:w="0" w:type="dxa"/>
            </w:tcMar>
          </w:tcPr>
          <w:p>
            <w:pPr>
              <w:autoSpaceDN w:val="0"/>
              <w:autoSpaceDE w:val="0"/>
              <w:widowControl/>
              <w:spacing w:line="198" w:lineRule="exact" w:before="54" w:after="0"/>
              <w:ind w:left="198" w:right="0" w:firstLine="0"/>
              <w:jc w:val="left"/>
            </w:pPr>
            <w:r>
              <w:rPr>
                <w:rFonts w:ascii="黑体" w:hAnsi="黑体" w:eastAsia="黑体"/>
                <w:b w:val="0"/>
                <w:i w:val="0"/>
                <w:color w:val="000000"/>
                <w:sz w:val="20"/>
              </w:rPr>
              <w:t xml:space="preserve">长治市财政保障中心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8</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3,269</w:t>
            </w:r>
          </w:p>
        </w:tc>
      </w:tr>
      <w:tr>
        <w:trPr>
          <w:trHeight w:hRule="exact" w:val="260"/>
        </w:trPr>
        <w:tc>
          <w:tcPr>
            <w:tcW w:type="dxa" w:w="4564"/>
            <w:tcBorders/>
            <w:tcMar>
              <w:start w:w="0" w:type="dxa"/>
              <w:end w:w="0" w:type="dxa"/>
            </w:tcMar>
          </w:tcPr>
          <w:p>
            <w:pPr>
              <w:autoSpaceDN w:val="0"/>
              <w:autoSpaceDE w:val="0"/>
              <w:widowControl/>
              <w:spacing w:line="200" w:lineRule="exact" w:before="52" w:after="0"/>
              <w:ind w:left="198" w:right="0" w:firstLine="0"/>
              <w:jc w:val="left"/>
            </w:pPr>
            <w:r>
              <w:rPr>
                <w:rFonts w:ascii="黑体" w:hAnsi="黑体" w:eastAsia="黑体"/>
                <w:b w:val="0"/>
                <w:i w:val="0"/>
                <w:color w:val="000000"/>
                <w:sz w:val="20"/>
              </w:rPr>
              <w:t xml:space="preserve">长治投资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6</w:t>
            </w:r>
          </w:p>
        </w:tc>
        <w:tc>
          <w:tcPr>
            <w:tcW w:type="dxa" w:w="2098"/>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7</w:t>
            </w:r>
          </w:p>
        </w:tc>
      </w:tr>
      <w:tr>
        <w:trPr>
          <w:trHeight w:hRule="exact" w:val="260"/>
        </w:trPr>
        <w:tc>
          <w:tcPr>
            <w:tcW w:type="dxa" w:w="4564"/>
            <w:tcBorders/>
            <w:tcMar>
              <w:start w:w="0" w:type="dxa"/>
              <w:end w:w="0" w:type="dxa"/>
            </w:tcMar>
          </w:tcPr>
          <w:p>
            <w:pPr>
              <w:autoSpaceDN w:val="0"/>
              <w:autoSpaceDE w:val="0"/>
              <w:widowControl/>
              <w:spacing w:line="200" w:lineRule="exact" w:before="52" w:after="0"/>
              <w:ind w:left="198" w:right="0" w:firstLine="0"/>
              <w:jc w:val="left"/>
            </w:pPr>
            <w:r>
              <w:rPr>
                <w:rFonts w:ascii="黑体" w:hAnsi="黑体" w:eastAsia="黑体"/>
                <w:b w:val="0"/>
                <w:i w:val="0"/>
                <w:color w:val="000000"/>
                <w:sz w:val="20"/>
              </w:rPr>
              <w:t xml:space="preserve">山西金租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5</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2,006</w:t>
            </w:r>
          </w:p>
        </w:tc>
      </w:tr>
      <w:tr>
        <w:trPr>
          <w:trHeight w:hRule="exact" w:val="260"/>
        </w:trPr>
        <w:tc>
          <w:tcPr>
            <w:tcW w:type="dxa" w:w="4564"/>
            <w:tcBorders/>
            <w:tcMar>
              <w:start w:w="0" w:type="dxa"/>
              <w:end w:w="0" w:type="dxa"/>
            </w:tcMar>
          </w:tcPr>
          <w:p>
            <w:pPr>
              <w:autoSpaceDN w:val="0"/>
              <w:autoSpaceDE w:val="0"/>
              <w:widowControl/>
              <w:spacing w:line="198" w:lineRule="exact" w:before="52" w:after="0"/>
              <w:ind w:left="198" w:right="0" w:firstLine="0"/>
              <w:jc w:val="left"/>
            </w:pPr>
            <w:r>
              <w:rPr>
                <w:rFonts w:ascii="黑体" w:hAnsi="黑体" w:eastAsia="黑体"/>
                <w:b w:val="0"/>
                <w:i w:val="0"/>
                <w:color w:val="000000"/>
                <w:sz w:val="20"/>
              </w:rPr>
              <w:t xml:space="preserve">金信清洁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1</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1,899</w:t>
            </w:r>
          </w:p>
        </w:tc>
      </w:tr>
      <w:tr>
        <w:trPr>
          <w:trHeight w:hRule="exact" w:val="260"/>
        </w:trPr>
        <w:tc>
          <w:tcPr>
            <w:tcW w:type="dxa" w:w="4564"/>
            <w:tcBorders/>
            <w:tcMar>
              <w:start w:w="0" w:type="dxa"/>
              <w:end w:w="0" w:type="dxa"/>
            </w:tcMar>
          </w:tcPr>
          <w:p>
            <w:pPr>
              <w:autoSpaceDN w:val="0"/>
              <w:autoSpaceDE w:val="0"/>
              <w:widowControl/>
              <w:spacing w:line="200" w:lineRule="exact" w:before="50" w:after="0"/>
              <w:ind w:left="198" w:right="0" w:firstLine="0"/>
              <w:jc w:val="left"/>
            </w:pPr>
            <w:r>
              <w:rPr>
                <w:rFonts w:ascii="黑体" w:hAnsi="黑体" w:eastAsia="黑体"/>
                <w:b w:val="0"/>
                <w:i w:val="0"/>
                <w:color w:val="000000"/>
                <w:sz w:val="20"/>
              </w:rPr>
              <w:t xml:space="preserve">山西旅投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13,187</w:t>
            </w:r>
          </w:p>
        </w:tc>
      </w:tr>
      <w:tr>
        <w:trPr>
          <w:trHeight w:hRule="exact" w:val="260"/>
        </w:trPr>
        <w:tc>
          <w:tcPr>
            <w:tcW w:type="dxa" w:w="4564"/>
            <w:tcBorders/>
            <w:tcMar>
              <w:start w:w="0" w:type="dxa"/>
              <w:end w:w="0" w:type="dxa"/>
            </w:tcMar>
          </w:tcPr>
          <w:p>
            <w:pPr>
              <w:autoSpaceDN w:val="0"/>
              <w:autoSpaceDE w:val="0"/>
              <w:widowControl/>
              <w:spacing w:line="198" w:lineRule="exact" w:before="50" w:after="0"/>
              <w:ind w:left="198" w:right="0" w:firstLine="0"/>
              <w:jc w:val="left"/>
            </w:pPr>
            <w:r>
              <w:rPr>
                <w:rFonts w:ascii="黑体" w:hAnsi="黑体" w:eastAsia="黑体"/>
                <w:b w:val="0"/>
                <w:i w:val="0"/>
                <w:color w:val="000000"/>
                <w:sz w:val="20"/>
              </w:rPr>
              <w:t xml:space="preserve">财惠基金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2,594</w:t>
            </w:r>
          </w:p>
        </w:tc>
      </w:tr>
      <w:tr>
        <w:trPr>
          <w:trHeight w:hRule="exact" w:val="260"/>
        </w:trPr>
        <w:tc>
          <w:tcPr>
            <w:tcW w:type="dxa" w:w="4564"/>
            <w:tcBorders/>
            <w:tcMar>
              <w:start w:w="0" w:type="dxa"/>
              <w:end w:w="0" w:type="dxa"/>
            </w:tcMar>
          </w:tcPr>
          <w:p>
            <w:pPr>
              <w:autoSpaceDN w:val="0"/>
              <w:autoSpaceDE w:val="0"/>
              <w:widowControl/>
              <w:spacing w:line="198" w:lineRule="exact" w:before="50" w:after="0"/>
              <w:ind w:left="198" w:right="0" w:firstLine="0"/>
              <w:jc w:val="left"/>
            </w:pPr>
            <w:r>
              <w:rPr>
                <w:rFonts w:ascii="黑体" w:hAnsi="黑体" w:eastAsia="黑体"/>
                <w:b w:val="0"/>
                <w:i w:val="0"/>
                <w:color w:val="000000"/>
                <w:sz w:val="20"/>
              </w:rPr>
              <w:t xml:space="preserve">科技基金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5,949</w:t>
            </w:r>
          </w:p>
        </w:tc>
      </w:tr>
      <w:tr>
        <w:trPr>
          <w:trHeight w:hRule="exact" w:val="260"/>
        </w:trPr>
        <w:tc>
          <w:tcPr>
            <w:tcW w:type="dxa" w:w="4564"/>
            <w:tcBorders/>
            <w:tcMar>
              <w:start w:w="0" w:type="dxa"/>
              <w:end w:w="0" w:type="dxa"/>
            </w:tcMar>
          </w:tcPr>
          <w:p>
            <w:pPr>
              <w:autoSpaceDN w:val="0"/>
              <w:autoSpaceDE w:val="0"/>
              <w:widowControl/>
              <w:spacing w:line="200" w:lineRule="exact" w:before="48" w:after="0"/>
              <w:ind w:left="198" w:right="0" w:firstLine="0"/>
              <w:jc w:val="left"/>
            </w:pPr>
            <w:r>
              <w:rPr>
                <w:rFonts w:ascii="黑体" w:hAnsi="黑体" w:eastAsia="黑体"/>
                <w:b w:val="0"/>
                <w:i w:val="0"/>
                <w:color w:val="000000"/>
                <w:sz w:val="20"/>
              </w:rPr>
              <w:t xml:space="preserve">山西国信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188</w:t>
            </w:r>
          </w:p>
        </w:tc>
      </w:tr>
      <w:tr>
        <w:trPr>
          <w:trHeight w:hRule="exact" w:val="260"/>
        </w:trPr>
        <w:tc>
          <w:tcPr>
            <w:tcW w:type="dxa" w:w="4564"/>
            <w:tcBorders/>
            <w:tcMar>
              <w:start w:w="0" w:type="dxa"/>
              <w:end w:w="0" w:type="dxa"/>
            </w:tcMar>
          </w:tcPr>
          <w:p>
            <w:pPr>
              <w:autoSpaceDN w:val="0"/>
              <w:autoSpaceDE w:val="0"/>
              <w:widowControl/>
              <w:spacing w:line="198" w:lineRule="exact" w:before="48" w:after="0"/>
              <w:ind w:left="198" w:right="0" w:firstLine="0"/>
              <w:jc w:val="left"/>
            </w:pPr>
            <w:r>
              <w:rPr>
                <w:rFonts w:ascii="黑体" w:hAnsi="黑体" w:eastAsia="黑体"/>
                <w:b w:val="0"/>
                <w:i w:val="0"/>
                <w:color w:val="000000"/>
                <w:sz w:val="20"/>
              </w:rPr>
              <w:t xml:space="preserve">焦化集团 </w:t>
            </w:r>
          </w:p>
        </w:tc>
        <w:tc>
          <w:tcPr>
            <w:tcW w:type="dxa" w:w="1870"/>
            <w:tcBorders/>
            <w:tcMar>
              <w:start w:w="0" w:type="dxa"/>
              <w:end w:w="0" w:type="dxa"/>
            </w:tcMar>
          </w:tcPr>
          <w:p>
            <w:pPr>
              <w:autoSpaceDN w:val="0"/>
              <w:autoSpaceDE w:val="0"/>
              <w:widowControl/>
              <w:spacing w:line="235" w:lineRule="auto" w:before="36"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5" w:lineRule="auto" w:before="36" w:after="0"/>
              <w:ind w:left="0" w:right="2" w:firstLine="0"/>
              <w:jc w:val="right"/>
            </w:pPr>
            <w:r>
              <w:rPr>
                <w:rFonts w:ascii="Arial" w:hAnsi="Arial" w:eastAsia="Arial"/>
                <w:b w:val="0"/>
                <w:i w:val="0"/>
                <w:color w:val="000000"/>
                <w:sz w:val="20"/>
              </w:rPr>
              <w:t>830</w:t>
            </w:r>
          </w:p>
        </w:tc>
      </w:tr>
      <w:tr>
        <w:trPr>
          <w:trHeight w:hRule="exact" w:val="260"/>
        </w:trPr>
        <w:tc>
          <w:tcPr>
            <w:tcW w:type="dxa" w:w="4564"/>
            <w:tcBorders/>
            <w:tcMar>
              <w:start w:w="0" w:type="dxa"/>
              <w:end w:w="0" w:type="dxa"/>
            </w:tcMar>
          </w:tcPr>
          <w:p>
            <w:pPr>
              <w:autoSpaceDN w:val="0"/>
              <w:autoSpaceDE w:val="0"/>
              <w:widowControl/>
              <w:spacing w:line="200" w:lineRule="exact" w:before="46" w:after="0"/>
              <w:ind w:left="198" w:right="0" w:firstLine="0"/>
              <w:jc w:val="left"/>
            </w:pPr>
            <w:r>
              <w:rPr>
                <w:rFonts w:ascii="黑体" w:hAnsi="黑体" w:eastAsia="黑体"/>
                <w:b w:val="0"/>
                <w:i w:val="0"/>
                <w:color w:val="000000"/>
                <w:sz w:val="20"/>
              </w:rPr>
              <w:t xml:space="preserve">太钢财务 </w:t>
            </w:r>
          </w:p>
        </w:tc>
        <w:tc>
          <w:tcPr>
            <w:tcW w:type="dxa" w:w="187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20"/>
              </w:rPr>
              <w:t>-</w:t>
            </w:r>
          </w:p>
        </w:tc>
        <w:tc>
          <w:tcPr>
            <w:tcW w:type="dxa" w:w="2098"/>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20"/>
              </w:rPr>
              <w:t>29</w:t>
            </w:r>
          </w:p>
        </w:tc>
      </w:tr>
      <w:tr>
        <w:trPr>
          <w:trHeight w:hRule="exact" w:val="280"/>
        </w:trPr>
        <w:tc>
          <w:tcPr>
            <w:tcW w:type="dxa" w:w="4564"/>
            <w:tcBorders>
              <w:bottom w:sz="4.0" w:val="single" w:color="#000000"/>
            </w:tcBorders>
            <w:tcMar>
              <w:start w:w="0" w:type="dxa"/>
              <w:end w:w="0" w:type="dxa"/>
            </w:tcMar>
          </w:tcPr>
          <w:p>
            <w:pPr>
              <w:autoSpaceDN w:val="0"/>
              <w:autoSpaceDE w:val="0"/>
              <w:widowControl/>
              <w:spacing w:line="200" w:lineRule="exact" w:before="46" w:after="0"/>
              <w:ind w:left="198" w:right="0" w:firstLine="0"/>
              <w:jc w:val="left"/>
            </w:pPr>
            <w:r>
              <w:rPr>
                <w:rFonts w:ascii="黑体" w:hAnsi="黑体" w:eastAsia="黑体"/>
                <w:b w:val="0"/>
                <w:i w:val="0"/>
                <w:color w:val="000000"/>
                <w:sz w:val="20"/>
              </w:rPr>
              <w:t xml:space="preserve">关联自然人 </w:t>
            </w:r>
          </w:p>
        </w:tc>
        <w:tc>
          <w:tcPr>
            <w:tcW w:type="dxa" w:w="1870"/>
            <w:tcBorders>
              <w:bottom w:sz="4.0"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20"/>
              </w:rPr>
              <w:t>8,819</w:t>
            </w:r>
          </w:p>
        </w:tc>
        <w:tc>
          <w:tcPr>
            <w:tcW w:type="dxa" w:w="2098"/>
            <w:tcBorders>
              <w:bottom w:sz="4.0" w:val="single" w:color="#000000"/>
            </w:tcBorders>
            <w:tcMar>
              <w:start w:w="0" w:type="dxa"/>
              <w:end w:w="0" w:type="dxa"/>
            </w:tcMar>
          </w:tcPr>
          <w:p>
            <w:pPr>
              <w:autoSpaceDN w:val="0"/>
              <w:autoSpaceDE w:val="0"/>
              <w:widowControl/>
              <w:spacing w:line="233" w:lineRule="auto" w:before="52" w:after="0"/>
              <w:ind w:left="0" w:right="2" w:firstLine="0"/>
              <w:jc w:val="right"/>
            </w:pPr>
            <w:r>
              <w:rPr>
                <w:rFonts w:ascii="Arial" w:hAnsi="Arial" w:eastAsia="Arial"/>
                <w:b w:val="0"/>
                <w:i w:val="0"/>
                <w:color w:val="000000"/>
                <w:sz w:val="20"/>
              </w:rPr>
              <w:t>11,318</w:t>
            </w:r>
          </w:p>
        </w:tc>
      </w:tr>
      <w:tr>
        <w:trPr>
          <w:trHeight w:hRule="exact" w:val="530"/>
        </w:trPr>
        <w:tc>
          <w:tcPr>
            <w:tcW w:type="dxa" w:w="4564"/>
            <w:tcBorders>
              <w:top w:sz="4.0" w:val="single" w:color="#000000"/>
              <w:bottom w:sz="3.2000000000007276" w:val="single" w:color="#000000"/>
            </w:tcBorders>
            <w:tcMar>
              <w:start w:w="0" w:type="dxa"/>
              <w:end w:w="0" w:type="dxa"/>
            </w:tcMar>
          </w:tcPr>
          <w:p>
            <w:pPr>
              <w:autoSpaceDN w:val="0"/>
              <w:autoSpaceDE w:val="0"/>
              <w:widowControl/>
              <w:spacing w:line="200" w:lineRule="exact" w:before="292" w:after="0"/>
              <w:ind w:left="198" w:right="0" w:firstLine="0"/>
              <w:jc w:val="left"/>
            </w:pPr>
            <w:r>
              <w:rPr>
                <w:rFonts w:ascii="黑体" w:hAnsi="黑体" w:eastAsia="黑体"/>
                <w:b w:val="0"/>
                <w:i w:val="0"/>
                <w:color w:val="000000"/>
                <w:sz w:val="20"/>
              </w:rPr>
              <w:t xml:space="preserve">合计 </w:t>
            </w:r>
          </w:p>
        </w:tc>
        <w:tc>
          <w:tcPr>
            <w:tcW w:type="dxa" w:w="1870"/>
            <w:tcBorders>
              <w:top w:sz="4.0" w:val="single" w:color="#000000"/>
              <w:bottom w:sz="3.2000000000007276" w:val="single" w:color="#000000"/>
            </w:tcBorders>
            <w:tcMar>
              <w:start w:w="0" w:type="dxa"/>
              <w:end w:w="0" w:type="dxa"/>
            </w:tcMar>
          </w:tcPr>
          <w:p>
            <w:pPr>
              <w:autoSpaceDN w:val="0"/>
              <w:autoSpaceDE w:val="0"/>
              <w:widowControl/>
              <w:spacing w:line="233" w:lineRule="auto" w:before="296" w:after="0"/>
              <w:ind w:left="0" w:right="0" w:firstLine="0"/>
              <w:jc w:val="right"/>
            </w:pPr>
            <w:r>
              <w:rPr>
                <w:rFonts w:ascii="Arial" w:hAnsi="Arial" w:eastAsia="Arial"/>
                <w:b w:val="0"/>
                <w:i w:val="0"/>
                <w:color w:val="000000"/>
                <w:sz w:val="20"/>
              </w:rPr>
              <w:t>136,954</w:t>
            </w:r>
          </w:p>
        </w:tc>
        <w:tc>
          <w:tcPr>
            <w:tcW w:type="dxa" w:w="2098"/>
            <w:tcBorders>
              <w:top w:sz="4.0" w:val="single" w:color="#000000"/>
              <w:bottom w:sz="3.2000000000007276" w:val="single" w:color="#000000"/>
            </w:tcBorders>
            <w:tcMar>
              <w:start w:w="0" w:type="dxa"/>
              <w:end w:w="0" w:type="dxa"/>
            </w:tcMar>
          </w:tcPr>
          <w:p>
            <w:pPr>
              <w:autoSpaceDN w:val="0"/>
              <w:autoSpaceDE w:val="0"/>
              <w:widowControl/>
              <w:spacing w:line="233" w:lineRule="auto" w:before="296" w:after="0"/>
              <w:ind w:left="0" w:right="2" w:firstLine="0"/>
              <w:jc w:val="right"/>
            </w:pPr>
            <w:r>
              <w:rPr>
                <w:rFonts w:ascii="Arial" w:hAnsi="Arial" w:eastAsia="Arial"/>
                <w:b w:val="0"/>
                <w:i w:val="0"/>
                <w:color w:val="000000"/>
                <w:sz w:val="20"/>
              </w:rPr>
              <w:t>149,694</w:t>
            </w:r>
          </w:p>
        </w:tc>
      </w:tr>
    </w:tbl>
    <w:p>
      <w:pPr>
        <w:autoSpaceDN w:val="0"/>
        <w:autoSpaceDE w:val="0"/>
        <w:widowControl/>
        <w:spacing w:line="233" w:lineRule="auto" w:before="3488" w:after="0"/>
        <w:ind w:left="0" w:right="0" w:firstLine="0"/>
        <w:jc w:val="center"/>
      </w:pPr>
      <w:r>
        <w:rPr>
          <w:rFonts w:ascii="Arial" w:hAnsi="Arial" w:eastAsia="Arial"/>
          <w:b w:val="0"/>
          <w:i w:val="0"/>
          <w:color w:val="000000"/>
          <w:sz w:val="20"/>
        </w:rPr>
        <w:t xml:space="preserve">269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p>
    <w:p>
      <w:pPr>
        <w:autoSpaceDN w:val="0"/>
        <w:tabs>
          <w:tab w:pos="107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p>
    <w:p>
      <w:pPr>
        <w:autoSpaceDN w:val="0"/>
        <w:autoSpaceDE w:val="0"/>
        <w:widowControl/>
        <w:spacing w:line="246" w:lineRule="exact" w:before="290"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c</w:t>
      </w:r>
      <w:r>
        <w:rPr>
          <w:rFonts w:ascii="黑体" w:hAnsi="黑体" w:eastAsia="黑体"/>
          <w:b w:val="0"/>
          <w:i w:val="0"/>
          <w:color w:val="000000"/>
          <w:sz w:val="22"/>
        </w:rPr>
        <w:t>）</w:t>
      </w:r>
      <w:r>
        <w:rPr>
          <w:rFonts w:ascii="黑体" w:hAnsi="黑体" w:eastAsia="黑体"/>
          <w:b w:val="0"/>
          <w:i w:val="0"/>
          <w:color w:val="000000"/>
          <w:sz w:val="22"/>
        </w:rPr>
        <w:t>投资银行业务手续费及佣金收入</w:t>
      </w:r>
    </w:p>
    <w:p>
      <w:pPr>
        <w:autoSpaceDN w:val="0"/>
        <w:autoSpaceDE w:val="0"/>
        <w:widowControl/>
        <w:spacing w:line="246" w:lineRule="exact" w:before="294"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证券承销业务手续费及佣金收入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山西省财政厅</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2,240,853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1,516,302</w:t>
            </w:r>
          </w:p>
        </w:tc>
      </w:tr>
      <w:tr>
        <w:trPr>
          <w:trHeight w:hRule="exact" w:val="4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山西金控</w:t>
            </w:r>
          </w:p>
        </w:tc>
        <w:tc>
          <w:tcPr>
            <w:tcW w:type="dxa" w:w="3006"/>
            <w:vMerge/>
            <w:tcBorders/>
          </w:tcPr>
          <w:p/>
        </w:tc>
        <w:tc>
          <w:tcPr>
            <w:tcW w:type="dxa" w:w="3006"/>
            <w:vMerge/>
            <w:tcBorders/>
          </w:tcPr>
          <w:p/>
        </w:tc>
      </w:tr>
      <w:tr>
        <w:trPr>
          <w:trHeight w:hRule="exact" w:val="270"/>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589,623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1,768,868</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2,830,476</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3,285,170</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财务顾问业务收入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通宝能源</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28"/>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72"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172" w:after="0"/>
              <w:ind w:left="0" w:right="0" w:firstLine="0"/>
              <w:jc w:val="right"/>
            </w:pPr>
            <w:r>
              <w:rPr>
                <w:rFonts w:ascii="Arial" w:hAnsi="Arial" w:eastAsia="Arial"/>
                <w:b w:val="0"/>
                <w:i w:val="0"/>
                <w:color w:val="000000"/>
                <w:sz w:val="22"/>
              </w:rPr>
              <w:t>358,491</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358,491</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d</w:t>
      </w:r>
      <w:r>
        <w:rPr>
          <w:rFonts w:ascii="黑体" w:hAnsi="黑体" w:eastAsia="黑体"/>
          <w:b w:val="0"/>
          <w:i w:val="0"/>
          <w:color w:val="000000"/>
          <w:sz w:val="22"/>
        </w:rPr>
        <w:t>）</w:t>
      </w:r>
      <w:r>
        <w:rPr>
          <w:rFonts w:ascii="黑体" w:hAnsi="黑体" w:eastAsia="黑体"/>
          <w:b w:val="0"/>
          <w:i w:val="0"/>
          <w:color w:val="000000"/>
          <w:sz w:val="22"/>
        </w:rPr>
        <w:t>资产管理业务手续费及佣金收入</w:t>
      </w:r>
    </w:p>
    <w:p>
      <w:pPr>
        <w:autoSpaceDN w:val="0"/>
        <w:autoSpaceDE w:val="0"/>
        <w:widowControl/>
        <w:spacing w:line="246" w:lineRule="exact" w:before="292"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应收管理费</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0"/>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金控资本</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8"/>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41,953</w:t>
            </w:r>
          </w:p>
        </w:tc>
        <w:tc>
          <w:tcPr>
            <w:tcW w:type="dxa" w:w="2098"/>
            <w:tcBorders>
              <w:bottom w:sz="4.0" w:val="single" w:color="#000000"/>
            </w:tcBorders>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561</w:t>
            </w:r>
          </w:p>
        </w:tc>
      </w:tr>
      <w:tr>
        <w:trPr>
          <w:trHeight w:hRule="exact" w:val="552"/>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41,953</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561</w:t>
            </w:r>
          </w:p>
        </w:tc>
      </w:tr>
    </w:tbl>
    <w:p>
      <w:pPr>
        <w:autoSpaceDN w:val="0"/>
        <w:autoSpaceDE w:val="0"/>
        <w:widowControl/>
        <w:spacing w:line="246" w:lineRule="exact" w:before="294"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）管理费收入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金控资本</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8" w:after="0"/>
              <w:ind w:left="0" w:right="222" w:firstLine="0"/>
              <w:jc w:val="right"/>
            </w:pPr>
            <w:r>
              <w:rPr>
                <w:rFonts w:ascii="Arial" w:hAnsi="Arial" w:eastAsia="Arial"/>
                <w:b w:val="0"/>
                <w:i w:val="0"/>
                <w:color w:val="000000"/>
                <w:sz w:val="22"/>
              </w:rPr>
              <w:t>808,725</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8" w:after="0"/>
              <w:ind w:left="0" w:right="0" w:firstLine="0"/>
              <w:jc w:val="right"/>
            </w:pPr>
            <w:r>
              <w:rPr>
                <w:rFonts w:ascii="Arial" w:hAnsi="Arial" w:eastAsia="Arial"/>
                <w:b w:val="0"/>
                <w:i w:val="0"/>
                <w:color w:val="000000"/>
                <w:sz w:val="22"/>
              </w:rPr>
              <w:t>18,379</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股权交易中心</w:t>
            </w:r>
          </w:p>
        </w:tc>
        <w:tc>
          <w:tcPr>
            <w:tcW w:type="dxa" w:w="3006"/>
            <w:vMerge/>
            <w:tcBorders/>
          </w:tcPr>
          <w:p/>
        </w:tc>
        <w:tc>
          <w:tcPr>
            <w:tcW w:type="dxa" w:w="3006"/>
            <w:vMerge/>
            <w:tcBorders/>
          </w:tcPr>
          <w:p/>
        </w:tc>
      </w:tr>
      <w:tr>
        <w:trPr>
          <w:trHeight w:hRule="exact" w:val="23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732,586</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晋兴资本</w:t>
            </w:r>
          </w:p>
        </w:tc>
        <w:tc>
          <w:tcPr>
            <w:tcW w:type="dxa" w:w="3006"/>
            <w:vMerge/>
            <w:tcBorders/>
          </w:tcPr>
          <w:p/>
        </w:tc>
        <w:tc>
          <w:tcPr>
            <w:tcW w:type="dxa" w:w="3006"/>
            <w:vMerge/>
            <w:tcBorders/>
          </w:tcPr>
          <w:p/>
        </w:tc>
      </w:tr>
      <w:tr>
        <w:trPr>
          <w:trHeight w:hRule="exact" w:val="250"/>
        </w:trPr>
        <w:tc>
          <w:tcPr>
            <w:tcW w:type="dxa" w:w="3006"/>
            <w:vMerge/>
            <w:tcBorders/>
          </w:tcPr>
          <w:p/>
        </w:tc>
        <w:tc>
          <w:tcPr>
            <w:tcW w:type="dxa" w:w="2098"/>
            <w:tcBorders/>
            <w:tcMar>
              <w:start w:w="0" w:type="dxa"/>
              <w:end w:w="0" w:type="dxa"/>
            </w:tcMar>
          </w:tcPr>
          <w:p>
            <w:pPr>
              <w:autoSpaceDN w:val="0"/>
              <w:autoSpaceDE w:val="0"/>
              <w:widowControl/>
              <w:spacing w:line="233" w:lineRule="auto" w:before="4" w:after="0"/>
              <w:ind w:left="0" w:right="222" w:firstLine="0"/>
              <w:jc w:val="right"/>
            </w:pPr>
            <w:r>
              <w:rPr>
                <w:rFonts w:ascii="Arial" w:hAnsi="Arial" w:eastAsia="Arial"/>
                <w:b w:val="0"/>
                <w:i w:val="0"/>
                <w:color w:val="000000"/>
                <w:sz w:val="22"/>
              </w:rPr>
              <w:t>27,385</w:t>
            </w: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w:t>
            </w:r>
          </w:p>
        </w:tc>
      </w:tr>
      <w:tr>
        <w:trPr>
          <w:trHeight w:hRule="exact" w:val="31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国信物业</w:t>
            </w:r>
          </w:p>
        </w:tc>
        <w:tc>
          <w:tcPr>
            <w:tcW w:type="dxa" w:w="2098"/>
            <w:tcBorders/>
            <w:tcMar>
              <w:start w:w="0" w:type="dxa"/>
              <w:end w:w="0" w:type="dxa"/>
            </w:tcMar>
          </w:tcPr>
          <w:p>
            <w:pPr>
              <w:autoSpaceDN w:val="0"/>
              <w:autoSpaceDE w:val="0"/>
              <w:widowControl/>
              <w:spacing w:line="235" w:lineRule="auto" w:before="54" w:after="0"/>
              <w:ind w:left="0" w:right="222" w:firstLine="0"/>
              <w:jc w:val="right"/>
            </w:pPr>
            <w:r>
              <w:rPr>
                <w:rFonts w:ascii="Arial" w:hAnsi="Arial" w:eastAsia="Arial"/>
                <w:b w:val="0"/>
                <w:i w:val="0"/>
                <w:color w:val="000000"/>
                <w:sz w:val="22"/>
              </w:rPr>
              <w:t>20,223</w:t>
            </w:r>
          </w:p>
        </w:tc>
        <w:tc>
          <w:tcPr>
            <w:tcW w:type="dxa" w:w="1870"/>
            <w:tcBorders/>
            <w:tcMar>
              <w:start w:w="0" w:type="dxa"/>
              <w:end w:w="0" w:type="dxa"/>
            </w:tcMar>
          </w:tcPr>
          <w:p>
            <w:pPr>
              <w:autoSpaceDN w:val="0"/>
              <w:autoSpaceDE w:val="0"/>
              <w:widowControl/>
              <w:spacing w:line="235" w:lineRule="auto" w:before="54" w:after="0"/>
              <w:ind w:left="0" w:right="0" w:firstLine="0"/>
              <w:jc w:val="right"/>
            </w:pPr>
            <w:r>
              <w:rPr>
                <w:rFonts w:ascii="Arial" w:hAnsi="Arial" w:eastAsia="Arial"/>
                <w:b w:val="0"/>
                <w:i w:val="0"/>
                <w:color w:val="000000"/>
                <w:sz w:val="22"/>
              </w:rPr>
              <w:t>-</w:t>
            </w:r>
          </w:p>
        </w:tc>
      </w:tr>
      <w:tr>
        <w:trPr>
          <w:trHeight w:hRule="exact" w:val="250"/>
        </w:trPr>
        <w:tc>
          <w:tcPr>
            <w:tcW w:type="dxa" w:w="4564"/>
            <w:tcBorders/>
            <w:tcMar>
              <w:start w:w="0" w:type="dxa"/>
              <w:end w:w="0" w:type="dxa"/>
            </w:tcMar>
          </w:tcPr>
          <w:p>
            <w:pPr>
              <w:autoSpaceDN w:val="0"/>
              <w:autoSpaceDE w:val="0"/>
              <w:widowControl/>
              <w:spacing w:line="220" w:lineRule="exact" w:before="22" w:after="0"/>
              <w:ind w:left="198" w:right="0" w:firstLine="0"/>
              <w:jc w:val="left"/>
            </w:pPr>
            <w:r>
              <w:rPr>
                <w:rFonts w:ascii="黑体" w:hAnsi="黑体" w:eastAsia="黑体"/>
                <w:b w:val="0"/>
                <w:i w:val="0"/>
                <w:color w:val="000000"/>
                <w:sz w:val="22"/>
              </w:rPr>
              <w:t>山西信托</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30" w:after="0"/>
              <w:ind w:left="0" w:right="222" w:firstLine="0"/>
              <w:jc w:val="right"/>
            </w:pPr>
            <w:r>
              <w:rPr>
                <w:rFonts w:ascii="Arial" w:hAnsi="Arial" w:eastAsia="Arial"/>
                <w:b w:val="0"/>
                <w:i w:val="0"/>
                <w:color w:val="000000"/>
                <w:sz w:val="22"/>
              </w:rPr>
              <w:t>19,370</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山西银行</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2"/>
              </w:rPr>
              <w:t>-</w:t>
            </w: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20,036</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1,608,289</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38,415</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1870"/>
            <w:tcBorders>
              <w:top w:sz="4.0" w:val="single" w:color="#000000"/>
            </w:tcBorders>
            <w:tcMar>
              <w:start w:w="0" w:type="dxa"/>
              <w:end w:w="0" w:type="dxa"/>
            </w:tcMar>
          </w:tcPr>
          <w:p/>
        </w:tc>
      </w:tr>
    </w:tbl>
    <w:p>
      <w:pPr>
        <w:autoSpaceDN w:val="0"/>
        <w:autoSpaceDE w:val="0"/>
        <w:widowControl/>
        <w:spacing w:line="233" w:lineRule="auto" w:before="1538" w:after="0"/>
        <w:ind w:left="0" w:right="0" w:firstLine="0"/>
        <w:jc w:val="center"/>
      </w:pPr>
      <w:r>
        <w:rPr>
          <w:rFonts w:ascii="Arial" w:hAnsi="Arial" w:eastAsia="Arial"/>
          <w:b w:val="0"/>
          <w:i w:val="0"/>
          <w:color w:val="000000"/>
          <w:sz w:val="20"/>
        </w:rPr>
        <w:t xml:space="preserve">270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220" w:lineRule="exact" w:before="0" w:after="0"/>
        <w:ind w:left="358" w:right="0"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p>
    <w:p>
      <w:pPr>
        <w:autoSpaceDN w:val="0"/>
        <w:tabs>
          <w:tab w:pos="107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p>
    <w:p>
      <w:pPr>
        <w:autoSpaceDN w:val="0"/>
        <w:autoSpaceDE w:val="0"/>
        <w:widowControl/>
        <w:spacing w:line="248" w:lineRule="exact" w:before="544"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代销基金及出租交易单元手续费及佣金净收入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8"/>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42" w:after="0"/>
              <w:ind w:left="198" w:right="0" w:firstLine="0"/>
              <w:jc w:val="left"/>
            </w:pPr>
            <w:r>
              <w:rPr>
                <w:rFonts w:ascii="黑体" w:hAnsi="黑体" w:eastAsia="黑体"/>
                <w:b w:val="0"/>
                <w:i w:val="0"/>
                <w:color w:val="000000"/>
                <w:sz w:val="22"/>
              </w:rPr>
              <w:t xml:space="preserve">山西信托 </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2" w:after="0"/>
              <w:ind w:left="0" w:right="0" w:firstLine="0"/>
              <w:jc w:val="right"/>
            </w:pPr>
            <w:r>
              <w:rPr>
                <w:rFonts w:ascii="Arial" w:hAnsi="Arial" w:eastAsia="Arial"/>
                <w:b w:val="0"/>
                <w:i w:val="0"/>
                <w:color w:val="000000"/>
                <w:sz w:val="22"/>
              </w:rPr>
              <w:t>378,328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2" w:after="0"/>
              <w:ind w:left="0" w:right="0" w:firstLine="0"/>
              <w:jc w:val="right"/>
            </w:pPr>
            <w:r>
              <w:rPr>
                <w:rFonts w:ascii="Arial" w:hAnsi="Arial" w:eastAsia="Arial"/>
                <w:b w:val="0"/>
                <w:i w:val="0"/>
                <w:color w:val="000000"/>
                <w:sz w:val="22"/>
              </w:rPr>
              <w:t>-</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 xml:space="preserve">汇安基金 </w:t>
            </w:r>
          </w:p>
        </w:tc>
        <w:tc>
          <w:tcPr>
            <w:tcW w:type="dxa" w:w="3006"/>
            <w:vMerge/>
            <w:tcBorders/>
          </w:tcPr>
          <w:p/>
        </w:tc>
        <w:tc>
          <w:tcPr>
            <w:tcW w:type="dxa" w:w="3006"/>
            <w:vMerge/>
            <w:tcBorders/>
          </w:tcPr>
          <w:p/>
        </w:tc>
      </w:tr>
      <w:tr>
        <w:trPr>
          <w:trHeight w:hRule="exact" w:val="23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320,219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528,719</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 xml:space="preserve">中煤财产 </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25,881</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51,333</w:t>
            </w:r>
          </w:p>
        </w:tc>
      </w:tr>
      <w:tr>
        <w:trPr>
          <w:trHeight w:hRule="exact" w:val="312"/>
        </w:trPr>
        <w:tc>
          <w:tcPr>
            <w:tcW w:type="dxa" w:w="4564"/>
            <w:tcBorders>
              <w:bottom w:sz="4.0" w:val="single" w:color="#000000"/>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 xml:space="preserve">汇丰晋信 </w:t>
            </w:r>
          </w:p>
        </w:tc>
        <w:tc>
          <w:tcPr>
            <w:tcW w:type="dxa" w:w="1870"/>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70,973</w:t>
            </w:r>
          </w:p>
        </w:tc>
        <w:tc>
          <w:tcPr>
            <w:tcW w:type="dxa" w:w="2098"/>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308,403</w:t>
            </w:r>
          </w:p>
        </w:tc>
      </w:tr>
      <w:tr>
        <w:trPr>
          <w:trHeight w:hRule="exact" w:val="58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312" w:after="0"/>
              <w:ind w:left="198" w:right="0" w:firstLine="0"/>
              <w:jc w:val="left"/>
            </w:pPr>
            <w:r>
              <w:rPr>
                <w:rFonts w:ascii="黑体" w:hAnsi="黑体" w:eastAsia="黑体"/>
                <w:b w:val="0"/>
                <w:i w:val="0"/>
                <w:color w:val="000000"/>
                <w:sz w:val="22"/>
              </w:rPr>
              <w:t xml:space="preserve">合计 </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320" w:after="0"/>
              <w:ind w:left="0" w:right="0" w:firstLine="0"/>
              <w:jc w:val="right"/>
            </w:pPr>
            <w:r>
              <w:rPr>
                <w:rFonts w:ascii="Arial" w:hAnsi="Arial" w:eastAsia="Arial"/>
                <w:b w:val="0"/>
                <w:i w:val="0"/>
                <w:color w:val="000000"/>
                <w:sz w:val="22"/>
              </w:rPr>
              <w:t>795,401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320" w:after="0"/>
              <w:ind w:left="0" w:right="0" w:firstLine="0"/>
              <w:jc w:val="right"/>
            </w:pPr>
            <w:r>
              <w:rPr>
                <w:rFonts w:ascii="Arial" w:hAnsi="Arial" w:eastAsia="Arial"/>
                <w:b w:val="0"/>
                <w:i w:val="0"/>
                <w:color w:val="000000"/>
                <w:sz w:val="22"/>
              </w:rPr>
              <w:t>888,455</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50"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f</w:t>
      </w:r>
      <w:r>
        <w:rPr>
          <w:rFonts w:ascii="黑体" w:hAnsi="黑体" w:eastAsia="黑体"/>
          <w:b w:val="0"/>
          <w:i w:val="0"/>
          <w:color w:val="000000"/>
          <w:sz w:val="22"/>
        </w:rPr>
        <w:t>）</w:t>
      </w:r>
      <w:r>
        <w:rPr>
          <w:rFonts w:ascii="黑体" w:hAnsi="黑体" w:eastAsia="黑体"/>
          <w:b w:val="0"/>
          <w:i w:val="0"/>
          <w:color w:val="000000"/>
          <w:sz w:val="22"/>
        </w:rPr>
        <w:t>投资咨询业务手续费及佣金收入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10" w:after="0"/>
              <w:ind w:left="198" w:right="0" w:firstLine="0"/>
              <w:jc w:val="left"/>
            </w:pPr>
            <w:r>
              <w:rPr>
                <w:rFonts w:ascii="黑体" w:hAnsi="黑体" w:eastAsia="黑体"/>
                <w:b w:val="0"/>
                <w:i w:val="0"/>
                <w:color w:val="000000"/>
                <w:sz w:val="22"/>
              </w:rPr>
              <w:t>山西银行</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22"/>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70" w:after="0"/>
              <w:ind w:left="0" w:right="0" w:firstLine="0"/>
              <w:jc w:val="right"/>
            </w:pPr>
            <w:r>
              <w:rPr>
                <w:rFonts w:ascii="Arial" w:hAnsi="Arial" w:eastAsia="Arial"/>
                <w:b w:val="0"/>
                <w:i w:val="0"/>
                <w:color w:val="000000"/>
                <w:sz w:val="22"/>
              </w:rPr>
              <w:t>301,887</w:t>
            </w:r>
          </w:p>
        </w:tc>
        <w:tc>
          <w:tcPr>
            <w:tcW w:type="dxa" w:w="2098"/>
            <w:tcBorders>
              <w:bottom w:sz="4.0" w:val="single" w:color="#000000"/>
            </w:tcBorders>
            <w:tcMar>
              <w:start w:w="0" w:type="dxa"/>
              <w:end w:w="0" w:type="dxa"/>
            </w:tcMar>
          </w:tcPr>
          <w:p>
            <w:pPr>
              <w:autoSpaceDN w:val="0"/>
              <w:autoSpaceDE w:val="0"/>
              <w:widowControl/>
              <w:spacing w:line="233" w:lineRule="auto" w:before="170" w:after="0"/>
              <w:ind w:left="0" w:right="0" w:firstLine="0"/>
              <w:jc w:val="right"/>
            </w:pPr>
            <w:r>
              <w:rPr>
                <w:rFonts w:ascii="Arial" w:hAnsi="Arial" w:eastAsia="Arial"/>
                <w:b w:val="0"/>
                <w:i w:val="0"/>
                <w:color w:val="000000"/>
                <w:sz w:val="22"/>
              </w:rPr>
              <w:t>-</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301,887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w:t>
            </w:r>
          </w:p>
        </w:tc>
      </w:tr>
    </w:tbl>
    <w:p>
      <w:pPr>
        <w:autoSpaceDN w:val="0"/>
        <w:autoSpaceDE w:val="0"/>
        <w:widowControl/>
        <w:spacing w:line="233" w:lineRule="auto" w:before="7586" w:after="0"/>
        <w:ind w:left="0" w:right="0" w:firstLine="0"/>
        <w:jc w:val="center"/>
      </w:pPr>
      <w:r>
        <w:rPr>
          <w:rFonts w:ascii="Arial" w:hAnsi="Arial" w:eastAsia="Arial"/>
          <w:b w:val="0"/>
          <w:i w:val="0"/>
          <w:color w:val="000000"/>
          <w:sz w:val="20"/>
        </w:rPr>
        <w:t xml:space="preserve">271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g</w:t>
      </w:r>
      <w:r>
        <w:rPr>
          <w:rFonts w:ascii="黑体" w:hAnsi="黑体" w:eastAsia="黑体"/>
          <w:b w:val="0"/>
          <w:i w:val="0"/>
          <w:color w:val="000000"/>
          <w:sz w:val="22"/>
        </w:rPr>
        <w:t>）</w:t>
      </w:r>
      <w:r>
        <w:rPr>
          <w:rFonts w:ascii="黑体" w:hAnsi="黑体" w:eastAsia="黑体"/>
          <w:b w:val="0"/>
          <w:i w:val="0"/>
          <w:color w:val="000000"/>
          <w:sz w:val="22"/>
        </w:rPr>
        <w:t>房屋租赁、物业管理及机房托管</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支付的房屋租赁费、物业管理费及其他</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国贸物业</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222" w:firstLine="0"/>
              <w:jc w:val="right"/>
            </w:pPr>
            <w:r>
              <w:rPr>
                <w:rFonts w:ascii="Arial" w:hAnsi="Arial" w:eastAsia="Arial"/>
                <w:b w:val="0"/>
                <w:i w:val="0"/>
                <w:color w:val="000000"/>
                <w:sz w:val="22"/>
              </w:rPr>
              <w:t>5,181,773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5,154,239</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国贸大饭店</w:t>
            </w:r>
          </w:p>
        </w:tc>
        <w:tc>
          <w:tcPr>
            <w:tcW w:type="dxa" w:w="3006"/>
            <w:vMerge/>
            <w:tcBorders/>
          </w:tcPr>
          <w:p/>
        </w:tc>
        <w:tc>
          <w:tcPr>
            <w:tcW w:type="dxa" w:w="3006"/>
            <w:vMerge/>
            <w:tcBorders/>
          </w:tcPr>
          <w:p/>
        </w:tc>
      </w:tr>
      <w:tr>
        <w:trPr>
          <w:trHeight w:hRule="exact" w:val="238"/>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3,973,463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4,063,360</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山西国贸</w:t>
            </w:r>
          </w:p>
        </w:tc>
        <w:tc>
          <w:tcPr>
            <w:tcW w:type="dxa" w:w="3006"/>
            <w:vMerge/>
            <w:tcBorders/>
          </w:tcPr>
          <w:p/>
        </w:tc>
        <w:tc>
          <w:tcPr>
            <w:tcW w:type="dxa" w:w="3006"/>
            <w:vMerge/>
            <w:tcBorders/>
          </w:tcPr>
          <w:p/>
        </w:tc>
      </w:tr>
      <w:tr>
        <w:trPr>
          <w:trHeight w:hRule="exact" w:val="23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2,806,859</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2,941,590</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山西国信</w:t>
            </w:r>
          </w:p>
        </w:tc>
        <w:tc>
          <w:tcPr>
            <w:tcW w:type="dxa" w:w="3006"/>
            <w:vMerge/>
            <w:tcBorders/>
          </w:tcPr>
          <w:p/>
        </w:tc>
        <w:tc>
          <w:tcPr>
            <w:tcW w:type="dxa" w:w="3006"/>
            <w:vMerge/>
            <w:tcBorders/>
          </w:tcPr>
          <w:p/>
        </w:tc>
      </w:tr>
      <w:tr>
        <w:trPr>
          <w:trHeight w:hRule="exact" w:val="250"/>
        </w:trPr>
        <w:tc>
          <w:tcPr>
            <w:tcW w:type="dxa" w:w="3006"/>
            <w:vMerge/>
            <w:tcBorders/>
          </w:tcPr>
          <w:p/>
        </w:tc>
        <w:tc>
          <w:tcPr>
            <w:tcW w:type="dxa" w:w="2098"/>
            <w:tcBorders/>
            <w:tcMar>
              <w:start w:w="0" w:type="dxa"/>
              <w:end w:w="0" w:type="dxa"/>
            </w:tcMar>
          </w:tcPr>
          <w:p>
            <w:pPr>
              <w:autoSpaceDN w:val="0"/>
              <w:autoSpaceDE w:val="0"/>
              <w:widowControl/>
              <w:spacing w:line="233" w:lineRule="auto" w:before="4" w:after="0"/>
              <w:ind w:left="0" w:right="222" w:firstLine="0"/>
              <w:jc w:val="right"/>
            </w:pPr>
            <w:r>
              <w:rPr>
                <w:rFonts w:ascii="Arial" w:hAnsi="Arial" w:eastAsia="Arial"/>
                <w:b w:val="0"/>
                <w:i w:val="0"/>
                <w:color w:val="000000"/>
                <w:sz w:val="22"/>
              </w:rPr>
              <w:t>2,787,255</w:t>
            </w: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2,787,255</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国信物业</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222" w:firstLine="0"/>
              <w:jc w:val="right"/>
            </w:pPr>
            <w:r>
              <w:rPr>
                <w:rFonts w:ascii="Arial" w:hAnsi="Arial" w:eastAsia="Arial"/>
                <w:b w:val="0"/>
                <w:i w:val="0"/>
                <w:color w:val="000000"/>
                <w:sz w:val="22"/>
              </w:rPr>
              <w:t>2,058,773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1,430,692</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 xml:space="preserve">绿色交易中心 </w:t>
            </w:r>
          </w:p>
        </w:tc>
        <w:tc>
          <w:tcPr>
            <w:tcW w:type="dxa" w:w="3006"/>
            <w:vMerge/>
            <w:tcBorders/>
          </w:tcPr>
          <w:p/>
        </w:tc>
        <w:tc>
          <w:tcPr>
            <w:tcW w:type="dxa" w:w="3006"/>
            <w:vMerge/>
            <w:tcBorders/>
          </w:tcPr>
          <w:p/>
        </w:tc>
      </w:tr>
      <w:tr>
        <w:trPr>
          <w:trHeight w:hRule="exact" w:val="238"/>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207,547</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中煤财产</w:t>
            </w:r>
          </w:p>
        </w:tc>
        <w:tc>
          <w:tcPr>
            <w:tcW w:type="dxa" w:w="3006"/>
            <w:vMerge/>
            <w:tcBorders/>
          </w:tcPr>
          <w:p/>
        </w:tc>
        <w:tc>
          <w:tcPr>
            <w:tcW w:type="dxa" w:w="3006"/>
            <w:vMerge/>
            <w:tcBorders/>
          </w:tcPr>
          <w:p/>
        </w:tc>
      </w:tr>
      <w:tr>
        <w:trPr>
          <w:trHeight w:hRule="exact" w:val="232"/>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128,686</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128,686</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股权交易中心</w:t>
            </w:r>
          </w:p>
        </w:tc>
        <w:tc>
          <w:tcPr>
            <w:tcW w:type="dxa" w:w="3006"/>
            <w:vMerge/>
            <w:tcBorders/>
          </w:tcPr>
          <w:p/>
        </w:tc>
        <w:tc>
          <w:tcPr>
            <w:tcW w:type="dxa" w:w="3006"/>
            <w:vMerge/>
            <w:tcBorders/>
          </w:tcPr>
          <w:p/>
        </w:tc>
      </w:tr>
      <w:tr>
        <w:trPr>
          <w:trHeight w:hRule="exact" w:val="248"/>
        </w:trPr>
        <w:tc>
          <w:tcPr>
            <w:tcW w:type="dxa" w:w="3006"/>
            <w:vMerge/>
            <w:tcBorders/>
          </w:tcPr>
          <w:p/>
        </w:tc>
        <w:tc>
          <w:tcPr>
            <w:tcW w:type="dxa" w:w="2098"/>
            <w:tcBorders/>
            <w:tcMar>
              <w:start w:w="0" w:type="dxa"/>
              <w:end w:w="0" w:type="dxa"/>
            </w:tcMar>
          </w:tcPr>
          <w:p>
            <w:pPr>
              <w:autoSpaceDN w:val="0"/>
              <w:autoSpaceDE w:val="0"/>
              <w:widowControl/>
              <w:spacing w:line="233" w:lineRule="auto" w:before="2" w:after="0"/>
              <w:ind w:left="0" w:right="222" w:firstLine="0"/>
              <w:jc w:val="right"/>
            </w:pPr>
            <w:r>
              <w:rPr>
                <w:rFonts w:ascii="Arial" w:hAnsi="Arial" w:eastAsia="Arial"/>
                <w:b w:val="0"/>
                <w:i w:val="0"/>
                <w:color w:val="000000"/>
                <w:sz w:val="22"/>
              </w:rPr>
              <w:t>42,170</w:t>
            </w: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山西银行</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226" w:firstLine="0"/>
              <w:jc w:val="right"/>
            </w:pPr>
            <w:r>
              <w:rPr>
                <w:rFonts w:ascii="Arial" w:hAnsi="Arial" w:eastAsia="Arial"/>
                <w:b w:val="0"/>
                <w:i w:val="0"/>
                <w:color w:val="000000"/>
                <w:sz w:val="22"/>
              </w:rPr>
              <w:t>377</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377</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 xml:space="preserve">国信医疗 </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2"/>
              </w:rPr>
              <w:t>-</w:t>
            </w: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2,473</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17,186,903</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16,508,672</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1870"/>
            <w:tcBorders>
              <w:top w:sz="4.0" w:val="single" w:color="#000000"/>
            </w:tcBorders>
            <w:tcMar>
              <w:start w:w="0" w:type="dxa"/>
              <w:end w:w="0" w:type="dxa"/>
            </w:tcMar>
          </w:tcPr>
          <w:p/>
        </w:tc>
      </w:tr>
    </w:tbl>
    <w:p>
      <w:pPr>
        <w:autoSpaceDN w:val="0"/>
        <w:autoSpaceDE w:val="0"/>
        <w:widowControl/>
        <w:spacing w:line="246" w:lineRule="exact" w:before="242"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预付租赁费、物业管理费及其他</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山西国贸</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23,412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35,412</w:t>
            </w:r>
          </w:p>
        </w:tc>
      </w:tr>
      <w:tr>
        <w:trPr>
          <w:trHeight w:hRule="exact" w:val="42"/>
        </w:trPr>
        <w:tc>
          <w:tcPr>
            <w:tcW w:type="dxa" w:w="4564"/>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国贸大饭店</w:t>
            </w:r>
          </w:p>
        </w:tc>
        <w:tc>
          <w:tcPr>
            <w:tcW w:type="dxa" w:w="3006"/>
            <w:vMerge/>
            <w:tcBorders/>
          </w:tcPr>
          <w:p/>
        </w:tc>
        <w:tc>
          <w:tcPr>
            <w:tcW w:type="dxa" w:w="3006"/>
            <w:vMerge/>
            <w:tcBorders/>
          </w:tcPr>
          <w:p/>
        </w:tc>
      </w:tr>
      <w:tr>
        <w:trPr>
          <w:trHeight w:hRule="exact" w:val="274"/>
        </w:trPr>
        <w:tc>
          <w:tcPr>
            <w:tcW w:type="dxa" w:w="3006"/>
            <w:vMerge/>
            <w:tcBorders>
              <w:bottom w:sz="3.199999999999818" w:val="single" w:color="#000000"/>
            </w:tcBorders>
          </w:tcPr>
          <w:p/>
        </w:tc>
        <w:tc>
          <w:tcPr>
            <w:tcW w:type="dxa" w:w="1870"/>
            <w:tcBorders>
              <w:bottom w:sz="3.199999999999818"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101,394</w:t>
            </w:r>
          </w:p>
        </w:tc>
        <w:tc>
          <w:tcPr>
            <w:tcW w:type="dxa" w:w="2098"/>
            <w:tcBorders>
              <w:bottom w:sz="3.199999999999818"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101,394</w:t>
            </w:r>
          </w:p>
        </w:tc>
      </w:tr>
      <w:tr>
        <w:trPr>
          <w:trHeight w:hRule="exact" w:val="548"/>
        </w:trPr>
        <w:tc>
          <w:tcPr>
            <w:tcW w:type="dxa" w:w="4564"/>
            <w:tcBorders>
              <w:top w:sz="3.199999999999818"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124,806</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136,806</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国贸大饭店相关使用权资产和租赁负债</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2"/>
        </w:trPr>
        <w:tc>
          <w:tcPr>
            <w:tcW w:type="dxa" w:w="4550"/>
            <w:vMerge w:val="restart"/>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使用权资产</w:t>
            </w:r>
          </w:p>
        </w:tc>
        <w:tc>
          <w:tcPr>
            <w:tcW w:type="dxa" w:w="1884"/>
            <w:tcBorders/>
            <w:tcMar>
              <w:start w:w="0" w:type="dxa"/>
              <w:end w:w="0" w:type="dxa"/>
            </w:tcMar>
          </w:tcPr>
          <w:p>
            <w:pPr>
              <w:autoSpaceDN w:val="0"/>
              <w:autoSpaceDE w:val="0"/>
              <w:widowControl/>
              <w:spacing w:line="246" w:lineRule="exact" w:before="60" w:after="0"/>
              <w:ind w:left="24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30"/>
        </w:trPr>
        <w:tc>
          <w:tcPr>
            <w:tcW w:type="dxa" w:w="3006"/>
            <w:vMerge/>
            <w:tcBorders/>
          </w:tcPr>
          <w:p/>
        </w:tc>
        <w:tc>
          <w:tcPr>
            <w:tcW w:type="dxa" w:w="1884"/>
            <w:tcBorders/>
            <w:tcMar>
              <w:start w:w="0" w:type="dxa"/>
              <w:end w:w="0" w:type="dxa"/>
            </w:tcMar>
          </w:tcPr>
          <w:p>
            <w:pPr>
              <w:autoSpaceDN w:val="0"/>
              <w:autoSpaceDE w:val="0"/>
              <w:widowControl/>
              <w:spacing w:line="235" w:lineRule="auto" w:before="174" w:after="0"/>
              <w:ind w:left="0" w:right="0" w:firstLine="0"/>
              <w:jc w:val="right"/>
            </w:pPr>
            <w:r>
              <w:rPr>
                <w:rFonts w:ascii="Arial" w:hAnsi="Arial" w:eastAsia="Arial"/>
                <w:b w:val="0"/>
                <w:i w:val="0"/>
                <w:color w:val="000000"/>
                <w:sz w:val="22"/>
              </w:rPr>
              <w:t>487,064</w:t>
            </w:r>
          </w:p>
        </w:tc>
        <w:tc>
          <w:tcPr>
            <w:tcW w:type="dxa" w:w="2098"/>
            <w:tcBorders/>
            <w:tcMar>
              <w:start w:w="0" w:type="dxa"/>
              <w:end w:w="0" w:type="dxa"/>
            </w:tcMar>
          </w:tcPr>
          <w:p>
            <w:pPr>
              <w:autoSpaceDN w:val="0"/>
              <w:autoSpaceDE w:val="0"/>
              <w:widowControl/>
              <w:spacing w:line="235" w:lineRule="auto" w:before="174" w:after="0"/>
              <w:ind w:left="0" w:right="0" w:firstLine="0"/>
              <w:jc w:val="right"/>
            </w:pPr>
            <w:r>
              <w:rPr>
                <w:rFonts w:ascii="Arial" w:hAnsi="Arial" w:eastAsia="Arial"/>
                <w:b w:val="0"/>
                <w:i w:val="0"/>
                <w:color w:val="000000"/>
                <w:sz w:val="22"/>
              </w:rPr>
              <w:t>1,018,407</w:t>
            </w:r>
          </w:p>
        </w:tc>
      </w:tr>
      <w:tr>
        <w:trPr>
          <w:trHeight w:hRule="exact" w:val="286"/>
        </w:trPr>
        <w:tc>
          <w:tcPr>
            <w:tcW w:type="dxa" w:w="4550"/>
            <w:tcBorders>
              <w:bottom w:sz="4.0" w:val="single" w:color="#000000"/>
            </w:tcBorders>
            <w:tcMar>
              <w:start w:w="0" w:type="dxa"/>
              <w:end w:w="0" w:type="dxa"/>
            </w:tcMar>
          </w:tcPr>
          <w:p>
            <w:pPr>
              <w:autoSpaceDN w:val="0"/>
              <w:autoSpaceDE w:val="0"/>
              <w:widowControl/>
              <w:spacing w:line="220" w:lineRule="exact" w:before="24" w:after="0"/>
              <w:ind w:left="198" w:right="0" w:firstLine="0"/>
              <w:jc w:val="left"/>
            </w:pPr>
            <w:r>
              <w:rPr>
                <w:rFonts w:ascii="黑体" w:hAnsi="黑体" w:eastAsia="黑体"/>
                <w:b w:val="0"/>
                <w:i w:val="0"/>
                <w:color w:val="000000"/>
                <w:sz w:val="22"/>
              </w:rPr>
              <w:t>租赁负债</w:t>
            </w:r>
          </w:p>
        </w:tc>
        <w:tc>
          <w:tcPr>
            <w:tcW w:type="dxa" w:w="1884"/>
            <w:tcBorders>
              <w:bottom w:sz="4.0" w:val="single" w:color="#000000"/>
            </w:tcBorders>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562,423</w:t>
            </w:r>
          </w:p>
        </w:tc>
      </w:tr>
      <w:tr>
        <w:trPr>
          <w:trHeight w:hRule="exact" w:val="50"/>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3392" w:after="0"/>
        <w:ind w:left="0" w:right="0" w:firstLine="0"/>
        <w:jc w:val="center"/>
      </w:pPr>
      <w:r>
        <w:rPr>
          <w:rFonts w:ascii="Arial" w:hAnsi="Arial" w:eastAsia="Arial"/>
          <w:b w:val="0"/>
          <w:i w:val="0"/>
          <w:color w:val="000000"/>
          <w:sz w:val="20"/>
        </w:rPr>
        <w:t xml:space="preserve">272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36" w:lineRule="exact" w:before="0" w:after="234"/>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h</w:t>
      </w:r>
      <w:r>
        <w:rPr>
          <w:rFonts w:ascii="黑体" w:hAnsi="黑体" w:eastAsia="黑体"/>
          <w:b w:val="0"/>
          <w:i w:val="0"/>
          <w:color w:val="000000"/>
          <w:sz w:val="22"/>
        </w:rPr>
        <w:t>）</w:t>
      </w:r>
      <w:r>
        <w:rPr>
          <w:rFonts w:ascii="黑体" w:hAnsi="黑体" w:eastAsia="黑体"/>
          <w:b w:val="0"/>
          <w:i w:val="0"/>
          <w:color w:val="000000"/>
          <w:sz w:val="22"/>
        </w:rPr>
        <w:t>支付的年费及监管费</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0"/>
        </w:trPr>
        <w:tc>
          <w:tcPr>
            <w:tcW w:type="dxa" w:w="455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股权交易中心</w:t>
            </w:r>
          </w:p>
        </w:tc>
        <w:tc>
          <w:tcPr>
            <w:tcW w:type="dxa" w:w="2098"/>
            <w:tcBorders/>
            <w:tcMar>
              <w:start w:w="0" w:type="dxa"/>
              <w:end w:w="0" w:type="dxa"/>
            </w:tcMar>
          </w:tcPr>
          <w:p>
            <w:pPr>
              <w:autoSpaceDN w:val="0"/>
              <w:autoSpaceDE w:val="0"/>
              <w:widowControl/>
              <w:spacing w:line="246" w:lineRule="exact" w:before="60" w:after="0"/>
              <w:ind w:left="0" w:right="212"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84"/>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0"/>
        </w:trPr>
        <w:tc>
          <w:tcPr>
            <w:tcW w:type="dxa" w:w="3006"/>
            <w:vMerge/>
            <w:tcBorders>
              <w:bottom w:sz="3.199999999999818" w:val="single" w:color="#000000"/>
            </w:tcBorders>
          </w:tcPr>
          <w:p/>
        </w:tc>
        <w:tc>
          <w:tcPr>
            <w:tcW w:type="dxa" w:w="2098"/>
            <w:tcBorders>
              <w:bottom w:sz="3.199999999999818" w:val="single" w:color="#000000"/>
            </w:tcBorders>
            <w:tcMar>
              <w:start w:w="0" w:type="dxa"/>
              <w:end w:w="0" w:type="dxa"/>
            </w:tcMar>
          </w:tcPr>
          <w:p>
            <w:pPr>
              <w:autoSpaceDN w:val="0"/>
              <w:autoSpaceDE w:val="0"/>
              <w:widowControl/>
              <w:spacing w:line="235" w:lineRule="auto" w:before="154" w:after="0"/>
              <w:ind w:left="0" w:right="208" w:firstLine="0"/>
              <w:jc w:val="right"/>
            </w:pPr>
            <w:r>
              <w:rPr>
                <w:rFonts w:ascii="Arial" w:hAnsi="Arial" w:eastAsia="Arial"/>
                <w:b w:val="0"/>
                <w:i w:val="0"/>
                <w:color w:val="000000"/>
                <w:sz w:val="22"/>
              </w:rPr>
              <w:t>339,623</w:t>
            </w:r>
          </w:p>
        </w:tc>
        <w:tc>
          <w:tcPr>
            <w:tcW w:type="dxa" w:w="1884"/>
            <w:tcBorders>
              <w:bottom w:sz="3.199999999999818" w:val="single" w:color="#000000"/>
            </w:tcBorders>
            <w:tcMar>
              <w:start w:w="0" w:type="dxa"/>
              <w:end w:w="0" w:type="dxa"/>
            </w:tcMar>
          </w:tcPr>
          <w:p>
            <w:pPr>
              <w:autoSpaceDN w:val="0"/>
              <w:autoSpaceDE w:val="0"/>
              <w:widowControl/>
              <w:spacing w:line="235" w:lineRule="auto" w:before="154" w:after="0"/>
              <w:ind w:left="0" w:right="0" w:firstLine="0"/>
              <w:jc w:val="right"/>
            </w:pPr>
            <w:r>
              <w:rPr>
                <w:rFonts w:ascii="Arial" w:hAnsi="Arial" w:eastAsia="Arial"/>
                <w:b w:val="0"/>
                <w:i w:val="0"/>
                <w:color w:val="000000"/>
                <w:sz w:val="22"/>
              </w:rPr>
              <w:t>339,623</w:t>
            </w:r>
          </w:p>
        </w:tc>
      </w:tr>
      <w:tr>
        <w:trPr>
          <w:trHeight w:hRule="exact" w:val="52"/>
        </w:trPr>
        <w:tc>
          <w:tcPr>
            <w:tcW w:type="dxa" w:w="455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c>
          <w:tcPr>
            <w:tcW w:type="dxa" w:w="1884"/>
            <w:tcBorders>
              <w:top w:sz="3.199999999999818" w:val="single" w:color="#000000"/>
            </w:tcBorders>
            <w:tcMar>
              <w:start w:w="0" w:type="dxa"/>
              <w:end w:w="0" w:type="dxa"/>
            </w:tcMar>
          </w:tcPr>
          <w:p/>
        </w:tc>
      </w:tr>
    </w:tbl>
    <w:p>
      <w:pPr>
        <w:autoSpaceDN w:val="0"/>
        <w:autoSpaceDE w:val="0"/>
        <w:widowControl/>
        <w:spacing w:line="516" w:lineRule="exact" w:before="0" w:after="230"/>
        <w:ind w:left="358" w:right="6480" w:firstLine="0"/>
        <w:jc w:val="left"/>
      </w:pPr>
      <w:r>
        <w:rPr>
          <w:rFonts w:ascii="黑体" w:hAnsi="黑体" w:eastAsia="黑体"/>
          <w:b w:val="0"/>
          <w:i w:val="0"/>
          <w:color w:val="000000"/>
          <w:sz w:val="22"/>
        </w:rPr>
        <w:t>（</w:t>
      </w:r>
      <w:r>
        <w:rPr>
          <w:rFonts w:ascii="Arial" w:hAnsi="Arial" w:eastAsia="Arial"/>
          <w:b w:val="0"/>
          <w:i w:val="0"/>
          <w:color w:val="000000"/>
          <w:sz w:val="22"/>
        </w:rPr>
        <w:t>i</w:t>
      </w:r>
      <w:r>
        <w:rPr>
          <w:rFonts w:ascii="黑体" w:hAnsi="黑体" w:eastAsia="黑体"/>
          <w:b w:val="0"/>
          <w:i w:val="0"/>
          <w:color w:val="000000"/>
          <w:sz w:val="22"/>
        </w:rPr>
        <w:t>）</w:t>
      </w:r>
      <w:r>
        <w:rPr>
          <w:rFonts w:ascii="黑体" w:hAnsi="黑体" w:eastAsia="黑体"/>
          <w:b w:val="0"/>
          <w:i w:val="0"/>
          <w:color w:val="000000"/>
          <w:sz w:val="22"/>
        </w:rPr>
        <w:t>收益凭证交易</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利息支出</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8"/>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金信清洁</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0"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0" w:after="0"/>
              <w:ind w:left="0" w:right="0" w:firstLine="0"/>
              <w:jc w:val="right"/>
            </w:pPr>
            <w:r>
              <w:rPr>
                <w:rFonts w:ascii="Arial" w:hAnsi="Arial" w:eastAsia="Arial"/>
                <w:b w:val="0"/>
                <w:i w:val="0"/>
                <w:color w:val="000000"/>
                <w:sz w:val="22"/>
              </w:rPr>
              <w:t>122,899</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6" w:after="0"/>
              <w:ind w:left="198" w:right="0" w:firstLine="0"/>
              <w:jc w:val="left"/>
            </w:pPr>
            <w:r>
              <w:rPr>
                <w:rFonts w:ascii="黑体" w:hAnsi="黑体" w:eastAsia="黑体"/>
                <w:b w:val="0"/>
                <w:i w:val="0"/>
                <w:color w:val="000000"/>
                <w:sz w:val="22"/>
              </w:rPr>
              <w:t>关联自然人</w:t>
            </w:r>
          </w:p>
        </w:tc>
        <w:tc>
          <w:tcPr>
            <w:tcW w:type="dxa" w:w="3006"/>
            <w:vMerge/>
            <w:tcBorders/>
          </w:tcPr>
          <w:p/>
        </w:tc>
        <w:tc>
          <w:tcPr>
            <w:tcW w:type="dxa" w:w="3006"/>
            <w:vMerge/>
            <w:tcBorders/>
          </w:tcPr>
          <w:p/>
        </w:tc>
      </w:tr>
      <w:tr>
        <w:trPr>
          <w:trHeight w:hRule="exact" w:val="272"/>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115</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123,014</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538" w:lineRule="exact" w:before="206" w:after="234"/>
        <w:ind w:left="358" w:right="5040" w:firstLine="0"/>
        <w:jc w:val="left"/>
      </w:pPr>
      <w:r>
        <w:rPr>
          <w:rFonts w:ascii="黑体" w:hAnsi="黑体" w:eastAsia="黑体"/>
          <w:b w:val="0"/>
          <w:i w:val="0"/>
          <w:color w:val="000000"/>
          <w:sz w:val="22"/>
        </w:rPr>
        <w:t>（</w:t>
      </w:r>
      <w:r>
        <w:rPr>
          <w:rFonts w:ascii="Arial" w:hAnsi="Arial" w:eastAsia="Arial"/>
          <w:b w:val="0"/>
          <w:i w:val="0"/>
          <w:color w:val="000000"/>
          <w:sz w:val="22"/>
        </w:rPr>
        <w:t>j</w:t>
      </w:r>
      <w:r>
        <w:rPr>
          <w:rFonts w:ascii="黑体" w:hAnsi="黑体" w:eastAsia="黑体"/>
          <w:b w:val="0"/>
          <w:i w:val="0"/>
          <w:color w:val="000000"/>
          <w:sz w:val="22"/>
        </w:rPr>
        <w:t>）</w:t>
      </w:r>
      <w:r>
        <w:rPr>
          <w:rFonts w:ascii="黑体" w:hAnsi="黑体" w:eastAsia="黑体"/>
          <w:b w:val="0"/>
          <w:i w:val="0"/>
          <w:color w:val="000000"/>
          <w:sz w:val="22"/>
        </w:rPr>
        <w:t>持有股权交易中心非上市股权</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其他权益工具投资</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6"/>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股权交易中心</w:t>
            </w:r>
          </w:p>
        </w:tc>
        <w:tc>
          <w:tcPr>
            <w:tcW w:type="dxa" w:w="1884"/>
            <w:tcBorders/>
            <w:tcMar>
              <w:start w:w="0" w:type="dxa"/>
              <w:end w:w="0" w:type="dxa"/>
            </w:tcMar>
          </w:tcPr>
          <w:p>
            <w:pPr>
              <w:autoSpaceDN w:val="0"/>
              <w:autoSpaceDE w:val="0"/>
              <w:widowControl/>
              <w:spacing w:line="246" w:lineRule="exact" w:before="60" w:after="0"/>
              <w:ind w:left="24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22"/>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16,314,065</w:t>
            </w:r>
          </w:p>
        </w:tc>
        <w:tc>
          <w:tcPr>
            <w:tcW w:type="dxa" w:w="2098"/>
            <w:tcBorders>
              <w:bottom w:sz="4.0" w:val="single" w:color="#000000"/>
            </w:tcBorders>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16,314,065</w:t>
            </w:r>
          </w:p>
        </w:tc>
      </w:tr>
      <w:tr>
        <w:trPr>
          <w:trHeight w:hRule="exact" w:val="52"/>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6"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其他综合收益</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股权交易中心</w:t>
            </w:r>
          </w:p>
        </w:tc>
        <w:tc>
          <w:tcPr>
            <w:tcW w:type="dxa" w:w="1884"/>
            <w:tcBorders/>
            <w:tcMar>
              <w:start w:w="0" w:type="dxa"/>
              <w:end w:w="0" w:type="dxa"/>
            </w:tcMar>
          </w:tcPr>
          <w:p>
            <w:pPr>
              <w:autoSpaceDN w:val="0"/>
              <w:autoSpaceDE w:val="0"/>
              <w:widowControl/>
              <w:spacing w:line="248"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8"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0"/>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64,065</w:t>
            </w:r>
          </w:p>
        </w:tc>
      </w:tr>
      <w:tr>
        <w:trPr>
          <w:trHeight w:hRule="exact" w:val="52"/>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4356" w:after="0"/>
        <w:ind w:left="0" w:right="0" w:firstLine="0"/>
        <w:jc w:val="center"/>
      </w:pPr>
      <w:r>
        <w:rPr>
          <w:rFonts w:ascii="Arial" w:hAnsi="Arial" w:eastAsia="Arial"/>
          <w:b w:val="0"/>
          <w:i w:val="0"/>
          <w:color w:val="000000"/>
          <w:sz w:val="20"/>
        </w:rPr>
        <w:t xml:space="preserve">273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k</w:t>
      </w:r>
      <w:r>
        <w:rPr>
          <w:rFonts w:ascii="黑体" w:hAnsi="黑体" w:eastAsia="黑体"/>
          <w:b w:val="0"/>
          <w:i w:val="0"/>
          <w:color w:val="000000"/>
          <w:sz w:val="22"/>
        </w:rPr>
        <w:t>）</w:t>
      </w:r>
      <w:r>
        <w:rPr>
          <w:rFonts w:ascii="黑体" w:hAnsi="黑体" w:eastAsia="黑体"/>
          <w:b w:val="0"/>
          <w:i w:val="0"/>
          <w:color w:val="000000"/>
          <w:sz w:val="22"/>
        </w:rPr>
        <w:t>持有中煤财产场外期权</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衍生金融负债</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中煤财产</w:t>
            </w:r>
          </w:p>
        </w:tc>
        <w:tc>
          <w:tcPr>
            <w:tcW w:type="dxa" w:w="1884"/>
            <w:tcBorders/>
            <w:tcMar>
              <w:start w:w="0" w:type="dxa"/>
              <w:end w:w="0" w:type="dxa"/>
            </w:tcMar>
          </w:tcPr>
          <w:p>
            <w:pPr>
              <w:autoSpaceDN w:val="0"/>
              <w:autoSpaceDE w:val="0"/>
              <w:widowControl/>
              <w:spacing w:line="246" w:lineRule="exact" w:before="60" w:after="0"/>
              <w:ind w:left="248"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12"/>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2,352,709</w:t>
            </w:r>
          </w:p>
        </w:tc>
        <w:tc>
          <w:tcPr>
            <w:tcW w:type="dxa" w:w="2098"/>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10,676,755</w:t>
            </w:r>
          </w:p>
        </w:tc>
      </w:tr>
      <w:tr>
        <w:trPr>
          <w:trHeight w:hRule="exact" w:val="50"/>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公允价值变动</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8"/>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中煤财产</w:t>
            </w:r>
          </w:p>
        </w:tc>
        <w:tc>
          <w:tcPr>
            <w:tcW w:type="dxa" w:w="2098"/>
            <w:tcBorders/>
            <w:tcMar>
              <w:start w:w="0" w:type="dxa"/>
              <w:end w:w="0" w:type="dxa"/>
            </w:tcMar>
          </w:tcPr>
          <w:p>
            <w:pPr>
              <w:autoSpaceDN w:val="0"/>
              <w:autoSpaceDE w:val="0"/>
              <w:widowControl/>
              <w:spacing w:line="246" w:lineRule="exact" w:before="60" w:after="0"/>
              <w:ind w:left="0" w:right="212"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84"/>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6"/>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160" w:after="0"/>
              <w:ind w:left="0" w:right="78" w:firstLine="0"/>
              <w:jc w:val="right"/>
            </w:pPr>
            <w:r>
              <w:rPr>
                <w:rFonts w:ascii="Arial" w:hAnsi="Arial" w:eastAsia="Arial"/>
                <w:b w:val="0"/>
                <w:i w:val="0"/>
                <w:color w:val="000000"/>
                <w:sz w:val="22"/>
              </w:rPr>
              <w:t xml:space="preserve">(5,103,899) </w:t>
            </w:r>
          </w:p>
        </w:tc>
        <w:tc>
          <w:tcPr>
            <w:tcW w:type="dxa" w:w="1884"/>
            <w:tcBorders>
              <w:bottom w:sz="4.0" w:val="single" w:color="#000000"/>
            </w:tcBorders>
            <w:tcMar>
              <w:start w:w="0" w:type="dxa"/>
              <w:end w:w="0" w:type="dxa"/>
            </w:tcMar>
          </w:tcPr>
          <w:p>
            <w:pPr>
              <w:autoSpaceDN w:val="0"/>
              <w:autoSpaceDE w:val="0"/>
              <w:widowControl/>
              <w:spacing w:line="233" w:lineRule="auto" w:before="160" w:after="0"/>
              <w:ind w:left="0" w:right="0" w:firstLine="0"/>
              <w:jc w:val="right"/>
            </w:pPr>
            <w:r>
              <w:rPr>
                <w:rFonts w:ascii="Arial" w:hAnsi="Arial" w:eastAsia="Arial"/>
                <w:b w:val="0"/>
                <w:i w:val="0"/>
                <w:color w:val="000000"/>
                <w:sz w:val="22"/>
              </w:rPr>
              <w:t>6,317,070</w:t>
            </w:r>
          </w:p>
        </w:tc>
      </w:tr>
      <w:tr>
        <w:trPr>
          <w:trHeight w:hRule="exact" w:val="50"/>
        </w:trPr>
        <w:tc>
          <w:tcPr>
            <w:tcW w:type="dxa" w:w="4550"/>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1884"/>
            <w:tcBorders>
              <w:top w:sz="4.0" w:val="single" w:color="#000000"/>
            </w:tcBorders>
            <w:tcMar>
              <w:start w:w="0" w:type="dxa"/>
              <w:end w:w="0" w:type="dxa"/>
            </w:tcMar>
          </w:tcPr>
          <w:p/>
        </w:tc>
      </w:tr>
    </w:tbl>
    <w:p>
      <w:pPr>
        <w:autoSpaceDN w:val="0"/>
        <w:autoSpaceDE w:val="0"/>
        <w:widowControl/>
        <w:spacing w:line="246" w:lineRule="exact" w:before="244"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投资收益</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0"/>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中煤财产</w:t>
            </w:r>
          </w:p>
        </w:tc>
        <w:tc>
          <w:tcPr>
            <w:tcW w:type="dxa" w:w="1884"/>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8"/>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64" w:after="0"/>
              <w:ind w:left="0" w:right="0" w:firstLine="0"/>
              <w:jc w:val="right"/>
            </w:pPr>
            <w:r>
              <w:rPr>
                <w:rFonts w:ascii="Arial" w:hAnsi="Arial" w:eastAsia="Arial"/>
                <w:b w:val="0"/>
                <w:i w:val="0"/>
                <w:color w:val="000000"/>
                <w:sz w:val="22"/>
              </w:rPr>
              <w:t>18,512,788</w:t>
            </w:r>
          </w:p>
        </w:tc>
        <w:tc>
          <w:tcPr>
            <w:tcW w:type="dxa" w:w="2098"/>
            <w:tcBorders>
              <w:bottom w:sz="4.0" w:val="single" w:color="#000000"/>
            </w:tcBorders>
            <w:tcMar>
              <w:start w:w="0" w:type="dxa"/>
              <w:end w:w="0" w:type="dxa"/>
            </w:tcMar>
          </w:tcPr>
          <w:p>
            <w:pPr>
              <w:autoSpaceDN w:val="0"/>
              <w:autoSpaceDE w:val="0"/>
              <w:widowControl/>
              <w:spacing w:line="233" w:lineRule="auto" w:before="164" w:after="0"/>
              <w:ind w:left="0" w:right="0" w:firstLine="0"/>
              <w:jc w:val="right"/>
            </w:pPr>
            <w:r>
              <w:rPr>
                <w:rFonts w:ascii="Arial" w:hAnsi="Arial" w:eastAsia="Arial"/>
                <w:b w:val="0"/>
                <w:i w:val="0"/>
                <w:color w:val="000000"/>
                <w:sz w:val="22"/>
              </w:rPr>
              <w:t>2,282,955</w:t>
            </w:r>
          </w:p>
        </w:tc>
      </w:tr>
      <w:tr>
        <w:trPr>
          <w:trHeight w:hRule="exact" w:val="52"/>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7628" w:after="0"/>
        <w:ind w:left="0" w:right="0" w:firstLine="0"/>
        <w:jc w:val="center"/>
      </w:pPr>
      <w:r>
        <w:rPr>
          <w:rFonts w:ascii="Arial" w:hAnsi="Arial" w:eastAsia="Arial"/>
          <w:b w:val="0"/>
          <w:i w:val="0"/>
          <w:color w:val="000000"/>
          <w:sz w:val="20"/>
        </w:rPr>
        <w:t xml:space="preserve">274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l</w:t>
      </w:r>
      <w:r>
        <w:rPr>
          <w:rFonts w:ascii="黑体" w:hAnsi="黑体" w:eastAsia="黑体"/>
          <w:b w:val="0"/>
          <w:i w:val="0"/>
          <w:color w:val="000000"/>
          <w:sz w:val="22"/>
        </w:rPr>
        <w:t>）</w:t>
      </w:r>
      <w:r>
        <w:rPr>
          <w:rFonts w:ascii="黑体" w:hAnsi="黑体" w:eastAsia="黑体"/>
          <w:b w:val="0"/>
          <w:i w:val="0"/>
          <w:color w:val="000000"/>
          <w:sz w:val="22"/>
        </w:rPr>
        <w:t>山证投资管理费相关</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管理费收入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山证启航</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7"/>
        </w:trPr>
        <w:tc>
          <w:tcPr>
            <w:tcW w:type="dxa" w:w="3006"/>
            <w:vMerge/>
            <w:tcBorders/>
          </w:tcPr>
          <w:p/>
        </w:tc>
        <w:tc>
          <w:tcPr>
            <w:tcW w:type="dxa" w:w="187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6,660,377</w:t>
            </w:r>
          </w:p>
        </w:tc>
        <w:tc>
          <w:tcPr>
            <w:tcW w:type="dxa" w:w="2098"/>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6,660,377</w:t>
            </w:r>
          </w:p>
        </w:tc>
      </w:tr>
      <w:tr>
        <w:trPr>
          <w:trHeight w:hRule="exact" w:val="253"/>
        </w:trPr>
        <w:tc>
          <w:tcPr>
            <w:tcW w:type="dxa" w:w="4564"/>
            <w:tcBorders/>
            <w:tcMar>
              <w:start w:w="0" w:type="dxa"/>
              <w:end w:w="0" w:type="dxa"/>
            </w:tcMar>
          </w:tcPr>
          <w:p>
            <w:pPr>
              <w:autoSpaceDN w:val="0"/>
              <w:autoSpaceDE w:val="0"/>
              <w:widowControl/>
              <w:spacing w:line="220" w:lineRule="exact" w:before="26" w:after="0"/>
              <w:ind w:left="198" w:right="0" w:firstLine="0"/>
              <w:jc w:val="left"/>
            </w:pPr>
            <w:r>
              <w:rPr>
                <w:rFonts w:ascii="黑体" w:hAnsi="黑体" w:eastAsia="黑体"/>
                <w:b w:val="0"/>
                <w:i w:val="0"/>
                <w:color w:val="000000"/>
                <w:sz w:val="22"/>
              </w:rPr>
              <w:t>安徽芯屏</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22"/>
              </w:rPr>
              <w:t>1,690,359</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上市倍增</w:t>
            </w:r>
          </w:p>
        </w:tc>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4" w:after="0"/>
              <w:ind w:left="0" w:right="0" w:firstLine="0"/>
              <w:jc w:val="right"/>
            </w:pPr>
            <w:r>
              <w:rPr>
                <w:rFonts w:ascii="Arial" w:hAnsi="Arial" w:eastAsia="Arial"/>
                <w:b w:val="0"/>
                <w:i w:val="0"/>
                <w:color w:val="000000"/>
                <w:sz w:val="22"/>
              </w:rPr>
              <w:t>1,279,509</w:t>
            </w:r>
          </w:p>
        </w:tc>
      </w:tr>
      <w:tr>
        <w:trPr>
          <w:trHeight w:hRule="exact" w:val="267"/>
        </w:trPr>
        <w:tc>
          <w:tcPr>
            <w:tcW w:type="dxa" w:w="3006"/>
            <w:vMerge/>
            <w:tcBorders/>
          </w:tcPr>
          <w:p/>
        </w:tc>
        <w:tc>
          <w:tcPr>
            <w:tcW w:type="dxa" w:w="187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1,420,755</w:t>
            </w:r>
          </w:p>
        </w:tc>
        <w:tc>
          <w:tcPr>
            <w:tcW w:type="dxa" w:w="3006"/>
            <w:vMerge/>
            <w:tcBorders/>
          </w:tcPr>
          <w:p/>
        </w:tc>
      </w:tr>
      <w:tr>
        <w:trPr>
          <w:trHeight w:hRule="exact" w:val="266"/>
        </w:trPr>
        <w:tc>
          <w:tcPr>
            <w:tcW w:type="dxa" w:w="4564"/>
            <w:tcBorders/>
            <w:tcMar>
              <w:start w:w="0" w:type="dxa"/>
              <w:end w:w="0" w:type="dxa"/>
            </w:tcMar>
          </w:tcPr>
          <w:p>
            <w:pPr>
              <w:autoSpaceDN w:val="0"/>
              <w:autoSpaceDE w:val="0"/>
              <w:widowControl/>
              <w:spacing w:line="220" w:lineRule="exact" w:before="30" w:after="0"/>
              <w:ind w:left="198" w:right="0" w:firstLine="0"/>
              <w:jc w:val="left"/>
            </w:pPr>
            <w:r>
              <w:rPr>
                <w:rFonts w:ascii="黑体" w:hAnsi="黑体" w:eastAsia="黑体"/>
                <w:b w:val="0"/>
                <w:i w:val="0"/>
                <w:color w:val="000000"/>
                <w:sz w:val="22"/>
              </w:rPr>
              <w:t>山东新引擎</w:t>
            </w:r>
          </w:p>
        </w:tc>
        <w:tc>
          <w:tcPr>
            <w:tcW w:type="dxa" w:w="187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1,190,844</w:t>
            </w:r>
          </w:p>
        </w:tc>
        <w:tc>
          <w:tcPr>
            <w:tcW w:type="dxa" w:w="2098"/>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龙华股融</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943,396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943,396</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 xml:space="preserve">山西新引擎 </w:t>
            </w:r>
          </w:p>
        </w:tc>
        <w:tc>
          <w:tcPr>
            <w:tcW w:type="dxa" w:w="3006"/>
            <w:vMerge/>
            <w:tcBorders/>
          </w:tcPr>
          <w:p/>
        </w:tc>
        <w:tc>
          <w:tcPr>
            <w:tcW w:type="dxa" w:w="3006"/>
            <w:vMerge/>
            <w:tcBorders/>
          </w:tcP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905,660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406,927</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 xml:space="preserve">绿菱启元 </w:t>
            </w:r>
          </w:p>
        </w:tc>
        <w:tc>
          <w:tcPr>
            <w:tcW w:type="dxa" w:w="3006"/>
            <w:vMerge/>
            <w:tcBorders/>
          </w:tcPr>
          <w:p/>
        </w:tc>
        <w:tc>
          <w:tcPr>
            <w:tcW w:type="dxa" w:w="3006"/>
            <w:vMerge/>
            <w:tcBorders/>
          </w:tcPr>
          <w:p/>
        </w:tc>
      </w:tr>
      <w:tr>
        <w:trPr>
          <w:trHeight w:hRule="exact" w:val="23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750,000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528,958</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 xml:space="preserve">通奥启航 </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560,768</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720,439</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 xml:space="preserve">绿菱启明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500,000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357,813</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 xml:space="preserve">通奥启程 </w:t>
            </w:r>
          </w:p>
        </w:tc>
        <w:tc>
          <w:tcPr>
            <w:tcW w:type="dxa" w:w="3006"/>
            <w:vMerge/>
            <w:tcBorders/>
          </w:tcPr>
          <w:p/>
        </w:tc>
        <w:tc>
          <w:tcPr>
            <w:tcW w:type="dxa" w:w="3006"/>
            <w:vMerge/>
            <w:tcBorders/>
          </w:tcPr>
          <w:p/>
        </w:tc>
      </w:tr>
      <w:tr>
        <w:trPr>
          <w:trHeight w:hRule="exact" w:val="23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205,495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297,135</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 xml:space="preserve">重器智能 </w:t>
            </w:r>
          </w:p>
        </w:tc>
        <w:tc>
          <w:tcPr>
            <w:tcW w:type="dxa" w:w="3006"/>
            <w:vMerge/>
            <w:tcBorders/>
          </w:tcPr>
          <w:p/>
        </w:tc>
        <w:tc>
          <w:tcPr>
            <w:tcW w:type="dxa" w:w="3006"/>
            <w:vMerge/>
            <w:tcBorders/>
          </w:tcPr>
          <w:p/>
        </w:tc>
      </w:tr>
      <w:tr>
        <w:trPr>
          <w:trHeight w:hRule="exact" w:val="23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377,358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250,194</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信创引导</w:t>
            </w:r>
          </w:p>
        </w:tc>
        <w:tc>
          <w:tcPr>
            <w:tcW w:type="dxa" w:w="3006"/>
            <w:vMerge/>
            <w:tcBorders/>
          </w:tcPr>
          <w:p/>
        </w:tc>
        <w:tc>
          <w:tcPr>
            <w:tcW w:type="dxa" w:w="3006"/>
            <w:vMerge/>
            <w:tcBorders/>
          </w:tcPr>
          <w:p/>
        </w:tc>
      </w:tr>
      <w:tr>
        <w:trPr>
          <w:trHeight w:hRule="exact" w:val="246"/>
        </w:trPr>
        <w:tc>
          <w:tcPr>
            <w:tcW w:type="dxa" w:w="3006"/>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124,528</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72,881</w:t>
            </w:r>
          </w:p>
        </w:tc>
      </w:tr>
      <w:tr>
        <w:trPr>
          <w:trHeight w:hRule="exact" w:val="280"/>
        </w:trPr>
        <w:tc>
          <w:tcPr>
            <w:tcW w:type="dxa" w:w="4564"/>
            <w:tcBorders/>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山西天使股投</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33,086</w:t>
            </w:r>
          </w:p>
        </w:tc>
        <w:tc>
          <w:tcPr>
            <w:tcW w:type="dxa" w:w="2098"/>
            <w:tcBorders/>
            <w:tcMar>
              <w:start w:w="0" w:type="dxa"/>
              <w:end w:w="0" w:type="dxa"/>
            </w:tcMar>
          </w:tcPr>
          <w:p>
            <w:pPr>
              <w:autoSpaceDN w:val="0"/>
              <w:autoSpaceDE w:val="0"/>
              <w:widowControl/>
              <w:spacing w:line="233" w:lineRule="auto" w:before="28" w:after="0"/>
              <w:ind w:left="0" w:right="0" w:firstLine="0"/>
              <w:jc w:val="right"/>
            </w:pPr>
            <w:r>
              <w:rPr>
                <w:rFonts w:ascii="Arial" w:hAnsi="Arial" w:eastAsia="Arial"/>
                <w:b w:val="0"/>
                <w:i w:val="0"/>
                <w:color w:val="000000"/>
                <w:sz w:val="22"/>
              </w:rPr>
              <w:t>-</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 xml:space="preserve">交通产业 </w:t>
            </w:r>
          </w:p>
        </w:tc>
        <w:tc>
          <w:tcPr>
            <w:tcW w:type="dxa" w:w="3006"/>
            <w:vMerge/>
            <w:tcBorders/>
          </w:tcPr>
          <w:p/>
        </w:tc>
        <w:tc>
          <w:tcPr>
            <w:tcW w:type="dxa" w:w="209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64" w:after="0"/>
              <w:ind w:left="0" w:right="0" w:firstLine="0"/>
              <w:jc w:val="right"/>
            </w:pPr>
            <w:r>
              <w:rPr>
                <w:rFonts w:ascii="Arial" w:hAnsi="Arial" w:eastAsia="Arial"/>
                <w:b w:val="0"/>
                <w:i w:val="0"/>
                <w:color w:val="000000"/>
                <w:sz w:val="22"/>
              </w:rPr>
              <w:t>70,755</w:t>
            </w:r>
          </w:p>
        </w:tc>
      </w:tr>
      <w:tr>
        <w:trPr>
          <w:trHeight w:hRule="exact" w:val="23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25,976</w:t>
            </w:r>
          </w:p>
        </w:tc>
        <w:tc>
          <w:tcPr>
            <w:tcW w:type="dxa" w:w="3006"/>
            <w:vMerge/>
            <w:tcBorders/>
          </w:tcP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太行煤成气</w:t>
            </w:r>
          </w:p>
        </w:tc>
        <w:tc>
          <w:tcPr>
            <w:tcW w:type="dxa" w:w="3006"/>
            <w:vMerge/>
            <w:tcBorders/>
          </w:tcPr>
          <w:p/>
        </w:tc>
        <w:tc>
          <w:tcPr>
            <w:tcW w:type="dxa" w:w="3006"/>
            <w:vMerge/>
            <w:tcBorders/>
          </w:tcPr>
          <w:p/>
        </w:tc>
      </w:tr>
      <w:tr>
        <w:trPr>
          <w:trHeight w:hRule="exact" w:val="250"/>
        </w:trPr>
        <w:tc>
          <w:tcPr>
            <w:tcW w:type="dxa" w:w="3006"/>
            <w:vMerge/>
            <w:tcBorders/>
          </w:tcP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775</w:t>
            </w:r>
          </w:p>
        </w:tc>
        <w:tc>
          <w:tcPr>
            <w:tcW w:type="dxa" w:w="2098"/>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694,665</w:t>
            </w:r>
          </w:p>
        </w:tc>
      </w:tr>
      <w:tr>
        <w:trPr>
          <w:trHeight w:hRule="exact" w:val="308"/>
        </w:trPr>
        <w:tc>
          <w:tcPr>
            <w:tcW w:type="dxa" w:w="4564"/>
            <w:tcBorders>
              <w:bottom w:sz="4.0" w:val="single" w:color="#000000"/>
            </w:tcBorders>
            <w:tcMar>
              <w:start w:w="0" w:type="dxa"/>
              <w:end w:w="0" w:type="dxa"/>
            </w:tcMar>
          </w:tcPr>
          <w:p>
            <w:pPr>
              <w:autoSpaceDN w:val="0"/>
              <w:autoSpaceDE w:val="0"/>
              <w:widowControl/>
              <w:spacing w:line="220" w:lineRule="exact" w:before="46" w:after="0"/>
              <w:ind w:left="198" w:right="0" w:firstLine="0"/>
              <w:jc w:val="left"/>
            </w:pPr>
            <w:r>
              <w:rPr>
                <w:rFonts w:ascii="黑体" w:hAnsi="黑体" w:eastAsia="黑体"/>
                <w:b w:val="0"/>
                <w:i w:val="0"/>
                <w:color w:val="000000"/>
                <w:sz w:val="22"/>
              </w:rPr>
              <w:t xml:space="preserve">汾西扶贫 </w:t>
            </w:r>
          </w:p>
        </w:tc>
        <w:tc>
          <w:tcPr>
            <w:tcW w:type="dxa" w:w="1870"/>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120,283</w:t>
            </w:r>
          </w:p>
        </w:tc>
      </w:tr>
      <w:tr>
        <w:trPr>
          <w:trHeight w:hRule="exact" w:val="584"/>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314"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324" w:after="0"/>
              <w:ind w:left="0" w:right="0" w:firstLine="0"/>
              <w:jc w:val="right"/>
            </w:pPr>
            <w:r>
              <w:rPr>
                <w:rFonts w:ascii="Arial" w:hAnsi="Arial" w:eastAsia="Arial"/>
                <w:b w:val="0"/>
                <w:i w:val="0"/>
                <w:color w:val="000000"/>
                <w:sz w:val="22"/>
              </w:rPr>
              <w:t>15,389,377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324" w:after="0"/>
              <w:ind w:left="0" w:right="0" w:firstLine="0"/>
              <w:jc w:val="right"/>
            </w:pPr>
            <w:r>
              <w:rPr>
                <w:rFonts w:ascii="Arial" w:hAnsi="Arial" w:eastAsia="Arial"/>
                <w:b w:val="0"/>
                <w:i w:val="0"/>
                <w:color w:val="000000"/>
                <w:sz w:val="22"/>
              </w:rPr>
              <w:t>12,403,332</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6056" w:after="0"/>
        <w:ind w:left="0" w:right="0" w:firstLine="0"/>
        <w:jc w:val="center"/>
      </w:pPr>
      <w:r>
        <w:rPr>
          <w:rFonts w:ascii="Arial" w:hAnsi="Arial" w:eastAsia="Arial"/>
          <w:b w:val="0"/>
          <w:i w:val="0"/>
          <w:color w:val="000000"/>
          <w:sz w:val="20"/>
        </w:rPr>
        <w:t xml:space="preserve">275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l</w:t>
      </w:r>
      <w:r>
        <w:rPr>
          <w:rFonts w:ascii="黑体" w:hAnsi="黑体" w:eastAsia="黑体"/>
          <w:b w:val="0"/>
          <w:i w:val="0"/>
          <w:color w:val="000000"/>
          <w:sz w:val="22"/>
        </w:rPr>
        <w:t>）</w:t>
      </w:r>
      <w:r>
        <w:rPr>
          <w:rFonts w:ascii="黑体" w:hAnsi="黑体" w:eastAsia="黑体"/>
          <w:b w:val="0"/>
          <w:i w:val="0"/>
          <w:color w:val="000000"/>
          <w:sz w:val="22"/>
        </w:rPr>
        <w:t>山证投资管理费相关（续）</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应收管理费</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山证启航</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7,118,027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8,181,863</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龙华股融</w:t>
            </w:r>
          </w:p>
        </w:tc>
        <w:tc>
          <w:tcPr>
            <w:tcW w:type="dxa" w:w="3006"/>
            <w:vMerge/>
            <w:tcBorders/>
          </w:tcPr>
          <w:p/>
        </w:tc>
        <w:tc>
          <w:tcPr>
            <w:tcW w:type="dxa" w:w="3006"/>
            <w:vMerge/>
            <w:tcBorders/>
          </w:tcP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5,500,000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5,500,000</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上市倍增</w:t>
            </w:r>
          </w:p>
        </w:tc>
        <w:tc>
          <w:tcPr>
            <w:tcW w:type="dxa" w:w="3006"/>
            <w:vMerge/>
            <w:tcBorders/>
          </w:tcPr>
          <w:p/>
        </w:tc>
        <w:tc>
          <w:tcPr>
            <w:tcW w:type="dxa" w:w="3006"/>
            <w:vMerge/>
            <w:tcBorders/>
          </w:tcPr>
          <w:p/>
        </w:tc>
      </w:tr>
      <w:tr>
        <w:trPr>
          <w:trHeight w:hRule="exact" w:val="234"/>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1,509,312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1,555,019</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 xml:space="preserve">山西新引擎 </w:t>
            </w:r>
          </w:p>
        </w:tc>
        <w:tc>
          <w:tcPr>
            <w:tcW w:type="dxa" w:w="3006"/>
            <w:vMerge/>
            <w:tcBorders/>
          </w:tcPr>
          <w:p/>
        </w:tc>
        <w:tc>
          <w:tcPr>
            <w:tcW w:type="dxa" w:w="3006"/>
            <w:vMerge/>
            <w:tcBorders/>
          </w:tcPr>
          <w:p/>
        </w:tc>
      </w:tr>
      <w:tr>
        <w:trPr>
          <w:trHeight w:hRule="exact" w:val="250"/>
        </w:trPr>
        <w:tc>
          <w:tcPr>
            <w:tcW w:type="dxa" w:w="3006"/>
            <w:vMerge/>
            <w:tcBorders/>
          </w:tcPr>
          <w:p/>
        </w:tc>
        <w:tc>
          <w:tcPr>
            <w:tcW w:type="dxa" w:w="1870"/>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1,391,342</w:t>
            </w:r>
          </w:p>
        </w:tc>
        <w:tc>
          <w:tcPr>
            <w:tcW w:type="dxa" w:w="2098"/>
            <w:tcBorders/>
            <w:tcMar>
              <w:start w:w="0" w:type="dxa"/>
              <w:end w:w="0" w:type="dxa"/>
            </w:tcMar>
          </w:tcPr>
          <w:p>
            <w:pPr>
              <w:autoSpaceDN w:val="0"/>
              <w:autoSpaceDE w:val="0"/>
              <w:widowControl/>
              <w:spacing w:line="233" w:lineRule="auto" w:before="4" w:after="0"/>
              <w:ind w:left="0" w:right="0" w:firstLine="0"/>
              <w:jc w:val="right"/>
            </w:pPr>
            <w:r>
              <w:rPr>
                <w:rFonts w:ascii="Arial" w:hAnsi="Arial" w:eastAsia="Arial"/>
                <w:b w:val="0"/>
                <w:i w:val="0"/>
                <w:color w:val="000000"/>
                <w:sz w:val="22"/>
              </w:rPr>
              <w:t>431,342</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 xml:space="preserve">绿菱启元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1,355,696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560,696</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绿色能源</w:t>
            </w:r>
          </w:p>
        </w:tc>
        <w:tc>
          <w:tcPr>
            <w:tcW w:type="dxa" w:w="3006"/>
            <w:vMerge/>
            <w:tcBorders/>
          </w:tcPr>
          <w:p/>
        </w:tc>
        <w:tc>
          <w:tcPr>
            <w:tcW w:type="dxa" w:w="3006"/>
            <w:vMerge/>
            <w:tcBorders/>
          </w:tcP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996,000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996,000</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 xml:space="preserve">绿菱启明 </w:t>
            </w:r>
          </w:p>
        </w:tc>
        <w:tc>
          <w:tcPr>
            <w:tcW w:type="dxa" w:w="3006"/>
            <w:vMerge/>
            <w:tcBorders/>
          </w:tcPr>
          <w:p/>
        </w:tc>
        <w:tc>
          <w:tcPr>
            <w:tcW w:type="dxa" w:w="3006"/>
            <w:vMerge/>
            <w:tcBorders/>
          </w:tcPr>
          <w:p/>
        </w:tc>
      </w:tr>
      <w:tr>
        <w:trPr>
          <w:trHeight w:hRule="exact" w:val="23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909,282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379,282</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信创引导</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338,851</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206,851</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天使股投</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35,071</w:t>
            </w:r>
          </w:p>
        </w:tc>
        <w:tc>
          <w:tcPr>
            <w:tcW w:type="dxa" w:w="209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22"/>
              </w:rPr>
              <w:t>-</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交通产业</w:t>
            </w:r>
          </w:p>
        </w:tc>
        <w:tc>
          <w:tcPr>
            <w:tcW w:type="dxa" w:w="3006"/>
            <w:vMerge/>
            <w:tcBorders/>
          </w:tcPr>
          <w:p/>
        </w:tc>
        <w:tc>
          <w:tcPr>
            <w:tcW w:type="dxa" w:w="2098"/>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64" w:after="0"/>
              <w:ind w:left="0" w:right="0" w:firstLine="0"/>
              <w:jc w:val="right"/>
            </w:pPr>
            <w:r>
              <w:rPr>
                <w:rFonts w:ascii="Arial" w:hAnsi="Arial" w:eastAsia="Arial"/>
                <w:b w:val="0"/>
                <w:i w:val="0"/>
                <w:color w:val="000000"/>
                <w:sz w:val="22"/>
              </w:rPr>
              <w:t>256,918</w:t>
            </w:r>
          </w:p>
        </w:tc>
      </w:tr>
      <w:tr>
        <w:trPr>
          <w:trHeight w:hRule="exact" w:val="23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25,000</w:t>
            </w:r>
          </w:p>
        </w:tc>
        <w:tc>
          <w:tcPr>
            <w:tcW w:type="dxa" w:w="3006"/>
            <w:vMerge/>
            <w:tcBorders/>
          </w:tcP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太行煤成气</w:t>
            </w:r>
          </w:p>
        </w:tc>
        <w:tc>
          <w:tcPr>
            <w:tcW w:type="dxa" w:w="3006"/>
            <w:vMerge/>
            <w:tcBorders/>
          </w:tcPr>
          <w:p/>
        </w:tc>
        <w:tc>
          <w:tcPr>
            <w:tcW w:type="dxa" w:w="3006"/>
            <w:vMerge/>
            <w:tcBorders/>
          </w:tcPr>
          <w:p/>
        </w:tc>
      </w:tr>
      <w:tr>
        <w:trPr>
          <w:trHeight w:hRule="exact" w:val="23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600,334</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 xml:space="preserve">重器智能 </w:t>
            </w:r>
          </w:p>
        </w:tc>
        <w:tc>
          <w:tcPr>
            <w:tcW w:type="dxa" w:w="3006"/>
            <w:vMerge/>
            <w:tcBorders/>
          </w:tcPr>
          <w:p/>
        </w:tc>
        <w:tc>
          <w:tcPr>
            <w:tcW w:type="dxa" w:w="3006"/>
            <w:vMerge/>
            <w:tcBorders/>
          </w:tcPr>
          <w:p/>
        </w:tc>
      </w:tr>
      <w:tr>
        <w:trPr>
          <w:trHeight w:hRule="exact" w:val="246"/>
        </w:trPr>
        <w:tc>
          <w:tcPr>
            <w:tcW w:type="dxa" w:w="3006"/>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265,205</w:t>
            </w:r>
          </w:p>
        </w:tc>
      </w:tr>
      <w:tr>
        <w:trPr>
          <w:trHeight w:hRule="exact" w:val="280"/>
        </w:trPr>
        <w:tc>
          <w:tcPr>
            <w:tcW w:type="dxa" w:w="4564"/>
            <w:tcBorders/>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 xml:space="preserve">通奥启航 </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182,535</w:t>
            </w:r>
          </w:p>
        </w:tc>
      </w:tr>
      <w:tr>
        <w:trPr>
          <w:trHeight w:hRule="exact" w:val="4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 xml:space="preserve">通奥启程 </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13,463</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19,178,581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19,129,508</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512" w:lineRule="exact" w:before="0" w:after="236"/>
        <w:ind w:left="358" w:right="4176" w:firstLine="0"/>
        <w:jc w:val="left"/>
      </w:pPr>
      <w:r>
        <w:rPr>
          <w:rFonts w:ascii="黑体" w:hAnsi="黑体" w:eastAsia="黑体"/>
          <w:b w:val="0"/>
          <w:i w:val="0"/>
          <w:color w:val="000000"/>
          <w:sz w:val="22"/>
        </w:rPr>
        <w:t>（</w:t>
      </w:r>
      <w:r>
        <w:rPr>
          <w:rFonts w:ascii="Arial" w:hAnsi="Arial" w:eastAsia="Arial"/>
          <w:b w:val="0"/>
          <w:i w:val="0"/>
          <w:color w:val="000000"/>
          <w:sz w:val="22"/>
        </w:rPr>
        <w:t>m</w:t>
      </w:r>
      <w:r>
        <w:rPr>
          <w:rFonts w:ascii="黑体" w:hAnsi="黑体" w:eastAsia="黑体"/>
          <w:b w:val="0"/>
          <w:i w:val="0"/>
          <w:color w:val="000000"/>
          <w:sz w:val="22"/>
        </w:rPr>
        <w:t>）</w:t>
      </w:r>
      <w:r>
        <w:rPr>
          <w:rFonts w:ascii="黑体" w:hAnsi="黑体" w:eastAsia="黑体"/>
          <w:b w:val="0"/>
          <w:i w:val="0"/>
          <w:color w:val="000000"/>
          <w:sz w:val="22"/>
        </w:rPr>
        <w:t>应收款项、其他应收款及信用减值损失</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应收款项及其他应收款</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深圳烨华</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43,472,423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53,472,423</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中煤财产</w:t>
            </w:r>
          </w:p>
        </w:tc>
        <w:tc>
          <w:tcPr>
            <w:tcW w:type="dxa" w:w="3006"/>
            <w:vMerge/>
            <w:tcBorders/>
          </w:tcPr>
          <w:p/>
        </w:tc>
        <w:tc>
          <w:tcPr>
            <w:tcW w:type="dxa" w:w="3006"/>
            <w:vMerge/>
            <w:tcBorders/>
          </w:tcP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3,198,667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12,742,978</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山西国贸</w:t>
            </w:r>
          </w:p>
        </w:tc>
        <w:tc>
          <w:tcPr>
            <w:tcW w:type="dxa" w:w="3006"/>
            <w:vMerge/>
            <w:tcBorders/>
          </w:tcPr>
          <w:p/>
        </w:tc>
        <w:tc>
          <w:tcPr>
            <w:tcW w:type="dxa" w:w="3006"/>
            <w:vMerge/>
            <w:tcBorders/>
          </w:tcPr>
          <w:p/>
        </w:tc>
      </w:tr>
      <w:tr>
        <w:trPr>
          <w:trHeight w:hRule="exact" w:val="234"/>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461,580</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461,580</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4" w:after="0"/>
              <w:ind w:left="198" w:right="0" w:firstLine="0"/>
              <w:jc w:val="left"/>
            </w:pPr>
            <w:r>
              <w:rPr>
                <w:rFonts w:ascii="黑体" w:hAnsi="黑体" w:eastAsia="黑体"/>
                <w:b w:val="0"/>
                <w:i w:val="0"/>
                <w:color w:val="000000"/>
                <w:sz w:val="22"/>
              </w:rPr>
              <w:t>山西信托</w:t>
            </w:r>
          </w:p>
        </w:tc>
        <w:tc>
          <w:tcPr>
            <w:tcW w:type="dxa" w:w="3006"/>
            <w:vMerge/>
            <w:tcBorders/>
          </w:tcPr>
          <w:p/>
        </w:tc>
        <w:tc>
          <w:tcPr>
            <w:tcW w:type="dxa" w:w="3006"/>
            <w:vMerge/>
            <w:tcBorders/>
          </w:tcPr>
          <w:p/>
        </w:tc>
      </w:tr>
      <w:tr>
        <w:trPr>
          <w:trHeight w:hRule="exact" w:val="246"/>
        </w:trPr>
        <w:tc>
          <w:tcPr>
            <w:tcW w:type="dxa" w:w="3006"/>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401,027</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w:t>
            </w:r>
          </w:p>
        </w:tc>
      </w:tr>
      <w:tr>
        <w:trPr>
          <w:trHeight w:hRule="exact" w:val="280"/>
        </w:trPr>
        <w:tc>
          <w:tcPr>
            <w:tcW w:type="dxa" w:w="4564"/>
            <w:tcBorders/>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汇安基金</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74,587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234,486</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龙华股融</w:t>
            </w:r>
          </w:p>
        </w:tc>
        <w:tc>
          <w:tcPr>
            <w:tcW w:type="dxa" w:w="3006"/>
            <w:vMerge/>
            <w:tcBorders/>
          </w:tcPr>
          <w:p/>
        </w:tc>
        <w:tc>
          <w:tcPr>
            <w:tcW w:type="dxa" w:w="3006"/>
            <w:vMerge/>
            <w:tcBorders/>
          </w:tcPr>
          <w:p/>
        </w:tc>
      </w:tr>
      <w:tr>
        <w:trPr>
          <w:trHeight w:hRule="exact" w:val="23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52,500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52,500</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8" w:after="0"/>
              <w:ind w:left="198" w:right="0" w:firstLine="0"/>
              <w:jc w:val="left"/>
            </w:pPr>
            <w:r>
              <w:rPr>
                <w:rFonts w:ascii="黑体" w:hAnsi="黑体" w:eastAsia="黑体"/>
                <w:b w:val="0"/>
                <w:i w:val="0"/>
                <w:color w:val="000000"/>
                <w:sz w:val="22"/>
              </w:rPr>
              <w:t>国贸大饭店</w:t>
            </w:r>
          </w:p>
        </w:tc>
        <w:tc>
          <w:tcPr>
            <w:tcW w:type="dxa" w:w="3006"/>
            <w:vMerge/>
            <w:tcBorders/>
          </w:tcPr>
          <w:p/>
        </w:tc>
        <w:tc>
          <w:tcPr>
            <w:tcW w:type="dxa" w:w="3006"/>
            <w:vMerge/>
            <w:tcBorders/>
          </w:tcPr>
          <w:p/>
        </w:tc>
      </w:tr>
      <w:tr>
        <w:trPr>
          <w:trHeight w:hRule="exact" w:val="23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48,492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48,492</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山西地方电力</w:t>
            </w:r>
          </w:p>
        </w:tc>
        <w:tc>
          <w:tcPr>
            <w:tcW w:type="dxa" w:w="3006"/>
            <w:vMerge/>
            <w:tcBorders/>
          </w:tcPr>
          <w:p/>
        </w:tc>
        <w:tc>
          <w:tcPr>
            <w:tcW w:type="dxa" w:w="3006"/>
            <w:vMerge/>
            <w:tcBorders/>
          </w:tcPr>
          <w:p/>
        </w:tc>
      </w:tr>
      <w:tr>
        <w:trPr>
          <w:trHeight w:hRule="exact" w:val="246"/>
        </w:trPr>
        <w:tc>
          <w:tcPr>
            <w:tcW w:type="dxa" w:w="3006"/>
            <w:vMerge/>
            <w:tcBorders/>
          </w:tcP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30,000</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30,000</w:t>
            </w:r>
          </w:p>
        </w:tc>
      </w:tr>
      <w:tr>
        <w:trPr>
          <w:trHeight w:hRule="exact" w:val="312"/>
        </w:trPr>
        <w:tc>
          <w:tcPr>
            <w:tcW w:type="dxa" w:w="4564"/>
            <w:tcBorders>
              <w:bottom w:sz="4.0" w:val="single" w:color="#000000"/>
            </w:tcBorders>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山西国瑞</w:t>
            </w:r>
          </w:p>
        </w:tc>
        <w:tc>
          <w:tcPr>
            <w:tcW w:type="dxa" w:w="1870"/>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20,000</w:t>
            </w:r>
          </w:p>
        </w:tc>
        <w:tc>
          <w:tcPr>
            <w:tcW w:type="dxa" w:w="2098"/>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20,000</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47,759,276</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67,062,459</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1644" w:after="0"/>
        <w:ind w:left="0" w:right="0" w:firstLine="0"/>
        <w:jc w:val="center"/>
      </w:pPr>
      <w:r>
        <w:rPr>
          <w:rFonts w:ascii="Arial" w:hAnsi="Arial" w:eastAsia="Arial"/>
          <w:b w:val="0"/>
          <w:i w:val="0"/>
          <w:color w:val="000000"/>
          <w:sz w:val="20"/>
        </w:rPr>
        <w:t xml:space="preserve">276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s>
        <w:autoSpaceDE w:val="0"/>
        <w:widowControl/>
        <w:spacing w:line="462" w:lineRule="exact" w:before="0" w:after="232"/>
        <w:ind w:left="358" w:right="4176"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m</w:t>
      </w:r>
      <w:r>
        <w:rPr>
          <w:rFonts w:ascii="黑体" w:hAnsi="黑体" w:eastAsia="黑体"/>
          <w:b w:val="0"/>
          <w:i w:val="0"/>
          <w:color w:val="000000"/>
          <w:sz w:val="22"/>
        </w:rPr>
        <w:t>）</w:t>
      </w:r>
      <w:r>
        <w:rPr>
          <w:rFonts w:ascii="黑体" w:hAnsi="黑体" w:eastAsia="黑体"/>
          <w:b w:val="0"/>
          <w:i w:val="0"/>
          <w:color w:val="000000"/>
          <w:sz w:val="22"/>
        </w:rPr>
        <w:t>应收款项、其他应收款及信用减值损失</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信用减值损失</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2"/>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深圳烨华</w:t>
            </w:r>
          </w:p>
        </w:tc>
        <w:tc>
          <w:tcPr>
            <w:tcW w:type="dxa" w:w="1884"/>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12"/>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3,000,000</w:t>
            </w:r>
          </w:p>
        </w:tc>
        <w:tc>
          <w:tcPr>
            <w:tcW w:type="dxa" w:w="2098"/>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w:t>
            </w:r>
          </w:p>
        </w:tc>
      </w:tr>
    </w:tbl>
    <w:p>
      <w:pPr>
        <w:autoSpaceDN w:val="0"/>
        <w:autoSpaceDE w:val="0"/>
        <w:widowControl/>
        <w:spacing w:line="246" w:lineRule="exact" w:before="546"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n</w:t>
      </w:r>
      <w:r>
        <w:rPr>
          <w:rFonts w:ascii="黑体" w:hAnsi="黑体" w:eastAsia="黑体"/>
          <w:b w:val="0"/>
          <w:i w:val="0"/>
          <w:color w:val="000000"/>
          <w:sz w:val="22"/>
        </w:rPr>
        <w:t>）</w:t>
      </w:r>
      <w:r>
        <w:rPr>
          <w:rFonts w:ascii="黑体" w:hAnsi="黑体" w:eastAsia="黑体"/>
          <w:b w:val="0"/>
          <w:i w:val="0"/>
          <w:color w:val="000000"/>
          <w:sz w:val="22"/>
        </w:rPr>
        <w:t>支付信托报酬</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2"/>
        </w:trPr>
        <w:tc>
          <w:tcPr>
            <w:tcW w:type="dxa" w:w="4550"/>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山西信托</w:t>
            </w:r>
          </w:p>
        </w:tc>
        <w:tc>
          <w:tcPr>
            <w:tcW w:type="dxa" w:w="1884"/>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326"/>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28"/>
        </w:trPr>
        <w:tc>
          <w:tcPr>
            <w:tcW w:type="dxa" w:w="3006"/>
            <w:vMerge/>
            <w:tcBorders>
              <w:bottom w:sz="4.0" w:val="single" w:color="#000000"/>
            </w:tcBorders>
          </w:tcPr>
          <w:p/>
        </w:tc>
        <w:tc>
          <w:tcPr>
            <w:tcW w:type="dxa" w:w="1884"/>
            <w:tcBorders>
              <w:bottom w:sz="4.0" w:val="single" w:color="#000000"/>
            </w:tcBorders>
            <w:tcMar>
              <w:start w:w="0" w:type="dxa"/>
              <w:end w:w="0" w:type="dxa"/>
            </w:tcMar>
          </w:tcPr>
          <w:p>
            <w:pPr>
              <w:autoSpaceDN w:val="0"/>
              <w:autoSpaceDE w:val="0"/>
              <w:widowControl/>
              <w:spacing w:line="233" w:lineRule="auto" w:before="172" w:after="0"/>
              <w:ind w:left="0" w:right="0" w:firstLine="0"/>
              <w:jc w:val="right"/>
            </w:pPr>
            <w:r>
              <w:rPr>
                <w:rFonts w:ascii="Arial" w:hAnsi="Arial" w:eastAsia="Arial"/>
                <w:b w:val="0"/>
                <w:i w:val="0"/>
                <w:color w:val="000000"/>
                <w:sz w:val="22"/>
              </w:rPr>
              <w:t>-</w:t>
            </w:r>
          </w:p>
        </w:tc>
        <w:tc>
          <w:tcPr>
            <w:tcW w:type="dxa" w:w="2326"/>
            <w:tcBorders>
              <w:bottom w:sz="4.0" w:val="single" w:color="#000000"/>
            </w:tcBorders>
            <w:tcMar>
              <w:start w:w="0" w:type="dxa"/>
              <w:end w:w="0" w:type="dxa"/>
            </w:tcMar>
          </w:tcPr>
          <w:p>
            <w:pPr>
              <w:autoSpaceDN w:val="0"/>
              <w:autoSpaceDE w:val="0"/>
              <w:widowControl/>
              <w:spacing w:line="233" w:lineRule="auto" w:before="172" w:after="0"/>
              <w:ind w:left="0" w:right="92" w:firstLine="0"/>
              <w:jc w:val="right"/>
            </w:pPr>
            <w:r>
              <w:rPr>
                <w:rFonts w:ascii="Arial" w:hAnsi="Arial" w:eastAsia="Arial"/>
                <w:b w:val="0"/>
                <w:i w:val="0"/>
                <w:color w:val="000000"/>
                <w:sz w:val="22"/>
              </w:rPr>
              <w:t xml:space="preserve">(200,000) </w:t>
            </w:r>
          </w:p>
        </w:tc>
      </w:tr>
      <w:tr>
        <w:trPr>
          <w:trHeight w:hRule="exact" w:val="50"/>
        </w:trPr>
        <w:tc>
          <w:tcPr>
            <w:tcW w:type="dxa" w:w="4550"/>
            <w:tcBorders>
              <w:top w:sz="4.0" w:val="single" w:color="#000000"/>
            </w:tcBorders>
            <w:tcMar>
              <w:start w:w="0" w:type="dxa"/>
              <w:end w:w="0" w:type="dxa"/>
            </w:tcMar>
          </w:tcPr>
          <w:p/>
        </w:tc>
        <w:tc>
          <w:tcPr>
            <w:tcW w:type="dxa" w:w="1884"/>
            <w:tcBorders>
              <w:top w:sz="4.0" w:val="single" w:color="#000000"/>
            </w:tcBorders>
            <w:tcMar>
              <w:start w:w="0" w:type="dxa"/>
              <w:end w:w="0" w:type="dxa"/>
            </w:tcMar>
          </w:tcPr>
          <w:p/>
        </w:tc>
        <w:tc>
          <w:tcPr>
            <w:tcW w:type="dxa" w:w="2326"/>
            <w:tcBorders>
              <w:top w:sz="4.0" w:val="single" w:color="#000000"/>
            </w:tcBorders>
            <w:tcMar>
              <w:start w:w="0" w:type="dxa"/>
              <w:end w:w="0" w:type="dxa"/>
            </w:tcMar>
          </w:tcPr>
          <w:p/>
        </w:tc>
      </w:tr>
    </w:tbl>
    <w:p>
      <w:pPr>
        <w:autoSpaceDN w:val="0"/>
        <w:autoSpaceDE w:val="0"/>
        <w:widowControl/>
        <w:spacing w:line="246" w:lineRule="exact" w:before="246" w:after="232"/>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o</w:t>
      </w:r>
      <w:r>
        <w:rPr>
          <w:rFonts w:ascii="黑体" w:hAnsi="黑体" w:eastAsia="黑体"/>
          <w:b w:val="0"/>
          <w:i w:val="0"/>
          <w:color w:val="000000"/>
          <w:sz w:val="22"/>
        </w:rPr>
        <w:t>）</w:t>
      </w:r>
      <w:r>
        <w:rPr>
          <w:rFonts w:ascii="黑体" w:hAnsi="黑体" w:eastAsia="黑体"/>
          <w:b w:val="0"/>
          <w:i w:val="0"/>
          <w:color w:val="000000"/>
          <w:sz w:val="22"/>
        </w:rPr>
        <w:t>其他应付款</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国贸物业</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58" w:after="0"/>
              <w:ind w:left="0" w:right="0" w:firstLine="0"/>
              <w:jc w:val="right"/>
            </w:pPr>
            <w:r>
              <w:rPr>
                <w:rFonts w:ascii="Arial" w:hAnsi="Arial" w:eastAsia="Arial"/>
                <w:b w:val="0"/>
                <w:i w:val="0"/>
                <w:color w:val="000000"/>
                <w:sz w:val="22"/>
              </w:rPr>
              <w:t>144,683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8" w:after="0"/>
              <w:ind w:left="0" w:right="0" w:firstLine="0"/>
              <w:jc w:val="right"/>
            </w:pPr>
            <w:r>
              <w:rPr>
                <w:rFonts w:ascii="Arial" w:hAnsi="Arial" w:eastAsia="Arial"/>
                <w:b w:val="0"/>
                <w:i w:val="0"/>
                <w:color w:val="000000"/>
                <w:sz w:val="22"/>
              </w:rPr>
              <w:t>-</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国贸大饭店</w:t>
            </w:r>
          </w:p>
        </w:tc>
        <w:tc>
          <w:tcPr>
            <w:tcW w:type="dxa" w:w="3006"/>
            <w:vMerge/>
            <w:tcBorders/>
          </w:tcPr>
          <w:p/>
        </w:tc>
        <w:tc>
          <w:tcPr>
            <w:tcW w:type="dxa" w:w="3006"/>
            <w:vMerge/>
            <w:tcBorders/>
          </w:tcPr>
          <w:p/>
        </w:tc>
      </w:tr>
      <w:tr>
        <w:trPr>
          <w:trHeight w:hRule="exact" w:val="236"/>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16,722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50"/>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0" w:after="0"/>
              <w:ind w:left="198" w:right="0" w:firstLine="0"/>
              <w:jc w:val="left"/>
            </w:pPr>
            <w:r>
              <w:rPr>
                <w:rFonts w:ascii="黑体" w:hAnsi="黑体" w:eastAsia="黑体"/>
                <w:b w:val="0"/>
                <w:i w:val="0"/>
                <w:color w:val="000000"/>
                <w:sz w:val="22"/>
              </w:rPr>
              <w:t>焦化集团</w:t>
            </w:r>
          </w:p>
        </w:tc>
        <w:tc>
          <w:tcPr>
            <w:tcW w:type="dxa" w:w="3006"/>
            <w:vMerge/>
            <w:tcBorders/>
          </w:tcPr>
          <w:p/>
        </w:tc>
        <w:tc>
          <w:tcPr>
            <w:tcW w:type="dxa" w:w="3006"/>
            <w:vMerge/>
            <w:tcBorders/>
          </w:tcPr>
          <w:p/>
        </w:tc>
      </w:tr>
      <w:tr>
        <w:trPr>
          <w:trHeight w:hRule="exact" w:val="272"/>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6,850</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6,850</w:t>
            </w:r>
          </w:p>
        </w:tc>
      </w:tr>
      <w:tr>
        <w:trPr>
          <w:trHeight w:hRule="exact" w:val="550"/>
        </w:trPr>
        <w:tc>
          <w:tcPr>
            <w:tcW w:type="dxa" w:w="4564"/>
            <w:tcBorders>
              <w:top w:sz="4.0" w:val="single" w:color="#000000"/>
              <w:bottom w:sz="3.200000000000273"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168,255</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88" w:after="0"/>
              <w:ind w:left="0" w:right="0" w:firstLine="0"/>
              <w:jc w:val="right"/>
            </w:pPr>
            <w:r>
              <w:rPr>
                <w:rFonts w:ascii="Arial" w:hAnsi="Arial" w:eastAsia="Arial"/>
                <w:b w:val="0"/>
                <w:i w:val="0"/>
                <w:color w:val="000000"/>
                <w:sz w:val="22"/>
              </w:rPr>
              <w:t>6,850</w:t>
            </w:r>
          </w:p>
        </w:tc>
      </w:tr>
      <w:tr>
        <w:trPr>
          <w:trHeight w:hRule="exact" w:val="50"/>
        </w:trPr>
        <w:tc>
          <w:tcPr>
            <w:tcW w:type="dxa" w:w="4564"/>
            <w:tcBorders>
              <w:top w:sz="3.200000000000273" w:val="single" w:color="#000000"/>
            </w:tcBorders>
            <w:tcMar>
              <w:start w:w="0" w:type="dxa"/>
              <w:end w:w="0" w:type="dxa"/>
            </w:tcMar>
          </w:tcPr>
          <w:p/>
        </w:tc>
        <w:tc>
          <w:tcPr>
            <w:tcW w:type="dxa" w:w="1870"/>
            <w:tcBorders>
              <w:top w:sz="3.200000000000273" w:val="single" w:color="#000000"/>
            </w:tcBorders>
            <w:tcMar>
              <w:start w:w="0" w:type="dxa"/>
              <w:end w:w="0" w:type="dxa"/>
            </w:tcMar>
          </w:tcPr>
          <w:p/>
        </w:tc>
        <w:tc>
          <w:tcPr>
            <w:tcW w:type="dxa" w:w="2098"/>
            <w:tcBorders>
              <w:top w:sz="3.200000000000273" w:val="single" w:color="#000000"/>
            </w:tcBorders>
            <w:tcMar>
              <w:start w:w="0" w:type="dxa"/>
              <w:end w:w="0" w:type="dxa"/>
            </w:tcMar>
          </w:tcPr>
          <w:p/>
        </w:tc>
      </w:tr>
    </w:tbl>
    <w:p>
      <w:pPr>
        <w:autoSpaceDN w:val="0"/>
        <w:autoSpaceDE w:val="0"/>
        <w:widowControl/>
        <w:spacing w:line="246" w:lineRule="exact" w:before="198" w:after="234"/>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p</w:t>
      </w:r>
      <w:r>
        <w:rPr>
          <w:rFonts w:ascii="黑体" w:hAnsi="黑体" w:eastAsia="黑体"/>
          <w:b w:val="0"/>
          <w:i w:val="0"/>
          <w:color w:val="000000"/>
          <w:sz w:val="22"/>
        </w:rPr>
        <w:t>）</w:t>
      </w:r>
      <w:r>
        <w:rPr>
          <w:rFonts w:ascii="黑体" w:hAnsi="黑体" w:eastAsia="黑体"/>
          <w:b w:val="0"/>
          <w:i w:val="0"/>
          <w:color w:val="000000"/>
          <w:sz w:val="22"/>
        </w:rPr>
        <w:t>投资本公司发起设立的非并表资管产品</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0"/>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10" w:after="0"/>
              <w:ind w:left="198" w:right="0" w:firstLine="0"/>
              <w:jc w:val="left"/>
            </w:pPr>
            <w:r>
              <w:rPr>
                <w:rFonts w:ascii="黑体" w:hAnsi="黑体" w:eastAsia="黑体"/>
                <w:b w:val="0"/>
                <w:i w:val="0"/>
                <w:color w:val="000000"/>
                <w:sz w:val="22"/>
              </w:rPr>
              <w:t>关联自然人</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10"/>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13,636,348</w:t>
            </w:r>
          </w:p>
        </w:tc>
        <w:tc>
          <w:tcPr>
            <w:tcW w:type="dxa" w:w="2098"/>
            <w:tcBorders>
              <w:bottom w:sz="4.0" w:val="single" w:color="#000000"/>
            </w:tcBorders>
            <w:tcMar>
              <w:start w:w="0" w:type="dxa"/>
              <w:end w:w="0" w:type="dxa"/>
            </w:tcMar>
          </w:tcPr>
          <w:p>
            <w:pPr>
              <w:autoSpaceDN w:val="0"/>
              <w:autoSpaceDE w:val="0"/>
              <w:widowControl/>
              <w:spacing w:line="233" w:lineRule="auto" w:before="156" w:after="0"/>
              <w:ind w:left="0" w:right="0" w:firstLine="0"/>
              <w:jc w:val="right"/>
            </w:pPr>
            <w:r>
              <w:rPr>
                <w:rFonts w:ascii="Arial" w:hAnsi="Arial" w:eastAsia="Arial"/>
                <w:b w:val="0"/>
                <w:i w:val="0"/>
                <w:color w:val="000000"/>
                <w:sz w:val="22"/>
              </w:rPr>
              <w:t>11,674,885</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13,636,348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11,674,885</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8" w:lineRule="exact" w:before="242" w:after="230"/>
        <w:ind w:left="358" w:right="0" w:firstLine="0"/>
        <w:jc w:val="left"/>
      </w:pPr>
      <w:r>
        <w:rPr>
          <w:rFonts w:ascii="黑体" w:hAnsi="黑体" w:eastAsia="黑体"/>
          <w:b w:val="0"/>
          <w:i w:val="0"/>
          <w:color w:val="000000"/>
          <w:sz w:val="22"/>
        </w:rPr>
        <w:t>（</w:t>
      </w:r>
      <w:r>
        <w:rPr>
          <w:rFonts w:ascii="Arial" w:hAnsi="Arial" w:eastAsia="Arial"/>
          <w:b w:val="0"/>
          <w:i w:val="0"/>
          <w:color w:val="000000"/>
          <w:sz w:val="22"/>
        </w:rPr>
        <w:t>q</w:t>
      </w:r>
      <w:r>
        <w:rPr>
          <w:rFonts w:ascii="黑体" w:hAnsi="黑体" w:eastAsia="黑体"/>
          <w:b w:val="0"/>
          <w:i w:val="0"/>
          <w:color w:val="000000"/>
          <w:sz w:val="22"/>
        </w:rPr>
        <w:t>）</w:t>
      </w:r>
      <w:r>
        <w:rPr>
          <w:rFonts w:ascii="黑体" w:hAnsi="黑体" w:eastAsia="黑体"/>
          <w:b w:val="0"/>
          <w:i w:val="0"/>
          <w:color w:val="000000"/>
          <w:sz w:val="22"/>
        </w:rPr>
        <w:t>利息净收入及其他业务收入</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4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山西银行</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24"/>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170" w:after="0"/>
              <w:ind w:left="0" w:right="226" w:firstLine="0"/>
              <w:jc w:val="right"/>
            </w:pPr>
            <w:r>
              <w:rPr>
                <w:rFonts w:ascii="Arial" w:hAnsi="Arial" w:eastAsia="Arial"/>
                <w:b w:val="0"/>
                <w:i w:val="0"/>
                <w:color w:val="000000"/>
                <w:sz w:val="22"/>
              </w:rPr>
              <w:t>5</w:t>
            </w:r>
          </w:p>
        </w:tc>
        <w:tc>
          <w:tcPr>
            <w:tcW w:type="dxa" w:w="1870"/>
            <w:tcBorders>
              <w:bottom w:sz="4.0" w:val="single" w:color="#000000"/>
            </w:tcBorders>
            <w:tcMar>
              <w:start w:w="0" w:type="dxa"/>
              <w:end w:w="0" w:type="dxa"/>
            </w:tcMar>
          </w:tcPr>
          <w:p>
            <w:pPr>
              <w:autoSpaceDN w:val="0"/>
              <w:autoSpaceDE w:val="0"/>
              <w:widowControl/>
              <w:spacing w:line="233" w:lineRule="auto" w:before="170" w:after="0"/>
              <w:ind w:left="0" w:right="0" w:firstLine="0"/>
              <w:jc w:val="right"/>
            </w:pPr>
            <w:r>
              <w:rPr>
                <w:rFonts w:ascii="Arial" w:hAnsi="Arial" w:eastAsia="Arial"/>
                <w:b w:val="0"/>
                <w:i w:val="0"/>
                <w:color w:val="000000"/>
                <w:sz w:val="22"/>
              </w:rPr>
              <w:t>7</w:t>
            </w:r>
          </w:p>
        </w:tc>
      </w:tr>
      <w:tr>
        <w:trPr>
          <w:trHeight w:hRule="exact" w:val="548"/>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90" w:after="0"/>
              <w:ind w:left="0" w:right="226" w:firstLine="0"/>
              <w:jc w:val="right"/>
            </w:pPr>
            <w:r>
              <w:rPr>
                <w:rFonts w:ascii="Arial" w:hAnsi="Arial" w:eastAsia="Arial"/>
                <w:b w:val="0"/>
                <w:i w:val="0"/>
                <w:color w:val="000000"/>
                <w:sz w:val="22"/>
              </w:rPr>
              <w:t>5</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7</w:t>
            </w:r>
          </w:p>
        </w:tc>
      </w:tr>
    </w:tbl>
    <w:p>
      <w:pPr>
        <w:autoSpaceDN w:val="0"/>
        <w:autoSpaceDE w:val="0"/>
        <w:widowControl/>
        <w:spacing w:line="233" w:lineRule="auto" w:before="1966" w:after="0"/>
        <w:ind w:left="0" w:right="0" w:firstLine="0"/>
        <w:jc w:val="center"/>
      </w:pPr>
      <w:r>
        <w:rPr>
          <w:rFonts w:ascii="Arial" w:hAnsi="Arial" w:eastAsia="Arial"/>
          <w:b w:val="0"/>
          <w:i w:val="0"/>
          <w:color w:val="000000"/>
          <w:sz w:val="20"/>
        </w:rPr>
        <w:t xml:space="preserve">277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70" w:val="left"/>
          <w:tab w:pos="1078" w:val="left"/>
        </w:tabs>
        <w:autoSpaceDE w:val="0"/>
        <w:widowControl/>
        <w:spacing w:line="428" w:lineRule="exact" w:before="0" w:after="0"/>
        <w:ind w:left="358" w:right="288" w:firstLine="0"/>
        <w:jc w:val="left"/>
      </w:pPr>
      <w:r>
        <w:rPr>
          <w:rFonts w:ascii="黑体" w:hAnsi="黑体" w:eastAsia="黑体"/>
          <w:b w:val="0"/>
          <w:i w:val="0"/>
          <w:color w:val="000000"/>
          <w:sz w:val="22"/>
        </w:rPr>
        <w:t>十、</w:t>
      </w:r>
      <w:r>
        <w:rPr>
          <w:rFonts w:ascii="黑体" w:hAnsi="黑体" w:eastAsia="黑体"/>
          <w:b w:val="0"/>
          <w:i w:val="0"/>
          <w:color w:val="000000"/>
          <w:sz w:val="22"/>
        </w:rPr>
        <w:t>关联方及关联交易（续）</w:t>
      </w:r>
      <w:r>
        <w:br/>
      </w:r>
      <w:r>
        <w:rPr>
          <w:rFonts w:ascii="Arial,Bold" w:hAnsi="Arial,Bold" w:eastAsia="Arial,Bold"/>
          <w:b/>
          <w:i w:val="0"/>
          <w:color w:val="000000"/>
          <w:sz w:val="22"/>
        </w:rPr>
        <w:t xml:space="preserve">6. </w:t>
      </w:r>
      <w:r>
        <w:rPr>
          <w:rFonts w:ascii="黑体" w:hAnsi="黑体" w:eastAsia="黑体"/>
          <w:b w:val="0"/>
          <w:i w:val="0"/>
          <w:color w:val="000000"/>
          <w:sz w:val="22"/>
        </w:rPr>
        <w:t>关联交易及关联方款项余额情况（续）</w:t>
      </w:r>
      <w:r>
        <w:br/>
      </w:r>
      <w:r>
        <w:rPr>
          <w:rFonts w:ascii="黑体" w:hAnsi="黑体" w:eastAsia="黑体"/>
          <w:b w:val="0"/>
          <w:i w:val="0"/>
          <w:color w:val="000000"/>
          <w:sz w:val="22"/>
        </w:rPr>
        <w:t>（</w:t>
      </w:r>
      <w:r>
        <w:rPr>
          <w:rFonts w:ascii="Arial" w:hAnsi="Arial" w:eastAsia="Arial"/>
          <w:b w:val="0"/>
          <w:i w:val="0"/>
          <w:color w:val="000000"/>
          <w:sz w:val="22"/>
        </w:rPr>
        <w:t>r</w:t>
      </w:r>
      <w:r>
        <w:rPr>
          <w:rFonts w:ascii="黑体" w:hAnsi="黑体" w:eastAsia="黑体"/>
          <w:b w:val="0"/>
          <w:i w:val="0"/>
          <w:color w:val="000000"/>
          <w:sz w:val="22"/>
        </w:rPr>
        <w:t>）</w:t>
      </w:r>
      <w:r>
        <w:rPr>
          <w:rFonts w:ascii="黑体" w:hAnsi="黑体" w:eastAsia="黑体"/>
          <w:b w:val="0"/>
          <w:i w:val="0"/>
          <w:color w:val="000000"/>
          <w:sz w:val="22"/>
        </w:rPr>
        <w:t>新增共同投资</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年，本公司子公司山证投资作为普通合伙人发起设立山西天使股权投资基</w:t>
      </w:r>
      <w:r>
        <w:tab/>
      </w:r>
      <w:r>
        <w:tab/>
      </w:r>
      <w:r>
        <w:rPr>
          <w:rFonts w:ascii="黑体" w:hAnsi="黑体" w:eastAsia="黑体"/>
          <w:b w:val="0"/>
          <w:i w:val="0"/>
          <w:color w:val="000000"/>
          <w:sz w:val="22"/>
        </w:rPr>
        <w:t>金合伙企业（有限合伙），投资总额为人民币</w:t>
      </w:r>
      <w:r>
        <w:rPr>
          <w:rFonts w:ascii="Arial" w:hAnsi="Arial" w:eastAsia="Arial"/>
          <w:b w:val="0"/>
          <w:i w:val="0"/>
          <w:color w:val="000000"/>
          <w:sz w:val="22"/>
        </w:rPr>
        <w:t>5</w:t>
      </w:r>
      <w:r>
        <w:rPr>
          <w:rFonts w:ascii="黑体" w:hAnsi="黑体" w:eastAsia="黑体"/>
          <w:b w:val="0"/>
          <w:i w:val="0"/>
          <w:color w:val="000000"/>
          <w:sz w:val="22"/>
        </w:rPr>
        <w:t>万元。</w:t>
      </w:r>
    </w:p>
    <w:p>
      <w:pPr>
        <w:autoSpaceDN w:val="0"/>
        <w:autoSpaceDE w:val="0"/>
        <w:widowControl/>
        <w:spacing w:line="286" w:lineRule="exact" w:before="252" w:after="0"/>
        <w:ind w:left="1078" w:right="354" w:hanging="720"/>
        <w:jc w:val="both"/>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年，本公司的母公司山西金控作为有限合伙人参与本公司子公司山证投资</w:t>
      </w:r>
      <w:r>
        <w:rPr>
          <w:rFonts w:ascii="黑体" w:hAnsi="黑体" w:eastAsia="黑体"/>
          <w:b w:val="0"/>
          <w:i w:val="0"/>
          <w:color w:val="000000"/>
          <w:sz w:val="22"/>
        </w:rPr>
        <w:t>发起设立的山西天使股权投资基金合伙企业（有限合伙），投资金额为人民币</w:t>
      </w:r>
      <w:r>
        <w:rPr>
          <w:rFonts w:ascii="Arial" w:hAnsi="Arial" w:eastAsia="Arial"/>
          <w:b w:val="0"/>
          <w:i w:val="0"/>
          <w:color w:val="000000"/>
          <w:sz w:val="22"/>
        </w:rPr>
        <w:t>1,000</w:t>
      </w:r>
      <w:r>
        <w:rPr>
          <w:rFonts w:ascii="黑体" w:hAnsi="黑体" w:eastAsia="黑体"/>
          <w:b w:val="0"/>
          <w:i w:val="0"/>
          <w:color w:val="000000"/>
          <w:sz w:val="22"/>
        </w:rPr>
        <w:t>万元。</w:t>
      </w:r>
    </w:p>
    <w:p>
      <w:pPr>
        <w:autoSpaceDN w:val="0"/>
        <w:autoSpaceDE w:val="0"/>
        <w:widowControl/>
        <w:spacing w:line="284" w:lineRule="exact" w:before="240" w:after="0"/>
        <w:ind w:left="1078" w:right="354" w:hanging="720"/>
        <w:jc w:val="both"/>
      </w:pP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年，山西金控子公司山西金控资本管理有限公司作为有限合伙人参与本公</w:t>
      </w:r>
      <w:r>
        <w:rPr>
          <w:rFonts w:ascii="黑体" w:hAnsi="黑体" w:eastAsia="黑体"/>
          <w:b w:val="0"/>
          <w:i w:val="0"/>
          <w:color w:val="000000"/>
          <w:sz w:val="22"/>
        </w:rPr>
        <w:t>司子公司山证投资发起设立的山西天使股权投资基金合伙企业（有限合伙），</w:t>
      </w:r>
      <w:r>
        <w:rPr>
          <w:rFonts w:ascii="黑体" w:hAnsi="黑体" w:eastAsia="黑体"/>
          <w:b w:val="0"/>
          <w:i w:val="0"/>
          <w:color w:val="000000"/>
          <w:sz w:val="22"/>
        </w:rPr>
        <w:t>投资金额为人民币</w:t>
      </w:r>
      <w:r>
        <w:rPr>
          <w:rFonts w:ascii="Arial" w:hAnsi="Arial" w:eastAsia="Arial"/>
          <w:b w:val="0"/>
          <w:i w:val="0"/>
          <w:color w:val="000000"/>
          <w:sz w:val="22"/>
        </w:rPr>
        <w:t>250</w:t>
      </w:r>
      <w:r>
        <w:rPr>
          <w:rFonts w:ascii="黑体" w:hAnsi="黑体" w:eastAsia="黑体"/>
          <w:b w:val="0"/>
          <w:i w:val="0"/>
          <w:color w:val="000000"/>
          <w:sz w:val="22"/>
        </w:rPr>
        <w:t>万元。</w:t>
      </w:r>
    </w:p>
    <w:p>
      <w:pPr>
        <w:autoSpaceDN w:val="0"/>
        <w:autoSpaceDE w:val="0"/>
        <w:widowControl/>
        <w:spacing w:line="344" w:lineRule="exact" w:before="194"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s</w:t>
      </w:r>
      <w:r>
        <w:rPr>
          <w:rFonts w:ascii="黑体" w:hAnsi="黑体" w:eastAsia="黑体"/>
          <w:b w:val="0"/>
          <w:i w:val="0"/>
          <w:color w:val="000000"/>
          <w:sz w:val="22"/>
        </w:rPr>
        <w:t>）</w:t>
      </w:r>
      <w:r>
        <w:rPr>
          <w:rFonts w:ascii="黑体" w:hAnsi="黑体" w:eastAsia="黑体"/>
          <w:b w:val="0"/>
          <w:i w:val="0"/>
          <w:color w:val="000000"/>
          <w:sz w:val="22"/>
        </w:rPr>
        <w:t>关键管理人员薪酬</w:t>
      </w:r>
      <w:r>
        <w:br/>
      </w:r>
      <w:r>
        <w:rPr>
          <w:rFonts w:ascii="黑体" w:hAnsi="黑体" w:eastAsia="黑体"/>
          <w:b w:val="0"/>
          <w:i w:val="0"/>
          <w:color w:val="000000"/>
          <w:sz w:val="22"/>
        </w:rPr>
        <w:t>关键管理人员指有权利并负责进行计划、指挥和控制企业活动的人员，包括董事、监</w:t>
      </w:r>
      <w:r>
        <w:rPr>
          <w:rFonts w:ascii="黑体" w:hAnsi="黑体" w:eastAsia="黑体"/>
          <w:b w:val="0"/>
          <w:i w:val="0"/>
          <w:color w:val="000000"/>
          <w:sz w:val="22"/>
        </w:rPr>
        <w:t>事和高级管理人员。上述关键管理人员薪酬为人民币</w:t>
      </w:r>
      <w:r>
        <w:rPr>
          <w:rFonts w:ascii="Arial" w:hAnsi="Arial" w:eastAsia="Arial"/>
          <w:b w:val="0"/>
          <w:i w:val="0"/>
          <w:color w:val="000000"/>
          <w:sz w:val="22"/>
        </w:rPr>
        <w:t>1,542.39</w:t>
      </w:r>
      <w:r>
        <w:rPr>
          <w:rFonts w:ascii="黑体" w:hAnsi="黑体" w:eastAsia="黑体"/>
          <w:b w:val="0"/>
          <w:i w:val="0"/>
          <w:color w:val="000000"/>
          <w:sz w:val="22"/>
        </w:rPr>
        <w:t>万元，为</w:t>
      </w:r>
      <w:r>
        <w:rPr>
          <w:rFonts w:ascii="Arial" w:hAnsi="Arial" w:eastAsia="Arial"/>
          <w:b w:val="0"/>
          <w:i w:val="0"/>
          <w:color w:val="000000"/>
          <w:sz w:val="22"/>
        </w:rPr>
        <w:t>2024</w:t>
      </w:r>
      <w:r>
        <w:rPr>
          <w:rFonts w:ascii="黑体" w:hAnsi="黑体" w:eastAsia="黑体"/>
          <w:b w:val="0"/>
          <w:i w:val="0"/>
          <w:color w:val="000000"/>
          <w:sz w:val="22"/>
        </w:rPr>
        <w:t>年度计提</w:t>
      </w:r>
      <w:r>
        <w:rPr>
          <w:rFonts w:ascii="黑体" w:hAnsi="黑体" w:eastAsia="黑体"/>
          <w:b w:val="0"/>
          <w:i w:val="0"/>
          <w:color w:val="000000"/>
          <w:sz w:val="22"/>
        </w:rPr>
        <w:t>并发放的税前薪酬总额，不含本公司承担的社保公积金。报告期内在本公司领取薪酬</w:t>
      </w:r>
      <w:r>
        <w:rPr>
          <w:rFonts w:ascii="黑体" w:hAnsi="黑体" w:eastAsia="黑体"/>
          <w:b w:val="0"/>
          <w:i w:val="0"/>
          <w:color w:val="000000"/>
          <w:sz w:val="22"/>
        </w:rPr>
        <w:t>的董事、监事及高级管理人员最终薪酬仍在确认过程中。待确认之后另行披露。</w:t>
      </w:r>
    </w:p>
    <w:p>
      <w:pPr>
        <w:autoSpaceDN w:val="0"/>
        <w:autoSpaceDE w:val="0"/>
        <w:widowControl/>
        <w:spacing w:line="233" w:lineRule="auto" w:before="7662" w:after="0"/>
        <w:ind w:left="0" w:right="0" w:firstLine="0"/>
        <w:jc w:val="center"/>
      </w:pPr>
      <w:r>
        <w:rPr>
          <w:rFonts w:ascii="Arial" w:hAnsi="Arial" w:eastAsia="Arial"/>
          <w:b w:val="0"/>
          <w:i w:val="0"/>
          <w:color w:val="000000"/>
          <w:sz w:val="20"/>
        </w:rPr>
        <w:t xml:space="preserve">278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十一、与金融工具相关的风险</w:t>
      </w:r>
    </w:p>
    <w:p>
      <w:pPr>
        <w:autoSpaceDN w:val="0"/>
        <w:autoSpaceDE w:val="0"/>
        <w:widowControl/>
        <w:spacing w:line="220" w:lineRule="exact" w:before="318" w:after="0"/>
        <w:ind w:left="358" w:right="0" w:firstLine="0"/>
        <w:jc w:val="left"/>
      </w:pPr>
      <w:r>
        <w:rPr>
          <w:rFonts w:ascii="黑体" w:hAnsi="黑体" w:eastAsia="黑体"/>
          <w:b w:val="0"/>
          <w:i w:val="0"/>
          <w:color w:val="000000"/>
          <w:sz w:val="22"/>
        </w:rPr>
        <w:t>本集团在日常活动中面临各种金融工具的风险，主要包括：</w:t>
      </w:r>
    </w:p>
    <w:p>
      <w:pPr>
        <w:autoSpaceDN w:val="0"/>
        <w:tabs>
          <w:tab w:pos="718" w:val="left"/>
        </w:tabs>
        <w:autoSpaceDE w:val="0"/>
        <w:widowControl/>
        <w:spacing w:line="286" w:lineRule="exact" w:before="252" w:after="0"/>
        <w:ind w:left="358" w:right="6912" w:firstLine="0"/>
        <w:jc w:val="left"/>
      </w:pPr>
      <w:r>
        <w:rPr>
          <w:rFonts w:ascii="黑体" w:hAnsi="黑体" w:eastAsia="黑体"/>
          <w:b w:val="0"/>
          <w:i w:val="0"/>
          <w:color w:val="000000"/>
          <w:sz w:val="22"/>
        </w:rPr>
        <w:t>-</w:t>
      </w:r>
      <w:r>
        <w:tab/>
      </w:r>
      <w:r>
        <w:rPr>
          <w:rFonts w:ascii="黑体" w:hAnsi="黑体" w:eastAsia="黑体"/>
          <w:b w:val="0"/>
          <w:i w:val="0"/>
          <w:color w:val="000000"/>
          <w:sz w:val="22"/>
        </w:rPr>
        <w:t>信用风险</w:t>
      </w:r>
      <w:r>
        <w:br/>
      </w:r>
      <w:r>
        <w:rPr>
          <w:rFonts w:ascii="黑体" w:hAnsi="黑体" w:eastAsia="黑体"/>
          <w:b w:val="0"/>
          <w:i w:val="0"/>
          <w:color w:val="000000"/>
          <w:sz w:val="22"/>
        </w:rPr>
        <w:t>-</w:t>
      </w:r>
      <w:r>
        <w:tab/>
      </w:r>
      <w:r>
        <w:rPr>
          <w:rFonts w:ascii="黑体" w:hAnsi="黑体" w:eastAsia="黑体"/>
          <w:b w:val="0"/>
          <w:i w:val="0"/>
          <w:color w:val="000000"/>
          <w:sz w:val="22"/>
        </w:rPr>
        <w:t>流动性风险</w:t>
      </w:r>
      <w:r>
        <w:br/>
      </w:r>
      <w:r>
        <w:rPr>
          <w:rFonts w:ascii="黑体" w:hAnsi="黑体" w:eastAsia="黑体"/>
          <w:b w:val="0"/>
          <w:i w:val="0"/>
          <w:color w:val="000000"/>
          <w:sz w:val="22"/>
        </w:rPr>
        <w:t>-</w:t>
      </w:r>
      <w:r>
        <w:tab/>
      </w:r>
      <w:r>
        <w:rPr>
          <w:rFonts w:ascii="黑体" w:hAnsi="黑体" w:eastAsia="黑体"/>
          <w:b w:val="0"/>
          <w:i w:val="0"/>
          <w:color w:val="000000"/>
          <w:sz w:val="22"/>
        </w:rPr>
        <w:t>利率风险</w:t>
      </w:r>
      <w:r>
        <w:br/>
      </w:r>
      <w:r>
        <w:rPr>
          <w:rFonts w:ascii="黑体" w:hAnsi="黑体" w:eastAsia="黑体"/>
          <w:b w:val="0"/>
          <w:i w:val="0"/>
          <w:color w:val="000000"/>
          <w:sz w:val="22"/>
        </w:rPr>
        <w:t>-</w:t>
      </w:r>
      <w:r>
        <w:tab/>
      </w:r>
      <w:r>
        <w:rPr>
          <w:rFonts w:ascii="黑体" w:hAnsi="黑体" w:eastAsia="黑体"/>
          <w:b w:val="0"/>
          <w:i w:val="0"/>
          <w:color w:val="000000"/>
          <w:sz w:val="22"/>
        </w:rPr>
        <w:t>汇率风险</w:t>
      </w:r>
      <w:r>
        <w:br/>
      </w:r>
      <w:r>
        <w:rPr>
          <w:rFonts w:ascii="黑体" w:hAnsi="黑体" w:eastAsia="黑体"/>
          <w:b w:val="0"/>
          <w:i w:val="0"/>
          <w:color w:val="000000"/>
          <w:sz w:val="22"/>
        </w:rPr>
        <w:t>-</w:t>
      </w:r>
      <w:r>
        <w:tab/>
      </w:r>
      <w:r>
        <w:rPr>
          <w:rFonts w:ascii="黑体" w:hAnsi="黑体" w:eastAsia="黑体"/>
          <w:b w:val="0"/>
          <w:i w:val="0"/>
          <w:color w:val="000000"/>
          <w:sz w:val="22"/>
        </w:rPr>
        <w:t>其他价格风险</w:t>
      </w:r>
    </w:p>
    <w:p>
      <w:pPr>
        <w:autoSpaceDN w:val="0"/>
        <w:autoSpaceDE w:val="0"/>
        <w:widowControl/>
        <w:spacing w:line="286" w:lineRule="exact" w:before="252" w:after="0"/>
        <w:ind w:left="358" w:right="288" w:firstLine="0"/>
        <w:jc w:val="left"/>
      </w:pPr>
      <w:r>
        <w:rPr>
          <w:rFonts w:ascii="黑体" w:hAnsi="黑体" w:eastAsia="黑体"/>
          <w:b w:val="0"/>
          <w:i w:val="0"/>
          <w:color w:val="000000"/>
          <w:sz w:val="22"/>
        </w:rPr>
        <w:t>下文主要论述上述风险敞口及其形成原因以及在本年发生的变化、风险管理目标、政</w:t>
      </w:r>
      <w:r>
        <w:rPr>
          <w:rFonts w:ascii="黑体" w:hAnsi="黑体" w:eastAsia="黑体"/>
          <w:b w:val="0"/>
          <w:i w:val="0"/>
          <w:color w:val="000000"/>
          <w:sz w:val="22"/>
        </w:rPr>
        <w:t>策和程序以及计量风险的方法及其在本年发生的变化等。</w:t>
      </w:r>
    </w:p>
    <w:p>
      <w:pPr>
        <w:autoSpaceDN w:val="0"/>
        <w:autoSpaceDE w:val="0"/>
        <w:widowControl/>
        <w:spacing w:line="286" w:lineRule="exact" w:before="252" w:after="0"/>
        <w:ind w:left="358" w:right="358" w:firstLine="0"/>
        <w:jc w:val="both"/>
      </w:pPr>
      <w:r>
        <w:rPr>
          <w:rFonts w:ascii="黑体" w:hAnsi="黑体" w:eastAsia="黑体"/>
          <w:b w:val="0"/>
          <w:i w:val="0"/>
          <w:color w:val="000000"/>
          <w:sz w:val="22"/>
        </w:rPr>
        <w:t>本集团从事风险管理的目标是在风险和收益之间取得适当的平衡，力求降低金融风险</w:t>
      </w:r>
      <w:r>
        <w:rPr>
          <w:rFonts w:ascii="黑体" w:hAnsi="黑体" w:eastAsia="黑体"/>
          <w:b w:val="0"/>
          <w:i w:val="0"/>
          <w:color w:val="000000"/>
          <w:sz w:val="22"/>
        </w:rPr>
        <w:t>对本集团财务业绩的不利影响。基于该风险管理目标，本集团已制定风险管理政策以</w:t>
      </w:r>
      <w:r>
        <w:rPr>
          <w:rFonts w:ascii="黑体" w:hAnsi="黑体" w:eastAsia="黑体"/>
          <w:b w:val="0"/>
          <w:i w:val="0"/>
          <w:color w:val="000000"/>
          <w:sz w:val="22"/>
        </w:rPr>
        <w:t>辨别和分析本集团所面临的风险，设定适当的风险可接受水平并设计相应的内部控制</w:t>
      </w:r>
      <w:r>
        <w:rPr>
          <w:rFonts w:ascii="黑体" w:hAnsi="黑体" w:eastAsia="黑体"/>
          <w:b w:val="0"/>
          <w:i w:val="0"/>
          <w:color w:val="000000"/>
          <w:sz w:val="22"/>
        </w:rPr>
        <w:t>程序，以监控本集团的风险水平。本集团会定期审阅这些风险管理政策及有关内部控</w:t>
      </w:r>
      <w:r>
        <w:rPr>
          <w:rFonts w:ascii="黑体" w:hAnsi="黑体" w:eastAsia="黑体"/>
          <w:b w:val="0"/>
          <w:i w:val="0"/>
          <w:color w:val="000000"/>
          <w:sz w:val="22"/>
        </w:rPr>
        <w:t>制系统，以适应市场情况或本集团经营活动的改变。</w:t>
      </w:r>
    </w:p>
    <w:p>
      <w:pPr>
        <w:autoSpaceDN w:val="0"/>
        <w:tabs>
          <w:tab w:pos="1066" w:val="left"/>
        </w:tabs>
        <w:autoSpaceDE w:val="0"/>
        <w:widowControl/>
        <w:spacing w:line="246"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信用风险</w:t>
      </w:r>
    </w:p>
    <w:p>
      <w:pPr>
        <w:autoSpaceDN w:val="0"/>
        <w:autoSpaceDE w:val="0"/>
        <w:widowControl/>
        <w:spacing w:line="284" w:lineRule="exact" w:before="238" w:after="0"/>
        <w:ind w:left="358" w:right="360" w:firstLine="0"/>
        <w:jc w:val="both"/>
      </w:pPr>
      <w:r>
        <w:rPr>
          <w:rFonts w:ascii="黑体" w:hAnsi="黑体" w:eastAsia="黑体"/>
          <w:b w:val="0"/>
          <w:i w:val="0"/>
          <w:color w:val="000000"/>
          <w:sz w:val="22"/>
        </w:rPr>
        <w:t>信用风险，是指金融工具的一方不能履行义务，造成另一方发生财务损失的风险。本</w:t>
      </w:r>
      <w:r>
        <w:rPr>
          <w:rFonts w:ascii="黑体" w:hAnsi="黑体" w:eastAsia="黑体"/>
          <w:b w:val="0"/>
          <w:i w:val="0"/>
          <w:color w:val="000000"/>
          <w:sz w:val="22"/>
        </w:rPr>
        <w:t>集团的信用风险敞口主要分布在经纪业务、融资业务（主要包括融资融券、约定购回</w:t>
      </w:r>
      <w:r>
        <w:rPr>
          <w:rFonts w:ascii="黑体" w:hAnsi="黑体" w:eastAsia="黑体"/>
          <w:b w:val="0"/>
          <w:i w:val="0"/>
          <w:color w:val="000000"/>
          <w:sz w:val="22"/>
        </w:rPr>
        <w:t>式证券以及股票质押式回购业务）以及自营固定收益业务等领域。</w:t>
      </w:r>
    </w:p>
    <w:p>
      <w:pPr>
        <w:autoSpaceDN w:val="0"/>
        <w:autoSpaceDE w:val="0"/>
        <w:widowControl/>
        <w:spacing w:line="284" w:lineRule="exact" w:before="256" w:after="0"/>
        <w:ind w:left="358" w:right="360" w:firstLine="0"/>
        <w:jc w:val="both"/>
      </w:pPr>
      <w:r>
        <w:rPr>
          <w:rFonts w:ascii="黑体" w:hAnsi="黑体" w:eastAsia="黑体"/>
          <w:b w:val="0"/>
          <w:i w:val="0"/>
          <w:color w:val="000000"/>
          <w:sz w:val="22"/>
        </w:rPr>
        <w:t>本集团除现金以外的货币资金主要存放于国有商业银行或大型股份制商业银行，结算</w:t>
      </w:r>
      <w:r>
        <w:rPr>
          <w:rFonts w:ascii="黑体" w:hAnsi="黑体" w:eastAsia="黑体"/>
          <w:b w:val="0"/>
          <w:i w:val="0"/>
          <w:color w:val="000000"/>
          <w:sz w:val="22"/>
        </w:rPr>
        <w:t>备付金存放在中国证券登记结算有限责任公司等机构，现金及现金等价物面临的信用</w:t>
      </w:r>
      <w:r>
        <w:rPr>
          <w:rFonts w:ascii="黑体" w:hAnsi="黑体" w:eastAsia="黑体"/>
          <w:b w:val="0"/>
          <w:i w:val="0"/>
          <w:color w:val="000000"/>
          <w:sz w:val="22"/>
        </w:rPr>
        <w:t>风险相对较低。</w:t>
      </w:r>
    </w:p>
    <w:p>
      <w:pPr>
        <w:autoSpaceDN w:val="0"/>
        <w:autoSpaceDE w:val="0"/>
        <w:widowControl/>
        <w:spacing w:line="286" w:lineRule="exact" w:before="254" w:after="0"/>
        <w:ind w:left="358" w:right="360" w:firstLine="0"/>
        <w:jc w:val="both"/>
      </w:pPr>
      <w:r>
        <w:rPr>
          <w:rFonts w:ascii="黑体" w:hAnsi="黑体" w:eastAsia="黑体"/>
          <w:b w:val="0"/>
          <w:i w:val="0"/>
          <w:color w:val="000000"/>
          <w:sz w:val="22"/>
        </w:rPr>
        <w:t>本集团经纪业务所产生的信用风险包括代理客户买卖证券及进行期货交易，若本集团</w:t>
      </w:r>
      <w:r>
        <w:rPr>
          <w:rFonts w:ascii="黑体" w:hAnsi="黑体" w:eastAsia="黑体"/>
          <w:b w:val="0"/>
          <w:i w:val="0"/>
          <w:color w:val="000000"/>
          <w:sz w:val="22"/>
        </w:rPr>
        <w:t>没有提前要求客户依法缴足交易保证金，在结算当日客户的资金不足以支付交易所需</w:t>
      </w:r>
      <w:r>
        <w:rPr>
          <w:rFonts w:ascii="黑体" w:hAnsi="黑体" w:eastAsia="黑体"/>
          <w:b w:val="0"/>
          <w:i w:val="0"/>
          <w:color w:val="000000"/>
          <w:sz w:val="22"/>
        </w:rPr>
        <w:t>的情况下，或客户资金由于其他原因出现缺口，本集团有责任代客户进行结算而造成</w:t>
      </w:r>
      <w:r>
        <w:rPr>
          <w:rFonts w:ascii="黑体" w:hAnsi="黑体" w:eastAsia="黑体"/>
          <w:b w:val="0"/>
          <w:i w:val="0"/>
          <w:color w:val="000000"/>
          <w:sz w:val="22"/>
        </w:rPr>
        <w:t>信用损失。为了控制经纪业务产生的信用风险，本集团代理客户进行证券交易均以全</w:t>
      </w:r>
      <w:r>
        <w:rPr>
          <w:rFonts w:ascii="黑体" w:hAnsi="黑体" w:eastAsia="黑体"/>
          <w:b w:val="0"/>
          <w:i w:val="0"/>
          <w:color w:val="000000"/>
          <w:sz w:val="22"/>
        </w:rPr>
        <w:t>额保证金结算方式进行风险规避；代理客户进行期货交易通过严格筛选客户、逐日盯</w:t>
      </w:r>
      <w:r>
        <w:rPr>
          <w:rFonts w:ascii="黑体" w:hAnsi="黑体" w:eastAsia="黑体"/>
          <w:b w:val="0"/>
          <w:i w:val="0"/>
          <w:color w:val="000000"/>
          <w:sz w:val="22"/>
        </w:rPr>
        <w:t>市来控制信用风险。</w:t>
      </w:r>
    </w:p>
    <w:p>
      <w:pPr>
        <w:autoSpaceDN w:val="0"/>
        <w:autoSpaceDE w:val="0"/>
        <w:widowControl/>
        <w:spacing w:line="233" w:lineRule="auto" w:before="4258" w:after="0"/>
        <w:ind w:left="0" w:right="0" w:firstLine="0"/>
        <w:jc w:val="center"/>
      </w:pPr>
      <w:r>
        <w:rPr>
          <w:rFonts w:ascii="Arial" w:hAnsi="Arial" w:eastAsia="Arial"/>
          <w:b w:val="0"/>
          <w:i w:val="0"/>
          <w:color w:val="000000"/>
          <w:sz w:val="20"/>
        </w:rPr>
        <w:t xml:space="preserve">279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十一、与金融工具相关的风险（续）</w:t>
      </w:r>
    </w:p>
    <w:p>
      <w:pPr>
        <w:autoSpaceDN w:val="0"/>
        <w:tabs>
          <w:tab w:pos="103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信用风险（续）</w:t>
      </w:r>
    </w:p>
    <w:p>
      <w:pPr>
        <w:autoSpaceDN w:val="0"/>
        <w:autoSpaceDE w:val="0"/>
        <w:widowControl/>
        <w:spacing w:line="286" w:lineRule="exact" w:before="236" w:after="0"/>
        <w:ind w:left="358" w:right="352" w:firstLine="0"/>
        <w:jc w:val="both"/>
      </w:pPr>
      <w:r>
        <w:rPr>
          <w:rFonts w:ascii="黑体" w:hAnsi="黑体" w:eastAsia="黑体"/>
          <w:b w:val="0"/>
          <w:i w:val="0"/>
          <w:color w:val="000000"/>
          <w:sz w:val="22"/>
        </w:rPr>
        <w:t>对于融资业务所产生的信用风险，本集团制定了融资融券、约定购回式证券以及股票</w:t>
      </w:r>
      <w:r>
        <w:rPr>
          <w:rFonts w:ascii="黑体" w:hAnsi="黑体" w:eastAsia="黑体"/>
          <w:b w:val="0"/>
          <w:i w:val="0"/>
          <w:color w:val="000000"/>
          <w:sz w:val="22"/>
        </w:rPr>
        <w:t>质押式回购业务的授信审批、维持担保比例等一系列制度。本集团采用分级授权审批</w:t>
      </w:r>
      <w:r>
        <w:rPr>
          <w:rFonts w:ascii="黑体" w:hAnsi="黑体" w:eastAsia="黑体"/>
          <w:b w:val="0"/>
          <w:i w:val="0"/>
          <w:color w:val="000000"/>
          <w:sz w:val="22"/>
        </w:rPr>
        <w:t>的方式，严格对融资融券、约定购回式证券以及股票质押式回购客户进行授信额度审</w:t>
      </w:r>
      <w:r>
        <w:rPr>
          <w:rFonts w:ascii="黑体" w:hAnsi="黑体" w:eastAsia="黑体"/>
          <w:b w:val="0"/>
          <w:i w:val="0"/>
          <w:color w:val="000000"/>
          <w:sz w:val="22"/>
        </w:rPr>
        <w:t>批；同时对客户维持担保比例、履约担保比例等指标进行实时监控，必要时将采取强</w:t>
      </w:r>
      <w:r>
        <w:rPr>
          <w:rFonts w:ascii="黑体" w:hAnsi="黑体" w:eastAsia="黑体"/>
          <w:b w:val="0"/>
          <w:i w:val="0"/>
          <w:color w:val="000000"/>
          <w:sz w:val="22"/>
        </w:rPr>
        <w:t>制平仓、违约处置等措施。</w:t>
      </w:r>
    </w:p>
    <w:p>
      <w:pPr>
        <w:autoSpaceDN w:val="0"/>
        <w:autoSpaceDE w:val="0"/>
        <w:widowControl/>
        <w:spacing w:line="286" w:lineRule="exact" w:before="252" w:after="0"/>
        <w:ind w:left="358" w:right="356" w:firstLine="0"/>
        <w:jc w:val="both"/>
      </w:pPr>
      <w:r>
        <w:rPr>
          <w:rFonts w:ascii="黑体" w:hAnsi="黑体" w:eastAsia="黑体"/>
          <w:b w:val="0"/>
          <w:i w:val="0"/>
          <w:color w:val="000000"/>
          <w:sz w:val="22"/>
        </w:rPr>
        <w:t>为了控制自营业务产生的信用风险，本集团在银行间市场和交易所市场进行的交易均</w:t>
      </w:r>
      <w:r>
        <w:rPr>
          <w:rFonts w:ascii="黑体" w:hAnsi="黑体" w:eastAsia="黑体"/>
          <w:b w:val="0"/>
          <w:i w:val="0"/>
          <w:color w:val="000000"/>
          <w:sz w:val="22"/>
        </w:rPr>
        <w:t>与中央债券登记结算有限公司、上海清算所以及中国证券登记结算有限责任公司完成</w:t>
      </w:r>
      <w:r>
        <w:rPr>
          <w:rFonts w:ascii="黑体" w:hAnsi="黑体" w:eastAsia="黑体"/>
          <w:b w:val="0"/>
          <w:i w:val="0"/>
          <w:color w:val="000000"/>
          <w:sz w:val="22"/>
        </w:rPr>
        <w:t>证券结算交收和款项清算，因此违约风险发生的可能性极小；在进行市场交易前均对</w:t>
      </w:r>
      <w:r>
        <w:rPr>
          <w:rFonts w:ascii="黑体" w:hAnsi="黑体" w:eastAsia="黑体"/>
          <w:b w:val="0"/>
          <w:i w:val="0"/>
          <w:color w:val="000000"/>
          <w:sz w:val="22"/>
        </w:rPr>
        <w:t>交易对手进行信用评估，并选择信用等级良好的对手方进行交易，以控制相应的信用</w:t>
      </w:r>
      <w:r>
        <w:rPr>
          <w:rFonts w:ascii="黑体" w:hAnsi="黑体" w:eastAsia="黑体"/>
          <w:b w:val="0"/>
          <w:i w:val="0"/>
          <w:color w:val="000000"/>
          <w:sz w:val="22"/>
        </w:rPr>
        <w:t>风险。本集团建立了完善的信用风险管理流程，通过对投资品种信用等级评估来控制</w:t>
      </w:r>
      <w:r>
        <w:rPr>
          <w:rFonts w:ascii="黑体" w:hAnsi="黑体" w:eastAsia="黑体"/>
          <w:b w:val="0"/>
          <w:i w:val="0"/>
          <w:color w:val="000000"/>
          <w:sz w:val="22"/>
        </w:rPr>
        <w:t>证券发行人的信用风险，且通过分散化投资等策略以分散信用风险。本集团债券投资</w:t>
      </w:r>
      <w:r>
        <w:rPr>
          <w:rFonts w:ascii="黑体" w:hAnsi="黑体" w:eastAsia="黑体"/>
          <w:b w:val="0"/>
          <w:i w:val="0"/>
          <w:color w:val="000000"/>
          <w:sz w:val="22"/>
        </w:rPr>
        <w:t>的信用评级情况按《中国人民银行信用评级管理指导意见》设定的标准统计及汇总。</w:t>
      </w:r>
    </w:p>
    <w:p>
      <w:pPr>
        <w:autoSpaceDN w:val="0"/>
        <w:autoSpaceDE w:val="0"/>
        <w:widowControl/>
        <w:spacing w:line="286" w:lineRule="exact" w:before="268" w:after="246"/>
        <w:ind w:left="358" w:right="288" w:firstLine="0"/>
        <w:jc w:val="left"/>
      </w:pPr>
      <w:r>
        <w:rPr>
          <w:rFonts w:ascii="黑体" w:hAnsi="黑体" w:eastAsia="黑体"/>
          <w:b w:val="0"/>
          <w:i w:val="0"/>
          <w:color w:val="000000"/>
          <w:sz w:val="22"/>
        </w:rPr>
        <w:t>下表列示了于资产负债表日本集团债券投资的信用评级情况。其中，未评级的债券投</w:t>
      </w:r>
      <w:r>
        <w:rPr>
          <w:rFonts w:ascii="黑体" w:hAnsi="黑体" w:eastAsia="黑体"/>
          <w:b w:val="0"/>
          <w:i w:val="0"/>
          <w:color w:val="000000"/>
          <w:sz w:val="22"/>
        </w:rPr>
        <w:t>资主要包括国债和地方政府债等。</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30"/>
        </w:trPr>
        <w:tc>
          <w:tcPr>
            <w:tcW w:type="dxa" w:w="4564"/>
            <w:vMerge w:val="restart"/>
            <w:tcBorders/>
            <w:tcMar>
              <w:start w:w="0" w:type="dxa"/>
              <w:end w:w="0" w:type="dxa"/>
            </w:tcMar>
            <w:tcMar>
              <w:start w:w="0" w:type="dxa"/>
              <w:end w:w="0" w:type="dxa"/>
            </w:tcMar>
          </w:tcPr>
          <w:p>
            <w:pPr>
              <w:autoSpaceDN w:val="0"/>
              <w:autoSpaceDE w:val="0"/>
              <w:widowControl/>
              <w:spacing w:line="233" w:lineRule="auto" w:before="584" w:after="0"/>
              <w:ind w:left="198" w:right="0" w:firstLine="0"/>
              <w:jc w:val="left"/>
            </w:pPr>
            <w:r>
              <w:rPr>
                <w:rFonts w:ascii="Arial" w:hAnsi="Arial" w:eastAsia="Arial"/>
                <w:b w:val="0"/>
                <w:i w:val="0"/>
                <w:color w:val="000000"/>
                <w:sz w:val="22"/>
              </w:rPr>
              <w:t xml:space="preserve">AAA </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3006"/>
            <w:vMerge/>
            <w:tcBorders/>
          </w:tcPr>
          <w:p/>
        </w:tc>
        <w:tc>
          <w:tcPr>
            <w:tcW w:type="dxa" w:w="1870"/>
            <w:tcBorders/>
            <w:tcMar>
              <w:start w:w="0" w:type="dxa"/>
              <w:end w:w="0" w:type="dxa"/>
            </w:tcMar>
          </w:tcPr>
          <w:p>
            <w:pPr>
              <w:autoSpaceDN w:val="0"/>
              <w:autoSpaceDE w:val="0"/>
              <w:widowControl/>
              <w:spacing w:line="233" w:lineRule="auto" w:before="154" w:after="0"/>
              <w:ind w:left="466" w:right="0" w:firstLine="0"/>
              <w:jc w:val="left"/>
            </w:pPr>
            <w:r>
              <w:rPr>
                <w:rFonts w:ascii="Arial" w:hAnsi="Arial" w:eastAsia="Arial"/>
                <w:b w:val="0"/>
                <w:i w:val="0"/>
                <w:color w:val="000000"/>
                <w:sz w:val="22"/>
              </w:rPr>
              <w:t>4,799,706,537</w:t>
            </w:r>
          </w:p>
        </w:tc>
        <w:tc>
          <w:tcPr>
            <w:tcW w:type="dxa" w:w="2098"/>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3,797,075,449</w:t>
            </w:r>
          </w:p>
        </w:tc>
      </w:tr>
      <w:tr>
        <w:trPr>
          <w:trHeight w:hRule="exact" w:val="240"/>
        </w:trPr>
        <w:tc>
          <w:tcPr>
            <w:tcW w:type="dxa" w:w="4564"/>
            <w:tcBorders/>
            <w:tcMar>
              <w:start w:w="0" w:type="dxa"/>
              <w:end w:w="0" w:type="dxa"/>
            </w:tcMar>
          </w:tcPr>
          <w:p>
            <w:pPr>
              <w:autoSpaceDN w:val="0"/>
              <w:autoSpaceDE w:val="0"/>
              <w:widowControl/>
              <w:spacing w:line="233" w:lineRule="auto" w:before="0" w:after="0"/>
              <w:ind w:left="198" w:right="0" w:firstLine="0"/>
              <w:jc w:val="left"/>
            </w:pPr>
            <w:r>
              <w:rPr>
                <w:rFonts w:ascii="Arial" w:hAnsi="Arial" w:eastAsia="Arial"/>
                <w:b w:val="0"/>
                <w:i w:val="0"/>
                <w:color w:val="000000"/>
                <w:sz w:val="22"/>
              </w:rPr>
              <w:t xml:space="preserve">AA+ </w:t>
            </w:r>
          </w:p>
        </w:tc>
        <w:tc>
          <w:tcPr>
            <w:tcW w:type="dxa" w:w="1870"/>
            <w:tcBorders/>
            <w:tcMar>
              <w:start w:w="0" w:type="dxa"/>
              <w:end w:w="0" w:type="dxa"/>
            </w:tcMar>
          </w:tcPr>
          <w:p>
            <w:pPr>
              <w:autoSpaceDN w:val="0"/>
              <w:autoSpaceDE w:val="0"/>
              <w:widowControl/>
              <w:spacing w:line="233" w:lineRule="auto" w:before="0" w:after="0"/>
              <w:ind w:left="466" w:right="0" w:firstLine="0"/>
              <w:jc w:val="left"/>
            </w:pPr>
            <w:r>
              <w:rPr>
                <w:rFonts w:ascii="Arial" w:hAnsi="Arial" w:eastAsia="Arial"/>
                <w:b w:val="0"/>
                <w:i w:val="0"/>
                <w:color w:val="000000"/>
                <w:sz w:val="22"/>
              </w:rPr>
              <w:t>2,390,372,020</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2,733,862,487</w:t>
            </w:r>
          </w:p>
        </w:tc>
      </w:tr>
      <w:tr>
        <w:trPr>
          <w:trHeight w:hRule="exact" w:val="260"/>
        </w:trPr>
        <w:tc>
          <w:tcPr>
            <w:tcW w:type="dxa" w:w="4564"/>
            <w:tcBorders/>
            <w:tcMar>
              <w:start w:w="0" w:type="dxa"/>
              <w:end w:w="0" w:type="dxa"/>
            </w:tcMar>
          </w:tcPr>
          <w:p>
            <w:pPr>
              <w:autoSpaceDN w:val="0"/>
              <w:autoSpaceDE w:val="0"/>
              <w:widowControl/>
              <w:spacing w:line="233" w:lineRule="auto" w:before="14" w:after="0"/>
              <w:ind w:left="198" w:right="0" w:firstLine="0"/>
              <w:jc w:val="left"/>
            </w:pPr>
            <w:r>
              <w:rPr>
                <w:rFonts w:ascii="Arial" w:hAnsi="Arial" w:eastAsia="Arial"/>
                <w:b w:val="0"/>
                <w:i w:val="0"/>
                <w:color w:val="000000"/>
                <w:sz w:val="22"/>
              </w:rPr>
              <w:t xml:space="preserve">AA </w:t>
            </w:r>
          </w:p>
        </w:tc>
        <w:tc>
          <w:tcPr>
            <w:tcW w:type="dxa" w:w="1870"/>
            <w:tcBorders/>
            <w:tcMar>
              <w:start w:w="0" w:type="dxa"/>
              <w:end w:w="0" w:type="dxa"/>
            </w:tcMar>
          </w:tcPr>
          <w:p>
            <w:pPr>
              <w:autoSpaceDN w:val="0"/>
              <w:autoSpaceDE w:val="0"/>
              <w:widowControl/>
              <w:spacing w:line="233" w:lineRule="auto" w:before="14" w:after="0"/>
              <w:ind w:left="466" w:right="0" w:firstLine="0"/>
              <w:jc w:val="left"/>
            </w:pPr>
            <w:r>
              <w:rPr>
                <w:rFonts w:ascii="Arial" w:hAnsi="Arial" w:eastAsia="Arial"/>
                <w:b w:val="0"/>
                <w:i w:val="0"/>
                <w:color w:val="000000"/>
                <w:sz w:val="22"/>
              </w:rPr>
              <w:t>2,188,017,523</w:t>
            </w:r>
          </w:p>
        </w:tc>
        <w:tc>
          <w:tcPr>
            <w:tcW w:type="dxa" w:w="209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22"/>
              </w:rPr>
              <w:t>2,629,100,458</w:t>
            </w:r>
          </w:p>
        </w:tc>
      </w:tr>
      <w:tr>
        <w:trPr>
          <w:trHeight w:hRule="exact" w:val="260"/>
        </w:trPr>
        <w:tc>
          <w:tcPr>
            <w:tcW w:type="dxa" w:w="4564"/>
            <w:tcBorders/>
            <w:tcMar>
              <w:start w:w="0" w:type="dxa"/>
              <w:end w:w="0" w:type="dxa"/>
            </w:tcMar>
          </w:tcPr>
          <w:p>
            <w:pPr>
              <w:autoSpaceDN w:val="0"/>
              <w:autoSpaceDE w:val="0"/>
              <w:widowControl/>
              <w:spacing w:line="233" w:lineRule="auto" w:before="14" w:after="0"/>
              <w:ind w:left="198" w:right="0" w:firstLine="0"/>
              <w:jc w:val="left"/>
            </w:pPr>
            <w:r>
              <w:rPr>
                <w:rFonts w:ascii="Arial" w:hAnsi="Arial" w:eastAsia="Arial"/>
                <w:b w:val="0"/>
                <w:i w:val="0"/>
                <w:color w:val="000000"/>
                <w:sz w:val="22"/>
              </w:rPr>
              <w:t xml:space="preserve">AA- </w:t>
            </w:r>
          </w:p>
        </w:tc>
        <w:tc>
          <w:tcPr>
            <w:tcW w:type="dxa" w:w="187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22"/>
              </w:rPr>
              <w:t>112,723,937</w:t>
            </w:r>
          </w:p>
        </w:tc>
        <w:tc>
          <w:tcPr>
            <w:tcW w:type="dxa" w:w="209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22"/>
              </w:rPr>
              <w:t>154,626,776</w:t>
            </w:r>
          </w:p>
        </w:tc>
      </w:tr>
      <w:tr>
        <w:trPr>
          <w:trHeight w:hRule="exact" w:val="240"/>
        </w:trPr>
        <w:tc>
          <w:tcPr>
            <w:tcW w:type="dxa" w:w="4564"/>
            <w:tcBorders/>
            <w:tcMar>
              <w:start w:w="0" w:type="dxa"/>
              <w:end w:w="0" w:type="dxa"/>
            </w:tcMar>
          </w:tcPr>
          <w:p>
            <w:pPr>
              <w:autoSpaceDN w:val="0"/>
              <w:autoSpaceDE w:val="0"/>
              <w:widowControl/>
              <w:spacing w:line="233" w:lineRule="auto" w:before="0" w:after="0"/>
              <w:ind w:left="198" w:right="0" w:firstLine="0"/>
              <w:jc w:val="left"/>
            </w:pPr>
            <w:r>
              <w:rPr>
                <w:rFonts w:ascii="Arial" w:hAnsi="Arial" w:eastAsia="Arial"/>
                <w:b w:val="0"/>
                <w:i w:val="0"/>
                <w:color w:val="000000"/>
                <w:sz w:val="22"/>
              </w:rPr>
              <w:t xml:space="preserve">A+ </w:t>
            </w: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8,433,159</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8,868,547</w:t>
            </w:r>
          </w:p>
        </w:tc>
      </w:tr>
      <w:tr>
        <w:trPr>
          <w:trHeight w:hRule="exact" w:val="260"/>
        </w:trPr>
        <w:tc>
          <w:tcPr>
            <w:tcW w:type="dxa" w:w="4564"/>
            <w:tcBorders/>
            <w:tcMar>
              <w:start w:w="0" w:type="dxa"/>
              <w:end w:w="0" w:type="dxa"/>
            </w:tcMar>
          </w:tcPr>
          <w:p>
            <w:pPr>
              <w:autoSpaceDN w:val="0"/>
              <w:autoSpaceDE w:val="0"/>
              <w:widowControl/>
              <w:spacing w:line="233" w:lineRule="auto" w:before="14" w:after="0"/>
              <w:ind w:left="198" w:right="0" w:firstLine="0"/>
              <w:jc w:val="left"/>
            </w:pPr>
            <w:r>
              <w:rPr>
                <w:rFonts w:ascii="Arial" w:hAnsi="Arial" w:eastAsia="Arial"/>
                <w:b w:val="0"/>
                <w:i w:val="0"/>
                <w:color w:val="000000"/>
                <w:sz w:val="22"/>
              </w:rPr>
              <w:t xml:space="preserve">A </w:t>
            </w:r>
          </w:p>
        </w:tc>
        <w:tc>
          <w:tcPr>
            <w:tcW w:type="dxa" w:w="187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22"/>
              </w:rPr>
              <w:t>1,181,330</w:t>
            </w:r>
          </w:p>
        </w:tc>
        <w:tc>
          <w:tcPr>
            <w:tcW w:type="dxa" w:w="209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22"/>
              </w:rPr>
              <w:t>5,211,671</w:t>
            </w:r>
          </w:p>
        </w:tc>
      </w:tr>
      <w:tr>
        <w:trPr>
          <w:trHeight w:hRule="exact" w:val="260"/>
        </w:trPr>
        <w:tc>
          <w:tcPr>
            <w:tcW w:type="dxa" w:w="4564"/>
            <w:tcBorders/>
            <w:tcMar>
              <w:start w:w="0" w:type="dxa"/>
              <w:end w:w="0" w:type="dxa"/>
            </w:tcMar>
          </w:tcPr>
          <w:p>
            <w:pPr>
              <w:autoSpaceDN w:val="0"/>
              <w:autoSpaceDE w:val="0"/>
              <w:widowControl/>
              <w:spacing w:line="233" w:lineRule="auto" w:before="12" w:after="0"/>
              <w:ind w:left="198" w:right="0" w:firstLine="0"/>
              <w:jc w:val="left"/>
            </w:pPr>
            <w:r>
              <w:rPr>
                <w:rFonts w:ascii="Arial" w:hAnsi="Arial" w:eastAsia="Arial"/>
                <w:b w:val="0"/>
                <w:i w:val="0"/>
                <w:color w:val="000000"/>
                <w:sz w:val="22"/>
              </w:rPr>
              <w:t xml:space="preserve">BBB </w:t>
            </w:r>
          </w:p>
        </w:tc>
        <w:tc>
          <w:tcPr>
            <w:tcW w:type="dxa" w:w="1870"/>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22"/>
              </w:rPr>
              <w:t>42,633,108</w:t>
            </w:r>
          </w:p>
        </w:tc>
        <w:tc>
          <w:tcPr>
            <w:tcW w:type="dxa" w:w="2098"/>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22"/>
              </w:rPr>
              <w:t>-</w:t>
            </w:r>
          </w:p>
        </w:tc>
      </w:tr>
      <w:tr>
        <w:trPr>
          <w:trHeight w:hRule="exact" w:val="260"/>
        </w:trPr>
        <w:tc>
          <w:tcPr>
            <w:tcW w:type="dxa" w:w="4564"/>
            <w:tcBorders/>
            <w:tcMar>
              <w:start w:w="0" w:type="dxa"/>
              <w:end w:w="0" w:type="dxa"/>
            </w:tcMar>
          </w:tcPr>
          <w:p>
            <w:pPr>
              <w:autoSpaceDN w:val="0"/>
              <w:autoSpaceDE w:val="0"/>
              <w:widowControl/>
              <w:spacing w:line="233" w:lineRule="auto" w:before="8" w:after="0"/>
              <w:ind w:left="198" w:right="0" w:firstLine="0"/>
              <w:jc w:val="left"/>
            </w:pPr>
            <w:r>
              <w:rPr>
                <w:rFonts w:ascii="Arial" w:hAnsi="Arial" w:eastAsia="Arial"/>
                <w:b w:val="0"/>
                <w:i w:val="0"/>
                <w:color w:val="000000"/>
                <w:sz w:val="22"/>
              </w:rPr>
              <w:t xml:space="preserve">C </w:t>
            </w:r>
          </w:p>
        </w:tc>
        <w:tc>
          <w:tcPr>
            <w:tcW w:type="dxa" w:w="1870"/>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2"/>
              </w:rPr>
              <w:t>28,676,086</w:t>
            </w:r>
          </w:p>
        </w:tc>
        <w:tc>
          <w:tcPr>
            <w:tcW w:type="dxa" w:w="209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22"/>
              </w:rPr>
              <w:t>40,355,032</w:t>
            </w:r>
          </w:p>
        </w:tc>
      </w:tr>
      <w:tr>
        <w:trPr>
          <w:trHeight w:hRule="exact" w:val="284"/>
        </w:trPr>
        <w:tc>
          <w:tcPr>
            <w:tcW w:type="dxa" w:w="4564"/>
            <w:tcBorders>
              <w:bottom w:sz="4.0" w:val="single" w:color="#000000"/>
            </w:tcBorders>
            <w:tcMar>
              <w:start w:w="0" w:type="dxa"/>
              <w:end w:w="0" w:type="dxa"/>
            </w:tcMar>
          </w:tcPr>
          <w:p>
            <w:pPr>
              <w:autoSpaceDN w:val="0"/>
              <w:autoSpaceDE w:val="0"/>
              <w:widowControl/>
              <w:spacing w:line="220" w:lineRule="exact" w:before="24" w:after="0"/>
              <w:ind w:left="198" w:right="0" w:firstLine="0"/>
              <w:jc w:val="left"/>
            </w:pPr>
            <w:r>
              <w:rPr>
                <w:rFonts w:ascii="黑体" w:hAnsi="黑体" w:eastAsia="黑体"/>
                <w:b w:val="0"/>
                <w:i w:val="0"/>
                <w:color w:val="000000"/>
                <w:sz w:val="22"/>
              </w:rPr>
              <w:t>未评级</w:t>
            </w:r>
          </w:p>
        </w:tc>
        <w:tc>
          <w:tcPr>
            <w:tcW w:type="dxa" w:w="1870"/>
            <w:tcBorders>
              <w:bottom w:sz="4.0" w:val="single" w:color="#000000"/>
            </w:tcBorders>
            <w:tcMar>
              <w:start w:w="0" w:type="dxa"/>
              <w:end w:w="0" w:type="dxa"/>
            </w:tcMar>
          </w:tcPr>
          <w:p>
            <w:pPr>
              <w:autoSpaceDN w:val="0"/>
              <w:autoSpaceDE w:val="0"/>
              <w:widowControl/>
              <w:spacing w:line="233" w:lineRule="auto" w:before="30" w:after="0"/>
              <w:ind w:left="344" w:right="0" w:firstLine="0"/>
              <w:jc w:val="left"/>
            </w:pPr>
            <w:r>
              <w:rPr>
                <w:rFonts w:ascii="Arial" w:hAnsi="Arial" w:eastAsia="Arial"/>
                <w:b w:val="0"/>
                <w:i w:val="0"/>
                <w:color w:val="000000"/>
                <w:sz w:val="22"/>
              </w:rPr>
              <w:t>17,456,049,864</w:t>
            </w:r>
          </w:p>
        </w:tc>
        <w:tc>
          <w:tcPr>
            <w:tcW w:type="dxa" w:w="2098"/>
            <w:tcBorders>
              <w:bottom w:sz="4.0" w:val="single" w:color="#000000"/>
            </w:tcBorders>
            <w:tcMar>
              <w:start w:w="0" w:type="dxa"/>
              <w:end w:w="0" w:type="dxa"/>
            </w:tcMar>
          </w:tcPr>
          <w:p>
            <w:pPr>
              <w:autoSpaceDN w:val="0"/>
              <w:autoSpaceDE w:val="0"/>
              <w:widowControl/>
              <w:spacing w:line="233" w:lineRule="auto" w:before="30" w:after="0"/>
              <w:ind w:left="0" w:right="0" w:firstLine="0"/>
              <w:jc w:val="right"/>
            </w:pPr>
            <w:r>
              <w:rPr>
                <w:rFonts w:ascii="Arial" w:hAnsi="Arial" w:eastAsia="Arial"/>
                <w:b w:val="0"/>
                <w:i w:val="0"/>
                <w:color w:val="000000"/>
                <w:sz w:val="22"/>
              </w:rPr>
              <w:t>15,420,812,903</w:t>
            </w:r>
          </w:p>
        </w:tc>
      </w:tr>
      <w:tr>
        <w:trPr>
          <w:trHeight w:hRule="exact" w:val="552"/>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344" w:right="0" w:firstLine="0"/>
              <w:jc w:val="left"/>
            </w:pPr>
            <w:r>
              <w:rPr>
                <w:rFonts w:ascii="Arial" w:hAnsi="Arial" w:eastAsia="Arial"/>
                <w:b w:val="0"/>
                <w:i w:val="0"/>
                <w:color w:val="000000"/>
                <w:sz w:val="22"/>
              </w:rPr>
              <w:t>27,027,793,564</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24,789,913,323</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4652" w:after="0"/>
        <w:ind w:left="0" w:right="0" w:firstLine="0"/>
        <w:jc w:val="center"/>
      </w:pPr>
      <w:r>
        <w:rPr>
          <w:rFonts w:ascii="Arial" w:hAnsi="Arial" w:eastAsia="Arial"/>
          <w:b w:val="0"/>
          <w:i w:val="0"/>
          <w:color w:val="000000"/>
          <w:sz w:val="20"/>
        </w:rPr>
        <w:t xml:space="preserve">280 </w:t>
      </w:r>
    </w:p>
    <w:p>
      <w:pPr>
        <w:sectPr>
          <w:pgSz w:w="11899" w:h="16841"/>
          <w:pgMar w:top="988" w:right="1440" w:bottom="360" w:left="1440" w:header="720" w:footer="720" w:gutter="0"/>
          <w:cols/>
          <w:docGrid w:linePitch="360"/>
        </w:sectPr>
      </w:pPr>
    </w:p>
    <w:p>
      <w:pPr>
        <w:autoSpaceDN w:val="0"/>
        <w:autoSpaceDE w:val="0"/>
        <w:widowControl/>
        <w:spacing w:line="220" w:lineRule="exact" w:before="0" w:after="642"/>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十一、与金融工具相关的风险（续）</w:t>
      </w:r>
    </w:p>
    <w:p>
      <w:pPr>
        <w:autoSpaceDN w:val="0"/>
        <w:tabs>
          <w:tab w:pos="1016" w:val="left"/>
        </w:tabs>
        <w:autoSpaceDE w:val="0"/>
        <w:widowControl/>
        <w:spacing w:line="248" w:lineRule="exact" w:before="308"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信用风险（续）</w:t>
      </w:r>
    </w:p>
    <w:p>
      <w:pPr>
        <w:autoSpaceDN w:val="0"/>
        <w:autoSpaceDE w:val="0"/>
        <w:widowControl/>
        <w:spacing w:line="286" w:lineRule="exact" w:before="236" w:after="246"/>
        <w:ind w:left="358" w:right="144" w:firstLine="0"/>
        <w:jc w:val="left"/>
      </w:pPr>
      <w:r>
        <w:rPr>
          <w:rFonts w:ascii="黑体" w:hAnsi="黑体" w:eastAsia="黑体"/>
          <w:b w:val="0"/>
          <w:i w:val="0"/>
          <w:color w:val="000000"/>
          <w:sz w:val="22"/>
        </w:rPr>
        <w:t>在不考虑担保物或其他信用增级措施的情况下，于资产负债表日最大信用风险敞口是指</w:t>
      </w:r>
      <w:r>
        <w:rPr>
          <w:rFonts w:ascii="黑体" w:hAnsi="黑体" w:eastAsia="黑体"/>
          <w:b w:val="0"/>
          <w:i w:val="0"/>
          <w:color w:val="000000"/>
          <w:sz w:val="22"/>
        </w:rPr>
        <w:t>金融资产的账面价值。本集团最大信用风险敞口金额列示如下：</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4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货币资金</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4510"/>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8" w:after="0"/>
              <w:ind w:left="344" w:right="0" w:firstLine="0"/>
              <w:jc w:val="left"/>
            </w:pPr>
            <w:r>
              <w:rPr>
                <w:rFonts w:ascii="Arial" w:hAnsi="Arial" w:eastAsia="Arial"/>
                <w:b w:val="0"/>
                <w:i w:val="0"/>
                <w:color w:val="000000"/>
                <w:sz w:val="22"/>
              </w:rPr>
              <w:t>25,401,187,834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22,219,704,728</w:t>
            </w:r>
          </w:p>
        </w:tc>
      </w:tr>
      <w:tr>
        <w:trPr>
          <w:trHeight w:hRule="exact" w:val="5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结算备付金</w:t>
            </w:r>
          </w:p>
        </w:tc>
        <w:tc>
          <w:tcPr>
            <w:tcW w:type="dxa" w:w="2255"/>
            <w:vMerge/>
            <w:tcBorders/>
          </w:tcPr>
          <w:p/>
        </w:tc>
        <w:tc>
          <w:tcPr>
            <w:tcW w:type="dxa" w:w="2255"/>
            <w:vMerge/>
            <w:tcBorders/>
          </w:tcPr>
          <w:p/>
        </w:tc>
      </w:tr>
      <w:tr>
        <w:trPr>
          <w:trHeight w:hRule="exact" w:val="246"/>
        </w:trPr>
        <w:tc>
          <w:tcPr>
            <w:tcW w:type="dxa" w:w="4510"/>
            <w:gridSpan w:val="2"/>
            <w:vMerge/>
            <w:tcBorders/>
          </w:tcPr>
          <w:p/>
        </w:tc>
        <w:tc>
          <w:tcPr>
            <w:tcW w:type="dxa" w:w="1870"/>
            <w:tcBorders/>
            <w:tcMar>
              <w:start w:w="0" w:type="dxa"/>
              <w:end w:w="0" w:type="dxa"/>
            </w:tcMar>
          </w:tcPr>
          <w:p>
            <w:pPr>
              <w:autoSpaceDN w:val="0"/>
              <w:autoSpaceDE w:val="0"/>
              <w:widowControl/>
              <w:spacing w:line="233" w:lineRule="auto" w:before="0" w:after="0"/>
              <w:ind w:left="466" w:right="0" w:firstLine="0"/>
              <w:jc w:val="left"/>
            </w:pPr>
            <w:r>
              <w:rPr>
                <w:rFonts w:ascii="Arial" w:hAnsi="Arial" w:eastAsia="Arial"/>
                <w:b w:val="0"/>
                <w:i w:val="0"/>
                <w:color w:val="000000"/>
                <w:sz w:val="22"/>
              </w:rPr>
              <w:t>4,020,926,094</w:t>
            </w:r>
          </w:p>
        </w:tc>
        <w:tc>
          <w:tcPr>
            <w:tcW w:type="dxa" w:w="209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2,635,063,238</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融出资金</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466" w:right="0" w:firstLine="0"/>
              <w:jc w:val="left"/>
            </w:pPr>
            <w:r>
              <w:rPr>
                <w:rFonts w:ascii="Arial" w:hAnsi="Arial" w:eastAsia="Arial"/>
                <w:b w:val="0"/>
                <w:i w:val="0"/>
                <w:color w:val="000000"/>
                <w:sz w:val="22"/>
              </w:rPr>
              <w:t>7,329,486,640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6,764,360,676</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买入返售金融资产</w:t>
            </w:r>
          </w:p>
        </w:tc>
        <w:tc>
          <w:tcPr>
            <w:tcW w:type="dxa" w:w="2255"/>
            <w:vMerge/>
            <w:tcBorders/>
          </w:tcPr>
          <w:p/>
        </w:tc>
        <w:tc>
          <w:tcPr>
            <w:tcW w:type="dxa" w:w="2255"/>
            <w:vMerge/>
            <w:tcBorders/>
          </w:tcPr>
          <w:p/>
        </w:tc>
      </w:tr>
      <w:tr>
        <w:trPr>
          <w:trHeight w:hRule="exact" w:val="234"/>
        </w:trPr>
        <w:tc>
          <w:tcPr>
            <w:tcW w:type="dxa" w:w="4510"/>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1,977,533,836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1,916,241,389</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应收款项</w:t>
            </w:r>
          </w:p>
        </w:tc>
        <w:tc>
          <w:tcPr>
            <w:tcW w:type="dxa" w:w="2255"/>
            <w:vMerge/>
            <w:tcBorders/>
          </w:tcPr>
          <w:p/>
        </w:tc>
        <w:tc>
          <w:tcPr>
            <w:tcW w:type="dxa" w:w="2255"/>
            <w:vMerge/>
            <w:tcBorders/>
          </w:tcPr>
          <w:p/>
        </w:tc>
      </w:tr>
      <w:tr>
        <w:trPr>
          <w:trHeight w:hRule="exact" w:val="248"/>
        </w:trPr>
        <w:tc>
          <w:tcPr>
            <w:tcW w:type="dxa" w:w="4510"/>
            <w:gridSpan w:val="2"/>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140,679,526</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120,309,332</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存出保证金</w:t>
            </w:r>
          </w:p>
        </w:tc>
        <w:tc>
          <w:tcPr>
            <w:tcW w:type="dxa" w:w="1870"/>
            <w:tcBorders/>
            <w:tcMar>
              <w:start w:w="0" w:type="dxa"/>
              <w:end w:w="0" w:type="dxa"/>
            </w:tcMar>
          </w:tcPr>
          <w:p>
            <w:pPr>
              <w:autoSpaceDN w:val="0"/>
              <w:autoSpaceDE w:val="0"/>
              <w:widowControl/>
              <w:spacing w:line="233" w:lineRule="auto" w:before="34" w:after="0"/>
              <w:ind w:left="466" w:right="0" w:firstLine="0"/>
              <w:jc w:val="left"/>
            </w:pPr>
            <w:r>
              <w:rPr>
                <w:rFonts w:ascii="Arial" w:hAnsi="Arial" w:eastAsia="Arial"/>
                <w:b w:val="0"/>
                <w:i w:val="0"/>
                <w:color w:val="000000"/>
                <w:sz w:val="22"/>
              </w:rPr>
              <w:t>3,063,399,796</w:t>
            </w:r>
          </w:p>
        </w:tc>
        <w:tc>
          <w:tcPr>
            <w:tcW w:type="dxa" w:w="2098"/>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4,229,434,331</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交易性金融资产</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344" w:right="0" w:firstLine="0"/>
              <w:jc w:val="left"/>
            </w:pPr>
            <w:r>
              <w:rPr>
                <w:rFonts w:ascii="Arial" w:hAnsi="Arial" w:eastAsia="Arial"/>
                <w:b w:val="0"/>
                <w:i w:val="0"/>
                <w:color w:val="000000"/>
                <w:sz w:val="22"/>
              </w:rPr>
              <w:t>28,625,766,380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26,024,925,811</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债权投资</w:t>
            </w:r>
          </w:p>
        </w:tc>
        <w:tc>
          <w:tcPr>
            <w:tcW w:type="dxa" w:w="2255"/>
            <w:vMerge/>
            <w:tcBorders/>
          </w:tcPr>
          <w:p/>
        </w:tc>
        <w:tc>
          <w:tcPr>
            <w:tcW w:type="dxa" w:w="2255"/>
            <w:vMerge/>
            <w:tcBorders/>
          </w:tcPr>
          <w:p/>
        </w:tc>
      </w:tr>
      <w:tr>
        <w:trPr>
          <w:trHeight w:hRule="exact" w:val="234"/>
        </w:trPr>
        <w:tc>
          <w:tcPr>
            <w:tcW w:type="dxa" w:w="4510"/>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27,426,901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29,141,162</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其他债权投资</w:t>
            </w:r>
          </w:p>
        </w:tc>
        <w:tc>
          <w:tcPr>
            <w:tcW w:type="dxa" w:w="2255"/>
            <w:vMerge/>
            <w:tcBorders/>
          </w:tcPr>
          <w:p/>
        </w:tc>
        <w:tc>
          <w:tcPr>
            <w:tcW w:type="dxa" w:w="2255"/>
            <w:vMerge/>
            <w:tcBorders/>
          </w:tcPr>
          <w:p/>
        </w:tc>
      </w:tr>
      <w:tr>
        <w:trPr>
          <w:trHeight w:hRule="exact" w:val="248"/>
        </w:trPr>
        <w:tc>
          <w:tcPr>
            <w:tcW w:type="dxa" w:w="4510"/>
            <w:gridSpan w:val="2"/>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57,443,663</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89,867,451</w:t>
            </w:r>
          </w:p>
        </w:tc>
      </w:tr>
      <w:tr>
        <w:trPr>
          <w:trHeight w:hRule="exact" w:val="308"/>
        </w:trPr>
        <w:tc>
          <w:tcPr>
            <w:tcW w:type="dxa" w:w="4564"/>
            <w:gridSpan w:val="2"/>
            <w:tcBorders>
              <w:bottom w:sz="4.0" w:val="single" w:color="#000000"/>
            </w:tcBorders>
            <w:tcMar>
              <w:start w:w="0" w:type="dxa"/>
              <w:end w:w="0" w:type="dxa"/>
            </w:tcMar>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其他金融资产</w:t>
            </w:r>
          </w:p>
        </w:tc>
        <w:tc>
          <w:tcPr>
            <w:tcW w:type="dxa" w:w="1870"/>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224,356,330</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170,975,630</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6" w:after="0"/>
              <w:ind w:left="198" w:right="0" w:firstLine="0"/>
              <w:jc w:val="left"/>
            </w:pPr>
            <w:r>
              <w:rPr>
                <w:rFonts w:ascii="黑体" w:hAnsi="黑体" w:eastAsia="黑体"/>
                <w:b w:val="0"/>
                <w:i w:val="0"/>
                <w:color w:val="000000"/>
                <w:sz w:val="22"/>
              </w:rPr>
              <w:t>最大信用风险敞口合计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2" w:after="0"/>
              <w:ind w:left="344" w:right="0" w:firstLine="0"/>
              <w:jc w:val="left"/>
            </w:pPr>
            <w:r>
              <w:rPr>
                <w:rFonts w:ascii="Arial" w:hAnsi="Arial" w:eastAsia="Arial"/>
                <w:b w:val="0"/>
                <w:i w:val="0"/>
                <w:color w:val="000000"/>
                <w:sz w:val="22"/>
              </w:rPr>
              <w:t>70,868,207,000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0" w:firstLine="0"/>
              <w:jc w:val="right"/>
            </w:pPr>
            <w:r>
              <w:rPr>
                <w:rFonts w:ascii="Arial" w:hAnsi="Arial" w:eastAsia="Arial"/>
                <w:b w:val="0"/>
                <w:i w:val="0"/>
                <w:color w:val="000000"/>
                <w:sz w:val="22"/>
              </w:rPr>
              <w:t>64,200,023,748</w:t>
            </w:r>
          </w:p>
        </w:tc>
      </w:tr>
      <w:tr>
        <w:trPr>
          <w:trHeight w:hRule="exact" w:val="604"/>
        </w:trPr>
        <w:tc>
          <w:tcPr>
            <w:tcW w:type="dxa" w:w="660"/>
            <w:tcBorders>
              <w:top w:sz="4.0" w:val="single" w:color="#000000"/>
            </w:tcBorders>
            <w:tcMar>
              <w:start w:w="0" w:type="dxa"/>
              <w:end w:w="0" w:type="dxa"/>
            </w:tcMar>
          </w:tcPr>
          <w:p>
            <w:pPr>
              <w:autoSpaceDN w:val="0"/>
              <w:autoSpaceDE w:val="0"/>
              <w:widowControl/>
              <w:spacing w:line="246" w:lineRule="exact" w:before="294" w:after="0"/>
              <w:ind w:left="0" w:right="0" w:firstLine="0"/>
              <w:jc w:val="center"/>
            </w:pPr>
            <w:r>
              <w:rPr>
                <w:rFonts w:ascii="Arial,Bold" w:hAnsi="Arial,Bold" w:eastAsia="Arial,Bold"/>
                <w:b/>
                <w:i w:val="0"/>
                <w:color w:val="000000"/>
                <w:sz w:val="22"/>
              </w:rPr>
              <w:t xml:space="preserve">2. </w:t>
            </w:r>
          </w:p>
        </w:tc>
        <w:tc>
          <w:tcPr>
            <w:tcW w:type="dxa" w:w="3904"/>
            <w:tcBorders>
              <w:top w:sz="4.0" w:val="single" w:color="#000000"/>
            </w:tcBorders>
            <w:tcMar>
              <w:start w:w="0" w:type="dxa"/>
              <w:end w:w="0" w:type="dxa"/>
            </w:tcMar>
          </w:tcPr>
          <w:p>
            <w:pPr>
              <w:autoSpaceDN w:val="0"/>
              <w:autoSpaceDE w:val="0"/>
              <w:widowControl/>
              <w:spacing w:line="222" w:lineRule="exact" w:before="304" w:after="0"/>
              <w:ind w:left="196" w:right="0" w:firstLine="0"/>
              <w:jc w:val="left"/>
            </w:pPr>
            <w:r>
              <w:rPr>
                <w:rFonts w:ascii="黑体" w:hAnsi="黑体" w:eastAsia="黑体"/>
                <w:b w:val="0"/>
                <w:i w:val="0"/>
                <w:color w:val="000000"/>
                <w:sz w:val="22"/>
              </w:rPr>
              <w:t>流动性风险</w:t>
            </w: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6" w:lineRule="exact" w:before="178" w:after="0"/>
        <w:ind w:left="358" w:right="360" w:firstLine="0"/>
        <w:jc w:val="both"/>
      </w:pPr>
      <w:r>
        <w:rPr>
          <w:rFonts w:ascii="黑体" w:hAnsi="黑体" w:eastAsia="黑体"/>
          <w:b w:val="0"/>
          <w:i w:val="0"/>
          <w:color w:val="000000"/>
          <w:sz w:val="22"/>
        </w:rPr>
        <w:t>流动性风险，是指企业在履行以交付现金或其他金融资产的方式结算的义务时发生资</w:t>
      </w:r>
      <w:r>
        <w:rPr>
          <w:rFonts w:ascii="黑体" w:hAnsi="黑体" w:eastAsia="黑体"/>
          <w:b w:val="0"/>
          <w:i w:val="0"/>
          <w:color w:val="000000"/>
          <w:sz w:val="22"/>
        </w:rPr>
        <w:t>金短缺的风险，而流动性是指资产在不受价值损失的条件下是否具有迅速变现的能</w:t>
      </w:r>
      <w:r>
        <w:rPr>
          <w:rFonts w:ascii="黑体" w:hAnsi="黑体" w:eastAsia="黑体"/>
          <w:b w:val="0"/>
          <w:i w:val="0"/>
          <w:color w:val="000000"/>
          <w:sz w:val="22"/>
        </w:rPr>
        <w:t>力。资金的流动性影响到本集团偿还到期债务的能力。本集团建立了以流动性覆盖率</w:t>
      </w:r>
      <w:r>
        <w:rPr>
          <w:rFonts w:ascii="黑体" w:hAnsi="黑体" w:eastAsia="黑体"/>
          <w:b w:val="0"/>
          <w:i w:val="0"/>
          <w:color w:val="000000"/>
          <w:sz w:val="22"/>
        </w:rPr>
        <w:t>和净稳定资金率为核心的流动性风险指标监测体系。</w:t>
      </w:r>
    </w:p>
    <w:p>
      <w:pPr>
        <w:autoSpaceDN w:val="0"/>
        <w:autoSpaceDE w:val="0"/>
        <w:widowControl/>
        <w:spacing w:line="284" w:lineRule="exact" w:before="254" w:after="0"/>
        <w:ind w:left="358" w:right="360" w:firstLine="0"/>
        <w:jc w:val="both"/>
      </w:pPr>
      <w:r>
        <w:rPr>
          <w:rFonts w:ascii="黑体" w:hAnsi="黑体" w:eastAsia="黑体"/>
          <w:b w:val="0"/>
          <w:i w:val="0"/>
          <w:color w:val="000000"/>
          <w:sz w:val="22"/>
        </w:rPr>
        <w:t>本集团内各子公司负责其自身的现金流量预测。本公司财务部门在汇总各子公司现金</w:t>
      </w:r>
      <w:r>
        <w:rPr>
          <w:rFonts w:ascii="黑体" w:hAnsi="黑体" w:eastAsia="黑体"/>
          <w:b w:val="0"/>
          <w:i w:val="0"/>
          <w:color w:val="000000"/>
          <w:sz w:val="22"/>
        </w:rPr>
        <w:t>流量预测的基础上，在集团层面持续监控短期和长期的资金需求，以确保维持充裕的</w:t>
      </w:r>
      <w:r>
        <w:rPr>
          <w:rFonts w:ascii="黑体" w:hAnsi="黑体" w:eastAsia="黑体"/>
          <w:b w:val="0"/>
          <w:i w:val="0"/>
          <w:color w:val="000000"/>
          <w:sz w:val="22"/>
        </w:rPr>
        <w:t>现金储备和可供随时变现的有价证券，以满足日常营运以及偿付有关到期债务的资金</w:t>
      </w:r>
      <w:r>
        <w:rPr>
          <w:rFonts w:ascii="黑体" w:hAnsi="黑体" w:eastAsia="黑体"/>
          <w:b w:val="0"/>
          <w:i w:val="0"/>
          <w:color w:val="000000"/>
          <w:sz w:val="22"/>
        </w:rPr>
        <w:t>需求。</w:t>
      </w:r>
    </w:p>
    <w:p>
      <w:pPr>
        <w:autoSpaceDN w:val="0"/>
        <w:autoSpaceDE w:val="0"/>
        <w:widowControl/>
        <w:spacing w:line="233" w:lineRule="auto" w:before="5044" w:after="0"/>
        <w:ind w:left="0" w:right="0" w:firstLine="0"/>
        <w:jc w:val="center"/>
      </w:pPr>
      <w:r>
        <w:rPr>
          <w:rFonts w:ascii="Arial" w:hAnsi="Arial" w:eastAsia="Arial"/>
          <w:b w:val="0"/>
          <w:i w:val="0"/>
          <w:color w:val="000000"/>
          <w:sz w:val="20"/>
        </w:rPr>
        <w:t xml:space="preserve">281 </w:t>
      </w:r>
    </w:p>
    <w:p>
      <w:pPr>
        <w:sectPr>
          <w:pgSz w:w="11899" w:h="16841"/>
          <w:pgMar w:top="860" w:right="1440" w:bottom="360" w:left="1440" w:header="720" w:footer="720" w:gutter="0"/>
          <w:cols/>
          <w:docGrid w:linePitch="360"/>
        </w:sectPr>
      </w:pPr>
    </w:p>
    <w:p>
      <w:pPr>
        <w:autoSpaceDN w:val="0"/>
        <w:autoSpaceDE w:val="0"/>
        <w:widowControl/>
        <w:spacing w:line="220" w:lineRule="exact" w:before="0" w:after="954"/>
        <w:ind w:left="0" w:right="0"/>
      </w:pPr>
    </w:p>
    <w:p>
      <w:pPr>
        <w:autoSpaceDN w:val="0"/>
        <w:tabs>
          <w:tab w:pos="672" w:val="left"/>
          <w:tab w:pos="13058" w:val="left"/>
        </w:tabs>
        <w:autoSpaceDE w:val="0"/>
        <w:widowControl/>
        <w:spacing w:line="408" w:lineRule="exact" w:before="0" w:after="18"/>
        <w:ind w:left="0" w:right="0"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2. </w:t>
      </w:r>
      <w:r>
        <w:rPr>
          <w:rFonts w:ascii="黑体" w:hAnsi="黑体" w:eastAsia="黑体"/>
          <w:b w:val="0"/>
          <w:i w:val="0"/>
          <w:color w:val="000000"/>
          <w:sz w:val="22"/>
        </w:rPr>
        <w:t>流动性风险（续）</w:t>
      </w:r>
      <w:r>
        <w:br/>
      </w:r>
      <w:r>
        <w:rPr>
          <w:rFonts w:ascii="黑体" w:hAnsi="黑体" w:eastAsia="黑体"/>
          <w:b w:val="0"/>
          <w:i w:val="0"/>
          <w:color w:val="000000"/>
          <w:sz w:val="22"/>
        </w:rPr>
        <w:t>本集团于资产负债表日的金融负债按未折现的合同现金流量（包括按合同利率（如果是浮动利率则按资产负债表日的现行利率）计算的利息）的</w:t>
      </w:r>
      <w:r>
        <w:rPr>
          <w:rFonts w:ascii="黑体" w:hAnsi="黑体" w:eastAsia="黑体"/>
          <w:b w:val="0"/>
          <w:i w:val="0"/>
          <w:color w:val="000000"/>
          <w:sz w:val="22"/>
        </w:rPr>
        <w:t>剩余合约期限或被要求支付的最早日期分析如下：</w:t>
      </w:r>
      <w:r>
        <w:br/>
      </w:r>
      <w:r>
        <w:tab/>
      </w:r>
      <w:r>
        <w:tab/>
      </w:r>
      <w:r>
        <w:rPr>
          <w:rFonts w:ascii="黑体" w:hAnsi="黑体" w:eastAsia="黑体"/>
          <w:b w:val="0"/>
          <w:i w:val="0"/>
          <w:color w:val="000000"/>
          <w:sz w:val="15"/>
        </w:rPr>
        <w:t>资产负债表日</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184"/>
        </w:trPr>
        <w:tc>
          <w:tcPr>
            <w:tcW w:type="dxa" w:w="3922"/>
            <w:tcBorders>
              <w:bottom w:sz="2.400000000000091" w:val="single" w:color="#000000"/>
            </w:tcBorders>
            <w:tcMar>
              <w:start w:w="0" w:type="dxa"/>
              <w:end w:w="0" w:type="dxa"/>
            </w:tcMar>
          </w:tcPr>
          <w:p>
            <w:pPr>
              <w:autoSpaceDN w:val="0"/>
              <w:autoSpaceDE w:val="0"/>
              <w:widowControl/>
              <w:spacing w:line="170" w:lineRule="exact" w:before="10" w:after="0"/>
              <w:ind w:left="0" w:right="0" w:firstLine="0"/>
              <w:jc w:val="left"/>
            </w:pPr>
            <w:r>
              <w:rPr>
                <w:rFonts w:ascii="Arial" w:hAnsi="Arial" w:eastAsia="Arial"/>
                <w:b w:val="0"/>
                <w:i w:val="0"/>
                <w:color w:val="000000"/>
                <w:sz w:val="15"/>
                <w:u w:val="single"/>
              </w:rPr>
              <w:t>2024</w:t>
            </w:r>
            <w:r>
              <w:rPr>
                <w:rFonts w:ascii="黑体" w:hAnsi="黑体" w:eastAsia="黑体"/>
                <w:b w:val="0"/>
                <w:i w:val="0"/>
                <w:color w:val="000000"/>
                <w:sz w:val="15"/>
                <w:u w:val="single"/>
              </w:rPr>
              <w:t>年</w:t>
            </w:r>
            <w:r>
              <w:rPr>
                <w:rFonts w:ascii="Arial" w:hAnsi="Arial" w:eastAsia="Arial"/>
                <w:b w:val="0"/>
                <w:i w:val="0"/>
                <w:color w:val="000000"/>
                <w:sz w:val="15"/>
                <w:u w:val="single"/>
              </w:rPr>
              <w:t>12</w:t>
            </w:r>
            <w:r>
              <w:rPr>
                <w:rFonts w:ascii="黑体" w:hAnsi="黑体" w:eastAsia="黑体"/>
                <w:b w:val="0"/>
                <w:i w:val="0"/>
                <w:color w:val="000000"/>
                <w:sz w:val="15"/>
                <w:u w:val="single"/>
              </w:rPr>
              <w:t>月</w:t>
            </w:r>
            <w:r>
              <w:rPr>
                <w:rFonts w:ascii="Arial" w:hAnsi="Arial" w:eastAsia="Arial"/>
                <w:b w:val="0"/>
                <w:i w:val="0"/>
                <w:color w:val="000000"/>
                <w:sz w:val="15"/>
                <w:u w:val="single"/>
              </w:rPr>
              <w:t>31</w:t>
            </w:r>
            <w:r>
              <w:rPr>
                <w:rFonts w:ascii="黑体" w:hAnsi="黑体" w:eastAsia="黑体"/>
                <w:b w:val="0"/>
                <w:i w:val="0"/>
                <w:color w:val="000000"/>
                <w:sz w:val="15"/>
                <w:u w:val="single"/>
              </w:rPr>
              <w:t>日</w:t>
            </w:r>
          </w:p>
        </w:tc>
        <w:tc>
          <w:tcPr>
            <w:tcW w:type="dxa" w:w="600"/>
            <w:tcBorders>
              <w:bottom w:sz="2.400000000000091" w:val="single" w:color="#000000"/>
            </w:tcBorders>
            <w:tcMar>
              <w:start w:w="0" w:type="dxa"/>
              <w:end w:w="0" w:type="dxa"/>
            </w:tcMar>
          </w:tcPr>
          <w:p>
            <w:pPr>
              <w:autoSpaceDN w:val="0"/>
              <w:autoSpaceDE w:val="0"/>
              <w:widowControl/>
              <w:spacing w:line="152" w:lineRule="exact" w:before="26" w:after="0"/>
              <w:ind w:left="0" w:right="0" w:firstLine="0"/>
              <w:jc w:val="center"/>
            </w:pPr>
            <w:r>
              <w:rPr>
                <w:rFonts w:ascii="黑体" w:hAnsi="黑体" w:eastAsia="黑体"/>
                <w:b w:val="0"/>
                <w:i w:val="0"/>
                <w:color w:val="000000"/>
                <w:sz w:val="15"/>
              </w:rPr>
              <w:t>即期偿还</w:t>
            </w:r>
          </w:p>
        </w:tc>
        <w:tc>
          <w:tcPr>
            <w:tcW w:type="dxa" w:w="1718"/>
            <w:tcBorders>
              <w:bottom w:sz="2.400000000000091" w:val="single" w:color="#000000"/>
            </w:tcBorders>
            <w:tcMar>
              <w:start w:w="0" w:type="dxa"/>
              <w:end w:w="0" w:type="dxa"/>
            </w:tcMar>
          </w:tcPr>
          <w:p>
            <w:pPr>
              <w:autoSpaceDN w:val="0"/>
              <w:autoSpaceDE w:val="0"/>
              <w:widowControl/>
              <w:spacing w:line="170" w:lineRule="exact" w:before="10" w:after="0"/>
              <w:ind w:left="0" w:right="272" w:firstLine="0"/>
              <w:jc w:val="right"/>
            </w:pPr>
            <w:r>
              <w:rPr>
                <w:rFonts w:ascii="Arial" w:hAnsi="Arial" w:eastAsia="Arial"/>
                <w:b w:val="0"/>
                <w:i w:val="0"/>
                <w:color w:val="000000"/>
                <w:sz w:val="15"/>
              </w:rPr>
              <w:t>1</w:t>
            </w:r>
            <w:r>
              <w:rPr>
                <w:rFonts w:ascii="黑体" w:hAnsi="黑体" w:eastAsia="黑体"/>
                <w:b w:val="0"/>
                <w:i w:val="0"/>
                <w:color w:val="000000"/>
                <w:sz w:val="15"/>
              </w:rPr>
              <w:t>个月内</w:t>
            </w:r>
          </w:p>
        </w:tc>
        <w:tc>
          <w:tcPr>
            <w:tcW w:type="dxa" w:w="1500"/>
            <w:tcBorders>
              <w:bottom w:sz="2.400000000000091" w:val="single" w:color="#000000"/>
            </w:tcBorders>
            <w:tcMar>
              <w:start w:w="0" w:type="dxa"/>
              <w:end w:w="0" w:type="dxa"/>
            </w:tcMar>
          </w:tcPr>
          <w:p>
            <w:pPr>
              <w:autoSpaceDN w:val="0"/>
              <w:autoSpaceDE w:val="0"/>
              <w:widowControl/>
              <w:spacing w:line="170" w:lineRule="exact" w:before="10" w:after="0"/>
              <w:ind w:left="0" w:right="0" w:firstLine="0"/>
              <w:jc w:val="center"/>
            </w:pPr>
            <w:r>
              <w:rPr>
                <w:rFonts w:ascii="Arial" w:hAnsi="Arial" w:eastAsia="Arial"/>
                <w:b w:val="0"/>
                <w:i w:val="0"/>
                <w:color w:val="000000"/>
                <w:sz w:val="15"/>
                <w:u w:val="single"/>
              </w:rPr>
              <w:t>1</w:t>
            </w:r>
            <w:r>
              <w:rPr>
                <w:rFonts w:ascii="黑体" w:hAnsi="黑体" w:eastAsia="黑体"/>
                <w:b w:val="0"/>
                <w:i w:val="0"/>
                <w:color w:val="000000"/>
                <w:sz w:val="15"/>
              </w:rPr>
              <w:t>个月至</w:t>
            </w:r>
            <w:r>
              <w:rPr>
                <w:rFonts w:ascii="Arial" w:hAnsi="Arial" w:eastAsia="Arial"/>
                <w:b w:val="0"/>
                <w:i w:val="0"/>
                <w:color w:val="000000"/>
                <w:sz w:val="15"/>
                <w:u w:val="single"/>
              </w:rPr>
              <w:t>3</w:t>
            </w:r>
            <w:r>
              <w:rPr>
                <w:rFonts w:ascii="黑体" w:hAnsi="黑体" w:eastAsia="黑体"/>
                <w:b w:val="0"/>
                <w:i w:val="0"/>
                <w:color w:val="000000"/>
                <w:sz w:val="15"/>
              </w:rPr>
              <w:t>个月</w:t>
            </w:r>
          </w:p>
        </w:tc>
        <w:tc>
          <w:tcPr>
            <w:tcW w:type="dxa" w:w="1400"/>
            <w:tcBorders>
              <w:bottom w:sz="2.400000000000091" w:val="single" w:color="#000000"/>
            </w:tcBorders>
            <w:tcMar>
              <w:start w:w="0" w:type="dxa"/>
              <w:end w:w="0" w:type="dxa"/>
            </w:tcMar>
          </w:tcPr>
          <w:p>
            <w:pPr>
              <w:autoSpaceDN w:val="0"/>
              <w:autoSpaceDE w:val="0"/>
              <w:widowControl/>
              <w:spacing w:line="170" w:lineRule="exact" w:before="10" w:after="0"/>
              <w:ind w:left="0" w:right="0" w:firstLine="0"/>
              <w:jc w:val="center"/>
            </w:pPr>
            <w:r>
              <w:rPr>
                <w:rFonts w:ascii="Arial" w:hAnsi="Arial" w:eastAsia="Arial"/>
                <w:b w:val="0"/>
                <w:i w:val="0"/>
                <w:color w:val="000000"/>
                <w:sz w:val="15"/>
                <w:u w:val="single"/>
              </w:rPr>
              <w:t>3</w:t>
            </w:r>
            <w:r>
              <w:rPr>
                <w:rFonts w:ascii="黑体" w:hAnsi="黑体" w:eastAsia="黑体"/>
                <w:b w:val="0"/>
                <w:i w:val="0"/>
                <w:color w:val="000000"/>
                <w:sz w:val="15"/>
              </w:rPr>
              <w:t>个月至</w:t>
            </w:r>
            <w:r>
              <w:rPr>
                <w:rFonts w:ascii="Arial" w:hAnsi="Arial" w:eastAsia="Arial"/>
                <w:b w:val="0"/>
                <w:i w:val="0"/>
                <w:color w:val="000000"/>
                <w:sz w:val="15"/>
                <w:u w:val="single"/>
              </w:rPr>
              <w:t>1</w:t>
            </w:r>
            <w:r>
              <w:rPr>
                <w:rFonts w:ascii="黑体" w:hAnsi="黑体" w:eastAsia="黑体"/>
                <w:b w:val="0"/>
                <w:i w:val="0"/>
                <w:color w:val="000000"/>
                <w:sz w:val="15"/>
              </w:rPr>
              <w:t>年</w:t>
            </w:r>
          </w:p>
        </w:tc>
        <w:tc>
          <w:tcPr>
            <w:tcW w:type="dxa" w:w="1340"/>
            <w:tcBorders>
              <w:bottom w:sz="2.400000000000091" w:val="single" w:color="#000000"/>
            </w:tcBorders>
            <w:tcMar>
              <w:start w:w="0" w:type="dxa"/>
              <w:end w:w="0" w:type="dxa"/>
            </w:tcMar>
          </w:tcPr>
          <w:p>
            <w:pPr>
              <w:autoSpaceDN w:val="0"/>
              <w:autoSpaceDE w:val="0"/>
              <w:widowControl/>
              <w:spacing w:line="170" w:lineRule="exact" w:before="10" w:after="0"/>
              <w:ind w:left="0" w:right="0" w:firstLine="0"/>
              <w:jc w:val="center"/>
            </w:pPr>
            <w:r>
              <w:rPr>
                <w:rFonts w:ascii="Arial" w:hAnsi="Arial" w:eastAsia="Arial"/>
                <w:b w:val="0"/>
                <w:i w:val="0"/>
                <w:color w:val="000000"/>
                <w:sz w:val="15"/>
                <w:u w:val="single"/>
              </w:rPr>
              <w:t>1</w:t>
            </w:r>
            <w:r>
              <w:rPr>
                <w:rFonts w:ascii="黑体" w:hAnsi="黑体" w:eastAsia="黑体"/>
                <w:b w:val="0"/>
                <w:i w:val="0"/>
                <w:color w:val="000000"/>
                <w:sz w:val="15"/>
              </w:rPr>
              <w:t>年至</w:t>
            </w:r>
            <w:r>
              <w:rPr>
                <w:rFonts w:ascii="Arial" w:hAnsi="Arial" w:eastAsia="Arial"/>
                <w:b w:val="0"/>
                <w:i w:val="0"/>
                <w:color w:val="000000"/>
                <w:sz w:val="15"/>
                <w:u w:val="single"/>
              </w:rPr>
              <w:t>5</w:t>
            </w:r>
            <w:r>
              <w:rPr>
                <w:rFonts w:ascii="黑体" w:hAnsi="黑体" w:eastAsia="黑体"/>
                <w:b w:val="0"/>
                <w:i w:val="0"/>
                <w:color w:val="000000"/>
                <w:sz w:val="15"/>
              </w:rPr>
              <w:t>年</w:t>
            </w:r>
          </w:p>
        </w:tc>
        <w:tc>
          <w:tcPr>
            <w:tcW w:type="dxa" w:w="1974"/>
            <w:tcBorders>
              <w:bottom w:sz="2.400000000000091" w:val="single" w:color="#000000"/>
            </w:tcBorders>
            <w:tcMar>
              <w:start w:w="0" w:type="dxa"/>
              <w:end w:w="0" w:type="dxa"/>
            </w:tcMar>
          </w:tcPr>
          <w:p>
            <w:pPr>
              <w:autoSpaceDN w:val="0"/>
              <w:autoSpaceDE w:val="0"/>
              <w:widowControl/>
              <w:spacing w:line="170" w:lineRule="exact" w:before="10" w:after="0"/>
              <w:ind w:left="410" w:right="0" w:firstLine="0"/>
              <w:jc w:val="left"/>
            </w:pPr>
            <w:r>
              <w:rPr>
                <w:rFonts w:ascii="Arial" w:hAnsi="Arial" w:eastAsia="Arial"/>
                <w:b w:val="0"/>
                <w:i w:val="0"/>
                <w:color w:val="000000"/>
                <w:sz w:val="15"/>
              </w:rPr>
              <w:t>5</w:t>
            </w:r>
            <w:r>
              <w:rPr>
                <w:rFonts w:ascii="黑体" w:hAnsi="黑体" w:eastAsia="黑体"/>
                <w:b w:val="0"/>
                <w:i w:val="0"/>
                <w:color w:val="000000"/>
                <w:sz w:val="15"/>
              </w:rPr>
              <w:t>年以上</w:t>
            </w:r>
          </w:p>
        </w:tc>
        <w:tc>
          <w:tcPr>
            <w:tcW w:type="dxa" w:w="300"/>
            <w:tcBorders>
              <w:bottom w:sz="2.400000000000091" w:val="single" w:color="#000000"/>
            </w:tcBorders>
            <w:tcMar>
              <w:start w:w="0" w:type="dxa"/>
              <w:end w:w="0" w:type="dxa"/>
            </w:tcMar>
          </w:tcPr>
          <w:p>
            <w:pPr>
              <w:autoSpaceDN w:val="0"/>
              <w:autoSpaceDE w:val="0"/>
              <w:widowControl/>
              <w:spacing w:line="152" w:lineRule="exact" w:before="26" w:after="0"/>
              <w:ind w:left="0" w:right="0" w:firstLine="0"/>
              <w:jc w:val="center"/>
            </w:pPr>
            <w:r>
              <w:rPr>
                <w:rFonts w:ascii="黑体" w:hAnsi="黑体" w:eastAsia="黑体"/>
                <w:b w:val="0"/>
                <w:i w:val="0"/>
                <w:color w:val="000000"/>
                <w:sz w:val="15"/>
              </w:rPr>
              <w:t>合计</w:t>
            </w:r>
          </w:p>
        </w:tc>
        <w:tc>
          <w:tcPr>
            <w:tcW w:type="dxa" w:w="1204"/>
            <w:tcBorders>
              <w:bottom w:sz="2.400000000000091" w:val="single" w:color="#000000"/>
            </w:tcBorders>
            <w:tcMar>
              <w:start w:w="0" w:type="dxa"/>
              <w:end w:w="0" w:type="dxa"/>
            </w:tcMar>
          </w:tcPr>
          <w:p>
            <w:pPr>
              <w:autoSpaceDN w:val="0"/>
              <w:autoSpaceDE w:val="0"/>
              <w:widowControl/>
              <w:spacing w:line="152" w:lineRule="exact" w:before="26" w:after="0"/>
              <w:ind w:left="0" w:right="0" w:firstLine="0"/>
              <w:jc w:val="right"/>
            </w:pPr>
            <w:r>
              <w:rPr>
                <w:rFonts w:ascii="黑体" w:hAnsi="黑体" w:eastAsia="黑体"/>
                <w:b w:val="0"/>
                <w:i w:val="0"/>
                <w:color w:val="000000"/>
                <w:sz w:val="15"/>
              </w:rPr>
              <w:t>账面价值</w:t>
            </w:r>
          </w:p>
        </w:tc>
      </w:tr>
      <w:tr>
        <w:trPr>
          <w:trHeight w:hRule="exact" w:val="64"/>
        </w:trPr>
        <w:tc>
          <w:tcPr>
            <w:tcW w:type="dxa" w:w="3922"/>
            <w:tcBorders>
              <w:top w:sz="2.400000000000091" w:val="single" w:color="#000000"/>
            </w:tcBorders>
            <w:tcMar>
              <w:start w:w="0" w:type="dxa"/>
              <w:end w:w="0" w:type="dxa"/>
            </w:tcMar>
          </w:tcPr>
          <w:p/>
        </w:tc>
        <w:tc>
          <w:tcPr>
            <w:tcW w:type="dxa" w:w="600"/>
            <w:tcBorders>
              <w:top w:sz="2.400000000000091" w:val="single" w:color="#000000"/>
            </w:tcBorders>
            <w:tcMar>
              <w:start w:w="0" w:type="dxa"/>
              <w:end w:w="0" w:type="dxa"/>
            </w:tcMar>
          </w:tcPr>
          <w:p/>
        </w:tc>
        <w:tc>
          <w:tcPr>
            <w:tcW w:type="dxa" w:w="1718"/>
            <w:tcBorders>
              <w:top w:sz="2.400000000000091" w:val="single" w:color="#000000"/>
            </w:tcBorders>
            <w:tcMar>
              <w:start w:w="0" w:type="dxa"/>
              <w:end w:w="0" w:type="dxa"/>
            </w:tcMar>
          </w:tcPr>
          <w:p/>
        </w:tc>
        <w:tc>
          <w:tcPr>
            <w:tcW w:type="dxa" w:w="1500"/>
            <w:tcBorders>
              <w:top w:sz="2.400000000000091" w:val="single" w:color="#000000"/>
            </w:tcBorders>
            <w:tcMar>
              <w:start w:w="0" w:type="dxa"/>
              <w:end w:w="0" w:type="dxa"/>
            </w:tcMar>
          </w:tcPr>
          <w:p/>
        </w:tc>
        <w:tc>
          <w:tcPr>
            <w:tcW w:type="dxa" w:w="1400"/>
            <w:tcBorders>
              <w:top w:sz="2.400000000000091" w:val="single" w:color="#000000"/>
            </w:tcBorders>
            <w:tcMar>
              <w:start w:w="0" w:type="dxa"/>
              <w:end w:w="0" w:type="dxa"/>
            </w:tcMar>
          </w:tcPr>
          <w:p/>
        </w:tc>
        <w:tc>
          <w:tcPr>
            <w:tcW w:type="dxa" w:w="1340"/>
            <w:tcBorders>
              <w:top w:sz="2.400000000000091" w:val="single" w:color="#000000"/>
            </w:tcBorders>
            <w:tcMar>
              <w:start w:w="0" w:type="dxa"/>
              <w:end w:w="0" w:type="dxa"/>
            </w:tcMar>
          </w:tcPr>
          <w:p/>
        </w:tc>
        <w:tc>
          <w:tcPr>
            <w:tcW w:type="dxa" w:w="1974"/>
            <w:tcBorders>
              <w:top w:sz="2.400000000000091" w:val="single" w:color="#000000"/>
            </w:tcBorders>
            <w:tcMar>
              <w:start w:w="0" w:type="dxa"/>
              <w:end w:w="0" w:type="dxa"/>
            </w:tcMar>
          </w:tcPr>
          <w:p/>
        </w:tc>
        <w:tc>
          <w:tcPr>
            <w:tcW w:type="dxa" w:w="300"/>
            <w:tcBorders>
              <w:top w:sz="2.400000000000091" w:val="single" w:color="#000000"/>
            </w:tcBorders>
            <w:tcMar>
              <w:start w:w="0" w:type="dxa"/>
              <w:end w:w="0" w:type="dxa"/>
            </w:tcMar>
          </w:tcPr>
          <w:p/>
        </w:tc>
        <w:tc>
          <w:tcPr>
            <w:tcW w:type="dxa" w:w="1204"/>
            <w:tcBorders>
              <w:top w:sz="2.400000000000091" w:val="single" w:color="#000000"/>
            </w:tcBorders>
            <w:tcMar>
              <w:start w:w="0" w:type="dxa"/>
              <w:end w:w="0" w:type="dxa"/>
            </w:tcMar>
          </w:tcPr>
          <w:p/>
        </w:tc>
      </w:tr>
    </w:tbl>
    <w:p>
      <w:pPr>
        <w:autoSpaceDN w:val="0"/>
        <w:autoSpaceDE w:val="0"/>
        <w:widowControl/>
        <w:spacing w:line="150" w:lineRule="exact" w:before="146" w:after="22"/>
        <w:ind w:left="0" w:right="0" w:firstLine="0"/>
        <w:jc w:val="left"/>
      </w:pPr>
      <w:r>
        <w:rPr>
          <w:rFonts w:ascii="黑体" w:hAnsi="黑体" w:eastAsia="黑体"/>
          <w:b w:val="0"/>
          <w:i w:val="0"/>
          <w:color w:val="000000"/>
          <w:sz w:val="15"/>
        </w:rPr>
        <w:t>金融负债</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204"/>
        </w:trPr>
        <w:tc>
          <w:tcPr>
            <w:tcW w:type="dxa" w:w="3430"/>
            <w:tcBorders/>
            <w:tcMar>
              <w:start w:w="0" w:type="dxa"/>
              <w:end w:w="0" w:type="dxa"/>
            </w:tcMar>
          </w:tcPr>
          <w:p>
            <w:pPr>
              <w:autoSpaceDN w:val="0"/>
              <w:autoSpaceDE w:val="0"/>
              <w:widowControl/>
              <w:spacing w:line="150" w:lineRule="exact" w:before="22" w:after="0"/>
              <w:ind w:left="152" w:right="0" w:firstLine="0"/>
              <w:jc w:val="left"/>
            </w:pPr>
            <w:r>
              <w:rPr>
                <w:rFonts w:ascii="黑体" w:hAnsi="黑体" w:eastAsia="黑体"/>
                <w:b w:val="0"/>
                <w:i w:val="0"/>
                <w:color w:val="000000"/>
                <w:sz w:val="15"/>
              </w:rPr>
              <w:t>短期借款</w:t>
            </w:r>
          </w:p>
        </w:tc>
        <w:tc>
          <w:tcPr>
            <w:tcW w:type="dxa" w:w="1234"/>
            <w:tcBorders/>
            <w:tcMar>
              <w:start w:w="0" w:type="dxa"/>
              <w:end w:w="0" w:type="dxa"/>
            </w:tcMar>
          </w:tcPr>
          <w:p>
            <w:pPr>
              <w:autoSpaceDN w:val="0"/>
              <w:autoSpaceDE w:val="0"/>
              <w:widowControl/>
              <w:spacing w:line="233" w:lineRule="auto" w:before="22"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3" w:lineRule="auto" w:before="22"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3" w:lineRule="auto" w:before="22" w:after="0"/>
              <w:ind w:left="0" w:right="114" w:firstLine="0"/>
              <w:jc w:val="right"/>
            </w:pPr>
            <w:r>
              <w:rPr>
                <w:rFonts w:ascii="Arial" w:hAnsi="Arial" w:eastAsia="Arial"/>
                <w:b w:val="0"/>
                <w:i w:val="0"/>
                <w:color w:val="000000"/>
                <w:sz w:val="15"/>
              </w:rPr>
              <w:t xml:space="preserve">129,939,108 </w:t>
            </w:r>
          </w:p>
        </w:tc>
        <w:tc>
          <w:tcPr>
            <w:tcW w:type="dxa" w:w="1118"/>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129,939,108</w:t>
            </w:r>
          </w:p>
        </w:tc>
        <w:tc>
          <w:tcPr>
            <w:tcW w:type="dxa" w:w="1204"/>
            <w:tcBorders/>
            <w:tcMar>
              <w:start w:w="0" w:type="dxa"/>
              <w:end w:w="0" w:type="dxa"/>
            </w:tcMar>
          </w:tcPr>
          <w:p>
            <w:pPr>
              <w:autoSpaceDN w:val="0"/>
              <w:autoSpaceDE w:val="0"/>
              <w:widowControl/>
              <w:spacing w:line="233" w:lineRule="auto" w:before="22" w:after="0"/>
              <w:ind w:left="0" w:right="0" w:firstLine="0"/>
              <w:jc w:val="right"/>
            </w:pPr>
            <w:r>
              <w:rPr>
                <w:rFonts w:ascii="Arial" w:hAnsi="Arial" w:eastAsia="Arial"/>
                <w:b w:val="0"/>
                <w:i w:val="0"/>
                <w:color w:val="000000"/>
                <w:sz w:val="15"/>
              </w:rPr>
              <w:t>129,792,354</w:t>
            </w:r>
          </w:p>
        </w:tc>
      </w:tr>
      <w:tr>
        <w:trPr>
          <w:trHeight w:hRule="exact" w:val="160"/>
        </w:trPr>
        <w:tc>
          <w:tcPr>
            <w:tcW w:type="dxa" w:w="3430"/>
            <w:tcBorders/>
            <w:tcMar>
              <w:start w:w="0" w:type="dxa"/>
              <w:end w:w="0" w:type="dxa"/>
            </w:tcMar>
          </w:tcPr>
          <w:p>
            <w:pPr>
              <w:autoSpaceDN w:val="0"/>
              <w:autoSpaceDE w:val="0"/>
              <w:widowControl/>
              <w:spacing w:line="152" w:lineRule="exact" w:before="8" w:after="0"/>
              <w:ind w:left="152" w:right="0" w:firstLine="0"/>
              <w:jc w:val="left"/>
            </w:pPr>
            <w:r>
              <w:rPr>
                <w:rFonts w:ascii="黑体" w:hAnsi="黑体" w:eastAsia="黑体"/>
                <w:b w:val="0"/>
                <w:i w:val="0"/>
                <w:color w:val="000000"/>
                <w:sz w:val="15"/>
              </w:rPr>
              <w:t>应付短期融资券</w:t>
            </w:r>
          </w:p>
        </w:tc>
        <w:tc>
          <w:tcPr>
            <w:tcW w:type="dxa" w:w="123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25,091</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5"/>
              </w:rPr>
              <w:t xml:space="preserve">36,115,560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36,140,651</w:t>
            </w:r>
          </w:p>
        </w:tc>
        <w:tc>
          <w:tcPr>
            <w:tcW w:type="dxa" w:w="120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36,140,651</w:t>
            </w:r>
          </w:p>
        </w:tc>
      </w:tr>
      <w:tr>
        <w:trPr>
          <w:trHeight w:hRule="exact" w:val="200"/>
        </w:trPr>
        <w:tc>
          <w:tcPr>
            <w:tcW w:type="dxa" w:w="3430"/>
            <w:tcBorders/>
            <w:tcMar>
              <w:start w:w="0" w:type="dxa"/>
              <w:end w:w="0" w:type="dxa"/>
            </w:tcMar>
          </w:tcPr>
          <w:p>
            <w:pPr>
              <w:autoSpaceDN w:val="0"/>
              <w:autoSpaceDE w:val="0"/>
              <w:widowControl/>
              <w:spacing w:line="152" w:lineRule="exact" w:before="46" w:after="0"/>
              <w:ind w:left="152" w:right="0" w:firstLine="0"/>
              <w:jc w:val="left"/>
            </w:pPr>
            <w:r>
              <w:rPr>
                <w:rFonts w:ascii="黑体" w:hAnsi="黑体" w:eastAsia="黑体"/>
                <w:b w:val="0"/>
                <w:i w:val="0"/>
                <w:color w:val="000000"/>
                <w:sz w:val="15"/>
              </w:rPr>
              <w:t>拆入资金</w:t>
            </w:r>
          </w:p>
        </w:tc>
        <w:tc>
          <w:tcPr>
            <w:tcW w:type="dxa" w:w="1234"/>
            <w:tcBorders/>
            <w:tcMar>
              <w:start w:w="0" w:type="dxa"/>
              <w:end w:w="0" w:type="dxa"/>
            </w:tcMar>
          </w:tcPr>
          <w:p>
            <w:pPr>
              <w:autoSpaceDN w:val="0"/>
              <w:autoSpaceDE w:val="0"/>
              <w:widowControl/>
              <w:spacing w:line="235" w:lineRule="auto" w:before="3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8,841,567,620</w:t>
            </w:r>
          </w:p>
        </w:tc>
        <w:tc>
          <w:tcPr>
            <w:tcW w:type="dxa" w:w="1540"/>
            <w:tcBorders/>
            <w:tcMar>
              <w:start w:w="0" w:type="dxa"/>
              <w:end w:w="0" w:type="dxa"/>
            </w:tcMar>
          </w:tcPr>
          <w:p>
            <w:pPr>
              <w:autoSpaceDN w:val="0"/>
              <w:autoSpaceDE w:val="0"/>
              <w:widowControl/>
              <w:spacing w:line="235" w:lineRule="auto" w:before="30" w:after="0"/>
              <w:ind w:left="0" w:right="28" w:firstLine="0"/>
              <w:jc w:val="right"/>
            </w:pPr>
            <w:r>
              <w:rPr>
                <w:rFonts w:ascii="Arial" w:hAnsi="Arial" w:eastAsia="Arial"/>
                <w:b w:val="0"/>
                <w:i w:val="0"/>
                <w:color w:val="000000"/>
                <w:sz w:val="15"/>
              </w:rPr>
              <w:t xml:space="preserve">90,031,325 </w:t>
            </w:r>
          </w:p>
        </w:tc>
        <w:tc>
          <w:tcPr>
            <w:tcW w:type="dxa" w:w="1472"/>
            <w:tcBorders/>
            <w:tcMar>
              <w:start w:w="0" w:type="dxa"/>
              <w:end w:w="0" w:type="dxa"/>
            </w:tcMar>
          </w:tcPr>
          <w:p>
            <w:pPr>
              <w:autoSpaceDN w:val="0"/>
              <w:autoSpaceDE w:val="0"/>
              <w:widowControl/>
              <w:spacing w:line="235" w:lineRule="auto" w:before="30" w:after="0"/>
              <w:ind w:left="356" w:right="0" w:firstLine="0"/>
              <w:jc w:val="left"/>
            </w:pPr>
            <w:r>
              <w:rPr>
                <w:rFonts w:ascii="Arial" w:hAnsi="Arial" w:eastAsia="Arial"/>
                <w:b w:val="0"/>
                <w:i w:val="0"/>
                <w:color w:val="000000"/>
                <w:sz w:val="15"/>
              </w:rPr>
              <w:t xml:space="preserve">1,416,005,889 </w:t>
            </w:r>
          </w:p>
        </w:tc>
        <w:tc>
          <w:tcPr>
            <w:tcW w:type="dxa" w:w="1118"/>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288" w:right="0" w:firstLine="0"/>
              <w:jc w:val="left"/>
            </w:pPr>
            <w:r>
              <w:rPr>
                <w:rFonts w:ascii="Arial" w:hAnsi="Arial" w:eastAsia="Arial"/>
                <w:b w:val="0"/>
                <w:i w:val="0"/>
                <w:color w:val="000000"/>
                <w:sz w:val="15"/>
              </w:rPr>
              <w:t>10,347,604,834</w:t>
            </w:r>
          </w:p>
        </w:tc>
        <w:tc>
          <w:tcPr>
            <w:tcW w:type="dxa" w:w="1204"/>
            <w:tcBorders/>
            <w:tcMar>
              <w:start w:w="0" w:type="dxa"/>
              <w:end w:w="0" w:type="dxa"/>
            </w:tcMar>
          </w:tcPr>
          <w:p>
            <w:pPr>
              <w:autoSpaceDN w:val="0"/>
              <w:autoSpaceDE w:val="0"/>
              <w:widowControl/>
              <w:spacing w:line="235" w:lineRule="auto" w:before="30" w:after="0"/>
              <w:ind w:left="160" w:right="0" w:firstLine="0"/>
              <w:jc w:val="left"/>
            </w:pPr>
            <w:r>
              <w:rPr>
                <w:rFonts w:ascii="Arial" w:hAnsi="Arial" w:eastAsia="Arial"/>
                <w:b w:val="0"/>
                <w:i w:val="0"/>
                <w:color w:val="000000"/>
                <w:sz w:val="15"/>
              </w:rPr>
              <w:t xml:space="preserve"> 10,333,096,752</w:t>
            </w:r>
          </w:p>
        </w:tc>
      </w:tr>
      <w:tr>
        <w:trPr>
          <w:trHeight w:hRule="exact" w:val="200"/>
        </w:trPr>
        <w:tc>
          <w:tcPr>
            <w:tcW w:type="dxa" w:w="3430"/>
            <w:tcBorders/>
            <w:tcMar>
              <w:start w:w="0" w:type="dxa"/>
              <w:end w:w="0" w:type="dxa"/>
            </w:tcMar>
          </w:tcPr>
          <w:p>
            <w:pPr>
              <w:autoSpaceDN w:val="0"/>
              <w:autoSpaceDE w:val="0"/>
              <w:widowControl/>
              <w:spacing w:line="152" w:lineRule="exact" w:before="40" w:after="0"/>
              <w:ind w:left="152" w:right="0" w:firstLine="0"/>
              <w:jc w:val="left"/>
            </w:pPr>
            <w:r>
              <w:rPr>
                <w:rFonts w:ascii="黑体" w:hAnsi="黑体" w:eastAsia="黑体"/>
                <w:b w:val="0"/>
                <w:i w:val="0"/>
                <w:color w:val="000000"/>
                <w:sz w:val="15"/>
              </w:rPr>
              <w:t>交易性金融负债</w:t>
            </w:r>
          </w:p>
        </w:tc>
        <w:tc>
          <w:tcPr>
            <w:tcW w:type="dxa" w:w="1234"/>
            <w:tcBorders/>
            <w:tcMar>
              <w:start w:w="0" w:type="dxa"/>
              <w:end w:w="0" w:type="dxa"/>
            </w:tcMar>
          </w:tcPr>
          <w:p>
            <w:pPr>
              <w:autoSpaceDN w:val="0"/>
              <w:autoSpaceDE w:val="0"/>
              <w:widowControl/>
              <w:spacing w:line="235" w:lineRule="auto" w:before="3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3,370,063,066</w:t>
            </w:r>
          </w:p>
        </w:tc>
        <w:tc>
          <w:tcPr>
            <w:tcW w:type="dxa" w:w="1540"/>
            <w:tcBorders/>
            <w:tcMar>
              <w:start w:w="0" w:type="dxa"/>
              <w:end w:w="0" w:type="dxa"/>
            </w:tcMar>
          </w:tcPr>
          <w:p>
            <w:pPr>
              <w:autoSpaceDN w:val="0"/>
              <w:autoSpaceDE w:val="0"/>
              <w:widowControl/>
              <w:spacing w:line="235" w:lineRule="auto" w:before="30" w:after="0"/>
              <w:ind w:left="0" w:right="28" w:firstLine="0"/>
              <w:jc w:val="right"/>
            </w:pPr>
            <w:r>
              <w:rPr>
                <w:rFonts w:ascii="Arial" w:hAnsi="Arial" w:eastAsia="Arial"/>
                <w:b w:val="0"/>
                <w:i w:val="0"/>
                <w:color w:val="000000"/>
                <w:sz w:val="15"/>
              </w:rPr>
              <w:t xml:space="preserve"> - </w:t>
            </w:r>
          </w:p>
        </w:tc>
        <w:tc>
          <w:tcPr>
            <w:tcW w:type="dxa" w:w="1472"/>
            <w:tcBorders/>
            <w:tcMar>
              <w:start w:w="0" w:type="dxa"/>
              <w:end w:w="0" w:type="dxa"/>
            </w:tcMar>
          </w:tcPr>
          <w:p>
            <w:pPr>
              <w:autoSpaceDN w:val="0"/>
              <w:autoSpaceDE w:val="0"/>
              <w:widowControl/>
              <w:spacing w:line="235" w:lineRule="auto" w:before="30" w:after="0"/>
              <w:ind w:left="0" w:right="114" w:firstLine="0"/>
              <w:jc w:val="right"/>
            </w:pPr>
            <w:r>
              <w:rPr>
                <w:rFonts w:ascii="Arial" w:hAnsi="Arial" w:eastAsia="Arial"/>
                <w:b w:val="0"/>
                <w:i w:val="0"/>
                <w:color w:val="000000"/>
                <w:sz w:val="15"/>
              </w:rPr>
              <w:t xml:space="preserve"> - </w:t>
            </w:r>
          </w:p>
        </w:tc>
        <w:tc>
          <w:tcPr>
            <w:tcW w:type="dxa" w:w="1118"/>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3,370,063,066</w:t>
            </w:r>
          </w:p>
        </w:tc>
        <w:tc>
          <w:tcPr>
            <w:tcW w:type="dxa" w:w="1204"/>
            <w:tcBorders/>
            <w:tcMar>
              <w:start w:w="0" w:type="dxa"/>
              <w:end w:w="0" w:type="dxa"/>
            </w:tcMar>
          </w:tcPr>
          <w:p>
            <w:pPr>
              <w:autoSpaceDN w:val="0"/>
              <w:autoSpaceDE w:val="0"/>
              <w:widowControl/>
              <w:spacing w:line="235" w:lineRule="auto" w:before="30" w:after="0"/>
              <w:ind w:left="160" w:right="0" w:firstLine="0"/>
              <w:jc w:val="left"/>
            </w:pPr>
            <w:r>
              <w:rPr>
                <w:rFonts w:ascii="Arial" w:hAnsi="Arial" w:eastAsia="Arial"/>
                <w:b w:val="0"/>
                <w:i w:val="0"/>
                <w:color w:val="000000"/>
                <w:sz w:val="15"/>
              </w:rPr>
              <w:t xml:space="preserve"> 3,369,245,850</w:t>
            </w:r>
          </w:p>
        </w:tc>
      </w:tr>
      <w:tr>
        <w:trPr>
          <w:trHeight w:hRule="exact" w:val="218"/>
        </w:trPr>
        <w:tc>
          <w:tcPr>
            <w:tcW w:type="dxa" w:w="3430"/>
            <w:tcBorders/>
            <w:tcMar>
              <w:start w:w="0" w:type="dxa"/>
              <w:end w:w="0" w:type="dxa"/>
            </w:tcMar>
          </w:tcPr>
          <w:p>
            <w:pPr>
              <w:autoSpaceDN w:val="0"/>
              <w:autoSpaceDE w:val="0"/>
              <w:widowControl/>
              <w:spacing w:line="150" w:lineRule="exact" w:before="36" w:after="0"/>
              <w:ind w:left="152" w:right="0" w:firstLine="0"/>
              <w:jc w:val="left"/>
            </w:pPr>
            <w:r>
              <w:rPr>
                <w:rFonts w:ascii="黑体" w:hAnsi="黑体" w:eastAsia="黑体"/>
                <w:b w:val="0"/>
                <w:i w:val="0"/>
                <w:color w:val="000000"/>
                <w:sz w:val="15"/>
              </w:rPr>
              <w:t>衍生金融负债</w:t>
            </w:r>
          </w:p>
        </w:tc>
        <w:tc>
          <w:tcPr>
            <w:tcW w:type="dxa" w:w="1234"/>
            <w:tcBorders/>
            <w:tcMar>
              <w:start w:w="0" w:type="dxa"/>
              <w:end w:w="0" w:type="dxa"/>
            </w:tcMar>
          </w:tcPr>
          <w:p>
            <w:pPr>
              <w:autoSpaceDN w:val="0"/>
              <w:autoSpaceDE w:val="0"/>
              <w:widowControl/>
              <w:spacing w:line="233" w:lineRule="auto" w:before="36" w:after="0"/>
              <w:ind w:left="0" w:right="72" w:firstLine="0"/>
              <w:jc w:val="right"/>
            </w:pPr>
            <w:r>
              <w:rPr>
                <w:rFonts w:ascii="Arial" w:hAnsi="Arial" w:eastAsia="Arial"/>
                <w:b w:val="0"/>
                <w:i w:val="0"/>
                <w:color w:val="000000"/>
                <w:sz w:val="15"/>
              </w:rPr>
              <w:t xml:space="preserve">698,637 </w:t>
            </w:r>
          </w:p>
        </w:tc>
        <w:tc>
          <w:tcPr>
            <w:tcW w:type="dxa" w:w="130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74,212,161</w:t>
            </w:r>
          </w:p>
        </w:tc>
        <w:tc>
          <w:tcPr>
            <w:tcW w:type="dxa" w:w="1540"/>
            <w:tcBorders/>
            <w:tcMar>
              <w:start w:w="0" w:type="dxa"/>
              <w:end w:w="0" w:type="dxa"/>
            </w:tcMar>
          </w:tcPr>
          <w:p>
            <w:pPr>
              <w:autoSpaceDN w:val="0"/>
              <w:autoSpaceDE w:val="0"/>
              <w:widowControl/>
              <w:spacing w:line="233" w:lineRule="auto" w:before="36" w:after="0"/>
              <w:ind w:left="0" w:right="28" w:firstLine="0"/>
              <w:jc w:val="right"/>
            </w:pPr>
            <w:r>
              <w:rPr>
                <w:rFonts w:ascii="Arial" w:hAnsi="Arial" w:eastAsia="Arial"/>
                <w:b w:val="0"/>
                <w:i w:val="0"/>
                <w:color w:val="000000"/>
                <w:sz w:val="15"/>
              </w:rPr>
              <w:t xml:space="preserve">8,502,335 </w:t>
            </w:r>
          </w:p>
        </w:tc>
        <w:tc>
          <w:tcPr>
            <w:tcW w:type="dxa" w:w="1472"/>
            <w:tcBorders/>
            <w:tcMar>
              <w:start w:w="0" w:type="dxa"/>
              <w:end w:w="0" w:type="dxa"/>
            </w:tcMar>
          </w:tcPr>
          <w:p>
            <w:pPr>
              <w:autoSpaceDN w:val="0"/>
              <w:autoSpaceDE w:val="0"/>
              <w:widowControl/>
              <w:spacing w:line="233" w:lineRule="auto" w:before="36" w:after="0"/>
              <w:ind w:left="0" w:right="114" w:firstLine="0"/>
              <w:jc w:val="right"/>
            </w:pPr>
            <w:r>
              <w:rPr>
                <w:rFonts w:ascii="Arial" w:hAnsi="Arial" w:eastAsia="Arial"/>
                <w:b w:val="0"/>
                <w:i w:val="0"/>
                <w:color w:val="000000"/>
                <w:sz w:val="15"/>
              </w:rPr>
              <w:t xml:space="preserve">1,807,695 </w:t>
            </w:r>
          </w:p>
        </w:tc>
        <w:tc>
          <w:tcPr>
            <w:tcW w:type="dxa" w:w="1118"/>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1,206,084</w:t>
            </w:r>
          </w:p>
        </w:tc>
        <w:tc>
          <w:tcPr>
            <w:tcW w:type="dxa" w:w="133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86,426,912</w:t>
            </w:r>
          </w:p>
        </w:tc>
        <w:tc>
          <w:tcPr>
            <w:tcW w:type="dxa" w:w="1204"/>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86,426,912</w:t>
            </w:r>
          </w:p>
        </w:tc>
      </w:tr>
      <w:tr>
        <w:trPr>
          <w:trHeight w:hRule="exact" w:val="162"/>
        </w:trPr>
        <w:tc>
          <w:tcPr>
            <w:tcW w:type="dxa" w:w="3430"/>
            <w:tcBorders/>
            <w:tcMar>
              <w:start w:w="0" w:type="dxa"/>
              <w:end w:w="0" w:type="dxa"/>
            </w:tcMar>
          </w:tcPr>
          <w:p>
            <w:pPr>
              <w:autoSpaceDN w:val="0"/>
              <w:autoSpaceDE w:val="0"/>
              <w:widowControl/>
              <w:spacing w:line="152" w:lineRule="exact" w:before="10" w:after="0"/>
              <w:ind w:left="152" w:right="0" w:firstLine="0"/>
              <w:jc w:val="left"/>
            </w:pPr>
            <w:r>
              <w:rPr>
                <w:rFonts w:ascii="黑体" w:hAnsi="黑体" w:eastAsia="黑体"/>
                <w:b w:val="0"/>
                <w:i w:val="0"/>
                <w:color w:val="000000"/>
                <w:sz w:val="15"/>
              </w:rPr>
              <w:t>卖出回购金融资产</w:t>
            </w:r>
          </w:p>
        </w:tc>
        <w:tc>
          <w:tcPr>
            <w:tcW w:type="dxa" w:w="123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5"/>
              </w:rPr>
              <w:t xml:space="preserve">773,495 </w:t>
            </w:r>
          </w:p>
        </w:tc>
        <w:tc>
          <w:tcPr>
            <w:tcW w:type="dxa" w:w="1300"/>
            <w:tcBorders/>
            <w:tcMar>
              <w:start w:w="0" w:type="dxa"/>
              <w:end w:w="0" w:type="dxa"/>
            </w:tcMar>
          </w:tcPr>
          <w:p>
            <w:pPr>
              <w:autoSpaceDN w:val="0"/>
              <w:autoSpaceDE w:val="0"/>
              <w:widowControl/>
              <w:spacing w:line="233" w:lineRule="auto" w:before="0" w:after="0"/>
              <w:ind w:left="260" w:right="0" w:firstLine="0"/>
              <w:jc w:val="left"/>
            </w:pPr>
            <w:r>
              <w:rPr>
                <w:rFonts w:ascii="Arial" w:hAnsi="Arial" w:eastAsia="Arial"/>
                <w:b w:val="0"/>
                <w:i w:val="0"/>
                <w:color w:val="000000"/>
                <w:sz w:val="15"/>
              </w:rPr>
              <w:t>12,667,620,742</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101,474,599 </w:t>
            </w:r>
          </w:p>
        </w:tc>
        <w:tc>
          <w:tcPr>
            <w:tcW w:type="dxa" w:w="14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5"/>
              </w:rPr>
              <w:t xml:space="preserve"> -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288" w:right="0" w:firstLine="0"/>
              <w:jc w:val="left"/>
            </w:pPr>
            <w:r>
              <w:rPr>
                <w:rFonts w:ascii="Arial" w:hAnsi="Arial" w:eastAsia="Arial"/>
                <w:b w:val="0"/>
                <w:i w:val="0"/>
                <w:color w:val="000000"/>
                <w:sz w:val="15"/>
              </w:rPr>
              <w:t>12,769,868,836</w:t>
            </w:r>
          </w:p>
        </w:tc>
        <w:tc>
          <w:tcPr>
            <w:tcW w:type="dxa" w:w="1204"/>
            <w:tcBorders/>
            <w:tcMar>
              <w:start w:w="0" w:type="dxa"/>
              <w:end w:w="0" w:type="dxa"/>
            </w:tcMar>
          </w:tcPr>
          <w:p>
            <w:pPr>
              <w:autoSpaceDN w:val="0"/>
              <w:autoSpaceDE w:val="0"/>
              <w:widowControl/>
              <w:spacing w:line="233" w:lineRule="auto" w:before="0" w:after="0"/>
              <w:ind w:left="160" w:right="0" w:firstLine="0"/>
              <w:jc w:val="left"/>
            </w:pPr>
            <w:r>
              <w:rPr>
                <w:rFonts w:ascii="Arial" w:hAnsi="Arial" w:eastAsia="Arial"/>
                <w:b w:val="0"/>
                <w:i w:val="0"/>
                <w:color w:val="000000"/>
                <w:sz w:val="15"/>
              </w:rPr>
              <w:t xml:space="preserve"> 12,729,642,678</w:t>
            </w:r>
          </w:p>
        </w:tc>
      </w:tr>
      <w:tr>
        <w:trPr>
          <w:trHeight w:hRule="exact" w:val="200"/>
        </w:trPr>
        <w:tc>
          <w:tcPr>
            <w:tcW w:type="dxa" w:w="3430"/>
            <w:tcBorders/>
            <w:tcMar>
              <w:start w:w="0" w:type="dxa"/>
              <w:end w:w="0" w:type="dxa"/>
            </w:tcMar>
          </w:tcPr>
          <w:p>
            <w:pPr>
              <w:autoSpaceDN w:val="0"/>
              <w:autoSpaceDE w:val="0"/>
              <w:widowControl/>
              <w:spacing w:line="152" w:lineRule="exact" w:before="44" w:after="0"/>
              <w:ind w:left="152" w:right="0" w:firstLine="0"/>
              <w:jc w:val="left"/>
            </w:pPr>
            <w:r>
              <w:rPr>
                <w:rFonts w:ascii="黑体" w:hAnsi="黑体" w:eastAsia="黑体"/>
                <w:b w:val="0"/>
                <w:i w:val="0"/>
                <w:color w:val="000000"/>
                <w:sz w:val="15"/>
              </w:rPr>
              <w:t>代理买卖证券款</w:t>
            </w:r>
          </w:p>
        </w:tc>
        <w:tc>
          <w:tcPr>
            <w:tcW w:type="dxa" w:w="1234"/>
            <w:tcBorders/>
            <w:tcMar>
              <w:start w:w="0" w:type="dxa"/>
              <w:end w:w="0" w:type="dxa"/>
            </w:tcMar>
          </w:tcPr>
          <w:p>
            <w:pPr>
              <w:autoSpaceDN w:val="0"/>
              <w:autoSpaceDE w:val="0"/>
              <w:widowControl/>
              <w:spacing w:line="235" w:lineRule="auto" w:before="30" w:after="0"/>
              <w:ind w:left="52" w:right="0" w:firstLine="0"/>
              <w:jc w:val="left"/>
            </w:pPr>
            <w:r>
              <w:rPr>
                <w:rFonts w:ascii="Arial" w:hAnsi="Arial" w:eastAsia="Arial"/>
                <w:b w:val="0"/>
                <w:i w:val="0"/>
                <w:color w:val="000000"/>
                <w:sz w:val="15"/>
              </w:rPr>
              <w:t>18,504,762,179</w:t>
            </w:r>
          </w:p>
        </w:tc>
        <w:tc>
          <w:tcPr>
            <w:tcW w:type="dxa" w:w="130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5" w:lineRule="auto" w:before="30"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5" w:lineRule="auto" w:before="30"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288" w:right="0" w:firstLine="0"/>
              <w:jc w:val="left"/>
            </w:pPr>
            <w:r>
              <w:rPr>
                <w:rFonts w:ascii="Arial" w:hAnsi="Arial" w:eastAsia="Arial"/>
                <w:b w:val="0"/>
                <w:i w:val="0"/>
                <w:color w:val="000000"/>
                <w:sz w:val="15"/>
              </w:rPr>
              <w:t>18,504,762,179</w:t>
            </w:r>
          </w:p>
        </w:tc>
        <w:tc>
          <w:tcPr>
            <w:tcW w:type="dxa" w:w="1204"/>
            <w:tcBorders/>
            <w:tcMar>
              <w:start w:w="0" w:type="dxa"/>
              <w:end w:w="0" w:type="dxa"/>
            </w:tcMar>
          </w:tcPr>
          <w:p>
            <w:pPr>
              <w:autoSpaceDN w:val="0"/>
              <w:autoSpaceDE w:val="0"/>
              <w:widowControl/>
              <w:spacing w:line="235" w:lineRule="auto" w:before="30" w:after="0"/>
              <w:ind w:left="160" w:right="0" w:firstLine="0"/>
              <w:jc w:val="left"/>
            </w:pPr>
            <w:r>
              <w:rPr>
                <w:rFonts w:ascii="Arial" w:hAnsi="Arial" w:eastAsia="Arial"/>
                <w:b w:val="0"/>
                <w:i w:val="0"/>
                <w:color w:val="000000"/>
                <w:sz w:val="15"/>
              </w:rPr>
              <w:t xml:space="preserve"> 18,504,762,179</w:t>
            </w:r>
          </w:p>
        </w:tc>
      </w:tr>
      <w:tr>
        <w:trPr>
          <w:trHeight w:hRule="exact" w:val="220"/>
        </w:trPr>
        <w:tc>
          <w:tcPr>
            <w:tcW w:type="dxa" w:w="3430"/>
            <w:tcBorders/>
            <w:tcMar>
              <w:start w:w="0" w:type="dxa"/>
              <w:end w:w="0" w:type="dxa"/>
            </w:tcMar>
          </w:tcPr>
          <w:p>
            <w:pPr>
              <w:autoSpaceDN w:val="0"/>
              <w:autoSpaceDE w:val="0"/>
              <w:widowControl/>
              <w:spacing w:line="152" w:lineRule="exact" w:before="38" w:after="0"/>
              <w:ind w:left="152" w:right="0" w:firstLine="0"/>
              <w:jc w:val="left"/>
            </w:pPr>
            <w:r>
              <w:rPr>
                <w:rFonts w:ascii="黑体" w:hAnsi="黑体" w:eastAsia="黑体"/>
                <w:b w:val="0"/>
                <w:i w:val="0"/>
                <w:color w:val="000000"/>
                <w:sz w:val="15"/>
              </w:rPr>
              <w:t>应付款项</w:t>
            </w:r>
          </w:p>
        </w:tc>
        <w:tc>
          <w:tcPr>
            <w:tcW w:type="dxa" w:w="1234"/>
            <w:tcBorders/>
            <w:tcMar>
              <w:start w:w="0" w:type="dxa"/>
              <w:end w:w="0" w:type="dxa"/>
            </w:tcMar>
          </w:tcPr>
          <w:p>
            <w:pPr>
              <w:autoSpaceDN w:val="0"/>
              <w:autoSpaceDE w:val="0"/>
              <w:widowControl/>
              <w:spacing w:line="235" w:lineRule="auto" w:before="38" w:after="0"/>
              <w:ind w:left="0" w:right="72" w:firstLine="0"/>
              <w:jc w:val="right"/>
            </w:pPr>
            <w:r>
              <w:rPr>
                <w:rFonts w:ascii="Arial" w:hAnsi="Arial" w:eastAsia="Arial"/>
                <w:b w:val="0"/>
                <w:i w:val="0"/>
                <w:color w:val="000000"/>
                <w:sz w:val="15"/>
              </w:rPr>
              <w:t xml:space="preserve">93,168,277 </w:t>
            </w:r>
          </w:p>
        </w:tc>
        <w:tc>
          <w:tcPr>
            <w:tcW w:type="dxa" w:w="1300"/>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5" w:lineRule="auto" w:before="38"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5" w:lineRule="auto" w:before="38"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5"/>
              </w:rPr>
              <w:t>93,168,277</w:t>
            </w:r>
          </w:p>
        </w:tc>
        <w:tc>
          <w:tcPr>
            <w:tcW w:type="dxa" w:w="1204"/>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5"/>
              </w:rPr>
              <w:t>93,168,277</w:t>
            </w:r>
          </w:p>
        </w:tc>
      </w:tr>
      <w:tr>
        <w:trPr>
          <w:trHeight w:hRule="exact" w:val="196"/>
        </w:trPr>
        <w:tc>
          <w:tcPr>
            <w:tcW w:type="dxa" w:w="3430"/>
            <w:tcBorders/>
            <w:tcMar>
              <w:start w:w="0" w:type="dxa"/>
              <w:end w:w="0" w:type="dxa"/>
            </w:tcMar>
          </w:tcPr>
          <w:p>
            <w:pPr>
              <w:autoSpaceDN w:val="0"/>
              <w:autoSpaceDE w:val="0"/>
              <w:widowControl/>
              <w:spacing w:line="150" w:lineRule="exact" w:before="14" w:after="0"/>
              <w:ind w:left="152" w:right="0" w:firstLine="0"/>
              <w:jc w:val="left"/>
            </w:pPr>
            <w:r>
              <w:rPr>
                <w:rFonts w:ascii="黑体" w:hAnsi="黑体" w:eastAsia="黑体"/>
                <w:b w:val="0"/>
                <w:i w:val="0"/>
                <w:color w:val="000000"/>
                <w:sz w:val="15"/>
              </w:rPr>
              <w:t>应付债券</w:t>
            </w:r>
          </w:p>
        </w:tc>
        <w:tc>
          <w:tcPr>
            <w:tcW w:type="dxa" w:w="1234"/>
            <w:tcBorders/>
            <w:tcMar>
              <w:start w:w="0" w:type="dxa"/>
              <w:end w:w="0" w:type="dxa"/>
            </w:tcMar>
          </w:tcPr>
          <w:p>
            <w:pPr>
              <w:autoSpaceDN w:val="0"/>
              <w:autoSpaceDE w:val="0"/>
              <w:widowControl/>
              <w:spacing w:line="233" w:lineRule="auto" w:before="14"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3" w:lineRule="auto" w:before="14" w:after="0"/>
              <w:ind w:left="0" w:right="28" w:firstLine="0"/>
              <w:jc w:val="right"/>
            </w:pPr>
            <w:r>
              <w:rPr>
                <w:rFonts w:ascii="Arial" w:hAnsi="Arial" w:eastAsia="Arial"/>
                <w:b w:val="0"/>
                <w:i w:val="0"/>
                <w:color w:val="000000"/>
                <w:sz w:val="15"/>
              </w:rPr>
              <w:t xml:space="preserve">848,530,364 </w:t>
            </w:r>
          </w:p>
        </w:tc>
        <w:tc>
          <w:tcPr>
            <w:tcW w:type="dxa" w:w="1472"/>
            <w:tcBorders/>
            <w:tcMar>
              <w:start w:w="0" w:type="dxa"/>
              <w:end w:w="0" w:type="dxa"/>
            </w:tcMar>
          </w:tcPr>
          <w:p>
            <w:pPr>
              <w:autoSpaceDN w:val="0"/>
              <w:autoSpaceDE w:val="0"/>
              <w:widowControl/>
              <w:spacing w:line="233" w:lineRule="auto" w:before="14" w:after="0"/>
              <w:ind w:left="356" w:right="0" w:firstLine="0"/>
              <w:jc w:val="left"/>
            </w:pPr>
            <w:r>
              <w:rPr>
                <w:rFonts w:ascii="Arial" w:hAnsi="Arial" w:eastAsia="Arial"/>
                <w:b w:val="0"/>
                <w:i w:val="0"/>
                <w:color w:val="000000"/>
                <w:sz w:val="15"/>
              </w:rPr>
              <w:t xml:space="preserve">4,836,253,597 </w:t>
            </w:r>
          </w:p>
        </w:tc>
        <w:tc>
          <w:tcPr>
            <w:tcW w:type="dxa" w:w="1118"/>
            <w:tcBorders/>
            <w:tcMar>
              <w:start w:w="0" w:type="dxa"/>
              <w:end w:w="0" w:type="dxa"/>
            </w:tcMar>
          </w:tcPr>
          <w:p>
            <w:pPr>
              <w:autoSpaceDN w:val="0"/>
              <w:autoSpaceDE w:val="0"/>
              <w:widowControl/>
              <w:spacing w:line="233" w:lineRule="auto" w:before="14" w:after="0"/>
              <w:ind w:left="160" w:right="0" w:firstLine="0"/>
              <w:jc w:val="left"/>
            </w:pPr>
            <w:r>
              <w:rPr>
                <w:rFonts w:ascii="Arial" w:hAnsi="Arial" w:eastAsia="Arial"/>
                <w:b w:val="0"/>
                <w:i w:val="0"/>
                <w:color w:val="000000"/>
                <w:sz w:val="15"/>
              </w:rPr>
              <w:t>9,658,811,981</w:t>
            </w:r>
          </w:p>
        </w:tc>
        <w:tc>
          <w:tcPr>
            <w:tcW w:type="dxa" w:w="133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14" w:after="0"/>
              <w:ind w:left="288" w:right="0" w:firstLine="0"/>
              <w:jc w:val="left"/>
            </w:pPr>
            <w:r>
              <w:rPr>
                <w:rFonts w:ascii="Arial" w:hAnsi="Arial" w:eastAsia="Arial"/>
                <w:b w:val="0"/>
                <w:i w:val="0"/>
                <w:color w:val="000000"/>
                <w:sz w:val="15"/>
              </w:rPr>
              <w:t>15,343,595,942</w:t>
            </w:r>
          </w:p>
        </w:tc>
        <w:tc>
          <w:tcPr>
            <w:tcW w:type="dxa" w:w="1204"/>
            <w:tcBorders/>
            <w:tcMar>
              <w:start w:w="0" w:type="dxa"/>
              <w:end w:w="0" w:type="dxa"/>
            </w:tcMar>
          </w:tcPr>
          <w:p>
            <w:pPr>
              <w:autoSpaceDN w:val="0"/>
              <w:autoSpaceDE w:val="0"/>
              <w:widowControl/>
              <w:spacing w:line="233" w:lineRule="auto" w:before="14" w:after="0"/>
              <w:ind w:left="160" w:right="0" w:firstLine="0"/>
              <w:jc w:val="left"/>
            </w:pPr>
            <w:r>
              <w:rPr>
                <w:rFonts w:ascii="Arial" w:hAnsi="Arial" w:eastAsia="Arial"/>
                <w:b w:val="0"/>
                <w:i w:val="0"/>
                <w:color w:val="000000"/>
                <w:sz w:val="15"/>
              </w:rPr>
              <w:t xml:space="preserve"> 15,170,215,285</w:t>
            </w:r>
          </w:p>
        </w:tc>
      </w:tr>
      <w:tr>
        <w:trPr>
          <w:trHeight w:hRule="exact" w:val="164"/>
        </w:trPr>
        <w:tc>
          <w:tcPr>
            <w:tcW w:type="dxa" w:w="3430"/>
            <w:tcBorders/>
            <w:tcMar>
              <w:start w:w="0" w:type="dxa"/>
              <w:end w:w="0" w:type="dxa"/>
            </w:tcMar>
          </w:tcPr>
          <w:p>
            <w:pPr>
              <w:autoSpaceDN w:val="0"/>
              <w:autoSpaceDE w:val="0"/>
              <w:widowControl/>
              <w:spacing w:line="150" w:lineRule="exact" w:before="12" w:after="0"/>
              <w:ind w:left="152" w:right="0" w:firstLine="0"/>
              <w:jc w:val="left"/>
            </w:pPr>
            <w:r>
              <w:rPr>
                <w:rFonts w:ascii="黑体" w:hAnsi="黑体" w:eastAsia="黑体"/>
                <w:b w:val="0"/>
                <w:i w:val="0"/>
                <w:color w:val="000000"/>
                <w:sz w:val="15"/>
              </w:rPr>
              <w:t>租赁负债</w:t>
            </w:r>
          </w:p>
        </w:tc>
        <w:tc>
          <w:tcPr>
            <w:tcW w:type="dxa" w:w="123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3,501,485</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11,455,422 </w:t>
            </w:r>
          </w:p>
        </w:tc>
        <w:tc>
          <w:tcPr>
            <w:tcW w:type="dxa" w:w="14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5"/>
              </w:rPr>
              <w:t xml:space="preserve">32,415,318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208,814,534</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15,851,303</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272,038,062</w:t>
            </w:r>
          </w:p>
        </w:tc>
        <w:tc>
          <w:tcPr>
            <w:tcW w:type="dxa" w:w="120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264,042,901</w:t>
            </w:r>
          </w:p>
        </w:tc>
      </w:tr>
      <w:tr>
        <w:trPr>
          <w:trHeight w:hRule="exact" w:val="220"/>
        </w:trPr>
        <w:tc>
          <w:tcPr>
            <w:tcW w:type="dxa" w:w="3430"/>
            <w:tcBorders>
              <w:bottom w:sz="3.199999999999818" w:val="single" w:color="#000000"/>
            </w:tcBorders>
            <w:tcMar>
              <w:start w:w="0" w:type="dxa"/>
              <w:end w:w="0" w:type="dxa"/>
            </w:tcMar>
          </w:tcPr>
          <w:p>
            <w:pPr>
              <w:autoSpaceDN w:val="0"/>
              <w:autoSpaceDE w:val="0"/>
              <w:widowControl/>
              <w:spacing w:line="152" w:lineRule="exact" w:before="42" w:after="0"/>
              <w:ind w:left="152" w:right="0" w:firstLine="0"/>
              <w:jc w:val="left"/>
            </w:pPr>
            <w:r>
              <w:rPr>
                <w:rFonts w:ascii="黑体" w:hAnsi="黑体" w:eastAsia="黑体"/>
                <w:b w:val="0"/>
                <w:i w:val="0"/>
                <w:color w:val="000000"/>
                <w:sz w:val="15"/>
              </w:rPr>
              <w:t>其他金融负债</w:t>
            </w:r>
          </w:p>
        </w:tc>
        <w:tc>
          <w:tcPr>
            <w:tcW w:type="dxa" w:w="1234"/>
            <w:tcBorders>
              <w:bottom w:sz="3.199999999999818" w:val="single" w:color="#000000"/>
            </w:tcBorders>
            <w:tcMar>
              <w:start w:w="0" w:type="dxa"/>
              <w:end w:w="0" w:type="dxa"/>
            </w:tcMar>
          </w:tcPr>
          <w:p>
            <w:pPr>
              <w:autoSpaceDN w:val="0"/>
              <w:autoSpaceDE w:val="0"/>
              <w:widowControl/>
              <w:spacing w:line="235" w:lineRule="auto" w:before="44" w:after="0"/>
              <w:ind w:left="258" w:right="0" w:firstLine="0"/>
              <w:jc w:val="left"/>
            </w:pPr>
            <w:r>
              <w:rPr>
                <w:rFonts w:ascii="Arial" w:hAnsi="Arial" w:eastAsia="Arial"/>
                <w:b w:val="0"/>
                <w:i w:val="0"/>
                <w:color w:val="000000"/>
                <w:sz w:val="15"/>
              </w:rPr>
              <w:t xml:space="preserve">271,430,474 </w:t>
            </w:r>
          </w:p>
        </w:tc>
        <w:tc>
          <w:tcPr>
            <w:tcW w:type="dxa" w:w="1300"/>
            <w:tcBorders>
              <w:bottom w:sz="3.199999999999818" w:val="single" w:color="#000000"/>
            </w:tcBorders>
            <w:tcMar>
              <w:start w:w="0" w:type="dxa"/>
              <w:end w:w="0" w:type="dxa"/>
            </w:tcMar>
          </w:tcPr>
          <w:p>
            <w:pPr>
              <w:autoSpaceDN w:val="0"/>
              <w:autoSpaceDE w:val="0"/>
              <w:widowControl/>
              <w:spacing w:line="235" w:lineRule="auto" w:before="44" w:after="0"/>
              <w:ind w:left="0" w:right="0" w:firstLine="0"/>
              <w:jc w:val="right"/>
            </w:pPr>
            <w:r>
              <w:rPr>
                <w:rFonts w:ascii="Arial" w:hAnsi="Arial" w:eastAsia="Arial"/>
                <w:b w:val="0"/>
                <w:i w:val="0"/>
                <w:color w:val="000000"/>
                <w:sz w:val="15"/>
              </w:rPr>
              <w:t>495,084,453</w:t>
            </w:r>
          </w:p>
        </w:tc>
        <w:tc>
          <w:tcPr>
            <w:tcW w:type="dxa" w:w="1540"/>
            <w:tcBorders>
              <w:bottom w:sz="3.199999999999818" w:val="single" w:color="#000000"/>
            </w:tcBorders>
            <w:tcMar>
              <w:start w:w="0" w:type="dxa"/>
              <w:end w:w="0" w:type="dxa"/>
            </w:tcMar>
          </w:tcPr>
          <w:p>
            <w:pPr>
              <w:autoSpaceDN w:val="0"/>
              <w:autoSpaceDE w:val="0"/>
              <w:widowControl/>
              <w:spacing w:line="235" w:lineRule="auto" w:before="44" w:after="0"/>
              <w:ind w:left="0" w:right="28" w:firstLine="0"/>
              <w:jc w:val="right"/>
            </w:pPr>
            <w:r>
              <w:rPr>
                <w:rFonts w:ascii="Arial" w:hAnsi="Arial" w:eastAsia="Arial"/>
                <w:b w:val="0"/>
                <w:i w:val="0"/>
                <w:color w:val="000000"/>
                <w:sz w:val="15"/>
              </w:rPr>
              <w:t xml:space="preserve">229,513,751 </w:t>
            </w:r>
          </w:p>
        </w:tc>
        <w:tc>
          <w:tcPr>
            <w:tcW w:type="dxa" w:w="1472"/>
            <w:tcBorders>
              <w:bottom w:sz="3.199999999999818" w:val="single" w:color="#000000"/>
            </w:tcBorders>
            <w:tcMar>
              <w:start w:w="0" w:type="dxa"/>
              <w:end w:w="0" w:type="dxa"/>
            </w:tcMar>
          </w:tcPr>
          <w:p>
            <w:pPr>
              <w:autoSpaceDN w:val="0"/>
              <w:autoSpaceDE w:val="0"/>
              <w:widowControl/>
              <w:spacing w:line="235" w:lineRule="auto" w:before="44" w:after="0"/>
              <w:ind w:left="0" w:right="114" w:firstLine="0"/>
              <w:jc w:val="right"/>
            </w:pPr>
            <w:r>
              <w:rPr>
                <w:rFonts w:ascii="Arial" w:hAnsi="Arial" w:eastAsia="Arial"/>
                <w:b w:val="0"/>
                <w:i w:val="0"/>
                <w:color w:val="000000"/>
                <w:sz w:val="15"/>
              </w:rPr>
              <w:t xml:space="preserve">108,048,567 </w:t>
            </w:r>
          </w:p>
        </w:tc>
        <w:tc>
          <w:tcPr>
            <w:tcW w:type="dxa" w:w="1118"/>
            <w:tcBorders>
              <w:bottom w:sz="3.199999999999818" w:val="single" w:color="#000000"/>
            </w:tcBorders>
            <w:tcMar>
              <w:start w:w="0" w:type="dxa"/>
              <w:end w:w="0" w:type="dxa"/>
            </w:tcMar>
          </w:tcPr>
          <w:p>
            <w:pPr>
              <w:autoSpaceDN w:val="0"/>
              <w:autoSpaceDE w:val="0"/>
              <w:widowControl/>
              <w:spacing w:line="235" w:lineRule="auto" w:before="44" w:after="0"/>
              <w:ind w:left="0" w:right="0" w:firstLine="0"/>
              <w:jc w:val="right"/>
            </w:pPr>
            <w:r>
              <w:rPr>
                <w:rFonts w:ascii="Arial" w:hAnsi="Arial" w:eastAsia="Arial"/>
                <w:b w:val="0"/>
                <w:i w:val="0"/>
                <w:color w:val="000000"/>
                <w:sz w:val="15"/>
              </w:rPr>
              <w:t>145,904,751</w:t>
            </w:r>
          </w:p>
        </w:tc>
        <w:tc>
          <w:tcPr>
            <w:tcW w:type="dxa" w:w="1330"/>
            <w:tcBorders>
              <w:bottom w:sz="3.199999999999818" w:val="single" w:color="#000000"/>
            </w:tcBorders>
            <w:tcMar>
              <w:start w:w="0" w:type="dxa"/>
              <w:end w:w="0" w:type="dxa"/>
            </w:tcMar>
          </w:tcPr>
          <w:p>
            <w:pPr>
              <w:autoSpaceDN w:val="0"/>
              <w:autoSpaceDE w:val="0"/>
              <w:widowControl/>
              <w:spacing w:line="235" w:lineRule="auto" w:before="44" w:after="0"/>
              <w:ind w:left="0" w:right="0" w:firstLine="0"/>
              <w:jc w:val="right"/>
            </w:pPr>
            <w:r>
              <w:rPr>
                <w:rFonts w:ascii="Arial" w:hAnsi="Arial" w:eastAsia="Arial"/>
                <w:b w:val="0"/>
                <w:i w:val="0"/>
                <w:color w:val="000000"/>
                <w:sz w:val="15"/>
              </w:rPr>
              <w:t>-</w:t>
            </w:r>
          </w:p>
        </w:tc>
        <w:tc>
          <w:tcPr>
            <w:tcW w:type="dxa" w:w="1330"/>
            <w:tcBorders>
              <w:bottom w:sz="3.199999999999818" w:val="single" w:color="#000000"/>
            </w:tcBorders>
            <w:tcMar>
              <w:start w:w="0" w:type="dxa"/>
              <w:end w:w="0" w:type="dxa"/>
            </w:tcMar>
          </w:tcPr>
          <w:p>
            <w:pPr>
              <w:autoSpaceDN w:val="0"/>
              <w:autoSpaceDE w:val="0"/>
              <w:widowControl/>
              <w:spacing w:line="235" w:lineRule="auto" w:before="44" w:after="0"/>
              <w:ind w:left="0" w:right="0" w:firstLine="0"/>
              <w:jc w:val="right"/>
            </w:pPr>
            <w:r>
              <w:rPr>
                <w:rFonts w:ascii="Arial" w:hAnsi="Arial" w:eastAsia="Arial"/>
                <w:b w:val="0"/>
                <w:i w:val="0"/>
                <w:color w:val="000000"/>
                <w:sz w:val="15"/>
              </w:rPr>
              <w:t>1,249,981,996</w:t>
            </w:r>
          </w:p>
        </w:tc>
        <w:tc>
          <w:tcPr>
            <w:tcW w:type="dxa" w:w="1204"/>
            <w:tcBorders>
              <w:bottom w:sz="3.199999999999818" w:val="single" w:color="#000000"/>
            </w:tcBorders>
            <w:tcMar>
              <w:start w:w="0" w:type="dxa"/>
              <w:end w:w="0" w:type="dxa"/>
            </w:tcMar>
          </w:tcPr>
          <w:p>
            <w:pPr>
              <w:autoSpaceDN w:val="0"/>
              <w:autoSpaceDE w:val="0"/>
              <w:widowControl/>
              <w:spacing w:line="235" w:lineRule="auto" w:before="44" w:after="0"/>
              <w:ind w:left="160" w:right="0" w:firstLine="0"/>
              <w:jc w:val="left"/>
            </w:pPr>
            <w:r>
              <w:rPr>
                <w:rFonts w:ascii="Arial" w:hAnsi="Arial" w:eastAsia="Arial"/>
                <w:b w:val="0"/>
                <w:i w:val="0"/>
                <w:color w:val="000000"/>
                <w:sz w:val="15"/>
              </w:rPr>
              <w:t xml:space="preserve"> 1,249,981,996</w:t>
            </w:r>
          </w:p>
        </w:tc>
      </w:tr>
      <w:tr>
        <w:trPr>
          <w:trHeight w:hRule="exact" w:val="378"/>
        </w:trPr>
        <w:tc>
          <w:tcPr>
            <w:tcW w:type="dxa" w:w="3430"/>
            <w:tcBorders>
              <w:top w:sz="3.199999999999818" w:val="single" w:color="#000000"/>
              <w:bottom w:sz="4.0" w:val="single" w:color="#000000"/>
            </w:tcBorders>
            <w:tcMar>
              <w:start w:w="0" w:type="dxa"/>
              <w:end w:w="0" w:type="dxa"/>
            </w:tcMar>
          </w:tcPr>
          <w:p>
            <w:pPr>
              <w:autoSpaceDN w:val="0"/>
              <w:autoSpaceDE w:val="0"/>
              <w:widowControl/>
              <w:spacing w:line="152" w:lineRule="exact" w:before="194" w:after="0"/>
              <w:ind w:left="0" w:right="0" w:firstLine="0"/>
              <w:jc w:val="left"/>
            </w:pPr>
            <w:r>
              <w:rPr>
                <w:rFonts w:ascii="黑体" w:hAnsi="黑体" w:eastAsia="黑体"/>
                <w:b w:val="0"/>
                <w:i w:val="0"/>
                <w:color w:val="000000"/>
                <w:sz w:val="15"/>
              </w:rPr>
              <w:t>金融负债合计</w:t>
            </w:r>
          </w:p>
        </w:tc>
        <w:tc>
          <w:tcPr>
            <w:tcW w:type="dxa" w:w="1234"/>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0" w:right="0" w:firstLine="0"/>
              <w:jc w:val="center"/>
            </w:pPr>
            <w:r>
              <w:rPr>
                <w:rFonts w:ascii="Arial" w:hAnsi="Arial" w:eastAsia="Arial"/>
                <w:b w:val="0"/>
                <w:i w:val="0"/>
                <w:color w:val="000000"/>
                <w:sz w:val="15"/>
              </w:rPr>
              <w:t xml:space="preserve">18,870,833,062 </w:t>
            </w:r>
          </w:p>
        </w:tc>
        <w:tc>
          <w:tcPr>
            <w:tcW w:type="dxa" w:w="1300"/>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260" w:right="0" w:firstLine="0"/>
              <w:jc w:val="left"/>
            </w:pPr>
            <w:r>
              <w:rPr>
                <w:rFonts w:ascii="Arial" w:hAnsi="Arial" w:eastAsia="Arial"/>
                <w:b w:val="0"/>
                <w:i w:val="0"/>
                <w:color w:val="000000"/>
                <w:sz w:val="15"/>
              </w:rPr>
              <w:t>25,452,074,618</w:t>
            </w:r>
          </w:p>
        </w:tc>
        <w:tc>
          <w:tcPr>
            <w:tcW w:type="dxa" w:w="1540"/>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0" w:right="28" w:firstLine="0"/>
              <w:jc w:val="right"/>
            </w:pPr>
            <w:r>
              <w:rPr>
                <w:rFonts w:ascii="Arial" w:hAnsi="Arial" w:eastAsia="Arial"/>
                <w:b w:val="0"/>
                <w:i w:val="0"/>
                <w:color w:val="000000"/>
                <w:sz w:val="15"/>
              </w:rPr>
              <w:t xml:space="preserve">1,289,507,796 </w:t>
            </w:r>
          </w:p>
        </w:tc>
        <w:tc>
          <w:tcPr>
            <w:tcW w:type="dxa" w:w="1472"/>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356" w:right="0" w:firstLine="0"/>
              <w:jc w:val="left"/>
            </w:pPr>
            <w:r>
              <w:rPr>
                <w:rFonts w:ascii="Arial" w:hAnsi="Arial" w:eastAsia="Arial"/>
                <w:b w:val="0"/>
                <w:i w:val="0"/>
                <w:color w:val="000000"/>
                <w:sz w:val="15"/>
              </w:rPr>
              <w:t xml:space="preserve">6,560,585,734 </w:t>
            </w:r>
          </w:p>
        </w:tc>
        <w:tc>
          <w:tcPr>
            <w:tcW w:type="dxa" w:w="1118"/>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78" w:right="0" w:firstLine="0"/>
              <w:jc w:val="left"/>
            </w:pPr>
            <w:r>
              <w:rPr>
                <w:rFonts w:ascii="Arial" w:hAnsi="Arial" w:eastAsia="Arial"/>
                <w:b w:val="0"/>
                <w:i w:val="0"/>
                <w:color w:val="000000"/>
                <w:sz w:val="15"/>
              </w:rPr>
              <w:t>10,014,737,350</w:t>
            </w:r>
          </w:p>
        </w:tc>
        <w:tc>
          <w:tcPr>
            <w:tcW w:type="dxa" w:w="1330"/>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0" w:right="0" w:firstLine="0"/>
              <w:jc w:val="right"/>
            </w:pPr>
            <w:r>
              <w:rPr>
                <w:rFonts w:ascii="Arial" w:hAnsi="Arial" w:eastAsia="Arial"/>
                <w:b w:val="0"/>
                <w:i w:val="0"/>
                <w:color w:val="000000"/>
                <w:sz w:val="15"/>
              </w:rPr>
              <w:t>15,851,303</w:t>
            </w:r>
          </w:p>
        </w:tc>
        <w:tc>
          <w:tcPr>
            <w:tcW w:type="dxa" w:w="1330"/>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288" w:right="0" w:firstLine="0"/>
              <w:jc w:val="left"/>
            </w:pPr>
            <w:r>
              <w:rPr>
                <w:rFonts w:ascii="Arial" w:hAnsi="Arial" w:eastAsia="Arial"/>
                <w:b w:val="0"/>
                <w:i w:val="0"/>
                <w:color w:val="000000"/>
                <w:sz w:val="15"/>
              </w:rPr>
              <w:t>62,203,589,863</w:t>
            </w:r>
          </w:p>
        </w:tc>
        <w:tc>
          <w:tcPr>
            <w:tcW w:type="dxa" w:w="1204"/>
            <w:tcBorders>
              <w:top w:sz="3.199999999999818" w:val="single" w:color="#000000"/>
              <w:bottom w:sz="4.0" w:val="single" w:color="#000000"/>
            </w:tcBorders>
            <w:tcMar>
              <w:start w:w="0" w:type="dxa"/>
              <w:end w:w="0" w:type="dxa"/>
            </w:tcMar>
          </w:tcPr>
          <w:p>
            <w:pPr>
              <w:autoSpaceDN w:val="0"/>
              <w:autoSpaceDE w:val="0"/>
              <w:widowControl/>
              <w:spacing w:line="233" w:lineRule="auto" w:before="198" w:after="0"/>
              <w:ind w:left="160" w:right="0" w:firstLine="0"/>
              <w:jc w:val="left"/>
            </w:pPr>
            <w:r>
              <w:rPr>
                <w:rFonts w:ascii="Arial" w:hAnsi="Arial" w:eastAsia="Arial"/>
                <w:b w:val="0"/>
                <w:i w:val="0"/>
                <w:color w:val="000000"/>
                <w:sz w:val="15"/>
              </w:rPr>
              <w:t xml:space="preserve"> 61,966,515,835</w:t>
            </w:r>
          </w:p>
        </w:tc>
      </w:tr>
      <w:tr>
        <w:trPr>
          <w:trHeight w:hRule="exact" w:val="52"/>
        </w:trPr>
        <w:tc>
          <w:tcPr>
            <w:tcW w:type="dxa" w:w="3430"/>
            <w:tcBorders>
              <w:top w:sz="4.0" w:val="single" w:color="#000000"/>
            </w:tcBorders>
            <w:tcMar>
              <w:start w:w="0" w:type="dxa"/>
              <w:end w:w="0" w:type="dxa"/>
            </w:tcMar>
          </w:tcPr>
          <w:p/>
        </w:tc>
        <w:tc>
          <w:tcPr>
            <w:tcW w:type="dxa" w:w="1234"/>
            <w:tcBorders>
              <w:top w:sz="4.0" w:val="single" w:color="#000000"/>
            </w:tcBorders>
            <w:tcMar>
              <w:start w:w="0" w:type="dxa"/>
              <w:end w:w="0" w:type="dxa"/>
            </w:tcMar>
          </w:tcPr>
          <w:p/>
        </w:tc>
        <w:tc>
          <w:tcPr>
            <w:tcW w:type="dxa" w:w="1300"/>
            <w:tcBorders>
              <w:top w:sz="4.0" w:val="single" w:color="#000000"/>
            </w:tcBorders>
            <w:tcMar>
              <w:start w:w="0" w:type="dxa"/>
              <w:end w:w="0" w:type="dxa"/>
            </w:tcMar>
          </w:tcPr>
          <w:p/>
        </w:tc>
        <w:tc>
          <w:tcPr>
            <w:tcW w:type="dxa" w:w="1540"/>
            <w:tcBorders>
              <w:top w:sz="4.0" w:val="single" w:color="#000000"/>
            </w:tcBorders>
            <w:tcMar>
              <w:start w:w="0" w:type="dxa"/>
              <w:end w:w="0" w:type="dxa"/>
            </w:tcMar>
          </w:tcPr>
          <w:p/>
        </w:tc>
        <w:tc>
          <w:tcPr>
            <w:tcW w:type="dxa" w:w="1472"/>
            <w:tcBorders>
              <w:top w:sz="4.0" w:val="single" w:color="#000000"/>
            </w:tcBorders>
            <w:tcMar>
              <w:start w:w="0" w:type="dxa"/>
              <w:end w:w="0" w:type="dxa"/>
            </w:tcMar>
          </w:tcPr>
          <w:p/>
        </w:tc>
        <w:tc>
          <w:tcPr>
            <w:tcW w:type="dxa" w:w="1118"/>
            <w:tcBorders>
              <w:top w:sz="4.0" w:val="single" w:color="#000000"/>
            </w:tcBorders>
            <w:tcMar>
              <w:start w:w="0" w:type="dxa"/>
              <w:end w:w="0" w:type="dxa"/>
            </w:tcMar>
          </w:tcPr>
          <w:p/>
        </w:tc>
        <w:tc>
          <w:tcPr>
            <w:tcW w:type="dxa" w:w="1330"/>
            <w:tcBorders>
              <w:top w:sz="4.0" w:val="single" w:color="#000000"/>
            </w:tcBorders>
            <w:tcMar>
              <w:start w:w="0" w:type="dxa"/>
              <w:end w:w="0" w:type="dxa"/>
            </w:tcMar>
          </w:tcPr>
          <w:p/>
        </w:tc>
        <w:tc>
          <w:tcPr>
            <w:tcW w:type="dxa" w:w="1330"/>
            <w:tcBorders>
              <w:top w:sz="4.0" w:val="single" w:color="#000000"/>
            </w:tcBorders>
            <w:tcMar>
              <w:start w:w="0" w:type="dxa"/>
              <w:end w:w="0" w:type="dxa"/>
            </w:tcMar>
          </w:tcPr>
          <w:p/>
        </w:tc>
        <w:tc>
          <w:tcPr>
            <w:tcW w:type="dxa" w:w="1204"/>
            <w:tcBorders>
              <w:top w:sz="4.0" w:val="single" w:color="#000000"/>
            </w:tcBorders>
            <w:tcMar>
              <w:start w:w="0" w:type="dxa"/>
              <w:end w:w="0" w:type="dxa"/>
            </w:tcMar>
          </w:tcPr>
          <w:p/>
        </w:tc>
      </w:tr>
    </w:tbl>
    <w:p>
      <w:pPr>
        <w:autoSpaceDN w:val="0"/>
        <w:autoSpaceDE w:val="0"/>
        <w:widowControl/>
        <w:spacing w:line="233" w:lineRule="auto" w:before="3408" w:after="0"/>
        <w:ind w:left="0" w:right="0" w:firstLine="0"/>
        <w:jc w:val="center"/>
      </w:pPr>
      <w:r>
        <w:rPr>
          <w:rFonts w:ascii="Arial" w:hAnsi="Arial" w:eastAsia="Arial"/>
          <w:b w:val="0"/>
          <w:i w:val="0"/>
          <w:color w:val="000000"/>
          <w:sz w:val="20"/>
        </w:rPr>
        <w:t xml:space="preserve">282 </w:t>
      </w:r>
    </w:p>
    <w:p>
      <w:pPr>
        <w:sectPr>
          <w:pgSz w:w="16841" w:h="11899"/>
          <w:pgMar w:top="1174" w:right="1418"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672" w:val="left"/>
          <w:tab w:pos="13058" w:val="left"/>
        </w:tabs>
        <w:autoSpaceDE w:val="0"/>
        <w:widowControl/>
        <w:spacing w:line="408" w:lineRule="exact" w:before="0" w:after="18"/>
        <w:ind w:left="0" w:right="0"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2. </w:t>
      </w:r>
      <w:r>
        <w:rPr>
          <w:rFonts w:ascii="黑体" w:hAnsi="黑体" w:eastAsia="黑体"/>
          <w:b w:val="0"/>
          <w:i w:val="0"/>
          <w:color w:val="000000"/>
          <w:sz w:val="22"/>
        </w:rPr>
        <w:t>流动性风险（续）</w:t>
      </w:r>
      <w:r>
        <w:br/>
      </w:r>
      <w:r>
        <w:rPr>
          <w:rFonts w:ascii="黑体" w:hAnsi="黑体" w:eastAsia="黑体"/>
          <w:b w:val="0"/>
          <w:i w:val="0"/>
          <w:color w:val="000000"/>
          <w:sz w:val="22"/>
        </w:rPr>
        <w:t>本集团于资产负债表日的金融负债按未折现的合同现金流量（包括按合同利率（如果是浮动利率则按资产负债表日的现行利率）计算的利息）的</w:t>
      </w:r>
      <w:r>
        <w:rPr>
          <w:rFonts w:ascii="黑体" w:hAnsi="黑体" w:eastAsia="黑体"/>
          <w:b w:val="0"/>
          <w:i w:val="0"/>
          <w:color w:val="000000"/>
          <w:sz w:val="22"/>
        </w:rPr>
        <w:t>剩余合约期限或被要求支付的最早日期分析如下：（续）</w:t>
      </w:r>
      <w:r>
        <w:br/>
      </w:r>
      <w:r>
        <w:tab/>
      </w:r>
      <w:r>
        <w:tab/>
      </w:r>
      <w:r>
        <w:rPr>
          <w:rFonts w:ascii="黑体" w:hAnsi="黑体" w:eastAsia="黑体"/>
          <w:b w:val="0"/>
          <w:i w:val="0"/>
          <w:color w:val="000000"/>
          <w:sz w:val="15"/>
        </w:rPr>
        <w:t>资产负债表日</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182"/>
        </w:trPr>
        <w:tc>
          <w:tcPr>
            <w:tcW w:type="dxa" w:w="3922"/>
            <w:tcBorders>
              <w:bottom w:sz="2.400000000000091" w:val="single" w:color="#000000"/>
            </w:tcBorders>
            <w:tcMar>
              <w:start w:w="0" w:type="dxa"/>
              <w:end w:w="0" w:type="dxa"/>
            </w:tcMar>
          </w:tcPr>
          <w:p>
            <w:pPr>
              <w:autoSpaceDN w:val="0"/>
              <w:autoSpaceDE w:val="0"/>
              <w:widowControl/>
              <w:spacing w:line="168" w:lineRule="exact" w:before="12" w:after="0"/>
              <w:ind w:left="0" w:right="0" w:firstLine="0"/>
              <w:jc w:val="left"/>
            </w:pPr>
            <w:r>
              <w:rPr>
                <w:rFonts w:ascii="Arial" w:hAnsi="Arial" w:eastAsia="Arial"/>
                <w:b w:val="0"/>
                <w:i w:val="0"/>
                <w:color w:val="000000"/>
                <w:sz w:val="15"/>
                <w:u w:val="single"/>
              </w:rPr>
              <w:t>2023</w:t>
            </w:r>
            <w:r>
              <w:rPr>
                <w:rFonts w:ascii="黑体" w:hAnsi="黑体" w:eastAsia="黑体"/>
                <w:b w:val="0"/>
                <w:i w:val="0"/>
                <w:color w:val="000000"/>
                <w:sz w:val="15"/>
                <w:u w:val="single"/>
              </w:rPr>
              <w:t>年</w:t>
            </w:r>
            <w:r>
              <w:rPr>
                <w:rFonts w:ascii="Arial" w:hAnsi="Arial" w:eastAsia="Arial"/>
                <w:b w:val="0"/>
                <w:i w:val="0"/>
                <w:color w:val="000000"/>
                <w:sz w:val="15"/>
                <w:u w:val="single"/>
              </w:rPr>
              <w:t>12</w:t>
            </w:r>
            <w:r>
              <w:rPr>
                <w:rFonts w:ascii="黑体" w:hAnsi="黑体" w:eastAsia="黑体"/>
                <w:b w:val="0"/>
                <w:i w:val="0"/>
                <w:color w:val="000000"/>
                <w:sz w:val="15"/>
                <w:u w:val="single"/>
              </w:rPr>
              <w:t>月</w:t>
            </w:r>
            <w:r>
              <w:rPr>
                <w:rFonts w:ascii="Arial" w:hAnsi="Arial" w:eastAsia="Arial"/>
                <w:b w:val="0"/>
                <w:i w:val="0"/>
                <w:color w:val="000000"/>
                <w:sz w:val="15"/>
                <w:u w:val="single"/>
              </w:rPr>
              <w:t>31</w:t>
            </w:r>
            <w:r>
              <w:rPr>
                <w:rFonts w:ascii="黑体" w:hAnsi="黑体" w:eastAsia="黑体"/>
                <w:b w:val="0"/>
                <w:i w:val="0"/>
                <w:color w:val="000000"/>
                <w:sz w:val="15"/>
                <w:u w:val="single"/>
              </w:rPr>
              <w:t>日</w:t>
            </w:r>
          </w:p>
        </w:tc>
        <w:tc>
          <w:tcPr>
            <w:tcW w:type="dxa" w:w="600"/>
            <w:tcBorders>
              <w:bottom w:sz="2.400000000000091" w:val="single" w:color="#000000"/>
            </w:tcBorders>
            <w:tcMar>
              <w:start w:w="0" w:type="dxa"/>
              <w:end w:w="0" w:type="dxa"/>
            </w:tcMar>
          </w:tcPr>
          <w:p>
            <w:pPr>
              <w:autoSpaceDN w:val="0"/>
              <w:autoSpaceDE w:val="0"/>
              <w:widowControl/>
              <w:spacing w:line="150" w:lineRule="exact" w:before="26" w:after="0"/>
              <w:ind w:left="0" w:right="0" w:firstLine="0"/>
              <w:jc w:val="center"/>
            </w:pPr>
            <w:r>
              <w:rPr>
                <w:rFonts w:ascii="黑体" w:hAnsi="黑体" w:eastAsia="黑体"/>
                <w:b w:val="0"/>
                <w:i w:val="0"/>
                <w:color w:val="000000"/>
                <w:sz w:val="15"/>
              </w:rPr>
              <w:t>即期偿还</w:t>
            </w:r>
          </w:p>
        </w:tc>
        <w:tc>
          <w:tcPr>
            <w:tcW w:type="dxa" w:w="1718"/>
            <w:tcBorders>
              <w:bottom w:sz="2.400000000000091" w:val="single" w:color="#000000"/>
            </w:tcBorders>
            <w:tcMar>
              <w:start w:w="0" w:type="dxa"/>
              <w:end w:w="0" w:type="dxa"/>
            </w:tcMar>
          </w:tcPr>
          <w:p>
            <w:pPr>
              <w:autoSpaceDN w:val="0"/>
              <w:autoSpaceDE w:val="0"/>
              <w:widowControl/>
              <w:spacing w:line="168" w:lineRule="exact" w:before="12" w:after="0"/>
              <w:ind w:left="0" w:right="272" w:firstLine="0"/>
              <w:jc w:val="right"/>
            </w:pPr>
            <w:r>
              <w:rPr>
                <w:rFonts w:ascii="Arial" w:hAnsi="Arial" w:eastAsia="Arial"/>
                <w:b w:val="0"/>
                <w:i w:val="0"/>
                <w:color w:val="000000"/>
                <w:sz w:val="15"/>
              </w:rPr>
              <w:t>1</w:t>
            </w:r>
            <w:r>
              <w:rPr>
                <w:rFonts w:ascii="黑体" w:hAnsi="黑体" w:eastAsia="黑体"/>
                <w:b w:val="0"/>
                <w:i w:val="0"/>
                <w:color w:val="000000"/>
                <w:sz w:val="15"/>
              </w:rPr>
              <w:t>个月内</w:t>
            </w:r>
          </w:p>
        </w:tc>
        <w:tc>
          <w:tcPr>
            <w:tcW w:type="dxa" w:w="1500"/>
            <w:tcBorders>
              <w:bottom w:sz="2.400000000000091" w:val="single" w:color="#000000"/>
            </w:tcBorders>
            <w:tcMar>
              <w:start w:w="0" w:type="dxa"/>
              <w:end w:w="0" w:type="dxa"/>
            </w:tcMar>
          </w:tcPr>
          <w:p>
            <w:pPr>
              <w:autoSpaceDN w:val="0"/>
              <w:autoSpaceDE w:val="0"/>
              <w:widowControl/>
              <w:spacing w:line="168" w:lineRule="exact" w:before="12" w:after="0"/>
              <w:ind w:left="0" w:right="0" w:firstLine="0"/>
              <w:jc w:val="center"/>
            </w:pPr>
            <w:r>
              <w:rPr>
                <w:rFonts w:ascii="Arial" w:hAnsi="Arial" w:eastAsia="Arial"/>
                <w:b w:val="0"/>
                <w:i w:val="0"/>
                <w:color w:val="000000"/>
                <w:sz w:val="15"/>
                <w:u w:val="single"/>
              </w:rPr>
              <w:t>1</w:t>
            </w:r>
            <w:r>
              <w:rPr>
                <w:rFonts w:ascii="黑体" w:hAnsi="黑体" w:eastAsia="黑体"/>
                <w:b w:val="0"/>
                <w:i w:val="0"/>
                <w:color w:val="000000"/>
                <w:sz w:val="15"/>
              </w:rPr>
              <w:t>个月至</w:t>
            </w:r>
            <w:r>
              <w:rPr>
                <w:rFonts w:ascii="Arial" w:hAnsi="Arial" w:eastAsia="Arial"/>
                <w:b w:val="0"/>
                <w:i w:val="0"/>
                <w:color w:val="000000"/>
                <w:sz w:val="15"/>
                <w:u w:val="single"/>
              </w:rPr>
              <w:t>3</w:t>
            </w:r>
            <w:r>
              <w:rPr>
                <w:rFonts w:ascii="黑体" w:hAnsi="黑体" w:eastAsia="黑体"/>
                <w:b w:val="0"/>
                <w:i w:val="0"/>
                <w:color w:val="000000"/>
                <w:sz w:val="15"/>
              </w:rPr>
              <w:t>个月</w:t>
            </w:r>
          </w:p>
        </w:tc>
        <w:tc>
          <w:tcPr>
            <w:tcW w:type="dxa" w:w="1400"/>
            <w:tcBorders>
              <w:bottom w:sz="2.400000000000091" w:val="single" w:color="#000000"/>
            </w:tcBorders>
            <w:tcMar>
              <w:start w:w="0" w:type="dxa"/>
              <w:end w:w="0" w:type="dxa"/>
            </w:tcMar>
          </w:tcPr>
          <w:p>
            <w:pPr>
              <w:autoSpaceDN w:val="0"/>
              <w:autoSpaceDE w:val="0"/>
              <w:widowControl/>
              <w:spacing w:line="168" w:lineRule="exact" w:before="12" w:after="0"/>
              <w:ind w:left="0" w:right="0" w:firstLine="0"/>
              <w:jc w:val="center"/>
            </w:pPr>
            <w:r>
              <w:rPr>
                <w:rFonts w:ascii="Arial" w:hAnsi="Arial" w:eastAsia="Arial"/>
                <w:b w:val="0"/>
                <w:i w:val="0"/>
                <w:color w:val="000000"/>
                <w:sz w:val="15"/>
                <w:u w:val="single"/>
              </w:rPr>
              <w:t>3</w:t>
            </w:r>
            <w:r>
              <w:rPr>
                <w:rFonts w:ascii="黑体" w:hAnsi="黑体" w:eastAsia="黑体"/>
                <w:b w:val="0"/>
                <w:i w:val="0"/>
                <w:color w:val="000000"/>
                <w:sz w:val="15"/>
              </w:rPr>
              <w:t>个月至</w:t>
            </w:r>
            <w:r>
              <w:rPr>
                <w:rFonts w:ascii="Arial" w:hAnsi="Arial" w:eastAsia="Arial"/>
                <w:b w:val="0"/>
                <w:i w:val="0"/>
                <w:color w:val="000000"/>
                <w:sz w:val="15"/>
                <w:u w:val="single"/>
              </w:rPr>
              <w:t>1</w:t>
            </w:r>
            <w:r>
              <w:rPr>
                <w:rFonts w:ascii="黑体" w:hAnsi="黑体" w:eastAsia="黑体"/>
                <w:b w:val="0"/>
                <w:i w:val="0"/>
                <w:color w:val="000000"/>
                <w:sz w:val="15"/>
              </w:rPr>
              <w:t>年</w:t>
            </w:r>
          </w:p>
        </w:tc>
        <w:tc>
          <w:tcPr>
            <w:tcW w:type="dxa" w:w="1340"/>
            <w:tcBorders>
              <w:bottom w:sz="2.400000000000091" w:val="single" w:color="#000000"/>
            </w:tcBorders>
            <w:tcMar>
              <w:start w:w="0" w:type="dxa"/>
              <w:end w:w="0" w:type="dxa"/>
            </w:tcMar>
          </w:tcPr>
          <w:p>
            <w:pPr>
              <w:autoSpaceDN w:val="0"/>
              <w:autoSpaceDE w:val="0"/>
              <w:widowControl/>
              <w:spacing w:line="168" w:lineRule="exact" w:before="12" w:after="0"/>
              <w:ind w:left="0" w:right="0" w:firstLine="0"/>
              <w:jc w:val="center"/>
            </w:pPr>
            <w:r>
              <w:rPr>
                <w:rFonts w:ascii="Arial" w:hAnsi="Arial" w:eastAsia="Arial"/>
                <w:b w:val="0"/>
                <w:i w:val="0"/>
                <w:color w:val="000000"/>
                <w:sz w:val="15"/>
                <w:u w:val="single"/>
              </w:rPr>
              <w:t>1</w:t>
            </w:r>
            <w:r>
              <w:rPr>
                <w:rFonts w:ascii="黑体" w:hAnsi="黑体" w:eastAsia="黑体"/>
                <w:b w:val="0"/>
                <w:i w:val="0"/>
                <w:color w:val="000000"/>
                <w:sz w:val="15"/>
              </w:rPr>
              <w:t>年至</w:t>
            </w:r>
            <w:r>
              <w:rPr>
                <w:rFonts w:ascii="Arial" w:hAnsi="Arial" w:eastAsia="Arial"/>
                <w:b w:val="0"/>
                <w:i w:val="0"/>
                <w:color w:val="000000"/>
                <w:sz w:val="15"/>
                <w:u w:val="single"/>
              </w:rPr>
              <w:t>5</w:t>
            </w:r>
            <w:r>
              <w:rPr>
                <w:rFonts w:ascii="黑体" w:hAnsi="黑体" w:eastAsia="黑体"/>
                <w:b w:val="0"/>
                <w:i w:val="0"/>
                <w:color w:val="000000"/>
                <w:sz w:val="15"/>
              </w:rPr>
              <w:t>年</w:t>
            </w:r>
          </w:p>
        </w:tc>
        <w:tc>
          <w:tcPr>
            <w:tcW w:type="dxa" w:w="1974"/>
            <w:tcBorders>
              <w:bottom w:sz="2.400000000000091" w:val="single" w:color="#000000"/>
            </w:tcBorders>
            <w:tcMar>
              <w:start w:w="0" w:type="dxa"/>
              <w:end w:w="0" w:type="dxa"/>
            </w:tcMar>
          </w:tcPr>
          <w:p>
            <w:pPr>
              <w:autoSpaceDN w:val="0"/>
              <w:autoSpaceDE w:val="0"/>
              <w:widowControl/>
              <w:spacing w:line="168" w:lineRule="exact" w:before="12" w:after="0"/>
              <w:ind w:left="410" w:right="0" w:firstLine="0"/>
              <w:jc w:val="left"/>
            </w:pPr>
            <w:r>
              <w:rPr>
                <w:rFonts w:ascii="Arial" w:hAnsi="Arial" w:eastAsia="Arial"/>
                <w:b w:val="0"/>
                <w:i w:val="0"/>
                <w:color w:val="000000"/>
                <w:sz w:val="15"/>
              </w:rPr>
              <w:t>5</w:t>
            </w:r>
            <w:r>
              <w:rPr>
                <w:rFonts w:ascii="黑体" w:hAnsi="黑体" w:eastAsia="黑体"/>
                <w:b w:val="0"/>
                <w:i w:val="0"/>
                <w:color w:val="000000"/>
                <w:sz w:val="15"/>
              </w:rPr>
              <w:t>年以上</w:t>
            </w:r>
          </w:p>
        </w:tc>
        <w:tc>
          <w:tcPr>
            <w:tcW w:type="dxa" w:w="300"/>
            <w:tcBorders>
              <w:bottom w:sz="2.400000000000091" w:val="single" w:color="#000000"/>
            </w:tcBorders>
            <w:tcMar>
              <w:start w:w="0" w:type="dxa"/>
              <w:end w:w="0" w:type="dxa"/>
            </w:tcMar>
          </w:tcPr>
          <w:p>
            <w:pPr>
              <w:autoSpaceDN w:val="0"/>
              <w:autoSpaceDE w:val="0"/>
              <w:widowControl/>
              <w:spacing w:line="150" w:lineRule="exact" w:before="26" w:after="0"/>
              <w:ind w:left="0" w:right="0" w:firstLine="0"/>
              <w:jc w:val="center"/>
            </w:pPr>
            <w:r>
              <w:rPr>
                <w:rFonts w:ascii="黑体" w:hAnsi="黑体" w:eastAsia="黑体"/>
                <w:b w:val="0"/>
                <w:i w:val="0"/>
                <w:color w:val="000000"/>
                <w:sz w:val="15"/>
              </w:rPr>
              <w:t>合计</w:t>
            </w:r>
          </w:p>
        </w:tc>
        <w:tc>
          <w:tcPr>
            <w:tcW w:type="dxa" w:w="1204"/>
            <w:tcBorders>
              <w:bottom w:sz="2.400000000000091" w:val="single" w:color="#000000"/>
            </w:tcBorders>
            <w:tcMar>
              <w:start w:w="0" w:type="dxa"/>
              <w:end w:w="0" w:type="dxa"/>
            </w:tcMar>
          </w:tcPr>
          <w:p>
            <w:pPr>
              <w:autoSpaceDN w:val="0"/>
              <w:autoSpaceDE w:val="0"/>
              <w:widowControl/>
              <w:spacing w:line="150" w:lineRule="exact" w:before="26" w:after="0"/>
              <w:ind w:left="0" w:right="0" w:firstLine="0"/>
              <w:jc w:val="right"/>
            </w:pPr>
            <w:r>
              <w:rPr>
                <w:rFonts w:ascii="黑体" w:hAnsi="黑体" w:eastAsia="黑体"/>
                <w:b w:val="0"/>
                <w:i w:val="0"/>
                <w:color w:val="000000"/>
                <w:sz w:val="15"/>
              </w:rPr>
              <w:t>账面价值</w:t>
            </w:r>
          </w:p>
        </w:tc>
      </w:tr>
      <w:tr>
        <w:trPr>
          <w:trHeight w:hRule="exact" w:val="64"/>
        </w:trPr>
        <w:tc>
          <w:tcPr>
            <w:tcW w:type="dxa" w:w="3922"/>
            <w:tcBorders>
              <w:top w:sz="2.400000000000091" w:val="single" w:color="#000000"/>
            </w:tcBorders>
            <w:tcMar>
              <w:start w:w="0" w:type="dxa"/>
              <w:end w:w="0" w:type="dxa"/>
            </w:tcMar>
          </w:tcPr>
          <w:p/>
        </w:tc>
        <w:tc>
          <w:tcPr>
            <w:tcW w:type="dxa" w:w="600"/>
            <w:tcBorders>
              <w:top w:sz="2.400000000000091" w:val="single" w:color="#000000"/>
            </w:tcBorders>
            <w:tcMar>
              <w:start w:w="0" w:type="dxa"/>
              <w:end w:w="0" w:type="dxa"/>
            </w:tcMar>
          </w:tcPr>
          <w:p/>
        </w:tc>
        <w:tc>
          <w:tcPr>
            <w:tcW w:type="dxa" w:w="1718"/>
            <w:tcBorders>
              <w:top w:sz="2.400000000000091" w:val="single" w:color="#000000"/>
            </w:tcBorders>
            <w:tcMar>
              <w:start w:w="0" w:type="dxa"/>
              <w:end w:w="0" w:type="dxa"/>
            </w:tcMar>
          </w:tcPr>
          <w:p/>
        </w:tc>
        <w:tc>
          <w:tcPr>
            <w:tcW w:type="dxa" w:w="1500"/>
            <w:tcBorders>
              <w:top w:sz="2.400000000000091" w:val="single" w:color="#000000"/>
            </w:tcBorders>
            <w:tcMar>
              <w:start w:w="0" w:type="dxa"/>
              <w:end w:w="0" w:type="dxa"/>
            </w:tcMar>
          </w:tcPr>
          <w:p/>
        </w:tc>
        <w:tc>
          <w:tcPr>
            <w:tcW w:type="dxa" w:w="1400"/>
            <w:tcBorders>
              <w:top w:sz="2.400000000000091" w:val="single" w:color="#000000"/>
            </w:tcBorders>
            <w:tcMar>
              <w:start w:w="0" w:type="dxa"/>
              <w:end w:w="0" w:type="dxa"/>
            </w:tcMar>
          </w:tcPr>
          <w:p/>
        </w:tc>
        <w:tc>
          <w:tcPr>
            <w:tcW w:type="dxa" w:w="1340"/>
            <w:tcBorders>
              <w:top w:sz="2.400000000000091" w:val="single" w:color="#000000"/>
            </w:tcBorders>
            <w:tcMar>
              <w:start w:w="0" w:type="dxa"/>
              <w:end w:w="0" w:type="dxa"/>
            </w:tcMar>
          </w:tcPr>
          <w:p/>
        </w:tc>
        <w:tc>
          <w:tcPr>
            <w:tcW w:type="dxa" w:w="1974"/>
            <w:tcBorders>
              <w:top w:sz="2.400000000000091" w:val="single" w:color="#000000"/>
            </w:tcBorders>
            <w:tcMar>
              <w:start w:w="0" w:type="dxa"/>
              <w:end w:w="0" w:type="dxa"/>
            </w:tcMar>
          </w:tcPr>
          <w:p/>
        </w:tc>
        <w:tc>
          <w:tcPr>
            <w:tcW w:type="dxa" w:w="300"/>
            <w:tcBorders>
              <w:top w:sz="2.400000000000091" w:val="single" w:color="#000000"/>
            </w:tcBorders>
            <w:tcMar>
              <w:start w:w="0" w:type="dxa"/>
              <w:end w:w="0" w:type="dxa"/>
            </w:tcMar>
          </w:tcPr>
          <w:p/>
        </w:tc>
        <w:tc>
          <w:tcPr>
            <w:tcW w:type="dxa" w:w="1204"/>
            <w:tcBorders>
              <w:top w:sz="2.400000000000091" w:val="single" w:color="#000000"/>
            </w:tcBorders>
            <w:tcMar>
              <w:start w:w="0" w:type="dxa"/>
              <w:end w:w="0" w:type="dxa"/>
            </w:tcMar>
          </w:tcPr>
          <w:p/>
        </w:tc>
      </w:tr>
    </w:tbl>
    <w:p>
      <w:pPr>
        <w:autoSpaceDN w:val="0"/>
        <w:autoSpaceDE w:val="0"/>
        <w:widowControl/>
        <w:spacing w:line="152" w:lineRule="exact" w:before="146" w:after="20"/>
        <w:ind w:left="0" w:right="0" w:firstLine="0"/>
        <w:jc w:val="left"/>
      </w:pPr>
      <w:r>
        <w:rPr>
          <w:rFonts w:ascii="黑体" w:hAnsi="黑体" w:eastAsia="黑体"/>
          <w:b w:val="0"/>
          <w:i w:val="0"/>
          <w:color w:val="000000"/>
          <w:sz w:val="15"/>
        </w:rPr>
        <w:t>金融负债</w:t>
      </w:r>
    </w:p>
    <w:tbl>
      <w:tblPr>
        <w:tblW w:type="auto" w:w="0"/>
        <w:tblLayout w:type="fixed"/>
        <w:tblLook w:firstColumn="1" w:firstRow="1" w:lastColumn="0" w:lastRow="0" w:noHBand="0" w:noVBand="1" w:val="04A0"/>
        <w:tblInd w:w="0.0" w:type="dxa"/>
      </w:tblPr>
      <w:tblGrid>
        <w:gridCol w:w="1554"/>
        <w:gridCol w:w="1554"/>
        <w:gridCol w:w="1554"/>
        <w:gridCol w:w="1554"/>
        <w:gridCol w:w="1554"/>
        <w:gridCol w:w="1554"/>
        <w:gridCol w:w="1554"/>
        <w:gridCol w:w="1554"/>
        <w:gridCol w:w="1554"/>
      </w:tblGrid>
      <w:tr>
        <w:trPr>
          <w:trHeight w:hRule="exact" w:val="182"/>
        </w:trPr>
        <w:tc>
          <w:tcPr>
            <w:tcW w:type="dxa" w:w="3430"/>
            <w:tcBorders/>
            <w:tcMar>
              <w:start w:w="0" w:type="dxa"/>
              <w:end w:w="0" w:type="dxa"/>
            </w:tcMar>
          </w:tcPr>
          <w:p>
            <w:pPr>
              <w:autoSpaceDN w:val="0"/>
              <w:autoSpaceDE w:val="0"/>
              <w:widowControl/>
              <w:spacing w:line="152" w:lineRule="exact" w:before="22" w:after="0"/>
              <w:ind w:left="152" w:right="0" w:firstLine="0"/>
              <w:jc w:val="left"/>
            </w:pPr>
            <w:r>
              <w:rPr>
                <w:rFonts w:ascii="黑体" w:hAnsi="黑体" w:eastAsia="黑体"/>
                <w:b w:val="0"/>
                <w:i w:val="0"/>
                <w:color w:val="000000"/>
                <w:sz w:val="15"/>
              </w:rPr>
              <w:t>短期借款</w:t>
            </w:r>
          </w:p>
        </w:tc>
        <w:tc>
          <w:tcPr>
            <w:tcW w:type="dxa" w:w="1234"/>
            <w:tcBorders/>
            <w:tcMar>
              <w:start w:w="0" w:type="dxa"/>
              <w:end w:w="0" w:type="dxa"/>
            </w:tcMar>
          </w:tcPr>
          <w:p>
            <w:pPr>
              <w:autoSpaceDN w:val="0"/>
              <w:autoSpaceDE w:val="0"/>
              <w:widowControl/>
              <w:spacing w:line="233" w:lineRule="auto" w:before="14"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3" w:lineRule="auto" w:before="14"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3" w:lineRule="auto" w:before="14" w:after="0"/>
              <w:ind w:left="0" w:right="114" w:firstLine="0"/>
              <w:jc w:val="right"/>
            </w:pPr>
            <w:r>
              <w:rPr>
                <w:rFonts w:ascii="Arial" w:hAnsi="Arial" w:eastAsia="Arial"/>
                <w:b w:val="0"/>
                <w:i w:val="0"/>
                <w:color w:val="000000"/>
                <w:sz w:val="15"/>
              </w:rPr>
              <w:t xml:space="preserve">143,688,754 </w:t>
            </w:r>
          </w:p>
        </w:tc>
        <w:tc>
          <w:tcPr>
            <w:tcW w:type="dxa" w:w="111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143,688,754</w:t>
            </w:r>
          </w:p>
        </w:tc>
        <w:tc>
          <w:tcPr>
            <w:tcW w:type="dxa" w:w="1204"/>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137,317,148</w:t>
            </w:r>
          </w:p>
        </w:tc>
      </w:tr>
      <w:tr>
        <w:trPr>
          <w:trHeight w:hRule="exact" w:val="220"/>
        </w:trPr>
        <w:tc>
          <w:tcPr>
            <w:tcW w:type="dxa" w:w="3430"/>
            <w:tcBorders/>
            <w:tcMar>
              <w:start w:w="0" w:type="dxa"/>
              <w:end w:w="0" w:type="dxa"/>
            </w:tcMar>
          </w:tcPr>
          <w:p>
            <w:pPr>
              <w:autoSpaceDN w:val="0"/>
              <w:autoSpaceDE w:val="0"/>
              <w:widowControl/>
              <w:spacing w:line="150" w:lineRule="exact" w:before="36" w:after="0"/>
              <w:ind w:left="152" w:right="0" w:firstLine="0"/>
              <w:jc w:val="left"/>
            </w:pPr>
            <w:r>
              <w:rPr>
                <w:rFonts w:ascii="黑体" w:hAnsi="黑体" w:eastAsia="黑体"/>
                <w:b w:val="0"/>
                <w:i w:val="0"/>
                <w:color w:val="000000"/>
                <w:sz w:val="15"/>
              </w:rPr>
              <w:t>应付短期融资券</w:t>
            </w:r>
          </w:p>
        </w:tc>
        <w:tc>
          <w:tcPr>
            <w:tcW w:type="dxa" w:w="1234"/>
            <w:tcBorders/>
            <w:tcMar>
              <w:start w:w="0" w:type="dxa"/>
              <w:end w:w="0" w:type="dxa"/>
            </w:tcMar>
          </w:tcPr>
          <w:p>
            <w:pPr>
              <w:autoSpaceDN w:val="0"/>
              <w:autoSpaceDE w:val="0"/>
              <w:widowControl/>
              <w:spacing w:line="233" w:lineRule="auto" w:before="38"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22,307</w:t>
            </w:r>
          </w:p>
        </w:tc>
        <w:tc>
          <w:tcPr>
            <w:tcW w:type="dxa" w:w="1540"/>
            <w:tcBorders/>
            <w:tcMar>
              <w:start w:w="0" w:type="dxa"/>
              <w:end w:w="0" w:type="dxa"/>
            </w:tcMar>
          </w:tcPr>
          <w:p>
            <w:pPr>
              <w:autoSpaceDN w:val="0"/>
              <w:autoSpaceDE w:val="0"/>
              <w:widowControl/>
              <w:spacing w:line="233" w:lineRule="auto" w:before="38"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3" w:lineRule="auto" w:before="38" w:after="0"/>
              <w:ind w:left="0" w:right="114" w:firstLine="0"/>
              <w:jc w:val="right"/>
            </w:pPr>
            <w:r>
              <w:rPr>
                <w:rFonts w:ascii="Arial" w:hAnsi="Arial" w:eastAsia="Arial"/>
                <w:b w:val="0"/>
                <w:i w:val="0"/>
                <w:color w:val="000000"/>
                <w:sz w:val="15"/>
              </w:rPr>
              <w:t xml:space="preserve">877,367,834 </w:t>
            </w:r>
          </w:p>
        </w:tc>
        <w:tc>
          <w:tcPr>
            <w:tcW w:type="dxa" w:w="1118"/>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877,390,141</w:t>
            </w:r>
          </w:p>
        </w:tc>
        <w:tc>
          <w:tcPr>
            <w:tcW w:type="dxa" w:w="1204"/>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5"/>
              </w:rPr>
              <w:t>872,573,450</w:t>
            </w:r>
          </w:p>
        </w:tc>
      </w:tr>
      <w:tr>
        <w:trPr>
          <w:trHeight w:hRule="exact" w:val="160"/>
        </w:trPr>
        <w:tc>
          <w:tcPr>
            <w:tcW w:type="dxa" w:w="3430"/>
            <w:tcBorders/>
            <w:tcMar>
              <w:start w:w="0" w:type="dxa"/>
              <w:end w:w="0" w:type="dxa"/>
            </w:tcMar>
          </w:tcPr>
          <w:p>
            <w:pPr>
              <w:autoSpaceDN w:val="0"/>
              <w:autoSpaceDE w:val="0"/>
              <w:widowControl/>
              <w:spacing w:line="150" w:lineRule="exact" w:before="10" w:after="0"/>
              <w:ind w:left="152" w:right="0" w:firstLine="0"/>
              <w:jc w:val="left"/>
            </w:pPr>
            <w:r>
              <w:rPr>
                <w:rFonts w:ascii="黑体" w:hAnsi="黑体" w:eastAsia="黑体"/>
                <w:b w:val="0"/>
                <w:i w:val="0"/>
                <w:color w:val="000000"/>
                <w:sz w:val="15"/>
              </w:rPr>
              <w:t>拆入资金</w:t>
            </w:r>
          </w:p>
        </w:tc>
        <w:tc>
          <w:tcPr>
            <w:tcW w:type="dxa" w:w="123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0" w:after="0"/>
              <w:ind w:left="260" w:right="0" w:firstLine="0"/>
              <w:jc w:val="left"/>
            </w:pPr>
            <w:r>
              <w:rPr>
                <w:rFonts w:ascii="Arial" w:hAnsi="Arial" w:eastAsia="Arial"/>
                <w:b w:val="0"/>
                <w:i w:val="0"/>
                <w:color w:val="000000"/>
                <w:sz w:val="15"/>
              </w:rPr>
              <w:t>10,368,669,971</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1,011,198,056 </w:t>
            </w:r>
          </w:p>
        </w:tc>
        <w:tc>
          <w:tcPr>
            <w:tcW w:type="dxa" w:w="1472"/>
            <w:tcBorders/>
            <w:tcMar>
              <w:start w:w="0" w:type="dxa"/>
              <w:end w:w="0" w:type="dxa"/>
            </w:tcMar>
          </w:tcPr>
          <w:p>
            <w:pPr>
              <w:autoSpaceDN w:val="0"/>
              <w:autoSpaceDE w:val="0"/>
              <w:widowControl/>
              <w:spacing w:line="233" w:lineRule="auto" w:before="0" w:after="0"/>
              <w:ind w:left="356" w:right="0" w:firstLine="0"/>
              <w:jc w:val="left"/>
            </w:pPr>
            <w:r>
              <w:rPr>
                <w:rFonts w:ascii="Arial" w:hAnsi="Arial" w:eastAsia="Arial"/>
                <w:b w:val="0"/>
                <w:i w:val="0"/>
                <w:color w:val="000000"/>
                <w:sz w:val="15"/>
              </w:rPr>
              <w:t xml:space="preserve">1,434,720,196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288" w:right="0" w:firstLine="0"/>
              <w:jc w:val="left"/>
            </w:pPr>
            <w:r>
              <w:rPr>
                <w:rFonts w:ascii="Arial" w:hAnsi="Arial" w:eastAsia="Arial"/>
                <w:b w:val="0"/>
                <w:i w:val="0"/>
                <w:color w:val="000000"/>
                <w:sz w:val="15"/>
              </w:rPr>
              <w:t>12,814,588,223</w:t>
            </w:r>
          </w:p>
        </w:tc>
        <w:tc>
          <w:tcPr>
            <w:tcW w:type="dxa" w:w="1204"/>
            <w:tcBorders/>
            <w:tcMar>
              <w:start w:w="0" w:type="dxa"/>
              <w:end w:w="0" w:type="dxa"/>
            </w:tcMar>
          </w:tcPr>
          <w:p>
            <w:pPr>
              <w:autoSpaceDN w:val="0"/>
              <w:autoSpaceDE w:val="0"/>
              <w:widowControl/>
              <w:spacing w:line="233" w:lineRule="auto" w:before="0" w:after="0"/>
              <w:ind w:left="160" w:right="0" w:firstLine="0"/>
              <w:jc w:val="left"/>
            </w:pPr>
            <w:r>
              <w:rPr>
                <w:rFonts w:ascii="Arial" w:hAnsi="Arial" w:eastAsia="Arial"/>
                <w:b w:val="0"/>
                <w:i w:val="0"/>
                <w:color w:val="000000"/>
                <w:sz w:val="15"/>
              </w:rPr>
              <w:t xml:space="preserve"> 12,793,602,454</w:t>
            </w:r>
          </w:p>
        </w:tc>
      </w:tr>
      <w:tr>
        <w:trPr>
          <w:trHeight w:hRule="exact" w:val="200"/>
        </w:trPr>
        <w:tc>
          <w:tcPr>
            <w:tcW w:type="dxa" w:w="3430"/>
            <w:tcBorders/>
            <w:tcMar>
              <w:start w:w="0" w:type="dxa"/>
              <w:end w:w="0" w:type="dxa"/>
            </w:tcMar>
          </w:tcPr>
          <w:p>
            <w:pPr>
              <w:autoSpaceDN w:val="0"/>
              <w:autoSpaceDE w:val="0"/>
              <w:widowControl/>
              <w:spacing w:line="152" w:lineRule="exact" w:before="46" w:after="0"/>
              <w:ind w:left="152" w:right="0" w:firstLine="0"/>
              <w:jc w:val="left"/>
            </w:pPr>
            <w:r>
              <w:rPr>
                <w:rFonts w:ascii="黑体" w:hAnsi="黑体" w:eastAsia="黑体"/>
                <w:b w:val="0"/>
                <w:i w:val="0"/>
                <w:color w:val="000000"/>
                <w:sz w:val="15"/>
              </w:rPr>
              <w:t>交易性金融负债</w:t>
            </w:r>
          </w:p>
        </w:tc>
        <w:tc>
          <w:tcPr>
            <w:tcW w:type="dxa" w:w="1234"/>
            <w:tcBorders/>
            <w:tcMar>
              <w:start w:w="0" w:type="dxa"/>
              <w:end w:w="0" w:type="dxa"/>
            </w:tcMar>
          </w:tcPr>
          <w:p>
            <w:pPr>
              <w:autoSpaceDN w:val="0"/>
              <w:autoSpaceDE w:val="0"/>
              <w:widowControl/>
              <w:spacing w:line="235" w:lineRule="auto" w:before="3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1,354,219,126</w:t>
            </w:r>
          </w:p>
        </w:tc>
        <w:tc>
          <w:tcPr>
            <w:tcW w:type="dxa" w:w="1540"/>
            <w:tcBorders/>
            <w:tcMar>
              <w:start w:w="0" w:type="dxa"/>
              <w:end w:w="0" w:type="dxa"/>
            </w:tcMar>
          </w:tcPr>
          <w:p>
            <w:pPr>
              <w:autoSpaceDN w:val="0"/>
              <w:autoSpaceDE w:val="0"/>
              <w:widowControl/>
              <w:spacing w:line="235" w:lineRule="auto" w:before="30" w:after="0"/>
              <w:ind w:left="0" w:right="28" w:firstLine="0"/>
              <w:jc w:val="right"/>
            </w:pPr>
            <w:r>
              <w:rPr>
                <w:rFonts w:ascii="Arial" w:hAnsi="Arial" w:eastAsia="Arial"/>
                <w:b w:val="0"/>
                <w:i w:val="0"/>
                <w:color w:val="000000"/>
                <w:sz w:val="15"/>
              </w:rPr>
              <w:t xml:space="preserve">9,601,474 </w:t>
            </w:r>
          </w:p>
        </w:tc>
        <w:tc>
          <w:tcPr>
            <w:tcW w:type="dxa" w:w="1472"/>
            <w:tcBorders/>
            <w:tcMar>
              <w:start w:w="0" w:type="dxa"/>
              <w:end w:w="0" w:type="dxa"/>
            </w:tcMar>
          </w:tcPr>
          <w:p>
            <w:pPr>
              <w:autoSpaceDN w:val="0"/>
              <w:autoSpaceDE w:val="0"/>
              <w:widowControl/>
              <w:spacing w:line="235" w:lineRule="auto" w:before="30" w:after="0"/>
              <w:ind w:left="0" w:right="114" w:firstLine="0"/>
              <w:jc w:val="right"/>
            </w:pPr>
            <w:r>
              <w:rPr>
                <w:rFonts w:ascii="Arial" w:hAnsi="Arial" w:eastAsia="Arial"/>
                <w:b w:val="0"/>
                <w:i w:val="0"/>
                <w:color w:val="000000"/>
                <w:sz w:val="15"/>
              </w:rPr>
              <w:t xml:space="preserve">148,687,612 </w:t>
            </w:r>
          </w:p>
        </w:tc>
        <w:tc>
          <w:tcPr>
            <w:tcW w:type="dxa" w:w="1118"/>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30" w:after="0"/>
              <w:ind w:left="0" w:right="0" w:firstLine="0"/>
              <w:jc w:val="right"/>
            </w:pPr>
            <w:r>
              <w:rPr>
                <w:rFonts w:ascii="Arial" w:hAnsi="Arial" w:eastAsia="Arial"/>
                <w:b w:val="0"/>
                <w:i w:val="0"/>
                <w:color w:val="000000"/>
                <w:sz w:val="15"/>
              </w:rPr>
              <w:t>1,512,508,212</w:t>
            </w:r>
          </w:p>
        </w:tc>
        <w:tc>
          <w:tcPr>
            <w:tcW w:type="dxa" w:w="1204"/>
            <w:tcBorders/>
            <w:tcMar>
              <w:start w:w="0" w:type="dxa"/>
              <w:end w:w="0" w:type="dxa"/>
            </w:tcMar>
          </w:tcPr>
          <w:p>
            <w:pPr>
              <w:autoSpaceDN w:val="0"/>
              <w:autoSpaceDE w:val="0"/>
              <w:widowControl/>
              <w:spacing w:line="235" w:lineRule="auto" w:before="30" w:after="0"/>
              <w:ind w:left="160" w:right="0" w:firstLine="0"/>
              <w:jc w:val="left"/>
            </w:pPr>
            <w:r>
              <w:rPr>
                <w:rFonts w:ascii="Arial" w:hAnsi="Arial" w:eastAsia="Arial"/>
                <w:b w:val="0"/>
                <w:i w:val="0"/>
                <w:color w:val="000000"/>
                <w:sz w:val="15"/>
              </w:rPr>
              <w:t xml:space="preserve"> 1,512,007,369</w:t>
            </w:r>
          </w:p>
        </w:tc>
      </w:tr>
      <w:tr>
        <w:trPr>
          <w:trHeight w:hRule="exact" w:val="200"/>
        </w:trPr>
        <w:tc>
          <w:tcPr>
            <w:tcW w:type="dxa" w:w="3430"/>
            <w:tcBorders/>
            <w:tcMar>
              <w:start w:w="0" w:type="dxa"/>
              <w:end w:w="0" w:type="dxa"/>
            </w:tcMar>
          </w:tcPr>
          <w:p>
            <w:pPr>
              <w:autoSpaceDN w:val="0"/>
              <w:autoSpaceDE w:val="0"/>
              <w:widowControl/>
              <w:spacing w:line="150" w:lineRule="exact" w:before="42" w:after="0"/>
              <w:ind w:left="152" w:right="0" w:firstLine="0"/>
              <w:jc w:val="left"/>
            </w:pPr>
            <w:r>
              <w:rPr>
                <w:rFonts w:ascii="黑体" w:hAnsi="黑体" w:eastAsia="黑体"/>
                <w:b w:val="0"/>
                <w:i w:val="0"/>
                <w:color w:val="000000"/>
                <w:sz w:val="15"/>
              </w:rPr>
              <w:t>衍生金融负债</w:t>
            </w:r>
          </w:p>
        </w:tc>
        <w:tc>
          <w:tcPr>
            <w:tcW w:type="dxa" w:w="1234"/>
            <w:tcBorders/>
            <w:tcMar>
              <w:start w:w="0" w:type="dxa"/>
              <w:end w:w="0" w:type="dxa"/>
            </w:tcMar>
          </w:tcPr>
          <w:p>
            <w:pPr>
              <w:autoSpaceDN w:val="0"/>
              <w:autoSpaceDE w:val="0"/>
              <w:widowControl/>
              <w:spacing w:line="233" w:lineRule="auto" w:before="32" w:after="0"/>
              <w:ind w:left="0" w:right="72" w:firstLine="0"/>
              <w:jc w:val="right"/>
            </w:pPr>
            <w:r>
              <w:rPr>
                <w:rFonts w:ascii="Arial" w:hAnsi="Arial" w:eastAsia="Arial"/>
                <w:b w:val="0"/>
                <w:i w:val="0"/>
                <w:color w:val="000000"/>
                <w:sz w:val="15"/>
              </w:rPr>
              <w:t xml:space="preserve">33,410,920 </w:t>
            </w:r>
          </w:p>
        </w:tc>
        <w:tc>
          <w:tcPr>
            <w:tcW w:type="dxa" w:w="130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24,298,644</w:t>
            </w:r>
          </w:p>
        </w:tc>
        <w:tc>
          <w:tcPr>
            <w:tcW w:type="dxa" w:w="1540"/>
            <w:tcBorders/>
            <w:tcMar>
              <w:start w:w="0" w:type="dxa"/>
              <w:end w:w="0" w:type="dxa"/>
            </w:tcMar>
          </w:tcPr>
          <w:p>
            <w:pPr>
              <w:autoSpaceDN w:val="0"/>
              <w:autoSpaceDE w:val="0"/>
              <w:widowControl/>
              <w:spacing w:line="233" w:lineRule="auto" w:before="32" w:after="0"/>
              <w:ind w:left="0" w:right="28" w:firstLine="0"/>
              <w:jc w:val="right"/>
            </w:pPr>
            <w:r>
              <w:rPr>
                <w:rFonts w:ascii="Arial" w:hAnsi="Arial" w:eastAsia="Arial"/>
                <w:b w:val="0"/>
                <w:i w:val="0"/>
                <w:color w:val="000000"/>
                <w:sz w:val="15"/>
              </w:rPr>
              <w:t xml:space="preserve">22,217,328 </w:t>
            </w:r>
          </w:p>
        </w:tc>
        <w:tc>
          <w:tcPr>
            <w:tcW w:type="dxa" w:w="1472"/>
            <w:tcBorders/>
            <w:tcMar>
              <w:start w:w="0" w:type="dxa"/>
              <w:end w:w="0" w:type="dxa"/>
            </w:tcMar>
          </w:tcPr>
          <w:p>
            <w:pPr>
              <w:autoSpaceDN w:val="0"/>
              <w:autoSpaceDE w:val="0"/>
              <w:widowControl/>
              <w:spacing w:line="233" w:lineRule="auto" w:before="32" w:after="0"/>
              <w:ind w:left="0" w:right="114" w:firstLine="0"/>
              <w:jc w:val="right"/>
            </w:pPr>
            <w:r>
              <w:rPr>
                <w:rFonts w:ascii="Arial" w:hAnsi="Arial" w:eastAsia="Arial"/>
                <w:b w:val="0"/>
                <w:i w:val="0"/>
                <w:color w:val="000000"/>
                <w:sz w:val="15"/>
              </w:rPr>
              <w:t xml:space="preserve">23,381,922 </w:t>
            </w:r>
          </w:p>
        </w:tc>
        <w:tc>
          <w:tcPr>
            <w:tcW w:type="dxa" w:w="1118"/>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28,157,158</w:t>
            </w:r>
          </w:p>
        </w:tc>
        <w:tc>
          <w:tcPr>
            <w:tcW w:type="dxa" w:w="133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131,465,972</w:t>
            </w:r>
          </w:p>
        </w:tc>
        <w:tc>
          <w:tcPr>
            <w:tcW w:type="dxa" w:w="1204"/>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5"/>
              </w:rPr>
              <w:t>131,465,972</w:t>
            </w:r>
          </w:p>
        </w:tc>
      </w:tr>
      <w:tr>
        <w:trPr>
          <w:trHeight w:hRule="exact" w:val="218"/>
        </w:trPr>
        <w:tc>
          <w:tcPr>
            <w:tcW w:type="dxa" w:w="3430"/>
            <w:tcBorders/>
            <w:tcMar>
              <w:start w:w="0" w:type="dxa"/>
              <w:end w:w="0" w:type="dxa"/>
            </w:tcMar>
          </w:tcPr>
          <w:p>
            <w:pPr>
              <w:autoSpaceDN w:val="0"/>
              <w:autoSpaceDE w:val="0"/>
              <w:widowControl/>
              <w:spacing w:line="150" w:lineRule="exact" w:before="36" w:after="0"/>
              <w:ind w:left="152" w:right="0" w:firstLine="0"/>
              <w:jc w:val="left"/>
            </w:pPr>
            <w:r>
              <w:rPr>
                <w:rFonts w:ascii="黑体" w:hAnsi="黑体" w:eastAsia="黑体"/>
                <w:b w:val="0"/>
                <w:i w:val="0"/>
                <w:color w:val="000000"/>
                <w:sz w:val="15"/>
              </w:rPr>
              <w:t>卖出回购金融资产</w:t>
            </w:r>
          </w:p>
        </w:tc>
        <w:tc>
          <w:tcPr>
            <w:tcW w:type="dxa" w:w="1234"/>
            <w:tcBorders/>
            <w:tcMar>
              <w:start w:w="0" w:type="dxa"/>
              <w:end w:w="0" w:type="dxa"/>
            </w:tcMar>
          </w:tcPr>
          <w:p>
            <w:pPr>
              <w:autoSpaceDN w:val="0"/>
              <w:autoSpaceDE w:val="0"/>
              <w:widowControl/>
              <w:spacing w:line="233" w:lineRule="auto" w:before="36" w:after="0"/>
              <w:ind w:left="0" w:right="72" w:firstLine="0"/>
              <w:jc w:val="right"/>
            </w:pPr>
            <w:r>
              <w:rPr>
                <w:rFonts w:ascii="Arial" w:hAnsi="Arial" w:eastAsia="Arial"/>
                <w:b w:val="0"/>
                <w:i w:val="0"/>
                <w:color w:val="000000"/>
                <w:sz w:val="15"/>
              </w:rPr>
              <w:t xml:space="preserve">57,191,422 </w:t>
            </w:r>
          </w:p>
        </w:tc>
        <w:tc>
          <w:tcPr>
            <w:tcW w:type="dxa" w:w="1300"/>
            <w:tcBorders/>
            <w:tcMar>
              <w:start w:w="0" w:type="dxa"/>
              <w:end w:w="0" w:type="dxa"/>
            </w:tcMar>
          </w:tcPr>
          <w:p>
            <w:pPr>
              <w:autoSpaceDN w:val="0"/>
              <w:autoSpaceDE w:val="0"/>
              <w:widowControl/>
              <w:spacing w:line="233" w:lineRule="auto" w:before="36" w:after="0"/>
              <w:ind w:left="260" w:right="0" w:firstLine="0"/>
              <w:jc w:val="left"/>
            </w:pPr>
            <w:r>
              <w:rPr>
                <w:rFonts w:ascii="Arial" w:hAnsi="Arial" w:eastAsia="Arial"/>
                <w:b w:val="0"/>
                <w:i w:val="0"/>
                <w:color w:val="000000"/>
                <w:sz w:val="15"/>
              </w:rPr>
              <w:t>10,127,280,050</w:t>
            </w:r>
          </w:p>
        </w:tc>
        <w:tc>
          <w:tcPr>
            <w:tcW w:type="dxa" w:w="1540"/>
            <w:tcBorders/>
            <w:tcMar>
              <w:start w:w="0" w:type="dxa"/>
              <w:end w:w="0" w:type="dxa"/>
            </w:tcMar>
          </w:tcPr>
          <w:p>
            <w:pPr>
              <w:autoSpaceDN w:val="0"/>
              <w:autoSpaceDE w:val="0"/>
              <w:widowControl/>
              <w:spacing w:line="233" w:lineRule="auto" w:before="36" w:after="0"/>
              <w:ind w:left="0" w:right="28" w:firstLine="0"/>
              <w:jc w:val="right"/>
            </w:pPr>
            <w:r>
              <w:rPr>
                <w:rFonts w:ascii="Arial" w:hAnsi="Arial" w:eastAsia="Arial"/>
                <w:b w:val="0"/>
                <w:i w:val="0"/>
                <w:color w:val="000000"/>
                <w:sz w:val="15"/>
              </w:rPr>
              <w:t xml:space="preserve">102,968,479 </w:t>
            </w:r>
          </w:p>
        </w:tc>
        <w:tc>
          <w:tcPr>
            <w:tcW w:type="dxa" w:w="1472"/>
            <w:tcBorders/>
            <w:tcMar>
              <w:start w:w="0" w:type="dxa"/>
              <w:end w:w="0" w:type="dxa"/>
            </w:tcMar>
          </w:tcPr>
          <w:p>
            <w:pPr>
              <w:autoSpaceDN w:val="0"/>
              <w:autoSpaceDE w:val="0"/>
              <w:widowControl/>
              <w:spacing w:line="233" w:lineRule="auto" w:before="36"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36" w:after="0"/>
              <w:ind w:left="288" w:right="0" w:firstLine="0"/>
              <w:jc w:val="left"/>
            </w:pPr>
            <w:r>
              <w:rPr>
                <w:rFonts w:ascii="Arial" w:hAnsi="Arial" w:eastAsia="Arial"/>
                <w:b w:val="0"/>
                <w:i w:val="0"/>
                <w:color w:val="000000"/>
                <w:sz w:val="15"/>
              </w:rPr>
              <w:t>10,287,439,951</w:t>
            </w:r>
          </w:p>
        </w:tc>
        <w:tc>
          <w:tcPr>
            <w:tcW w:type="dxa" w:w="1204"/>
            <w:tcBorders/>
            <w:tcMar>
              <w:start w:w="0" w:type="dxa"/>
              <w:end w:w="0" w:type="dxa"/>
            </w:tcMar>
          </w:tcPr>
          <w:p>
            <w:pPr>
              <w:autoSpaceDN w:val="0"/>
              <w:autoSpaceDE w:val="0"/>
              <w:widowControl/>
              <w:spacing w:line="233" w:lineRule="auto" w:before="36" w:after="0"/>
              <w:ind w:left="160" w:right="0" w:firstLine="0"/>
              <w:jc w:val="left"/>
            </w:pPr>
            <w:r>
              <w:rPr>
                <w:rFonts w:ascii="Arial" w:hAnsi="Arial" w:eastAsia="Arial"/>
                <w:b w:val="0"/>
                <w:i w:val="0"/>
                <w:color w:val="000000"/>
                <w:sz w:val="15"/>
              </w:rPr>
              <w:t xml:space="preserve"> 10,277,980,209</w:t>
            </w:r>
          </w:p>
        </w:tc>
      </w:tr>
      <w:tr>
        <w:trPr>
          <w:trHeight w:hRule="exact" w:val="162"/>
        </w:trPr>
        <w:tc>
          <w:tcPr>
            <w:tcW w:type="dxa" w:w="3430"/>
            <w:tcBorders/>
            <w:tcMar>
              <w:start w:w="0" w:type="dxa"/>
              <w:end w:w="0" w:type="dxa"/>
            </w:tcMar>
          </w:tcPr>
          <w:p>
            <w:pPr>
              <w:autoSpaceDN w:val="0"/>
              <w:autoSpaceDE w:val="0"/>
              <w:widowControl/>
              <w:spacing w:line="152" w:lineRule="exact" w:before="10" w:after="0"/>
              <w:ind w:left="152" w:right="0" w:firstLine="0"/>
              <w:jc w:val="left"/>
            </w:pPr>
            <w:r>
              <w:rPr>
                <w:rFonts w:ascii="黑体" w:hAnsi="黑体" w:eastAsia="黑体"/>
                <w:b w:val="0"/>
                <w:i w:val="0"/>
                <w:color w:val="000000"/>
                <w:sz w:val="15"/>
              </w:rPr>
              <w:t>代理买卖证券款</w:t>
            </w:r>
          </w:p>
        </w:tc>
        <w:tc>
          <w:tcPr>
            <w:tcW w:type="dxa" w:w="1234"/>
            <w:tcBorders/>
            <w:tcMar>
              <w:start w:w="0" w:type="dxa"/>
              <w:end w:w="0" w:type="dxa"/>
            </w:tcMar>
          </w:tcPr>
          <w:p>
            <w:pPr>
              <w:autoSpaceDN w:val="0"/>
              <w:autoSpaceDE w:val="0"/>
              <w:widowControl/>
              <w:spacing w:line="233" w:lineRule="auto" w:before="0" w:after="0"/>
              <w:ind w:left="52" w:right="0" w:firstLine="0"/>
              <w:jc w:val="left"/>
            </w:pPr>
            <w:r>
              <w:rPr>
                <w:rFonts w:ascii="Arial" w:hAnsi="Arial" w:eastAsia="Arial"/>
                <w:b w:val="0"/>
                <w:i w:val="0"/>
                <w:color w:val="000000"/>
                <w:sz w:val="15"/>
              </w:rPr>
              <w:t>14,586,617,553</w:t>
            </w:r>
          </w:p>
        </w:tc>
        <w:tc>
          <w:tcPr>
            <w:tcW w:type="dxa" w:w="13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0" w:after="0"/>
              <w:ind w:left="288" w:right="0" w:firstLine="0"/>
              <w:jc w:val="left"/>
            </w:pPr>
            <w:r>
              <w:rPr>
                <w:rFonts w:ascii="Arial" w:hAnsi="Arial" w:eastAsia="Arial"/>
                <w:b w:val="0"/>
                <w:i w:val="0"/>
                <w:color w:val="000000"/>
                <w:sz w:val="15"/>
              </w:rPr>
              <w:t>14,586,617,553</w:t>
            </w:r>
          </w:p>
        </w:tc>
        <w:tc>
          <w:tcPr>
            <w:tcW w:type="dxa" w:w="1204"/>
            <w:tcBorders/>
            <w:tcMar>
              <w:start w:w="0" w:type="dxa"/>
              <w:end w:w="0" w:type="dxa"/>
            </w:tcMar>
          </w:tcPr>
          <w:p>
            <w:pPr>
              <w:autoSpaceDN w:val="0"/>
              <w:autoSpaceDE w:val="0"/>
              <w:widowControl/>
              <w:spacing w:line="233" w:lineRule="auto" w:before="0" w:after="0"/>
              <w:ind w:left="160" w:right="0" w:firstLine="0"/>
              <w:jc w:val="left"/>
            </w:pPr>
            <w:r>
              <w:rPr>
                <w:rFonts w:ascii="Arial" w:hAnsi="Arial" w:eastAsia="Arial"/>
                <w:b w:val="0"/>
                <w:i w:val="0"/>
                <w:color w:val="000000"/>
                <w:sz w:val="15"/>
              </w:rPr>
              <w:t xml:space="preserve"> 14,586,617,553</w:t>
            </w:r>
          </w:p>
        </w:tc>
      </w:tr>
      <w:tr>
        <w:trPr>
          <w:trHeight w:hRule="exact" w:val="180"/>
        </w:trPr>
        <w:tc>
          <w:tcPr>
            <w:tcW w:type="dxa" w:w="3430"/>
            <w:tcBorders/>
            <w:tcMar>
              <w:start w:w="0" w:type="dxa"/>
              <w:end w:w="0" w:type="dxa"/>
            </w:tcMar>
          </w:tcPr>
          <w:p>
            <w:pPr>
              <w:autoSpaceDN w:val="0"/>
              <w:autoSpaceDE w:val="0"/>
              <w:widowControl/>
              <w:spacing w:line="152" w:lineRule="exact" w:before="28" w:after="0"/>
              <w:ind w:left="152" w:right="0" w:firstLine="0"/>
              <w:jc w:val="left"/>
            </w:pPr>
            <w:r>
              <w:rPr>
                <w:rFonts w:ascii="黑体" w:hAnsi="黑体" w:eastAsia="黑体"/>
                <w:b w:val="0"/>
                <w:i w:val="0"/>
                <w:color w:val="000000"/>
                <w:sz w:val="15"/>
              </w:rPr>
              <w:t>代理承销证券款</w:t>
            </w:r>
          </w:p>
        </w:tc>
        <w:tc>
          <w:tcPr>
            <w:tcW w:type="dxa" w:w="1234"/>
            <w:tcBorders/>
            <w:tcMar>
              <w:start w:w="0" w:type="dxa"/>
              <w:end w:w="0" w:type="dxa"/>
            </w:tcMar>
          </w:tcPr>
          <w:p>
            <w:pPr>
              <w:autoSpaceDN w:val="0"/>
              <w:autoSpaceDE w:val="0"/>
              <w:widowControl/>
              <w:spacing w:line="235" w:lineRule="auto" w:before="10" w:after="0"/>
              <w:ind w:left="258" w:right="0" w:firstLine="0"/>
              <w:jc w:val="left"/>
            </w:pPr>
            <w:r>
              <w:rPr>
                <w:rFonts w:ascii="Arial" w:hAnsi="Arial" w:eastAsia="Arial"/>
                <w:b w:val="0"/>
                <w:i w:val="0"/>
                <w:color w:val="000000"/>
                <w:sz w:val="15"/>
              </w:rPr>
              <w:t xml:space="preserve">125,599,933 </w:t>
            </w:r>
          </w:p>
        </w:tc>
        <w:tc>
          <w:tcPr>
            <w:tcW w:type="dxa" w:w="130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5" w:lineRule="auto" w:before="10"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5" w:lineRule="auto" w:before="10"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125,599,933</w:t>
            </w:r>
          </w:p>
        </w:tc>
        <w:tc>
          <w:tcPr>
            <w:tcW w:type="dxa" w:w="1204"/>
            <w:tcBorders/>
            <w:tcMar>
              <w:start w:w="0" w:type="dxa"/>
              <w:end w:w="0" w:type="dxa"/>
            </w:tcMar>
          </w:tcPr>
          <w:p>
            <w:pPr>
              <w:autoSpaceDN w:val="0"/>
              <w:autoSpaceDE w:val="0"/>
              <w:widowControl/>
              <w:spacing w:line="235" w:lineRule="auto" w:before="10" w:after="0"/>
              <w:ind w:left="0" w:right="0" w:firstLine="0"/>
              <w:jc w:val="right"/>
            </w:pPr>
            <w:r>
              <w:rPr>
                <w:rFonts w:ascii="Arial" w:hAnsi="Arial" w:eastAsia="Arial"/>
                <w:b w:val="0"/>
                <w:i w:val="0"/>
                <w:color w:val="000000"/>
                <w:sz w:val="15"/>
              </w:rPr>
              <w:t>125,599,933</w:t>
            </w:r>
          </w:p>
        </w:tc>
      </w:tr>
      <w:tr>
        <w:trPr>
          <w:trHeight w:hRule="exact" w:val="240"/>
        </w:trPr>
        <w:tc>
          <w:tcPr>
            <w:tcW w:type="dxa" w:w="3430"/>
            <w:tcBorders/>
            <w:tcMar>
              <w:start w:w="0" w:type="dxa"/>
              <w:end w:w="0" w:type="dxa"/>
            </w:tcMar>
          </w:tcPr>
          <w:p>
            <w:pPr>
              <w:autoSpaceDN w:val="0"/>
              <w:autoSpaceDE w:val="0"/>
              <w:widowControl/>
              <w:spacing w:line="152" w:lineRule="exact" w:before="58" w:after="0"/>
              <w:ind w:left="152" w:right="0" w:firstLine="0"/>
              <w:jc w:val="left"/>
            </w:pPr>
            <w:r>
              <w:rPr>
                <w:rFonts w:ascii="黑体" w:hAnsi="黑体" w:eastAsia="黑体"/>
                <w:b w:val="0"/>
                <w:i w:val="0"/>
                <w:color w:val="000000"/>
                <w:sz w:val="15"/>
              </w:rPr>
              <w:t>应付款项</w:t>
            </w:r>
          </w:p>
        </w:tc>
        <w:tc>
          <w:tcPr>
            <w:tcW w:type="dxa" w:w="1234"/>
            <w:tcBorders/>
            <w:tcMar>
              <w:start w:w="0" w:type="dxa"/>
              <w:end w:w="0" w:type="dxa"/>
            </w:tcMar>
          </w:tcPr>
          <w:p>
            <w:pPr>
              <w:autoSpaceDN w:val="0"/>
              <w:autoSpaceDE w:val="0"/>
              <w:widowControl/>
              <w:spacing w:line="235" w:lineRule="auto" w:before="58" w:after="0"/>
              <w:ind w:left="258" w:right="0" w:firstLine="0"/>
              <w:jc w:val="left"/>
            </w:pPr>
            <w:r>
              <w:rPr>
                <w:rFonts w:ascii="Arial" w:hAnsi="Arial" w:eastAsia="Arial"/>
                <w:b w:val="0"/>
                <w:i w:val="0"/>
                <w:color w:val="000000"/>
                <w:sz w:val="15"/>
              </w:rPr>
              <w:t xml:space="preserve">366,687,841 </w:t>
            </w:r>
          </w:p>
        </w:tc>
        <w:tc>
          <w:tcPr>
            <w:tcW w:type="dxa" w:w="1300"/>
            <w:tcBorders/>
            <w:tcMar>
              <w:start w:w="0" w:type="dxa"/>
              <w:end w:w="0" w:type="dxa"/>
            </w:tcMar>
          </w:tcPr>
          <w:p>
            <w:pPr>
              <w:autoSpaceDN w:val="0"/>
              <w:autoSpaceDE w:val="0"/>
              <w:widowControl/>
              <w:spacing w:line="235" w:lineRule="auto" w:before="58"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5" w:lineRule="auto" w:before="58" w:after="0"/>
              <w:ind w:left="0" w:right="28" w:firstLine="0"/>
              <w:jc w:val="right"/>
            </w:pPr>
            <w:r>
              <w:rPr>
                <w:rFonts w:ascii="Arial" w:hAnsi="Arial" w:eastAsia="Arial"/>
                <w:b w:val="0"/>
                <w:i w:val="0"/>
                <w:color w:val="000000"/>
                <w:sz w:val="15"/>
              </w:rPr>
              <w:t xml:space="preserve">- </w:t>
            </w:r>
          </w:p>
        </w:tc>
        <w:tc>
          <w:tcPr>
            <w:tcW w:type="dxa" w:w="1472"/>
            <w:tcBorders/>
            <w:tcMar>
              <w:start w:w="0" w:type="dxa"/>
              <w:end w:w="0" w:type="dxa"/>
            </w:tcMar>
          </w:tcPr>
          <w:p>
            <w:pPr>
              <w:autoSpaceDN w:val="0"/>
              <w:autoSpaceDE w:val="0"/>
              <w:widowControl/>
              <w:spacing w:line="235" w:lineRule="auto" w:before="58" w:after="0"/>
              <w:ind w:left="0" w:right="114" w:firstLine="0"/>
              <w:jc w:val="right"/>
            </w:pPr>
            <w:r>
              <w:rPr>
                <w:rFonts w:ascii="Arial" w:hAnsi="Arial" w:eastAsia="Arial"/>
                <w:b w:val="0"/>
                <w:i w:val="0"/>
                <w:color w:val="000000"/>
                <w:sz w:val="15"/>
              </w:rPr>
              <w:t xml:space="preserve">- </w:t>
            </w:r>
          </w:p>
        </w:tc>
        <w:tc>
          <w:tcPr>
            <w:tcW w:type="dxa" w:w="1118"/>
            <w:tcBorders/>
            <w:tcMar>
              <w:start w:w="0" w:type="dxa"/>
              <w:end w:w="0" w:type="dxa"/>
            </w:tcMar>
          </w:tcPr>
          <w:p>
            <w:pPr>
              <w:autoSpaceDN w:val="0"/>
              <w:autoSpaceDE w:val="0"/>
              <w:widowControl/>
              <w:spacing w:line="235" w:lineRule="auto" w:before="5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58"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5" w:lineRule="auto" w:before="58" w:after="0"/>
              <w:ind w:left="0" w:right="0" w:firstLine="0"/>
              <w:jc w:val="right"/>
            </w:pPr>
            <w:r>
              <w:rPr>
                <w:rFonts w:ascii="Arial" w:hAnsi="Arial" w:eastAsia="Arial"/>
                <w:b w:val="0"/>
                <w:i w:val="0"/>
                <w:color w:val="000000"/>
                <w:sz w:val="15"/>
              </w:rPr>
              <w:t>366,687,841</w:t>
            </w:r>
          </w:p>
        </w:tc>
        <w:tc>
          <w:tcPr>
            <w:tcW w:type="dxa" w:w="1204"/>
            <w:tcBorders/>
            <w:tcMar>
              <w:start w:w="0" w:type="dxa"/>
              <w:end w:w="0" w:type="dxa"/>
            </w:tcMar>
          </w:tcPr>
          <w:p>
            <w:pPr>
              <w:autoSpaceDN w:val="0"/>
              <w:autoSpaceDE w:val="0"/>
              <w:widowControl/>
              <w:spacing w:line="235" w:lineRule="auto" w:before="58" w:after="0"/>
              <w:ind w:left="0" w:right="0" w:firstLine="0"/>
              <w:jc w:val="right"/>
            </w:pPr>
            <w:r>
              <w:rPr>
                <w:rFonts w:ascii="Arial" w:hAnsi="Arial" w:eastAsia="Arial"/>
                <w:b w:val="0"/>
                <w:i w:val="0"/>
                <w:color w:val="000000"/>
                <w:sz w:val="15"/>
              </w:rPr>
              <w:t>366,687,841</w:t>
            </w:r>
          </w:p>
        </w:tc>
      </w:tr>
      <w:tr>
        <w:trPr>
          <w:trHeight w:hRule="exact" w:val="196"/>
        </w:trPr>
        <w:tc>
          <w:tcPr>
            <w:tcW w:type="dxa" w:w="3430"/>
            <w:tcBorders/>
            <w:tcMar>
              <w:start w:w="0" w:type="dxa"/>
              <w:end w:w="0" w:type="dxa"/>
            </w:tcMar>
          </w:tcPr>
          <w:p>
            <w:pPr>
              <w:autoSpaceDN w:val="0"/>
              <w:autoSpaceDE w:val="0"/>
              <w:widowControl/>
              <w:spacing w:line="150" w:lineRule="exact" w:before="14" w:after="0"/>
              <w:ind w:left="152" w:right="0" w:firstLine="0"/>
              <w:jc w:val="left"/>
            </w:pPr>
            <w:r>
              <w:rPr>
                <w:rFonts w:ascii="黑体" w:hAnsi="黑体" w:eastAsia="黑体"/>
                <w:b w:val="0"/>
                <w:i w:val="0"/>
                <w:color w:val="000000"/>
                <w:sz w:val="15"/>
              </w:rPr>
              <w:t>应付债券</w:t>
            </w:r>
          </w:p>
        </w:tc>
        <w:tc>
          <w:tcPr>
            <w:tcW w:type="dxa" w:w="1234"/>
            <w:tcBorders/>
            <w:tcMar>
              <w:start w:w="0" w:type="dxa"/>
              <w:end w:w="0" w:type="dxa"/>
            </w:tcMar>
          </w:tcPr>
          <w:p>
            <w:pPr>
              <w:autoSpaceDN w:val="0"/>
              <w:autoSpaceDE w:val="0"/>
              <w:widowControl/>
              <w:spacing w:line="233" w:lineRule="auto" w:before="14"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540"/>
            <w:tcBorders/>
            <w:tcMar>
              <w:start w:w="0" w:type="dxa"/>
              <w:end w:w="0" w:type="dxa"/>
            </w:tcMar>
          </w:tcPr>
          <w:p>
            <w:pPr>
              <w:autoSpaceDN w:val="0"/>
              <w:autoSpaceDE w:val="0"/>
              <w:widowControl/>
              <w:spacing w:line="233" w:lineRule="auto" w:before="14" w:after="0"/>
              <w:ind w:left="0" w:right="28" w:firstLine="0"/>
              <w:jc w:val="right"/>
            </w:pPr>
            <w:r>
              <w:rPr>
                <w:rFonts w:ascii="Arial" w:hAnsi="Arial" w:eastAsia="Arial"/>
                <w:b w:val="0"/>
                <w:i w:val="0"/>
                <w:color w:val="000000"/>
                <w:sz w:val="15"/>
              </w:rPr>
              <w:t xml:space="preserve">1,083,602,730 </w:t>
            </w:r>
          </w:p>
        </w:tc>
        <w:tc>
          <w:tcPr>
            <w:tcW w:type="dxa" w:w="1472"/>
            <w:tcBorders/>
            <w:tcMar>
              <w:start w:w="0" w:type="dxa"/>
              <w:end w:w="0" w:type="dxa"/>
            </w:tcMar>
          </w:tcPr>
          <w:p>
            <w:pPr>
              <w:autoSpaceDN w:val="0"/>
              <w:autoSpaceDE w:val="0"/>
              <w:widowControl/>
              <w:spacing w:line="233" w:lineRule="auto" w:before="14" w:after="0"/>
              <w:ind w:left="356" w:right="0" w:firstLine="0"/>
              <w:jc w:val="left"/>
            </w:pPr>
            <w:r>
              <w:rPr>
                <w:rFonts w:ascii="Arial" w:hAnsi="Arial" w:eastAsia="Arial"/>
                <w:b w:val="0"/>
                <w:i w:val="0"/>
                <w:color w:val="000000"/>
                <w:sz w:val="15"/>
              </w:rPr>
              <w:t xml:space="preserve">5,676,594,019 </w:t>
            </w:r>
          </w:p>
        </w:tc>
        <w:tc>
          <w:tcPr>
            <w:tcW w:type="dxa" w:w="1118"/>
            <w:tcBorders/>
            <w:tcMar>
              <w:start w:w="0" w:type="dxa"/>
              <w:end w:w="0" w:type="dxa"/>
            </w:tcMar>
          </w:tcPr>
          <w:p>
            <w:pPr>
              <w:autoSpaceDN w:val="0"/>
              <w:autoSpaceDE w:val="0"/>
              <w:widowControl/>
              <w:spacing w:line="233" w:lineRule="auto" w:before="14" w:after="0"/>
              <w:ind w:left="160" w:right="0" w:firstLine="0"/>
              <w:jc w:val="left"/>
            </w:pPr>
            <w:r>
              <w:rPr>
                <w:rFonts w:ascii="Arial" w:hAnsi="Arial" w:eastAsia="Arial"/>
                <w:b w:val="0"/>
                <w:i w:val="0"/>
                <w:color w:val="000000"/>
                <w:sz w:val="15"/>
              </w:rPr>
              <w:t>9,247,812,036</w:t>
            </w:r>
          </w:p>
        </w:tc>
        <w:tc>
          <w:tcPr>
            <w:tcW w:type="dxa" w:w="133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5"/>
              </w:rPr>
              <w:t>-</w:t>
            </w:r>
          </w:p>
        </w:tc>
        <w:tc>
          <w:tcPr>
            <w:tcW w:type="dxa" w:w="1330"/>
            <w:tcBorders/>
            <w:tcMar>
              <w:start w:w="0" w:type="dxa"/>
              <w:end w:w="0" w:type="dxa"/>
            </w:tcMar>
          </w:tcPr>
          <w:p>
            <w:pPr>
              <w:autoSpaceDN w:val="0"/>
              <w:autoSpaceDE w:val="0"/>
              <w:widowControl/>
              <w:spacing w:line="233" w:lineRule="auto" w:before="14" w:after="0"/>
              <w:ind w:left="288" w:right="0" w:firstLine="0"/>
              <w:jc w:val="left"/>
            </w:pPr>
            <w:r>
              <w:rPr>
                <w:rFonts w:ascii="Arial" w:hAnsi="Arial" w:eastAsia="Arial"/>
                <w:b w:val="0"/>
                <w:i w:val="0"/>
                <w:color w:val="000000"/>
                <w:sz w:val="15"/>
              </w:rPr>
              <w:t>16,008,008,785</w:t>
            </w:r>
          </w:p>
        </w:tc>
        <w:tc>
          <w:tcPr>
            <w:tcW w:type="dxa" w:w="1204"/>
            <w:tcBorders/>
            <w:tcMar>
              <w:start w:w="0" w:type="dxa"/>
              <w:end w:w="0" w:type="dxa"/>
            </w:tcMar>
          </w:tcPr>
          <w:p>
            <w:pPr>
              <w:autoSpaceDN w:val="0"/>
              <w:autoSpaceDE w:val="0"/>
              <w:widowControl/>
              <w:spacing w:line="233" w:lineRule="auto" w:before="14" w:after="0"/>
              <w:ind w:left="160" w:right="0" w:firstLine="0"/>
              <w:jc w:val="left"/>
            </w:pPr>
            <w:r>
              <w:rPr>
                <w:rFonts w:ascii="Arial" w:hAnsi="Arial" w:eastAsia="Arial"/>
                <w:b w:val="0"/>
                <w:i w:val="0"/>
                <w:color w:val="000000"/>
                <w:sz w:val="15"/>
              </w:rPr>
              <w:t xml:space="preserve"> 15,809,101,530</w:t>
            </w:r>
          </w:p>
        </w:tc>
      </w:tr>
      <w:tr>
        <w:trPr>
          <w:trHeight w:hRule="exact" w:val="164"/>
        </w:trPr>
        <w:tc>
          <w:tcPr>
            <w:tcW w:type="dxa" w:w="3430"/>
            <w:tcBorders/>
            <w:tcMar>
              <w:start w:w="0" w:type="dxa"/>
              <w:end w:w="0" w:type="dxa"/>
            </w:tcMar>
          </w:tcPr>
          <w:p>
            <w:pPr>
              <w:autoSpaceDN w:val="0"/>
              <w:autoSpaceDE w:val="0"/>
              <w:widowControl/>
              <w:spacing w:line="150" w:lineRule="exact" w:before="12" w:after="0"/>
              <w:ind w:left="152" w:right="0" w:firstLine="0"/>
              <w:jc w:val="left"/>
            </w:pPr>
            <w:r>
              <w:rPr>
                <w:rFonts w:ascii="黑体" w:hAnsi="黑体" w:eastAsia="黑体"/>
                <w:b w:val="0"/>
                <w:i w:val="0"/>
                <w:color w:val="000000"/>
                <w:sz w:val="15"/>
              </w:rPr>
              <w:t>租赁负债</w:t>
            </w:r>
          </w:p>
        </w:tc>
        <w:tc>
          <w:tcPr>
            <w:tcW w:type="dxa" w:w="1234"/>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5"/>
              </w:rPr>
              <w:t xml:space="preserve">- </w:t>
            </w:r>
          </w:p>
        </w:tc>
        <w:tc>
          <w:tcPr>
            <w:tcW w:type="dxa" w:w="130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3,281,695</w:t>
            </w:r>
          </w:p>
        </w:tc>
        <w:tc>
          <w:tcPr>
            <w:tcW w:type="dxa" w:w="1540"/>
            <w:tcBorders/>
            <w:tcMar>
              <w:start w:w="0" w:type="dxa"/>
              <w:end w:w="0" w:type="dxa"/>
            </w:tcMar>
          </w:tcPr>
          <w:p>
            <w:pPr>
              <w:autoSpaceDN w:val="0"/>
              <w:autoSpaceDE w:val="0"/>
              <w:widowControl/>
              <w:spacing w:line="233" w:lineRule="auto" w:before="0" w:after="0"/>
              <w:ind w:left="0" w:right="28" w:firstLine="0"/>
              <w:jc w:val="right"/>
            </w:pPr>
            <w:r>
              <w:rPr>
                <w:rFonts w:ascii="Arial" w:hAnsi="Arial" w:eastAsia="Arial"/>
                <w:b w:val="0"/>
                <w:i w:val="0"/>
                <w:color w:val="000000"/>
                <w:sz w:val="15"/>
              </w:rPr>
              <w:t xml:space="preserve">7,354,737 </w:t>
            </w:r>
          </w:p>
        </w:tc>
        <w:tc>
          <w:tcPr>
            <w:tcW w:type="dxa" w:w="1472"/>
            <w:tcBorders/>
            <w:tcMar>
              <w:start w:w="0" w:type="dxa"/>
              <w:end w:w="0" w:type="dxa"/>
            </w:tcMar>
          </w:tcPr>
          <w:p>
            <w:pPr>
              <w:autoSpaceDN w:val="0"/>
              <w:autoSpaceDE w:val="0"/>
              <w:widowControl/>
              <w:spacing w:line="233" w:lineRule="auto" w:before="0" w:after="0"/>
              <w:ind w:left="0" w:right="114" w:firstLine="0"/>
              <w:jc w:val="right"/>
            </w:pPr>
            <w:r>
              <w:rPr>
                <w:rFonts w:ascii="Arial" w:hAnsi="Arial" w:eastAsia="Arial"/>
                <w:b w:val="0"/>
                <w:i w:val="0"/>
                <w:color w:val="000000"/>
                <w:sz w:val="15"/>
              </w:rPr>
              <w:t xml:space="preserve">37,948,583 </w:t>
            </w:r>
          </w:p>
        </w:tc>
        <w:tc>
          <w:tcPr>
            <w:tcW w:type="dxa" w:w="1118"/>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271,626,583</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17,767,236</w:t>
            </w:r>
          </w:p>
        </w:tc>
        <w:tc>
          <w:tcPr>
            <w:tcW w:type="dxa" w:w="133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337,978,834</w:t>
            </w:r>
          </w:p>
        </w:tc>
        <w:tc>
          <w:tcPr>
            <w:tcW w:type="dxa" w:w="120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5"/>
              </w:rPr>
              <w:t>317,169,527</w:t>
            </w:r>
          </w:p>
        </w:tc>
      </w:tr>
      <w:tr>
        <w:trPr>
          <w:trHeight w:hRule="exact" w:val="220"/>
        </w:trPr>
        <w:tc>
          <w:tcPr>
            <w:tcW w:type="dxa" w:w="3430"/>
            <w:tcBorders>
              <w:bottom w:sz="3.199999999999818" w:val="single" w:color="#000000"/>
            </w:tcBorders>
            <w:tcMar>
              <w:start w:w="0" w:type="dxa"/>
              <w:end w:w="0" w:type="dxa"/>
            </w:tcMar>
          </w:tcPr>
          <w:p>
            <w:pPr>
              <w:autoSpaceDN w:val="0"/>
              <w:autoSpaceDE w:val="0"/>
              <w:widowControl/>
              <w:spacing w:line="152" w:lineRule="exact" w:before="42" w:after="0"/>
              <w:ind w:left="152" w:right="0" w:firstLine="0"/>
              <w:jc w:val="left"/>
            </w:pPr>
            <w:r>
              <w:rPr>
                <w:rFonts w:ascii="黑体" w:hAnsi="黑体" w:eastAsia="黑体"/>
                <w:b w:val="0"/>
                <w:i w:val="0"/>
                <w:color w:val="000000"/>
                <w:sz w:val="15"/>
              </w:rPr>
              <w:t>其他金融负债</w:t>
            </w:r>
          </w:p>
        </w:tc>
        <w:tc>
          <w:tcPr>
            <w:tcW w:type="dxa" w:w="1234"/>
            <w:tcBorders>
              <w:bottom w:sz="3.199999999999818" w:val="single" w:color="#000000"/>
            </w:tcBorders>
            <w:tcMar>
              <w:start w:w="0" w:type="dxa"/>
              <w:end w:w="0" w:type="dxa"/>
            </w:tcMar>
          </w:tcPr>
          <w:p>
            <w:pPr>
              <w:autoSpaceDN w:val="0"/>
              <w:autoSpaceDE w:val="0"/>
              <w:widowControl/>
              <w:spacing w:line="233" w:lineRule="auto" w:before="42" w:after="0"/>
              <w:ind w:left="0" w:right="72" w:firstLine="0"/>
              <w:jc w:val="right"/>
            </w:pPr>
            <w:r>
              <w:rPr>
                <w:rFonts w:ascii="Arial" w:hAnsi="Arial" w:eastAsia="Arial"/>
                <w:b w:val="0"/>
                <w:i w:val="0"/>
                <w:color w:val="000000"/>
                <w:sz w:val="15"/>
              </w:rPr>
              <w:t xml:space="preserve">43,099,826 </w:t>
            </w:r>
          </w:p>
        </w:tc>
        <w:tc>
          <w:tcPr>
            <w:tcW w:type="dxa" w:w="1300"/>
            <w:tcBorders>
              <w:bottom w:sz="3.199999999999818"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5"/>
              </w:rPr>
              <w:t>831,210,891</w:t>
            </w:r>
          </w:p>
        </w:tc>
        <w:tc>
          <w:tcPr>
            <w:tcW w:type="dxa" w:w="1540"/>
            <w:tcBorders>
              <w:bottom w:sz="3.199999999999818" w:val="single" w:color="#000000"/>
            </w:tcBorders>
            <w:tcMar>
              <w:start w:w="0" w:type="dxa"/>
              <w:end w:w="0" w:type="dxa"/>
            </w:tcMar>
          </w:tcPr>
          <w:p>
            <w:pPr>
              <w:autoSpaceDN w:val="0"/>
              <w:autoSpaceDE w:val="0"/>
              <w:widowControl/>
              <w:spacing w:line="233" w:lineRule="auto" w:before="42" w:after="0"/>
              <w:ind w:left="0" w:right="28" w:firstLine="0"/>
              <w:jc w:val="right"/>
            </w:pPr>
            <w:r>
              <w:rPr>
                <w:rFonts w:ascii="Arial" w:hAnsi="Arial" w:eastAsia="Arial"/>
                <w:b w:val="0"/>
                <w:i w:val="0"/>
                <w:color w:val="000000"/>
                <w:sz w:val="15"/>
              </w:rPr>
              <w:t xml:space="preserve">23,439,346 </w:t>
            </w:r>
          </w:p>
        </w:tc>
        <w:tc>
          <w:tcPr>
            <w:tcW w:type="dxa" w:w="1472"/>
            <w:tcBorders>
              <w:bottom w:sz="3.199999999999818" w:val="single" w:color="#000000"/>
            </w:tcBorders>
            <w:tcMar>
              <w:start w:w="0" w:type="dxa"/>
              <w:end w:w="0" w:type="dxa"/>
            </w:tcMar>
          </w:tcPr>
          <w:p>
            <w:pPr>
              <w:autoSpaceDN w:val="0"/>
              <w:autoSpaceDE w:val="0"/>
              <w:widowControl/>
              <w:spacing w:line="233" w:lineRule="auto" w:before="42" w:after="0"/>
              <w:ind w:left="0" w:right="114" w:firstLine="0"/>
              <w:jc w:val="right"/>
            </w:pPr>
            <w:r>
              <w:rPr>
                <w:rFonts w:ascii="Arial" w:hAnsi="Arial" w:eastAsia="Arial"/>
                <w:b w:val="0"/>
                <w:i w:val="0"/>
                <w:color w:val="000000"/>
                <w:sz w:val="15"/>
              </w:rPr>
              <w:t xml:space="preserve">593,170,947 </w:t>
            </w:r>
          </w:p>
        </w:tc>
        <w:tc>
          <w:tcPr>
            <w:tcW w:type="dxa" w:w="1118"/>
            <w:tcBorders>
              <w:bottom w:sz="3.199999999999818"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5"/>
              </w:rPr>
              <w:t>616,136,302</w:t>
            </w:r>
          </w:p>
        </w:tc>
        <w:tc>
          <w:tcPr>
            <w:tcW w:type="dxa" w:w="1330"/>
            <w:tcBorders>
              <w:bottom w:sz="3.199999999999818"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5"/>
              </w:rPr>
              <w:t>-</w:t>
            </w:r>
          </w:p>
        </w:tc>
        <w:tc>
          <w:tcPr>
            <w:tcW w:type="dxa" w:w="1330"/>
            <w:tcBorders>
              <w:bottom w:sz="3.199999999999818" w:val="single" w:color="#000000"/>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5"/>
              </w:rPr>
              <w:t>2,107,057,312</w:t>
            </w:r>
          </w:p>
        </w:tc>
        <w:tc>
          <w:tcPr>
            <w:tcW w:type="dxa" w:w="1204"/>
            <w:tcBorders>
              <w:bottom w:sz="3.199999999999818" w:val="single" w:color="#000000"/>
            </w:tcBorders>
            <w:tcMar>
              <w:start w:w="0" w:type="dxa"/>
              <w:end w:w="0" w:type="dxa"/>
            </w:tcMar>
          </w:tcPr>
          <w:p>
            <w:pPr>
              <w:autoSpaceDN w:val="0"/>
              <w:autoSpaceDE w:val="0"/>
              <w:widowControl/>
              <w:spacing w:line="233" w:lineRule="auto" w:before="42" w:after="0"/>
              <w:ind w:left="160" w:right="0" w:firstLine="0"/>
              <w:jc w:val="left"/>
            </w:pPr>
            <w:r>
              <w:rPr>
                <w:rFonts w:ascii="Arial" w:hAnsi="Arial" w:eastAsia="Arial"/>
                <w:b w:val="0"/>
                <w:i w:val="0"/>
                <w:color w:val="000000"/>
                <w:sz w:val="15"/>
              </w:rPr>
              <w:t xml:space="preserve"> 2,107,057,312</w:t>
            </w:r>
          </w:p>
        </w:tc>
      </w:tr>
      <w:tr>
        <w:trPr>
          <w:trHeight w:hRule="exact" w:val="378"/>
        </w:trPr>
        <w:tc>
          <w:tcPr>
            <w:tcW w:type="dxa" w:w="3430"/>
            <w:tcBorders>
              <w:top w:sz="3.199999999999818" w:val="single" w:color="#000000"/>
              <w:bottom w:sz="4.0" w:val="single" w:color="#000000"/>
            </w:tcBorders>
            <w:tcMar>
              <w:start w:w="0" w:type="dxa"/>
              <w:end w:w="0" w:type="dxa"/>
            </w:tcMar>
          </w:tcPr>
          <w:p>
            <w:pPr>
              <w:autoSpaceDN w:val="0"/>
              <w:autoSpaceDE w:val="0"/>
              <w:widowControl/>
              <w:spacing w:line="152" w:lineRule="exact" w:before="194" w:after="0"/>
              <w:ind w:left="0" w:right="0" w:firstLine="0"/>
              <w:jc w:val="left"/>
            </w:pPr>
            <w:r>
              <w:rPr>
                <w:rFonts w:ascii="黑体" w:hAnsi="黑体" w:eastAsia="黑体"/>
                <w:b w:val="0"/>
                <w:i w:val="0"/>
                <w:color w:val="000000"/>
                <w:sz w:val="15"/>
              </w:rPr>
              <w:t>金融负债合计</w:t>
            </w:r>
          </w:p>
        </w:tc>
        <w:tc>
          <w:tcPr>
            <w:tcW w:type="dxa" w:w="1234"/>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0" w:right="0" w:firstLine="0"/>
              <w:jc w:val="center"/>
            </w:pPr>
            <w:r>
              <w:rPr>
                <w:rFonts w:ascii="Arial" w:hAnsi="Arial" w:eastAsia="Arial"/>
                <w:b w:val="0"/>
                <w:i w:val="0"/>
                <w:color w:val="000000"/>
                <w:sz w:val="15"/>
              </w:rPr>
              <w:t xml:space="preserve">15,212,607,495 </w:t>
            </w:r>
          </w:p>
        </w:tc>
        <w:tc>
          <w:tcPr>
            <w:tcW w:type="dxa" w:w="1300"/>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260" w:right="0" w:firstLine="0"/>
              <w:jc w:val="left"/>
            </w:pPr>
            <w:r>
              <w:rPr>
                <w:rFonts w:ascii="Arial" w:hAnsi="Arial" w:eastAsia="Arial"/>
                <w:b w:val="0"/>
                <w:i w:val="0"/>
                <w:color w:val="000000"/>
                <w:sz w:val="15"/>
              </w:rPr>
              <w:t>22,708,982,684</w:t>
            </w:r>
          </w:p>
        </w:tc>
        <w:tc>
          <w:tcPr>
            <w:tcW w:type="dxa" w:w="1540"/>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0" w:right="28" w:firstLine="0"/>
              <w:jc w:val="right"/>
            </w:pPr>
            <w:r>
              <w:rPr>
                <w:rFonts w:ascii="Arial" w:hAnsi="Arial" w:eastAsia="Arial"/>
                <w:b w:val="0"/>
                <w:i w:val="0"/>
                <w:color w:val="000000"/>
                <w:sz w:val="15"/>
              </w:rPr>
              <w:t xml:space="preserve">2,260,382,150 </w:t>
            </w:r>
          </w:p>
        </w:tc>
        <w:tc>
          <w:tcPr>
            <w:tcW w:type="dxa" w:w="1472"/>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356" w:right="0" w:firstLine="0"/>
              <w:jc w:val="left"/>
            </w:pPr>
            <w:r>
              <w:rPr>
                <w:rFonts w:ascii="Arial" w:hAnsi="Arial" w:eastAsia="Arial"/>
                <w:b w:val="0"/>
                <w:i w:val="0"/>
                <w:color w:val="000000"/>
                <w:sz w:val="15"/>
              </w:rPr>
              <w:t xml:space="preserve">8,935,559,867 </w:t>
            </w:r>
          </w:p>
        </w:tc>
        <w:tc>
          <w:tcPr>
            <w:tcW w:type="dxa" w:w="1118"/>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78" w:right="0" w:firstLine="0"/>
              <w:jc w:val="left"/>
            </w:pPr>
            <w:r>
              <w:rPr>
                <w:rFonts w:ascii="Arial" w:hAnsi="Arial" w:eastAsia="Arial"/>
                <w:b w:val="0"/>
                <w:i w:val="0"/>
                <w:color w:val="000000"/>
                <w:sz w:val="15"/>
              </w:rPr>
              <w:t>10,163,732,079</w:t>
            </w:r>
          </w:p>
        </w:tc>
        <w:tc>
          <w:tcPr>
            <w:tcW w:type="dxa" w:w="1330"/>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0" w:right="0" w:firstLine="0"/>
              <w:jc w:val="right"/>
            </w:pPr>
            <w:r>
              <w:rPr>
                <w:rFonts w:ascii="Arial" w:hAnsi="Arial" w:eastAsia="Arial"/>
                <w:b w:val="0"/>
                <w:i w:val="0"/>
                <w:color w:val="000000"/>
                <w:sz w:val="15"/>
              </w:rPr>
              <w:t>17,767,236</w:t>
            </w:r>
          </w:p>
        </w:tc>
        <w:tc>
          <w:tcPr>
            <w:tcW w:type="dxa" w:w="1330"/>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288" w:right="0" w:firstLine="0"/>
              <w:jc w:val="left"/>
            </w:pPr>
            <w:r>
              <w:rPr>
                <w:rFonts w:ascii="Arial" w:hAnsi="Arial" w:eastAsia="Arial"/>
                <w:b w:val="0"/>
                <w:i w:val="0"/>
                <w:color w:val="000000"/>
                <w:sz w:val="15"/>
              </w:rPr>
              <w:t>59,299,031,511</w:t>
            </w:r>
          </w:p>
        </w:tc>
        <w:tc>
          <w:tcPr>
            <w:tcW w:type="dxa" w:w="1204"/>
            <w:tcBorders>
              <w:top w:sz="3.199999999999818" w:val="single" w:color="#000000"/>
              <w:bottom w:sz="4.0" w:val="single" w:color="#000000"/>
            </w:tcBorders>
            <w:tcMar>
              <w:start w:w="0" w:type="dxa"/>
              <w:end w:w="0" w:type="dxa"/>
            </w:tcMar>
          </w:tcPr>
          <w:p>
            <w:pPr>
              <w:autoSpaceDN w:val="0"/>
              <w:autoSpaceDE w:val="0"/>
              <w:widowControl/>
              <w:spacing w:line="235" w:lineRule="auto" w:before="194" w:after="0"/>
              <w:ind w:left="160" w:right="0" w:firstLine="0"/>
              <w:jc w:val="left"/>
            </w:pPr>
            <w:r>
              <w:rPr>
                <w:rFonts w:ascii="Arial" w:hAnsi="Arial" w:eastAsia="Arial"/>
                <w:b w:val="0"/>
                <w:i w:val="0"/>
                <w:color w:val="000000"/>
                <w:sz w:val="15"/>
              </w:rPr>
              <w:t xml:space="preserve"> 59,037,180,298</w:t>
            </w:r>
          </w:p>
        </w:tc>
      </w:tr>
      <w:tr>
        <w:trPr>
          <w:trHeight w:hRule="exact" w:val="50"/>
        </w:trPr>
        <w:tc>
          <w:tcPr>
            <w:tcW w:type="dxa" w:w="3430"/>
            <w:tcBorders>
              <w:top w:sz="4.0" w:val="single" w:color="#000000"/>
            </w:tcBorders>
            <w:tcMar>
              <w:start w:w="0" w:type="dxa"/>
              <w:end w:w="0" w:type="dxa"/>
            </w:tcMar>
          </w:tcPr>
          <w:p/>
        </w:tc>
        <w:tc>
          <w:tcPr>
            <w:tcW w:type="dxa" w:w="1234"/>
            <w:tcBorders>
              <w:top w:sz="4.0" w:val="single" w:color="#000000"/>
            </w:tcBorders>
            <w:tcMar>
              <w:start w:w="0" w:type="dxa"/>
              <w:end w:w="0" w:type="dxa"/>
            </w:tcMar>
          </w:tcPr>
          <w:p/>
        </w:tc>
        <w:tc>
          <w:tcPr>
            <w:tcW w:type="dxa" w:w="1300"/>
            <w:tcBorders>
              <w:top w:sz="4.0" w:val="single" w:color="#000000"/>
            </w:tcBorders>
            <w:tcMar>
              <w:start w:w="0" w:type="dxa"/>
              <w:end w:w="0" w:type="dxa"/>
            </w:tcMar>
          </w:tcPr>
          <w:p/>
        </w:tc>
        <w:tc>
          <w:tcPr>
            <w:tcW w:type="dxa" w:w="1540"/>
            <w:tcBorders>
              <w:top w:sz="4.0" w:val="single" w:color="#000000"/>
            </w:tcBorders>
            <w:tcMar>
              <w:start w:w="0" w:type="dxa"/>
              <w:end w:w="0" w:type="dxa"/>
            </w:tcMar>
          </w:tcPr>
          <w:p/>
        </w:tc>
        <w:tc>
          <w:tcPr>
            <w:tcW w:type="dxa" w:w="1472"/>
            <w:tcBorders>
              <w:top w:sz="4.0" w:val="single" w:color="#000000"/>
            </w:tcBorders>
            <w:tcMar>
              <w:start w:w="0" w:type="dxa"/>
              <w:end w:w="0" w:type="dxa"/>
            </w:tcMar>
          </w:tcPr>
          <w:p/>
        </w:tc>
        <w:tc>
          <w:tcPr>
            <w:tcW w:type="dxa" w:w="1118"/>
            <w:tcBorders>
              <w:top w:sz="4.0" w:val="single" w:color="#000000"/>
            </w:tcBorders>
            <w:tcMar>
              <w:start w:w="0" w:type="dxa"/>
              <w:end w:w="0" w:type="dxa"/>
            </w:tcMar>
          </w:tcPr>
          <w:p/>
        </w:tc>
        <w:tc>
          <w:tcPr>
            <w:tcW w:type="dxa" w:w="1330"/>
            <w:tcBorders>
              <w:top w:sz="4.0" w:val="single" w:color="#000000"/>
            </w:tcBorders>
            <w:tcMar>
              <w:start w:w="0" w:type="dxa"/>
              <w:end w:w="0" w:type="dxa"/>
            </w:tcMar>
          </w:tcPr>
          <w:p/>
        </w:tc>
        <w:tc>
          <w:tcPr>
            <w:tcW w:type="dxa" w:w="1330"/>
            <w:tcBorders>
              <w:top w:sz="4.0" w:val="single" w:color="#000000"/>
            </w:tcBorders>
            <w:tcMar>
              <w:start w:w="0" w:type="dxa"/>
              <w:end w:w="0" w:type="dxa"/>
            </w:tcMar>
          </w:tcPr>
          <w:p/>
        </w:tc>
        <w:tc>
          <w:tcPr>
            <w:tcW w:type="dxa" w:w="1204"/>
            <w:tcBorders>
              <w:top w:sz="4.0" w:val="single" w:color="#000000"/>
            </w:tcBorders>
            <w:tcMar>
              <w:start w:w="0" w:type="dxa"/>
              <w:end w:w="0" w:type="dxa"/>
            </w:tcMar>
          </w:tcPr>
          <w:p/>
        </w:tc>
      </w:tr>
    </w:tbl>
    <w:p>
      <w:pPr>
        <w:autoSpaceDN w:val="0"/>
        <w:autoSpaceDE w:val="0"/>
        <w:widowControl/>
        <w:spacing w:line="233" w:lineRule="auto" w:before="3230" w:after="0"/>
        <w:ind w:left="0" w:right="0" w:firstLine="0"/>
        <w:jc w:val="center"/>
      </w:pPr>
      <w:r>
        <w:rPr>
          <w:rFonts w:ascii="Arial" w:hAnsi="Arial" w:eastAsia="Arial"/>
          <w:b w:val="0"/>
          <w:i w:val="0"/>
          <w:color w:val="000000"/>
          <w:sz w:val="20"/>
        </w:rPr>
        <w:t xml:space="preserve">283 </w:t>
      </w:r>
    </w:p>
    <w:p>
      <w:pPr>
        <w:sectPr>
          <w:pgSz w:w="16841" w:h="11899"/>
          <w:pgMar w:top="1166" w:right="1418"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706" w:val="left"/>
        </w:tabs>
        <w:autoSpaceDE w:val="0"/>
        <w:widowControl/>
        <w:spacing w:line="396" w:lineRule="exact" w:before="0" w:after="0"/>
        <w:ind w:left="62" w:right="0"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3. </w:t>
      </w:r>
      <w:r>
        <w:tab/>
      </w:r>
      <w:r>
        <w:rPr>
          <w:rFonts w:ascii="黑体" w:hAnsi="黑体" w:eastAsia="黑体"/>
          <w:b w:val="0"/>
          <w:i w:val="0"/>
          <w:color w:val="000000"/>
          <w:sz w:val="22"/>
        </w:rPr>
        <w:t>利率风险</w:t>
      </w:r>
      <w:r>
        <w:br/>
      </w:r>
      <w:r>
        <w:rPr>
          <w:rFonts w:ascii="黑体" w:hAnsi="黑体" w:eastAsia="黑体"/>
          <w:b w:val="0"/>
          <w:i w:val="0"/>
          <w:color w:val="000000"/>
          <w:sz w:val="22"/>
        </w:rPr>
        <w:t>固定利率和浮动利率的带息金融工具分别使本集团面临公允价值利率风险及现金流量利率风险。本集团根据市场环境来决定固定利率与浮动利率</w:t>
      </w:r>
      <w:r>
        <w:rPr>
          <w:rFonts w:ascii="黑体" w:hAnsi="黑体" w:eastAsia="黑体"/>
          <w:b w:val="0"/>
          <w:i w:val="0"/>
          <w:color w:val="000000"/>
          <w:sz w:val="22"/>
        </w:rPr>
        <w:t>工具的比例，并通过定期审阅与监察维持适当的固定利率和浮动利率工具组合。</w:t>
      </w:r>
    </w:p>
    <w:p>
      <w:pPr>
        <w:autoSpaceDN w:val="0"/>
        <w:tabs>
          <w:tab w:pos="62" w:val="left"/>
        </w:tabs>
        <w:autoSpaceDE w:val="0"/>
        <w:widowControl/>
        <w:spacing w:line="432" w:lineRule="exact" w:before="74" w:after="188"/>
        <w:ind w:left="0" w:right="6768"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利率重定价风险</w:t>
      </w:r>
      <w:r>
        <w:br/>
      </w:r>
      <w:r>
        <w:rPr>
          <w:rFonts w:ascii="黑体" w:hAnsi="黑体" w:eastAsia="黑体"/>
          <w:b w:val="0"/>
          <w:i w:val="0"/>
          <w:color w:val="000000"/>
          <w:sz w:val="22"/>
        </w:rPr>
        <w:t>本集团的利率重定价风险主要来自生息资产和付息负债结构不匹配的风险。</w:t>
      </w:r>
    </w:p>
    <w:tbl>
      <w:tblPr>
        <w:tblW w:type="auto" w:w="0"/>
        <w:tblLayout w:type="fixed"/>
        <w:tblLook w:firstColumn="1" w:firstRow="1" w:lastColumn="0" w:lastRow="0" w:noHBand="0" w:noVBand="1" w:val="04A0"/>
        <w:tblInd w:w="21.999999999999886" w:type="dxa"/>
      </w:tblPr>
      <w:tblGrid>
        <w:gridCol w:w="1767"/>
        <w:gridCol w:w="1767"/>
        <w:gridCol w:w="1767"/>
        <w:gridCol w:w="1767"/>
        <w:gridCol w:w="1767"/>
        <w:gridCol w:w="1767"/>
        <w:gridCol w:w="1767"/>
        <w:gridCol w:w="1767"/>
      </w:tblGrid>
      <w:tr>
        <w:trPr>
          <w:trHeight w:hRule="exact" w:val="256"/>
        </w:trPr>
        <w:tc>
          <w:tcPr>
            <w:tcW w:type="dxa" w:w="2260"/>
            <w:tcBorders>
              <w:bottom w:sz="4.0" w:val="single" w:color="#000000"/>
            </w:tcBorders>
            <w:tcMar>
              <w:start w:w="0" w:type="dxa"/>
              <w:end w:w="0" w:type="dxa"/>
            </w:tcMar>
          </w:tcPr>
          <w:p>
            <w:pPr>
              <w:autoSpaceDN w:val="0"/>
              <w:autoSpaceDE w:val="0"/>
              <w:widowControl/>
              <w:spacing w:line="200" w:lineRule="exact" w:before="50" w:after="0"/>
              <w:ind w:left="40" w:right="0" w:firstLine="0"/>
              <w:jc w:val="lef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820"/>
            <w:tcBorders>
              <w:bottom w:sz="4.0" w:val="single" w:color="#000000"/>
            </w:tcBorders>
            <w:tcMar>
              <w:start w:w="0" w:type="dxa"/>
              <w:end w:w="0" w:type="dxa"/>
            </w:tcMar>
          </w:tcPr>
          <w:p>
            <w:pPr>
              <w:autoSpaceDN w:val="0"/>
              <w:autoSpaceDE w:val="0"/>
              <w:widowControl/>
              <w:spacing w:line="200" w:lineRule="exact" w:before="50" w:after="0"/>
              <w:ind w:left="0" w:right="268" w:firstLine="0"/>
              <w:jc w:val="right"/>
            </w:pPr>
            <w:r>
              <w:rPr>
                <w:rFonts w:ascii="Arial" w:hAnsi="Arial" w:eastAsia="Arial"/>
                <w:b w:val="0"/>
                <w:i w:val="0"/>
                <w:color w:val="000000"/>
                <w:sz w:val="18"/>
              </w:rPr>
              <w:t>1</w:t>
            </w:r>
            <w:r>
              <w:rPr>
                <w:rFonts w:ascii="黑体" w:hAnsi="黑体" w:eastAsia="黑体"/>
                <w:b w:val="0"/>
                <w:i w:val="0"/>
                <w:color w:val="000000"/>
                <w:sz w:val="18"/>
              </w:rPr>
              <w:t>个月内</w:t>
            </w:r>
          </w:p>
        </w:tc>
        <w:tc>
          <w:tcPr>
            <w:tcW w:type="dxa" w:w="1720"/>
            <w:tcBorders>
              <w:bottom w:sz="4.0" w:val="single" w:color="#000000"/>
            </w:tcBorders>
            <w:tcMar>
              <w:start w:w="0" w:type="dxa"/>
              <w:end w:w="0" w:type="dxa"/>
            </w:tcMar>
          </w:tcPr>
          <w:p>
            <w:pPr>
              <w:autoSpaceDN w:val="0"/>
              <w:autoSpaceDE w:val="0"/>
              <w:widowControl/>
              <w:spacing w:line="200"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个月至</w:t>
            </w:r>
            <w:r>
              <w:rPr>
                <w:rFonts w:ascii="Arial" w:hAnsi="Arial" w:eastAsia="Arial"/>
                <w:b w:val="0"/>
                <w:i w:val="0"/>
                <w:color w:val="000000"/>
                <w:sz w:val="18"/>
              </w:rPr>
              <w:t>3</w:t>
            </w:r>
            <w:r>
              <w:rPr>
                <w:rFonts w:ascii="黑体" w:hAnsi="黑体" w:eastAsia="黑体"/>
                <w:b w:val="0"/>
                <w:i w:val="0"/>
                <w:color w:val="000000"/>
                <w:sz w:val="18"/>
              </w:rPr>
              <w:t>个月</w:t>
            </w:r>
          </w:p>
        </w:tc>
        <w:tc>
          <w:tcPr>
            <w:tcW w:type="dxa" w:w="1740"/>
            <w:tcBorders>
              <w:bottom w:sz="4.0" w:val="single" w:color="#000000"/>
            </w:tcBorders>
            <w:tcMar>
              <w:start w:w="0" w:type="dxa"/>
              <w:end w:w="0" w:type="dxa"/>
            </w:tcMar>
          </w:tcPr>
          <w:p>
            <w:pPr>
              <w:autoSpaceDN w:val="0"/>
              <w:autoSpaceDE w:val="0"/>
              <w:widowControl/>
              <w:spacing w:line="200" w:lineRule="exact" w:before="50" w:after="0"/>
              <w:ind w:left="0" w:right="0" w:firstLine="0"/>
              <w:jc w:val="center"/>
            </w:pPr>
            <w:r>
              <w:rPr>
                <w:rFonts w:ascii="Arial" w:hAnsi="Arial" w:eastAsia="Arial"/>
                <w:b w:val="0"/>
                <w:i w:val="0"/>
                <w:color w:val="000000"/>
                <w:sz w:val="18"/>
              </w:rPr>
              <w:t>3</w:t>
            </w:r>
            <w:r>
              <w:rPr>
                <w:rFonts w:ascii="黑体" w:hAnsi="黑体" w:eastAsia="黑体"/>
                <w:b w:val="0"/>
                <w:i w:val="0"/>
                <w:color w:val="000000"/>
                <w:sz w:val="18"/>
              </w:rPr>
              <w:t>个月至</w:t>
            </w:r>
            <w:r>
              <w:rPr>
                <w:rFonts w:ascii="Arial" w:hAnsi="Arial" w:eastAsia="Arial"/>
                <w:b w:val="0"/>
                <w:i w:val="0"/>
                <w:color w:val="000000"/>
                <w:sz w:val="18"/>
              </w:rPr>
              <w:t>1</w:t>
            </w:r>
            <w:r>
              <w:rPr>
                <w:rFonts w:ascii="黑体" w:hAnsi="黑体" w:eastAsia="黑体"/>
                <w:b w:val="0"/>
                <w:i w:val="0"/>
                <w:color w:val="000000"/>
                <w:sz w:val="18"/>
              </w:rPr>
              <w:t>年</w:t>
            </w:r>
          </w:p>
        </w:tc>
        <w:tc>
          <w:tcPr>
            <w:tcW w:type="dxa" w:w="1700"/>
            <w:tcBorders>
              <w:bottom w:sz="4.0" w:val="single" w:color="#000000"/>
            </w:tcBorders>
            <w:tcMar>
              <w:start w:w="0" w:type="dxa"/>
              <w:end w:w="0" w:type="dxa"/>
            </w:tcMar>
          </w:tcPr>
          <w:p>
            <w:pPr>
              <w:autoSpaceDN w:val="0"/>
              <w:autoSpaceDE w:val="0"/>
              <w:widowControl/>
              <w:spacing w:line="200"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年至</w:t>
            </w:r>
            <w:r>
              <w:rPr>
                <w:rFonts w:ascii="Arial" w:hAnsi="Arial" w:eastAsia="Arial"/>
                <w:b w:val="0"/>
                <w:i w:val="0"/>
                <w:color w:val="000000"/>
                <w:sz w:val="18"/>
              </w:rPr>
              <w:t>5</w:t>
            </w:r>
            <w:r>
              <w:rPr>
                <w:rFonts w:ascii="黑体" w:hAnsi="黑体" w:eastAsia="黑体"/>
                <w:b w:val="0"/>
                <w:i w:val="0"/>
                <w:color w:val="000000"/>
                <w:sz w:val="18"/>
              </w:rPr>
              <w:t>年</w:t>
            </w:r>
          </w:p>
        </w:tc>
        <w:tc>
          <w:tcPr>
            <w:tcW w:type="dxa" w:w="2248"/>
            <w:tcBorders>
              <w:bottom w:sz="4.0" w:val="single" w:color="#000000"/>
            </w:tcBorders>
            <w:tcMar>
              <w:start w:w="0" w:type="dxa"/>
              <w:end w:w="0" w:type="dxa"/>
            </w:tcMar>
          </w:tcPr>
          <w:p>
            <w:pPr>
              <w:autoSpaceDN w:val="0"/>
              <w:autoSpaceDE w:val="0"/>
              <w:widowControl/>
              <w:spacing w:line="200" w:lineRule="exact" w:before="50" w:after="0"/>
              <w:ind w:left="502" w:right="0" w:firstLine="0"/>
              <w:jc w:val="left"/>
            </w:pPr>
            <w:r>
              <w:rPr>
                <w:rFonts w:ascii="Arial" w:hAnsi="Arial" w:eastAsia="Arial"/>
                <w:b w:val="0"/>
                <w:i w:val="0"/>
                <w:color w:val="000000"/>
                <w:sz w:val="18"/>
              </w:rPr>
              <w:t>5</w:t>
            </w:r>
            <w:r>
              <w:rPr>
                <w:rFonts w:ascii="黑体" w:hAnsi="黑体" w:eastAsia="黑体"/>
                <w:b w:val="0"/>
                <w:i w:val="0"/>
                <w:color w:val="000000"/>
                <w:sz w:val="18"/>
              </w:rPr>
              <w:t>年以上</w:t>
            </w:r>
          </w:p>
        </w:tc>
        <w:tc>
          <w:tcPr>
            <w:tcW w:type="dxa" w:w="2162"/>
            <w:tcBorders>
              <w:bottom w:sz="4.0" w:val="single" w:color="#000000"/>
            </w:tcBorders>
            <w:tcMar>
              <w:start w:w="0" w:type="dxa"/>
              <w:end w:w="0" w:type="dxa"/>
            </w:tcMar>
          </w:tcPr>
          <w:p>
            <w:pPr>
              <w:autoSpaceDN w:val="0"/>
              <w:autoSpaceDE w:val="0"/>
              <w:widowControl/>
              <w:spacing w:line="180" w:lineRule="exact" w:before="68" w:after="0"/>
              <w:ind w:left="0" w:right="0" w:firstLine="0"/>
              <w:jc w:val="left"/>
            </w:pPr>
            <w:r>
              <w:rPr>
                <w:rFonts w:ascii="黑体" w:hAnsi="黑体" w:eastAsia="黑体"/>
                <w:b w:val="0"/>
                <w:i w:val="0"/>
                <w:color w:val="000000"/>
                <w:sz w:val="18"/>
              </w:rPr>
              <w:t>不计息</w:t>
            </w:r>
          </w:p>
        </w:tc>
        <w:tc>
          <w:tcPr>
            <w:tcW w:type="dxa" w:w="360"/>
            <w:tcBorders>
              <w:bottom w:sz="4.0" w:val="single" w:color="#000000"/>
            </w:tcBorders>
            <w:tcMar>
              <w:start w:w="0" w:type="dxa"/>
              <w:end w:w="0" w:type="dxa"/>
            </w:tcMar>
          </w:tcPr>
          <w:p>
            <w:pPr>
              <w:autoSpaceDN w:val="0"/>
              <w:autoSpaceDE w:val="0"/>
              <w:widowControl/>
              <w:spacing w:line="180" w:lineRule="exact" w:before="68" w:after="0"/>
              <w:ind w:left="0" w:right="0" w:firstLine="0"/>
              <w:jc w:val="center"/>
            </w:pPr>
            <w:r>
              <w:rPr>
                <w:rFonts w:ascii="黑体" w:hAnsi="黑体" w:eastAsia="黑体"/>
                <w:b w:val="0"/>
                <w:i w:val="0"/>
                <w:color w:val="000000"/>
                <w:sz w:val="18"/>
              </w:rPr>
              <w:t>合计</w:t>
            </w:r>
          </w:p>
        </w:tc>
      </w:tr>
    </w:tbl>
    <w:p>
      <w:pPr>
        <w:autoSpaceDN w:val="0"/>
        <w:autoSpaceDE w:val="0"/>
        <w:widowControl/>
        <w:spacing w:line="180" w:lineRule="exact" w:before="250" w:after="28"/>
        <w:ind w:left="62" w:right="0" w:firstLine="0"/>
        <w:jc w:val="left"/>
      </w:pPr>
      <w:r>
        <w:rPr>
          <w:rFonts w:ascii="黑体" w:hAnsi="黑体" w:eastAsia="黑体"/>
          <w:b w:val="0"/>
          <w:i w:val="0"/>
          <w:color w:val="000000"/>
          <w:sz w:val="18"/>
        </w:rPr>
        <w:t>金融资产</w:t>
      </w:r>
    </w:p>
    <w:tbl>
      <w:tblPr>
        <w:tblW w:type="auto" w:w="0"/>
        <w:tblLayout w:type="fixed"/>
        <w:tblLook w:firstColumn="1" w:firstRow="1" w:lastColumn="0" w:lastRow="0" w:noHBand="0" w:noVBand="1" w:val="04A0"/>
        <w:tblInd w:w="21.999999999999886" w:type="dxa"/>
      </w:tblPr>
      <w:tblGrid>
        <w:gridCol w:w="1767"/>
        <w:gridCol w:w="1767"/>
        <w:gridCol w:w="1767"/>
        <w:gridCol w:w="1767"/>
        <w:gridCol w:w="1767"/>
        <w:gridCol w:w="1767"/>
        <w:gridCol w:w="1767"/>
        <w:gridCol w:w="1767"/>
      </w:tblGrid>
      <w:tr>
        <w:trPr>
          <w:trHeight w:hRule="exact" w:val="204"/>
        </w:trPr>
        <w:tc>
          <w:tcPr>
            <w:tcW w:type="dxa" w:w="2338"/>
            <w:tcBorders/>
            <w:tcMar>
              <w:start w:w="0" w:type="dxa"/>
              <w:end w:w="0" w:type="dxa"/>
            </w:tcMar>
          </w:tcPr>
          <w:p>
            <w:pPr>
              <w:autoSpaceDN w:val="0"/>
              <w:autoSpaceDE w:val="0"/>
              <w:widowControl/>
              <w:spacing w:line="180" w:lineRule="exact" w:before="24" w:after="0"/>
              <w:ind w:left="220" w:right="0" w:firstLine="0"/>
              <w:jc w:val="left"/>
            </w:pPr>
            <w:r>
              <w:rPr>
                <w:rFonts w:ascii="黑体" w:hAnsi="黑体" w:eastAsia="黑体"/>
                <w:b w:val="0"/>
                <w:i w:val="0"/>
                <w:color w:val="000000"/>
                <w:sz w:val="18"/>
              </w:rPr>
              <w:t>货币资金</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34" w:after="0"/>
              <w:ind w:left="222" w:right="0" w:firstLine="0"/>
              <w:jc w:val="left"/>
            </w:pPr>
            <w:r>
              <w:rPr>
                <w:rFonts w:ascii="Arial" w:hAnsi="Arial" w:eastAsia="Arial"/>
                <w:b w:val="0"/>
                <w:i w:val="0"/>
                <w:color w:val="000000"/>
                <w:sz w:val="18"/>
              </w:rPr>
              <w:t xml:space="preserve">25,108,183,112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34" w:after="0"/>
              <w:ind w:left="0" w:right="0" w:firstLine="0"/>
              <w:jc w:val="right"/>
            </w:pPr>
            <w:r>
              <w:rPr>
                <w:rFonts w:ascii="Arial" w:hAnsi="Arial" w:eastAsia="Arial"/>
                <w:b w:val="0"/>
                <w:i w:val="0"/>
                <w:color w:val="000000"/>
                <w:sz w:val="18"/>
              </w:rPr>
              <w:t>200,000,000</w:t>
            </w:r>
          </w:p>
        </w:tc>
        <w:tc>
          <w:tcPr>
            <w:tcW w:type="dxa" w:w="1812"/>
            <w:vMerge w:val="restart"/>
            <w:tcBorders/>
            <w:tcMar>
              <w:start w:w="0" w:type="dxa"/>
              <w:end w:w="0" w:type="dxa"/>
            </w:tcMar>
            <w:tcMar>
              <w:start w:w="0" w:type="dxa"/>
              <w:end w:w="0" w:type="dxa"/>
            </w:tcMar>
          </w:tcPr>
          <w:p>
            <w:pPr>
              <w:autoSpaceDN w:val="0"/>
              <w:autoSpaceDE w:val="0"/>
              <w:widowControl/>
              <w:spacing w:line="235" w:lineRule="auto" w:before="34" w:after="0"/>
              <w:ind w:left="0" w:right="118" w:firstLine="0"/>
              <w:jc w:val="right"/>
            </w:pPr>
            <w:r>
              <w:rPr>
                <w:rFonts w:ascii="Arial" w:hAnsi="Arial" w:eastAsia="Arial"/>
                <w:b w:val="0"/>
                <w:i w:val="0"/>
                <w:color w:val="000000"/>
                <w:sz w:val="18"/>
              </w:rPr>
              <w:t xml:space="preserve">57,082,700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34" w:after="0"/>
              <w:ind w:left="0" w:right="84" w:firstLine="0"/>
              <w:jc w:val="right"/>
            </w:pPr>
            <w:r>
              <w:rPr>
                <w:rFonts w:ascii="Arial" w:hAnsi="Arial" w:eastAsia="Arial"/>
                <w:b w:val="0"/>
                <w:i w:val="0"/>
                <w:color w:val="000000"/>
                <w:sz w:val="18"/>
              </w:rPr>
              <w:t xml:space="preserve">-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34"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34" w:after="0"/>
              <w:ind w:left="0" w:right="0" w:firstLine="0"/>
              <w:jc w:val="right"/>
            </w:pPr>
            <w:r>
              <w:rPr>
                <w:rFonts w:ascii="Arial" w:hAnsi="Arial" w:eastAsia="Arial"/>
                <w:b w:val="0"/>
                <w:i w:val="0"/>
                <w:color w:val="000000"/>
                <w:sz w:val="18"/>
              </w:rPr>
              <w:t>35,922,022</w:t>
            </w:r>
          </w:p>
        </w:tc>
        <w:tc>
          <w:tcPr>
            <w:tcW w:type="dxa" w:w="2072"/>
            <w:vMerge w:val="restart"/>
            <w:tcBorders/>
            <w:tcMar>
              <w:start w:w="0" w:type="dxa"/>
              <w:end w:w="0" w:type="dxa"/>
            </w:tcMar>
            <w:tcMar>
              <w:start w:w="0" w:type="dxa"/>
              <w:end w:w="0" w:type="dxa"/>
            </w:tcMar>
          </w:tcPr>
          <w:p>
            <w:pPr>
              <w:autoSpaceDN w:val="0"/>
              <w:autoSpaceDE w:val="0"/>
              <w:widowControl/>
              <w:spacing w:line="235" w:lineRule="auto" w:before="34" w:after="0"/>
              <w:ind w:left="0" w:right="6" w:firstLine="0"/>
              <w:jc w:val="right"/>
            </w:pPr>
            <w:r>
              <w:rPr>
                <w:rFonts w:ascii="Arial" w:hAnsi="Arial" w:eastAsia="Arial"/>
                <w:b w:val="0"/>
                <w:i w:val="0"/>
                <w:color w:val="000000"/>
                <w:sz w:val="18"/>
              </w:rPr>
              <w:t xml:space="preserve">25,401,187,834 </w:t>
            </w:r>
          </w:p>
        </w:tc>
      </w:tr>
      <w:tr>
        <w:trPr>
          <w:trHeight w:hRule="exact" w:val="48"/>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8" w:after="0"/>
              <w:ind w:left="220" w:right="0" w:firstLine="0"/>
              <w:jc w:val="left"/>
            </w:pPr>
            <w:r>
              <w:rPr>
                <w:rFonts w:ascii="黑体" w:hAnsi="黑体" w:eastAsia="黑体"/>
                <w:b w:val="0"/>
                <w:i w:val="0"/>
                <w:color w:val="000000"/>
                <w:sz w:val="18"/>
              </w:rPr>
              <w:t>结算备付金</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232"/>
        </w:trPr>
        <w:tc>
          <w:tcPr>
            <w:tcW w:type="dxa" w:w="1767"/>
            <w:vMerge/>
            <w:tcBorders/>
          </w:tcPr>
          <w:p/>
        </w:tc>
        <w:tc>
          <w:tcPr>
            <w:tcW w:type="dxa" w:w="1644"/>
            <w:tcBorders/>
            <w:tcMar>
              <w:start w:w="0" w:type="dxa"/>
              <w:end w:w="0" w:type="dxa"/>
            </w:tcMar>
          </w:tcPr>
          <w:p>
            <w:pPr>
              <w:autoSpaceDN w:val="0"/>
              <w:autoSpaceDE w:val="0"/>
              <w:widowControl/>
              <w:spacing w:line="233" w:lineRule="auto" w:before="16" w:after="0"/>
              <w:ind w:left="320" w:right="0" w:firstLine="0"/>
              <w:jc w:val="left"/>
            </w:pPr>
            <w:r>
              <w:rPr>
                <w:rFonts w:ascii="Arial" w:hAnsi="Arial" w:eastAsia="Arial"/>
                <w:b w:val="0"/>
                <w:i w:val="0"/>
                <w:color w:val="000000"/>
                <w:sz w:val="18"/>
              </w:rPr>
              <w:t xml:space="preserve">3,942,109,396 </w:t>
            </w:r>
          </w:p>
        </w:tc>
        <w:tc>
          <w:tcPr>
            <w:tcW w:type="dxa" w:w="14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3" w:lineRule="auto" w:before="16"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16" w:after="0"/>
              <w:ind w:left="0" w:right="84"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3" w:lineRule="auto" w:before="16"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78,816,698</w:t>
            </w:r>
          </w:p>
        </w:tc>
        <w:tc>
          <w:tcPr>
            <w:tcW w:type="dxa" w:w="2072"/>
            <w:tcBorders/>
            <w:tcMar>
              <w:start w:w="0" w:type="dxa"/>
              <w:end w:w="0" w:type="dxa"/>
            </w:tcMar>
          </w:tcPr>
          <w:p>
            <w:pPr>
              <w:autoSpaceDN w:val="0"/>
              <w:autoSpaceDE w:val="0"/>
              <w:widowControl/>
              <w:spacing w:line="233" w:lineRule="auto" w:before="16" w:after="0"/>
              <w:ind w:left="0" w:right="6" w:firstLine="0"/>
              <w:jc w:val="right"/>
            </w:pPr>
            <w:r>
              <w:rPr>
                <w:rFonts w:ascii="Arial" w:hAnsi="Arial" w:eastAsia="Arial"/>
                <w:b w:val="0"/>
                <w:i w:val="0"/>
                <w:color w:val="000000"/>
                <w:sz w:val="18"/>
              </w:rPr>
              <w:t xml:space="preserve">4,020,926,094 </w:t>
            </w:r>
          </w:p>
        </w:tc>
      </w:tr>
      <w:tr>
        <w:trPr>
          <w:trHeight w:hRule="exact" w:val="200"/>
        </w:trPr>
        <w:tc>
          <w:tcPr>
            <w:tcW w:type="dxa" w:w="2338"/>
            <w:tcBorders/>
            <w:tcMar>
              <w:start w:w="0" w:type="dxa"/>
              <w:end w:w="0" w:type="dxa"/>
            </w:tcMar>
          </w:tcPr>
          <w:p>
            <w:pPr>
              <w:autoSpaceDN w:val="0"/>
              <w:autoSpaceDE w:val="0"/>
              <w:widowControl/>
              <w:spacing w:line="180" w:lineRule="exact" w:before="10" w:after="0"/>
              <w:ind w:left="220" w:right="0" w:firstLine="0"/>
              <w:jc w:val="left"/>
            </w:pPr>
            <w:r>
              <w:rPr>
                <w:rFonts w:ascii="黑体" w:hAnsi="黑体" w:eastAsia="黑体"/>
                <w:b w:val="0"/>
                <w:i w:val="0"/>
                <w:color w:val="000000"/>
                <w:sz w:val="18"/>
              </w:rPr>
              <w:t>融出资金</w:t>
            </w:r>
          </w:p>
        </w:tc>
        <w:tc>
          <w:tcPr>
            <w:tcW w:type="dxa" w:w="1644"/>
            <w:tcBorders/>
            <w:tcMar>
              <w:start w:w="0" w:type="dxa"/>
              <w:end w:w="0" w:type="dxa"/>
            </w:tcMar>
          </w:tcPr>
          <w:p>
            <w:pPr>
              <w:autoSpaceDN w:val="0"/>
              <w:autoSpaceDE w:val="0"/>
              <w:widowControl/>
              <w:spacing w:line="233" w:lineRule="auto" w:before="0" w:after="0"/>
              <w:ind w:left="0" w:right="86" w:firstLine="0"/>
              <w:jc w:val="right"/>
            </w:pPr>
            <w:r>
              <w:rPr>
                <w:rFonts w:ascii="Arial" w:hAnsi="Arial" w:eastAsia="Arial"/>
                <w:b w:val="0"/>
                <w:i w:val="0"/>
                <w:color w:val="000000"/>
                <w:sz w:val="18"/>
              </w:rPr>
              <w:t xml:space="preserve">224,854,295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991,260,486</w:t>
            </w:r>
          </w:p>
        </w:tc>
        <w:tc>
          <w:tcPr>
            <w:tcW w:type="dxa" w:w="1812"/>
            <w:tcBorders/>
            <w:tcMar>
              <w:start w:w="0" w:type="dxa"/>
              <w:end w:w="0" w:type="dxa"/>
            </w:tcMar>
          </w:tcPr>
          <w:p>
            <w:pPr>
              <w:autoSpaceDN w:val="0"/>
              <w:autoSpaceDE w:val="0"/>
              <w:widowControl/>
              <w:spacing w:line="233" w:lineRule="auto" w:before="0" w:after="0"/>
              <w:ind w:left="0" w:right="118" w:firstLine="0"/>
              <w:jc w:val="right"/>
            </w:pPr>
            <w:r>
              <w:rPr>
                <w:rFonts w:ascii="Arial" w:hAnsi="Arial" w:eastAsia="Arial"/>
                <w:b w:val="0"/>
                <w:i w:val="0"/>
                <w:color w:val="000000"/>
                <w:sz w:val="18"/>
              </w:rPr>
              <w:t xml:space="preserve">6,113,371,313 </w:t>
            </w:r>
          </w:p>
        </w:tc>
        <w:tc>
          <w:tcPr>
            <w:tcW w:type="dxa" w:w="1642"/>
            <w:tcBorders/>
            <w:tcMar>
              <w:start w:w="0" w:type="dxa"/>
              <w:end w:w="0" w:type="dxa"/>
            </w:tcMar>
          </w:tcPr>
          <w:p>
            <w:pPr>
              <w:autoSpaceDN w:val="0"/>
              <w:autoSpaceDE w:val="0"/>
              <w:widowControl/>
              <w:spacing w:line="233" w:lineRule="auto" w:before="0" w:after="0"/>
              <w:ind w:left="0" w:right="84"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546</w:t>
            </w:r>
          </w:p>
        </w:tc>
        <w:tc>
          <w:tcPr>
            <w:tcW w:type="dxa" w:w="2072"/>
            <w:tcBorders/>
            <w:tcMar>
              <w:start w:w="0" w:type="dxa"/>
              <w:end w:w="0" w:type="dxa"/>
            </w:tcMar>
          </w:tcPr>
          <w:p>
            <w:pPr>
              <w:autoSpaceDN w:val="0"/>
              <w:autoSpaceDE w:val="0"/>
              <w:widowControl/>
              <w:spacing w:line="233" w:lineRule="auto" w:before="0" w:after="0"/>
              <w:ind w:left="0" w:right="6" w:firstLine="0"/>
              <w:jc w:val="right"/>
            </w:pPr>
            <w:r>
              <w:rPr>
                <w:rFonts w:ascii="Arial" w:hAnsi="Arial" w:eastAsia="Arial"/>
                <w:b w:val="0"/>
                <w:i w:val="0"/>
                <w:color w:val="000000"/>
                <w:sz w:val="18"/>
              </w:rPr>
              <w:t xml:space="preserve">7,329,486,640 </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衍生金融资产</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86"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52" w:after="0"/>
              <w:ind w:left="0" w:right="118"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84" w:firstLine="0"/>
              <w:jc w:val="right"/>
            </w:pPr>
            <w:r>
              <w:rPr>
                <w:rFonts w:ascii="Arial" w:hAnsi="Arial" w:eastAsia="Arial"/>
                <w:b w:val="0"/>
                <w:i w:val="0"/>
                <w:color w:val="000000"/>
                <w:sz w:val="18"/>
              </w:rPr>
              <w:t xml:space="preserve">-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122,075,207</w:t>
            </w:r>
          </w:p>
        </w:tc>
        <w:tc>
          <w:tcPr>
            <w:tcW w:type="dxa" w:w="2072"/>
            <w:vMerge w:val="restart"/>
            <w:tcBorders/>
            <w:tcMar>
              <w:start w:w="0" w:type="dxa"/>
              <w:end w:w="0" w:type="dxa"/>
            </w:tcMar>
            <w:tcMar>
              <w:start w:w="0" w:type="dxa"/>
              <w:end w:w="0" w:type="dxa"/>
            </w:tcMar>
          </w:tcPr>
          <w:p>
            <w:pPr>
              <w:autoSpaceDN w:val="0"/>
              <w:autoSpaceDE w:val="0"/>
              <w:widowControl/>
              <w:spacing w:line="233" w:lineRule="auto" w:before="52" w:after="0"/>
              <w:ind w:left="0" w:right="6" w:firstLine="0"/>
              <w:jc w:val="right"/>
            </w:pPr>
            <w:r>
              <w:rPr>
                <w:rFonts w:ascii="Arial" w:hAnsi="Arial" w:eastAsia="Arial"/>
                <w:b w:val="0"/>
                <w:i w:val="0"/>
                <w:color w:val="000000"/>
                <w:sz w:val="18"/>
              </w:rPr>
              <w:t xml:space="preserve">122,075,207 </w:t>
            </w:r>
          </w:p>
        </w:tc>
      </w:tr>
      <w:tr>
        <w:trPr>
          <w:trHeight w:hRule="exact" w:val="48"/>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8" w:after="0"/>
              <w:ind w:left="220" w:right="0" w:firstLine="0"/>
              <w:jc w:val="left"/>
            </w:pPr>
            <w:r>
              <w:rPr>
                <w:rFonts w:ascii="黑体" w:hAnsi="黑体" w:eastAsia="黑体"/>
                <w:b w:val="0"/>
                <w:i w:val="0"/>
                <w:color w:val="000000"/>
                <w:sz w:val="18"/>
              </w:rPr>
              <w:t>买入返售金融资产</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232"/>
        </w:trPr>
        <w:tc>
          <w:tcPr>
            <w:tcW w:type="dxa" w:w="1767"/>
            <w:vMerge/>
            <w:tcBorders/>
          </w:tcPr>
          <w:p/>
        </w:tc>
        <w:tc>
          <w:tcPr>
            <w:tcW w:type="dxa" w:w="1644"/>
            <w:tcBorders/>
            <w:tcMar>
              <w:start w:w="0" w:type="dxa"/>
              <w:end w:w="0" w:type="dxa"/>
            </w:tcMar>
          </w:tcPr>
          <w:p>
            <w:pPr>
              <w:autoSpaceDN w:val="0"/>
              <w:autoSpaceDE w:val="0"/>
              <w:widowControl/>
              <w:spacing w:line="233" w:lineRule="auto" w:before="16" w:after="0"/>
              <w:ind w:left="320" w:right="0" w:firstLine="0"/>
              <w:jc w:val="left"/>
            </w:pPr>
            <w:r>
              <w:rPr>
                <w:rFonts w:ascii="Arial" w:hAnsi="Arial" w:eastAsia="Arial"/>
                <w:b w:val="0"/>
                <w:i w:val="0"/>
                <w:color w:val="000000"/>
                <w:sz w:val="18"/>
              </w:rPr>
              <w:t xml:space="preserve">1,306,648,131 </w:t>
            </w:r>
          </w:p>
        </w:tc>
        <w:tc>
          <w:tcPr>
            <w:tcW w:type="dxa" w:w="14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165,327,185</w:t>
            </w:r>
          </w:p>
        </w:tc>
        <w:tc>
          <w:tcPr>
            <w:tcW w:type="dxa" w:w="1812"/>
            <w:tcBorders/>
            <w:tcMar>
              <w:start w:w="0" w:type="dxa"/>
              <w:end w:w="0" w:type="dxa"/>
            </w:tcMar>
          </w:tcPr>
          <w:p>
            <w:pPr>
              <w:autoSpaceDN w:val="0"/>
              <w:autoSpaceDE w:val="0"/>
              <w:widowControl/>
              <w:spacing w:line="233" w:lineRule="auto" w:before="16" w:after="0"/>
              <w:ind w:left="0" w:right="118" w:firstLine="0"/>
              <w:jc w:val="right"/>
            </w:pPr>
            <w:r>
              <w:rPr>
                <w:rFonts w:ascii="Arial" w:hAnsi="Arial" w:eastAsia="Arial"/>
                <w:b w:val="0"/>
                <w:i w:val="0"/>
                <w:color w:val="000000"/>
                <w:sz w:val="18"/>
              </w:rPr>
              <w:t xml:space="preserve">484,102,034 </w:t>
            </w:r>
          </w:p>
        </w:tc>
        <w:tc>
          <w:tcPr>
            <w:tcW w:type="dxa" w:w="1642"/>
            <w:tcBorders/>
            <w:tcMar>
              <w:start w:w="0" w:type="dxa"/>
              <w:end w:w="0" w:type="dxa"/>
            </w:tcMar>
          </w:tcPr>
          <w:p>
            <w:pPr>
              <w:autoSpaceDN w:val="0"/>
              <w:autoSpaceDE w:val="0"/>
              <w:widowControl/>
              <w:spacing w:line="233" w:lineRule="auto" w:before="16" w:after="0"/>
              <w:ind w:left="0" w:right="84"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3" w:lineRule="auto" w:before="16"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21,456,486</w:t>
            </w:r>
          </w:p>
        </w:tc>
        <w:tc>
          <w:tcPr>
            <w:tcW w:type="dxa" w:w="2072"/>
            <w:tcBorders/>
            <w:tcMar>
              <w:start w:w="0" w:type="dxa"/>
              <w:end w:w="0" w:type="dxa"/>
            </w:tcMar>
          </w:tcPr>
          <w:p>
            <w:pPr>
              <w:autoSpaceDN w:val="0"/>
              <w:autoSpaceDE w:val="0"/>
              <w:widowControl/>
              <w:spacing w:line="233" w:lineRule="auto" w:before="16" w:after="0"/>
              <w:ind w:left="0" w:right="6" w:firstLine="0"/>
              <w:jc w:val="right"/>
            </w:pPr>
            <w:r>
              <w:rPr>
                <w:rFonts w:ascii="Arial" w:hAnsi="Arial" w:eastAsia="Arial"/>
                <w:b w:val="0"/>
                <w:i w:val="0"/>
                <w:color w:val="000000"/>
                <w:sz w:val="18"/>
              </w:rPr>
              <w:t xml:space="preserve">1,977,533,836 </w:t>
            </w:r>
          </w:p>
        </w:tc>
      </w:tr>
      <w:tr>
        <w:trPr>
          <w:trHeight w:hRule="exact" w:val="200"/>
        </w:trPr>
        <w:tc>
          <w:tcPr>
            <w:tcW w:type="dxa" w:w="2338"/>
            <w:tcBorders/>
            <w:tcMar>
              <w:start w:w="0" w:type="dxa"/>
              <w:end w:w="0" w:type="dxa"/>
            </w:tcMar>
          </w:tcPr>
          <w:p>
            <w:pPr>
              <w:autoSpaceDN w:val="0"/>
              <w:autoSpaceDE w:val="0"/>
              <w:widowControl/>
              <w:spacing w:line="180" w:lineRule="exact" w:before="10" w:after="0"/>
              <w:ind w:left="220" w:right="0" w:firstLine="0"/>
              <w:jc w:val="left"/>
            </w:pPr>
            <w:r>
              <w:rPr>
                <w:rFonts w:ascii="黑体" w:hAnsi="黑体" w:eastAsia="黑体"/>
                <w:b w:val="0"/>
                <w:i w:val="0"/>
                <w:color w:val="000000"/>
                <w:sz w:val="18"/>
              </w:rPr>
              <w:t>应收款项</w:t>
            </w:r>
          </w:p>
        </w:tc>
        <w:tc>
          <w:tcPr>
            <w:tcW w:type="dxa" w:w="1644"/>
            <w:tcBorders/>
            <w:tcMar>
              <w:start w:w="0" w:type="dxa"/>
              <w:end w:w="0" w:type="dxa"/>
            </w:tcMar>
          </w:tcPr>
          <w:p>
            <w:pPr>
              <w:autoSpaceDN w:val="0"/>
              <w:autoSpaceDE w:val="0"/>
              <w:widowControl/>
              <w:spacing w:line="235" w:lineRule="auto" w:before="0" w:after="0"/>
              <w:ind w:left="0" w:right="86"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5" w:lineRule="auto" w:before="0"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0" w:after="0"/>
              <w:ind w:left="0" w:right="84"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140,679,526</w:t>
            </w:r>
          </w:p>
        </w:tc>
        <w:tc>
          <w:tcPr>
            <w:tcW w:type="dxa" w:w="2072"/>
            <w:tcBorders/>
            <w:tcMar>
              <w:start w:w="0" w:type="dxa"/>
              <w:end w:w="0" w:type="dxa"/>
            </w:tcMar>
          </w:tcPr>
          <w:p>
            <w:pPr>
              <w:autoSpaceDN w:val="0"/>
              <w:autoSpaceDE w:val="0"/>
              <w:widowControl/>
              <w:spacing w:line="235" w:lineRule="auto" w:before="0" w:after="0"/>
              <w:ind w:left="0" w:right="6" w:firstLine="0"/>
              <w:jc w:val="right"/>
            </w:pPr>
            <w:r>
              <w:rPr>
                <w:rFonts w:ascii="Arial" w:hAnsi="Arial" w:eastAsia="Arial"/>
                <w:b w:val="0"/>
                <w:i w:val="0"/>
                <w:color w:val="000000"/>
                <w:sz w:val="18"/>
              </w:rPr>
              <w:t xml:space="preserve">140,679,526 </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存出保证金</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0" w:after="0"/>
              <w:ind w:left="0" w:right="86" w:firstLine="0"/>
              <w:jc w:val="right"/>
            </w:pPr>
            <w:r>
              <w:rPr>
                <w:rFonts w:ascii="Arial" w:hAnsi="Arial" w:eastAsia="Arial"/>
                <w:b w:val="0"/>
                <w:i w:val="0"/>
                <w:color w:val="000000"/>
                <w:sz w:val="18"/>
              </w:rPr>
              <w:t xml:space="preserve">687,038,146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0"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50" w:after="0"/>
              <w:ind w:left="0" w:right="118"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0" w:after="0"/>
              <w:ind w:left="0" w:right="84" w:firstLine="0"/>
              <w:jc w:val="right"/>
            </w:pPr>
            <w:r>
              <w:rPr>
                <w:rFonts w:ascii="Arial" w:hAnsi="Arial" w:eastAsia="Arial"/>
                <w:b w:val="0"/>
                <w:i w:val="0"/>
                <w:color w:val="000000"/>
                <w:sz w:val="18"/>
              </w:rPr>
              <w:t xml:space="preserve">-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0"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0" w:after="0"/>
              <w:ind w:left="322" w:right="0" w:firstLine="0"/>
              <w:jc w:val="left"/>
            </w:pPr>
            <w:r>
              <w:rPr>
                <w:rFonts w:ascii="Arial" w:hAnsi="Arial" w:eastAsia="Arial"/>
                <w:b w:val="0"/>
                <w:i w:val="0"/>
                <w:color w:val="000000"/>
                <w:sz w:val="18"/>
              </w:rPr>
              <w:t>2,376,361,650</w:t>
            </w:r>
          </w:p>
        </w:tc>
        <w:tc>
          <w:tcPr>
            <w:tcW w:type="dxa" w:w="2072"/>
            <w:vMerge w:val="restart"/>
            <w:tcBorders/>
            <w:tcMar>
              <w:start w:w="0" w:type="dxa"/>
              <w:end w:w="0" w:type="dxa"/>
            </w:tcMar>
            <w:tcMar>
              <w:start w:w="0" w:type="dxa"/>
              <w:end w:w="0" w:type="dxa"/>
            </w:tcMar>
          </w:tcPr>
          <w:p>
            <w:pPr>
              <w:autoSpaceDN w:val="0"/>
              <w:autoSpaceDE w:val="0"/>
              <w:widowControl/>
              <w:spacing w:line="233" w:lineRule="auto" w:before="50" w:after="0"/>
              <w:ind w:left="0" w:right="6" w:firstLine="0"/>
              <w:jc w:val="right"/>
            </w:pPr>
            <w:r>
              <w:rPr>
                <w:rFonts w:ascii="Arial" w:hAnsi="Arial" w:eastAsia="Arial"/>
                <w:b w:val="0"/>
                <w:i w:val="0"/>
                <w:color w:val="000000"/>
                <w:sz w:val="18"/>
              </w:rPr>
              <w:t xml:space="preserve">3,063,399,796 </w:t>
            </w:r>
          </w:p>
        </w:tc>
      </w:tr>
      <w:tr>
        <w:trPr>
          <w:trHeight w:hRule="exact" w:val="48"/>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8" w:after="0"/>
              <w:ind w:left="220" w:right="0" w:firstLine="0"/>
              <w:jc w:val="left"/>
            </w:pPr>
            <w:r>
              <w:rPr>
                <w:rFonts w:ascii="黑体" w:hAnsi="黑体" w:eastAsia="黑体"/>
                <w:b w:val="0"/>
                <w:i w:val="0"/>
                <w:color w:val="000000"/>
                <w:sz w:val="18"/>
              </w:rPr>
              <w:t>交易性金融资产</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192"/>
        </w:trPr>
        <w:tc>
          <w:tcPr>
            <w:tcW w:type="dxa" w:w="1767"/>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86" w:firstLine="0"/>
              <w:jc w:val="right"/>
            </w:pPr>
            <w:r>
              <w:rPr>
                <w:rFonts w:ascii="Arial" w:hAnsi="Arial" w:eastAsia="Arial"/>
                <w:b w:val="0"/>
                <w:i w:val="0"/>
                <w:color w:val="000000"/>
                <w:sz w:val="18"/>
              </w:rPr>
              <w:t xml:space="preserve">840,473,170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612,078,617</w:t>
            </w:r>
          </w:p>
        </w:tc>
        <w:tc>
          <w:tcPr>
            <w:tcW w:type="dxa" w:w="1812"/>
            <w:vMerge w:val="restart"/>
            <w:tcBorders/>
            <w:tcMar>
              <w:start w:w="0" w:type="dxa"/>
              <w:end w:w="0" w:type="dxa"/>
            </w:tcMar>
            <w:tcMar>
              <w:start w:w="0" w:type="dxa"/>
              <w:end w:w="0" w:type="dxa"/>
            </w:tcMar>
          </w:tcPr>
          <w:p>
            <w:pPr>
              <w:autoSpaceDN w:val="0"/>
              <w:autoSpaceDE w:val="0"/>
              <w:widowControl/>
              <w:spacing w:line="235" w:lineRule="auto" w:before="16" w:after="0"/>
              <w:ind w:left="0" w:right="118" w:firstLine="0"/>
              <w:jc w:val="right"/>
            </w:pPr>
            <w:r>
              <w:rPr>
                <w:rFonts w:ascii="Arial" w:hAnsi="Arial" w:eastAsia="Arial"/>
                <w:b w:val="0"/>
                <w:i w:val="0"/>
                <w:color w:val="000000"/>
                <w:sz w:val="18"/>
              </w:rPr>
              <w:t xml:space="preserve">3,061,510,889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322" w:right="0" w:firstLine="0"/>
              <w:jc w:val="left"/>
            </w:pPr>
            <w:r>
              <w:rPr>
                <w:rFonts w:ascii="Arial" w:hAnsi="Arial" w:eastAsia="Arial"/>
                <w:b w:val="0"/>
                <w:i w:val="0"/>
                <w:color w:val="000000"/>
                <w:sz w:val="18"/>
              </w:rPr>
              <w:t xml:space="preserve">8,937,264,211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222" w:right="0" w:firstLine="0"/>
              <w:jc w:val="left"/>
            </w:pPr>
            <w:r>
              <w:rPr>
                <w:rFonts w:ascii="Arial" w:hAnsi="Arial" w:eastAsia="Arial"/>
                <w:b w:val="0"/>
                <w:i w:val="0"/>
                <w:color w:val="000000"/>
                <w:sz w:val="18"/>
              </w:rPr>
              <w:t xml:space="preserve">14,195,830,134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322" w:right="0" w:firstLine="0"/>
              <w:jc w:val="left"/>
            </w:pPr>
            <w:r>
              <w:rPr>
                <w:rFonts w:ascii="Arial" w:hAnsi="Arial" w:eastAsia="Arial"/>
                <w:b w:val="0"/>
                <w:i w:val="0"/>
                <w:color w:val="000000"/>
                <w:sz w:val="18"/>
              </w:rPr>
              <w:t>8,360,885,759</w:t>
            </w:r>
          </w:p>
        </w:tc>
        <w:tc>
          <w:tcPr>
            <w:tcW w:type="dxa" w:w="2072"/>
            <w:vMerge w:val="restart"/>
            <w:tcBorders/>
            <w:tcMar>
              <w:start w:w="0" w:type="dxa"/>
              <w:end w:w="0" w:type="dxa"/>
            </w:tcMar>
            <w:tcMar>
              <w:start w:w="0" w:type="dxa"/>
              <w:end w:w="0" w:type="dxa"/>
            </w:tcMar>
          </w:tcPr>
          <w:p>
            <w:pPr>
              <w:autoSpaceDN w:val="0"/>
              <w:autoSpaceDE w:val="0"/>
              <w:widowControl/>
              <w:spacing w:line="235" w:lineRule="auto" w:before="16" w:after="0"/>
              <w:ind w:left="0" w:right="6" w:firstLine="0"/>
              <w:jc w:val="right"/>
            </w:pPr>
            <w:r>
              <w:rPr>
                <w:rFonts w:ascii="Arial" w:hAnsi="Arial" w:eastAsia="Arial"/>
                <w:b w:val="0"/>
                <w:i w:val="0"/>
                <w:color w:val="000000"/>
                <w:sz w:val="18"/>
              </w:rPr>
              <w:t xml:space="preserve">36,008,042,780 </w:t>
            </w:r>
          </w:p>
        </w:tc>
      </w:tr>
      <w:tr>
        <w:trPr>
          <w:trHeight w:hRule="exact" w:val="42"/>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2" w:after="0"/>
              <w:ind w:left="220" w:right="0" w:firstLine="0"/>
              <w:jc w:val="left"/>
            </w:pPr>
            <w:r>
              <w:rPr>
                <w:rFonts w:ascii="黑体" w:hAnsi="黑体" w:eastAsia="黑体"/>
                <w:b w:val="0"/>
                <w:i w:val="0"/>
                <w:color w:val="000000"/>
                <w:sz w:val="18"/>
              </w:rPr>
              <w:t>债权投资</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198"/>
        </w:trPr>
        <w:tc>
          <w:tcPr>
            <w:tcW w:type="dxa" w:w="1767"/>
            <w:vMerge/>
            <w:tcBorders/>
          </w:tcPr>
          <w:p/>
        </w:tc>
        <w:tc>
          <w:tcPr>
            <w:tcW w:type="dxa" w:w="1644"/>
            <w:tcBorders/>
            <w:tcMar>
              <w:start w:w="0" w:type="dxa"/>
              <w:end w:w="0" w:type="dxa"/>
            </w:tcMar>
          </w:tcPr>
          <w:p>
            <w:pPr>
              <w:autoSpaceDN w:val="0"/>
              <w:autoSpaceDE w:val="0"/>
              <w:widowControl/>
              <w:spacing w:line="233" w:lineRule="auto" w:before="0" w:after="0"/>
              <w:ind w:left="0" w:right="86"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3" w:lineRule="auto" w:before="0"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0" w:after="0"/>
              <w:ind w:left="0" w:right="84"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27,426,901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w:t>
            </w:r>
          </w:p>
        </w:tc>
        <w:tc>
          <w:tcPr>
            <w:tcW w:type="dxa" w:w="2072"/>
            <w:tcBorders/>
            <w:tcMar>
              <w:start w:w="0" w:type="dxa"/>
              <w:end w:w="0" w:type="dxa"/>
            </w:tcMar>
          </w:tcPr>
          <w:p>
            <w:pPr>
              <w:autoSpaceDN w:val="0"/>
              <w:autoSpaceDE w:val="0"/>
              <w:widowControl/>
              <w:spacing w:line="233" w:lineRule="auto" w:before="0" w:after="0"/>
              <w:ind w:left="0" w:right="6" w:firstLine="0"/>
              <w:jc w:val="right"/>
            </w:pPr>
            <w:r>
              <w:rPr>
                <w:rFonts w:ascii="Arial" w:hAnsi="Arial" w:eastAsia="Arial"/>
                <w:b w:val="0"/>
                <w:i w:val="0"/>
                <w:color w:val="000000"/>
                <w:sz w:val="18"/>
              </w:rPr>
              <w:t xml:space="preserve">27,426,901 </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其他债权投资</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50" w:after="0"/>
              <w:ind w:left="0" w:right="86"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50"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5" w:lineRule="auto" w:before="50" w:after="0"/>
              <w:ind w:left="0" w:right="118"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50" w:after="0"/>
              <w:ind w:left="0" w:right="84" w:firstLine="0"/>
              <w:jc w:val="right"/>
            </w:pPr>
            <w:r>
              <w:rPr>
                <w:rFonts w:ascii="Arial" w:hAnsi="Arial" w:eastAsia="Arial"/>
                <w:b w:val="0"/>
                <w:i w:val="0"/>
                <w:color w:val="000000"/>
                <w:sz w:val="18"/>
              </w:rPr>
              <w:t xml:space="preserve">26,434,616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50" w:after="0"/>
              <w:ind w:left="0" w:right="120" w:firstLine="0"/>
              <w:jc w:val="right"/>
            </w:pPr>
            <w:r>
              <w:rPr>
                <w:rFonts w:ascii="Arial" w:hAnsi="Arial" w:eastAsia="Arial"/>
                <w:b w:val="0"/>
                <w:i w:val="0"/>
                <w:color w:val="000000"/>
                <w:sz w:val="18"/>
              </w:rPr>
              <w:t xml:space="preserve">487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50" w:after="0"/>
              <w:ind w:left="0" w:right="0" w:firstLine="0"/>
              <w:jc w:val="right"/>
            </w:pPr>
            <w:r>
              <w:rPr>
                <w:rFonts w:ascii="Arial" w:hAnsi="Arial" w:eastAsia="Arial"/>
                <w:b w:val="0"/>
                <w:i w:val="0"/>
                <w:color w:val="000000"/>
                <w:sz w:val="18"/>
              </w:rPr>
              <w:t>31,008,560</w:t>
            </w:r>
          </w:p>
        </w:tc>
        <w:tc>
          <w:tcPr>
            <w:tcW w:type="dxa" w:w="2072"/>
            <w:vMerge w:val="restart"/>
            <w:tcBorders/>
            <w:tcMar>
              <w:start w:w="0" w:type="dxa"/>
              <w:end w:w="0" w:type="dxa"/>
            </w:tcMar>
            <w:tcMar>
              <w:start w:w="0" w:type="dxa"/>
              <w:end w:w="0" w:type="dxa"/>
            </w:tcMar>
          </w:tcPr>
          <w:p>
            <w:pPr>
              <w:autoSpaceDN w:val="0"/>
              <w:autoSpaceDE w:val="0"/>
              <w:widowControl/>
              <w:spacing w:line="235" w:lineRule="auto" w:before="50" w:after="0"/>
              <w:ind w:left="0" w:right="6" w:firstLine="0"/>
              <w:jc w:val="right"/>
            </w:pPr>
            <w:r>
              <w:rPr>
                <w:rFonts w:ascii="Arial" w:hAnsi="Arial" w:eastAsia="Arial"/>
                <w:b w:val="0"/>
                <w:i w:val="0"/>
                <w:color w:val="000000"/>
                <w:sz w:val="18"/>
              </w:rPr>
              <w:t xml:space="preserve">57,443,663 </w:t>
            </w:r>
          </w:p>
        </w:tc>
      </w:tr>
      <w:tr>
        <w:trPr>
          <w:trHeight w:hRule="exact" w:val="48"/>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8" w:after="0"/>
              <w:ind w:left="220" w:right="0" w:firstLine="0"/>
              <w:jc w:val="left"/>
            </w:pPr>
            <w:r>
              <w:rPr>
                <w:rFonts w:ascii="黑体" w:hAnsi="黑体" w:eastAsia="黑体"/>
                <w:b w:val="0"/>
                <w:i w:val="0"/>
                <w:color w:val="000000"/>
                <w:sz w:val="18"/>
              </w:rPr>
              <w:t>其他权益工具投资</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192"/>
        </w:trPr>
        <w:tc>
          <w:tcPr>
            <w:tcW w:type="dxa" w:w="1767"/>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16" w:after="0"/>
              <w:ind w:left="0" w:right="86" w:firstLine="0"/>
              <w:jc w:val="right"/>
            </w:pPr>
            <w:r>
              <w:rPr>
                <w:rFonts w:ascii="Arial" w:hAnsi="Arial" w:eastAsia="Arial"/>
                <w:b w:val="0"/>
                <w:i w:val="0"/>
                <w:color w:val="000000"/>
                <w:sz w:val="18"/>
              </w:rPr>
              <w:t xml:space="preserve"> -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16" w:after="0"/>
              <w:ind w:left="0" w:right="118"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16" w:after="0"/>
              <w:ind w:left="0" w:right="84" w:firstLine="0"/>
              <w:jc w:val="right"/>
            </w:pPr>
            <w:r>
              <w:rPr>
                <w:rFonts w:ascii="Arial" w:hAnsi="Arial" w:eastAsia="Arial"/>
                <w:b w:val="0"/>
                <w:i w:val="0"/>
                <w:color w:val="000000"/>
                <w:sz w:val="18"/>
              </w:rPr>
              <w:t xml:space="preserve"> -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16" w:after="0"/>
              <w:ind w:left="0" w:right="120" w:firstLine="0"/>
              <w:jc w:val="right"/>
            </w:pPr>
            <w:r>
              <w:rPr>
                <w:rFonts w:ascii="Arial" w:hAnsi="Arial" w:eastAsia="Arial"/>
                <w:b w:val="0"/>
                <w:i w:val="0"/>
                <w:color w:val="000000"/>
                <w:sz w:val="18"/>
              </w:rPr>
              <w:t xml:space="preserve"> -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214,099,641</w:t>
            </w:r>
          </w:p>
        </w:tc>
        <w:tc>
          <w:tcPr>
            <w:tcW w:type="dxa" w:w="2072"/>
            <w:vMerge w:val="restart"/>
            <w:tcBorders/>
            <w:tcMar>
              <w:start w:w="0" w:type="dxa"/>
              <w:end w:w="0" w:type="dxa"/>
            </w:tcMar>
            <w:tcMar>
              <w:start w:w="0" w:type="dxa"/>
              <w:end w:w="0" w:type="dxa"/>
            </w:tcMar>
          </w:tcPr>
          <w:p>
            <w:pPr>
              <w:autoSpaceDN w:val="0"/>
              <w:autoSpaceDE w:val="0"/>
              <w:widowControl/>
              <w:spacing w:line="233" w:lineRule="auto" w:before="16" w:after="0"/>
              <w:ind w:left="0" w:right="6" w:firstLine="0"/>
              <w:jc w:val="right"/>
            </w:pPr>
            <w:r>
              <w:rPr>
                <w:rFonts w:ascii="Arial" w:hAnsi="Arial" w:eastAsia="Arial"/>
                <w:b w:val="0"/>
                <w:i w:val="0"/>
                <w:color w:val="000000"/>
                <w:sz w:val="18"/>
              </w:rPr>
              <w:t xml:space="preserve">214,099,641 </w:t>
            </w:r>
          </w:p>
        </w:tc>
      </w:tr>
      <w:tr>
        <w:trPr>
          <w:trHeight w:hRule="exact" w:val="42"/>
        </w:trPr>
        <w:tc>
          <w:tcPr>
            <w:tcW w:type="dxa" w:w="2338"/>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2" w:after="0"/>
              <w:ind w:left="220" w:right="0" w:firstLine="0"/>
              <w:jc w:val="left"/>
            </w:pPr>
            <w:r>
              <w:rPr>
                <w:rFonts w:ascii="黑体" w:hAnsi="黑体" w:eastAsia="黑体"/>
                <w:b w:val="0"/>
                <w:i w:val="0"/>
                <w:color w:val="000000"/>
                <w:sz w:val="18"/>
              </w:rPr>
              <w:t>其他金融资产</w:t>
            </w: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c>
          <w:tcPr>
            <w:tcW w:type="dxa" w:w="1767"/>
            <w:vMerge/>
            <w:tcBorders/>
          </w:tcPr>
          <w:p/>
        </w:tc>
      </w:tr>
      <w:tr>
        <w:trPr>
          <w:trHeight w:hRule="exact" w:val="222"/>
        </w:trPr>
        <w:tc>
          <w:tcPr>
            <w:tcW w:type="dxa" w:w="1767"/>
            <w:vMerge/>
            <w:tcBorders>
              <w:bottom w:sz="4.0" w:val="single" w:color="#000000"/>
            </w:tcBorders>
          </w:tcPr>
          <w:p/>
        </w:tc>
        <w:tc>
          <w:tcPr>
            <w:tcW w:type="dxa" w:w="1644"/>
            <w:tcBorders>
              <w:bottom w:sz="4.0" w:val="single" w:color="#000000"/>
            </w:tcBorders>
            <w:tcMar>
              <w:start w:w="0" w:type="dxa"/>
              <w:end w:w="0" w:type="dxa"/>
            </w:tcMar>
          </w:tcPr>
          <w:p>
            <w:pPr>
              <w:autoSpaceDN w:val="0"/>
              <w:autoSpaceDE w:val="0"/>
              <w:widowControl/>
              <w:spacing w:line="233" w:lineRule="auto" w:before="16" w:after="0"/>
              <w:ind w:left="0" w:right="86" w:firstLine="0"/>
              <w:jc w:val="right"/>
            </w:pPr>
            <w:r>
              <w:rPr>
                <w:rFonts w:ascii="Arial" w:hAnsi="Arial" w:eastAsia="Arial"/>
                <w:b w:val="0"/>
                <w:i w:val="0"/>
                <w:color w:val="000000"/>
                <w:sz w:val="18"/>
              </w:rPr>
              <w:t xml:space="preserve">- </w:t>
            </w:r>
          </w:p>
        </w:tc>
        <w:tc>
          <w:tcPr>
            <w:tcW w:type="dxa" w:w="1474"/>
            <w:tcBorders>
              <w:bottom w:sz="4.0" w:val="single" w:color="#000000"/>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w:t>
            </w:r>
          </w:p>
        </w:tc>
        <w:tc>
          <w:tcPr>
            <w:tcW w:type="dxa" w:w="1812"/>
            <w:tcBorders>
              <w:bottom w:sz="4.0" w:val="single" w:color="#000000"/>
            </w:tcBorders>
            <w:tcMar>
              <w:start w:w="0" w:type="dxa"/>
              <w:end w:w="0" w:type="dxa"/>
            </w:tcMar>
          </w:tcPr>
          <w:p>
            <w:pPr>
              <w:autoSpaceDN w:val="0"/>
              <w:autoSpaceDE w:val="0"/>
              <w:widowControl/>
              <w:spacing w:line="233" w:lineRule="auto" w:before="16" w:after="0"/>
              <w:ind w:left="0" w:right="118" w:firstLine="0"/>
              <w:jc w:val="right"/>
            </w:pPr>
            <w:r>
              <w:rPr>
                <w:rFonts w:ascii="Arial" w:hAnsi="Arial" w:eastAsia="Arial"/>
                <w:b w:val="0"/>
                <w:i w:val="0"/>
                <w:color w:val="000000"/>
                <w:sz w:val="18"/>
              </w:rPr>
              <w:t xml:space="preserve">- </w:t>
            </w:r>
          </w:p>
        </w:tc>
        <w:tc>
          <w:tcPr>
            <w:tcW w:type="dxa" w:w="1642"/>
            <w:tcBorders>
              <w:bottom w:sz="4.0" w:val="single" w:color="#000000"/>
            </w:tcBorders>
            <w:tcMar>
              <w:start w:w="0" w:type="dxa"/>
              <w:end w:w="0" w:type="dxa"/>
            </w:tcMar>
          </w:tcPr>
          <w:p>
            <w:pPr>
              <w:autoSpaceDN w:val="0"/>
              <w:autoSpaceDE w:val="0"/>
              <w:widowControl/>
              <w:spacing w:line="233" w:lineRule="auto" w:before="16" w:after="0"/>
              <w:ind w:left="0" w:right="84" w:firstLine="0"/>
              <w:jc w:val="right"/>
            </w:pPr>
            <w:r>
              <w:rPr>
                <w:rFonts w:ascii="Arial" w:hAnsi="Arial" w:eastAsia="Arial"/>
                <w:b w:val="0"/>
                <w:i w:val="0"/>
                <w:color w:val="000000"/>
                <w:sz w:val="18"/>
              </w:rPr>
              <w:t xml:space="preserve">- </w:t>
            </w:r>
          </w:p>
        </w:tc>
        <w:tc>
          <w:tcPr>
            <w:tcW w:type="dxa" w:w="1644"/>
            <w:tcBorders>
              <w:bottom w:sz="4.0" w:val="single" w:color="#000000"/>
            </w:tcBorders>
            <w:tcMar>
              <w:start w:w="0" w:type="dxa"/>
              <w:end w:w="0" w:type="dxa"/>
            </w:tcMar>
          </w:tcPr>
          <w:p>
            <w:pPr>
              <w:autoSpaceDN w:val="0"/>
              <w:autoSpaceDE w:val="0"/>
              <w:widowControl/>
              <w:spacing w:line="233" w:lineRule="auto" w:before="16" w:after="0"/>
              <w:ind w:left="0" w:right="120" w:firstLine="0"/>
              <w:jc w:val="right"/>
            </w:pPr>
            <w:r>
              <w:rPr>
                <w:rFonts w:ascii="Arial" w:hAnsi="Arial" w:eastAsia="Arial"/>
                <w:b w:val="0"/>
                <w:i w:val="0"/>
                <w:color w:val="000000"/>
                <w:sz w:val="18"/>
              </w:rPr>
              <w:t xml:space="preserve">- </w:t>
            </w:r>
          </w:p>
        </w:tc>
        <w:tc>
          <w:tcPr>
            <w:tcW w:type="dxa" w:w="1474"/>
            <w:tcBorders>
              <w:bottom w:sz="4.0" w:val="single" w:color="#000000"/>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8"/>
              </w:rPr>
              <w:t>224,356,330</w:t>
            </w:r>
          </w:p>
        </w:tc>
        <w:tc>
          <w:tcPr>
            <w:tcW w:type="dxa" w:w="2072"/>
            <w:tcBorders>
              <w:bottom w:sz="4.0" w:val="single" w:color="#000000"/>
            </w:tcBorders>
            <w:tcMar>
              <w:start w:w="0" w:type="dxa"/>
              <w:end w:w="0" w:type="dxa"/>
            </w:tcMar>
          </w:tcPr>
          <w:p>
            <w:pPr>
              <w:autoSpaceDN w:val="0"/>
              <w:autoSpaceDE w:val="0"/>
              <w:widowControl/>
              <w:spacing w:line="233" w:lineRule="auto" w:before="16" w:after="0"/>
              <w:ind w:left="0" w:right="6" w:firstLine="0"/>
              <w:jc w:val="right"/>
            </w:pPr>
            <w:r>
              <w:rPr>
                <w:rFonts w:ascii="Arial" w:hAnsi="Arial" w:eastAsia="Arial"/>
                <w:b w:val="0"/>
                <w:i w:val="0"/>
                <w:color w:val="000000"/>
                <w:sz w:val="18"/>
              </w:rPr>
              <w:t xml:space="preserve">224,356,330 </w:t>
            </w:r>
          </w:p>
        </w:tc>
      </w:tr>
      <w:tr>
        <w:trPr>
          <w:trHeight w:hRule="exact" w:val="454"/>
        </w:trPr>
        <w:tc>
          <w:tcPr>
            <w:tcW w:type="dxa" w:w="2338"/>
            <w:tcBorders>
              <w:top w:sz="4.0" w:val="single" w:color="#000000"/>
              <w:bottom w:sz="4.0" w:val="single" w:color="#000000"/>
            </w:tcBorders>
            <w:tcMar>
              <w:start w:w="0" w:type="dxa"/>
              <w:end w:w="0" w:type="dxa"/>
            </w:tcMar>
          </w:tcPr>
          <w:p>
            <w:pPr>
              <w:autoSpaceDN w:val="0"/>
              <w:autoSpaceDE w:val="0"/>
              <w:widowControl/>
              <w:spacing w:line="180" w:lineRule="exact" w:before="234" w:after="0"/>
              <w:ind w:left="40" w:right="0" w:firstLine="0"/>
              <w:jc w:val="left"/>
            </w:pPr>
            <w:r>
              <w:rPr>
                <w:rFonts w:ascii="黑体" w:hAnsi="黑体" w:eastAsia="黑体"/>
                <w:b w:val="0"/>
                <w:i w:val="0"/>
                <w:color w:val="000000"/>
                <w:sz w:val="18"/>
              </w:rPr>
              <w:t>金融资产合计</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40" w:after="0"/>
              <w:ind w:left="222" w:right="0" w:firstLine="0"/>
              <w:jc w:val="left"/>
            </w:pPr>
            <w:r>
              <w:rPr>
                <w:rFonts w:ascii="Arial" w:hAnsi="Arial" w:eastAsia="Arial"/>
                <w:b w:val="0"/>
                <w:i w:val="0"/>
                <w:color w:val="000000"/>
                <w:sz w:val="18"/>
              </w:rPr>
              <w:t xml:space="preserve">32,109,306,250 </w:t>
            </w:r>
          </w:p>
        </w:tc>
        <w:tc>
          <w:tcPr>
            <w:tcW w:type="dxa" w:w="1474"/>
            <w:tcBorders>
              <w:top w:sz="4.0" w:val="single" w:color="#000000"/>
              <w:bottom w:sz="4.0" w:val="single" w:color="#000000"/>
            </w:tcBorders>
            <w:tcMar>
              <w:start w:w="0" w:type="dxa"/>
              <w:end w:w="0" w:type="dxa"/>
            </w:tcMar>
          </w:tcPr>
          <w:p>
            <w:pPr>
              <w:autoSpaceDN w:val="0"/>
              <w:autoSpaceDE w:val="0"/>
              <w:widowControl/>
              <w:spacing w:line="233" w:lineRule="auto" w:before="240" w:after="0"/>
              <w:ind w:left="322" w:right="0" w:firstLine="0"/>
              <w:jc w:val="left"/>
            </w:pPr>
            <w:r>
              <w:rPr>
                <w:rFonts w:ascii="Arial" w:hAnsi="Arial" w:eastAsia="Arial"/>
                <w:b w:val="0"/>
                <w:i w:val="0"/>
                <w:color w:val="000000"/>
                <w:sz w:val="18"/>
              </w:rPr>
              <w:t>1,968,666,288</w:t>
            </w:r>
          </w:p>
        </w:tc>
        <w:tc>
          <w:tcPr>
            <w:tcW w:type="dxa" w:w="1812"/>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118" w:firstLine="0"/>
              <w:jc w:val="right"/>
            </w:pPr>
            <w:r>
              <w:rPr>
                <w:rFonts w:ascii="Arial" w:hAnsi="Arial" w:eastAsia="Arial"/>
                <w:b w:val="0"/>
                <w:i w:val="0"/>
                <w:color w:val="000000"/>
                <w:sz w:val="18"/>
              </w:rPr>
              <w:t xml:space="preserve">9,716,066,936 </w:t>
            </w:r>
          </w:p>
        </w:tc>
        <w:tc>
          <w:tcPr>
            <w:tcW w:type="dxa" w:w="1642"/>
            <w:tcBorders>
              <w:top w:sz="4.0" w:val="single" w:color="#000000"/>
              <w:bottom w:sz="4.0" w:val="single" w:color="#000000"/>
            </w:tcBorders>
            <w:tcMar>
              <w:start w:w="0" w:type="dxa"/>
              <w:end w:w="0" w:type="dxa"/>
            </w:tcMar>
          </w:tcPr>
          <w:p>
            <w:pPr>
              <w:autoSpaceDN w:val="0"/>
              <w:autoSpaceDE w:val="0"/>
              <w:widowControl/>
              <w:spacing w:line="233" w:lineRule="auto" w:before="240" w:after="0"/>
              <w:ind w:left="322" w:right="0" w:firstLine="0"/>
              <w:jc w:val="left"/>
            </w:pPr>
            <w:r>
              <w:rPr>
                <w:rFonts w:ascii="Arial" w:hAnsi="Arial" w:eastAsia="Arial"/>
                <w:b w:val="0"/>
                <w:i w:val="0"/>
                <w:color w:val="000000"/>
                <w:sz w:val="18"/>
              </w:rPr>
              <w:t xml:space="preserve">8,963,698,827 </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40" w:after="0"/>
              <w:ind w:left="222" w:right="0" w:firstLine="0"/>
              <w:jc w:val="left"/>
            </w:pPr>
            <w:r>
              <w:rPr>
                <w:rFonts w:ascii="Arial" w:hAnsi="Arial" w:eastAsia="Arial"/>
                <w:b w:val="0"/>
                <w:i w:val="0"/>
                <w:color w:val="000000"/>
                <w:sz w:val="18"/>
              </w:rPr>
              <w:t xml:space="preserve">14,223,257,522 </w:t>
            </w:r>
          </w:p>
        </w:tc>
        <w:tc>
          <w:tcPr>
            <w:tcW w:type="dxa" w:w="1474"/>
            <w:tcBorders>
              <w:top w:sz="4.0" w:val="single" w:color="#000000"/>
              <w:bottom w:sz="4.0" w:val="single" w:color="#000000"/>
            </w:tcBorders>
            <w:tcMar>
              <w:start w:w="0" w:type="dxa"/>
              <w:end w:w="0" w:type="dxa"/>
            </w:tcMar>
          </w:tcPr>
          <w:p>
            <w:pPr>
              <w:autoSpaceDN w:val="0"/>
              <w:autoSpaceDE w:val="0"/>
              <w:widowControl/>
              <w:spacing w:line="233" w:lineRule="auto" w:before="240" w:after="0"/>
              <w:ind w:left="224" w:right="0" w:firstLine="0"/>
              <w:jc w:val="left"/>
            </w:pPr>
            <w:r>
              <w:rPr>
                <w:rFonts w:ascii="Arial" w:hAnsi="Arial" w:eastAsia="Arial"/>
                <w:b w:val="0"/>
                <w:i w:val="0"/>
                <w:color w:val="000000"/>
                <w:sz w:val="18"/>
              </w:rPr>
              <w:t>11,605,662,425</w:t>
            </w:r>
          </w:p>
        </w:tc>
        <w:tc>
          <w:tcPr>
            <w:tcW w:type="dxa" w:w="2072"/>
            <w:tcBorders>
              <w:top w:sz="4.0" w:val="single" w:color="#000000"/>
              <w:bottom w:sz="4.0" w:val="single" w:color="#000000"/>
            </w:tcBorders>
            <w:tcMar>
              <w:start w:w="0" w:type="dxa"/>
              <w:end w:w="0" w:type="dxa"/>
            </w:tcMar>
          </w:tcPr>
          <w:p>
            <w:pPr>
              <w:autoSpaceDN w:val="0"/>
              <w:autoSpaceDE w:val="0"/>
              <w:widowControl/>
              <w:spacing w:line="233" w:lineRule="auto" w:before="240" w:after="0"/>
              <w:ind w:left="0" w:right="6" w:firstLine="0"/>
              <w:jc w:val="right"/>
            </w:pPr>
            <w:r>
              <w:rPr>
                <w:rFonts w:ascii="Arial" w:hAnsi="Arial" w:eastAsia="Arial"/>
                <w:b w:val="0"/>
                <w:i w:val="0"/>
                <w:color w:val="000000"/>
                <w:sz w:val="18"/>
              </w:rPr>
              <w:t xml:space="preserve">78,586,658,248 </w:t>
            </w:r>
          </w:p>
        </w:tc>
      </w:tr>
      <w:tr>
        <w:trPr>
          <w:trHeight w:hRule="exact" w:val="50"/>
        </w:trPr>
        <w:tc>
          <w:tcPr>
            <w:tcW w:type="dxa" w:w="2338"/>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1812"/>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2072"/>
            <w:tcBorders>
              <w:top w:sz="4.0" w:val="single" w:color="#000000"/>
            </w:tcBorders>
            <w:tcMar>
              <w:start w:w="0" w:type="dxa"/>
              <w:end w:w="0" w:type="dxa"/>
            </w:tcMar>
          </w:tcPr>
          <w:p/>
        </w:tc>
      </w:tr>
    </w:tbl>
    <w:p>
      <w:pPr>
        <w:autoSpaceDN w:val="0"/>
        <w:autoSpaceDE w:val="0"/>
        <w:widowControl/>
        <w:spacing w:line="233" w:lineRule="auto" w:before="1890" w:after="0"/>
        <w:ind w:left="0" w:right="0" w:firstLine="0"/>
        <w:jc w:val="center"/>
      </w:pPr>
      <w:r>
        <w:rPr>
          <w:rFonts w:ascii="Arial" w:hAnsi="Arial" w:eastAsia="Arial"/>
          <w:b w:val="0"/>
          <w:i w:val="0"/>
          <w:color w:val="000000"/>
          <w:sz w:val="20"/>
        </w:rPr>
        <w:t xml:space="preserve">284 </w:t>
      </w:r>
    </w:p>
    <w:p>
      <w:pPr>
        <w:sectPr>
          <w:pgSz w:w="16841" w:h="11899"/>
          <w:pgMar w:top="1166" w:right="1326" w:bottom="360" w:left="1378" w:header="720" w:footer="720" w:gutter="0"/>
          <w:cols/>
          <w:docGrid w:linePitch="360"/>
        </w:sectPr>
      </w:pPr>
    </w:p>
    <w:p>
      <w:pPr>
        <w:autoSpaceDN w:val="0"/>
        <w:autoSpaceDE w:val="0"/>
        <w:widowControl/>
        <w:spacing w:line="220" w:lineRule="exact" w:before="0" w:after="948"/>
        <w:ind w:left="0" w:right="0"/>
      </w:pPr>
    </w:p>
    <w:p>
      <w:pPr>
        <w:autoSpaceDN w:val="0"/>
        <w:tabs>
          <w:tab w:pos="48" w:val="left"/>
          <w:tab w:pos="720" w:val="left"/>
        </w:tabs>
        <w:autoSpaceDE w:val="0"/>
        <w:widowControl/>
        <w:spacing w:line="436" w:lineRule="exact" w:before="0" w:after="230"/>
        <w:ind w:left="0" w:right="10512"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3. </w:t>
      </w:r>
      <w:r>
        <w:tab/>
      </w:r>
      <w:r>
        <w:rPr>
          <w:rFonts w:ascii="黑体" w:hAnsi="黑体" w:eastAsia="黑体"/>
          <w:b w:val="0"/>
          <w:i w:val="0"/>
          <w:color w:val="000000"/>
          <w:sz w:val="22"/>
        </w:rPr>
        <w:t>利率风险（续）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利率重定价风险（续）</w:t>
      </w:r>
    </w:p>
    <w:tbl>
      <w:tblPr>
        <w:tblW w:type="auto" w:w="0"/>
        <w:tblLayout w:type="fixed"/>
        <w:tblLook w:firstColumn="1" w:firstRow="1" w:lastColumn="0" w:lastRow="0" w:noHBand="0" w:noVBand="1" w:val="04A0"/>
        <w:tblInd w:w="8.000000000000114" w:type="dxa"/>
      </w:tblPr>
      <w:tblGrid>
        <w:gridCol w:w="1763"/>
        <w:gridCol w:w="1763"/>
        <w:gridCol w:w="1763"/>
        <w:gridCol w:w="1763"/>
        <w:gridCol w:w="1763"/>
        <w:gridCol w:w="1763"/>
        <w:gridCol w:w="1763"/>
        <w:gridCol w:w="1763"/>
      </w:tblGrid>
      <w:tr>
        <w:trPr>
          <w:trHeight w:hRule="exact" w:val="258"/>
        </w:trPr>
        <w:tc>
          <w:tcPr>
            <w:tcW w:type="dxa" w:w="2260"/>
            <w:tcBorders>
              <w:bottom w:sz="4.0" w:val="single" w:color="#000000"/>
            </w:tcBorders>
            <w:tcMar>
              <w:start w:w="0" w:type="dxa"/>
              <w:end w:w="0" w:type="dxa"/>
            </w:tcMar>
          </w:tcPr>
          <w:p>
            <w:pPr>
              <w:autoSpaceDN w:val="0"/>
              <w:autoSpaceDE w:val="0"/>
              <w:widowControl/>
              <w:spacing w:line="202" w:lineRule="exact" w:before="50" w:after="0"/>
              <w:ind w:left="40" w:right="0" w:firstLine="0"/>
              <w:jc w:val="left"/>
            </w:pPr>
            <w:r>
              <w:rPr>
                <w:rFonts w:ascii="Arial" w:hAnsi="Arial" w:eastAsia="Arial"/>
                <w:b w:val="0"/>
                <w:i w:val="0"/>
                <w:color w:val="000000"/>
                <w:sz w:val="18"/>
              </w:rPr>
              <w:t>2024</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780"/>
            <w:tcBorders>
              <w:bottom w:sz="4.0" w:val="single" w:color="#000000"/>
            </w:tcBorders>
            <w:tcMar>
              <w:start w:w="0" w:type="dxa"/>
              <w:end w:w="0" w:type="dxa"/>
            </w:tcMar>
          </w:tcPr>
          <w:p>
            <w:pPr>
              <w:autoSpaceDN w:val="0"/>
              <w:autoSpaceDE w:val="0"/>
              <w:widowControl/>
              <w:spacing w:line="202" w:lineRule="exact" w:before="50" w:after="0"/>
              <w:ind w:left="0" w:right="228" w:firstLine="0"/>
              <w:jc w:val="right"/>
            </w:pPr>
            <w:r>
              <w:rPr>
                <w:rFonts w:ascii="Arial" w:hAnsi="Arial" w:eastAsia="Arial"/>
                <w:b w:val="0"/>
                <w:i w:val="0"/>
                <w:color w:val="000000"/>
                <w:sz w:val="18"/>
              </w:rPr>
              <w:t>1</w:t>
            </w:r>
            <w:r>
              <w:rPr>
                <w:rFonts w:ascii="黑体" w:hAnsi="黑体" w:eastAsia="黑体"/>
                <w:b w:val="0"/>
                <w:i w:val="0"/>
                <w:color w:val="000000"/>
                <w:sz w:val="18"/>
              </w:rPr>
              <w:t>个月内</w:t>
            </w:r>
          </w:p>
        </w:tc>
        <w:tc>
          <w:tcPr>
            <w:tcW w:type="dxa" w:w="1720"/>
            <w:tcBorders>
              <w:bottom w:sz="4.0" w:val="single" w:color="#000000"/>
            </w:tcBorders>
            <w:tcMar>
              <w:start w:w="0" w:type="dxa"/>
              <w:end w:w="0" w:type="dxa"/>
            </w:tcMar>
          </w:tcPr>
          <w:p>
            <w:pPr>
              <w:autoSpaceDN w:val="0"/>
              <w:autoSpaceDE w:val="0"/>
              <w:widowControl/>
              <w:spacing w:line="202" w:lineRule="exact" w:before="50" w:after="0"/>
              <w:ind w:left="258" w:right="0" w:firstLine="0"/>
              <w:jc w:val="left"/>
            </w:pPr>
            <w:r>
              <w:rPr>
                <w:rFonts w:ascii="Arial" w:hAnsi="Arial" w:eastAsia="Arial"/>
                <w:b w:val="0"/>
                <w:i w:val="0"/>
                <w:color w:val="000000"/>
                <w:sz w:val="18"/>
              </w:rPr>
              <w:t>1</w:t>
            </w:r>
            <w:r>
              <w:rPr>
                <w:rFonts w:ascii="黑体" w:hAnsi="黑体" w:eastAsia="黑体"/>
                <w:b w:val="0"/>
                <w:i w:val="0"/>
                <w:color w:val="000000"/>
                <w:sz w:val="18"/>
              </w:rPr>
              <w:t>个月至</w:t>
            </w:r>
            <w:r>
              <w:rPr>
                <w:rFonts w:ascii="Arial" w:hAnsi="Arial" w:eastAsia="Arial"/>
                <w:b w:val="0"/>
                <w:i w:val="0"/>
                <w:color w:val="000000"/>
                <w:sz w:val="18"/>
              </w:rPr>
              <w:t>3</w:t>
            </w:r>
            <w:r>
              <w:rPr>
                <w:rFonts w:ascii="黑体" w:hAnsi="黑体" w:eastAsia="黑体"/>
                <w:b w:val="0"/>
                <w:i w:val="0"/>
                <w:color w:val="000000"/>
                <w:sz w:val="18"/>
              </w:rPr>
              <w:t>个月</w:t>
            </w:r>
          </w:p>
        </w:tc>
        <w:tc>
          <w:tcPr>
            <w:tcW w:type="dxa" w:w="172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3</w:t>
            </w:r>
            <w:r>
              <w:rPr>
                <w:rFonts w:ascii="黑体" w:hAnsi="黑体" w:eastAsia="黑体"/>
                <w:b w:val="0"/>
                <w:i w:val="0"/>
                <w:color w:val="000000"/>
                <w:sz w:val="18"/>
              </w:rPr>
              <w:t>个月至</w:t>
            </w:r>
            <w:r>
              <w:rPr>
                <w:rFonts w:ascii="Arial" w:hAnsi="Arial" w:eastAsia="Arial"/>
                <w:b w:val="0"/>
                <w:i w:val="0"/>
                <w:color w:val="000000"/>
                <w:sz w:val="18"/>
              </w:rPr>
              <w:t>1</w:t>
            </w:r>
            <w:r>
              <w:rPr>
                <w:rFonts w:ascii="黑体" w:hAnsi="黑体" w:eastAsia="黑体"/>
                <w:b w:val="0"/>
                <w:i w:val="0"/>
                <w:color w:val="000000"/>
                <w:sz w:val="18"/>
              </w:rPr>
              <w:t>年</w:t>
            </w:r>
          </w:p>
        </w:tc>
        <w:tc>
          <w:tcPr>
            <w:tcW w:type="dxa" w:w="170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年至</w:t>
            </w:r>
            <w:r>
              <w:rPr>
                <w:rFonts w:ascii="Arial" w:hAnsi="Arial" w:eastAsia="Arial"/>
                <w:b w:val="0"/>
                <w:i w:val="0"/>
                <w:color w:val="000000"/>
                <w:sz w:val="18"/>
              </w:rPr>
              <w:t>5</w:t>
            </w:r>
            <w:r>
              <w:rPr>
                <w:rFonts w:ascii="黑体" w:hAnsi="黑体" w:eastAsia="黑体"/>
                <w:b w:val="0"/>
                <w:i w:val="0"/>
                <w:color w:val="000000"/>
                <w:sz w:val="18"/>
              </w:rPr>
              <w:t>年</w:t>
            </w:r>
          </w:p>
        </w:tc>
        <w:tc>
          <w:tcPr>
            <w:tcW w:type="dxa" w:w="2252"/>
            <w:tcBorders>
              <w:bottom w:sz="4.0" w:val="single" w:color="#000000"/>
            </w:tcBorders>
            <w:tcMar>
              <w:start w:w="0" w:type="dxa"/>
              <w:end w:w="0" w:type="dxa"/>
            </w:tcMar>
          </w:tcPr>
          <w:p>
            <w:pPr>
              <w:autoSpaceDN w:val="0"/>
              <w:autoSpaceDE w:val="0"/>
              <w:widowControl/>
              <w:spacing w:line="202" w:lineRule="exact" w:before="50" w:after="0"/>
              <w:ind w:left="510" w:right="0" w:firstLine="0"/>
              <w:jc w:val="left"/>
            </w:pPr>
            <w:r>
              <w:rPr>
                <w:rFonts w:ascii="Arial" w:hAnsi="Arial" w:eastAsia="Arial"/>
                <w:b w:val="0"/>
                <w:i w:val="0"/>
                <w:color w:val="000000"/>
                <w:sz w:val="18"/>
              </w:rPr>
              <w:t>5</w:t>
            </w:r>
            <w:r>
              <w:rPr>
                <w:rFonts w:ascii="黑体" w:hAnsi="黑体" w:eastAsia="黑体"/>
                <w:b w:val="0"/>
                <w:i w:val="0"/>
                <w:color w:val="000000"/>
                <w:sz w:val="18"/>
              </w:rPr>
              <w:t>年以上</w:t>
            </w:r>
          </w:p>
        </w:tc>
        <w:tc>
          <w:tcPr>
            <w:tcW w:type="dxa" w:w="540"/>
            <w:tcBorders>
              <w:bottom w:sz="4.0" w:val="single" w:color="#000000"/>
            </w:tcBorders>
            <w:tcMar>
              <w:start w:w="0" w:type="dxa"/>
              <w:end w:w="0" w:type="dxa"/>
            </w:tcMar>
          </w:tcPr>
          <w:p>
            <w:pPr>
              <w:autoSpaceDN w:val="0"/>
              <w:autoSpaceDE w:val="0"/>
              <w:widowControl/>
              <w:spacing w:line="180" w:lineRule="exact" w:before="70" w:after="0"/>
              <w:ind w:left="0" w:right="0" w:firstLine="0"/>
              <w:jc w:val="center"/>
            </w:pPr>
            <w:r>
              <w:rPr>
                <w:rFonts w:ascii="黑体" w:hAnsi="黑体" w:eastAsia="黑体"/>
                <w:b w:val="0"/>
                <w:i w:val="0"/>
                <w:color w:val="000000"/>
                <w:sz w:val="18"/>
              </w:rPr>
              <w:t>不计息</w:t>
            </w:r>
          </w:p>
        </w:tc>
        <w:tc>
          <w:tcPr>
            <w:tcW w:type="dxa" w:w="2044"/>
            <w:tcBorders>
              <w:bottom w:sz="4.0" w:val="single" w:color="#000000"/>
            </w:tcBorders>
            <w:tcMar>
              <w:start w:w="0" w:type="dxa"/>
              <w:end w:w="0" w:type="dxa"/>
            </w:tcMar>
          </w:tcPr>
          <w:p>
            <w:pPr>
              <w:autoSpaceDN w:val="0"/>
              <w:autoSpaceDE w:val="0"/>
              <w:widowControl/>
              <w:spacing w:line="180" w:lineRule="exact" w:before="70" w:after="0"/>
              <w:ind w:left="0" w:right="0" w:firstLine="0"/>
              <w:jc w:val="right"/>
            </w:pPr>
            <w:r>
              <w:rPr>
                <w:rFonts w:ascii="黑体" w:hAnsi="黑体" w:eastAsia="黑体"/>
                <w:b w:val="0"/>
                <w:i w:val="0"/>
                <w:color w:val="000000"/>
                <w:sz w:val="18"/>
              </w:rPr>
              <w:t>合计</w:t>
            </w:r>
          </w:p>
        </w:tc>
      </w:tr>
    </w:tbl>
    <w:p>
      <w:pPr>
        <w:autoSpaceDN w:val="0"/>
        <w:autoSpaceDE w:val="0"/>
        <w:widowControl/>
        <w:spacing w:line="180" w:lineRule="exact" w:before="252" w:after="28"/>
        <w:ind w:left="48" w:right="0" w:firstLine="0"/>
        <w:jc w:val="left"/>
      </w:pPr>
      <w:r>
        <w:rPr>
          <w:rFonts w:ascii="黑体" w:hAnsi="黑体" w:eastAsia="黑体"/>
          <w:b w:val="0"/>
          <w:i w:val="0"/>
          <w:color w:val="000000"/>
          <w:sz w:val="18"/>
        </w:rPr>
        <w:t>金融负债</w:t>
      </w:r>
    </w:p>
    <w:tbl>
      <w:tblPr>
        <w:tblW w:type="auto" w:w="0"/>
        <w:tblLayout w:type="fixed"/>
        <w:tblLook w:firstColumn="1" w:firstRow="1" w:lastColumn="0" w:lastRow="0" w:noHBand="0" w:noVBand="1" w:val="04A0"/>
        <w:tblInd w:w="8.000000000000114" w:type="dxa"/>
      </w:tblPr>
      <w:tblGrid>
        <w:gridCol w:w="1763"/>
        <w:gridCol w:w="1763"/>
        <w:gridCol w:w="1763"/>
        <w:gridCol w:w="1763"/>
        <w:gridCol w:w="1763"/>
        <w:gridCol w:w="1763"/>
        <w:gridCol w:w="1763"/>
        <w:gridCol w:w="1763"/>
      </w:tblGrid>
      <w:tr>
        <w:trPr>
          <w:trHeight w:hRule="exact" w:val="248"/>
        </w:trPr>
        <w:tc>
          <w:tcPr>
            <w:tcW w:type="dxa" w:w="2338"/>
            <w:tcBorders/>
            <w:tcMar>
              <w:start w:w="0" w:type="dxa"/>
              <w:end w:w="0" w:type="dxa"/>
            </w:tcMar>
          </w:tcPr>
          <w:p>
            <w:pPr>
              <w:autoSpaceDN w:val="0"/>
              <w:autoSpaceDE w:val="0"/>
              <w:widowControl/>
              <w:spacing w:line="180" w:lineRule="exact" w:before="26" w:after="0"/>
              <w:ind w:left="220" w:right="0" w:firstLine="0"/>
              <w:jc w:val="left"/>
            </w:pPr>
            <w:r>
              <w:rPr>
                <w:rFonts w:ascii="黑体" w:hAnsi="黑体" w:eastAsia="黑体"/>
                <w:b w:val="0"/>
                <w:i w:val="0"/>
                <w:color w:val="000000"/>
                <w:sz w:val="18"/>
              </w:rPr>
              <w:t>短期借款</w:t>
            </w:r>
          </w:p>
        </w:tc>
        <w:tc>
          <w:tcPr>
            <w:tcW w:type="dxa" w:w="164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586"/>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32" w:after="0"/>
              <w:ind w:left="0" w:right="60" w:firstLine="0"/>
              <w:jc w:val="right"/>
            </w:pPr>
            <w:r>
              <w:rPr>
                <w:rFonts w:ascii="Arial" w:hAnsi="Arial" w:eastAsia="Arial"/>
                <w:b w:val="0"/>
                <w:i w:val="0"/>
                <w:color w:val="000000"/>
                <w:sz w:val="18"/>
              </w:rPr>
              <w:t xml:space="preserve">(129,792,354 ) </w:t>
            </w:r>
          </w:p>
        </w:tc>
        <w:tc>
          <w:tcPr>
            <w:tcW w:type="dxa" w:w="164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32"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938"/>
            <w:tcBorders/>
            <w:tcMar>
              <w:start w:w="0" w:type="dxa"/>
              <w:end w:w="0" w:type="dxa"/>
            </w:tcMar>
          </w:tcPr>
          <w:p>
            <w:pPr>
              <w:autoSpaceDN w:val="0"/>
              <w:autoSpaceDE w:val="0"/>
              <w:widowControl/>
              <w:spacing w:line="233" w:lineRule="auto" w:before="32" w:after="0"/>
              <w:ind w:left="0" w:right="4" w:firstLine="0"/>
              <w:jc w:val="right"/>
            </w:pPr>
            <w:r>
              <w:rPr>
                <w:rFonts w:ascii="Arial" w:hAnsi="Arial" w:eastAsia="Arial"/>
                <w:b w:val="0"/>
                <w:i w:val="0"/>
                <w:color w:val="000000"/>
                <w:sz w:val="18"/>
              </w:rPr>
              <w:t>(129,792,354)</w:t>
            </w:r>
          </w:p>
        </w:tc>
      </w:tr>
      <w:tr>
        <w:trPr>
          <w:trHeight w:hRule="exact" w:val="200"/>
        </w:trPr>
        <w:tc>
          <w:tcPr>
            <w:tcW w:type="dxa" w:w="2338"/>
            <w:tcBorders/>
            <w:tcMar>
              <w:start w:w="0" w:type="dxa"/>
              <w:end w:w="0" w:type="dxa"/>
            </w:tcMar>
          </w:tcPr>
          <w:p>
            <w:pPr>
              <w:autoSpaceDN w:val="0"/>
              <w:autoSpaceDE w:val="0"/>
              <w:widowControl/>
              <w:spacing w:line="180" w:lineRule="exact" w:before="10" w:after="0"/>
              <w:ind w:left="220" w:right="0" w:firstLine="0"/>
              <w:jc w:val="left"/>
            </w:pPr>
            <w:r>
              <w:rPr>
                <w:rFonts w:ascii="黑体" w:hAnsi="黑体" w:eastAsia="黑体"/>
                <w:b w:val="0"/>
                <w:i w:val="0"/>
                <w:color w:val="000000"/>
                <w:sz w:val="18"/>
              </w:rPr>
              <w:t>应付短期融资券</w:t>
            </w: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586"/>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60" w:firstLine="0"/>
              <w:jc w:val="right"/>
            </w:pPr>
            <w:r>
              <w:rPr>
                <w:rFonts w:ascii="Arial" w:hAnsi="Arial" w:eastAsia="Arial"/>
                <w:b w:val="0"/>
                <w:i w:val="0"/>
                <w:color w:val="000000"/>
                <w:sz w:val="18"/>
              </w:rPr>
              <w:t xml:space="preserve">(36,115,560 ) </w:t>
            </w: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0"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60" w:firstLine="0"/>
              <w:jc w:val="right"/>
            </w:pPr>
            <w:r>
              <w:rPr>
                <w:rFonts w:ascii="Arial" w:hAnsi="Arial" w:eastAsia="Arial"/>
                <w:b w:val="0"/>
                <w:i w:val="0"/>
                <w:color w:val="000000"/>
                <w:sz w:val="18"/>
              </w:rPr>
              <w:t xml:space="preserve">(25,091) </w:t>
            </w:r>
          </w:p>
        </w:tc>
        <w:tc>
          <w:tcPr>
            <w:tcW w:type="dxa" w:w="1938"/>
            <w:tcBorders/>
            <w:tcMar>
              <w:start w:w="0" w:type="dxa"/>
              <w:end w:w="0" w:type="dxa"/>
            </w:tcMar>
          </w:tcPr>
          <w:p>
            <w:pPr>
              <w:autoSpaceDN w:val="0"/>
              <w:autoSpaceDE w:val="0"/>
              <w:widowControl/>
              <w:spacing w:line="235" w:lineRule="auto" w:before="0" w:after="0"/>
              <w:ind w:left="0" w:right="4" w:firstLine="0"/>
              <w:jc w:val="right"/>
            </w:pPr>
            <w:r>
              <w:rPr>
                <w:rFonts w:ascii="Arial" w:hAnsi="Arial" w:eastAsia="Arial"/>
                <w:b w:val="0"/>
                <w:i w:val="0"/>
                <w:color w:val="000000"/>
                <w:sz w:val="18"/>
              </w:rPr>
              <w:t>(36,140,651)</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拆入资金</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260" w:right="0" w:firstLine="0"/>
              <w:jc w:val="left"/>
            </w:pPr>
            <w:r>
              <w:rPr>
                <w:rFonts w:ascii="Arial" w:hAnsi="Arial" w:eastAsia="Arial"/>
                <w:b w:val="0"/>
                <w:i w:val="0"/>
                <w:color w:val="000000"/>
                <w:sz w:val="18"/>
              </w:rPr>
              <w:t xml:space="preserve">(8,929,000,000) </w:t>
            </w:r>
          </w:p>
        </w:tc>
        <w:tc>
          <w:tcPr>
            <w:tcW w:type="dxa" w:w="1586"/>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(1,400,000,000 )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60" w:firstLine="0"/>
              <w:jc w:val="right"/>
            </w:pPr>
            <w:r>
              <w:rPr>
                <w:rFonts w:ascii="Arial" w:hAnsi="Arial" w:eastAsia="Arial"/>
                <w:b w:val="0"/>
                <w:i w:val="0"/>
                <w:color w:val="000000"/>
                <w:sz w:val="18"/>
              </w:rPr>
              <w:t xml:space="preserve">(4,096,752) </w:t>
            </w:r>
          </w:p>
        </w:tc>
        <w:tc>
          <w:tcPr>
            <w:tcW w:type="dxa" w:w="1938"/>
            <w:vMerge w:val="restart"/>
            <w:tcBorders/>
            <w:tcMar>
              <w:start w:w="0" w:type="dxa"/>
              <w:end w:w="0" w:type="dxa"/>
            </w:tcMar>
            <w:tcMar>
              <w:start w:w="0" w:type="dxa"/>
              <w:end w:w="0" w:type="dxa"/>
            </w:tcMar>
          </w:tcPr>
          <w:p>
            <w:pPr>
              <w:autoSpaceDN w:val="0"/>
              <w:autoSpaceDE w:val="0"/>
              <w:widowControl/>
              <w:spacing w:line="233" w:lineRule="auto" w:before="52" w:after="0"/>
              <w:ind w:left="0" w:right="4" w:firstLine="0"/>
              <w:jc w:val="right"/>
            </w:pPr>
            <w:r>
              <w:rPr>
                <w:rFonts w:ascii="Arial" w:hAnsi="Arial" w:eastAsia="Arial"/>
                <w:b w:val="0"/>
                <w:i w:val="0"/>
                <w:color w:val="000000"/>
                <w:sz w:val="18"/>
              </w:rPr>
              <w:t>(10,333,096,752)</w:t>
            </w:r>
          </w:p>
        </w:tc>
      </w:tr>
      <w:tr>
        <w:trPr>
          <w:trHeight w:hRule="exact" w:val="48"/>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8" w:after="0"/>
              <w:ind w:left="220" w:right="0" w:firstLine="0"/>
              <w:jc w:val="left"/>
            </w:pPr>
            <w:r>
              <w:rPr>
                <w:rFonts w:ascii="黑体" w:hAnsi="黑体" w:eastAsia="黑体"/>
                <w:b w:val="0"/>
                <w:i w:val="0"/>
                <w:color w:val="000000"/>
                <w:sz w:val="18"/>
              </w:rPr>
              <w:t>交易性金融负债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2"/>
        </w:trPr>
        <w:tc>
          <w:tcPr>
            <w:tcW w:type="dxa" w:w="1763"/>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260" w:right="0" w:firstLine="0"/>
              <w:jc w:val="left"/>
            </w:pPr>
            <w:r>
              <w:rPr>
                <w:rFonts w:ascii="Arial" w:hAnsi="Arial" w:eastAsia="Arial"/>
                <w:b w:val="0"/>
                <w:i w:val="0"/>
                <w:color w:val="000000"/>
                <w:sz w:val="18"/>
              </w:rPr>
              <w:t xml:space="preserve">(3,369,245,850) </w:t>
            </w:r>
          </w:p>
        </w:tc>
        <w:tc>
          <w:tcPr>
            <w:tcW w:type="dxa" w:w="1586"/>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20" w:firstLine="0"/>
              <w:jc w:val="right"/>
            </w:pPr>
            <w:r>
              <w:rPr>
                <w:rFonts w:ascii="Arial" w:hAnsi="Arial" w:eastAsia="Arial"/>
                <w:b w:val="0"/>
                <w:i w:val="0"/>
                <w:color w:val="000000"/>
                <w:sz w:val="18"/>
              </w:rPr>
              <w:t xml:space="preserve">-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938"/>
            <w:vMerge w:val="restart"/>
            <w:tcBorders/>
            <w:tcMar>
              <w:start w:w="0" w:type="dxa"/>
              <w:end w:w="0" w:type="dxa"/>
            </w:tcMar>
            <w:tcMar>
              <w:start w:w="0" w:type="dxa"/>
              <w:end w:w="0" w:type="dxa"/>
            </w:tcMar>
          </w:tcPr>
          <w:p>
            <w:pPr>
              <w:autoSpaceDN w:val="0"/>
              <w:autoSpaceDE w:val="0"/>
              <w:widowControl/>
              <w:spacing w:line="235" w:lineRule="auto" w:before="16" w:after="0"/>
              <w:ind w:left="0" w:right="4" w:firstLine="0"/>
              <w:jc w:val="right"/>
            </w:pPr>
            <w:r>
              <w:rPr>
                <w:rFonts w:ascii="Arial" w:hAnsi="Arial" w:eastAsia="Arial"/>
                <w:b w:val="0"/>
                <w:i w:val="0"/>
                <w:color w:val="000000"/>
                <w:sz w:val="18"/>
              </w:rPr>
              <w:t>(3,369,245,850)</w:t>
            </w:r>
          </w:p>
        </w:tc>
      </w:tr>
      <w:tr>
        <w:trPr>
          <w:trHeight w:hRule="exact" w:val="42"/>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2" w:after="0"/>
              <w:ind w:left="220" w:right="0" w:firstLine="0"/>
              <w:jc w:val="left"/>
            </w:pPr>
            <w:r>
              <w:rPr>
                <w:rFonts w:ascii="黑体" w:hAnsi="黑体" w:eastAsia="黑体"/>
                <w:b w:val="0"/>
                <w:i w:val="0"/>
                <w:color w:val="000000"/>
                <w:sz w:val="18"/>
              </w:rPr>
              <w:t>衍生金融负债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8"/>
        </w:trPr>
        <w:tc>
          <w:tcPr>
            <w:tcW w:type="dxa" w:w="1763"/>
            <w:vMerge/>
            <w:tcBorders/>
          </w:tcPr>
          <w:p/>
        </w:tc>
        <w:tc>
          <w:tcPr>
            <w:tcW w:type="dxa" w:w="164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586"/>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0"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0" w:after="0"/>
              <w:ind w:left="0" w:right="60" w:firstLine="0"/>
              <w:jc w:val="right"/>
            </w:pPr>
            <w:r>
              <w:rPr>
                <w:rFonts w:ascii="Arial" w:hAnsi="Arial" w:eastAsia="Arial"/>
                <w:b w:val="0"/>
                <w:i w:val="0"/>
                <w:color w:val="000000"/>
                <w:sz w:val="18"/>
              </w:rPr>
              <w:t xml:space="preserve">(86,426,912) </w:t>
            </w:r>
          </w:p>
        </w:tc>
        <w:tc>
          <w:tcPr>
            <w:tcW w:type="dxa" w:w="1938"/>
            <w:tcBorders/>
            <w:tcMar>
              <w:start w:w="0" w:type="dxa"/>
              <w:end w:w="0" w:type="dxa"/>
            </w:tcMar>
          </w:tcPr>
          <w:p>
            <w:pPr>
              <w:autoSpaceDN w:val="0"/>
              <w:autoSpaceDE w:val="0"/>
              <w:widowControl/>
              <w:spacing w:line="233" w:lineRule="auto" w:before="0" w:after="0"/>
              <w:ind w:left="0" w:right="4" w:firstLine="0"/>
              <w:jc w:val="right"/>
            </w:pPr>
            <w:r>
              <w:rPr>
                <w:rFonts w:ascii="Arial" w:hAnsi="Arial" w:eastAsia="Arial"/>
                <w:b w:val="0"/>
                <w:i w:val="0"/>
                <w:color w:val="000000"/>
                <w:sz w:val="18"/>
              </w:rPr>
              <w:t>(86,426,912)</w:t>
            </w:r>
          </w:p>
        </w:tc>
      </w:tr>
      <w:tr>
        <w:trPr>
          <w:trHeight w:hRule="exact" w:val="240"/>
        </w:trPr>
        <w:tc>
          <w:tcPr>
            <w:tcW w:type="dxa" w:w="2338"/>
            <w:tcBorders/>
            <w:tcMar>
              <w:start w:w="0" w:type="dxa"/>
              <w:end w:w="0" w:type="dxa"/>
            </w:tcMar>
          </w:tcPr>
          <w:p>
            <w:pPr>
              <w:autoSpaceDN w:val="0"/>
              <w:autoSpaceDE w:val="0"/>
              <w:widowControl/>
              <w:spacing w:line="180" w:lineRule="exact" w:before="46" w:after="0"/>
              <w:ind w:left="220" w:right="0" w:firstLine="0"/>
              <w:jc w:val="left"/>
            </w:pPr>
            <w:r>
              <w:rPr>
                <w:rFonts w:ascii="黑体" w:hAnsi="黑体" w:eastAsia="黑体"/>
                <w:b w:val="0"/>
                <w:i w:val="0"/>
                <w:color w:val="000000"/>
                <w:sz w:val="18"/>
              </w:rPr>
              <w:t>卖出回购金融资产款</w:t>
            </w:r>
          </w:p>
        </w:tc>
        <w:tc>
          <w:tcPr>
            <w:tcW w:type="dxa" w:w="1644"/>
            <w:tcBorders/>
            <w:tcMar>
              <w:start w:w="0" w:type="dxa"/>
              <w:end w:w="0" w:type="dxa"/>
            </w:tcMar>
          </w:tcPr>
          <w:p>
            <w:pPr>
              <w:autoSpaceDN w:val="0"/>
              <w:autoSpaceDE w:val="0"/>
              <w:widowControl/>
              <w:spacing w:line="235" w:lineRule="auto" w:before="38" w:after="0"/>
              <w:ind w:left="162" w:right="0" w:firstLine="0"/>
              <w:jc w:val="left"/>
            </w:pPr>
            <w:r>
              <w:rPr>
                <w:rFonts w:ascii="Arial" w:hAnsi="Arial" w:eastAsia="Arial"/>
                <w:b w:val="0"/>
                <w:i w:val="0"/>
                <w:color w:val="000000"/>
                <w:sz w:val="18"/>
              </w:rPr>
              <w:t xml:space="preserve">(12,624,982,473) </w:t>
            </w:r>
          </w:p>
        </w:tc>
        <w:tc>
          <w:tcPr>
            <w:tcW w:type="dxa" w:w="1586"/>
            <w:tcBorders/>
            <w:tcMar>
              <w:start w:w="0" w:type="dxa"/>
              <w:end w:w="0" w:type="dxa"/>
            </w:tcMar>
          </w:tcPr>
          <w:p>
            <w:pPr>
              <w:autoSpaceDN w:val="0"/>
              <w:autoSpaceDE w:val="0"/>
              <w:widowControl/>
              <w:spacing w:line="235" w:lineRule="auto" w:before="38" w:after="0"/>
              <w:ind w:left="356" w:right="0" w:firstLine="0"/>
              <w:jc w:val="left"/>
            </w:pPr>
            <w:r>
              <w:rPr>
                <w:rFonts w:ascii="Arial" w:hAnsi="Arial" w:eastAsia="Arial"/>
                <w:b w:val="0"/>
                <w:i w:val="0"/>
                <w:color w:val="000000"/>
                <w:sz w:val="18"/>
              </w:rPr>
              <w:t xml:space="preserve">(101,027,152) </w:t>
            </w:r>
          </w:p>
        </w:tc>
        <w:tc>
          <w:tcPr>
            <w:tcW w:type="dxa" w:w="1644"/>
            <w:tcBorders/>
            <w:tcMar>
              <w:start w:w="0" w:type="dxa"/>
              <w:end w:w="0" w:type="dxa"/>
            </w:tcMar>
          </w:tcPr>
          <w:p>
            <w:pPr>
              <w:autoSpaceDN w:val="0"/>
              <w:autoSpaceDE w:val="0"/>
              <w:widowControl/>
              <w:spacing w:line="235" w:lineRule="auto" w:before="38" w:after="0"/>
              <w:ind w:left="0" w:right="120"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5" w:lineRule="auto" w:before="38"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38"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38" w:after="0"/>
              <w:ind w:left="0" w:right="60" w:firstLine="0"/>
              <w:jc w:val="right"/>
            </w:pPr>
            <w:r>
              <w:rPr>
                <w:rFonts w:ascii="Arial" w:hAnsi="Arial" w:eastAsia="Arial"/>
                <w:b w:val="0"/>
                <w:i w:val="0"/>
                <w:color w:val="000000"/>
                <w:sz w:val="18"/>
              </w:rPr>
              <w:t xml:space="preserve">(3,633,053) </w:t>
            </w:r>
          </w:p>
        </w:tc>
        <w:tc>
          <w:tcPr>
            <w:tcW w:type="dxa" w:w="1938"/>
            <w:tcBorders/>
            <w:tcMar>
              <w:start w:w="0" w:type="dxa"/>
              <w:end w:w="0" w:type="dxa"/>
            </w:tcMar>
          </w:tcPr>
          <w:p>
            <w:pPr>
              <w:autoSpaceDN w:val="0"/>
              <w:autoSpaceDE w:val="0"/>
              <w:widowControl/>
              <w:spacing w:line="235" w:lineRule="auto" w:before="38" w:after="0"/>
              <w:ind w:left="0" w:right="4" w:firstLine="0"/>
              <w:jc w:val="right"/>
            </w:pPr>
            <w:r>
              <w:rPr>
                <w:rFonts w:ascii="Arial" w:hAnsi="Arial" w:eastAsia="Arial"/>
                <w:b w:val="0"/>
                <w:i w:val="0"/>
                <w:color w:val="000000"/>
                <w:sz w:val="18"/>
              </w:rPr>
              <w:t>(12,729,642,678)</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代理买卖证券款</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46" w:after="0"/>
              <w:ind w:left="162" w:right="0" w:firstLine="0"/>
              <w:jc w:val="left"/>
            </w:pPr>
            <w:r>
              <w:rPr>
                <w:rFonts w:ascii="Arial" w:hAnsi="Arial" w:eastAsia="Arial"/>
                <w:b w:val="0"/>
                <w:i w:val="0"/>
                <w:color w:val="000000"/>
                <w:sz w:val="18"/>
              </w:rPr>
              <w:t xml:space="preserve">(10,939,108,614) </w:t>
            </w:r>
          </w:p>
        </w:tc>
        <w:tc>
          <w:tcPr>
            <w:tcW w:type="dxa" w:w="1586"/>
            <w:vMerge w:val="restart"/>
            <w:tcBorders/>
            <w:tcMar>
              <w:start w:w="0" w:type="dxa"/>
              <w:end w:w="0" w:type="dxa"/>
            </w:tcMar>
            <w:tcMar>
              <w:start w:w="0" w:type="dxa"/>
              <w:end w:w="0" w:type="dxa"/>
            </w:tcMar>
          </w:tcPr>
          <w:p>
            <w:pPr>
              <w:autoSpaceDN w:val="0"/>
              <w:autoSpaceDE w:val="0"/>
              <w:widowControl/>
              <w:spacing w:line="233" w:lineRule="auto" w:before="46" w:after="0"/>
              <w:ind w:left="0" w:right="170"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46" w:after="0"/>
              <w:ind w:left="0" w:right="120" w:firstLine="0"/>
              <w:jc w:val="right"/>
            </w:pPr>
            <w:r>
              <w:rPr>
                <w:rFonts w:ascii="Arial" w:hAnsi="Arial" w:eastAsia="Arial"/>
                <w:b w:val="0"/>
                <w:i w:val="0"/>
                <w:color w:val="000000"/>
                <w:sz w:val="18"/>
              </w:rPr>
              <w:t xml:space="preserve">-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46"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46"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46" w:after="0"/>
              <w:ind w:left="262" w:right="0" w:firstLine="0"/>
              <w:jc w:val="left"/>
            </w:pPr>
            <w:r>
              <w:rPr>
                <w:rFonts w:ascii="Arial" w:hAnsi="Arial" w:eastAsia="Arial"/>
                <w:b w:val="0"/>
                <w:i w:val="0"/>
                <w:color w:val="000000"/>
                <w:sz w:val="18"/>
              </w:rPr>
              <w:t xml:space="preserve">(7,565,653,565) </w:t>
            </w:r>
          </w:p>
        </w:tc>
        <w:tc>
          <w:tcPr>
            <w:tcW w:type="dxa" w:w="1938"/>
            <w:vMerge w:val="restart"/>
            <w:tcBorders/>
            <w:tcMar>
              <w:start w:w="0" w:type="dxa"/>
              <w:end w:w="0" w:type="dxa"/>
            </w:tcMar>
            <w:tcMar>
              <w:start w:w="0" w:type="dxa"/>
              <w:end w:w="0" w:type="dxa"/>
            </w:tcMar>
          </w:tcPr>
          <w:p>
            <w:pPr>
              <w:autoSpaceDN w:val="0"/>
              <w:autoSpaceDE w:val="0"/>
              <w:widowControl/>
              <w:spacing w:line="233" w:lineRule="auto" w:before="46" w:after="0"/>
              <w:ind w:left="0" w:right="4" w:firstLine="0"/>
              <w:jc w:val="right"/>
            </w:pPr>
            <w:r>
              <w:rPr>
                <w:rFonts w:ascii="Arial" w:hAnsi="Arial" w:eastAsia="Arial"/>
                <w:b w:val="0"/>
                <w:i w:val="0"/>
                <w:color w:val="000000"/>
                <w:sz w:val="18"/>
              </w:rPr>
              <w:t>(18,504,762,179)</w:t>
            </w:r>
          </w:p>
        </w:tc>
      </w:tr>
      <w:tr>
        <w:trPr>
          <w:trHeight w:hRule="exact" w:val="42"/>
        </w:trPr>
        <w:tc>
          <w:tcPr>
            <w:tcW w:type="dxa" w:w="2338"/>
            <w:vMerge w:val="restart"/>
            <w:tcBorders/>
            <w:tcMar>
              <w:start w:w="0" w:type="dxa"/>
              <w:end w:w="0" w:type="dxa"/>
            </w:tcMar>
            <w:tcMar>
              <w:start w:w="0" w:type="dxa"/>
              <w:end w:w="0" w:type="dxa"/>
            </w:tcMar>
          </w:tcPr>
          <w:p>
            <w:pPr>
              <w:autoSpaceDN w:val="0"/>
              <w:autoSpaceDE w:val="0"/>
              <w:widowControl/>
              <w:spacing w:line="180" w:lineRule="exact" w:before="52" w:after="0"/>
              <w:ind w:left="220" w:right="0" w:firstLine="0"/>
              <w:jc w:val="left"/>
            </w:pPr>
            <w:r>
              <w:rPr>
                <w:rFonts w:ascii="黑体" w:hAnsi="黑体" w:eastAsia="黑体"/>
                <w:b w:val="0"/>
                <w:i w:val="0"/>
                <w:color w:val="000000"/>
                <w:sz w:val="18"/>
              </w:rPr>
              <w:t>应付款项</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8"/>
        </w:trPr>
        <w:tc>
          <w:tcPr>
            <w:tcW w:type="dxa" w:w="1763"/>
            <w:vMerge/>
            <w:tcBorders/>
          </w:tcP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586"/>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0"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60" w:firstLine="0"/>
              <w:jc w:val="right"/>
            </w:pPr>
            <w:r>
              <w:rPr>
                <w:rFonts w:ascii="Arial" w:hAnsi="Arial" w:eastAsia="Arial"/>
                <w:b w:val="0"/>
                <w:i w:val="0"/>
                <w:color w:val="000000"/>
                <w:sz w:val="18"/>
              </w:rPr>
              <w:t xml:space="preserve">(93,168,277) </w:t>
            </w:r>
          </w:p>
        </w:tc>
        <w:tc>
          <w:tcPr>
            <w:tcW w:type="dxa" w:w="1938"/>
            <w:tcBorders/>
            <w:tcMar>
              <w:start w:w="0" w:type="dxa"/>
              <w:end w:w="0" w:type="dxa"/>
            </w:tcMar>
          </w:tcPr>
          <w:p>
            <w:pPr>
              <w:autoSpaceDN w:val="0"/>
              <w:autoSpaceDE w:val="0"/>
              <w:widowControl/>
              <w:spacing w:line="235" w:lineRule="auto" w:before="0" w:after="0"/>
              <w:ind w:left="0" w:right="4" w:firstLine="0"/>
              <w:jc w:val="right"/>
            </w:pPr>
            <w:r>
              <w:rPr>
                <w:rFonts w:ascii="Arial" w:hAnsi="Arial" w:eastAsia="Arial"/>
                <w:b w:val="0"/>
                <w:i w:val="0"/>
                <w:color w:val="000000"/>
                <w:sz w:val="18"/>
              </w:rPr>
              <w:t>(93,168,277)</w:t>
            </w:r>
          </w:p>
        </w:tc>
      </w:tr>
      <w:tr>
        <w:trPr>
          <w:trHeight w:hRule="exact" w:val="220"/>
        </w:trPr>
        <w:tc>
          <w:tcPr>
            <w:tcW w:type="dxa" w:w="2338"/>
            <w:tcBorders/>
            <w:tcMar>
              <w:start w:w="0" w:type="dxa"/>
              <w:end w:w="0" w:type="dxa"/>
            </w:tcMar>
          </w:tcPr>
          <w:p>
            <w:pPr>
              <w:autoSpaceDN w:val="0"/>
              <w:autoSpaceDE w:val="0"/>
              <w:widowControl/>
              <w:spacing w:line="180" w:lineRule="exact" w:before="40" w:after="0"/>
              <w:ind w:left="220" w:right="0" w:firstLine="0"/>
              <w:jc w:val="left"/>
            </w:pPr>
            <w:r>
              <w:rPr>
                <w:rFonts w:ascii="黑体" w:hAnsi="黑体" w:eastAsia="黑体"/>
                <w:b w:val="0"/>
                <w:i w:val="0"/>
                <w:color w:val="000000"/>
                <w:sz w:val="18"/>
              </w:rPr>
              <w:t>应付债券</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586"/>
            <w:vMerge w:val="restart"/>
            <w:tcBorders/>
            <w:tcMar>
              <w:start w:w="0" w:type="dxa"/>
              <w:end w:w="0" w:type="dxa"/>
            </w:tcMar>
            <w:tcMar>
              <w:start w:w="0" w:type="dxa"/>
              <w:end w:w="0" w:type="dxa"/>
            </w:tcMar>
          </w:tcPr>
          <w:p>
            <w:pPr>
              <w:autoSpaceDN w:val="0"/>
              <w:autoSpaceDE w:val="0"/>
              <w:widowControl/>
              <w:spacing w:line="233" w:lineRule="auto" w:before="52" w:after="0"/>
              <w:ind w:left="356" w:right="0" w:firstLine="0"/>
              <w:jc w:val="left"/>
            </w:pPr>
            <w:r>
              <w:rPr>
                <w:rFonts w:ascii="Arial" w:hAnsi="Arial" w:eastAsia="Arial"/>
                <w:b w:val="0"/>
                <w:i w:val="0"/>
                <w:color w:val="000000"/>
                <w:sz w:val="18"/>
              </w:rPr>
              <w:t xml:space="preserve">(799,886,857)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(4,698,524,446 )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(9,498,423,323)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60" w:firstLine="0"/>
              <w:jc w:val="right"/>
            </w:pPr>
            <w:r>
              <w:rPr>
                <w:rFonts w:ascii="Arial" w:hAnsi="Arial" w:eastAsia="Arial"/>
                <w:b w:val="0"/>
                <w:i w:val="0"/>
                <w:color w:val="000000"/>
                <w:sz w:val="18"/>
              </w:rPr>
              <w:t xml:space="preserve">(173,380,659) </w:t>
            </w:r>
          </w:p>
        </w:tc>
        <w:tc>
          <w:tcPr>
            <w:tcW w:type="dxa" w:w="1938"/>
            <w:vMerge w:val="restart"/>
            <w:tcBorders/>
            <w:tcMar>
              <w:start w:w="0" w:type="dxa"/>
              <w:end w:w="0" w:type="dxa"/>
            </w:tcMar>
            <w:tcMar>
              <w:start w:w="0" w:type="dxa"/>
              <w:end w:w="0" w:type="dxa"/>
            </w:tcMar>
          </w:tcPr>
          <w:p>
            <w:pPr>
              <w:autoSpaceDN w:val="0"/>
              <w:autoSpaceDE w:val="0"/>
              <w:widowControl/>
              <w:spacing w:line="233" w:lineRule="auto" w:before="52" w:after="0"/>
              <w:ind w:left="0" w:right="4" w:firstLine="0"/>
              <w:jc w:val="right"/>
            </w:pPr>
            <w:r>
              <w:rPr>
                <w:rFonts w:ascii="Arial" w:hAnsi="Arial" w:eastAsia="Arial"/>
                <w:b w:val="0"/>
                <w:i w:val="0"/>
                <w:color w:val="000000"/>
                <w:sz w:val="18"/>
              </w:rPr>
              <w:t>(15,170,215,285)</w:t>
            </w:r>
          </w:p>
        </w:tc>
      </w:tr>
      <w:tr>
        <w:trPr>
          <w:trHeight w:hRule="exact" w:val="50"/>
        </w:trPr>
        <w:tc>
          <w:tcPr>
            <w:tcW w:type="dxa" w:w="2338"/>
            <w:vMerge w:val="restart"/>
            <w:tcBorders/>
            <w:tcMar>
              <w:start w:w="0" w:type="dxa"/>
              <w:end w:w="0" w:type="dxa"/>
            </w:tcMar>
            <w:tcMar>
              <w:start w:w="0" w:type="dxa"/>
              <w:end w:w="0" w:type="dxa"/>
            </w:tcMar>
          </w:tcPr>
          <w:p>
            <w:pPr>
              <w:autoSpaceDN w:val="0"/>
              <w:autoSpaceDE w:val="0"/>
              <w:widowControl/>
              <w:spacing w:line="180" w:lineRule="exact" w:before="60" w:after="0"/>
              <w:ind w:left="220" w:right="0" w:firstLine="0"/>
              <w:jc w:val="left"/>
            </w:pPr>
            <w:r>
              <w:rPr>
                <w:rFonts w:ascii="黑体" w:hAnsi="黑体" w:eastAsia="黑体"/>
                <w:b w:val="0"/>
                <w:i w:val="0"/>
                <w:color w:val="000000"/>
                <w:sz w:val="18"/>
              </w:rPr>
              <w:t>租赁负债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0"/>
        </w:trPr>
        <w:tc>
          <w:tcPr>
            <w:tcW w:type="dxa" w:w="1763"/>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(1,816,093) </w:t>
            </w:r>
          </w:p>
        </w:tc>
        <w:tc>
          <w:tcPr>
            <w:tcW w:type="dxa" w:w="1586"/>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(3,941,448)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(20,440,753 )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(177,025,414)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58" w:firstLine="0"/>
              <w:jc w:val="right"/>
            </w:pPr>
            <w:r>
              <w:rPr>
                <w:rFonts w:ascii="Arial" w:hAnsi="Arial" w:eastAsia="Arial"/>
                <w:b w:val="0"/>
                <w:i w:val="0"/>
                <w:color w:val="000000"/>
                <w:sz w:val="18"/>
              </w:rPr>
              <w:t xml:space="preserve">(14,191,374)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(46,627,819) </w:t>
            </w:r>
          </w:p>
        </w:tc>
        <w:tc>
          <w:tcPr>
            <w:tcW w:type="dxa" w:w="1938"/>
            <w:vMerge w:val="restart"/>
            <w:tcBorders/>
            <w:tcMar>
              <w:start w:w="0" w:type="dxa"/>
              <w:end w:w="0" w:type="dxa"/>
            </w:tcMar>
            <w:tcMar>
              <w:start w:w="0" w:type="dxa"/>
              <w:end w:w="0" w:type="dxa"/>
            </w:tcMar>
          </w:tcPr>
          <w:p>
            <w:pPr>
              <w:autoSpaceDN w:val="0"/>
              <w:autoSpaceDE w:val="0"/>
              <w:widowControl/>
              <w:spacing w:line="235" w:lineRule="auto" w:before="16" w:after="0"/>
              <w:ind w:left="0" w:right="4" w:firstLine="0"/>
              <w:jc w:val="right"/>
            </w:pPr>
            <w:r>
              <w:rPr>
                <w:rFonts w:ascii="Arial" w:hAnsi="Arial" w:eastAsia="Arial"/>
                <w:b w:val="0"/>
                <w:i w:val="0"/>
                <w:color w:val="000000"/>
                <w:sz w:val="18"/>
              </w:rPr>
              <w:t>(264,042,901)</w:t>
            </w:r>
          </w:p>
        </w:tc>
      </w:tr>
      <w:tr>
        <w:trPr>
          <w:trHeight w:hRule="exact" w:val="44"/>
        </w:trPr>
        <w:tc>
          <w:tcPr>
            <w:tcW w:type="dxa" w:w="2338"/>
            <w:vMerge w:val="restart"/>
            <w:tcBorders>
              <w:bottom w:sz="4.0" w:val="single" w:color="#000000"/>
            </w:tcBorders>
            <w:tcMar>
              <w:start w:w="0" w:type="dxa"/>
              <w:end w:w="0" w:type="dxa"/>
            </w:tcMar>
            <w:tcMar>
              <w:start w:w="0" w:type="dxa"/>
              <w:end w:w="0" w:type="dxa"/>
            </w:tcMar>
          </w:tcPr>
          <w:p>
            <w:pPr>
              <w:autoSpaceDN w:val="0"/>
              <w:autoSpaceDE w:val="0"/>
              <w:widowControl/>
              <w:spacing w:line="180" w:lineRule="exact" w:before="54" w:after="0"/>
              <w:ind w:left="220" w:right="0" w:firstLine="0"/>
              <w:jc w:val="left"/>
            </w:pPr>
            <w:r>
              <w:rPr>
                <w:rFonts w:ascii="黑体" w:hAnsi="黑体" w:eastAsia="黑体"/>
                <w:b w:val="0"/>
                <w:i w:val="0"/>
                <w:color w:val="000000"/>
                <w:sz w:val="18"/>
              </w:rPr>
              <w:t>其他金融负债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220"/>
        </w:trPr>
        <w:tc>
          <w:tcPr>
            <w:tcW w:type="dxa" w:w="1763"/>
            <w:vMerge/>
            <w:tcBorders>
              <w:bottom w:sz="4.0" w:val="single" w:color="#000000"/>
            </w:tcBorders>
          </w:tcPr>
          <w:p/>
        </w:tc>
        <w:tc>
          <w:tcPr>
            <w:tcW w:type="dxa" w:w="1644"/>
            <w:tcBorders>
              <w:bottom w:sz="4.0" w:val="single" w:color="#000000"/>
            </w:tcBorders>
            <w:tcMar>
              <w:start w:w="0" w:type="dxa"/>
              <w:end w:w="0" w:type="dxa"/>
            </w:tcMar>
          </w:tcPr>
          <w:p>
            <w:pPr>
              <w:autoSpaceDN w:val="0"/>
              <w:autoSpaceDE w:val="0"/>
              <w:widowControl/>
              <w:spacing w:line="233" w:lineRule="auto" w:before="14" w:after="0"/>
              <w:ind w:left="0" w:right="170" w:firstLine="0"/>
              <w:jc w:val="right"/>
            </w:pPr>
            <w:r>
              <w:rPr>
                <w:rFonts w:ascii="Arial" w:hAnsi="Arial" w:eastAsia="Arial"/>
                <w:b w:val="0"/>
                <w:i w:val="0"/>
                <w:color w:val="000000"/>
                <w:sz w:val="18"/>
              </w:rPr>
              <w:t>-</w:t>
            </w:r>
          </w:p>
        </w:tc>
        <w:tc>
          <w:tcPr>
            <w:tcW w:type="dxa" w:w="1586"/>
            <w:tcBorders>
              <w:bottom w:sz="4.0" w:val="single" w:color="#000000"/>
            </w:tcBorders>
            <w:tcMar>
              <w:start w:w="0" w:type="dxa"/>
              <w:end w:w="0" w:type="dxa"/>
            </w:tcMar>
          </w:tcPr>
          <w:p>
            <w:pPr>
              <w:autoSpaceDN w:val="0"/>
              <w:autoSpaceDE w:val="0"/>
              <w:widowControl/>
              <w:spacing w:line="233" w:lineRule="auto" w:before="14" w:after="0"/>
              <w:ind w:left="0" w:right="170" w:firstLine="0"/>
              <w:jc w:val="right"/>
            </w:pPr>
            <w:r>
              <w:rPr>
                <w:rFonts w:ascii="Arial" w:hAnsi="Arial" w:eastAsia="Arial"/>
                <w:b w:val="0"/>
                <w:i w:val="0"/>
                <w:color w:val="000000"/>
                <w:sz w:val="18"/>
              </w:rPr>
              <w:t>-</w:t>
            </w:r>
          </w:p>
        </w:tc>
        <w:tc>
          <w:tcPr>
            <w:tcW w:type="dxa" w:w="1644"/>
            <w:tcBorders>
              <w:bottom w:sz="4.0" w:val="single" w:color="#000000"/>
            </w:tcBorders>
            <w:tcMar>
              <w:start w:w="0" w:type="dxa"/>
              <w:end w:w="0" w:type="dxa"/>
            </w:tcMar>
          </w:tcPr>
          <w:p>
            <w:pPr>
              <w:autoSpaceDN w:val="0"/>
              <w:autoSpaceDE w:val="0"/>
              <w:widowControl/>
              <w:spacing w:line="233" w:lineRule="auto" w:before="14" w:after="0"/>
              <w:ind w:left="0" w:right="120" w:firstLine="0"/>
              <w:jc w:val="right"/>
            </w:pPr>
            <w:r>
              <w:rPr>
                <w:rFonts w:ascii="Arial" w:hAnsi="Arial" w:eastAsia="Arial"/>
                <w:b w:val="0"/>
                <w:i w:val="0"/>
                <w:color w:val="000000"/>
                <w:sz w:val="18"/>
              </w:rPr>
              <w:t xml:space="preserve">- </w:t>
            </w:r>
          </w:p>
        </w:tc>
        <w:tc>
          <w:tcPr>
            <w:tcW w:type="dxa" w:w="1644"/>
            <w:tcBorders>
              <w:bottom w:sz="4.0" w:val="single" w:color="#000000"/>
            </w:tcBorders>
            <w:tcMar>
              <w:start w:w="0" w:type="dxa"/>
              <w:end w:w="0" w:type="dxa"/>
            </w:tcMar>
          </w:tcPr>
          <w:p>
            <w:pPr>
              <w:autoSpaceDN w:val="0"/>
              <w:autoSpaceDE w:val="0"/>
              <w:widowControl/>
              <w:spacing w:line="233" w:lineRule="auto" w:before="14" w:after="0"/>
              <w:ind w:left="0" w:right="60" w:firstLine="0"/>
              <w:jc w:val="right"/>
            </w:pPr>
            <w:r>
              <w:rPr>
                <w:rFonts w:ascii="Arial" w:hAnsi="Arial" w:eastAsia="Arial"/>
                <w:b w:val="0"/>
                <w:i w:val="0"/>
                <w:color w:val="000000"/>
                <w:sz w:val="18"/>
              </w:rPr>
              <w:t xml:space="preserve">(251,430) </w:t>
            </w:r>
          </w:p>
        </w:tc>
        <w:tc>
          <w:tcPr>
            <w:tcW w:type="dxa" w:w="1642"/>
            <w:tcBorders>
              <w:bottom w:sz="4.0" w:val="single" w:color="#000000"/>
            </w:tcBorders>
            <w:tcMar>
              <w:start w:w="0" w:type="dxa"/>
              <w:end w:w="0" w:type="dxa"/>
            </w:tcMar>
          </w:tcPr>
          <w:p>
            <w:pPr>
              <w:autoSpaceDN w:val="0"/>
              <w:autoSpaceDE w:val="0"/>
              <w:widowControl/>
              <w:spacing w:line="233" w:lineRule="auto" w:before="14" w:after="0"/>
              <w:ind w:left="0" w:right="168" w:firstLine="0"/>
              <w:jc w:val="right"/>
            </w:pPr>
            <w:r>
              <w:rPr>
                <w:rFonts w:ascii="Arial" w:hAnsi="Arial" w:eastAsia="Arial"/>
                <w:b w:val="0"/>
                <w:i w:val="0"/>
                <w:color w:val="000000"/>
                <w:sz w:val="18"/>
              </w:rPr>
              <w:t>-</w:t>
            </w:r>
          </w:p>
        </w:tc>
        <w:tc>
          <w:tcPr>
            <w:tcW w:type="dxa" w:w="1644"/>
            <w:tcBorders>
              <w:bottom w:sz="4.0" w:val="single" w:color="#000000"/>
            </w:tcBorders>
            <w:tcMar>
              <w:start w:w="0" w:type="dxa"/>
              <w:end w:w="0" w:type="dxa"/>
            </w:tcMar>
          </w:tcPr>
          <w:p>
            <w:pPr>
              <w:autoSpaceDN w:val="0"/>
              <w:autoSpaceDE w:val="0"/>
              <w:widowControl/>
              <w:spacing w:line="233" w:lineRule="auto" w:before="14" w:after="0"/>
              <w:ind w:left="262" w:right="0" w:firstLine="0"/>
              <w:jc w:val="left"/>
            </w:pPr>
            <w:r>
              <w:rPr>
                <w:rFonts w:ascii="Arial" w:hAnsi="Arial" w:eastAsia="Arial"/>
                <w:b w:val="0"/>
                <w:i w:val="0"/>
                <w:color w:val="000000"/>
                <w:sz w:val="18"/>
              </w:rPr>
              <w:t xml:space="preserve">(1,249,730,566) </w:t>
            </w:r>
          </w:p>
        </w:tc>
        <w:tc>
          <w:tcPr>
            <w:tcW w:type="dxa" w:w="1938"/>
            <w:tcBorders>
              <w:bottom w:sz="4.0" w:val="single" w:color="#000000"/>
            </w:tcBorders>
            <w:tcMar>
              <w:start w:w="0" w:type="dxa"/>
              <w:end w:w="0" w:type="dxa"/>
            </w:tcMar>
          </w:tcPr>
          <w:p>
            <w:pPr>
              <w:autoSpaceDN w:val="0"/>
              <w:autoSpaceDE w:val="0"/>
              <w:widowControl/>
              <w:spacing w:line="233" w:lineRule="auto" w:before="14" w:after="0"/>
              <w:ind w:left="0" w:right="4" w:firstLine="0"/>
              <w:jc w:val="right"/>
            </w:pPr>
            <w:r>
              <w:rPr>
                <w:rFonts w:ascii="Arial" w:hAnsi="Arial" w:eastAsia="Arial"/>
                <w:b w:val="0"/>
                <w:i w:val="0"/>
                <w:color w:val="000000"/>
                <w:sz w:val="18"/>
              </w:rPr>
              <w:t>(1,249,981,996)</w:t>
            </w:r>
          </w:p>
        </w:tc>
      </w:tr>
      <w:tr>
        <w:trPr>
          <w:trHeight w:hRule="exact" w:val="454"/>
        </w:trPr>
        <w:tc>
          <w:tcPr>
            <w:tcW w:type="dxa" w:w="2338"/>
            <w:tcBorders>
              <w:top w:sz="4.0" w:val="single" w:color="#000000"/>
              <w:bottom w:sz="4.0" w:val="single" w:color="#000000"/>
            </w:tcBorders>
            <w:tcMar>
              <w:start w:w="0" w:type="dxa"/>
              <w:end w:w="0" w:type="dxa"/>
            </w:tcMar>
          </w:tcPr>
          <w:p>
            <w:pPr>
              <w:autoSpaceDN w:val="0"/>
              <w:autoSpaceDE w:val="0"/>
              <w:widowControl/>
              <w:spacing w:line="180" w:lineRule="exact" w:before="236" w:after="0"/>
              <w:ind w:left="40" w:right="0" w:firstLine="0"/>
              <w:jc w:val="left"/>
            </w:pPr>
            <w:r>
              <w:rPr>
                <w:rFonts w:ascii="黑体" w:hAnsi="黑体" w:eastAsia="黑体"/>
                <w:b w:val="0"/>
                <w:i w:val="0"/>
                <w:color w:val="000000"/>
                <w:sz w:val="18"/>
              </w:rPr>
              <w:t>金融负债合计</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2" w:after="0"/>
              <w:ind w:left="162" w:right="0" w:firstLine="0"/>
              <w:jc w:val="left"/>
            </w:pPr>
            <w:r>
              <w:rPr>
                <w:rFonts w:ascii="Arial" w:hAnsi="Arial" w:eastAsia="Arial"/>
                <w:b w:val="0"/>
                <w:i w:val="0"/>
                <w:color w:val="000000"/>
                <w:sz w:val="18"/>
              </w:rPr>
              <w:t xml:space="preserve">(35,864,153,030) </w:t>
            </w:r>
          </w:p>
        </w:tc>
        <w:tc>
          <w:tcPr>
            <w:tcW w:type="dxa" w:w="1586"/>
            <w:tcBorders>
              <w:top w:sz="4.0" w:val="single" w:color="#000000"/>
              <w:bottom w:sz="4.0" w:val="single" w:color="#000000"/>
            </w:tcBorders>
            <w:tcMar>
              <w:start w:w="0" w:type="dxa"/>
              <w:end w:w="0" w:type="dxa"/>
            </w:tcMar>
          </w:tcPr>
          <w:p>
            <w:pPr>
              <w:autoSpaceDN w:val="0"/>
              <w:autoSpaceDE w:val="0"/>
              <w:widowControl/>
              <w:spacing w:line="235" w:lineRule="auto" w:before="242" w:after="0"/>
              <w:ind w:left="356" w:right="0" w:firstLine="0"/>
              <w:jc w:val="left"/>
            </w:pPr>
            <w:r>
              <w:rPr>
                <w:rFonts w:ascii="Arial" w:hAnsi="Arial" w:eastAsia="Arial"/>
                <w:b w:val="0"/>
                <w:i w:val="0"/>
                <w:color w:val="000000"/>
                <w:sz w:val="18"/>
              </w:rPr>
              <w:t xml:space="preserve">(904,855,457) </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2" w:after="0"/>
              <w:ind w:left="262" w:right="0" w:firstLine="0"/>
              <w:jc w:val="left"/>
            </w:pPr>
            <w:r>
              <w:rPr>
                <w:rFonts w:ascii="Arial" w:hAnsi="Arial" w:eastAsia="Arial"/>
                <w:b w:val="0"/>
                <w:i w:val="0"/>
                <w:color w:val="000000"/>
                <w:sz w:val="18"/>
              </w:rPr>
              <w:t xml:space="preserve">(6,284,873,113 ) </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2" w:after="0"/>
              <w:ind w:left="262" w:right="0" w:firstLine="0"/>
              <w:jc w:val="left"/>
            </w:pPr>
            <w:r>
              <w:rPr>
                <w:rFonts w:ascii="Arial" w:hAnsi="Arial" w:eastAsia="Arial"/>
                <w:b w:val="0"/>
                <w:i w:val="0"/>
                <w:color w:val="000000"/>
                <w:sz w:val="18"/>
              </w:rPr>
              <w:t xml:space="preserve">(9,675,700,167) </w:t>
            </w:r>
          </w:p>
        </w:tc>
        <w:tc>
          <w:tcPr>
            <w:tcW w:type="dxa" w:w="1642"/>
            <w:tcBorders>
              <w:top w:sz="4.0" w:val="single" w:color="#000000"/>
              <w:bottom w:sz="4.0" w:val="single" w:color="#000000"/>
            </w:tcBorders>
            <w:tcMar>
              <w:start w:w="0" w:type="dxa"/>
              <w:end w:w="0" w:type="dxa"/>
            </w:tcMar>
          </w:tcPr>
          <w:p>
            <w:pPr>
              <w:autoSpaceDN w:val="0"/>
              <w:autoSpaceDE w:val="0"/>
              <w:widowControl/>
              <w:spacing w:line="235" w:lineRule="auto" w:before="242" w:after="0"/>
              <w:ind w:left="0" w:right="58" w:firstLine="0"/>
              <w:jc w:val="right"/>
            </w:pPr>
            <w:r>
              <w:rPr>
                <w:rFonts w:ascii="Arial" w:hAnsi="Arial" w:eastAsia="Arial"/>
                <w:b w:val="0"/>
                <w:i w:val="0"/>
                <w:color w:val="000000"/>
                <w:sz w:val="18"/>
              </w:rPr>
              <w:t xml:space="preserve">(14,191,374) </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2" w:after="0"/>
              <w:ind w:left="262" w:right="0" w:firstLine="0"/>
              <w:jc w:val="left"/>
            </w:pPr>
            <w:r>
              <w:rPr>
                <w:rFonts w:ascii="Arial" w:hAnsi="Arial" w:eastAsia="Arial"/>
                <w:b w:val="0"/>
                <w:i w:val="0"/>
                <w:color w:val="000000"/>
                <w:sz w:val="18"/>
              </w:rPr>
              <w:t xml:space="preserve">(9,222,742,694) </w:t>
            </w:r>
          </w:p>
        </w:tc>
        <w:tc>
          <w:tcPr>
            <w:tcW w:type="dxa" w:w="1938"/>
            <w:tcBorders>
              <w:top w:sz="4.0" w:val="single" w:color="#000000"/>
              <w:bottom w:sz="4.0" w:val="single" w:color="#000000"/>
            </w:tcBorders>
            <w:tcMar>
              <w:start w:w="0" w:type="dxa"/>
              <w:end w:w="0" w:type="dxa"/>
            </w:tcMar>
          </w:tcPr>
          <w:p>
            <w:pPr>
              <w:autoSpaceDN w:val="0"/>
              <w:autoSpaceDE w:val="0"/>
              <w:widowControl/>
              <w:spacing w:line="235" w:lineRule="auto" w:before="242" w:after="0"/>
              <w:ind w:left="0" w:right="4" w:firstLine="0"/>
              <w:jc w:val="right"/>
            </w:pPr>
            <w:r>
              <w:rPr>
                <w:rFonts w:ascii="Arial" w:hAnsi="Arial" w:eastAsia="Arial"/>
                <w:b w:val="0"/>
                <w:i w:val="0"/>
                <w:color w:val="000000"/>
                <w:sz w:val="18"/>
              </w:rPr>
              <w:t>(61,966,515,835)</w:t>
            </w:r>
          </w:p>
        </w:tc>
      </w:tr>
      <w:tr>
        <w:trPr>
          <w:trHeight w:hRule="exact" w:val="450"/>
        </w:trPr>
        <w:tc>
          <w:tcPr>
            <w:tcW w:type="dxa" w:w="2338"/>
            <w:tcBorders>
              <w:top w:sz="4.0" w:val="single" w:color="#000000"/>
              <w:bottom w:sz="4.0" w:val="single" w:color="#000000"/>
            </w:tcBorders>
            <w:tcMar>
              <w:start w:w="0" w:type="dxa"/>
              <w:end w:w="0" w:type="dxa"/>
            </w:tcMar>
          </w:tcPr>
          <w:p>
            <w:pPr>
              <w:autoSpaceDN w:val="0"/>
              <w:autoSpaceDE w:val="0"/>
              <w:widowControl/>
              <w:spacing w:line="180" w:lineRule="exact" w:before="232" w:after="0"/>
              <w:ind w:left="40" w:right="0" w:firstLine="0"/>
              <w:jc w:val="left"/>
            </w:pPr>
            <w:r>
              <w:rPr>
                <w:rFonts w:ascii="黑体" w:hAnsi="黑体" w:eastAsia="黑体"/>
                <w:b w:val="0"/>
                <w:i w:val="0"/>
                <w:color w:val="000000"/>
                <w:sz w:val="18"/>
              </w:rPr>
              <w:t>利率敏感度敞口总计</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38" w:after="0"/>
              <w:ind w:left="260" w:right="0" w:firstLine="0"/>
              <w:jc w:val="left"/>
            </w:pPr>
            <w:r>
              <w:rPr>
                <w:rFonts w:ascii="Arial" w:hAnsi="Arial" w:eastAsia="Arial"/>
                <w:b w:val="0"/>
                <w:i w:val="0"/>
                <w:color w:val="000000"/>
                <w:sz w:val="18"/>
              </w:rPr>
              <w:t xml:space="preserve">(3,754,846,780) </w:t>
            </w:r>
          </w:p>
        </w:tc>
        <w:tc>
          <w:tcPr>
            <w:tcW w:type="dxa" w:w="1586"/>
            <w:tcBorders>
              <w:top w:sz="4.0" w:val="single" w:color="#000000"/>
              <w:bottom w:sz="4.0" w:val="single" w:color="#000000"/>
            </w:tcBorders>
            <w:tcMar>
              <w:start w:w="0" w:type="dxa"/>
              <w:end w:w="0" w:type="dxa"/>
            </w:tcMar>
          </w:tcPr>
          <w:p>
            <w:pPr>
              <w:autoSpaceDN w:val="0"/>
              <w:autoSpaceDE w:val="0"/>
              <w:widowControl/>
              <w:spacing w:line="233" w:lineRule="auto" w:before="238" w:after="0"/>
              <w:ind w:left="264" w:right="0" w:firstLine="0"/>
              <w:jc w:val="left"/>
            </w:pPr>
            <w:r>
              <w:rPr>
                <w:rFonts w:ascii="Arial" w:hAnsi="Arial" w:eastAsia="Arial"/>
                <w:b w:val="0"/>
                <w:i w:val="0"/>
                <w:color w:val="000000"/>
                <w:sz w:val="18"/>
              </w:rPr>
              <w:t>1,063,810,831</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38" w:after="0"/>
              <w:ind w:left="322" w:right="0" w:firstLine="0"/>
              <w:jc w:val="left"/>
            </w:pPr>
            <w:r>
              <w:rPr>
                <w:rFonts w:ascii="Arial" w:hAnsi="Arial" w:eastAsia="Arial"/>
                <w:b w:val="0"/>
                <w:i w:val="0"/>
                <w:color w:val="000000"/>
                <w:sz w:val="18"/>
              </w:rPr>
              <w:t xml:space="preserve">3,431,193,823 </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60" w:firstLine="0"/>
              <w:jc w:val="right"/>
            </w:pPr>
            <w:r>
              <w:rPr>
                <w:rFonts w:ascii="Arial" w:hAnsi="Arial" w:eastAsia="Arial"/>
                <w:b w:val="0"/>
                <w:i w:val="0"/>
                <w:color w:val="000000"/>
                <w:sz w:val="18"/>
              </w:rPr>
              <w:t xml:space="preserve">(712,001,340) </w:t>
            </w:r>
          </w:p>
        </w:tc>
        <w:tc>
          <w:tcPr>
            <w:tcW w:type="dxa" w:w="1642"/>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0" w:firstLine="0"/>
              <w:jc w:val="center"/>
            </w:pPr>
            <w:r>
              <w:rPr>
                <w:rFonts w:ascii="Arial" w:hAnsi="Arial" w:eastAsia="Arial"/>
                <w:b w:val="0"/>
                <w:i w:val="0"/>
                <w:color w:val="000000"/>
                <w:sz w:val="18"/>
              </w:rPr>
              <w:t>14,209,066,148</w:t>
            </w:r>
          </w:p>
        </w:tc>
        <w:tc>
          <w:tcPr>
            <w:tcW w:type="dxa" w:w="1644"/>
            <w:tcBorders>
              <w:top w:sz="4.0" w:val="single" w:color="#000000"/>
              <w:bottom w:sz="4.0" w:val="single" w:color="#000000"/>
            </w:tcBorders>
            <w:tcMar>
              <w:start w:w="0" w:type="dxa"/>
              <w:end w:w="0" w:type="dxa"/>
            </w:tcMar>
          </w:tcPr>
          <w:p>
            <w:pPr>
              <w:autoSpaceDN w:val="0"/>
              <w:autoSpaceDE w:val="0"/>
              <w:widowControl/>
              <w:spacing w:line="233" w:lineRule="auto" w:before="238" w:after="0"/>
              <w:ind w:left="322" w:right="0" w:firstLine="0"/>
              <w:jc w:val="left"/>
            </w:pPr>
            <w:r>
              <w:rPr>
                <w:rFonts w:ascii="Arial" w:hAnsi="Arial" w:eastAsia="Arial"/>
                <w:b w:val="0"/>
                <w:i w:val="0"/>
                <w:color w:val="000000"/>
                <w:sz w:val="18"/>
              </w:rPr>
              <w:t>2,382,919,731</w:t>
            </w:r>
          </w:p>
        </w:tc>
        <w:tc>
          <w:tcPr>
            <w:tcW w:type="dxa" w:w="1938"/>
            <w:tcBorders>
              <w:top w:sz="4.0" w:val="single" w:color="#000000"/>
              <w:bottom w:sz="4.0" w:val="single" w:color="#000000"/>
            </w:tcBorders>
            <w:tcMar>
              <w:start w:w="0" w:type="dxa"/>
              <w:end w:w="0" w:type="dxa"/>
            </w:tcMar>
          </w:tcPr>
          <w:p>
            <w:pPr>
              <w:autoSpaceDN w:val="0"/>
              <w:autoSpaceDE w:val="0"/>
              <w:widowControl/>
              <w:spacing w:line="233" w:lineRule="auto" w:before="238" w:after="0"/>
              <w:ind w:left="0" w:right="64" w:firstLine="0"/>
              <w:jc w:val="right"/>
            </w:pPr>
            <w:r>
              <w:rPr>
                <w:rFonts w:ascii="Arial" w:hAnsi="Arial" w:eastAsia="Arial"/>
                <w:b w:val="0"/>
                <w:i w:val="0"/>
                <w:color w:val="000000"/>
                <w:sz w:val="18"/>
              </w:rPr>
              <w:t>16,620,142,413</w:t>
            </w:r>
          </w:p>
        </w:tc>
      </w:tr>
      <w:tr>
        <w:trPr>
          <w:trHeight w:hRule="exact" w:val="52"/>
        </w:trPr>
        <w:tc>
          <w:tcPr>
            <w:tcW w:type="dxa" w:w="2338"/>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586"/>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938"/>
            <w:tcBorders>
              <w:top w:sz="4.0" w:val="single" w:color="#000000"/>
            </w:tcBorders>
            <w:tcMar>
              <w:start w:w="0" w:type="dxa"/>
              <w:end w:w="0" w:type="dxa"/>
            </w:tcMar>
          </w:tcPr>
          <w:p/>
        </w:tc>
      </w:tr>
    </w:tbl>
    <w:p>
      <w:pPr>
        <w:autoSpaceDN w:val="0"/>
        <w:autoSpaceDE w:val="0"/>
        <w:widowControl/>
        <w:spacing w:line="233" w:lineRule="auto" w:before="2838" w:after="0"/>
        <w:ind w:left="0" w:right="0" w:firstLine="0"/>
        <w:jc w:val="center"/>
      </w:pPr>
      <w:r>
        <w:rPr>
          <w:rFonts w:ascii="Arial" w:hAnsi="Arial" w:eastAsia="Arial"/>
          <w:b w:val="0"/>
          <w:i w:val="0"/>
          <w:color w:val="000000"/>
          <w:sz w:val="20"/>
        </w:rPr>
        <w:t xml:space="preserve">285 </w:t>
      </w:r>
    </w:p>
    <w:p>
      <w:pPr>
        <w:sectPr>
          <w:pgSz w:w="16841" w:h="11899"/>
          <w:pgMar w:top="1166" w:right="1344" w:bottom="360" w:left="1392" w:header="720" w:footer="720" w:gutter="0"/>
          <w:cols/>
          <w:docGrid w:linePitch="360"/>
        </w:sectPr>
      </w:pPr>
    </w:p>
    <w:p>
      <w:pPr>
        <w:autoSpaceDN w:val="0"/>
        <w:autoSpaceDE w:val="0"/>
        <w:widowControl/>
        <w:spacing w:line="220" w:lineRule="exact" w:before="0" w:after="948"/>
        <w:ind w:left="0" w:right="0"/>
      </w:pPr>
    </w:p>
    <w:p>
      <w:pPr>
        <w:autoSpaceDN w:val="0"/>
        <w:tabs>
          <w:tab w:pos="672" w:val="left"/>
        </w:tabs>
        <w:autoSpaceDE w:val="0"/>
        <w:widowControl/>
        <w:spacing w:line="436" w:lineRule="exact" w:before="0" w:after="230"/>
        <w:ind w:left="0" w:right="10368"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3. </w:t>
      </w:r>
      <w:r>
        <w:rPr>
          <w:rFonts w:ascii="黑体" w:hAnsi="黑体" w:eastAsia="黑体"/>
          <w:b w:val="0"/>
          <w:i w:val="0"/>
          <w:color w:val="000000"/>
          <w:sz w:val="22"/>
        </w:rPr>
        <w:t>利率风险（续）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利率重定价风险（续）</w:t>
      </w:r>
    </w:p>
    <w:tbl>
      <w:tblPr>
        <w:tblW w:type="auto" w:w="0"/>
        <w:tblLayout w:type="fixed"/>
        <w:tblLook w:firstColumn="1" w:firstRow="1" w:lastColumn="0" w:lastRow="0" w:noHBand="0" w:noVBand="1" w:val="04A0"/>
        <w:tblInd w:w="0.0" w:type="dxa"/>
      </w:tblPr>
      <w:tblGrid>
        <w:gridCol w:w="1749"/>
        <w:gridCol w:w="1749"/>
        <w:gridCol w:w="1749"/>
        <w:gridCol w:w="1749"/>
        <w:gridCol w:w="1749"/>
        <w:gridCol w:w="1749"/>
        <w:gridCol w:w="1749"/>
        <w:gridCol w:w="1749"/>
      </w:tblGrid>
      <w:tr>
        <w:trPr>
          <w:trHeight w:hRule="exact" w:val="258"/>
        </w:trPr>
        <w:tc>
          <w:tcPr>
            <w:tcW w:type="dxa" w:w="2220"/>
            <w:tcBorders>
              <w:bottom w:sz="4.0" w:val="single" w:color="#000000"/>
            </w:tcBorders>
            <w:tcMar>
              <w:start w:w="0" w:type="dxa"/>
              <w:end w:w="0" w:type="dxa"/>
            </w:tcMar>
          </w:tcPr>
          <w:p>
            <w:pPr>
              <w:autoSpaceDN w:val="0"/>
              <w:autoSpaceDE w:val="0"/>
              <w:widowControl/>
              <w:spacing w:line="202" w:lineRule="exact" w:before="50" w:after="0"/>
              <w:ind w:left="0" w:right="0" w:firstLine="0"/>
              <w:jc w:val="lef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820"/>
            <w:tcBorders>
              <w:bottom w:sz="4.0" w:val="single" w:color="#000000"/>
            </w:tcBorders>
            <w:tcMar>
              <w:start w:w="0" w:type="dxa"/>
              <w:end w:w="0" w:type="dxa"/>
            </w:tcMar>
          </w:tcPr>
          <w:p>
            <w:pPr>
              <w:autoSpaceDN w:val="0"/>
              <w:autoSpaceDE w:val="0"/>
              <w:widowControl/>
              <w:spacing w:line="202" w:lineRule="exact" w:before="50" w:after="0"/>
              <w:ind w:left="0" w:right="268" w:firstLine="0"/>
              <w:jc w:val="right"/>
            </w:pPr>
            <w:r>
              <w:rPr>
                <w:rFonts w:ascii="Arial" w:hAnsi="Arial" w:eastAsia="Arial"/>
                <w:b w:val="0"/>
                <w:i w:val="0"/>
                <w:color w:val="000000"/>
                <w:sz w:val="18"/>
              </w:rPr>
              <w:t>1</w:t>
            </w:r>
            <w:r>
              <w:rPr>
                <w:rFonts w:ascii="黑体" w:hAnsi="黑体" w:eastAsia="黑体"/>
                <w:b w:val="0"/>
                <w:i w:val="0"/>
                <w:color w:val="000000"/>
                <w:sz w:val="18"/>
              </w:rPr>
              <w:t>个月内</w:t>
            </w:r>
          </w:p>
        </w:tc>
        <w:tc>
          <w:tcPr>
            <w:tcW w:type="dxa" w:w="172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个月至</w:t>
            </w:r>
            <w:r>
              <w:rPr>
                <w:rFonts w:ascii="Arial" w:hAnsi="Arial" w:eastAsia="Arial"/>
                <w:b w:val="0"/>
                <w:i w:val="0"/>
                <w:color w:val="000000"/>
                <w:sz w:val="18"/>
              </w:rPr>
              <w:t>3</w:t>
            </w:r>
            <w:r>
              <w:rPr>
                <w:rFonts w:ascii="黑体" w:hAnsi="黑体" w:eastAsia="黑体"/>
                <w:b w:val="0"/>
                <w:i w:val="0"/>
                <w:color w:val="000000"/>
                <w:sz w:val="18"/>
              </w:rPr>
              <w:t>个月</w:t>
            </w:r>
          </w:p>
        </w:tc>
        <w:tc>
          <w:tcPr>
            <w:tcW w:type="dxa" w:w="174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3</w:t>
            </w:r>
            <w:r>
              <w:rPr>
                <w:rFonts w:ascii="黑体" w:hAnsi="黑体" w:eastAsia="黑体"/>
                <w:b w:val="0"/>
                <w:i w:val="0"/>
                <w:color w:val="000000"/>
                <w:sz w:val="18"/>
              </w:rPr>
              <w:t>个月至</w:t>
            </w:r>
            <w:r>
              <w:rPr>
                <w:rFonts w:ascii="Arial" w:hAnsi="Arial" w:eastAsia="Arial"/>
                <w:b w:val="0"/>
                <w:i w:val="0"/>
                <w:color w:val="000000"/>
                <w:sz w:val="18"/>
              </w:rPr>
              <w:t>1</w:t>
            </w:r>
            <w:r>
              <w:rPr>
                <w:rFonts w:ascii="黑体" w:hAnsi="黑体" w:eastAsia="黑体"/>
                <w:b w:val="0"/>
                <w:i w:val="0"/>
                <w:color w:val="000000"/>
                <w:sz w:val="18"/>
              </w:rPr>
              <w:t>年</w:t>
            </w:r>
          </w:p>
        </w:tc>
        <w:tc>
          <w:tcPr>
            <w:tcW w:type="dxa" w:w="170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年至</w:t>
            </w:r>
            <w:r>
              <w:rPr>
                <w:rFonts w:ascii="Arial" w:hAnsi="Arial" w:eastAsia="Arial"/>
                <w:b w:val="0"/>
                <w:i w:val="0"/>
                <w:color w:val="000000"/>
                <w:sz w:val="18"/>
              </w:rPr>
              <w:t>5</w:t>
            </w:r>
            <w:r>
              <w:rPr>
                <w:rFonts w:ascii="黑体" w:hAnsi="黑体" w:eastAsia="黑体"/>
                <w:b w:val="0"/>
                <w:i w:val="0"/>
                <w:color w:val="000000"/>
                <w:sz w:val="18"/>
              </w:rPr>
              <w:t>年</w:t>
            </w:r>
          </w:p>
        </w:tc>
        <w:tc>
          <w:tcPr>
            <w:tcW w:type="dxa" w:w="2248"/>
            <w:tcBorders>
              <w:bottom w:sz="4.0" w:val="single" w:color="#000000"/>
            </w:tcBorders>
            <w:tcMar>
              <w:start w:w="0" w:type="dxa"/>
              <w:end w:w="0" w:type="dxa"/>
            </w:tcMar>
          </w:tcPr>
          <w:p>
            <w:pPr>
              <w:autoSpaceDN w:val="0"/>
              <w:autoSpaceDE w:val="0"/>
              <w:widowControl/>
              <w:spacing w:line="202" w:lineRule="exact" w:before="50" w:after="0"/>
              <w:ind w:left="502" w:right="0" w:firstLine="0"/>
              <w:jc w:val="left"/>
            </w:pPr>
            <w:r>
              <w:rPr>
                <w:rFonts w:ascii="Arial" w:hAnsi="Arial" w:eastAsia="Arial"/>
                <w:b w:val="0"/>
                <w:i w:val="0"/>
                <w:color w:val="000000"/>
                <w:sz w:val="18"/>
              </w:rPr>
              <w:t>5</w:t>
            </w:r>
            <w:r>
              <w:rPr>
                <w:rFonts w:ascii="黑体" w:hAnsi="黑体" w:eastAsia="黑体"/>
                <w:b w:val="0"/>
                <w:i w:val="0"/>
                <w:color w:val="000000"/>
                <w:sz w:val="18"/>
              </w:rPr>
              <w:t>年以上</w:t>
            </w:r>
          </w:p>
        </w:tc>
        <w:tc>
          <w:tcPr>
            <w:tcW w:type="dxa" w:w="540"/>
            <w:tcBorders>
              <w:bottom w:sz="4.0" w:val="single" w:color="#000000"/>
            </w:tcBorders>
            <w:tcMar>
              <w:start w:w="0" w:type="dxa"/>
              <w:end w:w="0" w:type="dxa"/>
            </w:tcMar>
          </w:tcPr>
          <w:p>
            <w:pPr>
              <w:autoSpaceDN w:val="0"/>
              <w:autoSpaceDE w:val="0"/>
              <w:widowControl/>
              <w:spacing w:line="180" w:lineRule="exact" w:before="70" w:after="0"/>
              <w:ind w:left="0" w:right="0" w:firstLine="0"/>
              <w:jc w:val="center"/>
            </w:pPr>
            <w:r>
              <w:rPr>
                <w:rFonts w:ascii="黑体" w:hAnsi="黑体" w:eastAsia="黑体"/>
                <w:b w:val="0"/>
                <w:i w:val="0"/>
                <w:color w:val="000000"/>
                <w:sz w:val="18"/>
              </w:rPr>
              <w:t>不计息</w:t>
            </w:r>
          </w:p>
        </w:tc>
        <w:tc>
          <w:tcPr>
            <w:tcW w:type="dxa" w:w="1982"/>
            <w:tcBorders>
              <w:bottom w:sz="4.0" w:val="single" w:color="#000000"/>
            </w:tcBorders>
            <w:tcMar>
              <w:start w:w="0" w:type="dxa"/>
              <w:end w:w="0" w:type="dxa"/>
            </w:tcMar>
          </w:tcPr>
          <w:p>
            <w:pPr>
              <w:autoSpaceDN w:val="0"/>
              <w:autoSpaceDE w:val="0"/>
              <w:widowControl/>
              <w:spacing w:line="180" w:lineRule="exact" w:before="70" w:after="0"/>
              <w:ind w:left="0" w:right="0" w:firstLine="0"/>
              <w:jc w:val="right"/>
            </w:pPr>
            <w:r>
              <w:rPr>
                <w:rFonts w:ascii="黑体" w:hAnsi="黑体" w:eastAsia="黑体"/>
                <w:b w:val="0"/>
                <w:i w:val="0"/>
                <w:color w:val="000000"/>
                <w:sz w:val="18"/>
              </w:rPr>
              <w:t>合计</w:t>
            </w:r>
          </w:p>
        </w:tc>
      </w:tr>
    </w:tbl>
    <w:p>
      <w:pPr>
        <w:autoSpaceDN w:val="0"/>
        <w:autoSpaceDE w:val="0"/>
        <w:widowControl/>
        <w:spacing w:line="180" w:lineRule="exact" w:before="252" w:after="28"/>
        <w:ind w:left="0" w:right="0" w:firstLine="0"/>
        <w:jc w:val="left"/>
      </w:pPr>
      <w:r>
        <w:rPr>
          <w:rFonts w:ascii="黑体" w:hAnsi="黑体" w:eastAsia="黑体"/>
          <w:b w:val="0"/>
          <w:i w:val="0"/>
          <w:color w:val="000000"/>
          <w:sz w:val="18"/>
        </w:rPr>
        <w:t>金融资产</w:t>
      </w:r>
    </w:p>
    <w:tbl>
      <w:tblPr>
        <w:tblW w:type="auto" w:w="0"/>
        <w:tblLayout w:type="fixed"/>
        <w:tblLook w:firstColumn="1" w:firstRow="1" w:lastColumn="0" w:lastRow="0" w:noHBand="0" w:noVBand="1" w:val="04A0"/>
        <w:tblInd w:w="0.0" w:type="dxa"/>
      </w:tblPr>
      <w:tblGrid>
        <w:gridCol w:w="1749"/>
        <w:gridCol w:w="1749"/>
        <w:gridCol w:w="1749"/>
        <w:gridCol w:w="1749"/>
        <w:gridCol w:w="1749"/>
        <w:gridCol w:w="1749"/>
        <w:gridCol w:w="1749"/>
        <w:gridCol w:w="1749"/>
      </w:tblGrid>
      <w:tr>
        <w:trPr>
          <w:trHeight w:hRule="exact" w:val="248"/>
        </w:trPr>
        <w:tc>
          <w:tcPr>
            <w:tcW w:type="dxa" w:w="2298"/>
            <w:tcBorders/>
            <w:tcMar>
              <w:start w:w="0" w:type="dxa"/>
              <w:end w:w="0" w:type="dxa"/>
            </w:tcMar>
          </w:tcPr>
          <w:p>
            <w:pPr>
              <w:autoSpaceDN w:val="0"/>
              <w:autoSpaceDE w:val="0"/>
              <w:widowControl/>
              <w:spacing w:line="180" w:lineRule="exact" w:before="26" w:after="0"/>
              <w:ind w:left="180" w:right="0" w:firstLine="0"/>
              <w:jc w:val="left"/>
            </w:pPr>
            <w:r>
              <w:rPr>
                <w:rFonts w:ascii="黑体" w:hAnsi="黑体" w:eastAsia="黑体"/>
                <w:b w:val="0"/>
                <w:i w:val="0"/>
                <w:color w:val="000000"/>
                <w:sz w:val="18"/>
              </w:rPr>
              <w:t>货币资金</w:t>
            </w:r>
          </w:p>
        </w:tc>
        <w:tc>
          <w:tcPr>
            <w:tcW w:type="dxa" w:w="1474"/>
            <w:tcBorders/>
            <w:tcMar>
              <w:start w:w="0" w:type="dxa"/>
              <w:end w:w="0" w:type="dxa"/>
            </w:tcMar>
          </w:tcPr>
          <w:p>
            <w:pPr>
              <w:autoSpaceDN w:val="0"/>
              <w:autoSpaceDE w:val="0"/>
              <w:widowControl/>
              <w:spacing w:line="233" w:lineRule="auto" w:before="32" w:after="0"/>
              <w:ind w:left="222" w:right="0" w:firstLine="0"/>
              <w:jc w:val="left"/>
            </w:pPr>
            <w:r>
              <w:rPr>
                <w:rFonts w:ascii="Arial" w:hAnsi="Arial" w:eastAsia="Arial"/>
                <w:b w:val="0"/>
                <w:i w:val="0"/>
                <w:color w:val="000000"/>
                <w:sz w:val="18"/>
              </w:rPr>
              <w:t>21,345,025,732</w:t>
            </w:r>
          </w:p>
        </w:tc>
        <w:tc>
          <w:tcPr>
            <w:tcW w:type="dxa" w:w="181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32" w:after="0"/>
              <w:ind w:left="0" w:right="118" w:firstLine="0"/>
              <w:jc w:val="right"/>
            </w:pPr>
            <w:r>
              <w:rPr>
                <w:rFonts w:ascii="Arial" w:hAnsi="Arial" w:eastAsia="Arial"/>
                <w:b w:val="0"/>
                <w:i w:val="0"/>
                <w:color w:val="000000"/>
                <w:sz w:val="18"/>
              </w:rPr>
              <w:t xml:space="preserve">514,038,195 </w:t>
            </w:r>
          </w:p>
        </w:tc>
        <w:tc>
          <w:tcPr>
            <w:tcW w:type="dxa" w:w="1474"/>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250,000,000</w:t>
            </w:r>
          </w:p>
        </w:tc>
        <w:tc>
          <w:tcPr>
            <w:tcW w:type="dxa" w:w="1812"/>
            <w:tcBorders/>
            <w:tcMar>
              <w:start w:w="0" w:type="dxa"/>
              <w:end w:w="0" w:type="dxa"/>
            </w:tcMar>
          </w:tcPr>
          <w:p>
            <w:pPr>
              <w:autoSpaceDN w:val="0"/>
              <w:autoSpaceDE w:val="0"/>
              <w:widowControl/>
              <w:spacing w:line="233" w:lineRule="auto" w:before="32"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110,640,801</w:t>
            </w:r>
          </w:p>
        </w:tc>
        <w:tc>
          <w:tcPr>
            <w:tcW w:type="dxa" w:w="1982"/>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22,219,704,728</w:t>
            </w:r>
          </w:p>
        </w:tc>
      </w:tr>
      <w:tr>
        <w:trPr>
          <w:trHeight w:hRule="exact" w:val="200"/>
        </w:trPr>
        <w:tc>
          <w:tcPr>
            <w:tcW w:type="dxa" w:w="2298"/>
            <w:tcBorders/>
            <w:tcMar>
              <w:start w:w="0" w:type="dxa"/>
              <w:end w:w="0" w:type="dxa"/>
            </w:tcMar>
          </w:tcPr>
          <w:p>
            <w:pPr>
              <w:autoSpaceDN w:val="0"/>
              <w:autoSpaceDE w:val="0"/>
              <w:widowControl/>
              <w:spacing w:line="180" w:lineRule="exact" w:before="10" w:after="0"/>
              <w:ind w:left="180" w:right="0" w:firstLine="0"/>
              <w:jc w:val="left"/>
            </w:pPr>
            <w:r>
              <w:rPr>
                <w:rFonts w:ascii="黑体" w:hAnsi="黑体" w:eastAsia="黑体"/>
                <w:b w:val="0"/>
                <w:i w:val="0"/>
                <w:color w:val="000000"/>
                <w:sz w:val="18"/>
              </w:rPr>
              <w:t>结算备付金</w:t>
            </w:r>
          </w:p>
        </w:tc>
        <w:tc>
          <w:tcPr>
            <w:tcW w:type="dxa" w:w="1474"/>
            <w:tcBorders/>
            <w:tcMar>
              <w:start w:w="0" w:type="dxa"/>
              <w:end w:w="0" w:type="dxa"/>
            </w:tcMar>
          </w:tcPr>
          <w:p>
            <w:pPr>
              <w:autoSpaceDN w:val="0"/>
              <w:autoSpaceDE w:val="0"/>
              <w:widowControl/>
              <w:spacing w:line="235" w:lineRule="auto" w:before="0" w:after="0"/>
              <w:ind w:left="320" w:right="0" w:firstLine="0"/>
              <w:jc w:val="left"/>
            </w:pPr>
            <w:r>
              <w:rPr>
                <w:rFonts w:ascii="Arial" w:hAnsi="Arial" w:eastAsia="Arial"/>
                <w:b w:val="0"/>
                <w:i w:val="0"/>
                <w:color w:val="000000"/>
                <w:sz w:val="18"/>
              </w:rPr>
              <w:t>2,589,327,536</w:t>
            </w:r>
          </w:p>
        </w:tc>
        <w:tc>
          <w:tcPr>
            <w:tcW w:type="dxa" w:w="181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0" w:after="0"/>
              <w:ind w:left="0" w:right="118"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45,735,702</w:t>
            </w:r>
          </w:p>
        </w:tc>
        <w:tc>
          <w:tcPr>
            <w:tcW w:type="dxa" w:w="1982"/>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2,635,063,238</w:t>
            </w:r>
          </w:p>
        </w:tc>
      </w:tr>
      <w:tr>
        <w:trPr>
          <w:trHeight w:hRule="exact" w:val="220"/>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融出资金</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482,307,973</w:t>
            </w:r>
          </w:p>
        </w:tc>
        <w:tc>
          <w:tcPr>
            <w:tcW w:type="dxa" w:w="181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2,099,875,927</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322" w:right="0" w:firstLine="0"/>
              <w:jc w:val="left"/>
            </w:pPr>
            <w:r>
              <w:rPr>
                <w:rFonts w:ascii="Arial" w:hAnsi="Arial" w:eastAsia="Arial"/>
                <w:b w:val="0"/>
                <w:i w:val="0"/>
                <w:color w:val="000000"/>
                <w:sz w:val="18"/>
              </w:rPr>
              <w:t xml:space="preserve">4,181,829,900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346,876</w:t>
            </w:r>
          </w:p>
        </w:tc>
        <w:tc>
          <w:tcPr>
            <w:tcW w:type="dxa" w:w="1982"/>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6,764,360,676</w:t>
            </w:r>
          </w:p>
        </w:tc>
      </w:tr>
      <w:tr>
        <w:trPr>
          <w:trHeight w:hRule="exact" w:val="48"/>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8" w:after="0"/>
              <w:ind w:left="180" w:right="0" w:firstLine="0"/>
              <w:jc w:val="left"/>
            </w:pPr>
            <w:r>
              <w:rPr>
                <w:rFonts w:ascii="黑体" w:hAnsi="黑体" w:eastAsia="黑体"/>
                <w:b w:val="0"/>
                <w:i w:val="0"/>
                <w:color w:val="000000"/>
                <w:sz w:val="18"/>
              </w:rPr>
              <w:t>衍生金融资产</w:t>
            </w: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r>
      <w:tr>
        <w:trPr>
          <w:trHeight w:hRule="exact" w:val="192"/>
        </w:trPr>
        <w:tc>
          <w:tcPr>
            <w:tcW w:type="dxa" w:w="1749"/>
            <w:vMerge/>
            <w:tcBorders/>
          </w:tcP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w:t>
            </w:r>
          </w:p>
        </w:tc>
        <w:tc>
          <w:tcPr>
            <w:tcW w:type="dxa" w:w="1814"/>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118"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5" w:lineRule="auto" w:before="16"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171,766,410</w:t>
            </w:r>
          </w:p>
        </w:tc>
        <w:tc>
          <w:tcPr>
            <w:tcW w:type="dxa" w:w="1982"/>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171,766,410</w:t>
            </w:r>
          </w:p>
        </w:tc>
      </w:tr>
      <w:tr>
        <w:trPr>
          <w:trHeight w:hRule="exact" w:val="42"/>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2" w:after="0"/>
              <w:ind w:left="180" w:right="0" w:firstLine="0"/>
              <w:jc w:val="left"/>
            </w:pPr>
            <w:r>
              <w:rPr>
                <w:rFonts w:ascii="黑体" w:hAnsi="黑体" w:eastAsia="黑体"/>
                <w:b w:val="0"/>
                <w:i w:val="0"/>
                <w:color w:val="000000"/>
                <w:sz w:val="18"/>
              </w:rPr>
              <w:t>买入返售金融资产</w:t>
            </w: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r>
      <w:tr>
        <w:trPr>
          <w:trHeight w:hRule="exact" w:val="198"/>
        </w:trPr>
        <w:tc>
          <w:tcPr>
            <w:tcW w:type="dxa" w:w="1749"/>
            <w:vMerge/>
            <w:tcBorders/>
          </w:tcP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819,464,050</w:t>
            </w:r>
          </w:p>
        </w:tc>
        <w:tc>
          <w:tcPr>
            <w:tcW w:type="dxa" w:w="181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126,447,418</w:t>
            </w:r>
          </w:p>
        </w:tc>
        <w:tc>
          <w:tcPr>
            <w:tcW w:type="dxa" w:w="1642"/>
            <w:tcBorders/>
            <w:tcMar>
              <w:start w:w="0" w:type="dxa"/>
              <w:end w:w="0" w:type="dxa"/>
            </w:tcMar>
          </w:tcPr>
          <w:p>
            <w:pPr>
              <w:autoSpaceDN w:val="0"/>
              <w:autoSpaceDE w:val="0"/>
              <w:widowControl/>
              <w:spacing w:line="233" w:lineRule="auto" w:before="0" w:after="0"/>
              <w:ind w:left="0" w:right="118" w:firstLine="0"/>
              <w:jc w:val="right"/>
            </w:pPr>
            <w:r>
              <w:rPr>
                <w:rFonts w:ascii="Arial" w:hAnsi="Arial" w:eastAsia="Arial"/>
                <w:b w:val="0"/>
                <w:i w:val="0"/>
                <w:color w:val="000000"/>
                <w:sz w:val="18"/>
              </w:rPr>
              <w:t xml:space="preserve">967,312,386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3,017,535</w:t>
            </w:r>
          </w:p>
        </w:tc>
        <w:tc>
          <w:tcPr>
            <w:tcW w:type="dxa" w:w="1982"/>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1,916,241,389</w:t>
            </w:r>
          </w:p>
        </w:tc>
      </w:tr>
      <w:tr>
        <w:trPr>
          <w:trHeight w:hRule="exact" w:val="240"/>
        </w:trPr>
        <w:tc>
          <w:tcPr>
            <w:tcW w:type="dxa" w:w="2298"/>
            <w:tcBorders/>
            <w:tcMar>
              <w:start w:w="0" w:type="dxa"/>
              <w:end w:w="0" w:type="dxa"/>
            </w:tcMar>
          </w:tcPr>
          <w:p>
            <w:pPr>
              <w:autoSpaceDN w:val="0"/>
              <w:autoSpaceDE w:val="0"/>
              <w:widowControl/>
              <w:spacing w:line="180" w:lineRule="exact" w:before="46" w:after="0"/>
              <w:ind w:left="180" w:right="0" w:firstLine="0"/>
              <w:jc w:val="left"/>
            </w:pPr>
            <w:r>
              <w:rPr>
                <w:rFonts w:ascii="黑体" w:hAnsi="黑体" w:eastAsia="黑体"/>
                <w:b w:val="0"/>
                <w:i w:val="0"/>
                <w:color w:val="000000"/>
                <w:sz w:val="18"/>
              </w:rPr>
              <w:t>应收款项</w:t>
            </w:r>
          </w:p>
        </w:tc>
        <w:tc>
          <w:tcPr>
            <w:tcW w:type="dxa" w:w="1474"/>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w:t>
            </w:r>
          </w:p>
        </w:tc>
        <w:tc>
          <w:tcPr>
            <w:tcW w:type="dxa" w:w="1814"/>
            <w:tcBorders/>
            <w:tcMar>
              <w:start w:w="0" w:type="dxa"/>
              <w:end w:w="0" w:type="dxa"/>
            </w:tcMar>
          </w:tcPr>
          <w:p>
            <w:pPr>
              <w:autoSpaceDN w:val="0"/>
              <w:autoSpaceDE w:val="0"/>
              <w:widowControl/>
              <w:spacing w:line="235" w:lineRule="auto" w:before="38"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38" w:after="0"/>
              <w:ind w:left="0" w:right="118"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5" w:lineRule="auto" w:before="38"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120,309,332</w:t>
            </w:r>
          </w:p>
        </w:tc>
        <w:tc>
          <w:tcPr>
            <w:tcW w:type="dxa" w:w="1982"/>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120,309,332</w:t>
            </w:r>
          </w:p>
        </w:tc>
      </w:tr>
      <w:tr>
        <w:trPr>
          <w:trHeight w:hRule="exact" w:val="220"/>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存出保证金</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46" w:after="0"/>
              <w:ind w:left="320" w:right="0" w:firstLine="0"/>
              <w:jc w:val="left"/>
            </w:pPr>
            <w:r>
              <w:rPr>
                <w:rFonts w:ascii="Arial" w:hAnsi="Arial" w:eastAsia="Arial"/>
                <w:b w:val="0"/>
                <w:i w:val="0"/>
                <w:color w:val="000000"/>
                <w:sz w:val="18"/>
              </w:rPr>
              <w:t>1,590,233,475</w:t>
            </w:r>
          </w:p>
        </w:tc>
        <w:tc>
          <w:tcPr>
            <w:tcW w:type="dxa" w:w="1814"/>
            <w:vMerge w:val="restart"/>
            <w:tcBorders/>
            <w:tcMar>
              <w:start w:w="0" w:type="dxa"/>
              <w:end w:w="0" w:type="dxa"/>
            </w:tcMar>
            <w:tcMar>
              <w:start w:w="0" w:type="dxa"/>
              <w:end w:w="0" w:type="dxa"/>
            </w:tcMar>
          </w:tcPr>
          <w:p>
            <w:pPr>
              <w:autoSpaceDN w:val="0"/>
              <w:autoSpaceDE w:val="0"/>
              <w:widowControl/>
              <w:spacing w:line="233" w:lineRule="auto" w:before="46"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46" w:after="0"/>
              <w:ind w:left="0" w:right="118"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46" w:after="0"/>
              <w:ind w:left="0" w:right="120"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46" w:after="0"/>
              <w:ind w:left="322" w:right="0" w:firstLine="0"/>
              <w:jc w:val="left"/>
            </w:pPr>
            <w:r>
              <w:rPr>
                <w:rFonts w:ascii="Arial" w:hAnsi="Arial" w:eastAsia="Arial"/>
                <w:b w:val="0"/>
                <w:i w:val="0"/>
                <w:color w:val="000000"/>
                <w:sz w:val="18"/>
              </w:rPr>
              <w:t>2,639,200,856</w:t>
            </w:r>
          </w:p>
        </w:tc>
        <w:tc>
          <w:tcPr>
            <w:tcW w:type="dxa" w:w="1982"/>
            <w:vMerge w:val="restart"/>
            <w:tcBorders/>
            <w:tcMar>
              <w:start w:w="0" w:type="dxa"/>
              <w:end w:w="0" w:type="dxa"/>
            </w:tcMar>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8"/>
              </w:rPr>
              <w:t>4,229,434,331</w:t>
            </w:r>
          </w:p>
        </w:tc>
      </w:tr>
      <w:tr>
        <w:trPr>
          <w:trHeight w:hRule="exact" w:val="42"/>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2" w:after="0"/>
              <w:ind w:left="180" w:right="0" w:firstLine="0"/>
              <w:jc w:val="left"/>
            </w:pPr>
            <w:r>
              <w:rPr>
                <w:rFonts w:ascii="黑体" w:hAnsi="黑体" w:eastAsia="黑体"/>
                <w:b w:val="0"/>
                <w:i w:val="0"/>
                <w:color w:val="000000"/>
                <w:sz w:val="18"/>
              </w:rPr>
              <w:t>交易性金融资产</w:t>
            </w: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r>
      <w:tr>
        <w:trPr>
          <w:trHeight w:hRule="exact" w:val="198"/>
        </w:trPr>
        <w:tc>
          <w:tcPr>
            <w:tcW w:type="dxa" w:w="1749"/>
            <w:vMerge/>
            <w:tcBorders/>
          </w:tcPr>
          <w:p/>
        </w:tc>
        <w:tc>
          <w:tcPr>
            <w:tcW w:type="dxa" w:w="147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849,523,965</w:t>
            </w:r>
          </w:p>
        </w:tc>
        <w:tc>
          <w:tcPr>
            <w:tcW w:type="dxa" w:w="181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316,698,968</w:t>
            </w:r>
          </w:p>
        </w:tc>
        <w:tc>
          <w:tcPr>
            <w:tcW w:type="dxa" w:w="1642"/>
            <w:tcBorders/>
            <w:tcMar>
              <w:start w:w="0" w:type="dxa"/>
              <w:end w:w="0" w:type="dxa"/>
            </w:tcMar>
          </w:tcPr>
          <w:p>
            <w:pPr>
              <w:autoSpaceDN w:val="0"/>
              <w:autoSpaceDE w:val="0"/>
              <w:widowControl/>
              <w:spacing w:line="235" w:lineRule="auto" w:before="0" w:after="0"/>
              <w:ind w:left="322" w:right="0" w:firstLine="0"/>
              <w:jc w:val="left"/>
            </w:pPr>
            <w:r>
              <w:rPr>
                <w:rFonts w:ascii="Arial" w:hAnsi="Arial" w:eastAsia="Arial"/>
                <w:b w:val="0"/>
                <w:i w:val="0"/>
                <w:color w:val="000000"/>
                <w:sz w:val="18"/>
              </w:rPr>
              <w:t xml:space="preserve">2,489,806,831 </w:t>
            </w:r>
          </w:p>
        </w:tc>
        <w:tc>
          <w:tcPr>
            <w:tcW w:type="dxa" w:w="1474"/>
            <w:tcBorders/>
            <w:tcMar>
              <w:start w:w="0" w:type="dxa"/>
              <w:end w:w="0" w:type="dxa"/>
            </w:tcMar>
          </w:tcPr>
          <w:p>
            <w:pPr>
              <w:autoSpaceDN w:val="0"/>
              <w:autoSpaceDE w:val="0"/>
              <w:widowControl/>
              <w:spacing w:line="235" w:lineRule="auto" w:before="0" w:after="0"/>
              <w:ind w:left="222" w:right="0" w:firstLine="0"/>
              <w:jc w:val="left"/>
            </w:pPr>
            <w:r>
              <w:rPr>
                <w:rFonts w:ascii="Arial" w:hAnsi="Arial" w:eastAsia="Arial"/>
                <w:b w:val="0"/>
                <w:i w:val="0"/>
                <w:color w:val="000000"/>
                <w:sz w:val="18"/>
              </w:rPr>
              <w:t>10,795,399,293</w:t>
            </w:r>
          </w:p>
        </w:tc>
        <w:tc>
          <w:tcPr>
            <w:tcW w:type="dxa" w:w="1812"/>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9,736,598,570 </w:t>
            </w:r>
          </w:p>
        </w:tc>
        <w:tc>
          <w:tcPr>
            <w:tcW w:type="dxa" w:w="1474"/>
            <w:tcBorders/>
            <w:tcMar>
              <w:start w:w="0" w:type="dxa"/>
              <w:end w:w="0" w:type="dxa"/>
            </w:tcMar>
          </w:tcPr>
          <w:p>
            <w:pPr>
              <w:autoSpaceDN w:val="0"/>
              <w:autoSpaceDE w:val="0"/>
              <w:widowControl/>
              <w:spacing w:line="235" w:lineRule="auto" w:before="0" w:after="0"/>
              <w:ind w:left="224" w:right="0" w:firstLine="0"/>
              <w:jc w:val="left"/>
            </w:pPr>
            <w:r>
              <w:rPr>
                <w:rFonts w:ascii="Arial" w:hAnsi="Arial" w:eastAsia="Arial"/>
                <w:b w:val="0"/>
                <w:i w:val="0"/>
                <w:color w:val="000000"/>
                <w:sz w:val="18"/>
              </w:rPr>
              <w:t>12,734,086,674</w:t>
            </w:r>
          </w:p>
        </w:tc>
        <w:tc>
          <w:tcPr>
            <w:tcW w:type="dxa" w:w="1982"/>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36,922,114,301</w:t>
            </w:r>
          </w:p>
        </w:tc>
      </w:tr>
      <w:tr>
        <w:trPr>
          <w:trHeight w:hRule="exact" w:val="220"/>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债权投资</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18" w:firstLine="0"/>
              <w:jc w:val="right"/>
            </w:pPr>
            <w:r>
              <w:rPr>
                <w:rFonts w:ascii="Arial" w:hAnsi="Arial" w:eastAsia="Arial"/>
                <w:b w:val="0"/>
                <w:i w:val="0"/>
                <w:color w:val="000000"/>
                <w:sz w:val="18"/>
              </w:rPr>
              <w:t xml:space="preserve">-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2"/>
            <w:vMerge w:val="restart"/>
            <w:tcBorders/>
            <w:tcMar>
              <w:start w:w="0" w:type="dxa"/>
              <w:end w:w="0" w:type="dxa"/>
            </w:tcMar>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29,141,162 </w:t>
            </w:r>
          </w:p>
        </w:tc>
        <w:tc>
          <w:tcPr>
            <w:tcW w:type="dxa" w:w="147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982"/>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29,141,162</w:t>
            </w:r>
          </w:p>
        </w:tc>
      </w:tr>
      <w:tr>
        <w:trPr>
          <w:trHeight w:hRule="exact" w:val="50"/>
        </w:trPr>
        <w:tc>
          <w:tcPr>
            <w:tcW w:type="dxa" w:w="2298"/>
            <w:vMerge w:val="restart"/>
            <w:tcBorders/>
            <w:tcMar>
              <w:start w:w="0" w:type="dxa"/>
              <w:end w:w="0" w:type="dxa"/>
            </w:tcMar>
            <w:tcMar>
              <w:start w:w="0" w:type="dxa"/>
              <w:end w:w="0" w:type="dxa"/>
            </w:tcMar>
          </w:tcPr>
          <w:p>
            <w:pPr>
              <w:autoSpaceDN w:val="0"/>
              <w:autoSpaceDE w:val="0"/>
              <w:widowControl/>
              <w:spacing w:line="180" w:lineRule="exact" w:before="60" w:after="0"/>
              <w:ind w:left="180" w:right="0" w:firstLine="0"/>
              <w:jc w:val="left"/>
            </w:pPr>
            <w:r>
              <w:rPr>
                <w:rFonts w:ascii="黑体" w:hAnsi="黑体" w:eastAsia="黑体"/>
                <w:b w:val="0"/>
                <w:i w:val="0"/>
                <w:color w:val="000000"/>
                <w:sz w:val="18"/>
              </w:rPr>
              <w:t>其他债权投资</w:t>
            </w: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r>
      <w:tr>
        <w:trPr>
          <w:trHeight w:hRule="exact" w:val="190"/>
        </w:trPr>
        <w:tc>
          <w:tcPr>
            <w:tcW w:type="dxa" w:w="1749"/>
            <w:vMerge/>
            <w:tcBorders/>
          </w:tcP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w:t>
            </w:r>
          </w:p>
        </w:tc>
        <w:tc>
          <w:tcPr>
            <w:tcW w:type="dxa" w:w="1814"/>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118" w:firstLine="0"/>
              <w:jc w:val="right"/>
            </w:pPr>
            <w:r>
              <w:rPr>
                <w:rFonts w:ascii="Arial" w:hAnsi="Arial" w:eastAsia="Arial"/>
                <w:b w:val="0"/>
                <w:i w:val="0"/>
                <w:color w:val="000000"/>
                <w:sz w:val="18"/>
              </w:rPr>
              <w:t xml:space="preserve">9,564,240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58,137,341</w:t>
            </w:r>
          </w:p>
        </w:tc>
        <w:tc>
          <w:tcPr>
            <w:tcW w:type="dxa" w:w="1812"/>
            <w:vMerge w:val="restart"/>
            <w:tcBorders/>
            <w:tcMar>
              <w:start w:w="0" w:type="dxa"/>
              <w:end w:w="0" w:type="dxa"/>
            </w:tcMar>
            <w:tcMar>
              <w:start w:w="0" w:type="dxa"/>
              <w:end w:w="0" w:type="dxa"/>
            </w:tcMar>
          </w:tcPr>
          <w:p>
            <w:pPr>
              <w:autoSpaceDN w:val="0"/>
              <w:autoSpaceDE w:val="0"/>
              <w:widowControl/>
              <w:spacing w:line="235" w:lineRule="auto" w:before="16" w:after="0"/>
              <w:ind w:left="0" w:right="120" w:firstLine="0"/>
              <w:jc w:val="right"/>
            </w:pPr>
            <w:r>
              <w:rPr>
                <w:rFonts w:ascii="Arial" w:hAnsi="Arial" w:eastAsia="Arial"/>
                <w:b w:val="0"/>
                <w:i w:val="0"/>
                <w:color w:val="000000"/>
                <w:sz w:val="18"/>
              </w:rPr>
              <w:t xml:space="preserve">750 </w:t>
            </w:r>
          </w:p>
        </w:tc>
        <w:tc>
          <w:tcPr>
            <w:tcW w:type="dxa" w:w="147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22,165,120</w:t>
            </w:r>
          </w:p>
        </w:tc>
        <w:tc>
          <w:tcPr>
            <w:tcW w:type="dxa" w:w="1982"/>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89,867,451</w:t>
            </w:r>
          </w:p>
        </w:tc>
      </w:tr>
      <w:tr>
        <w:trPr>
          <w:trHeight w:hRule="exact" w:val="44"/>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4" w:after="0"/>
              <w:ind w:left="180" w:right="0" w:firstLine="0"/>
              <w:jc w:val="left"/>
            </w:pPr>
            <w:r>
              <w:rPr>
                <w:rFonts w:ascii="黑体" w:hAnsi="黑体" w:eastAsia="黑体"/>
                <w:b w:val="0"/>
                <w:i w:val="0"/>
                <w:color w:val="000000"/>
                <w:sz w:val="18"/>
              </w:rPr>
              <w:t>其他权益工具投资</w:t>
            </w: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c>
          <w:tcPr>
            <w:tcW w:type="dxa" w:w="1749"/>
            <w:vMerge/>
            <w:tcBorders/>
          </w:tcPr>
          <w:p/>
        </w:tc>
      </w:tr>
      <w:tr>
        <w:trPr>
          <w:trHeight w:hRule="exact" w:val="196"/>
        </w:trPr>
        <w:tc>
          <w:tcPr>
            <w:tcW w:type="dxa" w:w="1749"/>
            <w:vMerge/>
            <w:tcBorders/>
          </w:tcP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w:t>
            </w:r>
          </w:p>
        </w:tc>
        <w:tc>
          <w:tcPr>
            <w:tcW w:type="dxa" w:w="181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0" w:after="0"/>
              <w:ind w:left="0" w:right="118"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w:t>
            </w:r>
          </w:p>
        </w:tc>
        <w:tc>
          <w:tcPr>
            <w:tcW w:type="dxa" w:w="1812"/>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 </w:t>
            </w:r>
          </w:p>
        </w:tc>
        <w:tc>
          <w:tcPr>
            <w:tcW w:type="dxa" w:w="147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235,315,501</w:t>
            </w:r>
          </w:p>
        </w:tc>
        <w:tc>
          <w:tcPr>
            <w:tcW w:type="dxa" w:w="1982"/>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235,315,501</w:t>
            </w:r>
          </w:p>
        </w:tc>
      </w:tr>
      <w:tr>
        <w:trPr>
          <w:trHeight w:hRule="exact" w:val="258"/>
        </w:trPr>
        <w:tc>
          <w:tcPr>
            <w:tcW w:type="dxa" w:w="2298"/>
            <w:tcBorders>
              <w:bottom w:sz="3.200000000000273" w:val="single" w:color="#000000"/>
            </w:tcBorders>
            <w:tcMar>
              <w:start w:w="0" w:type="dxa"/>
              <w:end w:w="0" w:type="dxa"/>
            </w:tcMar>
          </w:tcPr>
          <w:p>
            <w:pPr>
              <w:autoSpaceDN w:val="0"/>
              <w:autoSpaceDE w:val="0"/>
              <w:widowControl/>
              <w:spacing w:line="180" w:lineRule="exact" w:before="46" w:after="0"/>
              <w:ind w:left="180" w:right="0" w:firstLine="0"/>
              <w:jc w:val="left"/>
            </w:pPr>
            <w:r>
              <w:rPr>
                <w:rFonts w:ascii="黑体" w:hAnsi="黑体" w:eastAsia="黑体"/>
                <w:b w:val="0"/>
                <w:i w:val="0"/>
                <w:color w:val="000000"/>
                <w:sz w:val="18"/>
              </w:rPr>
              <w:t>其他金融资产</w:t>
            </w:r>
          </w:p>
        </w:tc>
        <w:tc>
          <w:tcPr>
            <w:tcW w:type="dxa" w:w="1474"/>
            <w:tcBorders>
              <w:bottom w:sz="3.200000000000273"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4"/>
            <w:tcBorders>
              <w:bottom w:sz="3.200000000000273" w:val="single" w:color="#000000"/>
            </w:tcBorders>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2"/>
            <w:tcBorders>
              <w:bottom w:sz="3.200000000000273" w:val="single" w:color="#000000"/>
            </w:tcBorders>
            <w:tcMar>
              <w:start w:w="0" w:type="dxa"/>
              <w:end w:w="0" w:type="dxa"/>
            </w:tcMar>
          </w:tcPr>
          <w:p>
            <w:pPr>
              <w:autoSpaceDN w:val="0"/>
              <w:autoSpaceDE w:val="0"/>
              <w:widowControl/>
              <w:spacing w:line="233" w:lineRule="auto" w:before="52" w:after="0"/>
              <w:ind w:left="0" w:right="118" w:firstLine="0"/>
              <w:jc w:val="right"/>
            </w:pPr>
            <w:r>
              <w:rPr>
                <w:rFonts w:ascii="Arial" w:hAnsi="Arial" w:eastAsia="Arial"/>
                <w:b w:val="0"/>
                <w:i w:val="0"/>
                <w:color w:val="000000"/>
                <w:sz w:val="18"/>
              </w:rPr>
              <w:t xml:space="preserve">- </w:t>
            </w:r>
          </w:p>
        </w:tc>
        <w:tc>
          <w:tcPr>
            <w:tcW w:type="dxa" w:w="1474"/>
            <w:tcBorders>
              <w:bottom w:sz="3.200000000000273"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w:t>
            </w:r>
          </w:p>
        </w:tc>
        <w:tc>
          <w:tcPr>
            <w:tcW w:type="dxa" w:w="1812"/>
            <w:tcBorders>
              <w:bottom w:sz="3.200000000000273" w:val="single" w:color="#000000"/>
            </w:tcBorders>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474"/>
            <w:tcBorders>
              <w:bottom w:sz="3.200000000000273"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170,975,630</w:t>
            </w:r>
          </w:p>
        </w:tc>
        <w:tc>
          <w:tcPr>
            <w:tcW w:type="dxa" w:w="1982"/>
            <w:tcBorders>
              <w:bottom w:sz="3.200000000000273"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170,975,630</w:t>
            </w:r>
          </w:p>
        </w:tc>
      </w:tr>
      <w:tr>
        <w:trPr>
          <w:trHeight w:hRule="exact" w:val="450"/>
        </w:trPr>
        <w:tc>
          <w:tcPr>
            <w:tcW w:type="dxa" w:w="2298"/>
            <w:tcBorders>
              <w:top w:sz="3.200000000000273" w:val="single" w:color="#000000"/>
              <w:bottom w:sz="4.0" w:val="single" w:color="#000000"/>
            </w:tcBorders>
            <w:tcMar>
              <w:start w:w="0" w:type="dxa"/>
              <w:end w:w="0" w:type="dxa"/>
            </w:tcMar>
          </w:tcPr>
          <w:p>
            <w:pPr>
              <w:autoSpaceDN w:val="0"/>
              <w:autoSpaceDE w:val="0"/>
              <w:widowControl/>
              <w:spacing w:line="180" w:lineRule="exact" w:before="236" w:after="0"/>
              <w:ind w:left="0" w:right="0" w:firstLine="0"/>
              <w:jc w:val="left"/>
            </w:pPr>
            <w:r>
              <w:rPr>
                <w:rFonts w:ascii="黑体" w:hAnsi="黑体" w:eastAsia="黑体"/>
                <w:b w:val="0"/>
                <w:i w:val="0"/>
                <w:color w:val="000000"/>
                <w:sz w:val="18"/>
              </w:rPr>
              <w:t>金融资产合计</w:t>
            </w:r>
          </w:p>
        </w:tc>
        <w:tc>
          <w:tcPr>
            <w:tcW w:type="dxa" w:w="147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22" w:right="0" w:firstLine="0"/>
              <w:jc w:val="left"/>
            </w:pPr>
            <w:r>
              <w:rPr>
                <w:rFonts w:ascii="Arial" w:hAnsi="Arial" w:eastAsia="Arial"/>
                <w:b w:val="0"/>
                <w:i w:val="0"/>
                <w:color w:val="000000"/>
                <w:sz w:val="18"/>
              </w:rPr>
              <w:t>27,675,882,731</w:t>
            </w:r>
          </w:p>
        </w:tc>
        <w:tc>
          <w:tcPr>
            <w:tcW w:type="dxa" w:w="181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0" w:right="170" w:firstLine="0"/>
              <w:jc w:val="right"/>
            </w:pPr>
            <w:r>
              <w:rPr>
                <w:rFonts w:ascii="Arial" w:hAnsi="Arial" w:eastAsia="Arial"/>
                <w:b w:val="0"/>
                <w:i w:val="0"/>
                <w:color w:val="000000"/>
                <w:sz w:val="18"/>
              </w:rPr>
              <w:t>2,543,022,313</w:t>
            </w:r>
          </w:p>
        </w:tc>
        <w:tc>
          <w:tcPr>
            <w:tcW w:type="dxa" w:w="164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322" w:right="0" w:firstLine="0"/>
              <w:jc w:val="left"/>
            </w:pPr>
            <w:r>
              <w:rPr>
                <w:rFonts w:ascii="Arial" w:hAnsi="Arial" w:eastAsia="Arial"/>
                <w:b w:val="0"/>
                <w:i w:val="0"/>
                <w:color w:val="000000"/>
                <w:sz w:val="18"/>
              </w:rPr>
              <w:t xml:space="preserve">8,162,551,552 </w:t>
            </w:r>
          </w:p>
        </w:tc>
        <w:tc>
          <w:tcPr>
            <w:tcW w:type="dxa" w:w="147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22" w:right="0" w:firstLine="0"/>
              <w:jc w:val="left"/>
            </w:pPr>
            <w:r>
              <w:rPr>
                <w:rFonts w:ascii="Arial" w:hAnsi="Arial" w:eastAsia="Arial"/>
                <w:b w:val="0"/>
                <w:i w:val="0"/>
                <w:color w:val="000000"/>
                <w:sz w:val="18"/>
              </w:rPr>
              <w:t>11,103,536,634</w:t>
            </w:r>
          </w:p>
        </w:tc>
        <w:tc>
          <w:tcPr>
            <w:tcW w:type="dxa" w:w="181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0" w:right="120" w:firstLine="0"/>
              <w:jc w:val="right"/>
            </w:pPr>
            <w:r>
              <w:rPr>
                <w:rFonts w:ascii="Arial" w:hAnsi="Arial" w:eastAsia="Arial"/>
                <w:b w:val="0"/>
                <w:i w:val="0"/>
                <w:color w:val="000000"/>
                <w:sz w:val="18"/>
              </w:rPr>
              <w:t xml:space="preserve">9,765,740,482 </w:t>
            </w:r>
          </w:p>
        </w:tc>
        <w:tc>
          <w:tcPr>
            <w:tcW w:type="dxa" w:w="147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24" w:right="0" w:firstLine="0"/>
              <w:jc w:val="left"/>
            </w:pPr>
            <w:r>
              <w:rPr>
                <w:rFonts w:ascii="Arial" w:hAnsi="Arial" w:eastAsia="Arial"/>
                <w:b w:val="0"/>
                <w:i w:val="0"/>
                <w:color w:val="000000"/>
                <w:sz w:val="18"/>
              </w:rPr>
              <w:t>16,253,560,437</w:t>
            </w:r>
          </w:p>
        </w:tc>
        <w:tc>
          <w:tcPr>
            <w:tcW w:type="dxa" w:w="198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0" w:right="0" w:firstLine="0"/>
              <w:jc w:val="right"/>
            </w:pPr>
            <w:r>
              <w:rPr>
                <w:rFonts w:ascii="Arial" w:hAnsi="Arial" w:eastAsia="Arial"/>
                <w:b w:val="0"/>
                <w:i w:val="0"/>
                <w:color w:val="000000"/>
                <w:sz w:val="18"/>
              </w:rPr>
              <w:t>75,504,294,149</w:t>
            </w:r>
          </w:p>
        </w:tc>
      </w:tr>
      <w:tr>
        <w:trPr>
          <w:trHeight w:hRule="exact" w:val="56"/>
        </w:trPr>
        <w:tc>
          <w:tcPr>
            <w:tcW w:type="dxa" w:w="2298"/>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1814"/>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1812"/>
            <w:tcBorders>
              <w:top w:sz="4.0" w:val="single" w:color="#000000"/>
            </w:tcBorders>
            <w:tcMar>
              <w:start w:w="0" w:type="dxa"/>
              <w:end w:w="0" w:type="dxa"/>
            </w:tcMar>
          </w:tcPr>
          <w:p/>
        </w:tc>
        <w:tc>
          <w:tcPr>
            <w:tcW w:type="dxa" w:w="1474"/>
            <w:tcBorders>
              <w:top w:sz="4.0" w:val="single" w:color="#000000"/>
            </w:tcBorders>
            <w:tcMar>
              <w:start w:w="0" w:type="dxa"/>
              <w:end w:w="0" w:type="dxa"/>
            </w:tcMar>
          </w:tcPr>
          <w:p/>
        </w:tc>
        <w:tc>
          <w:tcPr>
            <w:tcW w:type="dxa" w:w="1982"/>
            <w:tcBorders>
              <w:top w:sz="4.0" w:val="single" w:color="#000000"/>
            </w:tcBorders>
            <w:tcMar>
              <w:start w:w="0" w:type="dxa"/>
              <w:end w:w="0" w:type="dxa"/>
            </w:tcMar>
          </w:tcPr>
          <w:p/>
        </w:tc>
      </w:tr>
    </w:tbl>
    <w:p>
      <w:pPr>
        <w:autoSpaceDN w:val="0"/>
        <w:autoSpaceDE w:val="0"/>
        <w:widowControl/>
        <w:spacing w:line="233" w:lineRule="auto" w:before="3054" w:after="0"/>
        <w:ind w:left="0" w:right="0" w:firstLine="0"/>
        <w:jc w:val="center"/>
      </w:pPr>
      <w:r>
        <w:rPr>
          <w:rFonts w:ascii="Arial" w:hAnsi="Arial" w:eastAsia="Arial"/>
          <w:b w:val="0"/>
          <w:i w:val="0"/>
          <w:color w:val="000000"/>
          <w:sz w:val="20"/>
        </w:rPr>
        <w:t xml:space="preserve">286 </w:t>
      </w:r>
    </w:p>
    <w:p>
      <w:pPr>
        <w:sectPr>
          <w:pgSz w:w="16841" w:h="11899"/>
          <w:pgMar w:top="1166" w:right="1408"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672" w:val="left"/>
        </w:tabs>
        <w:autoSpaceDE w:val="0"/>
        <w:widowControl/>
        <w:spacing w:line="436" w:lineRule="exact" w:before="0" w:after="230"/>
        <w:ind w:left="0" w:right="10512"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3. </w:t>
      </w:r>
      <w:r>
        <w:rPr>
          <w:rFonts w:ascii="黑体" w:hAnsi="黑体" w:eastAsia="黑体"/>
          <w:b w:val="0"/>
          <w:i w:val="0"/>
          <w:color w:val="000000"/>
          <w:sz w:val="22"/>
        </w:rPr>
        <w:t>利率风险（续）</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利率重定价风险（续）</w:t>
      </w:r>
    </w:p>
    <w:tbl>
      <w:tblPr>
        <w:tblW w:type="auto" w:w="0"/>
        <w:tblLayout w:type="fixed"/>
        <w:tblLook w:firstColumn="1" w:firstRow="1" w:lastColumn="0" w:lastRow="0" w:noHBand="0" w:noVBand="1" w:val="04A0"/>
        <w:tblInd w:w="0.0" w:type="dxa"/>
      </w:tblPr>
      <w:tblGrid>
        <w:gridCol w:w="1763"/>
        <w:gridCol w:w="1763"/>
        <w:gridCol w:w="1763"/>
        <w:gridCol w:w="1763"/>
        <w:gridCol w:w="1763"/>
        <w:gridCol w:w="1763"/>
        <w:gridCol w:w="1763"/>
        <w:gridCol w:w="1763"/>
      </w:tblGrid>
      <w:tr>
        <w:trPr>
          <w:trHeight w:hRule="exact" w:val="258"/>
        </w:trPr>
        <w:tc>
          <w:tcPr>
            <w:tcW w:type="dxa" w:w="2220"/>
            <w:tcBorders>
              <w:bottom w:sz="4.0" w:val="single" w:color="#000000"/>
            </w:tcBorders>
            <w:tcMar>
              <w:start w:w="0" w:type="dxa"/>
              <w:end w:w="0" w:type="dxa"/>
            </w:tcMar>
          </w:tcPr>
          <w:p>
            <w:pPr>
              <w:autoSpaceDN w:val="0"/>
              <w:autoSpaceDE w:val="0"/>
              <w:widowControl/>
              <w:spacing w:line="202" w:lineRule="exact" w:before="50" w:after="0"/>
              <w:ind w:left="0" w:right="0" w:firstLine="0"/>
              <w:jc w:val="left"/>
            </w:pPr>
            <w:r>
              <w:rPr>
                <w:rFonts w:ascii="Arial" w:hAnsi="Arial" w:eastAsia="Arial"/>
                <w:b w:val="0"/>
                <w:i w:val="0"/>
                <w:color w:val="000000"/>
                <w:sz w:val="18"/>
              </w:rPr>
              <w:t>2023</w:t>
            </w:r>
            <w:r>
              <w:rPr>
                <w:rFonts w:ascii="黑体" w:hAnsi="黑体" w:eastAsia="黑体"/>
                <w:b w:val="0"/>
                <w:i w:val="0"/>
                <w:color w:val="000000"/>
                <w:sz w:val="18"/>
              </w:rPr>
              <w:t>年</w:t>
            </w:r>
            <w:r>
              <w:rPr>
                <w:rFonts w:ascii="Arial" w:hAnsi="Arial" w:eastAsia="Arial"/>
                <w:b w:val="0"/>
                <w:i w:val="0"/>
                <w:color w:val="000000"/>
                <w:sz w:val="18"/>
              </w:rPr>
              <w:t>12</w:t>
            </w:r>
            <w:r>
              <w:rPr>
                <w:rFonts w:ascii="黑体" w:hAnsi="黑体" w:eastAsia="黑体"/>
                <w:b w:val="0"/>
                <w:i w:val="0"/>
                <w:color w:val="000000"/>
                <w:sz w:val="18"/>
              </w:rPr>
              <w:t>月</w:t>
            </w:r>
            <w:r>
              <w:rPr>
                <w:rFonts w:ascii="Arial" w:hAnsi="Arial" w:eastAsia="Arial"/>
                <w:b w:val="0"/>
                <w:i w:val="0"/>
                <w:color w:val="000000"/>
                <w:sz w:val="18"/>
              </w:rPr>
              <w:t>31</w:t>
            </w:r>
            <w:r>
              <w:rPr>
                <w:rFonts w:ascii="黑体" w:hAnsi="黑体" w:eastAsia="黑体"/>
                <w:b w:val="0"/>
                <w:i w:val="0"/>
                <w:color w:val="000000"/>
                <w:sz w:val="18"/>
              </w:rPr>
              <w:t>日</w:t>
            </w:r>
          </w:p>
        </w:tc>
        <w:tc>
          <w:tcPr>
            <w:tcW w:type="dxa" w:w="1820"/>
            <w:tcBorders>
              <w:bottom w:sz="4.0" w:val="single" w:color="#000000"/>
            </w:tcBorders>
            <w:tcMar>
              <w:start w:w="0" w:type="dxa"/>
              <w:end w:w="0" w:type="dxa"/>
            </w:tcMar>
          </w:tcPr>
          <w:p>
            <w:pPr>
              <w:autoSpaceDN w:val="0"/>
              <w:autoSpaceDE w:val="0"/>
              <w:widowControl/>
              <w:spacing w:line="202" w:lineRule="exact" w:before="50" w:after="0"/>
              <w:ind w:left="0" w:right="268" w:firstLine="0"/>
              <w:jc w:val="right"/>
            </w:pPr>
            <w:r>
              <w:rPr>
                <w:rFonts w:ascii="Arial" w:hAnsi="Arial" w:eastAsia="Arial"/>
                <w:b w:val="0"/>
                <w:i w:val="0"/>
                <w:color w:val="000000"/>
                <w:sz w:val="18"/>
              </w:rPr>
              <w:t>1</w:t>
            </w:r>
            <w:r>
              <w:rPr>
                <w:rFonts w:ascii="黑体" w:hAnsi="黑体" w:eastAsia="黑体"/>
                <w:b w:val="0"/>
                <w:i w:val="0"/>
                <w:color w:val="000000"/>
                <w:sz w:val="18"/>
              </w:rPr>
              <w:t>个月内</w:t>
            </w:r>
          </w:p>
        </w:tc>
        <w:tc>
          <w:tcPr>
            <w:tcW w:type="dxa" w:w="172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个月至</w:t>
            </w:r>
            <w:r>
              <w:rPr>
                <w:rFonts w:ascii="Arial" w:hAnsi="Arial" w:eastAsia="Arial"/>
                <w:b w:val="0"/>
                <w:i w:val="0"/>
                <w:color w:val="000000"/>
                <w:sz w:val="18"/>
              </w:rPr>
              <w:t>3</w:t>
            </w:r>
            <w:r>
              <w:rPr>
                <w:rFonts w:ascii="黑体" w:hAnsi="黑体" w:eastAsia="黑体"/>
                <w:b w:val="0"/>
                <w:i w:val="0"/>
                <w:color w:val="000000"/>
                <w:sz w:val="18"/>
              </w:rPr>
              <w:t>个月</w:t>
            </w:r>
          </w:p>
        </w:tc>
        <w:tc>
          <w:tcPr>
            <w:tcW w:type="dxa" w:w="174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3</w:t>
            </w:r>
            <w:r>
              <w:rPr>
                <w:rFonts w:ascii="黑体" w:hAnsi="黑体" w:eastAsia="黑体"/>
                <w:b w:val="0"/>
                <w:i w:val="0"/>
                <w:color w:val="000000"/>
                <w:sz w:val="18"/>
              </w:rPr>
              <w:t>个月至</w:t>
            </w:r>
            <w:r>
              <w:rPr>
                <w:rFonts w:ascii="Arial" w:hAnsi="Arial" w:eastAsia="Arial"/>
                <w:b w:val="0"/>
                <w:i w:val="0"/>
                <w:color w:val="000000"/>
                <w:sz w:val="18"/>
              </w:rPr>
              <w:t>1</w:t>
            </w:r>
            <w:r>
              <w:rPr>
                <w:rFonts w:ascii="黑体" w:hAnsi="黑体" w:eastAsia="黑体"/>
                <w:b w:val="0"/>
                <w:i w:val="0"/>
                <w:color w:val="000000"/>
                <w:sz w:val="18"/>
              </w:rPr>
              <w:t>年</w:t>
            </w:r>
          </w:p>
        </w:tc>
        <w:tc>
          <w:tcPr>
            <w:tcW w:type="dxa" w:w="1700"/>
            <w:tcBorders>
              <w:bottom w:sz="4.0" w:val="single" w:color="#000000"/>
            </w:tcBorders>
            <w:tcMar>
              <w:start w:w="0" w:type="dxa"/>
              <w:end w:w="0" w:type="dxa"/>
            </w:tcMar>
          </w:tcPr>
          <w:p>
            <w:pPr>
              <w:autoSpaceDN w:val="0"/>
              <w:autoSpaceDE w:val="0"/>
              <w:widowControl/>
              <w:spacing w:line="202" w:lineRule="exact" w:before="50" w:after="0"/>
              <w:ind w:left="0" w:right="0" w:firstLine="0"/>
              <w:jc w:val="center"/>
            </w:pPr>
            <w:r>
              <w:rPr>
                <w:rFonts w:ascii="Arial" w:hAnsi="Arial" w:eastAsia="Arial"/>
                <w:b w:val="0"/>
                <w:i w:val="0"/>
                <w:color w:val="000000"/>
                <w:sz w:val="18"/>
              </w:rPr>
              <w:t>1</w:t>
            </w:r>
            <w:r>
              <w:rPr>
                <w:rFonts w:ascii="黑体" w:hAnsi="黑体" w:eastAsia="黑体"/>
                <w:b w:val="0"/>
                <w:i w:val="0"/>
                <w:color w:val="000000"/>
                <w:sz w:val="18"/>
              </w:rPr>
              <w:t>年至</w:t>
            </w:r>
            <w:r>
              <w:rPr>
                <w:rFonts w:ascii="Arial" w:hAnsi="Arial" w:eastAsia="Arial"/>
                <w:b w:val="0"/>
                <w:i w:val="0"/>
                <w:color w:val="000000"/>
                <w:sz w:val="18"/>
              </w:rPr>
              <w:t>5</w:t>
            </w:r>
            <w:r>
              <w:rPr>
                <w:rFonts w:ascii="黑体" w:hAnsi="黑体" w:eastAsia="黑体"/>
                <w:b w:val="0"/>
                <w:i w:val="0"/>
                <w:color w:val="000000"/>
                <w:sz w:val="18"/>
              </w:rPr>
              <w:t>年</w:t>
            </w:r>
          </w:p>
        </w:tc>
        <w:tc>
          <w:tcPr>
            <w:tcW w:type="dxa" w:w="2248"/>
            <w:tcBorders>
              <w:bottom w:sz="4.0" w:val="single" w:color="#000000"/>
            </w:tcBorders>
            <w:tcMar>
              <w:start w:w="0" w:type="dxa"/>
              <w:end w:w="0" w:type="dxa"/>
            </w:tcMar>
          </w:tcPr>
          <w:p>
            <w:pPr>
              <w:autoSpaceDN w:val="0"/>
              <w:autoSpaceDE w:val="0"/>
              <w:widowControl/>
              <w:spacing w:line="202" w:lineRule="exact" w:before="50" w:after="0"/>
              <w:ind w:left="502" w:right="0" w:firstLine="0"/>
              <w:jc w:val="left"/>
            </w:pPr>
            <w:r>
              <w:rPr>
                <w:rFonts w:ascii="Arial" w:hAnsi="Arial" w:eastAsia="Arial"/>
                <w:b w:val="0"/>
                <w:i w:val="0"/>
                <w:color w:val="000000"/>
                <w:sz w:val="18"/>
              </w:rPr>
              <w:t>5</w:t>
            </w:r>
            <w:r>
              <w:rPr>
                <w:rFonts w:ascii="黑体" w:hAnsi="黑体" w:eastAsia="黑体"/>
                <w:b w:val="0"/>
                <w:i w:val="0"/>
                <w:color w:val="000000"/>
                <w:sz w:val="18"/>
              </w:rPr>
              <w:t>年以上</w:t>
            </w:r>
          </w:p>
        </w:tc>
        <w:tc>
          <w:tcPr>
            <w:tcW w:type="dxa" w:w="540"/>
            <w:tcBorders>
              <w:bottom w:sz="4.0" w:val="single" w:color="#000000"/>
            </w:tcBorders>
            <w:tcMar>
              <w:start w:w="0" w:type="dxa"/>
              <w:end w:w="0" w:type="dxa"/>
            </w:tcMar>
          </w:tcPr>
          <w:p>
            <w:pPr>
              <w:autoSpaceDN w:val="0"/>
              <w:autoSpaceDE w:val="0"/>
              <w:widowControl/>
              <w:spacing w:line="180" w:lineRule="exact" w:before="70" w:after="0"/>
              <w:ind w:left="0" w:right="0" w:firstLine="0"/>
              <w:jc w:val="center"/>
            </w:pPr>
            <w:r>
              <w:rPr>
                <w:rFonts w:ascii="黑体" w:hAnsi="黑体" w:eastAsia="黑体"/>
                <w:b w:val="0"/>
                <w:i w:val="0"/>
                <w:color w:val="000000"/>
                <w:sz w:val="18"/>
              </w:rPr>
              <w:t>不计息</w:t>
            </w:r>
          </w:p>
        </w:tc>
        <w:tc>
          <w:tcPr>
            <w:tcW w:type="dxa" w:w="1982"/>
            <w:tcBorders>
              <w:bottom w:sz="4.0" w:val="single" w:color="#000000"/>
            </w:tcBorders>
            <w:tcMar>
              <w:start w:w="0" w:type="dxa"/>
              <w:end w:w="0" w:type="dxa"/>
            </w:tcMar>
          </w:tcPr>
          <w:p>
            <w:pPr>
              <w:autoSpaceDN w:val="0"/>
              <w:autoSpaceDE w:val="0"/>
              <w:widowControl/>
              <w:spacing w:line="180" w:lineRule="exact" w:before="70" w:after="0"/>
              <w:ind w:left="0" w:right="0" w:firstLine="0"/>
              <w:jc w:val="right"/>
            </w:pPr>
            <w:r>
              <w:rPr>
                <w:rFonts w:ascii="黑体" w:hAnsi="黑体" w:eastAsia="黑体"/>
                <w:b w:val="0"/>
                <w:i w:val="0"/>
                <w:color w:val="000000"/>
                <w:sz w:val="18"/>
              </w:rPr>
              <w:t>合计</w:t>
            </w:r>
          </w:p>
        </w:tc>
      </w:tr>
    </w:tbl>
    <w:p>
      <w:pPr>
        <w:autoSpaceDN w:val="0"/>
        <w:autoSpaceDE w:val="0"/>
        <w:widowControl/>
        <w:spacing w:line="180" w:lineRule="exact" w:before="252" w:after="28"/>
        <w:ind w:left="0" w:right="0" w:firstLine="0"/>
        <w:jc w:val="left"/>
      </w:pPr>
      <w:r>
        <w:rPr>
          <w:rFonts w:ascii="黑体" w:hAnsi="黑体" w:eastAsia="黑体"/>
          <w:b w:val="0"/>
          <w:i w:val="0"/>
          <w:color w:val="000000"/>
          <w:sz w:val="18"/>
        </w:rPr>
        <w:t>金融负债</w:t>
      </w:r>
    </w:p>
    <w:tbl>
      <w:tblPr>
        <w:tblW w:type="auto" w:w="0"/>
        <w:tblLayout w:type="fixed"/>
        <w:tblLook w:firstColumn="1" w:firstRow="1" w:lastColumn="0" w:lastRow="0" w:noHBand="0" w:noVBand="1" w:val="04A0"/>
        <w:tblInd w:w="0.0" w:type="dxa"/>
      </w:tblPr>
      <w:tblGrid>
        <w:gridCol w:w="1763"/>
        <w:gridCol w:w="1763"/>
        <w:gridCol w:w="1763"/>
        <w:gridCol w:w="1763"/>
        <w:gridCol w:w="1763"/>
        <w:gridCol w:w="1763"/>
        <w:gridCol w:w="1763"/>
        <w:gridCol w:w="1763"/>
      </w:tblGrid>
      <w:tr>
        <w:trPr>
          <w:trHeight w:hRule="exact" w:val="248"/>
        </w:trPr>
        <w:tc>
          <w:tcPr>
            <w:tcW w:type="dxa" w:w="2298"/>
            <w:tcBorders/>
            <w:tcMar>
              <w:start w:w="0" w:type="dxa"/>
              <w:end w:w="0" w:type="dxa"/>
            </w:tcMar>
          </w:tcPr>
          <w:p>
            <w:pPr>
              <w:autoSpaceDN w:val="0"/>
              <w:autoSpaceDE w:val="0"/>
              <w:widowControl/>
              <w:spacing w:line="180" w:lineRule="exact" w:before="26" w:after="0"/>
              <w:ind w:left="180" w:right="0" w:firstLine="0"/>
              <w:jc w:val="left"/>
            </w:pPr>
            <w:r>
              <w:rPr>
                <w:rFonts w:ascii="黑体" w:hAnsi="黑体" w:eastAsia="黑体"/>
                <w:b w:val="0"/>
                <w:i w:val="0"/>
                <w:color w:val="000000"/>
                <w:sz w:val="18"/>
              </w:rPr>
              <w:t>短期借款</w:t>
            </w:r>
          </w:p>
        </w:tc>
        <w:tc>
          <w:tcPr>
            <w:tcW w:type="dxa" w:w="164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32"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32" w:after="0"/>
              <w:ind w:left="0" w:right="58" w:firstLine="0"/>
              <w:jc w:val="right"/>
            </w:pPr>
            <w:r>
              <w:rPr>
                <w:rFonts w:ascii="Arial" w:hAnsi="Arial" w:eastAsia="Arial"/>
                <w:b w:val="0"/>
                <w:i w:val="0"/>
                <w:color w:val="000000"/>
                <w:sz w:val="18"/>
              </w:rPr>
              <w:t xml:space="preserve">(137,317,148 ) </w:t>
            </w:r>
          </w:p>
        </w:tc>
        <w:tc>
          <w:tcPr>
            <w:tcW w:type="dxa" w:w="1642"/>
            <w:tcBorders/>
            <w:tcMar>
              <w:start w:w="0" w:type="dxa"/>
              <w:end w:w="0" w:type="dxa"/>
            </w:tcMar>
          </w:tcPr>
          <w:p>
            <w:pPr>
              <w:autoSpaceDN w:val="0"/>
              <w:autoSpaceDE w:val="0"/>
              <w:widowControl/>
              <w:spacing w:line="233" w:lineRule="auto" w:before="32"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32"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32" w:after="0"/>
              <w:ind w:left="0" w:right="168" w:firstLine="0"/>
              <w:jc w:val="right"/>
            </w:pPr>
            <w:r>
              <w:rPr>
                <w:rFonts w:ascii="Arial" w:hAnsi="Arial" w:eastAsia="Arial"/>
                <w:b w:val="0"/>
                <w:i w:val="0"/>
                <w:color w:val="000000"/>
                <w:sz w:val="18"/>
              </w:rPr>
              <w:t>-</w:t>
            </w:r>
          </w:p>
        </w:tc>
        <w:tc>
          <w:tcPr>
            <w:tcW w:type="dxa" w:w="1924"/>
            <w:tcBorders/>
            <w:tcMar>
              <w:start w:w="0" w:type="dxa"/>
              <w:end w:w="0" w:type="dxa"/>
            </w:tcMar>
          </w:tcPr>
          <w:p>
            <w:pPr>
              <w:autoSpaceDN w:val="0"/>
              <w:autoSpaceDE w:val="0"/>
              <w:widowControl/>
              <w:spacing w:line="233" w:lineRule="auto" w:before="32" w:after="0"/>
              <w:ind w:left="0" w:right="0" w:firstLine="0"/>
              <w:jc w:val="right"/>
            </w:pPr>
            <w:r>
              <w:rPr>
                <w:rFonts w:ascii="Arial" w:hAnsi="Arial" w:eastAsia="Arial"/>
                <w:b w:val="0"/>
                <w:i w:val="0"/>
                <w:color w:val="000000"/>
                <w:sz w:val="18"/>
              </w:rPr>
              <w:t xml:space="preserve">(137,317,148) </w:t>
            </w:r>
          </w:p>
        </w:tc>
      </w:tr>
      <w:tr>
        <w:trPr>
          <w:trHeight w:hRule="exact" w:val="200"/>
        </w:trPr>
        <w:tc>
          <w:tcPr>
            <w:tcW w:type="dxa" w:w="2298"/>
            <w:tcBorders/>
            <w:tcMar>
              <w:start w:w="0" w:type="dxa"/>
              <w:end w:w="0" w:type="dxa"/>
            </w:tcMar>
          </w:tcPr>
          <w:p>
            <w:pPr>
              <w:autoSpaceDN w:val="0"/>
              <w:autoSpaceDE w:val="0"/>
              <w:widowControl/>
              <w:spacing w:line="180" w:lineRule="exact" w:before="10" w:after="0"/>
              <w:ind w:left="180" w:right="0" w:firstLine="0"/>
              <w:jc w:val="left"/>
            </w:pPr>
            <w:r>
              <w:rPr>
                <w:rFonts w:ascii="黑体" w:hAnsi="黑体" w:eastAsia="黑体"/>
                <w:b w:val="0"/>
                <w:i w:val="0"/>
                <w:color w:val="000000"/>
                <w:sz w:val="18"/>
              </w:rPr>
              <w:t>应付短期融资券</w:t>
            </w: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5" w:lineRule="auto" w:before="0" w:after="0"/>
              <w:ind w:left="0" w:right="58" w:firstLine="0"/>
              <w:jc w:val="right"/>
            </w:pPr>
            <w:r>
              <w:rPr>
                <w:rFonts w:ascii="Arial" w:hAnsi="Arial" w:eastAsia="Arial"/>
                <w:b w:val="0"/>
                <w:i w:val="0"/>
                <w:color w:val="000000"/>
                <w:sz w:val="18"/>
              </w:rPr>
              <w:t xml:space="preserve">(861,672,580 ) </w:t>
            </w:r>
          </w:p>
        </w:tc>
        <w:tc>
          <w:tcPr>
            <w:tcW w:type="dxa" w:w="1642"/>
            <w:tcBorders/>
            <w:tcMar>
              <w:start w:w="0" w:type="dxa"/>
              <w:end w:w="0" w:type="dxa"/>
            </w:tcMar>
          </w:tcPr>
          <w:p>
            <w:pPr>
              <w:autoSpaceDN w:val="0"/>
              <w:autoSpaceDE w:val="0"/>
              <w:widowControl/>
              <w:spacing w:line="235" w:lineRule="auto" w:before="0"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0" w:after="0"/>
              <w:ind w:left="0" w:right="58" w:firstLine="0"/>
              <w:jc w:val="right"/>
            </w:pPr>
            <w:r>
              <w:rPr>
                <w:rFonts w:ascii="Arial" w:hAnsi="Arial" w:eastAsia="Arial"/>
                <w:b w:val="0"/>
                <w:i w:val="0"/>
                <w:color w:val="000000"/>
                <w:sz w:val="18"/>
              </w:rPr>
              <w:t xml:space="preserve">(10,900,870) </w:t>
            </w:r>
          </w:p>
        </w:tc>
        <w:tc>
          <w:tcPr>
            <w:tcW w:type="dxa" w:w="1924"/>
            <w:tcBorders/>
            <w:tcMar>
              <w:start w:w="0" w:type="dxa"/>
              <w:end w:w="0" w:type="dxa"/>
            </w:tcMar>
          </w:tcPr>
          <w:p>
            <w:pPr>
              <w:autoSpaceDN w:val="0"/>
              <w:autoSpaceDE w:val="0"/>
              <w:widowControl/>
              <w:spacing w:line="235" w:lineRule="auto" w:before="0" w:after="0"/>
              <w:ind w:left="0" w:right="0" w:firstLine="0"/>
              <w:jc w:val="right"/>
            </w:pPr>
            <w:r>
              <w:rPr>
                <w:rFonts w:ascii="Arial" w:hAnsi="Arial" w:eastAsia="Arial"/>
                <w:b w:val="0"/>
                <w:i w:val="0"/>
                <w:color w:val="000000"/>
                <w:sz w:val="18"/>
              </w:rPr>
              <w:t xml:space="preserve">(872,573,450) </w:t>
            </w:r>
          </w:p>
        </w:tc>
      </w:tr>
      <w:tr>
        <w:trPr>
          <w:trHeight w:hRule="exact" w:val="220"/>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拆入资金</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162" w:right="0" w:firstLine="0"/>
              <w:jc w:val="left"/>
            </w:pPr>
            <w:r>
              <w:rPr>
                <w:rFonts w:ascii="Arial" w:hAnsi="Arial" w:eastAsia="Arial"/>
                <w:b w:val="0"/>
                <w:i w:val="0"/>
                <w:color w:val="000000"/>
                <w:sz w:val="18"/>
              </w:rPr>
              <w:t xml:space="preserve">(10,359,000,000) </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(1,000,000,000)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(1,416,006,752 )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58" w:firstLine="0"/>
              <w:jc w:val="right"/>
            </w:pPr>
            <w:r>
              <w:rPr>
                <w:rFonts w:ascii="Arial" w:hAnsi="Arial" w:eastAsia="Arial"/>
                <w:b w:val="0"/>
                <w:i w:val="0"/>
                <w:color w:val="000000"/>
                <w:sz w:val="18"/>
              </w:rPr>
              <w:t xml:space="preserve">(18,595,702) </w:t>
            </w:r>
          </w:p>
        </w:tc>
        <w:tc>
          <w:tcPr>
            <w:tcW w:type="dxa" w:w="192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 xml:space="preserve">(12,793,602,454) </w:t>
            </w:r>
          </w:p>
        </w:tc>
      </w:tr>
      <w:tr>
        <w:trPr>
          <w:trHeight w:hRule="exact" w:val="48"/>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8" w:after="0"/>
              <w:ind w:left="180" w:right="0" w:firstLine="0"/>
              <w:jc w:val="left"/>
            </w:pPr>
            <w:r>
              <w:rPr>
                <w:rFonts w:ascii="黑体" w:hAnsi="黑体" w:eastAsia="黑体"/>
                <w:b w:val="0"/>
                <w:i w:val="0"/>
                <w:color w:val="000000"/>
                <w:sz w:val="18"/>
              </w:rPr>
              <w:t>交易性金融负债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2"/>
        </w:trPr>
        <w:tc>
          <w:tcPr>
            <w:tcW w:type="dxa" w:w="1763"/>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260" w:right="0" w:firstLine="0"/>
              <w:jc w:val="left"/>
            </w:pPr>
            <w:r>
              <w:rPr>
                <w:rFonts w:ascii="Arial" w:hAnsi="Arial" w:eastAsia="Arial"/>
                <w:b w:val="0"/>
                <w:i w:val="0"/>
                <w:color w:val="000000"/>
                <w:sz w:val="18"/>
              </w:rPr>
              <w:t xml:space="preserve">(1,353,790,490)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60" w:firstLine="0"/>
              <w:jc w:val="right"/>
            </w:pPr>
            <w:r>
              <w:rPr>
                <w:rFonts w:ascii="Arial" w:hAnsi="Arial" w:eastAsia="Arial"/>
                <w:b w:val="0"/>
                <w:i w:val="0"/>
                <w:color w:val="000000"/>
                <w:sz w:val="18"/>
              </w:rPr>
              <w:t xml:space="preserve">(9,595,659)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58" w:firstLine="0"/>
              <w:jc w:val="right"/>
            </w:pPr>
            <w:r>
              <w:rPr>
                <w:rFonts w:ascii="Arial" w:hAnsi="Arial" w:eastAsia="Arial"/>
                <w:b w:val="0"/>
                <w:i w:val="0"/>
                <w:color w:val="000000"/>
                <w:sz w:val="18"/>
              </w:rPr>
              <w:t xml:space="preserve">(148,621,220 )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20"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168" w:firstLine="0"/>
              <w:jc w:val="right"/>
            </w:pPr>
            <w:r>
              <w:rPr>
                <w:rFonts w:ascii="Arial" w:hAnsi="Arial" w:eastAsia="Arial"/>
                <w:b w:val="0"/>
                <w:i w:val="0"/>
                <w:color w:val="000000"/>
                <w:sz w:val="18"/>
              </w:rPr>
              <w:t>-</w:t>
            </w:r>
          </w:p>
        </w:tc>
        <w:tc>
          <w:tcPr>
            <w:tcW w:type="dxa" w:w="192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 xml:space="preserve">(1,512,007,369) </w:t>
            </w:r>
          </w:p>
        </w:tc>
      </w:tr>
      <w:tr>
        <w:trPr>
          <w:trHeight w:hRule="exact" w:val="42"/>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2" w:after="0"/>
              <w:ind w:left="180" w:right="0" w:firstLine="0"/>
              <w:jc w:val="left"/>
            </w:pPr>
            <w:r>
              <w:rPr>
                <w:rFonts w:ascii="黑体" w:hAnsi="黑体" w:eastAsia="黑体"/>
                <w:b w:val="0"/>
                <w:i w:val="0"/>
                <w:color w:val="000000"/>
                <w:sz w:val="18"/>
              </w:rPr>
              <w:t>衍生金融负债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8"/>
        </w:trPr>
        <w:tc>
          <w:tcPr>
            <w:tcW w:type="dxa" w:w="1763"/>
            <w:vMerge/>
            <w:tcBorders/>
          </w:tcPr>
          <w:p/>
        </w:tc>
        <w:tc>
          <w:tcPr>
            <w:tcW w:type="dxa" w:w="164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0"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0"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0"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0"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0" w:after="0"/>
              <w:ind w:left="0" w:right="58" w:firstLine="0"/>
              <w:jc w:val="right"/>
            </w:pPr>
            <w:r>
              <w:rPr>
                <w:rFonts w:ascii="Arial" w:hAnsi="Arial" w:eastAsia="Arial"/>
                <w:b w:val="0"/>
                <w:i w:val="0"/>
                <w:color w:val="000000"/>
                <w:sz w:val="18"/>
              </w:rPr>
              <w:t xml:space="preserve">(131,465,972) </w:t>
            </w:r>
          </w:p>
        </w:tc>
        <w:tc>
          <w:tcPr>
            <w:tcW w:type="dxa" w:w="192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 xml:space="preserve">(131,465,972) </w:t>
            </w:r>
          </w:p>
        </w:tc>
      </w:tr>
      <w:tr>
        <w:trPr>
          <w:trHeight w:hRule="exact" w:val="240"/>
        </w:trPr>
        <w:tc>
          <w:tcPr>
            <w:tcW w:type="dxa" w:w="2298"/>
            <w:tcBorders/>
            <w:tcMar>
              <w:start w:w="0" w:type="dxa"/>
              <w:end w:w="0" w:type="dxa"/>
            </w:tcMar>
          </w:tcPr>
          <w:p>
            <w:pPr>
              <w:autoSpaceDN w:val="0"/>
              <w:autoSpaceDE w:val="0"/>
              <w:widowControl/>
              <w:spacing w:line="180" w:lineRule="exact" w:before="46" w:after="0"/>
              <w:ind w:left="180" w:right="0" w:firstLine="0"/>
              <w:jc w:val="left"/>
            </w:pPr>
            <w:r>
              <w:rPr>
                <w:rFonts w:ascii="黑体" w:hAnsi="黑体" w:eastAsia="黑体"/>
                <w:b w:val="0"/>
                <w:i w:val="0"/>
                <w:color w:val="000000"/>
                <w:sz w:val="18"/>
              </w:rPr>
              <w:t>卖出回购金融资产款</w:t>
            </w:r>
          </w:p>
        </w:tc>
        <w:tc>
          <w:tcPr>
            <w:tcW w:type="dxa" w:w="1644"/>
            <w:tcBorders/>
            <w:tcMar>
              <w:start w:w="0" w:type="dxa"/>
              <w:end w:w="0" w:type="dxa"/>
            </w:tcMar>
          </w:tcPr>
          <w:p>
            <w:pPr>
              <w:autoSpaceDN w:val="0"/>
              <w:autoSpaceDE w:val="0"/>
              <w:widowControl/>
              <w:spacing w:line="235" w:lineRule="auto" w:before="38" w:after="0"/>
              <w:ind w:left="162" w:right="0" w:firstLine="0"/>
              <w:jc w:val="left"/>
            </w:pPr>
            <w:r>
              <w:rPr>
                <w:rFonts w:ascii="Arial" w:hAnsi="Arial" w:eastAsia="Arial"/>
                <w:b w:val="0"/>
                <w:i w:val="0"/>
                <w:color w:val="000000"/>
                <w:sz w:val="18"/>
              </w:rPr>
              <w:t xml:space="preserve">(10,166,453,426) </w:t>
            </w:r>
          </w:p>
        </w:tc>
        <w:tc>
          <w:tcPr>
            <w:tcW w:type="dxa" w:w="1644"/>
            <w:tcBorders/>
            <w:tcMar>
              <w:start w:w="0" w:type="dxa"/>
              <w:end w:w="0" w:type="dxa"/>
            </w:tcMar>
          </w:tcPr>
          <w:p>
            <w:pPr>
              <w:autoSpaceDN w:val="0"/>
              <w:autoSpaceDE w:val="0"/>
              <w:widowControl/>
              <w:spacing w:line="235" w:lineRule="auto" w:before="38" w:after="0"/>
              <w:ind w:left="0" w:right="60" w:firstLine="0"/>
              <w:jc w:val="right"/>
            </w:pPr>
            <w:r>
              <w:rPr>
                <w:rFonts w:ascii="Arial" w:hAnsi="Arial" w:eastAsia="Arial"/>
                <w:b w:val="0"/>
                <w:i w:val="0"/>
                <w:color w:val="000000"/>
                <w:sz w:val="18"/>
              </w:rPr>
              <w:t xml:space="preserve">(102,219,000) </w:t>
            </w:r>
          </w:p>
        </w:tc>
        <w:tc>
          <w:tcPr>
            <w:tcW w:type="dxa" w:w="1642"/>
            <w:tcBorders/>
            <w:tcMar>
              <w:start w:w="0" w:type="dxa"/>
              <w:end w:w="0" w:type="dxa"/>
            </w:tcMar>
          </w:tcPr>
          <w:p>
            <w:pPr>
              <w:autoSpaceDN w:val="0"/>
              <w:autoSpaceDE w:val="0"/>
              <w:widowControl/>
              <w:spacing w:line="235" w:lineRule="auto" w:before="38"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38"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5" w:lineRule="auto" w:before="38"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38" w:after="0"/>
              <w:ind w:left="0" w:right="58" w:firstLine="0"/>
              <w:jc w:val="right"/>
            </w:pPr>
            <w:r>
              <w:rPr>
                <w:rFonts w:ascii="Arial" w:hAnsi="Arial" w:eastAsia="Arial"/>
                <w:b w:val="0"/>
                <w:i w:val="0"/>
                <w:color w:val="000000"/>
                <w:sz w:val="18"/>
              </w:rPr>
              <w:t xml:space="preserve">(9,307,783) </w:t>
            </w:r>
          </w:p>
        </w:tc>
        <w:tc>
          <w:tcPr>
            <w:tcW w:type="dxa" w:w="1924"/>
            <w:tcBorders/>
            <w:tcMar>
              <w:start w:w="0" w:type="dxa"/>
              <w:end w:w="0" w:type="dxa"/>
            </w:tcMar>
          </w:tcPr>
          <w:p>
            <w:pPr>
              <w:autoSpaceDN w:val="0"/>
              <w:autoSpaceDE w:val="0"/>
              <w:widowControl/>
              <w:spacing w:line="235" w:lineRule="auto" w:before="38" w:after="0"/>
              <w:ind w:left="0" w:right="0" w:firstLine="0"/>
              <w:jc w:val="right"/>
            </w:pPr>
            <w:r>
              <w:rPr>
                <w:rFonts w:ascii="Arial" w:hAnsi="Arial" w:eastAsia="Arial"/>
                <w:b w:val="0"/>
                <w:i w:val="0"/>
                <w:color w:val="000000"/>
                <w:sz w:val="18"/>
              </w:rPr>
              <w:t xml:space="preserve">(10,277,980,209) </w:t>
            </w:r>
          </w:p>
        </w:tc>
      </w:tr>
      <w:tr>
        <w:trPr>
          <w:trHeight w:hRule="exact" w:val="261"/>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代理买卖证券款</w:t>
            </w:r>
          </w:p>
        </w:tc>
        <w:tc>
          <w:tcPr>
            <w:tcW w:type="dxa" w:w="1644"/>
            <w:tcBorders/>
            <w:tcMar>
              <w:start w:w="0" w:type="dxa"/>
              <w:end w:w="0" w:type="dxa"/>
            </w:tcMar>
          </w:tcPr>
          <w:p>
            <w:pPr>
              <w:autoSpaceDN w:val="0"/>
              <w:autoSpaceDE w:val="0"/>
              <w:widowControl/>
              <w:spacing w:line="233" w:lineRule="auto" w:before="46" w:after="0"/>
              <w:ind w:left="260" w:right="0" w:firstLine="0"/>
              <w:jc w:val="left"/>
            </w:pPr>
            <w:r>
              <w:rPr>
                <w:rFonts w:ascii="Arial" w:hAnsi="Arial" w:eastAsia="Arial"/>
                <w:b w:val="0"/>
                <w:i w:val="0"/>
                <w:color w:val="000000"/>
                <w:sz w:val="18"/>
              </w:rPr>
              <w:t xml:space="preserve">(8,314,917,500) </w:t>
            </w:r>
          </w:p>
        </w:tc>
        <w:tc>
          <w:tcPr>
            <w:tcW w:type="dxa" w:w="1644"/>
            <w:tcBorders/>
            <w:tcMar>
              <w:start w:w="0" w:type="dxa"/>
              <w:end w:w="0" w:type="dxa"/>
            </w:tcMar>
          </w:tcPr>
          <w:p>
            <w:pPr>
              <w:autoSpaceDN w:val="0"/>
              <w:autoSpaceDE w:val="0"/>
              <w:widowControl/>
              <w:spacing w:line="233" w:lineRule="auto" w:before="46" w:after="0"/>
              <w:ind w:left="0" w:right="170" w:firstLine="0"/>
              <w:jc w:val="right"/>
            </w:pPr>
            <w:r>
              <w:rPr>
                <w:rFonts w:ascii="Arial" w:hAnsi="Arial" w:eastAsia="Arial"/>
                <w:b w:val="0"/>
                <w:i w:val="0"/>
                <w:color w:val="000000"/>
                <w:sz w:val="18"/>
              </w:rPr>
              <w:t>-</w:t>
            </w:r>
          </w:p>
        </w:tc>
        <w:tc>
          <w:tcPr>
            <w:tcW w:type="dxa" w:w="1642"/>
            <w:tcBorders/>
            <w:tcMar>
              <w:start w:w="0" w:type="dxa"/>
              <w:end w:w="0" w:type="dxa"/>
            </w:tcMar>
          </w:tcPr>
          <w:p>
            <w:pPr>
              <w:autoSpaceDN w:val="0"/>
              <w:autoSpaceDE w:val="0"/>
              <w:widowControl/>
              <w:spacing w:line="233" w:lineRule="auto" w:before="46"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46" w:after="0"/>
              <w:ind w:left="0" w:right="168" w:firstLine="0"/>
              <w:jc w:val="right"/>
            </w:pPr>
            <w:r>
              <w:rPr>
                <w:rFonts w:ascii="Arial" w:hAnsi="Arial" w:eastAsia="Arial"/>
                <w:b w:val="0"/>
                <w:i w:val="0"/>
                <w:color w:val="000000"/>
                <w:sz w:val="18"/>
              </w:rPr>
              <w:t>-</w:t>
            </w:r>
          </w:p>
        </w:tc>
        <w:tc>
          <w:tcPr>
            <w:tcW w:type="dxa" w:w="1644"/>
            <w:tcBorders/>
            <w:tcMar>
              <w:start w:w="0" w:type="dxa"/>
              <w:end w:w="0" w:type="dxa"/>
            </w:tcMar>
          </w:tcPr>
          <w:p>
            <w:pPr>
              <w:autoSpaceDN w:val="0"/>
              <w:autoSpaceDE w:val="0"/>
              <w:widowControl/>
              <w:spacing w:line="233" w:lineRule="auto" w:before="46"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3" w:lineRule="auto" w:before="46" w:after="0"/>
              <w:ind w:left="262" w:right="0" w:firstLine="0"/>
              <w:jc w:val="left"/>
            </w:pPr>
            <w:r>
              <w:rPr>
                <w:rFonts w:ascii="Arial" w:hAnsi="Arial" w:eastAsia="Arial"/>
                <w:b w:val="0"/>
                <w:i w:val="0"/>
                <w:color w:val="000000"/>
                <w:sz w:val="18"/>
              </w:rPr>
              <w:t xml:space="preserve">(6,271,700,053) </w:t>
            </w:r>
          </w:p>
        </w:tc>
        <w:tc>
          <w:tcPr>
            <w:tcW w:type="dxa" w:w="1924"/>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8"/>
              </w:rPr>
              <w:t xml:space="preserve">(14,586,617,553) </w:t>
            </w:r>
          </w:p>
        </w:tc>
      </w:tr>
      <w:tr>
        <w:trPr>
          <w:trHeight w:hRule="exact" w:val="199"/>
        </w:trPr>
        <w:tc>
          <w:tcPr>
            <w:tcW w:type="dxa" w:w="2298"/>
            <w:tcBorders/>
            <w:tcMar>
              <w:start w:w="0" w:type="dxa"/>
              <w:end w:w="0" w:type="dxa"/>
            </w:tcMar>
          </w:tcPr>
          <w:p>
            <w:pPr>
              <w:autoSpaceDN w:val="0"/>
              <w:autoSpaceDE w:val="0"/>
              <w:widowControl/>
              <w:spacing w:line="180" w:lineRule="exact" w:before="10" w:after="0"/>
              <w:ind w:left="180" w:right="0" w:firstLine="0"/>
              <w:jc w:val="left"/>
            </w:pPr>
            <w:r>
              <w:rPr>
                <w:rFonts w:ascii="黑体" w:hAnsi="黑体" w:eastAsia="黑体"/>
                <w:b w:val="0"/>
                <w:i w:val="0"/>
                <w:color w:val="000000"/>
                <w:sz w:val="18"/>
              </w:rPr>
              <w:t>代理承销证券款</w:t>
            </w:r>
          </w:p>
        </w:tc>
        <w:tc>
          <w:tcPr>
            <w:tcW w:type="dxa" w:w="1644"/>
            <w:tcBorders/>
            <w:tcMar>
              <w:start w:w="0" w:type="dxa"/>
              <w:end w:w="0" w:type="dxa"/>
            </w:tcMar>
          </w:tcPr>
          <w:p>
            <w:pPr>
              <w:autoSpaceDN w:val="0"/>
              <w:autoSpaceDE w:val="0"/>
              <w:widowControl/>
              <w:spacing w:line="235" w:lineRule="auto" w:before="0" w:after="0"/>
              <w:ind w:left="0" w:right="70"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5" w:lineRule="auto" w:before="0" w:after="0"/>
              <w:ind w:left="0" w:right="7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0" w:after="0"/>
              <w:ind w:left="0" w:right="118"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35" w:lineRule="auto" w:before="0" w:after="0"/>
              <w:ind w:left="0" w:right="70" w:firstLine="0"/>
              <w:jc w:val="right"/>
            </w:pPr>
            <w:r>
              <w:rPr>
                <w:rFonts w:ascii="Arial" w:hAnsi="Arial" w:eastAsia="Arial"/>
                <w:b w:val="0"/>
                <w:i w:val="0"/>
                <w:color w:val="000000"/>
                <w:sz w:val="18"/>
              </w:rPr>
              <w:t xml:space="preserve">- </w:t>
            </w:r>
          </w:p>
        </w:tc>
        <w:tc>
          <w:tcPr>
            <w:tcW w:type="dxa" w:w="1644"/>
            <w:tcBorders/>
            <w:tcMar>
              <w:start w:w="0" w:type="dxa"/>
              <w:end w:w="0" w:type="dxa"/>
            </w:tcMar>
          </w:tcPr>
          <w:p>
            <w:pPr>
              <w:autoSpaceDN w:val="0"/>
              <w:autoSpaceDE w:val="0"/>
              <w:widowControl/>
              <w:spacing w:line="235" w:lineRule="auto" w:before="0" w:after="0"/>
              <w:ind w:left="0" w:right="120" w:firstLine="0"/>
              <w:jc w:val="right"/>
            </w:pPr>
            <w:r>
              <w:rPr>
                <w:rFonts w:ascii="Arial" w:hAnsi="Arial" w:eastAsia="Arial"/>
                <w:b w:val="0"/>
                <w:i w:val="0"/>
                <w:color w:val="000000"/>
                <w:sz w:val="18"/>
              </w:rPr>
              <w:t xml:space="preserve">- </w:t>
            </w:r>
          </w:p>
        </w:tc>
        <w:tc>
          <w:tcPr>
            <w:tcW w:type="dxa" w:w="1642"/>
            <w:tcBorders/>
            <w:tcMar>
              <w:start w:w="0" w:type="dxa"/>
              <w:end w:w="0" w:type="dxa"/>
            </w:tcMar>
          </w:tcPr>
          <w:p>
            <w:pPr>
              <w:autoSpaceDN w:val="0"/>
              <w:autoSpaceDE w:val="0"/>
              <w:widowControl/>
              <w:spacing w:line="264" w:lineRule="auto" w:before="0" w:after="0"/>
              <w:ind w:left="362" w:right="0" w:firstLine="0"/>
              <w:jc w:val="left"/>
            </w:pPr>
            <w:r>
              <w:rPr>
                <w:rFonts w:ascii="Arial" w:hAnsi="Arial" w:eastAsia="Arial"/>
                <w:b w:val="0"/>
                <w:i w:val="0"/>
                <w:color w:val="000000"/>
                <w:sz w:val="18"/>
              </w:rPr>
              <w:t xml:space="preserve"> (125,599,933</w:t>
            </w:r>
            <w:r>
              <w:rPr>
                <w:rFonts w:ascii="Arial" w:hAnsi="Arial" w:eastAsia="Arial"/>
                <w:b w:val="0"/>
                <w:i w:val="0"/>
                <w:color w:val="000000"/>
                <w:sz w:val="18"/>
              </w:rPr>
              <w:t xml:space="preserve">) </w:t>
            </w:r>
          </w:p>
        </w:tc>
        <w:tc>
          <w:tcPr>
            <w:tcW w:type="dxa" w:w="1924"/>
            <w:tcBorders/>
            <w:tcMar>
              <w:start w:w="0" w:type="dxa"/>
              <w:end w:w="0" w:type="dxa"/>
            </w:tcMar>
          </w:tcPr>
          <w:p>
            <w:pPr>
              <w:autoSpaceDN w:val="0"/>
              <w:autoSpaceDE w:val="0"/>
              <w:widowControl/>
              <w:spacing w:line="264" w:lineRule="auto" w:before="0" w:after="0"/>
              <w:ind w:left="0" w:right="0" w:firstLine="0"/>
              <w:jc w:val="right"/>
            </w:pPr>
            <w:r>
              <w:rPr>
                <w:rFonts w:ascii="Arial" w:hAnsi="Arial" w:eastAsia="Arial"/>
                <w:b w:val="0"/>
                <w:i w:val="0"/>
                <w:color w:val="000000"/>
                <w:sz w:val="18"/>
              </w:rPr>
              <w:t xml:space="preserve"> (125,599,933</w:t>
            </w:r>
            <w:r>
              <w:rPr>
                <w:rFonts w:ascii="Arial" w:hAnsi="Arial" w:eastAsia="Arial"/>
                <w:b w:val="0"/>
                <w:i w:val="0"/>
                <w:color w:val="000000"/>
                <w:sz w:val="18"/>
              </w:rPr>
              <w:t xml:space="preserve">) </w:t>
            </w:r>
          </w:p>
        </w:tc>
      </w:tr>
      <w:tr>
        <w:trPr>
          <w:trHeight w:hRule="exact" w:val="220"/>
        </w:trPr>
        <w:tc>
          <w:tcPr>
            <w:tcW w:type="dxa" w:w="2298"/>
            <w:tcBorders/>
            <w:tcMar>
              <w:start w:w="0" w:type="dxa"/>
              <w:end w:w="0" w:type="dxa"/>
            </w:tcMar>
          </w:tcPr>
          <w:p>
            <w:pPr>
              <w:autoSpaceDN w:val="0"/>
              <w:autoSpaceDE w:val="0"/>
              <w:widowControl/>
              <w:spacing w:line="180" w:lineRule="exact" w:before="40" w:after="0"/>
              <w:ind w:left="180" w:right="0" w:firstLine="0"/>
              <w:jc w:val="left"/>
            </w:pPr>
            <w:r>
              <w:rPr>
                <w:rFonts w:ascii="黑体" w:hAnsi="黑体" w:eastAsia="黑体"/>
                <w:b w:val="0"/>
                <w:i w:val="0"/>
                <w:color w:val="000000"/>
                <w:sz w:val="18"/>
              </w:rPr>
              <w:t>应付款项</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18"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168"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3" w:lineRule="auto" w:before="52" w:after="0"/>
              <w:ind w:left="0" w:right="58" w:firstLine="0"/>
              <w:jc w:val="right"/>
            </w:pPr>
            <w:r>
              <w:rPr>
                <w:rFonts w:ascii="Arial" w:hAnsi="Arial" w:eastAsia="Arial"/>
                <w:b w:val="0"/>
                <w:i w:val="0"/>
                <w:color w:val="000000"/>
                <w:sz w:val="18"/>
              </w:rPr>
              <w:t xml:space="preserve">(366,687,841) </w:t>
            </w:r>
          </w:p>
        </w:tc>
        <w:tc>
          <w:tcPr>
            <w:tcW w:type="dxa" w:w="1924"/>
            <w:vMerge w:val="restart"/>
            <w:tcBorders/>
            <w:tcMar>
              <w:start w:w="0" w:type="dxa"/>
              <w:end w:w="0" w:type="dxa"/>
            </w:tcMar>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 xml:space="preserve">(366,687,841) </w:t>
            </w:r>
          </w:p>
        </w:tc>
      </w:tr>
      <w:tr>
        <w:trPr>
          <w:trHeight w:hRule="exact" w:val="50"/>
        </w:trPr>
        <w:tc>
          <w:tcPr>
            <w:tcW w:type="dxa" w:w="2298"/>
            <w:vMerge w:val="restart"/>
            <w:tcBorders/>
            <w:tcMar>
              <w:start w:w="0" w:type="dxa"/>
              <w:end w:w="0" w:type="dxa"/>
            </w:tcMar>
            <w:tcMar>
              <w:start w:w="0" w:type="dxa"/>
              <w:end w:w="0" w:type="dxa"/>
            </w:tcMar>
          </w:tcPr>
          <w:p>
            <w:pPr>
              <w:autoSpaceDN w:val="0"/>
              <w:autoSpaceDE w:val="0"/>
              <w:widowControl/>
              <w:spacing w:line="180" w:lineRule="exact" w:before="60" w:after="0"/>
              <w:ind w:left="180" w:right="0" w:firstLine="0"/>
              <w:jc w:val="left"/>
            </w:pPr>
            <w:r>
              <w:rPr>
                <w:rFonts w:ascii="黑体" w:hAnsi="黑体" w:eastAsia="黑体"/>
                <w:b w:val="0"/>
                <w:i w:val="0"/>
                <w:color w:val="000000"/>
                <w:sz w:val="18"/>
              </w:rPr>
              <w:t>应付债券</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0"/>
        </w:trPr>
        <w:tc>
          <w:tcPr>
            <w:tcW w:type="dxa" w:w="1763"/>
            <w:vMerge/>
            <w:tcBorders/>
          </w:tcP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70" w:firstLine="0"/>
              <w:jc w:val="right"/>
            </w:pPr>
            <w:r>
              <w:rPr>
                <w:rFonts w:ascii="Arial" w:hAnsi="Arial" w:eastAsia="Arial"/>
                <w:b w:val="0"/>
                <w:i w:val="0"/>
                <w:color w:val="000000"/>
                <w:sz w:val="18"/>
              </w:rPr>
              <w:t>-</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262" w:right="0" w:firstLine="0"/>
              <w:jc w:val="left"/>
            </w:pPr>
            <w:r>
              <w:rPr>
                <w:rFonts w:ascii="Arial" w:hAnsi="Arial" w:eastAsia="Arial"/>
                <w:b w:val="0"/>
                <w:i w:val="0"/>
                <w:color w:val="000000"/>
                <w:sz w:val="18"/>
              </w:rPr>
              <w:t xml:space="preserve">(1,000,003,866)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262" w:right="0" w:firstLine="0"/>
              <w:jc w:val="left"/>
            </w:pPr>
            <w:r>
              <w:rPr>
                <w:rFonts w:ascii="Arial" w:hAnsi="Arial" w:eastAsia="Arial"/>
                <w:b w:val="0"/>
                <w:i w:val="0"/>
                <w:color w:val="000000"/>
                <w:sz w:val="18"/>
              </w:rPr>
              <w:t xml:space="preserve">(5,615,729,773 )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262" w:right="0" w:firstLine="0"/>
              <w:jc w:val="left"/>
            </w:pPr>
            <w:r>
              <w:rPr>
                <w:rFonts w:ascii="Arial" w:hAnsi="Arial" w:eastAsia="Arial"/>
                <w:b w:val="0"/>
                <w:i w:val="0"/>
                <w:color w:val="000000"/>
                <w:sz w:val="18"/>
              </w:rPr>
              <w:t xml:space="preserve">(8,994,460,636) </w:t>
            </w:r>
          </w:p>
        </w:tc>
        <w:tc>
          <w:tcPr>
            <w:tcW w:type="dxa" w:w="1644"/>
            <w:vMerge w:val="restart"/>
            <w:tcBorders/>
            <w:tcMar>
              <w:start w:w="0" w:type="dxa"/>
              <w:end w:w="0" w:type="dxa"/>
            </w:tcMar>
            <w:tcMar>
              <w:start w:w="0" w:type="dxa"/>
              <w:end w:w="0" w:type="dxa"/>
            </w:tcMar>
          </w:tcPr>
          <w:p>
            <w:pPr>
              <w:autoSpaceDN w:val="0"/>
              <w:autoSpaceDE w:val="0"/>
              <w:widowControl/>
              <w:spacing w:line="235" w:lineRule="auto" w:before="16" w:after="0"/>
              <w:ind w:left="0" w:right="120" w:firstLine="0"/>
              <w:jc w:val="right"/>
            </w:pPr>
            <w:r>
              <w:rPr>
                <w:rFonts w:ascii="Arial" w:hAnsi="Arial" w:eastAsia="Arial"/>
                <w:b w:val="0"/>
                <w:i w:val="0"/>
                <w:color w:val="000000"/>
                <w:sz w:val="18"/>
              </w:rPr>
              <w:t xml:space="preserve">- </w:t>
            </w:r>
          </w:p>
        </w:tc>
        <w:tc>
          <w:tcPr>
            <w:tcW w:type="dxa" w:w="1642"/>
            <w:vMerge w:val="restart"/>
            <w:tcBorders/>
            <w:tcMar>
              <w:start w:w="0" w:type="dxa"/>
              <w:end w:w="0" w:type="dxa"/>
            </w:tcMar>
            <w:tcMar>
              <w:start w:w="0" w:type="dxa"/>
              <w:end w:w="0" w:type="dxa"/>
            </w:tcMar>
          </w:tcPr>
          <w:p>
            <w:pPr>
              <w:autoSpaceDN w:val="0"/>
              <w:autoSpaceDE w:val="0"/>
              <w:widowControl/>
              <w:spacing w:line="235" w:lineRule="auto" w:before="16" w:after="0"/>
              <w:ind w:left="0" w:right="58" w:firstLine="0"/>
              <w:jc w:val="right"/>
            </w:pPr>
            <w:r>
              <w:rPr>
                <w:rFonts w:ascii="Arial" w:hAnsi="Arial" w:eastAsia="Arial"/>
                <w:b w:val="0"/>
                <w:i w:val="0"/>
                <w:color w:val="000000"/>
                <w:sz w:val="18"/>
              </w:rPr>
              <w:t xml:space="preserve">(198,907,255) </w:t>
            </w:r>
          </w:p>
        </w:tc>
        <w:tc>
          <w:tcPr>
            <w:tcW w:type="dxa" w:w="1924"/>
            <w:vMerge w:val="restart"/>
            <w:tcBorders/>
            <w:tcMar>
              <w:start w:w="0" w:type="dxa"/>
              <w:end w:w="0" w:type="dxa"/>
            </w:tcMar>
            <w:tcMar>
              <w:start w:w="0" w:type="dxa"/>
              <w:end w:w="0" w:type="dxa"/>
            </w:tcMar>
          </w:tcPr>
          <w:p>
            <w:pPr>
              <w:autoSpaceDN w:val="0"/>
              <w:autoSpaceDE w:val="0"/>
              <w:widowControl/>
              <w:spacing w:line="235" w:lineRule="auto" w:before="16" w:after="0"/>
              <w:ind w:left="0" w:right="0" w:firstLine="0"/>
              <w:jc w:val="right"/>
            </w:pPr>
            <w:r>
              <w:rPr>
                <w:rFonts w:ascii="Arial" w:hAnsi="Arial" w:eastAsia="Arial"/>
                <w:b w:val="0"/>
                <w:i w:val="0"/>
                <w:color w:val="000000"/>
                <w:sz w:val="18"/>
              </w:rPr>
              <w:t xml:space="preserve">(15,809,101,530) </w:t>
            </w:r>
          </w:p>
        </w:tc>
      </w:tr>
      <w:tr>
        <w:trPr>
          <w:trHeight w:hRule="exact" w:val="44"/>
        </w:trPr>
        <w:tc>
          <w:tcPr>
            <w:tcW w:type="dxa" w:w="2298"/>
            <w:vMerge w:val="restart"/>
            <w:tcBorders/>
            <w:tcMar>
              <w:start w:w="0" w:type="dxa"/>
              <w:end w:w="0" w:type="dxa"/>
            </w:tcMar>
            <w:tcMar>
              <w:start w:w="0" w:type="dxa"/>
              <w:end w:w="0" w:type="dxa"/>
            </w:tcMar>
          </w:tcPr>
          <w:p>
            <w:pPr>
              <w:autoSpaceDN w:val="0"/>
              <w:autoSpaceDE w:val="0"/>
              <w:widowControl/>
              <w:spacing w:line="180" w:lineRule="exact" w:before="54" w:after="0"/>
              <w:ind w:left="180" w:right="0" w:firstLine="0"/>
              <w:jc w:val="left"/>
            </w:pPr>
            <w:r>
              <w:rPr>
                <w:rFonts w:ascii="黑体" w:hAnsi="黑体" w:eastAsia="黑体"/>
                <w:b w:val="0"/>
                <w:i w:val="0"/>
                <w:color w:val="000000"/>
                <w:sz w:val="18"/>
              </w:rPr>
              <w:t>租赁负债</w:t>
            </w: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c>
          <w:tcPr>
            <w:tcW w:type="dxa" w:w="1763"/>
            <w:vMerge/>
            <w:tcBorders/>
          </w:tcPr>
          <w:p/>
        </w:tc>
      </w:tr>
      <w:tr>
        <w:trPr>
          <w:trHeight w:hRule="exact" w:val="196"/>
        </w:trPr>
        <w:tc>
          <w:tcPr>
            <w:tcW w:type="dxa" w:w="1763"/>
            <w:vMerge/>
            <w:tcBorders/>
          </w:tcPr>
          <w:p/>
        </w:tc>
        <w:tc>
          <w:tcPr>
            <w:tcW w:type="dxa" w:w="1644"/>
            <w:tcBorders/>
            <w:tcMar>
              <w:start w:w="0" w:type="dxa"/>
              <w:end w:w="0" w:type="dxa"/>
            </w:tcMar>
          </w:tcPr>
          <w:p>
            <w:pPr>
              <w:autoSpaceDN w:val="0"/>
              <w:autoSpaceDE w:val="0"/>
              <w:widowControl/>
              <w:spacing w:line="233" w:lineRule="auto" w:before="0" w:after="0"/>
              <w:ind w:left="0" w:right="60" w:firstLine="0"/>
              <w:jc w:val="right"/>
            </w:pPr>
            <w:r>
              <w:rPr>
                <w:rFonts w:ascii="Arial" w:hAnsi="Arial" w:eastAsia="Arial"/>
                <w:b w:val="0"/>
                <w:i w:val="0"/>
                <w:color w:val="000000"/>
                <w:sz w:val="18"/>
              </w:rPr>
              <w:t xml:space="preserve">(2,322,385) </w:t>
            </w:r>
          </w:p>
        </w:tc>
        <w:tc>
          <w:tcPr>
            <w:tcW w:type="dxa" w:w="1644"/>
            <w:tcBorders/>
            <w:tcMar>
              <w:start w:w="0" w:type="dxa"/>
              <w:end w:w="0" w:type="dxa"/>
            </w:tcMar>
          </w:tcPr>
          <w:p>
            <w:pPr>
              <w:autoSpaceDN w:val="0"/>
              <w:autoSpaceDE w:val="0"/>
              <w:widowControl/>
              <w:spacing w:line="233" w:lineRule="auto" w:before="0" w:after="0"/>
              <w:ind w:left="0" w:right="60" w:firstLine="0"/>
              <w:jc w:val="right"/>
            </w:pPr>
            <w:r>
              <w:rPr>
                <w:rFonts w:ascii="Arial" w:hAnsi="Arial" w:eastAsia="Arial"/>
                <w:b w:val="0"/>
                <w:i w:val="0"/>
                <w:color w:val="000000"/>
                <w:sz w:val="18"/>
              </w:rPr>
              <w:t xml:space="preserve">(5,941,181) </w:t>
            </w:r>
          </w:p>
        </w:tc>
        <w:tc>
          <w:tcPr>
            <w:tcW w:type="dxa" w:w="1642"/>
            <w:tcBorders/>
            <w:tcMar>
              <w:start w:w="0" w:type="dxa"/>
              <w:end w:w="0" w:type="dxa"/>
            </w:tcMar>
          </w:tcPr>
          <w:p>
            <w:pPr>
              <w:autoSpaceDN w:val="0"/>
              <w:autoSpaceDE w:val="0"/>
              <w:widowControl/>
              <w:spacing w:line="233" w:lineRule="auto" w:before="0" w:after="0"/>
              <w:ind w:left="0" w:right="58" w:firstLine="0"/>
              <w:jc w:val="right"/>
            </w:pPr>
            <w:r>
              <w:rPr>
                <w:rFonts w:ascii="Arial" w:hAnsi="Arial" w:eastAsia="Arial"/>
                <w:b w:val="0"/>
                <w:i w:val="0"/>
                <w:color w:val="000000"/>
                <w:sz w:val="18"/>
              </w:rPr>
              <w:t xml:space="preserve">(27,355,979 ) </w:t>
            </w:r>
          </w:p>
        </w:tc>
        <w:tc>
          <w:tcPr>
            <w:tcW w:type="dxa" w:w="1642"/>
            <w:tcBorders/>
            <w:tcMar>
              <w:start w:w="0" w:type="dxa"/>
              <w:end w:w="0" w:type="dxa"/>
            </w:tcMar>
          </w:tcPr>
          <w:p>
            <w:pPr>
              <w:autoSpaceDN w:val="0"/>
              <w:autoSpaceDE w:val="0"/>
              <w:widowControl/>
              <w:spacing w:line="233" w:lineRule="auto" w:before="0" w:after="0"/>
              <w:ind w:left="0" w:right="58" w:firstLine="0"/>
              <w:jc w:val="right"/>
            </w:pPr>
            <w:r>
              <w:rPr>
                <w:rFonts w:ascii="Arial" w:hAnsi="Arial" w:eastAsia="Arial"/>
                <w:b w:val="0"/>
                <w:i w:val="0"/>
                <w:color w:val="000000"/>
                <w:sz w:val="18"/>
              </w:rPr>
              <w:t xml:space="preserve">(265,826,430) </w:t>
            </w:r>
          </w:p>
        </w:tc>
        <w:tc>
          <w:tcPr>
            <w:tcW w:type="dxa" w:w="1644"/>
            <w:tcBorders/>
            <w:tcMar>
              <w:start w:w="0" w:type="dxa"/>
              <w:end w:w="0" w:type="dxa"/>
            </w:tcMar>
          </w:tcPr>
          <w:p>
            <w:pPr>
              <w:autoSpaceDN w:val="0"/>
              <w:autoSpaceDE w:val="0"/>
              <w:widowControl/>
              <w:spacing w:line="233" w:lineRule="auto" w:before="0" w:after="0"/>
              <w:ind w:left="0" w:right="58" w:firstLine="0"/>
              <w:jc w:val="right"/>
            </w:pPr>
            <w:r>
              <w:rPr>
                <w:rFonts w:ascii="Arial" w:hAnsi="Arial" w:eastAsia="Arial"/>
                <w:b w:val="0"/>
                <w:i w:val="0"/>
                <w:color w:val="000000"/>
                <w:sz w:val="18"/>
              </w:rPr>
              <w:t xml:space="preserve">(15,723,552 ) </w:t>
            </w:r>
          </w:p>
        </w:tc>
        <w:tc>
          <w:tcPr>
            <w:tcW w:type="dxa" w:w="1642"/>
            <w:tcBorders/>
            <w:tcMar>
              <w:start w:w="0" w:type="dxa"/>
              <w:end w:w="0" w:type="dxa"/>
            </w:tcMar>
          </w:tcPr>
          <w:p>
            <w:pPr>
              <w:autoSpaceDN w:val="0"/>
              <w:autoSpaceDE w:val="0"/>
              <w:widowControl/>
              <w:spacing w:line="233" w:lineRule="auto" w:before="0" w:after="0"/>
              <w:ind w:left="0" w:right="168" w:firstLine="0"/>
              <w:jc w:val="right"/>
            </w:pPr>
            <w:r>
              <w:rPr>
                <w:rFonts w:ascii="Arial" w:hAnsi="Arial" w:eastAsia="Arial"/>
                <w:b w:val="0"/>
                <w:i w:val="0"/>
                <w:color w:val="000000"/>
                <w:sz w:val="18"/>
              </w:rPr>
              <w:t>-</w:t>
            </w:r>
          </w:p>
        </w:tc>
        <w:tc>
          <w:tcPr>
            <w:tcW w:type="dxa" w:w="192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8"/>
              </w:rPr>
              <w:t xml:space="preserve">(317,169,527) </w:t>
            </w:r>
          </w:p>
        </w:tc>
      </w:tr>
      <w:tr>
        <w:trPr>
          <w:trHeight w:hRule="exact" w:val="258"/>
        </w:trPr>
        <w:tc>
          <w:tcPr>
            <w:tcW w:type="dxa" w:w="2298"/>
            <w:tcBorders>
              <w:bottom w:sz="3.200000000000273" w:val="single" w:color="#000000"/>
            </w:tcBorders>
            <w:tcMar>
              <w:start w:w="0" w:type="dxa"/>
              <w:end w:w="0" w:type="dxa"/>
            </w:tcMar>
          </w:tcPr>
          <w:p>
            <w:pPr>
              <w:autoSpaceDN w:val="0"/>
              <w:autoSpaceDE w:val="0"/>
              <w:widowControl/>
              <w:spacing w:line="180" w:lineRule="exact" w:before="46" w:after="0"/>
              <w:ind w:left="180" w:right="0" w:firstLine="0"/>
              <w:jc w:val="left"/>
            </w:pPr>
            <w:r>
              <w:rPr>
                <w:rFonts w:ascii="黑体" w:hAnsi="黑体" w:eastAsia="黑体"/>
                <w:b w:val="0"/>
                <w:i w:val="0"/>
                <w:color w:val="000000"/>
                <w:sz w:val="18"/>
              </w:rPr>
              <w:t>其他金融负债</w:t>
            </w:r>
          </w:p>
        </w:tc>
        <w:tc>
          <w:tcPr>
            <w:tcW w:type="dxa" w:w="1644"/>
            <w:tcBorders>
              <w:bottom w:sz="3.200000000000273" w:val="single" w:color="#000000"/>
            </w:tcBorders>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4"/>
            <w:tcBorders>
              <w:bottom w:sz="3.200000000000273" w:val="single" w:color="#000000"/>
            </w:tcBorders>
            <w:tcMar>
              <w:start w:w="0" w:type="dxa"/>
              <w:end w:w="0" w:type="dxa"/>
            </w:tcMar>
          </w:tcPr>
          <w:p>
            <w:pPr>
              <w:autoSpaceDN w:val="0"/>
              <w:autoSpaceDE w:val="0"/>
              <w:widowControl/>
              <w:spacing w:line="233" w:lineRule="auto" w:before="52" w:after="0"/>
              <w:ind w:left="0" w:right="170" w:firstLine="0"/>
              <w:jc w:val="right"/>
            </w:pPr>
            <w:r>
              <w:rPr>
                <w:rFonts w:ascii="Arial" w:hAnsi="Arial" w:eastAsia="Arial"/>
                <w:b w:val="0"/>
                <w:i w:val="0"/>
                <w:color w:val="000000"/>
                <w:sz w:val="18"/>
              </w:rPr>
              <w:t>-</w:t>
            </w:r>
          </w:p>
        </w:tc>
        <w:tc>
          <w:tcPr>
            <w:tcW w:type="dxa" w:w="1642"/>
            <w:tcBorders>
              <w:bottom w:sz="3.200000000000273" w:val="single" w:color="#000000"/>
            </w:tcBorders>
            <w:tcMar>
              <w:start w:w="0" w:type="dxa"/>
              <w:end w:w="0" w:type="dxa"/>
            </w:tcMar>
          </w:tcPr>
          <w:p>
            <w:pPr>
              <w:autoSpaceDN w:val="0"/>
              <w:autoSpaceDE w:val="0"/>
              <w:widowControl/>
              <w:spacing w:line="233" w:lineRule="auto" w:before="52" w:after="0"/>
              <w:ind w:left="0" w:right="118" w:firstLine="0"/>
              <w:jc w:val="right"/>
            </w:pPr>
            <w:r>
              <w:rPr>
                <w:rFonts w:ascii="Arial" w:hAnsi="Arial" w:eastAsia="Arial"/>
                <w:b w:val="0"/>
                <w:i w:val="0"/>
                <w:color w:val="000000"/>
                <w:sz w:val="18"/>
              </w:rPr>
              <w:t xml:space="preserve">- </w:t>
            </w:r>
          </w:p>
        </w:tc>
        <w:tc>
          <w:tcPr>
            <w:tcW w:type="dxa" w:w="1642"/>
            <w:tcBorders>
              <w:bottom w:sz="3.200000000000273" w:val="single" w:color="#000000"/>
            </w:tcBorders>
            <w:tcMar>
              <w:start w:w="0" w:type="dxa"/>
              <w:end w:w="0" w:type="dxa"/>
            </w:tcMar>
          </w:tcPr>
          <w:p>
            <w:pPr>
              <w:autoSpaceDN w:val="0"/>
              <w:autoSpaceDE w:val="0"/>
              <w:widowControl/>
              <w:spacing w:line="233" w:lineRule="auto" w:before="52" w:after="0"/>
              <w:ind w:left="0" w:right="58" w:firstLine="0"/>
              <w:jc w:val="right"/>
            </w:pPr>
            <w:r>
              <w:rPr>
                <w:rFonts w:ascii="Arial" w:hAnsi="Arial" w:eastAsia="Arial"/>
                <w:b w:val="0"/>
                <w:i w:val="0"/>
                <w:color w:val="000000"/>
                <w:sz w:val="18"/>
              </w:rPr>
              <w:t xml:space="preserve">(605,268) </w:t>
            </w:r>
          </w:p>
        </w:tc>
        <w:tc>
          <w:tcPr>
            <w:tcW w:type="dxa" w:w="1644"/>
            <w:tcBorders>
              <w:bottom w:sz="3.200000000000273" w:val="single" w:color="#000000"/>
            </w:tcBorders>
            <w:tcMar>
              <w:start w:w="0" w:type="dxa"/>
              <w:end w:w="0" w:type="dxa"/>
            </w:tcMar>
          </w:tcPr>
          <w:p>
            <w:pPr>
              <w:autoSpaceDN w:val="0"/>
              <w:autoSpaceDE w:val="0"/>
              <w:widowControl/>
              <w:spacing w:line="233" w:lineRule="auto" w:before="52" w:after="0"/>
              <w:ind w:left="0" w:right="120" w:firstLine="0"/>
              <w:jc w:val="right"/>
            </w:pPr>
            <w:r>
              <w:rPr>
                <w:rFonts w:ascii="Arial" w:hAnsi="Arial" w:eastAsia="Arial"/>
                <w:b w:val="0"/>
                <w:i w:val="0"/>
                <w:color w:val="000000"/>
                <w:sz w:val="18"/>
              </w:rPr>
              <w:t xml:space="preserve">- </w:t>
            </w:r>
          </w:p>
        </w:tc>
        <w:tc>
          <w:tcPr>
            <w:tcW w:type="dxa" w:w="1642"/>
            <w:tcBorders>
              <w:bottom w:sz="3.200000000000273" w:val="single" w:color="#000000"/>
            </w:tcBorders>
            <w:tcMar>
              <w:start w:w="0" w:type="dxa"/>
              <w:end w:w="0" w:type="dxa"/>
            </w:tcMar>
          </w:tcPr>
          <w:p>
            <w:pPr>
              <w:autoSpaceDN w:val="0"/>
              <w:autoSpaceDE w:val="0"/>
              <w:widowControl/>
              <w:spacing w:line="233" w:lineRule="auto" w:before="52" w:after="0"/>
              <w:ind w:left="262" w:right="0" w:firstLine="0"/>
              <w:jc w:val="left"/>
            </w:pPr>
            <w:r>
              <w:rPr>
                <w:rFonts w:ascii="Arial" w:hAnsi="Arial" w:eastAsia="Arial"/>
                <w:b w:val="0"/>
                <w:i w:val="0"/>
                <w:color w:val="000000"/>
                <w:sz w:val="18"/>
              </w:rPr>
              <w:t xml:space="preserve">(2,106,452,044) </w:t>
            </w:r>
          </w:p>
        </w:tc>
        <w:tc>
          <w:tcPr>
            <w:tcW w:type="dxa" w:w="1924"/>
            <w:tcBorders>
              <w:bottom w:sz="3.200000000000273" w:val="single" w:color="#000000"/>
            </w:tcBorders>
            <w:tcMar>
              <w:start w:w="0" w:type="dxa"/>
              <w:end w:w="0" w:type="dxa"/>
            </w:tcMar>
          </w:tcPr>
          <w:p>
            <w:pPr>
              <w:autoSpaceDN w:val="0"/>
              <w:autoSpaceDE w:val="0"/>
              <w:widowControl/>
              <w:spacing w:line="233" w:lineRule="auto" w:before="52" w:after="0"/>
              <w:ind w:left="0" w:right="0" w:firstLine="0"/>
              <w:jc w:val="right"/>
            </w:pPr>
            <w:r>
              <w:rPr>
                <w:rFonts w:ascii="Arial" w:hAnsi="Arial" w:eastAsia="Arial"/>
                <w:b w:val="0"/>
                <w:i w:val="0"/>
                <w:color w:val="000000"/>
                <w:sz w:val="18"/>
              </w:rPr>
              <w:t xml:space="preserve">(2,107,057,312) </w:t>
            </w:r>
          </w:p>
        </w:tc>
      </w:tr>
      <w:tr>
        <w:trPr>
          <w:trHeight w:hRule="exact" w:val="450"/>
        </w:trPr>
        <w:tc>
          <w:tcPr>
            <w:tcW w:type="dxa" w:w="2298"/>
            <w:tcBorders>
              <w:top w:sz="3.200000000000273" w:val="single" w:color="#000000"/>
              <w:bottom w:sz="4.0" w:val="single" w:color="#000000"/>
            </w:tcBorders>
            <w:tcMar>
              <w:start w:w="0" w:type="dxa"/>
              <w:end w:w="0" w:type="dxa"/>
            </w:tcMar>
          </w:tcPr>
          <w:p>
            <w:pPr>
              <w:autoSpaceDN w:val="0"/>
              <w:autoSpaceDE w:val="0"/>
              <w:widowControl/>
              <w:spacing w:line="180" w:lineRule="exact" w:before="236" w:after="0"/>
              <w:ind w:left="0" w:right="0" w:firstLine="0"/>
              <w:jc w:val="left"/>
            </w:pPr>
            <w:r>
              <w:rPr>
                <w:rFonts w:ascii="黑体" w:hAnsi="黑体" w:eastAsia="黑体"/>
                <w:b w:val="0"/>
                <w:i w:val="0"/>
                <w:color w:val="000000"/>
                <w:sz w:val="18"/>
              </w:rPr>
              <w:t>金融负债合计</w:t>
            </w:r>
          </w:p>
        </w:tc>
        <w:tc>
          <w:tcPr>
            <w:tcW w:type="dxa" w:w="164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162" w:right="0" w:firstLine="0"/>
              <w:jc w:val="left"/>
            </w:pPr>
            <w:r>
              <w:rPr>
                <w:rFonts w:ascii="Arial" w:hAnsi="Arial" w:eastAsia="Arial"/>
                <w:b w:val="0"/>
                <w:i w:val="0"/>
                <w:color w:val="000000"/>
                <w:sz w:val="18"/>
              </w:rPr>
              <w:t xml:space="preserve">(21,881,566,301) </w:t>
            </w:r>
          </w:p>
        </w:tc>
        <w:tc>
          <w:tcPr>
            <w:tcW w:type="dxa" w:w="164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62" w:right="0" w:firstLine="0"/>
              <w:jc w:val="left"/>
            </w:pPr>
            <w:r>
              <w:rPr>
                <w:rFonts w:ascii="Arial" w:hAnsi="Arial" w:eastAsia="Arial"/>
                <w:b w:val="0"/>
                <w:i w:val="0"/>
                <w:color w:val="000000"/>
                <w:sz w:val="18"/>
              </w:rPr>
              <w:t xml:space="preserve">(2,117,759,706) </w:t>
            </w:r>
          </w:p>
        </w:tc>
        <w:tc>
          <w:tcPr>
            <w:tcW w:type="dxa" w:w="164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62" w:right="0" w:firstLine="0"/>
              <w:jc w:val="left"/>
            </w:pPr>
            <w:r>
              <w:rPr>
                <w:rFonts w:ascii="Arial" w:hAnsi="Arial" w:eastAsia="Arial"/>
                <w:b w:val="0"/>
                <w:i w:val="0"/>
                <w:color w:val="000000"/>
                <w:sz w:val="18"/>
              </w:rPr>
              <w:t xml:space="preserve">(8,206,703,452 ) </w:t>
            </w:r>
          </w:p>
        </w:tc>
        <w:tc>
          <w:tcPr>
            <w:tcW w:type="dxa" w:w="164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262" w:right="0" w:firstLine="0"/>
              <w:jc w:val="left"/>
            </w:pPr>
            <w:r>
              <w:rPr>
                <w:rFonts w:ascii="Arial" w:hAnsi="Arial" w:eastAsia="Arial"/>
                <w:b w:val="0"/>
                <w:i w:val="0"/>
                <w:color w:val="000000"/>
                <w:sz w:val="18"/>
              </w:rPr>
              <w:t xml:space="preserve">(9,260,892,334) </w:t>
            </w:r>
          </w:p>
        </w:tc>
        <w:tc>
          <w:tcPr>
            <w:tcW w:type="dxa" w:w="164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0" w:right="58" w:firstLine="0"/>
              <w:jc w:val="right"/>
            </w:pPr>
            <w:r>
              <w:rPr>
                <w:rFonts w:ascii="Arial" w:hAnsi="Arial" w:eastAsia="Arial"/>
                <w:b w:val="0"/>
                <w:i w:val="0"/>
                <w:color w:val="000000"/>
                <w:sz w:val="18"/>
              </w:rPr>
              <w:t xml:space="preserve">(15,723,552 ) </w:t>
            </w:r>
          </w:p>
        </w:tc>
        <w:tc>
          <w:tcPr>
            <w:tcW w:type="dxa" w:w="1642"/>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164" w:right="0" w:firstLine="0"/>
              <w:jc w:val="left"/>
            </w:pPr>
            <w:r>
              <w:rPr>
                <w:rFonts w:ascii="Arial" w:hAnsi="Arial" w:eastAsia="Arial"/>
                <w:b w:val="0"/>
                <w:i w:val="0"/>
                <w:color w:val="000000"/>
                <w:sz w:val="18"/>
              </w:rPr>
              <w:t xml:space="preserve">(17,554,534,953) </w:t>
            </w:r>
          </w:p>
        </w:tc>
        <w:tc>
          <w:tcPr>
            <w:tcW w:type="dxa" w:w="1924"/>
            <w:tcBorders>
              <w:top w:sz="3.200000000000273" w:val="single" w:color="#000000"/>
              <w:bottom w:sz="4.0" w:val="single" w:color="#000000"/>
            </w:tcBorders>
            <w:tcMar>
              <w:start w:w="0" w:type="dxa"/>
              <w:end w:w="0" w:type="dxa"/>
            </w:tcMar>
          </w:tcPr>
          <w:p>
            <w:pPr>
              <w:autoSpaceDN w:val="0"/>
              <w:autoSpaceDE w:val="0"/>
              <w:widowControl/>
              <w:spacing w:line="233" w:lineRule="auto" w:before="240" w:after="0"/>
              <w:ind w:left="0" w:right="0" w:firstLine="0"/>
              <w:jc w:val="right"/>
            </w:pPr>
            <w:r>
              <w:rPr>
                <w:rFonts w:ascii="Arial" w:hAnsi="Arial" w:eastAsia="Arial"/>
                <w:b w:val="0"/>
                <w:i w:val="0"/>
                <w:color w:val="000000"/>
                <w:sz w:val="18"/>
              </w:rPr>
              <w:t xml:space="preserve">(59,037,180,298) </w:t>
            </w:r>
          </w:p>
        </w:tc>
      </w:tr>
      <w:tr>
        <w:trPr>
          <w:trHeight w:hRule="exact" w:val="454"/>
        </w:trPr>
        <w:tc>
          <w:tcPr>
            <w:tcW w:type="dxa" w:w="2298"/>
            <w:tcBorders>
              <w:top w:sz="4.0" w:val="single" w:color="#000000"/>
              <w:bottom w:sz="4.0" w:val="single" w:color="#000000"/>
            </w:tcBorders>
            <w:tcMar>
              <w:start w:w="0" w:type="dxa"/>
              <w:end w:w="0" w:type="dxa"/>
            </w:tcMar>
          </w:tcPr>
          <w:p>
            <w:pPr>
              <w:autoSpaceDN w:val="0"/>
              <w:autoSpaceDE w:val="0"/>
              <w:widowControl/>
              <w:spacing w:line="180" w:lineRule="exact" w:before="234" w:after="0"/>
              <w:ind w:left="0" w:right="0" w:firstLine="0"/>
              <w:jc w:val="left"/>
            </w:pPr>
            <w:r>
              <w:rPr>
                <w:rFonts w:ascii="黑体" w:hAnsi="黑体" w:eastAsia="黑体"/>
                <w:b w:val="0"/>
                <w:i w:val="0"/>
                <w:color w:val="000000"/>
                <w:sz w:val="18"/>
              </w:rPr>
              <w:t>利率敏感度敞口总计</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0" w:after="0"/>
              <w:ind w:left="320" w:right="0" w:firstLine="0"/>
              <w:jc w:val="left"/>
            </w:pPr>
            <w:r>
              <w:rPr>
                <w:rFonts w:ascii="Arial" w:hAnsi="Arial" w:eastAsia="Arial"/>
                <w:b w:val="0"/>
                <w:i w:val="0"/>
                <w:color w:val="000000"/>
                <w:sz w:val="18"/>
              </w:rPr>
              <w:t>5,794,316,430</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170" w:firstLine="0"/>
              <w:jc w:val="right"/>
            </w:pPr>
            <w:r>
              <w:rPr>
                <w:rFonts w:ascii="Arial" w:hAnsi="Arial" w:eastAsia="Arial"/>
                <w:b w:val="0"/>
                <w:i w:val="0"/>
                <w:color w:val="000000"/>
                <w:sz w:val="18"/>
              </w:rPr>
              <w:t>425,262,607</w:t>
            </w:r>
          </w:p>
        </w:tc>
        <w:tc>
          <w:tcPr>
            <w:tcW w:type="dxa" w:w="1642"/>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58" w:firstLine="0"/>
              <w:jc w:val="right"/>
            </w:pPr>
            <w:r>
              <w:rPr>
                <w:rFonts w:ascii="Arial" w:hAnsi="Arial" w:eastAsia="Arial"/>
                <w:b w:val="0"/>
                <w:i w:val="0"/>
                <w:color w:val="000000"/>
                <w:sz w:val="18"/>
              </w:rPr>
              <w:t xml:space="preserve">(44,151,900 ) </w:t>
            </w:r>
          </w:p>
        </w:tc>
        <w:tc>
          <w:tcPr>
            <w:tcW w:type="dxa" w:w="1642"/>
            <w:tcBorders>
              <w:top w:sz="4.0" w:val="single" w:color="#000000"/>
              <w:bottom w:sz="4.0" w:val="single" w:color="#000000"/>
            </w:tcBorders>
            <w:tcMar>
              <w:start w:w="0" w:type="dxa"/>
              <w:end w:w="0" w:type="dxa"/>
            </w:tcMar>
          </w:tcPr>
          <w:p>
            <w:pPr>
              <w:autoSpaceDN w:val="0"/>
              <w:autoSpaceDE w:val="0"/>
              <w:widowControl/>
              <w:spacing w:line="235" w:lineRule="auto" w:before="240" w:after="0"/>
              <w:ind w:left="322" w:right="0" w:firstLine="0"/>
              <w:jc w:val="left"/>
            </w:pPr>
            <w:r>
              <w:rPr>
                <w:rFonts w:ascii="Arial" w:hAnsi="Arial" w:eastAsia="Arial"/>
                <w:b w:val="0"/>
                <w:i w:val="0"/>
                <w:color w:val="000000"/>
                <w:sz w:val="18"/>
              </w:rPr>
              <w:t>1,842,644,300</w:t>
            </w:r>
          </w:p>
        </w:tc>
        <w:tc>
          <w:tcPr>
            <w:tcW w:type="dxa" w:w="1644"/>
            <w:tcBorders>
              <w:top w:sz="4.0" w:val="single" w:color="#000000"/>
              <w:bottom w:sz="4.0" w:val="single" w:color="#000000"/>
            </w:tcBorders>
            <w:tcMar>
              <w:start w:w="0" w:type="dxa"/>
              <w:end w:w="0" w:type="dxa"/>
            </w:tcMar>
          </w:tcPr>
          <w:p>
            <w:pPr>
              <w:autoSpaceDN w:val="0"/>
              <w:autoSpaceDE w:val="0"/>
              <w:widowControl/>
              <w:spacing w:line="235" w:lineRule="auto" w:before="240" w:after="0"/>
              <w:ind w:left="320" w:right="0" w:firstLine="0"/>
              <w:jc w:val="left"/>
            </w:pPr>
            <w:r>
              <w:rPr>
                <w:rFonts w:ascii="Arial" w:hAnsi="Arial" w:eastAsia="Arial"/>
                <w:b w:val="0"/>
                <w:i w:val="0"/>
                <w:color w:val="000000"/>
                <w:sz w:val="18"/>
              </w:rPr>
              <w:t xml:space="preserve">9,750,016,930 </w:t>
            </w:r>
          </w:p>
        </w:tc>
        <w:tc>
          <w:tcPr>
            <w:tcW w:type="dxa" w:w="1642"/>
            <w:tcBorders>
              <w:top w:sz="4.0" w:val="single" w:color="#000000"/>
              <w:bottom w:sz="4.0" w:val="single" w:color="#000000"/>
            </w:tcBorders>
            <w:tcMar>
              <w:start w:w="0" w:type="dxa"/>
              <w:end w:w="0" w:type="dxa"/>
            </w:tcMar>
          </w:tcPr>
          <w:p>
            <w:pPr>
              <w:autoSpaceDN w:val="0"/>
              <w:autoSpaceDE w:val="0"/>
              <w:widowControl/>
              <w:spacing w:line="235" w:lineRule="auto" w:before="240" w:after="0"/>
              <w:ind w:left="262" w:right="0" w:firstLine="0"/>
              <w:jc w:val="left"/>
            </w:pPr>
            <w:r>
              <w:rPr>
                <w:rFonts w:ascii="Arial" w:hAnsi="Arial" w:eastAsia="Arial"/>
                <w:b w:val="0"/>
                <w:i w:val="0"/>
                <w:color w:val="000000"/>
                <w:sz w:val="18"/>
              </w:rPr>
              <w:t xml:space="preserve">(1,300,974,516) </w:t>
            </w:r>
          </w:p>
        </w:tc>
        <w:tc>
          <w:tcPr>
            <w:tcW w:type="dxa" w:w="1924"/>
            <w:tcBorders>
              <w:top w:sz="4.0" w:val="single" w:color="#000000"/>
              <w:bottom w:sz="4.0" w:val="single" w:color="#000000"/>
            </w:tcBorders>
            <w:tcMar>
              <w:start w:w="0" w:type="dxa"/>
              <w:end w:w="0" w:type="dxa"/>
            </w:tcMar>
          </w:tcPr>
          <w:p>
            <w:pPr>
              <w:autoSpaceDN w:val="0"/>
              <w:autoSpaceDE w:val="0"/>
              <w:widowControl/>
              <w:spacing w:line="235" w:lineRule="auto" w:before="240" w:after="0"/>
              <w:ind w:left="0" w:right="108" w:firstLine="0"/>
              <w:jc w:val="right"/>
            </w:pPr>
            <w:r>
              <w:rPr>
                <w:rFonts w:ascii="Arial" w:hAnsi="Arial" w:eastAsia="Arial"/>
                <w:b w:val="0"/>
                <w:i w:val="0"/>
                <w:color w:val="000000"/>
                <w:sz w:val="18"/>
              </w:rPr>
              <w:t>16,467,113,851</w:t>
            </w:r>
          </w:p>
        </w:tc>
      </w:tr>
      <w:tr>
        <w:trPr>
          <w:trHeight w:hRule="exact" w:val="52"/>
        </w:trPr>
        <w:tc>
          <w:tcPr>
            <w:tcW w:type="dxa" w:w="2298"/>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644"/>
            <w:tcBorders>
              <w:top w:sz="4.0" w:val="single" w:color="#000000"/>
            </w:tcBorders>
            <w:tcMar>
              <w:start w:w="0" w:type="dxa"/>
              <w:end w:w="0" w:type="dxa"/>
            </w:tcMar>
          </w:tcPr>
          <w:p/>
        </w:tc>
        <w:tc>
          <w:tcPr>
            <w:tcW w:type="dxa" w:w="1642"/>
            <w:tcBorders>
              <w:top w:sz="4.0" w:val="single" w:color="#000000"/>
            </w:tcBorders>
            <w:tcMar>
              <w:start w:w="0" w:type="dxa"/>
              <w:end w:w="0" w:type="dxa"/>
            </w:tcMar>
          </w:tcPr>
          <w:p/>
        </w:tc>
        <w:tc>
          <w:tcPr>
            <w:tcW w:type="dxa" w:w="1924"/>
            <w:tcBorders>
              <w:top w:sz="4.0" w:val="single" w:color="#000000"/>
            </w:tcBorders>
            <w:tcMar>
              <w:start w:w="0" w:type="dxa"/>
              <w:end w:w="0" w:type="dxa"/>
            </w:tcMar>
          </w:tcPr>
          <w:p/>
        </w:tc>
      </w:tr>
    </w:tbl>
    <w:p>
      <w:pPr>
        <w:autoSpaceDN w:val="0"/>
        <w:autoSpaceDE w:val="0"/>
        <w:widowControl/>
        <w:spacing w:line="233" w:lineRule="auto" w:before="2604" w:after="0"/>
        <w:ind w:left="0" w:right="6896" w:firstLine="0"/>
        <w:jc w:val="right"/>
      </w:pPr>
      <w:r>
        <w:rPr>
          <w:rFonts w:ascii="Arial" w:hAnsi="Arial" w:eastAsia="Arial"/>
          <w:b w:val="0"/>
          <w:i w:val="0"/>
          <w:color w:val="000000"/>
          <w:sz w:val="20"/>
        </w:rPr>
        <w:t xml:space="preserve">287 </w:t>
      </w:r>
    </w:p>
    <w:p>
      <w:pPr>
        <w:sectPr>
          <w:pgSz w:w="16841" w:h="11899"/>
          <w:pgMar w:top="1166" w:right="130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358" w:val="left"/>
          <w:tab w:pos="1030" w:val="left"/>
        </w:tabs>
        <w:autoSpaceDE w:val="0"/>
        <w:widowControl/>
        <w:spacing w:line="424" w:lineRule="exact" w:before="0" w:after="246"/>
        <w:ind w:left="296" w:right="288"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3. </w:t>
      </w:r>
      <w:r>
        <w:tab/>
      </w:r>
      <w:r>
        <w:rPr>
          <w:rFonts w:ascii="黑体" w:hAnsi="黑体" w:eastAsia="黑体"/>
          <w:b w:val="0"/>
          <w:i w:val="0"/>
          <w:color w:val="000000"/>
          <w:sz w:val="22"/>
        </w:rPr>
        <w:t>利率风险（续）</w:t>
      </w:r>
      <w:r>
        <w:br/>
      </w: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利率敏感性分析</w:t>
      </w:r>
      <w:r>
        <w:br/>
      </w:r>
      <w:r>
        <w:rPr>
          <w:rFonts w:ascii="黑体" w:hAnsi="黑体" w:eastAsia="黑体"/>
          <w:b w:val="0"/>
          <w:i w:val="0"/>
          <w:color w:val="000000"/>
          <w:sz w:val="22"/>
        </w:rPr>
        <w:t>于资产负债表日，在其他变量不变的情况下，假定利率上升或下降</w:t>
      </w:r>
      <w:r>
        <w:rPr>
          <w:rFonts w:ascii="Arial" w:hAnsi="Arial" w:eastAsia="Arial"/>
          <w:b w:val="0"/>
          <w:i w:val="0"/>
          <w:color w:val="000000"/>
          <w:sz w:val="22"/>
        </w:rPr>
        <w:t>25</w:t>
      </w:r>
      <w:r>
        <w:rPr>
          <w:rFonts w:ascii="黑体" w:hAnsi="黑体" w:eastAsia="黑体"/>
          <w:b w:val="0"/>
          <w:i w:val="0"/>
          <w:color w:val="000000"/>
          <w:sz w:val="22"/>
        </w:rPr>
        <w:t>个基点，将对本</w:t>
      </w:r>
      <w:r>
        <w:rPr>
          <w:rFonts w:ascii="黑体" w:hAnsi="黑体" w:eastAsia="黑体"/>
          <w:b w:val="0"/>
          <w:i w:val="0"/>
          <w:color w:val="000000"/>
          <w:sz w:val="22"/>
        </w:rPr>
        <w:t>集团该期间净利润和股东权益产生的影响如下：</w:t>
      </w:r>
    </w:p>
    <w:tbl>
      <w:tblPr>
        <w:tblW w:type="auto" w:w="0"/>
        <w:tblLayout w:type="fixed"/>
        <w:tblLook w:firstColumn="1" w:firstRow="1" w:lastColumn="0" w:lastRow="0" w:noHBand="0" w:noVBand="1" w:val="04A0"/>
        <w:tblInd w:w="358.0000000000001" w:type="dxa"/>
      </w:tblPr>
      <w:tblGrid>
        <w:gridCol w:w="3006"/>
        <w:gridCol w:w="3006"/>
        <w:gridCol w:w="3006"/>
      </w:tblGrid>
      <w:tr>
        <w:trPr>
          <w:trHeight w:hRule="exact" w:val="316"/>
        </w:trPr>
        <w:tc>
          <w:tcPr>
            <w:tcW w:type="dxa" w:w="3822"/>
            <w:vMerge w:val="restart"/>
            <w:tcBorders>
              <w:bottom w:sz="4.7999999999999545" w:val="single" w:color="#000000"/>
            </w:tcBorders>
            <w:tcMar>
              <w:start w:w="0" w:type="dxa"/>
              <w:end w:w="0" w:type="dxa"/>
            </w:tcMar>
            <w:tcMar>
              <w:start w:w="0" w:type="dxa"/>
              <w:end w:w="0" w:type="dxa"/>
            </w:tcMar>
          </w:tcPr>
          <w:p>
            <w:pPr>
              <w:autoSpaceDN w:val="0"/>
              <w:autoSpaceDE w:val="0"/>
              <w:widowControl/>
              <w:spacing w:line="220" w:lineRule="exact" w:before="356" w:after="0"/>
              <w:ind w:left="0" w:right="0" w:firstLine="0"/>
              <w:jc w:val="left"/>
            </w:pPr>
            <w:r>
              <w:rPr>
                <w:rFonts w:ascii="黑体" w:hAnsi="黑体" w:eastAsia="黑体"/>
                <w:b w:val="0"/>
                <w:i w:val="0"/>
                <w:color w:val="000000"/>
                <w:sz w:val="22"/>
              </w:rPr>
              <w:t>净利润变动</w:t>
            </w:r>
          </w:p>
        </w:tc>
        <w:tc>
          <w:tcPr>
            <w:tcW w:type="dxa" w:w="2720"/>
            <w:tcBorders/>
            <w:tcMar>
              <w:start w:w="0" w:type="dxa"/>
              <w:end w:w="0" w:type="dxa"/>
            </w:tcMar>
          </w:tcPr>
          <w:p>
            <w:pPr>
              <w:autoSpaceDN w:val="0"/>
              <w:autoSpaceDE w:val="0"/>
              <w:widowControl/>
              <w:spacing w:line="246" w:lineRule="exact" w:before="60" w:after="0"/>
              <w:ind w:left="0" w:right="304"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940"/>
            <w:tcBorders/>
            <w:tcMar>
              <w:start w:w="0" w:type="dxa"/>
              <w:end w:w="0" w:type="dxa"/>
            </w:tcMar>
          </w:tcPr>
          <w:p>
            <w:pPr>
              <w:autoSpaceDN w:val="0"/>
              <w:autoSpaceDE w:val="0"/>
              <w:widowControl/>
              <w:spacing w:line="246" w:lineRule="exact" w:before="60" w:after="0"/>
              <w:ind w:left="0" w:right="14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268"/>
        </w:trPr>
        <w:tc>
          <w:tcPr>
            <w:tcW w:type="dxa" w:w="3006"/>
            <w:vMerge/>
            <w:tcBorders>
              <w:bottom w:sz="4.7999999999999545" w:val="single" w:color="#000000"/>
            </w:tcBorders>
          </w:tcPr>
          <w:p/>
        </w:tc>
        <w:tc>
          <w:tcPr>
            <w:tcW w:type="dxa" w:w="2720"/>
            <w:tcBorders>
              <w:bottom w:sz="4.7999999999999545" w:val="single" w:color="#000000"/>
            </w:tcBorders>
            <w:tcMar>
              <w:start w:w="0" w:type="dxa"/>
              <w:end w:w="0" w:type="dxa"/>
            </w:tcMar>
          </w:tcPr>
          <w:p>
            <w:pPr>
              <w:autoSpaceDN w:val="0"/>
              <w:autoSpaceDE w:val="0"/>
              <w:widowControl/>
              <w:spacing w:line="246" w:lineRule="exact" w:before="16" w:after="0"/>
              <w:ind w:left="0" w:right="300" w:firstLine="0"/>
              <w:jc w:val="right"/>
            </w:pPr>
            <w:r>
              <w:rPr>
                <w:rFonts w:ascii="黑体" w:hAnsi="黑体" w:eastAsia="黑体"/>
                <w:b w:val="0"/>
                <w:i w:val="0"/>
                <w:color w:val="000000"/>
                <w:sz w:val="22"/>
              </w:rPr>
              <w:t>（减少）</w:t>
            </w:r>
            <w:r>
              <w:rPr>
                <w:rFonts w:ascii="Arial" w:hAnsi="Arial" w:eastAsia="Arial"/>
                <w:b w:val="0"/>
                <w:i w:val="0"/>
                <w:color w:val="000000"/>
                <w:sz w:val="22"/>
              </w:rPr>
              <w:t>/</w:t>
            </w:r>
            <w:r>
              <w:rPr>
                <w:rFonts w:ascii="黑体" w:hAnsi="黑体" w:eastAsia="黑体"/>
                <w:b w:val="0"/>
                <w:i w:val="0"/>
                <w:color w:val="000000"/>
                <w:sz w:val="22"/>
              </w:rPr>
              <w:t>增加</w:t>
            </w:r>
          </w:p>
        </w:tc>
        <w:tc>
          <w:tcPr>
            <w:tcW w:type="dxa" w:w="1940"/>
            <w:tcBorders>
              <w:bottom w:sz="4.7999999999999545" w:val="single" w:color="#000000"/>
            </w:tcBorders>
            <w:tcMar>
              <w:start w:w="0" w:type="dxa"/>
              <w:end w:w="0" w:type="dxa"/>
            </w:tcMar>
          </w:tcPr>
          <w:p>
            <w:pPr>
              <w:autoSpaceDN w:val="0"/>
              <w:autoSpaceDE w:val="0"/>
              <w:widowControl/>
              <w:spacing w:line="246" w:lineRule="exact" w:before="16" w:after="0"/>
              <w:ind w:left="410" w:right="0" w:firstLine="0"/>
              <w:jc w:val="left"/>
            </w:pPr>
            <w:r>
              <w:rPr>
                <w:rFonts w:ascii="黑体" w:hAnsi="黑体" w:eastAsia="黑体"/>
                <w:b w:val="0"/>
                <w:i w:val="0"/>
                <w:color w:val="000000"/>
                <w:sz w:val="22"/>
              </w:rPr>
              <w:t>（减少）</w:t>
            </w:r>
            <w:r>
              <w:rPr>
                <w:rFonts w:ascii="Arial" w:hAnsi="Arial" w:eastAsia="Arial"/>
                <w:b w:val="0"/>
                <w:i w:val="0"/>
                <w:color w:val="000000"/>
                <w:sz w:val="22"/>
              </w:rPr>
              <w:t>/</w:t>
            </w:r>
            <w:r>
              <w:rPr>
                <w:rFonts w:ascii="黑体" w:hAnsi="黑体" w:eastAsia="黑体"/>
                <w:b w:val="0"/>
                <w:i w:val="0"/>
                <w:color w:val="000000"/>
                <w:sz w:val="22"/>
              </w:rPr>
              <w:t>增加</w:t>
            </w:r>
          </w:p>
        </w:tc>
      </w:tr>
      <w:tr>
        <w:trPr>
          <w:trHeight w:hRule="exact" w:val="552"/>
        </w:trPr>
        <w:tc>
          <w:tcPr>
            <w:tcW w:type="dxa" w:w="3822"/>
            <w:tcBorders>
              <w:top w:sz="4.7999999999999545" w:val="single" w:color="#000000"/>
            </w:tcBorders>
            <w:tcMar>
              <w:start w:w="0" w:type="dxa"/>
              <w:end w:w="0" w:type="dxa"/>
            </w:tcMar>
          </w:tcPr>
          <w:p>
            <w:pPr>
              <w:autoSpaceDN w:val="0"/>
              <w:autoSpaceDE w:val="0"/>
              <w:widowControl/>
              <w:spacing w:line="246" w:lineRule="exact" w:before="294" w:after="0"/>
              <w:ind w:left="0" w:right="0" w:firstLine="0"/>
              <w:jc w:val="left"/>
            </w:pPr>
            <w:r>
              <w:rPr>
                <w:rFonts w:ascii="黑体" w:hAnsi="黑体" w:eastAsia="黑体"/>
                <w:b w:val="0"/>
                <w:i w:val="0"/>
                <w:color w:val="000000"/>
                <w:sz w:val="22"/>
              </w:rPr>
              <w:t>收益率曲线平行上移</w:t>
            </w:r>
            <w:r>
              <w:rPr>
                <w:rFonts w:ascii="Arial" w:hAnsi="Arial" w:eastAsia="Arial"/>
                <w:b w:val="0"/>
                <w:i w:val="0"/>
                <w:color w:val="000000"/>
                <w:sz w:val="22"/>
              </w:rPr>
              <w:t>25</w:t>
            </w:r>
            <w:r>
              <w:rPr>
                <w:rFonts w:ascii="黑体" w:hAnsi="黑体" w:eastAsia="黑体"/>
                <w:b w:val="0"/>
                <w:i w:val="0"/>
                <w:color w:val="000000"/>
                <w:sz w:val="22"/>
              </w:rPr>
              <w:t>个基点</w:t>
            </w:r>
          </w:p>
        </w:tc>
        <w:tc>
          <w:tcPr>
            <w:tcW w:type="dxa" w:w="2720"/>
            <w:tcBorders>
              <w:top w:sz="4.7999999999999545" w:val="single" w:color="#000000"/>
            </w:tcBorders>
            <w:tcMar>
              <w:start w:w="0" w:type="dxa"/>
              <w:end w:w="0" w:type="dxa"/>
            </w:tcMar>
          </w:tcPr>
          <w:p>
            <w:pPr>
              <w:autoSpaceDN w:val="0"/>
              <w:autoSpaceDE w:val="0"/>
              <w:widowControl/>
              <w:spacing w:line="246" w:lineRule="exact" w:before="294" w:after="0"/>
              <w:ind w:left="0" w:right="300" w:firstLine="0"/>
              <w:jc w:val="right"/>
            </w:pPr>
            <w:r>
              <w:rPr>
                <w:rFonts w:ascii="黑体" w:hAnsi="黑体" w:eastAsia="黑体"/>
                <w:b w:val="0"/>
                <w:i w:val="0"/>
                <w:color w:val="000000"/>
                <w:sz w:val="22"/>
              </w:rPr>
              <w:t>约</w:t>
            </w:r>
            <w:r>
              <w:rPr>
                <w:rFonts w:ascii="Arial" w:hAnsi="Arial" w:eastAsia="Arial"/>
                <w:b w:val="0"/>
                <w:i w:val="0"/>
                <w:color w:val="000000"/>
                <w:sz w:val="22"/>
              </w:rPr>
              <w:t>(32,394)</w:t>
            </w:r>
            <w:r>
              <w:rPr>
                <w:rFonts w:ascii="黑体" w:hAnsi="黑体" w:eastAsia="黑体"/>
                <w:b w:val="0"/>
                <w:i w:val="0"/>
                <w:color w:val="000000"/>
                <w:sz w:val="22"/>
              </w:rPr>
              <w:t>万元</w:t>
            </w:r>
          </w:p>
        </w:tc>
        <w:tc>
          <w:tcPr>
            <w:tcW w:type="dxa" w:w="1940"/>
            <w:tcBorders>
              <w:top w:sz="4.7999999999999545" w:val="single" w:color="#000000"/>
            </w:tcBorders>
            <w:tcMar>
              <w:start w:w="0" w:type="dxa"/>
              <w:end w:w="0" w:type="dxa"/>
            </w:tcMar>
          </w:tcPr>
          <w:p>
            <w:pPr>
              <w:autoSpaceDN w:val="0"/>
              <w:autoSpaceDE w:val="0"/>
              <w:widowControl/>
              <w:spacing w:line="246" w:lineRule="exact" w:before="294" w:after="0"/>
              <w:ind w:left="314" w:right="0" w:firstLine="0"/>
              <w:jc w:val="left"/>
            </w:pPr>
            <w:r>
              <w:rPr>
                <w:rFonts w:ascii="黑体" w:hAnsi="黑体" w:eastAsia="黑体"/>
                <w:b w:val="0"/>
                <w:i w:val="0"/>
                <w:color w:val="000000"/>
                <w:sz w:val="22"/>
              </w:rPr>
              <w:t>约</w:t>
            </w:r>
            <w:r>
              <w:rPr>
                <w:rFonts w:ascii="Arial" w:hAnsi="Arial" w:eastAsia="Arial"/>
                <w:b w:val="0"/>
                <w:i w:val="0"/>
                <w:color w:val="000000"/>
                <w:sz w:val="22"/>
              </w:rPr>
              <w:t>(21,495)</w:t>
            </w:r>
            <w:r>
              <w:rPr>
                <w:rFonts w:ascii="黑体" w:hAnsi="黑体" w:eastAsia="黑体"/>
                <w:b w:val="0"/>
                <w:i w:val="0"/>
                <w:color w:val="000000"/>
                <w:sz w:val="22"/>
              </w:rPr>
              <w:t>万元</w:t>
            </w:r>
          </w:p>
        </w:tc>
      </w:tr>
      <w:tr>
        <w:trPr>
          <w:trHeight w:hRule="exact" w:val="420"/>
        </w:trPr>
        <w:tc>
          <w:tcPr>
            <w:tcW w:type="dxa" w:w="3822"/>
            <w:tcBorders/>
            <w:tcMar>
              <w:start w:w="0" w:type="dxa"/>
              <w:end w:w="0" w:type="dxa"/>
            </w:tcMar>
          </w:tcPr>
          <w:p>
            <w:pPr>
              <w:autoSpaceDN w:val="0"/>
              <w:autoSpaceDE w:val="0"/>
              <w:widowControl/>
              <w:spacing w:line="246" w:lineRule="exact" w:before="34" w:after="0"/>
              <w:ind w:left="0" w:right="0" w:firstLine="0"/>
              <w:jc w:val="left"/>
            </w:pPr>
            <w:r>
              <w:rPr>
                <w:rFonts w:ascii="黑体" w:hAnsi="黑体" w:eastAsia="黑体"/>
                <w:b w:val="0"/>
                <w:i w:val="0"/>
                <w:color w:val="000000"/>
                <w:sz w:val="22"/>
              </w:rPr>
              <w:t>收益率曲线平行下移</w:t>
            </w:r>
            <w:r>
              <w:rPr>
                <w:rFonts w:ascii="Arial" w:hAnsi="Arial" w:eastAsia="Arial"/>
                <w:b w:val="0"/>
                <w:i w:val="0"/>
                <w:color w:val="000000"/>
                <w:sz w:val="22"/>
              </w:rPr>
              <w:t>25</w:t>
            </w:r>
            <w:r>
              <w:rPr>
                <w:rFonts w:ascii="黑体" w:hAnsi="黑体" w:eastAsia="黑体"/>
                <w:b w:val="0"/>
                <w:i w:val="0"/>
                <w:color w:val="000000"/>
                <w:sz w:val="22"/>
              </w:rPr>
              <w:t>个基点</w:t>
            </w:r>
          </w:p>
        </w:tc>
        <w:tc>
          <w:tcPr>
            <w:tcW w:type="dxa" w:w="2720"/>
            <w:tcBorders/>
            <w:tcMar>
              <w:start w:w="0" w:type="dxa"/>
              <w:end w:w="0" w:type="dxa"/>
            </w:tcMar>
          </w:tcPr>
          <w:p>
            <w:pPr>
              <w:autoSpaceDN w:val="0"/>
              <w:autoSpaceDE w:val="0"/>
              <w:widowControl/>
              <w:spacing w:line="246" w:lineRule="exact" w:before="34" w:after="0"/>
              <w:ind w:left="0" w:right="300" w:firstLine="0"/>
              <w:jc w:val="right"/>
            </w:pPr>
            <w:r>
              <w:rPr>
                <w:rFonts w:ascii="黑体" w:hAnsi="黑体" w:eastAsia="黑体"/>
                <w:b w:val="0"/>
                <w:i w:val="0"/>
                <w:color w:val="000000"/>
                <w:sz w:val="22"/>
              </w:rPr>
              <w:t>约</w:t>
            </w:r>
            <w:r>
              <w:rPr>
                <w:rFonts w:ascii="Arial" w:hAnsi="Arial" w:eastAsia="Arial"/>
                <w:b w:val="0"/>
                <w:i w:val="0"/>
                <w:color w:val="000000"/>
                <w:sz w:val="22"/>
              </w:rPr>
              <w:t>33,885</w:t>
            </w:r>
            <w:r>
              <w:rPr>
                <w:rFonts w:ascii="黑体" w:hAnsi="黑体" w:eastAsia="黑体"/>
                <w:b w:val="0"/>
                <w:i w:val="0"/>
                <w:color w:val="000000"/>
                <w:sz w:val="22"/>
              </w:rPr>
              <w:t>万元</w:t>
            </w:r>
          </w:p>
        </w:tc>
        <w:tc>
          <w:tcPr>
            <w:tcW w:type="dxa" w:w="1940"/>
            <w:tcBorders/>
            <w:tcMar>
              <w:start w:w="0" w:type="dxa"/>
              <w:end w:w="0" w:type="dxa"/>
            </w:tcMar>
          </w:tcPr>
          <w:p>
            <w:pPr>
              <w:autoSpaceDN w:val="0"/>
              <w:autoSpaceDE w:val="0"/>
              <w:widowControl/>
              <w:spacing w:line="246" w:lineRule="exact" w:before="34" w:after="0"/>
              <w:ind w:left="460" w:right="0" w:firstLine="0"/>
              <w:jc w:val="left"/>
            </w:pPr>
            <w:r>
              <w:rPr>
                <w:rFonts w:ascii="黑体" w:hAnsi="黑体" w:eastAsia="黑体"/>
                <w:b w:val="0"/>
                <w:i w:val="0"/>
                <w:color w:val="000000"/>
                <w:sz w:val="22"/>
              </w:rPr>
              <w:t>约</w:t>
            </w:r>
            <w:r>
              <w:rPr>
                <w:rFonts w:ascii="Arial" w:hAnsi="Arial" w:eastAsia="Arial"/>
                <w:b w:val="0"/>
                <w:i w:val="0"/>
                <w:color w:val="000000"/>
                <w:sz w:val="22"/>
              </w:rPr>
              <w:t>22,201</w:t>
            </w:r>
            <w:r>
              <w:rPr>
                <w:rFonts w:ascii="黑体" w:hAnsi="黑体" w:eastAsia="黑体"/>
                <w:b w:val="0"/>
                <w:i w:val="0"/>
                <w:color w:val="000000"/>
                <w:sz w:val="22"/>
              </w:rPr>
              <w:t>万元</w:t>
            </w:r>
          </w:p>
        </w:tc>
      </w:tr>
      <w:tr>
        <w:trPr>
          <w:trHeight w:hRule="exact" w:val="416"/>
        </w:trPr>
        <w:tc>
          <w:tcPr>
            <w:tcW w:type="dxa" w:w="3822"/>
            <w:vMerge w:val="restart"/>
            <w:tcBorders/>
            <w:tcMar>
              <w:start w:w="0" w:type="dxa"/>
              <w:end w:w="0" w:type="dxa"/>
            </w:tcMar>
            <w:tcMar>
              <w:start w:w="0" w:type="dxa"/>
              <w:end w:w="0" w:type="dxa"/>
            </w:tcMar>
          </w:tcPr>
          <w:p>
            <w:pPr>
              <w:autoSpaceDN w:val="0"/>
              <w:autoSpaceDE w:val="0"/>
              <w:widowControl/>
              <w:spacing w:line="222" w:lineRule="exact" w:before="438" w:after="0"/>
              <w:ind w:left="0" w:right="0" w:firstLine="0"/>
              <w:jc w:val="left"/>
            </w:pPr>
            <w:r>
              <w:rPr>
                <w:rFonts w:ascii="黑体" w:hAnsi="黑体" w:eastAsia="黑体"/>
                <w:b w:val="0"/>
                <w:i w:val="0"/>
                <w:color w:val="000000"/>
                <w:sz w:val="22"/>
              </w:rPr>
              <w:t>股东权益变动</w:t>
            </w:r>
          </w:p>
        </w:tc>
        <w:tc>
          <w:tcPr>
            <w:tcW w:type="dxa" w:w="2720"/>
            <w:tcBorders/>
            <w:tcMar>
              <w:start w:w="0" w:type="dxa"/>
              <w:end w:w="0" w:type="dxa"/>
            </w:tcMar>
          </w:tcPr>
          <w:p>
            <w:pPr>
              <w:autoSpaceDN w:val="0"/>
              <w:autoSpaceDE w:val="0"/>
              <w:widowControl/>
              <w:spacing w:line="246" w:lineRule="exact" w:before="150" w:after="0"/>
              <w:ind w:left="0" w:right="304"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940"/>
            <w:tcBorders/>
            <w:tcMar>
              <w:start w:w="0" w:type="dxa"/>
              <w:end w:w="0" w:type="dxa"/>
            </w:tcMar>
          </w:tcPr>
          <w:p>
            <w:pPr>
              <w:autoSpaceDN w:val="0"/>
              <w:autoSpaceDE w:val="0"/>
              <w:widowControl/>
              <w:spacing w:line="246" w:lineRule="exact" w:before="150" w:after="0"/>
              <w:ind w:left="0" w:right="14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244"/>
        </w:trPr>
        <w:tc>
          <w:tcPr>
            <w:tcW w:type="dxa" w:w="3006"/>
            <w:vMerge/>
            <w:tcBorders/>
          </w:tcPr>
          <w:p/>
        </w:tc>
        <w:tc>
          <w:tcPr>
            <w:tcW w:type="dxa" w:w="2720"/>
            <w:vMerge w:val="restart"/>
            <w:tcBorders/>
            <w:tcMar>
              <w:start w:w="0" w:type="dxa"/>
              <w:end w:w="0" w:type="dxa"/>
            </w:tcMar>
            <w:tcMar>
              <w:start w:w="0" w:type="dxa"/>
              <w:end w:w="0" w:type="dxa"/>
            </w:tcMar>
          </w:tcPr>
          <w:p>
            <w:pPr>
              <w:autoSpaceDN w:val="0"/>
              <w:autoSpaceDE w:val="0"/>
              <w:widowControl/>
              <w:spacing w:line="246" w:lineRule="exact" w:before="20" w:after="0"/>
              <w:ind w:left="0" w:right="300" w:firstLine="0"/>
              <w:jc w:val="right"/>
            </w:pPr>
            <w:r>
              <w:rPr>
                <w:rFonts w:ascii="黑体" w:hAnsi="黑体" w:eastAsia="黑体"/>
                <w:b w:val="0"/>
                <w:i w:val="0"/>
                <w:color w:val="000000"/>
                <w:sz w:val="22"/>
              </w:rPr>
              <w:t>（减少）</w:t>
            </w:r>
            <w:r>
              <w:rPr>
                <w:rFonts w:ascii="Arial" w:hAnsi="Arial" w:eastAsia="Arial"/>
                <w:b w:val="0"/>
                <w:i w:val="0"/>
                <w:color w:val="000000"/>
                <w:sz w:val="22"/>
              </w:rPr>
              <w:t>/</w:t>
            </w:r>
            <w:r>
              <w:rPr>
                <w:rFonts w:ascii="黑体" w:hAnsi="黑体" w:eastAsia="黑体"/>
                <w:b w:val="0"/>
                <w:i w:val="0"/>
                <w:color w:val="000000"/>
                <w:sz w:val="22"/>
              </w:rPr>
              <w:t>增加</w:t>
            </w:r>
          </w:p>
        </w:tc>
        <w:tc>
          <w:tcPr>
            <w:tcW w:type="dxa" w:w="1940"/>
            <w:vMerge w:val="restart"/>
            <w:tcBorders/>
            <w:tcMar>
              <w:start w:w="0" w:type="dxa"/>
              <w:end w:w="0" w:type="dxa"/>
            </w:tcMar>
            <w:tcMar>
              <w:start w:w="0" w:type="dxa"/>
              <w:end w:w="0" w:type="dxa"/>
            </w:tcMar>
          </w:tcPr>
          <w:p>
            <w:pPr>
              <w:autoSpaceDN w:val="0"/>
              <w:autoSpaceDE w:val="0"/>
              <w:widowControl/>
              <w:spacing w:line="246" w:lineRule="exact" w:before="20" w:after="0"/>
              <w:ind w:left="410" w:right="0" w:firstLine="0"/>
              <w:jc w:val="left"/>
            </w:pPr>
            <w:r>
              <w:rPr>
                <w:rFonts w:ascii="黑体" w:hAnsi="黑体" w:eastAsia="黑体"/>
                <w:b w:val="0"/>
                <w:i w:val="0"/>
                <w:color w:val="000000"/>
                <w:sz w:val="22"/>
              </w:rPr>
              <w:t>（减少）</w:t>
            </w:r>
            <w:r>
              <w:rPr>
                <w:rFonts w:ascii="Arial" w:hAnsi="Arial" w:eastAsia="Arial"/>
                <w:b w:val="0"/>
                <w:i w:val="0"/>
                <w:color w:val="000000"/>
                <w:sz w:val="22"/>
              </w:rPr>
              <w:t>/</w:t>
            </w:r>
            <w:r>
              <w:rPr>
                <w:rFonts w:ascii="黑体" w:hAnsi="黑体" w:eastAsia="黑体"/>
                <w:b w:val="0"/>
                <w:i w:val="0"/>
                <w:color w:val="000000"/>
                <w:sz w:val="22"/>
              </w:rPr>
              <w:t>增加</w:t>
            </w:r>
          </w:p>
        </w:tc>
      </w:tr>
      <w:tr>
        <w:trPr>
          <w:trHeight w:hRule="exact" w:val="168"/>
        </w:trPr>
        <w:tc>
          <w:tcPr>
            <w:tcW w:type="dxa" w:w="3822"/>
            <w:vMerge w:val="restart"/>
            <w:tcBorders/>
            <w:tcMar>
              <w:start w:w="0" w:type="dxa"/>
              <w:end w:w="0" w:type="dxa"/>
            </w:tcMar>
            <w:tcMar>
              <w:start w:w="0" w:type="dxa"/>
              <w:end w:w="0" w:type="dxa"/>
            </w:tcMar>
          </w:tcPr>
          <w:p>
            <w:pPr>
              <w:autoSpaceDN w:val="0"/>
              <w:autoSpaceDE w:val="0"/>
              <w:widowControl/>
              <w:spacing w:line="246" w:lineRule="exact" w:before="314" w:after="0"/>
              <w:ind w:left="0" w:right="0" w:firstLine="0"/>
              <w:jc w:val="left"/>
            </w:pPr>
            <w:r>
              <w:rPr>
                <w:rFonts w:ascii="黑体" w:hAnsi="黑体" w:eastAsia="黑体"/>
                <w:b w:val="0"/>
                <w:i w:val="0"/>
                <w:color w:val="000000"/>
                <w:sz w:val="22"/>
              </w:rPr>
              <w:t>收益率曲线平行上移</w:t>
            </w:r>
            <w:r>
              <w:rPr>
                <w:rFonts w:ascii="Arial" w:hAnsi="Arial" w:eastAsia="Arial"/>
                <w:b w:val="0"/>
                <w:i w:val="0"/>
                <w:color w:val="000000"/>
                <w:sz w:val="22"/>
              </w:rPr>
              <w:t>25</w:t>
            </w:r>
            <w:r>
              <w:rPr>
                <w:rFonts w:ascii="黑体" w:hAnsi="黑体" w:eastAsia="黑体"/>
                <w:b w:val="0"/>
                <w:i w:val="0"/>
                <w:color w:val="000000"/>
                <w:sz w:val="22"/>
              </w:rPr>
              <w:t>个基点</w:t>
            </w:r>
          </w:p>
        </w:tc>
        <w:tc>
          <w:tcPr>
            <w:tcW w:type="dxa" w:w="3006"/>
            <w:vMerge/>
            <w:tcBorders/>
          </w:tcPr>
          <w:p/>
        </w:tc>
        <w:tc>
          <w:tcPr>
            <w:tcW w:type="dxa" w:w="3006"/>
            <w:vMerge/>
            <w:tcBorders/>
          </w:tcPr>
          <w:p/>
        </w:tc>
      </w:tr>
      <w:tr>
        <w:trPr>
          <w:trHeight w:hRule="exact" w:val="412"/>
        </w:trPr>
        <w:tc>
          <w:tcPr>
            <w:tcW w:type="dxa" w:w="3006"/>
            <w:vMerge/>
            <w:tcBorders/>
          </w:tcPr>
          <w:p/>
        </w:tc>
        <w:tc>
          <w:tcPr>
            <w:tcW w:type="dxa" w:w="2720"/>
            <w:tcBorders/>
            <w:tcMar>
              <w:start w:w="0" w:type="dxa"/>
              <w:end w:w="0" w:type="dxa"/>
            </w:tcMar>
          </w:tcPr>
          <w:p>
            <w:pPr>
              <w:autoSpaceDN w:val="0"/>
              <w:autoSpaceDE w:val="0"/>
              <w:widowControl/>
              <w:spacing w:line="246" w:lineRule="exact" w:before="146" w:after="0"/>
              <w:ind w:left="0" w:right="300" w:firstLine="0"/>
              <w:jc w:val="right"/>
            </w:pPr>
            <w:r>
              <w:rPr>
                <w:rFonts w:ascii="黑体" w:hAnsi="黑体" w:eastAsia="黑体"/>
                <w:b w:val="0"/>
                <w:i w:val="0"/>
                <w:color w:val="000000"/>
                <w:sz w:val="22"/>
              </w:rPr>
              <w:t>约</w:t>
            </w:r>
            <w:r>
              <w:rPr>
                <w:rFonts w:ascii="Arial" w:hAnsi="Arial" w:eastAsia="Arial"/>
                <w:b w:val="0"/>
                <w:i w:val="0"/>
                <w:color w:val="000000"/>
                <w:sz w:val="22"/>
              </w:rPr>
              <w:t>(32,420)</w:t>
            </w:r>
            <w:r>
              <w:rPr>
                <w:rFonts w:ascii="黑体" w:hAnsi="黑体" w:eastAsia="黑体"/>
                <w:b w:val="0"/>
                <w:i w:val="0"/>
                <w:color w:val="000000"/>
                <w:sz w:val="22"/>
              </w:rPr>
              <w:t>万元</w:t>
            </w:r>
          </w:p>
        </w:tc>
        <w:tc>
          <w:tcPr>
            <w:tcW w:type="dxa" w:w="1940"/>
            <w:tcBorders/>
            <w:tcMar>
              <w:start w:w="0" w:type="dxa"/>
              <w:end w:w="0" w:type="dxa"/>
            </w:tcMar>
          </w:tcPr>
          <w:p>
            <w:pPr>
              <w:autoSpaceDN w:val="0"/>
              <w:autoSpaceDE w:val="0"/>
              <w:widowControl/>
              <w:spacing w:line="246" w:lineRule="exact" w:before="146" w:after="0"/>
              <w:ind w:left="314" w:right="0" w:firstLine="0"/>
              <w:jc w:val="left"/>
            </w:pPr>
            <w:r>
              <w:rPr>
                <w:rFonts w:ascii="黑体" w:hAnsi="黑体" w:eastAsia="黑体"/>
                <w:b w:val="0"/>
                <w:i w:val="0"/>
                <w:color w:val="000000"/>
                <w:sz w:val="22"/>
              </w:rPr>
              <w:t>约</w:t>
            </w:r>
            <w:r>
              <w:rPr>
                <w:rFonts w:ascii="Arial" w:hAnsi="Arial" w:eastAsia="Arial"/>
                <w:b w:val="0"/>
                <w:i w:val="0"/>
                <w:color w:val="000000"/>
                <w:sz w:val="22"/>
              </w:rPr>
              <w:t>(21,520)</w:t>
            </w:r>
            <w:r>
              <w:rPr>
                <w:rFonts w:ascii="黑体" w:hAnsi="黑体" w:eastAsia="黑体"/>
                <w:b w:val="0"/>
                <w:i w:val="0"/>
                <w:color w:val="000000"/>
                <w:sz w:val="22"/>
              </w:rPr>
              <w:t>万元</w:t>
            </w:r>
          </w:p>
        </w:tc>
      </w:tr>
      <w:tr>
        <w:trPr>
          <w:trHeight w:hRule="exact" w:val="326"/>
        </w:trPr>
        <w:tc>
          <w:tcPr>
            <w:tcW w:type="dxa" w:w="3822"/>
            <w:tcBorders/>
            <w:tcMar>
              <w:start w:w="0" w:type="dxa"/>
              <w:end w:w="0" w:type="dxa"/>
            </w:tcMar>
          </w:tcPr>
          <w:p>
            <w:pPr>
              <w:autoSpaceDN w:val="0"/>
              <w:autoSpaceDE w:val="0"/>
              <w:widowControl/>
              <w:spacing w:line="246" w:lineRule="exact" w:before="20" w:after="0"/>
              <w:ind w:left="0" w:right="0" w:firstLine="0"/>
              <w:jc w:val="left"/>
            </w:pPr>
            <w:r>
              <w:rPr>
                <w:rFonts w:ascii="黑体" w:hAnsi="黑体" w:eastAsia="黑体"/>
                <w:b w:val="0"/>
                <w:i w:val="0"/>
                <w:color w:val="000000"/>
                <w:sz w:val="22"/>
              </w:rPr>
              <w:t>收益率曲线平行下移</w:t>
            </w:r>
            <w:r>
              <w:rPr>
                <w:rFonts w:ascii="Arial" w:hAnsi="Arial" w:eastAsia="Arial"/>
                <w:b w:val="0"/>
                <w:i w:val="0"/>
                <w:color w:val="000000"/>
                <w:sz w:val="22"/>
              </w:rPr>
              <w:t>25</w:t>
            </w:r>
            <w:r>
              <w:rPr>
                <w:rFonts w:ascii="黑体" w:hAnsi="黑体" w:eastAsia="黑体"/>
                <w:b w:val="0"/>
                <w:i w:val="0"/>
                <w:color w:val="000000"/>
                <w:sz w:val="22"/>
              </w:rPr>
              <w:t>个基点</w:t>
            </w:r>
          </w:p>
        </w:tc>
        <w:tc>
          <w:tcPr>
            <w:tcW w:type="dxa" w:w="2720"/>
            <w:tcBorders/>
            <w:tcMar>
              <w:start w:w="0" w:type="dxa"/>
              <w:end w:w="0" w:type="dxa"/>
            </w:tcMar>
          </w:tcPr>
          <w:p>
            <w:pPr>
              <w:autoSpaceDN w:val="0"/>
              <w:autoSpaceDE w:val="0"/>
              <w:widowControl/>
              <w:spacing w:line="246" w:lineRule="exact" w:before="20" w:after="0"/>
              <w:ind w:left="0" w:right="300" w:firstLine="0"/>
              <w:jc w:val="right"/>
            </w:pPr>
            <w:r>
              <w:rPr>
                <w:rFonts w:ascii="黑体" w:hAnsi="黑体" w:eastAsia="黑体"/>
                <w:b w:val="0"/>
                <w:i w:val="0"/>
                <w:color w:val="000000"/>
                <w:sz w:val="22"/>
              </w:rPr>
              <w:t>约</w:t>
            </w:r>
            <w:r>
              <w:rPr>
                <w:rFonts w:ascii="Arial" w:hAnsi="Arial" w:eastAsia="Arial"/>
                <w:b w:val="0"/>
                <w:i w:val="0"/>
                <w:color w:val="000000"/>
                <w:sz w:val="22"/>
              </w:rPr>
              <w:t>33,911</w:t>
            </w:r>
            <w:r>
              <w:rPr>
                <w:rFonts w:ascii="黑体" w:hAnsi="黑体" w:eastAsia="黑体"/>
                <w:b w:val="0"/>
                <w:i w:val="0"/>
                <w:color w:val="000000"/>
                <w:sz w:val="22"/>
              </w:rPr>
              <w:t>万元</w:t>
            </w:r>
          </w:p>
        </w:tc>
        <w:tc>
          <w:tcPr>
            <w:tcW w:type="dxa" w:w="1940"/>
            <w:tcBorders/>
            <w:tcMar>
              <w:start w:w="0" w:type="dxa"/>
              <w:end w:w="0" w:type="dxa"/>
            </w:tcMar>
          </w:tcPr>
          <w:p>
            <w:pPr>
              <w:autoSpaceDN w:val="0"/>
              <w:autoSpaceDE w:val="0"/>
              <w:widowControl/>
              <w:spacing w:line="246" w:lineRule="exact" w:before="20" w:after="0"/>
              <w:ind w:left="460" w:right="0" w:firstLine="0"/>
              <w:jc w:val="left"/>
            </w:pPr>
            <w:r>
              <w:rPr>
                <w:rFonts w:ascii="黑体" w:hAnsi="黑体" w:eastAsia="黑体"/>
                <w:b w:val="0"/>
                <w:i w:val="0"/>
                <w:color w:val="000000"/>
                <w:sz w:val="22"/>
              </w:rPr>
              <w:t>约</w:t>
            </w:r>
            <w:r>
              <w:rPr>
                <w:rFonts w:ascii="Arial" w:hAnsi="Arial" w:eastAsia="Arial"/>
                <w:b w:val="0"/>
                <w:i w:val="0"/>
                <w:color w:val="000000"/>
                <w:sz w:val="22"/>
              </w:rPr>
              <w:t>22,226</w:t>
            </w:r>
            <w:r>
              <w:rPr>
                <w:rFonts w:ascii="黑体" w:hAnsi="黑体" w:eastAsia="黑体"/>
                <w:b w:val="0"/>
                <w:i w:val="0"/>
                <w:color w:val="000000"/>
                <w:sz w:val="22"/>
              </w:rPr>
              <w:t>万元</w:t>
            </w:r>
          </w:p>
        </w:tc>
      </w:tr>
    </w:tbl>
    <w:p>
      <w:pPr>
        <w:autoSpaceDN w:val="0"/>
        <w:tabs>
          <w:tab w:pos="990" w:val="left"/>
        </w:tabs>
        <w:autoSpaceDE w:val="0"/>
        <w:widowControl/>
        <w:spacing w:line="320" w:lineRule="exact" w:before="144" w:after="0"/>
        <w:ind w:left="358" w:right="288" w:firstLine="0"/>
        <w:jc w:val="left"/>
      </w:pPr>
      <w:r>
        <w:rPr>
          <w:rFonts w:ascii="黑体" w:hAnsi="黑体" w:eastAsia="黑体"/>
          <w:b w:val="0"/>
          <w:i w:val="0"/>
          <w:color w:val="000000"/>
          <w:sz w:val="22"/>
        </w:rPr>
        <w:t>上述敏感性分析仅反映一定利率变动对各资产负债表日持有的债券资产进行重估价所</w:t>
      </w:r>
      <w:r>
        <w:rPr>
          <w:rFonts w:ascii="黑体" w:hAnsi="黑体" w:eastAsia="黑体"/>
          <w:b w:val="0"/>
          <w:i w:val="0"/>
          <w:color w:val="000000"/>
          <w:sz w:val="22"/>
        </w:rPr>
        <w:t>产生的对本集团净利润和股东权益的影响。上述敏感度分析基于以下假设：</w:t>
      </w:r>
      <w:r>
        <w:br/>
      </w:r>
      <w:r>
        <w:rPr>
          <w:rFonts w:ascii="黑体" w:hAnsi="黑体" w:eastAsia="黑体"/>
          <w:b w:val="0"/>
          <w:i w:val="0"/>
          <w:color w:val="000000"/>
          <w:sz w:val="22"/>
        </w:rPr>
        <w:t>（</w:t>
      </w:r>
      <w:r>
        <w:rPr>
          <w:rFonts w:ascii="Arial" w:hAnsi="Arial" w:eastAsia="Arial"/>
          <w:b w:val="0"/>
          <w:i w:val="0"/>
          <w:color w:val="000000"/>
          <w:sz w:val="22"/>
        </w:rPr>
        <w:t>i</w:t>
      </w:r>
      <w:r>
        <w:rPr>
          <w:rFonts w:ascii="黑体" w:hAnsi="黑体" w:eastAsia="黑体"/>
          <w:b w:val="0"/>
          <w:i w:val="0"/>
          <w:color w:val="000000"/>
          <w:sz w:val="22"/>
        </w:rPr>
        <w:t>）</w:t>
      </w:r>
      <w:r>
        <w:rPr>
          <w:rFonts w:ascii="黑体" w:hAnsi="黑体" w:eastAsia="黑体"/>
          <w:b w:val="0"/>
          <w:i w:val="0"/>
          <w:color w:val="000000"/>
          <w:sz w:val="22"/>
        </w:rPr>
        <w:t>资产负债表日利率变动仅适用于本集团的债券资产；</w:t>
      </w:r>
      <w:r>
        <w:br/>
      </w:r>
      <w:r>
        <w:rPr>
          <w:rFonts w:ascii="黑体" w:hAnsi="黑体" w:eastAsia="黑体"/>
          <w:b w:val="0"/>
          <w:i w:val="0"/>
          <w:color w:val="000000"/>
          <w:sz w:val="22"/>
        </w:rPr>
        <w:t>（</w:t>
      </w:r>
      <w:r>
        <w:rPr>
          <w:rFonts w:ascii="Arial" w:hAnsi="Arial" w:eastAsia="Arial"/>
          <w:b w:val="0"/>
          <w:i w:val="0"/>
          <w:color w:val="000000"/>
          <w:sz w:val="22"/>
        </w:rPr>
        <w:t>ii</w:t>
      </w:r>
      <w:r>
        <w:rPr>
          <w:rFonts w:ascii="黑体" w:hAnsi="黑体" w:eastAsia="黑体"/>
          <w:b w:val="0"/>
          <w:i w:val="0"/>
          <w:color w:val="000000"/>
          <w:sz w:val="22"/>
        </w:rPr>
        <w:t>）</w:t>
      </w:r>
      <w:r>
        <w:rPr>
          <w:rFonts w:ascii="黑体" w:hAnsi="黑体" w:eastAsia="黑体"/>
          <w:b w:val="0"/>
          <w:i w:val="0"/>
          <w:color w:val="000000"/>
          <w:sz w:val="22"/>
        </w:rPr>
        <w:t>资产负债表日利率变动</w:t>
      </w:r>
      <w:r>
        <w:rPr>
          <w:rFonts w:ascii="Arial" w:hAnsi="Arial" w:eastAsia="Arial"/>
          <w:b w:val="0"/>
          <w:i w:val="0"/>
          <w:color w:val="000000"/>
          <w:sz w:val="22"/>
        </w:rPr>
        <w:t>25</w:t>
      </w:r>
      <w:r>
        <w:rPr>
          <w:rFonts w:ascii="黑体" w:hAnsi="黑体" w:eastAsia="黑体"/>
          <w:b w:val="0"/>
          <w:i w:val="0"/>
          <w:color w:val="000000"/>
          <w:sz w:val="22"/>
        </w:rPr>
        <w:t>个基点是假定自资产负债表日起每一个完整年度的利</w:t>
      </w:r>
      <w:r>
        <w:rPr>
          <w:rFonts w:ascii="黑体" w:hAnsi="黑体" w:eastAsia="黑体"/>
          <w:b w:val="0"/>
          <w:i w:val="0"/>
          <w:color w:val="000000"/>
          <w:sz w:val="22"/>
        </w:rPr>
        <w:t>率变动；</w:t>
      </w:r>
      <w:r>
        <w:br/>
      </w:r>
      <w:r>
        <w:rPr>
          <w:rFonts w:ascii="黑体" w:hAnsi="黑体" w:eastAsia="黑体"/>
          <w:b w:val="0"/>
          <w:i w:val="0"/>
          <w:color w:val="000000"/>
          <w:sz w:val="22"/>
        </w:rPr>
        <w:t>（</w:t>
      </w:r>
      <w:r>
        <w:rPr>
          <w:rFonts w:ascii="Arial" w:hAnsi="Arial" w:eastAsia="Arial"/>
          <w:b w:val="0"/>
          <w:i w:val="0"/>
          <w:color w:val="000000"/>
          <w:sz w:val="22"/>
        </w:rPr>
        <w:t>iii</w:t>
      </w:r>
      <w:r>
        <w:rPr>
          <w:rFonts w:ascii="黑体" w:hAnsi="黑体" w:eastAsia="黑体"/>
          <w:b w:val="0"/>
          <w:i w:val="0"/>
          <w:color w:val="000000"/>
          <w:sz w:val="22"/>
        </w:rPr>
        <w:t>）</w:t>
      </w:r>
      <w:r>
        <w:rPr>
          <w:rFonts w:ascii="黑体" w:hAnsi="黑体" w:eastAsia="黑体"/>
          <w:b w:val="0"/>
          <w:i w:val="0"/>
          <w:color w:val="000000"/>
          <w:sz w:val="22"/>
        </w:rPr>
        <w:t>收益率曲线随利率变化而平行移动；</w:t>
      </w:r>
      <w:r>
        <w:br/>
      </w:r>
      <w:r>
        <w:rPr>
          <w:rFonts w:ascii="黑体" w:hAnsi="黑体" w:eastAsia="黑体"/>
          <w:b w:val="0"/>
          <w:i w:val="0"/>
          <w:color w:val="000000"/>
          <w:sz w:val="22"/>
        </w:rPr>
        <w:t>（</w:t>
      </w:r>
      <w:r>
        <w:rPr>
          <w:rFonts w:ascii="Arial" w:hAnsi="Arial" w:eastAsia="Arial"/>
          <w:b w:val="0"/>
          <w:i w:val="0"/>
          <w:color w:val="000000"/>
          <w:sz w:val="22"/>
        </w:rPr>
        <w:t>iv</w:t>
      </w:r>
      <w:r>
        <w:rPr>
          <w:rFonts w:ascii="黑体" w:hAnsi="黑体" w:eastAsia="黑体"/>
          <w:b w:val="0"/>
          <w:i w:val="0"/>
          <w:color w:val="000000"/>
          <w:sz w:val="22"/>
        </w:rPr>
        <w:t>）</w:t>
      </w:r>
      <w:r>
        <w:rPr>
          <w:rFonts w:ascii="黑体" w:hAnsi="黑体" w:eastAsia="黑体"/>
          <w:b w:val="0"/>
          <w:i w:val="0"/>
          <w:color w:val="000000"/>
          <w:sz w:val="22"/>
        </w:rPr>
        <w:t>资产和负债组合并无其他变化；</w:t>
      </w:r>
      <w:r>
        <w:br/>
      </w:r>
      <w:r>
        <w:rPr>
          <w:rFonts w:ascii="黑体" w:hAnsi="黑体" w:eastAsia="黑体"/>
          <w:b w:val="0"/>
          <w:i w:val="0"/>
          <w:color w:val="000000"/>
          <w:sz w:val="22"/>
        </w:rPr>
        <w:t>（</w:t>
      </w:r>
      <w:r>
        <w:rPr>
          <w:rFonts w:ascii="Arial" w:hAnsi="Arial" w:eastAsia="Arial"/>
          <w:b w:val="0"/>
          <w:i w:val="0"/>
          <w:color w:val="000000"/>
          <w:sz w:val="22"/>
        </w:rPr>
        <w:t>v</w:t>
      </w:r>
      <w:r>
        <w:rPr>
          <w:rFonts w:ascii="黑体" w:hAnsi="黑体" w:eastAsia="黑体"/>
          <w:b w:val="0"/>
          <w:i w:val="0"/>
          <w:color w:val="000000"/>
          <w:sz w:val="22"/>
        </w:rPr>
        <w:t>）</w:t>
      </w:r>
      <w:r>
        <w:rPr>
          <w:rFonts w:ascii="黑体" w:hAnsi="黑体" w:eastAsia="黑体"/>
          <w:b w:val="0"/>
          <w:i w:val="0"/>
          <w:color w:val="000000"/>
          <w:sz w:val="22"/>
        </w:rPr>
        <w:t>其他变量（包括汇率）保持不变；及</w:t>
      </w:r>
      <w:r>
        <w:br/>
      </w:r>
      <w:r>
        <w:rPr>
          <w:rFonts w:ascii="黑体" w:hAnsi="黑体" w:eastAsia="黑体"/>
          <w:b w:val="0"/>
          <w:i w:val="0"/>
          <w:color w:val="000000"/>
          <w:sz w:val="22"/>
        </w:rPr>
        <w:t>（</w:t>
      </w:r>
      <w:r>
        <w:rPr>
          <w:rFonts w:ascii="Arial" w:hAnsi="Arial" w:eastAsia="Arial"/>
          <w:b w:val="0"/>
          <w:i w:val="0"/>
          <w:color w:val="000000"/>
          <w:sz w:val="22"/>
        </w:rPr>
        <w:t>vi</w:t>
      </w:r>
      <w:r>
        <w:rPr>
          <w:rFonts w:ascii="黑体" w:hAnsi="黑体" w:eastAsia="黑体"/>
          <w:b w:val="0"/>
          <w:i w:val="0"/>
          <w:color w:val="000000"/>
          <w:sz w:val="22"/>
        </w:rPr>
        <w:t>）</w:t>
      </w:r>
      <w:r>
        <w:rPr>
          <w:rFonts w:ascii="黑体" w:hAnsi="黑体" w:eastAsia="黑体"/>
          <w:b w:val="0"/>
          <w:i w:val="0"/>
          <w:color w:val="000000"/>
          <w:sz w:val="22"/>
        </w:rPr>
        <w:t>该分析不考虑管理层进行的风险管理措施的影响。</w:t>
      </w:r>
    </w:p>
    <w:p>
      <w:pPr>
        <w:autoSpaceDN w:val="0"/>
        <w:autoSpaceDE w:val="0"/>
        <w:widowControl/>
        <w:spacing w:line="286" w:lineRule="exact" w:before="240" w:after="0"/>
        <w:ind w:left="358" w:right="288" w:firstLine="0"/>
        <w:jc w:val="left"/>
      </w:pPr>
      <w:r>
        <w:rPr>
          <w:rFonts w:ascii="黑体" w:hAnsi="黑体" w:eastAsia="黑体"/>
          <w:b w:val="0"/>
          <w:i w:val="0"/>
          <w:color w:val="000000"/>
          <w:sz w:val="22"/>
        </w:rPr>
        <w:t>由于基于上述假设，利率变动导致本集团净利润和股东权益出现的实际变化可能与此</w:t>
      </w:r>
      <w:r>
        <w:rPr>
          <w:rFonts w:ascii="黑体" w:hAnsi="黑体" w:eastAsia="黑体"/>
          <w:b w:val="0"/>
          <w:i w:val="0"/>
          <w:color w:val="000000"/>
          <w:sz w:val="22"/>
        </w:rPr>
        <w:t>敏感性分析的结果不同。</w:t>
      </w:r>
    </w:p>
    <w:p>
      <w:pPr>
        <w:autoSpaceDN w:val="0"/>
        <w:tabs>
          <w:tab w:pos="1016" w:val="left"/>
        </w:tabs>
        <w:autoSpaceDE w:val="0"/>
        <w:widowControl/>
        <w:spacing w:line="326" w:lineRule="exact" w:before="226" w:after="0"/>
        <w:ind w:left="358" w:right="288" w:firstLine="0"/>
        <w:jc w:val="left"/>
      </w:pPr>
      <w:r>
        <w:rPr>
          <w:rFonts w:ascii="Arial,Bold" w:hAnsi="Arial,Bold" w:eastAsia="Arial,Bold"/>
          <w:b/>
          <w:i w:val="0"/>
          <w:color w:val="000000"/>
          <w:sz w:val="22"/>
        </w:rPr>
        <w:t xml:space="preserve">4. </w:t>
      </w:r>
      <w:r>
        <w:rPr>
          <w:rFonts w:ascii="黑体" w:hAnsi="黑体" w:eastAsia="黑体"/>
          <w:b w:val="0"/>
          <w:i w:val="0"/>
          <w:color w:val="000000"/>
          <w:sz w:val="22"/>
        </w:rPr>
        <w:t>汇率风险</w:t>
      </w:r>
      <w:r>
        <w:br/>
      </w:r>
      <w:r>
        <w:rPr>
          <w:rFonts w:ascii="黑体" w:hAnsi="黑体" w:eastAsia="黑体"/>
          <w:b w:val="0"/>
          <w:i w:val="0"/>
          <w:color w:val="000000"/>
          <w:sz w:val="22"/>
        </w:rPr>
        <w:t>汇率风险是指本集团进行的外币业务因外汇汇率变动所产生的风险。本集团除了境外</w:t>
      </w:r>
      <w:r>
        <w:rPr>
          <w:rFonts w:ascii="黑体" w:hAnsi="黑体" w:eastAsia="黑体"/>
          <w:b w:val="0"/>
          <w:i w:val="0"/>
          <w:color w:val="000000"/>
          <w:sz w:val="22"/>
        </w:rPr>
        <w:t>子公司持有以港币为主的资产及负债外，其他外币资产及负债主要为</w:t>
      </w:r>
      <w:r>
        <w:rPr>
          <w:rFonts w:ascii="Arial" w:hAnsi="Arial" w:eastAsia="Arial"/>
          <w:b w:val="0"/>
          <w:i w:val="0"/>
          <w:color w:val="000000"/>
          <w:sz w:val="22"/>
        </w:rPr>
        <w:t>B</w:t>
      </w:r>
      <w:r>
        <w:rPr>
          <w:rFonts w:ascii="黑体" w:hAnsi="黑体" w:eastAsia="黑体"/>
          <w:b w:val="0"/>
          <w:i w:val="0"/>
          <w:color w:val="000000"/>
          <w:sz w:val="22"/>
        </w:rPr>
        <w:t>股业务交易手续</w:t>
      </w:r>
      <w:r>
        <w:rPr>
          <w:rFonts w:ascii="黑体" w:hAnsi="黑体" w:eastAsia="黑体"/>
          <w:b w:val="0"/>
          <w:i w:val="0"/>
          <w:color w:val="000000"/>
          <w:sz w:val="22"/>
        </w:rPr>
        <w:t>费等佣金费用，且占整体资产及负债的比重不重大。对于不是以记账本位币计价的货</w:t>
      </w:r>
      <w:r>
        <w:rPr>
          <w:rFonts w:ascii="黑体" w:hAnsi="黑体" w:eastAsia="黑体"/>
          <w:b w:val="0"/>
          <w:i w:val="0"/>
          <w:color w:val="000000"/>
          <w:sz w:val="22"/>
        </w:rPr>
        <w:t>币资金、结算备付金、存出保证金、应收款项、代理买卖证券款、应付款项等外币资</w:t>
      </w:r>
      <w:r>
        <w:rPr>
          <w:rFonts w:ascii="黑体" w:hAnsi="黑体" w:eastAsia="黑体"/>
          <w:b w:val="0"/>
          <w:i w:val="0"/>
          <w:color w:val="000000"/>
          <w:sz w:val="22"/>
        </w:rPr>
        <w:t>产和负债，如果出现短期的失衡情况，本集团会在必要时按市场汇率买卖外币，以确</w:t>
      </w:r>
      <w:r>
        <w:rPr>
          <w:rFonts w:ascii="黑体" w:hAnsi="黑体" w:eastAsia="黑体"/>
          <w:b w:val="0"/>
          <w:i w:val="0"/>
          <w:color w:val="000000"/>
          <w:sz w:val="22"/>
        </w:rPr>
        <w:t>保将净风险敞口维持在可接受的水平。</w:t>
      </w:r>
    </w:p>
    <w:p>
      <w:pPr>
        <w:autoSpaceDN w:val="0"/>
        <w:autoSpaceDE w:val="0"/>
        <w:widowControl/>
        <w:spacing w:line="233" w:lineRule="auto" w:before="2088" w:after="0"/>
        <w:ind w:left="0" w:right="0" w:firstLine="0"/>
        <w:jc w:val="center"/>
      </w:pPr>
      <w:r>
        <w:rPr>
          <w:rFonts w:ascii="Arial" w:hAnsi="Arial" w:eastAsia="Arial"/>
          <w:b w:val="0"/>
          <w:i w:val="0"/>
          <w:color w:val="000000"/>
          <w:sz w:val="20"/>
        </w:rPr>
        <w:t xml:space="preserve">288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十一、与金融工具相关的风险（续）</w:t>
      </w:r>
    </w:p>
    <w:p>
      <w:pPr>
        <w:autoSpaceDN w:val="0"/>
        <w:tabs>
          <w:tab w:pos="1030"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4. </w:t>
      </w:r>
      <w:r>
        <w:rPr>
          <w:rFonts w:ascii="黑体" w:hAnsi="黑体" w:eastAsia="黑体"/>
          <w:b w:val="0"/>
          <w:i w:val="0"/>
          <w:color w:val="000000"/>
          <w:sz w:val="22"/>
        </w:rPr>
        <w:t>汇率风险（续）</w:t>
      </w:r>
    </w:p>
    <w:p>
      <w:pPr>
        <w:autoSpaceDN w:val="0"/>
        <w:autoSpaceDE w:val="0"/>
        <w:widowControl/>
        <w:spacing w:line="222" w:lineRule="exact" w:before="300" w:after="0"/>
        <w:ind w:left="0" w:right="0" w:firstLine="0"/>
        <w:jc w:val="center"/>
      </w:pPr>
      <w:r>
        <w:rPr>
          <w:rFonts w:ascii="黑体" w:hAnsi="黑体" w:eastAsia="黑体"/>
          <w:b w:val="0"/>
          <w:i w:val="0"/>
          <w:color w:val="000000"/>
          <w:sz w:val="22"/>
        </w:rPr>
        <w:t>于资产负债表日，本集团境外子公司的资产占集团总资产比例（以下简称“资产占</w:t>
      </w:r>
    </w:p>
    <w:p>
      <w:pPr>
        <w:autoSpaceDN w:val="0"/>
        <w:autoSpaceDE w:val="0"/>
        <w:widowControl/>
        <w:spacing w:line="222" w:lineRule="exact" w:before="64" w:after="248"/>
        <w:ind w:left="358" w:right="0" w:firstLine="0"/>
        <w:jc w:val="left"/>
      </w:pPr>
      <w:r>
        <w:rPr>
          <w:rFonts w:ascii="黑体" w:hAnsi="黑体" w:eastAsia="黑体"/>
          <w:b w:val="0"/>
          <w:i w:val="0"/>
          <w:color w:val="000000"/>
          <w:sz w:val="22"/>
        </w:rPr>
        <w:t>比”）和负债占集团总负债比例（以下简称“负债占比”）分别如下：</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4"/>
        </w:trPr>
        <w:tc>
          <w:tcPr>
            <w:tcW w:type="dxa" w:w="2940"/>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资产占比</w:t>
            </w:r>
          </w:p>
        </w:tc>
        <w:tc>
          <w:tcPr>
            <w:tcW w:type="dxa" w:w="3720"/>
            <w:tcBorders/>
            <w:tcMar>
              <w:start w:w="0" w:type="dxa"/>
              <w:end w:w="0" w:type="dxa"/>
            </w:tcMar>
          </w:tcPr>
          <w:p>
            <w:pPr>
              <w:autoSpaceDN w:val="0"/>
              <w:autoSpaceDE w:val="0"/>
              <w:widowControl/>
              <w:spacing w:line="246" w:lineRule="exact" w:before="60" w:after="0"/>
              <w:ind w:left="0" w:right="220" w:firstLine="0"/>
              <w:jc w:val="righ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2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3720"/>
            <w:vMerge w:val="restart"/>
            <w:tcBorders/>
            <w:tcMar>
              <w:start w:w="0" w:type="dxa"/>
              <w:end w:w="0" w:type="dxa"/>
            </w:tcMar>
            <w:tcMar>
              <w:start w:w="0" w:type="dxa"/>
              <w:end w:w="0" w:type="dxa"/>
            </w:tcMar>
          </w:tcPr>
          <w:p>
            <w:pPr>
              <w:autoSpaceDN w:val="0"/>
              <w:autoSpaceDE w:val="0"/>
              <w:widowControl/>
              <w:spacing w:line="233" w:lineRule="auto" w:before="162" w:after="0"/>
              <w:ind w:left="0" w:right="222" w:firstLine="0"/>
              <w:jc w:val="right"/>
            </w:pPr>
            <w:r>
              <w:rPr>
                <w:rFonts w:ascii="Arial" w:hAnsi="Arial" w:eastAsia="Arial"/>
                <w:b w:val="0"/>
                <w:i w:val="0"/>
                <w:color w:val="000000"/>
                <w:sz w:val="22"/>
              </w:rPr>
              <w:t>1.40%</w:t>
            </w:r>
          </w:p>
        </w:tc>
        <w:tc>
          <w:tcPr>
            <w:tcW w:type="dxa" w:w="2020"/>
            <w:vMerge w:val="restart"/>
            <w:tcBorders/>
            <w:tcMar>
              <w:start w:w="0" w:type="dxa"/>
              <w:end w:w="0" w:type="dxa"/>
            </w:tcMar>
            <w:tcMar>
              <w:start w:w="0" w:type="dxa"/>
              <w:end w:w="0" w:type="dxa"/>
            </w:tcMar>
          </w:tcPr>
          <w:p>
            <w:pPr>
              <w:autoSpaceDN w:val="0"/>
              <w:autoSpaceDE w:val="0"/>
              <w:widowControl/>
              <w:spacing w:line="233" w:lineRule="auto" w:before="162" w:after="0"/>
              <w:ind w:left="0" w:right="146" w:firstLine="0"/>
              <w:jc w:val="right"/>
            </w:pPr>
            <w:r>
              <w:rPr>
                <w:rFonts w:ascii="Arial" w:hAnsi="Arial" w:eastAsia="Arial"/>
                <w:b w:val="0"/>
                <w:i w:val="0"/>
                <w:color w:val="000000"/>
                <w:sz w:val="22"/>
              </w:rPr>
              <w:t>1.48%</w:t>
            </w:r>
          </w:p>
        </w:tc>
      </w:tr>
      <w:tr>
        <w:trPr>
          <w:trHeight w:hRule="exact" w:val="48"/>
        </w:trPr>
        <w:tc>
          <w:tcPr>
            <w:tcW w:type="dxa" w:w="2940"/>
            <w:vMerge w:val="restart"/>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负债占比</w:t>
            </w:r>
          </w:p>
        </w:tc>
        <w:tc>
          <w:tcPr>
            <w:tcW w:type="dxa" w:w="3006"/>
            <w:vMerge/>
            <w:tcBorders/>
          </w:tcPr>
          <w:p/>
        </w:tc>
        <w:tc>
          <w:tcPr>
            <w:tcW w:type="dxa" w:w="3006"/>
            <w:vMerge/>
            <w:tcBorders/>
          </w:tcPr>
          <w:p/>
        </w:tc>
      </w:tr>
      <w:tr>
        <w:trPr>
          <w:trHeight w:hRule="exact" w:val="324"/>
        </w:trPr>
        <w:tc>
          <w:tcPr>
            <w:tcW w:type="dxa" w:w="3006"/>
            <w:vMerge/>
            <w:tcBorders/>
          </w:tcPr>
          <w:p/>
        </w:tc>
        <w:tc>
          <w:tcPr>
            <w:tcW w:type="dxa" w:w="3720"/>
            <w:tcBorders/>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0.60%</w:t>
            </w:r>
          </w:p>
        </w:tc>
        <w:tc>
          <w:tcPr>
            <w:tcW w:type="dxa" w:w="2020"/>
            <w:tcBorders/>
            <w:tcMar>
              <w:start w:w="0" w:type="dxa"/>
              <w:end w:w="0" w:type="dxa"/>
            </w:tcMar>
          </w:tcPr>
          <w:p>
            <w:pPr>
              <w:autoSpaceDN w:val="0"/>
              <w:autoSpaceDE w:val="0"/>
              <w:widowControl/>
              <w:spacing w:line="233" w:lineRule="auto" w:before="18" w:after="0"/>
              <w:ind w:left="0" w:right="146" w:firstLine="0"/>
              <w:jc w:val="right"/>
            </w:pPr>
            <w:r>
              <w:rPr>
                <w:rFonts w:ascii="Arial" w:hAnsi="Arial" w:eastAsia="Arial"/>
                <w:b w:val="0"/>
                <w:i w:val="0"/>
                <w:color w:val="000000"/>
                <w:sz w:val="22"/>
              </w:rPr>
              <w:t>0.71%</w:t>
            </w:r>
          </w:p>
        </w:tc>
      </w:tr>
    </w:tbl>
    <w:p>
      <w:pPr>
        <w:autoSpaceDN w:val="0"/>
        <w:autoSpaceDE w:val="0"/>
        <w:widowControl/>
        <w:spacing w:line="220" w:lineRule="exact" w:before="226" w:after="0"/>
        <w:ind w:left="0" w:right="0" w:firstLine="0"/>
        <w:jc w:val="center"/>
      </w:pPr>
      <w:r>
        <w:rPr>
          <w:rFonts w:ascii="黑体" w:hAnsi="黑体" w:eastAsia="黑体"/>
          <w:b w:val="0"/>
          <w:i w:val="0"/>
          <w:color w:val="000000"/>
          <w:sz w:val="22"/>
        </w:rPr>
        <w:t>本集团境外子公司实体记账本位币为港币，相关外币财务报表的折算方法参见附注</w:t>
      </w:r>
    </w:p>
    <w:p>
      <w:pPr>
        <w:autoSpaceDN w:val="0"/>
        <w:autoSpaceDE w:val="0"/>
        <w:widowControl/>
        <w:spacing w:line="246" w:lineRule="exact" w:before="56" w:after="0"/>
        <w:ind w:left="0" w:right="0" w:firstLine="0"/>
        <w:jc w:val="center"/>
      </w:pPr>
      <w:r>
        <w:rPr>
          <w:rFonts w:ascii="黑体" w:hAnsi="黑体" w:eastAsia="黑体"/>
          <w:b w:val="0"/>
          <w:i w:val="0"/>
          <w:color w:val="000000"/>
          <w:sz w:val="22"/>
        </w:rPr>
        <w:t>三、</w:t>
      </w:r>
      <w:r>
        <w:rPr>
          <w:rFonts w:ascii="Arial" w:hAnsi="Arial" w:eastAsia="Arial"/>
          <w:b w:val="0"/>
          <w:i w:val="0"/>
          <w:color w:val="000000"/>
          <w:sz w:val="22"/>
        </w:rPr>
        <w:t>8</w:t>
      </w:r>
      <w:r>
        <w:rPr>
          <w:rFonts w:ascii="黑体" w:hAnsi="黑体" w:eastAsia="黑体"/>
          <w:b w:val="0"/>
          <w:i w:val="0"/>
          <w:color w:val="000000"/>
          <w:sz w:val="22"/>
        </w:rPr>
        <w:t>，编制合并财务报表时，折算外币财务报表所采用的资产负债表日的即期汇率和</w:t>
      </w:r>
    </w:p>
    <w:p>
      <w:pPr>
        <w:autoSpaceDN w:val="0"/>
        <w:autoSpaceDE w:val="0"/>
        <w:widowControl/>
        <w:spacing w:line="222" w:lineRule="exact" w:before="48" w:after="256"/>
        <w:ind w:left="358" w:right="0" w:firstLine="0"/>
        <w:jc w:val="left"/>
      </w:pPr>
      <w:r>
        <w:rPr>
          <w:rFonts w:ascii="黑体" w:hAnsi="黑体" w:eastAsia="黑体"/>
          <w:b w:val="0"/>
          <w:i w:val="0"/>
          <w:color w:val="000000"/>
          <w:sz w:val="22"/>
        </w:rPr>
        <w:t>交易发生日的即期汇率的近似汇率分别为：</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322"/>
        </w:trPr>
        <w:tc>
          <w:tcPr>
            <w:tcW w:type="dxa" w:w="1190"/>
            <w:tcBorders>
              <w:bottom w:sz="3.200000000000273" w:val="single" w:color="#000000"/>
            </w:tcBorders>
            <w:tcMar>
              <w:start w:w="0" w:type="dxa"/>
              <w:end w:w="0" w:type="dxa"/>
            </w:tcMar>
          </w:tcPr>
          <w:p/>
        </w:tc>
        <w:tc>
          <w:tcPr>
            <w:tcW w:type="dxa" w:w="3750"/>
            <w:gridSpan w:val="2"/>
            <w:tcBorders>
              <w:bottom w:sz="3.200000000000273" w:val="single" w:color="#000000"/>
            </w:tcBorders>
            <w:tcMar>
              <w:start w:w="0" w:type="dxa"/>
              <w:end w:w="0" w:type="dxa"/>
            </w:tcMar>
            <w:tcMar>
              <w:start w:w="0" w:type="dxa"/>
              <w:end w:w="0" w:type="dxa"/>
            </w:tcMar>
          </w:tcPr>
          <w:p>
            <w:pPr>
              <w:autoSpaceDN w:val="0"/>
              <w:autoSpaceDE w:val="0"/>
              <w:widowControl/>
              <w:spacing w:line="222" w:lineRule="exact" w:before="60" w:after="0"/>
              <w:ind w:left="684" w:right="0" w:firstLine="0"/>
              <w:jc w:val="left"/>
            </w:pPr>
            <w:r>
              <w:rPr>
                <w:rFonts w:ascii="黑体" w:hAnsi="黑体" w:eastAsia="黑体"/>
                <w:b w:val="0"/>
                <w:i w:val="0"/>
                <w:color w:val="000000"/>
                <w:sz w:val="22"/>
              </w:rPr>
              <w:t>资产负债表的即期汇率</w:t>
            </w:r>
          </w:p>
        </w:tc>
        <w:tc>
          <w:tcPr>
            <w:tcW w:type="dxa" w:w="3570"/>
            <w:gridSpan w:val="3"/>
            <w:tcBorders>
              <w:bottom w:sz="3.200000000000273" w:val="single" w:color="#000000"/>
            </w:tcBorders>
            <w:tcMar>
              <w:start w:w="0" w:type="dxa"/>
              <w:end w:w="0" w:type="dxa"/>
            </w:tcMar>
            <w:tcMar>
              <w:start w:w="0" w:type="dxa"/>
              <w:end w:w="0" w:type="dxa"/>
            </w:tcMar>
            <w:tcMar>
              <w:start w:w="0" w:type="dxa"/>
              <w:end w:w="0" w:type="dxa"/>
            </w:tcMar>
          </w:tcPr>
          <w:p>
            <w:pPr>
              <w:autoSpaceDN w:val="0"/>
              <w:autoSpaceDE w:val="0"/>
              <w:widowControl/>
              <w:spacing w:line="222" w:lineRule="exact" w:before="60" w:after="0"/>
              <w:ind w:left="0" w:right="0" w:firstLine="0"/>
              <w:jc w:val="center"/>
            </w:pPr>
            <w:r>
              <w:rPr>
                <w:rFonts w:ascii="黑体" w:hAnsi="黑体" w:eastAsia="黑体"/>
                <w:b w:val="0"/>
                <w:i w:val="0"/>
                <w:color w:val="000000"/>
                <w:sz w:val="22"/>
              </w:rPr>
              <w:t>交易日发生的即期汇率的近似汇率</w:t>
            </w:r>
          </w:p>
        </w:tc>
      </w:tr>
      <w:tr>
        <w:trPr>
          <w:trHeight w:hRule="exact" w:val="412"/>
        </w:trPr>
        <w:tc>
          <w:tcPr>
            <w:tcW w:type="dxa" w:w="1190"/>
            <w:vMerge w:val="restart"/>
            <w:tcBorders>
              <w:top w:sz="3.200000000000273"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568" w:after="0"/>
              <w:ind w:left="198" w:right="0" w:firstLine="0"/>
              <w:jc w:val="left"/>
            </w:pPr>
            <w:r>
              <w:rPr>
                <w:rFonts w:ascii="黑体" w:hAnsi="黑体" w:eastAsia="黑体"/>
                <w:b w:val="0"/>
                <w:i w:val="0"/>
                <w:color w:val="000000"/>
                <w:sz w:val="22"/>
              </w:rPr>
              <w:t>港币</w:t>
            </w:r>
          </w:p>
        </w:tc>
        <w:tc>
          <w:tcPr>
            <w:tcW w:type="dxa" w:w="1810"/>
            <w:tcBorders>
              <w:top w:sz="3.200000000000273" w:val="single" w:color="#000000"/>
            </w:tcBorders>
            <w:tcMar>
              <w:start w:w="0" w:type="dxa"/>
              <w:end w:w="0" w:type="dxa"/>
            </w:tcMar>
          </w:tcPr>
          <w:p>
            <w:pPr>
              <w:autoSpaceDN w:val="0"/>
              <w:autoSpaceDE w:val="0"/>
              <w:widowControl/>
              <w:spacing w:line="246" w:lineRule="exact" w:before="2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3740"/>
            <w:gridSpan w:val="2"/>
            <w:tcBorders>
              <w:top w:sz="3.200000000000273" w:val="single" w:color="#000000"/>
            </w:tcBorders>
            <w:tcMar>
              <w:start w:w="0" w:type="dxa"/>
              <w:end w:w="0" w:type="dxa"/>
            </w:tcMar>
            <w:tcMar>
              <w:start w:w="0" w:type="dxa"/>
              <w:end w:w="0" w:type="dxa"/>
            </w:tcMar>
          </w:tcPr>
          <w:p>
            <w:pPr>
              <w:autoSpaceDN w:val="0"/>
              <w:autoSpaceDE w:val="0"/>
              <w:widowControl/>
              <w:spacing w:line="246" w:lineRule="exact" w:before="2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Arial" w:hAnsi="Arial" w:eastAsia="Arial"/>
                <w:b w:val="0"/>
                <w:i w:val="0"/>
                <w:color w:val="000000"/>
                <w:sz w:val="22"/>
              </w:rPr>
              <w:t xml:space="preserve"> 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1770"/>
            <w:gridSpan w:val="2"/>
            <w:tcBorders>
              <w:top w:sz="3.200000000000273" w:val="single" w:color="#000000"/>
            </w:tcBorders>
            <w:tcMar>
              <w:start w:w="0" w:type="dxa"/>
              <w:end w:w="0" w:type="dxa"/>
            </w:tcMar>
            <w:tcMar>
              <w:start w:w="0" w:type="dxa"/>
              <w:end w:w="0" w:type="dxa"/>
            </w:tcMar>
          </w:tcPr>
          <w:p>
            <w:pPr>
              <w:autoSpaceDN w:val="0"/>
              <w:autoSpaceDE w:val="0"/>
              <w:widowControl/>
              <w:spacing w:line="246" w:lineRule="exact" w:before="20" w:after="0"/>
              <w:ind w:left="132"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22"/>
        </w:trPr>
        <w:tc>
          <w:tcPr>
            <w:tcW w:type="dxa" w:w="1503"/>
            <w:vMerge/>
            <w:tcBorders>
              <w:top w:sz="3.200000000000273" w:val="single" w:color="#000000"/>
              <w:bottom w:sz="4.0" w:val="single" w:color="#000000"/>
            </w:tcBorders>
          </w:tcPr>
          <w:p/>
        </w:tc>
        <w:tc>
          <w:tcPr>
            <w:tcW w:type="dxa" w:w="1810"/>
            <w:vMerge w:val="restart"/>
            <w:tcBorders/>
            <w:tcMar>
              <w:start w:w="0" w:type="dxa"/>
              <w:end w:w="0" w:type="dxa"/>
            </w:tcMar>
            <w:tcMar>
              <w:start w:w="0" w:type="dxa"/>
              <w:end w:w="0" w:type="dxa"/>
            </w:tcMar>
          </w:tcPr>
          <w:p>
            <w:pPr>
              <w:autoSpaceDN w:val="0"/>
              <w:autoSpaceDE w:val="0"/>
              <w:widowControl/>
              <w:spacing w:line="233" w:lineRule="auto" w:before="168" w:after="0"/>
              <w:ind w:left="0" w:right="106" w:firstLine="0"/>
              <w:jc w:val="right"/>
            </w:pPr>
            <w:r>
              <w:rPr>
                <w:rFonts w:ascii="Arial" w:hAnsi="Arial" w:eastAsia="Arial"/>
                <w:b w:val="0"/>
                <w:i w:val="0"/>
                <w:color w:val="000000"/>
                <w:sz w:val="22"/>
              </w:rPr>
              <w:t>0.9260</w:t>
            </w:r>
          </w:p>
        </w:tc>
        <w:tc>
          <w:tcPr>
            <w:tcW w:type="dxa" w:w="1940"/>
            <w:vMerge w:val="restart"/>
            <w:tcBorders/>
            <w:tcMar>
              <w:start w:w="0" w:type="dxa"/>
              <w:end w:w="0" w:type="dxa"/>
            </w:tcMar>
            <w:tcMar>
              <w:start w:w="0" w:type="dxa"/>
              <w:end w:w="0" w:type="dxa"/>
            </w:tcMar>
          </w:tcPr>
          <w:p>
            <w:pPr>
              <w:autoSpaceDN w:val="0"/>
              <w:autoSpaceDE w:val="0"/>
              <w:widowControl/>
              <w:spacing w:line="233" w:lineRule="auto" w:before="168" w:after="0"/>
              <w:ind w:left="0" w:right="118" w:firstLine="0"/>
              <w:jc w:val="right"/>
            </w:pPr>
            <w:r>
              <w:rPr>
                <w:rFonts w:ascii="Arial" w:hAnsi="Arial" w:eastAsia="Arial"/>
                <w:b w:val="0"/>
                <w:i w:val="0"/>
                <w:color w:val="000000"/>
                <w:sz w:val="22"/>
              </w:rPr>
              <w:t xml:space="preserve">0.9062 </w:t>
            </w:r>
          </w:p>
        </w:tc>
        <w:tc>
          <w:tcPr>
            <w:tcW w:type="dxa" w:w="185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68" w:after="0"/>
              <w:ind w:left="0" w:right="152" w:firstLine="0"/>
              <w:jc w:val="right"/>
            </w:pPr>
            <w:r>
              <w:rPr>
                <w:rFonts w:ascii="Arial" w:hAnsi="Arial" w:eastAsia="Arial"/>
                <w:b w:val="0"/>
                <w:i w:val="0"/>
                <w:color w:val="000000"/>
                <w:sz w:val="22"/>
              </w:rPr>
              <w:t>0.9161</w:t>
            </w:r>
          </w:p>
        </w:tc>
        <w:tc>
          <w:tcPr>
            <w:tcW w:type="dxa" w:w="1716"/>
            <w:tcBorders>
              <w:bottom w:sz="4.0" w:val="single" w:color="#000000"/>
            </w:tcBorders>
            <w:tcMar>
              <w:start w:w="0" w:type="dxa"/>
              <w:end w:w="0" w:type="dxa"/>
            </w:tcMar>
          </w:tcPr>
          <w:p>
            <w:pPr>
              <w:autoSpaceDN w:val="0"/>
              <w:autoSpaceDE w:val="0"/>
              <w:widowControl/>
              <w:spacing w:line="233" w:lineRule="auto" w:before="168" w:after="0"/>
              <w:ind w:left="0" w:right="0" w:firstLine="0"/>
              <w:jc w:val="right"/>
            </w:pPr>
            <w:r>
              <w:rPr>
                <w:rFonts w:ascii="Arial" w:hAnsi="Arial" w:eastAsia="Arial"/>
                <w:b w:val="0"/>
                <w:i w:val="0"/>
                <w:color w:val="000000"/>
                <w:sz w:val="22"/>
              </w:rPr>
              <w:t>0.8997</w:t>
            </w:r>
          </w:p>
        </w:tc>
      </w:tr>
      <w:tr>
        <w:trPr>
          <w:trHeight w:hRule="exact" w:val="52"/>
        </w:trPr>
        <w:tc>
          <w:tcPr>
            <w:tcW w:type="dxa" w:w="1190"/>
            <w:tcBorders>
              <w:top w:sz="4.0" w:val="single" w:color="#000000"/>
            </w:tcBorders>
            <w:tcMar>
              <w:start w:w="0" w:type="dxa"/>
              <w:end w:w="0" w:type="dxa"/>
            </w:tcMar>
          </w:tcPr>
          <w:p/>
        </w:tc>
        <w:tc>
          <w:tcPr>
            <w:tcW w:type="dxa" w:w="1503"/>
            <w:vMerge/>
            <w:tcBorders/>
          </w:tcPr>
          <w:p/>
        </w:tc>
        <w:tc>
          <w:tcPr>
            <w:tcW w:type="dxa" w:w="1503"/>
            <w:vMerge/>
            <w:tcBorders/>
          </w:tcPr>
          <w:p/>
        </w:tc>
        <w:tc>
          <w:tcPr>
            <w:tcW w:type="dxa" w:w="3006"/>
            <w:gridSpan w:val="2"/>
            <w:vMerge/>
            <w:tcBorders/>
          </w:tcPr>
          <w:p/>
        </w:tc>
        <w:tc>
          <w:tcPr>
            <w:tcW w:type="dxa" w:w="1716"/>
            <w:tcBorders>
              <w:top w:sz="4.0" w:val="single" w:color="#000000"/>
            </w:tcBorders>
            <w:tcMar>
              <w:start w:w="0" w:type="dxa"/>
              <w:end w:w="0" w:type="dxa"/>
            </w:tcMar>
          </w:tcPr>
          <w:p/>
        </w:tc>
      </w:tr>
    </w:tbl>
    <w:p>
      <w:pPr>
        <w:autoSpaceDN w:val="0"/>
        <w:autoSpaceDE w:val="0"/>
        <w:widowControl/>
        <w:spacing w:line="222" w:lineRule="exact" w:before="254" w:after="0"/>
        <w:ind w:left="0" w:right="0" w:firstLine="0"/>
        <w:jc w:val="center"/>
      </w:pPr>
      <w:r>
        <w:rPr>
          <w:rFonts w:ascii="黑体" w:hAnsi="黑体" w:eastAsia="黑体"/>
          <w:b w:val="0"/>
          <w:i w:val="0"/>
          <w:color w:val="000000"/>
          <w:sz w:val="22"/>
        </w:rPr>
        <w:t>由于外币业务在本集团资产和负债结构中占比较低，因此本集团面临的外汇风险不重</w:t>
      </w:r>
    </w:p>
    <w:p>
      <w:pPr>
        <w:autoSpaceDN w:val="0"/>
        <w:autoSpaceDE w:val="0"/>
        <w:widowControl/>
        <w:spacing w:line="246" w:lineRule="exact" w:before="54" w:after="0"/>
        <w:ind w:left="0" w:right="0" w:firstLine="0"/>
        <w:jc w:val="center"/>
      </w:pPr>
      <w:r>
        <w:rPr>
          <w:rFonts w:ascii="黑体" w:hAnsi="黑体" w:eastAsia="黑体"/>
          <w:b w:val="0"/>
          <w:i w:val="0"/>
          <w:color w:val="000000"/>
          <w:sz w:val="22"/>
        </w:rPr>
        <w:t>大。</w:t>
      </w:r>
      <w:r>
        <w:rPr>
          <w:rFonts w:ascii="Arial" w:hAnsi="Arial" w:eastAsia="Arial"/>
          <w:b w:val="0"/>
          <w:i w:val="0"/>
          <w:color w:val="000000"/>
          <w:sz w:val="22"/>
        </w:rPr>
        <w:t>2024</w:t>
      </w:r>
      <w:r>
        <w:rPr>
          <w:rFonts w:ascii="黑体" w:hAnsi="黑体" w:eastAsia="黑体"/>
          <w:b w:val="0"/>
          <w:i w:val="0"/>
          <w:color w:val="000000"/>
          <w:sz w:val="22"/>
        </w:rPr>
        <w:t>年度及</w:t>
      </w:r>
      <w:r>
        <w:rPr>
          <w:rFonts w:ascii="Arial" w:hAnsi="Arial" w:eastAsia="Arial"/>
          <w:b w:val="0"/>
          <w:i w:val="0"/>
          <w:color w:val="000000"/>
          <w:sz w:val="22"/>
        </w:rPr>
        <w:t>2023</w:t>
      </w:r>
      <w:r>
        <w:rPr>
          <w:rFonts w:ascii="黑体" w:hAnsi="黑体" w:eastAsia="黑体"/>
          <w:b w:val="0"/>
          <w:i w:val="0"/>
          <w:color w:val="000000"/>
          <w:sz w:val="22"/>
        </w:rPr>
        <w:t>年度，本集团签署的远期外汇合约进行现金流量套期的交易详见</w:t>
      </w:r>
    </w:p>
    <w:p>
      <w:pPr>
        <w:autoSpaceDN w:val="0"/>
        <w:autoSpaceDE w:val="0"/>
        <w:widowControl/>
        <w:spacing w:line="246" w:lineRule="exact" w:before="40" w:after="0"/>
        <w:ind w:left="358" w:right="0" w:firstLine="0"/>
        <w:jc w:val="left"/>
      </w:pPr>
      <w:r>
        <w:rPr>
          <w:rFonts w:ascii="黑体" w:hAnsi="黑体" w:eastAsia="黑体"/>
          <w:b w:val="0"/>
          <w:i w:val="0"/>
          <w:color w:val="000000"/>
          <w:sz w:val="22"/>
        </w:rPr>
        <w:t>附注五、</w:t>
      </w:r>
      <w:r>
        <w:rPr>
          <w:rFonts w:ascii="Arial" w:hAnsi="Arial" w:eastAsia="Arial"/>
          <w:b w:val="0"/>
          <w:i w:val="0"/>
          <w:color w:val="000000"/>
          <w:sz w:val="22"/>
        </w:rPr>
        <w:t>4</w:t>
      </w:r>
      <w:r>
        <w:rPr>
          <w:rFonts w:ascii="黑体" w:hAnsi="黑体" w:eastAsia="黑体"/>
          <w:b w:val="0"/>
          <w:i w:val="0"/>
          <w:color w:val="000000"/>
          <w:sz w:val="22"/>
        </w:rPr>
        <w:t>。</w:t>
      </w:r>
    </w:p>
    <w:p>
      <w:pPr>
        <w:autoSpaceDN w:val="0"/>
        <w:tabs>
          <w:tab w:pos="1030" w:val="left"/>
        </w:tabs>
        <w:autoSpaceDE w:val="0"/>
        <w:widowControl/>
        <w:spacing w:line="246" w:lineRule="exact" w:before="292" w:after="0"/>
        <w:ind w:left="464" w:right="0" w:firstLine="0"/>
        <w:jc w:val="left"/>
      </w:pPr>
      <w:r>
        <w:rPr>
          <w:rFonts w:ascii="Arial,Bold" w:hAnsi="Arial,Bold" w:eastAsia="Arial,Bold"/>
          <w:b/>
          <w:i w:val="0"/>
          <w:color w:val="000000"/>
          <w:sz w:val="22"/>
        </w:rPr>
        <w:t xml:space="preserve">5. </w:t>
      </w:r>
      <w:r>
        <w:rPr>
          <w:rFonts w:ascii="黑体" w:hAnsi="黑体" w:eastAsia="黑体"/>
          <w:b w:val="0"/>
          <w:i w:val="0"/>
          <w:color w:val="000000"/>
          <w:sz w:val="22"/>
        </w:rPr>
        <w:t>其他价格风险</w:t>
      </w:r>
    </w:p>
    <w:p>
      <w:pPr>
        <w:autoSpaceDN w:val="0"/>
        <w:autoSpaceDE w:val="0"/>
        <w:widowControl/>
        <w:spacing w:line="220" w:lineRule="exact" w:before="304" w:after="0"/>
        <w:ind w:left="0" w:right="0" w:firstLine="0"/>
        <w:jc w:val="center"/>
      </w:pPr>
      <w:r>
        <w:rPr>
          <w:rFonts w:ascii="黑体" w:hAnsi="黑体" w:eastAsia="黑体"/>
          <w:b w:val="0"/>
          <w:i w:val="0"/>
          <w:color w:val="000000"/>
          <w:sz w:val="22"/>
        </w:rPr>
        <w:t>其他价格风险是指本集团所持有的权益类金融工具的公允价值或未来现金流量因除市</w:t>
      </w:r>
    </w:p>
    <w:p>
      <w:pPr>
        <w:autoSpaceDN w:val="0"/>
        <w:autoSpaceDE w:val="0"/>
        <w:widowControl/>
        <w:spacing w:line="222" w:lineRule="exact" w:before="62" w:after="0"/>
        <w:ind w:left="0" w:right="0" w:firstLine="0"/>
        <w:jc w:val="center"/>
      </w:pPr>
      <w:r>
        <w:rPr>
          <w:rFonts w:ascii="黑体" w:hAnsi="黑体" w:eastAsia="黑体"/>
          <w:b w:val="0"/>
          <w:i w:val="0"/>
          <w:color w:val="000000"/>
          <w:sz w:val="22"/>
        </w:rPr>
        <w:t>场利率和外汇汇率以外的市场价格因素变动而发生波动的风险。本集团主要投资于证</w:t>
      </w:r>
    </w:p>
    <w:p>
      <w:pPr>
        <w:autoSpaceDN w:val="0"/>
        <w:autoSpaceDE w:val="0"/>
        <w:widowControl/>
        <w:spacing w:line="220" w:lineRule="exact" w:before="64" w:after="0"/>
        <w:ind w:left="0" w:right="0" w:firstLine="0"/>
        <w:jc w:val="center"/>
      </w:pPr>
      <w:r>
        <w:rPr>
          <w:rFonts w:ascii="黑体" w:hAnsi="黑体" w:eastAsia="黑体"/>
          <w:b w:val="0"/>
          <w:i w:val="0"/>
          <w:color w:val="000000"/>
          <w:sz w:val="22"/>
        </w:rPr>
        <w:t>券交易所上市的股票、基金等，所面临的最大市场价格风险由所持有的金融工具的公</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允价值决定。</w:t>
      </w:r>
    </w:p>
    <w:p>
      <w:pPr>
        <w:autoSpaceDN w:val="0"/>
        <w:autoSpaceDE w:val="0"/>
        <w:widowControl/>
        <w:spacing w:line="233" w:lineRule="auto" w:before="5426" w:after="0"/>
        <w:ind w:left="0" w:right="0" w:firstLine="0"/>
        <w:jc w:val="center"/>
      </w:pPr>
      <w:r>
        <w:rPr>
          <w:rFonts w:ascii="Arial" w:hAnsi="Arial" w:eastAsia="Arial"/>
          <w:b w:val="0"/>
          <w:i w:val="0"/>
          <w:color w:val="000000"/>
          <w:sz w:val="20"/>
        </w:rPr>
        <w:t xml:space="preserve">289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16" w:val="left"/>
        </w:tabs>
        <w:autoSpaceDE w:val="0"/>
        <w:widowControl/>
        <w:spacing w:line="396" w:lineRule="exact" w:before="0" w:after="248"/>
        <w:ind w:left="358" w:right="288" w:firstLine="0"/>
        <w:jc w:val="left"/>
      </w:pPr>
      <w:r>
        <w:rPr>
          <w:rFonts w:ascii="黑体" w:hAnsi="黑体" w:eastAsia="黑体"/>
          <w:b w:val="0"/>
          <w:i w:val="0"/>
          <w:color w:val="000000"/>
          <w:sz w:val="22"/>
        </w:rPr>
        <w:t>十一、与金融工具相关的风险（续）</w:t>
      </w:r>
      <w:r>
        <w:br/>
      </w:r>
      <w:r>
        <w:rPr>
          <w:rFonts w:ascii="Arial,Bold" w:hAnsi="Arial,Bold" w:eastAsia="Arial,Bold"/>
          <w:b/>
          <w:i w:val="0"/>
          <w:color w:val="000000"/>
          <w:sz w:val="22"/>
        </w:rPr>
        <w:t xml:space="preserve">5. </w:t>
      </w:r>
      <w:r>
        <w:rPr>
          <w:rFonts w:ascii="黑体" w:hAnsi="黑体" w:eastAsia="黑体"/>
          <w:b w:val="0"/>
          <w:i w:val="0"/>
          <w:color w:val="000000"/>
          <w:sz w:val="22"/>
        </w:rPr>
        <w:t>其他价格风险（续）</w:t>
      </w:r>
      <w:r>
        <w:br/>
      </w:r>
      <w:r>
        <w:rPr>
          <w:rFonts w:ascii="黑体" w:hAnsi="黑体" w:eastAsia="黑体"/>
          <w:b w:val="0"/>
          <w:i w:val="0"/>
          <w:color w:val="000000"/>
          <w:sz w:val="22"/>
        </w:rPr>
        <w:t>假设权益工具的市价上升或下降</w:t>
      </w:r>
      <w:r>
        <w:rPr>
          <w:rFonts w:ascii="Arial" w:hAnsi="Arial" w:eastAsia="Arial"/>
          <w:b w:val="0"/>
          <w:i w:val="0"/>
          <w:color w:val="000000"/>
          <w:sz w:val="22"/>
        </w:rPr>
        <w:t>10%</w:t>
      </w:r>
      <w:r>
        <w:rPr>
          <w:rFonts w:ascii="黑体" w:hAnsi="黑体" w:eastAsia="黑体"/>
          <w:b w:val="0"/>
          <w:i w:val="0"/>
          <w:color w:val="000000"/>
          <w:sz w:val="22"/>
        </w:rPr>
        <w:t>，其他变量不变的情况下，基于资产负债表日的</w:t>
      </w:r>
      <w:r>
        <w:rPr>
          <w:rFonts w:ascii="黑体" w:hAnsi="黑体" w:eastAsia="黑体"/>
          <w:b w:val="0"/>
          <w:i w:val="0"/>
          <w:color w:val="000000"/>
          <w:sz w:val="22"/>
        </w:rPr>
        <w:t>上述资产对本集团净利润和股东权益的影响如下：</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314"/>
        </w:trPr>
        <w:tc>
          <w:tcPr>
            <w:tcW w:type="dxa" w:w="3400"/>
            <w:vMerge w:val="restart"/>
            <w:tcBorders/>
            <w:tcMar>
              <w:start w:w="0" w:type="dxa"/>
              <w:end w:w="0" w:type="dxa"/>
            </w:tcMar>
            <w:tcMar>
              <w:start w:w="0" w:type="dxa"/>
              <w:end w:w="0" w:type="dxa"/>
            </w:tcMar>
          </w:tcPr>
          <w:p>
            <w:pPr>
              <w:autoSpaceDN w:val="0"/>
              <w:autoSpaceDE w:val="0"/>
              <w:widowControl/>
              <w:spacing w:line="220" w:lineRule="exact" w:before="354" w:after="0"/>
              <w:ind w:left="198" w:right="0" w:firstLine="0"/>
              <w:jc w:val="left"/>
            </w:pPr>
            <w:r>
              <w:rPr>
                <w:rFonts w:ascii="黑体" w:hAnsi="黑体" w:eastAsia="黑体"/>
                <w:b w:val="0"/>
                <w:i w:val="0"/>
                <w:color w:val="000000"/>
                <w:sz w:val="22"/>
              </w:rPr>
              <w:t>净利润变动</w:t>
            </w:r>
          </w:p>
        </w:tc>
        <w:tc>
          <w:tcPr>
            <w:tcW w:type="dxa" w:w="3260"/>
            <w:tcBorders/>
            <w:tcMar>
              <w:start w:w="0" w:type="dxa"/>
              <w:end w:w="0" w:type="dxa"/>
            </w:tcMar>
          </w:tcPr>
          <w:p>
            <w:pPr>
              <w:autoSpaceDN w:val="0"/>
              <w:autoSpaceDE w:val="0"/>
              <w:widowControl/>
              <w:spacing w:line="246" w:lineRule="exact" w:before="60" w:after="0"/>
              <w:ind w:left="0" w:right="224"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20"/>
            <w:tcBorders/>
            <w:tcMar>
              <w:start w:w="0" w:type="dxa"/>
              <w:end w:w="0" w:type="dxa"/>
            </w:tcMar>
          </w:tcPr>
          <w:p>
            <w:pPr>
              <w:autoSpaceDN w:val="0"/>
              <w:autoSpaceDE w:val="0"/>
              <w:widowControl/>
              <w:spacing w:line="246" w:lineRule="exact" w:before="60" w:after="0"/>
              <w:ind w:left="0" w:right="14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260"/>
        </w:trPr>
        <w:tc>
          <w:tcPr>
            <w:tcW w:type="dxa" w:w="3006"/>
            <w:vMerge/>
            <w:tcBorders/>
          </w:tcPr>
          <w:p/>
        </w:tc>
        <w:tc>
          <w:tcPr>
            <w:tcW w:type="dxa" w:w="3260"/>
            <w:tcBorders/>
            <w:tcMar>
              <w:start w:w="0" w:type="dxa"/>
              <w:end w:w="0" w:type="dxa"/>
            </w:tcMar>
          </w:tcPr>
          <w:p>
            <w:pPr>
              <w:autoSpaceDN w:val="0"/>
              <w:autoSpaceDE w:val="0"/>
              <w:widowControl/>
              <w:spacing w:line="246" w:lineRule="exact" w:before="14" w:after="0"/>
              <w:ind w:left="0" w:right="220" w:firstLine="0"/>
              <w:jc w:val="right"/>
            </w:pPr>
            <w:r>
              <w:rPr>
                <w:rFonts w:ascii="黑体" w:hAnsi="黑体" w:eastAsia="黑体"/>
                <w:b w:val="0"/>
                <w:i w:val="0"/>
                <w:color w:val="000000"/>
                <w:sz w:val="22"/>
              </w:rPr>
              <w:t>增加</w:t>
            </w:r>
            <w:r>
              <w:rPr>
                <w:rFonts w:ascii="Arial" w:hAnsi="Arial" w:eastAsia="Arial"/>
                <w:b w:val="0"/>
                <w:i w:val="0"/>
                <w:color w:val="000000"/>
                <w:sz w:val="22"/>
              </w:rPr>
              <w:t>/</w:t>
            </w:r>
            <w:r>
              <w:rPr>
                <w:rFonts w:ascii="黑体" w:hAnsi="黑体" w:eastAsia="黑体"/>
                <w:b w:val="0"/>
                <w:i w:val="0"/>
                <w:color w:val="000000"/>
                <w:sz w:val="22"/>
              </w:rPr>
              <w:t>（减少）</w:t>
            </w:r>
          </w:p>
        </w:tc>
        <w:tc>
          <w:tcPr>
            <w:tcW w:type="dxa" w:w="2020"/>
            <w:tcBorders/>
            <w:tcMar>
              <w:start w:w="0" w:type="dxa"/>
              <w:end w:w="0" w:type="dxa"/>
            </w:tcMar>
          </w:tcPr>
          <w:p>
            <w:pPr>
              <w:autoSpaceDN w:val="0"/>
              <w:autoSpaceDE w:val="0"/>
              <w:widowControl/>
              <w:spacing w:line="246" w:lineRule="exact" w:before="14" w:after="0"/>
              <w:ind w:left="490" w:right="0" w:firstLine="0"/>
              <w:jc w:val="left"/>
            </w:pPr>
            <w:r>
              <w:rPr>
                <w:rFonts w:ascii="黑体" w:hAnsi="黑体" w:eastAsia="黑体"/>
                <w:b w:val="0"/>
                <w:i w:val="0"/>
                <w:color w:val="000000"/>
                <w:sz w:val="22"/>
              </w:rPr>
              <w:t>增加</w:t>
            </w:r>
            <w:r>
              <w:rPr>
                <w:rFonts w:ascii="Arial" w:hAnsi="Arial" w:eastAsia="Arial"/>
                <w:b w:val="0"/>
                <w:i w:val="0"/>
                <w:color w:val="000000"/>
                <w:sz w:val="22"/>
              </w:rPr>
              <w:t>/</w:t>
            </w:r>
            <w:r>
              <w:rPr>
                <w:rFonts w:ascii="黑体" w:hAnsi="黑体" w:eastAsia="黑体"/>
                <w:b w:val="0"/>
                <w:i w:val="0"/>
                <w:color w:val="000000"/>
                <w:sz w:val="22"/>
              </w:rPr>
              <w:t>（减少）</w:t>
            </w:r>
          </w:p>
        </w:tc>
      </w:tr>
      <w:tr>
        <w:trPr>
          <w:trHeight w:hRule="exact" w:val="560"/>
        </w:trPr>
        <w:tc>
          <w:tcPr>
            <w:tcW w:type="dxa" w:w="3400"/>
            <w:tcBorders/>
            <w:tcMar>
              <w:start w:w="0" w:type="dxa"/>
              <w:end w:w="0" w:type="dxa"/>
            </w:tcMar>
          </w:tcPr>
          <w:p>
            <w:pPr>
              <w:autoSpaceDN w:val="0"/>
              <w:autoSpaceDE w:val="0"/>
              <w:widowControl/>
              <w:spacing w:line="246" w:lineRule="exact" w:before="310" w:after="0"/>
              <w:ind w:left="198" w:right="0" w:firstLine="0"/>
              <w:jc w:val="left"/>
            </w:pPr>
            <w:r>
              <w:rPr>
                <w:rFonts w:ascii="黑体" w:hAnsi="黑体" w:eastAsia="黑体"/>
                <w:b w:val="0"/>
                <w:i w:val="0"/>
                <w:color w:val="000000"/>
                <w:sz w:val="22"/>
              </w:rPr>
              <w:t>市场价格上升</w:t>
            </w:r>
            <w:r>
              <w:rPr>
                <w:rFonts w:ascii="Arial" w:hAnsi="Arial" w:eastAsia="Arial"/>
                <w:b w:val="0"/>
                <w:i w:val="0"/>
                <w:color w:val="000000"/>
                <w:sz w:val="22"/>
              </w:rPr>
              <w:t xml:space="preserve">10% </w:t>
            </w:r>
          </w:p>
        </w:tc>
        <w:tc>
          <w:tcPr>
            <w:tcW w:type="dxa" w:w="3260"/>
            <w:tcBorders/>
            <w:tcMar>
              <w:start w:w="0" w:type="dxa"/>
              <w:end w:w="0" w:type="dxa"/>
            </w:tcMar>
          </w:tcPr>
          <w:p>
            <w:pPr>
              <w:autoSpaceDN w:val="0"/>
              <w:autoSpaceDE w:val="0"/>
              <w:widowControl/>
              <w:spacing w:line="246" w:lineRule="exact" w:before="310" w:after="0"/>
              <w:ind w:left="0" w:right="220" w:firstLine="0"/>
              <w:jc w:val="right"/>
            </w:pPr>
            <w:r>
              <w:rPr>
                <w:rFonts w:ascii="黑体" w:hAnsi="黑体" w:eastAsia="黑体"/>
                <w:b w:val="0"/>
                <w:i w:val="0"/>
                <w:color w:val="000000"/>
                <w:sz w:val="22"/>
              </w:rPr>
              <w:t>约</w:t>
            </w:r>
            <w:r>
              <w:rPr>
                <w:rFonts w:ascii="Arial" w:hAnsi="Arial" w:eastAsia="Arial"/>
                <w:b w:val="0"/>
                <w:i w:val="0"/>
                <w:color w:val="000000"/>
                <w:sz w:val="22"/>
              </w:rPr>
              <w:t>55,560</w:t>
            </w:r>
            <w:r>
              <w:rPr>
                <w:rFonts w:ascii="黑体" w:hAnsi="黑体" w:eastAsia="黑体"/>
                <w:b w:val="0"/>
                <w:i w:val="0"/>
                <w:color w:val="000000"/>
                <w:sz w:val="22"/>
              </w:rPr>
              <w:t>万元</w:t>
            </w:r>
          </w:p>
        </w:tc>
        <w:tc>
          <w:tcPr>
            <w:tcW w:type="dxa" w:w="2020"/>
            <w:tcBorders/>
            <w:tcMar>
              <w:start w:w="0" w:type="dxa"/>
              <w:end w:w="0" w:type="dxa"/>
            </w:tcMar>
          </w:tcPr>
          <w:p>
            <w:pPr>
              <w:autoSpaceDN w:val="0"/>
              <w:autoSpaceDE w:val="0"/>
              <w:widowControl/>
              <w:spacing w:line="246" w:lineRule="exact" w:before="310" w:after="0"/>
              <w:ind w:left="0" w:right="146" w:firstLine="0"/>
              <w:jc w:val="right"/>
            </w:pPr>
            <w:r>
              <w:rPr>
                <w:rFonts w:ascii="黑体" w:hAnsi="黑体" w:eastAsia="黑体"/>
                <w:b w:val="0"/>
                <w:i w:val="0"/>
                <w:color w:val="000000"/>
                <w:sz w:val="22"/>
              </w:rPr>
              <w:t>约</w:t>
            </w:r>
            <w:r>
              <w:rPr>
                <w:rFonts w:ascii="Arial" w:hAnsi="Arial" w:eastAsia="Arial"/>
                <w:b w:val="0"/>
                <w:i w:val="0"/>
                <w:color w:val="000000"/>
                <w:sz w:val="22"/>
              </w:rPr>
              <w:t>81,857</w:t>
            </w:r>
            <w:r>
              <w:rPr>
                <w:rFonts w:ascii="黑体" w:hAnsi="黑体" w:eastAsia="黑体"/>
                <w:b w:val="0"/>
                <w:i w:val="0"/>
                <w:color w:val="000000"/>
                <w:sz w:val="22"/>
              </w:rPr>
              <w:t>万元</w:t>
            </w:r>
          </w:p>
        </w:tc>
      </w:tr>
      <w:tr>
        <w:trPr>
          <w:trHeight w:hRule="exact" w:val="420"/>
        </w:trPr>
        <w:tc>
          <w:tcPr>
            <w:tcW w:type="dxa" w:w="3400"/>
            <w:tcBorders/>
            <w:tcMar>
              <w:start w:w="0" w:type="dxa"/>
              <w:end w:w="0" w:type="dxa"/>
            </w:tcMar>
          </w:tcPr>
          <w:p>
            <w:pPr>
              <w:autoSpaceDN w:val="0"/>
              <w:autoSpaceDE w:val="0"/>
              <w:widowControl/>
              <w:spacing w:line="246" w:lineRule="exact" w:before="36" w:after="0"/>
              <w:ind w:left="198" w:right="0" w:firstLine="0"/>
              <w:jc w:val="left"/>
            </w:pPr>
            <w:r>
              <w:rPr>
                <w:rFonts w:ascii="黑体" w:hAnsi="黑体" w:eastAsia="黑体"/>
                <w:b w:val="0"/>
                <w:i w:val="0"/>
                <w:color w:val="000000"/>
                <w:sz w:val="22"/>
              </w:rPr>
              <w:t>市场价格下降</w:t>
            </w:r>
            <w:r>
              <w:rPr>
                <w:rFonts w:ascii="Arial" w:hAnsi="Arial" w:eastAsia="Arial"/>
                <w:b w:val="0"/>
                <w:i w:val="0"/>
                <w:color w:val="000000"/>
                <w:sz w:val="22"/>
              </w:rPr>
              <w:t xml:space="preserve">10% </w:t>
            </w:r>
          </w:p>
        </w:tc>
        <w:tc>
          <w:tcPr>
            <w:tcW w:type="dxa" w:w="3260"/>
            <w:tcBorders/>
            <w:tcMar>
              <w:start w:w="0" w:type="dxa"/>
              <w:end w:w="0" w:type="dxa"/>
            </w:tcMar>
          </w:tcPr>
          <w:p>
            <w:pPr>
              <w:autoSpaceDN w:val="0"/>
              <w:autoSpaceDE w:val="0"/>
              <w:widowControl/>
              <w:spacing w:line="246" w:lineRule="exact" w:before="36" w:after="0"/>
              <w:ind w:left="0" w:right="220" w:firstLine="0"/>
              <w:jc w:val="right"/>
            </w:pPr>
            <w:r>
              <w:rPr>
                <w:rFonts w:ascii="黑体" w:hAnsi="黑体" w:eastAsia="黑体"/>
                <w:b w:val="0"/>
                <w:i w:val="0"/>
                <w:color w:val="000000"/>
                <w:sz w:val="22"/>
              </w:rPr>
              <w:t>约</w:t>
            </w:r>
            <w:r>
              <w:rPr>
                <w:rFonts w:ascii="Arial" w:hAnsi="Arial" w:eastAsia="Arial"/>
                <w:b w:val="0"/>
                <w:i w:val="0"/>
                <w:color w:val="000000"/>
                <w:sz w:val="22"/>
              </w:rPr>
              <w:t>(55,560)</w:t>
            </w:r>
            <w:r>
              <w:rPr>
                <w:rFonts w:ascii="黑体" w:hAnsi="黑体" w:eastAsia="黑体"/>
                <w:b w:val="0"/>
                <w:i w:val="0"/>
                <w:color w:val="000000"/>
                <w:sz w:val="22"/>
              </w:rPr>
              <w:t>万元</w:t>
            </w:r>
          </w:p>
        </w:tc>
        <w:tc>
          <w:tcPr>
            <w:tcW w:type="dxa" w:w="2020"/>
            <w:tcBorders/>
            <w:tcMar>
              <w:start w:w="0" w:type="dxa"/>
              <w:end w:w="0" w:type="dxa"/>
            </w:tcMar>
          </w:tcPr>
          <w:p>
            <w:pPr>
              <w:autoSpaceDN w:val="0"/>
              <w:autoSpaceDE w:val="0"/>
              <w:widowControl/>
              <w:spacing w:line="246" w:lineRule="exact" w:before="36" w:after="0"/>
              <w:ind w:left="394" w:right="0" w:firstLine="0"/>
              <w:jc w:val="left"/>
            </w:pPr>
            <w:r>
              <w:rPr>
                <w:rFonts w:ascii="黑体" w:hAnsi="黑体" w:eastAsia="黑体"/>
                <w:b w:val="0"/>
                <w:i w:val="0"/>
                <w:color w:val="000000"/>
                <w:sz w:val="22"/>
              </w:rPr>
              <w:t>约</w:t>
            </w:r>
            <w:r>
              <w:rPr>
                <w:rFonts w:ascii="Arial" w:hAnsi="Arial" w:eastAsia="Arial"/>
                <w:b w:val="0"/>
                <w:i w:val="0"/>
                <w:color w:val="000000"/>
                <w:sz w:val="22"/>
              </w:rPr>
              <w:t>(81,857)</w:t>
            </w:r>
            <w:r>
              <w:rPr>
                <w:rFonts w:ascii="黑体" w:hAnsi="黑体" w:eastAsia="黑体"/>
                <w:b w:val="0"/>
                <w:i w:val="0"/>
                <w:color w:val="000000"/>
                <w:sz w:val="22"/>
              </w:rPr>
              <w:t>万元</w:t>
            </w:r>
          </w:p>
        </w:tc>
      </w:tr>
      <w:tr>
        <w:trPr>
          <w:trHeight w:hRule="exact" w:val="418"/>
        </w:trPr>
        <w:tc>
          <w:tcPr>
            <w:tcW w:type="dxa" w:w="3400"/>
            <w:vMerge w:val="restart"/>
            <w:tcBorders/>
            <w:tcMar>
              <w:start w:w="0" w:type="dxa"/>
              <w:end w:w="0" w:type="dxa"/>
            </w:tcMar>
            <w:tcMar>
              <w:start w:w="0" w:type="dxa"/>
              <w:end w:w="0" w:type="dxa"/>
            </w:tcMar>
          </w:tcPr>
          <w:p>
            <w:pPr>
              <w:autoSpaceDN w:val="0"/>
              <w:autoSpaceDE w:val="0"/>
              <w:widowControl/>
              <w:spacing w:line="222" w:lineRule="exact" w:before="438" w:after="0"/>
              <w:ind w:left="198" w:right="0" w:firstLine="0"/>
              <w:jc w:val="left"/>
            </w:pPr>
            <w:r>
              <w:rPr>
                <w:rFonts w:ascii="黑体" w:hAnsi="黑体" w:eastAsia="黑体"/>
                <w:b w:val="0"/>
                <w:i w:val="0"/>
                <w:color w:val="000000"/>
                <w:sz w:val="22"/>
              </w:rPr>
              <w:t>股东权益变动</w:t>
            </w:r>
          </w:p>
        </w:tc>
        <w:tc>
          <w:tcPr>
            <w:tcW w:type="dxa" w:w="3260"/>
            <w:tcBorders/>
            <w:tcMar>
              <w:start w:w="0" w:type="dxa"/>
              <w:end w:w="0" w:type="dxa"/>
            </w:tcMar>
          </w:tcPr>
          <w:p>
            <w:pPr>
              <w:autoSpaceDN w:val="0"/>
              <w:autoSpaceDE w:val="0"/>
              <w:widowControl/>
              <w:spacing w:line="246" w:lineRule="exact" w:before="154" w:after="0"/>
              <w:ind w:left="0" w:right="220" w:firstLine="0"/>
              <w:jc w:val="righ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20"/>
            <w:tcBorders/>
            <w:tcMar>
              <w:start w:w="0" w:type="dxa"/>
              <w:end w:w="0" w:type="dxa"/>
            </w:tcMar>
          </w:tcPr>
          <w:p>
            <w:pPr>
              <w:autoSpaceDN w:val="0"/>
              <w:autoSpaceDE w:val="0"/>
              <w:widowControl/>
              <w:spacing w:line="246" w:lineRule="exact" w:before="154" w:after="0"/>
              <w:ind w:left="234"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242"/>
        </w:trPr>
        <w:tc>
          <w:tcPr>
            <w:tcW w:type="dxa" w:w="3006"/>
            <w:vMerge/>
            <w:tcBorders/>
          </w:tcPr>
          <w:p/>
        </w:tc>
        <w:tc>
          <w:tcPr>
            <w:tcW w:type="dxa" w:w="3260"/>
            <w:vMerge w:val="restart"/>
            <w:tcBorders/>
            <w:tcMar>
              <w:start w:w="0" w:type="dxa"/>
              <w:end w:w="0" w:type="dxa"/>
            </w:tcMar>
            <w:tcMar>
              <w:start w:w="0" w:type="dxa"/>
              <w:end w:w="0" w:type="dxa"/>
            </w:tcMar>
          </w:tcPr>
          <w:p>
            <w:pPr>
              <w:autoSpaceDN w:val="0"/>
              <w:autoSpaceDE w:val="0"/>
              <w:widowControl/>
              <w:spacing w:line="246" w:lineRule="exact" w:before="20" w:after="0"/>
              <w:ind w:left="0" w:right="220" w:firstLine="0"/>
              <w:jc w:val="right"/>
            </w:pPr>
            <w:r>
              <w:rPr>
                <w:rFonts w:ascii="黑体" w:hAnsi="黑体" w:eastAsia="黑体"/>
                <w:b w:val="0"/>
                <w:i w:val="0"/>
                <w:color w:val="000000"/>
                <w:sz w:val="22"/>
              </w:rPr>
              <w:t>增加</w:t>
            </w:r>
            <w:r>
              <w:rPr>
                <w:rFonts w:ascii="Arial" w:hAnsi="Arial" w:eastAsia="Arial"/>
                <w:b w:val="0"/>
                <w:i w:val="0"/>
                <w:color w:val="000000"/>
                <w:sz w:val="22"/>
              </w:rPr>
              <w:t>/</w:t>
            </w:r>
            <w:r>
              <w:rPr>
                <w:rFonts w:ascii="黑体" w:hAnsi="黑体" w:eastAsia="黑体"/>
                <w:b w:val="0"/>
                <w:i w:val="0"/>
                <w:color w:val="000000"/>
                <w:sz w:val="22"/>
              </w:rPr>
              <w:t>（减少）</w:t>
            </w:r>
          </w:p>
        </w:tc>
        <w:tc>
          <w:tcPr>
            <w:tcW w:type="dxa" w:w="2020"/>
            <w:vMerge w:val="restart"/>
            <w:tcBorders/>
            <w:tcMar>
              <w:start w:w="0" w:type="dxa"/>
              <w:end w:w="0" w:type="dxa"/>
            </w:tcMar>
            <w:tcMar>
              <w:start w:w="0" w:type="dxa"/>
              <w:end w:w="0" w:type="dxa"/>
            </w:tcMar>
          </w:tcPr>
          <w:p>
            <w:pPr>
              <w:autoSpaceDN w:val="0"/>
              <w:autoSpaceDE w:val="0"/>
              <w:widowControl/>
              <w:spacing w:line="246" w:lineRule="exact" w:before="20" w:after="0"/>
              <w:ind w:left="490" w:right="0" w:firstLine="0"/>
              <w:jc w:val="left"/>
            </w:pPr>
            <w:r>
              <w:rPr>
                <w:rFonts w:ascii="黑体" w:hAnsi="黑体" w:eastAsia="黑体"/>
                <w:b w:val="0"/>
                <w:i w:val="0"/>
                <w:color w:val="000000"/>
                <w:sz w:val="22"/>
              </w:rPr>
              <w:t>增加</w:t>
            </w:r>
            <w:r>
              <w:rPr>
                <w:rFonts w:ascii="Arial" w:hAnsi="Arial" w:eastAsia="Arial"/>
                <w:b w:val="0"/>
                <w:i w:val="0"/>
                <w:color w:val="000000"/>
                <w:sz w:val="22"/>
              </w:rPr>
              <w:t>/</w:t>
            </w:r>
            <w:r>
              <w:rPr>
                <w:rFonts w:ascii="黑体" w:hAnsi="黑体" w:eastAsia="黑体"/>
                <w:b w:val="0"/>
                <w:i w:val="0"/>
                <w:color w:val="000000"/>
                <w:sz w:val="22"/>
              </w:rPr>
              <w:t>（减少）</w:t>
            </w:r>
          </w:p>
        </w:tc>
      </w:tr>
      <w:tr>
        <w:trPr>
          <w:trHeight w:hRule="exact" w:val="170"/>
        </w:trPr>
        <w:tc>
          <w:tcPr>
            <w:tcW w:type="dxa" w:w="3400"/>
            <w:vMerge w:val="restart"/>
            <w:tcBorders/>
            <w:tcMar>
              <w:start w:w="0" w:type="dxa"/>
              <w:end w:w="0" w:type="dxa"/>
            </w:tcMar>
            <w:tcMar>
              <w:start w:w="0" w:type="dxa"/>
              <w:end w:w="0" w:type="dxa"/>
            </w:tcMar>
          </w:tcPr>
          <w:p>
            <w:pPr>
              <w:autoSpaceDN w:val="0"/>
              <w:autoSpaceDE w:val="0"/>
              <w:widowControl/>
              <w:spacing w:line="246" w:lineRule="exact" w:before="316" w:after="0"/>
              <w:ind w:left="198" w:right="0" w:firstLine="0"/>
              <w:jc w:val="left"/>
            </w:pPr>
            <w:r>
              <w:rPr>
                <w:rFonts w:ascii="黑体" w:hAnsi="黑体" w:eastAsia="黑体"/>
                <w:b w:val="0"/>
                <w:i w:val="0"/>
                <w:color w:val="000000"/>
                <w:sz w:val="22"/>
              </w:rPr>
              <w:t>市场价格上升</w:t>
            </w:r>
            <w:r>
              <w:rPr>
                <w:rFonts w:ascii="Arial" w:hAnsi="Arial" w:eastAsia="Arial"/>
                <w:b w:val="0"/>
                <w:i w:val="0"/>
                <w:color w:val="000000"/>
                <w:sz w:val="22"/>
              </w:rPr>
              <w:t xml:space="preserve">10% </w:t>
            </w:r>
          </w:p>
        </w:tc>
        <w:tc>
          <w:tcPr>
            <w:tcW w:type="dxa" w:w="3006"/>
            <w:vMerge/>
            <w:tcBorders/>
          </w:tcPr>
          <w:p/>
        </w:tc>
        <w:tc>
          <w:tcPr>
            <w:tcW w:type="dxa" w:w="3006"/>
            <w:vMerge/>
            <w:tcBorders/>
          </w:tcPr>
          <w:p/>
        </w:tc>
      </w:tr>
      <w:tr>
        <w:trPr>
          <w:trHeight w:hRule="exact" w:val="410"/>
        </w:trPr>
        <w:tc>
          <w:tcPr>
            <w:tcW w:type="dxa" w:w="3006"/>
            <w:vMerge/>
            <w:tcBorders/>
          </w:tcPr>
          <w:p/>
        </w:tc>
        <w:tc>
          <w:tcPr>
            <w:tcW w:type="dxa" w:w="3260"/>
            <w:tcBorders/>
            <w:tcMar>
              <w:start w:w="0" w:type="dxa"/>
              <w:end w:w="0" w:type="dxa"/>
            </w:tcMar>
          </w:tcPr>
          <w:p>
            <w:pPr>
              <w:autoSpaceDN w:val="0"/>
              <w:autoSpaceDE w:val="0"/>
              <w:widowControl/>
              <w:spacing w:line="246" w:lineRule="exact" w:before="146" w:after="0"/>
              <w:ind w:left="0" w:right="220" w:firstLine="0"/>
              <w:jc w:val="right"/>
            </w:pPr>
            <w:r>
              <w:rPr>
                <w:rFonts w:ascii="黑体" w:hAnsi="黑体" w:eastAsia="黑体"/>
                <w:b w:val="0"/>
                <w:i w:val="0"/>
                <w:color w:val="000000"/>
                <w:sz w:val="22"/>
              </w:rPr>
              <w:t>约</w:t>
            </w:r>
            <w:r>
              <w:rPr>
                <w:rFonts w:ascii="Arial" w:hAnsi="Arial" w:eastAsia="Arial"/>
                <w:b w:val="0"/>
                <w:i w:val="0"/>
                <w:color w:val="000000"/>
                <w:sz w:val="22"/>
              </w:rPr>
              <w:t>57,166</w:t>
            </w:r>
            <w:r>
              <w:rPr>
                <w:rFonts w:ascii="黑体" w:hAnsi="黑体" w:eastAsia="黑体"/>
                <w:b w:val="0"/>
                <w:i w:val="0"/>
                <w:color w:val="000000"/>
                <w:sz w:val="22"/>
              </w:rPr>
              <w:t>万元</w:t>
            </w:r>
          </w:p>
        </w:tc>
        <w:tc>
          <w:tcPr>
            <w:tcW w:type="dxa" w:w="2020"/>
            <w:tcBorders/>
            <w:tcMar>
              <w:start w:w="0" w:type="dxa"/>
              <w:end w:w="0" w:type="dxa"/>
            </w:tcMar>
          </w:tcPr>
          <w:p>
            <w:pPr>
              <w:autoSpaceDN w:val="0"/>
              <w:autoSpaceDE w:val="0"/>
              <w:widowControl/>
              <w:spacing w:line="246" w:lineRule="exact" w:before="146" w:after="0"/>
              <w:ind w:left="0" w:right="146" w:firstLine="0"/>
              <w:jc w:val="right"/>
            </w:pPr>
            <w:r>
              <w:rPr>
                <w:rFonts w:ascii="黑体" w:hAnsi="黑体" w:eastAsia="黑体"/>
                <w:b w:val="0"/>
                <w:i w:val="0"/>
                <w:color w:val="000000"/>
                <w:sz w:val="22"/>
              </w:rPr>
              <w:t>约</w:t>
            </w:r>
            <w:r>
              <w:rPr>
                <w:rFonts w:ascii="Arial" w:hAnsi="Arial" w:eastAsia="Arial"/>
                <w:b w:val="0"/>
                <w:i w:val="0"/>
                <w:color w:val="000000"/>
                <w:sz w:val="22"/>
              </w:rPr>
              <w:t>83,622</w:t>
            </w:r>
            <w:r>
              <w:rPr>
                <w:rFonts w:ascii="黑体" w:hAnsi="黑体" w:eastAsia="黑体"/>
                <w:b w:val="0"/>
                <w:i w:val="0"/>
                <w:color w:val="000000"/>
                <w:sz w:val="22"/>
              </w:rPr>
              <w:t>万元</w:t>
            </w:r>
          </w:p>
        </w:tc>
      </w:tr>
      <w:tr>
        <w:trPr>
          <w:trHeight w:hRule="exact" w:val="328"/>
        </w:trPr>
        <w:tc>
          <w:tcPr>
            <w:tcW w:type="dxa" w:w="3400"/>
            <w:tcBorders/>
            <w:tcMar>
              <w:start w:w="0" w:type="dxa"/>
              <w:end w:w="0" w:type="dxa"/>
            </w:tcMar>
          </w:tcPr>
          <w:p>
            <w:pPr>
              <w:autoSpaceDN w:val="0"/>
              <w:autoSpaceDE w:val="0"/>
              <w:widowControl/>
              <w:spacing w:line="246" w:lineRule="exact" w:before="22" w:after="0"/>
              <w:ind w:left="198" w:right="0" w:firstLine="0"/>
              <w:jc w:val="left"/>
            </w:pPr>
            <w:r>
              <w:rPr>
                <w:rFonts w:ascii="黑体" w:hAnsi="黑体" w:eastAsia="黑体"/>
                <w:b w:val="0"/>
                <w:i w:val="0"/>
                <w:color w:val="000000"/>
                <w:sz w:val="22"/>
              </w:rPr>
              <w:t>市场价格下降</w:t>
            </w:r>
            <w:r>
              <w:rPr>
                <w:rFonts w:ascii="Arial" w:hAnsi="Arial" w:eastAsia="Arial"/>
                <w:b w:val="0"/>
                <w:i w:val="0"/>
                <w:color w:val="000000"/>
                <w:sz w:val="22"/>
              </w:rPr>
              <w:t xml:space="preserve">10% </w:t>
            </w:r>
          </w:p>
        </w:tc>
        <w:tc>
          <w:tcPr>
            <w:tcW w:type="dxa" w:w="3260"/>
            <w:tcBorders/>
            <w:tcMar>
              <w:start w:w="0" w:type="dxa"/>
              <w:end w:w="0" w:type="dxa"/>
            </w:tcMar>
          </w:tcPr>
          <w:p>
            <w:pPr>
              <w:autoSpaceDN w:val="0"/>
              <w:autoSpaceDE w:val="0"/>
              <w:widowControl/>
              <w:spacing w:line="246" w:lineRule="exact" w:before="22" w:after="0"/>
              <w:ind w:left="0" w:right="220" w:firstLine="0"/>
              <w:jc w:val="right"/>
            </w:pPr>
            <w:r>
              <w:rPr>
                <w:rFonts w:ascii="黑体" w:hAnsi="黑体" w:eastAsia="黑体"/>
                <w:b w:val="0"/>
                <w:i w:val="0"/>
                <w:color w:val="000000"/>
                <w:sz w:val="22"/>
              </w:rPr>
              <w:t>约</w:t>
            </w:r>
            <w:r>
              <w:rPr>
                <w:rFonts w:ascii="Arial" w:hAnsi="Arial" w:eastAsia="Arial"/>
                <w:b w:val="0"/>
                <w:i w:val="0"/>
                <w:color w:val="000000"/>
                <w:sz w:val="22"/>
              </w:rPr>
              <w:t>(57,166)</w:t>
            </w:r>
            <w:r>
              <w:rPr>
                <w:rFonts w:ascii="黑体" w:hAnsi="黑体" w:eastAsia="黑体"/>
                <w:b w:val="0"/>
                <w:i w:val="0"/>
                <w:color w:val="000000"/>
                <w:sz w:val="22"/>
              </w:rPr>
              <w:t>万元</w:t>
            </w:r>
          </w:p>
        </w:tc>
        <w:tc>
          <w:tcPr>
            <w:tcW w:type="dxa" w:w="2020"/>
            <w:tcBorders/>
            <w:tcMar>
              <w:start w:w="0" w:type="dxa"/>
              <w:end w:w="0" w:type="dxa"/>
            </w:tcMar>
          </w:tcPr>
          <w:p>
            <w:pPr>
              <w:autoSpaceDN w:val="0"/>
              <w:autoSpaceDE w:val="0"/>
              <w:widowControl/>
              <w:spacing w:line="246" w:lineRule="exact" w:before="22" w:after="0"/>
              <w:ind w:left="394" w:right="0" w:firstLine="0"/>
              <w:jc w:val="left"/>
            </w:pPr>
            <w:r>
              <w:rPr>
                <w:rFonts w:ascii="黑体" w:hAnsi="黑体" w:eastAsia="黑体"/>
                <w:b w:val="0"/>
                <w:i w:val="0"/>
                <w:color w:val="000000"/>
                <w:sz w:val="22"/>
              </w:rPr>
              <w:t>约</w:t>
            </w:r>
            <w:r>
              <w:rPr>
                <w:rFonts w:ascii="Arial" w:hAnsi="Arial" w:eastAsia="Arial"/>
                <w:b w:val="0"/>
                <w:i w:val="0"/>
                <w:color w:val="000000"/>
                <w:sz w:val="22"/>
              </w:rPr>
              <w:t>(83,622)</w:t>
            </w:r>
            <w:r>
              <w:rPr>
                <w:rFonts w:ascii="黑体" w:hAnsi="黑体" w:eastAsia="黑体"/>
                <w:b w:val="0"/>
                <w:i w:val="0"/>
                <w:color w:val="000000"/>
                <w:sz w:val="22"/>
              </w:rPr>
              <w:t>万元</w:t>
            </w:r>
          </w:p>
        </w:tc>
      </w:tr>
    </w:tbl>
    <w:p>
      <w:pPr>
        <w:autoSpaceDN w:val="0"/>
        <w:tabs>
          <w:tab w:pos="1016" w:val="left"/>
        </w:tabs>
        <w:autoSpaceDE w:val="0"/>
        <w:widowControl/>
        <w:spacing w:line="426" w:lineRule="exact" w:before="290" w:after="0"/>
        <w:ind w:left="358" w:right="288" w:firstLine="0"/>
        <w:jc w:val="left"/>
      </w:pPr>
      <w:r>
        <w:rPr>
          <w:rFonts w:ascii="黑体" w:hAnsi="黑体" w:eastAsia="黑体"/>
          <w:b w:val="0"/>
          <w:i w:val="0"/>
          <w:color w:val="000000"/>
          <w:sz w:val="22"/>
        </w:rPr>
        <w:t>十二、公允价值的披露</w:t>
      </w:r>
      <w:r>
        <w:br/>
      </w:r>
      <w:r>
        <w:rPr>
          <w:rFonts w:ascii="Arial,Bold" w:hAnsi="Arial,Bold" w:eastAsia="Arial,Bold"/>
          <w:b/>
          <w:i w:val="0"/>
          <w:color w:val="000000"/>
          <w:sz w:val="22"/>
        </w:rPr>
        <w:t xml:space="preserve">1. </w:t>
      </w:r>
      <w:r>
        <w:rPr>
          <w:rFonts w:ascii="黑体" w:hAnsi="黑体" w:eastAsia="黑体"/>
          <w:b w:val="0"/>
          <w:i w:val="0"/>
          <w:color w:val="000000"/>
          <w:sz w:val="22"/>
        </w:rPr>
        <w:t>以公允价值计量的金融工具</w:t>
      </w:r>
      <w:r>
        <w:br/>
      </w:r>
      <w:r>
        <w:rPr>
          <w:rFonts w:ascii="黑体" w:hAnsi="黑体" w:eastAsia="黑体"/>
          <w:b w:val="0"/>
          <w:i w:val="0"/>
          <w:color w:val="000000"/>
          <w:sz w:val="22"/>
        </w:rPr>
        <w:t>下表列示了本集团在每个资产负债表日持续和非持续以公允价值计量的资产和负债于</w:t>
      </w:r>
      <w:r>
        <w:rPr>
          <w:rFonts w:ascii="黑体" w:hAnsi="黑体" w:eastAsia="黑体"/>
          <w:b w:val="0"/>
          <w:i w:val="0"/>
          <w:color w:val="000000"/>
          <w:sz w:val="22"/>
        </w:rPr>
        <w:t>本报告期末的公允价值信息及其公允价值计量的层次。公允价值计量结果所属层次取</w:t>
      </w:r>
      <w:r>
        <w:rPr>
          <w:rFonts w:ascii="黑体" w:hAnsi="黑体" w:eastAsia="黑体"/>
          <w:b w:val="0"/>
          <w:i w:val="0"/>
          <w:color w:val="000000"/>
          <w:sz w:val="22"/>
        </w:rPr>
        <w:t>决于对公允价值计量整体而言具有重要意义的最低层次的输入值。三个层次输入值的</w:t>
      </w:r>
      <w:r>
        <w:rPr>
          <w:rFonts w:ascii="黑体" w:hAnsi="黑体" w:eastAsia="黑体"/>
          <w:b w:val="0"/>
          <w:i w:val="0"/>
          <w:color w:val="000000"/>
          <w:sz w:val="22"/>
        </w:rPr>
        <w:t>定义如下：</w:t>
      </w:r>
      <w:r>
        <w:br/>
      </w:r>
      <w:r>
        <w:rPr>
          <w:rFonts w:ascii="黑体" w:hAnsi="黑体" w:eastAsia="黑体"/>
          <w:b w:val="0"/>
          <w:i w:val="0"/>
          <w:color w:val="000000"/>
          <w:sz w:val="22"/>
        </w:rPr>
        <w:t>第一层次输入值：在计量日能够取得的相同资产或负债在活跃市场上未经调整的报</w:t>
      </w:r>
      <w:r>
        <w:rPr>
          <w:rFonts w:ascii="黑体" w:hAnsi="黑体" w:eastAsia="黑体"/>
          <w:b w:val="0"/>
          <w:i w:val="0"/>
          <w:color w:val="000000"/>
          <w:sz w:val="22"/>
        </w:rPr>
        <w:t>价；</w:t>
      </w:r>
      <w:r>
        <w:br/>
      </w:r>
      <w:r>
        <w:rPr>
          <w:rFonts w:ascii="黑体" w:hAnsi="黑体" w:eastAsia="黑体"/>
          <w:b w:val="0"/>
          <w:i w:val="0"/>
          <w:color w:val="000000"/>
          <w:sz w:val="22"/>
        </w:rPr>
        <w:t>第二层次输入值：除第一层次输入值外相关资产或负债直接或间接可观察的输入值；</w:t>
      </w:r>
      <w:r>
        <w:rPr>
          <w:rFonts w:ascii="黑体" w:hAnsi="黑体" w:eastAsia="黑体"/>
          <w:b w:val="0"/>
          <w:i w:val="0"/>
          <w:color w:val="000000"/>
          <w:sz w:val="22"/>
        </w:rPr>
        <w:t>第三层次输入值：相关资产或负债的不可观察输入值。</w:t>
      </w:r>
    </w:p>
    <w:p>
      <w:pPr>
        <w:autoSpaceDN w:val="0"/>
        <w:autoSpaceDE w:val="0"/>
        <w:widowControl/>
        <w:spacing w:line="233" w:lineRule="auto" w:before="4420" w:after="0"/>
        <w:ind w:left="0" w:right="0" w:firstLine="0"/>
        <w:jc w:val="center"/>
      </w:pPr>
      <w:r>
        <w:rPr>
          <w:rFonts w:ascii="Arial" w:hAnsi="Arial" w:eastAsia="Arial"/>
          <w:b w:val="0"/>
          <w:i w:val="0"/>
          <w:color w:val="000000"/>
          <w:sz w:val="20"/>
        </w:rPr>
        <w:t xml:space="preserve">290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358" w:val="left"/>
          <w:tab w:pos="1016" w:val="left"/>
        </w:tabs>
        <w:autoSpaceDE w:val="0"/>
        <w:widowControl/>
        <w:spacing w:line="436" w:lineRule="exact" w:before="0" w:after="0"/>
        <w:ind w:left="296" w:right="3600"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tab/>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以公允价值计量的资产和负债的年末公允价值</w:t>
      </w:r>
    </w:p>
    <w:p>
      <w:pPr>
        <w:autoSpaceDN w:val="0"/>
        <w:autoSpaceDE w:val="0"/>
        <w:widowControl/>
        <w:spacing w:line="180" w:lineRule="exact" w:before="336" w:after="16"/>
        <w:ind w:left="0" w:right="3188"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358.0000000000001" w:type="dxa"/>
      </w:tblPr>
      <w:tblGrid>
        <w:gridCol w:w="1503"/>
        <w:gridCol w:w="1503"/>
        <w:gridCol w:w="1503"/>
        <w:gridCol w:w="1503"/>
        <w:gridCol w:w="1503"/>
        <w:gridCol w:w="1503"/>
      </w:tblGrid>
      <w:tr>
        <w:trPr>
          <w:trHeight w:hRule="exact" w:val="199"/>
        </w:trPr>
        <w:tc>
          <w:tcPr>
            <w:tcW w:type="dxa" w:w="320"/>
            <w:vMerge w:val="restart"/>
            <w:tcBorders>
              <w:top w:sz="4.0" w:val="single" w:color="#000000"/>
              <w:bottom w:sz="2.3999999999998636" w:val="single" w:color="#000000"/>
            </w:tcBorders>
            <w:tcMar>
              <w:start w:w="0" w:type="dxa"/>
              <w:end w:w="0" w:type="dxa"/>
            </w:tcMar>
            <w:tcMar>
              <w:start w:w="0" w:type="dxa"/>
              <w:end w:w="0" w:type="dxa"/>
            </w:tcMar>
          </w:tcPr>
          <w:p>
            <w:pPr>
              <w:autoSpaceDN w:val="0"/>
              <w:autoSpaceDE w:val="0"/>
              <w:widowControl/>
              <w:spacing w:line="160" w:lineRule="exact" w:before="230" w:after="0"/>
              <w:ind w:left="0" w:right="0" w:firstLine="0"/>
              <w:jc w:val="center"/>
            </w:pPr>
            <w:r>
              <w:rPr>
                <w:rFonts w:ascii="黑体" w:hAnsi="黑体" w:eastAsia="黑体"/>
                <w:b w:val="0"/>
                <w:i w:val="0"/>
                <w:color w:val="000000"/>
                <w:sz w:val="16"/>
              </w:rPr>
              <w:t>项目</w:t>
            </w:r>
          </w:p>
        </w:tc>
        <w:tc>
          <w:tcPr>
            <w:tcW w:type="dxa" w:w="2572"/>
            <w:vMerge w:val="restart"/>
            <w:tcBorders>
              <w:bottom w:sz="2.3999999999998636" w:val="single" w:color="#000000"/>
            </w:tcBorders>
            <w:tcMar>
              <w:start w:w="0" w:type="dxa"/>
              <w:end w:w="0" w:type="dxa"/>
            </w:tcMar>
            <w:tcMar>
              <w:start w:w="0" w:type="dxa"/>
              <w:end w:w="0" w:type="dxa"/>
            </w:tcMar>
          </w:tcPr>
          <w:p>
            <w:pPr>
              <w:autoSpaceDN w:val="0"/>
              <w:autoSpaceDE w:val="0"/>
              <w:widowControl/>
              <w:spacing w:line="160" w:lineRule="exact" w:before="234" w:after="0"/>
              <w:ind w:left="0" w:right="98" w:firstLine="0"/>
              <w:jc w:val="right"/>
            </w:pPr>
            <w:r>
              <w:rPr>
                <w:rFonts w:ascii="黑体" w:hAnsi="黑体" w:eastAsia="黑体"/>
                <w:b w:val="0"/>
                <w:i w:val="0"/>
                <w:color w:val="000000"/>
                <w:sz w:val="16"/>
              </w:rPr>
              <w:t>附注五</w:t>
            </w:r>
          </w:p>
        </w:tc>
        <w:tc>
          <w:tcPr>
            <w:tcW w:type="dxa" w:w="1248"/>
            <w:tcBorders/>
            <w:tcMar>
              <w:start w:w="0" w:type="dxa"/>
              <w:end w:w="0" w:type="dxa"/>
            </w:tcMar>
          </w:tcPr>
          <w:p>
            <w:pPr>
              <w:autoSpaceDN w:val="0"/>
              <w:autoSpaceDE w:val="0"/>
              <w:widowControl/>
              <w:spacing w:line="162" w:lineRule="exact" w:before="24" w:after="0"/>
              <w:ind w:left="0" w:right="0" w:firstLine="0"/>
              <w:jc w:val="right"/>
            </w:pPr>
            <w:r>
              <w:rPr>
                <w:rFonts w:ascii="黑体" w:hAnsi="黑体" w:eastAsia="黑体"/>
                <w:b w:val="0"/>
                <w:i w:val="0"/>
                <w:color w:val="000000"/>
                <w:sz w:val="16"/>
              </w:rPr>
              <w:t>第一层次</w:t>
            </w:r>
          </w:p>
        </w:tc>
        <w:tc>
          <w:tcPr>
            <w:tcW w:type="dxa" w:w="1500"/>
            <w:tcBorders/>
            <w:tcMar>
              <w:start w:w="0" w:type="dxa"/>
              <w:end w:w="0" w:type="dxa"/>
            </w:tcMar>
          </w:tcPr>
          <w:p>
            <w:pPr>
              <w:autoSpaceDN w:val="0"/>
              <w:autoSpaceDE w:val="0"/>
              <w:widowControl/>
              <w:spacing w:line="162" w:lineRule="exact" w:before="24" w:after="0"/>
              <w:ind w:left="0" w:right="80" w:firstLine="0"/>
              <w:jc w:val="right"/>
            </w:pPr>
            <w:r>
              <w:rPr>
                <w:rFonts w:ascii="黑体" w:hAnsi="黑体" w:eastAsia="黑体"/>
                <w:b w:val="0"/>
                <w:i w:val="0"/>
                <w:color w:val="000000"/>
                <w:sz w:val="16"/>
              </w:rPr>
              <w:t>第二层次</w:t>
            </w:r>
          </w:p>
        </w:tc>
        <w:tc>
          <w:tcPr>
            <w:tcW w:type="dxa" w:w="1224"/>
            <w:tcBorders/>
            <w:tcMar>
              <w:start w:w="0" w:type="dxa"/>
              <w:end w:w="0" w:type="dxa"/>
            </w:tcMar>
          </w:tcPr>
          <w:p>
            <w:pPr>
              <w:autoSpaceDN w:val="0"/>
              <w:autoSpaceDE w:val="0"/>
              <w:widowControl/>
              <w:spacing w:line="162" w:lineRule="exact" w:before="24" w:after="0"/>
              <w:ind w:left="0" w:right="0" w:firstLine="0"/>
              <w:jc w:val="right"/>
            </w:pPr>
            <w:r>
              <w:rPr>
                <w:rFonts w:ascii="黑体" w:hAnsi="黑体" w:eastAsia="黑体"/>
                <w:b w:val="0"/>
                <w:i w:val="0"/>
                <w:color w:val="000000"/>
                <w:sz w:val="16"/>
              </w:rPr>
              <w:t>第三层次</w:t>
            </w:r>
          </w:p>
        </w:tc>
        <w:tc>
          <w:tcPr>
            <w:tcW w:type="dxa" w:w="1470"/>
            <w:vMerge w:val="restart"/>
            <w:tcBorders>
              <w:bottom w:sz="2.3999999999998636" w:val="single" w:color="#000000"/>
            </w:tcBorders>
            <w:tcMar>
              <w:start w:w="0" w:type="dxa"/>
              <w:end w:w="0" w:type="dxa"/>
            </w:tcMar>
            <w:tcMar>
              <w:start w:w="0" w:type="dxa"/>
              <w:end w:w="0" w:type="dxa"/>
            </w:tcMar>
          </w:tcPr>
          <w:p>
            <w:pPr>
              <w:autoSpaceDN w:val="0"/>
              <w:autoSpaceDE w:val="0"/>
              <w:widowControl/>
              <w:spacing w:line="160" w:lineRule="exact" w:before="234" w:after="0"/>
              <w:ind w:left="0" w:right="0" w:firstLine="0"/>
              <w:jc w:val="right"/>
            </w:pPr>
            <w:r>
              <w:rPr>
                <w:rFonts w:ascii="黑体" w:hAnsi="黑体" w:eastAsia="黑体"/>
                <w:b w:val="0"/>
                <w:i w:val="0"/>
                <w:color w:val="000000"/>
                <w:sz w:val="16"/>
              </w:rPr>
              <w:t>合计</w:t>
            </w:r>
          </w:p>
        </w:tc>
      </w:tr>
      <w:tr>
        <w:trPr>
          <w:trHeight w:hRule="exact" w:val="202"/>
        </w:trPr>
        <w:tc>
          <w:tcPr>
            <w:tcW w:type="dxa" w:w="1503"/>
            <w:vMerge/>
            <w:tcBorders>
              <w:top w:sz="4.0" w:val="single" w:color="#000000"/>
              <w:bottom w:sz="2.3999999999998636" w:val="single" w:color="#000000"/>
            </w:tcBorders>
          </w:tcPr>
          <w:p/>
        </w:tc>
        <w:tc>
          <w:tcPr>
            <w:tcW w:type="dxa" w:w="1503"/>
            <w:vMerge/>
            <w:tcBorders>
              <w:bottom w:sz="2.3999999999998636" w:val="single" w:color="#000000"/>
            </w:tcBorders>
          </w:tcPr>
          <w:p/>
        </w:tc>
        <w:tc>
          <w:tcPr>
            <w:tcW w:type="dxa" w:w="1248"/>
            <w:tcBorders>
              <w:bottom w:sz="2.3999999999998636" w:val="single" w:color="#000000"/>
            </w:tcBorders>
            <w:tcMar>
              <w:start w:w="0" w:type="dxa"/>
              <w:end w:w="0" w:type="dxa"/>
            </w:tcMar>
          </w:tcPr>
          <w:p>
            <w:pPr>
              <w:autoSpaceDN w:val="0"/>
              <w:autoSpaceDE w:val="0"/>
              <w:widowControl/>
              <w:spacing w:line="160" w:lineRule="exact" w:before="36" w:after="0"/>
              <w:ind w:left="288" w:right="0" w:firstLine="0"/>
              <w:jc w:val="left"/>
            </w:pPr>
            <w:r>
              <w:rPr>
                <w:rFonts w:ascii="黑体" w:hAnsi="黑体" w:eastAsia="黑体"/>
                <w:b w:val="0"/>
                <w:i w:val="0"/>
                <w:color w:val="000000"/>
                <w:sz w:val="16"/>
              </w:rPr>
              <w:t>公允价值计量</w:t>
            </w:r>
          </w:p>
        </w:tc>
        <w:tc>
          <w:tcPr>
            <w:tcW w:type="dxa" w:w="1500"/>
            <w:tcBorders>
              <w:bottom w:sz="2.3999999999998636" w:val="single" w:color="#000000"/>
            </w:tcBorders>
            <w:tcMar>
              <w:start w:w="0" w:type="dxa"/>
              <w:end w:w="0" w:type="dxa"/>
            </w:tcMar>
          </w:tcPr>
          <w:p>
            <w:pPr>
              <w:autoSpaceDN w:val="0"/>
              <w:autoSpaceDE w:val="0"/>
              <w:widowControl/>
              <w:spacing w:line="160" w:lineRule="exact" w:before="36" w:after="0"/>
              <w:ind w:left="0" w:right="80" w:firstLine="0"/>
              <w:jc w:val="right"/>
            </w:pPr>
            <w:r>
              <w:rPr>
                <w:rFonts w:ascii="黑体" w:hAnsi="黑体" w:eastAsia="黑体"/>
                <w:b w:val="0"/>
                <w:i w:val="0"/>
                <w:color w:val="000000"/>
                <w:sz w:val="16"/>
              </w:rPr>
              <w:t>公允价值计量</w:t>
            </w:r>
          </w:p>
        </w:tc>
        <w:tc>
          <w:tcPr>
            <w:tcW w:type="dxa" w:w="1224"/>
            <w:tcBorders>
              <w:bottom w:sz="2.3999999999998636" w:val="single" w:color="#000000"/>
            </w:tcBorders>
            <w:tcMar>
              <w:start w:w="0" w:type="dxa"/>
              <w:end w:w="0" w:type="dxa"/>
            </w:tcMar>
          </w:tcPr>
          <w:p>
            <w:pPr>
              <w:autoSpaceDN w:val="0"/>
              <w:autoSpaceDE w:val="0"/>
              <w:widowControl/>
              <w:spacing w:line="160" w:lineRule="exact" w:before="36" w:after="0"/>
              <w:ind w:left="262" w:right="0" w:firstLine="0"/>
              <w:jc w:val="left"/>
            </w:pPr>
            <w:r>
              <w:rPr>
                <w:rFonts w:ascii="黑体" w:hAnsi="黑体" w:eastAsia="黑体"/>
                <w:b w:val="0"/>
                <w:i w:val="0"/>
                <w:color w:val="000000"/>
                <w:sz w:val="16"/>
              </w:rPr>
              <w:t>公允价值计量</w:t>
            </w:r>
          </w:p>
        </w:tc>
        <w:tc>
          <w:tcPr>
            <w:tcW w:type="dxa" w:w="1503"/>
            <w:vMerge/>
            <w:tcBorders>
              <w:bottom w:sz="2.3999999999998636" w:val="single" w:color="#000000"/>
            </w:tcBorders>
          </w:tcPr>
          <w:p/>
        </w:tc>
      </w:tr>
    </w:tbl>
    <w:p>
      <w:pPr>
        <w:autoSpaceDN w:val="0"/>
        <w:autoSpaceDE w:val="0"/>
        <w:widowControl/>
        <w:spacing w:line="160" w:lineRule="exact" w:before="336" w:after="46"/>
        <w:ind w:left="358" w:right="0" w:firstLine="0"/>
        <w:jc w:val="left"/>
      </w:pPr>
      <w:r>
        <w:rPr>
          <w:rFonts w:ascii="黑体" w:hAnsi="黑体" w:eastAsia="黑体"/>
          <w:b w:val="0"/>
          <w:i w:val="0"/>
          <w:color w:val="000000"/>
          <w:sz w:val="16"/>
        </w:rPr>
        <w:t>持续以公允价值计量的资产：</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212"/>
        </w:trPr>
        <w:tc>
          <w:tcPr>
            <w:tcW w:type="dxa" w:w="2140"/>
            <w:tcBorders/>
            <w:tcMar>
              <w:start w:w="0" w:type="dxa"/>
              <w:end w:w="0" w:type="dxa"/>
            </w:tcMar>
          </w:tcPr>
          <w:p>
            <w:pPr>
              <w:autoSpaceDN w:val="0"/>
              <w:autoSpaceDE w:val="0"/>
              <w:widowControl/>
              <w:spacing w:line="160" w:lineRule="exact" w:before="46" w:after="0"/>
              <w:ind w:left="358" w:right="0" w:firstLine="0"/>
              <w:jc w:val="left"/>
            </w:pPr>
            <w:r>
              <w:rPr>
                <w:rFonts w:ascii="黑体" w:hAnsi="黑体" w:eastAsia="黑体"/>
                <w:b w:val="0"/>
                <w:i w:val="0"/>
                <w:color w:val="000000"/>
                <w:sz w:val="16"/>
              </w:rPr>
              <w:t>交易性金融资产</w:t>
            </w:r>
          </w:p>
        </w:tc>
        <w:tc>
          <w:tcPr>
            <w:tcW w:type="dxa" w:w="950"/>
            <w:tcBorders/>
            <w:tcMar>
              <w:start w:w="0" w:type="dxa"/>
              <w:end w:w="0" w:type="dxa"/>
            </w:tcMar>
          </w:tcPr>
          <w:p>
            <w:pPr>
              <w:autoSpaceDN w:val="0"/>
              <w:autoSpaceDE w:val="0"/>
              <w:widowControl/>
              <w:spacing w:line="233" w:lineRule="auto" w:before="32" w:after="0"/>
              <w:ind w:left="0" w:right="252" w:firstLine="0"/>
              <w:jc w:val="right"/>
            </w:pPr>
            <w:r>
              <w:rPr>
                <w:rFonts w:ascii="Arial" w:hAnsi="Arial" w:eastAsia="Arial"/>
                <w:b w:val="0"/>
                <w:i w:val="0"/>
                <w:color w:val="000000"/>
                <w:sz w:val="16"/>
              </w:rPr>
              <w:t xml:space="preserve">8 </w:t>
            </w:r>
          </w:p>
        </w:tc>
        <w:tc>
          <w:tcPr>
            <w:tcW w:type="dxa" w:w="1418"/>
            <w:tcBorders/>
            <w:tcMar>
              <w:start w:w="0" w:type="dxa"/>
              <w:end w:w="0" w:type="dxa"/>
            </w:tcMar>
          </w:tcPr>
          <w:p>
            <w:pPr>
              <w:autoSpaceDN w:val="0"/>
              <w:autoSpaceDE w:val="0"/>
              <w:widowControl/>
              <w:spacing w:line="233" w:lineRule="auto" w:before="32" w:after="0"/>
              <w:ind w:left="226" w:right="0" w:firstLine="0"/>
              <w:jc w:val="left"/>
            </w:pPr>
            <w:r>
              <w:rPr>
                <w:rFonts w:ascii="Arial" w:hAnsi="Arial" w:eastAsia="Arial"/>
                <w:b w:val="0"/>
                <w:i w:val="0"/>
                <w:color w:val="000000"/>
                <w:sz w:val="16"/>
              </w:rPr>
              <w:t xml:space="preserve">8,092,071,380 </w:t>
            </w:r>
          </w:p>
        </w:tc>
        <w:tc>
          <w:tcPr>
            <w:tcW w:type="dxa" w:w="1248"/>
            <w:tcBorders/>
            <w:tcMar>
              <w:start w:w="0" w:type="dxa"/>
              <w:end w:w="0" w:type="dxa"/>
            </w:tcMar>
          </w:tcPr>
          <w:p>
            <w:pPr>
              <w:autoSpaceDN w:val="0"/>
              <w:autoSpaceDE w:val="0"/>
              <w:widowControl/>
              <w:spacing w:line="233" w:lineRule="auto" w:before="32" w:after="0"/>
              <w:ind w:left="136" w:right="0" w:firstLine="0"/>
              <w:jc w:val="left"/>
            </w:pPr>
            <w:r>
              <w:rPr>
                <w:rFonts w:ascii="Arial" w:hAnsi="Arial" w:eastAsia="Arial"/>
                <w:b w:val="0"/>
                <w:i w:val="0"/>
                <w:color w:val="000000"/>
                <w:sz w:val="16"/>
              </w:rPr>
              <w:t>26,208,100,504</w:t>
            </w:r>
          </w:p>
        </w:tc>
        <w:tc>
          <w:tcPr>
            <w:tcW w:type="dxa" w:w="1306"/>
            <w:tcBorders/>
            <w:tcMar>
              <w:start w:w="0" w:type="dxa"/>
              <w:end w:w="0" w:type="dxa"/>
            </w:tcMar>
          </w:tcPr>
          <w:p>
            <w:pPr>
              <w:autoSpaceDN w:val="0"/>
              <w:autoSpaceDE w:val="0"/>
              <w:widowControl/>
              <w:spacing w:line="233" w:lineRule="auto" w:before="32" w:after="0"/>
              <w:ind w:left="282" w:right="0" w:firstLine="0"/>
              <w:jc w:val="left"/>
            </w:pPr>
            <w:r>
              <w:rPr>
                <w:rFonts w:ascii="Arial" w:hAnsi="Arial" w:eastAsia="Arial"/>
                <w:b w:val="0"/>
                <w:i w:val="0"/>
                <w:color w:val="000000"/>
                <w:sz w:val="16"/>
              </w:rPr>
              <w:t>1,707,870,896</w:t>
            </w:r>
          </w:p>
        </w:tc>
        <w:tc>
          <w:tcPr>
            <w:tcW w:type="dxa" w:w="1638"/>
            <w:tcBorders/>
            <w:tcMar>
              <w:start w:w="0" w:type="dxa"/>
              <w:end w:w="0" w:type="dxa"/>
            </w:tcMar>
          </w:tcPr>
          <w:p>
            <w:pPr>
              <w:autoSpaceDN w:val="0"/>
              <w:autoSpaceDE w:val="0"/>
              <w:widowControl/>
              <w:spacing w:line="233" w:lineRule="auto" w:before="32" w:after="0"/>
              <w:ind w:left="360" w:right="0" w:firstLine="0"/>
              <w:jc w:val="left"/>
            </w:pPr>
            <w:r>
              <w:rPr>
                <w:rFonts w:ascii="Arial" w:hAnsi="Arial" w:eastAsia="Arial"/>
                <w:b w:val="0"/>
                <w:i w:val="0"/>
                <w:color w:val="000000"/>
                <w:sz w:val="16"/>
              </w:rPr>
              <w:t xml:space="preserve">36,008,042,780 </w:t>
            </w:r>
          </w:p>
        </w:tc>
      </w:tr>
      <w:tr>
        <w:trPr>
          <w:trHeight w:hRule="exact" w:val="303"/>
        </w:trPr>
        <w:tc>
          <w:tcPr>
            <w:tcW w:type="dxa" w:w="2140"/>
            <w:tcBorders/>
            <w:tcMar>
              <w:start w:w="0" w:type="dxa"/>
              <w:end w:w="0" w:type="dxa"/>
            </w:tcMar>
          </w:tcPr>
          <w:p>
            <w:pPr>
              <w:autoSpaceDN w:val="0"/>
              <w:autoSpaceDE w:val="0"/>
              <w:widowControl/>
              <w:spacing w:line="160" w:lineRule="exact" w:before="86" w:after="0"/>
              <w:ind w:left="518" w:right="0" w:firstLine="0"/>
              <w:jc w:val="left"/>
            </w:pPr>
            <w:r>
              <w:rPr>
                <w:rFonts w:ascii="黑体" w:hAnsi="黑体" w:eastAsia="黑体"/>
                <w:b w:val="0"/>
                <w:i w:val="0"/>
                <w:color w:val="000000"/>
                <w:sz w:val="16"/>
              </w:rPr>
              <w:t>债券</w:t>
            </w:r>
          </w:p>
        </w:tc>
        <w:tc>
          <w:tcPr>
            <w:tcW w:type="dxa" w:w="95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102" w:after="0"/>
              <w:ind w:left="0" w:right="206" w:firstLine="0"/>
              <w:jc w:val="right"/>
            </w:pPr>
            <w:r>
              <w:rPr>
                <w:rFonts w:ascii="Arial" w:hAnsi="Arial" w:eastAsia="Arial"/>
                <w:b w:val="0"/>
                <w:i w:val="0"/>
                <w:color w:val="000000"/>
                <w:sz w:val="16"/>
              </w:rPr>
              <w:t xml:space="preserve">10 </w:t>
            </w:r>
          </w:p>
        </w:tc>
        <w:tc>
          <w:tcPr>
            <w:tcW w:type="dxa" w:w="1418"/>
            <w:tcBorders/>
            <w:tcMar>
              <w:start w:w="0" w:type="dxa"/>
              <w:end w:w="0" w:type="dxa"/>
            </w:tcMar>
          </w:tcPr>
          <w:p>
            <w:pPr>
              <w:autoSpaceDN w:val="0"/>
              <w:autoSpaceDE w:val="0"/>
              <w:widowControl/>
              <w:spacing w:line="233" w:lineRule="auto" w:before="88" w:after="0"/>
              <w:ind w:left="226" w:right="0" w:firstLine="0"/>
              <w:jc w:val="left"/>
            </w:pPr>
            <w:r>
              <w:rPr>
                <w:rFonts w:ascii="Arial" w:hAnsi="Arial" w:eastAsia="Arial"/>
                <w:b w:val="0"/>
                <w:i w:val="0"/>
                <w:color w:val="000000"/>
                <w:sz w:val="16"/>
              </w:rPr>
              <w:t xml:space="preserve">3,798,639,882 </w:t>
            </w:r>
          </w:p>
        </w:tc>
        <w:tc>
          <w:tcPr>
            <w:tcW w:type="dxa" w:w="1248"/>
            <w:tcBorders/>
            <w:tcMar>
              <w:start w:w="0" w:type="dxa"/>
              <w:end w:w="0" w:type="dxa"/>
            </w:tcMar>
          </w:tcPr>
          <w:p>
            <w:pPr>
              <w:autoSpaceDN w:val="0"/>
              <w:autoSpaceDE w:val="0"/>
              <w:widowControl/>
              <w:spacing w:line="233" w:lineRule="auto" w:before="88" w:after="0"/>
              <w:ind w:left="136" w:right="0" w:firstLine="0"/>
              <w:jc w:val="left"/>
            </w:pPr>
            <w:r>
              <w:rPr>
                <w:rFonts w:ascii="Arial" w:hAnsi="Arial" w:eastAsia="Arial"/>
                <w:b w:val="0"/>
                <w:i w:val="0"/>
                <w:color w:val="000000"/>
                <w:sz w:val="16"/>
              </w:rPr>
              <w:t>23,171,483,993</w:t>
            </w:r>
          </w:p>
        </w:tc>
        <w:tc>
          <w:tcPr>
            <w:tcW w:type="dxa" w:w="1306"/>
            <w:tcBorders/>
            <w:tcMar>
              <w:start w:w="0" w:type="dxa"/>
              <w:end w:w="0" w:type="dxa"/>
            </w:tcMar>
          </w:tcPr>
          <w:p>
            <w:pPr>
              <w:autoSpaceDN w:val="0"/>
              <w:autoSpaceDE w:val="0"/>
              <w:widowControl/>
              <w:spacing w:line="233" w:lineRule="auto" w:before="88" w:after="0"/>
              <w:ind w:left="0" w:right="2" w:firstLine="0"/>
              <w:jc w:val="right"/>
            </w:pPr>
            <w:r>
              <w:rPr>
                <w:rFonts w:ascii="Arial" w:hAnsi="Arial" w:eastAsia="Arial"/>
                <w:b w:val="0"/>
                <w:i w:val="0"/>
                <w:color w:val="000000"/>
                <w:sz w:val="16"/>
              </w:rPr>
              <w:t>226,026</w:t>
            </w:r>
          </w:p>
        </w:tc>
        <w:tc>
          <w:tcPr>
            <w:tcW w:type="dxa" w:w="1638"/>
            <w:tcBorders/>
            <w:tcMar>
              <w:start w:w="0" w:type="dxa"/>
              <w:end w:w="0" w:type="dxa"/>
            </w:tcMar>
          </w:tcPr>
          <w:p>
            <w:pPr>
              <w:autoSpaceDN w:val="0"/>
              <w:autoSpaceDE w:val="0"/>
              <w:widowControl/>
              <w:spacing w:line="233" w:lineRule="auto" w:before="88" w:after="0"/>
              <w:ind w:left="360" w:right="0" w:firstLine="0"/>
              <w:jc w:val="left"/>
            </w:pPr>
            <w:r>
              <w:rPr>
                <w:rFonts w:ascii="Arial" w:hAnsi="Arial" w:eastAsia="Arial"/>
                <w:b w:val="0"/>
                <w:i w:val="0"/>
                <w:color w:val="000000"/>
                <w:sz w:val="16"/>
              </w:rPr>
              <w:t xml:space="preserve">26,970,349,901 </w:t>
            </w:r>
          </w:p>
        </w:tc>
      </w:tr>
      <w:tr>
        <w:trPr>
          <w:trHeight w:hRule="exact" w:val="254"/>
        </w:trPr>
        <w:tc>
          <w:tcPr>
            <w:tcW w:type="dxa" w:w="2140"/>
            <w:tcBorders/>
            <w:tcMar>
              <w:start w:w="0" w:type="dxa"/>
              <w:end w:w="0" w:type="dxa"/>
            </w:tcMar>
          </w:tcPr>
          <w:p>
            <w:pPr>
              <w:autoSpaceDN w:val="0"/>
              <w:autoSpaceDE w:val="0"/>
              <w:widowControl/>
              <w:spacing w:line="162" w:lineRule="exact" w:before="36" w:after="0"/>
              <w:ind w:left="518" w:right="0" w:firstLine="0"/>
              <w:jc w:val="left"/>
            </w:pPr>
            <w:r>
              <w:rPr>
                <w:rFonts w:ascii="黑体" w:hAnsi="黑体" w:eastAsia="黑体"/>
                <w:b w:val="0"/>
                <w:i w:val="0"/>
                <w:color w:val="000000"/>
                <w:sz w:val="16"/>
              </w:rPr>
              <w:t>股票</w:t>
            </w:r>
          </w:p>
        </w:tc>
        <w:tc>
          <w:tcPr>
            <w:tcW w:type="dxa" w:w="1503"/>
            <w:vMerge/>
            <w:tcBorders/>
          </w:tcPr>
          <w:p/>
        </w:tc>
        <w:tc>
          <w:tcPr>
            <w:tcW w:type="dxa" w:w="1418"/>
            <w:tcBorders/>
            <w:tcMar>
              <w:start w:w="0" w:type="dxa"/>
              <w:end w:w="0" w:type="dxa"/>
            </w:tcMar>
          </w:tcPr>
          <w:p>
            <w:pPr>
              <w:autoSpaceDN w:val="0"/>
              <w:autoSpaceDE w:val="0"/>
              <w:widowControl/>
              <w:spacing w:line="233" w:lineRule="auto" w:before="38" w:after="0"/>
              <w:ind w:left="0" w:right="168" w:firstLine="0"/>
              <w:jc w:val="right"/>
            </w:pPr>
            <w:r>
              <w:rPr>
                <w:rFonts w:ascii="Arial" w:hAnsi="Arial" w:eastAsia="Arial"/>
                <w:b w:val="0"/>
                <w:i w:val="0"/>
                <w:color w:val="000000"/>
                <w:sz w:val="16"/>
              </w:rPr>
              <w:t>701,427,745</w:t>
            </w:r>
          </w:p>
        </w:tc>
        <w:tc>
          <w:tcPr>
            <w:tcW w:type="dxa" w:w="1248"/>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6"/>
              </w:rPr>
              <w:t>-</w:t>
            </w:r>
          </w:p>
        </w:tc>
        <w:tc>
          <w:tcPr>
            <w:tcW w:type="dxa" w:w="1306"/>
            <w:tcBorders/>
            <w:tcMar>
              <w:start w:w="0" w:type="dxa"/>
              <w:end w:w="0" w:type="dxa"/>
            </w:tcMar>
          </w:tcPr>
          <w:p>
            <w:pPr>
              <w:autoSpaceDN w:val="0"/>
              <w:autoSpaceDE w:val="0"/>
              <w:widowControl/>
              <w:spacing w:line="233" w:lineRule="auto" w:before="38" w:after="0"/>
              <w:ind w:left="0" w:right="2" w:firstLine="0"/>
              <w:jc w:val="right"/>
            </w:pPr>
            <w:r>
              <w:rPr>
                <w:rFonts w:ascii="Arial" w:hAnsi="Arial" w:eastAsia="Arial"/>
                <w:b w:val="0"/>
                <w:i w:val="0"/>
                <w:color w:val="000000"/>
                <w:sz w:val="16"/>
              </w:rPr>
              <w:t>226,357,127</w:t>
            </w:r>
          </w:p>
        </w:tc>
        <w:tc>
          <w:tcPr>
            <w:tcW w:type="dxa" w:w="1638"/>
            <w:tcBorders/>
            <w:tcMar>
              <w:start w:w="0" w:type="dxa"/>
              <w:end w:w="0" w:type="dxa"/>
            </w:tcMar>
          </w:tcPr>
          <w:p>
            <w:pPr>
              <w:autoSpaceDN w:val="0"/>
              <w:autoSpaceDE w:val="0"/>
              <w:widowControl/>
              <w:spacing w:line="233" w:lineRule="auto" w:before="38" w:after="0"/>
              <w:ind w:left="0" w:right="122" w:firstLine="0"/>
              <w:jc w:val="right"/>
            </w:pPr>
            <w:r>
              <w:rPr>
                <w:rFonts w:ascii="Arial" w:hAnsi="Arial" w:eastAsia="Arial"/>
                <w:b w:val="0"/>
                <w:i w:val="0"/>
                <w:color w:val="000000"/>
                <w:sz w:val="16"/>
              </w:rPr>
              <w:t xml:space="preserve">927,784,872 </w:t>
            </w:r>
          </w:p>
        </w:tc>
      </w:tr>
      <w:tr>
        <w:trPr>
          <w:trHeight w:hRule="exact" w:val="252"/>
        </w:trPr>
        <w:tc>
          <w:tcPr>
            <w:tcW w:type="dxa" w:w="2140"/>
            <w:tcBorders/>
            <w:tcMar>
              <w:start w:w="0" w:type="dxa"/>
              <w:end w:w="0" w:type="dxa"/>
            </w:tcMar>
          </w:tcPr>
          <w:p>
            <w:pPr>
              <w:autoSpaceDN w:val="0"/>
              <w:autoSpaceDE w:val="0"/>
              <w:widowControl/>
              <w:spacing w:line="162" w:lineRule="exact" w:before="34" w:after="0"/>
              <w:ind w:left="518" w:right="0" w:firstLine="0"/>
              <w:jc w:val="left"/>
            </w:pPr>
            <w:r>
              <w:rPr>
                <w:rFonts w:ascii="黑体" w:hAnsi="黑体" w:eastAsia="黑体"/>
                <w:b w:val="0"/>
                <w:i w:val="0"/>
                <w:color w:val="000000"/>
                <w:sz w:val="16"/>
              </w:rPr>
              <w:t>资产管理计划</w:t>
            </w:r>
          </w:p>
        </w:tc>
        <w:tc>
          <w:tcPr>
            <w:tcW w:type="dxa" w:w="1503"/>
            <w:vMerge/>
            <w:tcBorders/>
          </w:tcPr>
          <w:p/>
        </w:tc>
        <w:tc>
          <w:tcPr>
            <w:tcW w:type="dxa" w:w="1418"/>
            <w:tcBorders/>
            <w:tcMar>
              <w:start w:w="0" w:type="dxa"/>
              <w:end w:w="0" w:type="dxa"/>
            </w:tcMar>
          </w:tcPr>
          <w:p>
            <w:pPr>
              <w:autoSpaceDN w:val="0"/>
              <w:autoSpaceDE w:val="0"/>
              <w:widowControl/>
              <w:spacing w:line="233" w:lineRule="auto" w:before="36" w:after="0"/>
              <w:ind w:left="0" w:right="168" w:firstLine="0"/>
              <w:jc w:val="right"/>
            </w:pPr>
            <w:r>
              <w:rPr>
                <w:rFonts w:ascii="Arial" w:hAnsi="Arial" w:eastAsia="Arial"/>
                <w:b w:val="0"/>
                <w:i w:val="0"/>
                <w:color w:val="000000"/>
                <w:sz w:val="16"/>
              </w:rPr>
              <w:t>-</w:t>
            </w:r>
          </w:p>
        </w:tc>
        <w:tc>
          <w:tcPr>
            <w:tcW w:type="dxa" w:w="1248"/>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6"/>
              </w:rPr>
              <w:t>69,193,424</w:t>
            </w:r>
          </w:p>
        </w:tc>
        <w:tc>
          <w:tcPr>
            <w:tcW w:type="dxa" w:w="1306"/>
            <w:tcBorders/>
            <w:tcMar>
              <w:start w:w="0" w:type="dxa"/>
              <w:end w:w="0" w:type="dxa"/>
            </w:tcMar>
          </w:tcPr>
          <w:p>
            <w:pPr>
              <w:autoSpaceDN w:val="0"/>
              <w:autoSpaceDE w:val="0"/>
              <w:widowControl/>
              <w:spacing w:line="233" w:lineRule="auto" w:before="36" w:after="0"/>
              <w:ind w:left="0" w:right="2" w:firstLine="0"/>
              <w:jc w:val="right"/>
            </w:pPr>
            <w:r>
              <w:rPr>
                <w:rFonts w:ascii="Arial" w:hAnsi="Arial" w:eastAsia="Arial"/>
                <w:b w:val="0"/>
                <w:i w:val="0"/>
                <w:color w:val="000000"/>
                <w:sz w:val="16"/>
              </w:rPr>
              <w:t>152,597,254</w:t>
            </w:r>
          </w:p>
        </w:tc>
        <w:tc>
          <w:tcPr>
            <w:tcW w:type="dxa" w:w="1638"/>
            <w:tcBorders/>
            <w:tcMar>
              <w:start w:w="0" w:type="dxa"/>
              <w:end w:w="0" w:type="dxa"/>
            </w:tcMar>
          </w:tcPr>
          <w:p>
            <w:pPr>
              <w:autoSpaceDN w:val="0"/>
              <w:autoSpaceDE w:val="0"/>
              <w:widowControl/>
              <w:spacing w:line="233" w:lineRule="auto" w:before="36" w:after="0"/>
              <w:ind w:left="0" w:right="122" w:firstLine="0"/>
              <w:jc w:val="right"/>
            </w:pPr>
            <w:r>
              <w:rPr>
                <w:rFonts w:ascii="Arial" w:hAnsi="Arial" w:eastAsia="Arial"/>
                <w:b w:val="0"/>
                <w:i w:val="0"/>
                <w:color w:val="000000"/>
                <w:sz w:val="16"/>
              </w:rPr>
              <w:t xml:space="preserve">221,790,678 </w:t>
            </w:r>
          </w:p>
        </w:tc>
      </w:tr>
      <w:tr>
        <w:trPr>
          <w:trHeight w:hRule="exact" w:val="254"/>
        </w:trPr>
        <w:tc>
          <w:tcPr>
            <w:tcW w:type="dxa" w:w="2140"/>
            <w:tcBorders/>
            <w:tcMar>
              <w:start w:w="0" w:type="dxa"/>
              <w:end w:w="0" w:type="dxa"/>
            </w:tcMar>
          </w:tcPr>
          <w:p>
            <w:pPr>
              <w:autoSpaceDN w:val="0"/>
              <w:autoSpaceDE w:val="0"/>
              <w:widowControl/>
              <w:spacing w:line="162" w:lineRule="exact" w:before="36" w:after="0"/>
              <w:ind w:left="518" w:right="0" w:firstLine="0"/>
              <w:jc w:val="left"/>
            </w:pPr>
            <w:r>
              <w:rPr>
                <w:rFonts w:ascii="黑体" w:hAnsi="黑体" w:eastAsia="黑体"/>
                <w:b w:val="0"/>
                <w:i w:val="0"/>
                <w:color w:val="000000"/>
                <w:sz w:val="16"/>
              </w:rPr>
              <w:t>基金</w:t>
            </w:r>
          </w:p>
        </w:tc>
        <w:tc>
          <w:tcPr>
            <w:tcW w:type="dxa" w:w="1503"/>
            <w:vMerge/>
            <w:tcBorders/>
          </w:tcPr>
          <w:p/>
        </w:tc>
        <w:tc>
          <w:tcPr>
            <w:tcW w:type="dxa" w:w="1418"/>
            <w:tcBorders/>
            <w:tcMar>
              <w:start w:w="0" w:type="dxa"/>
              <w:end w:w="0" w:type="dxa"/>
            </w:tcMar>
          </w:tcPr>
          <w:p>
            <w:pPr>
              <w:autoSpaceDN w:val="0"/>
              <w:autoSpaceDE w:val="0"/>
              <w:widowControl/>
              <w:spacing w:line="233" w:lineRule="auto" w:before="36" w:after="0"/>
              <w:ind w:left="0" w:right="0" w:firstLine="0"/>
              <w:jc w:val="center"/>
            </w:pPr>
            <w:r>
              <w:rPr>
                <w:rFonts w:ascii="Arial" w:hAnsi="Arial" w:eastAsia="Arial"/>
                <w:b w:val="0"/>
                <w:i w:val="0"/>
                <w:color w:val="000000"/>
                <w:sz w:val="16"/>
              </w:rPr>
              <w:t>3,592,003,753</w:t>
            </w:r>
          </w:p>
        </w:tc>
        <w:tc>
          <w:tcPr>
            <w:tcW w:type="dxa" w:w="1248"/>
            <w:tcBorders/>
            <w:tcMar>
              <w:start w:w="0" w:type="dxa"/>
              <w:end w:w="0" w:type="dxa"/>
            </w:tcMar>
          </w:tcPr>
          <w:p>
            <w:pPr>
              <w:autoSpaceDN w:val="0"/>
              <w:autoSpaceDE w:val="0"/>
              <w:widowControl/>
              <w:spacing w:line="233" w:lineRule="auto" w:before="36" w:after="0"/>
              <w:ind w:left="224" w:right="0" w:firstLine="0"/>
              <w:jc w:val="left"/>
            </w:pPr>
            <w:r>
              <w:rPr>
                <w:rFonts w:ascii="Arial" w:hAnsi="Arial" w:eastAsia="Arial"/>
                <w:b w:val="0"/>
                <w:i w:val="0"/>
                <w:color w:val="000000"/>
                <w:sz w:val="16"/>
              </w:rPr>
              <w:t>1,656,575,552</w:t>
            </w:r>
          </w:p>
        </w:tc>
        <w:tc>
          <w:tcPr>
            <w:tcW w:type="dxa" w:w="1306"/>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6"/>
              </w:rPr>
              <w:t>-</w:t>
            </w:r>
          </w:p>
        </w:tc>
        <w:tc>
          <w:tcPr>
            <w:tcW w:type="dxa" w:w="1638"/>
            <w:tcBorders/>
            <w:tcMar>
              <w:start w:w="0" w:type="dxa"/>
              <w:end w:w="0" w:type="dxa"/>
            </w:tcMar>
          </w:tcPr>
          <w:p>
            <w:pPr>
              <w:autoSpaceDN w:val="0"/>
              <w:autoSpaceDE w:val="0"/>
              <w:widowControl/>
              <w:spacing w:line="233" w:lineRule="auto" w:before="36" w:after="0"/>
              <w:ind w:left="0" w:right="122" w:firstLine="0"/>
              <w:jc w:val="right"/>
            </w:pPr>
            <w:r>
              <w:rPr>
                <w:rFonts w:ascii="Arial" w:hAnsi="Arial" w:eastAsia="Arial"/>
                <w:b w:val="0"/>
                <w:i w:val="0"/>
                <w:color w:val="000000"/>
                <w:sz w:val="16"/>
              </w:rPr>
              <w:t xml:space="preserve">5,248,579,305 </w:t>
            </w:r>
          </w:p>
        </w:tc>
      </w:tr>
      <w:tr>
        <w:trPr>
          <w:trHeight w:hRule="exact" w:val="254"/>
        </w:trPr>
        <w:tc>
          <w:tcPr>
            <w:tcW w:type="dxa" w:w="2140"/>
            <w:tcBorders/>
            <w:tcMar>
              <w:start w:w="0" w:type="dxa"/>
              <w:end w:w="0" w:type="dxa"/>
            </w:tcMar>
          </w:tcPr>
          <w:p>
            <w:pPr>
              <w:autoSpaceDN w:val="0"/>
              <w:autoSpaceDE w:val="0"/>
              <w:widowControl/>
              <w:spacing w:line="162" w:lineRule="exact" w:before="34" w:after="0"/>
              <w:ind w:left="518" w:right="0" w:firstLine="0"/>
              <w:jc w:val="left"/>
            </w:pPr>
            <w:r>
              <w:rPr>
                <w:rFonts w:ascii="黑体" w:hAnsi="黑体" w:eastAsia="黑体"/>
                <w:b w:val="0"/>
                <w:i w:val="0"/>
                <w:color w:val="000000"/>
                <w:sz w:val="16"/>
              </w:rPr>
              <w:t>理财产品</w:t>
            </w:r>
          </w:p>
        </w:tc>
        <w:tc>
          <w:tcPr>
            <w:tcW w:type="dxa" w:w="1503"/>
            <w:vMerge/>
            <w:tcBorders/>
          </w:tcPr>
          <w:p/>
        </w:tc>
        <w:tc>
          <w:tcPr>
            <w:tcW w:type="dxa" w:w="1418"/>
            <w:tcBorders/>
            <w:tcMar>
              <w:start w:w="0" w:type="dxa"/>
              <w:end w:w="0" w:type="dxa"/>
            </w:tcMar>
          </w:tcPr>
          <w:p>
            <w:pPr>
              <w:autoSpaceDN w:val="0"/>
              <w:autoSpaceDE w:val="0"/>
              <w:widowControl/>
              <w:spacing w:line="230" w:lineRule="auto" w:before="38" w:after="0"/>
              <w:ind w:left="0" w:right="168" w:firstLine="0"/>
              <w:jc w:val="right"/>
            </w:pPr>
            <w:r>
              <w:rPr>
                <w:rFonts w:ascii="Arial" w:hAnsi="Arial" w:eastAsia="Arial"/>
                <w:b w:val="0"/>
                <w:i w:val="0"/>
                <w:color w:val="000000"/>
                <w:sz w:val="16"/>
              </w:rPr>
              <w:t>-</w:t>
            </w:r>
          </w:p>
        </w:tc>
        <w:tc>
          <w:tcPr>
            <w:tcW w:type="dxa" w:w="1248"/>
            <w:tcBorders/>
            <w:tcMar>
              <w:start w:w="0" w:type="dxa"/>
              <w:end w:w="0" w:type="dxa"/>
            </w:tcMar>
          </w:tcPr>
          <w:p>
            <w:pPr>
              <w:autoSpaceDN w:val="0"/>
              <w:autoSpaceDE w:val="0"/>
              <w:widowControl/>
              <w:spacing w:line="230" w:lineRule="auto" w:before="38" w:after="0"/>
              <w:ind w:left="224" w:right="0" w:firstLine="0"/>
              <w:jc w:val="left"/>
            </w:pPr>
            <w:r>
              <w:rPr>
                <w:rFonts w:ascii="Arial" w:hAnsi="Arial" w:eastAsia="Arial"/>
                <w:b w:val="0"/>
                <w:i w:val="0"/>
                <w:color w:val="000000"/>
                <w:sz w:val="16"/>
              </w:rPr>
              <w:t>1,277,739,066</w:t>
            </w:r>
          </w:p>
        </w:tc>
        <w:tc>
          <w:tcPr>
            <w:tcW w:type="dxa" w:w="1306"/>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638"/>
            <w:tcBorders/>
            <w:tcMar>
              <w:start w:w="0" w:type="dxa"/>
              <w:end w:w="0" w:type="dxa"/>
            </w:tcMar>
          </w:tcPr>
          <w:p>
            <w:pPr>
              <w:autoSpaceDN w:val="0"/>
              <w:autoSpaceDE w:val="0"/>
              <w:widowControl/>
              <w:spacing w:line="230" w:lineRule="auto" w:before="38" w:after="0"/>
              <w:ind w:left="0" w:right="122" w:firstLine="0"/>
              <w:jc w:val="right"/>
            </w:pPr>
            <w:r>
              <w:rPr>
                <w:rFonts w:ascii="Arial" w:hAnsi="Arial" w:eastAsia="Arial"/>
                <w:b w:val="0"/>
                <w:i w:val="0"/>
                <w:color w:val="000000"/>
                <w:sz w:val="16"/>
              </w:rPr>
              <w:t xml:space="preserve">1,277,739,066 </w:t>
            </w:r>
          </w:p>
        </w:tc>
      </w:tr>
      <w:tr>
        <w:trPr>
          <w:trHeight w:hRule="exact" w:val="252"/>
        </w:trPr>
        <w:tc>
          <w:tcPr>
            <w:tcW w:type="dxa" w:w="2140"/>
            <w:tcBorders/>
            <w:tcMar>
              <w:start w:w="0" w:type="dxa"/>
              <w:end w:w="0" w:type="dxa"/>
            </w:tcMar>
          </w:tcPr>
          <w:p>
            <w:pPr>
              <w:autoSpaceDN w:val="0"/>
              <w:autoSpaceDE w:val="0"/>
              <w:widowControl/>
              <w:spacing w:line="162" w:lineRule="exact" w:before="32" w:after="0"/>
              <w:ind w:left="518" w:right="0" w:firstLine="0"/>
              <w:jc w:val="left"/>
            </w:pPr>
            <w:r>
              <w:rPr>
                <w:rFonts w:ascii="黑体" w:hAnsi="黑体" w:eastAsia="黑体"/>
                <w:b w:val="0"/>
                <w:i w:val="0"/>
                <w:color w:val="000000"/>
                <w:sz w:val="16"/>
              </w:rPr>
              <w:t>信托计划</w:t>
            </w:r>
          </w:p>
        </w:tc>
        <w:tc>
          <w:tcPr>
            <w:tcW w:type="dxa" w:w="1503"/>
            <w:vMerge/>
            <w:tcBorders/>
          </w:tcPr>
          <w:p/>
        </w:tc>
        <w:tc>
          <w:tcPr>
            <w:tcW w:type="dxa" w:w="1418"/>
            <w:tcBorders/>
            <w:tcMar>
              <w:start w:w="0" w:type="dxa"/>
              <w:end w:w="0" w:type="dxa"/>
            </w:tcMar>
          </w:tcPr>
          <w:p>
            <w:pPr>
              <w:autoSpaceDN w:val="0"/>
              <w:autoSpaceDE w:val="0"/>
              <w:widowControl/>
              <w:spacing w:line="230" w:lineRule="auto" w:before="36" w:after="0"/>
              <w:ind w:left="0" w:right="168" w:firstLine="0"/>
              <w:jc w:val="right"/>
            </w:pPr>
            <w:r>
              <w:rPr>
                <w:rFonts w:ascii="Arial" w:hAnsi="Arial" w:eastAsia="Arial"/>
                <w:b w:val="0"/>
                <w:i w:val="0"/>
                <w:color w:val="000000"/>
                <w:sz w:val="16"/>
              </w:rPr>
              <w:t>-</w:t>
            </w:r>
          </w:p>
        </w:tc>
        <w:tc>
          <w:tcPr>
            <w:tcW w:type="dxa" w:w="1248"/>
            <w:tcBorders/>
            <w:tcMar>
              <w:start w:w="0" w:type="dxa"/>
              <w:end w:w="0" w:type="dxa"/>
            </w:tcMar>
          </w:tcPr>
          <w:p>
            <w:pPr>
              <w:autoSpaceDN w:val="0"/>
              <w:autoSpaceDE w:val="0"/>
              <w:widowControl/>
              <w:spacing w:line="230" w:lineRule="auto" w:before="36" w:after="0"/>
              <w:ind w:left="0" w:right="0" w:firstLine="0"/>
              <w:jc w:val="right"/>
            </w:pPr>
            <w:r>
              <w:rPr>
                <w:rFonts w:ascii="Arial" w:hAnsi="Arial" w:eastAsia="Arial"/>
                <w:b w:val="0"/>
                <w:i w:val="0"/>
                <w:color w:val="000000"/>
                <w:sz w:val="16"/>
              </w:rPr>
              <w:t>33,108,469</w:t>
            </w:r>
          </w:p>
        </w:tc>
        <w:tc>
          <w:tcPr>
            <w:tcW w:type="dxa" w:w="1306"/>
            <w:tcBorders/>
            <w:tcMar>
              <w:start w:w="0" w:type="dxa"/>
              <w:end w:w="0" w:type="dxa"/>
            </w:tcMar>
          </w:tcPr>
          <w:p>
            <w:pPr>
              <w:autoSpaceDN w:val="0"/>
              <w:autoSpaceDE w:val="0"/>
              <w:widowControl/>
              <w:spacing w:line="230" w:lineRule="auto" w:before="36" w:after="0"/>
              <w:ind w:left="0" w:right="2" w:firstLine="0"/>
              <w:jc w:val="right"/>
            </w:pPr>
            <w:r>
              <w:rPr>
                <w:rFonts w:ascii="Arial" w:hAnsi="Arial" w:eastAsia="Arial"/>
                <w:b w:val="0"/>
                <w:i w:val="0"/>
                <w:color w:val="000000"/>
                <w:sz w:val="16"/>
              </w:rPr>
              <w:t>113,501,151</w:t>
            </w:r>
          </w:p>
        </w:tc>
        <w:tc>
          <w:tcPr>
            <w:tcW w:type="dxa" w:w="1638"/>
            <w:tcBorders/>
            <w:tcMar>
              <w:start w:w="0" w:type="dxa"/>
              <w:end w:w="0" w:type="dxa"/>
            </w:tcMar>
          </w:tcPr>
          <w:p>
            <w:pPr>
              <w:autoSpaceDN w:val="0"/>
              <w:autoSpaceDE w:val="0"/>
              <w:widowControl/>
              <w:spacing w:line="230" w:lineRule="auto" w:before="36" w:after="0"/>
              <w:ind w:left="0" w:right="122" w:firstLine="0"/>
              <w:jc w:val="right"/>
            </w:pPr>
            <w:r>
              <w:rPr>
                <w:rFonts w:ascii="Arial" w:hAnsi="Arial" w:eastAsia="Arial"/>
                <w:b w:val="0"/>
                <w:i w:val="0"/>
                <w:color w:val="000000"/>
                <w:sz w:val="16"/>
              </w:rPr>
              <w:t xml:space="preserve">146,609,620 </w:t>
            </w:r>
          </w:p>
        </w:tc>
      </w:tr>
      <w:tr>
        <w:trPr>
          <w:trHeight w:hRule="exact" w:val="252"/>
        </w:trPr>
        <w:tc>
          <w:tcPr>
            <w:tcW w:type="dxa" w:w="2140"/>
            <w:tcBorders/>
            <w:tcMar>
              <w:start w:w="0" w:type="dxa"/>
              <w:end w:w="0" w:type="dxa"/>
            </w:tcMar>
          </w:tcPr>
          <w:p>
            <w:pPr>
              <w:autoSpaceDN w:val="0"/>
              <w:autoSpaceDE w:val="0"/>
              <w:widowControl/>
              <w:spacing w:line="160" w:lineRule="exact" w:before="36" w:after="0"/>
              <w:ind w:left="518" w:right="0" w:firstLine="0"/>
              <w:jc w:val="left"/>
            </w:pPr>
            <w:r>
              <w:rPr>
                <w:rFonts w:ascii="黑体" w:hAnsi="黑体" w:eastAsia="黑体"/>
                <w:b w:val="0"/>
                <w:i w:val="0"/>
                <w:color w:val="000000"/>
                <w:sz w:val="16"/>
              </w:rPr>
              <w:t>股权</w:t>
            </w:r>
          </w:p>
        </w:tc>
        <w:tc>
          <w:tcPr>
            <w:tcW w:type="dxa" w:w="1503"/>
            <w:vMerge/>
            <w:tcBorders/>
          </w:tcPr>
          <w:p/>
        </w:tc>
        <w:tc>
          <w:tcPr>
            <w:tcW w:type="dxa" w:w="1418"/>
            <w:tcBorders/>
            <w:tcMar>
              <w:start w:w="0" w:type="dxa"/>
              <w:end w:w="0" w:type="dxa"/>
            </w:tcMar>
          </w:tcPr>
          <w:p>
            <w:pPr>
              <w:autoSpaceDN w:val="0"/>
              <w:autoSpaceDE w:val="0"/>
              <w:widowControl/>
              <w:spacing w:line="230" w:lineRule="auto" w:before="38" w:after="0"/>
              <w:ind w:left="0" w:right="168" w:firstLine="0"/>
              <w:jc w:val="right"/>
            </w:pPr>
            <w:r>
              <w:rPr>
                <w:rFonts w:ascii="Arial" w:hAnsi="Arial" w:eastAsia="Arial"/>
                <w:b w:val="0"/>
                <w:i w:val="0"/>
                <w:color w:val="000000"/>
                <w:sz w:val="16"/>
              </w:rPr>
              <w:t>-</w:t>
            </w:r>
          </w:p>
        </w:tc>
        <w:tc>
          <w:tcPr>
            <w:tcW w:type="dxa" w:w="1248"/>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306"/>
            <w:tcBorders/>
            <w:tcMar>
              <w:start w:w="0" w:type="dxa"/>
              <w:end w:w="0" w:type="dxa"/>
            </w:tcMar>
          </w:tcPr>
          <w:p>
            <w:pPr>
              <w:autoSpaceDN w:val="0"/>
              <w:autoSpaceDE w:val="0"/>
              <w:widowControl/>
              <w:spacing w:line="230" w:lineRule="auto" w:before="38" w:after="0"/>
              <w:ind w:left="282" w:right="0" w:firstLine="0"/>
              <w:jc w:val="left"/>
            </w:pPr>
            <w:r>
              <w:rPr>
                <w:rFonts w:ascii="Arial" w:hAnsi="Arial" w:eastAsia="Arial"/>
                <w:b w:val="0"/>
                <w:i w:val="0"/>
                <w:color w:val="000000"/>
                <w:sz w:val="16"/>
              </w:rPr>
              <w:t>1,205,912,223</w:t>
            </w:r>
          </w:p>
        </w:tc>
        <w:tc>
          <w:tcPr>
            <w:tcW w:type="dxa" w:w="1638"/>
            <w:tcBorders/>
            <w:tcMar>
              <w:start w:w="0" w:type="dxa"/>
              <w:end w:w="0" w:type="dxa"/>
            </w:tcMar>
          </w:tcPr>
          <w:p>
            <w:pPr>
              <w:autoSpaceDN w:val="0"/>
              <w:autoSpaceDE w:val="0"/>
              <w:widowControl/>
              <w:spacing w:line="230" w:lineRule="auto" w:before="38" w:after="0"/>
              <w:ind w:left="0" w:right="122" w:firstLine="0"/>
              <w:jc w:val="right"/>
            </w:pPr>
            <w:r>
              <w:rPr>
                <w:rFonts w:ascii="Arial" w:hAnsi="Arial" w:eastAsia="Arial"/>
                <w:b w:val="0"/>
                <w:i w:val="0"/>
                <w:color w:val="000000"/>
                <w:sz w:val="16"/>
              </w:rPr>
              <w:t xml:space="preserve">1,205,912,223 </w:t>
            </w:r>
          </w:p>
        </w:tc>
      </w:tr>
      <w:tr>
        <w:trPr>
          <w:trHeight w:hRule="exact" w:val="254"/>
        </w:trPr>
        <w:tc>
          <w:tcPr>
            <w:tcW w:type="dxa" w:w="2140"/>
            <w:tcBorders/>
            <w:tcMar>
              <w:start w:w="0" w:type="dxa"/>
              <w:end w:w="0" w:type="dxa"/>
            </w:tcMar>
          </w:tcPr>
          <w:p>
            <w:pPr>
              <w:autoSpaceDN w:val="0"/>
              <w:autoSpaceDE w:val="0"/>
              <w:widowControl/>
              <w:spacing w:line="160" w:lineRule="exact" w:before="36" w:after="0"/>
              <w:ind w:left="518" w:right="0" w:firstLine="0"/>
              <w:jc w:val="left"/>
            </w:pPr>
            <w:r>
              <w:rPr>
                <w:rFonts w:ascii="黑体" w:hAnsi="黑体" w:eastAsia="黑体"/>
                <w:b w:val="0"/>
                <w:i w:val="0"/>
                <w:color w:val="000000"/>
                <w:sz w:val="16"/>
              </w:rPr>
              <w:t>债权</w:t>
            </w:r>
          </w:p>
        </w:tc>
        <w:tc>
          <w:tcPr>
            <w:tcW w:type="dxa" w:w="1503"/>
            <w:vMerge/>
            <w:tcBorders/>
          </w:tcPr>
          <w:p/>
        </w:tc>
        <w:tc>
          <w:tcPr>
            <w:tcW w:type="dxa" w:w="1418"/>
            <w:tcBorders/>
            <w:tcMar>
              <w:start w:w="0" w:type="dxa"/>
              <w:end w:w="0" w:type="dxa"/>
            </w:tcMar>
          </w:tcPr>
          <w:p>
            <w:pPr>
              <w:autoSpaceDN w:val="0"/>
              <w:autoSpaceDE w:val="0"/>
              <w:widowControl/>
              <w:spacing w:line="230" w:lineRule="auto" w:before="38" w:after="0"/>
              <w:ind w:left="0" w:right="168" w:firstLine="0"/>
              <w:jc w:val="right"/>
            </w:pPr>
            <w:r>
              <w:rPr>
                <w:rFonts w:ascii="Arial" w:hAnsi="Arial" w:eastAsia="Arial"/>
                <w:b w:val="0"/>
                <w:i w:val="0"/>
                <w:color w:val="000000"/>
                <w:sz w:val="16"/>
              </w:rPr>
              <w:t>-</w:t>
            </w:r>
          </w:p>
        </w:tc>
        <w:tc>
          <w:tcPr>
            <w:tcW w:type="dxa" w:w="1248"/>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w:t>
            </w:r>
          </w:p>
        </w:tc>
        <w:tc>
          <w:tcPr>
            <w:tcW w:type="dxa" w:w="1306"/>
            <w:tcBorders/>
            <w:tcMar>
              <w:start w:w="0" w:type="dxa"/>
              <w:end w:w="0" w:type="dxa"/>
            </w:tcMar>
          </w:tcPr>
          <w:p>
            <w:pPr>
              <w:autoSpaceDN w:val="0"/>
              <w:autoSpaceDE w:val="0"/>
              <w:widowControl/>
              <w:spacing w:line="230" w:lineRule="auto" w:before="38" w:after="0"/>
              <w:ind w:left="0" w:right="2" w:firstLine="0"/>
              <w:jc w:val="right"/>
            </w:pPr>
            <w:r>
              <w:rPr>
                <w:rFonts w:ascii="Arial" w:hAnsi="Arial" w:eastAsia="Arial"/>
                <w:b w:val="0"/>
                <w:i w:val="0"/>
                <w:color w:val="000000"/>
                <w:sz w:val="16"/>
              </w:rPr>
              <w:t>9,277,115</w:t>
            </w:r>
          </w:p>
        </w:tc>
        <w:tc>
          <w:tcPr>
            <w:tcW w:type="dxa" w:w="1638"/>
            <w:tcBorders/>
            <w:tcMar>
              <w:start w:w="0" w:type="dxa"/>
              <w:end w:w="0" w:type="dxa"/>
            </w:tcMar>
          </w:tcPr>
          <w:p>
            <w:pPr>
              <w:autoSpaceDN w:val="0"/>
              <w:autoSpaceDE w:val="0"/>
              <w:widowControl/>
              <w:spacing w:line="230" w:lineRule="auto" w:before="38" w:after="0"/>
              <w:ind w:left="0" w:right="122" w:firstLine="0"/>
              <w:jc w:val="right"/>
            </w:pPr>
            <w:r>
              <w:rPr>
                <w:rFonts w:ascii="Arial" w:hAnsi="Arial" w:eastAsia="Arial"/>
                <w:b w:val="0"/>
                <w:i w:val="0"/>
                <w:color w:val="000000"/>
                <w:sz w:val="16"/>
              </w:rPr>
              <w:t xml:space="preserve">9,277,115 </w:t>
            </w:r>
          </w:p>
        </w:tc>
      </w:tr>
      <w:tr>
        <w:trPr>
          <w:trHeight w:hRule="exact" w:val="205"/>
        </w:trPr>
        <w:tc>
          <w:tcPr>
            <w:tcW w:type="dxa" w:w="2140"/>
            <w:tcBorders/>
            <w:tcMar>
              <w:start w:w="0" w:type="dxa"/>
              <w:end w:w="0" w:type="dxa"/>
            </w:tcMar>
          </w:tcPr>
          <w:p>
            <w:pPr>
              <w:autoSpaceDN w:val="0"/>
              <w:autoSpaceDE w:val="0"/>
              <w:widowControl/>
              <w:spacing w:line="160" w:lineRule="exact" w:before="36" w:after="0"/>
              <w:ind w:left="358" w:right="0" w:firstLine="0"/>
              <w:jc w:val="left"/>
            </w:pPr>
            <w:r>
              <w:rPr>
                <w:rFonts w:ascii="黑体" w:hAnsi="黑体" w:eastAsia="黑体"/>
                <w:b w:val="0"/>
                <w:i w:val="0"/>
                <w:color w:val="000000"/>
                <w:sz w:val="16"/>
              </w:rPr>
              <w:t>其他债权投资</w:t>
            </w:r>
          </w:p>
        </w:tc>
        <w:tc>
          <w:tcPr>
            <w:tcW w:type="dxa" w:w="1503"/>
            <w:vMerge/>
            <w:tcBorders/>
          </w:tcPr>
          <w:p/>
        </w:tc>
        <w:tc>
          <w:tcPr>
            <w:tcW w:type="dxa" w:w="1418"/>
            <w:tcBorders/>
            <w:tcMar>
              <w:start w:w="0" w:type="dxa"/>
              <w:end w:w="0" w:type="dxa"/>
            </w:tcMar>
          </w:tcPr>
          <w:p>
            <w:pPr>
              <w:autoSpaceDN w:val="0"/>
              <w:autoSpaceDE w:val="0"/>
              <w:widowControl/>
              <w:spacing w:line="230" w:lineRule="auto" w:before="26" w:after="0"/>
              <w:ind w:left="0" w:right="170" w:firstLine="0"/>
              <w:jc w:val="right"/>
            </w:pPr>
            <w:r>
              <w:rPr>
                <w:rFonts w:ascii="Arial" w:hAnsi="Arial" w:eastAsia="Arial"/>
                <w:b w:val="0"/>
                <w:i w:val="0"/>
                <w:color w:val="000000"/>
                <w:sz w:val="16"/>
              </w:rPr>
              <w:t>36,097,573</w:t>
            </w:r>
          </w:p>
        </w:tc>
        <w:tc>
          <w:tcPr>
            <w:tcW w:type="dxa" w:w="1248"/>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6"/>
              </w:rPr>
              <w:t>17,613,510</w:t>
            </w:r>
          </w:p>
        </w:tc>
        <w:tc>
          <w:tcPr>
            <w:tcW w:type="dxa" w:w="1306"/>
            <w:tcBorders/>
            <w:tcMar>
              <w:start w:w="0" w:type="dxa"/>
              <w:end w:w="0" w:type="dxa"/>
            </w:tcMar>
          </w:tcPr>
          <w:p>
            <w:pPr>
              <w:autoSpaceDN w:val="0"/>
              <w:autoSpaceDE w:val="0"/>
              <w:widowControl/>
              <w:spacing w:line="230" w:lineRule="auto" w:before="26" w:after="0"/>
              <w:ind w:left="0" w:right="2" w:firstLine="0"/>
              <w:jc w:val="right"/>
            </w:pPr>
            <w:r>
              <w:rPr>
                <w:rFonts w:ascii="Arial" w:hAnsi="Arial" w:eastAsia="Arial"/>
                <w:b w:val="0"/>
                <w:i w:val="0"/>
                <w:color w:val="000000"/>
                <w:sz w:val="16"/>
              </w:rPr>
              <w:t>3,732,580</w:t>
            </w:r>
          </w:p>
        </w:tc>
        <w:tc>
          <w:tcPr>
            <w:tcW w:type="dxa" w:w="1638"/>
            <w:tcBorders/>
            <w:tcMar>
              <w:start w:w="0" w:type="dxa"/>
              <w:end w:w="0" w:type="dxa"/>
            </w:tcMar>
          </w:tcPr>
          <w:p>
            <w:pPr>
              <w:autoSpaceDN w:val="0"/>
              <w:autoSpaceDE w:val="0"/>
              <w:widowControl/>
              <w:spacing w:line="230" w:lineRule="auto" w:before="26" w:after="0"/>
              <w:ind w:left="0" w:right="122" w:firstLine="0"/>
              <w:jc w:val="right"/>
            </w:pPr>
            <w:r>
              <w:rPr>
                <w:rFonts w:ascii="Arial" w:hAnsi="Arial" w:eastAsia="Arial"/>
                <w:b w:val="0"/>
                <w:i w:val="0"/>
                <w:color w:val="000000"/>
                <w:sz w:val="16"/>
              </w:rPr>
              <w:t xml:space="preserve">57,443,663 </w:t>
            </w:r>
          </w:p>
        </w:tc>
      </w:tr>
      <w:tr>
        <w:trPr>
          <w:trHeight w:hRule="exact" w:val="240"/>
        </w:trPr>
        <w:tc>
          <w:tcPr>
            <w:tcW w:type="dxa" w:w="2140"/>
            <w:tcBorders/>
            <w:tcMar>
              <w:start w:w="0" w:type="dxa"/>
              <w:end w:w="0" w:type="dxa"/>
            </w:tcMar>
          </w:tcPr>
          <w:p>
            <w:pPr>
              <w:autoSpaceDN w:val="0"/>
              <w:autoSpaceDE w:val="0"/>
              <w:widowControl/>
              <w:spacing w:line="160" w:lineRule="exact" w:before="80" w:after="0"/>
              <w:ind w:left="358" w:right="0" w:firstLine="0"/>
              <w:jc w:val="left"/>
            </w:pPr>
            <w:r>
              <w:rPr>
                <w:rFonts w:ascii="黑体" w:hAnsi="黑体" w:eastAsia="黑体"/>
                <w:b w:val="0"/>
                <w:i w:val="0"/>
                <w:color w:val="000000"/>
                <w:sz w:val="16"/>
              </w:rPr>
              <w:t>其他权益工具投资</w:t>
            </w:r>
          </w:p>
        </w:tc>
        <w:tc>
          <w:tcPr>
            <w:tcW w:type="dxa" w:w="950"/>
            <w:vMerge w:val="restart"/>
            <w:tcBorders/>
            <w:tcMar>
              <w:start w:w="0" w:type="dxa"/>
              <w:end w:w="0" w:type="dxa"/>
            </w:tcMar>
            <w:tcMar>
              <w:start w:w="0" w:type="dxa"/>
              <w:end w:w="0" w:type="dxa"/>
            </w:tcMar>
          </w:tcPr>
          <w:p>
            <w:pPr>
              <w:autoSpaceDN w:val="0"/>
              <w:autoSpaceDE w:val="0"/>
              <w:widowControl/>
              <w:spacing w:line="233" w:lineRule="auto" w:before="86" w:after="0"/>
              <w:ind w:left="0" w:right="206" w:firstLine="0"/>
              <w:jc w:val="right"/>
            </w:pPr>
            <w:r>
              <w:rPr>
                <w:rFonts w:ascii="Arial" w:hAnsi="Arial" w:eastAsia="Arial"/>
                <w:b w:val="0"/>
                <w:i w:val="0"/>
                <w:color w:val="000000"/>
                <w:sz w:val="16"/>
              </w:rPr>
              <w:t xml:space="preserve">11 </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86" w:after="0"/>
              <w:ind w:left="0" w:right="170" w:firstLine="0"/>
              <w:jc w:val="right"/>
            </w:pPr>
            <w:r>
              <w:rPr>
                <w:rFonts w:ascii="Arial" w:hAnsi="Arial" w:eastAsia="Arial"/>
                <w:b w:val="0"/>
                <w:i w:val="0"/>
                <w:color w:val="000000"/>
                <w:sz w:val="16"/>
              </w:rPr>
              <w:t>15,428</w:t>
            </w:r>
          </w:p>
        </w:tc>
        <w:tc>
          <w:tcPr>
            <w:tcW w:type="dxa" w:w="1248"/>
            <w:vMerge w:val="restart"/>
            <w:tcBorders/>
            <w:tcMar>
              <w:start w:w="0" w:type="dxa"/>
              <w:end w:w="0" w:type="dxa"/>
            </w:tcMar>
            <w:tcMar>
              <w:start w:w="0" w:type="dxa"/>
              <w:end w:w="0" w:type="dxa"/>
            </w:tcMar>
          </w:tcPr>
          <w:p>
            <w:pPr>
              <w:autoSpaceDN w:val="0"/>
              <w:autoSpaceDE w:val="0"/>
              <w:widowControl/>
              <w:spacing w:line="233" w:lineRule="auto" w:before="86" w:after="0"/>
              <w:ind w:left="0" w:right="0" w:firstLine="0"/>
              <w:jc w:val="right"/>
            </w:pPr>
            <w:r>
              <w:rPr>
                <w:rFonts w:ascii="Arial" w:hAnsi="Arial" w:eastAsia="Arial"/>
                <w:b w:val="0"/>
                <w:i w:val="0"/>
                <w:color w:val="000000"/>
                <w:sz w:val="16"/>
              </w:rPr>
              <w:t>-</w:t>
            </w:r>
          </w:p>
        </w:tc>
        <w:tc>
          <w:tcPr>
            <w:tcW w:type="dxa" w:w="1306"/>
            <w:vMerge w:val="restart"/>
            <w:tcBorders/>
            <w:tcMar>
              <w:start w:w="0" w:type="dxa"/>
              <w:end w:w="0" w:type="dxa"/>
            </w:tcMar>
            <w:tcMar>
              <w:start w:w="0" w:type="dxa"/>
              <w:end w:w="0" w:type="dxa"/>
            </w:tcMar>
          </w:tcPr>
          <w:p>
            <w:pPr>
              <w:autoSpaceDN w:val="0"/>
              <w:autoSpaceDE w:val="0"/>
              <w:widowControl/>
              <w:spacing w:line="233" w:lineRule="auto" w:before="86" w:after="0"/>
              <w:ind w:left="0" w:right="2" w:firstLine="0"/>
              <w:jc w:val="right"/>
            </w:pPr>
            <w:r>
              <w:rPr>
                <w:rFonts w:ascii="Arial" w:hAnsi="Arial" w:eastAsia="Arial"/>
                <w:b w:val="0"/>
                <w:i w:val="0"/>
                <w:color w:val="000000"/>
                <w:sz w:val="16"/>
              </w:rPr>
              <w:t>214,084,213</w:t>
            </w:r>
          </w:p>
        </w:tc>
        <w:tc>
          <w:tcPr>
            <w:tcW w:type="dxa" w:w="1638"/>
            <w:vMerge w:val="restart"/>
            <w:tcBorders/>
            <w:tcMar>
              <w:start w:w="0" w:type="dxa"/>
              <w:end w:w="0" w:type="dxa"/>
            </w:tcMar>
            <w:tcMar>
              <w:start w:w="0" w:type="dxa"/>
              <w:end w:w="0" w:type="dxa"/>
            </w:tcMar>
          </w:tcPr>
          <w:p>
            <w:pPr>
              <w:autoSpaceDN w:val="0"/>
              <w:autoSpaceDE w:val="0"/>
              <w:widowControl/>
              <w:spacing w:line="233" w:lineRule="auto" w:before="86" w:after="0"/>
              <w:ind w:left="0" w:right="122" w:firstLine="0"/>
              <w:jc w:val="right"/>
            </w:pPr>
            <w:r>
              <w:rPr>
                <w:rFonts w:ascii="Arial" w:hAnsi="Arial" w:eastAsia="Arial"/>
                <w:b w:val="0"/>
                <w:i w:val="0"/>
                <w:color w:val="000000"/>
                <w:sz w:val="16"/>
              </w:rPr>
              <w:t xml:space="preserve">214,099,641 </w:t>
            </w:r>
          </w:p>
        </w:tc>
      </w:tr>
      <w:tr>
        <w:trPr>
          <w:trHeight w:hRule="exact" w:val="62"/>
        </w:trPr>
        <w:tc>
          <w:tcPr>
            <w:tcW w:type="dxa" w:w="2140"/>
            <w:vMerge w:val="restart"/>
            <w:tcBorders>
              <w:bottom w:sz="4.0" w:val="single" w:color="#000000"/>
            </w:tcBorders>
            <w:tcMar>
              <w:start w:w="0" w:type="dxa"/>
              <w:end w:w="0" w:type="dxa"/>
            </w:tcMar>
            <w:tcMar>
              <w:start w:w="0" w:type="dxa"/>
              <w:end w:w="0" w:type="dxa"/>
            </w:tcMar>
          </w:tcPr>
          <w:p>
            <w:pPr>
              <w:autoSpaceDN w:val="0"/>
              <w:autoSpaceDE w:val="0"/>
              <w:widowControl/>
              <w:spacing w:line="160" w:lineRule="exact" w:before="96" w:after="0"/>
              <w:ind w:left="358" w:right="0" w:firstLine="0"/>
              <w:jc w:val="left"/>
            </w:pPr>
            <w:r>
              <w:rPr>
                <w:rFonts w:ascii="黑体" w:hAnsi="黑体" w:eastAsia="黑体"/>
                <w:b w:val="0"/>
                <w:i w:val="0"/>
                <w:color w:val="000000"/>
                <w:sz w:val="16"/>
              </w:rPr>
              <w:t>衍生金融资产</w:t>
            </w:r>
          </w:p>
        </w:tc>
        <w:tc>
          <w:tcPr>
            <w:tcW w:type="dxa" w:w="1503"/>
            <w:vMerge/>
            <w:tcBorders/>
          </w:tcPr>
          <w:p/>
        </w:tc>
        <w:tc>
          <w:tcPr>
            <w:tcW w:type="dxa" w:w="1503"/>
            <w:vMerge/>
            <w:tcBorders/>
          </w:tcPr>
          <w:p/>
        </w:tc>
        <w:tc>
          <w:tcPr>
            <w:tcW w:type="dxa" w:w="1503"/>
            <w:vMerge/>
            <w:tcBorders/>
          </w:tcPr>
          <w:p/>
        </w:tc>
        <w:tc>
          <w:tcPr>
            <w:tcW w:type="dxa" w:w="1503"/>
            <w:vMerge/>
            <w:tcBorders/>
          </w:tcPr>
          <w:p/>
        </w:tc>
        <w:tc>
          <w:tcPr>
            <w:tcW w:type="dxa" w:w="1503"/>
            <w:vMerge/>
            <w:tcBorders/>
          </w:tcPr>
          <w:p/>
        </w:tc>
      </w:tr>
      <w:tr>
        <w:trPr>
          <w:trHeight w:hRule="exact" w:val="226"/>
        </w:trPr>
        <w:tc>
          <w:tcPr>
            <w:tcW w:type="dxa" w:w="1503"/>
            <w:vMerge/>
            <w:tcBorders>
              <w:bottom w:sz="4.0" w:val="single" w:color="#000000"/>
            </w:tcBorders>
          </w:tcPr>
          <w:p/>
        </w:tc>
        <w:tc>
          <w:tcPr>
            <w:tcW w:type="dxa" w:w="950"/>
            <w:tcBorders>
              <w:bottom w:sz="4.0" w:val="single" w:color="#000000"/>
            </w:tcBorders>
            <w:tcMar>
              <w:start w:w="0" w:type="dxa"/>
              <w:end w:w="0" w:type="dxa"/>
            </w:tcMar>
          </w:tcPr>
          <w:p>
            <w:pPr>
              <w:autoSpaceDN w:val="0"/>
              <w:autoSpaceDE w:val="0"/>
              <w:widowControl/>
              <w:spacing w:line="233" w:lineRule="auto" w:before="36" w:after="0"/>
              <w:ind w:left="0" w:right="252" w:firstLine="0"/>
              <w:jc w:val="right"/>
            </w:pPr>
            <w:r>
              <w:rPr>
                <w:rFonts w:ascii="Arial" w:hAnsi="Arial" w:eastAsia="Arial"/>
                <w:b w:val="0"/>
                <w:i w:val="0"/>
                <w:color w:val="000000"/>
                <w:sz w:val="16"/>
              </w:rPr>
              <w:t xml:space="preserve">4 </w:t>
            </w:r>
          </w:p>
        </w:tc>
        <w:tc>
          <w:tcPr>
            <w:tcW w:type="dxa" w:w="1418"/>
            <w:tcBorders>
              <w:bottom w:sz="4.0" w:val="single" w:color="#000000"/>
            </w:tcBorders>
            <w:tcMar>
              <w:start w:w="0" w:type="dxa"/>
              <w:end w:w="0" w:type="dxa"/>
            </w:tcMar>
          </w:tcPr>
          <w:p>
            <w:pPr>
              <w:autoSpaceDN w:val="0"/>
              <w:autoSpaceDE w:val="0"/>
              <w:widowControl/>
              <w:spacing w:line="233" w:lineRule="auto" w:before="36" w:after="0"/>
              <w:ind w:left="0" w:right="168" w:firstLine="0"/>
              <w:jc w:val="right"/>
            </w:pPr>
            <w:r>
              <w:rPr>
                <w:rFonts w:ascii="Arial" w:hAnsi="Arial" w:eastAsia="Arial"/>
                <w:b w:val="0"/>
                <w:i w:val="0"/>
                <w:color w:val="000000"/>
                <w:sz w:val="16"/>
              </w:rPr>
              <w:t>-</w:t>
            </w:r>
          </w:p>
        </w:tc>
        <w:tc>
          <w:tcPr>
            <w:tcW w:type="dxa" w:w="1248"/>
            <w:tcBorders>
              <w:bottom w:sz="4.0" w:val="single" w:color="#000000"/>
            </w:tcBorders>
            <w:tcMar>
              <w:start w:w="0" w:type="dxa"/>
              <w:end w:w="0" w:type="dxa"/>
            </w:tcMar>
          </w:tcPr>
          <w:p>
            <w:pPr>
              <w:autoSpaceDN w:val="0"/>
              <w:autoSpaceDE w:val="0"/>
              <w:widowControl/>
              <w:spacing w:line="233" w:lineRule="auto" w:before="36" w:after="0"/>
              <w:ind w:left="0" w:right="0" w:firstLine="0"/>
              <w:jc w:val="right"/>
            </w:pPr>
            <w:r>
              <w:rPr>
                <w:rFonts w:ascii="Arial" w:hAnsi="Arial" w:eastAsia="Arial"/>
                <w:b w:val="0"/>
                <w:i w:val="0"/>
                <w:color w:val="000000"/>
                <w:sz w:val="16"/>
              </w:rPr>
              <w:t>10,963,897</w:t>
            </w:r>
          </w:p>
        </w:tc>
        <w:tc>
          <w:tcPr>
            <w:tcW w:type="dxa" w:w="1306"/>
            <w:tcBorders>
              <w:bottom w:sz="4.0" w:val="single" w:color="#000000"/>
            </w:tcBorders>
            <w:tcMar>
              <w:start w:w="0" w:type="dxa"/>
              <w:end w:w="0" w:type="dxa"/>
            </w:tcMar>
          </w:tcPr>
          <w:p>
            <w:pPr>
              <w:autoSpaceDN w:val="0"/>
              <w:autoSpaceDE w:val="0"/>
              <w:widowControl/>
              <w:spacing w:line="233" w:lineRule="auto" w:before="36" w:after="0"/>
              <w:ind w:left="0" w:right="2" w:firstLine="0"/>
              <w:jc w:val="right"/>
            </w:pPr>
            <w:r>
              <w:rPr>
                <w:rFonts w:ascii="Arial" w:hAnsi="Arial" w:eastAsia="Arial"/>
                <w:b w:val="0"/>
                <w:i w:val="0"/>
                <w:color w:val="000000"/>
                <w:sz w:val="16"/>
              </w:rPr>
              <w:t>111,111,310</w:t>
            </w:r>
          </w:p>
        </w:tc>
        <w:tc>
          <w:tcPr>
            <w:tcW w:type="dxa" w:w="1638"/>
            <w:tcBorders>
              <w:bottom w:sz="4.0" w:val="single" w:color="#000000"/>
            </w:tcBorders>
            <w:tcMar>
              <w:start w:w="0" w:type="dxa"/>
              <w:end w:w="0" w:type="dxa"/>
            </w:tcMar>
          </w:tcPr>
          <w:p>
            <w:pPr>
              <w:autoSpaceDN w:val="0"/>
              <w:autoSpaceDE w:val="0"/>
              <w:widowControl/>
              <w:spacing w:line="233" w:lineRule="auto" w:before="36" w:after="0"/>
              <w:ind w:left="0" w:right="122" w:firstLine="0"/>
              <w:jc w:val="right"/>
            </w:pPr>
            <w:r>
              <w:rPr>
                <w:rFonts w:ascii="Arial" w:hAnsi="Arial" w:eastAsia="Arial"/>
                <w:b w:val="0"/>
                <w:i w:val="0"/>
                <w:color w:val="000000"/>
                <w:sz w:val="16"/>
              </w:rPr>
              <w:t xml:space="preserve">122,075,207 </w:t>
            </w:r>
          </w:p>
        </w:tc>
      </w:tr>
      <w:tr>
        <w:trPr>
          <w:trHeight w:hRule="exact" w:val="514"/>
        </w:trPr>
        <w:tc>
          <w:tcPr>
            <w:tcW w:type="dxa" w:w="2140"/>
            <w:tcBorders>
              <w:top w:sz="4.0" w:val="single" w:color="#000000"/>
              <w:bottom w:sz="4.0" w:val="single" w:color="#000000"/>
            </w:tcBorders>
            <w:tcMar>
              <w:start w:w="0" w:type="dxa"/>
              <w:end w:w="0" w:type="dxa"/>
            </w:tcMar>
          </w:tcPr>
          <w:p>
            <w:pPr>
              <w:autoSpaceDN w:val="0"/>
              <w:autoSpaceDE w:val="0"/>
              <w:widowControl/>
              <w:spacing w:line="160" w:lineRule="exact" w:before="320" w:after="0"/>
              <w:ind w:left="198" w:right="0" w:firstLine="0"/>
              <w:jc w:val="left"/>
            </w:pPr>
            <w:r>
              <w:rPr>
                <w:rFonts w:ascii="黑体" w:hAnsi="黑体" w:eastAsia="黑体"/>
                <w:b w:val="0"/>
                <w:i w:val="0"/>
                <w:color w:val="000000"/>
                <w:sz w:val="16"/>
              </w:rPr>
              <w:t>合计</w:t>
            </w:r>
          </w:p>
        </w:tc>
        <w:tc>
          <w:tcPr>
            <w:tcW w:type="dxa" w:w="950"/>
            <w:tcBorders>
              <w:top w:sz="4.0" w:val="single" w:color="#000000"/>
              <w:bottom w:sz="4.0" w:val="single" w:color="#000000"/>
            </w:tcBorders>
            <w:tcMar>
              <w:start w:w="0" w:type="dxa"/>
              <w:end w:w="0" w:type="dxa"/>
            </w:tcMar>
          </w:tcPr>
          <w:p/>
        </w:tc>
        <w:tc>
          <w:tcPr>
            <w:tcW w:type="dxa" w:w="1418"/>
            <w:tcBorders>
              <w:top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Arial" w:hAnsi="Arial" w:eastAsia="Arial"/>
                <w:b w:val="0"/>
                <w:i w:val="0"/>
                <w:color w:val="000000"/>
                <w:sz w:val="16"/>
              </w:rPr>
              <w:t>8,128,184,381</w:t>
            </w:r>
          </w:p>
        </w:tc>
        <w:tc>
          <w:tcPr>
            <w:tcW w:type="dxa" w:w="1248"/>
            <w:tcBorders>
              <w:top w:sz="4.0" w:val="single" w:color="#000000"/>
              <w:bottom w:sz="4.0" w:val="single" w:color="#000000"/>
            </w:tcBorders>
            <w:tcMar>
              <w:start w:w="0" w:type="dxa"/>
              <w:end w:w="0" w:type="dxa"/>
            </w:tcMar>
          </w:tcPr>
          <w:p>
            <w:pPr>
              <w:autoSpaceDN w:val="0"/>
              <w:autoSpaceDE w:val="0"/>
              <w:widowControl/>
              <w:spacing w:line="233" w:lineRule="auto" w:before="322" w:after="0"/>
              <w:ind w:left="136" w:right="0" w:firstLine="0"/>
              <w:jc w:val="left"/>
            </w:pPr>
            <w:r>
              <w:rPr>
                <w:rFonts w:ascii="Arial" w:hAnsi="Arial" w:eastAsia="Arial"/>
                <w:b w:val="0"/>
                <w:i w:val="0"/>
                <w:color w:val="000000"/>
                <w:sz w:val="16"/>
              </w:rPr>
              <w:t>26,236,677,911</w:t>
            </w:r>
          </w:p>
        </w:tc>
        <w:tc>
          <w:tcPr>
            <w:tcW w:type="dxa" w:w="1306"/>
            <w:tcBorders>
              <w:top w:sz="4.0" w:val="single" w:color="#000000"/>
              <w:bottom w:sz="4.0" w:val="single" w:color="#000000"/>
            </w:tcBorders>
            <w:tcMar>
              <w:start w:w="0" w:type="dxa"/>
              <w:end w:w="0" w:type="dxa"/>
            </w:tcMar>
          </w:tcPr>
          <w:p>
            <w:pPr>
              <w:autoSpaceDN w:val="0"/>
              <w:autoSpaceDE w:val="0"/>
              <w:widowControl/>
              <w:spacing w:line="233" w:lineRule="auto" w:before="322" w:after="0"/>
              <w:ind w:left="282" w:right="0" w:firstLine="0"/>
              <w:jc w:val="left"/>
            </w:pPr>
            <w:r>
              <w:rPr>
                <w:rFonts w:ascii="Arial" w:hAnsi="Arial" w:eastAsia="Arial"/>
                <w:b w:val="0"/>
                <w:i w:val="0"/>
                <w:color w:val="000000"/>
                <w:sz w:val="16"/>
              </w:rPr>
              <w:t>2,036,798,999</w:t>
            </w:r>
          </w:p>
        </w:tc>
        <w:tc>
          <w:tcPr>
            <w:tcW w:type="dxa" w:w="1638"/>
            <w:tcBorders>
              <w:top w:sz="4.0" w:val="single" w:color="#000000"/>
              <w:bottom w:sz="4.0" w:val="single" w:color="#000000"/>
            </w:tcBorders>
            <w:tcMar>
              <w:start w:w="0" w:type="dxa"/>
              <w:end w:w="0" w:type="dxa"/>
            </w:tcMar>
          </w:tcPr>
          <w:p>
            <w:pPr>
              <w:autoSpaceDN w:val="0"/>
              <w:autoSpaceDE w:val="0"/>
              <w:widowControl/>
              <w:spacing w:line="233" w:lineRule="auto" w:before="322" w:after="0"/>
              <w:ind w:left="360" w:right="0" w:firstLine="0"/>
              <w:jc w:val="left"/>
            </w:pPr>
            <w:r>
              <w:rPr>
                <w:rFonts w:ascii="Arial" w:hAnsi="Arial" w:eastAsia="Arial"/>
                <w:b w:val="0"/>
                <w:i w:val="0"/>
                <w:color w:val="000000"/>
                <w:sz w:val="16"/>
              </w:rPr>
              <w:t xml:space="preserve">36,401,661,291 </w:t>
            </w:r>
          </w:p>
        </w:tc>
      </w:tr>
      <w:tr>
        <w:trPr>
          <w:trHeight w:hRule="exact" w:val="52"/>
        </w:trPr>
        <w:tc>
          <w:tcPr>
            <w:tcW w:type="dxa" w:w="2140"/>
            <w:tcBorders>
              <w:top w:sz="4.0" w:val="single" w:color="#000000"/>
            </w:tcBorders>
            <w:tcMar>
              <w:start w:w="0" w:type="dxa"/>
              <w:end w:w="0" w:type="dxa"/>
            </w:tcMar>
          </w:tcPr>
          <w:p/>
        </w:tc>
        <w:tc>
          <w:tcPr>
            <w:tcW w:type="dxa" w:w="950"/>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1248"/>
            <w:tcBorders>
              <w:top w:sz="4.0" w:val="single" w:color="#000000"/>
            </w:tcBorders>
            <w:tcMar>
              <w:start w:w="0" w:type="dxa"/>
              <w:end w:w="0" w:type="dxa"/>
            </w:tcMar>
          </w:tcPr>
          <w:p/>
        </w:tc>
        <w:tc>
          <w:tcPr>
            <w:tcW w:type="dxa" w:w="1306"/>
            <w:tcBorders>
              <w:top w:sz="4.0" w:val="single" w:color="#000000"/>
            </w:tcBorders>
            <w:tcMar>
              <w:start w:w="0" w:type="dxa"/>
              <w:end w:w="0" w:type="dxa"/>
            </w:tcMar>
          </w:tcPr>
          <w:p/>
        </w:tc>
        <w:tc>
          <w:tcPr>
            <w:tcW w:type="dxa" w:w="1638"/>
            <w:tcBorders>
              <w:top w:sz="4.0" w:val="single" w:color="#000000"/>
            </w:tcBorders>
            <w:tcMar>
              <w:start w:w="0" w:type="dxa"/>
              <w:end w:w="0" w:type="dxa"/>
            </w:tcMar>
          </w:tcPr>
          <w:p/>
        </w:tc>
      </w:tr>
    </w:tbl>
    <w:p>
      <w:pPr>
        <w:autoSpaceDN w:val="0"/>
        <w:autoSpaceDE w:val="0"/>
        <w:widowControl/>
        <w:spacing w:line="160" w:lineRule="exact" w:before="296" w:after="46"/>
        <w:ind w:left="358" w:right="0" w:firstLine="0"/>
        <w:jc w:val="left"/>
      </w:pPr>
      <w:r>
        <w:rPr>
          <w:rFonts w:ascii="黑体" w:hAnsi="黑体" w:eastAsia="黑体"/>
          <w:b w:val="0"/>
          <w:i w:val="0"/>
          <w:color w:val="000000"/>
          <w:sz w:val="16"/>
        </w:rPr>
        <w:t>持续以公允价值计量的负债：</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204"/>
        </w:trPr>
        <w:tc>
          <w:tcPr>
            <w:tcW w:type="dxa" w:w="2140"/>
            <w:tcBorders/>
            <w:tcMar>
              <w:start w:w="0" w:type="dxa"/>
              <w:end w:w="0" w:type="dxa"/>
            </w:tcMar>
          </w:tcPr>
          <w:p>
            <w:pPr>
              <w:autoSpaceDN w:val="0"/>
              <w:autoSpaceDE w:val="0"/>
              <w:widowControl/>
              <w:spacing w:line="160" w:lineRule="exact" w:before="44" w:after="0"/>
              <w:ind w:left="358" w:right="0" w:firstLine="0"/>
              <w:jc w:val="left"/>
            </w:pPr>
            <w:r>
              <w:rPr>
                <w:rFonts w:ascii="黑体" w:hAnsi="黑体" w:eastAsia="黑体"/>
                <w:b w:val="0"/>
                <w:i w:val="0"/>
                <w:color w:val="000000"/>
                <w:sz w:val="16"/>
              </w:rPr>
              <w:t>交易性金融负债</w:t>
            </w:r>
          </w:p>
        </w:tc>
        <w:tc>
          <w:tcPr>
            <w:tcW w:type="dxa" w:w="950"/>
            <w:vMerge w:val="restart"/>
            <w:tcBorders/>
            <w:tcMar>
              <w:start w:w="0" w:type="dxa"/>
              <w:end w:w="0" w:type="dxa"/>
            </w:tcMar>
            <w:tcMar>
              <w:start w:w="0" w:type="dxa"/>
              <w:end w:w="0" w:type="dxa"/>
            </w:tcMar>
            <w:tcMar>
              <w:start w:w="0" w:type="dxa"/>
              <w:end w:w="0" w:type="dxa"/>
            </w:tcMar>
          </w:tcPr>
          <w:p>
            <w:pPr>
              <w:autoSpaceDN w:val="0"/>
              <w:autoSpaceDE w:val="0"/>
              <w:widowControl/>
              <w:spacing w:line="233" w:lineRule="auto" w:before="48" w:after="0"/>
              <w:ind w:left="0" w:right="206" w:firstLine="0"/>
              <w:jc w:val="right"/>
            </w:pPr>
            <w:r>
              <w:rPr>
                <w:rFonts w:ascii="Arial" w:hAnsi="Arial" w:eastAsia="Arial"/>
                <w:b w:val="0"/>
                <w:i w:val="0"/>
                <w:color w:val="000000"/>
                <w:sz w:val="16"/>
              </w:rPr>
              <w:t xml:space="preserve">23 </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48" w:after="0"/>
              <w:ind w:left="0" w:right="168" w:firstLine="0"/>
              <w:jc w:val="right"/>
            </w:pPr>
            <w:r>
              <w:rPr>
                <w:rFonts w:ascii="Arial" w:hAnsi="Arial" w:eastAsia="Arial"/>
                <w:b w:val="0"/>
                <w:i w:val="0"/>
                <w:color w:val="000000"/>
                <w:sz w:val="16"/>
              </w:rPr>
              <w:t>-</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48" w:after="0"/>
              <w:ind w:left="170" w:right="0" w:firstLine="0"/>
              <w:jc w:val="left"/>
            </w:pPr>
            <w:r>
              <w:rPr>
                <w:rFonts w:ascii="Arial" w:hAnsi="Arial" w:eastAsia="Arial"/>
                <w:b w:val="0"/>
                <w:i w:val="0"/>
                <w:color w:val="000000"/>
                <w:sz w:val="16"/>
              </w:rPr>
              <w:t xml:space="preserve">(3,369,245,850) </w:t>
            </w:r>
          </w:p>
        </w:tc>
        <w:tc>
          <w:tcPr>
            <w:tcW w:type="dxa" w:w="1306"/>
            <w:vMerge w:val="restart"/>
            <w:tcBorders/>
            <w:tcMar>
              <w:start w:w="0" w:type="dxa"/>
              <w:end w:w="0" w:type="dxa"/>
            </w:tcMar>
            <w:tcMar>
              <w:start w:w="0" w:type="dxa"/>
              <w:end w:w="0" w:type="dxa"/>
            </w:tcMar>
          </w:tcPr>
          <w:p>
            <w:pPr>
              <w:autoSpaceDN w:val="0"/>
              <w:autoSpaceDE w:val="0"/>
              <w:widowControl/>
              <w:spacing w:line="233" w:lineRule="auto" w:before="48" w:after="0"/>
              <w:ind w:left="0" w:right="170" w:firstLine="0"/>
              <w:jc w:val="right"/>
            </w:pPr>
            <w:r>
              <w:rPr>
                <w:rFonts w:ascii="Arial" w:hAnsi="Arial" w:eastAsia="Arial"/>
                <w:b w:val="0"/>
                <w:i w:val="0"/>
                <w:color w:val="000000"/>
                <w:sz w:val="16"/>
              </w:rPr>
              <w:t>-</w:t>
            </w:r>
          </w:p>
        </w:tc>
        <w:tc>
          <w:tcPr>
            <w:tcW w:type="dxa" w:w="1508"/>
            <w:vMerge w:val="restart"/>
            <w:tcBorders/>
            <w:tcMar>
              <w:start w:w="0" w:type="dxa"/>
              <w:end w:w="0" w:type="dxa"/>
            </w:tcMar>
            <w:tcMar>
              <w:start w:w="0" w:type="dxa"/>
              <w:end w:w="0" w:type="dxa"/>
            </w:tcMar>
          </w:tcPr>
          <w:p>
            <w:pPr>
              <w:autoSpaceDN w:val="0"/>
              <w:autoSpaceDE w:val="0"/>
              <w:widowControl/>
              <w:spacing w:line="233" w:lineRule="auto" w:before="48" w:after="0"/>
              <w:ind w:left="222" w:right="0" w:firstLine="0"/>
              <w:jc w:val="left"/>
            </w:pPr>
            <w:r>
              <w:rPr>
                <w:rFonts w:ascii="Arial" w:hAnsi="Arial" w:eastAsia="Arial"/>
                <w:b w:val="0"/>
                <w:i w:val="0"/>
                <w:color w:val="000000"/>
                <w:sz w:val="16"/>
              </w:rPr>
              <w:t xml:space="preserve">(3,369,245,850 ) </w:t>
            </w:r>
          </w:p>
        </w:tc>
      </w:tr>
      <w:tr>
        <w:trPr>
          <w:trHeight w:hRule="exact" w:val="60"/>
        </w:trPr>
        <w:tc>
          <w:tcPr>
            <w:tcW w:type="dxa" w:w="2140"/>
            <w:vMerge w:val="restart"/>
            <w:tcBorders/>
            <w:tcMar>
              <w:start w:w="0" w:type="dxa"/>
              <w:end w:w="0" w:type="dxa"/>
            </w:tcMar>
            <w:tcMar>
              <w:start w:w="0" w:type="dxa"/>
              <w:end w:w="0" w:type="dxa"/>
            </w:tcMar>
            <w:tcMar>
              <w:start w:w="0" w:type="dxa"/>
              <w:end w:w="0" w:type="dxa"/>
            </w:tcMar>
          </w:tcPr>
          <w:p>
            <w:pPr>
              <w:autoSpaceDN w:val="0"/>
              <w:autoSpaceDE w:val="0"/>
              <w:widowControl/>
              <w:spacing w:line="160" w:lineRule="exact" w:before="96" w:after="0"/>
              <w:ind w:left="0" w:right="0" w:firstLine="0"/>
              <w:jc w:val="center"/>
            </w:pPr>
            <w:r>
              <w:rPr>
                <w:rFonts w:ascii="黑体" w:hAnsi="黑体" w:eastAsia="黑体"/>
                <w:b w:val="0"/>
                <w:i w:val="0"/>
                <w:color w:val="000000"/>
                <w:sz w:val="16"/>
              </w:rPr>
              <w:t>卖出的借入债券</w:t>
            </w:r>
          </w:p>
        </w:tc>
        <w:tc>
          <w:tcPr>
            <w:tcW w:type="dxa" w:w="1503"/>
            <w:vMerge/>
            <w:tcBorders/>
          </w:tcPr>
          <w:p/>
        </w:tc>
        <w:tc>
          <w:tcPr>
            <w:tcW w:type="dxa" w:w="1503"/>
            <w:vMerge/>
            <w:tcBorders/>
          </w:tcPr>
          <w:p/>
        </w:tc>
        <w:tc>
          <w:tcPr>
            <w:tcW w:type="dxa" w:w="1503"/>
            <w:vMerge/>
            <w:tcBorders/>
          </w:tcPr>
          <w:p/>
        </w:tc>
        <w:tc>
          <w:tcPr>
            <w:tcW w:type="dxa" w:w="1503"/>
            <w:vMerge/>
            <w:tcBorders/>
          </w:tcPr>
          <w:p/>
        </w:tc>
        <w:tc>
          <w:tcPr>
            <w:tcW w:type="dxa" w:w="1503"/>
            <w:vMerge/>
            <w:tcBorders/>
          </w:tcPr>
          <w:p/>
        </w:tc>
      </w:tr>
      <w:tr>
        <w:trPr>
          <w:trHeight w:hRule="exact" w:val="128"/>
        </w:trPr>
        <w:tc>
          <w:tcPr>
            <w:tcW w:type="dxa" w:w="1503"/>
            <w:vMerge/>
            <w:tcBorders/>
          </w:tcPr>
          <w:p/>
        </w:tc>
        <w:tc>
          <w:tcPr>
            <w:tcW w:type="dxa" w:w="1503"/>
            <w:vMerge/>
            <w:tcBorders/>
          </w:tcP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36" w:after="0"/>
              <w:ind w:left="0" w:right="168" w:firstLine="0"/>
              <w:jc w:val="right"/>
            </w:pPr>
            <w:r>
              <w:rPr>
                <w:rFonts w:ascii="Arial" w:hAnsi="Arial" w:eastAsia="Arial"/>
                <w:b w:val="0"/>
                <w:i w:val="0"/>
                <w:color w:val="000000"/>
                <w:sz w:val="16"/>
              </w:rPr>
              <w:t>-</w:t>
            </w:r>
          </w:p>
        </w:tc>
        <w:tc>
          <w:tcPr>
            <w:tcW w:type="dxa" w:w="1418"/>
            <w:vMerge w:val="restart"/>
            <w:tcBorders/>
            <w:tcMar>
              <w:start w:w="0" w:type="dxa"/>
              <w:end w:w="0" w:type="dxa"/>
            </w:tcMar>
            <w:tcMar>
              <w:start w:w="0" w:type="dxa"/>
              <w:end w:w="0" w:type="dxa"/>
            </w:tcMar>
          </w:tcPr>
          <w:p>
            <w:pPr>
              <w:autoSpaceDN w:val="0"/>
              <w:autoSpaceDE w:val="0"/>
              <w:widowControl/>
              <w:spacing w:line="233" w:lineRule="auto" w:before="36" w:after="0"/>
              <w:ind w:left="170" w:right="0" w:firstLine="0"/>
              <w:jc w:val="left"/>
            </w:pPr>
            <w:r>
              <w:rPr>
                <w:rFonts w:ascii="Arial" w:hAnsi="Arial" w:eastAsia="Arial"/>
                <w:b w:val="0"/>
                <w:i w:val="0"/>
                <w:color w:val="000000"/>
                <w:sz w:val="16"/>
              </w:rPr>
              <w:t xml:space="preserve">(3,369,245,850) </w:t>
            </w:r>
          </w:p>
        </w:tc>
        <w:tc>
          <w:tcPr>
            <w:tcW w:type="dxa" w:w="1306"/>
            <w:vMerge w:val="restart"/>
            <w:tcBorders/>
            <w:tcMar>
              <w:start w:w="0" w:type="dxa"/>
              <w:end w:w="0" w:type="dxa"/>
            </w:tcMar>
            <w:tcMar>
              <w:start w:w="0" w:type="dxa"/>
              <w:end w:w="0" w:type="dxa"/>
            </w:tcMar>
          </w:tcPr>
          <w:p>
            <w:pPr>
              <w:autoSpaceDN w:val="0"/>
              <w:autoSpaceDE w:val="0"/>
              <w:widowControl/>
              <w:spacing w:line="233" w:lineRule="auto" w:before="36" w:after="0"/>
              <w:ind w:left="0" w:right="170" w:firstLine="0"/>
              <w:jc w:val="right"/>
            </w:pPr>
            <w:r>
              <w:rPr>
                <w:rFonts w:ascii="Arial" w:hAnsi="Arial" w:eastAsia="Arial"/>
                <w:b w:val="0"/>
                <w:i w:val="0"/>
                <w:color w:val="000000"/>
                <w:sz w:val="16"/>
              </w:rPr>
              <w:t>-</w:t>
            </w:r>
          </w:p>
        </w:tc>
        <w:tc>
          <w:tcPr>
            <w:tcW w:type="dxa" w:w="1508"/>
            <w:vMerge w:val="restart"/>
            <w:tcBorders/>
            <w:tcMar>
              <w:start w:w="0" w:type="dxa"/>
              <w:end w:w="0" w:type="dxa"/>
            </w:tcMar>
            <w:tcMar>
              <w:start w:w="0" w:type="dxa"/>
              <w:end w:w="0" w:type="dxa"/>
            </w:tcMar>
          </w:tcPr>
          <w:p>
            <w:pPr>
              <w:autoSpaceDN w:val="0"/>
              <w:autoSpaceDE w:val="0"/>
              <w:widowControl/>
              <w:spacing w:line="233" w:lineRule="auto" w:before="36" w:after="0"/>
              <w:ind w:left="222" w:right="0" w:firstLine="0"/>
              <w:jc w:val="left"/>
            </w:pPr>
            <w:r>
              <w:rPr>
                <w:rFonts w:ascii="Arial" w:hAnsi="Arial" w:eastAsia="Arial"/>
                <w:b w:val="0"/>
                <w:i w:val="0"/>
                <w:color w:val="000000"/>
                <w:sz w:val="16"/>
              </w:rPr>
              <w:t xml:space="preserve">(3,369,245,850 ) </w:t>
            </w:r>
          </w:p>
        </w:tc>
      </w:tr>
      <w:tr>
        <w:trPr>
          <w:trHeight w:hRule="exact" w:val="123"/>
        </w:trPr>
        <w:tc>
          <w:tcPr>
            <w:tcW w:type="dxa" w:w="1503"/>
            <w:vMerge/>
            <w:tcBorders/>
          </w:tcPr>
          <w:p/>
        </w:tc>
        <w:tc>
          <w:tcPr>
            <w:tcW w:type="dxa" w:w="950"/>
            <w:vMerge w:val="restart"/>
            <w:tcBorders>
              <w:bottom w:sz="4.0" w:val="single" w:color="#000000"/>
            </w:tcBorders>
            <w:tcMar>
              <w:start w:w="0" w:type="dxa"/>
              <w:end w:w="0" w:type="dxa"/>
            </w:tcMar>
            <w:tcMar>
              <w:start w:w="0" w:type="dxa"/>
              <w:end w:w="0" w:type="dxa"/>
            </w:tcMar>
          </w:tcPr>
          <w:p>
            <w:pPr>
              <w:autoSpaceDN w:val="0"/>
              <w:autoSpaceDE w:val="0"/>
              <w:widowControl/>
              <w:spacing w:line="233" w:lineRule="auto" w:before="162" w:after="0"/>
              <w:ind w:left="0" w:right="252" w:firstLine="0"/>
              <w:jc w:val="right"/>
            </w:pPr>
            <w:r>
              <w:rPr>
                <w:rFonts w:ascii="Arial" w:hAnsi="Arial" w:eastAsia="Arial"/>
                <w:b w:val="0"/>
                <w:i w:val="0"/>
                <w:color w:val="000000"/>
                <w:sz w:val="16"/>
              </w:rPr>
              <w:t xml:space="preserve">4 </w:t>
            </w:r>
          </w:p>
        </w:tc>
        <w:tc>
          <w:tcPr>
            <w:tcW w:type="dxa" w:w="1503"/>
            <w:vMerge/>
            <w:tcBorders/>
          </w:tcPr>
          <w:p/>
        </w:tc>
        <w:tc>
          <w:tcPr>
            <w:tcW w:type="dxa" w:w="1503"/>
            <w:vMerge/>
            <w:tcBorders/>
          </w:tcPr>
          <w:p/>
        </w:tc>
        <w:tc>
          <w:tcPr>
            <w:tcW w:type="dxa" w:w="1503"/>
            <w:vMerge/>
            <w:tcBorders/>
          </w:tcPr>
          <w:p/>
        </w:tc>
        <w:tc>
          <w:tcPr>
            <w:tcW w:type="dxa" w:w="1503"/>
            <w:vMerge/>
            <w:tcBorders/>
          </w:tcPr>
          <w:p/>
        </w:tc>
      </w:tr>
      <w:tr>
        <w:trPr>
          <w:trHeight w:hRule="exact" w:val="227"/>
        </w:trPr>
        <w:tc>
          <w:tcPr>
            <w:tcW w:type="dxa" w:w="2140"/>
            <w:tcBorders>
              <w:bottom w:sz="4.0" w:val="single" w:color="#000000"/>
            </w:tcBorders>
            <w:tcMar>
              <w:start w:w="0" w:type="dxa"/>
              <w:end w:w="0" w:type="dxa"/>
            </w:tcMar>
          </w:tcPr>
          <w:p>
            <w:pPr>
              <w:autoSpaceDN w:val="0"/>
              <w:autoSpaceDE w:val="0"/>
              <w:widowControl/>
              <w:spacing w:line="160" w:lineRule="exact" w:before="36" w:after="0"/>
              <w:ind w:left="358" w:right="0" w:firstLine="0"/>
              <w:jc w:val="left"/>
            </w:pPr>
            <w:r>
              <w:rPr>
                <w:rFonts w:ascii="黑体" w:hAnsi="黑体" w:eastAsia="黑体"/>
                <w:b w:val="0"/>
                <w:i w:val="0"/>
                <w:color w:val="000000"/>
                <w:sz w:val="16"/>
              </w:rPr>
              <w:t>衍生金融负债</w:t>
            </w:r>
          </w:p>
        </w:tc>
        <w:tc>
          <w:tcPr>
            <w:tcW w:type="dxa" w:w="1503"/>
            <w:vMerge/>
            <w:tcBorders>
              <w:bottom w:sz="4.0" w:val="single" w:color="#000000"/>
            </w:tcBorders>
          </w:tcPr>
          <w:p/>
        </w:tc>
        <w:tc>
          <w:tcPr>
            <w:tcW w:type="dxa" w:w="1418"/>
            <w:tcBorders>
              <w:bottom w:sz="4.0" w:val="single" w:color="#000000"/>
            </w:tcBorders>
            <w:tcMar>
              <w:start w:w="0" w:type="dxa"/>
              <w:end w:w="0" w:type="dxa"/>
            </w:tcMar>
          </w:tcPr>
          <w:p>
            <w:pPr>
              <w:autoSpaceDN w:val="0"/>
              <w:autoSpaceDE w:val="0"/>
              <w:widowControl/>
              <w:spacing w:line="233" w:lineRule="auto" w:before="38" w:after="0"/>
              <w:ind w:left="0" w:right="74" w:firstLine="0"/>
              <w:jc w:val="right"/>
            </w:pPr>
            <w:r>
              <w:rPr>
                <w:rFonts w:ascii="Arial" w:hAnsi="Arial" w:eastAsia="Arial"/>
                <w:b w:val="0"/>
                <w:i w:val="0"/>
                <w:color w:val="000000"/>
                <w:sz w:val="16"/>
              </w:rPr>
              <w:t xml:space="preserve">(383,400) </w:t>
            </w:r>
          </w:p>
        </w:tc>
        <w:tc>
          <w:tcPr>
            <w:tcW w:type="dxa" w:w="1418"/>
            <w:tcBorders>
              <w:bottom w:sz="4.0" w:val="single" w:color="#000000"/>
            </w:tcBorders>
            <w:tcMar>
              <w:start w:w="0" w:type="dxa"/>
              <w:end w:w="0" w:type="dxa"/>
            </w:tcMar>
          </w:tcPr>
          <w:p>
            <w:pPr>
              <w:autoSpaceDN w:val="0"/>
              <w:autoSpaceDE w:val="0"/>
              <w:widowControl/>
              <w:spacing w:line="233" w:lineRule="auto" w:before="38" w:after="0"/>
              <w:ind w:left="0" w:right="74" w:firstLine="0"/>
              <w:jc w:val="right"/>
            </w:pPr>
            <w:r>
              <w:rPr>
                <w:rFonts w:ascii="Arial" w:hAnsi="Arial" w:eastAsia="Arial"/>
                <w:b w:val="0"/>
                <w:i w:val="0"/>
                <w:color w:val="000000"/>
                <w:sz w:val="16"/>
              </w:rPr>
              <w:t xml:space="preserve">(943,698) </w:t>
            </w:r>
          </w:p>
        </w:tc>
        <w:tc>
          <w:tcPr>
            <w:tcW w:type="dxa" w:w="1306"/>
            <w:tcBorders>
              <w:bottom w:sz="4.0" w:val="single" w:color="#000000"/>
            </w:tcBorders>
            <w:tcMar>
              <w:start w:w="0" w:type="dxa"/>
              <w:end w:w="0" w:type="dxa"/>
            </w:tcMar>
          </w:tcPr>
          <w:p>
            <w:pPr>
              <w:autoSpaceDN w:val="0"/>
              <w:autoSpaceDE w:val="0"/>
              <w:widowControl/>
              <w:spacing w:line="233" w:lineRule="auto" w:before="38" w:after="0"/>
              <w:ind w:left="280" w:right="0" w:firstLine="0"/>
              <w:jc w:val="left"/>
            </w:pPr>
            <w:r>
              <w:rPr>
                <w:rFonts w:ascii="Arial" w:hAnsi="Arial" w:eastAsia="Arial"/>
                <w:b w:val="0"/>
                <w:i w:val="0"/>
                <w:color w:val="000000"/>
                <w:sz w:val="16"/>
              </w:rPr>
              <w:t xml:space="preserve">(85,099,814) </w:t>
            </w:r>
          </w:p>
        </w:tc>
        <w:tc>
          <w:tcPr>
            <w:tcW w:type="dxa" w:w="1508"/>
            <w:tcBorders>
              <w:bottom w:sz="4.0" w:val="single" w:color="#000000"/>
            </w:tcBorders>
            <w:tcMar>
              <w:start w:w="0" w:type="dxa"/>
              <w:end w:w="0" w:type="dxa"/>
            </w:tcMar>
          </w:tcPr>
          <w:p>
            <w:pPr>
              <w:autoSpaceDN w:val="0"/>
              <w:autoSpaceDE w:val="0"/>
              <w:widowControl/>
              <w:spacing w:line="233" w:lineRule="auto" w:before="38" w:after="0"/>
              <w:ind w:left="0" w:right="108" w:firstLine="0"/>
              <w:jc w:val="right"/>
            </w:pPr>
            <w:r>
              <w:rPr>
                <w:rFonts w:ascii="Arial" w:hAnsi="Arial" w:eastAsia="Arial"/>
                <w:b w:val="0"/>
                <w:i w:val="0"/>
                <w:color w:val="000000"/>
                <w:sz w:val="16"/>
              </w:rPr>
              <w:t xml:space="preserve">(86,426,912 ) </w:t>
            </w:r>
          </w:p>
        </w:tc>
      </w:tr>
      <w:tr>
        <w:trPr>
          <w:trHeight w:hRule="exact" w:val="518"/>
        </w:trPr>
        <w:tc>
          <w:tcPr>
            <w:tcW w:type="dxa" w:w="2140"/>
            <w:tcBorders>
              <w:top w:sz="4.0" w:val="single" w:color="#000000"/>
              <w:bottom w:sz="4.0" w:val="single" w:color="#000000"/>
            </w:tcBorders>
            <w:tcMar>
              <w:start w:w="0" w:type="dxa"/>
              <w:end w:w="0" w:type="dxa"/>
            </w:tcMar>
          </w:tcPr>
          <w:p>
            <w:pPr>
              <w:autoSpaceDN w:val="0"/>
              <w:autoSpaceDE w:val="0"/>
              <w:widowControl/>
              <w:spacing w:line="160" w:lineRule="exact" w:before="322" w:after="0"/>
              <w:ind w:left="198" w:right="0" w:firstLine="0"/>
              <w:jc w:val="left"/>
            </w:pPr>
            <w:r>
              <w:rPr>
                <w:rFonts w:ascii="黑体" w:hAnsi="黑体" w:eastAsia="黑体"/>
                <w:b w:val="0"/>
                <w:i w:val="0"/>
                <w:color w:val="000000"/>
                <w:sz w:val="16"/>
              </w:rPr>
              <w:t>合计</w:t>
            </w:r>
          </w:p>
        </w:tc>
        <w:tc>
          <w:tcPr>
            <w:tcW w:type="dxa" w:w="950"/>
            <w:tcBorders>
              <w:top w:sz="4.0" w:val="single" w:color="#000000"/>
              <w:bottom w:sz="4.0" w:val="single" w:color="#000000"/>
            </w:tcBorders>
            <w:tcMar>
              <w:start w:w="0" w:type="dxa"/>
              <w:end w:w="0" w:type="dxa"/>
            </w:tcMar>
          </w:tcPr>
          <w:p/>
        </w:tc>
        <w:tc>
          <w:tcPr>
            <w:tcW w:type="dxa" w:w="1418"/>
            <w:tcBorders>
              <w:top w:sz="4.0" w:val="single" w:color="#000000"/>
              <w:bottom w:sz="4.0" w:val="single" w:color="#000000"/>
            </w:tcBorders>
            <w:tcMar>
              <w:start w:w="0" w:type="dxa"/>
              <w:end w:w="0" w:type="dxa"/>
            </w:tcMar>
          </w:tcPr>
          <w:p>
            <w:pPr>
              <w:autoSpaceDN w:val="0"/>
              <w:autoSpaceDE w:val="0"/>
              <w:widowControl/>
              <w:spacing w:line="233" w:lineRule="auto" w:before="324" w:after="0"/>
              <w:ind w:left="0" w:right="74" w:firstLine="0"/>
              <w:jc w:val="right"/>
            </w:pPr>
            <w:r>
              <w:rPr>
                <w:rFonts w:ascii="Arial" w:hAnsi="Arial" w:eastAsia="Arial"/>
                <w:b w:val="0"/>
                <w:i w:val="0"/>
                <w:color w:val="000000"/>
                <w:sz w:val="16"/>
              </w:rPr>
              <w:t xml:space="preserve">(383,400) </w:t>
            </w:r>
          </w:p>
        </w:tc>
        <w:tc>
          <w:tcPr>
            <w:tcW w:type="dxa" w:w="1418"/>
            <w:tcBorders>
              <w:top w:sz="4.0" w:val="single" w:color="#000000"/>
              <w:bottom w:sz="4.0" w:val="single" w:color="#000000"/>
            </w:tcBorders>
            <w:tcMar>
              <w:start w:w="0" w:type="dxa"/>
              <w:end w:w="0" w:type="dxa"/>
            </w:tcMar>
          </w:tcPr>
          <w:p>
            <w:pPr>
              <w:autoSpaceDN w:val="0"/>
              <w:autoSpaceDE w:val="0"/>
              <w:widowControl/>
              <w:spacing w:line="233" w:lineRule="auto" w:before="324" w:after="0"/>
              <w:ind w:left="170" w:right="0" w:firstLine="0"/>
              <w:jc w:val="left"/>
            </w:pPr>
            <w:r>
              <w:rPr>
                <w:rFonts w:ascii="Arial" w:hAnsi="Arial" w:eastAsia="Arial"/>
                <w:b w:val="0"/>
                <w:i w:val="0"/>
                <w:color w:val="000000"/>
                <w:sz w:val="16"/>
              </w:rPr>
              <w:t xml:space="preserve">(3,370,189,548) </w:t>
            </w:r>
          </w:p>
        </w:tc>
        <w:tc>
          <w:tcPr>
            <w:tcW w:type="dxa" w:w="1306"/>
            <w:tcBorders>
              <w:top w:sz="4.0" w:val="single" w:color="#000000"/>
              <w:bottom w:sz="4.0" w:val="single" w:color="#000000"/>
            </w:tcBorders>
            <w:tcMar>
              <w:start w:w="0" w:type="dxa"/>
              <w:end w:w="0" w:type="dxa"/>
            </w:tcMar>
          </w:tcPr>
          <w:p>
            <w:pPr>
              <w:autoSpaceDN w:val="0"/>
              <w:autoSpaceDE w:val="0"/>
              <w:widowControl/>
              <w:spacing w:line="233" w:lineRule="auto" w:before="324" w:after="0"/>
              <w:ind w:left="280" w:right="0" w:firstLine="0"/>
              <w:jc w:val="left"/>
            </w:pPr>
            <w:r>
              <w:rPr>
                <w:rFonts w:ascii="Arial" w:hAnsi="Arial" w:eastAsia="Arial"/>
                <w:b w:val="0"/>
                <w:i w:val="0"/>
                <w:color w:val="000000"/>
                <w:sz w:val="16"/>
              </w:rPr>
              <w:t xml:space="preserve">(85,099,814) </w:t>
            </w:r>
          </w:p>
        </w:tc>
        <w:tc>
          <w:tcPr>
            <w:tcW w:type="dxa" w:w="1508"/>
            <w:tcBorders>
              <w:top w:sz="4.0" w:val="single" w:color="#000000"/>
              <w:bottom w:sz="4.0" w:val="single" w:color="#000000"/>
            </w:tcBorders>
            <w:tcMar>
              <w:start w:w="0" w:type="dxa"/>
              <w:end w:w="0" w:type="dxa"/>
            </w:tcMar>
          </w:tcPr>
          <w:p>
            <w:pPr>
              <w:autoSpaceDN w:val="0"/>
              <w:autoSpaceDE w:val="0"/>
              <w:widowControl/>
              <w:spacing w:line="233" w:lineRule="auto" w:before="324" w:after="0"/>
              <w:ind w:left="222" w:right="0" w:firstLine="0"/>
              <w:jc w:val="left"/>
            </w:pPr>
            <w:r>
              <w:rPr>
                <w:rFonts w:ascii="Arial" w:hAnsi="Arial" w:eastAsia="Arial"/>
                <w:b w:val="0"/>
                <w:i w:val="0"/>
                <w:color w:val="000000"/>
                <w:sz w:val="16"/>
              </w:rPr>
              <w:t xml:space="preserve">(3,455,672,762 ) </w:t>
            </w:r>
          </w:p>
        </w:tc>
      </w:tr>
      <w:tr>
        <w:trPr>
          <w:trHeight w:hRule="exact" w:val="50"/>
        </w:trPr>
        <w:tc>
          <w:tcPr>
            <w:tcW w:type="dxa" w:w="2140"/>
            <w:tcBorders>
              <w:top w:sz="4.0" w:val="single" w:color="#000000"/>
            </w:tcBorders>
            <w:tcMar>
              <w:start w:w="0" w:type="dxa"/>
              <w:end w:w="0" w:type="dxa"/>
            </w:tcMar>
          </w:tcPr>
          <w:p/>
        </w:tc>
        <w:tc>
          <w:tcPr>
            <w:tcW w:type="dxa" w:w="950"/>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1418"/>
            <w:tcBorders>
              <w:top w:sz="4.0" w:val="single" w:color="#000000"/>
            </w:tcBorders>
            <w:tcMar>
              <w:start w:w="0" w:type="dxa"/>
              <w:end w:w="0" w:type="dxa"/>
            </w:tcMar>
          </w:tcPr>
          <w:p/>
        </w:tc>
        <w:tc>
          <w:tcPr>
            <w:tcW w:type="dxa" w:w="1306"/>
            <w:tcBorders>
              <w:top w:sz="4.0" w:val="single" w:color="#000000"/>
            </w:tcBorders>
            <w:tcMar>
              <w:start w:w="0" w:type="dxa"/>
              <w:end w:w="0" w:type="dxa"/>
            </w:tcMar>
          </w:tcPr>
          <w:p/>
        </w:tc>
        <w:tc>
          <w:tcPr>
            <w:tcW w:type="dxa" w:w="1508"/>
            <w:tcBorders>
              <w:top w:sz="4.0" w:val="single" w:color="#000000"/>
            </w:tcBorders>
            <w:tcMar>
              <w:start w:w="0" w:type="dxa"/>
              <w:end w:w="0" w:type="dxa"/>
            </w:tcMar>
          </w:tcPr>
          <w:p/>
        </w:tc>
      </w:tr>
    </w:tbl>
    <w:p>
      <w:pPr>
        <w:autoSpaceDN w:val="0"/>
        <w:autoSpaceDE w:val="0"/>
        <w:widowControl/>
        <w:spacing w:line="233" w:lineRule="auto" w:before="5732" w:after="0"/>
        <w:ind w:left="0" w:right="0" w:firstLine="0"/>
        <w:jc w:val="center"/>
      </w:pPr>
      <w:r>
        <w:rPr>
          <w:rFonts w:ascii="Arial" w:hAnsi="Arial" w:eastAsia="Arial"/>
          <w:b w:val="0"/>
          <w:i w:val="0"/>
          <w:color w:val="000000"/>
          <w:sz w:val="20"/>
        </w:rPr>
        <w:t xml:space="preserve">291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16" w:val="left"/>
        </w:tabs>
        <w:autoSpaceDE w:val="0"/>
        <w:widowControl/>
        <w:spacing w:line="428" w:lineRule="exact" w:before="0" w:after="0"/>
        <w:ind w:left="358" w:right="288"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以公允价值计量的资产和负债的年末公允价值（续）</w:t>
      </w:r>
      <w:r>
        <w:br/>
      </w:r>
      <w:r>
        <w:rPr>
          <w:rFonts w:ascii="黑体" w:hAnsi="黑体" w:eastAsia="黑体"/>
          <w:b w:val="0"/>
          <w:i w:val="0"/>
          <w:color w:val="000000"/>
          <w:sz w:val="22"/>
        </w:rPr>
        <w:t>对于持有的附有限售条件的股票，本集团于限售期内将相关股票公允价值所属层次列</w:t>
      </w:r>
      <w:r>
        <w:rPr>
          <w:rFonts w:ascii="黑体" w:hAnsi="黑体" w:eastAsia="黑体"/>
          <w:b w:val="0"/>
          <w:i w:val="0"/>
          <w:color w:val="000000"/>
          <w:sz w:val="22"/>
        </w:rPr>
        <w:t>入第二层次，并于限售期满后从第二层次转入第一层次（</w:t>
      </w:r>
      <w:r>
        <w:rPr>
          <w:rFonts w:ascii="Arial" w:hAnsi="Arial" w:eastAsia="Arial"/>
          <w:b w:val="0"/>
          <w:i w:val="0"/>
          <w:color w:val="000000"/>
          <w:sz w:val="22"/>
        </w:rPr>
        <w:t>2023</w:t>
      </w:r>
      <w:r>
        <w:rPr>
          <w:rFonts w:ascii="黑体" w:hAnsi="黑体" w:eastAsia="黑体"/>
          <w:b w:val="0"/>
          <w:i w:val="0"/>
          <w:color w:val="000000"/>
          <w:sz w:val="22"/>
        </w:rPr>
        <w:t>年度：同）。</w:t>
      </w:r>
    </w:p>
    <w:p>
      <w:pPr>
        <w:autoSpaceDN w:val="0"/>
        <w:autoSpaceDE w:val="0"/>
        <w:widowControl/>
        <w:spacing w:line="222" w:lineRule="exact" w:before="302" w:after="0"/>
        <w:ind w:left="358" w:right="0" w:firstLine="0"/>
        <w:jc w:val="left"/>
      </w:pPr>
      <w:r>
        <w:rPr>
          <w:rFonts w:ascii="黑体" w:hAnsi="黑体" w:eastAsia="黑体"/>
          <w:b w:val="0"/>
          <w:i w:val="0"/>
          <w:color w:val="000000"/>
          <w:sz w:val="22"/>
        </w:rPr>
        <w:t>本集团是在发生转换当年的报告期末确认各层次之间的转换。</w:t>
      </w:r>
    </w:p>
    <w:p>
      <w:pPr>
        <w:autoSpaceDN w:val="0"/>
        <w:autoSpaceDE w:val="0"/>
        <w:widowControl/>
        <w:spacing w:line="180" w:lineRule="exact" w:before="348" w:after="16"/>
        <w:ind w:left="0" w:right="3064"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195"/>
        </w:trPr>
        <w:tc>
          <w:tcPr>
            <w:tcW w:type="dxa" w:w="1560"/>
            <w:vMerge w:val="restart"/>
            <w:tcBorders>
              <w:top w:sz="4.0" w:val="single" w:color="#000000"/>
            </w:tcBorders>
            <w:tcMar>
              <w:start w:w="0" w:type="dxa"/>
              <w:end w:w="0" w:type="dxa"/>
            </w:tcMar>
            <w:tcMar>
              <w:start w:w="0" w:type="dxa"/>
              <w:end w:w="0" w:type="dxa"/>
            </w:tcMar>
          </w:tcPr>
          <w:p>
            <w:pPr>
              <w:autoSpaceDN w:val="0"/>
              <w:autoSpaceDE w:val="0"/>
              <w:widowControl/>
              <w:spacing w:line="162" w:lineRule="exact" w:before="228" w:after="0"/>
              <w:ind w:left="198" w:right="0" w:firstLine="0"/>
              <w:jc w:val="left"/>
            </w:pPr>
            <w:r>
              <w:rPr>
                <w:rFonts w:ascii="黑体" w:hAnsi="黑体" w:eastAsia="黑体"/>
                <w:b w:val="0"/>
                <w:i w:val="0"/>
                <w:color w:val="000000"/>
                <w:sz w:val="16"/>
              </w:rPr>
              <w:t>项目</w:t>
            </w:r>
          </w:p>
        </w:tc>
        <w:tc>
          <w:tcPr>
            <w:tcW w:type="dxa" w:w="1730"/>
            <w:vMerge w:val="restart"/>
            <w:tcBorders/>
            <w:tcMar>
              <w:start w:w="0" w:type="dxa"/>
              <w:end w:w="0" w:type="dxa"/>
            </w:tcMar>
            <w:tcMar>
              <w:start w:w="0" w:type="dxa"/>
              <w:end w:w="0" w:type="dxa"/>
            </w:tcMar>
          </w:tcPr>
          <w:p>
            <w:pPr>
              <w:autoSpaceDN w:val="0"/>
              <w:autoSpaceDE w:val="0"/>
              <w:widowControl/>
              <w:spacing w:line="162" w:lineRule="exact" w:before="232" w:after="0"/>
              <w:ind w:left="0" w:right="186" w:firstLine="0"/>
              <w:jc w:val="right"/>
            </w:pPr>
            <w:r>
              <w:rPr>
                <w:rFonts w:ascii="黑体" w:hAnsi="黑体" w:eastAsia="黑体"/>
                <w:b w:val="0"/>
                <w:i w:val="0"/>
                <w:color w:val="000000"/>
                <w:sz w:val="16"/>
              </w:rPr>
              <w:t>附注五</w:t>
            </w:r>
          </w:p>
        </w:tc>
        <w:tc>
          <w:tcPr>
            <w:tcW w:type="dxa" w:w="1162"/>
            <w:tcBorders/>
            <w:tcMar>
              <w:start w:w="0" w:type="dxa"/>
              <w:end w:w="0" w:type="dxa"/>
            </w:tcMar>
          </w:tcPr>
          <w:p>
            <w:pPr>
              <w:autoSpaceDN w:val="0"/>
              <w:autoSpaceDE w:val="0"/>
              <w:widowControl/>
              <w:spacing w:line="160" w:lineRule="exact" w:before="26" w:after="0"/>
              <w:ind w:left="0" w:right="0" w:firstLine="0"/>
              <w:jc w:val="right"/>
            </w:pPr>
            <w:r>
              <w:rPr>
                <w:rFonts w:ascii="黑体" w:hAnsi="黑体" w:eastAsia="黑体"/>
                <w:b w:val="0"/>
                <w:i w:val="0"/>
                <w:color w:val="000000"/>
                <w:sz w:val="16"/>
              </w:rPr>
              <w:t>第一层次</w:t>
            </w:r>
          </w:p>
        </w:tc>
        <w:tc>
          <w:tcPr>
            <w:tcW w:type="dxa" w:w="1528"/>
            <w:tcBorders/>
            <w:tcMar>
              <w:start w:w="0" w:type="dxa"/>
              <w:end w:w="0" w:type="dxa"/>
            </w:tcMar>
          </w:tcPr>
          <w:p>
            <w:pPr>
              <w:autoSpaceDN w:val="0"/>
              <w:autoSpaceDE w:val="0"/>
              <w:widowControl/>
              <w:spacing w:line="160" w:lineRule="exact" w:before="26" w:after="0"/>
              <w:ind w:left="0" w:right="224" w:firstLine="0"/>
              <w:jc w:val="right"/>
            </w:pPr>
            <w:r>
              <w:rPr>
                <w:rFonts w:ascii="黑体" w:hAnsi="黑体" w:eastAsia="黑体"/>
                <w:b w:val="0"/>
                <w:i w:val="0"/>
                <w:color w:val="000000"/>
                <w:sz w:val="16"/>
              </w:rPr>
              <w:t>第二层次</w:t>
            </w:r>
          </w:p>
        </w:tc>
        <w:tc>
          <w:tcPr>
            <w:tcW w:type="dxa" w:w="1136"/>
            <w:tcBorders/>
            <w:tcMar>
              <w:start w:w="0" w:type="dxa"/>
              <w:end w:w="0" w:type="dxa"/>
            </w:tcMar>
          </w:tcPr>
          <w:p>
            <w:pPr>
              <w:autoSpaceDN w:val="0"/>
              <w:autoSpaceDE w:val="0"/>
              <w:widowControl/>
              <w:spacing w:line="160" w:lineRule="exact" w:before="26" w:after="0"/>
              <w:ind w:left="0" w:right="0" w:firstLine="0"/>
              <w:jc w:val="right"/>
            </w:pPr>
            <w:r>
              <w:rPr>
                <w:rFonts w:ascii="黑体" w:hAnsi="黑体" w:eastAsia="黑体"/>
                <w:b w:val="0"/>
                <w:i w:val="0"/>
                <w:color w:val="000000"/>
                <w:sz w:val="16"/>
              </w:rPr>
              <w:t>第三层次</w:t>
            </w:r>
          </w:p>
        </w:tc>
        <w:tc>
          <w:tcPr>
            <w:tcW w:type="dxa" w:w="1564"/>
            <w:vMerge w:val="restart"/>
            <w:tcBorders/>
            <w:tcMar>
              <w:start w:w="0" w:type="dxa"/>
              <w:end w:w="0" w:type="dxa"/>
            </w:tcMar>
            <w:tcMar>
              <w:start w:w="0" w:type="dxa"/>
              <w:end w:w="0" w:type="dxa"/>
            </w:tcMar>
          </w:tcPr>
          <w:p>
            <w:pPr>
              <w:autoSpaceDN w:val="0"/>
              <w:autoSpaceDE w:val="0"/>
              <w:widowControl/>
              <w:spacing w:line="162" w:lineRule="exact" w:before="232" w:after="0"/>
              <w:ind w:left="0" w:right="142" w:firstLine="0"/>
              <w:jc w:val="right"/>
            </w:pPr>
            <w:r>
              <w:rPr>
                <w:rFonts w:ascii="黑体" w:hAnsi="黑体" w:eastAsia="黑体"/>
                <w:b w:val="0"/>
                <w:i w:val="0"/>
                <w:color w:val="000000"/>
                <w:sz w:val="16"/>
              </w:rPr>
              <w:t>合计</w:t>
            </w:r>
          </w:p>
        </w:tc>
      </w:tr>
      <w:tr>
        <w:trPr>
          <w:trHeight w:hRule="exact" w:val="258"/>
        </w:trPr>
        <w:tc>
          <w:tcPr>
            <w:tcW w:type="dxa" w:w="1503"/>
            <w:vMerge/>
            <w:tcBorders>
              <w:top w:sz="4.0" w:val="single" w:color="#000000"/>
            </w:tcBorders>
          </w:tcPr>
          <w:p/>
        </w:tc>
        <w:tc>
          <w:tcPr>
            <w:tcW w:type="dxa" w:w="1503"/>
            <w:vMerge/>
            <w:tcBorders/>
          </w:tcPr>
          <w:p/>
        </w:tc>
        <w:tc>
          <w:tcPr>
            <w:tcW w:type="dxa" w:w="1162"/>
            <w:tcBorders/>
            <w:tcMar>
              <w:start w:w="0" w:type="dxa"/>
              <w:end w:w="0" w:type="dxa"/>
            </w:tcMar>
          </w:tcPr>
          <w:p>
            <w:pPr>
              <w:autoSpaceDN w:val="0"/>
              <w:autoSpaceDE w:val="0"/>
              <w:widowControl/>
              <w:spacing w:line="162" w:lineRule="exact" w:before="36" w:after="0"/>
              <w:ind w:left="198" w:right="0" w:firstLine="0"/>
              <w:jc w:val="left"/>
            </w:pPr>
            <w:r>
              <w:rPr>
                <w:rFonts w:ascii="黑体" w:hAnsi="黑体" w:eastAsia="黑体"/>
                <w:b w:val="0"/>
                <w:i w:val="0"/>
                <w:color w:val="000000"/>
                <w:sz w:val="16"/>
              </w:rPr>
              <w:t>公允价值计量</w:t>
            </w:r>
          </w:p>
        </w:tc>
        <w:tc>
          <w:tcPr>
            <w:tcW w:type="dxa" w:w="1528"/>
            <w:tcBorders/>
            <w:tcMar>
              <w:start w:w="0" w:type="dxa"/>
              <w:end w:w="0" w:type="dxa"/>
            </w:tcMar>
          </w:tcPr>
          <w:p>
            <w:pPr>
              <w:autoSpaceDN w:val="0"/>
              <w:autoSpaceDE w:val="0"/>
              <w:widowControl/>
              <w:spacing w:line="162" w:lineRule="exact" w:before="36" w:after="0"/>
              <w:ind w:left="340" w:right="0" w:firstLine="0"/>
              <w:jc w:val="left"/>
            </w:pPr>
            <w:r>
              <w:rPr>
                <w:rFonts w:ascii="黑体" w:hAnsi="黑体" w:eastAsia="黑体"/>
                <w:b w:val="0"/>
                <w:i w:val="0"/>
                <w:color w:val="000000"/>
                <w:sz w:val="16"/>
              </w:rPr>
              <w:t>公允价值计量</w:t>
            </w:r>
          </w:p>
        </w:tc>
        <w:tc>
          <w:tcPr>
            <w:tcW w:type="dxa" w:w="1136"/>
            <w:tcBorders/>
            <w:tcMar>
              <w:start w:w="0" w:type="dxa"/>
              <w:end w:w="0" w:type="dxa"/>
            </w:tcMar>
          </w:tcPr>
          <w:p>
            <w:pPr>
              <w:autoSpaceDN w:val="0"/>
              <w:autoSpaceDE w:val="0"/>
              <w:widowControl/>
              <w:spacing w:line="162" w:lineRule="exact" w:before="36" w:after="0"/>
              <w:ind w:left="174" w:right="0" w:firstLine="0"/>
              <w:jc w:val="left"/>
            </w:pPr>
            <w:r>
              <w:rPr>
                <w:rFonts w:ascii="黑体" w:hAnsi="黑体" w:eastAsia="黑体"/>
                <w:b w:val="0"/>
                <w:i w:val="0"/>
                <w:color w:val="000000"/>
                <w:sz w:val="16"/>
              </w:rPr>
              <w:t>公允价值计量</w:t>
            </w:r>
          </w:p>
        </w:tc>
        <w:tc>
          <w:tcPr>
            <w:tcW w:type="dxa" w:w="1503"/>
            <w:vMerge/>
            <w:tcBorders/>
          </w:tcPr>
          <w:p/>
        </w:tc>
      </w:tr>
    </w:tbl>
    <w:p>
      <w:pPr>
        <w:autoSpaceDN w:val="0"/>
        <w:autoSpaceDE w:val="0"/>
        <w:widowControl/>
        <w:spacing w:line="162" w:lineRule="exact" w:before="280" w:after="44"/>
        <w:ind w:left="358" w:right="0" w:firstLine="0"/>
        <w:jc w:val="left"/>
      </w:pPr>
      <w:r>
        <w:rPr>
          <w:rFonts w:ascii="黑体" w:hAnsi="黑体" w:eastAsia="黑体"/>
          <w:b w:val="0"/>
          <w:i w:val="0"/>
          <w:color w:val="000000"/>
          <w:sz w:val="16"/>
        </w:rPr>
        <w:t>持续以公允价值计量的资产：</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212"/>
        </w:trPr>
        <w:tc>
          <w:tcPr>
            <w:tcW w:type="dxa" w:w="2200"/>
            <w:tcBorders/>
            <w:tcMar>
              <w:start w:w="0" w:type="dxa"/>
              <w:end w:w="0" w:type="dxa"/>
            </w:tcMar>
          </w:tcPr>
          <w:p>
            <w:pPr>
              <w:autoSpaceDN w:val="0"/>
              <w:autoSpaceDE w:val="0"/>
              <w:widowControl/>
              <w:spacing w:line="162" w:lineRule="exact" w:before="46" w:after="0"/>
              <w:ind w:left="358" w:right="0" w:firstLine="0"/>
              <w:jc w:val="left"/>
            </w:pPr>
            <w:r>
              <w:rPr>
                <w:rFonts w:ascii="黑体" w:hAnsi="黑体" w:eastAsia="黑体"/>
                <w:b w:val="0"/>
                <w:i w:val="0"/>
                <w:color w:val="000000"/>
                <w:sz w:val="16"/>
              </w:rPr>
              <w:t>交易性金融资产</w:t>
            </w:r>
          </w:p>
        </w:tc>
        <w:tc>
          <w:tcPr>
            <w:tcW w:type="dxa" w:w="1090"/>
            <w:tcBorders/>
            <w:tcMar>
              <w:start w:w="0" w:type="dxa"/>
              <w:end w:w="0" w:type="dxa"/>
            </w:tcMar>
          </w:tcPr>
          <w:p>
            <w:pPr>
              <w:autoSpaceDN w:val="0"/>
              <w:autoSpaceDE w:val="0"/>
              <w:widowControl/>
              <w:spacing w:line="230" w:lineRule="auto" w:before="34" w:after="0"/>
              <w:ind w:left="0" w:right="340" w:firstLine="0"/>
              <w:jc w:val="right"/>
            </w:pPr>
            <w:r>
              <w:rPr>
                <w:rFonts w:ascii="Arial" w:hAnsi="Arial" w:eastAsia="Arial"/>
                <w:b w:val="0"/>
                <w:i w:val="0"/>
                <w:color w:val="000000"/>
                <w:sz w:val="16"/>
              </w:rPr>
              <w:t xml:space="preserve">8 </w:t>
            </w:r>
          </w:p>
        </w:tc>
        <w:tc>
          <w:tcPr>
            <w:tcW w:type="dxa" w:w="2690"/>
            <w:gridSpan w:val="2"/>
            <w:tcBorders/>
            <w:tcMar>
              <w:start w:w="0" w:type="dxa"/>
              <w:end w:w="0" w:type="dxa"/>
            </w:tcMar>
            <w:tcMar>
              <w:start w:w="0" w:type="dxa"/>
              <w:end w:w="0" w:type="dxa"/>
            </w:tcMar>
          </w:tcPr>
          <w:p>
            <w:pPr>
              <w:autoSpaceDN w:val="0"/>
              <w:autoSpaceDE w:val="0"/>
              <w:widowControl/>
              <w:spacing w:line="230" w:lineRule="auto" w:before="34" w:after="0"/>
              <w:ind w:left="48" w:right="0" w:firstLine="0"/>
              <w:jc w:val="left"/>
            </w:pPr>
            <w:r>
              <w:rPr>
                <w:rFonts w:ascii="Arial" w:hAnsi="Arial" w:eastAsia="Arial"/>
                <w:b w:val="0"/>
                <w:i w:val="0"/>
                <w:color w:val="000000"/>
                <w:sz w:val="16"/>
              </w:rPr>
              <w:t xml:space="preserve">11,949,118,478   23,055,373,989 </w:t>
            </w:r>
          </w:p>
        </w:tc>
        <w:tc>
          <w:tcPr>
            <w:tcW w:type="dxa" w:w="1362"/>
            <w:tcBorders/>
            <w:tcMar>
              <w:start w:w="0" w:type="dxa"/>
              <w:end w:w="0" w:type="dxa"/>
            </w:tcMar>
          </w:tcPr>
          <w:p>
            <w:pPr>
              <w:autoSpaceDN w:val="0"/>
              <w:autoSpaceDE w:val="0"/>
              <w:widowControl/>
              <w:spacing w:line="230" w:lineRule="auto" w:before="34" w:after="0"/>
              <w:ind w:left="0" w:right="0" w:firstLine="0"/>
              <w:jc w:val="left"/>
            </w:pPr>
            <w:r>
              <w:rPr>
                <w:rFonts w:ascii="Arial" w:hAnsi="Arial" w:eastAsia="Arial"/>
                <w:b w:val="0"/>
                <w:i w:val="0"/>
                <w:color w:val="000000"/>
                <w:sz w:val="16"/>
              </w:rPr>
              <w:t xml:space="preserve"> 1,917,621,834 </w:t>
            </w:r>
          </w:p>
        </w:tc>
        <w:tc>
          <w:tcPr>
            <w:tcW w:type="dxa" w:w="1192"/>
            <w:tcBorders/>
            <w:tcMar>
              <w:start w:w="0" w:type="dxa"/>
              <w:end w:w="0" w:type="dxa"/>
            </w:tcMar>
          </w:tcPr>
          <w:p>
            <w:pPr>
              <w:autoSpaceDN w:val="0"/>
              <w:autoSpaceDE w:val="0"/>
              <w:widowControl/>
              <w:spacing w:line="230" w:lineRule="auto" w:before="34" w:after="0"/>
              <w:ind w:left="82" w:right="0" w:firstLine="0"/>
              <w:jc w:val="left"/>
            </w:pPr>
            <w:r>
              <w:rPr>
                <w:rFonts w:ascii="Arial" w:hAnsi="Arial" w:eastAsia="Arial"/>
                <w:b w:val="0"/>
                <w:i w:val="0"/>
                <w:color w:val="000000"/>
                <w:sz w:val="16"/>
              </w:rPr>
              <w:t>36,922,114,301</w:t>
            </w:r>
          </w:p>
        </w:tc>
      </w:tr>
      <w:tr>
        <w:trPr>
          <w:trHeight w:hRule="exact" w:val="306"/>
        </w:trPr>
        <w:tc>
          <w:tcPr>
            <w:tcW w:type="dxa" w:w="2200"/>
            <w:tcBorders/>
            <w:tcMar>
              <w:start w:w="0" w:type="dxa"/>
              <w:end w:w="0" w:type="dxa"/>
            </w:tcMar>
          </w:tcPr>
          <w:p>
            <w:pPr>
              <w:autoSpaceDN w:val="0"/>
              <w:autoSpaceDE w:val="0"/>
              <w:widowControl/>
              <w:spacing w:line="160" w:lineRule="exact" w:before="90" w:after="0"/>
              <w:ind w:left="518" w:right="0" w:firstLine="0"/>
              <w:jc w:val="left"/>
            </w:pPr>
            <w:r>
              <w:rPr>
                <w:rFonts w:ascii="黑体" w:hAnsi="黑体" w:eastAsia="黑体"/>
                <w:b w:val="0"/>
                <w:i w:val="0"/>
                <w:color w:val="000000"/>
                <w:sz w:val="16"/>
              </w:rPr>
              <w:t>债券</w:t>
            </w:r>
          </w:p>
        </w:tc>
        <w:tc>
          <w:tcPr>
            <w:tcW w:type="dxa" w:w="109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368" w:after="0"/>
              <w:ind w:left="0" w:right="294" w:firstLine="0"/>
              <w:jc w:val="right"/>
            </w:pPr>
            <w:r>
              <w:rPr>
                <w:rFonts w:ascii="Arial" w:hAnsi="Arial" w:eastAsia="Arial"/>
                <w:b w:val="0"/>
                <w:i w:val="0"/>
                <w:color w:val="000000"/>
                <w:sz w:val="16"/>
              </w:rPr>
              <w:t xml:space="preserve">10 </w:t>
            </w:r>
          </w:p>
        </w:tc>
        <w:tc>
          <w:tcPr>
            <w:tcW w:type="dxa" w:w="2690"/>
            <w:gridSpan w:val="2"/>
            <w:tcBorders/>
            <w:tcMar>
              <w:start w:w="0" w:type="dxa"/>
              <w:end w:w="0" w:type="dxa"/>
            </w:tcMar>
            <w:tcMar>
              <w:start w:w="0" w:type="dxa"/>
              <w:end w:w="0" w:type="dxa"/>
            </w:tcMar>
          </w:tcPr>
          <w:p>
            <w:pPr>
              <w:autoSpaceDN w:val="0"/>
              <w:autoSpaceDE w:val="0"/>
              <w:widowControl/>
              <w:spacing w:line="230" w:lineRule="auto" w:before="92" w:after="0"/>
              <w:ind w:left="0" w:right="0" w:firstLine="0"/>
              <w:jc w:val="center"/>
            </w:pPr>
            <w:r>
              <w:rPr>
                <w:rFonts w:ascii="Arial" w:hAnsi="Arial" w:eastAsia="Arial"/>
                <w:b w:val="0"/>
                <w:i w:val="0"/>
                <w:color w:val="000000"/>
                <w:sz w:val="16"/>
              </w:rPr>
              <w:t xml:space="preserve">4,243,051,267   20,456,768,579 </w:t>
            </w:r>
          </w:p>
        </w:tc>
        <w:tc>
          <w:tcPr>
            <w:tcW w:type="dxa" w:w="1362"/>
            <w:tcBorders/>
            <w:tcMar>
              <w:start w:w="0" w:type="dxa"/>
              <w:end w:w="0" w:type="dxa"/>
            </w:tcMar>
          </w:tcPr>
          <w:p>
            <w:pPr>
              <w:autoSpaceDN w:val="0"/>
              <w:autoSpaceDE w:val="0"/>
              <w:widowControl/>
              <w:spacing w:line="230" w:lineRule="auto" w:before="92" w:after="0"/>
              <w:ind w:left="0" w:right="116" w:firstLine="0"/>
              <w:jc w:val="right"/>
            </w:pPr>
            <w:r>
              <w:rPr>
                <w:rFonts w:ascii="Arial" w:hAnsi="Arial" w:eastAsia="Arial"/>
                <w:b w:val="0"/>
                <w:i w:val="0"/>
                <w:color w:val="000000"/>
                <w:sz w:val="16"/>
              </w:rPr>
              <w:t xml:space="preserve">226,026 </w:t>
            </w:r>
          </w:p>
        </w:tc>
        <w:tc>
          <w:tcPr>
            <w:tcW w:type="dxa" w:w="1192"/>
            <w:tcBorders/>
            <w:tcMar>
              <w:start w:w="0" w:type="dxa"/>
              <w:end w:w="0" w:type="dxa"/>
            </w:tcMar>
          </w:tcPr>
          <w:p>
            <w:pPr>
              <w:autoSpaceDN w:val="0"/>
              <w:autoSpaceDE w:val="0"/>
              <w:widowControl/>
              <w:spacing w:line="230" w:lineRule="auto" w:before="92" w:after="0"/>
              <w:ind w:left="82" w:right="0" w:firstLine="0"/>
              <w:jc w:val="left"/>
            </w:pPr>
            <w:r>
              <w:rPr>
                <w:rFonts w:ascii="Arial" w:hAnsi="Arial" w:eastAsia="Arial"/>
                <w:b w:val="0"/>
                <w:i w:val="0"/>
                <w:color w:val="000000"/>
                <w:sz w:val="16"/>
              </w:rPr>
              <w:t>24,700,045,872</w:t>
            </w:r>
          </w:p>
        </w:tc>
      </w:tr>
      <w:tr>
        <w:trPr>
          <w:trHeight w:hRule="exact" w:val="252"/>
        </w:trPr>
        <w:tc>
          <w:tcPr>
            <w:tcW w:type="dxa" w:w="2200"/>
            <w:tcBorders/>
            <w:tcMar>
              <w:start w:w="0" w:type="dxa"/>
              <w:end w:w="0" w:type="dxa"/>
            </w:tcMar>
          </w:tcPr>
          <w:p>
            <w:pPr>
              <w:autoSpaceDN w:val="0"/>
              <w:autoSpaceDE w:val="0"/>
              <w:widowControl/>
              <w:spacing w:line="160" w:lineRule="exact" w:before="36" w:after="0"/>
              <w:ind w:left="518" w:right="0" w:firstLine="0"/>
              <w:jc w:val="left"/>
            </w:pPr>
            <w:r>
              <w:rPr>
                <w:rFonts w:ascii="黑体" w:hAnsi="黑体" w:eastAsia="黑体"/>
                <w:b w:val="0"/>
                <w:i w:val="0"/>
                <w:color w:val="000000"/>
                <w:sz w:val="16"/>
              </w:rPr>
              <w:t>股票</w:t>
            </w:r>
          </w:p>
        </w:tc>
        <w:tc>
          <w:tcPr>
            <w:tcW w:type="dxa" w:w="1503"/>
            <w:vMerge/>
            <w:tcBorders/>
          </w:tcPr>
          <w:p/>
        </w:tc>
        <w:tc>
          <w:tcPr>
            <w:tcW w:type="dxa" w:w="1270"/>
            <w:tcBorders/>
            <w:tcMar>
              <w:start w:w="0" w:type="dxa"/>
              <w:end w:w="0" w:type="dxa"/>
            </w:tcMar>
          </w:tcPr>
          <w:p>
            <w:pPr>
              <w:autoSpaceDN w:val="0"/>
              <w:autoSpaceDE w:val="0"/>
              <w:widowControl/>
              <w:spacing w:line="230" w:lineRule="auto" w:before="38" w:after="0"/>
              <w:ind w:left="0" w:right="0" w:firstLine="0"/>
              <w:jc w:val="center"/>
            </w:pPr>
            <w:r>
              <w:rPr>
                <w:rFonts w:ascii="Arial" w:hAnsi="Arial" w:eastAsia="Arial"/>
                <w:b w:val="0"/>
                <w:i w:val="0"/>
                <w:color w:val="000000"/>
                <w:sz w:val="16"/>
              </w:rPr>
              <w:t xml:space="preserve">1,561,455,592 </w:t>
            </w:r>
          </w:p>
        </w:tc>
        <w:tc>
          <w:tcPr>
            <w:tcW w:type="dxa" w:w="1420"/>
            <w:tcBorders/>
            <w:tcMar>
              <w:start w:w="0" w:type="dxa"/>
              <w:end w:w="0" w:type="dxa"/>
            </w:tcMar>
          </w:tcPr>
          <w:p>
            <w:pPr>
              <w:autoSpaceDN w:val="0"/>
              <w:autoSpaceDE w:val="0"/>
              <w:widowControl/>
              <w:spacing w:line="230" w:lineRule="auto" w:before="38"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0" w:lineRule="auto" w:before="38" w:after="0"/>
              <w:ind w:left="0" w:right="0" w:firstLine="0"/>
              <w:jc w:val="center"/>
            </w:pPr>
            <w:r>
              <w:rPr>
                <w:rFonts w:ascii="Arial" w:hAnsi="Arial" w:eastAsia="Arial"/>
                <w:b w:val="0"/>
                <w:i w:val="0"/>
                <w:color w:val="000000"/>
                <w:sz w:val="16"/>
              </w:rPr>
              <w:t>210,427,229</w:t>
            </w:r>
          </w:p>
        </w:tc>
        <w:tc>
          <w:tcPr>
            <w:tcW w:type="dxa" w:w="1192"/>
            <w:tcBorders/>
            <w:tcMar>
              <w:start w:w="0" w:type="dxa"/>
              <w:end w:w="0" w:type="dxa"/>
            </w:tcMar>
          </w:tcPr>
          <w:p>
            <w:pPr>
              <w:autoSpaceDN w:val="0"/>
              <w:autoSpaceDE w:val="0"/>
              <w:widowControl/>
              <w:spacing w:line="230" w:lineRule="auto" w:before="38" w:after="0"/>
              <w:ind w:left="170" w:right="0" w:firstLine="0"/>
              <w:jc w:val="left"/>
            </w:pPr>
            <w:r>
              <w:rPr>
                <w:rFonts w:ascii="Arial" w:hAnsi="Arial" w:eastAsia="Arial"/>
                <w:b w:val="0"/>
                <w:i w:val="0"/>
                <w:color w:val="000000"/>
                <w:sz w:val="16"/>
              </w:rPr>
              <w:t>1,771,882,821</w:t>
            </w:r>
          </w:p>
        </w:tc>
      </w:tr>
      <w:tr>
        <w:trPr>
          <w:trHeight w:hRule="exact" w:val="252"/>
        </w:trPr>
        <w:tc>
          <w:tcPr>
            <w:tcW w:type="dxa" w:w="2200"/>
            <w:tcBorders/>
            <w:tcMar>
              <w:start w:w="0" w:type="dxa"/>
              <w:end w:w="0" w:type="dxa"/>
            </w:tcMar>
          </w:tcPr>
          <w:p>
            <w:pPr>
              <w:autoSpaceDN w:val="0"/>
              <w:autoSpaceDE w:val="0"/>
              <w:widowControl/>
              <w:spacing w:line="160" w:lineRule="exact" w:before="38" w:after="0"/>
              <w:ind w:left="518" w:right="0" w:firstLine="0"/>
              <w:jc w:val="left"/>
            </w:pPr>
            <w:r>
              <w:rPr>
                <w:rFonts w:ascii="黑体" w:hAnsi="黑体" w:eastAsia="黑体"/>
                <w:b w:val="0"/>
                <w:i w:val="0"/>
                <w:color w:val="000000"/>
                <w:sz w:val="16"/>
              </w:rPr>
              <w:t>资产管理计划</w:t>
            </w:r>
          </w:p>
        </w:tc>
        <w:tc>
          <w:tcPr>
            <w:tcW w:type="dxa" w:w="1503"/>
            <w:vMerge/>
            <w:tcBorders/>
          </w:tcPr>
          <w:p/>
        </w:tc>
        <w:tc>
          <w:tcPr>
            <w:tcW w:type="dxa" w:w="1270"/>
            <w:tcBorders/>
            <w:tcMar>
              <w:start w:w="0" w:type="dxa"/>
              <w:end w:w="0" w:type="dxa"/>
            </w:tcMar>
          </w:tcPr>
          <w:p>
            <w:pPr>
              <w:autoSpaceDN w:val="0"/>
              <w:autoSpaceDE w:val="0"/>
              <w:widowControl/>
              <w:spacing w:line="230" w:lineRule="auto" w:before="38"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0" w:lineRule="auto" w:before="38" w:after="0"/>
              <w:ind w:left="0" w:right="182" w:firstLine="0"/>
              <w:jc w:val="right"/>
            </w:pPr>
            <w:r>
              <w:rPr>
                <w:rFonts w:ascii="Arial" w:hAnsi="Arial" w:eastAsia="Arial"/>
                <w:b w:val="0"/>
                <w:i w:val="0"/>
                <w:color w:val="000000"/>
                <w:sz w:val="16"/>
              </w:rPr>
              <w:t xml:space="preserve">12,343,537 </w:t>
            </w:r>
          </w:p>
        </w:tc>
        <w:tc>
          <w:tcPr>
            <w:tcW w:type="dxa" w:w="1362"/>
            <w:tcBorders/>
            <w:tcMar>
              <w:start w:w="0" w:type="dxa"/>
              <w:end w:w="0" w:type="dxa"/>
            </w:tcMar>
          </w:tcPr>
          <w:p>
            <w:pPr>
              <w:autoSpaceDN w:val="0"/>
              <w:autoSpaceDE w:val="0"/>
              <w:widowControl/>
              <w:spacing w:line="230" w:lineRule="auto" w:before="38" w:after="0"/>
              <w:ind w:left="0" w:right="0" w:firstLine="0"/>
              <w:jc w:val="center"/>
            </w:pPr>
            <w:r>
              <w:rPr>
                <w:rFonts w:ascii="Arial" w:hAnsi="Arial" w:eastAsia="Arial"/>
                <w:b w:val="0"/>
                <w:i w:val="0"/>
                <w:color w:val="000000"/>
                <w:sz w:val="16"/>
              </w:rPr>
              <w:t>151,761,836</w:t>
            </w:r>
          </w:p>
        </w:tc>
        <w:tc>
          <w:tcPr>
            <w:tcW w:type="dxa" w:w="1192"/>
            <w:tcBorders/>
            <w:tcMar>
              <w:start w:w="0" w:type="dxa"/>
              <w:end w:w="0" w:type="dxa"/>
            </w:tcMar>
          </w:tcPr>
          <w:p>
            <w:pPr>
              <w:autoSpaceDN w:val="0"/>
              <w:autoSpaceDE w:val="0"/>
              <w:widowControl/>
              <w:spacing w:line="230" w:lineRule="auto" w:before="38" w:after="0"/>
              <w:ind w:left="0" w:right="0" w:firstLine="0"/>
              <w:jc w:val="right"/>
            </w:pPr>
            <w:r>
              <w:rPr>
                <w:rFonts w:ascii="Arial" w:hAnsi="Arial" w:eastAsia="Arial"/>
                <w:b w:val="0"/>
                <w:i w:val="0"/>
                <w:color w:val="000000"/>
                <w:sz w:val="16"/>
              </w:rPr>
              <w:t>164,105,373</w:t>
            </w:r>
          </w:p>
        </w:tc>
      </w:tr>
      <w:tr>
        <w:trPr>
          <w:trHeight w:hRule="exact" w:val="254"/>
        </w:trPr>
        <w:tc>
          <w:tcPr>
            <w:tcW w:type="dxa" w:w="2200"/>
            <w:tcBorders/>
            <w:tcMar>
              <w:start w:w="0" w:type="dxa"/>
              <w:end w:w="0" w:type="dxa"/>
            </w:tcMar>
          </w:tcPr>
          <w:p>
            <w:pPr>
              <w:autoSpaceDN w:val="0"/>
              <w:autoSpaceDE w:val="0"/>
              <w:widowControl/>
              <w:spacing w:line="160" w:lineRule="exact" w:before="38" w:after="0"/>
              <w:ind w:left="518" w:right="0" w:firstLine="0"/>
              <w:jc w:val="left"/>
            </w:pPr>
            <w:r>
              <w:rPr>
                <w:rFonts w:ascii="黑体" w:hAnsi="黑体" w:eastAsia="黑体"/>
                <w:b w:val="0"/>
                <w:i w:val="0"/>
                <w:color w:val="000000"/>
                <w:sz w:val="16"/>
              </w:rPr>
              <w:t>基金</w:t>
            </w:r>
          </w:p>
        </w:tc>
        <w:tc>
          <w:tcPr>
            <w:tcW w:type="dxa" w:w="1503"/>
            <w:vMerge/>
            <w:tcBorders/>
          </w:tcPr>
          <w:p/>
        </w:tc>
        <w:tc>
          <w:tcPr>
            <w:tcW w:type="dxa" w:w="1270"/>
            <w:tcBorders/>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16"/>
              </w:rPr>
              <w:t xml:space="preserve">6,144,611,619 </w:t>
            </w:r>
          </w:p>
        </w:tc>
        <w:tc>
          <w:tcPr>
            <w:tcW w:type="dxa" w:w="1420"/>
            <w:tcBorders/>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16"/>
              </w:rPr>
              <w:t xml:space="preserve">1,711,456,624 </w:t>
            </w:r>
          </w:p>
        </w:tc>
        <w:tc>
          <w:tcPr>
            <w:tcW w:type="dxa" w:w="1362"/>
            <w:tcBorders/>
            <w:tcMar>
              <w:start w:w="0" w:type="dxa"/>
              <w:end w:w="0" w:type="dxa"/>
            </w:tcMar>
          </w:tcPr>
          <w:p>
            <w:pPr>
              <w:autoSpaceDN w:val="0"/>
              <w:autoSpaceDE w:val="0"/>
              <w:widowControl/>
              <w:spacing w:line="233" w:lineRule="auto" w:before="40" w:after="0"/>
              <w:ind w:left="0" w:right="228" w:firstLine="0"/>
              <w:jc w:val="right"/>
            </w:pPr>
            <w:r>
              <w:rPr>
                <w:rFonts w:ascii="Arial" w:hAnsi="Arial" w:eastAsia="Arial"/>
                <w:b w:val="0"/>
                <w:i w:val="0"/>
                <w:color w:val="000000"/>
                <w:sz w:val="16"/>
              </w:rPr>
              <w:t>-</w:t>
            </w:r>
          </w:p>
        </w:tc>
        <w:tc>
          <w:tcPr>
            <w:tcW w:type="dxa" w:w="1192"/>
            <w:tcBorders/>
            <w:tcMar>
              <w:start w:w="0" w:type="dxa"/>
              <w:end w:w="0" w:type="dxa"/>
            </w:tcMar>
          </w:tcPr>
          <w:p>
            <w:pPr>
              <w:autoSpaceDN w:val="0"/>
              <w:autoSpaceDE w:val="0"/>
              <w:widowControl/>
              <w:spacing w:line="233" w:lineRule="auto" w:before="40" w:after="0"/>
              <w:ind w:left="170" w:right="0" w:firstLine="0"/>
              <w:jc w:val="left"/>
            </w:pPr>
            <w:r>
              <w:rPr>
                <w:rFonts w:ascii="Arial" w:hAnsi="Arial" w:eastAsia="Arial"/>
                <w:b w:val="0"/>
                <w:i w:val="0"/>
                <w:color w:val="000000"/>
                <w:sz w:val="16"/>
              </w:rPr>
              <w:t>7,856,068,243</w:t>
            </w:r>
          </w:p>
        </w:tc>
      </w:tr>
      <w:tr>
        <w:trPr>
          <w:trHeight w:hRule="exact" w:val="254"/>
        </w:trPr>
        <w:tc>
          <w:tcPr>
            <w:tcW w:type="dxa" w:w="2200"/>
            <w:tcBorders/>
            <w:tcMar>
              <w:start w:w="0" w:type="dxa"/>
              <w:end w:w="0" w:type="dxa"/>
            </w:tcMar>
          </w:tcPr>
          <w:p>
            <w:pPr>
              <w:autoSpaceDN w:val="0"/>
              <w:autoSpaceDE w:val="0"/>
              <w:widowControl/>
              <w:spacing w:line="160" w:lineRule="exact" w:before="36" w:after="0"/>
              <w:ind w:left="518" w:right="0" w:firstLine="0"/>
              <w:jc w:val="left"/>
            </w:pPr>
            <w:r>
              <w:rPr>
                <w:rFonts w:ascii="黑体" w:hAnsi="黑体" w:eastAsia="黑体"/>
                <w:b w:val="0"/>
                <w:i w:val="0"/>
                <w:color w:val="000000"/>
                <w:sz w:val="16"/>
              </w:rPr>
              <w:t>理财产品</w:t>
            </w:r>
          </w:p>
        </w:tc>
        <w:tc>
          <w:tcPr>
            <w:tcW w:type="dxa" w:w="1503"/>
            <w:vMerge/>
            <w:tcBorders/>
          </w:tcPr>
          <w:p/>
        </w:tc>
        <w:tc>
          <w:tcPr>
            <w:tcW w:type="dxa" w:w="1270"/>
            <w:tcBorders/>
            <w:tcMar>
              <w:start w:w="0" w:type="dxa"/>
              <w:end w:w="0" w:type="dxa"/>
            </w:tcMar>
          </w:tcPr>
          <w:p>
            <w:pPr>
              <w:autoSpaceDN w:val="0"/>
              <w:autoSpaceDE w:val="0"/>
              <w:widowControl/>
              <w:spacing w:line="233" w:lineRule="auto" w:before="38"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3" w:lineRule="auto" w:before="38" w:after="0"/>
              <w:ind w:left="302" w:right="0" w:firstLine="0"/>
              <w:jc w:val="left"/>
            </w:pPr>
            <w:r>
              <w:rPr>
                <w:rFonts w:ascii="Arial" w:hAnsi="Arial" w:eastAsia="Arial"/>
                <w:b w:val="0"/>
                <w:i w:val="0"/>
                <w:color w:val="000000"/>
                <w:sz w:val="16"/>
              </w:rPr>
              <w:t xml:space="preserve">693,475,333 </w:t>
            </w:r>
          </w:p>
        </w:tc>
        <w:tc>
          <w:tcPr>
            <w:tcW w:type="dxa" w:w="1362"/>
            <w:tcBorders/>
            <w:tcMar>
              <w:start w:w="0" w:type="dxa"/>
              <w:end w:w="0" w:type="dxa"/>
            </w:tcMar>
          </w:tcPr>
          <w:p>
            <w:pPr>
              <w:autoSpaceDN w:val="0"/>
              <w:autoSpaceDE w:val="0"/>
              <w:widowControl/>
              <w:spacing w:line="233" w:lineRule="auto" w:before="38" w:after="0"/>
              <w:ind w:left="332" w:right="0" w:firstLine="0"/>
              <w:jc w:val="left"/>
            </w:pPr>
            <w:r>
              <w:rPr>
                <w:rFonts w:ascii="Arial" w:hAnsi="Arial" w:eastAsia="Arial"/>
                <w:b w:val="0"/>
                <w:i w:val="0"/>
                <w:color w:val="000000"/>
                <w:sz w:val="16"/>
              </w:rPr>
              <w:t>13,060,440</w:t>
            </w:r>
          </w:p>
        </w:tc>
        <w:tc>
          <w:tcPr>
            <w:tcW w:type="dxa" w:w="1192"/>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6"/>
              </w:rPr>
              <w:t>706,535,773</w:t>
            </w:r>
          </w:p>
        </w:tc>
      </w:tr>
      <w:tr>
        <w:trPr>
          <w:trHeight w:hRule="exact" w:val="252"/>
        </w:trPr>
        <w:tc>
          <w:tcPr>
            <w:tcW w:type="dxa" w:w="2200"/>
            <w:tcBorders/>
            <w:tcMar>
              <w:start w:w="0" w:type="dxa"/>
              <w:end w:w="0" w:type="dxa"/>
            </w:tcMar>
          </w:tcPr>
          <w:p>
            <w:pPr>
              <w:autoSpaceDN w:val="0"/>
              <w:autoSpaceDE w:val="0"/>
              <w:widowControl/>
              <w:spacing w:line="162" w:lineRule="exact" w:before="36" w:after="0"/>
              <w:ind w:left="518" w:right="0" w:firstLine="0"/>
              <w:jc w:val="left"/>
            </w:pPr>
            <w:r>
              <w:rPr>
                <w:rFonts w:ascii="黑体" w:hAnsi="黑体" w:eastAsia="黑体"/>
                <w:b w:val="0"/>
                <w:i w:val="0"/>
                <w:color w:val="000000"/>
                <w:sz w:val="16"/>
              </w:rPr>
              <w:t>信托计划</w:t>
            </w:r>
          </w:p>
        </w:tc>
        <w:tc>
          <w:tcPr>
            <w:tcW w:type="dxa" w:w="1503"/>
            <w:vMerge/>
            <w:tcBorders/>
          </w:tcPr>
          <w:p/>
        </w:tc>
        <w:tc>
          <w:tcPr>
            <w:tcW w:type="dxa" w:w="1270"/>
            <w:tcBorders/>
            <w:tcMar>
              <w:start w:w="0" w:type="dxa"/>
              <w:end w:w="0" w:type="dxa"/>
            </w:tcMar>
          </w:tcPr>
          <w:p>
            <w:pPr>
              <w:autoSpaceDN w:val="0"/>
              <w:autoSpaceDE w:val="0"/>
              <w:widowControl/>
              <w:spacing w:line="233" w:lineRule="auto" w:before="38"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3" w:lineRule="auto" w:before="38" w:after="0"/>
              <w:ind w:left="302" w:right="0" w:firstLine="0"/>
              <w:jc w:val="left"/>
            </w:pPr>
            <w:r>
              <w:rPr>
                <w:rFonts w:ascii="Arial" w:hAnsi="Arial" w:eastAsia="Arial"/>
                <w:b w:val="0"/>
                <w:i w:val="0"/>
                <w:color w:val="000000"/>
                <w:sz w:val="16"/>
              </w:rPr>
              <w:t xml:space="preserve">181,329,916 </w:t>
            </w:r>
          </w:p>
        </w:tc>
        <w:tc>
          <w:tcPr>
            <w:tcW w:type="dxa" w:w="1362"/>
            <w:tcBorders/>
            <w:tcMar>
              <w:start w:w="0" w:type="dxa"/>
              <w:end w:w="0" w:type="dxa"/>
            </w:tcMar>
          </w:tcPr>
          <w:p>
            <w:pPr>
              <w:autoSpaceDN w:val="0"/>
              <w:autoSpaceDE w:val="0"/>
              <w:widowControl/>
              <w:spacing w:line="233" w:lineRule="auto" w:before="38" w:after="0"/>
              <w:ind w:left="332" w:right="0" w:firstLine="0"/>
              <w:jc w:val="left"/>
            </w:pPr>
            <w:r>
              <w:rPr>
                <w:rFonts w:ascii="Arial" w:hAnsi="Arial" w:eastAsia="Arial"/>
                <w:b w:val="0"/>
                <w:i w:val="0"/>
                <w:color w:val="000000"/>
                <w:sz w:val="16"/>
              </w:rPr>
              <w:t>94,390,134</w:t>
            </w:r>
          </w:p>
        </w:tc>
        <w:tc>
          <w:tcPr>
            <w:tcW w:type="dxa" w:w="1192"/>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6"/>
              </w:rPr>
              <w:t>275,720,050</w:t>
            </w:r>
          </w:p>
        </w:tc>
      </w:tr>
      <w:tr>
        <w:trPr>
          <w:trHeight w:hRule="exact" w:val="252"/>
        </w:trPr>
        <w:tc>
          <w:tcPr>
            <w:tcW w:type="dxa" w:w="2200"/>
            <w:tcBorders/>
            <w:tcMar>
              <w:start w:w="0" w:type="dxa"/>
              <w:end w:w="0" w:type="dxa"/>
            </w:tcMar>
          </w:tcPr>
          <w:p>
            <w:pPr>
              <w:autoSpaceDN w:val="0"/>
              <w:autoSpaceDE w:val="0"/>
              <w:widowControl/>
              <w:spacing w:line="162" w:lineRule="exact" w:before="36" w:after="0"/>
              <w:ind w:left="518" w:right="0" w:firstLine="0"/>
              <w:jc w:val="left"/>
            </w:pPr>
            <w:r>
              <w:rPr>
                <w:rFonts w:ascii="黑体" w:hAnsi="黑体" w:eastAsia="黑体"/>
                <w:b w:val="0"/>
                <w:i w:val="0"/>
                <w:color w:val="000000"/>
                <w:sz w:val="16"/>
              </w:rPr>
              <w:t>股权</w:t>
            </w:r>
          </w:p>
        </w:tc>
        <w:tc>
          <w:tcPr>
            <w:tcW w:type="dxa" w:w="1503"/>
            <w:vMerge/>
            <w:tcBorders/>
          </w:tcPr>
          <w:p/>
        </w:tc>
        <w:tc>
          <w:tcPr>
            <w:tcW w:type="dxa" w:w="1270"/>
            <w:tcBorders/>
            <w:tcMar>
              <w:start w:w="0" w:type="dxa"/>
              <w:end w:w="0" w:type="dxa"/>
            </w:tcMar>
          </w:tcPr>
          <w:p>
            <w:pPr>
              <w:autoSpaceDN w:val="0"/>
              <w:autoSpaceDE w:val="0"/>
              <w:widowControl/>
              <w:spacing w:line="233" w:lineRule="auto" w:before="38"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3" w:lineRule="auto" w:before="38"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3" w:lineRule="auto" w:before="38" w:after="0"/>
              <w:ind w:left="110" w:right="0" w:firstLine="0"/>
              <w:jc w:val="left"/>
            </w:pPr>
            <w:r>
              <w:rPr>
                <w:rFonts w:ascii="Arial" w:hAnsi="Arial" w:eastAsia="Arial"/>
                <w:b w:val="0"/>
                <w:i w:val="0"/>
                <w:color w:val="000000"/>
                <w:sz w:val="16"/>
              </w:rPr>
              <w:t>1,269,237,425</w:t>
            </w:r>
          </w:p>
        </w:tc>
        <w:tc>
          <w:tcPr>
            <w:tcW w:type="dxa" w:w="1192"/>
            <w:tcBorders/>
            <w:tcMar>
              <w:start w:w="0" w:type="dxa"/>
              <w:end w:w="0" w:type="dxa"/>
            </w:tcMar>
          </w:tcPr>
          <w:p>
            <w:pPr>
              <w:autoSpaceDN w:val="0"/>
              <w:autoSpaceDE w:val="0"/>
              <w:widowControl/>
              <w:spacing w:line="233" w:lineRule="auto" w:before="38" w:after="0"/>
              <w:ind w:left="170" w:right="0" w:firstLine="0"/>
              <w:jc w:val="left"/>
            </w:pPr>
            <w:r>
              <w:rPr>
                <w:rFonts w:ascii="Arial" w:hAnsi="Arial" w:eastAsia="Arial"/>
                <w:b w:val="0"/>
                <w:i w:val="0"/>
                <w:color w:val="000000"/>
                <w:sz w:val="16"/>
              </w:rPr>
              <w:t>1,269,237,425</w:t>
            </w:r>
          </w:p>
        </w:tc>
      </w:tr>
      <w:tr>
        <w:trPr>
          <w:trHeight w:hRule="exact" w:val="254"/>
        </w:trPr>
        <w:tc>
          <w:tcPr>
            <w:tcW w:type="dxa" w:w="2200"/>
            <w:tcBorders/>
            <w:tcMar>
              <w:start w:w="0" w:type="dxa"/>
              <w:end w:w="0" w:type="dxa"/>
            </w:tcMar>
          </w:tcPr>
          <w:p>
            <w:pPr>
              <w:autoSpaceDN w:val="0"/>
              <w:autoSpaceDE w:val="0"/>
              <w:widowControl/>
              <w:spacing w:line="162" w:lineRule="exact" w:before="38" w:after="0"/>
              <w:ind w:left="518" w:right="0" w:firstLine="0"/>
              <w:jc w:val="left"/>
            </w:pPr>
            <w:r>
              <w:rPr>
                <w:rFonts w:ascii="黑体" w:hAnsi="黑体" w:eastAsia="黑体"/>
                <w:b w:val="0"/>
                <w:i w:val="0"/>
                <w:color w:val="000000"/>
                <w:sz w:val="16"/>
              </w:rPr>
              <w:t>债权</w:t>
            </w:r>
          </w:p>
        </w:tc>
        <w:tc>
          <w:tcPr>
            <w:tcW w:type="dxa" w:w="1503"/>
            <w:vMerge/>
            <w:tcBorders/>
          </w:tcPr>
          <w:p/>
        </w:tc>
        <w:tc>
          <w:tcPr>
            <w:tcW w:type="dxa" w:w="1270"/>
            <w:tcBorders/>
            <w:tcMar>
              <w:start w:w="0" w:type="dxa"/>
              <w:end w:w="0" w:type="dxa"/>
            </w:tcMar>
          </w:tcPr>
          <w:p>
            <w:pPr>
              <w:autoSpaceDN w:val="0"/>
              <w:autoSpaceDE w:val="0"/>
              <w:widowControl/>
              <w:spacing w:line="233" w:lineRule="auto" w:before="38"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3" w:lineRule="auto" w:before="38"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3" w:lineRule="auto" w:before="38" w:after="0"/>
              <w:ind w:left="0" w:right="0" w:firstLine="0"/>
              <w:jc w:val="center"/>
            </w:pPr>
            <w:r>
              <w:rPr>
                <w:rFonts w:ascii="Arial" w:hAnsi="Arial" w:eastAsia="Arial"/>
                <w:b w:val="0"/>
                <w:i w:val="0"/>
                <w:color w:val="000000"/>
                <w:sz w:val="16"/>
              </w:rPr>
              <w:t>169,796,786</w:t>
            </w:r>
          </w:p>
        </w:tc>
        <w:tc>
          <w:tcPr>
            <w:tcW w:type="dxa" w:w="1192"/>
            <w:tcBorders/>
            <w:tcMar>
              <w:start w:w="0" w:type="dxa"/>
              <w:end w:w="0" w:type="dxa"/>
            </w:tcMar>
          </w:tcPr>
          <w:p>
            <w:pPr>
              <w:autoSpaceDN w:val="0"/>
              <w:autoSpaceDE w:val="0"/>
              <w:widowControl/>
              <w:spacing w:line="233" w:lineRule="auto" w:before="38" w:after="0"/>
              <w:ind w:left="0" w:right="0" w:firstLine="0"/>
              <w:jc w:val="right"/>
            </w:pPr>
            <w:r>
              <w:rPr>
                <w:rFonts w:ascii="Arial" w:hAnsi="Arial" w:eastAsia="Arial"/>
                <w:b w:val="0"/>
                <w:i w:val="0"/>
                <w:color w:val="000000"/>
                <w:sz w:val="16"/>
              </w:rPr>
              <w:t>169,796,786</w:t>
            </w:r>
          </w:p>
        </w:tc>
      </w:tr>
      <w:tr>
        <w:trPr>
          <w:trHeight w:hRule="exact" w:val="252"/>
        </w:trPr>
        <w:tc>
          <w:tcPr>
            <w:tcW w:type="dxa" w:w="2200"/>
            <w:tcBorders/>
            <w:tcMar>
              <w:start w:w="0" w:type="dxa"/>
              <w:end w:w="0" w:type="dxa"/>
            </w:tcMar>
          </w:tcPr>
          <w:p>
            <w:pPr>
              <w:autoSpaceDN w:val="0"/>
              <w:autoSpaceDE w:val="0"/>
              <w:widowControl/>
              <w:spacing w:line="162" w:lineRule="exact" w:before="36" w:after="0"/>
              <w:ind w:left="518" w:right="0" w:firstLine="0"/>
              <w:jc w:val="left"/>
            </w:pPr>
            <w:r>
              <w:rPr>
                <w:rFonts w:ascii="黑体" w:hAnsi="黑体" w:eastAsia="黑体"/>
                <w:b w:val="0"/>
                <w:i w:val="0"/>
                <w:color w:val="000000"/>
                <w:sz w:val="16"/>
              </w:rPr>
              <w:t>其他</w:t>
            </w:r>
          </w:p>
        </w:tc>
        <w:tc>
          <w:tcPr>
            <w:tcW w:type="dxa" w:w="1503"/>
            <w:vMerge/>
            <w:tcBorders/>
          </w:tcPr>
          <w:p/>
        </w:tc>
        <w:tc>
          <w:tcPr>
            <w:tcW w:type="dxa" w:w="1270"/>
            <w:tcBorders/>
            <w:tcMar>
              <w:start w:w="0" w:type="dxa"/>
              <w:end w:w="0" w:type="dxa"/>
            </w:tcMar>
          </w:tcPr>
          <w:p>
            <w:pPr>
              <w:autoSpaceDN w:val="0"/>
              <w:autoSpaceDE w:val="0"/>
              <w:widowControl/>
              <w:spacing w:line="230" w:lineRule="auto" w:before="40" w:after="0"/>
              <w:ind w:left="0" w:right="66" w:firstLine="0"/>
              <w:jc w:val="right"/>
            </w:pPr>
            <w:r>
              <w:rPr>
                <w:rFonts w:ascii="Arial" w:hAnsi="Arial" w:eastAsia="Arial"/>
                <w:b w:val="0"/>
                <w:i w:val="0"/>
                <w:color w:val="000000"/>
                <w:sz w:val="16"/>
              </w:rPr>
              <w:t xml:space="preserve">- </w:t>
            </w:r>
          </w:p>
        </w:tc>
        <w:tc>
          <w:tcPr>
            <w:tcW w:type="dxa" w:w="1420"/>
            <w:tcBorders/>
            <w:tcMar>
              <w:start w:w="0" w:type="dxa"/>
              <w:end w:w="0" w:type="dxa"/>
            </w:tcMar>
          </w:tcPr>
          <w:p>
            <w:pPr>
              <w:autoSpaceDN w:val="0"/>
              <w:autoSpaceDE w:val="0"/>
              <w:widowControl/>
              <w:spacing w:line="230" w:lineRule="auto" w:before="40"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0" w:lineRule="auto" w:before="40" w:after="0"/>
              <w:ind w:left="0" w:right="228" w:firstLine="0"/>
              <w:jc w:val="right"/>
            </w:pPr>
            <w:r>
              <w:rPr>
                <w:rFonts w:ascii="Arial" w:hAnsi="Arial" w:eastAsia="Arial"/>
                <w:b w:val="0"/>
                <w:i w:val="0"/>
                <w:color w:val="000000"/>
                <w:sz w:val="16"/>
              </w:rPr>
              <w:t>8,721,958</w:t>
            </w:r>
          </w:p>
        </w:tc>
        <w:tc>
          <w:tcPr>
            <w:tcW w:type="dxa" w:w="1192"/>
            <w:tcBorders/>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6"/>
              </w:rPr>
              <w:t>8,721,958</w:t>
            </w:r>
          </w:p>
        </w:tc>
      </w:tr>
      <w:tr>
        <w:trPr>
          <w:trHeight w:hRule="exact" w:val="191"/>
        </w:trPr>
        <w:tc>
          <w:tcPr>
            <w:tcW w:type="dxa" w:w="2200"/>
            <w:tcBorders/>
            <w:tcMar>
              <w:start w:w="0" w:type="dxa"/>
              <w:end w:w="0" w:type="dxa"/>
            </w:tcMar>
          </w:tcPr>
          <w:p>
            <w:pPr>
              <w:autoSpaceDN w:val="0"/>
              <w:autoSpaceDE w:val="0"/>
              <w:widowControl/>
              <w:spacing w:line="162" w:lineRule="exact" w:before="30" w:after="0"/>
              <w:ind w:left="358" w:right="0" w:firstLine="0"/>
              <w:jc w:val="left"/>
            </w:pPr>
            <w:r>
              <w:rPr>
                <w:rFonts w:ascii="黑体" w:hAnsi="黑体" w:eastAsia="黑体"/>
                <w:b w:val="0"/>
                <w:i w:val="0"/>
                <w:color w:val="000000"/>
                <w:sz w:val="16"/>
              </w:rPr>
              <w:t>其他债权投资</w:t>
            </w:r>
          </w:p>
        </w:tc>
        <w:tc>
          <w:tcPr>
            <w:tcW w:type="dxa" w:w="1503"/>
            <w:vMerge/>
            <w:tcBorders/>
          </w:tcPr>
          <w:p/>
        </w:tc>
        <w:tc>
          <w:tcPr>
            <w:tcW w:type="dxa" w:w="1270"/>
            <w:vMerge w:val="restart"/>
            <w:tcBorders/>
            <w:tcMar>
              <w:start w:w="0" w:type="dxa"/>
              <w:end w:w="0" w:type="dxa"/>
            </w:tcMar>
            <w:tcMar>
              <w:start w:w="0" w:type="dxa"/>
              <w:end w:w="0" w:type="dxa"/>
            </w:tcMar>
          </w:tcPr>
          <w:p>
            <w:pPr>
              <w:autoSpaceDN w:val="0"/>
              <w:autoSpaceDE w:val="0"/>
              <w:widowControl/>
              <w:spacing w:line="230" w:lineRule="auto" w:before="40" w:after="0"/>
              <w:ind w:left="0" w:right="66" w:firstLine="0"/>
              <w:jc w:val="right"/>
            </w:pPr>
            <w:r>
              <w:rPr>
                <w:rFonts w:ascii="Arial" w:hAnsi="Arial" w:eastAsia="Arial"/>
                <w:b w:val="0"/>
                <w:i w:val="0"/>
                <w:color w:val="000000"/>
                <w:sz w:val="16"/>
              </w:rPr>
              <w:t xml:space="preserve">68,320,933 </w:t>
            </w:r>
          </w:p>
        </w:tc>
        <w:tc>
          <w:tcPr>
            <w:tcW w:type="dxa" w:w="1420"/>
            <w:vMerge w:val="restart"/>
            <w:tcBorders/>
            <w:tcMar>
              <w:start w:w="0" w:type="dxa"/>
              <w:end w:w="0" w:type="dxa"/>
            </w:tcMar>
            <w:tcMar>
              <w:start w:w="0" w:type="dxa"/>
              <w:end w:w="0" w:type="dxa"/>
            </w:tcMar>
          </w:tcPr>
          <w:p>
            <w:pPr>
              <w:autoSpaceDN w:val="0"/>
              <w:autoSpaceDE w:val="0"/>
              <w:widowControl/>
              <w:spacing w:line="230" w:lineRule="auto" w:before="40" w:after="0"/>
              <w:ind w:left="0" w:right="182" w:firstLine="0"/>
              <w:jc w:val="right"/>
            </w:pPr>
            <w:r>
              <w:rPr>
                <w:rFonts w:ascii="Arial" w:hAnsi="Arial" w:eastAsia="Arial"/>
                <w:b w:val="0"/>
                <w:i w:val="0"/>
                <w:color w:val="000000"/>
                <w:sz w:val="16"/>
              </w:rPr>
              <w:t xml:space="preserve">17,813,938 </w:t>
            </w:r>
          </w:p>
        </w:tc>
        <w:tc>
          <w:tcPr>
            <w:tcW w:type="dxa" w:w="1362"/>
            <w:vMerge w:val="restart"/>
            <w:tcBorders/>
            <w:tcMar>
              <w:start w:w="0" w:type="dxa"/>
              <w:end w:w="0" w:type="dxa"/>
            </w:tcMar>
            <w:tcMar>
              <w:start w:w="0" w:type="dxa"/>
              <w:end w:w="0" w:type="dxa"/>
            </w:tcMar>
          </w:tcPr>
          <w:p>
            <w:pPr>
              <w:autoSpaceDN w:val="0"/>
              <w:autoSpaceDE w:val="0"/>
              <w:widowControl/>
              <w:spacing w:line="230" w:lineRule="auto" w:before="40" w:after="0"/>
              <w:ind w:left="0" w:right="228" w:firstLine="0"/>
              <w:jc w:val="right"/>
            </w:pPr>
            <w:r>
              <w:rPr>
                <w:rFonts w:ascii="Arial" w:hAnsi="Arial" w:eastAsia="Arial"/>
                <w:b w:val="0"/>
                <w:i w:val="0"/>
                <w:color w:val="000000"/>
                <w:sz w:val="16"/>
              </w:rPr>
              <w:t>3,732,580</w:t>
            </w:r>
          </w:p>
        </w:tc>
        <w:tc>
          <w:tcPr>
            <w:tcW w:type="dxa" w:w="1192"/>
            <w:vMerge w:val="restart"/>
            <w:tcBorders/>
            <w:tcMar>
              <w:start w:w="0" w:type="dxa"/>
              <w:end w:w="0" w:type="dxa"/>
            </w:tcMar>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6"/>
              </w:rPr>
              <w:t>89,867,451</w:t>
            </w:r>
          </w:p>
        </w:tc>
      </w:tr>
      <w:tr>
        <w:trPr>
          <w:trHeight w:hRule="exact" w:val="64"/>
        </w:trPr>
        <w:tc>
          <w:tcPr>
            <w:tcW w:type="dxa" w:w="2200"/>
            <w:vMerge w:val="restart"/>
            <w:tcBorders/>
            <w:tcMar>
              <w:start w:w="0" w:type="dxa"/>
              <w:end w:w="0" w:type="dxa"/>
            </w:tcMar>
            <w:tcMar>
              <w:start w:w="0" w:type="dxa"/>
              <w:end w:w="0" w:type="dxa"/>
            </w:tcMar>
          </w:tcPr>
          <w:p>
            <w:pPr>
              <w:autoSpaceDN w:val="0"/>
              <w:autoSpaceDE w:val="0"/>
              <w:widowControl/>
              <w:spacing w:line="160" w:lineRule="exact" w:before="100" w:after="0"/>
              <w:ind w:left="358" w:right="0" w:firstLine="0"/>
              <w:jc w:val="left"/>
            </w:pPr>
            <w:r>
              <w:rPr>
                <w:rFonts w:ascii="黑体" w:hAnsi="黑体" w:eastAsia="黑体"/>
                <w:b w:val="0"/>
                <w:i w:val="0"/>
                <w:color w:val="000000"/>
                <w:sz w:val="16"/>
              </w:rPr>
              <w:t>其他权益工具投资</w:t>
            </w:r>
          </w:p>
        </w:tc>
        <w:tc>
          <w:tcPr>
            <w:tcW w:type="dxa" w:w="1503"/>
            <w:vMerge/>
            <w:tcBorders/>
          </w:tcPr>
          <w:p/>
        </w:tc>
        <w:tc>
          <w:tcPr>
            <w:tcW w:type="dxa" w:w="1503"/>
            <w:vMerge/>
            <w:tcBorders/>
          </w:tcPr>
          <w:p/>
        </w:tc>
        <w:tc>
          <w:tcPr>
            <w:tcW w:type="dxa" w:w="1503"/>
            <w:vMerge/>
            <w:tcBorders/>
          </w:tcPr>
          <w:p/>
        </w:tc>
        <w:tc>
          <w:tcPr>
            <w:tcW w:type="dxa" w:w="1503"/>
            <w:vMerge/>
            <w:tcBorders/>
          </w:tcPr>
          <w:p/>
        </w:tc>
        <w:tc>
          <w:tcPr>
            <w:tcW w:type="dxa" w:w="1503"/>
            <w:vMerge/>
            <w:tcBorders/>
          </w:tcPr>
          <w:p/>
        </w:tc>
      </w:tr>
      <w:tr>
        <w:trPr>
          <w:trHeight w:hRule="exact" w:val="196"/>
        </w:trPr>
        <w:tc>
          <w:tcPr>
            <w:tcW w:type="dxa" w:w="1503"/>
            <w:vMerge/>
            <w:tcBorders/>
          </w:tcPr>
          <w:p/>
        </w:tc>
        <w:tc>
          <w:tcPr>
            <w:tcW w:type="dxa" w:w="1090"/>
            <w:tcBorders/>
            <w:tcMar>
              <w:start w:w="0" w:type="dxa"/>
              <w:end w:w="0" w:type="dxa"/>
            </w:tcMar>
          </w:tcPr>
          <w:p>
            <w:pPr>
              <w:autoSpaceDN w:val="0"/>
              <w:autoSpaceDE w:val="0"/>
              <w:widowControl/>
              <w:spacing w:line="230" w:lineRule="auto" w:before="18" w:after="0"/>
              <w:ind w:left="0" w:right="294" w:firstLine="0"/>
              <w:jc w:val="right"/>
            </w:pPr>
            <w:r>
              <w:rPr>
                <w:rFonts w:ascii="Arial" w:hAnsi="Arial" w:eastAsia="Arial"/>
                <w:b w:val="0"/>
                <w:i w:val="0"/>
                <w:color w:val="000000"/>
                <w:sz w:val="16"/>
              </w:rPr>
              <w:t xml:space="preserve">11 </w:t>
            </w:r>
          </w:p>
        </w:tc>
        <w:tc>
          <w:tcPr>
            <w:tcW w:type="dxa" w:w="1270"/>
            <w:tcBorders/>
            <w:tcMar>
              <w:start w:w="0" w:type="dxa"/>
              <w:end w:w="0" w:type="dxa"/>
            </w:tcMar>
          </w:tcPr>
          <w:p>
            <w:pPr>
              <w:autoSpaceDN w:val="0"/>
              <w:autoSpaceDE w:val="0"/>
              <w:widowControl/>
              <w:spacing w:line="230" w:lineRule="auto" w:before="18" w:after="0"/>
              <w:ind w:left="0" w:right="66" w:firstLine="0"/>
              <w:jc w:val="right"/>
            </w:pPr>
            <w:r>
              <w:rPr>
                <w:rFonts w:ascii="Arial" w:hAnsi="Arial" w:eastAsia="Arial"/>
                <w:b w:val="0"/>
                <w:i w:val="0"/>
                <w:color w:val="000000"/>
                <w:sz w:val="16"/>
              </w:rPr>
              <w:t xml:space="preserve">12,684 </w:t>
            </w:r>
          </w:p>
        </w:tc>
        <w:tc>
          <w:tcPr>
            <w:tcW w:type="dxa" w:w="1420"/>
            <w:tcBorders/>
            <w:tcMar>
              <w:start w:w="0" w:type="dxa"/>
              <w:end w:w="0" w:type="dxa"/>
            </w:tcMar>
          </w:tcPr>
          <w:p>
            <w:pPr>
              <w:autoSpaceDN w:val="0"/>
              <w:autoSpaceDE w:val="0"/>
              <w:widowControl/>
              <w:spacing w:line="230" w:lineRule="auto" w:before="18"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0" w:lineRule="auto" w:before="18" w:after="0"/>
              <w:ind w:left="0" w:right="0" w:firstLine="0"/>
              <w:jc w:val="center"/>
            </w:pPr>
            <w:r>
              <w:rPr>
                <w:rFonts w:ascii="Arial" w:hAnsi="Arial" w:eastAsia="Arial"/>
                <w:b w:val="0"/>
                <w:i w:val="0"/>
                <w:color w:val="000000"/>
                <w:sz w:val="16"/>
              </w:rPr>
              <w:t>235,302,817</w:t>
            </w:r>
          </w:p>
        </w:tc>
        <w:tc>
          <w:tcPr>
            <w:tcW w:type="dxa" w:w="1192"/>
            <w:tcBorders/>
            <w:tcMar>
              <w:start w:w="0" w:type="dxa"/>
              <w:end w:w="0" w:type="dxa"/>
            </w:tcMar>
          </w:tcPr>
          <w:p>
            <w:pPr>
              <w:autoSpaceDN w:val="0"/>
              <w:autoSpaceDE w:val="0"/>
              <w:widowControl/>
              <w:spacing w:line="230" w:lineRule="auto" w:before="18" w:after="0"/>
              <w:ind w:left="0" w:right="0" w:firstLine="0"/>
              <w:jc w:val="right"/>
            </w:pPr>
            <w:r>
              <w:rPr>
                <w:rFonts w:ascii="Arial" w:hAnsi="Arial" w:eastAsia="Arial"/>
                <w:b w:val="0"/>
                <w:i w:val="0"/>
                <w:color w:val="000000"/>
                <w:sz w:val="16"/>
              </w:rPr>
              <w:t>235,315,501</w:t>
            </w:r>
          </w:p>
        </w:tc>
      </w:tr>
      <w:tr>
        <w:trPr>
          <w:trHeight w:hRule="exact" w:val="282"/>
        </w:trPr>
        <w:tc>
          <w:tcPr>
            <w:tcW w:type="dxa" w:w="2200"/>
            <w:tcBorders>
              <w:bottom w:sz="4.0" w:val="single" w:color="#000000"/>
            </w:tcBorders>
            <w:tcMar>
              <w:start w:w="0" w:type="dxa"/>
              <w:end w:w="0" w:type="dxa"/>
            </w:tcMar>
          </w:tcPr>
          <w:p>
            <w:pPr>
              <w:autoSpaceDN w:val="0"/>
              <w:autoSpaceDE w:val="0"/>
              <w:widowControl/>
              <w:spacing w:line="160" w:lineRule="exact" w:before="92" w:after="0"/>
              <w:ind w:left="358" w:right="0" w:firstLine="0"/>
              <w:jc w:val="left"/>
            </w:pPr>
            <w:r>
              <w:rPr>
                <w:rFonts w:ascii="黑体" w:hAnsi="黑体" w:eastAsia="黑体"/>
                <w:b w:val="0"/>
                <w:i w:val="0"/>
                <w:color w:val="000000"/>
                <w:sz w:val="16"/>
              </w:rPr>
              <w:t>衍生金融资产</w:t>
            </w:r>
          </w:p>
        </w:tc>
        <w:tc>
          <w:tcPr>
            <w:tcW w:type="dxa" w:w="1090"/>
            <w:tcBorders>
              <w:bottom w:sz="4.0" w:val="single" w:color="#000000"/>
            </w:tcBorders>
            <w:tcMar>
              <w:start w:w="0" w:type="dxa"/>
              <w:end w:w="0" w:type="dxa"/>
            </w:tcMar>
          </w:tcPr>
          <w:p>
            <w:pPr>
              <w:autoSpaceDN w:val="0"/>
              <w:autoSpaceDE w:val="0"/>
              <w:widowControl/>
              <w:spacing w:line="230" w:lineRule="auto" w:before="94" w:after="0"/>
              <w:ind w:left="0" w:right="340" w:firstLine="0"/>
              <w:jc w:val="right"/>
            </w:pPr>
            <w:r>
              <w:rPr>
                <w:rFonts w:ascii="Arial" w:hAnsi="Arial" w:eastAsia="Arial"/>
                <w:b w:val="0"/>
                <w:i w:val="0"/>
                <w:color w:val="000000"/>
                <w:sz w:val="16"/>
              </w:rPr>
              <w:t xml:space="preserve">4 </w:t>
            </w:r>
          </w:p>
        </w:tc>
        <w:tc>
          <w:tcPr>
            <w:tcW w:type="dxa" w:w="1270"/>
            <w:tcBorders>
              <w:bottom w:sz="4.0" w:val="single" w:color="#000000"/>
            </w:tcBorders>
            <w:tcMar>
              <w:start w:w="0" w:type="dxa"/>
              <w:end w:w="0" w:type="dxa"/>
            </w:tcMar>
          </w:tcPr>
          <w:p>
            <w:pPr>
              <w:autoSpaceDN w:val="0"/>
              <w:autoSpaceDE w:val="0"/>
              <w:widowControl/>
              <w:spacing w:line="230" w:lineRule="auto" w:before="94" w:after="0"/>
              <w:ind w:left="0" w:right="66" w:firstLine="0"/>
              <w:jc w:val="right"/>
            </w:pPr>
            <w:r>
              <w:rPr>
                <w:rFonts w:ascii="Arial" w:hAnsi="Arial" w:eastAsia="Arial"/>
                <w:b w:val="0"/>
                <w:i w:val="0"/>
                <w:color w:val="000000"/>
                <w:sz w:val="16"/>
              </w:rPr>
              <w:t xml:space="preserve">3,492,400 </w:t>
            </w:r>
          </w:p>
        </w:tc>
        <w:tc>
          <w:tcPr>
            <w:tcW w:type="dxa" w:w="1420"/>
            <w:tcBorders>
              <w:bottom w:sz="4.0" w:val="single" w:color="#000000"/>
            </w:tcBorders>
            <w:tcMar>
              <w:start w:w="0" w:type="dxa"/>
              <w:end w:w="0" w:type="dxa"/>
            </w:tcMar>
          </w:tcPr>
          <w:p>
            <w:pPr>
              <w:autoSpaceDN w:val="0"/>
              <w:autoSpaceDE w:val="0"/>
              <w:widowControl/>
              <w:spacing w:line="230" w:lineRule="auto" w:before="94" w:after="0"/>
              <w:ind w:left="0" w:right="182" w:firstLine="0"/>
              <w:jc w:val="right"/>
            </w:pPr>
            <w:r>
              <w:rPr>
                <w:rFonts w:ascii="Arial" w:hAnsi="Arial" w:eastAsia="Arial"/>
                <w:b w:val="0"/>
                <w:i w:val="0"/>
                <w:color w:val="000000"/>
                <w:sz w:val="16"/>
              </w:rPr>
              <w:t xml:space="preserve">14,048,537 </w:t>
            </w:r>
          </w:p>
        </w:tc>
        <w:tc>
          <w:tcPr>
            <w:tcW w:type="dxa" w:w="1362"/>
            <w:tcBorders>
              <w:bottom w:sz="4.0" w:val="single" w:color="#000000"/>
            </w:tcBorders>
            <w:tcMar>
              <w:start w:w="0" w:type="dxa"/>
              <w:end w:w="0" w:type="dxa"/>
            </w:tcMar>
          </w:tcPr>
          <w:p>
            <w:pPr>
              <w:autoSpaceDN w:val="0"/>
              <w:autoSpaceDE w:val="0"/>
              <w:widowControl/>
              <w:spacing w:line="230" w:lineRule="auto" w:before="94" w:after="0"/>
              <w:ind w:left="0" w:right="0" w:firstLine="0"/>
              <w:jc w:val="center"/>
            </w:pPr>
            <w:r>
              <w:rPr>
                <w:rFonts w:ascii="Arial" w:hAnsi="Arial" w:eastAsia="Arial"/>
                <w:b w:val="0"/>
                <w:i w:val="0"/>
                <w:color w:val="000000"/>
                <w:sz w:val="16"/>
              </w:rPr>
              <w:t>154,225,473</w:t>
            </w:r>
          </w:p>
        </w:tc>
        <w:tc>
          <w:tcPr>
            <w:tcW w:type="dxa" w:w="1192"/>
            <w:tcBorders>
              <w:bottom w:sz="4.0" w:val="single" w:color="#000000"/>
            </w:tcBorders>
            <w:tcMar>
              <w:start w:w="0" w:type="dxa"/>
              <w:end w:w="0" w:type="dxa"/>
            </w:tcMar>
          </w:tcPr>
          <w:p>
            <w:pPr>
              <w:autoSpaceDN w:val="0"/>
              <w:autoSpaceDE w:val="0"/>
              <w:widowControl/>
              <w:spacing w:line="230" w:lineRule="auto" w:before="94" w:after="0"/>
              <w:ind w:left="0" w:right="0" w:firstLine="0"/>
              <w:jc w:val="right"/>
            </w:pPr>
            <w:r>
              <w:rPr>
                <w:rFonts w:ascii="Arial" w:hAnsi="Arial" w:eastAsia="Arial"/>
                <w:b w:val="0"/>
                <w:i w:val="0"/>
                <w:color w:val="000000"/>
                <w:sz w:val="16"/>
              </w:rPr>
              <w:t>171,766,410</w:t>
            </w:r>
          </w:p>
        </w:tc>
      </w:tr>
      <w:tr>
        <w:trPr>
          <w:trHeight w:hRule="exact" w:val="516"/>
        </w:trPr>
        <w:tc>
          <w:tcPr>
            <w:tcW w:type="dxa" w:w="2200"/>
            <w:tcBorders>
              <w:top w:sz="4.0" w:val="single" w:color="#000000"/>
              <w:bottom w:sz="3.200000000000273" w:val="single" w:color="#000000"/>
            </w:tcBorders>
            <w:tcMar>
              <w:start w:w="0" w:type="dxa"/>
              <w:end w:w="0" w:type="dxa"/>
            </w:tcMar>
          </w:tcPr>
          <w:p>
            <w:pPr>
              <w:autoSpaceDN w:val="0"/>
              <w:autoSpaceDE w:val="0"/>
              <w:widowControl/>
              <w:spacing w:line="160" w:lineRule="exact" w:before="320" w:after="0"/>
              <w:ind w:left="198" w:right="0" w:firstLine="0"/>
              <w:jc w:val="left"/>
            </w:pPr>
            <w:r>
              <w:rPr>
                <w:rFonts w:ascii="黑体" w:hAnsi="黑体" w:eastAsia="黑体"/>
                <w:b w:val="0"/>
                <w:i w:val="0"/>
                <w:color w:val="000000"/>
                <w:sz w:val="16"/>
              </w:rPr>
              <w:t>合计</w:t>
            </w:r>
          </w:p>
        </w:tc>
        <w:tc>
          <w:tcPr>
            <w:tcW w:type="dxa" w:w="1090"/>
            <w:tcBorders>
              <w:top w:sz="4.0" w:val="single" w:color="#000000"/>
              <w:bottom w:sz="3.200000000000273" w:val="single" w:color="#000000"/>
            </w:tcBorders>
            <w:tcMar>
              <w:start w:w="0" w:type="dxa"/>
              <w:end w:w="0" w:type="dxa"/>
            </w:tcMar>
          </w:tcPr>
          <w:p/>
        </w:tc>
        <w:tc>
          <w:tcPr>
            <w:tcW w:type="dxa" w:w="1270"/>
            <w:tcBorders>
              <w:top w:sz="4.0" w:val="single" w:color="#000000"/>
              <w:bottom w:sz="3.200000000000273" w:val="single" w:color="#000000"/>
            </w:tcBorders>
            <w:tcMar>
              <w:start w:w="0" w:type="dxa"/>
              <w:end w:w="0" w:type="dxa"/>
            </w:tcMar>
          </w:tcPr>
          <w:p>
            <w:pPr>
              <w:autoSpaceDN w:val="0"/>
              <w:autoSpaceDE w:val="0"/>
              <w:widowControl/>
              <w:spacing w:line="230" w:lineRule="auto" w:before="322" w:after="0"/>
              <w:ind w:left="0" w:right="0" w:firstLine="0"/>
              <w:jc w:val="center"/>
            </w:pPr>
            <w:r>
              <w:rPr>
                <w:rFonts w:ascii="Arial" w:hAnsi="Arial" w:eastAsia="Arial"/>
                <w:b w:val="0"/>
                <w:i w:val="0"/>
                <w:color w:val="000000"/>
                <w:sz w:val="16"/>
              </w:rPr>
              <w:t xml:space="preserve">12,020,944,495 </w:t>
            </w:r>
          </w:p>
        </w:tc>
        <w:tc>
          <w:tcPr>
            <w:tcW w:type="dxa" w:w="1420"/>
            <w:vMerge w:val="restart"/>
            <w:tcBorders>
              <w:top w:sz="4.0" w:val="single" w:color="#000000"/>
            </w:tcBorders>
            <w:tcMar>
              <w:start w:w="0" w:type="dxa"/>
              <w:end w:w="0" w:type="dxa"/>
            </w:tcMar>
            <w:tcMar>
              <w:start w:w="0" w:type="dxa"/>
              <w:end w:w="0" w:type="dxa"/>
            </w:tcMar>
          </w:tcPr>
          <w:p>
            <w:pPr>
              <w:autoSpaceDN w:val="0"/>
              <w:autoSpaceDE w:val="0"/>
              <w:widowControl/>
              <w:spacing w:line="230" w:lineRule="auto" w:before="322" w:after="0"/>
              <w:ind w:left="82" w:right="0" w:firstLine="0"/>
              <w:jc w:val="left"/>
            </w:pPr>
            <w:r>
              <w:rPr>
                <w:rFonts w:ascii="Arial" w:hAnsi="Arial" w:eastAsia="Arial"/>
                <w:b w:val="0"/>
                <w:i w:val="0"/>
                <w:color w:val="000000"/>
                <w:sz w:val="16"/>
              </w:rPr>
              <w:t xml:space="preserve">23,087,236,464 </w:t>
            </w:r>
          </w:p>
        </w:tc>
        <w:tc>
          <w:tcPr>
            <w:tcW w:type="dxa" w:w="1362"/>
            <w:tcBorders>
              <w:top w:sz="4.0" w:val="single" w:color="#000000"/>
              <w:bottom w:sz="3.200000000000273" w:val="single" w:color="#000000"/>
            </w:tcBorders>
            <w:tcMar>
              <w:start w:w="0" w:type="dxa"/>
              <w:end w:w="0" w:type="dxa"/>
            </w:tcMar>
          </w:tcPr>
          <w:p>
            <w:pPr>
              <w:autoSpaceDN w:val="0"/>
              <w:autoSpaceDE w:val="0"/>
              <w:widowControl/>
              <w:spacing w:line="230" w:lineRule="auto" w:before="322" w:after="0"/>
              <w:ind w:left="110" w:right="0" w:firstLine="0"/>
              <w:jc w:val="left"/>
            </w:pPr>
            <w:r>
              <w:rPr>
                <w:rFonts w:ascii="Arial" w:hAnsi="Arial" w:eastAsia="Arial"/>
                <w:b w:val="0"/>
                <w:i w:val="0"/>
                <w:color w:val="000000"/>
                <w:sz w:val="16"/>
              </w:rPr>
              <w:t>2,310,882,704</w:t>
            </w:r>
          </w:p>
        </w:tc>
        <w:tc>
          <w:tcPr>
            <w:tcW w:type="dxa" w:w="1192"/>
            <w:tcBorders>
              <w:top w:sz="4.0" w:val="single" w:color="#000000"/>
              <w:bottom w:sz="3.200000000000273" w:val="single" w:color="#000000"/>
            </w:tcBorders>
            <w:tcMar>
              <w:start w:w="0" w:type="dxa"/>
              <w:end w:w="0" w:type="dxa"/>
            </w:tcMar>
          </w:tcPr>
          <w:p>
            <w:pPr>
              <w:autoSpaceDN w:val="0"/>
              <w:autoSpaceDE w:val="0"/>
              <w:widowControl/>
              <w:spacing w:line="230" w:lineRule="auto" w:before="322" w:after="0"/>
              <w:ind w:left="82" w:right="0" w:firstLine="0"/>
              <w:jc w:val="left"/>
            </w:pPr>
            <w:r>
              <w:rPr>
                <w:rFonts w:ascii="Arial" w:hAnsi="Arial" w:eastAsia="Arial"/>
                <w:b w:val="0"/>
                <w:i w:val="0"/>
                <w:color w:val="000000"/>
                <w:sz w:val="16"/>
              </w:rPr>
              <w:t>37,419,063,663</w:t>
            </w:r>
          </w:p>
        </w:tc>
      </w:tr>
      <w:tr>
        <w:trPr>
          <w:trHeight w:hRule="exact" w:val="50"/>
        </w:trPr>
        <w:tc>
          <w:tcPr>
            <w:tcW w:type="dxa" w:w="2200"/>
            <w:tcBorders>
              <w:top w:sz="3.200000000000273" w:val="single" w:color="#000000"/>
            </w:tcBorders>
            <w:tcMar>
              <w:start w:w="0" w:type="dxa"/>
              <w:end w:w="0" w:type="dxa"/>
            </w:tcMar>
          </w:tcPr>
          <w:p/>
        </w:tc>
        <w:tc>
          <w:tcPr>
            <w:tcW w:type="dxa" w:w="1090"/>
            <w:tcBorders>
              <w:top w:sz="3.200000000000273" w:val="single" w:color="#000000"/>
            </w:tcBorders>
            <w:tcMar>
              <w:start w:w="0" w:type="dxa"/>
              <w:end w:w="0" w:type="dxa"/>
            </w:tcMar>
          </w:tcPr>
          <w:p/>
        </w:tc>
        <w:tc>
          <w:tcPr>
            <w:tcW w:type="dxa" w:w="1270"/>
            <w:tcBorders>
              <w:top w:sz="3.200000000000273" w:val="single" w:color="#000000"/>
            </w:tcBorders>
            <w:tcMar>
              <w:start w:w="0" w:type="dxa"/>
              <w:end w:w="0" w:type="dxa"/>
            </w:tcMar>
          </w:tcPr>
          <w:p/>
        </w:tc>
        <w:tc>
          <w:tcPr>
            <w:tcW w:type="dxa" w:w="1503"/>
            <w:vMerge/>
            <w:tcBorders>
              <w:top w:sz="4.0" w:val="single" w:color="#000000"/>
            </w:tcBorders>
          </w:tcPr>
          <w:p/>
        </w:tc>
        <w:tc>
          <w:tcPr>
            <w:tcW w:type="dxa" w:w="1362"/>
            <w:tcBorders>
              <w:top w:sz="3.200000000000273" w:val="single" w:color="#000000"/>
            </w:tcBorders>
            <w:tcMar>
              <w:start w:w="0" w:type="dxa"/>
              <w:end w:w="0" w:type="dxa"/>
            </w:tcMar>
          </w:tcPr>
          <w:p/>
        </w:tc>
        <w:tc>
          <w:tcPr>
            <w:tcW w:type="dxa" w:w="1192"/>
            <w:tcBorders>
              <w:top w:sz="3.200000000000273" w:val="single" w:color="#000000"/>
            </w:tcBorders>
            <w:tcMar>
              <w:start w:w="0" w:type="dxa"/>
              <w:end w:w="0" w:type="dxa"/>
            </w:tcMar>
          </w:tcPr>
          <w:p/>
        </w:tc>
      </w:tr>
    </w:tbl>
    <w:p>
      <w:pPr>
        <w:autoSpaceDN w:val="0"/>
        <w:autoSpaceDE w:val="0"/>
        <w:widowControl/>
        <w:spacing w:line="162" w:lineRule="exact" w:before="296" w:after="44"/>
        <w:ind w:left="358" w:right="0" w:firstLine="0"/>
        <w:jc w:val="left"/>
      </w:pPr>
      <w:r>
        <w:rPr>
          <w:rFonts w:ascii="黑体" w:hAnsi="黑体" w:eastAsia="黑体"/>
          <w:b w:val="0"/>
          <w:i w:val="0"/>
          <w:color w:val="000000"/>
          <w:sz w:val="16"/>
        </w:rPr>
        <w:t>持续以公允价值计量的负债：</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210"/>
        </w:trPr>
        <w:tc>
          <w:tcPr>
            <w:tcW w:type="dxa" w:w="2520"/>
            <w:tcBorders/>
            <w:tcMar>
              <w:start w:w="0" w:type="dxa"/>
              <w:end w:w="0" w:type="dxa"/>
            </w:tcMar>
          </w:tcPr>
          <w:p>
            <w:pPr>
              <w:autoSpaceDN w:val="0"/>
              <w:autoSpaceDE w:val="0"/>
              <w:widowControl/>
              <w:spacing w:line="162" w:lineRule="exact" w:before="46" w:after="0"/>
              <w:ind w:left="358" w:right="0" w:firstLine="0"/>
              <w:jc w:val="left"/>
            </w:pPr>
            <w:r>
              <w:rPr>
                <w:rFonts w:ascii="黑体" w:hAnsi="黑体" w:eastAsia="黑体"/>
                <w:b w:val="0"/>
                <w:i w:val="0"/>
                <w:color w:val="000000"/>
                <w:sz w:val="16"/>
              </w:rPr>
              <w:t>交易性金融负债</w:t>
            </w:r>
          </w:p>
        </w:tc>
        <w:tc>
          <w:tcPr>
            <w:tcW w:type="dxa" w:w="770"/>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6"/>
              </w:rPr>
              <w:t xml:space="preserve">23 </w:t>
            </w:r>
          </w:p>
        </w:tc>
        <w:tc>
          <w:tcPr>
            <w:tcW w:type="dxa" w:w="1310"/>
            <w:tcBorders/>
            <w:tcMar>
              <w:start w:w="0" w:type="dxa"/>
              <w:end w:w="0" w:type="dxa"/>
            </w:tcMar>
          </w:tcPr>
          <w:p>
            <w:pPr>
              <w:autoSpaceDN w:val="0"/>
              <w:autoSpaceDE w:val="0"/>
              <w:widowControl/>
              <w:spacing w:line="230" w:lineRule="auto" w:before="32" w:after="0"/>
              <w:ind w:left="0" w:right="106" w:firstLine="0"/>
              <w:jc w:val="right"/>
            </w:pPr>
            <w:r>
              <w:rPr>
                <w:rFonts w:ascii="Arial" w:hAnsi="Arial" w:eastAsia="Arial"/>
                <w:b w:val="0"/>
                <w:i w:val="0"/>
                <w:color w:val="000000"/>
                <w:sz w:val="16"/>
              </w:rPr>
              <w:t xml:space="preserve">- </w:t>
            </w:r>
          </w:p>
        </w:tc>
        <w:tc>
          <w:tcPr>
            <w:tcW w:type="dxa" w:w="1380"/>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6"/>
              </w:rPr>
              <w:t xml:space="preserve">(1,353,790,490 ) </w:t>
            </w:r>
          </w:p>
        </w:tc>
        <w:tc>
          <w:tcPr>
            <w:tcW w:type="dxa" w:w="1362"/>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6"/>
              </w:rPr>
              <w:t xml:space="preserve">(158,216,879) </w:t>
            </w:r>
          </w:p>
        </w:tc>
        <w:tc>
          <w:tcPr>
            <w:tcW w:type="dxa" w:w="1398"/>
            <w:tcBorders/>
            <w:tcMar>
              <w:start w:w="0" w:type="dxa"/>
              <w:end w:w="0" w:type="dxa"/>
            </w:tcMar>
          </w:tcPr>
          <w:p>
            <w:pPr>
              <w:autoSpaceDN w:val="0"/>
              <w:autoSpaceDE w:val="0"/>
              <w:widowControl/>
              <w:spacing w:line="230" w:lineRule="auto" w:before="32" w:after="0"/>
              <w:ind w:left="0" w:right="0" w:firstLine="0"/>
              <w:jc w:val="center"/>
            </w:pPr>
            <w:r>
              <w:rPr>
                <w:rFonts w:ascii="Arial" w:hAnsi="Arial" w:eastAsia="Arial"/>
                <w:b w:val="0"/>
                <w:i w:val="0"/>
                <w:color w:val="000000"/>
                <w:sz w:val="16"/>
              </w:rPr>
              <w:t xml:space="preserve">(1,512,007,369) </w:t>
            </w:r>
          </w:p>
        </w:tc>
      </w:tr>
      <w:tr>
        <w:trPr>
          <w:trHeight w:hRule="exact" w:val="307"/>
        </w:trPr>
        <w:tc>
          <w:tcPr>
            <w:tcW w:type="dxa" w:w="2520"/>
            <w:tcBorders/>
            <w:tcMar>
              <w:start w:w="0" w:type="dxa"/>
              <w:end w:w="0" w:type="dxa"/>
            </w:tcMar>
          </w:tcPr>
          <w:p>
            <w:pPr>
              <w:autoSpaceDN w:val="0"/>
              <w:autoSpaceDE w:val="0"/>
              <w:widowControl/>
              <w:spacing w:line="160" w:lineRule="exact" w:before="90" w:after="0"/>
              <w:ind w:left="518" w:right="0" w:firstLine="0"/>
              <w:jc w:val="left"/>
            </w:pPr>
            <w:r>
              <w:rPr>
                <w:rFonts w:ascii="黑体" w:hAnsi="黑体" w:eastAsia="黑体"/>
                <w:b w:val="0"/>
                <w:i w:val="0"/>
                <w:color w:val="000000"/>
                <w:sz w:val="16"/>
              </w:rPr>
              <w:t>卖出的借入债券</w:t>
            </w:r>
          </w:p>
        </w:tc>
        <w:tc>
          <w:tcPr>
            <w:tcW w:type="dxa" w:w="770"/>
            <w:vMerge w:val="restart"/>
            <w:tcBorders>
              <w:bottom w:sz="4.0" w:val="single" w:color="#000000"/>
            </w:tcBorders>
            <w:tcMar>
              <w:start w:w="0" w:type="dxa"/>
              <w:end w:w="0" w:type="dxa"/>
            </w:tcMar>
            <w:tcMar>
              <w:start w:w="0" w:type="dxa"/>
              <w:end w:w="0" w:type="dxa"/>
            </w:tcMar>
            <w:tcMar>
              <w:start w:w="0" w:type="dxa"/>
              <w:end w:w="0" w:type="dxa"/>
            </w:tcMar>
          </w:tcPr>
          <w:p>
            <w:pPr>
              <w:autoSpaceDN w:val="0"/>
              <w:autoSpaceDE w:val="0"/>
              <w:widowControl/>
              <w:spacing w:line="233" w:lineRule="auto" w:before="598" w:after="0"/>
              <w:ind w:left="0" w:right="0" w:firstLine="0"/>
              <w:jc w:val="center"/>
            </w:pPr>
            <w:r>
              <w:rPr>
                <w:rFonts w:ascii="Arial" w:hAnsi="Arial" w:eastAsia="Arial"/>
                <w:b w:val="0"/>
                <w:i w:val="0"/>
                <w:color w:val="000000"/>
                <w:sz w:val="16"/>
              </w:rPr>
              <w:t xml:space="preserve">4 </w:t>
            </w:r>
          </w:p>
        </w:tc>
        <w:tc>
          <w:tcPr>
            <w:tcW w:type="dxa" w:w="1310"/>
            <w:tcBorders/>
            <w:tcMar>
              <w:start w:w="0" w:type="dxa"/>
              <w:end w:w="0" w:type="dxa"/>
            </w:tcMar>
          </w:tcPr>
          <w:p>
            <w:pPr>
              <w:autoSpaceDN w:val="0"/>
              <w:autoSpaceDE w:val="0"/>
              <w:widowControl/>
              <w:spacing w:line="230" w:lineRule="auto" w:before="92" w:after="0"/>
              <w:ind w:left="0" w:right="106" w:firstLine="0"/>
              <w:jc w:val="right"/>
            </w:pPr>
            <w:r>
              <w:rPr>
                <w:rFonts w:ascii="Arial" w:hAnsi="Arial" w:eastAsia="Arial"/>
                <w:b w:val="0"/>
                <w:i w:val="0"/>
                <w:color w:val="000000"/>
                <w:sz w:val="16"/>
              </w:rPr>
              <w:t xml:space="preserve">- </w:t>
            </w:r>
          </w:p>
        </w:tc>
        <w:tc>
          <w:tcPr>
            <w:tcW w:type="dxa" w:w="1380"/>
            <w:tcBorders/>
            <w:tcMar>
              <w:start w:w="0" w:type="dxa"/>
              <w:end w:w="0" w:type="dxa"/>
            </w:tcMar>
          </w:tcPr>
          <w:p>
            <w:pPr>
              <w:autoSpaceDN w:val="0"/>
              <w:autoSpaceDE w:val="0"/>
              <w:widowControl/>
              <w:spacing w:line="230" w:lineRule="auto" w:before="92" w:after="0"/>
              <w:ind w:left="0" w:right="0" w:firstLine="0"/>
              <w:jc w:val="center"/>
            </w:pPr>
            <w:r>
              <w:rPr>
                <w:rFonts w:ascii="Arial" w:hAnsi="Arial" w:eastAsia="Arial"/>
                <w:b w:val="0"/>
                <w:i w:val="0"/>
                <w:color w:val="000000"/>
                <w:sz w:val="16"/>
              </w:rPr>
              <w:t xml:space="preserve">(1,353,790,490 ) </w:t>
            </w:r>
          </w:p>
        </w:tc>
        <w:tc>
          <w:tcPr>
            <w:tcW w:type="dxa" w:w="1362"/>
            <w:tcBorders/>
            <w:tcMar>
              <w:start w:w="0" w:type="dxa"/>
              <w:end w:w="0" w:type="dxa"/>
            </w:tcMar>
          </w:tcPr>
          <w:p>
            <w:pPr>
              <w:autoSpaceDN w:val="0"/>
              <w:autoSpaceDE w:val="0"/>
              <w:widowControl/>
              <w:spacing w:line="230" w:lineRule="auto" w:before="92" w:after="0"/>
              <w:ind w:left="0" w:right="228" w:firstLine="0"/>
              <w:jc w:val="right"/>
            </w:pPr>
            <w:r>
              <w:rPr>
                <w:rFonts w:ascii="Arial" w:hAnsi="Arial" w:eastAsia="Arial"/>
                <w:b w:val="0"/>
                <w:i w:val="0"/>
                <w:color w:val="000000"/>
                <w:sz w:val="16"/>
              </w:rPr>
              <w:t>-</w:t>
            </w:r>
          </w:p>
        </w:tc>
        <w:tc>
          <w:tcPr>
            <w:tcW w:type="dxa" w:w="1398"/>
            <w:tcBorders/>
            <w:tcMar>
              <w:start w:w="0" w:type="dxa"/>
              <w:end w:w="0" w:type="dxa"/>
            </w:tcMar>
          </w:tcPr>
          <w:p>
            <w:pPr>
              <w:autoSpaceDN w:val="0"/>
              <w:autoSpaceDE w:val="0"/>
              <w:widowControl/>
              <w:spacing w:line="230" w:lineRule="auto" w:before="92" w:after="0"/>
              <w:ind w:left="0" w:right="0" w:firstLine="0"/>
              <w:jc w:val="center"/>
            </w:pPr>
            <w:r>
              <w:rPr>
                <w:rFonts w:ascii="Arial" w:hAnsi="Arial" w:eastAsia="Arial"/>
                <w:b w:val="0"/>
                <w:i w:val="0"/>
                <w:color w:val="000000"/>
                <w:sz w:val="16"/>
              </w:rPr>
              <w:t xml:space="preserve">(1,353,790,490) </w:t>
            </w:r>
          </w:p>
        </w:tc>
      </w:tr>
      <w:tr>
        <w:trPr>
          <w:trHeight w:hRule="exact" w:val="254"/>
        </w:trPr>
        <w:tc>
          <w:tcPr>
            <w:tcW w:type="dxa" w:w="2520"/>
            <w:tcBorders/>
            <w:tcMar>
              <w:start w:w="0" w:type="dxa"/>
              <w:end w:w="0" w:type="dxa"/>
            </w:tcMar>
          </w:tcPr>
          <w:p>
            <w:pPr>
              <w:autoSpaceDN w:val="0"/>
              <w:autoSpaceDE w:val="0"/>
              <w:widowControl/>
              <w:spacing w:line="160" w:lineRule="exact" w:before="38" w:after="0"/>
              <w:ind w:left="518" w:right="0" w:firstLine="0"/>
              <w:jc w:val="left"/>
            </w:pPr>
            <w:r>
              <w:rPr>
                <w:rFonts w:ascii="黑体" w:hAnsi="黑体" w:eastAsia="黑体"/>
                <w:b w:val="0"/>
                <w:i w:val="0"/>
                <w:color w:val="000000"/>
                <w:sz w:val="16"/>
              </w:rPr>
              <w:t>挂钩衍生产品的收益凭证</w:t>
            </w:r>
          </w:p>
        </w:tc>
        <w:tc>
          <w:tcPr>
            <w:tcW w:type="dxa" w:w="1503"/>
            <w:vMerge/>
            <w:tcBorders>
              <w:bottom w:sz="4.0" w:val="single" w:color="#000000"/>
            </w:tcBorders>
          </w:tcPr>
          <w:p/>
        </w:tc>
        <w:tc>
          <w:tcPr>
            <w:tcW w:type="dxa" w:w="1310"/>
            <w:tcBorders/>
            <w:tcMar>
              <w:start w:w="0" w:type="dxa"/>
              <w:end w:w="0" w:type="dxa"/>
            </w:tcMar>
          </w:tcPr>
          <w:p>
            <w:pPr>
              <w:autoSpaceDN w:val="0"/>
              <w:autoSpaceDE w:val="0"/>
              <w:widowControl/>
              <w:spacing w:line="233" w:lineRule="auto" w:before="40" w:after="0"/>
              <w:ind w:left="0" w:right="106" w:firstLine="0"/>
              <w:jc w:val="right"/>
            </w:pPr>
            <w:r>
              <w:rPr>
                <w:rFonts w:ascii="Arial" w:hAnsi="Arial" w:eastAsia="Arial"/>
                <w:b w:val="0"/>
                <w:i w:val="0"/>
                <w:color w:val="000000"/>
                <w:sz w:val="16"/>
              </w:rPr>
              <w:t xml:space="preserve">- </w:t>
            </w:r>
          </w:p>
        </w:tc>
        <w:tc>
          <w:tcPr>
            <w:tcW w:type="dxa" w:w="1380"/>
            <w:tcBorders/>
            <w:tcMar>
              <w:start w:w="0" w:type="dxa"/>
              <w:end w:w="0" w:type="dxa"/>
            </w:tcMar>
          </w:tcPr>
          <w:p>
            <w:pPr>
              <w:autoSpaceDN w:val="0"/>
              <w:autoSpaceDE w:val="0"/>
              <w:widowControl/>
              <w:spacing w:line="233" w:lineRule="auto" w:before="40" w:after="0"/>
              <w:ind w:left="0" w:right="182" w:firstLine="0"/>
              <w:jc w:val="right"/>
            </w:pPr>
            <w:r>
              <w:rPr>
                <w:rFonts w:ascii="Arial" w:hAnsi="Arial" w:eastAsia="Arial"/>
                <w:b w:val="0"/>
                <w:i w:val="0"/>
                <w:color w:val="000000"/>
                <w:sz w:val="16"/>
              </w:rPr>
              <w:t xml:space="preserve">- </w:t>
            </w:r>
          </w:p>
        </w:tc>
        <w:tc>
          <w:tcPr>
            <w:tcW w:type="dxa" w:w="1362"/>
            <w:tcBorders/>
            <w:tcMar>
              <w:start w:w="0" w:type="dxa"/>
              <w:end w:w="0" w:type="dxa"/>
            </w:tcMar>
          </w:tcPr>
          <w:p>
            <w:pPr>
              <w:autoSpaceDN w:val="0"/>
              <w:autoSpaceDE w:val="0"/>
              <w:widowControl/>
              <w:spacing w:line="233" w:lineRule="auto" w:before="40" w:after="0"/>
              <w:ind w:left="0" w:right="0" w:firstLine="0"/>
              <w:jc w:val="center"/>
            </w:pPr>
            <w:r>
              <w:rPr>
                <w:rFonts w:ascii="Arial" w:hAnsi="Arial" w:eastAsia="Arial"/>
                <w:b w:val="0"/>
                <w:i w:val="0"/>
                <w:color w:val="000000"/>
                <w:sz w:val="16"/>
              </w:rPr>
              <w:t xml:space="preserve">(158,216,879) </w:t>
            </w:r>
          </w:p>
        </w:tc>
        <w:tc>
          <w:tcPr>
            <w:tcW w:type="dxa" w:w="1398"/>
            <w:tcBorders/>
            <w:tcMar>
              <w:start w:w="0" w:type="dxa"/>
              <w:end w:w="0" w:type="dxa"/>
            </w:tcMar>
          </w:tcPr>
          <w:p>
            <w:pPr>
              <w:autoSpaceDN w:val="0"/>
              <w:autoSpaceDE w:val="0"/>
              <w:widowControl/>
              <w:spacing w:line="233" w:lineRule="auto" w:before="40" w:after="0"/>
              <w:ind w:left="250" w:right="0" w:firstLine="0"/>
              <w:jc w:val="left"/>
            </w:pPr>
            <w:r>
              <w:rPr>
                <w:rFonts w:ascii="Arial" w:hAnsi="Arial" w:eastAsia="Arial"/>
                <w:b w:val="0"/>
                <w:i w:val="0"/>
                <w:color w:val="000000"/>
                <w:sz w:val="16"/>
              </w:rPr>
              <w:t xml:space="preserve">(158,216,879) </w:t>
            </w:r>
          </w:p>
        </w:tc>
      </w:tr>
      <w:tr>
        <w:trPr>
          <w:trHeight w:hRule="exact" w:val="227"/>
        </w:trPr>
        <w:tc>
          <w:tcPr>
            <w:tcW w:type="dxa" w:w="2520"/>
            <w:tcBorders>
              <w:bottom w:sz="4.0" w:val="single" w:color="#000000"/>
            </w:tcBorders>
            <w:tcMar>
              <w:start w:w="0" w:type="dxa"/>
              <w:end w:w="0" w:type="dxa"/>
            </w:tcMar>
          </w:tcPr>
          <w:p>
            <w:pPr>
              <w:autoSpaceDN w:val="0"/>
              <w:autoSpaceDE w:val="0"/>
              <w:widowControl/>
              <w:spacing w:line="160" w:lineRule="exact" w:before="36" w:after="0"/>
              <w:ind w:left="358" w:right="0" w:firstLine="0"/>
              <w:jc w:val="left"/>
            </w:pPr>
            <w:r>
              <w:rPr>
                <w:rFonts w:ascii="黑体" w:hAnsi="黑体" w:eastAsia="黑体"/>
                <w:b w:val="0"/>
                <w:i w:val="0"/>
                <w:color w:val="000000"/>
                <w:sz w:val="16"/>
              </w:rPr>
              <w:t>衍生金融负债</w:t>
            </w:r>
          </w:p>
        </w:tc>
        <w:tc>
          <w:tcPr>
            <w:tcW w:type="dxa" w:w="1503"/>
            <w:vMerge/>
            <w:tcBorders>
              <w:bottom w:sz="4.0" w:val="single" w:color="#000000"/>
            </w:tcBorders>
          </w:tcPr>
          <w:p/>
        </w:tc>
        <w:tc>
          <w:tcPr>
            <w:tcW w:type="dxa" w:w="1310"/>
            <w:tcBorders>
              <w:bottom w:sz="4.0" w:val="single" w:color="#000000"/>
            </w:tcBorders>
            <w:tcMar>
              <w:start w:w="0" w:type="dxa"/>
              <w:end w:w="0" w:type="dxa"/>
            </w:tcMar>
          </w:tcPr>
          <w:p>
            <w:pPr>
              <w:autoSpaceDN w:val="0"/>
              <w:autoSpaceDE w:val="0"/>
              <w:widowControl/>
              <w:spacing w:line="233" w:lineRule="auto" w:before="38" w:after="0"/>
              <w:ind w:left="304" w:right="0" w:firstLine="0"/>
              <w:jc w:val="left"/>
            </w:pPr>
            <w:r>
              <w:rPr>
                <w:rFonts w:ascii="Arial" w:hAnsi="Arial" w:eastAsia="Arial"/>
                <w:b w:val="0"/>
                <w:i w:val="0"/>
                <w:color w:val="000000"/>
                <w:sz w:val="16"/>
              </w:rPr>
              <w:t xml:space="preserve">(10,199,397 ) </w:t>
            </w:r>
          </w:p>
        </w:tc>
        <w:tc>
          <w:tcPr>
            <w:tcW w:type="dxa" w:w="1380"/>
            <w:tcBorders>
              <w:bottom w:sz="4.0" w:val="single" w:color="#000000"/>
            </w:tcBorders>
            <w:tcMar>
              <w:start w:w="0" w:type="dxa"/>
              <w:end w:w="0" w:type="dxa"/>
            </w:tcMar>
          </w:tcPr>
          <w:p>
            <w:pPr>
              <w:autoSpaceDN w:val="0"/>
              <w:autoSpaceDE w:val="0"/>
              <w:widowControl/>
              <w:spacing w:line="233" w:lineRule="auto" w:before="38" w:after="0"/>
              <w:ind w:left="298" w:right="0" w:firstLine="0"/>
              <w:jc w:val="left"/>
            </w:pPr>
            <w:r>
              <w:rPr>
                <w:rFonts w:ascii="Arial" w:hAnsi="Arial" w:eastAsia="Arial"/>
                <w:b w:val="0"/>
                <w:i w:val="0"/>
                <w:color w:val="000000"/>
                <w:sz w:val="16"/>
              </w:rPr>
              <w:t xml:space="preserve">(33,113,208 ) </w:t>
            </w:r>
          </w:p>
        </w:tc>
        <w:tc>
          <w:tcPr>
            <w:tcW w:type="dxa" w:w="1362"/>
            <w:tcBorders>
              <w:bottom w:sz="4.0" w:val="single" w:color="#000000"/>
            </w:tcBorders>
            <w:tcMar>
              <w:start w:w="0" w:type="dxa"/>
              <w:end w:w="0" w:type="dxa"/>
            </w:tcMar>
          </w:tcPr>
          <w:p>
            <w:pPr>
              <w:autoSpaceDN w:val="0"/>
              <w:autoSpaceDE w:val="0"/>
              <w:widowControl/>
              <w:spacing w:line="233" w:lineRule="auto" w:before="38" w:after="0"/>
              <w:ind w:left="280" w:right="0" w:firstLine="0"/>
              <w:jc w:val="left"/>
            </w:pPr>
            <w:r>
              <w:rPr>
                <w:rFonts w:ascii="Arial" w:hAnsi="Arial" w:eastAsia="Arial"/>
                <w:b w:val="0"/>
                <w:i w:val="0"/>
                <w:color w:val="000000"/>
                <w:sz w:val="16"/>
              </w:rPr>
              <w:t xml:space="preserve">(88,153,367) </w:t>
            </w:r>
          </w:p>
        </w:tc>
        <w:tc>
          <w:tcPr>
            <w:tcW w:type="dxa" w:w="1398"/>
            <w:tcBorders>
              <w:bottom w:sz="4.0" w:val="single" w:color="#000000"/>
            </w:tcBorders>
            <w:tcMar>
              <w:start w:w="0" w:type="dxa"/>
              <w:end w:w="0" w:type="dxa"/>
            </w:tcMar>
          </w:tcPr>
          <w:p>
            <w:pPr>
              <w:autoSpaceDN w:val="0"/>
              <w:autoSpaceDE w:val="0"/>
              <w:widowControl/>
              <w:spacing w:line="233" w:lineRule="auto" w:before="38" w:after="0"/>
              <w:ind w:left="250" w:right="0" w:firstLine="0"/>
              <w:jc w:val="left"/>
            </w:pPr>
            <w:r>
              <w:rPr>
                <w:rFonts w:ascii="Arial" w:hAnsi="Arial" w:eastAsia="Arial"/>
                <w:b w:val="0"/>
                <w:i w:val="0"/>
                <w:color w:val="000000"/>
                <w:sz w:val="16"/>
              </w:rPr>
              <w:t xml:space="preserve">(131,465,972) </w:t>
            </w:r>
          </w:p>
        </w:tc>
      </w:tr>
      <w:tr>
        <w:trPr>
          <w:trHeight w:hRule="exact" w:val="514"/>
        </w:trPr>
        <w:tc>
          <w:tcPr>
            <w:tcW w:type="dxa" w:w="2520"/>
            <w:tcBorders>
              <w:top w:sz="4.0" w:val="single" w:color="#000000"/>
              <w:bottom w:sz="4.0" w:val="single" w:color="#000000"/>
            </w:tcBorders>
            <w:tcMar>
              <w:start w:w="0" w:type="dxa"/>
              <w:end w:w="0" w:type="dxa"/>
            </w:tcMar>
          </w:tcPr>
          <w:p>
            <w:pPr>
              <w:autoSpaceDN w:val="0"/>
              <w:autoSpaceDE w:val="0"/>
              <w:widowControl/>
              <w:spacing w:line="160" w:lineRule="exact" w:before="320" w:after="0"/>
              <w:ind w:left="198" w:right="0" w:firstLine="0"/>
              <w:jc w:val="left"/>
            </w:pPr>
            <w:r>
              <w:rPr>
                <w:rFonts w:ascii="黑体" w:hAnsi="黑体" w:eastAsia="黑体"/>
                <w:b w:val="0"/>
                <w:i w:val="0"/>
                <w:color w:val="000000"/>
                <w:sz w:val="16"/>
              </w:rPr>
              <w:t>合计</w:t>
            </w:r>
          </w:p>
        </w:tc>
        <w:tc>
          <w:tcPr>
            <w:tcW w:type="dxa" w:w="770"/>
            <w:tcBorders>
              <w:top w:sz="4.0" w:val="single" w:color="#000000"/>
              <w:bottom w:sz="4.0" w:val="single" w:color="#000000"/>
            </w:tcBorders>
            <w:tcMar>
              <w:start w:w="0" w:type="dxa"/>
              <w:end w:w="0" w:type="dxa"/>
            </w:tcMar>
          </w:tcPr>
          <w:p/>
        </w:tc>
        <w:tc>
          <w:tcPr>
            <w:tcW w:type="dxa" w:w="2690"/>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322" w:after="0"/>
              <w:ind w:left="304" w:right="0" w:firstLine="0"/>
              <w:jc w:val="left"/>
            </w:pPr>
            <w:r>
              <w:rPr>
                <w:rFonts w:ascii="Arial" w:hAnsi="Arial" w:eastAsia="Arial"/>
                <w:b w:val="0"/>
                <w:i w:val="0"/>
                <w:color w:val="000000"/>
                <w:sz w:val="16"/>
              </w:rPr>
              <w:t xml:space="preserve">(10,199,397 ) (1,386,903,698 ) </w:t>
            </w:r>
          </w:p>
        </w:tc>
        <w:tc>
          <w:tcPr>
            <w:tcW w:type="dxa" w:w="1362"/>
            <w:tcBorders>
              <w:top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Arial" w:hAnsi="Arial" w:eastAsia="Arial"/>
                <w:b w:val="0"/>
                <w:i w:val="0"/>
                <w:color w:val="000000"/>
                <w:sz w:val="16"/>
              </w:rPr>
              <w:t xml:space="preserve">(246,370,246) </w:t>
            </w:r>
          </w:p>
        </w:tc>
        <w:tc>
          <w:tcPr>
            <w:tcW w:type="dxa" w:w="1398"/>
            <w:tcBorders>
              <w:top w:sz="4.0" w:val="single" w:color="#000000"/>
              <w:bottom w:sz="4.0" w:val="single" w:color="#000000"/>
            </w:tcBorders>
            <w:tcMar>
              <w:start w:w="0" w:type="dxa"/>
              <w:end w:w="0" w:type="dxa"/>
            </w:tcMar>
          </w:tcPr>
          <w:p>
            <w:pPr>
              <w:autoSpaceDN w:val="0"/>
              <w:autoSpaceDE w:val="0"/>
              <w:widowControl/>
              <w:spacing w:line="233" w:lineRule="auto" w:before="322" w:after="0"/>
              <w:ind w:left="0" w:right="0" w:firstLine="0"/>
              <w:jc w:val="center"/>
            </w:pPr>
            <w:r>
              <w:rPr>
                <w:rFonts w:ascii="Arial" w:hAnsi="Arial" w:eastAsia="Arial"/>
                <w:b w:val="0"/>
                <w:i w:val="0"/>
                <w:color w:val="000000"/>
                <w:sz w:val="16"/>
              </w:rPr>
              <w:t xml:space="preserve">(1,643,473,341) </w:t>
            </w:r>
          </w:p>
        </w:tc>
      </w:tr>
      <w:tr>
        <w:trPr>
          <w:trHeight w:hRule="exact" w:val="52"/>
        </w:trPr>
        <w:tc>
          <w:tcPr>
            <w:tcW w:type="dxa" w:w="2520"/>
            <w:tcBorders>
              <w:top w:sz="4.0" w:val="single" w:color="#000000"/>
            </w:tcBorders>
            <w:tcMar>
              <w:start w:w="0" w:type="dxa"/>
              <w:end w:w="0" w:type="dxa"/>
            </w:tcMar>
          </w:tcPr>
          <w:p/>
        </w:tc>
        <w:tc>
          <w:tcPr>
            <w:tcW w:type="dxa" w:w="770"/>
            <w:tcBorders>
              <w:top w:sz="4.0" w:val="single" w:color="#000000"/>
            </w:tcBorders>
            <w:tcMar>
              <w:start w:w="0" w:type="dxa"/>
              <w:end w:w="0" w:type="dxa"/>
            </w:tcMar>
          </w:tcPr>
          <w:p/>
        </w:tc>
        <w:tc>
          <w:tcPr>
            <w:tcW w:type="dxa" w:w="3006"/>
            <w:gridSpan w:val="2"/>
            <w:vMerge/>
            <w:tcBorders>
              <w:top w:sz="4.0" w:val="single" w:color="#000000"/>
            </w:tcBorders>
          </w:tcPr>
          <w:p/>
        </w:tc>
        <w:tc>
          <w:tcPr>
            <w:tcW w:type="dxa" w:w="1362"/>
            <w:tcBorders>
              <w:top w:sz="4.0" w:val="single" w:color="#000000"/>
            </w:tcBorders>
            <w:tcMar>
              <w:start w:w="0" w:type="dxa"/>
              <w:end w:w="0" w:type="dxa"/>
            </w:tcMar>
          </w:tcPr>
          <w:p/>
        </w:tc>
        <w:tc>
          <w:tcPr>
            <w:tcW w:type="dxa" w:w="1398"/>
            <w:tcBorders>
              <w:top w:sz="4.0" w:val="single" w:color="#000000"/>
            </w:tcBorders>
            <w:tcMar>
              <w:start w:w="0" w:type="dxa"/>
              <w:end w:w="0" w:type="dxa"/>
            </w:tcMar>
          </w:tcPr>
          <w:p/>
        </w:tc>
      </w:tr>
    </w:tbl>
    <w:p>
      <w:pPr>
        <w:autoSpaceDN w:val="0"/>
        <w:autoSpaceDE w:val="0"/>
        <w:widowControl/>
        <w:spacing w:line="233" w:lineRule="auto" w:before="3864" w:after="0"/>
        <w:ind w:left="0" w:right="0" w:firstLine="0"/>
        <w:jc w:val="center"/>
      </w:pPr>
      <w:r>
        <w:rPr>
          <w:rFonts w:ascii="Arial" w:hAnsi="Arial" w:eastAsia="Arial"/>
          <w:b w:val="0"/>
          <w:i w:val="0"/>
          <w:color w:val="000000"/>
          <w:sz w:val="20"/>
        </w:rPr>
        <w:t xml:space="preserve">292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十二、公允价值的披露（续）</w:t>
      </w:r>
    </w:p>
    <w:p>
      <w:pPr>
        <w:autoSpaceDN w:val="0"/>
        <w:tabs>
          <w:tab w:pos="101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以公允价值计量的金融工具（续）</w:t>
      </w:r>
    </w:p>
    <w:p>
      <w:pPr>
        <w:autoSpaceDN w:val="0"/>
        <w:autoSpaceDE w:val="0"/>
        <w:widowControl/>
        <w:spacing w:line="246" w:lineRule="exact" w:before="290" w:after="0"/>
        <w:ind w:left="296" w:right="0" w:firstLine="0"/>
        <w:jc w:val="left"/>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持续第一层次公允价值计量项目市价的确定依据</w:t>
      </w:r>
    </w:p>
    <w:p>
      <w:pPr>
        <w:autoSpaceDN w:val="0"/>
        <w:autoSpaceDE w:val="0"/>
        <w:widowControl/>
        <w:spacing w:line="222" w:lineRule="exact" w:before="304" w:after="0"/>
        <w:ind w:left="358" w:right="0" w:firstLine="0"/>
        <w:jc w:val="left"/>
      </w:pPr>
      <w:r>
        <w:rPr>
          <w:rFonts w:ascii="黑体" w:hAnsi="黑体" w:eastAsia="黑体"/>
          <w:b w:val="0"/>
          <w:i w:val="0"/>
          <w:color w:val="000000"/>
          <w:sz w:val="22"/>
        </w:rPr>
        <w:t>存在活跃市场的金融工具，以活跃市场中的报价确定其公允价值。</w:t>
      </w:r>
    </w:p>
    <w:p>
      <w:pPr>
        <w:autoSpaceDN w:val="0"/>
        <w:tabs>
          <w:tab w:pos="1016" w:val="left"/>
        </w:tabs>
        <w:autoSpaceDE w:val="0"/>
        <w:widowControl/>
        <w:spacing w:line="272" w:lineRule="exact" w:before="280" w:after="0"/>
        <w:ind w:left="296" w:right="432" w:firstLine="0"/>
        <w:jc w:val="left"/>
      </w:pPr>
      <w:r>
        <w:rPr>
          <w:rFonts w:ascii="黑体" w:hAnsi="黑体" w:eastAsia="黑体"/>
          <w:b w:val="0"/>
          <w:i w:val="0"/>
          <w:color w:val="000000"/>
          <w:sz w:val="22"/>
        </w:rPr>
        <w:t>（</w:t>
      </w:r>
      <w:r>
        <w:rPr>
          <w:rFonts w:ascii="Arial" w:hAnsi="Arial" w:eastAsia="Arial"/>
          <w:b w:val="0"/>
          <w:i w:val="0"/>
          <w:color w:val="000000"/>
          <w:sz w:val="22"/>
        </w:rPr>
        <w:t>c</w:t>
      </w:r>
      <w:r>
        <w:rPr>
          <w:rFonts w:ascii="黑体" w:hAnsi="黑体" w:eastAsia="黑体"/>
          <w:b w:val="0"/>
          <w:i w:val="0"/>
          <w:color w:val="000000"/>
          <w:sz w:val="22"/>
        </w:rPr>
        <w:t>）</w:t>
      </w:r>
      <w:r>
        <w:rPr>
          <w:rFonts w:ascii="黑体" w:hAnsi="黑体" w:eastAsia="黑体"/>
          <w:b w:val="0"/>
          <w:i w:val="0"/>
          <w:color w:val="000000"/>
          <w:sz w:val="22"/>
        </w:rPr>
        <w:t>持续第二层次公允价值计量项目，采用的估值技术和重要参数的定性及定量信</w:t>
      </w:r>
      <w:r>
        <w:tab/>
      </w:r>
      <w:r>
        <w:rPr>
          <w:rFonts w:ascii="黑体" w:hAnsi="黑体" w:eastAsia="黑体"/>
          <w:b w:val="0"/>
          <w:i w:val="0"/>
          <w:color w:val="000000"/>
          <w:sz w:val="22"/>
        </w:rPr>
        <w:t>息</w:t>
      </w:r>
    </w:p>
    <w:p>
      <w:pPr>
        <w:autoSpaceDN w:val="0"/>
        <w:autoSpaceDE w:val="0"/>
        <w:widowControl/>
        <w:spacing w:line="286" w:lineRule="exact" w:before="250" w:after="0"/>
        <w:ind w:left="358" w:right="360" w:firstLine="0"/>
        <w:jc w:val="both"/>
      </w:pPr>
      <w:r>
        <w:rPr>
          <w:rFonts w:ascii="黑体" w:hAnsi="黑体" w:eastAsia="黑体"/>
          <w:b w:val="0"/>
          <w:i w:val="0"/>
          <w:color w:val="000000"/>
          <w:sz w:val="22"/>
        </w:rPr>
        <w:t>交易性金融资产及其他债权投资中的债券的公允价值是采用相关债券登记结算机构估</w:t>
      </w:r>
      <w:r>
        <w:rPr>
          <w:rFonts w:ascii="黑体" w:hAnsi="黑体" w:eastAsia="黑体"/>
          <w:b w:val="0"/>
          <w:i w:val="0"/>
          <w:color w:val="000000"/>
          <w:sz w:val="22"/>
        </w:rPr>
        <w:t>值系统的报价。相关报价机构在形成报价过程中采用了反映市场状况的可观察输入</w:t>
      </w:r>
      <w:r>
        <w:rPr>
          <w:rFonts w:ascii="黑体" w:hAnsi="黑体" w:eastAsia="黑体"/>
          <w:b w:val="0"/>
          <w:i w:val="0"/>
          <w:color w:val="000000"/>
          <w:sz w:val="22"/>
        </w:rPr>
        <w:t>值。</w:t>
      </w:r>
    </w:p>
    <w:p>
      <w:pPr>
        <w:autoSpaceDN w:val="0"/>
        <w:autoSpaceDE w:val="0"/>
        <w:widowControl/>
        <w:spacing w:line="286" w:lineRule="exact" w:before="252" w:after="0"/>
        <w:ind w:left="358" w:right="288" w:firstLine="0"/>
        <w:jc w:val="left"/>
      </w:pPr>
      <w:r>
        <w:rPr>
          <w:rFonts w:ascii="黑体" w:hAnsi="黑体" w:eastAsia="黑体"/>
          <w:b w:val="0"/>
          <w:i w:val="0"/>
          <w:color w:val="000000"/>
          <w:sz w:val="22"/>
        </w:rPr>
        <w:t>交易性金融资产及其他权益工具投资中的权益工具投资的限售股股票公允价值是采用</w:t>
      </w:r>
      <w:r>
        <w:rPr>
          <w:rFonts w:ascii="黑体" w:hAnsi="黑体" w:eastAsia="黑体"/>
          <w:b w:val="0"/>
          <w:i w:val="0"/>
          <w:color w:val="000000"/>
          <w:sz w:val="22"/>
        </w:rPr>
        <w:t>同一上市公司同类流通股票交易价格确定，并对其流动性进行折价调整。</w:t>
      </w:r>
    </w:p>
    <w:p>
      <w:pPr>
        <w:autoSpaceDN w:val="0"/>
        <w:autoSpaceDE w:val="0"/>
        <w:widowControl/>
        <w:spacing w:line="286" w:lineRule="exact" w:before="250" w:after="0"/>
        <w:ind w:left="358" w:right="360" w:firstLine="0"/>
        <w:jc w:val="both"/>
      </w:pPr>
      <w:r>
        <w:rPr>
          <w:rFonts w:ascii="黑体" w:hAnsi="黑体" w:eastAsia="黑体"/>
          <w:b w:val="0"/>
          <w:i w:val="0"/>
          <w:color w:val="000000"/>
          <w:sz w:val="22"/>
        </w:rPr>
        <w:t>交易性金融资产中不存在活跃市场的资产管理计划投资、信托计划投资及理财产品投</w:t>
      </w:r>
      <w:r>
        <w:rPr>
          <w:rFonts w:ascii="黑体" w:hAnsi="黑体" w:eastAsia="黑体"/>
          <w:b w:val="0"/>
          <w:i w:val="0"/>
          <w:color w:val="000000"/>
          <w:sz w:val="22"/>
        </w:rPr>
        <w:t>资，如管理人定期对相应结构性主体的净值进行报价，则其公允价值以资产负债表日</w:t>
      </w:r>
      <w:r>
        <w:rPr>
          <w:rFonts w:ascii="黑体" w:hAnsi="黑体" w:eastAsia="黑体"/>
          <w:b w:val="0"/>
          <w:i w:val="0"/>
          <w:color w:val="000000"/>
          <w:sz w:val="22"/>
        </w:rPr>
        <w:t>净值的方法确定。</w:t>
      </w:r>
    </w:p>
    <w:p>
      <w:pPr>
        <w:autoSpaceDN w:val="0"/>
        <w:autoSpaceDE w:val="0"/>
        <w:widowControl/>
        <w:spacing w:line="233" w:lineRule="auto" w:before="8222" w:after="0"/>
        <w:ind w:left="0" w:right="0" w:firstLine="0"/>
        <w:jc w:val="center"/>
      </w:pPr>
      <w:r>
        <w:rPr>
          <w:rFonts w:ascii="Arial" w:hAnsi="Arial" w:eastAsia="Arial"/>
          <w:b w:val="0"/>
          <w:i w:val="0"/>
          <w:color w:val="000000"/>
          <w:sz w:val="20"/>
        </w:rPr>
        <w:t xml:space="preserve">293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十二、公允价值的披露（续）</w:t>
      </w:r>
    </w:p>
    <w:p>
      <w:pPr>
        <w:autoSpaceDN w:val="0"/>
        <w:tabs>
          <w:tab w:pos="101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以公允价值计量的金融工具（续）</w:t>
      </w:r>
    </w:p>
    <w:p>
      <w:pPr>
        <w:autoSpaceDN w:val="0"/>
        <w:autoSpaceDE w:val="0"/>
        <w:widowControl/>
        <w:spacing w:line="246" w:lineRule="exact" w:before="290" w:after="0"/>
        <w:ind w:left="296" w:right="0" w:firstLine="0"/>
        <w:jc w:val="left"/>
      </w:pPr>
      <w:r>
        <w:rPr>
          <w:rFonts w:ascii="黑体" w:hAnsi="黑体" w:eastAsia="黑体"/>
          <w:b w:val="0"/>
          <w:i w:val="0"/>
          <w:color w:val="000000"/>
          <w:sz w:val="22"/>
        </w:rPr>
        <w:t>（</w:t>
      </w:r>
      <w:r>
        <w:rPr>
          <w:rFonts w:ascii="Arial" w:hAnsi="Arial" w:eastAsia="Arial"/>
          <w:b w:val="0"/>
          <w:i w:val="0"/>
          <w:color w:val="000000"/>
          <w:sz w:val="22"/>
        </w:rPr>
        <w:t>d</w:t>
      </w:r>
      <w:r>
        <w:rPr>
          <w:rFonts w:ascii="黑体" w:hAnsi="黑体" w:eastAsia="黑体"/>
          <w:b w:val="0"/>
          <w:i w:val="0"/>
          <w:color w:val="000000"/>
          <w:sz w:val="22"/>
        </w:rPr>
        <w:t>）</w:t>
      </w:r>
      <w:r>
        <w:rPr>
          <w:rFonts w:ascii="黑体" w:hAnsi="黑体" w:eastAsia="黑体"/>
          <w:b w:val="0"/>
          <w:i w:val="0"/>
          <w:color w:val="000000"/>
          <w:sz w:val="22"/>
        </w:rPr>
        <w:t>持续和非持续第三层次公允价值计量项目，采用的估值技术和重要参数的定性</w:t>
      </w:r>
    </w:p>
    <w:p>
      <w:pPr>
        <w:autoSpaceDN w:val="0"/>
        <w:autoSpaceDE w:val="0"/>
        <w:widowControl/>
        <w:spacing w:line="222" w:lineRule="exact" w:before="50" w:after="0"/>
        <w:ind w:left="1016" w:right="0" w:firstLine="0"/>
        <w:jc w:val="left"/>
      </w:pPr>
      <w:r>
        <w:rPr>
          <w:rFonts w:ascii="黑体" w:hAnsi="黑体" w:eastAsia="黑体"/>
          <w:b w:val="0"/>
          <w:i w:val="0"/>
          <w:color w:val="000000"/>
          <w:sz w:val="22"/>
        </w:rPr>
        <w:t>及定量信息</w:t>
      </w:r>
    </w:p>
    <w:p>
      <w:pPr>
        <w:autoSpaceDN w:val="0"/>
        <w:autoSpaceDE w:val="0"/>
        <w:widowControl/>
        <w:spacing w:line="222" w:lineRule="exact" w:before="318" w:after="0"/>
        <w:ind w:left="0" w:right="0" w:firstLine="0"/>
        <w:jc w:val="center"/>
      </w:pPr>
      <w:r>
        <w:rPr>
          <w:rFonts w:ascii="黑体" w:hAnsi="黑体" w:eastAsia="黑体"/>
          <w:b w:val="0"/>
          <w:i w:val="0"/>
          <w:color w:val="000000"/>
          <w:sz w:val="22"/>
        </w:rPr>
        <w:t>本集团制定了相关流程来确定持续的第三层次公允价值计量中合适的估值技术和输入</w:t>
      </w:r>
    </w:p>
    <w:p>
      <w:pPr>
        <w:autoSpaceDN w:val="0"/>
        <w:autoSpaceDE w:val="0"/>
        <w:widowControl/>
        <w:spacing w:line="220" w:lineRule="exact" w:before="62" w:after="0"/>
        <w:ind w:left="358" w:right="0" w:firstLine="0"/>
        <w:jc w:val="left"/>
      </w:pPr>
      <w:r>
        <w:rPr>
          <w:rFonts w:ascii="黑体" w:hAnsi="黑体" w:eastAsia="黑体"/>
          <w:b w:val="0"/>
          <w:i w:val="0"/>
          <w:color w:val="000000"/>
          <w:sz w:val="22"/>
        </w:rPr>
        <w:t>值。本集团风险管理部门定期复核相关流程以及公允价值确定的合适性。</w:t>
      </w:r>
    </w:p>
    <w:p>
      <w:pPr>
        <w:autoSpaceDN w:val="0"/>
        <w:autoSpaceDE w:val="0"/>
        <w:widowControl/>
        <w:spacing w:line="220" w:lineRule="exact" w:before="320" w:after="0"/>
        <w:ind w:left="358" w:right="0" w:firstLine="0"/>
        <w:jc w:val="left"/>
      </w:pPr>
      <w:r>
        <w:rPr>
          <w:rFonts w:ascii="黑体" w:hAnsi="黑体" w:eastAsia="黑体"/>
          <w:b w:val="0"/>
          <w:i w:val="0"/>
          <w:color w:val="000000"/>
          <w:sz w:val="22"/>
        </w:rPr>
        <w:t>第三层次公允价值计量的量化信息如下：</w:t>
      </w:r>
    </w:p>
    <w:p>
      <w:pPr>
        <w:autoSpaceDN w:val="0"/>
        <w:autoSpaceDE w:val="0"/>
        <w:widowControl/>
        <w:spacing w:line="180" w:lineRule="exact" w:before="304" w:after="16"/>
        <w:ind w:left="0" w:right="4780" w:firstLine="0"/>
        <w:jc w:val="right"/>
      </w:pP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3440.0" w:type="dxa"/>
      </w:tblPr>
      <w:tblGrid>
        <w:gridCol w:w="2255"/>
        <w:gridCol w:w="2255"/>
        <w:gridCol w:w="2255"/>
        <w:gridCol w:w="2255"/>
      </w:tblGrid>
      <w:tr>
        <w:trPr>
          <w:trHeight w:hRule="exact" w:val="184"/>
        </w:trPr>
        <w:tc>
          <w:tcPr>
            <w:tcW w:type="dxa" w:w="800"/>
            <w:tcBorders>
              <w:bottom w:sz="3.199999999999818" w:val="single" w:color="#000000"/>
            </w:tcBorders>
            <w:tcMar>
              <w:start w:w="0" w:type="dxa"/>
              <w:end w:w="0" w:type="dxa"/>
            </w:tcMar>
          </w:tcPr>
          <w:p>
            <w:pPr>
              <w:autoSpaceDN w:val="0"/>
              <w:autoSpaceDE w:val="0"/>
              <w:widowControl/>
              <w:spacing w:line="160" w:lineRule="exact" w:before="18" w:after="0"/>
              <w:ind w:left="0" w:right="0" w:firstLine="0"/>
              <w:jc w:val="center"/>
            </w:pPr>
            <w:r>
              <w:rPr>
                <w:rFonts w:ascii="黑体" w:hAnsi="黑体" w:eastAsia="黑体"/>
                <w:b w:val="0"/>
                <w:i w:val="0"/>
                <w:color w:val="000000"/>
                <w:sz w:val="16"/>
              </w:rPr>
              <w:t>的公允价值</w:t>
            </w:r>
          </w:p>
        </w:tc>
        <w:tc>
          <w:tcPr>
            <w:tcW w:type="dxa" w:w="1596"/>
            <w:tcBorders>
              <w:bottom w:sz="3.199999999999818" w:val="single" w:color="#000000"/>
            </w:tcBorders>
            <w:tcMar>
              <w:start w:w="0" w:type="dxa"/>
              <w:end w:w="0" w:type="dxa"/>
            </w:tcMar>
          </w:tcPr>
          <w:p>
            <w:pPr>
              <w:autoSpaceDN w:val="0"/>
              <w:autoSpaceDE w:val="0"/>
              <w:widowControl/>
              <w:spacing w:line="160" w:lineRule="exact" w:before="18" w:after="0"/>
              <w:ind w:left="0" w:right="180" w:firstLine="0"/>
              <w:jc w:val="right"/>
            </w:pPr>
            <w:r>
              <w:rPr>
                <w:rFonts w:ascii="黑体" w:hAnsi="黑体" w:eastAsia="黑体"/>
                <w:b w:val="0"/>
                <w:i w:val="0"/>
                <w:color w:val="000000"/>
                <w:sz w:val="16"/>
              </w:rPr>
              <w:t>估值技术</w:t>
            </w:r>
          </w:p>
        </w:tc>
        <w:tc>
          <w:tcPr>
            <w:tcW w:type="dxa" w:w="1122"/>
            <w:tcBorders>
              <w:bottom w:sz="3.199999999999818" w:val="single" w:color="#000000"/>
            </w:tcBorders>
            <w:tcMar>
              <w:start w:w="0" w:type="dxa"/>
              <w:end w:w="0" w:type="dxa"/>
            </w:tcMar>
          </w:tcPr>
          <w:p>
            <w:pPr>
              <w:autoSpaceDN w:val="0"/>
              <w:autoSpaceDE w:val="0"/>
              <w:widowControl/>
              <w:spacing w:line="160" w:lineRule="exact" w:before="18" w:after="0"/>
              <w:ind w:left="0" w:right="0" w:firstLine="0"/>
              <w:jc w:val="center"/>
            </w:pPr>
            <w:r>
              <w:rPr>
                <w:rFonts w:ascii="黑体" w:hAnsi="黑体" w:eastAsia="黑体"/>
                <w:b w:val="0"/>
                <w:i w:val="0"/>
                <w:color w:val="000000"/>
                <w:sz w:val="16"/>
              </w:rPr>
              <w:t>不可观察输入值</w:t>
            </w:r>
          </w:p>
        </w:tc>
        <w:tc>
          <w:tcPr>
            <w:tcW w:type="dxa" w:w="1718"/>
            <w:tcBorders>
              <w:bottom w:sz="3.199999999999818" w:val="single" w:color="#000000"/>
            </w:tcBorders>
            <w:tcMar>
              <w:start w:w="0" w:type="dxa"/>
              <w:end w:w="0" w:type="dxa"/>
            </w:tcMar>
          </w:tcPr>
          <w:p>
            <w:pPr>
              <w:autoSpaceDN w:val="0"/>
              <w:autoSpaceDE w:val="0"/>
              <w:widowControl/>
              <w:spacing w:line="160" w:lineRule="exact" w:before="18" w:after="0"/>
              <w:ind w:left="0" w:right="0" w:firstLine="0"/>
              <w:jc w:val="right"/>
            </w:pPr>
            <w:r>
              <w:rPr>
                <w:rFonts w:ascii="黑体" w:hAnsi="黑体" w:eastAsia="黑体"/>
                <w:b w:val="0"/>
                <w:i w:val="0"/>
                <w:color w:val="000000"/>
                <w:sz w:val="16"/>
              </w:rPr>
              <w:t>对公允价值的影响</w:t>
            </w:r>
          </w:p>
        </w:tc>
      </w:tr>
    </w:tbl>
    <w:p>
      <w:pPr>
        <w:autoSpaceDN w:val="0"/>
        <w:autoSpaceDE w:val="0"/>
        <w:widowControl/>
        <w:spacing w:line="178" w:lineRule="exact" w:before="228" w:after="14"/>
        <w:ind w:left="0" w:right="3366" w:firstLine="0"/>
        <w:jc w:val="right"/>
      </w:pPr>
      <w:r>
        <w:rPr>
          <w:rFonts w:ascii="黑体" w:hAnsi="黑体" w:eastAsia="黑体"/>
          <w:b w:val="0"/>
          <w:i w:val="0"/>
          <w:color w:val="000000"/>
          <w:sz w:val="16"/>
        </w:rPr>
        <w:t>净资产法</w:t>
      </w:r>
      <w:r>
        <w:rPr>
          <w:rFonts w:ascii="Calibri" w:hAnsi="Calibri" w:eastAsia="Calibri"/>
          <w:b w:val="0"/>
          <w:i w:val="0"/>
          <w:color w:val="000000"/>
          <w:sz w:val="16"/>
        </w:rPr>
        <w:t>/</w:t>
      </w:r>
      <w:r>
        <w:rPr>
          <w:rFonts w:ascii="黑体" w:hAnsi="黑体" w:eastAsia="黑体"/>
          <w:b w:val="0"/>
          <w:i w:val="0"/>
          <w:color w:val="000000"/>
          <w:sz w:val="16"/>
        </w:rPr>
        <w:t>上市公</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176"/>
        </w:trPr>
        <w:tc>
          <w:tcPr>
            <w:tcW w:type="dxa" w:w="1900"/>
            <w:vMerge w:val="restart"/>
            <w:tcBorders/>
            <w:tcMar>
              <w:start w:w="0" w:type="dxa"/>
              <w:end w:w="0" w:type="dxa"/>
            </w:tcMar>
            <w:tcMar>
              <w:start w:w="0" w:type="dxa"/>
              <w:end w:w="0" w:type="dxa"/>
            </w:tcMar>
          </w:tcPr>
          <w:p>
            <w:pPr>
              <w:autoSpaceDN w:val="0"/>
              <w:autoSpaceDE w:val="0"/>
              <w:widowControl/>
              <w:spacing w:line="162" w:lineRule="exact" w:before="222" w:after="0"/>
              <w:ind w:left="198" w:right="0" w:firstLine="0"/>
              <w:jc w:val="left"/>
            </w:pPr>
            <w:r>
              <w:rPr>
                <w:rFonts w:ascii="黑体" w:hAnsi="黑体" w:eastAsia="黑体"/>
                <w:b w:val="0"/>
                <w:i w:val="0"/>
                <w:color w:val="000000"/>
                <w:sz w:val="16"/>
              </w:rPr>
              <w:t>股权及股票投资</w:t>
            </w:r>
          </w:p>
        </w:tc>
        <w:tc>
          <w:tcPr>
            <w:tcW w:type="dxa" w:w="940"/>
            <w:vMerge w:val="restart"/>
            <w:tcBorders/>
            <w:tcMar>
              <w:start w:w="0" w:type="dxa"/>
              <w:end w:w="0" w:type="dxa"/>
            </w:tcMar>
            <w:tcMar>
              <w:start w:w="0" w:type="dxa"/>
              <w:end w:w="0" w:type="dxa"/>
            </w:tcMar>
          </w:tcPr>
          <w:p>
            <w:pPr>
              <w:autoSpaceDN w:val="0"/>
              <w:autoSpaceDE w:val="0"/>
              <w:widowControl/>
              <w:spacing w:line="162" w:lineRule="exact" w:before="222" w:after="0"/>
              <w:ind w:left="0" w:right="182" w:firstLine="0"/>
              <w:jc w:val="right"/>
            </w:pPr>
            <w:r>
              <w:rPr>
                <w:rFonts w:ascii="黑体" w:hAnsi="黑体" w:eastAsia="黑体"/>
                <w:b w:val="0"/>
                <w:i w:val="0"/>
                <w:color w:val="000000"/>
                <w:sz w:val="16"/>
              </w:rPr>
              <w:t>注</w:t>
            </w:r>
          </w:p>
        </w:tc>
        <w:tc>
          <w:tcPr>
            <w:tcW w:type="dxa" w:w="1340"/>
            <w:vMerge w:val="restart"/>
            <w:tcBorders/>
            <w:tcMar>
              <w:start w:w="0" w:type="dxa"/>
              <w:end w:w="0" w:type="dxa"/>
            </w:tcMar>
            <w:tcMar>
              <w:start w:w="0" w:type="dxa"/>
              <w:end w:w="0" w:type="dxa"/>
            </w:tcMar>
          </w:tcPr>
          <w:p>
            <w:pPr>
              <w:autoSpaceDN w:val="0"/>
              <w:autoSpaceDE w:val="0"/>
              <w:widowControl/>
              <w:spacing w:line="233" w:lineRule="auto" w:before="222" w:after="0"/>
              <w:ind w:left="218" w:right="0" w:firstLine="0"/>
              <w:jc w:val="left"/>
            </w:pPr>
            <w:r>
              <w:rPr>
                <w:rFonts w:ascii="Arial" w:hAnsi="Arial" w:eastAsia="Arial"/>
                <w:b w:val="0"/>
                <w:i w:val="0"/>
                <w:color w:val="000000"/>
                <w:sz w:val="16"/>
              </w:rPr>
              <w:t>1,646,353,563</w:t>
            </w:r>
          </w:p>
        </w:tc>
        <w:tc>
          <w:tcPr>
            <w:tcW w:type="dxa" w:w="1560"/>
            <w:tcBorders/>
            <w:tcMar>
              <w:start w:w="0" w:type="dxa"/>
              <w:end w:w="0" w:type="dxa"/>
            </w:tcMar>
          </w:tcPr>
          <w:p>
            <w:pPr>
              <w:autoSpaceDN w:val="0"/>
              <w:autoSpaceDE w:val="0"/>
              <w:widowControl/>
              <w:spacing w:line="178" w:lineRule="exact" w:before="0" w:after="0"/>
              <w:ind w:left="130" w:right="0" w:firstLine="0"/>
              <w:jc w:val="left"/>
            </w:pPr>
            <w:r>
              <w:rPr>
                <w:rFonts w:ascii="黑体" w:hAnsi="黑体" w:eastAsia="黑体"/>
                <w:b w:val="0"/>
                <w:i w:val="0"/>
                <w:color w:val="000000"/>
                <w:sz w:val="16"/>
              </w:rPr>
              <w:t>司比较法</w:t>
            </w:r>
            <w:r>
              <w:rPr>
                <w:rFonts w:ascii="Calibri" w:hAnsi="Calibri" w:eastAsia="Calibri"/>
                <w:b w:val="0"/>
                <w:i w:val="0"/>
                <w:color w:val="000000"/>
                <w:sz w:val="16"/>
              </w:rPr>
              <w:t>/</w:t>
            </w:r>
            <w:r>
              <w:rPr>
                <w:rFonts w:ascii="黑体" w:hAnsi="黑体" w:eastAsia="黑体"/>
                <w:b w:val="0"/>
                <w:i w:val="0"/>
                <w:color w:val="000000"/>
                <w:sz w:val="16"/>
              </w:rPr>
              <w:t>参考最</w:t>
            </w:r>
          </w:p>
        </w:tc>
        <w:tc>
          <w:tcPr>
            <w:tcW w:type="dxa" w:w="1420"/>
            <w:vMerge w:val="restart"/>
            <w:tcBorders/>
            <w:tcMar>
              <w:start w:w="0" w:type="dxa"/>
              <w:end w:w="0" w:type="dxa"/>
            </w:tcMar>
            <w:tcMar>
              <w:start w:w="0" w:type="dxa"/>
              <w:end w:w="0" w:type="dxa"/>
            </w:tcMar>
          </w:tcPr>
          <w:p>
            <w:pPr>
              <w:autoSpaceDN w:val="0"/>
              <w:autoSpaceDE w:val="0"/>
              <w:widowControl/>
              <w:spacing w:line="162" w:lineRule="exact" w:before="222" w:after="0"/>
              <w:ind w:left="258" w:right="0" w:firstLine="0"/>
              <w:jc w:val="left"/>
            </w:pPr>
            <w:r>
              <w:rPr>
                <w:rFonts w:ascii="黑体" w:hAnsi="黑体" w:eastAsia="黑体"/>
                <w:b w:val="0"/>
                <w:i w:val="0"/>
                <w:color w:val="000000"/>
                <w:sz w:val="16"/>
              </w:rPr>
              <w:t>流动性折价</w:t>
            </w:r>
          </w:p>
        </w:tc>
        <w:tc>
          <w:tcPr>
            <w:tcW w:type="dxa" w:w="1520"/>
            <w:tcBorders/>
            <w:tcMar>
              <w:start w:w="0" w:type="dxa"/>
              <w:end w:w="0" w:type="dxa"/>
            </w:tcMar>
          </w:tcPr>
          <w:p>
            <w:pPr>
              <w:autoSpaceDN w:val="0"/>
              <w:autoSpaceDE w:val="0"/>
              <w:widowControl/>
              <w:spacing w:line="160" w:lineRule="exact" w:before="14" w:after="0"/>
              <w:ind w:left="0" w:right="162" w:firstLine="0"/>
              <w:jc w:val="right"/>
            </w:pPr>
            <w:r>
              <w:rPr>
                <w:rFonts w:ascii="黑体" w:hAnsi="黑体" w:eastAsia="黑体"/>
                <w:b w:val="0"/>
                <w:i w:val="0"/>
                <w:color w:val="000000"/>
                <w:sz w:val="16"/>
              </w:rPr>
              <w:t>折扣越高，</w:t>
            </w:r>
          </w:p>
        </w:tc>
      </w:tr>
      <w:tr>
        <w:trPr>
          <w:trHeight w:hRule="exact" w:val="240"/>
        </w:trPr>
        <w:tc>
          <w:tcPr>
            <w:tcW w:type="dxa" w:w="1503"/>
            <w:vMerge/>
            <w:tcBorders/>
          </w:tcPr>
          <w:p/>
        </w:tc>
        <w:tc>
          <w:tcPr>
            <w:tcW w:type="dxa" w:w="1503"/>
            <w:vMerge/>
            <w:tcBorders/>
          </w:tcPr>
          <w:p/>
        </w:tc>
        <w:tc>
          <w:tcPr>
            <w:tcW w:type="dxa" w:w="1503"/>
            <w:vMerge/>
            <w:tcBorders/>
          </w:tcPr>
          <w:p/>
        </w:tc>
        <w:tc>
          <w:tcPr>
            <w:tcW w:type="dxa" w:w="1560"/>
            <w:tcBorders/>
            <w:tcMar>
              <w:start w:w="0" w:type="dxa"/>
              <w:end w:w="0" w:type="dxa"/>
            </w:tcMar>
          </w:tcPr>
          <w:p>
            <w:pPr>
              <w:autoSpaceDN w:val="0"/>
              <w:autoSpaceDE w:val="0"/>
              <w:widowControl/>
              <w:spacing w:line="162" w:lineRule="exact" w:before="46" w:after="0"/>
              <w:ind w:left="0" w:right="246" w:firstLine="0"/>
              <w:jc w:val="right"/>
            </w:pPr>
            <w:r>
              <w:rPr>
                <w:rFonts w:ascii="黑体" w:hAnsi="黑体" w:eastAsia="黑体"/>
                <w:b w:val="0"/>
                <w:i w:val="0"/>
                <w:color w:val="000000"/>
                <w:sz w:val="16"/>
              </w:rPr>
              <w:t>近交易价格</w:t>
            </w:r>
          </w:p>
        </w:tc>
        <w:tc>
          <w:tcPr>
            <w:tcW w:type="dxa" w:w="1503"/>
            <w:vMerge/>
            <w:tcBorders/>
          </w:tcPr>
          <w:p/>
        </w:tc>
        <w:tc>
          <w:tcPr>
            <w:tcW w:type="dxa" w:w="1520"/>
            <w:tcBorders/>
            <w:tcMar>
              <w:start w:w="0" w:type="dxa"/>
              <w:end w:w="0" w:type="dxa"/>
            </w:tcMar>
          </w:tcPr>
          <w:p>
            <w:pPr>
              <w:autoSpaceDN w:val="0"/>
              <w:autoSpaceDE w:val="0"/>
              <w:widowControl/>
              <w:spacing w:line="162" w:lineRule="exact" w:before="46" w:after="0"/>
              <w:ind w:left="0" w:right="162" w:firstLine="0"/>
              <w:jc w:val="right"/>
            </w:pPr>
            <w:r>
              <w:rPr>
                <w:rFonts w:ascii="黑体" w:hAnsi="黑体" w:eastAsia="黑体"/>
                <w:b w:val="0"/>
                <w:i w:val="0"/>
                <w:color w:val="000000"/>
                <w:sz w:val="16"/>
              </w:rPr>
              <w:t>公允价值越低</w:t>
            </w:r>
          </w:p>
        </w:tc>
      </w:tr>
    </w:tbl>
    <w:p>
      <w:pPr>
        <w:autoSpaceDN w:val="0"/>
        <w:autoSpaceDE w:val="0"/>
        <w:widowControl/>
        <w:spacing w:line="160" w:lineRule="exact" w:before="14" w:after="24"/>
        <w:ind w:left="0" w:right="342" w:firstLine="0"/>
        <w:jc w:val="right"/>
      </w:pPr>
      <w:r>
        <w:rPr>
          <w:rFonts w:ascii="黑体" w:hAnsi="黑体" w:eastAsia="黑体"/>
          <w:b w:val="0"/>
          <w:i w:val="0"/>
          <w:color w:val="000000"/>
          <w:sz w:val="16"/>
        </w:rPr>
        <w:t>风险调整折现率</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182"/>
        </w:trPr>
        <w:tc>
          <w:tcPr>
            <w:tcW w:type="dxa" w:w="2240"/>
            <w:tcBorders/>
            <w:tcMar>
              <w:start w:w="0" w:type="dxa"/>
              <w:end w:w="0" w:type="dxa"/>
            </w:tcMar>
          </w:tcPr>
          <w:p>
            <w:pPr>
              <w:autoSpaceDN w:val="0"/>
              <w:autoSpaceDE w:val="0"/>
              <w:widowControl/>
              <w:spacing w:line="160" w:lineRule="exact" w:before="22" w:after="0"/>
              <w:ind w:left="198" w:right="0" w:firstLine="0"/>
              <w:jc w:val="left"/>
            </w:pPr>
            <w:r>
              <w:rPr>
                <w:rFonts w:ascii="黑体" w:hAnsi="黑体" w:eastAsia="黑体"/>
                <w:b w:val="0"/>
                <w:i w:val="0"/>
                <w:color w:val="000000"/>
                <w:sz w:val="16"/>
              </w:rPr>
              <w:t>债券及债权投资</w:t>
            </w:r>
          </w:p>
        </w:tc>
        <w:tc>
          <w:tcPr>
            <w:tcW w:type="dxa" w:w="1940"/>
            <w:vMerge w:val="restart"/>
            <w:tcBorders/>
            <w:tcMar>
              <w:start w:w="0" w:type="dxa"/>
              <w:end w:w="0" w:type="dxa"/>
            </w:tcMar>
            <w:tcMar>
              <w:start w:w="0" w:type="dxa"/>
              <w:end w:w="0" w:type="dxa"/>
            </w:tcMar>
          </w:tcPr>
          <w:p>
            <w:pPr>
              <w:autoSpaceDN w:val="0"/>
              <w:autoSpaceDE w:val="0"/>
              <w:widowControl/>
              <w:spacing w:line="233" w:lineRule="auto" w:before="24" w:after="0"/>
              <w:ind w:left="0" w:right="100" w:firstLine="0"/>
              <w:jc w:val="right"/>
            </w:pPr>
            <w:r>
              <w:rPr>
                <w:rFonts w:ascii="Arial" w:hAnsi="Arial" w:eastAsia="Arial"/>
                <w:b w:val="0"/>
                <w:i w:val="0"/>
                <w:color w:val="000000"/>
                <w:sz w:val="16"/>
              </w:rPr>
              <w:t>13,235,721</w:t>
            </w:r>
          </w:p>
        </w:tc>
        <w:tc>
          <w:tcPr>
            <w:tcW w:type="dxa" w:w="1400"/>
            <w:tcBorders/>
            <w:tcMar>
              <w:start w:w="0" w:type="dxa"/>
              <w:end w:w="0" w:type="dxa"/>
            </w:tcMar>
          </w:tcPr>
          <w:p>
            <w:pPr>
              <w:autoSpaceDN w:val="0"/>
              <w:autoSpaceDE w:val="0"/>
              <w:widowControl/>
              <w:spacing w:line="160" w:lineRule="exact" w:before="22" w:after="0"/>
              <w:ind w:left="192" w:right="0" w:firstLine="0"/>
              <w:jc w:val="left"/>
            </w:pPr>
            <w:r>
              <w:rPr>
                <w:rFonts w:ascii="黑体" w:hAnsi="黑体" w:eastAsia="黑体"/>
                <w:b w:val="0"/>
                <w:i w:val="0"/>
                <w:color w:val="000000"/>
                <w:sz w:val="16"/>
              </w:rPr>
              <w:t>现金流量折现法</w:t>
            </w:r>
          </w:p>
        </w:tc>
        <w:tc>
          <w:tcPr>
            <w:tcW w:type="dxa" w:w="134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风险调整折现率</w:t>
            </w:r>
          </w:p>
        </w:tc>
        <w:tc>
          <w:tcPr>
            <w:tcW w:type="dxa" w:w="176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越高，公允价值越低</w:t>
            </w:r>
          </w:p>
        </w:tc>
      </w:tr>
      <w:tr>
        <w:trPr>
          <w:trHeight w:hRule="exact" w:val="140"/>
        </w:trPr>
        <w:tc>
          <w:tcPr>
            <w:tcW w:type="dxa" w:w="2240"/>
            <w:vMerge w:val="restart"/>
            <w:tcBorders/>
            <w:tcMar>
              <w:start w:w="0" w:type="dxa"/>
              <w:end w:w="0" w:type="dxa"/>
            </w:tcMar>
            <w:tcMar>
              <w:start w:w="0" w:type="dxa"/>
              <w:end w:w="0" w:type="dxa"/>
            </w:tcMar>
            <w:tcMar>
              <w:start w:w="0" w:type="dxa"/>
              <w:end w:w="0" w:type="dxa"/>
            </w:tcMar>
          </w:tcPr>
          <w:p>
            <w:pPr>
              <w:autoSpaceDN w:val="0"/>
              <w:autoSpaceDE w:val="0"/>
              <w:widowControl/>
              <w:spacing w:line="162" w:lineRule="exact" w:before="254" w:after="0"/>
              <w:ind w:left="198" w:right="0" w:firstLine="0"/>
              <w:jc w:val="left"/>
            </w:pPr>
            <w:r>
              <w:rPr>
                <w:rFonts w:ascii="黑体" w:hAnsi="黑体" w:eastAsia="黑体"/>
                <w:b w:val="0"/>
                <w:i w:val="0"/>
                <w:color w:val="000000"/>
                <w:sz w:val="16"/>
              </w:rPr>
              <w:t>信托计划</w:t>
            </w:r>
          </w:p>
        </w:tc>
        <w:tc>
          <w:tcPr>
            <w:tcW w:type="dxa" w:w="1804"/>
            <w:vMerge/>
            <w:tcBorders/>
          </w:tcPr>
          <w:p/>
        </w:tc>
        <w:tc>
          <w:tcPr>
            <w:tcW w:type="dxa" w:w="1400"/>
            <w:vMerge w:val="restart"/>
            <w:tcBorders/>
            <w:tcMar>
              <w:start w:w="0" w:type="dxa"/>
              <w:end w:w="0" w:type="dxa"/>
            </w:tcMar>
            <w:tcMar>
              <w:start w:w="0" w:type="dxa"/>
              <w:end w:w="0" w:type="dxa"/>
            </w:tcMar>
          </w:tcPr>
          <w:p>
            <w:pPr>
              <w:autoSpaceDN w:val="0"/>
              <w:autoSpaceDE w:val="0"/>
              <w:widowControl/>
              <w:spacing w:line="178" w:lineRule="exact" w:before="48" w:after="0"/>
              <w:ind w:left="0" w:right="0" w:firstLine="0"/>
              <w:jc w:val="center"/>
            </w:pPr>
            <w:r>
              <w:rPr>
                <w:rFonts w:ascii="黑体" w:hAnsi="黑体" w:eastAsia="黑体"/>
                <w:b w:val="0"/>
                <w:i w:val="0"/>
                <w:color w:val="000000"/>
                <w:sz w:val="16"/>
              </w:rPr>
              <w:t>净资产法</w:t>
            </w:r>
            <w:r>
              <w:rPr>
                <w:rFonts w:ascii="Calibri" w:hAnsi="Calibri" w:eastAsia="Calibri"/>
                <w:b w:val="0"/>
                <w:i w:val="0"/>
                <w:color w:val="000000"/>
                <w:sz w:val="16"/>
              </w:rPr>
              <w:t>/</w:t>
            </w:r>
            <w:r>
              <w:rPr>
                <w:rFonts w:ascii="黑体" w:hAnsi="黑体" w:eastAsia="黑体"/>
                <w:b w:val="0"/>
                <w:i w:val="0"/>
                <w:color w:val="000000"/>
                <w:sz w:val="16"/>
              </w:rPr>
              <w:t>现金流</w:t>
            </w:r>
          </w:p>
        </w:tc>
        <w:tc>
          <w:tcPr>
            <w:tcW w:type="dxa" w:w="1340"/>
            <w:vMerge w:val="restart"/>
            <w:tcBorders/>
            <w:tcMar>
              <w:start w:w="0" w:type="dxa"/>
              <w:end w:w="0" w:type="dxa"/>
            </w:tcMar>
            <w:tcMar>
              <w:start w:w="0" w:type="dxa"/>
              <w:end w:w="0" w:type="dxa"/>
            </w:tcMar>
            <w:tcMar>
              <w:start w:w="0" w:type="dxa"/>
              <w:end w:w="0" w:type="dxa"/>
            </w:tcMar>
          </w:tcPr>
          <w:p>
            <w:pPr>
              <w:autoSpaceDN w:val="0"/>
              <w:autoSpaceDE w:val="0"/>
              <w:widowControl/>
              <w:spacing w:line="162" w:lineRule="exact" w:before="254" w:after="0"/>
              <w:ind w:left="0" w:right="0" w:firstLine="0"/>
              <w:jc w:val="center"/>
            </w:pPr>
            <w:r>
              <w:rPr>
                <w:rFonts w:ascii="黑体" w:hAnsi="黑体" w:eastAsia="黑体"/>
                <w:b w:val="0"/>
                <w:i w:val="0"/>
                <w:color w:val="000000"/>
                <w:sz w:val="16"/>
              </w:rPr>
              <w:t>风险调整折现率</w:t>
            </w:r>
          </w:p>
        </w:tc>
        <w:tc>
          <w:tcPr>
            <w:tcW w:type="dxa" w:w="1760"/>
            <w:vMerge w:val="restart"/>
            <w:tcBorders/>
            <w:tcMar>
              <w:start w:w="0" w:type="dxa"/>
              <w:end w:w="0" w:type="dxa"/>
            </w:tcMar>
            <w:tcMar>
              <w:start w:w="0" w:type="dxa"/>
              <w:end w:w="0" w:type="dxa"/>
            </w:tcMar>
          </w:tcPr>
          <w:p>
            <w:pPr>
              <w:autoSpaceDN w:val="0"/>
              <w:autoSpaceDE w:val="0"/>
              <w:widowControl/>
              <w:spacing w:line="162" w:lineRule="exact" w:before="48" w:after="0"/>
              <w:ind w:left="0" w:right="162" w:firstLine="0"/>
              <w:jc w:val="right"/>
            </w:pPr>
            <w:r>
              <w:rPr>
                <w:rFonts w:ascii="黑体" w:hAnsi="黑体" w:eastAsia="黑体"/>
                <w:b w:val="0"/>
                <w:i w:val="0"/>
                <w:color w:val="000000"/>
                <w:sz w:val="16"/>
              </w:rPr>
              <w:t>风险调整折现率</w:t>
            </w:r>
          </w:p>
        </w:tc>
      </w:tr>
      <w:tr>
        <w:trPr>
          <w:trHeight w:hRule="exact" w:val="96"/>
        </w:trPr>
        <w:tc>
          <w:tcPr>
            <w:tcW w:type="dxa" w:w="1804"/>
            <w:vMerge/>
            <w:tcBorders/>
          </w:tcPr>
          <w:p/>
        </w:tc>
        <w:tc>
          <w:tcPr>
            <w:tcW w:type="dxa" w:w="1940"/>
            <w:vMerge w:val="restart"/>
            <w:tcBorders/>
            <w:tcMar>
              <w:start w:w="0" w:type="dxa"/>
              <w:end w:w="0" w:type="dxa"/>
            </w:tcMar>
            <w:tcMar>
              <w:start w:w="0" w:type="dxa"/>
              <w:end w:w="0" w:type="dxa"/>
            </w:tcMar>
          </w:tcPr>
          <w:p>
            <w:pPr>
              <w:autoSpaceDN w:val="0"/>
              <w:autoSpaceDE w:val="0"/>
              <w:widowControl/>
              <w:spacing w:line="230" w:lineRule="auto" w:before="118" w:after="0"/>
              <w:ind w:left="0" w:right="100" w:firstLine="0"/>
              <w:jc w:val="right"/>
            </w:pPr>
            <w:r>
              <w:rPr>
                <w:rFonts w:ascii="Arial" w:hAnsi="Arial" w:eastAsia="Arial"/>
                <w:b w:val="0"/>
                <w:i w:val="0"/>
                <w:color w:val="000000"/>
                <w:sz w:val="16"/>
              </w:rPr>
              <w:t>113,501,151</w:t>
            </w:r>
          </w:p>
        </w:tc>
        <w:tc>
          <w:tcPr>
            <w:tcW w:type="dxa" w:w="1804"/>
            <w:vMerge/>
            <w:tcBorders/>
          </w:tcPr>
          <w:p/>
        </w:tc>
        <w:tc>
          <w:tcPr>
            <w:tcW w:type="dxa" w:w="1804"/>
            <w:vMerge/>
            <w:tcBorders/>
          </w:tcPr>
          <w:p/>
        </w:tc>
        <w:tc>
          <w:tcPr>
            <w:tcW w:type="dxa" w:w="1804"/>
            <w:vMerge/>
            <w:tcBorders/>
          </w:tcPr>
          <w:p/>
        </w:tc>
      </w:tr>
      <w:tr>
        <w:trPr>
          <w:trHeight w:hRule="exact" w:val="214"/>
        </w:trPr>
        <w:tc>
          <w:tcPr>
            <w:tcW w:type="dxa" w:w="1804"/>
            <w:vMerge/>
            <w:tcBorders/>
          </w:tcPr>
          <w:p/>
        </w:tc>
        <w:tc>
          <w:tcPr>
            <w:tcW w:type="dxa" w:w="1804"/>
            <w:vMerge/>
            <w:tcBorders/>
          </w:tcPr>
          <w:p/>
        </w:tc>
        <w:tc>
          <w:tcPr>
            <w:tcW w:type="dxa" w:w="1400"/>
            <w:tcBorders/>
            <w:tcMar>
              <w:start w:w="0" w:type="dxa"/>
              <w:end w:w="0" w:type="dxa"/>
            </w:tcMar>
          </w:tcPr>
          <w:p>
            <w:pPr>
              <w:autoSpaceDN w:val="0"/>
              <w:autoSpaceDE w:val="0"/>
              <w:widowControl/>
              <w:spacing w:line="162" w:lineRule="exact" w:before="18" w:after="0"/>
              <w:ind w:left="0" w:right="86" w:firstLine="0"/>
              <w:jc w:val="right"/>
            </w:pPr>
            <w:r>
              <w:rPr>
                <w:rFonts w:ascii="黑体" w:hAnsi="黑体" w:eastAsia="黑体"/>
                <w:b w:val="0"/>
                <w:i w:val="0"/>
                <w:color w:val="000000"/>
                <w:sz w:val="16"/>
              </w:rPr>
              <w:t>量折现法</w:t>
            </w:r>
          </w:p>
        </w:tc>
        <w:tc>
          <w:tcPr>
            <w:tcW w:type="dxa" w:w="1804"/>
            <w:vMerge/>
            <w:tcBorders/>
          </w:tcPr>
          <w:p/>
        </w:tc>
        <w:tc>
          <w:tcPr>
            <w:tcW w:type="dxa" w:w="1760"/>
            <w:tcBorders/>
            <w:tcMar>
              <w:start w:w="0" w:type="dxa"/>
              <w:end w:w="0" w:type="dxa"/>
            </w:tcMar>
          </w:tcPr>
          <w:p>
            <w:pPr>
              <w:autoSpaceDN w:val="0"/>
              <w:autoSpaceDE w:val="0"/>
              <w:widowControl/>
              <w:spacing w:line="162" w:lineRule="exact" w:before="18" w:after="0"/>
              <w:ind w:left="0" w:right="0" w:firstLine="0"/>
              <w:jc w:val="center"/>
            </w:pPr>
            <w:r>
              <w:rPr>
                <w:rFonts w:ascii="黑体" w:hAnsi="黑体" w:eastAsia="黑体"/>
                <w:b w:val="0"/>
                <w:i w:val="0"/>
                <w:color w:val="000000"/>
                <w:sz w:val="16"/>
              </w:rPr>
              <w:t>越高，公允价值越低</w:t>
            </w:r>
          </w:p>
        </w:tc>
      </w:tr>
    </w:tbl>
    <w:p>
      <w:pPr>
        <w:autoSpaceDN w:val="0"/>
        <w:autoSpaceDE w:val="0"/>
        <w:widowControl/>
        <w:spacing w:line="160" w:lineRule="exact" w:before="14" w:after="24"/>
        <w:ind w:left="0" w:right="342" w:firstLine="0"/>
        <w:jc w:val="right"/>
      </w:pPr>
      <w:r>
        <w:rPr>
          <w:rFonts w:ascii="黑体" w:hAnsi="黑体" w:eastAsia="黑体"/>
          <w:b w:val="0"/>
          <w:i w:val="0"/>
          <w:color w:val="000000"/>
          <w:sz w:val="16"/>
        </w:rPr>
        <w:t>折扣越高，</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18"/>
        </w:trPr>
        <w:tc>
          <w:tcPr>
            <w:tcW w:type="dxa" w:w="2000"/>
            <w:tcBorders/>
            <w:tcMar>
              <w:start w:w="0" w:type="dxa"/>
              <w:end w:w="0" w:type="dxa"/>
            </w:tcMar>
          </w:tcPr>
          <w:p>
            <w:pPr>
              <w:autoSpaceDN w:val="0"/>
              <w:autoSpaceDE w:val="0"/>
              <w:widowControl/>
              <w:spacing w:line="160" w:lineRule="exact" w:before="22" w:after="0"/>
              <w:ind w:left="198" w:right="0" w:firstLine="0"/>
              <w:jc w:val="left"/>
            </w:pPr>
            <w:r>
              <w:rPr>
                <w:rFonts w:ascii="黑体" w:hAnsi="黑体" w:eastAsia="黑体"/>
                <w:b w:val="0"/>
                <w:i w:val="0"/>
                <w:color w:val="000000"/>
                <w:sz w:val="16"/>
              </w:rPr>
              <w:t>资管产品</w:t>
            </w:r>
          </w:p>
        </w:tc>
        <w:tc>
          <w:tcPr>
            <w:tcW w:type="dxa" w:w="2220"/>
            <w:tcBorders/>
            <w:tcMar>
              <w:start w:w="0" w:type="dxa"/>
              <w:end w:w="0" w:type="dxa"/>
            </w:tcMar>
          </w:tcPr>
          <w:p>
            <w:pPr>
              <w:autoSpaceDN w:val="0"/>
              <w:autoSpaceDE w:val="0"/>
              <w:widowControl/>
              <w:spacing w:line="233" w:lineRule="auto" w:before="24" w:after="0"/>
              <w:ind w:left="0" w:right="140" w:firstLine="0"/>
              <w:jc w:val="right"/>
            </w:pPr>
            <w:r>
              <w:rPr>
                <w:rFonts w:ascii="Arial" w:hAnsi="Arial" w:eastAsia="Arial"/>
                <w:b w:val="0"/>
                <w:i w:val="0"/>
                <w:color w:val="000000"/>
                <w:sz w:val="16"/>
              </w:rPr>
              <w:t>152,597,254</w:t>
            </w:r>
          </w:p>
        </w:tc>
        <w:tc>
          <w:tcPr>
            <w:tcW w:type="dxa" w:w="1520"/>
            <w:tcBorders/>
            <w:tcMar>
              <w:start w:w="0" w:type="dxa"/>
              <w:end w:w="0" w:type="dxa"/>
            </w:tcMar>
          </w:tcPr>
          <w:p>
            <w:pPr>
              <w:autoSpaceDN w:val="0"/>
              <w:autoSpaceDE w:val="0"/>
              <w:widowControl/>
              <w:spacing w:line="160" w:lineRule="exact" w:before="22" w:after="0"/>
              <w:ind w:left="152" w:right="0" w:firstLine="0"/>
              <w:jc w:val="left"/>
            </w:pPr>
            <w:r>
              <w:rPr>
                <w:rFonts w:ascii="黑体" w:hAnsi="黑体" w:eastAsia="黑体"/>
                <w:b w:val="0"/>
                <w:i w:val="0"/>
                <w:color w:val="000000"/>
                <w:sz w:val="16"/>
              </w:rPr>
              <w:t>上市公司比较法</w:t>
            </w:r>
          </w:p>
        </w:tc>
        <w:tc>
          <w:tcPr>
            <w:tcW w:type="dxa" w:w="1420"/>
            <w:tcBorders/>
            <w:tcMar>
              <w:start w:w="0" w:type="dxa"/>
              <w:end w:w="0" w:type="dxa"/>
            </w:tcMar>
          </w:tcPr>
          <w:p>
            <w:pPr>
              <w:autoSpaceDN w:val="0"/>
              <w:autoSpaceDE w:val="0"/>
              <w:widowControl/>
              <w:spacing w:line="160" w:lineRule="exact" w:before="22" w:after="0"/>
              <w:ind w:left="258" w:right="0" w:firstLine="0"/>
              <w:jc w:val="left"/>
            </w:pPr>
            <w:r>
              <w:rPr>
                <w:rFonts w:ascii="黑体" w:hAnsi="黑体" w:eastAsia="黑体"/>
                <w:b w:val="0"/>
                <w:i w:val="0"/>
                <w:color w:val="000000"/>
                <w:sz w:val="16"/>
              </w:rPr>
              <w:t>流动性折价</w:t>
            </w:r>
          </w:p>
        </w:tc>
        <w:tc>
          <w:tcPr>
            <w:tcW w:type="dxa" w:w="1520"/>
            <w:tcBorders/>
            <w:tcMar>
              <w:start w:w="0" w:type="dxa"/>
              <w:end w:w="0" w:type="dxa"/>
            </w:tcMar>
          </w:tcPr>
          <w:p>
            <w:pPr>
              <w:autoSpaceDN w:val="0"/>
              <w:autoSpaceDE w:val="0"/>
              <w:widowControl/>
              <w:spacing w:line="160" w:lineRule="exact" w:before="22" w:after="0"/>
              <w:ind w:left="0" w:right="162" w:firstLine="0"/>
              <w:jc w:val="right"/>
            </w:pPr>
            <w:r>
              <w:rPr>
                <w:rFonts w:ascii="黑体" w:hAnsi="黑体" w:eastAsia="黑体"/>
                <w:b w:val="0"/>
                <w:i w:val="0"/>
                <w:color w:val="000000"/>
                <w:sz w:val="16"/>
              </w:rPr>
              <w:t>公允价值越低</w:t>
            </w:r>
          </w:p>
        </w:tc>
      </w:tr>
    </w:tbl>
    <w:p>
      <w:pPr>
        <w:autoSpaceDN w:val="0"/>
        <w:autoSpaceDE w:val="0"/>
        <w:widowControl/>
        <w:spacing w:line="178" w:lineRule="exact" w:before="14" w:after="14"/>
        <w:ind w:left="0" w:right="3366" w:firstLine="0"/>
        <w:jc w:val="right"/>
      </w:pPr>
      <w:r>
        <w:rPr>
          <w:rFonts w:ascii="黑体" w:hAnsi="黑体" w:eastAsia="黑体"/>
          <w:b w:val="0"/>
          <w:i w:val="0"/>
          <w:color w:val="000000"/>
          <w:sz w:val="16"/>
        </w:rPr>
        <w:t>布莱克</w:t>
      </w:r>
      <w:r>
        <w:rPr>
          <w:rFonts w:ascii="Calibri" w:hAnsi="Calibri" w:eastAsia="Calibri"/>
          <w:b w:val="0"/>
          <w:i w:val="0"/>
          <w:color w:val="000000"/>
          <w:sz w:val="16"/>
        </w:rPr>
        <w:t>–</w:t>
      </w:r>
      <w:r>
        <w:rPr>
          <w:rFonts w:ascii="黑体" w:hAnsi="黑体" w:eastAsia="黑体"/>
          <w:b w:val="0"/>
          <w:i w:val="0"/>
          <w:color w:val="000000"/>
          <w:sz w:val="16"/>
        </w:rPr>
        <w:t>斯科尔斯</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187"/>
        </w:trPr>
        <w:tc>
          <w:tcPr>
            <w:tcW w:type="dxa" w:w="2800"/>
            <w:vMerge w:val="restart"/>
            <w:tcBorders/>
            <w:tcMar>
              <w:start w:w="0" w:type="dxa"/>
              <w:end w:w="0" w:type="dxa"/>
            </w:tcMar>
            <w:tcMar>
              <w:start w:w="0" w:type="dxa"/>
              <w:end w:w="0" w:type="dxa"/>
            </w:tcMar>
          </w:tcPr>
          <w:p>
            <w:pPr>
              <w:autoSpaceDN w:val="0"/>
              <w:autoSpaceDE w:val="0"/>
              <w:widowControl/>
              <w:spacing w:line="162" w:lineRule="exact" w:before="222" w:after="0"/>
              <w:ind w:left="198" w:right="0" w:firstLine="0"/>
              <w:jc w:val="left"/>
            </w:pPr>
            <w:r>
              <w:rPr>
                <w:rFonts w:ascii="黑体" w:hAnsi="黑体" w:eastAsia="黑体"/>
                <w:b w:val="0"/>
                <w:i w:val="0"/>
                <w:color w:val="000000"/>
                <w:sz w:val="16"/>
              </w:rPr>
              <w:t>场外衍生品及挂钩衍生产品的</w:t>
            </w:r>
          </w:p>
        </w:tc>
        <w:tc>
          <w:tcPr>
            <w:tcW w:type="dxa" w:w="1340"/>
            <w:vMerge w:val="restart"/>
            <w:tcBorders/>
            <w:tcMar>
              <w:start w:w="0" w:type="dxa"/>
              <w:end w:w="0" w:type="dxa"/>
            </w:tcMar>
            <w:tcMar>
              <w:start w:w="0" w:type="dxa"/>
              <w:end w:w="0" w:type="dxa"/>
            </w:tcMar>
            <w:tcMar>
              <w:start w:w="0" w:type="dxa"/>
              <w:end w:w="0" w:type="dxa"/>
            </w:tcMar>
          </w:tcPr>
          <w:p>
            <w:pPr>
              <w:autoSpaceDN w:val="0"/>
              <w:autoSpaceDE w:val="0"/>
              <w:widowControl/>
              <w:spacing w:line="230" w:lineRule="auto" w:before="432" w:after="0"/>
              <w:ind w:left="0" w:right="60" w:firstLine="0"/>
              <w:jc w:val="right"/>
            </w:pPr>
            <w:r>
              <w:rPr>
                <w:rFonts w:ascii="Arial" w:hAnsi="Arial" w:eastAsia="Arial"/>
                <w:b w:val="0"/>
                <w:i w:val="0"/>
                <w:color w:val="000000"/>
                <w:sz w:val="16"/>
              </w:rPr>
              <w:t>26,011,496</w:t>
            </w:r>
          </w:p>
        </w:tc>
        <w:tc>
          <w:tcPr>
            <w:tcW w:type="dxa" w:w="1440"/>
            <w:tcBorders/>
            <w:tcMar>
              <w:start w:w="0" w:type="dxa"/>
              <w:end w:w="0" w:type="dxa"/>
            </w:tcMar>
          </w:tcPr>
          <w:p>
            <w:pPr>
              <w:autoSpaceDN w:val="0"/>
              <w:autoSpaceDE w:val="0"/>
              <w:widowControl/>
              <w:spacing w:line="178" w:lineRule="exact" w:before="8" w:after="0"/>
              <w:ind w:left="170" w:right="0" w:firstLine="0"/>
              <w:jc w:val="left"/>
            </w:pPr>
            <w:r>
              <w:rPr>
                <w:rFonts w:ascii="黑体" w:hAnsi="黑体" w:eastAsia="黑体"/>
                <w:b w:val="0"/>
                <w:i w:val="0"/>
                <w:color w:val="000000"/>
                <w:sz w:val="16"/>
              </w:rPr>
              <w:t>期权定价模型</w:t>
            </w:r>
            <w:r>
              <w:rPr>
                <w:rFonts w:ascii="Calibri" w:hAnsi="Calibri" w:eastAsia="Calibri"/>
                <w:b w:val="0"/>
                <w:i w:val="0"/>
                <w:color w:val="000000"/>
                <w:sz w:val="16"/>
              </w:rPr>
              <w:t>/</w:t>
            </w:r>
            <w:r>
              <w:rPr>
                <w:rFonts w:ascii="黑体" w:hAnsi="黑体" w:eastAsia="黑体"/>
                <w:b w:val="0"/>
                <w:i w:val="0"/>
                <w:color w:val="000000"/>
                <w:sz w:val="16"/>
              </w:rPr>
              <w:t>蒙</w:t>
            </w:r>
          </w:p>
        </w:tc>
        <w:tc>
          <w:tcPr>
            <w:tcW w:type="dxa" w:w="1260"/>
            <w:tcBorders/>
            <w:tcMar>
              <w:start w:w="0" w:type="dxa"/>
              <w:end w:w="0" w:type="dxa"/>
            </w:tcMar>
          </w:tcPr>
          <w:p>
            <w:pPr>
              <w:autoSpaceDN w:val="0"/>
              <w:autoSpaceDE w:val="0"/>
              <w:widowControl/>
              <w:spacing w:line="160" w:lineRule="exact" w:before="14" w:after="0"/>
              <w:ind w:left="0" w:right="0" w:firstLine="0"/>
              <w:jc w:val="center"/>
            </w:pPr>
            <w:r>
              <w:rPr>
                <w:rFonts w:ascii="黑体" w:hAnsi="黑体" w:eastAsia="黑体"/>
                <w:b w:val="0"/>
                <w:i w:val="0"/>
                <w:color w:val="000000"/>
                <w:sz w:val="16"/>
              </w:rPr>
              <w:t>标的资产的价格</w:t>
            </w:r>
          </w:p>
        </w:tc>
        <w:tc>
          <w:tcPr>
            <w:tcW w:type="dxa" w:w="1840"/>
            <w:tcBorders/>
            <w:tcMar>
              <w:start w:w="0" w:type="dxa"/>
              <w:end w:w="0" w:type="dxa"/>
            </w:tcMar>
          </w:tcPr>
          <w:p>
            <w:pPr>
              <w:autoSpaceDN w:val="0"/>
              <w:autoSpaceDE w:val="0"/>
              <w:widowControl/>
              <w:spacing w:line="160" w:lineRule="exact" w:before="14" w:after="0"/>
              <w:ind w:left="396" w:right="0" w:firstLine="0"/>
              <w:jc w:val="left"/>
            </w:pPr>
            <w:r>
              <w:rPr>
                <w:rFonts w:ascii="黑体" w:hAnsi="黑体" w:eastAsia="黑体"/>
                <w:b w:val="0"/>
                <w:i w:val="0"/>
                <w:color w:val="000000"/>
                <w:sz w:val="16"/>
              </w:rPr>
              <w:t>价格波动率越大，</w:t>
            </w:r>
          </w:p>
        </w:tc>
      </w:tr>
      <w:tr>
        <w:trPr>
          <w:trHeight w:hRule="exact" w:val="201"/>
        </w:trPr>
        <w:tc>
          <w:tcPr>
            <w:tcW w:type="dxa" w:w="1804"/>
            <w:vMerge/>
            <w:tcBorders/>
          </w:tcPr>
          <w:p/>
        </w:tc>
        <w:tc>
          <w:tcPr>
            <w:tcW w:type="dxa" w:w="1804"/>
            <w:vMerge/>
            <w:tcBorders/>
          </w:tcPr>
          <w:p/>
        </w:tc>
        <w:tc>
          <w:tcPr>
            <w:tcW w:type="dxa" w:w="1440"/>
            <w:tcBorders/>
            <w:tcMar>
              <w:start w:w="0" w:type="dxa"/>
              <w:end w:w="0" w:type="dxa"/>
            </w:tcMar>
          </w:tcPr>
          <w:p>
            <w:pPr>
              <w:autoSpaceDN w:val="0"/>
              <w:autoSpaceDE w:val="0"/>
              <w:widowControl/>
              <w:spacing w:line="162" w:lineRule="exact" w:before="36" w:after="0"/>
              <w:ind w:left="0" w:right="0" w:firstLine="0"/>
              <w:jc w:val="center"/>
            </w:pPr>
            <w:r>
              <w:rPr>
                <w:rFonts w:ascii="黑体" w:hAnsi="黑体" w:eastAsia="黑体"/>
                <w:b w:val="0"/>
                <w:i w:val="0"/>
                <w:color w:val="000000"/>
                <w:sz w:val="16"/>
              </w:rPr>
              <w:t>特卡洛期权定价模</w:t>
            </w:r>
          </w:p>
        </w:tc>
        <w:tc>
          <w:tcPr>
            <w:tcW w:type="dxa" w:w="1260"/>
            <w:vMerge w:val="restart"/>
            <w:tcBorders/>
            <w:tcMar>
              <w:start w:w="0" w:type="dxa"/>
              <w:end w:w="0" w:type="dxa"/>
            </w:tcMar>
            <w:tcMar>
              <w:start w:w="0" w:type="dxa"/>
              <w:end w:w="0" w:type="dxa"/>
            </w:tcMar>
          </w:tcPr>
          <w:p>
            <w:pPr>
              <w:autoSpaceDN w:val="0"/>
              <w:autoSpaceDE w:val="0"/>
              <w:widowControl/>
              <w:spacing w:line="162" w:lineRule="exact" w:before="36" w:after="0"/>
              <w:ind w:left="0" w:right="40" w:firstLine="0"/>
              <w:jc w:val="right"/>
            </w:pPr>
            <w:r>
              <w:rPr>
                <w:rFonts w:ascii="黑体" w:hAnsi="黑体" w:eastAsia="黑体"/>
                <w:b w:val="0"/>
                <w:i w:val="0"/>
                <w:color w:val="000000"/>
                <w:sz w:val="16"/>
              </w:rPr>
              <w:t>波动率</w:t>
            </w:r>
          </w:p>
        </w:tc>
        <w:tc>
          <w:tcPr>
            <w:tcW w:type="dxa" w:w="1840"/>
            <w:vMerge w:val="restart"/>
            <w:tcBorders/>
            <w:tcMar>
              <w:start w:w="0" w:type="dxa"/>
              <w:end w:w="0" w:type="dxa"/>
            </w:tcMar>
            <w:tcMar>
              <w:start w:w="0" w:type="dxa"/>
              <w:end w:w="0" w:type="dxa"/>
            </w:tcMar>
          </w:tcPr>
          <w:p>
            <w:pPr>
              <w:autoSpaceDN w:val="0"/>
              <w:autoSpaceDE w:val="0"/>
              <w:widowControl/>
              <w:spacing w:line="162" w:lineRule="exact" w:before="36" w:after="0"/>
              <w:ind w:left="74" w:right="0" w:firstLine="0"/>
              <w:jc w:val="left"/>
            </w:pPr>
            <w:r>
              <w:rPr>
                <w:rFonts w:ascii="黑体" w:hAnsi="黑体" w:eastAsia="黑体"/>
                <w:b w:val="0"/>
                <w:i w:val="0"/>
                <w:color w:val="000000"/>
                <w:sz w:val="16"/>
              </w:rPr>
              <w:t>对公允价值的影响越大</w:t>
            </w:r>
          </w:p>
        </w:tc>
      </w:tr>
      <w:tr>
        <w:trPr>
          <w:trHeight w:hRule="exact" w:val="282"/>
        </w:trPr>
        <w:tc>
          <w:tcPr>
            <w:tcW w:type="dxa" w:w="2800"/>
            <w:tcBorders/>
            <w:tcMar>
              <w:start w:w="0" w:type="dxa"/>
              <w:end w:w="0" w:type="dxa"/>
            </w:tcMar>
          </w:tcPr>
          <w:p>
            <w:pPr>
              <w:autoSpaceDN w:val="0"/>
              <w:autoSpaceDE w:val="0"/>
              <w:widowControl/>
              <w:spacing w:line="162" w:lineRule="exact" w:before="40" w:after="0"/>
              <w:ind w:left="198" w:right="0" w:firstLine="0"/>
              <w:jc w:val="left"/>
            </w:pPr>
            <w:r>
              <w:rPr>
                <w:rFonts w:ascii="黑体" w:hAnsi="黑体" w:eastAsia="黑体"/>
                <w:b w:val="0"/>
                <w:i w:val="0"/>
                <w:color w:val="000000"/>
                <w:sz w:val="16"/>
              </w:rPr>
              <w:t>收益凭证</w:t>
            </w:r>
          </w:p>
        </w:tc>
        <w:tc>
          <w:tcPr>
            <w:tcW w:type="dxa" w:w="1804"/>
            <w:vMerge/>
            <w:tcBorders/>
          </w:tcPr>
          <w:p/>
        </w:tc>
        <w:tc>
          <w:tcPr>
            <w:tcW w:type="dxa" w:w="1440"/>
            <w:tcBorders/>
            <w:tcMar>
              <w:start w:w="0" w:type="dxa"/>
              <w:end w:w="0" w:type="dxa"/>
            </w:tcMar>
          </w:tcPr>
          <w:p>
            <w:pPr>
              <w:autoSpaceDN w:val="0"/>
              <w:autoSpaceDE w:val="0"/>
              <w:widowControl/>
              <w:spacing w:line="162" w:lineRule="exact" w:before="40" w:after="0"/>
              <w:ind w:left="0" w:right="88" w:firstLine="0"/>
              <w:jc w:val="right"/>
            </w:pPr>
            <w:r>
              <w:rPr>
                <w:rFonts w:ascii="黑体" w:hAnsi="黑体" w:eastAsia="黑体"/>
                <w:b w:val="0"/>
                <w:i w:val="0"/>
                <w:color w:val="000000"/>
                <w:sz w:val="16"/>
              </w:rPr>
              <w:t>型</w:t>
            </w:r>
          </w:p>
        </w:tc>
        <w:tc>
          <w:tcPr>
            <w:tcW w:type="dxa" w:w="1804"/>
            <w:vMerge/>
            <w:tcBorders/>
          </w:tcPr>
          <w:p/>
        </w:tc>
        <w:tc>
          <w:tcPr>
            <w:tcW w:type="dxa" w:w="1804"/>
            <w:vMerge/>
            <w:tcBorders/>
          </w:tcPr>
          <w:p/>
        </w:tc>
      </w:tr>
    </w:tbl>
    <w:p>
      <w:pPr>
        <w:autoSpaceDN w:val="0"/>
        <w:autoSpaceDE w:val="0"/>
        <w:widowControl/>
        <w:spacing w:line="220" w:lineRule="exact" w:before="226" w:after="0"/>
        <w:ind w:left="358" w:right="0" w:firstLine="0"/>
        <w:jc w:val="left"/>
      </w:pPr>
      <w:r>
        <w:rPr>
          <w:rFonts w:ascii="黑体" w:hAnsi="黑体" w:eastAsia="黑体"/>
          <w:b w:val="0"/>
          <w:i w:val="0"/>
          <w:color w:val="000000"/>
          <w:sz w:val="22"/>
        </w:rPr>
        <w:t>注：主要包括未上市股权及交易不活跃的新三板股票投资。</w:t>
      </w:r>
    </w:p>
    <w:p>
      <w:pPr>
        <w:autoSpaceDN w:val="0"/>
        <w:autoSpaceDE w:val="0"/>
        <w:widowControl/>
        <w:spacing w:line="233" w:lineRule="auto" w:before="6890" w:after="0"/>
        <w:ind w:left="0" w:right="0" w:firstLine="0"/>
        <w:jc w:val="center"/>
      </w:pPr>
      <w:r>
        <w:rPr>
          <w:rFonts w:ascii="Arial" w:hAnsi="Arial" w:eastAsia="Arial"/>
          <w:b w:val="0"/>
          <w:i w:val="0"/>
          <w:color w:val="000000"/>
          <w:sz w:val="20"/>
        </w:rPr>
        <w:t xml:space="preserve">294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十二、公允价值的披露（续）</w:t>
      </w:r>
    </w:p>
    <w:p>
      <w:pPr>
        <w:autoSpaceDN w:val="0"/>
        <w:tabs>
          <w:tab w:pos="101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以公允价值计量的金融工具（续）</w:t>
      </w:r>
    </w:p>
    <w:p>
      <w:pPr>
        <w:autoSpaceDN w:val="0"/>
        <w:autoSpaceDE w:val="0"/>
        <w:widowControl/>
        <w:spacing w:line="246" w:lineRule="exact" w:before="290" w:after="0"/>
        <w:ind w:left="0" w:right="0" w:firstLine="0"/>
        <w:jc w:val="center"/>
      </w:pPr>
      <w:r>
        <w:rPr>
          <w:rFonts w:ascii="黑体" w:hAnsi="黑体" w:eastAsia="黑体"/>
          <w:b w:val="0"/>
          <w:i w:val="0"/>
          <w:color w:val="000000"/>
          <w:sz w:val="22"/>
        </w:rPr>
        <w:t>（</w:t>
      </w:r>
      <w:r>
        <w:rPr>
          <w:rFonts w:ascii="Arial" w:hAnsi="Arial" w:eastAsia="Arial"/>
          <w:b w:val="0"/>
          <w:i w:val="0"/>
          <w:color w:val="000000"/>
          <w:sz w:val="22"/>
        </w:rPr>
        <w:t>d</w:t>
      </w:r>
      <w:r>
        <w:rPr>
          <w:rFonts w:ascii="黑体" w:hAnsi="黑体" w:eastAsia="黑体"/>
          <w:b w:val="0"/>
          <w:i w:val="0"/>
          <w:color w:val="000000"/>
          <w:sz w:val="22"/>
        </w:rPr>
        <w:t>）</w:t>
      </w:r>
      <w:r>
        <w:rPr>
          <w:rFonts w:ascii="黑体" w:hAnsi="黑体" w:eastAsia="黑体"/>
          <w:b w:val="0"/>
          <w:i w:val="0"/>
          <w:color w:val="000000"/>
          <w:sz w:val="22"/>
        </w:rPr>
        <w:t>持续和非持续第三层次公允价值计量项目，采用的估值技术和重要参数的定性</w:t>
      </w:r>
    </w:p>
    <w:p>
      <w:pPr>
        <w:autoSpaceDN w:val="0"/>
        <w:autoSpaceDE w:val="0"/>
        <w:widowControl/>
        <w:spacing w:line="222" w:lineRule="exact" w:before="50" w:after="0"/>
        <w:ind w:left="1030" w:right="0" w:firstLine="0"/>
        <w:jc w:val="left"/>
      </w:pPr>
      <w:r>
        <w:rPr>
          <w:rFonts w:ascii="黑体" w:hAnsi="黑体" w:eastAsia="黑体"/>
          <w:b w:val="0"/>
          <w:i w:val="0"/>
          <w:color w:val="000000"/>
          <w:sz w:val="22"/>
        </w:rPr>
        <w:t>及定量信息（续）</w:t>
      </w:r>
    </w:p>
    <w:p>
      <w:pPr>
        <w:autoSpaceDN w:val="0"/>
        <w:autoSpaceDE w:val="0"/>
        <w:widowControl/>
        <w:spacing w:line="222" w:lineRule="exact" w:before="318" w:after="0"/>
        <w:ind w:left="358" w:right="0" w:firstLine="0"/>
        <w:jc w:val="left"/>
      </w:pPr>
      <w:r>
        <w:rPr>
          <w:rFonts w:ascii="黑体" w:hAnsi="黑体" w:eastAsia="黑体"/>
          <w:b w:val="0"/>
          <w:i w:val="0"/>
          <w:color w:val="000000"/>
          <w:sz w:val="22"/>
        </w:rPr>
        <w:t>第三层次公允价值计量的量化信息如下：（续）</w:t>
      </w:r>
    </w:p>
    <w:p>
      <w:pPr>
        <w:autoSpaceDN w:val="0"/>
        <w:autoSpaceDE w:val="0"/>
        <w:widowControl/>
        <w:spacing w:line="180" w:lineRule="exact" w:before="302" w:after="16"/>
        <w:ind w:left="0" w:right="4780"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w:t>
      </w:r>
    </w:p>
    <w:tbl>
      <w:tblPr>
        <w:tblW w:type="auto" w:w="0"/>
        <w:tblLayout w:type="fixed"/>
        <w:tblLook w:firstColumn="1" w:firstRow="1" w:lastColumn="0" w:lastRow="0" w:noHBand="0" w:noVBand="1" w:val="04A0"/>
        <w:tblInd w:w="1720.0" w:type="dxa"/>
      </w:tblPr>
      <w:tblGrid>
        <w:gridCol w:w="2255"/>
        <w:gridCol w:w="2255"/>
        <w:gridCol w:w="2255"/>
        <w:gridCol w:w="2255"/>
      </w:tblGrid>
      <w:tr>
        <w:trPr>
          <w:trHeight w:hRule="exact" w:val="240"/>
        </w:trPr>
        <w:tc>
          <w:tcPr>
            <w:tcW w:type="dxa" w:w="2900"/>
            <w:tcBorders/>
            <w:tcMar>
              <w:start w:w="0" w:type="dxa"/>
              <w:end w:w="0" w:type="dxa"/>
            </w:tcMar>
          </w:tcPr>
          <w:p>
            <w:pPr>
              <w:autoSpaceDN w:val="0"/>
              <w:autoSpaceDE w:val="0"/>
              <w:widowControl/>
              <w:spacing w:line="162" w:lineRule="exact" w:before="18" w:after="0"/>
              <w:ind w:left="0" w:right="378" w:firstLine="0"/>
              <w:jc w:val="right"/>
            </w:pPr>
            <w:r>
              <w:rPr>
                <w:rFonts w:ascii="黑体" w:hAnsi="黑体" w:eastAsia="黑体"/>
                <w:b w:val="0"/>
                <w:i w:val="0"/>
                <w:color w:val="000000"/>
                <w:sz w:val="16"/>
              </w:rPr>
              <w:t>的公允价值</w:t>
            </w:r>
          </w:p>
        </w:tc>
        <w:tc>
          <w:tcPr>
            <w:tcW w:type="dxa" w:w="1120"/>
            <w:tcBorders/>
            <w:tcMar>
              <w:start w:w="0" w:type="dxa"/>
              <w:end w:w="0" w:type="dxa"/>
            </w:tcMar>
          </w:tcPr>
          <w:p>
            <w:pPr>
              <w:autoSpaceDN w:val="0"/>
              <w:autoSpaceDE w:val="0"/>
              <w:widowControl/>
              <w:spacing w:line="162" w:lineRule="exact" w:before="18" w:after="0"/>
              <w:ind w:left="0" w:right="84" w:firstLine="0"/>
              <w:jc w:val="right"/>
            </w:pPr>
            <w:r>
              <w:rPr>
                <w:rFonts w:ascii="黑体" w:hAnsi="黑体" w:eastAsia="黑体"/>
                <w:b w:val="0"/>
                <w:i w:val="0"/>
                <w:color w:val="000000"/>
                <w:sz w:val="16"/>
              </w:rPr>
              <w:t>估值技术</w:t>
            </w:r>
          </w:p>
        </w:tc>
        <w:tc>
          <w:tcPr>
            <w:tcW w:type="dxa" w:w="1420"/>
            <w:tcBorders/>
            <w:tcMar>
              <w:start w:w="0" w:type="dxa"/>
              <w:end w:w="0" w:type="dxa"/>
            </w:tcMar>
          </w:tcPr>
          <w:p>
            <w:pPr>
              <w:autoSpaceDN w:val="0"/>
              <w:autoSpaceDE w:val="0"/>
              <w:widowControl/>
              <w:spacing w:line="162" w:lineRule="exact" w:before="18" w:after="0"/>
              <w:ind w:left="96" w:right="0" w:firstLine="0"/>
              <w:jc w:val="left"/>
            </w:pPr>
            <w:r>
              <w:rPr>
                <w:rFonts w:ascii="黑体" w:hAnsi="黑体" w:eastAsia="黑体"/>
                <w:b w:val="0"/>
                <w:i w:val="0"/>
                <w:color w:val="000000"/>
                <w:sz w:val="16"/>
              </w:rPr>
              <w:t>不可观察输入值</w:t>
            </w:r>
          </w:p>
        </w:tc>
        <w:tc>
          <w:tcPr>
            <w:tcW w:type="dxa" w:w="1680"/>
            <w:tcBorders/>
            <w:tcMar>
              <w:start w:w="0" w:type="dxa"/>
              <w:end w:w="0" w:type="dxa"/>
            </w:tcMar>
          </w:tcPr>
          <w:p>
            <w:pPr>
              <w:autoSpaceDN w:val="0"/>
              <w:autoSpaceDE w:val="0"/>
              <w:widowControl/>
              <w:spacing w:line="162" w:lineRule="exact" w:before="18" w:after="0"/>
              <w:ind w:left="0" w:right="0" w:firstLine="0"/>
              <w:jc w:val="center"/>
            </w:pPr>
            <w:r>
              <w:rPr>
                <w:rFonts w:ascii="黑体" w:hAnsi="黑体" w:eastAsia="黑体"/>
                <w:b w:val="0"/>
                <w:i w:val="0"/>
                <w:color w:val="000000"/>
                <w:sz w:val="16"/>
              </w:rPr>
              <w:t>对公允价值的影响</w:t>
            </w:r>
          </w:p>
        </w:tc>
      </w:tr>
    </w:tbl>
    <w:p>
      <w:pPr>
        <w:autoSpaceDN w:val="0"/>
        <w:autoSpaceDE w:val="0"/>
        <w:widowControl/>
        <w:spacing w:line="178" w:lineRule="exact" w:before="170" w:after="14"/>
        <w:ind w:left="0" w:right="3332" w:firstLine="0"/>
        <w:jc w:val="right"/>
      </w:pPr>
      <w:r>
        <w:rPr>
          <w:rFonts w:ascii="黑体" w:hAnsi="黑体" w:eastAsia="黑体"/>
          <w:b w:val="0"/>
          <w:i w:val="0"/>
          <w:color w:val="000000"/>
          <w:sz w:val="16"/>
        </w:rPr>
        <w:t>净资产法</w:t>
      </w:r>
      <w:r>
        <w:rPr>
          <w:rFonts w:ascii="Calibri" w:hAnsi="Calibri" w:eastAsia="Calibri"/>
          <w:b w:val="0"/>
          <w:i w:val="0"/>
          <w:color w:val="000000"/>
          <w:sz w:val="16"/>
        </w:rPr>
        <w:t xml:space="preserve">/ </w:t>
      </w:r>
    </w:p>
    <w:tbl>
      <w:tblPr>
        <w:tblW w:type="auto" w:w="0"/>
        <w:tblLayout w:type="fixed"/>
        <w:tblLook w:firstColumn="1" w:firstRow="1" w:lastColumn="0" w:lastRow="0" w:noHBand="0" w:noVBand="1" w:val="04A0"/>
        <w:tblInd w:w="160.0" w:type="dxa"/>
      </w:tblPr>
      <w:tblGrid>
        <w:gridCol w:w="1503"/>
        <w:gridCol w:w="1503"/>
        <w:gridCol w:w="1503"/>
        <w:gridCol w:w="1503"/>
        <w:gridCol w:w="1503"/>
        <w:gridCol w:w="1503"/>
      </w:tblGrid>
      <w:tr>
        <w:trPr>
          <w:trHeight w:hRule="exact" w:val="182"/>
        </w:trPr>
        <w:tc>
          <w:tcPr>
            <w:tcW w:type="dxa" w:w="1900"/>
            <w:vMerge w:val="restart"/>
            <w:tcBorders/>
            <w:tcMar>
              <w:start w:w="0" w:type="dxa"/>
              <w:end w:w="0" w:type="dxa"/>
            </w:tcMar>
            <w:tcMar>
              <w:start w:w="0" w:type="dxa"/>
              <w:end w:w="0" w:type="dxa"/>
            </w:tcMar>
          </w:tcPr>
          <w:p>
            <w:pPr>
              <w:autoSpaceDN w:val="0"/>
              <w:autoSpaceDE w:val="0"/>
              <w:widowControl/>
              <w:spacing w:line="160" w:lineRule="exact" w:before="224" w:after="0"/>
              <w:ind w:left="198" w:right="0" w:firstLine="0"/>
              <w:jc w:val="left"/>
            </w:pPr>
            <w:r>
              <w:rPr>
                <w:rFonts w:ascii="黑体" w:hAnsi="黑体" w:eastAsia="黑体"/>
                <w:b w:val="0"/>
                <w:i w:val="0"/>
                <w:color w:val="000000"/>
                <w:sz w:val="16"/>
              </w:rPr>
              <w:t>股权及股票投资</w:t>
            </w:r>
          </w:p>
        </w:tc>
        <w:tc>
          <w:tcPr>
            <w:tcW w:type="dxa" w:w="940"/>
            <w:vMerge w:val="restart"/>
            <w:tcBorders/>
            <w:tcMar>
              <w:start w:w="0" w:type="dxa"/>
              <w:end w:w="0" w:type="dxa"/>
            </w:tcMar>
            <w:tcMar>
              <w:start w:w="0" w:type="dxa"/>
              <w:end w:w="0" w:type="dxa"/>
            </w:tcMar>
          </w:tcPr>
          <w:p>
            <w:pPr>
              <w:autoSpaceDN w:val="0"/>
              <w:autoSpaceDE w:val="0"/>
              <w:widowControl/>
              <w:spacing w:line="160" w:lineRule="exact" w:before="224" w:after="0"/>
              <w:ind w:left="0" w:right="182" w:firstLine="0"/>
              <w:jc w:val="right"/>
            </w:pPr>
            <w:r>
              <w:rPr>
                <w:rFonts w:ascii="黑体" w:hAnsi="黑体" w:eastAsia="黑体"/>
                <w:b w:val="0"/>
                <w:i w:val="0"/>
                <w:color w:val="000000"/>
                <w:sz w:val="16"/>
              </w:rPr>
              <w:t>注</w:t>
            </w:r>
          </w:p>
        </w:tc>
        <w:tc>
          <w:tcPr>
            <w:tcW w:type="dxa" w:w="1300"/>
            <w:vMerge w:val="restart"/>
            <w:tcBorders/>
            <w:tcMar>
              <w:start w:w="0" w:type="dxa"/>
              <w:end w:w="0" w:type="dxa"/>
            </w:tcMar>
            <w:tcMar>
              <w:start w:w="0" w:type="dxa"/>
              <w:end w:w="0" w:type="dxa"/>
            </w:tcMar>
          </w:tcPr>
          <w:p>
            <w:pPr>
              <w:autoSpaceDN w:val="0"/>
              <w:autoSpaceDE w:val="0"/>
              <w:widowControl/>
              <w:spacing w:line="230" w:lineRule="auto" w:before="226" w:after="0"/>
              <w:ind w:left="218" w:right="0" w:firstLine="0"/>
              <w:jc w:val="left"/>
            </w:pPr>
            <w:r>
              <w:rPr>
                <w:rFonts w:ascii="Arial" w:hAnsi="Arial" w:eastAsia="Arial"/>
                <w:b w:val="0"/>
                <w:i w:val="0"/>
                <w:color w:val="000000"/>
                <w:sz w:val="16"/>
              </w:rPr>
              <w:t>1,714,967,471</w:t>
            </w:r>
          </w:p>
        </w:tc>
        <w:tc>
          <w:tcPr>
            <w:tcW w:type="dxa" w:w="1620"/>
            <w:tcBorders/>
            <w:tcMar>
              <w:start w:w="0" w:type="dxa"/>
              <w:end w:w="0" w:type="dxa"/>
            </w:tcMar>
          </w:tcPr>
          <w:p>
            <w:pPr>
              <w:autoSpaceDN w:val="0"/>
              <w:autoSpaceDE w:val="0"/>
              <w:widowControl/>
              <w:spacing w:line="180" w:lineRule="exact" w:before="2" w:after="0"/>
              <w:ind w:left="0" w:right="0" w:firstLine="0"/>
              <w:jc w:val="center"/>
            </w:pPr>
            <w:r>
              <w:rPr>
                <w:rFonts w:ascii="黑体" w:hAnsi="黑体" w:eastAsia="黑体"/>
                <w:b w:val="0"/>
                <w:i w:val="0"/>
                <w:color w:val="000000"/>
                <w:sz w:val="16"/>
              </w:rPr>
              <w:t>上市公司比较法</w:t>
            </w:r>
            <w:r>
              <w:rPr>
                <w:rFonts w:ascii="Calibri" w:hAnsi="Calibri" w:eastAsia="Calibri"/>
                <w:b w:val="0"/>
                <w:i w:val="0"/>
                <w:color w:val="000000"/>
                <w:sz w:val="16"/>
              </w:rPr>
              <w:t xml:space="preserve">/ </w:t>
            </w:r>
          </w:p>
        </w:tc>
        <w:tc>
          <w:tcPr>
            <w:tcW w:type="dxa" w:w="1400"/>
            <w:vMerge w:val="restart"/>
            <w:tcBorders/>
            <w:tcMar>
              <w:start w:w="0" w:type="dxa"/>
              <w:end w:w="0" w:type="dxa"/>
            </w:tcMar>
            <w:tcMar>
              <w:start w:w="0" w:type="dxa"/>
              <w:end w:w="0" w:type="dxa"/>
            </w:tcMar>
          </w:tcPr>
          <w:p>
            <w:pPr>
              <w:autoSpaceDN w:val="0"/>
              <w:autoSpaceDE w:val="0"/>
              <w:widowControl/>
              <w:spacing w:line="160" w:lineRule="exact" w:before="224" w:after="0"/>
              <w:ind w:left="238" w:right="0" w:firstLine="0"/>
              <w:jc w:val="left"/>
            </w:pPr>
            <w:r>
              <w:rPr>
                <w:rFonts w:ascii="黑体" w:hAnsi="黑体" w:eastAsia="黑体"/>
                <w:b w:val="0"/>
                <w:i w:val="0"/>
                <w:color w:val="000000"/>
                <w:sz w:val="16"/>
              </w:rPr>
              <w:t>流动性折价</w:t>
            </w:r>
          </w:p>
        </w:tc>
        <w:tc>
          <w:tcPr>
            <w:tcW w:type="dxa" w:w="1520"/>
            <w:tcBorders/>
            <w:tcMar>
              <w:start w:w="0" w:type="dxa"/>
              <w:end w:w="0" w:type="dxa"/>
            </w:tcMar>
          </w:tcPr>
          <w:p>
            <w:pPr>
              <w:autoSpaceDN w:val="0"/>
              <w:autoSpaceDE w:val="0"/>
              <w:widowControl/>
              <w:spacing w:line="162" w:lineRule="exact" w:before="16" w:after="0"/>
              <w:ind w:left="0" w:right="162" w:firstLine="0"/>
              <w:jc w:val="right"/>
            </w:pPr>
            <w:r>
              <w:rPr>
                <w:rFonts w:ascii="黑体" w:hAnsi="黑体" w:eastAsia="黑体"/>
                <w:b w:val="0"/>
                <w:i w:val="0"/>
                <w:color w:val="000000"/>
                <w:sz w:val="16"/>
              </w:rPr>
              <w:t>折扣越高，</w:t>
            </w:r>
          </w:p>
        </w:tc>
      </w:tr>
      <w:tr>
        <w:trPr>
          <w:trHeight w:hRule="exact" w:val="236"/>
        </w:trPr>
        <w:tc>
          <w:tcPr>
            <w:tcW w:type="dxa" w:w="1503"/>
            <w:vMerge/>
            <w:tcBorders/>
          </w:tcPr>
          <w:p/>
        </w:tc>
        <w:tc>
          <w:tcPr>
            <w:tcW w:type="dxa" w:w="1503"/>
            <w:vMerge/>
            <w:tcBorders/>
          </w:tcPr>
          <w:p/>
        </w:tc>
        <w:tc>
          <w:tcPr>
            <w:tcW w:type="dxa" w:w="1503"/>
            <w:vMerge/>
            <w:tcBorders/>
          </w:tcPr>
          <w:p/>
        </w:tc>
        <w:tc>
          <w:tcPr>
            <w:tcW w:type="dxa" w:w="1620"/>
            <w:tcBorders/>
            <w:tcMar>
              <w:start w:w="0" w:type="dxa"/>
              <w:end w:w="0" w:type="dxa"/>
            </w:tcMar>
          </w:tcPr>
          <w:p>
            <w:pPr>
              <w:autoSpaceDN w:val="0"/>
              <w:autoSpaceDE w:val="0"/>
              <w:widowControl/>
              <w:spacing w:line="160" w:lineRule="exact" w:before="42" w:after="0"/>
              <w:ind w:left="74" w:right="0" w:firstLine="0"/>
              <w:jc w:val="left"/>
            </w:pPr>
            <w:r>
              <w:rPr>
                <w:rFonts w:ascii="黑体" w:hAnsi="黑体" w:eastAsia="黑体"/>
                <w:b w:val="0"/>
                <w:i w:val="0"/>
                <w:color w:val="000000"/>
                <w:sz w:val="16"/>
              </w:rPr>
              <w:t>参考最近交易价格</w:t>
            </w:r>
          </w:p>
        </w:tc>
        <w:tc>
          <w:tcPr>
            <w:tcW w:type="dxa" w:w="1503"/>
            <w:vMerge/>
            <w:tcBorders/>
          </w:tcPr>
          <w:p/>
        </w:tc>
        <w:tc>
          <w:tcPr>
            <w:tcW w:type="dxa" w:w="1520"/>
            <w:tcBorders/>
            <w:tcMar>
              <w:start w:w="0" w:type="dxa"/>
              <w:end w:w="0" w:type="dxa"/>
            </w:tcMar>
          </w:tcPr>
          <w:p>
            <w:pPr>
              <w:autoSpaceDN w:val="0"/>
              <w:autoSpaceDE w:val="0"/>
              <w:widowControl/>
              <w:spacing w:line="160" w:lineRule="exact" w:before="42" w:after="0"/>
              <w:ind w:left="0" w:right="162" w:firstLine="0"/>
              <w:jc w:val="right"/>
            </w:pPr>
            <w:r>
              <w:rPr>
                <w:rFonts w:ascii="黑体" w:hAnsi="黑体" w:eastAsia="黑体"/>
                <w:b w:val="0"/>
                <w:i w:val="0"/>
                <w:color w:val="000000"/>
                <w:sz w:val="16"/>
              </w:rPr>
              <w:t>公允价值越低</w:t>
            </w:r>
          </w:p>
        </w:tc>
      </w:tr>
    </w:tbl>
    <w:p>
      <w:pPr>
        <w:autoSpaceDN w:val="0"/>
        <w:autoSpaceDE w:val="0"/>
        <w:widowControl/>
        <w:spacing w:line="160" w:lineRule="exact" w:before="14" w:after="22"/>
        <w:ind w:left="0" w:right="342" w:firstLine="0"/>
        <w:jc w:val="right"/>
      </w:pPr>
      <w:r>
        <w:rPr>
          <w:rFonts w:ascii="黑体" w:hAnsi="黑体" w:eastAsia="黑体"/>
          <w:b w:val="0"/>
          <w:i w:val="0"/>
          <w:color w:val="000000"/>
          <w:sz w:val="16"/>
        </w:rPr>
        <w:t>风险调整折现率</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188"/>
        </w:trPr>
        <w:tc>
          <w:tcPr>
            <w:tcW w:type="dxa" w:w="2240"/>
            <w:tcBorders/>
            <w:tcMar>
              <w:start w:w="0" w:type="dxa"/>
              <w:end w:w="0" w:type="dxa"/>
            </w:tcMar>
          </w:tcPr>
          <w:p>
            <w:pPr>
              <w:autoSpaceDN w:val="0"/>
              <w:autoSpaceDE w:val="0"/>
              <w:widowControl/>
              <w:spacing w:line="162" w:lineRule="exact" w:before="24" w:after="0"/>
              <w:ind w:left="198" w:right="0" w:firstLine="0"/>
              <w:jc w:val="left"/>
            </w:pPr>
            <w:r>
              <w:rPr>
                <w:rFonts w:ascii="黑体" w:hAnsi="黑体" w:eastAsia="黑体"/>
                <w:b w:val="0"/>
                <w:i w:val="0"/>
                <w:color w:val="000000"/>
                <w:sz w:val="16"/>
              </w:rPr>
              <w:t>债券及债权投资</w:t>
            </w:r>
          </w:p>
        </w:tc>
        <w:tc>
          <w:tcPr>
            <w:tcW w:type="dxa" w:w="1980"/>
            <w:tcBorders/>
            <w:tcMar>
              <w:start w:w="0" w:type="dxa"/>
              <w:end w:w="0" w:type="dxa"/>
            </w:tcMar>
          </w:tcPr>
          <w:p>
            <w:pPr>
              <w:autoSpaceDN w:val="0"/>
              <w:autoSpaceDE w:val="0"/>
              <w:widowControl/>
              <w:spacing w:line="233" w:lineRule="auto" w:before="8" w:after="0"/>
              <w:ind w:left="0" w:right="140" w:firstLine="0"/>
              <w:jc w:val="right"/>
            </w:pPr>
            <w:r>
              <w:rPr>
                <w:rFonts w:ascii="Arial" w:hAnsi="Arial" w:eastAsia="Arial"/>
                <w:b w:val="0"/>
                <w:i w:val="0"/>
                <w:color w:val="000000"/>
                <w:sz w:val="16"/>
              </w:rPr>
              <w:t>173,755,392</w:t>
            </w:r>
          </w:p>
        </w:tc>
        <w:tc>
          <w:tcPr>
            <w:tcW w:type="dxa" w:w="1380"/>
            <w:tcBorders/>
            <w:tcMar>
              <w:start w:w="0" w:type="dxa"/>
              <w:end w:w="0" w:type="dxa"/>
            </w:tcMar>
          </w:tcPr>
          <w:p>
            <w:pPr>
              <w:autoSpaceDN w:val="0"/>
              <w:autoSpaceDE w:val="0"/>
              <w:widowControl/>
              <w:spacing w:line="162" w:lineRule="exact" w:before="24" w:after="0"/>
              <w:ind w:left="0" w:right="0" w:firstLine="0"/>
              <w:jc w:val="center"/>
            </w:pPr>
            <w:r>
              <w:rPr>
                <w:rFonts w:ascii="黑体" w:hAnsi="黑体" w:eastAsia="黑体"/>
                <w:b w:val="0"/>
                <w:i w:val="0"/>
                <w:color w:val="000000"/>
                <w:sz w:val="16"/>
              </w:rPr>
              <w:t>现金流量折现法</w:t>
            </w:r>
          </w:p>
        </w:tc>
        <w:tc>
          <w:tcPr>
            <w:tcW w:type="dxa" w:w="1320"/>
            <w:tcBorders/>
            <w:tcMar>
              <w:start w:w="0" w:type="dxa"/>
              <w:end w:w="0" w:type="dxa"/>
            </w:tcMar>
          </w:tcPr>
          <w:p>
            <w:pPr>
              <w:autoSpaceDN w:val="0"/>
              <w:autoSpaceDE w:val="0"/>
              <w:widowControl/>
              <w:spacing w:line="162" w:lineRule="exact" w:before="24" w:after="0"/>
              <w:ind w:left="0" w:right="0" w:firstLine="0"/>
              <w:jc w:val="center"/>
            </w:pPr>
            <w:r>
              <w:rPr>
                <w:rFonts w:ascii="黑体" w:hAnsi="黑体" w:eastAsia="黑体"/>
                <w:b w:val="0"/>
                <w:i w:val="0"/>
                <w:color w:val="000000"/>
                <w:sz w:val="16"/>
              </w:rPr>
              <w:t>风险调整折现率</w:t>
            </w:r>
          </w:p>
        </w:tc>
        <w:tc>
          <w:tcPr>
            <w:tcW w:type="dxa" w:w="1760"/>
            <w:tcBorders/>
            <w:tcMar>
              <w:start w:w="0" w:type="dxa"/>
              <w:end w:w="0" w:type="dxa"/>
            </w:tcMar>
          </w:tcPr>
          <w:p>
            <w:pPr>
              <w:autoSpaceDN w:val="0"/>
              <w:autoSpaceDE w:val="0"/>
              <w:widowControl/>
              <w:spacing w:line="162" w:lineRule="exact" w:before="24" w:after="0"/>
              <w:ind w:left="0" w:right="0" w:firstLine="0"/>
              <w:jc w:val="center"/>
            </w:pPr>
            <w:r>
              <w:rPr>
                <w:rFonts w:ascii="黑体" w:hAnsi="黑体" w:eastAsia="黑体"/>
                <w:b w:val="0"/>
                <w:i w:val="0"/>
                <w:color w:val="000000"/>
                <w:sz w:val="16"/>
              </w:rPr>
              <w:t>越高，公允价值越低</w:t>
            </w:r>
          </w:p>
        </w:tc>
      </w:tr>
      <w:tr>
        <w:trPr>
          <w:trHeight w:hRule="exact" w:val="234"/>
        </w:trPr>
        <w:tc>
          <w:tcPr>
            <w:tcW w:type="dxa" w:w="2240"/>
            <w:vMerge w:val="restart"/>
            <w:tcBorders/>
            <w:tcMar>
              <w:start w:w="0" w:type="dxa"/>
              <w:end w:w="0" w:type="dxa"/>
            </w:tcMar>
            <w:tcMar>
              <w:start w:w="0" w:type="dxa"/>
              <w:end w:w="0" w:type="dxa"/>
            </w:tcMar>
          </w:tcPr>
          <w:p>
            <w:pPr>
              <w:autoSpaceDN w:val="0"/>
              <w:autoSpaceDE w:val="0"/>
              <w:widowControl/>
              <w:spacing w:line="160" w:lineRule="exact" w:before="252" w:after="0"/>
              <w:ind w:left="198" w:right="0" w:firstLine="0"/>
              <w:jc w:val="left"/>
            </w:pPr>
            <w:r>
              <w:rPr>
                <w:rFonts w:ascii="黑体" w:hAnsi="黑体" w:eastAsia="黑体"/>
                <w:b w:val="0"/>
                <w:i w:val="0"/>
                <w:color w:val="000000"/>
                <w:sz w:val="16"/>
              </w:rPr>
              <w:t>信托计划</w:t>
            </w:r>
          </w:p>
        </w:tc>
        <w:tc>
          <w:tcPr>
            <w:tcW w:type="dxa" w:w="1980"/>
            <w:vMerge w:val="restart"/>
            <w:tcBorders/>
            <w:tcMar>
              <w:start w:w="0" w:type="dxa"/>
              <w:end w:w="0" w:type="dxa"/>
            </w:tcMar>
            <w:tcMar>
              <w:start w:w="0" w:type="dxa"/>
              <w:end w:w="0" w:type="dxa"/>
            </w:tcMar>
          </w:tcPr>
          <w:p>
            <w:pPr>
              <w:autoSpaceDN w:val="0"/>
              <w:autoSpaceDE w:val="0"/>
              <w:widowControl/>
              <w:spacing w:line="233" w:lineRule="auto" w:before="240" w:after="0"/>
              <w:ind w:left="0" w:right="140" w:firstLine="0"/>
              <w:jc w:val="right"/>
            </w:pPr>
            <w:r>
              <w:rPr>
                <w:rFonts w:ascii="Arial" w:hAnsi="Arial" w:eastAsia="Arial"/>
                <w:b w:val="0"/>
                <w:i w:val="0"/>
                <w:color w:val="000000"/>
                <w:sz w:val="16"/>
              </w:rPr>
              <w:t>94,390,134</w:t>
            </w:r>
          </w:p>
        </w:tc>
        <w:tc>
          <w:tcPr>
            <w:tcW w:type="dxa" w:w="1380"/>
            <w:tcBorders/>
            <w:tcMar>
              <w:start w:w="0" w:type="dxa"/>
              <w:end w:w="0" w:type="dxa"/>
            </w:tcMar>
          </w:tcPr>
          <w:p>
            <w:pPr>
              <w:autoSpaceDN w:val="0"/>
              <w:autoSpaceDE w:val="0"/>
              <w:widowControl/>
              <w:spacing w:line="178" w:lineRule="exact" w:before="46" w:after="0"/>
              <w:ind w:left="0" w:right="72" w:firstLine="0"/>
              <w:jc w:val="right"/>
            </w:pPr>
            <w:r>
              <w:rPr>
                <w:rFonts w:ascii="黑体" w:hAnsi="黑体" w:eastAsia="黑体"/>
                <w:b w:val="0"/>
                <w:i w:val="0"/>
                <w:color w:val="000000"/>
                <w:sz w:val="16"/>
              </w:rPr>
              <w:t>净资产法</w:t>
            </w:r>
            <w:r>
              <w:rPr>
                <w:rFonts w:ascii="Calibri" w:hAnsi="Calibri" w:eastAsia="Calibri"/>
                <w:b w:val="0"/>
                <w:i w:val="0"/>
                <w:color w:val="000000"/>
                <w:sz w:val="16"/>
              </w:rPr>
              <w:t xml:space="preserve">/ </w:t>
            </w:r>
          </w:p>
        </w:tc>
        <w:tc>
          <w:tcPr>
            <w:tcW w:type="dxa" w:w="1320"/>
            <w:vMerge w:val="restart"/>
            <w:tcBorders/>
            <w:tcMar>
              <w:start w:w="0" w:type="dxa"/>
              <w:end w:w="0" w:type="dxa"/>
            </w:tcMar>
            <w:tcMar>
              <w:start w:w="0" w:type="dxa"/>
              <w:end w:w="0" w:type="dxa"/>
            </w:tcMar>
          </w:tcPr>
          <w:p>
            <w:pPr>
              <w:autoSpaceDN w:val="0"/>
              <w:autoSpaceDE w:val="0"/>
              <w:widowControl/>
              <w:spacing w:line="160" w:lineRule="exact" w:before="252" w:after="0"/>
              <w:ind w:left="0" w:right="0" w:firstLine="0"/>
              <w:jc w:val="center"/>
            </w:pPr>
            <w:r>
              <w:rPr>
                <w:rFonts w:ascii="黑体" w:hAnsi="黑体" w:eastAsia="黑体"/>
                <w:b w:val="0"/>
                <w:i w:val="0"/>
                <w:color w:val="000000"/>
                <w:sz w:val="16"/>
              </w:rPr>
              <w:t>风险调整折现率</w:t>
            </w:r>
          </w:p>
        </w:tc>
        <w:tc>
          <w:tcPr>
            <w:tcW w:type="dxa" w:w="1760"/>
            <w:tcBorders/>
            <w:tcMar>
              <w:start w:w="0" w:type="dxa"/>
              <w:end w:w="0" w:type="dxa"/>
            </w:tcMar>
          </w:tcPr>
          <w:p>
            <w:pPr>
              <w:autoSpaceDN w:val="0"/>
              <w:autoSpaceDE w:val="0"/>
              <w:widowControl/>
              <w:spacing w:line="160" w:lineRule="exact" w:before="46" w:after="0"/>
              <w:ind w:left="0" w:right="162" w:firstLine="0"/>
              <w:jc w:val="right"/>
            </w:pPr>
            <w:r>
              <w:rPr>
                <w:rFonts w:ascii="黑体" w:hAnsi="黑体" w:eastAsia="黑体"/>
                <w:b w:val="0"/>
                <w:i w:val="0"/>
                <w:color w:val="000000"/>
                <w:sz w:val="16"/>
              </w:rPr>
              <w:t>风险调整折现率</w:t>
            </w:r>
          </w:p>
        </w:tc>
      </w:tr>
      <w:tr>
        <w:trPr>
          <w:trHeight w:hRule="exact" w:val="186"/>
        </w:trPr>
        <w:tc>
          <w:tcPr>
            <w:tcW w:type="dxa" w:w="1804"/>
            <w:vMerge/>
            <w:tcBorders/>
          </w:tcPr>
          <w:p/>
        </w:tc>
        <w:tc>
          <w:tcPr>
            <w:tcW w:type="dxa" w:w="1804"/>
            <w:vMerge/>
            <w:tcBorders/>
          </w:tcPr>
          <w:p/>
        </w:tc>
        <w:tc>
          <w:tcPr>
            <w:tcW w:type="dxa" w:w="1380"/>
            <w:tcBorders/>
            <w:tcMar>
              <w:start w:w="0" w:type="dxa"/>
              <w:end w:w="0" w:type="dxa"/>
            </w:tcMar>
          </w:tcPr>
          <w:p>
            <w:pPr>
              <w:autoSpaceDN w:val="0"/>
              <w:autoSpaceDE w:val="0"/>
              <w:widowControl/>
              <w:spacing w:line="160" w:lineRule="exact" w:before="18" w:after="0"/>
              <w:ind w:left="0" w:right="0" w:firstLine="0"/>
              <w:jc w:val="center"/>
            </w:pPr>
            <w:r>
              <w:rPr>
                <w:rFonts w:ascii="黑体" w:hAnsi="黑体" w:eastAsia="黑体"/>
                <w:b w:val="0"/>
                <w:i w:val="0"/>
                <w:color w:val="000000"/>
                <w:sz w:val="16"/>
              </w:rPr>
              <w:t>现金流量折现法</w:t>
            </w:r>
          </w:p>
        </w:tc>
        <w:tc>
          <w:tcPr>
            <w:tcW w:type="dxa" w:w="1804"/>
            <w:vMerge/>
            <w:tcBorders/>
          </w:tcPr>
          <w:p/>
        </w:tc>
        <w:tc>
          <w:tcPr>
            <w:tcW w:type="dxa" w:w="1760"/>
            <w:tcBorders/>
            <w:tcMar>
              <w:start w:w="0" w:type="dxa"/>
              <w:end w:w="0" w:type="dxa"/>
            </w:tcMar>
          </w:tcPr>
          <w:p>
            <w:pPr>
              <w:autoSpaceDN w:val="0"/>
              <w:autoSpaceDE w:val="0"/>
              <w:widowControl/>
              <w:spacing w:line="160" w:lineRule="exact" w:before="18" w:after="0"/>
              <w:ind w:left="0" w:right="0" w:firstLine="0"/>
              <w:jc w:val="center"/>
            </w:pPr>
            <w:r>
              <w:rPr>
                <w:rFonts w:ascii="黑体" w:hAnsi="黑体" w:eastAsia="黑体"/>
                <w:b w:val="0"/>
                <w:i w:val="0"/>
                <w:color w:val="000000"/>
                <w:sz w:val="16"/>
              </w:rPr>
              <w:t>越高，公允价值越低</w:t>
            </w:r>
          </w:p>
        </w:tc>
      </w:tr>
      <w:tr>
        <w:trPr>
          <w:trHeight w:hRule="exact" w:val="224"/>
        </w:trPr>
        <w:tc>
          <w:tcPr>
            <w:tcW w:type="dxa" w:w="2240"/>
            <w:vMerge w:val="restart"/>
            <w:tcBorders/>
            <w:tcMar>
              <w:start w:w="0" w:type="dxa"/>
              <w:end w:w="0" w:type="dxa"/>
            </w:tcMar>
            <w:tcMar>
              <w:start w:w="0" w:type="dxa"/>
              <w:end w:w="0" w:type="dxa"/>
            </w:tcMar>
          </w:tcPr>
          <w:p>
            <w:pPr>
              <w:autoSpaceDN w:val="0"/>
              <w:autoSpaceDE w:val="0"/>
              <w:widowControl/>
              <w:spacing w:line="162" w:lineRule="exact" w:before="246" w:after="0"/>
              <w:ind w:left="198" w:right="0" w:firstLine="0"/>
              <w:jc w:val="left"/>
            </w:pPr>
            <w:r>
              <w:rPr>
                <w:rFonts w:ascii="黑体" w:hAnsi="黑体" w:eastAsia="黑体"/>
                <w:b w:val="0"/>
                <w:i w:val="0"/>
                <w:color w:val="000000"/>
                <w:sz w:val="16"/>
              </w:rPr>
              <w:t>资管产品</w:t>
            </w:r>
          </w:p>
        </w:tc>
        <w:tc>
          <w:tcPr>
            <w:tcW w:type="dxa" w:w="1980"/>
            <w:vMerge w:val="restart"/>
            <w:tcBorders/>
            <w:tcMar>
              <w:start w:w="0" w:type="dxa"/>
              <w:end w:w="0" w:type="dxa"/>
            </w:tcMar>
            <w:tcMar>
              <w:start w:w="0" w:type="dxa"/>
              <w:end w:w="0" w:type="dxa"/>
            </w:tcMar>
          </w:tcPr>
          <w:p>
            <w:pPr>
              <w:autoSpaceDN w:val="0"/>
              <w:autoSpaceDE w:val="0"/>
              <w:widowControl/>
              <w:spacing w:line="230" w:lineRule="auto" w:before="250" w:after="0"/>
              <w:ind w:left="0" w:right="140" w:firstLine="0"/>
              <w:jc w:val="right"/>
            </w:pPr>
            <w:r>
              <w:rPr>
                <w:rFonts w:ascii="Arial" w:hAnsi="Arial" w:eastAsia="Arial"/>
                <w:b w:val="0"/>
                <w:i w:val="0"/>
                <w:color w:val="000000"/>
                <w:sz w:val="16"/>
              </w:rPr>
              <w:t>151,761,836</w:t>
            </w:r>
          </w:p>
        </w:tc>
        <w:tc>
          <w:tcPr>
            <w:tcW w:type="dxa" w:w="1380"/>
            <w:vMerge w:val="restart"/>
            <w:tcBorders/>
            <w:tcMar>
              <w:start w:w="0" w:type="dxa"/>
              <w:end w:w="0" w:type="dxa"/>
            </w:tcMar>
            <w:tcMar>
              <w:start w:w="0" w:type="dxa"/>
              <w:end w:w="0" w:type="dxa"/>
            </w:tcMar>
          </w:tcPr>
          <w:p>
            <w:pPr>
              <w:autoSpaceDN w:val="0"/>
              <w:autoSpaceDE w:val="0"/>
              <w:widowControl/>
              <w:spacing w:line="162" w:lineRule="exact" w:before="40" w:after="0"/>
              <w:ind w:left="0" w:right="0" w:firstLine="0"/>
              <w:jc w:val="center"/>
            </w:pPr>
            <w:r>
              <w:rPr>
                <w:rFonts w:ascii="黑体" w:hAnsi="黑体" w:eastAsia="黑体"/>
                <w:b w:val="0"/>
                <w:i w:val="0"/>
                <w:color w:val="000000"/>
                <w:sz w:val="16"/>
              </w:rPr>
              <w:t>上市公司比较法</w:t>
            </w:r>
          </w:p>
        </w:tc>
        <w:tc>
          <w:tcPr>
            <w:tcW w:type="dxa" w:w="1320"/>
            <w:vMerge w:val="restart"/>
            <w:tcBorders/>
            <w:tcMar>
              <w:start w:w="0" w:type="dxa"/>
              <w:end w:w="0" w:type="dxa"/>
            </w:tcMar>
            <w:tcMar>
              <w:start w:w="0" w:type="dxa"/>
              <w:end w:w="0" w:type="dxa"/>
            </w:tcMar>
          </w:tcPr>
          <w:p>
            <w:pPr>
              <w:autoSpaceDN w:val="0"/>
              <w:autoSpaceDE w:val="0"/>
              <w:widowControl/>
              <w:spacing w:line="162" w:lineRule="exact" w:before="40" w:after="0"/>
              <w:ind w:left="0" w:right="122" w:firstLine="0"/>
              <w:jc w:val="right"/>
            </w:pPr>
            <w:r>
              <w:rPr>
                <w:rFonts w:ascii="黑体" w:hAnsi="黑体" w:eastAsia="黑体"/>
                <w:b w:val="0"/>
                <w:i w:val="0"/>
                <w:color w:val="000000"/>
                <w:sz w:val="16"/>
              </w:rPr>
              <w:t>流动性折价</w:t>
            </w:r>
          </w:p>
        </w:tc>
        <w:tc>
          <w:tcPr>
            <w:tcW w:type="dxa" w:w="1760"/>
            <w:tcBorders/>
            <w:tcMar>
              <w:start w:w="0" w:type="dxa"/>
              <w:end w:w="0" w:type="dxa"/>
            </w:tcMar>
          </w:tcPr>
          <w:p>
            <w:pPr>
              <w:autoSpaceDN w:val="0"/>
              <w:autoSpaceDE w:val="0"/>
              <w:widowControl/>
              <w:spacing w:line="162" w:lineRule="exact" w:before="40" w:after="0"/>
              <w:ind w:left="0" w:right="162" w:firstLine="0"/>
              <w:jc w:val="right"/>
            </w:pPr>
            <w:r>
              <w:rPr>
                <w:rFonts w:ascii="黑体" w:hAnsi="黑体" w:eastAsia="黑体"/>
                <w:b w:val="0"/>
                <w:i w:val="0"/>
                <w:color w:val="000000"/>
                <w:sz w:val="16"/>
              </w:rPr>
              <w:t>折扣越高，</w:t>
            </w:r>
          </w:p>
        </w:tc>
      </w:tr>
      <w:tr>
        <w:trPr>
          <w:trHeight w:hRule="exact" w:val="218"/>
        </w:trPr>
        <w:tc>
          <w:tcPr>
            <w:tcW w:type="dxa" w:w="1804"/>
            <w:vMerge/>
            <w:tcBorders/>
          </w:tcPr>
          <w:p/>
        </w:tc>
        <w:tc>
          <w:tcPr>
            <w:tcW w:type="dxa" w:w="1804"/>
            <w:vMerge/>
            <w:tcBorders/>
          </w:tcPr>
          <w:p/>
        </w:tc>
        <w:tc>
          <w:tcPr>
            <w:tcW w:type="dxa" w:w="1804"/>
            <w:vMerge/>
            <w:tcBorders/>
          </w:tcPr>
          <w:p/>
        </w:tc>
        <w:tc>
          <w:tcPr>
            <w:tcW w:type="dxa" w:w="1804"/>
            <w:vMerge/>
            <w:tcBorders/>
          </w:tcPr>
          <w:p/>
        </w:tc>
        <w:tc>
          <w:tcPr>
            <w:tcW w:type="dxa" w:w="1760"/>
            <w:tcBorders/>
            <w:tcMar>
              <w:start w:w="0" w:type="dxa"/>
              <w:end w:w="0" w:type="dxa"/>
            </w:tcMar>
          </w:tcPr>
          <w:p>
            <w:pPr>
              <w:autoSpaceDN w:val="0"/>
              <w:autoSpaceDE w:val="0"/>
              <w:widowControl/>
              <w:spacing w:line="162" w:lineRule="exact" w:before="22" w:after="0"/>
              <w:ind w:left="0" w:right="162" w:firstLine="0"/>
              <w:jc w:val="right"/>
            </w:pPr>
            <w:r>
              <w:rPr>
                <w:rFonts w:ascii="黑体" w:hAnsi="黑体" w:eastAsia="黑体"/>
                <w:b w:val="0"/>
                <w:i w:val="0"/>
                <w:color w:val="000000"/>
                <w:sz w:val="16"/>
              </w:rPr>
              <w:t>公允价值越低</w:t>
            </w:r>
          </w:p>
        </w:tc>
      </w:tr>
    </w:tbl>
    <w:p>
      <w:pPr>
        <w:autoSpaceDN w:val="0"/>
        <w:autoSpaceDE w:val="0"/>
        <w:widowControl/>
        <w:spacing w:line="160" w:lineRule="exact" w:before="14" w:after="24"/>
        <w:ind w:left="0" w:right="342" w:firstLine="0"/>
        <w:jc w:val="right"/>
      </w:pPr>
      <w:r>
        <w:rPr>
          <w:rFonts w:ascii="黑体" w:hAnsi="黑体" w:eastAsia="黑体"/>
          <w:b w:val="0"/>
          <w:i w:val="0"/>
          <w:color w:val="000000"/>
          <w:sz w:val="16"/>
        </w:rPr>
        <w:t>风险调整折现率</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16"/>
        </w:trPr>
        <w:tc>
          <w:tcPr>
            <w:tcW w:type="dxa" w:w="2060"/>
            <w:tcBorders/>
            <w:tcMar>
              <w:start w:w="0" w:type="dxa"/>
              <w:end w:w="0" w:type="dxa"/>
            </w:tcMar>
          </w:tcPr>
          <w:p>
            <w:pPr>
              <w:autoSpaceDN w:val="0"/>
              <w:autoSpaceDE w:val="0"/>
              <w:widowControl/>
              <w:spacing w:line="160" w:lineRule="exact" w:before="22" w:after="0"/>
              <w:ind w:left="198" w:right="0" w:firstLine="0"/>
              <w:jc w:val="left"/>
            </w:pPr>
            <w:r>
              <w:rPr>
                <w:rFonts w:ascii="黑体" w:hAnsi="黑体" w:eastAsia="黑体"/>
                <w:b w:val="0"/>
                <w:i w:val="0"/>
                <w:color w:val="000000"/>
                <w:sz w:val="16"/>
              </w:rPr>
              <w:t>理财产品</w:t>
            </w:r>
          </w:p>
        </w:tc>
        <w:tc>
          <w:tcPr>
            <w:tcW w:type="dxa" w:w="2160"/>
            <w:tcBorders/>
            <w:tcMar>
              <w:start w:w="0" w:type="dxa"/>
              <w:end w:w="0" w:type="dxa"/>
            </w:tcMar>
          </w:tcPr>
          <w:p>
            <w:pPr>
              <w:autoSpaceDN w:val="0"/>
              <w:autoSpaceDE w:val="0"/>
              <w:widowControl/>
              <w:spacing w:line="233" w:lineRule="auto" w:before="24" w:after="0"/>
              <w:ind w:left="0" w:right="140" w:firstLine="0"/>
              <w:jc w:val="right"/>
            </w:pPr>
            <w:r>
              <w:rPr>
                <w:rFonts w:ascii="Arial" w:hAnsi="Arial" w:eastAsia="Arial"/>
                <w:b w:val="0"/>
                <w:i w:val="0"/>
                <w:color w:val="000000"/>
                <w:sz w:val="16"/>
              </w:rPr>
              <w:t>13,060,440</w:t>
            </w:r>
          </w:p>
        </w:tc>
        <w:tc>
          <w:tcPr>
            <w:tcW w:type="dxa" w:w="136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现金流量折现法</w:t>
            </w:r>
          </w:p>
        </w:tc>
        <w:tc>
          <w:tcPr>
            <w:tcW w:type="dxa" w:w="134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风险调整折现率</w:t>
            </w:r>
          </w:p>
        </w:tc>
        <w:tc>
          <w:tcPr>
            <w:tcW w:type="dxa" w:w="1760"/>
            <w:tcBorders/>
            <w:tcMar>
              <w:start w:w="0" w:type="dxa"/>
              <w:end w:w="0" w:type="dxa"/>
            </w:tcMar>
          </w:tcPr>
          <w:p>
            <w:pPr>
              <w:autoSpaceDN w:val="0"/>
              <w:autoSpaceDE w:val="0"/>
              <w:widowControl/>
              <w:spacing w:line="160" w:lineRule="exact" w:before="22" w:after="0"/>
              <w:ind w:left="0" w:right="0" w:firstLine="0"/>
              <w:jc w:val="center"/>
            </w:pPr>
            <w:r>
              <w:rPr>
                <w:rFonts w:ascii="黑体" w:hAnsi="黑体" w:eastAsia="黑体"/>
                <w:b w:val="0"/>
                <w:i w:val="0"/>
                <w:color w:val="000000"/>
                <w:sz w:val="16"/>
              </w:rPr>
              <w:t>越高，公允价值越低</w:t>
            </w:r>
          </w:p>
        </w:tc>
      </w:tr>
    </w:tbl>
    <w:p>
      <w:pPr>
        <w:autoSpaceDN w:val="0"/>
        <w:autoSpaceDE w:val="0"/>
        <w:widowControl/>
        <w:spacing w:line="178" w:lineRule="exact" w:before="12" w:after="16"/>
        <w:ind w:left="0" w:right="3366" w:firstLine="0"/>
        <w:jc w:val="right"/>
      </w:pPr>
      <w:r>
        <w:rPr>
          <w:rFonts w:ascii="黑体" w:hAnsi="黑体" w:eastAsia="黑体"/>
          <w:b w:val="0"/>
          <w:i w:val="0"/>
          <w:color w:val="000000"/>
          <w:sz w:val="16"/>
        </w:rPr>
        <w:t>布莱克</w:t>
      </w:r>
      <w:r>
        <w:rPr>
          <w:rFonts w:ascii="Calibri" w:hAnsi="Calibri" w:eastAsia="Calibri"/>
          <w:b w:val="0"/>
          <w:i w:val="0"/>
          <w:color w:val="000000"/>
          <w:sz w:val="16"/>
        </w:rPr>
        <w:t>–</w:t>
      </w:r>
      <w:r>
        <w:rPr>
          <w:rFonts w:ascii="黑体" w:hAnsi="黑体" w:eastAsia="黑体"/>
          <w:b w:val="0"/>
          <w:i w:val="0"/>
          <w:color w:val="000000"/>
          <w:sz w:val="16"/>
        </w:rPr>
        <w:t>斯科尔斯</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178"/>
        </w:trPr>
        <w:tc>
          <w:tcPr>
            <w:tcW w:type="dxa" w:w="2740"/>
            <w:vMerge w:val="restart"/>
            <w:tcBorders/>
            <w:tcMar>
              <w:start w:w="0" w:type="dxa"/>
              <w:end w:w="0" w:type="dxa"/>
            </w:tcMar>
            <w:tcMar>
              <w:start w:w="0" w:type="dxa"/>
              <w:end w:w="0" w:type="dxa"/>
            </w:tcMar>
          </w:tcPr>
          <w:p>
            <w:pPr>
              <w:autoSpaceDN w:val="0"/>
              <w:autoSpaceDE w:val="0"/>
              <w:widowControl/>
              <w:spacing w:line="160" w:lineRule="exact" w:before="222" w:after="0"/>
              <w:ind w:left="198" w:right="0" w:firstLine="0"/>
              <w:jc w:val="left"/>
            </w:pPr>
            <w:r>
              <w:rPr>
                <w:rFonts w:ascii="黑体" w:hAnsi="黑体" w:eastAsia="黑体"/>
                <w:b w:val="0"/>
                <w:i w:val="0"/>
                <w:color w:val="000000"/>
                <w:sz w:val="16"/>
              </w:rPr>
              <w:t>场外衍生品及挂钩衍生产品的</w:t>
            </w:r>
          </w:p>
        </w:tc>
        <w:tc>
          <w:tcPr>
            <w:tcW w:type="dxa" w:w="1580"/>
            <w:vMerge w:val="restart"/>
            <w:tcBorders/>
            <w:tcMar>
              <w:start w:w="0" w:type="dxa"/>
              <w:end w:w="0" w:type="dxa"/>
            </w:tcMar>
            <w:tcMar>
              <w:start w:w="0" w:type="dxa"/>
              <w:end w:w="0" w:type="dxa"/>
            </w:tcMar>
            <w:tcMar>
              <w:start w:w="0" w:type="dxa"/>
              <w:end w:w="0" w:type="dxa"/>
            </w:tcMar>
          </w:tcPr>
          <w:p>
            <w:pPr>
              <w:autoSpaceDN w:val="0"/>
              <w:autoSpaceDE w:val="0"/>
              <w:widowControl/>
              <w:spacing w:line="230" w:lineRule="auto" w:before="434" w:after="0"/>
              <w:ind w:left="0" w:right="144" w:firstLine="0"/>
              <w:jc w:val="right"/>
            </w:pPr>
            <w:r>
              <w:rPr>
                <w:rFonts w:ascii="Arial" w:hAnsi="Arial" w:eastAsia="Arial"/>
                <w:b w:val="0"/>
                <w:i w:val="0"/>
                <w:color w:val="000000"/>
                <w:sz w:val="16"/>
              </w:rPr>
              <w:t xml:space="preserve">(92,144,773) </w:t>
            </w:r>
          </w:p>
        </w:tc>
        <w:tc>
          <w:tcPr>
            <w:tcW w:type="dxa" w:w="1280"/>
            <w:tcBorders/>
            <w:tcMar>
              <w:start w:w="0" w:type="dxa"/>
              <w:end w:w="0" w:type="dxa"/>
            </w:tcMar>
          </w:tcPr>
          <w:p>
            <w:pPr>
              <w:autoSpaceDN w:val="0"/>
              <w:autoSpaceDE w:val="0"/>
              <w:widowControl/>
              <w:spacing w:line="178" w:lineRule="exact" w:before="0" w:after="0"/>
              <w:ind w:left="0" w:right="0" w:firstLine="0"/>
              <w:jc w:val="center"/>
            </w:pPr>
            <w:r>
              <w:rPr>
                <w:rFonts w:ascii="黑体" w:hAnsi="黑体" w:eastAsia="黑体"/>
                <w:b w:val="0"/>
                <w:i w:val="0"/>
                <w:color w:val="000000"/>
                <w:sz w:val="16"/>
              </w:rPr>
              <w:t>期权定价模型</w:t>
            </w:r>
            <w:r>
              <w:rPr>
                <w:rFonts w:ascii="Calibri" w:hAnsi="Calibri" w:eastAsia="Calibri"/>
                <w:b w:val="0"/>
                <w:i w:val="0"/>
                <w:color w:val="000000"/>
                <w:sz w:val="16"/>
              </w:rPr>
              <w:t xml:space="preserve">/ </w:t>
            </w:r>
          </w:p>
        </w:tc>
        <w:tc>
          <w:tcPr>
            <w:tcW w:type="dxa" w:w="1240"/>
            <w:tcBorders/>
            <w:tcMar>
              <w:start w:w="0" w:type="dxa"/>
              <w:end w:w="0" w:type="dxa"/>
            </w:tcMar>
          </w:tcPr>
          <w:p>
            <w:pPr>
              <w:autoSpaceDN w:val="0"/>
              <w:autoSpaceDE w:val="0"/>
              <w:widowControl/>
              <w:spacing w:line="160" w:lineRule="exact" w:before="16" w:after="0"/>
              <w:ind w:left="0" w:right="0" w:firstLine="0"/>
              <w:jc w:val="center"/>
            </w:pPr>
            <w:r>
              <w:rPr>
                <w:rFonts w:ascii="黑体" w:hAnsi="黑体" w:eastAsia="黑体"/>
                <w:b w:val="0"/>
                <w:i w:val="0"/>
                <w:color w:val="000000"/>
                <w:sz w:val="16"/>
              </w:rPr>
              <w:t>标的资产的价格</w:t>
            </w:r>
          </w:p>
        </w:tc>
        <w:tc>
          <w:tcPr>
            <w:tcW w:type="dxa" w:w="1840"/>
            <w:tcBorders/>
            <w:tcMar>
              <w:start w:w="0" w:type="dxa"/>
              <w:end w:w="0" w:type="dxa"/>
            </w:tcMar>
          </w:tcPr>
          <w:p>
            <w:pPr>
              <w:autoSpaceDN w:val="0"/>
              <w:autoSpaceDE w:val="0"/>
              <w:widowControl/>
              <w:spacing w:line="160" w:lineRule="exact" w:before="16" w:after="0"/>
              <w:ind w:left="396" w:right="0" w:firstLine="0"/>
              <w:jc w:val="left"/>
            </w:pPr>
            <w:r>
              <w:rPr>
                <w:rFonts w:ascii="黑体" w:hAnsi="黑体" w:eastAsia="黑体"/>
                <w:b w:val="0"/>
                <w:i w:val="0"/>
                <w:color w:val="000000"/>
                <w:sz w:val="16"/>
              </w:rPr>
              <w:t>价格波动率越大，</w:t>
            </w:r>
          </w:p>
        </w:tc>
      </w:tr>
      <w:tr>
        <w:trPr>
          <w:trHeight w:hRule="exact" w:val="220"/>
        </w:trPr>
        <w:tc>
          <w:tcPr>
            <w:tcW w:type="dxa" w:w="1804"/>
            <w:vMerge/>
            <w:tcBorders/>
          </w:tcPr>
          <w:p/>
        </w:tc>
        <w:tc>
          <w:tcPr>
            <w:tcW w:type="dxa" w:w="1804"/>
            <w:vMerge/>
            <w:tcBorders/>
          </w:tcPr>
          <w:p/>
        </w:tc>
        <w:tc>
          <w:tcPr>
            <w:tcW w:type="dxa" w:w="1280"/>
            <w:tcBorders/>
            <w:tcMar>
              <w:start w:w="0" w:type="dxa"/>
              <w:end w:w="0" w:type="dxa"/>
            </w:tcMar>
          </w:tcPr>
          <w:p>
            <w:pPr>
              <w:autoSpaceDN w:val="0"/>
              <w:autoSpaceDE w:val="0"/>
              <w:widowControl/>
              <w:spacing w:line="160" w:lineRule="exact" w:before="44" w:after="0"/>
              <w:ind w:left="0" w:right="106" w:firstLine="0"/>
              <w:jc w:val="right"/>
            </w:pPr>
            <w:r>
              <w:rPr>
                <w:rFonts w:ascii="黑体" w:hAnsi="黑体" w:eastAsia="黑体"/>
                <w:b w:val="0"/>
                <w:i w:val="0"/>
                <w:color w:val="000000"/>
                <w:sz w:val="16"/>
              </w:rPr>
              <w:t>蒙特卡洛</w:t>
            </w:r>
          </w:p>
        </w:tc>
        <w:tc>
          <w:tcPr>
            <w:tcW w:type="dxa" w:w="1240"/>
            <w:vMerge w:val="restart"/>
            <w:tcBorders/>
            <w:tcMar>
              <w:start w:w="0" w:type="dxa"/>
              <w:end w:w="0" w:type="dxa"/>
            </w:tcMar>
            <w:tcMar>
              <w:start w:w="0" w:type="dxa"/>
              <w:end w:w="0" w:type="dxa"/>
            </w:tcMar>
          </w:tcPr>
          <w:p>
            <w:pPr>
              <w:autoSpaceDN w:val="0"/>
              <w:autoSpaceDE w:val="0"/>
              <w:widowControl/>
              <w:spacing w:line="160" w:lineRule="exact" w:before="44" w:after="0"/>
              <w:ind w:left="0" w:right="40" w:firstLine="0"/>
              <w:jc w:val="right"/>
            </w:pPr>
            <w:r>
              <w:rPr>
                <w:rFonts w:ascii="黑体" w:hAnsi="黑体" w:eastAsia="黑体"/>
                <w:b w:val="0"/>
                <w:i w:val="0"/>
                <w:color w:val="000000"/>
                <w:sz w:val="16"/>
              </w:rPr>
              <w:t>波动率</w:t>
            </w:r>
          </w:p>
        </w:tc>
        <w:tc>
          <w:tcPr>
            <w:tcW w:type="dxa" w:w="1840"/>
            <w:vMerge w:val="restart"/>
            <w:tcBorders/>
            <w:tcMar>
              <w:start w:w="0" w:type="dxa"/>
              <w:end w:w="0" w:type="dxa"/>
            </w:tcMar>
            <w:tcMar>
              <w:start w:w="0" w:type="dxa"/>
              <w:end w:w="0" w:type="dxa"/>
            </w:tcMar>
          </w:tcPr>
          <w:p>
            <w:pPr>
              <w:autoSpaceDN w:val="0"/>
              <w:autoSpaceDE w:val="0"/>
              <w:widowControl/>
              <w:spacing w:line="160" w:lineRule="exact" w:before="44" w:after="0"/>
              <w:ind w:left="74" w:right="0" w:firstLine="0"/>
              <w:jc w:val="left"/>
            </w:pPr>
            <w:r>
              <w:rPr>
                <w:rFonts w:ascii="黑体" w:hAnsi="黑体" w:eastAsia="黑体"/>
                <w:b w:val="0"/>
                <w:i w:val="0"/>
                <w:color w:val="000000"/>
                <w:sz w:val="16"/>
              </w:rPr>
              <w:t>对公允价值的影响越大</w:t>
            </w:r>
          </w:p>
        </w:tc>
      </w:tr>
      <w:tr>
        <w:trPr>
          <w:trHeight w:hRule="exact" w:val="228"/>
        </w:trPr>
        <w:tc>
          <w:tcPr>
            <w:tcW w:type="dxa" w:w="2740"/>
            <w:tcBorders/>
            <w:tcMar>
              <w:start w:w="0" w:type="dxa"/>
              <w:end w:w="0" w:type="dxa"/>
            </w:tcMar>
          </w:tcPr>
          <w:p>
            <w:pPr>
              <w:autoSpaceDN w:val="0"/>
              <w:autoSpaceDE w:val="0"/>
              <w:widowControl/>
              <w:spacing w:line="162" w:lineRule="exact" w:before="32" w:after="0"/>
              <w:ind w:left="358" w:right="0" w:firstLine="0"/>
              <w:jc w:val="left"/>
            </w:pPr>
            <w:r>
              <w:rPr>
                <w:rFonts w:ascii="黑体" w:hAnsi="黑体" w:eastAsia="黑体"/>
                <w:b w:val="0"/>
                <w:i w:val="0"/>
                <w:color w:val="000000"/>
                <w:sz w:val="16"/>
              </w:rPr>
              <w:t>收益凭证</w:t>
            </w:r>
          </w:p>
        </w:tc>
        <w:tc>
          <w:tcPr>
            <w:tcW w:type="dxa" w:w="1804"/>
            <w:vMerge/>
            <w:tcBorders/>
          </w:tcPr>
          <w:p/>
        </w:tc>
        <w:tc>
          <w:tcPr>
            <w:tcW w:type="dxa" w:w="1280"/>
            <w:tcBorders/>
            <w:tcMar>
              <w:start w:w="0" w:type="dxa"/>
              <w:end w:w="0" w:type="dxa"/>
            </w:tcMar>
          </w:tcPr>
          <w:p>
            <w:pPr>
              <w:autoSpaceDN w:val="0"/>
              <w:autoSpaceDE w:val="0"/>
              <w:widowControl/>
              <w:spacing w:line="162" w:lineRule="exact" w:before="32" w:after="0"/>
              <w:ind w:left="214" w:right="0" w:firstLine="0"/>
              <w:jc w:val="left"/>
            </w:pPr>
            <w:r>
              <w:rPr>
                <w:rFonts w:ascii="黑体" w:hAnsi="黑体" w:eastAsia="黑体"/>
                <w:b w:val="0"/>
                <w:i w:val="0"/>
                <w:color w:val="000000"/>
                <w:sz w:val="16"/>
              </w:rPr>
              <w:t>期权定价模型</w:t>
            </w:r>
          </w:p>
        </w:tc>
        <w:tc>
          <w:tcPr>
            <w:tcW w:type="dxa" w:w="1804"/>
            <w:vMerge/>
            <w:tcBorders/>
          </w:tcPr>
          <w:p/>
        </w:tc>
        <w:tc>
          <w:tcPr>
            <w:tcW w:type="dxa" w:w="1804"/>
            <w:vMerge/>
            <w:tcBorders/>
          </w:tcPr>
          <w:p/>
        </w:tc>
      </w:tr>
    </w:tbl>
    <w:p>
      <w:pPr>
        <w:autoSpaceDN w:val="0"/>
        <w:autoSpaceDE w:val="0"/>
        <w:widowControl/>
        <w:spacing w:line="160" w:lineRule="exact" w:before="12" w:after="24"/>
        <w:ind w:left="0" w:right="342" w:firstLine="0"/>
        <w:jc w:val="right"/>
      </w:pPr>
      <w:r>
        <w:rPr>
          <w:rFonts w:ascii="黑体" w:hAnsi="黑体" w:eastAsia="黑体"/>
          <w:b w:val="0"/>
          <w:i w:val="0"/>
          <w:color w:val="000000"/>
          <w:sz w:val="16"/>
        </w:rPr>
        <w:t>风险调整折现率</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66"/>
        </w:trPr>
        <w:tc>
          <w:tcPr>
            <w:tcW w:type="dxa" w:w="1940"/>
            <w:tcBorders/>
            <w:tcMar>
              <w:start w:w="0" w:type="dxa"/>
              <w:end w:w="0" w:type="dxa"/>
            </w:tcMar>
          </w:tcPr>
          <w:p>
            <w:pPr>
              <w:autoSpaceDN w:val="0"/>
              <w:autoSpaceDE w:val="0"/>
              <w:widowControl/>
              <w:spacing w:line="160" w:lineRule="exact" w:before="24" w:after="0"/>
              <w:ind w:left="198" w:right="0" w:firstLine="0"/>
              <w:jc w:val="left"/>
            </w:pPr>
            <w:r>
              <w:rPr>
                <w:rFonts w:ascii="黑体" w:hAnsi="黑体" w:eastAsia="黑体"/>
                <w:b w:val="0"/>
                <w:i w:val="0"/>
                <w:color w:val="000000"/>
                <w:sz w:val="16"/>
              </w:rPr>
              <w:t>其他</w:t>
            </w:r>
          </w:p>
        </w:tc>
        <w:tc>
          <w:tcPr>
            <w:tcW w:type="dxa" w:w="2280"/>
            <w:tcBorders/>
            <w:tcMar>
              <w:start w:w="0" w:type="dxa"/>
              <w:end w:w="0" w:type="dxa"/>
            </w:tcMar>
          </w:tcPr>
          <w:p>
            <w:pPr>
              <w:autoSpaceDN w:val="0"/>
              <w:autoSpaceDE w:val="0"/>
              <w:widowControl/>
              <w:spacing w:line="233" w:lineRule="auto" w:before="26" w:after="0"/>
              <w:ind w:left="0" w:right="140" w:firstLine="0"/>
              <w:jc w:val="right"/>
            </w:pPr>
            <w:r>
              <w:rPr>
                <w:rFonts w:ascii="Arial" w:hAnsi="Arial" w:eastAsia="Arial"/>
                <w:b w:val="0"/>
                <w:i w:val="0"/>
                <w:color w:val="000000"/>
                <w:sz w:val="16"/>
              </w:rPr>
              <w:t>8,721,958</w:t>
            </w:r>
          </w:p>
        </w:tc>
        <w:tc>
          <w:tcPr>
            <w:tcW w:type="dxa" w:w="136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现金流量折现法</w:t>
            </w:r>
          </w:p>
        </w:tc>
        <w:tc>
          <w:tcPr>
            <w:tcW w:type="dxa" w:w="134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风险调整折现率</w:t>
            </w:r>
          </w:p>
        </w:tc>
        <w:tc>
          <w:tcPr>
            <w:tcW w:type="dxa" w:w="1760"/>
            <w:tcBorders/>
            <w:tcMar>
              <w:start w:w="0" w:type="dxa"/>
              <w:end w:w="0" w:type="dxa"/>
            </w:tcMar>
          </w:tcPr>
          <w:p>
            <w:pPr>
              <w:autoSpaceDN w:val="0"/>
              <w:autoSpaceDE w:val="0"/>
              <w:widowControl/>
              <w:spacing w:line="160" w:lineRule="exact" w:before="24" w:after="0"/>
              <w:ind w:left="0" w:right="0" w:firstLine="0"/>
              <w:jc w:val="center"/>
            </w:pPr>
            <w:r>
              <w:rPr>
                <w:rFonts w:ascii="黑体" w:hAnsi="黑体" w:eastAsia="黑体"/>
                <w:b w:val="0"/>
                <w:i w:val="0"/>
                <w:color w:val="000000"/>
                <w:sz w:val="16"/>
              </w:rPr>
              <w:t>越高，公允价值越低</w:t>
            </w:r>
          </w:p>
        </w:tc>
      </w:tr>
    </w:tbl>
    <w:p>
      <w:pPr>
        <w:autoSpaceDN w:val="0"/>
        <w:autoSpaceDE w:val="0"/>
        <w:widowControl/>
        <w:spacing w:line="222" w:lineRule="exact" w:before="224" w:after="0"/>
        <w:ind w:left="358" w:right="0" w:firstLine="0"/>
        <w:jc w:val="left"/>
      </w:pPr>
      <w:r>
        <w:rPr>
          <w:rFonts w:ascii="黑体" w:hAnsi="黑体" w:eastAsia="黑体"/>
          <w:b w:val="0"/>
          <w:i w:val="0"/>
          <w:color w:val="000000"/>
          <w:sz w:val="22"/>
        </w:rPr>
        <w:t>注：主要包括未上市股权及交易不活跃的新三板股票投资。</w:t>
      </w:r>
    </w:p>
    <w:p>
      <w:pPr>
        <w:autoSpaceDN w:val="0"/>
        <w:autoSpaceDE w:val="0"/>
        <w:widowControl/>
        <w:spacing w:line="222" w:lineRule="exact" w:before="316" w:after="0"/>
        <w:ind w:left="358" w:right="0" w:firstLine="0"/>
        <w:jc w:val="left"/>
      </w:pPr>
      <w:r>
        <w:rPr>
          <w:rFonts w:ascii="黑体" w:hAnsi="黑体" w:eastAsia="黑体"/>
          <w:b w:val="0"/>
          <w:i w:val="0"/>
          <w:color w:val="000000"/>
          <w:sz w:val="22"/>
        </w:rPr>
        <w:t>上述持续第三层次公允价值计量的资产和负债的公允价值的估值技术并未发生变更。</w:t>
      </w:r>
    </w:p>
    <w:p>
      <w:pPr>
        <w:autoSpaceDN w:val="0"/>
        <w:autoSpaceDE w:val="0"/>
        <w:widowControl/>
        <w:spacing w:line="233" w:lineRule="auto" w:before="6344" w:after="0"/>
        <w:ind w:left="0" w:right="0" w:firstLine="0"/>
        <w:jc w:val="center"/>
      </w:pPr>
      <w:r>
        <w:rPr>
          <w:rFonts w:ascii="Arial" w:hAnsi="Arial" w:eastAsia="Arial"/>
          <w:b w:val="0"/>
          <w:i w:val="0"/>
          <w:color w:val="000000"/>
          <w:sz w:val="20"/>
        </w:rPr>
        <w:t xml:space="preserve">295 </w:t>
      </w:r>
    </w:p>
    <w:p>
      <w:pPr>
        <w:sectPr>
          <w:pgSz w:w="11899" w:h="16841"/>
          <w:pgMar w:top="988" w:right="144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62" w:val="left"/>
          <w:tab w:pos="720" w:val="left"/>
        </w:tabs>
        <w:autoSpaceDE w:val="0"/>
        <w:widowControl/>
        <w:spacing w:line="436" w:lineRule="exact" w:before="0" w:after="250"/>
        <w:ind w:left="0" w:right="6192"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tab/>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持续的第三层次公允价值计量项目，年初与年末账面价值间的调节信息：</w:t>
      </w:r>
    </w:p>
    <w:tbl>
      <w:tblPr>
        <w:tblW w:type="auto" w:w="0"/>
        <w:tblLayout w:type="fixed"/>
        <w:tblLook w:firstColumn="1" w:firstRow="1" w:lastColumn="0" w:lastRow="0" w:noHBand="0" w:noVBand="1" w:val="04A0"/>
        <w:tblInd w:w="21.999999999999886" w:type="dxa"/>
      </w:tblPr>
      <w:tblGrid>
        <w:gridCol w:w="1278"/>
        <w:gridCol w:w="1278"/>
        <w:gridCol w:w="1278"/>
        <w:gridCol w:w="1278"/>
        <w:gridCol w:w="1278"/>
        <w:gridCol w:w="1278"/>
        <w:gridCol w:w="1278"/>
        <w:gridCol w:w="1278"/>
        <w:gridCol w:w="1278"/>
        <w:gridCol w:w="1278"/>
        <w:gridCol w:w="1278"/>
      </w:tblGrid>
      <w:tr>
        <w:trPr>
          <w:trHeight w:hRule="exact" w:val="250"/>
        </w:trPr>
        <w:tc>
          <w:tcPr>
            <w:tcW w:type="dxa" w:w="1918"/>
            <w:tcBorders>
              <w:bottom w:sz="4.0" w:val="single" w:color="#000000"/>
            </w:tcBorders>
            <w:tcMar>
              <w:start w:w="0" w:type="dxa"/>
              <w:end w:w="0" w:type="dxa"/>
            </w:tcMar>
          </w:tcPr>
          <w:p>
            <w:pPr>
              <w:autoSpaceDN w:val="0"/>
              <w:autoSpaceDE w:val="0"/>
              <w:widowControl/>
              <w:spacing w:line="162" w:lineRule="exact" w:before="60" w:after="0"/>
              <w:ind w:left="40" w:right="0" w:firstLine="0"/>
              <w:jc w:val="left"/>
            </w:pPr>
            <w:r>
              <w:rPr>
                <w:rFonts w:ascii="黑体" w:hAnsi="黑体" w:eastAsia="黑体"/>
                <w:b w:val="0"/>
                <w:i w:val="0"/>
                <w:color w:val="000000"/>
                <w:sz w:val="16"/>
              </w:rPr>
              <w:t>资产</w:t>
            </w:r>
          </w:p>
        </w:tc>
        <w:tc>
          <w:tcPr>
            <w:tcW w:type="dxa" w:w="1062"/>
            <w:tcBorders>
              <w:bottom w:sz="4.0" w:val="single" w:color="#000000"/>
            </w:tcBorders>
            <w:tcMar>
              <w:start w:w="0" w:type="dxa"/>
              <w:end w:w="0" w:type="dxa"/>
            </w:tcMar>
          </w:tcPr>
          <w:p/>
        </w:tc>
        <w:tc>
          <w:tcPr>
            <w:tcW w:type="dxa" w:w="1080"/>
            <w:tcBorders>
              <w:bottom w:sz="4.0" w:val="single" w:color="#000000"/>
            </w:tcBorders>
            <w:tcMar>
              <w:start w:w="0" w:type="dxa"/>
              <w:end w:w="0" w:type="dxa"/>
            </w:tcMar>
          </w:tcPr>
          <w:p/>
        </w:tc>
        <w:tc>
          <w:tcPr>
            <w:tcW w:type="dxa" w:w="1232"/>
            <w:tcBorders>
              <w:bottom w:sz="4.0" w:val="single" w:color="#000000"/>
            </w:tcBorders>
            <w:tcMar>
              <w:start w:w="0" w:type="dxa"/>
              <w:end w:w="0" w:type="dxa"/>
            </w:tcMar>
          </w:tcPr>
          <w:p/>
        </w:tc>
        <w:tc>
          <w:tcPr>
            <w:tcW w:type="dxa" w:w="2334"/>
            <w:gridSpan w:val="2"/>
            <w:tcBorders>
              <w:bottom w:sz="4.0" w:val="single" w:color="#000000"/>
            </w:tcBorders>
            <w:tcMar>
              <w:start w:w="0" w:type="dxa"/>
              <w:end w:w="0" w:type="dxa"/>
            </w:tcMar>
            <w:tcMar>
              <w:start w:w="0" w:type="dxa"/>
              <w:end w:w="0" w:type="dxa"/>
            </w:tcMar>
          </w:tcPr>
          <w:p>
            <w:pPr>
              <w:autoSpaceDN w:val="0"/>
              <w:autoSpaceDE w:val="0"/>
              <w:widowControl/>
              <w:spacing w:line="140" w:lineRule="exact" w:before="84" w:after="0"/>
              <w:ind w:left="0" w:right="0" w:firstLine="0"/>
              <w:jc w:val="center"/>
            </w:pPr>
            <w:r>
              <w:rPr>
                <w:rFonts w:ascii="黑体" w:hAnsi="黑体" w:eastAsia="黑体"/>
                <w:b w:val="0"/>
                <w:i w:val="0"/>
                <w:color w:val="000000"/>
                <w:sz w:val="14"/>
              </w:rPr>
              <w:t>本年利得或损失总额</w:t>
            </w:r>
          </w:p>
        </w:tc>
        <w:tc>
          <w:tcPr>
            <w:tcW w:type="dxa" w:w="1316"/>
            <w:tcBorders>
              <w:bottom w:sz="4.0" w:val="single" w:color="#000000"/>
            </w:tcBorders>
            <w:tcMar>
              <w:start w:w="0" w:type="dxa"/>
              <w:end w:w="0" w:type="dxa"/>
            </w:tcMar>
          </w:tcPr>
          <w:p/>
        </w:tc>
        <w:tc>
          <w:tcPr>
            <w:tcW w:type="dxa" w:w="2178"/>
            <w:tcBorders>
              <w:bottom w:sz="4.0" w:val="single" w:color="#000000"/>
            </w:tcBorders>
            <w:tcMar>
              <w:start w:w="0" w:type="dxa"/>
              <w:end w:w="0" w:type="dxa"/>
            </w:tcMar>
          </w:tcPr>
          <w:p>
            <w:pPr>
              <w:autoSpaceDN w:val="0"/>
              <w:autoSpaceDE w:val="0"/>
              <w:widowControl/>
              <w:spacing w:line="140" w:lineRule="exact" w:before="84" w:after="0"/>
              <w:ind w:left="0" w:right="68" w:firstLine="0"/>
              <w:jc w:val="right"/>
            </w:pPr>
            <w:r>
              <w:rPr>
                <w:rFonts w:ascii="黑体" w:hAnsi="黑体" w:eastAsia="黑体"/>
                <w:b w:val="0"/>
                <w:i w:val="0"/>
                <w:color w:val="000000"/>
                <w:sz w:val="14"/>
              </w:rPr>
              <w:t>购买、发行、出售和结算</w:t>
            </w:r>
          </w:p>
        </w:tc>
        <w:tc>
          <w:tcPr>
            <w:tcW w:type="dxa" w:w="350"/>
            <w:tcBorders>
              <w:bottom w:sz="4.0" w:val="single" w:color="#000000"/>
            </w:tcBorders>
            <w:tcMar>
              <w:start w:w="0" w:type="dxa"/>
              <w:end w:w="0" w:type="dxa"/>
            </w:tcMar>
          </w:tcPr>
          <w:p/>
        </w:tc>
        <w:tc>
          <w:tcPr>
            <w:tcW w:type="dxa" w:w="1362"/>
            <w:tcBorders>
              <w:bottom w:sz="4.0" w:val="single" w:color="#000000"/>
            </w:tcBorders>
            <w:tcMar>
              <w:start w:w="0" w:type="dxa"/>
              <w:end w:w="0" w:type="dxa"/>
            </w:tcMar>
          </w:tcPr>
          <w:p/>
        </w:tc>
        <w:tc>
          <w:tcPr>
            <w:tcW w:type="dxa" w:w="1180"/>
            <w:tcBorders>
              <w:bottom w:sz="4.0" w:val="single" w:color="#000000"/>
            </w:tcBorders>
            <w:tcMar>
              <w:start w:w="0" w:type="dxa"/>
              <w:end w:w="0" w:type="dxa"/>
            </w:tcMar>
          </w:tcPr>
          <w:p/>
        </w:tc>
      </w:tr>
      <w:tr>
        <w:trPr>
          <w:trHeight w:hRule="exact" w:val="156"/>
        </w:trPr>
        <w:tc>
          <w:tcPr>
            <w:tcW w:type="dxa" w:w="1918"/>
            <w:vMerge w:val="restart"/>
            <w:tcBorders>
              <w:top w:sz="4.0" w:val="single" w:color="#000000"/>
              <w:bottom w:sz="3.2000000000000455" w:val="single" w:color="#000000"/>
            </w:tcBorders>
            <w:tcMar>
              <w:start w:w="0" w:type="dxa"/>
              <w:end w:w="0" w:type="dxa"/>
            </w:tcMar>
            <w:tcMar>
              <w:start w:w="0" w:type="dxa"/>
              <w:end w:w="0" w:type="dxa"/>
            </w:tcMar>
          </w:tcPr>
          <w:p/>
        </w:tc>
        <w:tc>
          <w:tcPr>
            <w:tcW w:type="dxa" w:w="1062"/>
            <w:tcBorders>
              <w:top w:sz="4.0" w:val="single" w:color="#000000"/>
            </w:tcBorders>
            <w:tcMar>
              <w:start w:w="0" w:type="dxa"/>
              <w:end w:w="0" w:type="dxa"/>
            </w:tcMar>
          </w:tcPr>
          <w:p>
            <w:pPr>
              <w:autoSpaceDN w:val="0"/>
              <w:autoSpaceDE w:val="0"/>
              <w:widowControl/>
              <w:spacing w:line="140" w:lineRule="exact" w:before="12" w:after="0"/>
              <w:ind w:left="222" w:right="0" w:firstLine="0"/>
              <w:jc w:val="left"/>
            </w:pPr>
            <w:r>
              <w:rPr>
                <w:rFonts w:ascii="黑体" w:hAnsi="黑体" w:eastAsia="黑体"/>
                <w:b w:val="0"/>
                <w:i w:val="0"/>
                <w:color w:val="000000"/>
                <w:sz w:val="14"/>
              </w:rPr>
              <w:t>2024年1月1日</w:t>
            </w:r>
          </w:p>
        </w:tc>
        <w:tc>
          <w:tcPr>
            <w:tcW w:type="dxa" w:w="108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38" w:right="0" w:firstLine="0"/>
              <w:jc w:val="left"/>
            </w:pPr>
            <w:r>
              <w:rPr>
                <w:rFonts w:ascii="黑体" w:hAnsi="黑体" w:eastAsia="黑体"/>
                <w:b w:val="0"/>
                <w:i w:val="0"/>
                <w:color w:val="000000"/>
                <w:sz w:val="14"/>
              </w:rPr>
              <w:t>转入第三层次</w:t>
            </w:r>
          </w:p>
        </w:tc>
        <w:tc>
          <w:tcPr>
            <w:tcW w:type="dxa" w:w="123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80" w:right="0" w:firstLine="0"/>
              <w:jc w:val="left"/>
            </w:pPr>
            <w:r>
              <w:rPr>
                <w:rFonts w:ascii="黑体" w:hAnsi="黑体" w:eastAsia="黑体"/>
                <w:b w:val="0"/>
                <w:i w:val="0"/>
                <w:color w:val="000000"/>
                <w:sz w:val="14"/>
              </w:rPr>
              <w:t>转出第三层次</w:t>
            </w:r>
          </w:p>
        </w:tc>
        <w:tc>
          <w:tcPr>
            <w:tcW w:type="dxa" w:w="966"/>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4" w:firstLine="0"/>
              <w:jc w:val="right"/>
            </w:pPr>
            <w:r>
              <w:rPr>
                <w:rFonts w:ascii="黑体" w:hAnsi="黑体" w:eastAsia="黑体"/>
                <w:b w:val="0"/>
                <w:i w:val="0"/>
                <w:color w:val="000000"/>
                <w:sz w:val="14"/>
              </w:rPr>
              <w:t>计入损益</w:t>
            </w:r>
          </w:p>
        </w:tc>
        <w:tc>
          <w:tcPr>
            <w:tcW w:type="dxa" w:w="1368"/>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50" w:right="0" w:firstLine="0"/>
              <w:jc w:val="left"/>
            </w:pPr>
            <w:r>
              <w:rPr>
                <w:rFonts w:ascii="黑体" w:hAnsi="黑体" w:eastAsia="黑体"/>
                <w:b w:val="0"/>
                <w:i w:val="0"/>
                <w:color w:val="000000"/>
                <w:sz w:val="14"/>
              </w:rPr>
              <w:t>计入其他综合收益</w:t>
            </w:r>
          </w:p>
        </w:tc>
        <w:tc>
          <w:tcPr>
            <w:tcW w:type="dxa" w:w="1316"/>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86" w:firstLine="0"/>
              <w:jc w:val="right"/>
            </w:pPr>
            <w:r>
              <w:rPr>
                <w:rFonts w:ascii="黑体" w:hAnsi="黑体" w:eastAsia="黑体"/>
                <w:b w:val="0"/>
                <w:i w:val="0"/>
                <w:color w:val="000000"/>
                <w:sz w:val="14"/>
              </w:rPr>
              <w:t>购买</w:t>
            </w:r>
          </w:p>
        </w:tc>
        <w:tc>
          <w:tcPr>
            <w:tcW w:type="dxa" w:w="2178"/>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784" w:firstLine="0"/>
              <w:jc w:val="right"/>
            </w:pPr>
            <w:r>
              <w:rPr>
                <w:rFonts w:ascii="黑体" w:hAnsi="黑体" w:eastAsia="黑体"/>
                <w:b w:val="0"/>
                <w:i w:val="0"/>
                <w:color w:val="000000"/>
                <w:sz w:val="14"/>
              </w:rPr>
              <w:t>发行</w:t>
            </w:r>
          </w:p>
        </w:tc>
        <w:tc>
          <w:tcPr>
            <w:tcW w:type="dxa" w:w="35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0" w:firstLine="0"/>
              <w:jc w:val="center"/>
            </w:pPr>
            <w:r>
              <w:rPr>
                <w:rFonts w:ascii="黑体" w:hAnsi="黑体" w:eastAsia="黑体"/>
                <w:b w:val="0"/>
                <w:i w:val="0"/>
                <w:color w:val="000000"/>
                <w:sz w:val="14"/>
              </w:rPr>
              <w:t>出售</w:t>
            </w:r>
          </w:p>
        </w:tc>
        <w:tc>
          <w:tcPr>
            <w:tcW w:type="dxa" w:w="136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4" w:firstLine="0"/>
              <w:jc w:val="right"/>
            </w:pPr>
            <w:r>
              <w:rPr>
                <w:rFonts w:ascii="黑体" w:hAnsi="黑体" w:eastAsia="黑体"/>
                <w:b w:val="0"/>
                <w:i w:val="0"/>
                <w:color w:val="000000"/>
                <w:sz w:val="14"/>
              </w:rPr>
              <w:t>结算</w:t>
            </w:r>
          </w:p>
        </w:tc>
        <w:tc>
          <w:tcPr>
            <w:tcW w:type="dxa" w:w="1180"/>
            <w:tcBorders>
              <w:top w:sz="4.0" w:val="single" w:color="#000000"/>
            </w:tcBorders>
            <w:tcMar>
              <w:start w:w="0" w:type="dxa"/>
              <w:end w:w="0" w:type="dxa"/>
            </w:tcMar>
          </w:tcPr>
          <w:p>
            <w:pPr>
              <w:autoSpaceDN w:val="0"/>
              <w:autoSpaceDE w:val="0"/>
              <w:widowControl/>
              <w:spacing w:line="154" w:lineRule="exact" w:before="0" w:after="0"/>
              <w:ind w:left="136" w:right="0" w:firstLine="0"/>
              <w:jc w:val="left"/>
            </w:pPr>
            <w:r>
              <w:rPr>
                <w:rFonts w:ascii="Arial" w:hAnsi="Arial" w:eastAsia="Arial"/>
                <w:b w:val="0"/>
                <w:i w:val="0"/>
                <w:color w:val="000000"/>
                <w:sz w:val="14"/>
              </w:rPr>
              <w:t>2024</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w:t>
            </w:r>
          </w:p>
        </w:tc>
      </w:tr>
      <w:tr>
        <w:trPr>
          <w:trHeight w:hRule="exact" w:val="218"/>
        </w:trPr>
        <w:tc>
          <w:tcPr>
            <w:tcW w:type="dxa" w:w="1278"/>
            <w:vMerge/>
            <w:tcBorders>
              <w:top w:sz="4.0" w:val="single" w:color="#000000"/>
              <w:bottom w:sz="3.2000000000000455" w:val="single" w:color="#000000"/>
            </w:tcBorders>
          </w:tcPr>
          <w:p/>
        </w:tc>
        <w:tc>
          <w:tcPr>
            <w:tcW w:type="dxa" w:w="1062"/>
            <w:tcBorders>
              <w:bottom w:sz="3.2000000000000455" w:val="single" w:color="#000000"/>
            </w:tcBorders>
            <w:tcMar>
              <w:start w:w="0" w:type="dxa"/>
              <w:end w:w="0" w:type="dxa"/>
            </w:tcMar>
          </w:tcPr>
          <w:p>
            <w:pPr>
              <w:autoSpaceDN w:val="0"/>
              <w:autoSpaceDE w:val="0"/>
              <w:widowControl/>
              <w:spacing w:line="140" w:lineRule="exact" w:before="50" w:after="0"/>
              <w:ind w:left="0" w:right="2" w:firstLine="0"/>
              <w:jc w:val="right"/>
            </w:pPr>
            <w:r>
              <w:rPr>
                <w:rFonts w:ascii="黑体" w:hAnsi="黑体" w:eastAsia="黑体"/>
                <w:b w:val="0"/>
                <w:i w:val="0"/>
                <w:color w:val="000000"/>
                <w:sz w:val="14"/>
              </w:rPr>
              <w:t>余额</w:t>
            </w: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278"/>
            <w:vMerge/>
            <w:tcBorders>
              <w:top w:sz="4.0" w:val="single" w:color="#000000"/>
              <w:bottom w:sz="3.2000000000000455" w:val="single" w:color="#000000"/>
            </w:tcBorders>
          </w:tcPr>
          <w:p/>
        </w:tc>
        <w:tc>
          <w:tcPr>
            <w:tcW w:type="dxa" w:w="1180"/>
            <w:tcBorders>
              <w:bottom w:sz="3.2000000000000455" w:val="single" w:color="#000000"/>
            </w:tcBorders>
            <w:tcMar>
              <w:start w:w="0" w:type="dxa"/>
              <w:end w:w="0" w:type="dxa"/>
            </w:tcMar>
          </w:tcPr>
          <w:p>
            <w:pPr>
              <w:autoSpaceDN w:val="0"/>
              <w:autoSpaceDE w:val="0"/>
              <w:widowControl/>
              <w:spacing w:line="140" w:lineRule="exact" w:before="50" w:after="0"/>
              <w:ind w:left="0" w:right="2" w:firstLine="0"/>
              <w:jc w:val="right"/>
            </w:pPr>
            <w:r>
              <w:rPr>
                <w:rFonts w:ascii="黑体" w:hAnsi="黑体" w:eastAsia="黑体"/>
                <w:b w:val="0"/>
                <w:i w:val="0"/>
                <w:color w:val="000000"/>
                <w:sz w:val="14"/>
              </w:rPr>
              <w:t>余额</w:t>
            </w:r>
          </w:p>
        </w:tc>
      </w:tr>
    </w:tbl>
    <w:p>
      <w:pPr>
        <w:autoSpaceDN w:val="0"/>
        <w:autoSpaceDE w:val="0"/>
        <w:widowControl/>
        <w:spacing w:line="138" w:lineRule="exact" w:before="258" w:after="214"/>
        <w:ind w:left="62" w:right="0" w:firstLine="0"/>
        <w:jc w:val="left"/>
      </w:pPr>
      <w:r>
        <w:rPr>
          <w:rFonts w:ascii="黑体" w:hAnsi="黑体" w:eastAsia="黑体"/>
          <w:b w:val="0"/>
          <w:i w:val="0"/>
          <w:color w:val="000000"/>
          <w:sz w:val="14"/>
        </w:rPr>
        <w:t>资产</w:t>
      </w:r>
    </w:p>
    <w:tbl>
      <w:tblPr>
        <w:tblW w:type="auto" w:w="0"/>
        <w:tblLayout w:type="fixed"/>
        <w:tblLook w:firstColumn="1" w:firstRow="1" w:lastColumn="0" w:lastRow="0" w:noHBand="0" w:noVBand="1" w:val="04A0"/>
        <w:tblInd w:w="21.999999999999886" w:type="dxa"/>
      </w:tblPr>
      <w:tblGrid>
        <w:gridCol w:w="1278"/>
        <w:gridCol w:w="1278"/>
        <w:gridCol w:w="1278"/>
        <w:gridCol w:w="1278"/>
        <w:gridCol w:w="1278"/>
        <w:gridCol w:w="1278"/>
        <w:gridCol w:w="1278"/>
        <w:gridCol w:w="1278"/>
        <w:gridCol w:w="1278"/>
        <w:gridCol w:w="1278"/>
        <w:gridCol w:w="1278"/>
      </w:tblGrid>
      <w:tr>
        <w:trPr>
          <w:trHeight w:hRule="exact" w:val="192"/>
        </w:trPr>
        <w:tc>
          <w:tcPr>
            <w:tcW w:type="dxa" w:w="1918"/>
            <w:tcBorders/>
            <w:tcMar>
              <w:start w:w="0" w:type="dxa"/>
              <w:end w:w="0" w:type="dxa"/>
            </w:tcMar>
          </w:tcPr>
          <w:p>
            <w:pPr>
              <w:autoSpaceDN w:val="0"/>
              <w:autoSpaceDE w:val="0"/>
              <w:widowControl/>
              <w:spacing w:line="140" w:lineRule="exact" w:before="52" w:after="0"/>
              <w:ind w:left="40" w:right="0" w:firstLine="0"/>
              <w:jc w:val="left"/>
            </w:pPr>
            <w:r>
              <w:rPr>
                <w:rFonts w:ascii="黑体" w:hAnsi="黑体" w:eastAsia="黑体"/>
                <w:b w:val="0"/>
                <w:i w:val="0"/>
                <w:color w:val="000000"/>
                <w:sz w:val="14"/>
              </w:rPr>
              <w:t>交易性金融资产</w:t>
            </w:r>
          </w:p>
        </w:tc>
        <w:tc>
          <w:tcPr>
            <w:tcW w:type="dxa" w:w="1062"/>
            <w:vMerge w:val="restart"/>
            <w:tcBorders/>
            <w:tcMar>
              <w:start w:w="0" w:type="dxa"/>
              <w:end w:w="0" w:type="dxa"/>
            </w:tcMar>
            <w:tcMar>
              <w:start w:w="0" w:type="dxa"/>
              <w:end w:w="0" w:type="dxa"/>
            </w:tcMar>
          </w:tcPr>
          <w:p>
            <w:pPr>
              <w:autoSpaceDN w:val="0"/>
              <w:autoSpaceDE w:val="0"/>
              <w:widowControl/>
              <w:spacing w:line="230" w:lineRule="auto" w:before="66" w:after="0"/>
              <w:ind w:left="168" w:right="0" w:firstLine="0"/>
              <w:jc w:val="left"/>
            </w:pPr>
            <w:r>
              <w:rPr>
                <w:rFonts w:ascii="Arial" w:hAnsi="Arial" w:eastAsia="Arial"/>
                <w:b w:val="0"/>
                <w:i w:val="0"/>
                <w:color w:val="000000"/>
                <w:sz w:val="14"/>
              </w:rPr>
              <w:t>1,917,621,834</w:t>
            </w:r>
          </w:p>
        </w:tc>
        <w:tc>
          <w:tcPr>
            <w:tcW w:type="dxa" w:w="1194"/>
            <w:vMerge w:val="restart"/>
            <w:tcBorders/>
            <w:tcMar>
              <w:start w:w="0" w:type="dxa"/>
              <w:end w:w="0" w:type="dxa"/>
            </w:tcMar>
            <w:tcMar>
              <w:start w:w="0" w:type="dxa"/>
              <w:end w:w="0" w:type="dxa"/>
            </w:tcMar>
          </w:tcPr>
          <w:p>
            <w:pPr>
              <w:autoSpaceDN w:val="0"/>
              <w:autoSpaceDE w:val="0"/>
              <w:widowControl/>
              <w:spacing w:line="230" w:lineRule="auto" w:before="66" w:after="0"/>
              <w:ind w:left="0" w:right="76" w:firstLine="0"/>
              <w:jc w:val="right"/>
            </w:pPr>
            <w:r>
              <w:rPr>
                <w:rFonts w:ascii="Arial" w:hAnsi="Arial" w:eastAsia="Arial"/>
                <w:b w:val="0"/>
                <w:i w:val="0"/>
                <w:color w:val="000000"/>
                <w:sz w:val="14"/>
              </w:rPr>
              <w:t xml:space="preserve">- </w:t>
            </w:r>
          </w:p>
        </w:tc>
        <w:tc>
          <w:tcPr>
            <w:tcW w:type="dxa" w:w="1118"/>
            <w:vMerge w:val="restart"/>
            <w:tcBorders/>
            <w:tcMar>
              <w:start w:w="0" w:type="dxa"/>
              <w:end w:w="0" w:type="dxa"/>
            </w:tcMar>
            <w:tcMar>
              <w:start w:w="0" w:type="dxa"/>
              <w:end w:w="0" w:type="dxa"/>
            </w:tcMar>
          </w:tcPr>
          <w:p>
            <w:pPr>
              <w:autoSpaceDN w:val="0"/>
              <w:autoSpaceDE w:val="0"/>
              <w:widowControl/>
              <w:spacing w:line="230" w:lineRule="auto" w:before="66" w:after="0"/>
              <w:ind w:left="0" w:right="28" w:firstLine="0"/>
              <w:jc w:val="right"/>
            </w:pPr>
            <w:r>
              <w:rPr>
                <w:rFonts w:ascii="Arial" w:hAnsi="Arial" w:eastAsia="Arial"/>
                <w:b w:val="0"/>
                <w:i w:val="0"/>
                <w:color w:val="000000"/>
                <w:sz w:val="14"/>
              </w:rPr>
              <w:t xml:space="preserve">(1,026,380) </w:t>
            </w:r>
          </w:p>
        </w:tc>
        <w:tc>
          <w:tcPr>
            <w:tcW w:type="dxa" w:w="1092"/>
            <w:vMerge w:val="restart"/>
            <w:tcBorders/>
            <w:tcMar>
              <w:start w:w="0" w:type="dxa"/>
              <w:end w:w="0" w:type="dxa"/>
            </w:tcMar>
            <w:tcMar>
              <w:start w:w="0" w:type="dxa"/>
              <w:end w:w="0" w:type="dxa"/>
            </w:tcMar>
          </w:tcPr>
          <w:p>
            <w:pPr>
              <w:autoSpaceDN w:val="0"/>
              <w:autoSpaceDE w:val="0"/>
              <w:widowControl/>
              <w:spacing w:line="230" w:lineRule="auto" w:before="66" w:after="0"/>
              <w:ind w:left="140" w:right="0" w:firstLine="0"/>
              <w:jc w:val="left"/>
            </w:pPr>
            <w:r>
              <w:rPr>
                <w:rFonts w:ascii="Arial" w:hAnsi="Arial" w:eastAsia="Arial"/>
                <w:b w:val="0"/>
                <w:i w:val="0"/>
                <w:color w:val="000000"/>
                <w:sz w:val="14"/>
              </w:rPr>
              <w:t xml:space="preserve">(158,152,175 ) </w:t>
            </w:r>
          </w:p>
        </w:tc>
        <w:tc>
          <w:tcPr>
            <w:tcW w:type="dxa" w:w="1356"/>
            <w:vMerge w:val="restart"/>
            <w:tcBorders/>
            <w:tcMar>
              <w:start w:w="0" w:type="dxa"/>
              <w:end w:w="0" w:type="dxa"/>
            </w:tcMar>
            <w:tcMar>
              <w:start w:w="0" w:type="dxa"/>
              <w:end w:w="0" w:type="dxa"/>
            </w:tcMar>
          </w:tcPr>
          <w:p>
            <w:pPr>
              <w:autoSpaceDN w:val="0"/>
              <w:autoSpaceDE w:val="0"/>
              <w:widowControl/>
              <w:spacing w:line="230" w:lineRule="auto" w:before="66" w:after="0"/>
              <w:ind w:left="0" w:right="112" w:firstLine="0"/>
              <w:jc w:val="right"/>
            </w:pPr>
            <w:r>
              <w:rPr>
                <w:rFonts w:ascii="Arial" w:hAnsi="Arial" w:eastAsia="Arial"/>
                <w:b w:val="0"/>
                <w:i w:val="0"/>
                <w:color w:val="000000"/>
                <w:sz w:val="14"/>
              </w:rPr>
              <w:t>-</w:t>
            </w:r>
          </w:p>
        </w:tc>
        <w:tc>
          <w:tcPr>
            <w:tcW w:type="dxa" w:w="1290"/>
            <w:vMerge w:val="restart"/>
            <w:tcBorders/>
            <w:tcMar>
              <w:start w:w="0" w:type="dxa"/>
              <w:end w:w="0" w:type="dxa"/>
            </w:tcMar>
            <w:tcMar>
              <w:start w:w="0" w:type="dxa"/>
              <w:end w:w="0" w:type="dxa"/>
            </w:tcMar>
          </w:tcPr>
          <w:p>
            <w:pPr>
              <w:autoSpaceDN w:val="0"/>
              <w:autoSpaceDE w:val="0"/>
              <w:widowControl/>
              <w:spacing w:line="230" w:lineRule="auto" w:before="66" w:after="0"/>
              <w:ind w:left="0" w:right="172" w:firstLine="0"/>
              <w:jc w:val="right"/>
            </w:pPr>
            <w:r>
              <w:rPr>
                <w:rFonts w:ascii="Arial" w:hAnsi="Arial" w:eastAsia="Arial"/>
                <w:b w:val="0"/>
                <w:i w:val="0"/>
                <w:color w:val="000000"/>
                <w:sz w:val="14"/>
              </w:rPr>
              <w:t>268,618,973</w:t>
            </w:r>
          </w:p>
        </w:tc>
        <w:tc>
          <w:tcPr>
            <w:tcW w:type="dxa" w:w="1308"/>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66" w:after="0"/>
              <w:ind w:left="0" w:right="170" w:firstLine="0"/>
              <w:jc w:val="right"/>
            </w:pPr>
            <w:r>
              <w:rPr>
                <w:rFonts w:ascii="Arial" w:hAnsi="Arial" w:eastAsia="Arial"/>
                <w:b w:val="0"/>
                <w:i w:val="0"/>
                <w:color w:val="000000"/>
                <w:sz w:val="14"/>
              </w:rPr>
              <w:t>-</w:t>
            </w:r>
          </w:p>
        </w:tc>
        <w:tc>
          <w:tcPr>
            <w:tcW w:type="dxa" w:w="1296"/>
            <w:vMerge w:val="restart"/>
            <w:tcBorders/>
            <w:tcMar>
              <w:start w:w="0" w:type="dxa"/>
              <w:end w:w="0" w:type="dxa"/>
            </w:tcMar>
            <w:tcMar>
              <w:start w:w="0" w:type="dxa"/>
              <w:end w:w="0" w:type="dxa"/>
            </w:tcMar>
          </w:tcPr>
          <w:p>
            <w:pPr>
              <w:autoSpaceDN w:val="0"/>
              <w:autoSpaceDE w:val="0"/>
              <w:widowControl/>
              <w:spacing w:line="230" w:lineRule="auto" w:before="66" w:after="0"/>
              <w:ind w:left="0" w:right="22" w:firstLine="0"/>
              <w:jc w:val="right"/>
            </w:pPr>
            <w:r>
              <w:rPr>
                <w:rFonts w:ascii="Arial" w:hAnsi="Arial" w:eastAsia="Arial"/>
                <w:b w:val="0"/>
                <w:i w:val="0"/>
                <w:color w:val="000000"/>
                <w:sz w:val="14"/>
              </w:rPr>
              <w:t xml:space="preserve">(319,191,356 ) </w:t>
            </w:r>
          </w:p>
        </w:tc>
        <w:tc>
          <w:tcPr>
            <w:tcW w:type="dxa" w:w="1074"/>
            <w:vMerge w:val="restart"/>
            <w:tcBorders/>
            <w:tcMar>
              <w:start w:w="0" w:type="dxa"/>
              <w:end w:w="0" w:type="dxa"/>
            </w:tcMar>
            <w:tcMar>
              <w:start w:w="0" w:type="dxa"/>
              <w:end w:w="0" w:type="dxa"/>
            </w:tcMar>
          </w:tcPr>
          <w:p>
            <w:pPr>
              <w:autoSpaceDN w:val="0"/>
              <w:autoSpaceDE w:val="0"/>
              <w:widowControl/>
              <w:spacing w:line="230" w:lineRule="auto" w:before="66" w:after="0"/>
              <w:ind w:left="180" w:right="0" w:firstLine="0"/>
              <w:jc w:val="left"/>
            </w:pPr>
            <w:r>
              <w:rPr>
                <w:rFonts w:ascii="Arial" w:hAnsi="Arial" w:eastAsia="Arial"/>
                <w:b w:val="0"/>
                <w:i w:val="0"/>
                <w:color w:val="000000"/>
                <w:sz w:val="14"/>
              </w:rPr>
              <w:t>1,707,870,896</w:t>
            </w:r>
          </w:p>
        </w:tc>
      </w:tr>
      <w:tr>
        <w:trPr>
          <w:trHeight w:hRule="exact" w:val="54"/>
        </w:trPr>
        <w:tc>
          <w:tcPr>
            <w:tcW w:type="dxa" w:w="1918"/>
            <w:vMerge w:val="restart"/>
            <w:tcBorders/>
            <w:tcMar>
              <w:start w:w="0" w:type="dxa"/>
              <w:end w:w="0" w:type="dxa"/>
            </w:tcMar>
            <w:tcMar>
              <w:start w:w="0" w:type="dxa"/>
              <w:end w:w="0" w:type="dxa"/>
            </w:tcMar>
          </w:tcPr>
          <w:p>
            <w:pPr>
              <w:autoSpaceDN w:val="0"/>
              <w:autoSpaceDE w:val="0"/>
              <w:widowControl/>
              <w:spacing w:line="140" w:lineRule="exact" w:before="76" w:after="0"/>
              <w:ind w:left="180" w:right="0" w:firstLine="0"/>
              <w:jc w:val="left"/>
            </w:pPr>
            <w:r>
              <w:rPr>
                <w:rFonts w:ascii="黑体" w:hAnsi="黑体" w:eastAsia="黑体"/>
                <w:b w:val="0"/>
                <w:i w:val="0"/>
                <w:color w:val="000000"/>
                <w:sz w:val="14"/>
              </w:rPr>
              <w:t>债券</w:t>
            </w: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r>
      <w:tr>
        <w:trPr>
          <w:trHeight w:hRule="exact" w:val="166"/>
        </w:trPr>
        <w:tc>
          <w:tcPr>
            <w:tcW w:type="dxa" w:w="1278"/>
            <w:vMerge/>
            <w:tcBorders/>
          </w:tcPr>
          <w:p/>
        </w:tc>
        <w:tc>
          <w:tcPr>
            <w:tcW w:type="dxa" w:w="1062"/>
            <w:tcBorders/>
            <w:tcMar>
              <w:start w:w="0" w:type="dxa"/>
              <w:end w:w="0" w:type="dxa"/>
            </w:tcMar>
          </w:tcPr>
          <w:p>
            <w:pPr>
              <w:autoSpaceDN w:val="0"/>
              <w:autoSpaceDE w:val="0"/>
              <w:widowControl/>
              <w:spacing w:line="233" w:lineRule="auto" w:before="10" w:after="0"/>
              <w:ind w:left="0" w:right="2" w:firstLine="0"/>
              <w:jc w:val="right"/>
            </w:pPr>
            <w:r>
              <w:rPr>
                <w:rFonts w:ascii="Arial" w:hAnsi="Arial" w:eastAsia="Arial"/>
                <w:b w:val="0"/>
                <w:i w:val="0"/>
                <w:color w:val="000000"/>
                <w:sz w:val="14"/>
              </w:rPr>
              <w:t>226,026</w:t>
            </w:r>
          </w:p>
        </w:tc>
        <w:tc>
          <w:tcPr>
            <w:tcW w:type="dxa" w:w="1194"/>
            <w:tcBorders/>
            <w:tcMar>
              <w:start w:w="0" w:type="dxa"/>
              <w:end w:w="0" w:type="dxa"/>
            </w:tcMar>
          </w:tcPr>
          <w:p>
            <w:pPr>
              <w:autoSpaceDN w:val="0"/>
              <w:autoSpaceDE w:val="0"/>
              <w:widowControl/>
              <w:spacing w:line="233" w:lineRule="auto" w:before="10"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3" w:lineRule="auto" w:before="10"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3" w:lineRule="auto" w:before="10" w:after="0"/>
              <w:ind w:left="0" w:right="88" w:firstLine="0"/>
              <w:jc w:val="right"/>
            </w:pPr>
            <w:r>
              <w:rPr>
                <w:rFonts w:ascii="Arial" w:hAnsi="Arial" w:eastAsia="Arial"/>
                <w:b w:val="0"/>
                <w:i w:val="0"/>
                <w:color w:val="000000"/>
                <w:sz w:val="14"/>
              </w:rPr>
              <w:t xml:space="preserve">- </w:t>
            </w:r>
          </w:p>
        </w:tc>
        <w:tc>
          <w:tcPr>
            <w:tcW w:type="dxa" w:w="1356"/>
            <w:tcBorders/>
            <w:tcMar>
              <w:start w:w="0" w:type="dxa"/>
              <w:end w:w="0" w:type="dxa"/>
            </w:tcMar>
          </w:tcPr>
          <w:p>
            <w:pPr>
              <w:autoSpaceDN w:val="0"/>
              <w:autoSpaceDE w:val="0"/>
              <w:widowControl/>
              <w:spacing w:line="233" w:lineRule="auto" w:before="10"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296"/>
            <w:tcBorders/>
            <w:tcMar>
              <w:start w:w="0" w:type="dxa"/>
              <w:end w:w="0" w:type="dxa"/>
            </w:tcMar>
          </w:tcPr>
          <w:p>
            <w:pPr>
              <w:autoSpaceDN w:val="0"/>
              <w:autoSpaceDE w:val="0"/>
              <w:widowControl/>
              <w:spacing w:line="233" w:lineRule="auto" w:before="10" w:after="0"/>
              <w:ind w:left="0" w:right="70"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3" w:lineRule="auto" w:before="10" w:after="0"/>
              <w:ind w:left="0" w:right="2" w:firstLine="0"/>
              <w:jc w:val="right"/>
            </w:pPr>
            <w:r>
              <w:rPr>
                <w:rFonts w:ascii="Arial" w:hAnsi="Arial" w:eastAsia="Arial"/>
                <w:b w:val="0"/>
                <w:i w:val="0"/>
                <w:color w:val="000000"/>
                <w:sz w:val="14"/>
              </w:rPr>
              <w:t>226,026</w:t>
            </w:r>
          </w:p>
        </w:tc>
      </w:tr>
      <w:tr>
        <w:trPr>
          <w:trHeight w:hRule="exact" w:val="200"/>
        </w:trPr>
        <w:tc>
          <w:tcPr>
            <w:tcW w:type="dxa" w:w="1918"/>
            <w:tcBorders/>
            <w:tcMar>
              <w:start w:w="0" w:type="dxa"/>
              <w:end w:w="0" w:type="dxa"/>
            </w:tcMar>
          </w:tcPr>
          <w:p>
            <w:pPr>
              <w:autoSpaceDN w:val="0"/>
              <w:autoSpaceDE w:val="0"/>
              <w:widowControl/>
              <w:spacing w:line="138" w:lineRule="exact" w:before="62" w:after="0"/>
              <w:ind w:left="180" w:right="0" w:firstLine="0"/>
              <w:jc w:val="left"/>
            </w:pPr>
            <w:r>
              <w:rPr>
                <w:rFonts w:ascii="黑体" w:hAnsi="黑体" w:eastAsia="黑体"/>
                <w:b w:val="0"/>
                <w:i w:val="0"/>
                <w:color w:val="000000"/>
                <w:sz w:val="14"/>
              </w:rPr>
              <w:t>股票</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210,427,229</w:t>
            </w:r>
          </w:p>
        </w:tc>
        <w:tc>
          <w:tcPr>
            <w:tcW w:type="dxa" w:w="1194"/>
            <w:vMerge w:val="restart"/>
            <w:tcBorders/>
            <w:tcMar>
              <w:start w:w="0" w:type="dxa"/>
              <w:end w:w="0" w:type="dxa"/>
            </w:tcMar>
            <w:tcMar>
              <w:start w:w="0" w:type="dxa"/>
              <w:end w:w="0" w:type="dxa"/>
            </w:tcMar>
          </w:tcPr>
          <w:p>
            <w:pPr>
              <w:autoSpaceDN w:val="0"/>
              <w:autoSpaceDE w:val="0"/>
              <w:widowControl/>
              <w:spacing w:line="233" w:lineRule="auto" w:before="66" w:after="0"/>
              <w:ind w:left="0" w:right="76" w:firstLine="0"/>
              <w:jc w:val="right"/>
            </w:pPr>
            <w:r>
              <w:rPr>
                <w:rFonts w:ascii="Arial" w:hAnsi="Arial" w:eastAsia="Arial"/>
                <w:b w:val="0"/>
                <w:i w:val="0"/>
                <w:color w:val="000000"/>
                <w:sz w:val="14"/>
              </w:rPr>
              <w:t xml:space="preserve">- </w:t>
            </w:r>
          </w:p>
        </w:tc>
        <w:tc>
          <w:tcPr>
            <w:tcW w:type="dxa" w:w="1118"/>
            <w:vMerge w:val="restart"/>
            <w:tcBorders/>
            <w:tcMar>
              <w:start w:w="0" w:type="dxa"/>
              <w:end w:w="0" w:type="dxa"/>
            </w:tcMar>
            <w:tcMar>
              <w:start w:w="0" w:type="dxa"/>
              <w:end w:w="0" w:type="dxa"/>
            </w:tcMar>
          </w:tcPr>
          <w:p>
            <w:pPr>
              <w:autoSpaceDN w:val="0"/>
              <w:autoSpaceDE w:val="0"/>
              <w:widowControl/>
              <w:spacing w:line="233" w:lineRule="auto" w:before="66" w:after="0"/>
              <w:ind w:left="0" w:right="112" w:firstLine="0"/>
              <w:jc w:val="right"/>
            </w:pPr>
            <w:r>
              <w:rPr>
                <w:rFonts w:ascii="Arial" w:hAnsi="Arial" w:eastAsia="Arial"/>
                <w:b w:val="0"/>
                <w:i w:val="0"/>
                <w:color w:val="000000"/>
                <w:sz w:val="14"/>
              </w:rPr>
              <w:t>-</w:t>
            </w:r>
          </w:p>
        </w:tc>
        <w:tc>
          <w:tcPr>
            <w:tcW w:type="dxa" w:w="1092"/>
            <w:vMerge w:val="restart"/>
            <w:tcBorders/>
            <w:tcMar>
              <w:start w:w="0" w:type="dxa"/>
              <w:end w:w="0" w:type="dxa"/>
            </w:tcMar>
            <w:tcMar>
              <w:start w:w="0" w:type="dxa"/>
              <w:end w:w="0" w:type="dxa"/>
            </w:tcMar>
          </w:tcPr>
          <w:p>
            <w:pPr>
              <w:autoSpaceDN w:val="0"/>
              <w:autoSpaceDE w:val="0"/>
              <w:widowControl/>
              <w:spacing w:line="233" w:lineRule="auto" w:before="66" w:after="0"/>
              <w:ind w:left="264" w:right="0" w:firstLine="0"/>
              <w:jc w:val="left"/>
            </w:pPr>
            <w:r>
              <w:rPr>
                <w:rFonts w:ascii="Arial" w:hAnsi="Arial" w:eastAsia="Arial"/>
                <w:b w:val="0"/>
                <w:i w:val="0"/>
                <w:color w:val="000000"/>
                <w:sz w:val="14"/>
              </w:rPr>
              <w:t xml:space="preserve">20,032,602 </w:t>
            </w:r>
          </w:p>
        </w:tc>
        <w:tc>
          <w:tcPr>
            <w:tcW w:type="dxa" w:w="1356"/>
            <w:vMerge w:val="restart"/>
            <w:tcBorders/>
            <w:tcMar>
              <w:start w:w="0" w:type="dxa"/>
              <w:end w:w="0" w:type="dxa"/>
            </w:tcMar>
            <w:tcMar>
              <w:start w:w="0" w:type="dxa"/>
              <w:end w:w="0" w:type="dxa"/>
            </w:tcMar>
          </w:tcPr>
          <w:p>
            <w:pPr>
              <w:autoSpaceDN w:val="0"/>
              <w:autoSpaceDE w:val="0"/>
              <w:widowControl/>
              <w:spacing w:line="233" w:lineRule="auto" w:before="66" w:after="0"/>
              <w:ind w:left="0" w:right="112" w:firstLine="0"/>
              <w:jc w:val="right"/>
            </w:pPr>
            <w:r>
              <w:rPr>
                <w:rFonts w:ascii="Arial" w:hAnsi="Arial" w:eastAsia="Arial"/>
                <w:b w:val="0"/>
                <w:i w:val="0"/>
                <w:color w:val="000000"/>
                <w:sz w:val="14"/>
              </w:rPr>
              <w:t>-</w:t>
            </w:r>
          </w:p>
        </w:tc>
        <w:tc>
          <w:tcPr>
            <w:tcW w:type="dxa" w:w="1290"/>
            <w:vMerge w:val="restart"/>
            <w:tcBorders/>
            <w:tcMar>
              <w:start w:w="0" w:type="dxa"/>
              <w:end w:w="0" w:type="dxa"/>
            </w:tcMar>
            <w:tcMar>
              <w:start w:w="0" w:type="dxa"/>
              <w:end w:w="0" w:type="dxa"/>
            </w:tcMar>
          </w:tcPr>
          <w:p>
            <w:pPr>
              <w:autoSpaceDN w:val="0"/>
              <w:autoSpaceDE w:val="0"/>
              <w:widowControl/>
              <w:spacing w:line="233" w:lineRule="auto" w:before="66" w:after="0"/>
              <w:ind w:left="0" w:right="174" w:firstLine="0"/>
              <w:jc w:val="right"/>
            </w:pPr>
            <w:r>
              <w:rPr>
                <w:rFonts w:ascii="Arial" w:hAnsi="Arial" w:eastAsia="Arial"/>
                <w:b w:val="0"/>
                <w:i w:val="0"/>
                <w:color w:val="000000"/>
                <w:sz w:val="14"/>
              </w:rPr>
              <w:t>20,618,973</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66" w:after="0"/>
              <w:ind w:left="0" w:right="170" w:firstLine="0"/>
              <w:jc w:val="right"/>
            </w:pPr>
            <w:r>
              <w:rPr>
                <w:rFonts w:ascii="Arial" w:hAnsi="Arial" w:eastAsia="Arial"/>
                <w:b w:val="0"/>
                <w:i w:val="0"/>
                <w:color w:val="000000"/>
                <w:sz w:val="14"/>
              </w:rPr>
              <w:t xml:space="preserve"> -</w:t>
            </w:r>
          </w:p>
        </w:tc>
        <w:tc>
          <w:tcPr>
            <w:tcW w:type="dxa" w:w="1296"/>
            <w:vMerge w:val="restart"/>
            <w:tcBorders/>
            <w:tcMar>
              <w:start w:w="0" w:type="dxa"/>
              <w:end w:w="0" w:type="dxa"/>
            </w:tcMar>
            <w:tcMar>
              <w:start w:w="0" w:type="dxa"/>
              <w:end w:w="0" w:type="dxa"/>
            </w:tcMar>
          </w:tcPr>
          <w:p>
            <w:pPr>
              <w:autoSpaceDN w:val="0"/>
              <w:autoSpaceDE w:val="0"/>
              <w:widowControl/>
              <w:spacing w:line="233" w:lineRule="auto" w:before="66" w:after="0"/>
              <w:ind w:left="0" w:right="22" w:firstLine="0"/>
              <w:jc w:val="right"/>
            </w:pPr>
            <w:r>
              <w:rPr>
                <w:rFonts w:ascii="Arial" w:hAnsi="Arial" w:eastAsia="Arial"/>
                <w:b w:val="0"/>
                <w:i w:val="0"/>
                <w:color w:val="000000"/>
                <w:sz w:val="14"/>
              </w:rPr>
              <w:t xml:space="preserve">(24,721,677 )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226,357,127</w:t>
            </w:r>
          </w:p>
        </w:tc>
      </w:tr>
      <w:tr>
        <w:trPr>
          <w:trHeight w:hRule="exact" w:val="50"/>
        </w:trPr>
        <w:tc>
          <w:tcPr>
            <w:tcW w:type="dxa" w:w="1918"/>
            <w:vMerge w:val="restart"/>
            <w:tcBorders/>
            <w:tcMar>
              <w:start w:w="0" w:type="dxa"/>
              <w:end w:w="0" w:type="dxa"/>
            </w:tcMar>
            <w:tcMar>
              <w:start w:w="0" w:type="dxa"/>
              <w:end w:w="0" w:type="dxa"/>
            </w:tcMar>
          </w:tcPr>
          <w:p>
            <w:pPr>
              <w:autoSpaceDN w:val="0"/>
              <w:autoSpaceDE w:val="0"/>
              <w:widowControl/>
              <w:spacing w:line="140" w:lineRule="exact" w:before="70" w:after="0"/>
              <w:ind w:left="180" w:right="0" w:firstLine="0"/>
              <w:jc w:val="left"/>
            </w:pPr>
            <w:r>
              <w:rPr>
                <w:rFonts w:ascii="黑体" w:hAnsi="黑体" w:eastAsia="黑体"/>
                <w:b w:val="0"/>
                <w:i w:val="0"/>
                <w:color w:val="000000"/>
                <w:sz w:val="14"/>
              </w:rPr>
              <w:t>股权</w:t>
            </w: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r>
      <w:tr>
        <w:trPr>
          <w:trHeight w:hRule="exact" w:val="170"/>
        </w:trPr>
        <w:tc>
          <w:tcPr>
            <w:tcW w:type="dxa" w:w="1278"/>
            <w:vMerge/>
            <w:tcBorders/>
          </w:tcPr>
          <w:p/>
        </w:tc>
        <w:tc>
          <w:tcPr>
            <w:tcW w:type="dxa" w:w="1062"/>
            <w:tcBorders/>
            <w:tcMar>
              <w:start w:w="0" w:type="dxa"/>
              <w:end w:w="0" w:type="dxa"/>
            </w:tcMar>
          </w:tcPr>
          <w:p>
            <w:pPr>
              <w:autoSpaceDN w:val="0"/>
              <w:autoSpaceDE w:val="0"/>
              <w:widowControl/>
              <w:spacing w:line="230" w:lineRule="auto" w:before="16" w:after="0"/>
              <w:ind w:left="168" w:right="0" w:firstLine="0"/>
              <w:jc w:val="left"/>
            </w:pPr>
            <w:r>
              <w:rPr>
                <w:rFonts w:ascii="Arial" w:hAnsi="Arial" w:eastAsia="Arial"/>
                <w:b w:val="0"/>
                <w:i w:val="0"/>
                <w:color w:val="000000"/>
                <w:sz w:val="14"/>
              </w:rPr>
              <w:t>1,269,237,425</w:t>
            </w:r>
          </w:p>
        </w:tc>
        <w:tc>
          <w:tcPr>
            <w:tcW w:type="dxa" w:w="1194"/>
            <w:tcBorders/>
            <w:tcMar>
              <w:start w:w="0" w:type="dxa"/>
              <w:end w:w="0" w:type="dxa"/>
            </w:tcMar>
          </w:tcPr>
          <w:p>
            <w:pPr>
              <w:autoSpaceDN w:val="0"/>
              <w:autoSpaceDE w:val="0"/>
              <w:widowControl/>
              <w:spacing w:line="230" w:lineRule="auto" w:before="16"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0" w:lineRule="auto" w:before="16"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0" w:lineRule="auto" w:before="16" w:after="0"/>
              <w:ind w:left="140" w:right="0" w:firstLine="0"/>
              <w:jc w:val="left"/>
            </w:pPr>
            <w:r>
              <w:rPr>
                <w:rFonts w:ascii="Arial" w:hAnsi="Arial" w:eastAsia="Arial"/>
                <w:b w:val="0"/>
                <w:i w:val="0"/>
                <w:color w:val="000000"/>
                <w:sz w:val="14"/>
              </w:rPr>
              <w:t xml:space="preserve">(137,781,191 ) </w:t>
            </w:r>
          </w:p>
        </w:tc>
        <w:tc>
          <w:tcPr>
            <w:tcW w:type="dxa" w:w="1356"/>
            <w:tcBorders/>
            <w:tcMar>
              <w:start w:w="0" w:type="dxa"/>
              <w:end w:w="0" w:type="dxa"/>
            </w:tcMar>
          </w:tcPr>
          <w:p>
            <w:pPr>
              <w:autoSpaceDN w:val="0"/>
              <w:autoSpaceDE w:val="0"/>
              <w:widowControl/>
              <w:spacing w:line="230" w:lineRule="auto" w:before="16"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0" w:lineRule="auto" w:before="16" w:after="0"/>
              <w:ind w:left="0" w:right="172" w:firstLine="0"/>
              <w:jc w:val="right"/>
            </w:pPr>
            <w:r>
              <w:rPr>
                <w:rFonts w:ascii="Arial" w:hAnsi="Arial" w:eastAsia="Arial"/>
                <w:b w:val="0"/>
                <w:i w:val="0"/>
                <w:color w:val="000000"/>
                <w:sz w:val="14"/>
              </w:rPr>
              <w:t>136,000,000</w:t>
            </w:r>
          </w:p>
        </w:tc>
        <w:tc>
          <w:tcPr>
            <w:tcW w:type="dxa" w:w="1308"/>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0" w:lineRule="auto" w:before="16" w:after="0"/>
              <w:ind w:left="0" w:right="170" w:firstLine="0"/>
              <w:jc w:val="right"/>
            </w:pPr>
            <w:r>
              <w:rPr>
                <w:rFonts w:ascii="Arial" w:hAnsi="Arial" w:eastAsia="Arial"/>
                <w:b w:val="0"/>
                <w:i w:val="0"/>
                <w:color w:val="000000"/>
                <w:sz w:val="14"/>
              </w:rPr>
              <w:t xml:space="preserve"> -</w:t>
            </w:r>
          </w:p>
        </w:tc>
        <w:tc>
          <w:tcPr>
            <w:tcW w:type="dxa" w:w="1296"/>
            <w:tcBorders/>
            <w:tcMar>
              <w:start w:w="0" w:type="dxa"/>
              <w:end w:w="0" w:type="dxa"/>
            </w:tcMar>
          </w:tcPr>
          <w:p>
            <w:pPr>
              <w:autoSpaceDN w:val="0"/>
              <w:autoSpaceDE w:val="0"/>
              <w:widowControl/>
              <w:spacing w:line="230" w:lineRule="auto" w:before="16" w:after="0"/>
              <w:ind w:left="0" w:right="22" w:firstLine="0"/>
              <w:jc w:val="right"/>
            </w:pPr>
            <w:r>
              <w:rPr>
                <w:rFonts w:ascii="Arial" w:hAnsi="Arial" w:eastAsia="Arial"/>
                <w:b w:val="0"/>
                <w:i w:val="0"/>
                <w:color w:val="000000"/>
                <w:sz w:val="14"/>
              </w:rPr>
              <w:t xml:space="preserve">(61,544,011 ) </w:t>
            </w:r>
          </w:p>
        </w:tc>
        <w:tc>
          <w:tcPr>
            <w:tcW w:type="dxa" w:w="1074"/>
            <w:tcBorders/>
            <w:tcMar>
              <w:start w:w="0" w:type="dxa"/>
              <w:end w:w="0" w:type="dxa"/>
            </w:tcMar>
          </w:tcPr>
          <w:p>
            <w:pPr>
              <w:autoSpaceDN w:val="0"/>
              <w:autoSpaceDE w:val="0"/>
              <w:widowControl/>
              <w:spacing w:line="230" w:lineRule="auto" w:before="16" w:after="0"/>
              <w:ind w:left="180" w:right="0" w:firstLine="0"/>
              <w:jc w:val="left"/>
            </w:pPr>
            <w:r>
              <w:rPr>
                <w:rFonts w:ascii="Arial" w:hAnsi="Arial" w:eastAsia="Arial"/>
                <w:b w:val="0"/>
                <w:i w:val="0"/>
                <w:color w:val="000000"/>
                <w:sz w:val="14"/>
              </w:rPr>
              <w:t>1,205,912,223</w:t>
            </w:r>
          </w:p>
        </w:tc>
      </w:tr>
      <w:tr>
        <w:trPr>
          <w:trHeight w:hRule="exact" w:val="200"/>
        </w:trPr>
        <w:tc>
          <w:tcPr>
            <w:tcW w:type="dxa" w:w="1918"/>
            <w:tcBorders/>
            <w:tcMar>
              <w:start w:w="0" w:type="dxa"/>
              <w:end w:w="0" w:type="dxa"/>
            </w:tcMar>
          </w:tcPr>
          <w:p>
            <w:pPr>
              <w:autoSpaceDN w:val="0"/>
              <w:autoSpaceDE w:val="0"/>
              <w:widowControl/>
              <w:spacing w:line="140" w:lineRule="exact" w:before="56" w:after="0"/>
              <w:ind w:left="180" w:right="0" w:firstLine="0"/>
              <w:jc w:val="left"/>
            </w:pPr>
            <w:r>
              <w:rPr>
                <w:rFonts w:ascii="黑体" w:hAnsi="黑体" w:eastAsia="黑体"/>
                <w:b w:val="0"/>
                <w:i w:val="0"/>
                <w:color w:val="000000"/>
                <w:sz w:val="14"/>
              </w:rPr>
              <w:t>债权</w:t>
            </w:r>
          </w:p>
        </w:tc>
        <w:tc>
          <w:tcPr>
            <w:tcW w:type="dxa" w:w="10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169,796,786</w:t>
            </w:r>
          </w:p>
        </w:tc>
        <w:tc>
          <w:tcPr>
            <w:tcW w:type="dxa" w:w="1194"/>
            <w:tcBorders/>
            <w:tcMar>
              <w:start w:w="0" w:type="dxa"/>
              <w:end w:w="0" w:type="dxa"/>
            </w:tcMar>
          </w:tcPr>
          <w:p>
            <w:pPr>
              <w:autoSpaceDN w:val="0"/>
              <w:autoSpaceDE w:val="0"/>
              <w:widowControl/>
              <w:spacing w:line="233" w:lineRule="auto" w:before="44"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3" w:lineRule="auto" w:before="44"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3" w:lineRule="auto" w:before="44" w:after="0"/>
              <w:ind w:left="218" w:right="0" w:firstLine="0"/>
              <w:jc w:val="left"/>
            </w:pPr>
            <w:r>
              <w:rPr>
                <w:rFonts w:ascii="Arial" w:hAnsi="Arial" w:eastAsia="Arial"/>
                <w:b w:val="0"/>
                <w:i w:val="0"/>
                <w:color w:val="000000"/>
                <w:sz w:val="14"/>
              </w:rPr>
              <w:t xml:space="preserve">(31,529,519 ) </w:t>
            </w:r>
          </w:p>
        </w:tc>
        <w:tc>
          <w:tcPr>
            <w:tcW w:type="dxa" w:w="1356"/>
            <w:tcBorders/>
            <w:tcMar>
              <w:start w:w="0" w:type="dxa"/>
              <w:end w:w="0" w:type="dxa"/>
            </w:tcMar>
          </w:tcPr>
          <w:p>
            <w:pPr>
              <w:autoSpaceDN w:val="0"/>
              <w:autoSpaceDE w:val="0"/>
              <w:widowControl/>
              <w:spacing w:line="233" w:lineRule="auto" w:before="44"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 xml:space="preserve"> -</w:t>
            </w:r>
          </w:p>
        </w:tc>
        <w:tc>
          <w:tcPr>
            <w:tcW w:type="dxa" w:w="1296"/>
            <w:tcBorders/>
            <w:tcMar>
              <w:start w:w="0" w:type="dxa"/>
              <w:end w:w="0" w:type="dxa"/>
            </w:tcMar>
          </w:tcPr>
          <w:p>
            <w:pPr>
              <w:autoSpaceDN w:val="0"/>
              <w:autoSpaceDE w:val="0"/>
              <w:widowControl/>
              <w:spacing w:line="233" w:lineRule="auto" w:before="44" w:after="0"/>
              <w:ind w:left="0" w:right="22" w:firstLine="0"/>
              <w:jc w:val="right"/>
            </w:pPr>
            <w:r>
              <w:rPr>
                <w:rFonts w:ascii="Arial" w:hAnsi="Arial" w:eastAsia="Arial"/>
                <w:b w:val="0"/>
                <w:i w:val="0"/>
                <w:color w:val="000000"/>
                <w:sz w:val="14"/>
              </w:rPr>
              <w:t xml:space="preserve">(128,990,152 ) </w:t>
            </w:r>
          </w:p>
        </w:tc>
        <w:tc>
          <w:tcPr>
            <w:tcW w:type="dxa" w:w="1074"/>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9,277,115</w:t>
            </w:r>
          </w:p>
        </w:tc>
      </w:tr>
      <w:tr>
        <w:trPr>
          <w:trHeight w:hRule="exact" w:val="200"/>
        </w:trPr>
        <w:tc>
          <w:tcPr>
            <w:tcW w:type="dxa" w:w="1918"/>
            <w:tcBorders/>
            <w:tcMar>
              <w:start w:w="0" w:type="dxa"/>
              <w:end w:w="0" w:type="dxa"/>
            </w:tcMar>
          </w:tcPr>
          <w:p>
            <w:pPr>
              <w:autoSpaceDN w:val="0"/>
              <w:autoSpaceDE w:val="0"/>
              <w:widowControl/>
              <w:spacing w:line="140" w:lineRule="exact" w:before="60" w:after="0"/>
              <w:ind w:left="180" w:right="0" w:firstLine="0"/>
              <w:jc w:val="left"/>
            </w:pPr>
            <w:r>
              <w:rPr>
                <w:rFonts w:ascii="黑体" w:hAnsi="黑体" w:eastAsia="黑体"/>
                <w:b w:val="0"/>
                <w:i w:val="0"/>
                <w:color w:val="000000"/>
                <w:sz w:val="14"/>
              </w:rPr>
              <w:t>资管计划</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68" w:after="0"/>
              <w:ind w:left="0" w:right="2" w:firstLine="0"/>
              <w:jc w:val="right"/>
            </w:pPr>
            <w:r>
              <w:rPr>
                <w:rFonts w:ascii="Arial" w:hAnsi="Arial" w:eastAsia="Arial"/>
                <w:b w:val="0"/>
                <w:i w:val="0"/>
                <w:color w:val="000000"/>
                <w:sz w:val="14"/>
              </w:rPr>
              <w:t>151,761,836</w:t>
            </w:r>
          </w:p>
        </w:tc>
        <w:tc>
          <w:tcPr>
            <w:tcW w:type="dxa" w:w="1194"/>
            <w:vMerge w:val="restart"/>
            <w:tcBorders/>
            <w:tcMar>
              <w:start w:w="0" w:type="dxa"/>
              <w:end w:w="0" w:type="dxa"/>
            </w:tcMar>
            <w:tcMar>
              <w:start w:w="0" w:type="dxa"/>
              <w:end w:w="0" w:type="dxa"/>
            </w:tcMar>
          </w:tcPr>
          <w:p>
            <w:pPr>
              <w:autoSpaceDN w:val="0"/>
              <w:autoSpaceDE w:val="0"/>
              <w:widowControl/>
              <w:spacing w:line="233" w:lineRule="auto" w:before="68" w:after="0"/>
              <w:ind w:left="0" w:right="76" w:firstLine="0"/>
              <w:jc w:val="right"/>
            </w:pPr>
            <w:r>
              <w:rPr>
                <w:rFonts w:ascii="Arial" w:hAnsi="Arial" w:eastAsia="Arial"/>
                <w:b w:val="0"/>
                <w:i w:val="0"/>
                <w:color w:val="000000"/>
                <w:sz w:val="14"/>
              </w:rPr>
              <w:t xml:space="preserve">- </w:t>
            </w:r>
          </w:p>
        </w:tc>
        <w:tc>
          <w:tcPr>
            <w:tcW w:type="dxa" w:w="1118"/>
            <w:vMerge w:val="restart"/>
            <w:tcBorders/>
            <w:tcMar>
              <w:start w:w="0" w:type="dxa"/>
              <w:end w:w="0" w:type="dxa"/>
            </w:tcMar>
            <w:tcMar>
              <w:start w:w="0" w:type="dxa"/>
              <w:end w:w="0" w:type="dxa"/>
            </w:tcMar>
          </w:tcPr>
          <w:p>
            <w:pPr>
              <w:autoSpaceDN w:val="0"/>
              <w:autoSpaceDE w:val="0"/>
              <w:widowControl/>
              <w:spacing w:line="233" w:lineRule="auto" w:before="68" w:after="0"/>
              <w:ind w:left="0" w:right="112" w:firstLine="0"/>
              <w:jc w:val="right"/>
            </w:pPr>
            <w:r>
              <w:rPr>
                <w:rFonts w:ascii="Arial" w:hAnsi="Arial" w:eastAsia="Arial"/>
                <w:b w:val="0"/>
                <w:i w:val="0"/>
                <w:color w:val="000000"/>
                <w:sz w:val="14"/>
              </w:rPr>
              <w:t>-</w:t>
            </w:r>
          </w:p>
        </w:tc>
        <w:tc>
          <w:tcPr>
            <w:tcW w:type="dxa" w:w="1092"/>
            <w:vMerge w:val="restart"/>
            <w:tcBorders/>
            <w:tcMar>
              <w:start w:w="0" w:type="dxa"/>
              <w:end w:w="0" w:type="dxa"/>
            </w:tcMar>
            <w:tcMar>
              <w:start w:w="0" w:type="dxa"/>
              <w:end w:w="0" w:type="dxa"/>
            </w:tcMar>
          </w:tcPr>
          <w:p>
            <w:pPr>
              <w:autoSpaceDN w:val="0"/>
              <w:autoSpaceDE w:val="0"/>
              <w:widowControl/>
              <w:spacing w:line="233" w:lineRule="auto" w:before="68" w:after="0"/>
              <w:ind w:left="0" w:right="88" w:firstLine="0"/>
              <w:jc w:val="right"/>
            </w:pPr>
            <w:r>
              <w:rPr>
                <w:rFonts w:ascii="Arial" w:hAnsi="Arial" w:eastAsia="Arial"/>
                <w:b w:val="0"/>
                <w:i w:val="0"/>
                <w:color w:val="000000"/>
                <w:sz w:val="14"/>
              </w:rPr>
              <w:t xml:space="preserve">835,418 </w:t>
            </w:r>
          </w:p>
        </w:tc>
        <w:tc>
          <w:tcPr>
            <w:tcW w:type="dxa" w:w="1356"/>
            <w:vMerge w:val="restart"/>
            <w:tcBorders/>
            <w:tcMar>
              <w:start w:w="0" w:type="dxa"/>
              <w:end w:w="0" w:type="dxa"/>
            </w:tcMar>
            <w:tcMar>
              <w:start w:w="0" w:type="dxa"/>
              <w:end w:w="0" w:type="dxa"/>
            </w:tcMar>
          </w:tcPr>
          <w:p>
            <w:pPr>
              <w:autoSpaceDN w:val="0"/>
              <w:autoSpaceDE w:val="0"/>
              <w:widowControl/>
              <w:spacing w:line="233" w:lineRule="auto" w:before="68" w:after="0"/>
              <w:ind w:left="0" w:right="112" w:firstLine="0"/>
              <w:jc w:val="right"/>
            </w:pPr>
            <w:r>
              <w:rPr>
                <w:rFonts w:ascii="Arial" w:hAnsi="Arial" w:eastAsia="Arial"/>
                <w:b w:val="0"/>
                <w:i w:val="0"/>
                <w:color w:val="000000"/>
                <w:sz w:val="14"/>
              </w:rPr>
              <w:t>-</w:t>
            </w:r>
          </w:p>
        </w:tc>
        <w:tc>
          <w:tcPr>
            <w:tcW w:type="dxa" w:w="1290"/>
            <w:vMerge w:val="restart"/>
            <w:tcBorders/>
            <w:tcMar>
              <w:start w:w="0" w:type="dxa"/>
              <w:end w:w="0" w:type="dxa"/>
            </w:tcMar>
            <w:tcMar>
              <w:start w:w="0" w:type="dxa"/>
              <w:end w:w="0" w:type="dxa"/>
            </w:tcMar>
          </w:tcPr>
          <w:p>
            <w:pPr>
              <w:autoSpaceDN w:val="0"/>
              <w:autoSpaceDE w:val="0"/>
              <w:widowControl/>
              <w:spacing w:line="233" w:lineRule="auto" w:before="68" w:after="0"/>
              <w:ind w:left="0" w:right="170" w:firstLine="0"/>
              <w:jc w:val="right"/>
            </w:pPr>
            <w:r>
              <w:rPr>
                <w:rFonts w:ascii="Arial" w:hAnsi="Arial" w:eastAsia="Arial"/>
                <w:b w:val="0"/>
                <w:i w:val="0"/>
                <w:color w:val="000000"/>
                <w:sz w:val="14"/>
              </w:rPr>
              <w:t>-</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68"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68" w:after="0"/>
              <w:ind w:left="0" w:right="170" w:firstLine="0"/>
              <w:jc w:val="right"/>
            </w:pPr>
            <w:r>
              <w:rPr>
                <w:rFonts w:ascii="Arial" w:hAnsi="Arial" w:eastAsia="Arial"/>
                <w:b w:val="0"/>
                <w:i w:val="0"/>
                <w:color w:val="000000"/>
                <w:sz w:val="14"/>
              </w:rPr>
              <w:t xml:space="preserve"> -</w:t>
            </w:r>
          </w:p>
        </w:tc>
        <w:tc>
          <w:tcPr>
            <w:tcW w:type="dxa" w:w="1296"/>
            <w:vMerge w:val="restart"/>
            <w:tcBorders/>
            <w:tcMar>
              <w:start w:w="0" w:type="dxa"/>
              <w:end w:w="0" w:type="dxa"/>
            </w:tcMar>
            <w:tcMar>
              <w:start w:w="0" w:type="dxa"/>
              <w:end w:w="0" w:type="dxa"/>
            </w:tcMar>
          </w:tcPr>
          <w:p>
            <w:pPr>
              <w:autoSpaceDN w:val="0"/>
              <w:autoSpaceDE w:val="0"/>
              <w:widowControl/>
              <w:spacing w:line="233" w:lineRule="auto" w:before="68" w:after="0"/>
              <w:ind w:left="0" w:right="70" w:firstLine="0"/>
              <w:jc w:val="right"/>
            </w:pPr>
            <w:r>
              <w:rPr>
                <w:rFonts w:ascii="Arial" w:hAnsi="Arial" w:eastAsia="Arial"/>
                <w:b w:val="0"/>
                <w:i w:val="0"/>
                <w:color w:val="000000"/>
                <w:sz w:val="14"/>
              </w:rPr>
              <w:t xml:space="preserve">-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68" w:after="0"/>
              <w:ind w:left="0" w:right="2" w:firstLine="0"/>
              <w:jc w:val="right"/>
            </w:pPr>
            <w:r>
              <w:rPr>
                <w:rFonts w:ascii="Arial" w:hAnsi="Arial" w:eastAsia="Arial"/>
                <w:b w:val="0"/>
                <w:i w:val="0"/>
                <w:color w:val="000000"/>
                <w:sz w:val="14"/>
              </w:rPr>
              <w:t>152,597,254</w:t>
            </w:r>
          </w:p>
        </w:tc>
      </w:tr>
      <w:tr>
        <w:trPr>
          <w:trHeight w:hRule="exact" w:val="48"/>
        </w:trPr>
        <w:tc>
          <w:tcPr>
            <w:tcW w:type="dxa" w:w="1918"/>
            <w:vMerge w:val="restart"/>
            <w:tcBorders/>
            <w:tcMar>
              <w:start w:w="0" w:type="dxa"/>
              <w:end w:w="0" w:type="dxa"/>
            </w:tcMar>
            <w:tcMar>
              <w:start w:w="0" w:type="dxa"/>
              <w:end w:w="0" w:type="dxa"/>
            </w:tcMar>
          </w:tcPr>
          <w:p>
            <w:pPr>
              <w:autoSpaceDN w:val="0"/>
              <w:autoSpaceDE w:val="0"/>
              <w:widowControl/>
              <w:spacing w:line="138" w:lineRule="exact" w:before="72" w:after="0"/>
              <w:ind w:left="180" w:right="0" w:firstLine="0"/>
              <w:jc w:val="left"/>
            </w:pPr>
            <w:r>
              <w:rPr>
                <w:rFonts w:ascii="黑体" w:hAnsi="黑体" w:eastAsia="黑体"/>
                <w:b w:val="0"/>
                <w:i w:val="0"/>
                <w:color w:val="000000"/>
                <w:sz w:val="14"/>
              </w:rPr>
              <w:t>理财产品</w:t>
            </w: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r>
      <w:tr>
        <w:trPr>
          <w:trHeight w:hRule="exact" w:val="172"/>
        </w:trPr>
        <w:tc>
          <w:tcPr>
            <w:tcW w:type="dxa" w:w="1278"/>
            <w:vMerge/>
            <w:tcBorders/>
          </w:tcPr>
          <w:p/>
        </w:tc>
        <w:tc>
          <w:tcPr>
            <w:tcW w:type="dxa" w:w="1062"/>
            <w:tcBorders/>
            <w:tcMar>
              <w:start w:w="0" w:type="dxa"/>
              <w:end w:w="0" w:type="dxa"/>
            </w:tcMar>
          </w:tcPr>
          <w:p>
            <w:pPr>
              <w:autoSpaceDN w:val="0"/>
              <w:autoSpaceDE w:val="0"/>
              <w:widowControl/>
              <w:spacing w:line="233" w:lineRule="auto" w:before="16" w:after="0"/>
              <w:ind w:left="0" w:right="2" w:firstLine="0"/>
              <w:jc w:val="right"/>
            </w:pPr>
            <w:r>
              <w:rPr>
                <w:rFonts w:ascii="Arial" w:hAnsi="Arial" w:eastAsia="Arial"/>
                <w:b w:val="0"/>
                <w:i w:val="0"/>
                <w:color w:val="000000"/>
                <w:sz w:val="14"/>
              </w:rPr>
              <w:t>13,060,440</w:t>
            </w:r>
          </w:p>
        </w:tc>
        <w:tc>
          <w:tcPr>
            <w:tcW w:type="dxa" w:w="1194"/>
            <w:tcBorders/>
            <w:tcMar>
              <w:start w:w="0" w:type="dxa"/>
              <w:end w:w="0" w:type="dxa"/>
            </w:tcMar>
          </w:tcPr>
          <w:p>
            <w:pPr>
              <w:autoSpaceDN w:val="0"/>
              <w:autoSpaceDE w:val="0"/>
              <w:widowControl/>
              <w:spacing w:line="233" w:lineRule="auto" w:before="16"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3" w:lineRule="auto" w:before="16" w:after="0"/>
              <w:ind w:left="0" w:right="28" w:firstLine="0"/>
              <w:jc w:val="right"/>
            </w:pPr>
            <w:r>
              <w:rPr>
                <w:rFonts w:ascii="Arial" w:hAnsi="Arial" w:eastAsia="Arial"/>
                <w:b w:val="0"/>
                <w:i w:val="0"/>
                <w:color w:val="000000"/>
                <w:sz w:val="14"/>
              </w:rPr>
              <w:t xml:space="preserve">(1,026,380) </w:t>
            </w:r>
          </w:p>
        </w:tc>
        <w:tc>
          <w:tcPr>
            <w:tcW w:type="dxa" w:w="1092"/>
            <w:tcBorders/>
            <w:tcMar>
              <w:start w:w="0" w:type="dxa"/>
              <w:end w:w="0" w:type="dxa"/>
            </w:tcMar>
          </w:tcPr>
          <w:p>
            <w:pPr>
              <w:autoSpaceDN w:val="0"/>
              <w:autoSpaceDE w:val="0"/>
              <w:widowControl/>
              <w:spacing w:line="233" w:lineRule="auto" w:before="16" w:after="0"/>
              <w:ind w:left="0" w:right="88" w:firstLine="0"/>
              <w:jc w:val="right"/>
            </w:pPr>
            <w:r>
              <w:rPr>
                <w:rFonts w:ascii="Arial" w:hAnsi="Arial" w:eastAsia="Arial"/>
                <w:b w:val="0"/>
                <w:i w:val="0"/>
                <w:color w:val="000000"/>
                <w:sz w:val="14"/>
              </w:rPr>
              <w:t xml:space="preserve">- </w:t>
            </w:r>
          </w:p>
        </w:tc>
        <w:tc>
          <w:tcPr>
            <w:tcW w:type="dxa" w:w="1356"/>
            <w:tcBorders/>
            <w:tcMar>
              <w:start w:w="0" w:type="dxa"/>
              <w:end w:w="0" w:type="dxa"/>
            </w:tcMar>
          </w:tcPr>
          <w:p>
            <w:pPr>
              <w:autoSpaceDN w:val="0"/>
              <w:autoSpaceDE w:val="0"/>
              <w:widowControl/>
              <w:spacing w:line="233" w:lineRule="auto" w:before="16"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3" w:lineRule="auto" w:before="16"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6" w:after="0"/>
              <w:ind w:left="0" w:right="170" w:firstLine="0"/>
              <w:jc w:val="right"/>
            </w:pPr>
            <w:r>
              <w:rPr>
                <w:rFonts w:ascii="Arial" w:hAnsi="Arial" w:eastAsia="Arial"/>
                <w:b w:val="0"/>
                <w:i w:val="0"/>
                <w:color w:val="000000"/>
                <w:sz w:val="14"/>
              </w:rPr>
              <w:t>-</w:t>
            </w:r>
          </w:p>
        </w:tc>
        <w:tc>
          <w:tcPr>
            <w:tcW w:type="dxa" w:w="1296"/>
            <w:tcBorders/>
            <w:tcMar>
              <w:start w:w="0" w:type="dxa"/>
              <w:end w:w="0" w:type="dxa"/>
            </w:tcMar>
          </w:tcPr>
          <w:p>
            <w:pPr>
              <w:autoSpaceDN w:val="0"/>
              <w:autoSpaceDE w:val="0"/>
              <w:widowControl/>
              <w:spacing w:line="233" w:lineRule="auto" w:before="16" w:after="0"/>
              <w:ind w:left="0" w:right="22" w:firstLine="0"/>
              <w:jc w:val="right"/>
            </w:pPr>
            <w:r>
              <w:rPr>
                <w:rFonts w:ascii="Arial" w:hAnsi="Arial" w:eastAsia="Arial"/>
                <w:b w:val="0"/>
                <w:i w:val="0"/>
                <w:color w:val="000000"/>
                <w:sz w:val="14"/>
              </w:rPr>
              <w:t xml:space="preserve">(12,034,060 ) </w:t>
            </w:r>
          </w:p>
        </w:tc>
        <w:tc>
          <w:tcPr>
            <w:tcW w:type="dxa" w:w="10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r>
      <w:tr>
        <w:trPr>
          <w:trHeight w:hRule="exact" w:val="200"/>
        </w:trPr>
        <w:tc>
          <w:tcPr>
            <w:tcW w:type="dxa" w:w="1918"/>
            <w:tcBorders/>
            <w:tcMar>
              <w:start w:w="0" w:type="dxa"/>
              <w:end w:w="0" w:type="dxa"/>
            </w:tcMar>
          </w:tcPr>
          <w:p>
            <w:pPr>
              <w:autoSpaceDN w:val="0"/>
              <w:autoSpaceDE w:val="0"/>
              <w:widowControl/>
              <w:spacing w:line="140" w:lineRule="exact" w:before="58" w:after="0"/>
              <w:ind w:left="180" w:right="0" w:firstLine="0"/>
              <w:jc w:val="left"/>
            </w:pPr>
            <w:r>
              <w:rPr>
                <w:rFonts w:ascii="黑体" w:hAnsi="黑体" w:eastAsia="黑体"/>
                <w:b w:val="0"/>
                <w:i w:val="0"/>
                <w:color w:val="000000"/>
                <w:sz w:val="14"/>
              </w:rPr>
              <w:t>信托计划</w:t>
            </w:r>
          </w:p>
        </w:tc>
        <w:tc>
          <w:tcPr>
            <w:tcW w:type="dxa" w:w="1062"/>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94,390,134</w:t>
            </w:r>
          </w:p>
        </w:tc>
        <w:tc>
          <w:tcPr>
            <w:tcW w:type="dxa" w:w="1194"/>
            <w:tcBorders/>
            <w:tcMar>
              <w:start w:w="0" w:type="dxa"/>
              <w:end w:w="0" w:type="dxa"/>
            </w:tcMar>
          </w:tcPr>
          <w:p>
            <w:pPr>
              <w:autoSpaceDN w:val="0"/>
              <w:autoSpaceDE w:val="0"/>
              <w:widowControl/>
              <w:spacing w:line="230" w:lineRule="auto" w:before="46"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0" w:lineRule="auto" w:before="46"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0" w:lineRule="auto" w:before="46" w:after="0"/>
              <w:ind w:left="0" w:right="42" w:firstLine="0"/>
              <w:jc w:val="right"/>
            </w:pPr>
            <w:r>
              <w:rPr>
                <w:rFonts w:ascii="Arial" w:hAnsi="Arial" w:eastAsia="Arial"/>
                <w:b w:val="0"/>
                <w:i w:val="0"/>
                <w:color w:val="000000"/>
                <w:sz w:val="14"/>
              </w:rPr>
              <w:t xml:space="preserve">(988,983 ) </w:t>
            </w:r>
          </w:p>
        </w:tc>
        <w:tc>
          <w:tcPr>
            <w:tcW w:type="dxa" w:w="1356"/>
            <w:tcBorders/>
            <w:tcMar>
              <w:start w:w="0" w:type="dxa"/>
              <w:end w:w="0" w:type="dxa"/>
            </w:tcMar>
          </w:tcPr>
          <w:p>
            <w:pPr>
              <w:autoSpaceDN w:val="0"/>
              <w:autoSpaceDE w:val="0"/>
              <w:widowControl/>
              <w:spacing w:line="230" w:lineRule="auto" w:before="46"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0" w:lineRule="auto" w:before="46" w:after="0"/>
              <w:ind w:left="0" w:right="172" w:firstLine="0"/>
              <w:jc w:val="right"/>
            </w:pPr>
            <w:r>
              <w:rPr>
                <w:rFonts w:ascii="Arial" w:hAnsi="Arial" w:eastAsia="Arial"/>
                <w:b w:val="0"/>
                <w:i w:val="0"/>
                <w:color w:val="000000"/>
                <w:sz w:val="14"/>
              </w:rPr>
              <w:t>112,000,000</w:t>
            </w:r>
          </w:p>
        </w:tc>
        <w:tc>
          <w:tcPr>
            <w:tcW w:type="dxa" w:w="1308"/>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0" w:lineRule="auto" w:before="46" w:after="0"/>
              <w:ind w:left="0" w:right="170" w:firstLine="0"/>
              <w:jc w:val="right"/>
            </w:pPr>
            <w:r>
              <w:rPr>
                <w:rFonts w:ascii="Arial" w:hAnsi="Arial" w:eastAsia="Arial"/>
                <w:b w:val="0"/>
                <w:i w:val="0"/>
                <w:color w:val="000000"/>
                <w:sz w:val="14"/>
              </w:rPr>
              <w:t>-</w:t>
            </w:r>
          </w:p>
        </w:tc>
        <w:tc>
          <w:tcPr>
            <w:tcW w:type="dxa" w:w="1296"/>
            <w:tcBorders/>
            <w:tcMar>
              <w:start w:w="0" w:type="dxa"/>
              <w:end w:w="0" w:type="dxa"/>
            </w:tcMar>
          </w:tcPr>
          <w:p>
            <w:pPr>
              <w:autoSpaceDN w:val="0"/>
              <w:autoSpaceDE w:val="0"/>
              <w:widowControl/>
              <w:spacing w:line="230" w:lineRule="auto" w:before="46" w:after="0"/>
              <w:ind w:left="0" w:right="22" w:firstLine="0"/>
              <w:jc w:val="right"/>
            </w:pPr>
            <w:r>
              <w:rPr>
                <w:rFonts w:ascii="Arial" w:hAnsi="Arial" w:eastAsia="Arial"/>
                <w:b w:val="0"/>
                <w:i w:val="0"/>
                <w:color w:val="000000"/>
                <w:sz w:val="14"/>
              </w:rPr>
              <w:t xml:space="preserve">(91,900,000 ) </w:t>
            </w:r>
          </w:p>
        </w:tc>
        <w:tc>
          <w:tcPr>
            <w:tcW w:type="dxa" w:w="1074"/>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113,501,151</w:t>
            </w:r>
          </w:p>
        </w:tc>
      </w:tr>
      <w:tr>
        <w:trPr>
          <w:trHeight w:hRule="exact" w:val="200"/>
        </w:trPr>
        <w:tc>
          <w:tcPr>
            <w:tcW w:type="dxa" w:w="1918"/>
            <w:tcBorders/>
            <w:tcMar>
              <w:start w:w="0" w:type="dxa"/>
              <w:end w:w="0" w:type="dxa"/>
            </w:tcMar>
          </w:tcPr>
          <w:p>
            <w:pPr>
              <w:autoSpaceDN w:val="0"/>
              <w:autoSpaceDE w:val="0"/>
              <w:widowControl/>
              <w:spacing w:line="140" w:lineRule="exact" w:before="60" w:after="0"/>
              <w:ind w:left="180" w:right="0" w:firstLine="0"/>
              <w:jc w:val="left"/>
            </w:pPr>
            <w:r>
              <w:rPr>
                <w:rFonts w:ascii="黑体" w:hAnsi="黑体" w:eastAsia="黑体"/>
                <w:b w:val="0"/>
                <w:i w:val="0"/>
                <w:color w:val="000000"/>
                <w:sz w:val="14"/>
              </w:rPr>
              <w:t>其他</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70" w:after="0"/>
              <w:ind w:left="0" w:right="2" w:firstLine="0"/>
              <w:jc w:val="right"/>
            </w:pPr>
            <w:r>
              <w:rPr>
                <w:rFonts w:ascii="Arial" w:hAnsi="Arial" w:eastAsia="Arial"/>
                <w:b w:val="0"/>
                <w:i w:val="0"/>
                <w:color w:val="000000"/>
                <w:sz w:val="14"/>
              </w:rPr>
              <w:t>8,721,958</w:t>
            </w:r>
          </w:p>
        </w:tc>
        <w:tc>
          <w:tcPr>
            <w:tcW w:type="dxa" w:w="1194"/>
            <w:vMerge w:val="restart"/>
            <w:tcBorders/>
            <w:tcMar>
              <w:start w:w="0" w:type="dxa"/>
              <w:end w:w="0" w:type="dxa"/>
            </w:tcMar>
            <w:tcMar>
              <w:start w:w="0" w:type="dxa"/>
              <w:end w:w="0" w:type="dxa"/>
            </w:tcMar>
          </w:tcPr>
          <w:p>
            <w:pPr>
              <w:autoSpaceDN w:val="0"/>
              <w:autoSpaceDE w:val="0"/>
              <w:widowControl/>
              <w:spacing w:line="233" w:lineRule="auto" w:before="70" w:after="0"/>
              <w:ind w:left="0" w:right="76" w:firstLine="0"/>
              <w:jc w:val="right"/>
            </w:pPr>
            <w:r>
              <w:rPr>
                <w:rFonts w:ascii="Arial" w:hAnsi="Arial" w:eastAsia="Arial"/>
                <w:b w:val="0"/>
                <w:i w:val="0"/>
                <w:color w:val="000000"/>
                <w:sz w:val="14"/>
              </w:rPr>
              <w:t xml:space="preserve">- </w:t>
            </w:r>
          </w:p>
        </w:tc>
        <w:tc>
          <w:tcPr>
            <w:tcW w:type="dxa" w:w="1118"/>
            <w:vMerge w:val="restart"/>
            <w:tcBorders/>
            <w:tcMar>
              <w:start w:w="0" w:type="dxa"/>
              <w:end w:w="0" w:type="dxa"/>
            </w:tcMar>
            <w:tcMar>
              <w:start w:w="0" w:type="dxa"/>
              <w:end w:w="0" w:type="dxa"/>
            </w:tcMar>
          </w:tcPr>
          <w:p>
            <w:pPr>
              <w:autoSpaceDN w:val="0"/>
              <w:autoSpaceDE w:val="0"/>
              <w:widowControl/>
              <w:spacing w:line="233" w:lineRule="auto" w:before="70" w:after="0"/>
              <w:ind w:left="0" w:right="112" w:firstLine="0"/>
              <w:jc w:val="right"/>
            </w:pPr>
            <w:r>
              <w:rPr>
                <w:rFonts w:ascii="Arial" w:hAnsi="Arial" w:eastAsia="Arial"/>
                <w:b w:val="0"/>
                <w:i w:val="0"/>
                <w:color w:val="000000"/>
                <w:sz w:val="14"/>
              </w:rPr>
              <w:t>-</w:t>
            </w:r>
          </w:p>
        </w:tc>
        <w:tc>
          <w:tcPr>
            <w:tcW w:type="dxa" w:w="1092"/>
            <w:vMerge w:val="restart"/>
            <w:tcBorders/>
            <w:tcMar>
              <w:start w:w="0" w:type="dxa"/>
              <w:end w:w="0" w:type="dxa"/>
            </w:tcMar>
            <w:tcMar>
              <w:start w:w="0" w:type="dxa"/>
              <w:end w:w="0" w:type="dxa"/>
            </w:tcMar>
          </w:tcPr>
          <w:p>
            <w:pPr>
              <w:autoSpaceDN w:val="0"/>
              <w:autoSpaceDE w:val="0"/>
              <w:widowControl/>
              <w:spacing w:line="233" w:lineRule="auto" w:before="70" w:after="0"/>
              <w:ind w:left="0" w:right="42" w:firstLine="0"/>
              <w:jc w:val="right"/>
            </w:pPr>
            <w:r>
              <w:rPr>
                <w:rFonts w:ascii="Arial" w:hAnsi="Arial" w:eastAsia="Arial"/>
                <w:b w:val="0"/>
                <w:i w:val="0"/>
                <w:color w:val="000000"/>
                <w:sz w:val="14"/>
              </w:rPr>
              <w:t xml:space="preserve">(8,720,502 ) </w:t>
            </w:r>
          </w:p>
        </w:tc>
        <w:tc>
          <w:tcPr>
            <w:tcW w:type="dxa" w:w="1356"/>
            <w:vMerge w:val="restart"/>
            <w:tcBorders/>
            <w:tcMar>
              <w:start w:w="0" w:type="dxa"/>
              <w:end w:w="0" w:type="dxa"/>
            </w:tcMar>
            <w:tcMar>
              <w:start w:w="0" w:type="dxa"/>
              <w:end w:w="0" w:type="dxa"/>
            </w:tcMar>
          </w:tcPr>
          <w:p>
            <w:pPr>
              <w:autoSpaceDN w:val="0"/>
              <w:autoSpaceDE w:val="0"/>
              <w:widowControl/>
              <w:spacing w:line="233" w:lineRule="auto" w:before="70" w:after="0"/>
              <w:ind w:left="0" w:right="112" w:firstLine="0"/>
              <w:jc w:val="right"/>
            </w:pPr>
            <w:r>
              <w:rPr>
                <w:rFonts w:ascii="Arial" w:hAnsi="Arial" w:eastAsia="Arial"/>
                <w:b w:val="0"/>
                <w:i w:val="0"/>
                <w:color w:val="000000"/>
                <w:sz w:val="14"/>
              </w:rPr>
              <w:t>-</w:t>
            </w:r>
          </w:p>
        </w:tc>
        <w:tc>
          <w:tcPr>
            <w:tcW w:type="dxa" w:w="1290"/>
            <w:vMerge w:val="restart"/>
            <w:tcBorders/>
            <w:tcMar>
              <w:start w:w="0" w:type="dxa"/>
              <w:end w:w="0" w:type="dxa"/>
            </w:tcMar>
            <w:tcMar>
              <w:start w:w="0" w:type="dxa"/>
              <w:end w:w="0" w:type="dxa"/>
            </w:tcMar>
          </w:tcPr>
          <w:p>
            <w:pPr>
              <w:autoSpaceDN w:val="0"/>
              <w:autoSpaceDE w:val="0"/>
              <w:widowControl/>
              <w:spacing w:line="233" w:lineRule="auto" w:before="70" w:after="0"/>
              <w:ind w:left="0" w:right="170" w:firstLine="0"/>
              <w:jc w:val="right"/>
            </w:pPr>
            <w:r>
              <w:rPr>
                <w:rFonts w:ascii="Arial" w:hAnsi="Arial" w:eastAsia="Arial"/>
                <w:b w:val="0"/>
                <w:i w:val="0"/>
                <w:color w:val="000000"/>
                <w:sz w:val="14"/>
              </w:rPr>
              <w:t>-</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70" w:after="0"/>
              <w:ind w:left="0" w:right="170" w:firstLine="0"/>
              <w:jc w:val="right"/>
            </w:pPr>
            <w:r>
              <w:rPr>
                <w:rFonts w:ascii="Arial" w:hAnsi="Arial" w:eastAsia="Arial"/>
                <w:b w:val="0"/>
                <w:i w:val="0"/>
                <w:color w:val="000000"/>
                <w:sz w:val="14"/>
              </w:rPr>
              <w:t>-</w:t>
            </w:r>
          </w:p>
        </w:tc>
        <w:tc>
          <w:tcPr>
            <w:tcW w:type="dxa" w:w="1296"/>
            <w:vMerge w:val="restart"/>
            <w:tcBorders/>
            <w:tcMar>
              <w:start w:w="0" w:type="dxa"/>
              <w:end w:w="0" w:type="dxa"/>
            </w:tcMar>
            <w:tcMar>
              <w:start w:w="0" w:type="dxa"/>
              <w:end w:w="0" w:type="dxa"/>
            </w:tcMar>
          </w:tcPr>
          <w:p>
            <w:pPr>
              <w:autoSpaceDN w:val="0"/>
              <w:autoSpaceDE w:val="0"/>
              <w:widowControl/>
              <w:spacing w:line="233" w:lineRule="auto" w:before="70" w:after="0"/>
              <w:ind w:left="0" w:right="22" w:firstLine="0"/>
              <w:jc w:val="right"/>
            </w:pPr>
            <w:r>
              <w:rPr>
                <w:rFonts w:ascii="Arial" w:hAnsi="Arial" w:eastAsia="Arial"/>
                <w:b w:val="0"/>
                <w:i w:val="0"/>
                <w:color w:val="000000"/>
                <w:sz w:val="14"/>
              </w:rPr>
              <w:t xml:space="preserve">(1,456 )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w:t>
            </w:r>
          </w:p>
        </w:tc>
      </w:tr>
      <w:tr>
        <w:trPr>
          <w:trHeight w:hRule="exact" w:val="52"/>
        </w:trPr>
        <w:tc>
          <w:tcPr>
            <w:tcW w:type="dxa" w:w="1918"/>
            <w:vMerge w:val="restart"/>
            <w:tcBorders/>
            <w:tcMar>
              <w:start w:w="0" w:type="dxa"/>
              <w:end w:w="0" w:type="dxa"/>
            </w:tcMar>
            <w:tcMar>
              <w:start w:w="0" w:type="dxa"/>
              <w:end w:w="0" w:type="dxa"/>
            </w:tcMar>
          </w:tcPr>
          <w:p>
            <w:pPr>
              <w:autoSpaceDN w:val="0"/>
              <w:autoSpaceDE w:val="0"/>
              <w:widowControl/>
              <w:spacing w:line="140" w:lineRule="exact" w:before="70" w:after="0"/>
              <w:ind w:left="40" w:right="0" w:firstLine="0"/>
              <w:jc w:val="left"/>
            </w:pPr>
            <w:r>
              <w:rPr>
                <w:rFonts w:ascii="黑体" w:hAnsi="黑体" w:eastAsia="黑体"/>
                <w:b w:val="0"/>
                <w:i w:val="0"/>
                <w:color w:val="000000"/>
                <w:sz w:val="14"/>
              </w:rPr>
              <w:t>其他债权投资</w:t>
            </w: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c>
          <w:tcPr>
            <w:tcW w:type="dxa" w:w="1278"/>
            <w:vMerge/>
            <w:tcBorders/>
          </w:tcPr>
          <w:p/>
        </w:tc>
      </w:tr>
      <w:tr>
        <w:trPr>
          <w:trHeight w:hRule="exact" w:val="168"/>
        </w:trPr>
        <w:tc>
          <w:tcPr>
            <w:tcW w:type="dxa" w:w="1278"/>
            <w:vMerge/>
            <w:tcBorders/>
          </w:tcPr>
          <w:p/>
        </w:tc>
        <w:tc>
          <w:tcPr>
            <w:tcW w:type="dxa" w:w="1062"/>
            <w:tcBorders/>
            <w:tcMar>
              <w:start w:w="0" w:type="dxa"/>
              <w:end w:w="0" w:type="dxa"/>
            </w:tcMar>
          </w:tcPr>
          <w:p>
            <w:pPr>
              <w:autoSpaceDN w:val="0"/>
              <w:autoSpaceDE w:val="0"/>
              <w:widowControl/>
              <w:spacing w:line="233" w:lineRule="auto" w:before="12" w:after="0"/>
              <w:ind w:left="0" w:right="2" w:firstLine="0"/>
              <w:jc w:val="right"/>
            </w:pPr>
            <w:r>
              <w:rPr>
                <w:rFonts w:ascii="Arial" w:hAnsi="Arial" w:eastAsia="Arial"/>
                <w:b w:val="0"/>
                <w:i w:val="0"/>
                <w:color w:val="000000"/>
                <w:sz w:val="14"/>
              </w:rPr>
              <w:t>3,732,580</w:t>
            </w:r>
          </w:p>
        </w:tc>
        <w:tc>
          <w:tcPr>
            <w:tcW w:type="dxa" w:w="1194"/>
            <w:tcBorders/>
            <w:tcMar>
              <w:start w:w="0" w:type="dxa"/>
              <w:end w:w="0" w:type="dxa"/>
            </w:tcMar>
          </w:tcPr>
          <w:p>
            <w:pPr>
              <w:autoSpaceDN w:val="0"/>
              <w:autoSpaceDE w:val="0"/>
              <w:widowControl/>
              <w:spacing w:line="233" w:lineRule="auto" w:before="12"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3" w:lineRule="auto" w:before="12"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3" w:lineRule="auto" w:before="12" w:after="0"/>
              <w:ind w:left="0" w:right="88" w:firstLine="0"/>
              <w:jc w:val="right"/>
            </w:pPr>
            <w:r>
              <w:rPr>
                <w:rFonts w:ascii="Arial" w:hAnsi="Arial" w:eastAsia="Arial"/>
                <w:b w:val="0"/>
                <w:i w:val="0"/>
                <w:color w:val="000000"/>
                <w:sz w:val="14"/>
              </w:rPr>
              <w:t xml:space="preserve">- </w:t>
            </w:r>
          </w:p>
        </w:tc>
        <w:tc>
          <w:tcPr>
            <w:tcW w:type="dxa" w:w="1356"/>
            <w:tcBorders/>
            <w:tcMar>
              <w:start w:w="0" w:type="dxa"/>
              <w:end w:w="0" w:type="dxa"/>
            </w:tcMar>
          </w:tcPr>
          <w:p>
            <w:pPr>
              <w:autoSpaceDN w:val="0"/>
              <w:autoSpaceDE w:val="0"/>
              <w:widowControl/>
              <w:spacing w:line="233" w:lineRule="auto" w:before="12" w:after="0"/>
              <w:ind w:left="0" w:right="112" w:firstLine="0"/>
              <w:jc w:val="right"/>
            </w:pPr>
            <w:r>
              <w:rPr>
                <w:rFonts w:ascii="Arial" w:hAnsi="Arial" w:eastAsia="Arial"/>
                <w:b w:val="0"/>
                <w:i w:val="0"/>
                <w:color w:val="000000"/>
                <w:sz w:val="14"/>
              </w:rPr>
              <w:t>-</w:t>
            </w:r>
          </w:p>
        </w:tc>
        <w:tc>
          <w:tcPr>
            <w:tcW w:type="dxa" w:w="1290"/>
            <w:tcBorders/>
            <w:tcMar>
              <w:start w:w="0" w:type="dxa"/>
              <w:end w:w="0" w:type="dxa"/>
            </w:tcMar>
          </w:tcPr>
          <w:p>
            <w:pPr>
              <w:autoSpaceDN w:val="0"/>
              <w:autoSpaceDE w:val="0"/>
              <w:widowControl/>
              <w:spacing w:line="233" w:lineRule="auto" w:before="12"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2" w:after="0"/>
              <w:ind w:left="0" w:right="170" w:firstLine="0"/>
              <w:jc w:val="right"/>
            </w:pPr>
            <w:r>
              <w:rPr>
                <w:rFonts w:ascii="Arial" w:hAnsi="Arial" w:eastAsia="Arial"/>
                <w:b w:val="0"/>
                <w:i w:val="0"/>
                <w:color w:val="000000"/>
                <w:sz w:val="14"/>
              </w:rPr>
              <w:t>-</w:t>
            </w:r>
          </w:p>
        </w:tc>
        <w:tc>
          <w:tcPr>
            <w:tcW w:type="dxa" w:w="1296"/>
            <w:tcBorders/>
            <w:tcMar>
              <w:start w:w="0" w:type="dxa"/>
              <w:end w:w="0" w:type="dxa"/>
            </w:tcMar>
          </w:tcPr>
          <w:p>
            <w:pPr>
              <w:autoSpaceDN w:val="0"/>
              <w:autoSpaceDE w:val="0"/>
              <w:widowControl/>
              <w:spacing w:line="233" w:lineRule="auto" w:before="12" w:after="0"/>
              <w:ind w:left="0" w:right="70"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3" w:lineRule="auto" w:before="12" w:after="0"/>
              <w:ind w:left="0" w:right="2" w:firstLine="0"/>
              <w:jc w:val="right"/>
            </w:pPr>
            <w:r>
              <w:rPr>
                <w:rFonts w:ascii="Arial" w:hAnsi="Arial" w:eastAsia="Arial"/>
                <w:b w:val="0"/>
                <w:i w:val="0"/>
                <w:color w:val="000000"/>
                <w:sz w:val="14"/>
              </w:rPr>
              <w:t>3,732,580</w:t>
            </w:r>
          </w:p>
        </w:tc>
      </w:tr>
      <w:tr>
        <w:trPr>
          <w:trHeight w:hRule="exact" w:val="200"/>
        </w:trPr>
        <w:tc>
          <w:tcPr>
            <w:tcW w:type="dxa" w:w="1918"/>
            <w:tcBorders/>
            <w:tcMar>
              <w:start w:w="0" w:type="dxa"/>
              <w:end w:w="0" w:type="dxa"/>
            </w:tcMar>
          </w:tcPr>
          <w:p>
            <w:pPr>
              <w:autoSpaceDN w:val="0"/>
              <w:autoSpaceDE w:val="0"/>
              <w:widowControl/>
              <w:spacing w:line="138" w:lineRule="exact" w:before="60" w:after="0"/>
              <w:ind w:left="40" w:right="0" w:firstLine="0"/>
              <w:jc w:val="left"/>
            </w:pPr>
            <w:r>
              <w:rPr>
                <w:rFonts w:ascii="黑体" w:hAnsi="黑体" w:eastAsia="黑体"/>
                <w:b w:val="0"/>
                <w:i w:val="0"/>
                <w:color w:val="000000"/>
                <w:sz w:val="14"/>
              </w:rPr>
              <w:t>其他权益工具投资</w:t>
            </w:r>
          </w:p>
        </w:tc>
        <w:tc>
          <w:tcPr>
            <w:tcW w:type="dxa" w:w="10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235,302,817</w:t>
            </w:r>
          </w:p>
        </w:tc>
        <w:tc>
          <w:tcPr>
            <w:tcW w:type="dxa" w:w="1194"/>
            <w:tcBorders/>
            <w:tcMar>
              <w:start w:w="0" w:type="dxa"/>
              <w:end w:w="0" w:type="dxa"/>
            </w:tcMar>
          </w:tcPr>
          <w:p>
            <w:pPr>
              <w:autoSpaceDN w:val="0"/>
              <w:autoSpaceDE w:val="0"/>
              <w:widowControl/>
              <w:spacing w:line="233" w:lineRule="auto" w:before="44" w:after="0"/>
              <w:ind w:left="0" w:right="76" w:firstLine="0"/>
              <w:jc w:val="right"/>
            </w:pPr>
            <w:r>
              <w:rPr>
                <w:rFonts w:ascii="Arial" w:hAnsi="Arial" w:eastAsia="Arial"/>
                <w:b w:val="0"/>
                <w:i w:val="0"/>
                <w:color w:val="000000"/>
                <w:sz w:val="14"/>
              </w:rPr>
              <w:t xml:space="preserve">- </w:t>
            </w:r>
          </w:p>
        </w:tc>
        <w:tc>
          <w:tcPr>
            <w:tcW w:type="dxa" w:w="1118"/>
            <w:tcBorders/>
            <w:tcMar>
              <w:start w:w="0" w:type="dxa"/>
              <w:end w:w="0" w:type="dxa"/>
            </w:tcMar>
          </w:tcPr>
          <w:p>
            <w:pPr>
              <w:autoSpaceDN w:val="0"/>
              <w:autoSpaceDE w:val="0"/>
              <w:widowControl/>
              <w:spacing w:line="233" w:lineRule="auto" w:before="44" w:after="0"/>
              <w:ind w:left="0" w:right="112" w:firstLine="0"/>
              <w:jc w:val="right"/>
            </w:pPr>
            <w:r>
              <w:rPr>
                <w:rFonts w:ascii="Arial" w:hAnsi="Arial" w:eastAsia="Arial"/>
                <w:b w:val="0"/>
                <w:i w:val="0"/>
                <w:color w:val="000000"/>
                <w:sz w:val="14"/>
              </w:rPr>
              <w:t>-</w:t>
            </w:r>
          </w:p>
        </w:tc>
        <w:tc>
          <w:tcPr>
            <w:tcW w:type="dxa" w:w="1092"/>
            <w:tcBorders/>
            <w:tcMar>
              <w:start w:w="0" w:type="dxa"/>
              <w:end w:w="0" w:type="dxa"/>
            </w:tcMar>
          </w:tcPr>
          <w:p>
            <w:pPr>
              <w:autoSpaceDN w:val="0"/>
              <w:autoSpaceDE w:val="0"/>
              <w:widowControl/>
              <w:spacing w:line="233" w:lineRule="auto" w:before="44" w:after="0"/>
              <w:ind w:left="0" w:right="88" w:firstLine="0"/>
              <w:jc w:val="right"/>
            </w:pPr>
            <w:r>
              <w:rPr>
                <w:rFonts w:ascii="Arial" w:hAnsi="Arial" w:eastAsia="Arial"/>
                <w:b w:val="0"/>
                <w:i w:val="0"/>
                <w:color w:val="000000"/>
                <w:sz w:val="14"/>
              </w:rPr>
              <w:t xml:space="preserve">370,025 </w:t>
            </w:r>
          </w:p>
        </w:tc>
        <w:tc>
          <w:tcPr>
            <w:tcW w:type="dxa" w:w="1356"/>
            <w:tcBorders/>
            <w:tcMar>
              <w:start w:w="0" w:type="dxa"/>
              <w:end w:w="0" w:type="dxa"/>
            </w:tcMar>
          </w:tcPr>
          <w:p>
            <w:pPr>
              <w:autoSpaceDN w:val="0"/>
              <w:autoSpaceDE w:val="0"/>
              <w:widowControl/>
              <w:spacing w:line="233" w:lineRule="auto" w:before="44" w:after="0"/>
              <w:ind w:left="0" w:right="30" w:firstLine="0"/>
              <w:jc w:val="right"/>
            </w:pPr>
            <w:r>
              <w:rPr>
                <w:rFonts w:ascii="Arial" w:hAnsi="Arial" w:eastAsia="Arial"/>
                <w:b w:val="0"/>
                <w:i w:val="0"/>
                <w:color w:val="000000"/>
                <w:sz w:val="14"/>
              </w:rPr>
              <w:t xml:space="preserve">(20,011,416) </w:t>
            </w:r>
          </w:p>
        </w:tc>
        <w:tc>
          <w:tcPr>
            <w:tcW w:type="dxa" w:w="1290"/>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44" w:after="0"/>
              <w:ind w:left="0" w:right="86" w:firstLine="0"/>
              <w:jc w:val="right"/>
            </w:pPr>
            <w:r>
              <w:rPr>
                <w:rFonts w:ascii="Arial" w:hAnsi="Arial" w:eastAsia="Arial"/>
                <w:b w:val="0"/>
                <w:i w:val="0"/>
                <w:color w:val="000000"/>
                <w:sz w:val="14"/>
              </w:rPr>
              <w:t xml:space="preserve">(898,334) </w:t>
            </w:r>
          </w:p>
        </w:tc>
        <w:tc>
          <w:tcPr>
            <w:tcW w:type="dxa" w:w="1296"/>
            <w:tcBorders/>
            <w:tcMar>
              <w:start w:w="0" w:type="dxa"/>
              <w:end w:w="0" w:type="dxa"/>
            </w:tcMar>
          </w:tcPr>
          <w:p>
            <w:pPr>
              <w:autoSpaceDN w:val="0"/>
              <w:autoSpaceDE w:val="0"/>
              <w:widowControl/>
              <w:spacing w:line="233" w:lineRule="auto" w:before="44" w:after="0"/>
              <w:ind w:left="0" w:right="22" w:firstLine="0"/>
              <w:jc w:val="right"/>
            </w:pPr>
            <w:r>
              <w:rPr>
                <w:rFonts w:ascii="Arial" w:hAnsi="Arial" w:eastAsia="Arial"/>
                <w:b w:val="0"/>
                <w:i w:val="0"/>
                <w:color w:val="000000"/>
                <w:sz w:val="14"/>
              </w:rPr>
              <w:t xml:space="preserve">(678,879 ) </w:t>
            </w:r>
          </w:p>
        </w:tc>
        <w:tc>
          <w:tcPr>
            <w:tcW w:type="dxa" w:w="1074"/>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214,084,213</w:t>
            </w:r>
          </w:p>
        </w:tc>
      </w:tr>
      <w:tr>
        <w:trPr>
          <w:trHeight w:hRule="exact" w:val="232"/>
        </w:trPr>
        <w:tc>
          <w:tcPr>
            <w:tcW w:type="dxa" w:w="1918"/>
            <w:tcBorders>
              <w:bottom w:sz="4.0" w:val="single" w:color="#000000"/>
            </w:tcBorders>
            <w:tcMar>
              <w:start w:w="0" w:type="dxa"/>
              <w:end w:w="0" w:type="dxa"/>
            </w:tcMar>
          </w:tcPr>
          <w:p>
            <w:pPr>
              <w:autoSpaceDN w:val="0"/>
              <w:autoSpaceDE w:val="0"/>
              <w:widowControl/>
              <w:spacing w:line="140" w:lineRule="exact" w:before="66" w:after="0"/>
              <w:ind w:left="40" w:right="0" w:firstLine="0"/>
              <w:jc w:val="left"/>
            </w:pPr>
            <w:r>
              <w:rPr>
                <w:rFonts w:ascii="黑体" w:hAnsi="黑体" w:eastAsia="黑体"/>
                <w:b w:val="0"/>
                <w:i w:val="0"/>
                <w:color w:val="000000"/>
                <w:sz w:val="14"/>
              </w:rPr>
              <w:t>衍生金融资产</w:t>
            </w:r>
          </w:p>
        </w:tc>
        <w:tc>
          <w:tcPr>
            <w:tcW w:type="dxa" w:w="1062"/>
            <w:tcBorders>
              <w:bottom w:sz="4.0" w:val="single" w:color="#000000"/>
            </w:tcBorders>
            <w:tcMar>
              <w:start w:w="0" w:type="dxa"/>
              <w:end w:w="0" w:type="dxa"/>
            </w:tcMar>
          </w:tcPr>
          <w:p>
            <w:pPr>
              <w:autoSpaceDN w:val="0"/>
              <w:autoSpaceDE w:val="0"/>
              <w:widowControl/>
              <w:spacing w:line="230" w:lineRule="auto" w:before="72" w:after="0"/>
              <w:ind w:left="0" w:right="2" w:firstLine="0"/>
              <w:jc w:val="right"/>
            </w:pPr>
            <w:r>
              <w:rPr>
                <w:rFonts w:ascii="Arial" w:hAnsi="Arial" w:eastAsia="Arial"/>
                <w:b w:val="0"/>
                <w:i w:val="0"/>
                <w:color w:val="000000"/>
                <w:sz w:val="14"/>
              </w:rPr>
              <w:t>154,225,473</w:t>
            </w:r>
          </w:p>
        </w:tc>
        <w:tc>
          <w:tcPr>
            <w:tcW w:type="dxa" w:w="1194"/>
            <w:tcBorders>
              <w:bottom w:sz="4.0" w:val="single" w:color="#000000"/>
            </w:tcBorders>
            <w:tcMar>
              <w:start w:w="0" w:type="dxa"/>
              <w:end w:w="0" w:type="dxa"/>
            </w:tcMar>
          </w:tcPr>
          <w:p>
            <w:pPr>
              <w:autoSpaceDN w:val="0"/>
              <w:autoSpaceDE w:val="0"/>
              <w:widowControl/>
              <w:spacing w:line="230" w:lineRule="auto" w:before="72" w:after="0"/>
              <w:ind w:left="0" w:right="76" w:firstLine="0"/>
              <w:jc w:val="right"/>
            </w:pPr>
            <w:r>
              <w:rPr>
                <w:rFonts w:ascii="Arial" w:hAnsi="Arial" w:eastAsia="Arial"/>
                <w:b w:val="0"/>
                <w:i w:val="0"/>
                <w:color w:val="000000"/>
                <w:sz w:val="14"/>
              </w:rPr>
              <w:t xml:space="preserve">- </w:t>
            </w:r>
          </w:p>
        </w:tc>
        <w:tc>
          <w:tcPr>
            <w:tcW w:type="dxa" w:w="1118"/>
            <w:tcBorders>
              <w:bottom w:sz="4.0" w:val="single" w:color="#000000"/>
            </w:tcBorders>
            <w:tcMar>
              <w:start w:w="0" w:type="dxa"/>
              <w:end w:w="0" w:type="dxa"/>
            </w:tcMar>
          </w:tcPr>
          <w:p>
            <w:pPr>
              <w:autoSpaceDN w:val="0"/>
              <w:autoSpaceDE w:val="0"/>
              <w:widowControl/>
              <w:spacing w:line="230" w:lineRule="auto" w:before="72" w:after="0"/>
              <w:ind w:left="0" w:right="112" w:firstLine="0"/>
              <w:jc w:val="right"/>
            </w:pPr>
            <w:r>
              <w:rPr>
                <w:rFonts w:ascii="Arial" w:hAnsi="Arial" w:eastAsia="Arial"/>
                <w:b w:val="0"/>
                <w:i w:val="0"/>
                <w:color w:val="000000"/>
                <w:sz w:val="14"/>
              </w:rPr>
              <w:t>-</w:t>
            </w:r>
          </w:p>
        </w:tc>
        <w:tc>
          <w:tcPr>
            <w:tcW w:type="dxa" w:w="1092"/>
            <w:tcBorders>
              <w:bottom w:sz="4.0" w:val="single" w:color="#000000"/>
            </w:tcBorders>
            <w:tcMar>
              <w:start w:w="0" w:type="dxa"/>
              <w:end w:w="0" w:type="dxa"/>
            </w:tcMar>
          </w:tcPr>
          <w:p>
            <w:pPr>
              <w:autoSpaceDN w:val="0"/>
              <w:autoSpaceDE w:val="0"/>
              <w:widowControl/>
              <w:spacing w:line="230" w:lineRule="auto" w:before="72" w:after="0"/>
              <w:ind w:left="264" w:right="0" w:firstLine="0"/>
              <w:jc w:val="left"/>
            </w:pPr>
            <w:r>
              <w:rPr>
                <w:rFonts w:ascii="Arial" w:hAnsi="Arial" w:eastAsia="Arial"/>
                <w:b w:val="0"/>
                <w:i w:val="0"/>
                <w:color w:val="000000"/>
                <w:sz w:val="14"/>
              </w:rPr>
              <w:t xml:space="preserve">21,798,909 </w:t>
            </w:r>
          </w:p>
        </w:tc>
        <w:tc>
          <w:tcPr>
            <w:tcW w:type="dxa" w:w="1356"/>
            <w:tcBorders>
              <w:bottom w:sz="4.0" w:val="single" w:color="#000000"/>
            </w:tcBorders>
            <w:tcMar>
              <w:start w:w="0" w:type="dxa"/>
              <w:end w:w="0" w:type="dxa"/>
            </w:tcMar>
          </w:tcPr>
          <w:p>
            <w:pPr>
              <w:autoSpaceDN w:val="0"/>
              <w:autoSpaceDE w:val="0"/>
              <w:widowControl/>
              <w:spacing w:line="230" w:lineRule="auto" w:before="72" w:after="0"/>
              <w:ind w:left="0" w:right="114" w:firstLine="0"/>
              <w:jc w:val="right"/>
            </w:pPr>
            <w:r>
              <w:rPr>
                <w:rFonts w:ascii="Arial" w:hAnsi="Arial" w:eastAsia="Arial"/>
                <w:b w:val="0"/>
                <w:i w:val="0"/>
                <w:color w:val="000000"/>
                <w:sz w:val="14"/>
              </w:rPr>
              <w:t>11,742,473</w:t>
            </w:r>
          </w:p>
        </w:tc>
        <w:tc>
          <w:tcPr>
            <w:tcW w:type="dxa" w:w="1290"/>
            <w:tcBorders>
              <w:bottom w:sz="4.0" w:val="single" w:color="#000000"/>
            </w:tcBorders>
            <w:tcMar>
              <w:start w:w="0" w:type="dxa"/>
              <w:end w:w="0" w:type="dxa"/>
            </w:tcMar>
          </w:tcPr>
          <w:p>
            <w:pPr>
              <w:autoSpaceDN w:val="0"/>
              <w:autoSpaceDE w:val="0"/>
              <w:widowControl/>
              <w:spacing w:line="230" w:lineRule="auto" w:before="72" w:after="0"/>
              <w:ind w:left="0" w:right="174" w:firstLine="0"/>
              <w:jc w:val="right"/>
            </w:pPr>
            <w:r>
              <w:rPr>
                <w:rFonts w:ascii="Arial" w:hAnsi="Arial" w:eastAsia="Arial"/>
                <w:b w:val="0"/>
                <w:i w:val="0"/>
                <w:color w:val="000000"/>
                <w:sz w:val="14"/>
              </w:rPr>
              <w:t>70,230,643</w:t>
            </w:r>
          </w:p>
        </w:tc>
        <w:tc>
          <w:tcPr>
            <w:tcW w:type="dxa" w:w="1308"/>
            <w:tcBorders>
              <w:bottom w:sz="4.0" w:val="single" w:color="#000000"/>
            </w:tcBorders>
            <w:tcMar>
              <w:start w:w="0" w:type="dxa"/>
              <w:end w:w="0" w:type="dxa"/>
            </w:tcMar>
          </w:tcPr>
          <w:p>
            <w:pPr>
              <w:autoSpaceDN w:val="0"/>
              <w:autoSpaceDE w:val="0"/>
              <w:widowControl/>
              <w:spacing w:line="230" w:lineRule="auto" w:before="72" w:after="0"/>
              <w:ind w:left="0" w:right="0" w:firstLine="0"/>
              <w:jc w:val="right"/>
            </w:pPr>
            <w:r>
              <w:rPr>
                <w:rFonts w:ascii="Arial" w:hAnsi="Arial" w:eastAsia="Arial"/>
                <w:b w:val="0"/>
                <w:i w:val="0"/>
                <w:color w:val="000000"/>
                <w:sz w:val="14"/>
              </w:rPr>
              <w:t>-</w:t>
            </w:r>
          </w:p>
        </w:tc>
        <w:tc>
          <w:tcPr>
            <w:tcW w:type="dxa" w:w="1304"/>
            <w:tcBorders>
              <w:bottom w:sz="4.0" w:val="single" w:color="#000000"/>
            </w:tcBorders>
            <w:tcMar>
              <w:start w:w="0" w:type="dxa"/>
              <w:end w:w="0" w:type="dxa"/>
            </w:tcMar>
          </w:tcPr>
          <w:p>
            <w:pPr>
              <w:autoSpaceDN w:val="0"/>
              <w:autoSpaceDE w:val="0"/>
              <w:widowControl/>
              <w:spacing w:line="230" w:lineRule="auto" w:before="72" w:after="0"/>
              <w:ind w:left="0" w:right="170" w:firstLine="0"/>
              <w:jc w:val="right"/>
            </w:pPr>
            <w:r>
              <w:rPr>
                <w:rFonts w:ascii="Arial" w:hAnsi="Arial" w:eastAsia="Arial"/>
                <w:b w:val="0"/>
                <w:i w:val="0"/>
                <w:color w:val="000000"/>
                <w:sz w:val="14"/>
              </w:rPr>
              <w:t>-</w:t>
            </w:r>
          </w:p>
        </w:tc>
        <w:tc>
          <w:tcPr>
            <w:tcW w:type="dxa" w:w="1296"/>
            <w:tcBorders>
              <w:bottom w:sz="4.0" w:val="single" w:color="#000000"/>
            </w:tcBorders>
            <w:tcMar>
              <w:start w:w="0" w:type="dxa"/>
              <w:end w:w="0" w:type="dxa"/>
            </w:tcMar>
          </w:tcPr>
          <w:p>
            <w:pPr>
              <w:autoSpaceDN w:val="0"/>
              <w:autoSpaceDE w:val="0"/>
              <w:widowControl/>
              <w:spacing w:line="230" w:lineRule="auto" w:before="72" w:after="0"/>
              <w:ind w:left="0" w:right="22" w:firstLine="0"/>
              <w:jc w:val="right"/>
            </w:pPr>
            <w:r>
              <w:rPr>
                <w:rFonts w:ascii="Arial" w:hAnsi="Arial" w:eastAsia="Arial"/>
                <w:b w:val="0"/>
                <w:i w:val="0"/>
                <w:color w:val="000000"/>
                <w:sz w:val="14"/>
              </w:rPr>
              <w:t xml:space="preserve">(146,886,188 ) </w:t>
            </w:r>
          </w:p>
        </w:tc>
        <w:tc>
          <w:tcPr>
            <w:tcW w:type="dxa" w:w="1074"/>
            <w:tcBorders>
              <w:bottom w:sz="4.0" w:val="single" w:color="#000000"/>
            </w:tcBorders>
            <w:tcMar>
              <w:start w:w="0" w:type="dxa"/>
              <w:end w:w="0" w:type="dxa"/>
            </w:tcMar>
          </w:tcPr>
          <w:p>
            <w:pPr>
              <w:autoSpaceDN w:val="0"/>
              <w:autoSpaceDE w:val="0"/>
              <w:widowControl/>
              <w:spacing w:line="230" w:lineRule="auto" w:before="72" w:after="0"/>
              <w:ind w:left="0" w:right="2" w:firstLine="0"/>
              <w:jc w:val="right"/>
            </w:pPr>
            <w:r>
              <w:rPr>
                <w:rFonts w:ascii="Arial" w:hAnsi="Arial" w:eastAsia="Arial"/>
                <w:b w:val="0"/>
                <w:i w:val="0"/>
                <w:color w:val="000000"/>
                <w:sz w:val="14"/>
              </w:rPr>
              <w:t>111,111,310</w:t>
            </w:r>
          </w:p>
        </w:tc>
      </w:tr>
      <w:tr>
        <w:trPr>
          <w:trHeight w:hRule="exact" w:val="426"/>
        </w:trPr>
        <w:tc>
          <w:tcPr>
            <w:tcW w:type="dxa" w:w="1918"/>
            <w:tcBorders>
              <w:top w:sz="4.0" w:val="single" w:color="#000000"/>
              <w:bottom w:sz="3.200000000000273" w:val="single" w:color="#000000"/>
            </w:tcBorders>
            <w:tcMar>
              <w:start w:w="0" w:type="dxa"/>
              <w:end w:w="0" w:type="dxa"/>
            </w:tcMar>
          </w:tcPr>
          <w:p>
            <w:pPr>
              <w:autoSpaceDN w:val="0"/>
              <w:autoSpaceDE w:val="0"/>
              <w:widowControl/>
              <w:spacing w:line="140" w:lineRule="exact" w:before="252" w:after="0"/>
              <w:ind w:left="0" w:right="0" w:firstLine="0"/>
              <w:jc w:val="center"/>
            </w:pPr>
            <w:r>
              <w:rPr>
                <w:rFonts w:ascii="黑体" w:hAnsi="黑体" w:eastAsia="黑体"/>
                <w:b w:val="0"/>
                <w:i w:val="0"/>
                <w:color w:val="000000"/>
                <w:sz w:val="14"/>
              </w:rPr>
              <w:t>持续以公允价值计量资产总计</w:t>
            </w:r>
          </w:p>
        </w:tc>
        <w:tc>
          <w:tcPr>
            <w:tcW w:type="dxa" w:w="1062"/>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168" w:right="0" w:firstLine="0"/>
              <w:jc w:val="left"/>
            </w:pPr>
            <w:r>
              <w:rPr>
                <w:rFonts w:ascii="Arial" w:hAnsi="Arial" w:eastAsia="Arial"/>
                <w:b w:val="0"/>
                <w:i w:val="0"/>
                <w:color w:val="000000"/>
                <w:sz w:val="14"/>
              </w:rPr>
              <w:t>2,310,882,704</w:t>
            </w:r>
          </w:p>
        </w:tc>
        <w:tc>
          <w:tcPr>
            <w:tcW w:type="dxa" w:w="119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76" w:firstLine="0"/>
              <w:jc w:val="right"/>
            </w:pPr>
            <w:r>
              <w:rPr>
                <w:rFonts w:ascii="Arial" w:hAnsi="Arial" w:eastAsia="Arial"/>
                <w:b w:val="0"/>
                <w:i w:val="0"/>
                <w:color w:val="000000"/>
                <w:sz w:val="14"/>
              </w:rPr>
              <w:t xml:space="preserve">- </w:t>
            </w:r>
          </w:p>
        </w:tc>
        <w:tc>
          <w:tcPr>
            <w:tcW w:type="dxa" w:w="1118"/>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28" w:firstLine="0"/>
              <w:jc w:val="right"/>
            </w:pPr>
            <w:r>
              <w:rPr>
                <w:rFonts w:ascii="Arial" w:hAnsi="Arial" w:eastAsia="Arial"/>
                <w:b w:val="0"/>
                <w:i w:val="0"/>
                <w:color w:val="000000"/>
                <w:sz w:val="14"/>
              </w:rPr>
              <w:t xml:space="preserve">(1,026,380) </w:t>
            </w:r>
          </w:p>
        </w:tc>
        <w:tc>
          <w:tcPr>
            <w:tcW w:type="dxa" w:w="1092"/>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140" w:right="0" w:firstLine="0"/>
              <w:jc w:val="left"/>
            </w:pPr>
            <w:r>
              <w:rPr>
                <w:rFonts w:ascii="Arial" w:hAnsi="Arial" w:eastAsia="Arial"/>
                <w:b w:val="0"/>
                <w:i w:val="0"/>
                <w:color w:val="000000"/>
                <w:sz w:val="14"/>
              </w:rPr>
              <w:t xml:space="preserve">(135,983,241 ) </w:t>
            </w:r>
          </w:p>
        </w:tc>
        <w:tc>
          <w:tcPr>
            <w:tcW w:type="dxa" w:w="1356"/>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30" w:firstLine="0"/>
              <w:jc w:val="right"/>
            </w:pPr>
            <w:r>
              <w:rPr>
                <w:rFonts w:ascii="Arial" w:hAnsi="Arial" w:eastAsia="Arial"/>
                <w:b w:val="0"/>
                <w:i w:val="0"/>
                <w:color w:val="000000"/>
                <w:sz w:val="14"/>
              </w:rPr>
              <w:t xml:space="preserve">(8,268,943) </w:t>
            </w:r>
          </w:p>
        </w:tc>
        <w:tc>
          <w:tcPr>
            <w:tcW w:type="dxa" w:w="1290"/>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172" w:firstLine="0"/>
              <w:jc w:val="right"/>
            </w:pPr>
            <w:r>
              <w:rPr>
                <w:rFonts w:ascii="Arial" w:hAnsi="Arial" w:eastAsia="Arial"/>
                <w:b w:val="0"/>
                <w:i w:val="0"/>
                <w:color w:val="000000"/>
                <w:sz w:val="14"/>
              </w:rPr>
              <w:t>338,849,616</w:t>
            </w:r>
          </w:p>
        </w:tc>
        <w:tc>
          <w:tcPr>
            <w:tcW w:type="dxa" w:w="1308"/>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0" w:firstLine="0"/>
              <w:jc w:val="right"/>
            </w:pPr>
            <w:r>
              <w:rPr>
                <w:rFonts w:ascii="Arial" w:hAnsi="Arial" w:eastAsia="Arial"/>
                <w:b w:val="0"/>
                <w:i w:val="0"/>
                <w:color w:val="000000"/>
                <w:sz w:val="14"/>
              </w:rPr>
              <w:t>-</w:t>
            </w:r>
          </w:p>
        </w:tc>
        <w:tc>
          <w:tcPr>
            <w:tcW w:type="dxa" w:w="130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86" w:firstLine="0"/>
              <w:jc w:val="right"/>
            </w:pPr>
            <w:r>
              <w:rPr>
                <w:rFonts w:ascii="Arial" w:hAnsi="Arial" w:eastAsia="Arial"/>
                <w:b w:val="0"/>
                <w:i w:val="0"/>
                <w:color w:val="000000"/>
                <w:sz w:val="14"/>
              </w:rPr>
              <w:t xml:space="preserve">(898,334) </w:t>
            </w:r>
          </w:p>
        </w:tc>
        <w:tc>
          <w:tcPr>
            <w:tcW w:type="dxa" w:w="1296"/>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22" w:firstLine="0"/>
              <w:jc w:val="right"/>
            </w:pPr>
            <w:r>
              <w:rPr>
                <w:rFonts w:ascii="Arial" w:hAnsi="Arial" w:eastAsia="Arial"/>
                <w:b w:val="0"/>
                <w:i w:val="0"/>
                <w:color w:val="000000"/>
                <w:sz w:val="14"/>
              </w:rPr>
              <w:t xml:space="preserve">(466,756,423 ) </w:t>
            </w:r>
          </w:p>
        </w:tc>
        <w:tc>
          <w:tcPr>
            <w:tcW w:type="dxa" w:w="107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180" w:right="0" w:firstLine="0"/>
              <w:jc w:val="left"/>
            </w:pPr>
            <w:r>
              <w:rPr>
                <w:rFonts w:ascii="Arial" w:hAnsi="Arial" w:eastAsia="Arial"/>
                <w:b w:val="0"/>
                <w:i w:val="0"/>
                <w:color w:val="000000"/>
                <w:sz w:val="14"/>
              </w:rPr>
              <w:t>2,036,798,999</w:t>
            </w:r>
          </w:p>
        </w:tc>
      </w:tr>
      <w:tr>
        <w:trPr>
          <w:trHeight w:hRule="exact" w:val="52"/>
        </w:trPr>
        <w:tc>
          <w:tcPr>
            <w:tcW w:type="dxa" w:w="1918"/>
            <w:tcBorders>
              <w:top w:sz="3.200000000000273" w:val="single" w:color="#000000"/>
            </w:tcBorders>
            <w:tcMar>
              <w:start w:w="0" w:type="dxa"/>
              <w:end w:w="0" w:type="dxa"/>
            </w:tcMar>
          </w:tcPr>
          <w:p/>
        </w:tc>
        <w:tc>
          <w:tcPr>
            <w:tcW w:type="dxa" w:w="1062"/>
            <w:tcBorders>
              <w:top w:sz="3.200000000000273" w:val="single" w:color="#000000"/>
            </w:tcBorders>
            <w:tcMar>
              <w:start w:w="0" w:type="dxa"/>
              <w:end w:w="0" w:type="dxa"/>
            </w:tcMar>
          </w:tcPr>
          <w:p/>
        </w:tc>
        <w:tc>
          <w:tcPr>
            <w:tcW w:type="dxa" w:w="1194"/>
            <w:tcBorders>
              <w:top w:sz="3.200000000000273" w:val="single" w:color="#000000"/>
            </w:tcBorders>
            <w:tcMar>
              <w:start w:w="0" w:type="dxa"/>
              <w:end w:w="0" w:type="dxa"/>
            </w:tcMar>
          </w:tcPr>
          <w:p/>
        </w:tc>
        <w:tc>
          <w:tcPr>
            <w:tcW w:type="dxa" w:w="1118"/>
            <w:tcBorders>
              <w:top w:sz="3.200000000000273" w:val="single" w:color="#000000"/>
            </w:tcBorders>
            <w:tcMar>
              <w:start w:w="0" w:type="dxa"/>
              <w:end w:w="0" w:type="dxa"/>
            </w:tcMar>
          </w:tcPr>
          <w:p/>
        </w:tc>
        <w:tc>
          <w:tcPr>
            <w:tcW w:type="dxa" w:w="1092"/>
            <w:tcBorders>
              <w:top w:sz="3.200000000000273" w:val="single" w:color="#000000"/>
            </w:tcBorders>
            <w:tcMar>
              <w:start w:w="0" w:type="dxa"/>
              <w:end w:w="0" w:type="dxa"/>
            </w:tcMar>
          </w:tcPr>
          <w:p/>
        </w:tc>
        <w:tc>
          <w:tcPr>
            <w:tcW w:type="dxa" w:w="1356"/>
            <w:tcBorders>
              <w:top w:sz="3.200000000000273" w:val="single" w:color="#000000"/>
            </w:tcBorders>
            <w:tcMar>
              <w:start w:w="0" w:type="dxa"/>
              <w:end w:w="0" w:type="dxa"/>
            </w:tcMar>
          </w:tcPr>
          <w:p/>
        </w:tc>
        <w:tc>
          <w:tcPr>
            <w:tcW w:type="dxa" w:w="1290"/>
            <w:tcBorders>
              <w:top w:sz="3.200000000000273" w:val="single" w:color="#000000"/>
            </w:tcBorders>
            <w:tcMar>
              <w:start w:w="0" w:type="dxa"/>
              <w:end w:w="0" w:type="dxa"/>
            </w:tcMar>
          </w:tcPr>
          <w:p/>
        </w:tc>
        <w:tc>
          <w:tcPr>
            <w:tcW w:type="dxa" w:w="1308"/>
            <w:tcBorders>
              <w:top w:sz="3.200000000000273" w:val="single" w:color="#000000"/>
            </w:tcBorders>
            <w:tcMar>
              <w:start w:w="0" w:type="dxa"/>
              <w:end w:w="0" w:type="dxa"/>
            </w:tcMar>
          </w:tcPr>
          <w:p/>
        </w:tc>
        <w:tc>
          <w:tcPr>
            <w:tcW w:type="dxa" w:w="1304"/>
            <w:tcBorders>
              <w:top w:sz="3.200000000000273" w:val="single" w:color="#000000"/>
            </w:tcBorders>
            <w:tcMar>
              <w:start w:w="0" w:type="dxa"/>
              <w:end w:w="0" w:type="dxa"/>
            </w:tcMar>
          </w:tcPr>
          <w:p/>
        </w:tc>
        <w:tc>
          <w:tcPr>
            <w:tcW w:type="dxa" w:w="1296"/>
            <w:tcBorders>
              <w:top w:sz="3.200000000000273" w:val="single" w:color="#000000"/>
            </w:tcBorders>
            <w:tcMar>
              <w:start w:w="0" w:type="dxa"/>
              <w:end w:w="0" w:type="dxa"/>
            </w:tcMar>
          </w:tcPr>
          <w:p/>
        </w:tc>
        <w:tc>
          <w:tcPr>
            <w:tcW w:type="dxa" w:w="1074"/>
            <w:tcBorders>
              <w:top w:sz="3.200000000000273" w:val="single" w:color="#000000"/>
            </w:tcBorders>
            <w:tcMar>
              <w:start w:w="0" w:type="dxa"/>
              <w:end w:w="0" w:type="dxa"/>
            </w:tcMar>
          </w:tcPr>
          <w:p/>
        </w:tc>
      </w:tr>
    </w:tbl>
    <w:p>
      <w:pPr>
        <w:autoSpaceDN w:val="0"/>
        <w:autoSpaceDE w:val="0"/>
        <w:widowControl/>
        <w:spacing w:line="233" w:lineRule="auto" w:before="2848" w:after="0"/>
        <w:ind w:left="0" w:right="6790" w:firstLine="0"/>
        <w:jc w:val="right"/>
      </w:pPr>
      <w:r>
        <w:rPr>
          <w:rFonts w:ascii="Arial" w:hAnsi="Arial" w:eastAsia="Arial"/>
          <w:b w:val="0"/>
          <w:i w:val="0"/>
          <w:color w:val="000000"/>
          <w:sz w:val="20"/>
        </w:rPr>
        <w:t xml:space="preserve">296 </w:t>
      </w:r>
    </w:p>
    <w:p>
      <w:pPr>
        <w:sectPr>
          <w:pgSz w:w="16841" w:h="11899"/>
          <w:pgMar w:top="1166" w:right="1406" w:bottom="360" w:left="1378" w:header="720" w:footer="720" w:gutter="0"/>
          <w:cols/>
          <w:docGrid w:linePitch="360"/>
        </w:sectPr>
      </w:pPr>
    </w:p>
    <w:p>
      <w:pPr>
        <w:autoSpaceDN w:val="0"/>
        <w:autoSpaceDE w:val="0"/>
        <w:widowControl/>
        <w:spacing w:line="220" w:lineRule="exact" w:before="0" w:after="948"/>
        <w:ind w:left="0" w:right="0"/>
      </w:pPr>
    </w:p>
    <w:p>
      <w:pPr>
        <w:autoSpaceDN w:val="0"/>
        <w:tabs>
          <w:tab w:pos="48" w:val="left"/>
          <w:tab w:pos="706" w:val="left"/>
        </w:tabs>
        <w:autoSpaceDE w:val="0"/>
        <w:widowControl/>
        <w:spacing w:line="436" w:lineRule="exact" w:before="0" w:after="250"/>
        <w:ind w:left="0" w:right="5616"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tab/>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持续的第三层次公允价值计量项目，年初与年末账面价值间的调节信息：（续）</w:t>
      </w:r>
    </w:p>
    <w:tbl>
      <w:tblPr>
        <w:tblW w:type="auto" w:w="0"/>
        <w:tblLayout w:type="fixed"/>
        <w:tblLook w:firstColumn="1" w:firstRow="1" w:lastColumn="0" w:lastRow="0" w:noHBand="0" w:noVBand="1" w:val="04A0"/>
        <w:tblInd w:w="8.000000000000114" w:type="dxa"/>
      </w:tblPr>
      <w:tblGrid>
        <w:gridCol w:w="1414"/>
        <w:gridCol w:w="1414"/>
        <w:gridCol w:w="1414"/>
        <w:gridCol w:w="1414"/>
        <w:gridCol w:w="1414"/>
        <w:gridCol w:w="1414"/>
        <w:gridCol w:w="1414"/>
        <w:gridCol w:w="1414"/>
        <w:gridCol w:w="1414"/>
        <w:gridCol w:w="1414"/>
      </w:tblGrid>
      <w:tr>
        <w:trPr>
          <w:trHeight w:hRule="exact" w:val="250"/>
        </w:trPr>
        <w:tc>
          <w:tcPr>
            <w:tcW w:type="dxa" w:w="1982"/>
            <w:tcBorders>
              <w:bottom w:sz="4.0" w:val="single" w:color="#000000"/>
            </w:tcBorders>
            <w:tcMar>
              <w:start w:w="0" w:type="dxa"/>
              <w:end w:w="0" w:type="dxa"/>
            </w:tcMar>
          </w:tcPr>
          <w:p>
            <w:pPr>
              <w:autoSpaceDN w:val="0"/>
              <w:autoSpaceDE w:val="0"/>
              <w:widowControl/>
              <w:spacing w:line="162" w:lineRule="exact" w:before="60" w:after="0"/>
              <w:ind w:left="40" w:right="0" w:firstLine="0"/>
              <w:jc w:val="left"/>
            </w:pPr>
            <w:r>
              <w:rPr>
                <w:rFonts w:ascii="黑体" w:hAnsi="黑体" w:eastAsia="黑体"/>
                <w:b w:val="0"/>
                <w:i w:val="0"/>
                <w:color w:val="000000"/>
                <w:sz w:val="16"/>
              </w:rPr>
              <w:t>负债</w:t>
            </w:r>
          </w:p>
        </w:tc>
        <w:tc>
          <w:tcPr>
            <w:tcW w:type="dxa" w:w="1060"/>
            <w:tcBorders>
              <w:bottom w:sz="4.0" w:val="single" w:color="#000000"/>
            </w:tcBorders>
            <w:tcMar>
              <w:start w:w="0" w:type="dxa"/>
              <w:end w:w="0" w:type="dxa"/>
            </w:tcMar>
          </w:tcPr>
          <w:p/>
        </w:tc>
        <w:tc>
          <w:tcPr>
            <w:tcW w:type="dxa" w:w="1060"/>
            <w:tcBorders>
              <w:bottom w:sz="4.0" w:val="single" w:color="#000000"/>
            </w:tcBorders>
            <w:tcMar>
              <w:start w:w="0" w:type="dxa"/>
              <w:end w:w="0" w:type="dxa"/>
            </w:tcMar>
          </w:tcPr>
          <w:p/>
        </w:tc>
        <w:tc>
          <w:tcPr>
            <w:tcW w:type="dxa" w:w="1230"/>
            <w:tcBorders>
              <w:bottom w:sz="4.0" w:val="single" w:color="#000000"/>
            </w:tcBorders>
            <w:tcMar>
              <w:start w:w="0" w:type="dxa"/>
              <w:end w:w="0" w:type="dxa"/>
            </w:tcMar>
          </w:tcPr>
          <w:p/>
        </w:tc>
        <w:tc>
          <w:tcPr>
            <w:tcW w:type="dxa" w:w="2336"/>
            <w:tcBorders>
              <w:bottom w:sz="4.0" w:val="single" w:color="#000000"/>
            </w:tcBorders>
            <w:tcMar>
              <w:start w:w="0" w:type="dxa"/>
              <w:end w:w="0" w:type="dxa"/>
            </w:tcMar>
          </w:tcPr>
          <w:p>
            <w:pPr>
              <w:autoSpaceDN w:val="0"/>
              <w:autoSpaceDE w:val="0"/>
              <w:widowControl/>
              <w:spacing w:line="140" w:lineRule="exact" w:before="84" w:after="0"/>
              <w:ind w:left="0" w:right="0" w:firstLine="0"/>
              <w:jc w:val="center"/>
            </w:pPr>
            <w:r>
              <w:rPr>
                <w:rFonts w:ascii="黑体" w:hAnsi="黑体" w:eastAsia="黑体"/>
                <w:b w:val="0"/>
                <w:i w:val="0"/>
                <w:color w:val="000000"/>
                <w:sz w:val="14"/>
              </w:rPr>
              <w:t>本年利得或损失总额</w:t>
            </w:r>
          </w:p>
        </w:tc>
        <w:tc>
          <w:tcPr>
            <w:tcW w:type="dxa" w:w="1232"/>
            <w:tcBorders>
              <w:bottom w:sz="4.0" w:val="single" w:color="#000000"/>
            </w:tcBorders>
            <w:tcMar>
              <w:start w:w="0" w:type="dxa"/>
              <w:end w:w="0" w:type="dxa"/>
            </w:tcMar>
          </w:tcPr>
          <w:p/>
        </w:tc>
        <w:tc>
          <w:tcPr>
            <w:tcW w:type="dxa" w:w="2340"/>
            <w:tcBorders>
              <w:bottom w:sz="4.0" w:val="single" w:color="#000000"/>
            </w:tcBorders>
            <w:tcMar>
              <w:start w:w="0" w:type="dxa"/>
              <w:end w:w="0" w:type="dxa"/>
            </w:tcMar>
          </w:tcPr>
          <w:p>
            <w:pPr>
              <w:autoSpaceDN w:val="0"/>
              <w:autoSpaceDE w:val="0"/>
              <w:widowControl/>
              <w:spacing w:line="140" w:lineRule="exact" w:before="84" w:after="0"/>
              <w:ind w:left="0" w:right="156" w:firstLine="0"/>
              <w:jc w:val="right"/>
            </w:pPr>
            <w:r>
              <w:rPr>
                <w:rFonts w:ascii="黑体" w:hAnsi="黑体" w:eastAsia="黑体"/>
                <w:b w:val="0"/>
                <w:i w:val="0"/>
                <w:color w:val="000000"/>
                <w:sz w:val="14"/>
              </w:rPr>
              <w:t>购买、发行、出售和结算</w:t>
            </w:r>
          </w:p>
        </w:tc>
        <w:tc>
          <w:tcPr>
            <w:tcW w:type="dxa" w:w="454"/>
            <w:tcBorders>
              <w:bottom w:sz="4.0" w:val="single" w:color="#000000"/>
            </w:tcBorders>
            <w:tcMar>
              <w:start w:w="0" w:type="dxa"/>
              <w:end w:w="0" w:type="dxa"/>
            </w:tcMar>
          </w:tcPr>
          <w:p/>
        </w:tc>
        <w:tc>
          <w:tcPr>
            <w:tcW w:type="dxa" w:w="1158"/>
            <w:tcBorders>
              <w:bottom w:sz="4.0" w:val="single" w:color="#000000"/>
            </w:tcBorders>
            <w:tcMar>
              <w:start w:w="0" w:type="dxa"/>
              <w:end w:w="0" w:type="dxa"/>
            </w:tcMar>
          </w:tcPr>
          <w:p/>
        </w:tc>
        <w:tc>
          <w:tcPr>
            <w:tcW w:type="dxa" w:w="1180"/>
            <w:tcBorders>
              <w:bottom w:sz="4.0" w:val="single" w:color="#000000"/>
            </w:tcBorders>
            <w:tcMar>
              <w:start w:w="0" w:type="dxa"/>
              <w:end w:w="0" w:type="dxa"/>
            </w:tcMar>
          </w:tcPr>
          <w:p/>
        </w:tc>
      </w:tr>
      <w:tr>
        <w:trPr>
          <w:trHeight w:hRule="exact" w:val="176"/>
        </w:trPr>
        <w:tc>
          <w:tcPr>
            <w:tcW w:type="dxa" w:w="1982"/>
            <w:vMerge w:val="restart"/>
            <w:tcBorders>
              <w:top w:sz="4.0" w:val="single" w:color="#000000"/>
              <w:bottom w:sz="3.2000000000000455" w:val="single" w:color="#000000"/>
            </w:tcBorders>
            <w:tcMar>
              <w:start w:w="0" w:type="dxa"/>
              <w:end w:w="0" w:type="dxa"/>
            </w:tcMar>
            <w:tcMar>
              <w:start w:w="0" w:type="dxa"/>
              <w:end w:w="0" w:type="dxa"/>
            </w:tcMar>
          </w:tcPr>
          <w:p/>
        </w:tc>
        <w:tc>
          <w:tcPr>
            <w:tcW w:type="dxa" w:w="1060"/>
            <w:tcBorders>
              <w:top w:sz="4.0" w:val="single" w:color="#000000"/>
            </w:tcBorders>
            <w:tcMar>
              <w:start w:w="0" w:type="dxa"/>
              <w:end w:w="0" w:type="dxa"/>
            </w:tcMar>
          </w:tcPr>
          <w:p>
            <w:pPr>
              <w:autoSpaceDN w:val="0"/>
              <w:autoSpaceDE w:val="0"/>
              <w:widowControl/>
              <w:spacing w:line="154" w:lineRule="exact" w:before="14" w:after="0"/>
              <w:ind w:left="176" w:right="0" w:firstLine="0"/>
              <w:jc w:val="left"/>
            </w:pPr>
            <w:r>
              <w:rPr>
                <w:rFonts w:ascii="Arial" w:hAnsi="Arial" w:eastAsia="Arial"/>
                <w:b w:val="0"/>
                <w:i w:val="0"/>
                <w:color w:val="000000"/>
                <w:sz w:val="14"/>
              </w:rPr>
              <w:t>2024</w:t>
            </w:r>
            <w:r>
              <w:rPr>
                <w:rFonts w:ascii="黑体" w:hAnsi="黑体" w:eastAsia="黑体"/>
                <w:b w:val="0"/>
                <w:i w:val="0"/>
                <w:color w:val="000000"/>
                <w:sz w:val="14"/>
              </w:rPr>
              <w:t>年</w:t>
            </w:r>
            <w:r>
              <w:rPr>
                <w:rFonts w:ascii="Arial" w:hAnsi="Arial" w:eastAsia="Arial"/>
                <w:b w:val="0"/>
                <w:i w:val="0"/>
                <w:color w:val="000000"/>
                <w:sz w:val="14"/>
              </w:rPr>
              <w:t>1</w:t>
            </w:r>
            <w:r>
              <w:rPr>
                <w:rFonts w:ascii="黑体" w:hAnsi="黑体" w:eastAsia="黑体"/>
                <w:b w:val="0"/>
                <w:i w:val="0"/>
                <w:color w:val="000000"/>
                <w:sz w:val="14"/>
              </w:rPr>
              <w:t>月</w:t>
            </w:r>
            <w:r>
              <w:rPr>
                <w:rFonts w:ascii="Arial" w:hAnsi="Arial" w:eastAsia="Arial"/>
                <w:b w:val="0"/>
                <w:i w:val="0"/>
                <w:color w:val="000000"/>
                <w:sz w:val="14"/>
              </w:rPr>
              <w:t>1</w:t>
            </w:r>
            <w:r>
              <w:rPr>
                <w:rFonts w:ascii="黑体" w:hAnsi="黑体" w:eastAsia="黑体"/>
                <w:b w:val="0"/>
                <w:i w:val="0"/>
                <w:color w:val="000000"/>
                <w:sz w:val="14"/>
              </w:rPr>
              <w:t>日</w:t>
            </w:r>
          </w:p>
        </w:tc>
        <w:tc>
          <w:tcPr>
            <w:tcW w:type="dxa" w:w="106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20" w:right="0" w:firstLine="0"/>
              <w:jc w:val="left"/>
            </w:pPr>
            <w:r>
              <w:rPr>
                <w:rFonts w:ascii="黑体" w:hAnsi="黑体" w:eastAsia="黑体"/>
                <w:b w:val="0"/>
                <w:i w:val="0"/>
                <w:color w:val="000000"/>
                <w:sz w:val="14"/>
              </w:rPr>
              <w:t>转入第三层次</w:t>
            </w:r>
          </w:p>
        </w:tc>
        <w:tc>
          <w:tcPr>
            <w:tcW w:type="dxa" w:w="123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78" w:right="0" w:firstLine="0"/>
              <w:jc w:val="left"/>
            </w:pPr>
            <w:r>
              <w:rPr>
                <w:rFonts w:ascii="黑体" w:hAnsi="黑体" w:eastAsia="黑体"/>
                <w:b w:val="0"/>
                <w:i w:val="0"/>
                <w:color w:val="000000"/>
                <w:sz w:val="14"/>
              </w:rPr>
              <w:t>转出第三层次</w:t>
            </w:r>
          </w:p>
        </w:tc>
        <w:tc>
          <w:tcPr>
            <w:tcW w:type="dxa" w:w="2336"/>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406" w:right="0" w:firstLine="0"/>
              <w:jc w:val="left"/>
            </w:pPr>
            <w:r>
              <w:rPr>
                <w:rFonts w:ascii="黑体" w:hAnsi="黑体" w:eastAsia="黑体"/>
                <w:b w:val="0"/>
                <w:i w:val="0"/>
                <w:color w:val="000000"/>
                <w:sz w:val="14"/>
              </w:rPr>
              <w:t>计入损益</w:t>
            </w:r>
            <w:r>
              <w:rPr>
                <w:rFonts w:ascii="黑体" w:hAnsi="黑体" w:eastAsia="黑体"/>
                <w:b w:val="0"/>
                <w:i w:val="0"/>
                <w:color w:val="000000"/>
                <w:sz w:val="14"/>
              </w:rPr>
              <w:t>计入其他综合收益</w:t>
            </w:r>
          </w:p>
        </w:tc>
        <w:tc>
          <w:tcPr>
            <w:tcW w:type="dxa" w:w="123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购买</w:t>
            </w:r>
          </w:p>
        </w:tc>
        <w:tc>
          <w:tcPr>
            <w:tcW w:type="dxa" w:w="234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864" w:firstLine="0"/>
              <w:jc w:val="right"/>
            </w:pPr>
            <w:r>
              <w:rPr>
                <w:rFonts w:ascii="黑体" w:hAnsi="黑体" w:eastAsia="黑体"/>
                <w:b w:val="0"/>
                <w:i w:val="0"/>
                <w:color w:val="000000"/>
                <w:sz w:val="14"/>
              </w:rPr>
              <w:t>发行</w:t>
            </w:r>
          </w:p>
        </w:tc>
        <w:tc>
          <w:tcPr>
            <w:tcW w:type="dxa" w:w="454"/>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0" w:firstLine="0"/>
              <w:jc w:val="right"/>
            </w:pPr>
            <w:r>
              <w:rPr>
                <w:rFonts w:ascii="黑体" w:hAnsi="黑体" w:eastAsia="黑体"/>
                <w:b w:val="0"/>
                <w:i w:val="0"/>
                <w:color w:val="000000"/>
                <w:sz w:val="14"/>
              </w:rPr>
              <w:t>出售</w:t>
            </w:r>
          </w:p>
        </w:tc>
        <w:tc>
          <w:tcPr>
            <w:tcW w:type="dxa" w:w="1158"/>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4" w:firstLine="0"/>
              <w:jc w:val="right"/>
            </w:pPr>
            <w:r>
              <w:rPr>
                <w:rFonts w:ascii="黑体" w:hAnsi="黑体" w:eastAsia="黑体"/>
                <w:b w:val="0"/>
                <w:i w:val="0"/>
                <w:color w:val="000000"/>
                <w:sz w:val="14"/>
              </w:rPr>
              <w:t>结算</w:t>
            </w:r>
          </w:p>
        </w:tc>
        <w:tc>
          <w:tcPr>
            <w:tcW w:type="dxa" w:w="1180"/>
            <w:tcBorders>
              <w:top w:sz="4.0" w:val="single" w:color="#000000"/>
            </w:tcBorders>
            <w:tcMar>
              <w:start w:w="0" w:type="dxa"/>
              <w:end w:w="0" w:type="dxa"/>
            </w:tcMar>
          </w:tcPr>
          <w:p>
            <w:pPr>
              <w:autoSpaceDN w:val="0"/>
              <w:autoSpaceDE w:val="0"/>
              <w:widowControl/>
              <w:spacing w:line="154" w:lineRule="exact" w:before="14" w:after="0"/>
              <w:ind w:left="136" w:right="0" w:firstLine="0"/>
              <w:jc w:val="left"/>
            </w:pPr>
            <w:r>
              <w:rPr>
                <w:rFonts w:ascii="Arial" w:hAnsi="Arial" w:eastAsia="Arial"/>
                <w:b w:val="0"/>
                <w:i w:val="0"/>
                <w:color w:val="000000"/>
                <w:sz w:val="14"/>
              </w:rPr>
              <w:t>2024</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w:t>
            </w:r>
          </w:p>
        </w:tc>
      </w:tr>
      <w:tr>
        <w:trPr>
          <w:trHeight w:hRule="exact" w:val="198"/>
        </w:trPr>
        <w:tc>
          <w:tcPr>
            <w:tcW w:type="dxa" w:w="1414"/>
            <w:vMerge/>
            <w:tcBorders>
              <w:top w:sz="4.0" w:val="single" w:color="#000000"/>
              <w:bottom w:sz="3.2000000000000455" w:val="single" w:color="#000000"/>
            </w:tcBorders>
          </w:tcPr>
          <w:p/>
        </w:tc>
        <w:tc>
          <w:tcPr>
            <w:tcW w:type="dxa" w:w="1060"/>
            <w:tcBorders>
              <w:bottom w:sz="3.2000000000000455" w:val="single" w:color="#000000"/>
            </w:tcBorders>
            <w:tcMar>
              <w:start w:w="0" w:type="dxa"/>
              <w:end w:w="0" w:type="dxa"/>
            </w:tcMar>
          </w:tcPr>
          <w:p>
            <w:pPr>
              <w:autoSpaceDN w:val="0"/>
              <w:autoSpaceDE w:val="0"/>
              <w:widowControl/>
              <w:spacing w:line="140" w:lineRule="exact" w:before="30" w:after="0"/>
              <w:ind w:left="0" w:right="0" w:firstLine="0"/>
              <w:jc w:val="right"/>
            </w:pPr>
            <w:r>
              <w:rPr>
                <w:rFonts w:ascii="黑体" w:hAnsi="黑体" w:eastAsia="黑体"/>
                <w:b w:val="0"/>
                <w:i w:val="0"/>
                <w:color w:val="000000"/>
                <w:sz w:val="14"/>
              </w:rPr>
              <w:t>余额</w:t>
            </w: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414"/>
            <w:vMerge/>
            <w:tcBorders>
              <w:top w:sz="4.0" w:val="single" w:color="#000000"/>
              <w:bottom w:sz="3.2000000000000455" w:val="single" w:color="#000000"/>
            </w:tcBorders>
          </w:tcPr>
          <w:p/>
        </w:tc>
        <w:tc>
          <w:tcPr>
            <w:tcW w:type="dxa" w:w="1180"/>
            <w:tcBorders>
              <w:bottom w:sz="3.2000000000000455" w:val="single" w:color="#000000"/>
            </w:tcBorders>
            <w:tcMar>
              <w:start w:w="0" w:type="dxa"/>
              <w:end w:w="0" w:type="dxa"/>
            </w:tcMar>
          </w:tcPr>
          <w:p>
            <w:pPr>
              <w:autoSpaceDN w:val="0"/>
              <w:autoSpaceDE w:val="0"/>
              <w:widowControl/>
              <w:spacing w:line="140" w:lineRule="exact" w:before="30" w:after="0"/>
              <w:ind w:left="0" w:right="2" w:firstLine="0"/>
              <w:jc w:val="right"/>
            </w:pPr>
            <w:r>
              <w:rPr>
                <w:rFonts w:ascii="黑体" w:hAnsi="黑体" w:eastAsia="黑体"/>
                <w:b w:val="0"/>
                <w:i w:val="0"/>
                <w:color w:val="000000"/>
                <w:sz w:val="14"/>
              </w:rPr>
              <w:t>余额</w:t>
            </w:r>
          </w:p>
        </w:tc>
      </w:tr>
    </w:tbl>
    <w:p>
      <w:pPr>
        <w:autoSpaceDN w:val="0"/>
        <w:autoSpaceDE w:val="0"/>
        <w:widowControl/>
        <w:spacing w:line="138" w:lineRule="exact" w:before="258" w:after="214"/>
        <w:ind w:left="48" w:right="0" w:firstLine="0"/>
        <w:jc w:val="left"/>
      </w:pPr>
      <w:r>
        <w:rPr>
          <w:rFonts w:ascii="黑体" w:hAnsi="黑体" w:eastAsia="黑体"/>
          <w:b w:val="0"/>
          <w:i w:val="0"/>
          <w:color w:val="000000"/>
          <w:sz w:val="14"/>
        </w:rPr>
        <w:t>负债</w:t>
      </w:r>
    </w:p>
    <w:tbl>
      <w:tblPr>
        <w:tblW w:type="auto" w:w="0"/>
        <w:tblLayout w:type="fixed"/>
        <w:tblLook w:firstColumn="1" w:firstRow="1" w:lastColumn="0" w:lastRow="0" w:noHBand="0" w:noVBand="1" w:val="04A0"/>
        <w:tblInd w:w="8.000000000000114" w:type="dxa"/>
      </w:tblPr>
      <w:tblGrid>
        <w:gridCol w:w="1286"/>
        <w:gridCol w:w="1286"/>
        <w:gridCol w:w="1286"/>
        <w:gridCol w:w="1286"/>
        <w:gridCol w:w="1286"/>
        <w:gridCol w:w="1286"/>
        <w:gridCol w:w="1286"/>
        <w:gridCol w:w="1286"/>
        <w:gridCol w:w="1286"/>
        <w:gridCol w:w="1286"/>
        <w:gridCol w:w="1286"/>
      </w:tblGrid>
      <w:tr>
        <w:trPr>
          <w:trHeight w:hRule="exact" w:val="192"/>
        </w:trPr>
        <w:tc>
          <w:tcPr>
            <w:tcW w:type="dxa" w:w="1982"/>
            <w:tcBorders/>
            <w:tcMar>
              <w:start w:w="0" w:type="dxa"/>
              <w:end w:w="0" w:type="dxa"/>
            </w:tcMar>
          </w:tcPr>
          <w:p>
            <w:pPr>
              <w:autoSpaceDN w:val="0"/>
              <w:autoSpaceDE w:val="0"/>
              <w:widowControl/>
              <w:spacing w:line="140" w:lineRule="exact" w:before="52" w:after="0"/>
              <w:ind w:left="40" w:right="0" w:firstLine="0"/>
              <w:jc w:val="left"/>
            </w:pPr>
            <w:r>
              <w:rPr>
                <w:rFonts w:ascii="黑体" w:hAnsi="黑体" w:eastAsia="黑体"/>
                <w:b w:val="0"/>
                <w:i w:val="0"/>
                <w:color w:val="000000"/>
                <w:sz w:val="14"/>
              </w:rPr>
              <w:t>交易性金融负债</w:t>
            </w:r>
          </w:p>
        </w:tc>
        <w:tc>
          <w:tcPr>
            <w:tcW w:type="dxa" w:w="1210"/>
            <w:vMerge w:val="restart"/>
            <w:tcBorders/>
            <w:tcMar>
              <w:start w:w="0" w:type="dxa"/>
              <w:end w:w="0" w:type="dxa"/>
            </w:tcMar>
            <w:tcMar>
              <w:start w:w="0" w:type="dxa"/>
              <w:end w:w="0" w:type="dxa"/>
            </w:tcMar>
          </w:tcPr>
          <w:p>
            <w:pPr>
              <w:autoSpaceDN w:val="0"/>
              <w:autoSpaceDE w:val="0"/>
              <w:widowControl/>
              <w:spacing w:line="230" w:lineRule="auto" w:before="66" w:after="0"/>
              <w:ind w:left="238" w:right="0" w:firstLine="0"/>
              <w:jc w:val="left"/>
            </w:pPr>
            <w:r>
              <w:rPr>
                <w:rFonts w:ascii="Arial" w:hAnsi="Arial" w:eastAsia="Arial"/>
                <w:b w:val="0"/>
                <w:i w:val="0"/>
                <w:color w:val="000000"/>
                <w:sz w:val="14"/>
              </w:rPr>
              <w:t xml:space="preserve">(158,216,879) </w:t>
            </w:r>
          </w:p>
        </w:tc>
        <w:tc>
          <w:tcPr>
            <w:tcW w:type="dxa" w:w="910"/>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118"/>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206"/>
            <w:vMerge w:val="restart"/>
            <w:tcBorders/>
            <w:tcMar>
              <w:start w:w="0" w:type="dxa"/>
              <w:end w:w="0" w:type="dxa"/>
            </w:tcMar>
            <w:tcMar>
              <w:start w:w="0" w:type="dxa"/>
              <w:end w:w="0" w:type="dxa"/>
            </w:tcMar>
          </w:tcPr>
          <w:p>
            <w:pPr>
              <w:autoSpaceDN w:val="0"/>
              <w:autoSpaceDE w:val="0"/>
              <w:widowControl/>
              <w:spacing w:line="230" w:lineRule="auto" w:before="66" w:after="0"/>
              <w:ind w:left="0" w:right="90" w:firstLine="0"/>
              <w:jc w:val="right"/>
            </w:pPr>
            <w:r>
              <w:rPr>
                <w:rFonts w:ascii="Arial" w:hAnsi="Arial" w:eastAsia="Arial"/>
                <w:b w:val="0"/>
                <w:i w:val="0"/>
                <w:color w:val="000000"/>
                <w:sz w:val="14"/>
              </w:rPr>
              <w:t xml:space="preserve">816,879 </w:t>
            </w:r>
          </w:p>
        </w:tc>
        <w:tc>
          <w:tcPr>
            <w:tcW w:type="dxa" w:w="1242"/>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402"/>
            <w:vMerge w:val="restart"/>
            <w:tcBorders/>
            <w:tcMar>
              <w:start w:w="0" w:type="dxa"/>
              <w:end w:w="0" w:type="dxa"/>
            </w:tcMar>
            <w:tcMar>
              <w:start w:w="0" w:type="dxa"/>
              <w:end w:w="0" w:type="dxa"/>
            </w:tcMar>
          </w:tcPr>
          <w:p>
            <w:pPr>
              <w:autoSpaceDN w:val="0"/>
              <w:autoSpaceDE w:val="0"/>
              <w:widowControl/>
              <w:spacing w:line="230" w:lineRule="auto" w:before="66" w:after="0"/>
              <w:ind w:left="0" w:right="170" w:firstLine="0"/>
              <w:jc w:val="right"/>
            </w:pPr>
            <w:r>
              <w:rPr>
                <w:rFonts w:ascii="Arial" w:hAnsi="Arial" w:eastAsia="Arial"/>
                <w:b w:val="0"/>
                <w:i w:val="0"/>
                <w:color w:val="000000"/>
                <w:sz w:val="14"/>
              </w:rPr>
              <w:t>-</w:t>
            </w:r>
          </w:p>
        </w:tc>
        <w:tc>
          <w:tcPr>
            <w:tcW w:type="dxa" w:w="1480"/>
            <w:vMerge w:val="restart"/>
            <w:tcBorders/>
            <w:tcMar>
              <w:start w:w="0" w:type="dxa"/>
              <w:end w:w="0" w:type="dxa"/>
            </w:tcMar>
            <w:tcMar>
              <w:start w:w="0" w:type="dxa"/>
              <w:end w:w="0" w:type="dxa"/>
            </w:tcMar>
          </w:tcPr>
          <w:p>
            <w:pPr>
              <w:autoSpaceDN w:val="0"/>
              <w:autoSpaceDE w:val="0"/>
              <w:widowControl/>
              <w:spacing w:line="230" w:lineRule="auto" w:before="66" w:after="0"/>
              <w:ind w:left="0" w:right="86" w:firstLine="0"/>
              <w:jc w:val="right"/>
            </w:pPr>
            <w:r>
              <w:rPr>
                <w:rFonts w:ascii="Arial" w:hAnsi="Arial" w:eastAsia="Arial"/>
                <w:b w:val="0"/>
                <w:i w:val="0"/>
                <w:color w:val="000000"/>
                <w:sz w:val="14"/>
              </w:rPr>
              <w:t xml:space="preserve">(289,900,000) </w:t>
            </w:r>
          </w:p>
        </w:tc>
        <w:tc>
          <w:tcPr>
            <w:tcW w:type="dxa" w:w="1144"/>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260"/>
            <w:vMerge w:val="restart"/>
            <w:tcBorders/>
            <w:tcMar>
              <w:start w:w="0" w:type="dxa"/>
              <w:end w:w="0" w:type="dxa"/>
            </w:tcMar>
            <w:tcMar>
              <w:start w:w="0" w:type="dxa"/>
              <w:end w:w="0" w:type="dxa"/>
            </w:tcMar>
          </w:tcPr>
          <w:p>
            <w:pPr>
              <w:autoSpaceDN w:val="0"/>
              <w:autoSpaceDE w:val="0"/>
              <w:widowControl/>
              <w:spacing w:line="230" w:lineRule="auto" w:before="66" w:after="0"/>
              <w:ind w:left="0" w:right="64" w:firstLine="0"/>
              <w:jc w:val="right"/>
            </w:pPr>
            <w:r>
              <w:rPr>
                <w:rFonts w:ascii="Arial" w:hAnsi="Arial" w:eastAsia="Arial"/>
                <w:b w:val="0"/>
                <w:i w:val="0"/>
                <w:color w:val="000000"/>
                <w:sz w:val="14"/>
              </w:rPr>
              <w:t xml:space="preserve">447,300,000 </w:t>
            </w:r>
          </w:p>
        </w:tc>
        <w:tc>
          <w:tcPr>
            <w:tcW w:type="dxa" w:w="1166"/>
            <w:vMerge w:val="restart"/>
            <w:tcBorders/>
            <w:tcMar>
              <w:start w:w="0" w:type="dxa"/>
              <w:end w:w="0" w:type="dxa"/>
            </w:tcMar>
            <w:tcMar>
              <w:start w:w="0" w:type="dxa"/>
              <w:end w:w="0" w:type="dxa"/>
            </w:tcMar>
          </w:tcPr>
          <w:p>
            <w:pPr>
              <w:autoSpaceDN w:val="0"/>
              <w:autoSpaceDE w:val="0"/>
              <w:widowControl/>
              <w:spacing w:line="230" w:lineRule="auto" w:before="66" w:after="0"/>
              <w:ind w:left="0" w:right="88" w:firstLine="0"/>
              <w:jc w:val="right"/>
            </w:pPr>
            <w:r>
              <w:rPr>
                <w:rFonts w:ascii="Arial" w:hAnsi="Arial" w:eastAsia="Arial"/>
                <w:b w:val="0"/>
                <w:i w:val="0"/>
                <w:color w:val="000000"/>
                <w:sz w:val="14"/>
              </w:rPr>
              <w:t>-</w:t>
            </w:r>
          </w:p>
        </w:tc>
      </w:tr>
      <w:tr>
        <w:trPr>
          <w:trHeight w:hRule="exact" w:val="54"/>
        </w:trPr>
        <w:tc>
          <w:tcPr>
            <w:tcW w:type="dxa" w:w="1982"/>
            <w:vMerge w:val="restart"/>
            <w:tcBorders/>
            <w:tcMar>
              <w:start w:w="0" w:type="dxa"/>
              <w:end w:w="0" w:type="dxa"/>
            </w:tcMar>
            <w:tcMar>
              <w:start w:w="0" w:type="dxa"/>
              <w:end w:w="0" w:type="dxa"/>
            </w:tcMar>
          </w:tcPr>
          <w:p>
            <w:pPr>
              <w:autoSpaceDN w:val="0"/>
              <w:autoSpaceDE w:val="0"/>
              <w:widowControl/>
              <w:spacing w:line="140" w:lineRule="exact" w:before="76" w:after="0"/>
              <w:ind w:left="180" w:right="0" w:firstLine="0"/>
              <w:jc w:val="left"/>
            </w:pPr>
            <w:r>
              <w:rPr>
                <w:rFonts w:ascii="黑体" w:hAnsi="黑体" w:eastAsia="黑体"/>
                <w:b w:val="0"/>
                <w:i w:val="0"/>
                <w:color w:val="000000"/>
                <w:sz w:val="14"/>
              </w:rPr>
              <w:t>收益凭证</w:t>
            </w: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c>
          <w:tcPr>
            <w:tcW w:type="dxa" w:w="1286"/>
            <w:vMerge/>
            <w:tcBorders/>
          </w:tcPr>
          <w:p/>
        </w:tc>
      </w:tr>
      <w:tr>
        <w:trPr>
          <w:trHeight w:hRule="exact" w:val="166"/>
        </w:trPr>
        <w:tc>
          <w:tcPr>
            <w:tcW w:type="dxa" w:w="1286"/>
            <w:vMerge/>
            <w:tcBorders/>
          </w:tcPr>
          <w:p/>
        </w:tc>
        <w:tc>
          <w:tcPr>
            <w:tcW w:type="dxa" w:w="1210"/>
            <w:tcBorders/>
            <w:tcMar>
              <w:start w:w="0" w:type="dxa"/>
              <w:end w:w="0" w:type="dxa"/>
            </w:tcMar>
          </w:tcPr>
          <w:p>
            <w:pPr>
              <w:autoSpaceDN w:val="0"/>
              <w:autoSpaceDE w:val="0"/>
              <w:widowControl/>
              <w:spacing w:line="233" w:lineRule="auto" w:before="10" w:after="0"/>
              <w:ind w:left="238" w:right="0" w:firstLine="0"/>
              <w:jc w:val="left"/>
            </w:pPr>
            <w:r>
              <w:rPr>
                <w:rFonts w:ascii="Arial" w:hAnsi="Arial" w:eastAsia="Arial"/>
                <w:b w:val="0"/>
                <w:i w:val="0"/>
                <w:color w:val="000000"/>
                <w:sz w:val="14"/>
              </w:rPr>
              <w:t xml:space="preserve">(158,216,879) </w:t>
            </w:r>
          </w:p>
        </w:tc>
        <w:tc>
          <w:tcPr>
            <w:tcW w:type="dxa" w:w="91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118"/>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206"/>
            <w:tcBorders/>
            <w:tcMar>
              <w:start w:w="0" w:type="dxa"/>
              <w:end w:w="0" w:type="dxa"/>
            </w:tcMar>
          </w:tcPr>
          <w:p>
            <w:pPr>
              <w:autoSpaceDN w:val="0"/>
              <w:autoSpaceDE w:val="0"/>
              <w:widowControl/>
              <w:spacing w:line="233" w:lineRule="auto" w:before="10" w:after="0"/>
              <w:ind w:left="0" w:right="90" w:firstLine="0"/>
              <w:jc w:val="right"/>
            </w:pPr>
            <w:r>
              <w:rPr>
                <w:rFonts w:ascii="Arial" w:hAnsi="Arial" w:eastAsia="Arial"/>
                <w:b w:val="0"/>
                <w:i w:val="0"/>
                <w:color w:val="000000"/>
                <w:sz w:val="14"/>
              </w:rPr>
              <w:t xml:space="preserve">816,879 </w:t>
            </w:r>
          </w:p>
        </w:tc>
        <w:tc>
          <w:tcPr>
            <w:tcW w:type="dxa" w:w="1242"/>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402"/>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480"/>
            <w:tcBorders/>
            <w:tcMar>
              <w:start w:w="0" w:type="dxa"/>
              <w:end w:w="0" w:type="dxa"/>
            </w:tcMar>
          </w:tcPr>
          <w:p>
            <w:pPr>
              <w:autoSpaceDN w:val="0"/>
              <w:autoSpaceDE w:val="0"/>
              <w:widowControl/>
              <w:spacing w:line="233" w:lineRule="auto" w:before="10" w:after="0"/>
              <w:ind w:left="0" w:right="86" w:firstLine="0"/>
              <w:jc w:val="right"/>
            </w:pPr>
            <w:r>
              <w:rPr>
                <w:rFonts w:ascii="Arial" w:hAnsi="Arial" w:eastAsia="Arial"/>
                <w:b w:val="0"/>
                <w:i w:val="0"/>
                <w:color w:val="000000"/>
                <w:sz w:val="14"/>
              </w:rPr>
              <w:t xml:space="preserve">(289,900,000) </w:t>
            </w:r>
          </w:p>
        </w:tc>
        <w:tc>
          <w:tcPr>
            <w:tcW w:type="dxa" w:w="1144"/>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260"/>
            <w:tcBorders/>
            <w:tcMar>
              <w:start w:w="0" w:type="dxa"/>
              <w:end w:w="0" w:type="dxa"/>
            </w:tcMar>
          </w:tcPr>
          <w:p>
            <w:pPr>
              <w:autoSpaceDN w:val="0"/>
              <w:autoSpaceDE w:val="0"/>
              <w:widowControl/>
              <w:spacing w:line="233" w:lineRule="auto" w:before="10" w:after="0"/>
              <w:ind w:left="0" w:right="64" w:firstLine="0"/>
              <w:jc w:val="right"/>
            </w:pPr>
            <w:r>
              <w:rPr>
                <w:rFonts w:ascii="Arial" w:hAnsi="Arial" w:eastAsia="Arial"/>
                <w:b w:val="0"/>
                <w:i w:val="0"/>
                <w:color w:val="000000"/>
                <w:sz w:val="14"/>
              </w:rPr>
              <w:t xml:space="preserve">447,300,000 </w:t>
            </w:r>
          </w:p>
        </w:tc>
        <w:tc>
          <w:tcPr>
            <w:tcW w:type="dxa" w:w="1166"/>
            <w:tcBorders/>
            <w:tcMar>
              <w:start w:w="0" w:type="dxa"/>
              <w:end w:w="0" w:type="dxa"/>
            </w:tcMar>
          </w:tcPr>
          <w:p>
            <w:pPr>
              <w:autoSpaceDN w:val="0"/>
              <w:autoSpaceDE w:val="0"/>
              <w:widowControl/>
              <w:spacing w:line="233" w:lineRule="auto" w:before="10" w:after="0"/>
              <w:ind w:left="0" w:right="88" w:firstLine="0"/>
              <w:jc w:val="right"/>
            </w:pPr>
            <w:r>
              <w:rPr>
                <w:rFonts w:ascii="Arial" w:hAnsi="Arial" w:eastAsia="Arial"/>
                <w:b w:val="0"/>
                <w:i w:val="0"/>
                <w:color w:val="000000"/>
                <w:sz w:val="14"/>
              </w:rPr>
              <w:t>-</w:t>
            </w:r>
          </w:p>
        </w:tc>
      </w:tr>
      <w:tr>
        <w:trPr>
          <w:trHeight w:hRule="exact" w:val="228"/>
        </w:trPr>
        <w:tc>
          <w:tcPr>
            <w:tcW w:type="dxa" w:w="1982"/>
            <w:tcBorders>
              <w:bottom w:sz="3.200000000000273" w:val="single" w:color="#000000"/>
            </w:tcBorders>
            <w:tcMar>
              <w:start w:w="0" w:type="dxa"/>
              <w:end w:w="0" w:type="dxa"/>
            </w:tcMar>
          </w:tcPr>
          <w:p>
            <w:pPr>
              <w:autoSpaceDN w:val="0"/>
              <w:autoSpaceDE w:val="0"/>
              <w:widowControl/>
              <w:spacing w:line="138" w:lineRule="exact" w:before="64" w:after="0"/>
              <w:ind w:left="40" w:right="0" w:firstLine="0"/>
              <w:jc w:val="left"/>
            </w:pPr>
            <w:r>
              <w:rPr>
                <w:rFonts w:ascii="黑体" w:hAnsi="黑体" w:eastAsia="黑体"/>
                <w:b w:val="0"/>
                <w:i w:val="0"/>
                <w:color w:val="000000"/>
                <w:sz w:val="14"/>
              </w:rPr>
              <w:t>衍生金融负债</w:t>
            </w:r>
          </w:p>
        </w:tc>
        <w:tc>
          <w:tcPr>
            <w:tcW w:type="dxa" w:w="1210"/>
            <w:tcBorders>
              <w:bottom w:sz="3.200000000000273" w:val="single" w:color="#000000"/>
            </w:tcBorders>
            <w:tcMar>
              <w:start w:w="0" w:type="dxa"/>
              <w:end w:w="0" w:type="dxa"/>
            </w:tcMar>
          </w:tcPr>
          <w:p>
            <w:pPr>
              <w:autoSpaceDN w:val="0"/>
              <w:autoSpaceDE w:val="0"/>
              <w:widowControl/>
              <w:spacing w:line="233" w:lineRule="auto" w:before="66" w:after="0"/>
              <w:ind w:left="0" w:right="64" w:firstLine="0"/>
              <w:jc w:val="right"/>
            </w:pPr>
            <w:r>
              <w:rPr>
                <w:rFonts w:ascii="Arial" w:hAnsi="Arial" w:eastAsia="Arial"/>
                <w:b w:val="0"/>
                <w:i w:val="0"/>
                <w:color w:val="000000"/>
                <w:sz w:val="14"/>
              </w:rPr>
              <w:t xml:space="preserve">(88,153,367) </w:t>
            </w:r>
          </w:p>
        </w:tc>
        <w:tc>
          <w:tcPr>
            <w:tcW w:type="dxa" w:w="910"/>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118"/>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206"/>
            <w:tcBorders>
              <w:bottom w:sz="3.200000000000273" w:val="single" w:color="#000000"/>
            </w:tcBorders>
            <w:tcMar>
              <w:start w:w="0" w:type="dxa"/>
              <w:end w:w="0" w:type="dxa"/>
            </w:tcMar>
          </w:tcPr>
          <w:p>
            <w:pPr>
              <w:autoSpaceDN w:val="0"/>
              <w:autoSpaceDE w:val="0"/>
              <w:widowControl/>
              <w:spacing w:line="233" w:lineRule="auto" w:before="66" w:after="0"/>
              <w:ind w:left="0" w:right="44" w:firstLine="0"/>
              <w:jc w:val="right"/>
            </w:pPr>
            <w:r>
              <w:rPr>
                <w:rFonts w:ascii="Arial" w:hAnsi="Arial" w:eastAsia="Arial"/>
                <w:b w:val="0"/>
                <w:i w:val="0"/>
                <w:color w:val="000000"/>
                <w:sz w:val="14"/>
              </w:rPr>
              <w:t xml:space="preserve">(4,824,914 ) </w:t>
            </w:r>
          </w:p>
        </w:tc>
        <w:tc>
          <w:tcPr>
            <w:tcW w:type="dxa" w:w="1242"/>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402"/>
            <w:tcBorders>
              <w:bottom w:sz="3.200000000000273" w:val="single" w:color="#000000"/>
            </w:tcBorders>
            <w:tcMar>
              <w:start w:w="0" w:type="dxa"/>
              <w:end w:w="0" w:type="dxa"/>
            </w:tcMar>
          </w:tcPr>
          <w:p>
            <w:pPr>
              <w:autoSpaceDN w:val="0"/>
              <w:autoSpaceDE w:val="0"/>
              <w:widowControl/>
              <w:spacing w:line="233" w:lineRule="auto" w:before="66" w:after="0"/>
              <w:ind w:left="0" w:right="86" w:firstLine="0"/>
              <w:jc w:val="right"/>
            </w:pPr>
            <w:r>
              <w:rPr>
                <w:rFonts w:ascii="Arial" w:hAnsi="Arial" w:eastAsia="Arial"/>
                <w:b w:val="0"/>
                <w:i w:val="0"/>
                <w:color w:val="000000"/>
                <w:sz w:val="14"/>
              </w:rPr>
              <w:t xml:space="preserve">(78,942,912) </w:t>
            </w:r>
          </w:p>
        </w:tc>
        <w:tc>
          <w:tcPr>
            <w:tcW w:type="dxa" w:w="1480"/>
            <w:tcBorders>
              <w:bottom w:sz="3.200000000000273" w:val="single" w:color="#000000"/>
            </w:tcBorders>
            <w:tcMar>
              <w:start w:w="0" w:type="dxa"/>
              <w:end w:w="0" w:type="dxa"/>
            </w:tcMar>
          </w:tcPr>
          <w:p>
            <w:pPr>
              <w:autoSpaceDN w:val="0"/>
              <w:autoSpaceDE w:val="0"/>
              <w:widowControl/>
              <w:spacing w:line="233" w:lineRule="auto" w:before="66" w:after="0"/>
              <w:ind w:left="0" w:right="170" w:firstLine="0"/>
              <w:jc w:val="right"/>
            </w:pPr>
            <w:r>
              <w:rPr>
                <w:rFonts w:ascii="Arial" w:hAnsi="Arial" w:eastAsia="Arial"/>
                <w:b w:val="0"/>
                <w:i w:val="0"/>
                <w:color w:val="000000"/>
                <w:sz w:val="14"/>
              </w:rPr>
              <w:t>-</w:t>
            </w:r>
          </w:p>
        </w:tc>
        <w:tc>
          <w:tcPr>
            <w:tcW w:type="dxa" w:w="1144"/>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260"/>
            <w:tcBorders>
              <w:bottom w:sz="3.200000000000273" w:val="single" w:color="#000000"/>
            </w:tcBorders>
            <w:tcMar>
              <w:start w:w="0" w:type="dxa"/>
              <w:end w:w="0" w:type="dxa"/>
            </w:tcMar>
          </w:tcPr>
          <w:p>
            <w:pPr>
              <w:autoSpaceDN w:val="0"/>
              <w:autoSpaceDE w:val="0"/>
              <w:widowControl/>
              <w:spacing w:line="233" w:lineRule="auto" w:before="66" w:after="0"/>
              <w:ind w:left="0" w:right="64" w:firstLine="0"/>
              <w:jc w:val="right"/>
            </w:pPr>
            <w:r>
              <w:rPr>
                <w:rFonts w:ascii="Arial" w:hAnsi="Arial" w:eastAsia="Arial"/>
                <w:b w:val="0"/>
                <w:i w:val="0"/>
                <w:color w:val="000000"/>
                <w:sz w:val="14"/>
              </w:rPr>
              <w:t xml:space="preserve">86,821,379 </w:t>
            </w:r>
          </w:p>
        </w:tc>
        <w:tc>
          <w:tcPr>
            <w:tcW w:type="dxa" w:w="1166"/>
            <w:tcBorders>
              <w:bottom w:sz="3.200000000000273" w:val="single" w:color="#000000"/>
            </w:tcBorders>
            <w:tcMar>
              <w:start w:w="0" w:type="dxa"/>
              <w:end w:w="0" w:type="dxa"/>
            </w:tcMar>
          </w:tcPr>
          <w:p>
            <w:pPr>
              <w:autoSpaceDN w:val="0"/>
              <w:autoSpaceDE w:val="0"/>
              <w:widowControl/>
              <w:spacing w:line="233" w:lineRule="auto" w:before="66" w:after="0"/>
              <w:ind w:left="0" w:right="4" w:firstLine="0"/>
              <w:jc w:val="right"/>
            </w:pPr>
            <w:r>
              <w:rPr>
                <w:rFonts w:ascii="Arial" w:hAnsi="Arial" w:eastAsia="Arial"/>
                <w:b w:val="0"/>
                <w:i w:val="0"/>
                <w:color w:val="000000"/>
                <w:sz w:val="14"/>
              </w:rPr>
              <w:t xml:space="preserve">(85,099,814) </w:t>
            </w:r>
          </w:p>
        </w:tc>
      </w:tr>
      <w:tr>
        <w:trPr>
          <w:trHeight w:hRule="exact" w:val="428"/>
        </w:trPr>
        <w:tc>
          <w:tcPr>
            <w:tcW w:type="dxa" w:w="1982"/>
            <w:tcBorders>
              <w:top w:sz="3.200000000000273" w:val="single" w:color="#000000"/>
              <w:bottom w:sz="3.199999999999818" w:val="single" w:color="#000000"/>
            </w:tcBorders>
            <w:tcMar>
              <w:start w:w="0" w:type="dxa"/>
              <w:end w:w="0" w:type="dxa"/>
            </w:tcMar>
          </w:tcPr>
          <w:p>
            <w:pPr>
              <w:autoSpaceDN w:val="0"/>
              <w:autoSpaceDE w:val="0"/>
              <w:widowControl/>
              <w:spacing w:line="140" w:lineRule="exact" w:before="254" w:after="0"/>
              <w:ind w:left="0" w:right="0" w:firstLine="0"/>
              <w:jc w:val="center"/>
            </w:pPr>
            <w:r>
              <w:rPr>
                <w:rFonts w:ascii="黑体" w:hAnsi="黑体" w:eastAsia="黑体"/>
                <w:b w:val="0"/>
                <w:i w:val="0"/>
                <w:color w:val="000000"/>
                <w:sz w:val="14"/>
              </w:rPr>
              <w:t>持续以公允价值计量负债总计</w:t>
            </w:r>
          </w:p>
        </w:tc>
        <w:tc>
          <w:tcPr>
            <w:tcW w:type="dxa" w:w="121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238" w:right="0" w:firstLine="0"/>
              <w:jc w:val="left"/>
            </w:pPr>
            <w:r>
              <w:rPr>
                <w:rFonts w:ascii="Arial" w:hAnsi="Arial" w:eastAsia="Arial"/>
                <w:b w:val="0"/>
                <w:i w:val="0"/>
                <w:color w:val="000000"/>
                <w:sz w:val="14"/>
              </w:rPr>
              <w:t xml:space="preserve">(246,370,246) </w:t>
            </w:r>
          </w:p>
        </w:tc>
        <w:tc>
          <w:tcPr>
            <w:tcW w:type="dxa" w:w="91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118"/>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206"/>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44" w:firstLine="0"/>
              <w:jc w:val="right"/>
            </w:pPr>
            <w:r>
              <w:rPr>
                <w:rFonts w:ascii="Arial" w:hAnsi="Arial" w:eastAsia="Arial"/>
                <w:b w:val="0"/>
                <w:i w:val="0"/>
                <w:color w:val="000000"/>
                <w:sz w:val="14"/>
              </w:rPr>
              <w:t xml:space="preserve">(4,008,035 ) </w:t>
            </w:r>
          </w:p>
        </w:tc>
        <w:tc>
          <w:tcPr>
            <w:tcW w:type="dxa" w:w="1242"/>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402"/>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86" w:firstLine="0"/>
              <w:jc w:val="right"/>
            </w:pPr>
            <w:r>
              <w:rPr>
                <w:rFonts w:ascii="Arial" w:hAnsi="Arial" w:eastAsia="Arial"/>
                <w:b w:val="0"/>
                <w:i w:val="0"/>
                <w:color w:val="000000"/>
                <w:sz w:val="14"/>
              </w:rPr>
              <w:t xml:space="preserve">(78,942,912) </w:t>
            </w:r>
          </w:p>
        </w:tc>
        <w:tc>
          <w:tcPr>
            <w:tcW w:type="dxa" w:w="148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86" w:firstLine="0"/>
              <w:jc w:val="right"/>
            </w:pPr>
            <w:r>
              <w:rPr>
                <w:rFonts w:ascii="Arial" w:hAnsi="Arial" w:eastAsia="Arial"/>
                <w:b w:val="0"/>
                <w:i w:val="0"/>
                <w:color w:val="000000"/>
                <w:sz w:val="14"/>
              </w:rPr>
              <w:t xml:space="preserve">(289,900,000) </w:t>
            </w:r>
          </w:p>
        </w:tc>
        <w:tc>
          <w:tcPr>
            <w:tcW w:type="dxa" w:w="1144"/>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26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64" w:firstLine="0"/>
              <w:jc w:val="right"/>
            </w:pPr>
            <w:r>
              <w:rPr>
                <w:rFonts w:ascii="Arial" w:hAnsi="Arial" w:eastAsia="Arial"/>
                <w:b w:val="0"/>
                <w:i w:val="0"/>
                <w:color w:val="000000"/>
                <w:sz w:val="14"/>
              </w:rPr>
              <w:t xml:space="preserve">534,121,379 </w:t>
            </w:r>
          </w:p>
        </w:tc>
        <w:tc>
          <w:tcPr>
            <w:tcW w:type="dxa" w:w="1166"/>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4" w:firstLine="0"/>
              <w:jc w:val="right"/>
            </w:pPr>
            <w:r>
              <w:rPr>
                <w:rFonts w:ascii="Arial" w:hAnsi="Arial" w:eastAsia="Arial"/>
                <w:b w:val="0"/>
                <w:i w:val="0"/>
                <w:color w:val="000000"/>
                <w:sz w:val="14"/>
              </w:rPr>
              <w:t xml:space="preserve">(85,099,814) </w:t>
            </w:r>
          </w:p>
        </w:tc>
      </w:tr>
      <w:tr>
        <w:trPr>
          <w:trHeight w:hRule="exact" w:val="50"/>
        </w:trPr>
        <w:tc>
          <w:tcPr>
            <w:tcW w:type="dxa" w:w="1982"/>
            <w:tcBorders>
              <w:top w:sz="3.199999999999818" w:val="single" w:color="#000000"/>
            </w:tcBorders>
            <w:tcMar>
              <w:start w:w="0" w:type="dxa"/>
              <w:end w:w="0" w:type="dxa"/>
            </w:tcMar>
          </w:tcPr>
          <w:p/>
        </w:tc>
        <w:tc>
          <w:tcPr>
            <w:tcW w:type="dxa" w:w="1210"/>
            <w:tcBorders>
              <w:top w:sz="3.199999999999818" w:val="single" w:color="#000000"/>
            </w:tcBorders>
            <w:tcMar>
              <w:start w:w="0" w:type="dxa"/>
              <w:end w:w="0" w:type="dxa"/>
            </w:tcMar>
          </w:tcPr>
          <w:p/>
        </w:tc>
        <w:tc>
          <w:tcPr>
            <w:tcW w:type="dxa" w:w="910"/>
            <w:tcBorders>
              <w:top w:sz="3.199999999999818" w:val="single" w:color="#000000"/>
            </w:tcBorders>
            <w:tcMar>
              <w:start w:w="0" w:type="dxa"/>
              <w:end w:w="0" w:type="dxa"/>
            </w:tcMar>
          </w:tcPr>
          <w:p/>
        </w:tc>
        <w:tc>
          <w:tcPr>
            <w:tcW w:type="dxa" w:w="1118"/>
            <w:tcBorders>
              <w:top w:sz="3.199999999999818" w:val="single" w:color="#000000"/>
            </w:tcBorders>
            <w:tcMar>
              <w:start w:w="0" w:type="dxa"/>
              <w:end w:w="0" w:type="dxa"/>
            </w:tcMar>
          </w:tcPr>
          <w:p/>
        </w:tc>
        <w:tc>
          <w:tcPr>
            <w:tcW w:type="dxa" w:w="1206"/>
            <w:tcBorders>
              <w:top w:sz="3.199999999999818" w:val="single" w:color="#000000"/>
            </w:tcBorders>
            <w:tcMar>
              <w:start w:w="0" w:type="dxa"/>
              <w:end w:w="0" w:type="dxa"/>
            </w:tcMar>
          </w:tcPr>
          <w:p/>
        </w:tc>
        <w:tc>
          <w:tcPr>
            <w:tcW w:type="dxa" w:w="1242"/>
            <w:tcBorders>
              <w:top w:sz="3.199999999999818" w:val="single" w:color="#000000"/>
            </w:tcBorders>
            <w:tcMar>
              <w:start w:w="0" w:type="dxa"/>
              <w:end w:w="0" w:type="dxa"/>
            </w:tcMar>
          </w:tcPr>
          <w:p/>
        </w:tc>
        <w:tc>
          <w:tcPr>
            <w:tcW w:type="dxa" w:w="1402"/>
            <w:tcBorders>
              <w:top w:sz="3.199999999999818" w:val="single" w:color="#000000"/>
            </w:tcBorders>
            <w:tcMar>
              <w:start w:w="0" w:type="dxa"/>
              <w:end w:w="0" w:type="dxa"/>
            </w:tcMar>
          </w:tcPr>
          <w:p/>
        </w:tc>
        <w:tc>
          <w:tcPr>
            <w:tcW w:type="dxa" w:w="1480"/>
            <w:tcBorders>
              <w:top w:sz="3.199999999999818" w:val="single" w:color="#000000"/>
            </w:tcBorders>
            <w:tcMar>
              <w:start w:w="0" w:type="dxa"/>
              <w:end w:w="0" w:type="dxa"/>
            </w:tcMar>
          </w:tcPr>
          <w:p/>
        </w:tc>
        <w:tc>
          <w:tcPr>
            <w:tcW w:type="dxa" w:w="1144"/>
            <w:tcBorders>
              <w:top w:sz="3.199999999999818" w:val="single" w:color="#000000"/>
            </w:tcBorders>
            <w:tcMar>
              <w:start w:w="0" w:type="dxa"/>
              <w:end w:w="0" w:type="dxa"/>
            </w:tcMar>
          </w:tcPr>
          <w:p/>
        </w:tc>
        <w:tc>
          <w:tcPr>
            <w:tcW w:type="dxa" w:w="1260"/>
            <w:tcBorders>
              <w:top w:sz="3.199999999999818" w:val="single" w:color="#000000"/>
            </w:tcBorders>
            <w:tcMar>
              <w:start w:w="0" w:type="dxa"/>
              <w:end w:w="0" w:type="dxa"/>
            </w:tcMar>
          </w:tcPr>
          <w:p/>
        </w:tc>
        <w:tc>
          <w:tcPr>
            <w:tcW w:type="dxa" w:w="1166"/>
            <w:tcBorders>
              <w:top w:sz="3.199999999999818" w:val="single" w:color="#000000"/>
            </w:tcBorders>
            <w:tcMar>
              <w:start w:w="0" w:type="dxa"/>
              <w:end w:w="0" w:type="dxa"/>
            </w:tcMar>
          </w:tcPr>
          <w:p/>
        </w:tc>
      </w:tr>
    </w:tbl>
    <w:p>
      <w:pPr>
        <w:autoSpaceDN w:val="0"/>
        <w:autoSpaceDE w:val="0"/>
        <w:widowControl/>
        <w:spacing w:line="233" w:lineRule="auto" w:before="4712" w:after="0"/>
        <w:ind w:left="0" w:right="0" w:firstLine="0"/>
        <w:jc w:val="center"/>
      </w:pPr>
      <w:r>
        <w:rPr>
          <w:rFonts w:ascii="Arial" w:hAnsi="Arial" w:eastAsia="Arial"/>
          <w:b w:val="0"/>
          <w:i w:val="0"/>
          <w:color w:val="000000"/>
          <w:sz w:val="20"/>
        </w:rPr>
        <w:t xml:space="preserve">297 </w:t>
      </w:r>
    </w:p>
    <w:p>
      <w:pPr>
        <w:sectPr>
          <w:pgSz w:w="16841" w:h="11899"/>
          <w:pgMar w:top="1166" w:right="1304" w:bottom="360" w:left="1392" w:header="720" w:footer="720" w:gutter="0"/>
          <w:cols/>
          <w:docGrid w:linePitch="360"/>
        </w:sectPr>
      </w:pPr>
    </w:p>
    <w:p>
      <w:pPr>
        <w:autoSpaceDN w:val="0"/>
        <w:autoSpaceDE w:val="0"/>
        <w:widowControl/>
        <w:spacing w:line="220" w:lineRule="exact" w:before="0" w:after="948"/>
        <w:ind w:left="0" w:right="0"/>
      </w:pPr>
    </w:p>
    <w:p>
      <w:pPr>
        <w:autoSpaceDN w:val="0"/>
        <w:tabs>
          <w:tab w:pos="658" w:val="left"/>
        </w:tabs>
        <w:autoSpaceDE w:val="0"/>
        <w:widowControl/>
        <w:spacing w:line="436" w:lineRule="exact" w:before="0" w:after="250"/>
        <w:ind w:left="0" w:right="5616"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tab/>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持续的第三层次公允价值计量项目，年初与年末账面价值间的调节信息：（续）</w:t>
      </w:r>
    </w:p>
    <w:tbl>
      <w:tblPr>
        <w:tblW w:type="auto" w:w="0"/>
        <w:tblLayout w:type="fixed"/>
        <w:tblLook w:firstColumn="1" w:firstRow="1" w:lastColumn="0" w:lastRow="0" w:noHBand="0" w:noVBand="1" w:val="04A0"/>
        <w:tblInd w:w="0.0" w:type="dxa"/>
      </w:tblPr>
      <w:tblGrid>
        <w:gridCol w:w="1272"/>
        <w:gridCol w:w="1272"/>
        <w:gridCol w:w="1272"/>
        <w:gridCol w:w="1272"/>
        <w:gridCol w:w="1272"/>
        <w:gridCol w:w="1272"/>
        <w:gridCol w:w="1272"/>
        <w:gridCol w:w="1272"/>
        <w:gridCol w:w="1272"/>
        <w:gridCol w:w="1272"/>
        <w:gridCol w:w="1272"/>
      </w:tblGrid>
      <w:tr>
        <w:trPr>
          <w:trHeight w:hRule="exact" w:val="250"/>
        </w:trPr>
        <w:tc>
          <w:tcPr>
            <w:tcW w:type="dxa" w:w="1878"/>
            <w:tcBorders>
              <w:bottom w:sz="4.0" w:val="single" w:color="#000000"/>
            </w:tcBorders>
            <w:tcMar>
              <w:start w:w="0" w:type="dxa"/>
              <w:end w:w="0" w:type="dxa"/>
            </w:tcMar>
          </w:tcPr>
          <w:p>
            <w:pPr>
              <w:autoSpaceDN w:val="0"/>
              <w:autoSpaceDE w:val="0"/>
              <w:widowControl/>
              <w:spacing w:line="162" w:lineRule="exact" w:before="60" w:after="0"/>
              <w:ind w:left="0" w:right="0" w:firstLine="0"/>
              <w:jc w:val="left"/>
            </w:pPr>
            <w:r>
              <w:rPr>
                <w:rFonts w:ascii="黑体" w:hAnsi="黑体" w:eastAsia="黑体"/>
                <w:b w:val="0"/>
                <w:i w:val="0"/>
                <w:color w:val="000000"/>
                <w:sz w:val="16"/>
              </w:rPr>
              <w:t>资产</w:t>
            </w:r>
          </w:p>
        </w:tc>
        <w:tc>
          <w:tcPr>
            <w:tcW w:type="dxa" w:w="1062"/>
            <w:tcBorders>
              <w:bottom w:sz="4.0" w:val="single" w:color="#000000"/>
            </w:tcBorders>
            <w:tcMar>
              <w:start w:w="0" w:type="dxa"/>
              <w:end w:w="0" w:type="dxa"/>
            </w:tcMar>
          </w:tcPr>
          <w:p/>
        </w:tc>
        <w:tc>
          <w:tcPr>
            <w:tcW w:type="dxa" w:w="1052"/>
            <w:tcBorders>
              <w:bottom w:sz="4.0" w:val="single" w:color="#000000"/>
            </w:tcBorders>
            <w:tcMar>
              <w:start w:w="0" w:type="dxa"/>
              <w:end w:w="0" w:type="dxa"/>
            </w:tcMar>
          </w:tcPr>
          <w:p/>
        </w:tc>
        <w:tc>
          <w:tcPr>
            <w:tcW w:type="dxa" w:w="1230"/>
            <w:tcBorders>
              <w:bottom w:sz="4.0" w:val="single" w:color="#000000"/>
            </w:tcBorders>
            <w:tcMar>
              <w:start w:w="0" w:type="dxa"/>
              <w:end w:w="0" w:type="dxa"/>
            </w:tcMar>
          </w:tcPr>
          <w:p/>
        </w:tc>
        <w:tc>
          <w:tcPr>
            <w:tcW w:type="dxa" w:w="2334"/>
            <w:gridSpan w:val="2"/>
            <w:tcBorders>
              <w:bottom w:sz="4.0" w:val="single" w:color="#000000"/>
            </w:tcBorders>
            <w:tcMar>
              <w:start w:w="0" w:type="dxa"/>
              <w:end w:w="0" w:type="dxa"/>
            </w:tcMar>
            <w:tcMar>
              <w:start w:w="0" w:type="dxa"/>
              <w:end w:w="0" w:type="dxa"/>
            </w:tcMar>
          </w:tcPr>
          <w:p>
            <w:pPr>
              <w:autoSpaceDN w:val="0"/>
              <w:autoSpaceDE w:val="0"/>
              <w:widowControl/>
              <w:spacing w:line="140" w:lineRule="exact" w:before="84" w:after="0"/>
              <w:ind w:left="0" w:right="0" w:firstLine="0"/>
              <w:jc w:val="center"/>
            </w:pPr>
            <w:r>
              <w:rPr>
                <w:rFonts w:ascii="黑体" w:hAnsi="黑体" w:eastAsia="黑体"/>
                <w:b w:val="0"/>
                <w:i w:val="0"/>
                <w:color w:val="000000"/>
                <w:sz w:val="14"/>
              </w:rPr>
              <w:t>本年利得或损失总额</w:t>
            </w:r>
          </w:p>
        </w:tc>
        <w:tc>
          <w:tcPr>
            <w:tcW w:type="dxa" w:w="1232"/>
            <w:tcBorders>
              <w:bottom w:sz="4.0" w:val="single" w:color="#000000"/>
            </w:tcBorders>
            <w:tcMar>
              <w:start w:w="0" w:type="dxa"/>
              <w:end w:w="0" w:type="dxa"/>
            </w:tcMar>
          </w:tcPr>
          <w:p/>
        </w:tc>
        <w:tc>
          <w:tcPr>
            <w:tcW w:type="dxa" w:w="2252"/>
            <w:tcBorders>
              <w:bottom w:sz="4.0" w:val="single" w:color="#000000"/>
            </w:tcBorders>
            <w:tcMar>
              <w:start w:w="0" w:type="dxa"/>
              <w:end w:w="0" w:type="dxa"/>
            </w:tcMar>
          </w:tcPr>
          <w:p>
            <w:pPr>
              <w:autoSpaceDN w:val="0"/>
              <w:autoSpaceDE w:val="0"/>
              <w:widowControl/>
              <w:spacing w:line="140" w:lineRule="exact" w:before="84" w:after="0"/>
              <w:ind w:left="0" w:right="58" w:firstLine="0"/>
              <w:jc w:val="right"/>
            </w:pPr>
            <w:r>
              <w:rPr>
                <w:rFonts w:ascii="黑体" w:hAnsi="黑体" w:eastAsia="黑体"/>
                <w:b w:val="0"/>
                <w:i w:val="0"/>
                <w:color w:val="000000"/>
                <w:sz w:val="14"/>
              </w:rPr>
              <w:t>购买、发行、出售和结算</w:t>
            </w:r>
          </w:p>
        </w:tc>
        <w:tc>
          <w:tcPr>
            <w:tcW w:type="dxa" w:w="360"/>
            <w:tcBorders>
              <w:bottom w:sz="4.0" w:val="single" w:color="#000000"/>
            </w:tcBorders>
            <w:tcMar>
              <w:start w:w="0" w:type="dxa"/>
              <w:end w:w="0" w:type="dxa"/>
            </w:tcMar>
          </w:tcPr>
          <w:p/>
        </w:tc>
        <w:tc>
          <w:tcPr>
            <w:tcW w:type="dxa" w:w="1360"/>
            <w:tcBorders>
              <w:bottom w:sz="4.0" w:val="single" w:color="#000000"/>
            </w:tcBorders>
            <w:tcMar>
              <w:start w:w="0" w:type="dxa"/>
              <w:end w:w="0" w:type="dxa"/>
            </w:tcMar>
          </w:tcPr>
          <w:p/>
        </w:tc>
        <w:tc>
          <w:tcPr>
            <w:tcW w:type="dxa" w:w="1210"/>
            <w:tcBorders>
              <w:bottom w:sz="4.0" w:val="single" w:color="#000000"/>
            </w:tcBorders>
            <w:tcMar>
              <w:start w:w="0" w:type="dxa"/>
              <w:end w:w="0" w:type="dxa"/>
            </w:tcMar>
          </w:tcPr>
          <w:p/>
        </w:tc>
      </w:tr>
      <w:tr>
        <w:trPr>
          <w:trHeight w:hRule="exact" w:val="176"/>
        </w:trPr>
        <w:tc>
          <w:tcPr>
            <w:tcW w:type="dxa" w:w="1878"/>
            <w:vMerge w:val="restart"/>
            <w:tcBorders>
              <w:top w:sz="4.0" w:val="single" w:color="#000000"/>
              <w:bottom w:sz="3.2000000000000455" w:val="single" w:color="#000000"/>
            </w:tcBorders>
            <w:tcMar>
              <w:start w:w="0" w:type="dxa"/>
              <w:end w:w="0" w:type="dxa"/>
            </w:tcMar>
            <w:tcMar>
              <w:start w:w="0" w:type="dxa"/>
              <w:end w:w="0" w:type="dxa"/>
            </w:tcMar>
          </w:tcPr>
          <w:p/>
        </w:tc>
        <w:tc>
          <w:tcPr>
            <w:tcW w:type="dxa" w:w="1062"/>
            <w:tcBorders>
              <w:top w:sz="4.0" w:val="single" w:color="#000000"/>
            </w:tcBorders>
            <w:tcMar>
              <w:start w:w="0" w:type="dxa"/>
              <w:end w:w="0" w:type="dxa"/>
            </w:tcMar>
          </w:tcPr>
          <w:p>
            <w:pPr>
              <w:autoSpaceDN w:val="0"/>
              <w:autoSpaceDE w:val="0"/>
              <w:widowControl/>
              <w:spacing w:line="154" w:lineRule="exact" w:before="14" w:after="0"/>
              <w:ind w:left="174"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w:t>
            </w:r>
            <w:r>
              <w:rPr>
                <w:rFonts w:ascii="黑体" w:hAnsi="黑体" w:eastAsia="黑体"/>
                <w:b w:val="0"/>
                <w:i w:val="0"/>
                <w:color w:val="000000"/>
                <w:sz w:val="14"/>
              </w:rPr>
              <w:t>月</w:t>
            </w:r>
            <w:r>
              <w:rPr>
                <w:rFonts w:ascii="Arial" w:hAnsi="Arial" w:eastAsia="Arial"/>
                <w:b w:val="0"/>
                <w:i w:val="0"/>
                <w:color w:val="000000"/>
                <w:sz w:val="14"/>
              </w:rPr>
              <w:t>1</w:t>
            </w:r>
            <w:r>
              <w:rPr>
                <w:rFonts w:ascii="黑体" w:hAnsi="黑体" w:eastAsia="黑体"/>
                <w:b w:val="0"/>
                <w:i w:val="0"/>
                <w:color w:val="000000"/>
                <w:sz w:val="14"/>
              </w:rPr>
              <w:t>日</w:t>
            </w:r>
          </w:p>
        </w:tc>
        <w:tc>
          <w:tcPr>
            <w:tcW w:type="dxa" w:w="105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12" w:right="0" w:firstLine="0"/>
              <w:jc w:val="left"/>
            </w:pPr>
            <w:r>
              <w:rPr>
                <w:rFonts w:ascii="黑体" w:hAnsi="黑体" w:eastAsia="黑体"/>
                <w:b w:val="0"/>
                <w:i w:val="0"/>
                <w:color w:val="000000"/>
                <w:sz w:val="14"/>
              </w:rPr>
              <w:t>转入第三层次</w:t>
            </w:r>
          </w:p>
        </w:tc>
        <w:tc>
          <w:tcPr>
            <w:tcW w:type="dxa" w:w="123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42" w:right="0" w:firstLine="0"/>
              <w:jc w:val="left"/>
            </w:pPr>
            <w:r>
              <w:rPr>
                <w:rFonts w:ascii="黑体" w:hAnsi="黑体" w:eastAsia="黑体"/>
                <w:b w:val="0"/>
                <w:i w:val="0"/>
                <w:color w:val="000000"/>
                <w:sz w:val="14"/>
              </w:rPr>
              <w:t>转出第三层次</w:t>
            </w:r>
          </w:p>
        </w:tc>
        <w:tc>
          <w:tcPr>
            <w:tcW w:type="dxa" w:w="964"/>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计入损益</w:t>
            </w:r>
          </w:p>
        </w:tc>
        <w:tc>
          <w:tcPr>
            <w:tcW w:type="dxa" w:w="137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50" w:right="0" w:firstLine="0"/>
              <w:jc w:val="left"/>
            </w:pPr>
            <w:r>
              <w:rPr>
                <w:rFonts w:ascii="黑体" w:hAnsi="黑体" w:eastAsia="黑体"/>
                <w:b w:val="0"/>
                <w:i w:val="0"/>
                <w:color w:val="000000"/>
                <w:sz w:val="14"/>
              </w:rPr>
              <w:t>计入其他综合收益</w:t>
            </w:r>
          </w:p>
        </w:tc>
        <w:tc>
          <w:tcPr>
            <w:tcW w:type="dxa" w:w="123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购买</w:t>
            </w:r>
          </w:p>
        </w:tc>
        <w:tc>
          <w:tcPr>
            <w:tcW w:type="dxa" w:w="225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776" w:firstLine="0"/>
              <w:jc w:val="right"/>
            </w:pPr>
            <w:r>
              <w:rPr>
                <w:rFonts w:ascii="黑体" w:hAnsi="黑体" w:eastAsia="黑体"/>
                <w:b w:val="0"/>
                <w:i w:val="0"/>
                <w:color w:val="000000"/>
                <w:sz w:val="14"/>
              </w:rPr>
              <w:t>发行</w:t>
            </w:r>
          </w:p>
        </w:tc>
        <w:tc>
          <w:tcPr>
            <w:tcW w:type="dxa" w:w="36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0" w:firstLine="0"/>
              <w:jc w:val="center"/>
            </w:pPr>
            <w:r>
              <w:rPr>
                <w:rFonts w:ascii="黑体" w:hAnsi="黑体" w:eastAsia="黑体"/>
                <w:b w:val="0"/>
                <w:i w:val="0"/>
                <w:color w:val="000000"/>
                <w:sz w:val="14"/>
              </w:rPr>
              <w:t>出售</w:t>
            </w:r>
          </w:p>
        </w:tc>
        <w:tc>
          <w:tcPr>
            <w:tcW w:type="dxa" w:w="136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结算</w:t>
            </w:r>
          </w:p>
        </w:tc>
        <w:tc>
          <w:tcPr>
            <w:tcW w:type="dxa" w:w="1210"/>
            <w:tcBorders>
              <w:top w:sz="4.0" w:val="single" w:color="#000000"/>
            </w:tcBorders>
            <w:tcMar>
              <w:start w:w="0" w:type="dxa"/>
              <w:end w:w="0" w:type="dxa"/>
            </w:tcMar>
          </w:tcPr>
          <w:p>
            <w:pPr>
              <w:autoSpaceDN w:val="0"/>
              <w:autoSpaceDE w:val="0"/>
              <w:widowControl/>
              <w:spacing w:line="154" w:lineRule="exact" w:before="14" w:after="0"/>
              <w:ind w:left="168"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w:t>
            </w:r>
          </w:p>
        </w:tc>
      </w:tr>
      <w:tr>
        <w:trPr>
          <w:trHeight w:hRule="exact" w:val="198"/>
        </w:trPr>
        <w:tc>
          <w:tcPr>
            <w:tcW w:type="dxa" w:w="1272"/>
            <w:vMerge/>
            <w:tcBorders>
              <w:top w:sz="4.0" w:val="single" w:color="#000000"/>
              <w:bottom w:sz="3.2000000000000455" w:val="single" w:color="#000000"/>
            </w:tcBorders>
          </w:tcPr>
          <w:p/>
        </w:tc>
        <w:tc>
          <w:tcPr>
            <w:tcW w:type="dxa" w:w="1062"/>
            <w:tcBorders>
              <w:bottom w:sz="3.2000000000000455" w:val="single" w:color="#000000"/>
            </w:tcBorders>
            <w:tcMar>
              <w:start w:w="0" w:type="dxa"/>
              <w:end w:w="0" w:type="dxa"/>
            </w:tcMar>
          </w:tcPr>
          <w:p>
            <w:pPr>
              <w:autoSpaceDN w:val="0"/>
              <w:autoSpaceDE w:val="0"/>
              <w:widowControl/>
              <w:spacing w:line="140" w:lineRule="exact" w:before="30" w:after="0"/>
              <w:ind w:left="0" w:right="2" w:firstLine="0"/>
              <w:jc w:val="right"/>
            </w:pPr>
            <w:r>
              <w:rPr>
                <w:rFonts w:ascii="黑体" w:hAnsi="黑体" w:eastAsia="黑体"/>
                <w:b w:val="0"/>
                <w:i w:val="0"/>
                <w:color w:val="000000"/>
                <w:sz w:val="14"/>
              </w:rPr>
              <w:t>余额</w:t>
            </w: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72"/>
            <w:vMerge/>
            <w:tcBorders>
              <w:top w:sz="4.0" w:val="single" w:color="#000000"/>
              <w:bottom w:sz="3.2000000000000455" w:val="single" w:color="#000000"/>
            </w:tcBorders>
          </w:tcPr>
          <w:p/>
        </w:tc>
        <w:tc>
          <w:tcPr>
            <w:tcW w:type="dxa" w:w="1210"/>
            <w:tcBorders>
              <w:bottom w:sz="3.2000000000000455" w:val="single" w:color="#000000"/>
            </w:tcBorders>
            <w:tcMar>
              <w:start w:w="0" w:type="dxa"/>
              <w:end w:w="0" w:type="dxa"/>
            </w:tcMar>
          </w:tcPr>
          <w:p>
            <w:pPr>
              <w:autoSpaceDN w:val="0"/>
              <w:autoSpaceDE w:val="0"/>
              <w:widowControl/>
              <w:spacing w:line="140" w:lineRule="exact" w:before="30" w:after="0"/>
              <w:ind w:left="0" w:right="0" w:firstLine="0"/>
              <w:jc w:val="right"/>
            </w:pPr>
            <w:r>
              <w:rPr>
                <w:rFonts w:ascii="黑体" w:hAnsi="黑体" w:eastAsia="黑体"/>
                <w:b w:val="0"/>
                <w:i w:val="0"/>
                <w:color w:val="000000"/>
                <w:sz w:val="14"/>
              </w:rPr>
              <w:t>余额</w:t>
            </w:r>
          </w:p>
        </w:tc>
      </w:tr>
    </w:tbl>
    <w:p>
      <w:pPr>
        <w:autoSpaceDN w:val="0"/>
        <w:autoSpaceDE w:val="0"/>
        <w:widowControl/>
        <w:spacing w:line="138" w:lineRule="exact" w:before="258" w:after="214"/>
        <w:ind w:left="0" w:right="0" w:firstLine="0"/>
        <w:jc w:val="left"/>
      </w:pPr>
      <w:r>
        <w:rPr>
          <w:rFonts w:ascii="黑体" w:hAnsi="黑体" w:eastAsia="黑体"/>
          <w:b w:val="0"/>
          <w:i w:val="0"/>
          <w:color w:val="000000"/>
          <w:sz w:val="14"/>
        </w:rPr>
        <w:t>资产</w:t>
      </w:r>
    </w:p>
    <w:tbl>
      <w:tblPr>
        <w:tblW w:type="auto" w:w="0"/>
        <w:tblLayout w:type="fixed"/>
        <w:tblLook w:firstColumn="1" w:firstRow="1" w:lastColumn="0" w:lastRow="0" w:noHBand="0" w:noVBand="1" w:val="04A0"/>
        <w:tblInd w:w="0.0" w:type="dxa"/>
      </w:tblPr>
      <w:tblGrid>
        <w:gridCol w:w="1272"/>
        <w:gridCol w:w="1272"/>
        <w:gridCol w:w="1272"/>
        <w:gridCol w:w="1272"/>
        <w:gridCol w:w="1272"/>
        <w:gridCol w:w="1272"/>
        <w:gridCol w:w="1272"/>
        <w:gridCol w:w="1272"/>
        <w:gridCol w:w="1272"/>
        <w:gridCol w:w="1272"/>
        <w:gridCol w:w="1272"/>
      </w:tblGrid>
      <w:tr>
        <w:trPr>
          <w:trHeight w:hRule="exact" w:val="192"/>
        </w:trPr>
        <w:tc>
          <w:tcPr>
            <w:tcW w:type="dxa" w:w="1878"/>
            <w:tcBorders/>
            <w:tcMar>
              <w:start w:w="0" w:type="dxa"/>
              <w:end w:w="0" w:type="dxa"/>
            </w:tcMar>
          </w:tcPr>
          <w:p>
            <w:pPr>
              <w:autoSpaceDN w:val="0"/>
              <w:autoSpaceDE w:val="0"/>
              <w:widowControl/>
              <w:spacing w:line="140" w:lineRule="exact" w:before="52" w:after="0"/>
              <w:ind w:left="0" w:right="0" w:firstLine="0"/>
              <w:jc w:val="left"/>
            </w:pPr>
            <w:r>
              <w:rPr>
                <w:rFonts w:ascii="黑体" w:hAnsi="黑体" w:eastAsia="黑体"/>
                <w:b w:val="0"/>
                <w:i w:val="0"/>
                <w:color w:val="000000"/>
                <w:sz w:val="14"/>
              </w:rPr>
              <w:t>交易性金融资产</w:t>
            </w:r>
          </w:p>
        </w:tc>
        <w:tc>
          <w:tcPr>
            <w:tcW w:type="dxa" w:w="1062"/>
            <w:vMerge w:val="restart"/>
            <w:tcBorders/>
            <w:tcMar>
              <w:start w:w="0" w:type="dxa"/>
              <w:end w:w="0" w:type="dxa"/>
            </w:tcMar>
            <w:tcMar>
              <w:start w:w="0" w:type="dxa"/>
              <w:end w:w="0" w:type="dxa"/>
            </w:tcMar>
          </w:tcPr>
          <w:p>
            <w:pPr>
              <w:autoSpaceDN w:val="0"/>
              <w:autoSpaceDE w:val="0"/>
              <w:widowControl/>
              <w:spacing w:line="230" w:lineRule="auto" w:before="66" w:after="0"/>
              <w:ind w:left="168" w:right="0" w:firstLine="0"/>
              <w:jc w:val="left"/>
            </w:pPr>
            <w:r>
              <w:rPr>
                <w:rFonts w:ascii="Arial" w:hAnsi="Arial" w:eastAsia="Arial"/>
                <w:b w:val="0"/>
                <w:i w:val="0"/>
                <w:color w:val="000000"/>
                <w:sz w:val="14"/>
              </w:rPr>
              <w:t>2,027,554,357</w:t>
            </w:r>
          </w:p>
        </w:tc>
        <w:tc>
          <w:tcPr>
            <w:tcW w:type="dxa" w:w="1052"/>
            <w:vMerge w:val="restart"/>
            <w:tcBorders/>
            <w:tcMar>
              <w:start w:w="0" w:type="dxa"/>
              <w:end w:w="0" w:type="dxa"/>
            </w:tcMar>
            <w:tcMar>
              <w:start w:w="0" w:type="dxa"/>
              <w:end w:w="0" w:type="dxa"/>
            </w:tcMar>
          </w:tcPr>
          <w:p>
            <w:pPr>
              <w:autoSpaceDN w:val="0"/>
              <w:autoSpaceDE w:val="0"/>
              <w:widowControl/>
              <w:spacing w:line="230" w:lineRule="auto" w:before="66" w:after="0"/>
              <w:ind w:left="0" w:right="2" w:firstLine="0"/>
              <w:jc w:val="right"/>
            </w:pPr>
            <w:r>
              <w:rPr>
                <w:rFonts w:ascii="Arial" w:hAnsi="Arial" w:eastAsia="Arial"/>
                <w:b w:val="0"/>
                <w:i w:val="0"/>
                <w:color w:val="000000"/>
                <w:sz w:val="14"/>
              </w:rPr>
              <w:t>250,674,076</w:t>
            </w:r>
          </w:p>
        </w:tc>
        <w:tc>
          <w:tcPr>
            <w:tcW w:type="dxa" w:w="1230"/>
            <w:vMerge w:val="restart"/>
            <w:tcBorders/>
            <w:tcMar>
              <w:start w:w="0" w:type="dxa"/>
              <w:end w:w="0" w:type="dxa"/>
            </w:tcMar>
            <w:tcMar>
              <w:start w:w="0" w:type="dxa"/>
              <w:end w:w="0" w:type="dxa"/>
            </w:tcMar>
          </w:tcPr>
          <w:p>
            <w:pPr>
              <w:autoSpaceDN w:val="0"/>
              <w:autoSpaceDE w:val="0"/>
              <w:widowControl/>
              <w:spacing w:line="230" w:lineRule="auto" w:before="66" w:after="0"/>
              <w:ind w:left="258" w:right="0" w:firstLine="0"/>
              <w:jc w:val="left"/>
            </w:pPr>
            <w:r>
              <w:rPr>
                <w:rFonts w:ascii="Arial" w:hAnsi="Arial" w:eastAsia="Arial"/>
                <w:b w:val="0"/>
                <w:i w:val="0"/>
                <w:color w:val="000000"/>
                <w:sz w:val="14"/>
              </w:rPr>
              <w:t xml:space="preserve">(282,405,262) </w:t>
            </w:r>
          </w:p>
        </w:tc>
        <w:tc>
          <w:tcPr>
            <w:tcW w:type="dxa" w:w="964"/>
            <w:vMerge w:val="restart"/>
            <w:tcBorders/>
            <w:tcMar>
              <w:start w:w="0" w:type="dxa"/>
              <w:end w:w="0" w:type="dxa"/>
            </w:tcMar>
            <w:tcMar>
              <w:start w:w="0" w:type="dxa"/>
              <w:end w:w="0" w:type="dxa"/>
            </w:tcMar>
          </w:tcPr>
          <w:p>
            <w:pPr>
              <w:autoSpaceDN w:val="0"/>
              <w:autoSpaceDE w:val="0"/>
              <w:widowControl/>
              <w:spacing w:line="230" w:lineRule="auto" w:before="66" w:after="0"/>
              <w:ind w:left="0" w:right="2" w:firstLine="0"/>
              <w:jc w:val="right"/>
            </w:pPr>
            <w:r>
              <w:rPr>
                <w:rFonts w:ascii="Arial" w:hAnsi="Arial" w:eastAsia="Arial"/>
                <w:b w:val="0"/>
                <w:i w:val="0"/>
                <w:color w:val="000000"/>
                <w:sz w:val="14"/>
              </w:rPr>
              <w:t>59,048,124</w:t>
            </w:r>
          </w:p>
        </w:tc>
        <w:tc>
          <w:tcPr>
            <w:tcW w:type="dxa" w:w="1484"/>
            <w:vMerge w:val="restart"/>
            <w:tcBorders/>
            <w:tcMar>
              <w:start w:w="0" w:type="dxa"/>
              <w:end w:w="0" w:type="dxa"/>
            </w:tcMar>
            <w:tcMar>
              <w:start w:w="0" w:type="dxa"/>
              <w:end w:w="0" w:type="dxa"/>
            </w:tcMar>
          </w:tcPr>
          <w:p>
            <w:pPr>
              <w:autoSpaceDN w:val="0"/>
              <w:autoSpaceDE w:val="0"/>
              <w:widowControl/>
              <w:spacing w:line="230" w:lineRule="auto" w:before="66" w:after="0"/>
              <w:ind w:left="0" w:right="112" w:firstLine="0"/>
              <w:jc w:val="right"/>
            </w:pPr>
            <w:r>
              <w:rPr>
                <w:rFonts w:ascii="Arial" w:hAnsi="Arial" w:eastAsia="Arial"/>
                <w:b w:val="0"/>
                <w:i w:val="0"/>
                <w:color w:val="000000"/>
                <w:sz w:val="14"/>
              </w:rPr>
              <w:t>-</w:t>
            </w:r>
          </w:p>
        </w:tc>
        <w:tc>
          <w:tcPr>
            <w:tcW w:type="dxa" w:w="1288"/>
            <w:vMerge w:val="restart"/>
            <w:tcBorders/>
            <w:tcMar>
              <w:start w:w="0" w:type="dxa"/>
              <w:end w:w="0" w:type="dxa"/>
            </w:tcMar>
            <w:tcMar>
              <w:start w:w="0" w:type="dxa"/>
              <w:end w:w="0" w:type="dxa"/>
            </w:tcMar>
          </w:tcPr>
          <w:p>
            <w:pPr>
              <w:autoSpaceDN w:val="0"/>
              <w:autoSpaceDE w:val="0"/>
              <w:widowControl/>
              <w:spacing w:line="230" w:lineRule="auto" w:before="66" w:after="0"/>
              <w:ind w:left="0" w:right="172" w:firstLine="0"/>
              <w:jc w:val="right"/>
            </w:pPr>
            <w:r>
              <w:rPr>
                <w:rFonts w:ascii="Arial" w:hAnsi="Arial" w:eastAsia="Arial"/>
                <w:b w:val="0"/>
                <w:i w:val="0"/>
                <w:color w:val="000000"/>
                <w:sz w:val="14"/>
              </w:rPr>
              <w:t>349,123,726</w:t>
            </w:r>
          </w:p>
        </w:tc>
        <w:tc>
          <w:tcPr>
            <w:tcW w:type="dxa" w:w="1308"/>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0" w:lineRule="auto" w:before="66" w:after="0"/>
              <w:ind w:left="0" w:right="170" w:firstLine="0"/>
              <w:jc w:val="right"/>
            </w:pPr>
            <w:r>
              <w:rPr>
                <w:rFonts w:ascii="Arial" w:hAnsi="Arial" w:eastAsia="Arial"/>
                <w:b w:val="0"/>
                <w:i w:val="0"/>
                <w:color w:val="000000"/>
                <w:sz w:val="14"/>
              </w:rPr>
              <w:t>-</w:t>
            </w:r>
          </w:p>
        </w:tc>
        <w:tc>
          <w:tcPr>
            <w:tcW w:type="dxa" w:w="1326"/>
            <w:vMerge w:val="restart"/>
            <w:tcBorders/>
            <w:tcMar>
              <w:start w:w="0" w:type="dxa"/>
              <w:end w:w="0" w:type="dxa"/>
            </w:tcMar>
            <w:tcMar>
              <w:start w:w="0" w:type="dxa"/>
              <w:end w:w="0" w:type="dxa"/>
            </w:tcMar>
          </w:tcPr>
          <w:p>
            <w:pPr>
              <w:autoSpaceDN w:val="0"/>
              <w:autoSpaceDE w:val="0"/>
              <w:widowControl/>
              <w:spacing w:line="230" w:lineRule="auto" w:before="66" w:after="0"/>
              <w:ind w:left="0" w:right="50" w:firstLine="0"/>
              <w:jc w:val="right"/>
            </w:pPr>
            <w:r>
              <w:rPr>
                <w:rFonts w:ascii="Arial" w:hAnsi="Arial" w:eastAsia="Arial"/>
                <w:b w:val="0"/>
                <w:i w:val="0"/>
                <w:color w:val="000000"/>
                <w:sz w:val="14"/>
              </w:rPr>
              <w:t xml:space="preserve">(486,373,187 ) </w:t>
            </w:r>
          </w:p>
        </w:tc>
        <w:tc>
          <w:tcPr>
            <w:tcW w:type="dxa" w:w="1074"/>
            <w:vMerge w:val="restart"/>
            <w:tcBorders/>
            <w:tcMar>
              <w:start w:w="0" w:type="dxa"/>
              <w:end w:w="0" w:type="dxa"/>
            </w:tcMar>
            <w:tcMar>
              <w:start w:w="0" w:type="dxa"/>
              <w:end w:w="0" w:type="dxa"/>
            </w:tcMar>
          </w:tcPr>
          <w:p>
            <w:pPr>
              <w:autoSpaceDN w:val="0"/>
              <w:autoSpaceDE w:val="0"/>
              <w:widowControl/>
              <w:spacing w:line="230" w:lineRule="auto" w:before="66" w:after="0"/>
              <w:ind w:left="182" w:right="0" w:firstLine="0"/>
              <w:jc w:val="left"/>
            </w:pPr>
            <w:r>
              <w:rPr>
                <w:rFonts w:ascii="Arial" w:hAnsi="Arial" w:eastAsia="Arial"/>
                <w:b w:val="0"/>
                <w:i w:val="0"/>
                <w:color w:val="000000"/>
                <w:sz w:val="14"/>
              </w:rPr>
              <w:t>1,917,621,834</w:t>
            </w:r>
          </w:p>
        </w:tc>
      </w:tr>
      <w:tr>
        <w:trPr>
          <w:trHeight w:hRule="exact" w:val="54"/>
        </w:trPr>
        <w:tc>
          <w:tcPr>
            <w:tcW w:type="dxa" w:w="1878"/>
            <w:vMerge w:val="restart"/>
            <w:tcBorders/>
            <w:tcMar>
              <w:start w:w="0" w:type="dxa"/>
              <w:end w:w="0" w:type="dxa"/>
            </w:tcMar>
            <w:tcMar>
              <w:start w:w="0" w:type="dxa"/>
              <w:end w:w="0" w:type="dxa"/>
            </w:tcMar>
          </w:tcPr>
          <w:p>
            <w:pPr>
              <w:autoSpaceDN w:val="0"/>
              <w:autoSpaceDE w:val="0"/>
              <w:widowControl/>
              <w:spacing w:line="140" w:lineRule="exact" w:before="76" w:after="0"/>
              <w:ind w:left="140" w:right="0" w:firstLine="0"/>
              <w:jc w:val="left"/>
            </w:pPr>
            <w:r>
              <w:rPr>
                <w:rFonts w:ascii="黑体" w:hAnsi="黑体" w:eastAsia="黑体"/>
                <w:b w:val="0"/>
                <w:i w:val="0"/>
                <w:color w:val="000000"/>
                <w:sz w:val="14"/>
              </w:rPr>
              <w:t>债券</w:t>
            </w: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r>
      <w:tr>
        <w:trPr>
          <w:trHeight w:hRule="exact" w:val="166"/>
        </w:trPr>
        <w:tc>
          <w:tcPr>
            <w:tcW w:type="dxa" w:w="1272"/>
            <w:vMerge/>
            <w:tcBorders/>
          </w:tcPr>
          <w:p/>
        </w:tc>
        <w:tc>
          <w:tcPr>
            <w:tcW w:type="dxa" w:w="1062"/>
            <w:tcBorders/>
            <w:tcMar>
              <w:start w:w="0" w:type="dxa"/>
              <w:end w:w="0" w:type="dxa"/>
            </w:tcMar>
          </w:tcPr>
          <w:p>
            <w:pPr>
              <w:autoSpaceDN w:val="0"/>
              <w:autoSpaceDE w:val="0"/>
              <w:widowControl/>
              <w:spacing w:line="233" w:lineRule="auto" w:before="10" w:after="0"/>
              <w:ind w:left="0" w:right="2" w:firstLine="0"/>
              <w:jc w:val="right"/>
            </w:pPr>
            <w:r>
              <w:rPr>
                <w:rFonts w:ascii="Arial" w:hAnsi="Arial" w:eastAsia="Arial"/>
                <w:b w:val="0"/>
                <w:i w:val="0"/>
                <w:color w:val="000000"/>
                <w:sz w:val="14"/>
              </w:rPr>
              <w:t>226,026</w:t>
            </w:r>
          </w:p>
        </w:tc>
        <w:tc>
          <w:tcPr>
            <w:tcW w:type="dxa" w:w="1052"/>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3" w:lineRule="auto" w:before="10" w:after="0"/>
              <w:ind w:left="0" w:right="146"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484"/>
            <w:tcBorders/>
            <w:tcMar>
              <w:start w:w="0" w:type="dxa"/>
              <w:end w:w="0" w:type="dxa"/>
            </w:tcMar>
          </w:tcPr>
          <w:p>
            <w:pPr>
              <w:autoSpaceDN w:val="0"/>
              <w:autoSpaceDE w:val="0"/>
              <w:widowControl/>
              <w:spacing w:line="233" w:lineRule="auto" w:before="10"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3" w:lineRule="auto" w:before="10" w:after="0"/>
              <w:ind w:left="0" w:right="96"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226,026</w:t>
            </w:r>
          </w:p>
        </w:tc>
      </w:tr>
      <w:tr>
        <w:trPr>
          <w:trHeight w:hRule="exact" w:val="200"/>
        </w:trPr>
        <w:tc>
          <w:tcPr>
            <w:tcW w:type="dxa" w:w="1878"/>
            <w:tcBorders/>
            <w:tcMar>
              <w:start w:w="0" w:type="dxa"/>
              <w:end w:w="0" w:type="dxa"/>
            </w:tcMar>
          </w:tcPr>
          <w:p>
            <w:pPr>
              <w:autoSpaceDN w:val="0"/>
              <w:autoSpaceDE w:val="0"/>
              <w:widowControl/>
              <w:spacing w:line="138" w:lineRule="exact" w:before="62" w:after="0"/>
              <w:ind w:left="140" w:right="0" w:firstLine="0"/>
              <w:jc w:val="left"/>
            </w:pPr>
            <w:r>
              <w:rPr>
                <w:rFonts w:ascii="黑体" w:hAnsi="黑体" w:eastAsia="黑体"/>
                <w:b w:val="0"/>
                <w:i w:val="0"/>
                <w:color w:val="000000"/>
                <w:sz w:val="14"/>
              </w:rPr>
              <w:t>股票</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396,776,296</w:t>
            </w:r>
          </w:p>
        </w:tc>
        <w:tc>
          <w:tcPr>
            <w:tcW w:type="dxa" w:w="1052"/>
            <w:vMerge w:val="restart"/>
            <w:tcBorders/>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98,973,637</w:t>
            </w:r>
          </w:p>
        </w:tc>
        <w:tc>
          <w:tcPr>
            <w:tcW w:type="dxa" w:w="1230"/>
            <w:vMerge w:val="restart"/>
            <w:tcBorders/>
            <w:tcMar>
              <w:start w:w="0" w:type="dxa"/>
              <w:end w:w="0" w:type="dxa"/>
            </w:tcMar>
            <w:tcMar>
              <w:start w:w="0" w:type="dxa"/>
              <w:end w:w="0" w:type="dxa"/>
            </w:tcMar>
          </w:tcPr>
          <w:p>
            <w:pPr>
              <w:autoSpaceDN w:val="0"/>
              <w:autoSpaceDE w:val="0"/>
              <w:widowControl/>
              <w:spacing w:line="233" w:lineRule="auto" w:before="66" w:after="0"/>
              <w:ind w:left="0" w:right="146" w:firstLine="0"/>
              <w:jc w:val="right"/>
            </w:pPr>
            <w:r>
              <w:rPr>
                <w:rFonts w:ascii="Arial" w:hAnsi="Arial" w:eastAsia="Arial"/>
                <w:b w:val="0"/>
                <w:i w:val="0"/>
                <w:color w:val="000000"/>
                <w:sz w:val="14"/>
              </w:rPr>
              <w:t>-</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20,079,030</w:t>
            </w:r>
          </w:p>
        </w:tc>
        <w:tc>
          <w:tcPr>
            <w:tcW w:type="dxa" w:w="1484"/>
            <w:vMerge w:val="restart"/>
            <w:tcBorders/>
            <w:tcMar>
              <w:start w:w="0" w:type="dxa"/>
              <w:end w:w="0" w:type="dxa"/>
            </w:tcMar>
            <w:tcMar>
              <w:start w:w="0" w:type="dxa"/>
              <w:end w:w="0" w:type="dxa"/>
            </w:tcMar>
          </w:tcPr>
          <w:p>
            <w:pPr>
              <w:autoSpaceDN w:val="0"/>
              <w:autoSpaceDE w:val="0"/>
              <w:widowControl/>
              <w:spacing w:line="233" w:lineRule="auto" w:before="66" w:after="0"/>
              <w:ind w:left="0" w:right="112" w:firstLine="0"/>
              <w:jc w:val="right"/>
            </w:pPr>
            <w:r>
              <w:rPr>
                <w:rFonts w:ascii="Arial" w:hAnsi="Arial" w:eastAsia="Arial"/>
                <w:b w:val="0"/>
                <w:i w:val="0"/>
                <w:color w:val="000000"/>
                <w:sz w:val="14"/>
              </w:rPr>
              <w:t>-</w:t>
            </w:r>
          </w:p>
        </w:tc>
        <w:tc>
          <w:tcPr>
            <w:tcW w:type="dxa" w:w="1288"/>
            <w:vMerge w:val="restart"/>
            <w:tcBorders/>
            <w:tcMar>
              <w:start w:w="0" w:type="dxa"/>
              <w:end w:w="0" w:type="dxa"/>
            </w:tcMar>
            <w:tcMar>
              <w:start w:w="0" w:type="dxa"/>
              <w:end w:w="0" w:type="dxa"/>
            </w:tcMar>
          </w:tcPr>
          <w:p>
            <w:pPr>
              <w:autoSpaceDN w:val="0"/>
              <w:autoSpaceDE w:val="0"/>
              <w:widowControl/>
              <w:spacing w:line="233" w:lineRule="auto" w:before="66" w:after="0"/>
              <w:ind w:left="0" w:right="172" w:firstLine="0"/>
              <w:jc w:val="right"/>
            </w:pPr>
            <w:r>
              <w:rPr>
                <w:rFonts w:ascii="Arial" w:hAnsi="Arial" w:eastAsia="Arial"/>
                <w:b w:val="0"/>
                <w:i w:val="0"/>
                <w:color w:val="000000"/>
                <w:sz w:val="14"/>
              </w:rPr>
              <w:t>66,369,834</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66" w:after="0"/>
              <w:ind w:left="0" w:right="170" w:firstLine="0"/>
              <w:jc w:val="right"/>
            </w:pPr>
            <w:r>
              <w:rPr>
                <w:rFonts w:ascii="Arial" w:hAnsi="Arial" w:eastAsia="Arial"/>
                <w:b w:val="0"/>
                <w:i w:val="0"/>
                <w:color w:val="000000"/>
                <w:sz w:val="14"/>
              </w:rPr>
              <w:t>-</w:t>
            </w:r>
          </w:p>
        </w:tc>
        <w:tc>
          <w:tcPr>
            <w:tcW w:type="dxa" w:w="1326"/>
            <w:vMerge w:val="restart"/>
            <w:tcBorders/>
            <w:tcMar>
              <w:start w:w="0" w:type="dxa"/>
              <w:end w:w="0" w:type="dxa"/>
            </w:tcMar>
            <w:tcMar>
              <w:start w:w="0" w:type="dxa"/>
              <w:end w:w="0" w:type="dxa"/>
            </w:tcMar>
          </w:tcPr>
          <w:p>
            <w:pPr>
              <w:autoSpaceDN w:val="0"/>
              <w:autoSpaceDE w:val="0"/>
              <w:widowControl/>
              <w:spacing w:line="233" w:lineRule="auto" w:before="66" w:after="0"/>
              <w:ind w:left="0" w:right="50" w:firstLine="0"/>
              <w:jc w:val="right"/>
            </w:pPr>
            <w:r>
              <w:rPr>
                <w:rFonts w:ascii="Arial" w:hAnsi="Arial" w:eastAsia="Arial"/>
                <w:b w:val="0"/>
                <w:i w:val="0"/>
                <w:color w:val="000000"/>
                <w:sz w:val="14"/>
              </w:rPr>
              <w:t xml:space="preserve">(371,771,568 )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210,427,229</w:t>
            </w:r>
          </w:p>
        </w:tc>
      </w:tr>
      <w:tr>
        <w:trPr>
          <w:trHeight w:hRule="exact" w:val="50"/>
        </w:trPr>
        <w:tc>
          <w:tcPr>
            <w:tcW w:type="dxa" w:w="1878"/>
            <w:vMerge w:val="restart"/>
            <w:tcBorders/>
            <w:tcMar>
              <w:start w:w="0" w:type="dxa"/>
              <w:end w:w="0" w:type="dxa"/>
            </w:tcMar>
            <w:tcMar>
              <w:start w:w="0" w:type="dxa"/>
              <w:end w:w="0" w:type="dxa"/>
            </w:tcMar>
          </w:tcPr>
          <w:p>
            <w:pPr>
              <w:autoSpaceDN w:val="0"/>
              <w:autoSpaceDE w:val="0"/>
              <w:widowControl/>
              <w:spacing w:line="140" w:lineRule="exact" w:before="70" w:after="0"/>
              <w:ind w:left="140" w:right="0" w:firstLine="0"/>
              <w:jc w:val="left"/>
            </w:pPr>
            <w:r>
              <w:rPr>
                <w:rFonts w:ascii="黑体" w:hAnsi="黑体" w:eastAsia="黑体"/>
                <w:b w:val="0"/>
                <w:i w:val="0"/>
                <w:color w:val="000000"/>
                <w:sz w:val="14"/>
              </w:rPr>
              <w:t>股权</w:t>
            </w: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r>
      <w:tr>
        <w:trPr>
          <w:trHeight w:hRule="exact" w:val="170"/>
        </w:trPr>
        <w:tc>
          <w:tcPr>
            <w:tcW w:type="dxa" w:w="1272"/>
            <w:vMerge/>
            <w:tcBorders/>
          </w:tcPr>
          <w:p/>
        </w:tc>
        <w:tc>
          <w:tcPr>
            <w:tcW w:type="dxa" w:w="1062"/>
            <w:tcBorders/>
            <w:tcMar>
              <w:start w:w="0" w:type="dxa"/>
              <w:end w:w="0" w:type="dxa"/>
            </w:tcMar>
          </w:tcPr>
          <w:p>
            <w:pPr>
              <w:autoSpaceDN w:val="0"/>
              <w:autoSpaceDE w:val="0"/>
              <w:widowControl/>
              <w:spacing w:line="230" w:lineRule="auto" w:before="16" w:after="0"/>
              <w:ind w:left="168" w:right="0" w:firstLine="0"/>
              <w:jc w:val="left"/>
            </w:pPr>
            <w:r>
              <w:rPr>
                <w:rFonts w:ascii="Arial" w:hAnsi="Arial" w:eastAsia="Arial"/>
                <w:b w:val="0"/>
                <w:i w:val="0"/>
                <w:color w:val="000000"/>
                <w:sz w:val="14"/>
              </w:rPr>
              <w:t>1,238,392,080</w:t>
            </w:r>
          </w:p>
        </w:tc>
        <w:tc>
          <w:tcPr>
            <w:tcW w:type="dxa" w:w="1052"/>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0" w:lineRule="auto" w:before="16" w:after="0"/>
              <w:ind w:left="0" w:right="64" w:firstLine="0"/>
              <w:jc w:val="right"/>
            </w:pPr>
            <w:r>
              <w:rPr>
                <w:rFonts w:ascii="Arial" w:hAnsi="Arial" w:eastAsia="Arial"/>
                <w:b w:val="0"/>
                <w:i w:val="0"/>
                <w:color w:val="000000"/>
                <w:sz w:val="14"/>
              </w:rPr>
              <w:t xml:space="preserve">(98,973,637) </w:t>
            </w:r>
          </w:p>
        </w:tc>
        <w:tc>
          <w:tcPr>
            <w:tcW w:type="dxa" w:w="964"/>
            <w:tcBorders/>
            <w:tcMar>
              <w:start w:w="0" w:type="dxa"/>
              <w:end w:w="0" w:type="dxa"/>
            </w:tcMar>
          </w:tcPr>
          <w:p>
            <w:pPr>
              <w:autoSpaceDN w:val="0"/>
              <w:autoSpaceDE w:val="0"/>
              <w:widowControl/>
              <w:spacing w:line="230" w:lineRule="auto" w:before="16" w:after="0"/>
              <w:ind w:left="0" w:right="2" w:firstLine="0"/>
              <w:jc w:val="right"/>
            </w:pPr>
            <w:r>
              <w:rPr>
                <w:rFonts w:ascii="Arial" w:hAnsi="Arial" w:eastAsia="Arial"/>
                <w:b w:val="0"/>
                <w:i w:val="0"/>
                <w:color w:val="000000"/>
                <w:sz w:val="14"/>
              </w:rPr>
              <w:t>34,548,641</w:t>
            </w:r>
          </w:p>
        </w:tc>
        <w:tc>
          <w:tcPr>
            <w:tcW w:type="dxa" w:w="1484"/>
            <w:tcBorders/>
            <w:tcMar>
              <w:start w:w="0" w:type="dxa"/>
              <w:end w:w="0" w:type="dxa"/>
            </w:tcMar>
          </w:tcPr>
          <w:p>
            <w:pPr>
              <w:autoSpaceDN w:val="0"/>
              <w:autoSpaceDE w:val="0"/>
              <w:widowControl/>
              <w:spacing w:line="230" w:lineRule="auto" w:before="16"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0" w:lineRule="auto" w:before="16" w:after="0"/>
              <w:ind w:left="0" w:right="172" w:firstLine="0"/>
              <w:jc w:val="right"/>
            </w:pPr>
            <w:r>
              <w:rPr>
                <w:rFonts w:ascii="Arial" w:hAnsi="Arial" w:eastAsia="Arial"/>
                <w:b w:val="0"/>
                <w:i w:val="0"/>
                <w:color w:val="000000"/>
                <w:sz w:val="14"/>
              </w:rPr>
              <w:t>178,853,892</w:t>
            </w:r>
          </w:p>
        </w:tc>
        <w:tc>
          <w:tcPr>
            <w:tcW w:type="dxa" w:w="1308"/>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0" w:lineRule="auto" w:before="16"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0" w:lineRule="auto" w:before="16" w:after="0"/>
              <w:ind w:left="0" w:right="50" w:firstLine="0"/>
              <w:jc w:val="right"/>
            </w:pPr>
            <w:r>
              <w:rPr>
                <w:rFonts w:ascii="Arial" w:hAnsi="Arial" w:eastAsia="Arial"/>
                <w:b w:val="0"/>
                <w:i w:val="0"/>
                <w:color w:val="000000"/>
                <w:sz w:val="14"/>
              </w:rPr>
              <w:t xml:space="preserve">(83,583,551 ) </w:t>
            </w:r>
          </w:p>
        </w:tc>
        <w:tc>
          <w:tcPr>
            <w:tcW w:type="dxa" w:w="1074"/>
            <w:tcBorders/>
            <w:tcMar>
              <w:start w:w="0" w:type="dxa"/>
              <w:end w:w="0" w:type="dxa"/>
            </w:tcMar>
          </w:tcPr>
          <w:p>
            <w:pPr>
              <w:autoSpaceDN w:val="0"/>
              <w:autoSpaceDE w:val="0"/>
              <w:widowControl/>
              <w:spacing w:line="230" w:lineRule="auto" w:before="16" w:after="0"/>
              <w:ind w:left="182" w:right="0" w:firstLine="0"/>
              <w:jc w:val="left"/>
            </w:pPr>
            <w:r>
              <w:rPr>
                <w:rFonts w:ascii="Arial" w:hAnsi="Arial" w:eastAsia="Arial"/>
                <w:b w:val="0"/>
                <w:i w:val="0"/>
                <w:color w:val="000000"/>
                <w:sz w:val="14"/>
              </w:rPr>
              <w:t>1,269,237,425</w:t>
            </w:r>
          </w:p>
        </w:tc>
      </w:tr>
      <w:tr>
        <w:trPr>
          <w:trHeight w:hRule="exact" w:val="200"/>
        </w:trPr>
        <w:tc>
          <w:tcPr>
            <w:tcW w:type="dxa" w:w="1878"/>
            <w:tcBorders/>
            <w:tcMar>
              <w:start w:w="0" w:type="dxa"/>
              <w:end w:w="0" w:type="dxa"/>
            </w:tcMar>
          </w:tcPr>
          <w:p>
            <w:pPr>
              <w:autoSpaceDN w:val="0"/>
              <w:autoSpaceDE w:val="0"/>
              <w:widowControl/>
              <w:spacing w:line="140" w:lineRule="exact" w:before="56" w:after="0"/>
              <w:ind w:left="140" w:right="0" w:firstLine="0"/>
              <w:jc w:val="left"/>
            </w:pPr>
            <w:r>
              <w:rPr>
                <w:rFonts w:ascii="黑体" w:hAnsi="黑体" w:eastAsia="黑体"/>
                <w:b w:val="0"/>
                <w:i w:val="0"/>
                <w:color w:val="000000"/>
                <w:sz w:val="14"/>
              </w:rPr>
              <w:t>债权</w:t>
            </w:r>
          </w:p>
        </w:tc>
        <w:tc>
          <w:tcPr>
            <w:tcW w:type="dxa" w:w="10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199,003,286</w:t>
            </w:r>
          </w:p>
        </w:tc>
        <w:tc>
          <w:tcPr>
            <w:tcW w:type="dxa" w:w="1052"/>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3" w:lineRule="auto" w:before="44" w:after="0"/>
              <w:ind w:left="0" w:right="146"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1,797,945</w:t>
            </w:r>
          </w:p>
        </w:tc>
        <w:tc>
          <w:tcPr>
            <w:tcW w:type="dxa" w:w="1484"/>
            <w:tcBorders/>
            <w:tcMar>
              <w:start w:w="0" w:type="dxa"/>
              <w:end w:w="0" w:type="dxa"/>
            </w:tcMar>
          </w:tcPr>
          <w:p>
            <w:pPr>
              <w:autoSpaceDN w:val="0"/>
              <w:autoSpaceDE w:val="0"/>
              <w:widowControl/>
              <w:spacing w:line="233" w:lineRule="auto" w:before="44"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44"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3" w:lineRule="auto" w:before="44" w:after="0"/>
              <w:ind w:left="0" w:right="50" w:firstLine="0"/>
              <w:jc w:val="right"/>
            </w:pPr>
            <w:r>
              <w:rPr>
                <w:rFonts w:ascii="Arial" w:hAnsi="Arial" w:eastAsia="Arial"/>
                <w:b w:val="0"/>
                <w:i w:val="0"/>
                <w:color w:val="000000"/>
                <w:sz w:val="14"/>
              </w:rPr>
              <w:t xml:space="preserve">(31,004,445 ) </w:t>
            </w:r>
          </w:p>
        </w:tc>
        <w:tc>
          <w:tcPr>
            <w:tcW w:type="dxa" w:w="1074"/>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169,796,786</w:t>
            </w:r>
          </w:p>
        </w:tc>
      </w:tr>
      <w:tr>
        <w:trPr>
          <w:trHeight w:hRule="exact" w:val="200"/>
        </w:trPr>
        <w:tc>
          <w:tcPr>
            <w:tcW w:type="dxa" w:w="1878"/>
            <w:tcBorders/>
            <w:tcMar>
              <w:start w:w="0" w:type="dxa"/>
              <w:end w:w="0" w:type="dxa"/>
            </w:tcMar>
          </w:tcPr>
          <w:p>
            <w:pPr>
              <w:autoSpaceDN w:val="0"/>
              <w:autoSpaceDE w:val="0"/>
              <w:widowControl/>
              <w:spacing w:line="140" w:lineRule="exact" w:before="60" w:after="0"/>
              <w:ind w:left="140" w:right="0" w:firstLine="0"/>
              <w:jc w:val="left"/>
            </w:pPr>
            <w:r>
              <w:rPr>
                <w:rFonts w:ascii="黑体" w:hAnsi="黑体" w:eastAsia="黑体"/>
                <w:b w:val="0"/>
                <w:i w:val="0"/>
                <w:color w:val="000000"/>
                <w:sz w:val="14"/>
              </w:rPr>
              <w:t>资管计划</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68" w:after="0"/>
              <w:ind w:left="0" w:right="0" w:firstLine="0"/>
              <w:jc w:val="right"/>
            </w:pPr>
            <w:r>
              <w:rPr>
                <w:rFonts w:ascii="Arial" w:hAnsi="Arial" w:eastAsia="Arial"/>
                <w:b w:val="0"/>
                <w:i w:val="0"/>
                <w:color w:val="000000"/>
                <w:sz w:val="14"/>
              </w:rPr>
              <w:t>-</w:t>
            </w:r>
          </w:p>
        </w:tc>
        <w:tc>
          <w:tcPr>
            <w:tcW w:type="dxa" w:w="1052"/>
            <w:vMerge w:val="restart"/>
            <w:tcBorders/>
            <w:tcMar>
              <w:start w:w="0" w:type="dxa"/>
              <w:end w:w="0" w:type="dxa"/>
            </w:tcMar>
            <w:tcMar>
              <w:start w:w="0" w:type="dxa"/>
              <w:end w:w="0" w:type="dxa"/>
            </w:tcMar>
          </w:tcPr>
          <w:p>
            <w:pPr>
              <w:autoSpaceDN w:val="0"/>
              <w:autoSpaceDE w:val="0"/>
              <w:widowControl/>
              <w:spacing w:line="233" w:lineRule="auto" w:before="68" w:after="0"/>
              <w:ind w:left="0" w:right="2" w:firstLine="0"/>
              <w:jc w:val="right"/>
            </w:pPr>
            <w:r>
              <w:rPr>
                <w:rFonts w:ascii="Arial" w:hAnsi="Arial" w:eastAsia="Arial"/>
                <w:b w:val="0"/>
                <w:i w:val="0"/>
                <w:color w:val="000000"/>
                <w:sz w:val="14"/>
              </w:rPr>
              <w:t>151,700,439</w:t>
            </w:r>
          </w:p>
        </w:tc>
        <w:tc>
          <w:tcPr>
            <w:tcW w:type="dxa" w:w="1230"/>
            <w:vMerge w:val="restart"/>
            <w:tcBorders/>
            <w:tcMar>
              <w:start w:w="0" w:type="dxa"/>
              <w:end w:w="0" w:type="dxa"/>
            </w:tcMar>
            <w:tcMar>
              <w:start w:w="0" w:type="dxa"/>
              <w:end w:w="0" w:type="dxa"/>
            </w:tcMar>
          </w:tcPr>
          <w:p>
            <w:pPr>
              <w:autoSpaceDN w:val="0"/>
              <w:autoSpaceDE w:val="0"/>
              <w:widowControl/>
              <w:spacing w:line="233" w:lineRule="auto" w:before="68" w:after="0"/>
              <w:ind w:left="0" w:right="146" w:firstLine="0"/>
              <w:jc w:val="right"/>
            </w:pPr>
            <w:r>
              <w:rPr>
                <w:rFonts w:ascii="Arial" w:hAnsi="Arial" w:eastAsia="Arial"/>
                <w:b w:val="0"/>
                <w:i w:val="0"/>
                <w:color w:val="000000"/>
                <w:sz w:val="14"/>
              </w:rPr>
              <w:t>-</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68" w:after="0"/>
              <w:ind w:left="0" w:right="2" w:firstLine="0"/>
              <w:jc w:val="right"/>
            </w:pPr>
            <w:r>
              <w:rPr>
                <w:rFonts w:ascii="Arial" w:hAnsi="Arial" w:eastAsia="Arial"/>
                <w:b w:val="0"/>
                <w:i w:val="0"/>
                <w:color w:val="000000"/>
                <w:sz w:val="14"/>
              </w:rPr>
              <w:t>73,564</w:t>
            </w:r>
          </w:p>
        </w:tc>
        <w:tc>
          <w:tcPr>
            <w:tcW w:type="dxa" w:w="1484"/>
            <w:vMerge w:val="restart"/>
            <w:tcBorders/>
            <w:tcMar>
              <w:start w:w="0" w:type="dxa"/>
              <w:end w:w="0" w:type="dxa"/>
            </w:tcMar>
            <w:tcMar>
              <w:start w:w="0" w:type="dxa"/>
              <w:end w:w="0" w:type="dxa"/>
            </w:tcMar>
          </w:tcPr>
          <w:p>
            <w:pPr>
              <w:autoSpaceDN w:val="0"/>
              <w:autoSpaceDE w:val="0"/>
              <w:widowControl/>
              <w:spacing w:line="233" w:lineRule="auto" w:before="68" w:after="0"/>
              <w:ind w:left="0" w:right="112" w:firstLine="0"/>
              <w:jc w:val="right"/>
            </w:pPr>
            <w:r>
              <w:rPr>
                <w:rFonts w:ascii="Arial" w:hAnsi="Arial" w:eastAsia="Arial"/>
                <w:b w:val="0"/>
                <w:i w:val="0"/>
                <w:color w:val="000000"/>
                <w:sz w:val="14"/>
              </w:rPr>
              <w:t>-</w:t>
            </w:r>
          </w:p>
        </w:tc>
        <w:tc>
          <w:tcPr>
            <w:tcW w:type="dxa" w:w="1288"/>
            <w:vMerge w:val="restart"/>
            <w:tcBorders/>
            <w:tcMar>
              <w:start w:w="0" w:type="dxa"/>
              <w:end w:w="0" w:type="dxa"/>
            </w:tcMar>
            <w:tcMar>
              <w:start w:w="0" w:type="dxa"/>
              <w:end w:w="0" w:type="dxa"/>
            </w:tcMar>
          </w:tcPr>
          <w:p>
            <w:pPr>
              <w:autoSpaceDN w:val="0"/>
              <w:autoSpaceDE w:val="0"/>
              <w:widowControl/>
              <w:spacing w:line="233" w:lineRule="auto" w:before="68" w:after="0"/>
              <w:ind w:left="0" w:right="170" w:firstLine="0"/>
              <w:jc w:val="right"/>
            </w:pPr>
            <w:r>
              <w:rPr>
                <w:rFonts w:ascii="Arial" w:hAnsi="Arial" w:eastAsia="Arial"/>
                <w:b w:val="0"/>
                <w:i w:val="0"/>
                <w:color w:val="000000"/>
                <w:sz w:val="14"/>
              </w:rPr>
              <w:t>-</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68"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68" w:after="0"/>
              <w:ind w:left="0" w:right="170" w:firstLine="0"/>
              <w:jc w:val="right"/>
            </w:pPr>
            <w:r>
              <w:rPr>
                <w:rFonts w:ascii="Arial" w:hAnsi="Arial" w:eastAsia="Arial"/>
                <w:b w:val="0"/>
                <w:i w:val="0"/>
                <w:color w:val="000000"/>
                <w:sz w:val="14"/>
              </w:rPr>
              <w:t>-</w:t>
            </w:r>
          </w:p>
        </w:tc>
        <w:tc>
          <w:tcPr>
            <w:tcW w:type="dxa" w:w="1326"/>
            <w:vMerge w:val="restart"/>
            <w:tcBorders/>
            <w:tcMar>
              <w:start w:w="0" w:type="dxa"/>
              <w:end w:w="0" w:type="dxa"/>
            </w:tcMar>
            <w:tcMar>
              <w:start w:w="0" w:type="dxa"/>
              <w:end w:w="0" w:type="dxa"/>
            </w:tcMar>
          </w:tcPr>
          <w:p>
            <w:pPr>
              <w:autoSpaceDN w:val="0"/>
              <w:autoSpaceDE w:val="0"/>
              <w:widowControl/>
              <w:spacing w:line="302" w:lineRule="auto" w:before="22" w:after="0"/>
              <w:ind w:left="0" w:right="50" w:firstLine="0"/>
              <w:jc w:val="right"/>
            </w:pPr>
            <w:r>
              <w:rPr>
                <w:rFonts w:ascii="Arial" w:hAnsi="Arial" w:eastAsia="Arial"/>
                <w:b w:val="0"/>
                <w:i w:val="0"/>
                <w:color w:val="000000"/>
                <w:sz w:val="14"/>
              </w:rPr>
              <w:t xml:space="preserve">(12,167 </w:t>
            </w:r>
            <w:r>
              <w:rPr>
                <w:rFonts w:ascii="Arial" w:hAnsi="Arial" w:eastAsia="Arial"/>
                <w:b w:val="0"/>
                <w:i w:val="0"/>
                <w:color w:val="000000"/>
                <w:sz w:val="14"/>
              </w:rPr>
              <w:t xml:space="preserve">)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68" w:after="0"/>
              <w:ind w:left="0" w:right="0" w:firstLine="0"/>
              <w:jc w:val="right"/>
            </w:pPr>
            <w:r>
              <w:rPr>
                <w:rFonts w:ascii="Arial" w:hAnsi="Arial" w:eastAsia="Arial"/>
                <w:b w:val="0"/>
                <w:i w:val="0"/>
                <w:color w:val="000000"/>
                <w:sz w:val="14"/>
              </w:rPr>
              <w:t>151,761,836</w:t>
            </w:r>
          </w:p>
        </w:tc>
      </w:tr>
      <w:tr>
        <w:trPr>
          <w:trHeight w:hRule="exact" w:val="48"/>
        </w:trPr>
        <w:tc>
          <w:tcPr>
            <w:tcW w:type="dxa" w:w="1878"/>
            <w:vMerge w:val="restart"/>
            <w:tcBorders/>
            <w:tcMar>
              <w:start w:w="0" w:type="dxa"/>
              <w:end w:w="0" w:type="dxa"/>
            </w:tcMar>
            <w:tcMar>
              <w:start w:w="0" w:type="dxa"/>
              <w:end w:w="0" w:type="dxa"/>
            </w:tcMar>
          </w:tcPr>
          <w:p>
            <w:pPr>
              <w:autoSpaceDN w:val="0"/>
              <w:autoSpaceDE w:val="0"/>
              <w:widowControl/>
              <w:spacing w:line="138" w:lineRule="exact" w:before="72" w:after="0"/>
              <w:ind w:left="140" w:right="0" w:firstLine="0"/>
              <w:jc w:val="left"/>
            </w:pPr>
            <w:r>
              <w:rPr>
                <w:rFonts w:ascii="黑体" w:hAnsi="黑体" w:eastAsia="黑体"/>
                <w:b w:val="0"/>
                <w:i w:val="0"/>
                <w:color w:val="000000"/>
                <w:sz w:val="14"/>
              </w:rPr>
              <w:t>理财产品</w:t>
            </w: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r>
      <w:tr>
        <w:trPr>
          <w:trHeight w:hRule="exact" w:val="172"/>
        </w:trPr>
        <w:tc>
          <w:tcPr>
            <w:tcW w:type="dxa" w:w="1272"/>
            <w:vMerge/>
            <w:tcBorders/>
          </w:tcPr>
          <w:p/>
        </w:tc>
        <w:tc>
          <w:tcPr>
            <w:tcW w:type="dxa" w:w="1062"/>
            <w:tcBorders/>
            <w:tcMar>
              <w:start w:w="0" w:type="dxa"/>
              <w:end w:w="0" w:type="dxa"/>
            </w:tcMar>
          </w:tcPr>
          <w:p>
            <w:pPr>
              <w:autoSpaceDN w:val="0"/>
              <w:autoSpaceDE w:val="0"/>
              <w:widowControl/>
              <w:spacing w:line="233" w:lineRule="auto" w:before="16" w:after="0"/>
              <w:ind w:left="0" w:right="2" w:firstLine="0"/>
              <w:jc w:val="right"/>
            </w:pPr>
            <w:r>
              <w:rPr>
                <w:rFonts w:ascii="Arial" w:hAnsi="Arial" w:eastAsia="Arial"/>
                <w:b w:val="0"/>
                <w:i w:val="0"/>
                <w:color w:val="000000"/>
                <w:sz w:val="14"/>
              </w:rPr>
              <w:t>1,001,630</w:t>
            </w:r>
          </w:p>
        </w:tc>
        <w:tc>
          <w:tcPr>
            <w:tcW w:type="dxa" w:w="1052"/>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3" w:lineRule="auto" w:before="16" w:after="0"/>
              <w:ind w:left="0" w:right="146"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16" w:after="0"/>
              <w:ind w:left="0" w:right="2" w:firstLine="0"/>
              <w:jc w:val="right"/>
            </w:pPr>
            <w:r>
              <w:rPr>
                <w:rFonts w:ascii="Arial" w:hAnsi="Arial" w:eastAsia="Arial"/>
                <w:b w:val="0"/>
                <w:i w:val="0"/>
                <w:color w:val="000000"/>
                <w:sz w:val="14"/>
              </w:rPr>
              <w:t>58,810</w:t>
            </w:r>
          </w:p>
        </w:tc>
        <w:tc>
          <w:tcPr>
            <w:tcW w:type="dxa" w:w="1484"/>
            <w:tcBorders/>
            <w:tcMar>
              <w:start w:w="0" w:type="dxa"/>
              <w:end w:w="0" w:type="dxa"/>
            </w:tcMar>
          </w:tcPr>
          <w:p>
            <w:pPr>
              <w:autoSpaceDN w:val="0"/>
              <w:autoSpaceDE w:val="0"/>
              <w:widowControl/>
              <w:spacing w:line="233" w:lineRule="auto" w:before="16"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3" w:lineRule="auto" w:before="16" w:after="0"/>
              <w:ind w:left="0" w:right="172" w:firstLine="0"/>
              <w:jc w:val="right"/>
            </w:pPr>
            <w:r>
              <w:rPr>
                <w:rFonts w:ascii="Arial" w:hAnsi="Arial" w:eastAsia="Arial"/>
                <w:b w:val="0"/>
                <w:i w:val="0"/>
                <w:color w:val="000000"/>
                <w:sz w:val="14"/>
              </w:rPr>
              <w:t>12,000,000</w:t>
            </w:r>
          </w:p>
        </w:tc>
        <w:tc>
          <w:tcPr>
            <w:tcW w:type="dxa" w:w="1308"/>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6"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3" w:lineRule="auto" w:before="16" w:after="0"/>
              <w:ind w:left="0" w:right="96"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13,060,440</w:t>
            </w:r>
          </w:p>
        </w:tc>
      </w:tr>
      <w:tr>
        <w:trPr>
          <w:trHeight w:hRule="exact" w:val="200"/>
        </w:trPr>
        <w:tc>
          <w:tcPr>
            <w:tcW w:type="dxa" w:w="1878"/>
            <w:tcBorders/>
            <w:tcMar>
              <w:start w:w="0" w:type="dxa"/>
              <w:end w:w="0" w:type="dxa"/>
            </w:tcMar>
          </w:tcPr>
          <w:p>
            <w:pPr>
              <w:autoSpaceDN w:val="0"/>
              <w:autoSpaceDE w:val="0"/>
              <w:widowControl/>
              <w:spacing w:line="140" w:lineRule="exact" w:before="58" w:after="0"/>
              <w:ind w:left="140" w:right="0" w:firstLine="0"/>
              <w:jc w:val="left"/>
            </w:pPr>
            <w:r>
              <w:rPr>
                <w:rFonts w:ascii="黑体" w:hAnsi="黑体" w:eastAsia="黑体"/>
                <w:b w:val="0"/>
                <w:i w:val="0"/>
                <w:color w:val="000000"/>
                <w:sz w:val="14"/>
              </w:rPr>
              <w:t>信托计划</w:t>
            </w:r>
          </w:p>
        </w:tc>
        <w:tc>
          <w:tcPr>
            <w:tcW w:type="dxa" w:w="1062"/>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183,431,625</w:t>
            </w:r>
          </w:p>
        </w:tc>
        <w:tc>
          <w:tcPr>
            <w:tcW w:type="dxa" w:w="1052"/>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302" w:lineRule="auto" w:before="0" w:after="0"/>
              <w:ind w:left="258" w:right="0" w:firstLine="0"/>
              <w:jc w:val="left"/>
            </w:pPr>
            <w:r>
              <w:rPr>
                <w:rFonts w:ascii="Arial" w:hAnsi="Arial" w:eastAsia="Arial"/>
                <w:b w:val="0"/>
                <w:i w:val="0"/>
                <w:color w:val="000000"/>
                <w:sz w:val="14"/>
              </w:rPr>
              <w:t>(183,431,625</w:t>
            </w:r>
            <w:r>
              <w:rPr>
                <w:rFonts w:ascii="Arial" w:hAnsi="Arial" w:eastAsia="Arial"/>
                <w:b w:val="0"/>
                <w:i w:val="0"/>
                <w:color w:val="000000"/>
                <w:sz w:val="14"/>
              </w:rPr>
              <w:t xml:space="preserve">) </w:t>
            </w:r>
          </w:p>
        </w:tc>
        <w:tc>
          <w:tcPr>
            <w:tcW w:type="dxa" w:w="964"/>
            <w:tcBorders/>
            <w:tcMar>
              <w:start w:w="0" w:type="dxa"/>
              <w:end w:w="0" w:type="dxa"/>
            </w:tcMar>
          </w:tcPr>
          <w:p>
            <w:pPr>
              <w:autoSpaceDN w:val="0"/>
              <w:autoSpaceDE w:val="0"/>
              <w:widowControl/>
              <w:spacing w:line="230" w:lineRule="auto" w:before="46" w:after="0"/>
              <w:ind w:left="0" w:right="2" w:firstLine="0"/>
              <w:jc w:val="right"/>
            </w:pPr>
            <w:r>
              <w:rPr>
                <w:rFonts w:ascii="Arial" w:hAnsi="Arial" w:eastAsia="Arial"/>
                <w:b w:val="0"/>
                <w:i w:val="0"/>
                <w:color w:val="000000"/>
                <w:sz w:val="14"/>
              </w:rPr>
              <w:t>2,490,134</w:t>
            </w:r>
          </w:p>
        </w:tc>
        <w:tc>
          <w:tcPr>
            <w:tcW w:type="dxa" w:w="1484"/>
            <w:tcBorders/>
            <w:tcMar>
              <w:start w:w="0" w:type="dxa"/>
              <w:end w:w="0" w:type="dxa"/>
            </w:tcMar>
          </w:tcPr>
          <w:p>
            <w:pPr>
              <w:autoSpaceDN w:val="0"/>
              <w:autoSpaceDE w:val="0"/>
              <w:widowControl/>
              <w:spacing w:line="230" w:lineRule="auto" w:before="46"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0" w:lineRule="auto" w:before="46" w:after="0"/>
              <w:ind w:left="0" w:right="172" w:firstLine="0"/>
              <w:jc w:val="right"/>
            </w:pPr>
            <w:r>
              <w:rPr>
                <w:rFonts w:ascii="Arial" w:hAnsi="Arial" w:eastAsia="Arial"/>
                <w:b w:val="0"/>
                <w:i w:val="0"/>
                <w:color w:val="000000"/>
                <w:sz w:val="14"/>
              </w:rPr>
              <w:t>91,900,000</w:t>
            </w:r>
          </w:p>
        </w:tc>
        <w:tc>
          <w:tcPr>
            <w:tcW w:type="dxa" w:w="1308"/>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0" w:lineRule="auto" w:before="46"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0" w:lineRule="auto" w:before="46" w:after="0"/>
              <w:ind w:left="0" w:right="96"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4"/>
              </w:rPr>
              <w:t>94,390,134</w:t>
            </w:r>
          </w:p>
        </w:tc>
      </w:tr>
      <w:tr>
        <w:trPr>
          <w:trHeight w:hRule="exact" w:val="200"/>
        </w:trPr>
        <w:tc>
          <w:tcPr>
            <w:tcW w:type="dxa" w:w="1878"/>
            <w:tcBorders/>
            <w:tcMar>
              <w:start w:w="0" w:type="dxa"/>
              <w:end w:w="0" w:type="dxa"/>
            </w:tcMar>
          </w:tcPr>
          <w:p>
            <w:pPr>
              <w:autoSpaceDN w:val="0"/>
              <w:autoSpaceDE w:val="0"/>
              <w:widowControl/>
              <w:spacing w:line="140" w:lineRule="exact" w:before="60" w:after="0"/>
              <w:ind w:left="140" w:right="0" w:firstLine="0"/>
              <w:jc w:val="left"/>
            </w:pPr>
            <w:r>
              <w:rPr>
                <w:rFonts w:ascii="黑体" w:hAnsi="黑体" w:eastAsia="黑体"/>
                <w:b w:val="0"/>
                <w:i w:val="0"/>
                <w:color w:val="000000"/>
                <w:sz w:val="14"/>
              </w:rPr>
              <w:t>其他</w:t>
            </w:r>
          </w:p>
        </w:tc>
        <w:tc>
          <w:tcPr>
            <w:tcW w:type="dxa" w:w="1062"/>
            <w:vMerge w:val="restart"/>
            <w:tcBorders/>
            <w:tcMar>
              <w:start w:w="0" w:type="dxa"/>
              <w:end w:w="0" w:type="dxa"/>
            </w:tcMar>
            <w:tcMar>
              <w:start w:w="0" w:type="dxa"/>
              <w:end w:w="0" w:type="dxa"/>
            </w:tcMar>
          </w:tcPr>
          <w:p>
            <w:pPr>
              <w:autoSpaceDN w:val="0"/>
              <w:autoSpaceDE w:val="0"/>
              <w:widowControl/>
              <w:spacing w:line="233" w:lineRule="auto" w:before="70" w:after="0"/>
              <w:ind w:left="0" w:right="2" w:firstLine="0"/>
              <w:jc w:val="right"/>
            </w:pPr>
            <w:r>
              <w:rPr>
                <w:rFonts w:ascii="Arial" w:hAnsi="Arial" w:eastAsia="Arial"/>
                <w:b w:val="0"/>
                <w:i w:val="0"/>
                <w:color w:val="000000"/>
                <w:sz w:val="14"/>
              </w:rPr>
              <w:t>8,723,414</w:t>
            </w:r>
          </w:p>
        </w:tc>
        <w:tc>
          <w:tcPr>
            <w:tcW w:type="dxa" w:w="1052"/>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w:t>
            </w:r>
          </w:p>
        </w:tc>
        <w:tc>
          <w:tcPr>
            <w:tcW w:type="dxa" w:w="1230"/>
            <w:vMerge w:val="restart"/>
            <w:tcBorders/>
            <w:tcMar>
              <w:start w:w="0" w:type="dxa"/>
              <w:end w:w="0" w:type="dxa"/>
            </w:tcMar>
            <w:tcMar>
              <w:start w:w="0" w:type="dxa"/>
              <w:end w:w="0" w:type="dxa"/>
            </w:tcMar>
          </w:tcPr>
          <w:p>
            <w:pPr>
              <w:autoSpaceDN w:val="0"/>
              <w:autoSpaceDE w:val="0"/>
              <w:widowControl/>
              <w:spacing w:line="233" w:lineRule="auto" w:before="70" w:after="0"/>
              <w:ind w:left="0" w:right="146" w:firstLine="0"/>
              <w:jc w:val="right"/>
            </w:pPr>
            <w:r>
              <w:rPr>
                <w:rFonts w:ascii="Arial" w:hAnsi="Arial" w:eastAsia="Arial"/>
                <w:b w:val="0"/>
                <w:i w:val="0"/>
                <w:color w:val="000000"/>
                <w:sz w:val="14"/>
              </w:rPr>
              <w:t>-</w:t>
            </w:r>
          </w:p>
        </w:tc>
        <w:tc>
          <w:tcPr>
            <w:tcW w:type="dxa" w:w="964"/>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w:t>
            </w:r>
          </w:p>
        </w:tc>
        <w:tc>
          <w:tcPr>
            <w:tcW w:type="dxa" w:w="1484"/>
            <w:vMerge w:val="restart"/>
            <w:tcBorders/>
            <w:tcMar>
              <w:start w:w="0" w:type="dxa"/>
              <w:end w:w="0" w:type="dxa"/>
            </w:tcMar>
            <w:tcMar>
              <w:start w:w="0" w:type="dxa"/>
              <w:end w:w="0" w:type="dxa"/>
            </w:tcMar>
          </w:tcPr>
          <w:p>
            <w:pPr>
              <w:autoSpaceDN w:val="0"/>
              <w:autoSpaceDE w:val="0"/>
              <w:widowControl/>
              <w:spacing w:line="233" w:lineRule="auto" w:before="70" w:after="0"/>
              <w:ind w:left="0" w:right="112" w:firstLine="0"/>
              <w:jc w:val="right"/>
            </w:pPr>
            <w:r>
              <w:rPr>
                <w:rFonts w:ascii="Arial" w:hAnsi="Arial" w:eastAsia="Arial"/>
                <w:b w:val="0"/>
                <w:i w:val="0"/>
                <w:color w:val="000000"/>
                <w:sz w:val="14"/>
              </w:rPr>
              <w:t>-</w:t>
            </w:r>
          </w:p>
        </w:tc>
        <w:tc>
          <w:tcPr>
            <w:tcW w:type="dxa" w:w="1288"/>
            <w:vMerge w:val="restart"/>
            <w:tcBorders/>
            <w:tcMar>
              <w:start w:w="0" w:type="dxa"/>
              <w:end w:w="0" w:type="dxa"/>
            </w:tcMar>
            <w:tcMar>
              <w:start w:w="0" w:type="dxa"/>
              <w:end w:w="0" w:type="dxa"/>
            </w:tcMar>
          </w:tcPr>
          <w:p>
            <w:pPr>
              <w:autoSpaceDN w:val="0"/>
              <w:autoSpaceDE w:val="0"/>
              <w:widowControl/>
              <w:spacing w:line="233" w:lineRule="auto" w:before="70" w:after="0"/>
              <w:ind w:left="0" w:right="170" w:firstLine="0"/>
              <w:jc w:val="right"/>
            </w:pPr>
            <w:r>
              <w:rPr>
                <w:rFonts w:ascii="Arial" w:hAnsi="Arial" w:eastAsia="Arial"/>
                <w:b w:val="0"/>
                <w:i w:val="0"/>
                <w:color w:val="000000"/>
                <w:sz w:val="14"/>
              </w:rPr>
              <w:t>-</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w:t>
            </w:r>
          </w:p>
        </w:tc>
        <w:tc>
          <w:tcPr>
            <w:tcW w:type="dxa" w:w="1304"/>
            <w:vMerge w:val="restart"/>
            <w:tcBorders/>
            <w:tcMar>
              <w:start w:w="0" w:type="dxa"/>
              <w:end w:w="0" w:type="dxa"/>
            </w:tcMar>
            <w:tcMar>
              <w:start w:w="0" w:type="dxa"/>
              <w:end w:w="0" w:type="dxa"/>
            </w:tcMar>
          </w:tcPr>
          <w:p>
            <w:pPr>
              <w:autoSpaceDN w:val="0"/>
              <w:autoSpaceDE w:val="0"/>
              <w:widowControl/>
              <w:spacing w:line="233" w:lineRule="auto" w:before="70" w:after="0"/>
              <w:ind w:left="0" w:right="170" w:firstLine="0"/>
              <w:jc w:val="right"/>
            </w:pPr>
            <w:r>
              <w:rPr>
                <w:rFonts w:ascii="Arial" w:hAnsi="Arial" w:eastAsia="Arial"/>
                <w:b w:val="0"/>
                <w:i w:val="0"/>
                <w:color w:val="000000"/>
                <w:sz w:val="14"/>
              </w:rPr>
              <w:t>-</w:t>
            </w:r>
          </w:p>
        </w:tc>
        <w:tc>
          <w:tcPr>
            <w:tcW w:type="dxa" w:w="1326"/>
            <w:vMerge w:val="restart"/>
            <w:tcBorders/>
            <w:tcMar>
              <w:start w:w="0" w:type="dxa"/>
              <w:end w:w="0" w:type="dxa"/>
            </w:tcMar>
            <w:tcMar>
              <w:start w:w="0" w:type="dxa"/>
              <w:end w:w="0" w:type="dxa"/>
            </w:tcMar>
          </w:tcPr>
          <w:p>
            <w:pPr>
              <w:autoSpaceDN w:val="0"/>
              <w:autoSpaceDE w:val="0"/>
              <w:widowControl/>
              <w:spacing w:line="233" w:lineRule="auto" w:before="70" w:after="0"/>
              <w:ind w:left="0" w:right="50" w:firstLine="0"/>
              <w:jc w:val="right"/>
            </w:pPr>
            <w:r>
              <w:rPr>
                <w:rFonts w:ascii="Arial" w:hAnsi="Arial" w:eastAsia="Arial"/>
                <w:b w:val="0"/>
                <w:i w:val="0"/>
                <w:color w:val="000000"/>
                <w:sz w:val="14"/>
              </w:rPr>
              <w:t xml:space="preserve">(1,456 ) </w:t>
            </w:r>
          </w:p>
        </w:tc>
        <w:tc>
          <w:tcPr>
            <w:tcW w:type="dxa" w:w="1074"/>
            <w:vMerge w:val="restart"/>
            <w:tcBorders/>
            <w:tcMar>
              <w:start w:w="0" w:type="dxa"/>
              <w:end w:w="0" w:type="dxa"/>
            </w:tcMar>
            <w:tcMar>
              <w:start w:w="0" w:type="dxa"/>
              <w:end w:w="0" w:type="dxa"/>
            </w:tcMar>
          </w:tcPr>
          <w:p>
            <w:pPr>
              <w:autoSpaceDN w:val="0"/>
              <w:autoSpaceDE w:val="0"/>
              <w:widowControl/>
              <w:spacing w:line="233" w:lineRule="auto" w:before="70" w:after="0"/>
              <w:ind w:left="0" w:right="0" w:firstLine="0"/>
              <w:jc w:val="right"/>
            </w:pPr>
            <w:r>
              <w:rPr>
                <w:rFonts w:ascii="Arial" w:hAnsi="Arial" w:eastAsia="Arial"/>
                <w:b w:val="0"/>
                <w:i w:val="0"/>
                <w:color w:val="000000"/>
                <w:sz w:val="14"/>
              </w:rPr>
              <w:t>8,721,958</w:t>
            </w:r>
          </w:p>
        </w:tc>
      </w:tr>
      <w:tr>
        <w:trPr>
          <w:trHeight w:hRule="exact" w:val="52"/>
        </w:trPr>
        <w:tc>
          <w:tcPr>
            <w:tcW w:type="dxa" w:w="1878"/>
            <w:vMerge w:val="restart"/>
            <w:tcBorders/>
            <w:tcMar>
              <w:start w:w="0" w:type="dxa"/>
              <w:end w:w="0" w:type="dxa"/>
            </w:tcMar>
            <w:tcMar>
              <w:start w:w="0" w:type="dxa"/>
              <w:end w:w="0" w:type="dxa"/>
            </w:tcMar>
          </w:tcPr>
          <w:p>
            <w:pPr>
              <w:autoSpaceDN w:val="0"/>
              <w:autoSpaceDE w:val="0"/>
              <w:widowControl/>
              <w:spacing w:line="140" w:lineRule="exact" w:before="70" w:after="0"/>
              <w:ind w:left="0" w:right="0" w:firstLine="0"/>
              <w:jc w:val="left"/>
            </w:pPr>
            <w:r>
              <w:rPr>
                <w:rFonts w:ascii="黑体" w:hAnsi="黑体" w:eastAsia="黑体"/>
                <w:b w:val="0"/>
                <w:i w:val="0"/>
                <w:color w:val="000000"/>
                <w:sz w:val="14"/>
              </w:rPr>
              <w:t>其他债权投资</w:t>
            </w: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c>
          <w:tcPr>
            <w:tcW w:type="dxa" w:w="1272"/>
            <w:vMerge/>
            <w:tcBorders/>
          </w:tcPr>
          <w:p/>
        </w:tc>
      </w:tr>
      <w:tr>
        <w:trPr>
          <w:trHeight w:hRule="exact" w:val="168"/>
        </w:trPr>
        <w:tc>
          <w:tcPr>
            <w:tcW w:type="dxa" w:w="1272"/>
            <w:vMerge/>
            <w:tcBorders/>
          </w:tcPr>
          <w:p/>
        </w:tc>
        <w:tc>
          <w:tcPr>
            <w:tcW w:type="dxa" w:w="1062"/>
            <w:tcBorders/>
            <w:tcMar>
              <w:start w:w="0" w:type="dxa"/>
              <w:end w:w="0" w:type="dxa"/>
            </w:tcMar>
          </w:tcPr>
          <w:p>
            <w:pPr>
              <w:autoSpaceDN w:val="0"/>
              <w:autoSpaceDE w:val="0"/>
              <w:widowControl/>
              <w:spacing w:line="233" w:lineRule="auto" w:before="12" w:after="0"/>
              <w:ind w:left="0" w:right="2" w:firstLine="0"/>
              <w:jc w:val="right"/>
            </w:pPr>
            <w:r>
              <w:rPr>
                <w:rFonts w:ascii="Arial" w:hAnsi="Arial" w:eastAsia="Arial"/>
                <w:b w:val="0"/>
                <w:i w:val="0"/>
                <w:color w:val="000000"/>
                <w:sz w:val="14"/>
              </w:rPr>
              <w:t>3,732,580</w:t>
            </w:r>
          </w:p>
        </w:tc>
        <w:tc>
          <w:tcPr>
            <w:tcW w:type="dxa" w:w="1052"/>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3" w:lineRule="auto" w:before="12" w:after="0"/>
              <w:ind w:left="0" w:right="146"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484"/>
            <w:tcBorders/>
            <w:tcMar>
              <w:start w:w="0" w:type="dxa"/>
              <w:end w:w="0" w:type="dxa"/>
            </w:tcMar>
          </w:tcPr>
          <w:p>
            <w:pPr>
              <w:autoSpaceDN w:val="0"/>
              <w:autoSpaceDE w:val="0"/>
              <w:widowControl/>
              <w:spacing w:line="233" w:lineRule="auto" w:before="12" w:after="0"/>
              <w:ind w:left="0" w:right="112" w:firstLine="0"/>
              <w:jc w:val="right"/>
            </w:pPr>
            <w:r>
              <w:rPr>
                <w:rFonts w:ascii="Arial" w:hAnsi="Arial" w:eastAsia="Arial"/>
                <w:b w:val="0"/>
                <w:i w:val="0"/>
                <w:color w:val="000000"/>
                <w:sz w:val="14"/>
              </w:rPr>
              <w:t>-</w:t>
            </w:r>
          </w:p>
        </w:tc>
        <w:tc>
          <w:tcPr>
            <w:tcW w:type="dxa" w:w="1288"/>
            <w:tcBorders/>
            <w:tcMar>
              <w:start w:w="0" w:type="dxa"/>
              <w:end w:w="0" w:type="dxa"/>
            </w:tcMar>
          </w:tcPr>
          <w:p>
            <w:pPr>
              <w:autoSpaceDN w:val="0"/>
              <w:autoSpaceDE w:val="0"/>
              <w:widowControl/>
              <w:spacing w:line="233" w:lineRule="auto" w:before="12" w:after="0"/>
              <w:ind w:left="0" w:right="17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3" w:lineRule="auto" w:before="12" w:after="0"/>
              <w:ind w:left="0" w:right="170" w:firstLine="0"/>
              <w:jc w:val="right"/>
            </w:pPr>
            <w:r>
              <w:rPr>
                <w:rFonts w:ascii="Arial" w:hAnsi="Arial" w:eastAsia="Arial"/>
                <w:b w:val="0"/>
                <w:i w:val="0"/>
                <w:color w:val="000000"/>
                <w:sz w:val="14"/>
              </w:rPr>
              <w:t>-</w:t>
            </w:r>
          </w:p>
        </w:tc>
        <w:tc>
          <w:tcPr>
            <w:tcW w:type="dxa" w:w="1326"/>
            <w:tcBorders/>
            <w:tcMar>
              <w:start w:w="0" w:type="dxa"/>
              <w:end w:w="0" w:type="dxa"/>
            </w:tcMar>
          </w:tcPr>
          <w:p>
            <w:pPr>
              <w:autoSpaceDN w:val="0"/>
              <w:autoSpaceDE w:val="0"/>
              <w:widowControl/>
              <w:spacing w:line="233" w:lineRule="auto" w:before="12" w:after="0"/>
              <w:ind w:left="0" w:right="96" w:firstLine="0"/>
              <w:jc w:val="right"/>
            </w:pPr>
            <w:r>
              <w:rPr>
                <w:rFonts w:ascii="Arial" w:hAnsi="Arial" w:eastAsia="Arial"/>
                <w:b w:val="0"/>
                <w:i w:val="0"/>
                <w:color w:val="000000"/>
                <w:sz w:val="14"/>
              </w:rPr>
              <w:t xml:space="preserve">- </w:t>
            </w:r>
          </w:p>
        </w:tc>
        <w:tc>
          <w:tcPr>
            <w:tcW w:type="dxa" w:w="1074"/>
            <w:tcBorders/>
            <w:tcMar>
              <w:start w:w="0" w:type="dxa"/>
              <w:end w:w="0" w:type="dxa"/>
            </w:tcMar>
          </w:tcPr>
          <w:p>
            <w:pPr>
              <w:autoSpaceDN w:val="0"/>
              <w:autoSpaceDE w:val="0"/>
              <w:widowControl/>
              <w:spacing w:line="233" w:lineRule="auto" w:before="12" w:after="0"/>
              <w:ind w:left="0" w:right="0" w:firstLine="0"/>
              <w:jc w:val="right"/>
            </w:pPr>
            <w:r>
              <w:rPr>
                <w:rFonts w:ascii="Arial" w:hAnsi="Arial" w:eastAsia="Arial"/>
                <w:b w:val="0"/>
                <w:i w:val="0"/>
                <w:color w:val="000000"/>
                <w:sz w:val="14"/>
              </w:rPr>
              <w:t>3,732,580</w:t>
            </w:r>
          </w:p>
        </w:tc>
      </w:tr>
      <w:tr>
        <w:trPr>
          <w:trHeight w:hRule="exact" w:val="200"/>
        </w:trPr>
        <w:tc>
          <w:tcPr>
            <w:tcW w:type="dxa" w:w="1878"/>
            <w:tcBorders/>
            <w:tcMar>
              <w:start w:w="0" w:type="dxa"/>
              <w:end w:w="0" w:type="dxa"/>
            </w:tcMar>
          </w:tcPr>
          <w:p>
            <w:pPr>
              <w:autoSpaceDN w:val="0"/>
              <w:autoSpaceDE w:val="0"/>
              <w:widowControl/>
              <w:spacing w:line="138" w:lineRule="exact" w:before="60" w:after="0"/>
              <w:ind w:left="0" w:right="0" w:firstLine="0"/>
              <w:jc w:val="left"/>
            </w:pPr>
            <w:r>
              <w:rPr>
                <w:rFonts w:ascii="黑体" w:hAnsi="黑体" w:eastAsia="黑体"/>
                <w:b w:val="0"/>
                <w:i w:val="0"/>
                <w:color w:val="000000"/>
                <w:sz w:val="14"/>
              </w:rPr>
              <w:t>其他权益工具投资</w:t>
            </w:r>
          </w:p>
        </w:tc>
        <w:tc>
          <w:tcPr>
            <w:tcW w:type="dxa" w:w="1062"/>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243,176,141</w:t>
            </w:r>
          </w:p>
        </w:tc>
        <w:tc>
          <w:tcPr>
            <w:tcW w:type="dxa" w:w="1052"/>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230"/>
            <w:tcBorders/>
            <w:tcMar>
              <w:start w:w="0" w:type="dxa"/>
              <w:end w:w="0" w:type="dxa"/>
            </w:tcMar>
          </w:tcPr>
          <w:p>
            <w:pPr>
              <w:autoSpaceDN w:val="0"/>
              <w:autoSpaceDE w:val="0"/>
              <w:widowControl/>
              <w:spacing w:line="233" w:lineRule="auto" w:before="44" w:after="0"/>
              <w:ind w:left="0" w:right="146" w:firstLine="0"/>
              <w:jc w:val="right"/>
            </w:pPr>
            <w:r>
              <w:rPr>
                <w:rFonts w:ascii="Arial" w:hAnsi="Arial" w:eastAsia="Arial"/>
                <w:b w:val="0"/>
                <w:i w:val="0"/>
                <w:color w:val="000000"/>
                <w:sz w:val="14"/>
              </w:rPr>
              <w:t>-</w:t>
            </w:r>
          </w:p>
        </w:tc>
        <w:tc>
          <w:tcPr>
            <w:tcW w:type="dxa" w:w="964"/>
            <w:tcBorders/>
            <w:tcMar>
              <w:start w:w="0" w:type="dxa"/>
              <w:end w:w="0" w:type="dxa"/>
            </w:tcMar>
          </w:tcPr>
          <w:p>
            <w:pPr>
              <w:autoSpaceDN w:val="0"/>
              <w:autoSpaceDE w:val="0"/>
              <w:widowControl/>
              <w:spacing w:line="233" w:lineRule="auto" w:before="44" w:after="0"/>
              <w:ind w:left="0" w:right="2" w:firstLine="0"/>
              <w:jc w:val="right"/>
            </w:pPr>
            <w:r>
              <w:rPr>
                <w:rFonts w:ascii="Arial" w:hAnsi="Arial" w:eastAsia="Arial"/>
                <w:b w:val="0"/>
                <w:i w:val="0"/>
                <w:color w:val="000000"/>
                <w:sz w:val="14"/>
              </w:rPr>
              <w:t>200,000</w:t>
            </w:r>
          </w:p>
        </w:tc>
        <w:tc>
          <w:tcPr>
            <w:tcW w:type="dxa" w:w="1484"/>
            <w:tcBorders/>
            <w:tcMar>
              <w:start w:w="0" w:type="dxa"/>
              <w:end w:w="0" w:type="dxa"/>
            </w:tcMar>
          </w:tcPr>
          <w:p>
            <w:pPr>
              <w:autoSpaceDN w:val="0"/>
              <w:autoSpaceDE w:val="0"/>
              <w:widowControl/>
              <w:spacing w:line="233" w:lineRule="auto" w:before="44" w:after="0"/>
              <w:ind w:left="0" w:right="32" w:firstLine="0"/>
              <w:jc w:val="right"/>
            </w:pPr>
            <w:r>
              <w:rPr>
                <w:rFonts w:ascii="Arial" w:hAnsi="Arial" w:eastAsia="Arial"/>
                <w:b w:val="0"/>
                <w:i w:val="0"/>
                <w:color w:val="000000"/>
                <w:sz w:val="14"/>
              </w:rPr>
              <w:t xml:space="preserve">(13,538,079) </w:t>
            </w:r>
          </w:p>
        </w:tc>
        <w:tc>
          <w:tcPr>
            <w:tcW w:type="dxa" w:w="1288"/>
            <w:tcBorders/>
            <w:tcMar>
              <w:start w:w="0" w:type="dxa"/>
              <w:end w:w="0" w:type="dxa"/>
            </w:tcMar>
          </w:tcPr>
          <w:p>
            <w:pPr>
              <w:autoSpaceDN w:val="0"/>
              <w:autoSpaceDE w:val="0"/>
              <w:widowControl/>
              <w:spacing w:line="233" w:lineRule="auto" w:before="44" w:after="0"/>
              <w:ind w:left="0" w:right="172" w:firstLine="0"/>
              <w:jc w:val="right"/>
            </w:pPr>
            <w:r>
              <w:rPr>
                <w:rFonts w:ascii="Arial" w:hAnsi="Arial" w:eastAsia="Arial"/>
                <w:b w:val="0"/>
                <w:i w:val="0"/>
                <w:color w:val="000000"/>
                <w:sz w:val="14"/>
              </w:rPr>
              <w:t>6,250,000</w:t>
            </w:r>
          </w:p>
        </w:tc>
        <w:tc>
          <w:tcPr>
            <w:tcW w:type="dxa" w:w="1308"/>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w:t>
            </w:r>
          </w:p>
        </w:tc>
        <w:tc>
          <w:tcPr>
            <w:tcW w:type="dxa" w:w="1304"/>
            <w:tcBorders/>
            <w:tcMar>
              <w:start w:w="0" w:type="dxa"/>
              <w:end w:w="0" w:type="dxa"/>
            </w:tcMar>
          </w:tcPr>
          <w:p>
            <w:pPr>
              <w:autoSpaceDN w:val="0"/>
              <w:autoSpaceDE w:val="0"/>
              <w:widowControl/>
              <w:spacing w:line="235" w:lineRule="auto" w:before="0" w:after="0"/>
              <w:ind w:left="0" w:right="60" w:firstLine="0"/>
              <w:jc w:val="right"/>
            </w:pPr>
            <w:r>
              <w:rPr>
                <w:rFonts w:ascii="Arial" w:hAnsi="Arial" w:eastAsia="Arial"/>
                <w:b w:val="0"/>
                <w:i w:val="0"/>
                <w:color w:val="000000"/>
                <w:sz w:val="14"/>
              </w:rPr>
              <w:t>(217,547</w:t>
            </w:r>
            <w:r>
              <w:rPr>
                <w:rFonts w:ascii="Arial" w:hAnsi="Arial" w:eastAsia="Arial"/>
                <w:b w:val="0"/>
                <w:i w:val="0"/>
                <w:color w:val="000000"/>
                <w:sz w:val="18"/>
              </w:rPr>
              <w:t xml:space="preserve">) </w:t>
            </w:r>
          </w:p>
        </w:tc>
        <w:tc>
          <w:tcPr>
            <w:tcW w:type="dxa" w:w="1326"/>
            <w:tcBorders/>
            <w:tcMar>
              <w:start w:w="0" w:type="dxa"/>
              <w:end w:w="0" w:type="dxa"/>
            </w:tcMar>
          </w:tcPr>
          <w:p>
            <w:pPr>
              <w:autoSpaceDN w:val="0"/>
              <w:autoSpaceDE w:val="0"/>
              <w:widowControl/>
              <w:spacing w:line="233" w:lineRule="auto" w:before="44" w:after="0"/>
              <w:ind w:left="0" w:right="50" w:firstLine="0"/>
              <w:jc w:val="right"/>
            </w:pPr>
            <w:r>
              <w:rPr>
                <w:rFonts w:ascii="Arial" w:hAnsi="Arial" w:eastAsia="Arial"/>
                <w:b w:val="0"/>
                <w:i w:val="0"/>
                <w:color w:val="000000"/>
                <w:sz w:val="14"/>
              </w:rPr>
              <w:t xml:space="preserve">(567,698 ) </w:t>
            </w:r>
          </w:p>
        </w:tc>
        <w:tc>
          <w:tcPr>
            <w:tcW w:type="dxa" w:w="1074"/>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4"/>
              </w:rPr>
              <w:t>235,302,817</w:t>
            </w:r>
          </w:p>
        </w:tc>
      </w:tr>
      <w:tr>
        <w:trPr>
          <w:trHeight w:hRule="exact" w:val="232"/>
        </w:trPr>
        <w:tc>
          <w:tcPr>
            <w:tcW w:type="dxa" w:w="1878"/>
            <w:tcBorders>
              <w:bottom w:sz="4.0" w:val="single" w:color="#000000"/>
            </w:tcBorders>
            <w:tcMar>
              <w:start w:w="0" w:type="dxa"/>
              <w:end w:w="0" w:type="dxa"/>
            </w:tcMar>
          </w:tcPr>
          <w:p>
            <w:pPr>
              <w:autoSpaceDN w:val="0"/>
              <w:autoSpaceDE w:val="0"/>
              <w:widowControl/>
              <w:spacing w:line="140" w:lineRule="exact" w:before="66" w:after="0"/>
              <w:ind w:left="0" w:right="0" w:firstLine="0"/>
              <w:jc w:val="left"/>
            </w:pPr>
            <w:r>
              <w:rPr>
                <w:rFonts w:ascii="黑体" w:hAnsi="黑体" w:eastAsia="黑体"/>
                <w:b w:val="0"/>
                <w:i w:val="0"/>
                <w:color w:val="000000"/>
                <w:sz w:val="14"/>
              </w:rPr>
              <w:t>衍生金融资产</w:t>
            </w:r>
          </w:p>
        </w:tc>
        <w:tc>
          <w:tcPr>
            <w:tcW w:type="dxa" w:w="1062"/>
            <w:tcBorders>
              <w:bottom w:sz="4.0" w:val="single" w:color="#000000"/>
            </w:tcBorders>
            <w:tcMar>
              <w:start w:w="0" w:type="dxa"/>
              <w:end w:w="0" w:type="dxa"/>
            </w:tcMar>
          </w:tcPr>
          <w:p>
            <w:pPr>
              <w:autoSpaceDN w:val="0"/>
              <w:autoSpaceDE w:val="0"/>
              <w:widowControl/>
              <w:spacing w:line="230" w:lineRule="auto" w:before="72" w:after="0"/>
              <w:ind w:left="0" w:right="2" w:firstLine="0"/>
              <w:jc w:val="right"/>
            </w:pPr>
            <w:r>
              <w:rPr>
                <w:rFonts w:ascii="Arial" w:hAnsi="Arial" w:eastAsia="Arial"/>
                <w:b w:val="0"/>
                <w:i w:val="0"/>
                <w:color w:val="000000"/>
                <w:sz w:val="14"/>
              </w:rPr>
              <w:t>133,481,378</w:t>
            </w:r>
          </w:p>
        </w:tc>
        <w:tc>
          <w:tcPr>
            <w:tcW w:type="dxa" w:w="1052"/>
            <w:tcBorders>
              <w:bottom w:sz="4.0" w:val="single" w:color="#000000"/>
            </w:tcBorders>
            <w:tcMar>
              <w:start w:w="0" w:type="dxa"/>
              <w:end w:w="0" w:type="dxa"/>
            </w:tcMar>
          </w:tcPr>
          <w:p>
            <w:pPr>
              <w:autoSpaceDN w:val="0"/>
              <w:autoSpaceDE w:val="0"/>
              <w:widowControl/>
              <w:spacing w:line="230" w:lineRule="auto" w:before="72" w:after="0"/>
              <w:ind w:left="0" w:right="0" w:firstLine="0"/>
              <w:jc w:val="right"/>
            </w:pPr>
            <w:r>
              <w:rPr>
                <w:rFonts w:ascii="Arial" w:hAnsi="Arial" w:eastAsia="Arial"/>
                <w:b w:val="0"/>
                <w:i w:val="0"/>
                <w:color w:val="000000"/>
                <w:sz w:val="14"/>
              </w:rPr>
              <w:t>-</w:t>
            </w:r>
          </w:p>
        </w:tc>
        <w:tc>
          <w:tcPr>
            <w:tcW w:type="dxa" w:w="1230"/>
            <w:tcBorders>
              <w:bottom w:sz="4.0" w:val="single" w:color="#000000"/>
            </w:tcBorders>
            <w:tcMar>
              <w:start w:w="0" w:type="dxa"/>
              <w:end w:w="0" w:type="dxa"/>
            </w:tcMar>
          </w:tcPr>
          <w:p>
            <w:pPr>
              <w:autoSpaceDN w:val="0"/>
              <w:autoSpaceDE w:val="0"/>
              <w:widowControl/>
              <w:spacing w:line="230" w:lineRule="auto" w:before="72" w:after="0"/>
              <w:ind w:left="0" w:right="146" w:firstLine="0"/>
              <w:jc w:val="right"/>
            </w:pPr>
            <w:r>
              <w:rPr>
                <w:rFonts w:ascii="Arial" w:hAnsi="Arial" w:eastAsia="Arial"/>
                <w:b w:val="0"/>
                <w:i w:val="0"/>
                <w:color w:val="000000"/>
                <w:sz w:val="14"/>
              </w:rPr>
              <w:t>-</w:t>
            </w:r>
          </w:p>
        </w:tc>
        <w:tc>
          <w:tcPr>
            <w:tcW w:type="dxa" w:w="964"/>
            <w:tcBorders>
              <w:bottom w:sz="4.0" w:val="single" w:color="#000000"/>
            </w:tcBorders>
            <w:tcMar>
              <w:start w:w="0" w:type="dxa"/>
              <w:end w:w="0" w:type="dxa"/>
            </w:tcMar>
          </w:tcPr>
          <w:p>
            <w:pPr>
              <w:autoSpaceDN w:val="0"/>
              <w:autoSpaceDE w:val="0"/>
              <w:widowControl/>
              <w:spacing w:line="230" w:lineRule="auto" w:before="72" w:after="0"/>
              <w:ind w:left="0" w:right="2" w:firstLine="0"/>
              <w:jc w:val="right"/>
            </w:pPr>
            <w:r>
              <w:rPr>
                <w:rFonts w:ascii="Arial" w:hAnsi="Arial" w:eastAsia="Arial"/>
                <w:b w:val="0"/>
                <w:i w:val="0"/>
                <w:color w:val="000000"/>
                <w:sz w:val="14"/>
              </w:rPr>
              <w:t>17,293,909</w:t>
            </w:r>
          </w:p>
        </w:tc>
        <w:tc>
          <w:tcPr>
            <w:tcW w:type="dxa" w:w="1484"/>
            <w:tcBorders>
              <w:bottom w:sz="4.0" w:val="single" w:color="#000000"/>
            </w:tcBorders>
            <w:tcMar>
              <w:start w:w="0" w:type="dxa"/>
              <w:end w:w="0" w:type="dxa"/>
            </w:tcMar>
          </w:tcPr>
          <w:p>
            <w:pPr>
              <w:autoSpaceDN w:val="0"/>
              <w:autoSpaceDE w:val="0"/>
              <w:widowControl/>
              <w:spacing w:line="230" w:lineRule="auto" w:before="72" w:after="0"/>
              <w:ind w:left="0" w:right="116" w:firstLine="0"/>
              <w:jc w:val="right"/>
            </w:pPr>
            <w:r>
              <w:rPr>
                <w:rFonts w:ascii="Arial" w:hAnsi="Arial" w:eastAsia="Arial"/>
                <w:b w:val="0"/>
                <w:i w:val="0"/>
                <w:color w:val="000000"/>
                <w:sz w:val="14"/>
              </w:rPr>
              <w:t>19,408,973</w:t>
            </w:r>
          </w:p>
        </w:tc>
        <w:tc>
          <w:tcPr>
            <w:tcW w:type="dxa" w:w="1288"/>
            <w:tcBorders>
              <w:bottom w:sz="4.0" w:val="single" w:color="#000000"/>
            </w:tcBorders>
            <w:tcMar>
              <w:start w:w="0" w:type="dxa"/>
              <w:end w:w="0" w:type="dxa"/>
            </w:tcMar>
          </w:tcPr>
          <w:p>
            <w:pPr>
              <w:autoSpaceDN w:val="0"/>
              <w:autoSpaceDE w:val="0"/>
              <w:widowControl/>
              <w:spacing w:line="230" w:lineRule="auto" w:before="72" w:after="0"/>
              <w:ind w:left="0" w:right="172" w:firstLine="0"/>
              <w:jc w:val="right"/>
            </w:pPr>
            <w:r>
              <w:rPr>
                <w:rFonts w:ascii="Arial" w:hAnsi="Arial" w:eastAsia="Arial"/>
                <w:b w:val="0"/>
                <w:i w:val="0"/>
                <w:color w:val="000000"/>
                <w:sz w:val="14"/>
              </w:rPr>
              <w:t>66,872,627</w:t>
            </w:r>
          </w:p>
        </w:tc>
        <w:tc>
          <w:tcPr>
            <w:tcW w:type="dxa" w:w="1308"/>
            <w:tcBorders>
              <w:bottom w:sz="4.0" w:val="single" w:color="#000000"/>
            </w:tcBorders>
            <w:tcMar>
              <w:start w:w="0" w:type="dxa"/>
              <w:end w:w="0" w:type="dxa"/>
            </w:tcMar>
          </w:tcPr>
          <w:p>
            <w:pPr>
              <w:autoSpaceDN w:val="0"/>
              <w:autoSpaceDE w:val="0"/>
              <w:widowControl/>
              <w:spacing w:line="230" w:lineRule="auto" w:before="72" w:after="0"/>
              <w:ind w:left="0" w:right="0" w:firstLine="0"/>
              <w:jc w:val="right"/>
            </w:pPr>
            <w:r>
              <w:rPr>
                <w:rFonts w:ascii="Arial" w:hAnsi="Arial" w:eastAsia="Arial"/>
                <w:b w:val="0"/>
                <w:i w:val="0"/>
                <w:color w:val="000000"/>
                <w:sz w:val="14"/>
              </w:rPr>
              <w:t>-</w:t>
            </w:r>
          </w:p>
        </w:tc>
        <w:tc>
          <w:tcPr>
            <w:tcW w:type="dxa" w:w="1304"/>
            <w:tcBorders>
              <w:bottom w:sz="4.0" w:val="single" w:color="#000000"/>
            </w:tcBorders>
            <w:tcMar>
              <w:start w:w="0" w:type="dxa"/>
              <w:end w:w="0" w:type="dxa"/>
            </w:tcMar>
          </w:tcPr>
          <w:p>
            <w:pPr>
              <w:autoSpaceDN w:val="0"/>
              <w:autoSpaceDE w:val="0"/>
              <w:widowControl/>
              <w:spacing w:line="230" w:lineRule="auto" w:before="72" w:after="0"/>
              <w:ind w:left="0" w:right="170" w:firstLine="0"/>
              <w:jc w:val="right"/>
            </w:pPr>
            <w:r>
              <w:rPr>
                <w:rFonts w:ascii="Arial" w:hAnsi="Arial" w:eastAsia="Arial"/>
                <w:b w:val="0"/>
                <w:i w:val="0"/>
                <w:color w:val="000000"/>
                <w:sz w:val="14"/>
              </w:rPr>
              <w:t>-</w:t>
            </w:r>
          </w:p>
        </w:tc>
        <w:tc>
          <w:tcPr>
            <w:tcW w:type="dxa" w:w="1326"/>
            <w:tcBorders>
              <w:bottom w:sz="4.0" w:val="single" w:color="#000000"/>
            </w:tcBorders>
            <w:tcMar>
              <w:start w:w="0" w:type="dxa"/>
              <w:end w:w="0" w:type="dxa"/>
            </w:tcMar>
          </w:tcPr>
          <w:p>
            <w:pPr>
              <w:autoSpaceDN w:val="0"/>
              <w:autoSpaceDE w:val="0"/>
              <w:widowControl/>
              <w:spacing w:line="230" w:lineRule="auto" w:before="72" w:after="0"/>
              <w:ind w:left="0" w:right="50" w:firstLine="0"/>
              <w:jc w:val="right"/>
            </w:pPr>
            <w:r>
              <w:rPr>
                <w:rFonts w:ascii="Arial" w:hAnsi="Arial" w:eastAsia="Arial"/>
                <w:b w:val="0"/>
                <w:i w:val="0"/>
                <w:color w:val="000000"/>
                <w:sz w:val="14"/>
              </w:rPr>
              <w:t xml:space="preserve">(82,831,414 ) </w:t>
            </w:r>
          </w:p>
        </w:tc>
        <w:tc>
          <w:tcPr>
            <w:tcW w:type="dxa" w:w="1074"/>
            <w:tcBorders>
              <w:bottom w:sz="4.0" w:val="single" w:color="#000000"/>
            </w:tcBorders>
            <w:tcMar>
              <w:start w:w="0" w:type="dxa"/>
              <w:end w:w="0" w:type="dxa"/>
            </w:tcMar>
          </w:tcPr>
          <w:p>
            <w:pPr>
              <w:autoSpaceDN w:val="0"/>
              <w:autoSpaceDE w:val="0"/>
              <w:widowControl/>
              <w:spacing w:line="230" w:lineRule="auto" w:before="72" w:after="0"/>
              <w:ind w:left="0" w:right="0" w:firstLine="0"/>
              <w:jc w:val="right"/>
            </w:pPr>
            <w:r>
              <w:rPr>
                <w:rFonts w:ascii="Arial" w:hAnsi="Arial" w:eastAsia="Arial"/>
                <w:b w:val="0"/>
                <w:i w:val="0"/>
                <w:color w:val="000000"/>
                <w:sz w:val="14"/>
              </w:rPr>
              <w:t>154,225,473</w:t>
            </w:r>
          </w:p>
        </w:tc>
      </w:tr>
      <w:tr>
        <w:trPr>
          <w:trHeight w:hRule="exact" w:val="426"/>
        </w:trPr>
        <w:tc>
          <w:tcPr>
            <w:tcW w:type="dxa" w:w="1878"/>
            <w:tcBorders>
              <w:top w:sz="4.0" w:val="single" w:color="#000000"/>
              <w:bottom w:sz="3.200000000000273" w:val="single" w:color="#000000"/>
            </w:tcBorders>
            <w:tcMar>
              <w:start w:w="0" w:type="dxa"/>
              <w:end w:w="0" w:type="dxa"/>
            </w:tcMar>
          </w:tcPr>
          <w:p>
            <w:pPr>
              <w:autoSpaceDN w:val="0"/>
              <w:autoSpaceDE w:val="0"/>
              <w:widowControl/>
              <w:spacing w:line="140" w:lineRule="exact" w:before="252" w:after="0"/>
              <w:ind w:left="0" w:right="0" w:firstLine="0"/>
              <w:jc w:val="center"/>
            </w:pPr>
            <w:r>
              <w:rPr>
                <w:rFonts w:ascii="黑体" w:hAnsi="黑体" w:eastAsia="黑体"/>
                <w:b w:val="0"/>
                <w:i w:val="0"/>
                <w:color w:val="000000"/>
                <w:sz w:val="14"/>
              </w:rPr>
              <w:t>持续以公允价值计量资产总计</w:t>
            </w:r>
          </w:p>
        </w:tc>
        <w:tc>
          <w:tcPr>
            <w:tcW w:type="dxa" w:w="1062"/>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168" w:right="0" w:firstLine="0"/>
              <w:jc w:val="left"/>
            </w:pPr>
            <w:r>
              <w:rPr>
                <w:rFonts w:ascii="Arial" w:hAnsi="Arial" w:eastAsia="Arial"/>
                <w:b w:val="0"/>
                <w:i w:val="0"/>
                <w:color w:val="000000"/>
                <w:sz w:val="14"/>
              </w:rPr>
              <w:t>2,407,944,456</w:t>
            </w:r>
          </w:p>
        </w:tc>
        <w:tc>
          <w:tcPr>
            <w:tcW w:type="dxa" w:w="1052"/>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2" w:firstLine="0"/>
              <w:jc w:val="right"/>
            </w:pPr>
            <w:r>
              <w:rPr>
                <w:rFonts w:ascii="Arial" w:hAnsi="Arial" w:eastAsia="Arial"/>
                <w:b w:val="0"/>
                <w:i w:val="0"/>
                <w:color w:val="000000"/>
                <w:sz w:val="14"/>
              </w:rPr>
              <w:t>250,674,076</w:t>
            </w:r>
          </w:p>
        </w:tc>
        <w:tc>
          <w:tcPr>
            <w:tcW w:type="dxa" w:w="1230"/>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258" w:right="0" w:firstLine="0"/>
              <w:jc w:val="left"/>
            </w:pPr>
            <w:r>
              <w:rPr>
                <w:rFonts w:ascii="Arial" w:hAnsi="Arial" w:eastAsia="Arial"/>
                <w:b w:val="0"/>
                <w:i w:val="0"/>
                <w:color w:val="000000"/>
                <w:sz w:val="14"/>
              </w:rPr>
              <w:t xml:space="preserve">(282,405,262) </w:t>
            </w:r>
          </w:p>
        </w:tc>
        <w:tc>
          <w:tcPr>
            <w:tcW w:type="dxa" w:w="96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2" w:firstLine="0"/>
              <w:jc w:val="right"/>
            </w:pPr>
            <w:r>
              <w:rPr>
                <w:rFonts w:ascii="Arial" w:hAnsi="Arial" w:eastAsia="Arial"/>
                <w:b w:val="0"/>
                <w:i w:val="0"/>
                <w:color w:val="000000"/>
                <w:sz w:val="14"/>
              </w:rPr>
              <w:t>76,542,033</w:t>
            </w:r>
          </w:p>
        </w:tc>
        <w:tc>
          <w:tcPr>
            <w:tcW w:type="dxa" w:w="148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116" w:firstLine="0"/>
              <w:jc w:val="right"/>
            </w:pPr>
            <w:r>
              <w:rPr>
                <w:rFonts w:ascii="Arial" w:hAnsi="Arial" w:eastAsia="Arial"/>
                <w:b w:val="0"/>
                <w:i w:val="0"/>
                <w:color w:val="000000"/>
                <w:sz w:val="14"/>
              </w:rPr>
              <w:t>5,870,894</w:t>
            </w:r>
          </w:p>
        </w:tc>
        <w:tc>
          <w:tcPr>
            <w:tcW w:type="dxa" w:w="1288"/>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172" w:firstLine="0"/>
              <w:jc w:val="right"/>
            </w:pPr>
            <w:r>
              <w:rPr>
                <w:rFonts w:ascii="Arial" w:hAnsi="Arial" w:eastAsia="Arial"/>
                <w:b w:val="0"/>
                <w:i w:val="0"/>
                <w:color w:val="000000"/>
                <w:sz w:val="14"/>
              </w:rPr>
              <w:t>422,246,353</w:t>
            </w:r>
          </w:p>
        </w:tc>
        <w:tc>
          <w:tcPr>
            <w:tcW w:type="dxa" w:w="1308"/>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0" w:firstLine="0"/>
              <w:jc w:val="right"/>
            </w:pPr>
            <w:r>
              <w:rPr>
                <w:rFonts w:ascii="Arial" w:hAnsi="Arial" w:eastAsia="Arial"/>
                <w:b w:val="0"/>
                <w:i w:val="0"/>
                <w:color w:val="000000"/>
                <w:sz w:val="14"/>
              </w:rPr>
              <w:t>-</w:t>
            </w:r>
          </w:p>
        </w:tc>
        <w:tc>
          <w:tcPr>
            <w:tcW w:type="dxa" w:w="1304"/>
            <w:tcBorders>
              <w:top w:sz="4.0" w:val="single" w:color="#000000"/>
              <w:bottom w:sz="3.200000000000273" w:val="single" w:color="#000000"/>
            </w:tcBorders>
            <w:tcMar>
              <w:start w:w="0" w:type="dxa"/>
              <w:end w:w="0" w:type="dxa"/>
            </w:tcMar>
          </w:tcPr>
          <w:p>
            <w:pPr>
              <w:autoSpaceDN w:val="0"/>
              <w:autoSpaceDE w:val="0"/>
              <w:widowControl/>
              <w:spacing w:line="233" w:lineRule="auto" w:before="212" w:after="0"/>
              <w:ind w:left="0" w:right="60" w:firstLine="0"/>
              <w:jc w:val="right"/>
            </w:pPr>
            <w:r>
              <w:rPr>
                <w:rFonts w:ascii="Arial" w:hAnsi="Arial" w:eastAsia="Arial"/>
                <w:b w:val="0"/>
                <w:i w:val="0"/>
                <w:color w:val="000000"/>
                <w:sz w:val="14"/>
              </w:rPr>
              <w:t>(217,547</w:t>
            </w:r>
            <w:r>
              <w:rPr>
                <w:rFonts w:ascii="Arial" w:hAnsi="Arial" w:eastAsia="Arial"/>
                <w:b w:val="0"/>
                <w:i w:val="0"/>
                <w:color w:val="000000"/>
                <w:sz w:val="18"/>
              </w:rPr>
              <w:t xml:space="preserve">) </w:t>
            </w:r>
          </w:p>
        </w:tc>
        <w:tc>
          <w:tcPr>
            <w:tcW w:type="dxa" w:w="1326"/>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0" w:right="50" w:firstLine="0"/>
              <w:jc w:val="right"/>
            </w:pPr>
            <w:r>
              <w:rPr>
                <w:rFonts w:ascii="Arial" w:hAnsi="Arial" w:eastAsia="Arial"/>
                <w:b w:val="0"/>
                <w:i w:val="0"/>
                <w:color w:val="000000"/>
                <w:sz w:val="14"/>
              </w:rPr>
              <w:t xml:space="preserve">(569,772,299 ) </w:t>
            </w:r>
          </w:p>
        </w:tc>
        <w:tc>
          <w:tcPr>
            <w:tcW w:type="dxa" w:w="1074"/>
            <w:tcBorders>
              <w:top w:sz="4.0" w:val="single" w:color="#000000"/>
              <w:bottom w:sz="3.200000000000273" w:val="single" w:color="#000000"/>
            </w:tcBorders>
            <w:tcMar>
              <w:start w:w="0" w:type="dxa"/>
              <w:end w:w="0" w:type="dxa"/>
            </w:tcMar>
          </w:tcPr>
          <w:p>
            <w:pPr>
              <w:autoSpaceDN w:val="0"/>
              <w:autoSpaceDE w:val="0"/>
              <w:widowControl/>
              <w:spacing w:line="233" w:lineRule="auto" w:before="256" w:after="0"/>
              <w:ind w:left="182" w:right="0" w:firstLine="0"/>
              <w:jc w:val="left"/>
            </w:pPr>
            <w:r>
              <w:rPr>
                <w:rFonts w:ascii="Arial" w:hAnsi="Arial" w:eastAsia="Arial"/>
                <w:b w:val="0"/>
                <w:i w:val="0"/>
                <w:color w:val="000000"/>
                <w:sz w:val="14"/>
              </w:rPr>
              <w:t>2,310,882,704</w:t>
            </w:r>
          </w:p>
        </w:tc>
      </w:tr>
    </w:tbl>
    <w:p>
      <w:pPr>
        <w:autoSpaceDN w:val="0"/>
        <w:autoSpaceDE w:val="0"/>
        <w:widowControl/>
        <w:spacing w:line="233" w:lineRule="auto" w:before="2900" w:after="0"/>
        <w:ind w:left="0" w:right="0" w:firstLine="0"/>
        <w:jc w:val="center"/>
      </w:pPr>
      <w:r>
        <w:rPr>
          <w:rFonts w:ascii="Arial" w:hAnsi="Arial" w:eastAsia="Arial"/>
          <w:b w:val="0"/>
          <w:i w:val="0"/>
          <w:color w:val="000000"/>
          <w:sz w:val="20"/>
        </w:rPr>
        <w:t xml:space="preserve">298 </w:t>
      </w:r>
    </w:p>
    <w:p>
      <w:pPr>
        <w:sectPr>
          <w:pgSz w:w="16841" w:h="11899"/>
          <w:pgMar w:top="1166" w:right="141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658" w:val="left"/>
        </w:tabs>
        <w:autoSpaceDE w:val="0"/>
        <w:widowControl/>
        <w:spacing w:line="436" w:lineRule="exact" w:before="0" w:after="250"/>
        <w:ind w:left="0" w:right="5616"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1. </w:t>
      </w:r>
      <w:r>
        <w:tab/>
      </w:r>
      <w:r>
        <w:rPr>
          <w:rFonts w:ascii="黑体" w:hAnsi="黑体" w:eastAsia="黑体"/>
          <w:b w:val="0"/>
          <w:i w:val="0"/>
          <w:color w:val="000000"/>
          <w:sz w:val="22"/>
        </w:rPr>
        <w:t>以公允价值计量的金融工具（续）</w:t>
      </w:r>
      <w:r>
        <w:br/>
      </w: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持续的第三层次公允价值计量项目，年初与年末账面价值间的调节信息：（续）</w:t>
      </w:r>
    </w:p>
    <w:tbl>
      <w:tblPr>
        <w:tblW w:type="auto" w:w="0"/>
        <w:tblLayout w:type="fixed"/>
        <w:tblLook w:firstColumn="1" w:firstRow="1" w:lastColumn="0" w:lastRow="0" w:noHBand="0" w:noVBand="1" w:val="04A0"/>
        <w:tblInd w:w="0.0" w:type="dxa"/>
      </w:tblPr>
      <w:tblGrid>
        <w:gridCol w:w="1282"/>
        <w:gridCol w:w="1282"/>
        <w:gridCol w:w="1282"/>
        <w:gridCol w:w="1282"/>
        <w:gridCol w:w="1282"/>
        <w:gridCol w:w="1282"/>
        <w:gridCol w:w="1282"/>
        <w:gridCol w:w="1282"/>
        <w:gridCol w:w="1282"/>
        <w:gridCol w:w="1282"/>
        <w:gridCol w:w="1282"/>
      </w:tblGrid>
      <w:tr>
        <w:trPr>
          <w:trHeight w:hRule="exact" w:val="250"/>
        </w:trPr>
        <w:tc>
          <w:tcPr>
            <w:tcW w:type="dxa" w:w="1942"/>
            <w:tcBorders>
              <w:bottom w:sz="4.0" w:val="single" w:color="#000000"/>
            </w:tcBorders>
            <w:tcMar>
              <w:start w:w="0" w:type="dxa"/>
              <w:end w:w="0" w:type="dxa"/>
            </w:tcMar>
          </w:tcPr>
          <w:p>
            <w:pPr>
              <w:autoSpaceDN w:val="0"/>
              <w:autoSpaceDE w:val="0"/>
              <w:widowControl/>
              <w:spacing w:line="162" w:lineRule="exact" w:before="60" w:after="0"/>
              <w:ind w:left="0" w:right="0" w:firstLine="0"/>
              <w:jc w:val="left"/>
            </w:pPr>
            <w:r>
              <w:rPr>
                <w:rFonts w:ascii="黑体" w:hAnsi="黑体" w:eastAsia="黑体"/>
                <w:b w:val="0"/>
                <w:i w:val="0"/>
                <w:color w:val="000000"/>
                <w:sz w:val="16"/>
              </w:rPr>
              <w:t>负债</w:t>
            </w:r>
          </w:p>
        </w:tc>
        <w:tc>
          <w:tcPr>
            <w:tcW w:type="dxa" w:w="1060"/>
            <w:tcBorders>
              <w:bottom w:sz="4.0" w:val="single" w:color="#000000"/>
            </w:tcBorders>
            <w:tcMar>
              <w:start w:w="0" w:type="dxa"/>
              <w:end w:w="0" w:type="dxa"/>
            </w:tcMar>
          </w:tcPr>
          <w:p/>
        </w:tc>
        <w:tc>
          <w:tcPr>
            <w:tcW w:type="dxa" w:w="1060"/>
            <w:tcBorders>
              <w:bottom w:sz="4.0" w:val="single" w:color="#000000"/>
            </w:tcBorders>
            <w:tcMar>
              <w:start w:w="0" w:type="dxa"/>
              <w:end w:w="0" w:type="dxa"/>
            </w:tcMar>
          </w:tcPr>
          <w:p/>
        </w:tc>
        <w:tc>
          <w:tcPr>
            <w:tcW w:type="dxa" w:w="1230"/>
            <w:tcBorders>
              <w:bottom w:sz="4.0" w:val="single" w:color="#000000"/>
            </w:tcBorders>
            <w:tcMar>
              <w:start w:w="0" w:type="dxa"/>
              <w:end w:w="0" w:type="dxa"/>
            </w:tcMar>
          </w:tcPr>
          <w:p/>
        </w:tc>
        <w:tc>
          <w:tcPr>
            <w:tcW w:type="dxa" w:w="2336"/>
            <w:gridSpan w:val="2"/>
            <w:tcBorders>
              <w:bottom w:sz="4.0" w:val="single" w:color="#000000"/>
            </w:tcBorders>
            <w:tcMar>
              <w:start w:w="0" w:type="dxa"/>
              <w:end w:w="0" w:type="dxa"/>
            </w:tcMar>
            <w:tcMar>
              <w:start w:w="0" w:type="dxa"/>
              <w:end w:w="0" w:type="dxa"/>
            </w:tcMar>
          </w:tcPr>
          <w:p>
            <w:pPr>
              <w:autoSpaceDN w:val="0"/>
              <w:autoSpaceDE w:val="0"/>
              <w:widowControl/>
              <w:spacing w:line="140" w:lineRule="exact" w:before="84" w:after="0"/>
              <w:ind w:left="0" w:right="0" w:firstLine="0"/>
              <w:jc w:val="center"/>
            </w:pPr>
            <w:r>
              <w:rPr>
                <w:rFonts w:ascii="黑体" w:hAnsi="黑体" w:eastAsia="黑体"/>
                <w:b w:val="0"/>
                <w:i w:val="0"/>
                <w:color w:val="000000"/>
                <w:sz w:val="14"/>
              </w:rPr>
              <w:t>本年利得或损失总额</w:t>
            </w:r>
          </w:p>
        </w:tc>
        <w:tc>
          <w:tcPr>
            <w:tcW w:type="dxa" w:w="1232"/>
            <w:tcBorders>
              <w:bottom w:sz="4.0" w:val="single" w:color="#000000"/>
            </w:tcBorders>
            <w:tcMar>
              <w:start w:w="0" w:type="dxa"/>
              <w:end w:w="0" w:type="dxa"/>
            </w:tcMar>
          </w:tcPr>
          <w:p/>
        </w:tc>
        <w:tc>
          <w:tcPr>
            <w:tcW w:type="dxa" w:w="2340"/>
            <w:tcBorders>
              <w:bottom w:sz="4.0" w:val="single" w:color="#000000"/>
            </w:tcBorders>
            <w:tcMar>
              <w:start w:w="0" w:type="dxa"/>
              <w:end w:w="0" w:type="dxa"/>
            </w:tcMar>
          </w:tcPr>
          <w:p>
            <w:pPr>
              <w:autoSpaceDN w:val="0"/>
              <w:autoSpaceDE w:val="0"/>
              <w:widowControl/>
              <w:spacing w:line="140" w:lineRule="exact" w:before="84" w:after="0"/>
              <w:ind w:left="0" w:right="156" w:firstLine="0"/>
              <w:jc w:val="right"/>
            </w:pPr>
            <w:r>
              <w:rPr>
                <w:rFonts w:ascii="黑体" w:hAnsi="黑体" w:eastAsia="黑体"/>
                <w:b w:val="0"/>
                <w:i w:val="0"/>
                <w:color w:val="000000"/>
                <w:sz w:val="14"/>
              </w:rPr>
              <w:t>购买、发行、出售和结算</w:t>
            </w:r>
          </w:p>
        </w:tc>
        <w:tc>
          <w:tcPr>
            <w:tcW w:type="dxa" w:w="454"/>
            <w:tcBorders>
              <w:bottom w:sz="4.0" w:val="single" w:color="#000000"/>
            </w:tcBorders>
            <w:tcMar>
              <w:start w:w="0" w:type="dxa"/>
              <w:end w:w="0" w:type="dxa"/>
            </w:tcMar>
          </w:tcPr>
          <w:p/>
        </w:tc>
        <w:tc>
          <w:tcPr>
            <w:tcW w:type="dxa" w:w="1158"/>
            <w:tcBorders>
              <w:bottom w:sz="4.0" w:val="single" w:color="#000000"/>
            </w:tcBorders>
            <w:tcMar>
              <w:start w:w="0" w:type="dxa"/>
              <w:end w:w="0" w:type="dxa"/>
            </w:tcMar>
          </w:tcPr>
          <w:p/>
        </w:tc>
        <w:tc>
          <w:tcPr>
            <w:tcW w:type="dxa" w:w="1180"/>
            <w:tcBorders>
              <w:bottom w:sz="4.0" w:val="single" w:color="#000000"/>
            </w:tcBorders>
            <w:tcMar>
              <w:start w:w="0" w:type="dxa"/>
              <w:end w:w="0" w:type="dxa"/>
            </w:tcMar>
          </w:tcPr>
          <w:p/>
        </w:tc>
      </w:tr>
      <w:tr>
        <w:trPr>
          <w:trHeight w:hRule="exact" w:val="176"/>
        </w:trPr>
        <w:tc>
          <w:tcPr>
            <w:tcW w:type="dxa" w:w="1942"/>
            <w:vMerge w:val="restart"/>
            <w:tcBorders>
              <w:top w:sz="4.0" w:val="single" w:color="#000000"/>
              <w:bottom w:sz="3.2000000000000455" w:val="single" w:color="#000000"/>
            </w:tcBorders>
            <w:tcMar>
              <w:start w:w="0" w:type="dxa"/>
              <w:end w:w="0" w:type="dxa"/>
            </w:tcMar>
            <w:tcMar>
              <w:start w:w="0" w:type="dxa"/>
              <w:end w:w="0" w:type="dxa"/>
            </w:tcMar>
          </w:tcPr>
          <w:p/>
        </w:tc>
        <w:tc>
          <w:tcPr>
            <w:tcW w:type="dxa" w:w="1060"/>
            <w:tcBorders>
              <w:top w:sz="4.0" w:val="single" w:color="#000000"/>
            </w:tcBorders>
            <w:tcMar>
              <w:start w:w="0" w:type="dxa"/>
              <w:end w:w="0" w:type="dxa"/>
            </w:tcMar>
          </w:tcPr>
          <w:p>
            <w:pPr>
              <w:autoSpaceDN w:val="0"/>
              <w:autoSpaceDE w:val="0"/>
              <w:widowControl/>
              <w:spacing w:line="154" w:lineRule="exact" w:before="14" w:after="0"/>
              <w:ind w:left="176"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w:t>
            </w:r>
            <w:r>
              <w:rPr>
                <w:rFonts w:ascii="黑体" w:hAnsi="黑体" w:eastAsia="黑体"/>
                <w:b w:val="0"/>
                <w:i w:val="0"/>
                <w:color w:val="000000"/>
                <w:sz w:val="14"/>
              </w:rPr>
              <w:t>月</w:t>
            </w:r>
            <w:r>
              <w:rPr>
                <w:rFonts w:ascii="Arial" w:hAnsi="Arial" w:eastAsia="Arial"/>
                <w:b w:val="0"/>
                <w:i w:val="0"/>
                <w:color w:val="000000"/>
                <w:sz w:val="14"/>
              </w:rPr>
              <w:t>1</w:t>
            </w:r>
            <w:r>
              <w:rPr>
                <w:rFonts w:ascii="黑体" w:hAnsi="黑体" w:eastAsia="黑体"/>
                <w:b w:val="0"/>
                <w:i w:val="0"/>
                <w:color w:val="000000"/>
                <w:sz w:val="14"/>
              </w:rPr>
              <w:t>日</w:t>
            </w:r>
          </w:p>
        </w:tc>
        <w:tc>
          <w:tcPr>
            <w:tcW w:type="dxa" w:w="106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20" w:right="0" w:firstLine="0"/>
              <w:jc w:val="left"/>
            </w:pPr>
            <w:r>
              <w:rPr>
                <w:rFonts w:ascii="黑体" w:hAnsi="黑体" w:eastAsia="黑体"/>
                <w:b w:val="0"/>
                <w:i w:val="0"/>
                <w:color w:val="000000"/>
                <w:sz w:val="14"/>
              </w:rPr>
              <w:t>转入第三层次</w:t>
            </w:r>
          </w:p>
        </w:tc>
        <w:tc>
          <w:tcPr>
            <w:tcW w:type="dxa" w:w="123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78" w:right="0" w:firstLine="0"/>
              <w:jc w:val="left"/>
            </w:pPr>
            <w:r>
              <w:rPr>
                <w:rFonts w:ascii="黑体" w:hAnsi="黑体" w:eastAsia="黑体"/>
                <w:b w:val="0"/>
                <w:i w:val="0"/>
                <w:color w:val="000000"/>
                <w:sz w:val="14"/>
              </w:rPr>
              <w:t>转出第三层次</w:t>
            </w:r>
          </w:p>
        </w:tc>
        <w:tc>
          <w:tcPr>
            <w:tcW w:type="dxa" w:w="966"/>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计入损益</w:t>
            </w:r>
          </w:p>
        </w:tc>
        <w:tc>
          <w:tcPr>
            <w:tcW w:type="dxa" w:w="137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250" w:right="0" w:firstLine="0"/>
              <w:jc w:val="left"/>
            </w:pPr>
            <w:r>
              <w:rPr>
                <w:rFonts w:ascii="黑体" w:hAnsi="黑体" w:eastAsia="黑体"/>
                <w:b w:val="0"/>
                <w:i w:val="0"/>
                <w:color w:val="000000"/>
                <w:sz w:val="14"/>
              </w:rPr>
              <w:t>计入其他综合收益</w:t>
            </w:r>
          </w:p>
        </w:tc>
        <w:tc>
          <w:tcPr>
            <w:tcW w:type="dxa" w:w="1232"/>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2" w:firstLine="0"/>
              <w:jc w:val="right"/>
            </w:pPr>
            <w:r>
              <w:rPr>
                <w:rFonts w:ascii="黑体" w:hAnsi="黑体" w:eastAsia="黑体"/>
                <w:b w:val="0"/>
                <w:i w:val="0"/>
                <w:color w:val="000000"/>
                <w:sz w:val="14"/>
              </w:rPr>
              <w:t>购买</w:t>
            </w:r>
          </w:p>
        </w:tc>
        <w:tc>
          <w:tcPr>
            <w:tcW w:type="dxa" w:w="2340"/>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864" w:firstLine="0"/>
              <w:jc w:val="right"/>
            </w:pPr>
            <w:r>
              <w:rPr>
                <w:rFonts w:ascii="黑体" w:hAnsi="黑体" w:eastAsia="黑体"/>
                <w:b w:val="0"/>
                <w:i w:val="0"/>
                <w:color w:val="000000"/>
                <w:sz w:val="14"/>
              </w:rPr>
              <w:t>发行</w:t>
            </w:r>
          </w:p>
        </w:tc>
        <w:tc>
          <w:tcPr>
            <w:tcW w:type="dxa" w:w="454"/>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0" w:firstLine="0"/>
              <w:jc w:val="right"/>
            </w:pPr>
            <w:r>
              <w:rPr>
                <w:rFonts w:ascii="黑体" w:hAnsi="黑体" w:eastAsia="黑体"/>
                <w:b w:val="0"/>
                <w:i w:val="0"/>
                <w:color w:val="000000"/>
                <w:sz w:val="14"/>
              </w:rPr>
              <w:t>出售</w:t>
            </w:r>
          </w:p>
        </w:tc>
        <w:tc>
          <w:tcPr>
            <w:tcW w:type="dxa" w:w="1158"/>
            <w:vMerge w:val="restart"/>
            <w:tcBorders>
              <w:top w:sz="4.0" w:val="single" w:color="#000000"/>
              <w:bottom w:sz="3.2000000000000455" w:val="single" w:color="#000000"/>
            </w:tcBorders>
            <w:tcMar>
              <w:start w:w="0" w:type="dxa"/>
              <w:end w:w="0" w:type="dxa"/>
            </w:tcMar>
            <w:tcMar>
              <w:start w:w="0" w:type="dxa"/>
              <w:end w:w="0" w:type="dxa"/>
            </w:tcMar>
          </w:tcPr>
          <w:p>
            <w:pPr>
              <w:autoSpaceDN w:val="0"/>
              <w:autoSpaceDE w:val="0"/>
              <w:widowControl/>
              <w:spacing w:line="140" w:lineRule="exact" w:before="202" w:after="0"/>
              <w:ind w:left="0" w:right="4" w:firstLine="0"/>
              <w:jc w:val="right"/>
            </w:pPr>
            <w:r>
              <w:rPr>
                <w:rFonts w:ascii="黑体" w:hAnsi="黑体" w:eastAsia="黑体"/>
                <w:b w:val="0"/>
                <w:i w:val="0"/>
                <w:color w:val="000000"/>
                <w:sz w:val="14"/>
              </w:rPr>
              <w:t>结算</w:t>
            </w:r>
          </w:p>
        </w:tc>
        <w:tc>
          <w:tcPr>
            <w:tcW w:type="dxa" w:w="1180"/>
            <w:tcBorders>
              <w:top w:sz="4.0" w:val="single" w:color="#000000"/>
            </w:tcBorders>
            <w:tcMar>
              <w:start w:w="0" w:type="dxa"/>
              <w:end w:w="0" w:type="dxa"/>
            </w:tcMar>
          </w:tcPr>
          <w:p>
            <w:pPr>
              <w:autoSpaceDN w:val="0"/>
              <w:autoSpaceDE w:val="0"/>
              <w:widowControl/>
              <w:spacing w:line="154" w:lineRule="exact" w:before="14" w:after="0"/>
              <w:ind w:left="136" w:right="0" w:firstLine="0"/>
              <w:jc w:val="lef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w:t>
            </w:r>
          </w:p>
        </w:tc>
      </w:tr>
      <w:tr>
        <w:trPr>
          <w:trHeight w:hRule="exact" w:val="198"/>
        </w:trPr>
        <w:tc>
          <w:tcPr>
            <w:tcW w:type="dxa" w:w="1282"/>
            <w:vMerge/>
            <w:tcBorders>
              <w:top w:sz="4.0" w:val="single" w:color="#000000"/>
              <w:bottom w:sz="3.2000000000000455" w:val="single" w:color="#000000"/>
            </w:tcBorders>
          </w:tcPr>
          <w:p/>
        </w:tc>
        <w:tc>
          <w:tcPr>
            <w:tcW w:type="dxa" w:w="1060"/>
            <w:tcBorders>
              <w:bottom w:sz="3.2000000000000455" w:val="single" w:color="#000000"/>
            </w:tcBorders>
            <w:tcMar>
              <w:start w:w="0" w:type="dxa"/>
              <w:end w:w="0" w:type="dxa"/>
            </w:tcMar>
          </w:tcPr>
          <w:p>
            <w:pPr>
              <w:autoSpaceDN w:val="0"/>
              <w:autoSpaceDE w:val="0"/>
              <w:widowControl/>
              <w:spacing w:line="140" w:lineRule="exact" w:before="30" w:after="0"/>
              <w:ind w:left="0" w:right="0" w:firstLine="0"/>
              <w:jc w:val="right"/>
            </w:pPr>
            <w:r>
              <w:rPr>
                <w:rFonts w:ascii="黑体" w:hAnsi="黑体" w:eastAsia="黑体"/>
                <w:b w:val="0"/>
                <w:i w:val="0"/>
                <w:color w:val="000000"/>
                <w:sz w:val="14"/>
              </w:rPr>
              <w:t>余额</w:t>
            </w: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282"/>
            <w:vMerge/>
            <w:tcBorders>
              <w:top w:sz="4.0" w:val="single" w:color="#000000"/>
              <w:bottom w:sz="3.2000000000000455" w:val="single" w:color="#000000"/>
            </w:tcBorders>
          </w:tcPr>
          <w:p/>
        </w:tc>
        <w:tc>
          <w:tcPr>
            <w:tcW w:type="dxa" w:w="1180"/>
            <w:tcBorders>
              <w:bottom w:sz="3.2000000000000455" w:val="single" w:color="#000000"/>
            </w:tcBorders>
            <w:tcMar>
              <w:start w:w="0" w:type="dxa"/>
              <w:end w:w="0" w:type="dxa"/>
            </w:tcMar>
          </w:tcPr>
          <w:p>
            <w:pPr>
              <w:autoSpaceDN w:val="0"/>
              <w:autoSpaceDE w:val="0"/>
              <w:widowControl/>
              <w:spacing w:line="140" w:lineRule="exact" w:before="30" w:after="0"/>
              <w:ind w:left="0" w:right="2" w:firstLine="0"/>
              <w:jc w:val="right"/>
            </w:pPr>
            <w:r>
              <w:rPr>
                <w:rFonts w:ascii="黑体" w:hAnsi="黑体" w:eastAsia="黑体"/>
                <w:b w:val="0"/>
                <w:i w:val="0"/>
                <w:color w:val="000000"/>
                <w:sz w:val="14"/>
              </w:rPr>
              <w:t>余额</w:t>
            </w:r>
          </w:p>
        </w:tc>
      </w:tr>
    </w:tbl>
    <w:p>
      <w:pPr>
        <w:autoSpaceDN w:val="0"/>
        <w:autoSpaceDE w:val="0"/>
        <w:widowControl/>
        <w:spacing w:line="138" w:lineRule="exact" w:before="258" w:after="214"/>
        <w:ind w:left="0" w:right="0" w:firstLine="0"/>
        <w:jc w:val="left"/>
      </w:pPr>
      <w:r>
        <w:rPr>
          <w:rFonts w:ascii="黑体" w:hAnsi="黑体" w:eastAsia="黑体"/>
          <w:b w:val="0"/>
          <w:i w:val="0"/>
          <w:color w:val="000000"/>
          <w:sz w:val="14"/>
        </w:rPr>
        <w:t>负债</w:t>
      </w:r>
    </w:p>
    <w:tbl>
      <w:tblPr>
        <w:tblW w:type="auto" w:w="0"/>
        <w:tblLayout w:type="fixed"/>
        <w:tblLook w:firstColumn="1" w:firstRow="1" w:lastColumn="0" w:lastRow="0" w:noHBand="0" w:noVBand="1" w:val="04A0"/>
        <w:tblInd w:w="0.0" w:type="dxa"/>
      </w:tblPr>
      <w:tblGrid>
        <w:gridCol w:w="1282"/>
        <w:gridCol w:w="1282"/>
        <w:gridCol w:w="1282"/>
        <w:gridCol w:w="1282"/>
        <w:gridCol w:w="1282"/>
        <w:gridCol w:w="1282"/>
        <w:gridCol w:w="1282"/>
        <w:gridCol w:w="1282"/>
        <w:gridCol w:w="1282"/>
        <w:gridCol w:w="1282"/>
        <w:gridCol w:w="1282"/>
      </w:tblGrid>
      <w:tr>
        <w:trPr>
          <w:trHeight w:hRule="exact" w:val="192"/>
        </w:trPr>
        <w:tc>
          <w:tcPr>
            <w:tcW w:type="dxa" w:w="1942"/>
            <w:tcBorders/>
            <w:tcMar>
              <w:start w:w="0" w:type="dxa"/>
              <w:end w:w="0" w:type="dxa"/>
            </w:tcMar>
          </w:tcPr>
          <w:p>
            <w:pPr>
              <w:autoSpaceDN w:val="0"/>
              <w:autoSpaceDE w:val="0"/>
              <w:widowControl/>
              <w:spacing w:line="140" w:lineRule="exact" w:before="52" w:after="0"/>
              <w:ind w:left="0" w:right="0" w:firstLine="0"/>
              <w:jc w:val="left"/>
            </w:pPr>
            <w:r>
              <w:rPr>
                <w:rFonts w:ascii="黑体" w:hAnsi="黑体" w:eastAsia="黑体"/>
                <w:b w:val="0"/>
                <w:i w:val="0"/>
                <w:color w:val="000000"/>
                <w:sz w:val="14"/>
              </w:rPr>
              <w:t>交易性金融负债</w:t>
            </w:r>
          </w:p>
        </w:tc>
        <w:tc>
          <w:tcPr>
            <w:tcW w:type="dxa" w:w="1210"/>
            <w:vMerge w:val="restart"/>
            <w:tcBorders/>
            <w:tcMar>
              <w:start w:w="0" w:type="dxa"/>
              <w:end w:w="0" w:type="dxa"/>
            </w:tcMar>
            <w:tcMar>
              <w:start w:w="0" w:type="dxa"/>
              <w:end w:w="0" w:type="dxa"/>
            </w:tcMar>
          </w:tcPr>
          <w:p>
            <w:pPr>
              <w:autoSpaceDN w:val="0"/>
              <w:autoSpaceDE w:val="0"/>
              <w:widowControl/>
              <w:spacing w:line="230" w:lineRule="auto" w:before="66" w:after="0"/>
              <w:ind w:left="238" w:right="0" w:firstLine="0"/>
              <w:jc w:val="left"/>
            </w:pPr>
            <w:r>
              <w:rPr>
                <w:rFonts w:ascii="Arial" w:hAnsi="Arial" w:eastAsia="Arial"/>
                <w:b w:val="0"/>
                <w:i w:val="0"/>
                <w:color w:val="000000"/>
                <w:sz w:val="14"/>
              </w:rPr>
              <w:t xml:space="preserve">(254,508,050) </w:t>
            </w:r>
          </w:p>
        </w:tc>
        <w:tc>
          <w:tcPr>
            <w:tcW w:type="dxa" w:w="910"/>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118"/>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206"/>
            <w:vMerge w:val="restart"/>
            <w:tcBorders/>
            <w:tcMar>
              <w:start w:w="0" w:type="dxa"/>
              <w:end w:w="0" w:type="dxa"/>
            </w:tcMar>
            <w:tcMar>
              <w:start w:w="0" w:type="dxa"/>
              <w:end w:w="0" w:type="dxa"/>
            </w:tcMar>
          </w:tcPr>
          <w:p>
            <w:pPr>
              <w:autoSpaceDN w:val="0"/>
              <w:autoSpaceDE w:val="0"/>
              <w:widowControl/>
              <w:spacing w:line="230" w:lineRule="auto" w:before="66" w:after="0"/>
              <w:ind w:left="0" w:right="44" w:firstLine="0"/>
              <w:jc w:val="right"/>
            </w:pPr>
            <w:r>
              <w:rPr>
                <w:rFonts w:ascii="Arial" w:hAnsi="Arial" w:eastAsia="Arial"/>
                <w:b w:val="0"/>
                <w:i w:val="0"/>
                <w:color w:val="000000"/>
                <w:sz w:val="14"/>
              </w:rPr>
              <w:t xml:space="preserve">(24,418,829 ) </w:t>
            </w:r>
          </w:p>
        </w:tc>
        <w:tc>
          <w:tcPr>
            <w:tcW w:type="dxa" w:w="1242"/>
            <w:vMerge w:val="restart"/>
            <w:tcBorders/>
            <w:tcMar>
              <w:start w:w="0" w:type="dxa"/>
              <w:end w:w="0" w:type="dxa"/>
            </w:tcMar>
            <w:tcMar>
              <w:start w:w="0" w:type="dxa"/>
              <w:end w:w="0" w:type="dxa"/>
            </w:tcMar>
          </w:tcPr>
          <w:p>
            <w:pPr>
              <w:autoSpaceDN w:val="0"/>
              <w:autoSpaceDE w:val="0"/>
              <w:widowControl/>
              <w:spacing w:line="230" w:lineRule="auto" w:before="66" w:after="0"/>
              <w:ind w:left="0" w:right="0" w:firstLine="0"/>
              <w:jc w:val="right"/>
            </w:pPr>
            <w:r>
              <w:rPr>
                <w:rFonts w:ascii="Arial" w:hAnsi="Arial" w:eastAsia="Arial"/>
                <w:b w:val="0"/>
                <w:i w:val="0"/>
                <w:color w:val="000000"/>
                <w:sz w:val="14"/>
              </w:rPr>
              <w:t>-</w:t>
            </w:r>
          </w:p>
        </w:tc>
        <w:tc>
          <w:tcPr>
            <w:tcW w:type="dxa" w:w="1402"/>
            <w:vMerge w:val="restart"/>
            <w:tcBorders/>
            <w:tcMar>
              <w:start w:w="0" w:type="dxa"/>
              <w:end w:w="0" w:type="dxa"/>
            </w:tcMar>
            <w:tcMar>
              <w:start w:w="0" w:type="dxa"/>
              <w:end w:w="0" w:type="dxa"/>
            </w:tcMar>
          </w:tcPr>
          <w:p>
            <w:pPr>
              <w:autoSpaceDN w:val="0"/>
              <w:autoSpaceDE w:val="0"/>
              <w:widowControl/>
              <w:spacing w:line="230" w:lineRule="auto" w:before="66" w:after="0"/>
              <w:ind w:left="0" w:right="170" w:firstLine="0"/>
              <w:jc w:val="right"/>
            </w:pPr>
            <w:r>
              <w:rPr>
                <w:rFonts w:ascii="Arial" w:hAnsi="Arial" w:eastAsia="Arial"/>
                <w:b w:val="0"/>
                <w:i w:val="0"/>
                <w:color w:val="000000"/>
                <w:sz w:val="14"/>
              </w:rPr>
              <w:t>-</w:t>
            </w:r>
          </w:p>
        </w:tc>
        <w:tc>
          <w:tcPr>
            <w:tcW w:type="dxa" w:w="1480"/>
            <w:vMerge w:val="restart"/>
            <w:tcBorders/>
            <w:tcMar>
              <w:start w:w="0" w:type="dxa"/>
              <w:end w:w="0" w:type="dxa"/>
            </w:tcMar>
            <w:tcMar>
              <w:start w:w="0" w:type="dxa"/>
              <w:end w:w="0" w:type="dxa"/>
            </w:tcMar>
          </w:tcPr>
          <w:p>
            <w:pPr>
              <w:autoSpaceDN w:val="0"/>
              <w:autoSpaceDE w:val="0"/>
              <w:widowControl/>
              <w:spacing w:line="230" w:lineRule="auto" w:before="66" w:after="0"/>
              <w:ind w:left="0" w:right="86" w:firstLine="0"/>
              <w:jc w:val="right"/>
            </w:pPr>
            <w:r>
              <w:rPr>
                <w:rFonts w:ascii="Arial" w:hAnsi="Arial" w:eastAsia="Arial"/>
                <w:b w:val="0"/>
                <w:i w:val="0"/>
                <w:color w:val="000000"/>
                <w:sz w:val="14"/>
              </w:rPr>
              <w:t xml:space="preserve">(167,400,000) </w:t>
            </w:r>
          </w:p>
        </w:tc>
        <w:tc>
          <w:tcPr>
            <w:tcW w:type="dxa" w:w="1314"/>
            <w:vMerge w:val="restart"/>
            <w:tcBorders/>
            <w:tcMar>
              <w:start w:w="0" w:type="dxa"/>
              <w:end w:w="0" w:type="dxa"/>
            </w:tcMar>
            <w:tcMar>
              <w:start w:w="0" w:type="dxa"/>
              <w:end w:w="0" w:type="dxa"/>
            </w:tcMar>
          </w:tcPr>
          <w:p>
            <w:pPr>
              <w:autoSpaceDN w:val="0"/>
              <w:autoSpaceDE w:val="0"/>
              <w:widowControl/>
              <w:spacing w:line="230" w:lineRule="auto" w:before="66" w:after="0"/>
              <w:ind w:left="0" w:right="166" w:firstLine="0"/>
              <w:jc w:val="right"/>
            </w:pPr>
            <w:r>
              <w:rPr>
                <w:rFonts w:ascii="Arial" w:hAnsi="Arial" w:eastAsia="Arial"/>
                <w:b w:val="0"/>
                <w:i w:val="0"/>
                <w:color w:val="000000"/>
                <w:sz w:val="14"/>
              </w:rPr>
              <w:t>-</w:t>
            </w:r>
          </w:p>
        </w:tc>
        <w:tc>
          <w:tcPr>
            <w:tcW w:type="dxa" w:w="1090"/>
            <w:vMerge w:val="restart"/>
            <w:tcBorders/>
            <w:tcMar>
              <w:start w:w="0" w:type="dxa"/>
              <w:end w:w="0" w:type="dxa"/>
            </w:tcMar>
            <w:tcMar>
              <w:start w:w="0" w:type="dxa"/>
              <w:end w:w="0" w:type="dxa"/>
            </w:tcMar>
          </w:tcPr>
          <w:p>
            <w:pPr>
              <w:autoSpaceDN w:val="0"/>
              <w:autoSpaceDE w:val="0"/>
              <w:widowControl/>
              <w:spacing w:line="230" w:lineRule="auto" w:before="66" w:after="0"/>
              <w:ind w:left="210" w:right="0" w:firstLine="0"/>
              <w:jc w:val="left"/>
            </w:pPr>
            <w:r>
              <w:rPr>
                <w:rFonts w:ascii="Arial" w:hAnsi="Arial" w:eastAsia="Arial"/>
                <w:b w:val="0"/>
                <w:i w:val="0"/>
                <w:color w:val="000000"/>
                <w:sz w:val="14"/>
              </w:rPr>
              <w:t xml:space="preserve">288,110,000 </w:t>
            </w:r>
          </w:p>
        </w:tc>
        <w:tc>
          <w:tcPr>
            <w:tcW w:type="dxa" w:w="1166"/>
            <w:vMerge w:val="restart"/>
            <w:tcBorders/>
            <w:tcMar>
              <w:start w:w="0" w:type="dxa"/>
              <w:end w:w="0" w:type="dxa"/>
            </w:tcMar>
            <w:tcMar>
              <w:start w:w="0" w:type="dxa"/>
              <w:end w:w="0" w:type="dxa"/>
            </w:tcMar>
          </w:tcPr>
          <w:p>
            <w:pPr>
              <w:autoSpaceDN w:val="0"/>
              <w:autoSpaceDE w:val="0"/>
              <w:widowControl/>
              <w:spacing w:line="230" w:lineRule="auto" w:before="66" w:after="0"/>
              <w:ind w:left="252" w:right="0" w:firstLine="0"/>
              <w:jc w:val="left"/>
            </w:pPr>
            <w:r>
              <w:rPr>
                <w:rFonts w:ascii="Arial" w:hAnsi="Arial" w:eastAsia="Arial"/>
                <w:b w:val="0"/>
                <w:i w:val="0"/>
                <w:color w:val="000000"/>
                <w:sz w:val="14"/>
              </w:rPr>
              <w:t xml:space="preserve">(158,216,879) </w:t>
            </w:r>
          </w:p>
        </w:tc>
      </w:tr>
      <w:tr>
        <w:trPr>
          <w:trHeight w:hRule="exact" w:val="54"/>
        </w:trPr>
        <w:tc>
          <w:tcPr>
            <w:tcW w:type="dxa" w:w="1942"/>
            <w:vMerge w:val="restart"/>
            <w:tcBorders/>
            <w:tcMar>
              <w:start w:w="0" w:type="dxa"/>
              <w:end w:w="0" w:type="dxa"/>
            </w:tcMar>
            <w:tcMar>
              <w:start w:w="0" w:type="dxa"/>
              <w:end w:w="0" w:type="dxa"/>
            </w:tcMar>
          </w:tcPr>
          <w:p>
            <w:pPr>
              <w:autoSpaceDN w:val="0"/>
              <w:autoSpaceDE w:val="0"/>
              <w:widowControl/>
              <w:spacing w:line="140" w:lineRule="exact" w:before="76" w:after="0"/>
              <w:ind w:left="140" w:right="0" w:firstLine="0"/>
              <w:jc w:val="left"/>
            </w:pPr>
            <w:r>
              <w:rPr>
                <w:rFonts w:ascii="黑体" w:hAnsi="黑体" w:eastAsia="黑体"/>
                <w:b w:val="0"/>
                <w:i w:val="0"/>
                <w:color w:val="000000"/>
                <w:sz w:val="14"/>
              </w:rPr>
              <w:t>收益凭证</w:t>
            </w: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c>
          <w:tcPr>
            <w:tcW w:type="dxa" w:w="1282"/>
            <w:vMerge/>
            <w:tcBorders/>
          </w:tcPr>
          <w:p/>
        </w:tc>
      </w:tr>
      <w:tr>
        <w:trPr>
          <w:trHeight w:hRule="exact" w:val="166"/>
        </w:trPr>
        <w:tc>
          <w:tcPr>
            <w:tcW w:type="dxa" w:w="1282"/>
            <w:vMerge/>
            <w:tcBorders/>
          </w:tcPr>
          <w:p/>
        </w:tc>
        <w:tc>
          <w:tcPr>
            <w:tcW w:type="dxa" w:w="1210"/>
            <w:tcBorders/>
            <w:tcMar>
              <w:start w:w="0" w:type="dxa"/>
              <w:end w:w="0" w:type="dxa"/>
            </w:tcMar>
          </w:tcPr>
          <w:p>
            <w:pPr>
              <w:autoSpaceDN w:val="0"/>
              <w:autoSpaceDE w:val="0"/>
              <w:widowControl/>
              <w:spacing w:line="233" w:lineRule="auto" w:before="10" w:after="0"/>
              <w:ind w:left="238" w:right="0" w:firstLine="0"/>
              <w:jc w:val="left"/>
            </w:pPr>
            <w:r>
              <w:rPr>
                <w:rFonts w:ascii="Arial" w:hAnsi="Arial" w:eastAsia="Arial"/>
                <w:b w:val="0"/>
                <w:i w:val="0"/>
                <w:color w:val="000000"/>
                <w:sz w:val="14"/>
              </w:rPr>
              <w:t xml:space="preserve">(254,508,050) </w:t>
            </w:r>
          </w:p>
        </w:tc>
        <w:tc>
          <w:tcPr>
            <w:tcW w:type="dxa" w:w="91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118"/>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206"/>
            <w:tcBorders/>
            <w:tcMar>
              <w:start w:w="0" w:type="dxa"/>
              <w:end w:w="0" w:type="dxa"/>
            </w:tcMar>
          </w:tcPr>
          <w:p>
            <w:pPr>
              <w:autoSpaceDN w:val="0"/>
              <w:autoSpaceDE w:val="0"/>
              <w:widowControl/>
              <w:spacing w:line="233" w:lineRule="auto" w:before="10" w:after="0"/>
              <w:ind w:left="0" w:right="44" w:firstLine="0"/>
              <w:jc w:val="right"/>
            </w:pPr>
            <w:r>
              <w:rPr>
                <w:rFonts w:ascii="Arial" w:hAnsi="Arial" w:eastAsia="Arial"/>
                <w:b w:val="0"/>
                <w:i w:val="0"/>
                <w:color w:val="000000"/>
                <w:sz w:val="14"/>
              </w:rPr>
              <w:t xml:space="preserve">(24,418,829 ) </w:t>
            </w:r>
          </w:p>
        </w:tc>
        <w:tc>
          <w:tcPr>
            <w:tcW w:type="dxa" w:w="1242"/>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4"/>
              </w:rPr>
              <w:t>-</w:t>
            </w:r>
          </w:p>
        </w:tc>
        <w:tc>
          <w:tcPr>
            <w:tcW w:type="dxa" w:w="1402"/>
            <w:tcBorders/>
            <w:tcMar>
              <w:start w:w="0" w:type="dxa"/>
              <w:end w:w="0" w:type="dxa"/>
            </w:tcMar>
          </w:tcPr>
          <w:p>
            <w:pPr>
              <w:autoSpaceDN w:val="0"/>
              <w:autoSpaceDE w:val="0"/>
              <w:widowControl/>
              <w:spacing w:line="233" w:lineRule="auto" w:before="10" w:after="0"/>
              <w:ind w:left="0" w:right="170" w:firstLine="0"/>
              <w:jc w:val="right"/>
            </w:pPr>
            <w:r>
              <w:rPr>
                <w:rFonts w:ascii="Arial" w:hAnsi="Arial" w:eastAsia="Arial"/>
                <w:b w:val="0"/>
                <w:i w:val="0"/>
                <w:color w:val="000000"/>
                <w:sz w:val="14"/>
              </w:rPr>
              <w:t>-</w:t>
            </w:r>
          </w:p>
        </w:tc>
        <w:tc>
          <w:tcPr>
            <w:tcW w:type="dxa" w:w="1480"/>
            <w:tcBorders/>
            <w:tcMar>
              <w:start w:w="0" w:type="dxa"/>
              <w:end w:w="0" w:type="dxa"/>
            </w:tcMar>
          </w:tcPr>
          <w:p>
            <w:pPr>
              <w:autoSpaceDN w:val="0"/>
              <w:autoSpaceDE w:val="0"/>
              <w:widowControl/>
              <w:spacing w:line="233" w:lineRule="auto" w:before="10" w:after="0"/>
              <w:ind w:left="0" w:right="86" w:firstLine="0"/>
              <w:jc w:val="right"/>
            </w:pPr>
            <w:r>
              <w:rPr>
                <w:rFonts w:ascii="Arial" w:hAnsi="Arial" w:eastAsia="Arial"/>
                <w:b w:val="0"/>
                <w:i w:val="0"/>
                <w:color w:val="000000"/>
                <w:sz w:val="14"/>
              </w:rPr>
              <w:t xml:space="preserve">(167,400,000) </w:t>
            </w:r>
          </w:p>
        </w:tc>
        <w:tc>
          <w:tcPr>
            <w:tcW w:type="dxa" w:w="1314"/>
            <w:tcBorders/>
            <w:tcMar>
              <w:start w:w="0" w:type="dxa"/>
              <w:end w:w="0" w:type="dxa"/>
            </w:tcMar>
          </w:tcPr>
          <w:p>
            <w:pPr>
              <w:autoSpaceDN w:val="0"/>
              <w:autoSpaceDE w:val="0"/>
              <w:widowControl/>
              <w:spacing w:line="233" w:lineRule="auto" w:before="10" w:after="0"/>
              <w:ind w:left="0" w:right="166" w:firstLine="0"/>
              <w:jc w:val="right"/>
            </w:pPr>
            <w:r>
              <w:rPr>
                <w:rFonts w:ascii="Arial" w:hAnsi="Arial" w:eastAsia="Arial"/>
                <w:b w:val="0"/>
                <w:i w:val="0"/>
                <w:color w:val="000000"/>
                <w:sz w:val="14"/>
              </w:rPr>
              <w:t>-</w:t>
            </w:r>
          </w:p>
        </w:tc>
        <w:tc>
          <w:tcPr>
            <w:tcW w:type="dxa" w:w="1090"/>
            <w:tcBorders/>
            <w:tcMar>
              <w:start w:w="0" w:type="dxa"/>
              <w:end w:w="0" w:type="dxa"/>
            </w:tcMar>
          </w:tcPr>
          <w:p>
            <w:pPr>
              <w:autoSpaceDN w:val="0"/>
              <w:autoSpaceDE w:val="0"/>
              <w:widowControl/>
              <w:spacing w:line="233" w:lineRule="auto" w:before="10" w:after="0"/>
              <w:ind w:left="210" w:right="0" w:firstLine="0"/>
              <w:jc w:val="left"/>
            </w:pPr>
            <w:r>
              <w:rPr>
                <w:rFonts w:ascii="Arial" w:hAnsi="Arial" w:eastAsia="Arial"/>
                <w:b w:val="0"/>
                <w:i w:val="0"/>
                <w:color w:val="000000"/>
                <w:sz w:val="14"/>
              </w:rPr>
              <w:t xml:space="preserve">288,110,000 </w:t>
            </w:r>
          </w:p>
        </w:tc>
        <w:tc>
          <w:tcPr>
            <w:tcW w:type="dxa" w:w="1166"/>
            <w:tcBorders/>
            <w:tcMar>
              <w:start w:w="0" w:type="dxa"/>
              <w:end w:w="0" w:type="dxa"/>
            </w:tcMar>
          </w:tcPr>
          <w:p>
            <w:pPr>
              <w:autoSpaceDN w:val="0"/>
              <w:autoSpaceDE w:val="0"/>
              <w:widowControl/>
              <w:spacing w:line="233" w:lineRule="auto" w:before="10" w:after="0"/>
              <w:ind w:left="252" w:right="0" w:firstLine="0"/>
              <w:jc w:val="left"/>
            </w:pPr>
            <w:r>
              <w:rPr>
                <w:rFonts w:ascii="Arial" w:hAnsi="Arial" w:eastAsia="Arial"/>
                <w:b w:val="0"/>
                <w:i w:val="0"/>
                <w:color w:val="000000"/>
                <w:sz w:val="14"/>
              </w:rPr>
              <w:t xml:space="preserve">(158,216,879) </w:t>
            </w:r>
          </w:p>
        </w:tc>
      </w:tr>
      <w:tr>
        <w:trPr>
          <w:trHeight w:hRule="exact" w:val="228"/>
        </w:trPr>
        <w:tc>
          <w:tcPr>
            <w:tcW w:type="dxa" w:w="1942"/>
            <w:tcBorders>
              <w:bottom w:sz="3.200000000000273" w:val="single" w:color="#000000"/>
            </w:tcBorders>
            <w:tcMar>
              <w:start w:w="0" w:type="dxa"/>
              <w:end w:w="0" w:type="dxa"/>
            </w:tcMar>
          </w:tcPr>
          <w:p>
            <w:pPr>
              <w:autoSpaceDN w:val="0"/>
              <w:autoSpaceDE w:val="0"/>
              <w:widowControl/>
              <w:spacing w:line="138" w:lineRule="exact" w:before="64" w:after="0"/>
              <w:ind w:left="0" w:right="0" w:firstLine="0"/>
              <w:jc w:val="left"/>
            </w:pPr>
            <w:r>
              <w:rPr>
                <w:rFonts w:ascii="黑体" w:hAnsi="黑体" w:eastAsia="黑体"/>
                <w:b w:val="0"/>
                <w:i w:val="0"/>
                <w:color w:val="000000"/>
                <w:sz w:val="14"/>
              </w:rPr>
              <w:t>衍生金融负债</w:t>
            </w:r>
          </w:p>
        </w:tc>
        <w:tc>
          <w:tcPr>
            <w:tcW w:type="dxa" w:w="1210"/>
            <w:tcBorders>
              <w:bottom w:sz="3.200000000000273" w:val="single" w:color="#000000"/>
            </w:tcBorders>
            <w:tcMar>
              <w:start w:w="0" w:type="dxa"/>
              <w:end w:w="0" w:type="dxa"/>
            </w:tcMar>
          </w:tcPr>
          <w:p>
            <w:pPr>
              <w:autoSpaceDN w:val="0"/>
              <w:autoSpaceDE w:val="0"/>
              <w:widowControl/>
              <w:spacing w:line="233" w:lineRule="auto" w:before="66" w:after="0"/>
              <w:ind w:left="238" w:right="0" w:firstLine="0"/>
              <w:jc w:val="left"/>
            </w:pPr>
            <w:r>
              <w:rPr>
                <w:rFonts w:ascii="Arial" w:hAnsi="Arial" w:eastAsia="Arial"/>
                <w:b w:val="0"/>
                <w:i w:val="0"/>
                <w:color w:val="000000"/>
                <w:sz w:val="14"/>
              </w:rPr>
              <w:t xml:space="preserve">(104,342,153) </w:t>
            </w:r>
          </w:p>
        </w:tc>
        <w:tc>
          <w:tcPr>
            <w:tcW w:type="dxa" w:w="910"/>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118"/>
            <w:tcBorders>
              <w:bottom w:sz="3.200000000000273" w:val="single" w:color="#000000"/>
            </w:tcBorders>
            <w:tcMar>
              <w:start w:w="0" w:type="dxa"/>
              <w:end w:w="0" w:type="dxa"/>
            </w:tcMar>
          </w:tcPr>
          <w:p>
            <w:pPr>
              <w:autoSpaceDN w:val="0"/>
              <w:autoSpaceDE w:val="0"/>
              <w:widowControl/>
              <w:spacing w:line="233" w:lineRule="auto" w:before="66" w:after="0"/>
              <w:ind w:left="0" w:right="0" w:firstLine="0"/>
              <w:jc w:val="right"/>
            </w:pPr>
            <w:r>
              <w:rPr>
                <w:rFonts w:ascii="Arial" w:hAnsi="Arial" w:eastAsia="Arial"/>
                <w:b w:val="0"/>
                <w:i w:val="0"/>
                <w:color w:val="000000"/>
                <w:sz w:val="14"/>
              </w:rPr>
              <w:t>-</w:t>
            </w:r>
          </w:p>
        </w:tc>
        <w:tc>
          <w:tcPr>
            <w:tcW w:type="dxa" w:w="1206"/>
            <w:tcBorders>
              <w:bottom w:sz="3.200000000000273" w:val="single" w:color="#000000"/>
            </w:tcBorders>
            <w:tcMar>
              <w:start w:w="0" w:type="dxa"/>
              <w:end w:w="0" w:type="dxa"/>
            </w:tcMar>
          </w:tcPr>
          <w:p>
            <w:pPr>
              <w:autoSpaceDN w:val="0"/>
              <w:autoSpaceDE w:val="0"/>
              <w:widowControl/>
              <w:spacing w:line="233" w:lineRule="auto" w:before="66" w:after="0"/>
              <w:ind w:left="0" w:right="90" w:firstLine="0"/>
              <w:jc w:val="right"/>
            </w:pPr>
            <w:r>
              <w:rPr>
                <w:rFonts w:ascii="Arial" w:hAnsi="Arial" w:eastAsia="Arial"/>
                <w:b w:val="0"/>
                <w:i w:val="0"/>
                <w:color w:val="000000"/>
                <w:sz w:val="14"/>
              </w:rPr>
              <w:t xml:space="preserve">4,568,115 </w:t>
            </w:r>
          </w:p>
        </w:tc>
        <w:tc>
          <w:tcPr>
            <w:tcW w:type="dxa" w:w="1242"/>
            <w:tcBorders>
              <w:bottom w:sz="3.200000000000273" w:val="single" w:color="#000000"/>
            </w:tcBorders>
            <w:tcMar>
              <w:start w:w="0" w:type="dxa"/>
              <w:end w:w="0" w:type="dxa"/>
            </w:tcMar>
          </w:tcPr>
          <w:p>
            <w:pPr>
              <w:autoSpaceDN w:val="0"/>
              <w:autoSpaceDE w:val="0"/>
              <w:widowControl/>
              <w:spacing w:line="233" w:lineRule="auto" w:before="66" w:after="0"/>
              <w:ind w:left="0" w:right="2" w:firstLine="0"/>
              <w:jc w:val="right"/>
            </w:pPr>
            <w:r>
              <w:rPr>
                <w:rFonts w:ascii="Arial" w:hAnsi="Arial" w:eastAsia="Arial"/>
                <w:b w:val="0"/>
                <w:i w:val="0"/>
                <w:color w:val="000000"/>
                <w:sz w:val="14"/>
              </w:rPr>
              <w:t>8,952,306</w:t>
            </w:r>
          </w:p>
        </w:tc>
        <w:tc>
          <w:tcPr>
            <w:tcW w:type="dxa" w:w="1402"/>
            <w:tcBorders>
              <w:bottom w:sz="3.200000000000273" w:val="single" w:color="#000000"/>
            </w:tcBorders>
            <w:tcMar>
              <w:start w:w="0" w:type="dxa"/>
              <w:end w:w="0" w:type="dxa"/>
            </w:tcMar>
          </w:tcPr>
          <w:p>
            <w:pPr>
              <w:autoSpaceDN w:val="0"/>
              <w:autoSpaceDE w:val="0"/>
              <w:widowControl/>
              <w:spacing w:line="233" w:lineRule="auto" w:before="66" w:after="0"/>
              <w:ind w:left="0" w:right="86" w:firstLine="0"/>
              <w:jc w:val="right"/>
            </w:pPr>
            <w:r>
              <w:rPr>
                <w:rFonts w:ascii="Arial" w:hAnsi="Arial" w:eastAsia="Arial"/>
                <w:b w:val="0"/>
                <w:i w:val="0"/>
                <w:color w:val="000000"/>
                <w:sz w:val="14"/>
              </w:rPr>
              <w:t xml:space="preserve">(82,755,035) </w:t>
            </w:r>
          </w:p>
        </w:tc>
        <w:tc>
          <w:tcPr>
            <w:tcW w:type="dxa" w:w="1480"/>
            <w:tcBorders>
              <w:bottom w:sz="3.200000000000273" w:val="single" w:color="#000000"/>
            </w:tcBorders>
            <w:tcMar>
              <w:start w:w="0" w:type="dxa"/>
              <w:end w:w="0" w:type="dxa"/>
            </w:tcMar>
          </w:tcPr>
          <w:p>
            <w:pPr>
              <w:autoSpaceDN w:val="0"/>
              <w:autoSpaceDE w:val="0"/>
              <w:widowControl/>
              <w:spacing w:line="233" w:lineRule="auto" w:before="66" w:after="0"/>
              <w:ind w:left="0" w:right="170" w:firstLine="0"/>
              <w:jc w:val="right"/>
            </w:pPr>
            <w:r>
              <w:rPr>
                <w:rFonts w:ascii="Arial" w:hAnsi="Arial" w:eastAsia="Arial"/>
                <w:b w:val="0"/>
                <w:i w:val="0"/>
                <w:color w:val="000000"/>
                <w:sz w:val="14"/>
              </w:rPr>
              <w:t>-</w:t>
            </w:r>
          </w:p>
        </w:tc>
        <w:tc>
          <w:tcPr>
            <w:tcW w:type="dxa" w:w="1314"/>
            <w:tcBorders>
              <w:bottom w:sz="3.200000000000273" w:val="single" w:color="#000000"/>
            </w:tcBorders>
            <w:tcMar>
              <w:start w:w="0" w:type="dxa"/>
              <w:end w:w="0" w:type="dxa"/>
            </w:tcMar>
          </w:tcPr>
          <w:p>
            <w:pPr>
              <w:autoSpaceDN w:val="0"/>
              <w:autoSpaceDE w:val="0"/>
              <w:widowControl/>
              <w:spacing w:line="233" w:lineRule="auto" w:before="66" w:after="0"/>
              <w:ind w:left="0" w:right="166" w:firstLine="0"/>
              <w:jc w:val="right"/>
            </w:pPr>
            <w:r>
              <w:rPr>
                <w:rFonts w:ascii="Arial" w:hAnsi="Arial" w:eastAsia="Arial"/>
                <w:b w:val="0"/>
                <w:i w:val="0"/>
                <w:color w:val="000000"/>
                <w:sz w:val="14"/>
              </w:rPr>
              <w:t>-</w:t>
            </w:r>
          </w:p>
        </w:tc>
        <w:tc>
          <w:tcPr>
            <w:tcW w:type="dxa" w:w="1090"/>
            <w:tcBorders>
              <w:bottom w:sz="3.200000000000273" w:val="single" w:color="#000000"/>
            </w:tcBorders>
            <w:tcMar>
              <w:start w:w="0" w:type="dxa"/>
              <w:end w:w="0" w:type="dxa"/>
            </w:tcMar>
          </w:tcPr>
          <w:p>
            <w:pPr>
              <w:autoSpaceDN w:val="0"/>
              <w:autoSpaceDE w:val="0"/>
              <w:widowControl/>
              <w:spacing w:line="233" w:lineRule="auto" w:before="66" w:after="0"/>
              <w:ind w:left="0" w:right="64" w:firstLine="0"/>
              <w:jc w:val="right"/>
            </w:pPr>
            <w:r>
              <w:rPr>
                <w:rFonts w:ascii="Arial" w:hAnsi="Arial" w:eastAsia="Arial"/>
                <w:b w:val="0"/>
                <w:i w:val="0"/>
                <w:color w:val="000000"/>
                <w:sz w:val="14"/>
              </w:rPr>
              <w:t xml:space="preserve">85,423,400 </w:t>
            </w:r>
          </w:p>
        </w:tc>
        <w:tc>
          <w:tcPr>
            <w:tcW w:type="dxa" w:w="1166"/>
            <w:tcBorders>
              <w:bottom w:sz="3.200000000000273" w:val="single" w:color="#000000"/>
            </w:tcBorders>
            <w:tcMar>
              <w:start w:w="0" w:type="dxa"/>
              <w:end w:w="0" w:type="dxa"/>
            </w:tcMar>
          </w:tcPr>
          <w:p>
            <w:pPr>
              <w:autoSpaceDN w:val="0"/>
              <w:autoSpaceDE w:val="0"/>
              <w:widowControl/>
              <w:spacing w:line="233" w:lineRule="auto" w:before="66" w:after="0"/>
              <w:ind w:left="0" w:right="4" w:firstLine="0"/>
              <w:jc w:val="right"/>
            </w:pPr>
            <w:r>
              <w:rPr>
                <w:rFonts w:ascii="Arial" w:hAnsi="Arial" w:eastAsia="Arial"/>
                <w:b w:val="0"/>
                <w:i w:val="0"/>
                <w:color w:val="000000"/>
                <w:sz w:val="14"/>
              </w:rPr>
              <w:t xml:space="preserve">(88,153,367) </w:t>
            </w:r>
          </w:p>
        </w:tc>
      </w:tr>
      <w:tr>
        <w:trPr>
          <w:trHeight w:hRule="exact" w:val="428"/>
        </w:trPr>
        <w:tc>
          <w:tcPr>
            <w:tcW w:type="dxa" w:w="1942"/>
            <w:tcBorders>
              <w:top w:sz="3.200000000000273" w:val="single" w:color="#000000"/>
              <w:bottom w:sz="3.199999999999818" w:val="single" w:color="#000000"/>
            </w:tcBorders>
            <w:tcMar>
              <w:start w:w="0" w:type="dxa"/>
              <w:end w:w="0" w:type="dxa"/>
            </w:tcMar>
          </w:tcPr>
          <w:p>
            <w:pPr>
              <w:autoSpaceDN w:val="0"/>
              <w:autoSpaceDE w:val="0"/>
              <w:widowControl/>
              <w:spacing w:line="140" w:lineRule="exact" w:before="254" w:after="0"/>
              <w:ind w:left="0" w:right="0" w:firstLine="0"/>
              <w:jc w:val="center"/>
            </w:pPr>
            <w:r>
              <w:rPr>
                <w:rFonts w:ascii="黑体" w:hAnsi="黑体" w:eastAsia="黑体"/>
                <w:b w:val="0"/>
                <w:i w:val="0"/>
                <w:color w:val="000000"/>
                <w:sz w:val="14"/>
              </w:rPr>
              <w:t>持续以公允价值计量负债总计</w:t>
            </w:r>
          </w:p>
        </w:tc>
        <w:tc>
          <w:tcPr>
            <w:tcW w:type="dxa" w:w="121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238" w:right="0" w:firstLine="0"/>
              <w:jc w:val="left"/>
            </w:pPr>
            <w:r>
              <w:rPr>
                <w:rFonts w:ascii="Arial" w:hAnsi="Arial" w:eastAsia="Arial"/>
                <w:b w:val="0"/>
                <w:i w:val="0"/>
                <w:color w:val="000000"/>
                <w:sz w:val="14"/>
              </w:rPr>
              <w:t xml:space="preserve">(358,850,203) </w:t>
            </w:r>
          </w:p>
        </w:tc>
        <w:tc>
          <w:tcPr>
            <w:tcW w:type="dxa" w:w="91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118"/>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0" w:firstLine="0"/>
              <w:jc w:val="right"/>
            </w:pPr>
            <w:r>
              <w:rPr>
                <w:rFonts w:ascii="Arial" w:hAnsi="Arial" w:eastAsia="Arial"/>
                <w:b w:val="0"/>
                <w:i w:val="0"/>
                <w:color w:val="000000"/>
                <w:sz w:val="14"/>
              </w:rPr>
              <w:t>-</w:t>
            </w:r>
          </w:p>
        </w:tc>
        <w:tc>
          <w:tcPr>
            <w:tcW w:type="dxa" w:w="1206"/>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44" w:firstLine="0"/>
              <w:jc w:val="right"/>
            </w:pPr>
            <w:r>
              <w:rPr>
                <w:rFonts w:ascii="Arial" w:hAnsi="Arial" w:eastAsia="Arial"/>
                <w:b w:val="0"/>
                <w:i w:val="0"/>
                <w:color w:val="000000"/>
                <w:sz w:val="14"/>
              </w:rPr>
              <w:t xml:space="preserve">(19,850,714 ) </w:t>
            </w:r>
          </w:p>
        </w:tc>
        <w:tc>
          <w:tcPr>
            <w:tcW w:type="dxa" w:w="1242"/>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2" w:firstLine="0"/>
              <w:jc w:val="right"/>
            </w:pPr>
            <w:r>
              <w:rPr>
                <w:rFonts w:ascii="Arial" w:hAnsi="Arial" w:eastAsia="Arial"/>
                <w:b w:val="0"/>
                <w:i w:val="0"/>
                <w:color w:val="000000"/>
                <w:sz w:val="14"/>
              </w:rPr>
              <w:t>8,952,306</w:t>
            </w:r>
          </w:p>
        </w:tc>
        <w:tc>
          <w:tcPr>
            <w:tcW w:type="dxa" w:w="1402"/>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86" w:firstLine="0"/>
              <w:jc w:val="right"/>
            </w:pPr>
            <w:r>
              <w:rPr>
                <w:rFonts w:ascii="Arial" w:hAnsi="Arial" w:eastAsia="Arial"/>
                <w:b w:val="0"/>
                <w:i w:val="0"/>
                <w:color w:val="000000"/>
                <w:sz w:val="14"/>
              </w:rPr>
              <w:t xml:space="preserve">(82,755,035) </w:t>
            </w:r>
          </w:p>
        </w:tc>
        <w:tc>
          <w:tcPr>
            <w:tcW w:type="dxa" w:w="148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86" w:firstLine="0"/>
              <w:jc w:val="right"/>
            </w:pPr>
            <w:r>
              <w:rPr>
                <w:rFonts w:ascii="Arial" w:hAnsi="Arial" w:eastAsia="Arial"/>
                <w:b w:val="0"/>
                <w:i w:val="0"/>
                <w:color w:val="000000"/>
                <w:sz w:val="14"/>
              </w:rPr>
              <w:t xml:space="preserve">(167,400,000) </w:t>
            </w:r>
          </w:p>
        </w:tc>
        <w:tc>
          <w:tcPr>
            <w:tcW w:type="dxa" w:w="1314"/>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0" w:right="166" w:firstLine="0"/>
              <w:jc w:val="right"/>
            </w:pPr>
            <w:r>
              <w:rPr>
                <w:rFonts w:ascii="Arial" w:hAnsi="Arial" w:eastAsia="Arial"/>
                <w:b w:val="0"/>
                <w:i w:val="0"/>
                <w:color w:val="000000"/>
                <w:sz w:val="14"/>
              </w:rPr>
              <w:t>-</w:t>
            </w:r>
          </w:p>
        </w:tc>
        <w:tc>
          <w:tcPr>
            <w:tcW w:type="dxa" w:w="1090"/>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210" w:right="0" w:firstLine="0"/>
              <w:jc w:val="left"/>
            </w:pPr>
            <w:r>
              <w:rPr>
                <w:rFonts w:ascii="Arial" w:hAnsi="Arial" w:eastAsia="Arial"/>
                <w:b w:val="0"/>
                <w:i w:val="0"/>
                <w:color w:val="000000"/>
                <w:sz w:val="14"/>
              </w:rPr>
              <w:t xml:space="preserve">373,533,400 </w:t>
            </w:r>
          </w:p>
        </w:tc>
        <w:tc>
          <w:tcPr>
            <w:tcW w:type="dxa" w:w="1166"/>
            <w:tcBorders>
              <w:top w:sz="3.200000000000273" w:val="single" w:color="#000000"/>
              <w:bottom w:sz="3.199999999999818" w:val="single" w:color="#000000"/>
            </w:tcBorders>
            <w:tcMar>
              <w:start w:w="0" w:type="dxa"/>
              <w:end w:w="0" w:type="dxa"/>
            </w:tcMar>
          </w:tcPr>
          <w:p>
            <w:pPr>
              <w:autoSpaceDN w:val="0"/>
              <w:autoSpaceDE w:val="0"/>
              <w:widowControl/>
              <w:spacing w:line="230" w:lineRule="auto" w:before="260" w:after="0"/>
              <w:ind w:left="252" w:right="0" w:firstLine="0"/>
              <w:jc w:val="left"/>
            </w:pPr>
            <w:r>
              <w:rPr>
                <w:rFonts w:ascii="Arial" w:hAnsi="Arial" w:eastAsia="Arial"/>
                <w:b w:val="0"/>
                <w:i w:val="0"/>
                <w:color w:val="000000"/>
                <w:sz w:val="14"/>
              </w:rPr>
              <w:t xml:space="preserve">(246,370,246) </w:t>
            </w:r>
          </w:p>
        </w:tc>
      </w:tr>
      <w:tr>
        <w:trPr>
          <w:trHeight w:hRule="exact" w:val="50"/>
        </w:trPr>
        <w:tc>
          <w:tcPr>
            <w:tcW w:type="dxa" w:w="1942"/>
            <w:tcBorders>
              <w:top w:sz="3.199999999999818" w:val="single" w:color="#000000"/>
            </w:tcBorders>
            <w:tcMar>
              <w:start w:w="0" w:type="dxa"/>
              <w:end w:w="0" w:type="dxa"/>
            </w:tcMar>
          </w:tcPr>
          <w:p/>
        </w:tc>
        <w:tc>
          <w:tcPr>
            <w:tcW w:type="dxa" w:w="1210"/>
            <w:tcBorders>
              <w:top w:sz="3.199999999999818" w:val="single" w:color="#000000"/>
            </w:tcBorders>
            <w:tcMar>
              <w:start w:w="0" w:type="dxa"/>
              <w:end w:w="0" w:type="dxa"/>
            </w:tcMar>
          </w:tcPr>
          <w:p/>
        </w:tc>
        <w:tc>
          <w:tcPr>
            <w:tcW w:type="dxa" w:w="910"/>
            <w:tcBorders>
              <w:top w:sz="3.199999999999818" w:val="single" w:color="#000000"/>
            </w:tcBorders>
            <w:tcMar>
              <w:start w:w="0" w:type="dxa"/>
              <w:end w:w="0" w:type="dxa"/>
            </w:tcMar>
          </w:tcPr>
          <w:p/>
        </w:tc>
        <w:tc>
          <w:tcPr>
            <w:tcW w:type="dxa" w:w="1118"/>
            <w:tcBorders>
              <w:top w:sz="3.199999999999818" w:val="single" w:color="#000000"/>
            </w:tcBorders>
            <w:tcMar>
              <w:start w:w="0" w:type="dxa"/>
              <w:end w:w="0" w:type="dxa"/>
            </w:tcMar>
          </w:tcPr>
          <w:p/>
        </w:tc>
        <w:tc>
          <w:tcPr>
            <w:tcW w:type="dxa" w:w="1206"/>
            <w:tcBorders>
              <w:top w:sz="3.199999999999818" w:val="single" w:color="#000000"/>
            </w:tcBorders>
            <w:tcMar>
              <w:start w:w="0" w:type="dxa"/>
              <w:end w:w="0" w:type="dxa"/>
            </w:tcMar>
          </w:tcPr>
          <w:p/>
        </w:tc>
        <w:tc>
          <w:tcPr>
            <w:tcW w:type="dxa" w:w="1242"/>
            <w:tcBorders>
              <w:top w:sz="3.199999999999818" w:val="single" w:color="#000000"/>
            </w:tcBorders>
            <w:tcMar>
              <w:start w:w="0" w:type="dxa"/>
              <w:end w:w="0" w:type="dxa"/>
            </w:tcMar>
          </w:tcPr>
          <w:p/>
        </w:tc>
        <w:tc>
          <w:tcPr>
            <w:tcW w:type="dxa" w:w="1402"/>
            <w:tcBorders>
              <w:top w:sz="3.199999999999818" w:val="single" w:color="#000000"/>
            </w:tcBorders>
            <w:tcMar>
              <w:start w:w="0" w:type="dxa"/>
              <w:end w:w="0" w:type="dxa"/>
            </w:tcMar>
          </w:tcPr>
          <w:p/>
        </w:tc>
        <w:tc>
          <w:tcPr>
            <w:tcW w:type="dxa" w:w="1480"/>
            <w:tcBorders>
              <w:top w:sz="3.199999999999818" w:val="single" w:color="#000000"/>
            </w:tcBorders>
            <w:tcMar>
              <w:start w:w="0" w:type="dxa"/>
              <w:end w:w="0" w:type="dxa"/>
            </w:tcMar>
          </w:tcPr>
          <w:p/>
        </w:tc>
        <w:tc>
          <w:tcPr>
            <w:tcW w:type="dxa" w:w="1314"/>
            <w:tcBorders>
              <w:top w:sz="3.199999999999818" w:val="single" w:color="#000000"/>
            </w:tcBorders>
            <w:tcMar>
              <w:start w:w="0" w:type="dxa"/>
              <w:end w:w="0" w:type="dxa"/>
            </w:tcMar>
          </w:tcPr>
          <w:p/>
        </w:tc>
        <w:tc>
          <w:tcPr>
            <w:tcW w:type="dxa" w:w="1090"/>
            <w:tcBorders>
              <w:top w:sz="3.199999999999818" w:val="single" w:color="#000000"/>
            </w:tcBorders>
            <w:tcMar>
              <w:start w:w="0" w:type="dxa"/>
              <w:end w:w="0" w:type="dxa"/>
            </w:tcMar>
          </w:tcPr>
          <w:p/>
        </w:tc>
        <w:tc>
          <w:tcPr>
            <w:tcW w:type="dxa" w:w="1166"/>
            <w:tcBorders>
              <w:top w:sz="3.199999999999818" w:val="single" w:color="#000000"/>
            </w:tcBorders>
            <w:tcMar>
              <w:start w:w="0" w:type="dxa"/>
              <w:end w:w="0" w:type="dxa"/>
            </w:tcMar>
          </w:tcPr>
          <w:p/>
        </w:tc>
      </w:tr>
    </w:tbl>
    <w:p>
      <w:pPr>
        <w:autoSpaceDN w:val="0"/>
        <w:autoSpaceDE w:val="0"/>
        <w:widowControl/>
        <w:spacing w:line="233" w:lineRule="auto" w:before="4712" w:after="0"/>
        <w:ind w:left="0" w:right="0" w:firstLine="0"/>
        <w:jc w:val="center"/>
      </w:pPr>
      <w:r>
        <w:rPr>
          <w:rFonts w:ascii="Arial" w:hAnsi="Arial" w:eastAsia="Arial"/>
          <w:b w:val="0"/>
          <w:i w:val="0"/>
          <w:color w:val="000000"/>
          <w:sz w:val="20"/>
        </w:rPr>
        <w:t xml:space="preserve">299 </w:t>
      </w:r>
    </w:p>
    <w:p>
      <w:pPr>
        <w:sectPr>
          <w:pgSz w:w="16841" w:h="11899"/>
          <w:pgMar w:top="1166" w:right="1304"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16" w:val="left"/>
        </w:tabs>
        <w:autoSpaceDE w:val="0"/>
        <w:widowControl/>
        <w:spacing w:line="348" w:lineRule="exact" w:before="0" w:after="0"/>
        <w:ind w:left="358" w:right="288" w:firstLine="0"/>
        <w:jc w:val="left"/>
      </w:pPr>
      <w:r>
        <w:rPr>
          <w:rFonts w:ascii="黑体" w:hAnsi="黑体" w:eastAsia="黑体"/>
          <w:b w:val="0"/>
          <w:i w:val="0"/>
          <w:color w:val="000000"/>
          <w:sz w:val="22"/>
        </w:rPr>
        <w:t>十二、公允价值的披露（续）</w:t>
      </w:r>
      <w:r>
        <w:br/>
      </w:r>
      <w:r>
        <w:rPr>
          <w:rFonts w:ascii="Arial,Bold" w:hAnsi="Arial,Bold" w:eastAsia="Arial,Bold"/>
          <w:b/>
          <w:i w:val="0"/>
          <w:color w:val="000000"/>
          <w:sz w:val="22"/>
        </w:rPr>
        <w:t xml:space="preserve">2. </w:t>
      </w:r>
      <w:r>
        <w:rPr>
          <w:rFonts w:ascii="黑体" w:hAnsi="黑体" w:eastAsia="黑体"/>
          <w:b w:val="0"/>
          <w:i w:val="0"/>
          <w:color w:val="000000"/>
          <w:sz w:val="22"/>
        </w:rPr>
        <w:t>不以公允价值计量的金融资产与金融负债的公允价值情况</w:t>
      </w:r>
      <w:r>
        <w:br/>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日及</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日，本集团不以公允价值计量的金融资产和金融</w:t>
      </w:r>
      <w:r>
        <w:rPr>
          <w:rFonts w:ascii="黑体" w:hAnsi="黑体" w:eastAsia="黑体"/>
          <w:b w:val="0"/>
          <w:i w:val="0"/>
          <w:color w:val="000000"/>
          <w:sz w:val="22"/>
        </w:rPr>
        <w:t>负债主要包括货币资金、结算备付金、融出资金、买入返售金融资产、应收款项、存</w:t>
      </w:r>
      <w:r>
        <w:rPr>
          <w:rFonts w:ascii="黑体" w:hAnsi="黑体" w:eastAsia="黑体"/>
          <w:b w:val="0"/>
          <w:i w:val="0"/>
          <w:color w:val="000000"/>
          <w:sz w:val="22"/>
        </w:rPr>
        <w:t>出保证金、债权投资、应付短期融资款、拆入资金、代理买卖证券款、代理承销证券</w:t>
      </w:r>
      <w:r>
        <w:rPr>
          <w:rFonts w:ascii="黑体" w:hAnsi="黑体" w:eastAsia="黑体"/>
          <w:b w:val="0"/>
          <w:i w:val="0"/>
          <w:color w:val="000000"/>
          <w:sz w:val="22"/>
        </w:rPr>
        <w:t>款及应付债券等，除应付债券外，其他金融资产和金融负债的账面价值与公允价值之</w:t>
      </w:r>
      <w:r>
        <w:rPr>
          <w:rFonts w:ascii="黑体" w:hAnsi="黑体" w:eastAsia="黑体"/>
          <w:b w:val="0"/>
          <w:i w:val="0"/>
          <w:color w:val="000000"/>
          <w:sz w:val="22"/>
        </w:rPr>
        <w:t>间无重大差异。</w:t>
      </w:r>
    </w:p>
    <w:p>
      <w:pPr>
        <w:autoSpaceDN w:val="0"/>
        <w:autoSpaceDE w:val="0"/>
        <w:widowControl/>
        <w:spacing w:line="284" w:lineRule="exact" w:before="270" w:after="0"/>
        <w:ind w:left="358" w:right="288" w:firstLine="0"/>
        <w:jc w:val="left"/>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日应付债券的公允价值约为人民币</w:t>
      </w:r>
      <w:r>
        <w:rPr>
          <w:rFonts w:ascii="Arial" w:hAnsi="Arial" w:eastAsia="Arial"/>
          <w:b w:val="0"/>
          <w:i w:val="0"/>
          <w:color w:val="000000"/>
          <w:sz w:val="22"/>
        </w:rPr>
        <w:t>153.46</w:t>
      </w:r>
      <w:r>
        <w:rPr>
          <w:rFonts w:ascii="黑体" w:hAnsi="黑体" w:eastAsia="黑体"/>
          <w:b w:val="0"/>
          <w:i w:val="0"/>
          <w:color w:val="000000"/>
          <w:sz w:val="22"/>
        </w:rPr>
        <w:t>亿元（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人民币</w:t>
      </w:r>
      <w:r>
        <w:rPr>
          <w:rFonts w:ascii="Arial" w:hAnsi="Arial" w:eastAsia="Arial"/>
          <w:b w:val="0"/>
          <w:i w:val="0"/>
          <w:color w:val="000000"/>
          <w:sz w:val="22"/>
        </w:rPr>
        <w:t>158.30</w:t>
      </w:r>
      <w:r>
        <w:rPr>
          <w:rFonts w:ascii="黑体" w:hAnsi="黑体" w:eastAsia="黑体"/>
          <w:b w:val="0"/>
          <w:i w:val="0"/>
          <w:color w:val="000000"/>
          <w:sz w:val="22"/>
        </w:rPr>
        <w:t>亿元）。</w:t>
      </w:r>
    </w:p>
    <w:p>
      <w:pPr>
        <w:autoSpaceDN w:val="0"/>
        <w:autoSpaceDE w:val="0"/>
        <w:widowControl/>
        <w:spacing w:line="233" w:lineRule="auto" w:before="10646" w:after="0"/>
        <w:ind w:left="0" w:right="0" w:firstLine="0"/>
        <w:jc w:val="center"/>
      </w:pPr>
      <w:r>
        <w:rPr>
          <w:rFonts w:ascii="Arial" w:hAnsi="Arial" w:eastAsia="Arial"/>
          <w:b w:val="0"/>
          <w:i w:val="0"/>
          <w:color w:val="000000"/>
          <w:sz w:val="20"/>
        </w:rPr>
        <w:t xml:space="preserve">300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十三、资本管理</w:t>
      </w:r>
    </w:p>
    <w:p>
      <w:pPr>
        <w:autoSpaceDN w:val="0"/>
        <w:autoSpaceDE w:val="0"/>
        <w:widowControl/>
        <w:spacing w:line="286" w:lineRule="exact" w:before="252" w:after="0"/>
        <w:ind w:left="358" w:right="360" w:firstLine="0"/>
        <w:jc w:val="both"/>
      </w:pPr>
      <w:r>
        <w:rPr>
          <w:rFonts w:ascii="黑体" w:hAnsi="黑体" w:eastAsia="黑体"/>
          <w:b w:val="0"/>
          <w:i w:val="0"/>
          <w:color w:val="000000"/>
          <w:sz w:val="22"/>
        </w:rPr>
        <w:t>本集团资本管理的主要目标是满足法律和监管要求，同时保障本集团的持续经营，能</w:t>
      </w:r>
      <w:r>
        <w:rPr>
          <w:rFonts w:ascii="黑体" w:hAnsi="黑体" w:eastAsia="黑体"/>
          <w:b w:val="0"/>
          <w:i w:val="0"/>
          <w:color w:val="000000"/>
          <w:sz w:val="22"/>
        </w:rPr>
        <w:t>够通过制定与风险水平相当的产品和服务价格，并确保以合理融资成本获得融资的方</w:t>
      </w:r>
      <w:r>
        <w:rPr>
          <w:rFonts w:ascii="黑体" w:hAnsi="黑体" w:eastAsia="黑体"/>
          <w:b w:val="0"/>
          <w:i w:val="0"/>
          <w:color w:val="000000"/>
          <w:sz w:val="22"/>
        </w:rPr>
        <w:t>式，持续为股东提供回报。</w:t>
      </w:r>
    </w:p>
    <w:p>
      <w:pPr>
        <w:autoSpaceDN w:val="0"/>
        <w:autoSpaceDE w:val="0"/>
        <w:widowControl/>
        <w:spacing w:line="286" w:lineRule="exact" w:before="250" w:after="0"/>
        <w:ind w:left="358" w:right="354" w:firstLine="0"/>
        <w:jc w:val="both"/>
      </w:pPr>
      <w:r>
        <w:rPr>
          <w:rFonts w:ascii="黑体" w:hAnsi="黑体" w:eastAsia="黑体"/>
          <w:b w:val="0"/>
          <w:i w:val="0"/>
          <w:color w:val="000000"/>
          <w:sz w:val="22"/>
        </w:rPr>
        <w:t>本集团按照监管机构的规定计算监管资本，该规定可能与其他司法管辖区的相关规定</w:t>
      </w:r>
      <w:r>
        <w:rPr>
          <w:rFonts w:ascii="黑体" w:hAnsi="黑体" w:eastAsia="黑体"/>
          <w:b w:val="0"/>
          <w:i w:val="0"/>
          <w:color w:val="000000"/>
          <w:sz w:val="22"/>
        </w:rPr>
        <w:t>有显著差异。本公司按照证监会于</w:t>
      </w:r>
      <w:r>
        <w:rPr>
          <w:rFonts w:ascii="Arial" w:hAnsi="Arial" w:eastAsia="Arial"/>
          <w:b w:val="0"/>
          <w:i w:val="0"/>
          <w:color w:val="000000"/>
          <w:sz w:val="22"/>
        </w:rPr>
        <w:t>2020</w:t>
      </w:r>
      <w:r>
        <w:rPr>
          <w:rFonts w:ascii="黑体" w:hAnsi="黑体" w:eastAsia="黑体"/>
          <w:b w:val="0"/>
          <w:i w:val="0"/>
          <w:color w:val="000000"/>
          <w:sz w:val="22"/>
        </w:rPr>
        <w:t>年</w:t>
      </w:r>
      <w:r>
        <w:rPr>
          <w:rFonts w:ascii="Arial" w:hAnsi="Arial" w:eastAsia="Arial"/>
          <w:b w:val="0"/>
          <w:i w:val="0"/>
          <w:color w:val="000000"/>
          <w:sz w:val="22"/>
        </w:rPr>
        <w:t>1</w:t>
      </w:r>
      <w:r>
        <w:rPr>
          <w:rFonts w:ascii="黑体" w:hAnsi="黑体" w:eastAsia="黑体"/>
          <w:b w:val="0"/>
          <w:i w:val="0"/>
          <w:color w:val="000000"/>
          <w:sz w:val="22"/>
        </w:rPr>
        <w:t>月</w:t>
      </w:r>
      <w:r>
        <w:rPr>
          <w:rFonts w:ascii="Arial" w:hAnsi="Arial" w:eastAsia="Arial"/>
          <w:b w:val="0"/>
          <w:i w:val="0"/>
          <w:color w:val="000000"/>
          <w:sz w:val="22"/>
        </w:rPr>
        <w:t>23</w:t>
      </w:r>
      <w:r>
        <w:rPr>
          <w:rFonts w:ascii="黑体" w:hAnsi="黑体" w:eastAsia="黑体"/>
          <w:b w:val="0"/>
          <w:i w:val="0"/>
          <w:color w:val="000000"/>
          <w:sz w:val="22"/>
        </w:rPr>
        <w:t>日发布的《证券公司风险控制指标计</w:t>
      </w:r>
      <w:r>
        <w:rPr>
          <w:rFonts w:ascii="黑体" w:hAnsi="黑体" w:eastAsia="黑体"/>
          <w:b w:val="0"/>
          <w:i w:val="0"/>
          <w:color w:val="000000"/>
          <w:sz w:val="22"/>
        </w:rPr>
        <w:t>算标准规定（</w:t>
      </w:r>
      <w:r>
        <w:rPr>
          <w:rFonts w:ascii="Arial" w:hAnsi="Arial" w:eastAsia="Arial"/>
          <w:b w:val="0"/>
          <w:i w:val="0"/>
          <w:color w:val="000000"/>
          <w:sz w:val="22"/>
        </w:rPr>
        <w:t>2020</w:t>
      </w:r>
      <w:r>
        <w:rPr>
          <w:rFonts w:ascii="黑体" w:hAnsi="黑体" w:eastAsia="黑体"/>
          <w:b w:val="0"/>
          <w:i w:val="0"/>
          <w:color w:val="000000"/>
          <w:sz w:val="22"/>
        </w:rPr>
        <w:t>）》（证监会公告</w:t>
      </w:r>
      <w:r>
        <w:rPr>
          <w:rFonts w:ascii="Arial" w:hAnsi="Arial" w:eastAsia="Arial"/>
          <w:b w:val="0"/>
          <w:i w:val="0"/>
          <w:color w:val="000000"/>
          <w:sz w:val="22"/>
        </w:rPr>
        <w:t>[2020]10</w:t>
      </w:r>
      <w:r>
        <w:rPr>
          <w:rFonts w:ascii="黑体" w:hAnsi="黑体" w:eastAsia="黑体"/>
          <w:b w:val="0"/>
          <w:i w:val="0"/>
          <w:color w:val="000000"/>
          <w:sz w:val="22"/>
        </w:rPr>
        <w:t>号）计算净资本。于相关报告期内，本</w:t>
      </w:r>
      <w:r>
        <w:rPr>
          <w:rFonts w:ascii="黑体" w:hAnsi="黑体" w:eastAsia="黑体"/>
          <w:b w:val="0"/>
          <w:i w:val="0"/>
          <w:color w:val="000000"/>
          <w:sz w:val="22"/>
        </w:rPr>
        <w:t>公司的净资本金额满足证监会规定的最低净资本要求。</w:t>
      </w:r>
    </w:p>
    <w:p>
      <w:pPr>
        <w:autoSpaceDN w:val="0"/>
        <w:autoSpaceDE w:val="0"/>
        <w:widowControl/>
        <w:spacing w:line="286" w:lineRule="exact" w:before="252" w:after="0"/>
        <w:ind w:left="358" w:right="288" w:firstLine="0"/>
        <w:jc w:val="left"/>
      </w:pPr>
      <w:r>
        <w:rPr>
          <w:rFonts w:ascii="黑体" w:hAnsi="黑体" w:eastAsia="黑体"/>
          <w:b w:val="0"/>
          <w:i w:val="0"/>
          <w:color w:val="000000"/>
          <w:sz w:val="22"/>
        </w:rPr>
        <w:t>本公司下属子公司中德证券、格林大华及山证资管亦按照证监会的相关监管要求计算</w:t>
      </w:r>
      <w:r>
        <w:rPr>
          <w:rFonts w:ascii="黑体" w:hAnsi="黑体" w:eastAsia="黑体"/>
          <w:b w:val="0"/>
          <w:i w:val="0"/>
          <w:color w:val="000000"/>
          <w:sz w:val="22"/>
        </w:rPr>
        <w:t>监管资本，并确保净资本满足证监会规定的净资本要求。</w:t>
      </w:r>
    </w:p>
    <w:p>
      <w:pPr>
        <w:autoSpaceDN w:val="0"/>
        <w:autoSpaceDE w:val="0"/>
        <w:widowControl/>
        <w:spacing w:line="286" w:lineRule="exact" w:before="250" w:after="0"/>
        <w:ind w:left="358" w:right="288" w:firstLine="0"/>
        <w:jc w:val="left"/>
      </w:pPr>
      <w:r>
        <w:rPr>
          <w:rFonts w:ascii="黑体" w:hAnsi="黑体" w:eastAsia="黑体"/>
          <w:b w:val="0"/>
          <w:i w:val="0"/>
          <w:color w:val="000000"/>
          <w:sz w:val="22"/>
        </w:rPr>
        <w:t>基于战略发展计划、业务拓展需求以及风险敞口变化趋势的影响，本集团通过情景分</w:t>
      </w:r>
      <w:r>
        <w:rPr>
          <w:rFonts w:ascii="黑体" w:hAnsi="黑体" w:eastAsia="黑体"/>
          <w:b w:val="0"/>
          <w:i w:val="0"/>
          <w:color w:val="000000"/>
          <w:sz w:val="22"/>
        </w:rPr>
        <w:t>析及压力测试对监管资本进行预测、计划及管理。</w:t>
      </w:r>
    </w:p>
    <w:p>
      <w:pPr>
        <w:autoSpaceDN w:val="0"/>
        <w:autoSpaceDE w:val="0"/>
        <w:widowControl/>
        <w:spacing w:line="220" w:lineRule="exact" w:before="572" w:after="0"/>
        <w:ind w:left="358" w:right="0" w:firstLine="0"/>
        <w:jc w:val="left"/>
      </w:pPr>
      <w:r>
        <w:rPr>
          <w:rFonts w:ascii="黑体" w:hAnsi="黑体" w:eastAsia="黑体"/>
          <w:b w:val="0"/>
          <w:i w:val="0"/>
          <w:color w:val="000000"/>
          <w:sz w:val="22"/>
        </w:rPr>
        <w:t>十四、或有事项</w:t>
      </w:r>
    </w:p>
    <w:p>
      <w:pPr>
        <w:autoSpaceDN w:val="0"/>
        <w:autoSpaceDE w:val="0"/>
        <w:widowControl/>
        <w:spacing w:line="284" w:lineRule="exact" w:before="270" w:after="0"/>
        <w:ind w:left="358" w:right="352" w:firstLine="0"/>
        <w:jc w:val="both"/>
      </w:pPr>
      <w:r>
        <w:rPr>
          <w:rFonts w:ascii="Arial" w:hAnsi="Arial" w:eastAsia="Arial"/>
          <w:b w:val="0"/>
          <w:i w:val="0"/>
          <w:color w:val="000000"/>
          <w:sz w:val="22"/>
        </w:rPr>
        <w:t>2022</w:t>
      </w:r>
      <w:r>
        <w:rPr>
          <w:rFonts w:ascii="黑体" w:hAnsi="黑体" w:eastAsia="黑体"/>
          <w:b w:val="0"/>
          <w:i w:val="0"/>
          <w:color w:val="000000"/>
          <w:sz w:val="22"/>
        </w:rPr>
        <w:t>年</w:t>
      </w:r>
      <w:r>
        <w:rPr>
          <w:rFonts w:ascii="Arial" w:hAnsi="Arial" w:eastAsia="Arial"/>
          <w:b w:val="0"/>
          <w:i w:val="0"/>
          <w:color w:val="000000"/>
          <w:sz w:val="22"/>
        </w:rPr>
        <w:t>1</w:t>
      </w:r>
      <w:r>
        <w:rPr>
          <w:rFonts w:ascii="黑体" w:hAnsi="黑体" w:eastAsia="黑体"/>
          <w:b w:val="0"/>
          <w:i w:val="0"/>
          <w:color w:val="000000"/>
          <w:sz w:val="22"/>
        </w:rPr>
        <w:t>月</w:t>
      </w:r>
      <w:r>
        <w:rPr>
          <w:rFonts w:ascii="Arial" w:hAnsi="Arial" w:eastAsia="Arial"/>
          <w:b w:val="0"/>
          <w:i w:val="0"/>
          <w:color w:val="000000"/>
          <w:sz w:val="22"/>
        </w:rPr>
        <w:t>13</w:t>
      </w:r>
      <w:r>
        <w:rPr>
          <w:rFonts w:ascii="黑体" w:hAnsi="黑体" w:eastAsia="黑体"/>
          <w:b w:val="0"/>
          <w:i w:val="0"/>
          <w:color w:val="000000"/>
          <w:sz w:val="22"/>
        </w:rPr>
        <w:t>日，本公司下属子公司中德证券收到北京金融法院送达的民事起诉状，</w:t>
      </w:r>
      <w:r>
        <w:rPr>
          <w:rFonts w:ascii="黑体" w:hAnsi="黑体" w:eastAsia="黑体"/>
          <w:b w:val="0"/>
          <w:i w:val="0"/>
          <w:color w:val="000000"/>
          <w:sz w:val="22"/>
        </w:rPr>
        <w:t>案由为证券虚假陈述责任纠纷，系两千余名原告向北京金融法院对乐视网信息技术</w:t>
      </w:r>
      <w:r>
        <w:rPr>
          <w:rFonts w:ascii="黑体" w:hAnsi="黑体" w:eastAsia="黑体"/>
          <w:b w:val="0"/>
          <w:i w:val="0"/>
          <w:color w:val="000000"/>
          <w:sz w:val="22"/>
        </w:rPr>
        <w:t>（北京）股份有限公司（以下简称</w:t>
      </w:r>
      <w:r>
        <w:rPr>
          <w:rFonts w:ascii="Arial" w:hAnsi="Arial" w:eastAsia="Arial"/>
          <w:b w:val="0"/>
          <w:i w:val="0"/>
          <w:color w:val="000000"/>
          <w:sz w:val="22"/>
        </w:rPr>
        <w:t>“</w:t>
      </w:r>
      <w:r>
        <w:rPr>
          <w:rFonts w:ascii="黑体" w:hAnsi="黑体" w:eastAsia="黑体"/>
          <w:b w:val="0"/>
          <w:i w:val="0"/>
          <w:color w:val="000000"/>
          <w:sz w:val="22"/>
        </w:rPr>
        <w:t>乐视网</w:t>
      </w:r>
      <w:r>
        <w:rPr>
          <w:rFonts w:ascii="Arial" w:hAnsi="Arial" w:eastAsia="Arial"/>
          <w:b w:val="0"/>
          <w:i w:val="0"/>
          <w:color w:val="000000"/>
          <w:sz w:val="22"/>
        </w:rPr>
        <w:t>”</w:t>
      </w:r>
      <w:r>
        <w:rPr>
          <w:rFonts w:ascii="黑体" w:hAnsi="黑体" w:eastAsia="黑体"/>
          <w:b w:val="0"/>
          <w:i w:val="0"/>
          <w:color w:val="000000"/>
          <w:sz w:val="22"/>
        </w:rPr>
        <w:t>）等二十一名被告提起民事诉讼，要求乐视</w:t>
      </w:r>
      <w:r>
        <w:rPr>
          <w:rFonts w:ascii="黑体" w:hAnsi="黑体" w:eastAsia="黑体"/>
          <w:b w:val="0"/>
          <w:i w:val="0"/>
          <w:color w:val="000000"/>
          <w:sz w:val="22"/>
        </w:rPr>
        <w:t>网赔偿其虚假陈述行为造成的投资损失，中德证券为被告之一，被要求承担连带赔偿</w:t>
      </w:r>
      <w:r>
        <w:rPr>
          <w:rFonts w:ascii="黑体" w:hAnsi="黑体" w:eastAsia="黑体"/>
          <w:b w:val="0"/>
          <w:i w:val="0"/>
          <w:color w:val="000000"/>
          <w:sz w:val="22"/>
        </w:rPr>
        <w:t>责任。</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9</w:t>
      </w:r>
      <w:r>
        <w:rPr>
          <w:rFonts w:ascii="黑体" w:hAnsi="黑体" w:eastAsia="黑体"/>
          <w:b w:val="0"/>
          <w:i w:val="0"/>
          <w:color w:val="000000"/>
          <w:sz w:val="22"/>
        </w:rPr>
        <w:t>月，中德证券收到北京金融法院《民事判决书》【（</w:t>
      </w:r>
      <w:r>
        <w:rPr>
          <w:rFonts w:ascii="Arial" w:hAnsi="Arial" w:eastAsia="Arial"/>
          <w:b w:val="0"/>
          <w:i w:val="0"/>
          <w:color w:val="000000"/>
          <w:sz w:val="22"/>
        </w:rPr>
        <w:t>2021</w:t>
      </w:r>
      <w:r>
        <w:rPr>
          <w:rFonts w:ascii="黑体" w:hAnsi="黑体" w:eastAsia="黑体"/>
          <w:b w:val="0"/>
          <w:i w:val="0"/>
          <w:color w:val="000000"/>
          <w:sz w:val="22"/>
        </w:rPr>
        <w:t>）京</w:t>
      </w:r>
      <w:r>
        <w:rPr>
          <w:rFonts w:ascii="Arial" w:hAnsi="Arial" w:eastAsia="Arial"/>
          <w:b w:val="0"/>
          <w:i w:val="0"/>
          <w:color w:val="000000"/>
          <w:sz w:val="22"/>
        </w:rPr>
        <w:t>74</w:t>
      </w:r>
      <w:r>
        <w:rPr>
          <w:rFonts w:ascii="黑体" w:hAnsi="黑体" w:eastAsia="黑体"/>
          <w:b w:val="0"/>
          <w:i w:val="0"/>
          <w:color w:val="000000"/>
          <w:sz w:val="22"/>
        </w:rPr>
        <w:t>民初</w:t>
      </w:r>
      <w:r>
        <w:rPr>
          <w:rFonts w:ascii="Arial" w:hAnsi="Arial" w:eastAsia="Arial"/>
          <w:b w:val="0"/>
          <w:i w:val="0"/>
          <w:color w:val="000000"/>
          <w:sz w:val="22"/>
        </w:rPr>
        <w:t>111</w:t>
      </w:r>
      <w:r>
        <w:rPr>
          <w:rFonts w:ascii="黑体" w:hAnsi="黑体" w:eastAsia="黑体"/>
          <w:b w:val="0"/>
          <w:i w:val="0"/>
          <w:color w:val="000000"/>
          <w:sz w:val="22"/>
        </w:rPr>
        <w:t>号】，其中涉及中德证券的判决结果为驳回原告投资者对中德证券的诉讼请求。</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10</w:t>
      </w:r>
      <w:r>
        <w:rPr>
          <w:rFonts w:ascii="黑体" w:hAnsi="黑体" w:eastAsia="黑体"/>
          <w:b w:val="0"/>
          <w:i w:val="0"/>
          <w:color w:val="000000"/>
          <w:sz w:val="22"/>
        </w:rPr>
        <w:t>月，中德证券收到北京金融法院送达的《民事上诉状》。上诉人请求改判被上诉人</w:t>
      </w:r>
      <w:r>
        <w:rPr>
          <w:rFonts w:ascii="黑体" w:hAnsi="黑体" w:eastAsia="黑体"/>
          <w:b w:val="0"/>
          <w:i w:val="0"/>
          <w:color w:val="000000"/>
          <w:sz w:val="22"/>
        </w:rPr>
        <w:t>（一审被告中除乐视网及贾跃亭外的二十二名被告）对一审被告一乐视网应支付给全</w:t>
      </w:r>
      <w:r>
        <w:rPr>
          <w:rFonts w:ascii="黑体" w:hAnsi="黑体" w:eastAsia="黑体"/>
          <w:b w:val="0"/>
          <w:i w:val="0"/>
          <w:color w:val="000000"/>
          <w:sz w:val="22"/>
        </w:rPr>
        <w:t>体上诉人（一审原告）的虚假陈述侵权赔偿款项承担全额连带赔偿责任并共同承担本</w:t>
      </w:r>
      <w:r>
        <w:rPr>
          <w:rFonts w:ascii="黑体" w:hAnsi="黑体" w:eastAsia="黑体"/>
          <w:b w:val="0"/>
          <w:i w:val="0"/>
          <w:color w:val="000000"/>
          <w:sz w:val="22"/>
        </w:rPr>
        <w:t>案全部的上诉费用。截至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日，本案二审尚未开庭审理，一审判决尚未生</w:t>
      </w:r>
      <w:r>
        <w:rPr>
          <w:rFonts w:ascii="黑体" w:hAnsi="黑体" w:eastAsia="黑体"/>
          <w:b w:val="0"/>
          <w:i w:val="0"/>
          <w:color w:val="000000"/>
          <w:sz w:val="22"/>
        </w:rPr>
        <w:t>效。</w:t>
      </w:r>
    </w:p>
    <w:p>
      <w:pPr>
        <w:autoSpaceDN w:val="0"/>
        <w:autoSpaceDE w:val="0"/>
        <w:widowControl/>
        <w:spacing w:line="222" w:lineRule="exact" w:before="334" w:after="0"/>
        <w:ind w:left="358" w:right="0" w:firstLine="0"/>
        <w:jc w:val="left"/>
      </w:pPr>
      <w:r>
        <w:rPr>
          <w:rFonts w:ascii="黑体" w:hAnsi="黑体" w:eastAsia="黑体"/>
          <w:b w:val="0"/>
          <w:i w:val="0"/>
          <w:color w:val="000000"/>
          <w:sz w:val="22"/>
        </w:rPr>
        <w:t>基于此，本集团未就此事项确认相关预计负债。</w:t>
      </w:r>
    </w:p>
    <w:p>
      <w:pPr>
        <w:autoSpaceDN w:val="0"/>
        <w:autoSpaceDE w:val="0"/>
        <w:widowControl/>
        <w:spacing w:line="233" w:lineRule="auto" w:before="4812" w:after="0"/>
        <w:ind w:left="0" w:right="0" w:firstLine="0"/>
        <w:jc w:val="center"/>
      </w:pPr>
      <w:r>
        <w:rPr>
          <w:rFonts w:ascii="Arial" w:hAnsi="Arial" w:eastAsia="Arial"/>
          <w:b w:val="0"/>
          <w:i w:val="0"/>
          <w:color w:val="000000"/>
          <w:sz w:val="20"/>
        </w:rPr>
        <w:t xml:space="preserve">301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十五、承诺事项</w:t>
      </w:r>
    </w:p>
    <w:p>
      <w:pPr>
        <w:autoSpaceDN w:val="0"/>
        <w:tabs>
          <w:tab w:pos="1016" w:val="left"/>
        </w:tabs>
        <w:autoSpaceDE w:val="0"/>
        <w:widowControl/>
        <w:spacing w:line="248" w:lineRule="exact" w:before="306"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资本承担</w:t>
      </w:r>
    </w:p>
    <w:p>
      <w:pPr>
        <w:autoSpaceDN w:val="0"/>
        <w:autoSpaceDE w:val="0"/>
        <w:widowControl/>
        <w:spacing w:line="222" w:lineRule="exact" w:before="300" w:after="248"/>
        <w:ind w:left="358" w:right="0" w:firstLine="0"/>
        <w:jc w:val="left"/>
      </w:pPr>
      <w:r>
        <w:rPr>
          <w:rFonts w:ascii="黑体" w:hAnsi="黑体" w:eastAsia="黑体"/>
          <w:b w:val="0"/>
          <w:i w:val="0"/>
          <w:color w:val="000000"/>
          <w:sz w:val="22"/>
        </w:rPr>
        <w:t>以下为本集团于资产负债表日，已签约但未在资产负债表上列示的资本性支出承诺：</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股权出资</w:t>
            </w:r>
          </w:p>
        </w:tc>
        <w:tc>
          <w:tcPr>
            <w:tcW w:type="dxa" w:w="1870"/>
            <w:tcBorders/>
            <w:tcMar>
              <w:start w:w="0" w:type="dxa"/>
              <w:end w:w="0" w:type="dxa"/>
            </w:tcMar>
          </w:tcPr>
          <w:p>
            <w:pPr>
              <w:autoSpaceDN w:val="0"/>
              <w:autoSpaceDE w:val="0"/>
              <w:widowControl/>
              <w:spacing w:line="246" w:lineRule="exact" w:before="60"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60"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154" w:after="0"/>
              <w:ind w:left="466" w:right="0" w:firstLine="0"/>
              <w:jc w:val="left"/>
            </w:pPr>
            <w:r>
              <w:rPr>
                <w:rFonts w:ascii="Arial" w:hAnsi="Arial" w:eastAsia="Arial"/>
                <w:b w:val="0"/>
                <w:i w:val="0"/>
                <w:color w:val="000000"/>
                <w:sz w:val="22"/>
              </w:rPr>
              <w:t>2,376,750,000</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54" w:after="0"/>
              <w:ind w:left="0" w:right="0" w:firstLine="0"/>
              <w:jc w:val="right"/>
            </w:pPr>
            <w:r>
              <w:rPr>
                <w:rFonts w:ascii="Arial" w:hAnsi="Arial" w:eastAsia="Arial"/>
                <w:b w:val="0"/>
                <w:i w:val="0"/>
                <w:color w:val="000000"/>
                <w:sz w:val="22"/>
              </w:rPr>
              <w:t>2,131,600,000</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软件费</w:t>
            </w:r>
          </w:p>
        </w:tc>
        <w:tc>
          <w:tcPr>
            <w:tcW w:type="dxa" w:w="3006"/>
            <w:vMerge/>
            <w:tcBorders/>
          </w:tcPr>
          <w:p/>
        </w:tc>
        <w:tc>
          <w:tcPr>
            <w:tcW w:type="dxa" w:w="3006"/>
            <w:vMerge/>
            <w:tcBorders/>
          </w:tcPr>
          <w:p/>
        </w:tc>
      </w:tr>
      <w:tr>
        <w:trPr>
          <w:trHeight w:hRule="exact" w:val="238"/>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17,971,741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59,904,200</w:t>
            </w:r>
          </w:p>
        </w:tc>
      </w:tr>
      <w:tr>
        <w:trPr>
          <w:trHeight w:hRule="exact" w:val="48"/>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其他</w:t>
            </w:r>
          </w:p>
        </w:tc>
        <w:tc>
          <w:tcPr>
            <w:tcW w:type="dxa" w:w="3006"/>
            <w:vMerge/>
            <w:tcBorders/>
          </w:tcPr>
          <w:p/>
        </w:tc>
        <w:tc>
          <w:tcPr>
            <w:tcW w:type="dxa" w:w="3006"/>
            <w:vMerge/>
            <w:tcBorders/>
          </w:tcPr>
          <w:p/>
        </w:tc>
      </w:tr>
      <w:tr>
        <w:trPr>
          <w:trHeight w:hRule="exact" w:val="274"/>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43,097,417</w:t>
            </w:r>
          </w:p>
        </w:tc>
        <w:tc>
          <w:tcPr>
            <w:tcW w:type="dxa" w:w="2098"/>
            <w:tcBorders>
              <w:bottom w:sz="4.0" w:val="single" w:color="#000000"/>
            </w:tcBorders>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41,528,073</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466" w:right="0" w:firstLine="0"/>
              <w:jc w:val="left"/>
            </w:pPr>
            <w:r>
              <w:rPr>
                <w:rFonts w:ascii="Arial" w:hAnsi="Arial" w:eastAsia="Arial"/>
                <w:b w:val="0"/>
                <w:i w:val="0"/>
                <w:color w:val="000000"/>
                <w:sz w:val="22"/>
              </w:rPr>
              <w:t>2,437,819,158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2,233,032,273</w:t>
            </w:r>
          </w:p>
        </w:tc>
      </w:tr>
      <w:tr>
        <w:trPr>
          <w:trHeight w:hRule="exact" w:val="50"/>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6" w:lineRule="exact" w:before="204" w:after="0"/>
        <w:ind w:left="1078" w:right="354" w:hanging="720"/>
        <w:jc w:val="both"/>
      </w:pP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山西交通产业基金合伙企业（有限合伙）于</w:t>
      </w:r>
      <w:r>
        <w:rPr>
          <w:rFonts w:ascii="Arial" w:hAnsi="Arial" w:eastAsia="Arial"/>
          <w:b w:val="0"/>
          <w:i w:val="0"/>
          <w:color w:val="000000"/>
          <w:sz w:val="22"/>
        </w:rPr>
        <w:t>2018</w:t>
      </w:r>
      <w:r>
        <w:rPr>
          <w:rFonts w:ascii="黑体" w:hAnsi="黑体" w:eastAsia="黑体"/>
          <w:b w:val="0"/>
          <w:i w:val="0"/>
          <w:color w:val="000000"/>
          <w:sz w:val="22"/>
        </w:rPr>
        <w:t>年</w:t>
      </w:r>
      <w:r>
        <w:rPr>
          <w:rFonts w:ascii="Arial" w:hAnsi="Arial" w:eastAsia="Arial"/>
          <w:b w:val="0"/>
          <w:i w:val="0"/>
          <w:color w:val="000000"/>
          <w:sz w:val="22"/>
        </w:rPr>
        <w:t>8</w:t>
      </w:r>
      <w:r>
        <w:rPr>
          <w:rFonts w:ascii="黑体" w:hAnsi="黑体" w:eastAsia="黑体"/>
          <w:b w:val="0"/>
          <w:i w:val="0"/>
          <w:color w:val="000000"/>
          <w:sz w:val="22"/>
        </w:rPr>
        <w:t>月</w:t>
      </w:r>
      <w:r>
        <w:rPr>
          <w:rFonts w:ascii="Arial" w:hAnsi="Arial" w:eastAsia="Arial"/>
          <w:b w:val="0"/>
          <w:i w:val="0"/>
          <w:color w:val="000000"/>
          <w:sz w:val="22"/>
        </w:rPr>
        <w:t>22</w:t>
      </w:r>
      <w:r>
        <w:rPr>
          <w:rFonts w:ascii="黑体" w:hAnsi="黑体" w:eastAsia="黑体"/>
          <w:b w:val="0"/>
          <w:i w:val="0"/>
          <w:color w:val="000000"/>
          <w:sz w:val="22"/>
        </w:rPr>
        <w:t>日注册成立，注册地</w:t>
      </w:r>
      <w:r>
        <w:rPr>
          <w:rFonts w:ascii="黑体" w:hAnsi="黑体" w:eastAsia="黑体"/>
          <w:b w:val="0"/>
          <w:i w:val="0"/>
          <w:color w:val="000000"/>
          <w:sz w:val="22"/>
        </w:rPr>
        <w:t>位于山西省太原市，经营范围为投资管理与资产管理，注册资本为人民币</w:t>
      </w:r>
      <w:r>
        <w:rPr>
          <w:rFonts w:ascii="Arial" w:hAnsi="Arial" w:eastAsia="Arial"/>
          <w:b w:val="0"/>
          <w:i w:val="0"/>
          <w:color w:val="000000"/>
          <w:sz w:val="22"/>
        </w:rPr>
        <w:t>100</w:t>
      </w:r>
      <w:r>
        <w:rPr>
          <w:rFonts w:ascii="黑体" w:hAnsi="黑体" w:eastAsia="黑体"/>
          <w:b w:val="0"/>
          <w:i w:val="0"/>
          <w:color w:val="000000"/>
          <w:sz w:val="22"/>
        </w:rPr>
        <w:t>亿元，其中本公司认缴出资人民币</w:t>
      </w:r>
      <w:r>
        <w:rPr>
          <w:rFonts w:ascii="Arial" w:hAnsi="Arial" w:eastAsia="Arial"/>
          <w:b w:val="0"/>
          <w:i w:val="0"/>
          <w:color w:val="000000"/>
          <w:sz w:val="22"/>
        </w:rPr>
        <w:t>20</w:t>
      </w:r>
      <w:r>
        <w:rPr>
          <w:rFonts w:ascii="黑体" w:hAnsi="黑体" w:eastAsia="黑体"/>
          <w:b w:val="0"/>
          <w:i w:val="0"/>
          <w:color w:val="000000"/>
          <w:sz w:val="22"/>
        </w:rPr>
        <w:t>亿元。截至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日，本公司实</w:t>
      </w:r>
      <w:r>
        <w:rPr>
          <w:rFonts w:ascii="黑体" w:hAnsi="黑体" w:eastAsia="黑体"/>
          <w:b w:val="0"/>
          <w:i w:val="0"/>
          <w:color w:val="000000"/>
          <w:sz w:val="22"/>
        </w:rPr>
        <w:t>缴出资人民币</w:t>
      </w:r>
      <w:r>
        <w:rPr>
          <w:rFonts w:ascii="Arial" w:hAnsi="Arial" w:eastAsia="Arial"/>
          <w:b w:val="0"/>
          <w:i w:val="0"/>
          <w:color w:val="000000"/>
          <w:sz w:val="22"/>
        </w:rPr>
        <w:t>0.35</w:t>
      </w:r>
      <w:r>
        <w:rPr>
          <w:rFonts w:ascii="黑体" w:hAnsi="黑体" w:eastAsia="黑体"/>
          <w:b w:val="0"/>
          <w:i w:val="0"/>
          <w:color w:val="000000"/>
          <w:sz w:val="22"/>
        </w:rPr>
        <w:t>亿元，剩余人民币</w:t>
      </w:r>
      <w:r>
        <w:rPr>
          <w:rFonts w:ascii="Arial" w:hAnsi="Arial" w:eastAsia="Arial"/>
          <w:b w:val="0"/>
          <w:i w:val="0"/>
          <w:color w:val="000000"/>
          <w:sz w:val="22"/>
        </w:rPr>
        <w:t>19.65</w:t>
      </w:r>
      <w:r>
        <w:rPr>
          <w:rFonts w:ascii="黑体" w:hAnsi="黑体" w:eastAsia="黑体"/>
          <w:b w:val="0"/>
          <w:i w:val="0"/>
          <w:color w:val="000000"/>
          <w:sz w:val="22"/>
        </w:rPr>
        <w:t>亿元尚未缴付。</w:t>
      </w:r>
    </w:p>
    <w:p>
      <w:pPr>
        <w:autoSpaceDN w:val="0"/>
        <w:autoSpaceDE w:val="0"/>
        <w:widowControl/>
        <w:spacing w:line="286" w:lineRule="exact" w:before="252" w:after="0"/>
        <w:ind w:left="1078" w:right="352" w:hanging="720"/>
        <w:jc w:val="both"/>
      </w:pPr>
      <w:r>
        <w:rPr>
          <w:rFonts w:ascii="黑体" w:hAnsi="黑体" w:eastAsia="黑体"/>
          <w:b w:val="0"/>
          <w:i w:val="0"/>
          <w:color w:val="000000"/>
          <w:sz w:val="22"/>
        </w:rPr>
        <w:t>（</w:t>
      </w:r>
      <w:r>
        <w:rPr>
          <w:rFonts w:ascii="Arial" w:hAnsi="Arial" w:eastAsia="Arial"/>
          <w:b w:val="0"/>
          <w:i w:val="0"/>
          <w:color w:val="000000"/>
          <w:sz w:val="22"/>
        </w:rPr>
        <w:t>b</w:t>
      </w:r>
      <w:r>
        <w:rPr>
          <w:rFonts w:ascii="黑体" w:hAnsi="黑体" w:eastAsia="黑体"/>
          <w:b w:val="0"/>
          <w:i w:val="0"/>
          <w:color w:val="000000"/>
          <w:sz w:val="22"/>
        </w:rPr>
        <w:t>）</w:t>
      </w:r>
      <w:r>
        <w:rPr>
          <w:rFonts w:ascii="黑体" w:hAnsi="黑体" w:eastAsia="黑体"/>
          <w:b w:val="0"/>
          <w:i w:val="0"/>
          <w:color w:val="000000"/>
          <w:sz w:val="22"/>
        </w:rPr>
        <w:t>山西太行煤成气产业投资基金合伙企业（有限合伙）于</w:t>
      </w:r>
      <w:r>
        <w:rPr>
          <w:rFonts w:ascii="Arial" w:hAnsi="Arial" w:eastAsia="Arial"/>
          <w:b w:val="0"/>
          <w:i w:val="0"/>
          <w:color w:val="000000"/>
          <w:sz w:val="22"/>
        </w:rPr>
        <w:t>2020</w:t>
      </w:r>
      <w:r>
        <w:rPr>
          <w:rFonts w:ascii="黑体" w:hAnsi="黑体" w:eastAsia="黑体"/>
          <w:b w:val="0"/>
          <w:i w:val="0"/>
          <w:color w:val="000000"/>
          <w:sz w:val="22"/>
        </w:rPr>
        <w:t>年</w:t>
      </w:r>
      <w:r>
        <w:rPr>
          <w:rFonts w:ascii="Arial" w:hAnsi="Arial" w:eastAsia="Arial"/>
          <w:b w:val="0"/>
          <w:i w:val="0"/>
          <w:color w:val="000000"/>
          <w:sz w:val="22"/>
        </w:rPr>
        <w:t>3</w:t>
      </w:r>
      <w:r>
        <w:rPr>
          <w:rFonts w:ascii="黑体" w:hAnsi="黑体" w:eastAsia="黑体"/>
          <w:b w:val="0"/>
          <w:i w:val="0"/>
          <w:color w:val="000000"/>
          <w:sz w:val="22"/>
        </w:rPr>
        <w:t>月</w:t>
      </w:r>
      <w:r>
        <w:rPr>
          <w:rFonts w:ascii="Arial" w:hAnsi="Arial" w:eastAsia="Arial"/>
          <w:b w:val="0"/>
          <w:i w:val="0"/>
          <w:color w:val="000000"/>
          <w:sz w:val="22"/>
        </w:rPr>
        <w:t>17</w:t>
      </w:r>
      <w:r>
        <w:rPr>
          <w:rFonts w:ascii="黑体" w:hAnsi="黑体" w:eastAsia="黑体"/>
          <w:b w:val="0"/>
          <w:i w:val="0"/>
          <w:color w:val="000000"/>
          <w:sz w:val="22"/>
        </w:rPr>
        <w:t>日注册成</w:t>
      </w:r>
      <w:r>
        <w:rPr>
          <w:rFonts w:ascii="黑体" w:hAnsi="黑体" w:eastAsia="黑体"/>
          <w:b w:val="0"/>
          <w:i w:val="0"/>
          <w:color w:val="000000"/>
          <w:sz w:val="22"/>
        </w:rPr>
        <w:t>立，注册地位于山西省晋城市，经营范围为投资管理与资产管理，注册资本为</w:t>
      </w:r>
      <w:r>
        <w:rPr>
          <w:rFonts w:ascii="黑体" w:hAnsi="黑体" w:eastAsia="黑体"/>
          <w:b w:val="0"/>
          <w:i w:val="0"/>
          <w:color w:val="000000"/>
          <w:sz w:val="22"/>
        </w:rPr>
        <w:t>人民币</w:t>
      </w:r>
      <w:r>
        <w:rPr>
          <w:rFonts w:ascii="Arial" w:hAnsi="Arial" w:eastAsia="Arial"/>
          <w:b w:val="0"/>
          <w:i w:val="0"/>
          <w:color w:val="000000"/>
          <w:sz w:val="22"/>
        </w:rPr>
        <w:t>6.01</w:t>
      </w:r>
      <w:r>
        <w:rPr>
          <w:rFonts w:ascii="黑体" w:hAnsi="黑体" w:eastAsia="黑体"/>
          <w:b w:val="0"/>
          <w:i w:val="0"/>
          <w:color w:val="000000"/>
          <w:sz w:val="22"/>
        </w:rPr>
        <w:t>亿元，其中本公司认缴出资人民币</w:t>
      </w:r>
      <w:r>
        <w:rPr>
          <w:rFonts w:ascii="Arial" w:hAnsi="Arial" w:eastAsia="Arial"/>
          <w:b w:val="0"/>
          <w:i w:val="0"/>
          <w:color w:val="000000"/>
          <w:sz w:val="22"/>
        </w:rPr>
        <w:t>1</w:t>
      </w:r>
      <w:r>
        <w:rPr>
          <w:rFonts w:ascii="黑体" w:hAnsi="黑体" w:eastAsia="黑体"/>
          <w:b w:val="0"/>
          <w:i w:val="0"/>
          <w:color w:val="000000"/>
          <w:sz w:val="22"/>
        </w:rPr>
        <w:t>亿元。截至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本公司实缴出资人民币</w:t>
      </w:r>
      <w:r>
        <w:rPr>
          <w:rFonts w:ascii="Arial" w:hAnsi="Arial" w:eastAsia="Arial"/>
          <w:b w:val="0"/>
          <w:i w:val="0"/>
          <w:color w:val="000000"/>
          <w:sz w:val="22"/>
        </w:rPr>
        <w:t>0.16</w:t>
      </w:r>
      <w:r>
        <w:rPr>
          <w:rFonts w:ascii="黑体" w:hAnsi="黑体" w:eastAsia="黑体"/>
          <w:b w:val="0"/>
          <w:i w:val="0"/>
          <w:color w:val="000000"/>
          <w:sz w:val="22"/>
        </w:rPr>
        <w:t>亿元，剩余人民币</w:t>
      </w:r>
      <w:r>
        <w:rPr>
          <w:rFonts w:ascii="Arial" w:hAnsi="Arial" w:eastAsia="Arial"/>
          <w:b w:val="0"/>
          <w:i w:val="0"/>
          <w:color w:val="000000"/>
          <w:sz w:val="22"/>
        </w:rPr>
        <w:t>0.84</w:t>
      </w:r>
      <w:r>
        <w:rPr>
          <w:rFonts w:ascii="黑体" w:hAnsi="黑体" w:eastAsia="黑体"/>
          <w:b w:val="0"/>
          <w:i w:val="0"/>
          <w:color w:val="000000"/>
          <w:sz w:val="22"/>
        </w:rPr>
        <w:t>亿元尚未缴付。</w:t>
      </w:r>
    </w:p>
    <w:p>
      <w:pPr>
        <w:autoSpaceDN w:val="0"/>
        <w:autoSpaceDE w:val="0"/>
        <w:widowControl/>
        <w:spacing w:line="284" w:lineRule="exact" w:before="254" w:after="0"/>
        <w:ind w:left="1078" w:right="350" w:hanging="720"/>
        <w:jc w:val="both"/>
      </w:pPr>
      <w:r>
        <w:rPr>
          <w:rFonts w:ascii="黑体" w:hAnsi="黑体" w:eastAsia="黑体"/>
          <w:b w:val="0"/>
          <w:i w:val="0"/>
          <w:color w:val="000000"/>
          <w:sz w:val="22"/>
        </w:rPr>
        <w:t>（</w:t>
      </w:r>
      <w:r>
        <w:rPr>
          <w:rFonts w:ascii="Arial" w:hAnsi="Arial" w:eastAsia="Arial"/>
          <w:b w:val="0"/>
          <w:i w:val="0"/>
          <w:color w:val="000000"/>
          <w:sz w:val="22"/>
        </w:rPr>
        <w:t>c</w:t>
      </w:r>
      <w:r>
        <w:rPr>
          <w:rFonts w:ascii="黑体" w:hAnsi="黑体" w:eastAsia="黑体"/>
          <w:b w:val="0"/>
          <w:i w:val="0"/>
          <w:color w:val="000000"/>
          <w:sz w:val="22"/>
        </w:rPr>
        <w:t>）</w:t>
      </w:r>
      <w:r>
        <w:rPr>
          <w:rFonts w:ascii="黑体" w:hAnsi="黑体" w:eastAsia="黑体"/>
          <w:b w:val="0"/>
          <w:i w:val="0"/>
          <w:color w:val="000000"/>
          <w:sz w:val="22"/>
        </w:rPr>
        <w:t>山西信创引导私募股权投资基金合伙企业（有限合伙）于</w:t>
      </w:r>
      <w:r>
        <w:rPr>
          <w:rFonts w:ascii="Arial" w:hAnsi="Arial" w:eastAsia="Arial"/>
          <w:b w:val="0"/>
          <w:i w:val="0"/>
          <w:color w:val="000000"/>
          <w:sz w:val="22"/>
        </w:rPr>
        <w:t>2020</w:t>
      </w:r>
      <w:r>
        <w:rPr>
          <w:rFonts w:ascii="黑体" w:hAnsi="黑体" w:eastAsia="黑体"/>
          <w:b w:val="0"/>
          <w:i w:val="0"/>
          <w:color w:val="000000"/>
          <w:sz w:val="22"/>
        </w:rPr>
        <w:t>年</w:t>
      </w:r>
      <w:r>
        <w:rPr>
          <w:rFonts w:ascii="Arial" w:hAnsi="Arial" w:eastAsia="Arial"/>
          <w:b w:val="0"/>
          <w:i w:val="0"/>
          <w:color w:val="000000"/>
          <w:sz w:val="22"/>
        </w:rPr>
        <w:t>9</w:t>
      </w:r>
      <w:r>
        <w:rPr>
          <w:rFonts w:ascii="黑体" w:hAnsi="黑体" w:eastAsia="黑体"/>
          <w:b w:val="0"/>
          <w:i w:val="0"/>
          <w:color w:val="000000"/>
          <w:sz w:val="22"/>
        </w:rPr>
        <w:t>月</w:t>
      </w:r>
      <w:r>
        <w:rPr>
          <w:rFonts w:ascii="Arial" w:hAnsi="Arial" w:eastAsia="Arial"/>
          <w:b w:val="0"/>
          <w:i w:val="0"/>
          <w:color w:val="000000"/>
          <w:sz w:val="22"/>
        </w:rPr>
        <w:t>25</w:t>
      </w:r>
      <w:r>
        <w:rPr>
          <w:rFonts w:ascii="黑体" w:hAnsi="黑体" w:eastAsia="黑体"/>
          <w:b w:val="0"/>
          <w:i w:val="0"/>
          <w:color w:val="000000"/>
          <w:sz w:val="22"/>
        </w:rPr>
        <w:t>日注册</w:t>
      </w:r>
      <w:r>
        <w:rPr>
          <w:rFonts w:ascii="黑体" w:hAnsi="黑体" w:eastAsia="黑体"/>
          <w:b w:val="0"/>
          <w:i w:val="0"/>
          <w:color w:val="000000"/>
          <w:sz w:val="22"/>
        </w:rPr>
        <w:t>成立，注册地位于山西省太原市，经营范围为投资管理与资产管理，注册资本</w:t>
      </w:r>
      <w:r>
        <w:rPr>
          <w:rFonts w:ascii="黑体" w:hAnsi="黑体" w:eastAsia="黑体"/>
          <w:b w:val="0"/>
          <w:i w:val="0"/>
          <w:color w:val="000000"/>
          <w:sz w:val="22"/>
        </w:rPr>
        <w:t>为人民币</w:t>
      </w:r>
      <w:r>
        <w:rPr>
          <w:rFonts w:ascii="Arial" w:hAnsi="Arial" w:eastAsia="Arial"/>
          <w:b w:val="0"/>
          <w:i w:val="0"/>
          <w:color w:val="000000"/>
          <w:sz w:val="22"/>
        </w:rPr>
        <w:t>5</w:t>
      </w:r>
      <w:r>
        <w:rPr>
          <w:rFonts w:ascii="黑体" w:hAnsi="黑体" w:eastAsia="黑体"/>
          <w:b w:val="0"/>
          <w:i w:val="0"/>
          <w:color w:val="000000"/>
          <w:sz w:val="22"/>
        </w:rPr>
        <w:t>亿元，其中本公司认缴出资人民币</w:t>
      </w:r>
      <w:r>
        <w:rPr>
          <w:rFonts w:ascii="Arial" w:hAnsi="Arial" w:eastAsia="Arial"/>
          <w:b w:val="0"/>
          <w:i w:val="0"/>
          <w:color w:val="000000"/>
          <w:sz w:val="22"/>
        </w:rPr>
        <w:t>1</w:t>
      </w:r>
      <w:r>
        <w:rPr>
          <w:rFonts w:ascii="黑体" w:hAnsi="黑体" w:eastAsia="黑体"/>
          <w:b w:val="0"/>
          <w:i w:val="0"/>
          <w:color w:val="000000"/>
          <w:sz w:val="22"/>
        </w:rPr>
        <w:t>亿元。截至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本公司实缴出资人民币</w:t>
      </w:r>
      <w:r>
        <w:rPr>
          <w:rFonts w:ascii="Arial" w:hAnsi="Arial" w:eastAsia="Arial"/>
          <w:b w:val="0"/>
          <w:i w:val="0"/>
          <w:color w:val="000000"/>
          <w:sz w:val="22"/>
        </w:rPr>
        <w:t>4,040</w:t>
      </w:r>
      <w:r>
        <w:rPr>
          <w:rFonts w:ascii="黑体" w:hAnsi="黑体" w:eastAsia="黑体"/>
          <w:b w:val="0"/>
          <w:i w:val="0"/>
          <w:color w:val="000000"/>
          <w:sz w:val="22"/>
        </w:rPr>
        <w:t>万元，剩余人民币</w:t>
      </w:r>
      <w:r>
        <w:rPr>
          <w:rFonts w:ascii="Arial" w:hAnsi="Arial" w:eastAsia="Arial"/>
          <w:b w:val="0"/>
          <w:i w:val="0"/>
          <w:color w:val="000000"/>
          <w:sz w:val="22"/>
        </w:rPr>
        <w:t>5,960</w:t>
      </w:r>
      <w:r>
        <w:rPr>
          <w:rFonts w:ascii="黑体" w:hAnsi="黑体" w:eastAsia="黑体"/>
          <w:b w:val="0"/>
          <w:i w:val="0"/>
          <w:color w:val="000000"/>
          <w:sz w:val="22"/>
        </w:rPr>
        <w:t>万元尚未缴付。</w:t>
      </w:r>
    </w:p>
    <w:p>
      <w:pPr>
        <w:autoSpaceDN w:val="0"/>
        <w:autoSpaceDE w:val="0"/>
        <w:widowControl/>
        <w:spacing w:line="284" w:lineRule="exact" w:before="256" w:after="0"/>
        <w:ind w:left="1078" w:right="352" w:hanging="720"/>
        <w:jc w:val="both"/>
      </w:pPr>
      <w:r>
        <w:rPr>
          <w:rFonts w:ascii="黑体" w:hAnsi="黑体" w:eastAsia="黑体"/>
          <w:b w:val="0"/>
          <w:i w:val="0"/>
          <w:color w:val="000000"/>
          <w:sz w:val="22"/>
        </w:rPr>
        <w:t>（</w:t>
      </w:r>
      <w:r>
        <w:rPr>
          <w:rFonts w:ascii="Arial" w:hAnsi="Arial" w:eastAsia="Arial"/>
          <w:b w:val="0"/>
          <w:i w:val="0"/>
          <w:color w:val="000000"/>
          <w:sz w:val="22"/>
        </w:rPr>
        <w:t>d</w:t>
      </w:r>
      <w:r>
        <w:rPr>
          <w:rFonts w:ascii="黑体" w:hAnsi="黑体" w:eastAsia="黑体"/>
          <w:b w:val="0"/>
          <w:i w:val="0"/>
          <w:color w:val="000000"/>
          <w:sz w:val="22"/>
        </w:rPr>
        <w:t>）</w:t>
      </w:r>
      <w:r>
        <w:rPr>
          <w:rFonts w:ascii="黑体" w:hAnsi="黑体" w:eastAsia="黑体"/>
          <w:b w:val="0"/>
          <w:i w:val="0"/>
          <w:color w:val="000000"/>
          <w:sz w:val="22"/>
        </w:rPr>
        <w:t>山西重器智能高端装备私募股权投资基金合伙企业（有限合伙）于</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3</w:t>
      </w:r>
      <w:r>
        <w:rPr>
          <w:rFonts w:ascii="黑体" w:hAnsi="黑体" w:eastAsia="黑体"/>
          <w:b w:val="0"/>
          <w:i w:val="0"/>
          <w:color w:val="000000"/>
          <w:sz w:val="22"/>
        </w:rPr>
        <w:t>月</w:t>
      </w:r>
      <w:r>
        <w:rPr>
          <w:rFonts w:ascii="Arial" w:hAnsi="Arial" w:eastAsia="Arial"/>
          <w:b w:val="0"/>
          <w:i w:val="0"/>
          <w:color w:val="000000"/>
          <w:sz w:val="22"/>
        </w:rPr>
        <w:t>23</w:t>
      </w:r>
      <w:r>
        <w:rPr>
          <w:rFonts w:ascii="黑体" w:hAnsi="黑体" w:eastAsia="黑体"/>
          <w:b w:val="0"/>
          <w:i w:val="0"/>
          <w:color w:val="000000"/>
          <w:sz w:val="22"/>
        </w:rPr>
        <w:t>日注册成立，注册地位于山西省太原市，经营范围为投资管理与资产管理，</w:t>
      </w:r>
      <w:r>
        <w:rPr>
          <w:rFonts w:ascii="黑体" w:hAnsi="黑体" w:eastAsia="黑体"/>
          <w:b w:val="0"/>
          <w:i w:val="0"/>
          <w:color w:val="000000"/>
          <w:sz w:val="22"/>
        </w:rPr>
        <w:t>注册资本为人民币</w:t>
      </w:r>
      <w:r>
        <w:rPr>
          <w:rFonts w:ascii="Arial" w:hAnsi="Arial" w:eastAsia="Arial"/>
          <w:b w:val="0"/>
          <w:i w:val="0"/>
          <w:color w:val="000000"/>
          <w:sz w:val="22"/>
        </w:rPr>
        <w:t>5</w:t>
      </w:r>
      <w:r>
        <w:rPr>
          <w:rFonts w:ascii="黑体" w:hAnsi="黑体" w:eastAsia="黑体"/>
          <w:b w:val="0"/>
          <w:i w:val="0"/>
          <w:color w:val="000000"/>
          <w:sz w:val="22"/>
        </w:rPr>
        <w:t>亿元，其中本公司认缴出资人民币</w:t>
      </w:r>
      <w:r>
        <w:rPr>
          <w:rFonts w:ascii="Arial" w:hAnsi="Arial" w:eastAsia="Arial"/>
          <w:b w:val="0"/>
          <w:i w:val="0"/>
          <w:color w:val="000000"/>
          <w:sz w:val="22"/>
        </w:rPr>
        <w:t>1</w:t>
      </w:r>
      <w:r>
        <w:rPr>
          <w:rFonts w:ascii="黑体" w:hAnsi="黑体" w:eastAsia="黑体"/>
          <w:b w:val="0"/>
          <w:i w:val="0"/>
          <w:color w:val="000000"/>
          <w:sz w:val="22"/>
        </w:rPr>
        <w:t>亿元。截至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日，本公司实缴出资人民币</w:t>
      </w:r>
      <w:r>
        <w:rPr>
          <w:rFonts w:ascii="Arial" w:hAnsi="Arial" w:eastAsia="Arial"/>
          <w:b w:val="0"/>
          <w:i w:val="0"/>
          <w:color w:val="000000"/>
          <w:sz w:val="22"/>
        </w:rPr>
        <w:t>7,780</w:t>
      </w:r>
      <w:r>
        <w:rPr>
          <w:rFonts w:ascii="黑体" w:hAnsi="黑体" w:eastAsia="黑体"/>
          <w:b w:val="0"/>
          <w:i w:val="0"/>
          <w:color w:val="000000"/>
          <w:sz w:val="22"/>
        </w:rPr>
        <w:t>万元，剩余人民币</w:t>
      </w:r>
      <w:r>
        <w:rPr>
          <w:rFonts w:ascii="Arial" w:hAnsi="Arial" w:eastAsia="Arial"/>
          <w:b w:val="0"/>
          <w:i w:val="0"/>
          <w:color w:val="000000"/>
          <w:sz w:val="22"/>
        </w:rPr>
        <w:t>2,220</w:t>
      </w:r>
      <w:r>
        <w:rPr>
          <w:rFonts w:ascii="黑体" w:hAnsi="黑体" w:eastAsia="黑体"/>
          <w:b w:val="0"/>
          <w:i w:val="0"/>
          <w:color w:val="000000"/>
          <w:sz w:val="22"/>
        </w:rPr>
        <w:t>万元尚未缴付。</w:t>
      </w:r>
    </w:p>
    <w:p>
      <w:pPr>
        <w:autoSpaceDN w:val="0"/>
        <w:autoSpaceDE w:val="0"/>
        <w:widowControl/>
        <w:spacing w:line="286" w:lineRule="exact" w:before="254" w:after="0"/>
        <w:ind w:left="1078" w:right="350" w:hanging="720"/>
        <w:jc w:val="both"/>
      </w:pPr>
      <w:r>
        <w:rPr>
          <w:rFonts w:ascii="黑体" w:hAnsi="黑体" w:eastAsia="黑体"/>
          <w:b w:val="0"/>
          <w:i w:val="0"/>
          <w:color w:val="000000"/>
          <w:sz w:val="22"/>
        </w:rPr>
        <w:t>（</w:t>
      </w:r>
      <w:r>
        <w:rPr>
          <w:rFonts w:ascii="Arial" w:hAnsi="Arial" w:eastAsia="Arial"/>
          <w:b w:val="0"/>
          <w:i w:val="0"/>
          <w:color w:val="000000"/>
          <w:sz w:val="22"/>
        </w:rPr>
        <w:t>e</w:t>
      </w:r>
      <w:r>
        <w:rPr>
          <w:rFonts w:ascii="黑体" w:hAnsi="黑体" w:eastAsia="黑体"/>
          <w:b w:val="0"/>
          <w:i w:val="0"/>
          <w:color w:val="000000"/>
          <w:sz w:val="22"/>
        </w:rPr>
        <w:t>）</w:t>
      </w:r>
      <w:r>
        <w:rPr>
          <w:rFonts w:ascii="黑体" w:hAnsi="黑体" w:eastAsia="黑体"/>
          <w:b w:val="0"/>
          <w:i w:val="0"/>
          <w:color w:val="000000"/>
          <w:sz w:val="22"/>
        </w:rPr>
        <w:t>山西省新引擎专业镇产业投资基金合伙企业（有限合伙）于</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6</w:t>
      </w:r>
      <w:r>
        <w:rPr>
          <w:rFonts w:ascii="黑体" w:hAnsi="黑体" w:eastAsia="黑体"/>
          <w:b w:val="0"/>
          <w:i w:val="0"/>
          <w:color w:val="000000"/>
          <w:sz w:val="22"/>
        </w:rPr>
        <w:t>月</w:t>
      </w:r>
      <w:r>
        <w:rPr>
          <w:rFonts w:ascii="Arial" w:hAnsi="Arial" w:eastAsia="Arial"/>
          <w:b w:val="0"/>
          <w:i w:val="0"/>
          <w:color w:val="000000"/>
          <w:sz w:val="22"/>
        </w:rPr>
        <w:t>20</w:t>
      </w:r>
      <w:r>
        <w:rPr>
          <w:rFonts w:ascii="黑体" w:hAnsi="黑体" w:eastAsia="黑体"/>
          <w:b w:val="0"/>
          <w:i w:val="0"/>
          <w:color w:val="000000"/>
          <w:sz w:val="22"/>
        </w:rPr>
        <w:t>日注</w:t>
      </w:r>
      <w:r>
        <w:rPr>
          <w:rFonts w:ascii="黑体" w:hAnsi="黑体" w:eastAsia="黑体"/>
          <w:b w:val="0"/>
          <w:i w:val="0"/>
          <w:color w:val="000000"/>
          <w:sz w:val="22"/>
        </w:rPr>
        <w:t>册成立，注册地位于山西省太原市，经营范围为投资管理与资产管理，注册资</w:t>
      </w:r>
      <w:r>
        <w:rPr>
          <w:rFonts w:ascii="黑体" w:hAnsi="黑体" w:eastAsia="黑体"/>
          <w:b w:val="0"/>
          <w:i w:val="0"/>
          <w:color w:val="000000"/>
          <w:sz w:val="22"/>
        </w:rPr>
        <w:t>本为人民币</w:t>
      </w:r>
      <w:r>
        <w:rPr>
          <w:rFonts w:ascii="Arial" w:hAnsi="Arial" w:eastAsia="Arial"/>
          <w:b w:val="0"/>
          <w:i w:val="0"/>
          <w:color w:val="000000"/>
          <w:sz w:val="22"/>
        </w:rPr>
        <w:t>2</w:t>
      </w:r>
      <w:r>
        <w:rPr>
          <w:rFonts w:ascii="黑体" w:hAnsi="黑体" w:eastAsia="黑体"/>
          <w:b w:val="0"/>
          <w:i w:val="0"/>
          <w:color w:val="000000"/>
          <w:sz w:val="22"/>
        </w:rPr>
        <w:t>亿元，其中本公司认缴出资人民币</w:t>
      </w:r>
      <w:r>
        <w:rPr>
          <w:rFonts w:ascii="Arial" w:hAnsi="Arial" w:eastAsia="Arial"/>
          <w:b w:val="0"/>
          <w:i w:val="0"/>
          <w:color w:val="000000"/>
          <w:sz w:val="22"/>
        </w:rPr>
        <w:t>5,000</w:t>
      </w:r>
      <w:r>
        <w:rPr>
          <w:rFonts w:ascii="黑体" w:hAnsi="黑体" w:eastAsia="黑体"/>
          <w:b w:val="0"/>
          <w:i w:val="0"/>
          <w:color w:val="000000"/>
          <w:sz w:val="22"/>
        </w:rPr>
        <w:t>万元。截至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日，本公司实缴出资人民币</w:t>
      </w:r>
      <w:r>
        <w:rPr>
          <w:rFonts w:ascii="Arial" w:hAnsi="Arial" w:eastAsia="Arial"/>
          <w:b w:val="0"/>
          <w:i w:val="0"/>
          <w:color w:val="000000"/>
          <w:sz w:val="22"/>
        </w:rPr>
        <w:t>1,500</w:t>
      </w:r>
      <w:r>
        <w:rPr>
          <w:rFonts w:ascii="黑体" w:hAnsi="黑体" w:eastAsia="黑体"/>
          <w:b w:val="0"/>
          <w:i w:val="0"/>
          <w:color w:val="000000"/>
          <w:sz w:val="22"/>
        </w:rPr>
        <w:t>万元，剩余人民币</w:t>
      </w:r>
      <w:r>
        <w:rPr>
          <w:rFonts w:ascii="Arial" w:hAnsi="Arial" w:eastAsia="Arial"/>
          <w:b w:val="0"/>
          <w:i w:val="0"/>
          <w:color w:val="000000"/>
          <w:sz w:val="22"/>
        </w:rPr>
        <w:t>3,500</w:t>
      </w:r>
      <w:r>
        <w:rPr>
          <w:rFonts w:ascii="黑体" w:hAnsi="黑体" w:eastAsia="黑体"/>
          <w:b w:val="0"/>
          <w:i w:val="0"/>
          <w:color w:val="000000"/>
          <w:sz w:val="22"/>
        </w:rPr>
        <w:t>万元尚未缴付。</w:t>
      </w:r>
    </w:p>
    <w:p>
      <w:pPr>
        <w:autoSpaceDN w:val="0"/>
        <w:autoSpaceDE w:val="0"/>
        <w:widowControl/>
        <w:spacing w:line="280" w:lineRule="exact" w:before="248" w:after="0"/>
        <w:ind w:left="1078" w:right="350" w:hanging="720"/>
        <w:jc w:val="both"/>
      </w:pPr>
      <w:r>
        <w:rPr>
          <w:rFonts w:ascii="黑体" w:hAnsi="黑体" w:eastAsia="黑体"/>
          <w:b w:val="0"/>
          <w:i w:val="0"/>
          <w:color w:val="000000"/>
          <w:sz w:val="22"/>
        </w:rPr>
        <w:t>（</w:t>
      </w:r>
      <w:r>
        <w:rPr>
          <w:rFonts w:ascii="Arial" w:hAnsi="Arial" w:eastAsia="Arial"/>
          <w:b w:val="0"/>
          <w:i w:val="0"/>
          <w:color w:val="000000"/>
          <w:sz w:val="22"/>
        </w:rPr>
        <w:t>f</w:t>
      </w:r>
      <w:r>
        <w:rPr>
          <w:rFonts w:ascii="黑体" w:hAnsi="黑体" w:eastAsia="黑体"/>
          <w:b w:val="0"/>
          <w:i w:val="0"/>
          <w:color w:val="000000"/>
          <w:sz w:val="22"/>
        </w:rPr>
        <w:t>）</w:t>
      </w:r>
      <w:r>
        <w:rPr>
          <w:rFonts w:ascii="黑体" w:hAnsi="黑体" w:eastAsia="黑体"/>
          <w:b w:val="0"/>
          <w:i w:val="0"/>
          <w:color w:val="000000"/>
          <w:sz w:val="22"/>
        </w:rPr>
        <w:t>山东新引擎文化产业股权投资基金合伙企业（有限合伙）于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6</w:t>
      </w:r>
      <w:r>
        <w:rPr>
          <w:rFonts w:ascii="黑体" w:hAnsi="黑体" w:eastAsia="黑体"/>
          <w:b w:val="0"/>
          <w:i w:val="0"/>
          <w:color w:val="000000"/>
          <w:sz w:val="22"/>
        </w:rPr>
        <w:t>月</w:t>
      </w:r>
      <w:r>
        <w:rPr>
          <w:rFonts w:ascii="Arial" w:hAnsi="Arial" w:eastAsia="Arial"/>
          <w:b w:val="0"/>
          <w:i w:val="0"/>
          <w:color w:val="000000"/>
          <w:sz w:val="22"/>
        </w:rPr>
        <w:t>28</w:t>
      </w:r>
      <w:r>
        <w:rPr>
          <w:rFonts w:ascii="黑体" w:hAnsi="黑体" w:eastAsia="黑体"/>
          <w:b w:val="0"/>
          <w:i w:val="0"/>
          <w:color w:val="000000"/>
          <w:sz w:val="22"/>
        </w:rPr>
        <w:t>日注</w:t>
      </w:r>
      <w:r>
        <w:rPr>
          <w:rFonts w:ascii="黑体" w:hAnsi="黑体" w:eastAsia="黑体"/>
          <w:b w:val="0"/>
          <w:i w:val="0"/>
          <w:color w:val="000000"/>
          <w:sz w:val="22"/>
        </w:rPr>
        <w:t>册成立，注册地位于山东省济南市，经营范围为投资管理与资产管理，注册资</w:t>
      </w:r>
      <w:r>
        <w:rPr>
          <w:rFonts w:ascii="黑体" w:hAnsi="黑体" w:eastAsia="黑体"/>
          <w:b w:val="0"/>
          <w:i w:val="0"/>
          <w:color w:val="000000"/>
          <w:sz w:val="22"/>
        </w:rPr>
        <w:t>本为人民币</w:t>
      </w:r>
      <w:r>
        <w:rPr>
          <w:rFonts w:ascii="Arial" w:hAnsi="Arial" w:eastAsia="Arial"/>
          <w:b w:val="0"/>
          <w:i w:val="0"/>
          <w:color w:val="000000"/>
          <w:sz w:val="22"/>
        </w:rPr>
        <w:t>10</w:t>
      </w:r>
      <w:r>
        <w:rPr>
          <w:rFonts w:ascii="黑体" w:hAnsi="黑体" w:eastAsia="黑体"/>
          <w:b w:val="0"/>
          <w:i w:val="0"/>
          <w:color w:val="000000"/>
          <w:sz w:val="22"/>
        </w:rPr>
        <w:t>亿元，其中本公司认缴出资人民币</w:t>
      </w:r>
      <w:r>
        <w:rPr>
          <w:rFonts w:ascii="Arial" w:hAnsi="Arial" w:eastAsia="Arial"/>
          <w:b w:val="0"/>
          <w:i w:val="0"/>
          <w:color w:val="000000"/>
          <w:sz w:val="22"/>
        </w:rPr>
        <w:t>30,000</w:t>
      </w:r>
      <w:r>
        <w:rPr>
          <w:rFonts w:ascii="黑体" w:hAnsi="黑体" w:eastAsia="黑体"/>
          <w:b w:val="0"/>
          <w:i w:val="0"/>
          <w:color w:val="000000"/>
          <w:sz w:val="22"/>
        </w:rPr>
        <w:t>万元。截至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日，本公司实缴出资人民币</w:t>
      </w:r>
      <w:r>
        <w:rPr>
          <w:rFonts w:ascii="Arial" w:hAnsi="Arial" w:eastAsia="Arial"/>
          <w:b w:val="0"/>
          <w:i w:val="0"/>
          <w:color w:val="000000"/>
          <w:sz w:val="22"/>
        </w:rPr>
        <w:t>9,000</w:t>
      </w:r>
      <w:r>
        <w:rPr>
          <w:rFonts w:ascii="黑体" w:hAnsi="黑体" w:eastAsia="黑体"/>
          <w:b w:val="0"/>
          <w:i w:val="0"/>
          <w:color w:val="000000"/>
          <w:sz w:val="22"/>
        </w:rPr>
        <w:t>万元，剩余人民币</w:t>
      </w:r>
      <w:r>
        <w:rPr>
          <w:rFonts w:ascii="Arial" w:hAnsi="Arial" w:eastAsia="Arial"/>
          <w:b w:val="0"/>
          <w:i w:val="0"/>
          <w:color w:val="000000"/>
          <w:sz w:val="22"/>
        </w:rPr>
        <w:t>21,000</w:t>
      </w:r>
      <w:r>
        <w:rPr>
          <w:rFonts w:ascii="黑体" w:hAnsi="黑体" w:eastAsia="黑体"/>
          <w:b w:val="0"/>
          <w:i w:val="0"/>
          <w:color w:val="000000"/>
          <w:sz w:val="22"/>
        </w:rPr>
        <w:t>万元尚未缴</w:t>
      </w:r>
      <w:r>
        <w:rPr>
          <w:rFonts w:ascii="黑体" w:hAnsi="黑体" w:eastAsia="黑体"/>
          <w:b w:val="0"/>
          <w:i w:val="0"/>
          <w:color w:val="000000"/>
          <w:sz w:val="22"/>
        </w:rPr>
        <w:t>付。</w:t>
      </w:r>
    </w:p>
    <w:p>
      <w:pPr>
        <w:autoSpaceDN w:val="0"/>
        <w:autoSpaceDE w:val="0"/>
        <w:widowControl/>
        <w:spacing w:line="233" w:lineRule="auto" w:before="1760" w:after="0"/>
        <w:ind w:left="0" w:right="0" w:firstLine="0"/>
        <w:jc w:val="center"/>
      </w:pPr>
      <w:r>
        <w:rPr>
          <w:rFonts w:ascii="Arial" w:hAnsi="Arial" w:eastAsia="Arial"/>
          <w:b w:val="0"/>
          <w:i w:val="0"/>
          <w:color w:val="000000"/>
          <w:sz w:val="20"/>
        </w:rPr>
        <w:t xml:space="preserve">302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十五、承诺事项（续）</w:t>
      </w:r>
    </w:p>
    <w:p>
      <w:pPr>
        <w:autoSpaceDN w:val="0"/>
        <w:autoSpaceDE w:val="0"/>
        <w:widowControl/>
        <w:spacing w:line="246" w:lineRule="exact" w:before="312"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 xml:space="preserve">   资本承担（续） </w:t>
      </w:r>
    </w:p>
    <w:p>
      <w:pPr>
        <w:autoSpaceDN w:val="0"/>
        <w:autoSpaceDE w:val="0"/>
        <w:widowControl/>
        <w:spacing w:line="286" w:lineRule="exact" w:before="240" w:after="0"/>
        <w:ind w:left="1078" w:right="352" w:hanging="720"/>
        <w:jc w:val="both"/>
      </w:pPr>
      <w:r>
        <w:rPr>
          <w:rFonts w:ascii="黑体" w:hAnsi="黑体" w:eastAsia="黑体"/>
          <w:b w:val="0"/>
          <w:i w:val="0"/>
          <w:color w:val="000000"/>
          <w:sz w:val="22"/>
        </w:rPr>
        <w:t>（</w:t>
      </w:r>
      <w:r>
        <w:rPr>
          <w:rFonts w:ascii="Arial" w:hAnsi="Arial" w:eastAsia="Arial"/>
          <w:b w:val="0"/>
          <w:i w:val="0"/>
          <w:color w:val="000000"/>
          <w:sz w:val="22"/>
        </w:rPr>
        <w:t>g</w:t>
      </w:r>
      <w:r>
        <w:rPr>
          <w:rFonts w:ascii="黑体" w:hAnsi="黑体" w:eastAsia="黑体"/>
          <w:b w:val="0"/>
          <w:i w:val="0"/>
          <w:color w:val="000000"/>
          <w:sz w:val="22"/>
        </w:rPr>
        <w:t>）</w:t>
      </w:r>
      <w:r>
        <w:rPr>
          <w:rFonts w:ascii="黑体" w:hAnsi="黑体" w:eastAsia="黑体"/>
          <w:b w:val="0"/>
          <w:i w:val="0"/>
          <w:color w:val="000000"/>
          <w:sz w:val="22"/>
        </w:rPr>
        <w:t>山西天使股权投资基金合伙企业（有限合伙）于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9</w:t>
      </w:r>
      <w:r>
        <w:rPr>
          <w:rFonts w:ascii="黑体" w:hAnsi="黑体" w:eastAsia="黑体"/>
          <w:b w:val="0"/>
          <w:i w:val="0"/>
          <w:color w:val="000000"/>
          <w:sz w:val="22"/>
        </w:rPr>
        <w:t>月</w:t>
      </w:r>
      <w:r>
        <w:rPr>
          <w:rFonts w:ascii="Arial" w:hAnsi="Arial" w:eastAsia="Arial"/>
          <w:b w:val="0"/>
          <w:i w:val="0"/>
          <w:color w:val="000000"/>
          <w:sz w:val="22"/>
        </w:rPr>
        <w:t>12</w:t>
      </w:r>
      <w:r>
        <w:rPr>
          <w:rFonts w:ascii="黑体" w:hAnsi="黑体" w:eastAsia="黑体"/>
          <w:b w:val="0"/>
          <w:i w:val="0"/>
          <w:color w:val="000000"/>
          <w:sz w:val="22"/>
        </w:rPr>
        <w:t>日注册成立，注</w:t>
      </w:r>
      <w:r>
        <w:rPr>
          <w:rFonts w:ascii="黑体" w:hAnsi="黑体" w:eastAsia="黑体"/>
          <w:b w:val="0"/>
          <w:i w:val="0"/>
          <w:color w:val="000000"/>
          <w:sz w:val="22"/>
        </w:rPr>
        <w:t>册地位于山西省太原市，经营范围为投资管理与资产管理，注册资本为人民币</w:t>
      </w:r>
      <w:r>
        <w:rPr>
          <w:rFonts w:ascii="Arial" w:hAnsi="Arial" w:eastAsia="Arial"/>
          <w:b w:val="0"/>
          <w:i w:val="0"/>
          <w:color w:val="000000"/>
          <w:sz w:val="22"/>
        </w:rPr>
        <w:t>25,100</w:t>
      </w:r>
      <w:r>
        <w:rPr>
          <w:rFonts w:ascii="黑体" w:hAnsi="黑体" w:eastAsia="黑体"/>
          <w:b w:val="0"/>
          <w:i w:val="0"/>
          <w:color w:val="000000"/>
          <w:sz w:val="22"/>
        </w:rPr>
        <w:t>万元，其中本公司认缴出资人民币</w:t>
      </w:r>
      <w:r>
        <w:rPr>
          <w:rFonts w:ascii="Arial" w:hAnsi="Arial" w:eastAsia="Arial"/>
          <w:b w:val="0"/>
          <w:i w:val="0"/>
          <w:color w:val="000000"/>
          <w:sz w:val="22"/>
        </w:rPr>
        <w:t>100</w:t>
      </w:r>
      <w:r>
        <w:rPr>
          <w:rFonts w:ascii="黑体" w:hAnsi="黑体" w:eastAsia="黑体"/>
          <w:b w:val="0"/>
          <w:i w:val="0"/>
          <w:color w:val="000000"/>
          <w:sz w:val="22"/>
        </w:rPr>
        <w:t>万元。截至</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w:t>
      </w:r>
      <w:r>
        <w:rPr>
          <w:rFonts w:ascii="黑体" w:hAnsi="黑体" w:eastAsia="黑体"/>
          <w:b w:val="0"/>
          <w:i w:val="0"/>
          <w:color w:val="000000"/>
          <w:sz w:val="22"/>
        </w:rPr>
        <w:t>公司实缴出资人民币</w:t>
      </w:r>
      <w:r>
        <w:rPr>
          <w:rFonts w:ascii="Arial" w:hAnsi="Arial" w:eastAsia="Arial"/>
          <w:b w:val="0"/>
          <w:i w:val="0"/>
          <w:color w:val="000000"/>
          <w:sz w:val="22"/>
        </w:rPr>
        <w:t>5</w:t>
      </w:r>
      <w:r>
        <w:rPr>
          <w:rFonts w:ascii="黑体" w:hAnsi="黑体" w:eastAsia="黑体"/>
          <w:b w:val="0"/>
          <w:i w:val="0"/>
          <w:color w:val="000000"/>
          <w:sz w:val="22"/>
        </w:rPr>
        <w:t>万元，剩余人民币</w:t>
      </w:r>
      <w:r>
        <w:rPr>
          <w:rFonts w:ascii="Arial" w:hAnsi="Arial" w:eastAsia="Arial"/>
          <w:b w:val="0"/>
          <w:i w:val="0"/>
          <w:color w:val="000000"/>
          <w:sz w:val="22"/>
        </w:rPr>
        <w:t>95</w:t>
      </w:r>
      <w:r>
        <w:rPr>
          <w:rFonts w:ascii="黑体" w:hAnsi="黑体" w:eastAsia="黑体"/>
          <w:b w:val="0"/>
          <w:i w:val="0"/>
          <w:color w:val="000000"/>
          <w:sz w:val="22"/>
        </w:rPr>
        <w:t>万元尚未缴付。</w:t>
      </w:r>
    </w:p>
    <w:p>
      <w:pPr>
        <w:autoSpaceDN w:val="0"/>
        <w:autoSpaceDE w:val="0"/>
        <w:widowControl/>
        <w:spacing w:line="220" w:lineRule="exact" w:before="562" w:after="0"/>
        <w:ind w:left="358" w:right="0" w:firstLine="0"/>
        <w:jc w:val="left"/>
      </w:pPr>
      <w:r>
        <w:rPr>
          <w:rFonts w:ascii="黑体" w:hAnsi="黑体" w:eastAsia="黑体"/>
          <w:b w:val="0"/>
          <w:i w:val="0"/>
          <w:color w:val="000000"/>
          <w:sz w:val="22"/>
        </w:rPr>
        <w:t>十六、资产负债表日后事项</w:t>
      </w:r>
    </w:p>
    <w:p>
      <w:pPr>
        <w:autoSpaceDN w:val="0"/>
        <w:tabs>
          <w:tab w:pos="1016" w:val="left"/>
        </w:tabs>
        <w:autoSpaceDE w:val="0"/>
        <w:widowControl/>
        <w:spacing w:line="246" w:lineRule="exact" w:before="308"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资产负债表日后利润分配情况说明</w:t>
      </w:r>
    </w:p>
    <w:p>
      <w:pPr>
        <w:autoSpaceDN w:val="0"/>
        <w:autoSpaceDE w:val="0"/>
        <w:widowControl/>
        <w:spacing w:line="276" w:lineRule="exact" w:before="264" w:after="0"/>
        <w:ind w:left="358" w:right="352" w:firstLine="0"/>
        <w:jc w:val="both"/>
      </w:pPr>
      <w:r>
        <w:rPr>
          <w:rFonts w:ascii="黑体" w:hAnsi="黑体" w:eastAsia="黑体"/>
          <w:b w:val="0"/>
          <w:i w:val="0"/>
          <w:color w:val="000000"/>
          <w:sz w:val="22"/>
        </w:rPr>
        <w:t>董事会于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日提议本公司以</w:t>
      </w:r>
      <w:r>
        <w:rPr>
          <w:rFonts w:ascii="Arial" w:hAnsi="Arial" w:eastAsia="Arial"/>
          <w:b w:val="0"/>
          <w:i w:val="0"/>
          <w:color w:val="000000"/>
          <w:sz w:val="22"/>
        </w:rPr>
        <w:t>2024</w:t>
      </w:r>
      <w:r>
        <w:rPr>
          <w:rFonts w:ascii="黑体" w:hAnsi="黑体" w:eastAsia="黑体"/>
          <w:b w:val="0"/>
          <w:i w:val="0"/>
          <w:color w:val="000000"/>
          <w:sz w:val="22"/>
        </w:rPr>
        <w:t>年末总股本</w:t>
      </w:r>
      <w:r>
        <w:rPr>
          <w:rFonts w:ascii="Arial" w:hAnsi="Arial" w:eastAsia="Arial"/>
          <w:b w:val="0"/>
          <w:i w:val="0"/>
          <w:color w:val="000000"/>
          <w:sz w:val="22"/>
        </w:rPr>
        <w:t>3,589,771,547</w:t>
      </w:r>
      <w:r>
        <w:rPr>
          <w:rFonts w:ascii="黑体" w:hAnsi="黑体" w:eastAsia="黑体"/>
          <w:b w:val="0"/>
          <w:i w:val="0"/>
          <w:color w:val="000000"/>
          <w:sz w:val="22"/>
        </w:rPr>
        <w:t>股为基数，向普</w:t>
      </w:r>
      <w:r>
        <w:rPr>
          <w:rFonts w:ascii="黑体" w:hAnsi="黑体" w:eastAsia="黑体"/>
          <w:b w:val="0"/>
          <w:i w:val="0"/>
          <w:color w:val="000000"/>
          <w:sz w:val="22"/>
        </w:rPr>
        <w:t>通股股东派发现金股利，每股派发人民币</w:t>
      </w:r>
      <w:r>
        <w:rPr>
          <w:rFonts w:ascii="Arial" w:hAnsi="Arial" w:eastAsia="Arial"/>
          <w:b w:val="0"/>
          <w:i w:val="0"/>
          <w:color w:val="000000"/>
          <w:sz w:val="22"/>
        </w:rPr>
        <w:t>0.05</w:t>
      </w:r>
      <w:r>
        <w:rPr>
          <w:rFonts w:ascii="黑体" w:hAnsi="黑体" w:eastAsia="黑体"/>
          <w:b w:val="0"/>
          <w:i w:val="0"/>
          <w:color w:val="000000"/>
          <w:sz w:val="22"/>
        </w:rPr>
        <w:t>元，派发现金股利共人民币</w:t>
      </w:r>
      <w:r>
        <w:rPr>
          <w:rFonts w:ascii="Arial" w:hAnsi="Arial" w:eastAsia="Arial"/>
          <w:b w:val="0"/>
          <w:i w:val="0"/>
          <w:color w:val="000000"/>
          <w:sz w:val="22"/>
        </w:rPr>
        <w:t>179,488,577</w:t>
      </w:r>
      <w:r>
        <w:rPr>
          <w:rFonts w:ascii="黑体" w:hAnsi="黑体" w:eastAsia="黑体"/>
          <w:b w:val="0"/>
          <w:i w:val="0"/>
          <w:color w:val="000000"/>
          <w:sz w:val="22"/>
        </w:rPr>
        <w:t>元。此项提议尚待股东大会批准。于资产负债表日后提议派发的现金股利未在资产负</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债表日确认为负债。</w:t>
      </w:r>
    </w:p>
    <w:p>
      <w:pPr>
        <w:autoSpaceDN w:val="0"/>
        <w:autoSpaceDE w:val="0"/>
        <w:widowControl/>
        <w:spacing w:line="220" w:lineRule="exact" w:before="572" w:after="0"/>
        <w:ind w:left="358" w:right="0" w:firstLine="0"/>
        <w:jc w:val="left"/>
      </w:pPr>
      <w:r>
        <w:rPr>
          <w:rFonts w:ascii="黑体" w:hAnsi="黑体" w:eastAsia="黑体"/>
          <w:b w:val="0"/>
          <w:i w:val="0"/>
          <w:color w:val="000000"/>
          <w:sz w:val="22"/>
        </w:rPr>
        <w:t>十七、其他重要事项说明</w:t>
      </w:r>
    </w:p>
    <w:p>
      <w:pPr>
        <w:autoSpaceDN w:val="0"/>
        <w:tabs>
          <w:tab w:pos="1016" w:val="left"/>
        </w:tabs>
        <w:autoSpaceDE w:val="0"/>
        <w:widowControl/>
        <w:spacing w:line="246" w:lineRule="exact" w:before="308" w:after="0"/>
        <w:ind w:left="358" w:right="0" w:firstLine="0"/>
        <w:jc w:val="left"/>
      </w:pPr>
      <w:r>
        <w:rPr>
          <w:rFonts w:ascii="Arial,Bold" w:hAnsi="Arial,Bold" w:eastAsia="Arial,Bold"/>
          <w:b/>
          <w:i w:val="0"/>
          <w:color w:val="000000"/>
          <w:sz w:val="22"/>
        </w:rPr>
        <w:t xml:space="preserve">1. </w:t>
      </w:r>
      <w:r>
        <w:rPr>
          <w:rFonts w:ascii="黑体" w:hAnsi="黑体" w:eastAsia="黑体"/>
          <w:b w:val="0"/>
          <w:i w:val="0"/>
          <w:color w:val="000000"/>
          <w:sz w:val="22"/>
        </w:rPr>
        <w:t>债券借贷业务</w:t>
      </w:r>
    </w:p>
    <w:p>
      <w:pPr>
        <w:autoSpaceDN w:val="0"/>
        <w:autoSpaceDE w:val="0"/>
        <w:widowControl/>
        <w:spacing w:line="284" w:lineRule="exact" w:before="256" w:after="0"/>
        <w:ind w:left="358" w:right="350" w:firstLine="0"/>
        <w:jc w:val="both"/>
      </w:pP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日，本集团通过债券借贷业务借入债券的公允价值为人民币</w:t>
      </w:r>
      <w:r>
        <w:rPr>
          <w:rFonts w:ascii="Arial" w:hAnsi="Arial" w:eastAsia="Arial"/>
          <w:b w:val="0"/>
          <w:i w:val="0"/>
          <w:color w:val="000000"/>
          <w:sz w:val="22"/>
        </w:rPr>
        <w:t>9,961,265,310</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日：人民币</w:t>
      </w:r>
      <w:r>
        <w:rPr>
          <w:rFonts w:ascii="Arial" w:hAnsi="Arial" w:eastAsia="Arial"/>
          <w:b w:val="0"/>
          <w:i w:val="0"/>
          <w:color w:val="000000"/>
          <w:sz w:val="22"/>
        </w:rPr>
        <w:t>7,450,630,870</w:t>
      </w:r>
      <w:r>
        <w:rPr>
          <w:rFonts w:ascii="黑体" w:hAnsi="黑体" w:eastAsia="黑体"/>
          <w:b w:val="0"/>
          <w:i w:val="0"/>
          <w:color w:val="000000"/>
          <w:sz w:val="22"/>
        </w:rPr>
        <w:t>元）。本集团为开展债券</w:t>
      </w:r>
      <w:r>
        <w:rPr>
          <w:rFonts w:ascii="黑体" w:hAnsi="黑体" w:eastAsia="黑体"/>
          <w:b w:val="0"/>
          <w:i w:val="0"/>
          <w:color w:val="000000"/>
          <w:sz w:val="22"/>
        </w:rPr>
        <w:t>借贷业务用于抵押的债券公允价值为人民币</w:t>
      </w:r>
      <w:r>
        <w:rPr>
          <w:rFonts w:ascii="Arial" w:hAnsi="Arial" w:eastAsia="Arial"/>
          <w:b w:val="0"/>
          <w:i w:val="0"/>
          <w:color w:val="000000"/>
          <w:sz w:val="22"/>
        </w:rPr>
        <w:t>7,895,889,428</w:t>
      </w:r>
      <w:r>
        <w:rPr>
          <w:rFonts w:ascii="黑体" w:hAnsi="黑体" w:eastAsia="黑体"/>
          <w:b w:val="0"/>
          <w:i w:val="0"/>
          <w:color w:val="000000"/>
          <w:sz w:val="22"/>
        </w:rPr>
        <w:t>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日：人</w:t>
      </w:r>
      <w:r>
        <w:rPr>
          <w:rFonts w:ascii="黑体" w:hAnsi="黑体" w:eastAsia="黑体"/>
          <w:b w:val="0"/>
          <w:i w:val="0"/>
          <w:color w:val="000000"/>
          <w:sz w:val="22"/>
        </w:rPr>
        <w:t>民币</w:t>
      </w:r>
      <w:r>
        <w:rPr>
          <w:rFonts w:ascii="Arial" w:hAnsi="Arial" w:eastAsia="Arial"/>
          <w:b w:val="0"/>
          <w:i w:val="0"/>
          <w:color w:val="000000"/>
          <w:sz w:val="22"/>
        </w:rPr>
        <w:t>6,533,368,528</w:t>
      </w:r>
      <w:r>
        <w:rPr>
          <w:rFonts w:ascii="黑体" w:hAnsi="黑体" w:eastAsia="黑体"/>
          <w:b w:val="0"/>
          <w:i w:val="0"/>
          <w:color w:val="000000"/>
          <w:sz w:val="22"/>
        </w:rPr>
        <w:t>元）。</w:t>
      </w:r>
    </w:p>
    <w:p>
      <w:pPr>
        <w:autoSpaceDN w:val="0"/>
        <w:autoSpaceDE w:val="0"/>
        <w:widowControl/>
        <w:spacing w:line="233" w:lineRule="auto" w:before="6308" w:after="0"/>
        <w:ind w:left="0" w:right="0" w:firstLine="0"/>
        <w:jc w:val="center"/>
      </w:pPr>
      <w:r>
        <w:rPr>
          <w:rFonts w:ascii="Arial" w:hAnsi="Arial" w:eastAsia="Arial"/>
          <w:b w:val="0"/>
          <w:i w:val="0"/>
          <w:color w:val="000000"/>
          <w:sz w:val="20"/>
        </w:rPr>
        <w:t xml:space="preserve">303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16" w:val="left"/>
          <w:tab w:pos="4386" w:val="left"/>
        </w:tabs>
        <w:autoSpaceDE w:val="0"/>
        <w:widowControl/>
        <w:spacing w:line="438" w:lineRule="exact" w:before="0" w:after="0"/>
        <w:ind w:left="358" w:right="3024" w:firstLine="0"/>
        <w:jc w:val="left"/>
      </w:pPr>
      <w:r>
        <w:rPr>
          <w:rFonts w:ascii="黑体" w:hAnsi="黑体" w:eastAsia="黑体"/>
          <w:b w:val="0"/>
          <w:i w:val="0"/>
          <w:color w:val="000000"/>
          <w:sz w:val="22"/>
        </w:rPr>
        <w:t>十七、其他重要事项说明（续）</w:t>
      </w:r>
      <w:r>
        <w:br/>
      </w:r>
      <w:r>
        <w:rPr>
          <w:rFonts w:ascii="Arial,Bold" w:hAnsi="Arial,Bold" w:eastAsia="Arial,Bold"/>
          <w:b/>
          <w:i w:val="0"/>
          <w:color w:val="000000"/>
          <w:sz w:val="22"/>
        </w:rPr>
        <w:t xml:space="preserve">2. </w:t>
      </w:r>
      <w:r>
        <w:rPr>
          <w:rFonts w:ascii="黑体" w:hAnsi="黑体" w:eastAsia="黑体"/>
          <w:b w:val="0"/>
          <w:i w:val="0"/>
          <w:color w:val="000000"/>
          <w:sz w:val="22"/>
        </w:rPr>
        <w:t>金融工具计量基础分类表</w:t>
      </w:r>
      <w:r>
        <w:br/>
      </w:r>
      <w:r>
        <w:rPr>
          <w:rFonts w:ascii="黑体" w:hAnsi="黑体" w:eastAsia="黑体"/>
          <w:b w:val="0"/>
          <w:i w:val="0"/>
          <w:color w:val="000000"/>
          <w:sz w:val="22"/>
        </w:rPr>
        <w:t>本集团金融资产项目</w:t>
      </w:r>
      <w:r>
        <w:br/>
      </w:r>
      <w:r>
        <w:tab/>
      </w:r>
      <w:r>
        <w:tab/>
      </w:r>
      <w:r>
        <w:rPr>
          <w:rFonts w:ascii="Arial" w:hAnsi="Arial" w:eastAsia="Arial"/>
          <w:b w:val="0"/>
          <w:i w:val="0"/>
          <w:color w:val="000000"/>
          <w:sz w:val="14"/>
        </w:rPr>
        <w:t>2024</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日账面价值</w:t>
      </w:r>
    </w:p>
    <w:p>
      <w:pPr>
        <w:autoSpaceDN w:val="0"/>
        <w:autoSpaceDE w:val="0"/>
        <w:widowControl/>
        <w:spacing w:line="138" w:lineRule="exact" w:before="42" w:after="22"/>
        <w:ind w:left="0" w:right="3848" w:firstLine="0"/>
        <w:jc w:val="right"/>
      </w:pPr>
      <w:r>
        <w:rPr>
          <w:rFonts w:ascii="黑体" w:hAnsi="黑体" w:eastAsia="黑体"/>
          <w:b w:val="0"/>
          <w:i w:val="0"/>
          <w:color w:val="000000"/>
          <w:sz w:val="14"/>
        </w:rPr>
        <w:t>以公允价值计量且其变动计入其他综合</w:t>
      </w:r>
    </w:p>
    <w:tbl>
      <w:tblPr>
        <w:tblW w:type="auto" w:w="0"/>
        <w:tblLayout w:type="fixed"/>
        <w:tblLook w:firstColumn="1" w:firstRow="1" w:lastColumn="0" w:lastRow="0" w:noHBand="0" w:noVBand="1" w:val="04A0"/>
        <w:tblInd w:w="160.0" w:type="dxa"/>
      </w:tblPr>
      <w:tblGrid>
        <w:gridCol w:w="752"/>
        <w:gridCol w:w="752"/>
        <w:gridCol w:w="752"/>
        <w:gridCol w:w="752"/>
        <w:gridCol w:w="752"/>
        <w:gridCol w:w="752"/>
        <w:gridCol w:w="752"/>
        <w:gridCol w:w="752"/>
        <w:gridCol w:w="752"/>
        <w:gridCol w:w="752"/>
        <w:gridCol w:w="752"/>
        <w:gridCol w:w="752"/>
      </w:tblGrid>
      <w:tr>
        <w:trPr>
          <w:trHeight w:hRule="exact" w:val="190"/>
        </w:trPr>
        <w:tc>
          <w:tcPr>
            <w:tcW w:type="dxa" w:w="1558"/>
            <w:tcBorders>
              <w:bottom w:sz="4.0" w:val="single" w:color="#000000"/>
            </w:tcBorders>
            <w:tcMar>
              <w:start w:w="0" w:type="dxa"/>
              <w:end w:w="0" w:type="dxa"/>
            </w:tcMar>
          </w:tcPr>
          <w:p/>
        </w:tc>
        <w:tc>
          <w:tcPr>
            <w:tcW w:type="dxa" w:w="1076"/>
            <w:tcBorders>
              <w:bottom w:sz="4.0" w:val="single" w:color="#000000"/>
            </w:tcBorders>
            <w:tcMar>
              <w:start w:w="0" w:type="dxa"/>
              <w:end w:w="0" w:type="dxa"/>
            </w:tcMar>
          </w:tcPr>
          <w:p/>
        </w:tc>
        <w:tc>
          <w:tcPr>
            <w:tcW w:type="dxa" w:w="2346"/>
            <w:gridSpan w:val="2"/>
            <w:tcBorders>
              <w:bottom w:sz="4.0" w:val="single" w:color="#000000"/>
            </w:tcBorders>
            <w:tcMar>
              <w:start w:w="0" w:type="dxa"/>
              <w:end w:w="0" w:type="dxa"/>
            </w:tcMar>
            <w:tcMar>
              <w:start w:w="0" w:type="dxa"/>
              <w:end w:w="0" w:type="dxa"/>
            </w:tcMar>
          </w:tcPr>
          <w:p>
            <w:pPr>
              <w:autoSpaceDN w:val="0"/>
              <w:autoSpaceDE w:val="0"/>
              <w:widowControl/>
              <w:spacing w:line="138" w:lineRule="exact" w:before="22" w:after="0"/>
              <w:ind w:left="0" w:right="0" w:firstLine="0"/>
              <w:jc w:val="center"/>
            </w:pPr>
            <w:r>
              <w:rPr>
                <w:rFonts w:ascii="黑体" w:hAnsi="黑体" w:eastAsia="黑体"/>
                <w:b w:val="0"/>
                <w:i w:val="0"/>
                <w:color w:val="000000"/>
                <w:sz w:val="14"/>
              </w:rPr>
              <w:t>收益</w:t>
            </w:r>
          </w:p>
        </w:tc>
        <w:tc>
          <w:tcPr>
            <w:tcW w:type="dxa" w:w="3518"/>
            <w:gridSpan w:val="8"/>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22" w:after="0"/>
              <w:ind w:left="614" w:right="0" w:firstLine="0"/>
              <w:jc w:val="left"/>
            </w:pPr>
            <w:r>
              <w:rPr>
                <w:rFonts w:ascii="黑体" w:hAnsi="黑体" w:eastAsia="黑体"/>
                <w:b w:val="0"/>
                <w:i w:val="0"/>
                <w:color w:val="000000"/>
                <w:sz w:val="14"/>
              </w:rPr>
              <w:t>以公允价值计量且其变动计入当期损益</w:t>
            </w:r>
          </w:p>
        </w:tc>
      </w:tr>
      <w:tr>
        <w:trPr>
          <w:trHeight w:hRule="exact" w:val="178"/>
        </w:trPr>
        <w:tc>
          <w:tcPr>
            <w:tcW w:type="dxa" w:w="1558"/>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40" w:lineRule="exact" w:before="1088" w:after="0"/>
              <w:ind w:left="198" w:right="0" w:firstLine="0"/>
              <w:jc w:val="left"/>
            </w:pPr>
            <w:r>
              <w:rPr>
                <w:rFonts w:ascii="黑体" w:hAnsi="黑体" w:eastAsia="黑体"/>
                <w:b w:val="0"/>
                <w:i w:val="0"/>
                <w:color w:val="000000"/>
                <w:sz w:val="14"/>
              </w:rPr>
              <w:t>货币资金</w:t>
            </w:r>
          </w:p>
        </w:tc>
        <w:tc>
          <w:tcPr>
            <w:tcW w:type="dxa" w:w="1076"/>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566" w:after="0"/>
              <w:ind w:left="0" w:right="0" w:firstLine="0"/>
              <w:jc w:val="center"/>
            </w:pPr>
            <w:r>
              <w:rPr>
                <w:rFonts w:ascii="黑体" w:hAnsi="黑体" w:eastAsia="黑体"/>
                <w:b w:val="0"/>
                <w:i w:val="0"/>
                <w:color w:val="000000"/>
                <w:sz w:val="14"/>
              </w:rPr>
              <w:t>以摊余成本计量</w:t>
            </w:r>
          </w:p>
        </w:tc>
        <w:tc>
          <w:tcPr>
            <w:tcW w:type="dxa" w:w="3446"/>
            <w:gridSpan w:val="7"/>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20" w:after="0"/>
              <w:ind w:left="0" w:right="1070" w:firstLine="0"/>
              <w:jc w:val="right"/>
            </w:pPr>
            <w:r>
              <w:rPr>
                <w:rFonts w:ascii="黑体" w:hAnsi="黑体" w:eastAsia="黑体"/>
                <w:b w:val="0"/>
                <w:i w:val="0"/>
                <w:color w:val="000000"/>
                <w:sz w:val="14"/>
              </w:rPr>
              <w:t>指定为以公允</w:t>
            </w:r>
          </w:p>
        </w:tc>
        <w:tc>
          <w:tcPr>
            <w:tcW w:type="dxa" w:w="1220"/>
            <w:tcBorders>
              <w:top w:sz="4.0" w:val="single" w:color="#000000"/>
            </w:tcBorders>
            <w:tcMar>
              <w:start w:w="0" w:type="dxa"/>
              <w:end w:w="0" w:type="dxa"/>
            </w:tcMar>
          </w:tcPr>
          <w:p>
            <w:pPr>
              <w:autoSpaceDN w:val="0"/>
              <w:autoSpaceDE w:val="0"/>
              <w:widowControl/>
              <w:spacing w:line="138" w:lineRule="exact" w:before="20" w:after="0"/>
              <w:ind w:left="108" w:right="0" w:firstLine="0"/>
              <w:jc w:val="left"/>
            </w:pPr>
            <w:r>
              <w:rPr>
                <w:rFonts w:ascii="黑体" w:hAnsi="黑体" w:eastAsia="黑体"/>
                <w:b w:val="0"/>
                <w:i w:val="0"/>
                <w:color w:val="000000"/>
                <w:sz w:val="14"/>
              </w:rPr>
              <w:t>按照《金融工具确</w:t>
            </w:r>
          </w:p>
        </w:tc>
        <w:tc>
          <w:tcPr>
            <w:tcW w:type="dxa" w:w="1198"/>
            <w:gridSpan w:val="2"/>
            <w:tcBorders>
              <w:top w:sz="4.0" w:val="single" w:color="#000000"/>
            </w:tcBorders>
            <w:tcMar>
              <w:start w:w="0" w:type="dxa"/>
              <w:end w:w="0" w:type="dxa"/>
            </w:tcMar>
            <w:tcMar>
              <w:start w:w="0" w:type="dxa"/>
              <w:end w:w="0" w:type="dxa"/>
            </w:tcMar>
          </w:tcPr>
          <w:p>
            <w:pPr>
              <w:autoSpaceDN w:val="0"/>
              <w:autoSpaceDE w:val="0"/>
              <w:widowControl/>
              <w:spacing w:line="138" w:lineRule="exact" w:before="20" w:after="0"/>
              <w:ind w:left="0" w:right="0" w:firstLine="0"/>
              <w:jc w:val="center"/>
            </w:pPr>
            <w:r>
              <w:rPr>
                <w:rFonts w:ascii="黑体" w:hAnsi="黑体" w:eastAsia="黑体"/>
                <w:b w:val="0"/>
                <w:i w:val="0"/>
                <w:color w:val="000000"/>
                <w:sz w:val="14"/>
              </w:rPr>
              <w:t>按照《套期会计》</w:t>
            </w:r>
          </w:p>
        </w:tc>
      </w:tr>
      <w:tr>
        <w:trPr>
          <w:trHeight w:hRule="exact" w:val="180"/>
        </w:trPr>
        <w:tc>
          <w:tcPr>
            <w:tcW w:type="dxa" w:w="752"/>
            <w:vMerge/>
            <w:tcBorders>
              <w:top w:sz="4.0" w:val="single" w:color="#000000"/>
            </w:tcBorders>
          </w:tcPr>
          <w:p/>
        </w:tc>
        <w:tc>
          <w:tcPr>
            <w:tcW w:type="dxa" w:w="752"/>
            <w:vMerge/>
            <w:tcBorders>
              <w:top w:sz="4.0" w:val="single" w:color="#000000"/>
            </w:tcBorders>
          </w:tcPr>
          <w:p/>
        </w:tc>
        <w:tc>
          <w:tcPr>
            <w:tcW w:type="dxa" w:w="1146"/>
            <w:tcBorders/>
            <w:tcMar>
              <w:start w:w="0" w:type="dxa"/>
              <w:end w:w="0" w:type="dxa"/>
            </w:tcMar>
          </w:tcPr>
          <w:p>
            <w:pPr>
              <w:autoSpaceDN w:val="0"/>
              <w:autoSpaceDE w:val="0"/>
              <w:widowControl/>
              <w:spacing w:line="140" w:lineRule="exact" w:before="28" w:after="0"/>
              <w:ind w:left="0" w:right="0" w:firstLine="0"/>
              <w:jc w:val="right"/>
            </w:pPr>
            <w:r>
              <w:rPr>
                <w:rFonts w:ascii="黑体" w:hAnsi="黑体" w:eastAsia="黑体"/>
                <w:b w:val="0"/>
                <w:i w:val="0"/>
                <w:color w:val="000000"/>
                <w:sz w:val="14"/>
              </w:rPr>
              <w:t>分类为以公允</w:t>
            </w:r>
          </w:p>
        </w:tc>
        <w:tc>
          <w:tcPr>
            <w:tcW w:type="dxa" w:w="1350"/>
            <w:gridSpan w:val="3"/>
            <w:tcBorders/>
            <w:tcMar>
              <w:start w:w="0" w:type="dxa"/>
              <w:end w:w="0" w:type="dxa"/>
            </w:tcMar>
            <w:tcMar>
              <w:start w:w="0" w:type="dxa"/>
              <w:end w:w="0" w:type="dxa"/>
            </w:tcMar>
            <w:tcMar>
              <w:start w:w="0" w:type="dxa"/>
              <w:end w:w="0" w:type="dxa"/>
            </w:tcMar>
          </w:tcPr>
          <w:p>
            <w:pPr>
              <w:autoSpaceDN w:val="0"/>
              <w:autoSpaceDE w:val="0"/>
              <w:widowControl/>
              <w:spacing w:line="140" w:lineRule="exact" w:before="28" w:after="0"/>
              <w:ind w:left="0" w:right="0" w:firstLine="0"/>
              <w:jc w:val="center"/>
            </w:pPr>
            <w:r>
              <w:rPr>
                <w:rFonts w:ascii="黑体" w:hAnsi="黑体" w:eastAsia="黑体"/>
                <w:b w:val="0"/>
                <w:i w:val="0"/>
                <w:color w:val="000000"/>
                <w:sz w:val="14"/>
              </w:rPr>
              <w:t>价值计量且其变动</w:t>
            </w:r>
          </w:p>
        </w:tc>
        <w:tc>
          <w:tcPr>
            <w:tcW w:type="dxa" w:w="950"/>
            <w:gridSpan w:val="3"/>
            <w:tcBorders/>
            <w:tcMar>
              <w:start w:w="0" w:type="dxa"/>
              <w:end w:w="0" w:type="dxa"/>
            </w:tcMar>
            <w:tcMar>
              <w:start w:w="0" w:type="dxa"/>
              <w:end w:w="0" w:type="dxa"/>
            </w:tcMar>
            <w:tcMar>
              <w:start w:w="0" w:type="dxa"/>
              <w:end w:w="0" w:type="dxa"/>
            </w:tcMar>
          </w:tcPr>
          <w:p>
            <w:pPr>
              <w:autoSpaceDN w:val="0"/>
              <w:autoSpaceDE w:val="0"/>
              <w:widowControl/>
              <w:spacing w:line="140" w:lineRule="exact" w:before="28" w:after="0"/>
              <w:ind w:left="120" w:right="0" w:firstLine="0"/>
              <w:jc w:val="left"/>
            </w:pPr>
            <w:r>
              <w:rPr>
                <w:rFonts w:ascii="黑体" w:hAnsi="黑体" w:eastAsia="黑体"/>
                <w:b w:val="0"/>
                <w:i w:val="0"/>
                <w:color w:val="000000"/>
                <w:sz w:val="14"/>
              </w:rPr>
              <w:t>分类为以公允</w:t>
            </w:r>
          </w:p>
        </w:tc>
        <w:tc>
          <w:tcPr>
            <w:tcW w:type="dxa" w:w="1220"/>
            <w:tcBorders/>
            <w:tcMar>
              <w:start w:w="0" w:type="dxa"/>
              <w:end w:w="0" w:type="dxa"/>
            </w:tcMar>
          </w:tcPr>
          <w:p>
            <w:pPr>
              <w:autoSpaceDN w:val="0"/>
              <w:autoSpaceDE w:val="0"/>
              <w:widowControl/>
              <w:spacing w:line="140" w:lineRule="exact" w:before="28" w:after="0"/>
              <w:ind w:left="108" w:right="0" w:firstLine="0"/>
              <w:jc w:val="left"/>
            </w:pPr>
            <w:r>
              <w:rPr>
                <w:rFonts w:ascii="黑体" w:hAnsi="黑体" w:eastAsia="黑体"/>
                <w:b w:val="0"/>
                <w:i w:val="0"/>
                <w:color w:val="000000"/>
                <w:sz w:val="14"/>
              </w:rPr>
              <w:t>认和计量》准则指</w:t>
            </w:r>
          </w:p>
        </w:tc>
        <w:tc>
          <w:tcPr>
            <w:tcW w:type="dxa" w:w="1198"/>
            <w:gridSpan w:val="2"/>
            <w:tcBorders/>
            <w:tcMar>
              <w:start w:w="0" w:type="dxa"/>
              <w:end w:w="0" w:type="dxa"/>
            </w:tcMar>
            <w:tcMar>
              <w:start w:w="0" w:type="dxa"/>
              <w:end w:w="0" w:type="dxa"/>
            </w:tcMar>
          </w:tcPr>
          <w:p>
            <w:pPr>
              <w:autoSpaceDN w:val="0"/>
              <w:autoSpaceDE w:val="0"/>
              <w:widowControl/>
              <w:spacing w:line="140" w:lineRule="exact" w:before="28" w:after="0"/>
              <w:ind w:left="0" w:right="0" w:firstLine="0"/>
              <w:jc w:val="center"/>
            </w:pPr>
            <w:r>
              <w:rPr>
                <w:rFonts w:ascii="黑体" w:hAnsi="黑体" w:eastAsia="黑体"/>
                <w:b w:val="0"/>
                <w:i w:val="0"/>
                <w:color w:val="000000"/>
                <w:sz w:val="14"/>
              </w:rPr>
              <w:t>准则指定为以公允</w:t>
            </w:r>
          </w:p>
        </w:tc>
      </w:tr>
      <w:tr>
        <w:trPr>
          <w:trHeight w:hRule="exact" w:val="180"/>
        </w:trPr>
        <w:tc>
          <w:tcPr>
            <w:tcW w:type="dxa" w:w="752"/>
            <w:vMerge/>
            <w:tcBorders>
              <w:top w:sz="4.0" w:val="single" w:color="#000000"/>
            </w:tcBorders>
          </w:tcPr>
          <w:p/>
        </w:tc>
        <w:tc>
          <w:tcPr>
            <w:tcW w:type="dxa" w:w="752"/>
            <w:vMerge/>
            <w:tcBorders>
              <w:top w:sz="4.0" w:val="single" w:color="#000000"/>
            </w:tcBorders>
          </w:tcPr>
          <w:p/>
        </w:tc>
        <w:tc>
          <w:tcPr>
            <w:tcW w:type="dxa" w:w="1146"/>
            <w:tcBorders/>
            <w:tcMar>
              <w:start w:w="0" w:type="dxa"/>
              <w:end w:w="0" w:type="dxa"/>
            </w:tcMar>
          </w:tcPr>
          <w:p>
            <w:pPr>
              <w:autoSpaceDN w:val="0"/>
              <w:autoSpaceDE w:val="0"/>
              <w:widowControl/>
              <w:spacing w:line="140" w:lineRule="exact" w:before="28" w:after="0"/>
              <w:ind w:left="0" w:right="0" w:firstLine="0"/>
              <w:jc w:val="center"/>
            </w:pPr>
            <w:r>
              <w:rPr>
                <w:rFonts w:ascii="黑体" w:hAnsi="黑体" w:eastAsia="黑体"/>
                <w:b w:val="0"/>
                <w:i w:val="0"/>
                <w:color w:val="000000"/>
                <w:sz w:val="14"/>
              </w:rPr>
              <w:t>价值计量且其变动</w:t>
            </w:r>
          </w:p>
        </w:tc>
        <w:tc>
          <w:tcPr>
            <w:tcW w:type="dxa" w:w="1282"/>
            <w:gridSpan w:val="2"/>
            <w:tcBorders/>
            <w:tcMar>
              <w:start w:w="0" w:type="dxa"/>
              <w:end w:w="0" w:type="dxa"/>
            </w:tcMar>
            <w:tcMar>
              <w:start w:w="0" w:type="dxa"/>
              <w:end w:w="0" w:type="dxa"/>
            </w:tcMar>
          </w:tcPr>
          <w:p>
            <w:pPr>
              <w:autoSpaceDN w:val="0"/>
              <w:autoSpaceDE w:val="0"/>
              <w:widowControl/>
              <w:spacing w:line="140" w:lineRule="exact" w:before="28" w:after="0"/>
              <w:ind w:left="0" w:right="52" w:firstLine="0"/>
              <w:jc w:val="right"/>
            </w:pPr>
            <w:r>
              <w:rPr>
                <w:rFonts w:ascii="黑体" w:hAnsi="黑体" w:eastAsia="黑体"/>
                <w:b w:val="0"/>
                <w:i w:val="0"/>
                <w:color w:val="000000"/>
                <w:sz w:val="14"/>
              </w:rPr>
              <w:t>计入其他综合</w:t>
            </w:r>
          </w:p>
        </w:tc>
        <w:tc>
          <w:tcPr>
            <w:tcW w:type="dxa" w:w="101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40" w:lineRule="exact" w:before="28" w:after="0"/>
              <w:ind w:left="0" w:right="0" w:firstLine="0"/>
              <w:jc w:val="center"/>
            </w:pPr>
            <w:r>
              <w:rPr>
                <w:rFonts w:ascii="黑体" w:hAnsi="黑体" w:eastAsia="黑体"/>
                <w:b w:val="0"/>
                <w:i w:val="0"/>
                <w:color w:val="000000"/>
                <w:sz w:val="14"/>
              </w:rPr>
              <w:t>价值计量且其变</w:t>
            </w:r>
          </w:p>
        </w:tc>
        <w:tc>
          <w:tcPr>
            <w:tcW w:type="dxa" w:w="1220"/>
            <w:tcBorders/>
            <w:tcMar>
              <w:start w:w="0" w:type="dxa"/>
              <w:end w:w="0" w:type="dxa"/>
            </w:tcMar>
          </w:tcPr>
          <w:p>
            <w:pPr>
              <w:autoSpaceDN w:val="0"/>
              <w:autoSpaceDE w:val="0"/>
              <w:widowControl/>
              <w:spacing w:line="140" w:lineRule="exact" w:before="28" w:after="0"/>
              <w:ind w:left="108" w:right="0" w:firstLine="0"/>
              <w:jc w:val="left"/>
            </w:pPr>
            <w:r>
              <w:rPr>
                <w:rFonts w:ascii="黑体" w:hAnsi="黑体" w:eastAsia="黑体"/>
                <w:b w:val="0"/>
                <w:i w:val="0"/>
                <w:color w:val="000000"/>
                <w:sz w:val="14"/>
              </w:rPr>
              <w:t>定为以公允价值计</w:t>
            </w:r>
          </w:p>
        </w:tc>
        <w:tc>
          <w:tcPr>
            <w:tcW w:type="dxa" w:w="1198"/>
            <w:gridSpan w:val="2"/>
            <w:tcBorders/>
            <w:tcMar>
              <w:start w:w="0" w:type="dxa"/>
              <w:end w:w="0" w:type="dxa"/>
            </w:tcMar>
            <w:tcMar>
              <w:start w:w="0" w:type="dxa"/>
              <w:end w:w="0" w:type="dxa"/>
            </w:tcMar>
          </w:tcPr>
          <w:p>
            <w:pPr>
              <w:autoSpaceDN w:val="0"/>
              <w:autoSpaceDE w:val="0"/>
              <w:widowControl/>
              <w:spacing w:line="140" w:lineRule="exact" w:before="28" w:after="0"/>
              <w:ind w:left="0" w:right="2" w:firstLine="0"/>
              <w:jc w:val="right"/>
            </w:pPr>
            <w:r>
              <w:rPr>
                <w:rFonts w:ascii="黑体" w:hAnsi="黑体" w:eastAsia="黑体"/>
                <w:b w:val="0"/>
                <w:i w:val="0"/>
                <w:color w:val="000000"/>
                <w:sz w:val="14"/>
              </w:rPr>
              <w:t>价值计量且其</w:t>
            </w:r>
          </w:p>
        </w:tc>
      </w:tr>
      <w:tr>
        <w:trPr>
          <w:trHeight w:hRule="exact" w:val="180"/>
        </w:trPr>
        <w:tc>
          <w:tcPr>
            <w:tcW w:type="dxa" w:w="752"/>
            <w:vMerge/>
            <w:tcBorders>
              <w:top w:sz="4.0" w:val="single" w:color="#000000"/>
            </w:tcBorders>
          </w:tcPr>
          <w:p/>
        </w:tc>
        <w:tc>
          <w:tcPr>
            <w:tcW w:type="dxa" w:w="752"/>
            <w:vMerge/>
            <w:tcBorders>
              <w:top w:sz="4.0" w:val="single" w:color="#000000"/>
            </w:tcBorders>
          </w:tcPr>
          <w:p/>
        </w:tc>
        <w:tc>
          <w:tcPr>
            <w:tcW w:type="dxa" w:w="1146"/>
            <w:tcBorders/>
            <w:tcMar>
              <w:start w:w="0" w:type="dxa"/>
              <w:end w:w="0" w:type="dxa"/>
            </w:tcMar>
          </w:tcPr>
          <w:p>
            <w:pPr>
              <w:autoSpaceDN w:val="0"/>
              <w:autoSpaceDE w:val="0"/>
              <w:widowControl/>
              <w:spacing w:line="138" w:lineRule="exact" w:before="32" w:after="0"/>
              <w:ind w:left="0" w:right="0" w:firstLine="0"/>
              <w:jc w:val="right"/>
            </w:pPr>
            <w:r>
              <w:rPr>
                <w:rFonts w:ascii="黑体" w:hAnsi="黑体" w:eastAsia="黑体"/>
                <w:b w:val="0"/>
                <w:i w:val="0"/>
                <w:color w:val="000000"/>
                <w:sz w:val="14"/>
              </w:rPr>
              <w:t>计入其他综合</w:t>
            </w:r>
          </w:p>
        </w:tc>
        <w:tc>
          <w:tcPr>
            <w:tcW w:type="dxa" w:w="1412"/>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32" w:after="0"/>
              <w:ind w:left="0" w:right="0" w:firstLine="0"/>
              <w:jc w:val="center"/>
            </w:pPr>
            <w:r>
              <w:rPr>
                <w:rFonts w:ascii="黑体" w:hAnsi="黑体" w:eastAsia="黑体"/>
                <w:b w:val="0"/>
                <w:i w:val="0"/>
                <w:color w:val="000000"/>
                <w:sz w:val="14"/>
              </w:rPr>
              <w:t>收益的非交易性</w:t>
            </w:r>
          </w:p>
        </w:tc>
        <w:tc>
          <w:tcPr>
            <w:tcW w:type="dxa" w:w="888"/>
            <w:gridSpan w:val="2"/>
            <w:tcBorders/>
            <w:tcMar>
              <w:start w:w="0" w:type="dxa"/>
              <w:end w:w="0" w:type="dxa"/>
            </w:tcMar>
            <w:tcMar>
              <w:start w:w="0" w:type="dxa"/>
              <w:end w:w="0" w:type="dxa"/>
            </w:tcMar>
          </w:tcPr>
          <w:p>
            <w:pPr>
              <w:autoSpaceDN w:val="0"/>
              <w:autoSpaceDE w:val="0"/>
              <w:widowControl/>
              <w:spacing w:line="138" w:lineRule="exact" w:before="32" w:after="0"/>
              <w:ind w:left="198" w:right="0" w:firstLine="0"/>
              <w:jc w:val="left"/>
            </w:pPr>
            <w:r>
              <w:rPr>
                <w:rFonts w:ascii="黑体" w:hAnsi="黑体" w:eastAsia="黑体"/>
                <w:b w:val="0"/>
                <w:i w:val="0"/>
                <w:color w:val="000000"/>
                <w:sz w:val="14"/>
              </w:rPr>
              <w:t>动计入当期</w:t>
            </w:r>
          </w:p>
        </w:tc>
        <w:tc>
          <w:tcPr>
            <w:tcW w:type="dxa" w:w="1220"/>
            <w:tcBorders/>
            <w:tcMar>
              <w:start w:w="0" w:type="dxa"/>
              <w:end w:w="0" w:type="dxa"/>
            </w:tcMar>
          </w:tcPr>
          <w:p>
            <w:pPr>
              <w:autoSpaceDN w:val="0"/>
              <w:autoSpaceDE w:val="0"/>
              <w:widowControl/>
              <w:spacing w:line="138" w:lineRule="exact" w:before="32" w:after="0"/>
              <w:ind w:left="108" w:right="0" w:firstLine="0"/>
              <w:jc w:val="left"/>
            </w:pPr>
            <w:r>
              <w:rPr>
                <w:rFonts w:ascii="黑体" w:hAnsi="黑体" w:eastAsia="黑体"/>
                <w:b w:val="0"/>
                <w:i w:val="0"/>
                <w:color w:val="000000"/>
                <w:sz w:val="14"/>
              </w:rPr>
              <w:t>量且其变动计入当</w:t>
            </w:r>
          </w:p>
        </w:tc>
        <w:tc>
          <w:tcPr>
            <w:tcW w:type="dxa" w:w="1198"/>
            <w:gridSpan w:val="2"/>
            <w:tcBorders/>
            <w:tcMar>
              <w:start w:w="0" w:type="dxa"/>
              <w:end w:w="0" w:type="dxa"/>
            </w:tcMar>
            <w:tcMar>
              <w:start w:w="0" w:type="dxa"/>
              <w:end w:w="0" w:type="dxa"/>
            </w:tcMar>
          </w:tcPr>
          <w:p>
            <w:pPr>
              <w:autoSpaceDN w:val="0"/>
              <w:autoSpaceDE w:val="0"/>
              <w:widowControl/>
              <w:spacing w:line="138" w:lineRule="exact" w:before="32" w:after="0"/>
              <w:ind w:left="0" w:right="2" w:firstLine="0"/>
              <w:jc w:val="right"/>
            </w:pPr>
            <w:r>
              <w:rPr>
                <w:rFonts w:ascii="黑体" w:hAnsi="黑体" w:eastAsia="黑体"/>
                <w:b w:val="0"/>
                <w:i w:val="0"/>
                <w:color w:val="000000"/>
                <w:sz w:val="14"/>
              </w:rPr>
              <w:t>变动计入当期</w:t>
            </w:r>
          </w:p>
        </w:tc>
      </w:tr>
      <w:tr>
        <w:trPr>
          <w:trHeight w:hRule="exact" w:val="260"/>
        </w:trPr>
        <w:tc>
          <w:tcPr>
            <w:tcW w:type="dxa" w:w="752"/>
            <w:vMerge/>
            <w:tcBorders>
              <w:top w:sz="4.0" w:val="single" w:color="#000000"/>
            </w:tcBorders>
          </w:tcPr>
          <w:p/>
        </w:tc>
        <w:tc>
          <w:tcPr>
            <w:tcW w:type="dxa" w:w="1076"/>
            <w:tcBorders/>
            <w:tcMar>
              <w:start w:w="0" w:type="dxa"/>
              <w:end w:w="0" w:type="dxa"/>
            </w:tcMar>
          </w:tcPr>
          <w:p>
            <w:pPr>
              <w:autoSpaceDN w:val="0"/>
              <w:autoSpaceDE w:val="0"/>
              <w:widowControl/>
              <w:spacing w:line="138" w:lineRule="exact" w:before="34" w:after="0"/>
              <w:ind w:left="0" w:right="60" w:firstLine="0"/>
              <w:jc w:val="right"/>
            </w:pPr>
            <w:r>
              <w:rPr>
                <w:rFonts w:ascii="黑体" w:hAnsi="黑体" w:eastAsia="黑体"/>
                <w:b w:val="0"/>
                <w:i w:val="0"/>
                <w:color w:val="000000"/>
                <w:sz w:val="14"/>
              </w:rPr>
              <w:t>的金融资产</w:t>
            </w:r>
          </w:p>
        </w:tc>
        <w:tc>
          <w:tcPr>
            <w:tcW w:type="dxa" w:w="1146"/>
            <w:tcBorders/>
            <w:tcMar>
              <w:start w:w="0" w:type="dxa"/>
              <w:end w:w="0" w:type="dxa"/>
            </w:tcMar>
          </w:tcPr>
          <w:p>
            <w:pPr>
              <w:autoSpaceDN w:val="0"/>
              <w:autoSpaceDE w:val="0"/>
              <w:widowControl/>
              <w:spacing w:line="138" w:lineRule="exact" w:before="34" w:after="0"/>
              <w:ind w:left="184" w:right="0" w:firstLine="0"/>
              <w:jc w:val="left"/>
            </w:pPr>
            <w:r>
              <w:rPr>
                <w:rFonts w:ascii="黑体" w:hAnsi="黑体" w:eastAsia="黑体"/>
                <w:b w:val="0"/>
                <w:i w:val="0"/>
                <w:color w:val="000000"/>
                <w:sz w:val="14"/>
              </w:rPr>
              <w:t>收益的金融资产</w:t>
            </w:r>
          </w:p>
        </w:tc>
        <w:tc>
          <w:tcPr>
            <w:tcW w:type="dxa" w:w="1282"/>
            <w:gridSpan w:val="2"/>
            <w:tcBorders/>
            <w:tcMar>
              <w:start w:w="0" w:type="dxa"/>
              <w:end w:w="0" w:type="dxa"/>
            </w:tcMar>
            <w:tcMar>
              <w:start w:w="0" w:type="dxa"/>
              <w:end w:w="0" w:type="dxa"/>
            </w:tcMar>
          </w:tcPr>
          <w:p>
            <w:pPr>
              <w:autoSpaceDN w:val="0"/>
              <w:autoSpaceDE w:val="0"/>
              <w:widowControl/>
              <w:spacing w:line="138" w:lineRule="exact" w:before="34" w:after="0"/>
              <w:ind w:left="0" w:right="52" w:firstLine="0"/>
              <w:jc w:val="right"/>
            </w:pPr>
            <w:r>
              <w:rPr>
                <w:rFonts w:ascii="黑体" w:hAnsi="黑体" w:eastAsia="黑体"/>
                <w:b w:val="0"/>
                <w:i w:val="0"/>
                <w:color w:val="000000"/>
                <w:sz w:val="14"/>
              </w:rPr>
              <w:t>权益工具投资</w:t>
            </w:r>
          </w:p>
        </w:tc>
        <w:tc>
          <w:tcPr>
            <w:tcW w:type="dxa" w:w="1018"/>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34" w:after="0"/>
              <w:ind w:left="0" w:right="0" w:firstLine="0"/>
              <w:jc w:val="center"/>
            </w:pPr>
            <w:r>
              <w:rPr>
                <w:rFonts w:ascii="黑体" w:hAnsi="黑体" w:eastAsia="黑体"/>
                <w:b w:val="0"/>
                <w:i w:val="0"/>
                <w:color w:val="000000"/>
                <w:sz w:val="14"/>
              </w:rPr>
              <w:t>损益的金融资产</w:t>
            </w:r>
          </w:p>
        </w:tc>
        <w:tc>
          <w:tcPr>
            <w:tcW w:type="dxa" w:w="1220"/>
            <w:tcBorders/>
            <w:tcMar>
              <w:start w:w="0" w:type="dxa"/>
              <w:end w:w="0" w:type="dxa"/>
            </w:tcMar>
          </w:tcPr>
          <w:p>
            <w:pPr>
              <w:autoSpaceDN w:val="0"/>
              <w:autoSpaceDE w:val="0"/>
              <w:widowControl/>
              <w:spacing w:line="138" w:lineRule="exact" w:before="34" w:after="0"/>
              <w:ind w:left="108" w:right="0" w:firstLine="0"/>
              <w:jc w:val="left"/>
            </w:pPr>
            <w:r>
              <w:rPr>
                <w:rFonts w:ascii="黑体" w:hAnsi="黑体" w:eastAsia="黑体"/>
                <w:b w:val="0"/>
                <w:i w:val="0"/>
                <w:color w:val="000000"/>
                <w:sz w:val="14"/>
              </w:rPr>
              <w:t>期损益的金融资产</w:t>
            </w:r>
          </w:p>
        </w:tc>
        <w:tc>
          <w:tcPr>
            <w:tcW w:type="dxa" w:w="1198"/>
            <w:gridSpan w:val="2"/>
            <w:tcBorders/>
            <w:tcMar>
              <w:start w:w="0" w:type="dxa"/>
              <w:end w:w="0" w:type="dxa"/>
            </w:tcMar>
            <w:tcMar>
              <w:start w:w="0" w:type="dxa"/>
              <w:end w:w="0" w:type="dxa"/>
            </w:tcMar>
          </w:tcPr>
          <w:p>
            <w:pPr>
              <w:autoSpaceDN w:val="0"/>
              <w:autoSpaceDE w:val="0"/>
              <w:widowControl/>
              <w:spacing w:line="138" w:lineRule="exact" w:before="34" w:after="0"/>
              <w:ind w:left="220" w:right="0" w:firstLine="0"/>
              <w:jc w:val="left"/>
            </w:pPr>
            <w:r>
              <w:rPr>
                <w:rFonts w:ascii="黑体" w:hAnsi="黑体" w:eastAsia="黑体"/>
                <w:b w:val="0"/>
                <w:i w:val="0"/>
                <w:color w:val="000000"/>
                <w:sz w:val="14"/>
              </w:rPr>
              <w:t>损益的金融资产</w:t>
            </w:r>
          </w:p>
        </w:tc>
      </w:tr>
      <w:tr>
        <w:trPr>
          <w:trHeight w:hRule="exact" w:val="260"/>
        </w:trPr>
        <w:tc>
          <w:tcPr>
            <w:tcW w:type="dxa" w:w="752"/>
            <w:vMerge/>
            <w:tcBorders>
              <w:top w:sz="4.0" w:val="single" w:color="#000000"/>
            </w:tcBorders>
          </w:tcPr>
          <w:p/>
        </w:tc>
        <w:tc>
          <w:tcPr>
            <w:tcW w:type="dxa" w:w="1076"/>
            <w:tcBorders/>
            <w:tcMar>
              <w:start w:w="0" w:type="dxa"/>
              <w:end w:w="0" w:type="dxa"/>
            </w:tcMar>
          </w:tcPr>
          <w:p>
            <w:pPr>
              <w:autoSpaceDN w:val="0"/>
              <w:autoSpaceDE w:val="0"/>
              <w:widowControl/>
              <w:spacing w:line="233" w:lineRule="auto" w:before="104" w:after="0"/>
              <w:ind w:left="0" w:right="0" w:firstLine="0"/>
              <w:jc w:val="center"/>
            </w:pPr>
            <w:r>
              <w:rPr>
                <w:rFonts w:ascii="Arial" w:hAnsi="Arial" w:eastAsia="Arial"/>
                <w:b w:val="0"/>
                <w:i w:val="0"/>
                <w:color w:val="000000"/>
                <w:sz w:val="14"/>
              </w:rPr>
              <w:t xml:space="preserve">25,401,187,834 </w:t>
            </w:r>
          </w:p>
        </w:tc>
        <w:tc>
          <w:tcPr>
            <w:tcW w:type="dxa" w:w="1146"/>
            <w:tcBorders/>
            <w:tcMar>
              <w:start w:w="0" w:type="dxa"/>
              <w:end w:w="0" w:type="dxa"/>
            </w:tcMar>
          </w:tcPr>
          <w:p>
            <w:pPr>
              <w:autoSpaceDN w:val="0"/>
              <w:autoSpaceDE w:val="0"/>
              <w:widowControl/>
              <w:spacing w:line="233" w:lineRule="auto" w:before="10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04"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10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10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10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40" w:lineRule="exact" w:before="36" w:after="0"/>
              <w:ind w:left="198" w:right="0" w:firstLine="0"/>
              <w:jc w:val="left"/>
            </w:pPr>
            <w:r>
              <w:rPr>
                <w:rFonts w:ascii="黑体" w:hAnsi="黑体" w:eastAsia="黑体"/>
                <w:b w:val="0"/>
                <w:i w:val="0"/>
                <w:color w:val="000000"/>
                <w:sz w:val="14"/>
              </w:rPr>
              <w:t>结算备付金</w:t>
            </w:r>
          </w:p>
        </w:tc>
        <w:tc>
          <w:tcPr>
            <w:tcW w:type="dxa" w:w="1076"/>
            <w:tcBorders/>
            <w:tcMar>
              <w:start w:w="0" w:type="dxa"/>
              <w:end w:w="0" w:type="dxa"/>
            </w:tcMar>
          </w:tcPr>
          <w:p>
            <w:pPr>
              <w:autoSpaceDN w:val="0"/>
              <w:autoSpaceDE w:val="0"/>
              <w:widowControl/>
              <w:spacing w:line="233" w:lineRule="auto" w:before="24" w:after="0"/>
              <w:ind w:left="124" w:right="0" w:firstLine="0"/>
              <w:jc w:val="left"/>
            </w:pPr>
            <w:r>
              <w:rPr>
                <w:rFonts w:ascii="Arial" w:hAnsi="Arial" w:eastAsia="Arial"/>
                <w:b w:val="0"/>
                <w:i w:val="0"/>
                <w:color w:val="000000"/>
                <w:sz w:val="14"/>
              </w:rPr>
              <w:t xml:space="preserve">4,020,926,094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40" w:after="0"/>
              <w:ind w:left="198" w:right="0" w:firstLine="0"/>
              <w:jc w:val="left"/>
            </w:pPr>
            <w:r>
              <w:rPr>
                <w:rFonts w:ascii="黑体" w:hAnsi="黑体" w:eastAsia="黑体"/>
                <w:b w:val="0"/>
                <w:i w:val="0"/>
                <w:color w:val="000000"/>
                <w:sz w:val="14"/>
              </w:rPr>
              <w:t>融出资金</w:t>
            </w:r>
          </w:p>
        </w:tc>
        <w:tc>
          <w:tcPr>
            <w:tcW w:type="dxa" w:w="1076"/>
            <w:tcBorders/>
            <w:tcMar>
              <w:start w:w="0" w:type="dxa"/>
              <w:end w:w="0" w:type="dxa"/>
            </w:tcMar>
          </w:tcPr>
          <w:p>
            <w:pPr>
              <w:autoSpaceDN w:val="0"/>
              <w:autoSpaceDE w:val="0"/>
              <w:widowControl/>
              <w:spacing w:line="233" w:lineRule="auto" w:before="24" w:after="0"/>
              <w:ind w:left="124" w:right="0" w:firstLine="0"/>
              <w:jc w:val="left"/>
            </w:pPr>
            <w:r>
              <w:rPr>
                <w:rFonts w:ascii="Arial" w:hAnsi="Arial" w:eastAsia="Arial"/>
                <w:b w:val="0"/>
                <w:i w:val="0"/>
                <w:color w:val="000000"/>
                <w:sz w:val="14"/>
              </w:rPr>
              <w:t xml:space="preserve">7,329,486,640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40" w:after="0"/>
              <w:ind w:left="0" w:right="0" w:firstLine="0"/>
              <w:jc w:val="center"/>
            </w:pPr>
            <w:r>
              <w:rPr>
                <w:rFonts w:ascii="黑体" w:hAnsi="黑体" w:eastAsia="黑体"/>
                <w:b w:val="0"/>
                <w:i w:val="0"/>
                <w:color w:val="000000"/>
                <w:sz w:val="14"/>
              </w:rPr>
              <w:t>买入返售金融资产</w:t>
            </w:r>
          </w:p>
        </w:tc>
        <w:tc>
          <w:tcPr>
            <w:tcW w:type="dxa" w:w="1076"/>
            <w:tcBorders/>
            <w:tcMar>
              <w:start w:w="0" w:type="dxa"/>
              <w:end w:w="0" w:type="dxa"/>
            </w:tcMar>
          </w:tcPr>
          <w:p>
            <w:pPr>
              <w:autoSpaceDN w:val="0"/>
              <w:autoSpaceDE w:val="0"/>
              <w:widowControl/>
              <w:spacing w:line="233" w:lineRule="auto" w:before="24" w:after="0"/>
              <w:ind w:left="124" w:right="0" w:firstLine="0"/>
              <w:jc w:val="left"/>
            </w:pPr>
            <w:r>
              <w:rPr>
                <w:rFonts w:ascii="Arial" w:hAnsi="Arial" w:eastAsia="Arial"/>
                <w:b w:val="0"/>
                <w:i w:val="0"/>
                <w:color w:val="000000"/>
                <w:sz w:val="14"/>
              </w:rPr>
              <w:t xml:space="preserve">1,977,533,836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42" w:after="0"/>
              <w:ind w:left="198" w:right="0" w:firstLine="0"/>
              <w:jc w:val="left"/>
            </w:pPr>
            <w:r>
              <w:rPr>
                <w:rFonts w:ascii="黑体" w:hAnsi="黑体" w:eastAsia="黑体"/>
                <w:b w:val="0"/>
                <w:i w:val="0"/>
                <w:color w:val="000000"/>
                <w:sz w:val="14"/>
              </w:rPr>
              <w:t>应收款项</w:t>
            </w:r>
          </w:p>
        </w:tc>
        <w:tc>
          <w:tcPr>
            <w:tcW w:type="dxa" w:w="1076"/>
            <w:tcBorders/>
            <w:tcMar>
              <w:start w:w="0" w:type="dxa"/>
              <w:end w:w="0" w:type="dxa"/>
            </w:tcMar>
          </w:tcPr>
          <w:p>
            <w:pPr>
              <w:autoSpaceDN w:val="0"/>
              <w:autoSpaceDE w:val="0"/>
              <w:widowControl/>
              <w:spacing w:line="233" w:lineRule="auto" w:before="24" w:after="0"/>
              <w:ind w:left="240" w:right="0" w:firstLine="0"/>
              <w:jc w:val="left"/>
            </w:pPr>
            <w:r>
              <w:rPr>
                <w:rFonts w:ascii="Arial" w:hAnsi="Arial" w:eastAsia="Arial"/>
                <w:b w:val="0"/>
                <w:i w:val="0"/>
                <w:color w:val="000000"/>
                <w:sz w:val="14"/>
              </w:rPr>
              <w:t xml:space="preserve">140,679,526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207"/>
        </w:trPr>
        <w:tc>
          <w:tcPr>
            <w:tcW w:type="dxa" w:w="1558"/>
            <w:tcBorders/>
            <w:tcMar>
              <w:start w:w="0" w:type="dxa"/>
              <w:end w:w="0" w:type="dxa"/>
            </w:tcMar>
          </w:tcPr>
          <w:p>
            <w:pPr>
              <w:autoSpaceDN w:val="0"/>
              <w:autoSpaceDE w:val="0"/>
              <w:widowControl/>
              <w:spacing w:line="140" w:lineRule="exact" w:before="44" w:after="0"/>
              <w:ind w:left="198" w:right="0" w:firstLine="0"/>
              <w:jc w:val="left"/>
            </w:pPr>
            <w:r>
              <w:rPr>
                <w:rFonts w:ascii="黑体" w:hAnsi="黑体" w:eastAsia="黑体"/>
                <w:b w:val="0"/>
                <w:i w:val="0"/>
                <w:color w:val="000000"/>
                <w:sz w:val="14"/>
              </w:rPr>
              <w:t>存出保证金</w:t>
            </w:r>
          </w:p>
        </w:tc>
        <w:tc>
          <w:tcPr>
            <w:tcW w:type="dxa" w:w="1076"/>
            <w:tcBorders/>
            <w:tcMar>
              <w:start w:w="0" w:type="dxa"/>
              <w:end w:w="0" w:type="dxa"/>
            </w:tcMar>
          </w:tcPr>
          <w:p>
            <w:pPr>
              <w:autoSpaceDN w:val="0"/>
              <w:autoSpaceDE w:val="0"/>
              <w:widowControl/>
              <w:spacing w:line="230" w:lineRule="auto" w:before="48" w:after="0"/>
              <w:ind w:left="124" w:right="0" w:firstLine="0"/>
              <w:jc w:val="left"/>
            </w:pPr>
            <w:r>
              <w:rPr>
                <w:rFonts w:ascii="Arial" w:hAnsi="Arial" w:eastAsia="Arial"/>
                <w:b w:val="0"/>
                <w:i w:val="0"/>
                <w:color w:val="000000"/>
                <w:sz w:val="14"/>
              </w:rPr>
              <w:t xml:space="preserve">3,063,399,796 </w:t>
            </w:r>
          </w:p>
        </w:tc>
        <w:tc>
          <w:tcPr>
            <w:tcW w:type="dxa" w:w="1146"/>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48"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r>
      <w:tr>
        <w:trPr>
          <w:trHeight w:hRule="exact" w:val="181"/>
        </w:trPr>
        <w:tc>
          <w:tcPr>
            <w:tcW w:type="dxa" w:w="1558"/>
            <w:tcBorders/>
            <w:tcMar>
              <w:start w:w="0" w:type="dxa"/>
              <w:end w:w="0" w:type="dxa"/>
            </w:tcMar>
          </w:tcPr>
          <w:p>
            <w:pPr>
              <w:autoSpaceDN w:val="0"/>
              <w:autoSpaceDE w:val="0"/>
              <w:widowControl/>
              <w:spacing w:line="140" w:lineRule="exact" w:before="16" w:after="0"/>
              <w:ind w:left="198" w:right="0" w:firstLine="0"/>
              <w:jc w:val="left"/>
            </w:pPr>
            <w:r>
              <w:rPr>
                <w:rFonts w:ascii="黑体" w:hAnsi="黑体" w:eastAsia="黑体"/>
                <w:b w:val="0"/>
                <w:i w:val="0"/>
                <w:color w:val="000000"/>
                <w:sz w:val="14"/>
              </w:rPr>
              <w:t>衍生金融资产</w:t>
            </w:r>
          </w:p>
        </w:tc>
        <w:tc>
          <w:tcPr>
            <w:tcW w:type="dxa" w:w="1076"/>
            <w:tcBorders/>
            <w:tcMar>
              <w:start w:w="0" w:type="dxa"/>
              <w:end w:w="0" w:type="dxa"/>
            </w:tcMar>
          </w:tcPr>
          <w:p>
            <w:pPr>
              <w:autoSpaceDN w:val="0"/>
              <w:autoSpaceDE w:val="0"/>
              <w:widowControl/>
              <w:spacing w:line="230" w:lineRule="auto" w:before="22" w:after="0"/>
              <w:ind w:left="0" w:right="28" w:firstLine="0"/>
              <w:jc w:val="right"/>
            </w:pPr>
            <w:r>
              <w:rPr>
                <w:rFonts w:ascii="Arial" w:hAnsi="Arial" w:eastAsia="Arial"/>
                <w:b w:val="0"/>
                <w:i w:val="0"/>
                <w:color w:val="000000"/>
                <w:sz w:val="14"/>
              </w:rPr>
              <w:t xml:space="preserve">- </w:t>
            </w:r>
          </w:p>
        </w:tc>
        <w:tc>
          <w:tcPr>
            <w:tcW w:type="dxa" w:w="1146"/>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c>
          <w:tcPr>
            <w:tcW w:type="dxa" w:w="1412"/>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2" w:after="0"/>
              <w:ind w:left="0" w:right="140" w:firstLine="0"/>
              <w:jc w:val="right"/>
            </w:pPr>
            <w:r>
              <w:rPr>
                <w:rFonts w:ascii="Arial" w:hAnsi="Arial" w:eastAsia="Arial"/>
                <w:b w:val="0"/>
                <w:i w:val="0"/>
                <w:color w:val="000000"/>
                <w:sz w:val="14"/>
              </w:rPr>
              <w:t xml:space="preserve">- </w:t>
            </w:r>
          </w:p>
        </w:tc>
        <w:tc>
          <w:tcPr>
            <w:tcW w:type="dxa" w:w="888"/>
            <w:gridSpan w:val="2"/>
            <w:tcBorders/>
            <w:tcMar>
              <w:start w:w="0" w:type="dxa"/>
              <w:end w:w="0" w:type="dxa"/>
            </w:tcMar>
            <w:tcMar>
              <w:start w:w="0" w:type="dxa"/>
              <w:end w:w="0" w:type="dxa"/>
            </w:tcMar>
          </w:tcPr>
          <w:p>
            <w:pPr>
              <w:autoSpaceDN w:val="0"/>
              <w:autoSpaceDE w:val="0"/>
              <w:widowControl/>
              <w:spacing w:line="230" w:lineRule="auto" w:before="22" w:after="0"/>
              <w:ind w:left="122" w:right="0" w:firstLine="0"/>
              <w:jc w:val="left"/>
            </w:pPr>
            <w:r>
              <w:rPr>
                <w:rFonts w:ascii="Arial" w:hAnsi="Arial" w:eastAsia="Arial"/>
                <w:b w:val="0"/>
                <w:i w:val="0"/>
                <w:color w:val="000000"/>
                <w:sz w:val="14"/>
              </w:rPr>
              <w:t>122,075,207</w:t>
            </w:r>
          </w:p>
        </w:tc>
        <w:tc>
          <w:tcPr>
            <w:tcW w:type="dxa" w:w="1220"/>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40" w:lineRule="exact" w:before="18" w:after="0"/>
              <w:ind w:left="198" w:right="0" w:firstLine="0"/>
              <w:jc w:val="left"/>
            </w:pPr>
            <w:r>
              <w:rPr>
                <w:rFonts w:ascii="黑体" w:hAnsi="黑体" w:eastAsia="黑体"/>
                <w:b w:val="0"/>
                <w:i w:val="0"/>
                <w:color w:val="000000"/>
                <w:sz w:val="14"/>
              </w:rPr>
              <w:t>金融投资</w:t>
            </w:r>
          </w:p>
        </w:tc>
        <w:tc>
          <w:tcPr>
            <w:tcW w:type="dxa" w:w="1076"/>
            <w:tcBorders/>
            <w:tcMar>
              <w:start w:w="0" w:type="dxa"/>
              <w:end w:w="0" w:type="dxa"/>
            </w:tcMar>
          </w:tcPr>
          <w:p>
            <w:pPr>
              <w:autoSpaceDN w:val="0"/>
              <w:autoSpaceDE w:val="0"/>
              <w:widowControl/>
              <w:spacing w:line="230" w:lineRule="auto" w:before="22" w:after="0"/>
              <w:ind w:left="0" w:right="28" w:firstLine="0"/>
              <w:jc w:val="right"/>
            </w:pPr>
            <w:r>
              <w:rPr>
                <w:rFonts w:ascii="Arial" w:hAnsi="Arial" w:eastAsia="Arial"/>
                <w:b w:val="0"/>
                <w:i w:val="0"/>
                <w:color w:val="000000"/>
                <w:sz w:val="14"/>
              </w:rPr>
              <w:t xml:space="preserve">- </w:t>
            </w:r>
          </w:p>
        </w:tc>
        <w:tc>
          <w:tcPr>
            <w:tcW w:type="dxa" w:w="1146"/>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22"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4"/>
              </w:rPr>
              <w:t>-</w:t>
            </w:r>
          </w:p>
        </w:tc>
      </w:tr>
      <w:tr>
        <w:trPr>
          <w:trHeight w:hRule="exact" w:val="181"/>
        </w:trPr>
        <w:tc>
          <w:tcPr>
            <w:tcW w:type="dxa" w:w="1558"/>
            <w:tcBorders/>
            <w:tcMar>
              <w:start w:w="0" w:type="dxa"/>
              <w:end w:w="0" w:type="dxa"/>
            </w:tcMar>
          </w:tcPr>
          <w:p>
            <w:pPr>
              <w:autoSpaceDN w:val="0"/>
              <w:autoSpaceDE w:val="0"/>
              <w:widowControl/>
              <w:spacing w:line="140" w:lineRule="exact" w:before="20" w:after="0"/>
              <w:ind w:left="338" w:right="0" w:firstLine="0"/>
              <w:jc w:val="left"/>
            </w:pPr>
            <w:r>
              <w:rPr>
                <w:rFonts w:ascii="黑体" w:hAnsi="黑体" w:eastAsia="黑体"/>
                <w:b w:val="0"/>
                <w:i w:val="0"/>
                <w:color w:val="000000"/>
                <w:sz w:val="14"/>
              </w:rPr>
              <w:t>交易性金融资产</w:t>
            </w:r>
          </w:p>
        </w:tc>
        <w:tc>
          <w:tcPr>
            <w:tcW w:type="dxa" w:w="1076"/>
            <w:tcBorders/>
            <w:tcMar>
              <w:start w:w="0" w:type="dxa"/>
              <w:end w:w="0" w:type="dxa"/>
            </w:tcMar>
          </w:tcPr>
          <w:p>
            <w:pPr>
              <w:autoSpaceDN w:val="0"/>
              <w:autoSpaceDE w:val="0"/>
              <w:widowControl/>
              <w:spacing w:line="233" w:lineRule="auto" w:before="24" w:after="0"/>
              <w:ind w:left="0" w:right="28" w:firstLine="0"/>
              <w:jc w:val="right"/>
            </w:pPr>
            <w:r>
              <w:rPr>
                <w:rFonts w:ascii="Arial" w:hAnsi="Arial" w:eastAsia="Arial"/>
                <w:b w:val="0"/>
                <w:i w:val="0"/>
                <w:color w:val="000000"/>
                <w:sz w:val="14"/>
              </w:rPr>
              <w:t xml:space="preserve">-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2300"/>
            <w:gridSpan w:val="6"/>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  36,008,042,780</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150"/>
        </w:trPr>
        <w:tc>
          <w:tcPr>
            <w:tcW w:type="dxa" w:w="1558"/>
            <w:tcBorders/>
            <w:tcMar>
              <w:start w:w="0" w:type="dxa"/>
              <w:end w:w="0" w:type="dxa"/>
            </w:tcMar>
          </w:tcPr>
          <w:p>
            <w:pPr>
              <w:autoSpaceDN w:val="0"/>
              <w:autoSpaceDE w:val="0"/>
              <w:widowControl/>
              <w:spacing w:line="140" w:lineRule="exact" w:before="10" w:after="0"/>
              <w:ind w:left="338" w:right="0" w:firstLine="0"/>
              <w:jc w:val="left"/>
            </w:pPr>
            <w:r>
              <w:rPr>
                <w:rFonts w:ascii="黑体" w:hAnsi="黑体" w:eastAsia="黑体"/>
                <w:b w:val="0"/>
                <w:i w:val="0"/>
                <w:color w:val="000000"/>
                <w:sz w:val="14"/>
              </w:rPr>
              <w:t>债权投资</w:t>
            </w:r>
          </w:p>
        </w:tc>
        <w:tc>
          <w:tcPr>
            <w:tcW w:type="dxa" w:w="1076"/>
            <w:vMerge w:val="restart"/>
            <w:tcBorders/>
            <w:tcMar>
              <w:start w:w="0" w:type="dxa"/>
              <w:end w:w="0" w:type="dxa"/>
            </w:tcMar>
            <w:tcMar>
              <w:start w:w="0" w:type="dxa"/>
              <w:end w:w="0" w:type="dxa"/>
            </w:tcMar>
          </w:tcPr>
          <w:p>
            <w:pPr>
              <w:autoSpaceDN w:val="0"/>
              <w:autoSpaceDE w:val="0"/>
              <w:widowControl/>
              <w:spacing w:line="233" w:lineRule="auto" w:before="24" w:after="0"/>
              <w:ind w:left="0" w:right="28" w:firstLine="0"/>
              <w:jc w:val="right"/>
            </w:pPr>
            <w:r>
              <w:rPr>
                <w:rFonts w:ascii="Arial" w:hAnsi="Arial" w:eastAsia="Arial"/>
                <w:b w:val="0"/>
                <w:i w:val="0"/>
                <w:color w:val="000000"/>
                <w:sz w:val="14"/>
              </w:rPr>
              <w:t xml:space="preserve">27,426,901 </w:t>
            </w:r>
          </w:p>
        </w:tc>
        <w:tc>
          <w:tcPr>
            <w:tcW w:type="dxa" w:w="1146"/>
            <w:vMerge w:val="restart"/>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498" w:firstLine="0"/>
              <w:jc w:val="right"/>
            </w:pPr>
            <w:r>
              <w:rPr>
                <w:rFonts w:ascii="Arial" w:hAnsi="Arial" w:eastAsia="Arial"/>
                <w:b w:val="0"/>
                <w:i w:val="0"/>
                <w:color w:val="000000"/>
                <w:sz w:val="14"/>
              </w:rPr>
              <w:t xml:space="preserve">- </w:t>
            </w:r>
          </w:p>
        </w:tc>
        <w:tc>
          <w:tcPr>
            <w:tcW w:type="dxa" w:w="530"/>
            <w:vMerge w:val="restart"/>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vMerge w:val="restart"/>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42"/>
        </w:trPr>
        <w:tc>
          <w:tcPr>
            <w:tcW w:type="dxa" w:w="1558"/>
            <w:vMerge w:val="restart"/>
            <w:tcBorders/>
            <w:tcMar>
              <w:start w:w="0" w:type="dxa"/>
              <w:end w:w="0" w:type="dxa"/>
            </w:tcMar>
            <w:tcMar>
              <w:start w:w="0" w:type="dxa"/>
              <w:end w:w="0" w:type="dxa"/>
            </w:tcMar>
          </w:tcPr>
          <w:p>
            <w:pPr>
              <w:autoSpaceDN w:val="0"/>
              <w:autoSpaceDE w:val="0"/>
              <w:widowControl/>
              <w:spacing w:line="138" w:lineRule="exact" w:before="52" w:after="0"/>
              <w:ind w:left="0" w:right="0" w:firstLine="0"/>
              <w:jc w:val="center"/>
            </w:pPr>
            <w:r>
              <w:rPr>
                <w:rFonts w:ascii="黑体" w:hAnsi="黑体" w:eastAsia="黑体"/>
                <w:b w:val="0"/>
                <w:i w:val="0"/>
                <w:color w:val="000000"/>
                <w:sz w:val="14"/>
              </w:rPr>
              <w:t>其他债权投资</w:t>
            </w:r>
          </w:p>
        </w:tc>
        <w:tc>
          <w:tcPr>
            <w:tcW w:type="dxa" w:w="752"/>
            <w:vMerge/>
            <w:tcBorders/>
          </w:tcPr>
          <w:p/>
        </w:tc>
        <w:tc>
          <w:tcPr>
            <w:tcW w:type="dxa" w:w="752"/>
            <w:vMerge/>
            <w:tcBorders/>
          </w:tcPr>
          <w:p/>
        </w:tc>
        <w:tc>
          <w:tcPr>
            <w:tcW w:type="dxa" w:w="3760"/>
            <w:gridSpan w:val="5"/>
            <w:vMerge/>
            <w:tcBorders/>
          </w:tcPr>
          <w:p/>
        </w:tc>
        <w:tc>
          <w:tcPr>
            <w:tcW w:type="dxa" w:w="752"/>
            <w:vMerge/>
            <w:tcBorders/>
          </w:tcPr>
          <w:p/>
        </w:tc>
        <w:tc>
          <w:tcPr>
            <w:tcW w:type="dxa" w:w="752"/>
            <w:vMerge/>
            <w:tcBorders/>
          </w:tcPr>
          <w:p/>
        </w:tc>
        <w:tc>
          <w:tcPr>
            <w:tcW w:type="dxa" w:w="1504"/>
            <w:gridSpan w:val="2"/>
            <w:vMerge/>
            <w:tcBorders/>
          </w:tcPr>
          <w:p/>
        </w:tc>
      </w:tr>
      <w:tr>
        <w:trPr>
          <w:trHeight w:hRule="exact" w:val="158"/>
        </w:trPr>
        <w:tc>
          <w:tcPr>
            <w:tcW w:type="dxa" w:w="752"/>
            <w:vMerge/>
            <w:tcBorders/>
          </w:tcPr>
          <w:p/>
        </w:tc>
        <w:tc>
          <w:tcPr>
            <w:tcW w:type="dxa" w:w="1076"/>
            <w:tcBorders/>
            <w:tcMar>
              <w:start w:w="0" w:type="dxa"/>
              <w:end w:w="0" w:type="dxa"/>
            </w:tcMar>
          </w:tcPr>
          <w:p>
            <w:pPr>
              <w:autoSpaceDN w:val="0"/>
              <w:autoSpaceDE w:val="0"/>
              <w:widowControl/>
              <w:spacing w:line="233" w:lineRule="auto" w:before="2" w:after="0"/>
              <w:ind w:left="0" w:right="28" w:firstLine="0"/>
              <w:jc w:val="right"/>
            </w:pPr>
            <w:r>
              <w:rPr>
                <w:rFonts w:ascii="Arial" w:hAnsi="Arial" w:eastAsia="Arial"/>
                <w:b w:val="0"/>
                <w:i w:val="0"/>
                <w:color w:val="000000"/>
                <w:sz w:val="14"/>
              </w:rPr>
              <w:t xml:space="preserve">- </w:t>
            </w:r>
          </w:p>
        </w:tc>
        <w:tc>
          <w:tcPr>
            <w:tcW w:type="dxa" w:w="1146"/>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57,443,663</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 w:after="0"/>
              <w:ind w:left="0" w:right="498" w:firstLine="0"/>
              <w:jc w:val="right"/>
            </w:pPr>
            <w:r>
              <w:rPr>
                <w:rFonts w:ascii="Arial" w:hAnsi="Arial" w:eastAsia="Arial"/>
                <w:b w:val="0"/>
                <w:i w:val="0"/>
                <w:color w:val="000000"/>
                <w:sz w:val="14"/>
              </w:rPr>
              <w:t xml:space="preserve">- </w:t>
            </w:r>
          </w:p>
        </w:tc>
        <w:tc>
          <w:tcPr>
            <w:tcW w:type="dxa" w:w="53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32" w:after="0"/>
              <w:ind w:left="338" w:right="0" w:firstLine="0"/>
              <w:jc w:val="left"/>
            </w:pPr>
            <w:r>
              <w:rPr>
                <w:rFonts w:ascii="黑体" w:hAnsi="黑体" w:eastAsia="黑体"/>
                <w:b w:val="0"/>
                <w:i w:val="0"/>
                <w:color w:val="000000"/>
                <w:sz w:val="14"/>
              </w:rPr>
              <w:t>其他权益工具投资</w:t>
            </w:r>
          </w:p>
        </w:tc>
        <w:tc>
          <w:tcPr>
            <w:tcW w:type="dxa" w:w="1076"/>
            <w:tcBorders/>
            <w:tcMar>
              <w:start w:w="0" w:type="dxa"/>
              <w:end w:w="0" w:type="dxa"/>
            </w:tcMar>
          </w:tcPr>
          <w:p>
            <w:pPr>
              <w:autoSpaceDN w:val="0"/>
              <w:autoSpaceDE w:val="0"/>
              <w:widowControl/>
              <w:spacing w:line="233" w:lineRule="auto" w:before="24" w:after="0"/>
              <w:ind w:left="0" w:right="28" w:firstLine="0"/>
              <w:jc w:val="right"/>
            </w:pPr>
            <w:r>
              <w:rPr>
                <w:rFonts w:ascii="Arial" w:hAnsi="Arial" w:eastAsia="Arial"/>
                <w:b w:val="0"/>
                <w:i w:val="0"/>
                <w:color w:val="000000"/>
                <w:sz w:val="14"/>
              </w:rPr>
              <w:t xml:space="preserve">- </w:t>
            </w:r>
          </w:p>
        </w:tc>
        <w:tc>
          <w:tcPr>
            <w:tcW w:type="dxa" w:w="114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70"/>
            <w:gridSpan w:val="5"/>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24" w:after="0"/>
              <w:ind w:left="0" w:right="0" w:firstLine="0"/>
              <w:jc w:val="center"/>
            </w:pPr>
            <w:r>
              <w:rPr>
                <w:rFonts w:ascii="Arial" w:hAnsi="Arial" w:eastAsia="Arial"/>
                <w:b w:val="0"/>
                <w:i w:val="0"/>
                <w:color w:val="000000"/>
                <w:sz w:val="14"/>
              </w:rPr>
              <w:t xml:space="preserve">214,099,641 </w:t>
            </w:r>
          </w:p>
        </w:tc>
        <w:tc>
          <w:tcPr>
            <w:tcW w:type="dxa" w:w="53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20"/>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98"/>
            <w:gridSpan w:val="2"/>
            <w:tcBorders/>
            <w:tcMar>
              <w:start w:w="0" w:type="dxa"/>
              <w:end w:w="0" w:type="dxa"/>
            </w:tcMar>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202"/>
        </w:trPr>
        <w:tc>
          <w:tcPr>
            <w:tcW w:type="dxa" w:w="1558"/>
            <w:tcBorders>
              <w:bottom w:sz="4.0" w:val="single" w:color="#000000"/>
            </w:tcBorders>
            <w:tcMar>
              <w:start w:w="0" w:type="dxa"/>
              <w:end w:w="0" w:type="dxa"/>
            </w:tcMar>
          </w:tcPr>
          <w:p>
            <w:pPr>
              <w:autoSpaceDN w:val="0"/>
              <w:autoSpaceDE w:val="0"/>
              <w:widowControl/>
              <w:spacing w:line="138" w:lineRule="exact" w:before="34" w:after="0"/>
              <w:ind w:left="198" w:right="0" w:firstLine="0"/>
              <w:jc w:val="left"/>
            </w:pPr>
            <w:r>
              <w:rPr>
                <w:rFonts w:ascii="黑体" w:hAnsi="黑体" w:eastAsia="黑体"/>
                <w:b w:val="0"/>
                <w:i w:val="0"/>
                <w:color w:val="000000"/>
                <w:sz w:val="14"/>
              </w:rPr>
              <w:t>其他金融资产</w:t>
            </w:r>
          </w:p>
        </w:tc>
        <w:tc>
          <w:tcPr>
            <w:tcW w:type="dxa" w:w="1076"/>
            <w:tcBorders>
              <w:bottom w:sz="4.0" w:val="single" w:color="#000000"/>
            </w:tcBorders>
            <w:tcMar>
              <w:start w:w="0" w:type="dxa"/>
              <w:end w:w="0" w:type="dxa"/>
            </w:tcMar>
          </w:tcPr>
          <w:p>
            <w:pPr>
              <w:autoSpaceDN w:val="0"/>
              <w:autoSpaceDE w:val="0"/>
              <w:widowControl/>
              <w:spacing w:line="230" w:lineRule="auto" w:before="40" w:after="0"/>
              <w:ind w:left="240" w:right="0" w:firstLine="0"/>
              <w:jc w:val="left"/>
            </w:pPr>
            <w:r>
              <w:rPr>
                <w:rFonts w:ascii="Arial" w:hAnsi="Arial" w:eastAsia="Arial"/>
                <w:b w:val="0"/>
                <w:i w:val="0"/>
                <w:color w:val="000000"/>
                <w:sz w:val="14"/>
              </w:rPr>
              <w:t xml:space="preserve">224,356,332 </w:t>
            </w:r>
          </w:p>
        </w:tc>
        <w:tc>
          <w:tcPr>
            <w:tcW w:type="dxa" w:w="1146"/>
            <w:tcBorders>
              <w:bottom w:sz="4.0" w:val="single" w:color="#000000"/>
            </w:tcBorders>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4"/>
              </w:rPr>
              <w:t>-</w:t>
            </w:r>
          </w:p>
        </w:tc>
        <w:tc>
          <w:tcPr>
            <w:tcW w:type="dxa" w:w="1770"/>
            <w:gridSpan w:val="5"/>
            <w:tcBorders>
              <w:bottom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0" w:lineRule="auto" w:before="40" w:after="0"/>
              <w:ind w:left="0" w:right="498" w:firstLine="0"/>
              <w:jc w:val="right"/>
            </w:pPr>
            <w:r>
              <w:rPr>
                <w:rFonts w:ascii="Arial" w:hAnsi="Arial" w:eastAsia="Arial"/>
                <w:b w:val="0"/>
                <w:i w:val="0"/>
                <w:color w:val="000000"/>
                <w:sz w:val="14"/>
              </w:rPr>
              <w:t xml:space="preserve">- </w:t>
            </w:r>
          </w:p>
        </w:tc>
        <w:tc>
          <w:tcPr>
            <w:tcW w:type="dxa" w:w="530"/>
            <w:tcBorders>
              <w:bottom w:sz="4.0" w:val="single" w:color="#000000"/>
            </w:tcBorders>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4"/>
              </w:rPr>
              <w:t>-</w:t>
            </w:r>
          </w:p>
        </w:tc>
        <w:tc>
          <w:tcPr>
            <w:tcW w:type="dxa" w:w="1220"/>
            <w:tcBorders>
              <w:bottom w:sz="4.0" w:val="single" w:color="#000000"/>
            </w:tcBorders>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4"/>
              </w:rPr>
              <w:t>-</w:t>
            </w:r>
          </w:p>
        </w:tc>
        <w:tc>
          <w:tcPr>
            <w:tcW w:type="dxa" w:w="1198"/>
            <w:gridSpan w:val="2"/>
            <w:tcBorders>
              <w:bottom w:sz="4.0" w:val="single" w:color="#000000"/>
            </w:tcBorders>
            <w:tcMar>
              <w:start w:w="0" w:type="dxa"/>
              <w:end w:w="0" w:type="dxa"/>
            </w:tcMar>
            <w:tcMar>
              <w:start w:w="0" w:type="dxa"/>
              <w:end w:w="0" w:type="dxa"/>
            </w:tcMar>
          </w:tcPr>
          <w:p>
            <w:pPr>
              <w:autoSpaceDN w:val="0"/>
              <w:autoSpaceDE w:val="0"/>
              <w:widowControl/>
              <w:spacing w:line="230" w:lineRule="auto" w:before="40" w:after="0"/>
              <w:ind w:left="0" w:right="0" w:firstLine="0"/>
              <w:jc w:val="right"/>
            </w:pPr>
            <w:r>
              <w:rPr>
                <w:rFonts w:ascii="Arial" w:hAnsi="Arial" w:eastAsia="Arial"/>
                <w:b w:val="0"/>
                <w:i w:val="0"/>
                <w:color w:val="000000"/>
                <w:sz w:val="14"/>
              </w:rPr>
              <w:t>-</w:t>
            </w:r>
          </w:p>
        </w:tc>
      </w:tr>
      <w:tr>
        <w:trPr>
          <w:trHeight w:hRule="exact" w:val="352"/>
        </w:trPr>
        <w:tc>
          <w:tcPr>
            <w:tcW w:type="dxa" w:w="1558"/>
            <w:tcBorders>
              <w:top w:sz="4.0" w:val="single" w:color="#000000"/>
              <w:bottom w:sz="3.199999999999818" w:val="single" w:color="#000000"/>
            </w:tcBorders>
            <w:tcMar>
              <w:start w:w="0" w:type="dxa"/>
              <w:end w:w="0" w:type="dxa"/>
            </w:tcMar>
          </w:tcPr>
          <w:p>
            <w:pPr>
              <w:autoSpaceDN w:val="0"/>
              <w:autoSpaceDE w:val="0"/>
              <w:widowControl/>
              <w:spacing w:line="140" w:lineRule="exact" w:before="178" w:after="0"/>
              <w:ind w:left="198" w:right="0" w:firstLine="0"/>
              <w:jc w:val="left"/>
            </w:pPr>
            <w:r>
              <w:rPr>
                <w:rFonts w:ascii="黑体" w:hAnsi="黑体" w:eastAsia="黑体"/>
                <w:b w:val="0"/>
                <w:i w:val="0"/>
                <w:color w:val="000000"/>
                <w:sz w:val="14"/>
              </w:rPr>
              <w:t>合计</w:t>
            </w:r>
          </w:p>
        </w:tc>
        <w:tc>
          <w:tcPr>
            <w:tcW w:type="dxa" w:w="1076"/>
            <w:tcBorders>
              <w:top w:sz="4.0" w:val="single" w:color="#000000"/>
              <w:bottom w:sz="3.199999999999818" w:val="single" w:color="#000000"/>
            </w:tcBorders>
            <w:tcMar>
              <w:start w:w="0" w:type="dxa"/>
              <w:end w:w="0" w:type="dxa"/>
            </w:tcMar>
          </w:tcPr>
          <w:p>
            <w:pPr>
              <w:autoSpaceDN w:val="0"/>
              <w:autoSpaceDE w:val="0"/>
              <w:widowControl/>
              <w:spacing w:line="233" w:lineRule="auto" w:before="184" w:after="0"/>
              <w:ind w:left="0" w:right="0" w:firstLine="0"/>
              <w:jc w:val="center"/>
            </w:pPr>
            <w:r>
              <w:rPr>
                <w:rFonts w:ascii="Arial" w:hAnsi="Arial" w:eastAsia="Arial"/>
                <w:b w:val="0"/>
                <w:i w:val="0"/>
                <w:color w:val="000000"/>
                <w:sz w:val="14"/>
              </w:rPr>
              <w:t xml:space="preserve">42,184,996,959 </w:t>
            </w:r>
          </w:p>
        </w:tc>
        <w:tc>
          <w:tcPr>
            <w:tcW w:type="dxa" w:w="1146"/>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184" w:after="0"/>
              <w:ind w:left="0" w:right="0" w:firstLine="0"/>
              <w:jc w:val="right"/>
            </w:pPr>
            <w:r>
              <w:rPr>
                <w:rFonts w:ascii="Arial" w:hAnsi="Arial" w:eastAsia="Arial"/>
                <w:b w:val="0"/>
                <w:i w:val="0"/>
                <w:color w:val="000000"/>
                <w:sz w:val="14"/>
              </w:rPr>
              <w:t>57,443,663</w:t>
            </w:r>
          </w:p>
        </w:tc>
        <w:tc>
          <w:tcPr>
            <w:tcW w:type="dxa" w:w="2300"/>
            <w:gridSpan w:val="6"/>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84" w:after="0"/>
              <w:ind w:left="456" w:right="0" w:firstLine="0"/>
              <w:jc w:val="left"/>
            </w:pPr>
            <w:r>
              <w:rPr>
                <w:rFonts w:ascii="Arial" w:hAnsi="Arial" w:eastAsia="Arial"/>
                <w:b w:val="0"/>
                <w:i w:val="0"/>
                <w:color w:val="000000"/>
                <w:sz w:val="14"/>
              </w:rPr>
              <w:t>214,099,641  36,130,117,987</w:t>
            </w:r>
          </w:p>
        </w:tc>
        <w:tc>
          <w:tcPr>
            <w:tcW w:type="dxa" w:w="1286"/>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33" w:lineRule="auto" w:before="184" w:after="0"/>
              <w:ind w:left="0" w:right="56" w:firstLine="0"/>
              <w:jc w:val="right"/>
            </w:pPr>
            <w:r>
              <w:rPr>
                <w:rFonts w:ascii="Arial" w:hAnsi="Arial" w:eastAsia="Arial"/>
                <w:b w:val="0"/>
                <w:i w:val="0"/>
                <w:color w:val="000000"/>
                <w:sz w:val="14"/>
              </w:rPr>
              <w:t>-</w:t>
            </w:r>
          </w:p>
        </w:tc>
        <w:tc>
          <w:tcPr>
            <w:tcW w:type="dxa" w:w="1132"/>
            <w:tcBorders>
              <w:top w:sz="4.0" w:val="single" w:color="#000000"/>
              <w:bottom w:sz="3.199999999999818" w:val="single" w:color="#000000"/>
            </w:tcBorders>
            <w:tcMar>
              <w:start w:w="0" w:type="dxa"/>
              <w:end w:w="0" w:type="dxa"/>
            </w:tcMar>
          </w:tcPr>
          <w:p>
            <w:pPr>
              <w:autoSpaceDN w:val="0"/>
              <w:autoSpaceDE w:val="0"/>
              <w:widowControl/>
              <w:spacing w:line="233" w:lineRule="auto" w:before="184" w:after="0"/>
              <w:ind w:left="0" w:right="0" w:firstLine="0"/>
              <w:jc w:val="right"/>
            </w:pPr>
            <w:r>
              <w:rPr>
                <w:rFonts w:ascii="Arial" w:hAnsi="Arial" w:eastAsia="Arial"/>
                <w:b w:val="0"/>
                <w:i w:val="0"/>
                <w:color w:val="000000"/>
                <w:sz w:val="14"/>
              </w:rPr>
              <w:t>-</w:t>
            </w:r>
          </w:p>
        </w:tc>
      </w:tr>
      <w:tr>
        <w:trPr>
          <w:trHeight w:hRule="exact" w:val="54"/>
        </w:trPr>
        <w:tc>
          <w:tcPr>
            <w:tcW w:type="dxa" w:w="1558"/>
            <w:tcBorders>
              <w:top w:sz="3.199999999999818" w:val="single" w:color="#000000"/>
            </w:tcBorders>
            <w:tcMar>
              <w:start w:w="0" w:type="dxa"/>
              <w:end w:w="0" w:type="dxa"/>
            </w:tcMar>
          </w:tcPr>
          <w:p/>
        </w:tc>
        <w:tc>
          <w:tcPr>
            <w:tcW w:type="dxa" w:w="1076"/>
            <w:tcBorders>
              <w:top w:sz="3.199999999999818" w:val="single" w:color="#000000"/>
            </w:tcBorders>
            <w:tcMar>
              <w:start w:w="0" w:type="dxa"/>
              <w:end w:w="0" w:type="dxa"/>
            </w:tcMar>
          </w:tcPr>
          <w:p/>
        </w:tc>
        <w:tc>
          <w:tcPr>
            <w:tcW w:type="dxa" w:w="752"/>
            <w:vMerge/>
            <w:tcBorders>
              <w:top w:sz="4.0" w:val="single" w:color="#000000"/>
            </w:tcBorders>
          </w:tcPr>
          <w:p/>
        </w:tc>
        <w:tc>
          <w:tcPr>
            <w:tcW w:type="dxa" w:w="4512"/>
            <w:gridSpan w:val="6"/>
            <w:vMerge/>
            <w:tcBorders>
              <w:top w:sz="4.0" w:val="single" w:color="#000000"/>
            </w:tcBorders>
          </w:tcPr>
          <w:p/>
        </w:tc>
        <w:tc>
          <w:tcPr>
            <w:tcW w:type="dxa" w:w="1504"/>
            <w:gridSpan w:val="2"/>
            <w:vMerge/>
            <w:tcBorders>
              <w:top w:sz="4.0" w:val="single" w:color="#000000"/>
            </w:tcBorders>
          </w:tcPr>
          <w:p/>
        </w:tc>
        <w:tc>
          <w:tcPr>
            <w:tcW w:type="dxa" w:w="1132"/>
            <w:tcBorders>
              <w:top w:sz="3.199999999999818" w:val="single" w:color="#000000"/>
            </w:tcBorders>
            <w:tcMar>
              <w:start w:w="0" w:type="dxa"/>
              <w:end w:w="0" w:type="dxa"/>
            </w:tcMar>
          </w:tcPr>
          <w:p/>
        </w:tc>
      </w:tr>
    </w:tbl>
    <w:p>
      <w:pPr>
        <w:autoSpaceDN w:val="0"/>
        <w:autoSpaceDE w:val="0"/>
        <w:widowControl/>
        <w:spacing w:line="156" w:lineRule="exact" w:before="238" w:after="12"/>
        <w:ind w:left="0" w:right="3034" w:firstLine="0"/>
        <w:jc w:val="right"/>
      </w:pPr>
      <w:r>
        <w:rPr>
          <w:rFonts w:ascii="Arial" w:hAnsi="Arial" w:eastAsia="Arial"/>
          <w:b w:val="0"/>
          <w:i w:val="0"/>
          <w:color w:val="000000"/>
          <w:sz w:val="14"/>
        </w:rPr>
        <w:t>2023</w:t>
      </w:r>
      <w:r>
        <w:rPr>
          <w:rFonts w:ascii="黑体" w:hAnsi="黑体" w:eastAsia="黑体"/>
          <w:b w:val="0"/>
          <w:i w:val="0"/>
          <w:color w:val="000000"/>
          <w:sz w:val="14"/>
        </w:rPr>
        <w:t>年</w:t>
      </w:r>
      <w:r>
        <w:rPr>
          <w:rFonts w:ascii="Arial" w:hAnsi="Arial" w:eastAsia="Arial"/>
          <w:b w:val="0"/>
          <w:i w:val="0"/>
          <w:color w:val="000000"/>
          <w:sz w:val="14"/>
        </w:rPr>
        <w:t>12</w:t>
      </w:r>
      <w:r>
        <w:rPr>
          <w:rFonts w:ascii="黑体" w:hAnsi="黑体" w:eastAsia="黑体"/>
          <w:b w:val="0"/>
          <w:i w:val="0"/>
          <w:color w:val="000000"/>
          <w:sz w:val="14"/>
        </w:rPr>
        <w:t>月</w:t>
      </w:r>
      <w:r>
        <w:rPr>
          <w:rFonts w:ascii="Arial" w:hAnsi="Arial" w:eastAsia="Arial"/>
          <w:b w:val="0"/>
          <w:i w:val="0"/>
          <w:color w:val="000000"/>
          <w:sz w:val="14"/>
        </w:rPr>
        <w:t>31</w:t>
      </w:r>
      <w:r>
        <w:rPr>
          <w:rFonts w:ascii="黑体" w:hAnsi="黑体" w:eastAsia="黑体"/>
          <w:b w:val="0"/>
          <w:i w:val="0"/>
          <w:color w:val="000000"/>
          <w:sz w:val="14"/>
        </w:rPr>
        <w:t>日账面价值</w:t>
      </w:r>
    </w:p>
    <w:tbl>
      <w:tblPr>
        <w:tblW w:type="auto" w:w="0"/>
        <w:tblLayout w:type="fixed"/>
        <w:tblLook w:firstColumn="1" w:firstRow="1" w:lastColumn="0" w:lastRow="0" w:noHBand="0" w:noVBand="1" w:val="04A0"/>
        <w:tblInd w:w="160.0" w:type="dxa"/>
      </w:tblPr>
      <w:tblGrid>
        <w:gridCol w:w="1288"/>
        <w:gridCol w:w="1288"/>
        <w:gridCol w:w="1288"/>
        <w:gridCol w:w="1288"/>
        <w:gridCol w:w="1288"/>
        <w:gridCol w:w="1288"/>
        <w:gridCol w:w="1288"/>
      </w:tblGrid>
      <w:tr>
        <w:trPr>
          <w:trHeight w:hRule="exact" w:val="180"/>
        </w:trPr>
        <w:tc>
          <w:tcPr>
            <w:tcW w:type="dxa" w:w="1558"/>
            <w:vMerge w:val="restart"/>
            <w:tcBorders>
              <w:top w:sz="4.0" w:val="single" w:color="#000000"/>
              <w:bottom w:sz="3.200000000000273" w:val="single" w:color="#000000"/>
            </w:tcBorders>
            <w:tcMar>
              <w:start w:w="0" w:type="dxa"/>
              <w:end w:w="0" w:type="dxa"/>
            </w:tcMar>
            <w:tcMar>
              <w:start w:w="0" w:type="dxa"/>
              <w:end w:w="0" w:type="dxa"/>
            </w:tcMar>
          </w:tcPr>
          <w:p/>
        </w:tc>
        <w:tc>
          <w:tcPr>
            <w:tcW w:type="dxa" w:w="1022"/>
            <w:vMerge w:val="restart"/>
            <w:tcBorders>
              <w:bottom w:sz="3.200000000000273" w:val="single" w:color="#000000"/>
            </w:tcBorders>
            <w:tcMar>
              <w:start w:w="0" w:type="dxa"/>
              <w:end w:w="0" w:type="dxa"/>
            </w:tcMar>
            <w:tcMar>
              <w:start w:w="0" w:type="dxa"/>
              <w:end w:w="0" w:type="dxa"/>
            </w:tcMar>
          </w:tcPr>
          <w:p/>
        </w:tc>
        <w:tc>
          <w:tcPr>
            <w:tcW w:type="dxa" w:w="2500"/>
            <w:gridSpan w:val="2"/>
            <w:tcBorders/>
            <w:tcMar>
              <w:start w:w="0" w:type="dxa"/>
              <w:end w:w="0" w:type="dxa"/>
            </w:tcMar>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以公允价值计量且其</w:t>
            </w:r>
          </w:p>
        </w:tc>
        <w:tc>
          <w:tcPr>
            <w:tcW w:type="dxa" w:w="1012"/>
            <w:vMerge w:val="restart"/>
            <w:tcBorders>
              <w:bottom w:sz="3.200000000000273" w:val="single" w:color="#000000"/>
            </w:tcBorders>
            <w:tcMar>
              <w:start w:w="0" w:type="dxa"/>
              <w:end w:w="0" w:type="dxa"/>
            </w:tcMar>
            <w:tcMar>
              <w:start w:w="0" w:type="dxa"/>
              <w:end w:w="0" w:type="dxa"/>
            </w:tcMar>
          </w:tcPr>
          <w:p/>
        </w:tc>
        <w:tc>
          <w:tcPr>
            <w:tcW w:type="dxa" w:w="1308"/>
            <w:tcBorders/>
            <w:tcMar>
              <w:start w:w="0" w:type="dxa"/>
              <w:end w:w="0" w:type="dxa"/>
            </w:tcMar>
          </w:tcPr>
          <w:p>
            <w:pPr>
              <w:autoSpaceDN w:val="0"/>
              <w:autoSpaceDE w:val="0"/>
              <w:widowControl/>
              <w:spacing w:line="140" w:lineRule="exact" w:before="22" w:after="0"/>
              <w:ind w:left="0" w:right="0" w:firstLine="0"/>
              <w:jc w:val="center"/>
            </w:pPr>
            <w:r>
              <w:rPr>
                <w:rFonts w:ascii="黑体" w:hAnsi="黑体" w:eastAsia="黑体"/>
                <w:b w:val="0"/>
                <w:i w:val="0"/>
                <w:color w:val="000000"/>
                <w:sz w:val="14"/>
              </w:rPr>
              <w:t>以公允价值计量且其</w:t>
            </w:r>
          </w:p>
        </w:tc>
        <w:tc>
          <w:tcPr>
            <w:tcW w:type="dxa" w:w="1098"/>
            <w:vMerge w:val="restart"/>
            <w:tcBorders>
              <w:bottom w:sz="3.200000000000273" w:val="single" w:color="#000000"/>
            </w:tcBorders>
            <w:tcMar>
              <w:start w:w="0" w:type="dxa"/>
              <w:end w:w="0" w:type="dxa"/>
            </w:tcMar>
            <w:tcMar>
              <w:start w:w="0" w:type="dxa"/>
              <w:end w:w="0" w:type="dxa"/>
            </w:tcMar>
          </w:tcPr>
          <w:p/>
        </w:tc>
      </w:tr>
      <w:tr>
        <w:trPr>
          <w:trHeight w:hRule="exact" w:val="192"/>
        </w:trPr>
        <w:tc>
          <w:tcPr>
            <w:tcW w:type="dxa" w:w="1288"/>
            <w:vMerge/>
            <w:tcBorders>
              <w:top w:sz="4.0" w:val="single" w:color="#000000"/>
              <w:bottom w:sz="3.200000000000273" w:val="single" w:color="#000000"/>
            </w:tcBorders>
          </w:tcPr>
          <w:p/>
        </w:tc>
        <w:tc>
          <w:tcPr>
            <w:tcW w:type="dxa" w:w="1288"/>
            <w:vMerge/>
            <w:tcBorders>
              <w:bottom w:sz="3.200000000000273" w:val="single" w:color="#000000"/>
            </w:tcBorders>
          </w:tcPr>
          <w:p/>
        </w:tc>
        <w:tc>
          <w:tcPr>
            <w:tcW w:type="dxa" w:w="2500"/>
            <w:gridSpan w:val="2"/>
            <w:tcBorders>
              <w:bottom w:sz="3.200000000000273" w:val="single" w:color="#000000"/>
            </w:tcBorders>
            <w:tcMar>
              <w:start w:w="0" w:type="dxa"/>
              <w:end w:w="0" w:type="dxa"/>
            </w:tcMar>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变动计入其他综合收益</w:t>
            </w:r>
          </w:p>
        </w:tc>
        <w:tc>
          <w:tcPr>
            <w:tcW w:type="dxa" w:w="1288"/>
            <w:vMerge/>
            <w:tcBorders>
              <w:bottom w:sz="3.200000000000273" w:val="single" w:color="#000000"/>
            </w:tcBorders>
          </w:tcPr>
          <w:p/>
        </w:tc>
        <w:tc>
          <w:tcPr>
            <w:tcW w:type="dxa" w:w="1308"/>
            <w:tcBorders>
              <w:bottom w:sz="3.200000000000273" w:val="single" w:color="#000000"/>
            </w:tcBorders>
            <w:tcMar>
              <w:start w:w="0" w:type="dxa"/>
              <w:end w:w="0" w:type="dxa"/>
            </w:tcMar>
          </w:tcPr>
          <w:p>
            <w:pPr>
              <w:autoSpaceDN w:val="0"/>
              <w:autoSpaceDE w:val="0"/>
              <w:widowControl/>
              <w:spacing w:line="140" w:lineRule="exact" w:before="24" w:after="0"/>
              <w:ind w:left="0" w:right="0" w:firstLine="0"/>
              <w:jc w:val="center"/>
            </w:pPr>
            <w:r>
              <w:rPr>
                <w:rFonts w:ascii="黑体" w:hAnsi="黑体" w:eastAsia="黑体"/>
                <w:b w:val="0"/>
                <w:i w:val="0"/>
                <w:color w:val="000000"/>
                <w:sz w:val="14"/>
              </w:rPr>
              <w:t>变动计入当期损益</w:t>
            </w:r>
          </w:p>
        </w:tc>
        <w:tc>
          <w:tcPr>
            <w:tcW w:type="dxa" w:w="1288"/>
            <w:vMerge/>
            <w:tcBorders>
              <w:bottom w:sz="3.200000000000273" w:val="single" w:color="#000000"/>
            </w:tcBorders>
          </w:tcPr>
          <w:p/>
        </w:tc>
      </w:tr>
      <w:tr>
        <w:trPr>
          <w:trHeight w:hRule="exact" w:val="168"/>
        </w:trPr>
        <w:tc>
          <w:tcPr>
            <w:tcW w:type="dxa" w:w="1558"/>
            <w:vMerge w:val="restart"/>
            <w:tcBorders>
              <w:top w:sz="3.200000000000273" w:val="single" w:color="#000000"/>
              <w:bottom w:sz="3.20000000000027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tc>
        <w:tc>
          <w:tcPr>
            <w:tcW w:type="dxa" w:w="1022"/>
            <w:vMerge w:val="restart"/>
            <w:tcBorders>
              <w:top w:sz="3.200000000000273"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38" w:lineRule="exact" w:before="566" w:after="0"/>
              <w:ind w:left="0" w:right="6" w:firstLine="0"/>
              <w:jc w:val="right"/>
            </w:pPr>
            <w:r>
              <w:rPr>
                <w:rFonts w:ascii="黑体" w:hAnsi="黑体" w:eastAsia="黑体"/>
                <w:b w:val="0"/>
                <w:i w:val="0"/>
                <w:color w:val="000000"/>
                <w:sz w:val="14"/>
              </w:rPr>
              <w:t>以摊余成本</w:t>
            </w:r>
          </w:p>
        </w:tc>
        <w:tc>
          <w:tcPr>
            <w:tcW w:type="dxa" w:w="2500"/>
            <w:gridSpan w:val="2"/>
            <w:tcBorders>
              <w:top w:sz="3.200000000000273" w:val="single" w:color="#000000"/>
            </w:tcBorders>
            <w:tcMar>
              <w:start w:w="0" w:type="dxa"/>
              <w:end w:w="0" w:type="dxa"/>
            </w:tcMar>
            <w:tcMar>
              <w:start w:w="0" w:type="dxa"/>
              <w:end w:w="0" w:type="dxa"/>
            </w:tcMar>
          </w:tcPr>
          <w:p>
            <w:pPr>
              <w:autoSpaceDN w:val="0"/>
              <w:autoSpaceDE w:val="0"/>
              <w:widowControl/>
              <w:spacing w:line="140" w:lineRule="exact" w:before="20" w:after="0"/>
              <w:ind w:left="0" w:right="70" w:firstLine="0"/>
              <w:jc w:val="right"/>
            </w:pPr>
            <w:r>
              <w:rPr>
                <w:rFonts w:ascii="黑体" w:hAnsi="黑体" w:eastAsia="黑体"/>
                <w:b w:val="0"/>
                <w:i w:val="0"/>
                <w:color w:val="000000"/>
                <w:sz w:val="14"/>
              </w:rPr>
              <w:t>指定为以公允</w:t>
            </w:r>
          </w:p>
        </w:tc>
        <w:tc>
          <w:tcPr>
            <w:tcW w:type="dxa" w:w="1012"/>
            <w:vMerge w:val="restart"/>
            <w:tcBorders>
              <w:top w:sz="3.200000000000273" w:val="single" w:color="#000000"/>
            </w:tcBorders>
            <w:tcMar>
              <w:start w:w="0" w:type="dxa"/>
              <w:end w:w="0" w:type="dxa"/>
            </w:tcMar>
            <w:tcMar>
              <w:start w:w="0" w:type="dxa"/>
              <w:end w:w="0" w:type="dxa"/>
            </w:tcMar>
          </w:tcPr>
          <w:p>
            <w:pPr>
              <w:autoSpaceDN w:val="0"/>
              <w:autoSpaceDE w:val="0"/>
              <w:widowControl/>
              <w:spacing w:line="140" w:lineRule="exact" w:before="202" w:after="0"/>
              <w:ind w:left="170" w:right="0" w:firstLine="0"/>
              <w:jc w:val="left"/>
            </w:pPr>
            <w:r>
              <w:rPr>
                <w:rFonts w:ascii="黑体" w:hAnsi="黑体" w:eastAsia="黑体"/>
                <w:b w:val="0"/>
                <w:i w:val="0"/>
                <w:color w:val="000000"/>
                <w:sz w:val="14"/>
              </w:rPr>
              <w:t>分类为以公允</w:t>
            </w:r>
          </w:p>
        </w:tc>
        <w:tc>
          <w:tcPr>
            <w:tcW w:type="dxa" w:w="1308"/>
            <w:tcBorders>
              <w:top w:sz="3.200000000000273" w:val="single" w:color="#00000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按照《金融工具确</w:t>
            </w:r>
          </w:p>
        </w:tc>
        <w:tc>
          <w:tcPr>
            <w:tcW w:type="dxa" w:w="1098"/>
            <w:tcBorders>
              <w:top w:sz="3.200000000000273" w:val="single" w:color="#000000"/>
            </w:tcBorders>
            <w:tcMar>
              <w:start w:w="0" w:type="dxa"/>
              <w:end w:w="0" w:type="dxa"/>
            </w:tcMar>
          </w:tcPr>
          <w:p>
            <w:pPr>
              <w:autoSpaceDN w:val="0"/>
              <w:autoSpaceDE w:val="0"/>
              <w:widowControl/>
              <w:spacing w:line="140" w:lineRule="exact" w:before="20" w:after="0"/>
              <w:ind w:left="0" w:right="0" w:firstLine="0"/>
              <w:jc w:val="center"/>
            </w:pPr>
            <w:r>
              <w:rPr>
                <w:rFonts w:ascii="黑体" w:hAnsi="黑体" w:eastAsia="黑体"/>
                <w:b w:val="0"/>
                <w:i w:val="0"/>
                <w:color w:val="000000"/>
                <w:sz w:val="14"/>
              </w:rPr>
              <w:t>按照《套期会计》</w:t>
            </w:r>
          </w:p>
        </w:tc>
      </w:tr>
      <w:tr>
        <w:trPr>
          <w:trHeight w:hRule="exact" w:val="180"/>
        </w:trPr>
        <w:tc>
          <w:tcPr>
            <w:tcW w:type="dxa" w:w="1288"/>
            <w:vMerge/>
            <w:tcBorders>
              <w:top w:sz="3.200000000000273" w:val="single" w:color="#000000"/>
              <w:bottom w:sz="3.200000000000273" w:val="single" w:color="#000000"/>
            </w:tcBorders>
          </w:tcPr>
          <w:p/>
        </w:tc>
        <w:tc>
          <w:tcPr>
            <w:tcW w:type="dxa" w:w="1288"/>
            <w:vMerge/>
            <w:tcBorders>
              <w:top w:sz="3.200000000000273" w:val="single" w:color="#000000"/>
            </w:tcBorders>
          </w:tcPr>
          <w:p/>
        </w:tc>
        <w:tc>
          <w:tcPr>
            <w:tcW w:type="dxa" w:w="1200"/>
            <w:tcBorders/>
            <w:tcMar>
              <w:start w:w="0" w:type="dxa"/>
              <w:end w:w="0" w:type="dxa"/>
            </w:tcMar>
          </w:tcPr>
          <w:p>
            <w:pPr>
              <w:autoSpaceDN w:val="0"/>
              <w:autoSpaceDE w:val="0"/>
              <w:widowControl/>
              <w:spacing w:line="140" w:lineRule="exact" w:before="38" w:after="0"/>
              <w:ind w:left="0" w:right="0" w:firstLine="0"/>
              <w:jc w:val="right"/>
            </w:pPr>
            <w:r>
              <w:rPr>
                <w:rFonts w:ascii="黑体" w:hAnsi="黑体" w:eastAsia="黑体"/>
                <w:b w:val="0"/>
                <w:i w:val="0"/>
                <w:color w:val="000000"/>
                <w:sz w:val="14"/>
              </w:rPr>
              <w:t>分类为以公允</w:t>
            </w:r>
          </w:p>
        </w:tc>
        <w:tc>
          <w:tcPr>
            <w:tcW w:type="dxa" w:w="1300"/>
            <w:tcBorders/>
            <w:tcMar>
              <w:start w:w="0" w:type="dxa"/>
              <w:end w:w="0" w:type="dxa"/>
            </w:tcMar>
          </w:tcPr>
          <w:p>
            <w:pPr>
              <w:autoSpaceDN w:val="0"/>
              <w:autoSpaceDE w:val="0"/>
              <w:widowControl/>
              <w:spacing w:line="140" w:lineRule="exact" w:before="38" w:after="0"/>
              <w:ind w:left="0" w:right="0" w:firstLine="0"/>
              <w:jc w:val="center"/>
            </w:pPr>
            <w:r>
              <w:rPr>
                <w:rFonts w:ascii="黑体" w:hAnsi="黑体" w:eastAsia="黑体"/>
                <w:b w:val="0"/>
                <w:i w:val="0"/>
                <w:color w:val="000000"/>
                <w:sz w:val="14"/>
              </w:rPr>
              <w:t>价值计量且其变动</w:t>
            </w:r>
          </w:p>
        </w:tc>
        <w:tc>
          <w:tcPr>
            <w:tcW w:type="dxa" w:w="1288"/>
            <w:vMerge/>
            <w:tcBorders>
              <w:top w:sz="3.200000000000273" w:val="single" w:color="#000000"/>
            </w:tcBorders>
          </w:tcPr>
          <w:p/>
        </w:tc>
        <w:tc>
          <w:tcPr>
            <w:tcW w:type="dxa" w:w="1308"/>
            <w:tcBorders/>
            <w:tcMar>
              <w:start w:w="0" w:type="dxa"/>
              <w:end w:w="0" w:type="dxa"/>
            </w:tcMar>
          </w:tcPr>
          <w:p>
            <w:pPr>
              <w:autoSpaceDN w:val="0"/>
              <w:autoSpaceDE w:val="0"/>
              <w:widowControl/>
              <w:spacing w:line="140" w:lineRule="exact" w:before="38" w:after="0"/>
              <w:ind w:left="0" w:right="0" w:firstLine="0"/>
              <w:jc w:val="center"/>
            </w:pPr>
            <w:r>
              <w:rPr>
                <w:rFonts w:ascii="黑体" w:hAnsi="黑体" w:eastAsia="黑体"/>
                <w:b w:val="0"/>
                <w:i w:val="0"/>
                <w:color w:val="000000"/>
                <w:sz w:val="14"/>
              </w:rPr>
              <w:t>认和计量》准则指</w:t>
            </w:r>
          </w:p>
        </w:tc>
        <w:tc>
          <w:tcPr>
            <w:tcW w:type="dxa" w:w="1098"/>
            <w:tcBorders/>
            <w:tcMar>
              <w:start w:w="0" w:type="dxa"/>
              <w:end w:w="0" w:type="dxa"/>
            </w:tcMar>
          </w:tcPr>
          <w:p>
            <w:pPr>
              <w:autoSpaceDN w:val="0"/>
              <w:autoSpaceDE w:val="0"/>
              <w:widowControl/>
              <w:spacing w:line="140" w:lineRule="exact" w:before="38" w:after="0"/>
              <w:ind w:left="0" w:right="0" w:firstLine="0"/>
              <w:jc w:val="center"/>
            </w:pPr>
            <w:r>
              <w:rPr>
                <w:rFonts w:ascii="黑体" w:hAnsi="黑体" w:eastAsia="黑体"/>
                <w:b w:val="0"/>
                <w:i w:val="0"/>
                <w:color w:val="000000"/>
                <w:sz w:val="14"/>
              </w:rPr>
              <w:t>准则指定为以公允</w:t>
            </w:r>
          </w:p>
        </w:tc>
      </w:tr>
      <w:tr>
        <w:trPr>
          <w:trHeight w:hRule="exact" w:val="200"/>
        </w:trPr>
        <w:tc>
          <w:tcPr>
            <w:tcW w:type="dxa" w:w="1288"/>
            <w:vMerge/>
            <w:tcBorders>
              <w:top w:sz="3.200000000000273" w:val="single" w:color="#000000"/>
              <w:bottom w:sz="3.200000000000273" w:val="single" w:color="#000000"/>
            </w:tcBorders>
          </w:tcPr>
          <w:p/>
        </w:tc>
        <w:tc>
          <w:tcPr>
            <w:tcW w:type="dxa" w:w="1288"/>
            <w:vMerge/>
            <w:tcBorders>
              <w:top w:sz="3.200000000000273" w:val="single" w:color="#000000"/>
            </w:tcBorders>
          </w:tcPr>
          <w:p/>
        </w:tc>
        <w:tc>
          <w:tcPr>
            <w:tcW w:type="dxa" w:w="1200"/>
            <w:tcBorders/>
            <w:tcMar>
              <w:start w:w="0" w:type="dxa"/>
              <w:end w:w="0" w:type="dxa"/>
            </w:tcMar>
          </w:tcPr>
          <w:p>
            <w:pPr>
              <w:autoSpaceDN w:val="0"/>
              <w:autoSpaceDE w:val="0"/>
              <w:widowControl/>
              <w:spacing w:line="140" w:lineRule="exact" w:before="38" w:after="0"/>
              <w:ind w:left="96" w:right="0" w:firstLine="0"/>
              <w:jc w:val="left"/>
            </w:pPr>
            <w:r>
              <w:rPr>
                <w:rFonts w:ascii="黑体" w:hAnsi="黑体" w:eastAsia="黑体"/>
                <w:b w:val="0"/>
                <w:i w:val="0"/>
                <w:color w:val="000000"/>
                <w:sz w:val="14"/>
              </w:rPr>
              <w:t>价值计量且其变动</w:t>
            </w:r>
          </w:p>
        </w:tc>
        <w:tc>
          <w:tcPr>
            <w:tcW w:type="dxa" w:w="1300"/>
            <w:tcBorders/>
            <w:tcMar>
              <w:start w:w="0" w:type="dxa"/>
              <w:end w:w="0" w:type="dxa"/>
            </w:tcMar>
          </w:tcPr>
          <w:p>
            <w:pPr>
              <w:autoSpaceDN w:val="0"/>
              <w:autoSpaceDE w:val="0"/>
              <w:widowControl/>
              <w:spacing w:line="140" w:lineRule="exact" w:before="38" w:after="0"/>
              <w:ind w:left="0" w:right="70" w:firstLine="0"/>
              <w:jc w:val="right"/>
            </w:pPr>
            <w:r>
              <w:rPr>
                <w:rFonts w:ascii="黑体" w:hAnsi="黑体" w:eastAsia="黑体"/>
                <w:b w:val="0"/>
                <w:i w:val="0"/>
                <w:color w:val="000000"/>
                <w:sz w:val="14"/>
              </w:rPr>
              <w:t>计入其他综合</w:t>
            </w:r>
          </w:p>
        </w:tc>
        <w:tc>
          <w:tcPr>
            <w:tcW w:type="dxa" w:w="1012"/>
            <w:tcBorders/>
            <w:tcMar>
              <w:start w:w="0" w:type="dxa"/>
              <w:end w:w="0" w:type="dxa"/>
            </w:tcMar>
          </w:tcPr>
          <w:p>
            <w:pPr>
              <w:autoSpaceDN w:val="0"/>
              <w:autoSpaceDE w:val="0"/>
              <w:widowControl/>
              <w:spacing w:line="140" w:lineRule="exact" w:before="38" w:after="0"/>
              <w:ind w:left="170" w:right="0" w:firstLine="0"/>
              <w:jc w:val="left"/>
            </w:pPr>
            <w:r>
              <w:rPr>
                <w:rFonts w:ascii="黑体" w:hAnsi="黑体" w:eastAsia="黑体"/>
                <w:b w:val="0"/>
                <w:i w:val="0"/>
                <w:color w:val="000000"/>
                <w:sz w:val="14"/>
              </w:rPr>
              <w:t>价值计量且其</w:t>
            </w:r>
          </w:p>
        </w:tc>
        <w:tc>
          <w:tcPr>
            <w:tcW w:type="dxa" w:w="1308"/>
            <w:tcBorders/>
            <w:tcMar>
              <w:start w:w="0" w:type="dxa"/>
              <w:end w:w="0" w:type="dxa"/>
            </w:tcMar>
          </w:tcPr>
          <w:p>
            <w:pPr>
              <w:autoSpaceDN w:val="0"/>
              <w:autoSpaceDE w:val="0"/>
              <w:widowControl/>
              <w:spacing w:line="140" w:lineRule="exact" w:before="38" w:after="0"/>
              <w:ind w:left="0" w:right="0" w:firstLine="0"/>
              <w:jc w:val="center"/>
            </w:pPr>
            <w:r>
              <w:rPr>
                <w:rFonts w:ascii="黑体" w:hAnsi="黑体" w:eastAsia="黑体"/>
                <w:b w:val="0"/>
                <w:i w:val="0"/>
                <w:color w:val="000000"/>
                <w:sz w:val="14"/>
              </w:rPr>
              <w:t>定为以公允价值计</w:t>
            </w:r>
          </w:p>
        </w:tc>
        <w:tc>
          <w:tcPr>
            <w:tcW w:type="dxa" w:w="1098"/>
            <w:tcBorders/>
            <w:tcMar>
              <w:start w:w="0" w:type="dxa"/>
              <w:end w:w="0" w:type="dxa"/>
            </w:tcMar>
          </w:tcPr>
          <w:p>
            <w:pPr>
              <w:autoSpaceDN w:val="0"/>
              <w:autoSpaceDE w:val="0"/>
              <w:widowControl/>
              <w:spacing w:line="140" w:lineRule="exact" w:before="38" w:after="0"/>
              <w:ind w:left="0" w:right="0" w:firstLine="0"/>
              <w:jc w:val="right"/>
            </w:pPr>
            <w:r>
              <w:rPr>
                <w:rFonts w:ascii="黑体" w:hAnsi="黑体" w:eastAsia="黑体"/>
                <w:b w:val="0"/>
                <w:i w:val="0"/>
                <w:color w:val="000000"/>
                <w:sz w:val="14"/>
              </w:rPr>
              <w:t>价值计量且其</w:t>
            </w:r>
          </w:p>
        </w:tc>
      </w:tr>
      <w:tr>
        <w:trPr>
          <w:trHeight w:hRule="exact" w:val="180"/>
        </w:trPr>
        <w:tc>
          <w:tcPr>
            <w:tcW w:type="dxa" w:w="1288"/>
            <w:vMerge/>
            <w:tcBorders>
              <w:top w:sz="3.200000000000273" w:val="single" w:color="#000000"/>
              <w:bottom w:sz="3.200000000000273" w:val="single" w:color="#000000"/>
            </w:tcBorders>
          </w:tcPr>
          <w:p/>
        </w:tc>
        <w:tc>
          <w:tcPr>
            <w:tcW w:type="dxa" w:w="1288"/>
            <w:vMerge/>
            <w:tcBorders>
              <w:top w:sz="3.200000000000273" w:val="single" w:color="#000000"/>
            </w:tcBorders>
          </w:tcPr>
          <w:p/>
        </w:tc>
        <w:tc>
          <w:tcPr>
            <w:tcW w:type="dxa" w:w="1200"/>
            <w:tcBorders/>
            <w:tcMar>
              <w:start w:w="0" w:type="dxa"/>
              <w:end w:w="0" w:type="dxa"/>
            </w:tcMar>
          </w:tcPr>
          <w:p>
            <w:pPr>
              <w:autoSpaceDN w:val="0"/>
              <w:autoSpaceDE w:val="0"/>
              <w:widowControl/>
              <w:spacing w:line="138" w:lineRule="exact" w:before="22" w:after="0"/>
              <w:ind w:left="0" w:right="0" w:firstLine="0"/>
              <w:jc w:val="right"/>
            </w:pPr>
            <w:r>
              <w:rPr>
                <w:rFonts w:ascii="黑体" w:hAnsi="黑体" w:eastAsia="黑体"/>
                <w:b w:val="0"/>
                <w:i w:val="0"/>
                <w:color w:val="000000"/>
                <w:sz w:val="14"/>
              </w:rPr>
              <w:t>计入其他综合</w:t>
            </w:r>
          </w:p>
        </w:tc>
        <w:tc>
          <w:tcPr>
            <w:tcW w:type="dxa" w:w="1300"/>
            <w:tcBorders/>
            <w:tcMar>
              <w:start w:w="0" w:type="dxa"/>
              <w:end w:w="0" w:type="dxa"/>
            </w:tcMar>
          </w:tcPr>
          <w:p>
            <w:pPr>
              <w:autoSpaceDN w:val="0"/>
              <w:autoSpaceDE w:val="0"/>
              <w:widowControl/>
              <w:spacing w:line="138" w:lineRule="exact" w:before="22" w:after="0"/>
              <w:ind w:left="254" w:right="0" w:firstLine="0"/>
              <w:jc w:val="left"/>
            </w:pPr>
            <w:r>
              <w:rPr>
                <w:rFonts w:ascii="黑体" w:hAnsi="黑体" w:eastAsia="黑体"/>
                <w:b w:val="0"/>
                <w:i w:val="0"/>
                <w:color w:val="000000"/>
                <w:sz w:val="14"/>
              </w:rPr>
              <w:t>收益的非交易性</w:t>
            </w:r>
          </w:p>
        </w:tc>
        <w:tc>
          <w:tcPr>
            <w:tcW w:type="dxa" w:w="1012"/>
            <w:tcBorders/>
            <w:tcMar>
              <w:start w:w="0" w:type="dxa"/>
              <w:end w:w="0" w:type="dxa"/>
            </w:tcMar>
          </w:tcPr>
          <w:p>
            <w:pPr>
              <w:autoSpaceDN w:val="0"/>
              <w:autoSpaceDE w:val="0"/>
              <w:widowControl/>
              <w:spacing w:line="138" w:lineRule="exact" w:before="22" w:after="0"/>
              <w:ind w:left="170" w:right="0" w:firstLine="0"/>
              <w:jc w:val="left"/>
            </w:pPr>
            <w:r>
              <w:rPr>
                <w:rFonts w:ascii="黑体" w:hAnsi="黑体" w:eastAsia="黑体"/>
                <w:b w:val="0"/>
                <w:i w:val="0"/>
                <w:color w:val="000000"/>
                <w:sz w:val="14"/>
              </w:rPr>
              <w:t>变动计入当期</w:t>
            </w:r>
          </w:p>
        </w:tc>
        <w:tc>
          <w:tcPr>
            <w:tcW w:type="dxa" w:w="1308"/>
            <w:tcBorders/>
            <w:tcMar>
              <w:start w:w="0" w:type="dxa"/>
              <w:end w:w="0" w:type="dxa"/>
            </w:tcMar>
          </w:tcPr>
          <w:p>
            <w:pPr>
              <w:autoSpaceDN w:val="0"/>
              <w:autoSpaceDE w:val="0"/>
              <w:widowControl/>
              <w:spacing w:line="138" w:lineRule="exact" w:before="22" w:after="0"/>
              <w:ind w:left="0" w:right="0" w:firstLine="0"/>
              <w:jc w:val="center"/>
            </w:pPr>
            <w:r>
              <w:rPr>
                <w:rFonts w:ascii="黑体" w:hAnsi="黑体" w:eastAsia="黑体"/>
                <w:b w:val="0"/>
                <w:i w:val="0"/>
                <w:color w:val="000000"/>
                <w:sz w:val="14"/>
              </w:rPr>
              <w:t>量且其变动计入当</w:t>
            </w:r>
          </w:p>
        </w:tc>
        <w:tc>
          <w:tcPr>
            <w:tcW w:type="dxa" w:w="1098"/>
            <w:tcBorders/>
            <w:tcMar>
              <w:start w:w="0" w:type="dxa"/>
              <w:end w:w="0" w:type="dxa"/>
            </w:tcMar>
          </w:tcPr>
          <w:p>
            <w:pPr>
              <w:autoSpaceDN w:val="0"/>
              <w:autoSpaceDE w:val="0"/>
              <w:widowControl/>
              <w:spacing w:line="138" w:lineRule="exact" w:before="22" w:after="0"/>
              <w:ind w:left="0" w:right="0" w:firstLine="0"/>
              <w:jc w:val="right"/>
            </w:pPr>
            <w:r>
              <w:rPr>
                <w:rFonts w:ascii="黑体" w:hAnsi="黑体" w:eastAsia="黑体"/>
                <w:b w:val="0"/>
                <w:i w:val="0"/>
                <w:color w:val="000000"/>
                <w:sz w:val="14"/>
              </w:rPr>
              <w:t>变动计入当期</w:t>
            </w:r>
          </w:p>
        </w:tc>
      </w:tr>
      <w:tr>
        <w:trPr>
          <w:trHeight w:hRule="exact" w:val="168"/>
        </w:trPr>
        <w:tc>
          <w:tcPr>
            <w:tcW w:type="dxa" w:w="1288"/>
            <w:vMerge/>
            <w:tcBorders>
              <w:top w:sz="3.200000000000273" w:val="single" w:color="#000000"/>
              <w:bottom w:sz="3.200000000000273" w:val="single" w:color="#000000"/>
            </w:tcBorders>
          </w:tcPr>
          <w:p/>
        </w:tc>
        <w:tc>
          <w:tcPr>
            <w:tcW w:type="dxa" w:w="1022"/>
            <w:tcBorders>
              <w:bottom w:sz="3.200000000000273" w:val="single" w:color="#000000"/>
            </w:tcBorders>
            <w:tcMar>
              <w:start w:w="0" w:type="dxa"/>
              <w:end w:w="0" w:type="dxa"/>
            </w:tcMar>
          </w:tcPr>
          <w:p>
            <w:pPr>
              <w:autoSpaceDN w:val="0"/>
              <w:autoSpaceDE w:val="0"/>
              <w:widowControl/>
              <w:spacing w:line="138" w:lineRule="exact" w:before="22" w:after="0"/>
              <w:ind w:left="0" w:right="0" w:firstLine="0"/>
              <w:jc w:val="center"/>
            </w:pPr>
            <w:r>
              <w:rPr>
                <w:rFonts w:ascii="黑体" w:hAnsi="黑体" w:eastAsia="黑体"/>
                <w:b w:val="0"/>
                <w:i w:val="0"/>
                <w:color w:val="000000"/>
                <w:sz w:val="14"/>
              </w:rPr>
              <w:t>计量的金融资产</w:t>
            </w:r>
          </w:p>
        </w:tc>
        <w:tc>
          <w:tcPr>
            <w:tcW w:type="dxa" w:w="1200"/>
            <w:tcBorders>
              <w:bottom w:sz="3.200000000000273" w:val="single" w:color="#000000"/>
            </w:tcBorders>
            <w:tcMar>
              <w:start w:w="0" w:type="dxa"/>
              <w:end w:w="0" w:type="dxa"/>
            </w:tcMar>
          </w:tcPr>
          <w:p>
            <w:pPr>
              <w:autoSpaceDN w:val="0"/>
              <w:autoSpaceDE w:val="0"/>
              <w:widowControl/>
              <w:spacing w:line="138" w:lineRule="exact" w:before="22" w:after="0"/>
              <w:ind w:left="238" w:right="0" w:firstLine="0"/>
              <w:jc w:val="left"/>
            </w:pPr>
            <w:r>
              <w:rPr>
                <w:rFonts w:ascii="黑体" w:hAnsi="黑体" w:eastAsia="黑体"/>
                <w:b w:val="0"/>
                <w:i w:val="0"/>
                <w:color w:val="000000"/>
                <w:sz w:val="14"/>
              </w:rPr>
              <w:t>收益的金融资产</w:t>
            </w:r>
          </w:p>
        </w:tc>
        <w:tc>
          <w:tcPr>
            <w:tcW w:type="dxa" w:w="1300"/>
            <w:tcBorders>
              <w:bottom w:sz="3.200000000000273" w:val="single" w:color="#000000"/>
            </w:tcBorders>
            <w:tcMar>
              <w:start w:w="0" w:type="dxa"/>
              <w:end w:w="0" w:type="dxa"/>
            </w:tcMar>
          </w:tcPr>
          <w:p>
            <w:pPr>
              <w:autoSpaceDN w:val="0"/>
              <w:autoSpaceDE w:val="0"/>
              <w:widowControl/>
              <w:spacing w:line="138" w:lineRule="exact" w:before="22" w:after="0"/>
              <w:ind w:left="0" w:right="70" w:firstLine="0"/>
              <w:jc w:val="right"/>
            </w:pPr>
            <w:r>
              <w:rPr>
                <w:rFonts w:ascii="黑体" w:hAnsi="黑体" w:eastAsia="黑体"/>
                <w:b w:val="0"/>
                <w:i w:val="0"/>
                <w:color w:val="000000"/>
                <w:sz w:val="14"/>
              </w:rPr>
              <w:t>权益工具投资</w:t>
            </w:r>
          </w:p>
        </w:tc>
        <w:tc>
          <w:tcPr>
            <w:tcW w:type="dxa" w:w="1012"/>
            <w:tcBorders>
              <w:bottom w:sz="3.200000000000273" w:val="single" w:color="#000000"/>
            </w:tcBorders>
            <w:tcMar>
              <w:start w:w="0" w:type="dxa"/>
              <w:end w:w="0" w:type="dxa"/>
            </w:tcMar>
          </w:tcPr>
          <w:p>
            <w:pPr>
              <w:autoSpaceDN w:val="0"/>
              <w:autoSpaceDE w:val="0"/>
              <w:widowControl/>
              <w:spacing w:line="138" w:lineRule="exact" w:before="22" w:after="0"/>
              <w:ind w:left="0" w:right="0" w:firstLine="0"/>
              <w:jc w:val="center"/>
            </w:pPr>
            <w:r>
              <w:rPr>
                <w:rFonts w:ascii="黑体" w:hAnsi="黑体" w:eastAsia="黑体"/>
                <w:b w:val="0"/>
                <w:i w:val="0"/>
                <w:color w:val="000000"/>
                <w:sz w:val="14"/>
              </w:rPr>
              <w:t>损益的金融资产</w:t>
            </w:r>
          </w:p>
        </w:tc>
        <w:tc>
          <w:tcPr>
            <w:tcW w:type="dxa" w:w="1308"/>
            <w:tcBorders>
              <w:bottom w:sz="3.200000000000273" w:val="single" w:color="#000000"/>
            </w:tcBorders>
            <w:tcMar>
              <w:start w:w="0" w:type="dxa"/>
              <w:end w:w="0" w:type="dxa"/>
            </w:tcMar>
          </w:tcPr>
          <w:p>
            <w:pPr>
              <w:autoSpaceDN w:val="0"/>
              <w:autoSpaceDE w:val="0"/>
              <w:widowControl/>
              <w:spacing w:line="138" w:lineRule="exact" w:before="22" w:after="0"/>
              <w:ind w:left="0" w:right="0" w:firstLine="0"/>
              <w:jc w:val="center"/>
            </w:pPr>
            <w:r>
              <w:rPr>
                <w:rFonts w:ascii="黑体" w:hAnsi="黑体" w:eastAsia="黑体"/>
                <w:b w:val="0"/>
                <w:i w:val="0"/>
                <w:color w:val="000000"/>
                <w:sz w:val="14"/>
              </w:rPr>
              <w:t>期损益的金融资产</w:t>
            </w:r>
          </w:p>
        </w:tc>
        <w:tc>
          <w:tcPr>
            <w:tcW w:type="dxa" w:w="1098"/>
            <w:tcBorders>
              <w:bottom w:sz="3.200000000000273" w:val="single" w:color="#000000"/>
            </w:tcBorders>
            <w:tcMar>
              <w:start w:w="0" w:type="dxa"/>
              <w:end w:w="0" w:type="dxa"/>
            </w:tcMar>
          </w:tcPr>
          <w:p>
            <w:pPr>
              <w:autoSpaceDN w:val="0"/>
              <w:autoSpaceDE w:val="0"/>
              <w:widowControl/>
              <w:spacing w:line="138" w:lineRule="exact" w:before="22" w:after="0"/>
              <w:ind w:left="154" w:right="0" w:firstLine="0"/>
              <w:jc w:val="left"/>
            </w:pPr>
            <w:r>
              <w:rPr>
                <w:rFonts w:ascii="黑体" w:hAnsi="黑体" w:eastAsia="黑体"/>
                <w:b w:val="0"/>
                <w:i w:val="0"/>
                <w:color w:val="000000"/>
                <w:sz w:val="14"/>
              </w:rPr>
              <w:t>损益的金融资产</w:t>
            </w:r>
          </w:p>
        </w:tc>
      </w:tr>
      <w:tr>
        <w:trPr>
          <w:trHeight w:hRule="exact" w:val="369"/>
        </w:trPr>
        <w:tc>
          <w:tcPr>
            <w:tcW w:type="dxa" w:w="1558"/>
            <w:tcBorders>
              <w:top w:sz="3.200000000000273" w:val="single" w:color="#000000"/>
            </w:tcBorders>
            <w:tcMar>
              <w:start w:w="0" w:type="dxa"/>
              <w:end w:w="0" w:type="dxa"/>
            </w:tcMar>
          </w:tcPr>
          <w:p>
            <w:pPr>
              <w:autoSpaceDN w:val="0"/>
              <w:autoSpaceDE w:val="0"/>
              <w:widowControl/>
              <w:spacing w:line="140" w:lineRule="exact" w:before="192" w:after="0"/>
              <w:ind w:left="198" w:right="0" w:firstLine="0"/>
              <w:jc w:val="left"/>
            </w:pPr>
            <w:r>
              <w:rPr>
                <w:rFonts w:ascii="黑体" w:hAnsi="黑体" w:eastAsia="黑体"/>
                <w:b w:val="0"/>
                <w:i w:val="0"/>
                <w:color w:val="000000"/>
                <w:sz w:val="14"/>
              </w:rPr>
              <w:t>货币资金</w:t>
            </w:r>
          </w:p>
        </w:tc>
        <w:tc>
          <w:tcPr>
            <w:tcW w:type="dxa" w:w="1022"/>
            <w:tcBorders>
              <w:top w:sz="3.200000000000273" w:val="single" w:color="#000000"/>
            </w:tcBorders>
            <w:tcMar>
              <w:start w:w="0" w:type="dxa"/>
              <w:end w:w="0" w:type="dxa"/>
            </w:tcMar>
          </w:tcPr>
          <w:p>
            <w:pPr>
              <w:autoSpaceDN w:val="0"/>
              <w:autoSpaceDE w:val="0"/>
              <w:widowControl/>
              <w:spacing w:line="233" w:lineRule="auto" w:before="198" w:after="0"/>
              <w:ind w:left="0" w:right="0" w:firstLine="0"/>
              <w:jc w:val="center"/>
            </w:pPr>
            <w:r>
              <w:rPr>
                <w:rFonts w:ascii="Arial" w:hAnsi="Arial" w:eastAsia="Arial"/>
                <w:b w:val="0"/>
                <w:i w:val="0"/>
                <w:color w:val="000000"/>
                <w:sz w:val="14"/>
              </w:rPr>
              <w:t>22,219,704,728</w:t>
            </w:r>
          </w:p>
        </w:tc>
        <w:tc>
          <w:tcPr>
            <w:tcW w:type="dxa" w:w="1200"/>
            <w:tcBorders>
              <w:top w:sz="3.200000000000273" w:val="single" w:color="#000000"/>
            </w:tcBorders>
            <w:tcMar>
              <w:start w:w="0" w:type="dxa"/>
              <w:end w:w="0" w:type="dxa"/>
            </w:tcMar>
          </w:tcPr>
          <w:p>
            <w:pPr>
              <w:autoSpaceDN w:val="0"/>
              <w:autoSpaceDE w:val="0"/>
              <w:widowControl/>
              <w:spacing w:line="233" w:lineRule="auto" w:before="198" w:after="0"/>
              <w:ind w:left="0" w:right="0" w:firstLine="0"/>
              <w:jc w:val="right"/>
            </w:pPr>
            <w:r>
              <w:rPr>
                <w:rFonts w:ascii="Arial" w:hAnsi="Arial" w:eastAsia="Arial"/>
                <w:b w:val="0"/>
                <w:i w:val="0"/>
                <w:color w:val="000000"/>
                <w:sz w:val="14"/>
              </w:rPr>
              <w:t>-</w:t>
            </w:r>
          </w:p>
        </w:tc>
        <w:tc>
          <w:tcPr>
            <w:tcW w:type="dxa" w:w="1300"/>
            <w:tcBorders>
              <w:top w:sz="3.200000000000273" w:val="single" w:color="#000000"/>
            </w:tcBorders>
            <w:tcMar>
              <w:start w:w="0" w:type="dxa"/>
              <w:end w:w="0" w:type="dxa"/>
            </w:tcMar>
          </w:tcPr>
          <w:p>
            <w:pPr>
              <w:autoSpaceDN w:val="0"/>
              <w:autoSpaceDE w:val="0"/>
              <w:widowControl/>
              <w:spacing w:line="233" w:lineRule="auto" w:before="198" w:after="0"/>
              <w:ind w:left="0" w:right="28" w:firstLine="0"/>
              <w:jc w:val="right"/>
            </w:pPr>
            <w:r>
              <w:rPr>
                <w:rFonts w:ascii="Arial" w:hAnsi="Arial" w:eastAsia="Arial"/>
                <w:b w:val="0"/>
                <w:i w:val="0"/>
                <w:color w:val="000000"/>
                <w:sz w:val="14"/>
              </w:rPr>
              <w:t xml:space="preserve">- </w:t>
            </w:r>
          </w:p>
        </w:tc>
        <w:tc>
          <w:tcPr>
            <w:tcW w:type="dxa" w:w="1012"/>
            <w:tcBorders>
              <w:top w:sz="3.200000000000273" w:val="single" w:color="#000000"/>
            </w:tcBorders>
            <w:tcMar>
              <w:start w:w="0" w:type="dxa"/>
              <w:end w:w="0" w:type="dxa"/>
            </w:tcMar>
          </w:tcPr>
          <w:p>
            <w:pPr>
              <w:autoSpaceDN w:val="0"/>
              <w:autoSpaceDE w:val="0"/>
              <w:widowControl/>
              <w:spacing w:line="233" w:lineRule="auto" w:before="198" w:after="0"/>
              <w:ind w:left="0" w:right="0" w:firstLine="0"/>
              <w:jc w:val="right"/>
            </w:pPr>
            <w:r>
              <w:rPr>
                <w:rFonts w:ascii="Arial" w:hAnsi="Arial" w:eastAsia="Arial"/>
                <w:b w:val="0"/>
                <w:i w:val="0"/>
                <w:color w:val="000000"/>
                <w:sz w:val="14"/>
              </w:rPr>
              <w:t>-</w:t>
            </w:r>
          </w:p>
        </w:tc>
        <w:tc>
          <w:tcPr>
            <w:tcW w:type="dxa" w:w="1308"/>
            <w:tcBorders>
              <w:top w:sz="3.200000000000273" w:val="single" w:color="#000000"/>
            </w:tcBorders>
            <w:tcMar>
              <w:start w:w="0" w:type="dxa"/>
              <w:end w:w="0" w:type="dxa"/>
            </w:tcMar>
          </w:tcPr>
          <w:p>
            <w:pPr>
              <w:autoSpaceDN w:val="0"/>
              <w:autoSpaceDE w:val="0"/>
              <w:widowControl/>
              <w:spacing w:line="233" w:lineRule="auto" w:before="198" w:after="0"/>
              <w:ind w:left="0" w:right="90" w:firstLine="0"/>
              <w:jc w:val="right"/>
            </w:pPr>
            <w:r>
              <w:rPr>
                <w:rFonts w:ascii="Arial" w:hAnsi="Arial" w:eastAsia="Arial"/>
                <w:b w:val="0"/>
                <w:i w:val="0"/>
                <w:color w:val="000000"/>
                <w:sz w:val="14"/>
              </w:rPr>
              <w:t>-</w:t>
            </w:r>
          </w:p>
        </w:tc>
        <w:tc>
          <w:tcPr>
            <w:tcW w:type="dxa" w:w="1098"/>
            <w:tcBorders>
              <w:top w:sz="3.200000000000273" w:val="single" w:color="#000000"/>
            </w:tcBorders>
            <w:tcMar>
              <w:start w:w="0" w:type="dxa"/>
              <w:end w:w="0" w:type="dxa"/>
            </w:tcMar>
          </w:tcPr>
          <w:p>
            <w:pPr>
              <w:autoSpaceDN w:val="0"/>
              <w:autoSpaceDE w:val="0"/>
              <w:widowControl/>
              <w:spacing w:line="233" w:lineRule="auto" w:before="198" w:after="0"/>
              <w:ind w:left="0" w:right="0" w:firstLine="0"/>
              <w:jc w:val="right"/>
            </w:pPr>
            <w:r>
              <w:rPr>
                <w:rFonts w:ascii="Arial" w:hAnsi="Arial" w:eastAsia="Arial"/>
                <w:b w:val="0"/>
                <w:i w:val="0"/>
                <w:color w:val="000000"/>
                <w:sz w:val="14"/>
              </w:rPr>
              <w:t>-</w:t>
            </w:r>
          </w:p>
        </w:tc>
      </w:tr>
      <w:tr>
        <w:trPr>
          <w:trHeight w:hRule="exact" w:val="182"/>
        </w:trPr>
        <w:tc>
          <w:tcPr>
            <w:tcW w:type="dxa" w:w="1558"/>
            <w:tcBorders/>
            <w:tcMar>
              <w:start w:w="0" w:type="dxa"/>
              <w:end w:w="0" w:type="dxa"/>
            </w:tcMar>
          </w:tcPr>
          <w:p>
            <w:pPr>
              <w:autoSpaceDN w:val="0"/>
              <w:autoSpaceDE w:val="0"/>
              <w:widowControl/>
              <w:spacing w:line="140" w:lineRule="exact" w:before="10" w:after="0"/>
              <w:ind w:left="198" w:right="0" w:firstLine="0"/>
              <w:jc w:val="left"/>
            </w:pPr>
            <w:r>
              <w:rPr>
                <w:rFonts w:ascii="黑体" w:hAnsi="黑体" w:eastAsia="黑体"/>
                <w:b w:val="0"/>
                <w:i w:val="0"/>
                <w:color w:val="000000"/>
                <w:sz w:val="14"/>
              </w:rPr>
              <w:t>结算备付金</w:t>
            </w:r>
          </w:p>
        </w:tc>
        <w:tc>
          <w:tcPr>
            <w:tcW w:type="dxa" w:w="1022"/>
            <w:tcBorders/>
            <w:tcMar>
              <w:start w:w="0" w:type="dxa"/>
              <w:end w:w="0" w:type="dxa"/>
            </w:tcMar>
          </w:tcPr>
          <w:p>
            <w:pPr>
              <w:autoSpaceDN w:val="0"/>
              <w:autoSpaceDE w:val="0"/>
              <w:widowControl/>
              <w:spacing w:line="233" w:lineRule="auto" w:before="14" w:after="0"/>
              <w:ind w:left="124" w:right="0" w:firstLine="0"/>
              <w:jc w:val="left"/>
            </w:pPr>
            <w:r>
              <w:rPr>
                <w:rFonts w:ascii="Arial" w:hAnsi="Arial" w:eastAsia="Arial"/>
                <w:b w:val="0"/>
                <w:i w:val="0"/>
                <w:color w:val="000000"/>
                <w:sz w:val="14"/>
              </w:rPr>
              <w:t>2,635,063,238</w:t>
            </w:r>
          </w:p>
        </w:tc>
        <w:tc>
          <w:tcPr>
            <w:tcW w:type="dxa" w:w="12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c>
          <w:tcPr>
            <w:tcW w:type="dxa" w:w="1300"/>
            <w:tcBorders/>
            <w:tcMar>
              <w:start w:w="0" w:type="dxa"/>
              <w:end w:w="0" w:type="dxa"/>
            </w:tcMar>
          </w:tcPr>
          <w:p>
            <w:pPr>
              <w:autoSpaceDN w:val="0"/>
              <w:autoSpaceDE w:val="0"/>
              <w:widowControl/>
              <w:spacing w:line="233" w:lineRule="auto" w:before="14" w:after="0"/>
              <w:ind w:left="0" w:right="28" w:firstLine="0"/>
              <w:jc w:val="right"/>
            </w:pPr>
            <w:r>
              <w:rPr>
                <w:rFonts w:ascii="Arial" w:hAnsi="Arial" w:eastAsia="Arial"/>
                <w:b w:val="0"/>
                <w:i w:val="0"/>
                <w:color w:val="000000"/>
                <w:sz w:val="14"/>
              </w:rPr>
              <w:t xml:space="preserve">- </w:t>
            </w:r>
          </w:p>
        </w:tc>
        <w:tc>
          <w:tcPr>
            <w:tcW w:type="dxa" w:w="1012"/>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4" w:after="0"/>
              <w:ind w:left="0" w:right="90" w:firstLine="0"/>
              <w:jc w:val="right"/>
            </w:pPr>
            <w:r>
              <w:rPr>
                <w:rFonts w:ascii="Arial" w:hAnsi="Arial" w:eastAsia="Arial"/>
                <w:b w:val="0"/>
                <w:i w:val="0"/>
                <w:color w:val="000000"/>
                <w:sz w:val="14"/>
              </w:rPr>
              <w:t>-</w:t>
            </w:r>
          </w:p>
        </w:tc>
        <w:tc>
          <w:tcPr>
            <w:tcW w:type="dxa" w:w="109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40" w:lineRule="exact" w:before="8" w:after="0"/>
              <w:ind w:left="198" w:right="0" w:firstLine="0"/>
              <w:jc w:val="left"/>
            </w:pPr>
            <w:r>
              <w:rPr>
                <w:rFonts w:ascii="黑体" w:hAnsi="黑体" w:eastAsia="黑体"/>
                <w:b w:val="0"/>
                <w:i w:val="0"/>
                <w:color w:val="000000"/>
                <w:sz w:val="14"/>
              </w:rPr>
              <w:t>融出资金</w:t>
            </w:r>
          </w:p>
        </w:tc>
        <w:tc>
          <w:tcPr>
            <w:tcW w:type="dxa" w:w="1022"/>
            <w:tcBorders/>
            <w:tcMar>
              <w:start w:w="0" w:type="dxa"/>
              <w:end w:w="0" w:type="dxa"/>
            </w:tcMar>
          </w:tcPr>
          <w:p>
            <w:pPr>
              <w:autoSpaceDN w:val="0"/>
              <w:autoSpaceDE w:val="0"/>
              <w:widowControl/>
              <w:spacing w:line="233" w:lineRule="auto" w:before="14" w:after="0"/>
              <w:ind w:left="124" w:right="0" w:firstLine="0"/>
              <w:jc w:val="left"/>
            </w:pPr>
            <w:r>
              <w:rPr>
                <w:rFonts w:ascii="Arial" w:hAnsi="Arial" w:eastAsia="Arial"/>
                <w:b w:val="0"/>
                <w:i w:val="0"/>
                <w:color w:val="000000"/>
                <w:sz w:val="14"/>
              </w:rPr>
              <w:t>6,764,360,676</w:t>
            </w:r>
          </w:p>
        </w:tc>
        <w:tc>
          <w:tcPr>
            <w:tcW w:type="dxa" w:w="1200"/>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c>
          <w:tcPr>
            <w:tcW w:type="dxa" w:w="1300"/>
            <w:tcBorders/>
            <w:tcMar>
              <w:start w:w="0" w:type="dxa"/>
              <w:end w:w="0" w:type="dxa"/>
            </w:tcMar>
          </w:tcPr>
          <w:p>
            <w:pPr>
              <w:autoSpaceDN w:val="0"/>
              <w:autoSpaceDE w:val="0"/>
              <w:widowControl/>
              <w:spacing w:line="197" w:lineRule="auto" w:before="28" w:after="0"/>
              <w:ind w:left="0" w:right="36" w:firstLine="0"/>
              <w:jc w:val="right"/>
            </w:pPr>
            <w:r>
              <w:rPr>
                <w:rFonts w:ascii="Calibri" w:hAnsi="Calibri" w:eastAsia="Calibri"/>
                <w:b w:val="0"/>
                <w:i w:val="0"/>
                <w:color w:val="000000"/>
                <w:sz w:val="14"/>
              </w:rPr>
              <w:t xml:space="preserve">- </w:t>
            </w:r>
          </w:p>
        </w:tc>
        <w:tc>
          <w:tcPr>
            <w:tcW w:type="dxa" w:w="1012"/>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14" w:after="0"/>
              <w:ind w:left="0" w:right="90" w:firstLine="0"/>
              <w:jc w:val="right"/>
            </w:pPr>
            <w:r>
              <w:rPr>
                <w:rFonts w:ascii="Arial" w:hAnsi="Arial" w:eastAsia="Arial"/>
                <w:b w:val="0"/>
                <w:i w:val="0"/>
                <w:color w:val="000000"/>
                <w:sz w:val="14"/>
              </w:rPr>
              <w:t>-</w:t>
            </w:r>
          </w:p>
        </w:tc>
        <w:tc>
          <w:tcPr>
            <w:tcW w:type="dxa" w:w="1098"/>
            <w:tcBorders/>
            <w:tcMar>
              <w:start w:w="0" w:type="dxa"/>
              <w:end w:w="0" w:type="dxa"/>
            </w:tcMar>
          </w:tcPr>
          <w:p>
            <w:pPr>
              <w:autoSpaceDN w:val="0"/>
              <w:autoSpaceDE w:val="0"/>
              <w:widowControl/>
              <w:spacing w:line="233" w:lineRule="auto" w:before="14" w:after="0"/>
              <w:ind w:left="0" w:right="0" w:firstLine="0"/>
              <w:jc w:val="right"/>
            </w:pPr>
            <w:r>
              <w:rPr>
                <w:rFonts w:ascii="Arial" w:hAnsi="Arial" w:eastAsia="Arial"/>
                <w:b w:val="0"/>
                <w:i w:val="0"/>
                <w:color w:val="000000"/>
                <w:sz w:val="14"/>
              </w:rPr>
              <w:t>-</w:t>
            </w:r>
          </w:p>
        </w:tc>
      </w:tr>
      <w:tr>
        <w:trPr>
          <w:trHeight w:hRule="exact" w:val="141"/>
        </w:trPr>
        <w:tc>
          <w:tcPr>
            <w:tcW w:type="dxa" w:w="1558"/>
            <w:tcBorders/>
            <w:tcMar>
              <w:start w:w="0" w:type="dxa"/>
              <w:end w:w="0" w:type="dxa"/>
            </w:tcMar>
          </w:tcPr>
          <w:p>
            <w:pPr>
              <w:autoSpaceDN w:val="0"/>
              <w:autoSpaceDE w:val="0"/>
              <w:widowControl/>
              <w:spacing w:line="138" w:lineRule="exact" w:before="4" w:after="0"/>
              <w:ind w:left="0" w:right="0" w:firstLine="0"/>
              <w:jc w:val="center"/>
            </w:pPr>
            <w:r>
              <w:rPr>
                <w:rFonts w:ascii="黑体" w:hAnsi="黑体" w:eastAsia="黑体"/>
                <w:b w:val="0"/>
                <w:i w:val="0"/>
                <w:color w:val="000000"/>
                <w:sz w:val="14"/>
              </w:rPr>
              <w:t>买入返售金融资产</w:t>
            </w:r>
          </w:p>
        </w:tc>
        <w:tc>
          <w:tcPr>
            <w:tcW w:type="dxa" w:w="1022"/>
            <w:vMerge w:val="restart"/>
            <w:tcBorders/>
            <w:tcMar>
              <w:start w:w="0" w:type="dxa"/>
              <w:end w:w="0" w:type="dxa"/>
            </w:tcMar>
            <w:tcMar>
              <w:start w:w="0" w:type="dxa"/>
              <w:end w:w="0" w:type="dxa"/>
            </w:tcMar>
          </w:tcPr>
          <w:p>
            <w:pPr>
              <w:autoSpaceDN w:val="0"/>
              <w:autoSpaceDE w:val="0"/>
              <w:widowControl/>
              <w:spacing w:line="233" w:lineRule="auto" w:before="16" w:after="0"/>
              <w:ind w:left="124" w:right="0" w:firstLine="0"/>
              <w:jc w:val="left"/>
            </w:pPr>
            <w:r>
              <w:rPr>
                <w:rFonts w:ascii="Arial" w:hAnsi="Arial" w:eastAsia="Arial"/>
                <w:b w:val="0"/>
                <w:i w:val="0"/>
                <w:color w:val="000000"/>
                <w:sz w:val="14"/>
              </w:rPr>
              <w:t>1,916,241,389</w:t>
            </w:r>
          </w:p>
        </w:tc>
        <w:tc>
          <w:tcPr>
            <w:tcW w:type="dxa" w:w="1200"/>
            <w:vMerge w:val="restart"/>
            <w:tcBorders/>
            <w:tcMar>
              <w:start w:w="0" w:type="dxa"/>
              <w:end w:w="0" w:type="dxa"/>
            </w:tcMar>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c>
          <w:tcPr>
            <w:tcW w:type="dxa" w:w="1300"/>
            <w:vMerge w:val="restart"/>
            <w:tcBorders/>
            <w:tcMar>
              <w:start w:w="0" w:type="dxa"/>
              <w:end w:w="0" w:type="dxa"/>
            </w:tcMar>
            <w:tcMar>
              <w:start w:w="0" w:type="dxa"/>
              <w:end w:w="0" w:type="dxa"/>
            </w:tcMar>
          </w:tcPr>
          <w:p>
            <w:pPr>
              <w:autoSpaceDN w:val="0"/>
              <w:autoSpaceDE w:val="0"/>
              <w:widowControl/>
              <w:spacing w:line="194" w:lineRule="auto" w:before="32" w:after="0"/>
              <w:ind w:left="0" w:right="36" w:firstLine="0"/>
              <w:jc w:val="right"/>
            </w:pPr>
            <w:r>
              <w:rPr>
                <w:rFonts w:ascii="Calibri" w:hAnsi="Calibri" w:eastAsia="Calibri"/>
                <w:b w:val="0"/>
                <w:i w:val="0"/>
                <w:color w:val="000000"/>
                <w:sz w:val="14"/>
              </w:rPr>
              <w:t xml:space="preserve">- </w:t>
            </w:r>
          </w:p>
        </w:tc>
        <w:tc>
          <w:tcPr>
            <w:tcW w:type="dxa" w:w="1012"/>
            <w:vMerge w:val="restart"/>
            <w:tcBorders/>
            <w:tcMar>
              <w:start w:w="0" w:type="dxa"/>
              <w:end w:w="0" w:type="dxa"/>
            </w:tcMar>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c>
          <w:tcPr>
            <w:tcW w:type="dxa" w:w="1308"/>
            <w:vMerge w:val="restart"/>
            <w:tcBorders/>
            <w:tcMar>
              <w:start w:w="0" w:type="dxa"/>
              <w:end w:w="0" w:type="dxa"/>
            </w:tcMar>
            <w:tcMar>
              <w:start w:w="0" w:type="dxa"/>
              <w:end w:w="0" w:type="dxa"/>
            </w:tcMar>
          </w:tcPr>
          <w:p>
            <w:pPr>
              <w:autoSpaceDN w:val="0"/>
              <w:autoSpaceDE w:val="0"/>
              <w:widowControl/>
              <w:spacing w:line="233" w:lineRule="auto" w:before="16" w:after="0"/>
              <w:ind w:left="0" w:right="90" w:firstLine="0"/>
              <w:jc w:val="right"/>
            </w:pPr>
            <w:r>
              <w:rPr>
                <w:rFonts w:ascii="Arial" w:hAnsi="Arial" w:eastAsia="Arial"/>
                <w:b w:val="0"/>
                <w:i w:val="0"/>
                <w:color w:val="000000"/>
                <w:sz w:val="14"/>
              </w:rPr>
              <w:t>-</w:t>
            </w:r>
          </w:p>
        </w:tc>
        <w:tc>
          <w:tcPr>
            <w:tcW w:type="dxa" w:w="1098"/>
            <w:vMerge w:val="restart"/>
            <w:tcBorders/>
            <w:tcMar>
              <w:start w:w="0" w:type="dxa"/>
              <w:end w:w="0" w:type="dxa"/>
            </w:tcMar>
            <w:tcMar>
              <w:start w:w="0" w:type="dxa"/>
              <w:end w:w="0" w:type="dxa"/>
            </w:tcMar>
          </w:tcPr>
          <w:p>
            <w:pPr>
              <w:autoSpaceDN w:val="0"/>
              <w:autoSpaceDE w:val="0"/>
              <w:widowControl/>
              <w:spacing w:line="233" w:lineRule="auto" w:before="16" w:after="0"/>
              <w:ind w:left="0" w:right="0" w:firstLine="0"/>
              <w:jc w:val="right"/>
            </w:pPr>
            <w:r>
              <w:rPr>
                <w:rFonts w:ascii="Arial" w:hAnsi="Arial" w:eastAsia="Arial"/>
                <w:b w:val="0"/>
                <w:i w:val="0"/>
                <w:color w:val="000000"/>
                <w:sz w:val="14"/>
              </w:rPr>
              <w:t>-</w:t>
            </w:r>
          </w:p>
        </w:tc>
      </w:tr>
      <w:tr>
        <w:trPr>
          <w:trHeight w:hRule="exact" w:val="42"/>
        </w:trPr>
        <w:tc>
          <w:tcPr>
            <w:tcW w:type="dxa" w:w="1558"/>
            <w:vMerge w:val="restart"/>
            <w:tcBorders/>
            <w:tcMar>
              <w:start w:w="0" w:type="dxa"/>
              <w:end w:w="0" w:type="dxa"/>
            </w:tcMar>
            <w:tcMar>
              <w:start w:w="0" w:type="dxa"/>
              <w:end w:w="0" w:type="dxa"/>
            </w:tcMar>
          </w:tcPr>
          <w:p>
            <w:pPr>
              <w:autoSpaceDN w:val="0"/>
              <w:autoSpaceDE w:val="0"/>
              <w:widowControl/>
              <w:spacing w:line="138" w:lineRule="exact" w:before="52" w:after="0"/>
              <w:ind w:left="198" w:right="0" w:firstLine="0"/>
              <w:jc w:val="left"/>
            </w:pPr>
            <w:r>
              <w:rPr>
                <w:rFonts w:ascii="黑体" w:hAnsi="黑体" w:eastAsia="黑体"/>
                <w:b w:val="0"/>
                <w:i w:val="0"/>
                <w:color w:val="000000"/>
                <w:sz w:val="14"/>
              </w:rPr>
              <w:t>应收款项</w:t>
            </w:r>
          </w:p>
        </w:tc>
        <w:tc>
          <w:tcPr>
            <w:tcW w:type="dxa" w:w="1288"/>
            <w:vMerge/>
            <w:tcBorders/>
          </w:tcPr>
          <w:p/>
        </w:tc>
        <w:tc>
          <w:tcPr>
            <w:tcW w:type="dxa" w:w="1288"/>
            <w:vMerge/>
            <w:tcBorders/>
          </w:tcPr>
          <w:p/>
        </w:tc>
        <w:tc>
          <w:tcPr>
            <w:tcW w:type="dxa" w:w="1288"/>
            <w:vMerge/>
            <w:tcBorders/>
          </w:tcPr>
          <w:p/>
        </w:tc>
        <w:tc>
          <w:tcPr>
            <w:tcW w:type="dxa" w:w="1288"/>
            <w:vMerge/>
            <w:tcBorders/>
          </w:tcPr>
          <w:p/>
        </w:tc>
        <w:tc>
          <w:tcPr>
            <w:tcW w:type="dxa" w:w="1288"/>
            <w:vMerge/>
            <w:tcBorders/>
          </w:tcPr>
          <w:p/>
        </w:tc>
        <w:tc>
          <w:tcPr>
            <w:tcW w:type="dxa" w:w="1288"/>
            <w:vMerge/>
            <w:tcBorders/>
          </w:tcPr>
          <w:p/>
        </w:tc>
      </w:tr>
      <w:tr>
        <w:trPr>
          <w:trHeight w:hRule="exact" w:val="158"/>
        </w:trPr>
        <w:tc>
          <w:tcPr>
            <w:tcW w:type="dxa" w:w="1288"/>
            <w:vMerge/>
            <w:tcBorders/>
          </w:tcPr>
          <w:p/>
        </w:tc>
        <w:tc>
          <w:tcPr>
            <w:tcW w:type="dxa" w:w="1022"/>
            <w:tcBorders/>
            <w:tcMar>
              <w:start w:w="0" w:type="dxa"/>
              <w:end w:w="0" w:type="dxa"/>
            </w:tcMar>
          </w:tcPr>
          <w:p>
            <w:pPr>
              <w:autoSpaceDN w:val="0"/>
              <w:autoSpaceDE w:val="0"/>
              <w:widowControl/>
              <w:spacing w:line="233" w:lineRule="auto" w:before="2" w:after="0"/>
              <w:ind w:left="240" w:right="0" w:firstLine="0"/>
              <w:jc w:val="left"/>
            </w:pPr>
            <w:r>
              <w:rPr>
                <w:rFonts w:ascii="Arial" w:hAnsi="Arial" w:eastAsia="Arial"/>
                <w:b w:val="0"/>
                <w:i w:val="0"/>
                <w:color w:val="000000"/>
                <w:sz w:val="14"/>
              </w:rPr>
              <w:t>120,309,332</w:t>
            </w:r>
          </w:p>
        </w:tc>
        <w:tc>
          <w:tcPr>
            <w:tcW w:type="dxa" w:w="120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c>
          <w:tcPr>
            <w:tcW w:type="dxa" w:w="1300"/>
            <w:tcBorders/>
            <w:tcMar>
              <w:start w:w="0" w:type="dxa"/>
              <w:end w:w="0" w:type="dxa"/>
            </w:tcMar>
          </w:tcPr>
          <w:p>
            <w:pPr>
              <w:autoSpaceDN w:val="0"/>
              <w:autoSpaceDE w:val="0"/>
              <w:widowControl/>
              <w:spacing w:line="194" w:lineRule="auto" w:before="20" w:after="0"/>
              <w:ind w:left="0" w:right="36" w:firstLine="0"/>
              <w:jc w:val="right"/>
            </w:pPr>
            <w:r>
              <w:rPr>
                <w:rFonts w:ascii="Calibri" w:hAnsi="Calibri" w:eastAsia="Calibri"/>
                <w:b w:val="0"/>
                <w:i w:val="0"/>
                <w:color w:val="000000"/>
                <w:sz w:val="14"/>
              </w:rPr>
              <w:t xml:space="preserve">- </w:t>
            </w:r>
          </w:p>
        </w:tc>
        <w:tc>
          <w:tcPr>
            <w:tcW w:type="dxa" w:w="1012"/>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3" w:lineRule="auto" w:before="2" w:after="0"/>
              <w:ind w:left="0" w:right="90" w:firstLine="0"/>
              <w:jc w:val="right"/>
            </w:pPr>
            <w:r>
              <w:rPr>
                <w:rFonts w:ascii="Arial" w:hAnsi="Arial" w:eastAsia="Arial"/>
                <w:b w:val="0"/>
                <w:i w:val="0"/>
                <w:color w:val="000000"/>
                <w:sz w:val="14"/>
              </w:rPr>
              <w:t>-</w:t>
            </w:r>
          </w:p>
        </w:tc>
        <w:tc>
          <w:tcPr>
            <w:tcW w:type="dxa" w:w="1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40" w:lineRule="exact" w:before="32" w:after="0"/>
              <w:ind w:left="198" w:right="0" w:firstLine="0"/>
              <w:jc w:val="left"/>
            </w:pPr>
            <w:r>
              <w:rPr>
                <w:rFonts w:ascii="黑体" w:hAnsi="黑体" w:eastAsia="黑体"/>
                <w:b w:val="0"/>
                <w:i w:val="0"/>
                <w:color w:val="000000"/>
                <w:sz w:val="14"/>
              </w:rPr>
              <w:t>存出保证金</w:t>
            </w:r>
          </w:p>
        </w:tc>
        <w:tc>
          <w:tcPr>
            <w:tcW w:type="dxa" w:w="1022"/>
            <w:tcBorders/>
            <w:tcMar>
              <w:start w:w="0" w:type="dxa"/>
              <w:end w:w="0" w:type="dxa"/>
            </w:tcMar>
          </w:tcPr>
          <w:p>
            <w:pPr>
              <w:autoSpaceDN w:val="0"/>
              <w:autoSpaceDE w:val="0"/>
              <w:widowControl/>
              <w:spacing w:line="230" w:lineRule="auto" w:before="26" w:after="0"/>
              <w:ind w:left="124" w:right="0" w:firstLine="0"/>
              <w:jc w:val="left"/>
            </w:pPr>
            <w:r>
              <w:rPr>
                <w:rFonts w:ascii="Arial" w:hAnsi="Arial" w:eastAsia="Arial"/>
                <w:b w:val="0"/>
                <w:i w:val="0"/>
                <w:color w:val="000000"/>
                <w:sz w:val="14"/>
              </w:rPr>
              <w:t>4,229,434,331</w:t>
            </w:r>
          </w:p>
        </w:tc>
        <w:tc>
          <w:tcPr>
            <w:tcW w:type="dxa" w:w="1200"/>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c>
          <w:tcPr>
            <w:tcW w:type="dxa" w:w="1300"/>
            <w:tcBorders/>
            <w:tcMar>
              <w:start w:w="0" w:type="dxa"/>
              <w:end w:w="0" w:type="dxa"/>
            </w:tcMar>
          </w:tcPr>
          <w:p>
            <w:pPr>
              <w:autoSpaceDN w:val="0"/>
              <w:autoSpaceDE w:val="0"/>
              <w:widowControl/>
              <w:spacing w:line="197" w:lineRule="auto" w:before="40" w:after="0"/>
              <w:ind w:left="0" w:right="36" w:firstLine="0"/>
              <w:jc w:val="right"/>
            </w:pPr>
            <w:r>
              <w:rPr>
                <w:rFonts w:ascii="Calibri" w:hAnsi="Calibri" w:eastAsia="Calibri"/>
                <w:b w:val="0"/>
                <w:i w:val="0"/>
                <w:color w:val="000000"/>
                <w:sz w:val="14"/>
              </w:rPr>
              <w:t xml:space="preserve">- </w:t>
            </w:r>
          </w:p>
        </w:tc>
        <w:tc>
          <w:tcPr>
            <w:tcW w:type="dxa" w:w="1012"/>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c>
          <w:tcPr>
            <w:tcW w:type="dxa" w:w="1308"/>
            <w:tcBorders/>
            <w:tcMar>
              <w:start w:w="0" w:type="dxa"/>
              <w:end w:w="0" w:type="dxa"/>
            </w:tcMar>
          </w:tcPr>
          <w:p>
            <w:pPr>
              <w:autoSpaceDN w:val="0"/>
              <w:autoSpaceDE w:val="0"/>
              <w:widowControl/>
              <w:spacing w:line="230" w:lineRule="auto" w:before="26" w:after="0"/>
              <w:ind w:left="0" w:right="90" w:firstLine="0"/>
              <w:jc w:val="right"/>
            </w:pPr>
            <w:r>
              <w:rPr>
                <w:rFonts w:ascii="Arial" w:hAnsi="Arial" w:eastAsia="Arial"/>
                <w:b w:val="0"/>
                <w:i w:val="0"/>
                <w:color w:val="000000"/>
                <w:sz w:val="14"/>
              </w:rPr>
              <w:t>-</w:t>
            </w:r>
          </w:p>
        </w:tc>
        <w:tc>
          <w:tcPr>
            <w:tcW w:type="dxa" w:w="1098"/>
            <w:tcBorders/>
            <w:tcMar>
              <w:start w:w="0" w:type="dxa"/>
              <w:end w:w="0" w:type="dxa"/>
            </w:tcMar>
          </w:tcPr>
          <w:p>
            <w:pPr>
              <w:autoSpaceDN w:val="0"/>
              <w:autoSpaceDE w:val="0"/>
              <w:widowControl/>
              <w:spacing w:line="230" w:lineRule="auto" w:before="26" w:after="0"/>
              <w:ind w:left="0" w:right="0" w:firstLine="0"/>
              <w:jc w:val="right"/>
            </w:pPr>
            <w:r>
              <w:rPr>
                <w:rFonts w:ascii="Arial" w:hAnsi="Arial" w:eastAsia="Arial"/>
                <w:b w:val="0"/>
                <w:i w:val="0"/>
                <w:color w:val="000000"/>
                <w:sz w:val="14"/>
              </w:rPr>
              <w:t>-</w:t>
            </w:r>
          </w:p>
        </w:tc>
      </w:tr>
      <w:tr>
        <w:trPr>
          <w:trHeight w:hRule="exact" w:val="206"/>
        </w:trPr>
        <w:tc>
          <w:tcPr>
            <w:tcW w:type="dxa" w:w="1558"/>
            <w:tcBorders/>
            <w:tcMar>
              <w:start w:w="0" w:type="dxa"/>
              <w:end w:w="0" w:type="dxa"/>
            </w:tcMar>
          </w:tcPr>
          <w:p>
            <w:pPr>
              <w:autoSpaceDN w:val="0"/>
              <w:autoSpaceDE w:val="0"/>
              <w:widowControl/>
              <w:spacing w:line="140" w:lineRule="exact" w:before="34" w:after="0"/>
              <w:ind w:left="198" w:right="0" w:firstLine="0"/>
              <w:jc w:val="left"/>
            </w:pPr>
            <w:r>
              <w:rPr>
                <w:rFonts w:ascii="黑体" w:hAnsi="黑体" w:eastAsia="黑体"/>
                <w:b w:val="0"/>
                <w:i w:val="0"/>
                <w:color w:val="000000"/>
                <w:sz w:val="14"/>
              </w:rPr>
              <w:t>衍生金融资产</w:t>
            </w:r>
          </w:p>
        </w:tc>
        <w:tc>
          <w:tcPr>
            <w:tcW w:type="dxa" w:w="1022"/>
            <w:tcBorders/>
            <w:tcMar>
              <w:start w:w="0" w:type="dxa"/>
              <w:end w:w="0" w:type="dxa"/>
            </w:tcMar>
          </w:tcPr>
          <w:p>
            <w:pPr>
              <w:autoSpaceDN w:val="0"/>
              <w:autoSpaceDE w:val="0"/>
              <w:widowControl/>
              <w:spacing w:line="233" w:lineRule="auto" w:before="40" w:after="0"/>
              <w:ind w:left="0" w:right="2" w:firstLine="0"/>
              <w:jc w:val="right"/>
            </w:pPr>
            <w:r>
              <w:rPr>
                <w:rFonts w:ascii="Arial" w:hAnsi="Arial" w:eastAsia="Arial"/>
                <w:b w:val="0"/>
                <w:i w:val="0"/>
                <w:color w:val="000000"/>
                <w:sz w:val="14"/>
              </w:rPr>
              <w:t>-</w:t>
            </w:r>
          </w:p>
        </w:tc>
        <w:tc>
          <w:tcPr>
            <w:tcW w:type="dxa" w:w="1200"/>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14"/>
              </w:rPr>
              <w:t>-</w:t>
            </w:r>
          </w:p>
        </w:tc>
        <w:tc>
          <w:tcPr>
            <w:tcW w:type="dxa" w:w="1300"/>
            <w:tcBorders/>
            <w:tcMar>
              <w:start w:w="0" w:type="dxa"/>
              <w:end w:w="0" w:type="dxa"/>
            </w:tcMar>
          </w:tcPr>
          <w:p>
            <w:pPr>
              <w:autoSpaceDN w:val="0"/>
              <w:autoSpaceDE w:val="0"/>
              <w:widowControl/>
              <w:spacing w:line="197" w:lineRule="auto" w:before="54" w:after="0"/>
              <w:ind w:left="0" w:right="36" w:firstLine="0"/>
              <w:jc w:val="right"/>
            </w:pPr>
            <w:r>
              <w:rPr>
                <w:rFonts w:ascii="Calibri" w:hAnsi="Calibri" w:eastAsia="Calibri"/>
                <w:b w:val="0"/>
                <w:i w:val="0"/>
                <w:color w:val="000000"/>
                <w:sz w:val="14"/>
              </w:rPr>
              <w:t xml:space="preserve">- </w:t>
            </w:r>
          </w:p>
        </w:tc>
        <w:tc>
          <w:tcPr>
            <w:tcW w:type="dxa" w:w="1012"/>
            <w:tcBorders/>
            <w:tcMar>
              <w:start w:w="0" w:type="dxa"/>
              <w:end w:w="0" w:type="dxa"/>
            </w:tcMar>
          </w:tcPr>
          <w:p>
            <w:pPr>
              <w:autoSpaceDN w:val="0"/>
              <w:autoSpaceDE w:val="0"/>
              <w:widowControl/>
              <w:spacing w:line="233" w:lineRule="auto" w:before="40" w:after="0"/>
              <w:ind w:left="234" w:right="0" w:firstLine="0"/>
              <w:jc w:val="left"/>
            </w:pPr>
            <w:r>
              <w:rPr>
                <w:rFonts w:ascii="Arial" w:hAnsi="Arial" w:eastAsia="Arial"/>
                <w:b w:val="0"/>
                <w:i w:val="0"/>
                <w:color w:val="000000"/>
                <w:sz w:val="14"/>
              </w:rPr>
              <w:t>171,766,410</w:t>
            </w:r>
          </w:p>
        </w:tc>
        <w:tc>
          <w:tcPr>
            <w:tcW w:type="dxa" w:w="1308"/>
            <w:tcBorders/>
            <w:tcMar>
              <w:start w:w="0" w:type="dxa"/>
              <w:end w:w="0" w:type="dxa"/>
            </w:tcMar>
          </w:tcPr>
          <w:p>
            <w:pPr>
              <w:autoSpaceDN w:val="0"/>
              <w:autoSpaceDE w:val="0"/>
              <w:widowControl/>
              <w:spacing w:line="233" w:lineRule="auto" w:before="40" w:after="0"/>
              <w:ind w:left="0" w:right="90" w:firstLine="0"/>
              <w:jc w:val="right"/>
            </w:pPr>
            <w:r>
              <w:rPr>
                <w:rFonts w:ascii="Arial" w:hAnsi="Arial" w:eastAsia="Arial"/>
                <w:b w:val="0"/>
                <w:i w:val="0"/>
                <w:color w:val="000000"/>
                <w:sz w:val="14"/>
              </w:rPr>
              <w:t>-</w:t>
            </w:r>
          </w:p>
        </w:tc>
        <w:tc>
          <w:tcPr>
            <w:tcW w:type="dxa" w:w="1098"/>
            <w:tcBorders/>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14"/>
              </w:rPr>
              <w:t>-</w:t>
            </w:r>
          </w:p>
        </w:tc>
      </w:tr>
    </w:tbl>
    <w:p>
      <w:pPr>
        <w:autoSpaceDN w:val="0"/>
        <w:autoSpaceDE w:val="0"/>
        <w:widowControl/>
        <w:spacing w:line="140" w:lineRule="exact" w:before="4" w:after="20"/>
        <w:ind w:left="358" w:right="0" w:firstLine="0"/>
        <w:jc w:val="left"/>
      </w:pPr>
      <w:r>
        <w:rPr>
          <w:rFonts w:ascii="黑体" w:hAnsi="黑体" w:eastAsia="黑体"/>
          <w:b w:val="0"/>
          <w:i w:val="0"/>
          <w:color w:val="000000"/>
          <w:sz w:val="14"/>
        </w:rPr>
        <w:t>金融投资</w:t>
      </w:r>
    </w:p>
    <w:tbl>
      <w:tblPr>
        <w:tblW w:type="auto" w:w="0"/>
        <w:tblLayout w:type="fixed"/>
        <w:tblLook w:firstColumn="1" w:firstRow="1" w:lastColumn="0" w:lastRow="0" w:noHBand="0" w:noVBand="1" w:val="04A0"/>
        <w:tblInd w:w="160.0" w:type="dxa"/>
      </w:tblPr>
      <w:tblGrid>
        <w:gridCol w:w="1288"/>
        <w:gridCol w:w="1288"/>
        <w:gridCol w:w="1288"/>
        <w:gridCol w:w="1288"/>
        <w:gridCol w:w="1288"/>
        <w:gridCol w:w="1288"/>
        <w:gridCol w:w="1288"/>
      </w:tblGrid>
      <w:tr>
        <w:trPr>
          <w:trHeight w:hRule="exact" w:val="164"/>
        </w:trPr>
        <w:tc>
          <w:tcPr>
            <w:tcW w:type="dxa" w:w="1558"/>
            <w:tcBorders/>
            <w:tcMar>
              <w:start w:w="0" w:type="dxa"/>
              <w:end w:w="0" w:type="dxa"/>
            </w:tcMar>
          </w:tcPr>
          <w:p>
            <w:pPr>
              <w:autoSpaceDN w:val="0"/>
              <w:autoSpaceDE w:val="0"/>
              <w:widowControl/>
              <w:spacing w:line="140" w:lineRule="exact" w:before="20" w:after="0"/>
              <w:ind w:left="338" w:right="0" w:firstLine="0"/>
              <w:jc w:val="left"/>
            </w:pPr>
            <w:r>
              <w:rPr>
                <w:rFonts w:ascii="黑体" w:hAnsi="黑体" w:eastAsia="黑体"/>
                <w:b w:val="0"/>
                <w:i w:val="0"/>
                <w:color w:val="000000"/>
                <w:sz w:val="14"/>
              </w:rPr>
              <w:t>交易性金融资产</w:t>
            </w:r>
          </w:p>
        </w:tc>
        <w:tc>
          <w:tcPr>
            <w:tcW w:type="dxa" w:w="1022"/>
            <w:tcBorders/>
            <w:tcMar>
              <w:start w:w="0" w:type="dxa"/>
              <w:end w:w="0" w:type="dxa"/>
            </w:tcMar>
          </w:tcPr>
          <w:p>
            <w:pPr>
              <w:autoSpaceDN w:val="0"/>
              <w:autoSpaceDE w:val="0"/>
              <w:widowControl/>
              <w:spacing w:line="233" w:lineRule="auto" w:before="8" w:after="0"/>
              <w:ind w:left="0" w:right="2" w:firstLine="0"/>
              <w:jc w:val="right"/>
            </w:pPr>
            <w:r>
              <w:rPr>
                <w:rFonts w:ascii="Arial" w:hAnsi="Arial" w:eastAsia="Arial"/>
                <w:b w:val="0"/>
                <w:i w:val="0"/>
                <w:color w:val="000000"/>
                <w:sz w:val="14"/>
              </w:rPr>
              <w:t>-</w:t>
            </w:r>
          </w:p>
        </w:tc>
        <w:tc>
          <w:tcPr>
            <w:tcW w:type="dxa" w:w="1216"/>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4"/>
              </w:rPr>
              <w:t>-</w:t>
            </w:r>
          </w:p>
        </w:tc>
        <w:tc>
          <w:tcPr>
            <w:tcW w:type="dxa" w:w="2296"/>
            <w:gridSpan w:val="2"/>
            <w:tcBorders/>
            <w:tcMar>
              <w:start w:w="0" w:type="dxa"/>
              <w:end w:w="0" w:type="dxa"/>
            </w:tcMar>
            <w:tcMar>
              <w:start w:w="0" w:type="dxa"/>
              <w:end w:w="0" w:type="dxa"/>
            </w:tcMar>
          </w:tcPr>
          <w:p>
            <w:pPr>
              <w:autoSpaceDN w:val="0"/>
              <w:autoSpaceDE w:val="0"/>
              <w:widowControl/>
              <w:spacing w:line="221" w:lineRule="auto" w:before="8" w:after="0"/>
              <w:ind w:left="0" w:right="4" w:firstLine="0"/>
              <w:jc w:val="right"/>
            </w:pPr>
            <w:r>
              <w:rPr>
                <w:rFonts w:ascii="Calibri" w:hAnsi="Calibri" w:eastAsia="Calibri"/>
                <w:b w:val="0"/>
                <w:i w:val="0"/>
                <w:color w:val="000000"/>
                <w:sz w:val="14"/>
              </w:rPr>
              <w:t xml:space="preserve">- </w:t>
            </w:r>
            <w:r>
              <w:rPr>
                <w:rFonts w:ascii="Arial" w:hAnsi="Arial" w:eastAsia="Arial"/>
                <w:b w:val="0"/>
                <w:i w:val="0"/>
                <w:color w:val="000000"/>
                <w:sz w:val="14"/>
              </w:rPr>
              <w:t>36,922,114,301</w:t>
            </w:r>
          </w:p>
        </w:tc>
        <w:tc>
          <w:tcPr>
            <w:tcW w:type="dxa" w:w="121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4"/>
              </w:rPr>
              <w:t>-</w:t>
            </w:r>
          </w:p>
        </w:tc>
        <w:tc>
          <w:tcPr>
            <w:tcW w:type="dxa" w:w="1188"/>
            <w:tcBorders/>
            <w:tcMar>
              <w:start w:w="0" w:type="dxa"/>
              <w:end w:w="0" w:type="dxa"/>
            </w:tcMar>
          </w:tcPr>
          <w:p>
            <w:pPr>
              <w:autoSpaceDN w:val="0"/>
              <w:autoSpaceDE w:val="0"/>
              <w:widowControl/>
              <w:spacing w:line="233" w:lineRule="auto" w:before="8"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40" w:after="0"/>
              <w:ind w:left="338" w:right="0" w:firstLine="0"/>
              <w:jc w:val="left"/>
            </w:pPr>
            <w:r>
              <w:rPr>
                <w:rFonts w:ascii="黑体" w:hAnsi="黑体" w:eastAsia="黑体"/>
                <w:b w:val="0"/>
                <w:i w:val="0"/>
                <w:color w:val="000000"/>
                <w:sz w:val="14"/>
              </w:rPr>
              <w:t>债权投资</w:t>
            </w:r>
          </w:p>
        </w:tc>
        <w:tc>
          <w:tcPr>
            <w:tcW w:type="dxa" w:w="1022"/>
            <w:tcBorders/>
            <w:tcMar>
              <w:start w:w="0" w:type="dxa"/>
              <w:end w:w="0" w:type="dxa"/>
            </w:tcMar>
          </w:tcPr>
          <w:p>
            <w:pPr>
              <w:autoSpaceDN w:val="0"/>
              <w:autoSpaceDE w:val="0"/>
              <w:widowControl/>
              <w:spacing w:line="233" w:lineRule="auto" w:before="24" w:after="0"/>
              <w:ind w:left="0" w:right="6" w:firstLine="0"/>
              <w:jc w:val="right"/>
            </w:pPr>
            <w:r>
              <w:rPr>
                <w:rFonts w:ascii="Arial" w:hAnsi="Arial" w:eastAsia="Arial"/>
                <w:b w:val="0"/>
                <w:i w:val="0"/>
                <w:color w:val="000000"/>
                <w:sz w:val="14"/>
              </w:rPr>
              <w:t>29,141,162</w:t>
            </w:r>
          </w:p>
        </w:tc>
        <w:tc>
          <w:tcPr>
            <w:tcW w:type="dxa" w:w="1216"/>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744"/>
            <w:tcBorders/>
            <w:tcMar>
              <w:start w:w="0" w:type="dxa"/>
              <w:end w:w="0" w:type="dxa"/>
            </w:tcMar>
          </w:tcPr>
          <w:p>
            <w:pPr>
              <w:autoSpaceDN w:val="0"/>
              <w:autoSpaceDE w:val="0"/>
              <w:widowControl/>
              <w:spacing w:line="197" w:lineRule="auto" w:before="40" w:after="0"/>
              <w:ind w:left="0" w:right="496" w:firstLine="0"/>
              <w:jc w:val="right"/>
            </w:pPr>
            <w:r>
              <w:rPr>
                <w:rFonts w:ascii="Calibri" w:hAnsi="Calibri" w:eastAsia="Calibri"/>
                <w:b w:val="0"/>
                <w:i w:val="0"/>
                <w:color w:val="000000"/>
                <w:sz w:val="14"/>
              </w:rPr>
              <w:t xml:space="preserve">- </w:t>
            </w:r>
          </w:p>
        </w:tc>
        <w:tc>
          <w:tcPr>
            <w:tcW w:type="dxa" w:w="552"/>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1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8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180"/>
        </w:trPr>
        <w:tc>
          <w:tcPr>
            <w:tcW w:type="dxa" w:w="1558"/>
            <w:tcBorders/>
            <w:tcMar>
              <w:start w:w="0" w:type="dxa"/>
              <w:end w:w="0" w:type="dxa"/>
            </w:tcMar>
          </w:tcPr>
          <w:p>
            <w:pPr>
              <w:autoSpaceDN w:val="0"/>
              <w:autoSpaceDE w:val="0"/>
              <w:widowControl/>
              <w:spacing w:line="138" w:lineRule="exact" w:before="42" w:after="0"/>
              <w:ind w:left="0" w:right="0" w:firstLine="0"/>
              <w:jc w:val="center"/>
            </w:pPr>
            <w:r>
              <w:rPr>
                <w:rFonts w:ascii="黑体" w:hAnsi="黑体" w:eastAsia="黑体"/>
                <w:b w:val="0"/>
                <w:i w:val="0"/>
                <w:color w:val="000000"/>
                <w:sz w:val="14"/>
              </w:rPr>
              <w:t>其他债权投资</w:t>
            </w:r>
          </w:p>
        </w:tc>
        <w:tc>
          <w:tcPr>
            <w:tcW w:type="dxa" w:w="1022"/>
            <w:tcBorders/>
            <w:tcMar>
              <w:start w:w="0" w:type="dxa"/>
              <w:end w:w="0" w:type="dxa"/>
            </w:tcMar>
          </w:tcPr>
          <w:p>
            <w:pPr>
              <w:autoSpaceDN w:val="0"/>
              <w:autoSpaceDE w:val="0"/>
              <w:widowControl/>
              <w:spacing w:line="233" w:lineRule="auto" w:before="24" w:after="0"/>
              <w:ind w:left="0" w:right="2" w:firstLine="0"/>
              <w:jc w:val="right"/>
            </w:pPr>
            <w:r>
              <w:rPr>
                <w:rFonts w:ascii="Arial" w:hAnsi="Arial" w:eastAsia="Arial"/>
                <w:b w:val="0"/>
                <w:i w:val="0"/>
                <w:color w:val="000000"/>
                <w:sz w:val="14"/>
              </w:rPr>
              <w:t>-</w:t>
            </w:r>
          </w:p>
        </w:tc>
        <w:tc>
          <w:tcPr>
            <w:tcW w:type="dxa" w:w="1216"/>
            <w:tcBorders/>
            <w:tcMar>
              <w:start w:w="0" w:type="dxa"/>
              <w:end w:w="0" w:type="dxa"/>
            </w:tcMar>
          </w:tcPr>
          <w:p>
            <w:pPr>
              <w:autoSpaceDN w:val="0"/>
              <w:autoSpaceDE w:val="0"/>
              <w:widowControl/>
              <w:spacing w:line="233" w:lineRule="auto" w:before="24" w:after="0"/>
              <w:ind w:left="0" w:right="2" w:firstLine="0"/>
              <w:jc w:val="right"/>
            </w:pPr>
            <w:r>
              <w:rPr>
                <w:rFonts w:ascii="Arial" w:hAnsi="Arial" w:eastAsia="Arial"/>
                <w:b w:val="0"/>
                <w:i w:val="0"/>
                <w:color w:val="000000"/>
                <w:sz w:val="14"/>
              </w:rPr>
              <w:t>89,867,451</w:t>
            </w:r>
          </w:p>
        </w:tc>
        <w:tc>
          <w:tcPr>
            <w:tcW w:type="dxa" w:w="1744"/>
            <w:tcBorders/>
            <w:tcMar>
              <w:start w:w="0" w:type="dxa"/>
              <w:end w:w="0" w:type="dxa"/>
            </w:tcMar>
          </w:tcPr>
          <w:p>
            <w:pPr>
              <w:autoSpaceDN w:val="0"/>
              <w:autoSpaceDE w:val="0"/>
              <w:widowControl/>
              <w:spacing w:line="194" w:lineRule="auto" w:before="42" w:after="0"/>
              <w:ind w:left="0" w:right="496" w:firstLine="0"/>
              <w:jc w:val="right"/>
            </w:pPr>
            <w:r>
              <w:rPr>
                <w:rFonts w:ascii="Calibri" w:hAnsi="Calibri" w:eastAsia="Calibri"/>
                <w:b w:val="0"/>
                <w:i w:val="0"/>
                <w:color w:val="000000"/>
                <w:sz w:val="14"/>
              </w:rPr>
              <w:t xml:space="preserve">- </w:t>
            </w:r>
          </w:p>
        </w:tc>
        <w:tc>
          <w:tcPr>
            <w:tcW w:type="dxa" w:w="552"/>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21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c>
          <w:tcPr>
            <w:tcW w:type="dxa" w:w="1188"/>
            <w:tcBorders/>
            <w:tcMar>
              <w:start w:w="0" w:type="dxa"/>
              <w:end w:w="0" w:type="dxa"/>
            </w:tcMar>
          </w:tcPr>
          <w:p>
            <w:pPr>
              <w:autoSpaceDN w:val="0"/>
              <w:autoSpaceDE w:val="0"/>
              <w:widowControl/>
              <w:spacing w:line="233" w:lineRule="auto" w:before="24" w:after="0"/>
              <w:ind w:left="0" w:right="0" w:firstLine="0"/>
              <w:jc w:val="right"/>
            </w:pPr>
            <w:r>
              <w:rPr>
                <w:rFonts w:ascii="Arial" w:hAnsi="Arial" w:eastAsia="Arial"/>
                <w:b w:val="0"/>
                <w:i w:val="0"/>
                <w:color w:val="000000"/>
                <w:sz w:val="14"/>
              </w:rPr>
              <w:t>-</w:t>
            </w:r>
          </w:p>
        </w:tc>
      </w:tr>
      <w:tr>
        <w:trPr>
          <w:trHeight w:hRule="exact" w:val="215"/>
        </w:trPr>
        <w:tc>
          <w:tcPr>
            <w:tcW w:type="dxa" w:w="1558"/>
            <w:tcBorders/>
            <w:tcMar>
              <w:start w:w="0" w:type="dxa"/>
              <w:end w:w="0" w:type="dxa"/>
            </w:tcMar>
          </w:tcPr>
          <w:p>
            <w:pPr>
              <w:autoSpaceDN w:val="0"/>
              <w:autoSpaceDE w:val="0"/>
              <w:widowControl/>
              <w:spacing w:line="138" w:lineRule="exact" w:before="42" w:after="0"/>
              <w:ind w:left="338" w:right="0" w:firstLine="0"/>
              <w:jc w:val="left"/>
            </w:pPr>
            <w:r>
              <w:rPr>
                <w:rFonts w:ascii="黑体" w:hAnsi="黑体" w:eastAsia="黑体"/>
                <w:b w:val="0"/>
                <w:i w:val="0"/>
                <w:color w:val="000000"/>
                <w:sz w:val="14"/>
              </w:rPr>
              <w:t>其他权益工具投资</w:t>
            </w:r>
          </w:p>
        </w:tc>
        <w:tc>
          <w:tcPr>
            <w:tcW w:type="dxa" w:w="1022"/>
            <w:tcBorders/>
            <w:tcMar>
              <w:start w:w="0" w:type="dxa"/>
              <w:end w:w="0" w:type="dxa"/>
            </w:tcMar>
          </w:tcPr>
          <w:p>
            <w:pPr>
              <w:autoSpaceDN w:val="0"/>
              <w:autoSpaceDE w:val="0"/>
              <w:widowControl/>
              <w:spacing w:line="230" w:lineRule="auto" w:before="48" w:after="0"/>
              <w:ind w:left="0" w:right="2" w:firstLine="0"/>
              <w:jc w:val="right"/>
            </w:pPr>
            <w:r>
              <w:rPr>
                <w:rFonts w:ascii="Arial" w:hAnsi="Arial" w:eastAsia="Arial"/>
                <w:b w:val="0"/>
                <w:i w:val="0"/>
                <w:color w:val="000000"/>
                <w:sz w:val="14"/>
              </w:rPr>
              <w:t>-</w:t>
            </w:r>
          </w:p>
        </w:tc>
        <w:tc>
          <w:tcPr>
            <w:tcW w:type="dxa" w:w="1216"/>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744"/>
            <w:tcBorders/>
            <w:tcMar>
              <w:start w:w="0" w:type="dxa"/>
              <w:end w:w="0" w:type="dxa"/>
            </w:tcMar>
          </w:tcPr>
          <w:p>
            <w:pPr>
              <w:autoSpaceDN w:val="0"/>
              <w:autoSpaceDE w:val="0"/>
              <w:widowControl/>
              <w:spacing w:line="194" w:lineRule="auto" w:before="62" w:after="0"/>
              <w:ind w:left="0" w:right="0" w:firstLine="0"/>
              <w:jc w:val="center"/>
            </w:pPr>
            <w:r>
              <w:rPr>
                <w:rFonts w:ascii="Calibri" w:hAnsi="Calibri" w:eastAsia="Calibri"/>
                <w:b w:val="0"/>
                <w:i w:val="0"/>
                <w:color w:val="000000"/>
                <w:sz w:val="14"/>
              </w:rPr>
              <w:t xml:space="preserve">235,315,501 </w:t>
            </w:r>
          </w:p>
        </w:tc>
        <w:tc>
          <w:tcPr>
            <w:tcW w:type="dxa" w:w="552"/>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218"/>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c>
          <w:tcPr>
            <w:tcW w:type="dxa" w:w="1188"/>
            <w:tcBorders/>
            <w:tcMar>
              <w:start w:w="0" w:type="dxa"/>
              <w:end w:w="0" w:type="dxa"/>
            </w:tcMar>
          </w:tcPr>
          <w:p>
            <w:pPr>
              <w:autoSpaceDN w:val="0"/>
              <w:autoSpaceDE w:val="0"/>
              <w:widowControl/>
              <w:spacing w:line="230" w:lineRule="auto" w:before="48" w:after="0"/>
              <w:ind w:left="0" w:right="0" w:firstLine="0"/>
              <w:jc w:val="right"/>
            </w:pPr>
            <w:r>
              <w:rPr>
                <w:rFonts w:ascii="Arial" w:hAnsi="Arial" w:eastAsia="Arial"/>
                <w:b w:val="0"/>
                <w:i w:val="0"/>
                <w:color w:val="000000"/>
                <w:sz w:val="14"/>
              </w:rPr>
              <w:t>-</w:t>
            </w:r>
          </w:p>
        </w:tc>
      </w:tr>
      <w:tr>
        <w:trPr>
          <w:trHeight w:hRule="exact" w:val="175"/>
        </w:trPr>
        <w:tc>
          <w:tcPr>
            <w:tcW w:type="dxa" w:w="1558"/>
            <w:tcBorders>
              <w:bottom w:sz="4.0" w:val="single" w:color="#000000"/>
            </w:tcBorders>
            <w:tcMar>
              <w:start w:w="0" w:type="dxa"/>
              <w:end w:w="0" w:type="dxa"/>
            </w:tcMar>
          </w:tcPr>
          <w:p>
            <w:pPr>
              <w:autoSpaceDN w:val="0"/>
              <w:autoSpaceDE w:val="0"/>
              <w:widowControl/>
              <w:spacing w:line="140" w:lineRule="exact" w:before="10" w:after="0"/>
              <w:ind w:left="198" w:right="0" w:firstLine="0"/>
              <w:jc w:val="left"/>
            </w:pPr>
            <w:r>
              <w:rPr>
                <w:rFonts w:ascii="黑体" w:hAnsi="黑体" w:eastAsia="黑体"/>
                <w:b w:val="0"/>
                <w:i w:val="0"/>
                <w:color w:val="000000"/>
                <w:sz w:val="14"/>
              </w:rPr>
              <w:t>其他金融资产</w:t>
            </w:r>
          </w:p>
        </w:tc>
        <w:tc>
          <w:tcPr>
            <w:tcW w:type="dxa" w:w="1022"/>
            <w:tcBorders>
              <w:bottom w:sz="4.0" w:val="single" w:color="#000000"/>
            </w:tcBorders>
            <w:tcMar>
              <w:start w:w="0" w:type="dxa"/>
              <w:end w:w="0" w:type="dxa"/>
            </w:tcMar>
          </w:tcPr>
          <w:p>
            <w:pPr>
              <w:autoSpaceDN w:val="0"/>
              <w:autoSpaceDE w:val="0"/>
              <w:widowControl/>
              <w:spacing w:line="230" w:lineRule="auto" w:before="16" w:after="0"/>
              <w:ind w:left="240" w:right="0" w:firstLine="0"/>
              <w:jc w:val="left"/>
            </w:pPr>
            <w:r>
              <w:rPr>
                <w:rFonts w:ascii="Arial" w:hAnsi="Arial" w:eastAsia="Arial"/>
                <w:b w:val="0"/>
                <w:i w:val="0"/>
                <w:color w:val="000000"/>
                <w:sz w:val="14"/>
              </w:rPr>
              <w:t>170,975,630</w:t>
            </w:r>
          </w:p>
        </w:tc>
        <w:tc>
          <w:tcPr>
            <w:tcW w:type="dxa" w:w="1216"/>
            <w:tcBorders>
              <w:bottom w:sz="4.0" w:val="single" w:color="#000000"/>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744"/>
            <w:tcBorders>
              <w:bottom w:sz="4.0" w:val="single" w:color="#000000"/>
            </w:tcBorders>
            <w:tcMar>
              <w:start w:w="0" w:type="dxa"/>
              <w:end w:w="0" w:type="dxa"/>
            </w:tcMar>
          </w:tcPr>
          <w:p>
            <w:pPr>
              <w:autoSpaceDN w:val="0"/>
              <w:autoSpaceDE w:val="0"/>
              <w:widowControl/>
              <w:spacing w:line="194" w:lineRule="auto" w:before="28" w:after="0"/>
              <w:ind w:left="0" w:right="496" w:firstLine="0"/>
              <w:jc w:val="right"/>
            </w:pPr>
            <w:r>
              <w:rPr>
                <w:rFonts w:ascii="Calibri" w:hAnsi="Calibri" w:eastAsia="Calibri"/>
                <w:b w:val="0"/>
                <w:i w:val="0"/>
                <w:color w:val="000000"/>
                <w:sz w:val="14"/>
              </w:rPr>
              <w:t xml:space="preserve">- </w:t>
            </w:r>
          </w:p>
        </w:tc>
        <w:tc>
          <w:tcPr>
            <w:tcW w:type="dxa" w:w="552"/>
            <w:tcBorders>
              <w:bottom w:sz="4.0" w:val="single" w:color="#000000"/>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218"/>
            <w:tcBorders>
              <w:bottom w:sz="4.0" w:val="single" w:color="#000000"/>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c>
          <w:tcPr>
            <w:tcW w:type="dxa" w:w="1188"/>
            <w:tcBorders>
              <w:bottom w:sz="4.0" w:val="single" w:color="#000000"/>
            </w:tcBorders>
            <w:tcMar>
              <w:start w:w="0" w:type="dxa"/>
              <w:end w:w="0" w:type="dxa"/>
            </w:tcMar>
          </w:tcPr>
          <w:p>
            <w:pPr>
              <w:autoSpaceDN w:val="0"/>
              <w:autoSpaceDE w:val="0"/>
              <w:widowControl/>
              <w:spacing w:line="230" w:lineRule="auto" w:before="16" w:after="0"/>
              <w:ind w:left="0" w:right="0" w:firstLine="0"/>
              <w:jc w:val="right"/>
            </w:pPr>
            <w:r>
              <w:rPr>
                <w:rFonts w:ascii="Arial" w:hAnsi="Arial" w:eastAsia="Arial"/>
                <w:b w:val="0"/>
                <w:i w:val="0"/>
                <w:color w:val="000000"/>
                <w:sz w:val="14"/>
              </w:rPr>
              <w:t>-</w:t>
            </w:r>
          </w:p>
        </w:tc>
      </w:tr>
      <w:tr>
        <w:trPr>
          <w:trHeight w:hRule="exact" w:val="364"/>
        </w:trPr>
        <w:tc>
          <w:tcPr>
            <w:tcW w:type="dxa" w:w="1558"/>
            <w:tcBorders>
              <w:top w:sz="4.0" w:val="single" w:color="#000000"/>
              <w:bottom w:sz="3.199999999999818" w:val="single" w:color="#000000"/>
            </w:tcBorders>
            <w:tcMar>
              <w:start w:w="0" w:type="dxa"/>
              <w:end w:w="0" w:type="dxa"/>
            </w:tcMar>
          </w:tcPr>
          <w:p>
            <w:pPr>
              <w:autoSpaceDN w:val="0"/>
              <w:autoSpaceDE w:val="0"/>
              <w:widowControl/>
              <w:spacing w:line="140" w:lineRule="exact" w:before="190" w:after="0"/>
              <w:ind w:left="198" w:right="0" w:firstLine="0"/>
              <w:jc w:val="left"/>
            </w:pPr>
            <w:r>
              <w:rPr>
                <w:rFonts w:ascii="黑体" w:hAnsi="黑体" w:eastAsia="黑体"/>
                <w:b w:val="0"/>
                <w:i w:val="0"/>
                <w:color w:val="000000"/>
                <w:sz w:val="14"/>
              </w:rPr>
              <w:t>合计</w:t>
            </w:r>
          </w:p>
        </w:tc>
        <w:tc>
          <w:tcPr>
            <w:tcW w:type="dxa" w:w="1022"/>
            <w:tcBorders>
              <w:top w:sz="4.0" w:val="single" w:color="#000000"/>
              <w:bottom w:sz="3.199999999999818" w:val="single" w:color="#000000"/>
            </w:tcBorders>
            <w:tcMar>
              <w:start w:w="0" w:type="dxa"/>
              <w:end w:w="0" w:type="dxa"/>
            </w:tcMar>
          </w:tcPr>
          <w:p>
            <w:pPr>
              <w:autoSpaceDN w:val="0"/>
              <w:autoSpaceDE w:val="0"/>
              <w:widowControl/>
              <w:spacing w:line="233" w:lineRule="auto" w:before="196" w:after="0"/>
              <w:ind w:left="0" w:right="0" w:firstLine="0"/>
              <w:jc w:val="center"/>
            </w:pPr>
            <w:r>
              <w:rPr>
                <w:rFonts w:ascii="Arial" w:hAnsi="Arial" w:eastAsia="Arial"/>
                <w:b w:val="0"/>
                <w:i w:val="0"/>
                <w:color w:val="000000"/>
                <w:sz w:val="14"/>
              </w:rPr>
              <w:t>38,085,230,486</w:t>
            </w:r>
          </w:p>
        </w:tc>
        <w:tc>
          <w:tcPr>
            <w:tcW w:type="dxa" w:w="1216"/>
            <w:tcBorders>
              <w:top w:sz="4.0" w:val="single" w:color="#000000"/>
              <w:bottom w:sz="3.199999999999818" w:val="single" w:color="#000000"/>
            </w:tcBorders>
            <w:tcMar>
              <w:start w:w="0" w:type="dxa"/>
              <w:end w:w="0" w:type="dxa"/>
            </w:tcMar>
          </w:tcPr>
          <w:p>
            <w:pPr>
              <w:autoSpaceDN w:val="0"/>
              <w:autoSpaceDE w:val="0"/>
              <w:widowControl/>
              <w:spacing w:line="233" w:lineRule="auto" w:before="196" w:after="0"/>
              <w:ind w:left="0" w:right="2" w:firstLine="0"/>
              <w:jc w:val="right"/>
            </w:pPr>
            <w:r>
              <w:rPr>
                <w:rFonts w:ascii="Arial" w:hAnsi="Arial" w:eastAsia="Arial"/>
                <w:b w:val="0"/>
                <w:i w:val="0"/>
                <w:color w:val="000000"/>
                <w:sz w:val="14"/>
              </w:rPr>
              <w:t>89,867,451</w:t>
            </w:r>
          </w:p>
        </w:tc>
        <w:tc>
          <w:tcPr>
            <w:tcW w:type="dxa" w:w="2296"/>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1" w:lineRule="auto" w:before="196" w:after="0"/>
              <w:ind w:left="510" w:right="0" w:firstLine="0"/>
              <w:jc w:val="left"/>
            </w:pPr>
            <w:r>
              <w:rPr>
                <w:rFonts w:ascii="Calibri" w:hAnsi="Calibri" w:eastAsia="Calibri"/>
                <w:b w:val="0"/>
                <w:i w:val="0"/>
                <w:color w:val="000000"/>
                <w:sz w:val="14"/>
              </w:rPr>
              <w:t xml:space="preserve">235,315,501 </w:t>
            </w:r>
            <w:r>
              <w:rPr>
                <w:rFonts w:ascii="Arial" w:hAnsi="Arial" w:eastAsia="Arial"/>
                <w:b w:val="0"/>
                <w:i w:val="0"/>
                <w:color w:val="000000"/>
                <w:sz w:val="14"/>
              </w:rPr>
              <w:t>37,093,880,711</w:t>
            </w:r>
          </w:p>
        </w:tc>
        <w:tc>
          <w:tcPr>
            <w:tcW w:type="dxa" w:w="1218"/>
            <w:tcBorders>
              <w:top w:sz="4.0" w:val="single" w:color="#000000"/>
              <w:bottom w:sz="3.199999999999818"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4"/>
              </w:rPr>
              <w:t>-</w:t>
            </w:r>
          </w:p>
        </w:tc>
        <w:tc>
          <w:tcPr>
            <w:tcW w:type="dxa" w:w="1188"/>
            <w:tcBorders>
              <w:top w:sz="4.0" w:val="single" w:color="#000000"/>
              <w:bottom w:sz="3.199999999999818" w:val="single" w:color="#000000"/>
            </w:tcBorders>
            <w:tcMar>
              <w:start w:w="0" w:type="dxa"/>
              <w:end w:w="0" w:type="dxa"/>
            </w:tcMar>
          </w:tcPr>
          <w:p>
            <w:pPr>
              <w:autoSpaceDN w:val="0"/>
              <w:autoSpaceDE w:val="0"/>
              <w:widowControl/>
              <w:spacing w:line="233" w:lineRule="auto" w:before="196" w:after="0"/>
              <w:ind w:left="0" w:right="0" w:firstLine="0"/>
              <w:jc w:val="right"/>
            </w:pPr>
            <w:r>
              <w:rPr>
                <w:rFonts w:ascii="Arial" w:hAnsi="Arial" w:eastAsia="Arial"/>
                <w:b w:val="0"/>
                <w:i w:val="0"/>
                <w:color w:val="000000"/>
                <w:sz w:val="14"/>
              </w:rPr>
              <w:t>-</w:t>
            </w:r>
          </w:p>
        </w:tc>
      </w:tr>
      <w:tr>
        <w:trPr>
          <w:trHeight w:hRule="exact" w:val="54"/>
        </w:trPr>
        <w:tc>
          <w:tcPr>
            <w:tcW w:type="dxa" w:w="1558"/>
            <w:tcBorders>
              <w:top w:sz="3.199999999999818" w:val="single" w:color="#000000"/>
            </w:tcBorders>
            <w:tcMar>
              <w:start w:w="0" w:type="dxa"/>
              <w:end w:w="0" w:type="dxa"/>
            </w:tcMar>
          </w:tcPr>
          <w:p/>
        </w:tc>
        <w:tc>
          <w:tcPr>
            <w:tcW w:type="dxa" w:w="1022"/>
            <w:tcBorders>
              <w:top w:sz="3.199999999999818" w:val="single" w:color="#000000"/>
            </w:tcBorders>
            <w:tcMar>
              <w:start w:w="0" w:type="dxa"/>
              <w:end w:w="0" w:type="dxa"/>
            </w:tcMar>
          </w:tcPr>
          <w:p/>
        </w:tc>
        <w:tc>
          <w:tcPr>
            <w:tcW w:type="dxa" w:w="1216"/>
            <w:tcBorders>
              <w:top w:sz="3.199999999999818" w:val="single" w:color="#000000"/>
            </w:tcBorders>
            <w:tcMar>
              <w:start w:w="0" w:type="dxa"/>
              <w:end w:w="0" w:type="dxa"/>
            </w:tcMar>
          </w:tcPr>
          <w:p/>
        </w:tc>
        <w:tc>
          <w:tcPr>
            <w:tcW w:type="dxa" w:w="2576"/>
            <w:gridSpan w:val="2"/>
            <w:vMerge/>
            <w:tcBorders>
              <w:top w:sz="4.0" w:val="single" w:color="#000000"/>
            </w:tcBorders>
          </w:tcPr>
          <w:p/>
        </w:tc>
        <w:tc>
          <w:tcPr>
            <w:tcW w:type="dxa" w:w="1218"/>
            <w:tcBorders>
              <w:top w:sz="3.199999999999818" w:val="single" w:color="#000000"/>
            </w:tcBorders>
            <w:tcMar>
              <w:start w:w="0" w:type="dxa"/>
              <w:end w:w="0" w:type="dxa"/>
            </w:tcMar>
          </w:tcPr>
          <w:p/>
        </w:tc>
        <w:tc>
          <w:tcPr>
            <w:tcW w:type="dxa" w:w="1188"/>
            <w:tcBorders>
              <w:top w:sz="3.199999999999818" w:val="single" w:color="#000000"/>
            </w:tcBorders>
            <w:tcMar>
              <w:start w:w="0" w:type="dxa"/>
              <w:end w:w="0" w:type="dxa"/>
            </w:tcMar>
          </w:tcPr>
          <w:p/>
        </w:tc>
      </w:tr>
    </w:tbl>
    <w:p>
      <w:pPr>
        <w:autoSpaceDN w:val="0"/>
        <w:autoSpaceDE w:val="0"/>
        <w:widowControl/>
        <w:spacing w:line="233" w:lineRule="auto" w:before="3290" w:after="0"/>
        <w:ind w:left="0" w:right="0" w:firstLine="0"/>
        <w:jc w:val="center"/>
      </w:pPr>
      <w:r>
        <w:rPr>
          <w:rFonts w:ascii="Arial" w:hAnsi="Arial" w:eastAsia="Arial"/>
          <w:b w:val="0"/>
          <w:i w:val="0"/>
          <w:color w:val="000000"/>
          <w:sz w:val="20"/>
        </w:rPr>
        <w:t xml:space="preserve">304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16" w:val="left"/>
          <w:tab w:pos="4478" w:val="left"/>
        </w:tabs>
        <w:autoSpaceDE w:val="0"/>
        <w:widowControl/>
        <w:spacing w:line="446" w:lineRule="exact" w:before="0" w:after="0"/>
        <w:ind w:left="358" w:right="2592" w:firstLine="0"/>
        <w:jc w:val="left"/>
      </w:pPr>
      <w:r>
        <w:rPr>
          <w:rFonts w:ascii="黑体" w:hAnsi="黑体" w:eastAsia="黑体"/>
          <w:b w:val="0"/>
          <w:i w:val="0"/>
          <w:color w:val="000000"/>
          <w:sz w:val="22"/>
        </w:rPr>
        <w:t>十七、其他重要事项说明（续）</w:t>
      </w:r>
      <w:r>
        <w:br/>
      </w:r>
      <w:r>
        <w:rPr>
          <w:rFonts w:ascii="Arial,Bold" w:hAnsi="Arial,Bold" w:eastAsia="Arial,Bold"/>
          <w:b/>
          <w:i w:val="0"/>
          <w:color w:val="000000"/>
          <w:sz w:val="22"/>
        </w:rPr>
        <w:t xml:space="preserve">2. </w:t>
      </w:r>
      <w:r>
        <w:rPr>
          <w:rFonts w:ascii="黑体" w:hAnsi="黑体" w:eastAsia="黑体"/>
          <w:b w:val="0"/>
          <w:i w:val="0"/>
          <w:color w:val="000000"/>
          <w:sz w:val="22"/>
        </w:rPr>
        <w:t>金融工具计量基础分类表（续）</w:t>
      </w:r>
      <w:r>
        <w:br/>
      </w:r>
      <w:r>
        <w:rPr>
          <w:rFonts w:ascii="黑体" w:hAnsi="黑体" w:eastAsia="黑体"/>
          <w:b w:val="0"/>
          <w:i w:val="0"/>
          <w:color w:val="000000"/>
          <w:sz w:val="22"/>
        </w:rPr>
        <w:t>本集团金融负债项目</w:t>
      </w:r>
      <w:r>
        <w:br/>
      </w:r>
      <w:r>
        <w:tab/>
      </w:r>
      <w:r>
        <w:rPr>
          <w:rFonts w:ascii="Arial" w:hAnsi="Arial" w:eastAsia="Arial"/>
          <w:b w:val="0"/>
          <w:i w:val="0"/>
          <w:color w:val="000000"/>
          <w:sz w:val="16"/>
        </w:rPr>
        <w:t>2024</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日账面价值</w:t>
      </w:r>
    </w:p>
    <w:p>
      <w:pPr>
        <w:autoSpaceDN w:val="0"/>
        <w:autoSpaceDE w:val="0"/>
        <w:widowControl/>
        <w:spacing w:line="162" w:lineRule="exact" w:before="44" w:after="24"/>
        <w:ind w:left="0" w:right="1512" w:firstLine="0"/>
        <w:jc w:val="right"/>
      </w:pPr>
      <w:r>
        <w:rPr>
          <w:rFonts w:ascii="黑体" w:hAnsi="黑体" w:eastAsia="黑体"/>
          <w:b w:val="0"/>
          <w:i w:val="0"/>
          <w:color w:val="000000"/>
          <w:sz w:val="16"/>
        </w:rPr>
        <w:t>以公允价值计量且其变动计入当期损益</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08"/>
        </w:trPr>
        <w:tc>
          <w:tcPr>
            <w:tcW w:type="dxa" w:w="1794"/>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2" w:lineRule="exact" w:before="1036" w:after="0"/>
              <w:ind w:left="198" w:right="0" w:firstLine="0"/>
              <w:jc w:val="left"/>
            </w:pPr>
            <w:r>
              <w:rPr>
                <w:rFonts w:ascii="黑体" w:hAnsi="黑体" w:eastAsia="黑体"/>
                <w:b w:val="0"/>
                <w:i w:val="0"/>
                <w:color w:val="000000"/>
                <w:sz w:val="16"/>
              </w:rPr>
              <w:t>短期借款</w:t>
            </w:r>
          </w:p>
        </w:tc>
        <w:tc>
          <w:tcPr>
            <w:tcW w:type="dxa" w:w="1508"/>
            <w:vMerge w:val="restart"/>
            <w:tcBorders/>
            <w:tcMar>
              <w:start w:w="0" w:type="dxa"/>
              <w:end w:w="0" w:type="dxa"/>
            </w:tcMar>
            <w:tcMar>
              <w:start w:w="0" w:type="dxa"/>
              <w:end w:w="0" w:type="dxa"/>
            </w:tcMar>
            <w:tcMar>
              <w:start w:w="0" w:type="dxa"/>
              <w:end w:w="0" w:type="dxa"/>
            </w:tcMar>
          </w:tcPr>
          <w:p>
            <w:pPr>
              <w:autoSpaceDN w:val="0"/>
              <w:autoSpaceDE w:val="0"/>
              <w:widowControl/>
              <w:spacing w:line="162" w:lineRule="exact" w:before="442" w:after="0"/>
              <w:ind w:left="0" w:right="0" w:firstLine="0"/>
              <w:jc w:val="center"/>
            </w:pPr>
            <w:r>
              <w:rPr>
                <w:rFonts w:ascii="黑体" w:hAnsi="黑体" w:eastAsia="黑体"/>
                <w:b w:val="0"/>
                <w:i w:val="0"/>
                <w:color w:val="000000"/>
                <w:sz w:val="16"/>
              </w:rPr>
              <w:t>以摊余成本计量的</w:t>
            </w:r>
          </w:p>
        </w:tc>
        <w:tc>
          <w:tcPr>
            <w:tcW w:type="dxa" w:w="1646"/>
            <w:vMerge w:val="restart"/>
            <w:tcBorders/>
            <w:tcMar>
              <w:start w:w="0" w:type="dxa"/>
              <w:end w:w="0" w:type="dxa"/>
            </w:tcMar>
            <w:tcMar>
              <w:start w:w="0" w:type="dxa"/>
              <w:end w:w="0" w:type="dxa"/>
            </w:tcMar>
          </w:tcPr>
          <w:p>
            <w:pPr>
              <w:autoSpaceDN w:val="0"/>
              <w:autoSpaceDE w:val="0"/>
              <w:widowControl/>
              <w:spacing w:line="160" w:lineRule="exact" w:before="234" w:after="0"/>
              <w:ind w:left="0" w:right="0" w:firstLine="0"/>
              <w:jc w:val="center"/>
            </w:pPr>
            <w:r>
              <w:rPr>
                <w:rFonts w:ascii="黑体" w:hAnsi="黑体" w:eastAsia="黑体"/>
                <w:b w:val="0"/>
                <w:i w:val="0"/>
                <w:color w:val="000000"/>
                <w:sz w:val="16"/>
              </w:rPr>
              <w:t>分类为以公允价值计</w:t>
            </w:r>
          </w:p>
        </w:tc>
        <w:tc>
          <w:tcPr>
            <w:tcW w:type="dxa" w:w="1842"/>
            <w:tcBorders/>
            <w:tcMar>
              <w:start w:w="0" w:type="dxa"/>
              <w:end w:w="0" w:type="dxa"/>
            </w:tcMar>
          </w:tcPr>
          <w:p>
            <w:pPr>
              <w:autoSpaceDN w:val="0"/>
              <w:autoSpaceDE w:val="0"/>
              <w:widowControl/>
              <w:spacing w:line="160" w:lineRule="exact" w:before="28" w:after="0"/>
              <w:ind w:left="84" w:right="0" w:firstLine="0"/>
              <w:jc w:val="left"/>
            </w:pPr>
            <w:r>
              <w:rPr>
                <w:rFonts w:ascii="黑体" w:hAnsi="黑体" w:eastAsia="黑体"/>
                <w:b w:val="0"/>
                <w:i w:val="0"/>
                <w:color w:val="000000"/>
                <w:sz w:val="16"/>
              </w:rPr>
              <w:t>按照《金融工具确认和计</w:t>
            </w:r>
          </w:p>
        </w:tc>
        <w:tc>
          <w:tcPr>
            <w:tcW w:type="dxa" w:w="1844"/>
            <w:tcBorders/>
            <w:tcMar>
              <w:start w:w="0" w:type="dxa"/>
              <w:end w:w="0" w:type="dxa"/>
            </w:tcMar>
          </w:tcPr>
          <w:p>
            <w:pPr>
              <w:autoSpaceDN w:val="0"/>
              <w:autoSpaceDE w:val="0"/>
              <w:widowControl/>
              <w:spacing w:line="160" w:lineRule="exact" w:before="28" w:after="0"/>
              <w:ind w:left="242" w:right="0" w:firstLine="0"/>
              <w:jc w:val="left"/>
            </w:pPr>
            <w:r>
              <w:rPr>
                <w:rFonts w:ascii="黑体" w:hAnsi="黑体" w:eastAsia="黑体"/>
                <w:b w:val="0"/>
                <w:i w:val="0"/>
                <w:color w:val="000000"/>
                <w:sz w:val="16"/>
              </w:rPr>
              <w:t>按照《套期会计》准则</w:t>
            </w:r>
          </w:p>
        </w:tc>
      </w:tr>
      <w:tr>
        <w:trPr>
          <w:trHeight w:hRule="exact" w:val="200"/>
        </w:trPr>
        <w:tc>
          <w:tcPr>
            <w:tcW w:type="dxa" w:w="1804"/>
            <w:vMerge/>
            <w:tcBorders>
              <w:top w:sz="4.0" w:val="single" w:color="#000000"/>
            </w:tcBorders>
          </w:tcPr>
          <w:p/>
        </w:tc>
        <w:tc>
          <w:tcPr>
            <w:tcW w:type="dxa" w:w="1804"/>
            <w:vMerge/>
            <w:tcBorders/>
          </w:tcPr>
          <w:p/>
        </w:tc>
        <w:tc>
          <w:tcPr>
            <w:tcW w:type="dxa" w:w="1804"/>
            <w:vMerge/>
            <w:tcBorders/>
          </w:tcPr>
          <w:p/>
        </w:tc>
        <w:tc>
          <w:tcPr>
            <w:tcW w:type="dxa" w:w="1842"/>
            <w:tcBorders/>
            <w:tcMar>
              <w:start w:w="0" w:type="dxa"/>
              <w:end w:w="0" w:type="dxa"/>
            </w:tcMar>
          </w:tcPr>
          <w:p>
            <w:pPr>
              <w:autoSpaceDN w:val="0"/>
              <w:autoSpaceDE w:val="0"/>
              <w:widowControl/>
              <w:spacing w:line="160" w:lineRule="exact" w:before="26" w:after="0"/>
              <w:ind w:left="84" w:right="0" w:firstLine="0"/>
              <w:jc w:val="left"/>
            </w:pPr>
            <w:r>
              <w:rPr>
                <w:rFonts w:ascii="黑体" w:hAnsi="黑体" w:eastAsia="黑体"/>
                <w:b w:val="0"/>
                <w:i w:val="0"/>
                <w:color w:val="000000"/>
                <w:sz w:val="16"/>
              </w:rPr>
              <w:t>量》准则指定为以公允价</w:t>
            </w:r>
          </w:p>
        </w:tc>
        <w:tc>
          <w:tcPr>
            <w:tcW w:type="dxa" w:w="1844"/>
            <w:tcBorders/>
            <w:tcMar>
              <w:start w:w="0" w:type="dxa"/>
              <w:end w:w="0" w:type="dxa"/>
            </w:tcMar>
          </w:tcPr>
          <w:p>
            <w:pPr>
              <w:autoSpaceDN w:val="0"/>
              <w:autoSpaceDE w:val="0"/>
              <w:widowControl/>
              <w:spacing w:line="160" w:lineRule="exact" w:before="26" w:after="0"/>
              <w:ind w:left="242" w:right="0" w:firstLine="0"/>
              <w:jc w:val="left"/>
            </w:pPr>
            <w:r>
              <w:rPr>
                <w:rFonts w:ascii="黑体" w:hAnsi="黑体" w:eastAsia="黑体"/>
                <w:b w:val="0"/>
                <w:i w:val="0"/>
                <w:color w:val="000000"/>
                <w:sz w:val="16"/>
              </w:rPr>
              <w:t>指定为以公允价值计量</w:t>
            </w:r>
          </w:p>
        </w:tc>
      </w:tr>
      <w:tr>
        <w:trPr>
          <w:trHeight w:hRule="exact" w:val="200"/>
        </w:trPr>
        <w:tc>
          <w:tcPr>
            <w:tcW w:type="dxa" w:w="1804"/>
            <w:vMerge/>
            <w:tcBorders>
              <w:top w:sz="4.0" w:val="single" w:color="#000000"/>
            </w:tcBorders>
          </w:tcPr>
          <w:p/>
        </w:tc>
        <w:tc>
          <w:tcPr>
            <w:tcW w:type="dxa" w:w="1804"/>
            <w:vMerge/>
            <w:tcBorders/>
          </w:tcPr>
          <w:p/>
        </w:tc>
        <w:tc>
          <w:tcPr>
            <w:tcW w:type="dxa" w:w="1646"/>
            <w:tcBorders/>
            <w:tcMar>
              <w:start w:w="0" w:type="dxa"/>
              <w:end w:w="0" w:type="dxa"/>
            </w:tcMar>
          </w:tcPr>
          <w:p>
            <w:pPr>
              <w:autoSpaceDN w:val="0"/>
              <w:autoSpaceDE w:val="0"/>
              <w:widowControl/>
              <w:spacing w:line="162" w:lineRule="exact" w:before="34" w:after="0"/>
              <w:ind w:left="0" w:right="0" w:firstLine="0"/>
              <w:jc w:val="center"/>
            </w:pPr>
            <w:r>
              <w:rPr>
                <w:rFonts w:ascii="黑体" w:hAnsi="黑体" w:eastAsia="黑体"/>
                <w:b w:val="0"/>
                <w:i w:val="0"/>
                <w:color w:val="000000"/>
                <w:sz w:val="16"/>
              </w:rPr>
              <w:t>量且其变动计入当期</w:t>
            </w:r>
          </w:p>
        </w:tc>
        <w:tc>
          <w:tcPr>
            <w:tcW w:type="dxa" w:w="1842"/>
            <w:tcBorders/>
            <w:tcMar>
              <w:start w:w="0" w:type="dxa"/>
              <w:end w:w="0" w:type="dxa"/>
            </w:tcMar>
          </w:tcPr>
          <w:p>
            <w:pPr>
              <w:autoSpaceDN w:val="0"/>
              <w:autoSpaceDE w:val="0"/>
              <w:widowControl/>
              <w:spacing w:line="162" w:lineRule="exact" w:before="34" w:after="0"/>
              <w:ind w:left="84" w:right="0" w:firstLine="0"/>
              <w:jc w:val="left"/>
            </w:pPr>
            <w:r>
              <w:rPr>
                <w:rFonts w:ascii="黑体" w:hAnsi="黑体" w:eastAsia="黑体"/>
                <w:b w:val="0"/>
                <w:i w:val="0"/>
                <w:color w:val="000000"/>
                <w:sz w:val="16"/>
              </w:rPr>
              <w:t>值计量且其变动计入当期</w:t>
            </w:r>
          </w:p>
        </w:tc>
        <w:tc>
          <w:tcPr>
            <w:tcW w:type="dxa" w:w="1844"/>
            <w:tcBorders/>
            <w:tcMar>
              <w:start w:w="0" w:type="dxa"/>
              <w:end w:w="0" w:type="dxa"/>
            </w:tcMar>
          </w:tcPr>
          <w:p>
            <w:pPr>
              <w:autoSpaceDN w:val="0"/>
              <w:autoSpaceDE w:val="0"/>
              <w:widowControl/>
              <w:spacing w:line="162" w:lineRule="exact" w:before="34" w:after="0"/>
              <w:ind w:left="242" w:right="0" w:firstLine="0"/>
              <w:jc w:val="left"/>
            </w:pPr>
            <w:r>
              <w:rPr>
                <w:rFonts w:ascii="黑体" w:hAnsi="黑体" w:eastAsia="黑体"/>
                <w:b w:val="0"/>
                <w:i w:val="0"/>
                <w:color w:val="000000"/>
                <w:sz w:val="16"/>
              </w:rPr>
              <w:t>且其变动计入当期损益</w:t>
            </w:r>
          </w:p>
        </w:tc>
      </w:tr>
      <w:tr>
        <w:trPr>
          <w:trHeight w:hRule="exact" w:val="300"/>
        </w:trPr>
        <w:tc>
          <w:tcPr>
            <w:tcW w:type="dxa" w:w="1804"/>
            <w:vMerge/>
            <w:tcBorders>
              <w:top w:sz="4.0" w:val="single" w:color="#000000"/>
            </w:tcBorders>
          </w:tcPr>
          <w:p/>
        </w:tc>
        <w:tc>
          <w:tcPr>
            <w:tcW w:type="dxa" w:w="1508"/>
            <w:tcBorders/>
            <w:tcMar>
              <w:start w:w="0" w:type="dxa"/>
              <w:end w:w="0" w:type="dxa"/>
            </w:tcMar>
          </w:tcPr>
          <w:p>
            <w:pPr>
              <w:autoSpaceDN w:val="0"/>
              <w:autoSpaceDE w:val="0"/>
              <w:widowControl/>
              <w:spacing w:line="160" w:lineRule="exact" w:before="42" w:after="0"/>
              <w:ind w:left="0" w:right="114" w:firstLine="0"/>
              <w:jc w:val="right"/>
            </w:pPr>
            <w:r>
              <w:rPr>
                <w:rFonts w:ascii="黑体" w:hAnsi="黑体" w:eastAsia="黑体"/>
                <w:b w:val="0"/>
                <w:i w:val="0"/>
                <w:color w:val="000000"/>
                <w:sz w:val="16"/>
              </w:rPr>
              <w:t>金融负债</w:t>
            </w:r>
          </w:p>
        </w:tc>
        <w:tc>
          <w:tcPr>
            <w:tcW w:type="dxa" w:w="1646"/>
            <w:tcBorders/>
            <w:tcMar>
              <w:start w:w="0" w:type="dxa"/>
              <w:end w:w="0" w:type="dxa"/>
            </w:tcMar>
          </w:tcPr>
          <w:p>
            <w:pPr>
              <w:autoSpaceDN w:val="0"/>
              <w:autoSpaceDE w:val="0"/>
              <w:widowControl/>
              <w:spacing w:line="160" w:lineRule="exact" w:before="42" w:after="0"/>
              <w:ind w:left="410" w:right="0" w:firstLine="0"/>
              <w:jc w:val="left"/>
            </w:pPr>
            <w:r>
              <w:rPr>
                <w:rFonts w:ascii="黑体" w:hAnsi="黑体" w:eastAsia="黑体"/>
                <w:b w:val="0"/>
                <w:i w:val="0"/>
                <w:color w:val="000000"/>
                <w:sz w:val="16"/>
              </w:rPr>
              <w:t>损益的金融负债</w:t>
            </w:r>
          </w:p>
        </w:tc>
        <w:tc>
          <w:tcPr>
            <w:tcW w:type="dxa" w:w="1842"/>
            <w:tcBorders/>
            <w:tcMar>
              <w:start w:w="0" w:type="dxa"/>
              <w:end w:w="0" w:type="dxa"/>
            </w:tcMar>
          </w:tcPr>
          <w:p>
            <w:pPr>
              <w:autoSpaceDN w:val="0"/>
              <w:autoSpaceDE w:val="0"/>
              <w:widowControl/>
              <w:spacing w:line="160" w:lineRule="exact" w:before="42" w:after="0"/>
              <w:ind w:left="0" w:right="0" w:firstLine="0"/>
              <w:jc w:val="right"/>
            </w:pPr>
            <w:r>
              <w:rPr>
                <w:rFonts w:ascii="黑体" w:hAnsi="黑体" w:eastAsia="黑体"/>
                <w:b w:val="0"/>
                <w:i w:val="0"/>
                <w:color w:val="000000"/>
                <w:sz w:val="16"/>
              </w:rPr>
              <w:t>损益的金融负债</w:t>
            </w:r>
          </w:p>
        </w:tc>
        <w:tc>
          <w:tcPr>
            <w:tcW w:type="dxa" w:w="1844"/>
            <w:tcBorders/>
            <w:tcMar>
              <w:start w:w="0" w:type="dxa"/>
              <w:end w:w="0" w:type="dxa"/>
            </w:tcMar>
          </w:tcPr>
          <w:p>
            <w:pPr>
              <w:autoSpaceDN w:val="0"/>
              <w:autoSpaceDE w:val="0"/>
              <w:widowControl/>
              <w:spacing w:line="160" w:lineRule="exact" w:before="42" w:after="0"/>
              <w:ind w:left="0" w:right="0" w:firstLine="0"/>
              <w:jc w:val="right"/>
            </w:pPr>
            <w:r>
              <w:rPr>
                <w:rFonts w:ascii="黑体" w:hAnsi="黑体" w:eastAsia="黑体"/>
                <w:b w:val="0"/>
                <w:i w:val="0"/>
                <w:color w:val="000000"/>
                <w:sz w:val="16"/>
              </w:rPr>
              <w:t>的金融负债</w:t>
            </w:r>
          </w:p>
        </w:tc>
      </w:tr>
      <w:tr>
        <w:trPr>
          <w:trHeight w:hRule="exact" w:val="300"/>
        </w:trPr>
        <w:tc>
          <w:tcPr>
            <w:tcW w:type="dxa" w:w="1804"/>
            <w:vMerge/>
            <w:tcBorders>
              <w:top w:sz="4.0" w:val="single" w:color="#000000"/>
            </w:tcBorders>
          </w:tcPr>
          <w:p/>
        </w:tc>
        <w:tc>
          <w:tcPr>
            <w:tcW w:type="dxa" w:w="1508"/>
            <w:tcBorders/>
            <w:tcMar>
              <w:start w:w="0" w:type="dxa"/>
              <w:end w:w="0" w:type="dxa"/>
            </w:tcMar>
          </w:tcPr>
          <w:p>
            <w:pPr>
              <w:autoSpaceDN w:val="0"/>
              <w:autoSpaceDE w:val="0"/>
              <w:widowControl/>
              <w:spacing w:line="199" w:lineRule="auto" w:before="138" w:after="0"/>
              <w:ind w:left="0" w:right="80" w:firstLine="0"/>
              <w:jc w:val="right"/>
            </w:pPr>
            <w:r>
              <w:rPr>
                <w:rFonts w:ascii="Calibri" w:hAnsi="Calibri" w:eastAsia="Calibri"/>
                <w:b w:val="0"/>
                <w:i w:val="0"/>
                <w:color w:val="000000"/>
                <w:sz w:val="16"/>
              </w:rPr>
              <w:t xml:space="preserve">129,792,354 </w:t>
            </w:r>
          </w:p>
        </w:tc>
        <w:tc>
          <w:tcPr>
            <w:tcW w:type="dxa" w:w="1646"/>
            <w:tcBorders/>
            <w:tcMar>
              <w:start w:w="0" w:type="dxa"/>
              <w:end w:w="0" w:type="dxa"/>
            </w:tcMar>
          </w:tcPr>
          <w:p>
            <w:pPr>
              <w:autoSpaceDN w:val="0"/>
              <w:autoSpaceDE w:val="0"/>
              <w:widowControl/>
              <w:spacing w:line="199" w:lineRule="auto" w:before="138"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9" w:lineRule="auto" w:before="138"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3" w:lineRule="auto" w:before="120" w:after="0"/>
              <w:ind w:left="0" w:right="0" w:firstLine="0"/>
              <w:jc w:val="right"/>
            </w:pPr>
            <w:r>
              <w:rPr>
                <w:rFonts w:ascii="Arial" w:hAnsi="Arial" w:eastAsia="Arial"/>
                <w:b w:val="0"/>
                <w:i w:val="0"/>
                <w:color w:val="000000"/>
                <w:sz w:val="16"/>
              </w:rPr>
              <w:t>-</w:t>
            </w:r>
          </w:p>
        </w:tc>
      </w:tr>
      <w:tr>
        <w:trPr>
          <w:trHeight w:hRule="exact" w:val="241"/>
        </w:trPr>
        <w:tc>
          <w:tcPr>
            <w:tcW w:type="dxa" w:w="1794"/>
            <w:tcBorders/>
            <w:tcMar>
              <w:start w:w="0" w:type="dxa"/>
              <w:end w:w="0" w:type="dxa"/>
            </w:tcMar>
          </w:tcPr>
          <w:p>
            <w:pPr>
              <w:autoSpaceDN w:val="0"/>
              <w:autoSpaceDE w:val="0"/>
              <w:widowControl/>
              <w:spacing w:line="160" w:lineRule="exact" w:before="42" w:after="0"/>
              <w:ind w:left="198" w:right="0" w:firstLine="0"/>
              <w:jc w:val="left"/>
            </w:pPr>
            <w:r>
              <w:rPr>
                <w:rFonts w:ascii="黑体" w:hAnsi="黑体" w:eastAsia="黑体"/>
                <w:b w:val="0"/>
                <w:i w:val="0"/>
                <w:color w:val="000000"/>
                <w:sz w:val="16"/>
              </w:rPr>
              <w:t>应付短期融资券</w:t>
            </w:r>
          </w:p>
        </w:tc>
        <w:tc>
          <w:tcPr>
            <w:tcW w:type="dxa" w:w="1508"/>
            <w:tcBorders/>
            <w:tcMar>
              <w:start w:w="0" w:type="dxa"/>
              <w:end w:w="0" w:type="dxa"/>
            </w:tcMar>
          </w:tcPr>
          <w:p>
            <w:pPr>
              <w:autoSpaceDN w:val="0"/>
              <w:autoSpaceDE w:val="0"/>
              <w:widowControl/>
              <w:spacing w:line="197" w:lineRule="auto" w:before="62" w:after="0"/>
              <w:ind w:left="0" w:right="80" w:firstLine="0"/>
              <w:jc w:val="right"/>
            </w:pPr>
            <w:r>
              <w:rPr>
                <w:rFonts w:ascii="Calibri" w:hAnsi="Calibri" w:eastAsia="Calibri"/>
                <w:b w:val="0"/>
                <w:i w:val="0"/>
                <w:color w:val="000000"/>
                <w:sz w:val="16"/>
              </w:rPr>
              <w:t xml:space="preserve">36,140,651 </w:t>
            </w:r>
          </w:p>
        </w:tc>
        <w:tc>
          <w:tcPr>
            <w:tcW w:type="dxa" w:w="1646"/>
            <w:tcBorders/>
            <w:tcMar>
              <w:start w:w="0" w:type="dxa"/>
              <w:end w:w="0" w:type="dxa"/>
            </w:tcMar>
          </w:tcPr>
          <w:p>
            <w:pPr>
              <w:autoSpaceDN w:val="0"/>
              <w:autoSpaceDE w:val="0"/>
              <w:widowControl/>
              <w:spacing w:line="197" w:lineRule="auto" w:before="62"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0" w:lineRule="auto" w:before="44" w:after="0"/>
              <w:ind w:left="0" w:right="0" w:firstLine="0"/>
              <w:jc w:val="right"/>
            </w:pPr>
            <w:r>
              <w:rPr>
                <w:rFonts w:ascii="Arial" w:hAnsi="Arial" w:eastAsia="Arial"/>
                <w:b w:val="0"/>
                <w:i w:val="0"/>
                <w:color w:val="000000"/>
                <w:sz w:val="16"/>
              </w:rPr>
              <w:t>-</w:t>
            </w:r>
          </w:p>
        </w:tc>
      </w:tr>
      <w:tr>
        <w:trPr>
          <w:trHeight w:hRule="exact" w:val="159"/>
        </w:trPr>
        <w:tc>
          <w:tcPr>
            <w:tcW w:type="dxa" w:w="1794"/>
            <w:tcBorders/>
            <w:tcMar>
              <w:start w:w="0" w:type="dxa"/>
              <w:end w:w="0" w:type="dxa"/>
            </w:tcMar>
          </w:tcPr>
          <w:p>
            <w:pPr>
              <w:autoSpaceDN w:val="0"/>
              <w:autoSpaceDE w:val="0"/>
              <w:widowControl/>
              <w:spacing w:line="160" w:lineRule="exact" w:before="0" w:after="0"/>
              <w:ind w:left="198" w:right="0" w:firstLine="0"/>
              <w:jc w:val="left"/>
            </w:pPr>
            <w:r>
              <w:rPr>
                <w:rFonts w:ascii="黑体" w:hAnsi="黑体" w:eastAsia="黑体"/>
                <w:b w:val="0"/>
                <w:i w:val="0"/>
                <w:color w:val="000000"/>
                <w:sz w:val="16"/>
              </w:rPr>
              <w:t>拆入资金</w:t>
            </w:r>
          </w:p>
        </w:tc>
        <w:tc>
          <w:tcPr>
            <w:tcW w:type="dxa" w:w="1508"/>
            <w:vMerge w:val="restart"/>
            <w:tcBorders/>
            <w:tcMar>
              <w:start w:w="0" w:type="dxa"/>
              <w:end w:w="0" w:type="dxa"/>
            </w:tcMar>
            <w:tcMar>
              <w:start w:w="0" w:type="dxa"/>
              <w:end w:w="0" w:type="dxa"/>
            </w:tcMar>
          </w:tcPr>
          <w:p>
            <w:pPr>
              <w:autoSpaceDN w:val="0"/>
              <w:autoSpaceDE w:val="0"/>
              <w:widowControl/>
              <w:spacing w:line="197" w:lineRule="auto" w:before="28" w:after="0"/>
              <w:ind w:left="0" w:right="80" w:firstLine="0"/>
              <w:jc w:val="right"/>
            </w:pPr>
            <w:r>
              <w:rPr>
                <w:rFonts w:ascii="Calibri" w:hAnsi="Calibri" w:eastAsia="Calibri"/>
                <w:b w:val="0"/>
                <w:i w:val="0"/>
                <w:color w:val="000000"/>
                <w:sz w:val="16"/>
              </w:rPr>
              <w:t xml:space="preserve">10,333,096,752 </w:t>
            </w:r>
          </w:p>
        </w:tc>
        <w:tc>
          <w:tcPr>
            <w:tcW w:type="dxa" w:w="1646"/>
            <w:vMerge w:val="restart"/>
            <w:tcBorders/>
            <w:tcMar>
              <w:start w:w="0" w:type="dxa"/>
              <w:end w:w="0" w:type="dxa"/>
            </w:tcMar>
            <w:tcMar>
              <w:start w:w="0" w:type="dxa"/>
              <w:end w:w="0" w:type="dxa"/>
            </w:tcMar>
          </w:tcPr>
          <w:p>
            <w:pPr>
              <w:autoSpaceDN w:val="0"/>
              <w:autoSpaceDE w:val="0"/>
              <w:widowControl/>
              <w:spacing w:line="197" w:lineRule="auto" w:before="28" w:after="0"/>
              <w:ind w:left="0" w:right="78" w:firstLine="0"/>
              <w:jc w:val="right"/>
            </w:pPr>
            <w:r>
              <w:rPr>
                <w:rFonts w:ascii="Calibri" w:hAnsi="Calibri" w:eastAsia="Calibri"/>
                <w:b w:val="0"/>
                <w:i w:val="0"/>
                <w:color w:val="000000"/>
                <w:sz w:val="16"/>
              </w:rPr>
              <w:t xml:space="preserve">- </w:t>
            </w:r>
          </w:p>
        </w:tc>
        <w:tc>
          <w:tcPr>
            <w:tcW w:type="dxa" w:w="1842"/>
            <w:vMerge w:val="restart"/>
            <w:tcBorders/>
            <w:tcMar>
              <w:start w:w="0" w:type="dxa"/>
              <w:end w:w="0" w:type="dxa"/>
            </w:tcMar>
            <w:tcMar>
              <w:start w:w="0" w:type="dxa"/>
              <w:end w:w="0" w:type="dxa"/>
            </w:tcMar>
          </w:tcPr>
          <w:p>
            <w:pPr>
              <w:autoSpaceDN w:val="0"/>
              <w:autoSpaceDE w:val="0"/>
              <w:widowControl/>
              <w:spacing w:line="197" w:lineRule="auto" w:before="28" w:after="0"/>
              <w:ind w:left="0" w:right="0" w:firstLine="0"/>
              <w:jc w:val="right"/>
            </w:pPr>
            <w:r>
              <w:rPr>
                <w:rFonts w:ascii="Calibri" w:hAnsi="Calibri" w:eastAsia="Calibri"/>
                <w:b w:val="0"/>
                <w:i w:val="0"/>
                <w:color w:val="000000"/>
                <w:sz w:val="16"/>
              </w:rPr>
              <w:t>-</w:t>
            </w:r>
          </w:p>
        </w:tc>
        <w:tc>
          <w:tcPr>
            <w:tcW w:type="dxa" w:w="1844"/>
            <w:vMerge w:val="restart"/>
            <w:tcBorders/>
            <w:tcMar>
              <w:start w:w="0" w:type="dxa"/>
              <w:end w:w="0" w:type="dxa"/>
            </w:tcMar>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w:t>
            </w:r>
          </w:p>
        </w:tc>
      </w:tr>
      <w:tr>
        <w:trPr>
          <w:trHeight w:hRule="exact" w:val="51"/>
        </w:trPr>
        <w:tc>
          <w:tcPr>
            <w:tcW w:type="dxa" w:w="1794"/>
            <w:vMerge w:val="restart"/>
            <w:tcBorders/>
            <w:tcMar>
              <w:start w:w="0" w:type="dxa"/>
              <w:end w:w="0" w:type="dxa"/>
            </w:tcMar>
            <w:tcMar>
              <w:start w:w="0" w:type="dxa"/>
              <w:end w:w="0" w:type="dxa"/>
            </w:tcMar>
          </w:tcPr>
          <w:p>
            <w:pPr>
              <w:autoSpaceDN w:val="0"/>
              <w:autoSpaceDE w:val="0"/>
              <w:widowControl/>
              <w:spacing w:line="162" w:lineRule="exact" w:before="56" w:after="0"/>
              <w:ind w:left="198" w:right="0" w:firstLine="0"/>
              <w:jc w:val="left"/>
            </w:pPr>
            <w:r>
              <w:rPr>
                <w:rFonts w:ascii="黑体" w:hAnsi="黑体" w:eastAsia="黑体"/>
                <w:b w:val="0"/>
                <w:i w:val="0"/>
                <w:color w:val="000000"/>
                <w:sz w:val="16"/>
              </w:rPr>
              <w:t>交易性金融负债</w:t>
            </w:r>
          </w:p>
        </w:tc>
        <w:tc>
          <w:tcPr>
            <w:tcW w:type="dxa" w:w="1804"/>
            <w:vMerge/>
            <w:tcBorders/>
          </w:tcPr>
          <w:p/>
        </w:tc>
        <w:tc>
          <w:tcPr>
            <w:tcW w:type="dxa" w:w="1804"/>
            <w:vMerge/>
            <w:tcBorders/>
          </w:tcPr>
          <w:p/>
        </w:tc>
        <w:tc>
          <w:tcPr>
            <w:tcW w:type="dxa" w:w="1804"/>
            <w:vMerge/>
            <w:tcBorders/>
          </w:tcPr>
          <w:p/>
        </w:tc>
        <w:tc>
          <w:tcPr>
            <w:tcW w:type="dxa" w:w="1804"/>
            <w:vMerge/>
            <w:tcBorders/>
          </w:tcPr>
          <w:p/>
        </w:tc>
      </w:tr>
      <w:tr>
        <w:trPr>
          <w:trHeight w:hRule="exact" w:val="169"/>
        </w:trPr>
        <w:tc>
          <w:tcPr>
            <w:tcW w:type="dxa" w:w="1804"/>
            <w:vMerge/>
            <w:tcBorders/>
          </w:tcPr>
          <w:p/>
        </w:tc>
        <w:tc>
          <w:tcPr>
            <w:tcW w:type="dxa" w:w="1508"/>
            <w:tcBorders/>
            <w:tcMar>
              <w:start w:w="0" w:type="dxa"/>
              <w:end w:w="0" w:type="dxa"/>
            </w:tcMar>
          </w:tcPr>
          <w:p>
            <w:pPr>
              <w:autoSpaceDN w:val="0"/>
              <w:autoSpaceDE w:val="0"/>
              <w:widowControl/>
              <w:spacing w:line="199" w:lineRule="auto" w:before="6" w:after="0"/>
              <w:ind w:left="0" w:right="80" w:firstLine="0"/>
              <w:jc w:val="right"/>
            </w:pPr>
            <w:r>
              <w:rPr>
                <w:rFonts w:ascii="Calibri" w:hAnsi="Calibri" w:eastAsia="Calibri"/>
                <w:b w:val="0"/>
                <w:i w:val="0"/>
                <w:color w:val="000000"/>
                <w:sz w:val="16"/>
              </w:rPr>
              <w:t xml:space="preserve">- </w:t>
            </w:r>
          </w:p>
        </w:tc>
        <w:tc>
          <w:tcPr>
            <w:tcW w:type="dxa" w:w="1646"/>
            <w:tcBorders/>
            <w:tcMar>
              <w:start w:w="0" w:type="dxa"/>
              <w:end w:w="0" w:type="dxa"/>
            </w:tcMar>
          </w:tcPr>
          <w:p>
            <w:pPr>
              <w:autoSpaceDN w:val="0"/>
              <w:autoSpaceDE w:val="0"/>
              <w:widowControl/>
              <w:spacing w:line="199" w:lineRule="auto" w:before="6" w:after="0"/>
              <w:ind w:left="0" w:right="78" w:firstLine="0"/>
              <w:jc w:val="right"/>
            </w:pPr>
            <w:r>
              <w:rPr>
                <w:rFonts w:ascii="Calibri" w:hAnsi="Calibri" w:eastAsia="Calibri"/>
                <w:b w:val="0"/>
                <w:i w:val="0"/>
                <w:color w:val="000000"/>
                <w:sz w:val="16"/>
              </w:rPr>
              <w:t xml:space="preserve">3,369,245,850 </w:t>
            </w:r>
          </w:p>
        </w:tc>
        <w:tc>
          <w:tcPr>
            <w:tcW w:type="dxa" w:w="1842"/>
            <w:tcBorders/>
            <w:tcMar>
              <w:start w:w="0" w:type="dxa"/>
              <w:end w:w="0" w:type="dxa"/>
            </w:tcMar>
          </w:tcPr>
          <w:p>
            <w:pPr>
              <w:autoSpaceDN w:val="0"/>
              <w:autoSpaceDE w:val="0"/>
              <w:widowControl/>
              <w:spacing w:line="199" w:lineRule="auto" w:before="6"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r>
      <w:tr>
        <w:trPr>
          <w:trHeight w:hRule="exact" w:val="244"/>
        </w:trPr>
        <w:tc>
          <w:tcPr>
            <w:tcW w:type="dxa" w:w="1794"/>
            <w:tcBorders/>
            <w:tcMar>
              <w:start w:w="0" w:type="dxa"/>
              <w:end w:w="0" w:type="dxa"/>
            </w:tcMar>
          </w:tcPr>
          <w:p>
            <w:pPr>
              <w:autoSpaceDN w:val="0"/>
              <w:autoSpaceDE w:val="0"/>
              <w:widowControl/>
              <w:spacing w:line="162" w:lineRule="exact" w:before="42" w:after="0"/>
              <w:ind w:left="198" w:right="0" w:firstLine="0"/>
              <w:jc w:val="left"/>
            </w:pPr>
            <w:r>
              <w:rPr>
                <w:rFonts w:ascii="黑体" w:hAnsi="黑体" w:eastAsia="黑体"/>
                <w:b w:val="0"/>
                <w:i w:val="0"/>
                <w:color w:val="000000"/>
                <w:sz w:val="16"/>
              </w:rPr>
              <w:t>衍生金融负债</w:t>
            </w:r>
          </w:p>
        </w:tc>
        <w:tc>
          <w:tcPr>
            <w:tcW w:type="dxa" w:w="1508"/>
            <w:tcBorders/>
            <w:tcMar>
              <w:start w:w="0" w:type="dxa"/>
              <w:end w:w="0" w:type="dxa"/>
            </w:tcMar>
          </w:tcPr>
          <w:p>
            <w:pPr>
              <w:autoSpaceDN w:val="0"/>
              <w:autoSpaceDE w:val="0"/>
              <w:widowControl/>
              <w:spacing w:line="199" w:lineRule="auto" w:before="62" w:after="0"/>
              <w:ind w:left="0" w:right="80" w:firstLine="0"/>
              <w:jc w:val="right"/>
            </w:pPr>
            <w:r>
              <w:rPr>
                <w:rFonts w:ascii="Calibri" w:hAnsi="Calibri" w:eastAsia="Calibri"/>
                <w:b w:val="0"/>
                <w:i w:val="0"/>
                <w:color w:val="000000"/>
                <w:sz w:val="16"/>
              </w:rPr>
              <w:t xml:space="preserve">- </w:t>
            </w:r>
          </w:p>
        </w:tc>
        <w:tc>
          <w:tcPr>
            <w:tcW w:type="dxa" w:w="1646"/>
            <w:tcBorders/>
            <w:tcMar>
              <w:start w:w="0" w:type="dxa"/>
              <w:end w:w="0" w:type="dxa"/>
            </w:tcMar>
          </w:tcPr>
          <w:p>
            <w:pPr>
              <w:autoSpaceDN w:val="0"/>
              <w:autoSpaceDE w:val="0"/>
              <w:widowControl/>
              <w:spacing w:line="199" w:lineRule="auto" w:before="62" w:after="0"/>
              <w:ind w:left="0" w:right="78" w:firstLine="0"/>
              <w:jc w:val="right"/>
            </w:pPr>
            <w:r>
              <w:rPr>
                <w:rFonts w:ascii="Calibri" w:hAnsi="Calibri" w:eastAsia="Calibri"/>
                <w:b w:val="0"/>
                <w:i w:val="0"/>
                <w:color w:val="000000"/>
                <w:sz w:val="16"/>
              </w:rPr>
              <w:t xml:space="preserve">86,426,912 </w:t>
            </w:r>
          </w:p>
        </w:tc>
        <w:tc>
          <w:tcPr>
            <w:tcW w:type="dxa" w:w="1842"/>
            <w:tcBorders/>
            <w:tcMar>
              <w:start w:w="0" w:type="dxa"/>
              <w:end w:w="0" w:type="dxa"/>
            </w:tcMar>
          </w:tcPr>
          <w:p>
            <w:pPr>
              <w:autoSpaceDN w:val="0"/>
              <w:autoSpaceDE w:val="0"/>
              <w:widowControl/>
              <w:spacing w:line="199" w:lineRule="auto" w:before="62"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0" w:lineRule="auto" w:before="46" w:after="0"/>
              <w:ind w:left="0" w:right="0" w:firstLine="0"/>
              <w:jc w:val="right"/>
            </w:pPr>
            <w:r>
              <w:rPr>
                <w:rFonts w:ascii="Arial" w:hAnsi="Arial" w:eastAsia="Arial"/>
                <w:b w:val="0"/>
                <w:i w:val="0"/>
                <w:color w:val="000000"/>
                <w:sz w:val="16"/>
              </w:rPr>
              <w:t>-</w:t>
            </w:r>
          </w:p>
        </w:tc>
      </w:tr>
      <w:tr>
        <w:trPr>
          <w:trHeight w:hRule="exact" w:val="176"/>
        </w:trPr>
        <w:tc>
          <w:tcPr>
            <w:tcW w:type="dxa" w:w="1794"/>
            <w:tcBorders/>
            <w:tcMar>
              <w:start w:w="0" w:type="dxa"/>
              <w:end w:w="0" w:type="dxa"/>
            </w:tcMar>
          </w:tcPr>
          <w:p>
            <w:pPr>
              <w:autoSpaceDN w:val="0"/>
              <w:autoSpaceDE w:val="0"/>
              <w:widowControl/>
              <w:spacing w:line="160" w:lineRule="exact" w:before="8" w:after="0"/>
              <w:ind w:left="0" w:right="0" w:firstLine="0"/>
              <w:jc w:val="center"/>
            </w:pPr>
            <w:r>
              <w:rPr>
                <w:rFonts w:ascii="黑体" w:hAnsi="黑体" w:eastAsia="黑体"/>
                <w:b w:val="0"/>
                <w:i w:val="0"/>
                <w:color w:val="000000"/>
                <w:sz w:val="16"/>
              </w:rPr>
              <w:t>卖出回购金融资产款</w:t>
            </w:r>
          </w:p>
        </w:tc>
        <w:tc>
          <w:tcPr>
            <w:tcW w:type="dxa" w:w="1508"/>
            <w:tcBorders/>
            <w:tcMar>
              <w:start w:w="0" w:type="dxa"/>
              <w:end w:w="0" w:type="dxa"/>
            </w:tcMar>
          </w:tcPr>
          <w:p>
            <w:pPr>
              <w:autoSpaceDN w:val="0"/>
              <w:autoSpaceDE w:val="0"/>
              <w:widowControl/>
              <w:spacing w:line="197" w:lineRule="auto" w:before="16" w:after="0"/>
              <w:ind w:left="0" w:right="80" w:firstLine="0"/>
              <w:jc w:val="right"/>
            </w:pPr>
            <w:r>
              <w:rPr>
                <w:rFonts w:ascii="Calibri" w:hAnsi="Calibri" w:eastAsia="Calibri"/>
                <w:b w:val="0"/>
                <w:i w:val="0"/>
                <w:color w:val="000000"/>
                <w:sz w:val="16"/>
              </w:rPr>
              <w:t xml:space="preserve">12,729,642,678 </w:t>
            </w:r>
          </w:p>
        </w:tc>
        <w:tc>
          <w:tcPr>
            <w:tcW w:type="dxa" w:w="1646"/>
            <w:tcBorders/>
            <w:tcMar>
              <w:start w:w="0" w:type="dxa"/>
              <w:end w:w="0" w:type="dxa"/>
            </w:tcMar>
          </w:tcPr>
          <w:p>
            <w:pPr>
              <w:autoSpaceDN w:val="0"/>
              <w:autoSpaceDE w:val="0"/>
              <w:widowControl/>
              <w:spacing w:line="197" w:lineRule="auto" w:before="16"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16"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r>
      <w:tr>
        <w:trPr>
          <w:trHeight w:hRule="exact" w:val="200"/>
        </w:trPr>
        <w:tc>
          <w:tcPr>
            <w:tcW w:type="dxa" w:w="1794"/>
            <w:tcBorders/>
            <w:tcMar>
              <w:start w:w="0" w:type="dxa"/>
              <w:end w:w="0" w:type="dxa"/>
            </w:tcMar>
          </w:tcPr>
          <w:p>
            <w:pPr>
              <w:autoSpaceDN w:val="0"/>
              <w:autoSpaceDE w:val="0"/>
              <w:widowControl/>
              <w:spacing w:line="160" w:lineRule="exact" w:before="38" w:after="0"/>
              <w:ind w:left="198" w:right="0" w:firstLine="0"/>
              <w:jc w:val="left"/>
            </w:pPr>
            <w:r>
              <w:rPr>
                <w:rFonts w:ascii="黑体" w:hAnsi="黑体" w:eastAsia="黑体"/>
                <w:b w:val="0"/>
                <w:i w:val="0"/>
                <w:color w:val="000000"/>
                <w:sz w:val="16"/>
              </w:rPr>
              <w:t>代理买卖证券款</w:t>
            </w:r>
          </w:p>
        </w:tc>
        <w:tc>
          <w:tcPr>
            <w:tcW w:type="dxa" w:w="1508"/>
            <w:tcBorders/>
            <w:tcMar>
              <w:start w:w="0" w:type="dxa"/>
              <w:end w:w="0" w:type="dxa"/>
            </w:tcMar>
          </w:tcPr>
          <w:p>
            <w:pPr>
              <w:autoSpaceDN w:val="0"/>
              <w:autoSpaceDE w:val="0"/>
              <w:widowControl/>
              <w:spacing w:line="197" w:lineRule="auto" w:before="40" w:after="0"/>
              <w:ind w:left="0" w:right="80" w:firstLine="0"/>
              <w:jc w:val="right"/>
            </w:pPr>
            <w:r>
              <w:rPr>
                <w:rFonts w:ascii="Calibri" w:hAnsi="Calibri" w:eastAsia="Calibri"/>
                <w:b w:val="0"/>
                <w:i w:val="0"/>
                <w:color w:val="000000"/>
                <w:sz w:val="16"/>
              </w:rPr>
              <w:t xml:space="preserve">18,504,762,179 </w:t>
            </w:r>
          </w:p>
        </w:tc>
        <w:tc>
          <w:tcPr>
            <w:tcW w:type="dxa" w:w="1646"/>
            <w:tcBorders/>
            <w:tcMar>
              <w:start w:w="0" w:type="dxa"/>
              <w:end w:w="0" w:type="dxa"/>
            </w:tcMar>
          </w:tcPr>
          <w:p>
            <w:pPr>
              <w:autoSpaceDN w:val="0"/>
              <w:autoSpaceDE w:val="0"/>
              <w:widowControl/>
              <w:spacing w:line="197" w:lineRule="auto" w:before="40"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r>
      <w:tr>
        <w:trPr>
          <w:trHeight w:hRule="exact" w:val="200"/>
        </w:trPr>
        <w:tc>
          <w:tcPr>
            <w:tcW w:type="dxa" w:w="1794"/>
            <w:tcBorders/>
            <w:tcMar>
              <w:start w:w="0" w:type="dxa"/>
              <w:end w:w="0" w:type="dxa"/>
            </w:tcMar>
          </w:tcPr>
          <w:p>
            <w:pPr>
              <w:autoSpaceDN w:val="0"/>
              <w:autoSpaceDE w:val="0"/>
              <w:widowControl/>
              <w:spacing w:line="162" w:lineRule="exact" w:before="38" w:after="0"/>
              <w:ind w:left="198" w:right="0" w:firstLine="0"/>
              <w:jc w:val="left"/>
            </w:pPr>
            <w:r>
              <w:rPr>
                <w:rFonts w:ascii="黑体" w:hAnsi="黑体" w:eastAsia="黑体"/>
                <w:b w:val="0"/>
                <w:i w:val="0"/>
                <w:color w:val="000000"/>
                <w:sz w:val="16"/>
              </w:rPr>
              <w:t>应付债券</w:t>
            </w:r>
          </w:p>
        </w:tc>
        <w:tc>
          <w:tcPr>
            <w:tcW w:type="dxa" w:w="1508"/>
            <w:vMerge w:val="restart"/>
            <w:tcBorders/>
            <w:tcMar>
              <w:start w:w="0" w:type="dxa"/>
              <w:end w:w="0" w:type="dxa"/>
            </w:tcMar>
            <w:tcMar>
              <w:start w:w="0" w:type="dxa"/>
              <w:end w:w="0" w:type="dxa"/>
            </w:tcMar>
          </w:tcPr>
          <w:p>
            <w:pPr>
              <w:autoSpaceDN w:val="0"/>
              <w:autoSpaceDE w:val="0"/>
              <w:widowControl/>
              <w:spacing w:line="199" w:lineRule="auto" w:before="66" w:after="0"/>
              <w:ind w:left="0" w:right="80" w:firstLine="0"/>
              <w:jc w:val="right"/>
            </w:pPr>
            <w:r>
              <w:rPr>
                <w:rFonts w:ascii="Calibri" w:hAnsi="Calibri" w:eastAsia="Calibri"/>
                <w:b w:val="0"/>
                <w:i w:val="0"/>
                <w:color w:val="000000"/>
                <w:sz w:val="16"/>
              </w:rPr>
              <w:t xml:space="preserve">15,170,215,285 </w:t>
            </w:r>
          </w:p>
        </w:tc>
        <w:tc>
          <w:tcPr>
            <w:tcW w:type="dxa" w:w="1646"/>
            <w:vMerge w:val="restart"/>
            <w:tcBorders/>
            <w:tcMar>
              <w:start w:w="0" w:type="dxa"/>
              <w:end w:w="0" w:type="dxa"/>
            </w:tcMar>
            <w:tcMar>
              <w:start w:w="0" w:type="dxa"/>
              <w:end w:w="0" w:type="dxa"/>
            </w:tcMar>
          </w:tcPr>
          <w:p>
            <w:pPr>
              <w:autoSpaceDN w:val="0"/>
              <w:autoSpaceDE w:val="0"/>
              <w:widowControl/>
              <w:spacing w:line="199" w:lineRule="auto" w:before="66" w:after="0"/>
              <w:ind w:left="0" w:right="78" w:firstLine="0"/>
              <w:jc w:val="right"/>
            </w:pPr>
            <w:r>
              <w:rPr>
                <w:rFonts w:ascii="Calibri" w:hAnsi="Calibri" w:eastAsia="Calibri"/>
                <w:b w:val="0"/>
                <w:i w:val="0"/>
                <w:color w:val="000000"/>
                <w:sz w:val="16"/>
              </w:rPr>
              <w:t xml:space="preserve">- </w:t>
            </w:r>
          </w:p>
        </w:tc>
        <w:tc>
          <w:tcPr>
            <w:tcW w:type="dxa" w:w="1842"/>
            <w:vMerge w:val="restart"/>
            <w:tcBorders/>
            <w:tcMar>
              <w:start w:w="0" w:type="dxa"/>
              <w:end w:w="0" w:type="dxa"/>
            </w:tcMar>
            <w:tcMar>
              <w:start w:w="0" w:type="dxa"/>
              <w:end w:w="0" w:type="dxa"/>
            </w:tcMar>
          </w:tcPr>
          <w:p>
            <w:pPr>
              <w:autoSpaceDN w:val="0"/>
              <w:autoSpaceDE w:val="0"/>
              <w:widowControl/>
              <w:spacing w:line="199" w:lineRule="auto" w:before="66" w:after="0"/>
              <w:ind w:left="0" w:right="0" w:firstLine="0"/>
              <w:jc w:val="right"/>
            </w:pPr>
            <w:r>
              <w:rPr>
                <w:rFonts w:ascii="Calibri" w:hAnsi="Calibri" w:eastAsia="Calibri"/>
                <w:b w:val="0"/>
                <w:i w:val="0"/>
                <w:color w:val="000000"/>
                <w:sz w:val="16"/>
              </w:rPr>
              <w:t>-</w:t>
            </w:r>
          </w:p>
        </w:tc>
        <w:tc>
          <w:tcPr>
            <w:tcW w:type="dxa" w:w="1844"/>
            <w:vMerge w:val="restart"/>
            <w:tcBorders/>
            <w:tcMar>
              <w:start w:w="0" w:type="dxa"/>
              <w:end w:w="0" w:type="dxa"/>
            </w:tcMar>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r>
      <w:tr>
        <w:trPr>
          <w:trHeight w:hRule="exact" w:val="49"/>
        </w:trPr>
        <w:tc>
          <w:tcPr>
            <w:tcW w:type="dxa" w:w="1794"/>
            <w:vMerge w:val="restart"/>
            <w:tcBorders/>
            <w:tcMar>
              <w:start w:w="0" w:type="dxa"/>
              <w:end w:w="0" w:type="dxa"/>
            </w:tcMar>
            <w:tcMar>
              <w:start w:w="0" w:type="dxa"/>
              <w:end w:w="0" w:type="dxa"/>
            </w:tcMar>
          </w:tcPr>
          <w:p>
            <w:pPr>
              <w:autoSpaceDN w:val="0"/>
              <w:autoSpaceDE w:val="0"/>
              <w:widowControl/>
              <w:spacing w:line="160" w:lineRule="exact" w:before="54" w:after="0"/>
              <w:ind w:left="198" w:right="0" w:firstLine="0"/>
              <w:jc w:val="left"/>
            </w:pPr>
            <w:r>
              <w:rPr>
                <w:rFonts w:ascii="黑体" w:hAnsi="黑体" w:eastAsia="黑体"/>
                <w:b w:val="0"/>
                <w:i w:val="0"/>
                <w:color w:val="000000"/>
                <w:sz w:val="16"/>
              </w:rPr>
              <w:t>应付款项</w:t>
            </w:r>
          </w:p>
        </w:tc>
        <w:tc>
          <w:tcPr>
            <w:tcW w:type="dxa" w:w="1804"/>
            <w:vMerge/>
            <w:tcBorders/>
          </w:tcPr>
          <w:p/>
        </w:tc>
        <w:tc>
          <w:tcPr>
            <w:tcW w:type="dxa" w:w="1804"/>
            <w:vMerge/>
            <w:tcBorders/>
          </w:tcPr>
          <w:p/>
        </w:tc>
        <w:tc>
          <w:tcPr>
            <w:tcW w:type="dxa" w:w="1804"/>
            <w:vMerge/>
            <w:tcBorders/>
          </w:tcPr>
          <w:p/>
        </w:tc>
        <w:tc>
          <w:tcPr>
            <w:tcW w:type="dxa" w:w="1804"/>
            <w:vMerge/>
            <w:tcBorders/>
          </w:tcPr>
          <w:p/>
        </w:tc>
      </w:tr>
      <w:tr>
        <w:trPr>
          <w:trHeight w:hRule="exact" w:val="171"/>
        </w:trPr>
        <w:tc>
          <w:tcPr>
            <w:tcW w:type="dxa" w:w="1804"/>
            <w:vMerge/>
            <w:tcBorders/>
          </w:tcPr>
          <w:p/>
        </w:tc>
        <w:tc>
          <w:tcPr>
            <w:tcW w:type="dxa" w:w="1508"/>
            <w:tcBorders/>
            <w:tcMar>
              <w:start w:w="0" w:type="dxa"/>
              <w:end w:w="0" w:type="dxa"/>
            </w:tcMar>
          </w:tcPr>
          <w:p>
            <w:pPr>
              <w:autoSpaceDN w:val="0"/>
              <w:autoSpaceDE w:val="0"/>
              <w:widowControl/>
              <w:spacing w:line="197" w:lineRule="auto" w:before="12" w:after="0"/>
              <w:ind w:left="0" w:right="80" w:firstLine="0"/>
              <w:jc w:val="right"/>
            </w:pPr>
            <w:r>
              <w:rPr>
                <w:rFonts w:ascii="Calibri" w:hAnsi="Calibri" w:eastAsia="Calibri"/>
                <w:b w:val="0"/>
                <w:i w:val="0"/>
                <w:color w:val="000000"/>
                <w:sz w:val="16"/>
              </w:rPr>
              <w:t xml:space="preserve">93,168,277 </w:t>
            </w:r>
          </w:p>
        </w:tc>
        <w:tc>
          <w:tcPr>
            <w:tcW w:type="dxa" w:w="1646"/>
            <w:tcBorders/>
            <w:tcMar>
              <w:start w:w="0" w:type="dxa"/>
              <w:end w:w="0" w:type="dxa"/>
            </w:tcMar>
          </w:tcPr>
          <w:p>
            <w:pPr>
              <w:autoSpaceDN w:val="0"/>
              <w:autoSpaceDE w:val="0"/>
              <w:widowControl/>
              <w:spacing w:line="197" w:lineRule="auto" w:before="12"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r>
      <w:tr>
        <w:trPr>
          <w:trHeight w:hRule="exact" w:val="241"/>
        </w:trPr>
        <w:tc>
          <w:tcPr>
            <w:tcW w:type="dxa" w:w="1794"/>
            <w:tcBorders/>
            <w:tcMar>
              <w:start w:w="0" w:type="dxa"/>
              <w:end w:w="0" w:type="dxa"/>
            </w:tcMar>
          </w:tcPr>
          <w:p>
            <w:pPr>
              <w:autoSpaceDN w:val="0"/>
              <w:autoSpaceDE w:val="0"/>
              <w:widowControl/>
              <w:spacing w:line="160" w:lineRule="exact" w:before="42" w:after="0"/>
              <w:ind w:left="198" w:right="0" w:firstLine="0"/>
              <w:jc w:val="left"/>
            </w:pPr>
            <w:r>
              <w:rPr>
                <w:rFonts w:ascii="黑体" w:hAnsi="黑体" w:eastAsia="黑体"/>
                <w:b w:val="0"/>
                <w:i w:val="0"/>
                <w:color w:val="000000"/>
                <w:sz w:val="16"/>
              </w:rPr>
              <w:t>租赁负债</w:t>
            </w:r>
          </w:p>
        </w:tc>
        <w:tc>
          <w:tcPr>
            <w:tcW w:type="dxa" w:w="1508"/>
            <w:tcBorders/>
            <w:tcMar>
              <w:start w:w="0" w:type="dxa"/>
              <w:end w:w="0" w:type="dxa"/>
            </w:tcMar>
          </w:tcPr>
          <w:p>
            <w:pPr>
              <w:autoSpaceDN w:val="0"/>
              <w:autoSpaceDE w:val="0"/>
              <w:widowControl/>
              <w:spacing w:line="197" w:lineRule="auto" w:before="62" w:after="0"/>
              <w:ind w:left="0" w:right="80" w:firstLine="0"/>
              <w:jc w:val="right"/>
            </w:pPr>
            <w:r>
              <w:rPr>
                <w:rFonts w:ascii="Calibri" w:hAnsi="Calibri" w:eastAsia="Calibri"/>
                <w:b w:val="0"/>
                <w:i w:val="0"/>
                <w:color w:val="000000"/>
                <w:sz w:val="16"/>
              </w:rPr>
              <w:t xml:space="preserve">264,042,901 </w:t>
            </w:r>
          </w:p>
        </w:tc>
        <w:tc>
          <w:tcPr>
            <w:tcW w:type="dxa" w:w="1646"/>
            <w:tcBorders/>
            <w:tcMar>
              <w:start w:w="0" w:type="dxa"/>
              <w:end w:w="0" w:type="dxa"/>
            </w:tcMar>
          </w:tcPr>
          <w:p>
            <w:pPr>
              <w:autoSpaceDN w:val="0"/>
              <w:autoSpaceDE w:val="0"/>
              <w:widowControl/>
              <w:spacing w:line="197" w:lineRule="auto" w:before="62" w:after="0"/>
              <w:ind w:left="0" w:right="78" w:firstLine="0"/>
              <w:jc w:val="right"/>
            </w:pPr>
            <w:r>
              <w:rPr>
                <w:rFonts w:ascii="Calibri" w:hAnsi="Calibri" w:eastAsia="Calibri"/>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62" w:after="0"/>
              <w:ind w:left="0" w:right="0" w:firstLine="0"/>
              <w:jc w:val="right"/>
            </w:pPr>
            <w:r>
              <w:rPr>
                <w:rFonts w:ascii="Calibri" w:hAnsi="Calibri" w:eastAsia="Calibri"/>
                <w:b w:val="0"/>
                <w:i w:val="0"/>
                <w:color w:val="000000"/>
                <w:sz w:val="16"/>
              </w:rPr>
              <w:t>-</w:t>
            </w:r>
          </w:p>
        </w:tc>
        <w:tc>
          <w:tcPr>
            <w:tcW w:type="dxa" w:w="1844"/>
            <w:tcBorders/>
            <w:tcMar>
              <w:start w:w="0" w:type="dxa"/>
              <w:end w:w="0" w:type="dxa"/>
            </w:tcMar>
          </w:tcPr>
          <w:p>
            <w:pPr>
              <w:autoSpaceDN w:val="0"/>
              <w:autoSpaceDE w:val="0"/>
              <w:widowControl/>
              <w:spacing w:line="233" w:lineRule="auto" w:before="42" w:after="0"/>
              <w:ind w:left="0" w:right="0" w:firstLine="0"/>
              <w:jc w:val="right"/>
            </w:pPr>
            <w:r>
              <w:rPr>
                <w:rFonts w:ascii="Arial" w:hAnsi="Arial" w:eastAsia="Arial"/>
                <w:b w:val="0"/>
                <w:i w:val="0"/>
                <w:color w:val="000000"/>
                <w:sz w:val="16"/>
              </w:rPr>
              <w:t>-</w:t>
            </w:r>
          </w:p>
        </w:tc>
      </w:tr>
      <w:tr>
        <w:trPr>
          <w:trHeight w:hRule="exact" w:val="197"/>
        </w:trPr>
        <w:tc>
          <w:tcPr>
            <w:tcW w:type="dxa" w:w="1794"/>
            <w:tcBorders>
              <w:bottom w:sz="4.0" w:val="single" w:color="#000000"/>
            </w:tcBorders>
            <w:tcMar>
              <w:start w:w="0" w:type="dxa"/>
              <w:end w:w="0" w:type="dxa"/>
            </w:tcMar>
          </w:tcPr>
          <w:p>
            <w:pPr>
              <w:autoSpaceDN w:val="0"/>
              <w:autoSpaceDE w:val="0"/>
              <w:widowControl/>
              <w:spacing w:line="162" w:lineRule="exact" w:before="8" w:after="0"/>
              <w:ind w:left="198" w:right="0" w:firstLine="0"/>
              <w:jc w:val="left"/>
            </w:pPr>
            <w:r>
              <w:rPr>
                <w:rFonts w:ascii="黑体" w:hAnsi="黑体" w:eastAsia="黑体"/>
                <w:b w:val="0"/>
                <w:i w:val="0"/>
                <w:color w:val="000000"/>
                <w:sz w:val="16"/>
              </w:rPr>
              <w:t>其他金融负债</w:t>
            </w:r>
          </w:p>
        </w:tc>
        <w:tc>
          <w:tcPr>
            <w:tcW w:type="dxa" w:w="1508"/>
            <w:tcBorders>
              <w:bottom w:sz="4.0" w:val="single" w:color="#000000"/>
            </w:tcBorders>
            <w:tcMar>
              <w:start w:w="0" w:type="dxa"/>
              <w:end w:w="0" w:type="dxa"/>
            </w:tcMar>
          </w:tcPr>
          <w:p>
            <w:pPr>
              <w:autoSpaceDN w:val="0"/>
              <w:autoSpaceDE w:val="0"/>
              <w:widowControl/>
              <w:spacing w:line="199" w:lineRule="auto" w:before="28" w:after="0"/>
              <w:ind w:left="0" w:right="80" w:firstLine="0"/>
              <w:jc w:val="right"/>
            </w:pPr>
            <w:r>
              <w:rPr>
                <w:rFonts w:ascii="Calibri" w:hAnsi="Calibri" w:eastAsia="Calibri"/>
                <w:b w:val="0"/>
                <w:i w:val="0"/>
                <w:color w:val="000000"/>
                <w:sz w:val="16"/>
              </w:rPr>
              <w:t xml:space="preserve">1,249,981,996 </w:t>
            </w:r>
          </w:p>
        </w:tc>
        <w:tc>
          <w:tcPr>
            <w:tcW w:type="dxa" w:w="1646"/>
            <w:tcBorders>
              <w:bottom w:sz="4.0" w:val="single" w:color="#000000"/>
            </w:tcBorders>
            <w:tcMar>
              <w:start w:w="0" w:type="dxa"/>
              <w:end w:w="0" w:type="dxa"/>
            </w:tcMar>
          </w:tcPr>
          <w:p>
            <w:pPr>
              <w:autoSpaceDN w:val="0"/>
              <w:autoSpaceDE w:val="0"/>
              <w:widowControl/>
              <w:spacing w:line="199" w:lineRule="auto" w:before="28" w:after="0"/>
              <w:ind w:left="0" w:right="78" w:firstLine="0"/>
              <w:jc w:val="right"/>
            </w:pPr>
            <w:r>
              <w:rPr>
                <w:rFonts w:ascii="Calibri" w:hAnsi="Calibri" w:eastAsia="Calibri"/>
                <w:b w:val="0"/>
                <w:i w:val="0"/>
                <w:color w:val="000000"/>
                <w:sz w:val="16"/>
              </w:rPr>
              <w:t xml:space="preserve">- </w:t>
            </w:r>
          </w:p>
        </w:tc>
        <w:tc>
          <w:tcPr>
            <w:tcW w:type="dxa" w:w="1842"/>
            <w:tcBorders>
              <w:bottom w:sz="4.0" w:val="single" w:color="#000000"/>
            </w:tcBorders>
            <w:tcMar>
              <w:start w:w="0" w:type="dxa"/>
              <w:end w:w="0" w:type="dxa"/>
            </w:tcMar>
          </w:tcPr>
          <w:p>
            <w:pPr>
              <w:autoSpaceDN w:val="0"/>
              <w:autoSpaceDE w:val="0"/>
              <w:widowControl/>
              <w:spacing w:line="199" w:lineRule="auto" w:before="28" w:after="0"/>
              <w:ind w:left="0" w:right="0" w:firstLine="0"/>
              <w:jc w:val="right"/>
            </w:pPr>
            <w:r>
              <w:rPr>
                <w:rFonts w:ascii="Calibri" w:hAnsi="Calibri" w:eastAsia="Calibri"/>
                <w:b w:val="0"/>
                <w:i w:val="0"/>
                <w:color w:val="000000"/>
                <w:sz w:val="16"/>
              </w:rPr>
              <w:t>-</w:t>
            </w:r>
          </w:p>
        </w:tc>
        <w:tc>
          <w:tcPr>
            <w:tcW w:type="dxa" w:w="1844"/>
            <w:tcBorders>
              <w:bottom w:sz="4.0" w:val="single" w:color="#000000"/>
            </w:tcBorders>
            <w:tcMar>
              <w:start w:w="0" w:type="dxa"/>
              <w:end w:w="0" w:type="dxa"/>
            </w:tcMar>
          </w:tcPr>
          <w:p>
            <w:pPr>
              <w:autoSpaceDN w:val="0"/>
              <w:autoSpaceDE w:val="0"/>
              <w:widowControl/>
              <w:spacing w:line="233" w:lineRule="auto" w:before="10" w:after="0"/>
              <w:ind w:left="0" w:right="0" w:firstLine="0"/>
              <w:jc w:val="right"/>
            </w:pPr>
            <w:r>
              <w:rPr>
                <w:rFonts w:ascii="Arial" w:hAnsi="Arial" w:eastAsia="Arial"/>
                <w:b w:val="0"/>
                <w:i w:val="0"/>
                <w:color w:val="000000"/>
                <w:sz w:val="16"/>
              </w:rPr>
              <w:t>-</w:t>
            </w:r>
          </w:p>
        </w:tc>
      </w:tr>
      <w:tr>
        <w:trPr>
          <w:trHeight w:hRule="exact" w:val="414"/>
        </w:trPr>
        <w:tc>
          <w:tcPr>
            <w:tcW w:type="dxa" w:w="1794"/>
            <w:tcBorders>
              <w:top w:sz="4.0" w:val="single" w:color="#000000"/>
              <w:bottom w:sz="4.0" w:val="single" w:color="#000000"/>
            </w:tcBorders>
            <w:tcMar>
              <w:start w:w="0" w:type="dxa"/>
              <w:end w:w="0" w:type="dxa"/>
            </w:tcMar>
          </w:tcPr>
          <w:p>
            <w:pPr>
              <w:autoSpaceDN w:val="0"/>
              <w:autoSpaceDE w:val="0"/>
              <w:widowControl/>
              <w:spacing w:line="160" w:lineRule="exact" w:before="220" w:after="0"/>
              <w:ind w:left="198" w:right="0" w:firstLine="0"/>
              <w:jc w:val="left"/>
            </w:pPr>
            <w:r>
              <w:rPr>
                <w:rFonts w:ascii="黑体" w:hAnsi="黑体" w:eastAsia="黑体"/>
                <w:b w:val="0"/>
                <w:i w:val="0"/>
                <w:color w:val="000000"/>
                <w:sz w:val="16"/>
              </w:rPr>
              <w:t>合计</w:t>
            </w:r>
          </w:p>
        </w:tc>
        <w:tc>
          <w:tcPr>
            <w:tcW w:type="dxa" w:w="1508"/>
            <w:tcBorders>
              <w:top w:sz="4.0" w:val="single" w:color="#000000"/>
              <w:bottom w:sz="4.0" w:val="single" w:color="#000000"/>
            </w:tcBorders>
            <w:tcMar>
              <w:start w:w="0" w:type="dxa"/>
              <w:end w:w="0" w:type="dxa"/>
            </w:tcMar>
          </w:tcPr>
          <w:p>
            <w:pPr>
              <w:autoSpaceDN w:val="0"/>
              <w:autoSpaceDE w:val="0"/>
              <w:widowControl/>
              <w:spacing w:line="197" w:lineRule="auto" w:before="240" w:after="0"/>
              <w:ind w:left="0" w:right="80" w:firstLine="0"/>
              <w:jc w:val="right"/>
            </w:pPr>
            <w:r>
              <w:rPr>
                <w:rFonts w:ascii="Calibri" w:hAnsi="Calibri" w:eastAsia="Calibri"/>
                <w:b w:val="0"/>
                <w:i w:val="0"/>
                <w:color w:val="000000"/>
                <w:sz w:val="16"/>
              </w:rPr>
              <w:t xml:space="preserve">58,510,843,073 </w:t>
            </w:r>
          </w:p>
        </w:tc>
        <w:tc>
          <w:tcPr>
            <w:tcW w:type="dxa" w:w="1646"/>
            <w:tcBorders>
              <w:top w:sz="4.0" w:val="single" w:color="#000000"/>
              <w:bottom w:sz="4.0" w:val="single" w:color="#000000"/>
            </w:tcBorders>
            <w:tcMar>
              <w:start w:w="0" w:type="dxa"/>
              <w:end w:w="0" w:type="dxa"/>
            </w:tcMar>
          </w:tcPr>
          <w:p>
            <w:pPr>
              <w:autoSpaceDN w:val="0"/>
              <w:autoSpaceDE w:val="0"/>
              <w:widowControl/>
              <w:spacing w:line="197" w:lineRule="auto" w:before="240" w:after="0"/>
              <w:ind w:left="0" w:right="78" w:firstLine="0"/>
              <w:jc w:val="right"/>
            </w:pPr>
            <w:r>
              <w:rPr>
                <w:rFonts w:ascii="Calibri" w:hAnsi="Calibri" w:eastAsia="Calibri"/>
                <w:b w:val="0"/>
                <w:i w:val="0"/>
                <w:color w:val="000000"/>
                <w:sz w:val="16"/>
              </w:rPr>
              <w:t xml:space="preserve">3,455,672,762 </w:t>
            </w:r>
          </w:p>
        </w:tc>
        <w:tc>
          <w:tcPr>
            <w:tcW w:type="dxa" w:w="1842"/>
            <w:tcBorders>
              <w:top w:sz="4.0" w:val="single" w:color="#000000"/>
              <w:bottom w:sz="4.0" w:val="single" w:color="#000000"/>
            </w:tcBorders>
            <w:tcMar>
              <w:start w:w="0" w:type="dxa"/>
              <w:end w:w="0" w:type="dxa"/>
            </w:tcMar>
          </w:tcPr>
          <w:p>
            <w:pPr>
              <w:autoSpaceDN w:val="0"/>
              <w:autoSpaceDE w:val="0"/>
              <w:widowControl/>
              <w:spacing w:line="197" w:lineRule="auto" w:before="240" w:after="0"/>
              <w:ind w:left="0" w:right="0" w:firstLine="0"/>
              <w:jc w:val="right"/>
            </w:pPr>
            <w:r>
              <w:rPr>
                <w:rFonts w:ascii="Calibri" w:hAnsi="Calibri" w:eastAsia="Calibri"/>
                <w:b w:val="0"/>
                <w:i w:val="0"/>
                <w:color w:val="000000"/>
                <w:sz w:val="16"/>
              </w:rPr>
              <w:t>-</w:t>
            </w:r>
          </w:p>
        </w:tc>
        <w:tc>
          <w:tcPr>
            <w:tcW w:type="dxa" w:w="1844"/>
            <w:tcBorders>
              <w:top w:sz="4.0" w:val="single" w:color="#000000"/>
              <w:bottom w:sz="4.0" w:val="single" w:color="#000000"/>
            </w:tcBorders>
            <w:tcMar>
              <w:start w:w="0" w:type="dxa"/>
              <w:end w:w="0" w:type="dxa"/>
            </w:tcMar>
          </w:tcPr>
          <w:p>
            <w:pPr>
              <w:autoSpaceDN w:val="0"/>
              <w:autoSpaceDE w:val="0"/>
              <w:widowControl/>
              <w:spacing w:line="233" w:lineRule="auto" w:before="222" w:after="0"/>
              <w:ind w:left="0" w:right="0" w:firstLine="0"/>
              <w:jc w:val="right"/>
            </w:pPr>
            <w:r>
              <w:rPr>
                <w:rFonts w:ascii="Arial" w:hAnsi="Arial" w:eastAsia="Arial"/>
                <w:b w:val="0"/>
                <w:i w:val="0"/>
                <w:color w:val="000000"/>
                <w:sz w:val="16"/>
              </w:rPr>
              <w:t>-</w:t>
            </w:r>
          </w:p>
        </w:tc>
      </w:tr>
      <w:tr>
        <w:trPr>
          <w:trHeight w:hRule="exact" w:val="52"/>
        </w:trPr>
        <w:tc>
          <w:tcPr>
            <w:tcW w:type="dxa" w:w="1794"/>
            <w:tcBorders>
              <w:top w:sz="4.0" w:val="single" w:color="#000000"/>
            </w:tcBorders>
            <w:tcMar>
              <w:start w:w="0" w:type="dxa"/>
              <w:end w:w="0" w:type="dxa"/>
            </w:tcMar>
          </w:tcPr>
          <w:p/>
        </w:tc>
        <w:tc>
          <w:tcPr>
            <w:tcW w:type="dxa" w:w="1508"/>
            <w:tcBorders>
              <w:top w:sz="4.0" w:val="single" w:color="#000000"/>
            </w:tcBorders>
            <w:tcMar>
              <w:start w:w="0" w:type="dxa"/>
              <w:end w:w="0" w:type="dxa"/>
            </w:tcMar>
          </w:tcPr>
          <w:p/>
        </w:tc>
        <w:tc>
          <w:tcPr>
            <w:tcW w:type="dxa" w:w="1646"/>
            <w:tcBorders>
              <w:top w:sz="4.0" w:val="single" w:color="#000000"/>
            </w:tcBorders>
            <w:tcMar>
              <w:start w:w="0" w:type="dxa"/>
              <w:end w:w="0" w:type="dxa"/>
            </w:tcMar>
          </w:tcPr>
          <w:p/>
        </w:tc>
        <w:tc>
          <w:tcPr>
            <w:tcW w:type="dxa" w:w="1842"/>
            <w:tcBorders>
              <w:top w:sz="4.0" w:val="single" w:color="#000000"/>
            </w:tcBorders>
            <w:tcMar>
              <w:start w:w="0" w:type="dxa"/>
              <w:end w:w="0" w:type="dxa"/>
            </w:tcMar>
          </w:tcPr>
          <w:p/>
        </w:tc>
        <w:tc>
          <w:tcPr>
            <w:tcW w:type="dxa" w:w="1844"/>
            <w:tcBorders>
              <w:top w:sz="4.0" w:val="single" w:color="#000000"/>
            </w:tcBorders>
            <w:tcMar>
              <w:start w:w="0" w:type="dxa"/>
              <w:end w:w="0" w:type="dxa"/>
            </w:tcMar>
          </w:tcPr>
          <w:p/>
        </w:tc>
      </w:tr>
    </w:tbl>
    <w:p>
      <w:pPr>
        <w:autoSpaceDN w:val="0"/>
        <w:autoSpaceDE w:val="0"/>
        <w:widowControl/>
        <w:spacing w:line="180" w:lineRule="exact" w:before="236" w:after="0"/>
        <w:ind w:left="0" w:right="2714" w:firstLine="0"/>
        <w:jc w:val="right"/>
      </w:pPr>
      <w:r>
        <w:rPr>
          <w:rFonts w:ascii="Arial" w:hAnsi="Arial" w:eastAsia="Arial"/>
          <w:b w:val="0"/>
          <w:i w:val="0"/>
          <w:color w:val="000000"/>
          <w:sz w:val="16"/>
        </w:rPr>
        <w:t>2023</w:t>
      </w:r>
      <w:r>
        <w:rPr>
          <w:rFonts w:ascii="黑体" w:hAnsi="黑体" w:eastAsia="黑体"/>
          <w:b w:val="0"/>
          <w:i w:val="0"/>
          <w:color w:val="000000"/>
          <w:sz w:val="16"/>
        </w:rPr>
        <w:t>年</w:t>
      </w:r>
      <w:r>
        <w:rPr>
          <w:rFonts w:ascii="Arial" w:hAnsi="Arial" w:eastAsia="Arial"/>
          <w:b w:val="0"/>
          <w:i w:val="0"/>
          <w:color w:val="000000"/>
          <w:sz w:val="16"/>
        </w:rPr>
        <w:t>12</w:t>
      </w:r>
      <w:r>
        <w:rPr>
          <w:rFonts w:ascii="黑体" w:hAnsi="黑体" w:eastAsia="黑体"/>
          <w:b w:val="0"/>
          <w:i w:val="0"/>
          <w:color w:val="000000"/>
          <w:sz w:val="16"/>
        </w:rPr>
        <w:t>月</w:t>
      </w:r>
      <w:r>
        <w:rPr>
          <w:rFonts w:ascii="Arial" w:hAnsi="Arial" w:eastAsia="Arial"/>
          <w:b w:val="0"/>
          <w:i w:val="0"/>
          <w:color w:val="000000"/>
          <w:sz w:val="16"/>
        </w:rPr>
        <w:t>31</w:t>
      </w:r>
      <w:r>
        <w:rPr>
          <w:rFonts w:ascii="黑体" w:hAnsi="黑体" w:eastAsia="黑体"/>
          <w:b w:val="0"/>
          <w:i w:val="0"/>
          <w:color w:val="000000"/>
          <w:sz w:val="16"/>
        </w:rPr>
        <w:t>日账面价值</w:t>
      </w:r>
    </w:p>
    <w:p>
      <w:pPr>
        <w:autoSpaceDN w:val="0"/>
        <w:autoSpaceDE w:val="0"/>
        <w:widowControl/>
        <w:spacing w:line="160" w:lineRule="exact" w:before="46" w:after="24"/>
        <w:ind w:left="0" w:right="1516" w:firstLine="0"/>
        <w:jc w:val="right"/>
      </w:pPr>
      <w:r>
        <w:rPr>
          <w:rFonts w:ascii="黑体" w:hAnsi="黑体" w:eastAsia="黑体"/>
          <w:b w:val="0"/>
          <w:i w:val="0"/>
          <w:color w:val="000000"/>
          <w:sz w:val="16"/>
        </w:rPr>
        <w:t>以公允价值计量且其变动计入当期损益</w:t>
      </w:r>
    </w:p>
    <w:tbl>
      <w:tblPr>
        <w:tblW w:type="auto" w:w="0"/>
        <w:tblLayout w:type="fixed"/>
        <w:tblLook w:firstColumn="1" w:firstRow="1" w:lastColumn="0" w:lastRow="0" w:noHBand="0" w:noVBand="1" w:val="04A0"/>
        <w:tblInd w:w="160.0" w:type="dxa"/>
      </w:tblPr>
      <w:tblGrid>
        <w:gridCol w:w="1804"/>
        <w:gridCol w:w="1804"/>
        <w:gridCol w:w="1804"/>
        <w:gridCol w:w="1804"/>
        <w:gridCol w:w="1804"/>
      </w:tblGrid>
      <w:tr>
        <w:trPr>
          <w:trHeight w:hRule="exact" w:val="202"/>
        </w:trPr>
        <w:tc>
          <w:tcPr>
            <w:tcW w:type="dxa" w:w="1794"/>
            <w:vMerge w:val="restart"/>
            <w:tcBorders>
              <w:top w:sz="3.20000000000027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62" w:lineRule="exact" w:before="1038" w:after="0"/>
              <w:ind w:left="198" w:right="0" w:firstLine="0"/>
              <w:jc w:val="left"/>
            </w:pPr>
            <w:r>
              <w:rPr>
                <w:rFonts w:ascii="黑体" w:hAnsi="黑体" w:eastAsia="黑体"/>
                <w:b w:val="0"/>
                <w:i w:val="0"/>
                <w:color w:val="000000"/>
                <w:sz w:val="16"/>
              </w:rPr>
              <w:t>短期借款</w:t>
            </w:r>
          </w:p>
        </w:tc>
        <w:tc>
          <w:tcPr>
            <w:tcW w:type="dxa" w:w="1508"/>
            <w:vMerge w:val="restart"/>
            <w:tcBorders/>
            <w:tcMar>
              <w:start w:w="0" w:type="dxa"/>
              <w:end w:w="0" w:type="dxa"/>
            </w:tcMar>
            <w:tcMar>
              <w:start w:w="0" w:type="dxa"/>
              <w:end w:w="0" w:type="dxa"/>
            </w:tcMar>
            <w:tcMar>
              <w:start w:w="0" w:type="dxa"/>
              <w:end w:w="0" w:type="dxa"/>
            </w:tcMar>
          </w:tcPr>
          <w:p>
            <w:pPr>
              <w:autoSpaceDN w:val="0"/>
              <w:autoSpaceDE w:val="0"/>
              <w:widowControl/>
              <w:spacing w:line="160" w:lineRule="exact" w:before="446" w:after="0"/>
              <w:ind w:left="272" w:right="0" w:firstLine="0"/>
              <w:jc w:val="left"/>
            </w:pPr>
            <w:r>
              <w:rPr>
                <w:rFonts w:ascii="黑体" w:hAnsi="黑体" w:eastAsia="黑体"/>
                <w:b w:val="0"/>
                <w:i w:val="0"/>
                <w:color w:val="000000"/>
                <w:sz w:val="16"/>
              </w:rPr>
              <w:t>以摊余成本计量</w:t>
            </w:r>
          </w:p>
        </w:tc>
        <w:tc>
          <w:tcPr>
            <w:tcW w:type="dxa" w:w="1646"/>
            <w:vMerge w:val="restart"/>
            <w:tcBorders/>
            <w:tcMar>
              <w:start w:w="0" w:type="dxa"/>
              <w:end w:w="0" w:type="dxa"/>
            </w:tcMar>
            <w:tcMar>
              <w:start w:w="0" w:type="dxa"/>
              <w:end w:w="0" w:type="dxa"/>
            </w:tcMar>
          </w:tcPr>
          <w:p>
            <w:pPr>
              <w:autoSpaceDN w:val="0"/>
              <w:autoSpaceDE w:val="0"/>
              <w:widowControl/>
              <w:spacing w:line="162" w:lineRule="exact" w:before="236" w:after="0"/>
              <w:ind w:left="252" w:right="0" w:firstLine="0"/>
              <w:jc w:val="left"/>
            </w:pPr>
            <w:r>
              <w:rPr>
                <w:rFonts w:ascii="黑体" w:hAnsi="黑体" w:eastAsia="黑体"/>
                <w:b w:val="0"/>
                <w:i w:val="0"/>
                <w:color w:val="000000"/>
                <w:sz w:val="16"/>
              </w:rPr>
              <w:t>分类为以公允价值</w:t>
            </w:r>
          </w:p>
        </w:tc>
        <w:tc>
          <w:tcPr>
            <w:tcW w:type="dxa" w:w="1842"/>
            <w:tcBorders/>
            <w:tcMar>
              <w:start w:w="0" w:type="dxa"/>
              <w:end w:w="0" w:type="dxa"/>
            </w:tcMar>
          </w:tcPr>
          <w:p>
            <w:pPr>
              <w:autoSpaceDN w:val="0"/>
              <w:autoSpaceDE w:val="0"/>
              <w:widowControl/>
              <w:spacing w:line="160" w:lineRule="exact" w:before="30" w:after="0"/>
              <w:ind w:left="242" w:right="0" w:firstLine="0"/>
              <w:jc w:val="left"/>
            </w:pPr>
            <w:r>
              <w:rPr>
                <w:rFonts w:ascii="黑体" w:hAnsi="黑体" w:eastAsia="黑体"/>
                <w:b w:val="0"/>
                <w:i w:val="0"/>
                <w:color w:val="000000"/>
                <w:sz w:val="16"/>
              </w:rPr>
              <w:t>按照《金融工具确认和</w:t>
            </w:r>
          </w:p>
        </w:tc>
        <w:tc>
          <w:tcPr>
            <w:tcW w:type="dxa" w:w="1836"/>
            <w:tcBorders/>
            <w:tcMar>
              <w:start w:w="0" w:type="dxa"/>
              <w:end w:w="0" w:type="dxa"/>
            </w:tcMar>
          </w:tcPr>
          <w:p>
            <w:pPr>
              <w:autoSpaceDN w:val="0"/>
              <w:autoSpaceDE w:val="0"/>
              <w:widowControl/>
              <w:spacing w:line="160" w:lineRule="exact" w:before="30" w:after="0"/>
              <w:ind w:left="0" w:right="0" w:firstLine="0"/>
              <w:jc w:val="right"/>
            </w:pPr>
            <w:r>
              <w:rPr>
                <w:rFonts w:ascii="黑体" w:hAnsi="黑体" w:eastAsia="黑体"/>
                <w:b w:val="0"/>
                <w:i w:val="0"/>
                <w:color w:val="000000"/>
                <w:sz w:val="16"/>
              </w:rPr>
              <w:t>按照《套期会计》</w:t>
            </w:r>
          </w:p>
        </w:tc>
      </w:tr>
      <w:tr>
        <w:trPr>
          <w:trHeight w:hRule="exact" w:val="220"/>
        </w:trPr>
        <w:tc>
          <w:tcPr>
            <w:tcW w:type="dxa" w:w="1804"/>
            <w:vMerge/>
            <w:tcBorders>
              <w:top w:sz="3.200000000000273" w:val="single" w:color="#000000"/>
            </w:tcBorders>
          </w:tcPr>
          <w:p/>
        </w:tc>
        <w:tc>
          <w:tcPr>
            <w:tcW w:type="dxa" w:w="1804"/>
            <w:vMerge/>
            <w:tcBorders/>
          </w:tcPr>
          <w:p/>
        </w:tc>
        <w:tc>
          <w:tcPr>
            <w:tcW w:type="dxa" w:w="1804"/>
            <w:vMerge/>
            <w:tcBorders/>
          </w:tcPr>
          <w:p/>
        </w:tc>
        <w:tc>
          <w:tcPr>
            <w:tcW w:type="dxa" w:w="1842"/>
            <w:tcBorders/>
            <w:tcMar>
              <w:start w:w="0" w:type="dxa"/>
              <w:end w:w="0" w:type="dxa"/>
            </w:tcMar>
          </w:tcPr>
          <w:p>
            <w:pPr>
              <w:autoSpaceDN w:val="0"/>
              <w:autoSpaceDE w:val="0"/>
              <w:widowControl/>
              <w:spacing w:line="162" w:lineRule="exact" w:before="34" w:after="0"/>
              <w:ind w:left="84" w:right="0" w:firstLine="0"/>
              <w:jc w:val="left"/>
            </w:pPr>
            <w:r>
              <w:rPr>
                <w:rFonts w:ascii="黑体" w:hAnsi="黑体" w:eastAsia="黑体"/>
                <w:b w:val="0"/>
                <w:i w:val="0"/>
                <w:color w:val="000000"/>
                <w:sz w:val="16"/>
              </w:rPr>
              <w:t>计量》准则指定为以公允</w:t>
            </w:r>
          </w:p>
        </w:tc>
        <w:tc>
          <w:tcPr>
            <w:tcW w:type="dxa" w:w="1836"/>
            <w:tcBorders/>
            <w:tcMar>
              <w:start w:w="0" w:type="dxa"/>
              <w:end w:w="0" w:type="dxa"/>
            </w:tcMar>
          </w:tcPr>
          <w:p>
            <w:pPr>
              <w:autoSpaceDN w:val="0"/>
              <w:autoSpaceDE w:val="0"/>
              <w:widowControl/>
              <w:spacing w:line="162" w:lineRule="exact" w:before="34" w:after="0"/>
              <w:ind w:left="238" w:right="0" w:firstLine="0"/>
              <w:jc w:val="left"/>
            </w:pPr>
            <w:r>
              <w:rPr>
                <w:rFonts w:ascii="黑体" w:hAnsi="黑体" w:eastAsia="黑体"/>
                <w:b w:val="0"/>
                <w:i w:val="0"/>
                <w:color w:val="000000"/>
                <w:sz w:val="16"/>
              </w:rPr>
              <w:t>准则指定为以公允价值</w:t>
            </w:r>
          </w:p>
        </w:tc>
      </w:tr>
      <w:tr>
        <w:trPr>
          <w:trHeight w:hRule="exact" w:val="200"/>
        </w:trPr>
        <w:tc>
          <w:tcPr>
            <w:tcW w:type="dxa" w:w="1804"/>
            <w:vMerge/>
            <w:tcBorders>
              <w:top w:sz="3.200000000000273" w:val="single" w:color="#000000"/>
            </w:tcBorders>
          </w:tcPr>
          <w:p/>
        </w:tc>
        <w:tc>
          <w:tcPr>
            <w:tcW w:type="dxa" w:w="1804"/>
            <w:vMerge/>
            <w:tcBorders/>
          </w:tcPr>
          <w:p/>
        </w:tc>
        <w:tc>
          <w:tcPr>
            <w:tcW w:type="dxa" w:w="1646"/>
            <w:tcBorders/>
            <w:tcMar>
              <w:start w:w="0" w:type="dxa"/>
              <w:end w:w="0" w:type="dxa"/>
            </w:tcMar>
          </w:tcPr>
          <w:p>
            <w:pPr>
              <w:autoSpaceDN w:val="0"/>
              <w:autoSpaceDE w:val="0"/>
              <w:widowControl/>
              <w:spacing w:line="160" w:lineRule="exact" w:before="24" w:after="0"/>
              <w:ind w:left="252" w:right="0" w:firstLine="0"/>
              <w:jc w:val="left"/>
            </w:pPr>
            <w:r>
              <w:rPr>
                <w:rFonts w:ascii="黑体" w:hAnsi="黑体" w:eastAsia="黑体"/>
                <w:b w:val="0"/>
                <w:i w:val="0"/>
                <w:color w:val="000000"/>
                <w:sz w:val="16"/>
              </w:rPr>
              <w:t>计量且其变动计入</w:t>
            </w:r>
          </w:p>
        </w:tc>
        <w:tc>
          <w:tcPr>
            <w:tcW w:type="dxa" w:w="1842"/>
            <w:tcBorders/>
            <w:tcMar>
              <w:start w:w="0" w:type="dxa"/>
              <w:end w:w="0" w:type="dxa"/>
            </w:tcMar>
          </w:tcPr>
          <w:p>
            <w:pPr>
              <w:autoSpaceDN w:val="0"/>
              <w:autoSpaceDE w:val="0"/>
              <w:widowControl/>
              <w:spacing w:line="160" w:lineRule="exact" w:before="24" w:after="0"/>
              <w:ind w:left="242" w:right="0" w:firstLine="0"/>
              <w:jc w:val="left"/>
            </w:pPr>
            <w:r>
              <w:rPr>
                <w:rFonts w:ascii="黑体" w:hAnsi="黑体" w:eastAsia="黑体"/>
                <w:b w:val="0"/>
                <w:i w:val="0"/>
                <w:color w:val="000000"/>
                <w:sz w:val="16"/>
              </w:rPr>
              <w:t>价值计量且其变动计入</w:t>
            </w:r>
          </w:p>
        </w:tc>
        <w:tc>
          <w:tcPr>
            <w:tcW w:type="dxa" w:w="1836"/>
            <w:tcBorders/>
            <w:tcMar>
              <w:start w:w="0" w:type="dxa"/>
              <w:end w:w="0" w:type="dxa"/>
            </w:tcMar>
          </w:tcPr>
          <w:p>
            <w:pPr>
              <w:autoSpaceDN w:val="0"/>
              <w:autoSpaceDE w:val="0"/>
              <w:widowControl/>
              <w:spacing w:line="160" w:lineRule="exact" w:before="24" w:after="0"/>
              <w:ind w:left="0" w:right="0" w:firstLine="0"/>
              <w:jc w:val="right"/>
            </w:pPr>
            <w:r>
              <w:rPr>
                <w:rFonts w:ascii="黑体" w:hAnsi="黑体" w:eastAsia="黑体"/>
                <w:b w:val="0"/>
                <w:i w:val="0"/>
                <w:color w:val="000000"/>
                <w:sz w:val="16"/>
              </w:rPr>
              <w:t>计量且其变动计入</w:t>
            </w:r>
          </w:p>
        </w:tc>
      </w:tr>
      <w:tr>
        <w:trPr>
          <w:trHeight w:hRule="exact" w:val="300"/>
        </w:trPr>
        <w:tc>
          <w:tcPr>
            <w:tcW w:type="dxa" w:w="1804"/>
            <w:vMerge/>
            <w:tcBorders>
              <w:top w:sz="3.200000000000273" w:val="single" w:color="#000000"/>
            </w:tcBorders>
          </w:tcPr>
          <w:p/>
        </w:tc>
        <w:tc>
          <w:tcPr>
            <w:tcW w:type="dxa" w:w="1508"/>
            <w:tcBorders/>
            <w:tcMar>
              <w:start w:w="0" w:type="dxa"/>
              <w:end w:w="0" w:type="dxa"/>
            </w:tcMar>
          </w:tcPr>
          <w:p>
            <w:pPr>
              <w:autoSpaceDN w:val="0"/>
              <w:autoSpaceDE w:val="0"/>
              <w:widowControl/>
              <w:spacing w:line="160" w:lineRule="exact" w:before="30" w:after="0"/>
              <w:ind w:left="0" w:right="114" w:firstLine="0"/>
              <w:jc w:val="right"/>
            </w:pPr>
            <w:r>
              <w:rPr>
                <w:rFonts w:ascii="黑体" w:hAnsi="黑体" w:eastAsia="黑体"/>
                <w:b w:val="0"/>
                <w:i w:val="0"/>
                <w:color w:val="000000"/>
                <w:sz w:val="16"/>
              </w:rPr>
              <w:t>的金融负债</w:t>
            </w:r>
          </w:p>
        </w:tc>
        <w:tc>
          <w:tcPr>
            <w:tcW w:type="dxa" w:w="1646"/>
            <w:tcBorders/>
            <w:tcMar>
              <w:start w:w="0" w:type="dxa"/>
              <w:end w:w="0" w:type="dxa"/>
            </w:tcMar>
          </w:tcPr>
          <w:p>
            <w:pPr>
              <w:autoSpaceDN w:val="0"/>
              <w:autoSpaceDE w:val="0"/>
              <w:widowControl/>
              <w:spacing w:line="160" w:lineRule="exact" w:before="30" w:after="0"/>
              <w:ind w:left="0" w:right="0" w:firstLine="0"/>
              <w:jc w:val="center"/>
            </w:pPr>
            <w:r>
              <w:rPr>
                <w:rFonts w:ascii="黑体" w:hAnsi="黑体" w:eastAsia="黑体"/>
                <w:b w:val="0"/>
                <w:i w:val="0"/>
                <w:color w:val="000000"/>
                <w:sz w:val="16"/>
              </w:rPr>
              <w:t>当期损益的金融负债</w:t>
            </w:r>
          </w:p>
        </w:tc>
        <w:tc>
          <w:tcPr>
            <w:tcW w:type="dxa" w:w="1842"/>
            <w:tcBorders/>
            <w:tcMar>
              <w:start w:w="0" w:type="dxa"/>
              <w:end w:w="0" w:type="dxa"/>
            </w:tcMar>
          </w:tcPr>
          <w:p>
            <w:pPr>
              <w:autoSpaceDN w:val="0"/>
              <w:autoSpaceDE w:val="0"/>
              <w:widowControl/>
              <w:spacing w:line="160" w:lineRule="exact" w:before="30" w:after="0"/>
              <w:ind w:left="404" w:right="0" w:firstLine="0"/>
              <w:jc w:val="left"/>
            </w:pPr>
            <w:r>
              <w:rPr>
                <w:rFonts w:ascii="黑体" w:hAnsi="黑体" w:eastAsia="黑体"/>
                <w:b w:val="0"/>
                <w:i w:val="0"/>
                <w:color w:val="000000"/>
                <w:sz w:val="16"/>
              </w:rPr>
              <w:t>当期损益的金融负债</w:t>
            </w:r>
          </w:p>
        </w:tc>
        <w:tc>
          <w:tcPr>
            <w:tcW w:type="dxa" w:w="1836"/>
            <w:tcBorders/>
            <w:tcMar>
              <w:start w:w="0" w:type="dxa"/>
              <w:end w:w="0" w:type="dxa"/>
            </w:tcMar>
          </w:tcPr>
          <w:p>
            <w:pPr>
              <w:autoSpaceDN w:val="0"/>
              <w:autoSpaceDE w:val="0"/>
              <w:widowControl/>
              <w:spacing w:line="160" w:lineRule="exact" w:before="30" w:after="0"/>
              <w:ind w:left="398" w:right="0" w:firstLine="0"/>
              <w:jc w:val="left"/>
            </w:pPr>
            <w:r>
              <w:rPr>
                <w:rFonts w:ascii="黑体" w:hAnsi="黑体" w:eastAsia="黑体"/>
                <w:b w:val="0"/>
                <w:i w:val="0"/>
                <w:color w:val="000000"/>
                <w:sz w:val="16"/>
              </w:rPr>
              <w:t>当期损益的金融负债</w:t>
            </w:r>
          </w:p>
        </w:tc>
      </w:tr>
      <w:tr>
        <w:trPr>
          <w:trHeight w:hRule="exact" w:val="319"/>
        </w:trPr>
        <w:tc>
          <w:tcPr>
            <w:tcW w:type="dxa" w:w="1804"/>
            <w:vMerge/>
            <w:tcBorders>
              <w:top w:sz="3.200000000000273" w:val="single" w:color="#000000"/>
            </w:tcBorders>
          </w:tcPr>
          <w:p/>
        </w:tc>
        <w:tc>
          <w:tcPr>
            <w:tcW w:type="dxa" w:w="1508"/>
            <w:tcBorders/>
            <w:tcMar>
              <w:start w:w="0" w:type="dxa"/>
              <w:end w:w="0" w:type="dxa"/>
            </w:tcMar>
          </w:tcPr>
          <w:p>
            <w:pPr>
              <w:autoSpaceDN w:val="0"/>
              <w:autoSpaceDE w:val="0"/>
              <w:widowControl/>
              <w:spacing w:line="230" w:lineRule="auto" w:before="124" w:after="0"/>
              <w:ind w:left="0" w:right="70" w:firstLine="0"/>
              <w:jc w:val="right"/>
            </w:pPr>
            <w:r>
              <w:rPr>
                <w:rFonts w:ascii="Arial" w:hAnsi="Arial" w:eastAsia="Arial"/>
                <w:b w:val="0"/>
                <w:i w:val="0"/>
                <w:color w:val="000000"/>
                <w:sz w:val="16"/>
              </w:rPr>
              <w:t xml:space="preserve">137,317,148 </w:t>
            </w:r>
          </w:p>
        </w:tc>
        <w:tc>
          <w:tcPr>
            <w:tcW w:type="dxa" w:w="1646"/>
            <w:tcBorders/>
            <w:tcMar>
              <w:start w:w="0" w:type="dxa"/>
              <w:end w:w="0" w:type="dxa"/>
            </w:tcMar>
          </w:tcPr>
          <w:p>
            <w:pPr>
              <w:autoSpaceDN w:val="0"/>
              <w:autoSpaceDE w:val="0"/>
              <w:widowControl/>
              <w:spacing w:line="230" w:lineRule="auto" w:before="124"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9" w:lineRule="auto" w:before="140"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0" w:lineRule="auto" w:before="124" w:after="0"/>
              <w:ind w:left="0" w:right="0" w:firstLine="0"/>
              <w:jc w:val="right"/>
            </w:pPr>
            <w:r>
              <w:rPr>
                <w:rFonts w:ascii="Arial" w:hAnsi="Arial" w:eastAsia="Arial"/>
                <w:b w:val="0"/>
                <w:i w:val="0"/>
                <w:color w:val="000000"/>
                <w:sz w:val="16"/>
              </w:rPr>
              <w:t>-</w:t>
            </w:r>
          </w:p>
        </w:tc>
      </w:tr>
      <w:tr>
        <w:trPr>
          <w:trHeight w:hRule="exact" w:val="161"/>
        </w:trPr>
        <w:tc>
          <w:tcPr>
            <w:tcW w:type="dxa" w:w="1794"/>
            <w:tcBorders/>
            <w:tcMar>
              <w:start w:w="0" w:type="dxa"/>
              <w:end w:w="0" w:type="dxa"/>
            </w:tcMar>
          </w:tcPr>
          <w:p>
            <w:pPr>
              <w:autoSpaceDN w:val="0"/>
              <w:autoSpaceDE w:val="0"/>
              <w:widowControl/>
              <w:spacing w:line="160" w:lineRule="exact" w:before="2" w:after="0"/>
              <w:ind w:left="198" w:right="0" w:firstLine="0"/>
              <w:jc w:val="left"/>
            </w:pPr>
            <w:r>
              <w:rPr>
                <w:rFonts w:ascii="黑体" w:hAnsi="黑体" w:eastAsia="黑体"/>
                <w:b w:val="0"/>
                <w:i w:val="0"/>
                <w:color w:val="000000"/>
                <w:sz w:val="16"/>
              </w:rPr>
              <w:t>应付短期融资券</w:t>
            </w:r>
          </w:p>
        </w:tc>
        <w:tc>
          <w:tcPr>
            <w:tcW w:type="dxa" w:w="1508"/>
            <w:vMerge w:val="restart"/>
            <w:tcBorders/>
            <w:tcMar>
              <w:start w:w="0" w:type="dxa"/>
              <w:end w:w="0" w:type="dxa"/>
            </w:tcMar>
            <w:tcMar>
              <w:start w:w="0" w:type="dxa"/>
              <w:end w:w="0" w:type="dxa"/>
            </w:tcMar>
          </w:tcPr>
          <w:p>
            <w:pPr>
              <w:autoSpaceDN w:val="0"/>
              <w:autoSpaceDE w:val="0"/>
              <w:widowControl/>
              <w:spacing w:line="230" w:lineRule="auto" w:before="12" w:after="0"/>
              <w:ind w:left="0" w:right="70" w:firstLine="0"/>
              <w:jc w:val="right"/>
            </w:pPr>
            <w:r>
              <w:rPr>
                <w:rFonts w:ascii="Arial" w:hAnsi="Arial" w:eastAsia="Arial"/>
                <w:b w:val="0"/>
                <w:i w:val="0"/>
                <w:color w:val="000000"/>
                <w:sz w:val="16"/>
              </w:rPr>
              <w:t xml:space="preserve">872,573,450 </w:t>
            </w:r>
          </w:p>
        </w:tc>
        <w:tc>
          <w:tcPr>
            <w:tcW w:type="dxa" w:w="1646"/>
            <w:vMerge w:val="restart"/>
            <w:tcBorders/>
            <w:tcMar>
              <w:start w:w="0" w:type="dxa"/>
              <w:end w:w="0" w:type="dxa"/>
            </w:tcMar>
            <w:tcMar>
              <w:start w:w="0" w:type="dxa"/>
              <w:end w:w="0" w:type="dxa"/>
            </w:tcMar>
          </w:tcPr>
          <w:p>
            <w:pPr>
              <w:autoSpaceDN w:val="0"/>
              <w:autoSpaceDE w:val="0"/>
              <w:widowControl/>
              <w:spacing w:line="230" w:lineRule="auto" w:before="12" w:after="0"/>
              <w:ind w:left="0" w:right="70" w:firstLine="0"/>
              <w:jc w:val="right"/>
            </w:pPr>
            <w:r>
              <w:rPr>
                <w:rFonts w:ascii="Arial" w:hAnsi="Arial" w:eastAsia="Arial"/>
                <w:b w:val="0"/>
                <w:i w:val="0"/>
                <w:color w:val="000000"/>
                <w:sz w:val="16"/>
              </w:rPr>
              <w:t xml:space="preserve">- </w:t>
            </w:r>
          </w:p>
        </w:tc>
        <w:tc>
          <w:tcPr>
            <w:tcW w:type="dxa" w:w="1842"/>
            <w:vMerge w:val="restart"/>
            <w:tcBorders/>
            <w:tcMar>
              <w:start w:w="0" w:type="dxa"/>
              <w:end w:w="0" w:type="dxa"/>
            </w:tcMar>
            <w:tcMar>
              <w:start w:w="0" w:type="dxa"/>
              <w:end w:w="0" w:type="dxa"/>
            </w:tcMar>
          </w:tcPr>
          <w:p>
            <w:pPr>
              <w:autoSpaceDN w:val="0"/>
              <w:autoSpaceDE w:val="0"/>
              <w:widowControl/>
              <w:spacing w:line="197" w:lineRule="auto" w:before="32" w:after="0"/>
              <w:ind w:left="0" w:right="0" w:firstLine="0"/>
              <w:jc w:val="right"/>
            </w:pPr>
            <w:r>
              <w:rPr>
                <w:rFonts w:ascii="Calibri" w:hAnsi="Calibri" w:eastAsia="Calibri"/>
                <w:b w:val="0"/>
                <w:i w:val="0"/>
                <w:color w:val="000000"/>
                <w:sz w:val="16"/>
              </w:rPr>
              <w:t>-</w:t>
            </w:r>
          </w:p>
        </w:tc>
        <w:tc>
          <w:tcPr>
            <w:tcW w:type="dxa" w:w="1836"/>
            <w:vMerge w:val="restart"/>
            <w:tcBorders/>
            <w:tcMar>
              <w:start w:w="0" w:type="dxa"/>
              <w:end w:w="0" w:type="dxa"/>
            </w:tcMar>
            <w:tcMar>
              <w:start w:w="0" w:type="dxa"/>
              <w:end w:w="0" w:type="dxa"/>
            </w:tcMar>
          </w:tcPr>
          <w:p>
            <w:pPr>
              <w:autoSpaceDN w:val="0"/>
              <w:autoSpaceDE w:val="0"/>
              <w:widowControl/>
              <w:spacing w:line="230" w:lineRule="auto" w:before="12" w:after="0"/>
              <w:ind w:left="0" w:right="0" w:firstLine="0"/>
              <w:jc w:val="right"/>
            </w:pPr>
            <w:r>
              <w:rPr>
                <w:rFonts w:ascii="Arial" w:hAnsi="Arial" w:eastAsia="Arial"/>
                <w:b w:val="0"/>
                <w:i w:val="0"/>
                <w:color w:val="000000"/>
                <w:sz w:val="16"/>
              </w:rPr>
              <w:t>-</w:t>
            </w:r>
          </w:p>
        </w:tc>
      </w:tr>
      <w:tr>
        <w:trPr>
          <w:trHeight w:hRule="exact" w:val="47"/>
        </w:trPr>
        <w:tc>
          <w:tcPr>
            <w:tcW w:type="dxa" w:w="1794"/>
            <w:vMerge w:val="restart"/>
            <w:tcBorders/>
            <w:tcMar>
              <w:start w:w="0" w:type="dxa"/>
              <w:end w:w="0" w:type="dxa"/>
            </w:tcMar>
            <w:tcMar>
              <w:start w:w="0" w:type="dxa"/>
              <w:end w:w="0" w:type="dxa"/>
            </w:tcMar>
          </w:tcPr>
          <w:p>
            <w:pPr>
              <w:autoSpaceDN w:val="0"/>
              <w:autoSpaceDE w:val="0"/>
              <w:widowControl/>
              <w:spacing w:line="160" w:lineRule="exact" w:before="56" w:after="0"/>
              <w:ind w:left="198" w:right="0" w:firstLine="0"/>
              <w:jc w:val="left"/>
            </w:pPr>
            <w:r>
              <w:rPr>
                <w:rFonts w:ascii="黑体" w:hAnsi="黑体" w:eastAsia="黑体"/>
                <w:b w:val="0"/>
                <w:i w:val="0"/>
                <w:color w:val="000000"/>
                <w:sz w:val="16"/>
              </w:rPr>
              <w:t>拆入资金</w:t>
            </w:r>
          </w:p>
        </w:tc>
        <w:tc>
          <w:tcPr>
            <w:tcW w:type="dxa" w:w="1804"/>
            <w:vMerge/>
            <w:tcBorders/>
          </w:tcPr>
          <w:p/>
        </w:tc>
        <w:tc>
          <w:tcPr>
            <w:tcW w:type="dxa" w:w="1804"/>
            <w:vMerge/>
            <w:tcBorders/>
          </w:tcPr>
          <w:p/>
        </w:tc>
        <w:tc>
          <w:tcPr>
            <w:tcW w:type="dxa" w:w="1804"/>
            <w:vMerge/>
            <w:tcBorders/>
          </w:tcPr>
          <w:p/>
        </w:tc>
        <w:tc>
          <w:tcPr>
            <w:tcW w:type="dxa" w:w="1804"/>
            <w:vMerge/>
            <w:tcBorders/>
          </w:tcPr>
          <w:p/>
        </w:tc>
      </w:tr>
      <w:tr>
        <w:trPr>
          <w:trHeight w:hRule="exact" w:val="173"/>
        </w:trPr>
        <w:tc>
          <w:tcPr>
            <w:tcW w:type="dxa" w:w="1804"/>
            <w:vMerge/>
            <w:tcBorders/>
          </w:tcPr>
          <w:p/>
        </w:tc>
        <w:tc>
          <w:tcPr>
            <w:tcW w:type="dxa" w:w="1508"/>
            <w:tcBorders/>
            <w:tcMar>
              <w:start w:w="0" w:type="dxa"/>
              <w:end w:w="0" w:type="dxa"/>
            </w:tcMar>
          </w:tcPr>
          <w:p>
            <w:pPr>
              <w:autoSpaceDN w:val="0"/>
              <w:autoSpaceDE w:val="0"/>
              <w:widowControl/>
              <w:spacing w:line="233" w:lineRule="auto" w:before="0" w:after="0"/>
              <w:ind w:left="282" w:right="0" w:firstLine="0"/>
              <w:jc w:val="left"/>
            </w:pPr>
            <w:r>
              <w:rPr>
                <w:rFonts w:ascii="Arial" w:hAnsi="Arial" w:eastAsia="Arial"/>
                <w:b w:val="0"/>
                <w:i w:val="0"/>
                <w:color w:val="000000"/>
                <w:sz w:val="16"/>
              </w:rPr>
              <w:t xml:space="preserve">12,793,602,454 </w:t>
            </w:r>
          </w:p>
        </w:tc>
        <w:tc>
          <w:tcPr>
            <w:tcW w:type="dxa" w:w="1646"/>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12"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r>
      <w:tr>
        <w:trPr>
          <w:trHeight w:hRule="exact" w:val="242"/>
        </w:trPr>
        <w:tc>
          <w:tcPr>
            <w:tcW w:type="dxa" w:w="1794"/>
            <w:tcBorders/>
            <w:tcMar>
              <w:start w:w="0" w:type="dxa"/>
              <w:end w:w="0" w:type="dxa"/>
            </w:tcMar>
          </w:tcPr>
          <w:p>
            <w:pPr>
              <w:autoSpaceDN w:val="0"/>
              <w:autoSpaceDE w:val="0"/>
              <w:widowControl/>
              <w:spacing w:line="162" w:lineRule="exact" w:before="42" w:after="0"/>
              <w:ind w:left="198" w:right="0" w:firstLine="0"/>
              <w:jc w:val="left"/>
            </w:pPr>
            <w:r>
              <w:rPr>
                <w:rFonts w:ascii="黑体" w:hAnsi="黑体" w:eastAsia="黑体"/>
                <w:b w:val="0"/>
                <w:i w:val="0"/>
                <w:color w:val="000000"/>
                <w:sz w:val="16"/>
              </w:rPr>
              <w:t>交易性金融负债</w:t>
            </w:r>
          </w:p>
        </w:tc>
        <w:tc>
          <w:tcPr>
            <w:tcW w:type="dxa" w:w="1508"/>
            <w:tcBorders/>
            <w:tcMar>
              <w:start w:w="0" w:type="dxa"/>
              <w:end w:w="0" w:type="dxa"/>
            </w:tcMar>
          </w:tcPr>
          <w:p>
            <w:pPr>
              <w:autoSpaceDN w:val="0"/>
              <w:autoSpaceDE w:val="0"/>
              <w:widowControl/>
              <w:spacing w:line="233" w:lineRule="auto" w:before="44" w:after="0"/>
              <w:ind w:left="0" w:right="70" w:firstLine="0"/>
              <w:jc w:val="right"/>
            </w:pPr>
            <w:r>
              <w:rPr>
                <w:rFonts w:ascii="Arial" w:hAnsi="Arial" w:eastAsia="Arial"/>
                <w:b w:val="0"/>
                <w:i w:val="0"/>
                <w:color w:val="000000"/>
                <w:sz w:val="16"/>
              </w:rPr>
              <w:t xml:space="preserve">- </w:t>
            </w:r>
          </w:p>
        </w:tc>
        <w:tc>
          <w:tcPr>
            <w:tcW w:type="dxa" w:w="1646"/>
            <w:tcBorders/>
            <w:tcMar>
              <w:start w:w="0" w:type="dxa"/>
              <w:end w:w="0" w:type="dxa"/>
            </w:tcMar>
          </w:tcPr>
          <w:p>
            <w:pPr>
              <w:autoSpaceDN w:val="0"/>
              <w:autoSpaceDE w:val="0"/>
              <w:widowControl/>
              <w:spacing w:line="233" w:lineRule="auto" w:before="44" w:after="0"/>
              <w:ind w:left="0" w:right="70" w:firstLine="0"/>
              <w:jc w:val="right"/>
            </w:pPr>
            <w:r>
              <w:rPr>
                <w:rFonts w:ascii="Arial" w:hAnsi="Arial" w:eastAsia="Arial"/>
                <w:b w:val="0"/>
                <w:i w:val="0"/>
                <w:color w:val="000000"/>
                <w:sz w:val="16"/>
              </w:rPr>
              <w:t xml:space="preserve">1,512,007,369 </w:t>
            </w:r>
          </w:p>
        </w:tc>
        <w:tc>
          <w:tcPr>
            <w:tcW w:type="dxa" w:w="1842"/>
            <w:tcBorders/>
            <w:tcMar>
              <w:start w:w="0" w:type="dxa"/>
              <w:end w:w="0" w:type="dxa"/>
            </w:tcMar>
          </w:tcPr>
          <w:p>
            <w:pPr>
              <w:autoSpaceDN w:val="0"/>
              <w:autoSpaceDE w:val="0"/>
              <w:widowControl/>
              <w:spacing w:line="199" w:lineRule="auto" w:before="64"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3" w:lineRule="auto" w:before="44" w:after="0"/>
              <w:ind w:left="0" w:right="0" w:firstLine="0"/>
              <w:jc w:val="right"/>
            </w:pPr>
            <w:r>
              <w:rPr>
                <w:rFonts w:ascii="Arial" w:hAnsi="Arial" w:eastAsia="Arial"/>
                <w:b w:val="0"/>
                <w:i w:val="0"/>
                <w:color w:val="000000"/>
                <w:sz w:val="16"/>
              </w:rPr>
              <w:t>-</w:t>
            </w:r>
          </w:p>
        </w:tc>
      </w:tr>
      <w:tr>
        <w:trPr>
          <w:trHeight w:hRule="exact" w:val="177"/>
        </w:trPr>
        <w:tc>
          <w:tcPr>
            <w:tcW w:type="dxa" w:w="1794"/>
            <w:tcBorders/>
            <w:tcMar>
              <w:start w:w="0" w:type="dxa"/>
              <w:end w:w="0" w:type="dxa"/>
            </w:tcMar>
          </w:tcPr>
          <w:p>
            <w:pPr>
              <w:autoSpaceDN w:val="0"/>
              <w:autoSpaceDE w:val="0"/>
              <w:widowControl/>
              <w:spacing w:line="160" w:lineRule="exact" w:before="10" w:after="0"/>
              <w:ind w:left="198" w:right="0" w:firstLine="0"/>
              <w:jc w:val="left"/>
            </w:pPr>
            <w:r>
              <w:rPr>
                <w:rFonts w:ascii="黑体" w:hAnsi="黑体" w:eastAsia="黑体"/>
                <w:b w:val="0"/>
                <w:i w:val="0"/>
                <w:color w:val="000000"/>
                <w:sz w:val="16"/>
              </w:rPr>
              <w:t>衍生金融负债</w:t>
            </w:r>
          </w:p>
        </w:tc>
        <w:tc>
          <w:tcPr>
            <w:tcW w:type="dxa" w:w="1508"/>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 </w:t>
            </w:r>
          </w:p>
        </w:tc>
        <w:tc>
          <w:tcPr>
            <w:tcW w:type="dxa" w:w="1646"/>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131,465,972 </w:t>
            </w:r>
          </w:p>
        </w:tc>
        <w:tc>
          <w:tcPr>
            <w:tcW w:type="dxa" w:w="1842"/>
            <w:tcBorders/>
            <w:tcMar>
              <w:start w:w="0" w:type="dxa"/>
              <w:end w:w="0" w:type="dxa"/>
            </w:tcMar>
          </w:tcPr>
          <w:p>
            <w:pPr>
              <w:autoSpaceDN w:val="0"/>
              <w:autoSpaceDE w:val="0"/>
              <w:widowControl/>
              <w:spacing w:line="197" w:lineRule="auto" w:before="18"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r>
      <w:tr>
        <w:trPr>
          <w:trHeight w:hRule="exact" w:val="200"/>
        </w:trPr>
        <w:tc>
          <w:tcPr>
            <w:tcW w:type="dxa" w:w="1794"/>
            <w:tcBorders/>
            <w:tcMar>
              <w:start w:w="0" w:type="dxa"/>
              <w:end w:w="0" w:type="dxa"/>
            </w:tcMar>
          </w:tcPr>
          <w:p>
            <w:pPr>
              <w:autoSpaceDN w:val="0"/>
              <w:autoSpaceDE w:val="0"/>
              <w:widowControl/>
              <w:spacing w:line="160" w:lineRule="exact" w:before="38" w:after="0"/>
              <w:ind w:left="0" w:right="0" w:firstLine="0"/>
              <w:jc w:val="center"/>
            </w:pPr>
            <w:r>
              <w:rPr>
                <w:rFonts w:ascii="黑体" w:hAnsi="黑体" w:eastAsia="黑体"/>
                <w:b w:val="0"/>
                <w:i w:val="0"/>
                <w:color w:val="000000"/>
                <w:sz w:val="16"/>
              </w:rPr>
              <w:t>卖出回购金融资产款</w:t>
            </w:r>
          </w:p>
        </w:tc>
        <w:tc>
          <w:tcPr>
            <w:tcW w:type="dxa" w:w="1508"/>
            <w:tcBorders/>
            <w:tcMar>
              <w:start w:w="0" w:type="dxa"/>
              <w:end w:w="0" w:type="dxa"/>
            </w:tcMar>
          </w:tcPr>
          <w:p>
            <w:pPr>
              <w:autoSpaceDN w:val="0"/>
              <w:autoSpaceDE w:val="0"/>
              <w:widowControl/>
              <w:spacing w:line="233" w:lineRule="auto" w:before="20" w:after="0"/>
              <w:ind w:left="282" w:right="0" w:firstLine="0"/>
              <w:jc w:val="left"/>
            </w:pPr>
            <w:r>
              <w:rPr>
                <w:rFonts w:ascii="Arial" w:hAnsi="Arial" w:eastAsia="Arial"/>
                <w:b w:val="0"/>
                <w:i w:val="0"/>
                <w:color w:val="000000"/>
                <w:sz w:val="16"/>
              </w:rPr>
              <w:t xml:space="preserve">10,277,980,209 </w:t>
            </w:r>
          </w:p>
        </w:tc>
        <w:tc>
          <w:tcPr>
            <w:tcW w:type="dxa" w:w="1646"/>
            <w:tcBorders/>
            <w:tcMar>
              <w:start w:w="0" w:type="dxa"/>
              <w:end w:w="0" w:type="dxa"/>
            </w:tcMar>
          </w:tcPr>
          <w:p>
            <w:pPr>
              <w:autoSpaceDN w:val="0"/>
              <w:autoSpaceDE w:val="0"/>
              <w:widowControl/>
              <w:spacing w:line="233" w:lineRule="auto" w:before="20"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16"/>
              </w:rPr>
              <w:t>-</w:t>
            </w:r>
          </w:p>
        </w:tc>
      </w:tr>
      <w:tr>
        <w:trPr>
          <w:trHeight w:hRule="exact" w:val="235"/>
        </w:trPr>
        <w:tc>
          <w:tcPr>
            <w:tcW w:type="dxa" w:w="1794"/>
            <w:tcBorders/>
            <w:tcMar>
              <w:start w:w="0" w:type="dxa"/>
              <w:end w:w="0" w:type="dxa"/>
            </w:tcMar>
          </w:tcPr>
          <w:p>
            <w:pPr>
              <w:autoSpaceDN w:val="0"/>
              <w:autoSpaceDE w:val="0"/>
              <w:widowControl/>
              <w:spacing w:line="160" w:lineRule="exact" w:before="48" w:after="0"/>
              <w:ind w:left="198" w:right="0" w:firstLine="0"/>
              <w:jc w:val="left"/>
            </w:pPr>
            <w:r>
              <w:rPr>
                <w:rFonts w:ascii="黑体" w:hAnsi="黑体" w:eastAsia="黑体"/>
                <w:b w:val="0"/>
                <w:i w:val="0"/>
                <w:color w:val="000000"/>
                <w:sz w:val="16"/>
              </w:rPr>
              <w:t>代理买卖证券款</w:t>
            </w:r>
          </w:p>
        </w:tc>
        <w:tc>
          <w:tcPr>
            <w:tcW w:type="dxa" w:w="1508"/>
            <w:tcBorders/>
            <w:tcMar>
              <w:start w:w="0" w:type="dxa"/>
              <w:end w:w="0" w:type="dxa"/>
            </w:tcMar>
          </w:tcPr>
          <w:p>
            <w:pPr>
              <w:autoSpaceDN w:val="0"/>
              <w:autoSpaceDE w:val="0"/>
              <w:widowControl/>
              <w:spacing w:line="230" w:lineRule="auto" w:before="50" w:after="0"/>
              <w:ind w:left="282" w:right="0" w:firstLine="0"/>
              <w:jc w:val="left"/>
            </w:pPr>
            <w:r>
              <w:rPr>
                <w:rFonts w:ascii="Arial" w:hAnsi="Arial" w:eastAsia="Arial"/>
                <w:b w:val="0"/>
                <w:i w:val="0"/>
                <w:color w:val="000000"/>
                <w:sz w:val="16"/>
              </w:rPr>
              <w:t xml:space="preserve">14,586,617,553 </w:t>
            </w:r>
          </w:p>
        </w:tc>
        <w:tc>
          <w:tcPr>
            <w:tcW w:type="dxa" w:w="1646"/>
            <w:tcBorders/>
            <w:tcMar>
              <w:start w:w="0" w:type="dxa"/>
              <w:end w:w="0" w:type="dxa"/>
            </w:tcMar>
          </w:tcPr>
          <w:p>
            <w:pPr>
              <w:autoSpaceDN w:val="0"/>
              <w:autoSpaceDE w:val="0"/>
              <w:widowControl/>
              <w:spacing w:line="230" w:lineRule="auto" w:before="50"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9" w:lineRule="auto" w:before="66"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0" w:lineRule="auto" w:before="50" w:after="0"/>
              <w:ind w:left="0" w:right="0" w:firstLine="0"/>
              <w:jc w:val="right"/>
            </w:pPr>
            <w:r>
              <w:rPr>
                <w:rFonts w:ascii="Arial" w:hAnsi="Arial" w:eastAsia="Arial"/>
                <w:b w:val="0"/>
                <w:i w:val="0"/>
                <w:color w:val="000000"/>
                <w:sz w:val="16"/>
              </w:rPr>
              <w:t>-</w:t>
            </w:r>
          </w:p>
        </w:tc>
      </w:tr>
      <w:tr>
        <w:trPr>
          <w:trHeight w:hRule="exact" w:val="165"/>
        </w:trPr>
        <w:tc>
          <w:tcPr>
            <w:tcW w:type="dxa" w:w="1794"/>
            <w:tcBorders/>
            <w:tcMar>
              <w:start w:w="0" w:type="dxa"/>
              <w:end w:w="0" w:type="dxa"/>
            </w:tcMar>
          </w:tcPr>
          <w:p>
            <w:pPr>
              <w:autoSpaceDN w:val="0"/>
              <w:autoSpaceDE w:val="0"/>
              <w:widowControl/>
              <w:spacing w:line="160" w:lineRule="exact" w:before="4" w:after="0"/>
              <w:ind w:left="198" w:right="0" w:firstLine="0"/>
              <w:jc w:val="left"/>
            </w:pPr>
            <w:r>
              <w:rPr>
                <w:rFonts w:ascii="黑体" w:hAnsi="黑体" w:eastAsia="黑体"/>
                <w:b w:val="0"/>
                <w:i w:val="0"/>
                <w:color w:val="000000"/>
                <w:sz w:val="16"/>
              </w:rPr>
              <w:t>代理承销证券款</w:t>
            </w:r>
          </w:p>
        </w:tc>
        <w:tc>
          <w:tcPr>
            <w:tcW w:type="dxa" w:w="1508"/>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125,599,933 </w:t>
            </w:r>
          </w:p>
        </w:tc>
        <w:tc>
          <w:tcPr>
            <w:tcW w:type="dxa" w:w="1646"/>
            <w:tcBorders/>
            <w:tcMar>
              <w:start w:w="0" w:type="dxa"/>
              <w:end w:w="0" w:type="dxa"/>
            </w:tcMar>
          </w:tcPr>
          <w:p>
            <w:pPr>
              <w:autoSpaceDN w:val="0"/>
              <w:autoSpaceDE w:val="0"/>
              <w:widowControl/>
              <w:spacing w:line="230" w:lineRule="auto" w:before="0" w:after="0"/>
              <w:ind w:left="0" w:right="70" w:firstLine="0"/>
              <w:jc w:val="right"/>
            </w:pPr>
            <w:r>
              <w:rPr>
                <w:rFonts w:ascii="Arial" w:hAnsi="Arial" w:eastAsia="Arial"/>
                <w:b w:val="0"/>
                <w:i w:val="0"/>
                <w:color w:val="000000"/>
                <w:sz w:val="16"/>
              </w:rPr>
              <w:t xml:space="preserve">- </w:t>
            </w:r>
          </w:p>
        </w:tc>
        <w:tc>
          <w:tcPr>
            <w:tcW w:type="dxa" w:w="1842"/>
            <w:vMerge w:val="restart"/>
            <w:tcBorders/>
            <w:tcMar>
              <w:start w:w="0" w:type="dxa"/>
              <w:end w:w="0" w:type="dxa"/>
            </w:tcMar>
            <w:tcMar>
              <w:start w:w="0" w:type="dxa"/>
              <w:end w:w="0" w:type="dxa"/>
            </w:tcMar>
          </w:tcPr>
          <w:p>
            <w:pPr>
              <w:autoSpaceDN w:val="0"/>
              <w:autoSpaceDE w:val="0"/>
              <w:widowControl/>
              <w:spacing w:line="197" w:lineRule="auto" w:before="26"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0" w:lineRule="auto" w:before="0" w:after="0"/>
              <w:ind w:left="0" w:right="0" w:firstLine="0"/>
              <w:jc w:val="right"/>
            </w:pPr>
            <w:r>
              <w:rPr>
                <w:rFonts w:ascii="Arial" w:hAnsi="Arial" w:eastAsia="Arial"/>
                <w:b w:val="0"/>
                <w:i w:val="0"/>
                <w:color w:val="000000"/>
                <w:sz w:val="16"/>
              </w:rPr>
              <w:t>-</w:t>
            </w:r>
          </w:p>
        </w:tc>
      </w:tr>
      <w:tr>
        <w:trPr>
          <w:trHeight w:hRule="exact" w:val="52"/>
        </w:trPr>
        <w:tc>
          <w:tcPr>
            <w:tcW w:type="dxa" w:w="1794"/>
            <w:vMerge w:val="restart"/>
            <w:tcBorders/>
            <w:tcMar>
              <w:start w:w="0" w:type="dxa"/>
              <w:end w:w="0" w:type="dxa"/>
            </w:tcMar>
            <w:tcMar>
              <w:start w:w="0" w:type="dxa"/>
              <w:end w:w="0" w:type="dxa"/>
            </w:tcMar>
          </w:tcPr>
          <w:p>
            <w:pPr>
              <w:autoSpaceDN w:val="0"/>
              <w:autoSpaceDE w:val="0"/>
              <w:widowControl/>
              <w:spacing w:line="162" w:lineRule="exact" w:before="62" w:after="0"/>
              <w:ind w:left="198" w:right="0" w:firstLine="0"/>
              <w:jc w:val="left"/>
            </w:pPr>
            <w:r>
              <w:rPr>
                <w:rFonts w:ascii="黑体" w:hAnsi="黑体" w:eastAsia="黑体"/>
                <w:b w:val="0"/>
                <w:i w:val="0"/>
                <w:color w:val="000000"/>
                <w:sz w:val="16"/>
              </w:rPr>
              <w:t>应付债券</w:t>
            </w:r>
          </w:p>
        </w:tc>
        <w:tc>
          <w:tcPr>
            <w:tcW w:type="dxa" w:w="1508"/>
            <w:vMerge w:val="restart"/>
            <w:tcBorders/>
            <w:tcMar>
              <w:start w:w="0" w:type="dxa"/>
              <w:end w:w="0" w:type="dxa"/>
            </w:tcMar>
            <w:tcMar>
              <w:start w:w="0" w:type="dxa"/>
              <w:end w:w="0" w:type="dxa"/>
            </w:tcMar>
          </w:tcPr>
          <w:p>
            <w:pPr>
              <w:autoSpaceDN w:val="0"/>
              <w:autoSpaceDE w:val="0"/>
              <w:widowControl/>
              <w:spacing w:line="233" w:lineRule="auto" w:before="64" w:after="0"/>
              <w:ind w:left="282" w:right="0" w:firstLine="0"/>
              <w:jc w:val="left"/>
            </w:pPr>
            <w:r>
              <w:rPr>
                <w:rFonts w:ascii="Arial" w:hAnsi="Arial" w:eastAsia="Arial"/>
                <w:b w:val="0"/>
                <w:i w:val="0"/>
                <w:color w:val="000000"/>
                <w:sz w:val="16"/>
              </w:rPr>
              <w:t xml:space="preserve">15,809,101,530 </w:t>
            </w:r>
          </w:p>
        </w:tc>
        <w:tc>
          <w:tcPr>
            <w:tcW w:type="dxa" w:w="1646"/>
            <w:vMerge w:val="restart"/>
            <w:tcBorders/>
            <w:tcMar>
              <w:start w:w="0" w:type="dxa"/>
              <w:end w:w="0" w:type="dxa"/>
            </w:tcMar>
            <w:tcMar>
              <w:start w:w="0" w:type="dxa"/>
              <w:end w:w="0" w:type="dxa"/>
            </w:tcMar>
          </w:tcPr>
          <w:p>
            <w:pPr>
              <w:autoSpaceDN w:val="0"/>
              <w:autoSpaceDE w:val="0"/>
              <w:widowControl/>
              <w:spacing w:line="233" w:lineRule="auto" w:before="64" w:after="0"/>
              <w:ind w:left="0" w:right="70" w:firstLine="0"/>
              <w:jc w:val="right"/>
            </w:pPr>
            <w:r>
              <w:rPr>
                <w:rFonts w:ascii="Arial" w:hAnsi="Arial" w:eastAsia="Arial"/>
                <w:b w:val="0"/>
                <w:i w:val="0"/>
                <w:color w:val="000000"/>
                <w:sz w:val="16"/>
              </w:rPr>
              <w:t xml:space="preserve">- </w:t>
            </w:r>
          </w:p>
        </w:tc>
        <w:tc>
          <w:tcPr>
            <w:tcW w:type="dxa" w:w="1804"/>
            <w:vMerge/>
            <w:tcBorders/>
          </w:tcPr>
          <w:p/>
        </w:tc>
        <w:tc>
          <w:tcPr>
            <w:tcW w:type="dxa" w:w="1836"/>
            <w:vMerge w:val="restart"/>
            <w:tcBorders/>
            <w:tcMar>
              <w:start w:w="0" w:type="dxa"/>
              <w:end w:w="0" w:type="dxa"/>
            </w:tcMar>
            <w:tcMar>
              <w:start w:w="0" w:type="dxa"/>
              <w:end w:w="0" w:type="dxa"/>
            </w:tcMar>
          </w:tcPr>
          <w:p>
            <w:pPr>
              <w:autoSpaceDN w:val="0"/>
              <w:autoSpaceDE w:val="0"/>
              <w:widowControl/>
              <w:spacing w:line="233" w:lineRule="auto" w:before="64" w:after="0"/>
              <w:ind w:left="0" w:right="0" w:firstLine="0"/>
              <w:jc w:val="right"/>
            </w:pPr>
            <w:r>
              <w:rPr>
                <w:rFonts w:ascii="Arial" w:hAnsi="Arial" w:eastAsia="Arial"/>
                <w:b w:val="0"/>
                <w:i w:val="0"/>
                <w:color w:val="000000"/>
                <w:sz w:val="16"/>
              </w:rPr>
              <w:t>-</w:t>
            </w:r>
          </w:p>
        </w:tc>
      </w:tr>
      <w:tr>
        <w:trPr>
          <w:trHeight w:hRule="exact" w:val="208"/>
        </w:trPr>
        <w:tc>
          <w:tcPr>
            <w:tcW w:type="dxa" w:w="1804"/>
            <w:vMerge/>
            <w:tcBorders/>
          </w:tcPr>
          <w:p/>
        </w:tc>
        <w:tc>
          <w:tcPr>
            <w:tcW w:type="dxa" w:w="1804"/>
            <w:vMerge/>
            <w:tcBorders/>
          </w:tcPr>
          <w:p/>
        </w:tc>
        <w:tc>
          <w:tcPr>
            <w:tcW w:type="dxa" w:w="1804"/>
            <w:vMerge/>
            <w:tcBorders/>
          </w:tcPr>
          <w:p/>
        </w:tc>
        <w:tc>
          <w:tcPr>
            <w:tcW w:type="dxa" w:w="1842"/>
            <w:tcBorders/>
            <w:tcMar>
              <w:start w:w="0" w:type="dxa"/>
              <w:end w:w="0" w:type="dxa"/>
            </w:tcMar>
          </w:tcPr>
          <w:p>
            <w:pPr>
              <w:autoSpaceDN w:val="0"/>
              <w:autoSpaceDE w:val="0"/>
              <w:widowControl/>
              <w:spacing w:line="199" w:lineRule="auto" w:before="30" w:after="0"/>
              <w:ind w:left="0" w:right="0" w:firstLine="0"/>
              <w:jc w:val="right"/>
            </w:pPr>
            <w:r>
              <w:rPr>
                <w:rFonts w:ascii="Calibri" w:hAnsi="Calibri" w:eastAsia="Calibri"/>
                <w:b w:val="0"/>
                <w:i w:val="0"/>
                <w:color w:val="000000"/>
                <w:sz w:val="16"/>
              </w:rPr>
              <w:t>-</w:t>
            </w:r>
          </w:p>
        </w:tc>
        <w:tc>
          <w:tcPr>
            <w:tcW w:type="dxa" w:w="1804"/>
            <w:vMerge/>
            <w:tcBorders/>
          </w:tcPr>
          <w:p/>
        </w:tc>
      </w:tr>
      <w:tr>
        <w:trPr>
          <w:trHeight w:hRule="exact" w:val="180"/>
        </w:trPr>
        <w:tc>
          <w:tcPr>
            <w:tcW w:type="dxa" w:w="1794"/>
            <w:tcBorders/>
            <w:tcMar>
              <w:start w:w="0" w:type="dxa"/>
              <w:end w:w="0" w:type="dxa"/>
            </w:tcMar>
          </w:tcPr>
          <w:p>
            <w:pPr>
              <w:autoSpaceDN w:val="0"/>
              <w:autoSpaceDE w:val="0"/>
              <w:widowControl/>
              <w:spacing w:line="162" w:lineRule="exact" w:before="8" w:after="0"/>
              <w:ind w:left="198" w:right="0" w:firstLine="0"/>
              <w:jc w:val="left"/>
            </w:pPr>
            <w:r>
              <w:rPr>
                <w:rFonts w:ascii="黑体" w:hAnsi="黑体" w:eastAsia="黑体"/>
                <w:b w:val="0"/>
                <w:i w:val="0"/>
                <w:color w:val="000000"/>
                <w:sz w:val="16"/>
              </w:rPr>
              <w:t>应付款项</w:t>
            </w:r>
          </w:p>
        </w:tc>
        <w:tc>
          <w:tcPr>
            <w:tcW w:type="dxa" w:w="1508"/>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366,687,841 </w:t>
            </w:r>
          </w:p>
        </w:tc>
        <w:tc>
          <w:tcPr>
            <w:tcW w:type="dxa" w:w="1646"/>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9" w:lineRule="auto" w:before="18"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16"/>
              </w:rPr>
              <w:t>-</w:t>
            </w:r>
          </w:p>
        </w:tc>
      </w:tr>
      <w:tr>
        <w:trPr>
          <w:trHeight w:hRule="exact" w:val="200"/>
        </w:trPr>
        <w:tc>
          <w:tcPr>
            <w:tcW w:type="dxa" w:w="1794"/>
            <w:tcBorders/>
            <w:tcMar>
              <w:start w:w="0" w:type="dxa"/>
              <w:end w:w="0" w:type="dxa"/>
            </w:tcMar>
          </w:tcPr>
          <w:p>
            <w:pPr>
              <w:autoSpaceDN w:val="0"/>
              <w:autoSpaceDE w:val="0"/>
              <w:widowControl/>
              <w:spacing w:line="160" w:lineRule="exact" w:before="38" w:after="0"/>
              <w:ind w:left="198" w:right="0" w:firstLine="0"/>
              <w:jc w:val="left"/>
            </w:pPr>
            <w:r>
              <w:rPr>
                <w:rFonts w:ascii="黑体" w:hAnsi="黑体" w:eastAsia="黑体"/>
                <w:b w:val="0"/>
                <w:i w:val="0"/>
                <w:color w:val="000000"/>
                <w:sz w:val="16"/>
              </w:rPr>
              <w:t>租赁负债</w:t>
            </w:r>
          </w:p>
        </w:tc>
        <w:tc>
          <w:tcPr>
            <w:tcW w:type="dxa" w:w="1508"/>
            <w:tcBorders/>
            <w:tcMar>
              <w:start w:w="0" w:type="dxa"/>
              <w:end w:w="0" w:type="dxa"/>
            </w:tcMar>
          </w:tcPr>
          <w:p>
            <w:pPr>
              <w:autoSpaceDN w:val="0"/>
              <w:autoSpaceDE w:val="0"/>
              <w:widowControl/>
              <w:spacing w:line="230" w:lineRule="auto" w:before="22" w:after="0"/>
              <w:ind w:left="0" w:right="70" w:firstLine="0"/>
              <w:jc w:val="right"/>
            </w:pPr>
            <w:r>
              <w:rPr>
                <w:rFonts w:ascii="Arial" w:hAnsi="Arial" w:eastAsia="Arial"/>
                <w:b w:val="0"/>
                <w:i w:val="0"/>
                <w:color w:val="000000"/>
                <w:sz w:val="16"/>
              </w:rPr>
              <w:t xml:space="preserve">317,169,527 </w:t>
            </w:r>
          </w:p>
        </w:tc>
        <w:tc>
          <w:tcPr>
            <w:tcW w:type="dxa" w:w="1646"/>
            <w:tcBorders/>
            <w:tcMar>
              <w:start w:w="0" w:type="dxa"/>
              <w:end w:w="0" w:type="dxa"/>
            </w:tcMar>
          </w:tcPr>
          <w:p>
            <w:pPr>
              <w:autoSpaceDN w:val="0"/>
              <w:autoSpaceDE w:val="0"/>
              <w:widowControl/>
              <w:spacing w:line="230" w:lineRule="auto" w:before="22" w:after="0"/>
              <w:ind w:left="0" w:right="70" w:firstLine="0"/>
              <w:jc w:val="right"/>
            </w:pPr>
            <w:r>
              <w:rPr>
                <w:rFonts w:ascii="Arial" w:hAnsi="Arial" w:eastAsia="Arial"/>
                <w:b w:val="0"/>
                <w:i w:val="0"/>
                <w:color w:val="000000"/>
                <w:sz w:val="16"/>
              </w:rPr>
              <w:t xml:space="preserve">- </w:t>
            </w:r>
          </w:p>
        </w:tc>
        <w:tc>
          <w:tcPr>
            <w:tcW w:type="dxa" w:w="1842"/>
            <w:tcBorders/>
            <w:tcMar>
              <w:start w:w="0" w:type="dxa"/>
              <w:end w:w="0" w:type="dxa"/>
            </w:tcMar>
          </w:tcPr>
          <w:p>
            <w:pPr>
              <w:autoSpaceDN w:val="0"/>
              <w:autoSpaceDE w:val="0"/>
              <w:widowControl/>
              <w:spacing w:line="197" w:lineRule="auto" w:before="40" w:after="0"/>
              <w:ind w:left="0" w:right="0" w:firstLine="0"/>
              <w:jc w:val="right"/>
            </w:pPr>
            <w:r>
              <w:rPr>
                <w:rFonts w:ascii="Calibri" w:hAnsi="Calibri" w:eastAsia="Calibri"/>
                <w:b w:val="0"/>
                <w:i w:val="0"/>
                <w:color w:val="000000"/>
                <w:sz w:val="16"/>
              </w:rPr>
              <w:t>-</w:t>
            </w:r>
          </w:p>
        </w:tc>
        <w:tc>
          <w:tcPr>
            <w:tcW w:type="dxa" w:w="1836"/>
            <w:tcBorders/>
            <w:tcMar>
              <w:start w:w="0" w:type="dxa"/>
              <w:end w:w="0" w:type="dxa"/>
            </w:tcMar>
          </w:tcPr>
          <w:p>
            <w:pPr>
              <w:autoSpaceDN w:val="0"/>
              <w:autoSpaceDE w:val="0"/>
              <w:widowControl/>
              <w:spacing w:line="230" w:lineRule="auto" w:before="22" w:after="0"/>
              <w:ind w:left="0" w:right="0" w:firstLine="0"/>
              <w:jc w:val="right"/>
            </w:pPr>
            <w:r>
              <w:rPr>
                <w:rFonts w:ascii="Arial" w:hAnsi="Arial" w:eastAsia="Arial"/>
                <w:b w:val="0"/>
                <w:i w:val="0"/>
                <w:color w:val="000000"/>
                <w:sz w:val="16"/>
              </w:rPr>
              <w:t>-</w:t>
            </w:r>
          </w:p>
        </w:tc>
      </w:tr>
      <w:tr>
        <w:trPr>
          <w:trHeight w:hRule="exact" w:val="236"/>
        </w:trPr>
        <w:tc>
          <w:tcPr>
            <w:tcW w:type="dxa" w:w="1794"/>
            <w:tcBorders>
              <w:bottom w:sz="4.0" w:val="single" w:color="#000000"/>
            </w:tcBorders>
            <w:tcMar>
              <w:start w:w="0" w:type="dxa"/>
              <w:end w:w="0" w:type="dxa"/>
            </w:tcMar>
          </w:tcPr>
          <w:p>
            <w:pPr>
              <w:autoSpaceDN w:val="0"/>
              <w:autoSpaceDE w:val="0"/>
              <w:widowControl/>
              <w:spacing w:line="160" w:lineRule="exact" w:before="44" w:after="0"/>
              <w:ind w:left="198" w:right="0" w:firstLine="0"/>
              <w:jc w:val="left"/>
            </w:pPr>
            <w:r>
              <w:rPr>
                <w:rFonts w:ascii="黑体" w:hAnsi="黑体" w:eastAsia="黑体"/>
                <w:b w:val="0"/>
                <w:i w:val="0"/>
                <w:color w:val="000000"/>
                <w:sz w:val="16"/>
              </w:rPr>
              <w:t>其他金融负债</w:t>
            </w:r>
          </w:p>
        </w:tc>
        <w:tc>
          <w:tcPr>
            <w:tcW w:type="dxa" w:w="1508"/>
            <w:tcBorders>
              <w:bottom w:sz="4.0" w:val="single" w:color="#000000"/>
            </w:tcBorders>
            <w:tcMar>
              <w:start w:w="0" w:type="dxa"/>
              <w:end w:w="0" w:type="dxa"/>
            </w:tcMar>
          </w:tcPr>
          <w:p>
            <w:pPr>
              <w:autoSpaceDN w:val="0"/>
              <w:autoSpaceDE w:val="0"/>
              <w:widowControl/>
              <w:spacing w:line="233" w:lineRule="auto" w:before="46" w:after="0"/>
              <w:ind w:left="370" w:right="0" w:firstLine="0"/>
              <w:jc w:val="left"/>
            </w:pPr>
            <w:r>
              <w:rPr>
                <w:rFonts w:ascii="Arial" w:hAnsi="Arial" w:eastAsia="Arial"/>
                <w:b w:val="0"/>
                <w:i w:val="0"/>
                <w:color w:val="000000"/>
                <w:sz w:val="16"/>
              </w:rPr>
              <w:t xml:space="preserve">2,107,057,312 </w:t>
            </w:r>
          </w:p>
        </w:tc>
        <w:tc>
          <w:tcPr>
            <w:tcW w:type="dxa" w:w="1646"/>
            <w:tcBorders>
              <w:bottom w:sz="4.0" w:val="single" w:color="#000000"/>
            </w:tcBorders>
            <w:tcMar>
              <w:start w:w="0" w:type="dxa"/>
              <w:end w:w="0" w:type="dxa"/>
            </w:tcMar>
          </w:tcPr>
          <w:p>
            <w:pPr>
              <w:autoSpaceDN w:val="0"/>
              <w:autoSpaceDE w:val="0"/>
              <w:widowControl/>
              <w:spacing w:line="233" w:lineRule="auto" w:before="46" w:after="0"/>
              <w:ind w:left="0" w:right="70" w:firstLine="0"/>
              <w:jc w:val="right"/>
            </w:pPr>
            <w:r>
              <w:rPr>
                <w:rFonts w:ascii="Arial" w:hAnsi="Arial" w:eastAsia="Arial"/>
                <w:b w:val="0"/>
                <w:i w:val="0"/>
                <w:color w:val="000000"/>
                <w:sz w:val="16"/>
              </w:rPr>
              <w:t xml:space="preserve">- </w:t>
            </w:r>
          </w:p>
        </w:tc>
        <w:tc>
          <w:tcPr>
            <w:tcW w:type="dxa" w:w="1842"/>
            <w:tcBorders>
              <w:bottom w:sz="4.0" w:val="single" w:color="#000000"/>
            </w:tcBorders>
            <w:tcMar>
              <w:start w:w="0" w:type="dxa"/>
              <w:end w:w="0" w:type="dxa"/>
            </w:tcMar>
          </w:tcPr>
          <w:p>
            <w:pPr>
              <w:autoSpaceDN w:val="0"/>
              <w:autoSpaceDE w:val="0"/>
              <w:widowControl/>
              <w:spacing w:line="197" w:lineRule="auto" w:before="64" w:after="0"/>
              <w:ind w:left="0" w:right="0" w:firstLine="0"/>
              <w:jc w:val="right"/>
            </w:pPr>
            <w:r>
              <w:rPr>
                <w:rFonts w:ascii="Calibri" w:hAnsi="Calibri" w:eastAsia="Calibri"/>
                <w:b w:val="0"/>
                <w:i w:val="0"/>
                <w:color w:val="000000"/>
                <w:sz w:val="16"/>
              </w:rPr>
              <w:t>-</w:t>
            </w:r>
          </w:p>
        </w:tc>
        <w:tc>
          <w:tcPr>
            <w:tcW w:type="dxa" w:w="1836"/>
            <w:tcBorders>
              <w:bottom w:sz="4.0" w:val="single" w:color="#000000"/>
            </w:tcBorders>
            <w:tcMar>
              <w:start w:w="0" w:type="dxa"/>
              <w:end w:w="0" w:type="dxa"/>
            </w:tcMar>
          </w:tcPr>
          <w:p>
            <w:pPr>
              <w:autoSpaceDN w:val="0"/>
              <w:autoSpaceDE w:val="0"/>
              <w:widowControl/>
              <w:spacing w:line="233" w:lineRule="auto" w:before="46" w:after="0"/>
              <w:ind w:left="0" w:right="0" w:firstLine="0"/>
              <w:jc w:val="right"/>
            </w:pPr>
            <w:r>
              <w:rPr>
                <w:rFonts w:ascii="Arial" w:hAnsi="Arial" w:eastAsia="Arial"/>
                <w:b w:val="0"/>
                <w:i w:val="0"/>
                <w:color w:val="000000"/>
                <w:sz w:val="16"/>
              </w:rPr>
              <w:t>-</w:t>
            </w:r>
          </w:p>
        </w:tc>
      </w:tr>
      <w:tr>
        <w:trPr>
          <w:trHeight w:hRule="exact" w:val="412"/>
        </w:trPr>
        <w:tc>
          <w:tcPr>
            <w:tcW w:type="dxa" w:w="1794"/>
            <w:tcBorders>
              <w:top w:sz="4.0" w:val="single" w:color="#000000"/>
              <w:bottom w:sz="4.0" w:val="single" w:color="#000000"/>
            </w:tcBorders>
            <w:tcMar>
              <w:start w:w="0" w:type="dxa"/>
              <w:end w:w="0" w:type="dxa"/>
            </w:tcMar>
          </w:tcPr>
          <w:p>
            <w:pPr>
              <w:autoSpaceDN w:val="0"/>
              <w:autoSpaceDE w:val="0"/>
              <w:widowControl/>
              <w:spacing w:line="162" w:lineRule="exact" w:before="216" w:after="0"/>
              <w:ind w:left="198" w:right="0" w:firstLine="0"/>
              <w:jc w:val="left"/>
            </w:pPr>
            <w:r>
              <w:rPr>
                <w:rFonts w:ascii="黑体" w:hAnsi="黑体" w:eastAsia="黑体"/>
                <w:b w:val="0"/>
                <w:i w:val="0"/>
                <w:color w:val="000000"/>
                <w:sz w:val="16"/>
              </w:rPr>
              <w:t>合计</w:t>
            </w:r>
          </w:p>
        </w:tc>
        <w:tc>
          <w:tcPr>
            <w:tcW w:type="dxa" w:w="1508"/>
            <w:tcBorders>
              <w:top w:sz="4.0" w:val="single" w:color="#000000"/>
              <w:bottom w:sz="4.0" w:val="single" w:color="#000000"/>
            </w:tcBorders>
            <w:tcMar>
              <w:start w:w="0" w:type="dxa"/>
              <w:end w:w="0" w:type="dxa"/>
            </w:tcMar>
          </w:tcPr>
          <w:p>
            <w:pPr>
              <w:autoSpaceDN w:val="0"/>
              <w:autoSpaceDE w:val="0"/>
              <w:widowControl/>
              <w:spacing w:line="233" w:lineRule="auto" w:before="218" w:after="0"/>
              <w:ind w:left="282" w:right="0" w:firstLine="0"/>
              <w:jc w:val="left"/>
            </w:pPr>
            <w:r>
              <w:rPr>
                <w:rFonts w:ascii="Arial" w:hAnsi="Arial" w:eastAsia="Arial"/>
                <w:b w:val="0"/>
                <w:i w:val="0"/>
                <w:color w:val="000000"/>
                <w:sz w:val="16"/>
              </w:rPr>
              <w:t xml:space="preserve">57,393,706,957 </w:t>
            </w:r>
          </w:p>
        </w:tc>
        <w:tc>
          <w:tcPr>
            <w:tcW w:type="dxa" w:w="1646"/>
            <w:tcBorders>
              <w:top w:sz="4.0" w:val="single" w:color="#000000"/>
              <w:bottom w:sz="4.0" w:val="single" w:color="#000000"/>
            </w:tcBorders>
            <w:tcMar>
              <w:start w:w="0" w:type="dxa"/>
              <w:end w:w="0" w:type="dxa"/>
            </w:tcMar>
          </w:tcPr>
          <w:p>
            <w:pPr>
              <w:autoSpaceDN w:val="0"/>
              <w:autoSpaceDE w:val="0"/>
              <w:widowControl/>
              <w:spacing w:line="233" w:lineRule="auto" w:before="218" w:after="0"/>
              <w:ind w:left="0" w:right="70" w:firstLine="0"/>
              <w:jc w:val="right"/>
            </w:pPr>
            <w:r>
              <w:rPr>
                <w:rFonts w:ascii="Arial" w:hAnsi="Arial" w:eastAsia="Arial"/>
                <w:b w:val="0"/>
                <w:i w:val="0"/>
                <w:color w:val="000000"/>
                <w:sz w:val="16"/>
              </w:rPr>
              <w:t xml:space="preserve">1,643,473,341 </w:t>
            </w:r>
          </w:p>
        </w:tc>
        <w:tc>
          <w:tcPr>
            <w:tcW w:type="dxa" w:w="1842"/>
            <w:tcBorders>
              <w:top w:sz="4.0" w:val="single" w:color="#000000"/>
              <w:bottom w:sz="4.0" w:val="single" w:color="#000000"/>
            </w:tcBorders>
            <w:tcMar>
              <w:start w:w="0" w:type="dxa"/>
              <w:end w:w="0" w:type="dxa"/>
            </w:tcMar>
          </w:tcPr>
          <w:p>
            <w:pPr>
              <w:autoSpaceDN w:val="0"/>
              <w:autoSpaceDE w:val="0"/>
              <w:widowControl/>
              <w:spacing w:line="199" w:lineRule="auto" w:before="236" w:after="0"/>
              <w:ind w:left="0" w:right="0" w:firstLine="0"/>
              <w:jc w:val="right"/>
            </w:pPr>
            <w:r>
              <w:rPr>
                <w:rFonts w:ascii="Calibri" w:hAnsi="Calibri" w:eastAsia="Calibri"/>
                <w:b w:val="0"/>
                <w:i w:val="0"/>
                <w:color w:val="000000"/>
                <w:sz w:val="16"/>
              </w:rPr>
              <w:t>-</w:t>
            </w:r>
          </w:p>
        </w:tc>
        <w:tc>
          <w:tcPr>
            <w:tcW w:type="dxa" w:w="1836"/>
            <w:tcBorders>
              <w:top w:sz="4.0" w:val="single" w:color="#000000"/>
              <w:bottom w:sz="4.0" w:val="single" w:color="#000000"/>
            </w:tcBorders>
            <w:tcMar>
              <w:start w:w="0" w:type="dxa"/>
              <w:end w:w="0" w:type="dxa"/>
            </w:tcMar>
          </w:tcPr>
          <w:p>
            <w:pPr>
              <w:autoSpaceDN w:val="0"/>
              <w:autoSpaceDE w:val="0"/>
              <w:widowControl/>
              <w:spacing w:line="233" w:lineRule="auto" w:before="218" w:after="0"/>
              <w:ind w:left="0" w:right="0" w:firstLine="0"/>
              <w:jc w:val="right"/>
            </w:pPr>
            <w:r>
              <w:rPr>
                <w:rFonts w:ascii="Arial" w:hAnsi="Arial" w:eastAsia="Arial"/>
                <w:b w:val="0"/>
                <w:i w:val="0"/>
                <w:color w:val="000000"/>
                <w:sz w:val="16"/>
              </w:rPr>
              <w:t>-</w:t>
            </w:r>
          </w:p>
        </w:tc>
      </w:tr>
      <w:tr>
        <w:trPr>
          <w:trHeight w:hRule="exact" w:val="50"/>
        </w:trPr>
        <w:tc>
          <w:tcPr>
            <w:tcW w:type="dxa" w:w="1794"/>
            <w:tcBorders>
              <w:top w:sz="4.0" w:val="single" w:color="#000000"/>
            </w:tcBorders>
            <w:tcMar>
              <w:start w:w="0" w:type="dxa"/>
              <w:end w:w="0" w:type="dxa"/>
            </w:tcMar>
          </w:tcPr>
          <w:p/>
        </w:tc>
        <w:tc>
          <w:tcPr>
            <w:tcW w:type="dxa" w:w="1508"/>
            <w:tcBorders>
              <w:top w:sz="4.0" w:val="single" w:color="#000000"/>
            </w:tcBorders>
            <w:tcMar>
              <w:start w:w="0" w:type="dxa"/>
              <w:end w:w="0" w:type="dxa"/>
            </w:tcMar>
          </w:tcPr>
          <w:p/>
        </w:tc>
        <w:tc>
          <w:tcPr>
            <w:tcW w:type="dxa" w:w="1646"/>
            <w:tcBorders>
              <w:top w:sz="4.0" w:val="single" w:color="#000000"/>
            </w:tcBorders>
            <w:tcMar>
              <w:start w:w="0" w:type="dxa"/>
              <w:end w:w="0" w:type="dxa"/>
            </w:tcMar>
          </w:tcPr>
          <w:p/>
        </w:tc>
        <w:tc>
          <w:tcPr>
            <w:tcW w:type="dxa" w:w="1842"/>
            <w:tcBorders>
              <w:top w:sz="4.0" w:val="single" w:color="#000000"/>
            </w:tcBorders>
            <w:tcMar>
              <w:start w:w="0" w:type="dxa"/>
              <w:end w:w="0" w:type="dxa"/>
            </w:tcMar>
          </w:tcPr>
          <w:p/>
        </w:tc>
        <w:tc>
          <w:tcPr>
            <w:tcW w:type="dxa" w:w="1836"/>
            <w:tcBorders>
              <w:top w:sz="4.0" w:val="single" w:color="#000000"/>
            </w:tcBorders>
            <w:tcMar>
              <w:start w:w="0" w:type="dxa"/>
              <w:end w:w="0" w:type="dxa"/>
            </w:tcMar>
          </w:tcPr>
          <w:p/>
        </w:tc>
      </w:tr>
    </w:tbl>
    <w:p>
      <w:pPr>
        <w:autoSpaceDN w:val="0"/>
        <w:autoSpaceDE w:val="0"/>
        <w:widowControl/>
        <w:spacing w:line="233" w:lineRule="auto" w:before="3496" w:after="0"/>
        <w:ind w:left="0" w:right="0" w:firstLine="0"/>
        <w:jc w:val="center"/>
      </w:pPr>
      <w:r>
        <w:rPr>
          <w:rFonts w:ascii="Arial" w:hAnsi="Arial" w:eastAsia="Arial"/>
          <w:b w:val="0"/>
          <w:i w:val="0"/>
          <w:color w:val="000000"/>
          <w:sz w:val="20"/>
        </w:rPr>
        <w:t xml:space="preserve">305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246"/>
        <w:ind w:left="358" w:right="0" w:firstLine="0"/>
        <w:jc w:val="left"/>
      </w:pPr>
      <w:r>
        <w:rPr>
          <w:rFonts w:ascii="黑体" w:hAnsi="黑体" w:eastAsia="黑体"/>
          <w:b w:val="0"/>
          <w:i w:val="0"/>
          <w:color w:val="000000"/>
          <w:sz w:val="22"/>
        </w:rPr>
        <w:t>十八、公司财务报表附注</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978"/>
        </w:trPr>
        <w:tc>
          <w:tcPr>
            <w:tcW w:type="dxa" w:w="640"/>
            <w:tcBorders/>
            <w:tcMar>
              <w:start w:w="0" w:type="dxa"/>
              <w:end w:w="0" w:type="dxa"/>
            </w:tcMar>
          </w:tcPr>
          <w:p>
            <w:pPr>
              <w:autoSpaceDN w:val="0"/>
              <w:autoSpaceDE w:val="0"/>
              <w:widowControl/>
              <w:spacing w:line="248" w:lineRule="exact" w:before="60" w:after="0"/>
              <w:ind w:left="0" w:right="0" w:firstLine="0"/>
              <w:jc w:val="center"/>
            </w:pPr>
            <w:r>
              <w:rPr>
                <w:rFonts w:ascii="Arial,Bold" w:hAnsi="Arial,Bold" w:eastAsia="Arial,Bold"/>
                <w:b/>
                <w:i w:val="0"/>
                <w:color w:val="000000"/>
                <w:sz w:val="22"/>
              </w:rPr>
              <w:t xml:space="preserve">1. </w:t>
            </w:r>
          </w:p>
        </w:tc>
        <w:tc>
          <w:tcPr>
            <w:tcW w:type="dxa" w:w="3924"/>
            <w:tcBorders/>
            <w:tcMar>
              <w:start w:w="0" w:type="dxa"/>
              <w:end w:w="0" w:type="dxa"/>
            </w:tcMar>
          </w:tcPr>
          <w:p>
            <w:pPr>
              <w:autoSpaceDN w:val="0"/>
              <w:autoSpaceDE w:val="0"/>
              <w:widowControl/>
              <w:spacing w:line="220" w:lineRule="exact" w:before="72" w:after="0"/>
              <w:ind w:left="230" w:right="0" w:firstLine="0"/>
              <w:jc w:val="left"/>
            </w:pPr>
            <w:r>
              <w:rPr>
                <w:rFonts w:ascii="黑体" w:hAnsi="黑体" w:eastAsia="黑体"/>
                <w:b w:val="0"/>
                <w:i w:val="0"/>
                <w:color w:val="000000"/>
                <w:sz w:val="22"/>
              </w:rPr>
              <w:t>应收款项</w:t>
            </w:r>
          </w:p>
        </w:tc>
        <w:tc>
          <w:tcPr>
            <w:tcW w:type="dxa" w:w="2098"/>
            <w:tcBorders/>
            <w:tcMar>
              <w:start w:w="0" w:type="dxa"/>
              <w:end w:w="0" w:type="dxa"/>
            </w:tcMar>
          </w:tcPr>
          <w:p>
            <w:pPr>
              <w:autoSpaceDN w:val="0"/>
              <w:autoSpaceDE w:val="0"/>
              <w:widowControl/>
              <w:spacing w:line="246" w:lineRule="exact" w:before="598"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598"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应收交易款项</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2" w:firstLine="0"/>
              <w:jc w:val="right"/>
            </w:pPr>
            <w:r>
              <w:rPr>
                <w:rFonts w:ascii="Arial" w:hAnsi="Arial" w:eastAsia="Arial"/>
                <w:b w:val="0"/>
                <w:i w:val="0"/>
                <w:color w:val="000000"/>
                <w:sz w:val="22"/>
              </w:rPr>
              <w:t>46,322,299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4" w:firstLine="0"/>
              <w:jc w:val="right"/>
            </w:pPr>
            <w:r>
              <w:rPr>
                <w:rFonts w:ascii="Arial" w:hAnsi="Arial" w:eastAsia="Arial"/>
                <w:b w:val="0"/>
                <w:i w:val="0"/>
                <w:color w:val="000000"/>
                <w:sz w:val="22"/>
              </w:rPr>
              <w:t>46,415,497</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应收手续费及佣金收入</w:t>
            </w:r>
          </w:p>
        </w:tc>
        <w:tc>
          <w:tcPr>
            <w:tcW w:type="dxa" w:w="2255"/>
            <w:vMerge/>
            <w:tcBorders/>
          </w:tcPr>
          <w:p/>
        </w:tc>
        <w:tc>
          <w:tcPr>
            <w:tcW w:type="dxa" w:w="2255"/>
            <w:vMerge/>
            <w:tcBorders/>
          </w:tcPr>
          <w:p/>
        </w:tc>
      </w:tr>
      <w:tr>
        <w:trPr>
          <w:trHeight w:hRule="exact" w:val="238"/>
        </w:trPr>
        <w:tc>
          <w:tcPr>
            <w:tcW w:type="dxa" w:w="4510"/>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2" w:firstLine="0"/>
              <w:jc w:val="right"/>
            </w:pPr>
            <w:r>
              <w:rPr>
                <w:rFonts w:ascii="Arial" w:hAnsi="Arial" w:eastAsia="Arial"/>
                <w:b w:val="0"/>
                <w:i w:val="0"/>
                <w:color w:val="000000"/>
                <w:sz w:val="22"/>
              </w:rPr>
              <w:t>98,496,467</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4" w:firstLine="0"/>
              <w:jc w:val="right"/>
            </w:pPr>
            <w:r>
              <w:rPr>
                <w:rFonts w:ascii="Arial" w:hAnsi="Arial" w:eastAsia="Arial"/>
                <w:b w:val="0"/>
                <w:i w:val="0"/>
                <w:color w:val="000000"/>
                <w:sz w:val="22"/>
              </w:rPr>
              <w:t>92,600,783</w:t>
            </w:r>
          </w:p>
        </w:tc>
      </w:tr>
      <w:tr>
        <w:trPr>
          <w:trHeight w:hRule="exact" w:val="48"/>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减：减值准备</w:t>
            </w:r>
          </w:p>
        </w:tc>
        <w:tc>
          <w:tcPr>
            <w:tcW w:type="dxa" w:w="2255"/>
            <w:vMerge/>
            <w:tcBorders/>
          </w:tcPr>
          <w:p/>
        </w:tc>
        <w:tc>
          <w:tcPr>
            <w:tcW w:type="dxa" w:w="2255"/>
            <w:vMerge/>
            <w:tcBorders/>
          </w:tcPr>
          <w:p/>
        </w:tc>
      </w:tr>
      <w:tr>
        <w:trPr>
          <w:trHeight w:hRule="exact" w:val="274"/>
        </w:trPr>
        <w:tc>
          <w:tcPr>
            <w:tcW w:type="dxa" w:w="4510"/>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(46,322,299)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(46,415,497) </w:t>
            </w:r>
          </w:p>
        </w:tc>
      </w:tr>
      <w:tr>
        <w:trPr>
          <w:trHeight w:hRule="exact" w:val="550"/>
        </w:trPr>
        <w:tc>
          <w:tcPr>
            <w:tcW w:type="dxa" w:w="4564"/>
            <w:gridSpan w:val="2"/>
            <w:tcBorders>
              <w:top w:sz="4.0" w:val="single" w:color="#000000"/>
              <w:bottom w:sz="4.0" w:val="single" w:color="#000000"/>
            </w:tcBorders>
            <w:tcMar>
              <w:start w:w="0" w:type="dxa"/>
              <w:end w:w="0" w:type="dxa"/>
            </w:tcMar>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应收款项净额</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98,496,467</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92,600,783</w:t>
            </w:r>
          </w:p>
        </w:tc>
      </w:tr>
      <w:tr>
        <w:trPr>
          <w:trHeight w:hRule="exact" w:val="1208"/>
        </w:trPr>
        <w:tc>
          <w:tcPr>
            <w:tcW w:type="dxa" w:w="640"/>
            <w:tcBorders>
              <w:top w:sz="4.0" w:val="single" w:color="#000000"/>
            </w:tcBorders>
            <w:tcMar>
              <w:start w:w="0" w:type="dxa"/>
              <w:end w:w="0" w:type="dxa"/>
            </w:tcMar>
          </w:tcPr>
          <w:p>
            <w:pPr>
              <w:autoSpaceDN w:val="0"/>
              <w:autoSpaceDE w:val="0"/>
              <w:widowControl/>
              <w:spacing w:line="246" w:lineRule="exact" w:before="292" w:after="0"/>
              <w:ind w:left="0" w:right="0" w:firstLine="0"/>
              <w:jc w:val="center"/>
            </w:pPr>
            <w:r>
              <w:rPr>
                <w:rFonts w:ascii="Arial,Bold" w:hAnsi="Arial,Bold" w:eastAsia="Arial,Bold"/>
                <w:b/>
                <w:i w:val="0"/>
                <w:color w:val="000000"/>
                <w:sz w:val="22"/>
              </w:rPr>
              <w:t xml:space="preserve">2. </w:t>
            </w:r>
          </w:p>
        </w:tc>
        <w:tc>
          <w:tcPr>
            <w:tcW w:type="dxa" w:w="3924"/>
            <w:tcBorders>
              <w:top w:sz="4.0" w:val="single" w:color="#000000"/>
            </w:tcBorders>
            <w:tcMar>
              <w:start w:w="0" w:type="dxa"/>
              <w:end w:w="0" w:type="dxa"/>
            </w:tcMar>
          </w:tcPr>
          <w:p>
            <w:pPr>
              <w:autoSpaceDN w:val="0"/>
              <w:autoSpaceDE w:val="0"/>
              <w:widowControl/>
              <w:spacing w:line="222" w:lineRule="exact" w:before="302" w:after="0"/>
              <w:ind w:left="230" w:right="0" w:firstLine="0"/>
              <w:jc w:val="left"/>
            </w:pPr>
            <w:r>
              <w:rPr>
                <w:rFonts w:ascii="黑体" w:hAnsi="黑体" w:eastAsia="黑体"/>
                <w:b w:val="0"/>
                <w:i w:val="0"/>
                <w:color w:val="000000"/>
                <w:sz w:val="22"/>
              </w:rPr>
              <w:t>长期股权投资</w:t>
            </w:r>
          </w:p>
        </w:tc>
        <w:tc>
          <w:tcPr>
            <w:tcW w:type="dxa" w:w="2098"/>
            <w:tcBorders>
              <w:top w:sz="4.0" w:val="single" w:color="#000000"/>
            </w:tcBorders>
            <w:tcMar>
              <w:start w:w="0" w:type="dxa"/>
              <w:end w:w="0" w:type="dxa"/>
            </w:tcMar>
          </w:tcPr>
          <w:p>
            <w:pPr>
              <w:autoSpaceDN w:val="0"/>
              <w:autoSpaceDE w:val="0"/>
              <w:widowControl/>
              <w:spacing w:line="246" w:lineRule="exact" w:before="830" w:after="0"/>
              <w:ind w:left="0" w:right="0" w:firstLine="0"/>
              <w:jc w:val="center"/>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op w:sz="4.0" w:val="single" w:color="#000000"/>
            </w:tcBorders>
            <w:tcMar>
              <w:start w:w="0" w:type="dxa"/>
              <w:end w:w="0" w:type="dxa"/>
            </w:tcMar>
          </w:tcPr>
          <w:p>
            <w:pPr>
              <w:autoSpaceDN w:val="0"/>
              <w:autoSpaceDE w:val="0"/>
              <w:widowControl/>
              <w:spacing w:line="246" w:lineRule="exact" w:before="830" w:after="0"/>
              <w:ind w:left="0" w:right="0" w:firstLine="0"/>
              <w:jc w:val="center"/>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54" w:after="0"/>
              <w:ind w:left="198" w:right="0" w:firstLine="0"/>
              <w:jc w:val="left"/>
            </w:pPr>
            <w:r>
              <w:rPr>
                <w:rFonts w:ascii="黑体" w:hAnsi="黑体" w:eastAsia="黑体"/>
                <w:b w:val="0"/>
                <w:i w:val="0"/>
                <w:color w:val="000000"/>
                <w:sz w:val="22"/>
              </w:rPr>
              <w:t>子公司（</w:t>
            </w:r>
            <w:r>
              <w:rPr>
                <w:rFonts w:ascii="Arial" w:hAnsi="Arial" w:eastAsia="Arial"/>
                <w:b w:val="0"/>
                <w:i w:val="0"/>
                <w:color w:val="000000"/>
                <w:sz w:val="22"/>
              </w:rPr>
              <w:t>a</w:t>
            </w:r>
            <w:r>
              <w:rPr>
                <w:rFonts w:ascii="黑体" w:hAnsi="黑体" w:eastAsia="黑体"/>
                <w:b w:val="0"/>
                <w:i w:val="0"/>
                <w:color w:val="000000"/>
                <w:sz w:val="22"/>
              </w:rPr>
              <w:t>）</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2" w:after="0"/>
              <w:ind w:left="466" w:right="0" w:firstLine="0"/>
              <w:jc w:val="left"/>
            </w:pPr>
            <w:r>
              <w:rPr>
                <w:rFonts w:ascii="Arial" w:hAnsi="Arial" w:eastAsia="Arial"/>
                <w:b w:val="0"/>
                <w:i w:val="0"/>
                <w:color w:val="000000"/>
                <w:sz w:val="22"/>
              </w:rPr>
              <w:t>6,478,519,948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2" w:after="0"/>
              <w:ind w:left="464" w:right="0" w:firstLine="0"/>
              <w:jc w:val="left"/>
            </w:pPr>
            <w:r>
              <w:rPr>
                <w:rFonts w:ascii="Arial" w:hAnsi="Arial" w:eastAsia="Arial"/>
                <w:b w:val="0"/>
                <w:i w:val="0"/>
                <w:color w:val="000000"/>
                <w:sz w:val="22"/>
              </w:rPr>
              <w:t>6,478,519,948</w:t>
            </w:r>
          </w:p>
        </w:tc>
      </w:tr>
      <w:tr>
        <w:trPr>
          <w:trHeight w:hRule="exact" w:val="48"/>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减：减值准备</w:t>
            </w:r>
          </w:p>
        </w:tc>
        <w:tc>
          <w:tcPr>
            <w:tcW w:type="dxa" w:w="2255"/>
            <w:vMerge/>
            <w:tcBorders/>
          </w:tcPr>
          <w:p/>
        </w:tc>
        <w:tc>
          <w:tcPr>
            <w:tcW w:type="dxa" w:w="2255"/>
            <w:vMerge/>
            <w:tcBorders/>
          </w:tcPr>
          <w:p/>
        </w:tc>
      </w:tr>
      <w:tr>
        <w:trPr>
          <w:trHeight w:hRule="exact" w:val="274"/>
        </w:trPr>
        <w:tc>
          <w:tcPr>
            <w:tcW w:type="dxa" w:w="4510"/>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6" w:firstLine="0"/>
              <w:jc w:val="right"/>
            </w:pPr>
            <w:r>
              <w:rPr>
                <w:rFonts w:ascii="Arial" w:hAnsi="Arial" w:eastAsia="Arial"/>
                <w:b w:val="0"/>
                <w:i w:val="0"/>
                <w:color w:val="000000"/>
                <w:sz w:val="22"/>
              </w:rPr>
              <w:t>-</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8" w:firstLine="0"/>
              <w:jc w:val="right"/>
            </w:pPr>
            <w:r>
              <w:rPr>
                <w:rFonts w:ascii="Arial" w:hAnsi="Arial" w:eastAsia="Arial"/>
                <w:b w:val="0"/>
                <w:i w:val="0"/>
                <w:color w:val="000000"/>
                <w:sz w:val="22"/>
              </w:rPr>
              <w:t>-</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6" w:right="0" w:firstLine="0"/>
              <w:jc w:val="left"/>
            </w:pPr>
            <w:r>
              <w:rPr>
                <w:rFonts w:ascii="Arial" w:hAnsi="Arial" w:eastAsia="Arial"/>
                <w:b w:val="0"/>
                <w:i w:val="0"/>
                <w:color w:val="000000"/>
                <w:sz w:val="22"/>
              </w:rPr>
              <w:t>6,478,519,948</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88" w:after="0"/>
              <w:ind w:left="464" w:right="0" w:firstLine="0"/>
              <w:jc w:val="left"/>
            </w:pPr>
            <w:r>
              <w:rPr>
                <w:rFonts w:ascii="Arial" w:hAnsi="Arial" w:eastAsia="Arial"/>
                <w:b w:val="0"/>
                <w:i w:val="0"/>
                <w:color w:val="000000"/>
                <w:sz w:val="22"/>
              </w:rPr>
              <w:t>6,478,519,948</w:t>
            </w:r>
          </w:p>
        </w:tc>
      </w:tr>
      <w:tr>
        <w:trPr>
          <w:trHeight w:hRule="exact" w:val="50"/>
        </w:trPr>
        <w:tc>
          <w:tcPr>
            <w:tcW w:type="dxa" w:w="4510"/>
            <w:gridSpan w:val="2"/>
            <w:vMerge/>
            <w:tcBorders>
              <w:top w:sz="4.0" w:val="single" w:color="#000000"/>
            </w:tcBorders>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20" w:lineRule="exact" w:before="254" w:after="0"/>
        <w:ind w:left="358" w:right="0" w:firstLine="0"/>
        <w:jc w:val="left"/>
      </w:pPr>
      <w:r>
        <w:rPr>
          <w:rFonts w:ascii="黑体" w:hAnsi="黑体" w:eastAsia="黑体"/>
          <w:b w:val="0"/>
          <w:i w:val="0"/>
          <w:color w:val="000000"/>
          <w:sz w:val="22"/>
        </w:rPr>
        <w:t>本公司不存在长期股权投资变现的重大限制。</w:t>
      </w:r>
    </w:p>
    <w:p>
      <w:pPr>
        <w:autoSpaceDN w:val="0"/>
        <w:autoSpaceDE w:val="0"/>
        <w:widowControl/>
        <w:spacing w:line="233" w:lineRule="auto" w:before="7922" w:after="0"/>
        <w:ind w:left="0" w:right="0" w:firstLine="0"/>
        <w:jc w:val="center"/>
      </w:pPr>
      <w:r>
        <w:rPr>
          <w:rFonts w:ascii="Arial" w:hAnsi="Arial" w:eastAsia="Arial"/>
          <w:b w:val="0"/>
          <w:i w:val="0"/>
          <w:color w:val="000000"/>
          <w:sz w:val="20"/>
        </w:rPr>
        <w:t xml:space="preserve">306 </w:t>
      </w:r>
    </w:p>
    <w:p>
      <w:pPr>
        <w:sectPr>
          <w:pgSz w:w="11899" w:h="16841"/>
          <w:pgMar w:top="988" w:right="1440" w:bottom="360" w:left="1440" w:header="720" w:footer="720" w:gutter="0"/>
          <w:cols/>
          <w:docGrid w:linePitch="360"/>
        </w:sectPr>
      </w:pPr>
    </w:p>
    <w:p>
      <w:pPr>
        <w:autoSpaceDN w:val="0"/>
        <w:autoSpaceDE w:val="0"/>
        <w:widowControl/>
        <w:spacing w:line="220" w:lineRule="exact" w:before="0" w:after="948"/>
        <w:ind w:left="0" w:right="0"/>
      </w:pPr>
    </w:p>
    <w:p>
      <w:pPr>
        <w:autoSpaceDN w:val="0"/>
        <w:tabs>
          <w:tab w:pos="658" w:val="left"/>
        </w:tabs>
        <w:autoSpaceDE w:val="0"/>
        <w:widowControl/>
        <w:spacing w:line="436" w:lineRule="exact" w:before="0" w:after="250"/>
        <w:ind w:left="0" w:right="10800" w:firstLine="0"/>
        <w:jc w:val="left"/>
      </w:pPr>
      <w:r>
        <w:rPr>
          <w:rFonts w:ascii="黑体" w:hAnsi="黑体" w:eastAsia="黑体"/>
          <w:b w:val="0"/>
          <w:i w:val="0"/>
          <w:color w:val="000000"/>
          <w:sz w:val="22"/>
        </w:rPr>
        <w:t>十八、公司财务报表附注（续）</w:t>
      </w:r>
      <w:r>
        <w:br/>
      </w:r>
      <w:r>
        <w:rPr>
          <w:rFonts w:ascii="Arial,Bold" w:hAnsi="Arial,Bold" w:eastAsia="Arial,Bold"/>
          <w:b/>
          <w:i w:val="0"/>
          <w:color w:val="000000"/>
          <w:sz w:val="22"/>
        </w:rPr>
        <w:t xml:space="preserve">2. </w:t>
      </w:r>
      <w:r>
        <w:tab/>
      </w:r>
      <w:r>
        <w:rPr>
          <w:rFonts w:ascii="黑体" w:hAnsi="黑体" w:eastAsia="黑体"/>
          <w:b w:val="0"/>
          <w:i w:val="0"/>
          <w:color w:val="000000"/>
          <w:sz w:val="22"/>
        </w:rPr>
        <w:t>长期股权投资（续）</w:t>
      </w:r>
      <w:r>
        <w:br/>
      </w:r>
      <w:r>
        <w:rPr>
          <w:rFonts w:ascii="黑体" w:hAnsi="黑体" w:eastAsia="黑体"/>
          <w:b w:val="0"/>
          <w:i w:val="0"/>
          <w:color w:val="000000"/>
          <w:sz w:val="22"/>
        </w:rPr>
        <w:t>（</w:t>
      </w:r>
      <w:r>
        <w:rPr>
          <w:rFonts w:ascii="Arial" w:hAnsi="Arial" w:eastAsia="Arial"/>
          <w:b w:val="0"/>
          <w:i w:val="0"/>
          <w:color w:val="000000"/>
          <w:sz w:val="22"/>
        </w:rPr>
        <w:t>a</w:t>
      </w:r>
      <w:r>
        <w:rPr>
          <w:rFonts w:ascii="黑体" w:hAnsi="黑体" w:eastAsia="黑体"/>
          <w:b w:val="0"/>
          <w:i w:val="0"/>
          <w:color w:val="000000"/>
          <w:sz w:val="22"/>
        </w:rPr>
        <w:t>）</w:t>
      </w:r>
      <w:r>
        <w:rPr>
          <w:rFonts w:ascii="黑体" w:hAnsi="黑体" w:eastAsia="黑体"/>
          <w:b w:val="0"/>
          <w:i w:val="0"/>
          <w:color w:val="000000"/>
          <w:sz w:val="22"/>
        </w:rPr>
        <w:t>子公司</w:t>
      </w:r>
    </w:p>
    <w:tbl>
      <w:tblPr>
        <w:tblW w:type="auto" w:w="0"/>
        <w:tblLayout w:type="fixed"/>
        <w:tblLook w:firstColumn="1" w:firstRow="1" w:lastColumn="0" w:lastRow="0" w:noHBand="0" w:noVBand="1" w:val="04A0"/>
        <w:tblInd w:w="0.0" w:type="dxa"/>
      </w:tblPr>
      <w:tblGrid>
        <w:gridCol w:w="1274"/>
        <w:gridCol w:w="1274"/>
        <w:gridCol w:w="1274"/>
        <w:gridCol w:w="1274"/>
        <w:gridCol w:w="1274"/>
        <w:gridCol w:w="1274"/>
        <w:gridCol w:w="1274"/>
        <w:gridCol w:w="1274"/>
        <w:gridCol w:w="1274"/>
        <w:gridCol w:w="1274"/>
        <w:gridCol w:w="1274"/>
      </w:tblGrid>
      <w:tr>
        <w:trPr>
          <w:trHeight w:hRule="exact" w:val="226"/>
        </w:trPr>
        <w:tc>
          <w:tcPr>
            <w:tcW w:type="dxa" w:w="1738"/>
            <w:vMerge w:val="restart"/>
            <w:tcBorders>
              <w:bottom w:sz="2.400000000000091" w:val="single" w:color="#000000"/>
            </w:tcBorders>
            <w:tcMar>
              <w:start w:w="0" w:type="dxa"/>
              <w:end w:w="0" w:type="dxa"/>
            </w:tcMar>
            <w:tcMar>
              <w:start w:w="0" w:type="dxa"/>
              <w:end w:w="0" w:type="dxa"/>
            </w:tcMar>
          </w:tcPr>
          <w:p/>
        </w:tc>
        <w:tc>
          <w:tcPr>
            <w:tcW w:type="dxa" w:w="640"/>
            <w:vMerge w:val="restart"/>
            <w:tcBorders>
              <w:bottom w:sz="2.400000000000091" w:val="single" w:color="#000000"/>
            </w:tcBorders>
            <w:tcMar>
              <w:start w:w="0" w:type="dxa"/>
              <w:end w:w="0" w:type="dxa"/>
            </w:tcMar>
            <w:tcMar>
              <w:start w:w="0" w:type="dxa"/>
              <w:end w:w="0" w:type="dxa"/>
            </w:tcMar>
          </w:tcPr>
          <w:p>
            <w:pPr>
              <w:autoSpaceDN w:val="0"/>
              <w:autoSpaceDE w:val="0"/>
              <w:widowControl/>
              <w:spacing w:line="160" w:lineRule="exact" w:before="268" w:after="0"/>
              <w:ind w:left="0" w:right="0" w:firstLine="0"/>
              <w:jc w:val="center"/>
            </w:pPr>
            <w:r>
              <w:rPr>
                <w:rFonts w:ascii="黑体" w:hAnsi="黑体" w:eastAsia="黑体"/>
                <w:b w:val="0"/>
                <w:i w:val="0"/>
                <w:color w:val="000000"/>
                <w:sz w:val="16"/>
              </w:rPr>
              <w:t>核算方法</w:t>
            </w:r>
          </w:p>
        </w:tc>
        <w:tc>
          <w:tcPr>
            <w:tcW w:type="dxa" w:w="1362"/>
            <w:vMerge w:val="restart"/>
            <w:tcBorders>
              <w:bottom w:sz="2.400000000000091" w:val="single" w:color="#000000"/>
            </w:tcBorders>
            <w:tcMar>
              <w:start w:w="0" w:type="dxa"/>
              <w:end w:w="0" w:type="dxa"/>
            </w:tcMar>
            <w:tcMar>
              <w:start w:w="0" w:type="dxa"/>
              <w:end w:w="0" w:type="dxa"/>
            </w:tcMar>
          </w:tcPr>
          <w:p>
            <w:pPr>
              <w:autoSpaceDN w:val="0"/>
              <w:autoSpaceDE w:val="0"/>
              <w:widowControl/>
              <w:spacing w:line="160" w:lineRule="exact" w:before="268" w:after="0"/>
              <w:ind w:left="0" w:right="114" w:firstLine="0"/>
              <w:jc w:val="right"/>
            </w:pPr>
            <w:r>
              <w:rPr>
                <w:rFonts w:ascii="黑体" w:hAnsi="黑体" w:eastAsia="黑体"/>
                <w:b w:val="0"/>
                <w:i w:val="0"/>
                <w:color w:val="000000"/>
                <w:sz w:val="16"/>
              </w:rPr>
              <w:t>投资成本</w:t>
            </w:r>
          </w:p>
        </w:tc>
        <w:tc>
          <w:tcPr>
            <w:tcW w:type="dxa" w:w="1358"/>
            <w:vMerge w:val="restart"/>
            <w:tcBorders>
              <w:bottom w:sz="2.400000000000091" w:val="single" w:color="#000000"/>
            </w:tcBorders>
            <w:tcMar>
              <w:start w:w="0" w:type="dxa"/>
              <w:end w:w="0" w:type="dxa"/>
            </w:tcMar>
            <w:tcMar>
              <w:start w:w="0" w:type="dxa"/>
              <w:end w:w="0" w:type="dxa"/>
            </w:tcMar>
          </w:tcPr>
          <w:p>
            <w:pPr>
              <w:autoSpaceDN w:val="0"/>
              <w:autoSpaceDE w:val="0"/>
              <w:widowControl/>
              <w:spacing w:line="180" w:lineRule="exact" w:before="250" w:after="0"/>
              <w:ind w:left="230" w:right="0" w:firstLine="0"/>
              <w:jc w:val="left"/>
            </w:pPr>
            <w:r>
              <w:rPr>
                <w:rFonts w:ascii="Arial" w:hAnsi="Arial" w:eastAsia="Arial"/>
                <w:b w:val="0"/>
                <w:i w:val="0"/>
                <w:color w:val="000000"/>
                <w:sz w:val="16"/>
                <w:u w:val="single"/>
              </w:rPr>
              <w:t>2024</w:t>
            </w:r>
            <w:r>
              <w:rPr>
                <w:rFonts w:ascii="黑体" w:hAnsi="黑体" w:eastAsia="黑体"/>
                <w:b w:val="0"/>
                <w:i w:val="0"/>
                <w:color w:val="000000"/>
                <w:sz w:val="16"/>
                <w:u w:val="single"/>
              </w:rPr>
              <w:t>年</w:t>
            </w:r>
            <w:r>
              <w:rPr>
                <w:rFonts w:ascii="Arial" w:hAnsi="Arial" w:eastAsia="Arial"/>
                <w:b w:val="0"/>
                <w:i w:val="0"/>
                <w:color w:val="000000"/>
                <w:sz w:val="16"/>
                <w:u w:val="single"/>
              </w:rPr>
              <w:t>1</w:t>
            </w:r>
            <w:r>
              <w:rPr>
                <w:rFonts w:ascii="黑体" w:hAnsi="黑体" w:eastAsia="黑体"/>
                <w:b w:val="0"/>
                <w:i w:val="0"/>
                <w:color w:val="000000"/>
                <w:sz w:val="16"/>
                <w:u w:val="single"/>
              </w:rPr>
              <w:t>月</w:t>
            </w:r>
            <w:r>
              <w:rPr>
                <w:rFonts w:ascii="Arial" w:hAnsi="Arial" w:eastAsia="Arial"/>
                <w:b w:val="0"/>
                <w:i w:val="0"/>
                <w:color w:val="000000"/>
                <w:sz w:val="16"/>
                <w:u w:val="single"/>
              </w:rPr>
              <w:t>1</w:t>
            </w:r>
            <w:r>
              <w:rPr>
                <w:rFonts w:ascii="黑体" w:hAnsi="黑体" w:eastAsia="黑体"/>
                <w:b w:val="0"/>
                <w:i w:val="0"/>
                <w:color w:val="000000"/>
                <w:sz w:val="16"/>
                <w:u w:val="single"/>
              </w:rPr>
              <w:t>日</w:t>
            </w:r>
          </w:p>
        </w:tc>
        <w:tc>
          <w:tcPr>
            <w:tcW w:type="dxa" w:w="2642"/>
            <w:gridSpan w:val="2"/>
            <w:vMerge w:val="restart"/>
            <w:tcBorders>
              <w:bottom w:sz="2.400000000000091"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0" w:lineRule="exact" w:before="250" w:after="0"/>
              <w:ind w:left="0" w:right="0" w:firstLine="0"/>
              <w:jc w:val="center"/>
            </w:pPr>
            <w:r>
              <w:rPr>
                <w:rFonts w:ascii="黑体" w:hAnsi="黑体" w:eastAsia="黑体"/>
                <w:b w:val="0"/>
                <w:i w:val="0"/>
                <w:color w:val="000000"/>
                <w:sz w:val="16"/>
              </w:rPr>
              <w:t>本年增减变动</w:t>
            </w:r>
            <w:r>
              <w:rPr>
                <w:rFonts w:ascii="Arial" w:hAnsi="Arial" w:eastAsia="Arial"/>
                <w:b w:val="0"/>
                <w:i w:val="0"/>
                <w:color w:val="000000"/>
                <w:sz w:val="16"/>
              </w:rPr>
              <w:t xml:space="preserve"> </w:t>
            </w:r>
            <w:r>
              <w:rPr>
                <w:rFonts w:ascii="Arial" w:hAnsi="Arial" w:eastAsia="Arial"/>
                <w:b w:val="0"/>
                <w:i w:val="0"/>
                <w:color w:val="000000"/>
                <w:sz w:val="16"/>
                <w:u w:val="single"/>
              </w:rPr>
              <w:t>2024</w:t>
            </w:r>
            <w:r>
              <w:rPr>
                <w:rFonts w:ascii="黑体" w:hAnsi="黑体" w:eastAsia="黑体"/>
                <w:b w:val="0"/>
                <w:i w:val="0"/>
                <w:color w:val="000000"/>
                <w:sz w:val="16"/>
                <w:u w:val="single"/>
              </w:rPr>
              <w:t>年</w:t>
            </w:r>
            <w:r>
              <w:rPr>
                <w:rFonts w:ascii="Arial" w:hAnsi="Arial" w:eastAsia="Arial"/>
                <w:b w:val="0"/>
                <w:i w:val="0"/>
                <w:color w:val="000000"/>
                <w:sz w:val="16"/>
                <w:u w:val="single"/>
              </w:rPr>
              <w:t>12</w:t>
            </w:r>
            <w:r>
              <w:rPr>
                <w:rFonts w:ascii="黑体" w:hAnsi="黑体" w:eastAsia="黑体"/>
                <w:b w:val="0"/>
                <w:i w:val="0"/>
                <w:color w:val="000000"/>
                <w:sz w:val="16"/>
                <w:u w:val="single"/>
              </w:rPr>
              <w:t>月</w:t>
            </w:r>
            <w:r>
              <w:rPr>
                <w:rFonts w:ascii="Arial" w:hAnsi="Arial" w:eastAsia="Arial"/>
                <w:b w:val="0"/>
                <w:i w:val="0"/>
                <w:color w:val="000000"/>
                <w:sz w:val="16"/>
                <w:u w:val="single"/>
              </w:rPr>
              <w:t>31</w:t>
            </w:r>
            <w:r>
              <w:rPr>
                <w:rFonts w:ascii="黑体" w:hAnsi="黑体" w:eastAsia="黑体"/>
                <w:b w:val="0"/>
                <w:i w:val="0"/>
                <w:color w:val="000000"/>
                <w:sz w:val="16"/>
                <w:u w:val="single"/>
              </w:rPr>
              <w:t>日</w:t>
            </w:r>
          </w:p>
        </w:tc>
        <w:tc>
          <w:tcPr>
            <w:tcW w:type="dxa" w:w="1300"/>
            <w:tcBorders/>
            <w:tcMar>
              <w:start w:w="0" w:type="dxa"/>
              <w:end w:w="0" w:type="dxa"/>
            </w:tcMar>
          </w:tcPr>
          <w:p>
            <w:pPr>
              <w:autoSpaceDN w:val="0"/>
              <w:autoSpaceDE w:val="0"/>
              <w:widowControl/>
              <w:spacing w:line="162" w:lineRule="exact" w:before="60" w:after="0"/>
              <w:ind w:left="0" w:right="0" w:firstLine="0"/>
              <w:jc w:val="center"/>
            </w:pPr>
            <w:r>
              <w:rPr>
                <w:rFonts w:ascii="黑体" w:hAnsi="黑体" w:eastAsia="黑体"/>
                <w:b w:val="0"/>
                <w:i w:val="0"/>
                <w:color w:val="000000"/>
                <w:sz w:val="16"/>
              </w:rPr>
              <w:t>直接及间接持股</w:t>
            </w:r>
          </w:p>
        </w:tc>
        <w:tc>
          <w:tcPr>
            <w:tcW w:type="dxa" w:w="1880"/>
            <w:tcBorders/>
            <w:tcMar>
              <w:start w:w="0" w:type="dxa"/>
              <w:end w:w="0" w:type="dxa"/>
            </w:tcMar>
          </w:tcPr>
          <w:p>
            <w:pPr>
              <w:autoSpaceDN w:val="0"/>
              <w:autoSpaceDE w:val="0"/>
              <w:widowControl/>
              <w:spacing w:line="162" w:lineRule="exact" w:before="60" w:after="0"/>
              <w:ind w:left="106" w:right="0" w:firstLine="0"/>
              <w:jc w:val="left"/>
            </w:pPr>
            <w:r>
              <w:rPr>
                <w:rFonts w:ascii="黑体" w:hAnsi="黑体" w:eastAsia="黑体"/>
                <w:b w:val="0"/>
                <w:i w:val="0"/>
                <w:color w:val="000000"/>
                <w:sz w:val="16"/>
              </w:rPr>
              <w:t>直接及间接表决权</w:t>
            </w:r>
          </w:p>
        </w:tc>
        <w:tc>
          <w:tcPr>
            <w:tcW w:type="dxa" w:w="808"/>
            <w:vMerge w:val="restart"/>
            <w:tcBorders>
              <w:bottom w:sz="2.400000000000091" w:val="single" w:color="#000000"/>
            </w:tcBorders>
            <w:tcMar>
              <w:start w:w="0" w:type="dxa"/>
              <w:end w:w="0" w:type="dxa"/>
            </w:tcMar>
            <w:tcMar>
              <w:start w:w="0" w:type="dxa"/>
              <w:end w:w="0" w:type="dxa"/>
            </w:tcMar>
          </w:tcPr>
          <w:p>
            <w:pPr>
              <w:autoSpaceDN w:val="0"/>
              <w:autoSpaceDE w:val="0"/>
              <w:widowControl/>
              <w:spacing w:line="160" w:lineRule="exact" w:before="268" w:after="0"/>
              <w:ind w:left="0" w:right="0" w:firstLine="0"/>
              <w:jc w:val="left"/>
            </w:pPr>
            <w:r>
              <w:rPr>
                <w:rFonts w:ascii="黑体" w:hAnsi="黑体" w:eastAsia="黑体"/>
                <w:b w:val="0"/>
                <w:i w:val="0"/>
                <w:color w:val="000000"/>
                <w:sz w:val="16"/>
              </w:rPr>
              <w:t>减值准备</w:t>
            </w:r>
          </w:p>
        </w:tc>
        <w:tc>
          <w:tcPr>
            <w:tcW w:type="dxa" w:w="1192"/>
            <w:tcBorders/>
            <w:tcMar>
              <w:start w:w="0" w:type="dxa"/>
              <w:end w:w="0" w:type="dxa"/>
            </w:tcMar>
          </w:tcPr>
          <w:p>
            <w:pPr>
              <w:autoSpaceDN w:val="0"/>
              <w:autoSpaceDE w:val="0"/>
              <w:widowControl/>
              <w:spacing w:line="162" w:lineRule="exact" w:before="60" w:after="0"/>
              <w:ind w:left="0" w:right="0" w:firstLine="0"/>
              <w:jc w:val="center"/>
            </w:pPr>
            <w:r>
              <w:rPr>
                <w:rFonts w:ascii="黑体" w:hAnsi="黑体" w:eastAsia="黑体"/>
                <w:b w:val="0"/>
                <w:i w:val="0"/>
                <w:color w:val="000000"/>
                <w:sz w:val="16"/>
              </w:rPr>
              <w:t>本年计提减值</w:t>
            </w:r>
          </w:p>
        </w:tc>
        <w:tc>
          <w:tcPr>
            <w:tcW w:type="dxa" w:w="1080"/>
            <w:vMerge w:val="restart"/>
            <w:tcBorders>
              <w:bottom w:sz="2.400000000000091" w:val="single" w:color="#000000"/>
            </w:tcBorders>
            <w:tcMar>
              <w:start w:w="0" w:type="dxa"/>
              <w:end w:w="0" w:type="dxa"/>
            </w:tcMar>
            <w:tcMar>
              <w:start w:w="0" w:type="dxa"/>
              <w:end w:w="0" w:type="dxa"/>
            </w:tcMar>
          </w:tcPr>
          <w:p>
            <w:pPr>
              <w:autoSpaceDN w:val="0"/>
              <w:autoSpaceDE w:val="0"/>
              <w:widowControl/>
              <w:spacing w:line="160" w:lineRule="exact" w:before="268" w:after="0"/>
              <w:ind w:left="0" w:right="0" w:firstLine="0"/>
              <w:jc w:val="center"/>
            </w:pPr>
            <w:r>
              <w:rPr>
                <w:rFonts w:ascii="黑体" w:hAnsi="黑体" w:eastAsia="黑体"/>
                <w:b w:val="0"/>
                <w:i w:val="0"/>
                <w:color w:val="000000"/>
                <w:sz w:val="16"/>
              </w:rPr>
              <w:t>本年现金红利</w:t>
            </w:r>
          </w:p>
        </w:tc>
      </w:tr>
      <w:tr>
        <w:trPr>
          <w:trHeight w:hRule="exact" w:val="206"/>
        </w:trPr>
        <w:tc>
          <w:tcPr>
            <w:tcW w:type="dxa" w:w="1274"/>
            <w:vMerge/>
            <w:tcBorders>
              <w:bottom w:sz="2.400000000000091" w:val="single" w:color="#000000"/>
            </w:tcBorders>
          </w:tcPr>
          <w:p/>
        </w:tc>
        <w:tc>
          <w:tcPr>
            <w:tcW w:type="dxa" w:w="1274"/>
            <w:vMerge/>
            <w:tcBorders>
              <w:bottom w:sz="2.400000000000091" w:val="single" w:color="#000000"/>
            </w:tcBorders>
          </w:tcPr>
          <w:p/>
        </w:tc>
        <w:tc>
          <w:tcPr>
            <w:tcW w:type="dxa" w:w="1274"/>
            <w:vMerge/>
            <w:tcBorders>
              <w:bottom w:sz="2.400000000000091" w:val="single" w:color="#000000"/>
            </w:tcBorders>
          </w:tcPr>
          <w:p/>
        </w:tc>
        <w:tc>
          <w:tcPr>
            <w:tcW w:type="dxa" w:w="1274"/>
            <w:vMerge/>
            <w:tcBorders>
              <w:bottom w:sz="2.400000000000091" w:val="single" w:color="#000000"/>
            </w:tcBorders>
          </w:tcPr>
          <w:p/>
        </w:tc>
        <w:tc>
          <w:tcPr>
            <w:tcW w:type="dxa" w:w="2548"/>
            <w:gridSpan w:val="2"/>
            <w:vMerge/>
            <w:tcBorders>
              <w:bottom w:sz="2.400000000000091" w:val="single" w:color="#000000"/>
            </w:tcBorders>
          </w:tcPr>
          <w:p/>
        </w:tc>
        <w:tc>
          <w:tcPr>
            <w:tcW w:type="dxa" w:w="1300"/>
            <w:tcBorders>
              <w:bottom w:sz="2.400000000000091" w:val="single" w:color="#000000"/>
            </w:tcBorders>
            <w:tcMar>
              <w:start w:w="0" w:type="dxa"/>
              <w:end w:w="0" w:type="dxa"/>
            </w:tcMar>
          </w:tcPr>
          <w:p>
            <w:pPr>
              <w:autoSpaceDN w:val="0"/>
              <w:autoSpaceDE w:val="0"/>
              <w:widowControl/>
              <w:spacing w:line="160" w:lineRule="exact" w:before="42" w:after="0"/>
              <w:ind w:left="0" w:right="84" w:firstLine="0"/>
              <w:jc w:val="right"/>
            </w:pPr>
            <w:r>
              <w:rPr>
                <w:rFonts w:ascii="黑体" w:hAnsi="黑体" w:eastAsia="黑体"/>
                <w:b w:val="0"/>
                <w:i w:val="0"/>
                <w:color w:val="000000"/>
                <w:sz w:val="16"/>
              </w:rPr>
              <w:t>比例</w:t>
            </w:r>
          </w:p>
        </w:tc>
        <w:tc>
          <w:tcPr>
            <w:tcW w:type="dxa" w:w="1880"/>
            <w:tcBorders>
              <w:bottom w:sz="2.400000000000091" w:val="single" w:color="#000000"/>
            </w:tcBorders>
            <w:tcMar>
              <w:start w:w="0" w:type="dxa"/>
              <w:end w:w="0" w:type="dxa"/>
            </w:tcMar>
          </w:tcPr>
          <w:p>
            <w:pPr>
              <w:autoSpaceDN w:val="0"/>
              <w:autoSpaceDE w:val="0"/>
              <w:widowControl/>
              <w:spacing w:line="160" w:lineRule="exact" w:before="42" w:after="0"/>
              <w:ind w:left="0" w:right="492" w:firstLine="0"/>
              <w:jc w:val="right"/>
            </w:pPr>
            <w:r>
              <w:rPr>
                <w:rFonts w:ascii="黑体" w:hAnsi="黑体" w:eastAsia="黑体"/>
                <w:b w:val="0"/>
                <w:i w:val="0"/>
                <w:color w:val="000000"/>
                <w:sz w:val="16"/>
              </w:rPr>
              <w:t>比例</w:t>
            </w:r>
          </w:p>
        </w:tc>
        <w:tc>
          <w:tcPr>
            <w:tcW w:type="dxa" w:w="1274"/>
            <w:vMerge/>
            <w:tcBorders>
              <w:bottom w:sz="2.400000000000091" w:val="single" w:color="#000000"/>
            </w:tcBorders>
          </w:tcPr>
          <w:p/>
        </w:tc>
        <w:tc>
          <w:tcPr>
            <w:tcW w:type="dxa" w:w="1192"/>
            <w:tcBorders>
              <w:bottom w:sz="2.400000000000091" w:val="single" w:color="#000000"/>
            </w:tcBorders>
            <w:tcMar>
              <w:start w:w="0" w:type="dxa"/>
              <w:end w:w="0" w:type="dxa"/>
            </w:tcMar>
          </w:tcPr>
          <w:p>
            <w:pPr>
              <w:autoSpaceDN w:val="0"/>
              <w:autoSpaceDE w:val="0"/>
              <w:widowControl/>
              <w:spacing w:line="160" w:lineRule="exact" w:before="42" w:after="0"/>
              <w:ind w:left="0" w:right="114" w:firstLine="0"/>
              <w:jc w:val="right"/>
            </w:pPr>
            <w:r>
              <w:rPr>
                <w:rFonts w:ascii="黑体" w:hAnsi="黑体" w:eastAsia="黑体"/>
                <w:b w:val="0"/>
                <w:i w:val="0"/>
                <w:color w:val="000000"/>
                <w:sz w:val="16"/>
              </w:rPr>
              <w:t>准备</w:t>
            </w:r>
          </w:p>
        </w:tc>
        <w:tc>
          <w:tcPr>
            <w:tcW w:type="dxa" w:w="1274"/>
            <w:vMerge/>
            <w:tcBorders>
              <w:bottom w:sz="2.400000000000091" w:val="single" w:color="#000000"/>
            </w:tcBorders>
          </w:tcPr>
          <w:p/>
        </w:tc>
      </w:tr>
      <w:tr>
        <w:trPr>
          <w:trHeight w:hRule="exact" w:val="394"/>
        </w:trPr>
        <w:tc>
          <w:tcPr>
            <w:tcW w:type="dxa" w:w="1738"/>
            <w:tcBorders>
              <w:top w:sz="2.400000000000091" w:val="single" w:color="#000000"/>
            </w:tcBorders>
            <w:tcMar>
              <w:start w:w="0" w:type="dxa"/>
              <w:end w:w="0" w:type="dxa"/>
            </w:tcMar>
          </w:tcPr>
          <w:p>
            <w:pPr>
              <w:autoSpaceDN w:val="0"/>
              <w:autoSpaceDE w:val="0"/>
              <w:widowControl/>
              <w:spacing w:line="162" w:lineRule="exact" w:before="222" w:after="0"/>
              <w:ind w:left="0" w:right="0" w:firstLine="0"/>
              <w:jc w:val="left"/>
            </w:pPr>
            <w:r>
              <w:rPr>
                <w:rFonts w:ascii="黑体" w:hAnsi="黑体" w:eastAsia="黑体"/>
                <w:b w:val="0"/>
                <w:i w:val="0"/>
                <w:color w:val="000000"/>
                <w:sz w:val="16"/>
              </w:rPr>
              <w:t>格林大华</w:t>
            </w:r>
          </w:p>
        </w:tc>
        <w:tc>
          <w:tcPr>
            <w:tcW w:type="dxa" w:w="640"/>
            <w:tcBorders>
              <w:top w:sz="2.400000000000091" w:val="single" w:color="#000000"/>
            </w:tcBorders>
            <w:tcMar>
              <w:start w:w="0" w:type="dxa"/>
              <w:end w:w="0" w:type="dxa"/>
            </w:tcMar>
          </w:tcPr>
          <w:p>
            <w:pPr>
              <w:autoSpaceDN w:val="0"/>
              <w:autoSpaceDE w:val="0"/>
              <w:widowControl/>
              <w:spacing w:line="162" w:lineRule="exact" w:before="222" w:after="0"/>
              <w:ind w:left="160" w:right="0" w:firstLine="0"/>
              <w:jc w:val="left"/>
            </w:pPr>
            <w:r>
              <w:rPr>
                <w:rFonts w:ascii="黑体" w:hAnsi="黑体" w:eastAsia="黑体"/>
                <w:b w:val="0"/>
                <w:i w:val="0"/>
                <w:color w:val="000000"/>
                <w:sz w:val="16"/>
              </w:rPr>
              <w:t>成本法</w:t>
            </w:r>
          </w:p>
        </w:tc>
        <w:tc>
          <w:tcPr>
            <w:tcW w:type="dxa" w:w="1362"/>
            <w:tcBorders>
              <w:top w:sz="2.400000000000091" w:val="single" w:color="#000000"/>
            </w:tcBorders>
            <w:tcMar>
              <w:start w:w="0" w:type="dxa"/>
              <w:end w:w="0" w:type="dxa"/>
            </w:tcMar>
          </w:tcPr>
          <w:p>
            <w:pPr>
              <w:autoSpaceDN w:val="0"/>
              <w:autoSpaceDE w:val="0"/>
              <w:widowControl/>
              <w:spacing w:line="233" w:lineRule="auto" w:before="210" w:after="0"/>
              <w:ind w:left="224" w:right="0" w:firstLine="0"/>
              <w:jc w:val="left"/>
            </w:pPr>
            <w:r>
              <w:rPr>
                <w:rFonts w:ascii="Arial" w:hAnsi="Arial" w:eastAsia="Arial"/>
                <w:b w:val="0"/>
                <w:i w:val="0"/>
                <w:color w:val="000000"/>
                <w:sz w:val="16"/>
              </w:rPr>
              <w:t>1,773,930,851</w:t>
            </w:r>
          </w:p>
        </w:tc>
        <w:tc>
          <w:tcPr>
            <w:tcW w:type="dxa" w:w="1358"/>
            <w:tcBorders>
              <w:top w:sz="2.400000000000091" w:val="single" w:color="#000000"/>
            </w:tcBorders>
            <w:tcMar>
              <w:start w:w="0" w:type="dxa"/>
              <w:end w:w="0" w:type="dxa"/>
            </w:tcMar>
          </w:tcPr>
          <w:p>
            <w:pPr>
              <w:autoSpaceDN w:val="0"/>
              <w:autoSpaceDE w:val="0"/>
              <w:widowControl/>
              <w:spacing w:line="233" w:lineRule="auto" w:before="210" w:after="0"/>
              <w:ind w:left="220" w:right="0" w:firstLine="0"/>
              <w:jc w:val="left"/>
            </w:pPr>
            <w:r>
              <w:rPr>
                <w:rFonts w:ascii="Arial" w:hAnsi="Arial" w:eastAsia="Arial"/>
                <w:b w:val="0"/>
                <w:i w:val="0"/>
                <w:color w:val="000000"/>
                <w:sz w:val="16"/>
              </w:rPr>
              <w:t xml:space="preserve">1,773,930,851 </w:t>
            </w:r>
          </w:p>
        </w:tc>
        <w:tc>
          <w:tcPr>
            <w:tcW w:type="dxa" w:w="1322"/>
            <w:tcBorders>
              <w:top w:sz="2.400000000000091" w:val="single" w:color="#000000"/>
            </w:tcBorders>
            <w:tcMar>
              <w:start w:w="0" w:type="dxa"/>
              <w:end w:w="0" w:type="dxa"/>
            </w:tcMar>
          </w:tcPr>
          <w:p>
            <w:pPr>
              <w:autoSpaceDN w:val="0"/>
              <w:autoSpaceDE w:val="0"/>
              <w:widowControl/>
              <w:spacing w:line="233" w:lineRule="auto" w:before="210" w:after="0"/>
              <w:ind w:left="0" w:right="144" w:firstLine="0"/>
              <w:jc w:val="right"/>
            </w:pPr>
            <w:r>
              <w:rPr>
                <w:rFonts w:ascii="Arial" w:hAnsi="Arial" w:eastAsia="Arial"/>
                <w:b w:val="0"/>
                <w:i w:val="0"/>
                <w:color w:val="000000"/>
                <w:sz w:val="16"/>
              </w:rPr>
              <w:t xml:space="preserve">- </w:t>
            </w:r>
          </w:p>
        </w:tc>
        <w:tc>
          <w:tcPr>
            <w:tcW w:type="dxa" w:w="1320"/>
            <w:tcBorders>
              <w:top w:sz="2.400000000000091" w:val="single" w:color="#000000"/>
            </w:tcBorders>
            <w:tcMar>
              <w:start w:w="0" w:type="dxa"/>
              <w:end w:w="0" w:type="dxa"/>
            </w:tcMar>
          </w:tcPr>
          <w:p>
            <w:pPr>
              <w:autoSpaceDN w:val="0"/>
              <w:autoSpaceDE w:val="0"/>
              <w:widowControl/>
              <w:spacing w:line="233" w:lineRule="auto" w:before="210" w:after="0"/>
              <w:ind w:left="150" w:right="0" w:firstLine="0"/>
              <w:jc w:val="left"/>
            </w:pPr>
            <w:r>
              <w:rPr>
                <w:rFonts w:ascii="Arial" w:hAnsi="Arial" w:eastAsia="Arial"/>
                <w:b w:val="0"/>
                <w:i w:val="0"/>
                <w:color w:val="000000"/>
                <w:sz w:val="16"/>
              </w:rPr>
              <w:t xml:space="preserve">1,773,930,851 </w:t>
            </w:r>
          </w:p>
        </w:tc>
        <w:tc>
          <w:tcPr>
            <w:tcW w:type="dxa" w:w="1300"/>
            <w:tcBorders>
              <w:top w:sz="2.400000000000091" w:val="single" w:color="#000000"/>
            </w:tcBorders>
            <w:tcMar>
              <w:start w:w="0" w:type="dxa"/>
              <w:end w:w="0" w:type="dxa"/>
            </w:tcMar>
          </w:tcPr>
          <w:p>
            <w:pPr>
              <w:autoSpaceDN w:val="0"/>
              <w:autoSpaceDE w:val="0"/>
              <w:widowControl/>
              <w:spacing w:line="233" w:lineRule="auto" w:before="210" w:after="0"/>
              <w:ind w:left="0" w:right="86" w:firstLine="0"/>
              <w:jc w:val="right"/>
            </w:pPr>
            <w:r>
              <w:rPr>
                <w:rFonts w:ascii="Arial" w:hAnsi="Arial" w:eastAsia="Arial"/>
                <w:b w:val="0"/>
                <w:i w:val="0"/>
                <w:color w:val="000000"/>
                <w:sz w:val="16"/>
              </w:rPr>
              <w:t>100.00%</w:t>
            </w:r>
          </w:p>
        </w:tc>
        <w:tc>
          <w:tcPr>
            <w:tcW w:type="dxa" w:w="1880"/>
            <w:tcBorders>
              <w:top w:sz="2.400000000000091" w:val="single" w:color="#000000"/>
            </w:tcBorders>
            <w:tcMar>
              <w:start w:w="0" w:type="dxa"/>
              <w:end w:w="0" w:type="dxa"/>
            </w:tcMar>
          </w:tcPr>
          <w:p>
            <w:pPr>
              <w:autoSpaceDN w:val="0"/>
              <w:autoSpaceDE w:val="0"/>
              <w:widowControl/>
              <w:spacing w:line="233" w:lineRule="auto" w:before="210" w:after="0"/>
              <w:ind w:left="0" w:right="410" w:firstLine="0"/>
              <w:jc w:val="right"/>
            </w:pPr>
            <w:r>
              <w:rPr>
                <w:rFonts w:ascii="Arial" w:hAnsi="Arial" w:eastAsia="Arial"/>
                <w:b w:val="0"/>
                <w:i w:val="0"/>
                <w:color w:val="000000"/>
                <w:sz w:val="16"/>
              </w:rPr>
              <w:t xml:space="preserve">100.00% </w:t>
            </w:r>
          </w:p>
        </w:tc>
        <w:tc>
          <w:tcPr>
            <w:tcW w:type="dxa" w:w="808"/>
            <w:tcBorders>
              <w:top w:sz="2.400000000000091" w:val="single" w:color="#000000"/>
            </w:tcBorders>
            <w:tcMar>
              <w:start w:w="0" w:type="dxa"/>
              <w:end w:w="0" w:type="dxa"/>
            </w:tcMar>
          </w:tcPr>
          <w:p>
            <w:pPr>
              <w:autoSpaceDN w:val="0"/>
              <w:autoSpaceDE w:val="0"/>
              <w:widowControl/>
              <w:spacing w:line="233" w:lineRule="auto" w:before="210" w:after="0"/>
              <w:ind w:left="0" w:right="84" w:firstLine="0"/>
              <w:jc w:val="right"/>
            </w:pPr>
            <w:r>
              <w:rPr>
                <w:rFonts w:ascii="Arial" w:hAnsi="Arial" w:eastAsia="Arial"/>
                <w:b w:val="0"/>
                <w:i w:val="0"/>
                <w:color w:val="000000"/>
                <w:sz w:val="16"/>
              </w:rPr>
              <w:t xml:space="preserve">- </w:t>
            </w:r>
          </w:p>
        </w:tc>
        <w:tc>
          <w:tcPr>
            <w:tcW w:type="dxa" w:w="1192"/>
            <w:tcBorders>
              <w:top w:sz="2.400000000000091" w:val="single" w:color="#000000"/>
            </w:tcBorders>
            <w:tcMar>
              <w:start w:w="0" w:type="dxa"/>
              <w:end w:w="0" w:type="dxa"/>
            </w:tcMar>
          </w:tcPr>
          <w:p>
            <w:pPr>
              <w:autoSpaceDN w:val="0"/>
              <w:autoSpaceDE w:val="0"/>
              <w:widowControl/>
              <w:spacing w:line="233" w:lineRule="auto" w:before="210" w:after="0"/>
              <w:ind w:left="0" w:right="72" w:firstLine="0"/>
              <w:jc w:val="right"/>
            </w:pPr>
            <w:r>
              <w:rPr>
                <w:rFonts w:ascii="Arial" w:hAnsi="Arial" w:eastAsia="Arial"/>
                <w:b w:val="0"/>
                <w:i w:val="0"/>
                <w:color w:val="000000"/>
                <w:sz w:val="16"/>
              </w:rPr>
              <w:t xml:space="preserve">- </w:t>
            </w:r>
          </w:p>
        </w:tc>
        <w:tc>
          <w:tcPr>
            <w:tcW w:type="dxa" w:w="1080"/>
            <w:tcBorders>
              <w:top w:sz="2.400000000000091" w:val="single" w:color="#000000"/>
            </w:tcBorders>
            <w:tcMar>
              <w:start w:w="0" w:type="dxa"/>
              <w:end w:w="0" w:type="dxa"/>
            </w:tcMar>
          </w:tcPr>
          <w:p>
            <w:pPr>
              <w:autoSpaceDN w:val="0"/>
              <w:autoSpaceDE w:val="0"/>
              <w:widowControl/>
              <w:spacing w:line="233" w:lineRule="auto" w:before="210" w:after="0"/>
              <w:ind w:left="0" w:right="4" w:firstLine="0"/>
              <w:jc w:val="right"/>
            </w:pPr>
            <w:r>
              <w:rPr>
                <w:rFonts w:ascii="Arial" w:hAnsi="Arial" w:eastAsia="Arial"/>
                <w:b w:val="0"/>
                <w:i w:val="0"/>
                <w:color w:val="000000"/>
                <w:sz w:val="16"/>
              </w:rPr>
              <w:t xml:space="preserve">- </w:t>
            </w:r>
          </w:p>
        </w:tc>
      </w:tr>
      <w:tr>
        <w:trPr>
          <w:trHeight w:hRule="exact" w:val="236"/>
        </w:trPr>
        <w:tc>
          <w:tcPr>
            <w:tcW w:type="dxa" w:w="1738"/>
            <w:tcBorders/>
            <w:tcMar>
              <w:start w:w="0" w:type="dxa"/>
              <w:end w:w="0" w:type="dxa"/>
            </w:tcMar>
          </w:tcPr>
          <w:p>
            <w:pPr>
              <w:autoSpaceDN w:val="0"/>
              <w:autoSpaceDE w:val="0"/>
              <w:widowControl/>
              <w:spacing w:line="160" w:lineRule="exact" w:before="42" w:after="0"/>
              <w:ind w:left="0" w:right="0" w:firstLine="0"/>
              <w:jc w:val="left"/>
            </w:pPr>
            <w:r>
              <w:rPr>
                <w:rFonts w:ascii="黑体" w:hAnsi="黑体" w:eastAsia="黑体"/>
                <w:b w:val="0"/>
                <w:i w:val="0"/>
                <w:color w:val="000000"/>
                <w:sz w:val="16"/>
              </w:rPr>
              <w:t>中德证券</w:t>
            </w:r>
          </w:p>
        </w:tc>
        <w:tc>
          <w:tcPr>
            <w:tcW w:type="dxa" w:w="640"/>
            <w:tcBorders/>
            <w:tcMar>
              <w:start w:w="0" w:type="dxa"/>
              <w:end w:w="0" w:type="dxa"/>
            </w:tcMar>
          </w:tcPr>
          <w:p>
            <w:pPr>
              <w:autoSpaceDN w:val="0"/>
              <w:autoSpaceDE w:val="0"/>
              <w:widowControl/>
              <w:spacing w:line="160" w:lineRule="exact" w:before="42" w:after="0"/>
              <w:ind w:left="160" w:right="0" w:firstLine="0"/>
              <w:jc w:val="left"/>
            </w:pPr>
            <w:r>
              <w:rPr>
                <w:rFonts w:ascii="黑体" w:hAnsi="黑体" w:eastAsia="黑体"/>
                <w:b w:val="0"/>
                <w:i w:val="0"/>
                <w:color w:val="000000"/>
                <w:sz w:val="16"/>
              </w:rPr>
              <w:t>成本法</w:t>
            </w:r>
          </w:p>
        </w:tc>
        <w:tc>
          <w:tcPr>
            <w:tcW w:type="dxa" w:w="1362"/>
            <w:tcBorders/>
            <w:tcMar>
              <w:start w:w="0" w:type="dxa"/>
              <w:end w:w="0" w:type="dxa"/>
            </w:tcMar>
          </w:tcPr>
          <w:p>
            <w:pPr>
              <w:autoSpaceDN w:val="0"/>
              <w:autoSpaceDE w:val="0"/>
              <w:widowControl/>
              <w:spacing w:line="230" w:lineRule="auto" w:before="44" w:after="0"/>
              <w:ind w:left="0" w:right="116" w:firstLine="0"/>
              <w:jc w:val="right"/>
            </w:pPr>
            <w:r>
              <w:rPr>
                <w:rFonts w:ascii="Arial" w:hAnsi="Arial" w:eastAsia="Arial"/>
                <w:b w:val="0"/>
                <w:i w:val="0"/>
                <w:color w:val="000000"/>
                <w:sz w:val="16"/>
              </w:rPr>
              <w:t>667,000,000</w:t>
            </w:r>
          </w:p>
        </w:tc>
        <w:tc>
          <w:tcPr>
            <w:tcW w:type="dxa" w:w="1358"/>
            <w:tcBorders/>
            <w:tcMar>
              <w:start w:w="0" w:type="dxa"/>
              <w:end w:w="0" w:type="dxa"/>
            </w:tcMar>
          </w:tcPr>
          <w:p>
            <w:pPr>
              <w:autoSpaceDN w:val="0"/>
              <w:autoSpaceDE w:val="0"/>
              <w:widowControl/>
              <w:spacing w:line="230" w:lineRule="auto" w:before="44" w:after="0"/>
              <w:ind w:left="0" w:right="70" w:firstLine="0"/>
              <w:jc w:val="right"/>
            </w:pPr>
            <w:r>
              <w:rPr>
                <w:rFonts w:ascii="Arial" w:hAnsi="Arial" w:eastAsia="Arial"/>
                <w:b w:val="0"/>
                <w:i w:val="0"/>
                <w:color w:val="000000"/>
                <w:sz w:val="16"/>
              </w:rPr>
              <w:t xml:space="preserve">667,000,000 </w:t>
            </w:r>
          </w:p>
        </w:tc>
        <w:tc>
          <w:tcPr>
            <w:tcW w:type="dxa" w:w="1322"/>
            <w:tcBorders/>
            <w:tcMar>
              <w:start w:w="0" w:type="dxa"/>
              <w:end w:w="0" w:type="dxa"/>
            </w:tcMar>
          </w:tcPr>
          <w:p>
            <w:pPr>
              <w:autoSpaceDN w:val="0"/>
              <w:autoSpaceDE w:val="0"/>
              <w:widowControl/>
              <w:spacing w:line="230" w:lineRule="auto" w:before="44" w:after="0"/>
              <w:ind w:left="0" w:right="14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0" w:lineRule="auto" w:before="44" w:after="0"/>
              <w:ind w:left="282" w:right="0" w:firstLine="0"/>
              <w:jc w:val="left"/>
            </w:pPr>
            <w:r>
              <w:rPr>
                <w:rFonts w:ascii="Arial" w:hAnsi="Arial" w:eastAsia="Arial"/>
                <w:b w:val="0"/>
                <w:i w:val="0"/>
                <w:color w:val="000000"/>
                <w:sz w:val="16"/>
              </w:rPr>
              <w:t xml:space="preserve">667,000,000 </w:t>
            </w:r>
          </w:p>
        </w:tc>
        <w:tc>
          <w:tcPr>
            <w:tcW w:type="dxa" w:w="1300"/>
            <w:tcBorders/>
            <w:tcMar>
              <w:start w:w="0" w:type="dxa"/>
              <w:end w:w="0" w:type="dxa"/>
            </w:tcMar>
          </w:tcPr>
          <w:p>
            <w:pPr>
              <w:autoSpaceDN w:val="0"/>
              <w:autoSpaceDE w:val="0"/>
              <w:widowControl/>
              <w:spacing w:line="230" w:lineRule="auto" w:before="44" w:after="0"/>
              <w:ind w:left="0" w:right="86" w:firstLine="0"/>
              <w:jc w:val="right"/>
            </w:pPr>
            <w:r>
              <w:rPr>
                <w:rFonts w:ascii="Arial" w:hAnsi="Arial" w:eastAsia="Arial"/>
                <w:b w:val="0"/>
                <w:i w:val="0"/>
                <w:color w:val="000000"/>
                <w:sz w:val="16"/>
              </w:rPr>
              <w:t>66.70%</w:t>
            </w:r>
          </w:p>
        </w:tc>
        <w:tc>
          <w:tcPr>
            <w:tcW w:type="dxa" w:w="1880"/>
            <w:tcBorders/>
            <w:tcMar>
              <w:start w:w="0" w:type="dxa"/>
              <w:end w:w="0" w:type="dxa"/>
            </w:tcMar>
          </w:tcPr>
          <w:p>
            <w:pPr>
              <w:autoSpaceDN w:val="0"/>
              <w:autoSpaceDE w:val="0"/>
              <w:widowControl/>
              <w:spacing w:line="230" w:lineRule="auto" w:before="44" w:after="0"/>
              <w:ind w:left="0" w:right="410" w:firstLine="0"/>
              <w:jc w:val="right"/>
            </w:pPr>
            <w:r>
              <w:rPr>
                <w:rFonts w:ascii="Arial" w:hAnsi="Arial" w:eastAsia="Arial"/>
                <w:b w:val="0"/>
                <w:i w:val="0"/>
                <w:color w:val="000000"/>
                <w:sz w:val="16"/>
              </w:rPr>
              <w:t xml:space="preserve">66.70% </w:t>
            </w:r>
          </w:p>
        </w:tc>
        <w:tc>
          <w:tcPr>
            <w:tcW w:type="dxa" w:w="808"/>
            <w:tcBorders/>
            <w:tcMar>
              <w:start w:w="0" w:type="dxa"/>
              <w:end w:w="0" w:type="dxa"/>
            </w:tcMar>
          </w:tcPr>
          <w:p>
            <w:pPr>
              <w:autoSpaceDN w:val="0"/>
              <w:autoSpaceDE w:val="0"/>
              <w:widowControl/>
              <w:spacing w:line="230" w:lineRule="auto" w:before="44" w:after="0"/>
              <w:ind w:left="0" w:right="84" w:firstLine="0"/>
              <w:jc w:val="right"/>
            </w:pPr>
            <w:r>
              <w:rPr>
                <w:rFonts w:ascii="Arial" w:hAnsi="Arial" w:eastAsia="Arial"/>
                <w:b w:val="0"/>
                <w:i w:val="0"/>
                <w:color w:val="000000"/>
                <w:sz w:val="16"/>
              </w:rPr>
              <w:t xml:space="preserve">- </w:t>
            </w:r>
          </w:p>
        </w:tc>
        <w:tc>
          <w:tcPr>
            <w:tcW w:type="dxa" w:w="1192"/>
            <w:tcBorders/>
            <w:tcMar>
              <w:start w:w="0" w:type="dxa"/>
              <w:end w:w="0" w:type="dxa"/>
            </w:tcMar>
          </w:tcPr>
          <w:p>
            <w:pPr>
              <w:autoSpaceDN w:val="0"/>
              <w:autoSpaceDE w:val="0"/>
              <w:widowControl/>
              <w:spacing w:line="230" w:lineRule="auto" w:before="44" w:after="0"/>
              <w:ind w:left="0" w:right="72" w:firstLine="0"/>
              <w:jc w:val="right"/>
            </w:pPr>
            <w:r>
              <w:rPr>
                <w:rFonts w:ascii="Arial" w:hAnsi="Arial" w:eastAsia="Arial"/>
                <w:b w:val="0"/>
                <w:i w:val="0"/>
                <w:color w:val="000000"/>
                <w:sz w:val="16"/>
              </w:rPr>
              <w:t xml:space="preserve">- </w:t>
            </w:r>
          </w:p>
        </w:tc>
        <w:tc>
          <w:tcPr>
            <w:tcW w:type="dxa" w:w="1080"/>
            <w:tcBorders/>
            <w:tcMar>
              <w:start w:w="0" w:type="dxa"/>
              <w:end w:w="0" w:type="dxa"/>
            </w:tcMar>
          </w:tcPr>
          <w:p>
            <w:pPr>
              <w:autoSpaceDN w:val="0"/>
              <w:autoSpaceDE w:val="0"/>
              <w:widowControl/>
              <w:spacing w:line="230" w:lineRule="auto" w:before="44" w:after="0"/>
              <w:ind w:left="0" w:right="4" w:firstLine="0"/>
              <w:jc w:val="right"/>
            </w:pPr>
            <w:r>
              <w:rPr>
                <w:rFonts w:ascii="Arial" w:hAnsi="Arial" w:eastAsia="Arial"/>
                <w:b w:val="0"/>
                <w:i w:val="0"/>
                <w:color w:val="000000"/>
                <w:sz w:val="16"/>
              </w:rPr>
              <w:t xml:space="preserve">- </w:t>
            </w:r>
          </w:p>
        </w:tc>
      </w:tr>
      <w:tr>
        <w:trPr>
          <w:trHeight w:hRule="exact" w:val="164"/>
        </w:trPr>
        <w:tc>
          <w:tcPr>
            <w:tcW w:type="dxa" w:w="1738"/>
            <w:tcBorders/>
            <w:tcMar>
              <w:start w:w="0" w:type="dxa"/>
              <w:end w:w="0" w:type="dxa"/>
            </w:tcMar>
          </w:tcPr>
          <w:p>
            <w:pPr>
              <w:autoSpaceDN w:val="0"/>
              <w:autoSpaceDE w:val="0"/>
              <w:widowControl/>
              <w:spacing w:line="160" w:lineRule="exact" w:before="4" w:after="0"/>
              <w:ind w:left="0" w:right="0" w:firstLine="0"/>
              <w:jc w:val="left"/>
            </w:pPr>
            <w:r>
              <w:rPr>
                <w:rFonts w:ascii="黑体" w:hAnsi="黑体" w:eastAsia="黑体"/>
                <w:b w:val="0"/>
                <w:i w:val="0"/>
                <w:color w:val="000000"/>
                <w:sz w:val="16"/>
              </w:rPr>
              <w:t>山证投资</w:t>
            </w:r>
          </w:p>
        </w:tc>
        <w:tc>
          <w:tcPr>
            <w:tcW w:type="dxa" w:w="640"/>
            <w:tcBorders/>
            <w:tcMar>
              <w:start w:w="0" w:type="dxa"/>
              <w:end w:w="0" w:type="dxa"/>
            </w:tcMar>
          </w:tcPr>
          <w:p>
            <w:pPr>
              <w:autoSpaceDN w:val="0"/>
              <w:autoSpaceDE w:val="0"/>
              <w:widowControl/>
              <w:spacing w:line="160" w:lineRule="exact" w:before="4" w:after="0"/>
              <w:ind w:left="160" w:right="0" w:firstLine="0"/>
              <w:jc w:val="left"/>
            </w:pPr>
            <w:r>
              <w:rPr>
                <w:rFonts w:ascii="黑体" w:hAnsi="黑体" w:eastAsia="黑体"/>
                <w:b w:val="0"/>
                <w:i w:val="0"/>
                <w:color w:val="000000"/>
                <w:sz w:val="16"/>
              </w:rPr>
              <w:t>成本法</w:t>
            </w:r>
          </w:p>
        </w:tc>
        <w:tc>
          <w:tcPr>
            <w:tcW w:type="dxa" w:w="1362"/>
            <w:vMerge w:val="restart"/>
            <w:tcBorders/>
            <w:tcMar>
              <w:start w:w="0" w:type="dxa"/>
              <w:end w:w="0" w:type="dxa"/>
            </w:tcMar>
            <w:tcMar>
              <w:start w:w="0" w:type="dxa"/>
              <w:end w:w="0" w:type="dxa"/>
            </w:tcMar>
          </w:tcPr>
          <w:p>
            <w:pPr>
              <w:autoSpaceDN w:val="0"/>
              <w:autoSpaceDE w:val="0"/>
              <w:widowControl/>
              <w:spacing w:line="233" w:lineRule="auto" w:before="14" w:after="0"/>
              <w:ind w:left="0" w:right="116" w:firstLine="0"/>
              <w:jc w:val="right"/>
            </w:pPr>
            <w:r>
              <w:rPr>
                <w:rFonts w:ascii="Arial" w:hAnsi="Arial" w:eastAsia="Arial"/>
                <w:b w:val="0"/>
                <w:i w:val="0"/>
                <w:color w:val="000000"/>
                <w:sz w:val="16"/>
              </w:rPr>
              <w:t>800,000,000</w:t>
            </w:r>
          </w:p>
        </w:tc>
        <w:tc>
          <w:tcPr>
            <w:tcW w:type="dxa" w:w="1358"/>
            <w:vMerge w:val="restart"/>
            <w:tcBorders/>
            <w:tcMar>
              <w:start w:w="0" w:type="dxa"/>
              <w:end w:w="0" w:type="dxa"/>
            </w:tcMar>
            <w:tcMar>
              <w:start w:w="0" w:type="dxa"/>
              <w:end w:w="0" w:type="dxa"/>
            </w:tcMar>
          </w:tcPr>
          <w:p>
            <w:pPr>
              <w:autoSpaceDN w:val="0"/>
              <w:autoSpaceDE w:val="0"/>
              <w:widowControl/>
              <w:spacing w:line="233" w:lineRule="auto" w:before="14" w:after="0"/>
              <w:ind w:left="0" w:right="70" w:firstLine="0"/>
              <w:jc w:val="right"/>
            </w:pPr>
            <w:r>
              <w:rPr>
                <w:rFonts w:ascii="Arial" w:hAnsi="Arial" w:eastAsia="Arial"/>
                <w:b w:val="0"/>
                <w:i w:val="0"/>
                <w:color w:val="000000"/>
                <w:sz w:val="16"/>
              </w:rPr>
              <w:t xml:space="preserve">800,000,000 </w:t>
            </w:r>
          </w:p>
        </w:tc>
        <w:tc>
          <w:tcPr>
            <w:tcW w:type="dxa" w:w="1322"/>
            <w:vMerge w:val="restart"/>
            <w:tcBorders/>
            <w:tcMar>
              <w:start w:w="0" w:type="dxa"/>
              <w:end w:w="0" w:type="dxa"/>
            </w:tcMar>
            <w:tcMar>
              <w:start w:w="0" w:type="dxa"/>
              <w:end w:w="0" w:type="dxa"/>
            </w:tcMar>
          </w:tcPr>
          <w:p>
            <w:pPr>
              <w:autoSpaceDN w:val="0"/>
              <w:autoSpaceDE w:val="0"/>
              <w:widowControl/>
              <w:spacing w:line="233" w:lineRule="auto" w:before="14" w:after="0"/>
              <w:ind w:left="0" w:right="144" w:firstLine="0"/>
              <w:jc w:val="right"/>
            </w:pPr>
            <w:r>
              <w:rPr>
                <w:rFonts w:ascii="Arial" w:hAnsi="Arial" w:eastAsia="Arial"/>
                <w:b w:val="0"/>
                <w:i w:val="0"/>
                <w:color w:val="000000"/>
                <w:sz w:val="16"/>
              </w:rPr>
              <w:t xml:space="preserve">- </w:t>
            </w:r>
          </w:p>
        </w:tc>
        <w:tc>
          <w:tcPr>
            <w:tcW w:type="dxa" w:w="1320"/>
            <w:vMerge w:val="restart"/>
            <w:tcBorders/>
            <w:tcMar>
              <w:start w:w="0" w:type="dxa"/>
              <w:end w:w="0" w:type="dxa"/>
            </w:tcMar>
            <w:tcMar>
              <w:start w:w="0" w:type="dxa"/>
              <w:end w:w="0" w:type="dxa"/>
            </w:tcMar>
          </w:tcPr>
          <w:p>
            <w:pPr>
              <w:autoSpaceDN w:val="0"/>
              <w:autoSpaceDE w:val="0"/>
              <w:widowControl/>
              <w:spacing w:line="233" w:lineRule="auto" w:before="14" w:after="0"/>
              <w:ind w:left="282" w:right="0" w:firstLine="0"/>
              <w:jc w:val="left"/>
            </w:pPr>
            <w:r>
              <w:rPr>
                <w:rFonts w:ascii="Arial" w:hAnsi="Arial" w:eastAsia="Arial"/>
                <w:b w:val="0"/>
                <w:i w:val="0"/>
                <w:color w:val="000000"/>
                <w:sz w:val="16"/>
              </w:rPr>
              <w:t xml:space="preserve">800,000,000 </w:t>
            </w:r>
          </w:p>
        </w:tc>
        <w:tc>
          <w:tcPr>
            <w:tcW w:type="dxa" w:w="1300"/>
            <w:vMerge w:val="restart"/>
            <w:tcBorders/>
            <w:tcMar>
              <w:start w:w="0" w:type="dxa"/>
              <w:end w:w="0" w:type="dxa"/>
            </w:tcMar>
            <w:tcMar>
              <w:start w:w="0" w:type="dxa"/>
              <w:end w:w="0" w:type="dxa"/>
            </w:tcMar>
          </w:tcPr>
          <w:p>
            <w:pPr>
              <w:autoSpaceDN w:val="0"/>
              <w:autoSpaceDE w:val="0"/>
              <w:widowControl/>
              <w:spacing w:line="233" w:lineRule="auto" w:before="14" w:after="0"/>
              <w:ind w:left="0" w:right="86" w:firstLine="0"/>
              <w:jc w:val="right"/>
            </w:pPr>
            <w:r>
              <w:rPr>
                <w:rFonts w:ascii="Arial" w:hAnsi="Arial" w:eastAsia="Arial"/>
                <w:b w:val="0"/>
                <w:i w:val="0"/>
                <w:color w:val="000000"/>
                <w:sz w:val="16"/>
              </w:rPr>
              <w:t>100.00%</w:t>
            </w:r>
          </w:p>
        </w:tc>
        <w:tc>
          <w:tcPr>
            <w:tcW w:type="dxa" w:w="1880"/>
            <w:vMerge w:val="restart"/>
            <w:tcBorders/>
            <w:tcMar>
              <w:start w:w="0" w:type="dxa"/>
              <w:end w:w="0" w:type="dxa"/>
            </w:tcMar>
            <w:tcMar>
              <w:start w:w="0" w:type="dxa"/>
              <w:end w:w="0" w:type="dxa"/>
            </w:tcMar>
          </w:tcPr>
          <w:p>
            <w:pPr>
              <w:autoSpaceDN w:val="0"/>
              <w:autoSpaceDE w:val="0"/>
              <w:widowControl/>
              <w:spacing w:line="233" w:lineRule="auto" w:before="14" w:after="0"/>
              <w:ind w:left="0" w:right="410" w:firstLine="0"/>
              <w:jc w:val="right"/>
            </w:pPr>
            <w:r>
              <w:rPr>
                <w:rFonts w:ascii="Arial" w:hAnsi="Arial" w:eastAsia="Arial"/>
                <w:b w:val="0"/>
                <w:i w:val="0"/>
                <w:color w:val="000000"/>
                <w:sz w:val="16"/>
              </w:rPr>
              <w:t xml:space="preserve">100.00% </w:t>
            </w:r>
          </w:p>
        </w:tc>
        <w:tc>
          <w:tcPr>
            <w:tcW w:type="dxa" w:w="808"/>
            <w:vMerge w:val="restart"/>
            <w:tcBorders/>
            <w:tcMar>
              <w:start w:w="0" w:type="dxa"/>
              <w:end w:w="0" w:type="dxa"/>
            </w:tcMar>
            <w:tcMar>
              <w:start w:w="0" w:type="dxa"/>
              <w:end w:w="0" w:type="dxa"/>
            </w:tcMar>
          </w:tcPr>
          <w:p>
            <w:pPr>
              <w:autoSpaceDN w:val="0"/>
              <w:autoSpaceDE w:val="0"/>
              <w:widowControl/>
              <w:spacing w:line="233" w:lineRule="auto" w:before="14" w:after="0"/>
              <w:ind w:left="0" w:right="84" w:firstLine="0"/>
              <w:jc w:val="right"/>
            </w:pPr>
            <w:r>
              <w:rPr>
                <w:rFonts w:ascii="Arial" w:hAnsi="Arial" w:eastAsia="Arial"/>
                <w:b w:val="0"/>
                <w:i w:val="0"/>
                <w:color w:val="000000"/>
                <w:sz w:val="16"/>
              </w:rPr>
              <w:t xml:space="preserve">- </w:t>
            </w:r>
          </w:p>
        </w:tc>
        <w:tc>
          <w:tcPr>
            <w:tcW w:type="dxa" w:w="1192"/>
            <w:vMerge w:val="restart"/>
            <w:tcBorders/>
            <w:tcMar>
              <w:start w:w="0" w:type="dxa"/>
              <w:end w:w="0" w:type="dxa"/>
            </w:tcMar>
            <w:tcMar>
              <w:start w:w="0" w:type="dxa"/>
              <w:end w:w="0" w:type="dxa"/>
            </w:tcMar>
          </w:tcPr>
          <w:p>
            <w:pPr>
              <w:autoSpaceDN w:val="0"/>
              <w:autoSpaceDE w:val="0"/>
              <w:widowControl/>
              <w:spacing w:line="233" w:lineRule="auto" w:before="14" w:after="0"/>
              <w:ind w:left="0" w:right="72" w:firstLine="0"/>
              <w:jc w:val="right"/>
            </w:pPr>
            <w:r>
              <w:rPr>
                <w:rFonts w:ascii="Arial" w:hAnsi="Arial" w:eastAsia="Arial"/>
                <w:b w:val="0"/>
                <w:i w:val="0"/>
                <w:color w:val="000000"/>
                <w:sz w:val="16"/>
              </w:rPr>
              <w:t xml:space="preserve">- </w:t>
            </w:r>
          </w:p>
        </w:tc>
        <w:tc>
          <w:tcPr>
            <w:tcW w:type="dxa" w:w="1080"/>
            <w:vMerge w:val="restart"/>
            <w:tcBorders/>
            <w:tcMar>
              <w:start w:w="0" w:type="dxa"/>
              <w:end w:w="0" w:type="dxa"/>
            </w:tcMar>
            <w:tcMar>
              <w:start w:w="0" w:type="dxa"/>
              <w:end w:w="0" w:type="dxa"/>
            </w:tcMar>
          </w:tcPr>
          <w:p>
            <w:pPr>
              <w:autoSpaceDN w:val="0"/>
              <w:autoSpaceDE w:val="0"/>
              <w:widowControl/>
              <w:spacing w:line="233" w:lineRule="auto" w:before="14" w:after="0"/>
              <w:ind w:left="0" w:right="4" w:firstLine="0"/>
              <w:jc w:val="right"/>
            </w:pPr>
            <w:r>
              <w:rPr>
                <w:rFonts w:ascii="Arial" w:hAnsi="Arial" w:eastAsia="Arial"/>
                <w:b w:val="0"/>
                <w:i w:val="0"/>
                <w:color w:val="000000"/>
                <w:sz w:val="16"/>
              </w:rPr>
              <w:t xml:space="preserve">- </w:t>
            </w:r>
          </w:p>
        </w:tc>
      </w:tr>
      <w:tr>
        <w:trPr>
          <w:trHeight w:hRule="exact" w:val="44"/>
        </w:trPr>
        <w:tc>
          <w:tcPr>
            <w:tcW w:type="dxa" w:w="1738"/>
            <w:vMerge w:val="restart"/>
            <w:tcBorders/>
            <w:tcMar>
              <w:start w:w="0" w:type="dxa"/>
              <w:end w:w="0" w:type="dxa"/>
            </w:tcMar>
            <w:tcMar>
              <w:start w:w="0" w:type="dxa"/>
              <w:end w:w="0" w:type="dxa"/>
            </w:tcMar>
          </w:tcPr>
          <w:p>
            <w:pPr>
              <w:autoSpaceDN w:val="0"/>
              <w:autoSpaceDE w:val="0"/>
              <w:widowControl/>
              <w:spacing w:line="162" w:lineRule="exact" w:before="56" w:after="0"/>
              <w:ind w:left="0" w:right="0" w:firstLine="0"/>
              <w:jc w:val="left"/>
            </w:pPr>
            <w:r>
              <w:rPr>
                <w:rFonts w:ascii="黑体" w:hAnsi="黑体" w:eastAsia="黑体"/>
                <w:b w:val="0"/>
                <w:i w:val="0"/>
                <w:color w:val="000000"/>
                <w:sz w:val="16"/>
              </w:rPr>
              <w:t>山证国际金控</w:t>
            </w:r>
          </w:p>
        </w:tc>
        <w:tc>
          <w:tcPr>
            <w:tcW w:type="dxa" w:w="640"/>
            <w:vMerge w:val="restart"/>
            <w:tcBorders/>
            <w:tcMar>
              <w:start w:w="0" w:type="dxa"/>
              <w:end w:w="0" w:type="dxa"/>
            </w:tcMar>
            <w:tcMar>
              <w:start w:w="0" w:type="dxa"/>
              <w:end w:w="0" w:type="dxa"/>
            </w:tcMar>
          </w:tcPr>
          <w:p>
            <w:pPr>
              <w:autoSpaceDN w:val="0"/>
              <w:autoSpaceDE w:val="0"/>
              <w:widowControl/>
              <w:spacing w:line="162" w:lineRule="exact" w:before="56" w:after="0"/>
              <w:ind w:left="160" w:right="0" w:firstLine="0"/>
              <w:jc w:val="left"/>
            </w:pPr>
            <w:r>
              <w:rPr>
                <w:rFonts w:ascii="黑体" w:hAnsi="黑体" w:eastAsia="黑体"/>
                <w:b w:val="0"/>
                <w:i w:val="0"/>
                <w:color w:val="000000"/>
                <w:sz w:val="16"/>
              </w:rPr>
              <w:t>成本法</w:t>
            </w:r>
          </w:p>
        </w:tc>
        <w:tc>
          <w:tcPr>
            <w:tcW w:type="dxa" w:w="1274"/>
            <w:vMerge/>
            <w:tcBorders/>
          </w:tcPr>
          <w:p/>
        </w:tc>
        <w:tc>
          <w:tcPr>
            <w:tcW w:type="dxa" w:w="1274"/>
            <w:vMerge/>
            <w:tcBorders/>
          </w:tcPr>
          <w:p/>
        </w:tc>
        <w:tc>
          <w:tcPr>
            <w:tcW w:type="dxa" w:w="1274"/>
            <w:vMerge/>
            <w:tcBorders/>
          </w:tcPr>
          <w:p/>
        </w:tc>
        <w:tc>
          <w:tcPr>
            <w:tcW w:type="dxa" w:w="1274"/>
            <w:vMerge/>
            <w:tcBorders/>
          </w:tcPr>
          <w:p/>
        </w:tc>
        <w:tc>
          <w:tcPr>
            <w:tcW w:type="dxa" w:w="1274"/>
            <w:vMerge/>
            <w:tcBorders/>
          </w:tcPr>
          <w:p/>
        </w:tc>
        <w:tc>
          <w:tcPr>
            <w:tcW w:type="dxa" w:w="1274"/>
            <w:vMerge/>
            <w:tcBorders/>
          </w:tcPr>
          <w:p/>
        </w:tc>
        <w:tc>
          <w:tcPr>
            <w:tcW w:type="dxa" w:w="1274"/>
            <w:vMerge/>
            <w:tcBorders/>
          </w:tcPr>
          <w:p/>
        </w:tc>
        <w:tc>
          <w:tcPr>
            <w:tcW w:type="dxa" w:w="1274"/>
            <w:vMerge/>
            <w:tcBorders/>
          </w:tcPr>
          <w:p/>
        </w:tc>
        <w:tc>
          <w:tcPr>
            <w:tcW w:type="dxa" w:w="1274"/>
            <w:vMerge/>
            <w:tcBorders/>
          </w:tcPr>
          <w:p/>
        </w:tc>
      </w:tr>
      <w:tr>
        <w:trPr>
          <w:trHeight w:hRule="exact" w:val="176"/>
        </w:trPr>
        <w:tc>
          <w:tcPr>
            <w:tcW w:type="dxa" w:w="1274"/>
            <w:vMerge/>
            <w:tcBorders/>
          </w:tcPr>
          <w:p/>
        </w:tc>
        <w:tc>
          <w:tcPr>
            <w:tcW w:type="dxa" w:w="1274"/>
            <w:vMerge/>
            <w:tcBorders/>
          </w:tcPr>
          <w:p/>
        </w:tc>
        <w:tc>
          <w:tcPr>
            <w:tcW w:type="dxa" w:w="1362"/>
            <w:tcBorders/>
            <w:tcMar>
              <w:start w:w="0" w:type="dxa"/>
              <w:end w:w="0" w:type="dxa"/>
            </w:tcMar>
          </w:tcPr>
          <w:p>
            <w:pPr>
              <w:autoSpaceDN w:val="0"/>
              <w:autoSpaceDE w:val="0"/>
              <w:widowControl/>
              <w:spacing w:line="233" w:lineRule="auto" w:before="0" w:after="0"/>
              <w:ind w:left="0" w:right="116" w:firstLine="0"/>
              <w:jc w:val="right"/>
            </w:pPr>
            <w:r>
              <w:rPr>
                <w:rFonts w:ascii="Arial" w:hAnsi="Arial" w:eastAsia="Arial"/>
                <w:b w:val="0"/>
                <w:i w:val="0"/>
                <w:color w:val="000000"/>
                <w:sz w:val="16"/>
              </w:rPr>
              <w:t>837,589,097</w:t>
            </w:r>
          </w:p>
        </w:tc>
        <w:tc>
          <w:tcPr>
            <w:tcW w:type="dxa" w:w="1358"/>
            <w:tcBorders/>
            <w:tcMar>
              <w:start w:w="0" w:type="dxa"/>
              <w:end w:w="0" w:type="dxa"/>
            </w:tcMar>
          </w:tcPr>
          <w:p>
            <w:pPr>
              <w:autoSpaceDN w:val="0"/>
              <w:autoSpaceDE w:val="0"/>
              <w:widowControl/>
              <w:spacing w:line="233" w:lineRule="auto" w:before="0" w:after="0"/>
              <w:ind w:left="0" w:right="70" w:firstLine="0"/>
              <w:jc w:val="right"/>
            </w:pPr>
            <w:r>
              <w:rPr>
                <w:rFonts w:ascii="Arial" w:hAnsi="Arial" w:eastAsia="Arial"/>
                <w:b w:val="0"/>
                <w:i w:val="0"/>
                <w:color w:val="000000"/>
                <w:sz w:val="16"/>
              </w:rPr>
              <w:t xml:space="preserve">837,589,097 </w:t>
            </w:r>
          </w:p>
        </w:tc>
        <w:tc>
          <w:tcPr>
            <w:tcW w:type="dxa" w:w="1322"/>
            <w:tcBorders/>
            <w:tcMar>
              <w:start w:w="0" w:type="dxa"/>
              <w:end w:w="0" w:type="dxa"/>
            </w:tcMar>
          </w:tcPr>
          <w:p>
            <w:pPr>
              <w:autoSpaceDN w:val="0"/>
              <w:autoSpaceDE w:val="0"/>
              <w:widowControl/>
              <w:spacing w:line="233" w:lineRule="auto" w:before="0" w:after="0"/>
              <w:ind w:left="0" w:right="14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3" w:lineRule="auto" w:before="0" w:after="0"/>
              <w:ind w:left="282" w:right="0" w:firstLine="0"/>
              <w:jc w:val="left"/>
            </w:pPr>
            <w:r>
              <w:rPr>
                <w:rFonts w:ascii="Arial" w:hAnsi="Arial" w:eastAsia="Arial"/>
                <w:b w:val="0"/>
                <w:i w:val="0"/>
                <w:color w:val="000000"/>
                <w:sz w:val="16"/>
              </w:rPr>
              <w:t xml:space="preserve">837,589,097 </w:t>
            </w:r>
          </w:p>
        </w:tc>
        <w:tc>
          <w:tcPr>
            <w:tcW w:type="dxa" w:w="1300"/>
            <w:tcBorders/>
            <w:tcMar>
              <w:start w:w="0" w:type="dxa"/>
              <w:end w:w="0" w:type="dxa"/>
            </w:tcMar>
          </w:tcPr>
          <w:p>
            <w:pPr>
              <w:autoSpaceDN w:val="0"/>
              <w:autoSpaceDE w:val="0"/>
              <w:widowControl/>
              <w:spacing w:line="233" w:lineRule="auto" w:before="0" w:after="0"/>
              <w:ind w:left="0" w:right="86" w:firstLine="0"/>
              <w:jc w:val="right"/>
            </w:pPr>
            <w:r>
              <w:rPr>
                <w:rFonts w:ascii="Arial" w:hAnsi="Arial" w:eastAsia="Arial"/>
                <w:b w:val="0"/>
                <w:i w:val="0"/>
                <w:color w:val="000000"/>
                <w:sz w:val="16"/>
              </w:rPr>
              <w:t>100.00%</w:t>
            </w:r>
          </w:p>
        </w:tc>
        <w:tc>
          <w:tcPr>
            <w:tcW w:type="dxa" w:w="1880"/>
            <w:tcBorders/>
            <w:tcMar>
              <w:start w:w="0" w:type="dxa"/>
              <w:end w:w="0" w:type="dxa"/>
            </w:tcMar>
          </w:tcPr>
          <w:p>
            <w:pPr>
              <w:autoSpaceDN w:val="0"/>
              <w:autoSpaceDE w:val="0"/>
              <w:widowControl/>
              <w:spacing w:line="233" w:lineRule="auto" w:before="0" w:after="0"/>
              <w:ind w:left="0" w:right="410" w:firstLine="0"/>
              <w:jc w:val="right"/>
            </w:pPr>
            <w:r>
              <w:rPr>
                <w:rFonts w:ascii="Arial" w:hAnsi="Arial" w:eastAsia="Arial"/>
                <w:b w:val="0"/>
                <w:i w:val="0"/>
                <w:color w:val="000000"/>
                <w:sz w:val="16"/>
              </w:rPr>
              <w:t xml:space="preserve">100.00% </w:t>
            </w:r>
          </w:p>
        </w:tc>
        <w:tc>
          <w:tcPr>
            <w:tcW w:type="dxa" w:w="808"/>
            <w:tcBorders/>
            <w:tcMar>
              <w:start w:w="0" w:type="dxa"/>
              <w:end w:w="0" w:type="dxa"/>
            </w:tcMar>
          </w:tcPr>
          <w:p>
            <w:pPr>
              <w:autoSpaceDN w:val="0"/>
              <w:autoSpaceDE w:val="0"/>
              <w:widowControl/>
              <w:spacing w:line="233" w:lineRule="auto" w:before="0" w:after="0"/>
              <w:ind w:left="0" w:right="84" w:firstLine="0"/>
              <w:jc w:val="right"/>
            </w:pPr>
            <w:r>
              <w:rPr>
                <w:rFonts w:ascii="Arial" w:hAnsi="Arial" w:eastAsia="Arial"/>
                <w:b w:val="0"/>
                <w:i w:val="0"/>
                <w:color w:val="000000"/>
                <w:sz w:val="16"/>
              </w:rPr>
              <w:t xml:space="preserve">- </w:t>
            </w:r>
          </w:p>
        </w:tc>
        <w:tc>
          <w:tcPr>
            <w:tcW w:type="dxa" w:w="1192"/>
            <w:tcBorders/>
            <w:tcMar>
              <w:start w:w="0" w:type="dxa"/>
              <w:end w:w="0" w:type="dxa"/>
            </w:tcMar>
          </w:tcPr>
          <w:p>
            <w:pPr>
              <w:autoSpaceDN w:val="0"/>
              <w:autoSpaceDE w:val="0"/>
              <w:widowControl/>
              <w:spacing w:line="233" w:lineRule="auto" w:before="0" w:after="0"/>
              <w:ind w:left="0" w:right="72" w:firstLine="0"/>
              <w:jc w:val="right"/>
            </w:pPr>
            <w:r>
              <w:rPr>
                <w:rFonts w:ascii="Arial" w:hAnsi="Arial" w:eastAsia="Arial"/>
                <w:b w:val="0"/>
                <w:i w:val="0"/>
                <w:color w:val="000000"/>
                <w:sz w:val="16"/>
              </w:rPr>
              <w:t xml:space="preserve">- </w:t>
            </w:r>
          </w:p>
        </w:tc>
        <w:tc>
          <w:tcPr>
            <w:tcW w:type="dxa" w:w="1080"/>
            <w:tcBorders/>
            <w:tcMar>
              <w:start w:w="0" w:type="dxa"/>
              <w:end w:w="0" w:type="dxa"/>
            </w:tcMar>
          </w:tcPr>
          <w:p>
            <w:pPr>
              <w:autoSpaceDN w:val="0"/>
              <w:autoSpaceDE w:val="0"/>
              <w:widowControl/>
              <w:spacing w:line="233" w:lineRule="auto" w:before="0" w:after="0"/>
              <w:ind w:left="0" w:right="4" w:firstLine="0"/>
              <w:jc w:val="right"/>
            </w:pPr>
            <w:r>
              <w:rPr>
                <w:rFonts w:ascii="Arial" w:hAnsi="Arial" w:eastAsia="Arial"/>
                <w:b w:val="0"/>
                <w:i w:val="0"/>
                <w:color w:val="000000"/>
                <w:sz w:val="16"/>
              </w:rPr>
              <w:t xml:space="preserve">- </w:t>
            </w:r>
          </w:p>
        </w:tc>
      </w:tr>
      <w:tr>
        <w:trPr>
          <w:trHeight w:hRule="exact" w:val="238"/>
        </w:trPr>
        <w:tc>
          <w:tcPr>
            <w:tcW w:type="dxa" w:w="1738"/>
            <w:tcBorders/>
            <w:tcMar>
              <w:start w:w="0" w:type="dxa"/>
              <w:end w:w="0" w:type="dxa"/>
            </w:tcMar>
          </w:tcPr>
          <w:p>
            <w:pPr>
              <w:autoSpaceDN w:val="0"/>
              <w:autoSpaceDE w:val="0"/>
              <w:widowControl/>
              <w:spacing w:line="162" w:lineRule="exact" w:before="42" w:after="0"/>
              <w:ind w:left="0" w:right="0" w:firstLine="0"/>
              <w:jc w:val="left"/>
            </w:pPr>
            <w:r>
              <w:rPr>
                <w:rFonts w:ascii="黑体" w:hAnsi="黑体" w:eastAsia="黑体"/>
                <w:b w:val="0"/>
                <w:i w:val="0"/>
                <w:color w:val="000000"/>
                <w:sz w:val="16"/>
              </w:rPr>
              <w:t>山证创新</w:t>
            </w:r>
          </w:p>
        </w:tc>
        <w:tc>
          <w:tcPr>
            <w:tcW w:type="dxa" w:w="640"/>
            <w:tcBorders/>
            <w:tcMar>
              <w:start w:w="0" w:type="dxa"/>
              <w:end w:w="0" w:type="dxa"/>
            </w:tcMar>
          </w:tcPr>
          <w:p>
            <w:pPr>
              <w:autoSpaceDN w:val="0"/>
              <w:autoSpaceDE w:val="0"/>
              <w:widowControl/>
              <w:spacing w:line="162" w:lineRule="exact" w:before="42" w:after="0"/>
              <w:ind w:left="160" w:right="0" w:firstLine="0"/>
              <w:jc w:val="left"/>
            </w:pPr>
            <w:r>
              <w:rPr>
                <w:rFonts w:ascii="黑体" w:hAnsi="黑体" w:eastAsia="黑体"/>
                <w:b w:val="0"/>
                <w:i w:val="0"/>
                <w:color w:val="000000"/>
                <w:sz w:val="16"/>
              </w:rPr>
              <w:t>成本法</w:t>
            </w:r>
          </w:p>
        </w:tc>
        <w:tc>
          <w:tcPr>
            <w:tcW w:type="dxa" w:w="1362"/>
            <w:tcBorders/>
            <w:tcMar>
              <w:start w:w="0" w:type="dxa"/>
              <w:end w:w="0" w:type="dxa"/>
            </w:tcMar>
          </w:tcPr>
          <w:p>
            <w:pPr>
              <w:autoSpaceDN w:val="0"/>
              <w:autoSpaceDE w:val="0"/>
              <w:widowControl/>
              <w:spacing w:line="230" w:lineRule="auto" w:before="46" w:after="0"/>
              <w:ind w:left="224" w:right="0" w:firstLine="0"/>
              <w:jc w:val="left"/>
            </w:pPr>
            <w:r>
              <w:rPr>
                <w:rFonts w:ascii="Arial" w:hAnsi="Arial" w:eastAsia="Arial"/>
                <w:b w:val="0"/>
                <w:i w:val="0"/>
                <w:color w:val="000000"/>
                <w:sz w:val="16"/>
              </w:rPr>
              <w:t>1,700,000,000</w:t>
            </w:r>
          </w:p>
        </w:tc>
        <w:tc>
          <w:tcPr>
            <w:tcW w:type="dxa" w:w="1358"/>
            <w:tcBorders/>
            <w:tcMar>
              <w:start w:w="0" w:type="dxa"/>
              <w:end w:w="0" w:type="dxa"/>
            </w:tcMar>
          </w:tcPr>
          <w:p>
            <w:pPr>
              <w:autoSpaceDN w:val="0"/>
              <w:autoSpaceDE w:val="0"/>
              <w:widowControl/>
              <w:spacing w:line="230" w:lineRule="auto" w:before="46" w:after="0"/>
              <w:ind w:left="220" w:right="0" w:firstLine="0"/>
              <w:jc w:val="left"/>
            </w:pPr>
            <w:r>
              <w:rPr>
                <w:rFonts w:ascii="Arial" w:hAnsi="Arial" w:eastAsia="Arial"/>
                <w:b w:val="0"/>
                <w:i w:val="0"/>
                <w:color w:val="000000"/>
                <w:sz w:val="16"/>
              </w:rPr>
              <w:t xml:space="preserve">1,700,000,000 </w:t>
            </w:r>
          </w:p>
        </w:tc>
        <w:tc>
          <w:tcPr>
            <w:tcW w:type="dxa" w:w="1322"/>
            <w:tcBorders/>
            <w:tcMar>
              <w:start w:w="0" w:type="dxa"/>
              <w:end w:w="0" w:type="dxa"/>
            </w:tcMar>
          </w:tcPr>
          <w:p>
            <w:pPr>
              <w:autoSpaceDN w:val="0"/>
              <w:autoSpaceDE w:val="0"/>
              <w:widowControl/>
              <w:spacing w:line="230" w:lineRule="auto" w:before="46" w:after="0"/>
              <w:ind w:left="0" w:right="14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0" w:lineRule="auto" w:before="46" w:after="0"/>
              <w:ind w:left="150" w:right="0" w:firstLine="0"/>
              <w:jc w:val="left"/>
            </w:pPr>
            <w:r>
              <w:rPr>
                <w:rFonts w:ascii="Arial" w:hAnsi="Arial" w:eastAsia="Arial"/>
                <w:b w:val="0"/>
                <w:i w:val="0"/>
                <w:color w:val="000000"/>
                <w:sz w:val="16"/>
              </w:rPr>
              <w:t xml:space="preserve">1,700,000,000 </w:t>
            </w:r>
          </w:p>
        </w:tc>
        <w:tc>
          <w:tcPr>
            <w:tcW w:type="dxa" w:w="1300"/>
            <w:tcBorders/>
            <w:tcMar>
              <w:start w:w="0" w:type="dxa"/>
              <w:end w:w="0" w:type="dxa"/>
            </w:tcMar>
          </w:tcPr>
          <w:p>
            <w:pPr>
              <w:autoSpaceDN w:val="0"/>
              <w:autoSpaceDE w:val="0"/>
              <w:widowControl/>
              <w:spacing w:line="230" w:lineRule="auto" w:before="46" w:after="0"/>
              <w:ind w:left="0" w:right="86" w:firstLine="0"/>
              <w:jc w:val="right"/>
            </w:pPr>
            <w:r>
              <w:rPr>
                <w:rFonts w:ascii="Arial" w:hAnsi="Arial" w:eastAsia="Arial"/>
                <w:b w:val="0"/>
                <w:i w:val="0"/>
                <w:color w:val="000000"/>
                <w:sz w:val="16"/>
              </w:rPr>
              <w:t>100.00%</w:t>
            </w:r>
          </w:p>
        </w:tc>
        <w:tc>
          <w:tcPr>
            <w:tcW w:type="dxa" w:w="1880"/>
            <w:tcBorders/>
            <w:tcMar>
              <w:start w:w="0" w:type="dxa"/>
              <w:end w:w="0" w:type="dxa"/>
            </w:tcMar>
          </w:tcPr>
          <w:p>
            <w:pPr>
              <w:autoSpaceDN w:val="0"/>
              <w:autoSpaceDE w:val="0"/>
              <w:widowControl/>
              <w:spacing w:line="230" w:lineRule="auto" w:before="46" w:after="0"/>
              <w:ind w:left="0" w:right="410" w:firstLine="0"/>
              <w:jc w:val="right"/>
            </w:pPr>
            <w:r>
              <w:rPr>
                <w:rFonts w:ascii="Arial" w:hAnsi="Arial" w:eastAsia="Arial"/>
                <w:b w:val="0"/>
                <w:i w:val="0"/>
                <w:color w:val="000000"/>
                <w:sz w:val="16"/>
              </w:rPr>
              <w:t xml:space="preserve">100.00% </w:t>
            </w:r>
          </w:p>
        </w:tc>
        <w:tc>
          <w:tcPr>
            <w:tcW w:type="dxa" w:w="808"/>
            <w:tcBorders/>
            <w:tcMar>
              <w:start w:w="0" w:type="dxa"/>
              <w:end w:w="0" w:type="dxa"/>
            </w:tcMar>
          </w:tcPr>
          <w:p>
            <w:pPr>
              <w:autoSpaceDN w:val="0"/>
              <w:autoSpaceDE w:val="0"/>
              <w:widowControl/>
              <w:spacing w:line="230" w:lineRule="auto" w:before="46" w:after="0"/>
              <w:ind w:left="0" w:right="84" w:firstLine="0"/>
              <w:jc w:val="right"/>
            </w:pPr>
            <w:r>
              <w:rPr>
                <w:rFonts w:ascii="Arial" w:hAnsi="Arial" w:eastAsia="Arial"/>
                <w:b w:val="0"/>
                <w:i w:val="0"/>
                <w:color w:val="000000"/>
                <w:sz w:val="16"/>
              </w:rPr>
              <w:t xml:space="preserve">- </w:t>
            </w:r>
          </w:p>
        </w:tc>
        <w:tc>
          <w:tcPr>
            <w:tcW w:type="dxa" w:w="1192"/>
            <w:tcBorders/>
            <w:tcMar>
              <w:start w:w="0" w:type="dxa"/>
              <w:end w:w="0" w:type="dxa"/>
            </w:tcMar>
          </w:tcPr>
          <w:p>
            <w:pPr>
              <w:autoSpaceDN w:val="0"/>
              <w:autoSpaceDE w:val="0"/>
              <w:widowControl/>
              <w:spacing w:line="230" w:lineRule="auto" w:before="46" w:after="0"/>
              <w:ind w:left="0" w:right="72" w:firstLine="0"/>
              <w:jc w:val="right"/>
            </w:pPr>
            <w:r>
              <w:rPr>
                <w:rFonts w:ascii="Arial" w:hAnsi="Arial" w:eastAsia="Arial"/>
                <w:b w:val="0"/>
                <w:i w:val="0"/>
                <w:color w:val="000000"/>
                <w:sz w:val="16"/>
              </w:rPr>
              <w:t xml:space="preserve">- </w:t>
            </w:r>
          </w:p>
        </w:tc>
        <w:tc>
          <w:tcPr>
            <w:tcW w:type="dxa" w:w="1080"/>
            <w:tcBorders/>
            <w:tcMar>
              <w:start w:w="0" w:type="dxa"/>
              <w:end w:w="0" w:type="dxa"/>
            </w:tcMar>
          </w:tcPr>
          <w:p>
            <w:pPr>
              <w:autoSpaceDN w:val="0"/>
              <w:autoSpaceDE w:val="0"/>
              <w:widowControl/>
              <w:spacing w:line="230" w:lineRule="auto" w:before="46" w:after="0"/>
              <w:ind w:left="230" w:right="0" w:firstLine="0"/>
              <w:jc w:val="left"/>
            </w:pPr>
            <w:r>
              <w:rPr>
                <w:rFonts w:ascii="Arial" w:hAnsi="Arial" w:eastAsia="Arial"/>
                <w:b w:val="0"/>
                <w:i w:val="0"/>
                <w:color w:val="000000"/>
                <w:sz w:val="16"/>
              </w:rPr>
              <w:t xml:space="preserve">50,000,000 </w:t>
            </w:r>
          </w:p>
        </w:tc>
      </w:tr>
      <w:tr>
        <w:trPr>
          <w:trHeight w:hRule="exact" w:val="182"/>
        </w:trPr>
        <w:tc>
          <w:tcPr>
            <w:tcW w:type="dxa" w:w="1738"/>
            <w:tcBorders/>
            <w:tcMar>
              <w:start w:w="0" w:type="dxa"/>
              <w:end w:w="0" w:type="dxa"/>
            </w:tcMar>
          </w:tcPr>
          <w:p>
            <w:pPr>
              <w:autoSpaceDN w:val="0"/>
              <w:autoSpaceDE w:val="0"/>
              <w:widowControl/>
              <w:spacing w:line="160" w:lineRule="exact" w:before="14" w:after="0"/>
              <w:ind w:left="0" w:right="0" w:firstLine="0"/>
              <w:jc w:val="left"/>
            </w:pPr>
            <w:r>
              <w:rPr>
                <w:rFonts w:ascii="黑体" w:hAnsi="黑体" w:eastAsia="黑体"/>
                <w:b w:val="0"/>
                <w:i w:val="0"/>
                <w:color w:val="000000"/>
                <w:sz w:val="16"/>
              </w:rPr>
              <w:t>山证科技</w:t>
            </w:r>
          </w:p>
        </w:tc>
        <w:tc>
          <w:tcPr>
            <w:tcW w:type="dxa" w:w="640"/>
            <w:tcBorders/>
            <w:tcMar>
              <w:start w:w="0" w:type="dxa"/>
              <w:end w:w="0" w:type="dxa"/>
            </w:tcMar>
          </w:tcPr>
          <w:p>
            <w:pPr>
              <w:autoSpaceDN w:val="0"/>
              <w:autoSpaceDE w:val="0"/>
              <w:widowControl/>
              <w:spacing w:line="160" w:lineRule="exact" w:before="14" w:after="0"/>
              <w:ind w:left="160" w:right="0" w:firstLine="0"/>
              <w:jc w:val="left"/>
            </w:pPr>
            <w:r>
              <w:rPr>
                <w:rFonts w:ascii="黑体" w:hAnsi="黑体" w:eastAsia="黑体"/>
                <w:b w:val="0"/>
                <w:i w:val="0"/>
                <w:color w:val="000000"/>
                <w:sz w:val="16"/>
              </w:rPr>
              <w:t>成本法</w:t>
            </w:r>
          </w:p>
        </w:tc>
        <w:tc>
          <w:tcPr>
            <w:tcW w:type="dxa" w:w="1362"/>
            <w:tcBorders/>
            <w:tcMar>
              <w:start w:w="0" w:type="dxa"/>
              <w:end w:w="0" w:type="dxa"/>
            </w:tcMar>
          </w:tcPr>
          <w:p>
            <w:pPr>
              <w:autoSpaceDN w:val="0"/>
              <w:autoSpaceDE w:val="0"/>
              <w:widowControl/>
              <w:spacing w:line="233" w:lineRule="auto" w:before="2" w:after="0"/>
              <w:ind w:left="0" w:right="116" w:firstLine="0"/>
              <w:jc w:val="right"/>
            </w:pPr>
            <w:r>
              <w:rPr>
                <w:rFonts w:ascii="Arial" w:hAnsi="Arial" w:eastAsia="Arial"/>
                <w:b w:val="0"/>
                <w:i w:val="0"/>
                <w:color w:val="000000"/>
                <w:sz w:val="16"/>
              </w:rPr>
              <w:t>200,000,000</w:t>
            </w:r>
          </w:p>
        </w:tc>
        <w:tc>
          <w:tcPr>
            <w:tcW w:type="dxa" w:w="1358"/>
            <w:tcBorders/>
            <w:tcMar>
              <w:start w:w="0" w:type="dxa"/>
              <w:end w:w="0" w:type="dxa"/>
            </w:tcMar>
          </w:tcPr>
          <w:p>
            <w:pPr>
              <w:autoSpaceDN w:val="0"/>
              <w:autoSpaceDE w:val="0"/>
              <w:widowControl/>
              <w:spacing w:line="233" w:lineRule="auto" w:before="2" w:after="0"/>
              <w:ind w:left="0" w:right="70" w:firstLine="0"/>
              <w:jc w:val="right"/>
            </w:pPr>
            <w:r>
              <w:rPr>
                <w:rFonts w:ascii="Arial" w:hAnsi="Arial" w:eastAsia="Arial"/>
                <w:b w:val="0"/>
                <w:i w:val="0"/>
                <w:color w:val="000000"/>
                <w:sz w:val="16"/>
              </w:rPr>
              <w:t xml:space="preserve">200,000,000 </w:t>
            </w:r>
          </w:p>
        </w:tc>
        <w:tc>
          <w:tcPr>
            <w:tcW w:type="dxa" w:w="1322"/>
            <w:tcBorders/>
            <w:tcMar>
              <w:start w:w="0" w:type="dxa"/>
              <w:end w:w="0" w:type="dxa"/>
            </w:tcMar>
          </w:tcPr>
          <w:p>
            <w:pPr>
              <w:autoSpaceDN w:val="0"/>
              <w:autoSpaceDE w:val="0"/>
              <w:widowControl/>
              <w:spacing w:line="233" w:lineRule="auto" w:before="2" w:after="0"/>
              <w:ind w:left="0" w:right="144" w:firstLine="0"/>
              <w:jc w:val="right"/>
            </w:pPr>
            <w:r>
              <w:rPr>
                <w:rFonts w:ascii="Arial" w:hAnsi="Arial" w:eastAsia="Arial"/>
                <w:b w:val="0"/>
                <w:i w:val="0"/>
                <w:color w:val="000000"/>
                <w:sz w:val="16"/>
              </w:rPr>
              <w:t xml:space="preserve">- </w:t>
            </w:r>
          </w:p>
        </w:tc>
        <w:tc>
          <w:tcPr>
            <w:tcW w:type="dxa" w:w="1320"/>
            <w:tcBorders/>
            <w:tcMar>
              <w:start w:w="0" w:type="dxa"/>
              <w:end w:w="0" w:type="dxa"/>
            </w:tcMar>
          </w:tcPr>
          <w:p>
            <w:pPr>
              <w:autoSpaceDN w:val="0"/>
              <w:autoSpaceDE w:val="0"/>
              <w:widowControl/>
              <w:spacing w:line="233" w:lineRule="auto" w:before="2" w:after="0"/>
              <w:ind w:left="282" w:right="0" w:firstLine="0"/>
              <w:jc w:val="left"/>
            </w:pPr>
            <w:r>
              <w:rPr>
                <w:rFonts w:ascii="Arial" w:hAnsi="Arial" w:eastAsia="Arial"/>
                <w:b w:val="0"/>
                <w:i w:val="0"/>
                <w:color w:val="000000"/>
                <w:sz w:val="16"/>
              </w:rPr>
              <w:t xml:space="preserve">200,000,000 </w:t>
            </w:r>
          </w:p>
        </w:tc>
        <w:tc>
          <w:tcPr>
            <w:tcW w:type="dxa" w:w="1300"/>
            <w:tcBorders/>
            <w:tcMar>
              <w:start w:w="0" w:type="dxa"/>
              <w:end w:w="0" w:type="dxa"/>
            </w:tcMar>
          </w:tcPr>
          <w:p>
            <w:pPr>
              <w:autoSpaceDN w:val="0"/>
              <w:autoSpaceDE w:val="0"/>
              <w:widowControl/>
              <w:spacing w:line="233" w:lineRule="auto" w:before="2" w:after="0"/>
              <w:ind w:left="0" w:right="86" w:firstLine="0"/>
              <w:jc w:val="right"/>
            </w:pPr>
            <w:r>
              <w:rPr>
                <w:rFonts w:ascii="Arial" w:hAnsi="Arial" w:eastAsia="Arial"/>
                <w:b w:val="0"/>
                <w:i w:val="0"/>
                <w:color w:val="000000"/>
                <w:sz w:val="16"/>
              </w:rPr>
              <w:t>100.00%</w:t>
            </w:r>
          </w:p>
        </w:tc>
        <w:tc>
          <w:tcPr>
            <w:tcW w:type="dxa" w:w="1880"/>
            <w:tcBorders/>
            <w:tcMar>
              <w:start w:w="0" w:type="dxa"/>
              <w:end w:w="0" w:type="dxa"/>
            </w:tcMar>
          </w:tcPr>
          <w:p>
            <w:pPr>
              <w:autoSpaceDN w:val="0"/>
              <w:autoSpaceDE w:val="0"/>
              <w:widowControl/>
              <w:spacing w:line="233" w:lineRule="auto" w:before="2" w:after="0"/>
              <w:ind w:left="0" w:right="410" w:firstLine="0"/>
              <w:jc w:val="right"/>
            </w:pPr>
            <w:r>
              <w:rPr>
                <w:rFonts w:ascii="Arial" w:hAnsi="Arial" w:eastAsia="Arial"/>
                <w:b w:val="0"/>
                <w:i w:val="0"/>
                <w:color w:val="000000"/>
                <w:sz w:val="16"/>
              </w:rPr>
              <w:t xml:space="preserve">100.00% </w:t>
            </w:r>
          </w:p>
        </w:tc>
        <w:tc>
          <w:tcPr>
            <w:tcW w:type="dxa" w:w="808"/>
            <w:tcBorders/>
            <w:tcMar>
              <w:start w:w="0" w:type="dxa"/>
              <w:end w:w="0" w:type="dxa"/>
            </w:tcMar>
          </w:tcPr>
          <w:p>
            <w:pPr>
              <w:autoSpaceDN w:val="0"/>
              <w:autoSpaceDE w:val="0"/>
              <w:widowControl/>
              <w:spacing w:line="233" w:lineRule="auto" w:before="2" w:after="0"/>
              <w:ind w:left="0" w:right="84" w:firstLine="0"/>
              <w:jc w:val="right"/>
            </w:pPr>
            <w:r>
              <w:rPr>
                <w:rFonts w:ascii="Arial" w:hAnsi="Arial" w:eastAsia="Arial"/>
                <w:b w:val="0"/>
                <w:i w:val="0"/>
                <w:color w:val="000000"/>
                <w:sz w:val="16"/>
              </w:rPr>
              <w:t xml:space="preserve">- </w:t>
            </w:r>
          </w:p>
        </w:tc>
        <w:tc>
          <w:tcPr>
            <w:tcW w:type="dxa" w:w="1192"/>
            <w:tcBorders/>
            <w:tcMar>
              <w:start w:w="0" w:type="dxa"/>
              <w:end w:w="0" w:type="dxa"/>
            </w:tcMar>
          </w:tcPr>
          <w:p>
            <w:pPr>
              <w:autoSpaceDN w:val="0"/>
              <w:autoSpaceDE w:val="0"/>
              <w:widowControl/>
              <w:spacing w:line="233" w:lineRule="auto" w:before="2" w:after="0"/>
              <w:ind w:left="0" w:right="72" w:firstLine="0"/>
              <w:jc w:val="right"/>
            </w:pPr>
            <w:r>
              <w:rPr>
                <w:rFonts w:ascii="Arial" w:hAnsi="Arial" w:eastAsia="Arial"/>
                <w:b w:val="0"/>
                <w:i w:val="0"/>
                <w:color w:val="000000"/>
                <w:sz w:val="16"/>
              </w:rPr>
              <w:t xml:space="preserve">- </w:t>
            </w:r>
          </w:p>
        </w:tc>
        <w:tc>
          <w:tcPr>
            <w:tcW w:type="dxa" w:w="1080"/>
            <w:tcBorders/>
            <w:tcMar>
              <w:start w:w="0" w:type="dxa"/>
              <w:end w:w="0" w:type="dxa"/>
            </w:tcMar>
          </w:tcPr>
          <w:p>
            <w:pPr>
              <w:autoSpaceDN w:val="0"/>
              <w:autoSpaceDE w:val="0"/>
              <w:widowControl/>
              <w:spacing w:line="233" w:lineRule="auto" w:before="2" w:after="0"/>
              <w:ind w:left="0" w:right="4" w:firstLine="0"/>
              <w:jc w:val="right"/>
            </w:pPr>
            <w:r>
              <w:rPr>
                <w:rFonts w:ascii="Arial" w:hAnsi="Arial" w:eastAsia="Arial"/>
                <w:b w:val="0"/>
                <w:i w:val="0"/>
                <w:color w:val="000000"/>
                <w:sz w:val="16"/>
              </w:rPr>
              <w:t xml:space="preserve">- </w:t>
            </w:r>
          </w:p>
        </w:tc>
      </w:tr>
      <w:tr>
        <w:trPr>
          <w:trHeight w:hRule="exact" w:val="228"/>
        </w:trPr>
        <w:tc>
          <w:tcPr>
            <w:tcW w:type="dxa" w:w="1738"/>
            <w:tcBorders>
              <w:bottom w:sz="4.0" w:val="single" w:color="#000000"/>
            </w:tcBorders>
            <w:tcMar>
              <w:start w:w="0" w:type="dxa"/>
              <w:end w:w="0" w:type="dxa"/>
            </w:tcMar>
          </w:tcPr>
          <w:p>
            <w:pPr>
              <w:autoSpaceDN w:val="0"/>
              <w:autoSpaceDE w:val="0"/>
              <w:widowControl/>
              <w:spacing w:line="162" w:lineRule="exact" w:before="38" w:after="0"/>
              <w:ind w:left="0" w:right="0" w:firstLine="0"/>
              <w:jc w:val="left"/>
            </w:pPr>
            <w:r>
              <w:rPr>
                <w:rFonts w:ascii="黑体" w:hAnsi="黑体" w:eastAsia="黑体"/>
                <w:b w:val="0"/>
                <w:i w:val="0"/>
                <w:color w:val="000000"/>
                <w:sz w:val="16"/>
              </w:rPr>
              <w:t>山证资管</w:t>
            </w:r>
          </w:p>
        </w:tc>
        <w:tc>
          <w:tcPr>
            <w:tcW w:type="dxa" w:w="640"/>
            <w:tcBorders>
              <w:bottom w:sz="4.0" w:val="single" w:color="#000000"/>
            </w:tcBorders>
            <w:tcMar>
              <w:start w:w="0" w:type="dxa"/>
              <w:end w:w="0" w:type="dxa"/>
            </w:tcMar>
          </w:tcPr>
          <w:p>
            <w:pPr>
              <w:autoSpaceDN w:val="0"/>
              <w:autoSpaceDE w:val="0"/>
              <w:widowControl/>
              <w:spacing w:line="162" w:lineRule="exact" w:before="38" w:after="0"/>
              <w:ind w:left="160" w:right="0" w:firstLine="0"/>
              <w:jc w:val="left"/>
            </w:pPr>
            <w:r>
              <w:rPr>
                <w:rFonts w:ascii="黑体" w:hAnsi="黑体" w:eastAsia="黑体"/>
                <w:b w:val="0"/>
                <w:i w:val="0"/>
                <w:color w:val="000000"/>
                <w:sz w:val="16"/>
              </w:rPr>
              <w:t>成本法</w:t>
            </w:r>
          </w:p>
        </w:tc>
        <w:tc>
          <w:tcPr>
            <w:tcW w:type="dxa" w:w="1362"/>
            <w:tcBorders>
              <w:bottom w:sz="4.0" w:val="single" w:color="#000000"/>
            </w:tcBorders>
            <w:tcMar>
              <w:start w:w="0" w:type="dxa"/>
              <w:end w:w="0" w:type="dxa"/>
            </w:tcMar>
          </w:tcPr>
          <w:p>
            <w:pPr>
              <w:autoSpaceDN w:val="0"/>
              <w:autoSpaceDE w:val="0"/>
              <w:widowControl/>
              <w:spacing w:line="233" w:lineRule="auto" w:before="40" w:after="0"/>
              <w:ind w:left="0" w:right="116" w:firstLine="0"/>
              <w:jc w:val="right"/>
            </w:pPr>
            <w:r>
              <w:rPr>
                <w:rFonts w:ascii="Arial" w:hAnsi="Arial" w:eastAsia="Arial"/>
                <w:b w:val="0"/>
                <w:i w:val="0"/>
                <w:color w:val="000000"/>
                <w:sz w:val="16"/>
              </w:rPr>
              <w:t>500,000,000</w:t>
            </w:r>
          </w:p>
        </w:tc>
        <w:tc>
          <w:tcPr>
            <w:tcW w:type="dxa" w:w="1358"/>
            <w:tcBorders>
              <w:bottom w:sz="4.0" w:val="single" w:color="#000000"/>
            </w:tcBorders>
            <w:tcMar>
              <w:start w:w="0" w:type="dxa"/>
              <w:end w:w="0" w:type="dxa"/>
            </w:tcMar>
          </w:tcPr>
          <w:p>
            <w:pPr>
              <w:autoSpaceDN w:val="0"/>
              <w:autoSpaceDE w:val="0"/>
              <w:widowControl/>
              <w:spacing w:line="233" w:lineRule="auto" w:before="40" w:after="0"/>
              <w:ind w:left="0" w:right="70" w:firstLine="0"/>
              <w:jc w:val="right"/>
            </w:pPr>
            <w:r>
              <w:rPr>
                <w:rFonts w:ascii="Arial" w:hAnsi="Arial" w:eastAsia="Arial"/>
                <w:b w:val="0"/>
                <w:i w:val="0"/>
                <w:color w:val="000000"/>
                <w:sz w:val="16"/>
              </w:rPr>
              <w:t xml:space="preserve">500,000,000 </w:t>
            </w:r>
          </w:p>
        </w:tc>
        <w:tc>
          <w:tcPr>
            <w:tcW w:type="dxa" w:w="1322"/>
            <w:tcBorders>
              <w:bottom w:sz="4.0" w:val="single" w:color="#000000"/>
            </w:tcBorders>
            <w:tcMar>
              <w:start w:w="0" w:type="dxa"/>
              <w:end w:w="0" w:type="dxa"/>
            </w:tcMar>
          </w:tcPr>
          <w:p>
            <w:pPr>
              <w:autoSpaceDN w:val="0"/>
              <w:autoSpaceDE w:val="0"/>
              <w:widowControl/>
              <w:spacing w:line="233" w:lineRule="auto" w:before="40" w:after="0"/>
              <w:ind w:left="0" w:right="144" w:firstLine="0"/>
              <w:jc w:val="right"/>
            </w:pPr>
            <w:r>
              <w:rPr>
                <w:rFonts w:ascii="Arial" w:hAnsi="Arial" w:eastAsia="Arial"/>
                <w:b w:val="0"/>
                <w:i w:val="0"/>
                <w:color w:val="000000"/>
                <w:sz w:val="16"/>
              </w:rPr>
              <w:t xml:space="preserve">- </w:t>
            </w:r>
          </w:p>
        </w:tc>
        <w:tc>
          <w:tcPr>
            <w:tcW w:type="dxa" w:w="1320"/>
            <w:tcBorders>
              <w:bottom w:sz="4.0" w:val="single" w:color="#000000"/>
            </w:tcBorders>
            <w:tcMar>
              <w:start w:w="0" w:type="dxa"/>
              <w:end w:w="0" w:type="dxa"/>
            </w:tcMar>
          </w:tcPr>
          <w:p>
            <w:pPr>
              <w:autoSpaceDN w:val="0"/>
              <w:autoSpaceDE w:val="0"/>
              <w:widowControl/>
              <w:spacing w:line="233" w:lineRule="auto" w:before="40" w:after="0"/>
              <w:ind w:left="282" w:right="0" w:firstLine="0"/>
              <w:jc w:val="left"/>
            </w:pPr>
            <w:r>
              <w:rPr>
                <w:rFonts w:ascii="Arial" w:hAnsi="Arial" w:eastAsia="Arial"/>
                <w:b w:val="0"/>
                <w:i w:val="0"/>
                <w:color w:val="000000"/>
                <w:sz w:val="16"/>
              </w:rPr>
              <w:t xml:space="preserve">500,000,000 </w:t>
            </w:r>
          </w:p>
        </w:tc>
        <w:tc>
          <w:tcPr>
            <w:tcW w:type="dxa" w:w="1300"/>
            <w:tcBorders>
              <w:bottom w:sz="4.0" w:val="single" w:color="#000000"/>
            </w:tcBorders>
            <w:tcMar>
              <w:start w:w="0" w:type="dxa"/>
              <w:end w:w="0" w:type="dxa"/>
            </w:tcMar>
          </w:tcPr>
          <w:p>
            <w:pPr>
              <w:autoSpaceDN w:val="0"/>
              <w:autoSpaceDE w:val="0"/>
              <w:widowControl/>
              <w:spacing w:line="233" w:lineRule="auto" w:before="40" w:after="0"/>
              <w:ind w:left="0" w:right="86" w:firstLine="0"/>
              <w:jc w:val="right"/>
            </w:pPr>
            <w:r>
              <w:rPr>
                <w:rFonts w:ascii="Arial" w:hAnsi="Arial" w:eastAsia="Arial"/>
                <w:b w:val="0"/>
                <w:i w:val="0"/>
                <w:color w:val="000000"/>
                <w:sz w:val="16"/>
              </w:rPr>
              <w:t>100.00%</w:t>
            </w:r>
          </w:p>
        </w:tc>
        <w:tc>
          <w:tcPr>
            <w:tcW w:type="dxa" w:w="1880"/>
            <w:tcBorders>
              <w:bottom w:sz="4.0" w:val="single" w:color="#000000"/>
            </w:tcBorders>
            <w:tcMar>
              <w:start w:w="0" w:type="dxa"/>
              <w:end w:w="0" w:type="dxa"/>
            </w:tcMar>
          </w:tcPr>
          <w:p>
            <w:pPr>
              <w:autoSpaceDN w:val="0"/>
              <w:autoSpaceDE w:val="0"/>
              <w:widowControl/>
              <w:spacing w:line="233" w:lineRule="auto" w:before="40" w:after="0"/>
              <w:ind w:left="0" w:right="410" w:firstLine="0"/>
              <w:jc w:val="right"/>
            </w:pPr>
            <w:r>
              <w:rPr>
                <w:rFonts w:ascii="Arial" w:hAnsi="Arial" w:eastAsia="Arial"/>
                <w:b w:val="0"/>
                <w:i w:val="0"/>
                <w:color w:val="000000"/>
                <w:sz w:val="16"/>
              </w:rPr>
              <w:t xml:space="preserve">100.00% </w:t>
            </w:r>
          </w:p>
        </w:tc>
        <w:tc>
          <w:tcPr>
            <w:tcW w:type="dxa" w:w="808"/>
            <w:tcBorders>
              <w:bottom w:sz="4.0" w:val="single" w:color="#000000"/>
            </w:tcBorders>
            <w:tcMar>
              <w:start w:w="0" w:type="dxa"/>
              <w:end w:w="0" w:type="dxa"/>
            </w:tcMar>
          </w:tcPr>
          <w:p>
            <w:pPr>
              <w:autoSpaceDN w:val="0"/>
              <w:autoSpaceDE w:val="0"/>
              <w:widowControl/>
              <w:spacing w:line="233" w:lineRule="auto" w:before="40" w:after="0"/>
              <w:ind w:left="0" w:right="84" w:firstLine="0"/>
              <w:jc w:val="right"/>
            </w:pPr>
            <w:r>
              <w:rPr>
                <w:rFonts w:ascii="Arial" w:hAnsi="Arial" w:eastAsia="Arial"/>
                <w:b w:val="0"/>
                <w:i w:val="0"/>
                <w:color w:val="000000"/>
                <w:sz w:val="16"/>
              </w:rPr>
              <w:t xml:space="preserve">- </w:t>
            </w:r>
          </w:p>
        </w:tc>
        <w:tc>
          <w:tcPr>
            <w:tcW w:type="dxa" w:w="1192"/>
            <w:tcBorders>
              <w:bottom w:sz="4.0" w:val="single" w:color="#000000"/>
            </w:tcBorders>
            <w:tcMar>
              <w:start w:w="0" w:type="dxa"/>
              <w:end w:w="0" w:type="dxa"/>
            </w:tcMar>
          </w:tcPr>
          <w:p>
            <w:pPr>
              <w:autoSpaceDN w:val="0"/>
              <w:autoSpaceDE w:val="0"/>
              <w:widowControl/>
              <w:spacing w:line="233" w:lineRule="auto" w:before="40" w:after="0"/>
              <w:ind w:left="0" w:right="72" w:firstLine="0"/>
              <w:jc w:val="right"/>
            </w:pPr>
            <w:r>
              <w:rPr>
                <w:rFonts w:ascii="Arial" w:hAnsi="Arial" w:eastAsia="Arial"/>
                <w:b w:val="0"/>
                <w:i w:val="0"/>
                <w:color w:val="000000"/>
                <w:sz w:val="16"/>
              </w:rPr>
              <w:t xml:space="preserve">- </w:t>
            </w:r>
          </w:p>
        </w:tc>
        <w:tc>
          <w:tcPr>
            <w:tcW w:type="dxa" w:w="1080"/>
            <w:tcBorders>
              <w:bottom w:sz="4.0" w:val="single" w:color="#000000"/>
            </w:tcBorders>
            <w:tcMar>
              <w:start w:w="0" w:type="dxa"/>
              <w:end w:w="0" w:type="dxa"/>
            </w:tcMar>
          </w:tcPr>
          <w:p>
            <w:pPr>
              <w:autoSpaceDN w:val="0"/>
              <w:autoSpaceDE w:val="0"/>
              <w:widowControl/>
              <w:spacing w:line="233" w:lineRule="auto" w:before="40" w:after="0"/>
              <w:ind w:left="0" w:right="4" w:firstLine="0"/>
              <w:jc w:val="right"/>
            </w:pPr>
            <w:r>
              <w:rPr>
                <w:rFonts w:ascii="Arial" w:hAnsi="Arial" w:eastAsia="Arial"/>
                <w:b w:val="0"/>
                <w:i w:val="0"/>
                <w:color w:val="000000"/>
                <w:sz w:val="16"/>
              </w:rPr>
              <w:t xml:space="preserve">- </w:t>
            </w:r>
          </w:p>
        </w:tc>
      </w:tr>
      <w:tr>
        <w:trPr>
          <w:trHeight w:hRule="exact" w:val="380"/>
        </w:trPr>
        <w:tc>
          <w:tcPr>
            <w:tcW w:type="dxa" w:w="1738"/>
            <w:tcBorders>
              <w:top w:sz="4.0" w:val="single" w:color="#000000"/>
              <w:bottom w:sz="4.0" w:val="single" w:color="#000000"/>
            </w:tcBorders>
            <w:tcMar>
              <w:start w:w="0" w:type="dxa"/>
              <w:end w:w="0" w:type="dxa"/>
            </w:tcMar>
          </w:tcPr>
          <w:p/>
        </w:tc>
        <w:tc>
          <w:tcPr>
            <w:tcW w:type="dxa" w:w="640"/>
            <w:tcBorders>
              <w:top w:sz="4.0" w:val="single" w:color="#000000"/>
              <w:bottom w:sz="4.0" w:val="single" w:color="#000000"/>
            </w:tcBorders>
            <w:tcMar>
              <w:start w:w="0" w:type="dxa"/>
              <w:end w:w="0" w:type="dxa"/>
            </w:tcMar>
          </w:tcPr>
          <w:p/>
        </w:tc>
        <w:tc>
          <w:tcPr>
            <w:tcW w:type="dxa" w:w="1362"/>
            <w:tcBorders>
              <w:top w:sz="4.0" w:val="single" w:color="#000000"/>
              <w:bottom w:sz="4.0" w:val="single" w:color="#000000"/>
            </w:tcBorders>
            <w:tcMar>
              <w:start w:w="0" w:type="dxa"/>
              <w:end w:w="0" w:type="dxa"/>
            </w:tcMar>
          </w:tcPr>
          <w:p/>
        </w:tc>
        <w:tc>
          <w:tcPr>
            <w:tcW w:type="dxa" w:w="1358"/>
            <w:tcBorders>
              <w:top w:sz="4.0" w:val="single" w:color="#000000"/>
              <w:bottom w:sz="4.0" w:val="single" w:color="#000000"/>
            </w:tcBorders>
            <w:tcMar>
              <w:start w:w="0" w:type="dxa"/>
              <w:end w:w="0" w:type="dxa"/>
            </w:tcMar>
          </w:tcPr>
          <w:p>
            <w:pPr>
              <w:autoSpaceDN w:val="0"/>
              <w:autoSpaceDE w:val="0"/>
              <w:widowControl/>
              <w:spacing w:line="230" w:lineRule="auto" w:before="186" w:after="0"/>
              <w:ind w:left="220" w:right="0" w:firstLine="0"/>
              <w:jc w:val="left"/>
            </w:pPr>
            <w:r>
              <w:rPr>
                <w:rFonts w:ascii="Arial" w:hAnsi="Arial" w:eastAsia="Arial"/>
                <w:b w:val="0"/>
                <w:i w:val="0"/>
                <w:color w:val="000000"/>
                <w:sz w:val="16"/>
              </w:rPr>
              <w:t xml:space="preserve">6,478,519,948 </w:t>
            </w:r>
          </w:p>
        </w:tc>
        <w:tc>
          <w:tcPr>
            <w:tcW w:type="dxa" w:w="1322"/>
            <w:vMerge w:val="restart"/>
            <w:tcBorders>
              <w:top w:sz="4.0" w:val="single" w:color="#000000"/>
            </w:tcBorders>
            <w:tcMar>
              <w:start w:w="0" w:type="dxa"/>
              <w:end w:w="0" w:type="dxa"/>
            </w:tcMar>
            <w:tcMar>
              <w:start w:w="0" w:type="dxa"/>
              <w:end w:w="0" w:type="dxa"/>
            </w:tcMar>
          </w:tcPr>
          <w:p>
            <w:pPr>
              <w:autoSpaceDN w:val="0"/>
              <w:autoSpaceDE w:val="0"/>
              <w:widowControl/>
              <w:spacing w:line="230" w:lineRule="auto" w:before="186" w:after="0"/>
              <w:ind w:left="0" w:right="144" w:firstLine="0"/>
              <w:jc w:val="right"/>
            </w:pPr>
            <w:r>
              <w:rPr>
                <w:rFonts w:ascii="Arial" w:hAnsi="Arial" w:eastAsia="Arial"/>
                <w:b w:val="0"/>
                <w:i w:val="0"/>
                <w:color w:val="000000"/>
                <w:sz w:val="16"/>
              </w:rPr>
              <w:t xml:space="preserve">- </w:t>
            </w:r>
          </w:p>
        </w:tc>
        <w:tc>
          <w:tcPr>
            <w:tcW w:type="dxa" w:w="1320"/>
            <w:vMerge w:val="restart"/>
            <w:tcBorders>
              <w:top w:sz="4.0" w:val="single" w:color="#000000"/>
            </w:tcBorders>
            <w:tcMar>
              <w:start w:w="0" w:type="dxa"/>
              <w:end w:w="0" w:type="dxa"/>
            </w:tcMar>
            <w:tcMar>
              <w:start w:w="0" w:type="dxa"/>
              <w:end w:w="0" w:type="dxa"/>
            </w:tcMar>
          </w:tcPr>
          <w:p>
            <w:pPr>
              <w:autoSpaceDN w:val="0"/>
              <w:autoSpaceDE w:val="0"/>
              <w:widowControl/>
              <w:spacing w:line="230" w:lineRule="auto" w:before="186" w:after="0"/>
              <w:ind w:left="150" w:right="0" w:firstLine="0"/>
              <w:jc w:val="left"/>
            </w:pPr>
            <w:r>
              <w:rPr>
                <w:rFonts w:ascii="Arial" w:hAnsi="Arial" w:eastAsia="Arial"/>
                <w:b w:val="0"/>
                <w:i w:val="0"/>
                <w:color w:val="000000"/>
                <w:sz w:val="16"/>
              </w:rPr>
              <w:t xml:space="preserve">6,478,519,948 </w:t>
            </w:r>
          </w:p>
        </w:tc>
        <w:tc>
          <w:tcPr>
            <w:tcW w:type="dxa" w:w="1300"/>
            <w:tcBorders>
              <w:top w:sz="4.0" w:val="single" w:color="#000000"/>
              <w:bottom w:sz="4.0" w:val="single" w:color="#000000"/>
            </w:tcBorders>
            <w:tcMar>
              <w:start w:w="0" w:type="dxa"/>
              <w:end w:w="0" w:type="dxa"/>
            </w:tcMar>
          </w:tcPr>
          <w:p/>
        </w:tc>
        <w:tc>
          <w:tcPr>
            <w:tcW w:type="dxa" w:w="1880"/>
            <w:tcBorders>
              <w:top w:sz="4.0" w:val="single" w:color="#000000"/>
              <w:bottom w:sz="4.0" w:val="single" w:color="#000000"/>
            </w:tcBorders>
            <w:tcMar>
              <w:start w:w="0" w:type="dxa"/>
              <w:end w:w="0" w:type="dxa"/>
            </w:tcMar>
          </w:tcPr>
          <w:p/>
        </w:tc>
        <w:tc>
          <w:tcPr>
            <w:tcW w:type="dxa" w:w="808"/>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84" w:firstLine="0"/>
              <w:jc w:val="right"/>
            </w:pPr>
            <w:r>
              <w:rPr>
                <w:rFonts w:ascii="Arial" w:hAnsi="Arial" w:eastAsia="Arial"/>
                <w:b w:val="0"/>
                <w:i w:val="0"/>
                <w:color w:val="000000"/>
                <w:sz w:val="16"/>
              </w:rPr>
              <w:t xml:space="preserve">- </w:t>
            </w:r>
          </w:p>
        </w:tc>
        <w:tc>
          <w:tcPr>
            <w:tcW w:type="dxa" w:w="1192"/>
            <w:tcBorders>
              <w:top w:sz="4.0" w:val="single" w:color="#000000"/>
              <w:bottom w:sz="4.0" w:val="single" w:color="#000000"/>
            </w:tcBorders>
            <w:tcMar>
              <w:start w:w="0" w:type="dxa"/>
              <w:end w:w="0" w:type="dxa"/>
            </w:tcMar>
          </w:tcPr>
          <w:p>
            <w:pPr>
              <w:autoSpaceDN w:val="0"/>
              <w:autoSpaceDE w:val="0"/>
              <w:widowControl/>
              <w:spacing w:line="230" w:lineRule="auto" w:before="186" w:after="0"/>
              <w:ind w:left="0" w:right="72" w:firstLine="0"/>
              <w:jc w:val="right"/>
            </w:pPr>
            <w:r>
              <w:rPr>
                <w:rFonts w:ascii="Arial" w:hAnsi="Arial" w:eastAsia="Arial"/>
                <w:b w:val="0"/>
                <w:i w:val="0"/>
                <w:color w:val="000000"/>
                <w:sz w:val="16"/>
              </w:rPr>
              <w:t xml:space="preserve">- </w:t>
            </w:r>
          </w:p>
        </w:tc>
        <w:tc>
          <w:tcPr>
            <w:tcW w:type="dxa" w:w="1080"/>
            <w:tcBorders>
              <w:top w:sz="4.0" w:val="single" w:color="#000000"/>
              <w:bottom w:sz="4.0" w:val="single" w:color="#000000"/>
            </w:tcBorders>
            <w:tcMar>
              <w:start w:w="0" w:type="dxa"/>
              <w:end w:w="0" w:type="dxa"/>
            </w:tcMar>
          </w:tcPr>
          <w:p/>
        </w:tc>
      </w:tr>
      <w:tr>
        <w:trPr>
          <w:trHeight w:hRule="exact" w:val="48"/>
        </w:trPr>
        <w:tc>
          <w:tcPr>
            <w:tcW w:type="dxa" w:w="1738"/>
            <w:tcBorders>
              <w:top w:sz="4.0" w:val="single" w:color="#000000"/>
            </w:tcBorders>
            <w:tcMar>
              <w:start w:w="0" w:type="dxa"/>
              <w:end w:w="0" w:type="dxa"/>
            </w:tcMar>
          </w:tcPr>
          <w:p/>
        </w:tc>
        <w:tc>
          <w:tcPr>
            <w:tcW w:type="dxa" w:w="640"/>
            <w:tcBorders>
              <w:top w:sz="4.0" w:val="single" w:color="#000000"/>
            </w:tcBorders>
            <w:tcMar>
              <w:start w:w="0" w:type="dxa"/>
              <w:end w:w="0" w:type="dxa"/>
            </w:tcMar>
          </w:tcPr>
          <w:p/>
        </w:tc>
        <w:tc>
          <w:tcPr>
            <w:tcW w:type="dxa" w:w="1362"/>
            <w:tcBorders>
              <w:top w:sz="4.0" w:val="single" w:color="#000000"/>
            </w:tcBorders>
            <w:tcMar>
              <w:start w:w="0" w:type="dxa"/>
              <w:end w:w="0" w:type="dxa"/>
            </w:tcMar>
          </w:tcPr>
          <w:p/>
        </w:tc>
        <w:tc>
          <w:tcPr>
            <w:tcW w:type="dxa" w:w="1358"/>
            <w:tcBorders>
              <w:top w:sz="4.0" w:val="single" w:color="#000000"/>
            </w:tcBorders>
            <w:tcMar>
              <w:start w:w="0" w:type="dxa"/>
              <w:end w:w="0" w:type="dxa"/>
            </w:tcMar>
          </w:tcPr>
          <w:p/>
        </w:tc>
        <w:tc>
          <w:tcPr>
            <w:tcW w:type="dxa" w:w="1274"/>
            <w:vMerge/>
            <w:tcBorders>
              <w:top w:sz="4.0" w:val="single" w:color="#000000"/>
            </w:tcBorders>
          </w:tcPr>
          <w:p/>
        </w:tc>
        <w:tc>
          <w:tcPr>
            <w:tcW w:type="dxa" w:w="1274"/>
            <w:vMerge/>
            <w:tcBorders>
              <w:top w:sz="4.0" w:val="single" w:color="#000000"/>
            </w:tcBorders>
          </w:tcPr>
          <w:p/>
        </w:tc>
        <w:tc>
          <w:tcPr>
            <w:tcW w:type="dxa" w:w="1300"/>
            <w:tcBorders>
              <w:top w:sz="4.0" w:val="single" w:color="#000000"/>
            </w:tcBorders>
            <w:tcMar>
              <w:start w:w="0" w:type="dxa"/>
              <w:end w:w="0" w:type="dxa"/>
            </w:tcMar>
          </w:tcPr>
          <w:p/>
        </w:tc>
        <w:tc>
          <w:tcPr>
            <w:tcW w:type="dxa" w:w="1880"/>
            <w:tcBorders>
              <w:top w:sz="4.0" w:val="single" w:color="#000000"/>
            </w:tcBorders>
            <w:tcMar>
              <w:start w:w="0" w:type="dxa"/>
              <w:end w:w="0" w:type="dxa"/>
            </w:tcMar>
          </w:tcPr>
          <w:p/>
        </w:tc>
        <w:tc>
          <w:tcPr>
            <w:tcW w:type="dxa" w:w="808"/>
            <w:tcBorders>
              <w:top w:sz="4.0" w:val="single" w:color="#000000"/>
            </w:tcBorders>
            <w:tcMar>
              <w:start w:w="0" w:type="dxa"/>
              <w:end w:w="0" w:type="dxa"/>
            </w:tcMar>
          </w:tcPr>
          <w:p/>
        </w:tc>
        <w:tc>
          <w:tcPr>
            <w:tcW w:type="dxa" w:w="1192"/>
            <w:tcBorders>
              <w:top w:sz="4.0" w:val="single" w:color="#000000"/>
            </w:tcBorders>
            <w:tcMar>
              <w:start w:w="0" w:type="dxa"/>
              <w:end w:w="0" w:type="dxa"/>
            </w:tcMar>
          </w:tcPr>
          <w:p/>
        </w:tc>
        <w:tc>
          <w:tcPr>
            <w:tcW w:type="dxa" w:w="1080"/>
            <w:tcBorders>
              <w:top w:sz="4.0" w:val="single" w:color="#000000"/>
            </w:tcBorders>
            <w:tcMar>
              <w:start w:w="0" w:type="dxa"/>
              <w:end w:w="0" w:type="dxa"/>
            </w:tcMar>
          </w:tcPr>
          <w:p/>
        </w:tc>
      </w:tr>
    </w:tbl>
    <w:p>
      <w:pPr>
        <w:autoSpaceDN w:val="0"/>
        <w:autoSpaceDE w:val="0"/>
        <w:widowControl/>
        <w:spacing w:line="233" w:lineRule="auto" w:before="4542" w:after="0"/>
        <w:ind w:left="0" w:right="0" w:firstLine="0"/>
        <w:jc w:val="center"/>
      </w:pPr>
      <w:r>
        <w:rPr>
          <w:rFonts w:ascii="Arial" w:hAnsi="Arial" w:eastAsia="Arial"/>
          <w:b w:val="0"/>
          <w:i w:val="0"/>
          <w:color w:val="000000"/>
          <w:sz w:val="20"/>
        </w:rPr>
        <w:t xml:space="preserve">307 </w:t>
      </w:r>
    </w:p>
    <w:p>
      <w:pPr>
        <w:sectPr>
          <w:pgSz w:w="16841" w:h="11899"/>
          <w:pgMar w:top="1166" w:right="1384"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246"/>
        <w:ind w:left="358" w:right="0" w:firstLine="0"/>
        <w:jc w:val="left"/>
      </w:pPr>
      <w:r>
        <w:rPr>
          <w:rFonts w:ascii="黑体" w:hAnsi="黑体" w:eastAsia="黑体"/>
          <w:b w:val="0"/>
          <w:i w:val="0"/>
          <w:color w:val="000000"/>
          <w:sz w:val="22"/>
        </w:rPr>
        <w:t>十八、公司财务报表附注（续）</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978"/>
        </w:trPr>
        <w:tc>
          <w:tcPr>
            <w:tcW w:type="dxa" w:w="640"/>
            <w:tcBorders/>
            <w:tcMar>
              <w:start w:w="0" w:type="dxa"/>
              <w:end w:w="0" w:type="dxa"/>
            </w:tcMar>
          </w:tcPr>
          <w:p>
            <w:pPr>
              <w:autoSpaceDN w:val="0"/>
              <w:autoSpaceDE w:val="0"/>
              <w:widowControl/>
              <w:spacing w:line="248" w:lineRule="exact" w:before="60" w:after="0"/>
              <w:ind w:left="0" w:right="0" w:firstLine="0"/>
              <w:jc w:val="center"/>
            </w:pPr>
            <w:r>
              <w:rPr>
                <w:rFonts w:ascii="Arial,Bold" w:hAnsi="Arial,Bold" w:eastAsia="Arial,Bold"/>
                <w:b/>
                <w:i w:val="0"/>
                <w:color w:val="000000"/>
                <w:sz w:val="22"/>
              </w:rPr>
              <w:t xml:space="preserve">3. </w:t>
            </w:r>
          </w:p>
        </w:tc>
        <w:tc>
          <w:tcPr>
            <w:tcW w:type="dxa" w:w="3924"/>
            <w:tcBorders/>
            <w:tcMar>
              <w:start w:w="0" w:type="dxa"/>
              <w:end w:w="0" w:type="dxa"/>
            </w:tcMar>
          </w:tcPr>
          <w:p>
            <w:pPr>
              <w:autoSpaceDN w:val="0"/>
              <w:autoSpaceDE w:val="0"/>
              <w:widowControl/>
              <w:spacing w:line="220" w:lineRule="exact" w:before="72" w:after="0"/>
              <w:ind w:left="230" w:right="0" w:firstLine="0"/>
              <w:jc w:val="left"/>
            </w:pPr>
            <w:r>
              <w:rPr>
                <w:rFonts w:ascii="黑体" w:hAnsi="黑体" w:eastAsia="黑体"/>
                <w:b w:val="0"/>
                <w:i w:val="0"/>
                <w:color w:val="000000"/>
                <w:sz w:val="22"/>
              </w:rPr>
              <w:t>其他资产</w:t>
            </w:r>
          </w:p>
        </w:tc>
        <w:tc>
          <w:tcPr>
            <w:tcW w:type="dxa" w:w="1870"/>
            <w:tcBorders/>
            <w:tcMar>
              <w:start w:w="0" w:type="dxa"/>
              <w:end w:w="0" w:type="dxa"/>
            </w:tcMar>
          </w:tcPr>
          <w:p>
            <w:pPr>
              <w:autoSpaceDN w:val="0"/>
              <w:autoSpaceDE w:val="0"/>
              <w:widowControl/>
              <w:spacing w:line="246" w:lineRule="exact" w:before="598" w:after="0"/>
              <w:ind w:left="234" w:right="0" w:firstLine="0"/>
              <w:jc w:val="left"/>
            </w:pP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c>
          <w:tcPr>
            <w:tcW w:type="dxa" w:w="2098"/>
            <w:tcBorders/>
            <w:tcMar>
              <w:start w:w="0" w:type="dxa"/>
              <w:end w:w="0" w:type="dxa"/>
            </w:tcMar>
          </w:tcPr>
          <w:p>
            <w:pPr>
              <w:autoSpaceDN w:val="0"/>
              <w:autoSpaceDE w:val="0"/>
              <w:widowControl/>
              <w:spacing w:line="246" w:lineRule="exact" w:before="598" w:after="0"/>
              <w:ind w:left="460" w:right="0" w:firstLine="0"/>
              <w:jc w:val="left"/>
            </w:pP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46" w:lineRule="exact" w:before="148" w:after="0"/>
              <w:ind w:left="198" w:right="0" w:firstLine="0"/>
              <w:jc w:val="left"/>
            </w:pPr>
            <w:r>
              <w:rPr>
                <w:rFonts w:ascii="黑体" w:hAnsi="黑体" w:eastAsia="黑体"/>
                <w:b w:val="0"/>
                <w:i w:val="0"/>
                <w:color w:val="000000"/>
                <w:sz w:val="22"/>
              </w:rPr>
              <w:t>其他应收款（</w:t>
            </w:r>
            <w:r>
              <w:rPr>
                <w:rFonts w:ascii="Arial" w:hAnsi="Arial" w:eastAsia="Arial"/>
                <w:b w:val="0"/>
                <w:i w:val="0"/>
                <w:color w:val="000000"/>
                <w:sz w:val="22"/>
              </w:rPr>
              <w:t>1</w:t>
            </w:r>
            <w:r>
              <w:rPr>
                <w:rFonts w:ascii="黑体" w:hAnsi="黑体" w:eastAsia="黑体"/>
                <w:b w:val="0"/>
                <w:i w:val="0"/>
                <w:color w:val="000000"/>
                <w:sz w:val="22"/>
              </w:rPr>
              <w:t>）</w:t>
            </w:r>
          </w:p>
        </w:tc>
        <w:tc>
          <w:tcPr>
            <w:tcW w:type="dxa" w:w="1870"/>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138,393,139</w:t>
            </w:r>
          </w:p>
        </w:tc>
        <w:tc>
          <w:tcPr>
            <w:tcW w:type="dxa" w:w="2098"/>
            <w:tcBorders/>
            <w:tcMar>
              <w:start w:w="0" w:type="dxa"/>
              <w:end w:w="0" w:type="dxa"/>
            </w:tcMar>
          </w:tcPr>
          <w:p>
            <w:pPr>
              <w:autoSpaceDN w:val="0"/>
              <w:autoSpaceDE w:val="0"/>
              <w:widowControl/>
              <w:spacing w:line="233" w:lineRule="auto" w:before="154" w:after="0"/>
              <w:ind w:left="0" w:right="0" w:firstLine="0"/>
              <w:jc w:val="right"/>
            </w:pPr>
            <w:r>
              <w:rPr>
                <w:rFonts w:ascii="Arial" w:hAnsi="Arial" w:eastAsia="Arial"/>
                <w:b w:val="0"/>
                <w:i w:val="0"/>
                <w:color w:val="000000"/>
                <w:sz w:val="22"/>
              </w:rPr>
              <w:t>172,878,314</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2" w:lineRule="exact" w:before="44" w:after="0"/>
              <w:ind w:left="198" w:right="0" w:firstLine="0"/>
              <w:jc w:val="left"/>
            </w:pPr>
            <w:r>
              <w:rPr>
                <w:rFonts w:ascii="黑体" w:hAnsi="黑体" w:eastAsia="黑体"/>
                <w:b w:val="0"/>
                <w:i w:val="0"/>
                <w:color w:val="000000"/>
                <w:sz w:val="22"/>
              </w:rPr>
              <w:t>长期待摊费用</w:t>
            </w:r>
          </w:p>
        </w:tc>
        <w:tc>
          <w:tcPr>
            <w:tcW w:type="dxa" w:w="1870"/>
            <w:tcBorders/>
            <w:tcMar>
              <w:start w:w="0" w:type="dxa"/>
              <w:end w:w="0" w:type="dxa"/>
            </w:tcMar>
          </w:tcPr>
          <w:p>
            <w:pPr>
              <w:autoSpaceDN w:val="0"/>
              <w:autoSpaceDE w:val="0"/>
              <w:widowControl/>
              <w:spacing w:line="235" w:lineRule="auto" w:before="32" w:after="0"/>
              <w:ind w:left="0" w:right="0" w:firstLine="0"/>
              <w:jc w:val="right"/>
            </w:pPr>
            <w:r>
              <w:rPr>
                <w:rFonts w:ascii="Arial" w:hAnsi="Arial" w:eastAsia="Arial"/>
                <w:b w:val="0"/>
                <w:i w:val="0"/>
                <w:color w:val="000000"/>
                <w:sz w:val="22"/>
              </w:rPr>
              <w:t>83,766,040</w:t>
            </w:r>
          </w:p>
        </w:tc>
        <w:tc>
          <w:tcPr>
            <w:tcW w:type="dxa" w:w="2098"/>
            <w:tcBorders/>
            <w:tcMar>
              <w:start w:w="0" w:type="dxa"/>
              <w:end w:w="0" w:type="dxa"/>
            </w:tcMar>
          </w:tcPr>
          <w:p>
            <w:pPr>
              <w:autoSpaceDN w:val="0"/>
              <w:autoSpaceDE w:val="0"/>
              <w:widowControl/>
              <w:spacing w:line="235" w:lineRule="auto" w:before="32" w:after="0"/>
              <w:ind w:left="0" w:right="0" w:firstLine="0"/>
              <w:jc w:val="right"/>
            </w:pPr>
            <w:r>
              <w:rPr>
                <w:rFonts w:ascii="Arial" w:hAnsi="Arial" w:eastAsia="Arial"/>
                <w:b w:val="0"/>
                <w:i w:val="0"/>
                <w:color w:val="000000"/>
                <w:sz w:val="22"/>
              </w:rPr>
              <w:t>86,595,101</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0" w:after="0"/>
              <w:ind w:left="198" w:right="0" w:firstLine="0"/>
              <w:jc w:val="left"/>
            </w:pPr>
            <w:r>
              <w:rPr>
                <w:rFonts w:ascii="黑体" w:hAnsi="黑体" w:eastAsia="黑体"/>
                <w:b w:val="0"/>
                <w:i w:val="0"/>
                <w:color w:val="000000"/>
                <w:sz w:val="22"/>
              </w:rPr>
              <w:t>预付款项</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249,435,433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6" w:after="0"/>
              <w:ind w:left="0" w:right="0" w:firstLine="0"/>
              <w:jc w:val="right"/>
            </w:pPr>
            <w:r>
              <w:rPr>
                <w:rFonts w:ascii="Arial" w:hAnsi="Arial" w:eastAsia="Arial"/>
                <w:b w:val="0"/>
                <w:i w:val="0"/>
                <w:color w:val="000000"/>
                <w:sz w:val="22"/>
              </w:rPr>
              <w:t>461,214,819</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56" w:after="0"/>
              <w:ind w:left="198" w:right="0" w:firstLine="0"/>
              <w:jc w:val="left"/>
            </w:pPr>
            <w:r>
              <w:rPr>
                <w:rFonts w:ascii="黑体" w:hAnsi="黑体" w:eastAsia="黑体"/>
                <w:b w:val="0"/>
                <w:i w:val="0"/>
                <w:color w:val="000000"/>
                <w:sz w:val="22"/>
              </w:rPr>
              <w:t>预缴所得税</w:t>
            </w:r>
          </w:p>
        </w:tc>
        <w:tc>
          <w:tcPr>
            <w:tcW w:type="dxa" w:w="2255"/>
            <w:vMerge/>
            <w:tcBorders/>
          </w:tcPr>
          <w:p/>
        </w:tc>
        <w:tc>
          <w:tcPr>
            <w:tcW w:type="dxa" w:w="2255"/>
            <w:vMerge/>
            <w:tcBorders/>
          </w:tcPr>
          <w:p/>
        </w:tc>
      </w:tr>
      <w:tr>
        <w:trPr>
          <w:trHeight w:hRule="exact" w:val="238"/>
        </w:trPr>
        <w:tc>
          <w:tcPr>
            <w:tcW w:type="dxa" w:w="4510"/>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27,992,227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增值税留抵税额</w:t>
            </w:r>
          </w:p>
        </w:tc>
        <w:tc>
          <w:tcPr>
            <w:tcW w:type="dxa" w:w="2255"/>
            <w:vMerge/>
            <w:tcBorders/>
          </w:tcPr>
          <w:p/>
        </w:tc>
        <w:tc>
          <w:tcPr>
            <w:tcW w:type="dxa" w:w="2255"/>
            <w:vMerge/>
            <w:tcBorders/>
          </w:tcPr>
          <w:p/>
        </w:tc>
      </w:tr>
      <w:tr>
        <w:trPr>
          <w:trHeight w:hRule="exact" w:val="232"/>
        </w:trPr>
        <w:tc>
          <w:tcPr>
            <w:tcW w:type="dxa" w:w="4510"/>
            <w:gridSpan w:val="2"/>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5,497,462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w:t>
            </w:r>
          </w:p>
        </w:tc>
      </w:tr>
      <w:tr>
        <w:trPr>
          <w:trHeight w:hRule="exact" w:val="54"/>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4" w:after="0"/>
              <w:ind w:left="198" w:right="0" w:firstLine="0"/>
              <w:jc w:val="left"/>
            </w:pPr>
            <w:r>
              <w:rPr>
                <w:rFonts w:ascii="黑体" w:hAnsi="黑体" w:eastAsia="黑体"/>
                <w:b w:val="0"/>
                <w:i w:val="0"/>
                <w:color w:val="000000"/>
                <w:sz w:val="22"/>
              </w:rPr>
              <w:t>其他</w:t>
            </w:r>
          </w:p>
        </w:tc>
        <w:tc>
          <w:tcPr>
            <w:tcW w:type="dxa" w:w="2255"/>
            <w:vMerge/>
            <w:tcBorders/>
          </w:tcPr>
          <w:p/>
        </w:tc>
        <w:tc>
          <w:tcPr>
            <w:tcW w:type="dxa" w:w="2255"/>
            <w:vMerge/>
            <w:tcBorders/>
          </w:tcPr>
          <w:p/>
        </w:tc>
      </w:tr>
      <w:tr>
        <w:trPr>
          <w:trHeight w:hRule="exact" w:val="274"/>
        </w:trPr>
        <w:tc>
          <w:tcPr>
            <w:tcW w:type="dxa" w:w="4510"/>
            <w:gridSpan w:val="2"/>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15,163,483</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14,495,720</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2" w:after="0"/>
              <w:ind w:left="198" w:right="0" w:firstLine="0"/>
              <w:jc w:val="left"/>
            </w:pPr>
            <w:r>
              <w:rPr>
                <w:rFonts w:ascii="黑体" w:hAnsi="黑体" w:eastAsia="黑体"/>
                <w:b w:val="0"/>
                <w:i w:val="0"/>
                <w:color w:val="000000"/>
                <w:sz w:val="22"/>
              </w:rPr>
              <w:t>合计</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520,247,784</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0" w:firstLine="0"/>
              <w:jc w:val="right"/>
            </w:pPr>
            <w:r>
              <w:rPr>
                <w:rFonts w:ascii="Arial" w:hAnsi="Arial" w:eastAsia="Arial"/>
                <w:b w:val="0"/>
                <w:i w:val="0"/>
                <w:color w:val="000000"/>
                <w:sz w:val="22"/>
              </w:rPr>
              <w:t>735,183,954</w:t>
            </w:r>
          </w:p>
        </w:tc>
      </w:tr>
      <w:tr>
        <w:trPr>
          <w:trHeight w:hRule="exact" w:val="50"/>
        </w:trPr>
        <w:tc>
          <w:tcPr>
            <w:tcW w:type="dxa" w:w="4510"/>
            <w:gridSpan w:val="2"/>
            <w:vMerge/>
            <w:tcBorders>
              <w:top w:sz="4.0" w:val="single" w:color="#000000"/>
            </w:tcBorders>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4" w:lineRule="exact" w:before="208" w:after="0"/>
        <w:ind w:left="358" w:right="350" w:firstLine="0"/>
        <w:jc w:val="both"/>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）于</w:t>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日，其他应收款主要为年末赎回基金产品的在途款项人民币</w:t>
      </w:r>
      <w:r>
        <w:rPr>
          <w:rFonts w:ascii="Arial" w:hAnsi="Arial" w:eastAsia="Arial"/>
          <w:b w:val="0"/>
          <w:i w:val="0"/>
          <w:color w:val="000000"/>
          <w:sz w:val="22"/>
        </w:rPr>
        <w:t>10,000</w:t>
      </w:r>
      <w:r>
        <w:rPr>
          <w:rFonts w:ascii="黑体" w:hAnsi="黑体" w:eastAsia="黑体"/>
          <w:b w:val="0"/>
          <w:i w:val="0"/>
          <w:color w:val="000000"/>
          <w:sz w:val="22"/>
        </w:rPr>
        <w:t>万元（</w:t>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日，其他应收款主要为应收子公司格林大华及山证资管的</w:t>
      </w:r>
      <w:r>
        <w:rPr>
          <w:rFonts w:ascii="黑体" w:hAnsi="黑体" w:eastAsia="黑体"/>
          <w:b w:val="0"/>
          <w:i w:val="0"/>
          <w:color w:val="000000"/>
          <w:sz w:val="22"/>
        </w:rPr>
        <w:t>内部往来款人民币</w:t>
      </w:r>
      <w:r>
        <w:rPr>
          <w:rFonts w:ascii="Arial" w:hAnsi="Arial" w:eastAsia="Arial"/>
          <w:b w:val="0"/>
          <w:i w:val="0"/>
          <w:color w:val="000000"/>
          <w:sz w:val="22"/>
        </w:rPr>
        <w:t>10,565</w:t>
      </w:r>
      <w:r>
        <w:rPr>
          <w:rFonts w:ascii="黑体" w:hAnsi="黑体" w:eastAsia="黑体"/>
          <w:b w:val="0"/>
          <w:i w:val="0"/>
          <w:color w:val="000000"/>
          <w:sz w:val="22"/>
        </w:rPr>
        <w:t>万元）。</w:t>
      </w:r>
    </w:p>
    <w:p>
      <w:pPr>
        <w:autoSpaceDN w:val="0"/>
        <w:autoSpaceDE w:val="0"/>
        <w:widowControl/>
        <w:spacing w:line="233" w:lineRule="auto" w:before="8970" w:after="0"/>
        <w:ind w:left="0" w:right="0" w:firstLine="0"/>
        <w:jc w:val="center"/>
      </w:pPr>
      <w:r>
        <w:rPr>
          <w:rFonts w:ascii="Arial" w:hAnsi="Arial" w:eastAsia="Arial"/>
          <w:b w:val="0"/>
          <w:i w:val="0"/>
          <w:color w:val="000000"/>
          <w:sz w:val="20"/>
        </w:rPr>
        <w:t xml:space="preserve">308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246"/>
        <w:ind w:left="358" w:right="0" w:firstLine="0"/>
        <w:jc w:val="left"/>
      </w:pPr>
      <w:r>
        <w:rPr>
          <w:rFonts w:ascii="黑体" w:hAnsi="黑体" w:eastAsia="黑体"/>
          <w:b w:val="0"/>
          <w:i w:val="0"/>
          <w:color w:val="000000"/>
          <w:sz w:val="22"/>
        </w:rPr>
        <w:t>十八、公司财务报表附注（续）</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896"/>
        </w:trPr>
        <w:tc>
          <w:tcPr>
            <w:tcW w:type="dxa" w:w="640"/>
            <w:tcBorders/>
            <w:tcMar>
              <w:start w:w="0" w:type="dxa"/>
              <w:end w:w="0" w:type="dxa"/>
            </w:tcMar>
          </w:tcPr>
          <w:p>
            <w:pPr>
              <w:autoSpaceDN w:val="0"/>
              <w:autoSpaceDE w:val="0"/>
              <w:widowControl/>
              <w:spacing w:line="248" w:lineRule="exact" w:before="60" w:after="0"/>
              <w:ind w:left="0" w:right="0" w:firstLine="0"/>
              <w:jc w:val="center"/>
            </w:pPr>
            <w:r>
              <w:rPr>
                <w:rFonts w:ascii="Arial,Bold" w:hAnsi="Arial,Bold" w:eastAsia="Arial,Bold"/>
                <w:b/>
                <w:i w:val="0"/>
                <w:color w:val="000000"/>
                <w:sz w:val="22"/>
              </w:rPr>
              <w:t xml:space="preserve">4. </w:t>
            </w:r>
          </w:p>
        </w:tc>
        <w:tc>
          <w:tcPr>
            <w:tcW w:type="dxa" w:w="3680"/>
            <w:tcBorders/>
            <w:tcMar>
              <w:start w:w="0" w:type="dxa"/>
              <w:end w:w="0" w:type="dxa"/>
            </w:tcMar>
          </w:tcPr>
          <w:p>
            <w:pPr>
              <w:autoSpaceDN w:val="0"/>
              <w:autoSpaceDE w:val="0"/>
              <w:widowControl/>
              <w:spacing w:line="220" w:lineRule="exact" w:before="72" w:after="0"/>
              <w:ind w:left="230" w:right="0" w:firstLine="0"/>
              <w:jc w:val="left"/>
            </w:pPr>
            <w:r>
              <w:rPr>
                <w:rFonts w:ascii="黑体" w:hAnsi="黑体" w:eastAsia="黑体"/>
                <w:b w:val="0"/>
                <w:i w:val="0"/>
                <w:color w:val="000000"/>
                <w:sz w:val="22"/>
              </w:rPr>
              <w:t>手续费及佣金净收入</w:t>
            </w:r>
          </w:p>
        </w:tc>
        <w:tc>
          <w:tcPr>
            <w:tcW w:type="dxa" w:w="2860"/>
            <w:tcBorders/>
            <w:tcMar>
              <w:start w:w="0" w:type="dxa"/>
              <w:end w:w="0" w:type="dxa"/>
            </w:tcMar>
          </w:tcPr>
          <w:p>
            <w:pPr>
              <w:autoSpaceDN w:val="0"/>
              <w:autoSpaceDE w:val="0"/>
              <w:widowControl/>
              <w:spacing w:line="236" w:lineRule="exact" w:before="600" w:after="0"/>
              <w:ind w:left="0" w:right="712" w:firstLine="0"/>
              <w:jc w:val="right"/>
            </w:pPr>
            <w:r>
              <w:rPr>
                <w:rFonts w:ascii="Arial" w:hAnsi="Arial" w:eastAsia="Arial"/>
                <w:b w:val="0"/>
                <w:i w:val="0"/>
                <w:color w:val="000000"/>
                <w:sz w:val="21"/>
              </w:rPr>
              <w:t>2024</w:t>
            </w:r>
            <w:r>
              <w:rPr>
                <w:rFonts w:ascii="黑体" w:hAnsi="黑体" w:eastAsia="黑体"/>
                <w:b w:val="0"/>
                <w:i w:val="0"/>
                <w:color w:val="000000"/>
                <w:sz w:val="21"/>
              </w:rPr>
              <w:t>年</w:t>
            </w:r>
          </w:p>
        </w:tc>
        <w:tc>
          <w:tcPr>
            <w:tcW w:type="dxa" w:w="1520"/>
            <w:tcBorders/>
            <w:tcMar>
              <w:start w:w="0" w:type="dxa"/>
              <w:end w:w="0" w:type="dxa"/>
            </w:tcMar>
          </w:tcPr>
          <w:p>
            <w:pPr>
              <w:autoSpaceDN w:val="0"/>
              <w:autoSpaceDE w:val="0"/>
              <w:widowControl/>
              <w:spacing w:line="236" w:lineRule="exact" w:before="600" w:after="0"/>
              <w:ind w:left="0" w:right="126" w:firstLine="0"/>
              <w:jc w:val="right"/>
            </w:pPr>
            <w:r>
              <w:rPr>
                <w:rFonts w:ascii="Arial" w:hAnsi="Arial" w:eastAsia="Arial"/>
                <w:b w:val="0"/>
                <w:i w:val="0"/>
                <w:color w:val="000000"/>
                <w:sz w:val="21"/>
              </w:rPr>
              <w:t>2023</w:t>
            </w:r>
            <w:r>
              <w:rPr>
                <w:rFonts w:ascii="黑体" w:hAnsi="黑体" w:eastAsia="黑体"/>
                <w:b w:val="0"/>
                <w:i w:val="0"/>
                <w:color w:val="000000"/>
                <w:sz w:val="21"/>
              </w:rPr>
              <w:t>年</w:t>
            </w:r>
          </w:p>
        </w:tc>
      </w:tr>
    </w:tbl>
    <w:p>
      <w:pPr>
        <w:autoSpaceDN w:val="0"/>
        <w:autoSpaceDE w:val="0"/>
        <w:widowControl/>
        <w:spacing w:line="200" w:lineRule="exact" w:before="172" w:after="30"/>
        <w:ind w:left="358" w:right="0" w:firstLine="0"/>
        <w:jc w:val="left"/>
      </w:pPr>
      <w:r>
        <w:rPr>
          <w:rFonts w:ascii="黑体" w:hAnsi="黑体" w:eastAsia="黑体"/>
          <w:b w:val="0"/>
          <w:i w:val="0"/>
          <w:color w:val="000000"/>
          <w:sz w:val="20"/>
        </w:rPr>
        <w:t>证券经纪业务净收入</w:t>
      </w:r>
    </w:p>
    <w:tbl>
      <w:tblPr>
        <w:tblW w:type="auto" w:w="0"/>
        <w:tblLayout w:type="fixed"/>
        <w:tblLook w:firstColumn="1" w:firstRow="1" w:lastColumn="0" w:lastRow="0" w:noHBand="0" w:noVBand="1" w:val="04A0"/>
        <w:tblInd w:w="260.0" w:type="dxa"/>
      </w:tblPr>
      <w:tblGrid>
        <w:gridCol w:w="3006"/>
        <w:gridCol w:w="3006"/>
        <w:gridCol w:w="3006"/>
      </w:tblGrid>
      <w:tr>
        <w:trPr>
          <w:trHeight w:hRule="exact" w:val="240"/>
        </w:trPr>
        <w:tc>
          <w:tcPr>
            <w:tcW w:type="dxa" w:w="3640"/>
            <w:tcBorders/>
            <w:tcMar>
              <w:start w:w="0" w:type="dxa"/>
              <w:end w:w="0" w:type="dxa"/>
            </w:tcMar>
          </w:tcPr>
          <w:p>
            <w:pPr>
              <w:autoSpaceDN w:val="0"/>
              <w:autoSpaceDE w:val="0"/>
              <w:widowControl/>
              <w:spacing w:line="200" w:lineRule="exact" w:before="30" w:after="0"/>
              <w:ind w:left="298" w:right="0" w:firstLine="0"/>
              <w:jc w:val="left"/>
            </w:pPr>
            <w:r>
              <w:rPr>
                <w:rFonts w:ascii="黑体" w:hAnsi="黑体" w:eastAsia="黑体"/>
                <w:b w:val="0"/>
                <w:i w:val="0"/>
                <w:color w:val="000000"/>
                <w:sz w:val="20"/>
              </w:rPr>
              <w:t>证券经纪业务收入</w:t>
            </w:r>
          </w:p>
        </w:tc>
        <w:tc>
          <w:tcPr>
            <w:tcW w:type="dxa" w:w="3240"/>
            <w:tcBorders/>
            <w:tcMar>
              <w:start w:w="0" w:type="dxa"/>
              <w:end w:w="0" w:type="dxa"/>
            </w:tcMar>
          </w:tcPr>
          <w:p>
            <w:pPr>
              <w:autoSpaceDN w:val="0"/>
              <w:autoSpaceDE w:val="0"/>
              <w:widowControl/>
              <w:spacing w:line="235" w:lineRule="auto" w:before="16" w:after="0"/>
              <w:ind w:left="0" w:right="518" w:firstLine="0"/>
              <w:jc w:val="right"/>
            </w:pPr>
            <w:r>
              <w:rPr>
                <w:rFonts w:ascii="Arial" w:hAnsi="Arial" w:eastAsia="Arial"/>
                <w:b w:val="0"/>
                <w:i w:val="0"/>
                <w:color w:val="000000"/>
                <w:sz w:val="20"/>
              </w:rPr>
              <w:t>733,490,044</w:t>
            </w:r>
          </w:p>
        </w:tc>
        <w:tc>
          <w:tcPr>
            <w:tcW w:type="dxa" w:w="1800"/>
            <w:tcBorders/>
            <w:tcMar>
              <w:start w:w="0" w:type="dxa"/>
              <w:end w:w="0" w:type="dxa"/>
            </w:tcMar>
          </w:tcPr>
          <w:p>
            <w:pPr>
              <w:autoSpaceDN w:val="0"/>
              <w:autoSpaceDE w:val="0"/>
              <w:widowControl/>
              <w:spacing w:line="235" w:lineRule="auto" w:before="16" w:after="0"/>
              <w:ind w:left="0" w:right="154" w:firstLine="0"/>
              <w:jc w:val="right"/>
            </w:pPr>
            <w:r>
              <w:rPr>
                <w:rFonts w:ascii="Arial" w:hAnsi="Arial" w:eastAsia="Arial"/>
                <w:b w:val="0"/>
                <w:i w:val="0"/>
                <w:color w:val="000000"/>
                <w:sz w:val="20"/>
              </w:rPr>
              <w:t xml:space="preserve">569,726,332 </w:t>
            </w:r>
          </w:p>
        </w:tc>
      </w:tr>
      <w:tr>
        <w:trPr>
          <w:trHeight w:hRule="exact" w:val="260"/>
        </w:trPr>
        <w:tc>
          <w:tcPr>
            <w:tcW w:type="dxa" w:w="3640"/>
            <w:tcBorders/>
            <w:tcMar>
              <w:start w:w="0" w:type="dxa"/>
              <w:end w:w="0" w:type="dxa"/>
            </w:tcMar>
          </w:tcPr>
          <w:p>
            <w:pPr>
              <w:autoSpaceDN w:val="0"/>
              <w:autoSpaceDE w:val="0"/>
              <w:widowControl/>
              <w:spacing w:line="198" w:lineRule="exact" w:before="50" w:after="0"/>
              <w:ind w:left="498" w:right="0" w:firstLine="0"/>
              <w:jc w:val="left"/>
            </w:pPr>
            <w:r>
              <w:rPr>
                <w:rFonts w:ascii="黑体" w:hAnsi="黑体" w:eastAsia="黑体"/>
                <w:b w:val="0"/>
                <w:i w:val="0"/>
                <w:color w:val="000000"/>
                <w:sz w:val="20"/>
              </w:rPr>
              <w:t>代理买卖证券业务</w:t>
            </w:r>
          </w:p>
        </w:tc>
        <w:tc>
          <w:tcPr>
            <w:tcW w:type="dxa" w:w="3240"/>
            <w:tcBorders/>
            <w:tcMar>
              <w:start w:w="0" w:type="dxa"/>
              <w:end w:w="0" w:type="dxa"/>
            </w:tcMar>
          </w:tcPr>
          <w:p>
            <w:pPr>
              <w:autoSpaceDN w:val="0"/>
              <w:autoSpaceDE w:val="0"/>
              <w:widowControl/>
              <w:spacing w:line="233" w:lineRule="auto" w:before="38" w:after="0"/>
              <w:ind w:left="0" w:right="518" w:firstLine="0"/>
              <w:jc w:val="right"/>
            </w:pPr>
            <w:r>
              <w:rPr>
                <w:rFonts w:ascii="Arial" w:hAnsi="Arial" w:eastAsia="Arial"/>
                <w:b w:val="0"/>
                <w:i w:val="0"/>
                <w:color w:val="000000"/>
                <w:sz w:val="20"/>
              </w:rPr>
              <w:t>632,948,513</w:t>
            </w:r>
          </w:p>
        </w:tc>
        <w:tc>
          <w:tcPr>
            <w:tcW w:type="dxa" w:w="1800"/>
            <w:tcBorders/>
            <w:tcMar>
              <w:start w:w="0" w:type="dxa"/>
              <w:end w:w="0" w:type="dxa"/>
            </w:tcMar>
          </w:tcPr>
          <w:p>
            <w:pPr>
              <w:autoSpaceDN w:val="0"/>
              <w:autoSpaceDE w:val="0"/>
              <w:widowControl/>
              <w:spacing w:line="233" w:lineRule="auto" w:before="38" w:after="0"/>
              <w:ind w:left="0" w:right="154" w:firstLine="0"/>
              <w:jc w:val="right"/>
            </w:pPr>
            <w:r>
              <w:rPr>
                <w:rFonts w:ascii="Arial" w:hAnsi="Arial" w:eastAsia="Arial"/>
                <w:b w:val="0"/>
                <w:i w:val="0"/>
                <w:color w:val="000000"/>
                <w:sz w:val="20"/>
              </w:rPr>
              <w:t xml:space="preserve">459,663,146 </w:t>
            </w:r>
          </w:p>
        </w:tc>
      </w:tr>
      <w:tr>
        <w:trPr>
          <w:trHeight w:hRule="exact" w:val="260"/>
        </w:trPr>
        <w:tc>
          <w:tcPr>
            <w:tcW w:type="dxa" w:w="3640"/>
            <w:tcBorders/>
            <w:tcMar>
              <w:start w:w="0" w:type="dxa"/>
              <w:end w:w="0" w:type="dxa"/>
            </w:tcMar>
          </w:tcPr>
          <w:p>
            <w:pPr>
              <w:autoSpaceDN w:val="0"/>
              <w:autoSpaceDE w:val="0"/>
              <w:widowControl/>
              <w:spacing w:line="200" w:lineRule="exact" w:before="48" w:after="0"/>
              <w:ind w:left="498" w:right="0" w:firstLine="0"/>
              <w:jc w:val="left"/>
            </w:pPr>
            <w:r>
              <w:rPr>
                <w:rFonts w:ascii="黑体" w:hAnsi="黑体" w:eastAsia="黑体"/>
                <w:b w:val="0"/>
                <w:i w:val="0"/>
                <w:color w:val="000000"/>
                <w:sz w:val="20"/>
              </w:rPr>
              <w:t>交易单元席位租赁</w:t>
            </w:r>
          </w:p>
        </w:tc>
        <w:tc>
          <w:tcPr>
            <w:tcW w:type="dxa" w:w="3240"/>
            <w:tcBorders/>
            <w:tcMar>
              <w:start w:w="0" w:type="dxa"/>
              <w:end w:w="0" w:type="dxa"/>
            </w:tcMar>
          </w:tcPr>
          <w:p>
            <w:pPr>
              <w:autoSpaceDN w:val="0"/>
              <w:autoSpaceDE w:val="0"/>
              <w:widowControl/>
              <w:spacing w:line="233" w:lineRule="auto" w:before="38" w:after="0"/>
              <w:ind w:left="0" w:right="518" w:firstLine="0"/>
              <w:jc w:val="right"/>
            </w:pPr>
            <w:r>
              <w:rPr>
                <w:rFonts w:ascii="Arial" w:hAnsi="Arial" w:eastAsia="Arial"/>
                <w:b w:val="0"/>
                <w:i w:val="0"/>
                <w:color w:val="000000"/>
                <w:sz w:val="20"/>
              </w:rPr>
              <w:t>43,951,663</w:t>
            </w:r>
          </w:p>
        </w:tc>
        <w:tc>
          <w:tcPr>
            <w:tcW w:type="dxa" w:w="1800"/>
            <w:tcBorders/>
            <w:tcMar>
              <w:start w:w="0" w:type="dxa"/>
              <w:end w:w="0" w:type="dxa"/>
            </w:tcMar>
          </w:tcPr>
          <w:p>
            <w:pPr>
              <w:autoSpaceDN w:val="0"/>
              <w:autoSpaceDE w:val="0"/>
              <w:widowControl/>
              <w:spacing w:line="233" w:lineRule="auto" w:before="38" w:after="0"/>
              <w:ind w:left="0" w:right="154" w:firstLine="0"/>
              <w:jc w:val="right"/>
            </w:pPr>
            <w:r>
              <w:rPr>
                <w:rFonts w:ascii="Arial" w:hAnsi="Arial" w:eastAsia="Arial"/>
                <w:b w:val="0"/>
                <w:i w:val="0"/>
                <w:color w:val="000000"/>
                <w:sz w:val="20"/>
              </w:rPr>
              <w:t xml:space="preserve">50,625,829 </w:t>
            </w:r>
          </w:p>
        </w:tc>
      </w:tr>
      <w:tr>
        <w:trPr>
          <w:trHeight w:hRule="exact" w:val="260"/>
        </w:trPr>
        <w:tc>
          <w:tcPr>
            <w:tcW w:type="dxa" w:w="3640"/>
            <w:tcBorders/>
            <w:tcMar>
              <w:start w:w="0" w:type="dxa"/>
              <w:end w:w="0" w:type="dxa"/>
            </w:tcMar>
          </w:tcPr>
          <w:p>
            <w:pPr>
              <w:autoSpaceDN w:val="0"/>
              <w:autoSpaceDE w:val="0"/>
              <w:widowControl/>
              <w:spacing w:line="200" w:lineRule="exact" w:before="48" w:after="0"/>
              <w:ind w:left="498" w:right="0" w:firstLine="0"/>
              <w:jc w:val="left"/>
            </w:pPr>
            <w:r>
              <w:rPr>
                <w:rFonts w:ascii="黑体" w:hAnsi="黑体" w:eastAsia="黑体"/>
                <w:b w:val="0"/>
                <w:i w:val="0"/>
                <w:color w:val="000000"/>
                <w:sz w:val="20"/>
              </w:rPr>
              <w:t>代销金融产品业务</w:t>
            </w:r>
          </w:p>
        </w:tc>
        <w:tc>
          <w:tcPr>
            <w:tcW w:type="dxa" w:w="3240"/>
            <w:tcBorders/>
            <w:tcMar>
              <w:start w:w="0" w:type="dxa"/>
              <w:end w:w="0" w:type="dxa"/>
            </w:tcMar>
          </w:tcPr>
          <w:p>
            <w:pPr>
              <w:autoSpaceDN w:val="0"/>
              <w:autoSpaceDE w:val="0"/>
              <w:widowControl/>
              <w:spacing w:line="233" w:lineRule="auto" w:before="38" w:after="0"/>
              <w:ind w:left="0" w:right="518" w:firstLine="0"/>
              <w:jc w:val="right"/>
            </w:pPr>
            <w:r>
              <w:rPr>
                <w:rFonts w:ascii="Arial" w:hAnsi="Arial" w:eastAsia="Arial"/>
                <w:b w:val="0"/>
                <w:i w:val="0"/>
                <w:color w:val="000000"/>
                <w:sz w:val="20"/>
              </w:rPr>
              <w:t>56,589,868</w:t>
            </w:r>
          </w:p>
        </w:tc>
        <w:tc>
          <w:tcPr>
            <w:tcW w:type="dxa" w:w="1800"/>
            <w:tcBorders/>
            <w:tcMar>
              <w:start w:w="0" w:type="dxa"/>
              <w:end w:w="0" w:type="dxa"/>
            </w:tcMar>
          </w:tcPr>
          <w:p>
            <w:pPr>
              <w:autoSpaceDN w:val="0"/>
              <w:autoSpaceDE w:val="0"/>
              <w:widowControl/>
              <w:spacing w:line="233" w:lineRule="auto" w:before="38" w:after="0"/>
              <w:ind w:left="0" w:right="154" w:firstLine="0"/>
              <w:jc w:val="right"/>
            </w:pPr>
            <w:r>
              <w:rPr>
                <w:rFonts w:ascii="Arial" w:hAnsi="Arial" w:eastAsia="Arial"/>
                <w:b w:val="0"/>
                <w:i w:val="0"/>
                <w:color w:val="000000"/>
                <w:sz w:val="20"/>
              </w:rPr>
              <w:t xml:space="preserve">59,437,357 </w:t>
            </w:r>
          </w:p>
        </w:tc>
      </w:tr>
      <w:tr>
        <w:trPr>
          <w:trHeight w:hRule="exact" w:val="240"/>
        </w:trPr>
        <w:tc>
          <w:tcPr>
            <w:tcW w:type="dxa" w:w="3640"/>
            <w:tcBorders/>
            <w:tcMar>
              <w:start w:w="0" w:type="dxa"/>
              <w:end w:w="0" w:type="dxa"/>
            </w:tcMar>
          </w:tcPr>
          <w:p>
            <w:pPr>
              <w:autoSpaceDN w:val="0"/>
              <w:autoSpaceDE w:val="0"/>
              <w:widowControl/>
              <w:spacing w:line="198" w:lineRule="exact" w:before="42" w:after="0"/>
              <w:ind w:left="298" w:right="0" w:firstLine="0"/>
              <w:jc w:val="left"/>
            </w:pPr>
            <w:r>
              <w:rPr>
                <w:rFonts w:ascii="黑体" w:hAnsi="黑体" w:eastAsia="黑体"/>
                <w:b w:val="0"/>
                <w:i w:val="0"/>
                <w:color w:val="000000"/>
                <w:sz w:val="20"/>
              </w:rPr>
              <w:t>证券经纪业务支出</w:t>
            </w:r>
          </w:p>
        </w:tc>
        <w:tc>
          <w:tcPr>
            <w:tcW w:type="dxa" w:w="3240"/>
            <w:vMerge w:val="restart"/>
            <w:tcBorders/>
            <w:tcMar>
              <w:start w:w="0" w:type="dxa"/>
              <w:end w:w="0" w:type="dxa"/>
            </w:tcMar>
            <w:tcMar>
              <w:start w:w="0" w:type="dxa"/>
              <w:end w:w="0" w:type="dxa"/>
            </w:tcMar>
          </w:tcPr>
          <w:p>
            <w:pPr>
              <w:autoSpaceDN w:val="0"/>
              <w:autoSpaceDE w:val="0"/>
              <w:widowControl/>
              <w:spacing w:line="233" w:lineRule="auto" w:before="50" w:after="0"/>
              <w:ind w:left="0" w:right="392" w:firstLine="0"/>
              <w:jc w:val="right"/>
            </w:pPr>
            <w:r>
              <w:rPr>
                <w:rFonts w:ascii="Arial" w:hAnsi="Arial" w:eastAsia="Arial"/>
                <w:b w:val="0"/>
                <w:i w:val="0"/>
                <w:color w:val="000000"/>
                <w:sz w:val="20"/>
              </w:rPr>
              <w:t xml:space="preserve">(138,947,734) </w:t>
            </w:r>
          </w:p>
        </w:tc>
        <w:tc>
          <w:tcPr>
            <w:tcW w:type="dxa" w:w="1800"/>
            <w:vMerge w:val="restart"/>
            <w:tcBorders/>
            <w:tcMar>
              <w:start w:w="0" w:type="dxa"/>
              <w:end w:w="0" w:type="dxa"/>
            </w:tcMar>
            <w:tcMar>
              <w:start w:w="0" w:type="dxa"/>
              <w:end w:w="0" w:type="dxa"/>
            </w:tcMar>
          </w:tcPr>
          <w:p>
            <w:pPr>
              <w:autoSpaceDN w:val="0"/>
              <w:autoSpaceDE w:val="0"/>
              <w:widowControl/>
              <w:spacing w:line="233" w:lineRule="auto" w:before="28" w:after="0"/>
              <w:ind w:left="412" w:right="0" w:firstLine="0"/>
              <w:jc w:val="left"/>
            </w:pPr>
            <w:r>
              <w:rPr>
                <w:rFonts w:ascii="Arial" w:hAnsi="Arial" w:eastAsia="Arial"/>
                <w:b w:val="0"/>
                <w:i w:val="0"/>
                <w:color w:val="000000"/>
                <w:sz w:val="20"/>
              </w:rPr>
              <w:t xml:space="preserve">(113,847,336 </w:t>
            </w:r>
            <w:r>
              <w:rPr>
                <w:rFonts w:ascii="Arial" w:hAnsi="Arial" w:eastAsia="Arial"/>
                <w:b w:val="0"/>
                <w:i w:val="0"/>
                <w:color w:val="000000"/>
                <w:sz w:val="22"/>
              </w:rPr>
              <w:t xml:space="preserve">) </w:t>
            </w:r>
          </w:p>
        </w:tc>
      </w:tr>
      <w:tr>
        <w:trPr>
          <w:trHeight w:hRule="exact" w:val="47"/>
        </w:trPr>
        <w:tc>
          <w:tcPr>
            <w:tcW w:type="dxa" w:w="3640"/>
            <w:vMerge w:val="restart"/>
            <w:tcBorders/>
            <w:tcMar>
              <w:start w:w="0" w:type="dxa"/>
              <w:end w:w="0" w:type="dxa"/>
            </w:tcMar>
            <w:tcMar>
              <w:start w:w="0" w:type="dxa"/>
              <w:end w:w="0" w:type="dxa"/>
            </w:tcMar>
          </w:tcPr>
          <w:p>
            <w:pPr>
              <w:autoSpaceDN w:val="0"/>
              <w:autoSpaceDE w:val="0"/>
              <w:widowControl/>
              <w:spacing w:line="200" w:lineRule="exact" w:before="66" w:after="0"/>
              <w:ind w:left="498" w:right="0" w:firstLine="0"/>
              <w:jc w:val="left"/>
            </w:pPr>
            <w:r>
              <w:rPr>
                <w:rFonts w:ascii="黑体" w:hAnsi="黑体" w:eastAsia="黑体"/>
                <w:b w:val="0"/>
                <w:i w:val="0"/>
                <w:color w:val="000000"/>
                <w:sz w:val="20"/>
              </w:rPr>
              <w:t>代理买卖证券业务</w:t>
            </w:r>
          </w:p>
        </w:tc>
        <w:tc>
          <w:tcPr>
            <w:tcW w:type="dxa" w:w="3006"/>
            <w:vMerge/>
            <w:tcBorders/>
          </w:tcPr>
          <w:p/>
        </w:tc>
        <w:tc>
          <w:tcPr>
            <w:tcW w:type="dxa" w:w="3006"/>
            <w:vMerge/>
            <w:tcBorders/>
          </w:tcPr>
          <w:p/>
        </w:tc>
      </w:tr>
      <w:tr>
        <w:trPr>
          <w:trHeight w:hRule="exact" w:val="263"/>
        </w:trPr>
        <w:tc>
          <w:tcPr>
            <w:tcW w:type="dxa" w:w="3006"/>
            <w:vMerge/>
            <w:tcBorders/>
          </w:tcPr>
          <w:p/>
        </w:tc>
        <w:tc>
          <w:tcPr>
            <w:tcW w:type="dxa" w:w="3240"/>
            <w:tcBorders/>
            <w:tcMar>
              <w:start w:w="0" w:type="dxa"/>
              <w:end w:w="0" w:type="dxa"/>
            </w:tcMar>
          </w:tcPr>
          <w:p>
            <w:pPr>
              <w:autoSpaceDN w:val="0"/>
              <w:autoSpaceDE w:val="0"/>
              <w:widowControl/>
              <w:spacing w:line="233" w:lineRule="auto" w:before="24" w:after="0"/>
              <w:ind w:left="0" w:right="392" w:firstLine="0"/>
              <w:jc w:val="right"/>
            </w:pPr>
            <w:r>
              <w:rPr>
                <w:rFonts w:ascii="Arial" w:hAnsi="Arial" w:eastAsia="Arial"/>
                <w:b w:val="0"/>
                <w:i w:val="0"/>
                <w:color w:val="000000"/>
                <w:sz w:val="20"/>
              </w:rPr>
              <w:t xml:space="preserve">(138,947,734) </w:t>
            </w:r>
          </w:p>
        </w:tc>
        <w:tc>
          <w:tcPr>
            <w:tcW w:type="dxa" w:w="1800"/>
            <w:tcBorders/>
            <w:tcMar>
              <w:start w:w="0" w:type="dxa"/>
              <w:end w:w="0" w:type="dxa"/>
            </w:tcMar>
          </w:tcPr>
          <w:p>
            <w:pPr>
              <w:autoSpaceDN w:val="0"/>
              <w:autoSpaceDE w:val="0"/>
              <w:widowControl/>
              <w:spacing w:line="233" w:lineRule="auto" w:before="2" w:after="0"/>
              <w:ind w:left="412" w:right="0" w:firstLine="0"/>
              <w:jc w:val="left"/>
            </w:pPr>
            <w:r>
              <w:rPr>
                <w:rFonts w:ascii="Arial" w:hAnsi="Arial" w:eastAsia="Arial"/>
                <w:b w:val="0"/>
                <w:i w:val="0"/>
                <w:color w:val="000000"/>
                <w:sz w:val="20"/>
              </w:rPr>
              <w:t xml:space="preserve">(113,847,336 </w:t>
            </w:r>
            <w:r>
              <w:rPr>
                <w:rFonts w:ascii="Arial" w:hAnsi="Arial" w:eastAsia="Arial"/>
                <w:b w:val="0"/>
                <w:i w:val="0"/>
                <w:color w:val="000000"/>
                <w:sz w:val="22"/>
              </w:rPr>
              <w:t xml:space="preserve">) </w:t>
            </w:r>
          </w:p>
        </w:tc>
      </w:tr>
    </w:tbl>
    <w:p>
      <w:pPr>
        <w:autoSpaceDN w:val="0"/>
        <w:autoSpaceDE w:val="0"/>
        <w:widowControl/>
        <w:spacing w:line="200" w:lineRule="exact" w:before="16" w:after="30"/>
        <w:ind w:left="358" w:right="0" w:firstLine="0"/>
        <w:jc w:val="left"/>
      </w:pPr>
      <w:r>
        <w:rPr>
          <w:rFonts w:ascii="黑体" w:hAnsi="黑体" w:eastAsia="黑体"/>
          <w:b w:val="0"/>
          <w:i w:val="0"/>
          <w:color w:val="000000"/>
          <w:sz w:val="20"/>
        </w:rPr>
        <w:t>投资银行业务净收入</w:t>
      </w:r>
    </w:p>
    <w:tbl>
      <w:tblPr>
        <w:tblW w:type="auto" w:w="0"/>
        <w:tblLayout w:type="fixed"/>
        <w:tblLook w:firstColumn="1" w:firstRow="1" w:lastColumn="0" w:lastRow="0" w:noHBand="0" w:noVBand="1" w:val="04A0"/>
        <w:tblInd w:w="260.0" w:type="dxa"/>
      </w:tblPr>
      <w:tblGrid>
        <w:gridCol w:w="3006"/>
        <w:gridCol w:w="3006"/>
        <w:gridCol w:w="3006"/>
      </w:tblGrid>
      <w:tr>
        <w:trPr>
          <w:trHeight w:hRule="exact" w:val="224"/>
        </w:trPr>
        <w:tc>
          <w:tcPr>
            <w:tcW w:type="dxa" w:w="3560"/>
            <w:tcBorders/>
            <w:tcMar>
              <w:start w:w="0" w:type="dxa"/>
              <w:end w:w="0" w:type="dxa"/>
            </w:tcMar>
          </w:tcPr>
          <w:p>
            <w:pPr>
              <w:autoSpaceDN w:val="0"/>
              <w:autoSpaceDE w:val="0"/>
              <w:widowControl/>
              <w:spacing w:line="198" w:lineRule="exact" w:before="26" w:after="0"/>
              <w:ind w:left="298" w:right="0" w:firstLine="0"/>
              <w:jc w:val="left"/>
            </w:pPr>
            <w:r>
              <w:rPr>
                <w:rFonts w:ascii="黑体" w:hAnsi="黑体" w:eastAsia="黑体"/>
                <w:b w:val="0"/>
                <w:i w:val="0"/>
                <w:color w:val="000000"/>
                <w:sz w:val="20"/>
              </w:rPr>
              <w:t>投资银行业务收入</w:t>
            </w:r>
          </w:p>
        </w:tc>
        <w:tc>
          <w:tcPr>
            <w:tcW w:type="dxa" w:w="3360"/>
            <w:vMerge w:val="restart"/>
            <w:tcBorders/>
            <w:tcMar>
              <w:start w:w="0" w:type="dxa"/>
              <w:end w:w="0" w:type="dxa"/>
            </w:tcMar>
            <w:tcMar>
              <w:start w:w="0" w:type="dxa"/>
              <w:end w:w="0" w:type="dxa"/>
            </w:tcMar>
          </w:tcPr>
          <w:p>
            <w:pPr>
              <w:autoSpaceDN w:val="0"/>
              <w:autoSpaceDE w:val="0"/>
              <w:widowControl/>
              <w:spacing w:line="233" w:lineRule="auto" w:before="32" w:after="0"/>
              <w:ind w:left="0" w:right="558" w:firstLine="0"/>
              <w:jc w:val="right"/>
            </w:pPr>
            <w:r>
              <w:rPr>
                <w:rFonts w:ascii="Arial" w:hAnsi="Arial" w:eastAsia="Arial"/>
                <w:b w:val="0"/>
                <w:i w:val="0"/>
                <w:color w:val="000000"/>
                <w:sz w:val="20"/>
              </w:rPr>
              <w:t>106,478,074</w:t>
            </w:r>
          </w:p>
        </w:tc>
        <w:tc>
          <w:tcPr>
            <w:tcW w:type="dxa" w:w="1760"/>
            <w:vMerge w:val="restart"/>
            <w:tcBorders/>
            <w:tcMar>
              <w:start w:w="0" w:type="dxa"/>
              <w:end w:w="0" w:type="dxa"/>
            </w:tcMar>
            <w:tcMar>
              <w:start w:w="0" w:type="dxa"/>
              <w:end w:w="0" w:type="dxa"/>
            </w:tcMar>
          </w:tcPr>
          <w:p>
            <w:pPr>
              <w:autoSpaceDN w:val="0"/>
              <w:autoSpaceDE w:val="0"/>
              <w:widowControl/>
              <w:spacing w:line="233" w:lineRule="auto" w:before="32" w:after="0"/>
              <w:ind w:left="440" w:right="0" w:firstLine="0"/>
              <w:jc w:val="left"/>
            </w:pPr>
            <w:r>
              <w:rPr>
                <w:rFonts w:ascii="Arial" w:hAnsi="Arial" w:eastAsia="Arial"/>
                <w:b w:val="0"/>
                <w:i w:val="0"/>
                <w:color w:val="000000"/>
                <w:sz w:val="20"/>
              </w:rPr>
              <w:t xml:space="preserve">220,009,557 </w:t>
            </w:r>
          </w:p>
        </w:tc>
      </w:tr>
      <w:tr>
        <w:trPr>
          <w:trHeight w:hRule="exact" w:val="48"/>
        </w:trPr>
        <w:tc>
          <w:tcPr>
            <w:tcW w:type="dxa" w:w="3560"/>
            <w:vMerge w:val="restart"/>
            <w:tcBorders/>
            <w:tcMar>
              <w:start w:w="0" w:type="dxa"/>
              <w:end w:w="0" w:type="dxa"/>
            </w:tcMar>
            <w:tcMar>
              <w:start w:w="0" w:type="dxa"/>
              <w:end w:w="0" w:type="dxa"/>
            </w:tcMar>
          </w:tcPr>
          <w:p>
            <w:pPr>
              <w:autoSpaceDN w:val="0"/>
              <w:autoSpaceDE w:val="0"/>
              <w:widowControl/>
              <w:spacing w:line="200" w:lineRule="exact" w:before="60" w:after="0"/>
              <w:ind w:left="498" w:right="0" w:firstLine="0"/>
              <w:jc w:val="left"/>
            </w:pPr>
            <w:r>
              <w:rPr>
                <w:rFonts w:ascii="黑体" w:hAnsi="黑体" w:eastAsia="黑体"/>
                <w:b w:val="0"/>
                <w:i w:val="0"/>
                <w:color w:val="000000"/>
                <w:sz w:val="20"/>
              </w:rPr>
              <w:t>证券承销业务</w:t>
            </w:r>
          </w:p>
        </w:tc>
        <w:tc>
          <w:tcPr>
            <w:tcW w:type="dxa" w:w="3006"/>
            <w:vMerge/>
            <w:tcBorders/>
          </w:tcPr>
          <w:p/>
        </w:tc>
        <w:tc>
          <w:tcPr>
            <w:tcW w:type="dxa" w:w="3006"/>
            <w:vMerge/>
            <w:tcBorders/>
          </w:tcPr>
          <w:p/>
        </w:tc>
      </w:tr>
      <w:tr>
        <w:trPr>
          <w:trHeight w:hRule="exact" w:val="212"/>
        </w:trPr>
        <w:tc>
          <w:tcPr>
            <w:tcW w:type="dxa" w:w="3006"/>
            <w:vMerge/>
            <w:tcBorders/>
          </w:tcPr>
          <w:p/>
        </w:tc>
        <w:tc>
          <w:tcPr>
            <w:tcW w:type="dxa" w:w="3360"/>
            <w:vMerge w:val="restart"/>
            <w:tcBorders/>
            <w:tcMar>
              <w:start w:w="0" w:type="dxa"/>
              <w:end w:w="0" w:type="dxa"/>
            </w:tcMar>
            <w:tcMar>
              <w:start w:w="0" w:type="dxa"/>
              <w:end w:w="0" w:type="dxa"/>
            </w:tcMar>
          </w:tcPr>
          <w:p>
            <w:pPr>
              <w:autoSpaceDN w:val="0"/>
              <w:autoSpaceDE w:val="0"/>
              <w:widowControl/>
              <w:spacing w:line="233" w:lineRule="auto" w:before="20" w:after="0"/>
              <w:ind w:left="0" w:right="558" w:firstLine="0"/>
              <w:jc w:val="right"/>
            </w:pPr>
            <w:r>
              <w:rPr>
                <w:rFonts w:ascii="Arial" w:hAnsi="Arial" w:eastAsia="Arial"/>
                <w:b w:val="0"/>
                <w:i w:val="0"/>
                <w:color w:val="000000"/>
                <w:sz w:val="20"/>
              </w:rPr>
              <w:t>60,114,981</w:t>
            </w:r>
          </w:p>
        </w:tc>
        <w:tc>
          <w:tcPr>
            <w:tcW w:type="dxa" w:w="1760"/>
            <w:vMerge w:val="restart"/>
            <w:tcBorders/>
            <w:tcMar>
              <w:start w:w="0" w:type="dxa"/>
              <w:end w:w="0" w:type="dxa"/>
            </w:tcMar>
            <w:tcMar>
              <w:start w:w="0" w:type="dxa"/>
              <w:end w:w="0" w:type="dxa"/>
            </w:tcMar>
          </w:tcPr>
          <w:p>
            <w:pPr>
              <w:autoSpaceDN w:val="0"/>
              <w:autoSpaceDE w:val="0"/>
              <w:widowControl/>
              <w:spacing w:line="233" w:lineRule="auto" w:before="20" w:after="0"/>
              <w:ind w:left="440" w:right="0" w:firstLine="0"/>
              <w:jc w:val="left"/>
            </w:pPr>
            <w:r>
              <w:rPr>
                <w:rFonts w:ascii="Arial" w:hAnsi="Arial" w:eastAsia="Arial"/>
                <w:b w:val="0"/>
                <w:i w:val="0"/>
                <w:color w:val="000000"/>
                <w:sz w:val="20"/>
              </w:rPr>
              <w:t xml:space="preserve">149,503,076 </w:t>
            </w:r>
          </w:p>
        </w:tc>
      </w:tr>
      <w:tr>
        <w:trPr>
          <w:trHeight w:hRule="exact" w:val="48"/>
        </w:trPr>
        <w:tc>
          <w:tcPr>
            <w:tcW w:type="dxa" w:w="3560"/>
            <w:vMerge w:val="restart"/>
            <w:tcBorders/>
            <w:tcMar>
              <w:start w:w="0" w:type="dxa"/>
              <w:end w:w="0" w:type="dxa"/>
            </w:tcMar>
            <w:tcMar>
              <w:start w:w="0" w:type="dxa"/>
              <w:end w:w="0" w:type="dxa"/>
            </w:tcMar>
          </w:tcPr>
          <w:p>
            <w:pPr>
              <w:autoSpaceDN w:val="0"/>
              <w:autoSpaceDE w:val="0"/>
              <w:widowControl/>
              <w:spacing w:line="198" w:lineRule="exact" w:before="64" w:after="0"/>
              <w:ind w:left="498" w:right="0" w:firstLine="0"/>
              <w:jc w:val="left"/>
            </w:pPr>
            <w:r>
              <w:rPr>
                <w:rFonts w:ascii="黑体" w:hAnsi="黑体" w:eastAsia="黑体"/>
                <w:b w:val="0"/>
                <w:i w:val="0"/>
                <w:color w:val="000000"/>
                <w:sz w:val="20"/>
              </w:rPr>
              <w:t>财务顾问业务</w:t>
            </w:r>
          </w:p>
        </w:tc>
        <w:tc>
          <w:tcPr>
            <w:tcW w:type="dxa" w:w="3006"/>
            <w:vMerge/>
            <w:tcBorders/>
          </w:tcPr>
          <w:p/>
        </w:tc>
        <w:tc>
          <w:tcPr>
            <w:tcW w:type="dxa" w:w="3006"/>
            <w:vMerge/>
            <w:tcBorders/>
          </w:tcPr>
          <w:p/>
        </w:tc>
      </w:tr>
      <w:tr>
        <w:trPr>
          <w:trHeight w:hRule="exact" w:val="245"/>
        </w:trPr>
        <w:tc>
          <w:tcPr>
            <w:tcW w:type="dxa" w:w="3006"/>
            <w:vMerge/>
            <w:tcBorders/>
          </w:tcPr>
          <w:p/>
        </w:tc>
        <w:tc>
          <w:tcPr>
            <w:tcW w:type="dxa" w:w="3360"/>
            <w:tcBorders/>
            <w:tcMar>
              <w:start w:w="0" w:type="dxa"/>
              <w:end w:w="0" w:type="dxa"/>
            </w:tcMar>
          </w:tcPr>
          <w:p>
            <w:pPr>
              <w:autoSpaceDN w:val="0"/>
              <w:autoSpaceDE w:val="0"/>
              <w:widowControl/>
              <w:spacing w:line="233" w:lineRule="auto" w:before="20" w:after="0"/>
              <w:ind w:left="0" w:right="558" w:firstLine="0"/>
              <w:jc w:val="right"/>
            </w:pPr>
            <w:r>
              <w:rPr>
                <w:rFonts w:ascii="Arial" w:hAnsi="Arial" w:eastAsia="Arial"/>
                <w:b w:val="0"/>
                <w:i w:val="0"/>
                <w:color w:val="000000"/>
                <w:sz w:val="20"/>
              </w:rPr>
              <w:t>46,363,093</w:t>
            </w:r>
          </w:p>
        </w:tc>
        <w:tc>
          <w:tcPr>
            <w:tcW w:type="dxa" w:w="1760"/>
            <w:tcBorders/>
            <w:tcMar>
              <w:start w:w="0" w:type="dxa"/>
              <w:end w:w="0" w:type="dxa"/>
            </w:tcMar>
          </w:tcPr>
          <w:p>
            <w:pPr>
              <w:autoSpaceDN w:val="0"/>
              <w:autoSpaceDE w:val="0"/>
              <w:widowControl/>
              <w:spacing w:line="233" w:lineRule="auto" w:before="20" w:after="0"/>
              <w:ind w:left="0" w:right="154" w:firstLine="0"/>
              <w:jc w:val="right"/>
            </w:pPr>
            <w:r>
              <w:rPr>
                <w:rFonts w:ascii="Arial" w:hAnsi="Arial" w:eastAsia="Arial"/>
                <w:b w:val="0"/>
                <w:i w:val="0"/>
                <w:color w:val="000000"/>
                <w:sz w:val="20"/>
              </w:rPr>
              <w:t xml:space="preserve">70,506,481 </w:t>
            </w:r>
          </w:p>
        </w:tc>
      </w:tr>
      <w:tr>
        <w:trPr>
          <w:trHeight w:hRule="exact" w:val="259"/>
        </w:trPr>
        <w:tc>
          <w:tcPr>
            <w:tcW w:type="dxa" w:w="3560"/>
            <w:tcBorders/>
            <w:tcMar>
              <w:start w:w="0" w:type="dxa"/>
              <w:end w:w="0" w:type="dxa"/>
            </w:tcMar>
          </w:tcPr>
          <w:p>
            <w:pPr>
              <w:autoSpaceDN w:val="0"/>
              <w:autoSpaceDE w:val="0"/>
              <w:widowControl/>
              <w:spacing w:line="200" w:lineRule="exact" w:before="28" w:after="0"/>
              <w:ind w:left="298" w:right="0" w:firstLine="0"/>
              <w:jc w:val="left"/>
            </w:pPr>
            <w:r>
              <w:rPr>
                <w:rFonts w:ascii="黑体" w:hAnsi="黑体" w:eastAsia="黑体"/>
                <w:b w:val="0"/>
                <w:i w:val="0"/>
                <w:color w:val="000000"/>
                <w:sz w:val="20"/>
              </w:rPr>
              <w:t>投资银行业务支出</w:t>
            </w:r>
          </w:p>
        </w:tc>
        <w:tc>
          <w:tcPr>
            <w:tcW w:type="dxa" w:w="3360"/>
            <w:tcBorders/>
            <w:tcMar>
              <w:start w:w="0" w:type="dxa"/>
              <w:end w:w="0" w:type="dxa"/>
            </w:tcMar>
          </w:tcPr>
          <w:p>
            <w:pPr>
              <w:autoSpaceDN w:val="0"/>
              <w:autoSpaceDE w:val="0"/>
              <w:widowControl/>
              <w:spacing w:line="233" w:lineRule="auto" w:before="34" w:after="0"/>
              <w:ind w:left="0" w:right="432" w:firstLine="0"/>
              <w:jc w:val="right"/>
            </w:pPr>
            <w:r>
              <w:rPr>
                <w:rFonts w:ascii="Arial" w:hAnsi="Arial" w:eastAsia="Arial"/>
                <w:b w:val="0"/>
                <w:i w:val="0"/>
                <w:color w:val="000000"/>
                <w:sz w:val="20"/>
              </w:rPr>
              <w:t xml:space="preserve">(1,301,887) </w:t>
            </w:r>
          </w:p>
        </w:tc>
        <w:tc>
          <w:tcPr>
            <w:tcW w:type="dxa" w:w="1760"/>
            <w:tcBorders/>
            <w:tcMar>
              <w:start w:w="0" w:type="dxa"/>
              <w:end w:w="0" w:type="dxa"/>
            </w:tcMar>
          </w:tcPr>
          <w:p>
            <w:pPr>
              <w:autoSpaceDN w:val="0"/>
              <w:autoSpaceDE w:val="0"/>
              <w:widowControl/>
              <w:spacing w:line="233" w:lineRule="auto" w:before="10" w:after="0"/>
              <w:ind w:left="0" w:right="72" w:firstLine="0"/>
              <w:jc w:val="right"/>
            </w:pPr>
            <w:r>
              <w:rPr>
                <w:rFonts w:ascii="Arial" w:hAnsi="Arial" w:eastAsia="Arial"/>
                <w:b w:val="0"/>
                <w:i w:val="0"/>
                <w:color w:val="000000"/>
                <w:sz w:val="20"/>
              </w:rPr>
              <w:t xml:space="preserve">(1,316,038 </w:t>
            </w:r>
            <w:r>
              <w:rPr>
                <w:rFonts w:ascii="Arial" w:hAnsi="Arial" w:eastAsia="Arial"/>
                <w:b w:val="0"/>
                <w:i w:val="0"/>
                <w:color w:val="000000"/>
                <w:sz w:val="22"/>
              </w:rPr>
              <w:t xml:space="preserve">) </w:t>
            </w:r>
          </w:p>
        </w:tc>
      </w:tr>
      <w:tr>
        <w:trPr>
          <w:trHeight w:hRule="exact" w:val="273"/>
        </w:trPr>
        <w:tc>
          <w:tcPr>
            <w:tcW w:type="dxa" w:w="3560"/>
            <w:tcBorders/>
            <w:tcMar>
              <w:start w:w="0" w:type="dxa"/>
              <w:end w:w="0" w:type="dxa"/>
            </w:tcMar>
          </w:tcPr>
          <w:p>
            <w:pPr>
              <w:autoSpaceDN w:val="0"/>
              <w:autoSpaceDE w:val="0"/>
              <w:widowControl/>
              <w:spacing w:line="200" w:lineRule="exact" w:before="30" w:after="0"/>
              <w:ind w:left="498" w:right="0" w:firstLine="0"/>
              <w:jc w:val="left"/>
            </w:pPr>
            <w:r>
              <w:rPr>
                <w:rFonts w:ascii="黑体" w:hAnsi="黑体" w:eastAsia="黑体"/>
                <w:b w:val="0"/>
                <w:i w:val="0"/>
                <w:color w:val="000000"/>
                <w:sz w:val="20"/>
              </w:rPr>
              <w:t>财务顾问业务</w:t>
            </w:r>
          </w:p>
        </w:tc>
        <w:tc>
          <w:tcPr>
            <w:tcW w:type="dxa" w:w="3360"/>
            <w:tcBorders/>
            <w:tcMar>
              <w:start w:w="0" w:type="dxa"/>
              <w:end w:w="0" w:type="dxa"/>
            </w:tcMar>
          </w:tcPr>
          <w:p>
            <w:pPr>
              <w:autoSpaceDN w:val="0"/>
              <w:autoSpaceDE w:val="0"/>
              <w:widowControl/>
              <w:spacing w:line="233" w:lineRule="auto" w:before="36" w:after="0"/>
              <w:ind w:left="0" w:right="432" w:firstLine="0"/>
              <w:jc w:val="right"/>
            </w:pPr>
            <w:r>
              <w:rPr>
                <w:rFonts w:ascii="Arial" w:hAnsi="Arial" w:eastAsia="Arial"/>
                <w:b w:val="0"/>
                <w:i w:val="0"/>
                <w:color w:val="000000"/>
                <w:sz w:val="20"/>
              </w:rPr>
              <w:t xml:space="preserve">(1,301,887) </w:t>
            </w:r>
          </w:p>
        </w:tc>
        <w:tc>
          <w:tcPr>
            <w:tcW w:type="dxa" w:w="1760"/>
            <w:tcBorders/>
            <w:tcMar>
              <w:start w:w="0" w:type="dxa"/>
              <w:end w:w="0" w:type="dxa"/>
            </w:tcMar>
          </w:tcPr>
          <w:p>
            <w:pPr>
              <w:autoSpaceDN w:val="0"/>
              <w:autoSpaceDE w:val="0"/>
              <w:widowControl/>
              <w:spacing w:line="235" w:lineRule="auto" w:before="10" w:after="0"/>
              <w:ind w:left="0" w:right="72" w:firstLine="0"/>
              <w:jc w:val="right"/>
            </w:pPr>
            <w:r>
              <w:rPr>
                <w:rFonts w:ascii="Arial" w:hAnsi="Arial" w:eastAsia="Arial"/>
                <w:b w:val="0"/>
                <w:i w:val="0"/>
                <w:color w:val="000000"/>
                <w:sz w:val="20"/>
              </w:rPr>
              <w:t xml:space="preserve">(1,316,038 </w:t>
            </w:r>
            <w:r>
              <w:rPr>
                <w:rFonts w:ascii="Arial" w:hAnsi="Arial" w:eastAsia="Arial"/>
                <w:b w:val="0"/>
                <w:i w:val="0"/>
                <w:color w:val="000000"/>
                <w:sz w:val="22"/>
              </w:rPr>
              <w:t xml:space="preserve">) </w:t>
            </w:r>
          </w:p>
        </w:tc>
      </w:tr>
    </w:tbl>
    <w:p>
      <w:pPr>
        <w:autoSpaceDN w:val="0"/>
        <w:autoSpaceDE w:val="0"/>
        <w:widowControl/>
        <w:spacing w:line="198" w:lineRule="exact" w:before="16" w:after="32"/>
        <w:ind w:left="358" w:right="0" w:firstLine="0"/>
        <w:jc w:val="left"/>
      </w:pPr>
      <w:r>
        <w:rPr>
          <w:rFonts w:ascii="黑体" w:hAnsi="黑体" w:eastAsia="黑体"/>
          <w:b w:val="0"/>
          <w:i w:val="0"/>
          <w:color w:val="000000"/>
          <w:sz w:val="20"/>
        </w:rPr>
        <w:t>资产管理业务净收入</w:t>
      </w:r>
    </w:p>
    <w:tbl>
      <w:tblPr>
        <w:tblW w:type="auto" w:w="0"/>
        <w:tblLayout w:type="fixed"/>
        <w:tblLook w:firstColumn="1" w:firstRow="1" w:lastColumn="0" w:lastRow="0" w:noHBand="0" w:noVBand="1" w:val="04A0"/>
        <w:tblInd w:w="260.0" w:type="dxa"/>
      </w:tblPr>
      <w:tblGrid>
        <w:gridCol w:w="3006"/>
        <w:gridCol w:w="3006"/>
        <w:gridCol w:w="3006"/>
      </w:tblGrid>
      <w:tr>
        <w:trPr>
          <w:trHeight w:hRule="exact" w:val="259"/>
        </w:trPr>
        <w:tc>
          <w:tcPr>
            <w:tcW w:type="dxa" w:w="3760"/>
            <w:tcBorders/>
            <w:tcMar>
              <w:start w:w="0" w:type="dxa"/>
              <w:end w:w="0" w:type="dxa"/>
            </w:tcMar>
          </w:tcPr>
          <w:p>
            <w:pPr>
              <w:autoSpaceDN w:val="0"/>
              <w:autoSpaceDE w:val="0"/>
              <w:widowControl/>
              <w:spacing w:line="200" w:lineRule="exact" w:before="30" w:after="0"/>
              <w:ind w:left="298" w:right="0" w:firstLine="0"/>
              <w:jc w:val="left"/>
            </w:pPr>
            <w:r>
              <w:rPr>
                <w:rFonts w:ascii="黑体" w:hAnsi="黑体" w:eastAsia="黑体"/>
                <w:b w:val="0"/>
                <w:i w:val="0"/>
                <w:color w:val="000000"/>
                <w:sz w:val="20"/>
              </w:rPr>
              <w:t>资产管理业务收入</w:t>
            </w:r>
          </w:p>
        </w:tc>
        <w:tc>
          <w:tcPr>
            <w:tcW w:type="dxa" w:w="3140"/>
            <w:tcBorders/>
            <w:tcMar>
              <w:start w:w="0" w:type="dxa"/>
              <w:end w:w="0" w:type="dxa"/>
            </w:tcMar>
          </w:tcPr>
          <w:p>
            <w:pPr>
              <w:autoSpaceDN w:val="0"/>
              <w:autoSpaceDE w:val="0"/>
              <w:widowControl/>
              <w:spacing w:line="233" w:lineRule="auto" w:before="34" w:after="0"/>
              <w:ind w:left="0" w:right="538" w:firstLine="0"/>
              <w:jc w:val="right"/>
            </w:pPr>
            <w:r>
              <w:rPr>
                <w:rFonts w:ascii="Arial" w:hAnsi="Arial" w:eastAsia="Arial"/>
                <w:b w:val="0"/>
                <w:i w:val="0"/>
                <w:color w:val="000000"/>
                <w:sz w:val="20"/>
              </w:rPr>
              <w:t>188,679</w:t>
            </w:r>
          </w:p>
        </w:tc>
        <w:tc>
          <w:tcPr>
            <w:tcW w:type="dxa" w:w="1780"/>
            <w:tcBorders/>
            <w:tcMar>
              <w:start w:w="0" w:type="dxa"/>
              <w:end w:w="0" w:type="dxa"/>
            </w:tcMar>
          </w:tcPr>
          <w:p>
            <w:pPr>
              <w:autoSpaceDN w:val="0"/>
              <w:autoSpaceDE w:val="0"/>
              <w:widowControl/>
              <w:spacing w:line="233" w:lineRule="auto" w:before="34" w:after="0"/>
              <w:ind w:left="0" w:right="154" w:firstLine="0"/>
              <w:jc w:val="right"/>
            </w:pPr>
            <w:r>
              <w:rPr>
                <w:rFonts w:ascii="Arial" w:hAnsi="Arial" w:eastAsia="Arial"/>
                <w:b w:val="0"/>
                <w:i w:val="0"/>
                <w:color w:val="000000"/>
                <w:sz w:val="20"/>
              </w:rPr>
              <w:t xml:space="preserve">77,028,871 </w:t>
            </w:r>
          </w:p>
        </w:tc>
      </w:tr>
      <w:tr>
        <w:trPr>
          <w:trHeight w:hRule="exact" w:val="272"/>
        </w:trPr>
        <w:tc>
          <w:tcPr>
            <w:tcW w:type="dxa" w:w="3760"/>
            <w:tcBorders/>
            <w:tcMar>
              <w:start w:w="0" w:type="dxa"/>
              <w:end w:w="0" w:type="dxa"/>
            </w:tcMar>
          </w:tcPr>
          <w:p>
            <w:pPr>
              <w:autoSpaceDN w:val="0"/>
              <w:autoSpaceDE w:val="0"/>
              <w:widowControl/>
              <w:spacing w:line="200" w:lineRule="exact" w:before="30" w:after="0"/>
              <w:ind w:left="298" w:right="0" w:firstLine="0"/>
              <w:jc w:val="left"/>
            </w:pPr>
            <w:r>
              <w:rPr>
                <w:rFonts w:ascii="黑体" w:hAnsi="黑体" w:eastAsia="黑体"/>
                <w:b w:val="0"/>
                <w:i w:val="0"/>
                <w:color w:val="000000"/>
                <w:sz w:val="20"/>
              </w:rPr>
              <w:t>资产管理业务支出</w:t>
            </w:r>
          </w:p>
        </w:tc>
        <w:tc>
          <w:tcPr>
            <w:tcW w:type="dxa" w:w="3140"/>
            <w:tcBorders/>
            <w:tcMar>
              <w:start w:w="0" w:type="dxa"/>
              <w:end w:w="0" w:type="dxa"/>
            </w:tcMar>
          </w:tcPr>
          <w:p>
            <w:pPr>
              <w:autoSpaceDN w:val="0"/>
              <w:autoSpaceDE w:val="0"/>
              <w:widowControl/>
              <w:spacing w:line="233" w:lineRule="auto" w:before="32" w:after="0"/>
              <w:ind w:left="0" w:right="536" w:firstLine="0"/>
              <w:jc w:val="right"/>
            </w:pPr>
            <w:r>
              <w:rPr>
                <w:rFonts w:ascii="Arial" w:hAnsi="Arial" w:eastAsia="Arial"/>
                <w:b w:val="0"/>
                <w:i w:val="0"/>
                <w:color w:val="000000"/>
                <w:sz w:val="20"/>
              </w:rPr>
              <w:t>-</w:t>
            </w:r>
          </w:p>
        </w:tc>
        <w:tc>
          <w:tcPr>
            <w:tcW w:type="dxa" w:w="1780"/>
            <w:tcBorders/>
            <w:tcMar>
              <w:start w:w="0" w:type="dxa"/>
              <w:end w:w="0" w:type="dxa"/>
            </w:tcMar>
          </w:tcPr>
          <w:p>
            <w:pPr>
              <w:autoSpaceDN w:val="0"/>
              <w:autoSpaceDE w:val="0"/>
              <w:widowControl/>
              <w:spacing w:line="233" w:lineRule="auto" w:before="8" w:after="0"/>
              <w:ind w:left="0" w:right="72" w:firstLine="0"/>
              <w:jc w:val="right"/>
            </w:pPr>
            <w:r>
              <w:rPr>
                <w:rFonts w:ascii="Arial" w:hAnsi="Arial" w:eastAsia="Arial"/>
                <w:b w:val="0"/>
                <w:i w:val="0"/>
                <w:color w:val="000000"/>
                <w:sz w:val="20"/>
              </w:rPr>
              <w:t xml:space="preserve">(4,510,609 </w:t>
            </w:r>
            <w:r>
              <w:rPr>
                <w:rFonts w:ascii="Arial" w:hAnsi="Arial" w:eastAsia="Arial"/>
                <w:b w:val="0"/>
                <w:i w:val="0"/>
                <w:color w:val="000000"/>
                <w:sz w:val="22"/>
              </w:rPr>
              <w:t xml:space="preserve">) </w:t>
            </w:r>
          </w:p>
        </w:tc>
      </w:tr>
    </w:tbl>
    <w:p>
      <w:pPr>
        <w:autoSpaceDN w:val="0"/>
        <w:autoSpaceDE w:val="0"/>
        <w:widowControl/>
        <w:spacing w:line="198" w:lineRule="exact" w:before="18" w:after="30"/>
        <w:ind w:left="358" w:right="0" w:firstLine="0"/>
        <w:jc w:val="left"/>
      </w:pPr>
      <w:r>
        <w:rPr>
          <w:rFonts w:ascii="黑体" w:hAnsi="黑体" w:eastAsia="黑体"/>
          <w:b w:val="0"/>
          <w:i w:val="0"/>
          <w:color w:val="000000"/>
          <w:sz w:val="20"/>
        </w:rPr>
        <w:t>基金管理业务</w:t>
      </w:r>
    </w:p>
    <w:tbl>
      <w:tblPr>
        <w:tblW w:type="auto" w:w="0"/>
        <w:tblLayout w:type="fixed"/>
        <w:tblLook w:firstColumn="1" w:firstRow="1" w:lastColumn="0" w:lastRow="0" w:noHBand="0" w:noVBand="1" w:val="04A0"/>
        <w:tblInd w:w="260.0" w:type="dxa"/>
      </w:tblPr>
      <w:tblGrid>
        <w:gridCol w:w="3006"/>
        <w:gridCol w:w="3006"/>
        <w:gridCol w:w="3006"/>
      </w:tblGrid>
      <w:tr>
        <w:trPr>
          <w:trHeight w:hRule="exact" w:val="260"/>
        </w:trPr>
        <w:tc>
          <w:tcPr>
            <w:tcW w:type="dxa" w:w="3560"/>
            <w:tcBorders/>
            <w:tcMar>
              <w:start w:w="0" w:type="dxa"/>
              <w:end w:w="0" w:type="dxa"/>
            </w:tcMar>
          </w:tcPr>
          <w:p>
            <w:pPr>
              <w:autoSpaceDN w:val="0"/>
              <w:autoSpaceDE w:val="0"/>
              <w:widowControl/>
              <w:spacing w:line="200" w:lineRule="exact" w:before="30" w:after="0"/>
              <w:ind w:left="298" w:right="0" w:firstLine="0"/>
              <w:jc w:val="left"/>
            </w:pPr>
            <w:r>
              <w:rPr>
                <w:rFonts w:ascii="黑体" w:hAnsi="黑体" w:eastAsia="黑体"/>
                <w:b w:val="0"/>
                <w:i w:val="0"/>
                <w:color w:val="000000"/>
                <w:sz w:val="20"/>
              </w:rPr>
              <w:t>基金管理业务收入</w:t>
            </w:r>
          </w:p>
        </w:tc>
        <w:tc>
          <w:tcPr>
            <w:tcW w:type="dxa" w:w="3360"/>
            <w:tcBorders/>
            <w:tcMar>
              <w:start w:w="0" w:type="dxa"/>
              <w:end w:w="0" w:type="dxa"/>
            </w:tcMar>
          </w:tcPr>
          <w:p>
            <w:pPr>
              <w:autoSpaceDN w:val="0"/>
              <w:autoSpaceDE w:val="0"/>
              <w:widowControl/>
              <w:spacing w:line="233" w:lineRule="auto" w:before="34" w:after="0"/>
              <w:ind w:left="0" w:right="558" w:firstLine="0"/>
              <w:jc w:val="right"/>
            </w:pPr>
            <w:r>
              <w:rPr>
                <w:rFonts w:ascii="Arial" w:hAnsi="Arial" w:eastAsia="Arial"/>
                <w:b w:val="0"/>
                <w:i w:val="0"/>
                <w:color w:val="000000"/>
                <w:sz w:val="20"/>
              </w:rPr>
              <w:t>130,605,400</w:t>
            </w:r>
          </w:p>
        </w:tc>
        <w:tc>
          <w:tcPr>
            <w:tcW w:type="dxa" w:w="1760"/>
            <w:tcBorders/>
            <w:tcMar>
              <w:start w:w="0" w:type="dxa"/>
              <w:end w:w="0" w:type="dxa"/>
            </w:tcMar>
          </w:tcPr>
          <w:p>
            <w:pPr>
              <w:autoSpaceDN w:val="0"/>
              <w:autoSpaceDE w:val="0"/>
              <w:widowControl/>
              <w:spacing w:line="233" w:lineRule="auto" w:before="34" w:after="0"/>
              <w:ind w:left="440" w:right="0" w:firstLine="0"/>
              <w:jc w:val="left"/>
            </w:pPr>
            <w:r>
              <w:rPr>
                <w:rFonts w:ascii="Arial" w:hAnsi="Arial" w:eastAsia="Arial"/>
                <w:b w:val="0"/>
                <w:i w:val="0"/>
                <w:color w:val="000000"/>
                <w:sz w:val="20"/>
              </w:rPr>
              <w:t xml:space="preserve">116,123,735 </w:t>
            </w:r>
          </w:p>
        </w:tc>
      </w:tr>
      <w:tr>
        <w:trPr>
          <w:trHeight w:hRule="exact" w:val="272"/>
        </w:trPr>
        <w:tc>
          <w:tcPr>
            <w:tcW w:type="dxa" w:w="3560"/>
            <w:tcBorders/>
            <w:tcMar>
              <w:start w:w="0" w:type="dxa"/>
              <w:end w:w="0" w:type="dxa"/>
            </w:tcMar>
          </w:tcPr>
          <w:p>
            <w:pPr>
              <w:autoSpaceDN w:val="0"/>
              <w:autoSpaceDE w:val="0"/>
              <w:widowControl/>
              <w:spacing w:line="200" w:lineRule="exact" w:before="30" w:after="0"/>
              <w:ind w:left="298" w:right="0" w:firstLine="0"/>
              <w:jc w:val="left"/>
            </w:pPr>
            <w:r>
              <w:rPr>
                <w:rFonts w:ascii="黑体" w:hAnsi="黑体" w:eastAsia="黑体"/>
                <w:b w:val="0"/>
                <w:i w:val="0"/>
                <w:color w:val="000000"/>
                <w:sz w:val="20"/>
              </w:rPr>
              <w:t>基金管理业务支出</w:t>
            </w:r>
          </w:p>
        </w:tc>
        <w:tc>
          <w:tcPr>
            <w:tcW w:type="dxa" w:w="3360"/>
            <w:tcBorders/>
            <w:tcMar>
              <w:start w:w="0" w:type="dxa"/>
              <w:end w:w="0" w:type="dxa"/>
            </w:tcMar>
          </w:tcPr>
          <w:p>
            <w:pPr>
              <w:autoSpaceDN w:val="0"/>
              <w:autoSpaceDE w:val="0"/>
              <w:widowControl/>
              <w:spacing w:line="233" w:lineRule="auto" w:before="32" w:after="0"/>
              <w:ind w:left="0" w:right="432" w:firstLine="0"/>
              <w:jc w:val="right"/>
            </w:pPr>
            <w:r>
              <w:rPr>
                <w:rFonts w:ascii="Arial" w:hAnsi="Arial" w:eastAsia="Arial"/>
                <w:b w:val="0"/>
                <w:i w:val="0"/>
                <w:color w:val="000000"/>
                <w:sz w:val="20"/>
              </w:rPr>
              <w:t xml:space="preserve">(19,276,228) </w:t>
            </w:r>
          </w:p>
        </w:tc>
        <w:tc>
          <w:tcPr>
            <w:tcW w:type="dxa" w:w="1760"/>
            <w:tcBorders/>
            <w:tcMar>
              <w:start w:w="0" w:type="dxa"/>
              <w:end w:w="0" w:type="dxa"/>
            </w:tcMar>
          </w:tcPr>
          <w:p>
            <w:pPr>
              <w:autoSpaceDN w:val="0"/>
              <w:autoSpaceDE w:val="0"/>
              <w:widowControl/>
              <w:spacing w:line="233" w:lineRule="auto" w:before="10" w:after="0"/>
              <w:ind w:left="0" w:right="72" w:firstLine="0"/>
              <w:jc w:val="right"/>
            </w:pPr>
            <w:r>
              <w:rPr>
                <w:rFonts w:ascii="Arial" w:hAnsi="Arial" w:eastAsia="Arial"/>
                <w:b w:val="0"/>
                <w:i w:val="0"/>
                <w:color w:val="000000"/>
                <w:sz w:val="20"/>
              </w:rPr>
              <w:t xml:space="preserve">(18,604,949 </w:t>
            </w:r>
            <w:r>
              <w:rPr>
                <w:rFonts w:ascii="Arial" w:hAnsi="Arial" w:eastAsia="Arial"/>
                <w:b w:val="0"/>
                <w:i w:val="0"/>
                <w:color w:val="000000"/>
                <w:sz w:val="22"/>
              </w:rPr>
              <w:t xml:space="preserve">) </w:t>
            </w:r>
          </w:p>
        </w:tc>
      </w:tr>
    </w:tbl>
    <w:p>
      <w:pPr>
        <w:autoSpaceDN w:val="0"/>
        <w:autoSpaceDE w:val="0"/>
        <w:widowControl/>
        <w:spacing w:line="198" w:lineRule="exact" w:before="18" w:after="30"/>
        <w:ind w:left="358" w:right="0" w:firstLine="0"/>
        <w:jc w:val="left"/>
      </w:pPr>
      <w:r>
        <w:rPr>
          <w:rFonts w:ascii="黑体" w:hAnsi="黑体" w:eastAsia="黑体"/>
          <w:b w:val="0"/>
          <w:i w:val="0"/>
          <w:color w:val="000000"/>
          <w:sz w:val="20"/>
        </w:rPr>
        <w:t>投资咨询业务</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264"/>
        </w:trPr>
        <w:tc>
          <w:tcPr>
            <w:tcW w:type="dxa" w:w="4616"/>
            <w:tcBorders>
              <w:bottom w:sz="3.200000000000273" w:val="single" w:color="#000000"/>
            </w:tcBorders>
            <w:tcMar>
              <w:start w:w="0" w:type="dxa"/>
              <w:end w:w="0" w:type="dxa"/>
            </w:tcMar>
          </w:tcPr>
          <w:p>
            <w:pPr>
              <w:autoSpaceDN w:val="0"/>
              <w:autoSpaceDE w:val="0"/>
              <w:widowControl/>
              <w:spacing w:line="200" w:lineRule="exact" w:before="30" w:after="0"/>
              <w:ind w:left="398" w:right="0" w:firstLine="0"/>
              <w:jc w:val="left"/>
            </w:pPr>
            <w:r>
              <w:rPr>
                <w:rFonts w:ascii="黑体" w:hAnsi="黑体" w:eastAsia="黑体"/>
                <w:b w:val="0"/>
                <w:i w:val="0"/>
                <w:color w:val="000000"/>
                <w:sz w:val="20"/>
              </w:rPr>
              <w:t>投资咨询业务收入</w:t>
            </w:r>
          </w:p>
        </w:tc>
        <w:tc>
          <w:tcPr>
            <w:tcW w:type="dxa" w:w="1850"/>
            <w:tcBorders>
              <w:bottom w:sz="3.200000000000273" w:val="single" w:color="#000000"/>
            </w:tcBorders>
            <w:tcMar>
              <w:start w:w="0" w:type="dxa"/>
              <w:end w:w="0" w:type="dxa"/>
            </w:tcMar>
          </w:tcPr>
          <w:p>
            <w:pPr>
              <w:autoSpaceDN w:val="0"/>
              <w:autoSpaceDE w:val="0"/>
              <w:widowControl/>
              <w:spacing w:line="233" w:lineRule="auto" w:before="34" w:after="0"/>
              <w:ind w:left="0" w:right="4" w:firstLine="0"/>
              <w:jc w:val="right"/>
            </w:pPr>
            <w:r>
              <w:rPr>
                <w:rFonts w:ascii="Arial" w:hAnsi="Arial" w:eastAsia="Arial"/>
                <w:b w:val="0"/>
                <w:i w:val="0"/>
                <w:color w:val="000000"/>
                <w:sz w:val="20"/>
              </w:rPr>
              <w:t>69,300,858</w:t>
            </w:r>
          </w:p>
        </w:tc>
        <w:tc>
          <w:tcPr>
            <w:tcW w:type="dxa" w:w="2274"/>
            <w:tcBorders>
              <w:bottom w:sz="3.200000000000273" w:val="single" w:color="#000000"/>
            </w:tcBorders>
            <w:tcMar>
              <w:start w:w="0" w:type="dxa"/>
              <w:end w:w="0" w:type="dxa"/>
            </w:tcMar>
          </w:tcPr>
          <w:p>
            <w:pPr>
              <w:autoSpaceDN w:val="0"/>
              <w:autoSpaceDE w:val="0"/>
              <w:widowControl/>
              <w:spacing w:line="233" w:lineRule="auto" w:before="34" w:after="0"/>
              <w:ind w:left="0" w:right="114" w:firstLine="0"/>
              <w:jc w:val="right"/>
            </w:pPr>
            <w:r>
              <w:rPr>
                <w:rFonts w:ascii="Arial" w:hAnsi="Arial" w:eastAsia="Arial"/>
                <w:b w:val="0"/>
                <w:i w:val="0"/>
                <w:color w:val="000000"/>
                <w:sz w:val="20"/>
              </w:rPr>
              <w:t xml:space="preserve">28,818,400 </w:t>
            </w:r>
          </w:p>
        </w:tc>
      </w:tr>
      <w:tr>
        <w:trPr>
          <w:trHeight w:hRule="exact" w:val="500"/>
        </w:trPr>
        <w:tc>
          <w:tcPr>
            <w:tcW w:type="dxa" w:w="4616"/>
            <w:tcBorders>
              <w:top w:sz="3.200000000000273" w:val="single" w:color="#000000"/>
              <w:bottom w:sz="4.0" w:val="single" w:color="#000000"/>
            </w:tcBorders>
            <w:tcMar>
              <w:start w:w="0" w:type="dxa"/>
              <w:end w:w="0" w:type="dxa"/>
            </w:tcMar>
          </w:tcPr>
          <w:p>
            <w:pPr>
              <w:autoSpaceDN w:val="0"/>
              <w:autoSpaceDE w:val="0"/>
              <w:widowControl/>
              <w:spacing w:line="198" w:lineRule="exact" w:before="262" w:after="0"/>
              <w:ind w:left="198" w:right="0" w:firstLine="0"/>
              <w:jc w:val="left"/>
            </w:pPr>
            <w:r>
              <w:rPr>
                <w:rFonts w:ascii="黑体" w:hAnsi="黑体" w:eastAsia="黑体"/>
                <w:b w:val="0"/>
                <w:i w:val="0"/>
                <w:color w:val="000000"/>
                <w:sz w:val="20"/>
              </w:rPr>
              <w:t>合计</w:t>
            </w:r>
          </w:p>
        </w:tc>
        <w:tc>
          <w:tcPr>
            <w:tcW w:type="dxa" w:w="1850"/>
            <w:tcBorders>
              <w:top w:sz="3.200000000000273" w:val="single" w:color="#000000"/>
              <w:bottom w:sz="4.0" w:val="single" w:color="#000000"/>
            </w:tcBorders>
            <w:tcMar>
              <w:start w:w="0" w:type="dxa"/>
              <w:end w:w="0" w:type="dxa"/>
            </w:tcMar>
          </w:tcPr>
          <w:p>
            <w:pPr>
              <w:autoSpaceDN w:val="0"/>
              <w:autoSpaceDE w:val="0"/>
              <w:widowControl/>
              <w:spacing w:line="233" w:lineRule="auto" w:before="264" w:after="0"/>
              <w:ind w:left="0" w:right="4" w:firstLine="0"/>
              <w:jc w:val="right"/>
            </w:pPr>
            <w:r>
              <w:rPr>
                <w:rFonts w:ascii="Arial" w:hAnsi="Arial" w:eastAsia="Arial"/>
                <w:b w:val="0"/>
                <w:i w:val="0"/>
                <w:color w:val="000000"/>
                <w:sz w:val="20"/>
              </w:rPr>
              <w:t>880,537,206</w:t>
            </w:r>
          </w:p>
        </w:tc>
        <w:tc>
          <w:tcPr>
            <w:tcW w:type="dxa" w:w="2274"/>
            <w:tcBorders>
              <w:top w:sz="3.200000000000273" w:val="single" w:color="#000000"/>
              <w:bottom w:sz="4.0" w:val="single" w:color="#000000"/>
            </w:tcBorders>
            <w:tcMar>
              <w:start w:w="0" w:type="dxa"/>
              <w:end w:w="0" w:type="dxa"/>
            </w:tcMar>
          </w:tcPr>
          <w:p>
            <w:pPr>
              <w:autoSpaceDN w:val="0"/>
              <w:autoSpaceDE w:val="0"/>
              <w:widowControl/>
              <w:spacing w:line="233" w:lineRule="auto" w:before="264" w:after="0"/>
              <w:ind w:left="0" w:right="114" w:firstLine="0"/>
              <w:jc w:val="right"/>
            </w:pPr>
            <w:r>
              <w:rPr>
                <w:rFonts w:ascii="Arial" w:hAnsi="Arial" w:eastAsia="Arial"/>
                <w:b w:val="0"/>
                <w:i w:val="0"/>
                <w:color w:val="000000"/>
                <w:sz w:val="20"/>
              </w:rPr>
              <w:t xml:space="preserve">873,427,963 </w:t>
            </w:r>
          </w:p>
        </w:tc>
      </w:tr>
      <w:tr>
        <w:trPr>
          <w:trHeight w:hRule="exact" w:val="50"/>
        </w:trPr>
        <w:tc>
          <w:tcPr>
            <w:tcW w:type="dxa" w:w="4616"/>
            <w:tcBorders>
              <w:top w:sz="4.0" w:val="single" w:color="#000000"/>
            </w:tcBorders>
            <w:tcMar>
              <w:start w:w="0" w:type="dxa"/>
              <w:end w:w="0" w:type="dxa"/>
            </w:tcMar>
          </w:tcPr>
          <w:p/>
        </w:tc>
        <w:tc>
          <w:tcPr>
            <w:tcW w:type="dxa" w:w="1850"/>
            <w:tcBorders>
              <w:top w:sz="4.0" w:val="single" w:color="#000000"/>
            </w:tcBorders>
            <w:tcMar>
              <w:start w:w="0" w:type="dxa"/>
              <w:end w:w="0" w:type="dxa"/>
            </w:tcMar>
          </w:tcPr>
          <w:p/>
        </w:tc>
        <w:tc>
          <w:tcPr>
            <w:tcW w:type="dxa" w:w="2274"/>
            <w:tcBorders>
              <w:top w:sz="4.0" w:val="single" w:color="#000000"/>
            </w:tcBorders>
            <w:tcMar>
              <w:start w:w="0" w:type="dxa"/>
              <w:end w:w="0" w:type="dxa"/>
            </w:tcMar>
          </w:tcPr>
          <w:p/>
        </w:tc>
      </w:tr>
    </w:tbl>
    <w:p>
      <w:pPr>
        <w:autoSpaceDN w:val="0"/>
        <w:autoSpaceDE w:val="0"/>
        <w:widowControl/>
        <w:spacing w:line="233" w:lineRule="auto" w:before="6416" w:after="0"/>
        <w:ind w:left="0" w:right="0" w:firstLine="0"/>
        <w:jc w:val="center"/>
      </w:pPr>
      <w:r>
        <w:rPr>
          <w:rFonts w:ascii="Arial" w:hAnsi="Arial" w:eastAsia="Arial"/>
          <w:b w:val="0"/>
          <w:i w:val="0"/>
          <w:color w:val="000000"/>
          <w:sz w:val="20"/>
        </w:rPr>
        <w:t xml:space="preserve">309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246"/>
        <w:ind w:left="358" w:right="0" w:firstLine="0"/>
        <w:jc w:val="left"/>
      </w:pPr>
      <w:r>
        <w:rPr>
          <w:rFonts w:ascii="黑体" w:hAnsi="黑体" w:eastAsia="黑体"/>
          <w:b w:val="0"/>
          <w:i w:val="0"/>
          <w:color w:val="000000"/>
          <w:sz w:val="22"/>
        </w:rPr>
        <w:t>十八、公司财务报表附注（续）</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978"/>
        </w:trPr>
        <w:tc>
          <w:tcPr>
            <w:tcW w:type="dxa" w:w="640"/>
            <w:tcBorders/>
            <w:tcMar>
              <w:start w:w="0" w:type="dxa"/>
              <w:end w:w="0" w:type="dxa"/>
            </w:tcMar>
          </w:tcPr>
          <w:p>
            <w:pPr>
              <w:autoSpaceDN w:val="0"/>
              <w:autoSpaceDE w:val="0"/>
              <w:widowControl/>
              <w:spacing w:line="248" w:lineRule="exact" w:before="60" w:after="0"/>
              <w:ind w:left="0" w:right="0" w:firstLine="0"/>
              <w:jc w:val="center"/>
            </w:pPr>
            <w:r>
              <w:rPr>
                <w:rFonts w:ascii="Arial,Bold" w:hAnsi="Arial,Bold" w:eastAsia="Arial,Bold"/>
                <w:b/>
                <w:i w:val="0"/>
                <w:color w:val="000000"/>
                <w:sz w:val="22"/>
              </w:rPr>
              <w:t xml:space="preserve">5. </w:t>
            </w:r>
          </w:p>
        </w:tc>
        <w:tc>
          <w:tcPr>
            <w:tcW w:type="dxa" w:w="3940"/>
            <w:tcBorders/>
            <w:tcMar>
              <w:start w:w="0" w:type="dxa"/>
              <w:end w:w="0" w:type="dxa"/>
            </w:tcMar>
          </w:tcPr>
          <w:p>
            <w:pPr>
              <w:autoSpaceDN w:val="0"/>
              <w:autoSpaceDE w:val="0"/>
              <w:widowControl/>
              <w:spacing w:line="220" w:lineRule="exact" w:before="72" w:after="0"/>
              <w:ind w:left="230" w:right="0" w:firstLine="0"/>
              <w:jc w:val="left"/>
            </w:pPr>
            <w:r>
              <w:rPr>
                <w:rFonts w:ascii="黑体" w:hAnsi="黑体" w:eastAsia="黑体"/>
                <w:b w:val="0"/>
                <w:i w:val="0"/>
                <w:color w:val="000000"/>
                <w:sz w:val="22"/>
              </w:rPr>
              <w:t>投资收益</w:t>
            </w:r>
          </w:p>
        </w:tc>
        <w:tc>
          <w:tcPr>
            <w:tcW w:type="dxa" w:w="2340"/>
            <w:tcBorders/>
            <w:tcMar>
              <w:start w:w="0" w:type="dxa"/>
              <w:end w:w="0" w:type="dxa"/>
            </w:tcMar>
          </w:tcPr>
          <w:p>
            <w:pPr>
              <w:autoSpaceDN w:val="0"/>
              <w:autoSpaceDE w:val="0"/>
              <w:widowControl/>
              <w:spacing w:line="246" w:lineRule="exact" w:before="598" w:after="0"/>
              <w:ind w:left="0" w:right="484"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760"/>
            <w:tcBorders/>
            <w:tcMar>
              <w:start w:w="0" w:type="dxa"/>
              <w:end w:w="0" w:type="dxa"/>
            </w:tcMar>
          </w:tcPr>
          <w:p>
            <w:pPr>
              <w:autoSpaceDN w:val="0"/>
              <w:autoSpaceDE w:val="0"/>
              <w:widowControl/>
              <w:spacing w:line="246" w:lineRule="exact" w:before="598" w:after="0"/>
              <w:ind w:left="0" w:right="14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40"/>
        </w:trPr>
        <w:tc>
          <w:tcPr>
            <w:tcW w:type="dxa" w:w="4580"/>
            <w:gridSpan w:val="2"/>
            <w:tcBorders/>
            <w:tcMar>
              <w:start w:w="0" w:type="dxa"/>
              <w:end w:w="0" w:type="dxa"/>
            </w:tcMar>
            <w:tcMar>
              <w:start w:w="0" w:type="dxa"/>
              <w:end w:w="0" w:type="dxa"/>
            </w:tcMar>
          </w:tcPr>
          <w:p>
            <w:pPr>
              <w:autoSpaceDN w:val="0"/>
              <w:autoSpaceDE w:val="0"/>
              <w:widowControl/>
              <w:spacing w:line="246" w:lineRule="exact" w:before="160" w:after="0"/>
              <w:ind w:left="198" w:right="0" w:firstLine="0"/>
              <w:jc w:val="left"/>
            </w:pPr>
            <w:r>
              <w:rPr>
                <w:rFonts w:ascii="黑体" w:hAnsi="黑体" w:eastAsia="黑体"/>
                <w:b w:val="0"/>
                <w:i w:val="0"/>
                <w:color w:val="000000"/>
                <w:sz w:val="22"/>
              </w:rPr>
              <w:t>成本法核算的长期股权投资收益（</w:t>
            </w:r>
            <w:r>
              <w:rPr>
                <w:rFonts w:ascii="Arial" w:hAnsi="Arial" w:eastAsia="Arial"/>
                <w:b w:val="0"/>
                <w:i w:val="0"/>
                <w:color w:val="000000"/>
                <w:sz w:val="22"/>
              </w:rPr>
              <w:t>a</w:t>
            </w:r>
            <w:r>
              <w:rPr>
                <w:rFonts w:ascii="黑体" w:hAnsi="黑体" w:eastAsia="黑体"/>
                <w:b w:val="0"/>
                <w:i w:val="0"/>
                <w:color w:val="000000"/>
                <w:sz w:val="22"/>
              </w:rPr>
              <w:t>）</w:t>
            </w:r>
          </w:p>
        </w:tc>
        <w:tc>
          <w:tcPr>
            <w:tcW w:type="dxa" w:w="2340"/>
            <w:tcBorders/>
            <w:tcMar>
              <w:start w:w="0" w:type="dxa"/>
              <w:end w:w="0" w:type="dxa"/>
            </w:tcMar>
          </w:tcPr>
          <w:p>
            <w:pPr>
              <w:autoSpaceDN w:val="0"/>
              <w:autoSpaceDE w:val="0"/>
              <w:widowControl/>
              <w:spacing w:line="233" w:lineRule="auto" w:before="178" w:after="0"/>
              <w:ind w:left="0" w:right="480" w:firstLine="0"/>
              <w:jc w:val="right"/>
            </w:pPr>
            <w:r>
              <w:rPr>
                <w:rFonts w:ascii="Arial" w:hAnsi="Arial" w:eastAsia="Arial"/>
                <w:b w:val="0"/>
                <w:i w:val="0"/>
                <w:color w:val="000000"/>
                <w:sz w:val="22"/>
              </w:rPr>
              <w:t>50,000,000</w:t>
            </w:r>
          </w:p>
        </w:tc>
        <w:tc>
          <w:tcPr>
            <w:tcW w:type="dxa" w:w="1760"/>
            <w:tcBorders/>
            <w:tcMar>
              <w:start w:w="0" w:type="dxa"/>
              <w:end w:w="0" w:type="dxa"/>
            </w:tcMar>
          </w:tcPr>
          <w:p>
            <w:pPr>
              <w:autoSpaceDN w:val="0"/>
              <w:autoSpaceDE w:val="0"/>
              <w:widowControl/>
              <w:spacing w:line="233" w:lineRule="auto" w:before="178" w:after="0"/>
              <w:ind w:left="0" w:right="144" w:firstLine="0"/>
              <w:jc w:val="right"/>
            </w:pPr>
            <w:r>
              <w:rPr>
                <w:rFonts w:ascii="Arial" w:hAnsi="Arial" w:eastAsia="Arial"/>
                <w:b w:val="0"/>
                <w:i w:val="0"/>
                <w:color w:val="000000"/>
                <w:sz w:val="22"/>
              </w:rPr>
              <w:t>50,000,000</w:t>
            </w:r>
          </w:p>
        </w:tc>
      </w:tr>
    </w:tbl>
    <w:p>
      <w:pPr>
        <w:autoSpaceDN w:val="0"/>
        <w:autoSpaceDE w:val="0"/>
        <w:widowControl/>
        <w:spacing w:line="222" w:lineRule="exact" w:before="16" w:after="30"/>
        <w:ind w:left="358" w:right="0" w:firstLine="0"/>
        <w:jc w:val="left"/>
      </w:pPr>
      <w:r>
        <w:rPr>
          <w:rFonts w:ascii="黑体" w:hAnsi="黑体" w:eastAsia="黑体"/>
          <w:b w:val="0"/>
          <w:i w:val="0"/>
          <w:color w:val="000000"/>
          <w:sz w:val="22"/>
        </w:rPr>
        <w:t>金融工具投资收益</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252"/>
        </w:trPr>
        <w:tc>
          <w:tcPr>
            <w:tcW w:type="dxa" w:w="4564"/>
            <w:tcBorders/>
            <w:tcMar>
              <w:start w:w="0" w:type="dxa"/>
              <w:end w:w="0" w:type="dxa"/>
            </w:tcMar>
          </w:tcPr>
          <w:p>
            <w:pPr>
              <w:autoSpaceDN w:val="0"/>
              <w:autoSpaceDE w:val="0"/>
              <w:widowControl/>
              <w:spacing w:line="220" w:lineRule="exact" w:before="32" w:after="0"/>
              <w:ind w:left="418" w:right="0" w:firstLine="0"/>
              <w:jc w:val="left"/>
            </w:pPr>
            <w:r>
              <w:rPr>
                <w:rFonts w:ascii="黑体" w:hAnsi="黑体" w:eastAsia="黑体"/>
                <w:b w:val="0"/>
                <w:i w:val="0"/>
                <w:color w:val="000000"/>
                <w:sz w:val="22"/>
              </w:rPr>
              <w:t>其中：持有期间取得的收益</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40" w:after="0"/>
              <w:ind w:left="0" w:right="222" w:firstLine="0"/>
              <w:jc w:val="right"/>
            </w:pPr>
            <w:r>
              <w:rPr>
                <w:rFonts w:ascii="Arial" w:hAnsi="Arial" w:eastAsia="Arial"/>
                <w:b w:val="0"/>
                <w:i w:val="0"/>
                <w:color w:val="000000"/>
                <w:sz w:val="22"/>
              </w:rPr>
              <w:t>648,848,515</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40" w:after="0"/>
              <w:ind w:left="464" w:right="0" w:firstLine="0"/>
              <w:jc w:val="left"/>
            </w:pPr>
            <w:r>
              <w:rPr>
                <w:rFonts w:ascii="Arial" w:hAnsi="Arial" w:eastAsia="Arial"/>
                <w:b w:val="0"/>
                <w:i w:val="0"/>
                <w:color w:val="000000"/>
                <w:sz w:val="22"/>
              </w:rPr>
              <w:t>1,086,097,948</w:t>
            </w:r>
          </w:p>
        </w:tc>
      </w:tr>
      <w:tr>
        <w:trPr>
          <w:trHeight w:hRule="exact" w:val="54"/>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0" w:right="1064" w:firstLine="0"/>
              <w:jc w:val="right"/>
            </w:pPr>
            <w:r>
              <w:rPr>
                <w:rFonts w:ascii="黑体" w:hAnsi="黑体" w:eastAsia="黑体"/>
                <w:b w:val="0"/>
                <w:i w:val="0"/>
                <w:color w:val="000000"/>
                <w:sz w:val="22"/>
              </w:rPr>
              <w:t>其中：交易性金融工具</w:t>
            </w:r>
          </w:p>
        </w:tc>
        <w:tc>
          <w:tcPr>
            <w:tcW w:type="dxa" w:w="3006"/>
            <w:vMerge/>
            <w:tcBorders/>
          </w:tcPr>
          <w:p/>
        </w:tc>
        <w:tc>
          <w:tcPr>
            <w:tcW w:type="dxa" w:w="3006"/>
            <w:vMerge/>
            <w:tcBorders/>
          </w:tcPr>
          <w:p/>
        </w:tc>
      </w:tr>
      <w:tr>
        <w:trPr>
          <w:trHeight w:hRule="exact" w:val="246"/>
        </w:trPr>
        <w:tc>
          <w:tcPr>
            <w:tcW w:type="dxa" w:w="3006"/>
            <w:vMerge/>
            <w:tcBorders/>
          </w:tcPr>
          <w:p/>
        </w:tc>
        <w:tc>
          <w:tcPr>
            <w:tcW w:type="dxa" w:w="2098"/>
            <w:tcBorders/>
            <w:tcMar>
              <w:start w:w="0" w:type="dxa"/>
              <w:end w:w="0" w:type="dxa"/>
            </w:tcMar>
          </w:tcPr>
          <w:p>
            <w:pPr>
              <w:autoSpaceDN w:val="0"/>
              <w:autoSpaceDE w:val="0"/>
              <w:widowControl/>
              <w:spacing w:line="233" w:lineRule="auto" w:before="0" w:after="0"/>
              <w:ind w:left="0" w:right="222" w:firstLine="0"/>
              <w:jc w:val="right"/>
            </w:pPr>
            <w:r>
              <w:rPr>
                <w:rFonts w:ascii="Arial" w:hAnsi="Arial" w:eastAsia="Arial"/>
                <w:b w:val="0"/>
                <w:i w:val="0"/>
                <w:color w:val="000000"/>
                <w:sz w:val="22"/>
              </w:rPr>
              <w:t>651,752,942</w:t>
            </w:r>
          </w:p>
        </w:tc>
        <w:tc>
          <w:tcPr>
            <w:tcW w:type="dxa" w:w="2098"/>
            <w:tcBorders/>
            <w:tcMar>
              <w:start w:w="0" w:type="dxa"/>
              <w:end w:w="0" w:type="dxa"/>
            </w:tcMar>
          </w:tcPr>
          <w:p>
            <w:pPr>
              <w:autoSpaceDN w:val="0"/>
              <w:autoSpaceDE w:val="0"/>
              <w:widowControl/>
              <w:spacing w:line="233" w:lineRule="auto" w:before="0" w:after="0"/>
              <w:ind w:left="464" w:right="0" w:firstLine="0"/>
              <w:jc w:val="left"/>
            </w:pPr>
            <w:r>
              <w:rPr>
                <w:rFonts w:ascii="Arial" w:hAnsi="Arial" w:eastAsia="Arial"/>
                <w:b w:val="0"/>
                <w:i w:val="0"/>
                <w:color w:val="000000"/>
                <w:sz w:val="22"/>
              </w:rPr>
              <w:t>1,089,752,296</w:t>
            </w:r>
          </w:p>
        </w:tc>
      </w:tr>
      <w:tr>
        <w:trPr>
          <w:trHeight w:hRule="exact" w:val="280"/>
        </w:trPr>
        <w:tc>
          <w:tcPr>
            <w:tcW w:type="dxa" w:w="4564"/>
            <w:tcBorders/>
            <w:tcMar>
              <w:start w:w="0" w:type="dxa"/>
              <w:end w:w="0" w:type="dxa"/>
            </w:tcMar>
          </w:tcPr>
          <w:p>
            <w:pPr>
              <w:autoSpaceDN w:val="0"/>
              <w:autoSpaceDE w:val="0"/>
              <w:widowControl/>
              <w:spacing w:line="220" w:lineRule="exact" w:before="52" w:after="0"/>
              <w:ind w:left="0" w:right="844" w:firstLine="0"/>
              <w:jc w:val="right"/>
            </w:pPr>
            <w:r>
              <w:rPr>
                <w:rFonts w:ascii="黑体" w:hAnsi="黑体" w:eastAsia="黑体"/>
                <w:b w:val="0"/>
                <w:i w:val="0"/>
                <w:color w:val="000000"/>
                <w:sz w:val="22"/>
              </w:rPr>
              <w:t>其他权益工具投资</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24,667</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4" w:firstLine="0"/>
              <w:jc w:val="right"/>
            </w:pPr>
            <w:r>
              <w:rPr>
                <w:rFonts w:ascii="Arial" w:hAnsi="Arial" w:eastAsia="Arial"/>
                <w:b w:val="0"/>
                <w:i w:val="0"/>
                <w:color w:val="000000"/>
                <w:sz w:val="22"/>
              </w:rPr>
              <w:t>23,979</w:t>
            </w:r>
          </w:p>
        </w:tc>
      </w:tr>
      <w:tr>
        <w:trPr>
          <w:trHeight w:hRule="exact" w:val="46"/>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6" w:after="0"/>
              <w:ind w:left="0" w:right="1284" w:firstLine="0"/>
              <w:jc w:val="right"/>
            </w:pPr>
            <w:r>
              <w:rPr>
                <w:rFonts w:ascii="黑体" w:hAnsi="黑体" w:eastAsia="黑体"/>
                <w:b w:val="0"/>
                <w:i w:val="0"/>
                <w:color w:val="000000"/>
                <w:sz w:val="22"/>
              </w:rPr>
              <w:t>衍生金融工具</w:t>
            </w:r>
          </w:p>
        </w:tc>
        <w:tc>
          <w:tcPr>
            <w:tcW w:type="dxa" w:w="3006"/>
            <w:vMerge/>
            <w:tcBorders/>
          </w:tcPr>
          <w:p/>
        </w:tc>
        <w:tc>
          <w:tcPr>
            <w:tcW w:type="dxa" w:w="3006"/>
            <w:vMerge/>
            <w:tcBorders/>
          </w:tcPr>
          <w:p/>
        </w:tc>
      </w:tr>
      <w:tr>
        <w:trPr>
          <w:trHeight w:hRule="exact" w:val="234"/>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(2,929,094)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(3,678,327) </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0" w:right="0" w:firstLine="0"/>
              <w:jc w:val="center"/>
            </w:pPr>
            <w:r>
              <w:rPr>
                <w:rFonts w:ascii="黑体" w:hAnsi="黑体" w:eastAsia="黑体"/>
                <w:b w:val="0"/>
                <w:i w:val="0"/>
                <w:color w:val="000000"/>
                <w:sz w:val="22"/>
              </w:rPr>
              <w:t>处置金融工具取得的收益</w:t>
            </w:r>
          </w:p>
        </w:tc>
        <w:tc>
          <w:tcPr>
            <w:tcW w:type="dxa" w:w="3006"/>
            <w:vMerge/>
            <w:tcBorders/>
          </w:tcPr>
          <w:p/>
        </w:tc>
        <w:tc>
          <w:tcPr>
            <w:tcW w:type="dxa" w:w="3006"/>
            <w:vMerge/>
            <w:tcBorders/>
          </w:tcPr>
          <w:p/>
        </w:tc>
      </w:tr>
      <w:tr>
        <w:trPr>
          <w:trHeight w:hRule="exact" w:val="248"/>
        </w:trPr>
        <w:tc>
          <w:tcPr>
            <w:tcW w:type="dxa" w:w="3006"/>
            <w:vMerge/>
            <w:tcBorders/>
          </w:tcPr>
          <w:p/>
        </w:tc>
        <w:tc>
          <w:tcPr>
            <w:tcW w:type="dxa" w:w="2098"/>
            <w:tcBorders/>
            <w:tcMar>
              <w:start w:w="0" w:type="dxa"/>
              <w:end w:w="0" w:type="dxa"/>
            </w:tcMar>
          </w:tcPr>
          <w:p>
            <w:pPr>
              <w:autoSpaceDN w:val="0"/>
              <w:autoSpaceDE w:val="0"/>
              <w:widowControl/>
              <w:spacing w:line="233" w:lineRule="auto" w:before="2" w:after="0"/>
              <w:ind w:left="0" w:right="222" w:firstLine="0"/>
              <w:jc w:val="right"/>
            </w:pPr>
            <w:r>
              <w:rPr>
                <w:rFonts w:ascii="Arial" w:hAnsi="Arial" w:eastAsia="Arial"/>
                <w:b w:val="0"/>
                <w:i w:val="0"/>
                <w:color w:val="000000"/>
                <w:sz w:val="22"/>
              </w:rPr>
              <w:t>417,990,566</w:t>
            </w:r>
          </w:p>
        </w:tc>
        <w:tc>
          <w:tcPr>
            <w:tcW w:type="dxa" w:w="2098"/>
            <w:tcBorders/>
            <w:tcMar>
              <w:start w:w="0" w:type="dxa"/>
              <w:end w:w="0" w:type="dxa"/>
            </w:tcMar>
          </w:tcPr>
          <w:p>
            <w:pPr>
              <w:autoSpaceDN w:val="0"/>
              <w:autoSpaceDE w:val="0"/>
              <w:widowControl/>
              <w:spacing w:line="233" w:lineRule="auto" w:before="2" w:after="0"/>
              <w:ind w:left="0" w:right="224" w:firstLine="0"/>
              <w:jc w:val="right"/>
            </w:pPr>
            <w:r>
              <w:rPr>
                <w:rFonts w:ascii="Arial" w:hAnsi="Arial" w:eastAsia="Arial"/>
                <w:b w:val="0"/>
                <w:i w:val="0"/>
                <w:color w:val="000000"/>
                <w:sz w:val="22"/>
              </w:rPr>
              <w:t>105,860,868</w:t>
            </w:r>
          </w:p>
        </w:tc>
      </w:tr>
      <w:tr>
        <w:trPr>
          <w:trHeight w:hRule="exact" w:val="280"/>
        </w:trPr>
        <w:tc>
          <w:tcPr>
            <w:tcW w:type="dxa" w:w="4564"/>
            <w:tcBorders/>
            <w:tcMar>
              <w:start w:w="0" w:type="dxa"/>
              <w:end w:w="0" w:type="dxa"/>
            </w:tcMar>
          </w:tcPr>
          <w:p>
            <w:pPr>
              <w:autoSpaceDN w:val="0"/>
              <w:autoSpaceDE w:val="0"/>
              <w:widowControl/>
              <w:spacing w:line="220" w:lineRule="exact" w:before="48" w:after="0"/>
              <w:ind w:left="0" w:right="1064" w:firstLine="0"/>
              <w:jc w:val="right"/>
            </w:pPr>
            <w:r>
              <w:rPr>
                <w:rFonts w:ascii="黑体" w:hAnsi="黑体" w:eastAsia="黑体"/>
                <w:b w:val="0"/>
                <w:i w:val="0"/>
                <w:color w:val="000000"/>
                <w:sz w:val="22"/>
              </w:rPr>
              <w:t>其中：交易性金融工具</w:t>
            </w:r>
          </w:p>
        </w:tc>
        <w:tc>
          <w:tcPr>
            <w:tcW w:type="dxa" w:w="2098"/>
            <w:tcBorders/>
            <w:tcMar>
              <w:start w:w="0" w:type="dxa"/>
              <w:end w:w="0" w:type="dxa"/>
            </w:tcMar>
          </w:tcPr>
          <w:p>
            <w:pPr>
              <w:autoSpaceDN w:val="0"/>
              <w:autoSpaceDE w:val="0"/>
              <w:widowControl/>
              <w:spacing w:line="233" w:lineRule="auto" w:before="34" w:after="0"/>
              <w:ind w:left="0" w:right="222" w:firstLine="0"/>
              <w:jc w:val="right"/>
            </w:pPr>
            <w:r>
              <w:rPr>
                <w:rFonts w:ascii="Arial" w:hAnsi="Arial" w:eastAsia="Arial"/>
                <w:b w:val="0"/>
                <w:i w:val="0"/>
                <w:color w:val="000000"/>
                <w:sz w:val="22"/>
              </w:rPr>
              <w:t>913,975,290</w:t>
            </w:r>
          </w:p>
        </w:tc>
        <w:tc>
          <w:tcPr>
            <w:tcW w:type="dxa" w:w="2098"/>
            <w:tcBorders/>
            <w:tcMar>
              <w:start w:w="0" w:type="dxa"/>
              <w:end w:w="0" w:type="dxa"/>
            </w:tcMar>
          </w:tcPr>
          <w:p>
            <w:pPr>
              <w:autoSpaceDN w:val="0"/>
              <w:autoSpaceDE w:val="0"/>
              <w:widowControl/>
              <w:spacing w:line="233" w:lineRule="auto" w:before="34" w:after="0"/>
              <w:ind w:left="0" w:right="224" w:firstLine="0"/>
              <w:jc w:val="right"/>
            </w:pPr>
            <w:r>
              <w:rPr>
                <w:rFonts w:ascii="Arial" w:hAnsi="Arial" w:eastAsia="Arial"/>
                <w:b w:val="0"/>
                <w:i w:val="0"/>
                <w:color w:val="000000"/>
                <w:sz w:val="22"/>
              </w:rPr>
              <w:t>244,237,986</w:t>
            </w:r>
          </w:p>
        </w:tc>
      </w:tr>
      <w:tr>
        <w:trPr>
          <w:trHeight w:hRule="exact" w:val="280"/>
        </w:trPr>
        <w:tc>
          <w:tcPr>
            <w:tcW w:type="dxa" w:w="4564"/>
            <w:tcBorders/>
            <w:tcMar>
              <w:start w:w="0" w:type="dxa"/>
              <w:end w:w="0" w:type="dxa"/>
            </w:tcMar>
          </w:tcPr>
          <w:p>
            <w:pPr>
              <w:autoSpaceDN w:val="0"/>
              <w:autoSpaceDE w:val="0"/>
              <w:widowControl/>
              <w:spacing w:line="220" w:lineRule="exact" w:before="54" w:after="0"/>
              <w:ind w:left="0" w:right="1284" w:firstLine="0"/>
              <w:jc w:val="right"/>
            </w:pPr>
            <w:r>
              <w:rPr>
                <w:rFonts w:ascii="黑体" w:hAnsi="黑体" w:eastAsia="黑体"/>
                <w:b w:val="0"/>
                <w:i w:val="0"/>
                <w:color w:val="000000"/>
                <w:sz w:val="22"/>
              </w:rPr>
              <w:t>其他债权投资</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783,451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4" w:firstLine="0"/>
              <w:jc w:val="right"/>
            </w:pPr>
            <w:r>
              <w:rPr>
                <w:rFonts w:ascii="Arial" w:hAnsi="Arial" w:eastAsia="Arial"/>
                <w:b w:val="0"/>
                <w:i w:val="0"/>
                <w:color w:val="000000"/>
                <w:sz w:val="22"/>
              </w:rPr>
              <w:t>5,192,119</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0" w:after="0"/>
              <w:ind w:left="0" w:right="1284" w:firstLine="0"/>
              <w:jc w:val="right"/>
            </w:pPr>
            <w:r>
              <w:rPr>
                <w:rFonts w:ascii="黑体" w:hAnsi="黑体" w:eastAsia="黑体"/>
                <w:b w:val="0"/>
                <w:i w:val="0"/>
                <w:color w:val="000000"/>
                <w:sz w:val="22"/>
              </w:rPr>
              <w:t>衍生金融工具</w:t>
            </w:r>
          </w:p>
        </w:tc>
        <w:tc>
          <w:tcPr>
            <w:tcW w:type="dxa" w:w="3006"/>
            <w:vMerge/>
            <w:tcBorders/>
          </w:tcPr>
          <w:p/>
        </w:tc>
        <w:tc>
          <w:tcPr>
            <w:tcW w:type="dxa" w:w="3006"/>
            <w:vMerge/>
            <w:tcBorders/>
          </w:tcPr>
          <w:p/>
        </w:tc>
      </w:tr>
      <w:tr>
        <w:trPr>
          <w:trHeight w:hRule="exact" w:val="272"/>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(496,768,175)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(143,569,237) </w:t>
            </w:r>
          </w:p>
        </w:tc>
      </w:tr>
      <w:tr>
        <w:trPr>
          <w:trHeight w:hRule="exact" w:val="550"/>
        </w:trPr>
        <w:tc>
          <w:tcPr>
            <w:tcW w:type="dxa" w:w="4564"/>
            <w:tcBorders>
              <w:top w:sz="4.0" w:val="single" w:color="#000000"/>
              <w:bottom w:sz="3.200000000000273"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94" w:after="0"/>
              <w:ind w:left="466" w:right="0" w:firstLine="0"/>
              <w:jc w:val="left"/>
            </w:pPr>
            <w:r>
              <w:rPr>
                <w:rFonts w:ascii="Arial" w:hAnsi="Arial" w:eastAsia="Arial"/>
                <w:b w:val="0"/>
                <w:i w:val="0"/>
                <w:color w:val="000000"/>
                <w:sz w:val="22"/>
              </w:rPr>
              <w:t>1,116,839,081</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94" w:after="0"/>
              <w:ind w:left="464" w:right="0" w:firstLine="0"/>
              <w:jc w:val="left"/>
            </w:pPr>
            <w:r>
              <w:rPr>
                <w:rFonts w:ascii="Arial" w:hAnsi="Arial" w:eastAsia="Arial"/>
                <w:b w:val="0"/>
                <w:i w:val="0"/>
                <w:color w:val="000000"/>
                <w:sz w:val="22"/>
              </w:rPr>
              <w:t>1,241,958,816</w:t>
            </w:r>
          </w:p>
        </w:tc>
      </w:tr>
      <w:tr>
        <w:trPr>
          <w:trHeight w:hRule="exact" w:val="54"/>
        </w:trPr>
        <w:tc>
          <w:tcPr>
            <w:tcW w:type="dxa" w:w="4564"/>
            <w:tcBorders>
              <w:top w:sz="3.200000000000273" w:val="single" w:color="#000000"/>
            </w:tcBorders>
            <w:tcMar>
              <w:start w:w="0" w:type="dxa"/>
              <w:end w:w="0" w:type="dxa"/>
            </w:tcMar>
          </w:tcPr>
          <w:p/>
        </w:tc>
        <w:tc>
          <w:tcPr>
            <w:tcW w:type="dxa" w:w="2098"/>
            <w:tcBorders>
              <w:top w:sz="3.200000000000273" w:val="single" w:color="#000000"/>
            </w:tcBorders>
            <w:tcMar>
              <w:start w:w="0" w:type="dxa"/>
              <w:end w:w="0" w:type="dxa"/>
            </w:tcMar>
          </w:tcPr>
          <w:p/>
        </w:tc>
        <w:tc>
          <w:tcPr>
            <w:tcW w:type="dxa" w:w="2098"/>
            <w:tcBorders>
              <w:top w:sz="3.200000000000273" w:val="single" w:color="#000000"/>
            </w:tcBorders>
            <w:tcMar>
              <w:start w:w="0" w:type="dxa"/>
              <w:end w:w="0" w:type="dxa"/>
            </w:tcMar>
          </w:tcPr>
          <w:p/>
        </w:tc>
      </w:tr>
    </w:tbl>
    <w:p>
      <w:pPr>
        <w:autoSpaceDN w:val="0"/>
        <w:autoSpaceDE w:val="0"/>
        <w:widowControl/>
        <w:spacing w:line="286" w:lineRule="exact" w:before="204" w:after="0"/>
        <w:ind w:left="1018" w:right="360" w:hanging="660"/>
        <w:jc w:val="both"/>
      </w:pPr>
      <w:r>
        <w:rPr>
          <w:rFonts w:ascii="黑体" w:hAnsi="黑体" w:eastAsia="黑体"/>
          <w:b w:val="0"/>
          <w:i w:val="0"/>
          <w:color w:val="000000"/>
          <w:sz w:val="22"/>
        </w:rPr>
        <w:t>（</w:t>
      </w:r>
      <w:r>
        <w:rPr>
          <w:rFonts w:ascii="Times New Roman" w:hAnsi="Times New Roman" w:eastAsia="Times New Roman"/>
          <w:b w:val="0"/>
          <w:i w:val="0"/>
          <w:color w:val="000000"/>
          <w:sz w:val="22"/>
        </w:rPr>
        <w:t>a</w:t>
      </w:r>
      <w:r>
        <w:rPr>
          <w:rFonts w:ascii="黑体" w:hAnsi="黑体" w:eastAsia="黑体"/>
          <w:b w:val="0"/>
          <w:i w:val="0"/>
          <w:color w:val="000000"/>
          <w:sz w:val="22"/>
        </w:rPr>
        <w:t>）</w:t>
      </w:r>
      <w:r>
        <w:rPr>
          <w:rFonts w:ascii="Times New Roman" w:hAnsi="Times New Roman" w:eastAsia="Times New Roman"/>
          <w:b w:val="0"/>
          <w:i w:val="0"/>
          <w:color w:val="000000"/>
          <w:sz w:val="22"/>
        </w:rPr>
        <w:t>2024</w:t>
      </w:r>
      <w:r>
        <w:rPr>
          <w:rFonts w:ascii="黑体" w:hAnsi="黑体" w:eastAsia="黑体"/>
          <w:b w:val="0"/>
          <w:i w:val="0"/>
          <w:color w:val="000000"/>
          <w:sz w:val="22"/>
        </w:rPr>
        <w:t>年度，本公司成本法核算的长期股权投资收益为子公司山证创新的分红金</w:t>
      </w:r>
      <w:r>
        <w:rPr>
          <w:rFonts w:ascii="黑体" w:hAnsi="黑体" w:eastAsia="黑体"/>
          <w:b w:val="0"/>
          <w:i w:val="0"/>
          <w:color w:val="000000"/>
          <w:sz w:val="22"/>
        </w:rPr>
        <w:t>额人民币</w:t>
      </w:r>
      <w:r>
        <w:rPr>
          <w:rFonts w:ascii="Times New Roman" w:hAnsi="Times New Roman" w:eastAsia="Times New Roman"/>
          <w:b w:val="0"/>
          <w:i w:val="0"/>
          <w:color w:val="000000"/>
          <w:sz w:val="22"/>
        </w:rPr>
        <w:t>5,000</w:t>
      </w:r>
      <w:r>
        <w:rPr>
          <w:rFonts w:ascii="黑体" w:hAnsi="黑体" w:eastAsia="黑体"/>
          <w:b w:val="0"/>
          <w:i w:val="0"/>
          <w:color w:val="000000"/>
          <w:sz w:val="22"/>
        </w:rPr>
        <w:t>万元（</w:t>
      </w:r>
      <w:r>
        <w:rPr>
          <w:rFonts w:ascii="Times New Roman" w:hAnsi="Times New Roman" w:eastAsia="Times New Roman"/>
          <w:b w:val="0"/>
          <w:i w:val="0"/>
          <w:color w:val="000000"/>
          <w:sz w:val="22"/>
        </w:rPr>
        <w:t>2023</w:t>
      </w:r>
      <w:r>
        <w:rPr>
          <w:rFonts w:ascii="黑体" w:hAnsi="黑体" w:eastAsia="黑体"/>
          <w:b w:val="0"/>
          <w:i w:val="0"/>
          <w:color w:val="000000"/>
          <w:sz w:val="22"/>
        </w:rPr>
        <w:t>年度：本公司成本法核算的长期股权投资收益为子公</w:t>
      </w:r>
      <w:r>
        <w:rPr>
          <w:rFonts w:ascii="黑体" w:hAnsi="黑体" w:eastAsia="黑体"/>
          <w:b w:val="0"/>
          <w:i w:val="0"/>
          <w:color w:val="000000"/>
          <w:sz w:val="22"/>
        </w:rPr>
        <w:t>司山证创新的分红金额人民币</w:t>
      </w:r>
      <w:r>
        <w:rPr>
          <w:rFonts w:ascii="Times New Roman" w:hAnsi="Times New Roman" w:eastAsia="Times New Roman"/>
          <w:b w:val="0"/>
          <w:i w:val="0"/>
          <w:color w:val="000000"/>
          <w:sz w:val="22"/>
        </w:rPr>
        <w:t>5,000</w:t>
      </w:r>
      <w:r>
        <w:rPr>
          <w:rFonts w:ascii="黑体" w:hAnsi="黑体" w:eastAsia="黑体"/>
          <w:b w:val="0"/>
          <w:i w:val="0"/>
          <w:color w:val="000000"/>
          <w:sz w:val="22"/>
        </w:rPr>
        <w:t>万元）。</w:t>
      </w:r>
    </w:p>
    <w:p>
      <w:pPr>
        <w:autoSpaceDN w:val="0"/>
        <w:autoSpaceDE w:val="0"/>
        <w:widowControl/>
        <w:spacing w:line="244" w:lineRule="exact" w:before="308" w:after="0"/>
        <w:ind w:left="358" w:right="0" w:firstLine="0"/>
        <w:jc w:val="left"/>
      </w:pPr>
      <w:r>
        <w:rPr>
          <w:rFonts w:ascii="黑体" w:hAnsi="黑体" w:eastAsia="黑体"/>
          <w:b w:val="0"/>
          <w:i w:val="0"/>
          <w:color w:val="000000"/>
          <w:sz w:val="22"/>
        </w:rPr>
        <w:t>（</w:t>
      </w:r>
      <w:r>
        <w:rPr>
          <w:rFonts w:ascii="Times New Roman" w:hAnsi="Times New Roman" w:eastAsia="Times New Roman"/>
          <w:b w:val="0"/>
          <w:i w:val="0"/>
          <w:color w:val="000000"/>
          <w:sz w:val="22"/>
        </w:rPr>
        <w:t>b</w:t>
      </w:r>
      <w:r>
        <w:rPr>
          <w:rFonts w:ascii="黑体" w:hAnsi="黑体" w:eastAsia="黑体"/>
          <w:b w:val="0"/>
          <w:i w:val="0"/>
          <w:color w:val="000000"/>
          <w:sz w:val="22"/>
        </w:rPr>
        <w:t>）</w:t>
      </w:r>
      <w:r>
        <w:rPr>
          <w:rFonts w:ascii="Times New Roman" w:hAnsi="Times New Roman" w:eastAsia="Times New Roman"/>
          <w:b w:val="0"/>
          <w:i w:val="0"/>
          <w:color w:val="000000"/>
          <w:sz w:val="22"/>
        </w:rPr>
        <w:t>2024</w:t>
      </w:r>
      <w:r>
        <w:rPr>
          <w:rFonts w:ascii="黑体" w:hAnsi="黑体" w:eastAsia="黑体"/>
          <w:b w:val="0"/>
          <w:i w:val="0"/>
          <w:color w:val="000000"/>
          <w:sz w:val="22"/>
        </w:rPr>
        <w:t>年度，本公司无联营企业和合营企业的投资收益（</w:t>
      </w:r>
      <w:r>
        <w:rPr>
          <w:rFonts w:ascii="Times New Roman" w:hAnsi="Times New Roman" w:eastAsia="Times New Roman"/>
          <w:b w:val="0"/>
          <w:i w:val="0"/>
          <w:color w:val="000000"/>
          <w:sz w:val="22"/>
        </w:rPr>
        <w:t>2023</w:t>
      </w:r>
      <w:r>
        <w:rPr>
          <w:rFonts w:ascii="黑体" w:hAnsi="黑体" w:eastAsia="黑体"/>
          <w:b w:val="0"/>
          <w:i w:val="0"/>
          <w:color w:val="000000"/>
          <w:sz w:val="22"/>
        </w:rPr>
        <w:t>年度：同）。</w:t>
      </w:r>
    </w:p>
    <w:p>
      <w:pPr>
        <w:autoSpaceDN w:val="0"/>
        <w:autoSpaceDE w:val="0"/>
        <w:widowControl/>
        <w:spacing w:line="233" w:lineRule="auto" w:before="7262" w:after="0"/>
        <w:ind w:left="0" w:right="0" w:firstLine="0"/>
        <w:jc w:val="center"/>
      </w:pPr>
      <w:r>
        <w:rPr>
          <w:rFonts w:ascii="Arial" w:hAnsi="Arial" w:eastAsia="Arial"/>
          <w:b w:val="0"/>
          <w:i w:val="0"/>
          <w:color w:val="000000"/>
          <w:sz w:val="20"/>
        </w:rPr>
        <w:t xml:space="preserve">310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246"/>
        <w:ind w:left="358" w:right="0" w:firstLine="0"/>
        <w:jc w:val="left"/>
      </w:pPr>
      <w:r>
        <w:rPr>
          <w:rFonts w:ascii="黑体" w:hAnsi="黑体" w:eastAsia="黑体"/>
          <w:b w:val="0"/>
          <w:i w:val="0"/>
          <w:color w:val="000000"/>
          <w:sz w:val="22"/>
        </w:rPr>
        <w:t>十八、公司财务报表附注（续）</w:t>
      </w:r>
    </w:p>
    <w:tbl>
      <w:tblPr>
        <w:tblW w:type="auto" w:w="0"/>
        <w:tblLayout w:type="fixed"/>
        <w:tblLook w:firstColumn="1" w:firstRow="1" w:lastColumn="0" w:lastRow="0" w:noHBand="0" w:noVBand="1" w:val="04A0"/>
        <w:tblInd w:w="160.0" w:type="dxa"/>
      </w:tblPr>
      <w:tblGrid>
        <w:gridCol w:w="2255"/>
        <w:gridCol w:w="2255"/>
        <w:gridCol w:w="2255"/>
        <w:gridCol w:w="2255"/>
      </w:tblGrid>
      <w:tr>
        <w:trPr>
          <w:trHeight w:hRule="exact" w:val="978"/>
        </w:trPr>
        <w:tc>
          <w:tcPr>
            <w:tcW w:type="dxa" w:w="640"/>
            <w:tcBorders/>
            <w:tcMar>
              <w:start w:w="0" w:type="dxa"/>
              <w:end w:w="0" w:type="dxa"/>
            </w:tcMar>
          </w:tcPr>
          <w:p>
            <w:pPr>
              <w:autoSpaceDN w:val="0"/>
              <w:autoSpaceDE w:val="0"/>
              <w:widowControl/>
              <w:spacing w:line="248" w:lineRule="exact" w:before="60" w:after="0"/>
              <w:ind w:left="0" w:right="0" w:firstLine="0"/>
              <w:jc w:val="center"/>
            </w:pPr>
            <w:r>
              <w:rPr>
                <w:rFonts w:ascii="Arial,Bold" w:hAnsi="Arial,Bold" w:eastAsia="Arial,Bold"/>
                <w:b/>
                <w:i w:val="0"/>
                <w:color w:val="000000"/>
                <w:sz w:val="22"/>
              </w:rPr>
              <w:t xml:space="preserve">6. </w:t>
            </w:r>
          </w:p>
        </w:tc>
        <w:tc>
          <w:tcPr>
            <w:tcW w:type="dxa" w:w="3924"/>
            <w:tcBorders/>
            <w:tcMar>
              <w:start w:w="0" w:type="dxa"/>
              <w:end w:w="0" w:type="dxa"/>
            </w:tcMar>
          </w:tcPr>
          <w:p>
            <w:pPr>
              <w:autoSpaceDN w:val="0"/>
              <w:autoSpaceDE w:val="0"/>
              <w:widowControl/>
              <w:spacing w:line="220" w:lineRule="exact" w:before="72" w:after="0"/>
              <w:ind w:left="230" w:right="0" w:firstLine="0"/>
              <w:jc w:val="left"/>
            </w:pPr>
            <w:r>
              <w:rPr>
                <w:rFonts w:ascii="黑体" w:hAnsi="黑体" w:eastAsia="黑体"/>
                <w:b w:val="0"/>
                <w:i w:val="0"/>
                <w:color w:val="000000"/>
                <w:sz w:val="22"/>
              </w:rPr>
              <w:t>业务及管理费</w:t>
            </w:r>
          </w:p>
        </w:tc>
        <w:tc>
          <w:tcPr>
            <w:tcW w:type="dxa" w:w="2098"/>
            <w:tcBorders/>
            <w:tcMar>
              <w:start w:w="0" w:type="dxa"/>
              <w:end w:w="0" w:type="dxa"/>
            </w:tcMar>
          </w:tcPr>
          <w:p>
            <w:pPr>
              <w:autoSpaceDN w:val="0"/>
              <w:autoSpaceDE w:val="0"/>
              <w:widowControl/>
              <w:spacing w:line="246" w:lineRule="exact" w:before="598"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870"/>
            <w:tcBorders/>
            <w:tcMar>
              <w:start w:w="0" w:type="dxa"/>
              <w:end w:w="0" w:type="dxa"/>
            </w:tcMar>
          </w:tcPr>
          <w:p>
            <w:pPr>
              <w:autoSpaceDN w:val="0"/>
              <w:autoSpaceDE w:val="0"/>
              <w:widowControl/>
              <w:spacing w:line="246" w:lineRule="exact" w:before="598"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400"/>
        </w:trPr>
        <w:tc>
          <w:tcPr>
            <w:tcW w:type="dxa" w:w="4564"/>
            <w:gridSpan w:val="2"/>
            <w:tcBorders/>
            <w:tcMar>
              <w:start w:w="0" w:type="dxa"/>
              <w:end w:w="0" w:type="dxa"/>
            </w:tcMar>
            <w:tcMar>
              <w:start w:w="0" w:type="dxa"/>
              <w:end w:w="0" w:type="dxa"/>
            </w:tcMar>
          </w:tcPr>
          <w:p>
            <w:pPr>
              <w:autoSpaceDN w:val="0"/>
              <w:autoSpaceDE w:val="0"/>
              <w:widowControl/>
              <w:spacing w:line="222" w:lineRule="exact" w:before="170" w:after="0"/>
              <w:ind w:left="198" w:right="0" w:firstLine="0"/>
              <w:jc w:val="left"/>
            </w:pPr>
            <w:r>
              <w:rPr>
                <w:rFonts w:ascii="黑体" w:hAnsi="黑体" w:eastAsia="黑体"/>
                <w:b w:val="0"/>
                <w:i w:val="0"/>
                <w:color w:val="000000"/>
                <w:sz w:val="22"/>
              </w:rPr>
              <w:t>职工薪酬</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78" w:after="0"/>
              <w:ind w:left="0" w:right="222" w:firstLine="0"/>
              <w:jc w:val="right"/>
            </w:pPr>
            <w:r>
              <w:rPr>
                <w:rFonts w:ascii="Arial" w:hAnsi="Arial" w:eastAsia="Arial"/>
                <w:b w:val="0"/>
                <w:i w:val="0"/>
                <w:color w:val="000000"/>
                <w:sz w:val="22"/>
              </w:rPr>
              <w:t>815,008,580</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78" w:after="0"/>
              <w:ind w:left="0" w:right="0" w:firstLine="0"/>
              <w:jc w:val="right"/>
            </w:pPr>
            <w:r>
              <w:rPr>
                <w:rFonts w:ascii="Arial" w:hAnsi="Arial" w:eastAsia="Arial"/>
                <w:b w:val="0"/>
                <w:i w:val="0"/>
                <w:color w:val="000000"/>
                <w:sz w:val="22"/>
              </w:rPr>
              <w:t>864,055,737</w:t>
            </w:r>
          </w:p>
        </w:tc>
      </w:tr>
      <w:tr>
        <w:trPr>
          <w:trHeight w:hRule="exact" w:val="4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租赁费及物业费用</w:t>
            </w:r>
          </w:p>
        </w:tc>
        <w:tc>
          <w:tcPr>
            <w:tcW w:type="dxa" w:w="2255"/>
            <w:vMerge/>
            <w:tcBorders/>
          </w:tcPr>
          <w:p/>
        </w:tc>
        <w:tc>
          <w:tcPr>
            <w:tcW w:type="dxa" w:w="2255"/>
            <w:vMerge/>
            <w:tcBorders/>
          </w:tcPr>
          <w:p/>
        </w:tc>
      </w:tr>
      <w:tr>
        <w:trPr>
          <w:trHeight w:hRule="exact" w:val="238"/>
        </w:trPr>
        <w:tc>
          <w:tcPr>
            <w:tcW w:type="dxa" w:w="4510"/>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2" w:firstLine="0"/>
              <w:jc w:val="right"/>
            </w:pPr>
            <w:r>
              <w:rPr>
                <w:rFonts w:ascii="Arial" w:hAnsi="Arial" w:eastAsia="Arial"/>
                <w:b w:val="0"/>
                <w:i w:val="0"/>
                <w:color w:val="000000"/>
                <w:sz w:val="22"/>
              </w:rPr>
              <w:t>78,961,430</w:t>
            </w:r>
          </w:p>
        </w:tc>
        <w:tc>
          <w:tcPr>
            <w:tcW w:type="dxa" w:w="1870"/>
            <w:vMerge w:val="restart"/>
            <w:tcBorders/>
            <w:tcMar>
              <w:start w:w="0" w:type="dxa"/>
              <w:end w:w="0" w:type="dxa"/>
            </w:tcMar>
            <w:tcMar>
              <w:start w:w="0" w:type="dxa"/>
              <w:end w:w="0" w:type="dxa"/>
            </w:tcMar>
          </w:tcPr>
          <w:p>
            <w:pPr>
              <w:autoSpaceDN w:val="0"/>
              <w:autoSpaceDE w:val="0"/>
              <w:widowControl/>
              <w:spacing w:line="235" w:lineRule="auto" w:before="20" w:after="0"/>
              <w:ind w:left="0" w:right="0" w:firstLine="0"/>
              <w:jc w:val="right"/>
            </w:pPr>
            <w:r>
              <w:rPr>
                <w:rFonts w:ascii="Arial" w:hAnsi="Arial" w:eastAsia="Arial"/>
                <w:b w:val="0"/>
                <w:i w:val="0"/>
                <w:color w:val="000000"/>
                <w:sz w:val="22"/>
              </w:rPr>
              <w:t>74,452,390</w:t>
            </w:r>
          </w:p>
        </w:tc>
      </w:tr>
      <w:tr>
        <w:trPr>
          <w:trHeight w:hRule="exact" w:val="48"/>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无形资产及长期待摊费用摊销</w:t>
            </w:r>
          </w:p>
        </w:tc>
        <w:tc>
          <w:tcPr>
            <w:tcW w:type="dxa" w:w="2255"/>
            <w:vMerge/>
            <w:tcBorders/>
          </w:tcPr>
          <w:p/>
        </w:tc>
        <w:tc>
          <w:tcPr>
            <w:tcW w:type="dxa" w:w="2255"/>
            <w:vMerge/>
            <w:tcBorders/>
          </w:tcPr>
          <w:p/>
        </w:tc>
      </w:tr>
      <w:tr>
        <w:trPr>
          <w:trHeight w:hRule="exact" w:val="232"/>
        </w:trPr>
        <w:tc>
          <w:tcPr>
            <w:tcW w:type="dxa" w:w="4510"/>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93,751,874</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85,408,596</w:t>
            </w:r>
          </w:p>
        </w:tc>
      </w:tr>
      <w:tr>
        <w:trPr>
          <w:trHeight w:hRule="exact" w:val="54"/>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使用权资产折旧</w:t>
            </w:r>
          </w:p>
        </w:tc>
        <w:tc>
          <w:tcPr>
            <w:tcW w:type="dxa" w:w="2255"/>
            <w:vMerge/>
            <w:tcBorders/>
          </w:tcPr>
          <w:p/>
        </w:tc>
        <w:tc>
          <w:tcPr>
            <w:tcW w:type="dxa" w:w="2255"/>
            <w:vMerge/>
            <w:tcBorders/>
          </w:tcPr>
          <w:p/>
        </w:tc>
      </w:tr>
      <w:tr>
        <w:trPr>
          <w:trHeight w:hRule="exact" w:val="246"/>
        </w:trPr>
        <w:tc>
          <w:tcPr>
            <w:tcW w:type="dxa" w:w="4510"/>
            <w:gridSpan w:val="2"/>
            <w:vMerge/>
            <w:tcBorders/>
          </w:tcPr>
          <w:p/>
        </w:tc>
        <w:tc>
          <w:tcPr>
            <w:tcW w:type="dxa" w:w="2098"/>
            <w:tcBorders/>
            <w:tcMar>
              <w:start w:w="0" w:type="dxa"/>
              <w:end w:w="0" w:type="dxa"/>
            </w:tcMar>
          </w:tcPr>
          <w:p>
            <w:pPr>
              <w:autoSpaceDN w:val="0"/>
              <w:autoSpaceDE w:val="0"/>
              <w:widowControl/>
              <w:spacing w:line="233" w:lineRule="auto" w:before="0" w:after="0"/>
              <w:ind w:left="0" w:right="222" w:firstLine="0"/>
              <w:jc w:val="right"/>
            </w:pPr>
            <w:r>
              <w:rPr>
                <w:rFonts w:ascii="Arial" w:hAnsi="Arial" w:eastAsia="Arial"/>
                <w:b w:val="0"/>
                <w:i w:val="0"/>
                <w:color w:val="000000"/>
                <w:sz w:val="22"/>
              </w:rPr>
              <w:t>72,266,180</w:t>
            </w:r>
          </w:p>
        </w:tc>
        <w:tc>
          <w:tcPr>
            <w:tcW w:type="dxa" w:w="1870"/>
            <w:tcBorders/>
            <w:tcMar>
              <w:start w:w="0" w:type="dxa"/>
              <w:end w:w="0" w:type="dxa"/>
            </w:tcMar>
          </w:tcPr>
          <w:p>
            <w:pPr>
              <w:autoSpaceDN w:val="0"/>
              <w:autoSpaceDE w:val="0"/>
              <w:widowControl/>
              <w:spacing w:line="233" w:lineRule="auto" w:before="0" w:after="0"/>
              <w:ind w:left="0" w:right="0" w:firstLine="0"/>
              <w:jc w:val="right"/>
            </w:pPr>
            <w:r>
              <w:rPr>
                <w:rFonts w:ascii="Arial" w:hAnsi="Arial" w:eastAsia="Arial"/>
                <w:b w:val="0"/>
                <w:i w:val="0"/>
                <w:color w:val="000000"/>
                <w:sz w:val="22"/>
              </w:rPr>
              <w:t>74,958,000</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2" w:after="0"/>
              <w:ind w:left="198" w:right="0" w:firstLine="0"/>
              <w:jc w:val="left"/>
            </w:pPr>
            <w:r>
              <w:rPr>
                <w:rFonts w:ascii="黑体" w:hAnsi="黑体" w:eastAsia="黑体"/>
                <w:b w:val="0"/>
                <w:i w:val="0"/>
                <w:color w:val="000000"/>
                <w:sz w:val="22"/>
              </w:rPr>
              <w:t>系统运转及维护费</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106,690,282</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90,592,080</w:t>
            </w:r>
          </w:p>
        </w:tc>
      </w:tr>
      <w:tr>
        <w:trPr>
          <w:trHeight w:hRule="exact" w:val="46"/>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办公及后勤事务费用</w:t>
            </w:r>
          </w:p>
        </w:tc>
        <w:tc>
          <w:tcPr>
            <w:tcW w:type="dxa" w:w="2255"/>
            <w:vMerge/>
            <w:tcBorders/>
          </w:tcPr>
          <w:p/>
        </w:tc>
        <w:tc>
          <w:tcPr>
            <w:tcW w:type="dxa" w:w="2255"/>
            <w:vMerge/>
            <w:tcBorders/>
          </w:tcPr>
          <w:p/>
        </w:tc>
      </w:tr>
      <w:tr>
        <w:trPr>
          <w:trHeight w:hRule="exact" w:val="234"/>
        </w:trPr>
        <w:tc>
          <w:tcPr>
            <w:tcW w:type="dxa" w:w="4510"/>
            <w:gridSpan w:val="2"/>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55,540,223</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62,311,957</w:t>
            </w:r>
          </w:p>
        </w:tc>
      </w:tr>
      <w:tr>
        <w:trPr>
          <w:trHeight w:hRule="exact" w:val="52"/>
        </w:trPr>
        <w:tc>
          <w:tcPr>
            <w:tcW w:type="dxa" w:w="456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固定资产折旧</w:t>
            </w:r>
          </w:p>
        </w:tc>
        <w:tc>
          <w:tcPr>
            <w:tcW w:type="dxa" w:w="2255"/>
            <w:vMerge/>
            <w:tcBorders/>
          </w:tcPr>
          <w:p/>
        </w:tc>
        <w:tc>
          <w:tcPr>
            <w:tcW w:type="dxa" w:w="2255"/>
            <w:vMerge/>
            <w:tcBorders/>
          </w:tcPr>
          <w:p/>
        </w:tc>
      </w:tr>
      <w:tr>
        <w:trPr>
          <w:trHeight w:hRule="exact" w:val="248"/>
        </w:trPr>
        <w:tc>
          <w:tcPr>
            <w:tcW w:type="dxa" w:w="4510"/>
            <w:gridSpan w:val="2"/>
            <w:vMerge/>
            <w:tcBorders/>
          </w:tcPr>
          <w:p/>
        </w:tc>
        <w:tc>
          <w:tcPr>
            <w:tcW w:type="dxa" w:w="2098"/>
            <w:tcBorders/>
            <w:tcMar>
              <w:start w:w="0" w:type="dxa"/>
              <w:end w:w="0" w:type="dxa"/>
            </w:tcMar>
          </w:tcPr>
          <w:p>
            <w:pPr>
              <w:autoSpaceDN w:val="0"/>
              <w:autoSpaceDE w:val="0"/>
              <w:widowControl/>
              <w:spacing w:line="233" w:lineRule="auto" w:before="2" w:after="0"/>
              <w:ind w:left="0" w:right="222" w:firstLine="0"/>
              <w:jc w:val="right"/>
            </w:pPr>
            <w:r>
              <w:rPr>
                <w:rFonts w:ascii="Arial" w:hAnsi="Arial" w:eastAsia="Arial"/>
                <w:b w:val="0"/>
                <w:i w:val="0"/>
                <w:color w:val="000000"/>
                <w:sz w:val="22"/>
              </w:rPr>
              <w:t>57,710,766</w:t>
            </w: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51,832,100</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营销及管理费用</w:t>
            </w:r>
          </w:p>
        </w:tc>
        <w:tc>
          <w:tcPr>
            <w:tcW w:type="dxa" w:w="2098"/>
            <w:tcBorders/>
            <w:tcMar>
              <w:start w:w="0" w:type="dxa"/>
              <w:end w:w="0" w:type="dxa"/>
            </w:tcMar>
          </w:tcPr>
          <w:p>
            <w:pPr>
              <w:autoSpaceDN w:val="0"/>
              <w:autoSpaceDE w:val="0"/>
              <w:widowControl/>
              <w:spacing w:line="233" w:lineRule="auto" w:before="34" w:after="0"/>
              <w:ind w:left="0" w:right="222" w:firstLine="0"/>
              <w:jc w:val="right"/>
            </w:pPr>
            <w:r>
              <w:rPr>
                <w:rFonts w:ascii="Arial" w:hAnsi="Arial" w:eastAsia="Arial"/>
                <w:b w:val="0"/>
                <w:i w:val="0"/>
                <w:color w:val="000000"/>
                <w:sz w:val="22"/>
              </w:rPr>
              <w:t>53,074,812</w:t>
            </w:r>
          </w:p>
        </w:tc>
        <w:tc>
          <w:tcPr>
            <w:tcW w:type="dxa" w:w="1870"/>
            <w:tcBorders/>
            <w:tcMar>
              <w:start w:w="0" w:type="dxa"/>
              <w:end w:w="0" w:type="dxa"/>
            </w:tcMar>
          </w:tcPr>
          <w:p>
            <w:pPr>
              <w:autoSpaceDN w:val="0"/>
              <w:autoSpaceDE w:val="0"/>
              <w:widowControl/>
              <w:spacing w:line="233" w:lineRule="auto" w:before="34" w:after="0"/>
              <w:ind w:left="0" w:right="0" w:firstLine="0"/>
              <w:jc w:val="right"/>
            </w:pPr>
            <w:r>
              <w:rPr>
                <w:rFonts w:ascii="Arial" w:hAnsi="Arial" w:eastAsia="Arial"/>
                <w:b w:val="0"/>
                <w:i w:val="0"/>
                <w:color w:val="000000"/>
                <w:sz w:val="22"/>
              </w:rPr>
              <w:t>51,589,596</w:t>
            </w:r>
          </w:p>
        </w:tc>
      </w:tr>
      <w:tr>
        <w:trPr>
          <w:trHeight w:hRule="exact" w:val="280"/>
        </w:trPr>
        <w:tc>
          <w:tcPr>
            <w:tcW w:type="dxa" w:w="4564"/>
            <w:gridSpan w:val="2"/>
            <w:tcBorders/>
            <w:tcMar>
              <w:start w:w="0" w:type="dxa"/>
              <w:end w:w="0" w:type="dxa"/>
            </w:tcMar>
            <w:tcMar>
              <w:start w:w="0" w:type="dxa"/>
              <w:end w:w="0" w:type="dxa"/>
            </w:tcMar>
          </w:tcPr>
          <w:p>
            <w:pPr>
              <w:autoSpaceDN w:val="0"/>
              <w:autoSpaceDE w:val="0"/>
              <w:widowControl/>
              <w:spacing w:line="220" w:lineRule="exact" w:before="54" w:after="0"/>
              <w:ind w:left="198" w:right="0" w:firstLine="0"/>
              <w:jc w:val="left"/>
            </w:pPr>
            <w:r>
              <w:rPr>
                <w:rFonts w:ascii="黑体" w:hAnsi="黑体" w:eastAsia="黑体"/>
                <w:b w:val="0"/>
                <w:i w:val="0"/>
                <w:color w:val="000000"/>
                <w:sz w:val="22"/>
              </w:rPr>
              <w:t>证券投资者保护基金</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0" w:right="222" w:firstLine="0"/>
              <w:jc w:val="right"/>
            </w:pPr>
            <w:r>
              <w:rPr>
                <w:rFonts w:ascii="Arial" w:hAnsi="Arial" w:eastAsia="Arial"/>
                <w:b w:val="0"/>
                <w:i w:val="0"/>
                <w:color w:val="000000"/>
                <w:sz w:val="22"/>
              </w:rPr>
              <w:t>15,518,622</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60" w:after="0"/>
              <w:ind w:left="0" w:right="0" w:firstLine="0"/>
              <w:jc w:val="right"/>
            </w:pPr>
            <w:r>
              <w:rPr>
                <w:rFonts w:ascii="Arial" w:hAnsi="Arial" w:eastAsia="Arial"/>
                <w:b w:val="0"/>
                <w:i w:val="0"/>
                <w:color w:val="000000"/>
                <w:sz w:val="22"/>
              </w:rPr>
              <w:t>11,169,723</w:t>
            </w:r>
          </w:p>
        </w:tc>
      </w:tr>
      <w:tr>
        <w:trPr>
          <w:trHeight w:hRule="exact" w:val="46"/>
        </w:trPr>
        <w:tc>
          <w:tcPr>
            <w:tcW w:type="dxa" w:w="4564"/>
            <w:gridSpan w:val="2"/>
            <w:vMerge w:val="restart"/>
            <w:tcBorders>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60" w:after="0"/>
              <w:ind w:left="198" w:right="0" w:firstLine="0"/>
              <w:jc w:val="left"/>
            </w:pPr>
            <w:r>
              <w:rPr>
                <w:rFonts w:ascii="黑体" w:hAnsi="黑体" w:eastAsia="黑体"/>
                <w:b w:val="0"/>
                <w:i w:val="0"/>
                <w:color w:val="000000"/>
                <w:sz w:val="22"/>
              </w:rPr>
              <w:t>其他</w:t>
            </w:r>
          </w:p>
        </w:tc>
        <w:tc>
          <w:tcPr>
            <w:tcW w:type="dxa" w:w="2255"/>
            <w:vMerge/>
            <w:tcBorders/>
          </w:tcPr>
          <w:p/>
        </w:tc>
        <w:tc>
          <w:tcPr>
            <w:tcW w:type="dxa" w:w="2255"/>
            <w:vMerge/>
            <w:tcBorders/>
          </w:tcPr>
          <w:p/>
        </w:tc>
      </w:tr>
      <w:tr>
        <w:trPr>
          <w:trHeight w:hRule="exact" w:val="272"/>
        </w:trPr>
        <w:tc>
          <w:tcPr>
            <w:tcW w:type="dxa" w:w="4510"/>
            <w:gridSpan w:val="2"/>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45,081,228</w:t>
            </w:r>
          </w:p>
        </w:tc>
        <w:tc>
          <w:tcPr>
            <w:tcW w:type="dxa" w:w="1870"/>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48,993,650</w:t>
            </w:r>
          </w:p>
        </w:tc>
      </w:tr>
      <w:tr>
        <w:trPr>
          <w:trHeight w:hRule="exact" w:val="550"/>
        </w:trPr>
        <w:tc>
          <w:tcPr>
            <w:tcW w:type="dxa" w:w="4564"/>
            <w:gridSpan w:val="2"/>
            <w:vMerge w:val="restart"/>
            <w:tcBorders>
              <w:top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3.200000000000273" w:val="single" w:color="#000000"/>
            </w:tcBorders>
            <w:tcMar>
              <w:start w:w="0" w:type="dxa"/>
              <w:end w:w="0" w:type="dxa"/>
            </w:tcMar>
          </w:tcPr>
          <w:p>
            <w:pPr>
              <w:autoSpaceDN w:val="0"/>
              <w:autoSpaceDE w:val="0"/>
              <w:widowControl/>
              <w:spacing w:line="233" w:lineRule="auto" w:before="294" w:after="0"/>
              <w:ind w:left="466" w:right="0" w:firstLine="0"/>
              <w:jc w:val="left"/>
            </w:pPr>
            <w:r>
              <w:rPr>
                <w:rFonts w:ascii="Arial" w:hAnsi="Arial" w:eastAsia="Arial"/>
                <w:b w:val="0"/>
                <w:i w:val="0"/>
                <w:color w:val="000000"/>
                <w:sz w:val="22"/>
              </w:rPr>
              <w:t>1,393,603,997</w:t>
            </w:r>
          </w:p>
        </w:tc>
        <w:tc>
          <w:tcPr>
            <w:tcW w:type="dxa" w:w="1870"/>
            <w:tcBorders>
              <w:top w:sz="4.0" w:val="single" w:color="#000000"/>
              <w:bottom w:sz="3.200000000000273" w:val="single" w:color="#000000"/>
            </w:tcBorders>
            <w:tcMar>
              <w:start w:w="0" w:type="dxa"/>
              <w:end w:w="0" w:type="dxa"/>
            </w:tcMar>
          </w:tcPr>
          <w:p>
            <w:pPr>
              <w:autoSpaceDN w:val="0"/>
              <w:autoSpaceDE w:val="0"/>
              <w:widowControl/>
              <w:spacing w:line="233" w:lineRule="auto" w:before="294" w:after="0"/>
              <w:ind w:left="464" w:right="0" w:firstLine="0"/>
              <w:jc w:val="left"/>
            </w:pPr>
            <w:r>
              <w:rPr>
                <w:rFonts w:ascii="Arial" w:hAnsi="Arial" w:eastAsia="Arial"/>
                <w:b w:val="0"/>
                <w:i w:val="0"/>
                <w:color w:val="000000"/>
                <w:sz w:val="22"/>
              </w:rPr>
              <w:t>1,415,363,829</w:t>
            </w:r>
          </w:p>
        </w:tc>
      </w:tr>
      <w:tr>
        <w:trPr>
          <w:trHeight w:hRule="exact" w:val="54"/>
        </w:trPr>
        <w:tc>
          <w:tcPr>
            <w:tcW w:type="dxa" w:w="4510"/>
            <w:gridSpan w:val="2"/>
            <w:vMerge/>
            <w:tcBorders>
              <w:top w:sz="4.0" w:val="single" w:color="#000000"/>
            </w:tcBorders>
          </w:tcPr>
          <w:p/>
        </w:tc>
        <w:tc>
          <w:tcPr>
            <w:tcW w:type="dxa" w:w="2098"/>
            <w:tcBorders>
              <w:top w:sz="3.200000000000273" w:val="single" w:color="#000000"/>
            </w:tcBorders>
            <w:tcMar>
              <w:start w:w="0" w:type="dxa"/>
              <w:end w:w="0" w:type="dxa"/>
            </w:tcMar>
          </w:tcPr>
          <w:p/>
        </w:tc>
        <w:tc>
          <w:tcPr>
            <w:tcW w:type="dxa" w:w="1870"/>
            <w:tcBorders>
              <w:top w:sz="3.200000000000273" w:val="single" w:color="#000000"/>
            </w:tcBorders>
            <w:tcMar>
              <w:start w:w="0" w:type="dxa"/>
              <w:end w:w="0" w:type="dxa"/>
            </w:tcMar>
          </w:tcPr>
          <w:p/>
        </w:tc>
      </w:tr>
    </w:tbl>
    <w:p>
      <w:pPr>
        <w:autoSpaceDN w:val="0"/>
        <w:autoSpaceDE w:val="0"/>
        <w:widowControl/>
        <w:spacing w:line="233" w:lineRule="auto" w:before="8876" w:after="0"/>
        <w:ind w:left="0" w:right="0" w:firstLine="0"/>
        <w:jc w:val="center"/>
      </w:pPr>
      <w:r>
        <w:rPr>
          <w:rFonts w:ascii="Arial" w:hAnsi="Arial" w:eastAsia="Arial"/>
          <w:b w:val="0"/>
          <w:i w:val="0"/>
          <w:color w:val="000000"/>
          <w:sz w:val="20"/>
        </w:rPr>
        <w:t xml:space="preserve">311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1030" w:val="left"/>
        </w:tabs>
        <w:autoSpaceDE w:val="0"/>
        <w:widowControl/>
        <w:spacing w:line="436" w:lineRule="exact" w:before="0" w:after="234"/>
        <w:ind w:left="358" w:right="4608" w:firstLine="0"/>
        <w:jc w:val="left"/>
      </w:pPr>
      <w:r>
        <w:rPr>
          <w:rFonts w:ascii="黑体" w:hAnsi="黑体" w:eastAsia="黑体"/>
          <w:b w:val="0"/>
          <w:i w:val="0"/>
          <w:color w:val="000000"/>
          <w:sz w:val="22"/>
        </w:rPr>
        <w:t>十八、公司财务报表附注（续）</w:t>
      </w:r>
      <w:r>
        <w:br/>
      </w:r>
      <w:r>
        <w:rPr>
          <w:rFonts w:ascii="Arial,Bold" w:hAnsi="Arial,Bold" w:eastAsia="Arial,Bold"/>
          <w:b/>
          <w:i w:val="0"/>
          <w:color w:val="000000"/>
          <w:sz w:val="22"/>
        </w:rPr>
        <w:t xml:space="preserve">7. </w:t>
      </w:r>
      <w:r>
        <w:rPr>
          <w:rFonts w:ascii="黑体" w:hAnsi="黑体" w:eastAsia="黑体"/>
          <w:b w:val="0"/>
          <w:i w:val="0"/>
          <w:color w:val="000000"/>
          <w:sz w:val="22"/>
        </w:rPr>
        <w:t>现金流量表补充资料</w:t>
      </w:r>
      <w:r>
        <w:br/>
      </w: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黑体" w:hAnsi="黑体" w:eastAsia="黑体"/>
          <w:b w:val="0"/>
          <w:i w:val="0"/>
          <w:color w:val="000000"/>
          <w:sz w:val="22"/>
        </w:rPr>
        <w:t>将净利润调节为经营活动现金流量</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6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8" w:after="0"/>
              <w:ind w:left="198" w:right="0" w:firstLine="0"/>
              <w:jc w:val="left"/>
            </w:pPr>
            <w:r>
              <w:rPr>
                <w:rFonts w:ascii="黑体" w:hAnsi="黑体" w:eastAsia="黑体"/>
                <w:b w:val="0"/>
                <w:i w:val="0"/>
                <w:color w:val="000000"/>
                <w:sz w:val="22"/>
              </w:rPr>
              <w:t>净利润</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54" w:after="0"/>
              <w:ind w:left="0" w:right="72" w:firstLine="0"/>
              <w:jc w:val="right"/>
            </w:pPr>
            <w:r>
              <w:rPr>
                <w:rFonts w:ascii="Arial" w:hAnsi="Arial" w:eastAsia="Arial"/>
                <w:b w:val="0"/>
                <w:i w:val="0"/>
                <w:color w:val="000000"/>
                <w:sz w:val="22"/>
              </w:rPr>
              <w:t xml:space="preserve">620,167,456 </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154" w:after="0"/>
              <w:ind w:left="0" w:right="224" w:firstLine="0"/>
              <w:jc w:val="right"/>
            </w:pPr>
            <w:r>
              <w:rPr>
                <w:rFonts w:ascii="Arial" w:hAnsi="Arial" w:eastAsia="Arial"/>
                <w:b w:val="0"/>
                <w:i w:val="0"/>
                <w:color w:val="000000"/>
                <w:sz w:val="22"/>
              </w:rPr>
              <w:t>517,965,462</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198" w:right="0" w:firstLine="0"/>
              <w:jc w:val="left"/>
            </w:pPr>
            <w:r>
              <w:rPr>
                <w:rFonts w:ascii="黑体" w:hAnsi="黑体" w:eastAsia="黑体"/>
                <w:b w:val="0"/>
                <w:i w:val="0"/>
                <w:color w:val="000000"/>
                <w:sz w:val="22"/>
              </w:rPr>
              <w:t>加：信用减值计提</w:t>
            </w:r>
          </w:p>
        </w:tc>
        <w:tc>
          <w:tcPr>
            <w:tcW w:type="dxa" w:w="3006"/>
            <w:vMerge/>
            <w:tcBorders/>
          </w:tcPr>
          <w:p/>
        </w:tc>
        <w:tc>
          <w:tcPr>
            <w:tcW w:type="dxa" w:w="3006"/>
            <w:vMerge/>
            <w:tcBorders/>
          </w:tcPr>
          <w:p/>
        </w:tc>
      </w:tr>
      <w:tr>
        <w:trPr>
          <w:trHeight w:hRule="exact" w:val="238"/>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7,055,832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(17,152,472) </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638" w:right="0" w:firstLine="0"/>
              <w:jc w:val="left"/>
            </w:pPr>
            <w:r>
              <w:rPr>
                <w:rFonts w:ascii="黑体" w:hAnsi="黑体" w:eastAsia="黑体"/>
                <w:b w:val="0"/>
                <w:i w:val="0"/>
                <w:color w:val="000000"/>
                <w:sz w:val="22"/>
              </w:rPr>
              <w:t>固定资产折旧</w:t>
            </w:r>
          </w:p>
        </w:tc>
        <w:tc>
          <w:tcPr>
            <w:tcW w:type="dxa" w:w="3006"/>
            <w:vMerge/>
            <w:tcBorders/>
          </w:tcPr>
          <w:p/>
        </w:tc>
        <w:tc>
          <w:tcPr>
            <w:tcW w:type="dxa" w:w="3006"/>
            <w:vMerge/>
            <w:tcBorders/>
          </w:tcPr>
          <w:p/>
        </w:tc>
      </w:tr>
      <w:tr>
        <w:trPr>
          <w:trHeight w:hRule="exact" w:val="232"/>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2" w:firstLine="0"/>
              <w:jc w:val="right"/>
            </w:pPr>
            <w:r>
              <w:rPr>
                <w:rFonts w:ascii="Arial" w:hAnsi="Arial" w:eastAsia="Arial"/>
                <w:b w:val="0"/>
                <w:i w:val="0"/>
                <w:color w:val="000000"/>
                <w:sz w:val="22"/>
              </w:rPr>
              <w:t>57,710,766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224" w:firstLine="0"/>
              <w:jc w:val="right"/>
            </w:pPr>
            <w:r>
              <w:rPr>
                <w:rFonts w:ascii="Arial" w:hAnsi="Arial" w:eastAsia="Arial"/>
                <w:b w:val="0"/>
                <w:i w:val="0"/>
                <w:color w:val="000000"/>
                <w:sz w:val="22"/>
              </w:rPr>
              <w:t>51,832,100</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638" w:right="0" w:firstLine="0"/>
              <w:jc w:val="left"/>
            </w:pPr>
            <w:r>
              <w:rPr>
                <w:rFonts w:ascii="黑体" w:hAnsi="黑体" w:eastAsia="黑体"/>
                <w:b w:val="0"/>
                <w:i w:val="0"/>
                <w:color w:val="000000"/>
                <w:sz w:val="22"/>
              </w:rPr>
              <w:t>无形资产摊销</w:t>
            </w:r>
          </w:p>
        </w:tc>
        <w:tc>
          <w:tcPr>
            <w:tcW w:type="dxa" w:w="3006"/>
            <w:vMerge/>
            <w:tcBorders/>
          </w:tcPr>
          <w:p/>
        </w:tc>
        <w:tc>
          <w:tcPr>
            <w:tcW w:type="dxa" w:w="3006"/>
            <w:vMerge/>
            <w:tcBorders/>
          </w:tcPr>
          <w:p/>
        </w:tc>
      </w:tr>
      <w:tr>
        <w:trPr>
          <w:trHeight w:hRule="exact" w:val="248"/>
        </w:trPr>
        <w:tc>
          <w:tcPr>
            <w:tcW w:type="dxa" w:w="3006"/>
            <w:vMerge/>
            <w:tcBorders/>
          </w:tcPr>
          <w:p/>
        </w:tc>
        <w:tc>
          <w:tcPr>
            <w:tcW w:type="dxa" w:w="2098"/>
            <w:tcBorders/>
            <w:tcMar>
              <w:start w:w="0" w:type="dxa"/>
              <w:end w:w="0" w:type="dxa"/>
            </w:tcMar>
          </w:tcPr>
          <w:p>
            <w:pPr>
              <w:autoSpaceDN w:val="0"/>
              <w:autoSpaceDE w:val="0"/>
              <w:widowControl/>
              <w:spacing w:line="233" w:lineRule="auto" w:before="2" w:after="0"/>
              <w:ind w:left="0" w:right="222" w:firstLine="0"/>
              <w:jc w:val="right"/>
            </w:pPr>
            <w:r>
              <w:rPr>
                <w:rFonts w:ascii="Arial" w:hAnsi="Arial" w:eastAsia="Arial"/>
                <w:b w:val="0"/>
                <w:i w:val="0"/>
                <w:color w:val="000000"/>
                <w:sz w:val="22"/>
              </w:rPr>
              <w:t>67,234,298</w:t>
            </w:r>
          </w:p>
        </w:tc>
        <w:tc>
          <w:tcPr>
            <w:tcW w:type="dxa" w:w="2098"/>
            <w:tcBorders/>
            <w:tcMar>
              <w:start w:w="0" w:type="dxa"/>
              <w:end w:w="0" w:type="dxa"/>
            </w:tcMar>
          </w:tcPr>
          <w:p>
            <w:pPr>
              <w:autoSpaceDN w:val="0"/>
              <w:autoSpaceDE w:val="0"/>
              <w:widowControl/>
              <w:spacing w:line="233" w:lineRule="auto" w:before="2" w:after="0"/>
              <w:ind w:left="0" w:right="224" w:firstLine="0"/>
              <w:jc w:val="right"/>
            </w:pPr>
            <w:r>
              <w:rPr>
                <w:rFonts w:ascii="Arial" w:hAnsi="Arial" w:eastAsia="Arial"/>
                <w:b w:val="0"/>
                <w:i w:val="0"/>
                <w:color w:val="000000"/>
                <w:sz w:val="22"/>
              </w:rPr>
              <w:t>61,102,445</w:t>
            </w:r>
          </w:p>
        </w:tc>
      </w:tr>
      <w:tr>
        <w:trPr>
          <w:trHeight w:hRule="exact" w:val="280"/>
        </w:trPr>
        <w:tc>
          <w:tcPr>
            <w:tcW w:type="dxa" w:w="4564"/>
            <w:tcBorders/>
            <w:tcMar>
              <w:start w:w="0" w:type="dxa"/>
              <w:end w:w="0" w:type="dxa"/>
            </w:tcMar>
          </w:tcPr>
          <w:p>
            <w:pPr>
              <w:autoSpaceDN w:val="0"/>
              <w:autoSpaceDE w:val="0"/>
              <w:widowControl/>
              <w:spacing w:line="222" w:lineRule="exact" w:before="48" w:after="0"/>
              <w:ind w:left="638" w:right="0" w:firstLine="0"/>
              <w:jc w:val="left"/>
            </w:pPr>
            <w:r>
              <w:rPr>
                <w:rFonts w:ascii="黑体" w:hAnsi="黑体" w:eastAsia="黑体"/>
                <w:b w:val="0"/>
                <w:i w:val="0"/>
                <w:color w:val="000000"/>
                <w:sz w:val="22"/>
              </w:rPr>
              <w:t>长期待摊费用摊销</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222" w:firstLine="0"/>
              <w:jc w:val="right"/>
            </w:pPr>
            <w:r>
              <w:rPr>
                <w:rFonts w:ascii="Arial" w:hAnsi="Arial" w:eastAsia="Arial"/>
                <w:b w:val="0"/>
                <w:i w:val="0"/>
                <w:color w:val="000000"/>
                <w:sz w:val="22"/>
              </w:rPr>
              <w:t>26,517,576</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224" w:firstLine="0"/>
              <w:jc w:val="right"/>
            </w:pPr>
            <w:r>
              <w:rPr>
                <w:rFonts w:ascii="Arial" w:hAnsi="Arial" w:eastAsia="Arial"/>
                <w:b w:val="0"/>
                <w:i w:val="0"/>
                <w:color w:val="000000"/>
                <w:sz w:val="22"/>
              </w:rPr>
              <w:t>24,306,151</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4" w:after="0"/>
              <w:ind w:left="638" w:right="0" w:firstLine="0"/>
              <w:jc w:val="left"/>
            </w:pPr>
            <w:r>
              <w:rPr>
                <w:rFonts w:ascii="黑体" w:hAnsi="黑体" w:eastAsia="黑体"/>
                <w:b w:val="0"/>
                <w:i w:val="0"/>
                <w:color w:val="000000"/>
                <w:sz w:val="22"/>
              </w:rPr>
              <w:t>使用权资产折旧</w:t>
            </w:r>
          </w:p>
        </w:tc>
        <w:tc>
          <w:tcPr>
            <w:tcW w:type="dxa" w:w="3006"/>
            <w:vMerge/>
            <w:tcBorders/>
          </w:tcPr>
          <w:p/>
        </w:tc>
        <w:tc>
          <w:tcPr>
            <w:tcW w:type="dxa" w:w="3006"/>
            <w:vMerge/>
            <w:tcBorders/>
          </w:tcPr>
          <w:p/>
        </w:tc>
      </w:tr>
      <w:tr>
        <w:trPr>
          <w:trHeight w:hRule="exact" w:val="23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72,266,180</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74,958,000</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638" w:right="0" w:firstLine="0"/>
              <w:jc w:val="left"/>
            </w:pPr>
            <w:r>
              <w:rPr>
                <w:rFonts w:ascii="黑体" w:hAnsi="黑体" w:eastAsia="黑体"/>
                <w:b w:val="0"/>
                <w:i w:val="0"/>
                <w:color w:val="000000"/>
                <w:sz w:val="22"/>
              </w:rPr>
              <w:t>资产处置损益</w:t>
            </w:r>
          </w:p>
        </w:tc>
        <w:tc>
          <w:tcPr>
            <w:tcW w:type="dxa" w:w="3006"/>
            <w:vMerge/>
            <w:tcBorders/>
          </w:tcPr>
          <w:p/>
        </w:tc>
        <w:tc>
          <w:tcPr>
            <w:tcW w:type="dxa" w:w="3006"/>
            <w:vMerge/>
            <w:tcBorders/>
          </w:tcPr>
          <w:p/>
        </w:tc>
      </w:tr>
      <w:tr>
        <w:trPr>
          <w:trHeight w:hRule="exact" w:val="23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414,482</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(1,733,047) </w:t>
            </w:r>
          </w:p>
        </w:tc>
      </w:tr>
      <w:tr>
        <w:trPr>
          <w:trHeight w:hRule="exact" w:val="56"/>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6" w:after="0"/>
              <w:ind w:left="638" w:right="0" w:firstLine="0"/>
              <w:jc w:val="left"/>
            </w:pPr>
            <w:r>
              <w:rPr>
                <w:rFonts w:ascii="黑体" w:hAnsi="黑体" w:eastAsia="黑体"/>
                <w:b w:val="0"/>
                <w:i w:val="0"/>
                <w:color w:val="000000"/>
                <w:sz w:val="22"/>
              </w:rPr>
              <w:t>公允价值变动损益</w:t>
            </w:r>
          </w:p>
        </w:tc>
        <w:tc>
          <w:tcPr>
            <w:tcW w:type="dxa" w:w="3006"/>
            <w:vMerge/>
            <w:tcBorders/>
          </w:tcPr>
          <w:p/>
        </w:tc>
        <w:tc>
          <w:tcPr>
            <w:tcW w:type="dxa" w:w="3006"/>
            <w:vMerge/>
            <w:tcBorders/>
          </w:tcPr>
          <w:p/>
        </w:tc>
      </w:tr>
      <w:tr>
        <w:trPr>
          <w:trHeight w:hRule="exact" w:val="244"/>
        </w:trPr>
        <w:tc>
          <w:tcPr>
            <w:tcW w:type="dxa" w:w="3006"/>
            <w:vMerge/>
            <w:tcBorders/>
          </w:tcPr>
          <w:p/>
        </w:tc>
        <w:tc>
          <w:tcPr>
            <w:tcW w:type="dxa" w:w="2098"/>
            <w:tcBorders/>
            <w:tcMar>
              <w:start w:w="0" w:type="dxa"/>
              <w:end w:w="0" w:type="dxa"/>
            </w:tcMar>
          </w:tcPr>
          <w:p>
            <w:pPr>
              <w:autoSpaceDN w:val="0"/>
              <w:autoSpaceDE w:val="0"/>
              <w:widowControl/>
              <w:spacing w:line="233" w:lineRule="auto" w:before="0" w:after="0"/>
              <w:ind w:left="0" w:right="92" w:firstLine="0"/>
              <w:jc w:val="right"/>
            </w:pPr>
            <w:r>
              <w:rPr>
                <w:rFonts w:ascii="Arial" w:hAnsi="Arial" w:eastAsia="Arial"/>
                <w:b w:val="0"/>
                <w:i w:val="0"/>
                <w:color w:val="000000"/>
                <w:sz w:val="22"/>
              </w:rPr>
              <w:t xml:space="preserve">(241,756,874) </w:t>
            </w:r>
          </w:p>
        </w:tc>
        <w:tc>
          <w:tcPr>
            <w:tcW w:type="dxa" w:w="2098"/>
            <w:tcBorders/>
            <w:tcMar>
              <w:start w:w="0" w:type="dxa"/>
              <w:end w:w="0" w:type="dxa"/>
            </w:tcMar>
          </w:tcPr>
          <w:p>
            <w:pPr>
              <w:autoSpaceDN w:val="0"/>
              <w:autoSpaceDE w:val="0"/>
              <w:widowControl/>
              <w:spacing w:line="233" w:lineRule="auto" w:before="0" w:after="0"/>
              <w:ind w:left="0" w:right="92" w:firstLine="0"/>
              <w:jc w:val="right"/>
            </w:pPr>
            <w:r>
              <w:rPr>
                <w:rFonts w:ascii="Arial" w:hAnsi="Arial" w:eastAsia="Arial"/>
                <w:b w:val="0"/>
                <w:i w:val="0"/>
                <w:color w:val="000000"/>
                <w:sz w:val="22"/>
              </w:rPr>
              <w:t xml:space="preserve">(215,228,544) </w:t>
            </w:r>
          </w:p>
        </w:tc>
      </w:tr>
      <w:tr>
        <w:trPr>
          <w:trHeight w:hRule="exact" w:val="280"/>
        </w:trPr>
        <w:tc>
          <w:tcPr>
            <w:tcW w:type="dxa" w:w="4564"/>
            <w:tcBorders/>
            <w:tcMar>
              <w:start w:w="0" w:type="dxa"/>
              <w:end w:w="0" w:type="dxa"/>
            </w:tcMar>
          </w:tcPr>
          <w:p>
            <w:pPr>
              <w:autoSpaceDN w:val="0"/>
              <w:autoSpaceDE w:val="0"/>
              <w:widowControl/>
              <w:spacing w:line="220" w:lineRule="exact" w:before="52" w:after="0"/>
              <w:ind w:left="638" w:right="0" w:firstLine="0"/>
              <w:jc w:val="left"/>
            </w:pPr>
            <w:r>
              <w:rPr>
                <w:rFonts w:ascii="黑体" w:hAnsi="黑体" w:eastAsia="黑体"/>
                <w:b w:val="0"/>
                <w:i w:val="0"/>
                <w:color w:val="000000"/>
                <w:sz w:val="22"/>
              </w:rPr>
              <w:t>融资活动利息支出</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72" w:firstLine="0"/>
              <w:jc w:val="right"/>
            </w:pPr>
            <w:r>
              <w:rPr>
                <w:rFonts w:ascii="Arial" w:hAnsi="Arial" w:eastAsia="Arial"/>
                <w:b w:val="0"/>
                <w:i w:val="0"/>
                <w:color w:val="000000"/>
                <w:sz w:val="22"/>
              </w:rPr>
              <w:t xml:space="preserve">524,593,622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58" w:after="0"/>
              <w:ind w:left="0" w:right="224" w:firstLine="0"/>
              <w:jc w:val="right"/>
            </w:pPr>
            <w:r>
              <w:rPr>
                <w:rFonts w:ascii="Arial" w:hAnsi="Arial" w:eastAsia="Arial"/>
                <w:b w:val="0"/>
                <w:i w:val="0"/>
                <w:color w:val="000000"/>
                <w:sz w:val="22"/>
              </w:rPr>
              <w:t>626,992,369</w:t>
            </w:r>
          </w:p>
        </w:tc>
      </w:tr>
      <w:tr>
        <w:trPr>
          <w:trHeight w:hRule="exact" w:val="44"/>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6" w:after="0"/>
              <w:ind w:left="638" w:right="0" w:firstLine="0"/>
              <w:jc w:val="left"/>
            </w:pPr>
            <w:r>
              <w:rPr>
                <w:rFonts w:ascii="黑体" w:hAnsi="黑体" w:eastAsia="黑体"/>
                <w:b w:val="0"/>
                <w:i w:val="0"/>
                <w:color w:val="000000"/>
                <w:sz w:val="22"/>
              </w:rPr>
              <w:t>汇兑损益</w:t>
            </w:r>
          </w:p>
        </w:tc>
        <w:tc>
          <w:tcPr>
            <w:tcW w:type="dxa" w:w="3006"/>
            <w:vMerge/>
            <w:tcBorders/>
          </w:tcPr>
          <w:p/>
        </w:tc>
        <w:tc>
          <w:tcPr>
            <w:tcW w:type="dxa" w:w="3006"/>
            <w:vMerge/>
            <w:tcBorders/>
          </w:tcPr>
          <w:p/>
        </w:tc>
      </w:tr>
      <w:tr>
        <w:trPr>
          <w:trHeight w:hRule="exact" w:val="236"/>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2,515,789</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(1,228,588) </w:t>
            </w:r>
          </w:p>
        </w:tc>
      </w:tr>
      <w:tr>
        <w:trPr>
          <w:trHeight w:hRule="exact" w:val="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638" w:right="0" w:firstLine="0"/>
              <w:jc w:val="left"/>
            </w:pPr>
            <w:r>
              <w:rPr>
                <w:rFonts w:ascii="黑体" w:hAnsi="黑体" w:eastAsia="黑体"/>
                <w:b w:val="0"/>
                <w:i w:val="0"/>
                <w:color w:val="000000"/>
                <w:sz w:val="22"/>
              </w:rPr>
              <w:t>投资收益</w:t>
            </w:r>
          </w:p>
        </w:tc>
        <w:tc>
          <w:tcPr>
            <w:tcW w:type="dxa" w:w="3006"/>
            <w:vMerge/>
            <w:tcBorders/>
          </w:tcPr>
          <w:p/>
        </w:tc>
        <w:tc>
          <w:tcPr>
            <w:tcW w:type="dxa" w:w="3006"/>
            <w:vMerge/>
            <w:tcBorders/>
          </w:tcPr>
          <w:p/>
        </w:tc>
      </w:tr>
      <w:tr>
        <w:trPr>
          <w:trHeight w:hRule="exact" w:val="250"/>
        </w:trPr>
        <w:tc>
          <w:tcPr>
            <w:tcW w:type="dxa" w:w="3006"/>
            <w:vMerge/>
            <w:tcBorders/>
          </w:tcPr>
          <w:p/>
        </w:tc>
        <w:tc>
          <w:tcPr>
            <w:tcW w:type="dxa" w:w="2098"/>
            <w:tcBorders/>
            <w:tcMar>
              <w:start w:w="0" w:type="dxa"/>
              <w:end w:w="0" w:type="dxa"/>
            </w:tcMar>
          </w:tcPr>
          <w:p>
            <w:pPr>
              <w:autoSpaceDN w:val="0"/>
              <w:autoSpaceDE w:val="0"/>
              <w:widowControl/>
              <w:spacing w:line="233" w:lineRule="auto" w:before="4" w:after="0"/>
              <w:ind w:left="0" w:right="92" w:firstLine="0"/>
              <w:jc w:val="right"/>
            </w:pPr>
            <w:r>
              <w:rPr>
                <w:rFonts w:ascii="Arial" w:hAnsi="Arial" w:eastAsia="Arial"/>
                <w:b w:val="0"/>
                <w:i w:val="0"/>
                <w:color w:val="000000"/>
                <w:sz w:val="22"/>
              </w:rPr>
              <w:t xml:space="preserve">(50,024,667) </w:t>
            </w:r>
          </w:p>
        </w:tc>
        <w:tc>
          <w:tcPr>
            <w:tcW w:type="dxa" w:w="2098"/>
            <w:tcBorders/>
            <w:tcMar>
              <w:start w:w="0" w:type="dxa"/>
              <w:end w:w="0" w:type="dxa"/>
            </w:tcMar>
          </w:tcPr>
          <w:p>
            <w:pPr>
              <w:autoSpaceDN w:val="0"/>
              <w:autoSpaceDE w:val="0"/>
              <w:widowControl/>
              <w:spacing w:line="233" w:lineRule="auto" w:before="4" w:after="0"/>
              <w:ind w:left="0" w:right="92" w:firstLine="0"/>
              <w:jc w:val="right"/>
            </w:pPr>
            <w:r>
              <w:rPr>
                <w:rFonts w:ascii="Arial" w:hAnsi="Arial" w:eastAsia="Arial"/>
                <w:b w:val="0"/>
                <w:i w:val="0"/>
                <w:color w:val="000000"/>
                <w:sz w:val="22"/>
              </w:rPr>
              <w:t xml:space="preserve">(50,023,979) </w:t>
            </w:r>
          </w:p>
        </w:tc>
      </w:tr>
      <w:tr>
        <w:trPr>
          <w:trHeight w:hRule="exact" w:val="280"/>
        </w:trPr>
        <w:tc>
          <w:tcPr>
            <w:tcW w:type="dxa" w:w="4564"/>
            <w:tcBorders/>
            <w:tcMar>
              <w:start w:w="0" w:type="dxa"/>
              <w:end w:w="0" w:type="dxa"/>
            </w:tcMar>
          </w:tcPr>
          <w:p>
            <w:pPr>
              <w:autoSpaceDN w:val="0"/>
              <w:autoSpaceDE w:val="0"/>
              <w:widowControl/>
              <w:spacing w:line="220" w:lineRule="exact" w:before="48" w:after="0"/>
              <w:ind w:left="638" w:right="0" w:firstLine="0"/>
              <w:jc w:val="left"/>
            </w:pPr>
            <w:r>
              <w:rPr>
                <w:rFonts w:ascii="黑体" w:hAnsi="黑体" w:eastAsia="黑体"/>
                <w:b w:val="0"/>
                <w:i w:val="0"/>
                <w:color w:val="000000"/>
                <w:sz w:val="22"/>
              </w:rPr>
              <w:t>递延所得税费用</w:t>
            </w:r>
          </w:p>
        </w:tc>
        <w:tc>
          <w:tcPr>
            <w:tcW w:type="dxa" w:w="2098"/>
            <w:tcBorders/>
            <w:tcMar>
              <w:start w:w="0" w:type="dxa"/>
              <w:end w:w="0" w:type="dxa"/>
            </w:tcMar>
          </w:tcPr>
          <w:p>
            <w:pPr>
              <w:autoSpaceDN w:val="0"/>
              <w:autoSpaceDE w:val="0"/>
              <w:widowControl/>
              <w:spacing w:line="233" w:lineRule="auto" w:before="34" w:after="0"/>
              <w:ind w:left="0" w:right="72" w:firstLine="0"/>
              <w:jc w:val="right"/>
            </w:pPr>
            <w:r>
              <w:rPr>
                <w:rFonts w:ascii="Arial" w:hAnsi="Arial" w:eastAsia="Arial"/>
                <w:b w:val="0"/>
                <w:i w:val="0"/>
                <w:color w:val="000000"/>
                <w:sz w:val="22"/>
              </w:rPr>
              <w:t xml:space="preserve">54,132,862 </w:t>
            </w:r>
          </w:p>
        </w:tc>
        <w:tc>
          <w:tcPr>
            <w:tcW w:type="dxa" w:w="2098"/>
            <w:tcBorders/>
            <w:tcMar>
              <w:start w:w="0" w:type="dxa"/>
              <w:end w:w="0" w:type="dxa"/>
            </w:tcMar>
          </w:tcPr>
          <w:p>
            <w:pPr>
              <w:autoSpaceDN w:val="0"/>
              <w:autoSpaceDE w:val="0"/>
              <w:widowControl/>
              <w:spacing w:line="233" w:lineRule="auto" w:before="34" w:after="0"/>
              <w:ind w:left="0" w:right="224" w:firstLine="0"/>
              <w:jc w:val="right"/>
            </w:pPr>
            <w:r>
              <w:rPr>
                <w:rFonts w:ascii="Arial" w:hAnsi="Arial" w:eastAsia="Arial"/>
                <w:b w:val="0"/>
                <w:i w:val="0"/>
                <w:color w:val="000000"/>
                <w:sz w:val="22"/>
              </w:rPr>
              <w:t>56,428,434</w:t>
            </w:r>
          </w:p>
        </w:tc>
      </w:tr>
      <w:tr>
        <w:trPr>
          <w:trHeight w:hRule="exact" w:val="280"/>
        </w:trPr>
        <w:tc>
          <w:tcPr>
            <w:tcW w:type="dxa" w:w="4564"/>
            <w:tcBorders/>
            <w:tcMar>
              <w:start w:w="0" w:type="dxa"/>
              <w:end w:w="0" w:type="dxa"/>
            </w:tcMar>
          </w:tcPr>
          <w:p>
            <w:pPr>
              <w:autoSpaceDN w:val="0"/>
              <w:autoSpaceDE w:val="0"/>
              <w:widowControl/>
              <w:spacing w:line="220" w:lineRule="exact" w:before="54" w:after="0"/>
              <w:ind w:left="638" w:right="0" w:firstLine="0"/>
              <w:jc w:val="left"/>
            </w:pPr>
            <w:r>
              <w:rPr>
                <w:rFonts w:ascii="黑体" w:hAnsi="黑体" w:eastAsia="黑体"/>
                <w:b w:val="0"/>
                <w:i w:val="0"/>
                <w:color w:val="000000"/>
                <w:sz w:val="22"/>
              </w:rPr>
              <w:t>经营性应收项目的减少</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464" w:right="0" w:firstLine="0"/>
              <w:jc w:val="left"/>
            </w:pPr>
            <w:r>
              <w:rPr>
                <w:rFonts w:ascii="Arial" w:hAnsi="Arial" w:eastAsia="Arial"/>
                <w:b w:val="0"/>
                <w:i w:val="0"/>
                <w:color w:val="000000"/>
                <w:sz w:val="22"/>
              </w:rPr>
              <w:t>1,753,916,643</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60" w:after="0"/>
              <w:ind w:left="464" w:right="0" w:firstLine="0"/>
              <w:jc w:val="left"/>
            </w:pPr>
            <w:r>
              <w:rPr>
                <w:rFonts w:ascii="Arial" w:hAnsi="Arial" w:eastAsia="Arial"/>
                <w:b w:val="0"/>
                <w:i w:val="0"/>
                <w:color w:val="000000"/>
                <w:sz w:val="22"/>
              </w:rPr>
              <w:t>1,149,362,704</w:t>
            </w:r>
          </w:p>
        </w:tc>
      </w:tr>
      <w:tr>
        <w:trPr>
          <w:trHeight w:hRule="exact" w:val="46"/>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58" w:after="0"/>
              <w:ind w:left="638" w:right="0" w:firstLine="0"/>
              <w:jc w:val="left"/>
            </w:pPr>
            <w:r>
              <w:rPr>
                <w:rFonts w:ascii="黑体" w:hAnsi="黑体" w:eastAsia="黑体"/>
                <w:b w:val="0"/>
                <w:i w:val="0"/>
                <w:color w:val="000000"/>
                <w:sz w:val="22"/>
              </w:rPr>
              <w:t>经营性应付项目的增加</w:t>
            </w:r>
          </w:p>
        </w:tc>
        <w:tc>
          <w:tcPr>
            <w:tcW w:type="dxa" w:w="3006"/>
            <w:vMerge/>
            <w:tcBorders/>
          </w:tcPr>
          <w:p/>
        </w:tc>
        <w:tc>
          <w:tcPr>
            <w:tcW w:type="dxa" w:w="3006"/>
            <w:vMerge/>
            <w:tcBorders/>
          </w:tcPr>
          <w:p/>
        </w:tc>
      </w:tr>
      <w:tr>
        <w:trPr>
          <w:trHeight w:hRule="exact" w:val="272"/>
        </w:trPr>
        <w:tc>
          <w:tcPr>
            <w:tcW w:type="dxa" w:w="3006"/>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4,419,920,915</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788,336,582</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经营活动产生的现金流量净额</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466" w:right="0" w:firstLine="0"/>
              <w:jc w:val="left"/>
            </w:pPr>
            <w:r>
              <w:rPr>
                <w:rFonts w:ascii="Arial" w:hAnsi="Arial" w:eastAsia="Arial"/>
                <w:b w:val="0"/>
                <w:i w:val="0"/>
                <w:color w:val="000000"/>
                <w:sz w:val="22"/>
              </w:rPr>
              <w:t>7,314,664,880</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464" w:right="0" w:firstLine="0"/>
              <w:jc w:val="left"/>
            </w:pPr>
            <w:r>
              <w:rPr>
                <w:rFonts w:ascii="Arial" w:hAnsi="Arial" w:eastAsia="Arial"/>
                <w:b w:val="0"/>
                <w:i w:val="0"/>
                <w:color w:val="000000"/>
                <w:sz w:val="22"/>
              </w:rPr>
              <w:t>3,065,917,617</w:t>
            </w:r>
          </w:p>
        </w:tc>
      </w:tr>
      <w:tr>
        <w:trPr>
          <w:trHeight w:hRule="exact" w:val="52"/>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6" w:after="232"/>
        <w:ind w:left="312" w:right="0"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黑体" w:hAnsi="黑体" w:eastAsia="黑体"/>
          <w:b w:val="0"/>
          <w:i w:val="0"/>
          <w:color w:val="000000"/>
          <w:sz w:val="22"/>
        </w:rPr>
        <w:t>现金及现金等价物净变动情况</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6"/>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现金及现金等价物的年末余额</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0" w:after="0"/>
              <w:ind w:left="344" w:right="0" w:firstLine="0"/>
              <w:jc w:val="left"/>
            </w:pPr>
            <w:r>
              <w:rPr>
                <w:rFonts w:ascii="Arial" w:hAnsi="Arial" w:eastAsia="Arial"/>
                <w:b w:val="0"/>
                <w:i w:val="0"/>
                <w:color w:val="000000"/>
                <w:sz w:val="22"/>
              </w:rPr>
              <w:t>21,494,947,891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0" w:after="0"/>
              <w:ind w:left="342" w:right="0" w:firstLine="0"/>
              <w:jc w:val="left"/>
            </w:pPr>
            <w:r>
              <w:rPr>
                <w:rFonts w:ascii="Arial" w:hAnsi="Arial" w:eastAsia="Arial"/>
                <w:b w:val="0"/>
                <w:i w:val="0"/>
                <w:color w:val="000000"/>
                <w:sz w:val="22"/>
              </w:rPr>
              <w:t>17,066,220,824</w:t>
            </w:r>
          </w:p>
        </w:tc>
      </w:tr>
      <w:tr>
        <w:trPr>
          <w:trHeight w:hRule="exact" w:val="46"/>
        </w:trPr>
        <w:tc>
          <w:tcPr>
            <w:tcW w:type="dxa" w:w="4564"/>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减：现金及现金等价物的年初余额</w:t>
            </w:r>
          </w:p>
        </w:tc>
        <w:tc>
          <w:tcPr>
            <w:tcW w:type="dxa" w:w="3006"/>
            <w:vMerge/>
            <w:tcBorders/>
          </w:tcPr>
          <w:p/>
        </w:tc>
        <w:tc>
          <w:tcPr>
            <w:tcW w:type="dxa" w:w="3006"/>
            <w:vMerge/>
            <w:tcBorders/>
          </w:tcPr>
          <w:p/>
        </w:tc>
      </w:tr>
      <w:tr>
        <w:trPr>
          <w:trHeight w:hRule="exact" w:val="272"/>
        </w:trPr>
        <w:tc>
          <w:tcPr>
            <w:tcW w:type="dxa" w:w="3006"/>
            <w:vMerge/>
            <w:tcBorders>
              <w:bottom w:sz="3.199999999999818" w:val="single" w:color="#000000"/>
            </w:tcBorders>
          </w:tcPr>
          <w:p/>
        </w:tc>
        <w:tc>
          <w:tcPr>
            <w:tcW w:type="dxa" w:w="2098"/>
            <w:tcBorders>
              <w:bottom w:sz="3.199999999999818" w:val="single" w:color="#000000"/>
            </w:tcBorders>
            <w:tcMar>
              <w:start w:w="0" w:type="dxa"/>
              <w:end w:w="0" w:type="dxa"/>
            </w:tcMar>
          </w:tcPr>
          <w:p>
            <w:pPr>
              <w:autoSpaceDN w:val="0"/>
              <w:autoSpaceDE w:val="0"/>
              <w:widowControl/>
              <w:spacing w:line="233" w:lineRule="auto" w:before="20" w:after="0"/>
              <w:ind w:left="270" w:right="0" w:firstLine="0"/>
              <w:jc w:val="left"/>
            </w:pPr>
            <w:r>
              <w:rPr>
                <w:rFonts w:ascii="Arial" w:hAnsi="Arial" w:eastAsia="Arial"/>
                <w:b w:val="0"/>
                <w:i w:val="0"/>
                <w:color w:val="000000"/>
                <w:sz w:val="22"/>
              </w:rPr>
              <w:t xml:space="preserve">(17,066,220,824) </w:t>
            </w:r>
          </w:p>
        </w:tc>
        <w:tc>
          <w:tcPr>
            <w:tcW w:type="dxa" w:w="2098"/>
            <w:tcBorders>
              <w:bottom w:sz="3.199999999999818" w:val="single" w:color="#000000"/>
            </w:tcBorders>
            <w:tcMar>
              <w:start w:w="0" w:type="dxa"/>
              <w:end w:w="0" w:type="dxa"/>
            </w:tcMar>
          </w:tcPr>
          <w:p>
            <w:pPr>
              <w:autoSpaceDN w:val="0"/>
              <w:autoSpaceDE w:val="0"/>
              <w:widowControl/>
              <w:spacing w:line="233" w:lineRule="auto" w:before="20" w:after="0"/>
              <w:ind w:left="268" w:right="0" w:firstLine="0"/>
              <w:jc w:val="left"/>
            </w:pPr>
            <w:r>
              <w:rPr>
                <w:rFonts w:ascii="Arial" w:hAnsi="Arial" w:eastAsia="Arial"/>
                <w:b w:val="0"/>
                <w:i w:val="0"/>
                <w:color w:val="000000"/>
                <w:sz w:val="22"/>
              </w:rPr>
              <w:t xml:space="preserve">(16,135,433,255) </w:t>
            </w:r>
          </w:p>
        </w:tc>
      </w:tr>
      <w:tr>
        <w:trPr>
          <w:trHeight w:hRule="exact" w:val="552"/>
        </w:trPr>
        <w:tc>
          <w:tcPr>
            <w:tcW w:type="dxa" w:w="4564"/>
            <w:tcBorders>
              <w:top w:sz="3.199999999999818"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现金及现金等价物净增加额</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2" w:after="0"/>
              <w:ind w:left="466" w:right="0" w:firstLine="0"/>
              <w:jc w:val="left"/>
            </w:pPr>
            <w:r>
              <w:rPr>
                <w:rFonts w:ascii="Arial" w:hAnsi="Arial" w:eastAsia="Arial"/>
                <w:b w:val="0"/>
                <w:i w:val="0"/>
                <w:color w:val="000000"/>
                <w:sz w:val="22"/>
              </w:rPr>
              <w:t>4,428,727,067</w:t>
            </w:r>
          </w:p>
        </w:tc>
        <w:tc>
          <w:tcPr>
            <w:tcW w:type="dxa" w:w="2098"/>
            <w:tcBorders>
              <w:top w:sz="3.199999999999818" w:val="single" w:color="#000000"/>
              <w:bottom w:sz="4.0" w:val="single" w:color="#000000"/>
            </w:tcBorders>
            <w:tcMar>
              <w:start w:w="0" w:type="dxa"/>
              <w:end w:w="0" w:type="dxa"/>
            </w:tcMar>
          </w:tcPr>
          <w:p>
            <w:pPr>
              <w:autoSpaceDN w:val="0"/>
              <w:autoSpaceDE w:val="0"/>
              <w:widowControl/>
              <w:spacing w:line="233" w:lineRule="auto" w:before="292" w:after="0"/>
              <w:ind w:left="0" w:right="224" w:firstLine="0"/>
              <w:jc w:val="right"/>
            </w:pPr>
            <w:r>
              <w:rPr>
                <w:rFonts w:ascii="Arial" w:hAnsi="Arial" w:eastAsia="Arial"/>
                <w:b w:val="0"/>
                <w:i w:val="0"/>
                <w:color w:val="000000"/>
                <w:sz w:val="22"/>
              </w:rPr>
              <w:t>930,787,569</w:t>
            </w:r>
          </w:p>
        </w:tc>
      </w:tr>
      <w:tr>
        <w:trPr>
          <w:trHeight w:hRule="exact" w:val="50"/>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33" w:lineRule="auto" w:before="4718" w:after="0"/>
        <w:ind w:left="0" w:right="0" w:firstLine="0"/>
        <w:jc w:val="center"/>
      </w:pPr>
      <w:r>
        <w:rPr>
          <w:rFonts w:ascii="Arial" w:hAnsi="Arial" w:eastAsia="Arial"/>
          <w:b w:val="0"/>
          <w:i w:val="0"/>
          <w:color w:val="000000"/>
          <w:sz w:val="20"/>
        </w:rPr>
        <w:t xml:space="preserve">312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358" w:val="left"/>
          <w:tab w:pos="1030" w:val="left"/>
          <w:tab w:pos="4958" w:val="left"/>
          <w:tab w:pos="7054" w:val="left"/>
        </w:tabs>
        <w:autoSpaceDE w:val="0"/>
        <w:widowControl/>
        <w:spacing w:line="474" w:lineRule="exact" w:before="0" w:after="32"/>
        <w:ind w:left="312" w:right="288" w:firstLine="0"/>
        <w:jc w:val="left"/>
      </w:pPr>
      <w:r>
        <w:rPr>
          <w:rFonts w:ascii="黑体" w:hAnsi="黑体" w:eastAsia="黑体"/>
          <w:b w:val="0"/>
          <w:i w:val="0"/>
          <w:color w:val="000000"/>
          <w:sz w:val="22"/>
        </w:rPr>
        <w:t>十八、公司财务报表附注（续）</w:t>
      </w:r>
      <w:r>
        <w:br/>
      </w:r>
      <w:r>
        <w:rPr>
          <w:rFonts w:ascii="Arial,Bold" w:hAnsi="Arial,Bold" w:eastAsia="Arial,Bold"/>
          <w:b/>
          <w:i w:val="0"/>
          <w:color w:val="000000"/>
          <w:sz w:val="22"/>
        </w:rPr>
        <w:t xml:space="preserve">7. </w:t>
      </w:r>
      <w:r>
        <w:tab/>
      </w:r>
      <w:r>
        <w:rPr>
          <w:rFonts w:ascii="黑体" w:hAnsi="黑体" w:eastAsia="黑体"/>
          <w:b w:val="0"/>
          <w:i w:val="0"/>
          <w:color w:val="000000"/>
          <w:sz w:val="22"/>
        </w:rPr>
        <w:t>现金流量表补充资料（续）</w:t>
      </w:r>
      <w:r>
        <w:br/>
      </w:r>
      <w:r>
        <w:rPr>
          <w:rFonts w:ascii="黑体" w:hAnsi="黑体" w:eastAsia="黑体"/>
          <w:b w:val="0"/>
          <w:i w:val="0"/>
          <w:color w:val="000000"/>
          <w:sz w:val="22"/>
        </w:rPr>
        <w:t>（</w:t>
      </w:r>
      <w:r>
        <w:rPr>
          <w:rFonts w:ascii="Arial" w:hAnsi="Arial" w:eastAsia="Arial"/>
          <w:b w:val="0"/>
          <w:i w:val="0"/>
          <w:color w:val="000000"/>
          <w:sz w:val="22"/>
        </w:rPr>
        <w:t>3</w:t>
      </w:r>
      <w:r>
        <w:rPr>
          <w:rFonts w:ascii="黑体" w:hAnsi="黑体" w:eastAsia="黑体"/>
          <w:b w:val="0"/>
          <w:i w:val="0"/>
          <w:color w:val="000000"/>
          <w:sz w:val="22"/>
        </w:rPr>
        <w:t>）</w:t>
      </w:r>
      <w:r>
        <w:rPr>
          <w:rFonts w:ascii="黑体" w:hAnsi="黑体" w:eastAsia="黑体"/>
          <w:b w:val="0"/>
          <w:i w:val="0"/>
          <w:color w:val="000000"/>
          <w:sz w:val="22"/>
        </w:rPr>
        <w:t>现金及现金等价物的构成</w:t>
      </w:r>
      <w:r>
        <w:br/>
      </w:r>
      <w:r>
        <w:tab/>
      </w:r>
      <w:r>
        <w:tab/>
      </w:r>
      <w:r>
        <w:rPr>
          <w:rFonts w:ascii="Arial" w:hAnsi="Arial" w:eastAsia="Arial"/>
          <w:b w:val="0"/>
          <w:i w:val="0"/>
          <w:color w:val="000000"/>
          <w:sz w:val="22"/>
        </w:rPr>
        <w:t>2024</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tab/>
      </w:r>
      <w:r>
        <w:rPr>
          <w:rFonts w:ascii="Arial" w:hAnsi="Arial" w:eastAsia="Arial"/>
          <w:b w:val="0"/>
          <w:i w:val="0"/>
          <w:color w:val="000000"/>
          <w:sz w:val="22"/>
        </w:rPr>
        <w:t>2023</w:t>
      </w:r>
      <w:r>
        <w:rPr>
          <w:rFonts w:ascii="黑体" w:hAnsi="黑体" w:eastAsia="黑体"/>
          <w:b w:val="0"/>
          <w:i w:val="0"/>
          <w:color w:val="000000"/>
          <w:sz w:val="22"/>
        </w:rPr>
        <w:t>年</w:t>
      </w:r>
      <w:r>
        <w:rPr>
          <w:rFonts w:ascii="Arial" w:hAnsi="Arial" w:eastAsia="Arial"/>
          <w:b w:val="0"/>
          <w:i w:val="0"/>
          <w:color w:val="000000"/>
          <w:sz w:val="22"/>
        </w:rPr>
        <w:t>12</w:t>
      </w:r>
      <w:r>
        <w:rPr>
          <w:rFonts w:ascii="黑体" w:hAnsi="黑体" w:eastAsia="黑体"/>
          <w:b w:val="0"/>
          <w:i w:val="0"/>
          <w:color w:val="000000"/>
          <w:sz w:val="22"/>
        </w:rPr>
        <w:t>月</w:t>
      </w:r>
      <w:r>
        <w:rPr>
          <w:rFonts w:ascii="Arial" w:hAnsi="Arial" w:eastAsia="Arial"/>
          <w:b w:val="0"/>
          <w:i w:val="0"/>
          <w:color w:val="000000"/>
          <w:sz w:val="22"/>
        </w:rPr>
        <w:t>31</w:t>
      </w:r>
      <w:r>
        <w:rPr>
          <w:rFonts w:ascii="黑体" w:hAnsi="黑体" w:eastAsia="黑体"/>
          <w:b w:val="0"/>
          <w:i w:val="0"/>
          <w:color w:val="000000"/>
          <w:sz w:val="22"/>
        </w:rPr>
        <w:t>日</w:t>
      </w:r>
      <w:r>
        <w:rPr>
          <w:rFonts w:ascii="黑体" w:hAnsi="黑体" w:eastAsia="黑体"/>
          <w:b w:val="0"/>
          <w:i w:val="0"/>
          <w:color w:val="000000"/>
          <w:sz w:val="22"/>
        </w:rPr>
        <w:t>现金</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258"/>
        </w:trPr>
        <w:tc>
          <w:tcPr>
            <w:tcW w:type="dxa" w:w="4564"/>
            <w:tcBorders/>
            <w:tcMar>
              <w:start w:w="0" w:type="dxa"/>
              <w:end w:w="0" w:type="dxa"/>
            </w:tcMar>
          </w:tcPr>
          <w:p>
            <w:pPr>
              <w:autoSpaceDN w:val="0"/>
              <w:autoSpaceDE w:val="0"/>
              <w:widowControl/>
              <w:spacing w:line="222" w:lineRule="exact" w:before="32" w:after="0"/>
              <w:ind w:left="198" w:right="0" w:firstLine="0"/>
              <w:jc w:val="left"/>
            </w:pPr>
            <w:r>
              <w:rPr>
                <w:rFonts w:ascii="黑体" w:hAnsi="黑体" w:eastAsia="黑体"/>
                <w:b w:val="0"/>
                <w:i w:val="0"/>
                <w:color w:val="000000"/>
                <w:sz w:val="22"/>
              </w:rPr>
              <w:t>其中：可随时用于支付的银行存款</w:t>
            </w: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40" w:after="0"/>
              <w:ind w:left="344" w:right="0" w:firstLine="0"/>
              <w:jc w:val="left"/>
            </w:pPr>
            <w:r>
              <w:rPr>
                <w:rFonts w:ascii="Arial" w:hAnsi="Arial" w:eastAsia="Arial"/>
                <w:b w:val="0"/>
                <w:i w:val="0"/>
                <w:color w:val="000000"/>
                <w:sz w:val="22"/>
              </w:rPr>
              <w:t>16,359,895,368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40" w:after="0"/>
              <w:ind w:left="0" w:right="0" w:firstLine="0"/>
              <w:jc w:val="right"/>
            </w:pPr>
            <w:r>
              <w:rPr>
                <w:rFonts w:ascii="Arial" w:hAnsi="Arial" w:eastAsia="Arial"/>
                <w:b w:val="0"/>
                <w:i w:val="0"/>
                <w:color w:val="000000"/>
                <w:sz w:val="22"/>
              </w:rPr>
              <w:t>14,420,070,059</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858" w:right="0" w:firstLine="0"/>
              <w:jc w:val="left"/>
            </w:pPr>
            <w:r>
              <w:rPr>
                <w:rFonts w:ascii="黑体" w:hAnsi="黑体" w:eastAsia="黑体"/>
                <w:b w:val="0"/>
                <w:i w:val="0"/>
                <w:color w:val="000000"/>
                <w:sz w:val="22"/>
              </w:rPr>
              <w:t>可随时用于支付的其他货币资金</w:t>
            </w:r>
          </w:p>
        </w:tc>
        <w:tc>
          <w:tcPr>
            <w:tcW w:type="dxa" w:w="3006"/>
            <w:vMerge/>
            <w:tcBorders/>
          </w:tcPr>
          <w:p/>
        </w:tc>
        <w:tc>
          <w:tcPr>
            <w:tcW w:type="dxa" w:w="3006"/>
            <w:vMerge/>
            <w:tcBorders/>
          </w:tcPr>
          <w:p/>
        </w:tc>
      </w:tr>
      <w:tr>
        <w:trPr>
          <w:trHeight w:hRule="exact" w:val="232"/>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53,470,574</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8" w:after="0"/>
              <w:ind w:left="0" w:right="0" w:firstLine="0"/>
              <w:jc w:val="right"/>
            </w:pPr>
            <w:r>
              <w:rPr>
                <w:rFonts w:ascii="Arial" w:hAnsi="Arial" w:eastAsia="Arial"/>
                <w:b w:val="0"/>
                <w:i w:val="0"/>
                <w:color w:val="000000"/>
                <w:sz w:val="22"/>
              </w:rPr>
              <w:t>18,778,580</w:t>
            </w:r>
          </w:p>
        </w:tc>
      </w:tr>
      <w:tr>
        <w:trPr>
          <w:trHeight w:hRule="exact" w:val="52"/>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6" w:after="0"/>
              <w:ind w:left="858" w:right="0" w:firstLine="0"/>
              <w:jc w:val="left"/>
            </w:pPr>
            <w:r>
              <w:rPr>
                <w:rFonts w:ascii="黑体" w:hAnsi="黑体" w:eastAsia="黑体"/>
                <w:b w:val="0"/>
                <w:i w:val="0"/>
                <w:color w:val="000000"/>
                <w:sz w:val="22"/>
              </w:rPr>
              <w:t>结算备付金</w:t>
            </w:r>
          </w:p>
        </w:tc>
        <w:tc>
          <w:tcPr>
            <w:tcW w:type="dxa" w:w="3006"/>
            <w:vMerge/>
            <w:tcBorders/>
          </w:tcPr>
          <w:p/>
        </w:tc>
        <w:tc>
          <w:tcPr>
            <w:tcW w:type="dxa" w:w="3006"/>
            <w:vMerge/>
            <w:tcBorders/>
          </w:tcPr>
          <w:p/>
        </w:tc>
      </w:tr>
      <w:tr>
        <w:trPr>
          <w:trHeight w:hRule="exact" w:val="272"/>
        </w:trPr>
        <w:tc>
          <w:tcPr>
            <w:tcW w:type="dxa" w:w="3006"/>
            <w:vMerge/>
            <w:tcBorders>
              <w:bottom w:sz="4.0" w:val="single" w:color="#000000"/>
            </w:tcBorders>
          </w:tcPr>
          <w:p/>
        </w:tc>
        <w:tc>
          <w:tcPr>
            <w:tcW w:type="dxa" w:w="1870"/>
            <w:tcBorders>
              <w:bottom w:sz="4.0" w:val="single" w:color="#000000"/>
            </w:tcBorders>
            <w:tcMar>
              <w:start w:w="0" w:type="dxa"/>
              <w:end w:w="0" w:type="dxa"/>
            </w:tcMar>
          </w:tcPr>
          <w:p>
            <w:pPr>
              <w:autoSpaceDN w:val="0"/>
              <w:autoSpaceDE w:val="0"/>
              <w:widowControl/>
              <w:spacing w:line="233" w:lineRule="auto" w:before="20" w:after="0"/>
              <w:ind w:left="466" w:right="0" w:firstLine="0"/>
              <w:jc w:val="left"/>
            </w:pPr>
            <w:r>
              <w:rPr>
                <w:rFonts w:ascii="Arial" w:hAnsi="Arial" w:eastAsia="Arial"/>
                <w:b w:val="0"/>
                <w:i w:val="0"/>
                <w:color w:val="000000"/>
                <w:sz w:val="22"/>
              </w:rPr>
              <w:t>5,081,581,949</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0" w:firstLine="0"/>
              <w:jc w:val="right"/>
            </w:pPr>
            <w:r>
              <w:rPr>
                <w:rFonts w:ascii="Arial" w:hAnsi="Arial" w:eastAsia="Arial"/>
                <w:b w:val="0"/>
                <w:i w:val="0"/>
                <w:color w:val="000000"/>
                <w:sz w:val="22"/>
              </w:rPr>
              <w:t>2,627,372,185</w:t>
            </w:r>
          </w:p>
        </w:tc>
      </w:tr>
      <w:tr>
        <w:trPr>
          <w:trHeight w:hRule="exact" w:val="552"/>
        </w:trPr>
        <w:tc>
          <w:tcPr>
            <w:tcW w:type="dxa" w:w="4564"/>
            <w:tcBorders>
              <w:top w:sz="4.0" w:val="single" w:color="#000000"/>
              <w:bottom w:sz="4.0" w:val="single" w:color="#000000"/>
            </w:tcBorders>
            <w:tcMar>
              <w:start w:w="0" w:type="dxa"/>
              <w:end w:w="0" w:type="dxa"/>
            </w:tcMar>
          </w:tcPr>
          <w:p>
            <w:pPr>
              <w:autoSpaceDN w:val="0"/>
              <w:autoSpaceDE w:val="0"/>
              <w:widowControl/>
              <w:spacing w:line="222" w:lineRule="exact" w:before="284" w:after="0"/>
              <w:ind w:left="198" w:right="0" w:firstLine="0"/>
              <w:jc w:val="left"/>
            </w:pPr>
            <w:r>
              <w:rPr>
                <w:rFonts w:ascii="黑体" w:hAnsi="黑体" w:eastAsia="黑体"/>
                <w:b w:val="0"/>
                <w:i w:val="0"/>
                <w:color w:val="000000"/>
                <w:sz w:val="22"/>
              </w:rPr>
              <w:t>现金及现金等价物余额</w:t>
            </w:r>
          </w:p>
        </w:tc>
        <w:tc>
          <w:tcPr>
            <w:tcW w:type="dxa" w:w="1870"/>
            <w:tcBorders>
              <w:top w:sz="4.0" w:val="single" w:color="#000000"/>
              <w:bottom w:sz="4.0" w:val="single" w:color="#000000"/>
            </w:tcBorders>
            <w:tcMar>
              <w:start w:w="0" w:type="dxa"/>
              <w:end w:w="0" w:type="dxa"/>
            </w:tcMar>
          </w:tcPr>
          <w:p>
            <w:pPr>
              <w:autoSpaceDN w:val="0"/>
              <w:autoSpaceDE w:val="0"/>
              <w:widowControl/>
              <w:spacing w:line="233" w:lineRule="auto" w:before="294" w:after="0"/>
              <w:ind w:left="344" w:right="0" w:firstLine="0"/>
              <w:jc w:val="left"/>
            </w:pPr>
            <w:r>
              <w:rPr>
                <w:rFonts w:ascii="Arial" w:hAnsi="Arial" w:eastAsia="Arial"/>
                <w:b w:val="0"/>
                <w:i w:val="0"/>
                <w:color w:val="000000"/>
                <w:sz w:val="22"/>
              </w:rPr>
              <w:t>21,494,947,891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4" w:after="0"/>
              <w:ind w:left="0" w:right="0" w:firstLine="0"/>
              <w:jc w:val="right"/>
            </w:pPr>
            <w:r>
              <w:rPr>
                <w:rFonts w:ascii="Arial" w:hAnsi="Arial" w:eastAsia="Arial"/>
                <w:b w:val="0"/>
                <w:i w:val="0"/>
                <w:color w:val="000000"/>
                <w:sz w:val="22"/>
              </w:rPr>
              <w:t>17,066,220,824</w:t>
            </w:r>
          </w:p>
        </w:tc>
      </w:tr>
      <w:tr>
        <w:trPr>
          <w:trHeight w:hRule="exact" w:val="52"/>
        </w:trPr>
        <w:tc>
          <w:tcPr>
            <w:tcW w:type="dxa" w:w="4564"/>
            <w:tcBorders>
              <w:top w:sz="4.0" w:val="single" w:color="#000000"/>
            </w:tcBorders>
            <w:tcMar>
              <w:start w:w="0" w:type="dxa"/>
              <w:end w:w="0" w:type="dxa"/>
            </w:tcMar>
          </w:tcPr>
          <w:p/>
        </w:tc>
        <w:tc>
          <w:tcPr>
            <w:tcW w:type="dxa" w:w="1870"/>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46" w:lineRule="exact" w:before="244" w:after="232"/>
        <w:ind w:left="312" w:right="0" w:firstLine="0"/>
        <w:jc w:val="left"/>
      </w:pPr>
      <w:r>
        <w:rPr>
          <w:rFonts w:ascii="黑体" w:hAnsi="黑体" w:eastAsia="黑体"/>
          <w:b w:val="0"/>
          <w:i w:val="0"/>
          <w:color w:val="000000"/>
          <w:sz w:val="22"/>
        </w:rPr>
        <w:t>（</w:t>
      </w:r>
      <w:r>
        <w:rPr>
          <w:rFonts w:ascii="Arial" w:hAnsi="Arial" w:eastAsia="Arial"/>
          <w:b w:val="0"/>
          <w:i w:val="0"/>
          <w:color w:val="000000"/>
          <w:sz w:val="22"/>
        </w:rPr>
        <w:t>4</w:t>
      </w:r>
      <w:r>
        <w:rPr>
          <w:rFonts w:ascii="黑体" w:hAnsi="黑体" w:eastAsia="黑体"/>
          <w:b w:val="0"/>
          <w:i w:val="0"/>
          <w:color w:val="000000"/>
          <w:sz w:val="22"/>
        </w:rPr>
        <w:t>）</w:t>
      </w:r>
      <w:r>
        <w:rPr>
          <w:rFonts w:ascii="黑体" w:hAnsi="黑体" w:eastAsia="黑体"/>
          <w:b w:val="0"/>
          <w:i w:val="0"/>
          <w:color w:val="000000"/>
          <w:sz w:val="22"/>
        </w:rPr>
        <w:t>不属于现金及现金等价物的货币资金</w:t>
      </w:r>
    </w:p>
    <w:tbl>
      <w:tblPr>
        <w:tblW w:type="auto" w:w="0"/>
        <w:tblLayout w:type="fixed"/>
        <w:tblLook w:firstColumn="1" w:firstRow="1" w:lastColumn="0" w:lastRow="0" w:noHBand="0" w:noVBand="1" w:val="04A0"/>
        <w:tblInd w:w="160.0" w:type="dxa"/>
      </w:tblPr>
      <w:tblGrid>
        <w:gridCol w:w="3006"/>
        <w:gridCol w:w="3006"/>
        <w:gridCol w:w="3006"/>
      </w:tblGrid>
      <w:tr>
        <w:trPr>
          <w:trHeight w:hRule="exact" w:val="45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06" w:after="0"/>
              <w:ind w:left="198" w:right="0" w:firstLine="0"/>
              <w:jc w:val="left"/>
            </w:pPr>
            <w:r>
              <w:rPr>
                <w:rFonts w:ascii="黑体" w:hAnsi="黑体" w:eastAsia="黑体"/>
                <w:b w:val="0"/>
                <w:i w:val="0"/>
                <w:color w:val="000000"/>
                <w:sz w:val="22"/>
              </w:rPr>
              <w:t>三个月以上的定期存款</w:t>
            </w:r>
          </w:p>
        </w:tc>
        <w:tc>
          <w:tcPr>
            <w:tcW w:type="dxa" w:w="1870"/>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0"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6"/>
            <w:vMerge/>
            <w:tcBorders/>
          </w:tcPr>
          <w:p/>
        </w:tc>
        <w:tc>
          <w:tcPr>
            <w:tcW w:type="dxa" w:w="1870"/>
            <w:vMerge w:val="restart"/>
            <w:tcBorders/>
            <w:tcMar>
              <w:start w:w="0" w:type="dxa"/>
              <w:end w:w="0" w:type="dxa"/>
            </w:tcMar>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26,250,961</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66" w:after="0"/>
              <w:ind w:left="0" w:right="0" w:firstLine="0"/>
              <w:jc w:val="right"/>
            </w:pPr>
            <w:r>
              <w:rPr>
                <w:rFonts w:ascii="Arial" w:hAnsi="Arial" w:eastAsia="Arial"/>
                <w:b w:val="0"/>
                <w:i w:val="0"/>
                <w:color w:val="000000"/>
                <w:sz w:val="22"/>
              </w:rPr>
              <w:t>20,702,492</w:t>
            </w:r>
          </w:p>
        </w:tc>
      </w:tr>
      <w:tr>
        <w:trPr>
          <w:trHeight w:hRule="exact" w:val="5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2" w:after="0"/>
              <w:ind w:left="198" w:right="0" w:firstLine="0"/>
              <w:jc w:val="left"/>
            </w:pPr>
            <w:r>
              <w:rPr>
                <w:rFonts w:ascii="黑体" w:hAnsi="黑体" w:eastAsia="黑体"/>
                <w:b w:val="0"/>
                <w:i w:val="0"/>
                <w:color w:val="000000"/>
                <w:sz w:val="22"/>
              </w:rPr>
              <w:t>使用受到限制的银行存款</w:t>
            </w:r>
          </w:p>
        </w:tc>
        <w:tc>
          <w:tcPr>
            <w:tcW w:type="dxa" w:w="3006"/>
            <w:vMerge/>
            <w:tcBorders/>
          </w:tcPr>
          <w:p/>
        </w:tc>
        <w:tc>
          <w:tcPr>
            <w:tcW w:type="dxa" w:w="3006"/>
            <w:vMerge/>
            <w:tcBorders/>
          </w:tcPr>
          <w:p/>
        </w:tc>
      </w:tr>
      <w:tr>
        <w:trPr>
          <w:trHeight w:hRule="exact" w:val="248"/>
        </w:trPr>
        <w:tc>
          <w:tcPr>
            <w:tcW w:type="dxa" w:w="3006"/>
            <w:vMerge/>
            <w:tcBorders/>
          </w:tcPr>
          <w:p/>
        </w:tc>
        <w:tc>
          <w:tcPr>
            <w:tcW w:type="dxa" w:w="1870"/>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66,300,277</w:t>
            </w:r>
          </w:p>
        </w:tc>
        <w:tc>
          <w:tcPr>
            <w:tcW w:type="dxa" w:w="2098"/>
            <w:tcBorders/>
            <w:tcMar>
              <w:start w:w="0" w:type="dxa"/>
              <w:end w:w="0" w:type="dxa"/>
            </w:tcMar>
          </w:tcPr>
          <w:p>
            <w:pPr>
              <w:autoSpaceDN w:val="0"/>
              <w:autoSpaceDE w:val="0"/>
              <w:widowControl/>
              <w:spacing w:line="233" w:lineRule="auto" w:before="2" w:after="0"/>
              <w:ind w:left="0" w:right="0" w:firstLine="0"/>
              <w:jc w:val="right"/>
            </w:pPr>
            <w:r>
              <w:rPr>
                <w:rFonts w:ascii="Arial" w:hAnsi="Arial" w:eastAsia="Arial"/>
                <w:b w:val="0"/>
                <w:i w:val="0"/>
                <w:color w:val="000000"/>
                <w:sz w:val="22"/>
              </w:rPr>
              <w:t>48,588,662</w:t>
            </w:r>
          </w:p>
        </w:tc>
      </w:tr>
      <w:tr>
        <w:trPr>
          <w:trHeight w:hRule="exact" w:val="312"/>
        </w:trPr>
        <w:tc>
          <w:tcPr>
            <w:tcW w:type="dxa" w:w="4564"/>
            <w:tcBorders>
              <w:bottom w:sz="4.0" w:val="single" w:color="#000000"/>
            </w:tcBorders>
            <w:tcMar>
              <w:start w:w="0" w:type="dxa"/>
              <w:end w:w="0" w:type="dxa"/>
            </w:tcMar>
          </w:tcPr>
          <w:p>
            <w:pPr>
              <w:autoSpaceDN w:val="0"/>
              <w:autoSpaceDE w:val="0"/>
              <w:widowControl/>
              <w:spacing w:line="222" w:lineRule="exact" w:before="48" w:after="0"/>
              <w:ind w:left="198" w:right="0" w:firstLine="0"/>
              <w:jc w:val="left"/>
            </w:pPr>
            <w:r>
              <w:rPr>
                <w:rFonts w:ascii="黑体" w:hAnsi="黑体" w:eastAsia="黑体"/>
                <w:b w:val="0"/>
                <w:i w:val="0"/>
                <w:color w:val="000000"/>
                <w:sz w:val="22"/>
              </w:rPr>
              <w:t>应计利息</w:t>
            </w:r>
          </w:p>
        </w:tc>
        <w:tc>
          <w:tcPr>
            <w:tcW w:type="dxa" w:w="1870"/>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15,673,131</w:t>
            </w:r>
          </w:p>
        </w:tc>
        <w:tc>
          <w:tcPr>
            <w:tcW w:type="dxa" w:w="2098"/>
            <w:tcBorders>
              <w:bottom w:sz="4.0" w:val="single" w:color="#000000"/>
            </w:tcBorders>
            <w:tcMar>
              <w:start w:w="0" w:type="dxa"/>
              <w:end w:w="0" w:type="dxa"/>
            </w:tcMar>
          </w:tcPr>
          <w:p>
            <w:pPr>
              <w:autoSpaceDN w:val="0"/>
              <w:autoSpaceDE w:val="0"/>
              <w:widowControl/>
              <w:spacing w:line="233" w:lineRule="auto" w:before="58" w:after="0"/>
              <w:ind w:left="0" w:right="0" w:firstLine="0"/>
              <w:jc w:val="right"/>
            </w:pPr>
            <w:r>
              <w:rPr>
                <w:rFonts w:ascii="Arial" w:hAnsi="Arial" w:eastAsia="Arial"/>
                <w:b w:val="0"/>
                <w:i w:val="0"/>
                <w:color w:val="000000"/>
                <w:sz w:val="22"/>
              </w:rPr>
              <w:t>16,474,311</w:t>
            </w:r>
          </w:p>
        </w:tc>
      </w:tr>
      <w:tr>
        <w:trPr>
          <w:trHeight w:hRule="exact" w:val="548"/>
        </w:trPr>
        <w:tc>
          <w:tcPr>
            <w:tcW w:type="dxa" w:w="4564"/>
            <w:tcBorders>
              <w:top w:sz="4.0" w:val="single" w:color="#000000"/>
              <w:bottom w:sz="3.199999999999818" w:val="single" w:color="#000000"/>
            </w:tcBorders>
            <w:tcMar>
              <w:start w:w="0" w:type="dxa"/>
              <w:end w:w="0" w:type="dxa"/>
            </w:tcMar>
          </w:tcPr>
          <w:p>
            <w:pPr>
              <w:autoSpaceDN w:val="0"/>
              <w:autoSpaceDE w:val="0"/>
              <w:widowControl/>
              <w:spacing w:line="220" w:lineRule="exact" w:before="280" w:after="0"/>
              <w:ind w:left="198" w:right="0" w:firstLine="0"/>
              <w:jc w:val="left"/>
            </w:pPr>
            <w:r>
              <w:rPr>
                <w:rFonts w:ascii="黑体" w:hAnsi="黑体" w:eastAsia="黑体"/>
                <w:b w:val="0"/>
                <w:i w:val="0"/>
                <w:color w:val="000000"/>
                <w:sz w:val="22"/>
              </w:rPr>
              <w:t>不属于现金及现金等价物的货币资金</w:t>
            </w:r>
          </w:p>
        </w:tc>
        <w:tc>
          <w:tcPr>
            <w:tcW w:type="dxa" w:w="1870"/>
            <w:tcBorders>
              <w:top w:sz="4.0" w:val="single" w:color="#000000"/>
              <w:bottom w:sz="3.199999999999818" w:val="single" w:color="#000000"/>
            </w:tcBorders>
            <w:tcMar>
              <w:start w:w="0" w:type="dxa"/>
              <w:end w:w="0" w:type="dxa"/>
            </w:tcMar>
          </w:tcPr>
          <w:p>
            <w:pPr>
              <w:autoSpaceDN w:val="0"/>
              <w:autoSpaceDE w:val="0"/>
              <w:widowControl/>
              <w:spacing w:line="233" w:lineRule="auto" w:before="286" w:after="0"/>
              <w:ind w:left="0" w:right="0" w:firstLine="0"/>
              <w:jc w:val="right"/>
            </w:pPr>
            <w:r>
              <w:rPr>
                <w:rFonts w:ascii="Arial" w:hAnsi="Arial" w:eastAsia="Arial"/>
                <w:b w:val="0"/>
                <w:i w:val="0"/>
                <w:color w:val="000000"/>
                <w:sz w:val="22"/>
              </w:rPr>
              <w:t>108,224,369</w:t>
            </w:r>
          </w:p>
        </w:tc>
        <w:tc>
          <w:tcPr>
            <w:tcW w:type="dxa" w:w="2098"/>
            <w:tcBorders>
              <w:top w:sz="4.0" w:val="single" w:color="#000000"/>
              <w:bottom w:sz="3.199999999999818" w:val="single" w:color="#000000"/>
            </w:tcBorders>
            <w:tcMar>
              <w:start w:w="0" w:type="dxa"/>
              <w:end w:w="0" w:type="dxa"/>
            </w:tcMar>
          </w:tcPr>
          <w:p>
            <w:pPr>
              <w:autoSpaceDN w:val="0"/>
              <w:autoSpaceDE w:val="0"/>
              <w:widowControl/>
              <w:spacing w:line="233" w:lineRule="auto" w:before="286" w:after="0"/>
              <w:ind w:left="0" w:right="0" w:firstLine="0"/>
              <w:jc w:val="right"/>
            </w:pPr>
            <w:r>
              <w:rPr>
                <w:rFonts w:ascii="Arial" w:hAnsi="Arial" w:eastAsia="Arial"/>
                <w:b w:val="0"/>
                <w:i w:val="0"/>
                <w:color w:val="000000"/>
                <w:sz w:val="22"/>
              </w:rPr>
              <w:t>85,765,465</w:t>
            </w:r>
          </w:p>
        </w:tc>
      </w:tr>
      <w:tr>
        <w:trPr>
          <w:trHeight w:hRule="exact" w:val="50"/>
        </w:trPr>
        <w:tc>
          <w:tcPr>
            <w:tcW w:type="dxa" w:w="4564"/>
            <w:tcBorders>
              <w:top w:sz="3.199999999999818" w:val="single" w:color="#000000"/>
            </w:tcBorders>
            <w:tcMar>
              <w:start w:w="0" w:type="dxa"/>
              <w:end w:w="0" w:type="dxa"/>
            </w:tcMar>
          </w:tcPr>
          <w:p/>
        </w:tc>
        <w:tc>
          <w:tcPr>
            <w:tcW w:type="dxa" w:w="1870"/>
            <w:tcBorders>
              <w:top w:sz="3.199999999999818" w:val="single" w:color="#000000"/>
            </w:tcBorders>
            <w:tcMar>
              <w:start w:w="0" w:type="dxa"/>
              <w:end w:w="0" w:type="dxa"/>
            </w:tcMar>
          </w:tcPr>
          <w:p/>
        </w:tc>
        <w:tc>
          <w:tcPr>
            <w:tcW w:type="dxa" w:w="2098"/>
            <w:tcBorders>
              <w:top w:sz="3.199999999999818" w:val="single" w:color="#000000"/>
            </w:tcBorders>
            <w:tcMar>
              <w:start w:w="0" w:type="dxa"/>
              <w:end w:w="0" w:type="dxa"/>
            </w:tcMar>
          </w:tcPr>
          <w:p/>
        </w:tc>
      </w:tr>
    </w:tbl>
    <w:p>
      <w:pPr>
        <w:autoSpaceDN w:val="0"/>
        <w:autoSpaceDE w:val="0"/>
        <w:widowControl/>
        <w:spacing w:line="552" w:lineRule="exact" w:before="178" w:after="0"/>
        <w:ind w:left="358" w:right="1152" w:firstLine="0"/>
        <w:jc w:val="left"/>
      </w:pPr>
      <w:r>
        <w:rPr>
          <w:rFonts w:ascii="黑体" w:hAnsi="黑体" w:eastAsia="黑体"/>
          <w:b w:val="0"/>
          <w:i w:val="0"/>
          <w:color w:val="000000"/>
          <w:sz w:val="22"/>
        </w:rPr>
        <w:t>十九、财务报表的批准</w:t>
      </w:r>
      <w:r>
        <w:br/>
      </w:r>
      <w:r>
        <w:rPr>
          <w:rFonts w:ascii="黑体" w:hAnsi="黑体" w:eastAsia="黑体"/>
          <w:b w:val="0"/>
          <w:i w:val="0"/>
          <w:color w:val="000000"/>
          <w:sz w:val="22"/>
        </w:rPr>
        <w:t>本公司的公司及合并财务报表于</w:t>
      </w:r>
      <w:r>
        <w:rPr>
          <w:rFonts w:ascii="Arial" w:hAnsi="Arial" w:eastAsia="Arial"/>
          <w:b w:val="0"/>
          <w:i w:val="0"/>
          <w:color w:val="000000"/>
          <w:sz w:val="22"/>
        </w:rPr>
        <w:t>2025</w:t>
      </w:r>
      <w:r>
        <w:rPr>
          <w:rFonts w:ascii="黑体" w:hAnsi="黑体" w:eastAsia="黑体"/>
          <w:b w:val="0"/>
          <w:i w:val="0"/>
          <w:color w:val="000000"/>
          <w:sz w:val="22"/>
        </w:rPr>
        <w:t>年</w:t>
      </w:r>
      <w:r>
        <w:rPr>
          <w:rFonts w:ascii="Arial" w:hAnsi="Arial" w:eastAsia="Arial"/>
          <w:b w:val="0"/>
          <w:i w:val="0"/>
          <w:color w:val="000000"/>
          <w:sz w:val="22"/>
        </w:rPr>
        <w:t>4</w:t>
      </w:r>
      <w:r>
        <w:rPr>
          <w:rFonts w:ascii="黑体" w:hAnsi="黑体" w:eastAsia="黑体"/>
          <w:b w:val="0"/>
          <w:i w:val="0"/>
          <w:color w:val="000000"/>
          <w:sz w:val="22"/>
        </w:rPr>
        <w:t>月</w:t>
      </w:r>
      <w:r>
        <w:rPr>
          <w:rFonts w:ascii="Arial" w:hAnsi="Arial" w:eastAsia="Arial"/>
          <w:b w:val="0"/>
          <w:i w:val="0"/>
          <w:color w:val="000000"/>
          <w:sz w:val="22"/>
        </w:rPr>
        <w:t>24</w:t>
      </w:r>
      <w:r>
        <w:rPr>
          <w:rFonts w:ascii="黑体" w:hAnsi="黑体" w:eastAsia="黑体"/>
          <w:b w:val="0"/>
          <w:i w:val="0"/>
          <w:color w:val="000000"/>
          <w:sz w:val="22"/>
        </w:rPr>
        <w:t>日已经本公司董事会批准报出。</w:t>
      </w:r>
    </w:p>
    <w:p>
      <w:pPr>
        <w:autoSpaceDN w:val="0"/>
        <w:autoSpaceDE w:val="0"/>
        <w:widowControl/>
        <w:spacing w:line="233" w:lineRule="auto" w:before="6006" w:after="0"/>
        <w:ind w:left="0" w:right="0" w:firstLine="0"/>
        <w:jc w:val="center"/>
      </w:pPr>
      <w:r>
        <w:rPr>
          <w:rFonts w:ascii="Arial" w:hAnsi="Arial" w:eastAsia="Arial"/>
          <w:b w:val="0"/>
          <w:i w:val="0"/>
          <w:color w:val="000000"/>
          <w:sz w:val="20"/>
        </w:rPr>
        <w:t xml:space="preserve">313 </w:t>
      </w:r>
    </w:p>
    <w:p>
      <w:pPr>
        <w:sectPr>
          <w:pgSz w:w="11899"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tabs>
          <w:tab w:pos="932" w:val="left"/>
        </w:tabs>
        <w:autoSpaceDE w:val="0"/>
        <w:widowControl/>
        <w:spacing w:line="428" w:lineRule="exact" w:before="0" w:after="232"/>
        <w:ind w:left="358" w:right="288" w:firstLine="0"/>
        <w:jc w:val="left"/>
      </w:pPr>
      <w:r>
        <w:rPr>
          <w:rFonts w:ascii="黑体" w:hAnsi="黑体" w:eastAsia="黑体"/>
          <w:b w:val="0"/>
          <w:i w:val="0"/>
          <w:color w:val="000000"/>
          <w:sz w:val="22"/>
        </w:rPr>
        <w:t>补充资料</w:t>
      </w:r>
      <w:r>
        <w:br/>
      </w:r>
      <w:r>
        <w:rPr>
          <w:rFonts w:ascii="黑体" w:hAnsi="黑体" w:eastAsia="黑体"/>
          <w:b w:val="0"/>
          <w:i w:val="0"/>
          <w:color w:val="000000"/>
          <w:sz w:val="22"/>
        </w:rPr>
        <w:t>一、</w:t>
      </w:r>
      <w:r>
        <w:rPr>
          <w:rFonts w:ascii="黑体" w:hAnsi="黑体" w:eastAsia="黑体"/>
          <w:b w:val="0"/>
          <w:i w:val="0"/>
          <w:color w:val="000000"/>
          <w:sz w:val="22"/>
        </w:rPr>
        <w:t xml:space="preserve">重要财务报表科目重大变动情况分析 </w:t>
      </w:r>
      <w:r>
        <w:br/>
      </w:r>
      <w:r>
        <w:rPr>
          <w:rFonts w:ascii="Arial,Bold" w:hAnsi="Arial,Bold" w:eastAsia="Arial,Bold"/>
          <w:b/>
          <w:i w:val="0"/>
          <w:color w:val="000000"/>
          <w:sz w:val="22"/>
        </w:rPr>
        <w:t xml:space="preserve">1. </w:t>
      </w:r>
      <w:r>
        <w:rPr>
          <w:rFonts w:ascii="黑体" w:hAnsi="黑体" w:eastAsia="黑体"/>
          <w:b w:val="0"/>
          <w:i w:val="0"/>
          <w:color w:val="000000"/>
          <w:sz w:val="22"/>
        </w:rPr>
        <w:t>利润表科目</w:t>
      </w:r>
      <w:r>
        <w:br/>
      </w:r>
      <w:r>
        <w:rPr>
          <w:rFonts w:ascii="Arial" w:hAnsi="Arial" w:eastAsia="Arial"/>
          <w:b w:val="0"/>
          <w:i w:val="0"/>
          <w:color w:val="000000"/>
          <w:sz w:val="22"/>
        </w:rPr>
        <w:t>2024</w:t>
      </w:r>
      <w:r>
        <w:rPr>
          <w:rFonts w:ascii="黑体" w:hAnsi="黑体" w:eastAsia="黑体"/>
          <w:b w:val="0"/>
          <w:i w:val="0"/>
          <w:color w:val="000000"/>
          <w:sz w:val="22"/>
        </w:rPr>
        <w:t>年度合并利润表中，占利润总额</w:t>
      </w:r>
      <w:r>
        <w:rPr>
          <w:rFonts w:ascii="Arial" w:hAnsi="Arial" w:eastAsia="Arial"/>
          <w:b w:val="0"/>
          <w:i w:val="0"/>
          <w:color w:val="000000"/>
          <w:sz w:val="22"/>
        </w:rPr>
        <w:t>10%</w:t>
      </w:r>
      <w:r>
        <w:rPr>
          <w:rFonts w:ascii="黑体" w:hAnsi="黑体" w:eastAsia="黑体"/>
          <w:b w:val="0"/>
          <w:i w:val="0"/>
          <w:color w:val="000000"/>
          <w:sz w:val="22"/>
        </w:rPr>
        <w:t>以上且较</w:t>
      </w:r>
      <w:r>
        <w:rPr>
          <w:rFonts w:ascii="Arial" w:hAnsi="Arial" w:eastAsia="Arial"/>
          <w:b w:val="0"/>
          <w:i w:val="0"/>
          <w:color w:val="000000"/>
          <w:sz w:val="22"/>
        </w:rPr>
        <w:t>2023</w:t>
      </w:r>
      <w:r>
        <w:rPr>
          <w:rFonts w:ascii="黑体" w:hAnsi="黑体" w:eastAsia="黑体"/>
          <w:b w:val="0"/>
          <w:i w:val="0"/>
          <w:color w:val="000000"/>
          <w:sz w:val="22"/>
        </w:rPr>
        <w:t>年度财务报表比较数据变动幅</w:t>
      </w:r>
      <w:r>
        <w:rPr>
          <w:rFonts w:ascii="黑体" w:hAnsi="黑体" w:eastAsia="黑体"/>
          <w:b w:val="0"/>
          <w:i w:val="0"/>
          <w:color w:val="000000"/>
          <w:sz w:val="22"/>
        </w:rPr>
        <w:t>度大于</w:t>
      </w:r>
      <w:r>
        <w:rPr>
          <w:rFonts w:ascii="Arial" w:hAnsi="Arial" w:eastAsia="Arial"/>
          <w:b w:val="0"/>
          <w:i w:val="0"/>
          <w:color w:val="000000"/>
          <w:sz w:val="22"/>
        </w:rPr>
        <w:t>30%</w:t>
      </w:r>
      <w:r>
        <w:rPr>
          <w:rFonts w:ascii="黑体" w:hAnsi="黑体" w:eastAsia="黑体"/>
          <w:b w:val="0"/>
          <w:i w:val="0"/>
          <w:color w:val="000000"/>
          <w:sz w:val="22"/>
        </w:rPr>
        <w:t>的科目变动情况及变动原因分析列示如下：</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96"/>
        </w:trPr>
        <w:tc>
          <w:tcPr>
            <w:tcW w:type="dxa" w:w="2100"/>
            <w:vMerge w:val="restart"/>
            <w:tcBorders/>
            <w:tcMar>
              <w:start w:w="0" w:type="dxa"/>
              <w:end w:w="0" w:type="dxa"/>
            </w:tcMar>
            <w:tcMar>
              <w:start w:w="0" w:type="dxa"/>
              <w:end w:w="0" w:type="dxa"/>
            </w:tcMar>
          </w:tcPr>
          <w:p>
            <w:pPr>
              <w:autoSpaceDN w:val="0"/>
              <w:autoSpaceDE w:val="0"/>
              <w:widowControl/>
              <w:spacing w:line="220" w:lineRule="exact" w:before="608" w:after="0"/>
              <w:ind w:left="198" w:right="0" w:firstLine="0"/>
              <w:jc w:val="left"/>
            </w:pPr>
            <w:r>
              <w:rPr>
                <w:rFonts w:ascii="黑体" w:hAnsi="黑体" w:eastAsia="黑体"/>
                <w:b w:val="0"/>
                <w:i w:val="0"/>
                <w:color w:val="000000"/>
                <w:sz w:val="22"/>
              </w:rPr>
              <w:t>其他业务收入</w:t>
            </w:r>
          </w:p>
        </w:tc>
        <w:tc>
          <w:tcPr>
            <w:tcW w:type="dxa" w:w="2220"/>
            <w:tcBorders/>
            <w:tcMar>
              <w:start w:w="0" w:type="dxa"/>
              <w:end w:w="0" w:type="dxa"/>
            </w:tcMar>
          </w:tcPr>
          <w:p>
            <w:pPr>
              <w:autoSpaceDN w:val="0"/>
              <w:autoSpaceDE w:val="0"/>
              <w:widowControl/>
              <w:spacing w:line="246" w:lineRule="exact" w:before="50" w:after="0"/>
              <w:ind w:left="0" w:right="324"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1780"/>
            <w:tcBorders/>
            <w:tcMar>
              <w:start w:w="0" w:type="dxa"/>
              <w:end w:w="0" w:type="dxa"/>
            </w:tcMar>
          </w:tcPr>
          <w:p>
            <w:pPr>
              <w:autoSpaceDN w:val="0"/>
              <w:autoSpaceDE w:val="0"/>
              <w:widowControl/>
              <w:spacing w:line="246" w:lineRule="exact" w:before="50" w:after="0"/>
              <w:ind w:left="0" w:right="292"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c>
          <w:tcPr>
            <w:tcW w:type="dxa" w:w="1460"/>
            <w:tcBorders/>
            <w:tcMar>
              <w:start w:w="0" w:type="dxa"/>
              <w:end w:w="0" w:type="dxa"/>
            </w:tcMar>
          </w:tcPr>
          <w:p>
            <w:pPr>
              <w:autoSpaceDN w:val="0"/>
              <w:autoSpaceDE w:val="0"/>
              <w:widowControl/>
              <w:spacing w:line="222" w:lineRule="exact" w:before="70" w:after="0"/>
              <w:ind w:left="188" w:right="0" w:firstLine="0"/>
              <w:jc w:val="left"/>
            </w:pPr>
            <w:r>
              <w:rPr>
                <w:rFonts w:ascii="黑体" w:hAnsi="黑体" w:eastAsia="黑体"/>
                <w:b w:val="0"/>
                <w:i w:val="0"/>
                <w:color w:val="000000"/>
                <w:sz w:val="22"/>
              </w:rPr>
              <w:t>增减比例</w:t>
            </w:r>
          </w:p>
        </w:tc>
        <w:tc>
          <w:tcPr>
            <w:tcW w:type="dxa" w:w="1120"/>
            <w:tcBorders/>
            <w:tcMar>
              <w:start w:w="0" w:type="dxa"/>
              <w:end w:w="0" w:type="dxa"/>
            </w:tcMar>
          </w:tcPr>
          <w:p>
            <w:pPr>
              <w:autoSpaceDN w:val="0"/>
              <w:autoSpaceDE w:val="0"/>
              <w:widowControl/>
              <w:spacing w:line="222" w:lineRule="exact" w:before="70" w:after="0"/>
              <w:ind w:left="0" w:right="148" w:firstLine="0"/>
              <w:jc w:val="right"/>
            </w:pPr>
            <w:r>
              <w:rPr>
                <w:rFonts w:ascii="黑体" w:hAnsi="黑体" w:eastAsia="黑体"/>
                <w:b w:val="0"/>
                <w:i w:val="0"/>
                <w:color w:val="000000"/>
                <w:sz w:val="22"/>
              </w:rPr>
              <w:t>注释</w:t>
            </w:r>
          </w:p>
        </w:tc>
      </w:tr>
      <w:tr>
        <w:trPr>
          <w:trHeight w:hRule="exact" w:val="540"/>
        </w:trPr>
        <w:tc>
          <w:tcPr>
            <w:tcW w:type="dxa" w:w="1805"/>
            <w:vMerge/>
            <w:tcBorders/>
          </w:tcPr>
          <w:p/>
        </w:tc>
        <w:tc>
          <w:tcPr>
            <w:tcW w:type="dxa" w:w="2220"/>
            <w:vMerge w:val="restart"/>
            <w:tcBorders/>
            <w:tcMar>
              <w:start w:w="0" w:type="dxa"/>
              <w:end w:w="0" w:type="dxa"/>
            </w:tcMar>
            <w:tcMar>
              <w:start w:w="0" w:type="dxa"/>
              <w:end w:w="0" w:type="dxa"/>
            </w:tcMar>
          </w:tcPr>
          <w:p>
            <w:pPr>
              <w:autoSpaceDN w:val="0"/>
              <w:autoSpaceDE w:val="0"/>
              <w:widowControl/>
              <w:spacing w:line="233" w:lineRule="auto" w:before="322" w:after="0"/>
              <w:ind w:left="0" w:right="322" w:firstLine="0"/>
              <w:jc w:val="right"/>
            </w:pPr>
            <w:r>
              <w:rPr>
                <w:rFonts w:ascii="Arial" w:hAnsi="Arial" w:eastAsia="Arial"/>
                <w:b w:val="0"/>
                <w:i w:val="0"/>
                <w:color w:val="000000"/>
                <w:sz w:val="22"/>
              </w:rPr>
              <w:t>220,919,978</w:t>
            </w:r>
          </w:p>
        </w:tc>
        <w:tc>
          <w:tcPr>
            <w:tcW w:type="dxa" w:w="1780"/>
            <w:vMerge w:val="restart"/>
            <w:tcBorders/>
            <w:tcMar>
              <w:start w:w="0" w:type="dxa"/>
              <w:end w:w="0" w:type="dxa"/>
            </w:tcMar>
            <w:tcMar>
              <w:start w:w="0" w:type="dxa"/>
              <w:end w:w="0" w:type="dxa"/>
            </w:tcMar>
          </w:tcPr>
          <w:p>
            <w:pPr>
              <w:autoSpaceDN w:val="0"/>
              <w:autoSpaceDE w:val="0"/>
              <w:widowControl/>
              <w:spacing w:line="233" w:lineRule="auto" w:before="322" w:after="0"/>
              <w:ind w:left="0" w:right="0" w:firstLine="0"/>
              <w:jc w:val="center"/>
            </w:pPr>
            <w:r>
              <w:rPr>
                <w:rFonts w:ascii="Arial" w:hAnsi="Arial" w:eastAsia="Arial"/>
                <w:b w:val="0"/>
                <w:i w:val="0"/>
                <w:color w:val="000000"/>
                <w:sz w:val="22"/>
              </w:rPr>
              <w:t xml:space="preserve">598,500,556 </w:t>
            </w:r>
          </w:p>
        </w:tc>
        <w:tc>
          <w:tcPr>
            <w:tcW w:type="dxa" w:w="1460"/>
            <w:tcBorders/>
            <w:tcMar>
              <w:start w:w="0" w:type="dxa"/>
              <w:end w:w="0" w:type="dxa"/>
            </w:tcMar>
          </w:tcPr>
          <w:p>
            <w:pPr>
              <w:autoSpaceDN w:val="0"/>
              <w:autoSpaceDE w:val="0"/>
              <w:widowControl/>
              <w:spacing w:line="233" w:lineRule="auto" w:before="294" w:after="0"/>
              <w:ind w:left="250" w:right="0" w:firstLine="0"/>
              <w:jc w:val="left"/>
            </w:pPr>
            <w:r>
              <w:rPr>
                <w:rFonts w:ascii="Arial" w:hAnsi="Arial" w:eastAsia="Arial"/>
                <w:b w:val="0"/>
                <w:i w:val="0"/>
                <w:color w:val="000000"/>
                <w:sz w:val="22"/>
              </w:rPr>
              <w:t>-63.09%</w:t>
            </w:r>
          </w:p>
        </w:tc>
        <w:tc>
          <w:tcPr>
            <w:tcW w:type="dxa" w:w="1120"/>
            <w:tcBorders/>
            <w:tcMar>
              <w:start w:w="0" w:type="dxa"/>
              <w:end w:w="0" w:type="dxa"/>
            </w:tcMar>
          </w:tcPr>
          <w:p>
            <w:pPr>
              <w:autoSpaceDN w:val="0"/>
              <w:autoSpaceDE w:val="0"/>
              <w:widowControl/>
              <w:spacing w:line="246" w:lineRule="exact" w:before="294" w:after="0"/>
              <w:ind w:left="0" w:right="148" w:firstLine="0"/>
              <w:jc w:val="righ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p>
        </w:tc>
      </w:tr>
      <w:tr>
        <w:trPr>
          <w:trHeight w:hRule="exact" w:val="46"/>
        </w:trPr>
        <w:tc>
          <w:tcPr>
            <w:tcW w:type="dxa" w:w="2100"/>
            <w:vMerge w:val="restart"/>
            <w:tcBorders/>
            <w:tcMar>
              <w:start w:w="0" w:type="dxa"/>
              <w:end w:w="0" w:type="dxa"/>
            </w:tcMar>
            <w:tcMar>
              <w:start w:w="0" w:type="dxa"/>
              <w:end w:w="0" w:type="dxa"/>
            </w:tcMar>
          </w:tcPr>
          <w:p>
            <w:pPr>
              <w:autoSpaceDN w:val="0"/>
              <w:autoSpaceDE w:val="0"/>
              <w:widowControl/>
              <w:spacing w:line="220" w:lineRule="exact" w:before="58" w:after="0"/>
              <w:ind w:left="198" w:right="0" w:firstLine="0"/>
              <w:jc w:val="left"/>
            </w:pPr>
            <w:r>
              <w:rPr>
                <w:rFonts w:ascii="黑体" w:hAnsi="黑体" w:eastAsia="黑体"/>
                <w:b w:val="0"/>
                <w:i w:val="0"/>
                <w:color w:val="000000"/>
                <w:sz w:val="22"/>
              </w:rPr>
              <w:t>其他业务成本</w:t>
            </w:r>
          </w:p>
        </w:tc>
        <w:tc>
          <w:tcPr>
            <w:tcW w:type="dxa" w:w="1805"/>
            <w:vMerge/>
            <w:tcBorders/>
          </w:tcPr>
          <w:p/>
        </w:tc>
        <w:tc>
          <w:tcPr>
            <w:tcW w:type="dxa" w:w="1805"/>
            <w:vMerge/>
            <w:tcBorders/>
          </w:tcPr>
          <w:p/>
        </w:tc>
        <w:tc>
          <w:tcPr>
            <w:tcW w:type="dxa" w:w="1460"/>
            <w:vMerge w:val="restart"/>
            <w:tcBorders/>
            <w:tcMar>
              <w:start w:w="0" w:type="dxa"/>
              <w:end w:w="0" w:type="dxa"/>
            </w:tcMar>
            <w:tcMar>
              <w:start w:w="0" w:type="dxa"/>
              <w:end w:w="0" w:type="dxa"/>
            </w:tcMar>
          </w:tcPr>
          <w:p>
            <w:pPr>
              <w:autoSpaceDN w:val="0"/>
              <w:autoSpaceDE w:val="0"/>
              <w:widowControl/>
              <w:spacing w:line="233" w:lineRule="auto" w:before="50" w:after="0"/>
              <w:ind w:left="250" w:right="0" w:firstLine="0"/>
              <w:jc w:val="left"/>
            </w:pPr>
            <w:r>
              <w:rPr>
                <w:rFonts w:ascii="Arial" w:hAnsi="Arial" w:eastAsia="Arial"/>
                <w:b w:val="0"/>
                <w:i w:val="0"/>
                <w:color w:val="000000"/>
                <w:sz w:val="22"/>
              </w:rPr>
              <w:t>-64.60%</w:t>
            </w:r>
          </w:p>
        </w:tc>
        <w:tc>
          <w:tcPr>
            <w:tcW w:type="dxa" w:w="1120"/>
            <w:vMerge w:val="restart"/>
            <w:tcBorders/>
            <w:tcMar>
              <w:start w:w="0" w:type="dxa"/>
              <w:end w:w="0" w:type="dxa"/>
            </w:tcMar>
            <w:tcMar>
              <w:start w:w="0" w:type="dxa"/>
              <w:end w:w="0" w:type="dxa"/>
            </w:tcMar>
          </w:tcPr>
          <w:p>
            <w:pPr>
              <w:autoSpaceDN w:val="0"/>
              <w:autoSpaceDE w:val="0"/>
              <w:widowControl/>
              <w:spacing w:line="246" w:lineRule="exact" w:before="48" w:after="0"/>
              <w:ind w:left="0" w:right="148" w:firstLine="0"/>
              <w:jc w:val="righ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p>
        </w:tc>
      </w:tr>
      <w:tr>
        <w:trPr>
          <w:trHeight w:hRule="exact" w:val="324"/>
        </w:trPr>
        <w:tc>
          <w:tcPr>
            <w:tcW w:type="dxa" w:w="1805"/>
            <w:vMerge/>
            <w:tcBorders/>
          </w:tcPr>
          <w:p/>
        </w:tc>
        <w:tc>
          <w:tcPr>
            <w:tcW w:type="dxa" w:w="2220"/>
            <w:tcBorders/>
            <w:tcMar>
              <w:start w:w="0" w:type="dxa"/>
              <w:end w:w="0" w:type="dxa"/>
            </w:tcMar>
          </w:tcPr>
          <w:p>
            <w:pPr>
              <w:autoSpaceDN w:val="0"/>
              <w:autoSpaceDE w:val="0"/>
              <w:widowControl/>
              <w:spacing w:line="233" w:lineRule="auto" w:before="18" w:after="0"/>
              <w:ind w:left="0" w:right="188" w:firstLine="0"/>
              <w:jc w:val="right"/>
            </w:pPr>
            <w:r>
              <w:rPr>
                <w:rFonts w:ascii="Arial" w:hAnsi="Arial" w:eastAsia="Arial"/>
                <w:b w:val="0"/>
                <w:i w:val="0"/>
                <w:color w:val="000000"/>
                <w:sz w:val="22"/>
              </w:rPr>
              <w:t xml:space="preserve">(201,553,048) </w:t>
            </w:r>
          </w:p>
        </w:tc>
        <w:tc>
          <w:tcPr>
            <w:tcW w:type="dxa" w:w="1780"/>
            <w:tcBorders/>
            <w:tcMar>
              <w:start w:w="0" w:type="dxa"/>
              <w:end w:w="0" w:type="dxa"/>
            </w:tcMar>
          </w:tcPr>
          <w:p>
            <w:pPr>
              <w:autoSpaceDN w:val="0"/>
              <w:autoSpaceDE w:val="0"/>
              <w:widowControl/>
              <w:spacing w:line="233" w:lineRule="auto" w:before="18" w:after="0"/>
              <w:ind w:left="0" w:right="0" w:firstLine="0"/>
              <w:jc w:val="center"/>
            </w:pPr>
            <w:r>
              <w:rPr>
                <w:rFonts w:ascii="Arial" w:hAnsi="Arial" w:eastAsia="Arial"/>
                <w:b w:val="0"/>
                <w:i w:val="0"/>
                <w:color w:val="000000"/>
                <w:sz w:val="22"/>
              </w:rPr>
              <w:t xml:space="preserve">(569,280,571 ) </w:t>
            </w:r>
          </w:p>
        </w:tc>
        <w:tc>
          <w:tcPr>
            <w:tcW w:type="dxa" w:w="1805"/>
            <w:vMerge/>
            <w:tcBorders/>
          </w:tcPr>
          <w:p/>
        </w:tc>
        <w:tc>
          <w:tcPr>
            <w:tcW w:type="dxa" w:w="1805"/>
            <w:vMerge/>
            <w:tcBorders/>
          </w:tcPr>
          <w:p/>
        </w:tc>
      </w:tr>
    </w:tbl>
    <w:p>
      <w:pPr>
        <w:autoSpaceDN w:val="0"/>
        <w:tabs>
          <w:tab w:pos="922" w:val="left"/>
        </w:tabs>
        <w:autoSpaceDE w:val="0"/>
        <w:widowControl/>
        <w:spacing w:line="270" w:lineRule="exact" w:before="446"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1</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年度其他业务收入较</w:t>
      </w:r>
      <w:r>
        <w:rPr>
          <w:rFonts w:ascii="Arial" w:hAnsi="Arial" w:eastAsia="Arial"/>
          <w:b w:val="0"/>
          <w:i w:val="0"/>
          <w:color w:val="000000"/>
          <w:sz w:val="22"/>
        </w:rPr>
        <w:t>2023</w:t>
      </w:r>
      <w:r>
        <w:rPr>
          <w:rFonts w:ascii="黑体" w:hAnsi="黑体" w:eastAsia="黑体"/>
          <w:b w:val="0"/>
          <w:i w:val="0"/>
          <w:color w:val="000000"/>
          <w:sz w:val="22"/>
        </w:rPr>
        <w:t>年度下降的主要原因是本年仓单业务规模较上年</w:t>
      </w:r>
      <w:r>
        <w:rPr>
          <w:rFonts w:ascii="黑体" w:hAnsi="黑体" w:eastAsia="黑体"/>
          <w:b w:val="0"/>
          <w:i w:val="0"/>
          <w:color w:val="000000"/>
          <w:sz w:val="22"/>
        </w:rPr>
        <w:t>降幅较大所致。</w:t>
      </w:r>
    </w:p>
    <w:p>
      <w:pPr>
        <w:autoSpaceDN w:val="0"/>
        <w:tabs>
          <w:tab w:pos="922" w:val="left"/>
        </w:tabs>
        <w:autoSpaceDE w:val="0"/>
        <w:widowControl/>
        <w:spacing w:line="272" w:lineRule="exact" w:before="280" w:after="0"/>
        <w:ind w:left="358" w:right="288" w:firstLine="0"/>
        <w:jc w:val="left"/>
      </w:pPr>
      <w:r>
        <w:rPr>
          <w:rFonts w:ascii="黑体" w:hAnsi="黑体" w:eastAsia="黑体"/>
          <w:b w:val="0"/>
          <w:i w:val="0"/>
          <w:color w:val="000000"/>
          <w:sz w:val="22"/>
        </w:rPr>
        <w:t>（</w:t>
      </w:r>
      <w:r>
        <w:rPr>
          <w:rFonts w:ascii="Arial" w:hAnsi="Arial" w:eastAsia="Arial"/>
          <w:b w:val="0"/>
          <w:i w:val="0"/>
          <w:color w:val="000000"/>
          <w:sz w:val="22"/>
        </w:rPr>
        <w:t>2</w:t>
      </w:r>
      <w:r>
        <w:rPr>
          <w:rFonts w:ascii="黑体" w:hAnsi="黑体" w:eastAsia="黑体"/>
          <w:b w:val="0"/>
          <w:i w:val="0"/>
          <w:color w:val="000000"/>
          <w:sz w:val="22"/>
        </w:rPr>
        <w:t>）</w:t>
      </w:r>
      <w:r>
        <w:rPr>
          <w:rFonts w:ascii="Arial" w:hAnsi="Arial" w:eastAsia="Arial"/>
          <w:b w:val="0"/>
          <w:i w:val="0"/>
          <w:color w:val="000000"/>
          <w:sz w:val="22"/>
        </w:rPr>
        <w:t>2024</w:t>
      </w:r>
      <w:r>
        <w:rPr>
          <w:rFonts w:ascii="黑体" w:hAnsi="黑体" w:eastAsia="黑体"/>
          <w:b w:val="0"/>
          <w:i w:val="0"/>
          <w:color w:val="000000"/>
          <w:sz w:val="22"/>
        </w:rPr>
        <w:t>年度其他业务成本较</w:t>
      </w:r>
      <w:r>
        <w:rPr>
          <w:rFonts w:ascii="Arial" w:hAnsi="Arial" w:eastAsia="Arial"/>
          <w:b w:val="0"/>
          <w:i w:val="0"/>
          <w:color w:val="000000"/>
          <w:sz w:val="22"/>
        </w:rPr>
        <w:t>2023</w:t>
      </w:r>
      <w:r>
        <w:rPr>
          <w:rFonts w:ascii="黑体" w:hAnsi="黑体" w:eastAsia="黑体"/>
          <w:b w:val="0"/>
          <w:i w:val="0"/>
          <w:color w:val="000000"/>
          <w:sz w:val="22"/>
        </w:rPr>
        <w:t>年度下降的主要原因是本年仓单业务规模较上年</w:t>
      </w:r>
      <w:r>
        <w:rPr>
          <w:rFonts w:ascii="黑体" w:hAnsi="黑体" w:eastAsia="黑体"/>
          <w:b w:val="0"/>
          <w:i w:val="0"/>
          <w:color w:val="000000"/>
          <w:sz w:val="22"/>
        </w:rPr>
        <w:t>降幅较大所致。</w:t>
      </w:r>
    </w:p>
    <w:p>
      <w:pPr>
        <w:autoSpaceDN w:val="0"/>
        <w:autoSpaceDE w:val="0"/>
        <w:widowControl/>
        <w:spacing w:line="235" w:lineRule="auto" w:before="8512" w:after="0"/>
        <w:ind w:left="0" w:right="0" w:firstLine="0"/>
        <w:jc w:val="center"/>
      </w:pPr>
      <w:r>
        <w:rPr>
          <w:rFonts w:ascii="Arial" w:hAnsi="Arial" w:eastAsia="Arial"/>
          <w:b w:val="0"/>
          <w:i w:val="0"/>
          <w:color w:val="000000"/>
          <w:sz w:val="22"/>
        </w:rPr>
        <w:t xml:space="preserve">1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378" w:lineRule="exact" w:before="0" w:after="246"/>
        <w:ind w:left="358" w:right="6048" w:firstLine="0"/>
        <w:jc w:val="left"/>
      </w:pPr>
      <w:r>
        <w:rPr>
          <w:rFonts w:ascii="黑体" w:hAnsi="黑体" w:eastAsia="黑体"/>
          <w:b w:val="0"/>
          <w:i w:val="0"/>
          <w:color w:val="000000"/>
          <w:sz w:val="22"/>
        </w:rPr>
        <w:t>补充资料（续）</w:t>
      </w:r>
      <w:r>
        <w:br/>
      </w:r>
      <w:r>
        <w:rPr>
          <w:rFonts w:ascii="黑体" w:hAnsi="黑体" w:eastAsia="黑体"/>
          <w:b w:val="0"/>
          <w:i w:val="0"/>
          <w:color w:val="000000"/>
          <w:sz w:val="22"/>
        </w:rPr>
        <w:t>二、</w:t>
      </w:r>
      <w:r>
        <w:rPr>
          <w:rFonts w:ascii="黑体" w:hAnsi="黑体" w:eastAsia="黑体"/>
          <w:b w:val="0"/>
          <w:i w:val="0"/>
          <w:color w:val="000000"/>
          <w:sz w:val="22"/>
        </w:rPr>
        <w:t>非经常性损益明细表</w:t>
      </w:r>
    </w:p>
    <w:tbl>
      <w:tblPr>
        <w:tblW w:type="auto" w:w="0"/>
        <w:tblLayout w:type="fixed"/>
        <w:tblLook w:firstColumn="1" w:firstRow="1" w:lastColumn="0" w:lastRow="0" w:noHBand="0" w:noVBand="1" w:val="04A0"/>
        <w:tblInd w:w="160.0" w:type="dxa"/>
      </w:tblPr>
      <w:tblGrid>
        <w:gridCol w:w="3009"/>
        <w:gridCol w:w="3009"/>
        <w:gridCol w:w="3009"/>
      </w:tblGrid>
      <w:tr>
        <w:trPr>
          <w:trHeight w:hRule="exact" w:val="460"/>
        </w:trPr>
        <w:tc>
          <w:tcPr>
            <w:tcW w:type="dxa" w:w="4564"/>
            <w:vMerge w:val="restart"/>
            <w:tcBorders/>
            <w:tcMar>
              <w:start w:w="0" w:type="dxa"/>
              <w:end w:w="0" w:type="dxa"/>
            </w:tcMar>
            <w:tcMar>
              <w:start w:w="0" w:type="dxa"/>
              <w:end w:w="0" w:type="dxa"/>
            </w:tcMar>
          </w:tcPr>
          <w:p>
            <w:pPr>
              <w:autoSpaceDN w:val="0"/>
              <w:autoSpaceDE w:val="0"/>
              <w:widowControl/>
              <w:spacing w:line="222" w:lineRule="exact" w:before="610" w:after="0"/>
              <w:ind w:left="198" w:right="0" w:firstLine="0"/>
              <w:jc w:val="left"/>
            </w:pPr>
            <w:r>
              <w:rPr>
                <w:rFonts w:ascii="黑体" w:hAnsi="黑体" w:eastAsia="黑体"/>
                <w:b w:val="0"/>
                <w:i w:val="0"/>
                <w:color w:val="000000"/>
                <w:sz w:val="22"/>
              </w:rPr>
              <w:t>非流动性资产处置损失</w:t>
            </w:r>
          </w:p>
        </w:tc>
        <w:tc>
          <w:tcPr>
            <w:tcW w:type="dxa" w:w="2098"/>
            <w:tcBorders/>
            <w:tcMar>
              <w:start w:w="0" w:type="dxa"/>
              <w:end w:w="0" w:type="dxa"/>
            </w:tcMar>
          </w:tcPr>
          <w:p>
            <w:pPr>
              <w:autoSpaceDN w:val="0"/>
              <w:autoSpaceDE w:val="0"/>
              <w:widowControl/>
              <w:spacing w:line="246" w:lineRule="exact" w:before="60" w:after="0"/>
              <w:ind w:left="0" w:right="226" w:firstLine="0"/>
              <w:jc w:val="right"/>
            </w:pPr>
            <w:r>
              <w:rPr>
                <w:rFonts w:ascii="Arial" w:hAnsi="Arial" w:eastAsia="Arial"/>
                <w:b w:val="0"/>
                <w:i w:val="0"/>
                <w:color w:val="000000"/>
                <w:sz w:val="22"/>
              </w:rPr>
              <w:t>2024</w:t>
            </w:r>
            <w:r>
              <w:rPr>
                <w:rFonts w:ascii="黑体" w:hAnsi="黑体" w:eastAsia="黑体"/>
                <w:b w:val="0"/>
                <w:i w:val="0"/>
                <w:color w:val="000000"/>
                <w:sz w:val="22"/>
              </w:rPr>
              <w:t>年</w:t>
            </w:r>
          </w:p>
        </w:tc>
        <w:tc>
          <w:tcPr>
            <w:tcW w:type="dxa" w:w="2098"/>
            <w:tcBorders/>
            <w:tcMar>
              <w:start w:w="0" w:type="dxa"/>
              <w:end w:w="0" w:type="dxa"/>
            </w:tcMar>
          </w:tcPr>
          <w:p>
            <w:pPr>
              <w:autoSpaceDN w:val="0"/>
              <w:autoSpaceDE w:val="0"/>
              <w:widowControl/>
              <w:spacing w:line="246" w:lineRule="exact" w:before="60" w:after="0"/>
              <w:ind w:left="0" w:right="228" w:firstLine="0"/>
              <w:jc w:val="right"/>
            </w:pPr>
            <w:r>
              <w:rPr>
                <w:rFonts w:ascii="Arial" w:hAnsi="Arial" w:eastAsia="Arial"/>
                <w:b w:val="0"/>
                <w:i w:val="0"/>
                <w:color w:val="000000"/>
                <w:sz w:val="22"/>
              </w:rPr>
              <w:t>2023</w:t>
            </w:r>
            <w:r>
              <w:rPr>
                <w:rFonts w:ascii="黑体" w:hAnsi="黑体" w:eastAsia="黑体"/>
                <w:b w:val="0"/>
                <w:i w:val="0"/>
                <w:color w:val="000000"/>
                <w:sz w:val="22"/>
              </w:rPr>
              <w:t>年</w:t>
            </w:r>
          </w:p>
        </w:tc>
      </w:tr>
      <w:tr>
        <w:trPr>
          <w:trHeight w:hRule="exact" w:val="380"/>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8" w:after="0"/>
              <w:ind w:left="0" w:right="92" w:firstLine="0"/>
              <w:jc w:val="right"/>
            </w:pPr>
            <w:r>
              <w:rPr>
                <w:rFonts w:ascii="Arial" w:hAnsi="Arial" w:eastAsia="Arial"/>
                <w:b w:val="0"/>
                <w:i w:val="0"/>
                <w:color w:val="000000"/>
                <w:sz w:val="22"/>
              </w:rPr>
              <w:t xml:space="preserve">(414,796) </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158" w:after="0"/>
              <w:ind w:left="0" w:right="224" w:firstLine="0"/>
              <w:jc w:val="right"/>
            </w:pPr>
            <w:r>
              <w:rPr>
                <w:rFonts w:ascii="Arial" w:hAnsi="Arial" w:eastAsia="Arial"/>
                <w:b w:val="0"/>
                <w:i w:val="0"/>
                <w:color w:val="000000"/>
                <w:sz w:val="22"/>
              </w:rPr>
              <w:t>194,809</w:t>
            </w:r>
          </w:p>
        </w:tc>
      </w:tr>
      <w:tr>
        <w:trPr>
          <w:trHeight w:hRule="exact" w:val="42"/>
        </w:trPr>
        <w:tc>
          <w:tcPr>
            <w:tcW w:type="dxa" w:w="4564"/>
            <w:vMerge w:val="restart"/>
            <w:tcBorders/>
            <w:tcMar>
              <w:start w:w="0" w:type="dxa"/>
              <w:end w:w="0" w:type="dxa"/>
            </w:tcMar>
            <w:tcMar>
              <w:start w:w="0" w:type="dxa"/>
              <w:end w:w="0" w:type="dxa"/>
            </w:tcMar>
          </w:tcPr>
          <w:p>
            <w:pPr>
              <w:autoSpaceDN w:val="0"/>
              <w:autoSpaceDE w:val="0"/>
              <w:widowControl/>
              <w:spacing w:line="222" w:lineRule="exact" w:before="56" w:after="0"/>
              <w:ind w:left="198" w:right="0" w:firstLine="0"/>
              <w:jc w:val="left"/>
            </w:pPr>
            <w:r>
              <w:rPr>
                <w:rFonts w:ascii="黑体" w:hAnsi="黑体" w:eastAsia="黑体"/>
                <w:b w:val="0"/>
                <w:i w:val="0"/>
                <w:color w:val="000000"/>
                <w:sz w:val="22"/>
              </w:rPr>
              <w:t>计入当期损益的政府补助及税收返还</w:t>
            </w:r>
          </w:p>
        </w:tc>
        <w:tc>
          <w:tcPr>
            <w:tcW w:type="dxa" w:w="3009"/>
            <w:vMerge/>
            <w:tcBorders/>
          </w:tcPr>
          <w:p/>
        </w:tc>
        <w:tc>
          <w:tcPr>
            <w:tcW w:type="dxa" w:w="3009"/>
            <w:vMerge/>
            <w:tcBorders/>
          </w:tcPr>
          <w:p/>
        </w:tc>
      </w:tr>
      <w:tr>
        <w:trPr>
          <w:trHeight w:hRule="exact" w:val="238"/>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2" w:firstLine="0"/>
              <w:jc w:val="right"/>
            </w:pPr>
            <w:r>
              <w:rPr>
                <w:rFonts w:ascii="Arial" w:hAnsi="Arial" w:eastAsia="Arial"/>
                <w:b w:val="0"/>
                <w:i w:val="0"/>
                <w:color w:val="000000"/>
                <w:sz w:val="22"/>
              </w:rPr>
              <w:t>19,095,634</w:t>
            </w:r>
          </w:p>
        </w:tc>
        <w:tc>
          <w:tcPr>
            <w:tcW w:type="dxa" w:w="2098"/>
            <w:vMerge w:val="restart"/>
            <w:tcBorders/>
            <w:tcMar>
              <w:start w:w="0" w:type="dxa"/>
              <w:end w:w="0" w:type="dxa"/>
            </w:tcMar>
            <w:tcMar>
              <w:start w:w="0" w:type="dxa"/>
              <w:end w:w="0" w:type="dxa"/>
            </w:tcMar>
          </w:tcPr>
          <w:p>
            <w:pPr>
              <w:autoSpaceDN w:val="0"/>
              <w:autoSpaceDE w:val="0"/>
              <w:widowControl/>
              <w:spacing w:line="235" w:lineRule="auto" w:before="20" w:after="0"/>
              <w:ind w:left="0" w:right="224" w:firstLine="0"/>
              <w:jc w:val="right"/>
            </w:pPr>
            <w:r>
              <w:rPr>
                <w:rFonts w:ascii="Arial" w:hAnsi="Arial" w:eastAsia="Arial"/>
                <w:b w:val="0"/>
                <w:i w:val="0"/>
                <w:color w:val="000000"/>
                <w:sz w:val="22"/>
              </w:rPr>
              <w:t>24,193,184</w:t>
            </w:r>
          </w:p>
        </w:tc>
      </w:tr>
      <w:tr>
        <w:trPr>
          <w:trHeight w:hRule="exact" w:val="48"/>
        </w:trPr>
        <w:tc>
          <w:tcPr>
            <w:tcW w:type="dxa" w:w="4564"/>
            <w:vMerge w:val="restart"/>
            <w:tcBorders/>
            <w:tcMar>
              <w:start w:w="0" w:type="dxa"/>
              <w:end w:w="0" w:type="dxa"/>
            </w:tcMar>
            <w:tcMar>
              <w:start w:w="0" w:type="dxa"/>
              <w:end w:w="0" w:type="dxa"/>
            </w:tcMar>
          </w:tcPr>
          <w:p>
            <w:pPr>
              <w:autoSpaceDN w:val="0"/>
              <w:autoSpaceDE w:val="0"/>
              <w:widowControl/>
              <w:spacing w:line="220" w:lineRule="exact" w:before="60" w:after="0"/>
              <w:ind w:left="0" w:right="0" w:firstLine="0"/>
              <w:jc w:val="center"/>
            </w:pPr>
            <w:r>
              <w:rPr>
                <w:rFonts w:ascii="黑体" w:hAnsi="黑体" w:eastAsia="黑体"/>
                <w:b w:val="0"/>
                <w:i w:val="0"/>
                <w:color w:val="000000"/>
                <w:sz w:val="22"/>
              </w:rPr>
              <w:t>单独进行减值测试的应收款项减值准备转回</w:t>
            </w:r>
          </w:p>
        </w:tc>
        <w:tc>
          <w:tcPr>
            <w:tcW w:type="dxa" w:w="3009"/>
            <w:vMerge/>
            <w:tcBorders/>
          </w:tcPr>
          <w:p/>
        </w:tc>
        <w:tc>
          <w:tcPr>
            <w:tcW w:type="dxa" w:w="3009"/>
            <w:vMerge/>
            <w:tcBorders/>
          </w:tcPr>
          <w:p/>
        </w:tc>
      </w:tr>
      <w:tr>
        <w:trPr>
          <w:trHeight w:hRule="exact" w:val="232"/>
        </w:trPr>
        <w:tc>
          <w:tcPr>
            <w:tcW w:type="dxa" w:w="3009"/>
            <w:vMerge/>
            <w:tcBorders/>
          </w:tcP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2" w:firstLine="0"/>
              <w:jc w:val="right"/>
            </w:pPr>
            <w:r>
              <w:rPr>
                <w:rFonts w:ascii="Arial" w:hAnsi="Arial" w:eastAsia="Arial"/>
                <w:b w:val="0"/>
                <w:i w:val="0"/>
                <w:color w:val="000000"/>
                <w:sz w:val="22"/>
              </w:rPr>
              <w:t>93,198</w:t>
            </w:r>
          </w:p>
        </w:tc>
        <w:tc>
          <w:tcPr>
            <w:tcW w:type="dxa" w:w="2098"/>
            <w:vMerge w:val="restart"/>
            <w:tcBorders/>
            <w:tcMar>
              <w:start w:w="0" w:type="dxa"/>
              <w:end w:w="0" w:type="dxa"/>
            </w:tcMar>
            <w:tcMar>
              <w:start w:w="0" w:type="dxa"/>
              <w:end w:w="0" w:type="dxa"/>
            </w:tcMar>
          </w:tcPr>
          <w:p>
            <w:pPr>
              <w:autoSpaceDN w:val="0"/>
              <w:autoSpaceDE w:val="0"/>
              <w:widowControl/>
              <w:spacing w:line="233" w:lineRule="auto" w:before="20" w:after="0"/>
              <w:ind w:left="0" w:right="224" w:firstLine="0"/>
              <w:jc w:val="right"/>
            </w:pPr>
            <w:r>
              <w:rPr>
                <w:rFonts w:ascii="Arial" w:hAnsi="Arial" w:eastAsia="Arial"/>
                <w:b w:val="0"/>
                <w:i w:val="0"/>
                <w:color w:val="000000"/>
                <w:sz w:val="22"/>
              </w:rPr>
              <w:t>480,240</w:t>
            </w:r>
          </w:p>
        </w:tc>
      </w:tr>
      <w:tr>
        <w:trPr>
          <w:trHeight w:hRule="exact" w:val="54"/>
        </w:trPr>
        <w:tc>
          <w:tcPr>
            <w:tcW w:type="dxa" w:w="4564"/>
            <w:vMerge w:val="restart"/>
            <w:tcBorders>
              <w:bottom w:sz="4.0" w:val="single" w:color="#000000"/>
            </w:tcBorders>
            <w:tcMar>
              <w:start w:w="0" w:type="dxa"/>
              <w:end w:w="0" w:type="dxa"/>
            </w:tcMar>
            <w:tcMar>
              <w:start w:w="0" w:type="dxa"/>
              <w:end w:w="0" w:type="dxa"/>
            </w:tcMar>
          </w:tcPr>
          <w:p>
            <w:pPr>
              <w:autoSpaceDN w:val="0"/>
              <w:autoSpaceDE w:val="0"/>
              <w:widowControl/>
              <w:spacing w:line="220" w:lineRule="exact" w:before="66" w:after="0"/>
              <w:ind w:left="198" w:right="0" w:firstLine="0"/>
              <w:jc w:val="left"/>
            </w:pPr>
            <w:r>
              <w:rPr>
                <w:rFonts w:ascii="黑体" w:hAnsi="黑体" w:eastAsia="黑体"/>
                <w:b w:val="0"/>
                <w:i w:val="0"/>
                <w:color w:val="000000"/>
                <w:sz w:val="22"/>
              </w:rPr>
              <w:t>除上述各项之外的其他营业外收支净额</w:t>
            </w:r>
          </w:p>
        </w:tc>
        <w:tc>
          <w:tcPr>
            <w:tcW w:type="dxa" w:w="3009"/>
            <w:vMerge/>
            <w:tcBorders/>
          </w:tcPr>
          <w:p/>
        </w:tc>
        <w:tc>
          <w:tcPr>
            <w:tcW w:type="dxa" w:w="3009"/>
            <w:vMerge/>
            <w:tcBorders/>
          </w:tcPr>
          <w:p/>
        </w:tc>
      </w:tr>
      <w:tr>
        <w:trPr>
          <w:trHeight w:hRule="exact" w:val="272"/>
        </w:trPr>
        <w:tc>
          <w:tcPr>
            <w:tcW w:type="dxa" w:w="3009"/>
            <w:vMerge/>
            <w:tcBorders>
              <w:bottom w:sz="4.0" w:val="single" w:color="#000000"/>
            </w:tcBorders>
          </w:tcP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(3,471,805) </w:t>
            </w:r>
          </w:p>
        </w:tc>
        <w:tc>
          <w:tcPr>
            <w:tcW w:type="dxa" w:w="2098"/>
            <w:tcBorders>
              <w:bottom w:sz="4.0" w:val="single" w:color="#000000"/>
            </w:tcBorders>
            <w:tcMar>
              <w:start w:w="0" w:type="dxa"/>
              <w:end w:w="0" w:type="dxa"/>
            </w:tcMar>
          </w:tcPr>
          <w:p>
            <w:pPr>
              <w:autoSpaceDN w:val="0"/>
              <w:autoSpaceDE w:val="0"/>
              <w:widowControl/>
              <w:spacing w:line="233" w:lineRule="auto" w:before="20" w:after="0"/>
              <w:ind w:left="0" w:right="92" w:firstLine="0"/>
              <w:jc w:val="right"/>
            </w:pPr>
            <w:r>
              <w:rPr>
                <w:rFonts w:ascii="Arial" w:hAnsi="Arial" w:eastAsia="Arial"/>
                <w:b w:val="0"/>
                <w:i w:val="0"/>
                <w:color w:val="000000"/>
                <w:sz w:val="22"/>
              </w:rPr>
              <w:t xml:space="preserve">(1,377,595) </w:t>
            </w:r>
          </w:p>
        </w:tc>
      </w:tr>
      <w:tr>
        <w:trPr>
          <w:trHeight w:hRule="exact" w:val="552"/>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4" w:after="0"/>
              <w:ind w:left="198" w:right="0" w:firstLine="0"/>
              <w:jc w:val="left"/>
            </w:pPr>
            <w:r>
              <w:rPr>
                <w:rFonts w:ascii="黑体" w:hAnsi="黑体" w:eastAsia="黑体"/>
                <w:b w:val="0"/>
                <w:i w:val="0"/>
                <w:color w:val="000000"/>
                <w:sz w:val="22"/>
              </w:rPr>
              <w:t>小计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2" w:firstLine="0"/>
              <w:jc w:val="right"/>
            </w:pPr>
            <w:r>
              <w:rPr>
                <w:rFonts w:ascii="Arial" w:hAnsi="Arial" w:eastAsia="Arial"/>
                <w:b w:val="0"/>
                <w:i w:val="0"/>
                <w:color w:val="000000"/>
                <w:sz w:val="22"/>
              </w:rPr>
              <w:t>15,302,231</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0" w:after="0"/>
              <w:ind w:left="0" w:right="224" w:firstLine="0"/>
              <w:jc w:val="right"/>
            </w:pPr>
            <w:r>
              <w:rPr>
                <w:rFonts w:ascii="Arial" w:hAnsi="Arial" w:eastAsia="Arial"/>
                <w:b w:val="0"/>
                <w:i w:val="0"/>
                <w:color w:val="000000"/>
                <w:sz w:val="22"/>
              </w:rPr>
              <w:t>23,490,638</w:t>
            </w:r>
          </w:p>
        </w:tc>
      </w:tr>
      <w:tr>
        <w:trPr>
          <w:trHeight w:hRule="exact" w:val="522"/>
        </w:trPr>
        <w:tc>
          <w:tcPr>
            <w:tcW w:type="dxa" w:w="4564"/>
            <w:tcBorders>
              <w:top w:sz="4.0" w:val="single" w:color="#000000"/>
            </w:tcBorders>
            <w:tcMar>
              <w:start w:w="0" w:type="dxa"/>
              <w:end w:w="0" w:type="dxa"/>
            </w:tcMar>
          </w:tcPr>
          <w:p>
            <w:pPr>
              <w:autoSpaceDN w:val="0"/>
              <w:autoSpaceDE w:val="0"/>
              <w:widowControl/>
              <w:spacing w:line="222" w:lineRule="exact" w:before="280" w:after="0"/>
              <w:ind w:left="198" w:right="0" w:firstLine="0"/>
              <w:jc w:val="left"/>
            </w:pPr>
            <w:r>
              <w:rPr>
                <w:rFonts w:ascii="黑体" w:hAnsi="黑体" w:eastAsia="黑体"/>
                <w:b w:val="0"/>
                <w:i w:val="0"/>
                <w:color w:val="000000"/>
                <w:sz w:val="22"/>
              </w:rPr>
              <w:t>所得税影响额</w:t>
            </w:r>
          </w:p>
        </w:tc>
        <w:tc>
          <w:tcPr>
            <w:tcW w:type="dxa" w:w="2098"/>
            <w:tcBorders>
              <w:top w:sz="4.0" w:val="single" w:color="#000000"/>
            </w:tcBorders>
            <w:tcMar>
              <w:start w:w="0" w:type="dxa"/>
              <w:end w:w="0" w:type="dxa"/>
            </w:tcMar>
          </w:tcPr>
          <w:p>
            <w:pPr>
              <w:autoSpaceDN w:val="0"/>
              <w:autoSpaceDE w:val="0"/>
              <w:widowControl/>
              <w:spacing w:line="233" w:lineRule="auto" w:before="272" w:after="0"/>
              <w:ind w:left="0" w:right="92" w:firstLine="0"/>
              <w:jc w:val="right"/>
            </w:pPr>
            <w:r>
              <w:rPr>
                <w:rFonts w:ascii="Arial" w:hAnsi="Arial" w:eastAsia="Arial"/>
                <w:b w:val="0"/>
                <w:i w:val="0"/>
                <w:color w:val="000000"/>
                <w:sz w:val="22"/>
              </w:rPr>
              <w:t xml:space="preserve">(4,419,950) </w:t>
            </w:r>
          </w:p>
        </w:tc>
        <w:tc>
          <w:tcPr>
            <w:tcW w:type="dxa" w:w="2098"/>
            <w:tcBorders>
              <w:top w:sz="4.0" w:val="single" w:color="#000000"/>
            </w:tcBorders>
            <w:tcMar>
              <w:start w:w="0" w:type="dxa"/>
              <w:end w:w="0" w:type="dxa"/>
            </w:tcMar>
          </w:tcPr>
          <w:p>
            <w:pPr>
              <w:autoSpaceDN w:val="0"/>
              <w:autoSpaceDE w:val="0"/>
              <w:widowControl/>
              <w:spacing w:line="233" w:lineRule="auto" w:before="272" w:after="0"/>
              <w:ind w:left="0" w:right="92" w:firstLine="0"/>
              <w:jc w:val="right"/>
            </w:pPr>
            <w:r>
              <w:rPr>
                <w:rFonts w:ascii="Arial" w:hAnsi="Arial" w:eastAsia="Arial"/>
                <w:b w:val="0"/>
                <w:i w:val="0"/>
                <w:color w:val="000000"/>
                <w:sz w:val="22"/>
              </w:rPr>
              <w:t xml:space="preserve">(6,411,943) </w:t>
            </w:r>
          </w:p>
        </w:tc>
      </w:tr>
      <w:tr>
        <w:trPr>
          <w:trHeight w:hRule="exact" w:val="308"/>
        </w:trPr>
        <w:tc>
          <w:tcPr>
            <w:tcW w:type="dxa" w:w="4564"/>
            <w:tcBorders>
              <w:bottom w:sz="4.0" w:val="single" w:color="#000000"/>
            </w:tcBorders>
            <w:tcMar>
              <w:start w:w="0" w:type="dxa"/>
              <w:end w:w="0" w:type="dxa"/>
            </w:tcMar>
          </w:tcPr>
          <w:p>
            <w:pPr>
              <w:autoSpaceDN w:val="0"/>
              <w:autoSpaceDE w:val="0"/>
              <w:widowControl/>
              <w:spacing w:line="220" w:lineRule="exact" w:before="48" w:after="0"/>
              <w:ind w:left="198" w:right="0" w:firstLine="0"/>
              <w:jc w:val="left"/>
            </w:pPr>
            <w:r>
              <w:rPr>
                <w:rFonts w:ascii="黑体" w:hAnsi="黑体" w:eastAsia="黑体"/>
                <w:b w:val="0"/>
                <w:i w:val="0"/>
                <w:color w:val="000000"/>
                <w:sz w:val="22"/>
              </w:rPr>
              <w:t>少数股东权益税后影响额（税后）</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92" w:firstLine="0"/>
              <w:jc w:val="right"/>
            </w:pPr>
            <w:r>
              <w:rPr>
                <w:rFonts w:ascii="Arial" w:hAnsi="Arial" w:eastAsia="Arial"/>
                <w:b w:val="0"/>
                <w:i w:val="0"/>
                <w:color w:val="000000"/>
                <w:sz w:val="22"/>
              </w:rPr>
              <w:t xml:space="preserve">(168,582) </w:t>
            </w:r>
          </w:p>
        </w:tc>
        <w:tc>
          <w:tcPr>
            <w:tcW w:type="dxa" w:w="2098"/>
            <w:tcBorders>
              <w:bottom w:sz="4.0" w:val="single" w:color="#000000"/>
            </w:tcBorders>
            <w:tcMar>
              <w:start w:w="0" w:type="dxa"/>
              <w:end w:w="0" w:type="dxa"/>
            </w:tcMar>
          </w:tcPr>
          <w:p>
            <w:pPr>
              <w:autoSpaceDN w:val="0"/>
              <w:autoSpaceDE w:val="0"/>
              <w:widowControl/>
              <w:spacing w:line="233" w:lineRule="auto" w:before="56" w:after="0"/>
              <w:ind w:left="0" w:right="92" w:firstLine="0"/>
              <w:jc w:val="right"/>
            </w:pPr>
            <w:r>
              <w:rPr>
                <w:rFonts w:ascii="Arial" w:hAnsi="Arial" w:eastAsia="Arial"/>
                <w:b w:val="0"/>
                <w:i w:val="0"/>
                <w:color w:val="000000"/>
                <w:sz w:val="22"/>
              </w:rPr>
              <w:t xml:space="preserve">(244,056) </w:t>
            </w:r>
          </w:p>
        </w:tc>
      </w:tr>
      <w:tr>
        <w:trPr>
          <w:trHeight w:hRule="exact" w:val="550"/>
        </w:trPr>
        <w:tc>
          <w:tcPr>
            <w:tcW w:type="dxa" w:w="4564"/>
            <w:tcBorders>
              <w:top w:sz="4.0" w:val="single" w:color="#000000"/>
              <w:bottom w:sz="4.0" w:val="single" w:color="#000000"/>
            </w:tcBorders>
            <w:tcMar>
              <w:start w:w="0" w:type="dxa"/>
              <w:end w:w="0" w:type="dxa"/>
            </w:tcMar>
          </w:tcPr>
          <w:p>
            <w:pPr>
              <w:autoSpaceDN w:val="0"/>
              <w:autoSpaceDE w:val="0"/>
              <w:widowControl/>
              <w:spacing w:line="220" w:lineRule="exact" w:before="286" w:after="0"/>
              <w:ind w:left="198" w:right="0" w:firstLine="0"/>
              <w:jc w:val="left"/>
            </w:pPr>
            <w:r>
              <w:rPr>
                <w:rFonts w:ascii="黑体" w:hAnsi="黑体" w:eastAsia="黑体"/>
                <w:b w:val="0"/>
                <w:i w:val="0"/>
                <w:color w:val="000000"/>
                <w:sz w:val="22"/>
              </w:rPr>
              <w:t>合计</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222" w:firstLine="0"/>
              <w:jc w:val="right"/>
            </w:pPr>
            <w:r>
              <w:rPr>
                <w:rFonts w:ascii="Arial" w:hAnsi="Arial" w:eastAsia="Arial"/>
                <w:b w:val="0"/>
                <w:i w:val="0"/>
                <w:color w:val="000000"/>
                <w:sz w:val="22"/>
              </w:rPr>
              <w:t>10,713,699</w:t>
            </w:r>
          </w:p>
        </w:tc>
        <w:tc>
          <w:tcPr>
            <w:tcW w:type="dxa" w:w="2098"/>
            <w:tcBorders>
              <w:top w:sz="4.0" w:val="single" w:color="#000000"/>
              <w:bottom w:sz="4.0" w:val="single" w:color="#000000"/>
            </w:tcBorders>
            <w:tcMar>
              <w:start w:w="0" w:type="dxa"/>
              <w:end w:w="0" w:type="dxa"/>
            </w:tcMar>
          </w:tcPr>
          <w:p>
            <w:pPr>
              <w:autoSpaceDN w:val="0"/>
              <w:autoSpaceDE w:val="0"/>
              <w:widowControl/>
              <w:spacing w:line="233" w:lineRule="auto" w:before="292" w:after="0"/>
              <w:ind w:left="0" w:right="224" w:firstLine="0"/>
              <w:jc w:val="right"/>
            </w:pPr>
            <w:r>
              <w:rPr>
                <w:rFonts w:ascii="Arial" w:hAnsi="Arial" w:eastAsia="Arial"/>
                <w:b w:val="0"/>
                <w:i w:val="0"/>
                <w:color w:val="000000"/>
                <w:sz w:val="22"/>
              </w:rPr>
              <w:t>16,834,639</w:t>
            </w:r>
          </w:p>
        </w:tc>
      </w:tr>
      <w:tr>
        <w:trPr>
          <w:trHeight w:hRule="exact" w:val="52"/>
        </w:trPr>
        <w:tc>
          <w:tcPr>
            <w:tcW w:type="dxa" w:w="4564"/>
            <w:tcBorders>
              <w:top w:sz="4.0" w:val="single" w:color="#000000"/>
            </w:tcBorders>
            <w:tcMar>
              <w:start w:w="0" w:type="dxa"/>
              <w:end w:w="0" w:type="dxa"/>
            </w:tcMar>
          </w:tcPr>
          <w:p/>
        </w:tc>
        <w:tc>
          <w:tcPr>
            <w:tcW w:type="dxa" w:w="2098"/>
            <w:tcBorders>
              <w:top w:sz="4.0" w:val="single" w:color="#000000"/>
            </w:tcBorders>
            <w:tcMar>
              <w:start w:w="0" w:type="dxa"/>
              <w:end w:w="0" w:type="dxa"/>
            </w:tcMar>
          </w:tcPr>
          <w:p/>
        </w:tc>
        <w:tc>
          <w:tcPr>
            <w:tcW w:type="dxa" w:w="2098"/>
            <w:tcBorders>
              <w:top w:sz="4.0" w:val="single" w:color="#000000"/>
            </w:tcBorders>
            <w:tcMar>
              <w:start w:w="0" w:type="dxa"/>
              <w:end w:w="0" w:type="dxa"/>
            </w:tcMar>
          </w:tcPr>
          <w:p/>
        </w:tc>
      </w:tr>
    </w:tbl>
    <w:p>
      <w:pPr>
        <w:autoSpaceDN w:val="0"/>
        <w:autoSpaceDE w:val="0"/>
        <w:widowControl/>
        <w:spacing w:line="286" w:lineRule="exact" w:before="204" w:after="0"/>
        <w:ind w:left="358" w:right="288" w:firstLine="0"/>
        <w:jc w:val="left"/>
      </w:pPr>
      <w:r>
        <w:rPr>
          <w:rFonts w:ascii="黑体" w:hAnsi="黑体" w:eastAsia="黑体"/>
          <w:b w:val="0"/>
          <w:i w:val="0"/>
          <w:color w:val="000000"/>
          <w:sz w:val="22"/>
        </w:rPr>
        <w:t>本集团对非经常性损益项目的确认按照《公开发行证券的公司信息披露解释性公告第</w:t>
      </w:r>
      <w:r>
        <w:rPr>
          <w:rFonts w:ascii="Arial" w:hAnsi="Arial" w:eastAsia="Arial"/>
          <w:b w:val="0"/>
          <w:i w:val="0"/>
          <w:color w:val="000000"/>
          <w:sz w:val="22"/>
        </w:rPr>
        <w:t>1</w:t>
      </w:r>
      <w:r>
        <w:rPr>
          <w:rFonts w:ascii="黑体" w:hAnsi="黑体" w:eastAsia="黑体"/>
          <w:b w:val="0"/>
          <w:i w:val="0"/>
          <w:color w:val="000000"/>
          <w:sz w:val="22"/>
        </w:rPr>
        <w:t>号</w:t>
      </w:r>
      <w:r>
        <w:rPr>
          <w:rFonts w:ascii="Arial" w:hAnsi="Arial" w:eastAsia="Arial"/>
          <w:b w:val="0"/>
          <w:i w:val="0"/>
          <w:color w:val="000000"/>
          <w:sz w:val="22"/>
        </w:rPr>
        <w:t>——</w:t>
      </w:r>
      <w:r>
        <w:rPr>
          <w:rFonts w:ascii="黑体" w:hAnsi="黑体" w:eastAsia="黑体"/>
          <w:b w:val="0"/>
          <w:i w:val="0"/>
          <w:color w:val="000000"/>
          <w:sz w:val="22"/>
        </w:rPr>
        <w:t>非经常性损益》（证监会公告〔</w:t>
      </w:r>
      <w:r>
        <w:rPr>
          <w:rFonts w:ascii="Arial" w:hAnsi="Arial" w:eastAsia="Arial"/>
          <w:b w:val="0"/>
          <w:i w:val="0"/>
          <w:color w:val="000000"/>
          <w:sz w:val="22"/>
        </w:rPr>
        <w:t>2023</w:t>
      </w:r>
      <w:r>
        <w:rPr>
          <w:rFonts w:ascii="黑体" w:hAnsi="黑体" w:eastAsia="黑体"/>
          <w:b w:val="0"/>
          <w:i w:val="0"/>
          <w:color w:val="000000"/>
          <w:sz w:val="22"/>
        </w:rPr>
        <w:t>〕</w:t>
      </w:r>
      <w:r>
        <w:rPr>
          <w:rFonts w:ascii="Arial" w:hAnsi="Arial" w:eastAsia="Arial"/>
          <w:b w:val="0"/>
          <w:i w:val="0"/>
          <w:color w:val="000000"/>
          <w:sz w:val="22"/>
        </w:rPr>
        <w:t>65</w:t>
      </w:r>
      <w:r>
        <w:rPr>
          <w:rFonts w:ascii="黑体" w:hAnsi="黑体" w:eastAsia="黑体"/>
          <w:b w:val="0"/>
          <w:i w:val="0"/>
          <w:color w:val="000000"/>
          <w:sz w:val="22"/>
        </w:rPr>
        <w:t>号）的规定执行。</w:t>
      </w:r>
    </w:p>
    <w:p>
      <w:pPr>
        <w:autoSpaceDN w:val="0"/>
        <w:autoSpaceDE w:val="0"/>
        <w:widowControl/>
        <w:spacing w:line="235" w:lineRule="auto" w:before="8406" w:after="0"/>
        <w:ind w:left="0" w:right="0" w:firstLine="0"/>
        <w:jc w:val="center"/>
      </w:pPr>
      <w:r>
        <w:rPr>
          <w:rFonts w:ascii="Arial" w:hAnsi="Arial" w:eastAsia="Arial"/>
          <w:b w:val="0"/>
          <w:i w:val="0"/>
          <w:color w:val="000000"/>
          <w:sz w:val="22"/>
        </w:rPr>
        <w:t xml:space="preserve">2 </w:t>
      </w:r>
    </w:p>
    <w:p>
      <w:pPr>
        <w:sectPr>
          <w:pgSz w:w="11906" w:h="16841"/>
          <w:pgMar w:top="988" w:right="1440" w:bottom="360" w:left="1440" w:header="720" w:footer="720" w:gutter="0"/>
          <w:cols/>
          <w:docGrid w:linePitch="360"/>
        </w:sectPr>
      </w:pPr>
    </w:p>
    <w:p>
      <w:pPr>
        <w:autoSpaceDN w:val="0"/>
        <w:autoSpaceDE w:val="0"/>
        <w:widowControl/>
        <w:spacing w:line="220" w:lineRule="exact" w:before="0" w:after="768"/>
        <w:ind w:left="0" w:right="0"/>
      </w:pPr>
    </w:p>
    <w:p>
      <w:pPr>
        <w:autoSpaceDN w:val="0"/>
        <w:autoSpaceDE w:val="0"/>
        <w:widowControl/>
        <w:spacing w:line="220" w:lineRule="exact" w:before="0" w:after="0"/>
        <w:ind w:left="358" w:right="0" w:firstLine="0"/>
        <w:jc w:val="left"/>
      </w:pPr>
      <w:r>
        <w:rPr>
          <w:rFonts w:ascii="黑体" w:hAnsi="黑体" w:eastAsia="黑体"/>
          <w:b w:val="0"/>
          <w:i w:val="0"/>
          <w:color w:val="000000"/>
          <w:sz w:val="22"/>
        </w:rPr>
        <w:t>补充资料（续）</w:t>
      </w:r>
    </w:p>
    <w:p>
      <w:pPr>
        <w:autoSpaceDN w:val="0"/>
        <w:autoSpaceDE w:val="0"/>
        <w:widowControl/>
        <w:spacing w:line="220" w:lineRule="exact" w:before="318" w:after="0"/>
        <w:ind w:left="358" w:right="0" w:firstLine="0"/>
        <w:jc w:val="left"/>
      </w:pPr>
      <w:r>
        <w:rPr>
          <w:rFonts w:ascii="黑体" w:hAnsi="黑体" w:eastAsia="黑体"/>
          <w:b w:val="0"/>
          <w:i w:val="0"/>
          <w:color w:val="000000"/>
          <w:sz w:val="22"/>
        </w:rPr>
        <w:t>三、</w:t>
      </w:r>
      <w:r>
        <w:rPr>
          <w:rFonts w:ascii="黑体" w:hAnsi="黑体" w:eastAsia="黑体"/>
          <w:b w:val="0"/>
          <w:i w:val="0"/>
          <w:color w:val="000000"/>
          <w:sz w:val="22"/>
        </w:rPr>
        <w:t>净资产收益率及每股收益</w:t>
      </w:r>
    </w:p>
    <w:p>
      <w:pPr>
        <w:autoSpaceDN w:val="0"/>
        <w:autoSpaceDE w:val="0"/>
        <w:widowControl/>
        <w:spacing w:line="278" w:lineRule="exact" w:before="274" w:after="0"/>
        <w:ind w:left="358" w:right="348" w:firstLine="0"/>
        <w:jc w:val="both"/>
      </w:pPr>
      <w:r>
        <w:rPr>
          <w:rFonts w:ascii="黑体" w:hAnsi="黑体" w:eastAsia="黑体"/>
          <w:b w:val="0"/>
          <w:i w:val="0"/>
          <w:color w:val="000000"/>
          <w:sz w:val="22"/>
        </w:rPr>
        <w:t>本集团按照证监会颁布的《公开发行证券的公司信息披露编报规则第</w:t>
      </w:r>
      <w:r>
        <w:rPr>
          <w:rFonts w:ascii="Arial" w:hAnsi="Arial" w:eastAsia="Arial"/>
          <w:b w:val="0"/>
          <w:i w:val="0"/>
          <w:color w:val="000000"/>
          <w:sz w:val="22"/>
        </w:rPr>
        <w:t>9</w:t>
      </w:r>
      <w:r>
        <w:rPr>
          <w:rFonts w:ascii="黑体" w:hAnsi="黑体" w:eastAsia="黑体"/>
          <w:b w:val="0"/>
          <w:i w:val="0"/>
          <w:color w:val="000000"/>
          <w:sz w:val="22"/>
        </w:rPr>
        <w:t>号</w:t>
      </w:r>
      <w:r>
        <w:rPr>
          <w:rFonts w:ascii="Arial" w:hAnsi="Arial" w:eastAsia="Arial"/>
          <w:b w:val="0"/>
          <w:i w:val="0"/>
          <w:color w:val="000000"/>
          <w:sz w:val="22"/>
        </w:rPr>
        <w:t>——</w:t>
      </w:r>
      <w:r>
        <w:rPr>
          <w:rFonts w:ascii="黑体" w:hAnsi="黑体" w:eastAsia="黑体"/>
          <w:b w:val="0"/>
          <w:i w:val="0"/>
          <w:color w:val="000000"/>
          <w:sz w:val="22"/>
        </w:rPr>
        <w:t>净资产收</w:t>
      </w:r>
      <w:r>
        <w:rPr>
          <w:rFonts w:ascii="黑体" w:hAnsi="黑体" w:eastAsia="黑体"/>
          <w:b w:val="0"/>
          <w:i w:val="0"/>
          <w:color w:val="000000"/>
          <w:sz w:val="22"/>
        </w:rPr>
        <w:t>益率和每股收益的计算及披露》（</w:t>
      </w:r>
      <w:r>
        <w:rPr>
          <w:rFonts w:ascii="Arial" w:hAnsi="Arial" w:eastAsia="Arial"/>
          <w:b w:val="0"/>
          <w:i w:val="0"/>
          <w:color w:val="000000"/>
          <w:sz w:val="22"/>
        </w:rPr>
        <w:t>2010</w:t>
      </w:r>
      <w:r>
        <w:rPr>
          <w:rFonts w:ascii="黑体" w:hAnsi="黑体" w:eastAsia="黑体"/>
          <w:b w:val="0"/>
          <w:i w:val="0"/>
          <w:color w:val="000000"/>
          <w:sz w:val="22"/>
        </w:rPr>
        <w:t>年修订）以及会计准则相关规定计算的净资产</w:t>
      </w:r>
      <w:r>
        <w:rPr>
          <w:rFonts w:ascii="黑体" w:hAnsi="黑体" w:eastAsia="黑体"/>
          <w:b w:val="0"/>
          <w:i w:val="0"/>
          <w:color w:val="000000"/>
          <w:sz w:val="22"/>
        </w:rPr>
        <w:t>收益率和每股收益如下：</w:t>
      </w:r>
    </w:p>
    <w:p>
      <w:pPr>
        <w:autoSpaceDN w:val="0"/>
        <w:autoSpaceDE w:val="0"/>
        <w:widowControl/>
        <w:spacing w:line="198" w:lineRule="exact" w:before="320" w:after="26"/>
        <w:ind w:left="0" w:right="3572" w:firstLine="0"/>
        <w:jc w:val="right"/>
      </w:pPr>
      <w:r>
        <w:rPr>
          <w:rFonts w:ascii="黑体" w:hAnsi="黑体" w:eastAsia="黑体"/>
          <w:b w:val="0"/>
          <w:i w:val="0"/>
          <w:color w:val="000000"/>
          <w:sz w:val="20"/>
        </w:rPr>
        <w:t>加权平均净资产收益</w:t>
      </w:r>
    </w:p>
    <w:tbl>
      <w:tblPr>
        <w:tblW w:type="auto" w:w="0"/>
        <w:tblLayout w:type="fixed"/>
        <w:tblLook w:firstColumn="1" w:firstRow="1" w:lastColumn="0" w:lastRow="0" w:noHBand="0" w:noVBand="1" w:val="04A0"/>
        <w:tblInd w:w="160.0" w:type="dxa"/>
      </w:tblPr>
      <w:tblGrid>
        <w:gridCol w:w="1805"/>
        <w:gridCol w:w="1805"/>
        <w:gridCol w:w="1805"/>
        <w:gridCol w:w="1805"/>
        <w:gridCol w:w="1805"/>
      </w:tblGrid>
      <w:tr>
        <w:trPr>
          <w:trHeight w:hRule="exact" w:val="270"/>
        </w:trPr>
        <w:tc>
          <w:tcPr>
            <w:tcW w:type="dxa" w:w="3486"/>
            <w:tcBorders>
              <w:bottom w:sz="4.0" w:val="single" w:color="#000000"/>
            </w:tcBorders>
            <w:tcMar>
              <w:start w:w="0" w:type="dxa"/>
              <w:end w:w="0" w:type="dxa"/>
            </w:tcMar>
          </w:tcPr>
          <w:p/>
        </w:tc>
        <w:tc>
          <w:tcPr>
            <w:tcW w:type="dxa" w:w="1354"/>
            <w:tcBorders>
              <w:bottom w:sz="4.0" w:val="single" w:color="#000000"/>
            </w:tcBorders>
            <w:tcMar>
              <w:start w:w="0" w:type="dxa"/>
              <w:end w:w="0" w:type="dxa"/>
            </w:tcMar>
          </w:tcPr>
          <w:p>
            <w:pPr>
              <w:autoSpaceDN w:val="0"/>
              <w:autoSpaceDE w:val="0"/>
              <w:widowControl/>
              <w:spacing w:line="222" w:lineRule="exact" w:before="28" w:after="0"/>
              <w:ind w:left="0" w:right="58" w:firstLine="0"/>
              <w:jc w:val="right"/>
            </w:pPr>
            <w:r>
              <w:rPr>
                <w:rFonts w:ascii="黑体" w:hAnsi="黑体" w:eastAsia="黑体"/>
                <w:b w:val="0"/>
                <w:i w:val="0"/>
                <w:color w:val="000000"/>
                <w:sz w:val="20"/>
              </w:rPr>
              <w:t>率（</w:t>
            </w:r>
            <w:r>
              <w:rPr>
                <w:rFonts w:ascii="Arial" w:hAnsi="Arial" w:eastAsia="Arial"/>
                <w:b w:val="0"/>
                <w:i w:val="0"/>
                <w:color w:val="000000"/>
                <w:sz w:val="20"/>
              </w:rPr>
              <w:t>%</w:t>
            </w:r>
            <w:r>
              <w:rPr>
                <w:rFonts w:ascii="黑体" w:hAnsi="黑体" w:eastAsia="黑体"/>
                <w:b w:val="0"/>
                <w:i w:val="0"/>
                <w:color w:val="000000"/>
                <w:sz w:val="20"/>
              </w:rPr>
              <w:t>）</w:t>
            </w:r>
          </w:p>
        </w:tc>
        <w:tc>
          <w:tcPr>
            <w:tcW w:type="dxa" w:w="688"/>
            <w:tcBorders>
              <w:bottom w:sz="4.0" w:val="single" w:color="#000000"/>
            </w:tcBorders>
            <w:tcMar>
              <w:start w:w="0" w:type="dxa"/>
              <w:end w:w="0" w:type="dxa"/>
            </w:tcMar>
          </w:tcPr>
          <w:p/>
        </w:tc>
        <w:tc>
          <w:tcPr>
            <w:tcW w:type="dxa" w:w="3036"/>
            <w:gridSpan w:val="2"/>
            <w:tcBorders>
              <w:bottom w:sz="4.0" w:val="single" w:color="#000000"/>
            </w:tcBorders>
            <w:tcMar>
              <w:start w:w="0" w:type="dxa"/>
              <w:end w:w="0" w:type="dxa"/>
            </w:tcMar>
            <w:tcMar>
              <w:start w:w="0" w:type="dxa"/>
              <w:end w:w="0" w:type="dxa"/>
            </w:tcMar>
          </w:tcPr>
          <w:p>
            <w:pPr>
              <w:autoSpaceDN w:val="0"/>
              <w:autoSpaceDE w:val="0"/>
              <w:widowControl/>
              <w:spacing w:line="198" w:lineRule="exact" w:before="38" w:after="0"/>
              <w:ind w:left="0" w:right="0" w:firstLine="0"/>
              <w:jc w:val="center"/>
            </w:pPr>
            <w:r>
              <w:rPr>
                <w:rFonts w:ascii="黑体" w:hAnsi="黑体" w:eastAsia="黑体"/>
                <w:b w:val="0"/>
                <w:i w:val="0"/>
                <w:color w:val="000000"/>
                <w:sz w:val="20"/>
              </w:rPr>
              <w:t>每股收益</w:t>
            </w:r>
          </w:p>
        </w:tc>
      </w:tr>
      <w:tr>
        <w:trPr>
          <w:trHeight w:hRule="exact" w:val="364"/>
        </w:trPr>
        <w:tc>
          <w:tcPr>
            <w:tcW w:type="dxa" w:w="3486"/>
            <w:vMerge w:val="restart"/>
            <w:tcBorders>
              <w:top w:sz="4.0" w:val="single" w:color="#000000"/>
            </w:tcBorders>
            <w:tcMar>
              <w:start w:w="0" w:type="dxa"/>
              <w:end w:w="0" w:type="dxa"/>
            </w:tcMar>
            <w:tcMar>
              <w:start w:w="0" w:type="dxa"/>
              <w:end w:w="0" w:type="dxa"/>
            </w:tcMar>
          </w:tcPr>
          <w:p>
            <w:pPr>
              <w:autoSpaceDN w:val="0"/>
              <w:autoSpaceDE w:val="0"/>
              <w:widowControl/>
              <w:spacing w:line="200" w:lineRule="exact" w:before="520" w:after="0"/>
              <w:ind w:left="198" w:right="0" w:firstLine="0"/>
              <w:jc w:val="left"/>
            </w:pPr>
            <w:r>
              <w:rPr>
                <w:rFonts w:ascii="黑体" w:hAnsi="黑体" w:eastAsia="黑体"/>
                <w:b w:val="0"/>
                <w:i w:val="0"/>
                <w:color w:val="000000"/>
                <w:sz w:val="20"/>
              </w:rPr>
              <w:t>归属于公司普通股股东的净利润</w:t>
            </w:r>
          </w:p>
        </w:tc>
        <w:tc>
          <w:tcPr>
            <w:tcW w:type="dxa" w:w="1354"/>
            <w:vMerge w:val="restart"/>
            <w:tcBorders>
              <w:top w:sz="4.0" w:val="single" w:color="#000000"/>
            </w:tcBorders>
            <w:tcMar>
              <w:start w:w="0" w:type="dxa"/>
              <w:end w:w="0" w:type="dxa"/>
            </w:tcMar>
            <w:tcMar>
              <w:start w:w="0" w:type="dxa"/>
              <w:end w:w="0" w:type="dxa"/>
            </w:tcMar>
          </w:tcPr>
          <w:p/>
        </w:tc>
        <w:tc>
          <w:tcPr>
            <w:tcW w:type="dxa" w:w="688"/>
            <w:vMerge w:val="restart"/>
            <w:tcBorders>
              <w:top w:sz="4.0" w:val="single" w:color="#000000"/>
            </w:tcBorders>
            <w:tcMar>
              <w:start w:w="0" w:type="dxa"/>
              <w:end w:w="0" w:type="dxa"/>
            </w:tcMar>
            <w:tcMar>
              <w:start w:w="0" w:type="dxa"/>
              <w:end w:w="0" w:type="dxa"/>
            </w:tcMar>
          </w:tcPr>
          <w:p>
            <w:pPr>
              <w:autoSpaceDN w:val="0"/>
              <w:autoSpaceDE w:val="0"/>
              <w:widowControl/>
              <w:spacing w:line="233" w:lineRule="auto" w:before="522" w:after="0"/>
              <w:ind w:left="72" w:right="0" w:firstLine="0"/>
              <w:jc w:val="left"/>
            </w:pPr>
            <w:r>
              <w:rPr>
                <w:rFonts w:ascii="Arial" w:hAnsi="Arial" w:eastAsia="Arial"/>
                <w:b w:val="0"/>
                <w:i w:val="0"/>
                <w:color w:val="000000"/>
                <w:sz w:val="20"/>
              </w:rPr>
              <w:t xml:space="preserve">3.98 </w:t>
            </w:r>
          </w:p>
        </w:tc>
        <w:tc>
          <w:tcPr>
            <w:tcW w:type="dxa" w:w="1472"/>
            <w:tcBorders>
              <w:top w:sz="4.0" w:val="single" w:color="#000000"/>
            </w:tcBorders>
            <w:tcMar>
              <w:start w:w="0" w:type="dxa"/>
              <w:end w:w="0" w:type="dxa"/>
            </w:tcMar>
          </w:tcPr>
          <w:p>
            <w:pPr>
              <w:autoSpaceDN w:val="0"/>
              <w:autoSpaceDE w:val="0"/>
              <w:widowControl/>
              <w:spacing w:line="200" w:lineRule="exact" w:before="30" w:after="0"/>
              <w:ind w:left="0" w:right="0" w:firstLine="0"/>
              <w:jc w:val="right"/>
            </w:pPr>
            <w:r>
              <w:rPr>
                <w:rFonts w:ascii="黑体" w:hAnsi="黑体" w:eastAsia="黑体"/>
                <w:b w:val="0"/>
                <w:i w:val="0"/>
                <w:color w:val="000000"/>
                <w:sz w:val="20"/>
              </w:rPr>
              <w:t>基本</w:t>
            </w:r>
          </w:p>
        </w:tc>
        <w:tc>
          <w:tcPr>
            <w:tcW w:type="dxa" w:w="1564"/>
            <w:tcBorders>
              <w:top w:sz="4.0" w:val="single" w:color="#000000"/>
            </w:tcBorders>
            <w:tcMar>
              <w:start w:w="0" w:type="dxa"/>
              <w:end w:w="0" w:type="dxa"/>
            </w:tcMar>
          </w:tcPr>
          <w:p>
            <w:pPr>
              <w:autoSpaceDN w:val="0"/>
              <w:autoSpaceDE w:val="0"/>
              <w:widowControl/>
              <w:spacing w:line="200" w:lineRule="exact" w:before="30" w:after="0"/>
              <w:ind w:left="0" w:right="2" w:firstLine="0"/>
              <w:jc w:val="right"/>
            </w:pPr>
            <w:r>
              <w:rPr>
                <w:rFonts w:ascii="黑体" w:hAnsi="黑体" w:eastAsia="黑体"/>
                <w:b w:val="0"/>
                <w:i w:val="0"/>
                <w:color w:val="000000"/>
                <w:sz w:val="20"/>
              </w:rPr>
              <w:t>稀释</w:t>
            </w:r>
          </w:p>
        </w:tc>
      </w:tr>
      <w:tr>
        <w:trPr>
          <w:trHeight w:hRule="exact" w:val="404"/>
        </w:trPr>
        <w:tc>
          <w:tcPr>
            <w:tcW w:type="dxa" w:w="1805"/>
            <w:vMerge/>
            <w:tcBorders>
              <w:top w:sz="4.0" w:val="single" w:color="#000000"/>
            </w:tcBorders>
          </w:tcPr>
          <w:p/>
        </w:tc>
        <w:tc>
          <w:tcPr>
            <w:tcW w:type="dxa" w:w="1805"/>
            <w:vMerge/>
            <w:tcBorders>
              <w:top w:sz="4.0" w:val="single" w:color="#000000"/>
            </w:tcBorders>
          </w:tcPr>
          <w:p/>
        </w:tc>
        <w:tc>
          <w:tcPr>
            <w:tcW w:type="dxa" w:w="1805"/>
            <w:vMerge/>
            <w:tcBorders>
              <w:top w:sz="4.0" w:val="single" w:color="#000000"/>
            </w:tcBorders>
          </w:tcPr>
          <w:p/>
        </w:tc>
        <w:tc>
          <w:tcPr>
            <w:tcW w:type="dxa" w:w="1472"/>
            <w:tcBorders/>
            <w:tcMar>
              <w:start w:w="0" w:type="dxa"/>
              <w:end w:w="0" w:type="dxa"/>
            </w:tcMar>
          </w:tcPr>
          <w:p>
            <w:pPr>
              <w:autoSpaceDN w:val="0"/>
              <w:autoSpaceDE w:val="0"/>
              <w:widowControl/>
              <w:spacing w:line="222" w:lineRule="exact" w:before="152" w:after="0"/>
              <w:ind w:left="284" w:right="0" w:firstLine="0"/>
              <w:jc w:val="left"/>
            </w:pPr>
            <w:r>
              <w:rPr>
                <w:rFonts w:ascii="黑体" w:hAnsi="黑体" w:eastAsia="黑体"/>
                <w:b w:val="0"/>
                <w:i w:val="0"/>
                <w:color w:val="000000"/>
                <w:sz w:val="20"/>
              </w:rPr>
              <w:t>人民币</w:t>
            </w:r>
            <w:r>
              <w:rPr>
                <w:rFonts w:ascii="Arial" w:hAnsi="Arial" w:eastAsia="Arial"/>
                <w:b w:val="0"/>
                <w:i w:val="0"/>
                <w:color w:val="000000"/>
                <w:sz w:val="20"/>
              </w:rPr>
              <w:t>0.20</w:t>
            </w:r>
            <w:r>
              <w:rPr>
                <w:rFonts w:ascii="黑体" w:hAnsi="黑体" w:eastAsia="黑体"/>
                <w:b w:val="0"/>
                <w:i w:val="0"/>
                <w:color w:val="000000"/>
                <w:sz w:val="20"/>
              </w:rPr>
              <w:t>元</w:t>
            </w:r>
          </w:p>
        </w:tc>
        <w:tc>
          <w:tcPr>
            <w:tcW w:type="dxa" w:w="1564"/>
            <w:tcBorders/>
            <w:tcMar>
              <w:start w:w="0" w:type="dxa"/>
              <w:end w:w="0" w:type="dxa"/>
            </w:tcMar>
          </w:tcPr>
          <w:p>
            <w:pPr>
              <w:autoSpaceDN w:val="0"/>
              <w:autoSpaceDE w:val="0"/>
              <w:widowControl/>
              <w:spacing w:line="222" w:lineRule="exact" w:before="152" w:after="0"/>
              <w:ind w:left="370" w:right="0" w:firstLine="0"/>
              <w:jc w:val="left"/>
            </w:pPr>
            <w:r>
              <w:rPr>
                <w:rFonts w:ascii="黑体" w:hAnsi="黑体" w:eastAsia="黑体"/>
                <w:b w:val="0"/>
                <w:i w:val="0"/>
                <w:color w:val="000000"/>
                <w:sz w:val="20"/>
              </w:rPr>
              <w:t>人民币</w:t>
            </w:r>
            <w:r>
              <w:rPr>
                <w:rFonts w:ascii="Arial" w:hAnsi="Arial" w:eastAsia="Arial"/>
                <w:b w:val="0"/>
                <w:i w:val="0"/>
                <w:color w:val="000000"/>
                <w:sz w:val="20"/>
              </w:rPr>
              <w:t>0.20</w:t>
            </w:r>
            <w:r>
              <w:rPr>
                <w:rFonts w:ascii="黑体" w:hAnsi="黑体" w:eastAsia="黑体"/>
                <w:b w:val="0"/>
                <w:i w:val="0"/>
                <w:color w:val="000000"/>
                <w:sz w:val="20"/>
              </w:rPr>
              <w:t>元</w:t>
            </w:r>
          </w:p>
        </w:tc>
      </w:tr>
    </w:tbl>
    <w:p>
      <w:pPr>
        <w:autoSpaceDN w:val="0"/>
        <w:autoSpaceDE w:val="0"/>
        <w:widowControl/>
        <w:spacing w:line="198" w:lineRule="exact" w:before="18" w:after="26"/>
        <w:ind w:left="358" w:right="0" w:firstLine="0"/>
        <w:jc w:val="left"/>
      </w:pPr>
      <w:r>
        <w:rPr>
          <w:rFonts w:ascii="黑体" w:hAnsi="黑体" w:eastAsia="黑体"/>
          <w:b w:val="0"/>
          <w:i w:val="0"/>
          <w:color w:val="000000"/>
          <w:sz w:val="20"/>
        </w:rPr>
        <w:t>扣除非经常性损益后归属于公司普</w:t>
      </w:r>
    </w:p>
    <w:tbl>
      <w:tblPr>
        <w:tblW w:type="auto" w:w="0"/>
        <w:tblLayout w:type="fixed"/>
        <w:tblLook w:firstColumn="1" w:firstRow="1" w:lastColumn="0" w:lastRow="0" w:noHBand="0" w:noVBand="1" w:val="04A0"/>
        <w:tblInd w:w="160.0" w:type="dxa"/>
      </w:tblPr>
      <w:tblGrid>
        <w:gridCol w:w="2256"/>
        <w:gridCol w:w="2256"/>
        <w:gridCol w:w="2256"/>
        <w:gridCol w:w="2256"/>
      </w:tblGrid>
      <w:tr>
        <w:trPr>
          <w:trHeight w:hRule="exact" w:val="320"/>
        </w:trPr>
        <w:tc>
          <w:tcPr>
            <w:tcW w:type="dxa" w:w="3340"/>
            <w:tcBorders/>
            <w:tcMar>
              <w:start w:w="0" w:type="dxa"/>
              <w:end w:w="0" w:type="dxa"/>
            </w:tcMar>
          </w:tcPr>
          <w:p>
            <w:pPr>
              <w:autoSpaceDN w:val="0"/>
              <w:autoSpaceDE w:val="0"/>
              <w:widowControl/>
              <w:spacing w:line="200" w:lineRule="exact" w:before="34" w:after="0"/>
              <w:ind w:left="198" w:right="0" w:firstLine="0"/>
              <w:jc w:val="left"/>
            </w:pPr>
            <w:r>
              <w:rPr>
                <w:rFonts w:ascii="黑体" w:hAnsi="黑体" w:eastAsia="黑体"/>
                <w:b w:val="0"/>
                <w:i w:val="0"/>
                <w:color w:val="000000"/>
                <w:sz w:val="20"/>
              </w:rPr>
              <w:t>通股股东的净利润</w:t>
            </w:r>
          </w:p>
        </w:tc>
        <w:tc>
          <w:tcPr>
            <w:tcW w:type="dxa" w:w="2240"/>
            <w:tcBorders/>
            <w:tcMar>
              <w:start w:w="0" w:type="dxa"/>
              <w:end w:w="0" w:type="dxa"/>
            </w:tcMar>
          </w:tcPr>
          <w:p>
            <w:pPr>
              <w:autoSpaceDN w:val="0"/>
              <w:autoSpaceDE w:val="0"/>
              <w:widowControl/>
              <w:spacing w:line="233" w:lineRule="auto" w:before="38" w:after="0"/>
              <w:ind w:left="0" w:right="224" w:firstLine="0"/>
              <w:jc w:val="right"/>
            </w:pPr>
            <w:r>
              <w:rPr>
                <w:rFonts w:ascii="Arial" w:hAnsi="Arial" w:eastAsia="Arial"/>
                <w:b w:val="0"/>
                <w:i w:val="0"/>
                <w:color w:val="000000"/>
                <w:sz w:val="20"/>
              </w:rPr>
              <w:t xml:space="preserve">3.92 </w:t>
            </w:r>
          </w:p>
        </w:tc>
        <w:tc>
          <w:tcPr>
            <w:tcW w:type="dxa" w:w="1600"/>
            <w:tcBorders/>
            <w:tcMar>
              <w:start w:w="0" w:type="dxa"/>
              <w:end w:w="0" w:type="dxa"/>
            </w:tcMar>
          </w:tcPr>
          <w:p>
            <w:pPr>
              <w:autoSpaceDN w:val="0"/>
              <w:autoSpaceDE w:val="0"/>
              <w:widowControl/>
              <w:spacing w:line="222" w:lineRule="exact" w:before="26" w:after="0"/>
              <w:ind w:left="0" w:right="0" w:firstLine="0"/>
              <w:jc w:val="center"/>
            </w:pPr>
            <w:r>
              <w:rPr>
                <w:rFonts w:ascii="黑体" w:hAnsi="黑体" w:eastAsia="黑体"/>
                <w:b w:val="0"/>
                <w:i w:val="0"/>
                <w:color w:val="000000"/>
                <w:sz w:val="20"/>
              </w:rPr>
              <w:t>人民币</w:t>
            </w:r>
            <w:r>
              <w:rPr>
                <w:rFonts w:ascii="Arial" w:hAnsi="Arial" w:eastAsia="Arial"/>
                <w:b w:val="0"/>
                <w:i w:val="0"/>
                <w:color w:val="000000"/>
                <w:sz w:val="20"/>
              </w:rPr>
              <w:t>0.20</w:t>
            </w:r>
            <w:r>
              <w:rPr>
                <w:rFonts w:ascii="黑体" w:hAnsi="黑体" w:eastAsia="黑体"/>
                <w:b w:val="0"/>
                <w:i w:val="0"/>
                <w:color w:val="000000"/>
                <w:sz w:val="20"/>
              </w:rPr>
              <w:t>元</w:t>
            </w:r>
          </w:p>
        </w:tc>
        <w:tc>
          <w:tcPr>
            <w:tcW w:type="dxa" w:w="1520"/>
            <w:tcBorders/>
            <w:tcMar>
              <w:start w:w="0" w:type="dxa"/>
              <w:end w:w="0" w:type="dxa"/>
            </w:tcMar>
          </w:tcPr>
          <w:p>
            <w:pPr>
              <w:autoSpaceDN w:val="0"/>
              <w:autoSpaceDE w:val="0"/>
              <w:widowControl/>
              <w:spacing w:line="222" w:lineRule="exact" w:before="26" w:after="0"/>
              <w:ind w:left="0" w:right="0" w:firstLine="0"/>
              <w:jc w:val="center"/>
            </w:pPr>
            <w:r>
              <w:rPr>
                <w:rFonts w:ascii="黑体" w:hAnsi="黑体" w:eastAsia="黑体"/>
                <w:b w:val="0"/>
                <w:i w:val="0"/>
                <w:color w:val="000000"/>
                <w:sz w:val="20"/>
              </w:rPr>
              <w:t>人民币</w:t>
            </w:r>
            <w:r>
              <w:rPr>
                <w:rFonts w:ascii="Arial" w:hAnsi="Arial" w:eastAsia="Arial"/>
                <w:b w:val="0"/>
                <w:i w:val="0"/>
                <w:color w:val="000000"/>
                <w:sz w:val="20"/>
              </w:rPr>
              <w:t>0.20</w:t>
            </w:r>
            <w:r>
              <w:rPr>
                <w:rFonts w:ascii="黑体" w:hAnsi="黑体" w:eastAsia="黑体"/>
                <w:b w:val="0"/>
                <w:i w:val="0"/>
                <w:color w:val="000000"/>
                <w:sz w:val="20"/>
              </w:rPr>
              <w:t>元</w:t>
            </w:r>
          </w:p>
        </w:tc>
      </w:tr>
    </w:tbl>
    <w:p>
      <w:pPr>
        <w:autoSpaceDN w:val="0"/>
        <w:autoSpaceDE w:val="0"/>
        <w:widowControl/>
        <w:spacing w:line="220" w:lineRule="exact" w:before="224" w:after="0"/>
        <w:ind w:left="0" w:right="0" w:firstLine="0"/>
        <w:jc w:val="center"/>
      </w:pPr>
      <w:r>
        <w:rPr>
          <w:rFonts w:ascii="黑体" w:hAnsi="黑体" w:eastAsia="黑体"/>
          <w:b w:val="0"/>
          <w:i w:val="0"/>
          <w:color w:val="000000"/>
          <w:sz w:val="22"/>
        </w:rPr>
        <w:t>基本每股收益以归属于母公司普通股股东的合并净利润除以本公司发行在外普通股的</w:t>
      </w:r>
    </w:p>
    <w:p>
      <w:pPr>
        <w:autoSpaceDN w:val="0"/>
        <w:autoSpaceDE w:val="0"/>
        <w:widowControl/>
        <w:spacing w:line="220" w:lineRule="exact" w:before="66" w:after="0"/>
        <w:ind w:left="358" w:right="0" w:firstLine="0"/>
        <w:jc w:val="left"/>
      </w:pPr>
      <w:r>
        <w:rPr>
          <w:rFonts w:ascii="黑体" w:hAnsi="黑体" w:eastAsia="黑体"/>
          <w:b w:val="0"/>
          <w:i w:val="0"/>
          <w:color w:val="000000"/>
          <w:sz w:val="22"/>
        </w:rPr>
        <w:t>加权平均数计算。</w:t>
      </w:r>
    </w:p>
    <w:p>
      <w:pPr>
        <w:autoSpaceDN w:val="0"/>
        <w:autoSpaceDE w:val="0"/>
        <w:widowControl/>
        <w:spacing w:line="286" w:lineRule="exact" w:before="252" w:after="0"/>
        <w:ind w:left="358" w:right="350" w:firstLine="0"/>
        <w:jc w:val="both"/>
      </w:pPr>
      <w:r>
        <w:rPr>
          <w:rFonts w:ascii="黑体" w:hAnsi="黑体" w:eastAsia="黑体"/>
          <w:b w:val="0"/>
          <w:i w:val="0"/>
          <w:color w:val="000000"/>
          <w:sz w:val="22"/>
        </w:rPr>
        <w:t>稀释每股收益以根据稀释性潜在普通股调整后的归属于母公司普通股股东的合并净利</w:t>
      </w:r>
      <w:r>
        <w:rPr>
          <w:rFonts w:ascii="黑体" w:hAnsi="黑体" w:eastAsia="黑体"/>
          <w:b w:val="0"/>
          <w:i w:val="0"/>
          <w:color w:val="000000"/>
          <w:sz w:val="22"/>
        </w:rPr>
        <w:t>润除以调整后的本公司发行在外普通股的加权平均数计算。</w:t>
      </w:r>
      <w:r>
        <w:rPr>
          <w:rFonts w:ascii="Arial" w:hAnsi="Arial" w:eastAsia="Arial"/>
          <w:b w:val="0"/>
          <w:i w:val="0"/>
          <w:color w:val="000000"/>
          <w:sz w:val="22"/>
        </w:rPr>
        <w:t>2024</w:t>
      </w:r>
      <w:r>
        <w:rPr>
          <w:rFonts w:ascii="黑体" w:hAnsi="黑体" w:eastAsia="黑体"/>
          <w:b w:val="0"/>
          <w:i w:val="0"/>
          <w:color w:val="000000"/>
          <w:sz w:val="22"/>
        </w:rPr>
        <w:t>年度，本公司不存在</w:t>
      </w:r>
      <w:r>
        <w:rPr>
          <w:rFonts w:ascii="黑体" w:hAnsi="黑体" w:eastAsia="黑体"/>
          <w:b w:val="0"/>
          <w:i w:val="0"/>
          <w:color w:val="000000"/>
          <w:sz w:val="22"/>
        </w:rPr>
        <w:t>具有稀释性的潜在普通股，因此，稀释每股收益等于基本每股收益（</w:t>
      </w:r>
      <w:r>
        <w:rPr>
          <w:rFonts w:ascii="Arial" w:hAnsi="Arial" w:eastAsia="Arial"/>
          <w:b w:val="0"/>
          <w:i w:val="0"/>
          <w:color w:val="000000"/>
          <w:sz w:val="22"/>
        </w:rPr>
        <w:t>2023</w:t>
      </w:r>
      <w:r>
        <w:rPr>
          <w:rFonts w:ascii="黑体" w:hAnsi="黑体" w:eastAsia="黑体"/>
          <w:b w:val="0"/>
          <w:i w:val="0"/>
          <w:color w:val="000000"/>
          <w:sz w:val="22"/>
        </w:rPr>
        <w:t>年度：</w:t>
      </w:r>
      <w:r>
        <w:rPr>
          <w:rFonts w:ascii="黑体" w:hAnsi="黑体" w:eastAsia="黑体"/>
          <w:b w:val="0"/>
          <w:i w:val="0"/>
          <w:color w:val="000000"/>
          <w:sz w:val="22"/>
        </w:rPr>
        <w:t>同）。</w:t>
      </w:r>
    </w:p>
    <w:p>
      <w:pPr>
        <w:autoSpaceDN w:val="0"/>
        <w:autoSpaceDE w:val="0"/>
        <w:widowControl/>
        <w:spacing w:line="235" w:lineRule="auto" w:before="7762" w:after="0"/>
        <w:ind w:left="0" w:right="0" w:firstLine="0"/>
        <w:jc w:val="center"/>
      </w:pPr>
      <w:r>
        <w:rPr>
          <w:rFonts w:ascii="Arial" w:hAnsi="Arial" w:eastAsia="Arial"/>
          <w:b w:val="0"/>
          <w:i w:val="0"/>
          <w:color w:val="000000"/>
          <w:sz w:val="22"/>
        </w:rPr>
        <w:t xml:space="preserve">3 </w:t>
      </w:r>
    </w:p>
    <w:sectPr w:rsidR="00FC693F" w:rsidRPr="0006063C" w:rsidSect="00034616">
      <w:pgSz w:w="11906" w:h="16841"/>
      <w:pgMar w:top="988" w:right="1440" w:bottom="360" w:left="1440"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qcc.com/pl/pr3312466d796d89ec08200cf4420897.html" TargetMode="External"/><Relationship Id="rId13" Type="http://schemas.openxmlformats.org/officeDocument/2006/relationships/hyperlink" Target="https://www.qcc.com/pl/pr27b4fdd639ac4b732d53e84589e7b9.html" TargetMode="External"/><Relationship Id="rId14" Type="http://schemas.openxmlformats.org/officeDocument/2006/relationships/hyperlink" Target="https://www.qcc.com/pl/pr1b28ce7c56f6762ae88205ec96768e.html" TargetMode="External"/><Relationship Id="rId15" Type="http://schemas.openxmlformats.org/officeDocument/2006/relationships/hyperlink" Target="https://www.qcc.com/pl/p671e599eb66a2e34a8eafd090be1826.html" TargetMode="External"/><Relationship Id="rId16" Type="http://schemas.openxmlformats.org/officeDocument/2006/relationships/hyperlink" Target="http://www.cninfo.com.cn/" TargetMode="External"/><Relationship Id="rId17" Type="http://schemas.openxmlformats.org/officeDocument/2006/relationships/hyperlink" Target="http://www.cninfo.com.cn/new/disclosure/detail?plate=szse&amp;orgId=qsgn0000279&amp;stockCode=002500&amp;announcementId=1219121967&amp;announcementTime=2024-02-07%2016:57" TargetMode="External"/><Relationship Id="rId18" Type="http://schemas.openxmlformats.org/officeDocument/2006/relationships/hyperlink" Target="http://www.cninfo.com.cn/new/disclosure/detail?plate=szse&amp;orgId=qsgn0000279&amp;stockCode=002500&amp;announcementId=1219345480&amp;announcementTime=2024-03-19%2016:49" TargetMode="External"/><Relationship Id="rId19" Type="http://schemas.openxmlformats.org/officeDocument/2006/relationships/hyperlink" Target="http://www.cninfo.com.cn/new/disclosure/detail?plate=szse&amp;orgId=qsgn0000279&amp;stockCode=002500&amp;announcementId=1219915183&amp;announcementTime=2024-04-30" TargetMode="External"/><Relationship Id="rId20" Type="http://schemas.openxmlformats.org/officeDocument/2006/relationships/hyperlink" Target="http://www.cninfo.com.cn/new/disclosure/detail?plate=szse&amp;orgId=qsgn0000279&amp;stockCode=002500&amp;announcementId=1219915099&amp;announcementTime=2024-04-30" TargetMode="External"/><Relationship Id="rId21" Type="http://schemas.openxmlformats.org/officeDocument/2006/relationships/hyperlink" Target="http://www.cninfo.com.cn/new/disclosure/detail?plate=szse&amp;orgId=qsgn0000279&amp;stockCode=002500&amp;announcementId=1219915093&amp;announcementTime=2024-04-30" TargetMode="External"/><Relationship Id="rId22" Type="http://schemas.openxmlformats.org/officeDocument/2006/relationships/hyperlink" Target="http://www.cninfo.com.cn/new/disclosure/detail?plate=szse&amp;orgId=qsgn0000279&amp;stockCode=002500&amp;announcementId=1219915173&amp;announcementTime=2024-04-30" TargetMode="External"/><Relationship Id="rId23" Type="http://schemas.openxmlformats.org/officeDocument/2006/relationships/hyperlink" Target="http://www.cninfo.com.cn/new/disclosure/detail?plate=szse&amp;orgId=qsgn0000279&amp;stockCode=002500&amp;announcementId=1219915084&amp;announcementTime=2024-04-30" TargetMode="External"/><Relationship Id="rId24" Type="http://schemas.openxmlformats.org/officeDocument/2006/relationships/hyperlink" Target="http://www.cninfo.com.cn/new/disclosure/detail?plate=szse&amp;orgId=qsgn0000279&amp;stockCode=002500&amp;announcementId=1219915243&amp;announcementTime=2024-04-30" TargetMode="External"/><Relationship Id="rId25" Type="http://schemas.openxmlformats.org/officeDocument/2006/relationships/hyperlink" Target="http://www.cninfo.com.cn/new/disclosure/detail?plate=szse&amp;orgId=qsgn0000279&amp;stockCode=002500&amp;announcementId=1219915125&amp;announcementTime=2024-04-30" TargetMode="External"/><Relationship Id="rId26" Type="http://schemas.openxmlformats.org/officeDocument/2006/relationships/hyperlink" Target="http://www.cninfo.com.cn/new/disclosure/detail?plate=szse&amp;orgId=qsgn0000279&amp;stockCode=002500&amp;announcementId=1219915254&amp;announcementTime=2024-04-30" TargetMode="External"/><Relationship Id="rId27" Type="http://schemas.openxmlformats.org/officeDocument/2006/relationships/hyperlink" Target="http://www.cninfo.com.cn/new/disclosure/detail?plate=szse&amp;orgId=qsgn0000279&amp;stockCode=002500&amp;announcementId=1219915138&amp;announcementTime=2024-04-30" TargetMode="External"/><Relationship Id="rId28" Type="http://schemas.openxmlformats.org/officeDocument/2006/relationships/hyperlink" Target="http://www.cninfo.com.cn/new/disclosure/detail?plate=szse&amp;orgId=qsgn0000279&amp;stockCode=002500&amp;announcementId=1219915184&amp;announcementTime=2024-04-30" TargetMode="External"/><Relationship Id="rId29" Type="http://schemas.openxmlformats.org/officeDocument/2006/relationships/hyperlink" Target="http://www.cninfo.com.cn/new/disclosure/detail?plate=szse&amp;orgId=qsgn0000279&amp;stockCode=002500&amp;announcementId=1219915224&amp;announcementTime=2024-04-30" TargetMode="External"/><Relationship Id="rId30" Type="http://schemas.openxmlformats.org/officeDocument/2006/relationships/hyperlink" Target="http://www.cninfo.com.cn/new/disclosure/detail?plate=szse&amp;orgId=qsgn0000279&amp;stockCode=002500&amp;announcementId=1219915082&amp;announcementTime=2024-04-30" TargetMode="External"/><Relationship Id="rId31" Type="http://schemas.openxmlformats.org/officeDocument/2006/relationships/hyperlink" Target="http://www.cninfo.com.cn/new/disclosure/detail?plate=szse&amp;orgId=qsgn0000279&amp;stockCode=002500&amp;announcementId=1219915091&amp;announcementTime=2024-04-30" TargetMode="External"/><Relationship Id="rId32" Type="http://schemas.openxmlformats.org/officeDocument/2006/relationships/hyperlink" Target="http://www.cninfo.com.cn/new/disclosure/detail?plate=szse&amp;orgId=qsgn0000279&amp;stockCode=002500&amp;announcementId=1219915107&amp;announcementTime=2024-04-30" TargetMode="External"/><Relationship Id="rId33" Type="http://schemas.openxmlformats.org/officeDocument/2006/relationships/hyperlink" Target="http://www.cninfo.com.cn/new/disclosure/detail?plate=szse&amp;orgId=qsgn0000279&amp;stockCode=002500&amp;announcementId=1219915111&amp;announcementTime=2024-04-30" TargetMode="External"/><Relationship Id="rId34" Type="http://schemas.openxmlformats.org/officeDocument/2006/relationships/hyperlink" Target="http://www.cninfo.com.cn/new/disclosure/detail?plate=szse&amp;orgId=qsgn0000279&amp;stockCode=002500&amp;announcementId=1219915118&amp;announcementTime=2024-04-30" TargetMode="External"/><Relationship Id="rId35" Type="http://schemas.openxmlformats.org/officeDocument/2006/relationships/hyperlink" Target="http://www.cninfo.com.cn/new/disclosure/detail?plate=szse&amp;orgId=qsgn0000279&amp;stockCode=002500&amp;announcementId=1219915124&amp;announcementTime=2024-04-30" TargetMode="External"/><Relationship Id="rId36" Type="http://schemas.openxmlformats.org/officeDocument/2006/relationships/hyperlink" Target="http://www.cninfo.com.cn/new/disclosure/detail?plate=szse&amp;orgId=qsgn0000279&amp;stockCode=002500&amp;announcementId=1219915131&amp;announcementTime=2024-04-30" TargetMode="External"/><Relationship Id="rId37" Type="http://schemas.openxmlformats.org/officeDocument/2006/relationships/hyperlink" Target="http://www.cninfo.com.cn/new/disclosure/detail?plate=szse&amp;orgId=qsgn0000279&amp;stockCode=002500&amp;announcementId=1219915150&amp;announcementTime=2024-04-30" TargetMode="External"/><Relationship Id="rId38" Type="http://schemas.openxmlformats.org/officeDocument/2006/relationships/hyperlink" Target="http://www.cninfo.com.cn/new/disclosure/detail?plate=szse&amp;orgId=qsgn0000279&amp;stockCode=002500&amp;announcementId=1219915157&amp;announcementTime=2024-04-30" TargetMode="External"/><Relationship Id="rId39" Type="http://schemas.openxmlformats.org/officeDocument/2006/relationships/hyperlink" Target="http://www.cninfo.com.cn/new/disclosure/detail?plate=szse&amp;orgId=qsgn0000279&amp;stockCode=002500&amp;announcementId=1219915159&amp;announcementTime=2024-04-30" TargetMode="External"/><Relationship Id="rId40" Type="http://schemas.openxmlformats.org/officeDocument/2006/relationships/hyperlink" Target="http://www.cninfo.com.cn/new/disclosure/detail?plate=szse&amp;orgId=qsgn0000279&amp;stockCode=002500&amp;announcementId=1219915160&amp;announcementTime=2024-04-30" TargetMode="External"/><Relationship Id="rId41" Type="http://schemas.openxmlformats.org/officeDocument/2006/relationships/hyperlink" Target="http://www.cninfo.com.cn/new/disclosure/detail?plate=szse&amp;orgId=qsgn0000279&amp;stockCode=002500&amp;announcementId=1219915162&amp;announcementTime=2024-04-30" TargetMode="External"/><Relationship Id="rId42" Type="http://schemas.openxmlformats.org/officeDocument/2006/relationships/hyperlink" Target="http://www.cninfo.com.cn/new/disclosure/detail?plate=szse&amp;orgId=qsgn0000279&amp;stockCode=002500&amp;announcementId=1219915168&amp;announcementTime=2024-04-30" TargetMode="External"/><Relationship Id="rId43" Type="http://schemas.openxmlformats.org/officeDocument/2006/relationships/hyperlink" Target="http://www.cninfo.com.cn/new/disclosure/detail?plate=szse&amp;orgId=qsgn0000279&amp;stockCode=002500&amp;announcementId=1219915175&amp;announcementTime=2024-04-30" TargetMode="External"/><Relationship Id="rId44" Type="http://schemas.openxmlformats.org/officeDocument/2006/relationships/hyperlink" Target="http://www.cninfo.com.cn/new/disclosure/detail?plate=szse&amp;orgId=qsgn0000279&amp;stockCode=002500&amp;announcementId=1219915177&amp;announcementTime=2024-04-30" TargetMode="External"/><Relationship Id="rId45" Type="http://schemas.openxmlformats.org/officeDocument/2006/relationships/hyperlink" Target="http://www.cninfo.com.cn/new/disclosure/detail?plate=szse&amp;orgId=qsgn0000279&amp;stockCode=002500&amp;announcementId=1219915186&amp;announcementTime=2024-04-30" TargetMode="External"/><Relationship Id="rId46" Type="http://schemas.openxmlformats.org/officeDocument/2006/relationships/hyperlink" Target="http://www.cninfo.com.cn/new/disclosure/detail?plate=szse&amp;orgId=qsgn0000279&amp;stockCode=002500&amp;announcementId=1219915192&amp;announcementTime=2024-04-30" TargetMode="External"/><Relationship Id="rId47" Type="http://schemas.openxmlformats.org/officeDocument/2006/relationships/hyperlink" Target="http://www.cninfo.com.cn/new/disclosure/detail?plate=szse&amp;orgId=qsgn0000279&amp;stockCode=002500&amp;announcementId=1219915200&amp;announcementTime=2024-04-30" TargetMode="External"/><Relationship Id="rId48" Type="http://schemas.openxmlformats.org/officeDocument/2006/relationships/hyperlink" Target="http://www.cninfo.com.cn/new/disclosure/detail?plate=szse&amp;orgId=qsgn0000279&amp;stockCode=002500&amp;announcementId=1219915207&amp;announcementTime=2024-04-30" TargetMode="External"/><Relationship Id="rId49" Type="http://schemas.openxmlformats.org/officeDocument/2006/relationships/hyperlink" Target="http://www.cninfo.com.cn/new/disclosure/detail?plate=szse&amp;orgId=qsgn0000279&amp;stockCode=002500&amp;announcementId=1219915213&amp;announcementTime=2024-04-30" TargetMode="External"/><Relationship Id="rId50" Type="http://schemas.openxmlformats.org/officeDocument/2006/relationships/hyperlink" Target="http://www.cninfo.com.cn/new/disclosure/detail?plate=szse&amp;orgId=qsgn0000279&amp;stockCode=002500&amp;announcementId=1219915220&amp;announcementTime=2024-04-30" TargetMode="External"/><Relationship Id="rId51" Type="http://schemas.openxmlformats.org/officeDocument/2006/relationships/hyperlink" Target="http://www.cninfo.com.cn/new/disclosure/detail?plate=szse&amp;orgId=qsgn0000279&amp;stockCode=002500&amp;announcementId=1219915231&amp;announcementTime=2024-04-30" TargetMode="External"/><Relationship Id="rId52" Type="http://schemas.openxmlformats.org/officeDocument/2006/relationships/hyperlink" Target="http://www.cninfo.com.cn/new/disclosure/detail?plate=szse&amp;orgId=qsgn0000279&amp;stockCode=002500&amp;announcementId=1219915248&amp;announcementTime=2024-04-30" TargetMode="External"/><Relationship Id="rId53" Type="http://schemas.openxmlformats.org/officeDocument/2006/relationships/hyperlink" Target="http://www.cninfo.com.cn/new/disclosure/detail?plate=szse&amp;orgId=qsgn0000279&amp;stockCode=002500&amp;announcementId=1220033283&amp;announcementTime=2024-05-11" TargetMode="External"/><Relationship Id="rId54" Type="http://schemas.openxmlformats.org/officeDocument/2006/relationships/hyperlink" Target="http://www.cninfo.com.cn/new/disclosure/detail?plate=szse&amp;orgId=qsgn0000279&amp;stockCode=002500&amp;announcementId=1220033286&amp;announcementTime=2024-05-11" TargetMode="External"/><Relationship Id="rId55" Type="http://schemas.openxmlformats.org/officeDocument/2006/relationships/hyperlink" Target="http://www.cninfo.com.cn/new/disclosure/detail?plate=szse&amp;orgId=qsgn0000279&amp;stockCode=002500&amp;announcementId=1220159964&amp;announcementTime=2024-05-25" TargetMode="External"/><Relationship Id="rId56" Type="http://schemas.openxmlformats.org/officeDocument/2006/relationships/hyperlink" Target="http://www.cninfo.com.cn/new/disclosure/detail?plate=szse&amp;orgId=qsgn0000279&amp;stockCode=002500&amp;announcementId=1220159962&amp;announcementTime=2024-05-25" TargetMode="External"/><Relationship Id="rId57" Type="http://schemas.openxmlformats.org/officeDocument/2006/relationships/hyperlink" Target="http://www.cninfo.com.cn/new/disclosure/detail?plate=szse&amp;orgId=qsgn0000279&amp;stockCode=002500&amp;announcementId=1220159963&amp;announcementTime=2024-05-25" TargetMode="External"/><Relationship Id="rId58" Type="http://schemas.openxmlformats.org/officeDocument/2006/relationships/hyperlink" Target="http://www.cninfo.com.cn/new/disclosure/detail?plate=szse&amp;orgId=qsgn0000279&amp;stockCode=002500&amp;announcementId=1220159965&amp;announcementTime=2024-05-25" TargetMode="External"/><Relationship Id="rId59" Type="http://schemas.openxmlformats.org/officeDocument/2006/relationships/hyperlink" Target="http://www.cninfo.com.cn/new/disclosure/detail?plate=szse&amp;orgId=qsgn0000279&amp;stockCode=002500&amp;announcementId=1220159966&amp;announcementTime=2024-05-25" TargetMode="External"/><Relationship Id="rId60" Type="http://schemas.openxmlformats.org/officeDocument/2006/relationships/hyperlink" Target="http://www.cninfo.com.cn/new/disclosure/detail?plate=szse&amp;orgId=qsgn0000279&amp;stockCode=002500&amp;announcementId=1220159967&amp;announcementTime=2024-05-25" TargetMode="External"/><Relationship Id="rId61" Type="http://schemas.openxmlformats.org/officeDocument/2006/relationships/hyperlink" Target="http://www.cninfo.com.cn/new/disclosure/detail?plate=szse&amp;orgId=qsgn0000279&amp;stockCode=002500&amp;announcementId=1220159968&amp;announcementTime=2024-05-25" TargetMode="External"/><Relationship Id="rId62" Type="http://schemas.openxmlformats.org/officeDocument/2006/relationships/hyperlink" Target="http://www.cninfo.com.cn/new/disclosure/detail?plate=szse&amp;orgId=qsgn0000279&amp;stockCode=002500&amp;announcementId=1220159969&amp;announcementTime=2024-05-25" TargetMode="External"/><Relationship Id="rId63" Type="http://schemas.openxmlformats.org/officeDocument/2006/relationships/hyperlink" Target="http://www.cninfo.com.cn/new/disclosure/detail?plate=szse&amp;orgId=qsgn0000279&amp;stockCode=002500&amp;announcementId=1220159974&amp;announcementTime=2024-05-25" TargetMode="External"/><Relationship Id="rId64" Type="http://schemas.openxmlformats.org/officeDocument/2006/relationships/hyperlink" Target="http://www.cninfo.com.cn/new/disclosure/detail?plate=szse&amp;orgId=qsgn0000279&amp;stockCode=002500&amp;announcementId=1220400636&amp;announcementTime=2024-06-19%2016:42" TargetMode="External"/><Relationship Id="rId65" Type="http://schemas.openxmlformats.org/officeDocument/2006/relationships/hyperlink" Target="http://www.cninfo.com.cn/new/disclosure/detail?plate=szse&amp;orgId=qsgn0000279&amp;stockCode=002500&amp;announcementId=1220400637&amp;announcementTime=2024-06-19%2016:42" TargetMode="External"/><Relationship Id="rId66" Type="http://schemas.openxmlformats.org/officeDocument/2006/relationships/hyperlink" Target="http://www.cninfo.com.cn/new/disclosure/detail?plate=szse&amp;orgId=qsgn0000279&amp;stockCode=002500&amp;announcementId=1220400638&amp;announcementTime=2024-06-19%2016:42" TargetMode="External"/><Relationship Id="rId67" Type="http://schemas.openxmlformats.org/officeDocument/2006/relationships/hyperlink" Target="http://www.cninfo.com.cn/new/disclosure/detail?plate=szse&amp;orgId=qsgn0000279&amp;stockCode=002500&amp;announcementId=1220416021&amp;announcementTime=2024-06-20%2019:06" TargetMode="External"/><Relationship Id="rId68" Type="http://schemas.openxmlformats.org/officeDocument/2006/relationships/hyperlink" Target="http://www.cninfo.com.cn/new/disclosure/detail?plate=szse&amp;orgId=qsgn0000279&amp;stockCode=002500&amp;announcementId=1220417282&amp;announcementTime=2024-06-20%2020:58" TargetMode="External"/><Relationship Id="rId69" Type="http://schemas.openxmlformats.org/officeDocument/2006/relationships/hyperlink" Target="http://www.cninfo.com.cn/new/disclosure/detail?plate=szse&amp;orgId=qsgn0000279&amp;stockCode=002500&amp;announcementId=1220427985&amp;announcementTime=2024-06-22" TargetMode="External"/><Relationship Id="rId70" Type="http://schemas.openxmlformats.org/officeDocument/2006/relationships/hyperlink" Target="http://www.cninfo.com.cn/new/disclosure/detail?plate=szse&amp;orgId=qsgn0000279&amp;stockCode=002500&amp;announcementId=1220443067&amp;announcementTime=2024-06-24%2019:11" TargetMode="External"/><Relationship Id="rId71" Type="http://schemas.openxmlformats.org/officeDocument/2006/relationships/hyperlink" Target="http://www.cninfo.com.cn/new/disclosure/detail?plate=szse&amp;orgId=qsgn0000279&amp;stockCode=002500&amp;announcementId=1220457258&amp;announcementTime=2024-06-25%2020:01" TargetMode="External"/><Relationship Id="rId72" Type="http://schemas.openxmlformats.org/officeDocument/2006/relationships/hyperlink" Target="http://www.cninfo.com.cn/new/disclosure/detail?plate=szse&amp;orgId=qsgn0000279&amp;stockCode=002500&amp;announcementId=1220466405&amp;announcementTime=2024-06-26%2017:10" TargetMode="External"/><Relationship Id="rId73" Type="http://schemas.openxmlformats.org/officeDocument/2006/relationships/hyperlink" Target="http://www.cninfo.com.cn/new/disclosure/detail?plate=szse&amp;orgId=qsgn0000279&amp;stockCode=002500&amp;announcementId=1220479334&amp;announcementTime=2024-06-27%2016:33" TargetMode="External"/><Relationship Id="rId74" Type="http://schemas.openxmlformats.org/officeDocument/2006/relationships/hyperlink" Target="http://www.cninfo.com.cn/new/disclosure/detail?plate=szse&amp;orgId=qsgn0000279&amp;stockCode=002500&amp;announcementId=1220494580&amp;announcementTime=2024-06-28%2016:26" TargetMode="External"/><Relationship Id="rId75" Type="http://schemas.openxmlformats.org/officeDocument/2006/relationships/hyperlink" Target="http://www.cninfo.com.cn/new/disclosure/detail?plate=szse&amp;orgId=qsgn0000279&amp;stockCode=002500&amp;announcementId=1220614370&amp;announcementTime=2024-07-11%2017:18" TargetMode="External"/><Relationship Id="rId76" Type="http://schemas.openxmlformats.org/officeDocument/2006/relationships/hyperlink" Target="http://www.cninfo.com.cn/new/disclosure/detail?plate=szse&amp;orgId=qsgn0000279&amp;stockCode=002500&amp;announcementId=1220662468&amp;announcementTime=2024-07-17%2016:33" TargetMode="External"/><Relationship Id="rId77" Type="http://schemas.openxmlformats.org/officeDocument/2006/relationships/hyperlink" Target="http://www.cninfo.com.cn/new/disclosure/detail?plate=szse&amp;orgId=qsgn0000279&amp;stockCode=002500&amp;announcementId=1220662485&amp;announcementTime=2024-07-17%2016:33" TargetMode="External"/><Relationship Id="rId78" Type="http://schemas.openxmlformats.org/officeDocument/2006/relationships/hyperlink" Target="http://www.cninfo.com.cn/new/disclosure/detail?plate=szse&amp;orgId=qsgn0000279&amp;stockCode=002500&amp;announcementId=1220662488&amp;announcementTime=2024-07-17%2016:33" TargetMode="External"/><Relationship Id="rId79" Type="http://schemas.openxmlformats.org/officeDocument/2006/relationships/hyperlink" Target="http://www.cninfo.com.cn/new/disclosure/detail?plate=szse&amp;orgId=qsgn0000279&amp;stockCode=002500&amp;announcementId=1220675905&amp;announcementTime=2024-07-18%2018:45" TargetMode="External"/><Relationship Id="rId80" Type="http://schemas.openxmlformats.org/officeDocument/2006/relationships/hyperlink" Target="http://www.cninfo.com.cn/new/disclosure/detail?plate=szse&amp;orgId=qsgn0000279&amp;stockCode=002500&amp;announcementId=1220677138&amp;announcementTime=2024-07-18%2021:41" TargetMode="External"/><Relationship Id="rId81" Type="http://schemas.openxmlformats.org/officeDocument/2006/relationships/hyperlink" Target="http://www.cninfo.com.cn/new/disclosure/detail?plate=szse&amp;orgId=qsgn0000279&amp;stockCode=002500&amp;announcementId=1220701204&amp;announcementTime=2024-07-22%2019:20" TargetMode="External"/><Relationship Id="rId82" Type="http://schemas.openxmlformats.org/officeDocument/2006/relationships/hyperlink" Target="http://www.cninfo.com.cn/new/disclosure/detail?plate=szse&amp;orgId=qsgn0000279&amp;stockCode=002500&amp;announcementId=1220710423&amp;announcementTime=2024-07-23%2017:06" TargetMode="External"/><Relationship Id="rId83" Type="http://schemas.openxmlformats.org/officeDocument/2006/relationships/hyperlink" Target="http://www.cninfo.com.cn/new/disclosure/detail?plate=szse&amp;orgId=qsgn0000279&amp;stockCode=002500&amp;announcementId=1220737979&amp;announcementTime=2024-07-26%2017:06" TargetMode="External"/><Relationship Id="rId84" Type="http://schemas.openxmlformats.org/officeDocument/2006/relationships/hyperlink" Target="http://www.cninfo.com.cn/new/disclosure/detail?plate=szse&amp;orgId=qsgn0000279&amp;stockCode=002500&amp;announcementId=1221007237&amp;announcementTime=2024-08-28" TargetMode="External"/><Relationship Id="rId85" Type="http://schemas.openxmlformats.org/officeDocument/2006/relationships/hyperlink" Target="http://www.cninfo.com.cn/new/disclosure/detail?plate=szse&amp;orgId=qsgn0000279&amp;stockCode=002500&amp;announcementId=1221007238&amp;announcementTime=2024-08-28" TargetMode="External"/><Relationship Id="rId86" Type="http://schemas.openxmlformats.org/officeDocument/2006/relationships/hyperlink" Target="http://www.cninfo.com.cn/new/disclosure/detail?plate=szse&amp;orgId=qsgn0000279&amp;stockCode=002500&amp;announcementId=1221007239&amp;announcementTime=2024-08-28" TargetMode="External"/><Relationship Id="rId87" Type="http://schemas.openxmlformats.org/officeDocument/2006/relationships/hyperlink" Target="http://www.cninfo.com.cn/new/disclosure/detail?plate=szse&amp;orgId=qsgn0000279&amp;stockCode=002500&amp;announcementId=1221007240&amp;announcementTime=2024-08-28" TargetMode="External"/><Relationship Id="rId88" Type="http://schemas.openxmlformats.org/officeDocument/2006/relationships/hyperlink" Target="http://www.cninfo.com.cn/new/disclosure/detail?plate=szse&amp;orgId=qsgn0000279&amp;stockCode=002500&amp;announcementId=1221007241&amp;announcementTime=2024-08-28" TargetMode="External"/><Relationship Id="rId89" Type="http://schemas.openxmlformats.org/officeDocument/2006/relationships/hyperlink" Target="http://www.cninfo.com.cn/new/disclosure/detail?plate=szse&amp;orgId=qsgn0000279&amp;stockCode=002500&amp;announcementId=1221007242&amp;announcementTime=2024-08-28" TargetMode="External"/><Relationship Id="rId90" Type="http://schemas.openxmlformats.org/officeDocument/2006/relationships/hyperlink" Target="http://www.cninfo.com.cn/new/disclosure/detail?plate=szse&amp;orgId=qsgn0000279&amp;stockCode=002500&amp;announcementId=1221007243&amp;announcementTime=2024-08-28" TargetMode="External"/><Relationship Id="rId91" Type="http://schemas.openxmlformats.org/officeDocument/2006/relationships/hyperlink" Target="http://www.cninfo.com.cn/new/disclosure/detail?plate=szse&amp;orgId=qsgn0000279&amp;stockCode=002500&amp;announcementId=1221007244&amp;announcementTime=2024-08-28" TargetMode="External"/><Relationship Id="rId92" Type="http://schemas.openxmlformats.org/officeDocument/2006/relationships/hyperlink" Target="http://www.cninfo.com.cn/new/disclosure/detail?plate=szse&amp;orgId=qsgn0000279&amp;stockCode=002500&amp;announcementId=1221007246&amp;announcementTime=2024-08-28" TargetMode="External"/><Relationship Id="rId93" Type="http://schemas.openxmlformats.org/officeDocument/2006/relationships/hyperlink" Target="http://www.cninfo.com.cn/new/disclosure/detail?plate=szse&amp;orgId=qsgn0000279&amp;stockCode=002500&amp;announcementId=1221024966&amp;announcementTime=2024-08-28%2017:02" TargetMode="External"/><Relationship Id="rId94" Type="http://schemas.openxmlformats.org/officeDocument/2006/relationships/hyperlink" Target="http://www.cninfo.com.cn/new/disclosure/detail?plate=szse&amp;orgId=qsgn0000279&amp;stockCode=002500&amp;announcementId=1221137088&amp;announcementTime=2024-09-05" TargetMode="External"/><Relationship Id="rId95" Type="http://schemas.openxmlformats.org/officeDocument/2006/relationships/hyperlink" Target="http://www.cninfo.com.cn/new/disclosure/detail?plate=szse&amp;orgId=qsgn0000279&amp;stockCode=002500&amp;announcementId=1221235741&amp;announcementTime=2024-09-19" TargetMode="External"/><Relationship Id="rId96" Type="http://schemas.openxmlformats.org/officeDocument/2006/relationships/hyperlink" Target="http://www.cninfo.com.cn/new/disclosure/detail?plate=szse&amp;orgId=qsgn0000279&amp;stockCode=002500&amp;announcementId=1221235742&amp;announcementTime=2024-09-19" TargetMode="External"/><Relationship Id="rId97" Type="http://schemas.openxmlformats.org/officeDocument/2006/relationships/hyperlink" Target="http://www.cninfo.com.cn/new/disclosure/detail?plate=szse&amp;orgId=qsgn0000279&amp;stockCode=002500&amp;announcementId=1221235743&amp;announcementTime=2024-09-19" TargetMode="External"/><Relationship Id="rId98" Type="http://schemas.openxmlformats.org/officeDocument/2006/relationships/hyperlink" Target="http://www.cninfo.com.cn/new/disclosure/detail?plate=szse&amp;orgId=qsgn0000279&amp;stockCode=002500&amp;announcementId=1221235744&amp;announcementTime=2024-09-19" TargetMode="External"/><Relationship Id="rId99" Type="http://schemas.openxmlformats.org/officeDocument/2006/relationships/hyperlink" Target="http://www.cninfo.com.cn/new/disclosure/detail?plate=szse&amp;orgId=qsgn0000279&amp;stockCode=002500&amp;announcementId=1221304936&amp;announcementTime=2024-09-27" TargetMode="External"/><Relationship Id="rId100" Type="http://schemas.openxmlformats.org/officeDocument/2006/relationships/hyperlink" Target="http://www.cninfo.com.cn/new/disclosure/detail?plate=szse&amp;orgId=qsgn0000279&amp;stockCode=002500&amp;announcementId=1221383175&amp;announcementTime=2024-10-14%2017:22" TargetMode="External"/><Relationship Id="rId101" Type="http://schemas.openxmlformats.org/officeDocument/2006/relationships/hyperlink" Target="http://www.cninfo.com.cn/new/disclosure/detail?plate=szse&amp;orgId=qsgn0000279&amp;stockCode=002500&amp;announcementId=1221383176&amp;announcementTime=2024-10-14%2017:22" TargetMode="External"/><Relationship Id="rId102" Type="http://schemas.openxmlformats.org/officeDocument/2006/relationships/hyperlink" Target="http://www.cninfo.com.cn/new/disclosure/detail?plate=szse&amp;orgId=qsgn0000279&amp;stockCode=002500&amp;announcementId=1221396382&amp;announcementTime=2024-10-15%2018:32" TargetMode="External"/><Relationship Id="rId103" Type="http://schemas.openxmlformats.org/officeDocument/2006/relationships/hyperlink" Target="http://www.cninfo.com.cn/new/disclosure/detail?plate=szse&amp;orgId=qsgn0000279&amp;stockCode=002500&amp;announcementId=1221397750&amp;announcementTime=2024-10-15%2022:04" TargetMode="External"/><Relationship Id="rId104" Type="http://schemas.openxmlformats.org/officeDocument/2006/relationships/hyperlink" Target="http://www.cninfo.com.cn/new/disclosure/detail?plate=szse&amp;orgId=qsgn0000279&amp;stockCode=002500&amp;announcementId=1221419044&amp;announcementTime=2024-10-17%2017:09" TargetMode="External"/><Relationship Id="rId105" Type="http://schemas.openxmlformats.org/officeDocument/2006/relationships/hyperlink" Target="http://www.cninfo.com.cn/new/disclosure/detail?plate=szse&amp;orgId=qsgn0000279&amp;stockCode=002500&amp;announcementId=1221432492&amp;announcementTime=2024-10-18%2018:06" TargetMode="External"/><Relationship Id="rId106" Type="http://schemas.openxmlformats.org/officeDocument/2006/relationships/hyperlink" Target="http://www.cninfo.com.cn/new/disclosure/detail?plate=szse&amp;orgId=qsgn0000279&amp;stockCode=002500&amp;announcementId=1221432382&amp;announcementTime=2024-10-19" TargetMode="External"/><Relationship Id="rId107" Type="http://schemas.openxmlformats.org/officeDocument/2006/relationships/hyperlink" Target="http://www.cninfo.com.cn/new/disclosure/detail?plate=szse&amp;orgId=qsgn0000279&amp;stockCode=002500&amp;announcementId=1221487338&amp;announcementTime=2024-10-23%2016:16" TargetMode="External"/><Relationship Id="rId108" Type="http://schemas.openxmlformats.org/officeDocument/2006/relationships/hyperlink" Target="http://www.cninfo.com.cn/new/disclosure/detail?plate=szse&amp;orgId=qsgn0000279&amp;stockCode=002500&amp;announcementId=1221573399&amp;announcementTime=2024-10-31" TargetMode="External"/><Relationship Id="rId109" Type="http://schemas.openxmlformats.org/officeDocument/2006/relationships/hyperlink" Target="http://www.cninfo.com.cn/new/disclosure/detail?plate=szse&amp;orgId=qsgn0000279&amp;stockCode=002500&amp;announcementId=1221573413&amp;announcementTime=2024-10-31" TargetMode="External"/><Relationship Id="rId110" Type="http://schemas.openxmlformats.org/officeDocument/2006/relationships/hyperlink" Target="http://www.cninfo.com.cn/new/disclosure/detail?plate=szse&amp;orgId=qsgn0000279&amp;stockCode=002500&amp;announcementId=1221573406&amp;announcementTime=2024-10-31" TargetMode="External"/><Relationship Id="rId111" Type="http://schemas.openxmlformats.org/officeDocument/2006/relationships/hyperlink" Target="http://www.cninfo.com.cn/new/disclosure/detail?plate=szse&amp;orgId=qsgn0000279&amp;stockCode=002500&amp;announcementId=1221573419&amp;announcementTime=2024-10-31" TargetMode="External"/><Relationship Id="rId112" Type="http://schemas.openxmlformats.org/officeDocument/2006/relationships/hyperlink" Target="http://www.cninfo.com.cn/new/disclosure/detail?plate=szse&amp;orgId=qsgn0000279&amp;stockCode=002500&amp;announcementId=1221648595&amp;announcementTime=2024-11-07%2016:48" TargetMode="External"/><Relationship Id="rId113" Type="http://schemas.openxmlformats.org/officeDocument/2006/relationships/hyperlink" Target="http://www.cninfo.com.cn/new/disclosure/detail?plate=szse&amp;orgId=qsgn0000279&amp;stockCode=002500&amp;announcementId=1221740755&amp;announcementTime=2024-11-15%2018:07" TargetMode="External"/><Relationship Id="rId114" Type="http://schemas.openxmlformats.org/officeDocument/2006/relationships/hyperlink" Target="http://www.cninfo.com.cn/new/disclosure/detail?plate=szse&amp;orgId=qsgn0000279&amp;stockCode=002500&amp;announcementId=1221767460&amp;announcementTime=2024-11-19" TargetMode="External"/><Relationship Id="rId115" Type="http://schemas.openxmlformats.org/officeDocument/2006/relationships/hyperlink" Target="http://www.cninfo.com.cn/new/disclosure/detail?plate=szse&amp;orgId=qsgn0000279&amp;stockCode=002500&amp;announcementId=1221767461&amp;announcementTime=2024-11-19" TargetMode="External"/><Relationship Id="rId116" Type="http://schemas.openxmlformats.org/officeDocument/2006/relationships/hyperlink" Target="http://www.cninfo.com.cn/new/disclosure/detail?plate=szse&amp;orgId=qsgn0000279&amp;stockCode=002500&amp;announcementId=1221767462&amp;announcementTime=2024-11-19" TargetMode="External"/><Relationship Id="rId117" Type="http://schemas.openxmlformats.org/officeDocument/2006/relationships/hyperlink" Target="http://www.cninfo.com.cn/new/disclosure/detail?plate=szse&amp;orgId=qsgn0000279&amp;stockCode=002500&amp;announcementId=1221767463&amp;announcementTime=2024-11-19" TargetMode="External"/><Relationship Id="rId118" Type="http://schemas.openxmlformats.org/officeDocument/2006/relationships/hyperlink" Target="http://www.cninfo.com.cn/new/disclosure/detail?plate=szse&amp;orgId=qsgn0000279&amp;stockCode=002500&amp;announcementId=1221767464&amp;announcementTime=2024-11-19" TargetMode="External"/><Relationship Id="rId119" Type="http://schemas.openxmlformats.org/officeDocument/2006/relationships/hyperlink" Target="http://www.cninfo.com.cn/new/disclosure/detail?plate=szse&amp;orgId=qsgn0000279&amp;stockCode=002500&amp;announcementId=1221906663&amp;announcementTime=2024-12-02%2018:04" TargetMode="External"/><Relationship Id="rId120" Type="http://schemas.openxmlformats.org/officeDocument/2006/relationships/hyperlink" Target="http://www.cninfo.com.cn/new/disclosure/detail?plate=szse&amp;orgId=qsgn0000279&amp;stockCode=002500&amp;announcementId=1221906669&amp;announcementTime=2024-12-02%2018:04" TargetMode="External"/><Relationship Id="rId121" Type="http://schemas.openxmlformats.org/officeDocument/2006/relationships/hyperlink" Target="http://www.cninfo.com.cn/new/disclosure/detail?plate=szse&amp;orgId=qsgn0000279&amp;stockCode=002500&amp;announcementId=1221906670&amp;announcementTime=2024-12-02%2018:04" TargetMode="External"/><Relationship Id="rId122" Type="http://schemas.openxmlformats.org/officeDocument/2006/relationships/hyperlink" Target="http://www.cninfo.com.cn/new/disclosure/detail?plate=szse&amp;orgId=qsgn0000279&amp;stockCode=002500&amp;announcementId=1221918756&amp;announcementTime=2024-12-03%2018:11" TargetMode="External"/><Relationship Id="rId123" Type="http://schemas.openxmlformats.org/officeDocument/2006/relationships/hyperlink" Target="http://www.cninfo.com.cn/new/disclosure/detail?plate=szse&amp;orgId=qsgn0000279&amp;stockCode=002500&amp;announcementId=1221920610&amp;announcementTime=2024-12-03%2022:02" TargetMode="External"/><Relationship Id="rId124" Type="http://schemas.openxmlformats.org/officeDocument/2006/relationships/hyperlink" Target="http://www.cninfo.com.cn/new/disclosure/detail?plate=szse&amp;orgId=qsgn0000279&amp;stockCode=002500&amp;announcementId=1221939549&amp;announcementTime=2024-12-05%2018:16" TargetMode="External"/><Relationship Id="rId125" Type="http://schemas.openxmlformats.org/officeDocument/2006/relationships/hyperlink" Target="http://www.cninfo.com.cn/new/disclosure/detail?plate=szse&amp;orgId=qsgn0000279&amp;stockCode=002500&amp;announcementId=1221977932&amp;announcementTime=2024-12-10%2016:50" TargetMode="External"/><Relationship Id="rId126" Type="http://schemas.openxmlformats.org/officeDocument/2006/relationships/hyperlink" Target="http://www.cninfo.com.cn/new/disclosure/detail?plate=szse&amp;orgId=qsgn0000279&amp;stockCode=002500&amp;announcementId=1222089915&amp;announcementTime=2024-12-20%2017:00" TargetMode="External"/><Relationship Id="rId127" Type="http://schemas.openxmlformats.org/officeDocument/2006/relationships/hyperlink" Target="http://www.cninfo.com.cn/new/disclosure/detail?plate=szse&amp;orgId=qsgn0000279&amp;stockCode=002500&amp;announcementId=1222092311&amp;announcementTime=2024-12-23" TargetMode="External"/><Relationship Id="rId128" Type="http://schemas.openxmlformats.org/officeDocument/2006/relationships/hyperlink" Target="http://www.cninfo.com.cn/new/disclosure/detail?plate=szse&amp;orgId=qsgn0000279&amp;stockCode=002500&amp;announcementId=1222183710&amp;announcementTime=2024-12-31" TargetMode="External"/><Relationship Id="rId129" Type="http://schemas.openxmlformats.org/officeDocument/2006/relationships/hyperlink" Target="http://www.cninfo.com.cn/new/disclosure/detail?plate=szse&amp;orgId=qsgn0000279&amp;stockCode=002500&amp;announcementId=1222183711&amp;announcementTime=2024-12-31" TargetMode="External"/><Relationship Id="rId13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